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8059C3" w14:textId="7943D84F" w:rsidR="00127A7C" w:rsidRPr="00AD7D8E" w:rsidRDefault="00987AC0" w:rsidP="00F42FCC">
      <w:pPr>
        <w:rPr>
          <w:rFonts w:ascii="Arial" w:hAnsi="Arial" w:cs="Arial"/>
        </w:rPr>
        <w:sectPr w:rsidR="00127A7C" w:rsidRPr="00AD7D8E" w:rsidSect="00CA4DA8">
          <w:pgSz w:w="11900" w:h="16840"/>
          <w:pgMar w:top="0" w:right="0" w:bottom="0" w:left="0" w:header="708" w:footer="708" w:gutter="0"/>
          <w:cols w:space="708"/>
          <w:docGrid w:linePitch="360"/>
        </w:sectPr>
      </w:pPr>
      <w:r>
        <w:rPr>
          <w:rFonts w:ascii="Arial" w:hAnsi="Arial" w:cs="Arial"/>
          <w:noProof/>
          <w:lang w:val="es-ES"/>
        </w:rPr>
        <w:drawing>
          <wp:inline distT="0" distB="0" distL="0" distR="0" wp14:anchorId="0D115A43" wp14:editId="6CAB97C7">
            <wp:extent cx="7556500" cy="10684336"/>
            <wp:effectExtent l="0" t="0" r="0" b="9525"/>
            <wp:docPr id="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56500" cy="10684336"/>
                    </a:xfrm>
                    <a:prstGeom prst="rect">
                      <a:avLst/>
                    </a:prstGeom>
                    <a:noFill/>
                    <a:ln>
                      <a:noFill/>
                    </a:ln>
                  </pic:spPr>
                </pic:pic>
              </a:graphicData>
            </a:graphic>
          </wp:inline>
        </w:drawing>
      </w:r>
    </w:p>
    <w:p w14:paraId="332E98E1" w14:textId="77777777" w:rsidR="00F20541" w:rsidRPr="00AD7D8E" w:rsidRDefault="00F20541" w:rsidP="00980726">
      <w:pPr>
        <w:rPr>
          <w:rFonts w:ascii="Arial" w:hAnsi="Arial" w:cs="Arial"/>
          <w:sz w:val="20"/>
          <w:szCs w:val="20"/>
        </w:rPr>
      </w:pPr>
    </w:p>
    <w:p w14:paraId="1DABB7BF" w14:textId="77777777" w:rsidR="00F20541" w:rsidRPr="00AD7D8E" w:rsidRDefault="00F20541" w:rsidP="00980726">
      <w:pPr>
        <w:rPr>
          <w:rFonts w:ascii="Arial" w:hAnsi="Arial" w:cs="Arial"/>
          <w:sz w:val="20"/>
          <w:szCs w:val="20"/>
        </w:rPr>
      </w:pPr>
    </w:p>
    <w:p w14:paraId="5FB4E337" w14:textId="77777777" w:rsidR="00F20541" w:rsidRPr="00AD7D8E" w:rsidRDefault="00F20541" w:rsidP="00980726">
      <w:pPr>
        <w:rPr>
          <w:rFonts w:ascii="Arial" w:hAnsi="Arial" w:cs="Arial"/>
          <w:sz w:val="20"/>
          <w:szCs w:val="20"/>
        </w:rPr>
      </w:pPr>
    </w:p>
    <w:p w14:paraId="397DA41A" w14:textId="77777777" w:rsidR="00F20541" w:rsidRPr="00AD7D8E" w:rsidRDefault="00F20541" w:rsidP="00980726">
      <w:pPr>
        <w:rPr>
          <w:rFonts w:ascii="Arial" w:hAnsi="Arial" w:cs="Arial"/>
          <w:sz w:val="20"/>
          <w:szCs w:val="20"/>
        </w:rPr>
      </w:pPr>
    </w:p>
    <w:p w14:paraId="240D3B3C" w14:textId="77777777" w:rsidR="00F20541" w:rsidRPr="00AD7D8E" w:rsidRDefault="00F20541" w:rsidP="00980726">
      <w:pPr>
        <w:rPr>
          <w:rFonts w:ascii="Arial" w:hAnsi="Arial" w:cs="Arial"/>
          <w:sz w:val="20"/>
          <w:szCs w:val="20"/>
        </w:rPr>
      </w:pPr>
    </w:p>
    <w:p w14:paraId="2AA632B5" w14:textId="77777777" w:rsidR="00F20541" w:rsidRPr="00AD7D8E" w:rsidRDefault="00F20541" w:rsidP="00980726">
      <w:pPr>
        <w:rPr>
          <w:rFonts w:ascii="Arial" w:hAnsi="Arial" w:cs="Arial"/>
          <w:sz w:val="20"/>
          <w:szCs w:val="20"/>
        </w:rPr>
      </w:pPr>
    </w:p>
    <w:p w14:paraId="44F40F4A" w14:textId="77777777" w:rsidR="00F20541" w:rsidRPr="00AD7D8E" w:rsidRDefault="00F20541" w:rsidP="00980726">
      <w:pPr>
        <w:rPr>
          <w:rFonts w:ascii="Arial" w:hAnsi="Arial" w:cs="Arial"/>
          <w:sz w:val="20"/>
          <w:szCs w:val="20"/>
        </w:rPr>
      </w:pPr>
    </w:p>
    <w:p w14:paraId="61FB52F0" w14:textId="77777777" w:rsidR="00F20541" w:rsidRPr="00AD7D8E" w:rsidRDefault="00F20541" w:rsidP="00980726">
      <w:pPr>
        <w:rPr>
          <w:rFonts w:ascii="Arial" w:hAnsi="Arial" w:cs="Arial"/>
          <w:sz w:val="20"/>
          <w:szCs w:val="20"/>
        </w:rPr>
      </w:pPr>
    </w:p>
    <w:p w14:paraId="01A99EDA" w14:textId="77777777" w:rsidR="00F20541" w:rsidRPr="00AD7D8E" w:rsidRDefault="00F20541" w:rsidP="00980726">
      <w:pPr>
        <w:rPr>
          <w:rFonts w:ascii="Arial" w:hAnsi="Arial" w:cs="Arial"/>
          <w:sz w:val="20"/>
          <w:szCs w:val="20"/>
        </w:rPr>
      </w:pPr>
    </w:p>
    <w:p w14:paraId="633FC69E" w14:textId="77777777" w:rsidR="00F20541" w:rsidRPr="00AD7D8E" w:rsidRDefault="00F20541" w:rsidP="00980726">
      <w:pPr>
        <w:rPr>
          <w:rFonts w:ascii="Arial" w:hAnsi="Arial" w:cs="Arial"/>
          <w:sz w:val="20"/>
          <w:szCs w:val="20"/>
        </w:rPr>
      </w:pPr>
    </w:p>
    <w:p w14:paraId="20B388CC" w14:textId="77777777" w:rsidR="00F20541" w:rsidRPr="00AD7D8E" w:rsidRDefault="00F20541" w:rsidP="00980726">
      <w:pPr>
        <w:rPr>
          <w:rFonts w:ascii="Arial" w:hAnsi="Arial" w:cs="Arial"/>
          <w:sz w:val="20"/>
          <w:szCs w:val="20"/>
        </w:rPr>
      </w:pPr>
    </w:p>
    <w:p w14:paraId="2293C08B" w14:textId="77777777" w:rsidR="00F20541" w:rsidRPr="00AD7D8E" w:rsidRDefault="00F20541" w:rsidP="00980726">
      <w:pPr>
        <w:rPr>
          <w:rFonts w:ascii="Arial" w:hAnsi="Arial" w:cs="Arial"/>
          <w:sz w:val="20"/>
          <w:szCs w:val="20"/>
        </w:rPr>
      </w:pPr>
    </w:p>
    <w:p w14:paraId="194E6473" w14:textId="77777777" w:rsidR="00F20541" w:rsidRPr="00AD7D8E" w:rsidRDefault="00F20541" w:rsidP="00980726">
      <w:pPr>
        <w:rPr>
          <w:rFonts w:ascii="Arial" w:hAnsi="Arial" w:cs="Arial"/>
          <w:sz w:val="20"/>
          <w:szCs w:val="20"/>
        </w:rPr>
      </w:pPr>
    </w:p>
    <w:p w14:paraId="6F703BFC" w14:textId="77777777" w:rsidR="00F20541" w:rsidRPr="00AD7D8E" w:rsidRDefault="00F20541" w:rsidP="00980726">
      <w:pPr>
        <w:rPr>
          <w:rFonts w:ascii="Arial" w:hAnsi="Arial" w:cs="Arial"/>
          <w:sz w:val="20"/>
          <w:szCs w:val="20"/>
        </w:rPr>
      </w:pPr>
    </w:p>
    <w:p w14:paraId="3FBA12D5" w14:textId="77777777" w:rsidR="00F20541" w:rsidRPr="00AD7D8E" w:rsidRDefault="00F20541" w:rsidP="00980726">
      <w:pPr>
        <w:rPr>
          <w:rFonts w:ascii="Arial" w:hAnsi="Arial" w:cs="Arial"/>
          <w:sz w:val="20"/>
          <w:szCs w:val="20"/>
        </w:rPr>
      </w:pPr>
    </w:p>
    <w:p w14:paraId="60713897" w14:textId="77777777" w:rsidR="00F20541" w:rsidRPr="00AD7D8E" w:rsidRDefault="00F20541" w:rsidP="00980726">
      <w:pPr>
        <w:rPr>
          <w:rFonts w:ascii="Arial" w:hAnsi="Arial" w:cs="Arial"/>
          <w:sz w:val="20"/>
          <w:szCs w:val="20"/>
        </w:rPr>
      </w:pPr>
    </w:p>
    <w:p w14:paraId="7294D012" w14:textId="77777777" w:rsidR="00F20541" w:rsidRPr="00AD7D8E" w:rsidRDefault="00F20541" w:rsidP="00980726">
      <w:pPr>
        <w:rPr>
          <w:rFonts w:ascii="Arial" w:hAnsi="Arial" w:cs="Arial"/>
          <w:sz w:val="20"/>
          <w:szCs w:val="20"/>
        </w:rPr>
      </w:pPr>
    </w:p>
    <w:p w14:paraId="51FF2CDD" w14:textId="77777777" w:rsidR="00F20541" w:rsidRPr="00AD7D8E" w:rsidRDefault="00F20541" w:rsidP="00980726">
      <w:pPr>
        <w:rPr>
          <w:rFonts w:ascii="Arial" w:hAnsi="Arial" w:cs="Arial"/>
          <w:sz w:val="20"/>
          <w:szCs w:val="20"/>
        </w:rPr>
      </w:pPr>
    </w:p>
    <w:p w14:paraId="4568EA89" w14:textId="77777777" w:rsidR="00F20541" w:rsidRPr="00AD7D8E" w:rsidRDefault="00F20541" w:rsidP="00980726">
      <w:pPr>
        <w:rPr>
          <w:rFonts w:ascii="Arial" w:hAnsi="Arial" w:cs="Arial"/>
          <w:sz w:val="20"/>
          <w:szCs w:val="20"/>
        </w:rPr>
      </w:pPr>
    </w:p>
    <w:p w14:paraId="64FA51D9" w14:textId="77777777" w:rsidR="00F20541" w:rsidRPr="00AD7D8E" w:rsidRDefault="00F20541" w:rsidP="00980726">
      <w:pPr>
        <w:rPr>
          <w:rFonts w:ascii="Arial" w:hAnsi="Arial" w:cs="Arial"/>
          <w:sz w:val="20"/>
          <w:szCs w:val="20"/>
        </w:rPr>
      </w:pPr>
    </w:p>
    <w:p w14:paraId="7222E7FE" w14:textId="77777777" w:rsidR="00F20541" w:rsidRPr="00AD7D8E" w:rsidRDefault="00F20541" w:rsidP="00980726">
      <w:pPr>
        <w:rPr>
          <w:rFonts w:ascii="Arial" w:hAnsi="Arial" w:cs="Arial"/>
          <w:sz w:val="20"/>
          <w:szCs w:val="20"/>
        </w:rPr>
      </w:pPr>
    </w:p>
    <w:p w14:paraId="402AE645" w14:textId="77777777" w:rsidR="00F20541" w:rsidRPr="00AD7D8E" w:rsidRDefault="00F20541" w:rsidP="00980726">
      <w:pPr>
        <w:rPr>
          <w:rFonts w:ascii="Arial" w:hAnsi="Arial" w:cs="Arial"/>
          <w:sz w:val="20"/>
          <w:szCs w:val="20"/>
        </w:rPr>
      </w:pPr>
    </w:p>
    <w:p w14:paraId="48D0CD97" w14:textId="77777777" w:rsidR="00F20541" w:rsidRPr="00AD7D8E" w:rsidRDefault="00F20541" w:rsidP="00980726">
      <w:pPr>
        <w:rPr>
          <w:rFonts w:ascii="Arial" w:hAnsi="Arial" w:cs="Arial"/>
          <w:sz w:val="20"/>
          <w:szCs w:val="20"/>
        </w:rPr>
      </w:pPr>
    </w:p>
    <w:p w14:paraId="0D6C029C" w14:textId="77777777" w:rsidR="00F20541" w:rsidRPr="00AD7D8E" w:rsidRDefault="00F20541" w:rsidP="00980726">
      <w:pPr>
        <w:rPr>
          <w:rFonts w:ascii="Arial" w:hAnsi="Arial" w:cs="Arial"/>
          <w:sz w:val="20"/>
          <w:szCs w:val="20"/>
        </w:rPr>
      </w:pPr>
    </w:p>
    <w:p w14:paraId="03ACCB9B" w14:textId="77777777" w:rsidR="00F20541" w:rsidRPr="00AD7D8E" w:rsidRDefault="00F20541" w:rsidP="00980726">
      <w:pPr>
        <w:rPr>
          <w:rFonts w:ascii="Arial" w:hAnsi="Arial" w:cs="Arial"/>
          <w:sz w:val="20"/>
          <w:szCs w:val="20"/>
        </w:rPr>
      </w:pPr>
    </w:p>
    <w:p w14:paraId="170B9DE0" w14:textId="77777777" w:rsidR="00F20541" w:rsidRPr="00AD7D8E" w:rsidRDefault="00F20541" w:rsidP="00980726">
      <w:pPr>
        <w:rPr>
          <w:rFonts w:ascii="Arial" w:hAnsi="Arial" w:cs="Arial"/>
          <w:sz w:val="20"/>
          <w:szCs w:val="20"/>
        </w:rPr>
      </w:pPr>
    </w:p>
    <w:p w14:paraId="33B4666E" w14:textId="77777777" w:rsidR="00F20541" w:rsidRPr="00AD7D8E" w:rsidRDefault="00F20541" w:rsidP="00980726">
      <w:pPr>
        <w:rPr>
          <w:rFonts w:ascii="Arial" w:hAnsi="Arial" w:cs="Arial"/>
          <w:sz w:val="20"/>
          <w:szCs w:val="20"/>
        </w:rPr>
      </w:pPr>
    </w:p>
    <w:p w14:paraId="2ACA4B73" w14:textId="77777777" w:rsidR="00F20541" w:rsidRPr="00AD7D8E" w:rsidRDefault="00F20541" w:rsidP="00980726">
      <w:pPr>
        <w:rPr>
          <w:rFonts w:ascii="Arial" w:hAnsi="Arial" w:cs="Arial"/>
          <w:sz w:val="20"/>
          <w:szCs w:val="20"/>
        </w:rPr>
      </w:pPr>
    </w:p>
    <w:p w14:paraId="2DBD4B2D" w14:textId="77777777" w:rsidR="00F20541" w:rsidRPr="00AD7D8E" w:rsidRDefault="00F20541" w:rsidP="00980726">
      <w:pPr>
        <w:rPr>
          <w:rFonts w:ascii="Arial" w:hAnsi="Arial" w:cs="Arial"/>
          <w:sz w:val="20"/>
          <w:szCs w:val="20"/>
        </w:rPr>
      </w:pPr>
    </w:p>
    <w:p w14:paraId="51F9D35D" w14:textId="77777777" w:rsidR="00F20541" w:rsidRPr="00AD7D8E" w:rsidRDefault="00F20541" w:rsidP="00980726">
      <w:pPr>
        <w:rPr>
          <w:rFonts w:ascii="Arial" w:hAnsi="Arial" w:cs="Arial"/>
          <w:sz w:val="20"/>
          <w:szCs w:val="20"/>
        </w:rPr>
      </w:pPr>
    </w:p>
    <w:p w14:paraId="782E84B4" w14:textId="77777777" w:rsidR="00F20541" w:rsidRPr="00AD7D8E" w:rsidRDefault="00F20541" w:rsidP="00980726">
      <w:pPr>
        <w:rPr>
          <w:rFonts w:ascii="Arial" w:hAnsi="Arial" w:cs="Arial"/>
          <w:sz w:val="20"/>
          <w:szCs w:val="20"/>
        </w:rPr>
      </w:pPr>
    </w:p>
    <w:p w14:paraId="3EDC24CF" w14:textId="77777777" w:rsidR="00F20541" w:rsidRPr="00AD7D8E" w:rsidRDefault="00F20541" w:rsidP="00980726">
      <w:pPr>
        <w:rPr>
          <w:rFonts w:ascii="Arial" w:hAnsi="Arial" w:cs="Arial"/>
          <w:sz w:val="20"/>
          <w:szCs w:val="20"/>
        </w:rPr>
      </w:pPr>
    </w:p>
    <w:p w14:paraId="1E7CEBFF" w14:textId="48835612" w:rsidR="00F20541" w:rsidRPr="00AD7D8E" w:rsidRDefault="00F20541" w:rsidP="00980726">
      <w:pPr>
        <w:rPr>
          <w:rFonts w:ascii="Arial" w:hAnsi="Arial" w:cs="Arial"/>
          <w:sz w:val="20"/>
          <w:szCs w:val="20"/>
        </w:rPr>
      </w:pPr>
    </w:p>
    <w:p w14:paraId="5DDB1525" w14:textId="77777777" w:rsidR="00F20541" w:rsidRPr="00AD7D8E" w:rsidRDefault="00F20541" w:rsidP="00980726">
      <w:pPr>
        <w:rPr>
          <w:rFonts w:ascii="Arial" w:hAnsi="Arial" w:cs="Arial"/>
          <w:sz w:val="20"/>
          <w:szCs w:val="20"/>
        </w:rPr>
      </w:pPr>
    </w:p>
    <w:p w14:paraId="38C70528" w14:textId="77777777" w:rsidR="00F20541" w:rsidRPr="00AD7D8E" w:rsidRDefault="00F20541" w:rsidP="00980726">
      <w:pPr>
        <w:rPr>
          <w:rFonts w:ascii="Arial" w:hAnsi="Arial" w:cs="Arial"/>
          <w:sz w:val="20"/>
          <w:szCs w:val="20"/>
        </w:rPr>
      </w:pPr>
    </w:p>
    <w:p w14:paraId="461DABC5" w14:textId="77777777" w:rsidR="00F20541" w:rsidRPr="00AD7D8E" w:rsidRDefault="00F20541" w:rsidP="00980726">
      <w:pPr>
        <w:rPr>
          <w:rFonts w:ascii="Arial" w:hAnsi="Arial" w:cs="Arial"/>
          <w:sz w:val="20"/>
          <w:szCs w:val="20"/>
        </w:rPr>
      </w:pPr>
    </w:p>
    <w:p w14:paraId="7B536F0B" w14:textId="77777777" w:rsidR="00F20541" w:rsidRPr="00AD7D8E" w:rsidRDefault="00F20541" w:rsidP="00980726">
      <w:pPr>
        <w:rPr>
          <w:rFonts w:ascii="Arial" w:hAnsi="Arial" w:cs="Arial"/>
          <w:sz w:val="20"/>
          <w:szCs w:val="20"/>
        </w:rPr>
      </w:pPr>
    </w:p>
    <w:p w14:paraId="4AD7E7F7" w14:textId="77777777" w:rsidR="00F20541" w:rsidRPr="00AD7D8E" w:rsidRDefault="00F20541" w:rsidP="00980726">
      <w:pPr>
        <w:rPr>
          <w:rFonts w:ascii="Arial" w:hAnsi="Arial" w:cs="Arial"/>
          <w:sz w:val="20"/>
          <w:szCs w:val="20"/>
        </w:rPr>
      </w:pPr>
    </w:p>
    <w:p w14:paraId="57EAC905" w14:textId="77777777" w:rsidR="00F20541" w:rsidRPr="00AD7D8E" w:rsidRDefault="00F20541" w:rsidP="00980726">
      <w:pPr>
        <w:rPr>
          <w:rFonts w:ascii="Arial" w:hAnsi="Arial" w:cs="Arial"/>
          <w:sz w:val="20"/>
          <w:szCs w:val="20"/>
        </w:rPr>
      </w:pPr>
    </w:p>
    <w:p w14:paraId="652E99EF" w14:textId="77777777" w:rsidR="00F20541" w:rsidRPr="00AD7D8E" w:rsidRDefault="00F20541" w:rsidP="00980726">
      <w:pPr>
        <w:rPr>
          <w:rFonts w:ascii="Arial" w:hAnsi="Arial" w:cs="Arial"/>
          <w:sz w:val="20"/>
          <w:szCs w:val="20"/>
        </w:rPr>
      </w:pPr>
    </w:p>
    <w:p w14:paraId="47D44CDA" w14:textId="77777777" w:rsidR="00F20541" w:rsidRPr="00AD7D8E" w:rsidRDefault="00F20541" w:rsidP="00980726">
      <w:pPr>
        <w:rPr>
          <w:rFonts w:ascii="Arial" w:hAnsi="Arial" w:cs="Arial"/>
          <w:sz w:val="20"/>
          <w:szCs w:val="20"/>
        </w:rPr>
      </w:pPr>
    </w:p>
    <w:p w14:paraId="369517AB" w14:textId="77777777" w:rsidR="00F20541" w:rsidRPr="00AD7D8E" w:rsidRDefault="00F20541" w:rsidP="00980726">
      <w:pPr>
        <w:rPr>
          <w:rFonts w:ascii="Arial" w:hAnsi="Arial" w:cs="Arial"/>
          <w:sz w:val="20"/>
          <w:szCs w:val="20"/>
        </w:rPr>
      </w:pPr>
    </w:p>
    <w:p w14:paraId="10B9D81C" w14:textId="77777777" w:rsidR="00F20541" w:rsidRPr="00AD7D8E" w:rsidRDefault="00F20541" w:rsidP="00980726">
      <w:pPr>
        <w:rPr>
          <w:rFonts w:ascii="Arial" w:hAnsi="Arial" w:cs="Arial"/>
          <w:sz w:val="20"/>
          <w:szCs w:val="20"/>
        </w:rPr>
      </w:pPr>
    </w:p>
    <w:p w14:paraId="44A46D9B" w14:textId="77777777" w:rsidR="00F20541" w:rsidRPr="00AD7D8E" w:rsidRDefault="00F20541" w:rsidP="00980726">
      <w:pPr>
        <w:rPr>
          <w:rFonts w:ascii="Arial" w:hAnsi="Arial" w:cs="Arial"/>
          <w:sz w:val="20"/>
          <w:szCs w:val="20"/>
        </w:rPr>
      </w:pPr>
    </w:p>
    <w:p w14:paraId="730DBF6D" w14:textId="77777777" w:rsidR="00F20541" w:rsidRPr="00AD7D8E" w:rsidRDefault="00F20541" w:rsidP="00980726">
      <w:pPr>
        <w:rPr>
          <w:rFonts w:ascii="Arial" w:hAnsi="Arial" w:cs="Arial"/>
          <w:sz w:val="20"/>
          <w:szCs w:val="20"/>
        </w:rPr>
      </w:pPr>
    </w:p>
    <w:p w14:paraId="7175BCEB" w14:textId="77777777" w:rsidR="00F20541" w:rsidRPr="00AD7D8E" w:rsidRDefault="00F20541" w:rsidP="00980726">
      <w:pPr>
        <w:rPr>
          <w:rFonts w:ascii="Arial" w:hAnsi="Arial" w:cs="Arial"/>
          <w:sz w:val="20"/>
          <w:szCs w:val="20"/>
        </w:rPr>
      </w:pPr>
    </w:p>
    <w:p w14:paraId="4CDD7B2E" w14:textId="77777777" w:rsidR="00F20541" w:rsidRPr="00AD7D8E" w:rsidRDefault="00F20541" w:rsidP="00980726">
      <w:pPr>
        <w:rPr>
          <w:rFonts w:ascii="Arial" w:hAnsi="Arial" w:cs="Arial"/>
          <w:sz w:val="20"/>
          <w:szCs w:val="20"/>
        </w:rPr>
      </w:pPr>
    </w:p>
    <w:p w14:paraId="67CB7EA2" w14:textId="77777777" w:rsidR="00F20541" w:rsidRPr="00AD7D8E" w:rsidRDefault="00F20541" w:rsidP="00980726">
      <w:pPr>
        <w:rPr>
          <w:rFonts w:ascii="Arial" w:hAnsi="Arial" w:cs="Arial"/>
          <w:sz w:val="20"/>
          <w:szCs w:val="20"/>
        </w:rPr>
      </w:pPr>
    </w:p>
    <w:p w14:paraId="04C5EE6A" w14:textId="77777777" w:rsidR="00F20541" w:rsidRPr="00AD7D8E" w:rsidRDefault="00F20541" w:rsidP="00980726">
      <w:pPr>
        <w:rPr>
          <w:rFonts w:ascii="Arial" w:hAnsi="Arial" w:cs="Arial"/>
          <w:sz w:val="20"/>
          <w:szCs w:val="20"/>
        </w:rPr>
      </w:pPr>
    </w:p>
    <w:p w14:paraId="3857F8A7" w14:textId="77777777" w:rsidR="00F20541" w:rsidRPr="00AD7D8E" w:rsidRDefault="00F20541" w:rsidP="00980726">
      <w:pPr>
        <w:rPr>
          <w:rFonts w:ascii="Arial" w:hAnsi="Arial" w:cs="Arial"/>
          <w:sz w:val="20"/>
          <w:szCs w:val="20"/>
        </w:rPr>
      </w:pPr>
    </w:p>
    <w:p w14:paraId="21EAF596" w14:textId="77777777" w:rsidR="00F20541" w:rsidRPr="00AD7D8E" w:rsidRDefault="00F20541" w:rsidP="00980726">
      <w:pPr>
        <w:rPr>
          <w:rFonts w:ascii="Arial" w:hAnsi="Arial" w:cs="Arial"/>
          <w:sz w:val="20"/>
          <w:szCs w:val="20"/>
        </w:rPr>
      </w:pPr>
    </w:p>
    <w:p w14:paraId="4DDC49F1" w14:textId="77777777" w:rsidR="00F20541" w:rsidRPr="00AD7D8E" w:rsidRDefault="00F20541" w:rsidP="00980726">
      <w:pPr>
        <w:rPr>
          <w:rFonts w:ascii="Arial" w:hAnsi="Arial" w:cs="Arial"/>
          <w:sz w:val="20"/>
          <w:szCs w:val="20"/>
        </w:rPr>
      </w:pPr>
    </w:p>
    <w:p w14:paraId="170D8336" w14:textId="77777777" w:rsidR="00F20541" w:rsidRPr="00AD7D8E" w:rsidRDefault="00F20541" w:rsidP="00980726">
      <w:pPr>
        <w:rPr>
          <w:rFonts w:ascii="Arial" w:hAnsi="Arial" w:cs="Arial"/>
          <w:sz w:val="20"/>
          <w:szCs w:val="20"/>
        </w:rPr>
      </w:pPr>
    </w:p>
    <w:p w14:paraId="59E4AF70" w14:textId="631805D3" w:rsidR="00F20541" w:rsidRPr="00AD7D8E" w:rsidRDefault="00F20541" w:rsidP="00980726">
      <w:pPr>
        <w:rPr>
          <w:rFonts w:ascii="Arial" w:hAnsi="Arial" w:cs="Arial"/>
          <w:sz w:val="20"/>
          <w:szCs w:val="20"/>
        </w:rPr>
      </w:pPr>
    </w:p>
    <w:p w14:paraId="244AA7AA" w14:textId="77777777" w:rsidR="00CF1A53" w:rsidRDefault="00CF1A53" w:rsidP="00980726">
      <w:pPr>
        <w:rPr>
          <w:rFonts w:ascii="Arial" w:hAnsi="Arial" w:cs="Arial"/>
          <w:sz w:val="20"/>
          <w:szCs w:val="20"/>
        </w:rPr>
      </w:pPr>
    </w:p>
    <w:p w14:paraId="3296CB08" w14:textId="2BA46358" w:rsidR="00F20541" w:rsidRPr="00AD7D8E" w:rsidRDefault="001C1608" w:rsidP="00980726">
      <w:pPr>
        <w:rPr>
          <w:rFonts w:ascii="Arial" w:hAnsi="Arial" w:cs="Arial"/>
          <w:sz w:val="20"/>
          <w:szCs w:val="20"/>
        </w:rPr>
      </w:pPr>
      <w:r w:rsidRPr="00AD7D8E">
        <w:rPr>
          <w:rFonts w:ascii="Arial" w:hAnsi="Arial" w:cs="Arial"/>
          <w:noProof/>
          <w:sz w:val="20"/>
          <w:szCs w:val="20"/>
          <w:lang w:val="es-ES"/>
        </w:rPr>
        <w:drawing>
          <wp:anchor distT="0" distB="0" distL="114300" distR="114300" simplePos="0" relativeHeight="251658240" behindDoc="0" locked="0" layoutInCell="1" allowOverlap="1" wp14:anchorId="0F7C6265" wp14:editId="5C83EBD4">
            <wp:simplePos x="0" y="0"/>
            <wp:positionH relativeFrom="column">
              <wp:posOffset>3543300</wp:posOffset>
            </wp:positionH>
            <wp:positionV relativeFrom="paragraph">
              <wp:posOffset>83185</wp:posOffset>
            </wp:positionV>
            <wp:extent cx="2146300" cy="521970"/>
            <wp:effectExtent l="0" t="0" r="12700" b="1143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tipo_del_Ministerio_de_Empleo_y_Seguridad_Social copia.jpg"/>
                    <pic:cNvPicPr/>
                  </pic:nvPicPr>
                  <pic:blipFill>
                    <a:blip r:embed="rId10" cstate="email">
                      <a:extLst>
                        <a:ext uri="{28A0092B-C50C-407E-A947-70E740481C1C}">
                          <a14:useLocalDpi xmlns:a14="http://schemas.microsoft.com/office/drawing/2010/main"/>
                        </a:ext>
                      </a:extLst>
                    </a:blip>
                    <a:stretch>
                      <a:fillRect/>
                    </a:stretch>
                  </pic:blipFill>
                  <pic:spPr>
                    <a:xfrm>
                      <a:off x="0" y="0"/>
                      <a:ext cx="2146300" cy="521970"/>
                    </a:xfrm>
                    <a:prstGeom prst="rect">
                      <a:avLst/>
                    </a:prstGeom>
                  </pic:spPr>
                </pic:pic>
              </a:graphicData>
            </a:graphic>
            <wp14:sizeRelH relativeFrom="page">
              <wp14:pctWidth>0</wp14:pctWidth>
            </wp14:sizeRelH>
            <wp14:sizeRelV relativeFrom="page">
              <wp14:pctHeight>0</wp14:pctHeight>
            </wp14:sizeRelV>
          </wp:anchor>
        </w:drawing>
      </w:r>
    </w:p>
    <w:p w14:paraId="03944D1E" w14:textId="30E5F4F5" w:rsidR="005E72A0" w:rsidRPr="001C1608" w:rsidRDefault="00F20541" w:rsidP="001C1608">
      <w:pPr>
        <w:jc w:val="right"/>
        <w:rPr>
          <w:rFonts w:ascii="Open Sans" w:hAnsi="Open Sans" w:cs="Arial"/>
          <w:sz w:val="20"/>
          <w:szCs w:val="20"/>
        </w:rPr>
        <w:sectPr w:rsidR="005E72A0" w:rsidRPr="001C1608" w:rsidSect="00CA4DA8">
          <w:headerReference w:type="default" r:id="rId11"/>
          <w:pgSz w:w="11900" w:h="16840"/>
          <w:pgMar w:top="1418" w:right="1701" w:bottom="1418" w:left="1701" w:header="708" w:footer="708" w:gutter="0"/>
          <w:cols w:space="708"/>
          <w:docGrid w:linePitch="360"/>
        </w:sectPr>
      </w:pPr>
      <w:r w:rsidRPr="001C1608">
        <w:rPr>
          <w:rFonts w:ascii="Open Sans" w:hAnsi="Open Sans" w:cs="Arial"/>
          <w:sz w:val="20"/>
          <w:szCs w:val="20"/>
        </w:rPr>
        <w:t xml:space="preserve">Estudio realizado con financiación del Ministerio de Empleo y Seguridad Social </w:t>
      </w:r>
    </w:p>
    <w:p w14:paraId="34636A5A" w14:textId="77777777" w:rsidR="003F0424" w:rsidRPr="00AD7D8E" w:rsidRDefault="003F0424" w:rsidP="003065B9">
      <w:pPr>
        <w:jc w:val="both"/>
        <w:rPr>
          <w:rFonts w:ascii="Arial" w:hAnsi="Arial" w:cs="Arial"/>
          <w:i/>
          <w:sz w:val="20"/>
          <w:szCs w:val="20"/>
        </w:rPr>
      </w:pPr>
    </w:p>
    <w:p w14:paraId="42F788B1" w14:textId="7229D727" w:rsidR="00E73DC3" w:rsidRPr="002D1701" w:rsidRDefault="00E73DC3" w:rsidP="00E73DC3">
      <w:pPr>
        <w:jc w:val="both"/>
        <w:rPr>
          <w:rFonts w:ascii="Open Sans" w:hAnsi="Open Sans" w:cs="Arial"/>
          <w:sz w:val="20"/>
          <w:szCs w:val="20"/>
        </w:rPr>
      </w:pPr>
      <w:r w:rsidRPr="00FD5361">
        <w:rPr>
          <w:rFonts w:ascii="Open Sans" w:hAnsi="Open Sans" w:cs="Arial"/>
          <w:sz w:val="20"/>
          <w:szCs w:val="20"/>
        </w:rPr>
        <w:t>El Observatorio de RSC fue creado en 2004 de la mano de varias organizaciones que ya trabajaban de forma independiente en el estudio e impulso de la RSC. En la actualidad el Observatorio está compuesto por Alianza por la Solidaridad, Ayuda en Acción, CECU, CCOO, Cruz Roja Españo</w:t>
      </w:r>
      <w:r>
        <w:rPr>
          <w:rFonts w:ascii="Open Sans" w:hAnsi="Open Sans" w:cs="Arial"/>
          <w:sz w:val="20"/>
          <w:szCs w:val="20"/>
        </w:rPr>
        <w:t>la, Equipo Nizkor, Economistas s</w:t>
      </w:r>
      <w:r w:rsidRPr="00FD5361">
        <w:rPr>
          <w:rFonts w:ascii="Open Sans" w:hAnsi="Open Sans" w:cs="Arial"/>
          <w:sz w:val="20"/>
          <w:szCs w:val="20"/>
        </w:rPr>
        <w:t>in Fronteras, Oxfam</w:t>
      </w:r>
      <w:r w:rsidR="005C54D6">
        <w:rPr>
          <w:rFonts w:ascii="Open Sans" w:hAnsi="Open Sans" w:cs="Arial"/>
          <w:sz w:val="20"/>
          <w:szCs w:val="20"/>
        </w:rPr>
        <w:t xml:space="preserve"> Intermón</w:t>
      </w:r>
      <w:r w:rsidRPr="00FD5361">
        <w:rPr>
          <w:rFonts w:ascii="Open Sans" w:hAnsi="Open Sans" w:cs="Arial"/>
          <w:sz w:val="20"/>
          <w:szCs w:val="20"/>
        </w:rPr>
        <w:t>, USO, ONGAWA y Entreculturas.  Desde su nacimiento, el Observatorio de RSC ha publicado diversos informes y celebrado numerosos encuentros, además de posicionarse en redes internacionales de RSC como European Coalition for Corporate Justice y OCDE Watch.</w:t>
      </w:r>
    </w:p>
    <w:p w14:paraId="2D43CA3D" w14:textId="77777777" w:rsidR="00E73DC3" w:rsidRPr="002D1701" w:rsidRDefault="00E73DC3" w:rsidP="00E73DC3">
      <w:pPr>
        <w:rPr>
          <w:rFonts w:ascii="Open Sans" w:hAnsi="Open Sans" w:cs="Arial"/>
          <w:sz w:val="20"/>
          <w:szCs w:val="20"/>
        </w:rPr>
      </w:pPr>
    </w:p>
    <w:p w14:paraId="1CB25B22" w14:textId="77777777" w:rsidR="00E73DC3" w:rsidRPr="002D1701" w:rsidRDefault="00E73DC3" w:rsidP="00E73DC3">
      <w:pPr>
        <w:rPr>
          <w:rFonts w:ascii="Open Sans" w:hAnsi="Open Sans" w:cs="Arial"/>
          <w:sz w:val="20"/>
          <w:szCs w:val="20"/>
        </w:rPr>
      </w:pPr>
      <w:r w:rsidRPr="002D1701">
        <w:rPr>
          <w:rFonts w:ascii="Open Sans" w:hAnsi="Open Sans" w:cs="Arial"/>
          <w:sz w:val="20"/>
          <w:szCs w:val="20"/>
        </w:rPr>
        <w:t xml:space="preserve">El </w:t>
      </w:r>
      <w:r w:rsidRPr="002D1701">
        <w:rPr>
          <w:rFonts w:ascii="Open Sans" w:hAnsi="Open Sans" w:cs="Arial"/>
          <w:sz w:val="20"/>
          <w:szCs w:val="20"/>
          <w:u w:val="single"/>
        </w:rPr>
        <w:t>equipo de trabajo</w:t>
      </w:r>
      <w:r w:rsidRPr="002D1701">
        <w:rPr>
          <w:rFonts w:ascii="Open Sans" w:hAnsi="Open Sans" w:cs="Arial"/>
          <w:sz w:val="20"/>
          <w:szCs w:val="20"/>
        </w:rPr>
        <w:t xml:space="preserve"> que ha participado en el estudio está formado por:</w:t>
      </w:r>
    </w:p>
    <w:p w14:paraId="015EDA15" w14:textId="77777777" w:rsidR="00E73DC3" w:rsidRPr="002D1701" w:rsidRDefault="00E73DC3" w:rsidP="00E73DC3">
      <w:pPr>
        <w:rPr>
          <w:rFonts w:ascii="Open Sans" w:hAnsi="Open Sans" w:cs="Arial"/>
          <w:sz w:val="20"/>
          <w:szCs w:val="20"/>
        </w:rPr>
      </w:pPr>
    </w:p>
    <w:p w14:paraId="2EE109FB" w14:textId="77777777" w:rsidR="00E73DC3" w:rsidRPr="002D1701" w:rsidRDefault="00E73DC3" w:rsidP="00E73DC3">
      <w:pPr>
        <w:ind w:left="708"/>
        <w:rPr>
          <w:rFonts w:ascii="Open Sans" w:hAnsi="Open Sans" w:cs="Arial"/>
          <w:sz w:val="20"/>
          <w:szCs w:val="20"/>
          <w:u w:val="single"/>
        </w:rPr>
      </w:pPr>
      <w:r w:rsidRPr="002D1701">
        <w:rPr>
          <w:rFonts w:ascii="Open Sans" w:hAnsi="Open Sans" w:cs="Arial"/>
          <w:sz w:val="20"/>
          <w:szCs w:val="20"/>
          <w:u w:val="single"/>
        </w:rPr>
        <w:t>Director del Estudio:</w:t>
      </w:r>
    </w:p>
    <w:p w14:paraId="0A48BE6D" w14:textId="77777777" w:rsidR="00E73DC3" w:rsidRPr="002D1701" w:rsidRDefault="00E73DC3" w:rsidP="00E73DC3">
      <w:pPr>
        <w:ind w:left="708"/>
        <w:rPr>
          <w:rFonts w:ascii="Open Sans" w:hAnsi="Open Sans" w:cs="Arial"/>
          <w:sz w:val="20"/>
          <w:szCs w:val="20"/>
          <w:u w:val="single"/>
        </w:rPr>
      </w:pPr>
    </w:p>
    <w:p w14:paraId="23BE0B37" w14:textId="74F7602C" w:rsidR="00E73DC3" w:rsidRPr="002D1701" w:rsidRDefault="00E73DC3" w:rsidP="00E73DC3">
      <w:pPr>
        <w:numPr>
          <w:ilvl w:val="0"/>
          <w:numId w:val="1"/>
        </w:numPr>
        <w:tabs>
          <w:tab w:val="left" w:pos="2148"/>
        </w:tabs>
        <w:suppressAutoHyphens/>
        <w:ind w:left="1428" w:hanging="360"/>
        <w:jc w:val="both"/>
        <w:rPr>
          <w:rFonts w:ascii="Open Sans" w:hAnsi="Open Sans" w:cs="Arial"/>
          <w:sz w:val="20"/>
          <w:szCs w:val="20"/>
        </w:rPr>
      </w:pPr>
      <w:r w:rsidRPr="002D1701">
        <w:rPr>
          <w:rFonts w:ascii="Open Sans" w:hAnsi="Open Sans" w:cs="Arial"/>
          <w:sz w:val="20"/>
          <w:szCs w:val="20"/>
        </w:rPr>
        <w:t>Orencio Vázquez</w:t>
      </w:r>
      <w:r w:rsidR="00F71E1B">
        <w:rPr>
          <w:rFonts w:ascii="Open Sans" w:hAnsi="Open Sans" w:cs="Arial"/>
          <w:sz w:val="20"/>
          <w:szCs w:val="20"/>
        </w:rPr>
        <w:t xml:space="preserve"> Oteo</w:t>
      </w:r>
    </w:p>
    <w:p w14:paraId="4CC1143C" w14:textId="77777777" w:rsidR="00E73DC3" w:rsidRPr="002D1701" w:rsidRDefault="00E73DC3" w:rsidP="00E73DC3">
      <w:pPr>
        <w:ind w:left="360"/>
        <w:rPr>
          <w:rFonts w:ascii="Open Sans" w:hAnsi="Open Sans" w:cs="Arial"/>
          <w:sz w:val="20"/>
          <w:szCs w:val="20"/>
        </w:rPr>
      </w:pPr>
    </w:p>
    <w:p w14:paraId="5196330B" w14:textId="77777777" w:rsidR="00E73DC3" w:rsidRPr="000F7319" w:rsidRDefault="00E73DC3" w:rsidP="00E73DC3">
      <w:pPr>
        <w:ind w:left="708"/>
        <w:rPr>
          <w:rFonts w:ascii="Open Sans" w:hAnsi="Open Sans" w:cs="Arial"/>
          <w:sz w:val="20"/>
          <w:szCs w:val="20"/>
          <w:highlight w:val="yellow"/>
        </w:rPr>
      </w:pPr>
    </w:p>
    <w:p w14:paraId="0A3100EB" w14:textId="77777777" w:rsidR="00E73DC3" w:rsidRPr="002D1701" w:rsidRDefault="00E73DC3" w:rsidP="00E73DC3">
      <w:pPr>
        <w:ind w:left="708"/>
        <w:rPr>
          <w:rFonts w:ascii="Open Sans" w:hAnsi="Open Sans" w:cs="Arial"/>
          <w:sz w:val="20"/>
          <w:szCs w:val="20"/>
          <w:u w:val="single"/>
        </w:rPr>
      </w:pPr>
      <w:r w:rsidRPr="00604788">
        <w:rPr>
          <w:rFonts w:ascii="Open Sans" w:hAnsi="Open Sans" w:cs="Arial"/>
          <w:sz w:val="20"/>
          <w:szCs w:val="20"/>
          <w:u w:val="single"/>
        </w:rPr>
        <w:t>Equipo de Análisis:</w:t>
      </w:r>
    </w:p>
    <w:p w14:paraId="14FCFBA2" w14:textId="77777777" w:rsidR="00E73DC3" w:rsidRPr="002D1701" w:rsidRDefault="00E73DC3" w:rsidP="00E73DC3">
      <w:pPr>
        <w:ind w:left="360" w:firstLine="708"/>
        <w:rPr>
          <w:rFonts w:ascii="Open Sans" w:hAnsi="Open Sans" w:cs="Arial"/>
          <w:sz w:val="20"/>
          <w:szCs w:val="20"/>
        </w:rPr>
      </w:pPr>
    </w:p>
    <w:tbl>
      <w:tblPr>
        <w:tblW w:w="7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3560"/>
        <w:gridCol w:w="3835"/>
      </w:tblGrid>
      <w:tr w:rsidR="009D4D54" w:rsidRPr="002D1701" w14:paraId="76388741" w14:textId="77777777" w:rsidTr="002C23E6">
        <w:trPr>
          <w:trHeight w:val="300"/>
          <w:jc w:val="center"/>
        </w:trPr>
        <w:tc>
          <w:tcPr>
            <w:tcW w:w="3560" w:type="dxa"/>
            <w:noWrap/>
            <w:vAlign w:val="bottom"/>
          </w:tcPr>
          <w:p w14:paraId="484E3B89" w14:textId="1C5149BE" w:rsidR="009D4D54" w:rsidRPr="002D1701" w:rsidRDefault="002C23E6" w:rsidP="00626A25">
            <w:pPr>
              <w:rPr>
                <w:rFonts w:ascii="Open Sans" w:hAnsi="Open Sans" w:cs="Arial"/>
                <w:iCs/>
                <w:color w:val="000000"/>
                <w:sz w:val="20"/>
                <w:szCs w:val="20"/>
              </w:rPr>
            </w:pPr>
            <w:r w:rsidRPr="009D4D54">
              <w:rPr>
                <w:rFonts w:ascii="Open Sans" w:hAnsi="Open Sans" w:cs="Arial"/>
                <w:iCs/>
                <w:color w:val="000000"/>
                <w:sz w:val="20"/>
                <w:szCs w:val="20"/>
              </w:rPr>
              <w:t>Núria Casaldàliga Pujol</w:t>
            </w:r>
          </w:p>
        </w:tc>
        <w:tc>
          <w:tcPr>
            <w:tcW w:w="3835" w:type="dxa"/>
            <w:noWrap/>
            <w:vAlign w:val="bottom"/>
          </w:tcPr>
          <w:p w14:paraId="7C4ECDC2" w14:textId="10DCF717" w:rsidR="009D4D54"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Juan Diego Paredes</w:t>
            </w:r>
          </w:p>
        </w:tc>
      </w:tr>
      <w:tr w:rsidR="00B9478B" w:rsidRPr="002D1701" w14:paraId="583E49FB" w14:textId="77777777" w:rsidTr="002C23E6">
        <w:trPr>
          <w:trHeight w:val="300"/>
          <w:jc w:val="center"/>
        </w:trPr>
        <w:tc>
          <w:tcPr>
            <w:tcW w:w="3560" w:type="dxa"/>
            <w:noWrap/>
            <w:vAlign w:val="bottom"/>
          </w:tcPr>
          <w:p w14:paraId="71A9CB83" w14:textId="1ED90A05" w:rsidR="00B9478B" w:rsidRPr="002D1701" w:rsidRDefault="002C23E6" w:rsidP="00A51319">
            <w:pPr>
              <w:rPr>
                <w:rFonts w:ascii="Open Sans" w:hAnsi="Open Sans" w:cs="Arial"/>
                <w:iCs/>
                <w:color w:val="000000"/>
                <w:sz w:val="20"/>
                <w:szCs w:val="20"/>
              </w:rPr>
            </w:pPr>
            <w:r>
              <w:rPr>
                <w:rFonts w:ascii="Open Sans" w:hAnsi="Open Sans" w:cs="Arial"/>
                <w:iCs/>
                <w:color w:val="000000"/>
                <w:sz w:val="20"/>
                <w:szCs w:val="20"/>
              </w:rPr>
              <w:t>Aníbal Escribano</w:t>
            </w:r>
          </w:p>
        </w:tc>
        <w:tc>
          <w:tcPr>
            <w:tcW w:w="3835" w:type="dxa"/>
            <w:noWrap/>
            <w:vAlign w:val="bottom"/>
          </w:tcPr>
          <w:p w14:paraId="19F14705" w14:textId="4A8419A4"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Mario Enrique Sánchez Ritcher</w:t>
            </w:r>
          </w:p>
        </w:tc>
      </w:tr>
      <w:tr w:rsidR="00B9478B" w:rsidRPr="002D1701" w14:paraId="0E60EAB3" w14:textId="77777777" w:rsidTr="002C23E6">
        <w:trPr>
          <w:trHeight w:val="300"/>
          <w:jc w:val="center"/>
        </w:trPr>
        <w:tc>
          <w:tcPr>
            <w:tcW w:w="3560" w:type="dxa"/>
            <w:noWrap/>
            <w:vAlign w:val="bottom"/>
          </w:tcPr>
          <w:p w14:paraId="68A900BE" w14:textId="787741E3"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Arturo Espinosa</w:t>
            </w:r>
          </w:p>
        </w:tc>
        <w:tc>
          <w:tcPr>
            <w:tcW w:w="3835" w:type="dxa"/>
            <w:noWrap/>
            <w:vAlign w:val="bottom"/>
          </w:tcPr>
          <w:p w14:paraId="368E5BB4" w14:textId="0026E8A2"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Inmaculada Salve</w:t>
            </w:r>
          </w:p>
        </w:tc>
      </w:tr>
      <w:tr w:rsidR="00B9478B" w:rsidRPr="002D1701" w14:paraId="7E2025A9" w14:textId="77777777" w:rsidTr="002C23E6">
        <w:trPr>
          <w:trHeight w:val="300"/>
          <w:jc w:val="center"/>
        </w:trPr>
        <w:tc>
          <w:tcPr>
            <w:tcW w:w="3560" w:type="dxa"/>
            <w:noWrap/>
            <w:vAlign w:val="bottom"/>
          </w:tcPr>
          <w:p w14:paraId="3718947E" w14:textId="499B0CB9"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Gloria González Sanz</w:t>
            </w:r>
          </w:p>
        </w:tc>
        <w:tc>
          <w:tcPr>
            <w:tcW w:w="3835" w:type="dxa"/>
            <w:noWrap/>
            <w:vAlign w:val="bottom"/>
          </w:tcPr>
          <w:p w14:paraId="450579D8" w14:textId="0F1F0207"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Oscar Sierra Martín</w:t>
            </w:r>
          </w:p>
        </w:tc>
      </w:tr>
      <w:tr w:rsidR="00B9478B" w:rsidRPr="002D1701" w14:paraId="2BE8E176" w14:textId="77777777" w:rsidTr="002C23E6">
        <w:trPr>
          <w:trHeight w:val="300"/>
          <w:jc w:val="center"/>
        </w:trPr>
        <w:tc>
          <w:tcPr>
            <w:tcW w:w="3560" w:type="dxa"/>
            <w:noWrap/>
            <w:vAlign w:val="bottom"/>
          </w:tcPr>
          <w:p w14:paraId="3251CE90" w14:textId="410A3D2D"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Ana Illescas Núñez</w:t>
            </w:r>
          </w:p>
        </w:tc>
        <w:tc>
          <w:tcPr>
            <w:tcW w:w="3835" w:type="dxa"/>
            <w:noWrap/>
            <w:vAlign w:val="bottom"/>
          </w:tcPr>
          <w:p w14:paraId="076E420F" w14:textId="0373AAF9" w:rsidR="00B9478B" w:rsidRPr="002D1701" w:rsidRDefault="002C23E6" w:rsidP="004F23FD">
            <w:pPr>
              <w:rPr>
                <w:rFonts w:ascii="Open Sans" w:hAnsi="Open Sans" w:cs="Arial"/>
                <w:iCs/>
                <w:color w:val="000000"/>
                <w:sz w:val="20"/>
                <w:szCs w:val="20"/>
              </w:rPr>
            </w:pPr>
            <w:r w:rsidRPr="00FB7B9C">
              <w:rPr>
                <w:rFonts w:ascii="Open Sans" w:hAnsi="Open Sans" w:cs="Arial"/>
                <w:iCs/>
                <w:color w:val="000000"/>
                <w:sz w:val="20"/>
                <w:szCs w:val="20"/>
              </w:rPr>
              <w:t>Mercedes Torras Montoya</w:t>
            </w:r>
          </w:p>
        </w:tc>
      </w:tr>
      <w:tr w:rsidR="00B9478B" w:rsidRPr="002D1701" w14:paraId="158E1535" w14:textId="77777777" w:rsidTr="002C23E6">
        <w:trPr>
          <w:trHeight w:val="300"/>
          <w:jc w:val="center"/>
        </w:trPr>
        <w:tc>
          <w:tcPr>
            <w:tcW w:w="3560" w:type="dxa"/>
            <w:noWrap/>
            <w:vAlign w:val="bottom"/>
          </w:tcPr>
          <w:p w14:paraId="201E458F" w14:textId="68B084DB"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Eva Pardo</w:t>
            </w:r>
          </w:p>
        </w:tc>
        <w:tc>
          <w:tcPr>
            <w:tcW w:w="3835" w:type="dxa"/>
            <w:noWrap/>
            <w:vAlign w:val="bottom"/>
          </w:tcPr>
          <w:p w14:paraId="445F42AF" w14:textId="4265842E" w:rsidR="00B9478B" w:rsidRPr="002D1701" w:rsidRDefault="002C23E6" w:rsidP="004F23FD">
            <w:pPr>
              <w:rPr>
                <w:rFonts w:ascii="Open Sans" w:hAnsi="Open Sans" w:cs="Arial"/>
                <w:iCs/>
                <w:color w:val="000000"/>
                <w:sz w:val="20"/>
                <w:szCs w:val="20"/>
              </w:rPr>
            </w:pPr>
            <w:r>
              <w:rPr>
                <w:rFonts w:ascii="Open Sans" w:hAnsi="Open Sans" w:cs="Arial"/>
                <w:iCs/>
                <w:color w:val="000000"/>
                <w:sz w:val="20"/>
                <w:szCs w:val="20"/>
              </w:rPr>
              <w:t>Orencio Vázquez Oteo</w:t>
            </w:r>
          </w:p>
        </w:tc>
      </w:tr>
      <w:tr w:rsidR="00B9478B" w:rsidRPr="002D1701" w14:paraId="19CCE3C3" w14:textId="77777777" w:rsidTr="002C23E6">
        <w:trPr>
          <w:trHeight w:val="300"/>
          <w:jc w:val="center"/>
        </w:trPr>
        <w:tc>
          <w:tcPr>
            <w:tcW w:w="3560" w:type="dxa"/>
            <w:noWrap/>
            <w:vAlign w:val="bottom"/>
          </w:tcPr>
          <w:p w14:paraId="06D05FBC" w14:textId="6152CCAF" w:rsidR="00B9478B" w:rsidRDefault="002C23E6" w:rsidP="004F23FD">
            <w:pPr>
              <w:rPr>
                <w:rFonts w:ascii="Open Sans" w:hAnsi="Open Sans" w:cs="Arial"/>
                <w:iCs/>
                <w:color w:val="000000"/>
                <w:sz w:val="20"/>
                <w:szCs w:val="20"/>
              </w:rPr>
            </w:pPr>
            <w:r>
              <w:rPr>
                <w:rFonts w:ascii="Open Sans" w:hAnsi="Open Sans" w:cs="Arial"/>
                <w:iCs/>
                <w:color w:val="000000"/>
                <w:sz w:val="20"/>
                <w:szCs w:val="20"/>
              </w:rPr>
              <w:t>Ana Karina Pessoa</w:t>
            </w:r>
          </w:p>
        </w:tc>
        <w:tc>
          <w:tcPr>
            <w:tcW w:w="3835" w:type="dxa"/>
            <w:noWrap/>
            <w:vAlign w:val="bottom"/>
          </w:tcPr>
          <w:p w14:paraId="02F55BBC" w14:textId="40C5D270" w:rsidR="00B9478B" w:rsidRDefault="00B9478B" w:rsidP="004F23FD">
            <w:pPr>
              <w:rPr>
                <w:rFonts w:ascii="Open Sans" w:hAnsi="Open Sans" w:cs="Arial"/>
                <w:iCs/>
                <w:color w:val="000000"/>
                <w:sz w:val="20"/>
                <w:szCs w:val="20"/>
              </w:rPr>
            </w:pPr>
          </w:p>
        </w:tc>
      </w:tr>
    </w:tbl>
    <w:p w14:paraId="461E6D32" w14:textId="77777777" w:rsidR="00E2570E" w:rsidRDefault="00E2570E" w:rsidP="00E2570E">
      <w:pPr>
        <w:rPr>
          <w:rFonts w:ascii="Open Sans" w:hAnsi="Open Sans" w:cs="Arial"/>
          <w:sz w:val="20"/>
          <w:szCs w:val="20"/>
          <w:lang w:val="es-ES"/>
        </w:rPr>
      </w:pPr>
    </w:p>
    <w:p w14:paraId="3D16BBDD" w14:textId="77777777" w:rsidR="003E1A1E" w:rsidRDefault="003E1A1E" w:rsidP="00E2570E">
      <w:pPr>
        <w:rPr>
          <w:rFonts w:ascii="Open Sans" w:hAnsi="Open Sans" w:cs="Arial"/>
          <w:sz w:val="20"/>
          <w:szCs w:val="20"/>
          <w:lang w:val="es-ES"/>
        </w:rPr>
      </w:pPr>
    </w:p>
    <w:p w14:paraId="059E81B1" w14:textId="07872AA3" w:rsidR="003065B9" w:rsidRDefault="003065B9" w:rsidP="00E2570E">
      <w:pPr>
        <w:jc w:val="both"/>
        <w:rPr>
          <w:rFonts w:ascii="Open Sans" w:hAnsi="Open Sans" w:cs="Arial"/>
          <w:sz w:val="20"/>
          <w:szCs w:val="20"/>
        </w:rPr>
      </w:pPr>
    </w:p>
    <w:p w14:paraId="6DB323AE" w14:textId="77777777" w:rsidR="00FB3C6A" w:rsidRDefault="00FB3C6A" w:rsidP="00E2570E">
      <w:pPr>
        <w:jc w:val="both"/>
        <w:rPr>
          <w:rFonts w:ascii="Open Sans" w:hAnsi="Open Sans" w:cs="Arial"/>
          <w:sz w:val="20"/>
          <w:szCs w:val="20"/>
        </w:rPr>
      </w:pPr>
    </w:p>
    <w:p w14:paraId="0C6CC206" w14:textId="77777777" w:rsidR="00FB3C6A" w:rsidRDefault="00FB3C6A" w:rsidP="00E2570E">
      <w:pPr>
        <w:jc w:val="both"/>
        <w:rPr>
          <w:rFonts w:ascii="Open Sans" w:hAnsi="Open Sans" w:cs="Arial"/>
          <w:sz w:val="20"/>
          <w:szCs w:val="20"/>
        </w:rPr>
      </w:pPr>
    </w:p>
    <w:p w14:paraId="435C24BD" w14:textId="77777777" w:rsidR="00FB3C6A" w:rsidRDefault="00FB3C6A" w:rsidP="00E2570E">
      <w:pPr>
        <w:jc w:val="both"/>
        <w:rPr>
          <w:rFonts w:ascii="Open Sans" w:hAnsi="Open Sans" w:cs="Arial"/>
          <w:sz w:val="20"/>
          <w:szCs w:val="20"/>
        </w:rPr>
      </w:pPr>
    </w:p>
    <w:p w14:paraId="40FA4838" w14:textId="77777777" w:rsidR="00FB3C6A" w:rsidRDefault="00FB3C6A" w:rsidP="00E2570E">
      <w:pPr>
        <w:jc w:val="both"/>
        <w:rPr>
          <w:rFonts w:ascii="Open Sans" w:hAnsi="Open Sans" w:cs="Arial"/>
          <w:sz w:val="20"/>
          <w:szCs w:val="20"/>
        </w:rPr>
      </w:pPr>
    </w:p>
    <w:p w14:paraId="5CB152DA" w14:textId="77777777" w:rsidR="00FB3C6A" w:rsidRDefault="00FB3C6A" w:rsidP="00E2570E">
      <w:pPr>
        <w:jc w:val="both"/>
        <w:rPr>
          <w:rFonts w:ascii="Open Sans" w:hAnsi="Open Sans" w:cs="Arial"/>
          <w:sz w:val="20"/>
          <w:szCs w:val="20"/>
        </w:rPr>
      </w:pPr>
    </w:p>
    <w:p w14:paraId="19C44C1D" w14:textId="77777777" w:rsidR="00FB3C6A" w:rsidRDefault="00FB3C6A" w:rsidP="00E2570E">
      <w:pPr>
        <w:jc w:val="both"/>
        <w:rPr>
          <w:rFonts w:ascii="Open Sans" w:hAnsi="Open Sans" w:cs="Arial"/>
          <w:sz w:val="20"/>
          <w:szCs w:val="20"/>
        </w:rPr>
      </w:pPr>
    </w:p>
    <w:p w14:paraId="1AA8C2FD" w14:textId="77777777" w:rsidR="00FB3C6A" w:rsidRDefault="00FB3C6A" w:rsidP="00E2570E">
      <w:pPr>
        <w:jc w:val="both"/>
        <w:rPr>
          <w:rFonts w:ascii="Open Sans" w:hAnsi="Open Sans" w:cs="Arial"/>
          <w:sz w:val="20"/>
          <w:szCs w:val="20"/>
        </w:rPr>
      </w:pPr>
    </w:p>
    <w:p w14:paraId="448C96DE" w14:textId="3CE48C6B" w:rsidR="00FB3C6A" w:rsidRPr="00265C4A" w:rsidRDefault="00FB3C6A" w:rsidP="00FB3C6A">
      <w:pPr>
        <w:jc w:val="both"/>
        <w:rPr>
          <w:rFonts w:ascii="Open Sans" w:hAnsi="Open Sans" w:cs="Arial"/>
          <w:sz w:val="20"/>
          <w:szCs w:val="20"/>
          <w:lang w:val="es-ES"/>
        </w:rPr>
      </w:pPr>
      <w:r w:rsidRPr="00E2570E">
        <w:rPr>
          <w:rFonts w:ascii="Open Sans" w:hAnsi="Open Sans" w:cs="Arial"/>
          <w:sz w:val="20"/>
          <w:szCs w:val="20"/>
          <w:lang w:val="es-ES"/>
        </w:rPr>
        <w:t xml:space="preserve">Queremos dar las gracias a las personas y departamentos de aquellas empresas que han </w:t>
      </w:r>
      <w:r>
        <w:rPr>
          <w:rFonts w:ascii="Open Sans" w:hAnsi="Open Sans" w:cs="Arial"/>
          <w:sz w:val="20"/>
          <w:szCs w:val="20"/>
          <w:lang w:val="es-ES"/>
        </w:rPr>
        <w:t xml:space="preserve">enviado comentarios a los informes individuales, </w:t>
      </w:r>
      <w:r w:rsidRPr="00E2570E">
        <w:rPr>
          <w:rFonts w:ascii="Open Sans" w:hAnsi="Open Sans" w:cs="Arial"/>
          <w:sz w:val="20"/>
          <w:szCs w:val="20"/>
          <w:lang w:val="es-ES"/>
        </w:rPr>
        <w:t>amplia</w:t>
      </w:r>
      <w:r>
        <w:rPr>
          <w:rFonts w:ascii="Open Sans" w:hAnsi="Open Sans" w:cs="Arial"/>
          <w:sz w:val="20"/>
          <w:szCs w:val="20"/>
          <w:lang w:val="es-ES"/>
        </w:rPr>
        <w:t>n</w:t>
      </w:r>
      <w:r w:rsidRPr="00E2570E">
        <w:rPr>
          <w:rFonts w:ascii="Open Sans" w:hAnsi="Open Sans" w:cs="Arial"/>
          <w:sz w:val="20"/>
          <w:szCs w:val="20"/>
          <w:lang w:val="es-ES"/>
        </w:rPr>
        <w:t>do y facilita</w:t>
      </w:r>
      <w:r>
        <w:rPr>
          <w:rFonts w:ascii="Open Sans" w:hAnsi="Open Sans" w:cs="Arial"/>
          <w:sz w:val="20"/>
          <w:szCs w:val="20"/>
          <w:lang w:val="es-ES"/>
        </w:rPr>
        <w:t>n</w:t>
      </w:r>
      <w:r w:rsidRPr="00E2570E">
        <w:rPr>
          <w:rFonts w:ascii="Open Sans" w:hAnsi="Open Sans" w:cs="Arial"/>
          <w:sz w:val="20"/>
          <w:szCs w:val="20"/>
          <w:lang w:val="es-ES"/>
        </w:rPr>
        <w:t xml:space="preserve">do el acceso a la información necesaria para la realización del estudio: </w:t>
      </w:r>
      <w:r>
        <w:rPr>
          <w:rFonts w:ascii="Open Sans" w:hAnsi="Open Sans" w:cs="Arial"/>
          <w:sz w:val="20"/>
          <w:szCs w:val="20"/>
          <w:lang w:val="es-ES"/>
        </w:rPr>
        <w:t xml:space="preserve">Abertis, Acciona, Aena, Bankia, DIA, </w:t>
      </w:r>
      <w:r w:rsidRPr="00CC399E">
        <w:rPr>
          <w:rFonts w:ascii="Open Sans" w:hAnsi="Open Sans" w:cs="Arial"/>
          <w:sz w:val="20"/>
          <w:szCs w:val="20"/>
          <w:lang w:val="es-ES"/>
        </w:rPr>
        <w:t xml:space="preserve">Enagas, </w:t>
      </w:r>
      <w:r w:rsidR="00987AC0">
        <w:rPr>
          <w:rFonts w:ascii="Open Sans" w:hAnsi="Open Sans" w:cs="Arial"/>
          <w:sz w:val="20"/>
          <w:szCs w:val="20"/>
          <w:lang w:val="es-ES"/>
        </w:rPr>
        <w:t xml:space="preserve">Endesa, </w:t>
      </w:r>
      <w:r>
        <w:rPr>
          <w:rFonts w:ascii="Open Sans" w:hAnsi="Open Sans" w:cs="Arial"/>
          <w:sz w:val="20"/>
          <w:szCs w:val="20"/>
          <w:lang w:val="es-ES"/>
        </w:rPr>
        <w:t>Gamesa, Gas Natural Fenosa,</w:t>
      </w:r>
      <w:r w:rsidR="00903D51">
        <w:rPr>
          <w:rFonts w:ascii="Open Sans" w:hAnsi="Open Sans" w:cs="Arial"/>
          <w:sz w:val="20"/>
          <w:szCs w:val="20"/>
          <w:lang w:val="es-ES"/>
        </w:rPr>
        <w:t xml:space="preserve"> IAG,</w:t>
      </w:r>
      <w:r>
        <w:rPr>
          <w:rFonts w:ascii="Open Sans" w:hAnsi="Open Sans" w:cs="Arial"/>
          <w:sz w:val="20"/>
          <w:szCs w:val="20"/>
          <w:lang w:val="es-ES"/>
        </w:rPr>
        <w:t xml:space="preserve"> Iberdrola, Indra, M</w:t>
      </w:r>
      <w:r w:rsidR="00987AC0">
        <w:rPr>
          <w:rFonts w:ascii="Open Sans" w:hAnsi="Open Sans" w:cs="Arial"/>
          <w:sz w:val="20"/>
          <w:szCs w:val="20"/>
          <w:lang w:val="es-ES"/>
        </w:rPr>
        <w:t>ediaset, Red Eléctrica, Repsol, Sacyr y</w:t>
      </w:r>
      <w:r>
        <w:rPr>
          <w:rFonts w:ascii="Open Sans" w:hAnsi="Open Sans" w:cs="Arial"/>
          <w:sz w:val="20"/>
          <w:szCs w:val="20"/>
          <w:lang w:val="es-ES"/>
        </w:rPr>
        <w:t xml:space="preserve"> Técnicas Reunidas.</w:t>
      </w:r>
    </w:p>
    <w:p w14:paraId="574D1E34" w14:textId="77777777" w:rsidR="00FB3C6A" w:rsidRDefault="00FB3C6A" w:rsidP="00E2570E">
      <w:pPr>
        <w:jc w:val="both"/>
        <w:rPr>
          <w:rFonts w:ascii="Open Sans" w:hAnsi="Open Sans" w:cs="Arial"/>
          <w:sz w:val="20"/>
          <w:szCs w:val="20"/>
        </w:rPr>
      </w:pPr>
    </w:p>
    <w:p w14:paraId="4F0A3F38" w14:textId="4891EB79" w:rsidR="00506805" w:rsidRPr="00755120" w:rsidRDefault="00CE75EA" w:rsidP="00755120">
      <w:pPr>
        <w:rPr>
          <w:rFonts w:ascii="Open Sans" w:hAnsi="Open Sans" w:cs="Arial"/>
          <w:i/>
          <w:sz w:val="20"/>
          <w:szCs w:val="20"/>
        </w:rPr>
      </w:pPr>
      <w:r>
        <w:rPr>
          <w:rFonts w:ascii="Open Sans" w:hAnsi="Open Sans" w:cs="Arial"/>
          <w:i/>
          <w:sz w:val="20"/>
          <w:szCs w:val="20"/>
        </w:rPr>
        <w:br w:type="page"/>
      </w:r>
    </w:p>
    <w:sdt>
      <w:sdtPr>
        <w:rPr>
          <w:rFonts w:ascii="Open Sans" w:eastAsiaTheme="minorEastAsia" w:hAnsi="Open Sans" w:cstheme="minorBidi"/>
          <w:b w:val="0"/>
          <w:bCs w:val="0"/>
          <w:i w:val="0"/>
          <w:color w:val="auto"/>
          <w:sz w:val="24"/>
          <w:szCs w:val="24"/>
          <w:lang w:val="es-ES_tradnl" w:eastAsia="es-ES"/>
        </w:rPr>
        <w:id w:val="-1319028130"/>
        <w:docPartObj>
          <w:docPartGallery w:val="Table of Contents"/>
          <w:docPartUnique/>
        </w:docPartObj>
      </w:sdtPr>
      <w:sdtEndPr>
        <w:rPr>
          <w:rFonts w:ascii="Arial" w:hAnsi="Arial" w:cs="Arial"/>
          <w:noProof/>
          <w:sz w:val="20"/>
          <w:szCs w:val="20"/>
        </w:rPr>
      </w:sdtEndPr>
      <w:sdtContent>
        <w:p w14:paraId="622C33A8" w14:textId="0917B398" w:rsidR="00FE7641" w:rsidRPr="00D67FAF" w:rsidRDefault="003C6967" w:rsidP="003C6967">
          <w:pPr>
            <w:pStyle w:val="TtulodeTDC"/>
            <w:jc w:val="center"/>
            <w:rPr>
              <w:rFonts w:ascii="Open Sans" w:hAnsi="Open Sans"/>
              <w:i w:val="0"/>
              <w:color w:val="auto"/>
            </w:rPr>
          </w:pPr>
          <w:r w:rsidRPr="00D67FAF">
            <w:rPr>
              <w:rFonts w:ascii="Open Sans" w:hAnsi="Open Sans"/>
              <w:i w:val="0"/>
              <w:color w:val="auto"/>
            </w:rPr>
            <w:t>Índice</w:t>
          </w:r>
          <w:r w:rsidR="00FE7641" w:rsidRPr="00D67FAF">
            <w:rPr>
              <w:rFonts w:ascii="Open Sans" w:hAnsi="Open Sans"/>
              <w:i w:val="0"/>
              <w:color w:val="auto"/>
            </w:rPr>
            <w:t xml:space="preserve"> de contenido</w:t>
          </w:r>
          <w:r w:rsidRPr="00D67FAF">
            <w:rPr>
              <w:rFonts w:ascii="Open Sans" w:hAnsi="Open Sans"/>
              <w:i w:val="0"/>
              <w:color w:val="auto"/>
            </w:rPr>
            <w:t>s</w:t>
          </w:r>
        </w:p>
        <w:p w14:paraId="1BF4601B" w14:textId="77777777" w:rsidR="003C6967" w:rsidRPr="00D67FAF" w:rsidRDefault="003C6967" w:rsidP="003C6967">
          <w:pPr>
            <w:rPr>
              <w:rFonts w:ascii="Open Sans" w:hAnsi="Open Sans"/>
              <w:sz w:val="20"/>
              <w:szCs w:val="20"/>
            </w:rPr>
          </w:pPr>
        </w:p>
        <w:p w14:paraId="69FF1D95" w14:textId="77777777" w:rsidR="00383AB8" w:rsidRDefault="00FE7641">
          <w:pPr>
            <w:pStyle w:val="TDC1"/>
            <w:rPr>
              <w:rFonts w:asciiTheme="minorHAnsi" w:hAnsiTheme="minorHAnsi"/>
              <w:b w:val="0"/>
              <w:noProof/>
              <w:color w:val="auto"/>
              <w:lang w:eastAsia="ja-JP"/>
            </w:rPr>
          </w:pPr>
          <w:r w:rsidRPr="00D67FAF">
            <w:rPr>
              <w:rFonts w:ascii="Open Sans" w:hAnsi="Open Sans" w:cs="Arial"/>
              <w:b w:val="0"/>
              <w:color w:val="auto"/>
              <w:sz w:val="20"/>
              <w:szCs w:val="20"/>
            </w:rPr>
            <w:fldChar w:fldCharType="begin"/>
          </w:r>
          <w:r w:rsidRPr="00D67FAF">
            <w:rPr>
              <w:rFonts w:ascii="Open Sans" w:hAnsi="Open Sans" w:cs="Arial"/>
              <w:b w:val="0"/>
              <w:color w:val="auto"/>
              <w:sz w:val="20"/>
              <w:szCs w:val="20"/>
            </w:rPr>
            <w:instrText>TOC \o "1-3" \h \z \u</w:instrText>
          </w:r>
          <w:r w:rsidRPr="00D67FAF">
            <w:rPr>
              <w:rFonts w:ascii="Open Sans" w:hAnsi="Open Sans" w:cs="Arial"/>
              <w:b w:val="0"/>
              <w:color w:val="auto"/>
              <w:sz w:val="20"/>
              <w:szCs w:val="20"/>
            </w:rPr>
            <w:fldChar w:fldCharType="separate"/>
          </w:r>
          <w:r w:rsidR="00383AB8">
            <w:rPr>
              <w:noProof/>
            </w:rPr>
            <w:t>Índice de empresas</w:t>
          </w:r>
          <w:r w:rsidR="00383AB8">
            <w:rPr>
              <w:noProof/>
            </w:rPr>
            <w:tab/>
          </w:r>
          <w:r w:rsidR="00383AB8">
            <w:rPr>
              <w:noProof/>
            </w:rPr>
            <w:fldChar w:fldCharType="begin"/>
          </w:r>
          <w:r w:rsidR="00383AB8">
            <w:rPr>
              <w:noProof/>
            </w:rPr>
            <w:instrText xml:space="preserve"> PAGEREF _Toc354061502 \h </w:instrText>
          </w:r>
          <w:r w:rsidR="00383AB8">
            <w:rPr>
              <w:noProof/>
            </w:rPr>
          </w:r>
          <w:r w:rsidR="00383AB8">
            <w:rPr>
              <w:noProof/>
            </w:rPr>
            <w:fldChar w:fldCharType="separate"/>
          </w:r>
          <w:r w:rsidR="00383AB8">
            <w:rPr>
              <w:noProof/>
            </w:rPr>
            <w:t>5</w:t>
          </w:r>
          <w:r w:rsidR="00383AB8">
            <w:rPr>
              <w:noProof/>
            </w:rPr>
            <w:fldChar w:fldCharType="end"/>
          </w:r>
        </w:p>
        <w:p w14:paraId="7B1ED696" w14:textId="77777777" w:rsidR="00383AB8" w:rsidRDefault="00383AB8">
          <w:pPr>
            <w:pStyle w:val="TDC1"/>
            <w:rPr>
              <w:rFonts w:asciiTheme="minorHAnsi" w:hAnsiTheme="minorHAnsi"/>
              <w:b w:val="0"/>
              <w:noProof/>
              <w:color w:val="auto"/>
              <w:lang w:eastAsia="ja-JP"/>
            </w:rPr>
          </w:pPr>
          <w:r>
            <w:rPr>
              <w:noProof/>
            </w:rPr>
            <w:t>Índice de indicadores</w:t>
          </w:r>
          <w:r>
            <w:rPr>
              <w:noProof/>
            </w:rPr>
            <w:tab/>
          </w:r>
          <w:r>
            <w:rPr>
              <w:noProof/>
            </w:rPr>
            <w:fldChar w:fldCharType="begin"/>
          </w:r>
          <w:r>
            <w:rPr>
              <w:noProof/>
            </w:rPr>
            <w:instrText xml:space="preserve"> PAGEREF _Toc354061503 \h </w:instrText>
          </w:r>
          <w:r>
            <w:rPr>
              <w:noProof/>
            </w:rPr>
          </w:r>
          <w:r>
            <w:rPr>
              <w:noProof/>
            </w:rPr>
            <w:fldChar w:fldCharType="separate"/>
          </w:r>
          <w:r>
            <w:rPr>
              <w:noProof/>
            </w:rPr>
            <w:t>6</w:t>
          </w:r>
          <w:r>
            <w:rPr>
              <w:noProof/>
            </w:rPr>
            <w:fldChar w:fldCharType="end"/>
          </w:r>
        </w:p>
        <w:p w14:paraId="691B2330" w14:textId="77777777" w:rsidR="00383AB8" w:rsidRDefault="00383AB8">
          <w:pPr>
            <w:pStyle w:val="TDC1"/>
            <w:rPr>
              <w:rFonts w:asciiTheme="minorHAnsi" w:hAnsiTheme="minorHAnsi"/>
              <w:b w:val="0"/>
              <w:noProof/>
              <w:color w:val="auto"/>
              <w:lang w:eastAsia="ja-JP"/>
            </w:rPr>
          </w:pPr>
          <w:r>
            <w:rPr>
              <w:noProof/>
            </w:rPr>
            <w:t>1. INTRODUCCIÓN</w:t>
          </w:r>
          <w:r>
            <w:rPr>
              <w:noProof/>
            </w:rPr>
            <w:tab/>
          </w:r>
          <w:r>
            <w:rPr>
              <w:noProof/>
            </w:rPr>
            <w:fldChar w:fldCharType="begin"/>
          </w:r>
          <w:r>
            <w:rPr>
              <w:noProof/>
            </w:rPr>
            <w:instrText xml:space="preserve"> PAGEREF _Toc354061504 \h </w:instrText>
          </w:r>
          <w:r>
            <w:rPr>
              <w:noProof/>
            </w:rPr>
          </w:r>
          <w:r>
            <w:rPr>
              <w:noProof/>
            </w:rPr>
            <w:fldChar w:fldCharType="separate"/>
          </w:r>
          <w:r>
            <w:rPr>
              <w:noProof/>
            </w:rPr>
            <w:t>9</w:t>
          </w:r>
          <w:r>
            <w:rPr>
              <w:noProof/>
            </w:rPr>
            <w:fldChar w:fldCharType="end"/>
          </w:r>
        </w:p>
        <w:p w14:paraId="5121DB74" w14:textId="77777777" w:rsidR="00383AB8" w:rsidRDefault="00383AB8">
          <w:pPr>
            <w:pStyle w:val="TDC1"/>
            <w:rPr>
              <w:rFonts w:asciiTheme="minorHAnsi" w:hAnsiTheme="minorHAnsi"/>
              <w:b w:val="0"/>
              <w:noProof/>
              <w:color w:val="auto"/>
              <w:lang w:eastAsia="ja-JP"/>
            </w:rPr>
          </w:pPr>
          <w:r>
            <w:rPr>
              <w:noProof/>
            </w:rPr>
            <w:t>2. OBJETIVOS DEL ESTUDIO Y METODOLOGÍA DEL ANÁLISIS</w:t>
          </w:r>
          <w:r>
            <w:rPr>
              <w:noProof/>
            </w:rPr>
            <w:tab/>
          </w:r>
          <w:r>
            <w:rPr>
              <w:noProof/>
            </w:rPr>
            <w:fldChar w:fldCharType="begin"/>
          </w:r>
          <w:r>
            <w:rPr>
              <w:noProof/>
            </w:rPr>
            <w:instrText xml:space="preserve"> PAGEREF _Toc354061505 \h </w:instrText>
          </w:r>
          <w:r>
            <w:rPr>
              <w:noProof/>
            </w:rPr>
          </w:r>
          <w:r>
            <w:rPr>
              <w:noProof/>
            </w:rPr>
            <w:fldChar w:fldCharType="separate"/>
          </w:r>
          <w:r>
            <w:rPr>
              <w:noProof/>
            </w:rPr>
            <w:t>26</w:t>
          </w:r>
          <w:r>
            <w:rPr>
              <w:noProof/>
            </w:rPr>
            <w:fldChar w:fldCharType="end"/>
          </w:r>
        </w:p>
        <w:p w14:paraId="1AECC404" w14:textId="77777777" w:rsidR="00383AB8" w:rsidRDefault="00383AB8">
          <w:pPr>
            <w:pStyle w:val="TDC1"/>
            <w:rPr>
              <w:rFonts w:asciiTheme="minorHAnsi" w:hAnsiTheme="minorHAnsi"/>
              <w:b w:val="0"/>
              <w:noProof/>
              <w:color w:val="auto"/>
              <w:lang w:eastAsia="ja-JP"/>
            </w:rPr>
          </w:pPr>
          <w:r>
            <w:rPr>
              <w:noProof/>
            </w:rPr>
            <w:t>2.1. Objetivos</w:t>
          </w:r>
          <w:r>
            <w:rPr>
              <w:noProof/>
            </w:rPr>
            <w:tab/>
          </w:r>
          <w:r>
            <w:rPr>
              <w:noProof/>
            </w:rPr>
            <w:fldChar w:fldCharType="begin"/>
          </w:r>
          <w:r>
            <w:rPr>
              <w:noProof/>
            </w:rPr>
            <w:instrText xml:space="preserve"> PAGEREF _Toc354061506 \h </w:instrText>
          </w:r>
          <w:r>
            <w:rPr>
              <w:noProof/>
            </w:rPr>
          </w:r>
          <w:r>
            <w:rPr>
              <w:noProof/>
            </w:rPr>
            <w:fldChar w:fldCharType="separate"/>
          </w:r>
          <w:r>
            <w:rPr>
              <w:noProof/>
            </w:rPr>
            <w:t>26</w:t>
          </w:r>
          <w:r>
            <w:rPr>
              <w:noProof/>
            </w:rPr>
            <w:fldChar w:fldCharType="end"/>
          </w:r>
        </w:p>
        <w:p w14:paraId="08287CE3" w14:textId="77777777" w:rsidR="00383AB8" w:rsidRDefault="00383AB8">
          <w:pPr>
            <w:pStyle w:val="TDC1"/>
            <w:rPr>
              <w:rFonts w:asciiTheme="minorHAnsi" w:hAnsiTheme="minorHAnsi"/>
              <w:b w:val="0"/>
              <w:noProof/>
              <w:color w:val="auto"/>
              <w:lang w:eastAsia="ja-JP"/>
            </w:rPr>
          </w:pPr>
          <w:r>
            <w:rPr>
              <w:noProof/>
            </w:rPr>
            <w:t>2.2. Metodología</w:t>
          </w:r>
          <w:r>
            <w:rPr>
              <w:noProof/>
            </w:rPr>
            <w:tab/>
          </w:r>
          <w:r>
            <w:rPr>
              <w:noProof/>
            </w:rPr>
            <w:fldChar w:fldCharType="begin"/>
          </w:r>
          <w:r>
            <w:rPr>
              <w:noProof/>
            </w:rPr>
            <w:instrText xml:space="preserve"> PAGEREF _Toc354061507 \h </w:instrText>
          </w:r>
          <w:r>
            <w:rPr>
              <w:noProof/>
            </w:rPr>
          </w:r>
          <w:r>
            <w:rPr>
              <w:noProof/>
            </w:rPr>
            <w:fldChar w:fldCharType="separate"/>
          </w:r>
          <w:r>
            <w:rPr>
              <w:noProof/>
            </w:rPr>
            <w:t>27</w:t>
          </w:r>
          <w:r>
            <w:rPr>
              <w:noProof/>
            </w:rPr>
            <w:fldChar w:fldCharType="end"/>
          </w:r>
        </w:p>
        <w:p w14:paraId="144BC31F" w14:textId="77777777" w:rsidR="00383AB8" w:rsidRDefault="00383AB8">
          <w:pPr>
            <w:pStyle w:val="TDC1"/>
            <w:rPr>
              <w:rFonts w:asciiTheme="minorHAnsi" w:hAnsiTheme="minorHAnsi"/>
              <w:b w:val="0"/>
              <w:noProof/>
              <w:color w:val="auto"/>
              <w:lang w:eastAsia="ja-JP"/>
            </w:rPr>
          </w:pPr>
          <w:r>
            <w:rPr>
              <w:noProof/>
            </w:rPr>
            <w:t>2.2.1. Alcance del estudio</w:t>
          </w:r>
          <w:r>
            <w:rPr>
              <w:noProof/>
            </w:rPr>
            <w:tab/>
          </w:r>
          <w:r>
            <w:rPr>
              <w:noProof/>
            </w:rPr>
            <w:fldChar w:fldCharType="begin"/>
          </w:r>
          <w:r>
            <w:rPr>
              <w:noProof/>
            </w:rPr>
            <w:instrText xml:space="preserve"> PAGEREF _Toc354061508 \h </w:instrText>
          </w:r>
          <w:r>
            <w:rPr>
              <w:noProof/>
            </w:rPr>
          </w:r>
          <w:r>
            <w:rPr>
              <w:noProof/>
            </w:rPr>
            <w:fldChar w:fldCharType="separate"/>
          </w:r>
          <w:r>
            <w:rPr>
              <w:noProof/>
            </w:rPr>
            <w:t>27</w:t>
          </w:r>
          <w:r>
            <w:rPr>
              <w:noProof/>
            </w:rPr>
            <w:fldChar w:fldCharType="end"/>
          </w:r>
        </w:p>
        <w:p w14:paraId="398927A5" w14:textId="77777777" w:rsidR="00383AB8" w:rsidRDefault="00383AB8">
          <w:pPr>
            <w:pStyle w:val="TDC1"/>
            <w:rPr>
              <w:rFonts w:asciiTheme="minorHAnsi" w:hAnsiTheme="minorHAnsi"/>
              <w:b w:val="0"/>
              <w:noProof/>
              <w:color w:val="auto"/>
              <w:lang w:eastAsia="ja-JP"/>
            </w:rPr>
          </w:pPr>
          <w:r>
            <w:rPr>
              <w:noProof/>
            </w:rPr>
            <w:t>2.2.2. Fases del estudio</w:t>
          </w:r>
          <w:r>
            <w:rPr>
              <w:noProof/>
            </w:rPr>
            <w:tab/>
          </w:r>
          <w:r>
            <w:rPr>
              <w:noProof/>
            </w:rPr>
            <w:fldChar w:fldCharType="begin"/>
          </w:r>
          <w:r>
            <w:rPr>
              <w:noProof/>
            </w:rPr>
            <w:instrText xml:space="preserve"> PAGEREF _Toc354061509 \h </w:instrText>
          </w:r>
          <w:r>
            <w:rPr>
              <w:noProof/>
            </w:rPr>
          </w:r>
          <w:r>
            <w:rPr>
              <w:noProof/>
            </w:rPr>
            <w:fldChar w:fldCharType="separate"/>
          </w:r>
          <w:r>
            <w:rPr>
              <w:noProof/>
            </w:rPr>
            <w:t>27</w:t>
          </w:r>
          <w:r>
            <w:rPr>
              <w:noProof/>
            </w:rPr>
            <w:fldChar w:fldCharType="end"/>
          </w:r>
        </w:p>
        <w:p w14:paraId="5DC2C54C" w14:textId="77777777" w:rsidR="00383AB8" w:rsidRDefault="00383AB8">
          <w:pPr>
            <w:pStyle w:val="TDC1"/>
            <w:rPr>
              <w:rFonts w:asciiTheme="minorHAnsi" w:hAnsiTheme="minorHAnsi"/>
              <w:b w:val="0"/>
              <w:noProof/>
              <w:color w:val="auto"/>
              <w:lang w:eastAsia="ja-JP"/>
            </w:rPr>
          </w:pPr>
          <w:r>
            <w:rPr>
              <w:noProof/>
            </w:rPr>
            <w:t>2.2.3. Metodología paraísos fiscales</w:t>
          </w:r>
          <w:r>
            <w:rPr>
              <w:noProof/>
            </w:rPr>
            <w:tab/>
          </w:r>
          <w:r>
            <w:rPr>
              <w:noProof/>
            </w:rPr>
            <w:fldChar w:fldCharType="begin"/>
          </w:r>
          <w:r>
            <w:rPr>
              <w:noProof/>
            </w:rPr>
            <w:instrText xml:space="preserve"> PAGEREF _Toc354061510 \h </w:instrText>
          </w:r>
          <w:r>
            <w:rPr>
              <w:noProof/>
            </w:rPr>
          </w:r>
          <w:r>
            <w:rPr>
              <w:noProof/>
            </w:rPr>
            <w:fldChar w:fldCharType="separate"/>
          </w:r>
          <w:r>
            <w:rPr>
              <w:noProof/>
            </w:rPr>
            <w:t>39</w:t>
          </w:r>
          <w:r>
            <w:rPr>
              <w:noProof/>
            </w:rPr>
            <w:fldChar w:fldCharType="end"/>
          </w:r>
        </w:p>
        <w:p w14:paraId="1417E514" w14:textId="77777777" w:rsidR="00383AB8" w:rsidRDefault="00383AB8">
          <w:pPr>
            <w:pStyle w:val="TDC1"/>
            <w:rPr>
              <w:rFonts w:asciiTheme="minorHAnsi" w:hAnsiTheme="minorHAnsi"/>
              <w:b w:val="0"/>
              <w:noProof/>
              <w:color w:val="auto"/>
              <w:lang w:eastAsia="ja-JP"/>
            </w:rPr>
          </w:pPr>
          <w:r>
            <w:rPr>
              <w:noProof/>
            </w:rPr>
            <w:t>3. RESULTADOS DEL ESTUDIO</w:t>
          </w:r>
          <w:r>
            <w:rPr>
              <w:noProof/>
            </w:rPr>
            <w:tab/>
          </w:r>
          <w:r>
            <w:rPr>
              <w:noProof/>
            </w:rPr>
            <w:fldChar w:fldCharType="begin"/>
          </w:r>
          <w:r>
            <w:rPr>
              <w:noProof/>
            </w:rPr>
            <w:instrText xml:space="preserve"> PAGEREF _Toc354061511 \h </w:instrText>
          </w:r>
          <w:r>
            <w:rPr>
              <w:noProof/>
            </w:rPr>
          </w:r>
          <w:r>
            <w:rPr>
              <w:noProof/>
            </w:rPr>
            <w:fldChar w:fldCharType="separate"/>
          </w:r>
          <w:r>
            <w:rPr>
              <w:noProof/>
            </w:rPr>
            <w:t>47</w:t>
          </w:r>
          <w:r>
            <w:rPr>
              <w:noProof/>
            </w:rPr>
            <w:fldChar w:fldCharType="end"/>
          </w:r>
        </w:p>
        <w:p w14:paraId="73BBFC64" w14:textId="77777777" w:rsidR="00383AB8" w:rsidRDefault="00383AB8">
          <w:pPr>
            <w:pStyle w:val="TDC1"/>
            <w:rPr>
              <w:rFonts w:asciiTheme="minorHAnsi" w:hAnsiTheme="minorHAnsi"/>
              <w:b w:val="0"/>
              <w:noProof/>
              <w:color w:val="auto"/>
              <w:lang w:eastAsia="ja-JP"/>
            </w:rPr>
          </w:pPr>
          <w:r>
            <w:rPr>
              <w:noProof/>
            </w:rPr>
            <w:t>3.1. Resultados generales</w:t>
          </w:r>
          <w:r>
            <w:rPr>
              <w:noProof/>
            </w:rPr>
            <w:tab/>
          </w:r>
          <w:r>
            <w:rPr>
              <w:noProof/>
            </w:rPr>
            <w:fldChar w:fldCharType="begin"/>
          </w:r>
          <w:r>
            <w:rPr>
              <w:noProof/>
            </w:rPr>
            <w:instrText xml:space="preserve"> PAGEREF _Toc354061512 \h </w:instrText>
          </w:r>
          <w:r>
            <w:rPr>
              <w:noProof/>
            </w:rPr>
          </w:r>
          <w:r>
            <w:rPr>
              <w:noProof/>
            </w:rPr>
            <w:fldChar w:fldCharType="separate"/>
          </w:r>
          <w:r>
            <w:rPr>
              <w:noProof/>
            </w:rPr>
            <w:t>47</w:t>
          </w:r>
          <w:r>
            <w:rPr>
              <w:noProof/>
            </w:rPr>
            <w:fldChar w:fldCharType="end"/>
          </w:r>
        </w:p>
        <w:p w14:paraId="0DCE7727" w14:textId="77777777" w:rsidR="00383AB8" w:rsidRDefault="00383AB8">
          <w:pPr>
            <w:pStyle w:val="TDC1"/>
            <w:rPr>
              <w:rFonts w:asciiTheme="minorHAnsi" w:hAnsiTheme="minorHAnsi"/>
              <w:b w:val="0"/>
              <w:noProof/>
              <w:color w:val="auto"/>
              <w:lang w:eastAsia="ja-JP"/>
            </w:rPr>
          </w:pPr>
          <w:r>
            <w:rPr>
              <w:noProof/>
            </w:rPr>
            <w:t>3.2. Resultados por valoración cuantitativa</w:t>
          </w:r>
          <w:r>
            <w:rPr>
              <w:noProof/>
            </w:rPr>
            <w:tab/>
          </w:r>
          <w:r>
            <w:rPr>
              <w:noProof/>
            </w:rPr>
            <w:fldChar w:fldCharType="begin"/>
          </w:r>
          <w:r>
            <w:rPr>
              <w:noProof/>
            </w:rPr>
            <w:instrText xml:space="preserve"> PAGEREF _Toc354061513 \h </w:instrText>
          </w:r>
          <w:r>
            <w:rPr>
              <w:noProof/>
            </w:rPr>
          </w:r>
          <w:r>
            <w:rPr>
              <w:noProof/>
            </w:rPr>
            <w:fldChar w:fldCharType="separate"/>
          </w:r>
          <w:r>
            <w:rPr>
              <w:noProof/>
            </w:rPr>
            <w:t>49</w:t>
          </w:r>
          <w:r>
            <w:rPr>
              <w:noProof/>
            </w:rPr>
            <w:fldChar w:fldCharType="end"/>
          </w:r>
        </w:p>
        <w:p w14:paraId="44BDB928" w14:textId="77777777" w:rsidR="00383AB8" w:rsidRDefault="00383AB8">
          <w:pPr>
            <w:pStyle w:val="TDC1"/>
            <w:rPr>
              <w:rFonts w:asciiTheme="minorHAnsi" w:hAnsiTheme="minorHAnsi"/>
              <w:b w:val="0"/>
              <w:noProof/>
              <w:color w:val="auto"/>
              <w:lang w:eastAsia="ja-JP"/>
            </w:rPr>
          </w:pPr>
          <w:r>
            <w:rPr>
              <w:noProof/>
            </w:rPr>
            <w:t>3.3. Resultados por valoración cuantitativa</w:t>
          </w:r>
          <w:r>
            <w:rPr>
              <w:noProof/>
            </w:rPr>
            <w:tab/>
          </w:r>
          <w:r>
            <w:rPr>
              <w:noProof/>
            </w:rPr>
            <w:fldChar w:fldCharType="begin"/>
          </w:r>
          <w:r>
            <w:rPr>
              <w:noProof/>
            </w:rPr>
            <w:instrText xml:space="preserve"> PAGEREF _Toc354061514 \h </w:instrText>
          </w:r>
          <w:r>
            <w:rPr>
              <w:noProof/>
            </w:rPr>
          </w:r>
          <w:r>
            <w:rPr>
              <w:noProof/>
            </w:rPr>
            <w:fldChar w:fldCharType="separate"/>
          </w:r>
          <w:r>
            <w:rPr>
              <w:noProof/>
            </w:rPr>
            <w:t>52</w:t>
          </w:r>
          <w:r>
            <w:rPr>
              <w:noProof/>
            </w:rPr>
            <w:fldChar w:fldCharType="end"/>
          </w:r>
        </w:p>
        <w:p w14:paraId="3D7510E4" w14:textId="77777777" w:rsidR="00383AB8" w:rsidRDefault="00383AB8">
          <w:pPr>
            <w:pStyle w:val="TDC1"/>
            <w:rPr>
              <w:rFonts w:asciiTheme="minorHAnsi" w:hAnsiTheme="minorHAnsi"/>
              <w:b w:val="0"/>
              <w:noProof/>
              <w:color w:val="auto"/>
              <w:lang w:eastAsia="ja-JP"/>
            </w:rPr>
          </w:pPr>
          <w:r>
            <w:rPr>
              <w:noProof/>
            </w:rPr>
            <w:t>4. CONCLUSIONES DEL ESTUDIO</w:t>
          </w:r>
          <w:r>
            <w:rPr>
              <w:noProof/>
            </w:rPr>
            <w:tab/>
          </w:r>
          <w:r>
            <w:rPr>
              <w:noProof/>
            </w:rPr>
            <w:fldChar w:fldCharType="begin"/>
          </w:r>
          <w:r>
            <w:rPr>
              <w:noProof/>
            </w:rPr>
            <w:instrText xml:space="preserve"> PAGEREF _Toc354061515 \h </w:instrText>
          </w:r>
          <w:r>
            <w:rPr>
              <w:noProof/>
            </w:rPr>
          </w:r>
          <w:r>
            <w:rPr>
              <w:noProof/>
            </w:rPr>
            <w:fldChar w:fldCharType="separate"/>
          </w:r>
          <w:r>
            <w:rPr>
              <w:noProof/>
            </w:rPr>
            <w:t>55</w:t>
          </w:r>
          <w:r>
            <w:rPr>
              <w:noProof/>
            </w:rPr>
            <w:fldChar w:fldCharType="end"/>
          </w:r>
        </w:p>
        <w:p w14:paraId="4F15E11B" w14:textId="77777777" w:rsidR="00383AB8" w:rsidRDefault="00383AB8">
          <w:pPr>
            <w:pStyle w:val="TDC1"/>
            <w:rPr>
              <w:rFonts w:asciiTheme="minorHAnsi" w:hAnsiTheme="minorHAnsi"/>
              <w:b w:val="0"/>
              <w:noProof/>
              <w:color w:val="auto"/>
              <w:lang w:eastAsia="ja-JP"/>
            </w:rPr>
          </w:pPr>
          <w:r>
            <w:rPr>
              <w:noProof/>
            </w:rPr>
            <w:t>4.1. Política y estrategia fiscal</w:t>
          </w:r>
          <w:r>
            <w:rPr>
              <w:noProof/>
            </w:rPr>
            <w:tab/>
          </w:r>
          <w:r>
            <w:rPr>
              <w:noProof/>
            </w:rPr>
            <w:fldChar w:fldCharType="begin"/>
          </w:r>
          <w:r>
            <w:rPr>
              <w:noProof/>
            </w:rPr>
            <w:instrText xml:space="preserve"> PAGEREF _Toc354061516 \h </w:instrText>
          </w:r>
          <w:r>
            <w:rPr>
              <w:noProof/>
            </w:rPr>
          </w:r>
          <w:r>
            <w:rPr>
              <w:noProof/>
            </w:rPr>
            <w:fldChar w:fldCharType="separate"/>
          </w:r>
          <w:r>
            <w:rPr>
              <w:noProof/>
            </w:rPr>
            <w:t>56</w:t>
          </w:r>
          <w:r>
            <w:rPr>
              <w:noProof/>
            </w:rPr>
            <w:fldChar w:fldCharType="end"/>
          </w:r>
        </w:p>
        <w:p w14:paraId="1569A054" w14:textId="77777777" w:rsidR="00383AB8" w:rsidRDefault="00383AB8">
          <w:pPr>
            <w:pStyle w:val="TDC1"/>
            <w:rPr>
              <w:rFonts w:asciiTheme="minorHAnsi" w:hAnsiTheme="minorHAnsi"/>
              <w:b w:val="0"/>
              <w:noProof/>
              <w:color w:val="auto"/>
              <w:lang w:eastAsia="ja-JP"/>
            </w:rPr>
          </w:pPr>
          <w:r>
            <w:rPr>
              <w:noProof/>
            </w:rPr>
            <w:t>4.2. Impuestos e incentivos</w:t>
          </w:r>
          <w:r>
            <w:rPr>
              <w:noProof/>
            </w:rPr>
            <w:tab/>
          </w:r>
          <w:r>
            <w:rPr>
              <w:noProof/>
            </w:rPr>
            <w:fldChar w:fldCharType="begin"/>
          </w:r>
          <w:r>
            <w:rPr>
              <w:noProof/>
            </w:rPr>
            <w:instrText xml:space="preserve"> PAGEREF _Toc354061517 \h </w:instrText>
          </w:r>
          <w:r>
            <w:rPr>
              <w:noProof/>
            </w:rPr>
          </w:r>
          <w:r>
            <w:rPr>
              <w:noProof/>
            </w:rPr>
            <w:fldChar w:fldCharType="separate"/>
          </w:r>
          <w:r>
            <w:rPr>
              <w:noProof/>
            </w:rPr>
            <w:t>71</w:t>
          </w:r>
          <w:r>
            <w:rPr>
              <w:noProof/>
            </w:rPr>
            <w:fldChar w:fldCharType="end"/>
          </w:r>
        </w:p>
        <w:p w14:paraId="10386FFD" w14:textId="77777777" w:rsidR="00383AB8" w:rsidRDefault="00383AB8">
          <w:pPr>
            <w:pStyle w:val="TDC1"/>
            <w:rPr>
              <w:rFonts w:asciiTheme="minorHAnsi" w:hAnsiTheme="minorHAnsi"/>
              <w:b w:val="0"/>
              <w:noProof/>
              <w:color w:val="auto"/>
              <w:lang w:eastAsia="ja-JP"/>
            </w:rPr>
          </w:pPr>
          <w:r>
            <w:rPr>
              <w:noProof/>
            </w:rPr>
            <w:t>4.3. Paraísos y nichos fiscales</w:t>
          </w:r>
          <w:r>
            <w:rPr>
              <w:noProof/>
            </w:rPr>
            <w:tab/>
          </w:r>
          <w:r>
            <w:rPr>
              <w:noProof/>
            </w:rPr>
            <w:fldChar w:fldCharType="begin"/>
          </w:r>
          <w:r>
            <w:rPr>
              <w:noProof/>
            </w:rPr>
            <w:instrText xml:space="preserve"> PAGEREF _Toc354061518 \h </w:instrText>
          </w:r>
          <w:r>
            <w:rPr>
              <w:noProof/>
            </w:rPr>
          </w:r>
          <w:r>
            <w:rPr>
              <w:noProof/>
            </w:rPr>
            <w:fldChar w:fldCharType="separate"/>
          </w:r>
          <w:r>
            <w:rPr>
              <w:noProof/>
            </w:rPr>
            <w:t>8</w:t>
          </w:r>
          <w:r>
            <w:rPr>
              <w:noProof/>
            </w:rPr>
            <w:t>7</w:t>
          </w:r>
          <w:r>
            <w:rPr>
              <w:noProof/>
            </w:rPr>
            <w:fldChar w:fldCharType="end"/>
          </w:r>
        </w:p>
        <w:p w14:paraId="602CFC99" w14:textId="77777777" w:rsidR="00383AB8" w:rsidRDefault="00383AB8">
          <w:pPr>
            <w:pStyle w:val="TDC1"/>
            <w:rPr>
              <w:rFonts w:asciiTheme="minorHAnsi" w:hAnsiTheme="minorHAnsi"/>
              <w:b w:val="0"/>
              <w:noProof/>
              <w:color w:val="auto"/>
              <w:lang w:eastAsia="ja-JP"/>
            </w:rPr>
          </w:pPr>
          <w:r>
            <w:rPr>
              <w:noProof/>
            </w:rPr>
            <w:t>4.4. Relaciones con administraciones tributarias</w:t>
          </w:r>
          <w:r>
            <w:rPr>
              <w:noProof/>
            </w:rPr>
            <w:tab/>
          </w:r>
          <w:r>
            <w:rPr>
              <w:noProof/>
            </w:rPr>
            <w:fldChar w:fldCharType="begin"/>
          </w:r>
          <w:r>
            <w:rPr>
              <w:noProof/>
            </w:rPr>
            <w:instrText xml:space="preserve"> PAGEREF _Toc354061519 \h </w:instrText>
          </w:r>
          <w:r>
            <w:rPr>
              <w:noProof/>
            </w:rPr>
          </w:r>
          <w:r>
            <w:rPr>
              <w:noProof/>
            </w:rPr>
            <w:fldChar w:fldCharType="separate"/>
          </w:r>
          <w:r>
            <w:rPr>
              <w:noProof/>
            </w:rPr>
            <w:t>121</w:t>
          </w:r>
          <w:r>
            <w:rPr>
              <w:noProof/>
            </w:rPr>
            <w:fldChar w:fldCharType="end"/>
          </w:r>
        </w:p>
        <w:p w14:paraId="38E3628F" w14:textId="77777777" w:rsidR="00383AB8" w:rsidRDefault="00383AB8">
          <w:pPr>
            <w:pStyle w:val="TDC1"/>
            <w:rPr>
              <w:rFonts w:asciiTheme="minorHAnsi" w:hAnsiTheme="minorHAnsi"/>
              <w:b w:val="0"/>
              <w:noProof/>
              <w:color w:val="auto"/>
              <w:lang w:eastAsia="ja-JP"/>
            </w:rPr>
          </w:pPr>
          <w:r>
            <w:rPr>
              <w:noProof/>
            </w:rPr>
            <w:t>4.5. Operativa de la empresa</w:t>
          </w:r>
          <w:r>
            <w:rPr>
              <w:noProof/>
            </w:rPr>
            <w:tab/>
          </w:r>
          <w:r>
            <w:rPr>
              <w:noProof/>
            </w:rPr>
            <w:fldChar w:fldCharType="begin"/>
          </w:r>
          <w:r>
            <w:rPr>
              <w:noProof/>
            </w:rPr>
            <w:instrText xml:space="preserve"> PAGEREF _Toc354061520 \h </w:instrText>
          </w:r>
          <w:r>
            <w:rPr>
              <w:noProof/>
            </w:rPr>
          </w:r>
          <w:r>
            <w:rPr>
              <w:noProof/>
            </w:rPr>
            <w:fldChar w:fldCharType="separate"/>
          </w:r>
          <w:r>
            <w:rPr>
              <w:noProof/>
            </w:rPr>
            <w:t>131</w:t>
          </w:r>
          <w:r>
            <w:rPr>
              <w:noProof/>
            </w:rPr>
            <w:fldChar w:fldCharType="end"/>
          </w:r>
        </w:p>
        <w:p w14:paraId="0648CDC9" w14:textId="77777777" w:rsidR="00383AB8" w:rsidRDefault="00383AB8">
          <w:pPr>
            <w:pStyle w:val="TDC1"/>
            <w:rPr>
              <w:rFonts w:asciiTheme="minorHAnsi" w:hAnsiTheme="minorHAnsi"/>
              <w:b w:val="0"/>
              <w:noProof/>
              <w:color w:val="auto"/>
              <w:lang w:eastAsia="ja-JP"/>
            </w:rPr>
          </w:pPr>
          <w:r>
            <w:rPr>
              <w:noProof/>
            </w:rPr>
            <w:t>4.6. Conclusiones</w:t>
          </w:r>
          <w:r>
            <w:rPr>
              <w:noProof/>
            </w:rPr>
            <w:tab/>
          </w:r>
          <w:r>
            <w:rPr>
              <w:noProof/>
            </w:rPr>
            <w:fldChar w:fldCharType="begin"/>
          </w:r>
          <w:r>
            <w:rPr>
              <w:noProof/>
            </w:rPr>
            <w:instrText xml:space="preserve"> PAGEREF _Toc354061521 \h </w:instrText>
          </w:r>
          <w:r>
            <w:rPr>
              <w:noProof/>
            </w:rPr>
          </w:r>
          <w:r>
            <w:rPr>
              <w:noProof/>
            </w:rPr>
            <w:fldChar w:fldCharType="separate"/>
          </w:r>
          <w:r>
            <w:rPr>
              <w:noProof/>
            </w:rPr>
            <w:t>136</w:t>
          </w:r>
          <w:r>
            <w:rPr>
              <w:noProof/>
            </w:rPr>
            <w:fldChar w:fldCharType="end"/>
          </w:r>
        </w:p>
        <w:p w14:paraId="320B5696" w14:textId="77777777" w:rsidR="00383AB8" w:rsidRDefault="00383AB8">
          <w:pPr>
            <w:pStyle w:val="TDC1"/>
            <w:rPr>
              <w:rFonts w:asciiTheme="minorHAnsi" w:hAnsiTheme="minorHAnsi"/>
              <w:b w:val="0"/>
              <w:noProof/>
              <w:color w:val="auto"/>
              <w:lang w:eastAsia="ja-JP"/>
            </w:rPr>
          </w:pPr>
          <w:r>
            <w:rPr>
              <w:noProof/>
            </w:rPr>
            <w:t>5. INFORMES POR EMPRESA</w:t>
          </w:r>
          <w:r>
            <w:rPr>
              <w:noProof/>
            </w:rPr>
            <w:tab/>
          </w:r>
          <w:r>
            <w:rPr>
              <w:noProof/>
            </w:rPr>
            <w:fldChar w:fldCharType="begin"/>
          </w:r>
          <w:r>
            <w:rPr>
              <w:noProof/>
            </w:rPr>
            <w:instrText xml:space="preserve"> PAGEREF _Toc354061522 \h </w:instrText>
          </w:r>
          <w:r>
            <w:rPr>
              <w:noProof/>
            </w:rPr>
          </w:r>
          <w:r>
            <w:rPr>
              <w:noProof/>
            </w:rPr>
            <w:fldChar w:fldCharType="separate"/>
          </w:r>
          <w:r>
            <w:rPr>
              <w:noProof/>
            </w:rPr>
            <w:t>140</w:t>
          </w:r>
          <w:r>
            <w:rPr>
              <w:noProof/>
            </w:rPr>
            <w:fldChar w:fldCharType="end"/>
          </w:r>
        </w:p>
        <w:p w14:paraId="780585AA" w14:textId="77777777" w:rsidR="00383AB8" w:rsidRDefault="00383AB8">
          <w:pPr>
            <w:pStyle w:val="TDC1"/>
            <w:rPr>
              <w:rFonts w:asciiTheme="minorHAnsi" w:hAnsiTheme="minorHAnsi"/>
              <w:b w:val="0"/>
              <w:noProof/>
              <w:color w:val="auto"/>
              <w:lang w:eastAsia="ja-JP"/>
            </w:rPr>
          </w:pPr>
          <w:r>
            <w:rPr>
              <w:noProof/>
            </w:rPr>
            <w:t>5.1. Empresas del sector Bienes de Consumo</w:t>
          </w:r>
          <w:r>
            <w:rPr>
              <w:noProof/>
            </w:rPr>
            <w:tab/>
          </w:r>
          <w:r>
            <w:rPr>
              <w:noProof/>
            </w:rPr>
            <w:fldChar w:fldCharType="begin"/>
          </w:r>
          <w:r>
            <w:rPr>
              <w:noProof/>
            </w:rPr>
            <w:instrText xml:space="preserve"> PAGEREF _Toc354061523 \h </w:instrText>
          </w:r>
          <w:r>
            <w:rPr>
              <w:noProof/>
            </w:rPr>
          </w:r>
          <w:r>
            <w:rPr>
              <w:noProof/>
            </w:rPr>
            <w:fldChar w:fldCharType="separate"/>
          </w:r>
          <w:r>
            <w:rPr>
              <w:noProof/>
            </w:rPr>
            <w:t>140</w:t>
          </w:r>
          <w:r>
            <w:rPr>
              <w:noProof/>
            </w:rPr>
            <w:fldChar w:fldCharType="end"/>
          </w:r>
        </w:p>
        <w:p w14:paraId="06E5CE69" w14:textId="77777777" w:rsidR="00383AB8" w:rsidRDefault="00383AB8">
          <w:pPr>
            <w:pStyle w:val="TDC1"/>
            <w:rPr>
              <w:rFonts w:asciiTheme="minorHAnsi" w:hAnsiTheme="minorHAnsi"/>
              <w:b w:val="0"/>
              <w:noProof/>
              <w:color w:val="auto"/>
              <w:lang w:eastAsia="ja-JP"/>
            </w:rPr>
          </w:pPr>
          <w:r>
            <w:rPr>
              <w:noProof/>
            </w:rPr>
            <w:t>5.2. Empresas del sector Materiales Básicos, Industria y Construcción</w:t>
          </w:r>
          <w:r>
            <w:rPr>
              <w:noProof/>
            </w:rPr>
            <w:tab/>
          </w:r>
          <w:r>
            <w:rPr>
              <w:noProof/>
            </w:rPr>
            <w:fldChar w:fldCharType="begin"/>
          </w:r>
          <w:r>
            <w:rPr>
              <w:noProof/>
            </w:rPr>
            <w:instrText xml:space="preserve"> PAGEREF _Toc354061524 \h </w:instrText>
          </w:r>
          <w:r>
            <w:rPr>
              <w:noProof/>
            </w:rPr>
          </w:r>
          <w:r>
            <w:rPr>
              <w:noProof/>
            </w:rPr>
            <w:fldChar w:fldCharType="separate"/>
          </w:r>
          <w:r>
            <w:rPr>
              <w:noProof/>
            </w:rPr>
            <w:t>169</w:t>
          </w:r>
          <w:r>
            <w:rPr>
              <w:noProof/>
            </w:rPr>
            <w:fldChar w:fldCharType="end"/>
          </w:r>
        </w:p>
        <w:p w14:paraId="392C4B2A" w14:textId="77777777" w:rsidR="00383AB8" w:rsidRDefault="00383AB8">
          <w:pPr>
            <w:pStyle w:val="TDC1"/>
            <w:rPr>
              <w:rFonts w:asciiTheme="minorHAnsi" w:hAnsiTheme="minorHAnsi"/>
              <w:b w:val="0"/>
              <w:noProof/>
              <w:color w:val="auto"/>
              <w:lang w:eastAsia="ja-JP"/>
            </w:rPr>
          </w:pPr>
          <w:r>
            <w:rPr>
              <w:noProof/>
            </w:rPr>
            <w:t>5.3. Empresas del sector Petróleo y Energía</w:t>
          </w:r>
          <w:r>
            <w:rPr>
              <w:noProof/>
            </w:rPr>
            <w:tab/>
          </w:r>
          <w:r>
            <w:rPr>
              <w:noProof/>
            </w:rPr>
            <w:fldChar w:fldCharType="begin"/>
          </w:r>
          <w:r>
            <w:rPr>
              <w:noProof/>
            </w:rPr>
            <w:instrText xml:space="preserve"> PAGEREF _Toc354061525 \h </w:instrText>
          </w:r>
          <w:r>
            <w:rPr>
              <w:noProof/>
            </w:rPr>
          </w:r>
          <w:r>
            <w:rPr>
              <w:noProof/>
            </w:rPr>
            <w:fldChar w:fldCharType="separate"/>
          </w:r>
          <w:r>
            <w:rPr>
              <w:noProof/>
            </w:rPr>
            <w:t>285</w:t>
          </w:r>
          <w:r>
            <w:rPr>
              <w:noProof/>
            </w:rPr>
            <w:fldChar w:fldCharType="end"/>
          </w:r>
        </w:p>
        <w:p w14:paraId="734C6CDC" w14:textId="77777777" w:rsidR="00383AB8" w:rsidRDefault="00383AB8">
          <w:pPr>
            <w:pStyle w:val="TDC1"/>
            <w:rPr>
              <w:rFonts w:asciiTheme="minorHAnsi" w:hAnsiTheme="minorHAnsi"/>
              <w:b w:val="0"/>
              <w:noProof/>
              <w:color w:val="auto"/>
              <w:lang w:eastAsia="ja-JP"/>
            </w:rPr>
          </w:pPr>
          <w:r>
            <w:rPr>
              <w:noProof/>
            </w:rPr>
            <w:t>5.4. Empresas del sector Servicios Financieros e Inmobiliarias</w:t>
          </w:r>
          <w:r>
            <w:rPr>
              <w:noProof/>
            </w:rPr>
            <w:tab/>
          </w:r>
          <w:r>
            <w:rPr>
              <w:noProof/>
            </w:rPr>
            <w:fldChar w:fldCharType="begin"/>
          </w:r>
          <w:r>
            <w:rPr>
              <w:noProof/>
            </w:rPr>
            <w:instrText xml:space="preserve"> PAGEREF _Toc354061526 \h </w:instrText>
          </w:r>
          <w:r>
            <w:rPr>
              <w:noProof/>
            </w:rPr>
          </w:r>
          <w:r>
            <w:rPr>
              <w:noProof/>
            </w:rPr>
            <w:fldChar w:fldCharType="separate"/>
          </w:r>
          <w:r>
            <w:rPr>
              <w:noProof/>
            </w:rPr>
            <w:t>367</w:t>
          </w:r>
          <w:r>
            <w:rPr>
              <w:noProof/>
            </w:rPr>
            <w:fldChar w:fldCharType="end"/>
          </w:r>
        </w:p>
        <w:p w14:paraId="55F9359F" w14:textId="77777777" w:rsidR="00383AB8" w:rsidRDefault="00383AB8">
          <w:pPr>
            <w:pStyle w:val="TDC1"/>
            <w:rPr>
              <w:rFonts w:asciiTheme="minorHAnsi" w:hAnsiTheme="minorHAnsi"/>
              <w:b w:val="0"/>
              <w:noProof/>
              <w:color w:val="auto"/>
              <w:lang w:eastAsia="ja-JP"/>
            </w:rPr>
          </w:pPr>
          <w:r>
            <w:rPr>
              <w:noProof/>
            </w:rPr>
            <w:t>5.5. Empresas del sector Servicios Tecnología y Comunicaciones</w:t>
          </w:r>
          <w:r>
            <w:rPr>
              <w:noProof/>
            </w:rPr>
            <w:tab/>
          </w:r>
          <w:r>
            <w:rPr>
              <w:noProof/>
            </w:rPr>
            <w:fldChar w:fldCharType="begin"/>
          </w:r>
          <w:r>
            <w:rPr>
              <w:noProof/>
            </w:rPr>
            <w:instrText xml:space="preserve"> PAGEREF _Toc354061527 \h </w:instrText>
          </w:r>
          <w:r>
            <w:rPr>
              <w:noProof/>
            </w:rPr>
          </w:r>
          <w:r>
            <w:rPr>
              <w:noProof/>
            </w:rPr>
            <w:fldChar w:fldCharType="separate"/>
          </w:r>
          <w:r>
            <w:rPr>
              <w:noProof/>
            </w:rPr>
            <w:t>494</w:t>
          </w:r>
          <w:r>
            <w:rPr>
              <w:noProof/>
            </w:rPr>
            <w:fldChar w:fldCharType="end"/>
          </w:r>
        </w:p>
        <w:p w14:paraId="548AFEC9" w14:textId="77777777" w:rsidR="00383AB8" w:rsidRDefault="00383AB8">
          <w:pPr>
            <w:pStyle w:val="TDC1"/>
            <w:rPr>
              <w:rFonts w:asciiTheme="minorHAnsi" w:hAnsiTheme="minorHAnsi"/>
              <w:b w:val="0"/>
              <w:noProof/>
              <w:color w:val="auto"/>
              <w:lang w:eastAsia="ja-JP"/>
            </w:rPr>
          </w:pPr>
          <w:r>
            <w:rPr>
              <w:noProof/>
            </w:rPr>
            <w:t>5.6. Empresas del sector Servicios de Consumo</w:t>
          </w:r>
          <w:r>
            <w:rPr>
              <w:noProof/>
            </w:rPr>
            <w:tab/>
          </w:r>
          <w:r>
            <w:rPr>
              <w:noProof/>
            </w:rPr>
            <w:fldChar w:fldCharType="begin"/>
          </w:r>
          <w:r>
            <w:rPr>
              <w:noProof/>
            </w:rPr>
            <w:instrText xml:space="preserve"> PAGEREF _Toc354061528 \h </w:instrText>
          </w:r>
          <w:r>
            <w:rPr>
              <w:noProof/>
            </w:rPr>
          </w:r>
          <w:r>
            <w:rPr>
              <w:noProof/>
            </w:rPr>
            <w:fldChar w:fldCharType="separate"/>
          </w:r>
          <w:r>
            <w:rPr>
              <w:noProof/>
            </w:rPr>
            <w:t>523</w:t>
          </w:r>
          <w:r>
            <w:rPr>
              <w:noProof/>
            </w:rPr>
            <w:fldChar w:fldCharType="end"/>
          </w:r>
        </w:p>
        <w:p w14:paraId="495141FB" w14:textId="3E5598FE" w:rsidR="001B2A4B" w:rsidRPr="00456AF8" w:rsidRDefault="00FE7641" w:rsidP="00506805">
          <w:pPr>
            <w:rPr>
              <w:rFonts w:ascii="Arial" w:hAnsi="Arial" w:cs="Arial"/>
              <w:sz w:val="20"/>
              <w:szCs w:val="20"/>
            </w:rPr>
          </w:pPr>
          <w:r w:rsidRPr="00D67FAF">
            <w:rPr>
              <w:rFonts w:ascii="Open Sans" w:hAnsi="Open Sans" w:cs="Arial"/>
              <w:bCs/>
              <w:noProof/>
              <w:sz w:val="20"/>
              <w:szCs w:val="20"/>
            </w:rPr>
            <w:fldChar w:fldCharType="end"/>
          </w:r>
        </w:p>
      </w:sdtContent>
    </w:sdt>
    <w:p w14:paraId="08078517" w14:textId="77777777" w:rsidR="00FD6FFD" w:rsidRDefault="00FD6FFD" w:rsidP="00FD6FFD">
      <w:pPr>
        <w:pStyle w:val="Normal1"/>
      </w:pPr>
    </w:p>
    <w:p w14:paraId="23896573" w14:textId="3383B749" w:rsidR="00FD6FFD" w:rsidRDefault="00FD6FFD">
      <w:pPr>
        <w:rPr>
          <w:rFonts w:ascii="Times New Roman" w:eastAsia="Times New Roman" w:hAnsi="Times New Roman" w:cs="Times New Roman"/>
          <w:color w:val="000000"/>
          <w:szCs w:val="20"/>
          <w:lang w:val="es-ES"/>
        </w:rPr>
      </w:pPr>
    </w:p>
    <w:p w14:paraId="1B99247B" w14:textId="18FE04B4" w:rsidR="00C275FF" w:rsidRDefault="00C275FF">
      <w:pPr>
        <w:rPr>
          <w:rFonts w:ascii="Times New Roman" w:eastAsia="Times New Roman" w:hAnsi="Times New Roman" w:cs="Times New Roman"/>
          <w:color w:val="000000"/>
          <w:szCs w:val="20"/>
          <w:lang w:val="es-ES"/>
        </w:rPr>
      </w:pPr>
      <w:r>
        <w:br w:type="page"/>
      </w:r>
    </w:p>
    <w:p w14:paraId="64071A09" w14:textId="77777777" w:rsidR="00FD6FFD" w:rsidRDefault="00FD6FFD" w:rsidP="00FD6FFD">
      <w:pPr>
        <w:pStyle w:val="Normal1"/>
      </w:pPr>
    </w:p>
    <w:p w14:paraId="0A414A89" w14:textId="6AB538AA" w:rsidR="002D5C33" w:rsidRPr="00160A37" w:rsidRDefault="00456AF8" w:rsidP="00456AF8">
      <w:pPr>
        <w:pStyle w:val="Titulo1-InformeFinal"/>
      </w:pPr>
      <w:bookmarkStart w:id="0" w:name="_Toc354061502"/>
      <w:r>
        <w:t>Índice de empresas</w:t>
      </w:r>
      <w:bookmarkEnd w:id="0"/>
    </w:p>
    <w:p w14:paraId="05D5268A" w14:textId="77777777" w:rsidR="002D5C33" w:rsidRPr="00160A37" w:rsidRDefault="002D5C33" w:rsidP="002D5C33">
      <w:pPr>
        <w:rPr>
          <w:rFonts w:ascii="Open Sans" w:hAnsi="Open Sans" w:cs="Arial"/>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98"/>
        <w:gridCol w:w="4323"/>
      </w:tblGrid>
      <w:tr w:rsidR="002D5C33" w:rsidRPr="00160A37" w14:paraId="1A13DEFA" w14:textId="77777777" w:rsidTr="001211AF">
        <w:trPr>
          <w:cantSplit/>
          <w:trHeight w:val="300"/>
          <w:tblHeader/>
          <w:jc w:val="center"/>
        </w:trPr>
        <w:tc>
          <w:tcPr>
            <w:tcW w:w="3198" w:type="dxa"/>
            <w:vMerge w:val="restart"/>
            <w:shd w:val="clear" w:color="auto" w:fill="411F8A"/>
            <w:vAlign w:val="center"/>
          </w:tcPr>
          <w:p w14:paraId="5D343B85" w14:textId="77777777" w:rsidR="002D5C33" w:rsidRPr="00160A37" w:rsidRDefault="002D5C33" w:rsidP="00231CA3">
            <w:pPr>
              <w:jc w:val="center"/>
              <w:rPr>
                <w:rFonts w:ascii="Open Sans" w:hAnsi="Open Sans" w:cs="Arial"/>
                <w:b/>
                <w:color w:val="FFFFFF"/>
                <w:sz w:val="20"/>
                <w:szCs w:val="20"/>
              </w:rPr>
            </w:pPr>
            <w:r w:rsidRPr="00160A37">
              <w:rPr>
                <w:rFonts w:ascii="Open Sans" w:hAnsi="Open Sans" w:cs="Arial"/>
                <w:b/>
                <w:color w:val="FFFFFF"/>
                <w:sz w:val="20"/>
                <w:szCs w:val="20"/>
              </w:rPr>
              <w:t>EMPRESA</w:t>
            </w:r>
          </w:p>
        </w:tc>
        <w:tc>
          <w:tcPr>
            <w:tcW w:w="4323" w:type="dxa"/>
            <w:vMerge w:val="restart"/>
            <w:shd w:val="clear" w:color="auto" w:fill="411F8A"/>
            <w:vAlign w:val="center"/>
          </w:tcPr>
          <w:p w14:paraId="37DC50C8" w14:textId="77777777" w:rsidR="002D5C33" w:rsidRPr="00160A37" w:rsidRDefault="002D5C33" w:rsidP="00231CA3">
            <w:pPr>
              <w:jc w:val="center"/>
              <w:rPr>
                <w:rFonts w:ascii="Open Sans" w:hAnsi="Open Sans" w:cs="Arial"/>
                <w:b/>
                <w:color w:val="FFFFFF"/>
                <w:sz w:val="20"/>
                <w:szCs w:val="20"/>
              </w:rPr>
            </w:pPr>
            <w:r w:rsidRPr="00160A37">
              <w:rPr>
                <w:rFonts w:ascii="Open Sans" w:hAnsi="Open Sans" w:cs="Arial"/>
                <w:b/>
                <w:color w:val="FFFFFF"/>
                <w:sz w:val="20"/>
                <w:szCs w:val="20"/>
              </w:rPr>
              <w:t>PÁGINA WEB CORPORATIVA</w:t>
            </w:r>
          </w:p>
        </w:tc>
      </w:tr>
      <w:tr w:rsidR="002D5C33" w:rsidRPr="00160A37" w14:paraId="692E268C" w14:textId="77777777" w:rsidTr="001211AF">
        <w:trPr>
          <w:cantSplit/>
          <w:trHeight w:val="300"/>
          <w:tblHeader/>
          <w:jc w:val="center"/>
        </w:trPr>
        <w:tc>
          <w:tcPr>
            <w:tcW w:w="3198" w:type="dxa"/>
            <w:vMerge/>
            <w:shd w:val="clear" w:color="auto" w:fill="411F8A"/>
            <w:vAlign w:val="center"/>
          </w:tcPr>
          <w:p w14:paraId="075DD9E4" w14:textId="77777777" w:rsidR="002D5C33" w:rsidRPr="00160A37" w:rsidRDefault="002D5C33" w:rsidP="00231CA3">
            <w:pPr>
              <w:rPr>
                <w:rFonts w:ascii="Open Sans" w:hAnsi="Open Sans" w:cs="Arial"/>
                <w:b/>
                <w:sz w:val="20"/>
                <w:szCs w:val="20"/>
              </w:rPr>
            </w:pPr>
          </w:p>
        </w:tc>
        <w:tc>
          <w:tcPr>
            <w:tcW w:w="4323" w:type="dxa"/>
            <w:vMerge/>
            <w:shd w:val="clear" w:color="auto" w:fill="411F8A"/>
            <w:vAlign w:val="center"/>
          </w:tcPr>
          <w:p w14:paraId="367CB4BA" w14:textId="77777777" w:rsidR="002D5C33" w:rsidRPr="00160A37" w:rsidRDefault="002D5C33" w:rsidP="00231CA3">
            <w:pPr>
              <w:rPr>
                <w:rFonts w:ascii="Open Sans" w:hAnsi="Open Sans" w:cs="Arial"/>
                <w:b/>
                <w:sz w:val="20"/>
                <w:szCs w:val="20"/>
              </w:rPr>
            </w:pPr>
          </w:p>
        </w:tc>
      </w:tr>
      <w:tr w:rsidR="002D5C33" w:rsidRPr="00160A37" w14:paraId="081C42B8" w14:textId="77777777" w:rsidTr="001211AF">
        <w:trPr>
          <w:trHeight w:val="255"/>
          <w:jc w:val="center"/>
        </w:trPr>
        <w:tc>
          <w:tcPr>
            <w:tcW w:w="3198" w:type="dxa"/>
            <w:vAlign w:val="bottom"/>
          </w:tcPr>
          <w:p w14:paraId="6F163370" w14:textId="369564E9" w:rsidR="002D5C33" w:rsidRPr="00160A37" w:rsidRDefault="007F55EB" w:rsidP="00231CA3">
            <w:pPr>
              <w:rPr>
                <w:rFonts w:ascii="Open Sans" w:hAnsi="Open Sans" w:cs="Arial"/>
                <w:color w:val="000000"/>
                <w:sz w:val="20"/>
                <w:szCs w:val="20"/>
              </w:rPr>
            </w:pPr>
            <w:hyperlink w:anchor="ABERTIS" w:history="1">
              <w:r w:rsidR="002D5C33" w:rsidRPr="000C1AC1">
                <w:rPr>
                  <w:rStyle w:val="Hipervnculo"/>
                  <w:rFonts w:ascii="Open Sans" w:hAnsi="Open Sans" w:cs="Arial"/>
                  <w:sz w:val="20"/>
                  <w:szCs w:val="20"/>
                </w:rPr>
                <w:t>ABERTIS</w:t>
              </w:r>
            </w:hyperlink>
          </w:p>
        </w:tc>
        <w:tc>
          <w:tcPr>
            <w:tcW w:w="4323" w:type="dxa"/>
            <w:vAlign w:val="bottom"/>
          </w:tcPr>
          <w:p w14:paraId="41C044CD" w14:textId="77777777" w:rsidR="002D5C33" w:rsidRPr="00160A37" w:rsidRDefault="002D5C33" w:rsidP="00231CA3">
            <w:pPr>
              <w:rPr>
                <w:rFonts w:ascii="Open Sans" w:hAnsi="Open Sans" w:cs="Arial"/>
                <w:color w:val="0000FF"/>
                <w:sz w:val="20"/>
                <w:szCs w:val="20"/>
                <w:u w:val="single"/>
              </w:rPr>
            </w:pPr>
            <w:r w:rsidRPr="00160A37">
              <w:rPr>
                <w:rFonts w:ascii="Open Sans" w:hAnsi="Open Sans" w:cs="Arial"/>
                <w:color w:val="0000FF"/>
                <w:sz w:val="20"/>
                <w:szCs w:val="20"/>
                <w:u w:val="single"/>
              </w:rPr>
              <w:t>www.abertis.com</w:t>
            </w:r>
          </w:p>
        </w:tc>
      </w:tr>
      <w:tr w:rsidR="002D5C33" w:rsidRPr="00160A37" w14:paraId="2B4A116E" w14:textId="77777777" w:rsidTr="001211AF">
        <w:trPr>
          <w:trHeight w:val="255"/>
          <w:jc w:val="center"/>
        </w:trPr>
        <w:tc>
          <w:tcPr>
            <w:tcW w:w="3198" w:type="dxa"/>
            <w:vAlign w:val="bottom"/>
          </w:tcPr>
          <w:p w14:paraId="3F3842F1" w14:textId="293E5DAD" w:rsidR="002D5C33" w:rsidRPr="00160A37" w:rsidRDefault="007F55EB" w:rsidP="00231CA3">
            <w:pPr>
              <w:rPr>
                <w:rFonts w:ascii="Open Sans" w:hAnsi="Open Sans" w:cs="Arial"/>
                <w:color w:val="000000"/>
                <w:sz w:val="20"/>
                <w:szCs w:val="20"/>
              </w:rPr>
            </w:pPr>
            <w:hyperlink w:anchor="ACCIONA" w:history="1">
              <w:r w:rsidR="002D5C33" w:rsidRPr="002D5C33">
                <w:rPr>
                  <w:rStyle w:val="Hipervnculo"/>
                  <w:rFonts w:ascii="Open Sans" w:hAnsi="Open Sans" w:cs="Arial"/>
                  <w:sz w:val="20"/>
                  <w:szCs w:val="20"/>
                </w:rPr>
                <w:t>ACCIONA</w:t>
              </w:r>
            </w:hyperlink>
          </w:p>
        </w:tc>
        <w:tc>
          <w:tcPr>
            <w:tcW w:w="4323" w:type="dxa"/>
            <w:vAlign w:val="bottom"/>
          </w:tcPr>
          <w:p w14:paraId="6C6CF6EF" w14:textId="77BC8DB1" w:rsidR="002D5C33" w:rsidRPr="00160A37" w:rsidRDefault="002D5C33"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www.acciona.es</w:t>
            </w:r>
          </w:p>
        </w:tc>
      </w:tr>
      <w:tr w:rsidR="002D5C33" w:rsidRPr="00160A37" w14:paraId="2362DEA5" w14:textId="77777777" w:rsidTr="001211AF">
        <w:trPr>
          <w:trHeight w:val="255"/>
          <w:jc w:val="center"/>
        </w:trPr>
        <w:tc>
          <w:tcPr>
            <w:tcW w:w="3198" w:type="dxa"/>
            <w:vAlign w:val="bottom"/>
          </w:tcPr>
          <w:p w14:paraId="538B844C" w14:textId="353A6D99" w:rsidR="002D5C33" w:rsidRPr="00160A37" w:rsidRDefault="007F55EB" w:rsidP="00231CA3">
            <w:pPr>
              <w:rPr>
                <w:rFonts w:ascii="Open Sans" w:hAnsi="Open Sans" w:cs="Arial"/>
                <w:color w:val="000000"/>
                <w:sz w:val="20"/>
                <w:szCs w:val="20"/>
              </w:rPr>
            </w:pPr>
            <w:hyperlink w:anchor="ACS" w:history="1">
              <w:r w:rsidR="002D5C33" w:rsidRPr="002D5C33">
                <w:rPr>
                  <w:rStyle w:val="Hipervnculo"/>
                  <w:rFonts w:ascii="Open Sans" w:hAnsi="Open Sans" w:cs="Arial"/>
                  <w:sz w:val="20"/>
                  <w:szCs w:val="20"/>
                </w:rPr>
                <w:t>ACS</w:t>
              </w:r>
            </w:hyperlink>
          </w:p>
        </w:tc>
        <w:tc>
          <w:tcPr>
            <w:tcW w:w="4323" w:type="dxa"/>
            <w:vAlign w:val="bottom"/>
          </w:tcPr>
          <w:p w14:paraId="2A5F418F" w14:textId="0EF21281" w:rsidR="002D5C33" w:rsidRPr="00160A37" w:rsidRDefault="002D5C33"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www.grupoacs.com</w:t>
            </w:r>
          </w:p>
        </w:tc>
      </w:tr>
      <w:tr w:rsidR="00262655" w:rsidRPr="00160A37" w14:paraId="40483950" w14:textId="77777777" w:rsidTr="001211AF">
        <w:trPr>
          <w:trHeight w:val="255"/>
          <w:jc w:val="center"/>
        </w:trPr>
        <w:tc>
          <w:tcPr>
            <w:tcW w:w="3198" w:type="dxa"/>
            <w:vAlign w:val="bottom"/>
          </w:tcPr>
          <w:p w14:paraId="2C0397E1" w14:textId="088B9482" w:rsidR="00262655" w:rsidRPr="00262655" w:rsidRDefault="007F55EB" w:rsidP="00231CA3">
            <w:pPr>
              <w:rPr>
                <w:rStyle w:val="Hipervnculo"/>
                <w:rFonts w:ascii="Open Sans" w:hAnsi="Open Sans" w:cs="Arial"/>
                <w:sz w:val="20"/>
                <w:szCs w:val="20"/>
              </w:rPr>
            </w:pPr>
            <w:hyperlink w:anchor="Acerinox" w:history="1">
              <w:r w:rsidR="00262655" w:rsidRPr="001F7023">
                <w:rPr>
                  <w:rStyle w:val="Hipervnculo"/>
                  <w:rFonts w:ascii="Open Sans" w:hAnsi="Open Sans" w:cs="Arial"/>
                  <w:sz w:val="20"/>
                  <w:szCs w:val="20"/>
                </w:rPr>
                <w:t>ACERINOX</w:t>
              </w:r>
            </w:hyperlink>
          </w:p>
        </w:tc>
        <w:tc>
          <w:tcPr>
            <w:tcW w:w="4323" w:type="dxa"/>
            <w:vAlign w:val="bottom"/>
          </w:tcPr>
          <w:p w14:paraId="20E65B45" w14:textId="6720E151" w:rsidR="00262655" w:rsidRPr="00160A37" w:rsidRDefault="00262655" w:rsidP="000C1AC1">
            <w:pPr>
              <w:rPr>
                <w:rFonts w:ascii="Open Sans" w:hAnsi="Open Sans" w:cs="Arial"/>
                <w:color w:val="0000FF"/>
                <w:sz w:val="20"/>
                <w:szCs w:val="20"/>
                <w:u w:val="single"/>
              </w:rPr>
            </w:pPr>
            <w:r w:rsidRPr="00262655">
              <w:rPr>
                <w:rFonts w:ascii="Open Sans" w:hAnsi="Open Sans" w:cs="Arial"/>
                <w:color w:val="0000FF"/>
                <w:sz w:val="20"/>
                <w:szCs w:val="20"/>
                <w:u w:val="single"/>
              </w:rPr>
              <w:t>www.acerinox.com/es/index.html</w:t>
            </w:r>
          </w:p>
        </w:tc>
      </w:tr>
      <w:tr w:rsidR="00262655" w:rsidRPr="00160A37" w14:paraId="6B36982E" w14:textId="77777777" w:rsidTr="001211AF">
        <w:trPr>
          <w:trHeight w:val="255"/>
          <w:jc w:val="center"/>
        </w:trPr>
        <w:tc>
          <w:tcPr>
            <w:tcW w:w="3198" w:type="dxa"/>
            <w:vAlign w:val="bottom"/>
          </w:tcPr>
          <w:p w14:paraId="16BCCAA3" w14:textId="75A380F3" w:rsidR="00262655" w:rsidRPr="00262655" w:rsidRDefault="007F55EB" w:rsidP="00231CA3">
            <w:pPr>
              <w:rPr>
                <w:rStyle w:val="Hipervnculo"/>
                <w:rFonts w:ascii="Open Sans" w:hAnsi="Open Sans" w:cs="Arial"/>
                <w:sz w:val="20"/>
                <w:szCs w:val="20"/>
              </w:rPr>
            </w:pPr>
            <w:hyperlink w:anchor="Aena" w:history="1">
              <w:r w:rsidR="00262655" w:rsidRPr="001F7023">
                <w:rPr>
                  <w:rStyle w:val="Hipervnculo"/>
                  <w:rFonts w:ascii="Open Sans" w:hAnsi="Open Sans" w:cs="Arial"/>
                  <w:sz w:val="20"/>
                  <w:szCs w:val="20"/>
                </w:rPr>
                <w:t>AENA</w:t>
              </w:r>
            </w:hyperlink>
          </w:p>
        </w:tc>
        <w:tc>
          <w:tcPr>
            <w:tcW w:w="4323" w:type="dxa"/>
            <w:vAlign w:val="bottom"/>
          </w:tcPr>
          <w:p w14:paraId="63B67F18" w14:textId="329BB473" w:rsidR="00262655" w:rsidRPr="00160A37" w:rsidRDefault="00262655" w:rsidP="000C1AC1">
            <w:pPr>
              <w:rPr>
                <w:rFonts w:ascii="Open Sans" w:hAnsi="Open Sans" w:cs="Arial"/>
                <w:color w:val="0000FF"/>
                <w:sz w:val="20"/>
                <w:szCs w:val="20"/>
                <w:u w:val="single"/>
              </w:rPr>
            </w:pPr>
            <w:r w:rsidRPr="00262655">
              <w:rPr>
                <w:rFonts w:ascii="Open Sans" w:hAnsi="Open Sans" w:cs="Arial"/>
                <w:color w:val="0000FF"/>
                <w:sz w:val="20"/>
                <w:szCs w:val="20"/>
                <w:u w:val="single"/>
              </w:rPr>
              <w:t>www.aena.es/es/pasajeros/pasajeros.html</w:t>
            </w:r>
          </w:p>
        </w:tc>
      </w:tr>
      <w:tr w:rsidR="002D5C33" w:rsidRPr="00160A37" w14:paraId="3F38C717" w14:textId="77777777" w:rsidTr="001211AF">
        <w:trPr>
          <w:trHeight w:val="255"/>
          <w:jc w:val="center"/>
        </w:trPr>
        <w:tc>
          <w:tcPr>
            <w:tcW w:w="3198" w:type="dxa"/>
            <w:vAlign w:val="bottom"/>
          </w:tcPr>
          <w:p w14:paraId="1CD96182" w14:textId="465E1EEC" w:rsidR="002D5C33" w:rsidRPr="00262655" w:rsidRDefault="007F55EB" w:rsidP="00231CA3">
            <w:pPr>
              <w:rPr>
                <w:rStyle w:val="Hipervnculo"/>
                <w:rFonts w:cs="Arial"/>
              </w:rPr>
            </w:pPr>
            <w:hyperlink w:anchor="AMADEUS" w:history="1">
              <w:r w:rsidR="002D5C33" w:rsidRPr="000C1AC1">
                <w:rPr>
                  <w:rStyle w:val="Hipervnculo"/>
                  <w:rFonts w:ascii="Open Sans" w:hAnsi="Open Sans" w:cs="Arial"/>
                  <w:sz w:val="20"/>
                  <w:szCs w:val="20"/>
                </w:rPr>
                <w:t>AMADEUS</w:t>
              </w:r>
            </w:hyperlink>
          </w:p>
        </w:tc>
        <w:tc>
          <w:tcPr>
            <w:tcW w:w="4323" w:type="dxa"/>
            <w:vAlign w:val="bottom"/>
          </w:tcPr>
          <w:p w14:paraId="5A7E6D6D" w14:textId="048E0C95" w:rsidR="002D5C33" w:rsidRPr="00160A37" w:rsidRDefault="002D5C33"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www.amadeus.com/es</w:t>
            </w:r>
          </w:p>
        </w:tc>
      </w:tr>
      <w:tr w:rsidR="000C1AC1" w:rsidRPr="00160A37" w14:paraId="1106759B" w14:textId="77777777" w:rsidTr="001211AF">
        <w:trPr>
          <w:trHeight w:val="255"/>
          <w:jc w:val="center"/>
        </w:trPr>
        <w:tc>
          <w:tcPr>
            <w:tcW w:w="3198" w:type="dxa"/>
            <w:vAlign w:val="bottom"/>
          </w:tcPr>
          <w:p w14:paraId="6D066A39" w14:textId="00E21D6D" w:rsidR="000C1AC1" w:rsidRDefault="007F55EB" w:rsidP="00231CA3">
            <w:pPr>
              <w:rPr>
                <w:rFonts w:ascii="Open Sans" w:hAnsi="Open Sans" w:cs="Arial"/>
                <w:color w:val="000000"/>
                <w:sz w:val="20"/>
                <w:szCs w:val="20"/>
              </w:rPr>
            </w:pPr>
            <w:hyperlink w:anchor="Arcelor" w:history="1">
              <w:r w:rsidR="001F7023">
                <w:rPr>
                  <w:rStyle w:val="Hipervnculo"/>
                  <w:rFonts w:ascii="Open Sans" w:hAnsi="Open Sans" w:cs="Arial"/>
                  <w:sz w:val="20"/>
                  <w:szCs w:val="20"/>
                </w:rPr>
                <w:t>ARCELORMITTAL</w:t>
              </w:r>
            </w:hyperlink>
          </w:p>
        </w:tc>
        <w:tc>
          <w:tcPr>
            <w:tcW w:w="4323" w:type="dxa"/>
            <w:vAlign w:val="bottom"/>
          </w:tcPr>
          <w:p w14:paraId="2A260E7C" w14:textId="6927C06D" w:rsidR="000C1AC1" w:rsidRPr="00160A37" w:rsidRDefault="000C1AC1"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www.arcelormittal.com</w:t>
            </w:r>
          </w:p>
        </w:tc>
      </w:tr>
      <w:tr w:rsidR="002D5C33" w:rsidRPr="00160A37" w14:paraId="27D30224" w14:textId="77777777" w:rsidTr="001211AF">
        <w:trPr>
          <w:trHeight w:val="255"/>
          <w:jc w:val="center"/>
        </w:trPr>
        <w:tc>
          <w:tcPr>
            <w:tcW w:w="3198" w:type="dxa"/>
            <w:vAlign w:val="bottom"/>
          </w:tcPr>
          <w:p w14:paraId="003A84B1" w14:textId="38462157" w:rsidR="002D5C33" w:rsidRPr="00160A37" w:rsidRDefault="007F55EB" w:rsidP="00231CA3">
            <w:pPr>
              <w:rPr>
                <w:rFonts w:ascii="Open Sans" w:hAnsi="Open Sans" w:cs="Arial"/>
                <w:color w:val="000000"/>
                <w:sz w:val="20"/>
                <w:szCs w:val="20"/>
              </w:rPr>
            </w:pPr>
            <w:hyperlink w:anchor="BANKIA" w:history="1">
              <w:r w:rsidR="002D5C33" w:rsidRPr="000C1AC1">
                <w:rPr>
                  <w:rStyle w:val="Hipervnculo"/>
                  <w:rFonts w:ascii="Open Sans" w:hAnsi="Open Sans" w:cs="Arial"/>
                  <w:sz w:val="20"/>
                  <w:szCs w:val="20"/>
                </w:rPr>
                <w:t>BANKIA</w:t>
              </w:r>
            </w:hyperlink>
          </w:p>
        </w:tc>
        <w:tc>
          <w:tcPr>
            <w:tcW w:w="4323" w:type="dxa"/>
            <w:vAlign w:val="bottom"/>
          </w:tcPr>
          <w:p w14:paraId="60012AC7" w14:textId="77777777" w:rsidR="002D5C33" w:rsidRPr="00160A37" w:rsidRDefault="002D5C33" w:rsidP="00231CA3">
            <w:pPr>
              <w:rPr>
                <w:rFonts w:ascii="Open Sans" w:hAnsi="Open Sans" w:cs="Arial"/>
                <w:color w:val="0000FF"/>
                <w:sz w:val="20"/>
                <w:szCs w:val="20"/>
                <w:u w:val="single"/>
              </w:rPr>
            </w:pPr>
            <w:r w:rsidRPr="00160A37">
              <w:rPr>
                <w:rFonts w:ascii="Open Sans" w:hAnsi="Open Sans" w:cs="Arial"/>
                <w:color w:val="0000FF"/>
                <w:sz w:val="20"/>
                <w:szCs w:val="20"/>
                <w:u w:val="single"/>
              </w:rPr>
              <w:t>www.bankia.es</w:t>
            </w:r>
          </w:p>
        </w:tc>
      </w:tr>
      <w:tr w:rsidR="002D5C33" w:rsidRPr="00160A37" w14:paraId="6AC38368" w14:textId="77777777" w:rsidTr="001211AF">
        <w:trPr>
          <w:trHeight w:val="255"/>
          <w:jc w:val="center"/>
        </w:trPr>
        <w:tc>
          <w:tcPr>
            <w:tcW w:w="3198" w:type="dxa"/>
            <w:vAlign w:val="bottom"/>
          </w:tcPr>
          <w:p w14:paraId="6505EBE1" w14:textId="4F893146" w:rsidR="002D5C33" w:rsidRPr="00160A37" w:rsidRDefault="007F55EB" w:rsidP="00231CA3">
            <w:pPr>
              <w:rPr>
                <w:rFonts w:ascii="Open Sans" w:hAnsi="Open Sans" w:cs="Arial"/>
                <w:color w:val="000000"/>
                <w:sz w:val="20"/>
                <w:szCs w:val="20"/>
              </w:rPr>
            </w:pPr>
            <w:hyperlink w:anchor="BANKINTER" w:history="1">
              <w:r w:rsidR="002D5C33" w:rsidRPr="000C1AC1">
                <w:rPr>
                  <w:rStyle w:val="Hipervnculo"/>
                  <w:rFonts w:ascii="Open Sans" w:hAnsi="Open Sans" w:cs="Arial"/>
                  <w:sz w:val="20"/>
                  <w:szCs w:val="20"/>
                </w:rPr>
                <w:t>BANKINTER</w:t>
              </w:r>
            </w:hyperlink>
          </w:p>
        </w:tc>
        <w:tc>
          <w:tcPr>
            <w:tcW w:w="4323" w:type="dxa"/>
            <w:vAlign w:val="bottom"/>
          </w:tcPr>
          <w:p w14:paraId="2F36F78C" w14:textId="77777777" w:rsidR="002D5C33" w:rsidRPr="00160A37" w:rsidRDefault="007F55EB" w:rsidP="00231CA3">
            <w:pPr>
              <w:rPr>
                <w:rFonts w:ascii="Open Sans" w:hAnsi="Open Sans" w:cs="Arial"/>
                <w:color w:val="0000FF"/>
                <w:sz w:val="20"/>
                <w:szCs w:val="20"/>
                <w:u w:val="single"/>
              </w:rPr>
            </w:pPr>
            <w:hyperlink r:id="rId12" w:history="1">
              <w:r w:rsidR="002D5C33" w:rsidRPr="00160A37">
                <w:rPr>
                  <w:rStyle w:val="Hipervnculo"/>
                  <w:rFonts w:ascii="Open Sans" w:hAnsi="Open Sans" w:cs="Arial"/>
                  <w:sz w:val="20"/>
                  <w:szCs w:val="20"/>
                </w:rPr>
                <w:t>www.ebankinter.com</w:t>
              </w:r>
            </w:hyperlink>
          </w:p>
        </w:tc>
      </w:tr>
      <w:tr w:rsidR="002D5C33" w:rsidRPr="00160A37" w14:paraId="6BE880D7" w14:textId="77777777" w:rsidTr="001211AF">
        <w:trPr>
          <w:trHeight w:val="255"/>
          <w:jc w:val="center"/>
        </w:trPr>
        <w:tc>
          <w:tcPr>
            <w:tcW w:w="3198" w:type="dxa"/>
            <w:vAlign w:val="bottom"/>
          </w:tcPr>
          <w:p w14:paraId="69952CE8" w14:textId="1AB06904" w:rsidR="002D5C33" w:rsidRPr="00160A37" w:rsidRDefault="007F55EB" w:rsidP="00231CA3">
            <w:pPr>
              <w:rPr>
                <w:rFonts w:ascii="Open Sans" w:hAnsi="Open Sans" w:cs="Arial"/>
                <w:color w:val="000000"/>
                <w:sz w:val="20"/>
                <w:szCs w:val="20"/>
              </w:rPr>
            </w:pPr>
            <w:hyperlink w:anchor="BBVA" w:history="1">
              <w:r w:rsidR="002D5C33" w:rsidRPr="000C1AC1">
                <w:rPr>
                  <w:rStyle w:val="Hipervnculo"/>
                  <w:rFonts w:ascii="Open Sans" w:hAnsi="Open Sans" w:cs="Arial"/>
                  <w:sz w:val="20"/>
                  <w:szCs w:val="20"/>
                </w:rPr>
                <w:t>BBVA</w:t>
              </w:r>
            </w:hyperlink>
          </w:p>
        </w:tc>
        <w:tc>
          <w:tcPr>
            <w:tcW w:w="4323" w:type="dxa"/>
            <w:vAlign w:val="bottom"/>
          </w:tcPr>
          <w:p w14:paraId="1AE8B15A" w14:textId="1B6574E0" w:rsidR="002D5C33" w:rsidRPr="00160A37" w:rsidRDefault="007F55EB" w:rsidP="000C1AC1">
            <w:pPr>
              <w:rPr>
                <w:rFonts w:ascii="Open Sans" w:hAnsi="Open Sans" w:cs="Arial"/>
                <w:color w:val="0000FF"/>
                <w:sz w:val="20"/>
                <w:szCs w:val="20"/>
                <w:u w:val="single"/>
              </w:rPr>
            </w:pPr>
            <w:hyperlink r:id="rId13" w:history="1">
              <w:r w:rsidR="002D5C33" w:rsidRPr="00160A37">
                <w:rPr>
                  <w:rStyle w:val="Hipervnculo"/>
                  <w:rFonts w:ascii="Open Sans" w:hAnsi="Open Sans" w:cs="Arial"/>
                  <w:sz w:val="20"/>
                  <w:szCs w:val="20"/>
                </w:rPr>
                <w:t>www.bbva.es</w:t>
              </w:r>
            </w:hyperlink>
          </w:p>
        </w:tc>
      </w:tr>
      <w:tr w:rsidR="002D5C33" w:rsidRPr="00160A37" w14:paraId="70644743" w14:textId="77777777" w:rsidTr="001211AF">
        <w:trPr>
          <w:trHeight w:val="255"/>
          <w:jc w:val="center"/>
        </w:trPr>
        <w:tc>
          <w:tcPr>
            <w:tcW w:w="3198" w:type="dxa"/>
            <w:vAlign w:val="bottom"/>
          </w:tcPr>
          <w:p w14:paraId="51A3AC52" w14:textId="72EFA9CD" w:rsidR="002D5C33" w:rsidRPr="00160A37" w:rsidRDefault="007F55EB" w:rsidP="000C1AC1">
            <w:pPr>
              <w:rPr>
                <w:rFonts w:ascii="Open Sans" w:hAnsi="Open Sans" w:cs="Arial"/>
                <w:color w:val="000000"/>
                <w:sz w:val="20"/>
                <w:szCs w:val="20"/>
              </w:rPr>
            </w:pPr>
            <w:hyperlink w:anchor="POPULAR" w:history="1">
              <w:r w:rsidR="002D5C33" w:rsidRPr="000C1AC1">
                <w:rPr>
                  <w:rStyle w:val="Hipervnculo"/>
                  <w:rFonts w:ascii="Open Sans" w:hAnsi="Open Sans" w:cs="Arial"/>
                  <w:sz w:val="20"/>
                  <w:szCs w:val="20"/>
                </w:rPr>
                <w:t>B</w:t>
              </w:r>
              <w:r w:rsidR="000C1AC1">
                <w:rPr>
                  <w:rStyle w:val="Hipervnculo"/>
                  <w:rFonts w:ascii="Open Sans" w:hAnsi="Open Sans" w:cs="Arial"/>
                  <w:sz w:val="20"/>
                  <w:szCs w:val="20"/>
                </w:rPr>
                <w:t>ANCO</w:t>
              </w:r>
              <w:r w:rsidR="002D5C33" w:rsidRPr="000C1AC1">
                <w:rPr>
                  <w:rStyle w:val="Hipervnculo"/>
                  <w:rFonts w:ascii="Open Sans" w:hAnsi="Open Sans" w:cs="Arial"/>
                  <w:sz w:val="20"/>
                  <w:szCs w:val="20"/>
                </w:rPr>
                <w:t xml:space="preserve"> POPULAR</w:t>
              </w:r>
            </w:hyperlink>
          </w:p>
        </w:tc>
        <w:tc>
          <w:tcPr>
            <w:tcW w:w="4323" w:type="dxa"/>
            <w:vAlign w:val="bottom"/>
          </w:tcPr>
          <w:p w14:paraId="0F169524" w14:textId="35419C7D" w:rsidR="002D5C33" w:rsidRPr="00160A37" w:rsidRDefault="007F55EB" w:rsidP="000C1AC1">
            <w:pPr>
              <w:rPr>
                <w:rFonts w:ascii="Open Sans" w:hAnsi="Open Sans" w:cs="Arial"/>
                <w:color w:val="0000FF"/>
                <w:sz w:val="20"/>
                <w:szCs w:val="20"/>
                <w:u w:val="single"/>
              </w:rPr>
            </w:pPr>
            <w:hyperlink r:id="rId14" w:history="1">
              <w:r w:rsidR="002D5C33" w:rsidRPr="00160A37">
                <w:rPr>
                  <w:rStyle w:val="Hipervnculo"/>
                  <w:rFonts w:ascii="Open Sans" w:hAnsi="Open Sans" w:cs="Arial"/>
                  <w:sz w:val="20"/>
                  <w:szCs w:val="20"/>
                </w:rPr>
                <w:t>www.bancopopular.es</w:t>
              </w:r>
            </w:hyperlink>
          </w:p>
        </w:tc>
      </w:tr>
      <w:tr w:rsidR="002D5C33" w:rsidRPr="00160A37" w14:paraId="48B3805A" w14:textId="77777777" w:rsidTr="001211AF">
        <w:trPr>
          <w:trHeight w:val="255"/>
          <w:jc w:val="center"/>
        </w:trPr>
        <w:tc>
          <w:tcPr>
            <w:tcW w:w="3198" w:type="dxa"/>
            <w:vAlign w:val="bottom"/>
          </w:tcPr>
          <w:p w14:paraId="520ED697" w14:textId="39A5AEF6" w:rsidR="002D5C33" w:rsidRPr="00160A37" w:rsidRDefault="007F55EB" w:rsidP="000C1AC1">
            <w:pPr>
              <w:rPr>
                <w:rFonts w:ascii="Open Sans" w:hAnsi="Open Sans" w:cs="Arial"/>
                <w:color w:val="000000"/>
                <w:sz w:val="20"/>
                <w:szCs w:val="20"/>
              </w:rPr>
            </w:pPr>
            <w:hyperlink w:anchor="SABADELL" w:history="1">
              <w:r w:rsidR="002D5C33" w:rsidRPr="000C1AC1">
                <w:rPr>
                  <w:rStyle w:val="Hipervnculo"/>
                  <w:rFonts w:ascii="Open Sans" w:hAnsi="Open Sans" w:cs="Arial"/>
                  <w:sz w:val="20"/>
                  <w:szCs w:val="20"/>
                </w:rPr>
                <w:t>B</w:t>
              </w:r>
              <w:r w:rsidR="000C1AC1">
                <w:rPr>
                  <w:rStyle w:val="Hipervnculo"/>
                  <w:rFonts w:ascii="Open Sans" w:hAnsi="Open Sans" w:cs="Arial"/>
                  <w:sz w:val="20"/>
                  <w:szCs w:val="20"/>
                </w:rPr>
                <w:t>ANCO</w:t>
              </w:r>
              <w:r w:rsidR="002D5C33" w:rsidRPr="000C1AC1">
                <w:rPr>
                  <w:rStyle w:val="Hipervnculo"/>
                  <w:rFonts w:ascii="Open Sans" w:hAnsi="Open Sans" w:cs="Arial"/>
                  <w:sz w:val="20"/>
                  <w:szCs w:val="20"/>
                </w:rPr>
                <w:t xml:space="preserve"> SABADELL</w:t>
              </w:r>
            </w:hyperlink>
          </w:p>
        </w:tc>
        <w:tc>
          <w:tcPr>
            <w:tcW w:w="4323" w:type="dxa"/>
            <w:vAlign w:val="bottom"/>
          </w:tcPr>
          <w:p w14:paraId="1E4B456F" w14:textId="77777777" w:rsidR="002D5C33" w:rsidRPr="00160A37" w:rsidRDefault="007F55EB" w:rsidP="00231CA3">
            <w:pPr>
              <w:rPr>
                <w:rFonts w:ascii="Open Sans" w:hAnsi="Open Sans" w:cs="Arial"/>
                <w:color w:val="0000FF"/>
                <w:sz w:val="20"/>
                <w:szCs w:val="20"/>
                <w:u w:val="single"/>
              </w:rPr>
            </w:pPr>
            <w:hyperlink r:id="rId15" w:history="1">
              <w:r w:rsidR="002D5C33" w:rsidRPr="00160A37">
                <w:rPr>
                  <w:rStyle w:val="Hipervnculo"/>
                  <w:rFonts w:ascii="Open Sans" w:hAnsi="Open Sans" w:cs="Arial"/>
                  <w:sz w:val="20"/>
                  <w:szCs w:val="20"/>
                </w:rPr>
                <w:t>www.bancsabadell.com</w:t>
              </w:r>
            </w:hyperlink>
          </w:p>
        </w:tc>
      </w:tr>
      <w:tr w:rsidR="000C1AC1" w:rsidRPr="00160A37" w14:paraId="0D9A13E7" w14:textId="77777777" w:rsidTr="001211AF">
        <w:trPr>
          <w:trHeight w:val="255"/>
          <w:jc w:val="center"/>
        </w:trPr>
        <w:tc>
          <w:tcPr>
            <w:tcW w:w="3198" w:type="dxa"/>
            <w:vAlign w:val="bottom"/>
          </w:tcPr>
          <w:p w14:paraId="0E1C5725" w14:textId="146D6C95" w:rsidR="000C1AC1" w:rsidRDefault="007F55EB" w:rsidP="00231CA3">
            <w:pPr>
              <w:rPr>
                <w:rFonts w:ascii="Open Sans" w:hAnsi="Open Sans" w:cs="Arial"/>
                <w:color w:val="000000"/>
                <w:sz w:val="20"/>
                <w:szCs w:val="20"/>
              </w:rPr>
            </w:pPr>
            <w:hyperlink w:anchor="SANTANDER" w:history="1">
              <w:r w:rsidR="000C1AC1" w:rsidRPr="000C1AC1">
                <w:rPr>
                  <w:rStyle w:val="Hipervnculo"/>
                  <w:rFonts w:ascii="Open Sans" w:hAnsi="Open Sans" w:cs="Arial"/>
                  <w:sz w:val="20"/>
                  <w:szCs w:val="20"/>
                </w:rPr>
                <w:t>BANCO SANTANDER</w:t>
              </w:r>
            </w:hyperlink>
          </w:p>
        </w:tc>
        <w:tc>
          <w:tcPr>
            <w:tcW w:w="4323" w:type="dxa"/>
            <w:vAlign w:val="bottom"/>
          </w:tcPr>
          <w:p w14:paraId="7047CD40" w14:textId="707E9567" w:rsidR="000C1AC1" w:rsidRDefault="000C1AC1" w:rsidP="00231CA3">
            <w:r w:rsidRPr="00160A37">
              <w:rPr>
                <w:rFonts w:ascii="Open Sans" w:hAnsi="Open Sans" w:cs="Arial"/>
                <w:color w:val="0000FF"/>
                <w:sz w:val="20"/>
                <w:szCs w:val="20"/>
                <w:u w:val="single"/>
              </w:rPr>
              <w:t>www.bancosantander.es</w:t>
            </w:r>
          </w:p>
        </w:tc>
      </w:tr>
      <w:tr w:rsidR="002D5C33" w:rsidRPr="00160A37" w14:paraId="2E4A00D4" w14:textId="77777777" w:rsidTr="001211AF">
        <w:trPr>
          <w:trHeight w:val="255"/>
          <w:jc w:val="center"/>
        </w:trPr>
        <w:tc>
          <w:tcPr>
            <w:tcW w:w="3198" w:type="dxa"/>
            <w:vAlign w:val="bottom"/>
          </w:tcPr>
          <w:p w14:paraId="758697F6" w14:textId="01E9C785" w:rsidR="002D5C33" w:rsidRPr="00160A37" w:rsidRDefault="007F55EB" w:rsidP="00231CA3">
            <w:pPr>
              <w:rPr>
                <w:rFonts w:ascii="Open Sans" w:hAnsi="Open Sans" w:cs="Arial"/>
                <w:color w:val="000000"/>
                <w:sz w:val="20"/>
                <w:szCs w:val="20"/>
              </w:rPr>
            </w:pPr>
            <w:hyperlink w:anchor="Caixa" w:history="1">
              <w:r w:rsidR="001F7023">
                <w:rPr>
                  <w:rStyle w:val="Hipervnculo"/>
                  <w:rFonts w:ascii="Open Sans" w:hAnsi="Open Sans" w:cs="Arial"/>
                  <w:sz w:val="20"/>
                  <w:szCs w:val="20"/>
                </w:rPr>
                <w:t>CAIXABANK</w:t>
              </w:r>
            </w:hyperlink>
          </w:p>
        </w:tc>
        <w:tc>
          <w:tcPr>
            <w:tcW w:w="4323" w:type="dxa"/>
            <w:vAlign w:val="bottom"/>
          </w:tcPr>
          <w:p w14:paraId="4780ABC2" w14:textId="164041A5" w:rsidR="002D5C33" w:rsidRPr="00160A37" w:rsidRDefault="002D5C33"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www.caixabank.com</w:t>
            </w:r>
          </w:p>
        </w:tc>
      </w:tr>
      <w:tr w:rsidR="002D5C33" w:rsidRPr="00160A37" w14:paraId="687DDFCB" w14:textId="77777777" w:rsidTr="001211AF">
        <w:trPr>
          <w:trHeight w:val="255"/>
          <w:jc w:val="center"/>
        </w:trPr>
        <w:tc>
          <w:tcPr>
            <w:tcW w:w="3198" w:type="dxa"/>
            <w:vAlign w:val="bottom"/>
          </w:tcPr>
          <w:p w14:paraId="680E8633" w14:textId="1AE131FF" w:rsidR="002D5C33" w:rsidRPr="00160A37" w:rsidRDefault="007F55EB" w:rsidP="00231CA3">
            <w:pPr>
              <w:rPr>
                <w:rFonts w:ascii="Open Sans" w:hAnsi="Open Sans" w:cs="Arial"/>
                <w:color w:val="000000"/>
                <w:sz w:val="20"/>
                <w:szCs w:val="20"/>
              </w:rPr>
            </w:pPr>
            <w:hyperlink w:anchor="DIA" w:history="1">
              <w:r w:rsidR="002D5C33" w:rsidRPr="000C1AC1">
                <w:rPr>
                  <w:rStyle w:val="Hipervnculo"/>
                  <w:rFonts w:ascii="Open Sans" w:hAnsi="Open Sans" w:cs="Arial"/>
                  <w:sz w:val="20"/>
                  <w:szCs w:val="20"/>
                </w:rPr>
                <w:t>DIA</w:t>
              </w:r>
            </w:hyperlink>
          </w:p>
        </w:tc>
        <w:tc>
          <w:tcPr>
            <w:tcW w:w="4323" w:type="dxa"/>
            <w:vAlign w:val="bottom"/>
          </w:tcPr>
          <w:p w14:paraId="103F53C8" w14:textId="2A72B2B4" w:rsidR="002D5C33" w:rsidRPr="00160A37" w:rsidRDefault="007F55EB" w:rsidP="000C1AC1">
            <w:pPr>
              <w:rPr>
                <w:rFonts w:ascii="Open Sans" w:hAnsi="Open Sans" w:cs="Arial"/>
                <w:sz w:val="20"/>
                <w:szCs w:val="20"/>
              </w:rPr>
            </w:pPr>
            <w:hyperlink r:id="rId16" w:history="1">
              <w:r w:rsidR="002D5C33" w:rsidRPr="00160A37">
                <w:rPr>
                  <w:rStyle w:val="Hipervnculo"/>
                  <w:rFonts w:ascii="Open Sans" w:hAnsi="Open Sans" w:cs="Arial"/>
                  <w:sz w:val="20"/>
                  <w:szCs w:val="20"/>
                </w:rPr>
                <w:t>www.diacorporate.com/es</w:t>
              </w:r>
            </w:hyperlink>
            <w:r w:rsidR="002D5C33" w:rsidRPr="00160A37">
              <w:rPr>
                <w:rFonts w:ascii="Open Sans" w:hAnsi="Open Sans" w:cs="Arial"/>
                <w:sz w:val="20"/>
                <w:szCs w:val="20"/>
              </w:rPr>
              <w:t xml:space="preserve"> </w:t>
            </w:r>
          </w:p>
        </w:tc>
      </w:tr>
      <w:tr w:rsidR="002D5C33" w:rsidRPr="00160A37" w14:paraId="77FBDD87" w14:textId="77777777" w:rsidTr="001211AF">
        <w:trPr>
          <w:trHeight w:val="255"/>
          <w:jc w:val="center"/>
        </w:trPr>
        <w:tc>
          <w:tcPr>
            <w:tcW w:w="3198" w:type="dxa"/>
            <w:vAlign w:val="bottom"/>
          </w:tcPr>
          <w:p w14:paraId="3FFF5B2B" w14:textId="7A9A4F46" w:rsidR="002D5C33" w:rsidRPr="00160A37" w:rsidRDefault="007F55EB" w:rsidP="00231CA3">
            <w:pPr>
              <w:rPr>
                <w:rFonts w:ascii="Open Sans" w:hAnsi="Open Sans" w:cs="Arial"/>
                <w:color w:val="000000"/>
                <w:sz w:val="20"/>
                <w:szCs w:val="20"/>
              </w:rPr>
            </w:pPr>
            <w:hyperlink w:anchor="ENAGAS" w:history="1">
              <w:r w:rsidR="002D5C33" w:rsidRPr="000C1AC1">
                <w:rPr>
                  <w:rStyle w:val="Hipervnculo"/>
                  <w:rFonts w:ascii="Open Sans" w:hAnsi="Open Sans" w:cs="Arial"/>
                  <w:sz w:val="20"/>
                  <w:szCs w:val="20"/>
                </w:rPr>
                <w:t>ENAGAS</w:t>
              </w:r>
            </w:hyperlink>
          </w:p>
        </w:tc>
        <w:tc>
          <w:tcPr>
            <w:tcW w:w="4323" w:type="dxa"/>
            <w:vAlign w:val="bottom"/>
          </w:tcPr>
          <w:p w14:paraId="42595417" w14:textId="3653FDC6" w:rsidR="002D5C33" w:rsidRPr="00160A37" w:rsidRDefault="007F55EB" w:rsidP="000C1AC1">
            <w:pPr>
              <w:rPr>
                <w:rFonts w:ascii="Open Sans" w:hAnsi="Open Sans" w:cs="Arial"/>
                <w:color w:val="0000FF"/>
                <w:sz w:val="20"/>
                <w:szCs w:val="20"/>
                <w:u w:val="single"/>
              </w:rPr>
            </w:pPr>
            <w:hyperlink r:id="rId17" w:history="1">
              <w:r w:rsidR="002D5C33" w:rsidRPr="00160A37">
                <w:rPr>
                  <w:rStyle w:val="Hipervnculo"/>
                  <w:rFonts w:ascii="Open Sans" w:hAnsi="Open Sans" w:cs="Arial"/>
                  <w:sz w:val="20"/>
                  <w:szCs w:val="20"/>
                </w:rPr>
                <w:t>www.enagas.es</w:t>
              </w:r>
            </w:hyperlink>
          </w:p>
        </w:tc>
      </w:tr>
      <w:tr w:rsidR="002D5C33" w:rsidRPr="00160A37" w14:paraId="250520AC" w14:textId="77777777" w:rsidTr="001211AF">
        <w:trPr>
          <w:trHeight w:val="255"/>
          <w:jc w:val="center"/>
        </w:trPr>
        <w:tc>
          <w:tcPr>
            <w:tcW w:w="3198" w:type="dxa"/>
            <w:vAlign w:val="bottom"/>
          </w:tcPr>
          <w:p w14:paraId="146E88D2" w14:textId="6D6D4CB8" w:rsidR="002D5C33" w:rsidRPr="00160A37" w:rsidRDefault="007F55EB" w:rsidP="00231CA3">
            <w:pPr>
              <w:rPr>
                <w:rFonts w:ascii="Open Sans" w:hAnsi="Open Sans" w:cs="Arial"/>
                <w:color w:val="000000"/>
                <w:sz w:val="20"/>
                <w:szCs w:val="20"/>
              </w:rPr>
            </w:pPr>
            <w:hyperlink w:anchor="ENDESA" w:history="1">
              <w:r w:rsidR="002D5C33" w:rsidRPr="000C1AC1">
                <w:rPr>
                  <w:rStyle w:val="Hipervnculo"/>
                  <w:rFonts w:ascii="Open Sans" w:hAnsi="Open Sans" w:cs="Arial"/>
                  <w:sz w:val="20"/>
                  <w:szCs w:val="20"/>
                </w:rPr>
                <w:t>ENDESA</w:t>
              </w:r>
            </w:hyperlink>
          </w:p>
        </w:tc>
        <w:tc>
          <w:tcPr>
            <w:tcW w:w="4323" w:type="dxa"/>
            <w:vAlign w:val="bottom"/>
          </w:tcPr>
          <w:p w14:paraId="6F838EAB" w14:textId="236FC45B" w:rsidR="002D5C33" w:rsidRPr="00160A37" w:rsidRDefault="002D5C33" w:rsidP="002B3399">
            <w:pPr>
              <w:rPr>
                <w:rFonts w:ascii="Open Sans" w:hAnsi="Open Sans" w:cs="Arial"/>
                <w:color w:val="0000FF"/>
                <w:sz w:val="20"/>
                <w:szCs w:val="20"/>
                <w:u w:val="single"/>
              </w:rPr>
            </w:pPr>
            <w:r w:rsidRPr="003876BA">
              <w:rPr>
                <w:rFonts w:ascii="Open Sans" w:hAnsi="Open Sans" w:cs="Arial"/>
                <w:color w:val="0000FF"/>
                <w:sz w:val="20"/>
                <w:szCs w:val="20"/>
                <w:u w:val="single"/>
              </w:rPr>
              <w:t>www.endesa.com</w:t>
            </w:r>
          </w:p>
        </w:tc>
      </w:tr>
      <w:tr w:rsidR="002D5C33" w:rsidRPr="00160A37" w14:paraId="6F876C67" w14:textId="77777777" w:rsidTr="001211AF">
        <w:trPr>
          <w:trHeight w:val="255"/>
          <w:jc w:val="center"/>
        </w:trPr>
        <w:tc>
          <w:tcPr>
            <w:tcW w:w="3198" w:type="dxa"/>
            <w:vAlign w:val="bottom"/>
          </w:tcPr>
          <w:p w14:paraId="50C32559" w14:textId="5B6593A3" w:rsidR="002D5C33" w:rsidRPr="00160A37" w:rsidRDefault="007F55EB" w:rsidP="00231CA3">
            <w:pPr>
              <w:rPr>
                <w:rFonts w:ascii="Open Sans" w:hAnsi="Open Sans" w:cs="Arial"/>
                <w:color w:val="000000"/>
                <w:sz w:val="20"/>
                <w:szCs w:val="20"/>
              </w:rPr>
            </w:pPr>
            <w:hyperlink w:anchor="FCC" w:history="1">
              <w:r w:rsidR="002D5C33" w:rsidRPr="000C1AC1">
                <w:rPr>
                  <w:rStyle w:val="Hipervnculo"/>
                  <w:rFonts w:ascii="Open Sans" w:hAnsi="Open Sans" w:cs="Arial"/>
                  <w:sz w:val="20"/>
                  <w:szCs w:val="20"/>
                </w:rPr>
                <w:t>FCC</w:t>
              </w:r>
            </w:hyperlink>
          </w:p>
        </w:tc>
        <w:tc>
          <w:tcPr>
            <w:tcW w:w="4323" w:type="dxa"/>
            <w:vAlign w:val="bottom"/>
          </w:tcPr>
          <w:p w14:paraId="697CB061" w14:textId="01B479CC" w:rsidR="002D5C33" w:rsidRPr="00160A37" w:rsidRDefault="007F55EB" w:rsidP="000C1AC1">
            <w:pPr>
              <w:rPr>
                <w:rFonts w:ascii="Open Sans" w:hAnsi="Open Sans" w:cs="Arial"/>
                <w:color w:val="0000FF"/>
                <w:sz w:val="20"/>
                <w:szCs w:val="20"/>
                <w:u w:val="single"/>
              </w:rPr>
            </w:pPr>
            <w:hyperlink r:id="rId18" w:history="1">
              <w:r w:rsidR="002D5C33" w:rsidRPr="00160A37">
                <w:rPr>
                  <w:rStyle w:val="Hipervnculo"/>
                  <w:rFonts w:ascii="Open Sans" w:hAnsi="Open Sans" w:cs="Arial"/>
                  <w:sz w:val="20"/>
                  <w:szCs w:val="20"/>
                </w:rPr>
                <w:t>www.fcc.es</w:t>
              </w:r>
            </w:hyperlink>
          </w:p>
        </w:tc>
      </w:tr>
      <w:tr w:rsidR="002D5C33" w:rsidRPr="00160A37" w14:paraId="00F75F88" w14:textId="77777777" w:rsidTr="001211AF">
        <w:trPr>
          <w:trHeight w:val="255"/>
          <w:jc w:val="center"/>
        </w:trPr>
        <w:tc>
          <w:tcPr>
            <w:tcW w:w="3198" w:type="dxa"/>
            <w:vAlign w:val="bottom"/>
          </w:tcPr>
          <w:p w14:paraId="39568C3A" w14:textId="5A67F32F" w:rsidR="002D5C33" w:rsidRPr="00160A37" w:rsidRDefault="007F55EB" w:rsidP="00231CA3">
            <w:pPr>
              <w:rPr>
                <w:rFonts w:ascii="Open Sans" w:hAnsi="Open Sans" w:cs="Arial"/>
                <w:color w:val="000000"/>
                <w:sz w:val="20"/>
                <w:szCs w:val="20"/>
              </w:rPr>
            </w:pPr>
            <w:hyperlink w:anchor="FERROVIAL" w:history="1">
              <w:r w:rsidR="002D5C33" w:rsidRPr="000C1AC1">
                <w:rPr>
                  <w:rStyle w:val="Hipervnculo"/>
                  <w:rFonts w:ascii="Open Sans" w:hAnsi="Open Sans" w:cs="Arial"/>
                  <w:sz w:val="20"/>
                  <w:szCs w:val="20"/>
                </w:rPr>
                <w:t>FERROVIAL</w:t>
              </w:r>
            </w:hyperlink>
          </w:p>
        </w:tc>
        <w:tc>
          <w:tcPr>
            <w:tcW w:w="4323" w:type="dxa"/>
            <w:vAlign w:val="bottom"/>
          </w:tcPr>
          <w:p w14:paraId="484E5A9F" w14:textId="174A08D7" w:rsidR="002D5C33" w:rsidRPr="00160A37" w:rsidRDefault="007F55EB" w:rsidP="000C1AC1">
            <w:pPr>
              <w:rPr>
                <w:rFonts w:ascii="Open Sans" w:hAnsi="Open Sans" w:cs="Arial"/>
                <w:color w:val="0000FF"/>
                <w:sz w:val="20"/>
                <w:szCs w:val="20"/>
                <w:u w:val="single"/>
              </w:rPr>
            </w:pPr>
            <w:hyperlink r:id="rId19" w:history="1">
              <w:r w:rsidR="002D5C33" w:rsidRPr="00160A37">
                <w:rPr>
                  <w:rStyle w:val="Hipervnculo"/>
                  <w:rFonts w:ascii="Open Sans" w:hAnsi="Open Sans" w:cs="Arial"/>
                  <w:sz w:val="20"/>
                  <w:szCs w:val="20"/>
                </w:rPr>
                <w:t>www.ferrovial.es</w:t>
              </w:r>
            </w:hyperlink>
          </w:p>
        </w:tc>
      </w:tr>
      <w:tr w:rsidR="002D5C33" w:rsidRPr="00160A37" w14:paraId="1E5424E9" w14:textId="77777777" w:rsidTr="001211AF">
        <w:trPr>
          <w:trHeight w:val="255"/>
          <w:jc w:val="center"/>
        </w:trPr>
        <w:tc>
          <w:tcPr>
            <w:tcW w:w="3198" w:type="dxa"/>
            <w:vAlign w:val="bottom"/>
          </w:tcPr>
          <w:p w14:paraId="2D1888BF" w14:textId="6D91EFF3" w:rsidR="002D5C33" w:rsidRPr="00160A37" w:rsidRDefault="007F55EB" w:rsidP="00231CA3">
            <w:pPr>
              <w:rPr>
                <w:rFonts w:ascii="Open Sans" w:hAnsi="Open Sans" w:cs="Arial"/>
                <w:color w:val="000000"/>
                <w:sz w:val="20"/>
                <w:szCs w:val="20"/>
              </w:rPr>
            </w:pPr>
            <w:hyperlink w:anchor="GAMESA" w:history="1">
              <w:r w:rsidR="002D5C33" w:rsidRPr="000C1AC1">
                <w:rPr>
                  <w:rStyle w:val="Hipervnculo"/>
                  <w:rFonts w:ascii="Open Sans" w:hAnsi="Open Sans" w:cs="Arial"/>
                  <w:sz w:val="20"/>
                  <w:szCs w:val="20"/>
                </w:rPr>
                <w:t>GAMESA</w:t>
              </w:r>
            </w:hyperlink>
            <w:r w:rsidR="002D5C33" w:rsidRPr="00160A37">
              <w:rPr>
                <w:rFonts w:ascii="Open Sans" w:hAnsi="Open Sans" w:cs="Arial"/>
                <w:color w:val="000000"/>
                <w:sz w:val="20"/>
                <w:szCs w:val="20"/>
              </w:rPr>
              <w:t xml:space="preserve"> </w:t>
            </w:r>
          </w:p>
        </w:tc>
        <w:tc>
          <w:tcPr>
            <w:tcW w:w="4323" w:type="dxa"/>
            <w:vAlign w:val="bottom"/>
          </w:tcPr>
          <w:p w14:paraId="2142E4E7" w14:textId="3EBB09A4" w:rsidR="002D5C33" w:rsidRPr="00160A37" w:rsidRDefault="007F55EB" w:rsidP="000C1AC1">
            <w:pPr>
              <w:rPr>
                <w:rFonts w:ascii="Open Sans" w:hAnsi="Open Sans" w:cs="Arial"/>
                <w:color w:val="0000FF"/>
                <w:sz w:val="20"/>
                <w:szCs w:val="20"/>
                <w:u w:val="single"/>
              </w:rPr>
            </w:pPr>
            <w:hyperlink r:id="rId20" w:history="1">
              <w:r w:rsidR="002D5C33" w:rsidRPr="00160A37">
                <w:rPr>
                  <w:rStyle w:val="Hipervnculo"/>
                  <w:rFonts w:ascii="Open Sans" w:hAnsi="Open Sans" w:cs="Arial"/>
                  <w:sz w:val="20"/>
                  <w:szCs w:val="20"/>
                </w:rPr>
                <w:t>www.gamesa.es</w:t>
              </w:r>
            </w:hyperlink>
          </w:p>
        </w:tc>
      </w:tr>
      <w:tr w:rsidR="002D5C33" w:rsidRPr="00160A37" w14:paraId="63D7D541" w14:textId="77777777" w:rsidTr="001211AF">
        <w:trPr>
          <w:trHeight w:val="255"/>
          <w:jc w:val="center"/>
        </w:trPr>
        <w:tc>
          <w:tcPr>
            <w:tcW w:w="3198" w:type="dxa"/>
            <w:vAlign w:val="bottom"/>
          </w:tcPr>
          <w:p w14:paraId="1D18B635" w14:textId="6BD81A57" w:rsidR="002D5C33" w:rsidRPr="00160A37" w:rsidRDefault="007F55EB" w:rsidP="00231CA3">
            <w:pPr>
              <w:rPr>
                <w:rFonts w:ascii="Open Sans" w:hAnsi="Open Sans" w:cs="Arial"/>
                <w:color w:val="000000"/>
                <w:sz w:val="20"/>
                <w:szCs w:val="20"/>
              </w:rPr>
            </w:pPr>
            <w:hyperlink w:anchor="GNF" w:history="1">
              <w:r w:rsidR="002D5C33" w:rsidRPr="000C1AC1">
                <w:rPr>
                  <w:rStyle w:val="Hipervnculo"/>
                  <w:rFonts w:ascii="Open Sans" w:hAnsi="Open Sans" w:cs="Arial"/>
                  <w:sz w:val="20"/>
                  <w:szCs w:val="20"/>
                </w:rPr>
                <w:t>GAS NATURAL FENOSA</w:t>
              </w:r>
            </w:hyperlink>
          </w:p>
        </w:tc>
        <w:tc>
          <w:tcPr>
            <w:tcW w:w="4323" w:type="dxa"/>
            <w:vAlign w:val="bottom"/>
          </w:tcPr>
          <w:p w14:paraId="5812C9E2" w14:textId="77777777" w:rsidR="002D5C33" w:rsidRPr="00160A37" w:rsidRDefault="007F55EB" w:rsidP="00231CA3">
            <w:pPr>
              <w:rPr>
                <w:rFonts w:ascii="Open Sans" w:hAnsi="Open Sans" w:cs="Arial"/>
                <w:color w:val="0000FF"/>
                <w:sz w:val="20"/>
                <w:szCs w:val="20"/>
                <w:u w:val="single"/>
              </w:rPr>
            </w:pPr>
            <w:hyperlink r:id="rId21" w:history="1">
              <w:r w:rsidR="002D5C33" w:rsidRPr="00160A37">
                <w:rPr>
                  <w:rStyle w:val="Hipervnculo"/>
                  <w:rFonts w:ascii="Open Sans" w:hAnsi="Open Sans" w:cs="Arial"/>
                  <w:sz w:val="20"/>
                  <w:szCs w:val="20"/>
                </w:rPr>
                <w:t>www.gasnaturalfenosa.es</w:t>
              </w:r>
            </w:hyperlink>
          </w:p>
        </w:tc>
      </w:tr>
      <w:tr w:rsidR="002D5C33" w:rsidRPr="00160A37" w14:paraId="12BBA92A" w14:textId="77777777" w:rsidTr="001211AF">
        <w:trPr>
          <w:trHeight w:val="255"/>
          <w:jc w:val="center"/>
        </w:trPr>
        <w:tc>
          <w:tcPr>
            <w:tcW w:w="3198" w:type="dxa"/>
            <w:vAlign w:val="bottom"/>
          </w:tcPr>
          <w:p w14:paraId="6A1D0137" w14:textId="0E97E18C" w:rsidR="002D5C33" w:rsidRPr="00160A37" w:rsidRDefault="007F55EB" w:rsidP="00231CA3">
            <w:pPr>
              <w:rPr>
                <w:rFonts w:ascii="Open Sans" w:hAnsi="Open Sans" w:cs="Arial"/>
                <w:color w:val="000000"/>
                <w:sz w:val="20"/>
                <w:szCs w:val="20"/>
              </w:rPr>
            </w:pPr>
            <w:hyperlink w:anchor="GRIFOLS" w:history="1">
              <w:r w:rsidR="002D5C33" w:rsidRPr="002D5C33">
                <w:rPr>
                  <w:rStyle w:val="Hipervnculo"/>
                  <w:rFonts w:ascii="Open Sans" w:hAnsi="Open Sans" w:cs="Arial"/>
                  <w:sz w:val="20"/>
                  <w:szCs w:val="20"/>
                </w:rPr>
                <w:t>GRIFOLS</w:t>
              </w:r>
            </w:hyperlink>
          </w:p>
        </w:tc>
        <w:tc>
          <w:tcPr>
            <w:tcW w:w="4323" w:type="dxa"/>
            <w:vAlign w:val="bottom"/>
          </w:tcPr>
          <w:p w14:paraId="75C49CAE" w14:textId="1BC94E68" w:rsidR="002D5C33" w:rsidRPr="00160A37" w:rsidRDefault="002D5C33"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www.grifols.com</w:t>
            </w:r>
          </w:p>
        </w:tc>
      </w:tr>
      <w:tr w:rsidR="002D5C33" w:rsidRPr="00160A37" w14:paraId="3B7A7189" w14:textId="77777777" w:rsidTr="001211AF">
        <w:trPr>
          <w:trHeight w:val="255"/>
          <w:jc w:val="center"/>
        </w:trPr>
        <w:tc>
          <w:tcPr>
            <w:tcW w:w="3198" w:type="dxa"/>
            <w:vAlign w:val="bottom"/>
          </w:tcPr>
          <w:p w14:paraId="5DDDFE0D" w14:textId="1CE981F2" w:rsidR="002D5C33" w:rsidRPr="00160A37" w:rsidRDefault="007F55EB" w:rsidP="00231CA3">
            <w:pPr>
              <w:rPr>
                <w:rFonts w:ascii="Open Sans" w:hAnsi="Open Sans" w:cs="Arial"/>
                <w:color w:val="000000"/>
                <w:sz w:val="20"/>
                <w:szCs w:val="20"/>
              </w:rPr>
            </w:pPr>
            <w:hyperlink w:anchor="IAG" w:history="1">
              <w:r w:rsidR="002D5C33" w:rsidRPr="000C1AC1">
                <w:rPr>
                  <w:rStyle w:val="Hipervnculo"/>
                  <w:rFonts w:ascii="Open Sans" w:hAnsi="Open Sans" w:cs="Arial"/>
                  <w:sz w:val="20"/>
                  <w:szCs w:val="20"/>
                </w:rPr>
                <w:t>IAG</w:t>
              </w:r>
            </w:hyperlink>
          </w:p>
        </w:tc>
        <w:tc>
          <w:tcPr>
            <w:tcW w:w="4323" w:type="dxa"/>
            <w:vAlign w:val="bottom"/>
          </w:tcPr>
          <w:p w14:paraId="286811AA" w14:textId="2977C10E" w:rsidR="002D5C33" w:rsidRPr="00160A37" w:rsidRDefault="007F55EB" w:rsidP="000C1AC1">
            <w:pPr>
              <w:rPr>
                <w:rFonts w:ascii="Open Sans" w:hAnsi="Open Sans" w:cs="Arial"/>
                <w:color w:val="0000FF"/>
                <w:sz w:val="20"/>
                <w:szCs w:val="20"/>
                <w:u w:val="single"/>
              </w:rPr>
            </w:pPr>
            <w:hyperlink r:id="rId22" w:history="1">
              <w:r w:rsidR="000C1AC1" w:rsidRPr="007761EC">
                <w:rPr>
                  <w:rStyle w:val="Hipervnculo"/>
                  <w:rFonts w:ascii="Open Sans" w:hAnsi="Open Sans" w:cs="Arial"/>
                  <w:sz w:val="20"/>
                  <w:szCs w:val="20"/>
                </w:rPr>
                <w:t>www.es.iairgroup.com</w:t>
              </w:r>
            </w:hyperlink>
          </w:p>
        </w:tc>
      </w:tr>
      <w:tr w:rsidR="000C1AC1" w:rsidRPr="00160A37" w14:paraId="73329147" w14:textId="77777777" w:rsidTr="001211AF">
        <w:trPr>
          <w:trHeight w:val="255"/>
          <w:jc w:val="center"/>
        </w:trPr>
        <w:tc>
          <w:tcPr>
            <w:tcW w:w="3198" w:type="dxa"/>
            <w:vAlign w:val="bottom"/>
          </w:tcPr>
          <w:p w14:paraId="3AC865E6" w14:textId="5AA7119B" w:rsidR="000C1AC1" w:rsidRDefault="007F55EB" w:rsidP="00231CA3">
            <w:pPr>
              <w:rPr>
                <w:rFonts w:ascii="Open Sans" w:hAnsi="Open Sans" w:cs="Arial"/>
                <w:color w:val="000000"/>
                <w:sz w:val="20"/>
                <w:szCs w:val="20"/>
              </w:rPr>
            </w:pPr>
            <w:hyperlink w:anchor="IBERDROLA" w:history="1">
              <w:r w:rsidR="000C1AC1" w:rsidRPr="000C1AC1">
                <w:rPr>
                  <w:rStyle w:val="Hipervnculo"/>
                  <w:rFonts w:ascii="Open Sans" w:hAnsi="Open Sans" w:cs="Arial"/>
                  <w:sz w:val="20"/>
                  <w:szCs w:val="20"/>
                </w:rPr>
                <w:t>IBERDROLA</w:t>
              </w:r>
            </w:hyperlink>
          </w:p>
        </w:tc>
        <w:tc>
          <w:tcPr>
            <w:tcW w:w="4323" w:type="dxa"/>
            <w:vAlign w:val="bottom"/>
          </w:tcPr>
          <w:p w14:paraId="34F9EE2A" w14:textId="5C4AFA43" w:rsidR="000C1AC1" w:rsidRDefault="000C1AC1" w:rsidP="000C1AC1">
            <w:pPr>
              <w:rPr>
                <w:rFonts w:ascii="Open Sans" w:hAnsi="Open Sans" w:cs="Arial"/>
                <w:sz w:val="20"/>
                <w:szCs w:val="20"/>
              </w:rPr>
            </w:pPr>
            <w:r w:rsidRPr="00160A37">
              <w:rPr>
                <w:rFonts w:ascii="Open Sans" w:hAnsi="Open Sans" w:cs="Arial"/>
                <w:color w:val="0000FF"/>
                <w:sz w:val="20"/>
                <w:szCs w:val="20"/>
                <w:u w:val="single"/>
              </w:rPr>
              <w:t>www.iberdrola.es</w:t>
            </w:r>
          </w:p>
        </w:tc>
      </w:tr>
      <w:tr w:rsidR="002D5C33" w:rsidRPr="00160A37" w14:paraId="47394DD5" w14:textId="77777777" w:rsidTr="001211AF">
        <w:trPr>
          <w:trHeight w:val="255"/>
          <w:jc w:val="center"/>
        </w:trPr>
        <w:tc>
          <w:tcPr>
            <w:tcW w:w="3198" w:type="dxa"/>
            <w:vAlign w:val="bottom"/>
          </w:tcPr>
          <w:p w14:paraId="6362793F" w14:textId="278D420D" w:rsidR="002D5C33" w:rsidRPr="00160A37" w:rsidRDefault="007F55EB" w:rsidP="00231CA3">
            <w:pPr>
              <w:rPr>
                <w:rFonts w:ascii="Open Sans" w:hAnsi="Open Sans" w:cs="Arial"/>
                <w:color w:val="000000"/>
                <w:sz w:val="20"/>
                <w:szCs w:val="20"/>
              </w:rPr>
            </w:pPr>
            <w:hyperlink w:anchor="INDITEX" w:history="1">
              <w:r w:rsidR="002D5C33" w:rsidRPr="002D5C33">
                <w:rPr>
                  <w:rStyle w:val="Hipervnculo"/>
                  <w:rFonts w:ascii="Open Sans" w:hAnsi="Open Sans" w:cs="Arial"/>
                  <w:sz w:val="20"/>
                  <w:szCs w:val="20"/>
                </w:rPr>
                <w:t>INDITEX</w:t>
              </w:r>
            </w:hyperlink>
          </w:p>
        </w:tc>
        <w:tc>
          <w:tcPr>
            <w:tcW w:w="4323" w:type="dxa"/>
            <w:vAlign w:val="bottom"/>
          </w:tcPr>
          <w:p w14:paraId="53D255FB" w14:textId="207F20DA" w:rsidR="002D5C33" w:rsidRPr="00160A37" w:rsidRDefault="007F55EB" w:rsidP="000C1AC1">
            <w:pPr>
              <w:rPr>
                <w:rFonts w:ascii="Open Sans" w:hAnsi="Open Sans" w:cs="Arial"/>
                <w:color w:val="0000FF"/>
                <w:sz w:val="20"/>
                <w:szCs w:val="20"/>
                <w:u w:val="single"/>
              </w:rPr>
            </w:pPr>
            <w:hyperlink r:id="rId23" w:history="1">
              <w:r w:rsidR="002D5C33" w:rsidRPr="00160A37">
                <w:rPr>
                  <w:rStyle w:val="Hipervnculo"/>
                  <w:rFonts w:ascii="Open Sans" w:hAnsi="Open Sans" w:cs="Arial"/>
                  <w:sz w:val="20"/>
                  <w:szCs w:val="20"/>
                </w:rPr>
                <w:t>www.inditex.com</w:t>
              </w:r>
            </w:hyperlink>
          </w:p>
        </w:tc>
      </w:tr>
      <w:tr w:rsidR="002D5C33" w:rsidRPr="00160A37" w14:paraId="1B780838" w14:textId="77777777" w:rsidTr="001211AF">
        <w:trPr>
          <w:trHeight w:val="255"/>
          <w:jc w:val="center"/>
        </w:trPr>
        <w:tc>
          <w:tcPr>
            <w:tcW w:w="3198" w:type="dxa"/>
            <w:vAlign w:val="bottom"/>
          </w:tcPr>
          <w:p w14:paraId="7C6BC170" w14:textId="3FDC3D46" w:rsidR="002D5C33" w:rsidRPr="00160A37" w:rsidRDefault="007F55EB" w:rsidP="00231CA3">
            <w:pPr>
              <w:rPr>
                <w:rFonts w:ascii="Open Sans" w:hAnsi="Open Sans" w:cs="Arial"/>
                <w:color w:val="000000"/>
                <w:sz w:val="20"/>
                <w:szCs w:val="20"/>
              </w:rPr>
            </w:pPr>
            <w:hyperlink w:anchor="INDRA" w:history="1">
              <w:r w:rsidR="002D5C33" w:rsidRPr="000C1AC1">
                <w:rPr>
                  <w:rStyle w:val="Hipervnculo"/>
                  <w:rFonts w:ascii="Open Sans" w:hAnsi="Open Sans" w:cs="Arial"/>
                  <w:sz w:val="20"/>
                  <w:szCs w:val="20"/>
                </w:rPr>
                <w:t>INDRA</w:t>
              </w:r>
            </w:hyperlink>
            <w:r w:rsidR="002D5C33" w:rsidRPr="00160A37">
              <w:rPr>
                <w:rFonts w:ascii="Open Sans" w:hAnsi="Open Sans" w:cs="Arial"/>
                <w:color w:val="000000"/>
                <w:sz w:val="20"/>
                <w:szCs w:val="20"/>
              </w:rPr>
              <w:t xml:space="preserve"> </w:t>
            </w:r>
          </w:p>
        </w:tc>
        <w:tc>
          <w:tcPr>
            <w:tcW w:w="4323" w:type="dxa"/>
            <w:vAlign w:val="bottom"/>
          </w:tcPr>
          <w:p w14:paraId="4CE8D674" w14:textId="14D1A8DA" w:rsidR="002D5C33" w:rsidRPr="00160A37" w:rsidRDefault="007F55EB" w:rsidP="000C1AC1">
            <w:pPr>
              <w:rPr>
                <w:rFonts w:ascii="Open Sans" w:hAnsi="Open Sans" w:cs="Arial"/>
                <w:color w:val="0000FF"/>
                <w:sz w:val="20"/>
                <w:szCs w:val="20"/>
                <w:u w:val="single"/>
              </w:rPr>
            </w:pPr>
            <w:hyperlink r:id="rId24" w:history="1">
              <w:r w:rsidR="002D5C33" w:rsidRPr="00160A37">
                <w:rPr>
                  <w:rStyle w:val="Hipervnculo"/>
                  <w:rFonts w:ascii="Open Sans" w:hAnsi="Open Sans" w:cs="Arial"/>
                  <w:sz w:val="20"/>
                  <w:szCs w:val="20"/>
                </w:rPr>
                <w:t>www.indra.es</w:t>
              </w:r>
            </w:hyperlink>
          </w:p>
        </w:tc>
      </w:tr>
      <w:tr w:rsidR="002D5C33" w:rsidRPr="00160A37" w14:paraId="1273FF1C" w14:textId="77777777" w:rsidTr="001211AF">
        <w:trPr>
          <w:trHeight w:val="255"/>
          <w:jc w:val="center"/>
        </w:trPr>
        <w:tc>
          <w:tcPr>
            <w:tcW w:w="3198" w:type="dxa"/>
            <w:vAlign w:val="bottom"/>
          </w:tcPr>
          <w:p w14:paraId="031B39BB" w14:textId="20DDDE26" w:rsidR="002D5C33" w:rsidRPr="00160A37" w:rsidRDefault="007F55EB" w:rsidP="00231CA3">
            <w:pPr>
              <w:rPr>
                <w:rFonts w:ascii="Open Sans" w:hAnsi="Open Sans" w:cs="Arial"/>
                <w:color w:val="000000"/>
                <w:sz w:val="20"/>
                <w:szCs w:val="20"/>
              </w:rPr>
            </w:pPr>
            <w:hyperlink w:anchor="MAPFRE" w:history="1">
              <w:r w:rsidR="002D5C33" w:rsidRPr="000C1AC1">
                <w:rPr>
                  <w:rStyle w:val="Hipervnculo"/>
                  <w:rFonts w:ascii="Open Sans" w:hAnsi="Open Sans" w:cs="Arial"/>
                  <w:sz w:val="20"/>
                  <w:szCs w:val="20"/>
                </w:rPr>
                <w:t>MAPFRE</w:t>
              </w:r>
            </w:hyperlink>
          </w:p>
        </w:tc>
        <w:tc>
          <w:tcPr>
            <w:tcW w:w="4323" w:type="dxa"/>
            <w:vAlign w:val="bottom"/>
          </w:tcPr>
          <w:p w14:paraId="46825E99" w14:textId="77777777" w:rsidR="002D5C33" w:rsidRPr="00160A37" w:rsidRDefault="002D5C33" w:rsidP="00231CA3">
            <w:pPr>
              <w:rPr>
                <w:rFonts w:ascii="Open Sans" w:hAnsi="Open Sans" w:cs="Arial"/>
                <w:color w:val="0000FF"/>
                <w:sz w:val="20"/>
                <w:szCs w:val="20"/>
                <w:u w:val="single"/>
              </w:rPr>
            </w:pPr>
            <w:r w:rsidRPr="00160A37">
              <w:rPr>
                <w:rFonts w:ascii="Open Sans" w:hAnsi="Open Sans" w:cs="Arial"/>
                <w:color w:val="0000FF"/>
                <w:sz w:val="20"/>
                <w:szCs w:val="20"/>
                <w:u w:val="single"/>
              </w:rPr>
              <w:t>www.mapfre.com</w:t>
            </w:r>
          </w:p>
        </w:tc>
      </w:tr>
      <w:tr w:rsidR="000C1AC1" w:rsidRPr="00160A37" w14:paraId="5B8D604F" w14:textId="77777777" w:rsidTr="001211AF">
        <w:trPr>
          <w:trHeight w:val="255"/>
          <w:jc w:val="center"/>
        </w:trPr>
        <w:tc>
          <w:tcPr>
            <w:tcW w:w="3198" w:type="dxa"/>
            <w:vAlign w:val="bottom"/>
          </w:tcPr>
          <w:p w14:paraId="31A7AB1E" w14:textId="1BE893E8" w:rsidR="000C1AC1" w:rsidRDefault="007F55EB" w:rsidP="000C1AC1">
            <w:pPr>
              <w:rPr>
                <w:rFonts w:ascii="Open Sans" w:hAnsi="Open Sans" w:cs="Arial"/>
                <w:color w:val="000000"/>
                <w:sz w:val="20"/>
                <w:szCs w:val="20"/>
              </w:rPr>
            </w:pPr>
            <w:hyperlink w:anchor="MEDIASET" w:history="1">
              <w:r w:rsidR="000C1AC1" w:rsidRPr="000C1AC1">
                <w:rPr>
                  <w:rStyle w:val="Hipervnculo"/>
                  <w:rFonts w:ascii="Open Sans" w:hAnsi="Open Sans" w:cs="Arial"/>
                  <w:sz w:val="20"/>
                  <w:szCs w:val="20"/>
                </w:rPr>
                <w:t>MEDIASET</w:t>
              </w:r>
            </w:hyperlink>
          </w:p>
        </w:tc>
        <w:tc>
          <w:tcPr>
            <w:tcW w:w="4323" w:type="dxa"/>
            <w:vAlign w:val="bottom"/>
          </w:tcPr>
          <w:p w14:paraId="085C64A2" w14:textId="485E5121" w:rsidR="000C1AC1" w:rsidRPr="00160A37" w:rsidRDefault="000C1AC1" w:rsidP="000C1AC1">
            <w:pPr>
              <w:rPr>
                <w:rFonts w:ascii="Open Sans" w:hAnsi="Open Sans" w:cs="Arial"/>
                <w:color w:val="0000FF"/>
                <w:sz w:val="20"/>
                <w:szCs w:val="20"/>
                <w:u w:val="single"/>
              </w:rPr>
            </w:pPr>
            <w:r w:rsidRPr="000C1AC1">
              <w:rPr>
                <w:rFonts w:ascii="Open Sans" w:hAnsi="Open Sans" w:cs="Arial"/>
                <w:color w:val="0000FF"/>
                <w:sz w:val="20"/>
                <w:szCs w:val="20"/>
                <w:u w:val="single"/>
              </w:rPr>
              <w:t>www.mediaset.es</w:t>
            </w:r>
          </w:p>
        </w:tc>
      </w:tr>
      <w:tr w:rsidR="00262655" w:rsidRPr="00160A37" w14:paraId="7F70CFDA" w14:textId="77777777" w:rsidTr="001211AF">
        <w:trPr>
          <w:trHeight w:val="255"/>
          <w:jc w:val="center"/>
        </w:trPr>
        <w:tc>
          <w:tcPr>
            <w:tcW w:w="3198" w:type="dxa"/>
            <w:vAlign w:val="bottom"/>
          </w:tcPr>
          <w:p w14:paraId="55B4CD40" w14:textId="5774DAA0" w:rsidR="00262655" w:rsidRDefault="007F55EB" w:rsidP="000C1AC1">
            <w:hyperlink w:anchor="Merlin" w:history="1">
              <w:r w:rsidR="00262655" w:rsidRPr="001F7023">
                <w:rPr>
                  <w:rStyle w:val="Hipervnculo"/>
                  <w:rFonts w:ascii="Open Sans" w:hAnsi="Open Sans" w:cs="Arial"/>
                  <w:sz w:val="20"/>
                  <w:szCs w:val="20"/>
                </w:rPr>
                <w:t>MERLIN PROPERTIES SOCIMI</w:t>
              </w:r>
            </w:hyperlink>
          </w:p>
        </w:tc>
        <w:tc>
          <w:tcPr>
            <w:tcW w:w="4323" w:type="dxa"/>
            <w:vAlign w:val="bottom"/>
          </w:tcPr>
          <w:p w14:paraId="1432E466" w14:textId="05A10F9A" w:rsidR="00262655" w:rsidRPr="00160A37" w:rsidRDefault="00262655" w:rsidP="000C1AC1">
            <w:pPr>
              <w:rPr>
                <w:rFonts w:ascii="Open Sans" w:hAnsi="Open Sans" w:cs="Arial"/>
                <w:color w:val="0000FF"/>
                <w:sz w:val="20"/>
                <w:szCs w:val="20"/>
                <w:u w:val="single"/>
              </w:rPr>
            </w:pPr>
            <w:r w:rsidRPr="00262655">
              <w:rPr>
                <w:rFonts w:ascii="Open Sans" w:hAnsi="Open Sans" w:cs="Arial"/>
                <w:color w:val="0000FF"/>
                <w:sz w:val="20"/>
                <w:szCs w:val="20"/>
                <w:u w:val="single"/>
              </w:rPr>
              <w:t>www.merlinproperties.com/</w:t>
            </w:r>
          </w:p>
        </w:tc>
      </w:tr>
      <w:tr w:rsidR="000C1AC1" w:rsidRPr="00160A37" w14:paraId="4CBC2AFF" w14:textId="77777777" w:rsidTr="001211AF">
        <w:trPr>
          <w:trHeight w:val="255"/>
          <w:jc w:val="center"/>
        </w:trPr>
        <w:tc>
          <w:tcPr>
            <w:tcW w:w="3198" w:type="dxa"/>
            <w:vAlign w:val="bottom"/>
          </w:tcPr>
          <w:p w14:paraId="070E9264" w14:textId="53652BDB" w:rsidR="000C1AC1" w:rsidRPr="00160A37" w:rsidRDefault="007F55EB" w:rsidP="000C1AC1">
            <w:pPr>
              <w:rPr>
                <w:rFonts w:ascii="Open Sans" w:hAnsi="Open Sans" w:cs="Arial"/>
                <w:color w:val="000000"/>
                <w:sz w:val="20"/>
                <w:szCs w:val="20"/>
              </w:rPr>
            </w:pPr>
            <w:hyperlink w:anchor="OHL" w:history="1">
              <w:r w:rsidR="000C1AC1" w:rsidRPr="000C1AC1">
                <w:rPr>
                  <w:rStyle w:val="Hipervnculo"/>
                  <w:rFonts w:ascii="Open Sans" w:hAnsi="Open Sans" w:cs="Arial"/>
                  <w:sz w:val="20"/>
                  <w:szCs w:val="20"/>
                </w:rPr>
                <w:t>OHL</w:t>
              </w:r>
            </w:hyperlink>
          </w:p>
        </w:tc>
        <w:tc>
          <w:tcPr>
            <w:tcW w:w="4323" w:type="dxa"/>
            <w:vAlign w:val="bottom"/>
          </w:tcPr>
          <w:p w14:paraId="5512C92A" w14:textId="655B4976" w:rsidR="000C1AC1" w:rsidRPr="00160A37" w:rsidRDefault="000C1AC1"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www.ohl.es</w:t>
            </w:r>
          </w:p>
        </w:tc>
      </w:tr>
      <w:tr w:rsidR="000C1AC1" w:rsidRPr="00160A37" w14:paraId="5CEC5885" w14:textId="77777777" w:rsidTr="001211AF">
        <w:trPr>
          <w:trHeight w:val="255"/>
          <w:jc w:val="center"/>
        </w:trPr>
        <w:tc>
          <w:tcPr>
            <w:tcW w:w="3198" w:type="dxa"/>
            <w:vAlign w:val="bottom"/>
          </w:tcPr>
          <w:p w14:paraId="69CA5133" w14:textId="4212178A" w:rsidR="000C1AC1" w:rsidRPr="00160A37" w:rsidRDefault="007F55EB" w:rsidP="000C1AC1">
            <w:pPr>
              <w:rPr>
                <w:rFonts w:ascii="Open Sans" w:hAnsi="Open Sans" w:cs="Arial"/>
                <w:color w:val="000000"/>
                <w:sz w:val="20"/>
                <w:szCs w:val="20"/>
              </w:rPr>
            </w:pPr>
            <w:hyperlink w:anchor="REC" w:history="1">
              <w:r w:rsidR="000C1AC1" w:rsidRPr="000C1AC1">
                <w:rPr>
                  <w:rStyle w:val="Hipervnculo"/>
                  <w:rFonts w:ascii="Open Sans" w:hAnsi="Open Sans" w:cs="Arial"/>
                  <w:sz w:val="20"/>
                  <w:szCs w:val="20"/>
                </w:rPr>
                <w:t>RE</w:t>
              </w:r>
              <w:r w:rsidR="000C1AC1">
                <w:rPr>
                  <w:rStyle w:val="Hipervnculo"/>
                  <w:rFonts w:ascii="Open Sans" w:hAnsi="Open Sans" w:cs="Arial"/>
                  <w:sz w:val="20"/>
                  <w:szCs w:val="20"/>
                </w:rPr>
                <w:t>C</w:t>
              </w:r>
            </w:hyperlink>
          </w:p>
        </w:tc>
        <w:tc>
          <w:tcPr>
            <w:tcW w:w="4323" w:type="dxa"/>
            <w:vAlign w:val="bottom"/>
          </w:tcPr>
          <w:p w14:paraId="119A0632" w14:textId="7A1E205C" w:rsidR="000C1AC1" w:rsidRPr="00160A37" w:rsidRDefault="007F55EB" w:rsidP="000C1AC1">
            <w:pPr>
              <w:rPr>
                <w:rFonts w:ascii="Open Sans" w:hAnsi="Open Sans" w:cs="Arial"/>
                <w:color w:val="0000FF"/>
                <w:sz w:val="20"/>
                <w:szCs w:val="20"/>
                <w:u w:val="single"/>
              </w:rPr>
            </w:pPr>
            <w:hyperlink r:id="rId25" w:history="1">
              <w:r w:rsidR="000C1AC1" w:rsidRPr="00160A37">
                <w:rPr>
                  <w:rStyle w:val="Hipervnculo"/>
                  <w:rFonts w:ascii="Open Sans" w:hAnsi="Open Sans" w:cs="Arial"/>
                  <w:sz w:val="20"/>
                  <w:szCs w:val="20"/>
                </w:rPr>
                <w:t>www.ree.es</w:t>
              </w:r>
            </w:hyperlink>
          </w:p>
        </w:tc>
      </w:tr>
      <w:tr w:rsidR="000C1AC1" w:rsidRPr="00160A37" w14:paraId="1C5D76B1" w14:textId="77777777" w:rsidTr="001211AF">
        <w:trPr>
          <w:trHeight w:val="255"/>
          <w:jc w:val="center"/>
        </w:trPr>
        <w:tc>
          <w:tcPr>
            <w:tcW w:w="3198" w:type="dxa"/>
            <w:vAlign w:val="bottom"/>
          </w:tcPr>
          <w:p w14:paraId="720CD488" w14:textId="77E66E9C" w:rsidR="000C1AC1" w:rsidRPr="00160A37" w:rsidRDefault="007F55EB" w:rsidP="000C1AC1">
            <w:pPr>
              <w:rPr>
                <w:rFonts w:ascii="Open Sans" w:hAnsi="Open Sans" w:cs="Arial"/>
                <w:color w:val="000000"/>
                <w:sz w:val="20"/>
                <w:szCs w:val="20"/>
              </w:rPr>
            </w:pPr>
            <w:hyperlink w:anchor="REPSOL" w:history="1">
              <w:r w:rsidR="000C1AC1" w:rsidRPr="000C1AC1">
                <w:rPr>
                  <w:rStyle w:val="Hipervnculo"/>
                  <w:rFonts w:ascii="Open Sans" w:hAnsi="Open Sans" w:cs="Arial"/>
                  <w:sz w:val="20"/>
                  <w:szCs w:val="20"/>
                </w:rPr>
                <w:t>REPSOL</w:t>
              </w:r>
            </w:hyperlink>
          </w:p>
        </w:tc>
        <w:tc>
          <w:tcPr>
            <w:tcW w:w="4323" w:type="dxa"/>
            <w:vAlign w:val="bottom"/>
          </w:tcPr>
          <w:p w14:paraId="71426D06" w14:textId="1272199A" w:rsidR="000C1AC1" w:rsidRPr="00160A37" w:rsidRDefault="007F55EB" w:rsidP="000C1AC1">
            <w:pPr>
              <w:rPr>
                <w:rFonts w:ascii="Open Sans" w:hAnsi="Open Sans" w:cs="Arial"/>
                <w:color w:val="0000FF"/>
                <w:sz w:val="20"/>
                <w:szCs w:val="20"/>
                <w:u w:val="single"/>
              </w:rPr>
            </w:pPr>
            <w:hyperlink r:id="rId26" w:history="1">
              <w:r w:rsidR="000C1AC1" w:rsidRPr="007761EC">
                <w:rPr>
                  <w:rStyle w:val="Hipervnculo"/>
                  <w:rFonts w:ascii="Open Sans" w:hAnsi="Open Sans" w:cs="Arial"/>
                  <w:sz w:val="20"/>
                  <w:szCs w:val="20"/>
                </w:rPr>
                <w:t>www.repsol.com/es</w:t>
              </w:r>
            </w:hyperlink>
          </w:p>
        </w:tc>
      </w:tr>
      <w:tr w:rsidR="000C1AC1" w:rsidRPr="00160A37" w14:paraId="74FD5AE2" w14:textId="77777777" w:rsidTr="001211AF">
        <w:trPr>
          <w:trHeight w:val="255"/>
          <w:jc w:val="center"/>
        </w:trPr>
        <w:tc>
          <w:tcPr>
            <w:tcW w:w="3198" w:type="dxa"/>
            <w:vAlign w:val="bottom"/>
          </w:tcPr>
          <w:p w14:paraId="489F335A" w14:textId="2505386E" w:rsidR="000C1AC1" w:rsidRPr="00160A37" w:rsidRDefault="007F55EB" w:rsidP="000C1AC1">
            <w:pPr>
              <w:rPr>
                <w:rFonts w:ascii="Open Sans" w:hAnsi="Open Sans" w:cs="Arial"/>
                <w:color w:val="000000"/>
                <w:sz w:val="20"/>
                <w:szCs w:val="20"/>
              </w:rPr>
            </w:pPr>
            <w:hyperlink w:anchor="SACYR" w:history="1">
              <w:r w:rsidR="000C1AC1" w:rsidRPr="000C1AC1">
                <w:rPr>
                  <w:rStyle w:val="Hipervnculo"/>
                  <w:rFonts w:ascii="Open Sans" w:hAnsi="Open Sans" w:cs="Arial"/>
                  <w:sz w:val="20"/>
                  <w:szCs w:val="20"/>
                </w:rPr>
                <w:t>SACYR</w:t>
              </w:r>
            </w:hyperlink>
            <w:r w:rsidR="000C1AC1" w:rsidRPr="00160A37">
              <w:rPr>
                <w:rFonts w:ascii="Open Sans" w:hAnsi="Open Sans" w:cs="Arial"/>
                <w:color w:val="000000"/>
                <w:sz w:val="20"/>
                <w:szCs w:val="20"/>
              </w:rPr>
              <w:t xml:space="preserve"> </w:t>
            </w:r>
          </w:p>
        </w:tc>
        <w:tc>
          <w:tcPr>
            <w:tcW w:w="4323" w:type="dxa"/>
            <w:vAlign w:val="bottom"/>
          </w:tcPr>
          <w:p w14:paraId="1E81CF60" w14:textId="77777777" w:rsidR="000C1AC1" w:rsidRPr="00160A37" w:rsidRDefault="000C1AC1"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www.sacyr.com</w:t>
            </w:r>
          </w:p>
        </w:tc>
      </w:tr>
      <w:tr w:rsidR="000C1AC1" w:rsidRPr="00160A37" w14:paraId="156EC9F6" w14:textId="77777777" w:rsidTr="001211AF">
        <w:trPr>
          <w:trHeight w:val="255"/>
          <w:jc w:val="center"/>
        </w:trPr>
        <w:tc>
          <w:tcPr>
            <w:tcW w:w="3198" w:type="dxa"/>
            <w:vAlign w:val="bottom"/>
          </w:tcPr>
          <w:p w14:paraId="62E543AB" w14:textId="69BBA764" w:rsidR="000C1AC1" w:rsidRPr="00160A37" w:rsidRDefault="007F55EB" w:rsidP="000C1AC1">
            <w:pPr>
              <w:rPr>
                <w:rFonts w:ascii="Open Sans" w:hAnsi="Open Sans" w:cs="Arial"/>
                <w:color w:val="000000"/>
                <w:sz w:val="20"/>
                <w:szCs w:val="20"/>
              </w:rPr>
            </w:pPr>
            <w:hyperlink w:anchor="Tecnicas" w:history="1">
              <w:r w:rsidR="000C1AC1" w:rsidRPr="000C1AC1">
                <w:rPr>
                  <w:rStyle w:val="Hipervnculo"/>
                  <w:rFonts w:ascii="Open Sans" w:hAnsi="Open Sans" w:cs="Arial"/>
                  <w:sz w:val="20"/>
                  <w:szCs w:val="20"/>
                </w:rPr>
                <w:t>TECNICAS REUNIDAS</w:t>
              </w:r>
            </w:hyperlink>
          </w:p>
        </w:tc>
        <w:tc>
          <w:tcPr>
            <w:tcW w:w="4323" w:type="dxa"/>
            <w:vAlign w:val="bottom"/>
          </w:tcPr>
          <w:p w14:paraId="1061DD2D" w14:textId="77777777" w:rsidR="000C1AC1" w:rsidRPr="00160A37" w:rsidRDefault="000C1AC1" w:rsidP="000C1AC1">
            <w:pPr>
              <w:rPr>
                <w:rFonts w:ascii="Open Sans" w:hAnsi="Open Sans" w:cs="Arial"/>
                <w:color w:val="0000FF"/>
                <w:sz w:val="20"/>
                <w:szCs w:val="20"/>
                <w:u w:val="single"/>
              </w:rPr>
            </w:pPr>
            <w:r w:rsidRPr="00160A37">
              <w:rPr>
                <w:rFonts w:ascii="Open Sans" w:hAnsi="Open Sans" w:cs="Arial"/>
                <w:color w:val="0000FF"/>
                <w:sz w:val="20"/>
                <w:szCs w:val="20"/>
                <w:u w:val="single"/>
              </w:rPr>
              <w:t>www.tecnicasreunidas.es</w:t>
            </w:r>
          </w:p>
        </w:tc>
      </w:tr>
      <w:tr w:rsidR="000C1AC1" w:rsidRPr="00160A37" w14:paraId="69FA29FB" w14:textId="77777777" w:rsidTr="001211AF">
        <w:trPr>
          <w:trHeight w:val="255"/>
          <w:jc w:val="center"/>
        </w:trPr>
        <w:tc>
          <w:tcPr>
            <w:tcW w:w="3198" w:type="dxa"/>
            <w:vAlign w:val="bottom"/>
          </w:tcPr>
          <w:p w14:paraId="73AFAAA5" w14:textId="1E0329A6" w:rsidR="000C1AC1" w:rsidRPr="001846FB" w:rsidRDefault="007F55EB" w:rsidP="000C1AC1">
            <w:pPr>
              <w:rPr>
                <w:rStyle w:val="Hipervnculo"/>
                <w:rFonts w:cs="Arial"/>
              </w:rPr>
            </w:pPr>
            <w:hyperlink w:anchor="TELEFONICA" w:history="1">
              <w:r w:rsidR="000C1AC1" w:rsidRPr="000C1AC1">
                <w:rPr>
                  <w:rStyle w:val="Hipervnculo"/>
                  <w:rFonts w:ascii="Open Sans" w:hAnsi="Open Sans" w:cs="Arial"/>
                  <w:sz w:val="20"/>
                  <w:szCs w:val="20"/>
                </w:rPr>
                <w:t>TELEFONICA</w:t>
              </w:r>
            </w:hyperlink>
          </w:p>
        </w:tc>
        <w:tc>
          <w:tcPr>
            <w:tcW w:w="4323" w:type="dxa"/>
            <w:vAlign w:val="bottom"/>
          </w:tcPr>
          <w:p w14:paraId="35326930" w14:textId="3E4CEAF5" w:rsidR="000C1AC1" w:rsidRPr="001846FB" w:rsidRDefault="007F55EB" w:rsidP="000C1AC1">
            <w:pPr>
              <w:rPr>
                <w:rStyle w:val="Hipervnculo"/>
                <w:rFonts w:ascii="Open Sans" w:hAnsi="Open Sans" w:cs="Arial"/>
                <w:sz w:val="20"/>
                <w:szCs w:val="20"/>
              </w:rPr>
            </w:pPr>
            <w:hyperlink r:id="rId27" w:history="1">
              <w:r w:rsidR="000C1AC1" w:rsidRPr="00160A37">
                <w:rPr>
                  <w:rStyle w:val="Hipervnculo"/>
                  <w:rFonts w:ascii="Open Sans" w:hAnsi="Open Sans" w:cs="Arial"/>
                  <w:sz w:val="20"/>
                  <w:szCs w:val="20"/>
                </w:rPr>
                <w:t>www.telefonica.es</w:t>
              </w:r>
            </w:hyperlink>
          </w:p>
        </w:tc>
      </w:tr>
    </w:tbl>
    <w:p w14:paraId="4D5D2747" w14:textId="77777777" w:rsidR="001B2A4B" w:rsidRDefault="001B2A4B" w:rsidP="00506805">
      <w:pPr>
        <w:rPr>
          <w:rFonts w:ascii="Arial" w:hAnsi="Arial" w:cs="Arial"/>
          <w:b/>
          <w:i/>
          <w:sz w:val="28"/>
          <w:szCs w:val="28"/>
        </w:rPr>
      </w:pPr>
    </w:p>
    <w:p w14:paraId="1AEB3FC1" w14:textId="702D5E66" w:rsidR="00310A67" w:rsidRPr="00F94241" w:rsidRDefault="00633309" w:rsidP="00310A67">
      <w:pPr>
        <w:rPr>
          <w:rFonts w:ascii="Arial" w:hAnsi="Arial" w:cs="Arial"/>
          <w:b/>
          <w:i/>
          <w:sz w:val="28"/>
          <w:szCs w:val="28"/>
        </w:rPr>
      </w:pPr>
      <w:r>
        <w:rPr>
          <w:rFonts w:ascii="Arial" w:hAnsi="Arial" w:cs="Arial"/>
          <w:b/>
          <w:i/>
          <w:sz w:val="28"/>
          <w:szCs w:val="28"/>
        </w:rPr>
        <w:br w:type="page"/>
      </w:r>
    </w:p>
    <w:p w14:paraId="4DF98AE8" w14:textId="77777777" w:rsidR="00310A67" w:rsidRPr="00160A37" w:rsidRDefault="00310A67" w:rsidP="00310A67">
      <w:pPr>
        <w:pStyle w:val="Titulo1-InformeFinal"/>
      </w:pPr>
      <w:bookmarkStart w:id="1" w:name="_Toc354061503"/>
      <w:r>
        <w:t>Índice de indicadores</w:t>
      </w:r>
      <w:bookmarkEnd w:id="1"/>
    </w:p>
    <w:p w14:paraId="7952BE2B" w14:textId="77777777" w:rsidR="00310A67" w:rsidRDefault="00310A67" w:rsidP="00310A67"/>
    <w:p w14:paraId="6DD64F6A" w14:textId="4A45AE94" w:rsidR="00310A67" w:rsidRPr="00310A67" w:rsidRDefault="00310A67" w:rsidP="00310A67">
      <w:pPr>
        <w:rPr>
          <w:rFonts w:ascii="Open Sans" w:eastAsiaTheme="majorEastAsia" w:hAnsi="Open Sans" w:cs="Arial"/>
          <w:b/>
          <w:kern w:val="32"/>
          <w:lang w:val="es-ES" w:eastAsia="ar-SA"/>
        </w:rPr>
      </w:pPr>
      <w:r w:rsidRPr="00310A67">
        <w:rPr>
          <w:rFonts w:ascii="Open Sans" w:eastAsiaTheme="majorEastAsia" w:hAnsi="Open Sans" w:cs="Arial"/>
          <w:b/>
          <w:kern w:val="32"/>
          <w:lang w:val="es-ES" w:eastAsia="ar-SA"/>
        </w:rPr>
        <w:t>Política y estrategia fiscal</w:t>
      </w:r>
    </w:p>
    <w:p w14:paraId="51B18E84" w14:textId="77777777" w:rsidR="00310A67" w:rsidRDefault="00310A67" w:rsidP="00310A67"/>
    <w:tbl>
      <w:tblPr>
        <w:tblStyle w:val="Tablaconcuadrcula"/>
        <w:tblW w:w="0" w:type="auto"/>
        <w:tblInd w:w="108" w:type="dxa"/>
        <w:tblLook w:val="04A0" w:firstRow="1" w:lastRow="0" w:firstColumn="1" w:lastColumn="0" w:noHBand="0" w:noVBand="1"/>
      </w:tblPr>
      <w:tblGrid>
        <w:gridCol w:w="1418"/>
        <w:gridCol w:w="7112"/>
      </w:tblGrid>
      <w:tr w:rsidR="00310A67" w14:paraId="52B00F02" w14:textId="77777777" w:rsidTr="00310A67">
        <w:tc>
          <w:tcPr>
            <w:tcW w:w="1418" w:type="dxa"/>
          </w:tcPr>
          <w:p w14:paraId="76567A4B" w14:textId="77777777" w:rsidR="00310A67" w:rsidRPr="001B2A4B" w:rsidRDefault="00310A67" w:rsidP="00310A67">
            <w:pPr>
              <w:pStyle w:val="Texto-InformeIBEX"/>
              <w:jc w:val="center"/>
              <w:rPr>
                <w:b/>
              </w:rPr>
            </w:pPr>
            <w:r w:rsidRPr="00633309">
              <w:rPr>
                <w:b/>
              </w:rPr>
              <w:t>CÓDIGO</w:t>
            </w:r>
          </w:p>
        </w:tc>
        <w:tc>
          <w:tcPr>
            <w:tcW w:w="7112" w:type="dxa"/>
          </w:tcPr>
          <w:p w14:paraId="6E9E870E" w14:textId="77777777" w:rsidR="00310A67" w:rsidRPr="008C62FB" w:rsidRDefault="00310A67" w:rsidP="00310A67">
            <w:pPr>
              <w:jc w:val="center"/>
              <w:rPr>
                <w:rFonts w:ascii="Open Sans" w:eastAsia="Times New Roman" w:hAnsi="Open Sans" w:cs="Open Sans"/>
                <w:sz w:val="20"/>
                <w:szCs w:val="20"/>
                <w:lang w:eastAsia="en-US"/>
              </w:rPr>
            </w:pPr>
            <w:r>
              <w:rPr>
                <w:rFonts w:ascii="Open Sans" w:eastAsia="Times New Roman" w:hAnsi="Open Sans" w:cs="Open Sans"/>
                <w:b/>
                <w:sz w:val="20"/>
                <w:szCs w:val="20"/>
                <w:lang w:val="es-ES" w:eastAsia="en-US"/>
              </w:rPr>
              <w:t>NOMBRE</w:t>
            </w:r>
          </w:p>
        </w:tc>
      </w:tr>
      <w:tr w:rsidR="00830205" w14:paraId="3693315A" w14:textId="77777777" w:rsidTr="00310A67">
        <w:tc>
          <w:tcPr>
            <w:tcW w:w="1418" w:type="dxa"/>
            <w:vAlign w:val="center"/>
          </w:tcPr>
          <w:p w14:paraId="473CA15C" w14:textId="420E10B0" w:rsidR="00830205" w:rsidRPr="00F057FF" w:rsidRDefault="007F55EB" w:rsidP="00310A67">
            <w:pPr>
              <w:pStyle w:val="Texto-InformeIBEX"/>
              <w:jc w:val="center"/>
              <w:rPr>
                <w:rFonts w:ascii="Arial" w:hAnsi="Arial" w:cs="Arial"/>
                <w:i/>
                <w:sz w:val="28"/>
                <w:szCs w:val="28"/>
              </w:rPr>
            </w:pPr>
            <w:hyperlink w:anchor="PE1" w:history="1">
              <w:r w:rsidR="00830205" w:rsidRPr="00BF1607">
                <w:rPr>
                  <w:rStyle w:val="Hipervnculo"/>
                  <w:rFonts w:cs="Open Sans"/>
                  <w:b/>
                  <w:bCs/>
                </w:rPr>
                <w:t>P.E.1</w:t>
              </w:r>
            </w:hyperlink>
          </w:p>
        </w:tc>
        <w:tc>
          <w:tcPr>
            <w:tcW w:w="7112" w:type="dxa"/>
            <w:vAlign w:val="center"/>
          </w:tcPr>
          <w:p w14:paraId="7C0713E5" w14:textId="1D472957" w:rsidR="00830205" w:rsidRPr="008C62FB" w:rsidRDefault="00830205" w:rsidP="00F94241">
            <w:pPr>
              <w:rPr>
                <w:rFonts w:ascii="Open Sans" w:eastAsia="Times New Roman" w:hAnsi="Open Sans" w:cs="Open Sans"/>
                <w:sz w:val="20"/>
                <w:szCs w:val="20"/>
                <w:lang w:val="es-ES" w:eastAsia="en-US"/>
              </w:rPr>
            </w:pPr>
            <w:r w:rsidRPr="0002143E">
              <w:rPr>
                <w:rFonts w:ascii="Open Sans" w:eastAsia="Times New Roman" w:hAnsi="Open Sans" w:cs="Open Sans"/>
                <w:color w:val="000000"/>
                <w:sz w:val="20"/>
                <w:szCs w:val="20"/>
              </w:rPr>
              <w:t>La empresa proporciona información sobre su estrategia/política fiscal</w:t>
            </w:r>
          </w:p>
        </w:tc>
      </w:tr>
      <w:tr w:rsidR="00830205" w14:paraId="5A9C3467" w14:textId="77777777" w:rsidTr="00310A67">
        <w:tc>
          <w:tcPr>
            <w:tcW w:w="1418" w:type="dxa"/>
            <w:vAlign w:val="center"/>
          </w:tcPr>
          <w:p w14:paraId="47D91898" w14:textId="1E7581A1" w:rsidR="00830205" w:rsidRPr="00F057FF" w:rsidRDefault="007F55EB" w:rsidP="00310A67">
            <w:pPr>
              <w:jc w:val="center"/>
              <w:rPr>
                <w:rFonts w:ascii="Open Sans" w:eastAsia="Times New Roman" w:hAnsi="Open Sans" w:cs="Open Sans"/>
                <w:b/>
                <w:sz w:val="20"/>
                <w:szCs w:val="20"/>
                <w:lang w:val="es-ES" w:eastAsia="en-US"/>
              </w:rPr>
            </w:pPr>
            <w:hyperlink w:anchor="PE2" w:history="1">
              <w:r w:rsidR="00830205" w:rsidRPr="00ED545D">
                <w:rPr>
                  <w:rStyle w:val="Hipervnculo"/>
                  <w:rFonts w:ascii="Open Sans" w:eastAsia="Times New Roman" w:hAnsi="Open Sans" w:cs="Open Sans"/>
                  <w:b/>
                  <w:bCs/>
                  <w:sz w:val="20"/>
                  <w:szCs w:val="20"/>
                </w:rPr>
                <w:t>P.E.2</w:t>
              </w:r>
            </w:hyperlink>
          </w:p>
        </w:tc>
        <w:tc>
          <w:tcPr>
            <w:tcW w:w="7112" w:type="dxa"/>
            <w:vAlign w:val="center"/>
          </w:tcPr>
          <w:p w14:paraId="6E916352" w14:textId="63F4C1C8" w:rsidR="00830205" w:rsidRPr="00F057FF" w:rsidRDefault="00830205" w:rsidP="00F94241">
            <w:pPr>
              <w:pStyle w:val="Texto-InformeIBEX"/>
              <w:jc w:val="left"/>
            </w:pPr>
            <w:r w:rsidRPr="0002143E">
              <w:rPr>
                <w:color w:val="000000"/>
              </w:rPr>
              <w:t>La empresa informa sobre sus principales riesgos fiscales</w:t>
            </w:r>
          </w:p>
        </w:tc>
      </w:tr>
      <w:tr w:rsidR="00830205" w14:paraId="6B8CB862" w14:textId="77777777" w:rsidTr="00310A67">
        <w:trPr>
          <w:trHeight w:val="391"/>
        </w:trPr>
        <w:tc>
          <w:tcPr>
            <w:tcW w:w="1418" w:type="dxa"/>
            <w:vAlign w:val="center"/>
          </w:tcPr>
          <w:p w14:paraId="359337BF" w14:textId="64E9AF1C" w:rsidR="00830205" w:rsidRDefault="007F55EB" w:rsidP="00310A67">
            <w:pPr>
              <w:jc w:val="center"/>
            </w:pPr>
            <w:hyperlink w:anchor="PE3" w:history="1">
              <w:r w:rsidR="00830205" w:rsidRPr="00ED545D">
                <w:rPr>
                  <w:rStyle w:val="Hipervnculo"/>
                  <w:rFonts w:ascii="Open Sans" w:eastAsia="Times New Roman" w:hAnsi="Open Sans" w:cs="Open Sans"/>
                  <w:b/>
                  <w:bCs/>
                  <w:sz w:val="20"/>
                  <w:szCs w:val="20"/>
                </w:rPr>
                <w:t>P.E.3</w:t>
              </w:r>
            </w:hyperlink>
          </w:p>
        </w:tc>
        <w:tc>
          <w:tcPr>
            <w:tcW w:w="7112" w:type="dxa"/>
            <w:vAlign w:val="center"/>
          </w:tcPr>
          <w:p w14:paraId="6BCE7C8A" w14:textId="02126659" w:rsidR="00830205" w:rsidRPr="00BB1349" w:rsidRDefault="00830205" w:rsidP="00F94241">
            <w:pPr>
              <w:rPr>
                <w:rFonts w:ascii="Open Sans" w:eastAsia="Times New Roman" w:hAnsi="Open Sans" w:cs="Open Sans"/>
                <w:sz w:val="20"/>
                <w:szCs w:val="20"/>
                <w:lang w:eastAsia="en-US"/>
              </w:rPr>
            </w:pPr>
            <w:r w:rsidRPr="0002143E">
              <w:rPr>
                <w:rFonts w:ascii="Open Sans" w:eastAsia="Times New Roman" w:hAnsi="Open Sans" w:cs="Open Sans"/>
                <w:color w:val="000000"/>
                <w:sz w:val="20"/>
                <w:szCs w:val="20"/>
              </w:rPr>
              <w:t>La empresa informa sobre cómo el Consejo de Administración aborda el tema de fiscalidad</w:t>
            </w:r>
          </w:p>
        </w:tc>
      </w:tr>
      <w:tr w:rsidR="00830205" w14:paraId="16EB33C6" w14:textId="77777777" w:rsidTr="00310A67">
        <w:tc>
          <w:tcPr>
            <w:tcW w:w="1418" w:type="dxa"/>
            <w:vAlign w:val="center"/>
          </w:tcPr>
          <w:p w14:paraId="108A8A5B" w14:textId="793B3601" w:rsidR="00830205" w:rsidRDefault="007F55EB" w:rsidP="00310A67">
            <w:pPr>
              <w:jc w:val="center"/>
            </w:pPr>
            <w:hyperlink w:anchor="PE4" w:history="1">
              <w:r w:rsidR="00830205" w:rsidRPr="00ED545D">
                <w:rPr>
                  <w:rStyle w:val="Hipervnculo"/>
                  <w:rFonts w:ascii="Open Sans" w:eastAsia="Times New Roman" w:hAnsi="Open Sans" w:cs="Open Sans"/>
                  <w:b/>
                  <w:bCs/>
                  <w:sz w:val="20"/>
                  <w:szCs w:val="20"/>
                </w:rPr>
                <w:t>P.E.4</w:t>
              </w:r>
            </w:hyperlink>
          </w:p>
        </w:tc>
        <w:tc>
          <w:tcPr>
            <w:tcW w:w="7112" w:type="dxa"/>
            <w:vAlign w:val="center"/>
          </w:tcPr>
          <w:p w14:paraId="2DEA7730" w14:textId="1E83CB39" w:rsidR="00830205" w:rsidRPr="00C83830" w:rsidRDefault="00830205" w:rsidP="00F94241">
            <w:pPr>
              <w:rPr>
                <w:rFonts w:ascii="Open Sans" w:eastAsia="Times New Roman" w:hAnsi="Open Sans" w:cs="Open Sans"/>
                <w:sz w:val="20"/>
                <w:szCs w:val="20"/>
                <w:lang w:val="es-ES" w:eastAsia="en-US"/>
              </w:rPr>
            </w:pPr>
            <w:r w:rsidRPr="0002143E">
              <w:rPr>
                <w:rFonts w:ascii="Open Sans" w:eastAsia="Times New Roman" w:hAnsi="Open Sans" w:cs="Open Sans"/>
                <w:color w:val="000000"/>
                <w:sz w:val="20"/>
                <w:szCs w:val="20"/>
              </w:rPr>
              <w:t>La empresa informa sobre su adhesión a códigos voluntario  que contemple explícitamente aspectos de responsabilidad fiscal</w:t>
            </w:r>
            <w:proofErr w:type="gramStart"/>
            <w:r w:rsidRPr="0002143E">
              <w:rPr>
                <w:rFonts w:ascii="Open Sans" w:eastAsia="Times New Roman" w:hAnsi="Open Sans" w:cs="Open Sans"/>
                <w:color w:val="000000"/>
                <w:sz w:val="20"/>
                <w:szCs w:val="20"/>
              </w:rPr>
              <w:t>?</w:t>
            </w:r>
            <w:proofErr w:type="gramEnd"/>
          </w:p>
        </w:tc>
      </w:tr>
      <w:tr w:rsidR="00830205" w14:paraId="2990B0E8" w14:textId="77777777" w:rsidTr="00310A67">
        <w:tc>
          <w:tcPr>
            <w:tcW w:w="1418" w:type="dxa"/>
            <w:vAlign w:val="center"/>
          </w:tcPr>
          <w:p w14:paraId="582DE368" w14:textId="50188C30" w:rsidR="00830205" w:rsidRDefault="007F55EB" w:rsidP="00310A67">
            <w:pPr>
              <w:jc w:val="center"/>
            </w:pPr>
            <w:hyperlink w:anchor="PE5" w:history="1">
              <w:r w:rsidR="00830205" w:rsidRPr="00ED545D">
                <w:rPr>
                  <w:rStyle w:val="Hipervnculo"/>
                  <w:rFonts w:ascii="Open Sans" w:eastAsia="Times New Roman" w:hAnsi="Open Sans" w:cs="Open Sans"/>
                  <w:b/>
                  <w:bCs/>
                  <w:sz w:val="20"/>
                  <w:szCs w:val="20"/>
                </w:rPr>
                <w:t>P.E.5</w:t>
              </w:r>
            </w:hyperlink>
          </w:p>
        </w:tc>
        <w:tc>
          <w:tcPr>
            <w:tcW w:w="7112" w:type="dxa"/>
            <w:vAlign w:val="center"/>
          </w:tcPr>
          <w:p w14:paraId="7379FAA0" w14:textId="540A7B32" w:rsidR="00830205" w:rsidRPr="00C83830" w:rsidRDefault="00830205" w:rsidP="00F94241">
            <w:pPr>
              <w:rPr>
                <w:rFonts w:ascii="Open Sans" w:eastAsia="Times New Roman" w:hAnsi="Open Sans" w:cs="Open Sans"/>
                <w:sz w:val="20"/>
                <w:szCs w:val="20"/>
                <w:lang w:val="es-ES" w:eastAsia="en-US"/>
              </w:rPr>
            </w:pPr>
            <w:r w:rsidRPr="0002143E">
              <w:rPr>
                <w:rFonts w:ascii="Open Sans" w:eastAsia="Times New Roman" w:hAnsi="Open Sans" w:cs="Open Sans"/>
                <w:color w:val="000000"/>
                <w:sz w:val="20"/>
                <w:szCs w:val="20"/>
              </w:rPr>
              <w:t>La empresa detalla su estructura societaria, incluyendo el nombre de las sociedades, su localización y el porcentaje de participación (posicione</w:t>
            </w:r>
            <w:r>
              <w:rPr>
                <w:rFonts w:ascii="Open Sans" w:eastAsia="Times New Roman" w:hAnsi="Open Sans" w:cs="Open Sans"/>
                <w:color w:val="000000"/>
                <w:sz w:val="20"/>
                <w:szCs w:val="20"/>
              </w:rPr>
              <w:t>s superiores al 5% del capital)</w:t>
            </w:r>
          </w:p>
        </w:tc>
      </w:tr>
    </w:tbl>
    <w:p w14:paraId="3A3CF48A" w14:textId="77777777" w:rsidR="00310A67" w:rsidRDefault="00310A67" w:rsidP="00310A67"/>
    <w:p w14:paraId="36BA3D82" w14:textId="7567962B" w:rsidR="00310A67" w:rsidRPr="00310A67" w:rsidRDefault="00310A67" w:rsidP="00310A67">
      <w:pPr>
        <w:rPr>
          <w:rFonts w:ascii="Open Sans" w:eastAsiaTheme="majorEastAsia" w:hAnsi="Open Sans" w:cs="Arial"/>
          <w:b/>
          <w:kern w:val="32"/>
          <w:lang w:val="es-ES" w:eastAsia="ar-SA"/>
        </w:rPr>
      </w:pPr>
      <w:r>
        <w:rPr>
          <w:rFonts w:ascii="Open Sans" w:eastAsiaTheme="majorEastAsia" w:hAnsi="Open Sans" w:cs="Arial"/>
          <w:b/>
          <w:kern w:val="32"/>
          <w:lang w:val="es-ES" w:eastAsia="ar-SA"/>
        </w:rPr>
        <w:t>Impuestos e incentivos</w:t>
      </w:r>
    </w:p>
    <w:p w14:paraId="21D67D52" w14:textId="77777777" w:rsidR="00310A67" w:rsidRDefault="00310A67" w:rsidP="00310A67"/>
    <w:tbl>
      <w:tblPr>
        <w:tblStyle w:val="Tablaconcuadrcula"/>
        <w:tblW w:w="0" w:type="auto"/>
        <w:tblInd w:w="108" w:type="dxa"/>
        <w:tblLook w:val="04A0" w:firstRow="1" w:lastRow="0" w:firstColumn="1" w:lastColumn="0" w:noHBand="0" w:noVBand="1"/>
      </w:tblPr>
      <w:tblGrid>
        <w:gridCol w:w="1418"/>
        <w:gridCol w:w="7112"/>
      </w:tblGrid>
      <w:tr w:rsidR="00310A67" w14:paraId="24E2D7E8" w14:textId="77777777" w:rsidTr="00310A67">
        <w:tc>
          <w:tcPr>
            <w:tcW w:w="1418" w:type="dxa"/>
          </w:tcPr>
          <w:p w14:paraId="3C926524" w14:textId="77777777" w:rsidR="00310A67" w:rsidRPr="001B2A4B" w:rsidRDefault="00310A67" w:rsidP="00310A67">
            <w:pPr>
              <w:pStyle w:val="Texto-InformeIBEX"/>
              <w:jc w:val="center"/>
              <w:rPr>
                <w:b/>
              </w:rPr>
            </w:pPr>
            <w:r w:rsidRPr="00633309">
              <w:rPr>
                <w:b/>
              </w:rPr>
              <w:t>CÓDIGO</w:t>
            </w:r>
          </w:p>
        </w:tc>
        <w:tc>
          <w:tcPr>
            <w:tcW w:w="7112" w:type="dxa"/>
          </w:tcPr>
          <w:p w14:paraId="573EF250" w14:textId="77777777" w:rsidR="00310A67" w:rsidRPr="008C62FB" w:rsidRDefault="00310A67" w:rsidP="00310A67">
            <w:pPr>
              <w:jc w:val="center"/>
              <w:rPr>
                <w:rFonts w:ascii="Open Sans" w:eastAsia="Times New Roman" w:hAnsi="Open Sans" w:cs="Open Sans"/>
                <w:sz w:val="20"/>
                <w:szCs w:val="20"/>
                <w:lang w:eastAsia="en-US"/>
              </w:rPr>
            </w:pPr>
            <w:r>
              <w:rPr>
                <w:rFonts w:ascii="Open Sans" w:eastAsia="Times New Roman" w:hAnsi="Open Sans" w:cs="Open Sans"/>
                <w:b/>
                <w:sz w:val="20"/>
                <w:szCs w:val="20"/>
                <w:lang w:val="es-ES" w:eastAsia="en-US"/>
              </w:rPr>
              <w:t>NOMBRE</w:t>
            </w:r>
          </w:p>
        </w:tc>
      </w:tr>
      <w:tr w:rsidR="00830205" w14:paraId="7C38A65C" w14:textId="77777777" w:rsidTr="00310A67">
        <w:tc>
          <w:tcPr>
            <w:tcW w:w="1418" w:type="dxa"/>
            <w:vAlign w:val="center"/>
          </w:tcPr>
          <w:p w14:paraId="2D81A7E3" w14:textId="63F3E26D" w:rsidR="00830205" w:rsidRPr="00F057FF" w:rsidRDefault="007F55EB" w:rsidP="00310A67">
            <w:pPr>
              <w:pStyle w:val="Texto-InformeIBEX"/>
              <w:jc w:val="center"/>
              <w:rPr>
                <w:rFonts w:ascii="Arial" w:hAnsi="Arial" w:cs="Arial"/>
                <w:i/>
                <w:sz w:val="28"/>
                <w:szCs w:val="28"/>
              </w:rPr>
            </w:pPr>
            <w:hyperlink w:anchor="II1" w:history="1">
              <w:r w:rsidR="00830205" w:rsidRPr="00ED545D">
                <w:rPr>
                  <w:rStyle w:val="Hipervnculo"/>
                  <w:rFonts w:cs="Open Sans"/>
                  <w:b/>
                  <w:bCs/>
                </w:rPr>
                <w:t>I.I.1</w:t>
              </w:r>
            </w:hyperlink>
          </w:p>
        </w:tc>
        <w:tc>
          <w:tcPr>
            <w:tcW w:w="7112" w:type="dxa"/>
            <w:vAlign w:val="center"/>
          </w:tcPr>
          <w:p w14:paraId="621289AD" w14:textId="78133E8D" w:rsidR="00830205" w:rsidRPr="008C62FB" w:rsidRDefault="00830205" w:rsidP="00F94241">
            <w:pPr>
              <w:rPr>
                <w:rFonts w:ascii="Open Sans" w:eastAsia="Times New Roman" w:hAnsi="Open Sans" w:cs="Open Sans"/>
                <w:sz w:val="20"/>
                <w:szCs w:val="20"/>
                <w:lang w:val="es-ES" w:eastAsia="en-US"/>
              </w:rPr>
            </w:pPr>
            <w:r w:rsidRPr="00363184">
              <w:rPr>
                <w:rFonts w:ascii="Open Sans" w:eastAsia="Times New Roman" w:hAnsi="Open Sans" w:cs="Open Sans"/>
                <w:color w:val="000000"/>
                <w:sz w:val="20"/>
                <w:szCs w:val="20"/>
              </w:rPr>
              <w:t>La empresa proporciona información  sobre el impu</w:t>
            </w:r>
            <w:r>
              <w:rPr>
                <w:rFonts w:ascii="Open Sans" w:eastAsia="Times New Roman" w:hAnsi="Open Sans" w:cs="Open Sans"/>
                <w:color w:val="000000"/>
                <w:sz w:val="20"/>
                <w:szCs w:val="20"/>
              </w:rPr>
              <w:t>esto sobre sociedades soportado</w:t>
            </w:r>
          </w:p>
        </w:tc>
      </w:tr>
      <w:tr w:rsidR="00830205" w14:paraId="689EBDF6" w14:textId="77777777" w:rsidTr="00310A67">
        <w:tc>
          <w:tcPr>
            <w:tcW w:w="1418" w:type="dxa"/>
            <w:vAlign w:val="center"/>
          </w:tcPr>
          <w:p w14:paraId="24530292" w14:textId="34B83820" w:rsidR="00830205" w:rsidRPr="00F057FF" w:rsidRDefault="007F55EB" w:rsidP="00310A67">
            <w:pPr>
              <w:jc w:val="center"/>
              <w:rPr>
                <w:rFonts w:ascii="Open Sans" w:eastAsia="Times New Roman" w:hAnsi="Open Sans" w:cs="Open Sans"/>
                <w:b/>
                <w:sz w:val="20"/>
                <w:szCs w:val="20"/>
                <w:lang w:val="es-ES" w:eastAsia="en-US"/>
              </w:rPr>
            </w:pPr>
            <w:hyperlink w:anchor="II2" w:history="1">
              <w:r w:rsidR="00830205" w:rsidRPr="00ED545D">
                <w:rPr>
                  <w:rStyle w:val="Hipervnculo"/>
                  <w:rFonts w:ascii="Open Sans" w:eastAsia="Times New Roman" w:hAnsi="Open Sans" w:cs="Open Sans"/>
                  <w:b/>
                  <w:bCs/>
                  <w:sz w:val="20"/>
                  <w:szCs w:val="20"/>
                </w:rPr>
                <w:t>I.I.2</w:t>
              </w:r>
            </w:hyperlink>
          </w:p>
        </w:tc>
        <w:tc>
          <w:tcPr>
            <w:tcW w:w="7112" w:type="dxa"/>
            <w:vAlign w:val="center"/>
          </w:tcPr>
          <w:p w14:paraId="1F966B4A" w14:textId="423A15BA" w:rsidR="00830205" w:rsidRPr="00F057FF" w:rsidRDefault="00830205" w:rsidP="00F94241">
            <w:pPr>
              <w:pStyle w:val="Texto-InformeIBEX"/>
              <w:jc w:val="left"/>
            </w:pPr>
            <w:r w:rsidRPr="00363184">
              <w:rPr>
                <w:color w:val="000000"/>
              </w:rPr>
              <w:t xml:space="preserve">La empresa informa sobre tasas impositivas pagadas </w:t>
            </w:r>
            <w:r>
              <w:rPr>
                <w:color w:val="000000"/>
              </w:rPr>
              <w:t>en el impuesto sobre sociedades</w:t>
            </w:r>
          </w:p>
        </w:tc>
      </w:tr>
      <w:tr w:rsidR="00830205" w14:paraId="47649228" w14:textId="77777777" w:rsidTr="00310A67">
        <w:trPr>
          <w:trHeight w:val="391"/>
        </w:trPr>
        <w:tc>
          <w:tcPr>
            <w:tcW w:w="1418" w:type="dxa"/>
            <w:vAlign w:val="center"/>
          </w:tcPr>
          <w:p w14:paraId="2CEA7C88" w14:textId="59A4A978" w:rsidR="00830205" w:rsidRDefault="007F55EB" w:rsidP="00310A67">
            <w:pPr>
              <w:jc w:val="center"/>
            </w:pPr>
            <w:hyperlink w:anchor="II3" w:history="1">
              <w:r w:rsidR="00830205" w:rsidRPr="00ED545D">
                <w:rPr>
                  <w:rStyle w:val="Hipervnculo"/>
                  <w:rFonts w:ascii="Open Sans" w:eastAsia="Times New Roman" w:hAnsi="Open Sans" w:cs="Open Sans"/>
                  <w:b/>
                  <w:bCs/>
                  <w:sz w:val="20"/>
                  <w:szCs w:val="20"/>
                </w:rPr>
                <w:t>I.I.3</w:t>
              </w:r>
            </w:hyperlink>
          </w:p>
        </w:tc>
        <w:tc>
          <w:tcPr>
            <w:tcW w:w="7112" w:type="dxa"/>
            <w:vAlign w:val="center"/>
          </w:tcPr>
          <w:p w14:paraId="3AB8320B" w14:textId="0E9EF529" w:rsidR="00830205" w:rsidRPr="00BB1349" w:rsidRDefault="00830205" w:rsidP="00F94241">
            <w:pPr>
              <w:rPr>
                <w:rFonts w:ascii="Open Sans" w:eastAsia="Times New Roman" w:hAnsi="Open Sans" w:cs="Open Sans"/>
                <w:sz w:val="20"/>
                <w:szCs w:val="20"/>
                <w:lang w:eastAsia="en-US"/>
              </w:rPr>
            </w:pPr>
            <w:r>
              <w:rPr>
                <w:rFonts w:ascii="Open Sans" w:eastAsia="Times New Roman" w:hAnsi="Open Sans" w:cs="Open Sans"/>
                <w:color w:val="000000"/>
                <w:sz w:val="20"/>
                <w:szCs w:val="20"/>
              </w:rPr>
              <w:t>La empresa informa sobre subvenciones recibidas</w:t>
            </w:r>
          </w:p>
        </w:tc>
      </w:tr>
      <w:tr w:rsidR="00830205" w14:paraId="5102BCC8" w14:textId="77777777" w:rsidTr="00310A67">
        <w:tc>
          <w:tcPr>
            <w:tcW w:w="1418" w:type="dxa"/>
            <w:vAlign w:val="center"/>
          </w:tcPr>
          <w:p w14:paraId="7847F147" w14:textId="2BA1CE34" w:rsidR="00830205" w:rsidRDefault="007F55EB" w:rsidP="00310A67">
            <w:pPr>
              <w:jc w:val="center"/>
            </w:pPr>
            <w:hyperlink w:anchor="II4" w:history="1">
              <w:r w:rsidR="00830205" w:rsidRPr="00ED545D">
                <w:rPr>
                  <w:rStyle w:val="Hipervnculo"/>
                  <w:rFonts w:ascii="Open Sans" w:eastAsia="Times New Roman" w:hAnsi="Open Sans" w:cs="Open Sans"/>
                  <w:b/>
                  <w:bCs/>
                  <w:sz w:val="20"/>
                  <w:szCs w:val="20"/>
                </w:rPr>
                <w:t>I.I.4</w:t>
              </w:r>
            </w:hyperlink>
          </w:p>
        </w:tc>
        <w:tc>
          <w:tcPr>
            <w:tcW w:w="7112" w:type="dxa"/>
            <w:vAlign w:val="center"/>
          </w:tcPr>
          <w:p w14:paraId="7B002E72" w14:textId="5C0C5631" w:rsidR="00830205" w:rsidRPr="00C83830" w:rsidRDefault="00830205" w:rsidP="00F94241">
            <w:pPr>
              <w:rPr>
                <w:rFonts w:ascii="Open Sans" w:eastAsia="Times New Roman" w:hAnsi="Open Sans" w:cs="Open Sans"/>
                <w:sz w:val="20"/>
                <w:szCs w:val="20"/>
                <w:lang w:val="es-ES" w:eastAsia="en-US"/>
              </w:rPr>
            </w:pPr>
            <w:r>
              <w:rPr>
                <w:rFonts w:ascii="Open Sans" w:eastAsia="Times New Roman" w:hAnsi="Open Sans" w:cs="Open Sans"/>
                <w:color w:val="000000"/>
                <w:sz w:val="20"/>
                <w:szCs w:val="20"/>
              </w:rPr>
              <w:t>La empresa informa sobre las deducciones fiscales</w:t>
            </w:r>
          </w:p>
        </w:tc>
      </w:tr>
      <w:tr w:rsidR="00830205" w14:paraId="36C9076E" w14:textId="77777777" w:rsidTr="00310A67">
        <w:tc>
          <w:tcPr>
            <w:tcW w:w="1418" w:type="dxa"/>
            <w:vAlign w:val="center"/>
          </w:tcPr>
          <w:p w14:paraId="711117C0" w14:textId="7C3A6A79" w:rsidR="00830205" w:rsidRDefault="007F55EB" w:rsidP="00310A67">
            <w:pPr>
              <w:jc w:val="center"/>
            </w:pPr>
            <w:hyperlink w:anchor="II5" w:history="1">
              <w:r w:rsidR="00830205" w:rsidRPr="00ED545D">
                <w:rPr>
                  <w:rStyle w:val="Hipervnculo"/>
                  <w:rFonts w:ascii="Open Sans" w:eastAsia="Times New Roman" w:hAnsi="Open Sans" w:cs="Open Sans"/>
                  <w:b/>
                  <w:bCs/>
                  <w:sz w:val="20"/>
                  <w:szCs w:val="20"/>
                </w:rPr>
                <w:t>I.I.5</w:t>
              </w:r>
            </w:hyperlink>
          </w:p>
        </w:tc>
        <w:tc>
          <w:tcPr>
            <w:tcW w:w="7112" w:type="dxa"/>
            <w:vAlign w:val="center"/>
          </w:tcPr>
          <w:p w14:paraId="37C90B73" w14:textId="0069BBA8" w:rsidR="00830205" w:rsidRPr="00C83830" w:rsidRDefault="00830205" w:rsidP="00F94241">
            <w:pPr>
              <w:rPr>
                <w:rFonts w:ascii="Open Sans" w:eastAsia="Times New Roman" w:hAnsi="Open Sans" w:cs="Open Sans"/>
                <w:sz w:val="20"/>
                <w:szCs w:val="20"/>
                <w:lang w:val="es-ES" w:eastAsia="en-US"/>
              </w:rPr>
            </w:pPr>
            <w:r w:rsidRPr="00363184">
              <w:rPr>
                <w:rFonts w:ascii="Open Sans" w:eastAsia="Times New Roman" w:hAnsi="Open Sans" w:cs="Open Sans"/>
                <w:color w:val="000000"/>
                <w:sz w:val="20"/>
                <w:szCs w:val="20"/>
              </w:rPr>
              <w:t>La empresa inform</w:t>
            </w:r>
            <w:r>
              <w:rPr>
                <w:rFonts w:ascii="Open Sans" w:eastAsia="Times New Roman" w:hAnsi="Open Sans" w:cs="Open Sans"/>
                <w:color w:val="000000"/>
                <w:sz w:val="20"/>
                <w:szCs w:val="20"/>
              </w:rPr>
              <w:t>a sobre las exenciones fiscales</w:t>
            </w:r>
          </w:p>
        </w:tc>
      </w:tr>
      <w:tr w:rsidR="00830205" w14:paraId="57E0C93A" w14:textId="77777777" w:rsidTr="00310A67">
        <w:tc>
          <w:tcPr>
            <w:tcW w:w="1418" w:type="dxa"/>
            <w:vAlign w:val="center"/>
          </w:tcPr>
          <w:p w14:paraId="2E2B1618" w14:textId="2575624A" w:rsidR="00830205" w:rsidRDefault="007F55EB" w:rsidP="00310A67">
            <w:pPr>
              <w:jc w:val="center"/>
              <w:rPr>
                <w:rFonts w:ascii="Open Sans" w:eastAsia="Times New Roman" w:hAnsi="Open Sans" w:cs="Open Sans"/>
                <w:b/>
                <w:bCs/>
                <w:color w:val="000000"/>
                <w:sz w:val="20"/>
                <w:szCs w:val="20"/>
              </w:rPr>
            </w:pPr>
            <w:hyperlink w:anchor="II6" w:history="1">
              <w:r w:rsidR="00830205" w:rsidRPr="00ED545D">
                <w:rPr>
                  <w:rStyle w:val="Hipervnculo"/>
                  <w:rFonts w:ascii="Open Sans" w:eastAsia="Times New Roman" w:hAnsi="Open Sans" w:cs="Open Sans"/>
                  <w:b/>
                  <w:bCs/>
                  <w:sz w:val="20"/>
                  <w:szCs w:val="20"/>
                </w:rPr>
                <w:t>I.I.6</w:t>
              </w:r>
            </w:hyperlink>
          </w:p>
        </w:tc>
        <w:tc>
          <w:tcPr>
            <w:tcW w:w="7112" w:type="dxa"/>
            <w:vAlign w:val="center"/>
          </w:tcPr>
          <w:p w14:paraId="45FB61B9" w14:textId="7D948724" w:rsidR="00830205" w:rsidRPr="00D16CC9" w:rsidRDefault="00830205" w:rsidP="00F94241">
            <w:pPr>
              <w:rPr>
                <w:rFonts w:ascii="Open Sans" w:eastAsia="Times New Roman" w:hAnsi="Open Sans" w:cs="Open Sans"/>
                <w:color w:val="000000"/>
                <w:sz w:val="20"/>
                <w:szCs w:val="20"/>
              </w:rPr>
            </w:pPr>
            <w:r w:rsidRPr="00363184">
              <w:rPr>
                <w:rFonts w:ascii="Open Sans" w:eastAsia="Times New Roman" w:hAnsi="Open Sans" w:cs="Open Sans"/>
                <w:color w:val="000000"/>
                <w:sz w:val="20"/>
                <w:szCs w:val="20"/>
              </w:rPr>
              <w:t>La empresa info</w:t>
            </w:r>
            <w:r>
              <w:rPr>
                <w:rFonts w:ascii="Open Sans" w:eastAsia="Times New Roman" w:hAnsi="Open Sans" w:cs="Open Sans"/>
                <w:color w:val="000000"/>
                <w:sz w:val="20"/>
                <w:szCs w:val="20"/>
              </w:rPr>
              <w:t>rma sobre los créditos fiscales</w:t>
            </w:r>
          </w:p>
        </w:tc>
      </w:tr>
    </w:tbl>
    <w:p w14:paraId="53B99F0F" w14:textId="77777777" w:rsidR="00310A67" w:rsidRDefault="00310A67" w:rsidP="00310A67"/>
    <w:p w14:paraId="15EC2EBD" w14:textId="599C3AC3" w:rsidR="00310A67" w:rsidRPr="00310A67" w:rsidRDefault="00310A67" w:rsidP="00310A67">
      <w:pPr>
        <w:rPr>
          <w:rFonts w:ascii="Open Sans" w:eastAsiaTheme="majorEastAsia" w:hAnsi="Open Sans" w:cs="Arial"/>
          <w:b/>
          <w:kern w:val="32"/>
          <w:lang w:val="es-ES" w:eastAsia="ar-SA"/>
        </w:rPr>
      </w:pPr>
      <w:r>
        <w:rPr>
          <w:rFonts w:ascii="Open Sans" w:eastAsiaTheme="majorEastAsia" w:hAnsi="Open Sans" w:cs="Arial"/>
          <w:b/>
          <w:kern w:val="32"/>
          <w:lang w:val="es-ES" w:eastAsia="ar-SA"/>
        </w:rPr>
        <w:t>Paraísos y nichos fiscales</w:t>
      </w:r>
    </w:p>
    <w:p w14:paraId="20C9C20F" w14:textId="77777777" w:rsidR="00310A67" w:rsidRDefault="00310A67" w:rsidP="00310A67"/>
    <w:tbl>
      <w:tblPr>
        <w:tblStyle w:val="Tablaconcuadrcula"/>
        <w:tblW w:w="0" w:type="auto"/>
        <w:tblInd w:w="108" w:type="dxa"/>
        <w:tblLook w:val="04A0" w:firstRow="1" w:lastRow="0" w:firstColumn="1" w:lastColumn="0" w:noHBand="0" w:noVBand="1"/>
      </w:tblPr>
      <w:tblGrid>
        <w:gridCol w:w="1418"/>
        <w:gridCol w:w="7112"/>
      </w:tblGrid>
      <w:tr w:rsidR="00310A67" w14:paraId="4E7F004D" w14:textId="77777777" w:rsidTr="00310A67">
        <w:tc>
          <w:tcPr>
            <w:tcW w:w="1418" w:type="dxa"/>
          </w:tcPr>
          <w:p w14:paraId="7726722B" w14:textId="77777777" w:rsidR="00310A67" w:rsidRPr="001B2A4B" w:rsidRDefault="00310A67" w:rsidP="00310A67">
            <w:pPr>
              <w:pStyle w:val="Texto-InformeIBEX"/>
              <w:jc w:val="center"/>
              <w:rPr>
                <w:b/>
              </w:rPr>
            </w:pPr>
            <w:r w:rsidRPr="00633309">
              <w:rPr>
                <w:b/>
              </w:rPr>
              <w:t>CÓDIGO</w:t>
            </w:r>
          </w:p>
        </w:tc>
        <w:tc>
          <w:tcPr>
            <w:tcW w:w="7112" w:type="dxa"/>
          </w:tcPr>
          <w:p w14:paraId="18F6C8B8" w14:textId="77777777" w:rsidR="00310A67" w:rsidRPr="008C62FB" w:rsidRDefault="00310A67" w:rsidP="00310A67">
            <w:pPr>
              <w:jc w:val="center"/>
              <w:rPr>
                <w:rFonts w:ascii="Open Sans" w:eastAsia="Times New Roman" w:hAnsi="Open Sans" w:cs="Open Sans"/>
                <w:sz w:val="20"/>
                <w:szCs w:val="20"/>
                <w:lang w:eastAsia="en-US"/>
              </w:rPr>
            </w:pPr>
            <w:r>
              <w:rPr>
                <w:rFonts w:ascii="Open Sans" w:eastAsia="Times New Roman" w:hAnsi="Open Sans" w:cs="Open Sans"/>
                <w:b/>
                <w:sz w:val="20"/>
                <w:szCs w:val="20"/>
                <w:lang w:val="es-ES" w:eastAsia="en-US"/>
              </w:rPr>
              <w:t>NOMBRE</w:t>
            </w:r>
          </w:p>
        </w:tc>
      </w:tr>
      <w:tr w:rsidR="00F94241" w14:paraId="65F923F0" w14:textId="77777777" w:rsidTr="00310A67">
        <w:tc>
          <w:tcPr>
            <w:tcW w:w="1418" w:type="dxa"/>
            <w:vAlign w:val="center"/>
          </w:tcPr>
          <w:p w14:paraId="793B726B" w14:textId="03E6E1F9" w:rsidR="00F94241" w:rsidRPr="00310A67" w:rsidRDefault="007F55EB" w:rsidP="00310A67">
            <w:pPr>
              <w:pStyle w:val="Texto-InformeIBEX"/>
              <w:jc w:val="center"/>
              <w:rPr>
                <w:rFonts w:ascii="Arial" w:hAnsi="Arial" w:cs="Arial"/>
                <w:i/>
                <w:sz w:val="28"/>
                <w:szCs w:val="28"/>
                <w:highlight w:val="yellow"/>
              </w:rPr>
            </w:pPr>
            <w:hyperlink w:anchor="PN1" w:history="1">
              <w:r w:rsidR="00F94241" w:rsidRPr="00F94241">
                <w:rPr>
                  <w:rStyle w:val="Hipervnculo"/>
                  <w:rFonts w:cs="Open Sans"/>
                  <w:b/>
                  <w:bCs/>
                </w:rPr>
                <w:t>P.N.1</w:t>
              </w:r>
            </w:hyperlink>
          </w:p>
        </w:tc>
        <w:tc>
          <w:tcPr>
            <w:tcW w:w="7112" w:type="dxa"/>
            <w:vAlign w:val="center"/>
          </w:tcPr>
          <w:p w14:paraId="78A17B03" w14:textId="3C73BCE0" w:rsidR="00F94241" w:rsidRPr="00310A67" w:rsidRDefault="00F94241" w:rsidP="00F94241">
            <w:pPr>
              <w:rPr>
                <w:rFonts w:ascii="Open Sans" w:eastAsia="Times New Roman" w:hAnsi="Open Sans" w:cs="Open Sans"/>
                <w:sz w:val="20"/>
                <w:szCs w:val="20"/>
                <w:highlight w:val="yellow"/>
                <w:lang w:val="es-ES" w:eastAsia="en-US"/>
              </w:rPr>
            </w:pPr>
            <w:r w:rsidRPr="009130AF">
              <w:rPr>
                <w:rFonts w:ascii="Open Sans" w:eastAsia="Times New Roman" w:hAnsi="Open Sans" w:cs="Open Sans"/>
                <w:color w:val="000000"/>
                <w:sz w:val="20"/>
                <w:szCs w:val="20"/>
              </w:rPr>
              <w:t>Posicionamiento respecto a los paraísos/nichos fiscales</w:t>
            </w:r>
          </w:p>
        </w:tc>
      </w:tr>
      <w:tr w:rsidR="00F94241" w14:paraId="757BCD6A" w14:textId="77777777" w:rsidTr="00310A67">
        <w:tc>
          <w:tcPr>
            <w:tcW w:w="1418" w:type="dxa"/>
            <w:vAlign w:val="center"/>
          </w:tcPr>
          <w:p w14:paraId="21E4A626" w14:textId="5F5F9921" w:rsidR="00F94241" w:rsidRPr="00310A67" w:rsidRDefault="007F55EB" w:rsidP="00310A67">
            <w:pPr>
              <w:jc w:val="center"/>
              <w:rPr>
                <w:rFonts w:ascii="Open Sans" w:eastAsia="Times New Roman" w:hAnsi="Open Sans" w:cs="Open Sans"/>
                <w:b/>
                <w:sz w:val="20"/>
                <w:szCs w:val="20"/>
                <w:highlight w:val="yellow"/>
                <w:lang w:val="es-ES" w:eastAsia="en-US"/>
              </w:rPr>
            </w:pPr>
            <w:hyperlink w:anchor="PN2" w:history="1">
              <w:r w:rsidR="00F94241" w:rsidRPr="00F94241">
                <w:rPr>
                  <w:rStyle w:val="Hipervnculo"/>
                  <w:rFonts w:ascii="Open Sans" w:eastAsia="Times New Roman" w:hAnsi="Open Sans" w:cs="Open Sans"/>
                  <w:b/>
                  <w:bCs/>
                  <w:sz w:val="20"/>
                  <w:szCs w:val="20"/>
                </w:rPr>
                <w:t>P.N.2</w:t>
              </w:r>
            </w:hyperlink>
          </w:p>
        </w:tc>
        <w:tc>
          <w:tcPr>
            <w:tcW w:w="7112" w:type="dxa"/>
            <w:vAlign w:val="center"/>
          </w:tcPr>
          <w:p w14:paraId="4FA69006" w14:textId="77777777" w:rsidR="00F94241" w:rsidRDefault="00F94241" w:rsidP="00F94241">
            <w:pP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indica los paraísos fisca</w:t>
            </w:r>
            <w:r>
              <w:rPr>
                <w:rFonts w:ascii="Open Sans" w:eastAsia="Times New Roman" w:hAnsi="Open Sans" w:cs="Open Sans"/>
                <w:color w:val="000000"/>
                <w:sz w:val="20"/>
                <w:szCs w:val="20"/>
              </w:rPr>
              <w:t xml:space="preserve">les en los que tiene presencia </w:t>
            </w:r>
          </w:p>
          <w:p w14:paraId="5BC6D239" w14:textId="43F02406" w:rsidR="00F94241" w:rsidRPr="00310A67" w:rsidRDefault="00F94241" w:rsidP="00F94241">
            <w:pPr>
              <w:pStyle w:val="Texto-InformeIBEX"/>
              <w:jc w:val="left"/>
              <w:rPr>
                <w:highlight w:val="yellow"/>
              </w:rPr>
            </w:pPr>
            <w:r w:rsidRPr="009130AF">
              <w:rPr>
                <w:color w:val="000000"/>
              </w:rPr>
              <w:t>(incluyendo el número de sociedades)</w:t>
            </w:r>
          </w:p>
        </w:tc>
      </w:tr>
      <w:tr w:rsidR="00F94241" w14:paraId="7E2FD79D" w14:textId="77777777" w:rsidTr="00310A67">
        <w:trPr>
          <w:trHeight w:val="391"/>
        </w:trPr>
        <w:tc>
          <w:tcPr>
            <w:tcW w:w="1418" w:type="dxa"/>
            <w:vAlign w:val="center"/>
          </w:tcPr>
          <w:p w14:paraId="29844D40" w14:textId="54CEF9DA" w:rsidR="00F94241" w:rsidRPr="00310A67" w:rsidRDefault="007F55EB" w:rsidP="00310A67">
            <w:pPr>
              <w:jc w:val="center"/>
              <w:rPr>
                <w:highlight w:val="yellow"/>
              </w:rPr>
            </w:pPr>
            <w:hyperlink w:anchor="PN3" w:history="1">
              <w:r w:rsidR="00F94241" w:rsidRPr="00F94241">
                <w:rPr>
                  <w:rStyle w:val="Hipervnculo"/>
                  <w:rFonts w:ascii="Open Sans" w:eastAsia="Times New Roman" w:hAnsi="Open Sans" w:cs="Open Sans"/>
                  <w:b/>
                  <w:bCs/>
                  <w:sz w:val="20"/>
                  <w:szCs w:val="20"/>
                </w:rPr>
                <w:t>P.N.3</w:t>
              </w:r>
            </w:hyperlink>
          </w:p>
        </w:tc>
        <w:tc>
          <w:tcPr>
            <w:tcW w:w="7112" w:type="dxa"/>
            <w:vAlign w:val="center"/>
          </w:tcPr>
          <w:p w14:paraId="53945FE6" w14:textId="171819D7" w:rsidR="00F94241" w:rsidRPr="00310A67" w:rsidRDefault="00F94241" w:rsidP="00F94241">
            <w:pPr>
              <w:rPr>
                <w:rFonts w:ascii="Open Sans" w:eastAsia="Times New Roman" w:hAnsi="Open Sans" w:cs="Open Sans"/>
                <w:sz w:val="20"/>
                <w:szCs w:val="20"/>
                <w:highlight w:val="yellow"/>
                <w:lang w:eastAsia="en-US"/>
              </w:rPr>
            </w:pPr>
            <w:r w:rsidRPr="009130AF">
              <w:rPr>
                <w:rFonts w:ascii="Open Sans" w:eastAsia="Times New Roman" w:hAnsi="Open Sans" w:cs="Open Sans"/>
                <w:color w:val="000000"/>
                <w:sz w:val="20"/>
                <w:szCs w:val="20"/>
              </w:rPr>
              <w:t>La empresa informa sobre qué actividades lleva a cabo en paraísos/nichos fiscales</w:t>
            </w:r>
          </w:p>
        </w:tc>
      </w:tr>
      <w:tr w:rsidR="00F94241" w14:paraId="041EA22B" w14:textId="77777777" w:rsidTr="00310A67">
        <w:tc>
          <w:tcPr>
            <w:tcW w:w="1418" w:type="dxa"/>
            <w:vAlign w:val="center"/>
          </w:tcPr>
          <w:p w14:paraId="0C6F92CE" w14:textId="0A4089DF" w:rsidR="00F94241" w:rsidRPr="00310A67" w:rsidRDefault="007F55EB" w:rsidP="00310A67">
            <w:pPr>
              <w:jc w:val="center"/>
              <w:rPr>
                <w:highlight w:val="yellow"/>
              </w:rPr>
            </w:pPr>
            <w:hyperlink w:anchor="PN4" w:history="1">
              <w:r w:rsidR="00F94241" w:rsidRPr="00F94241">
                <w:rPr>
                  <w:rStyle w:val="Hipervnculo"/>
                  <w:rFonts w:ascii="Open Sans" w:eastAsia="Times New Roman" w:hAnsi="Open Sans" w:cs="Open Sans"/>
                  <w:b/>
                  <w:bCs/>
                  <w:sz w:val="20"/>
                  <w:szCs w:val="20"/>
                </w:rPr>
                <w:t>P.N.4</w:t>
              </w:r>
            </w:hyperlink>
          </w:p>
        </w:tc>
        <w:tc>
          <w:tcPr>
            <w:tcW w:w="7112" w:type="dxa"/>
            <w:vAlign w:val="center"/>
          </w:tcPr>
          <w:p w14:paraId="76CC7BDD" w14:textId="77777777" w:rsidR="00F94241" w:rsidRDefault="00F94241" w:rsidP="00F94241">
            <w:pP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informa sobre la titularidad de las sociedades que tie</w:t>
            </w:r>
            <w:r>
              <w:rPr>
                <w:rFonts w:ascii="Open Sans" w:eastAsia="Times New Roman" w:hAnsi="Open Sans" w:cs="Open Sans"/>
                <w:color w:val="000000"/>
                <w:sz w:val="20"/>
                <w:szCs w:val="20"/>
              </w:rPr>
              <w:t xml:space="preserve">ne en paraísos/nichos fiscales. </w:t>
            </w:r>
          </w:p>
          <w:p w14:paraId="2F5FAA8D" w14:textId="1DB8B37D" w:rsidR="00F94241" w:rsidRPr="00310A67" w:rsidRDefault="00F94241" w:rsidP="00F94241">
            <w:pPr>
              <w:rPr>
                <w:rFonts w:ascii="Open Sans" w:eastAsia="Times New Roman" w:hAnsi="Open Sans" w:cs="Open Sans"/>
                <w:sz w:val="20"/>
                <w:szCs w:val="20"/>
                <w:highlight w:val="yellow"/>
                <w:lang w:val="es-ES" w:eastAsia="en-US"/>
              </w:rPr>
            </w:pPr>
            <w:r w:rsidRPr="009130AF">
              <w:rPr>
                <w:rFonts w:ascii="Open Sans" w:eastAsia="Times New Roman" w:hAnsi="Open Sans" w:cs="Open Sans"/>
                <w:color w:val="000000"/>
                <w:sz w:val="20"/>
                <w:szCs w:val="20"/>
              </w:rPr>
              <w:t>(nombre de la empresas o personas físicas titulares y % que poseen)</w:t>
            </w:r>
          </w:p>
        </w:tc>
      </w:tr>
      <w:tr w:rsidR="00F94241" w14:paraId="62A6F41E" w14:textId="77777777" w:rsidTr="00310A67">
        <w:tc>
          <w:tcPr>
            <w:tcW w:w="1418" w:type="dxa"/>
            <w:vAlign w:val="center"/>
          </w:tcPr>
          <w:p w14:paraId="263FEEEA" w14:textId="268A67DC" w:rsidR="00F94241" w:rsidRPr="00310A67" w:rsidRDefault="007F55EB" w:rsidP="00310A67">
            <w:pPr>
              <w:jc w:val="center"/>
              <w:rPr>
                <w:highlight w:val="yellow"/>
              </w:rPr>
            </w:pPr>
            <w:hyperlink w:anchor="PN5" w:history="1">
              <w:r w:rsidR="00F94241" w:rsidRPr="00F94241">
                <w:rPr>
                  <w:rStyle w:val="Hipervnculo"/>
                  <w:rFonts w:ascii="Open Sans" w:eastAsia="Times New Roman" w:hAnsi="Open Sans" w:cs="Open Sans"/>
                  <w:b/>
                  <w:bCs/>
                  <w:sz w:val="20"/>
                  <w:szCs w:val="20"/>
                </w:rPr>
                <w:t>P.N.5</w:t>
              </w:r>
            </w:hyperlink>
          </w:p>
        </w:tc>
        <w:tc>
          <w:tcPr>
            <w:tcW w:w="7112" w:type="dxa"/>
            <w:vAlign w:val="center"/>
          </w:tcPr>
          <w:p w14:paraId="7DBD4FAF" w14:textId="0CE930AF" w:rsidR="00F94241" w:rsidRPr="00310A67" w:rsidRDefault="00F94241" w:rsidP="00F94241">
            <w:pPr>
              <w:rPr>
                <w:rFonts w:ascii="Open Sans" w:eastAsia="Times New Roman" w:hAnsi="Open Sans" w:cs="Open Sans"/>
                <w:sz w:val="20"/>
                <w:szCs w:val="20"/>
                <w:highlight w:val="yellow"/>
                <w:lang w:val="es-ES" w:eastAsia="en-US"/>
              </w:rPr>
            </w:pPr>
            <w:r w:rsidRPr="009130AF">
              <w:rPr>
                <w:rFonts w:ascii="Open Sans" w:eastAsia="Times New Roman" w:hAnsi="Open Sans" w:cs="Open Sans"/>
                <w:color w:val="000000"/>
                <w:sz w:val="20"/>
                <w:szCs w:val="20"/>
              </w:rPr>
              <w:t>La empres</w:t>
            </w:r>
            <w:r>
              <w:rPr>
                <w:rFonts w:ascii="Open Sans" w:eastAsia="Times New Roman" w:hAnsi="Open Sans" w:cs="Open Sans"/>
                <w:color w:val="000000"/>
                <w:sz w:val="20"/>
                <w:szCs w:val="20"/>
              </w:rPr>
              <w:t>a pu</w:t>
            </w:r>
            <w:r w:rsidRPr="009130AF">
              <w:rPr>
                <w:rFonts w:ascii="Open Sans" w:eastAsia="Times New Roman" w:hAnsi="Open Sans" w:cs="Open Sans"/>
                <w:color w:val="000000"/>
                <w:sz w:val="20"/>
                <w:szCs w:val="20"/>
              </w:rPr>
              <w:t>blica información de los impuestos directos e indirectos pagados en paraísos/nichos fiscales</w:t>
            </w:r>
          </w:p>
        </w:tc>
      </w:tr>
      <w:tr w:rsidR="00F94241" w14:paraId="59ED713F" w14:textId="77777777" w:rsidTr="00310A67">
        <w:tc>
          <w:tcPr>
            <w:tcW w:w="1418" w:type="dxa"/>
            <w:vAlign w:val="center"/>
          </w:tcPr>
          <w:p w14:paraId="39F0135E" w14:textId="43642804" w:rsidR="00F94241" w:rsidRPr="00310A67" w:rsidRDefault="007F55EB" w:rsidP="00310A67">
            <w:pPr>
              <w:jc w:val="center"/>
              <w:rPr>
                <w:rFonts w:ascii="Open Sans" w:eastAsia="Times New Roman" w:hAnsi="Open Sans" w:cs="Open Sans"/>
                <w:b/>
                <w:bCs/>
                <w:color w:val="000000"/>
                <w:sz w:val="20"/>
                <w:szCs w:val="20"/>
                <w:highlight w:val="yellow"/>
              </w:rPr>
            </w:pPr>
            <w:hyperlink w:anchor="PN6" w:history="1">
              <w:r w:rsidR="00F94241" w:rsidRPr="00F94241">
                <w:rPr>
                  <w:rStyle w:val="Hipervnculo"/>
                  <w:rFonts w:ascii="Open Sans" w:eastAsia="Times New Roman" w:hAnsi="Open Sans" w:cs="Open Sans"/>
                  <w:b/>
                  <w:bCs/>
                  <w:sz w:val="20"/>
                  <w:szCs w:val="20"/>
                </w:rPr>
                <w:t>P.N.6</w:t>
              </w:r>
            </w:hyperlink>
          </w:p>
        </w:tc>
        <w:tc>
          <w:tcPr>
            <w:tcW w:w="7112" w:type="dxa"/>
            <w:vAlign w:val="center"/>
          </w:tcPr>
          <w:p w14:paraId="4A23C946" w14:textId="42A533DB" w:rsidR="00F94241" w:rsidRPr="00310A67" w:rsidRDefault="00F94241" w:rsidP="00F94241">
            <w:pPr>
              <w:rPr>
                <w:rFonts w:ascii="Open Sans" w:eastAsia="Times New Roman" w:hAnsi="Open Sans" w:cs="Open Sans"/>
                <w:color w:val="000000"/>
                <w:sz w:val="20"/>
                <w:szCs w:val="20"/>
                <w:highlight w:val="yellow"/>
              </w:rPr>
            </w:pPr>
            <w:r w:rsidRPr="009130AF">
              <w:rPr>
                <w:rFonts w:ascii="Open Sans" w:eastAsia="Times New Roman" w:hAnsi="Open Sans" w:cs="Open Sans"/>
                <w:color w:val="000000"/>
                <w:sz w:val="20"/>
                <w:szCs w:val="20"/>
              </w:rPr>
              <w:t>La empresa informa sobre el volumen de operaciones (en euros) que lleva a cabo en paraísos/nichos fiscales</w:t>
            </w:r>
          </w:p>
        </w:tc>
      </w:tr>
      <w:tr w:rsidR="00F94241" w14:paraId="54FAFBB6" w14:textId="77777777" w:rsidTr="00310A67">
        <w:tc>
          <w:tcPr>
            <w:tcW w:w="1418" w:type="dxa"/>
            <w:vAlign w:val="center"/>
          </w:tcPr>
          <w:p w14:paraId="62764FF0" w14:textId="580A1AD1" w:rsidR="00F94241" w:rsidRPr="00310A67" w:rsidRDefault="007F55EB" w:rsidP="00310A67">
            <w:pPr>
              <w:jc w:val="center"/>
              <w:rPr>
                <w:rFonts w:ascii="Open Sans" w:eastAsia="Times New Roman" w:hAnsi="Open Sans" w:cs="Open Sans"/>
                <w:b/>
                <w:bCs/>
                <w:color w:val="000000"/>
                <w:sz w:val="20"/>
                <w:szCs w:val="20"/>
                <w:highlight w:val="yellow"/>
              </w:rPr>
            </w:pPr>
            <w:hyperlink w:anchor="PN7" w:history="1">
              <w:r w:rsidR="00F94241" w:rsidRPr="00F94241">
                <w:rPr>
                  <w:rStyle w:val="Hipervnculo"/>
                  <w:rFonts w:ascii="Open Sans" w:eastAsia="Times New Roman" w:hAnsi="Open Sans" w:cs="Open Sans"/>
                  <w:b/>
                  <w:bCs/>
                  <w:sz w:val="20"/>
                  <w:szCs w:val="20"/>
                </w:rPr>
                <w:t>P.N.7</w:t>
              </w:r>
            </w:hyperlink>
          </w:p>
        </w:tc>
        <w:tc>
          <w:tcPr>
            <w:tcW w:w="7112" w:type="dxa"/>
            <w:vAlign w:val="center"/>
          </w:tcPr>
          <w:p w14:paraId="6FE59110" w14:textId="5AC5C542" w:rsidR="00F94241" w:rsidRPr="00F94241" w:rsidRDefault="00F94241" w:rsidP="00F94241">
            <w:pP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informa sobre qué porcentaje representa el número de trabajadores en paraísos/nichos fiscales sobre e</w:t>
            </w:r>
            <w:r>
              <w:rPr>
                <w:rFonts w:ascii="Open Sans" w:eastAsia="Times New Roman" w:hAnsi="Open Sans" w:cs="Open Sans"/>
                <w:color w:val="000000"/>
                <w:sz w:val="20"/>
                <w:szCs w:val="20"/>
              </w:rPr>
              <w:t xml:space="preserve">l número total de trabajadores </w:t>
            </w:r>
            <w:r w:rsidRPr="009130AF">
              <w:rPr>
                <w:rFonts w:ascii="Open Sans" w:eastAsia="Times New Roman" w:hAnsi="Open Sans" w:cs="Open Sans"/>
                <w:color w:val="000000"/>
                <w:sz w:val="20"/>
                <w:szCs w:val="20"/>
              </w:rPr>
              <w:t>(en equivalencia a tiempo completo)</w:t>
            </w:r>
          </w:p>
        </w:tc>
      </w:tr>
    </w:tbl>
    <w:p w14:paraId="051E7088" w14:textId="77777777" w:rsidR="00310A67" w:rsidRDefault="00310A67" w:rsidP="00310A67"/>
    <w:p w14:paraId="1317DFAA" w14:textId="77777777" w:rsidR="00310A67" w:rsidRDefault="00310A67" w:rsidP="00310A67"/>
    <w:p w14:paraId="5336328A" w14:textId="52BAFB4B" w:rsidR="00310A67" w:rsidRPr="00310A67" w:rsidRDefault="00310A67" w:rsidP="00310A67">
      <w:pPr>
        <w:rPr>
          <w:rFonts w:ascii="Open Sans" w:eastAsiaTheme="majorEastAsia" w:hAnsi="Open Sans" w:cs="Arial"/>
          <w:b/>
          <w:kern w:val="32"/>
          <w:lang w:val="es-ES" w:eastAsia="ar-SA"/>
        </w:rPr>
      </w:pPr>
      <w:r>
        <w:rPr>
          <w:rFonts w:ascii="Open Sans" w:eastAsiaTheme="majorEastAsia" w:hAnsi="Open Sans" w:cs="Arial"/>
          <w:b/>
          <w:kern w:val="32"/>
          <w:lang w:val="es-ES" w:eastAsia="ar-SA"/>
        </w:rPr>
        <w:t>Relación con Administraciones Tributarias</w:t>
      </w:r>
    </w:p>
    <w:p w14:paraId="613DBE8F" w14:textId="77777777" w:rsidR="00310A67" w:rsidRDefault="00310A67" w:rsidP="00310A67"/>
    <w:tbl>
      <w:tblPr>
        <w:tblStyle w:val="Tablaconcuadrcula"/>
        <w:tblW w:w="0" w:type="auto"/>
        <w:tblInd w:w="108" w:type="dxa"/>
        <w:tblLook w:val="04A0" w:firstRow="1" w:lastRow="0" w:firstColumn="1" w:lastColumn="0" w:noHBand="0" w:noVBand="1"/>
      </w:tblPr>
      <w:tblGrid>
        <w:gridCol w:w="1418"/>
        <w:gridCol w:w="7112"/>
      </w:tblGrid>
      <w:tr w:rsidR="000835E3" w14:paraId="19CA01E8" w14:textId="77777777" w:rsidTr="000835E3">
        <w:tc>
          <w:tcPr>
            <w:tcW w:w="1418" w:type="dxa"/>
          </w:tcPr>
          <w:p w14:paraId="7BAAB467" w14:textId="77777777" w:rsidR="000835E3" w:rsidRPr="001B2A4B" w:rsidRDefault="000835E3" w:rsidP="000835E3">
            <w:pPr>
              <w:pStyle w:val="Texto-InformeIBEX"/>
              <w:jc w:val="center"/>
              <w:rPr>
                <w:b/>
              </w:rPr>
            </w:pPr>
            <w:r w:rsidRPr="00633309">
              <w:rPr>
                <w:b/>
              </w:rPr>
              <w:t>CÓDIGO</w:t>
            </w:r>
          </w:p>
        </w:tc>
        <w:tc>
          <w:tcPr>
            <w:tcW w:w="7112" w:type="dxa"/>
          </w:tcPr>
          <w:p w14:paraId="5ED7D9C3" w14:textId="77777777" w:rsidR="000835E3" w:rsidRPr="008C62FB" w:rsidRDefault="000835E3" w:rsidP="000835E3">
            <w:pPr>
              <w:jc w:val="center"/>
              <w:rPr>
                <w:rFonts w:ascii="Open Sans" w:eastAsia="Times New Roman" w:hAnsi="Open Sans" w:cs="Open Sans"/>
                <w:sz w:val="20"/>
                <w:szCs w:val="20"/>
                <w:lang w:eastAsia="en-US"/>
              </w:rPr>
            </w:pPr>
            <w:r>
              <w:rPr>
                <w:rFonts w:ascii="Open Sans" w:eastAsia="Times New Roman" w:hAnsi="Open Sans" w:cs="Open Sans"/>
                <w:b/>
                <w:sz w:val="20"/>
                <w:szCs w:val="20"/>
                <w:lang w:val="es-ES" w:eastAsia="en-US"/>
              </w:rPr>
              <w:t>NOMBRE</w:t>
            </w:r>
          </w:p>
        </w:tc>
      </w:tr>
      <w:tr w:rsidR="00F94241" w14:paraId="32DE590B" w14:textId="77777777" w:rsidTr="000835E3">
        <w:tc>
          <w:tcPr>
            <w:tcW w:w="1418" w:type="dxa"/>
            <w:vAlign w:val="center"/>
          </w:tcPr>
          <w:p w14:paraId="75B7E29E" w14:textId="50E33097" w:rsidR="00F94241" w:rsidRPr="00310A67" w:rsidRDefault="007F55EB" w:rsidP="000835E3">
            <w:pPr>
              <w:pStyle w:val="Texto-InformeIBEX"/>
              <w:jc w:val="center"/>
              <w:rPr>
                <w:rFonts w:ascii="Arial" w:hAnsi="Arial" w:cs="Arial"/>
                <w:i/>
                <w:sz w:val="28"/>
                <w:szCs w:val="28"/>
                <w:highlight w:val="yellow"/>
              </w:rPr>
            </w:pPr>
            <w:hyperlink w:anchor="RA1" w:history="1">
              <w:r w:rsidR="00F94241" w:rsidRPr="00F94241">
                <w:rPr>
                  <w:rStyle w:val="Hipervnculo"/>
                  <w:rFonts w:cs="Open Sans"/>
                  <w:b/>
                  <w:bCs/>
                </w:rPr>
                <w:t>R.A.1</w:t>
              </w:r>
            </w:hyperlink>
          </w:p>
        </w:tc>
        <w:tc>
          <w:tcPr>
            <w:tcW w:w="7112" w:type="dxa"/>
            <w:vAlign w:val="center"/>
          </w:tcPr>
          <w:p w14:paraId="2A7DB03A" w14:textId="1DFBCDB7" w:rsidR="00F94241" w:rsidRPr="00310A67" w:rsidRDefault="00F94241" w:rsidP="00F94241">
            <w:pPr>
              <w:rPr>
                <w:rFonts w:ascii="Open Sans" w:eastAsia="Times New Roman" w:hAnsi="Open Sans" w:cs="Open Sans"/>
                <w:sz w:val="20"/>
                <w:szCs w:val="20"/>
                <w:highlight w:val="yellow"/>
                <w:lang w:val="es-ES" w:eastAsia="en-US"/>
              </w:rPr>
            </w:pPr>
            <w:r w:rsidRPr="009130AF">
              <w:rPr>
                <w:rFonts w:ascii="Open Sans" w:eastAsia="Times New Roman" w:hAnsi="Open Sans" w:cs="Open Sans"/>
                <w:color w:val="000000"/>
                <w:sz w:val="20"/>
                <w:szCs w:val="20"/>
              </w:rPr>
              <w:t>La empresa  está adherida a códigos de buenas prácticas impulsados por administraciones tributarias y organismos internacionales</w:t>
            </w:r>
          </w:p>
        </w:tc>
      </w:tr>
      <w:tr w:rsidR="00F94241" w14:paraId="0BD90E81" w14:textId="77777777" w:rsidTr="000835E3">
        <w:tc>
          <w:tcPr>
            <w:tcW w:w="1418" w:type="dxa"/>
            <w:vAlign w:val="center"/>
          </w:tcPr>
          <w:p w14:paraId="170AC8C6" w14:textId="32FA107D" w:rsidR="00F94241" w:rsidRPr="00310A67" w:rsidRDefault="007F55EB" w:rsidP="000835E3">
            <w:pPr>
              <w:jc w:val="center"/>
              <w:rPr>
                <w:rFonts w:ascii="Open Sans" w:eastAsia="Times New Roman" w:hAnsi="Open Sans" w:cs="Open Sans"/>
                <w:b/>
                <w:sz w:val="20"/>
                <w:szCs w:val="20"/>
                <w:highlight w:val="yellow"/>
                <w:lang w:val="es-ES" w:eastAsia="en-US"/>
              </w:rPr>
            </w:pPr>
            <w:hyperlink w:anchor="RA2" w:history="1">
              <w:r w:rsidR="00F94241" w:rsidRPr="00F94241">
                <w:rPr>
                  <w:rStyle w:val="Hipervnculo"/>
                  <w:rFonts w:ascii="Open Sans" w:eastAsia="Times New Roman" w:hAnsi="Open Sans" w:cs="Open Sans"/>
                  <w:b/>
                  <w:bCs/>
                  <w:sz w:val="20"/>
                  <w:szCs w:val="20"/>
                </w:rPr>
                <w:t>R.A.2</w:t>
              </w:r>
            </w:hyperlink>
          </w:p>
        </w:tc>
        <w:tc>
          <w:tcPr>
            <w:tcW w:w="7112" w:type="dxa"/>
            <w:vAlign w:val="center"/>
          </w:tcPr>
          <w:p w14:paraId="13C51C3D" w14:textId="3EE98AD0" w:rsidR="00F94241" w:rsidRPr="00310A67" w:rsidRDefault="00F94241" w:rsidP="00F94241">
            <w:pPr>
              <w:pStyle w:val="Texto-InformeIBEX"/>
              <w:jc w:val="left"/>
              <w:rPr>
                <w:highlight w:val="yellow"/>
              </w:rPr>
            </w:pPr>
            <w:r w:rsidRPr="009130AF">
              <w:rPr>
                <w:color w:val="000000"/>
              </w:rPr>
              <w:t>La empresa mantiene una relación cooperativa con la administración tributaria</w:t>
            </w:r>
          </w:p>
        </w:tc>
      </w:tr>
      <w:tr w:rsidR="00F94241" w14:paraId="1DD41330" w14:textId="77777777" w:rsidTr="000835E3">
        <w:trPr>
          <w:trHeight w:val="391"/>
        </w:trPr>
        <w:tc>
          <w:tcPr>
            <w:tcW w:w="1418" w:type="dxa"/>
            <w:vAlign w:val="center"/>
          </w:tcPr>
          <w:p w14:paraId="210E2323" w14:textId="53CA27ED" w:rsidR="00F94241" w:rsidRPr="00310A67" w:rsidRDefault="007F55EB" w:rsidP="000835E3">
            <w:pPr>
              <w:jc w:val="center"/>
              <w:rPr>
                <w:highlight w:val="yellow"/>
              </w:rPr>
            </w:pPr>
            <w:hyperlink w:anchor="RA3" w:history="1">
              <w:r w:rsidR="00F94241" w:rsidRPr="00F94241">
                <w:rPr>
                  <w:rStyle w:val="Hipervnculo"/>
                  <w:rFonts w:ascii="Open Sans" w:eastAsia="Times New Roman" w:hAnsi="Open Sans" w:cs="Open Sans"/>
                  <w:b/>
                  <w:bCs/>
                  <w:sz w:val="20"/>
                  <w:szCs w:val="20"/>
                </w:rPr>
                <w:t>R.A.3</w:t>
              </w:r>
            </w:hyperlink>
          </w:p>
        </w:tc>
        <w:tc>
          <w:tcPr>
            <w:tcW w:w="7112" w:type="dxa"/>
            <w:vAlign w:val="center"/>
          </w:tcPr>
          <w:p w14:paraId="3666B900" w14:textId="0D132983" w:rsidR="00F94241" w:rsidRPr="00310A67" w:rsidRDefault="00F94241" w:rsidP="00F94241">
            <w:pPr>
              <w:rPr>
                <w:rFonts w:ascii="Open Sans" w:eastAsia="Times New Roman" w:hAnsi="Open Sans" w:cs="Open Sans"/>
                <w:sz w:val="20"/>
                <w:szCs w:val="20"/>
                <w:highlight w:val="yellow"/>
                <w:lang w:eastAsia="en-US"/>
              </w:rPr>
            </w:pPr>
            <w:r w:rsidRPr="009130AF">
              <w:rPr>
                <w:rFonts w:ascii="Open Sans" w:hAnsi="Open Sans"/>
                <w:sz w:val="20"/>
                <w:szCs w:val="20"/>
              </w:rPr>
              <w:t xml:space="preserve"> </w:t>
            </w:r>
            <w:r w:rsidRPr="009130AF">
              <w:rPr>
                <w:rFonts w:ascii="Open Sans" w:eastAsia="Times New Roman" w:hAnsi="Open Sans" w:cs="Open Sans"/>
                <w:color w:val="000000"/>
                <w:sz w:val="20"/>
                <w:szCs w:val="20"/>
              </w:rPr>
              <w:t xml:space="preserve">La empresa se relaciona con </w:t>
            </w:r>
            <w:r>
              <w:rPr>
                <w:rFonts w:ascii="Open Sans" w:eastAsia="Times New Roman" w:hAnsi="Open Sans" w:cs="Open Sans"/>
                <w:color w:val="000000"/>
                <w:sz w:val="20"/>
                <w:szCs w:val="20"/>
              </w:rPr>
              <w:t>legisladores y políticos ¿Cómo</w:t>
            </w:r>
            <w:proofErr w:type="gramStart"/>
            <w:r>
              <w:rPr>
                <w:rFonts w:ascii="Open Sans" w:eastAsia="Times New Roman" w:hAnsi="Open Sans" w:cs="Open Sans"/>
                <w:color w:val="000000"/>
                <w:sz w:val="20"/>
                <w:szCs w:val="20"/>
              </w:rPr>
              <w:t>?.</w:t>
            </w:r>
            <w:proofErr w:type="gramEnd"/>
            <w:r>
              <w:rPr>
                <w:rFonts w:ascii="Open Sans" w:eastAsia="Times New Roman" w:hAnsi="Open Sans" w:cs="Open Sans"/>
                <w:color w:val="000000"/>
                <w:sz w:val="20"/>
                <w:szCs w:val="20"/>
              </w:rPr>
              <w:t xml:space="preserve"> </w:t>
            </w:r>
            <w:r w:rsidRPr="009130AF">
              <w:rPr>
                <w:rFonts w:ascii="Open Sans" w:eastAsia="Times New Roman" w:hAnsi="Open Sans" w:cs="Open Sans"/>
                <w:color w:val="000000"/>
                <w:sz w:val="20"/>
                <w:szCs w:val="20"/>
              </w:rPr>
              <w:t xml:space="preserve">En el caso de que realice </w:t>
            </w:r>
            <w:r>
              <w:rPr>
                <w:rFonts w:ascii="Open Sans" w:eastAsia="Times New Roman" w:hAnsi="Open Sans" w:cs="Open Sans"/>
                <w:color w:val="000000"/>
                <w:sz w:val="20"/>
                <w:szCs w:val="20"/>
              </w:rPr>
              <w:t>actividades de presión/lobby, ¿E</w:t>
            </w:r>
            <w:r w:rsidRPr="009130AF">
              <w:rPr>
                <w:rFonts w:ascii="Open Sans" w:eastAsia="Times New Roman" w:hAnsi="Open Sans" w:cs="Open Sans"/>
                <w:color w:val="000000"/>
                <w:sz w:val="20"/>
                <w:szCs w:val="20"/>
              </w:rPr>
              <w:t>n qué temas las hace?</w:t>
            </w:r>
          </w:p>
        </w:tc>
      </w:tr>
      <w:tr w:rsidR="00F94241" w14:paraId="2568A9A3" w14:textId="77777777" w:rsidTr="000835E3">
        <w:tc>
          <w:tcPr>
            <w:tcW w:w="1418" w:type="dxa"/>
            <w:vAlign w:val="center"/>
          </w:tcPr>
          <w:p w14:paraId="6BF0D846" w14:textId="126895D7" w:rsidR="00F94241" w:rsidRPr="00310A67" w:rsidRDefault="007F55EB" w:rsidP="000835E3">
            <w:pPr>
              <w:jc w:val="center"/>
              <w:rPr>
                <w:highlight w:val="yellow"/>
              </w:rPr>
            </w:pPr>
            <w:hyperlink w:anchor="RA4" w:history="1">
              <w:r w:rsidR="00F94241" w:rsidRPr="00F94241">
                <w:rPr>
                  <w:rStyle w:val="Hipervnculo"/>
                  <w:rFonts w:ascii="Open Sans" w:eastAsia="Times New Roman" w:hAnsi="Open Sans" w:cs="Open Sans"/>
                  <w:b/>
                  <w:bCs/>
                  <w:sz w:val="20"/>
                  <w:szCs w:val="20"/>
                </w:rPr>
                <w:t>R.A.4</w:t>
              </w:r>
            </w:hyperlink>
          </w:p>
        </w:tc>
        <w:tc>
          <w:tcPr>
            <w:tcW w:w="7112" w:type="dxa"/>
            <w:vAlign w:val="center"/>
          </w:tcPr>
          <w:p w14:paraId="11A5EC58" w14:textId="2EA88501" w:rsidR="00F94241" w:rsidRPr="00310A67" w:rsidRDefault="00F94241" w:rsidP="00F94241">
            <w:pPr>
              <w:rPr>
                <w:rFonts w:ascii="Open Sans" w:eastAsia="Times New Roman" w:hAnsi="Open Sans" w:cs="Open Sans"/>
                <w:sz w:val="20"/>
                <w:szCs w:val="20"/>
                <w:highlight w:val="yellow"/>
                <w:lang w:val="es-ES" w:eastAsia="en-US"/>
              </w:rPr>
            </w:pPr>
            <w:r w:rsidRPr="009130AF">
              <w:rPr>
                <w:rFonts w:ascii="Open Sans" w:eastAsia="Times New Roman" w:hAnsi="Open Sans" w:cs="Open Sans"/>
                <w:color w:val="000000"/>
                <w:sz w:val="20"/>
                <w:szCs w:val="20"/>
              </w:rPr>
              <w:t>La empresa informa sobre las co</w:t>
            </w:r>
            <w:r>
              <w:rPr>
                <w:rFonts w:ascii="Open Sans" w:eastAsia="Times New Roman" w:hAnsi="Open Sans" w:cs="Open Sans"/>
                <w:color w:val="000000"/>
                <w:sz w:val="20"/>
                <w:szCs w:val="20"/>
              </w:rPr>
              <w:t xml:space="preserve">ntingencias fiscales existentes. </w:t>
            </w:r>
            <w:r w:rsidRPr="009130AF">
              <w:rPr>
                <w:rFonts w:ascii="Open Sans" w:eastAsia="Times New Roman" w:hAnsi="Open Sans" w:cs="Open Sans"/>
                <w:color w:val="000000"/>
                <w:sz w:val="20"/>
                <w:szCs w:val="20"/>
              </w:rPr>
              <w:t xml:space="preserve"> </w:t>
            </w:r>
            <w:r>
              <w:rPr>
                <w:rFonts w:ascii="Open Sans" w:eastAsia="Times New Roman" w:hAnsi="Open Sans" w:cs="Open Sans"/>
                <w:color w:val="000000"/>
                <w:sz w:val="20"/>
                <w:szCs w:val="20"/>
              </w:rPr>
              <w:t>(e</w:t>
            </w:r>
            <w:r w:rsidRPr="009130AF">
              <w:rPr>
                <w:rFonts w:ascii="Open Sans" w:eastAsia="Times New Roman" w:hAnsi="Open Sans" w:cs="Open Sans"/>
                <w:color w:val="000000"/>
                <w:sz w:val="20"/>
                <w:szCs w:val="20"/>
              </w:rPr>
              <w:t>ntendiendo por tales aquellas operaciones o transacciones en las que existe riesgo significativo de que no coincida el criterio aplicado o que piensa aplicar la empresa con el de la administración</w:t>
            </w:r>
            <w:r>
              <w:rPr>
                <w:rFonts w:ascii="Open Sans" w:eastAsia="Times New Roman" w:hAnsi="Open Sans" w:cs="Open Sans"/>
                <w:color w:val="000000"/>
                <w:sz w:val="20"/>
                <w:szCs w:val="20"/>
              </w:rPr>
              <w:t>)</w:t>
            </w:r>
          </w:p>
        </w:tc>
      </w:tr>
      <w:tr w:rsidR="00F94241" w14:paraId="514A0467" w14:textId="77777777" w:rsidTr="000835E3">
        <w:tc>
          <w:tcPr>
            <w:tcW w:w="1418" w:type="dxa"/>
            <w:vAlign w:val="center"/>
          </w:tcPr>
          <w:p w14:paraId="3B409880" w14:textId="091CDED3" w:rsidR="00F94241" w:rsidRPr="00310A67" w:rsidRDefault="007F55EB" w:rsidP="000835E3">
            <w:pPr>
              <w:jc w:val="center"/>
              <w:rPr>
                <w:highlight w:val="yellow"/>
              </w:rPr>
            </w:pPr>
            <w:hyperlink w:anchor="RA5" w:history="1">
              <w:r w:rsidR="00F94241" w:rsidRPr="00F94241">
                <w:rPr>
                  <w:rStyle w:val="Hipervnculo"/>
                  <w:rFonts w:ascii="Open Sans" w:eastAsia="Times New Roman" w:hAnsi="Open Sans" w:cs="Open Sans"/>
                  <w:b/>
                  <w:bCs/>
                  <w:sz w:val="20"/>
                  <w:szCs w:val="20"/>
                </w:rPr>
                <w:t>R.A.5</w:t>
              </w:r>
            </w:hyperlink>
          </w:p>
        </w:tc>
        <w:tc>
          <w:tcPr>
            <w:tcW w:w="7112" w:type="dxa"/>
            <w:vAlign w:val="center"/>
          </w:tcPr>
          <w:p w14:paraId="38272883" w14:textId="114CB88F" w:rsidR="00F94241" w:rsidRPr="00310A67" w:rsidRDefault="00F94241" w:rsidP="00F94241">
            <w:pPr>
              <w:rPr>
                <w:rFonts w:ascii="Open Sans" w:eastAsia="Times New Roman" w:hAnsi="Open Sans" w:cs="Open Sans"/>
                <w:sz w:val="20"/>
                <w:szCs w:val="20"/>
                <w:highlight w:val="yellow"/>
                <w:lang w:val="es-ES" w:eastAsia="en-US"/>
              </w:rPr>
            </w:pPr>
            <w:r w:rsidRPr="009130AF">
              <w:rPr>
                <w:rFonts w:ascii="Open Sans" w:eastAsia="Times New Roman" w:hAnsi="Open Sans" w:cs="Open Sans"/>
                <w:color w:val="000000"/>
                <w:sz w:val="20"/>
                <w:szCs w:val="20"/>
              </w:rPr>
              <w:t>La empresa informa sobre si hay deudas tributarias en período ejecutivo, es decir, vencid</w:t>
            </w:r>
            <w:r>
              <w:rPr>
                <w:rFonts w:ascii="Open Sans" w:eastAsia="Times New Roman" w:hAnsi="Open Sans" w:cs="Open Sans"/>
                <w:color w:val="000000"/>
                <w:sz w:val="20"/>
                <w:szCs w:val="20"/>
              </w:rPr>
              <w:t>o el período voluntario de pago</w:t>
            </w:r>
          </w:p>
        </w:tc>
      </w:tr>
      <w:tr w:rsidR="00F94241" w14:paraId="65D74F62" w14:textId="77777777" w:rsidTr="000835E3">
        <w:tc>
          <w:tcPr>
            <w:tcW w:w="1418" w:type="dxa"/>
            <w:vAlign w:val="center"/>
          </w:tcPr>
          <w:p w14:paraId="1F97C2F4" w14:textId="38D7FE7A" w:rsidR="00F94241" w:rsidRPr="00310A67" w:rsidRDefault="007F55EB" w:rsidP="000835E3">
            <w:pPr>
              <w:jc w:val="center"/>
              <w:rPr>
                <w:rFonts w:ascii="Open Sans" w:eastAsia="Times New Roman" w:hAnsi="Open Sans" w:cs="Open Sans"/>
                <w:b/>
                <w:bCs/>
                <w:color w:val="000000"/>
                <w:sz w:val="20"/>
                <w:szCs w:val="20"/>
                <w:highlight w:val="yellow"/>
              </w:rPr>
            </w:pPr>
            <w:hyperlink w:anchor="RA6" w:history="1">
              <w:r w:rsidR="00F94241" w:rsidRPr="00F94241">
                <w:rPr>
                  <w:rStyle w:val="Hipervnculo"/>
                  <w:rFonts w:ascii="Open Sans" w:eastAsia="Times New Roman" w:hAnsi="Open Sans" w:cs="Open Sans"/>
                  <w:b/>
                  <w:bCs/>
                  <w:sz w:val="20"/>
                  <w:szCs w:val="20"/>
                </w:rPr>
                <w:t>R.A.6</w:t>
              </w:r>
            </w:hyperlink>
          </w:p>
        </w:tc>
        <w:tc>
          <w:tcPr>
            <w:tcW w:w="7112" w:type="dxa"/>
            <w:vAlign w:val="center"/>
          </w:tcPr>
          <w:p w14:paraId="1C1ED4D2" w14:textId="5D7C6CB6" w:rsidR="00F94241" w:rsidRPr="00310A67" w:rsidRDefault="00F94241" w:rsidP="00F94241">
            <w:pPr>
              <w:rPr>
                <w:rFonts w:ascii="Open Sans" w:eastAsia="Times New Roman" w:hAnsi="Open Sans" w:cs="Open Sans"/>
                <w:color w:val="000000"/>
                <w:sz w:val="20"/>
                <w:szCs w:val="20"/>
                <w:highlight w:val="yellow"/>
              </w:rPr>
            </w:pPr>
            <w:r w:rsidRPr="009130AF">
              <w:rPr>
                <w:rFonts w:ascii="Open Sans" w:eastAsia="Times New Roman" w:hAnsi="Open Sans" w:cs="Open Sans"/>
                <w:color w:val="000000"/>
                <w:sz w:val="20"/>
                <w:szCs w:val="20"/>
              </w:rPr>
              <w:t>La empresa aporta información sobre los litigios abiertos co</w:t>
            </w:r>
            <w:r>
              <w:rPr>
                <w:rFonts w:ascii="Open Sans" w:eastAsia="Times New Roman" w:hAnsi="Open Sans" w:cs="Open Sans"/>
                <w:color w:val="000000"/>
                <w:sz w:val="20"/>
                <w:szCs w:val="20"/>
              </w:rPr>
              <w:t xml:space="preserve">n administraciones tributarias </w:t>
            </w:r>
            <w:r w:rsidRPr="009130AF">
              <w:rPr>
                <w:rFonts w:ascii="Open Sans" w:eastAsia="Times New Roman" w:hAnsi="Open Sans" w:cs="Open Sans"/>
                <w:color w:val="000000"/>
                <w:sz w:val="20"/>
                <w:szCs w:val="20"/>
              </w:rPr>
              <w:t>(Entiéndase litigio en sentido amplio: judiciales, administrativos,…)</w:t>
            </w:r>
          </w:p>
        </w:tc>
      </w:tr>
      <w:tr w:rsidR="00F94241" w14:paraId="6F0A7FFE" w14:textId="77777777" w:rsidTr="000835E3">
        <w:tc>
          <w:tcPr>
            <w:tcW w:w="1418" w:type="dxa"/>
            <w:vAlign w:val="center"/>
          </w:tcPr>
          <w:p w14:paraId="100D4D4D" w14:textId="351D65F5" w:rsidR="00F94241" w:rsidRPr="00310A67" w:rsidRDefault="007F55EB" w:rsidP="000835E3">
            <w:pPr>
              <w:jc w:val="center"/>
              <w:rPr>
                <w:rFonts w:ascii="Open Sans" w:eastAsia="Times New Roman" w:hAnsi="Open Sans" w:cs="Open Sans"/>
                <w:b/>
                <w:bCs/>
                <w:color w:val="000000"/>
                <w:sz w:val="20"/>
                <w:szCs w:val="20"/>
                <w:highlight w:val="yellow"/>
              </w:rPr>
            </w:pPr>
            <w:hyperlink w:anchor="RA7" w:history="1">
              <w:r w:rsidR="00F94241" w:rsidRPr="00F94241">
                <w:rPr>
                  <w:rStyle w:val="Hipervnculo"/>
                  <w:rFonts w:ascii="Open Sans" w:eastAsia="Times New Roman" w:hAnsi="Open Sans" w:cs="Open Sans"/>
                  <w:b/>
                  <w:bCs/>
                  <w:sz w:val="20"/>
                  <w:szCs w:val="20"/>
                </w:rPr>
                <w:t>R.A.7</w:t>
              </w:r>
            </w:hyperlink>
          </w:p>
        </w:tc>
        <w:tc>
          <w:tcPr>
            <w:tcW w:w="7112" w:type="dxa"/>
            <w:vAlign w:val="center"/>
          </w:tcPr>
          <w:p w14:paraId="695B4F9F" w14:textId="491A8D71" w:rsidR="00F94241" w:rsidRPr="00ED19C7" w:rsidRDefault="00F94241" w:rsidP="00F94241">
            <w:pPr>
              <w:rPr>
                <w:rFonts w:ascii="Open Sans" w:eastAsia="Times New Roman" w:hAnsi="Open Sans" w:cs="Open Sans"/>
                <w:color w:val="000000"/>
                <w:sz w:val="20"/>
                <w:szCs w:val="20"/>
                <w:highlight w:val="yellow"/>
              </w:rPr>
            </w:pPr>
            <w:r w:rsidRPr="009130AF">
              <w:rPr>
                <w:rFonts w:ascii="Open Sans" w:eastAsia="Times New Roman" w:hAnsi="Open Sans" w:cs="Open Sans"/>
                <w:color w:val="000000"/>
                <w:sz w:val="20"/>
                <w:szCs w:val="20"/>
              </w:rPr>
              <w:t>La empresa aporta información sobre los litigios con administraciones tributarias resueltos en el ú</w:t>
            </w:r>
            <w:r>
              <w:rPr>
                <w:rFonts w:ascii="Open Sans" w:eastAsia="Times New Roman" w:hAnsi="Open Sans" w:cs="Open Sans"/>
                <w:color w:val="000000"/>
                <w:sz w:val="20"/>
                <w:szCs w:val="20"/>
              </w:rPr>
              <w:t xml:space="preserve">ltimo ejercicio económico. </w:t>
            </w:r>
            <w:r w:rsidRPr="009130AF">
              <w:rPr>
                <w:rFonts w:ascii="Open Sans" w:eastAsia="Times New Roman" w:hAnsi="Open Sans" w:cs="Open Sans"/>
                <w:color w:val="000000"/>
                <w:sz w:val="20"/>
                <w:szCs w:val="20"/>
              </w:rPr>
              <w:t>(Entiéndase litigio en sentido amplio: judiciales, administrativos,…)</w:t>
            </w:r>
          </w:p>
        </w:tc>
      </w:tr>
    </w:tbl>
    <w:p w14:paraId="3D65B67D" w14:textId="77777777" w:rsidR="00310A67" w:rsidRDefault="00310A67" w:rsidP="00310A67"/>
    <w:p w14:paraId="26A654AE" w14:textId="77777777" w:rsidR="00310A67" w:rsidRDefault="00310A67" w:rsidP="00310A67"/>
    <w:p w14:paraId="46F490F3" w14:textId="5E2BF35F" w:rsidR="00310A67" w:rsidRDefault="000835E3" w:rsidP="00310A67">
      <w:pPr>
        <w:rPr>
          <w:rFonts w:ascii="Open Sans" w:eastAsiaTheme="majorEastAsia" w:hAnsi="Open Sans" w:cs="Arial"/>
          <w:b/>
          <w:kern w:val="32"/>
          <w:lang w:eastAsia="ar-SA"/>
        </w:rPr>
      </w:pPr>
      <w:r w:rsidRPr="00F94241">
        <w:rPr>
          <w:rFonts w:ascii="Open Sans" w:eastAsiaTheme="majorEastAsia" w:hAnsi="Open Sans" w:cs="Arial"/>
          <w:b/>
          <w:kern w:val="32"/>
          <w:lang w:eastAsia="ar-SA"/>
        </w:rPr>
        <w:t>Operativa de la empresa</w:t>
      </w:r>
    </w:p>
    <w:p w14:paraId="28CD9AFD" w14:textId="77777777" w:rsidR="000835E3" w:rsidRDefault="000835E3" w:rsidP="00310A67"/>
    <w:tbl>
      <w:tblPr>
        <w:tblStyle w:val="Tablaconcuadrcula"/>
        <w:tblW w:w="0" w:type="auto"/>
        <w:tblInd w:w="108" w:type="dxa"/>
        <w:tblLook w:val="04A0" w:firstRow="1" w:lastRow="0" w:firstColumn="1" w:lastColumn="0" w:noHBand="0" w:noVBand="1"/>
      </w:tblPr>
      <w:tblGrid>
        <w:gridCol w:w="1418"/>
        <w:gridCol w:w="7112"/>
      </w:tblGrid>
      <w:tr w:rsidR="000835E3" w14:paraId="3C0238A5" w14:textId="77777777" w:rsidTr="000835E3">
        <w:tc>
          <w:tcPr>
            <w:tcW w:w="1418" w:type="dxa"/>
          </w:tcPr>
          <w:p w14:paraId="0C721764" w14:textId="77777777" w:rsidR="000835E3" w:rsidRPr="001B2A4B" w:rsidRDefault="000835E3" w:rsidP="000835E3">
            <w:pPr>
              <w:pStyle w:val="Texto-InformeIBEX"/>
              <w:jc w:val="center"/>
              <w:rPr>
                <w:b/>
              </w:rPr>
            </w:pPr>
            <w:r w:rsidRPr="00633309">
              <w:rPr>
                <w:b/>
              </w:rPr>
              <w:t>CÓDIGO</w:t>
            </w:r>
          </w:p>
        </w:tc>
        <w:tc>
          <w:tcPr>
            <w:tcW w:w="7112" w:type="dxa"/>
          </w:tcPr>
          <w:p w14:paraId="0FF819CB" w14:textId="77777777" w:rsidR="000835E3" w:rsidRPr="008C62FB" w:rsidRDefault="000835E3" w:rsidP="000835E3">
            <w:pPr>
              <w:jc w:val="center"/>
              <w:rPr>
                <w:rFonts w:ascii="Open Sans" w:eastAsia="Times New Roman" w:hAnsi="Open Sans" w:cs="Open Sans"/>
                <w:sz w:val="20"/>
                <w:szCs w:val="20"/>
                <w:lang w:eastAsia="en-US"/>
              </w:rPr>
            </w:pPr>
            <w:r>
              <w:rPr>
                <w:rFonts w:ascii="Open Sans" w:eastAsia="Times New Roman" w:hAnsi="Open Sans" w:cs="Open Sans"/>
                <w:b/>
                <w:sz w:val="20"/>
                <w:szCs w:val="20"/>
                <w:lang w:val="es-ES" w:eastAsia="en-US"/>
              </w:rPr>
              <w:t>NOMBRE</w:t>
            </w:r>
          </w:p>
        </w:tc>
      </w:tr>
      <w:tr w:rsidR="00F94241" w14:paraId="349644AD" w14:textId="77777777" w:rsidTr="00BC63A1">
        <w:tc>
          <w:tcPr>
            <w:tcW w:w="1418" w:type="dxa"/>
            <w:vAlign w:val="center"/>
          </w:tcPr>
          <w:p w14:paraId="3C43D8C0" w14:textId="4A2F8EEE" w:rsidR="00F94241" w:rsidRPr="00310A67" w:rsidRDefault="007F55EB" w:rsidP="000835E3">
            <w:pPr>
              <w:pStyle w:val="Texto-InformeIBEX"/>
              <w:jc w:val="center"/>
              <w:rPr>
                <w:rFonts w:ascii="Arial" w:hAnsi="Arial" w:cs="Arial"/>
                <w:i/>
                <w:sz w:val="28"/>
                <w:szCs w:val="28"/>
                <w:highlight w:val="yellow"/>
              </w:rPr>
            </w:pPr>
            <w:hyperlink w:anchor="OE1" w:history="1">
              <w:r w:rsidR="00F94241" w:rsidRPr="00F94241">
                <w:rPr>
                  <w:rStyle w:val="Hipervnculo"/>
                  <w:rFonts w:cs="Open Sans"/>
                  <w:b/>
                  <w:bCs/>
                </w:rPr>
                <w:t>O.E.1</w:t>
              </w:r>
            </w:hyperlink>
          </w:p>
        </w:tc>
        <w:tc>
          <w:tcPr>
            <w:tcW w:w="7112" w:type="dxa"/>
          </w:tcPr>
          <w:p w14:paraId="11DF0A2E" w14:textId="539FF511" w:rsidR="00F94241" w:rsidRPr="00310A67" w:rsidRDefault="00F94241" w:rsidP="00F94241">
            <w:pPr>
              <w:rPr>
                <w:rFonts w:ascii="Open Sans" w:eastAsia="Times New Roman" w:hAnsi="Open Sans" w:cs="Open Sans"/>
                <w:sz w:val="20"/>
                <w:szCs w:val="20"/>
                <w:highlight w:val="yellow"/>
                <w:lang w:val="es-ES" w:eastAsia="en-US"/>
              </w:rPr>
            </w:pPr>
            <w:r w:rsidRPr="00C17CF0">
              <w:rPr>
                <w:rFonts w:ascii="Open Sans" w:eastAsia="Times New Roman" w:hAnsi="Open Sans" w:cs="Open Sans"/>
                <w:color w:val="000000"/>
                <w:sz w:val="20"/>
                <w:szCs w:val="20"/>
              </w:rPr>
              <w:t xml:space="preserve">La empresa indica si son las actividades financieras y/o de seguros unas de las principales fuentes de ingresos de la empresa </w:t>
            </w:r>
          </w:p>
        </w:tc>
      </w:tr>
      <w:tr w:rsidR="00F94241" w14:paraId="3DDDBAED" w14:textId="77777777" w:rsidTr="00BC63A1">
        <w:tc>
          <w:tcPr>
            <w:tcW w:w="1418" w:type="dxa"/>
            <w:vAlign w:val="center"/>
          </w:tcPr>
          <w:p w14:paraId="03D58302" w14:textId="21344691" w:rsidR="00F94241" w:rsidRPr="00310A67" w:rsidRDefault="007F55EB" w:rsidP="000835E3">
            <w:pPr>
              <w:jc w:val="center"/>
              <w:rPr>
                <w:rFonts w:ascii="Open Sans" w:eastAsia="Times New Roman" w:hAnsi="Open Sans" w:cs="Open Sans"/>
                <w:b/>
                <w:sz w:val="20"/>
                <w:szCs w:val="20"/>
                <w:highlight w:val="yellow"/>
                <w:lang w:val="es-ES" w:eastAsia="en-US"/>
              </w:rPr>
            </w:pPr>
            <w:hyperlink w:anchor="OE2" w:history="1">
              <w:r w:rsidR="00F94241" w:rsidRPr="00F94241">
                <w:rPr>
                  <w:rStyle w:val="Hipervnculo"/>
                  <w:rFonts w:ascii="Open Sans" w:eastAsia="Times New Roman" w:hAnsi="Open Sans" w:cs="Open Sans"/>
                  <w:b/>
                  <w:bCs/>
                  <w:sz w:val="20"/>
                  <w:szCs w:val="20"/>
                </w:rPr>
                <w:t>O.E.2</w:t>
              </w:r>
            </w:hyperlink>
          </w:p>
        </w:tc>
        <w:tc>
          <w:tcPr>
            <w:tcW w:w="7112" w:type="dxa"/>
          </w:tcPr>
          <w:p w14:paraId="310F9541" w14:textId="226422F3" w:rsidR="00F94241" w:rsidRPr="00310A67" w:rsidRDefault="00F94241" w:rsidP="00F94241">
            <w:pPr>
              <w:pStyle w:val="Texto-InformeIBEX"/>
              <w:jc w:val="left"/>
              <w:rPr>
                <w:highlight w:val="yellow"/>
              </w:rPr>
            </w:pPr>
            <w:r w:rsidRPr="00C17CF0">
              <w:rPr>
                <w:color w:val="000000"/>
              </w:rPr>
              <w:t>La empresa informa sobre cómo se fijan los precios de transferencia de las compras intragrupo</w:t>
            </w:r>
          </w:p>
        </w:tc>
      </w:tr>
      <w:tr w:rsidR="00F94241" w14:paraId="280ECCB5" w14:textId="77777777" w:rsidTr="00BC63A1">
        <w:trPr>
          <w:trHeight w:val="391"/>
        </w:trPr>
        <w:tc>
          <w:tcPr>
            <w:tcW w:w="1418" w:type="dxa"/>
            <w:vAlign w:val="center"/>
          </w:tcPr>
          <w:p w14:paraId="7E58E78B" w14:textId="39FD5584" w:rsidR="00F94241" w:rsidRPr="00310A67" w:rsidRDefault="007F55EB" w:rsidP="000835E3">
            <w:pPr>
              <w:jc w:val="center"/>
              <w:rPr>
                <w:highlight w:val="yellow"/>
              </w:rPr>
            </w:pPr>
            <w:hyperlink w:anchor="OE3" w:history="1">
              <w:r w:rsidR="00F94241" w:rsidRPr="00F94241">
                <w:rPr>
                  <w:rStyle w:val="Hipervnculo"/>
                  <w:rFonts w:ascii="Open Sans" w:eastAsia="Times New Roman" w:hAnsi="Open Sans" w:cs="Open Sans"/>
                  <w:b/>
                  <w:bCs/>
                  <w:sz w:val="20"/>
                  <w:szCs w:val="20"/>
                </w:rPr>
                <w:t>O.E.3</w:t>
              </w:r>
            </w:hyperlink>
          </w:p>
        </w:tc>
        <w:tc>
          <w:tcPr>
            <w:tcW w:w="7112" w:type="dxa"/>
          </w:tcPr>
          <w:p w14:paraId="33B7AA58" w14:textId="44C92321" w:rsidR="00F94241" w:rsidRPr="00310A67" w:rsidRDefault="00F94241" w:rsidP="00F94241">
            <w:pPr>
              <w:rPr>
                <w:rFonts w:ascii="Open Sans" w:eastAsia="Times New Roman" w:hAnsi="Open Sans" w:cs="Open Sans"/>
                <w:sz w:val="20"/>
                <w:szCs w:val="20"/>
                <w:highlight w:val="yellow"/>
                <w:lang w:eastAsia="en-US"/>
              </w:rPr>
            </w:pPr>
            <w:r w:rsidRPr="00C17CF0">
              <w:rPr>
                <w:rFonts w:ascii="Open Sans" w:eastAsia="Times New Roman" w:hAnsi="Open Sans" w:cs="Open Sans"/>
                <w:color w:val="000000"/>
                <w:sz w:val="20"/>
                <w:szCs w:val="20"/>
              </w:rPr>
              <w:t>La empresa informa sobre cuál es el porcentaje que representan las compras intragrupo respecto al total de comprar realizadas</w:t>
            </w:r>
          </w:p>
        </w:tc>
      </w:tr>
      <w:tr w:rsidR="00F94241" w14:paraId="04E1B115" w14:textId="77777777" w:rsidTr="00BC63A1">
        <w:tc>
          <w:tcPr>
            <w:tcW w:w="1418" w:type="dxa"/>
            <w:vAlign w:val="center"/>
          </w:tcPr>
          <w:p w14:paraId="5AD01451" w14:textId="77722141" w:rsidR="00F94241" w:rsidRPr="00310A67" w:rsidRDefault="007F55EB" w:rsidP="000835E3">
            <w:pPr>
              <w:jc w:val="center"/>
              <w:rPr>
                <w:highlight w:val="yellow"/>
              </w:rPr>
            </w:pPr>
            <w:hyperlink w:anchor="OE4" w:history="1">
              <w:r w:rsidR="00F94241" w:rsidRPr="00F94241">
                <w:rPr>
                  <w:rStyle w:val="Hipervnculo"/>
                  <w:rFonts w:ascii="Open Sans" w:eastAsia="Times New Roman" w:hAnsi="Open Sans" w:cs="Open Sans"/>
                  <w:b/>
                  <w:bCs/>
                  <w:sz w:val="20"/>
                  <w:szCs w:val="20"/>
                </w:rPr>
                <w:t>O.E.4</w:t>
              </w:r>
            </w:hyperlink>
          </w:p>
        </w:tc>
        <w:tc>
          <w:tcPr>
            <w:tcW w:w="7112" w:type="dxa"/>
          </w:tcPr>
          <w:p w14:paraId="7BA85C16" w14:textId="2C2768D3" w:rsidR="00F94241" w:rsidRPr="00310A67" w:rsidRDefault="00F94241" w:rsidP="00F94241">
            <w:pPr>
              <w:rPr>
                <w:rFonts w:ascii="Open Sans" w:eastAsia="Times New Roman" w:hAnsi="Open Sans" w:cs="Open Sans"/>
                <w:sz w:val="20"/>
                <w:szCs w:val="20"/>
                <w:highlight w:val="yellow"/>
                <w:lang w:val="es-ES" w:eastAsia="en-US"/>
              </w:rPr>
            </w:pPr>
            <w:r w:rsidRPr="00C17CF0">
              <w:rPr>
                <w:rFonts w:ascii="Open Sans" w:eastAsia="Times New Roman" w:hAnsi="Open Sans" w:cs="Open Sans"/>
                <w:color w:val="000000"/>
                <w:sz w:val="20"/>
                <w:szCs w:val="20"/>
              </w:rPr>
              <w:t>La empresa  informea sobre si utiliza estructuras de empresas de marketig o comerciales, dónde, y si recibe incentivos por ello o acuerdos privilegiados de precios en algunos países</w:t>
            </w:r>
          </w:p>
        </w:tc>
      </w:tr>
      <w:tr w:rsidR="00F94241" w14:paraId="36612151" w14:textId="77777777" w:rsidTr="00BC63A1">
        <w:tc>
          <w:tcPr>
            <w:tcW w:w="1418" w:type="dxa"/>
            <w:vAlign w:val="center"/>
          </w:tcPr>
          <w:p w14:paraId="6153141F" w14:textId="136DEEF8" w:rsidR="00F94241" w:rsidRPr="00310A67" w:rsidRDefault="007F55EB" w:rsidP="000835E3">
            <w:pPr>
              <w:jc w:val="center"/>
              <w:rPr>
                <w:highlight w:val="yellow"/>
              </w:rPr>
            </w:pPr>
            <w:hyperlink w:anchor="OE5" w:history="1">
              <w:r w:rsidR="00F94241" w:rsidRPr="00F94241">
                <w:rPr>
                  <w:rStyle w:val="Hipervnculo"/>
                  <w:rFonts w:ascii="Open Sans" w:eastAsia="Times New Roman" w:hAnsi="Open Sans" w:cs="Open Sans"/>
                  <w:b/>
                  <w:bCs/>
                  <w:sz w:val="20"/>
                  <w:szCs w:val="20"/>
                </w:rPr>
                <w:t>O.E.5</w:t>
              </w:r>
            </w:hyperlink>
          </w:p>
        </w:tc>
        <w:tc>
          <w:tcPr>
            <w:tcW w:w="7112" w:type="dxa"/>
          </w:tcPr>
          <w:p w14:paraId="4B37CA85" w14:textId="05CCADC5" w:rsidR="00F94241" w:rsidRPr="00310A67" w:rsidRDefault="00F94241" w:rsidP="00F94241">
            <w:pPr>
              <w:rPr>
                <w:rFonts w:ascii="Open Sans" w:eastAsia="Times New Roman" w:hAnsi="Open Sans" w:cs="Open Sans"/>
                <w:sz w:val="20"/>
                <w:szCs w:val="20"/>
                <w:highlight w:val="yellow"/>
                <w:lang w:val="es-ES" w:eastAsia="en-US"/>
              </w:rPr>
            </w:pPr>
            <w:r w:rsidRPr="00C17CF0">
              <w:rPr>
                <w:rFonts w:ascii="Open Sans" w:eastAsia="Times New Roman" w:hAnsi="Open Sans" w:cs="Open Sans"/>
                <w:color w:val="000000"/>
                <w:sz w:val="20"/>
                <w:szCs w:val="20"/>
              </w:rPr>
              <w:t xml:space="preserve">La empresa informa sobre el porcentaje que representa el volumen de endeudamiento intragrupo respecto al volumen de endeudamiento total </w:t>
            </w:r>
          </w:p>
        </w:tc>
      </w:tr>
      <w:tr w:rsidR="00F94241" w14:paraId="68CD5674" w14:textId="77777777" w:rsidTr="00BC63A1">
        <w:tc>
          <w:tcPr>
            <w:tcW w:w="1418" w:type="dxa"/>
            <w:vAlign w:val="center"/>
          </w:tcPr>
          <w:p w14:paraId="4747E177" w14:textId="4C941E04" w:rsidR="00F94241" w:rsidRPr="00310A67" w:rsidRDefault="007F55EB" w:rsidP="000835E3">
            <w:pPr>
              <w:jc w:val="center"/>
              <w:rPr>
                <w:rFonts w:ascii="Open Sans" w:eastAsia="Times New Roman" w:hAnsi="Open Sans" w:cs="Open Sans"/>
                <w:b/>
                <w:bCs/>
                <w:color w:val="000000"/>
                <w:sz w:val="20"/>
                <w:szCs w:val="20"/>
                <w:highlight w:val="yellow"/>
              </w:rPr>
            </w:pPr>
            <w:hyperlink w:anchor="OE6" w:history="1">
              <w:r w:rsidR="00F94241" w:rsidRPr="00F94241">
                <w:rPr>
                  <w:rStyle w:val="Hipervnculo"/>
                  <w:rFonts w:ascii="Open Sans" w:eastAsia="Times New Roman" w:hAnsi="Open Sans" w:cs="Open Sans"/>
                  <w:b/>
                  <w:bCs/>
                  <w:sz w:val="20"/>
                  <w:szCs w:val="20"/>
                </w:rPr>
                <w:t>O.E.6</w:t>
              </w:r>
            </w:hyperlink>
          </w:p>
        </w:tc>
        <w:tc>
          <w:tcPr>
            <w:tcW w:w="7112" w:type="dxa"/>
          </w:tcPr>
          <w:p w14:paraId="2BA15F2F" w14:textId="74D8BAA0" w:rsidR="00F94241" w:rsidRPr="00310A67" w:rsidRDefault="00F94241" w:rsidP="00F94241">
            <w:pPr>
              <w:rPr>
                <w:rFonts w:ascii="Open Sans" w:eastAsia="Times New Roman" w:hAnsi="Open Sans" w:cs="Open Sans"/>
                <w:color w:val="000000"/>
                <w:sz w:val="20"/>
                <w:szCs w:val="20"/>
                <w:highlight w:val="yellow"/>
              </w:rPr>
            </w:pPr>
            <w:r w:rsidRPr="00C17CF0">
              <w:rPr>
                <w:rFonts w:ascii="Open Sans" w:eastAsia="Times New Roman" w:hAnsi="Open Sans" w:cs="Open Sans"/>
                <w:color w:val="000000"/>
                <w:sz w:val="20"/>
                <w:szCs w:val="20"/>
              </w:rPr>
              <w:t>La empresa informa sobre el coste financiero de la deuda intragrupo, así como del coste financiero del total de la deuda</w:t>
            </w:r>
          </w:p>
        </w:tc>
      </w:tr>
      <w:tr w:rsidR="00F94241" w14:paraId="78C813EC" w14:textId="77777777" w:rsidTr="00BC63A1">
        <w:tc>
          <w:tcPr>
            <w:tcW w:w="1418" w:type="dxa"/>
            <w:vAlign w:val="center"/>
          </w:tcPr>
          <w:p w14:paraId="287A8BD0" w14:textId="69B3CDD0" w:rsidR="00F94241" w:rsidRPr="00310A67" w:rsidRDefault="007F55EB" w:rsidP="000835E3">
            <w:pPr>
              <w:jc w:val="center"/>
              <w:rPr>
                <w:rFonts w:ascii="Open Sans" w:eastAsia="Times New Roman" w:hAnsi="Open Sans" w:cs="Open Sans"/>
                <w:b/>
                <w:bCs/>
                <w:color w:val="000000"/>
                <w:sz w:val="20"/>
                <w:szCs w:val="20"/>
                <w:highlight w:val="yellow"/>
              </w:rPr>
            </w:pPr>
            <w:hyperlink w:anchor="OE7" w:history="1">
              <w:r w:rsidR="00F94241" w:rsidRPr="00F94241">
                <w:rPr>
                  <w:rStyle w:val="Hipervnculo"/>
                  <w:rFonts w:ascii="Open Sans" w:eastAsia="Times New Roman" w:hAnsi="Open Sans" w:cs="Open Sans"/>
                  <w:b/>
                  <w:bCs/>
                  <w:sz w:val="20"/>
                  <w:szCs w:val="20"/>
                </w:rPr>
                <w:t>O.E.7</w:t>
              </w:r>
            </w:hyperlink>
          </w:p>
        </w:tc>
        <w:tc>
          <w:tcPr>
            <w:tcW w:w="7112" w:type="dxa"/>
          </w:tcPr>
          <w:p w14:paraId="00528515" w14:textId="3926F02A" w:rsidR="00F94241" w:rsidRPr="00ED19C7" w:rsidRDefault="00F94241" w:rsidP="00F94241">
            <w:pPr>
              <w:rPr>
                <w:rFonts w:ascii="Open Sans" w:eastAsia="Times New Roman" w:hAnsi="Open Sans" w:cs="Open Sans"/>
                <w:color w:val="000000"/>
                <w:sz w:val="20"/>
                <w:szCs w:val="20"/>
                <w:highlight w:val="yellow"/>
              </w:rPr>
            </w:pPr>
            <w:r w:rsidRPr="00C17CF0">
              <w:rPr>
                <w:rFonts w:ascii="Open Sans" w:eastAsia="Times New Roman" w:hAnsi="Open Sans" w:cs="Open Sans"/>
                <w:color w:val="000000"/>
                <w:sz w:val="20"/>
                <w:szCs w:val="20"/>
              </w:rPr>
              <w:t>La empresa informa sobre cómo se fijan los precios de transferencia de la propiedad intelectual</w:t>
            </w:r>
          </w:p>
        </w:tc>
      </w:tr>
      <w:tr w:rsidR="00F94241" w14:paraId="3D275147" w14:textId="77777777" w:rsidTr="00BC63A1">
        <w:tc>
          <w:tcPr>
            <w:tcW w:w="1418" w:type="dxa"/>
            <w:vAlign w:val="center"/>
          </w:tcPr>
          <w:p w14:paraId="2EB145C4" w14:textId="03BC02E9" w:rsidR="00F94241" w:rsidRPr="00310A67" w:rsidRDefault="007F55EB" w:rsidP="000835E3">
            <w:pPr>
              <w:jc w:val="center"/>
              <w:rPr>
                <w:rFonts w:ascii="Open Sans" w:eastAsia="Times New Roman" w:hAnsi="Open Sans" w:cs="Open Sans"/>
                <w:b/>
                <w:bCs/>
                <w:color w:val="000000"/>
                <w:sz w:val="20"/>
                <w:szCs w:val="20"/>
                <w:highlight w:val="yellow"/>
              </w:rPr>
            </w:pPr>
            <w:hyperlink w:anchor="OE8" w:history="1">
              <w:r w:rsidR="00F94241" w:rsidRPr="00F94241">
                <w:rPr>
                  <w:rStyle w:val="Hipervnculo"/>
                  <w:rFonts w:ascii="Open Sans" w:eastAsia="Times New Roman" w:hAnsi="Open Sans" w:cs="Open Sans"/>
                  <w:b/>
                  <w:bCs/>
                  <w:sz w:val="20"/>
                  <w:szCs w:val="20"/>
                </w:rPr>
                <w:t>O.E.8</w:t>
              </w:r>
            </w:hyperlink>
          </w:p>
        </w:tc>
        <w:tc>
          <w:tcPr>
            <w:tcW w:w="7112" w:type="dxa"/>
          </w:tcPr>
          <w:p w14:paraId="61CE29D2" w14:textId="247754D2" w:rsidR="00F94241" w:rsidRPr="00ED19C7" w:rsidRDefault="00F94241" w:rsidP="00F94241">
            <w:pPr>
              <w:rPr>
                <w:rFonts w:ascii="Open Sans" w:eastAsia="Times New Roman" w:hAnsi="Open Sans" w:cs="Open Sans"/>
                <w:color w:val="000000"/>
                <w:sz w:val="20"/>
                <w:szCs w:val="20"/>
                <w:highlight w:val="yellow"/>
              </w:rPr>
            </w:pPr>
            <w:r w:rsidRPr="00C17CF0">
              <w:rPr>
                <w:rFonts w:ascii="Open Sans" w:eastAsia="Times New Roman" w:hAnsi="Open Sans" w:cs="Open Sans"/>
                <w:color w:val="000000"/>
                <w:sz w:val="20"/>
                <w:szCs w:val="20"/>
              </w:rPr>
              <w:t>La empresa informa sobre la estructura de propiedad que gobierna los activos de propiedad intelectual, así como sobre los empleados y beneficios atribuidos a esa estructura</w:t>
            </w:r>
          </w:p>
        </w:tc>
      </w:tr>
    </w:tbl>
    <w:p w14:paraId="0F533907" w14:textId="77777777" w:rsidR="00310A67" w:rsidRDefault="00310A67" w:rsidP="00310A67"/>
    <w:p w14:paraId="6787BA87" w14:textId="0BE82545" w:rsidR="00310A67" w:rsidRPr="00310A67" w:rsidRDefault="00310A67" w:rsidP="00506805">
      <w:pPr>
        <w:rPr>
          <w:rFonts w:ascii="Open Sans" w:eastAsiaTheme="majorEastAsia" w:hAnsi="Open Sans" w:cs="Arial"/>
          <w:b/>
          <w:kern w:val="32"/>
          <w:sz w:val="32"/>
          <w:szCs w:val="32"/>
          <w:lang w:val="es-ES" w:eastAsia="ar-SA"/>
        </w:rPr>
      </w:pPr>
      <w:r>
        <w:br w:type="page"/>
      </w:r>
    </w:p>
    <w:p w14:paraId="0998BB60" w14:textId="77777777" w:rsidR="00983E8F" w:rsidRDefault="00983E8F" w:rsidP="00506805">
      <w:pPr>
        <w:rPr>
          <w:rFonts w:ascii="Arial" w:hAnsi="Arial" w:cs="Arial"/>
          <w:b/>
          <w:i/>
          <w:sz w:val="28"/>
          <w:szCs w:val="28"/>
        </w:rPr>
        <w:sectPr w:rsidR="00983E8F" w:rsidSect="00CA4DA8">
          <w:headerReference w:type="default" r:id="rId28"/>
          <w:footerReference w:type="default" r:id="rId29"/>
          <w:pgSz w:w="11900" w:h="16840"/>
          <w:pgMar w:top="1418" w:right="1701" w:bottom="1418" w:left="1701" w:header="708" w:footer="708" w:gutter="0"/>
          <w:cols w:space="708"/>
          <w:docGrid w:linePitch="360"/>
        </w:sectPr>
      </w:pPr>
    </w:p>
    <w:p w14:paraId="2659A45B" w14:textId="555E5B44" w:rsidR="00F853BD" w:rsidRDefault="00983E8F" w:rsidP="00506805">
      <w:pPr>
        <w:rPr>
          <w:rFonts w:ascii="Arial" w:hAnsi="Arial" w:cs="Arial"/>
          <w:b/>
          <w:i/>
          <w:sz w:val="28"/>
          <w:szCs w:val="28"/>
        </w:rPr>
        <w:sectPr w:rsidR="00F853BD" w:rsidSect="00CA4DA8">
          <w:headerReference w:type="default" r:id="rId30"/>
          <w:pgSz w:w="11900" w:h="16840"/>
          <w:pgMar w:top="0" w:right="0" w:bottom="0" w:left="0" w:header="708" w:footer="708" w:gutter="0"/>
          <w:cols w:space="708"/>
          <w:titlePg/>
          <w:docGrid w:linePitch="360"/>
        </w:sectPr>
      </w:pPr>
      <w:r>
        <w:rPr>
          <w:rFonts w:ascii="Arial" w:hAnsi="Arial" w:cs="Arial"/>
          <w:b/>
          <w:i/>
          <w:noProof/>
          <w:sz w:val="28"/>
          <w:szCs w:val="28"/>
          <w:lang w:val="es-ES"/>
        </w:rPr>
        <w:drawing>
          <wp:inline distT="0" distB="0" distL="0" distR="0" wp14:anchorId="7DB0EF22" wp14:editId="179BCA9A">
            <wp:extent cx="7556500" cy="10681437"/>
            <wp:effectExtent l="0" t="0" r="0" b="12065"/>
            <wp:docPr id="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7556500" cy="10681437"/>
                    </a:xfrm>
                    <a:prstGeom prst="rect">
                      <a:avLst/>
                    </a:prstGeom>
                    <a:noFill/>
                    <a:ln>
                      <a:noFill/>
                    </a:ln>
                  </pic:spPr>
                </pic:pic>
              </a:graphicData>
            </a:graphic>
          </wp:inline>
        </w:drawing>
      </w:r>
    </w:p>
    <w:p w14:paraId="4BC737B4" w14:textId="64C5B29B" w:rsidR="00983E8F" w:rsidRPr="00983E8F" w:rsidRDefault="00983E8F" w:rsidP="00983E8F">
      <w:pPr>
        <w:pStyle w:val="Titulo1-InformeFinal"/>
      </w:pPr>
      <w:bookmarkStart w:id="2" w:name="_Toc354061504"/>
      <w:bookmarkStart w:id="3" w:name="_Toc254282525"/>
      <w:r>
        <w:t>1</w:t>
      </w:r>
      <w:r w:rsidRPr="002D1701">
        <w:t xml:space="preserve">. </w:t>
      </w:r>
      <w:r>
        <w:t>INTRODUCCIÓN</w:t>
      </w:r>
      <w:bookmarkEnd w:id="2"/>
    </w:p>
    <w:p w14:paraId="46FB1928" w14:textId="77777777" w:rsidR="00983E8F" w:rsidRPr="00983E8F" w:rsidRDefault="00983E8F" w:rsidP="00983E8F">
      <w:pPr>
        <w:rPr>
          <w:rFonts w:ascii="Open Sans" w:hAnsi="Open Sans"/>
          <w:sz w:val="20"/>
          <w:szCs w:val="20"/>
        </w:rPr>
      </w:pPr>
    </w:p>
    <w:p w14:paraId="56E5AD6F"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 xml:space="preserve">La exigencia de responsabilidad fiscal en las diversas escalas de operación de las empresas del IBEX35 es una condición de base para el desarrollo de políticas de lucha contra la desigualdad, la pobreza y las externalidades negativas de su actividad en España y en los diversos territorios dónde las empresas están presentes. Sin embargo, para que este proceso llegue a buen puerto, es necesaria una mayor voluntad política a nivel nacional, europea e internacional; en el sentido de garantizar un marco regulatorio claro, inclusivo y que garantice una información accesible, suficiente y de calidad. La sociedad civil debe acompañar y vigilar este proceso, cuyos contornos amenazan con diluirse en una suma de buenas intenciones. </w:t>
      </w:r>
    </w:p>
    <w:p w14:paraId="443B692B" w14:textId="77777777" w:rsidR="00983E8F" w:rsidRPr="00A642E3" w:rsidRDefault="00983E8F" w:rsidP="00983E8F">
      <w:pPr>
        <w:jc w:val="both"/>
        <w:rPr>
          <w:rFonts w:ascii="Open Sans" w:hAnsi="Open Sans" w:cs="Open Sans"/>
          <w:sz w:val="20"/>
          <w:szCs w:val="20"/>
        </w:rPr>
      </w:pPr>
    </w:p>
    <w:p w14:paraId="363E7B67" w14:textId="77777777" w:rsidR="00983E8F" w:rsidRPr="00A642E3" w:rsidRDefault="00983E8F" w:rsidP="00983E8F">
      <w:pPr>
        <w:jc w:val="both"/>
        <w:rPr>
          <w:rFonts w:ascii="Open Sans" w:eastAsia="Helvetica Neue" w:hAnsi="Open Sans" w:cs="Open Sans"/>
          <w:sz w:val="20"/>
          <w:szCs w:val="20"/>
        </w:rPr>
      </w:pPr>
      <w:r w:rsidRPr="00A642E3">
        <w:rPr>
          <w:rFonts w:ascii="Open Sans" w:eastAsia="Arial" w:hAnsi="Open Sans" w:cs="Open Sans"/>
          <w:sz w:val="20"/>
          <w:szCs w:val="20"/>
        </w:rPr>
        <w:t xml:space="preserve">Es cada vez mayor el número de investigaciones que establecen una relación entre fiscalidad y derechos humanos, y más concretamente que consideran el </w:t>
      </w:r>
      <w:r w:rsidRPr="00A642E3">
        <w:rPr>
          <w:rFonts w:ascii="Open Sans" w:eastAsia="Helvetica Neue" w:hAnsi="Open Sans" w:cs="Open Sans"/>
          <w:sz w:val="20"/>
          <w:szCs w:val="20"/>
        </w:rPr>
        <w:t>impacto de la política fiscal y tributaria en el disfrute de los derechos humanos de las personas que viven en la pobreza</w:t>
      </w:r>
      <w:r w:rsidRPr="00A642E3">
        <w:rPr>
          <w:rFonts w:ascii="Open Sans" w:eastAsia="Helvetica Neue" w:hAnsi="Open Sans" w:cs="Open Sans"/>
          <w:sz w:val="20"/>
          <w:szCs w:val="20"/>
          <w:vertAlign w:val="superscript"/>
        </w:rPr>
        <w:footnoteReference w:id="1"/>
      </w:r>
      <w:r w:rsidRPr="00A642E3">
        <w:rPr>
          <w:rFonts w:ascii="Open Sans" w:eastAsia="Helvetica Neue" w:hAnsi="Open Sans" w:cs="Open Sans"/>
          <w:sz w:val="20"/>
          <w:szCs w:val="20"/>
        </w:rPr>
        <w:t>. El informe de la Relatoría Especial de Naciones Unidas sobre Extrema Pobreza y Derechos Humanos, en el cual se ha analizado la política fiscal y política tributaria como determinantes fundamentales en el goce de los derechos humanos, ha arrojado luz sobre las formas en que las prácticas de las empresas—como la evasión y elusión tributarias, y otras prácticas similares—quiebran su responsabilidad de respetar los derechos humanos en la medida que estas actividades desfinancian los servicios públicos, y tienen un efecto negativo sobre los recursos potenciales dedicados a la realización de estos derechos. Las investigaciones apuntan a que bajos niveles de ingreso fiscales nacionales, en particular, podrían ser un obstáculo importante para el cumplimiento de la obligación del Estado de garantizar los derechos humanos</w:t>
      </w:r>
      <w:r w:rsidRPr="00A642E3">
        <w:rPr>
          <w:rStyle w:val="Refdenotaalpie"/>
          <w:rFonts w:ascii="Open Sans" w:eastAsia="Helvetica Neue" w:hAnsi="Open Sans" w:cs="Open Sans"/>
          <w:sz w:val="20"/>
          <w:szCs w:val="20"/>
        </w:rPr>
        <w:footnoteReference w:id="2"/>
      </w:r>
      <w:r w:rsidRPr="00A642E3">
        <w:rPr>
          <w:rFonts w:ascii="Open Sans" w:eastAsia="Helvetica Neue" w:hAnsi="Open Sans" w:cs="Open Sans"/>
          <w:sz w:val="20"/>
          <w:szCs w:val="20"/>
        </w:rPr>
        <w:t xml:space="preserve">.  </w:t>
      </w:r>
    </w:p>
    <w:p w14:paraId="1610DDA9" w14:textId="77777777" w:rsidR="00983E8F" w:rsidRPr="00A642E3" w:rsidRDefault="00983E8F" w:rsidP="00983E8F">
      <w:pPr>
        <w:jc w:val="both"/>
        <w:rPr>
          <w:rFonts w:ascii="Open Sans" w:eastAsia="Helvetica Neue" w:hAnsi="Open Sans" w:cs="Open Sans"/>
          <w:sz w:val="20"/>
          <w:szCs w:val="20"/>
        </w:rPr>
      </w:pPr>
    </w:p>
    <w:p w14:paraId="20145B90"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Es obvio que la capacidad de las administraciones públicas en desarrollar políticas públicas que busquen garantizar los derechos de las personas requiere de recursos. En la medida que una empresa no informa sobre su aportación a los mismos, o que utilice estrategias de ingeniería fiscal para evitar cargas impositivas proporcionales a sus operaciones e ingresos en los distintos países, no puede asegurarse que su comportamiento con la sociedad, personas e instituciones de estos países sea responsable. Para ello ya hace tiempo que se demanda que la información sobre impuestos se realice país por país y con un desglose adecuado del tipo de impuesto. Esto cobra especial relevancia en aquellos casos en que las empresas deben pagar impuestos especiales por la explotación de recursos naturales.</w:t>
      </w:r>
    </w:p>
    <w:p w14:paraId="48095B82" w14:textId="77777777" w:rsidR="00983E8F" w:rsidRPr="00A642E3" w:rsidRDefault="00983E8F" w:rsidP="00983E8F">
      <w:pPr>
        <w:jc w:val="both"/>
        <w:rPr>
          <w:rFonts w:ascii="Open Sans" w:hAnsi="Open Sans" w:cs="Open Sans"/>
          <w:sz w:val="20"/>
          <w:szCs w:val="20"/>
        </w:rPr>
      </w:pPr>
    </w:p>
    <w:p w14:paraId="2A086CE9"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Desde este informe se viene haciendo hincapié en los últimos años en la especial relevancia de la transparencia en estos (y otros) asuntos, en relación a la duradera crisis económica, financiera, política, institucional y de valores, en la que las intervenciones directas con dinero público, en socorro de empresas privadas está siendo una herramienta habitual. Si bien antes del comienzo de esta crisis ya se reclamaba una mayor y más rigurosa transparencia, ahora esta resulta todavía más necesaria con el fin de poder conocer el destino de estas ayudas, así como para entender la adecuación y eficacia de las decisiones en garantizar los bienes públicos, los derechos de las personas y el interés general, responsabilidad principal de las Administraciones Públicas. </w:t>
      </w:r>
    </w:p>
    <w:p w14:paraId="2046E297" w14:textId="77777777" w:rsidR="00983E8F" w:rsidRPr="00A642E3" w:rsidRDefault="00983E8F" w:rsidP="00983E8F">
      <w:pPr>
        <w:jc w:val="both"/>
        <w:rPr>
          <w:rFonts w:ascii="Open Sans" w:hAnsi="Open Sans" w:cs="Open Sans"/>
          <w:sz w:val="20"/>
          <w:szCs w:val="20"/>
        </w:rPr>
      </w:pPr>
    </w:p>
    <w:p w14:paraId="5A6F7A52"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Los temas de fiscalidad responsable están siendo ubicados en las agendas, tanto públicas como privadas, de la RSE. Hoy parece incuestionable relacionar la fiscalidad con la responsabilidad social. Así es apuntado desde la Comisión Europea en la Comunicación sobre la Estrategia renovada de la UE para 2011-2014 sobre la responsabilidad social de las empresas (COM (2011) 681 final) que señala las empresas deberían trabajar por implementar una buena gobernanza fiscal y a difundir la información relativa a la implementación de las normas sobre buena gobernanza fiscal. </w:t>
      </w:r>
    </w:p>
    <w:p w14:paraId="01B46FDD" w14:textId="77777777" w:rsidR="00983E8F" w:rsidRPr="00A642E3" w:rsidRDefault="00983E8F" w:rsidP="00983E8F">
      <w:pPr>
        <w:jc w:val="both"/>
        <w:rPr>
          <w:rFonts w:ascii="Open Sans" w:hAnsi="Open Sans" w:cs="Open Sans"/>
          <w:sz w:val="20"/>
          <w:szCs w:val="20"/>
        </w:rPr>
      </w:pPr>
    </w:p>
    <w:p w14:paraId="02341D1F"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Por su parte, la OCDE en sus líneas directrices para empresas multinacionales (2011) dedica el capítulo IX a las cuestiones relacionadas con la tributación. Señala textualmente que “Es importante que las empresas contribuyan a las finanzas públicas de los países anfitriones cumpliendo puntualmente con sus obligaciones tributarias. Concretamente, las empresas deberán cumplir con la letra y con el espíritu de las leyes y regulaciones tributarias de los países en los que operan. Cumplir con el espíritu de la ley significa entender y respetar la intención del legislador”. Por otro lado señala que las empresas deberán considerar el gobierno fiscal y la disciplina tributaria como elementos importantes de sus mecanismos de control y de sus sistemas de gestión de riesgos en sentido amplio.</w:t>
      </w:r>
    </w:p>
    <w:p w14:paraId="244DEBB5" w14:textId="77777777" w:rsidR="00983E8F" w:rsidRPr="00A642E3" w:rsidRDefault="00983E8F" w:rsidP="00983E8F">
      <w:pPr>
        <w:jc w:val="both"/>
        <w:rPr>
          <w:rFonts w:ascii="Open Sans" w:hAnsi="Open Sans" w:cs="Open Sans"/>
          <w:sz w:val="20"/>
          <w:szCs w:val="20"/>
        </w:rPr>
      </w:pPr>
    </w:p>
    <w:p w14:paraId="5C584721"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En el escenario nacional, la estrategia de RSE aprobada en octubre de 2014 por el consejo de ministros señala entre sus medidas y objetivos promover la fiscalidad responsable “</w:t>
      </w:r>
      <w:r w:rsidRPr="00A642E3">
        <w:rPr>
          <w:rFonts w:ascii="Open Sans" w:hAnsi="Open Sans" w:cs="Open Sans"/>
          <w:i/>
          <w:sz w:val="20"/>
          <w:szCs w:val="20"/>
        </w:rPr>
        <w:t>una actuación fiscal ejemplar, que reduzca las estrategias de evasión fiscal y la competencia desleal en este ámbito, garantizando tanto el cumplimiento de la normativa, como el comportamiento socialmente responsable”</w:t>
      </w:r>
      <w:r w:rsidRPr="00A642E3">
        <w:rPr>
          <w:rFonts w:ascii="Open Sans" w:hAnsi="Open Sans" w:cs="Open Sans"/>
          <w:sz w:val="20"/>
          <w:szCs w:val="20"/>
        </w:rPr>
        <w:t xml:space="preserve"> (Meyss, 2014). </w:t>
      </w:r>
    </w:p>
    <w:p w14:paraId="41ADA105" w14:textId="77777777" w:rsidR="00983E8F" w:rsidRPr="00A642E3" w:rsidRDefault="00983E8F" w:rsidP="00983E8F">
      <w:pPr>
        <w:jc w:val="both"/>
        <w:rPr>
          <w:rFonts w:ascii="Open Sans" w:hAnsi="Open Sans" w:cs="Open Sans"/>
          <w:sz w:val="20"/>
          <w:szCs w:val="20"/>
        </w:rPr>
      </w:pPr>
    </w:p>
    <w:p w14:paraId="3D07031A"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En definitiva, parece irrefutable que una empresa que pretenda gestionar con criterios de responsabilidad social debería no usar las diversas posibilidades de elusión fiscal, mientras existan, y, especialmente, no sacar provecho de la no regulación o regulación más laxa de los diversos países donde actúa. La RSE es el cumplimiento de normas desde el espíritu de la ley. Quién pretenda hacer RSE limitándose a cumplir la literalidad de la ley y aprovechar sus posibles escapes para operar con prácticas de elusión fiscal no estará gestionando con responsabilidad social. Aquellas empresas que dicen ser socialmente responsables tienen que hacer algo más que cumplir literalmente las normas. Deberían no utilizar sistemas legales (aunque existan) para una optimización fiscal que facilite eludir compromisos fiscales.</w:t>
      </w:r>
    </w:p>
    <w:p w14:paraId="510EBE75" w14:textId="77777777" w:rsidR="00983E8F" w:rsidRPr="00A642E3" w:rsidRDefault="00983E8F" w:rsidP="00983E8F">
      <w:pPr>
        <w:jc w:val="both"/>
        <w:rPr>
          <w:rFonts w:ascii="Open Sans" w:hAnsi="Open Sans" w:cs="Open Sans"/>
          <w:sz w:val="20"/>
          <w:szCs w:val="20"/>
        </w:rPr>
      </w:pPr>
    </w:p>
    <w:p w14:paraId="3DAD6951"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Esta sección se plantea como un ejercicio de contextualización previo al análisis de información en fiscalidad  suministrada por las empresas del IBEX35 durante el ejercicio 2015. El objetivo es identificar las principales tendencias y eventos en materia de regulación de la actividad y regulación fiscal, así como las demandas más destacadas por parte de los grupos de interés. </w:t>
      </w:r>
    </w:p>
    <w:p w14:paraId="40AE27F6" w14:textId="77777777" w:rsidR="00983E8F" w:rsidRPr="00A642E3" w:rsidRDefault="00983E8F" w:rsidP="00983E8F">
      <w:pPr>
        <w:jc w:val="both"/>
        <w:rPr>
          <w:rFonts w:ascii="Open Sans" w:hAnsi="Open Sans" w:cs="Open Sans"/>
          <w:sz w:val="20"/>
          <w:szCs w:val="20"/>
        </w:rPr>
      </w:pPr>
    </w:p>
    <w:p w14:paraId="743FD28B"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La revisión de fuentes documentales parte de una primera aproximación exploratoria, que sirvió para identificar los principales textos de referencia y temas de discusión sobre la RSC y la responsabilidad fiscal a lo largo del año 2015. La anterior edición de este informe (Observatorio de Responsabilidad Social Corporativa, 2015) sirvió para enfocar el seguimiento de ciertos debates y líneas de trabajo por parte de organizaciones de reconocido prestigio. </w:t>
      </w:r>
    </w:p>
    <w:p w14:paraId="4F7D17F4" w14:textId="77777777" w:rsidR="00983E8F" w:rsidRPr="00A642E3" w:rsidRDefault="00983E8F" w:rsidP="00983E8F">
      <w:pPr>
        <w:jc w:val="both"/>
        <w:rPr>
          <w:rFonts w:ascii="Open Sans" w:hAnsi="Open Sans" w:cs="Open Sans"/>
          <w:sz w:val="20"/>
          <w:szCs w:val="20"/>
        </w:rPr>
      </w:pPr>
    </w:p>
    <w:p w14:paraId="408A7421"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En referencia al marco regulatorio, se analizan los asuntos avances más destacados durante el año 2015, así como el progreso de su implementación. En cuanto a la agenda informativa, se analizan las principales demandas de los diferentes grupos de interés. El análisis de estas dos cuestiones se realizará de manera conjunta, tomando como referencia tres escalas territoriales: España, Unión Europea e internacional.</w:t>
      </w:r>
    </w:p>
    <w:p w14:paraId="1A95E4BE" w14:textId="77777777" w:rsidR="00983E8F" w:rsidRPr="00A642E3" w:rsidRDefault="00983E8F" w:rsidP="00983E8F">
      <w:pPr>
        <w:jc w:val="both"/>
        <w:rPr>
          <w:rFonts w:ascii="Open Sans" w:hAnsi="Open Sans" w:cs="Open Sans"/>
          <w:sz w:val="20"/>
          <w:szCs w:val="20"/>
        </w:rPr>
      </w:pPr>
    </w:p>
    <w:p w14:paraId="0374FCD5"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El año 2015 estuvo marcado por el intenso debate en torno al marco jurídico y programático de la responsabilidad fiscal, como elemento estratégico para evitar la erosión de las bases fiscales de los países por las estrategias de optimización fiscal llevadas a cabo por empresas multinacionales. A nivel nacional, europeo e internacional, las demandas de la sociedad civil por una información fiscal accesible, completa, comparable, fiable y de calidad han contribuido a activar el debate público, estimulando a las instituciones a emprender procesos de reflexión y reforma en referencia a las demandas de los grupos de interés. La visibilidad mediática de numerosos casos de corrupción ha reforzado este proceso, constituyéndose como un elemento de presión hacia los representantes políticos, cada vez más expuestos a la necesidad de ofrecer respuestas a la opinión pública.</w:t>
      </w:r>
    </w:p>
    <w:p w14:paraId="3A142682" w14:textId="77777777" w:rsidR="00983E8F" w:rsidRPr="00A642E3" w:rsidRDefault="00983E8F" w:rsidP="00983E8F">
      <w:pPr>
        <w:jc w:val="both"/>
        <w:rPr>
          <w:rFonts w:ascii="Open Sans" w:hAnsi="Open Sans" w:cs="Open Sans"/>
          <w:sz w:val="20"/>
          <w:szCs w:val="20"/>
        </w:rPr>
      </w:pPr>
    </w:p>
    <w:p w14:paraId="32162CBC"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Los Gobiernos inmersos en un proceso creciente de “guerras fiscales” observan la pérdida de los ingresos fiscales derivados del impuesto sobre sociedades, intentan paliar esta merma a través de imponer otros gravámenes sobre resto de la economía, en la mayor parte de los casos sobre las clases trabajadoras bien directamente o a través de impuestos indirectos. Esta situación se ve agravada por la percepción de que las personas más ricas y las grandes empresas no están cumpliendo con sus obligaciones tributarias, lo que debilita aún más su credibilidad.</w:t>
      </w:r>
    </w:p>
    <w:p w14:paraId="17BEE42B" w14:textId="77777777" w:rsidR="00983E8F" w:rsidRPr="00A642E3" w:rsidRDefault="00983E8F" w:rsidP="00983E8F">
      <w:pPr>
        <w:jc w:val="both"/>
        <w:rPr>
          <w:rFonts w:ascii="Open Sans" w:hAnsi="Open Sans" w:cs="Open Sans"/>
          <w:sz w:val="20"/>
          <w:szCs w:val="20"/>
        </w:rPr>
      </w:pPr>
    </w:p>
    <w:p w14:paraId="1143FE1F"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 xml:space="preserve">La falta de acuerdo en torno a la propia definición de ‘’paraíso fiscal’’ es reveladora de la ausencia de un marco común sobre el cual emprender reformas de hondo calado. De este modo, se establece una brecha entre el discurso de lucha contra el fraude fiscal, compartido de manera prácticamente unánime, y su práctica efectiva. En ocasiones, esta brecha implica que las fórmulas contra los paraísos fiscales se limitan a tímidos acuerdos de intercambio de información, en unos parámetros claramente insuficientes para las exigencias de la sociedad civil. Estos acuerdos, si bien constituyen un primer paso, suelen ser utilizados como excusa para redefinir el propio concepto de paraíso fiscal de modo cada vez más excluyente. </w:t>
      </w:r>
    </w:p>
    <w:p w14:paraId="78789D16" w14:textId="77777777" w:rsidR="00983E8F" w:rsidRPr="00A642E3" w:rsidRDefault="00983E8F" w:rsidP="00983E8F">
      <w:pPr>
        <w:autoSpaceDE w:val="0"/>
        <w:autoSpaceDN w:val="0"/>
        <w:adjustRightInd w:val="0"/>
        <w:jc w:val="both"/>
        <w:rPr>
          <w:rFonts w:ascii="Open Sans" w:hAnsi="Open Sans" w:cs="Open Sans"/>
          <w:sz w:val="20"/>
          <w:szCs w:val="20"/>
        </w:rPr>
      </w:pPr>
    </w:p>
    <w:p w14:paraId="462F4D2D"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 xml:space="preserve">Resulta preocupante que las ‘’filtraciones’’ se hayan convertido en una de las principales fuentes de información significativa sobre la presencia de empresas en paraísos fiscales, ante la falta de transparencia de las propias empresas, y la ausencia de un marco regulatorio claro. Estas filtraciones, pese a su innegable utilidad social, son emitidas a costa de riesgos profesionales y personales, lo que da cuenta de la asimetría de recursos entre </w:t>
      </w:r>
      <w:r w:rsidRPr="00A642E3">
        <w:rPr>
          <w:rFonts w:ascii="Open Sans" w:hAnsi="Open Sans" w:cs="Open Sans"/>
          <w:i/>
          <w:sz w:val="20"/>
          <w:szCs w:val="20"/>
        </w:rPr>
        <w:t>lobbies</w:t>
      </w:r>
      <w:r w:rsidRPr="00A642E3">
        <w:rPr>
          <w:rFonts w:ascii="Open Sans" w:hAnsi="Open Sans" w:cs="Open Sans"/>
          <w:sz w:val="20"/>
          <w:szCs w:val="20"/>
        </w:rPr>
        <w:t xml:space="preserve"> y sociedad civil. </w:t>
      </w:r>
    </w:p>
    <w:p w14:paraId="1FB09EAD" w14:textId="77777777" w:rsidR="00983E8F" w:rsidRPr="00A642E3" w:rsidRDefault="00983E8F" w:rsidP="00983E8F">
      <w:pPr>
        <w:autoSpaceDE w:val="0"/>
        <w:autoSpaceDN w:val="0"/>
        <w:adjustRightInd w:val="0"/>
        <w:jc w:val="both"/>
        <w:rPr>
          <w:rFonts w:ascii="Open Sans" w:hAnsi="Open Sans" w:cs="Open Sans"/>
          <w:sz w:val="20"/>
          <w:szCs w:val="20"/>
        </w:rPr>
      </w:pPr>
    </w:p>
    <w:p w14:paraId="55C418D4"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 xml:space="preserve">Pese a los escollos mencionados en los párrafos anteriores, el debate sobre fiscalidad en la Unión Europea (UE) está más activo que nunca. La sociedad civil ha logrado posicionar en la agenda pública la necesidad de una fiscalidad más justa y un combate decidido contra el fraude fiscal. El escándalo </w:t>
      </w:r>
      <w:r w:rsidRPr="00A642E3">
        <w:rPr>
          <w:rFonts w:ascii="Open Sans" w:hAnsi="Open Sans" w:cs="Open Sans"/>
          <w:i/>
          <w:sz w:val="20"/>
          <w:szCs w:val="20"/>
        </w:rPr>
        <w:t>LuxLeaks</w:t>
      </w:r>
      <w:r w:rsidRPr="00A642E3">
        <w:rPr>
          <w:rFonts w:ascii="Open Sans" w:hAnsi="Open Sans" w:cs="Open Sans"/>
          <w:sz w:val="20"/>
          <w:szCs w:val="20"/>
        </w:rPr>
        <w:t xml:space="preserve"> sirvió para llevar este debate a la primera plana informativa, llegando incluso a poner en peligro la continuidad de Juncker como presidente de la Comisión Europea. La existencia de paraísos fiscales y subterfugios para la evasión en el seno de la Unión Europea compromete el principio de solidaridad interterritorial, constituyéndose como una forma de ‘’competición fiscal’’ o ‘’subasta a la baja’’ (Eurodad, 2015). Supone una grave pérdida para la recaudación de los Estados, necesaria para sostener políticas sociales en tiempos de crisis, y repercute directamente en las condiciones de vida de las clases medias y bajas.  </w:t>
      </w:r>
    </w:p>
    <w:p w14:paraId="5EF96FE1" w14:textId="77777777" w:rsidR="00983E8F" w:rsidRPr="00A642E3" w:rsidRDefault="00983E8F" w:rsidP="00983E8F">
      <w:pPr>
        <w:autoSpaceDE w:val="0"/>
        <w:autoSpaceDN w:val="0"/>
        <w:adjustRightInd w:val="0"/>
        <w:jc w:val="both"/>
        <w:rPr>
          <w:rFonts w:ascii="Open Sans" w:hAnsi="Open Sans" w:cs="Open Sans"/>
          <w:sz w:val="20"/>
          <w:szCs w:val="20"/>
        </w:rPr>
      </w:pPr>
    </w:p>
    <w:p w14:paraId="2245F60A"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AL escándalo de LuxLeaks y Swiss Leaks se le une el de Panama Leaks. El 3 de abril de 2016  370 periodistas de un centenar de medios de comunicación de 80 países desvelaban la trama urdida del despacho Mossack Fonseca para crear sociedades pantalla con un fin en la mayoría de los casos elusorio en el que se han visto envueltas numerosas personalidades procedentes del mundo de la política y de la empresa, entre otros.</w:t>
      </w:r>
    </w:p>
    <w:p w14:paraId="70FC954D" w14:textId="77777777" w:rsidR="00983E8F" w:rsidRPr="00A642E3" w:rsidRDefault="00983E8F" w:rsidP="00983E8F">
      <w:pPr>
        <w:autoSpaceDE w:val="0"/>
        <w:autoSpaceDN w:val="0"/>
        <w:adjustRightInd w:val="0"/>
        <w:jc w:val="both"/>
        <w:rPr>
          <w:rFonts w:ascii="Open Sans" w:hAnsi="Open Sans" w:cs="Open Sans"/>
          <w:sz w:val="20"/>
          <w:szCs w:val="20"/>
        </w:rPr>
      </w:pPr>
    </w:p>
    <w:p w14:paraId="24F8A99A"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La OCDE estima que la pérdida recaudatoria por prácticas elusorias de las grandes empresas multinacionales asciende a entre el 4% y el 10% de la recaudación mundial por el impuesto de sociedades. Es decir, una pérdida para las arcas públicas de los países de entre el 100.000 y 240.000 millones de dólares anuales</w:t>
      </w:r>
      <w:r w:rsidRPr="00A642E3">
        <w:rPr>
          <w:rStyle w:val="Refdenotaalpie"/>
          <w:rFonts w:ascii="Open Sans" w:hAnsi="Open Sans" w:cs="Open Sans"/>
          <w:sz w:val="20"/>
          <w:szCs w:val="20"/>
        </w:rPr>
        <w:footnoteReference w:id="3"/>
      </w:r>
      <w:r w:rsidRPr="00A642E3">
        <w:rPr>
          <w:rFonts w:ascii="Open Sans" w:hAnsi="Open Sans" w:cs="Open Sans"/>
          <w:sz w:val="20"/>
          <w:szCs w:val="20"/>
        </w:rPr>
        <w:t>. De acuerdo con este organismo los tipos de gravamen efectivos soportados por las grandes empresas multinacionales se estiman entre cuatro y 8,5 puntos porcentuales por debajo de aquellos soportados por empresas de similares características que operan únicamente a nivel nacional.</w:t>
      </w:r>
    </w:p>
    <w:p w14:paraId="728F51E2" w14:textId="77777777" w:rsidR="00983E8F" w:rsidRPr="00A642E3" w:rsidRDefault="00983E8F" w:rsidP="00983E8F">
      <w:pPr>
        <w:autoSpaceDE w:val="0"/>
        <w:autoSpaceDN w:val="0"/>
        <w:adjustRightInd w:val="0"/>
        <w:jc w:val="both"/>
        <w:rPr>
          <w:rFonts w:ascii="Open Sans" w:hAnsi="Open Sans" w:cs="Open Sans"/>
          <w:sz w:val="20"/>
          <w:szCs w:val="20"/>
        </w:rPr>
      </w:pPr>
    </w:p>
    <w:p w14:paraId="7F453C3D"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También es necesario apuntar en el marco  nacional la necesidad de una reforma fiscal progresiva, que permita repartir la carga impositiva de manera proporcional al ingreso. La legislación aprobada en España en 2014 parece alejarse de este objetivo, y viene a reforzar la posición de privilegio de las grandes empresas y las rentas altas. De este modo, se sitúa en la tendencia europea, que apunta a un déficit de recaudación respecto a los estratos de renta más alta. Esto a su vez está relacionado con la situación privilegiada de las rentas de capital frente a las de trabajo (que se reparte de manera desigual, privilegiando a sectores como el financiero). La tributación al capital constituye, a nivel de la UE, el porcentaje más bajo de los ingresos fiscales (20,8%), en comparación con los impuestos sobre el trabajo (51%) y el consumo (28,5%) (Eurostat, 2014). La pérdida de ingresos derivada de políticas fiscales regresivas supone altos costes sociales, relacionados con el incremento de la desigualdad y el deterioro de las condiciones de vida de las personas con menos recursos. En el caso español la presión fiscal se sitúa en 2015 en el 34,6% del PIB muy por debajo de la media de los 28 países de la UE</w:t>
      </w:r>
      <w:r w:rsidRPr="00A642E3">
        <w:rPr>
          <w:rStyle w:val="Refdenotaalpie"/>
          <w:rFonts w:ascii="Open Sans" w:hAnsi="Open Sans" w:cs="Open Sans"/>
          <w:sz w:val="20"/>
          <w:szCs w:val="20"/>
        </w:rPr>
        <w:footnoteReference w:id="4"/>
      </w:r>
      <w:r w:rsidRPr="00A642E3">
        <w:rPr>
          <w:rFonts w:ascii="Open Sans" w:hAnsi="Open Sans" w:cs="Open Sans"/>
          <w:sz w:val="20"/>
          <w:szCs w:val="20"/>
        </w:rPr>
        <w:t>. A lo anterior hay que añadir que  España se sitúa a la cola en tributación ambiental solamente por delante de Eslovaquia y Lituania</w:t>
      </w:r>
      <w:r w:rsidRPr="00A642E3">
        <w:rPr>
          <w:rStyle w:val="Refdenotaalpie"/>
          <w:rFonts w:ascii="Open Sans" w:hAnsi="Open Sans" w:cs="Open Sans"/>
          <w:sz w:val="20"/>
          <w:szCs w:val="20"/>
        </w:rPr>
        <w:footnoteReference w:id="5"/>
      </w:r>
      <w:r w:rsidRPr="00A642E3">
        <w:rPr>
          <w:rFonts w:ascii="Open Sans" w:hAnsi="Open Sans" w:cs="Open Sans"/>
          <w:sz w:val="20"/>
          <w:szCs w:val="20"/>
        </w:rPr>
        <w:t>.</w:t>
      </w:r>
    </w:p>
    <w:p w14:paraId="1E24FB28" w14:textId="77777777" w:rsidR="00983E8F" w:rsidRPr="00A642E3" w:rsidRDefault="00983E8F" w:rsidP="00983E8F">
      <w:pPr>
        <w:jc w:val="both"/>
        <w:rPr>
          <w:rFonts w:ascii="Open Sans" w:hAnsi="Open Sans" w:cs="Open Sans"/>
          <w:sz w:val="20"/>
          <w:szCs w:val="20"/>
        </w:rPr>
      </w:pPr>
    </w:p>
    <w:p w14:paraId="0BC3DEEA"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 xml:space="preserve">La exigencia de responsabilidad fiscal en las diversas escalas de operación de las empresas del IBEX35 es una condición de base para el desarrollo de políticas de lucha contra la desigualdad, la pobreza y las externalidades negativas de su actividad en España y en los diversos territorios donde están presentes. Sin embargo, para que este proceso llegue a buen puerto, es necesaria una mayor voluntad política a nivel nacional, europeo e internacional; en el sentido de garantizar un marco regulatorio claro, inclusivo y que garantice una información accesible, suficiente y de calidad. La sociedad civil debe acompañar y vigilar este proceso, cuyos contornos amenazan con diluirse en una suma de buenas intenciones. </w:t>
      </w:r>
    </w:p>
    <w:p w14:paraId="49176B09" w14:textId="77777777" w:rsidR="00983E8F" w:rsidRDefault="00983E8F" w:rsidP="00983E8F">
      <w:pPr>
        <w:autoSpaceDE w:val="0"/>
        <w:autoSpaceDN w:val="0"/>
        <w:adjustRightInd w:val="0"/>
        <w:jc w:val="both"/>
        <w:rPr>
          <w:rFonts w:ascii="Open Sans" w:hAnsi="Open Sans" w:cs="Open Sans"/>
          <w:sz w:val="20"/>
          <w:szCs w:val="20"/>
        </w:rPr>
      </w:pPr>
    </w:p>
    <w:p w14:paraId="60C81F5F" w14:textId="77777777" w:rsidR="00983E8F" w:rsidRPr="00A642E3" w:rsidRDefault="00983E8F" w:rsidP="00983E8F">
      <w:pPr>
        <w:autoSpaceDE w:val="0"/>
        <w:autoSpaceDN w:val="0"/>
        <w:adjustRightInd w:val="0"/>
        <w:jc w:val="both"/>
        <w:rPr>
          <w:rFonts w:ascii="Open Sans" w:hAnsi="Open Sans" w:cs="Open Sans"/>
          <w:sz w:val="20"/>
          <w:szCs w:val="20"/>
        </w:rPr>
      </w:pPr>
    </w:p>
    <w:p w14:paraId="227220DF" w14:textId="77777777" w:rsidR="00983E8F" w:rsidRDefault="00983E8F" w:rsidP="00983E8F">
      <w:pPr>
        <w:jc w:val="both"/>
        <w:rPr>
          <w:rFonts w:ascii="Open Sans" w:hAnsi="Open Sans" w:cs="Open Sans"/>
          <w:b/>
          <w:sz w:val="22"/>
          <w:szCs w:val="22"/>
        </w:rPr>
      </w:pPr>
      <w:r w:rsidRPr="00337159">
        <w:rPr>
          <w:rFonts w:ascii="Open Sans" w:hAnsi="Open Sans" w:cs="Open Sans"/>
          <w:b/>
          <w:sz w:val="22"/>
          <w:szCs w:val="22"/>
        </w:rPr>
        <w:t>Tendencias a nivel nacional</w:t>
      </w:r>
    </w:p>
    <w:p w14:paraId="0F63D45F" w14:textId="77777777" w:rsidR="00983E8F" w:rsidRPr="00337159" w:rsidRDefault="00983E8F" w:rsidP="00983E8F">
      <w:pPr>
        <w:jc w:val="both"/>
        <w:rPr>
          <w:rFonts w:ascii="Open Sans" w:hAnsi="Open Sans" w:cs="Open Sans"/>
          <w:b/>
          <w:sz w:val="22"/>
          <w:szCs w:val="22"/>
        </w:rPr>
      </w:pPr>
    </w:p>
    <w:p w14:paraId="03D6ED53"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A nivel español, los papeles de Panamá,  la sucesión de casos de corrupción y las propuestas electorales de los distintos partidos políticos fueron los temas estrella de la agenda informativa en lo referido a la fiscalidad. Las demandas de la sociedad civil se orientaron hacia la redistribución de los costes sociales y económicos de la crisis, así como al castigo efectivo de las prácticas de fraude, evasión y elusión fiscal por parte de las rentas altas y las grandes empresas. Se continuó avanzando hacia una mayor transparencia, en coherencia con la legislación europea en la materia, y se ha confirmado el nulo avance en la puesta en marcha de la Estrategia Española de Responsabilidad Social Corporativa. La Reforma Fiscal llevada a cabo en 2014 fue fuertemente  criticada por su potencial para disminuir la recaudación y su carácter regresivo.</w:t>
      </w:r>
    </w:p>
    <w:p w14:paraId="675B2E17" w14:textId="77777777" w:rsidR="00983E8F" w:rsidRPr="00A642E3" w:rsidRDefault="00983E8F" w:rsidP="00983E8F">
      <w:pPr>
        <w:jc w:val="both"/>
        <w:rPr>
          <w:rFonts w:ascii="Open Sans" w:hAnsi="Open Sans" w:cs="Open Sans"/>
          <w:sz w:val="20"/>
          <w:szCs w:val="20"/>
        </w:rPr>
      </w:pPr>
    </w:p>
    <w:p w14:paraId="30041740" w14:textId="77777777" w:rsidR="00983E8F" w:rsidRPr="00337159" w:rsidRDefault="00983E8F" w:rsidP="00983E8F">
      <w:pPr>
        <w:jc w:val="both"/>
        <w:rPr>
          <w:rFonts w:ascii="Open Sans" w:hAnsi="Open Sans" w:cs="Open Sans"/>
          <w:sz w:val="20"/>
          <w:szCs w:val="20"/>
        </w:rPr>
      </w:pPr>
      <w:r w:rsidRPr="00A642E3">
        <w:rPr>
          <w:rFonts w:ascii="Open Sans" w:hAnsi="Open Sans" w:cs="Open Sans"/>
          <w:sz w:val="20"/>
          <w:szCs w:val="20"/>
        </w:rPr>
        <w:t>La Ley 31/2014, de 3 de diciembre, por la que se modifica la Ley de Sociedades de Capital para la mejora del gobierno corporativo. Las modificaciones se centran, en la junta general y los derechos de los accionistas y, por otro, en el órgano de administración de las sociedades de capital</w:t>
      </w:r>
      <w:r w:rsidRPr="00A642E3">
        <w:rPr>
          <w:rStyle w:val="Refdenotaalpie"/>
          <w:rFonts w:ascii="Open Sans" w:hAnsi="Open Sans" w:cs="Open Sans"/>
          <w:sz w:val="20"/>
          <w:szCs w:val="20"/>
        </w:rPr>
        <w:footnoteReference w:id="6"/>
      </w:r>
      <w:r w:rsidRPr="00A642E3">
        <w:rPr>
          <w:rFonts w:ascii="Open Sans" w:hAnsi="Open Sans" w:cs="Open Sans"/>
          <w:sz w:val="20"/>
          <w:szCs w:val="20"/>
        </w:rPr>
        <w:t xml:space="preserve">. El propósito general es clarificar las competencias de los órganos administrativos, proteger a los inversores de potenciales abusos y contribuir al establecimiento de sistemas eficaces en el reparto de responsabilidades. </w:t>
      </w:r>
      <w:r w:rsidRPr="00A642E3">
        <w:rPr>
          <w:rFonts w:ascii="Open Sans" w:hAnsi="Open Sans" w:cs="Arial"/>
          <w:sz w:val="20"/>
          <w:szCs w:val="20"/>
        </w:rPr>
        <w:t xml:space="preserve">La nueva ley de sociedades de capital española contempla la responsabilidad penal de los administradores por asuntos de carácter fiscal. Entró en vigor en 2015 y desde ese mismo año todas las empresas que coticen en bolsa tienen que contar con una estrategia fiscal aprobada por el Consejo de Administración. Esto implica que el más alto nivel ejecutivo de las empresas </w:t>
      </w:r>
      <w:r w:rsidRPr="00337159">
        <w:rPr>
          <w:rFonts w:ascii="Open Sans" w:hAnsi="Open Sans" w:cs="Open Sans"/>
          <w:sz w:val="20"/>
          <w:szCs w:val="20"/>
        </w:rPr>
        <w:t>será quien responda por las actuaciones y riesgos de carácter fiscal. Pero la legislación no obliga a que esta información sea pública.</w:t>
      </w:r>
    </w:p>
    <w:p w14:paraId="27FCC57F" w14:textId="77777777" w:rsidR="00983E8F" w:rsidRPr="00337159" w:rsidRDefault="00983E8F" w:rsidP="00983E8F">
      <w:pPr>
        <w:jc w:val="both"/>
        <w:rPr>
          <w:rFonts w:ascii="Open Sans" w:hAnsi="Open Sans" w:cs="Open Sans"/>
          <w:sz w:val="20"/>
          <w:szCs w:val="20"/>
        </w:rPr>
      </w:pPr>
    </w:p>
    <w:p w14:paraId="27316B69" w14:textId="77777777" w:rsidR="00983E8F" w:rsidRDefault="00983E8F" w:rsidP="00983E8F">
      <w:pPr>
        <w:jc w:val="both"/>
        <w:rPr>
          <w:rFonts w:ascii="Open Sans" w:hAnsi="Open Sans" w:cs="Open Sans"/>
          <w:sz w:val="20"/>
          <w:szCs w:val="20"/>
        </w:rPr>
      </w:pPr>
      <w:r w:rsidRPr="00337159">
        <w:rPr>
          <w:rFonts w:ascii="Open Sans" w:hAnsi="Open Sans" w:cs="Open Sans"/>
          <w:sz w:val="20"/>
          <w:szCs w:val="20"/>
        </w:rPr>
        <w:t xml:space="preserve">Así mismo, España es el primer país en incorporar a su ordenamiento jurídico la acción 13 de BEPS lo que hace exigible la información </w:t>
      </w:r>
      <w:r w:rsidRPr="00337159">
        <w:rPr>
          <w:rFonts w:ascii="Open Sans" w:hAnsi="Open Sans" w:cs="Open Sans"/>
          <w:i/>
          <w:sz w:val="20"/>
          <w:szCs w:val="20"/>
        </w:rPr>
        <w:t>“country by country”</w:t>
      </w:r>
      <w:r>
        <w:rPr>
          <w:rFonts w:ascii="Open Sans" w:hAnsi="Open Sans" w:cs="Open Sans"/>
          <w:sz w:val="20"/>
          <w:szCs w:val="20"/>
        </w:rPr>
        <w:t xml:space="preserve"> (</w:t>
      </w:r>
      <w:r w:rsidRPr="00337159">
        <w:rPr>
          <w:rFonts w:ascii="Open Sans" w:hAnsi="Open Sans" w:cs="Open Sans"/>
          <w:sz w:val="20"/>
          <w:szCs w:val="20"/>
        </w:rPr>
        <w:t>CbC</w:t>
      </w:r>
      <w:r>
        <w:rPr>
          <w:rFonts w:ascii="Open Sans" w:hAnsi="Open Sans" w:cs="Open Sans"/>
          <w:sz w:val="20"/>
          <w:szCs w:val="20"/>
        </w:rPr>
        <w:t>, por sus siglas en inglés)</w:t>
      </w:r>
      <w:r w:rsidRPr="00337159">
        <w:rPr>
          <w:rFonts w:ascii="Open Sans" w:hAnsi="Open Sans" w:cs="Open Sans"/>
          <w:sz w:val="20"/>
          <w:szCs w:val="20"/>
        </w:rPr>
        <w:t xml:space="preserve"> para las empresas grandes y solo para informar a la AEAT. </w:t>
      </w:r>
    </w:p>
    <w:p w14:paraId="2DF25F8E" w14:textId="77777777" w:rsidR="00983E8F" w:rsidRPr="00337159" w:rsidRDefault="00983E8F" w:rsidP="00983E8F">
      <w:pPr>
        <w:jc w:val="both"/>
        <w:rPr>
          <w:rFonts w:ascii="Open Sans" w:hAnsi="Open Sans" w:cs="Open Sans"/>
          <w:sz w:val="20"/>
          <w:szCs w:val="20"/>
        </w:rPr>
      </w:pPr>
    </w:p>
    <w:p w14:paraId="46489E35" w14:textId="77777777" w:rsidR="00983E8F" w:rsidRPr="00A642E3" w:rsidRDefault="00983E8F" w:rsidP="00983E8F">
      <w:pPr>
        <w:jc w:val="both"/>
        <w:rPr>
          <w:rFonts w:ascii="Open Sans" w:hAnsi="Open Sans" w:cs="Arial"/>
          <w:b/>
          <w:sz w:val="20"/>
          <w:szCs w:val="20"/>
        </w:rPr>
      </w:pPr>
      <w:r w:rsidRPr="00337159">
        <w:rPr>
          <w:rFonts w:ascii="Open Sans" w:hAnsi="Open Sans" w:cs="Open Sans"/>
          <w:sz w:val="20"/>
          <w:szCs w:val="20"/>
        </w:rPr>
        <w:t>También desde la administración</w:t>
      </w:r>
      <w:r w:rsidRPr="00A642E3">
        <w:rPr>
          <w:rFonts w:ascii="Open Sans" w:hAnsi="Open Sans" w:cs="Arial"/>
          <w:sz w:val="20"/>
          <w:szCs w:val="20"/>
        </w:rPr>
        <w:t xml:space="preserve"> pública se ha tratado de impulsar el compromiso público de las empresas españolas en materia de responsabilidad fiscal a través del  Foro de grandes empresas  y el código de buenas prácticas. Estas iniciativas pretenden impulsar la buena relación entre AEAT y empresas en materia fiscal bajo el esquema de un modelo de relación cooperativa.</w:t>
      </w:r>
      <w:r w:rsidRPr="00A642E3">
        <w:rPr>
          <w:rFonts w:ascii="Open Sans" w:hAnsi="Open Sans" w:cs="Arial"/>
          <w:b/>
          <w:sz w:val="20"/>
          <w:szCs w:val="20"/>
        </w:rPr>
        <w:t xml:space="preserve"> </w:t>
      </w:r>
    </w:p>
    <w:p w14:paraId="6AEA2600" w14:textId="77777777" w:rsidR="00983E8F" w:rsidRPr="00A642E3" w:rsidRDefault="00983E8F" w:rsidP="00983E8F">
      <w:pPr>
        <w:jc w:val="both"/>
        <w:rPr>
          <w:rFonts w:ascii="Open Sans" w:hAnsi="Open Sans" w:cs="Open Sans"/>
          <w:sz w:val="20"/>
          <w:szCs w:val="20"/>
        </w:rPr>
      </w:pPr>
    </w:p>
    <w:p w14:paraId="33C0CA88" w14:textId="77777777" w:rsidR="00983E8F" w:rsidRPr="00A642E3" w:rsidRDefault="00983E8F" w:rsidP="00983E8F">
      <w:pPr>
        <w:jc w:val="both"/>
        <w:rPr>
          <w:rStyle w:val="apple-converted-space"/>
          <w:rFonts w:ascii="Open Sans" w:hAnsi="Open Sans" w:cs="Open Sans"/>
          <w:i/>
          <w:iCs/>
          <w:color w:val="444444"/>
          <w:sz w:val="20"/>
          <w:szCs w:val="20"/>
          <w:bdr w:val="none" w:sz="0" w:space="0" w:color="auto" w:frame="1"/>
          <w:shd w:val="clear" w:color="auto" w:fill="FFFFFF"/>
        </w:rPr>
      </w:pPr>
      <w:r w:rsidRPr="00A642E3">
        <w:rPr>
          <w:rFonts w:ascii="Open Sans" w:hAnsi="Open Sans" w:cs="Open Sans"/>
          <w:sz w:val="20"/>
          <w:szCs w:val="20"/>
        </w:rPr>
        <w:t>Por otro lado el texto de la modificación del impuesto de sociedades emprendida en 2014 contempla una disminución en el tipo nominal del impuesto de sociedades para las grandes empresas del 30% al 25%, mientras se mantienen la mayoría de los beneficios fiscales. Las rentas altas se ven beneficiadas por los nuevos tramos del IRPF, así como el sector bancario se beneficia de su continuidad tributaria bajo la fórmula del Impuesto de Sociedades al 30%. En conjunto, la reforma supone un deterioro en la capacidad recaudatoria del Estado, que resulta más grave si cabe al tener en cuenta el nivel de endeudamiento y el déficit en servicios públicos esenciales que sufre el país en el actual contexto de crisis económica. Este déficit recaudatorio y redistributivo ha situado a España con un 28,6% de sus ciudadanos en riesgo de exclusión social  sin apenas recursos con los que pagar las necesidades básicas de acuerdo con el  la encuesta de condiciones de vida publicada en 2016 por el </w:t>
      </w:r>
      <w:hyperlink r:id="rId32" w:history="1">
        <w:r w:rsidRPr="00A642E3">
          <w:rPr>
            <w:rFonts w:ascii="Open Sans" w:hAnsi="Open Sans" w:cs="Open Sans"/>
            <w:sz w:val="20"/>
            <w:szCs w:val="20"/>
          </w:rPr>
          <w:t>Instituto Nacional de Estadística (INE)</w:t>
        </w:r>
      </w:hyperlink>
      <w:r w:rsidRPr="00A642E3">
        <w:rPr>
          <w:rStyle w:val="Refdenotaalpie"/>
          <w:rFonts w:ascii="Open Sans" w:hAnsi="Open Sans" w:cs="Open Sans"/>
          <w:sz w:val="20"/>
          <w:szCs w:val="20"/>
        </w:rPr>
        <w:footnoteReference w:id="7"/>
      </w:r>
      <w:r w:rsidRPr="00A642E3">
        <w:rPr>
          <w:rFonts w:ascii="Open Sans" w:hAnsi="Open Sans" w:cs="Open Sans"/>
          <w:sz w:val="20"/>
          <w:szCs w:val="20"/>
        </w:rPr>
        <w:t>.  Además la desigualdad no ha parado de crecer y de acuerdo con diversos organismos España se encuentra a la cabeza de la desigualdad, siendo el más desigual de la OCDE</w:t>
      </w:r>
      <w:r w:rsidRPr="00A642E3">
        <w:rPr>
          <w:rStyle w:val="Refdenotaalpie"/>
          <w:rFonts w:ascii="Open Sans" w:hAnsi="Open Sans" w:cs="Open Sans"/>
          <w:sz w:val="20"/>
          <w:szCs w:val="20"/>
        </w:rPr>
        <w:footnoteReference w:id="8"/>
      </w:r>
      <w:r>
        <w:rPr>
          <w:rFonts w:ascii="Open Sans" w:hAnsi="Open Sans" w:cs="Open Sans"/>
          <w:sz w:val="20"/>
          <w:szCs w:val="20"/>
        </w:rPr>
        <w:t>.  En el lado contrari</w:t>
      </w:r>
      <w:r w:rsidRPr="00A642E3">
        <w:rPr>
          <w:rFonts w:ascii="Open Sans" w:hAnsi="Open Sans" w:cs="Open Sans"/>
          <w:sz w:val="20"/>
          <w:szCs w:val="20"/>
        </w:rPr>
        <w:t>o tenemos que el 1% de la población posee la mitad de la riqueza mundial, de acuerdo con la consultora Boston Consulting Group</w:t>
      </w:r>
      <w:r w:rsidRPr="00A642E3">
        <w:rPr>
          <w:rStyle w:val="Refdenotaalpie"/>
          <w:rFonts w:ascii="Open Sans" w:hAnsi="Open Sans" w:cs="Open Sans"/>
          <w:sz w:val="20"/>
          <w:szCs w:val="20"/>
        </w:rPr>
        <w:footnoteReference w:id="9"/>
      </w:r>
      <w:r w:rsidRPr="00A642E3">
        <w:rPr>
          <w:rFonts w:ascii="Open Sans" w:hAnsi="Open Sans" w:cs="Open Sans"/>
          <w:sz w:val="20"/>
          <w:szCs w:val="20"/>
        </w:rPr>
        <w:t xml:space="preserve"> y España es el país europeo donde más aumentó el número de personas ricas en 2015 según el informe </w:t>
      </w:r>
      <w:r>
        <w:rPr>
          <w:rFonts w:ascii="Open Sans" w:hAnsi="Open Sans" w:cs="Open Sans"/>
          <w:iCs/>
          <w:sz w:val="20"/>
          <w:szCs w:val="20"/>
        </w:rPr>
        <w:t>XX I</w:t>
      </w:r>
      <w:r w:rsidRPr="00A642E3">
        <w:rPr>
          <w:rFonts w:ascii="Open Sans" w:hAnsi="Open Sans" w:cs="Open Sans"/>
          <w:iCs/>
          <w:sz w:val="20"/>
          <w:szCs w:val="20"/>
        </w:rPr>
        <w:t>nforme Mundial de la Riqueza elaborado por la consultora Capgemini</w:t>
      </w:r>
      <w:r w:rsidRPr="00A642E3">
        <w:rPr>
          <w:rStyle w:val="Refdenotaalpie"/>
          <w:rFonts w:ascii="Open Sans" w:hAnsi="Open Sans" w:cs="Open Sans"/>
          <w:iCs/>
          <w:sz w:val="20"/>
          <w:szCs w:val="20"/>
        </w:rPr>
        <w:footnoteReference w:id="10"/>
      </w:r>
      <w:r w:rsidRPr="00A642E3">
        <w:rPr>
          <w:rStyle w:val="apple-converted-space"/>
          <w:rFonts w:ascii="Open Sans" w:hAnsi="Open Sans" w:cs="Open Sans"/>
          <w:i/>
          <w:iCs/>
          <w:color w:val="444444"/>
          <w:sz w:val="20"/>
          <w:szCs w:val="20"/>
          <w:bdr w:val="none" w:sz="0" w:space="0" w:color="auto" w:frame="1"/>
          <w:shd w:val="clear" w:color="auto" w:fill="FFFFFF"/>
        </w:rPr>
        <w:t> </w:t>
      </w:r>
    </w:p>
    <w:p w14:paraId="0626990E" w14:textId="77777777" w:rsidR="00983E8F" w:rsidRPr="00A642E3" w:rsidRDefault="00983E8F" w:rsidP="00983E8F">
      <w:pPr>
        <w:jc w:val="both"/>
        <w:rPr>
          <w:rFonts w:ascii="Open Sans" w:hAnsi="Open Sans" w:cs="Open Sans"/>
          <w:sz w:val="20"/>
          <w:szCs w:val="20"/>
        </w:rPr>
      </w:pPr>
    </w:p>
    <w:p w14:paraId="11CA52CE"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Cabe apuntar que la lucha contra la evasión y la elusión fiscal  ocupó un espacio relevante en las agendas programáticas de muchos de los grupos que concurrieron a las elecciones generales</w:t>
      </w:r>
      <w:r w:rsidRPr="00A642E3">
        <w:rPr>
          <w:rStyle w:val="Refdenotaalpie"/>
          <w:rFonts w:ascii="Open Sans" w:hAnsi="Open Sans" w:cs="Open Sans"/>
          <w:sz w:val="20"/>
          <w:szCs w:val="20"/>
        </w:rPr>
        <w:footnoteReference w:id="11"/>
      </w:r>
      <w:r w:rsidRPr="00A642E3">
        <w:rPr>
          <w:rFonts w:ascii="Open Sans" w:hAnsi="Open Sans" w:cs="Open Sans"/>
          <w:sz w:val="20"/>
          <w:szCs w:val="20"/>
        </w:rPr>
        <w:t xml:space="preserve">, y también fue parte notable de la actividad parlamentaria; no obstante, los avances en términos prácticos fueron limitados. </w:t>
      </w:r>
    </w:p>
    <w:p w14:paraId="19D75C77" w14:textId="77777777" w:rsidR="00983E8F" w:rsidRPr="00A642E3" w:rsidRDefault="00983E8F" w:rsidP="00983E8F">
      <w:pPr>
        <w:jc w:val="both"/>
        <w:rPr>
          <w:rFonts w:ascii="Open Sans" w:hAnsi="Open Sans" w:cs="Open Sans"/>
          <w:sz w:val="20"/>
          <w:szCs w:val="20"/>
        </w:rPr>
      </w:pPr>
    </w:p>
    <w:p w14:paraId="7602FA79" w14:textId="77777777" w:rsidR="00983E8F" w:rsidRDefault="00983E8F" w:rsidP="00983E8F">
      <w:pPr>
        <w:jc w:val="both"/>
        <w:rPr>
          <w:rFonts w:ascii="Open Sans" w:hAnsi="Open Sans" w:cs="Open Sans"/>
          <w:sz w:val="20"/>
          <w:szCs w:val="20"/>
        </w:rPr>
      </w:pPr>
      <w:r w:rsidRPr="00A642E3">
        <w:rPr>
          <w:rFonts w:ascii="Open Sans" w:hAnsi="Open Sans" w:cs="Open Sans"/>
          <w:sz w:val="20"/>
          <w:szCs w:val="20"/>
        </w:rPr>
        <w:t xml:space="preserve">En España también se han activado iniciativas desde las administraciones territoriales en la lucha contra los paraísos fiscales. Un ejemplo de ello es el Parlamento de Navarra, gracias a una resolución emitida el 28 de junio de 2012, en la que, entre otras demandas en materia de lucha contra los paraísos fiscales: </w:t>
      </w:r>
      <w:r w:rsidRPr="00A642E3">
        <w:rPr>
          <w:rFonts w:ascii="Open Sans" w:hAnsi="Open Sans" w:cs="Open Sans"/>
          <w:color w:val="000000"/>
          <w:sz w:val="20"/>
          <w:szCs w:val="20"/>
          <w:shd w:val="clear" w:color="auto" w:fill="FFFFFF"/>
        </w:rPr>
        <w:t>“Se insta al Ejecutivo Foral a excluir de la contratación pública y de cualquier exención fiscal, subvención o ayuda pública, a todas aquellas sociedades mercantiles, entidades bancarias y grupos empresariales que tengan sucursales, filiales o entidades registradas en países y territorios que actúan como paraísos fiscales”</w:t>
      </w:r>
      <w:r w:rsidRPr="00A642E3">
        <w:rPr>
          <w:rStyle w:val="Refdenotaalpie"/>
          <w:rFonts w:ascii="Open Sans" w:hAnsi="Open Sans" w:cs="Open Sans"/>
          <w:color w:val="000000"/>
          <w:sz w:val="20"/>
          <w:szCs w:val="20"/>
          <w:shd w:val="clear" w:color="auto" w:fill="FFFFFF"/>
        </w:rPr>
        <w:footnoteReference w:id="12"/>
      </w:r>
      <w:r w:rsidRPr="00A642E3">
        <w:rPr>
          <w:rFonts w:ascii="Open Sans" w:hAnsi="Open Sans" w:cs="Open Sans"/>
          <w:color w:val="000000"/>
          <w:sz w:val="20"/>
          <w:szCs w:val="20"/>
          <w:shd w:val="clear" w:color="auto" w:fill="FFFFFF"/>
        </w:rPr>
        <w:t>.</w:t>
      </w:r>
    </w:p>
    <w:p w14:paraId="6B4FEB77" w14:textId="77777777" w:rsidR="00983E8F" w:rsidRDefault="00983E8F" w:rsidP="00983E8F">
      <w:pPr>
        <w:jc w:val="both"/>
        <w:rPr>
          <w:rFonts w:ascii="Open Sans" w:hAnsi="Open Sans" w:cs="Open Sans"/>
          <w:sz w:val="20"/>
          <w:szCs w:val="20"/>
        </w:rPr>
      </w:pPr>
    </w:p>
    <w:p w14:paraId="740929A4"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Las Cortes de Aragón aprobaron en mayo de 2016 resoluciones similares</w:t>
      </w:r>
      <w:r w:rsidRPr="00A642E3">
        <w:rPr>
          <w:rStyle w:val="Refdenotaalpie"/>
          <w:rFonts w:ascii="Open Sans" w:hAnsi="Open Sans" w:cs="Open Sans"/>
          <w:sz w:val="20"/>
          <w:szCs w:val="20"/>
        </w:rPr>
        <w:footnoteReference w:id="13"/>
      </w:r>
      <w:r w:rsidRPr="00A642E3">
        <w:rPr>
          <w:rFonts w:ascii="Open Sans" w:hAnsi="Open Sans" w:cs="Open Sans"/>
          <w:sz w:val="20"/>
          <w:szCs w:val="20"/>
        </w:rPr>
        <w:t xml:space="preserve">. Además, figuran como adherentes a la iniciativa europea </w:t>
      </w:r>
      <w:r w:rsidRPr="00A642E3">
        <w:rPr>
          <w:rFonts w:ascii="Open Sans" w:hAnsi="Open Sans" w:cs="Open Sans"/>
          <w:i/>
          <w:sz w:val="20"/>
          <w:szCs w:val="20"/>
        </w:rPr>
        <w:t>Tax Haven Free Cities</w:t>
      </w:r>
      <w:r w:rsidRPr="00A642E3">
        <w:rPr>
          <w:rFonts w:ascii="Open Sans" w:hAnsi="Open Sans" w:cs="Open Sans"/>
          <w:sz w:val="20"/>
          <w:szCs w:val="20"/>
        </w:rPr>
        <w:t xml:space="preserve"> las capitales de provincia de Barcelona, Tarragona y Castellón, así como otros municipios de diverso tamaño</w:t>
      </w:r>
      <w:r w:rsidRPr="00A642E3">
        <w:rPr>
          <w:rStyle w:val="Refdenotaalpie"/>
          <w:rFonts w:ascii="Open Sans" w:hAnsi="Open Sans" w:cs="Open Sans"/>
          <w:sz w:val="20"/>
          <w:szCs w:val="20"/>
        </w:rPr>
        <w:footnoteReference w:id="14"/>
      </w:r>
      <w:r w:rsidRPr="00A642E3">
        <w:rPr>
          <w:rFonts w:ascii="Open Sans" w:hAnsi="Open Sans" w:cs="Open Sans"/>
          <w:sz w:val="20"/>
          <w:szCs w:val="20"/>
        </w:rPr>
        <w:t xml:space="preserve">. A nivel nacional, esta temática cobra especial relevancia a partir de las Elecciones Municipales de 2014. En este sentido, la iniciativa “Territorios libres de paraísos fiscales”, promovida por Oxfam en cooperación con </w:t>
      </w:r>
      <w:r w:rsidRPr="00A642E3">
        <w:rPr>
          <w:rFonts w:ascii="Open Sans" w:hAnsi="Open Sans" w:cs="Open Sans"/>
          <w:sz w:val="20"/>
          <w:szCs w:val="20"/>
          <w:shd w:val="clear" w:color="auto" w:fill="FFFFFF"/>
        </w:rPr>
        <w:t xml:space="preserve">la Plataforma por una Fiscalidad Justa en Cataluña y el apoyo de un grupo de organizaciones en Madrid, se sitúa en un marco de acción confluente respecto al proyecto </w:t>
      </w:r>
      <w:r w:rsidRPr="00A642E3">
        <w:rPr>
          <w:rFonts w:ascii="Open Sans" w:hAnsi="Open Sans" w:cs="Open Sans"/>
          <w:i/>
          <w:sz w:val="20"/>
          <w:szCs w:val="20"/>
          <w:shd w:val="clear" w:color="auto" w:fill="FFFFFF"/>
        </w:rPr>
        <w:t>Tax Haven Free Cities</w:t>
      </w:r>
      <w:r w:rsidRPr="00A642E3">
        <w:rPr>
          <w:rFonts w:ascii="Open Sans" w:hAnsi="Open Sans" w:cs="Open Sans"/>
          <w:sz w:val="20"/>
          <w:szCs w:val="20"/>
          <w:shd w:val="clear" w:color="auto" w:fill="FFFFFF"/>
        </w:rPr>
        <w:t xml:space="preserve">. En el caso del Ayuntamiento de Barcelona, </w:t>
      </w:r>
      <w:r w:rsidRPr="00A642E3">
        <w:rPr>
          <w:rStyle w:val="apple-converted-space"/>
          <w:rFonts w:ascii="Open Sans" w:hAnsi="Open Sans" w:cs="Open Sans"/>
          <w:sz w:val="20"/>
          <w:szCs w:val="20"/>
          <w:shd w:val="clear" w:color="auto" w:fill="FFFFFF"/>
        </w:rPr>
        <w:t> el Decreto aprobado por el pleno el 19 de mayo de 2016</w:t>
      </w:r>
      <w:r w:rsidRPr="00A642E3">
        <w:rPr>
          <w:rStyle w:val="Refdenotaalpie"/>
          <w:rFonts w:ascii="Open Sans" w:hAnsi="Open Sans" w:cs="Open Sans"/>
          <w:sz w:val="20"/>
          <w:szCs w:val="20"/>
          <w:shd w:val="clear" w:color="auto" w:fill="FFFFFF"/>
        </w:rPr>
        <w:footnoteReference w:id="15"/>
      </w:r>
      <w:r w:rsidRPr="00A642E3">
        <w:rPr>
          <w:rStyle w:val="apple-converted-space"/>
          <w:rFonts w:ascii="Open Sans" w:hAnsi="Open Sans" w:cs="Open Sans"/>
          <w:sz w:val="20"/>
          <w:szCs w:val="20"/>
          <w:shd w:val="clear" w:color="auto" w:fill="FFFFFF"/>
        </w:rPr>
        <w:t xml:space="preserve"> establece que </w:t>
      </w:r>
      <w:r w:rsidRPr="00A642E3">
        <w:rPr>
          <w:rFonts w:ascii="Open Sans" w:hAnsi="Open Sans" w:cs="Open Sans"/>
          <w:iCs/>
          <w:sz w:val="20"/>
          <w:szCs w:val="20"/>
          <w:shd w:val="clear" w:color="auto" w:fill="FFFFFF"/>
        </w:rPr>
        <w:t xml:space="preserve">“los licitadores, contratistas o subcontratistas, empresas filiales o empresas interpuestas no pueden realizar operaciones financieras en paraísos fiscales”, cuestión que se verificará antes y durante el contrato. Por su parte, el Ayuntamiento de Zaragoza </w:t>
      </w:r>
      <w:r w:rsidRPr="00A642E3">
        <w:rPr>
          <w:rFonts w:ascii="Open Sans" w:hAnsi="Open Sans" w:cs="Open Sans"/>
          <w:sz w:val="20"/>
          <w:szCs w:val="20"/>
          <w:shd w:val="clear" w:color="auto" w:fill="FFFFFF"/>
        </w:rPr>
        <w:t>emitió el 25 de julio de 2016 un Decreto</w:t>
      </w:r>
      <w:r w:rsidRPr="00A642E3">
        <w:rPr>
          <w:rStyle w:val="Refdenotaalpie"/>
          <w:rFonts w:ascii="Open Sans" w:hAnsi="Open Sans" w:cs="Open Sans"/>
          <w:sz w:val="20"/>
          <w:szCs w:val="20"/>
          <w:shd w:val="clear" w:color="auto" w:fill="FFFFFF"/>
        </w:rPr>
        <w:footnoteReference w:id="16"/>
      </w:r>
      <w:r w:rsidRPr="00A642E3">
        <w:rPr>
          <w:rFonts w:ascii="Open Sans" w:hAnsi="Open Sans" w:cs="Open Sans"/>
          <w:sz w:val="20"/>
          <w:szCs w:val="20"/>
          <w:shd w:val="clear" w:color="auto" w:fill="FFFFFF"/>
        </w:rPr>
        <w:t xml:space="preserve"> según el cual se establece una cláusula-tipo para incluir en los pliegos administrativos, señalando que las empresas que aspiren a la licitación no podrán realizar operaciones financieras delictivas en paraísos fiscales (según el criterio del Gobierno nacional o instituciones europeas). </w:t>
      </w:r>
      <w:r w:rsidRPr="00A642E3">
        <w:rPr>
          <w:rFonts w:ascii="Open Sans" w:hAnsi="Open Sans" w:cs="Open Sans"/>
          <w:sz w:val="20"/>
          <w:szCs w:val="20"/>
        </w:rPr>
        <w:t>En el marco de las acciones de la red, la iniciativa Madrid libre de Paraísos Fiscales emitió en 2015 una propuesta según la cual las empresas que concurran a la licitación municipal deben presentar una serie de documentos y compromisos relacionados con paraísos fiscales.</w:t>
      </w:r>
    </w:p>
    <w:p w14:paraId="1E8F6AB2" w14:textId="77777777" w:rsidR="00983E8F" w:rsidRPr="00A642E3" w:rsidRDefault="00983E8F" w:rsidP="00983E8F">
      <w:pPr>
        <w:jc w:val="both"/>
        <w:rPr>
          <w:rFonts w:ascii="Open Sans" w:hAnsi="Open Sans" w:cs="Open Sans"/>
          <w:sz w:val="20"/>
          <w:szCs w:val="20"/>
        </w:rPr>
      </w:pPr>
    </w:p>
    <w:p w14:paraId="7EFCFAB6"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Pese a estas iniciativas, España no ha estado ausente del creciente fraude fiscal instrumentado desde las empresas tecnológicas que realizan operaciones en el país y que facturan desde sus delegaciones en Irlanda, Holanda, Suiza o Luxemburgo, países con una tributación muy reducida para este tipo de empresas. De acuerdo con una información publicada en el país Apple, Yahoo, Amazon, Twitter, Microsoft, Ebay, Google y Facebook pagaron en concepto de impuesto de sociedades en 2013 la cifra total de 17.471.339 euros</w:t>
      </w:r>
      <w:r w:rsidRPr="00A642E3">
        <w:rPr>
          <w:rStyle w:val="Refdenotaalpie"/>
          <w:rFonts w:ascii="Open Sans" w:hAnsi="Open Sans" w:cs="Open Sans"/>
          <w:sz w:val="20"/>
          <w:szCs w:val="20"/>
        </w:rPr>
        <w:footnoteReference w:id="17"/>
      </w:r>
      <w:r w:rsidRPr="00A642E3">
        <w:rPr>
          <w:rFonts w:ascii="Open Sans" w:hAnsi="Open Sans" w:cs="Open Sans"/>
          <w:sz w:val="20"/>
          <w:szCs w:val="20"/>
        </w:rPr>
        <w:t xml:space="preserve">. </w:t>
      </w:r>
      <w:r>
        <w:rPr>
          <w:rFonts w:ascii="Open Sans" w:hAnsi="Open Sans" w:cs="Open Sans"/>
          <w:sz w:val="20"/>
          <w:szCs w:val="20"/>
        </w:rPr>
        <w:t>Las filiales españolas  de Twiter y F</w:t>
      </w:r>
      <w:r w:rsidRPr="00A642E3">
        <w:rPr>
          <w:rFonts w:ascii="Open Sans" w:hAnsi="Open Sans" w:cs="Open Sans"/>
          <w:sz w:val="20"/>
          <w:szCs w:val="20"/>
        </w:rPr>
        <w:t>acebook facturaron todos sus ingresos en 2015 a través de Irlanda</w:t>
      </w:r>
      <w:r>
        <w:rPr>
          <w:rFonts w:ascii="Open Sans" w:hAnsi="Open Sans" w:cs="Open Sans"/>
          <w:sz w:val="20"/>
          <w:szCs w:val="20"/>
        </w:rPr>
        <w:t>.</w:t>
      </w:r>
    </w:p>
    <w:p w14:paraId="4A2B2655" w14:textId="77777777" w:rsidR="00983E8F" w:rsidRPr="00A642E3" w:rsidRDefault="00983E8F" w:rsidP="00983E8F">
      <w:pPr>
        <w:jc w:val="both"/>
        <w:rPr>
          <w:rFonts w:ascii="Open Sans" w:hAnsi="Open Sans" w:cs="Open Sans"/>
          <w:sz w:val="20"/>
          <w:szCs w:val="20"/>
        </w:rPr>
      </w:pPr>
    </w:p>
    <w:p w14:paraId="746A5B6D" w14:textId="77777777" w:rsidR="00983E8F" w:rsidRDefault="00983E8F" w:rsidP="00983E8F">
      <w:pPr>
        <w:jc w:val="both"/>
        <w:rPr>
          <w:rFonts w:ascii="Open Sans" w:hAnsi="Open Sans" w:cs="Open Sans"/>
          <w:sz w:val="20"/>
          <w:szCs w:val="20"/>
        </w:rPr>
      </w:pPr>
      <w:r w:rsidRPr="00A642E3">
        <w:rPr>
          <w:rFonts w:ascii="Open Sans" w:hAnsi="Open Sans" w:cs="Open Sans"/>
          <w:sz w:val="20"/>
          <w:szCs w:val="20"/>
        </w:rPr>
        <w:t>Finalmente, conviene realizar un breve comentario al tristemente habitual protagonismo asumido por los casos de corrupción política a nivel nacional. No está entre los objetivos de este trabajo realizar una cronología exhaustiva de los procesos judiciales iniciados o en proceso durante el año 2015; sin embargo, resulta oportuno mencionar el modo en que la corrupción se conecta con la Responsabilidad Social Corporativa en materia fiscal, así como citar algunos de los casos más destacados emergidos durante el periodo analizado.</w:t>
      </w:r>
    </w:p>
    <w:p w14:paraId="2F42488E" w14:textId="77777777" w:rsidR="00983E8F" w:rsidRDefault="00983E8F" w:rsidP="00983E8F">
      <w:pPr>
        <w:jc w:val="both"/>
        <w:rPr>
          <w:rFonts w:ascii="Open Sans" w:hAnsi="Open Sans" w:cs="Open Sans"/>
          <w:sz w:val="20"/>
          <w:szCs w:val="20"/>
        </w:rPr>
      </w:pPr>
    </w:p>
    <w:p w14:paraId="1CE62F0D"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Las grandes empresas, en particular el sector bancario, aparecen ligadas frecuentemente a este tipo estructuras. Al margen del impacto de la corrupción en términos de legitimidad democrática y confianza en las instituciones, hay que tener en cuenta sus devastadores efectos sobre la Hacienda Pública; que se manifiestan a corto plazo y comprometen el desarrollo sostenible y equitativo a futuro para el conjunto de la sociedad. </w:t>
      </w:r>
    </w:p>
    <w:p w14:paraId="45A7D9CB" w14:textId="77777777" w:rsidR="00983E8F" w:rsidRPr="00A642E3" w:rsidRDefault="00983E8F" w:rsidP="00983E8F">
      <w:pPr>
        <w:jc w:val="both"/>
        <w:rPr>
          <w:rFonts w:ascii="Open Sans" w:hAnsi="Open Sans" w:cs="Open Sans"/>
          <w:sz w:val="20"/>
          <w:szCs w:val="20"/>
        </w:rPr>
      </w:pPr>
    </w:p>
    <w:p w14:paraId="535B12F1"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En cuanto al perjuicio causado a corto plazo, la corrupción supone una significativa pérdida de ingresos fiscales. Existen costes directos, entre los cuales se cuentan los impuestos evadidos, sobrecostes injustificados en la contratación pública y partidas presupuestarias opacas o de dudosa ética, entre otros. La agenda mediática suele centrarse en  este tipo de impactos, permaneciendo en un segundo plano los  efectos indirectos, que se manifiestan con mayor claridad a medio y largo plazo a través de la pérdida de competitividad y dinamismo económico. Un estudio de la CNMC publicado a inicios de 2014</w:t>
      </w:r>
      <w:r w:rsidRPr="00A642E3">
        <w:rPr>
          <w:rStyle w:val="Refdenotaalpie"/>
          <w:rFonts w:ascii="Open Sans" w:hAnsi="Open Sans" w:cs="Open Sans"/>
          <w:sz w:val="20"/>
          <w:szCs w:val="20"/>
        </w:rPr>
        <w:footnoteReference w:id="18"/>
      </w:r>
      <w:r w:rsidRPr="00A642E3">
        <w:rPr>
          <w:rFonts w:ascii="Open Sans" w:hAnsi="Open Sans" w:cs="Open Sans"/>
          <w:sz w:val="20"/>
          <w:szCs w:val="20"/>
        </w:rPr>
        <w:t xml:space="preserve"> cifró el sobrecoste en las contrataciones públicas en</w:t>
      </w:r>
      <w:r w:rsidRPr="00A642E3">
        <w:rPr>
          <w:rFonts w:ascii="Open Sans" w:hAnsi="Open Sans" w:cs="Open Sans"/>
          <w:b/>
          <w:sz w:val="20"/>
          <w:szCs w:val="20"/>
        </w:rPr>
        <w:t xml:space="preserve"> </w:t>
      </w:r>
      <w:r w:rsidRPr="00A642E3">
        <w:rPr>
          <w:rStyle w:val="Textoennegrita"/>
          <w:rFonts w:ascii="Open Sans" w:hAnsi="Open Sans" w:cs="Open Sans"/>
          <w:b w:val="0"/>
          <w:bdr w:val="none" w:sz="0" w:space="0" w:color="auto" w:frame="1"/>
        </w:rPr>
        <w:t>más de 48000 millones de euros anuales para el conjunto de España</w:t>
      </w:r>
      <w:r w:rsidRPr="00A642E3">
        <w:rPr>
          <w:rFonts w:ascii="Open Sans" w:hAnsi="Open Sans" w:cs="Open Sans"/>
          <w:sz w:val="20"/>
          <w:szCs w:val="20"/>
          <w:shd w:val="clear" w:color="auto" w:fill="FFFFFF"/>
        </w:rPr>
        <w:t>, lo que equivale a</w:t>
      </w:r>
      <w:r w:rsidRPr="00A642E3">
        <w:rPr>
          <w:rStyle w:val="apple-converted-space"/>
          <w:rFonts w:ascii="Open Sans" w:hAnsi="Open Sans" w:cs="Open Sans"/>
          <w:sz w:val="20"/>
          <w:szCs w:val="20"/>
          <w:shd w:val="clear" w:color="auto" w:fill="FFFFFF"/>
        </w:rPr>
        <w:t> </w:t>
      </w:r>
      <w:r w:rsidRPr="00A642E3">
        <w:rPr>
          <w:rStyle w:val="Textoennegrita"/>
          <w:rFonts w:ascii="Open Sans" w:hAnsi="Open Sans" w:cs="Open Sans"/>
          <w:b w:val="0"/>
          <w:bdr w:val="none" w:sz="0" w:space="0" w:color="auto" w:frame="1"/>
        </w:rPr>
        <w:t>un 4,5% del PIB nacional</w:t>
      </w:r>
      <w:r w:rsidRPr="00A642E3">
        <w:rPr>
          <w:rFonts w:ascii="Open Sans" w:hAnsi="Open Sans" w:cs="Open Sans"/>
          <w:b/>
          <w:sz w:val="20"/>
          <w:szCs w:val="20"/>
          <w:shd w:val="clear" w:color="auto" w:fill="FFFFFF"/>
        </w:rPr>
        <w:t xml:space="preserve">. </w:t>
      </w:r>
      <w:r w:rsidRPr="00A642E3">
        <w:rPr>
          <w:rFonts w:ascii="Open Sans" w:hAnsi="Open Sans" w:cs="Open Sans"/>
          <w:sz w:val="20"/>
          <w:szCs w:val="20"/>
          <w:shd w:val="clear" w:color="auto" w:fill="FFFFFF"/>
        </w:rPr>
        <w:t>En términos globales, en el Índice de Percepción de la Corrupción de Transparencia Internacional (TI)</w:t>
      </w:r>
      <w:r w:rsidRPr="00A642E3">
        <w:rPr>
          <w:rStyle w:val="Refdenotaalpie"/>
          <w:rFonts w:ascii="Open Sans" w:hAnsi="Open Sans" w:cs="Open Sans"/>
          <w:sz w:val="20"/>
          <w:szCs w:val="20"/>
          <w:shd w:val="clear" w:color="auto" w:fill="FFFFFF"/>
        </w:rPr>
        <w:footnoteReference w:id="19"/>
      </w:r>
      <w:r w:rsidRPr="00A642E3">
        <w:rPr>
          <w:rFonts w:ascii="Open Sans" w:hAnsi="Open Sans" w:cs="Open Sans"/>
          <w:sz w:val="20"/>
          <w:szCs w:val="20"/>
          <w:shd w:val="clear" w:color="auto" w:fill="FFFFFF"/>
        </w:rPr>
        <w:t xml:space="preserve">, España obtiene una puntuación similar a la de 2014, situándose en el puesto 41 entre los 176 países analizados empeorando su posición en 2015 con respecto a 2014. </w:t>
      </w:r>
      <w:r w:rsidRPr="00A642E3">
        <w:rPr>
          <w:rFonts w:ascii="Open Sans" w:hAnsi="Open Sans" w:cs="Open Sans"/>
          <w:sz w:val="20"/>
          <w:szCs w:val="20"/>
        </w:rPr>
        <w:t xml:space="preserve">En cuanto a los casos de corrupción, el 2015 se inició con 150 casos de corrupción abiertos en los juzgados con más de 2000 imputados. El año ha continuado con la instrucción o apertura de juicio oral de procedimientos  con gran  repercusión mediática, como las ‘’tarjetas </w:t>
      </w:r>
      <w:r w:rsidRPr="00A642E3">
        <w:rPr>
          <w:rFonts w:ascii="Open Sans" w:hAnsi="Open Sans" w:cs="Open Sans"/>
          <w:i/>
          <w:sz w:val="20"/>
          <w:szCs w:val="20"/>
        </w:rPr>
        <w:t>black</w:t>
      </w:r>
      <w:r w:rsidRPr="00A642E3">
        <w:rPr>
          <w:rFonts w:ascii="Open Sans" w:hAnsi="Open Sans" w:cs="Open Sans"/>
          <w:sz w:val="20"/>
          <w:szCs w:val="20"/>
        </w:rPr>
        <w:t xml:space="preserve">’’, el ‘’caso Pujol’’ y la imputación de la Infanta Cristina por blanqueo y delito fiscal en el marco de la investigación del ‘’caso Noos’’. A estos se les une Púnica, la salida a bolsa de Bankia y un largo etcétera. </w:t>
      </w:r>
    </w:p>
    <w:p w14:paraId="67F28B5A" w14:textId="77777777" w:rsidR="00983E8F" w:rsidRPr="00A642E3" w:rsidRDefault="00983E8F" w:rsidP="00983E8F">
      <w:pPr>
        <w:jc w:val="both"/>
        <w:rPr>
          <w:rFonts w:ascii="Open Sans" w:hAnsi="Open Sans" w:cs="Open Sans"/>
          <w:sz w:val="20"/>
          <w:szCs w:val="20"/>
        </w:rPr>
      </w:pPr>
    </w:p>
    <w:p w14:paraId="5ED8F9CC"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Es interesante observar como en la práctica totalidad de los casos de corrupción la operativa se realiza a través de un paraíso fiscal, y también resulta sorprendente contrastar como territorios que han dejado de ser considerados como paraíso fiscal por parte de la legislación española y la OCDE por haber rubricado acuerdos de intercambio automático de información, dificultan la actuación de la justicia. Tal es el caso de la negativa de Suiza a facilitar a la justicia española información bancaria de sobre el extesorero del PP Luis Bárcenas y el cabecilla de la red, Francisco Correa, para acusarlos de fraude fiscal</w:t>
      </w:r>
      <w:r w:rsidRPr="00A642E3">
        <w:rPr>
          <w:rFonts w:ascii="Open Sans" w:hAnsi="Open Sans" w:cs="Open Sans"/>
          <w:sz w:val="20"/>
          <w:szCs w:val="20"/>
          <w:vertAlign w:val="superscript"/>
        </w:rPr>
        <w:footnoteReference w:id="20"/>
      </w:r>
      <w:r w:rsidRPr="00A642E3">
        <w:rPr>
          <w:rFonts w:ascii="Open Sans" w:hAnsi="Open Sans" w:cs="Open Sans"/>
          <w:sz w:val="20"/>
          <w:szCs w:val="20"/>
        </w:rPr>
        <w:t xml:space="preserve"> o la actitud de las autoridades andorranas en el controvertido “caso Pujol”</w:t>
      </w:r>
      <w:r w:rsidRPr="00A642E3">
        <w:rPr>
          <w:rFonts w:ascii="Open Sans" w:hAnsi="Open Sans" w:cs="Open Sans"/>
          <w:sz w:val="20"/>
          <w:szCs w:val="20"/>
          <w:vertAlign w:val="superscript"/>
        </w:rPr>
        <w:footnoteReference w:id="21"/>
      </w:r>
      <w:r w:rsidRPr="00A642E3">
        <w:rPr>
          <w:rFonts w:ascii="Open Sans" w:hAnsi="Open Sans" w:cs="Open Sans"/>
          <w:sz w:val="20"/>
          <w:szCs w:val="20"/>
        </w:rPr>
        <w:t xml:space="preserve">. </w:t>
      </w:r>
    </w:p>
    <w:p w14:paraId="44F3FBD9" w14:textId="77777777" w:rsidR="00983E8F" w:rsidRPr="00A642E3" w:rsidRDefault="00983E8F" w:rsidP="00983E8F">
      <w:pPr>
        <w:jc w:val="both"/>
        <w:rPr>
          <w:rFonts w:ascii="Open Sans" w:hAnsi="Open Sans" w:cs="Open Sans"/>
          <w:sz w:val="20"/>
          <w:szCs w:val="20"/>
        </w:rPr>
      </w:pPr>
    </w:p>
    <w:p w14:paraId="5F118D85" w14:textId="77777777" w:rsidR="00983E8F" w:rsidRDefault="00983E8F" w:rsidP="00983E8F">
      <w:pPr>
        <w:jc w:val="both"/>
        <w:rPr>
          <w:rFonts w:ascii="Open Sans" w:hAnsi="Open Sans" w:cs="Open Sans"/>
          <w:sz w:val="20"/>
          <w:szCs w:val="20"/>
        </w:rPr>
      </w:pPr>
      <w:r w:rsidRPr="00A642E3">
        <w:rPr>
          <w:rFonts w:ascii="Open Sans" w:hAnsi="Open Sans" w:cs="Open Sans"/>
          <w:sz w:val="20"/>
          <w:szCs w:val="20"/>
        </w:rPr>
        <w:t>La corrupción deteriora la imagen exterior del país y supone una sobrecarga de impuestos para las clases medias y bajas, incidiendo negativamente sobre los niveles de consumo, pobreza y desigualdad. Finalmente, cabe aludir al difícilmente cuantificable efecto de la desviación en cuanto a las prioridades de la inversión pública, en tanto que tienen un impacto sobre el desarrollo estructural del país. Casos emblemáticos como el rescate de las “Radiales” de la Comunidad de Madrid van más allá de la anécdota, pues implican un coste de oportunidad que incide sobre la futura capacidad de generación de riqueza.</w:t>
      </w:r>
    </w:p>
    <w:p w14:paraId="3F6F116A" w14:textId="77777777" w:rsidR="00983E8F" w:rsidRPr="00A642E3" w:rsidRDefault="00983E8F" w:rsidP="00983E8F">
      <w:pPr>
        <w:jc w:val="both"/>
        <w:rPr>
          <w:rFonts w:ascii="Open Sans" w:hAnsi="Open Sans" w:cs="Open Sans"/>
          <w:sz w:val="20"/>
          <w:szCs w:val="20"/>
        </w:rPr>
      </w:pPr>
    </w:p>
    <w:p w14:paraId="22FBF124"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Pese a los esfuerzos por parte de ciertos representantes políticos en el sentido de posicionar la corrupción como un fenómeno aislado, bajo la manida fórmula de las “manzanas podridas”, es evidente que la misma tiene un carácter estructural. Implica de manera especialmente relevante al sector bancario, colaborador necesario en los casos de “blanqueo” de dinero que conducen los ingresos al opaco circuito de los paraísos fiscales. En este sentido, es urgente plantear una mejora de los recursos disponibles por parte de la Agencia Tributaria, que permita realizar una supervisión más eficiente sobre el sector bancario. Este incremento de la capacidad operativa de la Agencia debe ir asociado a una intensificación de las relaciones de cooperación internacional en materia fiscal, implicando un marco regulatorio claro y una agenda de compromisos explícitos en cuanto al intercambio automático de información.</w:t>
      </w:r>
    </w:p>
    <w:p w14:paraId="365EBF8E" w14:textId="77777777" w:rsidR="00983E8F" w:rsidRPr="00A642E3" w:rsidRDefault="00983E8F" w:rsidP="00983E8F">
      <w:pPr>
        <w:autoSpaceDE w:val="0"/>
        <w:autoSpaceDN w:val="0"/>
        <w:adjustRightInd w:val="0"/>
        <w:jc w:val="both"/>
        <w:rPr>
          <w:rFonts w:ascii="Open Sans" w:hAnsi="Open Sans" w:cs="Open Sans"/>
          <w:sz w:val="20"/>
          <w:szCs w:val="20"/>
        </w:rPr>
      </w:pPr>
    </w:p>
    <w:p w14:paraId="051A028A" w14:textId="51E01E15" w:rsidR="00983E8F" w:rsidRPr="00A642E3" w:rsidRDefault="00983E8F" w:rsidP="00983E8F">
      <w:pPr>
        <w:rPr>
          <w:rFonts w:ascii="Open Sans" w:hAnsi="Open Sans" w:cs="Open Sans"/>
          <w:b/>
          <w:sz w:val="20"/>
          <w:szCs w:val="20"/>
        </w:rPr>
      </w:pPr>
      <w:r>
        <w:rPr>
          <w:rFonts w:ascii="Open Sans" w:hAnsi="Open Sans" w:cs="Open Sans"/>
          <w:b/>
          <w:sz w:val="20"/>
          <w:szCs w:val="20"/>
        </w:rPr>
        <w:br w:type="page"/>
      </w:r>
    </w:p>
    <w:p w14:paraId="2AC1E76E" w14:textId="77777777" w:rsidR="00983E8F" w:rsidRDefault="00983E8F" w:rsidP="00983E8F">
      <w:pPr>
        <w:jc w:val="both"/>
        <w:rPr>
          <w:rFonts w:ascii="Open Sans" w:hAnsi="Open Sans" w:cs="Open Sans"/>
          <w:b/>
          <w:sz w:val="22"/>
          <w:szCs w:val="22"/>
        </w:rPr>
      </w:pPr>
      <w:r>
        <w:rPr>
          <w:rFonts w:ascii="Open Sans" w:hAnsi="Open Sans" w:cs="Open Sans"/>
          <w:b/>
          <w:sz w:val="22"/>
          <w:szCs w:val="22"/>
        </w:rPr>
        <w:t>Tendencias a nivel de la UE</w:t>
      </w:r>
    </w:p>
    <w:p w14:paraId="78685AC5" w14:textId="77777777" w:rsidR="00983E8F" w:rsidRPr="00337159" w:rsidRDefault="00983E8F" w:rsidP="00983E8F">
      <w:pPr>
        <w:jc w:val="both"/>
        <w:rPr>
          <w:rFonts w:ascii="Open Sans" w:hAnsi="Open Sans" w:cs="Open Sans"/>
          <w:b/>
          <w:sz w:val="22"/>
          <w:szCs w:val="22"/>
        </w:rPr>
      </w:pPr>
    </w:p>
    <w:p w14:paraId="6BD81DBB"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A nivel europeo, el año estuvo marcado por incipientes procesos de regulación, en la línea de las recomendaciones del G20 y la OCDE, cuyo resultado en cuanto a implementación aún es incierto, ante la falta de un compromiso político decidido en la lucha contra la evasión y la elusión fiscal. </w:t>
      </w:r>
    </w:p>
    <w:p w14:paraId="5CF986AB" w14:textId="77777777" w:rsidR="00983E8F" w:rsidRPr="00A642E3" w:rsidRDefault="00983E8F" w:rsidP="00983E8F">
      <w:pPr>
        <w:jc w:val="both"/>
        <w:rPr>
          <w:rFonts w:ascii="Open Sans" w:hAnsi="Open Sans" w:cs="Open Sans"/>
          <w:sz w:val="20"/>
          <w:szCs w:val="20"/>
        </w:rPr>
      </w:pPr>
    </w:p>
    <w:p w14:paraId="6BB03226"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El escándalo </w:t>
      </w:r>
      <w:r w:rsidRPr="00A642E3">
        <w:rPr>
          <w:rFonts w:ascii="Open Sans" w:hAnsi="Open Sans" w:cs="Open Sans"/>
          <w:i/>
          <w:sz w:val="20"/>
          <w:szCs w:val="20"/>
        </w:rPr>
        <w:t>LuxLeaks</w:t>
      </w:r>
      <w:r w:rsidRPr="00A642E3">
        <w:rPr>
          <w:rFonts w:ascii="Open Sans" w:hAnsi="Open Sans" w:cs="Open Sans"/>
          <w:sz w:val="20"/>
          <w:szCs w:val="20"/>
        </w:rPr>
        <w:t xml:space="preserve">  sirvió para constatar el carácter generalizado de la evasión y la elusión de impuestos por parte de las grandes compañías multinacionales, a través de entramados societarios que involucran paraísos fiscales. A principios de 2015, la emergencia del caso </w:t>
      </w:r>
      <w:r w:rsidRPr="00A642E3">
        <w:rPr>
          <w:rFonts w:ascii="Open Sans" w:hAnsi="Open Sans" w:cs="Open Sans"/>
          <w:i/>
          <w:sz w:val="20"/>
          <w:szCs w:val="20"/>
        </w:rPr>
        <w:t>Swissleaks</w:t>
      </w:r>
      <w:r w:rsidRPr="00A642E3">
        <w:rPr>
          <w:rFonts w:ascii="Open Sans" w:hAnsi="Open Sans" w:cs="Open Sans"/>
          <w:sz w:val="20"/>
          <w:szCs w:val="20"/>
        </w:rPr>
        <w:t xml:space="preserve"> reforzó la hipótesis de que el entramado luxemburgués no se trataba ni mucho menos de un ente aislado. A consecuencia de caso </w:t>
      </w:r>
      <w:r w:rsidRPr="00A642E3">
        <w:rPr>
          <w:rFonts w:ascii="Open Sans" w:hAnsi="Open Sans" w:cs="Open Sans"/>
          <w:i/>
          <w:sz w:val="20"/>
          <w:szCs w:val="20"/>
        </w:rPr>
        <w:t>LuxLeaks,</w:t>
      </w:r>
      <w:r w:rsidRPr="00A642E3">
        <w:rPr>
          <w:rFonts w:ascii="Open Sans" w:hAnsi="Open Sans" w:cs="Open Sans"/>
          <w:sz w:val="20"/>
          <w:szCs w:val="20"/>
        </w:rPr>
        <w:t xml:space="preserve"> suscitó un intenso debate político la presencia del </w:t>
      </w:r>
      <w:r>
        <w:rPr>
          <w:rFonts w:ascii="Open Sans" w:hAnsi="Open Sans" w:cs="Open Sans"/>
          <w:sz w:val="20"/>
          <w:szCs w:val="20"/>
        </w:rPr>
        <w:t>ex</w:t>
      </w:r>
      <w:r w:rsidRPr="00A642E3">
        <w:rPr>
          <w:rFonts w:ascii="Open Sans" w:hAnsi="Open Sans" w:cs="Open Sans"/>
          <w:sz w:val="20"/>
          <w:szCs w:val="20"/>
        </w:rPr>
        <w:t>primer ministro luxemburgués Jean Claude Juncker como presidente de la Comisión Europea, dado su papel en el diseño del sistema fiscal de Luxemburgo. Sin embargo, las protestas no impidieron que continuara ejerciendo su cargo.</w:t>
      </w:r>
    </w:p>
    <w:p w14:paraId="6180C873" w14:textId="77777777" w:rsidR="00983E8F" w:rsidRPr="00A642E3" w:rsidRDefault="00983E8F" w:rsidP="00983E8F">
      <w:pPr>
        <w:jc w:val="both"/>
        <w:rPr>
          <w:rFonts w:ascii="Open Sans" w:hAnsi="Open Sans" w:cs="Open Sans"/>
          <w:sz w:val="20"/>
          <w:szCs w:val="20"/>
        </w:rPr>
      </w:pPr>
    </w:p>
    <w:p w14:paraId="2496CC4E" w14:textId="33A8ABF0" w:rsidR="00983E8F" w:rsidRPr="00A642E3" w:rsidRDefault="00983E8F" w:rsidP="00983E8F">
      <w:pPr>
        <w:jc w:val="both"/>
        <w:rPr>
          <w:rFonts w:ascii="Open Sans" w:hAnsi="Open Sans" w:cs="Open Sans"/>
          <w:sz w:val="20"/>
          <w:szCs w:val="20"/>
          <w:shd w:val="clear" w:color="auto" w:fill="FFFFFF"/>
        </w:rPr>
      </w:pPr>
      <w:r w:rsidRPr="00A642E3">
        <w:rPr>
          <w:rFonts w:ascii="Open Sans" w:hAnsi="Open Sans" w:cs="Open Sans"/>
          <w:sz w:val="20"/>
          <w:szCs w:val="20"/>
        </w:rPr>
        <w:t xml:space="preserve">En cuanto a los procesos de reforma, destaca la directiva sobre la fiscalidad del ahorro </w:t>
      </w:r>
      <w:r w:rsidRPr="00983E8F">
        <w:rPr>
          <w:rFonts w:ascii="Open Sans" w:hAnsi="Open Sans" w:cs="Open Sans"/>
          <w:b/>
          <w:sz w:val="20"/>
          <w:szCs w:val="20"/>
        </w:rPr>
        <w:t>(</w:t>
      </w:r>
      <w:r w:rsidRPr="00983E8F">
        <w:rPr>
          <w:rStyle w:val="Textoennegrita"/>
          <w:rFonts w:ascii="Open Sans" w:hAnsi="Open Sans" w:cs="Open Sans"/>
          <w:b w:val="0"/>
          <w:sz w:val="20"/>
          <w:szCs w:val="20"/>
          <w:shd w:val="clear" w:color="auto" w:fill="FFFFFF"/>
        </w:rPr>
        <w:t xml:space="preserve">Directiva 2014/48/UE del Consejo de 24 de marzo de </w:t>
      </w:r>
      <w:r w:rsidR="007F55EB" w:rsidRPr="00983E8F">
        <w:rPr>
          <w:rStyle w:val="Textoennegrita"/>
          <w:rFonts w:ascii="Open Sans" w:hAnsi="Open Sans" w:cs="Open Sans"/>
          <w:b w:val="0"/>
          <w:sz w:val="20"/>
          <w:szCs w:val="20"/>
          <w:shd w:val="clear" w:color="auto" w:fill="FFFFFF"/>
        </w:rPr>
        <w:t>2014</w:t>
      </w:r>
      <w:r w:rsidR="007F55EB" w:rsidRPr="00983E8F">
        <w:rPr>
          <w:rStyle w:val="apple-converted-space"/>
          <w:rFonts w:ascii="Open Sans" w:hAnsi="Open Sans" w:cs="Open Sans"/>
          <w:b/>
          <w:sz w:val="20"/>
          <w:szCs w:val="20"/>
          <w:shd w:val="clear" w:color="auto" w:fill="FFFFFF"/>
        </w:rPr>
        <w:t>)</w:t>
      </w:r>
      <w:r>
        <w:rPr>
          <w:rStyle w:val="apple-converted-space"/>
          <w:rFonts w:ascii="Open Sans" w:hAnsi="Open Sans" w:cs="Open Sans"/>
          <w:sz w:val="20"/>
          <w:szCs w:val="20"/>
          <w:shd w:val="clear" w:color="auto" w:fill="FFFFFF"/>
        </w:rPr>
        <w:t xml:space="preserve"> </w:t>
      </w:r>
      <w:r w:rsidRPr="00A642E3">
        <w:rPr>
          <w:rFonts w:ascii="Open Sans" w:hAnsi="Open Sans" w:cs="Open Sans"/>
          <w:sz w:val="20"/>
          <w:szCs w:val="20"/>
          <w:shd w:val="clear" w:color="auto" w:fill="FFFFFF"/>
        </w:rPr>
        <w:t>por la que se modifica la Directiva 2003/48/CE en materia de fiscalidad de los rendimientos del ahorro en forma de pago de interés). Esta Directiva surge de la necesidad de acabar con las lagunas detectadas respecto a la definición de conceptos como los de beneficiario efectivo, agente de pagos o instru</w:t>
      </w:r>
      <w:r>
        <w:rPr>
          <w:rFonts w:ascii="Open Sans" w:hAnsi="Open Sans" w:cs="Open Sans"/>
          <w:sz w:val="20"/>
          <w:szCs w:val="20"/>
          <w:shd w:val="clear" w:color="auto" w:fill="FFFFFF"/>
        </w:rPr>
        <w:t>mentos financieros equivalentes.</w:t>
      </w:r>
      <w:r w:rsidRPr="00A642E3">
        <w:rPr>
          <w:rStyle w:val="Refdenotaalpie"/>
          <w:rFonts w:ascii="Open Sans" w:hAnsi="Open Sans" w:cs="Open Sans"/>
          <w:sz w:val="20"/>
          <w:szCs w:val="20"/>
          <w:shd w:val="clear" w:color="auto" w:fill="FFFFFF"/>
        </w:rPr>
        <w:footnoteReference w:id="22"/>
      </w:r>
      <w:r>
        <w:rPr>
          <w:rFonts w:ascii="Open Sans" w:hAnsi="Open Sans" w:cs="Open Sans"/>
          <w:sz w:val="20"/>
          <w:szCs w:val="20"/>
          <w:shd w:val="clear" w:color="auto" w:fill="FFFFFF"/>
        </w:rPr>
        <w:t xml:space="preserve"> </w:t>
      </w:r>
      <w:r w:rsidRPr="00A642E3">
        <w:rPr>
          <w:rFonts w:ascii="Open Sans" w:hAnsi="Open Sans" w:cs="Open Sans"/>
          <w:sz w:val="20"/>
          <w:szCs w:val="20"/>
          <w:shd w:val="clear" w:color="auto" w:fill="FFFFFF"/>
        </w:rPr>
        <w:t>La nueva normativa incluye todos los rendimientos relevantes distribuidos o capitalizados por Instituciones de Inversión Colectiva, independientemente de su forma jurídica.</w:t>
      </w:r>
    </w:p>
    <w:p w14:paraId="48288EB9" w14:textId="77777777" w:rsidR="00983E8F" w:rsidRPr="00A642E3" w:rsidRDefault="00983E8F" w:rsidP="00983E8F">
      <w:pPr>
        <w:jc w:val="both"/>
        <w:rPr>
          <w:rFonts w:ascii="Open Sans" w:hAnsi="Open Sans" w:cs="Open Sans"/>
          <w:sz w:val="20"/>
          <w:szCs w:val="20"/>
          <w:shd w:val="clear" w:color="auto" w:fill="FFFFFF"/>
        </w:rPr>
      </w:pPr>
    </w:p>
    <w:p w14:paraId="56F8267F" w14:textId="77777777" w:rsidR="00983E8F" w:rsidRPr="00A642E3" w:rsidRDefault="00983E8F" w:rsidP="00983E8F">
      <w:pPr>
        <w:jc w:val="both"/>
        <w:rPr>
          <w:rFonts w:ascii="Open Sans" w:hAnsi="Open Sans" w:cs="Open Sans"/>
          <w:sz w:val="20"/>
          <w:szCs w:val="20"/>
          <w:shd w:val="clear" w:color="auto" w:fill="FFFFFF"/>
        </w:rPr>
      </w:pPr>
      <w:r w:rsidRPr="00A642E3">
        <w:rPr>
          <w:rFonts w:ascii="Open Sans" w:hAnsi="Open Sans" w:cs="Open Sans"/>
          <w:sz w:val="20"/>
          <w:szCs w:val="20"/>
        </w:rPr>
        <w:t xml:space="preserve">En segundo lugar, la modificación de la Directiva Matriz-Filial en julio de 2014. </w:t>
      </w:r>
      <w:r w:rsidRPr="00A642E3">
        <w:rPr>
          <w:rFonts w:ascii="Open Sans" w:hAnsi="Open Sans" w:cs="Open Sans"/>
          <w:sz w:val="20"/>
          <w:szCs w:val="20"/>
          <w:shd w:val="clear" w:color="auto" w:fill="FFFFFF"/>
        </w:rPr>
        <w:t xml:space="preserve">La directiva matriz-filial surge con el objetivo fundamental de evitar la doble imposición de las empresas del mismo grupo basadas en diferentes Estados de la UE. </w:t>
      </w:r>
      <w:r w:rsidRPr="00A642E3">
        <w:rPr>
          <w:rFonts w:ascii="Open Sans" w:hAnsi="Open Sans" w:cs="Open Sans"/>
          <w:sz w:val="20"/>
          <w:szCs w:val="20"/>
        </w:rPr>
        <w:t xml:space="preserve"> El Consejo de la UE emite la Directiva 2014/86/UE</w:t>
      </w:r>
      <w:r w:rsidRPr="00A642E3">
        <w:rPr>
          <w:rStyle w:val="Refdenotaalpie"/>
          <w:rFonts w:ascii="Open Sans" w:hAnsi="Open Sans" w:cs="Open Sans"/>
          <w:sz w:val="20"/>
          <w:szCs w:val="20"/>
        </w:rPr>
        <w:footnoteReference w:id="23"/>
      </w:r>
      <w:r w:rsidRPr="00A642E3">
        <w:rPr>
          <w:rFonts w:ascii="Open Sans" w:hAnsi="Open Sans" w:cs="Open Sans"/>
          <w:sz w:val="20"/>
          <w:szCs w:val="20"/>
        </w:rPr>
        <w:t xml:space="preserve">, por la que se modifica la Directiva 2011/96/UE del Consejo, de 30 de noviembre de 2011. </w:t>
      </w:r>
      <w:r w:rsidRPr="00A642E3">
        <w:rPr>
          <w:rFonts w:ascii="Open Sans" w:hAnsi="Open Sans" w:cs="Open Sans"/>
          <w:sz w:val="20"/>
          <w:szCs w:val="20"/>
          <w:shd w:val="clear" w:color="auto" w:fill="FFFFFF"/>
        </w:rPr>
        <w:t>La reforma trata de evitar algunos malos usos de la normativa original, en concreto, la utilización de las diferencias entre las legislaciones tributarias de los Estados miembros, para canalizar los beneficios evitando el pago de impuestos. La reforma proyectada permitirá a los Estados gravar de manera más realista la actividad de las empresas.</w:t>
      </w:r>
      <w:r w:rsidRPr="00A642E3">
        <w:rPr>
          <w:rStyle w:val="Refdenotaalpie"/>
          <w:rFonts w:ascii="Open Sans" w:hAnsi="Open Sans" w:cs="Open Sans"/>
          <w:sz w:val="20"/>
          <w:szCs w:val="20"/>
          <w:shd w:val="clear" w:color="auto" w:fill="FFFFFF"/>
        </w:rPr>
        <w:footnoteReference w:id="24"/>
      </w:r>
    </w:p>
    <w:p w14:paraId="08E9C76F" w14:textId="77777777" w:rsidR="00983E8F" w:rsidRPr="00A642E3" w:rsidRDefault="00983E8F" w:rsidP="00983E8F">
      <w:pPr>
        <w:jc w:val="both"/>
        <w:rPr>
          <w:rFonts w:ascii="Open Sans" w:hAnsi="Open Sans" w:cs="Open Sans"/>
          <w:sz w:val="20"/>
          <w:szCs w:val="20"/>
        </w:rPr>
      </w:pPr>
    </w:p>
    <w:p w14:paraId="0B949304"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En noviembre de 2014 se discute la inclusión de una nueva cláusula antiabuso. </w:t>
      </w:r>
      <w:r w:rsidRPr="00A642E3">
        <w:rPr>
          <w:rFonts w:ascii="Open Sans" w:hAnsi="Open Sans" w:cs="Open Sans"/>
          <w:sz w:val="20"/>
          <w:szCs w:val="20"/>
          <w:shd w:val="clear" w:color="auto" w:fill="FFFFFF"/>
        </w:rPr>
        <w:t>La Directiva de modificación ya ha entrado en vigor y los Estados miembros deben transponer sus disposiciones a la legislación nacional antes del 31 de diciembre de 2015.</w:t>
      </w:r>
      <w:r w:rsidRPr="00A642E3">
        <w:rPr>
          <w:rFonts w:ascii="Open Sans" w:hAnsi="Open Sans" w:cs="Open Sans"/>
          <w:sz w:val="20"/>
          <w:szCs w:val="20"/>
        </w:rPr>
        <w:t xml:space="preserve"> Sin embargo, esta cláusula, con su amplia definición, suscita dudas en cuanto a la capacidad para para obligar a su cumplimiento. El alcance de esta disposición dependerá en gran medida de la interpretación que hagan los tribunales nacionales y, en última instancia, el Tribunal de Justicia de la Unión Europea. </w:t>
      </w:r>
    </w:p>
    <w:p w14:paraId="5DD8C1F0" w14:textId="77777777" w:rsidR="00983E8F" w:rsidRPr="00A642E3" w:rsidRDefault="00983E8F" w:rsidP="00983E8F">
      <w:pPr>
        <w:jc w:val="both"/>
        <w:rPr>
          <w:rFonts w:ascii="Open Sans" w:hAnsi="Open Sans" w:cs="Open Sans"/>
          <w:sz w:val="20"/>
          <w:szCs w:val="20"/>
        </w:rPr>
      </w:pPr>
    </w:p>
    <w:p w14:paraId="5F950AF2"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La modificación operada en la Directiva 2013/34/UE, a través de la Directiva 2014/95, obligará a las grandes empresas a incluir en el informe de gestión un estado no financiero con información necesaria para comprender la evolución de los negocios, los resultados, la situación de la empresa y el impacto medioambiental y social de sus actividades.</w:t>
      </w:r>
    </w:p>
    <w:p w14:paraId="73D1E24B" w14:textId="77777777" w:rsidR="00983E8F" w:rsidRPr="00A642E3" w:rsidRDefault="00983E8F" w:rsidP="00983E8F">
      <w:pPr>
        <w:jc w:val="both"/>
        <w:rPr>
          <w:rFonts w:ascii="Open Sans" w:hAnsi="Open Sans" w:cs="Open Sans"/>
          <w:sz w:val="20"/>
          <w:szCs w:val="20"/>
        </w:rPr>
      </w:pPr>
    </w:p>
    <w:p w14:paraId="55E3452A" w14:textId="77777777" w:rsidR="00983E8F" w:rsidRPr="00A642E3" w:rsidRDefault="00983E8F" w:rsidP="00983E8F">
      <w:pPr>
        <w:pStyle w:val="Sinespaciado"/>
        <w:jc w:val="both"/>
        <w:rPr>
          <w:rFonts w:ascii="Open Sans" w:hAnsi="Open Sans" w:cs="Open Sans"/>
          <w:sz w:val="20"/>
          <w:szCs w:val="20"/>
        </w:rPr>
      </w:pPr>
      <w:r w:rsidRPr="00A642E3">
        <w:rPr>
          <w:rFonts w:ascii="Open Sans" w:hAnsi="Open Sans" w:cs="Open Sans"/>
          <w:sz w:val="20"/>
          <w:szCs w:val="20"/>
        </w:rPr>
        <w:t>En lo referente a la Base Imponible Común Consolidada del Impuesto sobre Sociedades (BICCIS) en 2015 no registraron avances significativos y se pusieron en evidencia la discrepancia entre los Estados. En 2016 se ha reactivado el proceso de BICCIS</w:t>
      </w:r>
      <w:r>
        <w:rPr>
          <w:rFonts w:ascii="Open Sans" w:hAnsi="Open Sans" w:cs="Open Sans"/>
          <w:sz w:val="20"/>
          <w:szCs w:val="20"/>
        </w:rPr>
        <w:t>.</w:t>
      </w:r>
      <w:r w:rsidRPr="00A642E3">
        <w:rPr>
          <w:rFonts w:ascii="Open Sans" w:hAnsi="Open Sans" w:cs="Open Sans"/>
          <w:sz w:val="20"/>
          <w:szCs w:val="20"/>
        </w:rPr>
        <w:t xml:space="preserve"> </w:t>
      </w:r>
      <w:r w:rsidRPr="00471D96">
        <w:rPr>
          <w:rStyle w:val="Refdenotaalpie"/>
          <w:rFonts w:ascii="Open Sans" w:hAnsi="Open Sans" w:cs="Open Sans"/>
          <w:sz w:val="20"/>
          <w:szCs w:val="20"/>
        </w:rPr>
        <w:footnoteReference w:id="25"/>
      </w:r>
    </w:p>
    <w:p w14:paraId="0AE14815" w14:textId="77777777" w:rsidR="00983E8F" w:rsidRPr="00A642E3" w:rsidRDefault="00983E8F" w:rsidP="00983E8F">
      <w:pPr>
        <w:jc w:val="both"/>
        <w:rPr>
          <w:rFonts w:ascii="Open Sans" w:hAnsi="Open Sans" w:cs="Open Sans"/>
          <w:sz w:val="20"/>
          <w:szCs w:val="20"/>
        </w:rPr>
      </w:pPr>
    </w:p>
    <w:p w14:paraId="7F970FB6"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La IV Directiva Europea Anti-Blanqueo de Capitales implicó un proceso de negociación que finalizó con el compromiso de emisión de nueva Directiva en el mes de diciembre, la cual vería la luz el 20 de mayo de 2015, con un periodo de transposición a las normativas nacionales que se extiende hasta el 26 de junio de 2017. En este caso, el Parlamento Europeo tomó la iniciativa, siendo el impulsor de medidas como los informes país o país, los registros centralizados y el acceso público a los mismos</w:t>
      </w:r>
      <w:r w:rsidRPr="00A642E3">
        <w:rPr>
          <w:rStyle w:val="Refdenotaalpie"/>
          <w:rFonts w:ascii="Open Sans" w:hAnsi="Open Sans" w:cs="Open Sans"/>
          <w:sz w:val="20"/>
          <w:szCs w:val="20"/>
        </w:rPr>
        <w:footnoteReference w:id="26"/>
      </w:r>
      <w:r w:rsidRPr="00A642E3">
        <w:rPr>
          <w:rFonts w:ascii="Open Sans" w:hAnsi="Open Sans" w:cs="Open Sans"/>
          <w:sz w:val="20"/>
          <w:szCs w:val="20"/>
        </w:rPr>
        <w:t xml:space="preserve">. Sin embargo, su capacidad legislativa es limitada, por lo que su actividad en este sentida acaba resultado en recomendaciones no vinculantes. </w:t>
      </w:r>
    </w:p>
    <w:p w14:paraId="6142C143" w14:textId="77777777" w:rsidR="00983E8F" w:rsidRPr="00A642E3" w:rsidRDefault="00983E8F" w:rsidP="00983E8F">
      <w:pPr>
        <w:jc w:val="both"/>
        <w:rPr>
          <w:rFonts w:ascii="Open Sans" w:hAnsi="Open Sans" w:cs="Open Sans"/>
          <w:sz w:val="20"/>
          <w:szCs w:val="20"/>
        </w:rPr>
      </w:pPr>
    </w:p>
    <w:p w14:paraId="58FD02D3" w14:textId="77777777" w:rsidR="00983E8F" w:rsidRPr="00A642E3" w:rsidRDefault="00983E8F" w:rsidP="00983E8F">
      <w:pPr>
        <w:jc w:val="both"/>
        <w:textAlignment w:val="baseline"/>
        <w:rPr>
          <w:rFonts w:ascii="Open Sans" w:hAnsi="Open Sans" w:cs="Open Sans"/>
          <w:sz w:val="20"/>
          <w:szCs w:val="20"/>
        </w:rPr>
      </w:pPr>
      <w:r w:rsidRPr="00A642E3">
        <w:rPr>
          <w:rFonts w:ascii="Open Sans" w:hAnsi="Open Sans" w:cs="Open Sans"/>
          <w:color w:val="1A1816"/>
          <w:sz w:val="20"/>
          <w:szCs w:val="20"/>
        </w:rPr>
        <w:t>L</w:t>
      </w:r>
      <w:r w:rsidRPr="00A642E3">
        <w:rPr>
          <w:rFonts w:ascii="Open Sans" w:hAnsi="Open Sans" w:cs="Open Sans"/>
          <w:sz w:val="20"/>
          <w:szCs w:val="20"/>
        </w:rPr>
        <w:t>a Comisión Europea diseñó durante el 2015 un conjunto de medidas para crear un marco fiscal equilibrado en la UE, que anunció en enero de 2016. Entre ellas, una propuesta de Directiva contra la elusión fiscal que trata de combatir la planificación y elevar la transparencia de las empresas que operan en el viejo continente. La norma impone un máximo de deducción de los interés de la deuda en los Estados miembros (no pueden superar el 30% del EBITDA o el millón de euros), que el traslado de activos a otro país esté sujeto a tributación, una cláusula de inversión (los Estados no podrán eximir a los contribuyentes por ingresos o rentas generados en un tercero) y la obligación de divulgar los impuestos pagados en cada país y las subvenciones recibidas.</w:t>
      </w:r>
    </w:p>
    <w:p w14:paraId="7D625089" w14:textId="77777777" w:rsidR="00983E8F" w:rsidRPr="00A642E3" w:rsidRDefault="00983E8F" w:rsidP="00983E8F">
      <w:pPr>
        <w:jc w:val="both"/>
        <w:rPr>
          <w:rFonts w:ascii="Open Sans" w:hAnsi="Open Sans" w:cs="Open Sans"/>
          <w:sz w:val="20"/>
          <w:szCs w:val="20"/>
        </w:rPr>
      </w:pPr>
    </w:p>
    <w:p w14:paraId="3FB88996" w14:textId="77777777" w:rsidR="00983E8F" w:rsidRPr="00A642E3" w:rsidRDefault="00983E8F" w:rsidP="00983E8F">
      <w:pPr>
        <w:shd w:val="clear" w:color="auto" w:fill="FFFFFF"/>
        <w:jc w:val="both"/>
        <w:rPr>
          <w:rFonts w:ascii="Open Sans" w:hAnsi="Open Sans" w:cs="Open Sans"/>
          <w:sz w:val="20"/>
          <w:szCs w:val="20"/>
        </w:rPr>
      </w:pPr>
      <w:r w:rsidRPr="00A642E3">
        <w:rPr>
          <w:rFonts w:ascii="Open Sans" w:hAnsi="Open Sans" w:cs="Open Sans"/>
          <w:sz w:val="20"/>
          <w:szCs w:val="20"/>
        </w:rPr>
        <w:t>La Directiva sobre requerimientos de capital de entidades de créditos  (adaptada a la legislación española mediante Ley 10/2014, de 26 de junio, de ordenación, supervisión y solvencia de las entidades de crédito) establece que las entidades de crédito deben publicar anualmente, como anexo de sus estados financieros auditados, y remitir al Banco Central de país miembro el denominado "Informe bancario anual". Por su parte, los órganos supervisores nacionales deben mantener disponibles estos informes en su página de internet.</w:t>
      </w:r>
    </w:p>
    <w:p w14:paraId="25831609" w14:textId="77777777" w:rsidR="00983E8F" w:rsidRPr="00A642E3" w:rsidRDefault="00983E8F" w:rsidP="00983E8F">
      <w:pPr>
        <w:shd w:val="clear" w:color="auto" w:fill="FFFFFF"/>
        <w:spacing w:before="120" w:after="120"/>
        <w:jc w:val="both"/>
        <w:rPr>
          <w:rFonts w:ascii="Open Sans" w:hAnsi="Open Sans" w:cs="Open Sans"/>
          <w:sz w:val="20"/>
          <w:szCs w:val="20"/>
        </w:rPr>
      </w:pPr>
      <w:r w:rsidRPr="00A642E3">
        <w:rPr>
          <w:rFonts w:ascii="Open Sans" w:hAnsi="Open Sans" w:cs="Open Sans"/>
          <w:sz w:val="20"/>
          <w:szCs w:val="20"/>
        </w:rPr>
        <w:t>Este informe ofrece, en base consolidada y con detalle por países, la siguiente información:</w:t>
      </w:r>
    </w:p>
    <w:p w14:paraId="30F1293E" w14:textId="77777777" w:rsidR="00983E8F" w:rsidRPr="00A642E3" w:rsidRDefault="00983E8F" w:rsidP="00983E8F">
      <w:pPr>
        <w:numPr>
          <w:ilvl w:val="0"/>
          <w:numId w:val="118"/>
        </w:numPr>
        <w:shd w:val="clear" w:color="auto" w:fill="FFFFFF"/>
        <w:spacing w:before="240" w:after="240"/>
        <w:ind w:left="567" w:firstLine="0"/>
        <w:contextualSpacing/>
        <w:jc w:val="both"/>
        <w:rPr>
          <w:rFonts w:ascii="Open Sans" w:hAnsi="Open Sans" w:cs="Open Sans"/>
          <w:sz w:val="20"/>
          <w:szCs w:val="20"/>
        </w:rPr>
      </w:pPr>
      <w:r w:rsidRPr="00A642E3">
        <w:rPr>
          <w:rFonts w:ascii="Open Sans" w:hAnsi="Open Sans" w:cs="Open Sans"/>
          <w:sz w:val="20"/>
          <w:szCs w:val="20"/>
        </w:rPr>
        <w:t>Denominación, naturaleza y ubicación geográfica de la actividad.</w:t>
      </w:r>
    </w:p>
    <w:p w14:paraId="2EC7FE6D" w14:textId="77777777" w:rsidR="00983E8F" w:rsidRPr="00A642E3" w:rsidRDefault="00983E8F" w:rsidP="00983E8F">
      <w:pPr>
        <w:numPr>
          <w:ilvl w:val="0"/>
          <w:numId w:val="118"/>
        </w:numPr>
        <w:shd w:val="clear" w:color="auto" w:fill="FFFFFF"/>
        <w:ind w:left="567" w:firstLine="0"/>
        <w:contextualSpacing/>
        <w:jc w:val="both"/>
        <w:rPr>
          <w:rFonts w:ascii="Open Sans" w:hAnsi="Open Sans" w:cs="Open Sans"/>
          <w:sz w:val="20"/>
          <w:szCs w:val="20"/>
        </w:rPr>
      </w:pPr>
      <w:r w:rsidRPr="00A642E3">
        <w:rPr>
          <w:rFonts w:ascii="Open Sans" w:hAnsi="Open Sans" w:cs="Open Sans"/>
          <w:sz w:val="20"/>
          <w:szCs w:val="20"/>
        </w:rPr>
        <w:t>Volumen de negocio.</w:t>
      </w:r>
    </w:p>
    <w:p w14:paraId="49785957" w14:textId="77777777" w:rsidR="00983E8F" w:rsidRPr="00A642E3" w:rsidRDefault="00983E8F" w:rsidP="00983E8F">
      <w:pPr>
        <w:numPr>
          <w:ilvl w:val="0"/>
          <w:numId w:val="118"/>
        </w:numPr>
        <w:shd w:val="clear" w:color="auto" w:fill="FFFFFF"/>
        <w:ind w:left="567" w:firstLine="0"/>
        <w:contextualSpacing/>
        <w:jc w:val="both"/>
        <w:rPr>
          <w:rFonts w:ascii="Open Sans" w:hAnsi="Open Sans" w:cs="Open Sans"/>
          <w:sz w:val="20"/>
          <w:szCs w:val="20"/>
        </w:rPr>
      </w:pPr>
      <w:r w:rsidRPr="00A642E3">
        <w:rPr>
          <w:rFonts w:ascii="Open Sans" w:hAnsi="Open Sans" w:cs="Open Sans"/>
          <w:sz w:val="20"/>
          <w:szCs w:val="20"/>
        </w:rPr>
        <w:t>Número de empleados a tiempo completo.</w:t>
      </w:r>
    </w:p>
    <w:p w14:paraId="29082BDC" w14:textId="77777777" w:rsidR="00983E8F" w:rsidRPr="00A642E3" w:rsidRDefault="00983E8F" w:rsidP="00983E8F">
      <w:pPr>
        <w:numPr>
          <w:ilvl w:val="0"/>
          <w:numId w:val="118"/>
        </w:numPr>
        <w:shd w:val="clear" w:color="auto" w:fill="FFFFFF"/>
        <w:ind w:left="567" w:firstLine="0"/>
        <w:contextualSpacing/>
        <w:jc w:val="both"/>
        <w:rPr>
          <w:rFonts w:ascii="Open Sans" w:hAnsi="Open Sans" w:cs="Open Sans"/>
          <w:sz w:val="20"/>
          <w:szCs w:val="20"/>
        </w:rPr>
      </w:pPr>
      <w:r w:rsidRPr="00A642E3">
        <w:rPr>
          <w:rFonts w:ascii="Open Sans" w:hAnsi="Open Sans" w:cs="Open Sans"/>
          <w:sz w:val="20"/>
          <w:szCs w:val="20"/>
        </w:rPr>
        <w:t>Resultado bruto antes de impuestos.</w:t>
      </w:r>
    </w:p>
    <w:p w14:paraId="398754D0" w14:textId="77777777" w:rsidR="00983E8F" w:rsidRPr="00A642E3" w:rsidRDefault="00983E8F" w:rsidP="00983E8F">
      <w:pPr>
        <w:numPr>
          <w:ilvl w:val="0"/>
          <w:numId w:val="118"/>
        </w:numPr>
        <w:shd w:val="clear" w:color="auto" w:fill="FFFFFF"/>
        <w:ind w:left="567" w:firstLine="0"/>
        <w:contextualSpacing/>
        <w:jc w:val="both"/>
        <w:rPr>
          <w:rFonts w:ascii="Open Sans" w:hAnsi="Open Sans" w:cs="Open Sans"/>
          <w:sz w:val="20"/>
          <w:szCs w:val="20"/>
        </w:rPr>
      </w:pPr>
      <w:r w:rsidRPr="00A642E3">
        <w:rPr>
          <w:rFonts w:ascii="Open Sans" w:hAnsi="Open Sans" w:cs="Open Sans"/>
          <w:sz w:val="20"/>
          <w:szCs w:val="20"/>
        </w:rPr>
        <w:t>Impuestos sobre el resultado.</w:t>
      </w:r>
    </w:p>
    <w:p w14:paraId="17CD8AC1" w14:textId="77777777" w:rsidR="00983E8F" w:rsidRPr="00A642E3" w:rsidRDefault="00983E8F" w:rsidP="00983E8F">
      <w:pPr>
        <w:numPr>
          <w:ilvl w:val="0"/>
          <w:numId w:val="118"/>
        </w:numPr>
        <w:shd w:val="clear" w:color="auto" w:fill="FFFFFF"/>
        <w:ind w:left="567" w:firstLine="0"/>
        <w:contextualSpacing/>
        <w:jc w:val="both"/>
        <w:rPr>
          <w:rFonts w:ascii="Open Sans" w:hAnsi="Open Sans" w:cs="Open Sans"/>
          <w:sz w:val="20"/>
          <w:szCs w:val="20"/>
        </w:rPr>
      </w:pPr>
      <w:r w:rsidRPr="00A642E3">
        <w:rPr>
          <w:rFonts w:ascii="Open Sans" w:hAnsi="Open Sans" w:cs="Open Sans"/>
          <w:sz w:val="20"/>
          <w:szCs w:val="20"/>
        </w:rPr>
        <w:t>Subvenciones o ayudas públicas recibidas.</w:t>
      </w:r>
    </w:p>
    <w:p w14:paraId="4350C3C3" w14:textId="77777777" w:rsidR="00983E8F" w:rsidRPr="00A642E3" w:rsidRDefault="00983E8F" w:rsidP="00983E8F">
      <w:pPr>
        <w:jc w:val="both"/>
        <w:rPr>
          <w:rFonts w:ascii="Open Sans" w:hAnsi="Open Sans" w:cs="Open Sans"/>
          <w:sz w:val="20"/>
          <w:szCs w:val="20"/>
        </w:rPr>
      </w:pPr>
    </w:p>
    <w:p w14:paraId="0C72EBC8" w14:textId="77777777" w:rsidR="00983E8F" w:rsidRDefault="00983E8F" w:rsidP="00983E8F">
      <w:pPr>
        <w:jc w:val="both"/>
        <w:rPr>
          <w:rFonts w:ascii="Open Sans" w:hAnsi="Open Sans" w:cs="Open Sans"/>
          <w:sz w:val="20"/>
          <w:szCs w:val="20"/>
        </w:rPr>
      </w:pPr>
      <w:r w:rsidRPr="00A642E3">
        <w:rPr>
          <w:rFonts w:ascii="Open Sans" w:hAnsi="Open Sans" w:cs="Open Sans"/>
          <w:sz w:val="20"/>
          <w:szCs w:val="20"/>
        </w:rPr>
        <w:t>A nivel europeo, se han multiplicado las iniciativas ciudadanas demandando la inclusión de criterios de responsabilidad fiscal en la contratación pública. Prueba de ello es la presencia de compromisos electorales de este tipo en las fuerzas políticas municipales emergidas a lo largo de los últimos años en España</w:t>
      </w:r>
      <w:r w:rsidRPr="00A642E3">
        <w:rPr>
          <w:rStyle w:val="Refdenotaalpie"/>
          <w:rFonts w:ascii="Open Sans" w:hAnsi="Open Sans" w:cs="Open Sans"/>
          <w:sz w:val="20"/>
          <w:szCs w:val="20"/>
        </w:rPr>
        <w:footnoteReference w:id="27"/>
      </w:r>
      <w:r w:rsidRPr="00A642E3">
        <w:rPr>
          <w:rFonts w:ascii="Open Sans" w:hAnsi="Open Sans" w:cs="Open Sans"/>
          <w:sz w:val="20"/>
          <w:szCs w:val="20"/>
        </w:rPr>
        <w:t xml:space="preserve">. El debate conceptual  en torno a la inclusión de cláusulas de responsabilidad fiscal se encuentra en una fase activa, sin embargo, los resultados prácticos de este proceso son aún limitados en términos geográficos y de alcance efectivo.  Sobresale la iniciativa </w:t>
      </w:r>
      <w:r w:rsidRPr="00A642E3">
        <w:rPr>
          <w:rFonts w:ascii="Open Sans" w:hAnsi="Open Sans" w:cs="Open Sans"/>
          <w:i/>
          <w:sz w:val="20"/>
          <w:szCs w:val="20"/>
        </w:rPr>
        <w:t>Tax Haven Free Cities</w:t>
      </w:r>
      <w:r w:rsidRPr="00A642E3">
        <w:rPr>
          <w:rStyle w:val="Refdenotaalpie"/>
          <w:rFonts w:ascii="Open Sans" w:hAnsi="Open Sans" w:cs="Open Sans"/>
          <w:i/>
          <w:sz w:val="20"/>
          <w:szCs w:val="20"/>
        </w:rPr>
        <w:footnoteReference w:id="28"/>
      </w:r>
      <w:r w:rsidRPr="00A642E3">
        <w:rPr>
          <w:rFonts w:ascii="Open Sans" w:hAnsi="Open Sans" w:cs="Open Sans"/>
          <w:i/>
          <w:sz w:val="20"/>
          <w:szCs w:val="20"/>
        </w:rPr>
        <w:t xml:space="preserve">, </w:t>
      </w:r>
      <w:r w:rsidRPr="00A642E3">
        <w:rPr>
          <w:rFonts w:ascii="Open Sans" w:hAnsi="Open Sans" w:cs="Open Sans"/>
          <w:sz w:val="20"/>
          <w:szCs w:val="20"/>
        </w:rPr>
        <w:t>que cuenta hasta la fecha con la participación de gobiernos locales y municipales de seis países. La carta de adhesión enfatiza el perjuicio económico y social causado por los paraísos fiscales, así como los compromisos ex</w:t>
      </w:r>
      <w:r>
        <w:rPr>
          <w:rFonts w:ascii="Open Sans" w:hAnsi="Open Sans" w:cs="Open Sans"/>
          <w:sz w:val="20"/>
          <w:szCs w:val="20"/>
        </w:rPr>
        <w:t>plícitos para su no utilización.</w:t>
      </w:r>
      <w:r w:rsidRPr="00A642E3">
        <w:rPr>
          <w:rFonts w:ascii="Open Sans" w:hAnsi="Open Sans" w:cs="Open Sans"/>
          <w:sz w:val="20"/>
          <w:szCs w:val="20"/>
        </w:rPr>
        <w:t xml:space="preserve"> </w:t>
      </w:r>
    </w:p>
    <w:p w14:paraId="2FCC0643" w14:textId="77777777" w:rsidR="00983E8F" w:rsidRPr="00A642E3" w:rsidRDefault="00983E8F" w:rsidP="00983E8F">
      <w:pPr>
        <w:jc w:val="both"/>
        <w:rPr>
          <w:rFonts w:ascii="Open Sans" w:hAnsi="Open Sans" w:cs="Open Sans"/>
          <w:sz w:val="20"/>
          <w:szCs w:val="20"/>
        </w:rPr>
      </w:pPr>
    </w:p>
    <w:p w14:paraId="4119116E" w14:textId="77777777" w:rsidR="00983E8F" w:rsidRPr="00A642E3" w:rsidRDefault="00983E8F" w:rsidP="00983E8F">
      <w:pPr>
        <w:pStyle w:val="NormalWeb"/>
        <w:shd w:val="clear" w:color="auto" w:fill="FFFFFF"/>
        <w:spacing w:after="360"/>
        <w:jc w:val="both"/>
        <w:rPr>
          <w:rFonts w:ascii="Open Sans" w:hAnsi="Open Sans" w:cs="Open Sans"/>
          <w:color w:val="141412"/>
          <w:sz w:val="20"/>
          <w:szCs w:val="20"/>
        </w:rPr>
      </w:pPr>
      <w:r w:rsidRPr="00A642E3">
        <w:rPr>
          <w:rFonts w:ascii="Open Sans" w:hAnsi="Open Sans" w:cs="Open Sans"/>
          <w:color w:val="000000"/>
          <w:sz w:val="20"/>
          <w:szCs w:val="20"/>
        </w:rPr>
        <w:t>Los gobiernos locales que exigen a los participantes en la contratación pública la “no utilización” de paraísos fiscales, creen que esa exigencia está en consonancia con la intención de la ley de preservar la ética de los negocios, la transparencia y la igualdad de trato. Las empresas que utilizan los paraísos fiscales con el fin de evitar el pago íntegro de sus impuestos pueden presentar ofertas más bajas, lo que es contrario al principio de que todos los proveedores deben tener igualdad de oportunidades (...) y crea una distorsión en el mercado.</w:t>
      </w:r>
    </w:p>
    <w:p w14:paraId="79BE81AC"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Francia es el país sobre el que existe más información disponible en el sitio web de la plataforma </w:t>
      </w:r>
      <w:r w:rsidRPr="00A642E3">
        <w:rPr>
          <w:rFonts w:ascii="Open Sans" w:hAnsi="Open Sans" w:cs="Open Sans"/>
          <w:i/>
          <w:sz w:val="20"/>
          <w:szCs w:val="20"/>
        </w:rPr>
        <w:t>Tax Haven Free Cities,</w:t>
      </w:r>
      <w:r w:rsidRPr="00A642E3">
        <w:rPr>
          <w:rFonts w:ascii="Open Sans" w:hAnsi="Open Sans" w:cs="Open Sans"/>
          <w:sz w:val="20"/>
          <w:szCs w:val="20"/>
        </w:rPr>
        <w:t xml:space="preserve"> que incluye también municipios y gobiernos locales del Reino Unido, Suecia, Finlandia, Noruega y España. En el caso de Francia, 10 gobiernos regionales y 11 gobiernos municipales muestran un alto grado de adhesión a los principios de lucha contra los paraísos fiscales aludidos en la declaración</w:t>
      </w:r>
      <w:r w:rsidRPr="00A642E3">
        <w:rPr>
          <w:rStyle w:val="Refdenotaalpie"/>
          <w:rFonts w:ascii="Open Sans" w:hAnsi="Open Sans" w:cs="Open Sans"/>
          <w:sz w:val="20"/>
          <w:szCs w:val="20"/>
        </w:rPr>
        <w:footnoteReference w:id="29"/>
      </w:r>
      <w:r w:rsidRPr="00A642E3">
        <w:rPr>
          <w:rFonts w:ascii="Open Sans" w:hAnsi="Open Sans" w:cs="Open Sans"/>
          <w:sz w:val="20"/>
          <w:szCs w:val="20"/>
        </w:rPr>
        <w:t>, y un número mayor se encuentra en un estado intermedio o dando sus primeros pasos en este sentido.</w:t>
      </w:r>
    </w:p>
    <w:p w14:paraId="1C81A616" w14:textId="77777777" w:rsidR="00983E8F" w:rsidRPr="00A642E3" w:rsidRDefault="00983E8F" w:rsidP="00983E8F">
      <w:pPr>
        <w:jc w:val="both"/>
        <w:rPr>
          <w:rFonts w:ascii="Open Sans" w:hAnsi="Open Sans" w:cs="Open Sans"/>
          <w:sz w:val="20"/>
          <w:szCs w:val="20"/>
        </w:rPr>
      </w:pPr>
    </w:p>
    <w:p w14:paraId="34CD648C" w14:textId="77777777" w:rsidR="00983E8F" w:rsidRDefault="00983E8F" w:rsidP="00983E8F">
      <w:pPr>
        <w:jc w:val="both"/>
        <w:rPr>
          <w:rFonts w:ascii="Open Sans" w:hAnsi="Open Sans" w:cs="Open Sans"/>
          <w:sz w:val="20"/>
          <w:szCs w:val="20"/>
        </w:rPr>
      </w:pPr>
      <w:r w:rsidRPr="00A642E3">
        <w:rPr>
          <w:rFonts w:ascii="Open Sans" w:hAnsi="Open Sans" w:cs="Open Sans"/>
          <w:sz w:val="20"/>
          <w:szCs w:val="20"/>
        </w:rPr>
        <w:t>El escándalo LukLeaks salió a la luz en noviembre de 2014, con la revelación de cientos de pactos tributarios anticipados (</w:t>
      </w:r>
      <w:r w:rsidRPr="00A642E3">
        <w:rPr>
          <w:rFonts w:ascii="Open Sans" w:hAnsi="Open Sans" w:cs="Open Sans"/>
          <w:i/>
          <w:sz w:val="20"/>
          <w:szCs w:val="20"/>
        </w:rPr>
        <w:t>tax rulings</w:t>
      </w:r>
      <w:r w:rsidRPr="00A642E3">
        <w:rPr>
          <w:rFonts w:ascii="Open Sans" w:hAnsi="Open Sans" w:cs="Open Sans"/>
          <w:sz w:val="20"/>
          <w:szCs w:val="20"/>
        </w:rPr>
        <w:t>) filtrados por un antiguo empleado</w:t>
      </w:r>
      <w:r>
        <w:rPr>
          <w:rFonts w:ascii="Open Sans" w:hAnsi="Open Sans" w:cs="Open Sans"/>
          <w:sz w:val="20"/>
          <w:szCs w:val="20"/>
        </w:rPr>
        <w:t xml:space="preserve"> </w:t>
      </w:r>
      <w:r w:rsidRPr="00A642E3">
        <w:rPr>
          <w:rFonts w:ascii="Open Sans" w:hAnsi="Open Sans" w:cs="Open Sans"/>
          <w:sz w:val="20"/>
          <w:szCs w:val="20"/>
        </w:rPr>
        <w:t xml:space="preserve">de PwC al Consorcio Internacional de Periodistas de Investigación (ICIJ, por sus siglas en inglés). Cientos de empresas multinacionales utilizaban el sistema luxemburgués para reducir sus tipos impositivos, en algunos casos hasta el 1%, lo cual ha sido considerado una forma ilegal de ayuda estatal (Eurodad, 2015). La coordinación entre más de 80 periodistas de 26 países permitió procesar y difundir las cuestiones más relevantes de entre los más de 4 Gb de información aportada por Alain Deltour, empleado de PwC entre 2008 y 2010. Pese a su magnitud, </w:t>
      </w:r>
      <w:r w:rsidRPr="00A642E3">
        <w:rPr>
          <w:rFonts w:ascii="Open Sans" w:hAnsi="Open Sans" w:cs="Open Sans"/>
          <w:i/>
          <w:sz w:val="20"/>
          <w:szCs w:val="20"/>
        </w:rPr>
        <w:t>Luxleaks</w:t>
      </w:r>
      <w:r w:rsidRPr="00A642E3">
        <w:rPr>
          <w:rFonts w:ascii="Open Sans" w:hAnsi="Open Sans" w:cs="Open Sans"/>
          <w:sz w:val="20"/>
          <w:szCs w:val="20"/>
        </w:rPr>
        <w:t xml:space="preserve"> no hace más que mostrar un fragmento del inmenso entramado para la evasión y la elusión fiscal que constituyen las normativas de diversos países, en especial a través de fórmulas como los </w:t>
      </w:r>
      <w:r w:rsidRPr="00A642E3">
        <w:rPr>
          <w:rFonts w:ascii="Open Sans" w:hAnsi="Open Sans" w:cs="Open Sans"/>
          <w:i/>
          <w:sz w:val="20"/>
          <w:szCs w:val="20"/>
        </w:rPr>
        <w:t>tax rulings, patent box</w:t>
      </w:r>
      <w:r w:rsidRPr="00A642E3">
        <w:rPr>
          <w:rFonts w:ascii="Open Sans" w:hAnsi="Open Sans" w:cs="Open Sans"/>
          <w:sz w:val="20"/>
          <w:szCs w:val="20"/>
        </w:rPr>
        <w:t>, empresas pantalla, etc. La portavoz de la Comisión Europea Vanessa Mock declaró que el caso ‘’es una consecuencia directa de la falta de armonización fiscal a nivel europeo y de la disparidad de normas a nivel nacional", apostando por "una mayor armonización y coordinación para combatir la evasión y la planificación fiscal agresiva" en la UE</w:t>
      </w:r>
      <w:r w:rsidRPr="00A642E3">
        <w:rPr>
          <w:rStyle w:val="Refdenotaalpie"/>
          <w:rFonts w:ascii="Open Sans" w:hAnsi="Open Sans" w:cs="Open Sans"/>
          <w:sz w:val="20"/>
          <w:szCs w:val="20"/>
        </w:rPr>
        <w:footnoteReference w:id="30"/>
      </w:r>
      <w:r w:rsidRPr="00A642E3">
        <w:rPr>
          <w:rFonts w:ascii="Open Sans" w:hAnsi="Open Sans" w:cs="Open Sans"/>
          <w:sz w:val="20"/>
          <w:szCs w:val="20"/>
        </w:rPr>
        <w:t xml:space="preserve">.  </w:t>
      </w:r>
    </w:p>
    <w:p w14:paraId="46971E6F" w14:textId="77777777" w:rsidR="00983E8F" w:rsidRPr="00A642E3" w:rsidRDefault="00983E8F" w:rsidP="00983E8F">
      <w:pPr>
        <w:jc w:val="both"/>
        <w:rPr>
          <w:rFonts w:ascii="Open Sans" w:hAnsi="Open Sans" w:cs="Open Sans"/>
          <w:sz w:val="20"/>
          <w:szCs w:val="20"/>
        </w:rPr>
      </w:pPr>
    </w:p>
    <w:p w14:paraId="2E775E6B" w14:textId="77777777" w:rsidR="00983E8F" w:rsidRPr="00A642E3" w:rsidRDefault="00983E8F" w:rsidP="00983E8F">
      <w:pPr>
        <w:jc w:val="both"/>
        <w:rPr>
          <w:rFonts w:ascii="Open Sans" w:hAnsi="Open Sans" w:cs="Open Sans"/>
          <w:sz w:val="20"/>
          <w:szCs w:val="20"/>
        </w:rPr>
      </w:pPr>
      <w:r w:rsidRPr="00A642E3">
        <w:rPr>
          <w:rStyle w:val="summary"/>
          <w:rFonts w:ascii="Open Sans" w:hAnsi="Open Sans" w:cs="Open Sans"/>
          <w:sz w:val="20"/>
          <w:szCs w:val="20"/>
        </w:rPr>
        <w:t xml:space="preserve">A fecha de enero  de 2015, había un total de 376 empresas implicadas en el caso, entre ellas multinacionales tan conocidas como Pepsi, Disney, IKEA, Amadeus o Amazon. </w:t>
      </w:r>
      <w:r w:rsidRPr="00A642E3">
        <w:rPr>
          <w:rFonts w:ascii="Open Sans" w:hAnsi="Open Sans" w:cs="Open Sans"/>
          <w:sz w:val="20"/>
          <w:szCs w:val="20"/>
        </w:rPr>
        <w:t>Tras la primera información, publicada el 4 de noviembre (sobre 343 empresas), el ICIJ recibe un nuevo paquete de documentos el 9 de diciembre. Como colaboradores necesarios, aparecen  las cuatro grandes firmas de auditoría a nivel mundial: KPMG, PwC, Deloitte y Ernst &amp; Young, creadores de los esquemas que permitieron el desvío de beneficios hacia Luxemburgo. El impacto de la actividad de lobby de estas compañías no se ha ponderado adecuadamente, pero al margen del mismo, resulta evidente su implicación en el diseño de las rutas de evasión y elusión fiscal.</w:t>
      </w:r>
    </w:p>
    <w:p w14:paraId="346DFD66" w14:textId="77777777" w:rsidR="00983E8F" w:rsidRPr="00A642E3" w:rsidRDefault="00983E8F" w:rsidP="00983E8F">
      <w:pPr>
        <w:jc w:val="both"/>
        <w:rPr>
          <w:rFonts w:ascii="Open Sans" w:hAnsi="Open Sans" w:cs="Open Sans"/>
          <w:sz w:val="20"/>
          <w:szCs w:val="20"/>
        </w:rPr>
      </w:pPr>
    </w:p>
    <w:p w14:paraId="7A9EF350" w14:textId="73559435" w:rsidR="00983E8F" w:rsidRPr="00983E8F" w:rsidRDefault="00983E8F" w:rsidP="00983E8F">
      <w:pPr>
        <w:jc w:val="both"/>
        <w:rPr>
          <w:rFonts w:ascii="Open Sans" w:hAnsi="Open Sans" w:cs="Open Sans"/>
          <w:bCs/>
          <w:sz w:val="20"/>
          <w:szCs w:val="20"/>
        </w:rPr>
      </w:pPr>
      <w:r w:rsidRPr="00A642E3">
        <w:rPr>
          <w:rFonts w:ascii="Open Sans" w:hAnsi="Open Sans" w:cs="Open Sans"/>
          <w:sz w:val="20"/>
          <w:szCs w:val="20"/>
        </w:rPr>
        <w:t xml:space="preserve">Al poco de revelarse el escándalo </w:t>
      </w:r>
      <w:r w:rsidRPr="00A642E3">
        <w:rPr>
          <w:rFonts w:ascii="Open Sans" w:hAnsi="Open Sans" w:cs="Open Sans"/>
          <w:i/>
          <w:sz w:val="20"/>
          <w:szCs w:val="20"/>
        </w:rPr>
        <w:t>LuxLeaks</w:t>
      </w:r>
      <w:r w:rsidRPr="00A642E3">
        <w:rPr>
          <w:rFonts w:ascii="Open Sans" w:hAnsi="Open Sans" w:cs="Open Sans"/>
          <w:sz w:val="20"/>
          <w:szCs w:val="20"/>
        </w:rPr>
        <w:t>,  la actuación de la justicia luxemburguesa reveló la falta de voluntad de perseguir con todas las herramientas disponibles las prácticas ilegales descubiertas a través de las filtraciones. Al  contrario: Alain Deltour, auditor de PwC identificado como máximo responsable de la filtración de documentos al ICIJ, fue acusado y juzgado por la justicia luxemburguesa</w:t>
      </w:r>
      <w:r w:rsidRPr="00A642E3">
        <w:rPr>
          <w:rStyle w:val="Refdenotaalpie"/>
          <w:rFonts w:ascii="Open Sans" w:hAnsi="Open Sans" w:cs="Open Sans"/>
          <w:sz w:val="20"/>
          <w:szCs w:val="20"/>
        </w:rPr>
        <w:footnoteReference w:id="31"/>
      </w:r>
      <w:r w:rsidRPr="00A642E3">
        <w:rPr>
          <w:rFonts w:ascii="Open Sans" w:hAnsi="Open Sans" w:cs="Open Sans"/>
          <w:sz w:val="20"/>
          <w:szCs w:val="20"/>
        </w:rPr>
        <w:t xml:space="preserve"> de </w:t>
      </w:r>
      <w:r w:rsidRPr="00A642E3">
        <w:rPr>
          <w:rFonts w:ascii="Open Sans" w:hAnsi="Open Sans" w:cs="Open Sans"/>
          <w:bCs/>
          <w:sz w:val="20"/>
          <w:szCs w:val="20"/>
        </w:rPr>
        <w:t xml:space="preserve">robo, violación del secreto profesional, violación de secretos comerciales y acceso ilegal a bases de datos. Esta situación ha suscitado la solidaridad de numerosas </w:t>
      </w:r>
      <w:r w:rsidRPr="00983E8F">
        <w:rPr>
          <w:rFonts w:ascii="Open Sans" w:hAnsi="Open Sans" w:cs="Open Sans"/>
          <w:bCs/>
          <w:sz w:val="20"/>
          <w:szCs w:val="20"/>
        </w:rPr>
        <w:t>organizaciones de la sociedad civil</w:t>
      </w:r>
      <w:r w:rsidRPr="00983E8F">
        <w:rPr>
          <w:rStyle w:val="Refdenotaalpie"/>
          <w:rFonts w:ascii="Open Sans" w:hAnsi="Open Sans" w:cs="Open Sans"/>
          <w:sz w:val="20"/>
          <w:szCs w:val="20"/>
        </w:rPr>
        <w:footnoteReference w:id="32"/>
      </w:r>
      <w:r>
        <w:rPr>
          <w:rStyle w:val="Textoennegrita"/>
          <w:rFonts w:ascii="Open Sans" w:hAnsi="Open Sans" w:cs="Open Sans"/>
          <w:sz w:val="20"/>
          <w:szCs w:val="20"/>
        </w:rPr>
        <w:t xml:space="preserve">, </w:t>
      </w:r>
      <w:r w:rsidRPr="00983E8F">
        <w:rPr>
          <w:rStyle w:val="Textoennegrita"/>
          <w:rFonts w:ascii="Open Sans" w:hAnsi="Open Sans" w:cs="Open Sans"/>
          <w:b w:val="0"/>
          <w:sz w:val="20"/>
          <w:szCs w:val="20"/>
        </w:rPr>
        <w:t xml:space="preserve">así como de plataformas ciudadanas más o menos espontáneas que han reclamado un trato justo para los ‘’mártires de la justicia fiscal’’. Se considera que la información aportada por personas como Alain Deltour o Hervé Falcini (uno de los principales artífices del caso </w:t>
      </w:r>
      <w:r w:rsidRPr="00983E8F">
        <w:rPr>
          <w:rStyle w:val="Textoennegrita"/>
          <w:rFonts w:ascii="Open Sans" w:hAnsi="Open Sans" w:cs="Open Sans"/>
          <w:b w:val="0"/>
          <w:i/>
          <w:sz w:val="20"/>
          <w:szCs w:val="20"/>
        </w:rPr>
        <w:t>Swissleaks</w:t>
      </w:r>
      <w:r w:rsidRPr="00983E8F">
        <w:rPr>
          <w:rStyle w:val="Textoennegrita"/>
          <w:rFonts w:ascii="Open Sans" w:hAnsi="Open Sans" w:cs="Open Sans"/>
          <w:b w:val="0"/>
          <w:sz w:val="20"/>
          <w:szCs w:val="20"/>
        </w:rPr>
        <w:t xml:space="preserve">, que salió a la luz en 2015) es de sumo interés público, y que, lamentablemente, no existe protección suficiente para los </w:t>
      </w:r>
      <w:r w:rsidRPr="00983E8F">
        <w:rPr>
          <w:rStyle w:val="Textoennegrita"/>
          <w:rFonts w:ascii="Open Sans" w:hAnsi="Open Sans" w:cs="Open Sans"/>
          <w:b w:val="0"/>
          <w:i/>
          <w:sz w:val="20"/>
          <w:szCs w:val="20"/>
        </w:rPr>
        <w:t xml:space="preserve">whistleblowers, </w:t>
      </w:r>
      <w:r w:rsidRPr="00983E8F">
        <w:rPr>
          <w:rStyle w:val="Textoennegrita"/>
          <w:rFonts w:ascii="Open Sans" w:hAnsi="Open Sans" w:cs="Open Sans"/>
          <w:b w:val="0"/>
          <w:sz w:val="20"/>
          <w:szCs w:val="20"/>
        </w:rPr>
        <w:t>es decir, aquellas personas que revelan este tipo de informaciones; y que finalmente acaban asumiendo enormes costes personales, económicos y laborales, pese a su inestimable contribución social. Genera especial inquietud la evidente asimetría entre la persecución implacable sufrida por Deltour y el trato dispensado a Juncker, quien ha salido prácticamente ileso del trance, sin necesidad de asumir responsabilidades políticas ni judiciales, pese a su innegable participación en el diseño del circuito de evasión fiscal luxemburgués, como</w:t>
      </w:r>
      <w:r w:rsidRPr="00983E8F">
        <w:rPr>
          <w:rFonts w:ascii="Open Sans" w:hAnsi="Open Sans" w:cs="Open Sans"/>
          <w:b/>
          <w:bCs/>
          <w:sz w:val="20"/>
          <w:szCs w:val="20"/>
        </w:rPr>
        <w:t xml:space="preserve"> </w:t>
      </w:r>
      <w:r w:rsidRPr="00983E8F">
        <w:rPr>
          <w:rFonts w:ascii="Open Sans" w:hAnsi="Open Sans" w:cs="Open Sans"/>
          <w:bCs/>
          <w:sz w:val="20"/>
          <w:szCs w:val="20"/>
        </w:rPr>
        <w:t xml:space="preserve">Primer Ministro y Ministro de Finanzas entre 1995 y 2013.  </w:t>
      </w:r>
    </w:p>
    <w:p w14:paraId="3EE94C48" w14:textId="77777777" w:rsidR="00983E8F" w:rsidRPr="00A642E3" w:rsidRDefault="00983E8F" w:rsidP="00983E8F">
      <w:pPr>
        <w:jc w:val="both"/>
        <w:rPr>
          <w:rFonts w:ascii="Open Sans" w:hAnsi="Open Sans" w:cs="Open Sans"/>
          <w:b/>
          <w:bCs/>
          <w:sz w:val="20"/>
          <w:szCs w:val="20"/>
        </w:rPr>
      </w:pPr>
    </w:p>
    <w:p w14:paraId="172048B1" w14:textId="77777777" w:rsidR="00983E8F" w:rsidRPr="00A642E3" w:rsidRDefault="00983E8F" w:rsidP="00983E8F">
      <w:pPr>
        <w:jc w:val="both"/>
        <w:rPr>
          <w:rFonts w:ascii="Open Sans" w:hAnsi="Open Sans" w:cs="Open Sans"/>
          <w:bCs/>
          <w:sz w:val="20"/>
          <w:szCs w:val="20"/>
        </w:rPr>
      </w:pPr>
      <w:r w:rsidRPr="00A642E3">
        <w:rPr>
          <w:rFonts w:ascii="Open Sans" w:hAnsi="Open Sans" w:cs="Open Sans"/>
          <w:bCs/>
          <w:sz w:val="20"/>
          <w:szCs w:val="20"/>
        </w:rPr>
        <w:t>Cerco a las empresas tecnológicas.</w:t>
      </w:r>
      <w:r w:rsidRPr="00A642E3">
        <w:rPr>
          <w:rFonts w:ascii="Open Sans" w:hAnsi="Open Sans" w:cs="Open Sans"/>
          <w:b/>
          <w:bCs/>
          <w:sz w:val="20"/>
          <w:szCs w:val="20"/>
        </w:rPr>
        <w:t xml:space="preserve"> </w:t>
      </w:r>
      <w:r w:rsidRPr="00A642E3">
        <w:rPr>
          <w:rFonts w:ascii="Open Sans" w:hAnsi="Open Sans" w:cs="Open Sans"/>
          <w:sz w:val="20"/>
          <w:szCs w:val="20"/>
        </w:rPr>
        <w:t>La comisaria Margrethe Vestager, responsable de la política de Competencia, ha declarado en 2016 que: «</w:t>
      </w:r>
      <w:r w:rsidRPr="00A642E3">
        <w:rPr>
          <w:rFonts w:ascii="Open Sans" w:hAnsi="Open Sans" w:cs="Open Sans"/>
          <w:i/>
          <w:iCs/>
          <w:sz w:val="20"/>
          <w:szCs w:val="20"/>
        </w:rPr>
        <w:t>Los Estados miembros no pueden otorgar ventajas fiscales de forma selectiva a determinadas empresas, puesto que esa medida es ilegal en virtud de las normas sobre ayudas estatales de la UE. La investigación de la Comisión ha permitido concluir que Irlanda concedió a Apple ventajas fiscales ilegales que le permitieron pagar, a lo largo de varios años, un importe en concepto de impuestos considerablemente inferior al de otras empresas. En efecto, en virtud de este tratamiento selectivo, Apple consiguió pagar un tipo efectivo del impuesto sobre sociedades del 1 % sobre los beneficios generados en Europa en 2003 y que se redujo hasta el 0,005 % en 2014».</w:t>
      </w:r>
      <w:r w:rsidRPr="00A642E3">
        <w:rPr>
          <w:rFonts w:ascii="Open Sans" w:hAnsi="Open Sans" w:cs="Open Sans"/>
          <w:b/>
          <w:bCs/>
          <w:sz w:val="20"/>
          <w:szCs w:val="20"/>
        </w:rPr>
        <w:t xml:space="preserve"> </w:t>
      </w:r>
      <w:r w:rsidRPr="00A642E3">
        <w:rPr>
          <w:rFonts w:ascii="Open Sans" w:hAnsi="Open Sans" w:cs="Open Sans"/>
          <w:bCs/>
          <w:sz w:val="20"/>
          <w:szCs w:val="20"/>
        </w:rPr>
        <w:t>Estas declaraciones se producen en el marco en el que l</w:t>
      </w:r>
      <w:r w:rsidRPr="00A642E3">
        <w:rPr>
          <w:rFonts w:ascii="Open Sans" w:hAnsi="Open Sans" w:cs="Open Sans"/>
          <w:sz w:val="20"/>
          <w:szCs w:val="20"/>
        </w:rPr>
        <w:t>a Comisión Europea ha llegado a la conclusión de que Irlanda otorgó ventajas fiscales indebidas a la empresa Apple por valor de hasta 13 000 millones EUR. Con arreglo a las normas sobre ayudas estatales de la UE, esta práctica es ilegal ya que ha permitido a Apple pagar muchos menos impuestos que otras empresas. Irlanda deberá proceder ahora a la recuperación de la ayuda ilegal</w:t>
      </w:r>
      <w:r w:rsidRPr="00A642E3">
        <w:rPr>
          <w:rStyle w:val="Refdenotaalpie"/>
          <w:rFonts w:ascii="Open Sans" w:hAnsi="Open Sans" w:cs="Open Sans"/>
          <w:b/>
          <w:bCs/>
          <w:color w:val="000000"/>
          <w:sz w:val="20"/>
          <w:szCs w:val="20"/>
          <w:shd w:val="clear" w:color="auto" w:fill="FFFFFF"/>
        </w:rPr>
        <w:footnoteReference w:id="33"/>
      </w:r>
      <w:r w:rsidRPr="00A642E3">
        <w:rPr>
          <w:rFonts w:ascii="Open Sans" w:hAnsi="Open Sans" w:cs="Open Sans"/>
          <w:sz w:val="20"/>
          <w:szCs w:val="20"/>
        </w:rPr>
        <w:t>. Francia también reclama 1.600 millones de euros a Google y en Reino Unido, la multinacional llegó el pasado enero de 2016 a un acuerdo con la Hacienda británica por el que pagará 172 millones de euros en concepto de impuestos atrasados. </w:t>
      </w:r>
    </w:p>
    <w:p w14:paraId="4C915C4E" w14:textId="77777777" w:rsidR="00983E8F" w:rsidRPr="00A642E3" w:rsidRDefault="00983E8F" w:rsidP="00983E8F">
      <w:pPr>
        <w:jc w:val="both"/>
        <w:rPr>
          <w:rFonts w:ascii="Open Sans" w:hAnsi="Open Sans" w:cs="Open Sans"/>
          <w:sz w:val="20"/>
          <w:szCs w:val="20"/>
        </w:rPr>
      </w:pPr>
    </w:p>
    <w:p w14:paraId="7F8F0A67" w14:textId="77777777" w:rsidR="00983E8F" w:rsidRPr="00A642E3" w:rsidRDefault="00983E8F" w:rsidP="00983E8F">
      <w:pPr>
        <w:jc w:val="both"/>
        <w:rPr>
          <w:rFonts w:ascii="Open Sans" w:hAnsi="Open Sans" w:cs="Open Sans"/>
          <w:sz w:val="20"/>
          <w:szCs w:val="20"/>
        </w:rPr>
      </w:pPr>
    </w:p>
    <w:p w14:paraId="2D8F0B1A" w14:textId="77777777" w:rsidR="00983E8F" w:rsidRDefault="00983E8F" w:rsidP="00983E8F">
      <w:pPr>
        <w:jc w:val="both"/>
        <w:rPr>
          <w:rFonts w:ascii="Open Sans" w:hAnsi="Open Sans" w:cs="Open Sans"/>
          <w:b/>
          <w:sz w:val="22"/>
          <w:szCs w:val="22"/>
        </w:rPr>
      </w:pPr>
      <w:r w:rsidRPr="00235AC7">
        <w:rPr>
          <w:rFonts w:ascii="Open Sans" w:hAnsi="Open Sans" w:cs="Open Sans"/>
          <w:b/>
          <w:sz w:val="22"/>
          <w:szCs w:val="22"/>
        </w:rPr>
        <w:t>T</w:t>
      </w:r>
      <w:r>
        <w:rPr>
          <w:rFonts w:ascii="Open Sans" w:hAnsi="Open Sans" w:cs="Open Sans"/>
          <w:b/>
          <w:sz w:val="22"/>
          <w:szCs w:val="22"/>
        </w:rPr>
        <w:t>endencias a nivel internacional</w:t>
      </w:r>
    </w:p>
    <w:p w14:paraId="3523A978" w14:textId="77777777" w:rsidR="00983E8F" w:rsidRPr="00235AC7" w:rsidRDefault="00983E8F" w:rsidP="00983E8F">
      <w:pPr>
        <w:jc w:val="both"/>
        <w:rPr>
          <w:rFonts w:ascii="Open Sans" w:hAnsi="Open Sans" w:cs="Open Sans"/>
          <w:b/>
          <w:sz w:val="22"/>
          <w:szCs w:val="22"/>
        </w:rPr>
      </w:pPr>
    </w:p>
    <w:p w14:paraId="63A9BDAF"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A nivel internacional, la cooperación en materia fiscal sigue dependiendo principalmente de tratados bilaterales entre países, sin existir un marco de regulación claro. El potencial de la ONU para articular un pacto fiscal a gran escala permanece desaprovechado, lo cual resulta en una exclusión práctica de los países en desarrollo respecto a los procesos de regulación en curso. El G20 y la OCDE permanecen como principales promotores de este tipo de iniciativas, a través principalmente del proyecto BEPS. Sin embargo, sus postulados no atacan las bases de la evasión y la elusión fiscal, son muy limitados en cuanto a la accesibilidad de la información y no incluyen las demandas de los países en desarrollo. </w:t>
      </w:r>
    </w:p>
    <w:p w14:paraId="01DEC93B" w14:textId="77777777" w:rsidR="00983E8F" w:rsidRPr="00A642E3" w:rsidRDefault="00983E8F" w:rsidP="00983E8F">
      <w:pPr>
        <w:jc w:val="both"/>
        <w:rPr>
          <w:rFonts w:ascii="Open Sans" w:hAnsi="Open Sans" w:cs="Open Sans"/>
          <w:sz w:val="20"/>
          <w:szCs w:val="20"/>
        </w:rPr>
      </w:pPr>
    </w:p>
    <w:p w14:paraId="5ADA8A10" w14:textId="6523F239"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A nivel de la OCDE, destaca en primer lugar la intensa actividad en torno al proyecto BEPS. La publicación de informes sobre las diferentes acciones fue </w:t>
      </w:r>
      <w:r w:rsidR="007F55EB" w:rsidRPr="00A642E3">
        <w:rPr>
          <w:rFonts w:ascii="Open Sans" w:hAnsi="Open Sans" w:cs="Open Sans"/>
          <w:sz w:val="20"/>
          <w:szCs w:val="20"/>
        </w:rPr>
        <w:t>realizada</w:t>
      </w:r>
      <w:r w:rsidRPr="00A642E3">
        <w:rPr>
          <w:rFonts w:ascii="Open Sans" w:hAnsi="Open Sans" w:cs="Open Sans"/>
          <w:sz w:val="20"/>
          <w:szCs w:val="20"/>
        </w:rPr>
        <w:t xml:space="preserve"> en octubre de 2015, así como la emisión de un estándar internacional para el intercambio automático de información fiscal, aparecen como los sucesos más relevantes en el marco de este proceso. Formalmente, BEPS debería servir para establecer un marco de cooperación técnica e intercambio de información para combatir la elusión y la evasión fiscal  a nivel internacional, sin embargo, más allá del discurso, el proceso de construcción e implementación de la normativa ofrece dudas sobre su alcance efectivo. Se considera que, pese a que se están dando pasos en la dirección correcta, la normativa no cubre importantes aspectos de la ingeniería fiscal utilizados por las grandes compañías (en particular, la tributación a través de sociedades instrumentales), la insuficiente accesibilidad a la información y que en este proceso, la participación y capacidad de influencia de los países en desarr</w:t>
      </w:r>
      <w:r>
        <w:rPr>
          <w:rFonts w:ascii="Open Sans" w:hAnsi="Open Sans" w:cs="Open Sans"/>
          <w:sz w:val="20"/>
          <w:szCs w:val="20"/>
        </w:rPr>
        <w:t>ollo ha sido limitada (</w:t>
      </w:r>
      <w:r w:rsidRPr="00A642E3">
        <w:rPr>
          <w:rFonts w:ascii="Open Sans" w:hAnsi="Open Sans" w:cs="Open Sans"/>
          <w:sz w:val="20"/>
          <w:szCs w:val="20"/>
        </w:rPr>
        <w:t>Oxfam</w:t>
      </w:r>
      <w:r>
        <w:rPr>
          <w:rFonts w:ascii="Open Sans" w:hAnsi="Open Sans" w:cs="Open Sans"/>
          <w:sz w:val="20"/>
          <w:szCs w:val="20"/>
        </w:rPr>
        <w:t xml:space="preserve"> Intermón</w:t>
      </w:r>
      <w:r w:rsidRPr="00A642E3">
        <w:rPr>
          <w:rFonts w:ascii="Open Sans" w:hAnsi="Open Sans" w:cs="Open Sans"/>
          <w:sz w:val="20"/>
          <w:szCs w:val="20"/>
        </w:rPr>
        <w:t>, 2015a).</w:t>
      </w:r>
    </w:p>
    <w:p w14:paraId="0CEF7969" w14:textId="77777777" w:rsidR="00983E8F" w:rsidRPr="00A642E3" w:rsidRDefault="00983E8F" w:rsidP="00983E8F">
      <w:pPr>
        <w:jc w:val="both"/>
        <w:rPr>
          <w:rFonts w:ascii="Open Sans" w:hAnsi="Open Sans" w:cs="Open Sans"/>
          <w:sz w:val="20"/>
          <w:szCs w:val="20"/>
        </w:rPr>
      </w:pPr>
    </w:p>
    <w:p w14:paraId="5A116358"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En octubre de 2015, se publicó el resultado final del proyecto contra la erosión de la base imponible y el traslado de beneficios, BEPS, en sus siglas en inglés.</w:t>
      </w:r>
      <w:r w:rsidRPr="00A642E3">
        <w:rPr>
          <w:rFonts w:ascii="Open Sans" w:hAnsi="Open Sans" w:cs="Open Sans"/>
          <w:color w:val="444444"/>
          <w:sz w:val="20"/>
          <w:szCs w:val="20"/>
          <w:shd w:val="clear" w:color="auto" w:fill="FFFFFF"/>
        </w:rPr>
        <w:t xml:space="preserve"> </w:t>
      </w:r>
      <w:r w:rsidRPr="00A642E3">
        <w:rPr>
          <w:rFonts w:ascii="Open Sans" w:hAnsi="Open Sans" w:cs="Open Sans"/>
          <w:sz w:val="20"/>
          <w:szCs w:val="20"/>
        </w:rPr>
        <w:t xml:space="preserve"> Este informe está acompañado de un compromiso explícito de integración y consenso internacional. Al margen de la falta de consenso internacional por la escasa integración de países en desarrollo, se critica a BEPS el elevado umbral de inclusión en BEPS (una facturación por encima de los 750 millones de euros anuales) y la amplia aplicación del principio de confidencialidad, que implica, por ejemplo, que no se pongan a disposición del público general los informes desglosados país a país, o que esta información no sea accesible a los gobiernos de países en desarrollo (Eurodad, 2015).</w:t>
      </w:r>
    </w:p>
    <w:p w14:paraId="681D1BA1" w14:textId="77777777" w:rsidR="00983E8F" w:rsidRPr="00A642E3" w:rsidRDefault="00983E8F" w:rsidP="00983E8F">
      <w:pPr>
        <w:jc w:val="both"/>
        <w:rPr>
          <w:rFonts w:ascii="Open Sans" w:hAnsi="Open Sans" w:cs="Open Sans"/>
          <w:sz w:val="20"/>
          <w:szCs w:val="20"/>
        </w:rPr>
      </w:pPr>
    </w:p>
    <w:p w14:paraId="3FB9E893"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Se debe señalar como logro significativo que por primera vez todos los países pertenecientes a la OCDE y al G20 han trabajado de manera conjunta y en condiciones de igualdad en el diseño de respuestas comunes a los retos que plantea la fiscalidad internacional. Un conjunto amplio de países han alcanzado un acuerdo en relación a un amplio paquete de medidas (15 en total). Estas medidas abarcan desde nuevos estándares mínimos a la revisión de los que ya estaban en vigor, estrategias comunes que facilitarán la convergencia de prácticas nacionales y, por último, directrices basadas en mejores prácticas. Se espera que todos los países miembros de la OCDE y del G20 se comprometan a adoptar de manera consistente las medidas relacionadas con </w:t>
      </w:r>
      <w:r w:rsidRPr="00235AC7">
        <w:rPr>
          <w:rFonts w:ascii="Open Sans" w:hAnsi="Open Sans" w:cs="Open Sans"/>
          <w:i/>
          <w:sz w:val="20"/>
          <w:szCs w:val="20"/>
        </w:rPr>
        <w:t>treaty shopping</w:t>
      </w:r>
      <w:r w:rsidRPr="00A642E3">
        <w:rPr>
          <w:rFonts w:ascii="Open Sans" w:hAnsi="Open Sans" w:cs="Open Sans"/>
          <w:sz w:val="20"/>
          <w:szCs w:val="20"/>
        </w:rPr>
        <w:t xml:space="preserve"> (o búsqueda del convenio más favorable), el informe país por país, la lucha contra prácticas tributarias perniciosas y la mejora de la resolución de conflictos. Otro aspecto importante es que se ha acordado un estándar mínimo para garantizar el avance de la resolución de conflictos. Ello ayudará a asegurar que los conflictos entre países sobre la interpretación y aplicación de los convenios fiscales se resuelvan de manera más efectiva y rápida. </w:t>
      </w:r>
      <w:r>
        <w:rPr>
          <w:rFonts w:ascii="Open Sans" w:hAnsi="Open Sans" w:cs="Open Sans"/>
          <w:sz w:val="20"/>
          <w:szCs w:val="20"/>
        </w:rPr>
        <w:t>BEPS</w:t>
      </w:r>
      <w:r w:rsidRPr="00A642E3">
        <w:rPr>
          <w:rFonts w:ascii="Open Sans" w:hAnsi="Open Sans" w:cs="Open Sans"/>
          <w:sz w:val="20"/>
          <w:szCs w:val="20"/>
        </w:rPr>
        <w:t xml:space="preserve"> plantea diversas medidas para luchar contra los abusos derivados de la doble imposición a través de </w:t>
      </w:r>
      <w:r w:rsidRPr="00235AC7">
        <w:rPr>
          <w:rFonts w:ascii="Open Sans" w:hAnsi="Open Sans" w:cs="Open Sans"/>
          <w:i/>
          <w:sz w:val="20"/>
          <w:szCs w:val="20"/>
        </w:rPr>
        <w:t>Cash Boxes</w:t>
      </w:r>
      <w:r w:rsidRPr="00A642E3">
        <w:rPr>
          <w:rFonts w:ascii="Open Sans" w:hAnsi="Open Sans" w:cs="Open Sans"/>
          <w:sz w:val="20"/>
          <w:szCs w:val="20"/>
        </w:rPr>
        <w:t xml:space="preserve">, el mal uso  de los precios de transferencia, la utilización de los gastos financieros para erosionar las bases imponibles, el abuso </w:t>
      </w:r>
      <w:r>
        <w:rPr>
          <w:rFonts w:ascii="Open Sans" w:hAnsi="Open Sans" w:cs="Open Sans"/>
          <w:sz w:val="20"/>
          <w:szCs w:val="20"/>
        </w:rPr>
        <w:t xml:space="preserve">de los convenios a través de </w:t>
      </w:r>
      <w:r w:rsidRPr="00235AC7">
        <w:rPr>
          <w:rFonts w:ascii="Open Sans" w:hAnsi="Open Sans" w:cs="Open Sans"/>
          <w:i/>
          <w:sz w:val="20"/>
          <w:szCs w:val="20"/>
        </w:rPr>
        <w:t>treaty shopping</w:t>
      </w:r>
      <w:r w:rsidRPr="00A642E3">
        <w:rPr>
          <w:rFonts w:ascii="Open Sans" w:hAnsi="Open Sans" w:cs="Open Sans"/>
          <w:sz w:val="20"/>
          <w:szCs w:val="20"/>
        </w:rPr>
        <w:t>, poner e</w:t>
      </w:r>
      <w:r>
        <w:rPr>
          <w:rFonts w:ascii="Open Sans" w:hAnsi="Open Sans" w:cs="Open Sans"/>
          <w:sz w:val="20"/>
          <w:szCs w:val="20"/>
        </w:rPr>
        <w:t>n marcha un convenio multilater</w:t>
      </w:r>
      <w:r w:rsidRPr="00A642E3">
        <w:rPr>
          <w:rFonts w:ascii="Open Sans" w:hAnsi="Open Sans" w:cs="Open Sans"/>
          <w:sz w:val="20"/>
          <w:szCs w:val="20"/>
        </w:rPr>
        <w:t xml:space="preserve">al, delimitar los riesgos derivados de la economía digital. </w:t>
      </w:r>
    </w:p>
    <w:p w14:paraId="5A1C1742" w14:textId="77777777" w:rsidR="00983E8F" w:rsidRPr="00A642E3" w:rsidRDefault="00983E8F" w:rsidP="00983E8F">
      <w:pPr>
        <w:jc w:val="both"/>
        <w:rPr>
          <w:rFonts w:ascii="Open Sans" w:hAnsi="Open Sans" w:cs="Open Sans"/>
          <w:sz w:val="20"/>
          <w:szCs w:val="20"/>
        </w:rPr>
      </w:pPr>
    </w:p>
    <w:p w14:paraId="02B5203D" w14:textId="2176AD74"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A partir del 2016 se deben poner en marcha por los países las medidas acordadas. Algunos cambios son susceptibles de adopción inmediata, como las revisiones a las Directrices de Precios de Transferencia, mientras que otros requerirán cambios en los convenios fiscales, por ejemplo a través del instrumento multilateral. Por su parte, algunos otros exigirán cambios en las legislaciones internas, como el resultado de los trabajos en desajustes derivados de híbridos, normas CFC, deducibilidad de intereses, el informe país por país y las normas de declaración obligatoria así como para alinear, donde resulte necesario, las normas internas sobre regímenes preferentes de propiedad intelectual con los criterios fijados en materia de prácticas fiscales perniciosas. Los países son soberanos. De ellos dependerá por tanto la puesta en marcha de estos cambios, y las medidas pueden implementarse de maneras diversas, siempre que no entren en conflicto con compromisos jurídicos internacionales. No obstante, </w:t>
      </w:r>
      <w:r w:rsidR="007F55EB" w:rsidRPr="00A642E3">
        <w:rPr>
          <w:rFonts w:ascii="Open Sans" w:hAnsi="Open Sans" w:cs="Open Sans"/>
          <w:sz w:val="20"/>
          <w:szCs w:val="20"/>
        </w:rPr>
        <w:t>BEPS; por</w:t>
      </w:r>
      <w:r w:rsidRPr="00A642E3">
        <w:rPr>
          <w:rFonts w:ascii="Open Sans" w:hAnsi="Open Sans" w:cs="Open Sans"/>
          <w:sz w:val="20"/>
          <w:szCs w:val="20"/>
        </w:rPr>
        <w:t xml:space="preserve"> su propia naturaleza existe respuesta coordinadas, en es especial en el campo de las medias nacionales. Se espera, en consecuencia, que implementarán sus compromisos y que a la hora de implementar las medidas buscarán la consistencia y la convergencia.</w:t>
      </w:r>
    </w:p>
    <w:p w14:paraId="67814926" w14:textId="77777777" w:rsidR="00983E8F" w:rsidRPr="00A642E3" w:rsidRDefault="00983E8F" w:rsidP="00983E8F">
      <w:pPr>
        <w:jc w:val="both"/>
        <w:rPr>
          <w:rFonts w:ascii="Open Sans" w:hAnsi="Open Sans" w:cs="Open Sans"/>
          <w:sz w:val="20"/>
          <w:szCs w:val="20"/>
        </w:rPr>
      </w:pPr>
    </w:p>
    <w:p w14:paraId="65E01AD5" w14:textId="77777777" w:rsidR="00983E8F" w:rsidRPr="00983E8F" w:rsidRDefault="00983E8F" w:rsidP="00983E8F">
      <w:pPr>
        <w:pStyle w:val="NormalWeb"/>
        <w:shd w:val="clear" w:color="auto" w:fill="FFFFFF"/>
        <w:jc w:val="both"/>
        <w:rPr>
          <w:rFonts w:ascii="Open Sans" w:hAnsi="Open Sans" w:cs="Open Sans"/>
          <w:sz w:val="20"/>
          <w:szCs w:val="20"/>
        </w:rPr>
      </w:pPr>
      <w:r w:rsidRPr="00983E8F">
        <w:rPr>
          <w:rFonts w:ascii="Open Sans" w:hAnsi="Open Sans" w:cs="Open Sans"/>
          <w:sz w:val="20"/>
          <w:szCs w:val="20"/>
        </w:rPr>
        <w:t>En la línea del intercambio automático de información iniciada por la OCDE y el G20, destaca la emisión del Estándar Internacional para el Intercambio Automático de Información Financiera en Materia Fiscal. La declaración fue aprobada en julio de 2014  en París por un total de 65 países</w:t>
      </w:r>
      <w:r w:rsidRPr="00983E8F">
        <w:rPr>
          <w:rStyle w:val="Refdenotaalpie"/>
          <w:rFonts w:ascii="Open Sans" w:hAnsi="Open Sans" w:cs="Open Sans"/>
          <w:sz w:val="20"/>
          <w:szCs w:val="20"/>
        </w:rPr>
        <w:footnoteReference w:id="34"/>
      </w:r>
      <w:r w:rsidRPr="00983E8F">
        <w:rPr>
          <w:rFonts w:ascii="Open Sans" w:hAnsi="Open Sans" w:cs="Open Sans"/>
          <w:sz w:val="20"/>
          <w:szCs w:val="20"/>
        </w:rPr>
        <w:t xml:space="preserve">. La suscripción del Estándar </w:t>
      </w:r>
      <w:r w:rsidRPr="00983E8F">
        <w:rPr>
          <w:rFonts w:ascii="Open Sans" w:hAnsi="Open Sans" w:cs="Open Sans"/>
          <w:spacing w:val="5"/>
          <w:sz w:val="20"/>
          <w:szCs w:val="20"/>
        </w:rPr>
        <w:t>supone que cada administración fiscal nacional comunicará </w:t>
      </w:r>
      <w:r w:rsidRPr="00983E8F">
        <w:rPr>
          <w:rStyle w:val="Textoennegrita"/>
          <w:rFonts w:ascii="Open Sans" w:hAnsi="Open Sans" w:cs="Open Sans"/>
          <w:b w:val="0"/>
          <w:spacing w:val="5"/>
          <w:sz w:val="20"/>
          <w:szCs w:val="20"/>
        </w:rPr>
        <w:t>datos personales</w:t>
      </w:r>
      <w:r w:rsidRPr="00983E8F">
        <w:rPr>
          <w:rFonts w:ascii="Open Sans" w:hAnsi="Open Sans" w:cs="Open Sans"/>
          <w:spacing w:val="5"/>
          <w:sz w:val="20"/>
          <w:szCs w:val="20"/>
        </w:rPr>
        <w:t xml:space="preserve"> sobre personas físicas y jurídicas titulares o gestores de cuentas o productos financieros, </w:t>
      </w:r>
      <w:r w:rsidRPr="00983E8F">
        <w:rPr>
          <w:rStyle w:val="Textoennegrita"/>
          <w:rFonts w:ascii="Open Sans" w:hAnsi="Open Sans" w:cs="Open Sans"/>
          <w:b w:val="0"/>
          <w:spacing w:val="5"/>
          <w:sz w:val="20"/>
          <w:szCs w:val="20"/>
        </w:rPr>
        <w:t>acompañados de la información financiera</w:t>
      </w:r>
      <w:r w:rsidRPr="00983E8F">
        <w:rPr>
          <w:rFonts w:ascii="Open Sans" w:hAnsi="Open Sans" w:cs="Open Sans"/>
          <w:spacing w:val="5"/>
          <w:sz w:val="20"/>
          <w:szCs w:val="20"/>
        </w:rPr>
        <w:t> (intereses, dividendos, ganancias y balances).</w:t>
      </w:r>
      <w:r w:rsidRPr="00983E8F">
        <w:rPr>
          <w:rFonts w:ascii="Open Sans" w:hAnsi="Open Sans" w:cs="Open Sans"/>
          <w:sz w:val="20"/>
          <w:szCs w:val="20"/>
        </w:rPr>
        <w:t xml:space="preserve"> </w:t>
      </w:r>
      <w:r w:rsidRPr="00983E8F">
        <w:rPr>
          <w:rFonts w:ascii="Open Sans" w:hAnsi="Open Sans" w:cs="Open Sans"/>
          <w:spacing w:val="5"/>
          <w:sz w:val="20"/>
          <w:szCs w:val="20"/>
        </w:rPr>
        <w:t>Esto implica que las instituciones financieras y organismos de inversión deben colaborar con las autoridades públicas en la entrega de estos datos. A su vez, el intercambio automático de información y la cooperación entre Estados participantes se convierte en un elemento fundamental a la hora de afrontar la lucha contra la evasión y la elusión fiscal.</w:t>
      </w:r>
    </w:p>
    <w:p w14:paraId="61724A06" w14:textId="77777777" w:rsidR="00983E8F" w:rsidRPr="00A642E3" w:rsidRDefault="00983E8F" w:rsidP="00983E8F">
      <w:pPr>
        <w:jc w:val="both"/>
        <w:rPr>
          <w:rFonts w:ascii="Open Sans" w:hAnsi="Open Sans" w:cs="Open Sans"/>
          <w:sz w:val="20"/>
          <w:szCs w:val="20"/>
        </w:rPr>
      </w:pPr>
    </w:p>
    <w:p w14:paraId="788EB08D"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 xml:space="preserve">La </w:t>
      </w:r>
      <w:r w:rsidRPr="00A642E3">
        <w:rPr>
          <w:rFonts w:ascii="Open Sans" w:hAnsi="Open Sans" w:cs="Open Sans"/>
          <w:i/>
          <w:sz w:val="20"/>
          <w:szCs w:val="20"/>
        </w:rPr>
        <w:t>Extractive Industries Transaparency Initiative</w:t>
      </w:r>
      <w:r w:rsidRPr="00A642E3">
        <w:rPr>
          <w:rFonts w:ascii="Open Sans" w:hAnsi="Open Sans" w:cs="Open Sans"/>
          <w:sz w:val="20"/>
          <w:szCs w:val="20"/>
        </w:rPr>
        <w:t xml:space="preserve"> (EITI) nació en el año 2007, agrupando a un total de 15 países. Su objetivo fundamental es mejorar la gobernanza en los países con gran presencia de industrias extractivas a través de la verificación y plena publicación de los pagos de las empresas y los ingresos de los gobiernos por petróleo, gas y minería. Su Consejo que es el encargado de supervisar las actividades del EITI cuenta con representación de los gobiernos (los implementadores y los que respaldan al EITI), las empresas y la sociedad civil.</w:t>
      </w:r>
      <w:r w:rsidRPr="00A642E3">
        <w:rPr>
          <w:rFonts w:ascii="Open Sans" w:hAnsi="Open Sans" w:cs="Open Sans"/>
          <w:color w:val="000000"/>
          <w:sz w:val="20"/>
          <w:szCs w:val="20"/>
        </w:rPr>
        <w:t xml:space="preserve"> </w:t>
      </w:r>
      <w:r w:rsidRPr="00A642E3">
        <w:rPr>
          <w:rFonts w:ascii="Open Sans" w:hAnsi="Open Sans" w:cs="Open Sans"/>
          <w:sz w:val="20"/>
          <w:szCs w:val="20"/>
        </w:rPr>
        <w:t>El Informe de Progreso de 2015</w:t>
      </w:r>
      <w:r w:rsidRPr="00A642E3">
        <w:rPr>
          <w:rStyle w:val="Refdenotaalpie"/>
          <w:rFonts w:ascii="Open Sans" w:hAnsi="Open Sans" w:cs="Open Sans"/>
          <w:sz w:val="20"/>
          <w:szCs w:val="20"/>
        </w:rPr>
        <w:footnoteReference w:id="35"/>
      </w:r>
      <w:r w:rsidRPr="00A642E3">
        <w:rPr>
          <w:rFonts w:ascii="Open Sans" w:hAnsi="Open Sans" w:cs="Open Sans"/>
          <w:sz w:val="20"/>
          <w:szCs w:val="20"/>
        </w:rPr>
        <w:t xml:space="preserve"> indica que se cerró el año con 48 países participantes en diversas modalidades (27 adheridos a la iniciativa y 21 candidatos). El número de participantes permaneció relativamente estable respecto al ejercicio anterior, si bien es destacable la admisión como candidatos de Papúa Nueva Guinea, Etiopía, y sobre todo, Estados Unidos. La adhesión de este último país puede ser un impulso para la iniciativa EITI, cuyo número de participantes efectivos está prácticamente estancado desde la oleada de incorporaciones experimentada en 2011. </w:t>
      </w:r>
    </w:p>
    <w:p w14:paraId="15181267" w14:textId="77777777" w:rsidR="00983E8F" w:rsidRPr="00A642E3" w:rsidRDefault="00983E8F" w:rsidP="00983E8F">
      <w:pPr>
        <w:autoSpaceDE w:val="0"/>
        <w:autoSpaceDN w:val="0"/>
        <w:adjustRightInd w:val="0"/>
        <w:jc w:val="both"/>
        <w:rPr>
          <w:rFonts w:ascii="Open Sans" w:hAnsi="Open Sans" w:cs="Open Sans"/>
          <w:sz w:val="20"/>
          <w:szCs w:val="20"/>
        </w:rPr>
      </w:pPr>
    </w:p>
    <w:p w14:paraId="5786B296" w14:textId="77777777" w:rsidR="00983E8F" w:rsidRPr="00A642E3" w:rsidRDefault="00983E8F" w:rsidP="00983E8F">
      <w:pPr>
        <w:autoSpaceDE w:val="0"/>
        <w:autoSpaceDN w:val="0"/>
        <w:adjustRightInd w:val="0"/>
        <w:jc w:val="both"/>
        <w:rPr>
          <w:rFonts w:ascii="Open Sans" w:hAnsi="Open Sans" w:cs="Open Sans"/>
          <w:sz w:val="20"/>
          <w:szCs w:val="20"/>
        </w:rPr>
      </w:pPr>
      <w:r w:rsidRPr="00A642E3">
        <w:rPr>
          <w:rFonts w:ascii="Open Sans" w:hAnsi="Open Sans" w:cs="Open Sans"/>
          <w:sz w:val="20"/>
          <w:szCs w:val="20"/>
        </w:rPr>
        <w:t>En abril de 2016 España, Francia, Alemania, Reino Unido e Italia, han remitido una carta al G20 y a la OCDE para poner en marcha cuanto antes un sistema automático de intercambio de información para que las autoridades tributarias puedan conocer la identidad de los propietarios reales de las sociedades, estructuras fiduciarias (trust), sociedades instrumentales y otro tipo de sociedades offshore</w:t>
      </w:r>
      <w:r w:rsidRPr="00A642E3">
        <w:rPr>
          <w:rStyle w:val="Refdenotaalpie"/>
          <w:rFonts w:ascii="Open Sans" w:hAnsi="Open Sans" w:cs="Open Sans"/>
          <w:sz w:val="20"/>
          <w:szCs w:val="20"/>
        </w:rPr>
        <w:footnoteReference w:id="36"/>
      </w:r>
      <w:r w:rsidRPr="00A642E3">
        <w:rPr>
          <w:rFonts w:ascii="Open Sans" w:hAnsi="Open Sans" w:cs="Open Sans"/>
          <w:sz w:val="20"/>
          <w:szCs w:val="20"/>
        </w:rPr>
        <w:t>.</w:t>
      </w:r>
    </w:p>
    <w:p w14:paraId="657E1508" w14:textId="77777777" w:rsidR="00983E8F" w:rsidRPr="00A642E3" w:rsidRDefault="00983E8F" w:rsidP="00983E8F">
      <w:pPr>
        <w:autoSpaceDE w:val="0"/>
        <w:autoSpaceDN w:val="0"/>
        <w:adjustRightInd w:val="0"/>
        <w:jc w:val="both"/>
        <w:rPr>
          <w:rFonts w:ascii="Open Sans" w:hAnsi="Open Sans" w:cs="Open Sans"/>
          <w:sz w:val="20"/>
          <w:szCs w:val="20"/>
        </w:rPr>
      </w:pPr>
    </w:p>
    <w:p w14:paraId="30F9CD5E"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En conclusión, el año 2015 ha registrado una intensa actividad en materia de regulación fiscal a nivel nacional, europeo e internacional. En semejante contexto de crisis económica, la RSC aparece como un elemento central para garantizar la contribución de las empresas al bienestar colectivo, a través de una justa contribución a las arcas públicas y una política de transparencia en el acceso a la información fiscal. La agenda de la RSC en materia de fiscalidad se ha estructurado en torno a dos vertientes: la corrupción y los procesos de reforma. </w:t>
      </w:r>
    </w:p>
    <w:p w14:paraId="7A48537B" w14:textId="77777777" w:rsidR="00983E8F" w:rsidRPr="00A642E3" w:rsidRDefault="00983E8F" w:rsidP="00983E8F">
      <w:pPr>
        <w:jc w:val="both"/>
        <w:rPr>
          <w:rFonts w:ascii="Open Sans" w:hAnsi="Open Sans" w:cs="Open Sans"/>
          <w:sz w:val="20"/>
          <w:szCs w:val="20"/>
        </w:rPr>
      </w:pPr>
    </w:p>
    <w:p w14:paraId="43B788B3"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La adhesión a iniciativas de colaboración y transparencia de un número creciente de países y empresas, si bien permite albergar ciertas esperanzas, parece aún insuficiente, más allá del plano discursivo. Es necesaria una mayor voluntad política para establecer marcos de obligado cumplimiento, que permitan a las instituciones y organizaciones de la sociedad civil fiscalizar las actividades de las empresas (debido a que las mismas tienen consecuencias sobre el bienestar del conjunto de la sociedad).</w:t>
      </w:r>
    </w:p>
    <w:p w14:paraId="73040DF8" w14:textId="77777777" w:rsidR="00983E8F" w:rsidRPr="00A642E3" w:rsidRDefault="00983E8F" w:rsidP="00983E8F">
      <w:pPr>
        <w:jc w:val="both"/>
        <w:rPr>
          <w:rFonts w:ascii="Open Sans" w:hAnsi="Open Sans" w:cs="Open Sans"/>
          <w:sz w:val="20"/>
          <w:szCs w:val="20"/>
        </w:rPr>
      </w:pPr>
    </w:p>
    <w:p w14:paraId="7D98E637"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 xml:space="preserve">La sucesión de casos de corrupción, si bien supone una pérdida de legitimidad de las instituciones en los casos de dudosa resolución judicial y política, sirve como acicate de los procesos de reforma en curso durante el año 2015. Esto se debe a su capacidad para impactar en la agenda pública, al tratarse de casos de gran relevancia mediática y capacidad de convocatoria respecto a las iniciativas ciudadanas. Frente a esta presión, las instituciones y empresas se ven empujadas a incrementar el grado de transparencia sobre sus actividades, al menos en términos de comparecencia frente a la opinión pública, aunque la calidad de la información ofrecida no siempre es la deseable. Es necesario pues destacar el imprescindible papel de la sociedad civil como vigilante, demandante y beneficiario último de la justicia fiscal. El año estuvo marcado por un entorno de aparente  recuperación económica cuya sostenibilidad es cuestionable, y que va aparejada a un incremento de los niveles de pobreza y desigualdad. En este sentido, la reforma fiscal de 2014 ha sido ampliamente criticada por profundizar en el desigual reparto de la carga impositiva. El sentido generalizado de indignación se podría resumir en que ‘’los que más tienen pagan menos cuando más se necesita’’, perspectiva que vertebra numerosos esfuerzos de la sociedad civil, sin haberse consolidado para el periodo objeto de estudio en una agenda de reformas de corte redistributivo. En materia de RSC, la EERSE 2014-2020 presenta algunas importantes novedades conceptuales, si bien su bajo grado de especificidad reduce su alcance práctico a una serie de buenos propósitos y su implementación ha estado totalmente ausente desde su aprobación. </w:t>
      </w:r>
    </w:p>
    <w:p w14:paraId="6DC4C763" w14:textId="77777777" w:rsidR="00983E8F" w:rsidRPr="00A642E3" w:rsidRDefault="00983E8F" w:rsidP="00983E8F">
      <w:pPr>
        <w:jc w:val="both"/>
        <w:rPr>
          <w:rFonts w:ascii="Open Sans" w:hAnsi="Open Sans" w:cs="Open Sans"/>
          <w:sz w:val="20"/>
          <w:szCs w:val="20"/>
        </w:rPr>
      </w:pPr>
    </w:p>
    <w:p w14:paraId="31220119" w14:textId="77777777" w:rsidR="00983E8F" w:rsidRPr="00A642E3" w:rsidRDefault="00983E8F" w:rsidP="00983E8F">
      <w:pPr>
        <w:jc w:val="both"/>
        <w:rPr>
          <w:rFonts w:ascii="Open Sans" w:hAnsi="Open Sans" w:cs="Open Sans"/>
          <w:sz w:val="20"/>
          <w:szCs w:val="20"/>
        </w:rPr>
      </w:pPr>
      <w:r w:rsidRPr="00A642E3">
        <w:rPr>
          <w:rFonts w:ascii="Open Sans" w:hAnsi="Open Sans" w:cs="Open Sans"/>
          <w:sz w:val="20"/>
          <w:szCs w:val="20"/>
        </w:rPr>
        <w:t>A nivel de la UE, los avances en la Directiva Matriz-Filial, en materia de fiscalidad del ahorro y en otros aspectos se ven empañados por las revelaciones en torno al “Gran Ducado’’ y otros territorios, como muestra de las debilidades del sistema fiscal europeo. Frente a una retórica de cooperación, aparecen prácticas de competencia fiscal que perjudican la capacidad recaudatoria de los Estados, constituyendo ‘’zonas grises’’ y rutas para la evasión y la elusión fiscal.</w:t>
      </w:r>
    </w:p>
    <w:p w14:paraId="0090F7B9" w14:textId="77777777" w:rsidR="00983E8F" w:rsidRPr="00A642E3" w:rsidRDefault="00983E8F" w:rsidP="00983E8F">
      <w:pPr>
        <w:jc w:val="both"/>
        <w:rPr>
          <w:rFonts w:ascii="Open Sans" w:hAnsi="Open Sans" w:cs="Open Sans"/>
          <w:sz w:val="20"/>
          <w:szCs w:val="20"/>
        </w:rPr>
      </w:pPr>
    </w:p>
    <w:p w14:paraId="547C2D4D" w14:textId="77777777" w:rsidR="00983E8F" w:rsidRPr="00A642E3" w:rsidRDefault="00983E8F" w:rsidP="00983E8F">
      <w:pPr>
        <w:jc w:val="both"/>
        <w:rPr>
          <w:rFonts w:ascii="Open Sans" w:hAnsi="Open Sans" w:cs="Open Sans"/>
          <w:color w:val="000000"/>
          <w:sz w:val="20"/>
          <w:szCs w:val="20"/>
          <w:lang w:eastAsia="es-CL"/>
        </w:rPr>
      </w:pPr>
      <w:r w:rsidRPr="00A642E3">
        <w:rPr>
          <w:rFonts w:ascii="Open Sans" w:hAnsi="Open Sans" w:cs="Open Sans"/>
          <w:sz w:val="20"/>
          <w:szCs w:val="20"/>
        </w:rPr>
        <w:t xml:space="preserve">Finalmente, a nivel internacional, el año se cerró de nuevo sin haber logrado desarrollar una agenda programática ampliamente compartida en el marco de las Naciones Unidas. Los esfuerzos en torno al G20 y la OCDE, vinculados al proyecto BEPS, se han revelado insuficientes en su contenido, además de excluir en buena medida a los países en desarrollo. Más allá de la retórica, y pese a que el proceso BEPS ha experimentado un impulso en 2015, parece que sigue suscitando la desconfianza de parte de la sociedad civil. </w:t>
      </w:r>
    </w:p>
    <w:p w14:paraId="3AE2CC8C" w14:textId="77777777" w:rsidR="00983E8F" w:rsidRPr="00A642E3" w:rsidRDefault="00983E8F" w:rsidP="00983E8F">
      <w:pPr>
        <w:rPr>
          <w:rFonts w:ascii="Open Sans" w:hAnsi="Open Sans" w:cs="Open Sans"/>
          <w:sz w:val="20"/>
          <w:szCs w:val="20"/>
        </w:rPr>
      </w:pPr>
    </w:p>
    <w:p w14:paraId="470E13C9" w14:textId="77777777" w:rsidR="00D13A8C" w:rsidRDefault="00D13A8C" w:rsidP="00D13A8C"/>
    <w:p w14:paraId="0219DB84" w14:textId="77777777" w:rsidR="00D13A8C" w:rsidRPr="00310A67" w:rsidRDefault="00D13A8C" w:rsidP="00D13A8C">
      <w:pPr>
        <w:rPr>
          <w:rFonts w:ascii="Open Sans" w:eastAsiaTheme="majorEastAsia" w:hAnsi="Open Sans" w:cs="Arial"/>
          <w:b/>
          <w:kern w:val="32"/>
          <w:sz w:val="32"/>
          <w:szCs w:val="32"/>
          <w:lang w:val="es-ES" w:eastAsia="ar-SA"/>
        </w:rPr>
      </w:pPr>
      <w:r>
        <w:br w:type="page"/>
      </w:r>
    </w:p>
    <w:p w14:paraId="35071418" w14:textId="77777777" w:rsidR="00D13A8C" w:rsidRDefault="00D13A8C" w:rsidP="00D13A8C">
      <w:pPr>
        <w:rPr>
          <w:rFonts w:ascii="Arial" w:hAnsi="Arial" w:cs="Arial"/>
          <w:b/>
          <w:i/>
          <w:sz w:val="28"/>
          <w:szCs w:val="28"/>
        </w:rPr>
        <w:sectPr w:rsidR="00D13A8C" w:rsidSect="00CA4DA8">
          <w:headerReference w:type="default" r:id="rId33"/>
          <w:footerReference w:type="default" r:id="rId34"/>
          <w:pgSz w:w="11900" w:h="16840"/>
          <w:pgMar w:top="1418" w:right="1701" w:bottom="1418" w:left="1701" w:header="708" w:footer="708" w:gutter="0"/>
          <w:cols w:space="708"/>
          <w:docGrid w:linePitch="360"/>
        </w:sectPr>
      </w:pPr>
    </w:p>
    <w:p w14:paraId="6B9ABEF3" w14:textId="63798D1C" w:rsidR="00D13A8C" w:rsidRDefault="0049051A" w:rsidP="00D13A8C">
      <w:pPr>
        <w:rPr>
          <w:rFonts w:ascii="Arial" w:hAnsi="Arial" w:cs="Arial"/>
          <w:b/>
          <w:i/>
          <w:sz w:val="28"/>
          <w:szCs w:val="28"/>
        </w:rPr>
        <w:sectPr w:rsidR="00D13A8C" w:rsidSect="00CA4DA8">
          <w:headerReference w:type="default" r:id="rId35"/>
          <w:pgSz w:w="11900" w:h="16840"/>
          <w:pgMar w:top="0" w:right="0" w:bottom="0" w:left="0" w:header="708" w:footer="708" w:gutter="0"/>
          <w:cols w:space="708"/>
          <w:titlePg/>
          <w:docGrid w:linePitch="360"/>
        </w:sectPr>
      </w:pPr>
      <w:r>
        <w:rPr>
          <w:rFonts w:ascii="Arial" w:hAnsi="Arial" w:cs="Arial"/>
          <w:b/>
          <w:i/>
          <w:noProof/>
          <w:sz w:val="28"/>
          <w:szCs w:val="28"/>
          <w:lang w:val="es-ES"/>
        </w:rPr>
        <w:drawing>
          <wp:inline distT="0" distB="0" distL="0" distR="0" wp14:anchorId="02EA977A" wp14:editId="14384DEA">
            <wp:extent cx="7556500" cy="10684336"/>
            <wp:effectExtent l="0" t="0" r="0" b="9525"/>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7556500" cy="10684336"/>
                    </a:xfrm>
                    <a:prstGeom prst="rect">
                      <a:avLst/>
                    </a:prstGeom>
                    <a:noFill/>
                    <a:ln>
                      <a:noFill/>
                    </a:ln>
                  </pic:spPr>
                </pic:pic>
              </a:graphicData>
            </a:graphic>
          </wp:inline>
        </w:drawing>
      </w:r>
    </w:p>
    <w:p w14:paraId="51BF8818" w14:textId="05E18B28" w:rsidR="00B525FF" w:rsidRPr="002D1701" w:rsidRDefault="00A4529A" w:rsidP="00E75060">
      <w:pPr>
        <w:pStyle w:val="Titulo1-InformeFinal"/>
        <w:rPr>
          <w:i/>
        </w:rPr>
      </w:pPr>
      <w:bookmarkStart w:id="4" w:name="_Toc354061505"/>
      <w:r w:rsidRPr="002D1701">
        <w:t>2</w:t>
      </w:r>
      <w:r w:rsidR="00A112C7" w:rsidRPr="002D1701">
        <w:t xml:space="preserve">. </w:t>
      </w:r>
      <w:r w:rsidR="008357EB" w:rsidRPr="002D1701">
        <w:t>OBJETIVO</w:t>
      </w:r>
      <w:r w:rsidR="00F853BD">
        <w:t>S</w:t>
      </w:r>
      <w:r w:rsidR="008357EB" w:rsidRPr="002D1701">
        <w:t xml:space="preserve"> DEL ESTUDIO Y </w:t>
      </w:r>
      <w:r w:rsidR="00B525FF" w:rsidRPr="002D1701">
        <w:t>METODOLOGÍA DEL ANÁLISIS</w:t>
      </w:r>
      <w:bookmarkEnd w:id="3"/>
      <w:bookmarkEnd w:id="4"/>
    </w:p>
    <w:p w14:paraId="447F0CBF" w14:textId="33B7CA0E" w:rsidR="00B525FF" w:rsidRPr="00E75060" w:rsidRDefault="00A4529A" w:rsidP="00E75060">
      <w:pPr>
        <w:pStyle w:val="Titulo2-InformeFinal"/>
      </w:pPr>
      <w:bookmarkStart w:id="5" w:name="_Toc254282526"/>
      <w:bookmarkStart w:id="6" w:name="_Toc354061506"/>
      <w:r w:rsidRPr="00E75060">
        <w:t>2</w:t>
      </w:r>
      <w:r w:rsidR="00A112C7" w:rsidRPr="00E75060">
        <w:t xml:space="preserve">.1. </w:t>
      </w:r>
      <w:r w:rsidR="00B525FF" w:rsidRPr="00E75060">
        <w:t>Objetivo</w:t>
      </w:r>
      <w:bookmarkEnd w:id="5"/>
      <w:r w:rsidR="0054598D" w:rsidRPr="00E75060">
        <w:t>s</w:t>
      </w:r>
      <w:bookmarkEnd w:id="6"/>
    </w:p>
    <w:p w14:paraId="4EA38237" w14:textId="77777777" w:rsidR="004B4150" w:rsidRDefault="004B4150" w:rsidP="004B4150"/>
    <w:p w14:paraId="1D06F42E" w14:textId="77777777" w:rsidR="005337D5" w:rsidRDefault="005337D5" w:rsidP="005337D5">
      <w:pPr>
        <w:jc w:val="both"/>
        <w:rPr>
          <w:rFonts w:ascii="Open Sans" w:hAnsi="Open Sans" w:cs="Arial"/>
          <w:sz w:val="20"/>
          <w:szCs w:val="20"/>
          <w:lang w:val="es-ES"/>
        </w:rPr>
      </w:pPr>
      <w:r w:rsidRPr="002D1701">
        <w:rPr>
          <w:rFonts w:ascii="Open Sans" w:hAnsi="Open Sans" w:cs="Arial"/>
          <w:b/>
          <w:sz w:val="20"/>
          <w:szCs w:val="20"/>
          <w:lang w:val="es-ES"/>
        </w:rPr>
        <w:t xml:space="preserve">El objetivo del estudio “La Responsabilidad </w:t>
      </w:r>
      <w:r>
        <w:rPr>
          <w:rFonts w:ascii="Open Sans" w:hAnsi="Open Sans" w:cs="Arial"/>
          <w:b/>
          <w:sz w:val="20"/>
          <w:szCs w:val="20"/>
          <w:lang w:val="es-ES"/>
        </w:rPr>
        <w:t>Fiscal</w:t>
      </w:r>
      <w:r w:rsidRPr="002D1701">
        <w:rPr>
          <w:rFonts w:ascii="Open Sans" w:hAnsi="Open Sans" w:cs="Arial"/>
          <w:b/>
          <w:sz w:val="20"/>
          <w:szCs w:val="20"/>
          <w:lang w:val="es-ES"/>
        </w:rPr>
        <w:t xml:space="preserve"> en las memorias anuales de las empresas del IBEX 35” es evaluar la calidad de la información sobre aspectos de Responsabilidad </w:t>
      </w:r>
      <w:r>
        <w:rPr>
          <w:rFonts w:ascii="Open Sans" w:hAnsi="Open Sans" w:cs="Arial"/>
          <w:b/>
          <w:sz w:val="20"/>
          <w:szCs w:val="20"/>
          <w:lang w:val="es-ES"/>
        </w:rPr>
        <w:t xml:space="preserve">Fiscal </w:t>
      </w:r>
      <w:r w:rsidRPr="002D1701">
        <w:rPr>
          <w:rFonts w:ascii="Open Sans" w:hAnsi="Open Sans" w:cs="Arial"/>
          <w:b/>
          <w:sz w:val="20"/>
          <w:szCs w:val="20"/>
          <w:lang w:val="es-ES"/>
        </w:rPr>
        <w:t xml:space="preserve">proporcionada en la documentación y en las memorias públicas y accesibles de las empresas que conforman el </w:t>
      </w:r>
      <w:r>
        <w:rPr>
          <w:rFonts w:ascii="Open Sans" w:hAnsi="Open Sans" w:cs="Arial"/>
          <w:b/>
          <w:sz w:val="20"/>
          <w:szCs w:val="20"/>
          <w:lang w:val="es-ES"/>
        </w:rPr>
        <w:t xml:space="preserve">índice bursátil </w:t>
      </w:r>
      <w:r w:rsidRPr="002D1701">
        <w:rPr>
          <w:rFonts w:ascii="Open Sans" w:hAnsi="Open Sans" w:cs="Arial"/>
          <w:b/>
          <w:sz w:val="20"/>
          <w:szCs w:val="20"/>
          <w:lang w:val="es-ES"/>
        </w:rPr>
        <w:t>IBEX 35</w:t>
      </w:r>
      <w:r w:rsidRPr="002D1701">
        <w:rPr>
          <w:rFonts w:ascii="Open Sans" w:hAnsi="Open Sans" w:cs="Arial"/>
          <w:sz w:val="20"/>
          <w:szCs w:val="20"/>
          <w:lang w:val="es-ES"/>
        </w:rPr>
        <w:t>.</w:t>
      </w:r>
    </w:p>
    <w:p w14:paraId="2ED249D3" w14:textId="77777777" w:rsidR="005337D5" w:rsidRDefault="005337D5" w:rsidP="005337D5">
      <w:pPr>
        <w:jc w:val="both"/>
        <w:rPr>
          <w:rFonts w:ascii="Open Sans" w:hAnsi="Open Sans" w:cs="Arial"/>
          <w:sz w:val="20"/>
          <w:szCs w:val="20"/>
          <w:lang w:val="es-ES"/>
        </w:rPr>
      </w:pPr>
    </w:p>
    <w:p w14:paraId="5466F792" w14:textId="77777777" w:rsidR="005337D5" w:rsidRPr="00FF7792" w:rsidRDefault="005337D5" w:rsidP="005337D5">
      <w:pPr>
        <w:jc w:val="both"/>
        <w:rPr>
          <w:rFonts w:ascii="Open Sans" w:hAnsi="Open Sans" w:cs="Arial"/>
          <w:sz w:val="20"/>
          <w:szCs w:val="20"/>
          <w:lang w:val="es-ES"/>
        </w:rPr>
      </w:pPr>
      <w:r w:rsidRPr="00FF7792">
        <w:rPr>
          <w:rFonts w:ascii="Open Sans" w:hAnsi="Open Sans" w:cs="Arial"/>
          <w:sz w:val="20"/>
          <w:szCs w:val="20"/>
          <w:lang w:val="es-ES"/>
        </w:rPr>
        <w:t>Otro de los objetivos fundamentales de la investigación es la evaluación del grado de compromiso público de las empresas con su responsabilidad fiscal en los diversos territorios en donde desarrollan su actividad a través de la identificación y aplicación de una batería de indicadores relevantes en materia de información económica y de estrategia fiscal desde una perspectiva de Responsabilidad Social Corporativa (RSC).</w:t>
      </w:r>
    </w:p>
    <w:p w14:paraId="0D3486AA" w14:textId="77777777" w:rsidR="005337D5" w:rsidRDefault="005337D5" w:rsidP="005337D5">
      <w:pPr>
        <w:jc w:val="both"/>
        <w:rPr>
          <w:rFonts w:ascii="Arial" w:hAnsi="Arial" w:cs="Arial"/>
          <w:sz w:val="22"/>
          <w:szCs w:val="22"/>
        </w:rPr>
      </w:pPr>
    </w:p>
    <w:p w14:paraId="331EED71" w14:textId="77777777" w:rsidR="005337D5" w:rsidRPr="002D1701" w:rsidRDefault="005337D5" w:rsidP="005337D5">
      <w:pPr>
        <w:jc w:val="both"/>
        <w:rPr>
          <w:rFonts w:ascii="Open Sans" w:hAnsi="Open Sans" w:cs="Arial"/>
          <w:sz w:val="20"/>
          <w:szCs w:val="20"/>
          <w:lang w:val="es-ES"/>
        </w:rPr>
      </w:pPr>
      <w:r w:rsidRPr="002D1701">
        <w:rPr>
          <w:rFonts w:ascii="Open Sans" w:hAnsi="Open Sans" w:cs="Arial"/>
          <w:sz w:val="20"/>
          <w:szCs w:val="20"/>
          <w:lang w:val="es-ES"/>
        </w:rPr>
        <w:t>Con este fin se ha medido tanto su grado de calidad técnica y coherencia, como los contenidos y los sistemas de gestión descritos</w:t>
      </w:r>
      <w:r>
        <w:rPr>
          <w:rFonts w:ascii="Open Sans" w:hAnsi="Open Sans" w:cs="Arial"/>
          <w:sz w:val="20"/>
          <w:szCs w:val="20"/>
          <w:lang w:val="es-ES"/>
        </w:rPr>
        <w:t xml:space="preserve"> así como en los datos aportados</w:t>
      </w:r>
      <w:r w:rsidRPr="002D1701">
        <w:rPr>
          <w:rFonts w:ascii="Open Sans" w:hAnsi="Open Sans" w:cs="Arial"/>
          <w:sz w:val="20"/>
          <w:szCs w:val="20"/>
          <w:lang w:val="es-ES"/>
        </w:rPr>
        <w:t xml:space="preserve">. El análisis se ha realizado a través de un modelo basado en la herramienta descrita posteriormente. </w:t>
      </w:r>
    </w:p>
    <w:p w14:paraId="4487DF0B" w14:textId="77777777" w:rsidR="005337D5" w:rsidRPr="002D1701" w:rsidRDefault="005337D5" w:rsidP="005337D5">
      <w:pPr>
        <w:jc w:val="both"/>
        <w:rPr>
          <w:rFonts w:ascii="Open Sans" w:hAnsi="Open Sans" w:cs="Arial"/>
          <w:sz w:val="20"/>
          <w:szCs w:val="20"/>
          <w:lang w:val="es-ES"/>
        </w:rPr>
      </w:pPr>
    </w:p>
    <w:p w14:paraId="2B847E6A" w14:textId="77777777" w:rsidR="005337D5" w:rsidRPr="002D1701" w:rsidRDefault="005337D5" w:rsidP="005337D5">
      <w:pPr>
        <w:jc w:val="both"/>
        <w:rPr>
          <w:rFonts w:ascii="Open Sans" w:hAnsi="Open Sans" w:cs="Arial"/>
          <w:sz w:val="20"/>
          <w:szCs w:val="20"/>
          <w:lang w:val="es-ES"/>
        </w:rPr>
      </w:pPr>
      <w:r w:rsidRPr="002D1701">
        <w:rPr>
          <w:rFonts w:ascii="Open Sans" w:hAnsi="Open Sans" w:cs="Arial"/>
          <w:sz w:val="20"/>
          <w:szCs w:val="20"/>
          <w:lang w:val="es-ES"/>
        </w:rPr>
        <w:t>El estudio busca tambié</w:t>
      </w:r>
      <w:r>
        <w:rPr>
          <w:rFonts w:ascii="Open Sans" w:hAnsi="Open Sans" w:cs="Arial"/>
          <w:sz w:val="20"/>
          <w:szCs w:val="20"/>
          <w:lang w:val="es-ES"/>
        </w:rPr>
        <w:t xml:space="preserve">n evaluar el grado en el que la información facilitada en el ámbito fiscal se incorpora en documentos </w:t>
      </w:r>
      <w:r w:rsidRPr="002D1701">
        <w:rPr>
          <w:rFonts w:ascii="Open Sans" w:hAnsi="Open Sans" w:cs="Arial"/>
          <w:sz w:val="20"/>
          <w:szCs w:val="20"/>
          <w:lang w:val="es-ES"/>
        </w:rPr>
        <w:t xml:space="preserve"> </w:t>
      </w:r>
      <w:r>
        <w:rPr>
          <w:rFonts w:ascii="Open Sans" w:hAnsi="Open Sans" w:cs="Arial"/>
          <w:sz w:val="20"/>
          <w:szCs w:val="20"/>
          <w:lang w:val="es-ES"/>
        </w:rPr>
        <w:t xml:space="preserve">específicos más allá de las cuentas anuales  y si se hace alusión en las </w:t>
      </w:r>
      <w:r w:rsidRPr="002D1701">
        <w:rPr>
          <w:rFonts w:ascii="Open Sans" w:hAnsi="Open Sans" w:cs="Arial"/>
          <w:sz w:val="20"/>
          <w:szCs w:val="20"/>
          <w:lang w:val="es-ES"/>
        </w:rPr>
        <w:t>memorias de RSC. Por lo tanto, también trata de determinar el uso que las empresas hacen de las memorias</w:t>
      </w:r>
      <w:r>
        <w:rPr>
          <w:rFonts w:ascii="Open Sans" w:hAnsi="Open Sans" w:cs="Arial"/>
          <w:sz w:val="20"/>
          <w:szCs w:val="20"/>
          <w:lang w:val="es-ES"/>
        </w:rPr>
        <w:t xml:space="preserve"> en el ámbito fiscal</w:t>
      </w:r>
      <w:r w:rsidRPr="002D1701">
        <w:rPr>
          <w:rFonts w:ascii="Open Sans" w:hAnsi="Open Sans" w:cs="Arial"/>
          <w:sz w:val="20"/>
          <w:szCs w:val="20"/>
          <w:lang w:val="es-ES"/>
        </w:rPr>
        <w:t>: puramente informativo o como herramienta fundamental para la rendición de cuentas, y la gestión y control  internos de los procesos centrales de negocio de la compañía</w:t>
      </w:r>
      <w:r>
        <w:rPr>
          <w:rFonts w:ascii="Open Sans" w:hAnsi="Open Sans" w:cs="Arial"/>
          <w:sz w:val="20"/>
          <w:szCs w:val="20"/>
          <w:lang w:val="es-ES"/>
        </w:rPr>
        <w:t xml:space="preserve"> y de herramienta de comunicación con los grupos de interés sobre un aspecto material como es la fiscalidad desde una perspectiva de responsabilidad social</w:t>
      </w:r>
      <w:r w:rsidRPr="002D1701">
        <w:rPr>
          <w:rFonts w:ascii="Open Sans" w:hAnsi="Open Sans" w:cs="Arial"/>
          <w:sz w:val="20"/>
          <w:szCs w:val="20"/>
          <w:lang w:val="es-ES"/>
        </w:rPr>
        <w:t>.</w:t>
      </w:r>
      <w:r>
        <w:rPr>
          <w:rFonts w:ascii="Open Sans" w:hAnsi="Open Sans" w:cs="Arial"/>
          <w:sz w:val="20"/>
          <w:szCs w:val="20"/>
          <w:lang w:val="es-ES"/>
        </w:rPr>
        <w:t xml:space="preserve"> </w:t>
      </w:r>
      <w:r w:rsidRPr="002D1701">
        <w:rPr>
          <w:rFonts w:ascii="Open Sans" w:hAnsi="Open Sans" w:cs="Arial"/>
          <w:sz w:val="20"/>
          <w:szCs w:val="20"/>
          <w:lang w:val="es-ES"/>
        </w:rPr>
        <w:t xml:space="preserve">No obstante, </w:t>
      </w:r>
      <w:r w:rsidRPr="002D1701">
        <w:rPr>
          <w:rFonts w:ascii="Open Sans" w:hAnsi="Open Sans" w:cs="Arial"/>
          <w:b/>
          <w:sz w:val="20"/>
          <w:szCs w:val="20"/>
          <w:lang w:val="es-ES"/>
        </w:rPr>
        <w:t>no es objeto de este estudio evaluar la veracidad de los datos publicados, ni la implantación real de las políticas y procesos identificados por las empresas en sus informes.</w:t>
      </w:r>
      <w:r w:rsidRPr="002D1701">
        <w:rPr>
          <w:rFonts w:ascii="Open Sans" w:hAnsi="Open Sans" w:cs="Arial"/>
          <w:sz w:val="20"/>
          <w:szCs w:val="20"/>
          <w:lang w:val="es-ES"/>
        </w:rPr>
        <w:t xml:space="preserve"> </w:t>
      </w:r>
    </w:p>
    <w:p w14:paraId="14F2850C" w14:textId="77777777" w:rsidR="005337D5" w:rsidRPr="002D1701" w:rsidRDefault="005337D5" w:rsidP="005337D5">
      <w:pPr>
        <w:jc w:val="both"/>
        <w:rPr>
          <w:rFonts w:ascii="Open Sans" w:hAnsi="Open Sans" w:cs="Arial"/>
          <w:sz w:val="20"/>
          <w:szCs w:val="20"/>
          <w:lang w:val="es-ES"/>
        </w:rPr>
      </w:pPr>
    </w:p>
    <w:p w14:paraId="36E6DD59" w14:textId="77777777" w:rsidR="005337D5" w:rsidRPr="002D1701" w:rsidRDefault="005337D5" w:rsidP="005337D5">
      <w:pPr>
        <w:jc w:val="both"/>
        <w:rPr>
          <w:rFonts w:ascii="Open Sans" w:hAnsi="Open Sans" w:cs="Arial"/>
          <w:sz w:val="20"/>
          <w:szCs w:val="20"/>
          <w:lang w:val="es-ES"/>
        </w:rPr>
      </w:pPr>
      <w:r w:rsidRPr="002D1701">
        <w:rPr>
          <w:rFonts w:ascii="Open Sans" w:hAnsi="Open Sans" w:cs="Arial"/>
          <w:sz w:val="20"/>
          <w:szCs w:val="20"/>
          <w:lang w:val="es-ES"/>
        </w:rPr>
        <w:t xml:space="preserve">Con el fin de extraer conclusiones significativas que permitan conocer la calidad de esta información y la situación actual de la comunicación en materia de </w:t>
      </w:r>
      <w:r>
        <w:rPr>
          <w:rFonts w:ascii="Open Sans" w:hAnsi="Open Sans" w:cs="Arial"/>
          <w:sz w:val="20"/>
          <w:szCs w:val="20"/>
          <w:lang w:val="es-ES"/>
        </w:rPr>
        <w:t>Fiscalidad responsable</w:t>
      </w:r>
      <w:r w:rsidRPr="002D1701">
        <w:rPr>
          <w:rFonts w:ascii="Open Sans" w:hAnsi="Open Sans" w:cs="Arial"/>
          <w:sz w:val="20"/>
          <w:szCs w:val="20"/>
          <w:lang w:val="es-ES"/>
        </w:rPr>
        <w:t xml:space="preserve"> de las empresas españolas analizadas, se han trasladado </w:t>
      </w:r>
      <w:r w:rsidRPr="007C604A">
        <w:rPr>
          <w:rFonts w:ascii="Open Sans" w:hAnsi="Open Sans" w:cs="Arial"/>
          <w:sz w:val="20"/>
          <w:szCs w:val="20"/>
          <w:lang w:val="es-ES"/>
        </w:rPr>
        <w:t xml:space="preserve">las valoraciones cualitativas a valoraciones cuantitativas mediante la metodología descrita en el </w:t>
      </w:r>
      <w:r w:rsidRPr="007C604A">
        <w:rPr>
          <w:rFonts w:ascii="Open Sans" w:hAnsi="Open Sans" w:cs="Arial"/>
          <w:i/>
          <w:sz w:val="20"/>
          <w:szCs w:val="20"/>
          <w:lang w:val="es-ES"/>
        </w:rPr>
        <w:t>‘Modelo de Análisis’</w:t>
      </w:r>
      <w:r w:rsidRPr="007C604A">
        <w:rPr>
          <w:rFonts w:ascii="Open Sans" w:hAnsi="Open Sans" w:cs="Arial"/>
          <w:sz w:val="20"/>
          <w:szCs w:val="20"/>
          <w:lang w:val="es-ES"/>
        </w:rPr>
        <w:t>.</w:t>
      </w:r>
    </w:p>
    <w:p w14:paraId="51C67DD1" w14:textId="77777777" w:rsidR="005337D5" w:rsidRPr="002D1701" w:rsidRDefault="005337D5" w:rsidP="005337D5">
      <w:pPr>
        <w:jc w:val="both"/>
        <w:rPr>
          <w:rFonts w:ascii="Open Sans" w:hAnsi="Open Sans" w:cs="Arial"/>
          <w:sz w:val="20"/>
          <w:szCs w:val="20"/>
          <w:lang w:val="es-ES"/>
        </w:rPr>
      </w:pPr>
    </w:p>
    <w:p w14:paraId="46D596A3" w14:textId="77777777" w:rsidR="005337D5" w:rsidRPr="002D1701" w:rsidRDefault="005337D5" w:rsidP="005337D5">
      <w:pPr>
        <w:jc w:val="both"/>
        <w:rPr>
          <w:rFonts w:ascii="Open Sans" w:hAnsi="Open Sans" w:cs="Arial"/>
          <w:sz w:val="20"/>
          <w:szCs w:val="20"/>
          <w:lang w:val="es-ES"/>
        </w:rPr>
      </w:pPr>
      <w:r w:rsidRPr="00AC485E">
        <w:rPr>
          <w:rFonts w:ascii="Open Sans" w:hAnsi="Open Sans" w:cs="Arial"/>
          <w:sz w:val="20"/>
          <w:szCs w:val="20"/>
          <w:lang w:val="es-ES"/>
        </w:rPr>
        <w:t xml:space="preserve">El análisis, tal y como se describe con más detalle en el apartado </w:t>
      </w:r>
      <w:r w:rsidRPr="00AC485E">
        <w:rPr>
          <w:rFonts w:ascii="Open Sans" w:hAnsi="Open Sans" w:cs="Arial"/>
          <w:i/>
          <w:sz w:val="20"/>
          <w:szCs w:val="20"/>
          <w:lang w:val="es-ES"/>
        </w:rPr>
        <w:t>‘Alcance del estudio’</w:t>
      </w:r>
      <w:r w:rsidRPr="00AC485E">
        <w:rPr>
          <w:rFonts w:ascii="Open Sans" w:hAnsi="Open Sans" w:cs="Arial"/>
          <w:sz w:val="20"/>
          <w:szCs w:val="20"/>
          <w:lang w:val="es-ES"/>
        </w:rPr>
        <w:t>, se limita únicamente a la información correlativa a las compañías de la muestra, no ampliándose a otros documentos adicionales publicados por empresas participadas, filiales o pertenecientes al mismo grupo empresarial.</w:t>
      </w:r>
    </w:p>
    <w:p w14:paraId="4D5A51F5" w14:textId="77777777" w:rsidR="005337D5" w:rsidRDefault="005337D5" w:rsidP="004B4150"/>
    <w:p w14:paraId="3E579A3C" w14:textId="483B3E3A" w:rsidR="004B4150" w:rsidRPr="007A1F9C" w:rsidRDefault="004B4150" w:rsidP="007A1F9C">
      <w:pPr>
        <w:rPr>
          <w:rFonts w:ascii="Arial" w:hAnsi="Arial" w:cs="Arial"/>
          <w:sz w:val="20"/>
          <w:szCs w:val="20"/>
          <w:lang w:val="es-ES"/>
        </w:rPr>
      </w:pPr>
      <w:r>
        <w:rPr>
          <w:rFonts w:ascii="Arial" w:hAnsi="Arial" w:cs="Arial"/>
          <w:sz w:val="20"/>
          <w:szCs w:val="20"/>
          <w:lang w:val="es-ES"/>
        </w:rPr>
        <w:br w:type="page"/>
      </w:r>
    </w:p>
    <w:p w14:paraId="52E63E7E" w14:textId="50C64793" w:rsidR="00B525FF" w:rsidRPr="002D1701" w:rsidRDefault="00A4529A" w:rsidP="00E75060">
      <w:pPr>
        <w:pStyle w:val="Titulo2-InformeFinal"/>
        <w:rPr>
          <w:i/>
        </w:rPr>
      </w:pPr>
      <w:bookmarkStart w:id="7" w:name="_Toc254282527"/>
      <w:bookmarkStart w:id="8" w:name="_Toc354061507"/>
      <w:r w:rsidRPr="002D1701">
        <w:t>2</w:t>
      </w:r>
      <w:r w:rsidR="00A112C7" w:rsidRPr="002D1701">
        <w:t xml:space="preserve">.2. </w:t>
      </w:r>
      <w:r w:rsidR="00B525FF" w:rsidRPr="002D1701">
        <w:t>Metodología</w:t>
      </w:r>
      <w:bookmarkEnd w:id="7"/>
      <w:bookmarkEnd w:id="8"/>
    </w:p>
    <w:p w14:paraId="2C891C1D" w14:textId="69A2AAD1" w:rsidR="00B525FF" w:rsidRPr="002D1701" w:rsidRDefault="00A4529A" w:rsidP="00E75060">
      <w:pPr>
        <w:pStyle w:val="Titulo3-informefinal"/>
        <w:rPr>
          <w:i/>
        </w:rPr>
      </w:pPr>
      <w:bookmarkStart w:id="9" w:name="_Toc254282528"/>
      <w:bookmarkStart w:id="10" w:name="_Toc354061508"/>
      <w:r w:rsidRPr="002D1701">
        <w:t>2</w:t>
      </w:r>
      <w:r w:rsidR="00A112C7" w:rsidRPr="002D1701">
        <w:t xml:space="preserve">.2.1. </w:t>
      </w:r>
      <w:r w:rsidR="00B525FF" w:rsidRPr="002D1701">
        <w:t>Alcance del estudio</w:t>
      </w:r>
      <w:bookmarkEnd w:id="9"/>
      <w:bookmarkEnd w:id="10"/>
    </w:p>
    <w:p w14:paraId="23CF1ED9" w14:textId="77777777" w:rsidR="007A1F9C" w:rsidRPr="002D1701" w:rsidRDefault="007A1F9C" w:rsidP="007A1F9C">
      <w:pPr>
        <w:rPr>
          <w:rFonts w:ascii="Open Sans" w:hAnsi="Open Sans"/>
        </w:rPr>
      </w:pPr>
    </w:p>
    <w:p w14:paraId="1E689340" w14:textId="77777777" w:rsidR="005337D5" w:rsidRPr="002D1701" w:rsidRDefault="005337D5" w:rsidP="005337D5">
      <w:pPr>
        <w:jc w:val="both"/>
        <w:rPr>
          <w:rFonts w:ascii="Open Sans" w:hAnsi="Open Sans" w:cs="Arial"/>
          <w:sz w:val="20"/>
          <w:szCs w:val="20"/>
        </w:rPr>
      </w:pPr>
      <w:r w:rsidRPr="002D1701">
        <w:rPr>
          <w:rFonts w:ascii="Open Sans" w:hAnsi="Open Sans" w:cs="Arial"/>
          <w:sz w:val="20"/>
          <w:szCs w:val="20"/>
        </w:rPr>
        <w:t>Con la finalidad de proporcionar homog</w:t>
      </w:r>
      <w:r>
        <w:rPr>
          <w:rFonts w:ascii="Open Sans" w:hAnsi="Open Sans" w:cs="Arial"/>
          <w:sz w:val="20"/>
          <w:szCs w:val="20"/>
        </w:rPr>
        <w:t>eneidad al análisis, se ha</w:t>
      </w:r>
      <w:r w:rsidRPr="002D1701">
        <w:rPr>
          <w:rFonts w:ascii="Open Sans" w:hAnsi="Open Sans" w:cs="Arial"/>
          <w:sz w:val="20"/>
          <w:szCs w:val="20"/>
        </w:rPr>
        <w:t xml:space="preserve"> tomado como base</w:t>
      </w:r>
      <w:r>
        <w:rPr>
          <w:rFonts w:ascii="Open Sans" w:hAnsi="Open Sans" w:cs="Arial"/>
          <w:sz w:val="20"/>
          <w:szCs w:val="20"/>
        </w:rPr>
        <w:t xml:space="preserve"> la información publicada por la empresa referida al  ejercicio 2015</w:t>
      </w:r>
      <w:r w:rsidRPr="002D1701">
        <w:rPr>
          <w:rFonts w:ascii="Open Sans" w:hAnsi="Open Sans" w:cs="Arial"/>
          <w:sz w:val="20"/>
          <w:szCs w:val="20"/>
        </w:rPr>
        <w:t>.</w:t>
      </w:r>
      <w:r>
        <w:rPr>
          <w:rFonts w:ascii="Open Sans" w:hAnsi="Open Sans" w:cs="Arial"/>
          <w:sz w:val="20"/>
          <w:szCs w:val="20"/>
        </w:rPr>
        <w:t xml:space="preserve"> Entre la documentación considerada en el análisis se encuentran las cuentas anuales, informe de gobierno de corporativo, política fiscal, política de RSC, reglamentos del consejo, informes de las comisiones de auditoria, memoria de responsabilidad social, entre otros.  </w:t>
      </w:r>
      <w:r w:rsidRPr="002D1701">
        <w:rPr>
          <w:rFonts w:ascii="Open Sans" w:hAnsi="Open Sans" w:cs="Arial"/>
          <w:sz w:val="20"/>
          <w:szCs w:val="20"/>
        </w:rPr>
        <w:t xml:space="preserve"> </w:t>
      </w:r>
    </w:p>
    <w:p w14:paraId="2CE5C090" w14:textId="77777777" w:rsidR="005337D5" w:rsidRPr="002D1701" w:rsidRDefault="005337D5" w:rsidP="005337D5">
      <w:pPr>
        <w:jc w:val="both"/>
        <w:rPr>
          <w:rFonts w:ascii="Open Sans" w:hAnsi="Open Sans" w:cs="Arial"/>
          <w:sz w:val="20"/>
          <w:szCs w:val="20"/>
        </w:rPr>
      </w:pPr>
    </w:p>
    <w:p w14:paraId="051924A4" w14:textId="77777777" w:rsidR="005337D5" w:rsidRPr="002D1701" w:rsidRDefault="005337D5" w:rsidP="005337D5">
      <w:pPr>
        <w:jc w:val="both"/>
        <w:rPr>
          <w:rFonts w:ascii="Open Sans" w:hAnsi="Open Sans" w:cs="Arial"/>
          <w:sz w:val="20"/>
          <w:szCs w:val="20"/>
        </w:rPr>
      </w:pPr>
      <w:r w:rsidRPr="002D1701">
        <w:rPr>
          <w:rFonts w:ascii="Open Sans" w:hAnsi="Open Sans" w:cs="Arial"/>
          <w:sz w:val="20"/>
          <w:szCs w:val="20"/>
        </w:rPr>
        <w:t xml:space="preserve">En los casos en los que el equipo de análisis lo ha considerado relevante para las conclusiones del estudio, se ha incluido información adicional facilitada tanto por las empresas y por algunos de </w:t>
      </w:r>
      <w:r w:rsidRPr="001846FB">
        <w:rPr>
          <w:rFonts w:ascii="Open Sans" w:hAnsi="Open Sans" w:cs="Arial"/>
          <w:sz w:val="20"/>
          <w:szCs w:val="20"/>
        </w:rPr>
        <w:t>sus grupos de interés</w:t>
      </w:r>
      <w:r w:rsidRPr="002D1701">
        <w:rPr>
          <w:rFonts w:ascii="Open Sans" w:hAnsi="Open Sans" w:cs="Arial"/>
          <w:sz w:val="20"/>
          <w:szCs w:val="20"/>
        </w:rPr>
        <w:t xml:space="preserve">, como otros documentos </w:t>
      </w:r>
      <w:r>
        <w:rPr>
          <w:rFonts w:ascii="Open Sans" w:hAnsi="Open Sans" w:cs="Arial"/>
          <w:sz w:val="20"/>
          <w:szCs w:val="20"/>
        </w:rPr>
        <w:t xml:space="preserve">e informes, artículos y noticias aparecidas en prensa, siempre que sean </w:t>
      </w:r>
      <w:r w:rsidRPr="002D1701">
        <w:rPr>
          <w:rFonts w:ascii="Open Sans" w:hAnsi="Open Sans" w:cs="Arial"/>
          <w:sz w:val="20"/>
          <w:szCs w:val="20"/>
        </w:rPr>
        <w:t>de carácter público y accesible</w:t>
      </w:r>
      <w:r>
        <w:rPr>
          <w:rFonts w:ascii="Open Sans" w:hAnsi="Open Sans" w:cs="Arial"/>
          <w:sz w:val="20"/>
          <w:szCs w:val="20"/>
        </w:rPr>
        <w:t>.</w:t>
      </w:r>
      <w:r w:rsidRPr="002D1701">
        <w:rPr>
          <w:rFonts w:ascii="Open Sans" w:hAnsi="Open Sans" w:cs="Arial"/>
          <w:sz w:val="20"/>
          <w:szCs w:val="20"/>
        </w:rPr>
        <w:t xml:space="preserve"> En el análisis individual por empresa se especifican qué documentos han sido considerados para la evaluación de la calidad de la información de cada empresa.</w:t>
      </w:r>
    </w:p>
    <w:p w14:paraId="309F5044" w14:textId="77777777" w:rsidR="005337D5" w:rsidRPr="002D1701" w:rsidRDefault="005337D5" w:rsidP="005337D5">
      <w:pPr>
        <w:jc w:val="both"/>
        <w:rPr>
          <w:rFonts w:ascii="Open Sans" w:hAnsi="Open Sans" w:cs="Arial"/>
          <w:sz w:val="20"/>
          <w:szCs w:val="20"/>
        </w:rPr>
      </w:pPr>
    </w:p>
    <w:p w14:paraId="5BDF3443" w14:textId="6AD70C61" w:rsidR="007A1F9C" w:rsidRDefault="005337D5" w:rsidP="005337D5">
      <w:pPr>
        <w:jc w:val="both"/>
        <w:rPr>
          <w:rFonts w:ascii="Open Sans" w:hAnsi="Open Sans" w:cs="Arial"/>
          <w:b/>
          <w:sz w:val="20"/>
          <w:szCs w:val="20"/>
        </w:rPr>
      </w:pPr>
      <w:r w:rsidRPr="002D1701">
        <w:rPr>
          <w:rFonts w:ascii="Open Sans" w:hAnsi="Open Sans" w:cs="Arial"/>
          <w:sz w:val="20"/>
          <w:szCs w:val="20"/>
        </w:rPr>
        <w:t xml:space="preserve">Por motivos de representatividad y relevancia se </w:t>
      </w:r>
      <w:r>
        <w:rPr>
          <w:rFonts w:ascii="Open Sans" w:hAnsi="Open Sans" w:cs="Arial"/>
          <w:sz w:val="20"/>
          <w:szCs w:val="20"/>
        </w:rPr>
        <w:t>ha decidido</w:t>
      </w:r>
      <w:r w:rsidRPr="002D1701">
        <w:rPr>
          <w:rFonts w:ascii="Open Sans" w:hAnsi="Open Sans" w:cs="Arial"/>
          <w:sz w:val="20"/>
          <w:szCs w:val="20"/>
        </w:rPr>
        <w:t xml:space="preserve"> tomar como muestra </w:t>
      </w:r>
      <w:r w:rsidRPr="002D1701">
        <w:rPr>
          <w:rFonts w:ascii="Open Sans" w:hAnsi="Open Sans" w:cs="Arial"/>
          <w:b/>
          <w:sz w:val="20"/>
          <w:szCs w:val="20"/>
        </w:rPr>
        <w:t>las treinta y cinco empresas que a fecha 31 de diciembre de 20</w:t>
      </w:r>
      <w:r>
        <w:rPr>
          <w:rFonts w:ascii="Open Sans" w:hAnsi="Open Sans" w:cs="Arial"/>
          <w:b/>
          <w:sz w:val="20"/>
          <w:szCs w:val="20"/>
        </w:rPr>
        <w:t>15</w:t>
      </w:r>
      <w:r w:rsidRPr="002D1701">
        <w:rPr>
          <w:rFonts w:ascii="Open Sans" w:hAnsi="Open Sans" w:cs="Arial"/>
          <w:b/>
          <w:sz w:val="20"/>
          <w:szCs w:val="20"/>
        </w:rPr>
        <w:t xml:space="preserve"> componían el índice IBEX 35 del mercado español de valores</w:t>
      </w:r>
      <w:r>
        <w:rPr>
          <w:rFonts w:ascii="Open Sans" w:hAnsi="Open Sans" w:cs="Arial"/>
          <w:b/>
          <w:sz w:val="20"/>
          <w:szCs w:val="20"/>
        </w:rPr>
        <w:t xml:space="preserve"> (ver anexo) </w:t>
      </w:r>
      <w:r w:rsidRPr="002D1701">
        <w:rPr>
          <w:rFonts w:ascii="Open Sans" w:hAnsi="Open Sans" w:cs="Arial"/>
          <w:b/>
          <w:sz w:val="20"/>
          <w:szCs w:val="20"/>
        </w:rPr>
        <w:t xml:space="preserve"> .</w:t>
      </w:r>
    </w:p>
    <w:p w14:paraId="5702D09C" w14:textId="77777777" w:rsidR="005337D5" w:rsidRPr="002D1701" w:rsidRDefault="005337D5" w:rsidP="005337D5">
      <w:pPr>
        <w:rPr>
          <w:rFonts w:ascii="Open Sans" w:hAnsi="Open Sans"/>
        </w:rPr>
      </w:pPr>
    </w:p>
    <w:p w14:paraId="71F45D30" w14:textId="6971EB9C" w:rsidR="00B525FF" w:rsidRPr="002D1701" w:rsidRDefault="00A4529A" w:rsidP="00E75060">
      <w:pPr>
        <w:pStyle w:val="Titulo3-informefinal"/>
        <w:rPr>
          <w:i/>
        </w:rPr>
      </w:pPr>
      <w:bookmarkStart w:id="11" w:name="_Toc254282529"/>
      <w:bookmarkStart w:id="12" w:name="_Toc354061509"/>
      <w:r w:rsidRPr="002D1701">
        <w:t>2</w:t>
      </w:r>
      <w:r w:rsidR="00A112C7" w:rsidRPr="002D1701">
        <w:t xml:space="preserve">.2.2. </w:t>
      </w:r>
      <w:r w:rsidR="00B525FF" w:rsidRPr="002D1701">
        <w:t>Fases del estudio</w:t>
      </w:r>
      <w:bookmarkEnd w:id="11"/>
      <w:bookmarkEnd w:id="12"/>
    </w:p>
    <w:p w14:paraId="24A84F25" w14:textId="77777777" w:rsidR="006E3C22" w:rsidRPr="002D1701" w:rsidRDefault="006E3C22" w:rsidP="006E3C22">
      <w:pPr>
        <w:rPr>
          <w:rFonts w:ascii="Open Sans" w:hAnsi="Open Sans"/>
        </w:rPr>
      </w:pPr>
    </w:p>
    <w:p w14:paraId="6330A0FA" w14:textId="77777777" w:rsidR="005337D5" w:rsidRPr="002D1701" w:rsidRDefault="005337D5" w:rsidP="005337D5">
      <w:pPr>
        <w:suppressAutoHyphens/>
        <w:jc w:val="both"/>
        <w:rPr>
          <w:rFonts w:ascii="Open Sans" w:eastAsia="Times New Roman" w:hAnsi="Open Sans" w:cs="Arial"/>
          <w:b/>
          <w:sz w:val="20"/>
          <w:szCs w:val="22"/>
          <w:lang w:val="es-ES" w:eastAsia="ar-SA"/>
        </w:rPr>
      </w:pPr>
      <w:r w:rsidRPr="002D1701">
        <w:rPr>
          <w:rFonts w:ascii="Open Sans" w:eastAsia="Times New Roman" w:hAnsi="Open Sans" w:cs="Arial"/>
          <w:b/>
          <w:sz w:val="20"/>
          <w:szCs w:val="22"/>
          <w:lang w:val="es-ES" w:eastAsia="ar-SA"/>
        </w:rPr>
        <w:t>A. Definición y desarrollo del Modelo de Análisis</w:t>
      </w:r>
    </w:p>
    <w:p w14:paraId="5B9C73BB" w14:textId="77777777" w:rsidR="005337D5" w:rsidRPr="002D1701" w:rsidRDefault="005337D5" w:rsidP="005337D5">
      <w:pPr>
        <w:suppressAutoHyphens/>
        <w:jc w:val="both"/>
        <w:rPr>
          <w:rFonts w:ascii="Open Sans" w:eastAsia="Times New Roman" w:hAnsi="Open Sans" w:cs="Arial"/>
          <w:b/>
          <w:sz w:val="20"/>
          <w:szCs w:val="22"/>
          <w:lang w:val="es-ES" w:eastAsia="ar-SA"/>
        </w:rPr>
      </w:pPr>
    </w:p>
    <w:p w14:paraId="1C10AFC4" w14:textId="77777777" w:rsidR="005337D5" w:rsidRPr="002D1701" w:rsidRDefault="005337D5" w:rsidP="005337D5">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El estudio se basa en un </w:t>
      </w:r>
      <w:r w:rsidRPr="005A7158">
        <w:rPr>
          <w:rFonts w:ascii="Open Sans" w:eastAsia="Times New Roman" w:hAnsi="Open Sans" w:cs="Arial"/>
          <w:i/>
          <w:sz w:val="20"/>
          <w:szCs w:val="22"/>
          <w:lang w:val="es-ES" w:eastAsia="ar-SA"/>
        </w:rPr>
        <w:t>Modelo de Análisis</w:t>
      </w:r>
      <w:r w:rsidRPr="002D1701">
        <w:rPr>
          <w:rFonts w:ascii="Open Sans" w:eastAsia="Times New Roman" w:hAnsi="Open Sans" w:cs="Arial"/>
          <w:sz w:val="20"/>
          <w:szCs w:val="22"/>
          <w:lang w:val="es-ES" w:eastAsia="ar-SA"/>
        </w:rPr>
        <w:t xml:space="preserve"> que cumple con las siguientes características:</w:t>
      </w:r>
    </w:p>
    <w:p w14:paraId="4733BC15" w14:textId="77777777" w:rsidR="005337D5" w:rsidRPr="002D1701" w:rsidRDefault="005337D5" w:rsidP="005337D5">
      <w:pPr>
        <w:suppressAutoHyphens/>
        <w:jc w:val="both"/>
        <w:rPr>
          <w:rFonts w:ascii="Open Sans" w:eastAsia="Times New Roman" w:hAnsi="Open Sans" w:cs="Arial"/>
          <w:sz w:val="20"/>
          <w:szCs w:val="22"/>
          <w:lang w:val="es-ES" w:eastAsia="ar-SA"/>
        </w:rPr>
      </w:pPr>
    </w:p>
    <w:p w14:paraId="26C34F37" w14:textId="77777777" w:rsidR="005337D5" w:rsidRDefault="005337D5" w:rsidP="000B70C9">
      <w:pPr>
        <w:pStyle w:val="Prrafodelista"/>
        <w:numPr>
          <w:ilvl w:val="0"/>
          <w:numId w:val="99"/>
        </w:numPr>
        <w:suppressAutoHyphens/>
        <w:jc w:val="both"/>
        <w:rPr>
          <w:rFonts w:ascii="Open Sans" w:eastAsia="Times New Roman" w:hAnsi="Open Sans" w:cs="Arial"/>
          <w:sz w:val="20"/>
          <w:szCs w:val="22"/>
          <w:lang w:val="es-ES" w:eastAsia="ar-SA"/>
        </w:rPr>
      </w:pPr>
      <w:r w:rsidRPr="00495748">
        <w:rPr>
          <w:rFonts w:ascii="Open Sans" w:eastAsia="Times New Roman" w:hAnsi="Open Sans" w:cs="Arial"/>
          <w:sz w:val="20"/>
          <w:szCs w:val="22"/>
          <w:lang w:val="es-ES" w:eastAsia="ar-SA"/>
        </w:rPr>
        <w:t xml:space="preserve">Integración de los diferentes aspectos relativos a la </w:t>
      </w:r>
      <w:r>
        <w:rPr>
          <w:rFonts w:ascii="Open Sans" w:eastAsia="Times New Roman" w:hAnsi="Open Sans" w:cs="Arial"/>
          <w:sz w:val="20"/>
          <w:szCs w:val="22"/>
          <w:lang w:val="es-ES" w:eastAsia="ar-SA"/>
        </w:rPr>
        <w:t xml:space="preserve">Responsabilidad Fiscal Responsable </w:t>
      </w:r>
      <w:r w:rsidRPr="00495748">
        <w:rPr>
          <w:rFonts w:ascii="Open Sans" w:eastAsia="Times New Roman" w:hAnsi="Open Sans" w:cs="Arial"/>
          <w:sz w:val="20"/>
          <w:szCs w:val="22"/>
          <w:lang w:val="es-ES" w:eastAsia="ar-SA"/>
        </w:rPr>
        <w:t xml:space="preserve"> al máximo nivel de detalle, teniendo en cuenta el amplio espectro de conexiones entre la RSC</w:t>
      </w:r>
      <w:r>
        <w:rPr>
          <w:rFonts w:ascii="Open Sans" w:eastAsia="Times New Roman" w:hAnsi="Open Sans" w:cs="Arial"/>
          <w:sz w:val="20"/>
          <w:szCs w:val="22"/>
          <w:lang w:val="es-ES" w:eastAsia="ar-SA"/>
        </w:rPr>
        <w:t xml:space="preserve">, la fiscalidad </w:t>
      </w:r>
      <w:r w:rsidRPr="00495748">
        <w:rPr>
          <w:rFonts w:ascii="Open Sans" w:eastAsia="Times New Roman" w:hAnsi="Open Sans" w:cs="Arial"/>
          <w:sz w:val="20"/>
          <w:szCs w:val="22"/>
          <w:lang w:val="es-ES" w:eastAsia="ar-SA"/>
        </w:rPr>
        <w:t xml:space="preserve"> y las operaciones de una gran empresa.</w:t>
      </w:r>
    </w:p>
    <w:p w14:paraId="645F5593" w14:textId="77777777" w:rsidR="005337D5" w:rsidRPr="00495748" w:rsidRDefault="005337D5" w:rsidP="005337D5">
      <w:pPr>
        <w:pStyle w:val="Prrafodelista"/>
        <w:suppressAutoHyphens/>
        <w:jc w:val="both"/>
        <w:rPr>
          <w:rFonts w:ascii="Open Sans" w:eastAsia="Times New Roman" w:hAnsi="Open Sans" w:cs="Arial"/>
          <w:sz w:val="20"/>
          <w:szCs w:val="22"/>
          <w:lang w:val="es-ES" w:eastAsia="ar-SA"/>
        </w:rPr>
      </w:pPr>
    </w:p>
    <w:p w14:paraId="2DC2C5CD" w14:textId="77777777" w:rsidR="005337D5" w:rsidRDefault="005337D5" w:rsidP="000B70C9">
      <w:pPr>
        <w:pStyle w:val="Prrafodelista"/>
        <w:numPr>
          <w:ilvl w:val="0"/>
          <w:numId w:val="99"/>
        </w:numPr>
        <w:suppressAutoHyphens/>
        <w:jc w:val="both"/>
        <w:rPr>
          <w:rFonts w:ascii="Open Sans" w:eastAsia="Times New Roman" w:hAnsi="Open Sans" w:cs="Arial"/>
          <w:sz w:val="20"/>
          <w:szCs w:val="22"/>
          <w:lang w:val="es-ES" w:eastAsia="ar-SA"/>
        </w:rPr>
      </w:pPr>
      <w:r w:rsidRPr="00495748">
        <w:rPr>
          <w:rFonts w:ascii="Open Sans" w:eastAsia="Times New Roman" w:hAnsi="Open Sans" w:cs="Arial"/>
          <w:sz w:val="20"/>
          <w:szCs w:val="22"/>
          <w:lang w:val="es-ES" w:eastAsia="ar-SA"/>
        </w:rPr>
        <w:t xml:space="preserve">La garantía y la credibilidad que ofrecen </w:t>
      </w:r>
      <w:r>
        <w:rPr>
          <w:rFonts w:ascii="Open Sans" w:eastAsia="Times New Roman" w:hAnsi="Open Sans" w:cs="Arial"/>
          <w:sz w:val="20"/>
          <w:szCs w:val="22"/>
          <w:lang w:val="es-ES" w:eastAsia="ar-SA"/>
        </w:rPr>
        <w:t>indicadores relacionados con fiscalidad y el reporting country by country  ampliamente aceptado</w:t>
      </w:r>
      <w:r w:rsidRPr="00495748">
        <w:rPr>
          <w:rFonts w:ascii="Open Sans" w:eastAsia="Times New Roman" w:hAnsi="Open Sans" w:cs="Arial"/>
          <w:sz w:val="20"/>
          <w:szCs w:val="22"/>
          <w:lang w:val="es-ES" w:eastAsia="ar-SA"/>
        </w:rPr>
        <w:t>s a nivel internacional.</w:t>
      </w:r>
    </w:p>
    <w:p w14:paraId="3862CED5" w14:textId="77777777" w:rsidR="005337D5" w:rsidRPr="00495748" w:rsidRDefault="005337D5" w:rsidP="005337D5">
      <w:pPr>
        <w:pStyle w:val="Prrafodelista"/>
        <w:suppressAutoHyphens/>
        <w:jc w:val="both"/>
        <w:rPr>
          <w:rFonts w:ascii="Open Sans" w:eastAsia="Times New Roman" w:hAnsi="Open Sans" w:cs="Arial"/>
          <w:sz w:val="20"/>
          <w:szCs w:val="22"/>
          <w:lang w:val="es-ES" w:eastAsia="ar-SA"/>
        </w:rPr>
      </w:pPr>
    </w:p>
    <w:p w14:paraId="242B14A1" w14:textId="77777777" w:rsidR="005337D5" w:rsidRDefault="005337D5" w:rsidP="000B70C9">
      <w:pPr>
        <w:pStyle w:val="Prrafodelista"/>
        <w:numPr>
          <w:ilvl w:val="0"/>
          <w:numId w:val="99"/>
        </w:numPr>
        <w:suppressAutoHyphens/>
        <w:jc w:val="both"/>
        <w:rPr>
          <w:rFonts w:ascii="Open Sans" w:eastAsia="Times New Roman" w:hAnsi="Open Sans" w:cs="Arial"/>
          <w:sz w:val="20"/>
          <w:szCs w:val="22"/>
          <w:lang w:val="es-ES" w:eastAsia="ar-SA"/>
        </w:rPr>
      </w:pPr>
      <w:r w:rsidRPr="00495748">
        <w:rPr>
          <w:rFonts w:ascii="Open Sans" w:eastAsia="Times New Roman" w:hAnsi="Open Sans" w:cs="Arial"/>
          <w:sz w:val="20"/>
          <w:szCs w:val="22"/>
          <w:lang w:val="es-ES" w:eastAsia="ar-SA"/>
        </w:rPr>
        <w:t>Posibilidad de transformar valoraciones cualitativas en cuantitativas que permiten dotar de objetividad a los resultados, facilitan la comparabilidad de los mismos y permiten el seguimiento de su evolución en el tiempo.</w:t>
      </w:r>
    </w:p>
    <w:p w14:paraId="41A58078" w14:textId="77777777" w:rsidR="005337D5" w:rsidRPr="00495748" w:rsidRDefault="005337D5" w:rsidP="005337D5">
      <w:pPr>
        <w:pStyle w:val="Prrafodelista"/>
        <w:suppressAutoHyphens/>
        <w:jc w:val="both"/>
        <w:rPr>
          <w:rFonts w:ascii="Open Sans" w:eastAsia="Times New Roman" w:hAnsi="Open Sans" w:cs="Arial"/>
          <w:sz w:val="20"/>
          <w:szCs w:val="22"/>
          <w:lang w:val="es-ES" w:eastAsia="ar-SA"/>
        </w:rPr>
      </w:pPr>
    </w:p>
    <w:p w14:paraId="23C31F16" w14:textId="77777777" w:rsidR="005337D5" w:rsidRPr="00495748" w:rsidRDefault="005337D5" w:rsidP="000B70C9">
      <w:pPr>
        <w:pStyle w:val="Prrafodelista"/>
        <w:numPr>
          <w:ilvl w:val="0"/>
          <w:numId w:val="99"/>
        </w:numPr>
        <w:suppressAutoHyphens/>
        <w:jc w:val="both"/>
        <w:rPr>
          <w:rFonts w:ascii="Open Sans" w:eastAsia="Times New Roman" w:hAnsi="Open Sans" w:cs="Arial"/>
          <w:sz w:val="20"/>
          <w:szCs w:val="22"/>
          <w:lang w:val="es-ES" w:eastAsia="ar-SA"/>
        </w:rPr>
      </w:pPr>
      <w:r w:rsidRPr="00495748">
        <w:rPr>
          <w:rFonts w:ascii="Open Sans" w:eastAsia="Times New Roman" w:hAnsi="Open Sans" w:cs="Arial"/>
          <w:sz w:val="20"/>
          <w:szCs w:val="22"/>
          <w:lang w:val="es-ES" w:eastAsia="ar-SA"/>
        </w:rPr>
        <w:t>Minimización de la incertidumbre generada en la evaluación, a través de la aplicación de criterios comunes, así como de revisiones y comparaciones de los resultados por parte de los analistas.</w:t>
      </w:r>
    </w:p>
    <w:p w14:paraId="0F8C441F" w14:textId="77777777" w:rsidR="005337D5" w:rsidRPr="002D1701" w:rsidRDefault="005337D5" w:rsidP="005337D5">
      <w:pPr>
        <w:suppressAutoHyphens/>
        <w:ind w:left="643"/>
        <w:jc w:val="both"/>
        <w:rPr>
          <w:rFonts w:ascii="Open Sans" w:eastAsia="Times New Roman" w:hAnsi="Open Sans" w:cs="Arial"/>
          <w:sz w:val="20"/>
          <w:szCs w:val="22"/>
          <w:lang w:val="es-ES" w:eastAsia="ar-SA"/>
        </w:rPr>
      </w:pPr>
    </w:p>
    <w:p w14:paraId="131E046C" w14:textId="1EDB56A3" w:rsidR="005337D5" w:rsidRDefault="005337D5" w:rsidP="005337D5">
      <w:pPr>
        <w:suppressAutoHyphens/>
        <w:jc w:val="both"/>
        <w:rPr>
          <w:rFonts w:ascii="Open Sans" w:eastAsia="Times New Roman" w:hAnsi="Open Sans" w:cs="Arial"/>
          <w:sz w:val="20"/>
          <w:szCs w:val="22"/>
          <w:lang w:val="es-ES" w:eastAsia="ar-SA"/>
        </w:rPr>
      </w:pPr>
      <w:r w:rsidRPr="007C604A">
        <w:rPr>
          <w:rFonts w:ascii="Open Sans" w:eastAsia="Times New Roman" w:hAnsi="Open Sans" w:cs="Arial"/>
          <w:sz w:val="20"/>
          <w:szCs w:val="22"/>
          <w:lang w:val="es-ES" w:eastAsia="ar-SA"/>
        </w:rPr>
        <w:t xml:space="preserve">Para mejorar aquellos aspectos que implican una información cualitativa de la empresa, </w:t>
      </w:r>
      <w:r>
        <w:rPr>
          <w:rFonts w:ascii="Open Sans" w:eastAsia="Times New Roman" w:hAnsi="Open Sans" w:cs="Arial"/>
          <w:sz w:val="20"/>
          <w:szCs w:val="22"/>
          <w:lang w:val="es-ES" w:eastAsia="ar-SA"/>
        </w:rPr>
        <w:t>se han fijado un</w:t>
      </w:r>
      <w:r w:rsidRPr="007C604A">
        <w:rPr>
          <w:rFonts w:ascii="Open Sans" w:eastAsia="Times New Roman" w:hAnsi="Open Sans" w:cs="Arial"/>
          <w:sz w:val="20"/>
          <w:szCs w:val="22"/>
          <w:lang w:val="es-ES" w:eastAsia="ar-SA"/>
        </w:rPr>
        <w:t>os criterios de interpretación de los indicadores cualitativos.</w:t>
      </w:r>
      <w:r>
        <w:rPr>
          <w:rFonts w:ascii="Open Sans" w:eastAsia="Times New Roman" w:hAnsi="Open Sans" w:cs="Arial"/>
          <w:sz w:val="20"/>
          <w:szCs w:val="22"/>
          <w:lang w:val="es-ES" w:eastAsia="ar-SA"/>
        </w:rPr>
        <w:t xml:space="preserve"> Hay aspectos de fiscalidad que se recogen en el presente estudio, que han sido objeto de análisis  en ejercicios anteriores por parte del Observatorio de RSC, no obstante hay notables diferencias tanto metodológicas como en lo referente a la profundidad en el análisis.  En ediciones anteriores la fiscalidad se analizaba dentro de</w:t>
      </w:r>
      <w:r w:rsidRPr="00FF32F0">
        <w:rPr>
          <w:rFonts w:ascii="Open Sans" w:eastAsia="Times New Roman" w:hAnsi="Open Sans" w:cs="Arial"/>
          <w:sz w:val="20"/>
          <w:szCs w:val="22"/>
          <w:lang w:val="es-ES" w:eastAsia="ar-SA"/>
        </w:rPr>
        <w:t>l eje de contenidos</w:t>
      </w:r>
      <w:r>
        <w:rPr>
          <w:rFonts w:ascii="Open Sans" w:eastAsia="Times New Roman" w:hAnsi="Open Sans" w:cs="Arial"/>
          <w:sz w:val="20"/>
          <w:szCs w:val="22"/>
          <w:lang w:val="es-ES" w:eastAsia="ar-SA"/>
        </w:rPr>
        <w:t xml:space="preserve"> de RSC, que a su vez, está integrado por el análisis de diferentes dimensiones de la RSC y los sistemas de gestión. La</w:t>
      </w:r>
      <w:r w:rsidR="00FE0E87">
        <w:rPr>
          <w:rFonts w:ascii="Open Sans" w:eastAsia="Times New Roman" w:hAnsi="Open Sans" w:cs="Arial"/>
          <w:sz w:val="20"/>
          <w:szCs w:val="22"/>
          <w:lang w:val="es-ES" w:eastAsia="ar-SA"/>
        </w:rPr>
        <w:t xml:space="preserve"> fiscalidad estaba incorporada a la </w:t>
      </w:r>
      <w:r>
        <w:rPr>
          <w:rFonts w:ascii="Open Sans" w:eastAsia="Times New Roman" w:hAnsi="Open Sans" w:cs="Arial"/>
          <w:sz w:val="20"/>
          <w:szCs w:val="22"/>
          <w:lang w:val="es-ES" w:eastAsia="ar-SA"/>
        </w:rPr>
        <w:t>dimensión de “</w:t>
      </w:r>
      <w:r w:rsidRPr="00BA1015">
        <w:rPr>
          <w:rFonts w:ascii="Open Sans" w:eastAsia="Times New Roman" w:hAnsi="Open Sans" w:cs="Arial"/>
          <w:sz w:val="20"/>
          <w:szCs w:val="22"/>
          <w:lang w:val="es-ES" w:eastAsia="ar-SA"/>
        </w:rPr>
        <w:t>Relaciones con la comunidad</w:t>
      </w:r>
      <w:r>
        <w:rPr>
          <w:rFonts w:ascii="Open Sans" w:eastAsia="Times New Roman" w:hAnsi="Open Sans" w:cs="Arial"/>
          <w:sz w:val="20"/>
          <w:szCs w:val="22"/>
          <w:lang w:val="es-ES" w:eastAsia="ar-SA"/>
        </w:rPr>
        <w:t>”:</w:t>
      </w:r>
      <w:r w:rsidRPr="00BA1015">
        <w:rPr>
          <w:rFonts w:ascii="Open Sans" w:eastAsia="Times New Roman" w:hAnsi="Open Sans" w:cs="Arial"/>
          <w:sz w:val="20"/>
          <w:szCs w:val="22"/>
          <w:lang w:val="es-ES" w:eastAsia="ar-SA"/>
        </w:rPr>
        <w:t xml:space="preserve"> Evaluación y gestión de impactos en la comunidad, </w:t>
      </w:r>
      <w:r>
        <w:rPr>
          <w:rFonts w:ascii="Open Sans" w:eastAsia="Times New Roman" w:hAnsi="Open Sans" w:cs="Arial"/>
          <w:sz w:val="20"/>
          <w:szCs w:val="22"/>
          <w:lang w:val="es-ES" w:eastAsia="ar-SA"/>
        </w:rPr>
        <w:t>responsabilidad fiscal y gobernanza empresarial”</w:t>
      </w:r>
    </w:p>
    <w:p w14:paraId="019C6EB1" w14:textId="77777777" w:rsidR="005337D5" w:rsidRDefault="005337D5" w:rsidP="005337D5">
      <w:pPr>
        <w:suppressAutoHyphens/>
        <w:jc w:val="both"/>
        <w:rPr>
          <w:rFonts w:ascii="Open Sans" w:eastAsia="Times New Roman" w:hAnsi="Open Sans" w:cs="Arial"/>
          <w:sz w:val="20"/>
          <w:szCs w:val="22"/>
          <w:lang w:val="es-ES" w:eastAsia="ar-SA"/>
        </w:rPr>
      </w:pPr>
    </w:p>
    <w:p w14:paraId="694F2C67" w14:textId="77777777" w:rsidR="005337D5" w:rsidRDefault="005337D5" w:rsidP="005337D5">
      <w:pPr>
        <w:suppressAutoHyphens/>
        <w:jc w:val="both"/>
        <w:rPr>
          <w:rFonts w:ascii="Open Sans" w:eastAsia="Times New Roman" w:hAnsi="Open Sans" w:cs="Arial"/>
          <w:sz w:val="20"/>
          <w:szCs w:val="22"/>
          <w:lang w:val="es-ES" w:eastAsia="ar-SA"/>
        </w:rPr>
      </w:pPr>
      <w:r w:rsidRPr="00FD5D10">
        <w:rPr>
          <w:rFonts w:ascii="Open Sans" w:eastAsia="Times New Roman" w:hAnsi="Open Sans" w:cs="Arial"/>
          <w:sz w:val="20"/>
          <w:szCs w:val="22"/>
          <w:lang w:val="es-ES" w:eastAsia="ar-SA"/>
        </w:rPr>
        <w:t xml:space="preserve">Para desarrollar la metodología y construir la herramienta de análisis </w:t>
      </w:r>
      <w:r>
        <w:rPr>
          <w:rFonts w:ascii="Open Sans" w:eastAsia="Times New Roman" w:hAnsi="Open Sans" w:cs="Arial"/>
          <w:sz w:val="20"/>
          <w:szCs w:val="22"/>
          <w:lang w:val="es-ES" w:eastAsia="ar-SA"/>
        </w:rPr>
        <w:t>se ha pa</w:t>
      </w:r>
      <w:r w:rsidRPr="00FD5D10">
        <w:rPr>
          <w:rFonts w:ascii="Open Sans" w:eastAsia="Times New Roman" w:hAnsi="Open Sans" w:cs="Arial"/>
          <w:sz w:val="20"/>
          <w:szCs w:val="22"/>
          <w:lang w:val="es-ES" w:eastAsia="ar-SA"/>
        </w:rPr>
        <w:t xml:space="preserve">rtido de una revisión de la literatura existente, </w:t>
      </w:r>
      <w:r>
        <w:rPr>
          <w:rFonts w:ascii="Open Sans" w:eastAsia="Times New Roman" w:hAnsi="Open Sans" w:cs="Arial"/>
          <w:sz w:val="20"/>
          <w:szCs w:val="22"/>
          <w:lang w:val="es-ES" w:eastAsia="ar-SA"/>
        </w:rPr>
        <w:t xml:space="preserve">selección de indicadores fundamentales, </w:t>
      </w:r>
      <w:r w:rsidRPr="00FD5D10">
        <w:rPr>
          <w:rFonts w:ascii="Open Sans" w:eastAsia="Times New Roman" w:hAnsi="Open Sans" w:cs="Arial"/>
          <w:sz w:val="20"/>
          <w:szCs w:val="22"/>
          <w:lang w:val="es-ES" w:eastAsia="ar-SA"/>
        </w:rPr>
        <w:t xml:space="preserve">contraste de indicadores con actores clave en el ámbito de la fiscalidad y análisis de casos reales. En una primera fase se ha revisado la literatura existente en el ámbito de la fiscalidad y la responsabilidad social, analizando aquellas iniciativas más avanzadas que procedan de gobiernos, instituciones y organismos supranacionales y multilaterales, así como de organizaciones privadas.  Este análisis </w:t>
      </w:r>
      <w:r>
        <w:rPr>
          <w:rFonts w:ascii="Open Sans" w:eastAsia="Times New Roman" w:hAnsi="Open Sans" w:cs="Arial"/>
          <w:sz w:val="20"/>
          <w:szCs w:val="22"/>
          <w:lang w:val="es-ES" w:eastAsia="ar-SA"/>
        </w:rPr>
        <w:t xml:space="preserve">ha facilitado </w:t>
      </w:r>
      <w:r w:rsidRPr="00FD5D10">
        <w:rPr>
          <w:rFonts w:ascii="Open Sans" w:eastAsia="Times New Roman" w:hAnsi="Open Sans" w:cs="Arial"/>
          <w:sz w:val="20"/>
          <w:szCs w:val="22"/>
          <w:lang w:val="es-ES" w:eastAsia="ar-SA"/>
        </w:rPr>
        <w:t xml:space="preserve"> la identificación de una serie de indicadores que permitan evaluar el grado de compromiso de la empresa a través de su contribución fiscal en los diversos territorios en donde desarrolla su actividad. Con posterioridad se han contrastado  los indicadores previamente identificados con empresas, instituciones gubernamentales y organizaciones de la sociedad civil con el fin de dotar a la información extraída de los mismos de legitimidad suficiente. Se han mantenido entrevistas con representantes de empresas, sociedad civil, instituciones internacionales, inspectores de hacienda</w:t>
      </w:r>
      <w:r>
        <w:rPr>
          <w:rFonts w:ascii="Open Sans" w:eastAsia="Times New Roman" w:hAnsi="Open Sans" w:cs="Arial"/>
          <w:sz w:val="20"/>
          <w:szCs w:val="22"/>
          <w:lang w:val="es-ES" w:eastAsia="ar-SA"/>
        </w:rPr>
        <w:t>, académicos</w:t>
      </w:r>
      <w:r w:rsidRPr="00FD5D10">
        <w:rPr>
          <w:rFonts w:ascii="Open Sans" w:eastAsia="Times New Roman" w:hAnsi="Open Sans" w:cs="Arial"/>
          <w:sz w:val="20"/>
          <w:szCs w:val="22"/>
          <w:lang w:val="es-ES" w:eastAsia="ar-SA"/>
        </w:rPr>
        <w:t xml:space="preserve"> y grandes consultoras.</w:t>
      </w:r>
      <w:r>
        <w:rPr>
          <w:rFonts w:ascii="Arial" w:hAnsi="Arial"/>
          <w:sz w:val="22"/>
        </w:rPr>
        <w:t xml:space="preserve"> </w:t>
      </w:r>
      <w:r w:rsidRPr="00FD5D10">
        <w:rPr>
          <w:rFonts w:ascii="Open Sans" w:eastAsia="Times New Roman" w:hAnsi="Open Sans" w:cs="Arial"/>
          <w:sz w:val="20"/>
          <w:szCs w:val="22"/>
          <w:lang w:val="es-ES" w:eastAsia="ar-SA"/>
        </w:rPr>
        <w:t>Una vez realizadas las entrevistas se ha procedido al envío de un cuestionario con la batería de indicadores identificados</w:t>
      </w:r>
      <w:r>
        <w:rPr>
          <w:rFonts w:ascii="Open Sans" w:eastAsia="Times New Roman" w:hAnsi="Open Sans" w:cs="Arial"/>
          <w:sz w:val="20"/>
          <w:szCs w:val="22"/>
          <w:lang w:val="es-ES" w:eastAsia="ar-SA"/>
        </w:rPr>
        <w:t xml:space="preserve">. </w:t>
      </w:r>
    </w:p>
    <w:p w14:paraId="1D675CCA" w14:textId="499A9070" w:rsidR="005337D5" w:rsidRDefault="005337D5">
      <w:pPr>
        <w:rPr>
          <w:rFonts w:ascii="Open Sans" w:eastAsia="Times New Roman" w:hAnsi="Open Sans" w:cs="Arial"/>
          <w:sz w:val="20"/>
          <w:szCs w:val="22"/>
          <w:lang w:val="es-ES" w:eastAsia="ar-SA"/>
        </w:rPr>
      </w:pPr>
      <w:r>
        <w:rPr>
          <w:rFonts w:ascii="Open Sans" w:eastAsia="Times New Roman" w:hAnsi="Open Sans" w:cs="Arial"/>
          <w:sz w:val="20"/>
          <w:szCs w:val="22"/>
          <w:lang w:val="es-ES" w:eastAsia="ar-SA"/>
        </w:rPr>
        <w:br w:type="page"/>
      </w:r>
    </w:p>
    <w:p w14:paraId="44F6B30A" w14:textId="2526AEFB" w:rsidR="006E3C22" w:rsidRDefault="00423A2B" w:rsidP="005337D5">
      <w:pPr>
        <w:jc w:val="center"/>
        <w:rPr>
          <w:rFonts w:ascii="Open Sans" w:eastAsia="Times New Roman" w:hAnsi="Open Sans" w:cs="Arial"/>
          <w:b/>
          <w:sz w:val="20"/>
          <w:szCs w:val="22"/>
          <w:lang w:val="es-ES" w:eastAsia="ar-SA"/>
        </w:rPr>
      </w:pPr>
      <w:r>
        <w:rPr>
          <w:rFonts w:ascii="Open Sans" w:eastAsia="Times New Roman" w:hAnsi="Open Sans" w:cs="Arial"/>
          <w:b/>
          <w:sz w:val="20"/>
          <w:szCs w:val="22"/>
          <w:lang w:val="es-ES" w:eastAsia="ar-SA"/>
        </w:rPr>
        <w:t>I</w:t>
      </w:r>
      <w:r w:rsidR="005337D5" w:rsidRPr="005337D5">
        <w:rPr>
          <w:rFonts w:ascii="Open Sans" w:eastAsia="Times New Roman" w:hAnsi="Open Sans" w:cs="Arial"/>
          <w:b/>
          <w:sz w:val="20"/>
          <w:szCs w:val="22"/>
          <w:lang w:val="es-ES" w:eastAsia="ar-SA"/>
        </w:rPr>
        <w:t>niciativas que se han tenido en consideración para seleccionar los indicadores</w:t>
      </w:r>
    </w:p>
    <w:p w14:paraId="51C87FDC" w14:textId="77777777" w:rsidR="005337D5" w:rsidRDefault="005337D5" w:rsidP="005337D5">
      <w:pPr>
        <w:jc w:val="center"/>
        <w:rPr>
          <w:rFonts w:ascii="Open Sans" w:eastAsia="Times New Roman" w:hAnsi="Open Sans" w:cs="Arial"/>
          <w:b/>
          <w:sz w:val="20"/>
          <w:szCs w:val="22"/>
          <w:lang w:val="es-ES" w:eastAsia="ar-SA"/>
        </w:rPr>
      </w:pPr>
    </w:p>
    <w:p w14:paraId="068FE924" w14:textId="77777777" w:rsidR="005337D5" w:rsidRDefault="005337D5" w:rsidP="005337D5">
      <w:pPr>
        <w:suppressAutoHyphens/>
        <w:jc w:val="both"/>
        <w:rPr>
          <w:rFonts w:ascii="Open Sans" w:eastAsia="Times New Roman" w:hAnsi="Open Sans" w:cs="Arial"/>
          <w:b/>
          <w:sz w:val="20"/>
          <w:szCs w:val="22"/>
          <w:lang w:val="es-ES" w:eastAsia="ar-SA"/>
        </w:rPr>
      </w:pPr>
    </w:p>
    <w:p w14:paraId="59EFB90F" w14:textId="0EA3250A" w:rsidR="005337D5" w:rsidRPr="00730112" w:rsidRDefault="005337D5" w:rsidP="005337D5">
      <w:pPr>
        <w:pBdr>
          <w:top w:val="single" w:sz="4" w:space="1" w:color="auto"/>
          <w:left w:val="single" w:sz="4" w:space="4" w:color="auto"/>
          <w:bottom w:val="single" w:sz="4" w:space="1" w:color="auto"/>
          <w:right w:val="single" w:sz="4" w:space="4" w:color="auto"/>
        </w:pBdr>
        <w:suppressAutoHyphens/>
        <w:jc w:val="both"/>
        <w:rPr>
          <w:rFonts w:ascii="Open Sans" w:eastAsia="Times New Roman" w:hAnsi="Open Sans" w:cs="Open Sans"/>
          <w:sz w:val="20"/>
          <w:szCs w:val="22"/>
          <w:lang w:val="es-ES" w:eastAsia="ar-SA"/>
        </w:rPr>
      </w:pPr>
      <w:r w:rsidRPr="00730112">
        <w:rPr>
          <w:rFonts w:ascii="Open Sans" w:eastAsia="Times New Roman" w:hAnsi="Open Sans" w:cs="Open Sans"/>
          <w:b/>
          <w:sz w:val="20"/>
          <w:szCs w:val="22"/>
          <w:lang w:val="es-ES" w:eastAsia="ar-SA"/>
        </w:rPr>
        <w:t>Propuesta de</w:t>
      </w:r>
      <w:r>
        <w:rPr>
          <w:rFonts w:ascii="Open Sans" w:eastAsia="Times New Roman" w:hAnsi="Open Sans" w:cs="Open Sans"/>
          <w:b/>
          <w:sz w:val="20"/>
          <w:szCs w:val="22"/>
          <w:lang w:val="es-ES" w:eastAsia="ar-SA"/>
        </w:rPr>
        <w:t xml:space="preserve"> Directiva del Parlamento Europeo y del Consejo</w:t>
      </w:r>
      <w:r w:rsidRPr="00730112">
        <w:rPr>
          <w:rFonts w:ascii="Open Sans" w:eastAsia="Times New Roman" w:hAnsi="Open Sans" w:cs="Open Sans"/>
          <w:b/>
          <w:sz w:val="20"/>
          <w:szCs w:val="22"/>
          <w:lang w:val="es-ES" w:eastAsia="ar-SA"/>
        </w:rPr>
        <w:t xml:space="preserve"> </w:t>
      </w:r>
      <w:r w:rsidRPr="00D01848">
        <w:rPr>
          <w:rFonts w:ascii="Open Sans" w:eastAsia="Times New Roman" w:hAnsi="Open Sans" w:cs="Open Sans"/>
          <w:b/>
          <w:sz w:val="20"/>
          <w:szCs w:val="22"/>
          <w:lang w:val="es-ES" w:eastAsia="ar-SA"/>
        </w:rPr>
        <w:t>por la que se modifica la Directiva 2013/34/UE</w:t>
      </w:r>
      <w:r w:rsidRPr="00730112">
        <w:rPr>
          <w:rFonts w:ascii="Open Sans" w:eastAsia="Times New Roman" w:hAnsi="Open Sans" w:cs="Open Sans"/>
          <w:sz w:val="20"/>
          <w:szCs w:val="22"/>
          <w:lang w:val="es-ES" w:eastAsia="ar-SA"/>
        </w:rPr>
        <w:t xml:space="preserve"> en lo que respecta a la divulgación de información relativa al impuesto de sociedades por parte de determinadas empresas y filiales 12.4.2016</w:t>
      </w:r>
    </w:p>
    <w:p w14:paraId="5C9B4A04"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4C7365ED"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Instituciones Europeas.</w:t>
      </w:r>
    </w:p>
    <w:p w14:paraId="021A1336"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3D5FB77D"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OBLIGATORIO</w:t>
      </w:r>
    </w:p>
    <w:p w14:paraId="1C0F0B16"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0828F8DA"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PENDIENTE DE APLICACIÓN</w:t>
      </w:r>
    </w:p>
    <w:p w14:paraId="26DF7CF8"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66C9EB4A"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Elaboración de informes país por país referidos a la tributación del impuesto de sociedades. Contendrá los siguientes datos:  a) una breve descripción de la naturaleza de las actividades; b)el número de empleados; c)el importe del volumen de negocios neto, incluido el relativo a las partes vinculadas; d)el importe de los beneficios o las pérdidas antes del impuesto de sociedades; e)el importe del impuesto de sociedades devengado (durante el ejercicio en curso), es decir, los gastos fiscales corrientes reconocidos sobre los beneficios o pérdidas imponibles del ejercicio por las empresas y sucursales residentes a efectos fiscales en la jurisdicción fiscal pertinente; f)el importe del impuesto de sociedades abonado, es decir, el importe de los impuestos abonados durante el ejercicio de que se trate por las empresas y sucursales residentes a efectos fiscales en la jurisdicción fiscal pertinente; y g)el importe de las ganancias acumuladas.</w:t>
      </w:r>
    </w:p>
    <w:p w14:paraId="6B5474BC"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220F3DF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ÁMBITO DE APLICACIÓN: </w:t>
      </w:r>
      <w:r w:rsidRPr="00730112">
        <w:rPr>
          <w:rFonts w:ascii="Open Sans" w:eastAsia="Times New Roman" w:hAnsi="Open Sans" w:cs="Open Sans"/>
          <w:bCs/>
          <w:color w:val="000000"/>
          <w:sz w:val="20"/>
          <w:szCs w:val="20"/>
          <w:lang w:val="es-ES"/>
        </w:rPr>
        <w:t>Grupos empresariales con un volumen de negocios consolidado mundial de más de 750 millones EUR en términos netos. EMN  con  sede  en  un  tercer  país,  la  obligación  afectará  a  sus  filiales  o  sucursales en la UE, a menos que la EMN del tercer país haga público el informe país por país  del grupo e indique qué filial o sucursal de la UE es responsable de la publicación del informe  país por país en nombre de la sociedad «matriz».</w:t>
      </w:r>
    </w:p>
    <w:p w14:paraId="3DCA101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0BD91662"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EXCEPCIONES: </w:t>
      </w:r>
      <w:r w:rsidRPr="00730112">
        <w:rPr>
          <w:rFonts w:ascii="Open Sans" w:eastAsia="Times New Roman" w:hAnsi="Open Sans" w:cs="Open Sans"/>
          <w:bCs/>
          <w:color w:val="000000"/>
          <w:sz w:val="20"/>
          <w:szCs w:val="20"/>
          <w:lang w:val="es-ES"/>
        </w:rPr>
        <w:t>No impone obligaciones a las pequeñas y medianas empresas. Grupos bancarios multinacionales establecidos en la UE  estarán exentos de la obligación de presentar un informe referido a la tributación del impuesto de sociedades, siempre que el informe publicado en virtud del artículo 89 de la Directiva 2013/36/UE comprenda las actividades de la sociedad matriz última en la UE y de todas sus empresas ligadas</w:t>
      </w:r>
    </w:p>
    <w:p w14:paraId="223C6C05" w14:textId="77777777" w:rsidR="005337D5" w:rsidRPr="00730112" w:rsidRDefault="005337D5" w:rsidP="005337D5">
      <w:pPr>
        <w:jc w:val="both"/>
        <w:rPr>
          <w:rFonts w:ascii="Open Sans" w:eastAsia="Times New Roman" w:hAnsi="Open Sans" w:cs="Open Sans"/>
          <w:b/>
          <w:bCs/>
          <w:color w:val="000000"/>
          <w:sz w:val="20"/>
          <w:szCs w:val="20"/>
          <w:lang w:val="es-ES"/>
        </w:rPr>
      </w:pPr>
    </w:p>
    <w:p w14:paraId="7EB045A8" w14:textId="4B6D30D2" w:rsidR="005337D5" w:rsidRPr="00D01848" w:rsidRDefault="00D01848" w:rsidP="00D01848">
      <w:pPr>
        <w:rPr>
          <w:rFonts w:ascii="Open Sans" w:eastAsia="Times New Roman" w:hAnsi="Open Sans" w:cs="Open Sans"/>
          <w:b/>
          <w:bCs/>
          <w:color w:val="000000"/>
          <w:sz w:val="20"/>
          <w:szCs w:val="20"/>
          <w:lang w:val="es-ES"/>
        </w:rPr>
      </w:pPr>
      <w:r>
        <w:rPr>
          <w:rFonts w:ascii="Open Sans" w:eastAsia="Times New Roman" w:hAnsi="Open Sans" w:cs="Open Sans"/>
          <w:b/>
          <w:bCs/>
          <w:color w:val="000000"/>
          <w:sz w:val="20"/>
          <w:szCs w:val="20"/>
          <w:lang w:val="es-ES"/>
        </w:rPr>
        <w:br w:type="page"/>
      </w:r>
    </w:p>
    <w:p w14:paraId="02347E9A" w14:textId="0C27E425" w:rsidR="005337D5" w:rsidRPr="00C275FF" w:rsidRDefault="00D01848" w:rsidP="005337D5">
      <w:pPr>
        <w:pBdr>
          <w:top w:val="single" w:sz="4" w:space="1" w:color="auto"/>
          <w:left w:val="single" w:sz="4" w:space="4" w:color="auto"/>
          <w:bottom w:val="single" w:sz="4" w:space="1" w:color="auto"/>
          <w:right w:val="single" w:sz="4" w:space="4" w:color="auto"/>
        </w:pBdr>
        <w:suppressAutoHyphens/>
        <w:jc w:val="both"/>
        <w:rPr>
          <w:rFonts w:ascii="Open Sans" w:eastAsia="Times New Roman" w:hAnsi="Open Sans" w:cs="Open Sans"/>
          <w:bCs/>
          <w:color w:val="000000"/>
          <w:sz w:val="20"/>
          <w:szCs w:val="20"/>
          <w:lang w:val="en-GB"/>
        </w:rPr>
      </w:pPr>
      <w:r w:rsidRPr="00C275FF">
        <w:rPr>
          <w:rFonts w:ascii="Open Sans" w:eastAsia="Times New Roman" w:hAnsi="Open Sans" w:cs="Open Sans"/>
          <w:bCs/>
          <w:color w:val="000000"/>
          <w:sz w:val="20"/>
          <w:szCs w:val="20"/>
          <w:lang w:val="en-GB"/>
        </w:rPr>
        <w:t>Informe: Frome tax secrecy to tax transparency (CBRC proposal</w:t>
      </w:r>
      <w:r w:rsidR="005337D5" w:rsidRPr="00C275FF">
        <w:rPr>
          <w:rFonts w:ascii="Open Sans" w:eastAsia="Times New Roman" w:hAnsi="Open Sans" w:cs="Open Sans"/>
          <w:bCs/>
          <w:color w:val="000000"/>
          <w:sz w:val="20"/>
          <w:szCs w:val="20"/>
          <w:lang w:val="en-GB"/>
        </w:rPr>
        <w:t>)</w:t>
      </w:r>
      <w:r w:rsidRPr="00C275FF">
        <w:rPr>
          <w:rFonts w:ascii="Open Sans" w:eastAsia="Times New Roman" w:hAnsi="Open Sans" w:cs="Open Sans"/>
          <w:bCs/>
          <w:color w:val="000000"/>
          <w:sz w:val="20"/>
          <w:szCs w:val="20"/>
          <w:lang w:val="en-GB"/>
        </w:rPr>
        <w:t>.</w:t>
      </w:r>
      <w:r w:rsidR="005337D5" w:rsidRPr="00C275FF">
        <w:rPr>
          <w:rFonts w:ascii="Open Sans" w:eastAsia="Times New Roman" w:hAnsi="Open Sans" w:cs="Open Sans"/>
          <w:bCs/>
          <w:color w:val="000000"/>
          <w:sz w:val="20"/>
          <w:szCs w:val="20"/>
          <w:lang w:val="en-GB"/>
        </w:rPr>
        <w:t xml:space="preserve"> </w:t>
      </w:r>
      <w:r w:rsidR="005337D5" w:rsidRPr="00730112">
        <w:rPr>
          <w:rFonts w:ascii="Open Sans" w:eastAsia="Times New Roman" w:hAnsi="Open Sans" w:cs="Open Sans"/>
          <w:b/>
          <w:bCs/>
          <w:color w:val="000000"/>
          <w:sz w:val="20"/>
          <w:szCs w:val="20"/>
          <w:lang w:val="es-ES"/>
        </w:rPr>
        <w:t>Comentarios a la Propuesta de Directiva del Parlamento Europeo y del Consejo por la que se modifica la Directiva 2013/34/EU</w:t>
      </w:r>
      <w:r w:rsidR="005337D5" w:rsidRPr="00730112">
        <w:rPr>
          <w:rFonts w:ascii="Open Sans" w:eastAsia="Times New Roman" w:hAnsi="Open Sans" w:cs="Open Sans"/>
          <w:bCs/>
          <w:color w:val="000000"/>
          <w:sz w:val="20"/>
          <w:szCs w:val="20"/>
          <w:lang w:val="es-ES"/>
        </w:rPr>
        <w:t xml:space="preserve">. </w:t>
      </w:r>
      <w:r w:rsidR="005337D5" w:rsidRPr="00C275FF">
        <w:rPr>
          <w:rFonts w:ascii="Open Sans" w:eastAsia="Times New Roman" w:hAnsi="Open Sans" w:cs="Open Sans"/>
          <w:bCs/>
          <w:color w:val="000000"/>
          <w:sz w:val="20"/>
          <w:szCs w:val="20"/>
          <w:lang w:val="en-GB"/>
        </w:rPr>
        <w:t xml:space="preserve">ActionAid, Eurodad, European PublicService Union, Financial Transparency Coalition, Open Society European Policy Institute, ONE, Oxfam International, </w:t>
      </w:r>
      <w:r w:rsidR="007F55EB" w:rsidRPr="00C275FF">
        <w:rPr>
          <w:rFonts w:ascii="Open Sans" w:eastAsia="Times New Roman" w:hAnsi="Open Sans" w:cs="Open Sans"/>
          <w:bCs/>
          <w:color w:val="000000"/>
          <w:sz w:val="20"/>
          <w:szCs w:val="20"/>
          <w:lang w:val="en-GB"/>
        </w:rPr>
        <w:t>Transparency International</w:t>
      </w:r>
    </w:p>
    <w:p w14:paraId="32E986E6" w14:textId="77777777" w:rsidR="005337D5" w:rsidRPr="00C275FF" w:rsidRDefault="005337D5" w:rsidP="005337D5">
      <w:pPr>
        <w:pBdr>
          <w:top w:val="single" w:sz="4" w:space="1" w:color="auto"/>
          <w:left w:val="single" w:sz="4" w:space="4" w:color="auto"/>
          <w:bottom w:val="single" w:sz="4" w:space="1" w:color="auto"/>
          <w:right w:val="single" w:sz="4" w:space="4" w:color="auto"/>
        </w:pBdr>
        <w:suppressAutoHyphens/>
        <w:jc w:val="both"/>
        <w:rPr>
          <w:rFonts w:ascii="Open Sans" w:eastAsia="Times New Roman" w:hAnsi="Open Sans" w:cs="Open Sans"/>
          <w:sz w:val="20"/>
          <w:szCs w:val="22"/>
          <w:lang w:val="en-GB" w:eastAsia="ar-SA"/>
        </w:rPr>
      </w:pPr>
    </w:p>
    <w:p w14:paraId="43E8EBAC"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Instituciones Europeas.</w:t>
      </w:r>
    </w:p>
    <w:p w14:paraId="59A5F864"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4F3700D3"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COMENTARIOS DE MEJORA</w:t>
      </w:r>
    </w:p>
    <w:p w14:paraId="0C277918"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615D4A69"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El informe plantea la necesidad de mejorar tres puntos clave de la Propuesta sobre informe país a país que modificaría la Directiva 2013/34/EU. El documento establece la necesidad de que en el Informe País a País (CBCR en sus siglas en inglés) las multinacionales sean requeridas a publicar información desglosada país a país para cada país y ámbito jurisdiccional de sus operaciones, tanto dentro como fuera de la UE, dejando a un lado por lo tanto la futura lista de paraísos fiscales, que solo supondría una limitación geográfica. Las empresas deberían de proporcionar esta información a través de un formulario único que estaría subido a un registro central en un formato abierto. Ese formulario solicitaría a las empresas la siguiente información: a)  localización geográfica de las actividades; b)nº empleados a jornada completa; c) cifra de facturación incluyendo facturación teniendo en cuenta entidades relacionadas, facturación sin las partes relacionadas y facturación total; d) compras y ventas  e)valor de los activos y el coste anual de su mantenimiento; f) activos tangibles además de efectivo o equivalentes a efectivo;  g)capitalización; h) ayudas públicas recibidas; i)pagos a gobiernos y j)lista de subsidiarias que operan en cada Estado Miembro o en terceros países junto con los datos que fuesen relevantes.</w:t>
      </w:r>
    </w:p>
    <w:p w14:paraId="52FC7CE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024D5EE1" w14:textId="6D3D8958" w:rsidR="00D01848"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ÁMBITO DE APLICACIÓN: </w:t>
      </w:r>
      <w:r w:rsidRPr="00730112">
        <w:rPr>
          <w:rFonts w:ascii="Open Sans" w:eastAsia="Times New Roman" w:hAnsi="Open Sans" w:cs="Open Sans"/>
          <w:bCs/>
          <w:color w:val="000000"/>
          <w:sz w:val="20"/>
          <w:szCs w:val="20"/>
          <w:lang w:val="es-ES"/>
        </w:rPr>
        <w:t>A las empresas que se recogen dentro de la propia definición de la UE de "gran empresa" incluyendo aquellas que tengan una facturación de 40 millones de €, tal y como establece la Directiva 2013/347EU.Es considerada gran empresa aquella compuesta por la matriz y las subsidiarias que deban ser incluidas en la consolidación, y que de forma consolidada excede 2 de los siguientes criterios en la hoja de balance de la empresa matriz: a) hoja de balance total: 20,000,000€; b)facturación neta: 40.000.000; c) nº medio de empleados durante el año fiscal: 250. (Directiva 2013/34/EU).</w:t>
      </w:r>
    </w:p>
    <w:p w14:paraId="3F88D48B" w14:textId="242F91F9" w:rsidR="005337D5" w:rsidRDefault="005337D5" w:rsidP="00D01848">
      <w:pPr>
        <w:rPr>
          <w:rFonts w:ascii="Open Sans" w:eastAsia="Times New Roman" w:hAnsi="Open Sans" w:cs="Open Sans"/>
          <w:b/>
          <w:sz w:val="20"/>
          <w:szCs w:val="22"/>
          <w:lang w:val="es-ES" w:eastAsia="ar-SA"/>
        </w:rPr>
      </w:pPr>
    </w:p>
    <w:p w14:paraId="43E9BF97" w14:textId="7967E017" w:rsidR="00FE0E87" w:rsidRPr="00730112" w:rsidRDefault="00423A2B" w:rsidP="00D01848">
      <w:pPr>
        <w:rPr>
          <w:rFonts w:ascii="Open Sans" w:eastAsia="Times New Roman" w:hAnsi="Open Sans" w:cs="Open Sans"/>
          <w:b/>
          <w:sz w:val="20"/>
          <w:szCs w:val="22"/>
          <w:lang w:val="es-ES" w:eastAsia="ar-SA"/>
        </w:rPr>
      </w:pPr>
      <w:r>
        <w:rPr>
          <w:rFonts w:ascii="Open Sans" w:eastAsia="Times New Roman" w:hAnsi="Open Sans" w:cs="Open Sans"/>
          <w:b/>
          <w:sz w:val="20"/>
          <w:szCs w:val="22"/>
          <w:lang w:val="es-ES" w:eastAsia="ar-SA"/>
        </w:rPr>
        <w:br w:type="page"/>
      </w:r>
    </w:p>
    <w:p w14:paraId="4CD95920" w14:textId="77777777" w:rsidR="005337D5" w:rsidRPr="00D01848"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sz w:val="20"/>
          <w:szCs w:val="22"/>
          <w:lang w:val="es-ES" w:eastAsia="ar-SA"/>
        </w:rPr>
      </w:pPr>
      <w:r w:rsidRPr="00730112">
        <w:rPr>
          <w:rFonts w:ascii="Open Sans" w:eastAsia="Times New Roman" w:hAnsi="Open Sans" w:cs="Open Sans"/>
          <w:b/>
          <w:sz w:val="20"/>
          <w:szCs w:val="22"/>
          <w:lang w:val="es-ES" w:eastAsia="ar-SA"/>
        </w:rPr>
        <w:t xml:space="preserve">Directiva 2013/36/UE del Parlamento Europeo y del Consejo </w:t>
      </w:r>
      <w:r w:rsidRPr="00D01848">
        <w:rPr>
          <w:rFonts w:ascii="Open Sans" w:eastAsia="Times New Roman" w:hAnsi="Open Sans" w:cs="Open Sans"/>
          <w:sz w:val="20"/>
          <w:szCs w:val="22"/>
          <w:lang w:val="es-ES" w:eastAsia="ar-SA"/>
        </w:rPr>
        <w:t>relativa  al  acceso  a  la  actividad  de  las  entidades  de  crédito  y  a  la  supervisión  prudencial  de  las entidades  de  crédito  y  las  empresas  de  inversión.  26  de  junio  de  2013</w:t>
      </w:r>
    </w:p>
    <w:p w14:paraId="493D0A0D"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45B75E01"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Instituciones Europeas.</w:t>
      </w:r>
    </w:p>
    <w:p w14:paraId="269E1891"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1A21421A"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OBLIGATORIO</w:t>
      </w:r>
    </w:p>
    <w:p w14:paraId="08F1A79B"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39B795B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1 de enero de 2015</w:t>
      </w:r>
    </w:p>
    <w:p w14:paraId="52F74DF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7477F22C"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Artículo 89. Informes país a país.  El informe bancario anual debe incluir la siguiente información: a) denominación, naturaleza y ubicación geográfica de la actividad; b) volumen de negocio; c) número de empleados equivalentes a tiempo completo; d) resultado bruto antes de impuestos; e) impuestos sobre el resultado; f) subvenciones públicas recibidas</w:t>
      </w:r>
    </w:p>
    <w:p w14:paraId="3892673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69C82BCB" w14:textId="4FFFD4E6"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ÁMBITO DE APLICACIÓN: </w:t>
      </w:r>
      <w:r w:rsidRPr="00730112">
        <w:rPr>
          <w:rFonts w:ascii="Open Sans" w:eastAsia="Times New Roman" w:hAnsi="Open Sans" w:cs="Open Sans"/>
          <w:bCs/>
          <w:color w:val="000000"/>
          <w:sz w:val="20"/>
          <w:szCs w:val="20"/>
          <w:lang w:val="es-ES"/>
        </w:rPr>
        <w:t xml:space="preserve">Empresas pertenecientes al sector bancario. </w:t>
      </w:r>
    </w:p>
    <w:p w14:paraId="3F44E76F" w14:textId="77777777" w:rsidR="005337D5" w:rsidRPr="00730112" w:rsidRDefault="005337D5" w:rsidP="005337D5">
      <w:pPr>
        <w:jc w:val="both"/>
        <w:rPr>
          <w:rFonts w:ascii="Open Sans" w:eastAsia="Times New Roman" w:hAnsi="Open Sans" w:cs="Open Sans"/>
          <w:b/>
          <w:bCs/>
          <w:color w:val="000000"/>
          <w:sz w:val="20"/>
          <w:szCs w:val="20"/>
          <w:lang w:val="es-ES"/>
        </w:rPr>
      </w:pPr>
    </w:p>
    <w:p w14:paraId="581396D8" w14:textId="77777777" w:rsidR="00423A2B" w:rsidRPr="00730112" w:rsidRDefault="00423A2B" w:rsidP="005337D5">
      <w:pPr>
        <w:suppressAutoHyphens/>
        <w:jc w:val="both"/>
        <w:rPr>
          <w:rFonts w:ascii="Open Sans" w:eastAsia="Times New Roman" w:hAnsi="Open Sans" w:cs="Open Sans"/>
          <w:b/>
          <w:sz w:val="20"/>
          <w:szCs w:val="22"/>
          <w:lang w:val="es-ES" w:eastAsia="ar-SA"/>
        </w:rPr>
      </w:pPr>
    </w:p>
    <w:p w14:paraId="380C7C7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sz w:val="20"/>
          <w:szCs w:val="22"/>
          <w:lang w:val="es-ES" w:eastAsia="ar-SA"/>
        </w:rPr>
      </w:pPr>
      <w:r w:rsidRPr="00730112">
        <w:rPr>
          <w:rFonts w:ascii="Open Sans" w:eastAsia="Times New Roman" w:hAnsi="Open Sans" w:cs="Open Sans"/>
          <w:b/>
          <w:sz w:val="20"/>
          <w:szCs w:val="22"/>
          <w:lang w:val="es-ES" w:eastAsia="ar-SA"/>
        </w:rPr>
        <w:t xml:space="preserve">Directiva 2013/34/UE del Parlamento Europeo y del Consejo. </w:t>
      </w:r>
      <w:r w:rsidRPr="00730112">
        <w:rPr>
          <w:rFonts w:ascii="Open Sans" w:eastAsia="Times New Roman" w:hAnsi="Open Sans" w:cs="Open Sans"/>
          <w:sz w:val="20"/>
          <w:szCs w:val="22"/>
          <w:lang w:val="es-ES" w:eastAsia="ar-SA"/>
        </w:rPr>
        <w:t>Sobre  los estados  financieros  anuales,  los  estados  financieros  consolidados  y  otros  informes  afines  de  ciertos  tipos  de  empresas,  26  de  junio  de  2013</w:t>
      </w:r>
    </w:p>
    <w:p w14:paraId="5210CA3C"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692B3F2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Instituciones Europeas.</w:t>
      </w:r>
    </w:p>
    <w:p w14:paraId="3B23AA51"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6249C0C3"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OBLIGATORIO</w:t>
      </w:r>
    </w:p>
    <w:p w14:paraId="4274E2CA"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192D3315"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2016</w:t>
      </w:r>
    </w:p>
    <w:p w14:paraId="760D5BFB"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798EA49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Capítulo 10 (artículo 41 a 47). Informe de pagos a administraciones públicas.  No  será necesario contabilizar en  el  informe ningún  pago,  efectuado  como  pago  único  o  como  serie  de  pagos  relacionados,  que  sea  inferior  a  100 000 EUR  durante  el  ejercicio.   Contenido mínimo que debe integrar el informe :  A) importe  total  pagos  efectuados  a  cada  administración  pública;  b) importe  total,  desglosado  por  tipo  de  pago  a  cada  administración  pública; C) cuando  los  pagos  hayan  sido  atribuidos  a  un proyecto  específico, el importe total, desglosado por tipo de  los pagos  realizados  para  cada  proyecto,  así  como  el  importe  total  de  los  pagos  para  cada  proyecto. Pagos en especie a una administración pública,  se  consignarán  por  su  valor  y,  en  su  caso,  por  su volumen.</w:t>
      </w:r>
    </w:p>
    <w:p w14:paraId="704D3129"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5C63D8EB"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ÁMBITO DE APLICACIÓN: </w:t>
      </w:r>
      <w:r w:rsidRPr="00730112">
        <w:rPr>
          <w:rFonts w:ascii="Open Sans" w:eastAsia="Times New Roman" w:hAnsi="Open Sans" w:cs="Open Sans"/>
          <w:bCs/>
          <w:color w:val="000000"/>
          <w:sz w:val="20"/>
          <w:szCs w:val="20"/>
          <w:lang w:val="es-ES"/>
        </w:rPr>
        <w:t>Grandes empresas y a  todas  las  entidades  de  interés  público  activas  en  la  industria  extractiva  o  la  explotación  maderera  de  bosques  primarios.</w:t>
      </w:r>
    </w:p>
    <w:p w14:paraId="7D85A64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4BD3E542" w14:textId="01A94449" w:rsidR="00842817" w:rsidRPr="00423A2B"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EXCEPCIONES: </w:t>
      </w:r>
      <w:r w:rsidRPr="00730112">
        <w:rPr>
          <w:rFonts w:ascii="Open Sans" w:eastAsia="Times New Roman" w:hAnsi="Open Sans" w:cs="Open Sans"/>
          <w:bCs/>
          <w:color w:val="000000"/>
          <w:sz w:val="20"/>
          <w:szCs w:val="20"/>
          <w:lang w:val="es-ES"/>
        </w:rPr>
        <w:t>Empresas (filiales  o matrices) que  estén  sujetas al  Derecho  de  un  Estado  miembro  si: a)  que  la  sociedad  matriz  esté  sujeta  al  Derecho  de un Estado miembro,  y  b) que  los  pagos  a  las administraciones  públicas abonados  por  la  empresa  se  incluyan  en  el  informe  consolidado  sobre dichos  pagos  elaborado  por  dicha  sociedad  matriz  con  arreglo  al  artículo  44.</w:t>
      </w:r>
    </w:p>
    <w:p w14:paraId="381464F3" w14:textId="55AD664E" w:rsidR="00FC767F" w:rsidRDefault="00FC767F" w:rsidP="00423A2B">
      <w:pPr>
        <w:rPr>
          <w:rFonts w:ascii="Open Sans" w:eastAsia="Times New Roman" w:hAnsi="Open Sans" w:cs="Open Sans"/>
          <w:b/>
          <w:sz w:val="20"/>
          <w:szCs w:val="22"/>
          <w:lang w:val="es-ES" w:eastAsia="ar-SA"/>
        </w:rPr>
      </w:pPr>
    </w:p>
    <w:p w14:paraId="78EF7158" w14:textId="412ECD18"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sz w:val="20"/>
          <w:szCs w:val="22"/>
          <w:lang w:val="es-ES" w:eastAsia="ar-SA"/>
        </w:rPr>
      </w:pPr>
      <w:r w:rsidRPr="00FC767F">
        <w:rPr>
          <w:rFonts w:ascii="Open Sans" w:eastAsia="Times New Roman" w:hAnsi="Open Sans" w:cs="Open Sans"/>
          <w:b/>
          <w:sz w:val="20"/>
          <w:szCs w:val="22"/>
          <w:lang w:val="es-ES" w:eastAsia="ar-SA"/>
        </w:rPr>
        <w:t>Proyecto OCDE/G20 sobre la Erosión de la Base Imponible y el Traslado de Beneficios (BEPS</w:t>
      </w:r>
      <w:r w:rsidR="007F55EB" w:rsidRPr="00FC767F">
        <w:rPr>
          <w:rFonts w:ascii="Open Sans" w:eastAsia="Times New Roman" w:hAnsi="Open Sans" w:cs="Open Sans"/>
          <w:b/>
          <w:sz w:val="20"/>
          <w:szCs w:val="22"/>
          <w:lang w:val="es-ES" w:eastAsia="ar-SA"/>
        </w:rPr>
        <w:t>):</w:t>
      </w:r>
      <w:r w:rsidRPr="00FC767F">
        <w:rPr>
          <w:rFonts w:ascii="Open Sans" w:eastAsia="Times New Roman" w:hAnsi="Open Sans" w:cs="Open Sans"/>
          <w:b/>
          <w:sz w:val="20"/>
          <w:szCs w:val="22"/>
          <w:lang w:val="es-ES" w:eastAsia="ar-SA"/>
        </w:rPr>
        <w:t xml:space="preserve"> </w:t>
      </w:r>
      <w:r w:rsidRPr="00FC767F">
        <w:rPr>
          <w:rFonts w:ascii="Open Sans" w:eastAsia="Times New Roman" w:hAnsi="Open Sans" w:cs="Open Sans"/>
          <w:sz w:val="20"/>
          <w:szCs w:val="22"/>
          <w:lang w:val="es-ES" w:eastAsia="ar-SA"/>
        </w:rPr>
        <w:t>15 acciones para establecer un freno a la evasión fiscal, armonizar las normas internacionales en materia fiscal y garantizar un entorno fiscal de transparencia.</w:t>
      </w:r>
    </w:p>
    <w:p w14:paraId="14DC330F"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5E9F841D"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OCDE.</w:t>
      </w:r>
    </w:p>
    <w:p w14:paraId="289C392F"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0C4A8217"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VOLUNTARIO</w:t>
      </w:r>
    </w:p>
    <w:p w14:paraId="216D60CF"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7C279E5E"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2016</w:t>
      </w:r>
    </w:p>
    <w:p w14:paraId="16F36CB2"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139D958D"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Bajo la acción 13 "Documentación precios de transferencia" requiere que las empresas multinacionales proporcionen a las administraciones tributarias información de alto nivel acerca de sus operaciones empresariales mundiales y de sus políticas en materia de precios de transferencia en un “archivo maestro” que estaría a disposición de todas las administraciones tributarias de los países interesados. En segundo lugar, también requieren un “archivo local” que incorporaría documentación detallada sobre precios de transferencia en relación a las transacciones de cada país, identificando transacciones concretas con entidades vinculadas, el monto de dichas transacciones y el análisis de la determinación de los precios de transferencia que haya realizado la sociedad con respecto a esas operaciones. En tercer lugar, las grandes empresas multinacionales también tendrían que presentar el informe país por país, a través del cual se declararía anualmente y por cada jurisdicción fiscal en la que operan, la cuantía de los ingresos y los beneficios antes del impuesto  se establece un informe país a país a partir de enero 2016 sobre sociedades, así como el importe del impuesto sobre sociedades pagado y devengado. Los informes país por país deben presentarse en la jurisdicción de la sociedad matriz última de la multinacional, aunque se compartirían de manera automática a través de intercambios de información intergubernamentales. En determinadas circunstancias, mecanismos secundarios como las declaraciones locales pueden servir de apoyo. Un plan acordado de implementación garantizará el suministro puntual de la información, la confidencialidad de la información declarada y el uso apropiado de los informes país por país.</w:t>
      </w:r>
    </w:p>
    <w:p w14:paraId="1F7EEE22"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638252C2" w14:textId="77777777" w:rsidR="00FC767F" w:rsidRPr="00730112" w:rsidRDefault="00FC767F" w:rsidP="00FC767F">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ÁMBITO DE APLICACIÓN: </w:t>
      </w:r>
      <w:r w:rsidRPr="00730112">
        <w:rPr>
          <w:rFonts w:ascii="Open Sans" w:eastAsia="Times New Roman" w:hAnsi="Open Sans" w:cs="Open Sans"/>
          <w:bCs/>
          <w:color w:val="000000"/>
          <w:sz w:val="20"/>
          <w:szCs w:val="20"/>
          <w:lang w:val="es-ES"/>
        </w:rPr>
        <w:t>Grupos empresariales con un volumen de negocios consolidado mundial de más de 750 millones EUR en términos netos.</w:t>
      </w:r>
    </w:p>
    <w:p w14:paraId="33A5C125" w14:textId="77777777" w:rsidR="00FC767F" w:rsidRDefault="00FC767F" w:rsidP="005337D5">
      <w:pPr>
        <w:suppressAutoHyphens/>
        <w:jc w:val="both"/>
        <w:rPr>
          <w:rFonts w:ascii="Open Sans" w:eastAsia="Times New Roman" w:hAnsi="Open Sans" w:cs="Open Sans"/>
          <w:b/>
          <w:sz w:val="20"/>
          <w:szCs w:val="22"/>
          <w:lang w:val="es-ES" w:eastAsia="ar-SA"/>
        </w:rPr>
      </w:pPr>
    </w:p>
    <w:p w14:paraId="47ECA78D" w14:textId="5CE4A829" w:rsidR="00FC767F" w:rsidRPr="00730112" w:rsidRDefault="00423A2B" w:rsidP="00423A2B">
      <w:pPr>
        <w:rPr>
          <w:rFonts w:ascii="Open Sans" w:eastAsia="Times New Roman" w:hAnsi="Open Sans" w:cs="Open Sans"/>
          <w:b/>
          <w:sz w:val="20"/>
          <w:szCs w:val="22"/>
          <w:lang w:val="es-ES" w:eastAsia="ar-SA"/>
        </w:rPr>
      </w:pPr>
      <w:r>
        <w:rPr>
          <w:rFonts w:ascii="Open Sans" w:eastAsia="Times New Roman" w:hAnsi="Open Sans" w:cs="Open Sans"/>
          <w:b/>
          <w:sz w:val="20"/>
          <w:szCs w:val="22"/>
          <w:lang w:val="es-ES" w:eastAsia="ar-SA"/>
        </w:rPr>
        <w:br w:type="page"/>
      </w:r>
    </w:p>
    <w:p w14:paraId="0E61759A"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sz w:val="20"/>
          <w:szCs w:val="22"/>
          <w:lang w:val="es-ES" w:eastAsia="ar-SA"/>
        </w:rPr>
      </w:pPr>
      <w:r w:rsidRPr="00730112">
        <w:rPr>
          <w:rFonts w:ascii="Open Sans" w:eastAsia="Times New Roman" w:hAnsi="Open Sans" w:cs="Open Sans"/>
          <w:b/>
          <w:sz w:val="20"/>
          <w:szCs w:val="22"/>
          <w:lang w:val="es-ES" w:eastAsia="ar-SA"/>
        </w:rPr>
        <w:t xml:space="preserve">Tax Guidance 2015 en el ámbito de PRI (Principles for Responsible Investment) </w:t>
      </w:r>
      <w:r w:rsidRPr="00730112">
        <w:rPr>
          <w:rFonts w:ascii="Open Sans" w:eastAsia="Times New Roman" w:hAnsi="Open Sans" w:cs="Open Sans"/>
          <w:sz w:val="20"/>
          <w:szCs w:val="22"/>
          <w:lang w:val="es-ES" w:eastAsia="ar-SA"/>
        </w:rPr>
        <w:t xml:space="preserve">Una iniciativa de los inversores en colaboración con la Iniciativa Financiera del PNUMA (UNEP finance Initiative) y el Pacto Mundial de la ONU </w:t>
      </w:r>
    </w:p>
    <w:p w14:paraId="4BE95216"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50FEF839"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NACIONES UNIDAS</w:t>
      </w:r>
    </w:p>
    <w:p w14:paraId="60858191"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7CC86FDD"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VOLUNTARIO</w:t>
      </w:r>
    </w:p>
    <w:p w14:paraId="30786979"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167307EC"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2006</w:t>
      </w:r>
    </w:p>
    <w:p w14:paraId="5603AEB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66529558"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El PRI trabaja con su red internacional de signatarios para poner en práctica los seis Principios de Inversión Responsable. Tiene como objetivo entender el impacto que las cuestiones ambientales, sociales y gubernamentales tienen en las inversiones y asesorar a los signatarios para integrar estos asuntos a sus decisiones sobre inversiones y propiedad. La TAX Guidance es una Guía para las relaciones de los inversores responsables con sus posibles entidades participadas siguiendo los 6 Principios de Inversión Responsables</w:t>
      </w:r>
    </w:p>
    <w:p w14:paraId="09383C45" w14:textId="77777777" w:rsidR="005337D5" w:rsidRPr="00730112" w:rsidRDefault="005337D5" w:rsidP="005337D5">
      <w:pPr>
        <w:jc w:val="both"/>
        <w:rPr>
          <w:rFonts w:ascii="Open Sans" w:eastAsia="Times New Roman" w:hAnsi="Open Sans" w:cs="Open Sans"/>
          <w:b/>
          <w:bCs/>
          <w:color w:val="000000"/>
          <w:sz w:val="20"/>
          <w:szCs w:val="20"/>
          <w:lang w:val="es-ES"/>
        </w:rPr>
      </w:pPr>
    </w:p>
    <w:p w14:paraId="4D6CDABD" w14:textId="77777777" w:rsidR="005337D5" w:rsidRPr="00730112" w:rsidRDefault="005337D5" w:rsidP="005337D5">
      <w:pPr>
        <w:suppressAutoHyphens/>
        <w:jc w:val="both"/>
        <w:rPr>
          <w:rFonts w:ascii="Open Sans" w:eastAsia="Times New Roman" w:hAnsi="Open Sans" w:cs="Open Sans"/>
          <w:b/>
          <w:sz w:val="20"/>
          <w:szCs w:val="22"/>
          <w:lang w:val="es-ES" w:eastAsia="ar-SA"/>
        </w:rPr>
      </w:pPr>
    </w:p>
    <w:p w14:paraId="64105CEC" w14:textId="77777777" w:rsidR="005337D5" w:rsidRPr="00C275FF"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sz w:val="20"/>
          <w:szCs w:val="22"/>
          <w:lang w:val="en-GB" w:eastAsia="ar-SA"/>
        </w:rPr>
      </w:pPr>
      <w:r w:rsidRPr="00C275FF">
        <w:rPr>
          <w:rFonts w:ascii="Open Sans" w:eastAsia="Times New Roman" w:hAnsi="Open Sans" w:cs="Open Sans"/>
          <w:b/>
          <w:sz w:val="20"/>
          <w:szCs w:val="22"/>
          <w:lang w:val="en-GB" w:eastAsia="ar-SA"/>
        </w:rPr>
        <w:t xml:space="preserve">Propuesta </w:t>
      </w:r>
      <w:r w:rsidRPr="00C275FF">
        <w:rPr>
          <w:rFonts w:ascii="Open Sans" w:hAnsi="Open Sans" w:cs="Open Sans"/>
          <w:lang w:val="en-GB"/>
        </w:rPr>
        <w:t xml:space="preserve"> </w:t>
      </w:r>
      <w:r w:rsidRPr="00C275FF">
        <w:rPr>
          <w:rFonts w:ascii="Open Sans" w:eastAsia="Times New Roman" w:hAnsi="Open Sans" w:cs="Open Sans"/>
          <w:b/>
          <w:sz w:val="20"/>
          <w:szCs w:val="22"/>
          <w:lang w:val="en-GB" w:eastAsia="ar-SA"/>
        </w:rPr>
        <w:t>country-by-country reporting (Tax Justice Network)</w:t>
      </w:r>
    </w:p>
    <w:p w14:paraId="62C9C8E3" w14:textId="77777777" w:rsidR="005337D5" w:rsidRPr="00C275FF"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n-GB"/>
        </w:rPr>
      </w:pPr>
    </w:p>
    <w:p w14:paraId="722C8FAB"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sidRPr="00730112">
        <w:rPr>
          <w:rFonts w:ascii="Open Sans" w:eastAsia="Times New Roman" w:hAnsi="Open Sans" w:cs="Open Sans"/>
          <w:bCs/>
          <w:color w:val="000000"/>
          <w:sz w:val="20"/>
          <w:szCs w:val="20"/>
          <w:lang w:val="es-ES"/>
        </w:rPr>
        <w:t>Tax Justice Network</w:t>
      </w:r>
    </w:p>
    <w:p w14:paraId="32907FD8"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6C854A85"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sidRPr="00730112">
        <w:rPr>
          <w:rFonts w:ascii="Open Sans" w:eastAsia="Times New Roman" w:hAnsi="Open Sans" w:cs="Open Sans"/>
          <w:bCs/>
          <w:color w:val="000000"/>
          <w:sz w:val="20"/>
          <w:szCs w:val="20"/>
          <w:lang w:val="es-ES"/>
        </w:rPr>
        <w:t>VOLUNTARIO</w:t>
      </w:r>
    </w:p>
    <w:p w14:paraId="5088D45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2C46E98B"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2008</w:t>
      </w:r>
    </w:p>
    <w:p w14:paraId="377A4E77"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0FAF9682" w14:textId="2497546C"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OBJETO: </w:t>
      </w:r>
      <w:r w:rsidRPr="00730112">
        <w:rPr>
          <w:rFonts w:ascii="Open Sans" w:eastAsia="Times New Roman" w:hAnsi="Open Sans" w:cs="Open Sans"/>
          <w:bCs/>
          <w:color w:val="000000"/>
          <w:sz w:val="20"/>
          <w:szCs w:val="20"/>
          <w:lang w:val="es-ES"/>
        </w:rPr>
        <w:t xml:space="preserve">Elaboración de informes país por país referidos a la tributación del impuesto de sociedades y a una serie de partidas financieras. </w:t>
      </w:r>
    </w:p>
    <w:p w14:paraId="48AB92BD" w14:textId="77777777" w:rsidR="00FE0E87" w:rsidRDefault="00FE0E87" w:rsidP="005337D5">
      <w:pPr>
        <w:jc w:val="both"/>
        <w:rPr>
          <w:rFonts w:ascii="Calibri" w:eastAsia="Times New Roman" w:hAnsi="Calibri" w:cs="Times New Roman"/>
          <w:b/>
          <w:bCs/>
          <w:color w:val="000000"/>
          <w:sz w:val="20"/>
          <w:szCs w:val="20"/>
          <w:lang w:val="es-ES"/>
        </w:rPr>
      </w:pPr>
    </w:p>
    <w:p w14:paraId="4B1401DD" w14:textId="783AAA9B" w:rsidR="00423A2B" w:rsidRDefault="00423A2B">
      <w:pPr>
        <w:rPr>
          <w:rFonts w:ascii="Calibri" w:eastAsia="Times New Roman" w:hAnsi="Calibri" w:cs="Times New Roman"/>
          <w:b/>
          <w:bCs/>
          <w:color w:val="000000"/>
          <w:sz w:val="20"/>
          <w:szCs w:val="20"/>
          <w:lang w:val="es-ES"/>
        </w:rPr>
      </w:pPr>
      <w:r>
        <w:rPr>
          <w:rFonts w:ascii="Calibri" w:eastAsia="Times New Roman" w:hAnsi="Calibri" w:cs="Times New Roman"/>
          <w:b/>
          <w:bCs/>
          <w:color w:val="000000"/>
          <w:sz w:val="20"/>
          <w:szCs w:val="20"/>
          <w:lang w:val="es-ES"/>
        </w:rPr>
        <w:br w:type="page"/>
      </w:r>
    </w:p>
    <w:p w14:paraId="7DAFF3AA" w14:textId="77777777" w:rsidR="00423A2B" w:rsidRDefault="00423A2B" w:rsidP="005337D5">
      <w:pPr>
        <w:jc w:val="both"/>
        <w:rPr>
          <w:rFonts w:ascii="Calibri" w:eastAsia="Times New Roman" w:hAnsi="Calibri" w:cs="Times New Roman"/>
          <w:b/>
          <w:bCs/>
          <w:color w:val="000000"/>
          <w:sz w:val="20"/>
          <w:szCs w:val="20"/>
          <w:lang w:val="es-ES"/>
        </w:rPr>
      </w:pPr>
    </w:p>
    <w:p w14:paraId="37BC075C" w14:textId="77777777" w:rsidR="005337D5"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sz w:val="20"/>
          <w:szCs w:val="22"/>
          <w:lang w:val="es-ES" w:eastAsia="ar-SA"/>
        </w:rPr>
      </w:pPr>
      <w:r w:rsidRPr="00730112">
        <w:rPr>
          <w:rFonts w:ascii="Open Sans" w:eastAsia="Times New Roman" w:hAnsi="Open Sans" w:cs="Open Sans"/>
          <w:b/>
          <w:sz w:val="20"/>
          <w:szCs w:val="22"/>
          <w:lang w:val="es-ES" w:eastAsia="ar-SA"/>
        </w:rPr>
        <w:t>Informe sobre la responsabilidad social de la empresa en España. Comisión Europea Representación en España</w:t>
      </w:r>
    </w:p>
    <w:p w14:paraId="437324E5"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335B422E"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ORGANISMO: </w:t>
      </w:r>
      <w:r>
        <w:rPr>
          <w:rFonts w:ascii="Open Sans" w:eastAsia="Times New Roman" w:hAnsi="Open Sans" w:cs="Open Sans"/>
          <w:bCs/>
          <w:color w:val="000000"/>
          <w:sz w:val="20"/>
          <w:szCs w:val="20"/>
          <w:lang w:val="es-ES"/>
        </w:rPr>
        <w:t>Gobierno de España</w:t>
      </w:r>
    </w:p>
    <w:p w14:paraId="4F06A225"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4C875190"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r w:rsidRPr="00730112">
        <w:rPr>
          <w:rFonts w:ascii="Open Sans" w:eastAsia="Times New Roman" w:hAnsi="Open Sans" w:cs="Open Sans"/>
          <w:b/>
          <w:bCs/>
          <w:color w:val="000000"/>
          <w:sz w:val="20"/>
          <w:szCs w:val="20"/>
          <w:lang w:val="es-ES"/>
        </w:rPr>
        <w:t xml:space="preserve">CARÁCTER DE LAS MEDIDAS: </w:t>
      </w:r>
      <w:r>
        <w:rPr>
          <w:rFonts w:ascii="Open Sans" w:eastAsia="Times New Roman" w:hAnsi="Open Sans" w:cs="Open Sans"/>
          <w:bCs/>
          <w:color w:val="000000"/>
          <w:sz w:val="20"/>
          <w:szCs w:val="20"/>
          <w:lang w:val="es-ES"/>
        </w:rPr>
        <w:t>VOLUNTARIO</w:t>
      </w:r>
    </w:p>
    <w:p w14:paraId="7E50DF45"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
          <w:bCs/>
          <w:color w:val="000000"/>
          <w:sz w:val="20"/>
          <w:szCs w:val="20"/>
          <w:lang w:val="es-ES"/>
        </w:rPr>
      </w:pPr>
    </w:p>
    <w:p w14:paraId="7F9251B9"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730112">
        <w:rPr>
          <w:rFonts w:ascii="Open Sans" w:eastAsia="Times New Roman" w:hAnsi="Open Sans" w:cs="Open Sans"/>
          <w:b/>
          <w:bCs/>
          <w:color w:val="000000"/>
          <w:sz w:val="20"/>
          <w:szCs w:val="20"/>
          <w:lang w:val="es-ES"/>
        </w:rPr>
        <w:t xml:space="preserve">ENTRADA EN VIGOR: </w:t>
      </w:r>
      <w:r w:rsidRPr="00730112">
        <w:rPr>
          <w:rFonts w:ascii="Open Sans" w:eastAsia="Times New Roman" w:hAnsi="Open Sans" w:cs="Open Sans"/>
          <w:bCs/>
          <w:color w:val="000000"/>
          <w:sz w:val="20"/>
          <w:szCs w:val="20"/>
          <w:lang w:val="es-ES"/>
        </w:rPr>
        <w:t>PENDIENTE DE APLICACIÓN</w:t>
      </w:r>
    </w:p>
    <w:p w14:paraId="2B56298F" w14:textId="77777777"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43BB7998" w14:textId="01A2F0FE" w:rsidR="005337D5" w:rsidRPr="00604551" w:rsidRDefault="005337D5" w:rsidP="00D01848">
      <w:pPr>
        <w:pBdr>
          <w:top w:val="single" w:sz="4" w:space="1" w:color="auto"/>
          <w:left w:val="single" w:sz="4" w:space="4" w:color="auto"/>
          <w:bottom w:val="single" w:sz="4" w:space="1" w:color="auto"/>
          <w:right w:val="single" w:sz="4" w:space="4" w:color="auto"/>
        </w:pBdr>
        <w:autoSpaceDE w:val="0"/>
        <w:autoSpaceDN w:val="0"/>
        <w:adjustRightInd w:val="0"/>
        <w:jc w:val="both"/>
        <w:rPr>
          <w:rFonts w:ascii="Open Sans" w:eastAsiaTheme="minorHAnsi" w:hAnsi="Open Sans" w:cs="Open Sans"/>
          <w:sz w:val="20"/>
          <w:szCs w:val="20"/>
          <w:lang w:val="es-ES" w:eastAsia="en-US"/>
        </w:rPr>
      </w:pPr>
      <w:r w:rsidRPr="00730112">
        <w:rPr>
          <w:rFonts w:ascii="Open Sans" w:eastAsia="Times New Roman" w:hAnsi="Open Sans" w:cs="Open Sans"/>
          <w:b/>
          <w:bCs/>
          <w:color w:val="000000"/>
          <w:sz w:val="20"/>
          <w:szCs w:val="20"/>
          <w:lang w:val="es-ES"/>
        </w:rPr>
        <w:t xml:space="preserve">OBJETO: </w:t>
      </w:r>
      <w:r w:rsidRPr="00604551">
        <w:rPr>
          <w:rFonts w:ascii="Open Sans" w:eastAsia="Times New Roman" w:hAnsi="Open Sans" w:cs="Open Sans"/>
          <w:bCs/>
          <w:color w:val="000000"/>
          <w:sz w:val="20"/>
          <w:szCs w:val="20"/>
          <w:lang w:val="es-ES"/>
        </w:rPr>
        <w:t>Indicadores económicos y sobre fiscalidad de la empresa dentro de indicadores clave de RSC</w:t>
      </w:r>
      <w:r w:rsidR="00283D13">
        <w:rPr>
          <w:rFonts w:ascii="Open Sans" w:eastAsiaTheme="minorHAnsi" w:hAnsi="Open Sans" w:cs="Open Sans"/>
          <w:sz w:val="20"/>
          <w:szCs w:val="20"/>
          <w:lang w:val="es-ES" w:eastAsia="en-US"/>
        </w:rPr>
        <w:t xml:space="preserve">. </w:t>
      </w:r>
      <w:r w:rsidR="00283D13" w:rsidRPr="00283D13">
        <w:rPr>
          <w:rFonts w:ascii="Open Sans" w:eastAsiaTheme="minorHAnsi" w:hAnsi="Open Sans" w:cs="Open Sans"/>
          <w:sz w:val="20"/>
          <w:szCs w:val="20"/>
          <w:lang w:val="es-ES" w:eastAsia="en-US"/>
        </w:rPr>
        <w:t>D</w:t>
      </w:r>
      <w:r w:rsidRPr="00283D13">
        <w:rPr>
          <w:rFonts w:ascii="Open Sans" w:eastAsiaTheme="minorHAnsi" w:hAnsi="Open Sans" w:cs="Open Sans"/>
          <w:sz w:val="20"/>
          <w:szCs w:val="20"/>
          <w:lang w:val="es-ES" w:eastAsia="en-US"/>
        </w:rPr>
        <w:t>eterminar si una empresa mantiene estos principios de consistencia, transparencia y rendición de cuentas respecto a sus</w:t>
      </w:r>
      <w:r w:rsidR="00D01848" w:rsidRPr="00283D13">
        <w:rPr>
          <w:rFonts w:ascii="Open Sans" w:eastAsiaTheme="minorHAnsi" w:hAnsi="Open Sans" w:cs="Open Sans"/>
          <w:sz w:val="20"/>
          <w:szCs w:val="20"/>
          <w:lang w:val="es-ES" w:eastAsia="en-US"/>
        </w:rPr>
        <w:t xml:space="preserve"> </w:t>
      </w:r>
      <w:r w:rsidRPr="00283D13">
        <w:rPr>
          <w:rFonts w:ascii="Open Sans" w:eastAsiaTheme="minorHAnsi" w:hAnsi="Open Sans" w:cs="Open Sans"/>
          <w:sz w:val="20"/>
          <w:szCs w:val="20"/>
          <w:lang w:val="es-ES" w:eastAsia="en-US"/>
        </w:rPr>
        <w:t>obligaciones en materia fiscal.</w:t>
      </w:r>
      <w:r w:rsidRPr="00604551">
        <w:rPr>
          <w:rFonts w:ascii="Open Sans" w:eastAsiaTheme="minorHAnsi" w:hAnsi="Open Sans" w:cs="Open Sans"/>
          <w:sz w:val="20"/>
          <w:szCs w:val="20"/>
          <w:lang w:val="es-ES" w:eastAsia="en-US"/>
        </w:rPr>
        <w:t xml:space="preserve"> </w:t>
      </w:r>
    </w:p>
    <w:p w14:paraId="0A349610" w14:textId="77777777" w:rsidR="005337D5" w:rsidRPr="00604551" w:rsidRDefault="005337D5" w:rsidP="005337D5">
      <w:pPr>
        <w:pBdr>
          <w:top w:val="single" w:sz="4" w:space="1" w:color="auto"/>
          <w:left w:val="single" w:sz="4" w:space="4" w:color="auto"/>
          <w:bottom w:val="single" w:sz="4" w:space="1" w:color="auto"/>
          <w:right w:val="single" w:sz="4" w:space="4" w:color="auto"/>
        </w:pBdr>
        <w:jc w:val="both"/>
        <w:rPr>
          <w:rFonts w:ascii="Open Sans" w:eastAsiaTheme="minorHAnsi" w:hAnsi="Open Sans" w:cs="Open Sans"/>
          <w:sz w:val="20"/>
          <w:szCs w:val="20"/>
          <w:lang w:val="es-ES" w:eastAsia="en-US"/>
        </w:rPr>
      </w:pPr>
    </w:p>
    <w:p w14:paraId="1E6D8F20" w14:textId="67350AFE" w:rsidR="005337D5" w:rsidRPr="00604551"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Ventas, tanto a terceros como entre entidades de la misma empresa, si es el</w:t>
      </w:r>
      <w:r w:rsidR="005337D5">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caso</w:t>
      </w:r>
    </w:p>
    <w:p w14:paraId="6C1871A6" w14:textId="78F39B52" w:rsidR="005337D5"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Compras, tanto a terceros como entre entidades de la misma empresa, si es</w:t>
      </w:r>
      <w:r w:rsidR="005337D5">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 xml:space="preserve">el caso· </w:t>
      </w:r>
    </w:p>
    <w:p w14:paraId="00CCE1E6" w14:textId="349A8BF4" w:rsidR="005337D5"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Coste de</w:t>
      </w:r>
      <w:r w:rsidR="005337D5">
        <w:rPr>
          <w:rFonts w:ascii="Open Sans" w:eastAsiaTheme="minorHAnsi" w:hAnsi="Open Sans" w:cs="Open Sans"/>
          <w:sz w:val="20"/>
          <w:szCs w:val="20"/>
          <w:lang w:val="es-ES" w:eastAsia="en-US"/>
        </w:rPr>
        <w:t xml:space="preserve"> personal y número de empleados</w:t>
      </w:r>
      <w:r w:rsidR="005337D5" w:rsidRPr="00604551">
        <w:rPr>
          <w:rFonts w:ascii="Open Sans" w:eastAsiaTheme="minorHAnsi" w:hAnsi="Open Sans" w:cs="Open Sans"/>
          <w:sz w:val="20"/>
          <w:szCs w:val="20"/>
          <w:lang w:val="es-ES" w:eastAsia="en-US"/>
        </w:rPr>
        <w:t xml:space="preserve">· </w:t>
      </w:r>
    </w:p>
    <w:p w14:paraId="4F02D9F1" w14:textId="27F7F086" w:rsidR="005337D5" w:rsidRPr="00604551"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Costes financieros, pagados tanto a terceros como entre entidades de la</w:t>
      </w:r>
      <w:r w:rsidR="005337D5">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misma empresa</w:t>
      </w:r>
    </w:p>
    <w:p w14:paraId="3B6FE4E5" w14:textId="6DD31932" w:rsidR="005337D5" w:rsidRPr="00604551"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Beneficios antes de impuestos, base imponible (especificando bases</w:t>
      </w:r>
      <w:r w:rsidR="005337D5">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imponibles negativas de ejercicios anteriores), cuota íntegra, deducciones y</w:t>
      </w:r>
      <w:r w:rsidR="005337D5">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bonificaciones fiscales, cuota líquida</w:t>
      </w:r>
    </w:p>
    <w:p w14:paraId="4EACEB2D" w14:textId="567A8F2B" w:rsidR="005337D5" w:rsidRPr="00604551" w:rsidRDefault="005337D5"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sidRPr="00604551">
        <w:rPr>
          <w:rFonts w:ascii="Open Sans" w:eastAsiaTheme="minorHAnsi" w:hAnsi="Open Sans" w:cs="Open Sans"/>
          <w:sz w:val="20"/>
          <w:szCs w:val="20"/>
          <w:lang w:val="es-ES" w:eastAsia="en-US"/>
        </w:rPr>
        <w:t>Impuestos corrientes e impuestos diferidos en el ejercicio contable</w:t>
      </w:r>
      <w:r w:rsidR="00D01848">
        <w:rPr>
          <w:rFonts w:ascii="Open Sans" w:eastAsiaTheme="minorHAnsi" w:hAnsi="Open Sans" w:cs="Open Sans"/>
          <w:sz w:val="20"/>
          <w:szCs w:val="20"/>
          <w:lang w:val="es-ES" w:eastAsia="en-US"/>
        </w:rPr>
        <w:t>.</w:t>
      </w:r>
    </w:p>
    <w:p w14:paraId="5AC6E9D9" w14:textId="36D35623" w:rsidR="005337D5" w:rsidRPr="00604551"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Pagos de impuestos en el ejercicio contable</w:t>
      </w:r>
    </w:p>
    <w:p w14:paraId="1C061522" w14:textId="649C5DAC" w:rsidR="005337D5" w:rsidRPr="00604551"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Activos y pasivos generados por impuestos diferidos al principio y final de</w:t>
      </w:r>
      <w:r w:rsidR="005337D5">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cada ejercicio contable.</w:t>
      </w:r>
    </w:p>
    <w:p w14:paraId="30657106" w14:textId="5DC26AF8" w:rsidR="005337D5" w:rsidRPr="00604551" w:rsidRDefault="00D01848" w:rsidP="005337D5">
      <w:pPr>
        <w:pBdr>
          <w:top w:val="single" w:sz="4" w:space="1" w:color="auto"/>
          <w:left w:val="single" w:sz="4" w:space="4" w:color="auto"/>
          <w:bottom w:val="single" w:sz="4" w:space="1" w:color="auto"/>
          <w:right w:val="single" w:sz="4" w:space="4" w:color="auto"/>
        </w:pBdr>
        <w:autoSpaceDE w:val="0"/>
        <w:autoSpaceDN w:val="0"/>
        <w:adjustRightInd w:val="0"/>
        <w:rPr>
          <w:rFonts w:ascii="Open Sans" w:eastAsiaTheme="minorHAnsi" w:hAnsi="Open Sans" w:cs="Open Sans"/>
          <w:sz w:val="20"/>
          <w:szCs w:val="20"/>
          <w:lang w:val="es-ES" w:eastAsia="en-US"/>
        </w:rPr>
      </w:pPr>
      <w:r>
        <w:rPr>
          <w:rFonts w:ascii="Open Sans" w:eastAsiaTheme="minorHAnsi" w:hAnsi="Open Sans" w:cs="Open Sans"/>
          <w:sz w:val="20"/>
          <w:szCs w:val="20"/>
          <w:lang w:val="es-ES" w:eastAsia="en-US"/>
        </w:rPr>
        <w:t xml:space="preserve">- </w:t>
      </w:r>
      <w:r w:rsidR="005337D5" w:rsidRPr="00604551">
        <w:rPr>
          <w:rFonts w:ascii="Open Sans" w:eastAsiaTheme="minorHAnsi" w:hAnsi="Open Sans" w:cs="Open Sans"/>
          <w:sz w:val="20"/>
          <w:szCs w:val="20"/>
          <w:lang w:val="es-ES" w:eastAsia="en-US"/>
        </w:rPr>
        <w:t>Coste y valor contable neto de los activos físicos en cada país en que se opera</w:t>
      </w:r>
    </w:p>
    <w:p w14:paraId="3EADCB72" w14:textId="77777777" w:rsidR="005337D5" w:rsidRPr="00604551"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p>
    <w:p w14:paraId="609B8718" w14:textId="6431B95B" w:rsidR="005337D5" w:rsidRPr="00730112" w:rsidRDefault="005337D5" w:rsidP="005337D5">
      <w:pPr>
        <w:pBdr>
          <w:top w:val="single" w:sz="4" w:space="1" w:color="auto"/>
          <w:left w:val="single" w:sz="4" w:space="4" w:color="auto"/>
          <w:bottom w:val="single" w:sz="4" w:space="1" w:color="auto"/>
          <w:right w:val="single" w:sz="4" w:space="4" w:color="auto"/>
        </w:pBdr>
        <w:jc w:val="both"/>
        <w:rPr>
          <w:rFonts w:ascii="Open Sans" w:eastAsia="Times New Roman" w:hAnsi="Open Sans" w:cs="Open Sans"/>
          <w:bCs/>
          <w:color w:val="000000"/>
          <w:sz w:val="20"/>
          <w:szCs w:val="20"/>
          <w:lang w:val="es-ES"/>
        </w:rPr>
      </w:pPr>
      <w:r w:rsidRPr="00604551">
        <w:rPr>
          <w:rFonts w:ascii="Open Sans" w:eastAsia="Times New Roman" w:hAnsi="Open Sans" w:cs="Open Sans"/>
          <w:b/>
          <w:bCs/>
          <w:color w:val="000000"/>
          <w:sz w:val="20"/>
          <w:szCs w:val="20"/>
          <w:lang w:val="es-ES"/>
        </w:rPr>
        <w:t xml:space="preserve">ÁMBITO DE APLICACIÓN: </w:t>
      </w:r>
      <w:r w:rsidRPr="00604551">
        <w:rPr>
          <w:rFonts w:ascii="Open Sans" w:eastAsia="Times New Roman" w:hAnsi="Open Sans" w:cs="Open Sans"/>
          <w:bCs/>
          <w:color w:val="000000"/>
          <w:sz w:val="20"/>
          <w:szCs w:val="20"/>
          <w:lang w:val="es-ES"/>
        </w:rPr>
        <w:t>Grandes empresas</w:t>
      </w:r>
    </w:p>
    <w:p w14:paraId="13DDF2BE" w14:textId="77777777" w:rsidR="005337D5" w:rsidRDefault="005337D5" w:rsidP="005337D5">
      <w:pPr>
        <w:jc w:val="center"/>
        <w:rPr>
          <w:rFonts w:ascii="Open Sans" w:eastAsia="Times New Roman" w:hAnsi="Open Sans" w:cs="Arial"/>
          <w:b/>
          <w:sz w:val="20"/>
          <w:szCs w:val="22"/>
          <w:lang w:val="es-ES" w:eastAsia="ar-SA"/>
        </w:rPr>
      </w:pPr>
    </w:p>
    <w:p w14:paraId="44B61201" w14:textId="068EA3FC" w:rsidR="00D01848" w:rsidRDefault="00D01848">
      <w:pPr>
        <w:rPr>
          <w:rFonts w:ascii="Open Sans" w:eastAsia="Times New Roman" w:hAnsi="Open Sans" w:cs="Arial"/>
          <w:b/>
          <w:sz w:val="20"/>
          <w:szCs w:val="22"/>
          <w:lang w:val="es-ES" w:eastAsia="ar-SA"/>
        </w:rPr>
      </w:pPr>
      <w:r>
        <w:rPr>
          <w:rFonts w:ascii="Open Sans" w:eastAsia="Times New Roman" w:hAnsi="Open Sans" w:cs="Arial"/>
          <w:b/>
          <w:sz w:val="20"/>
          <w:szCs w:val="22"/>
          <w:lang w:val="es-ES" w:eastAsia="ar-SA"/>
        </w:rPr>
        <w:br w:type="page"/>
      </w:r>
    </w:p>
    <w:p w14:paraId="3F49A5AB" w14:textId="3B7EED5B" w:rsidR="005357A6" w:rsidRPr="005357A6" w:rsidRDefault="005357A6" w:rsidP="00D01848">
      <w:pPr>
        <w:jc w:val="both"/>
        <w:rPr>
          <w:rFonts w:ascii="Open Sans" w:eastAsia="Times New Roman" w:hAnsi="Open Sans" w:cs="Arial"/>
          <w:sz w:val="20"/>
          <w:szCs w:val="22"/>
          <w:lang w:val="es-ES" w:eastAsia="ar-SA"/>
        </w:rPr>
      </w:pPr>
      <w:r w:rsidRPr="005357A6">
        <w:rPr>
          <w:rFonts w:ascii="Open Sans" w:eastAsia="Times New Roman" w:hAnsi="Open Sans" w:cs="Arial"/>
          <w:sz w:val="20"/>
          <w:szCs w:val="22"/>
          <w:lang w:val="es-ES" w:eastAsia="ar-SA"/>
        </w:rPr>
        <w:t>Con la información recopilada se ha procedido a la selección del conjunto de indicadores que serán objeto de valoración en análisis a realizar</w:t>
      </w:r>
    </w:p>
    <w:p w14:paraId="7137A051" w14:textId="77777777" w:rsidR="005357A6" w:rsidRDefault="005357A6" w:rsidP="00D01848">
      <w:pPr>
        <w:jc w:val="both"/>
        <w:rPr>
          <w:rFonts w:ascii="Open Sans" w:eastAsia="Times New Roman" w:hAnsi="Open Sans" w:cs="Arial"/>
          <w:b/>
          <w:sz w:val="20"/>
          <w:szCs w:val="22"/>
          <w:lang w:val="es-ES" w:eastAsia="ar-SA"/>
        </w:rPr>
      </w:pPr>
    </w:p>
    <w:p w14:paraId="673A7775" w14:textId="6BE5476D" w:rsidR="005357A6" w:rsidRPr="005357A6" w:rsidRDefault="005357A6" w:rsidP="005357A6">
      <w:pPr>
        <w:spacing w:after="240" w:line="276" w:lineRule="auto"/>
        <w:jc w:val="center"/>
        <w:rPr>
          <w:rFonts w:ascii="Open Sans" w:hAnsi="Open Sans" w:cs="Open Sans"/>
          <w:b/>
          <w:color w:val="000000" w:themeColor="text1"/>
          <w:sz w:val="20"/>
          <w:szCs w:val="20"/>
          <w:u w:val="single"/>
        </w:rPr>
      </w:pPr>
      <w:bookmarkStart w:id="13" w:name="_Ref477956430"/>
      <w:bookmarkStart w:id="14" w:name="_Toc478054295"/>
      <w:r w:rsidRPr="005357A6">
        <w:rPr>
          <w:rFonts w:ascii="Open Sans" w:hAnsi="Open Sans" w:cs="Open Sans"/>
          <w:b/>
          <w:color w:val="000000" w:themeColor="text1"/>
          <w:sz w:val="20"/>
          <w:szCs w:val="20"/>
          <w:u w:val="single"/>
        </w:rPr>
        <w:t xml:space="preserve">Tabla </w:t>
      </w:r>
      <w:bookmarkEnd w:id="13"/>
      <w:r>
        <w:rPr>
          <w:rFonts w:ascii="Open Sans" w:hAnsi="Open Sans" w:cs="Open Sans"/>
          <w:b/>
          <w:color w:val="000000" w:themeColor="text1"/>
          <w:sz w:val="20"/>
          <w:szCs w:val="20"/>
          <w:u w:val="single"/>
        </w:rPr>
        <w:t>1</w:t>
      </w:r>
      <w:r w:rsidRPr="005357A6">
        <w:rPr>
          <w:rFonts w:ascii="Open Sans" w:hAnsi="Open Sans" w:cs="Open Sans"/>
          <w:b/>
          <w:color w:val="000000" w:themeColor="text1"/>
          <w:sz w:val="20"/>
          <w:szCs w:val="20"/>
          <w:u w:val="single"/>
        </w:rPr>
        <w:t>. Indicadores clave en la información fiscal desde una visión RSC</w:t>
      </w:r>
      <w:bookmarkEnd w:id="14"/>
    </w:p>
    <w:p w14:paraId="4905BC70" w14:textId="77777777" w:rsidR="005357A6" w:rsidRDefault="005357A6" w:rsidP="005357A6">
      <w:pPr>
        <w:spacing w:line="276" w:lineRule="auto"/>
      </w:pPr>
      <w:r w:rsidRPr="00BB42EB">
        <w:rPr>
          <w:noProof/>
          <w:lang w:val="es-ES"/>
        </w:rPr>
        <w:drawing>
          <wp:inline distT="0" distB="0" distL="0" distR="0" wp14:anchorId="3134B798" wp14:editId="6223CE98">
            <wp:extent cx="5400040" cy="6537563"/>
            <wp:effectExtent l="19050" t="0" r="0" b="0"/>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5400040" cy="6537563"/>
                    </a:xfrm>
                    <a:prstGeom prst="rect">
                      <a:avLst/>
                    </a:prstGeom>
                    <a:noFill/>
                    <a:ln w="9525">
                      <a:noFill/>
                      <a:miter lim="800000"/>
                      <a:headEnd/>
                      <a:tailEnd/>
                    </a:ln>
                  </pic:spPr>
                </pic:pic>
              </a:graphicData>
            </a:graphic>
          </wp:inline>
        </w:drawing>
      </w:r>
    </w:p>
    <w:p w14:paraId="75F39018" w14:textId="77777777" w:rsidR="0049051A" w:rsidRDefault="0049051A" w:rsidP="0049051A">
      <w:pPr>
        <w:spacing w:after="240" w:line="276" w:lineRule="auto"/>
        <w:jc w:val="center"/>
        <w:rPr>
          <w:rFonts w:ascii="Open Sans" w:hAnsi="Open Sans" w:cs="Arial"/>
          <w:sz w:val="18"/>
          <w:szCs w:val="18"/>
        </w:rPr>
      </w:pPr>
    </w:p>
    <w:p w14:paraId="7C1AF4F8" w14:textId="77777777" w:rsidR="005357A6" w:rsidRPr="0049051A" w:rsidRDefault="005357A6" w:rsidP="0049051A">
      <w:pPr>
        <w:spacing w:after="240" w:line="276" w:lineRule="auto"/>
        <w:jc w:val="center"/>
        <w:rPr>
          <w:rFonts w:ascii="Open Sans" w:hAnsi="Open Sans" w:cs="Arial"/>
          <w:sz w:val="18"/>
          <w:szCs w:val="18"/>
        </w:rPr>
      </w:pPr>
      <w:r w:rsidRPr="0049051A">
        <w:rPr>
          <w:rFonts w:ascii="Open Sans" w:hAnsi="Open Sans" w:cs="Arial"/>
          <w:sz w:val="18"/>
          <w:szCs w:val="18"/>
        </w:rPr>
        <w:t>Fuente: elaboración propia</w:t>
      </w:r>
    </w:p>
    <w:p w14:paraId="04706760" w14:textId="77777777" w:rsidR="005357A6" w:rsidRDefault="005357A6" w:rsidP="00D01848">
      <w:pPr>
        <w:jc w:val="both"/>
        <w:rPr>
          <w:rFonts w:ascii="Open Sans" w:eastAsia="Times New Roman" w:hAnsi="Open Sans" w:cs="Arial"/>
          <w:b/>
          <w:sz w:val="20"/>
          <w:szCs w:val="22"/>
          <w:lang w:val="es-ES" w:eastAsia="ar-SA"/>
        </w:rPr>
      </w:pPr>
    </w:p>
    <w:p w14:paraId="560BEEA0" w14:textId="77777777" w:rsidR="00A54E84" w:rsidRDefault="00A54E84" w:rsidP="00D01848">
      <w:pPr>
        <w:jc w:val="both"/>
        <w:rPr>
          <w:rFonts w:ascii="Open Sans" w:eastAsia="Times New Roman" w:hAnsi="Open Sans" w:cs="Arial"/>
          <w:b/>
          <w:sz w:val="20"/>
          <w:szCs w:val="22"/>
          <w:lang w:val="es-ES" w:eastAsia="ar-SA"/>
        </w:rPr>
      </w:pPr>
    </w:p>
    <w:p w14:paraId="07656D70" w14:textId="77777777" w:rsidR="005357A6" w:rsidRDefault="005357A6" w:rsidP="00D01848">
      <w:pPr>
        <w:jc w:val="both"/>
        <w:rPr>
          <w:rFonts w:ascii="Open Sans" w:eastAsia="Times New Roman" w:hAnsi="Open Sans" w:cs="Arial"/>
          <w:b/>
          <w:sz w:val="20"/>
          <w:szCs w:val="22"/>
          <w:lang w:val="es-ES" w:eastAsia="ar-SA"/>
        </w:rPr>
      </w:pPr>
    </w:p>
    <w:p w14:paraId="79C64751" w14:textId="77777777" w:rsidR="00D01848" w:rsidRPr="007E1A25" w:rsidRDefault="00D01848" w:rsidP="00D01848">
      <w:pPr>
        <w:jc w:val="both"/>
        <w:rPr>
          <w:rFonts w:ascii="Calibri" w:eastAsia="Times New Roman" w:hAnsi="Calibri" w:cs="Times New Roman"/>
          <w:b/>
          <w:bCs/>
          <w:color w:val="000000"/>
          <w:sz w:val="20"/>
          <w:szCs w:val="20"/>
          <w:lang w:val="es-ES"/>
        </w:rPr>
      </w:pPr>
      <w:r w:rsidRPr="002D1701">
        <w:rPr>
          <w:rFonts w:ascii="Open Sans" w:eastAsia="Times New Roman" w:hAnsi="Open Sans" w:cs="Arial"/>
          <w:b/>
          <w:sz w:val="20"/>
          <w:szCs w:val="22"/>
          <w:lang w:val="es-ES" w:eastAsia="ar-SA"/>
        </w:rPr>
        <w:t>B. Recopilación de la información</w:t>
      </w:r>
    </w:p>
    <w:p w14:paraId="46AAEF14" w14:textId="77777777" w:rsidR="00D01848" w:rsidRPr="002D1701" w:rsidRDefault="00D01848" w:rsidP="00D01848">
      <w:pPr>
        <w:suppressAutoHyphens/>
        <w:jc w:val="both"/>
        <w:rPr>
          <w:rFonts w:ascii="Open Sans" w:eastAsia="Times New Roman" w:hAnsi="Open Sans" w:cs="Arial"/>
          <w:sz w:val="20"/>
          <w:szCs w:val="22"/>
          <w:lang w:val="es-ES" w:eastAsia="ar-SA"/>
        </w:rPr>
      </w:pPr>
    </w:p>
    <w:p w14:paraId="26A2A776" w14:textId="77777777" w:rsidR="00D01848" w:rsidRDefault="00D01848" w:rsidP="00D01848">
      <w:pPr>
        <w:suppressAutoHyphens/>
        <w:jc w:val="both"/>
        <w:rPr>
          <w:rFonts w:ascii="Open Sans" w:eastAsia="Times New Roman" w:hAnsi="Open Sans" w:cs="Arial"/>
          <w:sz w:val="20"/>
          <w:szCs w:val="22"/>
          <w:lang w:val="es-ES" w:eastAsia="ar-SA"/>
        </w:rPr>
      </w:pPr>
      <w:r>
        <w:rPr>
          <w:rFonts w:ascii="Open Sans" w:eastAsia="Times New Roman" w:hAnsi="Open Sans" w:cs="Arial"/>
          <w:sz w:val="20"/>
          <w:szCs w:val="22"/>
          <w:lang w:val="es-ES" w:eastAsia="ar-SA"/>
        </w:rPr>
        <w:t xml:space="preserve">La recopilación de la información se realiza a través de los documentos públicos que las empresas publican en su web y que están referidos a 2015. Cuando no se tiene acceso vía web de los documentos vigentes durante nuestro periodo de análisis se contacta con la empresa para solicitarlo </w:t>
      </w:r>
    </w:p>
    <w:p w14:paraId="48FF2180" w14:textId="77777777" w:rsidR="00D01848" w:rsidRDefault="00D01848" w:rsidP="00D01848">
      <w:pPr>
        <w:suppressAutoHyphens/>
        <w:jc w:val="both"/>
        <w:rPr>
          <w:rFonts w:ascii="Open Sans" w:eastAsia="Times New Roman" w:hAnsi="Open Sans" w:cs="Arial"/>
          <w:sz w:val="20"/>
          <w:szCs w:val="22"/>
          <w:lang w:val="es-ES" w:eastAsia="ar-SA"/>
        </w:rPr>
      </w:pPr>
    </w:p>
    <w:p w14:paraId="7EB4F7D9" w14:textId="77777777" w:rsidR="00D01848" w:rsidRPr="002D1701" w:rsidRDefault="00D01848" w:rsidP="00D01848">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En el informe individual de cada empresa, se</w:t>
      </w:r>
      <w:r>
        <w:rPr>
          <w:rFonts w:ascii="Open Sans" w:eastAsia="Times New Roman" w:hAnsi="Open Sans" w:cs="Arial"/>
          <w:sz w:val="20"/>
          <w:szCs w:val="22"/>
          <w:lang w:val="es-ES" w:eastAsia="ar-SA"/>
        </w:rPr>
        <w:t xml:space="preserve"> especifica en un listado los </w:t>
      </w:r>
      <w:r w:rsidRPr="002D1701">
        <w:rPr>
          <w:rFonts w:ascii="Open Sans" w:eastAsia="Times New Roman" w:hAnsi="Open Sans" w:cs="Arial"/>
          <w:sz w:val="20"/>
          <w:szCs w:val="22"/>
          <w:lang w:val="es-ES" w:eastAsia="ar-SA"/>
        </w:rPr>
        <w:t xml:space="preserve"> documentos </w:t>
      </w:r>
      <w:r>
        <w:rPr>
          <w:rFonts w:ascii="Open Sans" w:eastAsia="Times New Roman" w:hAnsi="Open Sans" w:cs="Arial"/>
          <w:sz w:val="20"/>
          <w:szCs w:val="22"/>
          <w:lang w:val="es-ES" w:eastAsia="ar-SA"/>
        </w:rPr>
        <w:t xml:space="preserve">que </w:t>
      </w:r>
      <w:r w:rsidRPr="002D1701">
        <w:rPr>
          <w:rFonts w:ascii="Open Sans" w:eastAsia="Times New Roman" w:hAnsi="Open Sans" w:cs="Arial"/>
          <w:sz w:val="20"/>
          <w:szCs w:val="22"/>
          <w:lang w:val="es-ES" w:eastAsia="ar-SA"/>
        </w:rPr>
        <w:t>se han analizado, citando la denominación empleada por la compañía informante.</w:t>
      </w:r>
    </w:p>
    <w:p w14:paraId="7F95438D" w14:textId="77777777" w:rsidR="00D01848" w:rsidRDefault="00D01848" w:rsidP="00D01848">
      <w:pPr>
        <w:suppressAutoHyphens/>
        <w:jc w:val="both"/>
        <w:rPr>
          <w:rFonts w:ascii="Open Sans" w:eastAsia="Times New Roman" w:hAnsi="Open Sans" w:cs="Arial"/>
          <w:b/>
          <w:sz w:val="20"/>
          <w:szCs w:val="22"/>
          <w:lang w:val="es-ES" w:eastAsia="ar-SA"/>
        </w:rPr>
      </w:pPr>
    </w:p>
    <w:p w14:paraId="1C4D8504" w14:textId="77777777" w:rsidR="00D01848" w:rsidRPr="002D1701" w:rsidRDefault="00D01848" w:rsidP="00D01848">
      <w:pPr>
        <w:suppressAutoHyphens/>
        <w:jc w:val="both"/>
        <w:rPr>
          <w:rFonts w:ascii="Open Sans" w:eastAsia="Times New Roman" w:hAnsi="Open Sans" w:cs="Arial"/>
          <w:b/>
          <w:sz w:val="20"/>
          <w:szCs w:val="22"/>
          <w:lang w:val="es-ES" w:eastAsia="ar-SA"/>
        </w:rPr>
      </w:pPr>
    </w:p>
    <w:p w14:paraId="64F4A99E" w14:textId="77777777" w:rsidR="00D01848" w:rsidRPr="002D1701" w:rsidRDefault="00D01848" w:rsidP="00D01848">
      <w:pPr>
        <w:suppressAutoHyphens/>
        <w:jc w:val="both"/>
        <w:rPr>
          <w:rFonts w:ascii="Open Sans" w:eastAsia="Times New Roman" w:hAnsi="Open Sans" w:cs="Arial"/>
          <w:b/>
          <w:sz w:val="20"/>
          <w:szCs w:val="22"/>
          <w:lang w:val="es-ES" w:eastAsia="ar-SA"/>
        </w:rPr>
      </w:pPr>
      <w:r w:rsidRPr="002D1701">
        <w:rPr>
          <w:rFonts w:ascii="Open Sans" w:eastAsia="Times New Roman" w:hAnsi="Open Sans" w:cs="Arial"/>
          <w:b/>
          <w:sz w:val="20"/>
          <w:szCs w:val="22"/>
          <w:lang w:val="es-ES" w:eastAsia="ar-SA"/>
        </w:rPr>
        <w:t>C. Análisis básico y valoración</w:t>
      </w:r>
    </w:p>
    <w:p w14:paraId="191BF0F6" w14:textId="77777777" w:rsidR="00D01848" w:rsidRPr="002D1701" w:rsidRDefault="00D01848" w:rsidP="00D01848">
      <w:pPr>
        <w:suppressAutoHyphens/>
        <w:jc w:val="both"/>
        <w:rPr>
          <w:rFonts w:ascii="Open Sans" w:eastAsia="Times New Roman" w:hAnsi="Open Sans" w:cs="Arial"/>
          <w:sz w:val="20"/>
          <w:szCs w:val="22"/>
          <w:lang w:val="es-ES" w:eastAsia="ar-SA"/>
        </w:rPr>
      </w:pPr>
    </w:p>
    <w:p w14:paraId="5FF7C9AF" w14:textId="77777777" w:rsidR="00D01848" w:rsidRPr="002D1701" w:rsidRDefault="00D01848" w:rsidP="00D01848">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Los documentos de cada empresa han sido estudiados por un analista utilizando el</w:t>
      </w:r>
      <w:r w:rsidRPr="002D1701">
        <w:rPr>
          <w:rFonts w:ascii="Open Sans" w:eastAsia="Times New Roman" w:hAnsi="Open Sans" w:cs="Arial"/>
          <w:b/>
          <w:i/>
          <w:sz w:val="20"/>
          <w:szCs w:val="22"/>
          <w:lang w:val="es-ES" w:eastAsia="ar-SA"/>
        </w:rPr>
        <w:t xml:space="preserve"> </w:t>
      </w:r>
      <w:r w:rsidRPr="00345E72">
        <w:rPr>
          <w:rFonts w:ascii="Open Sans" w:eastAsia="Times New Roman" w:hAnsi="Open Sans" w:cs="Arial"/>
          <w:i/>
          <w:sz w:val="20"/>
          <w:szCs w:val="22"/>
          <w:lang w:val="es-ES" w:eastAsia="ar-SA"/>
        </w:rPr>
        <w:t>Modelo de Análisis</w:t>
      </w:r>
      <w:r w:rsidRPr="002D1701">
        <w:rPr>
          <w:rFonts w:ascii="Open Sans" w:eastAsia="Times New Roman" w:hAnsi="Open Sans" w:cs="Arial"/>
          <w:b/>
          <w:i/>
          <w:sz w:val="20"/>
          <w:szCs w:val="22"/>
          <w:lang w:val="es-ES" w:eastAsia="ar-SA"/>
        </w:rPr>
        <w:t xml:space="preserve"> </w:t>
      </w:r>
      <w:r w:rsidRPr="002D1701">
        <w:rPr>
          <w:rFonts w:ascii="Open Sans" w:eastAsia="Times New Roman" w:hAnsi="Open Sans" w:cs="Arial"/>
          <w:sz w:val="20"/>
          <w:szCs w:val="22"/>
          <w:lang w:val="es-ES" w:eastAsia="ar-SA"/>
        </w:rPr>
        <w:t>definido, evaluando la información contenida en ellos según los indicadores/requisitos de las dimensiones analizadas.</w:t>
      </w:r>
    </w:p>
    <w:p w14:paraId="400120E1" w14:textId="77777777" w:rsidR="00D01848" w:rsidRPr="002D1701" w:rsidRDefault="00D01848" w:rsidP="00D01848">
      <w:pPr>
        <w:suppressAutoHyphens/>
        <w:jc w:val="both"/>
        <w:rPr>
          <w:rFonts w:ascii="Open Sans" w:eastAsia="Times New Roman" w:hAnsi="Open Sans" w:cs="Arial"/>
          <w:sz w:val="20"/>
          <w:szCs w:val="22"/>
          <w:lang w:val="es-ES" w:eastAsia="ar-SA"/>
        </w:rPr>
      </w:pPr>
    </w:p>
    <w:p w14:paraId="06573D92" w14:textId="77777777" w:rsidR="00D01848" w:rsidRPr="002D1701" w:rsidRDefault="00D01848" w:rsidP="00D01848">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Con objeto de facilitar el trabajo y el tratamiento numérico de los resultados, el </w:t>
      </w:r>
      <w:r w:rsidRPr="002D1701">
        <w:rPr>
          <w:rFonts w:ascii="Open Sans" w:eastAsia="Times New Roman" w:hAnsi="Open Sans" w:cs="Arial"/>
          <w:i/>
          <w:sz w:val="20"/>
          <w:szCs w:val="22"/>
          <w:lang w:val="es-ES" w:eastAsia="ar-SA"/>
        </w:rPr>
        <w:t>Modelo de Análisis</w:t>
      </w:r>
      <w:r w:rsidRPr="002D1701">
        <w:rPr>
          <w:rFonts w:ascii="Open Sans" w:eastAsia="Times New Roman" w:hAnsi="Open Sans" w:cs="Arial"/>
          <w:sz w:val="20"/>
          <w:szCs w:val="22"/>
          <w:lang w:val="es-ES" w:eastAsia="ar-SA"/>
        </w:rPr>
        <w:t xml:space="preserve"> es una plantilla construida en hojas de cálculo. Así, para cada empresa de la muestra se utiliza un </w:t>
      </w:r>
      <w:r w:rsidRPr="002D1701">
        <w:rPr>
          <w:rFonts w:ascii="Open Sans" w:eastAsia="Times New Roman" w:hAnsi="Open Sans" w:cs="Arial"/>
          <w:i/>
          <w:sz w:val="20"/>
          <w:szCs w:val="22"/>
          <w:lang w:val="es-ES" w:eastAsia="ar-SA"/>
        </w:rPr>
        <w:t>‘libro’</w:t>
      </w:r>
      <w:r w:rsidRPr="002D1701">
        <w:rPr>
          <w:rFonts w:ascii="Open Sans" w:eastAsia="Times New Roman" w:hAnsi="Open Sans" w:cs="Arial"/>
          <w:sz w:val="20"/>
          <w:szCs w:val="22"/>
          <w:lang w:val="es-ES" w:eastAsia="ar-SA"/>
        </w:rPr>
        <w:t xml:space="preserve"> propio en el que, a su vez, se incluye una </w:t>
      </w:r>
      <w:r w:rsidRPr="002D1701">
        <w:rPr>
          <w:rFonts w:ascii="Open Sans" w:eastAsia="Times New Roman" w:hAnsi="Open Sans" w:cs="Arial"/>
          <w:i/>
          <w:sz w:val="20"/>
          <w:szCs w:val="22"/>
          <w:lang w:val="es-ES" w:eastAsia="ar-SA"/>
        </w:rPr>
        <w:t>‘hoja’</w:t>
      </w:r>
      <w:r w:rsidRPr="002D1701">
        <w:rPr>
          <w:rFonts w:ascii="Open Sans" w:eastAsia="Times New Roman" w:hAnsi="Open Sans" w:cs="Arial"/>
          <w:sz w:val="20"/>
          <w:szCs w:val="22"/>
          <w:lang w:val="es-ES" w:eastAsia="ar-SA"/>
        </w:rPr>
        <w:t xml:space="preserve"> para cada sección de las dimensiones analizadas  (</w:t>
      </w:r>
      <w:r>
        <w:rPr>
          <w:rFonts w:ascii="Open Sans" w:eastAsia="Times New Roman" w:hAnsi="Open Sans" w:cs="Arial"/>
          <w:i/>
          <w:sz w:val="20"/>
          <w:szCs w:val="22"/>
          <w:lang w:val="es-ES" w:eastAsia="ar-SA"/>
        </w:rPr>
        <w:t>Estrategia/ Política fiscal; Impuestos e incentivos; Paraísos y nichos fiscales; Relación con las administraciones Pública; Operativa de la empresa</w:t>
      </w:r>
      <w:r w:rsidRPr="002D1701">
        <w:rPr>
          <w:rFonts w:ascii="Open Sans" w:eastAsia="Times New Roman" w:hAnsi="Open Sans" w:cs="Arial"/>
          <w:sz w:val="20"/>
          <w:szCs w:val="22"/>
          <w:lang w:val="es-ES" w:eastAsia="ar-SA"/>
        </w:rPr>
        <w:t xml:space="preserve">). Estas </w:t>
      </w:r>
      <w:r w:rsidRPr="002D1701">
        <w:rPr>
          <w:rFonts w:ascii="Open Sans" w:eastAsia="Times New Roman" w:hAnsi="Open Sans" w:cs="Arial"/>
          <w:i/>
          <w:sz w:val="20"/>
          <w:szCs w:val="22"/>
          <w:lang w:val="es-ES" w:eastAsia="ar-SA"/>
        </w:rPr>
        <w:t>‘hojas’</w:t>
      </w:r>
      <w:r w:rsidRPr="002D1701">
        <w:rPr>
          <w:rFonts w:ascii="Open Sans" w:eastAsia="Times New Roman" w:hAnsi="Open Sans" w:cs="Arial"/>
          <w:sz w:val="20"/>
          <w:szCs w:val="22"/>
          <w:lang w:val="es-ES" w:eastAsia="ar-SA"/>
        </w:rPr>
        <w:t xml:space="preserve"> recogen la siguiente información por indicador/requisito, según sea aplicable: descripción de evidencias documentadas, páginas del documento de la empresa en la que se encuentra dicha información, valoración numérica del indicador/requisito y conclusiones.</w:t>
      </w:r>
    </w:p>
    <w:p w14:paraId="5BE1B7BE" w14:textId="77777777" w:rsidR="00D01848" w:rsidRPr="002D1701" w:rsidRDefault="00D01848" w:rsidP="00D01848">
      <w:pPr>
        <w:suppressAutoHyphens/>
        <w:jc w:val="both"/>
        <w:rPr>
          <w:rFonts w:ascii="Open Sans" w:eastAsia="Times New Roman" w:hAnsi="Open Sans" w:cs="Arial"/>
          <w:sz w:val="20"/>
          <w:szCs w:val="22"/>
          <w:lang w:val="es-ES" w:eastAsia="ar-SA"/>
        </w:rPr>
      </w:pPr>
    </w:p>
    <w:p w14:paraId="7D52EC94" w14:textId="77777777" w:rsidR="00D01848" w:rsidRDefault="00D01848" w:rsidP="00D01848">
      <w:pPr>
        <w:suppressAutoHyphens/>
        <w:jc w:val="both"/>
        <w:rPr>
          <w:rFonts w:ascii="Open Sans" w:eastAsia="Times New Roman" w:hAnsi="Open Sans" w:cs="Arial"/>
          <w:sz w:val="20"/>
          <w:szCs w:val="22"/>
          <w:lang w:val="es-ES" w:eastAsia="ar-SA"/>
        </w:rPr>
      </w:pPr>
      <w:r>
        <w:rPr>
          <w:rFonts w:ascii="Open Sans" w:eastAsia="Times New Roman" w:hAnsi="Open Sans" w:cs="Arial"/>
          <w:sz w:val="20"/>
          <w:szCs w:val="22"/>
          <w:lang w:val="es-ES" w:eastAsia="ar-SA"/>
        </w:rPr>
        <w:t xml:space="preserve">En cada indicador se valora si cumple con el requisito exigido. En caso cumpla con el indicador  se pasa a analizar la profundidad de la información en relación al aspecto objeto de análisis con un gradiente de 1, equivale a información débil o escasa, a 3, equivalente a información completa. El estadio 2 equivaldría a información incompleta. </w:t>
      </w:r>
    </w:p>
    <w:p w14:paraId="714AF3EE" w14:textId="77777777" w:rsidR="00D01848" w:rsidRDefault="00D01848" w:rsidP="00D01848">
      <w:pPr>
        <w:suppressAutoHyphens/>
        <w:jc w:val="both"/>
        <w:rPr>
          <w:rFonts w:ascii="Open Sans" w:eastAsia="Times New Roman" w:hAnsi="Open Sans" w:cs="Arial"/>
          <w:sz w:val="20"/>
          <w:szCs w:val="22"/>
          <w:lang w:val="es-ES" w:eastAsia="ar-SA"/>
        </w:rPr>
      </w:pPr>
    </w:p>
    <w:p w14:paraId="637CEF90" w14:textId="77777777" w:rsidR="00D01848" w:rsidRDefault="00D01848" w:rsidP="00D01848">
      <w:pPr>
        <w:suppressAutoHyphens/>
        <w:jc w:val="both"/>
        <w:rPr>
          <w:rFonts w:ascii="Open Sans" w:eastAsia="Times New Roman" w:hAnsi="Open Sans" w:cs="Arial"/>
          <w:sz w:val="20"/>
          <w:szCs w:val="22"/>
          <w:lang w:val="es-ES" w:eastAsia="ar-SA"/>
        </w:rPr>
      </w:pPr>
    </w:p>
    <w:p w14:paraId="4AFF5C20" w14:textId="51B41242" w:rsidR="00D01848" w:rsidRDefault="00D01848" w:rsidP="00D01848">
      <w:pPr>
        <w:suppressAutoHyphens/>
        <w:jc w:val="both"/>
        <w:rPr>
          <w:rFonts w:ascii="Open Sans" w:eastAsia="Times New Roman" w:hAnsi="Open Sans" w:cs="Arial"/>
          <w:sz w:val="20"/>
          <w:szCs w:val="22"/>
          <w:lang w:val="es-ES" w:eastAsia="ar-SA"/>
        </w:rPr>
      </w:pPr>
      <w:r>
        <w:rPr>
          <w:rFonts w:ascii="Open Sans" w:eastAsia="Times New Roman" w:hAnsi="Open Sans" w:cs="Arial"/>
          <w:sz w:val="20"/>
          <w:szCs w:val="22"/>
          <w:lang w:val="es-ES" w:eastAsia="ar-SA"/>
        </w:rPr>
        <w:t xml:space="preserve">A continuación se expone a través de  </w:t>
      </w:r>
      <w:r w:rsidRPr="002D1701">
        <w:rPr>
          <w:rFonts w:ascii="Open Sans" w:eastAsia="Times New Roman" w:hAnsi="Open Sans" w:cs="Arial"/>
          <w:sz w:val="20"/>
          <w:szCs w:val="22"/>
          <w:lang w:val="es-ES" w:eastAsia="ar-SA"/>
        </w:rPr>
        <w:t xml:space="preserve">Los </w:t>
      </w:r>
      <w:r w:rsidRPr="00AC485E">
        <w:rPr>
          <w:rFonts w:ascii="Open Sans" w:eastAsia="Times New Roman" w:hAnsi="Open Sans" w:cs="Arial"/>
          <w:b/>
          <w:sz w:val="20"/>
          <w:szCs w:val="22"/>
          <w:u w:val="single"/>
          <w:lang w:val="es-ES" w:eastAsia="ar-SA"/>
        </w:rPr>
        <w:t>criterios de valoración</w:t>
      </w:r>
      <w:r w:rsidRPr="002D1701">
        <w:rPr>
          <w:rFonts w:ascii="Open Sans" w:eastAsia="Times New Roman" w:hAnsi="Open Sans" w:cs="Arial"/>
          <w:sz w:val="20"/>
          <w:szCs w:val="22"/>
          <w:lang w:val="es-ES" w:eastAsia="ar-SA"/>
        </w:rPr>
        <w:t xml:space="preserve"> empleados en los indicadore</w:t>
      </w:r>
      <w:r>
        <w:rPr>
          <w:rFonts w:ascii="Open Sans" w:eastAsia="Times New Roman" w:hAnsi="Open Sans" w:cs="Arial"/>
          <w:sz w:val="20"/>
          <w:szCs w:val="22"/>
          <w:lang w:val="es-ES" w:eastAsia="ar-SA"/>
        </w:rPr>
        <w:t xml:space="preserve">s de la herramienta se puntúan </w:t>
      </w:r>
      <w:r w:rsidRPr="002D1701">
        <w:rPr>
          <w:rFonts w:ascii="Open Sans" w:eastAsia="Times New Roman" w:hAnsi="Open Sans" w:cs="Arial"/>
          <w:sz w:val="20"/>
          <w:szCs w:val="22"/>
          <w:lang w:val="es-ES" w:eastAsia="ar-SA"/>
        </w:rPr>
        <w:t xml:space="preserve">según </w:t>
      </w:r>
      <w:r w:rsidR="007F55EB" w:rsidRPr="002D1701">
        <w:rPr>
          <w:rFonts w:ascii="Open Sans" w:eastAsia="Times New Roman" w:hAnsi="Open Sans" w:cs="Arial"/>
          <w:sz w:val="20"/>
          <w:szCs w:val="22"/>
          <w:lang w:val="es-ES" w:eastAsia="ar-SA"/>
        </w:rPr>
        <w:t>la siguiente escala</w:t>
      </w:r>
      <w:r>
        <w:rPr>
          <w:rFonts w:ascii="Open Sans" w:eastAsia="Times New Roman" w:hAnsi="Open Sans" w:cs="Arial"/>
          <w:sz w:val="20"/>
          <w:szCs w:val="22"/>
          <w:lang w:val="es-ES" w:eastAsia="ar-SA"/>
        </w:rPr>
        <w:t xml:space="preserve"> de valoración:</w:t>
      </w:r>
    </w:p>
    <w:p w14:paraId="29359FA3" w14:textId="77777777" w:rsidR="005337D5" w:rsidRDefault="005337D5" w:rsidP="00D01848">
      <w:pPr>
        <w:rPr>
          <w:rFonts w:ascii="Open Sans" w:eastAsia="Times New Roman" w:hAnsi="Open Sans" w:cs="Arial"/>
          <w:b/>
          <w:sz w:val="20"/>
          <w:szCs w:val="22"/>
          <w:lang w:val="es-ES" w:eastAsia="ar-SA"/>
        </w:rPr>
      </w:pPr>
    </w:p>
    <w:p w14:paraId="17DD85EF" w14:textId="77777777" w:rsidR="005337D5" w:rsidRDefault="005337D5" w:rsidP="005337D5">
      <w:pPr>
        <w:jc w:val="center"/>
        <w:rPr>
          <w:rFonts w:ascii="Open Sans" w:eastAsia="Times New Roman" w:hAnsi="Open Sans" w:cs="Arial"/>
          <w:b/>
          <w:sz w:val="20"/>
          <w:szCs w:val="22"/>
          <w:lang w:val="es-ES" w:eastAsia="ar-SA"/>
        </w:rPr>
      </w:pPr>
    </w:p>
    <w:p w14:paraId="6285C25B" w14:textId="7204F1DC" w:rsidR="00D01848" w:rsidRDefault="00D01848" w:rsidP="005337D5">
      <w:pPr>
        <w:jc w:val="center"/>
        <w:rPr>
          <w:rFonts w:ascii="Open Sans" w:eastAsia="Times New Roman" w:hAnsi="Open Sans" w:cs="Arial"/>
          <w:b/>
          <w:sz w:val="20"/>
          <w:szCs w:val="22"/>
          <w:lang w:val="es-ES" w:eastAsia="ar-SA"/>
        </w:rPr>
      </w:pPr>
      <w:r>
        <w:rPr>
          <w:rFonts w:ascii="Open Sans" w:eastAsia="Times New Roman" w:hAnsi="Open Sans" w:cs="Arial"/>
          <w:b/>
          <w:noProof/>
          <w:sz w:val="20"/>
          <w:szCs w:val="22"/>
          <w:lang w:val="es-ES"/>
        </w:rPr>
        <w:drawing>
          <wp:inline distT="0" distB="0" distL="0" distR="0" wp14:anchorId="1F1F3C01" wp14:editId="036F7664">
            <wp:extent cx="5396230" cy="565531"/>
            <wp:effectExtent l="0" t="0" r="0"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396230" cy="565531"/>
                    </a:xfrm>
                    <a:prstGeom prst="rect">
                      <a:avLst/>
                    </a:prstGeom>
                    <a:noFill/>
                    <a:ln>
                      <a:noFill/>
                    </a:ln>
                  </pic:spPr>
                </pic:pic>
              </a:graphicData>
            </a:graphic>
          </wp:inline>
        </w:drawing>
      </w:r>
    </w:p>
    <w:p w14:paraId="407E0D60" w14:textId="77777777" w:rsidR="00D01848" w:rsidRDefault="00D01848" w:rsidP="005337D5">
      <w:pPr>
        <w:jc w:val="center"/>
        <w:rPr>
          <w:rFonts w:ascii="Open Sans" w:eastAsia="Times New Roman" w:hAnsi="Open Sans" w:cs="Arial"/>
          <w:b/>
          <w:sz w:val="20"/>
          <w:szCs w:val="22"/>
          <w:lang w:val="es-ES" w:eastAsia="ar-SA"/>
        </w:rPr>
      </w:pPr>
    </w:p>
    <w:p w14:paraId="3ED4006E" w14:textId="77777777" w:rsidR="00D01848" w:rsidRDefault="00D01848" w:rsidP="005337D5">
      <w:pPr>
        <w:jc w:val="center"/>
        <w:rPr>
          <w:rFonts w:ascii="Open Sans" w:eastAsia="Times New Roman" w:hAnsi="Open Sans" w:cs="Arial"/>
          <w:b/>
          <w:sz w:val="20"/>
          <w:szCs w:val="22"/>
          <w:lang w:val="es-ES" w:eastAsia="ar-SA"/>
        </w:rPr>
      </w:pPr>
    </w:p>
    <w:p w14:paraId="66214CA8" w14:textId="77777777" w:rsidR="00D01848" w:rsidRDefault="00D01848" w:rsidP="005337D5">
      <w:pPr>
        <w:jc w:val="center"/>
        <w:rPr>
          <w:rFonts w:ascii="Open Sans" w:eastAsia="Times New Roman" w:hAnsi="Open Sans" w:cs="Arial"/>
          <w:b/>
          <w:sz w:val="20"/>
          <w:szCs w:val="22"/>
          <w:lang w:val="es-ES" w:eastAsia="ar-SA"/>
        </w:rPr>
      </w:pPr>
    </w:p>
    <w:p w14:paraId="2867E5F0" w14:textId="417E1848" w:rsidR="00D01848" w:rsidRDefault="00D01848">
      <w:pPr>
        <w:rPr>
          <w:b/>
        </w:rPr>
      </w:pPr>
      <w:r>
        <w:rPr>
          <w:b/>
        </w:rPr>
        <w:br w:type="page"/>
      </w:r>
    </w:p>
    <w:p w14:paraId="6295EFCB" w14:textId="77777777" w:rsidR="00D01848" w:rsidRDefault="00D01848" w:rsidP="00D01848">
      <w:pPr>
        <w:suppressAutoHyphens/>
        <w:jc w:val="both"/>
        <w:rPr>
          <w:rFonts w:ascii="Open Sans" w:eastAsia="Times New Roman" w:hAnsi="Open Sans" w:cs="Arial"/>
          <w:sz w:val="20"/>
          <w:szCs w:val="22"/>
          <w:lang w:val="es-ES" w:eastAsia="ar-SA"/>
        </w:rPr>
      </w:pPr>
      <w:r>
        <w:rPr>
          <w:rFonts w:ascii="Open Sans" w:eastAsia="Times New Roman" w:hAnsi="Open Sans" w:cs="Arial"/>
          <w:sz w:val="20"/>
          <w:szCs w:val="22"/>
          <w:lang w:val="es-ES" w:eastAsia="ar-SA"/>
        </w:rPr>
        <w:t>Cada indicador tiene unos requisitos de cumplimiento que guían al analista. A continuación se expone a modo de ejemplo para el indicador “Estrategia y política fiscal”:</w:t>
      </w:r>
    </w:p>
    <w:p w14:paraId="31BF6EE5" w14:textId="77777777" w:rsidR="00D01848" w:rsidRDefault="00D01848" w:rsidP="00D01848">
      <w:pPr>
        <w:suppressAutoHyphens/>
        <w:jc w:val="both"/>
        <w:rPr>
          <w:rFonts w:ascii="Open Sans" w:eastAsia="Times New Roman" w:hAnsi="Open Sans" w:cs="Arial"/>
          <w:sz w:val="20"/>
          <w:szCs w:val="22"/>
          <w:lang w:val="es-ES" w:eastAsia="ar-SA"/>
        </w:rPr>
      </w:pPr>
    </w:p>
    <w:p w14:paraId="6303F1A6" w14:textId="77777777" w:rsidR="00283D13" w:rsidRDefault="00283D13" w:rsidP="00D01848">
      <w:pPr>
        <w:suppressAutoHyphens/>
        <w:jc w:val="both"/>
        <w:rPr>
          <w:rFonts w:ascii="Open Sans" w:eastAsia="Times New Roman" w:hAnsi="Open Sans" w:cs="Arial"/>
          <w:sz w:val="20"/>
          <w:szCs w:val="22"/>
          <w:lang w:val="es-ES" w:eastAsia="ar-SA"/>
        </w:rPr>
      </w:pPr>
    </w:p>
    <w:tbl>
      <w:tblPr>
        <w:tblW w:w="8326" w:type="dxa"/>
        <w:jc w:val="center"/>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701"/>
        <w:gridCol w:w="765"/>
        <w:gridCol w:w="1984"/>
        <w:gridCol w:w="1701"/>
        <w:gridCol w:w="2175"/>
      </w:tblGrid>
      <w:tr w:rsidR="00D01848" w:rsidRPr="00413F5F" w14:paraId="188E26C1" w14:textId="77777777" w:rsidTr="00DB4FBC">
        <w:trPr>
          <w:trHeight w:val="482"/>
          <w:jc w:val="center"/>
        </w:trPr>
        <w:tc>
          <w:tcPr>
            <w:tcW w:w="1701" w:type="dxa"/>
            <w:shd w:val="clear" w:color="000000" w:fill="538DD5"/>
            <w:hideMark/>
          </w:tcPr>
          <w:p w14:paraId="7066A977" w14:textId="77777777" w:rsidR="00D01848" w:rsidRPr="00413F5F" w:rsidRDefault="00D01848" w:rsidP="00D01848">
            <w:pPr>
              <w:jc w:val="center"/>
              <w:rPr>
                <w:rFonts w:ascii="Open Sans" w:eastAsia="Times New Roman" w:hAnsi="Open Sans" w:cs="Open Sans"/>
                <w:b/>
                <w:bCs/>
                <w:color w:val="FFFFFF"/>
                <w:sz w:val="18"/>
                <w:szCs w:val="18"/>
                <w:lang w:val="es-ES"/>
              </w:rPr>
            </w:pPr>
            <w:r w:rsidRPr="00413F5F">
              <w:rPr>
                <w:rFonts w:ascii="Open Sans" w:eastAsia="Times New Roman" w:hAnsi="Open Sans" w:cs="Open Sans"/>
                <w:b/>
                <w:bCs/>
                <w:color w:val="FFFFFF"/>
                <w:sz w:val="18"/>
                <w:szCs w:val="18"/>
                <w:lang w:val="es-ES"/>
              </w:rPr>
              <w:t>Explicación del indicador</w:t>
            </w:r>
          </w:p>
        </w:tc>
        <w:tc>
          <w:tcPr>
            <w:tcW w:w="765" w:type="dxa"/>
            <w:shd w:val="clear" w:color="000000" w:fill="BFBFBF"/>
            <w:hideMark/>
          </w:tcPr>
          <w:p w14:paraId="2D8028D3" w14:textId="77777777" w:rsidR="00D01848" w:rsidRPr="00413F5F" w:rsidRDefault="00D01848" w:rsidP="00D01848">
            <w:pPr>
              <w:jc w:val="center"/>
              <w:rPr>
                <w:rFonts w:ascii="Open Sans" w:eastAsia="Times New Roman" w:hAnsi="Open Sans" w:cs="Open Sans"/>
                <w:b/>
                <w:bCs/>
                <w:color w:val="000000"/>
                <w:sz w:val="18"/>
                <w:szCs w:val="18"/>
                <w:lang w:val="es-ES"/>
              </w:rPr>
            </w:pPr>
            <w:r w:rsidRPr="00413F5F">
              <w:rPr>
                <w:rFonts w:ascii="Open Sans" w:eastAsia="Times New Roman" w:hAnsi="Open Sans" w:cs="Open Sans"/>
                <w:b/>
                <w:bCs/>
                <w:color w:val="000000"/>
                <w:sz w:val="18"/>
                <w:szCs w:val="18"/>
                <w:lang w:val="es-ES"/>
              </w:rPr>
              <w:t xml:space="preserve"> SI / NO</w:t>
            </w:r>
          </w:p>
        </w:tc>
        <w:tc>
          <w:tcPr>
            <w:tcW w:w="1984" w:type="dxa"/>
            <w:shd w:val="clear" w:color="000000" w:fill="BFBFBF"/>
            <w:noWrap/>
            <w:hideMark/>
          </w:tcPr>
          <w:p w14:paraId="28AB0464" w14:textId="77777777" w:rsidR="00D01848" w:rsidRPr="00413F5F" w:rsidRDefault="00D01848" w:rsidP="00D01848">
            <w:pPr>
              <w:jc w:val="center"/>
              <w:rPr>
                <w:rFonts w:ascii="Open Sans" w:eastAsia="Times New Roman" w:hAnsi="Open Sans" w:cs="Open Sans"/>
                <w:b/>
                <w:bCs/>
                <w:color w:val="000000"/>
                <w:sz w:val="18"/>
                <w:szCs w:val="18"/>
                <w:lang w:val="es-ES"/>
              </w:rPr>
            </w:pPr>
            <w:r w:rsidRPr="00413F5F">
              <w:rPr>
                <w:rFonts w:ascii="Open Sans" w:eastAsia="Times New Roman" w:hAnsi="Open Sans" w:cs="Open Sans"/>
                <w:b/>
                <w:bCs/>
                <w:color w:val="000000"/>
                <w:sz w:val="18"/>
                <w:szCs w:val="18"/>
                <w:lang w:val="es-ES"/>
              </w:rPr>
              <w:t>BAJA (1 punto)</w:t>
            </w:r>
          </w:p>
        </w:tc>
        <w:tc>
          <w:tcPr>
            <w:tcW w:w="1701" w:type="dxa"/>
            <w:shd w:val="clear" w:color="000000" w:fill="BFBFBF"/>
            <w:noWrap/>
            <w:hideMark/>
          </w:tcPr>
          <w:p w14:paraId="43D42CB8" w14:textId="77777777" w:rsidR="00D01848" w:rsidRPr="00413F5F" w:rsidRDefault="00D01848" w:rsidP="00D01848">
            <w:pPr>
              <w:jc w:val="center"/>
              <w:rPr>
                <w:rFonts w:ascii="Open Sans" w:eastAsia="Times New Roman" w:hAnsi="Open Sans" w:cs="Open Sans"/>
                <w:b/>
                <w:bCs/>
                <w:color w:val="000000"/>
                <w:sz w:val="18"/>
                <w:szCs w:val="18"/>
                <w:lang w:val="es-ES"/>
              </w:rPr>
            </w:pPr>
            <w:r w:rsidRPr="00413F5F">
              <w:rPr>
                <w:rFonts w:ascii="Open Sans" w:eastAsia="Times New Roman" w:hAnsi="Open Sans" w:cs="Open Sans"/>
                <w:b/>
                <w:bCs/>
                <w:color w:val="000000"/>
                <w:sz w:val="18"/>
                <w:szCs w:val="18"/>
                <w:lang w:val="es-ES"/>
              </w:rPr>
              <w:t>MEDIA (2 puntos)</w:t>
            </w:r>
          </w:p>
        </w:tc>
        <w:tc>
          <w:tcPr>
            <w:tcW w:w="2175" w:type="dxa"/>
            <w:shd w:val="clear" w:color="000000" w:fill="BFBFBF"/>
            <w:noWrap/>
            <w:hideMark/>
          </w:tcPr>
          <w:p w14:paraId="3DC4781E" w14:textId="77777777" w:rsidR="00D01848" w:rsidRPr="00413F5F" w:rsidRDefault="00D01848" w:rsidP="00D01848">
            <w:pPr>
              <w:jc w:val="center"/>
              <w:rPr>
                <w:rFonts w:ascii="Open Sans" w:eastAsia="Times New Roman" w:hAnsi="Open Sans" w:cs="Open Sans"/>
                <w:b/>
                <w:bCs/>
                <w:color w:val="000000"/>
                <w:sz w:val="18"/>
                <w:szCs w:val="18"/>
                <w:lang w:val="es-ES"/>
              </w:rPr>
            </w:pPr>
            <w:r w:rsidRPr="00413F5F">
              <w:rPr>
                <w:rFonts w:ascii="Open Sans" w:eastAsia="Times New Roman" w:hAnsi="Open Sans" w:cs="Open Sans"/>
                <w:b/>
                <w:bCs/>
                <w:color w:val="000000"/>
                <w:sz w:val="18"/>
                <w:szCs w:val="18"/>
                <w:lang w:val="es-ES"/>
              </w:rPr>
              <w:t>ALTA (3 puntos)</w:t>
            </w:r>
          </w:p>
        </w:tc>
      </w:tr>
      <w:tr w:rsidR="00D01848" w:rsidRPr="00413F5F" w14:paraId="49D0E40F" w14:textId="77777777" w:rsidTr="00DB4FBC">
        <w:trPr>
          <w:trHeight w:val="1103"/>
          <w:jc w:val="center"/>
        </w:trPr>
        <w:tc>
          <w:tcPr>
            <w:tcW w:w="1701" w:type="dxa"/>
            <w:shd w:val="clear" w:color="auto" w:fill="auto"/>
            <w:hideMark/>
          </w:tcPr>
          <w:p w14:paraId="207188CA" w14:textId="77777777" w:rsidR="00D01848" w:rsidRPr="00413F5F" w:rsidRDefault="00D01848" w:rsidP="00D01848">
            <w:pPr>
              <w:rPr>
                <w:rFonts w:ascii="Open Sans" w:eastAsia="Times New Roman" w:hAnsi="Open Sans" w:cs="Open Sans"/>
                <w:color w:val="000000"/>
                <w:sz w:val="18"/>
                <w:szCs w:val="18"/>
                <w:lang w:val="es-ES"/>
              </w:rPr>
            </w:pPr>
            <w:r w:rsidRPr="00413F5F">
              <w:rPr>
                <w:rFonts w:ascii="Open Sans" w:eastAsia="Times New Roman" w:hAnsi="Open Sans" w:cs="Open Sans"/>
                <w:color w:val="000000"/>
                <w:sz w:val="18"/>
                <w:szCs w:val="18"/>
                <w:lang w:val="es-ES"/>
              </w:rPr>
              <w:t>¿La empresa proporciona información  sobre su estrategia/política fiscal?</w:t>
            </w:r>
          </w:p>
        </w:tc>
        <w:tc>
          <w:tcPr>
            <w:tcW w:w="765" w:type="dxa"/>
            <w:shd w:val="clear" w:color="auto" w:fill="auto"/>
            <w:hideMark/>
          </w:tcPr>
          <w:p w14:paraId="3E997C95" w14:textId="77777777" w:rsidR="00D01848" w:rsidRPr="00413F5F" w:rsidRDefault="00D01848" w:rsidP="00D01848">
            <w:pPr>
              <w:rPr>
                <w:rFonts w:ascii="Open Sans" w:eastAsia="Times New Roman" w:hAnsi="Open Sans" w:cs="Open Sans"/>
                <w:color w:val="000000"/>
                <w:sz w:val="18"/>
                <w:szCs w:val="18"/>
                <w:lang w:val="es-ES"/>
              </w:rPr>
            </w:pPr>
            <w:r w:rsidRPr="00413F5F">
              <w:rPr>
                <w:rFonts w:ascii="Open Sans" w:eastAsia="Times New Roman" w:hAnsi="Open Sans" w:cs="Open Sans"/>
                <w:color w:val="000000"/>
                <w:sz w:val="18"/>
                <w:szCs w:val="18"/>
                <w:lang w:val="es-ES"/>
              </w:rPr>
              <w:t> </w:t>
            </w:r>
          </w:p>
        </w:tc>
        <w:tc>
          <w:tcPr>
            <w:tcW w:w="1984" w:type="dxa"/>
            <w:shd w:val="clear" w:color="auto" w:fill="auto"/>
            <w:hideMark/>
          </w:tcPr>
          <w:p w14:paraId="214D39BF" w14:textId="77777777" w:rsidR="00D01848" w:rsidRPr="00413F5F" w:rsidRDefault="00D01848" w:rsidP="00D01848">
            <w:pPr>
              <w:rPr>
                <w:rFonts w:ascii="Open Sans" w:eastAsia="Times New Roman" w:hAnsi="Open Sans" w:cs="Open Sans"/>
                <w:color w:val="000000"/>
                <w:sz w:val="18"/>
                <w:szCs w:val="18"/>
                <w:lang w:val="es-ES"/>
              </w:rPr>
            </w:pPr>
            <w:r w:rsidRPr="00413F5F">
              <w:rPr>
                <w:rFonts w:ascii="Open Sans" w:eastAsia="Times New Roman" w:hAnsi="Open Sans" w:cs="Open Sans"/>
                <w:color w:val="000000"/>
                <w:sz w:val="18"/>
                <w:szCs w:val="18"/>
                <w:lang w:val="es-ES"/>
              </w:rPr>
              <w:t>Únicamente indica de forma genérica que dispone de una estrategia o política fiscal</w:t>
            </w:r>
          </w:p>
        </w:tc>
        <w:tc>
          <w:tcPr>
            <w:tcW w:w="1701" w:type="dxa"/>
            <w:shd w:val="clear" w:color="auto" w:fill="auto"/>
            <w:hideMark/>
          </w:tcPr>
          <w:p w14:paraId="2AAD1128" w14:textId="77777777" w:rsidR="00D01848" w:rsidRPr="00413F5F" w:rsidRDefault="00D01848" w:rsidP="00D01848">
            <w:pPr>
              <w:rPr>
                <w:rFonts w:ascii="Open Sans" w:eastAsia="Times New Roman" w:hAnsi="Open Sans" w:cs="Open Sans"/>
                <w:color w:val="000000"/>
                <w:sz w:val="18"/>
                <w:szCs w:val="18"/>
                <w:lang w:val="es-ES"/>
              </w:rPr>
            </w:pPr>
            <w:r w:rsidRPr="00413F5F">
              <w:rPr>
                <w:rFonts w:ascii="Open Sans" w:eastAsia="Times New Roman" w:hAnsi="Open Sans" w:cs="Open Sans"/>
                <w:color w:val="000000"/>
                <w:sz w:val="18"/>
                <w:szCs w:val="18"/>
                <w:lang w:val="es-ES"/>
              </w:rPr>
              <w:t>La estrategia o la política son públicas en su totalidad</w:t>
            </w:r>
          </w:p>
        </w:tc>
        <w:tc>
          <w:tcPr>
            <w:tcW w:w="2175" w:type="dxa"/>
            <w:shd w:val="clear" w:color="auto" w:fill="auto"/>
            <w:hideMark/>
          </w:tcPr>
          <w:p w14:paraId="4C77EAEC" w14:textId="77777777" w:rsidR="00D01848" w:rsidRPr="00413F5F" w:rsidRDefault="00D01848" w:rsidP="00D01848">
            <w:pPr>
              <w:rPr>
                <w:rFonts w:ascii="Open Sans" w:eastAsia="Times New Roman" w:hAnsi="Open Sans" w:cs="Open Sans"/>
                <w:color w:val="000000"/>
                <w:sz w:val="18"/>
                <w:szCs w:val="18"/>
                <w:lang w:val="es-ES"/>
              </w:rPr>
            </w:pPr>
            <w:r w:rsidRPr="00413F5F">
              <w:rPr>
                <w:rFonts w:ascii="Open Sans" w:eastAsia="Times New Roman" w:hAnsi="Open Sans" w:cs="Open Sans"/>
                <w:color w:val="000000"/>
                <w:sz w:val="18"/>
                <w:szCs w:val="18"/>
                <w:lang w:val="es-ES"/>
              </w:rPr>
              <w:t>La estrategia/política, además de ser pública, está analizada, comentada o se explica su relación con principios de fiscalidad responsable</w:t>
            </w:r>
          </w:p>
        </w:tc>
      </w:tr>
    </w:tbl>
    <w:p w14:paraId="180E1C76" w14:textId="77777777" w:rsidR="00D01848" w:rsidRDefault="00D01848" w:rsidP="00D01848">
      <w:pPr>
        <w:suppressAutoHyphens/>
        <w:jc w:val="both"/>
        <w:rPr>
          <w:rFonts w:ascii="Open Sans" w:eastAsia="Times New Roman" w:hAnsi="Open Sans" w:cs="Arial"/>
          <w:sz w:val="20"/>
          <w:szCs w:val="22"/>
          <w:lang w:val="es-ES" w:eastAsia="ar-SA"/>
        </w:rPr>
      </w:pPr>
    </w:p>
    <w:p w14:paraId="2D1D2241" w14:textId="77777777" w:rsidR="00D01848" w:rsidRDefault="00D01848" w:rsidP="00D01848">
      <w:pPr>
        <w:suppressAutoHyphens/>
        <w:jc w:val="both"/>
        <w:rPr>
          <w:rFonts w:ascii="Open Sans" w:eastAsia="Times New Roman" w:hAnsi="Open Sans" w:cs="Arial"/>
          <w:sz w:val="20"/>
          <w:szCs w:val="22"/>
          <w:lang w:val="es-ES" w:eastAsia="ar-SA"/>
        </w:rPr>
      </w:pPr>
    </w:p>
    <w:p w14:paraId="0436FA51" w14:textId="77777777" w:rsidR="00DB4FBC" w:rsidRPr="002D1701" w:rsidRDefault="00DB4FBC" w:rsidP="00DB4FBC">
      <w:pPr>
        <w:suppressAutoHyphens/>
        <w:jc w:val="both"/>
        <w:rPr>
          <w:rFonts w:ascii="Open Sans" w:eastAsia="Times New Roman" w:hAnsi="Open Sans" w:cs="Arial"/>
          <w:sz w:val="20"/>
          <w:szCs w:val="22"/>
          <w:lang w:val="es-ES" w:eastAsia="ar-SA"/>
        </w:rPr>
      </w:pPr>
      <w:r>
        <w:rPr>
          <w:rFonts w:ascii="Open Sans" w:eastAsia="Times New Roman" w:hAnsi="Open Sans" w:cs="Arial"/>
          <w:sz w:val="20"/>
          <w:szCs w:val="22"/>
          <w:lang w:val="es-ES" w:eastAsia="ar-SA"/>
        </w:rPr>
        <w:t xml:space="preserve">Las puntuaciones por dimensión </w:t>
      </w:r>
      <w:r w:rsidRPr="002D1701">
        <w:rPr>
          <w:rFonts w:ascii="Open Sans" w:eastAsia="Times New Roman" w:hAnsi="Open Sans" w:cs="Arial"/>
          <w:sz w:val="20"/>
          <w:szCs w:val="22"/>
          <w:lang w:val="es-ES" w:eastAsia="ar-SA"/>
        </w:rPr>
        <w:t>y la puntuación total por empresa se obtienen mediante medias aritméticas de sus respectivos componentes.</w:t>
      </w:r>
    </w:p>
    <w:p w14:paraId="4C2DA980"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23CD81BC" w14:textId="0A9019CD" w:rsidR="00DB4FBC"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Para facilitar la interpretación de los datos, las valoraciones obtenidas se agrupan en dos tablas: la primera presenta el resultado diferenciado por dimensiones de la RSC (Tabla 1)</w:t>
      </w:r>
      <w:r>
        <w:rPr>
          <w:rFonts w:ascii="Open Sans" w:eastAsia="Times New Roman" w:hAnsi="Open Sans" w:cs="Arial"/>
          <w:sz w:val="20"/>
          <w:szCs w:val="22"/>
          <w:lang w:val="es-ES" w:eastAsia="ar-SA"/>
        </w:rPr>
        <w:t xml:space="preserve"> para las valoraciones cuantitativas</w:t>
      </w:r>
      <w:r w:rsidRPr="002D1701">
        <w:rPr>
          <w:rFonts w:ascii="Open Sans" w:eastAsia="Times New Roman" w:hAnsi="Open Sans" w:cs="Arial"/>
          <w:sz w:val="20"/>
          <w:szCs w:val="22"/>
          <w:lang w:val="es-ES" w:eastAsia="ar-SA"/>
        </w:rPr>
        <w:t xml:space="preserve">. La segunda, presenta el </w:t>
      </w:r>
      <w:r>
        <w:rPr>
          <w:rFonts w:ascii="Open Sans" w:eastAsia="Times New Roman" w:hAnsi="Open Sans" w:cs="Arial"/>
          <w:sz w:val="20"/>
          <w:szCs w:val="22"/>
          <w:lang w:val="es-ES" w:eastAsia="ar-SA"/>
        </w:rPr>
        <w:t xml:space="preserve">grado de cumplimiento en porcentaje </w:t>
      </w:r>
      <w:r w:rsidRPr="002D1701">
        <w:rPr>
          <w:rFonts w:ascii="Open Sans" w:eastAsia="Times New Roman" w:hAnsi="Open Sans" w:cs="Arial"/>
          <w:sz w:val="20"/>
          <w:szCs w:val="22"/>
          <w:lang w:val="es-ES" w:eastAsia="ar-SA"/>
        </w:rPr>
        <w:t xml:space="preserve">para cada </w:t>
      </w:r>
      <w:r>
        <w:rPr>
          <w:rFonts w:ascii="Open Sans" w:eastAsia="Times New Roman" w:hAnsi="Open Sans" w:cs="Arial"/>
          <w:sz w:val="20"/>
          <w:szCs w:val="22"/>
          <w:lang w:val="es-ES" w:eastAsia="ar-SA"/>
        </w:rPr>
        <w:t xml:space="preserve">dimensión analizada de los indicadores cualitativos </w:t>
      </w:r>
      <w:r w:rsidRPr="002D1701">
        <w:rPr>
          <w:rFonts w:ascii="Open Sans" w:eastAsia="Times New Roman" w:hAnsi="Open Sans" w:cs="Arial"/>
          <w:sz w:val="20"/>
          <w:szCs w:val="22"/>
          <w:lang w:val="es-ES" w:eastAsia="ar-SA"/>
        </w:rPr>
        <w:t>(Tabla 2). Ambas tablas se muestran en cada uno de los informes individuales de cada empresa.</w:t>
      </w:r>
    </w:p>
    <w:p w14:paraId="553A837F" w14:textId="77777777" w:rsidR="00DB4FBC" w:rsidRDefault="00DB4FBC" w:rsidP="00DB4FBC">
      <w:pPr>
        <w:suppressAutoHyphens/>
        <w:jc w:val="both"/>
        <w:rPr>
          <w:rFonts w:ascii="Open Sans" w:eastAsia="Times New Roman" w:hAnsi="Open Sans" w:cs="Arial"/>
          <w:sz w:val="20"/>
          <w:szCs w:val="22"/>
          <w:lang w:val="es-ES" w:eastAsia="ar-SA"/>
        </w:rPr>
      </w:pPr>
    </w:p>
    <w:p w14:paraId="7628D880" w14:textId="77777777" w:rsidR="00DB4FBC" w:rsidRPr="00F9480D" w:rsidRDefault="00DB4FBC" w:rsidP="00DB4FBC">
      <w:pPr>
        <w:rPr>
          <w:rFonts w:ascii="Open Sans" w:eastAsia="Times New Roman" w:hAnsi="Open Sans" w:cs="Arial"/>
          <w:sz w:val="20"/>
          <w:szCs w:val="22"/>
          <w:lang w:val="es-ES" w:eastAsia="ar-SA"/>
        </w:rPr>
      </w:pPr>
    </w:p>
    <w:p w14:paraId="1DF6DF3E" w14:textId="04C8A58F" w:rsidR="00DB4FBC" w:rsidRDefault="00DB4FBC" w:rsidP="00DB4FBC">
      <w:pPr>
        <w:suppressAutoHyphens/>
        <w:jc w:val="center"/>
        <w:rPr>
          <w:rFonts w:ascii="Open Sans" w:eastAsia="Times New Roman" w:hAnsi="Open Sans" w:cs="Arial"/>
          <w:b/>
          <w:sz w:val="20"/>
          <w:szCs w:val="22"/>
          <w:u w:val="single"/>
          <w:lang w:val="es-ES" w:eastAsia="ar-SA"/>
        </w:rPr>
      </w:pPr>
      <w:r w:rsidRPr="00DB4FBC">
        <w:rPr>
          <w:rFonts w:ascii="Open Sans" w:eastAsia="Times New Roman" w:hAnsi="Open Sans" w:cs="Arial"/>
          <w:b/>
          <w:sz w:val="20"/>
          <w:szCs w:val="22"/>
          <w:u w:val="single"/>
          <w:lang w:val="es-ES" w:eastAsia="ar-SA"/>
        </w:rPr>
        <w:t xml:space="preserve">TABLA </w:t>
      </w:r>
      <w:r w:rsidR="005357A6">
        <w:rPr>
          <w:rFonts w:ascii="Open Sans" w:eastAsia="Times New Roman" w:hAnsi="Open Sans" w:cs="Arial"/>
          <w:b/>
          <w:sz w:val="20"/>
          <w:szCs w:val="22"/>
          <w:u w:val="single"/>
          <w:lang w:val="es-ES" w:eastAsia="ar-SA"/>
        </w:rPr>
        <w:t>2</w:t>
      </w:r>
      <w:r w:rsidRPr="00DB4FBC">
        <w:rPr>
          <w:rFonts w:ascii="Open Sans" w:eastAsia="Times New Roman" w:hAnsi="Open Sans" w:cs="Arial"/>
          <w:b/>
          <w:sz w:val="20"/>
          <w:szCs w:val="22"/>
          <w:u w:val="single"/>
          <w:lang w:val="es-ES" w:eastAsia="ar-SA"/>
        </w:rPr>
        <w:t>: Valoraciones por dimensión</w:t>
      </w:r>
    </w:p>
    <w:p w14:paraId="1BEBDC43" w14:textId="77777777" w:rsidR="0049051A" w:rsidRDefault="0049051A" w:rsidP="00DB4FBC">
      <w:pPr>
        <w:suppressAutoHyphens/>
        <w:jc w:val="center"/>
        <w:rPr>
          <w:rFonts w:ascii="Open Sans" w:eastAsia="Times New Roman" w:hAnsi="Open Sans" w:cs="Arial"/>
          <w:b/>
          <w:sz w:val="20"/>
          <w:szCs w:val="22"/>
          <w:u w:val="single"/>
          <w:lang w:val="es-ES" w:eastAsia="ar-SA"/>
        </w:rPr>
      </w:pPr>
    </w:p>
    <w:p w14:paraId="426DC457" w14:textId="77777777" w:rsidR="0049051A" w:rsidRPr="0049051A" w:rsidRDefault="0049051A" w:rsidP="00DB4FBC">
      <w:pPr>
        <w:suppressAutoHyphens/>
        <w:jc w:val="center"/>
        <w:rPr>
          <w:rFonts w:ascii="Open Sans" w:eastAsia="Times New Roman" w:hAnsi="Open Sans" w:cs="Arial"/>
          <w:b/>
          <w:sz w:val="20"/>
          <w:szCs w:val="22"/>
          <w:lang w:val="es-ES" w:eastAsia="ar-SA"/>
        </w:rPr>
      </w:pPr>
    </w:p>
    <w:p w14:paraId="08121AD2" w14:textId="267260A2" w:rsidR="0049051A" w:rsidRPr="0049051A" w:rsidRDefault="0049051A" w:rsidP="00DB4FBC">
      <w:pPr>
        <w:suppressAutoHyphens/>
        <w:jc w:val="center"/>
        <w:rPr>
          <w:rFonts w:ascii="Open Sans" w:eastAsia="Times New Roman" w:hAnsi="Open Sans" w:cs="Arial"/>
          <w:b/>
          <w:sz w:val="20"/>
          <w:szCs w:val="22"/>
          <w:lang w:val="es-ES" w:eastAsia="ar-SA"/>
        </w:rPr>
      </w:pPr>
      <w:r w:rsidRPr="0049051A">
        <w:rPr>
          <w:rFonts w:ascii="Open Sans" w:eastAsia="Times New Roman" w:hAnsi="Open Sans" w:cs="Arial"/>
          <w:b/>
          <w:noProof/>
          <w:sz w:val="20"/>
          <w:szCs w:val="22"/>
          <w:lang w:val="es-ES"/>
        </w:rPr>
        <w:drawing>
          <wp:inline distT="0" distB="0" distL="0" distR="0" wp14:anchorId="09F7B0D6" wp14:editId="460AC69D">
            <wp:extent cx="3688080" cy="1859280"/>
            <wp:effectExtent l="0" t="0" r="0" b="0"/>
            <wp:docPr id="3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22DF0E1D" w14:textId="77777777" w:rsidR="00DB4FBC" w:rsidRDefault="00DB4FBC" w:rsidP="00DB4FBC">
      <w:pPr>
        <w:suppressAutoHyphens/>
        <w:jc w:val="center"/>
        <w:rPr>
          <w:rFonts w:ascii="Open Sans" w:eastAsia="Times New Roman" w:hAnsi="Open Sans" w:cs="Arial"/>
          <w:b/>
          <w:i/>
          <w:sz w:val="20"/>
          <w:szCs w:val="22"/>
          <w:u w:val="single"/>
          <w:lang w:val="es-ES" w:eastAsia="ar-SA"/>
        </w:rPr>
      </w:pPr>
    </w:p>
    <w:p w14:paraId="7AE8F00E" w14:textId="77777777" w:rsidR="00DB4FBC" w:rsidRPr="002D1701" w:rsidRDefault="00DB4FBC" w:rsidP="00DB4FBC">
      <w:pPr>
        <w:suppressAutoHyphens/>
        <w:jc w:val="center"/>
        <w:rPr>
          <w:rFonts w:ascii="Open Sans" w:eastAsia="Times New Roman" w:hAnsi="Open Sans" w:cs="Arial"/>
          <w:b/>
          <w:i/>
          <w:sz w:val="20"/>
          <w:szCs w:val="22"/>
          <w:u w:val="single"/>
          <w:lang w:val="es-ES" w:eastAsia="ar-SA"/>
        </w:rPr>
      </w:pPr>
    </w:p>
    <w:p w14:paraId="554E48D6" w14:textId="77777777" w:rsidR="00DB4FBC" w:rsidRDefault="00DB4FBC" w:rsidP="00DB4FBC">
      <w:pPr>
        <w:suppressAutoHyphens/>
        <w:jc w:val="both"/>
        <w:rPr>
          <w:rFonts w:ascii="Open Sans" w:eastAsia="Times New Roman" w:hAnsi="Open Sans" w:cs="Arial"/>
          <w:sz w:val="20"/>
          <w:szCs w:val="22"/>
          <w:lang w:val="es-ES" w:eastAsia="ar-SA"/>
        </w:rPr>
      </w:pPr>
    </w:p>
    <w:p w14:paraId="40D3778D"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374D2E68" w14:textId="18069BD7" w:rsidR="00DB4FBC"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En la Tabla 1 se presenta la valoración obtenida en cada una de </w:t>
      </w:r>
      <w:r>
        <w:rPr>
          <w:rFonts w:ascii="Open Sans" w:eastAsia="Times New Roman" w:hAnsi="Open Sans" w:cs="Arial"/>
          <w:sz w:val="20"/>
          <w:szCs w:val="22"/>
          <w:lang w:val="es-ES" w:eastAsia="ar-SA"/>
        </w:rPr>
        <w:t>las CINCO dimensiones analizadas</w:t>
      </w:r>
      <w:r w:rsidRPr="002D1701">
        <w:rPr>
          <w:rFonts w:ascii="Open Sans" w:eastAsia="Times New Roman" w:hAnsi="Open Sans" w:cs="Arial"/>
          <w:sz w:val="20"/>
          <w:szCs w:val="22"/>
          <w:lang w:val="es-ES" w:eastAsia="ar-SA"/>
        </w:rPr>
        <w:t xml:space="preserve">. </w:t>
      </w:r>
      <w:r w:rsidRPr="006E53BE">
        <w:rPr>
          <w:rFonts w:ascii="Open Sans" w:eastAsia="Times New Roman" w:hAnsi="Open Sans" w:cs="Arial"/>
          <w:sz w:val="20"/>
          <w:szCs w:val="22"/>
          <w:lang w:val="es-ES" w:eastAsia="ar-SA"/>
        </w:rPr>
        <w:t>La puntuación final se obtiene de la media aritmética de las puntuaciones obtenidas en cada una de las dimensiones analizadas.</w:t>
      </w:r>
      <w:r w:rsidRPr="00BA1B99">
        <w:rPr>
          <w:rFonts w:ascii="Open Sans" w:eastAsia="Times New Roman" w:hAnsi="Open Sans" w:cs="Arial"/>
          <w:sz w:val="20"/>
          <w:szCs w:val="22"/>
          <w:lang w:val="es-ES" w:eastAsia="ar-SA"/>
        </w:rPr>
        <w:t xml:space="preserve"> </w:t>
      </w:r>
      <w:r w:rsidRPr="002D1701">
        <w:rPr>
          <w:rFonts w:ascii="Open Sans" w:eastAsia="Times New Roman" w:hAnsi="Open Sans" w:cs="Arial"/>
          <w:sz w:val="20"/>
          <w:szCs w:val="22"/>
          <w:lang w:val="es-ES" w:eastAsia="ar-SA"/>
        </w:rPr>
        <w:t>Las puntuaciones por dimensión se obtienen mediante medias aritméticas de sus respectivos componentes.</w:t>
      </w:r>
    </w:p>
    <w:p w14:paraId="26FA1E81" w14:textId="77777777" w:rsidR="00DB4FBC" w:rsidRDefault="00DB4FBC" w:rsidP="00DB4FBC">
      <w:pPr>
        <w:suppressAutoHyphens/>
        <w:jc w:val="both"/>
        <w:rPr>
          <w:rFonts w:ascii="Open Sans" w:eastAsia="Times New Roman" w:hAnsi="Open Sans" w:cs="Arial"/>
          <w:sz w:val="20"/>
          <w:szCs w:val="22"/>
          <w:lang w:val="es-ES" w:eastAsia="ar-SA"/>
        </w:rPr>
      </w:pPr>
    </w:p>
    <w:p w14:paraId="295A620C" w14:textId="77777777" w:rsidR="00283D13" w:rsidRDefault="00283D13" w:rsidP="00DB4FBC">
      <w:pPr>
        <w:suppressAutoHyphens/>
        <w:jc w:val="both"/>
        <w:rPr>
          <w:rFonts w:ascii="Open Sans" w:eastAsia="Times New Roman" w:hAnsi="Open Sans" w:cs="Arial"/>
          <w:sz w:val="20"/>
          <w:szCs w:val="22"/>
          <w:lang w:val="es-ES" w:eastAsia="ar-SA"/>
        </w:rPr>
      </w:pPr>
    </w:p>
    <w:p w14:paraId="472FF6E8" w14:textId="77777777" w:rsidR="00A54E84" w:rsidRDefault="00A54E84" w:rsidP="00DB4FBC">
      <w:pPr>
        <w:suppressAutoHyphens/>
        <w:jc w:val="both"/>
        <w:rPr>
          <w:rFonts w:ascii="Open Sans" w:eastAsia="Times New Roman" w:hAnsi="Open Sans" w:cs="Arial"/>
          <w:sz w:val="20"/>
          <w:szCs w:val="22"/>
          <w:lang w:val="es-ES" w:eastAsia="ar-SA"/>
        </w:rPr>
      </w:pPr>
    </w:p>
    <w:p w14:paraId="647102B8" w14:textId="77777777" w:rsidR="00DB4FBC" w:rsidRDefault="00DB4FBC" w:rsidP="00DB4FBC">
      <w:pPr>
        <w:suppressAutoHyphens/>
        <w:ind w:left="2127"/>
        <w:jc w:val="both"/>
        <w:rPr>
          <w:rFonts w:ascii="Open Sans" w:eastAsia="Times New Roman" w:hAnsi="Open Sans" w:cs="Arial"/>
          <w:sz w:val="20"/>
          <w:szCs w:val="22"/>
          <w:lang w:val="es-ES" w:eastAsia="ar-SA"/>
        </w:rPr>
      </w:pPr>
      <w:r>
        <w:rPr>
          <w:rFonts w:ascii="Open Sans" w:eastAsia="Times New Roman" w:hAnsi="Open Sans" w:cs="Arial"/>
          <w:noProof/>
          <w:sz w:val="20"/>
          <w:szCs w:val="22"/>
          <w:lang w:val="es-ES"/>
        </w:rPr>
        <w:t xml:space="preserve">      </w:t>
      </w:r>
    </w:p>
    <w:p w14:paraId="5E822E19" w14:textId="46DD3D47" w:rsidR="00DB4FBC" w:rsidRPr="00DB4FBC" w:rsidRDefault="00DB4FBC" w:rsidP="00DB4FBC">
      <w:pPr>
        <w:suppressAutoHyphens/>
        <w:jc w:val="center"/>
        <w:rPr>
          <w:rFonts w:ascii="Open Sans" w:eastAsia="Times New Roman" w:hAnsi="Open Sans" w:cs="Arial"/>
          <w:b/>
          <w:sz w:val="20"/>
          <w:szCs w:val="22"/>
          <w:u w:val="single"/>
          <w:lang w:val="es-ES" w:eastAsia="ar-SA"/>
        </w:rPr>
      </w:pPr>
      <w:r w:rsidRPr="00DB4FBC">
        <w:rPr>
          <w:rFonts w:ascii="Open Sans" w:eastAsia="Times New Roman" w:hAnsi="Open Sans" w:cs="Arial"/>
          <w:b/>
          <w:sz w:val="20"/>
          <w:szCs w:val="22"/>
          <w:u w:val="single"/>
          <w:lang w:val="es-ES" w:eastAsia="ar-SA"/>
        </w:rPr>
        <w:t xml:space="preserve">TABLA </w:t>
      </w:r>
      <w:r w:rsidR="005357A6">
        <w:rPr>
          <w:rFonts w:ascii="Open Sans" w:eastAsia="Times New Roman" w:hAnsi="Open Sans" w:cs="Arial"/>
          <w:b/>
          <w:sz w:val="20"/>
          <w:szCs w:val="22"/>
          <w:u w:val="single"/>
          <w:lang w:val="es-ES" w:eastAsia="ar-SA"/>
        </w:rPr>
        <w:t>3</w:t>
      </w:r>
      <w:r w:rsidRPr="00DB4FBC">
        <w:rPr>
          <w:rFonts w:ascii="Open Sans" w:eastAsia="Times New Roman" w:hAnsi="Open Sans" w:cs="Arial"/>
          <w:b/>
          <w:sz w:val="20"/>
          <w:szCs w:val="22"/>
          <w:u w:val="single"/>
          <w:lang w:val="es-ES" w:eastAsia="ar-SA"/>
        </w:rPr>
        <w:t xml:space="preserve">: Nivel de cumplimiento </w:t>
      </w:r>
      <w:r>
        <w:rPr>
          <w:rFonts w:ascii="Open Sans" w:eastAsia="Times New Roman" w:hAnsi="Open Sans" w:cs="Arial"/>
          <w:b/>
          <w:sz w:val="20"/>
          <w:szCs w:val="22"/>
          <w:u w:val="single"/>
          <w:lang w:val="es-ES" w:eastAsia="ar-SA"/>
        </w:rPr>
        <w:t>de los indicadores cualitativos</w:t>
      </w:r>
    </w:p>
    <w:p w14:paraId="0D601275" w14:textId="77777777" w:rsidR="00DB4FBC" w:rsidRDefault="00DB4FBC" w:rsidP="00DB4FBC">
      <w:pPr>
        <w:suppressAutoHyphens/>
        <w:jc w:val="both"/>
        <w:rPr>
          <w:rFonts w:ascii="Open Sans" w:eastAsia="Times New Roman" w:hAnsi="Open Sans" w:cs="Arial"/>
          <w:sz w:val="20"/>
          <w:szCs w:val="22"/>
          <w:lang w:val="es-ES" w:eastAsia="ar-SA"/>
        </w:rPr>
      </w:pPr>
    </w:p>
    <w:p w14:paraId="0CF1FA66" w14:textId="77777777" w:rsidR="0049051A" w:rsidRDefault="0049051A" w:rsidP="00DB4FBC">
      <w:pPr>
        <w:suppressAutoHyphens/>
        <w:jc w:val="both"/>
        <w:rPr>
          <w:rFonts w:ascii="Open Sans" w:eastAsia="Times New Roman" w:hAnsi="Open Sans" w:cs="Arial"/>
          <w:sz w:val="20"/>
          <w:szCs w:val="22"/>
          <w:lang w:val="es-ES" w:eastAsia="ar-SA"/>
        </w:rPr>
      </w:pPr>
    </w:p>
    <w:p w14:paraId="3A1FE2D6" w14:textId="09659078" w:rsidR="0049051A" w:rsidRDefault="0049051A" w:rsidP="0049051A">
      <w:pPr>
        <w:suppressAutoHyphens/>
        <w:ind w:left="709"/>
        <w:jc w:val="both"/>
        <w:rPr>
          <w:rFonts w:ascii="Open Sans" w:eastAsia="Times New Roman" w:hAnsi="Open Sans" w:cs="Arial"/>
          <w:sz w:val="20"/>
          <w:szCs w:val="22"/>
          <w:lang w:val="es-ES" w:eastAsia="ar-SA"/>
        </w:rPr>
      </w:pPr>
      <w:r>
        <w:rPr>
          <w:rFonts w:ascii="Open Sans" w:eastAsia="Times New Roman" w:hAnsi="Open Sans" w:cs="Arial"/>
          <w:noProof/>
          <w:sz w:val="20"/>
          <w:szCs w:val="22"/>
          <w:lang w:val="es-ES"/>
        </w:rPr>
        <w:drawing>
          <wp:inline distT="0" distB="0" distL="0" distR="0" wp14:anchorId="17F230CE" wp14:editId="37B3D7AB">
            <wp:extent cx="4663440" cy="2631440"/>
            <wp:effectExtent l="0" t="0" r="10160" b="10160"/>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4663440" cy="2631440"/>
                    </a:xfrm>
                    <a:prstGeom prst="rect">
                      <a:avLst/>
                    </a:prstGeom>
                    <a:noFill/>
                    <a:ln>
                      <a:noFill/>
                    </a:ln>
                  </pic:spPr>
                </pic:pic>
              </a:graphicData>
            </a:graphic>
          </wp:inline>
        </w:drawing>
      </w:r>
    </w:p>
    <w:p w14:paraId="744E0607" w14:textId="77777777" w:rsidR="0049051A" w:rsidRDefault="0049051A" w:rsidP="00DB4FBC">
      <w:pPr>
        <w:suppressAutoHyphens/>
        <w:jc w:val="both"/>
        <w:rPr>
          <w:rFonts w:ascii="Open Sans" w:eastAsia="Times New Roman" w:hAnsi="Open Sans" w:cs="Arial"/>
          <w:sz w:val="20"/>
          <w:szCs w:val="22"/>
          <w:lang w:val="es-ES" w:eastAsia="ar-SA"/>
        </w:rPr>
      </w:pPr>
    </w:p>
    <w:p w14:paraId="704A3606" w14:textId="77777777" w:rsidR="0049051A" w:rsidRPr="002D1701" w:rsidRDefault="0049051A" w:rsidP="00DB4FBC">
      <w:pPr>
        <w:suppressAutoHyphens/>
        <w:jc w:val="both"/>
        <w:rPr>
          <w:rFonts w:ascii="Open Sans" w:eastAsia="Times New Roman" w:hAnsi="Open Sans" w:cs="Arial"/>
          <w:sz w:val="20"/>
          <w:szCs w:val="22"/>
          <w:lang w:val="es-ES" w:eastAsia="ar-SA"/>
        </w:rPr>
      </w:pPr>
    </w:p>
    <w:p w14:paraId="266ADA2C" w14:textId="77777777" w:rsidR="00DB4FBC" w:rsidRDefault="00DB4FBC" w:rsidP="0049051A">
      <w:pPr>
        <w:rPr>
          <w:b/>
        </w:rPr>
      </w:pPr>
    </w:p>
    <w:p w14:paraId="0EE37D3C" w14:textId="77777777" w:rsidR="00DB4FBC" w:rsidRPr="002D1701" w:rsidRDefault="00DB4FBC" w:rsidP="00DB4FBC">
      <w:pPr>
        <w:suppressAutoHyphens/>
        <w:jc w:val="both"/>
        <w:rPr>
          <w:rFonts w:ascii="Open Sans" w:eastAsia="Times New Roman" w:hAnsi="Open Sans" w:cs="Arial"/>
          <w:b/>
          <w:sz w:val="20"/>
          <w:szCs w:val="22"/>
          <w:lang w:val="es-ES" w:eastAsia="ar-SA"/>
        </w:rPr>
      </w:pPr>
      <w:r w:rsidRPr="002D1701">
        <w:rPr>
          <w:rFonts w:ascii="Open Sans" w:eastAsia="Times New Roman" w:hAnsi="Open Sans" w:cs="Arial"/>
          <w:b/>
          <w:sz w:val="20"/>
          <w:szCs w:val="22"/>
          <w:lang w:val="es-ES" w:eastAsia="ar-SA"/>
        </w:rPr>
        <w:t>D. Elaboración de los Informes por Empresa</w:t>
      </w:r>
    </w:p>
    <w:p w14:paraId="48481673"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109227B3"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Una vez realizado el análisis básico de cada empresa en los ‘</w:t>
      </w:r>
      <w:r w:rsidRPr="002D1701">
        <w:rPr>
          <w:rFonts w:ascii="Open Sans" w:eastAsia="Times New Roman" w:hAnsi="Open Sans" w:cs="Arial"/>
          <w:i/>
          <w:sz w:val="20"/>
          <w:szCs w:val="22"/>
          <w:lang w:val="es-ES" w:eastAsia="ar-SA"/>
        </w:rPr>
        <w:t xml:space="preserve">libros’ </w:t>
      </w:r>
      <w:r w:rsidRPr="002D1701">
        <w:rPr>
          <w:rFonts w:ascii="Open Sans" w:eastAsia="Times New Roman" w:hAnsi="Open Sans" w:cs="Arial"/>
          <w:sz w:val="20"/>
          <w:szCs w:val="22"/>
          <w:lang w:val="es-ES" w:eastAsia="ar-SA"/>
        </w:rPr>
        <w:t>con sus hojas de cálculo descritas anteriormente, se elabora un informe por compañía. En él se reflejan tanto las puntuaciones obtenidas en las Tablas 1, 2 y de grados de calidad, como un resumen de los aspectos más destacados en cada caso, incluyendo ejemplos y citas de los documentos consultados, de las empresas.</w:t>
      </w:r>
    </w:p>
    <w:p w14:paraId="5209C369"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5B9A74A0"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En </w:t>
      </w:r>
      <w:r>
        <w:rPr>
          <w:rFonts w:ascii="Open Sans" w:eastAsia="Times New Roman" w:hAnsi="Open Sans" w:cs="Arial"/>
          <w:sz w:val="20"/>
          <w:szCs w:val="22"/>
          <w:lang w:val="es-ES" w:eastAsia="ar-SA"/>
        </w:rPr>
        <w:t>el</w:t>
      </w:r>
      <w:r w:rsidRPr="002D1701">
        <w:rPr>
          <w:rFonts w:ascii="Open Sans" w:eastAsia="Times New Roman" w:hAnsi="Open Sans" w:cs="Arial"/>
          <w:sz w:val="20"/>
          <w:szCs w:val="22"/>
          <w:lang w:val="es-ES" w:eastAsia="ar-SA"/>
        </w:rPr>
        <w:t xml:space="preserve"> Estudio se han incluido algunas informaciones públicas relacionadas con las empresas analizadas proveniente de diferentes fuentes (</w:t>
      </w:r>
      <w:r>
        <w:rPr>
          <w:rFonts w:ascii="Open Sans" w:eastAsia="Times New Roman" w:hAnsi="Open Sans" w:cs="Arial"/>
          <w:sz w:val="20"/>
          <w:szCs w:val="22"/>
          <w:lang w:val="es-ES" w:eastAsia="ar-SA"/>
        </w:rPr>
        <w:t>Organismos supervisores, medios de comunicación</w:t>
      </w:r>
      <w:r w:rsidRPr="002D1701">
        <w:rPr>
          <w:rFonts w:ascii="Open Sans" w:eastAsia="Times New Roman" w:hAnsi="Open Sans" w:cs="Arial"/>
          <w:sz w:val="20"/>
          <w:szCs w:val="22"/>
          <w:lang w:val="es-ES" w:eastAsia="ar-SA"/>
        </w:rPr>
        <w:t xml:space="preserve">, </w:t>
      </w:r>
      <w:r>
        <w:rPr>
          <w:rFonts w:ascii="Open Sans" w:eastAsia="Times New Roman" w:hAnsi="Open Sans" w:cs="Arial"/>
          <w:sz w:val="20"/>
          <w:szCs w:val="22"/>
          <w:lang w:val="es-ES" w:eastAsia="ar-SA"/>
        </w:rPr>
        <w:t xml:space="preserve">entre </w:t>
      </w:r>
      <w:r w:rsidRPr="002D1701">
        <w:rPr>
          <w:rFonts w:ascii="Open Sans" w:eastAsia="Times New Roman" w:hAnsi="Open Sans" w:cs="Arial"/>
          <w:sz w:val="20"/>
          <w:szCs w:val="22"/>
          <w:lang w:val="es-ES" w:eastAsia="ar-SA"/>
        </w:rPr>
        <w:t xml:space="preserve">otros), todas ellas organizaciones reconocidas socialmente. El objetivo ha sido contrastar si las empresas se hacen eco públicamente de situaciones relacionadas con denuncias públicas o reclamaciones, de diferentes partes interesadas, así como valorar si se aporta información sobre el tratamiento o la gestión dada a las mismas. </w:t>
      </w:r>
    </w:p>
    <w:p w14:paraId="4F790407"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709C5B94"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39723134" w14:textId="77777777" w:rsidR="00DB4FBC" w:rsidRPr="002D1701" w:rsidRDefault="00DB4FBC" w:rsidP="00DB4FBC">
      <w:pPr>
        <w:suppressAutoHyphens/>
        <w:jc w:val="both"/>
        <w:rPr>
          <w:rFonts w:ascii="Open Sans" w:eastAsia="Times New Roman" w:hAnsi="Open Sans" w:cs="Arial"/>
          <w:b/>
          <w:sz w:val="20"/>
          <w:szCs w:val="22"/>
          <w:lang w:val="es-ES" w:eastAsia="ar-SA"/>
        </w:rPr>
      </w:pPr>
      <w:r w:rsidRPr="002D1701">
        <w:rPr>
          <w:rFonts w:ascii="Open Sans" w:eastAsia="Times New Roman" w:hAnsi="Open Sans" w:cs="Arial"/>
          <w:b/>
          <w:sz w:val="20"/>
          <w:szCs w:val="22"/>
          <w:lang w:val="es-ES" w:eastAsia="ar-SA"/>
        </w:rPr>
        <w:t xml:space="preserve">E. Agregación de los datos y redacción del informe final </w:t>
      </w:r>
    </w:p>
    <w:p w14:paraId="6CD67C38"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7B68527F"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Posteriormente se agrupan las valoraciones individuales por empresa, con el objeto de lograr una visión global de la información en materia de </w:t>
      </w:r>
      <w:r>
        <w:rPr>
          <w:rFonts w:ascii="Open Sans" w:eastAsia="Times New Roman" w:hAnsi="Open Sans" w:cs="Arial"/>
          <w:sz w:val="20"/>
          <w:szCs w:val="22"/>
          <w:lang w:val="es-ES" w:eastAsia="ar-SA"/>
        </w:rPr>
        <w:t xml:space="preserve">Fiscalidad Responsable </w:t>
      </w:r>
      <w:r w:rsidRPr="002D1701">
        <w:rPr>
          <w:rFonts w:ascii="Open Sans" w:eastAsia="Times New Roman" w:hAnsi="Open Sans" w:cs="Arial"/>
          <w:sz w:val="20"/>
          <w:szCs w:val="22"/>
          <w:lang w:val="es-ES" w:eastAsia="ar-SA"/>
        </w:rPr>
        <w:t xml:space="preserve"> publicada por las compañías españolas </w:t>
      </w:r>
      <w:r>
        <w:rPr>
          <w:rFonts w:ascii="Open Sans" w:eastAsia="Times New Roman" w:hAnsi="Open Sans" w:cs="Arial"/>
          <w:sz w:val="20"/>
          <w:szCs w:val="22"/>
          <w:lang w:val="es-ES" w:eastAsia="ar-SA"/>
        </w:rPr>
        <w:t xml:space="preserve">objeto de análisis </w:t>
      </w:r>
      <w:r w:rsidRPr="002D1701">
        <w:rPr>
          <w:rFonts w:ascii="Open Sans" w:eastAsia="Times New Roman" w:hAnsi="Open Sans" w:cs="Arial"/>
          <w:sz w:val="20"/>
          <w:szCs w:val="22"/>
          <w:lang w:val="es-ES" w:eastAsia="ar-SA"/>
        </w:rPr>
        <w:t>y así elaborar las conclusiones generales que se presentan en el siguiente apartado.</w:t>
      </w:r>
    </w:p>
    <w:p w14:paraId="6C31D08A"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4E1A2875"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Para una mayor claridad y comparabilidad de los resultados, las empresas analizadas se han agrupado en función de la clasificación sectorial vigente en el mercado bursátil español en el momento de realización del estudio. </w:t>
      </w:r>
    </w:p>
    <w:p w14:paraId="653564A7" w14:textId="77777777" w:rsidR="00283D13" w:rsidRDefault="00283D13" w:rsidP="00DB4FBC">
      <w:pPr>
        <w:suppressAutoHyphens/>
        <w:jc w:val="both"/>
        <w:rPr>
          <w:rFonts w:ascii="Open Sans" w:eastAsia="Times New Roman" w:hAnsi="Open Sans" w:cs="Arial"/>
          <w:sz w:val="20"/>
          <w:szCs w:val="22"/>
          <w:lang w:val="es-ES" w:eastAsia="ar-SA"/>
        </w:rPr>
      </w:pPr>
    </w:p>
    <w:p w14:paraId="4C6347FD" w14:textId="77777777" w:rsidR="00283D13" w:rsidRDefault="00283D13" w:rsidP="00DB4FBC">
      <w:pPr>
        <w:suppressAutoHyphens/>
        <w:jc w:val="both"/>
        <w:rPr>
          <w:rFonts w:ascii="Open Sans" w:eastAsia="Times New Roman" w:hAnsi="Open Sans" w:cs="Arial"/>
          <w:sz w:val="20"/>
          <w:szCs w:val="22"/>
          <w:lang w:val="es-ES" w:eastAsia="ar-SA"/>
        </w:rPr>
      </w:pPr>
    </w:p>
    <w:p w14:paraId="718091F6" w14:textId="77777777" w:rsidR="00DB4FBC" w:rsidRPr="002D1701" w:rsidRDefault="00DB4FBC" w:rsidP="00DB4FBC">
      <w:pPr>
        <w:suppressAutoHyphens/>
        <w:jc w:val="both"/>
        <w:rPr>
          <w:rFonts w:ascii="Open Sans" w:eastAsia="Times New Roman" w:hAnsi="Open Sans" w:cs="Arial"/>
          <w:b/>
          <w:sz w:val="20"/>
          <w:szCs w:val="22"/>
          <w:lang w:val="es-ES" w:eastAsia="ar-SA"/>
        </w:rPr>
      </w:pPr>
      <w:r w:rsidRPr="002D1701">
        <w:rPr>
          <w:rFonts w:ascii="Open Sans" w:eastAsia="Times New Roman" w:hAnsi="Open Sans" w:cs="Arial"/>
          <w:b/>
          <w:sz w:val="20"/>
          <w:szCs w:val="22"/>
          <w:lang w:val="es-ES" w:eastAsia="ar-SA"/>
        </w:rPr>
        <w:t xml:space="preserve">F. Diálogo con las empresas objeto del estudio </w:t>
      </w:r>
    </w:p>
    <w:p w14:paraId="6C6C7570"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17E23942"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Los informes individuales se remiten a las respectivas empresas para informarles de los resultados obtenidos y solicitar sus comentarios y aclaraciones con el fin de subsanar posibles errores del estudio.</w:t>
      </w:r>
    </w:p>
    <w:p w14:paraId="5CBB5E49"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1B1CF109"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Como resultado se establece un diálogo constructivo con las compañías a través de correos electrónicos y, en algunos casos, conversaciones telefónicas y reuniones.</w:t>
      </w:r>
    </w:p>
    <w:p w14:paraId="4057A9EE"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7E1EEA1F"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03089F3A" w14:textId="77777777" w:rsidR="00DB4FBC" w:rsidRPr="002D1701" w:rsidRDefault="00DB4FBC" w:rsidP="00DB4FBC">
      <w:pPr>
        <w:suppressAutoHyphens/>
        <w:jc w:val="both"/>
        <w:rPr>
          <w:rFonts w:ascii="Open Sans" w:eastAsia="Times New Roman" w:hAnsi="Open Sans" w:cs="Arial"/>
          <w:b/>
          <w:sz w:val="20"/>
          <w:szCs w:val="22"/>
          <w:lang w:val="es-ES" w:eastAsia="ar-SA"/>
        </w:rPr>
      </w:pPr>
      <w:r w:rsidRPr="002D1701">
        <w:rPr>
          <w:rFonts w:ascii="Open Sans" w:eastAsia="Times New Roman" w:hAnsi="Open Sans" w:cs="Arial"/>
          <w:b/>
          <w:sz w:val="20"/>
          <w:szCs w:val="22"/>
          <w:lang w:val="es-ES" w:eastAsia="ar-SA"/>
        </w:rPr>
        <w:t>G. Gestión de la incertidumbre en la evaluación</w:t>
      </w:r>
    </w:p>
    <w:p w14:paraId="7CD12033"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7DCD4434" w14:textId="77777777" w:rsidR="00DB4FBC" w:rsidRPr="002D1701"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 xml:space="preserve">En un estudio como el que presentamos, con la complejidad asociada a su desarrollo, es importante garantizar al máximo la homogeneidad de criterios a la hora de valorar, como única forma de asegurar la comparabilidad y representatividad de los resultados. El número de empresas incluidas es alto, las herramientas de análisis también son varias así como los criterios de valoración. También el hecho de transformar una valoración cualitativa en cuantitativa y finalmente la participación de diferentes </w:t>
      </w:r>
      <w:r>
        <w:rPr>
          <w:rFonts w:ascii="Open Sans" w:eastAsia="Times New Roman" w:hAnsi="Open Sans" w:cs="Arial"/>
          <w:sz w:val="20"/>
          <w:szCs w:val="22"/>
          <w:lang w:val="es-ES" w:eastAsia="ar-SA"/>
        </w:rPr>
        <w:t>analistas</w:t>
      </w:r>
      <w:r w:rsidRPr="002D1701">
        <w:rPr>
          <w:rFonts w:ascii="Open Sans" w:eastAsia="Times New Roman" w:hAnsi="Open Sans" w:cs="Arial"/>
          <w:sz w:val="20"/>
          <w:szCs w:val="22"/>
          <w:lang w:val="es-ES" w:eastAsia="ar-SA"/>
        </w:rPr>
        <w:t xml:space="preserve">, hace que exista un riesgo de falta de homogeneidad. </w:t>
      </w:r>
    </w:p>
    <w:p w14:paraId="46BE8397"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15CB05B5" w14:textId="77777777" w:rsidR="00DB4FBC" w:rsidRDefault="00DB4FBC" w:rsidP="00DB4FBC">
      <w:pPr>
        <w:suppressAutoHyphens/>
        <w:jc w:val="both"/>
        <w:rPr>
          <w:rFonts w:ascii="Open Sans" w:eastAsia="Times New Roman" w:hAnsi="Open Sans" w:cs="Arial"/>
          <w:sz w:val="20"/>
          <w:szCs w:val="22"/>
          <w:lang w:val="es-ES" w:eastAsia="ar-SA"/>
        </w:rPr>
      </w:pPr>
      <w:r w:rsidRPr="002D1701">
        <w:rPr>
          <w:rFonts w:ascii="Open Sans" w:eastAsia="Times New Roman" w:hAnsi="Open Sans" w:cs="Arial"/>
          <w:sz w:val="20"/>
          <w:szCs w:val="22"/>
          <w:lang w:val="es-ES" w:eastAsia="ar-SA"/>
        </w:rPr>
        <w:t>Para mitigar dichos riesgos se han llevado a cabo las siguientes actuaciones:</w:t>
      </w:r>
    </w:p>
    <w:p w14:paraId="3F427B50" w14:textId="77777777" w:rsidR="00DB4FBC" w:rsidRPr="002D1701" w:rsidRDefault="00DB4FBC" w:rsidP="00DB4FBC">
      <w:pPr>
        <w:suppressAutoHyphens/>
        <w:jc w:val="both"/>
        <w:rPr>
          <w:rFonts w:ascii="Open Sans" w:eastAsia="Times New Roman" w:hAnsi="Open Sans" w:cs="Arial"/>
          <w:sz w:val="20"/>
          <w:szCs w:val="22"/>
          <w:lang w:val="es-ES" w:eastAsia="ar-SA"/>
        </w:rPr>
      </w:pPr>
    </w:p>
    <w:p w14:paraId="28A6C008" w14:textId="77777777" w:rsidR="00DB4FBC" w:rsidRPr="00BA566D" w:rsidRDefault="00DB4FBC" w:rsidP="000B70C9">
      <w:pPr>
        <w:pStyle w:val="Prrafodelista"/>
        <w:numPr>
          <w:ilvl w:val="0"/>
          <w:numId w:val="100"/>
        </w:numPr>
        <w:tabs>
          <w:tab w:val="left" w:pos="5848"/>
        </w:tabs>
        <w:suppressAutoHyphens/>
        <w:jc w:val="both"/>
        <w:rPr>
          <w:rFonts w:ascii="Open Sans" w:eastAsia="Times New Roman" w:hAnsi="Open Sans" w:cs="Arial"/>
          <w:sz w:val="20"/>
          <w:szCs w:val="22"/>
          <w:lang w:val="es-ES" w:eastAsia="ar-SA"/>
        </w:rPr>
      </w:pPr>
      <w:r w:rsidRPr="00BA566D">
        <w:rPr>
          <w:rFonts w:ascii="Open Sans" w:eastAsia="Times New Roman" w:hAnsi="Open Sans" w:cs="Arial"/>
          <w:sz w:val="20"/>
          <w:szCs w:val="22"/>
          <w:lang w:val="es-ES" w:eastAsia="ar-SA"/>
        </w:rPr>
        <w:t>Definición conjunta del Modelo de Análisis utilizado para valorar a las empresas así como de los criterios de valoración para cada herramienta.</w:t>
      </w:r>
    </w:p>
    <w:p w14:paraId="2021AD21" w14:textId="77777777" w:rsidR="00DB4FBC" w:rsidRPr="00BA566D" w:rsidRDefault="00DB4FBC" w:rsidP="000B70C9">
      <w:pPr>
        <w:pStyle w:val="Prrafodelista"/>
        <w:numPr>
          <w:ilvl w:val="0"/>
          <w:numId w:val="100"/>
        </w:numPr>
        <w:tabs>
          <w:tab w:val="left" w:pos="5848"/>
        </w:tabs>
        <w:suppressAutoHyphens/>
        <w:jc w:val="both"/>
        <w:rPr>
          <w:rFonts w:ascii="Open Sans" w:eastAsia="Times New Roman" w:hAnsi="Open Sans" w:cs="Arial"/>
          <w:sz w:val="20"/>
          <w:szCs w:val="22"/>
          <w:lang w:val="es-ES" w:eastAsia="ar-SA"/>
        </w:rPr>
      </w:pPr>
      <w:r w:rsidRPr="00BA566D">
        <w:rPr>
          <w:rFonts w:ascii="Open Sans" w:eastAsia="Times New Roman" w:hAnsi="Open Sans" w:cs="Arial"/>
          <w:sz w:val="20"/>
          <w:szCs w:val="22"/>
          <w:lang w:val="es-ES" w:eastAsia="ar-SA"/>
        </w:rPr>
        <w:t>Asignación de sectores de actividad completos a los miembros del equipo para garantizar una visión global del sector por una misma persona.</w:t>
      </w:r>
    </w:p>
    <w:p w14:paraId="46FB83A2" w14:textId="77777777" w:rsidR="00DB4FBC" w:rsidRPr="00BA566D" w:rsidRDefault="00DB4FBC" w:rsidP="000B70C9">
      <w:pPr>
        <w:pStyle w:val="Prrafodelista"/>
        <w:numPr>
          <w:ilvl w:val="0"/>
          <w:numId w:val="100"/>
        </w:numPr>
        <w:tabs>
          <w:tab w:val="left" w:pos="5848"/>
        </w:tabs>
        <w:suppressAutoHyphens/>
        <w:jc w:val="both"/>
        <w:rPr>
          <w:rFonts w:ascii="Open Sans" w:eastAsia="Times New Roman" w:hAnsi="Open Sans" w:cs="Arial"/>
          <w:sz w:val="20"/>
          <w:szCs w:val="22"/>
          <w:lang w:val="es-ES" w:eastAsia="ar-SA"/>
        </w:rPr>
      </w:pPr>
      <w:r w:rsidRPr="00BA566D">
        <w:rPr>
          <w:rFonts w:ascii="Open Sans" w:eastAsia="Times New Roman" w:hAnsi="Open Sans" w:cs="Arial"/>
          <w:sz w:val="20"/>
          <w:szCs w:val="22"/>
          <w:lang w:val="es-ES" w:eastAsia="ar-SA"/>
        </w:rPr>
        <w:t>Reuniones de revisión conjunta de valoraciones de empresas en los Análisis Básicos.</w:t>
      </w:r>
    </w:p>
    <w:p w14:paraId="39F5C3FB" w14:textId="77777777" w:rsidR="00DB4FBC" w:rsidRPr="00BA566D" w:rsidRDefault="00DB4FBC" w:rsidP="000B70C9">
      <w:pPr>
        <w:pStyle w:val="Prrafodelista"/>
        <w:numPr>
          <w:ilvl w:val="0"/>
          <w:numId w:val="100"/>
        </w:numPr>
        <w:tabs>
          <w:tab w:val="left" w:pos="5848"/>
        </w:tabs>
        <w:suppressAutoHyphens/>
        <w:jc w:val="both"/>
        <w:rPr>
          <w:rFonts w:ascii="Open Sans" w:eastAsia="Times New Roman" w:hAnsi="Open Sans" w:cs="Arial"/>
          <w:sz w:val="20"/>
          <w:szCs w:val="22"/>
          <w:lang w:val="es-ES" w:eastAsia="ar-SA"/>
        </w:rPr>
      </w:pPr>
      <w:r w:rsidRPr="00BA566D">
        <w:rPr>
          <w:rFonts w:ascii="Open Sans" w:eastAsia="Times New Roman" w:hAnsi="Open Sans" w:cs="Arial"/>
          <w:sz w:val="20"/>
          <w:szCs w:val="22"/>
          <w:lang w:val="es-ES" w:eastAsia="ar-SA"/>
        </w:rPr>
        <w:t>Reuniones de revisión conjunta de los Informes por empresa.</w:t>
      </w:r>
    </w:p>
    <w:p w14:paraId="246C3DC4" w14:textId="77777777" w:rsidR="00DB4FBC" w:rsidRPr="002D1701" w:rsidRDefault="00DB4FBC" w:rsidP="00DB4FBC">
      <w:pPr>
        <w:tabs>
          <w:tab w:val="left" w:pos="5488"/>
        </w:tabs>
        <w:suppressAutoHyphens/>
        <w:jc w:val="both"/>
        <w:rPr>
          <w:rFonts w:ascii="Open Sans" w:eastAsia="Times New Roman" w:hAnsi="Open Sans" w:cs="Arial"/>
          <w:sz w:val="20"/>
          <w:szCs w:val="22"/>
          <w:lang w:val="es-ES" w:eastAsia="ar-SA"/>
        </w:rPr>
      </w:pPr>
    </w:p>
    <w:p w14:paraId="678A49EA" w14:textId="77777777" w:rsidR="00DB4FBC" w:rsidRPr="002D1701" w:rsidRDefault="00DB4FBC" w:rsidP="00DB4FBC">
      <w:pPr>
        <w:jc w:val="both"/>
        <w:rPr>
          <w:rFonts w:ascii="Open Sans" w:hAnsi="Open Sans"/>
        </w:rPr>
      </w:pPr>
      <w:r w:rsidRPr="002D1701">
        <w:rPr>
          <w:rFonts w:ascii="Open Sans" w:eastAsia="Times New Roman" w:hAnsi="Open Sans" w:cs="Arial"/>
          <w:sz w:val="20"/>
          <w:szCs w:val="22"/>
          <w:lang w:val="es-ES" w:eastAsia="ar-SA"/>
        </w:rPr>
        <w:t>El objeto, como se ha apuntado, ha sido homogeneizar al máximo el resultado del análisis, intentando asimismo eliminar, en la medida de lo posible, las subjetividades individuales de los componentes del equipo, función que asegura la visión general de la que dispone el Director del equipo. Sin embargo, a pesar de este esfuerzo realizado, los resultados de la evaluación tienen incluidos un cierto grado de incertidumbre y de subjetividad inherente a cualquier estudio en el que participan distintos analistas.</w:t>
      </w:r>
    </w:p>
    <w:p w14:paraId="6C409908" w14:textId="77777777" w:rsidR="00DB4FBC" w:rsidRDefault="00DB4FBC" w:rsidP="005337D5">
      <w:pPr>
        <w:jc w:val="center"/>
        <w:rPr>
          <w:b/>
        </w:rPr>
      </w:pPr>
    </w:p>
    <w:p w14:paraId="5F59646F" w14:textId="0DCA46DD" w:rsidR="00DB4FBC" w:rsidRPr="005337D5" w:rsidRDefault="00283D13" w:rsidP="00283D13">
      <w:pPr>
        <w:rPr>
          <w:b/>
        </w:rPr>
      </w:pPr>
      <w:r>
        <w:rPr>
          <w:b/>
        </w:rPr>
        <w:br w:type="page"/>
      </w:r>
    </w:p>
    <w:p w14:paraId="1227BBC0" w14:textId="07C250A0" w:rsidR="00B525FF" w:rsidRPr="00F71311" w:rsidRDefault="00A4529A" w:rsidP="00F71311">
      <w:pPr>
        <w:pStyle w:val="Titulo3-informefinal"/>
      </w:pPr>
      <w:bookmarkStart w:id="15" w:name="_Toc254282530"/>
      <w:bookmarkStart w:id="16" w:name="_Toc354061510"/>
      <w:r w:rsidRPr="00BA566D">
        <w:t>2</w:t>
      </w:r>
      <w:r w:rsidR="00A112C7" w:rsidRPr="00BA566D">
        <w:t xml:space="preserve">.2.3. </w:t>
      </w:r>
      <w:bookmarkEnd w:id="15"/>
      <w:r w:rsidR="00FC767F">
        <w:t>Metodología paraísos fiscales</w:t>
      </w:r>
      <w:bookmarkEnd w:id="16"/>
    </w:p>
    <w:p w14:paraId="3BE837C7" w14:textId="77777777" w:rsidR="006E3C22" w:rsidRPr="00BA566D" w:rsidRDefault="006E3C22" w:rsidP="006E3C22">
      <w:pPr>
        <w:rPr>
          <w:rFonts w:ascii="Open Sans" w:hAnsi="Open Sans"/>
        </w:rPr>
      </w:pPr>
    </w:p>
    <w:p w14:paraId="02CCDDAD" w14:textId="77777777" w:rsidR="00283D13" w:rsidRPr="00BA566D"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 xml:space="preserve">El objetivo ideal de este informe sería poder identificar aquellas empresas que realizan operaciones en paraísos fiscales con el objetivo de eludir el pago de impuestos. Dado que el alcance del proyecto se fundamenta en el estudio de la información que las propias empresas publican, y que no es fácil encontrar información fiable sobre este tipo de operaciones de otras fuentes, se ha establecido un criterio que al menos apunta indicios sobre ese objetivo ideal que se indicaba anteriormente, identificar empresas del grupo con domicilio social en un paraíso </w:t>
      </w:r>
      <w:r>
        <w:rPr>
          <w:rFonts w:ascii="Open Sans" w:eastAsia="Times New Roman" w:hAnsi="Open Sans" w:cs="Times New Roman"/>
          <w:sz w:val="20"/>
          <w:lang w:val="es-ES" w:eastAsia="ar-SA"/>
        </w:rPr>
        <w:t xml:space="preserve">o nicho </w:t>
      </w:r>
      <w:r w:rsidRPr="00BA566D">
        <w:rPr>
          <w:rFonts w:ascii="Open Sans" w:eastAsia="Times New Roman" w:hAnsi="Open Sans" w:cs="Times New Roman"/>
          <w:sz w:val="20"/>
          <w:lang w:val="es-ES" w:eastAsia="ar-SA"/>
        </w:rPr>
        <w:t>fiscal.</w:t>
      </w:r>
    </w:p>
    <w:p w14:paraId="0860E2F5"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07EF91D3" w14:textId="77777777" w:rsidR="00283D13" w:rsidRPr="00BA566D"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Para ello, se analizan en las Cuentas Anuales el anexo donde se deben listar todas las compañías dependientes que conforman el perímetro de consolidación. Este listado no es homogéneo entre todas las empresas y la información incluida suele variar, pero por lo general se incluye información sobre el domicilio social de cada empresa que compone el grupo.</w:t>
      </w:r>
    </w:p>
    <w:p w14:paraId="0CB9F455"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54DF1D4C" w14:textId="77777777" w:rsidR="00283D13" w:rsidRPr="00BA566D"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En años anteriores, el criterio en este informe sobre qué país se considera un paraíso fiscal, era que estuviese incluido en el listado del Real Decreto 1080/91, de 5 de julio, donde se enumeraban hasta un total de 48 países. Este Real Decreto se vio modificado por el RD 116/2003 del 31 de enero, en el que se incluía una nueva disposición por la cual aquellos países de la lista que firmasen con España un acuerdo de intercambio de información en materia tributaria o un convenio para evitar la doble imposición dejarán de ser considerados paraísos fiscales.</w:t>
      </w:r>
    </w:p>
    <w:p w14:paraId="0E73DD4C"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0DFD57FF" w14:textId="77777777" w:rsidR="00283D13"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 xml:space="preserve">Esta modificación ha supuesto en la práctica, y muy intensamente en los últimos años, el que se deje de considerar paraísos fiscales muchos de los países de esta lista. </w:t>
      </w:r>
    </w:p>
    <w:p w14:paraId="4B258BA2"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7A6A8FF4" w14:textId="77777777" w:rsidR="00283D13" w:rsidRDefault="00283D13" w:rsidP="00283D13">
      <w:pPr>
        <w:suppressAutoHyphens/>
        <w:jc w:val="both"/>
        <w:rPr>
          <w:rFonts w:ascii="Open Sans" w:eastAsia="Times New Roman" w:hAnsi="Open Sans" w:cs="Times New Roman"/>
          <w:sz w:val="20"/>
          <w:lang w:val="es-ES" w:eastAsia="ar-SA"/>
        </w:rPr>
      </w:pPr>
      <w:r w:rsidRPr="00D35A1D">
        <w:rPr>
          <w:rFonts w:ascii="Open Sans" w:eastAsia="Times New Roman" w:hAnsi="Open Sans" w:cs="Times New Roman"/>
          <w:sz w:val="20"/>
          <w:lang w:val="es-ES" w:eastAsia="ar-SA"/>
        </w:rPr>
        <w:t>En este sentido, España ya ha rubricado acuerdos que incluyen las recomendaciones de la OCDE en intercambio de información fiscal con Trinidad y Tobago, Barbados, Luxemburgo, Andorra o Panamá, países que formaban parte de la lista de paraísos fiscales. Y en un plazo relativamente breve se podrían unir a estos territorios Bahrein, Bermudas, Chipre,</w:t>
      </w:r>
      <w:r>
        <w:rPr>
          <w:rFonts w:ascii="Open Sans" w:eastAsia="Times New Roman" w:hAnsi="Open Sans" w:cs="Times New Roman"/>
          <w:sz w:val="20"/>
          <w:lang w:val="es-ES" w:eastAsia="ar-SA"/>
        </w:rPr>
        <w:t xml:space="preserve"> Gibraltar, Guernesey y Jersey</w:t>
      </w:r>
      <w:r w:rsidRPr="00D35A1D">
        <w:rPr>
          <w:rFonts w:ascii="Open Sans" w:eastAsia="Times New Roman" w:hAnsi="Open Sans" w:cs="Times New Roman"/>
          <w:sz w:val="20"/>
          <w:lang w:val="es-ES" w:eastAsia="ar-SA"/>
        </w:rPr>
        <w:t>, Islas Caim</w:t>
      </w:r>
      <w:r>
        <w:rPr>
          <w:rFonts w:ascii="Open Sans" w:eastAsia="Times New Roman" w:hAnsi="Open Sans" w:cs="Times New Roman"/>
          <w:sz w:val="20"/>
          <w:lang w:val="es-ES" w:eastAsia="ar-SA"/>
        </w:rPr>
        <w:t>án, Isla de Man, Jordania, Omán</w:t>
      </w:r>
      <w:r w:rsidRPr="00D35A1D">
        <w:rPr>
          <w:rFonts w:ascii="Open Sans" w:eastAsia="Times New Roman" w:hAnsi="Open Sans" w:cs="Times New Roman"/>
          <w:sz w:val="20"/>
          <w:lang w:val="es-ES" w:eastAsia="ar-SA"/>
        </w:rPr>
        <w:t>.</w:t>
      </w:r>
    </w:p>
    <w:p w14:paraId="65217621"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4FBDBECE" w14:textId="77777777" w:rsidR="00283D13" w:rsidRPr="00BA566D"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Hay una consideración muy importante sobre las consecuencias que tiene el que un país figure o no en esta lista, ya que el hecho de aparecer en la lista de paraísos fiscales supone un importante hándicap para las empresas y contribuyentes españoles que invierten o realizan negocios en esos países ya que no pueden aplicar los beneficios fiscales que contempla la legislación en el impuesto sobres sociedades o en el IRPF.</w:t>
      </w:r>
    </w:p>
    <w:p w14:paraId="3D4DD77A"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6E5039B6" w14:textId="77777777" w:rsidR="00283D13"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Desde el Observatorio</w:t>
      </w:r>
      <w:r>
        <w:rPr>
          <w:rFonts w:ascii="Open Sans" w:eastAsia="Times New Roman" w:hAnsi="Open Sans" w:cs="Times New Roman"/>
          <w:sz w:val="20"/>
          <w:lang w:val="es-ES" w:eastAsia="ar-SA"/>
        </w:rPr>
        <w:t xml:space="preserve"> de RSC</w:t>
      </w:r>
      <w:r w:rsidRPr="00BA566D">
        <w:rPr>
          <w:rFonts w:ascii="Open Sans" w:eastAsia="Times New Roman" w:hAnsi="Open Sans" w:cs="Times New Roman"/>
          <w:sz w:val="20"/>
          <w:lang w:val="es-ES" w:eastAsia="ar-SA"/>
        </w:rPr>
        <w:t xml:space="preserve"> se considera que el hecho de que se suscriban acuerdos sobre intercambio de información fiscal, no puede considerarse un hecho suficiente como para quitar la condición de paraíso fiscal a un país. Hay tres argumentos en los que basamos esta opinión:</w:t>
      </w:r>
    </w:p>
    <w:p w14:paraId="16C2E585"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4DEBD018" w14:textId="77777777" w:rsidR="00283D13" w:rsidRPr="00283D13" w:rsidRDefault="00283D13" w:rsidP="000B70C9">
      <w:pPr>
        <w:pStyle w:val="Prrafodelista"/>
        <w:numPr>
          <w:ilvl w:val="0"/>
          <w:numId w:val="106"/>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 xml:space="preserve">Los acuerdos de intercambio de información están orientados a la investigación de delitos fiscales, pero, la elusión fiscal no es un delito. Una empresa puede estar cumpliendo perfectamente con la legalidad, pero evitando pagar sus impuestos en los países donde genera el beneficio, a cambio de pagar en un territorio donde no tiene ninguna actividad, pero donde el tipo impositivo es muy inferior o incluso nulo. El impacto económico y social que tienen estas prácticas legales, sobre el ejercicio de derechos básicos de las personas es innegable, ya que supone menores ingresos de los Estados y, por tanto, menor capacidad de cumplir con sus deberes de garante de derechos. Mientras no se establezcan criterios que identifiquen como paraíso fiscal aquellos países y territorios según presión fiscal real distinta a las personas físicas y jurídicas. </w:t>
      </w:r>
    </w:p>
    <w:p w14:paraId="6A9B0C12" w14:textId="77777777" w:rsidR="00283D13" w:rsidRPr="00BA566D" w:rsidRDefault="00283D13" w:rsidP="00283D13">
      <w:pPr>
        <w:suppressAutoHyphens/>
        <w:contextualSpacing/>
        <w:jc w:val="both"/>
        <w:rPr>
          <w:rFonts w:ascii="Open Sans" w:eastAsia="Times New Roman" w:hAnsi="Open Sans" w:cs="Times New Roman"/>
          <w:sz w:val="20"/>
          <w:lang w:val="es-ES" w:eastAsia="ar-SA"/>
        </w:rPr>
      </w:pPr>
    </w:p>
    <w:p w14:paraId="592B0932" w14:textId="5AA15225" w:rsidR="00283D13" w:rsidRPr="00283D13" w:rsidRDefault="00283D13" w:rsidP="000B70C9">
      <w:pPr>
        <w:pStyle w:val="Prrafodelista"/>
        <w:numPr>
          <w:ilvl w:val="0"/>
          <w:numId w:val="106"/>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La firma de un acuerdo de intercambio de información no garantiza que se realice intercambio de información de manera efectiva entre los dos países</w:t>
      </w:r>
      <w:r w:rsidR="007F55EB" w:rsidRPr="00283D13">
        <w:rPr>
          <w:rFonts w:ascii="Open Sans" w:eastAsia="Times New Roman" w:hAnsi="Open Sans" w:cs="Times New Roman"/>
          <w:sz w:val="20"/>
          <w:lang w:val="es-ES" w:eastAsia="ar-SA"/>
        </w:rPr>
        <w:t>,</w:t>
      </w:r>
      <w:r w:rsidRPr="00283D13">
        <w:rPr>
          <w:rFonts w:ascii="Open Sans" w:eastAsia="Times New Roman" w:hAnsi="Open Sans" w:cs="Times New Roman"/>
          <w:sz w:val="20"/>
          <w:lang w:val="es-ES" w:eastAsia="ar-SA"/>
        </w:rPr>
        <w:t xml:space="preserve"> pues normalmente estos convenios están condicionando el acceso a la información para casos muy específicos, no siempre objetivos, y mucho menos garantiza la transparencia sobre las operaciones y fiscalidad de dichas personas jurídicas.</w:t>
      </w:r>
    </w:p>
    <w:p w14:paraId="3C19AEDD" w14:textId="77777777" w:rsidR="00283D13" w:rsidRDefault="00283D13" w:rsidP="00283D13">
      <w:pPr>
        <w:suppressAutoHyphens/>
        <w:contextualSpacing/>
        <w:jc w:val="both"/>
        <w:rPr>
          <w:rFonts w:ascii="Open Sans" w:eastAsia="Times New Roman" w:hAnsi="Open Sans" w:cs="Times New Roman"/>
          <w:sz w:val="20"/>
          <w:lang w:val="es-ES" w:eastAsia="ar-SA"/>
        </w:rPr>
      </w:pPr>
    </w:p>
    <w:p w14:paraId="77ECCA24" w14:textId="77777777" w:rsidR="00283D13" w:rsidRPr="00283D13" w:rsidRDefault="00283D13" w:rsidP="000B70C9">
      <w:pPr>
        <w:pStyle w:val="Prrafodelista"/>
        <w:numPr>
          <w:ilvl w:val="0"/>
          <w:numId w:val="106"/>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El quitar paraísos fiscales de una lista simplemente por la firma de acuerdos de intercambio de información  obvia uno de los pilares que hay bajo el concepto de paraíso o nicho fiscal. Este pilar fundamental es la baja o nula presión fiscal, que disfrutan las personas jurídicas no residentes, ya sea en cualquier actividad económica y sus rentas, o en actividades concretas, recogida en la legislación de dichos territorios. Por ello en un contexto con la poca armonización fiscal entre países, desde el punto de vista de necesidad de la responsabilidad fiscal de los actores, como una pieza fundamental de la responsabilidad social, es muy importante evidenciar el riesgo de posible uso de estrategias y prácticas fiscales elusorias y su impacto económico y social en los países donde se generan las rentas.</w:t>
      </w:r>
    </w:p>
    <w:p w14:paraId="5213C64E" w14:textId="77777777" w:rsidR="00283D13" w:rsidRDefault="00283D13" w:rsidP="00283D13">
      <w:pPr>
        <w:suppressAutoHyphens/>
        <w:jc w:val="both"/>
        <w:rPr>
          <w:rFonts w:ascii="Open Sans" w:eastAsia="Times New Roman" w:hAnsi="Open Sans" w:cs="Times New Roman"/>
          <w:sz w:val="20"/>
          <w:lang w:val="es-ES" w:eastAsia="ar-SA"/>
        </w:rPr>
      </w:pPr>
    </w:p>
    <w:p w14:paraId="576B8157" w14:textId="1E02D74B" w:rsidR="00054835" w:rsidRDefault="00054835" w:rsidP="00283D13">
      <w:pPr>
        <w:suppressAutoHyphens/>
        <w:jc w:val="both"/>
        <w:rPr>
          <w:rFonts w:ascii="Open Sans" w:eastAsia="Times New Roman" w:hAnsi="Open Sans" w:cs="Times New Roman"/>
          <w:sz w:val="20"/>
          <w:lang w:val="es-ES" w:eastAsia="ar-SA"/>
        </w:rPr>
      </w:pPr>
      <w:r w:rsidRPr="00054835">
        <w:rPr>
          <w:rFonts w:ascii="Open Sans" w:eastAsia="Times New Roman" w:hAnsi="Open Sans" w:cs="Times New Roman"/>
          <w:sz w:val="20"/>
          <w:lang w:val="es-ES" w:eastAsia="ar-SA"/>
        </w:rPr>
        <w:t>En la práctica se puede  contrastar como territorios que han dejado de ser considerados como paraíso fiscal por parte de la legislación española y la OCDE por haber rubricado acuerdos de intercambio automático de información, dificultan la actuación de la justicia.</w:t>
      </w:r>
      <w:r>
        <w:rPr>
          <w:rFonts w:ascii="Open Sans" w:eastAsia="Times New Roman" w:hAnsi="Open Sans" w:cs="Times New Roman"/>
          <w:sz w:val="20"/>
          <w:lang w:val="es-ES" w:eastAsia="ar-SA"/>
        </w:rPr>
        <w:t xml:space="preserve"> En palabras de José María </w:t>
      </w:r>
      <w:r w:rsidR="007F55EB">
        <w:rPr>
          <w:rFonts w:ascii="Open Sans" w:eastAsia="Times New Roman" w:hAnsi="Open Sans" w:cs="Times New Roman"/>
          <w:sz w:val="20"/>
          <w:lang w:val="es-ES" w:eastAsia="ar-SA"/>
        </w:rPr>
        <w:t>Peláez</w:t>
      </w:r>
      <w:r>
        <w:rPr>
          <w:rFonts w:ascii="Open Sans" w:eastAsia="Times New Roman" w:hAnsi="Open Sans" w:cs="Times New Roman"/>
          <w:sz w:val="20"/>
          <w:lang w:val="es-ES" w:eastAsia="ar-SA"/>
        </w:rPr>
        <w:t>, inspector de hacienda, en la práctica estos acuerdos no funcionan correctamente: “</w:t>
      </w:r>
      <w:r w:rsidRPr="00054835">
        <w:rPr>
          <w:rFonts w:ascii="Open Sans" w:eastAsia="Times New Roman" w:hAnsi="Open Sans" w:cs="Times New Roman"/>
          <w:sz w:val="20"/>
          <w:lang w:val="es-ES" w:eastAsia="ar-SA"/>
        </w:rPr>
        <w:t>en la práctica, cuando una autoridad fiscal reclama información el otro país pide que justifique para qué la quiere y documente qué posible delito ha cometido el contribuyente sobre el que solicita información. Incluso cuando se puede justificar todo eso, a veces el otro país se escuda en que esa práctica, que supondría blanqueo de capitales o delito fiscal, no supone un delito para ellos</w:t>
      </w:r>
      <w:r>
        <w:rPr>
          <w:rStyle w:val="Refdenotaalpie"/>
          <w:rFonts w:ascii="Open Sans" w:eastAsia="Times New Roman" w:hAnsi="Open Sans" w:cs="Times New Roman"/>
          <w:sz w:val="20"/>
          <w:lang w:val="es-ES" w:eastAsia="ar-SA"/>
        </w:rPr>
        <w:footnoteReference w:id="37"/>
      </w:r>
      <w:r w:rsidRPr="00054835">
        <w:rPr>
          <w:rFonts w:ascii="Open Sans" w:eastAsia="Times New Roman" w:hAnsi="Open Sans" w:cs="Times New Roman"/>
          <w:sz w:val="20"/>
          <w:lang w:val="es-ES" w:eastAsia="ar-SA"/>
        </w:rPr>
        <w:t>”.</w:t>
      </w:r>
    </w:p>
    <w:p w14:paraId="66F007D4" w14:textId="77777777" w:rsidR="00054835" w:rsidRPr="00BA566D" w:rsidRDefault="00054835" w:rsidP="00283D13">
      <w:pPr>
        <w:suppressAutoHyphens/>
        <w:jc w:val="both"/>
        <w:rPr>
          <w:rFonts w:ascii="Open Sans" w:eastAsia="Times New Roman" w:hAnsi="Open Sans" w:cs="Times New Roman"/>
          <w:sz w:val="20"/>
          <w:lang w:val="es-ES" w:eastAsia="ar-SA"/>
        </w:rPr>
      </w:pPr>
    </w:p>
    <w:p w14:paraId="5BAB88A8" w14:textId="77777777" w:rsidR="00283D13" w:rsidRPr="00BA566D" w:rsidRDefault="00283D13" w:rsidP="00283D13">
      <w:pPr>
        <w:suppressAutoHyphens/>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Por todo ello</w:t>
      </w:r>
      <w:r>
        <w:rPr>
          <w:rFonts w:ascii="Open Sans" w:eastAsia="Times New Roman" w:hAnsi="Open Sans" w:cs="Times New Roman"/>
          <w:sz w:val="20"/>
          <w:lang w:val="es-ES" w:eastAsia="ar-SA"/>
        </w:rPr>
        <w:t xml:space="preserve"> </w:t>
      </w:r>
      <w:r w:rsidRPr="00BA566D">
        <w:rPr>
          <w:rFonts w:ascii="Open Sans" w:eastAsia="Times New Roman" w:hAnsi="Open Sans" w:cs="Times New Roman"/>
          <w:sz w:val="20"/>
          <w:lang w:val="es-ES" w:eastAsia="ar-SA"/>
        </w:rPr>
        <w:t>el criterio por el que los analistas identifican la existencia de empresas con domicil</w:t>
      </w:r>
      <w:r>
        <w:rPr>
          <w:rFonts w:ascii="Open Sans" w:eastAsia="Times New Roman" w:hAnsi="Open Sans" w:cs="Times New Roman"/>
          <w:sz w:val="20"/>
          <w:lang w:val="es-ES" w:eastAsia="ar-SA"/>
        </w:rPr>
        <w:t xml:space="preserve">io social en paraísos fiscales es que </w:t>
      </w:r>
      <w:r w:rsidRPr="00BA566D">
        <w:rPr>
          <w:rFonts w:ascii="Open Sans" w:eastAsia="Times New Roman" w:hAnsi="Open Sans" w:cs="Times New Roman"/>
          <w:sz w:val="20"/>
          <w:lang w:val="es-ES" w:eastAsia="ar-SA"/>
        </w:rPr>
        <w:t xml:space="preserve">se ha </w:t>
      </w:r>
      <w:r>
        <w:rPr>
          <w:rFonts w:ascii="Open Sans" w:eastAsia="Times New Roman" w:hAnsi="Open Sans" w:cs="Times New Roman"/>
          <w:sz w:val="20"/>
          <w:lang w:val="es-ES" w:eastAsia="ar-SA"/>
        </w:rPr>
        <w:t>abandonado</w:t>
      </w:r>
      <w:r w:rsidRPr="00BA566D">
        <w:rPr>
          <w:rFonts w:ascii="Open Sans" w:eastAsia="Times New Roman" w:hAnsi="Open Sans" w:cs="Times New Roman"/>
          <w:sz w:val="20"/>
          <w:lang w:val="es-ES" w:eastAsia="ar-SA"/>
        </w:rPr>
        <w:t xml:space="preserve"> la referencia a la estricta consideración legal de paraíso fiscal por el estado español, para completarla con una visión más amplia y real en el que se incluyen otras fuentes especializadas:</w:t>
      </w:r>
    </w:p>
    <w:p w14:paraId="5EA68B91" w14:textId="77777777" w:rsidR="00283D13" w:rsidRPr="00BA566D" w:rsidRDefault="00283D13" w:rsidP="00283D13">
      <w:pPr>
        <w:suppressAutoHyphens/>
        <w:jc w:val="both"/>
        <w:rPr>
          <w:rFonts w:ascii="Open Sans" w:eastAsia="Times New Roman" w:hAnsi="Open Sans" w:cs="Times New Roman"/>
          <w:sz w:val="20"/>
          <w:lang w:val="es-ES" w:eastAsia="ar-SA"/>
        </w:rPr>
      </w:pPr>
    </w:p>
    <w:p w14:paraId="36452127" w14:textId="77777777" w:rsidR="00283D13" w:rsidRPr="00283D13" w:rsidRDefault="00283D13" w:rsidP="000B70C9">
      <w:pPr>
        <w:pStyle w:val="Prrafodelista"/>
        <w:numPr>
          <w:ilvl w:val="0"/>
          <w:numId w:val="107"/>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Real Decreto 1080/91 del 5 de julio (última actualización año 2013)</w:t>
      </w:r>
    </w:p>
    <w:p w14:paraId="1515A917" w14:textId="77777777" w:rsidR="00283D13" w:rsidRPr="00283D13" w:rsidRDefault="00283D13" w:rsidP="000B70C9">
      <w:pPr>
        <w:pStyle w:val="Prrafodelista"/>
        <w:numPr>
          <w:ilvl w:val="0"/>
          <w:numId w:val="107"/>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Listado de OCDE de diciembre de 2012</w:t>
      </w:r>
    </w:p>
    <w:p w14:paraId="7B049B9D" w14:textId="77777777" w:rsidR="00283D13" w:rsidRPr="00283D13" w:rsidRDefault="00283D13" w:rsidP="000B70C9">
      <w:pPr>
        <w:pStyle w:val="Prrafodelista"/>
        <w:numPr>
          <w:ilvl w:val="0"/>
          <w:numId w:val="107"/>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Tax Justice Network (2015)</w:t>
      </w:r>
    </w:p>
    <w:p w14:paraId="7AD2C214" w14:textId="77777777" w:rsidR="00283D13" w:rsidRPr="00283D13" w:rsidRDefault="00283D13" w:rsidP="000B70C9">
      <w:pPr>
        <w:pStyle w:val="Prrafodelista"/>
        <w:numPr>
          <w:ilvl w:val="0"/>
          <w:numId w:val="107"/>
        </w:numPr>
        <w:suppressAutoHyphens/>
        <w:jc w:val="both"/>
        <w:rPr>
          <w:rFonts w:ascii="Open Sans" w:eastAsia="Times New Roman" w:hAnsi="Open Sans" w:cs="Times New Roman"/>
          <w:sz w:val="20"/>
          <w:lang w:val="es-ES" w:eastAsia="ar-SA"/>
        </w:rPr>
      </w:pPr>
      <w:r w:rsidRPr="00283D13">
        <w:rPr>
          <w:rFonts w:ascii="Open Sans" w:eastAsia="Times New Roman" w:hAnsi="Open Sans" w:cs="Times New Roman"/>
          <w:sz w:val="20"/>
          <w:lang w:val="es-ES" w:eastAsia="ar-SA"/>
        </w:rPr>
        <w:t>Lista del Parlamento Europeo, informe Hamon (marzo 2009)</w:t>
      </w:r>
    </w:p>
    <w:p w14:paraId="026C76C6" w14:textId="77777777" w:rsidR="00283D13" w:rsidRPr="00BA566D" w:rsidRDefault="00283D13" w:rsidP="00283D13">
      <w:pPr>
        <w:suppressAutoHyphens/>
        <w:contextualSpacing/>
        <w:jc w:val="both"/>
        <w:rPr>
          <w:rFonts w:ascii="Open Sans" w:eastAsia="Times New Roman" w:hAnsi="Open Sans" w:cs="Times New Roman"/>
          <w:sz w:val="20"/>
          <w:lang w:val="es-ES" w:eastAsia="ar-SA"/>
        </w:rPr>
      </w:pPr>
    </w:p>
    <w:p w14:paraId="16154700" w14:textId="77777777" w:rsidR="00283D13" w:rsidRDefault="00283D13" w:rsidP="00283D13">
      <w:pPr>
        <w:suppressAutoHyphens/>
        <w:contextualSpacing/>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En base a estas fuentes se ha elaborado el siguiente listado, al que se referirá en el resto del presente informe como “</w:t>
      </w:r>
      <w:r w:rsidRPr="004A5142">
        <w:rPr>
          <w:rFonts w:ascii="Open Sans" w:eastAsia="Times New Roman" w:hAnsi="Open Sans" w:cs="Times New Roman"/>
          <w:b/>
          <w:sz w:val="20"/>
          <w:lang w:val="es-ES" w:eastAsia="ar-SA"/>
        </w:rPr>
        <w:t>Listado de paraísos fiscales del O</w:t>
      </w:r>
      <w:r>
        <w:rPr>
          <w:rFonts w:ascii="Open Sans" w:eastAsia="Times New Roman" w:hAnsi="Open Sans" w:cs="Times New Roman"/>
          <w:b/>
          <w:sz w:val="20"/>
          <w:lang w:val="es-ES" w:eastAsia="ar-SA"/>
        </w:rPr>
        <w:t>bservatorio de RSC</w:t>
      </w:r>
      <w:r>
        <w:rPr>
          <w:rFonts w:ascii="Open Sans" w:eastAsia="Times New Roman" w:hAnsi="Open Sans" w:cs="Times New Roman"/>
          <w:sz w:val="20"/>
          <w:lang w:val="es-ES" w:eastAsia="ar-SA"/>
        </w:rPr>
        <w:t>”:</w:t>
      </w:r>
    </w:p>
    <w:p w14:paraId="77881F5D" w14:textId="7C3E2405" w:rsidR="00BB5EDA" w:rsidRDefault="00BB5EDA" w:rsidP="00AD2B51">
      <w:pPr>
        <w:rPr>
          <w:rFonts w:ascii="Open Sans" w:eastAsia="Times New Roman" w:hAnsi="Open Sans" w:cs="Arial"/>
          <w:sz w:val="20"/>
          <w:szCs w:val="22"/>
          <w:lang w:val="es-ES" w:eastAsia="ar-SA"/>
        </w:rPr>
      </w:pPr>
    </w:p>
    <w:p w14:paraId="3F405D8D" w14:textId="224D28EB" w:rsidR="00061889" w:rsidRPr="00423A2B" w:rsidRDefault="0067473E" w:rsidP="00423A2B">
      <w:pPr>
        <w:rPr>
          <w:rFonts w:ascii="Open Sans" w:eastAsia="Times New Roman" w:hAnsi="Open Sans" w:cs="Arial"/>
          <w:sz w:val="20"/>
          <w:szCs w:val="22"/>
          <w:lang w:val="es-ES" w:eastAsia="ar-SA"/>
        </w:rPr>
      </w:pPr>
      <w:r>
        <w:rPr>
          <w:rFonts w:ascii="Open Sans" w:eastAsia="Times New Roman" w:hAnsi="Open Sans" w:cs="Arial"/>
          <w:noProof/>
          <w:sz w:val="20"/>
          <w:szCs w:val="22"/>
          <w:lang w:val="es-ES"/>
        </w:rPr>
        <w:drawing>
          <wp:inline distT="0" distB="0" distL="0" distR="0" wp14:anchorId="4807FB1E" wp14:editId="4A405D6E">
            <wp:extent cx="5316220" cy="7985887"/>
            <wp:effectExtent l="0" t="0" r="0" b="0"/>
            <wp:docPr id="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5316220" cy="7985887"/>
                    </a:xfrm>
                    <a:prstGeom prst="rect">
                      <a:avLst/>
                    </a:prstGeom>
                    <a:noFill/>
                    <a:ln>
                      <a:noFill/>
                    </a:ln>
                  </pic:spPr>
                </pic:pic>
              </a:graphicData>
            </a:graphic>
          </wp:inline>
        </w:drawing>
      </w:r>
    </w:p>
    <w:p w14:paraId="3E21C49F" w14:textId="034B01B1" w:rsidR="00CC399E" w:rsidRDefault="0067473E" w:rsidP="00133623">
      <w:pPr>
        <w:suppressAutoHyphens/>
        <w:contextualSpacing/>
        <w:jc w:val="both"/>
        <w:rPr>
          <w:rFonts w:ascii="Open Sans" w:eastAsia="Times New Roman" w:hAnsi="Open Sans" w:cs="Times New Roman"/>
          <w:sz w:val="20"/>
          <w:lang w:val="es-ES" w:eastAsia="ar-SA"/>
        </w:rPr>
      </w:pPr>
      <w:r>
        <w:rPr>
          <w:rFonts w:ascii="Open Sans" w:eastAsia="Times New Roman" w:hAnsi="Open Sans" w:cs="Times New Roman"/>
          <w:noProof/>
          <w:sz w:val="20"/>
          <w:lang w:val="es-ES"/>
        </w:rPr>
        <w:drawing>
          <wp:inline distT="0" distB="0" distL="0" distR="0" wp14:anchorId="2735DBDE" wp14:editId="7DF448F9">
            <wp:extent cx="5316220" cy="8124571"/>
            <wp:effectExtent l="0" t="0" r="0" b="3810"/>
            <wp:docPr id="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316220" cy="8124571"/>
                    </a:xfrm>
                    <a:prstGeom prst="rect">
                      <a:avLst/>
                    </a:prstGeom>
                    <a:noFill/>
                    <a:ln>
                      <a:noFill/>
                    </a:ln>
                  </pic:spPr>
                </pic:pic>
              </a:graphicData>
            </a:graphic>
          </wp:inline>
        </w:drawing>
      </w:r>
    </w:p>
    <w:p w14:paraId="0C87C393" w14:textId="1F4D5DD5" w:rsidR="00330A5D" w:rsidRDefault="00330A5D">
      <w:pPr>
        <w:rPr>
          <w:rFonts w:ascii="Open Sans" w:eastAsia="Times New Roman" w:hAnsi="Open Sans" w:cs="Times New Roman"/>
          <w:sz w:val="20"/>
          <w:lang w:val="es-ES" w:eastAsia="ar-SA"/>
        </w:rPr>
      </w:pPr>
      <w:r>
        <w:rPr>
          <w:rFonts w:ascii="Open Sans" w:eastAsia="Times New Roman" w:hAnsi="Open Sans" w:cs="Times New Roman"/>
          <w:sz w:val="20"/>
          <w:lang w:val="es-ES" w:eastAsia="ar-SA"/>
        </w:rPr>
        <w:br w:type="page"/>
      </w:r>
    </w:p>
    <w:p w14:paraId="2EDC0CC8" w14:textId="77777777" w:rsidR="00F46A0D" w:rsidRDefault="00F46A0D" w:rsidP="00F46A0D">
      <w:pPr>
        <w:suppressAutoHyphens/>
        <w:contextualSpacing/>
        <w:jc w:val="both"/>
        <w:rPr>
          <w:rFonts w:ascii="Open Sans" w:eastAsia="Times New Roman" w:hAnsi="Open Sans" w:cs="Times New Roman"/>
          <w:sz w:val="20"/>
          <w:lang w:val="es-ES" w:eastAsia="ar-SA"/>
        </w:rPr>
      </w:pPr>
      <w:r>
        <w:rPr>
          <w:rFonts w:ascii="Open Sans" w:eastAsia="Times New Roman" w:hAnsi="Open Sans" w:cs="Times New Roman"/>
          <w:sz w:val="20"/>
          <w:lang w:val="es-ES" w:eastAsia="ar-SA"/>
        </w:rPr>
        <w:t>A diferencia de anteriores estudios sobre fiscalidad en empresas elaborados por el Observatorio de RSC, en este ejercicio se diferencia entre paraísos y nichos fiscales</w:t>
      </w:r>
      <w:r w:rsidRPr="006E53BE">
        <w:rPr>
          <w:rFonts w:ascii="Open Sans" w:eastAsia="Times New Roman" w:hAnsi="Open Sans" w:cs="Times New Roman"/>
          <w:sz w:val="20"/>
          <w:lang w:val="es-ES" w:eastAsia="ar-SA"/>
        </w:rPr>
        <w:t>. La Agencia Tributaria. El uso cada vez más frecuente de los nichos fiscales es puesta en evidencia por parte de la agencia tributaria:</w:t>
      </w:r>
      <w:r w:rsidRPr="005E6635">
        <w:rPr>
          <w:rFonts w:ascii="Open Sans" w:eastAsia="Times New Roman" w:hAnsi="Open Sans" w:cs="Times New Roman"/>
          <w:sz w:val="20"/>
          <w:lang w:val="es-ES" w:eastAsia="ar-SA"/>
        </w:rPr>
        <w:t xml:space="preserve"> “</w:t>
      </w:r>
      <w:r w:rsidRPr="00F46A0D">
        <w:rPr>
          <w:rFonts w:ascii="Open Sans" w:eastAsia="Times New Roman" w:hAnsi="Open Sans" w:cs="Times New Roman"/>
          <w:i/>
          <w:sz w:val="20"/>
          <w:lang w:val="es-ES" w:eastAsia="ar-SA"/>
        </w:rPr>
        <w:t>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5E6635">
        <w:rPr>
          <w:rFonts w:ascii="Open Sans" w:eastAsia="Times New Roman" w:hAnsi="Open Sans" w:cs="Times New Roman"/>
          <w:sz w:val="20"/>
          <w:lang w:val="es-ES" w:eastAsia="ar-SA"/>
        </w:rPr>
        <w:t>”</w:t>
      </w:r>
      <w:r w:rsidRPr="005E6635">
        <w:rPr>
          <w:rFonts w:eastAsia="Times New Roman" w:cs="Times New Roman"/>
          <w:vertAlign w:val="superscript"/>
          <w:lang w:val="es-ES" w:eastAsia="ar-SA"/>
        </w:rPr>
        <w:footnoteReference w:id="38"/>
      </w:r>
      <w:r w:rsidRPr="005E6635">
        <w:rPr>
          <w:rFonts w:ascii="Open Sans" w:eastAsia="Times New Roman" w:hAnsi="Open Sans" w:cs="Times New Roman"/>
          <w:sz w:val="20"/>
          <w:lang w:val="es-ES" w:eastAsia="ar-SA"/>
        </w:rPr>
        <w:t>.</w:t>
      </w:r>
      <w:r>
        <w:rPr>
          <w:rFonts w:ascii="Open Sans" w:eastAsia="Times New Roman" w:hAnsi="Open Sans" w:cs="Times New Roman"/>
          <w:sz w:val="20"/>
          <w:lang w:val="es-ES" w:eastAsia="ar-SA"/>
        </w:rPr>
        <w:t xml:space="preserve"> Por ello se considera relevante que las empresas informen no solamente sobre las listas oficiales de paraísos fiscales sino también sobre aquellas operaciones susceptibles de generar estrategias fiscales agresivas o de elusión fiscal a través de territorios de baja o nula tributación para no residentes.</w:t>
      </w:r>
    </w:p>
    <w:p w14:paraId="4AE328CD" w14:textId="77777777" w:rsidR="00F46A0D" w:rsidRDefault="00F46A0D" w:rsidP="00F46A0D">
      <w:pPr>
        <w:suppressAutoHyphens/>
        <w:contextualSpacing/>
        <w:jc w:val="both"/>
        <w:rPr>
          <w:rFonts w:ascii="Open Sans" w:eastAsia="Times New Roman" w:hAnsi="Open Sans" w:cs="Times New Roman"/>
          <w:sz w:val="20"/>
          <w:lang w:val="es-ES" w:eastAsia="ar-SA"/>
        </w:rPr>
      </w:pPr>
    </w:p>
    <w:p w14:paraId="07A119A4" w14:textId="77777777" w:rsidR="00F46A0D" w:rsidRDefault="00F46A0D" w:rsidP="00F46A0D">
      <w:pPr>
        <w:suppressAutoHyphens/>
        <w:contextualSpacing/>
        <w:jc w:val="both"/>
        <w:rPr>
          <w:rFonts w:ascii="Open Sans" w:eastAsia="Times New Roman" w:hAnsi="Open Sans" w:cs="Times New Roman"/>
          <w:b/>
          <w:sz w:val="20"/>
          <w:lang w:val="es-ES" w:eastAsia="ar-SA"/>
        </w:rPr>
      </w:pPr>
      <w:r>
        <w:rPr>
          <w:rFonts w:ascii="Open Sans" w:eastAsia="Times New Roman" w:hAnsi="Open Sans" w:cs="Times New Roman"/>
          <w:b/>
          <w:sz w:val="20"/>
          <w:lang w:val="es-ES" w:eastAsia="ar-SA"/>
        </w:rPr>
        <w:t>Referencias tomadas en consideración para construir lista de paraísos/ nichos fiscales:</w:t>
      </w:r>
    </w:p>
    <w:p w14:paraId="7B256392" w14:textId="77777777" w:rsidR="0080258D" w:rsidRDefault="0080258D" w:rsidP="0080258D">
      <w:pPr>
        <w:suppressAutoHyphens/>
        <w:contextualSpacing/>
        <w:jc w:val="both"/>
        <w:rPr>
          <w:rFonts w:ascii="Open Sans" w:eastAsia="Times New Roman" w:hAnsi="Open Sans" w:cs="Times New Roman"/>
          <w:sz w:val="20"/>
          <w:lang w:val="es-ES" w:eastAsia="ar-SA"/>
        </w:rPr>
      </w:pPr>
    </w:p>
    <w:p w14:paraId="6469D252" w14:textId="77777777" w:rsidR="0080258D" w:rsidRDefault="0080258D" w:rsidP="0080258D">
      <w:pPr>
        <w:suppressAutoHyphens/>
        <w:contextualSpacing/>
        <w:jc w:val="both"/>
        <w:rPr>
          <w:rFonts w:ascii="Open Sans" w:eastAsia="Times New Roman" w:hAnsi="Open Sans" w:cs="Times New Roman"/>
          <w:sz w:val="20"/>
          <w:lang w:val="es-ES" w:eastAsia="ar-SA"/>
        </w:rPr>
      </w:pPr>
    </w:p>
    <w:tbl>
      <w:tblPr>
        <w:tblW w:w="7986" w:type="dxa"/>
        <w:jc w:val="center"/>
        <w:tblInd w:w="-1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154"/>
        <w:gridCol w:w="1392"/>
        <w:gridCol w:w="1340"/>
        <w:gridCol w:w="1683"/>
        <w:gridCol w:w="1417"/>
      </w:tblGrid>
      <w:tr w:rsidR="0080258D" w:rsidRPr="00C3205F" w14:paraId="6DF7CC2D" w14:textId="77777777" w:rsidTr="0080258D">
        <w:trPr>
          <w:trHeight w:val="1039"/>
          <w:jc w:val="center"/>
        </w:trPr>
        <w:tc>
          <w:tcPr>
            <w:tcW w:w="2154" w:type="dxa"/>
            <w:shd w:val="clear" w:color="auto" w:fill="auto"/>
          </w:tcPr>
          <w:p w14:paraId="37467855" w14:textId="77777777" w:rsidR="0080258D" w:rsidRPr="00061889" w:rsidRDefault="0080258D" w:rsidP="006F730C">
            <w:pPr>
              <w:jc w:val="center"/>
              <w:rPr>
                <w:rFonts w:ascii="Open Sans" w:eastAsia="Times New Roman" w:hAnsi="Open Sans" w:cs="Times New Roman"/>
                <w:b/>
                <w:bCs/>
                <w:color w:val="FFFFFF"/>
                <w:sz w:val="20"/>
                <w:szCs w:val="20"/>
              </w:rPr>
            </w:pPr>
          </w:p>
        </w:tc>
        <w:tc>
          <w:tcPr>
            <w:tcW w:w="1392" w:type="dxa"/>
            <w:shd w:val="clear" w:color="000000" w:fill="F2AC3C"/>
            <w:vAlign w:val="center"/>
            <w:hideMark/>
          </w:tcPr>
          <w:p w14:paraId="25832E92" w14:textId="77777777" w:rsidR="0080258D" w:rsidRPr="00061889" w:rsidRDefault="0080258D" w:rsidP="006F730C">
            <w:pPr>
              <w:jc w:val="center"/>
              <w:rPr>
                <w:rFonts w:ascii="Open Sans" w:eastAsia="Times New Roman" w:hAnsi="Open Sans" w:cs="Times New Roman"/>
                <w:b/>
                <w:bCs/>
                <w:color w:val="FFFFFF"/>
                <w:sz w:val="20"/>
                <w:szCs w:val="20"/>
              </w:rPr>
            </w:pPr>
            <w:r w:rsidRPr="00061889">
              <w:rPr>
                <w:rFonts w:ascii="Open Sans" w:eastAsia="Times New Roman" w:hAnsi="Open Sans" w:cs="Times New Roman"/>
                <w:b/>
                <w:bCs/>
                <w:color w:val="FFFFFF"/>
                <w:sz w:val="20"/>
                <w:szCs w:val="20"/>
              </w:rPr>
              <w:t>RD 1080/91 Actualizado 2013</w:t>
            </w:r>
          </w:p>
        </w:tc>
        <w:tc>
          <w:tcPr>
            <w:tcW w:w="1340" w:type="dxa"/>
            <w:shd w:val="clear" w:color="000000" w:fill="F2AC3C"/>
            <w:vAlign w:val="center"/>
            <w:hideMark/>
          </w:tcPr>
          <w:p w14:paraId="349E5AC6" w14:textId="77777777" w:rsidR="0080258D" w:rsidRPr="00061889" w:rsidRDefault="0080258D" w:rsidP="006F730C">
            <w:pPr>
              <w:jc w:val="center"/>
              <w:rPr>
                <w:rFonts w:ascii="Open Sans" w:eastAsia="Times New Roman" w:hAnsi="Open Sans" w:cs="Times New Roman"/>
                <w:b/>
                <w:bCs/>
                <w:color w:val="FFFFFF"/>
                <w:sz w:val="20"/>
                <w:szCs w:val="20"/>
              </w:rPr>
            </w:pPr>
            <w:r w:rsidRPr="00061889">
              <w:rPr>
                <w:rFonts w:ascii="Open Sans" w:eastAsia="Times New Roman" w:hAnsi="Open Sans" w:cs="Times New Roman"/>
                <w:b/>
                <w:bCs/>
                <w:color w:val="FFFFFF"/>
                <w:sz w:val="20"/>
                <w:szCs w:val="20"/>
              </w:rPr>
              <w:t>OCDE Actualizado 12/2012</w:t>
            </w:r>
          </w:p>
        </w:tc>
        <w:tc>
          <w:tcPr>
            <w:tcW w:w="1683" w:type="dxa"/>
            <w:shd w:val="clear" w:color="000000" w:fill="F2AC3C"/>
            <w:vAlign w:val="center"/>
            <w:hideMark/>
          </w:tcPr>
          <w:p w14:paraId="3A0D3F90" w14:textId="77777777" w:rsidR="0080258D" w:rsidRPr="00061889" w:rsidRDefault="0080258D" w:rsidP="006F730C">
            <w:pPr>
              <w:jc w:val="center"/>
              <w:rPr>
                <w:rFonts w:ascii="Open Sans" w:eastAsia="Times New Roman" w:hAnsi="Open Sans" w:cs="Times New Roman"/>
                <w:b/>
                <w:bCs/>
                <w:color w:val="FFFFFF"/>
                <w:sz w:val="20"/>
                <w:szCs w:val="20"/>
              </w:rPr>
            </w:pPr>
            <w:r w:rsidRPr="00061889">
              <w:rPr>
                <w:rFonts w:ascii="Open Sans" w:eastAsia="Times New Roman" w:hAnsi="Open Sans" w:cs="Times New Roman"/>
                <w:b/>
                <w:bCs/>
                <w:color w:val="FFFFFF"/>
                <w:sz w:val="20"/>
                <w:szCs w:val="20"/>
              </w:rPr>
              <w:t>TAX JUSTICE</w:t>
            </w:r>
            <w:r>
              <w:rPr>
                <w:rFonts w:ascii="Open Sans" w:eastAsia="Times New Roman" w:hAnsi="Open Sans" w:cs="Times New Roman"/>
                <w:b/>
                <w:bCs/>
                <w:color w:val="FFFFFF"/>
                <w:sz w:val="20"/>
                <w:szCs w:val="20"/>
              </w:rPr>
              <w:t xml:space="preserve"> NETWORK Actualizado 2015</w:t>
            </w:r>
          </w:p>
        </w:tc>
        <w:tc>
          <w:tcPr>
            <w:tcW w:w="1417" w:type="dxa"/>
            <w:shd w:val="clear" w:color="000000" w:fill="F2AC3C"/>
            <w:vAlign w:val="center"/>
            <w:hideMark/>
          </w:tcPr>
          <w:p w14:paraId="294C44CA" w14:textId="77777777" w:rsidR="0080258D" w:rsidRPr="00061889" w:rsidRDefault="0080258D" w:rsidP="006F730C">
            <w:pPr>
              <w:jc w:val="center"/>
              <w:rPr>
                <w:rFonts w:ascii="Open Sans" w:eastAsia="Times New Roman" w:hAnsi="Open Sans" w:cs="Times New Roman"/>
                <w:b/>
                <w:bCs/>
                <w:color w:val="FFFFFF"/>
                <w:sz w:val="20"/>
                <w:szCs w:val="20"/>
              </w:rPr>
            </w:pPr>
            <w:r w:rsidRPr="00061889">
              <w:rPr>
                <w:rFonts w:ascii="Open Sans" w:eastAsia="Times New Roman" w:hAnsi="Open Sans" w:cs="Times New Roman"/>
                <w:b/>
                <w:bCs/>
                <w:color w:val="FFFFFF"/>
                <w:sz w:val="20"/>
                <w:szCs w:val="20"/>
              </w:rPr>
              <w:t>Parlamento Europeo (2009)</w:t>
            </w:r>
          </w:p>
        </w:tc>
      </w:tr>
      <w:tr w:rsidR="0080258D" w:rsidRPr="0080258D" w14:paraId="07319950" w14:textId="77777777" w:rsidTr="0080258D">
        <w:trPr>
          <w:trHeight w:val="300"/>
          <w:jc w:val="center"/>
        </w:trPr>
        <w:tc>
          <w:tcPr>
            <w:tcW w:w="2154" w:type="dxa"/>
          </w:tcPr>
          <w:p w14:paraId="5660CF89" w14:textId="77777777" w:rsidR="0080258D" w:rsidRPr="0080258D" w:rsidRDefault="0080258D" w:rsidP="006F730C">
            <w:pPr>
              <w:jc w:val="center"/>
              <w:rPr>
                <w:rFonts w:ascii="Open Sans" w:eastAsia="Times New Roman" w:hAnsi="Open Sans" w:cs="Times New Roman"/>
                <w:b/>
                <w:color w:val="000000"/>
                <w:sz w:val="20"/>
                <w:szCs w:val="20"/>
              </w:rPr>
            </w:pPr>
            <w:r w:rsidRPr="0080258D">
              <w:rPr>
                <w:rFonts w:ascii="Open Sans" w:eastAsia="Times New Roman" w:hAnsi="Open Sans" w:cs="Times New Roman"/>
                <w:b/>
                <w:color w:val="000000"/>
                <w:sz w:val="20"/>
                <w:szCs w:val="20"/>
              </w:rPr>
              <w:t>Lista de países considerados paraíso fiscal</w:t>
            </w:r>
          </w:p>
        </w:tc>
        <w:tc>
          <w:tcPr>
            <w:tcW w:w="1392" w:type="dxa"/>
            <w:shd w:val="clear" w:color="auto" w:fill="auto"/>
            <w:noWrap/>
            <w:hideMark/>
          </w:tcPr>
          <w:p w14:paraId="5B0697E7" w14:textId="77777777" w:rsidR="0080258D" w:rsidRPr="0080258D" w:rsidRDefault="0080258D" w:rsidP="006F730C">
            <w:pPr>
              <w:jc w:val="center"/>
              <w:rPr>
                <w:rFonts w:ascii="Open Sans" w:eastAsia="Times New Roman" w:hAnsi="Open Sans" w:cs="Times New Roman"/>
                <w:b/>
                <w:color w:val="000000"/>
                <w:sz w:val="20"/>
                <w:szCs w:val="20"/>
              </w:rPr>
            </w:pPr>
          </w:p>
          <w:p w14:paraId="26FE70A8" w14:textId="77777777" w:rsidR="0080258D" w:rsidRPr="0080258D" w:rsidRDefault="0080258D" w:rsidP="006F730C">
            <w:pPr>
              <w:jc w:val="center"/>
              <w:rPr>
                <w:b/>
              </w:rPr>
            </w:pPr>
            <w:r w:rsidRPr="0080258D">
              <w:rPr>
                <w:rFonts w:ascii="Open Sans" w:eastAsia="Times New Roman" w:hAnsi="Open Sans" w:cs="Times New Roman"/>
                <w:b/>
                <w:color w:val="000000"/>
                <w:sz w:val="20"/>
                <w:szCs w:val="20"/>
              </w:rPr>
              <w:t>x</w:t>
            </w:r>
          </w:p>
        </w:tc>
        <w:tc>
          <w:tcPr>
            <w:tcW w:w="1340" w:type="dxa"/>
            <w:shd w:val="clear" w:color="auto" w:fill="auto"/>
            <w:noWrap/>
            <w:vAlign w:val="bottom"/>
            <w:hideMark/>
          </w:tcPr>
          <w:p w14:paraId="0A349A8D" w14:textId="77777777" w:rsidR="0080258D" w:rsidRPr="0080258D" w:rsidRDefault="0080258D" w:rsidP="006F730C">
            <w:pPr>
              <w:jc w:val="center"/>
              <w:rPr>
                <w:rFonts w:ascii="Open Sans" w:eastAsia="Times New Roman" w:hAnsi="Open Sans" w:cs="Times New Roman"/>
                <w:b/>
                <w:color w:val="000000"/>
                <w:sz w:val="20"/>
                <w:szCs w:val="20"/>
              </w:rPr>
            </w:pPr>
            <w:r w:rsidRPr="0080258D">
              <w:rPr>
                <w:rFonts w:ascii="Open Sans" w:eastAsia="Times New Roman" w:hAnsi="Open Sans" w:cs="Times New Roman"/>
                <w:b/>
                <w:color w:val="000000"/>
                <w:sz w:val="20"/>
                <w:szCs w:val="20"/>
              </w:rPr>
              <w:t>x</w:t>
            </w:r>
          </w:p>
        </w:tc>
        <w:tc>
          <w:tcPr>
            <w:tcW w:w="1683" w:type="dxa"/>
            <w:shd w:val="clear" w:color="auto" w:fill="auto"/>
            <w:noWrap/>
          </w:tcPr>
          <w:p w14:paraId="1F19CB92" w14:textId="77777777" w:rsidR="0080258D" w:rsidRPr="0080258D" w:rsidRDefault="0080258D" w:rsidP="006F730C">
            <w:pPr>
              <w:jc w:val="center"/>
              <w:rPr>
                <w:b/>
              </w:rPr>
            </w:pPr>
          </w:p>
        </w:tc>
        <w:tc>
          <w:tcPr>
            <w:tcW w:w="1417" w:type="dxa"/>
            <w:shd w:val="clear" w:color="auto" w:fill="auto"/>
            <w:noWrap/>
            <w:vAlign w:val="bottom"/>
          </w:tcPr>
          <w:p w14:paraId="3BA36A4B" w14:textId="77777777" w:rsidR="0080258D" w:rsidRPr="0080258D" w:rsidRDefault="0080258D" w:rsidP="006F730C">
            <w:pPr>
              <w:jc w:val="center"/>
              <w:rPr>
                <w:rFonts w:ascii="Open Sans" w:eastAsia="Times New Roman" w:hAnsi="Open Sans" w:cs="Times New Roman"/>
                <w:b/>
                <w:color w:val="000000"/>
                <w:sz w:val="20"/>
                <w:szCs w:val="20"/>
              </w:rPr>
            </w:pPr>
          </w:p>
        </w:tc>
      </w:tr>
      <w:tr w:rsidR="0080258D" w:rsidRPr="0080258D" w14:paraId="0DFB60EA" w14:textId="77777777" w:rsidTr="0080258D">
        <w:trPr>
          <w:trHeight w:val="300"/>
          <w:jc w:val="center"/>
        </w:trPr>
        <w:tc>
          <w:tcPr>
            <w:tcW w:w="2154" w:type="dxa"/>
          </w:tcPr>
          <w:p w14:paraId="14D35247" w14:textId="77777777" w:rsidR="0080258D" w:rsidRPr="0080258D" w:rsidRDefault="0080258D" w:rsidP="006F730C">
            <w:pPr>
              <w:jc w:val="center"/>
              <w:rPr>
                <w:rFonts w:ascii="Open Sans" w:eastAsia="Times New Roman" w:hAnsi="Open Sans" w:cs="Times New Roman"/>
                <w:b/>
                <w:color w:val="000000"/>
                <w:sz w:val="20"/>
                <w:szCs w:val="20"/>
              </w:rPr>
            </w:pPr>
            <w:r w:rsidRPr="0080258D">
              <w:rPr>
                <w:rFonts w:ascii="Open Sans" w:eastAsia="Times New Roman" w:hAnsi="Open Sans" w:cs="Times New Roman"/>
                <w:b/>
                <w:color w:val="000000"/>
                <w:sz w:val="20"/>
                <w:szCs w:val="20"/>
              </w:rPr>
              <w:t>Lista de países considerados nicho fiscal</w:t>
            </w:r>
          </w:p>
        </w:tc>
        <w:tc>
          <w:tcPr>
            <w:tcW w:w="1392" w:type="dxa"/>
            <w:shd w:val="clear" w:color="auto" w:fill="auto"/>
            <w:noWrap/>
            <w:vAlign w:val="bottom"/>
            <w:hideMark/>
          </w:tcPr>
          <w:p w14:paraId="0A083AD3" w14:textId="77777777" w:rsidR="0080258D" w:rsidRPr="0080258D" w:rsidRDefault="0080258D" w:rsidP="006F730C">
            <w:pPr>
              <w:jc w:val="center"/>
              <w:rPr>
                <w:rFonts w:ascii="Open Sans" w:eastAsia="Times New Roman" w:hAnsi="Open Sans" w:cs="Times New Roman"/>
                <w:b/>
                <w:color w:val="000000"/>
                <w:sz w:val="20"/>
                <w:szCs w:val="20"/>
              </w:rPr>
            </w:pPr>
            <w:r w:rsidRPr="0080258D">
              <w:rPr>
                <w:rFonts w:ascii="Open Sans" w:eastAsia="Times New Roman" w:hAnsi="Open Sans" w:cs="Times New Roman"/>
                <w:b/>
                <w:color w:val="000000"/>
                <w:sz w:val="20"/>
                <w:szCs w:val="20"/>
              </w:rPr>
              <w:t> </w:t>
            </w:r>
          </w:p>
        </w:tc>
        <w:tc>
          <w:tcPr>
            <w:tcW w:w="1340" w:type="dxa"/>
            <w:shd w:val="clear" w:color="auto" w:fill="auto"/>
            <w:noWrap/>
            <w:vAlign w:val="bottom"/>
            <w:hideMark/>
          </w:tcPr>
          <w:p w14:paraId="78C559A3" w14:textId="77777777" w:rsidR="0080258D" w:rsidRPr="0080258D" w:rsidRDefault="0080258D" w:rsidP="006F730C">
            <w:pPr>
              <w:jc w:val="center"/>
              <w:rPr>
                <w:rFonts w:ascii="Open Sans" w:eastAsia="Times New Roman" w:hAnsi="Open Sans" w:cs="Times New Roman"/>
                <w:b/>
                <w:color w:val="000000"/>
                <w:sz w:val="20"/>
                <w:szCs w:val="20"/>
              </w:rPr>
            </w:pPr>
            <w:r w:rsidRPr="0080258D">
              <w:rPr>
                <w:rFonts w:ascii="Open Sans" w:eastAsia="Times New Roman" w:hAnsi="Open Sans" w:cs="Times New Roman"/>
                <w:b/>
                <w:color w:val="000000"/>
                <w:sz w:val="20"/>
                <w:szCs w:val="20"/>
              </w:rPr>
              <w:t> </w:t>
            </w:r>
          </w:p>
        </w:tc>
        <w:tc>
          <w:tcPr>
            <w:tcW w:w="1683" w:type="dxa"/>
            <w:shd w:val="clear" w:color="auto" w:fill="auto"/>
            <w:noWrap/>
            <w:hideMark/>
          </w:tcPr>
          <w:p w14:paraId="460CA9C4" w14:textId="77777777" w:rsidR="0080258D" w:rsidRPr="0080258D" w:rsidRDefault="0080258D" w:rsidP="006F730C">
            <w:pPr>
              <w:jc w:val="center"/>
              <w:rPr>
                <w:rFonts w:ascii="Open Sans" w:eastAsia="Times New Roman" w:hAnsi="Open Sans" w:cs="Times New Roman"/>
                <w:b/>
                <w:color w:val="000000"/>
                <w:sz w:val="20"/>
                <w:szCs w:val="20"/>
              </w:rPr>
            </w:pPr>
          </w:p>
          <w:p w14:paraId="6ED99F3D" w14:textId="77777777" w:rsidR="0080258D" w:rsidRPr="0080258D" w:rsidRDefault="0080258D" w:rsidP="006F730C">
            <w:pPr>
              <w:jc w:val="center"/>
              <w:rPr>
                <w:b/>
              </w:rPr>
            </w:pPr>
            <w:r w:rsidRPr="0080258D">
              <w:rPr>
                <w:rFonts w:ascii="Open Sans" w:eastAsia="Times New Roman" w:hAnsi="Open Sans" w:cs="Times New Roman"/>
                <w:b/>
                <w:color w:val="000000"/>
                <w:sz w:val="20"/>
                <w:szCs w:val="20"/>
              </w:rPr>
              <w:t>x</w:t>
            </w:r>
          </w:p>
        </w:tc>
        <w:tc>
          <w:tcPr>
            <w:tcW w:w="1417" w:type="dxa"/>
            <w:shd w:val="clear" w:color="auto" w:fill="auto"/>
            <w:noWrap/>
            <w:vAlign w:val="bottom"/>
            <w:hideMark/>
          </w:tcPr>
          <w:p w14:paraId="2DBEDB9A" w14:textId="77777777" w:rsidR="0080258D" w:rsidRPr="0080258D" w:rsidRDefault="0080258D" w:rsidP="006F730C">
            <w:pPr>
              <w:jc w:val="center"/>
              <w:rPr>
                <w:rFonts w:ascii="Open Sans" w:eastAsia="Times New Roman" w:hAnsi="Open Sans" w:cs="Times New Roman"/>
                <w:b/>
                <w:color w:val="000000"/>
                <w:sz w:val="20"/>
                <w:szCs w:val="20"/>
              </w:rPr>
            </w:pPr>
            <w:r w:rsidRPr="0080258D">
              <w:rPr>
                <w:rFonts w:ascii="Open Sans" w:eastAsia="Times New Roman" w:hAnsi="Open Sans" w:cs="Times New Roman"/>
                <w:b/>
                <w:color w:val="000000"/>
                <w:sz w:val="20"/>
                <w:szCs w:val="20"/>
              </w:rPr>
              <w:t>x</w:t>
            </w:r>
          </w:p>
        </w:tc>
      </w:tr>
    </w:tbl>
    <w:p w14:paraId="4AB67E69" w14:textId="77777777" w:rsidR="0080258D" w:rsidRDefault="0080258D" w:rsidP="0080258D">
      <w:pPr>
        <w:suppressAutoHyphens/>
        <w:contextualSpacing/>
        <w:jc w:val="both"/>
        <w:rPr>
          <w:rFonts w:ascii="Open Sans" w:eastAsia="Times New Roman" w:hAnsi="Open Sans" w:cs="Times New Roman"/>
          <w:sz w:val="20"/>
          <w:lang w:val="es-ES" w:eastAsia="ar-SA"/>
        </w:rPr>
      </w:pPr>
    </w:p>
    <w:p w14:paraId="3D61D344" w14:textId="77777777" w:rsidR="006F730C" w:rsidRDefault="006F730C" w:rsidP="0080258D">
      <w:pPr>
        <w:suppressAutoHyphens/>
        <w:contextualSpacing/>
        <w:jc w:val="both"/>
        <w:rPr>
          <w:rFonts w:ascii="Open Sans" w:eastAsia="Times New Roman" w:hAnsi="Open Sans" w:cs="Times New Roman"/>
          <w:sz w:val="20"/>
          <w:lang w:val="es-ES" w:eastAsia="ar-SA"/>
        </w:rPr>
      </w:pPr>
    </w:p>
    <w:p w14:paraId="33250F1A" w14:textId="77777777" w:rsidR="006F730C" w:rsidRPr="00BA566D" w:rsidRDefault="006F730C" w:rsidP="006F730C">
      <w:pPr>
        <w:rPr>
          <w:rFonts w:ascii="Open Sans" w:eastAsia="Times New Roman" w:hAnsi="Open Sans" w:cs="Times New Roman"/>
          <w:sz w:val="20"/>
          <w:lang w:val="es-ES" w:eastAsia="ar-SA"/>
        </w:rPr>
      </w:pPr>
      <w:r>
        <w:rPr>
          <w:rFonts w:ascii="Open Sans" w:eastAsia="Times New Roman" w:hAnsi="Open Sans" w:cs="Times New Roman"/>
          <w:sz w:val="20"/>
          <w:lang w:val="es-ES" w:eastAsia="ar-SA"/>
        </w:rPr>
        <w:t>A</w:t>
      </w:r>
      <w:r w:rsidRPr="00BA566D">
        <w:rPr>
          <w:rFonts w:ascii="Open Sans" w:eastAsia="Times New Roman" w:hAnsi="Open Sans" w:cs="Times New Roman"/>
          <w:sz w:val="20"/>
          <w:lang w:val="es-ES" w:eastAsia="ar-SA"/>
        </w:rPr>
        <w:t>demás de identificar si alguna de las empresas que conforman el grupo empresarial está domiciliada en alguno de estos países, se ha valorado la descripción de la actividad que se acompañe, para de esta manera tratar de discriminar entre:</w:t>
      </w:r>
    </w:p>
    <w:p w14:paraId="2FC139C7" w14:textId="77777777" w:rsidR="006F730C" w:rsidRPr="00BA566D" w:rsidRDefault="006F730C" w:rsidP="006F730C">
      <w:pPr>
        <w:suppressAutoHyphens/>
        <w:contextualSpacing/>
        <w:jc w:val="both"/>
        <w:rPr>
          <w:rFonts w:ascii="Open Sans" w:eastAsia="Times New Roman" w:hAnsi="Open Sans" w:cs="Times New Roman"/>
          <w:sz w:val="20"/>
          <w:lang w:val="es-ES" w:eastAsia="ar-SA"/>
        </w:rPr>
      </w:pPr>
    </w:p>
    <w:p w14:paraId="22D25F43" w14:textId="77777777" w:rsidR="006F730C" w:rsidRDefault="006F730C" w:rsidP="00612F7F">
      <w:pPr>
        <w:numPr>
          <w:ilvl w:val="0"/>
          <w:numId w:val="8"/>
        </w:numPr>
        <w:suppressAutoHyphens/>
        <w:ind w:left="360" w:hanging="360"/>
        <w:contextualSpacing/>
        <w:jc w:val="both"/>
        <w:rPr>
          <w:rFonts w:ascii="Open Sans" w:eastAsia="Times New Roman" w:hAnsi="Open Sans" w:cs="Times New Roman"/>
          <w:sz w:val="20"/>
          <w:lang w:val="es-ES" w:eastAsia="ar-SA"/>
        </w:rPr>
      </w:pPr>
      <w:r>
        <w:rPr>
          <w:rFonts w:ascii="Open Sans" w:eastAsia="Times New Roman" w:hAnsi="Open Sans" w:cs="Times New Roman"/>
          <w:sz w:val="20"/>
          <w:lang w:val="es-ES" w:eastAsia="ar-SA"/>
        </w:rPr>
        <w:t>E</w:t>
      </w:r>
      <w:r w:rsidRPr="00BA566D">
        <w:rPr>
          <w:rFonts w:ascii="Open Sans" w:eastAsia="Times New Roman" w:hAnsi="Open Sans" w:cs="Times New Roman"/>
          <w:sz w:val="20"/>
          <w:lang w:val="es-ES" w:eastAsia="ar-SA"/>
        </w:rPr>
        <w:t xml:space="preserve">mpresas que realizan actividades operativas en dichos países y territorios (tiendas, aparcamientos, fábricas, operaciones de extracción, comercialización, producción, etc.) </w:t>
      </w:r>
    </w:p>
    <w:p w14:paraId="7B9D4A41" w14:textId="77777777" w:rsidR="006F730C" w:rsidRPr="00BA566D" w:rsidRDefault="006F730C" w:rsidP="006F730C">
      <w:pPr>
        <w:suppressAutoHyphens/>
        <w:contextualSpacing/>
        <w:jc w:val="both"/>
        <w:rPr>
          <w:rFonts w:ascii="Open Sans" w:eastAsia="Times New Roman" w:hAnsi="Open Sans" w:cs="Times New Roman"/>
          <w:sz w:val="20"/>
          <w:lang w:val="es-ES" w:eastAsia="ar-SA"/>
        </w:rPr>
      </w:pPr>
    </w:p>
    <w:p w14:paraId="5C36934D" w14:textId="77777777" w:rsidR="006F730C" w:rsidRPr="00BA566D" w:rsidRDefault="006F730C" w:rsidP="00612F7F">
      <w:pPr>
        <w:numPr>
          <w:ilvl w:val="0"/>
          <w:numId w:val="8"/>
        </w:numPr>
        <w:suppressAutoHyphens/>
        <w:ind w:left="360" w:hanging="360"/>
        <w:contextualSpacing/>
        <w:jc w:val="both"/>
        <w:rPr>
          <w:rFonts w:ascii="Open Sans" w:eastAsia="Times New Roman" w:hAnsi="Open Sans" w:cs="Times New Roman"/>
          <w:sz w:val="20"/>
          <w:lang w:val="es-ES" w:eastAsia="ar-SA"/>
        </w:rPr>
      </w:pPr>
      <w:r>
        <w:rPr>
          <w:rFonts w:ascii="Open Sans" w:eastAsia="Times New Roman" w:hAnsi="Open Sans" w:cs="Times New Roman"/>
          <w:sz w:val="20"/>
          <w:lang w:val="es-ES" w:eastAsia="ar-SA"/>
        </w:rPr>
        <w:t>E</w:t>
      </w:r>
      <w:r w:rsidRPr="00BA566D">
        <w:rPr>
          <w:rFonts w:ascii="Open Sans" w:eastAsia="Times New Roman" w:hAnsi="Open Sans" w:cs="Times New Roman"/>
          <w:sz w:val="20"/>
          <w:lang w:val="es-ES" w:eastAsia="ar-SA"/>
        </w:rPr>
        <w:t>mpresas que tienen un mero carácter instrumental y financiero, y cuya ubicación geográfica no tiene relación con el tipo de operaciones que realiza (sociedades de cartera, financieras, tenencia de acciones, banca, servicios financieros, instrumental financiera, reaseguros, gestora de fondos de inversión, emisión de participaciones preferentes de capital). También se incluyen en este grupo las sociedades cuya descripción de actividad es operativa, pero referida a operaciones en terceros países, por ejemplo: empresa de gestión de autopistas de Toronto, domiciliada en Holanda; compra venta de fuel domiciliada en Delaware; exploración y producción de hidrocarburos de Ecuador domiciliada en Islas Caimán; central de compras textiles domiciliada en Suiza.</w:t>
      </w:r>
    </w:p>
    <w:p w14:paraId="34BDDC32" w14:textId="77777777" w:rsidR="006F730C" w:rsidRPr="00BA566D" w:rsidRDefault="006F730C" w:rsidP="006F730C">
      <w:pPr>
        <w:suppressAutoHyphens/>
        <w:contextualSpacing/>
        <w:jc w:val="both"/>
        <w:rPr>
          <w:rFonts w:ascii="Open Sans" w:eastAsia="Times New Roman" w:hAnsi="Open Sans" w:cs="Times New Roman"/>
          <w:sz w:val="20"/>
          <w:lang w:val="es-ES" w:eastAsia="ar-SA"/>
        </w:rPr>
      </w:pPr>
    </w:p>
    <w:p w14:paraId="72B5413A" w14:textId="77777777" w:rsidR="006F730C" w:rsidRPr="00BA566D" w:rsidRDefault="006F730C" w:rsidP="006F730C">
      <w:pPr>
        <w:suppressAutoHyphens/>
        <w:contextualSpacing/>
        <w:jc w:val="both"/>
        <w:rPr>
          <w:rFonts w:ascii="Open Sans" w:eastAsia="Times New Roman" w:hAnsi="Open Sans" w:cs="Times New Roman"/>
          <w:sz w:val="20"/>
          <w:lang w:val="es-ES" w:eastAsia="ar-SA"/>
        </w:rPr>
      </w:pPr>
      <w:r w:rsidRPr="00BA566D">
        <w:rPr>
          <w:rFonts w:ascii="Open Sans" w:eastAsia="Times New Roman" w:hAnsi="Open Sans" w:cs="Arial"/>
          <w:sz w:val="20"/>
          <w:lang w:val="es-ES" w:eastAsia="ar-SA"/>
        </w:rPr>
        <w:t>Por la propia naturaleza del negocio bancario, es difícil diferenciar si la existencia de sociedades en países y territorios considerados paraísos fiscales, se debe a facilitar servicios bancarios a los residentes de estos territorios, o a estrategias de elusión fiscal propias o de sus clientes extranjeros. Por ello, y dada la ausencia de información detallada sobre las actividades que desarrollan estas sociedades, en el presente estudio se han incluido todas las sociedades del grupo con domicilio social en países y territorios considerados paraísos fiscales.</w:t>
      </w:r>
    </w:p>
    <w:p w14:paraId="2E9450D2" w14:textId="77777777" w:rsidR="006F730C" w:rsidRPr="00BA566D" w:rsidRDefault="006F730C" w:rsidP="006F730C">
      <w:pPr>
        <w:suppressAutoHyphens/>
        <w:contextualSpacing/>
        <w:jc w:val="both"/>
        <w:rPr>
          <w:rFonts w:ascii="Open Sans" w:eastAsia="Times New Roman" w:hAnsi="Open Sans" w:cs="Times New Roman"/>
          <w:sz w:val="20"/>
          <w:lang w:val="es-ES" w:eastAsia="ar-SA"/>
        </w:rPr>
      </w:pPr>
    </w:p>
    <w:p w14:paraId="0AED60C8" w14:textId="77777777" w:rsidR="006F730C" w:rsidRDefault="006F730C" w:rsidP="006F730C">
      <w:pPr>
        <w:suppressAutoHyphens/>
        <w:contextualSpacing/>
        <w:jc w:val="both"/>
        <w:rPr>
          <w:rFonts w:ascii="Open Sans" w:eastAsia="Times New Roman" w:hAnsi="Open Sans" w:cs="Times New Roman"/>
          <w:sz w:val="20"/>
          <w:lang w:val="es-ES" w:eastAsia="ar-SA"/>
        </w:rPr>
      </w:pPr>
      <w:r w:rsidRPr="00BA566D">
        <w:rPr>
          <w:rFonts w:ascii="Open Sans" w:eastAsia="Times New Roman" w:hAnsi="Open Sans" w:cs="Times New Roman"/>
          <w:sz w:val="20"/>
          <w:lang w:val="es-ES" w:eastAsia="ar-SA"/>
        </w:rPr>
        <w:t xml:space="preserve">A </w:t>
      </w:r>
      <w:r>
        <w:rPr>
          <w:rFonts w:ascii="Open Sans" w:eastAsia="Times New Roman" w:hAnsi="Open Sans" w:cs="Times New Roman"/>
          <w:sz w:val="20"/>
          <w:lang w:val="es-ES" w:eastAsia="ar-SA"/>
        </w:rPr>
        <w:t xml:space="preserve">diferencia de anteriores estudios sobre fiscalidad elaborados por el Observatorio de RSC, </w:t>
      </w:r>
      <w:r w:rsidRPr="00BA566D">
        <w:rPr>
          <w:rFonts w:ascii="Open Sans" w:eastAsia="Times New Roman" w:hAnsi="Open Sans" w:cs="Times New Roman"/>
          <w:sz w:val="20"/>
          <w:lang w:val="es-ES" w:eastAsia="ar-SA"/>
        </w:rPr>
        <w:t xml:space="preserve">se ha considerado </w:t>
      </w:r>
      <w:r>
        <w:rPr>
          <w:rFonts w:ascii="Open Sans" w:eastAsia="Times New Roman" w:hAnsi="Open Sans" w:cs="Times New Roman"/>
          <w:sz w:val="20"/>
          <w:lang w:val="es-ES" w:eastAsia="ar-SA"/>
        </w:rPr>
        <w:t xml:space="preserve">la presencia de sociedades dependientes en paraísos y nichos fiscales independientemente de actividad entendiendo que el realizar una actividad de tipo productivo o comercial no elimina el riesgo de elusión fiscal. </w:t>
      </w:r>
    </w:p>
    <w:p w14:paraId="6CF2A15B" w14:textId="77777777" w:rsidR="006F730C" w:rsidRDefault="006F730C" w:rsidP="0080258D">
      <w:pPr>
        <w:suppressAutoHyphens/>
        <w:contextualSpacing/>
        <w:jc w:val="both"/>
        <w:rPr>
          <w:rFonts w:ascii="Open Sans" w:eastAsia="Times New Roman" w:hAnsi="Open Sans" w:cs="Times New Roman"/>
          <w:sz w:val="20"/>
          <w:lang w:val="es-ES" w:eastAsia="ar-SA"/>
        </w:rPr>
      </w:pPr>
    </w:p>
    <w:p w14:paraId="59017914" w14:textId="77777777" w:rsidR="00504204" w:rsidRDefault="00504204" w:rsidP="00133623">
      <w:pPr>
        <w:suppressAutoHyphens/>
        <w:contextualSpacing/>
        <w:jc w:val="both"/>
        <w:rPr>
          <w:rFonts w:ascii="Open Sans" w:eastAsia="Times New Roman" w:hAnsi="Open Sans" w:cs="Times New Roman"/>
          <w:sz w:val="20"/>
          <w:lang w:val="es-ES" w:eastAsia="ar-SA"/>
        </w:rPr>
      </w:pPr>
    </w:p>
    <w:p w14:paraId="0C784115" w14:textId="77777777" w:rsidR="00504204" w:rsidRDefault="00504204" w:rsidP="00133623">
      <w:pPr>
        <w:suppressAutoHyphens/>
        <w:contextualSpacing/>
        <w:jc w:val="both"/>
        <w:rPr>
          <w:rFonts w:ascii="Open Sans" w:eastAsia="Times New Roman" w:hAnsi="Open Sans" w:cs="Times New Roman"/>
          <w:sz w:val="20"/>
          <w:lang w:val="es-ES" w:eastAsia="ar-SA"/>
        </w:rPr>
        <w:sectPr w:rsidR="00504204" w:rsidSect="00CA4DA8">
          <w:pgSz w:w="11900" w:h="16840"/>
          <w:pgMar w:top="1418" w:right="1701" w:bottom="1418" w:left="1701" w:header="708" w:footer="708" w:gutter="0"/>
          <w:cols w:space="708"/>
          <w:docGrid w:linePitch="360"/>
        </w:sectPr>
      </w:pPr>
    </w:p>
    <w:p w14:paraId="2D4BA044" w14:textId="2B95D643" w:rsidR="008457B3" w:rsidRDefault="003859F4" w:rsidP="00133623">
      <w:pPr>
        <w:suppressAutoHyphens/>
        <w:contextualSpacing/>
        <w:jc w:val="both"/>
        <w:rPr>
          <w:rFonts w:ascii="Open Sans" w:eastAsia="Times New Roman" w:hAnsi="Open Sans" w:cs="Times New Roman"/>
          <w:sz w:val="20"/>
          <w:lang w:val="es-ES" w:eastAsia="ar-SA"/>
        </w:rPr>
        <w:sectPr w:rsidR="008457B3" w:rsidSect="00CA4DA8">
          <w:headerReference w:type="default" r:id="rId43"/>
          <w:pgSz w:w="11900" w:h="16840"/>
          <w:pgMar w:top="0" w:right="0" w:bottom="0" w:left="0" w:header="708" w:footer="708" w:gutter="0"/>
          <w:cols w:space="708"/>
          <w:titlePg/>
          <w:docGrid w:linePitch="360"/>
        </w:sectPr>
      </w:pPr>
      <w:r>
        <w:rPr>
          <w:rFonts w:ascii="Open Sans" w:eastAsia="Times New Roman" w:hAnsi="Open Sans" w:cs="Times New Roman"/>
          <w:noProof/>
          <w:sz w:val="20"/>
          <w:lang w:val="es-ES"/>
        </w:rPr>
        <w:drawing>
          <wp:inline distT="0" distB="0" distL="0" distR="0" wp14:anchorId="1C6001AB" wp14:editId="6195AB87">
            <wp:extent cx="7556500" cy="10684336"/>
            <wp:effectExtent l="0" t="0" r="0" b="9525"/>
            <wp:docPr id="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7556500" cy="10684336"/>
                    </a:xfrm>
                    <a:prstGeom prst="rect">
                      <a:avLst/>
                    </a:prstGeom>
                    <a:noFill/>
                    <a:ln>
                      <a:noFill/>
                    </a:ln>
                  </pic:spPr>
                </pic:pic>
              </a:graphicData>
            </a:graphic>
          </wp:inline>
        </w:drawing>
      </w:r>
    </w:p>
    <w:p w14:paraId="514461CB" w14:textId="655D29FA" w:rsidR="00A112C7" w:rsidRPr="00141B49" w:rsidRDefault="00A4529A" w:rsidP="00141B49">
      <w:pPr>
        <w:pStyle w:val="Titulo1-InformeFinal"/>
      </w:pPr>
      <w:bookmarkStart w:id="17" w:name="_Toc254282531"/>
      <w:bookmarkStart w:id="18" w:name="_Toc354061511"/>
      <w:r w:rsidRPr="00D84C05">
        <w:t>3</w:t>
      </w:r>
      <w:r w:rsidR="00A112C7" w:rsidRPr="00D84C05">
        <w:t xml:space="preserve">. </w:t>
      </w:r>
      <w:r w:rsidR="00B525FF" w:rsidRPr="00D84C05">
        <w:t>RESULTADOS DEL ESTUDIO</w:t>
      </w:r>
      <w:bookmarkEnd w:id="17"/>
      <w:bookmarkEnd w:id="18"/>
    </w:p>
    <w:p w14:paraId="56992AD3" w14:textId="6D4C314D" w:rsidR="00B525FF" w:rsidRPr="00D84C05" w:rsidRDefault="00A4529A" w:rsidP="00141B49">
      <w:pPr>
        <w:pStyle w:val="Titulo2-InformeFinal"/>
        <w:rPr>
          <w:i/>
        </w:rPr>
      </w:pPr>
      <w:bookmarkStart w:id="19" w:name="_Toc254282532"/>
      <w:bookmarkStart w:id="20" w:name="_Toc354061512"/>
      <w:r w:rsidRPr="00D84C05">
        <w:t>3</w:t>
      </w:r>
      <w:r w:rsidR="00A112C7" w:rsidRPr="00D84C05">
        <w:t xml:space="preserve">.1. </w:t>
      </w:r>
      <w:r w:rsidR="00B525FF" w:rsidRPr="00D84C05">
        <w:t>Resultados generales</w:t>
      </w:r>
      <w:bookmarkEnd w:id="19"/>
      <w:bookmarkEnd w:id="20"/>
    </w:p>
    <w:p w14:paraId="763E1179" w14:textId="77777777" w:rsidR="00FB3AC6" w:rsidRPr="00D84C05" w:rsidRDefault="00FB3AC6" w:rsidP="00FB3AC6">
      <w:pPr>
        <w:tabs>
          <w:tab w:val="left" w:pos="1656"/>
        </w:tabs>
        <w:rPr>
          <w:rFonts w:ascii="Open Sans" w:hAnsi="Open Sans" w:cs="Arial"/>
          <w:szCs w:val="22"/>
        </w:rPr>
      </w:pPr>
    </w:p>
    <w:p w14:paraId="40A552AF" w14:textId="77777777" w:rsidR="007C17E1" w:rsidRDefault="007C17E1" w:rsidP="007C17E1">
      <w:pPr>
        <w:tabs>
          <w:tab w:val="left" w:pos="1656"/>
        </w:tabs>
        <w:jc w:val="both"/>
        <w:rPr>
          <w:rFonts w:ascii="Open Sans" w:hAnsi="Open Sans" w:cs="Arial"/>
          <w:sz w:val="20"/>
          <w:szCs w:val="20"/>
        </w:rPr>
      </w:pPr>
      <w:r>
        <w:rPr>
          <w:rFonts w:ascii="Open Sans" w:hAnsi="Open Sans" w:cs="Arial"/>
          <w:sz w:val="20"/>
          <w:szCs w:val="20"/>
        </w:rPr>
        <w:t>El</w:t>
      </w:r>
      <w:r w:rsidRPr="00D84C05">
        <w:rPr>
          <w:rFonts w:ascii="Open Sans" w:hAnsi="Open Sans" w:cs="Arial"/>
          <w:sz w:val="20"/>
          <w:szCs w:val="20"/>
        </w:rPr>
        <w:t xml:space="preserve"> </w:t>
      </w:r>
      <w:r>
        <w:rPr>
          <w:rFonts w:ascii="Open Sans" w:hAnsi="Open Sans" w:cs="Arial"/>
          <w:sz w:val="20"/>
          <w:szCs w:val="20"/>
        </w:rPr>
        <w:t xml:space="preserve">estudio </w:t>
      </w:r>
      <w:r w:rsidRPr="00D84C05">
        <w:rPr>
          <w:rFonts w:ascii="Open Sans" w:hAnsi="Open Sans" w:cs="Arial"/>
          <w:sz w:val="20"/>
          <w:szCs w:val="20"/>
        </w:rPr>
        <w:t xml:space="preserve"> del ejercicio 201</w:t>
      </w:r>
      <w:r>
        <w:rPr>
          <w:rFonts w:ascii="Open Sans" w:hAnsi="Open Sans" w:cs="Arial"/>
          <w:sz w:val="20"/>
          <w:szCs w:val="20"/>
        </w:rPr>
        <w:t>5 sobre la calidad de la información en las empresas</w:t>
      </w:r>
      <w:r w:rsidRPr="00D84C05">
        <w:rPr>
          <w:rFonts w:ascii="Open Sans" w:hAnsi="Open Sans" w:cs="Arial"/>
          <w:sz w:val="20"/>
          <w:szCs w:val="20"/>
        </w:rPr>
        <w:t xml:space="preserve"> </w:t>
      </w:r>
      <w:r>
        <w:rPr>
          <w:rFonts w:ascii="Open Sans" w:hAnsi="Open Sans" w:cs="Arial"/>
          <w:sz w:val="20"/>
          <w:szCs w:val="20"/>
        </w:rPr>
        <w:t xml:space="preserve">del selectivo Ibex 35 se ha centrado en es el análisis de la fiscalidad desde una perspectiva de responsabilidad social. Para ello se ha desarrollado una nueva metodología que incluye nuevos indicadores y sistemas de medición diferentes a los empleados en años anteriores (para más información ver apartado metodología). </w:t>
      </w:r>
      <w:r w:rsidRPr="00D84C05">
        <w:rPr>
          <w:rFonts w:ascii="Open Sans" w:hAnsi="Open Sans" w:cs="Arial"/>
          <w:sz w:val="20"/>
          <w:szCs w:val="20"/>
        </w:rPr>
        <w:t xml:space="preserve">La nueva metodología viene motivada, tras la </w:t>
      </w:r>
      <w:r>
        <w:rPr>
          <w:rFonts w:ascii="Open Sans" w:hAnsi="Open Sans" w:cs="Arial"/>
          <w:sz w:val="20"/>
          <w:szCs w:val="20"/>
        </w:rPr>
        <w:t xml:space="preserve">experiencia previa de 10 años, </w:t>
      </w:r>
      <w:r w:rsidRPr="00D84C05">
        <w:rPr>
          <w:rFonts w:ascii="Open Sans" w:hAnsi="Open Sans" w:cs="Arial"/>
          <w:sz w:val="20"/>
          <w:szCs w:val="20"/>
        </w:rPr>
        <w:t xml:space="preserve">por la identificación de los ámbitos clave en la implementación de políticas y sistemas de gestión de responsabilidad </w:t>
      </w:r>
      <w:r>
        <w:rPr>
          <w:rFonts w:ascii="Open Sans" w:hAnsi="Open Sans" w:cs="Arial"/>
          <w:sz w:val="20"/>
          <w:szCs w:val="20"/>
        </w:rPr>
        <w:t>fiscal, por el estudio de iniciativas nacionales e internacionales en relación a la información fiscal y por las aportaciones a partir de entrevistas mantenidas con expertos académicos, de la empresa, de ONG, de instituciones internacionales, de grandes consultoras y del servicio de inspección de la agencia tributaria española</w:t>
      </w:r>
      <w:r w:rsidRPr="00D84C05">
        <w:rPr>
          <w:rFonts w:ascii="Open Sans" w:hAnsi="Open Sans" w:cs="Arial"/>
          <w:sz w:val="20"/>
          <w:szCs w:val="20"/>
        </w:rPr>
        <w:t>. Por tanto</w:t>
      </w:r>
      <w:r>
        <w:rPr>
          <w:rFonts w:ascii="Open Sans" w:hAnsi="Open Sans" w:cs="Arial"/>
          <w:sz w:val="20"/>
          <w:szCs w:val="20"/>
        </w:rPr>
        <w:t>,</w:t>
      </w:r>
      <w:r w:rsidRPr="00D84C05">
        <w:rPr>
          <w:rFonts w:ascii="Open Sans" w:hAnsi="Open Sans" w:cs="Arial"/>
          <w:sz w:val="20"/>
          <w:szCs w:val="20"/>
        </w:rPr>
        <w:t xml:space="preserve"> la metodología </w:t>
      </w:r>
      <w:r>
        <w:rPr>
          <w:rFonts w:ascii="Open Sans" w:hAnsi="Open Sans" w:cs="Arial"/>
          <w:sz w:val="20"/>
          <w:szCs w:val="20"/>
        </w:rPr>
        <w:t xml:space="preserve">empleada en el presente estudio </w:t>
      </w:r>
      <w:r w:rsidRPr="00D84C05">
        <w:rPr>
          <w:rFonts w:ascii="Open Sans" w:hAnsi="Open Sans" w:cs="Arial"/>
          <w:sz w:val="20"/>
          <w:szCs w:val="20"/>
        </w:rPr>
        <w:t xml:space="preserve">se ha centrado en el análisis de aquellas áreas que desde una perspectiva de </w:t>
      </w:r>
      <w:r>
        <w:rPr>
          <w:rFonts w:ascii="Open Sans" w:hAnsi="Open Sans" w:cs="Arial"/>
          <w:sz w:val="20"/>
          <w:szCs w:val="20"/>
        </w:rPr>
        <w:t xml:space="preserve">fiscalidad responsable </w:t>
      </w:r>
      <w:r w:rsidRPr="00D84C05">
        <w:rPr>
          <w:rFonts w:ascii="Open Sans" w:hAnsi="Open Sans" w:cs="Arial"/>
          <w:sz w:val="20"/>
          <w:szCs w:val="20"/>
        </w:rPr>
        <w:t xml:space="preserve"> son fundamentales para identificar si las empresas, además de compromisos</w:t>
      </w:r>
      <w:r>
        <w:rPr>
          <w:rFonts w:ascii="Open Sans" w:hAnsi="Open Sans" w:cs="Arial"/>
          <w:sz w:val="20"/>
          <w:szCs w:val="20"/>
        </w:rPr>
        <w:t>,</w:t>
      </w:r>
      <w:r w:rsidRPr="00D84C05">
        <w:rPr>
          <w:rFonts w:ascii="Open Sans" w:hAnsi="Open Sans" w:cs="Arial"/>
          <w:sz w:val="20"/>
          <w:szCs w:val="20"/>
        </w:rPr>
        <w:t xml:space="preserve"> muestran un desempeño que evidencie la puesta en marcha de políticas y sistemas de gestión. </w:t>
      </w:r>
    </w:p>
    <w:p w14:paraId="2161C9C9" w14:textId="77777777" w:rsidR="007C17E1" w:rsidRPr="00D84C05" w:rsidRDefault="007C17E1" w:rsidP="007C17E1">
      <w:pPr>
        <w:tabs>
          <w:tab w:val="left" w:pos="1656"/>
        </w:tabs>
        <w:jc w:val="both"/>
        <w:rPr>
          <w:rFonts w:ascii="Open Sans" w:hAnsi="Open Sans" w:cs="Arial"/>
          <w:sz w:val="20"/>
          <w:szCs w:val="20"/>
        </w:rPr>
      </w:pPr>
    </w:p>
    <w:p w14:paraId="3F86DF10" w14:textId="77777777" w:rsidR="007C17E1" w:rsidRPr="00D84C05" w:rsidRDefault="007C17E1" w:rsidP="007C17E1">
      <w:pPr>
        <w:tabs>
          <w:tab w:val="left" w:pos="1656"/>
        </w:tabs>
        <w:jc w:val="both"/>
        <w:rPr>
          <w:rFonts w:ascii="Open Sans" w:hAnsi="Open Sans" w:cs="Arial"/>
          <w:sz w:val="20"/>
          <w:szCs w:val="20"/>
        </w:rPr>
      </w:pPr>
      <w:r>
        <w:rPr>
          <w:rFonts w:ascii="Open Sans" w:hAnsi="Open Sans" w:cs="Arial"/>
          <w:sz w:val="20"/>
          <w:szCs w:val="20"/>
        </w:rPr>
        <w:t>S</w:t>
      </w:r>
      <w:r w:rsidRPr="00D84C05">
        <w:rPr>
          <w:rFonts w:ascii="Open Sans" w:hAnsi="Open Sans" w:cs="Arial"/>
          <w:sz w:val="20"/>
          <w:szCs w:val="20"/>
        </w:rPr>
        <w:t xml:space="preserve">e han analizado los siguientes ámbitos de la </w:t>
      </w:r>
      <w:r>
        <w:rPr>
          <w:rFonts w:ascii="Open Sans" w:hAnsi="Open Sans" w:cs="Arial"/>
          <w:sz w:val="20"/>
          <w:szCs w:val="20"/>
        </w:rPr>
        <w:t>fiscalidad responsable</w:t>
      </w:r>
      <w:r w:rsidRPr="00D84C05">
        <w:rPr>
          <w:rFonts w:ascii="Open Sans" w:hAnsi="Open Sans" w:cs="Arial"/>
          <w:sz w:val="20"/>
          <w:szCs w:val="20"/>
        </w:rPr>
        <w:t xml:space="preserve">: </w:t>
      </w:r>
    </w:p>
    <w:p w14:paraId="342847BF" w14:textId="77777777" w:rsidR="007C17E1" w:rsidRPr="00691010" w:rsidRDefault="007C17E1" w:rsidP="007C17E1">
      <w:pPr>
        <w:tabs>
          <w:tab w:val="left" w:pos="1656"/>
        </w:tabs>
        <w:jc w:val="both"/>
        <w:rPr>
          <w:rFonts w:ascii="Open Sans" w:hAnsi="Open Sans" w:cs="Arial"/>
          <w:sz w:val="20"/>
          <w:szCs w:val="20"/>
        </w:rPr>
      </w:pPr>
    </w:p>
    <w:tbl>
      <w:tblPr>
        <w:tblW w:w="5280" w:type="dxa"/>
        <w:tblInd w:w="65" w:type="dxa"/>
        <w:tblCellMar>
          <w:left w:w="70" w:type="dxa"/>
          <w:right w:w="70" w:type="dxa"/>
        </w:tblCellMar>
        <w:tblLook w:val="04A0" w:firstRow="1" w:lastRow="0" w:firstColumn="1" w:lastColumn="0" w:noHBand="0" w:noVBand="1"/>
      </w:tblPr>
      <w:tblGrid>
        <w:gridCol w:w="5280"/>
      </w:tblGrid>
      <w:tr w:rsidR="007C17E1" w:rsidRPr="00691010" w14:paraId="4AF34D8F" w14:textId="77777777" w:rsidTr="008434D6">
        <w:trPr>
          <w:trHeight w:val="315"/>
        </w:trPr>
        <w:tc>
          <w:tcPr>
            <w:tcW w:w="5280" w:type="dxa"/>
            <w:shd w:val="clear" w:color="auto" w:fill="auto"/>
            <w:noWrap/>
            <w:vAlign w:val="bottom"/>
            <w:hideMark/>
          </w:tcPr>
          <w:p w14:paraId="0855498D" w14:textId="77777777" w:rsidR="007C17E1" w:rsidRPr="00691010" w:rsidRDefault="007C17E1"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Política/estrategia fiscal</w:t>
            </w:r>
          </w:p>
        </w:tc>
      </w:tr>
      <w:tr w:rsidR="007C17E1" w:rsidRPr="00691010" w14:paraId="7B1D1F20" w14:textId="77777777" w:rsidTr="008434D6">
        <w:trPr>
          <w:trHeight w:val="315"/>
        </w:trPr>
        <w:tc>
          <w:tcPr>
            <w:tcW w:w="5280" w:type="dxa"/>
            <w:shd w:val="clear" w:color="auto" w:fill="auto"/>
            <w:noWrap/>
            <w:vAlign w:val="bottom"/>
            <w:hideMark/>
          </w:tcPr>
          <w:p w14:paraId="72F34EA6" w14:textId="77777777" w:rsidR="007C17E1" w:rsidRPr="00691010" w:rsidRDefault="007C17E1"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Paraísos y nichos fiscales</w:t>
            </w:r>
          </w:p>
        </w:tc>
      </w:tr>
      <w:tr w:rsidR="007C17E1" w:rsidRPr="00691010" w14:paraId="60322500" w14:textId="77777777" w:rsidTr="008434D6">
        <w:trPr>
          <w:trHeight w:val="315"/>
        </w:trPr>
        <w:tc>
          <w:tcPr>
            <w:tcW w:w="5280" w:type="dxa"/>
            <w:shd w:val="clear" w:color="auto" w:fill="auto"/>
            <w:noWrap/>
            <w:vAlign w:val="bottom"/>
            <w:hideMark/>
          </w:tcPr>
          <w:p w14:paraId="27401353" w14:textId="77777777" w:rsidR="007C17E1" w:rsidRPr="00691010" w:rsidRDefault="007C17E1"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Impuestos e incentivos</w:t>
            </w:r>
          </w:p>
        </w:tc>
      </w:tr>
      <w:tr w:rsidR="007C17E1" w:rsidRPr="00691010" w14:paraId="02E85BCD" w14:textId="77777777" w:rsidTr="008434D6">
        <w:trPr>
          <w:trHeight w:val="315"/>
        </w:trPr>
        <w:tc>
          <w:tcPr>
            <w:tcW w:w="5280" w:type="dxa"/>
            <w:shd w:val="clear" w:color="auto" w:fill="auto"/>
            <w:noWrap/>
            <w:vAlign w:val="bottom"/>
            <w:hideMark/>
          </w:tcPr>
          <w:p w14:paraId="7EC266A2" w14:textId="77777777" w:rsidR="007C17E1" w:rsidRPr="00691010" w:rsidRDefault="007C17E1"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Relación con administraciones tributarias</w:t>
            </w:r>
          </w:p>
        </w:tc>
      </w:tr>
      <w:tr w:rsidR="007C17E1" w:rsidRPr="00691010" w14:paraId="2540C4E7" w14:textId="77777777" w:rsidTr="008434D6">
        <w:trPr>
          <w:trHeight w:val="330"/>
        </w:trPr>
        <w:tc>
          <w:tcPr>
            <w:tcW w:w="5280" w:type="dxa"/>
            <w:shd w:val="clear" w:color="auto" w:fill="auto"/>
            <w:noWrap/>
            <w:vAlign w:val="bottom"/>
            <w:hideMark/>
          </w:tcPr>
          <w:p w14:paraId="27168032" w14:textId="77777777" w:rsidR="007C17E1" w:rsidRPr="00691010" w:rsidRDefault="007C17E1" w:rsidP="000B70C9">
            <w:pPr>
              <w:pStyle w:val="Prrafodelista"/>
              <w:numPr>
                <w:ilvl w:val="0"/>
                <w:numId w:val="101"/>
              </w:numPr>
              <w:tabs>
                <w:tab w:val="left" w:pos="1656"/>
              </w:tabs>
              <w:jc w:val="both"/>
              <w:rPr>
                <w:rFonts w:ascii="Open Sans" w:hAnsi="Open Sans" w:cs="Arial"/>
                <w:sz w:val="20"/>
                <w:szCs w:val="20"/>
              </w:rPr>
            </w:pPr>
            <w:r>
              <w:rPr>
                <w:rFonts w:ascii="Open Sans" w:hAnsi="Open Sans" w:cs="Arial"/>
                <w:sz w:val="20"/>
                <w:szCs w:val="20"/>
              </w:rPr>
              <w:t>Operativa de la empresa</w:t>
            </w:r>
          </w:p>
        </w:tc>
      </w:tr>
    </w:tbl>
    <w:p w14:paraId="4E44E0D6" w14:textId="77777777" w:rsidR="007C17E1" w:rsidRPr="00D84C05" w:rsidRDefault="007C17E1" w:rsidP="007C17E1">
      <w:pPr>
        <w:tabs>
          <w:tab w:val="left" w:pos="1656"/>
        </w:tabs>
        <w:jc w:val="both"/>
        <w:rPr>
          <w:rFonts w:ascii="Open Sans" w:hAnsi="Open Sans" w:cs="Arial"/>
          <w:sz w:val="20"/>
          <w:szCs w:val="20"/>
        </w:rPr>
      </w:pPr>
    </w:p>
    <w:p w14:paraId="43725459" w14:textId="77777777" w:rsidR="007C17E1" w:rsidRPr="00D84C05" w:rsidRDefault="007C17E1" w:rsidP="007C17E1">
      <w:pPr>
        <w:tabs>
          <w:tab w:val="left" w:pos="1656"/>
        </w:tabs>
        <w:jc w:val="both"/>
        <w:rPr>
          <w:rFonts w:ascii="Open Sans" w:hAnsi="Open Sans" w:cs="Arial"/>
          <w:sz w:val="20"/>
          <w:szCs w:val="20"/>
        </w:rPr>
      </w:pPr>
      <w:r>
        <w:rPr>
          <w:rFonts w:ascii="Open Sans" w:hAnsi="Open Sans" w:cs="Arial"/>
          <w:sz w:val="20"/>
          <w:szCs w:val="20"/>
        </w:rPr>
        <w:t>Pese a que durante doce ejercicios el observatorio ha realizado un análisis sobre la calidad de la información en RSC de las empresas del Ibex 35 en el que se incluye un análisis de la fiscalidad</w:t>
      </w:r>
      <w:r w:rsidRPr="00D84C05">
        <w:rPr>
          <w:rFonts w:ascii="Open Sans" w:hAnsi="Open Sans" w:cs="Arial"/>
          <w:sz w:val="20"/>
          <w:szCs w:val="20"/>
        </w:rPr>
        <w:t xml:space="preserve">, </w:t>
      </w:r>
      <w:r>
        <w:rPr>
          <w:rFonts w:ascii="Open Sans" w:hAnsi="Open Sans" w:cs="Arial"/>
          <w:sz w:val="20"/>
          <w:szCs w:val="20"/>
        </w:rPr>
        <w:t xml:space="preserve">la presentación de los resultados del presente informe no </w:t>
      </w:r>
      <w:r w:rsidRPr="00762545">
        <w:rPr>
          <w:rFonts w:ascii="Open Sans" w:hAnsi="Open Sans" w:cs="Arial"/>
          <w:sz w:val="20"/>
          <w:szCs w:val="20"/>
        </w:rPr>
        <w:t xml:space="preserve">se aportan comparados </w:t>
      </w:r>
      <w:r>
        <w:rPr>
          <w:rFonts w:ascii="Open Sans" w:hAnsi="Open Sans" w:cs="Arial"/>
          <w:sz w:val="20"/>
          <w:szCs w:val="20"/>
        </w:rPr>
        <w:t>con ejercicios anteriores</w:t>
      </w:r>
      <w:r w:rsidRPr="00762545">
        <w:rPr>
          <w:rFonts w:ascii="Open Sans" w:hAnsi="Open Sans" w:cs="Arial"/>
          <w:sz w:val="20"/>
          <w:szCs w:val="20"/>
        </w:rPr>
        <w:t>.</w:t>
      </w:r>
      <w:r>
        <w:rPr>
          <w:rFonts w:ascii="Open Sans" w:hAnsi="Open Sans" w:cs="Arial"/>
          <w:sz w:val="20"/>
          <w:szCs w:val="20"/>
        </w:rPr>
        <w:t xml:space="preserve"> Esto es así debido al cambio metodológico introducido en el análisis, por lo que </w:t>
      </w:r>
      <w:r w:rsidRPr="00D35A1D">
        <w:rPr>
          <w:rFonts w:ascii="Open Sans" w:hAnsi="Open Sans" w:cs="Arial"/>
          <w:sz w:val="20"/>
          <w:szCs w:val="20"/>
        </w:rPr>
        <w:t xml:space="preserve">la observación de evoluciones y tendencias de la calidad de la información sobre los diferentes aspectos de la </w:t>
      </w:r>
      <w:r>
        <w:rPr>
          <w:rFonts w:ascii="Open Sans" w:hAnsi="Open Sans" w:cs="Arial"/>
          <w:sz w:val="20"/>
          <w:szCs w:val="20"/>
        </w:rPr>
        <w:t xml:space="preserve">fiscalidad </w:t>
      </w:r>
      <w:r w:rsidRPr="00D35A1D">
        <w:rPr>
          <w:rFonts w:ascii="Open Sans" w:hAnsi="Open Sans" w:cs="Arial"/>
          <w:sz w:val="20"/>
          <w:szCs w:val="20"/>
        </w:rPr>
        <w:t>analizados se rompe</w:t>
      </w:r>
      <w:r>
        <w:rPr>
          <w:rFonts w:ascii="Open Sans" w:hAnsi="Open Sans" w:cs="Arial"/>
          <w:sz w:val="20"/>
          <w:szCs w:val="20"/>
        </w:rPr>
        <w:t xml:space="preserve"> con respecto a los nueve estudios previos. </w:t>
      </w:r>
      <w:r w:rsidRPr="00D84C05">
        <w:rPr>
          <w:rFonts w:ascii="Open Sans" w:hAnsi="Open Sans" w:cs="Arial"/>
          <w:sz w:val="20"/>
          <w:szCs w:val="20"/>
        </w:rPr>
        <w:t>Así una puntuación menor o mayor tanto a nivel global como a nivel de empresa no indica una disminución o una mejoría en la calidad de la información con respecto a</w:t>
      </w:r>
      <w:r>
        <w:rPr>
          <w:rFonts w:ascii="Open Sans" w:hAnsi="Open Sans" w:cs="Arial"/>
          <w:sz w:val="20"/>
          <w:szCs w:val="20"/>
        </w:rPr>
        <w:t xml:space="preserve"> ejercicios anteriores</w:t>
      </w:r>
      <w:r w:rsidRPr="00D84C05">
        <w:rPr>
          <w:rFonts w:ascii="Open Sans" w:hAnsi="Open Sans" w:cs="Arial"/>
          <w:sz w:val="20"/>
          <w:szCs w:val="20"/>
        </w:rPr>
        <w:t>.</w:t>
      </w:r>
      <w:r>
        <w:rPr>
          <w:rFonts w:ascii="Open Sans" w:hAnsi="Open Sans" w:cs="Arial"/>
          <w:sz w:val="20"/>
          <w:szCs w:val="20"/>
        </w:rPr>
        <w:t xml:space="preserve"> </w:t>
      </w:r>
    </w:p>
    <w:p w14:paraId="141AB5AC" w14:textId="77777777" w:rsidR="007C17E1" w:rsidRPr="00D84C05" w:rsidRDefault="007C17E1" w:rsidP="007C17E1">
      <w:pPr>
        <w:tabs>
          <w:tab w:val="left" w:pos="1656"/>
        </w:tabs>
        <w:jc w:val="both"/>
        <w:rPr>
          <w:rFonts w:ascii="Open Sans" w:hAnsi="Open Sans" w:cs="Arial"/>
          <w:sz w:val="20"/>
          <w:szCs w:val="20"/>
        </w:rPr>
      </w:pPr>
    </w:p>
    <w:p w14:paraId="5FB84B11" w14:textId="77777777" w:rsidR="007C17E1" w:rsidRPr="00762545" w:rsidRDefault="007C17E1" w:rsidP="007C17E1">
      <w:pPr>
        <w:tabs>
          <w:tab w:val="left" w:pos="1656"/>
        </w:tabs>
        <w:jc w:val="both"/>
        <w:rPr>
          <w:rFonts w:ascii="Open Sans" w:hAnsi="Open Sans" w:cs="Arial"/>
          <w:b/>
          <w:sz w:val="20"/>
          <w:szCs w:val="20"/>
        </w:rPr>
      </w:pPr>
      <w:r w:rsidRPr="00A748AA">
        <w:rPr>
          <w:rFonts w:ascii="Open Sans" w:hAnsi="Open Sans" w:cs="Arial"/>
          <w:sz w:val="20"/>
          <w:szCs w:val="20"/>
        </w:rPr>
        <w:t>Los datos cuantitativos establecen el grado de calidad de la información al igual que el año anterior y en este sentido la escala de valoración sigue siendo la misma</w:t>
      </w:r>
      <w:r>
        <w:rPr>
          <w:rFonts w:ascii="Open Sans" w:hAnsi="Open Sans" w:cs="Arial"/>
          <w:sz w:val="20"/>
          <w:szCs w:val="20"/>
        </w:rPr>
        <w:t xml:space="preserve"> de 0-3</w:t>
      </w:r>
      <w:r w:rsidRPr="00365C3B">
        <w:rPr>
          <w:rFonts w:ascii="Open Sans" w:hAnsi="Open Sans" w:cs="Arial"/>
          <w:sz w:val="20"/>
          <w:szCs w:val="20"/>
        </w:rPr>
        <w:t xml:space="preserve">. </w:t>
      </w:r>
      <w:r w:rsidRPr="006E53BE">
        <w:rPr>
          <w:rFonts w:ascii="Open Sans" w:hAnsi="Open Sans" w:cs="Arial"/>
          <w:b/>
          <w:sz w:val="20"/>
          <w:szCs w:val="20"/>
        </w:rPr>
        <w:t>De las 35 empresas que forman parte del alcance del presente estudio, seis de ellas no se puede considerar que presenten información relevante sobre aspectos de RSC en los documentos analizados.</w:t>
      </w:r>
      <w:r w:rsidRPr="006E53BE">
        <w:rPr>
          <w:rFonts w:ascii="Open Sans" w:hAnsi="Open Sans" w:cs="Arial"/>
          <w:sz w:val="20"/>
          <w:szCs w:val="20"/>
        </w:rPr>
        <w:t xml:space="preserve"> Estas  empresas ocupan las últimas 6 posiciones en el listado de puntuaciones obtenidas en Contenidos, no alcanzando en ninguno de los casos la puntuación de 0,8. Estas empresas son </w:t>
      </w:r>
      <w:r w:rsidRPr="006E53BE">
        <w:rPr>
          <w:rFonts w:ascii="Open Sans" w:hAnsi="Open Sans" w:cs="Arial"/>
          <w:b/>
          <w:sz w:val="20"/>
          <w:szCs w:val="20"/>
        </w:rPr>
        <w:t>Grifols, Jazztel, Técnicas Reunidas, DIA, ACS, Amadeus.</w:t>
      </w:r>
    </w:p>
    <w:p w14:paraId="3C24C53C" w14:textId="77777777" w:rsidR="007C17E1" w:rsidRPr="00D84C05" w:rsidRDefault="007C17E1" w:rsidP="007C17E1">
      <w:pPr>
        <w:tabs>
          <w:tab w:val="left" w:pos="1656"/>
        </w:tabs>
        <w:jc w:val="both"/>
        <w:rPr>
          <w:rFonts w:ascii="Open Sans" w:hAnsi="Open Sans" w:cs="Arial"/>
          <w:sz w:val="20"/>
          <w:szCs w:val="20"/>
        </w:rPr>
      </w:pPr>
    </w:p>
    <w:p w14:paraId="69AF6483" w14:textId="77777777" w:rsidR="007C17E1" w:rsidRPr="00D84C05" w:rsidRDefault="007C17E1" w:rsidP="007C17E1">
      <w:pPr>
        <w:jc w:val="both"/>
        <w:rPr>
          <w:rFonts w:ascii="Open Sans" w:hAnsi="Open Sans" w:cs="Arial"/>
          <w:sz w:val="20"/>
          <w:szCs w:val="20"/>
        </w:rPr>
      </w:pPr>
      <w:r w:rsidRPr="00D84C05">
        <w:rPr>
          <w:rFonts w:ascii="Open Sans" w:hAnsi="Open Sans" w:cs="Arial"/>
          <w:sz w:val="20"/>
          <w:szCs w:val="20"/>
        </w:rPr>
        <w:t>Es necesario insistir en que las empresas que no asumen ningún tipo de compromiso público no dejan de ostentar una responsabilidad respecto al impacto de sus operaciones</w:t>
      </w:r>
      <w:r>
        <w:rPr>
          <w:rFonts w:ascii="Open Sans" w:hAnsi="Open Sans" w:cs="Arial"/>
          <w:sz w:val="20"/>
          <w:szCs w:val="20"/>
        </w:rPr>
        <w:t xml:space="preserve"> en el ámbito fiscal</w:t>
      </w:r>
      <w:r w:rsidRPr="00D84C05">
        <w:rPr>
          <w:rFonts w:ascii="Open Sans" w:hAnsi="Open Sans" w:cs="Arial"/>
          <w:sz w:val="20"/>
          <w:szCs w:val="20"/>
        </w:rPr>
        <w:t xml:space="preserve">. Se considera que </w:t>
      </w:r>
      <w:r>
        <w:rPr>
          <w:rFonts w:ascii="Open Sans" w:hAnsi="Open Sans" w:cs="Arial"/>
          <w:sz w:val="20"/>
          <w:szCs w:val="20"/>
        </w:rPr>
        <w:t>las empresas</w:t>
      </w:r>
      <w:r w:rsidRPr="00D84C05">
        <w:rPr>
          <w:rFonts w:ascii="Open Sans" w:hAnsi="Open Sans" w:cs="Arial"/>
          <w:sz w:val="20"/>
          <w:szCs w:val="20"/>
        </w:rPr>
        <w:t xml:space="preserve"> que ni siquiera comunican la asunción de compromisos </w:t>
      </w:r>
      <w:r>
        <w:rPr>
          <w:rFonts w:ascii="Open Sans" w:hAnsi="Open Sans" w:cs="Arial"/>
          <w:sz w:val="20"/>
          <w:szCs w:val="20"/>
        </w:rPr>
        <w:t>en esta materia</w:t>
      </w:r>
      <w:r w:rsidRPr="00D84C05">
        <w:rPr>
          <w:rFonts w:ascii="Open Sans" w:hAnsi="Open Sans" w:cs="Arial"/>
          <w:sz w:val="20"/>
          <w:szCs w:val="20"/>
        </w:rPr>
        <w:t>, se encuentran en un estadio muy primario d</w:t>
      </w:r>
      <w:r>
        <w:rPr>
          <w:rFonts w:ascii="Open Sans" w:hAnsi="Open Sans" w:cs="Arial"/>
          <w:sz w:val="20"/>
          <w:szCs w:val="20"/>
        </w:rPr>
        <w:t>e evolución en la gestión de sus riesgos fiscales desde una perspectiva de RSC y de rendición de cuentas</w:t>
      </w:r>
      <w:r w:rsidRPr="00D84C05">
        <w:rPr>
          <w:rFonts w:ascii="Open Sans" w:hAnsi="Open Sans" w:cs="Arial"/>
          <w:sz w:val="20"/>
          <w:szCs w:val="20"/>
        </w:rPr>
        <w:t>.</w:t>
      </w:r>
    </w:p>
    <w:p w14:paraId="4239CA9B" w14:textId="55051FE4" w:rsidR="006F730C" w:rsidRPr="00D84C05" w:rsidRDefault="006F730C" w:rsidP="006F730C">
      <w:pPr>
        <w:jc w:val="both"/>
        <w:rPr>
          <w:rFonts w:ascii="Open Sans" w:hAnsi="Open Sans" w:cs="Arial"/>
          <w:sz w:val="20"/>
          <w:szCs w:val="20"/>
        </w:rPr>
      </w:pPr>
    </w:p>
    <w:p w14:paraId="1E5A88DD" w14:textId="77777777" w:rsidR="006D567B" w:rsidRDefault="006D567B">
      <w:pPr>
        <w:rPr>
          <w:rFonts w:ascii="Open Sans" w:hAnsi="Open Sans" w:cs="Arial"/>
          <w:b/>
          <w:sz w:val="22"/>
          <w:szCs w:val="22"/>
        </w:rPr>
      </w:pPr>
    </w:p>
    <w:p w14:paraId="769D16FF" w14:textId="77777777" w:rsidR="005B037B" w:rsidRDefault="005B037B" w:rsidP="005B037B">
      <w:pPr>
        <w:jc w:val="both"/>
        <w:rPr>
          <w:rFonts w:ascii="Open Sans" w:hAnsi="Open Sans" w:cs="Arial"/>
          <w:b/>
          <w:sz w:val="22"/>
          <w:szCs w:val="22"/>
        </w:rPr>
      </w:pPr>
    </w:p>
    <w:p w14:paraId="63B608CD" w14:textId="77777777" w:rsidR="006F730C" w:rsidRPr="00D84C05" w:rsidRDefault="006F730C" w:rsidP="006F730C">
      <w:pPr>
        <w:rPr>
          <w:rFonts w:ascii="Open Sans" w:hAnsi="Open Sans" w:cs="Arial"/>
          <w:b/>
          <w:sz w:val="22"/>
          <w:szCs w:val="22"/>
        </w:rPr>
      </w:pPr>
      <w:r w:rsidRPr="00D84C05">
        <w:rPr>
          <w:rFonts w:ascii="Open Sans" w:hAnsi="Open Sans" w:cs="Arial"/>
          <w:b/>
          <w:sz w:val="22"/>
          <w:szCs w:val="22"/>
        </w:rPr>
        <w:t>RESULTADOS AGREGADOS</w:t>
      </w:r>
    </w:p>
    <w:p w14:paraId="597C8C4B" w14:textId="77777777" w:rsidR="006F730C" w:rsidRPr="00D84C05" w:rsidRDefault="006F730C" w:rsidP="006F730C">
      <w:pPr>
        <w:rPr>
          <w:rFonts w:ascii="Open Sans" w:hAnsi="Open Sans" w:cs="Arial"/>
          <w:szCs w:val="20"/>
        </w:rPr>
      </w:pPr>
    </w:p>
    <w:p w14:paraId="72BFE927" w14:textId="433F1612" w:rsidR="007C17E1" w:rsidRPr="00762545" w:rsidRDefault="007C17E1" w:rsidP="007C17E1">
      <w:pPr>
        <w:jc w:val="both"/>
        <w:rPr>
          <w:rFonts w:ascii="Open Sans" w:hAnsi="Open Sans" w:cs="Arial"/>
          <w:b/>
          <w:sz w:val="20"/>
          <w:szCs w:val="20"/>
        </w:rPr>
      </w:pPr>
      <w:r w:rsidRPr="00B2103D">
        <w:rPr>
          <w:rFonts w:ascii="Open Sans" w:hAnsi="Open Sans" w:cs="Arial"/>
          <w:sz w:val="20"/>
          <w:szCs w:val="20"/>
        </w:rPr>
        <w:t xml:space="preserve">El análisis realizado sobre </w:t>
      </w:r>
      <w:r w:rsidRPr="00762545">
        <w:rPr>
          <w:rFonts w:ascii="Open Sans" w:hAnsi="Open Sans" w:cs="Arial"/>
          <w:b/>
          <w:sz w:val="20"/>
          <w:szCs w:val="20"/>
        </w:rPr>
        <w:t>la información contenida en las memorias de RSC de las empresas del IBEX 35</w:t>
      </w:r>
      <w:r w:rsidRPr="00B2103D">
        <w:rPr>
          <w:rFonts w:ascii="Open Sans" w:hAnsi="Open Sans" w:cs="Arial"/>
          <w:sz w:val="20"/>
          <w:szCs w:val="20"/>
        </w:rPr>
        <w:t xml:space="preserve"> y otros documentos elaborados por las empresas como mecanismos de información, gestión y rendición de cuentas </w:t>
      </w:r>
      <w:r w:rsidRPr="00762545">
        <w:rPr>
          <w:rFonts w:ascii="Open Sans" w:hAnsi="Open Sans" w:cs="Arial"/>
          <w:b/>
          <w:sz w:val="20"/>
          <w:szCs w:val="20"/>
        </w:rPr>
        <w:t xml:space="preserve">sitúa el </w:t>
      </w:r>
      <w:r w:rsidRPr="0074377C">
        <w:rPr>
          <w:rFonts w:ascii="Open Sans" w:hAnsi="Open Sans" w:cs="Arial"/>
          <w:b/>
          <w:sz w:val="20"/>
          <w:szCs w:val="20"/>
        </w:rPr>
        <w:t xml:space="preserve">resultado en el nivel de </w:t>
      </w:r>
      <w:r w:rsidRPr="0074377C">
        <w:rPr>
          <w:rFonts w:ascii="Open Sans" w:hAnsi="Open Sans" w:cs="Arial"/>
          <w:b/>
          <w:i/>
          <w:sz w:val="20"/>
          <w:szCs w:val="20"/>
        </w:rPr>
        <w:t>información escasa</w:t>
      </w:r>
      <w:r w:rsidRPr="0074377C">
        <w:rPr>
          <w:rFonts w:ascii="Open Sans" w:hAnsi="Open Sans" w:cs="Arial"/>
          <w:b/>
          <w:sz w:val="20"/>
          <w:szCs w:val="20"/>
        </w:rPr>
        <w:t xml:space="preserve"> (0,</w:t>
      </w:r>
      <w:r w:rsidR="0074377C" w:rsidRPr="0074377C">
        <w:rPr>
          <w:rFonts w:ascii="Open Sans" w:hAnsi="Open Sans" w:cs="Arial"/>
          <w:b/>
          <w:sz w:val="20"/>
          <w:szCs w:val="20"/>
        </w:rPr>
        <w:t>58</w:t>
      </w:r>
      <w:r w:rsidRPr="0074377C">
        <w:rPr>
          <w:rFonts w:ascii="Open Sans" w:hAnsi="Open Sans" w:cs="Arial"/>
          <w:b/>
          <w:sz w:val="20"/>
          <w:szCs w:val="20"/>
        </w:rPr>
        <w:t>).</w:t>
      </w:r>
      <w:r w:rsidRPr="00762545">
        <w:rPr>
          <w:rFonts w:ascii="Open Sans" w:hAnsi="Open Sans" w:cs="Arial"/>
          <w:b/>
          <w:sz w:val="20"/>
          <w:szCs w:val="20"/>
        </w:rPr>
        <w:t xml:space="preserve"> </w:t>
      </w:r>
    </w:p>
    <w:p w14:paraId="47607BCC" w14:textId="77777777" w:rsidR="007C17E1" w:rsidRPr="00D84C05" w:rsidRDefault="007C17E1" w:rsidP="007C17E1">
      <w:pPr>
        <w:jc w:val="both"/>
        <w:rPr>
          <w:rFonts w:ascii="Open Sans" w:hAnsi="Open Sans" w:cs="Arial"/>
          <w:sz w:val="20"/>
          <w:szCs w:val="20"/>
        </w:rPr>
      </w:pPr>
    </w:p>
    <w:p w14:paraId="5B7A1A0C" w14:textId="0A91E39F" w:rsidR="007C17E1" w:rsidRPr="00D84C05" w:rsidRDefault="007C17E1" w:rsidP="007C17E1">
      <w:pPr>
        <w:jc w:val="both"/>
        <w:rPr>
          <w:rFonts w:ascii="Open Sans" w:hAnsi="Open Sans" w:cs="Arial"/>
          <w:sz w:val="20"/>
          <w:szCs w:val="20"/>
        </w:rPr>
      </w:pPr>
      <w:r>
        <w:rPr>
          <w:rFonts w:ascii="Open Sans" w:hAnsi="Open Sans" w:cs="Arial"/>
          <w:sz w:val="20"/>
          <w:szCs w:val="20"/>
        </w:rPr>
        <w:t>La</w:t>
      </w:r>
      <w:r w:rsidRPr="001673E8">
        <w:rPr>
          <w:rFonts w:ascii="Open Sans" w:hAnsi="Open Sans" w:cs="Arial"/>
          <w:sz w:val="20"/>
          <w:szCs w:val="20"/>
        </w:rPr>
        <w:t xml:space="preserve"> calidad de la información </w:t>
      </w:r>
      <w:r>
        <w:rPr>
          <w:rFonts w:ascii="Open Sans" w:hAnsi="Open Sans" w:cs="Arial"/>
          <w:sz w:val="20"/>
          <w:szCs w:val="20"/>
        </w:rPr>
        <w:t xml:space="preserve">se sitúa </w:t>
      </w:r>
      <w:r w:rsidRPr="001673E8">
        <w:rPr>
          <w:rFonts w:ascii="Open Sans" w:hAnsi="Open Sans" w:cs="Arial"/>
          <w:sz w:val="20"/>
          <w:szCs w:val="20"/>
        </w:rPr>
        <w:t xml:space="preserve"> en un estadio de insuficiente por encontrarse limitada y no </w:t>
      </w:r>
      <w:r w:rsidR="00CB41CD">
        <w:rPr>
          <w:rFonts w:ascii="Open Sans" w:hAnsi="Open Sans" w:cs="Arial"/>
          <w:sz w:val="20"/>
          <w:szCs w:val="20"/>
        </w:rPr>
        <w:t xml:space="preserve">resultar </w:t>
      </w:r>
      <w:r w:rsidRPr="001673E8">
        <w:rPr>
          <w:rFonts w:ascii="Open Sans" w:hAnsi="Open Sans" w:cs="Arial"/>
          <w:sz w:val="20"/>
          <w:szCs w:val="20"/>
        </w:rPr>
        <w:t xml:space="preserve">significativa en cuanto </w:t>
      </w:r>
      <w:r w:rsidR="00CB41CD">
        <w:rPr>
          <w:rFonts w:ascii="Open Sans" w:hAnsi="Open Sans" w:cs="Arial"/>
          <w:sz w:val="20"/>
          <w:szCs w:val="20"/>
        </w:rPr>
        <w:t xml:space="preserve">a </w:t>
      </w:r>
      <w:r w:rsidRPr="001673E8">
        <w:rPr>
          <w:rFonts w:ascii="Open Sans" w:hAnsi="Open Sans" w:cs="Arial"/>
          <w:sz w:val="20"/>
          <w:szCs w:val="20"/>
        </w:rPr>
        <w:t>la</w:t>
      </w:r>
      <w:r>
        <w:rPr>
          <w:rFonts w:ascii="Open Sans" w:hAnsi="Open Sans" w:cs="Arial"/>
          <w:sz w:val="20"/>
          <w:szCs w:val="20"/>
        </w:rPr>
        <w:t xml:space="preserve"> estructura de filiales</w:t>
      </w:r>
      <w:r w:rsidR="00CB41CD">
        <w:rPr>
          <w:rFonts w:ascii="Open Sans" w:hAnsi="Open Sans" w:cs="Arial"/>
          <w:sz w:val="20"/>
          <w:szCs w:val="20"/>
        </w:rPr>
        <w:t xml:space="preserve"> y sociedades dependientes</w:t>
      </w:r>
      <w:r>
        <w:rPr>
          <w:rFonts w:ascii="Open Sans" w:hAnsi="Open Sans" w:cs="Arial"/>
          <w:sz w:val="20"/>
          <w:szCs w:val="20"/>
        </w:rPr>
        <w:t xml:space="preserve"> del grupo, actividades realizadas</w:t>
      </w:r>
      <w:r w:rsidR="00CB41CD">
        <w:rPr>
          <w:rFonts w:ascii="Open Sans" w:hAnsi="Open Sans" w:cs="Arial"/>
          <w:sz w:val="20"/>
          <w:szCs w:val="20"/>
        </w:rPr>
        <w:t xml:space="preserve">, impuesto pagados en los diversos países, </w:t>
      </w:r>
      <w:r>
        <w:rPr>
          <w:rFonts w:ascii="Open Sans" w:hAnsi="Open Sans" w:cs="Arial"/>
          <w:sz w:val="20"/>
          <w:szCs w:val="20"/>
        </w:rPr>
        <w:t xml:space="preserve"> paraísos y nichos fiscales y operativa entre  empresas del mismo grupo, entre otros aspectos</w:t>
      </w:r>
      <w:r w:rsidRPr="00D84C05">
        <w:rPr>
          <w:rFonts w:ascii="Open Sans" w:hAnsi="Open Sans" w:cs="Arial"/>
          <w:sz w:val="20"/>
          <w:szCs w:val="20"/>
        </w:rPr>
        <w:t>.</w:t>
      </w:r>
      <w:r>
        <w:rPr>
          <w:rFonts w:ascii="Open Sans" w:hAnsi="Open Sans" w:cs="Arial"/>
          <w:sz w:val="20"/>
          <w:szCs w:val="20"/>
        </w:rPr>
        <w:t xml:space="preserve"> </w:t>
      </w:r>
      <w:r w:rsidRPr="00B67C7F">
        <w:rPr>
          <w:rFonts w:ascii="Open Sans" w:hAnsi="Open Sans" w:cs="Arial"/>
          <w:sz w:val="20"/>
          <w:szCs w:val="20"/>
        </w:rPr>
        <w:t>El nivel de cumplimiento respecto a las exigencias de los indicadores de cada ámbito responde a la escala 0-3, en la que los indicadores relativos a</w:t>
      </w:r>
      <w:r w:rsidR="00CB41CD">
        <w:rPr>
          <w:rFonts w:ascii="Open Sans" w:hAnsi="Open Sans" w:cs="Arial"/>
          <w:sz w:val="20"/>
          <w:szCs w:val="20"/>
        </w:rPr>
        <w:t>l área</w:t>
      </w:r>
      <w:r w:rsidRPr="00B67C7F">
        <w:rPr>
          <w:rFonts w:ascii="Open Sans" w:hAnsi="Open Sans" w:cs="Arial"/>
          <w:sz w:val="20"/>
          <w:szCs w:val="20"/>
        </w:rPr>
        <w:t xml:space="preserve"> paraísos y nichos fiscales es  la más baja y estrategia y política fiscal presenta un resultado </w:t>
      </w:r>
      <w:r w:rsidR="00CB41CD">
        <w:rPr>
          <w:rFonts w:ascii="Open Sans" w:hAnsi="Open Sans" w:cs="Arial"/>
          <w:sz w:val="20"/>
          <w:szCs w:val="20"/>
        </w:rPr>
        <w:t>por encima de la media</w:t>
      </w:r>
      <w:r w:rsidRPr="00B67C7F">
        <w:rPr>
          <w:rFonts w:ascii="Open Sans" w:hAnsi="Open Sans" w:cs="Arial"/>
          <w:sz w:val="20"/>
          <w:szCs w:val="20"/>
        </w:rPr>
        <w:t>.</w:t>
      </w:r>
      <w:r w:rsidRPr="001673E8">
        <w:rPr>
          <w:rFonts w:ascii="Open Sans" w:hAnsi="Open Sans" w:cs="Arial"/>
          <w:sz w:val="20"/>
          <w:szCs w:val="20"/>
        </w:rPr>
        <w:t xml:space="preserve"> </w:t>
      </w:r>
    </w:p>
    <w:p w14:paraId="76462F80" w14:textId="77777777" w:rsidR="007C17E1" w:rsidRPr="00D84C05" w:rsidRDefault="007C17E1" w:rsidP="007C17E1">
      <w:pPr>
        <w:jc w:val="both"/>
        <w:rPr>
          <w:rFonts w:ascii="Open Sans" w:hAnsi="Open Sans" w:cs="Arial"/>
          <w:szCs w:val="20"/>
        </w:rPr>
      </w:pPr>
    </w:p>
    <w:p w14:paraId="7D9925FA" w14:textId="77777777" w:rsidR="007C17E1" w:rsidRPr="00762545" w:rsidRDefault="007C17E1" w:rsidP="007C17E1">
      <w:pPr>
        <w:jc w:val="both"/>
        <w:rPr>
          <w:rFonts w:ascii="Open Sans" w:hAnsi="Open Sans" w:cs="Arial"/>
          <w:b/>
          <w:sz w:val="20"/>
          <w:szCs w:val="20"/>
        </w:rPr>
      </w:pPr>
      <w:r>
        <w:rPr>
          <w:rFonts w:ascii="Open Sans" w:hAnsi="Open Sans" w:cs="Arial"/>
          <w:sz w:val="20"/>
          <w:szCs w:val="20"/>
        </w:rPr>
        <w:t>L</w:t>
      </w:r>
      <w:r w:rsidRPr="001673E8">
        <w:rPr>
          <w:rFonts w:ascii="Open Sans" w:hAnsi="Open Sans" w:cs="Arial"/>
          <w:sz w:val="20"/>
          <w:szCs w:val="20"/>
        </w:rPr>
        <w:t xml:space="preserve">as empresas analizadas </w:t>
      </w:r>
      <w:r>
        <w:rPr>
          <w:rFonts w:ascii="Open Sans" w:hAnsi="Open Sans" w:cs="Arial"/>
          <w:sz w:val="20"/>
          <w:szCs w:val="20"/>
        </w:rPr>
        <w:t xml:space="preserve">presentan en ocasiones </w:t>
      </w:r>
      <w:r w:rsidRPr="001673E8">
        <w:rPr>
          <w:rFonts w:ascii="Open Sans" w:hAnsi="Open Sans" w:cs="Arial"/>
          <w:sz w:val="20"/>
          <w:szCs w:val="20"/>
        </w:rPr>
        <w:t xml:space="preserve">información cuantitativa, cualitativa y valorativa sobre su gestión </w:t>
      </w:r>
      <w:r>
        <w:rPr>
          <w:rFonts w:ascii="Open Sans" w:hAnsi="Open Sans" w:cs="Arial"/>
          <w:sz w:val="20"/>
          <w:szCs w:val="20"/>
        </w:rPr>
        <w:t>de aspectos fiscales y resultados</w:t>
      </w:r>
      <w:r w:rsidRPr="001673E8">
        <w:rPr>
          <w:rFonts w:ascii="Open Sans" w:hAnsi="Open Sans" w:cs="Arial"/>
          <w:sz w:val="20"/>
          <w:szCs w:val="20"/>
        </w:rPr>
        <w:t xml:space="preserve">. Sin embargo, esta información carece </w:t>
      </w:r>
      <w:r>
        <w:rPr>
          <w:rFonts w:ascii="Open Sans" w:hAnsi="Open Sans" w:cs="Arial"/>
          <w:sz w:val="20"/>
          <w:szCs w:val="20"/>
        </w:rPr>
        <w:t xml:space="preserve">del </w:t>
      </w:r>
      <w:r w:rsidRPr="001673E8">
        <w:rPr>
          <w:rFonts w:ascii="Open Sans" w:hAnsi="Open Sans" w:cs="Arial"/>
          <w:sz w:val="20"/>
          <w:szCs w:val="20"/>
        </w:rPr>
        <w:t>alcance, cantidad</w:t>
      </w:r>
      <w:r>
        <w:rPr>
          <w:rFonts w:ascii="Open Sans" w:hAnsi="Open Sans" w:cs="Arial"/>
          <w:sz w:val="20"/>
          <w:szCs w:val="20"/>
        </w:rPr>
        <w:t xml:space="preserve">, precisión </w:t>
      </w:r>
      <w:r w:rsidRPr="001673E8">
        <w:rPr>
          <w:rFonts w:ascii="Open Sans" w:hAnsi="Open Sans" w:cs="Arial"/>
          <w:sz w:val="20"/>
          <w:szCs w:val="20"/>
        </w:rPr>
        <w:t xml:space="preserve"> y </w:t>
      </w:r>
      <w:r>
        <w:rPr>
          <w:rFonts w:ascii="Open Sans" w:hAnsi="Open Sans" w:cs="Arial"/>
          <w:sz w:val="20"/>
          <w:szCs w:val="20"/>
        </w:rPr>
        <w:t xml:space="preserve">accesibilidad </w:t>
      </w:r>
      <w:r w:rsidRPr="001673E8">
        <w:rPr>
          <w:rFonts w:ascii="Open Sans" w:hAnsi="Open Sans" w:cs="Arial"/>
          <w:sz w:val="20"/>
          <w:szCs w:val="20"/>
        </w:rPr>
        <w:t xml:space="preserve">suficiente. </w:t>
      </w:r>
      <w:r w:rsidRPr="00B67C7F">
        <w:rPr>
          <w:rFonts w:ascii="Open Sans" w:hAnsi="Open Sans" w:cs="Arial"/>
          <w:sz w:val="20"/>
          <w:szCs w:val="20"/>
        </w:rPr>
        <w:t>En algunos casos, la información es inexistente ya que todavía algunas de las  empresas del IBEX 35 obvian la conveniencia de rendir cuentas respecto a su comportamiento fiscal desde una visión de la RSC.</w:t>
      </w:r>
    </w:p>
    <w:p w14:paraId="71AAAAAF" w14:textId="523267AB" w:rsidR="006F730C" w:rsidRPr="00762545" w:rsidRDefault="006F730C" w:rsidP="006F730C">
      <w:pPr>
        <w:jc w:val="both"/>
        <w:rPr>
          <w:rFonts w:ascii="Open Sans" w:hAnsi="Open Sans" w:cs="Arial"/>
          <w:b/>
          <w:sz w:val="20"/>
          <w:szCs w:val="20"/>
        </w:rPr>
      </w:pPr>
    </w:p>
    <w:p w14:paraId="3B62FF13" w14:textId="77777777" w:rsidR="006F730C" w:rsidRPr="001673E8" w:rsidRDefault="006F730C" w:rsidP="006F730C">
      <w:pPr>
        <w:jc w:val="both"/>
        <w:rPr>
          <w:rFonts w:ascii="Open Sans" w:hAnsi="Open Sans" w:cs="Arial"/>
          <w:sz w:val="20"/>
          <w:szCs w:val="20"/>
        </w:rPr>
      </w:pPr>
    </w:p>
    <w:p w14:paraId="5FE04D59" w14:textId="2D14DE47" w:rsidR="006F730C" w:rsidRDefault="006F730C">
      <w:pPr>
        <w:rPr>
          <w:rFonts w:ascii="Open Sans" w:hAnsi="Open Sans" w:cs="Arial"/>
          <w:b/>
          <w:sz w:val="22"/>
          <w:szCs w:val="22"/>
        </w:rPr>
      </w:pPr>
      <w:r>
        <w:rPr>
          <w:rFonts w:ascii="Open Sans" w:hAnsi="Open Sans" w:cs="Arial"/>
          <w:b/>
          <w:sz w:val="22"/>
          <w:szCs w:val="22"/>
        </w:rPr>
        <w:br w:type="page"/>
      </w:r>
    </w:p>
    <w:p w14:paraId="14A025BC" w14:textId="77777777" w:rsidR="006F730C" w:rsidRDefault="006F730C" w:rsidP="006F730C">
      <w:pPr>
        <w:rPr>
          <w:rFonts w:ascii="Open Sans" w:hAnsi="Open Sans" w:cs="Arial"/>
          <w:b/>
          <w:sz w:val="22"/>
          <w:szCs w:val="22"/>
        </w:rPr>
      </w:pPr>
    </w:p>
    <w:p w14:paraId="3B043A2E" w14:textId="77777777" w:rsidR="006F730C" w:rsidRPr="00EB34C2" w:rsidRDefault="006F730C" w:rsidP="006F730C">
      <w:pPr>
        <w:pStyle w:val="Titulo2-InformeFinal"/>
        <w:rPr>
          <w:i/>
        </w:rPr>
      </w:pPr>
      <w:bookmarkStart w:id="21" w:name="_Toc324517521"/>
      <w:bookmarkStart w:id="22" w:name="_Toc354061513"/>
      <w:r w:rsidRPr="00EB34C2">
        <w:t xml:space="preserve">3.2. Resultados </w:t>
      </w:r>
      <w:bookmarkEnd w:id="21"/>
      <w:r>
        <w:t>por valoración cuantitativa</w:t>
      </w:r>
      <w:bookmarkEnd w:id="22"/>
    </w:p>
    <w:p w14:paraId="2C38D14D" w14:textId="77777777" w:rsidR="006F730C" w:rsidRPr="00EB34C2" w:rsidRDefault="006F730C" w:rsidP="006F730C">
      <w:pPr>
        <w:jc w:val="both"/>
        <w:rPr>
          <w:rFonts w:ascii="Open Sans" w:hAnsi="Open Sans" w:cs="Arial"/>
          <w:sz w:val="20"/>
          <w:szCs w:val="20"/>
          <w:lang w:val="es-ES"/>
        </w:rPr>
      </w:pPr>
    </w:p>
    <w:p w14:paraId="1AC2419B" w14:textId="3562DF14" w:rsidR="006F730C" w:rsidRDefault="006F730C" w:rsidP="006F730C">
      <w:pPr>
        <w:jc w:val="both"/>
        <w:rPr>
          <w:rFonts w:ascii="Open Sans" w:hAnsi="Open Sans" w:cs="Arial"/>
          <w:sz w:val="20"/>
          <w:szCs w:val="20"/>
          <w:lang w:val="es-ES"/>
        </w:rPr>
      </w:pPr>
      <w:r w:rsidRPr="00EB34C2">
        <w:rPr>
          <w:rFonts w:ascii="Open Sans" w:hAnsi="Open Sans" w:cs="Arial"/>
          <w:sz w:val="20"/>
          <w:szCs w:val="20"/>
          <w:lang w:val="es-ES"/>
        </w:rPr>
        <w:t xml:space="preserve">En el presente capítulo se muestran los resultados de la evaluación </w:t>
      </w:r>
      <w:r>
        <w:rPr>
          <w:rFonts w:ascii="Open Sans" w:hAnsi="Open Sans" w:cs="Arial"/>
          <w:sz w:val="20"/>
          <w:szCs w:val="20"/>
          <w:lang w:val="es-ES"/>
        </w:rPr>
        <w:t xml:space="preserve">de los </w:t>
      </w:r>
      <w:r w:rsidRPr="00EB34C2">
        <w:rPr>
          <w:rFonts w:ascii="Open Sans" w:hAnsi="Open Sans" w:cs="Arial"/>
          <w:sz w:val="20"/>
          <w:szCs w:val="20"/>
          <w:lang w:val="es-ES"/>
        </w:rPr>
        <w:t xml:space="preserve">Contenidos </w:t>
      </w:r>
      <w:r>
        <w:rPr>
          <w:rFonts w:ascii="Open Sans" w:hAnsi="Open Sans" w:cs="Arial"/>
          <w:sz w:val="20"/>
          <w:szCs w:val="20"/>
          <w:lang w:val="es-ES"/>
        </w:rPr>
        <w:t xml:space="preserve">a través de los </w:t>
      </w:r>
      <w:r w:rsidRPr="0002143E">
        <w:rPr>
          <w:rFonts w:ascii="Open Sans" w:hAnsi="Open Sans" w:cs="Arial"/>
          <w:b/>
          <w:sz w:val="20"/>
          <w:szCs w:val="20"/>
          <w:lang w:val="es-ES"/>
        </w:rPr>
        <w:t>indicadores cuantitativos</w:t>
      </w:r>
      <w:r w:rsidRPr="00EB34C2">
        <w:rPr>
          <w:rFonts w:ascii="Open Sans" w:hAnsi="Open Sans" w:cs="Arial"/>
          <w:sz w:val="20"/>
          <w:szCs w:val="20"/>
          <w:lang w:val="es-ES"/>
        </w:rPr>
        <w:t xml:space="preserve">. Para ilustrar estos análisis de resultados </w:t>
      </w:r>
      <w:r>
        <w:rPr>
          <w:rFonts w:ascii="Open Sans" w:hAnsi="Open Sans" w:cs="Arial"/>
          <w:sz w:val="20"/>
          <w:szCs w:val="20"/>
          <w:lang w:val="es-ES"/>
        </w:rPr>
        <w:t xml:space="preserve">de manera agregada y por </w:t>
      </w:r>
      <w:r w:rsidRPr="00EB34C2">
        <w:rPr>
          <w:rFonts w:ascii="Open Sans" w:hAnsi="Open Sans" w:cs="Arial"/>
          <w:sz w:val="20"/>
          <w:szCs w:val="20"/>
          <w:lang w:val="es-ES"/>
        </w:rPr>
        <w:t>áreas temáticas con el objetivo de hacer visible cómo informan las empresas en aspectos significativos de su desempeño.</w:t>
      </w:r>
    </w:p>
    <w:p w14:paraId="295B877D" w14:textId="77777777" w:rsidR="006F730C" w:rsidRPr="00EB34C2" w:rsidRDefault="006F730C" w:rsidP="006F730C">
      <w:pPr>
        <w:jc w:val="both"/>
        <w:rPr>
          <w:rFonts w:ascii="Open Sans" w:hAnsi="Open Sans" w:cs="Arial"/>
          <w:sz w:val="20"/>
          <w:szCs w:val="20"/>
          <w:lang w:val="es-ES"/>
        </w:rPr>
      </w:pPr>
    </w:p>
    <w:p w14:paraId="37699862" w14:textId="77777777" w:rsidR="006F730C" w:rsidRDefault="006F730C" w:rsidP="006F730C">
      <w:pPr>
        <w:rPr>
          <w:rFonts w:ascii="Open Sans" w:hAnsi="Open Sans" w:cs="Arial"/>
          <w:b/>
          <w:sz w:val="22"/>
          <w:szCs w:val="22"/>
        </w:rPr>
      </w:pPr>
    </w:p>
    <w:p w14:paraId="6907B680" w14:textId="77777777" w:rsidR="006F730C" w:rsidRPr="00D84C05" w:rsidRDefault="006F730C" w:rsidP="006F730C">
      <w:pPr>
        <w:rPr>
          <w:rFonts w:ascii="Open Sans" w:hAnsi="Open Sans" w:cs="Arial"/>
          <w:b/>
          <w:sz w:val="22"/>
          <w:szCs w:val="22"/>
        </w:rPr>
      </w:pPr>
      <w:r w:rsidRPr="00D84C05">
        <w:rPr>
          <w:rFonts w:ascii="Open Sans" w:hAnsi="Open Sans" w:cs="Arial"/>
          <w:b/>
          <w:sz w:val="22"/>
          <w:szCs w:val="22"/>
        </w:rPr>
        <w:t>Resultados por empresa</w:t>
      </w:r>
    </w:p>
    <w:p w14:paraId="67F1309A" w14:textId="77777777" w:rsidR="006F730C" w:rsidRPr="00D84C05" w:rsidRDefault="006F730C" w:rsidP="006F730C">
      <w:pPr>
        <w:rPr>
          <w:rFonts w:ascii="Open Sans" w:hAnsi="Open Sans" w:cs="Arial"/>
        </w:rPr>
      </w:pPr>
    </w:p>
    <w:p w14:paraId="03088552" w14:textId="77777777" w:rsidR="00DA6FB0" w:rsidRDefault="006F730C" w:rsidP="006F730C">
      <w:pPr>
        <w:tabs>
          <w:tab w:val="left" w:pos="1656"/>
        </w:tabs>
        <w:jc w:val="both"/>
        <w:rPr>
          <w:rFonts w:ascii="Open Sans" w:hAnsi="Open Sans" w:cs="Arial"/>
          <w:sz w:val="20"/>
          <w:szCs w:val="20"/>
        </w:rPr>
      </w:pPr>
      <w:r w:rsidRPr="00D84C05">
        <w:rPr>
          <w:rFonts w:ascii="Open Sans" w:hAnsi="Open Sans" w:cs="Arial"/>
          <w:sz w:val="20"/>
          <w:szCs w:val="20"/>
        </w:rPr>
        <w:t xml:space="preserve">A continuación se muestran los </w:t>
      </w:r>
      <w:r w:rsidRPr="00DA6FB0">
        <w:rPr>
          <w:rFonts w:ascii="Open Sans" w:hAnsi="Open Sans" w:cs="Arial"/>
          <w:b/>
          <w:sz w:val="20"/>
          <w:szCs w:val="20"/>
        </w:rPr>
        <w:t>resultados de la calidad de la información analizada</w:t>
      </w:r>
      <w:r w:rsidRPr="00D84C05">
        <w:rPr>
          <w:rFonts w:ascii="Open Sans" w:hAnsi="Open Sans" w:cs="Arial"/>
          <w:sz w:val="20"/>
          <w:szCs w:val="20"/>
        </w:rPr>
        <w:t xml:space="preserve">, obtenidos por todas las empresas incluidas en el alcance del estudio, </w:t>
      </w:r>
      <w:r w:rsidRPr="0002143E">
        <w:rPr>
          <w:rFonts w:ascii="Open Sans" w:hAnsi="Open Sans" w:cs="Arial"/>
          <w:b/>
          <w:sz w:val="20"/>
          <w:szCs w:val="20"/>
        </w:rPr>
        <w:t>ordenadas alfabéticamente.</w:t>
      </w:r>
      <w:r w:rsidRPr="00D84C05">
        <w:rPr>
          <w:rFonts w:ascii="Open Sans" w:hAnsi="Open Sans" w:cs="Arial"/>
          <w:sz w:val="20"/>
          <w:szCs w:val="20"/>
        </w:rPr>
        <w:t xml:space="preserve"> </w:t>
      </w:r>
      <w:r>
        <w:rPr>
          <w:rFonts w:ascii="Open Sans" w:hAnsi="Open Sans" w:cs="Arial"/>
          <w:sz w:val="20"/>
          <w:szCs w:val="20"/>
        </w:rPr>
        <w:t xml:space="preserve"> </w:t>
      </w:r>
      <w:r w:rsidRPr="00D84C05">
        <w:rPr>
          <w:rFonts w:ascii="Open Sans" w:hAnsi="Open Sans" w:cs="Arial"/>
          <w:sz w:val="20"/>
          <w:szCs w:val="20"/>
        </w:rPr>
        <w:t xml:space="preserve">Las puntuaciones muestran los resultados por ámbitos analizados. </w:t>
      </w:r>
    </w:p>
    <w:p w14:paraId="0F60DAF8" w14:textId="77777777" w:rsidR="00DA6FB0" w:rsidRDefault="00DA6FB0" w:rsidP="006F730C">
      <w:pPr>
        <w:tabs>
          <w:tab w:val="left" w:pos="1656"/>
        </w:tabs>
        <w:jc w:val="both"/>
        <w:rPr>
          <w:rFonts w:ascii="Open Sans" w:hAnsi="Open Sans" w:cs="Arial"/>
          <w:sz w:val="20"/>
          <w:szCs w:val="20"/>
        </w:rPr>
      </w:pPr>
    </w:p>
    <w:p w14:paraId="2AE27790" w14:textId="78EF4CC3" w:rsidR="006F730C" w:rsidRDefault="006F730C" w:rsidP="006F730C">
      <w:pPr>
        <w:tabs>
          <w:tab w:val="left" w:pos="1656"/>
        </w:tabs>
        <w:jc w:val="both"/>
        <w:rPr>
          <w:rFonts w:ascii="Open Sans" w:eastAsia="Times New Roman" w:hAnsi="Open Sans" w:cs="Arial"/>
          <w:sz w:val="20"/>
          <w:szCs w:val="22"/>
          <w:lang w:val="es-ES" w:eastAsia="ar-SA"/>
        </w:rPr>
      </w:pPr>
      <w:r w:rsidRPr="00D84C05">
        <w:rPr>
          <w:rFonts w:ascii="Open Sans" w:hAnsi="Open Sans" w:cs="Arial"/>
          <w:sz w:val="20"/>
          <w:szCs w:val="20"/>
        </w:rPr>
        <w:t>La puntuación es resultado de</w:t>
      </w:r>
      <w:r w:rsidR="00CB41CD">
        <w:rPr>
          <w:rFonts w:ascii="Open Sans" w:hAnsi="Open Sans" w:cs="Arial"/>
          <w:sz w:val="20"/>
          <w:szCs w:val="20"/>
        </w:rPr>
        <w:t xml:space="preserve"> aplicar</w:t>
      </w:r>
      <w:r w:rsidRPr="00D84C05">
        <w:rPr>
          <w:rFonts w:ascii="Open Sans" w:hAnsi="Open Sans" w:cs="Arial"/>
          <w:sz w:val="20"/>
          <w:szCs w:val="20"/>
        </w:rPr>
        <w:t xml:space="preserve"> la media aritmética de los diferentes ámbitos analizados: </w:t>
      </w:r>
      <w:r w:rsidRPr="004A691D">
        <w:rPr>
          <w:rFonts w:ascii="Open Sans" w:eastAsia="Times New Roman" w:hAnsi="Open Sans" w:cs="Arial"/>
          <w:sz w:val="20"/>
          <w:szCs w:val="22"/>
          <w:lang w:val="es-ES" w:eastAsia="ar-SA"/>
        </w:rPr>
        <w:t>Estrategia/ Política fiscal; Impuestos e incentivos; Paraísos y nichos fiscales; Relación con las administraciones Pública</w:t>
      </w:r>
      <w:r w:rsidR="00CB41CD">
        <w:rPr>
          <w:rFonts w:ascii="Open Sans" w:eastAsia="Times New Roman" w:hAnsi="Open Sans" w:cs="Arial"/>
          <w:sz w:val="20"/>
          <w:szCs w:val="22"/>
          <w:lang w:val="es-ES" w:eastAsia="ar-SA"/>
        </w:rPr>
        <w:t>.</w:t>
      </w:r>
    </w:p>
    <w:p w14:paraId="12413737" w14:textId="77777777" w:rsidR="006D567B" w:rsidRDefault="006D567B" w:rsidP="005B037B">
      <w:pPr>
        <w:jc w:val="both"/>
        <w:rPr>
          <w:rFonts w:ascii="Open Sans" w:hAnsi="Open Sans" w:cs="Arial"/>
          <w:b/>
          <w:sz w:val="22"/>
          <w:szCs w:val="22"/>
        </w:rPr>
      </w:pPr>
    </w:p>
    <w:p w14:paraId="6AF003E8" w14:textId="6F3C1D88" w:rsidR="0074377C" w:rsidRDefault="0074377C">
      <w:pPr>
        <w:rPr>
          <w:rFonts w:ascii="Open Sans" w:hAnsi="Open Sans" w:cs="Arial"/>
          <w:b/>
          <w:sz w:val="22"/>
          <w:szCs w:val="22"/>
        </w:rPr>
      </w:pPr>
      <w:r>
        <w:rPr>
          <w:rFonts w:ascii="Open Sans" w:hAnsi="Open Sans" w:cs="Arial"/>
          <w:b/>
          <w:sz w:val="22"/>
          <w:szCs w:val="22"/>
        </w:rPr>
        <w:br w:type="page"/>
      </w:r>
    </w:p>
    <w:p w14:paraId="7045CBA9" w14:textId="77777777" w:rsidR="006D567B" w:rsidRDefault="006D567B" w:rsidP="005B037B">
      <w:pPr>
        <w:jc w:val="both"/>
        <w:rPr>
          <w:rFonts w:ascii="Open Sans" w:hAnsi="Open Sans" w:cs="Arial"/>
          <w:b/>
          <w:sz w:val="22"/>
          <w:szCs w:val="22"/>
        </w:rPr>
      </w:pPr>
    </w:p>
    <w:p w14:paraId="252207AF" w14:textId="6FB4E1DE" w:rsidR="0002143E" w:rsidRDefault="0074377C" w:rsidP="00DA6FB0">
      <w:pPr>
        <w:jc w:val="both"/>
        <w:rPr>
          <w:rFonts w:cs="Arial"/>
          <w:szCs w:val="22"/>
        </w:rPr>
      </w:pPr>
      <w:r>
        <w:rPr>
          <w:rFonts w:cs="Arial"/>
          <w:noProof/>
          <w:szCs w:val="22"/>
          <w:lang w:val="es-ES"/>
        </w:rPr>
        <w:drawing>
          <wp:inline distT="0" distB="0" distL="0" distR="0" wp14:anchorId="528B9E6B" wp14:editId="2EA3E796">
            <wp:extent cx="5787136" cy="7697216"/>
            <wp:effectExtent l="0" t="0" r="4445" b="0"/>
            <wp:docPr id="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5787136" cy="7697216"/>
                    </a:xfrm>
                    <a:prstGeom prst="rect">
                      <a:avLst/>
                    </a:prstGeom>
                    <a:noFill/>
                    <a:ln>
                      <a:noFill/>
                    </a:ln>
                  </pic:spPr>
                </pic:pic>
              </a:graphicData>
            </a:graphic>
          </wp:inline>
        </w:drawing>
      </w:r>
    </w:p>
    <w:p w14:paraId="7752D7FC" w14:textId="77777777" w:rsidR="007C17E1" w:rsidRDefault="007C17E1" w:rsidP="005B037B">
      <w:pPr>
        <w:jc w:val="both"/>
        <w:rPr>
          <w:rFonts w:cs="Arial"/>
          <w:szCs w:val="22"/>
        </w:rPr>
      </w:pPr>
    </w:p>
    <w:p w14:paraId="4034DB9A" w14:textId="77777777" w:rsidR="007C17E1" w:rsidRDefault="007C17E1" w:rsidP="005B037B">
      <w:pPr>
        <w:jc w:val="both"/>
        <w:rPr>
          <w:rFonts w:cs="Arial"/>
          <w:szCs w:val="22"/>
        </w:rPr>
      </w:pPr>
    </w:p>
    <w:p w14:paraId="46D982EE" w14:textId="40A309E8" w:rsidR="0074377C" w:rsidRDefault="0074377C">
      <w:pPr>
        <w:rPr>
          <w:rFonts w:cs="Arial"/>
          <w:szCs w:val="22"/>
        </w:rPr>
      </w:pPr>
      <w:r>
        <w:rPr>
          <w:rFonts w:cs="Arial"/>
          <w:szCs w:val="22"/>
        </w:rPr>
        <w:br w:type="page"/>
      </w:r>
    </w:p>
    <w:p w14:paraId="613CD6B9" w14:textId="77777777" w:rsidR="007C17E1" w:rsidRDefault="007C17E1" w:rsidP="005B037B">
      <w:pPr>
        <w:jc w:val="both"/>
        <w:rPr>
          <w:rFonts w:cs="Arial"/>
          <w:szCs w:val="22"/>
        </w:rPr>
      </w:pPr>
    </w:p>
    <w:p w14:paraId="22FA32FD" w14:textId="47EE882D" w:rsidR="0002143E" w:rsidRDefault="0002143E" w:rsidP="008434D6">
      <w:pPr>
        <w:tabs>
          <w:tab w:val="left" w:pos="1656"/>
        </w:tabs>
        <w:jc w:val="both"/>
        <w:rPr>
          <w:rFonts w:ascii="Open Sans" w:hAnsi="Open Sans" w:cs="Arial"/>
          <w:sz w:val="20"/>
          <w:szCs w:val="20"/>
        </w:rPr>
      </w:pPr>
      <w:r>
        <w:rPr>
          <w:rFonts w:ascii="Open Sans" w:hAnsi="Open Sans" w:cs="Arial"/>
          <w:sz w:val="20"/>
          <w:szCs w:val="20"/>
        </w:rPr>
        <w:t xml:space="preserve">La siguiente tabla refleja la puntuación global obtenida por las empresas analizadas </w:t>
      </w:r>
      <w:r w:rsidRPr="0002143E">
        <w:rPr>
          <w:rFonts w:ascii="Open Sans" w:hAnsi="Open Sans" w:cs="Arial"/>
          <w:b/>
          <w:sz w:val="20"/>
          <w:szCs w:val="20"/>
        </w:rPr>
        <w:t>ordenadas en base a la posición obtenida</w:t>
      </w:r>
      <w:r w:rsidR="00CB41CD">
        <w:rPr>
          <w:rFonts w:ascii="Open Sans" w:hAnsi="Open Sans" w:cs="Arial"/>
          <w:sz w:val="20"/>
          <w:szCs w:val="20"/>
        </w:rPr>
        <w:t>:</w:t>
      </w:r>
    </w:p>
    <w:p w14:paraId="7382EA86" w14:textId="77777777" w:rsidR="0002143E" w:rsidRDefault="0002143E" w:rsidP="005B037B">
      <w:pPr>
        <w:jc w:val="both"/>
        <w:rPr>
          <w:rFonts w:cs="Arial"/>
          <w:szCs w:val="22"/>
        </w:rPr>
      </w:pPr>
    </w:p>
    <w:p w14:paraId="3ED00B51" w14:textId="6DBD6013" w:rsidR="008434D6" w:rsidRDefault="00DA6FB0" w:rsidP="00DA6FB0">
      <w:pPr>
        <w:ind w:left="709"/>
        <w:jc w:val="both"/>
        <w:rPr>
          <w:rFonts w:cs="Arial"/>
          <w:szCs w:val="22"/>
        </w:rPr>
      </w:pPr>
      <w:r>
        <w:rPr>
          <w:rFonts w:cs="Arial"/>
          <w:noProof/>
          <w:szCs w:val="22"/>
          <w:lang w:val="es-ES"/>
        </w:rPr>
        <w:drawing>
          <wp:inline distT="0" distB="0" distL="0" distR="0" wp14:anchorId="2797D599" wp14:editId="669E04F6">
            <wp:extent cx="4123944" cy="7845552"/>
            <wp:effectExtent l="0" t="0" r="0" b="3175"/>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123944" cy="7845552"/>
                    </a:xfrm>
                    <a:prstGeom prst="rect">
                      <a:avLst/>
                    </a:prstGeom>
                    <a:noFill/>
                    <a:ln>
                      <a:noFill/>
                    </a:ln>
                  </pic:spPr>
                </pic:pic>
              </a:graphicData>
            </a:graphic>
          </wp:inline>
        </w:drawing>
      </w:r>
    </w:p>
    <w:p w14:paraId="16C36F59" w14:textId="77777777" w:rsidR="0002143E" w:rsidRDefault="0002143E" w:rsidP="005B037B">
      <w:pPr>
        <w:jc w:val="both"/>
        <w:rPr>
          <w:rFonts w:cs="Arial"/>
          <w:szCs w:val="22"/>
        </w:rPr>
      </w:pPr>
    </w:p>
    <w:p w14:paraId="7B9F095B" w14:textId="77777777" w:rsidR="0002143E" w:rsidRPr="00EB34C2" w:rsidRDefault="0002143E" w:rsidP="0002143E">
      <w:pPr>
        <w:pStyle w:val="Titulo2-InformeFinal"/>
        <w:rPr>
          <w:i/>
        </w:rPr>
      </w:pPr>
      <w:bookmarkStart w:id="23" w:name="_Toc354061514"/>
      <w:r>
        <w:t>3.3</w:t>
      </w:r>
      <w:r w:rsidRPr="00EB34C2">
        <w:t xml:space="preserve">. Resultados </w:t>
      </w:r>
      <w:r>
        <w:t>por valoración cuantitativa</w:t>
      </w:r>
      <w:bookmarkEnd w:id="23"/>
    </w:p>
    <w:p w14:paraId="1F36D77B" w14:textId="77777777" w:rsidR="0002143E" w:rsidRPr="00EB34C2" w:rsidRDefault="0002143E" w:rsidP="0002143E">
      <w:pPr>
        <w:jc w:val="both"/>
        <w:rPr>
          <w:rFonts w:ascii="Open Sans" w:hAnsi="Open Sans" w:cs="Arial"/>
          <w:sz w:val="20"/>
          <w:szCs w:val="20"/>
          <w:lang w:val="es-ES"/>
        </w:rPr>
      </w:pPr>
    </w:p>
    <w:p w14:paraId="15F5410F" w14:textId="438A2058" w:rsidR="0002143E" w:rsidRDefault="0002143E" w:rsidP="0002143E">
      <w:pPr>
        <w:jc w:val="both"/>
        <w:rPr>
          <w:rFonts w:ascii="Open Sans" w:hAnsi="Open Sans" w:cs="Arial"/>
          <w:sz w:val="20"/>
          <w:szCs w:val="20"/>
          <w:lang w:val="es-ES"/>
        </w:rPr>
      </w:pPr>
      <w:r w:rsidRPr="00EB34C2">
        <w:rPr>
          <w:rFonts w:ascii="Open Sans" w:hAnsi="Open Sans" w:cs="Arial"/>
          <w:sz w:val="20"/>
          <w:szCs w:val="20"/>
          <w:lang w:val="es-ES"/>
        </w:rPr>
        <w:t xml:space="preserve">En el presente capítulo se muestran los resultados de la evaluación </w:t>
      </w:r>
      <w:r>
        <w:rPr>
          <w:rFonts w:ascii="Open Sans" w:hAnsi="Open Sans" w:cs="Arial"/>
          <w:sz w:val="20"/>
          <w:szCs w:val="20"/>
          <w:lang w:val="es-ES"/>
        </w:rPr>
        <w:t xml:space="preserve">de los </w:t>
      </w:r>
      <w:r w:rsidRPr="00EB34C2">
        <w:rPr>
          <w:rFonts w:ascii="Open Sans" w:hAnsi="Open Sans" w:cs="Arial"/>
          <w:sz w:val="20"/>
          <w:szCs w:val="20"/>
          <w:lang w:val="es-ES"/>
        </w:rPr>
        <w:t xml:space="preserve">Contenidos </w:t>
      </w:r>
      <w:r>
        <w:rPr>
          <w:rFonts w:ascii="Open Sans" w:hAnsi="Open Sans" w:cs="Arial"/>
          <w:sz w:val="20"/>
          <w:szCs w:val="20"/>
          <w:lang w:val="es-ES"/>
        </w:rPr>
        <w:t xml:space="preserve">a través de los </w:t>
      </w:r>
      <w:r w:rsidRPr="0002143E">
        <w:rPr>
          <w:rFonts w:ascii="Open Sans" w:hAnsi="Open Sans" w:cs="Arial"/>
          <w:b/>
          <w:sz w:val="20"/>
          <w:szCs w:val="20"/>
          <w:lang w:val="es-ES"/>
        </w:rPr>
        <w:t>indicadores cualitativos</w:t>
      </w:r>
      <w:r w:rsidRPr="00EB34C2">
        <w:rPr>
          <w:rFonts w:ascii="Open Sans" w:hAnsi="Open Sans" w:cs="Arial"/>
          <w:sz w:val="20"/>
          <w:szCs w:val="20"/>
          <w:lang w:val="es-ES"/>
        </w:rPr>
        <w:t xml:space="preserve">. Para ilustrar estos análisis de resultados </w:t>
      </w:r>
      <w:r>
        <w:rPr>
          <w:rFonts w:ascii="Open Sans" w:hAnsi="Open Sans" w:cs="Arial"/>
          <w:sz w:val="20"/>
          <w:szCs w:val="20"/>
          <w:lang w:val="es-ES"/>
        </w:rPr>
        <w:t xml:space="preserve">de manera agregada y por </w:t>
      </w:r>
      <w:r w:rsidRPr="00EB34C2">
        <w:rPr>
          <w:rFonts w:ascii="Open Sans" w:hAnsi="Open Sans" w:cs="Arial"/>
          <w:sz w:val="20"/>
          <w:szCs w:val="20"/>
          <w:lang w:val="es-ES"/>
        </w:rPr>
        <w:t>áreas temáticas con el objetivo de hacer visible cómo informan las empresas en aspectos significativos de su desempeño.</w:t>
      </w:r>
    </w:p>
    <w:p w14:paraId="7CCD98D7" w14:textId="77777777" w:rsidR="0002143E" w:rsidRPr="00EB34C2" w:rsidRDefault="0002143E" w:rsidP="0002143E">
      <w:pPr>
        <w:jc w:val="both"/>
        <w:rPr>
          <w:rFonts w:ascii="Open Sans" w:hAnsi="Open Sans" w:cs="Arial"/>
          <w:sz w:val="20"/>
          <w:szCs w:val="20"/>
          <w:lang w:val="es-ES"/>
        </w:rPr>
      </w:pPr>
    </w:p>
    <w:p w14:paraId="766D5960" w14:textId="77777777" w:rsidR="0002143E" w:rsidRDefault="0002143E" w:rsidP="0002143E">
      <w:pPr>
        <w:rPr>
          <w:rFonts w:ascii="Open Sans" w:hAnsi="Open Sans" w:cs="Arial"/>
          <w:b/>
          <w:sz w:val="22"/>
          <w:szCs w:val="22"/>
        </w:rPr>
      </w:pPr>
    </w:p>
    <w:p w14:paraId="5C0AC005" w14:textId="77777777" w:rsidR="0002143E" w:rsidRPr="00D84C05" w:rsidRDefault="0002143E" w:rsidP="0002143E">
      <w:pPr>
        <w:rPr>
          <w:rFonts w:ascii="Open Sans" w:hAnsi="Open Sans" w:cs="Arial"/>
          <w:b/>
          <w:sz w:val="22"/>
          <w:szCs w:val="22"/>
        </w:rPr>
      </w:pPr>
      <w:r w:rsidRPr="00D84C05">
        <w:rPr>
          <w:rFonts w:ascii="Open Sans" w:hAnsi="Open Sans" w:cs="Arial"/>
          <w:b/>
          <w:sz w:val="22"/>
          <w:szCs w:val="22"/>
        </w:rPr>
        <w:t>Resultados por empresa</w:t>
      </w:r>
    </w:p>
    <w:p w14:paraId="23755B4E" w14:textId="77777777" w:rsidR="0002143E" w:rsidRPr="00D84C05" w:rsidRDefault="0002143E" w:rsidP="0002143E">
      <w:pPr>
        <w:rPr>
          <w:rFonts w:ascii="Open Sans" w:hAnsi="Open Sans" w:cs="Arial"/>
        </w:rPr>
      </w:pPr>
    </w:p>
    <w:p w14:paraId="11BD0588" w14:textId="77777777" w:rsidR="00DA6FB0" w:rsidRDefault="0002143E" w:rsidP="0002143E">
      <w:pPr>
        <w:tabs>
          <w:tab w:val="left" w:pos="1656"/>
        </w:tabs>
        <w:jc w:val="both"/>
        <w:rPr>
          <w:rFonts w:ascii="Open Sans" w:hAnsi="Open Sans" w:cs="Arial"/>
          <w:sz w:val="20"/>
          <w:szCs w:val="20"/>
        </w:rPr>
      </w:pPr>
      <w:r w:rsidRPr="00D84C05">
        <w:rPr>
          <w:rFonts w:ascii="Open Sans" w:hAnsi="Open Sans" w:cs="Arial"/>
          <w:sz w:val="20"/>
          <w:szCs w:val="20"/>
        </w:rPr>
        <w:t xml:space="preserve">A continuación se muestran los resultados de la calidad de la información analizada, obtenidos por todas las empresas incluidas en el alcance del estudio, </w:t>
      </w:r>
      <w:r w:rsidRPr="0002143E">
        <w:rPr>
          <w:rFonts w:ascii="Open Sans" w:hAnsi="Open Sans" w:cs="Arial"/>
          <w:b/>
          <w:sz w:val="20"/>
          <w:szCs w:val="20"/>
        </w:rPr>
        <w:t>ordenadas alfabéticamente.</w:t>
      </w:r>
      <w:r w:rsidRPr="00D84C05">
        <w:rPr>
          <w:rFonts w:ascii="Open Sans" w:hAnsi="Open Sans" w:cs="Arial"/>
          <w:sz w:val="20"/>
          <w:szCs w:val="20"/>
        </w:rPr>
        <w:t xml:space="preserve"> </w:t>
      </w:r>
      <w:r>
        <w:rPr>
          <w:rFonts w:ascii="Open Sans" w:hAnsi="Open Sans" w:cs="Arial"/>
          <w:sz w:val="20"/>
          <w:szCs w:val="20"/>
        </w:rPr>
        <w:t xml:space="preserve"> </w:t>
      </w:r>
      <w:r w:rsidRPr="00D84C05">
        <w:rPr>
          <w:rFonts w:ascii="Open Sans" w:hAnsi="Open Sans" w:cs="Arial"/>
          <w:sz w:val="20"/>
          <w:szCs w:val="20"/>
        </w:rPr>
        <w:t xml:space="preserve">Las puntuaciones muestran los resultados por ámbitos analizados. </w:t>
      </w:r>
    </w:p>
    <w:p w14:paraId="16D72329" w14:textId="77777777" w:rsidR="00DA6FB0" w:rsidRDefault="00DA6FB0" w:rsidP="0002143E">
      <w:pPr>
        <w:tabs>
          <w:tab w:val="left" w:pos="1656"/>
        </w:tabs>
        <w:jc w:val="both"/>
        <w:rPr>
          <w:rFonts w:ascii="Open Sans" w:hAnsi="Open Sans" w:cs="Arial"/>
          <w:sz w:val="20"/>
          <w:szCs w:val="20"/>
        </w:rPr>
      </w:pPr>
    </w:p>
    <w:p w14:paraId="683C90DB" w14:textId="1B89F70B" w:rsidR="0002143E" w:rsidRDefault="0002143E" w:rsidP="0002143E">
      <w:pPr>
        <w:tabs>
          <w:tab w:val="left" w:pos="1656"/>
        </w:tabs>
        <w:jc w:val="both"/>
        <w:rPr>
          <w:rFonts w:ascii="Open Sans" w:eastAsia="Times New Roman" w:hAnsi="Open Sans" w:cs="Arial"/>
          <w:sz w:val="20"/>
          <w:szCs w:val="22"/>
          <w:lang w:val="es-ES" w:eastAsia="ar-SA"/>
        </w:rPr>
      </w:pPr>
      <w:r>
        <w:rPr>
          <w:rFonts w:ascii="Open Sans" w:hAnsi="Open Sans" w:cs="Arial"/>
          <w:sz w:val="20"/>
          <w:szCs w:val="20"/>
        </w:rPr>
        <w:t>Los resultados se presentan por nivel de cumplimiento sobre el total de indicadores cualitativos analizados en cada dimensión</w:t>
      </w:r>
      <w:r w:rsidRPr="00D84C05">
        <w:rPr>
          <w:rFonts w:ascii="Open Sans" w:hAnsi="Open Sans" w:cs="Arial"/>
          <w:sz w:val="20"/>
          <w:szCs w:val="20"/>
        </w:rPr>
        <w:t xml:space="preserve">: </w:t>
      </w:r>
      <w:r w:rsidRPr="004A691D">
        <w:rPr>
          <w:rFonts w:ascii="Open Sans" w:eastAsia="Times New Roman" w:hAnsi="Open Sans" w:cs="Arial"/>
          <w:sz w:val="20"/>
          <w:szCs w:val="22"/>
          <w:lang w:val="es-ES" w:eastAsia="ar-SA"/>
        </w:rPr>
        <w:t>Estrategia/ Política fiscal; Impuestos e incentivos; Paraísos y nichos fiscales; Relación con las administraciones Pública</w:t>
      </w:r>
      <w:r>
        <w:rPr>
          <w:rFonts w:ascii="Open Sans" w:eastAsia="Times New Roman" w:hAnsi="Open Sans" w:cs="Arial"/>
          <w:sz w:val="20"/>
          <w:szCs w:val="22"/>
          <w:lang w:val="es-ES" w:eastAsia="ar-SA"/>
        </w:rPr>
        <w:t>, Operativa de la empresa</w:t>
      </w:r>
    </w:p>
    <w:p w14:paraId="768E135F" w14:textId="77777777" w:rsidR="0002143E" w:rsidRDefault="0002143E" w:rsidP="0002143E">
      <w:pPr>
        <w:tabs>
          <w:tab w:val="left" w:pos="1656"/>
        </w:tabs>
        <w:jc w:val="both"/>
        <w:rPr>
          <w:rFonts w:ascii="Open Sans" w:eastAsia="Times New Roman" w:hAnsi="Open Sans" w:cs="Arial"/>
          <w:sz w:val="20"/>
          <w:szCs w:val="22"/>
          <w:lang w:val="es-ES" w:eastAsia="ar-SA"/>
        </w:rPr>
      </w:pPr>
    </w:p>
    <w:p w14:paraId="62936ABE" w14:textId="566C9E48" w:rsidR="00DA6FB0" w:rsidRDefault="00DA6FB0">
      <w:pPr>
        <w:rPr>
          <w:rFonts w:cs="Arial"/>
          <w:szCs w:val="22"/>
        </w:rPr>
      </w:pPr>
      <w:r>
        <w:rPr>
          <w:rFonts w:cs="Arial"/>
          <w:szCs w:val="22"/>
        </w:rPr>
        <w:br w:type="page"/>
      </w:r>
    </w:p>
    <w:p w14:paraId="20010773" w14:textId="77777777" w:rsidR="0002143E" w:rsidRDefault="0002143E" w:rsidP="005B037B">
      <w:pPr>
        <w:jc w:val="both"/>
        <w:rPr>
          <w:rFonts w:cs="Arial"/>
          <w:szCs w:val="22"/>
        </w:rPr>
      </w:pPr>
    </w:p>
    <w:p w14:paraId="4C72EAD1" w14:textId="758EB60B" w:rsidR="0002143E" w:rsidRDefault="0002143E" w:rsidP="005B037B">
      <w:pPr>
        <w:jc w:val="both"/>
        <w:rPr>
          <w:rFonts w:cs="Arial"/>
          <w:szCs w:val="22"/>
        </w:rPr>
      </w:pPr>
    </w:p>
    <w:p w14:paraId="6FA72E10" w14:textId="74C05425" w:rsidR="0002143E" w:rsidRDefault="0071291C" w:rsidP="0071291C">
      <w:pPr>
        <w:jc w:val="center"/>
        <w:rPr>
          <w:rFonts w:cs="Arial"/>
          <w:szCs w:val="22"/>
        </w:rPr>
      </w:pPr>
      <w:r w:rsidRPr="0071291C">
        <w:drawing>
          <wp:inline distT="0" distB="0" distL="0" distR="0" wp14:anchorId="79D8279D" wp14:editId="7760B18B">
            <wp:extent cx="5806800" cy="7560000"/>
            <wp:effectExtent l="0" t="0" r="381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6800" cy="7560000"/>
                    </a:xfrm>
                    <a:prstGeom prst="rect">
                      <a:avLst/>
                    </a:prstGeom>
                    <a:noFill/>
                    <a:ln>
                      <a:noFill/>
                    </a:ln>
                  </pic:spPr>
                </pic:pic>
              </a:graphicData>
            </a:graphic>
          </wp:inline>
        </w:drawing>
      </w:r>
    </w:p>
    <w:p w14:paraId="5FBEA0D4" w14:textId="77777777" w:rsidR="0002143E" w:rsidRDefault="0002143E" w:rsidP="005B037B">
      <w:pPr>
        <w:jc w:val="both"/>
        <w:rPr>
          <w:rFonts w:cs="Arial"/>
          <w:szCs w:val="22"/>
        </w:rPr>
      </w:pPr>
    </w:p>
    <w:p w14:paraId="27F3A417" w14:textId="77777777" w:rsidR="00E116C3" w:rsidRDefault="00E116C3" w:rsidP="00E116C3">
      <w:pPr>
        <w:suppressAutoHyphens/>
        <w:contextualSpacing/>
        <w:jc w:val="both"/>
        <w:rPr>
          <w:rFonts w:ascii="Open Sans" w:eastAsia="Times New Roman" w:hAnsi="Open Sans" w:cs="Times New Roman"/>
          <w:sz w:val="20"/>
          <w:lang w:val="es-ES" w:eastAsia="ar-SA"/>
        </w:rPr>
      </w:pPr>
    </w:p>
    <w:p w14:paraId="48EABE2D" w14:textId="77777777" w:rsidR="00E116C3" w:rsidRDefault="00E116C3" w:rsidP="00E116C3">
      <w:pPr>
        <w:suppressAutoHyphens/>
        <w:contextualSpacing/>
        <w:jc w:val="both"/>
        <w:rPr>
          <w:rFonts w:ascii="Open Sans" w:eastAsia="Times New Roman" w:hAnsi="Open Sans" w:cs="Times New Roman"/>
          <w:sz w:val="20"/>
          <w:lang w:val="es-ES" w:eastAsia="ar-SA"/>
        </w:rPr>
        <w:sectPr w:rsidR="00E116C3" w:rsidSect="00CA4DA8">
          <w:pgSz w:w="11900" w:h="16840"/>
          <w:pgMar w:top="1418" w:right="1701" w:bottom="1418" w:left="1701" w:header="708" w:footer="708" w:gutter="0"/>
          <w:cols w:space="708"/>
          <w:docGrid w:linePitch="360"/>
        </w:sectPr>
      </w:pPr>
    </w:p>
    <w:p w14:paraId="708EAA8C" w14:textId="7A8D05AE" w:rsidR="00E116C3" w:rsidRDefault="0077003E" w:rsidP="00E116C3">
      <w:pPr>
        <w:suppressAutoHyphens/>
        <w:contextualSpacing/>
        <w:jc w:val="both"/>
        <w:rPr>
          <w:rFonts w:ascii="Open Sans" w:eastAsia="Times New Roman" w:hAnsi="Open Sans" w:cs="Times New Roman"/>
          <w:sz w:val="20"/>
          <w:lang w:val="es-ES" w:eastAsia="ar-SA"/>
        </w:rPr>
        <w:sectPr w:rsidR="00E116C3" w:rsidSect="00CA4DA8">
          <w:headerReference w:type="default" r:id="rId48"/>
          <w:pgSz w:w="11900" w:h="16840"/>
          <w:pgMar w:top="0" w:right="0" w:bottom="0" w:left="0" w:header="708" w:footer="708" w:gutter="0"/>
          <w:cols w:space="708"/>
          <w:titlePg/>
          <w:docGrid w:linePitch="360"/>
        </w:sectPr>
      </w:pPr>
      <w:r>
        <w:rPr>
          <w:rFonts w:ascii="Open Sans" w:eastAsia="Times New Roman" w:hAnsi="Open Sans" w:cs="Times New Roman"/>
          <w:noProof/>
          <w:sz w:val="20"/>
          <w:lang w:val="es-ES"/>
        </w:rPr>
        <w:drawing>
          <wp:inline distT="0" distB="0" distL="0" distR="0" wp14:anchorId="2992BD76" wp14:editId="150F977B">
            <wp:extent cx="7556500" cy="10684336"/>
            <wp:effectExtent l="0" t="0" r="0" b="9525"/>
            <wp:docPr id="4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7556500" cy="10684336"/>
                    </a:xfrm>
                    <a:prstGeom prst="rect">
                      <a:avLst/>
                    </a:prstGeom>
                    <a:noFill/>
                    <a:ln>
                      <a:noFill/>
                    </a:ln>
                  </pic:spPr>
                </pic:pic>
              </a:graphicData>
            </a:graphic>
          </wp:inline>
        </w:drawing>
      </w:r>
    </w:p>
    <w:p w14:paraId="00122A9F" w14:textId="5BDD059B" w:rsidR="0077003E" w:rsidRPr="00141B49" w:rsidRDefault="0077003E" w:rsidP="0077003E">
      <w:pPr>
        <w:pStyle w:val="Titulo1-InformeFinal"/>
      </w:pPr>
      <w:bookmarkStart w:id="24" w:name="_Toc354061515"/>
      <w:r>
        <w:t>4</w:t>
      </w:r>
      <w:r w:rsidRPr="00D84C05">
        <w:t xml:space="preserve">. </w:t>
      </w:r>
      <w:r>
        <w:t>CONCLUSIONES</w:t>
      </w:r>
      <w:r w:rsidRPr="00D84C05">
        <w:t xml:space="preserve"> DEL ESTUDIO</w:t>
      </w:r>
      <w:bookmarkEnd w:id="24"/>
    </w:p>
    <w:p w14:paraId="204D4E03" w14:textId="77777777" w:rsidR="00D36BB9" w:rsidRPr="00EB34C2" w:rsidRDefault="00D36BB9" w:rsidP="00D36BB9">
      <w:pPr>
        <w:jc w:val="both"/>
        <w:rPr>
          <w:rFonts w:ascii="Open Sans" w:hAnsi="Open Sans" w:cs="Arial"/>
          <w:sz w:val="20"/>
          <w:szCs w:val="20"/>
          <w:lang w:val="es-ES"/>
        </w:rPr>
      </w:pPr>
    </w:p>
    <w:p w14:paraId="6F8E86EB" w14:textId="0978A948" w:rsidR="0002143E" w:rsidRPr="00EB34C2" w:rsidRDefault="0002143E" w:rsidP="0002143E">
      <w:pPr>
        <w:jc w:val="both"/>
        <w:rPr>
          <w:rFonts w:ascii="Open Sans" w:hAnsi="Open Sans" w:cs="Arial"/>
          <w:sz w:val="20"/>
          <w:szCs w:val="20"/>
          <w:lang w:val="es-ES"/>
        </w:rPr>
      </w:pPr>
      <w:r>
        <w:rPr>
          <w:rFonts w:ascii="Open Sans" w:hAnsi="Open Sans" w:cs="Arial"/>
          <w:sz w:val="20"/>
          <w:szCs w:val="20"/>
          <w:lang w:val="es-ES"/>
        </w:rPr>
        <w:t>Los resultados del</w:t>
      </w:r>
      <w:r w:rsidRPr="00844E6A">
        <w:rPr>
          <w:rFonts w:ascii="Open Sans" w:hAnsi="Open Sans" w:cs="Arial"/>
          <w:sz w:val="20"/>
          <w:szCs w:val="20"/>
          <w:lang w:val="es-ES"/>
        </w:rPr>
        <w:t xml:space="preserve"> Estudio </w:t>
      </w:r>
      <w:r>
        <w:rPr>
          <w:rFonts w:ascii="Open Sans" w:hAnsi="Open Sans" w:cs="Arial"/>
          <w:sz w:val="20"/>
          <w:szCs w:val="20"/>
          <w:lang w:val="es-ES"/>
        </w:rPr>
        <w:t xml:space="preserve">sobre la calidad de la información en fiscalidad en </w:t>
      </w:r>
      <w:r w:rsidRPr="00844E6A">
        <w:rPr>
          <w:rFonts w:ascii="Open Sans" w:hAnsi="Open Sans" w:cs="Arial"/>
          <w:sz w:val="20"/>
          <w:szCs w:val="20"/>
          <w:lang w:val="es-ES"/>
        </w:rPr>
        <w:t>los informes anuales del 201</w:t>
      </w:r>
      <w:r>
        <w:rPr>
          <w:rFonts w:ascii="Open Sans" w:hAnsi="Open Sans" w:cs="Arial"/>
          <w:sz w:val="20"/>
          <w:szCs w:val="20"/>
          <w:lang w:val="es-ES"/>
        </w:rPr>
        <w:t>5 en las empresas del Ibex 35</w:t>
      </w:r>
      <w:r w:rsidRPr="00844E6A">
        <w:rPr>
          <w:rFonts w:ascii="Open Sans" w:hAnsi="Open Sans" w:cs="Arial"/>
          <w:sz w:val="20"/>
          <w:szCs w:val="20"/>
          <w:lang w:val="es-ES"/>
        </w:rPr>
        <w:t xml:space="preserve"> pone</w:t>
      </w:r>
      <w:r>
        <w:rPr>
          <w:rFonts w:ascii="Open Sans" w:hAnsi="Open Sans" w:cs="Arial"/>
          <w:sz w:val="20"/>
          <w:szCs w:val="20"/>
          <w:lang w:val="es-ES"/>
        </w:rPr>
        <w:t>n</w:t>
      </w:r>
      <w:r w:rsidRPr="00844E6A">
        <w:rPr>
          <w:rFonts w:ascii="Open Sans" w:hAnsi="Open Sans" w:cs="Arial"/>
          <w:sz w:val="20"/>
          <w:szCs w:val="20"/>
          <w:lang w:val="es-ES"/>
        </w:rPr>
        <w:t xml:space="preserve"> de manifiesto, por la puntuación global obtenida que la calid</w:t>
      </w:r>
      <w:r w:rsidR="00CB41CD">
        <w:rPr>
          <w:rFonts w:ascii="Open Sans" w:hAnsi="Open Sans" w:cs="Arial"/>
          <w:sz w:val="20"/>
          <w:szCs w:val="20"/>
          <w:lang w:val="es-ES"/>
        </w:rPr>
        <w:t>ad de los contenidos publicados y</w:t>
      </w:r>
      <w:r w:rsidRPr="00844E6A">
        <w:rPr>
          <w:rFonts w:ascii="Open Sans" w:hAnsi="Open Sans" w:cs="Arial"/>
          <w:sz w:val="20"/>
          <w:szCs w:val="20"/>
          <w:lang w:val="es-ES"/>
        </w:rPr>
        <w:t xml:space="preserve"> siguiendo la metodología </w:t>
      </w:r>
      <w:r w:rsidR="00CB41CD">
        <w:rPr>
          <w:rFonts w:ascii="Open Sans" w:hAnsi="Open Sans" w:cs="Arial"/>
          <w:sz w:val="20"/>
          <w:szCs w:val="20"/>
          <w:lang w:val="es-ES"/>
        </w:rPr>
        <w:t>detallada en el capítulo anterior,</w:t>
      </w:r>
      <w:r w:rsidRPr="00844E6A">
        <w:rPr>
          <w:rFonts w:ascii="Open Sans" w:hAnsi="Open Sans" w:cs="Arial"/>
          <w:sz w:val="20"/>
          <w:szCs w:val="20"/>
          <w:lang w:val="es-ES"/>
        </w:rPr>
        <w:t xml:space="preserve"> </w:t>
      </w:r>
      <w:r w:rsidR="00CB41CD">
        <w:rPr>
          <w:rFonts w:ascii="Open Sans" w:hAnsi="Open Sans" w:cs="Arial"/>
          <w:sz w:val="20"/>
          <w:szCs w:val="20"/>
          <w:lang w:val="es-ES"/>
        </w:rPr>
        <w:t xml:space="preserve">que la información facilitada en el ámbito de fiscalidad responsable es </w:t>
      </w:r>
      <w:r w:rsidRPr="00010B02">
        <w:rPr>
          <w:rFonts w:ascii="Open Sans" w:hAnsi="Open Sans" w:cs="Arial"/>
          <w:sz w:val="20"/>
          <w:szCs w:val="20"/>
          <w:lang w:val="es-ES"/>
        </w:rPr>
        <w:t>escasa.</w:t>
      </w:r>
    </w:p>
    <w:p w14:paraId="49DACA00" w14:textId="77777777" w:rsidR="0002143E" w:rsidRPr="00EB34C2" w:rsidRDefault="0002143E" w:rsidP="0002143E">
      <w:pPr>
        <w:jc w:val="both"/>
        <w:rPr>
          <w:rFonts w:ascii="Open Sans" w:hAnsi="Open Sans" w:cs="Arial"/>
          <w:i/>
          <w:sz w:val="20"/>
          <w:szCs w:val="20"/>
          <w:lang w:val="es-ES"/>
        </w:rPr>
      </w:pPr>
    </w:p>
    <w:p w14:paraId="698439BD" w14:textId="577E7A09" w:rsidR="0002143E" w:rsidRPr="00EB34C2" w:rsidRDefault="0002143E" w:rsidP="0002143E">
      <w:pPr>
        <w:jc w:val="both"/>
        <w:rPr>
          <w:rFonts w:ascii="Open Sans" w:hAnsi="Open Sans" w:cs="Arial"/>
          <w:sz w:val="20"/>
          <w:szCs w:val="20"/>
          <w:lang w:val="es-ES"/>
        </w:rPr>
      </w:pPr>
      <w:r w:rsidRPr="00EB34C2">
        <w:rPr>
          <w:rFonts w:ascii="Open Sans" w:hAnsi="Open Sans" w:cs="Arial"/>
          <w:sz w:val="20"/>
          <w:szCs w:val="20"/>
          <w:lang w:val="es-ES"/>
        </w:rPr>
        <w:t>Las conclusiones sobre contenidos que surgen del presente estudio se agrupan en cinco áreas</w:t>
      </w:r>
      <w:r w:rsidR="00010B02">
        <w:rPr>
          <w:rFonts w:ascii="Open Sans" w:hAnsi="Open Sans" w:cs="Arial"/>
          <w:sz w:val="20"/>
          <w:szCs w:val="20"/>
          <w:lang w:val="es-ES"/>
        </w:rPr>
        <w:t xml:space="preserve">, que de acuerdo con la metodología empleada se consideran </w:t>
      </w:r>
      <w:r w:rsidRPr="00EB34C2">
        <w:rPr>
          <w:rFonts w:ascii="Open Sans" w:hAnsi="Open Sans" w:cs="Arial"/>
          <w:sz w:val="20"/>
          <w:szCs w:val="20"/>
          <w:lang w:val="es-ES"/>
        </w:rPr>
        <w:t>esenciales</w:t>
      </w:r>
      <w:r w:rsidR="00010B02">
        <w:rPr>
          <w:rFonts w:ascii="Open Sans" w:hAnsi="Open Sans" w:cs="Arial"/>
          <w:sz w:val="20"/>
          <w:szCs w:val="20"/>
          <w:lang w:val="es-ES"/>
        </w:rPr>
        <w:t xml:space="preserve">, y </w:t>
      </w:r>
      <w:r w:rsidRPr="00EB34C2">
        <w:rPr>
          <w:rFonts w:ascii="Open Sans" w:hAnsi="Open Sans" w:cs="Arial"/>
          <w:sz w:val="20"/>
          <w:szCs w:val="20"/>
          <w:lang w:val="es-ES"/>
        </w:rPr>
        <w:t xml:space="preserve">que cubren los diferentes ámbitos de la </w:t>
      </w:r>
      <w:r>
        <w:rPr>
          <w:rFonts w:ascii="Open Sans" w:hAnsi="Open Sans" w:cs="Arial"/>
          <w:sz w:val="20"/>
          <w:szCs w:val="20"/>
          <w:lang w:val="es-ES"/>
        </w:rPr>
        <w:t>fiscalidad desde una aproximación de la fiscalidad responsable y de rendición de cuentas</w:t>
      </w:r>
      <w:r w:rsidRPr="00EB34C2">
        <w:rPr>
          <w:rFonts w:ascii="Open Sans" w:hAnsi="Open Sans" w:cs="Arial"/>
          <w:sz w:val="20"/>
          <w:szCs w:val="20"/>
          <w:lang w:val="es-ES"/>
        </w:rPr>
        <w:t>.</w:t>
      </w:r>
    </w:p>
    <w:p w14:paraId="10A7FC67" w14:textId="77777777" w:rsidR="0002143E" w:rsidRPr="00EB34C2" w:rsidRDefault="0002143E" w:rsidP="0002143E">
      <w:pPr>
        <w:jc w:val="both"/>
        <w:rPr>
          <w:rFonts w:ascii="Open Sans" w:hAnsi="Open Sans" w:cs="Arial"/>
          <w:sz w:val="20"/>
          <w:szCs w:val="20"/>
          <w:lang w:val="es-ES"/>
        </w:rPr>
      </w:pPr>
    </w:p>
    <w:tbl>
      <w:tblPr>
        <w:tblW w:w="5280" w:type="dxa"/>
        <w:tblInd w:w="65" w:type="dxa"/>
        <w:tblCellMar>
          <w:left w:w="70" w:type="dxa"/>
          <w:right w:w="70" w:type="dxa"/>
        </w:tblCellMar>
        <w:tblLook w:val="04A0" w:firstRow="1" w:lastRow="0" w:firstColumn="1" w:lastColumn="0" w:noHBand="0" w:noVBand="1"/>
      </w:tblPr>
      <w:tblGrid>
        <w:gridCol w:w="5280"/>
      </w:tblGrid>
      <w:tr w:rsidR="0002143E" w:rsidRPr="00691010" w14:paraId="3E5E991F" w14:textId="77777777" w:rsidTr="003828F3">
        <w:trPr>
          <w:trHeight w:val="315"/>
        </w:trPr>
        <w:tc>
          <w:tcPr>
            <w:tcW w:w="5280" w:type="dxa"/>
            <w:shd w:val="clear" w:color="auto" w:fill="auto"/>
            <w:noWrap/>
            <w:vAlign w:val="bottom"/>
            <w:hideMark/>
          </w:tcPr>
          <w:p w14:paraId="178AAEBF" w14:textId="77777777" w:rsidR="0002143E" w:rsidRPr="00691010" w:rsidRDefault="0002143E"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Política/estrategia fiscal</w:t>
            </w:r>
          </w:p>
        </w:tc>
      </w:tr>
      <w:tr w:rsidR="0002143E" w:rsidRPr="00691010" w14:paraId="00ABEDAC" w14:textId="77777777" w:rsidTr="003828F3">
        <w:trPr>
          <w:trHeight w:val="315"/>
        </w:trPr>
        <w:tc>
          <w:tcPr>
            <w:tcW w:w="5280" w:type="dxa"/>
            <w:shd w:val="clear" w:color="auto" w:fill="auto"/>
            <w:noWrap/>
            <w:vAlign w:val="bottom"/>
            <w:hideMark/>
          </w:tcPr>
          <w:p w14:paraId="4E251BE5" w14:textId="77777777" w:rsidR="0002143E" w:rsidRPr="00691010" w:rsidRDefault="0002143E"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Paraísos y nichos fiscales</w:t>
            </w:r>
          </w:p>
        </w:tc>
      </w:tr>
      <w:tr w:rsidR="0002143E" w:rsidRPr="00691010" w14:paraId="75098532" w14:textId="77777777" w:rsidTr="003828F3">
        <w:trPr>
          <w:trHeight w:val="315"/>
        </w:trPr>
        <w:tc>
          <w:tcPr>
            <w:tcW w:w="5280" w:type="dxa"/>
            <w:shd w:val="clear" w:color="auto" w:fill="auto"/>
            <w:noWrap/>
            <w:vAlign w:val="bottom"/>
            <w:hideMark/>
          </w:tcPr>
          <w:p w14:paraId="5EC98BEA" w14:textId="77777777" w:rsidR="0002143E" w:rsidRPr="00691010" w:rsidRDefault="0002143E"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Impuestos e incentivos</w:t>
            </w:r>
          </w:p>
        </w:tc>
      </w:tr>
      <w:tr w:rsidR="0002143E" w:rsidRPr="00691010" w14:paraId="1F61A38F" w14:textId="77777777" w:rsidTr="003828F3">
        <w:trPr>
          <w:trHeight w:val="315"/>
        </w:trPr>
        <w:tc>
          <w:tcPr>
            <w:tcW w:w="5280" w:type="dxa"/>
            <w:shd w:val="clear" w:color="auto" w:fill="auto"/>
            <w:noWrap/>
            <w:vAlign w:val="bottom"/>
            <w:hideMark/>
          </w:tcPr>
          <w:p w14:paraId="0947B7C5" w14:textId="77777777" w:rsidR="0002143E" w:rsidRPr="00691010" w:rsidRDefault="0002143E" w:rsidP="000B70C9">
            <w:pPr>
              <w:pStyle w:val="Prrafodelista"/>
              <w:numPr>
                <w:ilvl w:val="0"/>
                <w:numId w:val="101"/>
              </w:numPr>
              <w:tabs>
                <w:tab w:val="left" w:pos="1656"/>
              </w:tabs>
              <w:jc w:val="both"/>
              <w:rPr>
                <w:rFonts w:ascii="Open Sans" w:hAnsi="Open Sans" w:cs="Arial"/>
                <w:sz w:val="20"/>
                <w:szCs w:val="20"/>
              </w:rPr>
            </w:pPr>
            <w:r w:rsidRPr="00691010">
              <w:rPr>
                <w:rFonts w:ascii="Open Sans" w:hAnsi="Open Sans" w:cs="Arial"/>
                <w:sz w:val="20"/>
                <w:szCs w:val="20"/>
              </w:rPr>
              <w:t>Relación con administraciones tributarias</w:t>
            </w:r>
          </w:p>
        </w:tc>
      </w:tr>
      <w:tr w:rsidR="0002143E" w:rsidRPr="00691010" w14:paraId="62290890" w14:textId="77777777" w:rsidTr="003828F3">
        <w:trPr>
          <w:trHeight w:val="330"/>
        </w:trPr>
        <w:tc>
          <w:tcPr>
            <w:tcW w:w="5280" w:type="dxa"/>
            <w:shd w:val="clear" w:color="auto" w:fill="auto"/>
            <w:noWrap/>
            <w:vAlign w:val="bottom"/>
            <w:hideMark/>
          </w:tcPr>
          <w:p w14:paraId="7FCC781E" w14:textId="77777777" w:rsidR="0002143E" w:rsidRPr="00691010" w:rsidRDefault="0002143E" w:rsidP="000B70C9">
            <w:pPr>
              <w:pStyle w:val="Prrafodelista"/>
              <w:numPr>
                <w:ilvl w:val="0"/>
                <w:numId w:val="101"/>
              </w:numPr>
              <w:tabs>
                <w:tab w:val="left" w:pos="1656"/>
              </w:tabs>
              <w:jc w:val="both"/>
              <w:rPr>
                <w:rFonts w:ascii="Open Sans" w:hAnsi="Open Sans" w:cs="Arial"/>
                <w:sz w:val="20"/>
                <w:szCs w:val="20"/>
              </w:rPr>
            </w:pPr>
            <w:r>
              <w:rPr>
                <w:rFonts w:ascii="Open Sans" w:hAnsi="Open Sans" w:cs="Arial"/>
                <w:sz w:val="20"/>
                <w:szCs w:val="20"/>
              </w:rPr>
              <w:t>Operativa de la empresa</w:t>
            </w:r>
          </w:p>
        </w:tc>
      </w:tr>
    </w:tbl>
    <w:p w14:paraId="5B3A6B48" w14:textId="77777777" w:rsidR="0002143E" w:rsidRPr="00EB34C2" w:rsidRDefault="0002143E" w:rsidP="0002143E">
      <w:pPr>
        <w:jc w:val="both"/>
        <w:rPr>
          <w:rFonts w:ascii="Open Sans" w:hAnsi="Open Sans" w:cs="Arial"/>
          <w:sz w:val="20"/>
          <w:szCs w:val="20"/>
          <w:lang w:val="es-ES"/>
        </w:rPr>
      </w:pPr>
    </w:p>
    <w:p w14:paraId="6B32835E" w14:textId="77777777" w:rsidR="0002143E" w:rsidRPr="00EB34C2" w:rsidRDefault="0002143E" w:rsidP="0002143E">
      <w:pPr>
        <w:jc w:val="both"/>
        <w:rPr>
          <w:rFonts w:ascii="Open Sans" w:hAnsi="Open Sans" w:cs="Arial"/>
          <w:sz w:val="20"/>
          <w:szCs w:val="20"/>
          <w:lang w:val="es-ES"/>
        </w:rPr>
      </w:pPr>
      <w:r w:rsidRPr="00EB34C2">
        <w:rPr>
          <w:rFonts w:ascii="Open Sans" w:hAnsi="Open Sans" w:cs="Arial"/>
          <w:sz w:val="20"/>
          <w:szCs w:val="20"/>
          <w:lang w:val="es-ES"/>
        </w:rPr>
        <w:t xml:space="preserve">En dichas conclusiones, se intercalan datos cuantitativos sobre el desempeño de las empresas que miden algunos aspectos significativos relacionados con las diferentes áreas </w:t>
      </w:r>
      <w:r>
        <w:rPr>
          <w:rFonts w:ascii="Open Sans" w:hAnsi="Open Sans" w:cs="Arial"/>
          <w:sz w:val="20"/>
          <w:szCs w:val="20"/>
          <w:lang w:val="es-ES"/>
        </w:rPr>
        <w:t>analizadas</w:t>
      </w:r>
      <w:r w:rsidRPr="00EB34C2">
        <w:rPr>
          <w:rFonts w:ascii="Open Sans" w:hAnsi="Open Sans" w:cs="Arial"/>
          <w:sz w:val="20"/>
          <w:szCs w:val="20"/>
          <w:lang w:val="es-ES"/>
        </w:rPr>
        <w:t>.</w:t>
      </w:r>
    </w:p>
    <w:p w14:paraId="0BE6A1AA" w14:textId="77777777" w:rsidR="0002143E" w:rsidRPr="00EB34C2" w:rsidRDefault="0002143E" w:rsidP="0002143E">
      <w:pPr>
        <w:jc w:val="both"/>
        <w:rPr>
          <w:rFonts w:ascii="Open Sans" w:hAnsi="Open Sans" w:cs="Arial"/>
          <w:sz w:val="20"/>
          <w:szCs w:val="20"/>
          <w:lang w:val="es-ES"/>
        </w:rPr>
      </w:pPr>
    </w:p>
    <w:p w14:paraId="29D4BB9E" w14:textId="77777777" w:rsidR="0002143E" w:rsidRPr="00EB34C2" w:rsidRDefault="0002143E" w:rsidP="0002143E">
      <w:pPr>
        <w:jc w:val="both"/>
        <w:rPr>
          <w:rFonts w:ascii="Open Sans" w:hAnsi="Open Sans" w:cs="Arial"/>
          <w:sz w:val="20"/>
          <w:szCs w:val="20"/>
          <w:lang w:val="es-ES"/>
        </w:rPr>
      </w:pPr>
      <w:r w:rsidRPr="00EB34C2">
        <w:rPr>
          <w:rFonts w:ascii="Open Sans" w:hAnsi="Open Sans" w:cs="Arial"/>
          <w:sz w:val="20"/>
          <w:szCs w:val="20"/>
          <w:lang w:val="es-ES"/>
        </w:rPr>
        <w:t xml:space="preserve">Respecto a los bajos resultados obtenidos, es importante destacar que el esfuerzo de comunicación realizado por </w:t>
      </w:r>
      <w:r>
        <w:rPr>
          <w:rFonts w:ascii="Open Sans" w:hAnsi="Open Sans" w:cs="Arial"/>
          <w:sz w:val="20"/>
          <w:szCs w:val="20"/>
          <w:lang w:val="es-ES"/>
        </w:rPr>
        <w:t>algunas</w:t>
      </w:r>
      <w:r w:rsidRPr="00EB34C2">
        <w:rPr>
          <w:rFonts w:ascii="Open Sans" w:hAnsi="Open Sans" w:cs="Arial"/>
          <w:sz w:val="20"/>
          <w:szCs w:val="20"/>
          <w:lang w:val="es-ES"/>
        </w:rPr>
        <w:t xml:space="preserve"> empresas sobre aspectos </w:t>
      </w:r>
      <w:r>
        <w:rPr>
          <w:rFonts w:ascii="Open Sans" w:hAnsi="Open Sans" w:cs="Arial"/>
          <w:sz w:val="20"/>
          <w:szCs w:val="20"/>
          <w:lang w:val="es-ES"/>
        </w:rPr>
        <w:t xml:space="preserve">relacionados con fiscalidad </w:t>
      </w:r>
      <w:r w:rsidRPr="00EB34C2">
        <w:rPr>
          <w:rFonts w:ascii="Open Sans" w:hAnsi="Open Sans" w:cs="Arial"/>
          <w:sz w:val="20"/>
          <w:szCs w:val="20"/>
          <w:lang w:val="es-ES"/>
        </w:rPr>
        <w:t xml:space="preserve">no va siempre acompañado de información relevante en relación a contenidos concretos sobre resultados, impactos o datos que permitan entender la </w:t>
      </w:r>
      <w:r>
        <w:rPr>
          <w:rFonts w:ascii="Open Sans" w:hAnsi="Open Sans" w:cs="Arial"/>
          <w:sz w:val="20"/>
          <w:szCs w:val="20"/>
          <w:lang w:val="es-ES"/>
        </w:rPr>
        <w:t>contribución económica a través de la fiscalidad</w:t>
      </w:r>
      <w:r w:rsidRPr="00EB34C2">
        <w:rPr>
          <w:rFonts w:ascii="Open Sans" w:hAnsi="Open Sans" w:cs="Arial"/>
          <w:sz w:val="20"/>
          <w:szCs w:val="20"/>
          <w:lang w:val="es-ES"/>
        </w:rPr>
        <w:t xml:space="preserve">. </w:t>
      </w:r>
    </w:p>
    <w:p w14:paraId="757ACC2F" w14:textId="77777777" w:rsidR="004A54FF" w:rsidRDefault="004A54FF" w:rsidP="00D36BB9">
      <w:pPr>
        <w:jc w:val="both"/>
        <w:rPr>
          <w:rFonts w:ascii="Open Sans" w:hAnsi="Open Sans" w:cs="Arial"/>
          <w:sz w:val="20"/>
          <w:szCs w:val="20"/>
          <w:lang w:val="es-ES"/>
        </w:rPr>
      </w:pPr>
    </w:p>
    <w:p w14:paraId="183BEA7D" w14:textId="4D9F7E5F" w:rsidR="0002143E" w:rsidRDefault="0002143E">
      <w:pPr>
        <w:rPr>
          <w:rFonts w:ascii="Open Sans" w:hAnsi="Open Sans" w:cs="Arial"/>
          <w:sz w:val="20"/>
          <w:szCs w:val="20"/>
          <w:lang w:val="es-ES"/>
        </w:rPr>
      </w:pPr>
      <w:r>
        <w:rPr>
          <w:rFonts w:ascii="Open Sans" w:hAnsi="Open Sans" w:cs="Arial"/>
          <w:sz w:val="20"/>
          <w:szCs w:val="20"/>
          <w:lang w:val="es-ES"/>
        </w:rPr>
        <w:br w:type="page"/>
      </w:r>
    </w:p>
    <w:p w14:paraId="7ABFEEDB" w14:textId="77777777" w:rsidR="0002143E" w:rsidRPr="00EB34C2" w:rsidRDefault="0002143E" w:rsidP="00D36BB9">
      <w:pPr>
        <w:jc w:val="both"/>
        <w:rPr>
          <w:rFonts w:ascii="Open Sans" w:hAnsi="Open Sans" w:cs="Arial"/>
          <w:sz w:val="20"/>
          <w:szCs w:val="20"/>
          <w:lang w:val="es-ES"/>
        </w:rPr>
      </w:pPr>
    </w:p>
    <w:p w14:paraId="7EBA5AD0" w14:textId="0D05451C" w:rsidR="00B525FF" w:rsidRPr="00EB34C2" w:rsidRDefault="00841317" w:rsidP="00141B49">
      <w:pPr>
        <w:pStyle w:val="Titulo3-informefinal"/>
        <w:rPr>
          <w:i/>
        </w:rPr>
      </w:pPr>
      <w:bookmarkStart w:id="25" w:name="_Toc254282534"/>
      <w:bookmarkStart w:id="26" w:name="_Toc354061516"/>
      <w:r>
        <w:t>4</w:t>
      </w:r>
      <w:r w:rsidR="00A112C7" w:rsidRPr="00EB34C2">
        <w:t xml:space="preserve">.1. </w:t>
      </w:r>
      <w:bookmarkEnd w:id="25"/>
      <w:r w:rsidR="000200E0">
        <w:t>Política y estrategia fiscal</w:t>
      </w:r>
      <w:bookmarkEnd w:id="26"/>
    </w:p>
    <w:p w14:paraId="42EE9E64" w14:textId="77777777" w:rsidR="00CB5F59" w:rsidRDefault="00CB5F59" w:rsidP="00775474">
      <w:pPr>
        <w:rPr>
          <w:rFonts w:ascii="Open Sans" w:hAnsi="Open Sans" w:cs="Arial"/>
          <w:sz w:val="20"/>
          <w:szCs w:val="20"/>
          <w:lang w:val="es-ES"/>
        </w:rPr>
      </w:pPr>
    </w:p>
    <w:tbl>
      <w:tblPr>
        <w:tblW w:w="8505" w:type="dxa"/>
        <w:tblInd w:w="70" w:type="dxa"/>
        <w:tblLayout w:type="fixed"/>
        <w:tblCellMar>
          <w:left w:w="70" w:type="dxa"/>
          <w:right w:w="70" w:type="dxa"/>
        </w:tblCellMar>
        <w:tblLook w:val="04A0" w:firstRow="1" w:lastRow="0" w:firstColumn="1" w:lastColumn="0" w:noHBand="0" w:noVBand="1"/>
      </w:tblPr>
      <w:tblGrid>
        <w:gridCol w:w="756"/>
        <w:gridCol w:w="3780"/>
        <w:gridCol w:w="1276"/>
        <w:gridCol w:w="992"/>
        <w:gridCol w:w="1701"/>
      </w:tblGrid>
      <w:tr w:rsidR="0002143E" w:rsidRPr="0002143E" w14:paraId="2F98E059" w14:textId="77777777" w:rsidTr="003828F3">
        <w:trPr>
          <w:trHeight w:val="615"/>
        </w:trPr>
        <w:tc>
          <w:tcPr>
            <w:tcW w:w="756" w:type="dxa"/>
            <w:tcBorders>
              <w:top w:val="single" w:sz="8" w:space="0" w:color="auto"/>
              <w:left w:val="single" w:sz="8" w:space="0" w:color="auto"/>
              <w:bottom w:val="single" w:sz="8" w:space="0" w:color="auto"/>
              <w:right w:val="single" w:sz="8" w:space="0" w:color="auto"/>
            </w:tcBorders>
            <w:shd w:val="clear" w:color="000000" w:fill="F2AC3C"/>
            <w:noWrap/>
            <w:vAlign w:val="center"/>
            <w:hideMark/>
          </w:tcPr>
          <w:p w14:paraId="1C6B36B4" w14:textId="77777777" w:rsidR="0002143E" w:rsidRPr="0002143E" w:rsidRDefault="0002143E"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COD.</w:t>
            </w:r>
          </w:p>
        </w:tc>
        <w:tc>
          <w:tcPr>
            <w:tcW w:w="3780" w:type="dxa"/>
            <w:tcBorders>
              <w:top w:val="single" w:sz="8" w:space="0" w:color="auto"/>
              <w:left w:val="nil"/>
              <w:bottom w:val="single" w:sz="8" w:space="0" w:color="auto"/>
              <w:right w:val="single" w:sz="8" w:space="0" w:color="auto"/>
            </w:tcBorders>
            <w:shd w:val="clear" w:color="000000" w:fill="F2AC3C"/>
            <w:noWrap/>
            <w:vAlign w:val="center"/>
            <w:hideMark/>
          </w:tcPr>
          <w:p w14:paraId="581E48EB" w14:textId="77777777" w:rsidR="0002143E" w:rsidRPr="0002143E" w:rsidRDefault="0002143E"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FISCALIDAD</w:t>
            </w:r>
          </w:p>
        </w:tc>
        <w:tc>
          <w:tcPr>
            <w:tcW w:w="1276" w:type="dxa"/>
            <w:tcBorders>
              <w:top w:val="single" w:sz="8" w:space="0" w:color="auto"/>
              <w:left w:val="nil"/>
              <w:bottom w:val="single" w:sz="8" w:space="0" w:color="auto"/>
              <w:right w:val="single" w:sz="8" w:space="0" w:color="auto"/>
            </w:tcBorders>
            <w:shd w:val="clear" w:color="000000" w:fill="F2AC3C"/>
            <w:vAlign w:val="center"/>
            <w:hideMark/>
          </w:tcPr>
          <w:p w14:paraId="1CE03BAF" w14:textId="77777777" w:rsidR="0002143E" w:rsidRPr="0002143E" w:rsidRDefault="0002143E"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NÚMERO EMPRESAS</w:t>
            </w:r>
          </w:p>
        </w:tc>
        <w:tc>
          <w:tcPr>
            <w:tcW w:w="992" w:type="dxa"/>
            <w:tcBorders>
              <w:top w:val="single" w:sz="8" w:space="0" w:color="auto"/>
              <w:left w:val="nil"/>
              <w:bottom w:val="single" w:sz="8" w:space="0" w:color="auto"/>
              <w:right w:val="single" w:sz="8" w:space="0" w:color="auto"/>
            </w:tcBorders>
            <w:shd w:val="clear" w:color="000000" w:fill="F2AC3C"/>
            <w:vAlign w:val="center"/>
            <w:hideMark/>
          </w:tcPr>
          <w:p w14:paraId="615E7A05" w14:textId="77777777" w:rsidR="0002143E" w:rsidRPr="0002143E" w:rsidRDefault="0002143E"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w:t>
            </w:r>
          </w:p>
        </w:tc>
        <w:tc>
          <w:tcPr>
            <w:tcW w:w="1701" w:type="dxa"/>
            <w:tcBorders>
              <w:top w:val="single" w:sz="8" w:space="0" w:color="auto"/>
              <w:left w:val="nil"/>
              <w:bottom w:val="single" w:sz="8" w:space="0" w:color="auto"/>
              <w:right w:val="single" w:sz="8" w:space="0" w:color="auto"/>
            </w:tcBorders>
            <w:shd w:val="clear" w:color="000000" w:fill="F2AC3C"/>
            <w:vAlign w:val="center"/>
          </w:tcPr>
          <w:p w14:paraId="007BFCAB" w14:textId="77777777" w:rsidR="0002143E" w:rsidRPr="0002143E" w:rsidRDefault="0002143E"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VALORACIÓN</w:t>
            </w:r>
          </w:p>
        </w:tc>
      </w:tr>
      <w:tr w:rsidR="006C26BF" w:rsidRPr="0002143E" w14:paraId="662C42CE" w14:textId="77777777" w:rsidTr="002F1355">
        <w:trPr>
          <w:trHeight w:val="555"/>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16E380F7" w14:textId="77777777" w:rsidR="006C26BF" w:rsidRPr="0002143E" w:rsidRDefault="006C26BF"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P.E.1</w:t>
            </w:r>
          </w:p>
        </w:tc>
        <w:tc>
          <w:tcPr>
            <w:tcW w:w="3780" w:type="dxa"/>
            <w:tcBorders>
              <w:top w:val="nil"/>
              <w:left w:val="nil"/>
              <w:bottom w:val="single" w:sz="8" w:space="0" w:color="auto"/>
              <w:right w:val="single" w:sz="8" w:space="0" w:color="auto"/>
            </w:tcBorders>
            <w:shd w:val="clear" w:color="000000" w:fill="FFFFFF"/>
            <w:vAlign w:val="center"/>
            <w:hideMark/>
          </w:tcPr>
          <w:p w14:paraId="30D73F69" w14:textId="77777777" w:rsidR="006C26BF" w:rsidRPr="009C2AA4" w:rsidRDefault="006C26BF" w:rsidP="003828F3">
            <w:pPr>
              <w:jc w:val="center"/>
              <w:rPr>
                <w:rFonts w:ascii="Open Sans" w:eastAsia="Times New Roman" w:hAnsi="Open Sans" w:cs="Open Sans"/>
                <w:b/>
                <w:color w:val="000000"/>
                <w:sz w:val="20"/>
                <w:szCs w:val="20"/>
              </w:rPr>
            </w:pPr>
            <w:r w:rsidRPr="009C2AA4">
              <w:rPr>
                <w:rFonts w:ascii="Open Sans" w:eastAsia="Times New Roman" w:hAnsi="Open Sans" w:cs="Open Sans"/>
                <w:b/>
                <w:color w:val="000000"/>
                <w:sz w:val="20"/>
                <w:szCs w:val="20"/>
              </w:rPr>
              <w:t>La empresa proporciona información sobre su estrategia/política fiscal</w:t>
            </w:r>
          </w:p>
        </w:tc>
        <w:tc>
          <w:tcPr>
            <w:tcW w:w="1276" w:type="dxa"/>
            <w:tcBorders>
              <w:top w:val="nil"/>
              <w:left w:val="nil"/>
              <w:bottom w:val="single" w:sz="8" w:space="0" w:color="auto"/>
              <w:right w:val="single" w:sz="8" w:space="0" w:color="auto"/>
            </w:tcBorders>
            <w:shd w:val="clear" w:color="000000" w:fill="FFFFFF"/>
            <w:vAlign w:val="center"/>
            <w:hideMark/>
          </w:tcPr>
          <w:p w14:paraId="4CA87FC4" w14:textId="02E969BC"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22</w:t>
            </w:r>
          </w:p>
        </w:tc>
        <w:tc>
          <w:tcPr>
            <w:tcW w:w="992" w:type="dxa"/>
            <w:tcBorders>
              <w:top w:val="nil"/>
              <w:left w:val="nil"/>
              <w:bottom w:val="single" w:sz="8" w:space="0" w:color="auto"/>
              <w:right w:val="single" w:sz="8" w:space="0" w:color="auto"/>
            </w:tcBorders>
            <w:shd w:val="clear" w:color="000000" w:fill="FFFFFF"/>
            <w:vAlign w:val="center"/>
            <w:hideMark/>
          </w:tcPr>
          <w:p w14:paraId="773A5183" w14:textId="7AFD4796" w:rsidR="006C26BF" w:rsidRPr="007F7823" w:rsidRDefault="006C26BF" w:rsidP="002F1355">
            <w:pPr>
              <w:jc w:val="center"/>
              <w:rPr>
                <w:rFonts w:ascii="Open Sans" w:hAnsi="Open Sans" w:cs="Open Sans"/>
                <w:b/>
                <w:bCs/>
                <w:color w:val="000000"/>
                <w:sz w:val="20"/>
                <w:szCs w:val="20"/>
              </w:rPr>
            </w:pPr>
            <w:r w:rsidRPr="007F7823">
              <w:rPr>
                <w:rFonts w:ascii="Open Sans" w:hAnsi="Open Sans" w:cs="Open Sans"/>
                <w:b/>
                <w:color w:val="000000"/>
                <w:sz w:val="20"/>
                <w:szCs w:val="20"/>
              </w:rPr>
              <w:t>63%</w:t>
            </w:r>
          </w:p>
        </w:tc>
        <w:tc>
          <w:tcPr>
            <w:tcW w:w="1701" w:type="dxa"/>
            <w:tcBorders>
              <w:top w:val="nil"/>
              <w:left w:val="nil"/>
              <w:bottom w:val="single" w:sz="8" w:space="0" w:color="auto"/>
              <w:right w:val="single" w:sz="8" w:space="0" w:color="auto"/>
            </w:tcBorders>
            <w:shd w:val="clear" w:color="000000" w:fill="FFFFFF"/>
            <w:vAlign w:val="center"/>
          </w:tcPr>
          <w:p w14:paraId="135605E1" w14:textId="41913972"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1,23</w:t>
            </w:r>
          </w:p>
        </w:tc>
      </w:tr>
      <w:tr w:rsidR="006C26BF" w:rsidRPr="0002143E" w14:paraId="02C6A737" w14:textId="77777777" w:rsidTr="002F1355">
        <w:trPr>
          <w:trHeight w:val="598"/>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4B0BD045" w14:textId="77777777" w:rsidR="006C26BF" w:rsidRPr="0002143E" w:rsidRDefault="006C26BF"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P.E.2</w:t>
            </w:r>
          </w:p>
        </w:tc>
        <w:tc>
          <w:tcPr>
            <w:tcW w:w="3780" w:type="dxa"/>
            <w:tcBorders>
              <w:top w:val="nil"/>
              <w:left w:val="nil"/>
              <w:bottom w:val="single" w:sz="8" w:space="0" w:color="auto"/>
              <w:right w:val="single" w:sz="8" w:space="0" w:color="auto"/>
            </w:tcBorders>
            <w:shd w:val="clear" w:color="000000" w:fill="FFFFFF"/>
            <w:vAlign w:val="center"/>
            <w:hideMark/>
          </w:tcPr>
          <w:p w14:paraId="1F41D570" w14:textId="77777777" w:rsidR="006C26BF" w:rsidRPr="009C2AA4" w:rsidRDefault="006C26BF" w:rsidP="003828F3">
            <w:pPr>
              <w:jc w:val="center"/>
              <w:rPr>
                <w:rFonts w:ascii="Open Sans" w:eastAsia="Times New Roman" w:hAnsi="Open Sans" w:cs="Open Sans"/>
                <w:b/>
                <w:color w:val="000000"/>
                <w:sz w:val="20"/>
                <w:szCs w:val="20"/>
              </w:rPr>
            </w:pPr>
            <w:r w:rsidRPr="009C2AA4">
              <w:rPr>
                <w:rFonts w:ascii="Open Sans" w:eastAsia="Times New Roman" w:hAnsi="Open Sans" w:cs="Open Sans"/>
                <w:b/>
                <w:color w:val="000000"/>
                <w:sz w:val="20"/>
                <w:szCs w:val="20"/>
              </w:rPr>
              <w:t>La empresa informa sobre sus principales riesgos fiscales</w:t>
            </w:r>
          </w:p>
        </w:tc>
        <w:tc>
          <w:tcPr>
            <w:tcW w:w="1276" w:type="dxa"/>
            <w:tcBorders>
              <w:top w:val="nil"/>
              <w:left w:val="nil"/>
              <w:bottom w:val="single" w:sz="8" w:space="0" w:color="auto"/>
              <w:right w:val="single" w:sz="8" w:space="0" w:color="auto"/>
            </w:tcBorders>
            <w:shd w:val="clear" w:color="000000" w:fill="FFFFFF"/>
            <w:vAlign w:val="center"/>
            <w:hideMark/>
          </w:tcPr>
          <w:p w14:paraId="3BA5F285" w14:textId="1D605C3F"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12</w:t>
            </w:r>
          </w:p>
        </w:tc>
        <w:tc>
          <w:tcPr>
            <w:tcW w:w="992" w:type="dxa"/>
            <w:tcBorders>
              <w:top w:val="nil"/>
              <w:left w:val="nil"/>
              <w:bottom w:val="single" w:sz="8" w:space="0" w:color="auto"/>
              <w:right w:val="single" w:sz="8" w:space="0" w:color="auto"/>
            </w:tcBorders>
            <w:shd w:val="clear" w:color="000000" w:fill="FFFFFF"/>
            <w:vAlign w:val="center"/>
            <w:hideMark/>
          </w:tcPr>
          <w:p w14:paraId="6855A112" w14:textId="1839A19C" w:rsidR="006C26BF" w:rsidRPr="007F7823" w:rsidRDefault="006C26BF" w:rsidP="002F1355">
            <w:pPr>
              <w:jc w:val="center"/>
              <w:rPr>
                <w:rFonts w:ascii="Open Sans" w:hAnsi="Open Sans" w:cs="Open Sans"/>
                <w:b/>
                <w:bCs/>
                <w:color w:val="000000"/>
                <w:sz w:val="20"/>
                <w:szCs w:val="20"/>
              </w:rPr>
            </w:pPr>
            <w:r w:rsidRPr="007F7823">
              <w:rPr>
                <w:rFonts w:ascii="Open Sans" w:hAnsi="Open Sans" w:cs="Open Sans"/>
                <w:b/>
                <w:color w:val="000000"/>
                <w:sz w:val="20"/>
                <w:szCs w:val="20"/>
              </w:rPr>
              <w:t>34%</w:t>
            </w:r>
          </w:p>
        </w:tc>
        <w:tc>
          <w:tcPr>
            <w:tcW w:w="1701" w:type="dxa"/>
            <w:tcBorders>
              <w:top w:val="nil"/>
              <w:left w:val="nil"/>
              <w:bottom w:val="single" w:sz="8" w:space="0" w:color="auto"/>
              <w:right w:val="single" w:sz="8" w:space="0" w:color="auto"/>
            </w:tcBorders>
            <w:shd w:val="clear" w:color="000000" w:fill="FFFFFF"/>
            <w:vAlign w:val="center"/>
          </w:tcPr>
          <w:p w14:paraId="381117B1" w14:textId="03A6A072"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0,54</w:t>
            </w:r>
          </w:p>
        </w:tc>
      </w:tr>
      <w:tr w:rsidR="006C26BF" w:rsidRPr="0002143E" w14:paraId="52377DD1" w14:textId="77777777" w:rsidTr="002F1355">
        <w:trPr>
          <w:trHeight w:val="1035"/>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1A098827" w14:textId="77777777" w:rsidR="006C26BF" w:rsidRPr="0002143E" w:rsidRDefault="006C26BF"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P.E.3</w:t>
            </w:r>
          </w:p>
        </w:tc>
        <w:tc>
          <w:tcPr>
            <w:tcW w:w="3780" w:type="dxa"/>
            <w:tcBorders>
              <w:top w:val="nil"/>
              <w:left w:val="nil"/>
              <w:bottom w:val="single" w:sz="8" w:space="0" w:color="auto"/>
              <w:right w:val="single" w:sz="8" w:space="0" w:color="auto"/>
            </w:tcBorders>
            <w:shd w:val="clear" w:color="000000" w:fill="FFFFFF"/>
            <w:vAlign w:val="center"/>
            <w:hideMark/>
          </w:tcPr>
          <w:p w14:paraId="7AB90939" w14:textId="77777777" w:rsidR="006C26BF" w:rsidRPr="009C2AA4" w:rsidRDefault="006C26BF" w:rsidP="003828F3">
            <w:pPr>
              <w:jc w:val="center"/>
              <w:rPr>
                <w:rFonts w:ascii="Open Sans" w:eastAsia="Times New Roman" w:hAnsi="Open Sans" w:cs="Open Sans"/>
                <w:b/>
                <w:color w:val="000000"/>
                <w:sz w:val="20"/>
                <w:szCs w:val="20"/>
              </w:rPr>
            </w:pPr>
            <w:r w:rsidRPr="009C2AA4">
              <w:rPr>
                <w:rFonts w:ascii="Open Sans" w:eastAsia="Times New Roman" w:hAnsi="Open Sans" w:cs="Open Sans"/>
                <w:b/>
                <w:color w:val="000000"/>
                <w:sz w:val="20"/>
                <w:szCs w:val="20"/>
              </w:rPr>
              <w:t>La empresa informa sobre cómo el Consejo de Administración aborda el tema de fiscalidad</w:t>
            </w:r>
          </w:p>
        </w:tc>
        <w:tc>
          <w:tcPr>
            <w:tcW w:w="1276" w:type="dxa"/>
            <w:tcBorders>
              <w:top w:val="nil"/>
              <w:left w:val="nil"/>
              <w:bottom w:val="single" w:sz="8" w:space="0" w:color="auto"/>
              <w:right w:val="single" w:sz="8" w:space="0" w:color="auto"/>
            </w:tcBorders>
            <w:shd w:val="clear" w:color="000000" w:fill="FFFFFF"/>
            <w:vAlign w:val="center"/>
            <w:hideMark/>
          </w:tcPr>
          <w:p w14:paraId="27A3C45F" w14:textId="20C15A3B"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31</w:t>
            </w:r>
          </w:p>
        </w:tc>
        <w:tc>
          <w:tcPr>
            <w:tcW w:w="992" w:type="dxa"/>
            <w:tcBorders>
              <w:top w:val="nil"/>
              <w:left w:val="nil"/>
              <w:bottom w:val="single" w:sz="8" w:space="0" w:color="auto"/>
              <w:right w:val="single" w:sz="8" w:space="0" w:color="auto"/>
            </w:tcBorders>
            <w:shd w:val="clear" w:color="000000" w:fill="FFFFFF"/>
            <w:vAlign w:val="center"/>
            <w:hideMark/>
          </w:tcPr>
          <w:p w14:paraId="50B1434F" w14:textId="41F445FD" w:rsidR="006C26BF" w:rsidRPr="007F7823" w:rsidRDefault="006C26BF" w:rsidP="002F1355">
            <w:pPr>
              <w:jc w:val="center"/>
              <w:rPr>
                <w:rFonts w:ascii="Open Sans" w:hAnsi="Open Sans" w:cs="Open Sans"/>
                <w:b/>
                <w:bCs/>
                <w:color w:val="000000"/>
                <w:sz w:val="20"/>
                <w:szCs w:val="20"/>
              </w:rPr>
            </w:pPr>
            <w:r w:rsidRPr="007F7823">
              <w:rPr>
                <w:rFonts w:ascii="Open Sans" w:hAnsi="Open Sans" w:cs="Open Sans"/>
                <w:b/>
                <w:color w:val="000000"/>
                <w:sz w:val="20"/>
                <w:szCs w:val="20"/>
              </w:rPr>
              <w:t>89%</w:t>
            </w:r>
          </w:p>
        </w:tc>
        <w:tc>
          <w:tcPr>
            <w:tcW w:w="1701" w:type="dxa"/>
            <w:tcBorders>
              <w:top w:val="nil"/>
              <w:left w:val="nil"/>
              <w:bottom w:val="single" w:sz="8" w:space="0" w:color="auto"/>
              <w:right w:val="single" w:sz="8" w:space="0" w:color="auto"/>
            </w:tcBorders>
            <w:shd w:val="clear" w:color="000000" w:fill="FFFFFF"/>
            <w:vAlign w:val="center"/>
          </w:tcPr>
          <w:p w14:paraId="3B6FFC86" w14:textId="209817CE"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1,14</w:t>
            </w:r>
          </w:p>
        </w:tc>
      </w:tr>
      <w:tr w:rsidR="006C26BF" w:rsidRPr="0002143E" w14:paraId="11741608" w14:textId="77777777" w:rsidTr="002F1355">
        <w:trPr>
          <w:trHeight w:val="975"/>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35E28C4D" w14:textId="77777777" w:rsidR="006C26BF" w:rsidRPr="0002143E" w:rsidRDefault="006C26BF"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P.E.4</w:t>
            </w:r>
          </w:p>
        </w:tc>
        <w:tc>
          <w:tcPr>
            <w:tcW w:w="3780" w:type="dxa"/>
            <w:tcBorders>
              <w:top w:val="nil"/>
              <w:left w:val="nil"/>
              <w:bottom w:val="single" w:sz="8" w:space="0" w:color="auto"/>
              <w:right w:val="single" w:sz="8" w:space="0" w:color="auto"/>
            </w:tcBorders>
            <w:shd w:val="clear" w:color="000000" w:fill="FFFFFF"/>
            <w:vAlign w:val="center"/>
            <w:hideMark/>
          </w:tcPr>
          <w:p w14:paraId="4F2D237D" w14:textId="4DC745B4" w:rsidR="006C26BF" w:rsidRPr="009C2AA4" w:rsidRDefault="006C26BF" w:rsidP="003828F3">
            <w:pPr>
              <w:jc w:val="center"/>
              <w:rPr>
                <w:rFonts w:ascii="Open Sans" w:eastAsia="Times New Roman" w:hAnsi="Open Sans" w:cs="Open Sans"/>
                <w:b/>
                <w:color w:val="000000"/>
                <w:sz w:val="20"/>
                <w:szCs w:val="20"/>
              </w:rPr>
            </w:pPr>
            <w:r w:rsidRPr="009C2AA4">
              <w:rPr>
                <w:rFonts w:ascii="Open Sans" w:eastAsia="Times New Roman" w:hAnsi="Open Sans" w:cs="Open Sans"/>
                <w:b/>
                <w:color w:val="000000"/>
                <w:sz w:val="20"/>
                <w:szCs w:val="20"/>
              </w:rPr>
              <w:t>La empresa informa sobre su adhesión a códigos voluntario  que contemple explícitamente asp</w:t>
            </w:r>
            <w:r w:rsidR="009C2AA4">
              <w:rPr>
                <w:rFonts w:ascii="Open Sans" w:eastAsia="Times New Roman" w:hAnsi="Open Sans" w:cs="Open Sans"/>
                <w:b/>
                <w:color w:val="000000"/>
                <w:sz w:val="20"/>
                <w:szCs w:val="20"/>
              </w:rPr>
              <w:t>ectos de responsabilidad fiscal</w:t>
            </w:r>
          </w:p>
        </w:tc>
        <w:tc>
          <w:tcPr>
            <w:tcW w:w="1276" w:type="dxa"/>
            <w:tcBorders>
              <w:top w:val="nil"/>
              <w:left w:val="nil"/>
              <w:bottom w:val="single" w:sz="8" w:space="0" w:color="auto"/>
              <w:right w:val="single" w:sz="8" w:space="0" w:color="auto"/>
            </w:tcBorders>
            <w:shd w:val="clear" w:color="000000" w:fill="FFFFFF"/>
            <w:vAlign w:val="center"/>
            <w:hideMark/>
          </w:tcPr>
          <w:p w14:paraId="11B7511F" w14:textId="7AE12906"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22</w:t>
            </w:r>
          </w:p>
        </w:tc>
        <w:tc>
          <w:tcPr>
            <w:tcW w:w="992" w:type="dxa"/>
            <w:tcBorders>
              <w:top w:val="nil"/>
              <w:left w:val="nil"/>
              <w:bottom w:val="single" w:sz="8" w:space="0" w:color="auto"/>
              <w:right w:val="single" w:sz="8" w:space="0" w:color="auto"/>
            </w:tcBorders>
            <w:shd w:val="clear" w:color="000000" w:fill="FFFFFF"/>
            <w:vAlign w:val="center"/>
            <w:hideMark/>
          </w:tcPr>
          <w:p w14:paraId="40AFDC84" w14:textId="4CB63C36" w:rsidR="006C26BF" w:rsidRPr="007F7823" w:rsidRDefault="006C26BF" w:rsidP="002F1355">
            <w:pPr>
              <w:jc w:val="center"/>
              <w:rPr>
                <w:rFonts w:ascii="Open Sans" w:hAnsi="Open Sans" w:cs="Open Sans"/>
                <w:b/>
                <w:bCs/>
                <w:color w:val="000000"/>
                <w:sz w:val="20"/>
                <w:szCs w:val="20"/>
              </w:rPr>
            </w:pPr>
            <w:r w:rsidRPr="007F7823">
              <w:rPr>
                <w:rFonts w:ascii="Open Sans" w:hAnsi="Open Sans" w:cs="Open Sans"/>
                <w:b/>
                <w:color w:val="000000"/>
                <w:sz w:val="20"/>
                <w:szCs w:val="20"/>
              </w:rPr>
              <w:t>63%</w:t>
            </w:r>
          </w:p>
        </w:tc>
        <w:tc>
          <w:tcPr>
            <w:tcW w:w="1701" w:type="dxa"/>
            <w:tcBorders>
              <w:top w:val="nil"/>
              <w:left w:val="nil"/>
              <w:bottom w:val="single" w:sz="8" w:space="0" w:color="auto"/>
              <w:right w:val="single" w:sz="8" w:space="0" w:color="auto"/>
            </w:tcBorders>
            <w:shd w:val="clear" w:color="000000" w:fill="FFFFFF"/>
            <w:vAlign w:val="center"/>
          </w:tcPr>
          <w:p w14:paraId="35AB8E05" w14:textId="155734E5"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0,69</w:t>
            </w:r>
          </w:p>
        </w:tc>
      </w:tr>
      <w:tr w:rsidR="006C26BF" w:rsidRPr="0002143E" w14:paraId="7B737AD3" w14:textId="77777777" w:rsidTr="002F1355">
        <w:trPr>
          <w:trHeight w:val="465"/>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2D7DFDEF" w14:textId="77777777" w:rsidR="006C26BF" w:rsidRPr="0002143E" w:rsidRDefault="006C26BF" w:rsidP="003828F3">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P.E.5</w:t>
            </w:r>
          </w:p>
        </w:tc>
        <w:tc>
          <w:tcPr>
            <w:tcW w:w="3780" w:type="dxa"/>
            <w:tcBorders>
              <w:top w:val="nil"/>
              <w:left w:val="nil"/>
              <w:bottom w:val="single" w:sz="8" w:space="0" w:color="auto"/>
              <w:right w:val="single" w:sz="8" w:space="0" w:color="auto"/>
            </w:tcBorders>
            <w:shd w:val="clear" w:color="000000" w:fill="FFFFFF"/>
            <w:vAlign w:val="center"/>
            <w:hideMark/>
          </w:tcPr>
          <w:p w14:paraId="5583892C" w14:textId="5F4A7102" w:rsidR="006C26BF" w:rsidRPr="009C2AA4" w:rsidRDefault="006C26BF" w:rsidP="003828F3">
            <w:pPr>
              <w:jc w:val="center"/>
              <w:rPr>
                <w:rFonts w:ascii="Open Sans" w:eastAsia="Times New Roman" w:hAnsi="Open Sans" w:cs="Open Sans"/>
                <w:b/>
                <w:color w:val="000000"/>
                <w:sz w:val="20"/>
                <w:szCs w:val="20"/>
              </w:rPr>
            </w:pPr>
            <w:r w:rsidRPr="009C2AA4">
              <w:rPr>
                <w:rFonts w:ascii="Open Sans" w:eastAsia="Times New Roman" w:hAnsi="Open Sans" w:cs="Open Sans"/>
                <w:b/>
                <w:color w:val="000000"/>
                <w:sz w:val="20"/>
                <w:szCs w:val="20"/>
              </w:rPr>
              <w:t>La empresa detalla su estructura societaria, incluyendo el nombre de las sociedades, su localización y el porcentaje de participación (posiciones superiores al 5% del capital)</w:t>
            </w:r>
          </w:p>
        </w:tc>
        <w:tc>
          <w:tcPr>
            <w:tcW w:w="1276" w:type="dxa"/>
            <w:tcBorders>
              <w:top w:val="nil"/>
              <w:left w:val="nil"/>
              <w:bottom w:val="single" w:sz="8" w:space="0" w:color="auto"/>
              <w:right w:val="single" w:sz="8" w:space="0" w:color="auto"/>
            </w:tcBorders>
            <w:shd w:val="clear" w:color="000000" w:fill="FFFFFF"/>
            <w:vAlign w:val="center"/>
            <w:hideMark/>
          </w:tcPr>
          <w:p w14:paraId="32324489" w14:textId="69803759" w:rsidR="006C26BF" w:rsidRPr="006C26BF" w:rsidRDefault="0002036C" w:rsidP="002F1355">
            <w:pPr>
              <w:jc w:val="center"/>
              <w:rPr>
                <w:rFonts w:ascii="Open Sans" w:hAnsi="Open Sans" w:cs="Open Sans"/>
                <w:b/>
                <w:bCs/>
                <w:color w:val="000000"/>
                <w:sz w:val="20"/>
                <w:szCs w:val="20"/>
              </w:rPr>
            </w:pPr>
            <w:r>
              <w:rPr>
                <w:rFonts w:ascii="Open Sans" w:hAnsi="Open Sans" w:cs="Open Sans"/>
                <w:b/>
                <w:bCs/>
                <w:color w:val="000000"/>
                <w:sz w:val="20"/>
                <w:szCs w:val="20"/>
              </w:rPr>
              <w:t>9</w:t>
            </w:r>
          </w:p>
        </w:tc>
        <w:tc>
          <w:tcPr>
            <w:tcW w:w="992" w:type="dxa"/>
            <w:tcBorders>
              <w:top w:val="nil"/>
              <w:left w:val="nil"/>
              <w:bottom w:val="single" w:sz="8" w:space="0" w:color="auto"/>
              <w:right w:val="single" w:sz="8" w:space="0" w:color="auto"/>
            </w:tcBorders>
            <w:shd w:val="clear" w:color="000000" w:fill="FFFFFF"/>
            <w:vAlign w:val="center"/>
            <w:hideMark/>
          </w:tcPr>
          <w:p w14:paraId="4D7C16A8" w14:textId="63993D2B" w:rsidR="006C26BF" w:rsidRPr="007F7823" w:rsidRDefault="0002036C" w:rsidP="002F1355">
            <w:pPr>
              <w:jc w:val="center"/>
              <w:rPr>
                <w:rFonts w:ascii="Open Sans" w:hAnsi="Open Sans" w:cs="Open Sans"/>
                <w:b/>
                <w:bCs/>
                <w:color w:val="000000"/>
                <w:sz w:val="20"/>
                <w:szCs w:val="20"/>
              </w:rPr>
            </w:pPr>
            <w:r>
              <w:rPr>
                <w:rFonts w:ascii="Open Sans" w:hAnsi="Open Sans" w:cs="Open Sans"/>
                <w:b/>
                <w:color w:val="000000"/>
                <w:sz w:val="20"/>
                <w:szCs w:val="20"/>
              </w:rPr>
              <w:t>26</w:t>
            </w:r>
            <w:r w:rsidR="006C26BF" w:rsidRPr="007F7823">
              <w:rPr>
                <w:rFonts w:ascii="Open Sans" w:hAnsi="Open Sans" w:cs="Open Sans"/>
                <w:b/>
                <w:color w:val="000000"/>
                <w:sz w:val="20"/>
                <w:szCs w:val="20"/>
              </w:rPr>
              <w:t>%</w:t>
            </w:r>
          </w:p>
        </w:tc>
        <w:tc>
          <w:tcPr>
            <w:tcW w:w="1701" w:type="dxa"/>
            <w:tcBorders>
              <w:top w:val="nil"/>
              <w:left w:val="nil"/>
              <w:bottom w:val="single" w:sz="8" w:space="0" w:color="auto"/>
              <w:right w:val="single" w:sz="8" w:space="0" w:color="auto"/>
            </w:tcBorders>
            <w:shd w:val="clear" w:color="000000" w:fill="FFFFFF"/>
            <w:vAlign w:val="center"/>
          </w:tcPr>
          <w:p w14:paraId="2C7E1189" w14:textId="3283488A" w:rsidR="006C26BF" w:rsidRPr="006C26BF" w:rsidRDefault="006C26BF" w:rsidP="002F1355">
            <w:pPr>
              <w:jc w:val="center"/>
              <w:rPr>
                <w:rFonts w:ascii="Open Sans" w:hAnsi="Open Sans" w:cs="Open Sans"/>
                <w:b/>
                <w:bCs/>
                <w:color w:val="000000"/>
                <w:sz w:val="20"/>
                <w:szCs w:val="20"/>
              </w:rPr>
            </w:pPr>
            <w:r w:rsidRPr="006C26BF">
              <w:rPr>
                <w:rFonts w:ascii="Open Sans" w:hAnsi="Open Sans" w:cs="Open Sans"/>
                <w:b/>
                <w:bCs/>
                <w:color w:val="000000"/>
                <w:sz w:val="20"/>
                <w:szCs w:val="20"/>
              </w:rPr>
              <w:t>0,63</w:t>
            </w:r>
          </w:p>
        </w:tc>
      </w:tr>
    </w:tbl>
    <w:p w14:paraId="60DB1187" w14:textId="3CBC7DE2" w:rsidR="00BA3289" w:rsidRPr="00BA3289" w:rsidRDefault="00BA3289" w:rsidP="00131CED">
      <w:pPr>
        <w:jc w:val="both"/>
        <w:rPr>
          <w:rFonts w:ascii="Arial" w:hAnsi="Arial" w:cs="Arial"/>
          <w:b/>
          <w:sz w:val="22"/>
          <w:szCs w:val="22"/>
        </w:rPr>
      </w:pPr>
    </w:p>
    <w:p w14:paraId="03FEA067" w14:textId="77777777" w:rsidR="006B7D2B" w:rsidRDefault="006B7D2B" w:rsidP="00AD7D8E">
      <w:pPr>
        <w:rPr>
          <w:rFonts w:ascii="Open Sans" w:hAnsi="Open Sans" w:cs="Arial"/>
          <w:b/>
          <w:sz w:val="20"/>
          <w:szCs w:val="20"/>
          <w:lang w:val="es-ES"/>
        </w:rPr>
      </w:pPr>
    </w:p>
    <w:p w14:paraId="78987507" w14:textId="0002FDA4" w:rsidR="008434D6" w:rsidRPr="00B578E6" w:rsidRDefault="008434D6" w:rsidP="008434D6">
      <w:pPr>
        <w:jc w:val="both"/>
        <w:rPr>
          <w:rFonts w:ascii="Open Sans" w:hAnsi="Open Sans" w:cs="Arial"/>
          <w:sz w:val="20"/>
          <w:szCs w:val="20"/>
          <w:lang w:val="es-ES"/>
        </w:rPr>
      </w:pPr>
      <w:r w:rsidRPr="00B578E6">
        <w:rPr>
          <w:rFonts w:ascii="Open Sans" w:hAnsi="Open Sans" w:cs="Arial"/>
          <w:sz w:val="20"/>
          <w:szCs w:val="20"/>
          <w:lang w:val="es-ES"/>
        </w:rPr>
        <w:t>En esta dimensión de análisis  se trata de medir</w:t>
      </w:r>
      <w:r w:rsidR="007F7823">
        <w:rPr>
          <w:rFonts w:ascii="Open Sans" w:hAnsi="Open Sans" w:cs="Arial"/>
          <w:sz w:val="20"/>
          <w:szCs w:val="20"/>
          <w:lang w:val="es-ES"/>
        </w:rPr>
        <w:t xml:space="preserve">, </w:t>
      </w:r>
      <w:r w:rsidR="007F55EB">
        <w:rPr>
          <w:rFonts w:ascii="Open Sans" w:hAnsi="Open Sans" w:cs="Arial"/>
          <w:sz w:val="20"/>
          <w:szCs w:val="20"/>
          <w:lang w:val="es-ES"/>
        </w:rPr>
        <w:t>principalmente</w:t>
      </w:r>
      <w:r w:rsidR="007F7823">
        <w:rPr>
          <w:rFonts w:ascii="Open Sans" w:hAnsi="Open Sans" w:cs="Arial"/>
          <w:sz w:val="20"/>
          <w:szCs w:val="20"/>
          <w:lang w:val="es-ES"/>
        </w:rPr>
        <w:t>,</w:t>
      </w:r>
      <w:r w:rsidRPr="00B578E6">
        <w:rPr>
          <w:rFonts w:ascii="Open Sans" w:hAnsi="Open Sans" w:cs="Arial"/>
          <w:sz w:val="20"/>
          <w:szCs w:val="20"/>
          <w:lang w:val="es-ES"/>
        </w:rPr>
        <w:t xml:space="preserve"> el nivel de compromisos adoptados por las empresas objeto de análisis en materia de fiscalidad responsable. Como se pued</w:t>
      </w:r>
      <w:r w:rsidR="007F7823">
        <w:rPr>
          <w:rFonts w:ascii="Open Sans" w:hAnsi="Open Sans" w:cs="Arial"/>
          <w:sz w:val="20"/>
          <w:szCs w:val="20"/>
          <w:lang w:val="es-ES"/>
        </w:rPr>
        <w:t xml:space="preserve">e observar en la tabla anterior, si bien </w:t>
      </w:r>
      <w:r w:rsidRPr="00B578E6">
        <w:rPr>
          <w:rFonts w:ascii="Open Sans" w:hAnsi="Open Sans" w:cs="Arial"/>
          <w:sz w:val="20"/>
          <w:szCs w:val="20"/>
          <w:lang w:val="es-ES"/>
        </w:rPr>
        <w:t xml:space="preserve">el nivel de cumplimiento de los indicadores cualitativos en relación a la información suministrada es elevado, de media supera el 50%, el nivel de profundidad de la información </w:t>
      </w:r>
      <w:r w:rsidR="007F7823">
        <w:rPr>
          <w:rFonts w:ascii="Open Sans" w:hAnsi="Open Sans" w:cs="Arial"/>
          <w:sz w:val="20"/>
          <w:szCs w:val="20"/>
          <w:lang w:val="es-ES"/>
        </w:rPr>
        <w:t xml:space="preserve">facilitada </w:t>
      </w:r>
      <w:r w:rsidRPr="00B578E6">
        <w:rPr>
          <w:rFonts w:ascii="Open Sans" w:hAnsi="Open Sans" w:cs="Arial"/>
          <w:sz w:val="20"/>
          <w:szCs w:val="20"/>
          <w:lang w:val="es-ES"/>
        </w:rPr>
        <w:t xml:space="preserve">es incompleta en dos de los indicadores (estrategia/política fiscal y tratamiento por el Consejo) </w:t>
      </w:r>
      <w:r>
        <w:rPr>
          <w:rFonts w:ascii="Open Sans" w:hAnsi="Open Sans" w:cs="Arial"/>
          <w:sz w:val="20"/>
          <w:szCs w:val="20"/>
          <w:lang w:val="es-ES"/>
        </w:rPr>
        <w:t>y escasa o anecdótica en los tres restantes (Riesgos fiscales, estructura societaria y códigos voluntarios).</w:t>
      </w:r>
    </w:p>
    <w:p w14:paraId="212E8F5A" w14:textId="77777777" w:rsidR="008434D6" w:rsidRDefault="008434D6" w:rsidP="00AD7D8E">
      <w:pPr>
        <w:rPr>
          <w:rFonts w:ascii="Open Sans" w:hAnsi="Open Sans" w:cs="Arial"/>
          <w:b/>
          <w:sz w:val="20"/>
          <w:szCs w:val="20"/>
          <w:lang w:val="es-ES"/>
        </w:rPr>
      </w:pPr>
    </w:p>
    <w:p w14:paraId="19B61035" w14:textId="77777777" w:rsidR="008434D6" w:rsidRDefault="008434D6" w:rsidP="00AD7D8E">
      <w:pPr>
        <w:rPr>
          <w:rFonts w:ascii="Open Sans" w:hAnsi="Open Sans" w:cs="Arial"/>
          <w:b/>
          <w:sz w:val="20"/>
          <w:szCs w:val="20"/>
          <w:lang w:val="es-ES"/>
        </w:rPr>
      </w:pPr>
    </w:p>
    <w:p w14:paraId="6394DEB8" w14:textId="5F655449" w:rsidR="00310A67" w:rsidRPr="00ED545D" w:rsidRDefault="00363184" w:rsidP="003828F3">
      <w:pPr>
        <w:jc w:val="both"/>
        <w:rPr>
          <w:rFonts w:ascii="Open Sans" w:hAnsi="Open Sans" w:cs="Arial"/>
          <w:b/>
          <w:sz w:val="22"/>
          <w:szCs w:val="22"/>
          <w:lang w:val="es-ES"/>
        </w:rPr>
      </w:pPr>
      <w:bookmarkStart w:id="27" w:name="PE1"/>
      <w:r>
        <w:rPr>
          <w:rFonts w:ascii="Open Sans" w:hAnsi="Open Sans" w:cs="Arial"/>
          <w:b/>
          <w:sz w:val="22"/>
          <w:szCs w:val="22"/>
          <w:lang w:val="es-ES"/>
        </w:rPr>
        <w:t xml:space="preserve">P.E.1 </w:t>
      </w:r>
      <w:r w:rsidR="00310A67" w:rsidRPr="00ED545D">
        <w:rPr>
          <w:rFonts w:ascii="Open Sans" w:hAnsi="Open Sans" w:cs="Arial"/>
          <w:b/>
          <w:sz w:val="22"/>
          <w:szCs w:val="22"/>
          <w:lang w:val="es-ES"/>
        </w:rPr>
        <w:t>La empresa proporciona información sobre su estrategia/política fiscal</w:t>
      </w:r>
      <w:bookmarkEnd w:id="27"/>
    </w:p>
    <w:p w14:paraId="5A84472F" w14:textId="77777777" w:rsidR="00BF1607" w:rsidRDefault="00BF1607" w:rsidP="003828F3">
      <w:pPr>
        <w:jc w:val="both"/>
        <w:rPr>
          <w:rFonts w:ascii="Open Sans" w:hAnsi="Open Sans" w:cs="Arial"/>
          <w:b/>
          <w:sz w:val="20"/>
          <w:szCs w:val="20"/>
          <w:lang w:val="es-ES"/>
        </w:rPr>
      </w:pPr>
    </w:p>
    <w:p w14:paraId="621EEBEE" w14:textId="1B21C63A" w:rsidR="008434D6" w:rsidRPr="008C1488" w:rsidRDefault="008434D6" w:rsidP="008434D6">
      <w:pPr>
        <w:jc w:val="both"/>
        <w:rPr>
          <w:rFonts w:ascii="Open Sans" w:hAnsi="Open Sans" w:cs="Open Sans"/>
          <w:sz w:val="20"/>
          <w:szCs w:val="20"/>
          <w:shd w:val="clear" w:color="auto" w:fill="FFFFFF"/>
        </w:rPr>
      </w:pPr>
      <w:r w:rsidRPr="008C1488">
        <w:rPr>
          <w:rFonts w:ascii="Open Sans" w:hAnsi="Open Sans" w:cs="Open Sans"/>
          <w:sz w:val="20"/>
          <w:szCs w:val="20"/>
          <w:shd w:val="clear" w:color="auto" w:fill="FFFFFF"/>
        </w:rPr>
        <w:t>E</w:t>
      </w:r>
      <w:r>
        <w:rPr>
          <w:rFonts w:ascii="Open Sans" w:hAnsi="Open Sans" w:cs="Open Sans"/>
          <w:sz w:val="20"/>
          <w:szCs w:val="20"/>
          <w:shd w:val="clear" w:color="auto" w:fill="FFFFFF"/>
        </w:rPr>
        <w:t>n relación al indicador P.E.1</w:t>
      </w:r>
      <w:r w:rsidRPr="008C1488">
        <w:rPr>
          <w:rFonts w:ascii="Open Sans" w:hAnsi="Open Sans" w:cs="Open Sans"/>
          <w:sz w:val="20"/>
          <w:szCs w:val="20"/>
          <w:shd w:val="clear" w:color="auto" w:fill="FFFFFF"/>
        </w:rPr>
        <w:t xml:space="preserve">,  </w:t>
      </w:r>
      <w:r w:rsidR="006C26BF">
        <w:rPr>
          <w:rFonts w:ascii="Open Sans" w:hAnsi="Open Sans" w:cs="Open Sans"/>
          <w:b/>
          <w:sz w:val="20"/>
          <w:szCs w:val="20"/>
          <w:shd w:val="clear" w:color="auto" w:fill="FFFFFF"/>
        </w:rPr>
        <w:t>22</w:t>
      </w:r>
      <w:r w:rsidRPr="008434D6">
        <w:rPr>
          <w:rFonts w:ascii="Open Sans" w:hAnsi="Open Sans" w:cs="Open Sans"/>
          <w:b/>
          <w:sz w:val="20"/>
          <w:szCs w:val="20"/>
          <w:shd w:val="clear" w:color="auto" w:fill="FFFFFF"/>
        </w:rPr>
        <w:t xml:space="preserve"> de las 35 empresas</w:t>
      </w:r>
      <w:r w:rsidRPr="008C1488">
        <w:rPr>
          <w:rFonts w:ascii="Open Sans" w:hAnsi="Open Sans" w:cs="Open Sans"/>
          <w:sz w:val="20"/>
          <w:szCs w:val="20"/>
          <w:shd w:val="clear" w:color="auto" w:fill="FFFFFF"/>
        </w:rPr>
        <w:t xml:space="preserve"> analizadas afirman tener una política o estrategia fiscal  lo que supone un </w:t>
      </w:r>
      <w:r w:rsidR="007F7823">
        <w:rPr>
          <w:rFonts w:ascii="Open Sans" w:hAnsi="Open Sans" w:cs="Open Sans"/>
          <w:b/>
          <w:sz w:val="20"/>
          <w:szCs w:val="20"/>
          <w:shd w:val="clear" w:color="auto" w:fill="FFFFFF"/>
        </w:rPr>
        <w:t>63</w:t>
      </w:r>
      <w:r w:rsidRPr="008434D6">
        <w:rPr>
          <w:rFonts w:ascii="Open Sans" w:hAnsi="Open Sans" w:cs="Open Sans"/>
          <w:b/>
          <w:sz w:val="20"/>
          <w:szCs w:val="20"/>
          <w:shd w:val="clear" w:color="auto" w:fill="FFFFFF"/>
        </w:rPr>
        <w:t xml:space="preserve">% del total </w:t>
      </w:r>
      <w:r w:rsidRPr="008C1488">
        <w:rPr>
          <w:rFonts w:ascii="Open Sans" w:hAnsi="Open Sans" w:cs="Open Sans"/>
          <w:sz w:val="20"/>
          <w:szCs w:val="20"/>
          <w:shd w:val="clear" w:color="auto" w:fill="FFFFFF"/>
        </w:rPr>
        <w:t>de empresas analizadas. El elevado número de sociedades que afirman contar con una estrategia o política fiscal puede soportarse sobre la obligatoriedad introducida en por la reforma de la Ley de Sociedades de Capital efectuada en el año 2014 por la Ley 31/2014</w:t>
      </w:r>
      <w:r w:rsidRPr="008C1488">
        <w:rPr>
          <w:rFonts w:ascii="Open Sans" w:hAnsi="Open Sans" w:cs="Open Sans"/>
          <w:sz w:val="20"/>
          <w:szCs w:val="20"/>
          <w:vertAlign w:val="superscript"/>
        </w:rPr>
        <w:footnoteReference w:id="39"/>
      </w:r>
      <w:r w:rsidRPr="008C1488">
        <w:rPr>
          <w:rFonts w:ascii="Open Sans" w:hAnsi="Open Sans" w:cs="Open Sans"/>
          <w:sz w:val="20"/>
          <w:szCs w:val="20"/>
          <w:shd w:val="clear" w:color="auto" w:fill="FFFFFF"/>
        </w:rPr>
        <w:t xml:space="preserve">, en la que se establece en su Artículo 529 ter. </w:t>
      </w:r>
      <w:r w:rsidR="007F7823">
        <w:rPr>
          <w:rFonts w:ascii="Open Sans" w:hAnsi="Open Sans" w:cs="Open Sans"/>
          <w:sz w:val="20"/>
          <w:szCs w:val="20"/>
          <w:shd w:val="clear" w:color="auto" w:fill="FFFFFF"/>
        </w:rPr>
        <w:t>“</w:t>
      </w:r>
      <w:r w:rsidRPr="008C1488">
        <w:rPr>
          <w:rFonts w:ascii="Open Sans" w:hAnsi="Open Sans" w:cs="Open Sans"/>
          <w:sz w:val="20"/>
          <w:szCs w:val="20"/>
          <w:shd w:val="clear" w:color="auto" w:fill="FFFFFF"/>
        </w:rPr>
        <w:t xml:space="preserve">Que el consejo de administración de las sociedades cotizadas no podrá delegar </w:t>
      </w:r>
      <w:r w:rsidR="007F7823">
        <w:rPr>
          <w:rFonts w:ascii="Open Sans" w:hAnsi="Open Sans" w:cs="Open Sans"/>
          <w:sz w:val="20"/>
          <w:szCs w:val="20"/>
          <w:shd w:val="clear" w:color="auto" w:fill="FFFFFF"/>
        </w:rPr>
        <w:t>l</w:t>
      </w:r>
      <w:r w:rsidRPr="008C1488">
        <w:rPr>
          <w:rFonts w:ascii="Open Sans" w:hAnsi="Open Sans" w:cs="Open Sans"/>
          <w:sz w:val="20"/>
          <w:szCs w:val="20"/>
          <w:shd w:val="clear" w:color="auto" w:fill="FFFFFF"/>
        </w:rPr>
        <w:t>a determinación de la estrategia fiscal de la sociedad</w:t>
      </w:r>
      <w:r w:rsidR="007F7823">
        <w:rPr>
          <w:rFonts w:ascii="Open Sans" w:hAnsi="Open Sans" w:cs="Open Sans"/>
          <w:sz w:val="20"/>
          <w:szCs w:val="20"/>
          <w:shd w:val="clear" w:color="auto" w:fill="FFFFFF"/>
        </w:rPr>
        <w:t>”</w:t>
      </w:r>
      <w:r w:rsidRPr="008C1488">
        <w:rPr>
          <w:rFonts w:ascii="Open Sans" w:hAnsi="Open Sans" w:cs="Open Sans"/>
          <w:sz w:val="20"/>
          <w:szCs w:val="20"/>
          <w:shd w:val="clear" w:color="auto" w:fill="FFFFFF"/>
        </w:rPr>
        <w:t xml:space="preserve">. </w:t>
      </w:r>
    </w:p>
    <w:p w14:paraId="574E00E5" w14:textId="77777777" w:rsidR="008434D6" w:rsidRPr="008C1488" w:rsidRDefault="008434D6" w:rsidP="008434D6">
      <w:pPr>
        <w:jc w:val="both"/>
        <w:rPr>
          <w:rFonts w:ascii="Open Sans" w:hAnsi="Open Sans" w:cs="Open Sans"/>
          <w:sz w:val="20"/>
          <w:szCs w:val="20"/>
          <w:shd w:val="clear" w:color="auto" w:fill="FFFFFF"/>
        </w:rPr>
      </w:pPr>
    </w:p>
    <w:p w14:paraId="05DC68A4" w14:textId="77777777" w:rsidR="00C61A20" w:rsidRDefault="008434D6" w:rsidP="008434D6">
      <w:pPr>
        <w:tabs>
          <w:tab w:val="left" w:pos="709"/>
        </w:tabs>
        <w:jc w:val="both"/>
        <w:rPr>
          <w:rFonts w:ascii="Open Sans" w:hAnsi="Open Sans" w:cs="Open Sans"/>
          <w:sz w:val="20"/>
          <w:szCs w:val="20"/>
          <w:shd w:val="clear" w:color="auto" w:fill="FFFFFF"/>
        </w:rPr>
      </w:pPr>
      <w:r w:rsidRPr="008C1488">
        <w:rPr>
          <w:rFonts w:ascii="Open Sans" w:hAnsi="Open Sans" w:cs="Open Sans"/>
          <w:sz w:val="20"/>
          <w:szCs w:val="20"/>
          <w:shd w:val="clear" w:color="auto" w:fill="FFFFFF"/>
        </w:rPr>
        <w:t>Lo que se persigue con esta reforma, de acuerdo con lo declarado por el secretario de Estado de Hacienda Miguel Ferre, es disuadir a las empresas de realizar estrategias fiscales agresivas: "</w:t>
      </w:r>
      <w:r w:rsidRPr="00C61A20">
        <w:rPr>
          <w:rFonts w:ascii="Open Sans" w:hAnsi="Open Sans" w:cs="Open Sans"/>
          <w:i/>
          <w:sz w:val="20"/>
          <w:szCs w:val="20"/>
          <w:shd w:val="clear" w:color="auto" w:fill="FFFFFF"/>
        </w:rPr>
        <w:t>con la entrada en vigor de la reforma de la Ley de Sociedades de Capital, desde este mes de enero el consejo de administración no se puede inhibir ante la planificación fiscal agresiva de la empresa, ya que la responsabilidad del diseño de la estrategia fiscal de la compañía y de sus riesgos recae sobre ellos y es indelegable</w:t>
      </w:r>
      <w:r w:rsidRPr="008C1488">
        <w:rPr>
          <w:rFonts w:ascii="Open Sans" w:hAnsi="Open Sans" w:cs="Open Sans"/>
          <w:sz w:val="20"/>
          <w:szCs w:val="20"/>
          <w:shd w:val="clear" w:color="auto" w:fill="FFFFFF"/>
        </w:rPr>
        <w:t>". En esta "facultad indelegable" se incluye tanto la estrategia global de la empresa como la aprobación de las inversiones u operaciones de todo tipo que, por su cuantía o características especiales, tengan un especial riesgo fiscal</w:t>
      </w:r>
      <w:r w:rsidRPr="008C1488">
        <w:rPr>
          <w:rStyle w:val="Refdenotaalpie"/>
          <w:rFonts w:ascii="Open Sans" w:hAnsi="Open Sans" w:cs="Open Sans"/>
          <w:sz w:val="20"/>
          <w:szCs w:val="20"/>
          <w:shd w:val="clear" w:color="auto" w:fill="FFFFFF"/>
        </w:rPr>
        <w:footnoteReference w:id="40"/>
      </w:r>
      <w:r w:rsidRPr="008C1488">
        <w:rPr>
          <w:rFonts w:ascii="Open Sans" w:hAnsi="Open Sans" w:cs="Open Sans"/>
          <w:sz w:val="20"/>
          <w:szCs w:val="20"/>
          <w:shd w:val="clear" w:color="auto" w:fill="FFFFFF"/>
        </w:rPr>
        <w:t xml:space="preserve">. </w:t>
      </w:r>
    </w:p>
    <w:p w14:paraId="6B63B8F8" w14:textId="77777777" w:rsidR="00C61A20" w:rsidRDefault="00C61A20" w:rsidP="008434D6">
      <w:pPr>
        <w:tabs>
          <w:tab w:val="left" w:pos="709"/>
        </w:tabs>
        <w:jc w:val="both"/>
        <w:rPr>
          <w:rFonts w:ascii="Open Sans" w:hAnsi="Open Sans" w:cs="Open Sans"/>
          <w:sz w:val="20"/>
          <w:szCs w:val="20"/>
          <w:shd w:val="clear" w:color="auto" w:fill="FFFFFF"/>
        </w:rPr>
      </w:pPr>
    </w:p>
    <w:p w14:paraId="6BBC02E5" w14:textId="1A3CFF50" w:rsidR="00C61A20" w:rsidRDefault="008434D6" w:rsidP="008434D6">
      <w:pPr>
        <w:tabs>
          <w:tab w:val="left" w:pos="709"/>
        </w:tabs>
        <w:jc w:val="both"/>
        <w:rPr>
          <w:rFonts w:ascii="Open Sans" w:hAnsi="Open Sans" w:cs="Arial"/>
          <w:bCs/>
          <w:sz w:val="20"/>
          <w:szCs w:val="20"/>
        </w:rPr>
      </w:pPr>
      <w:r w:rsidRPr="00C61A20">
        <w:rPr>
          <w:rFonts w:ascii="Open Sans" w:hAnsi="Open Sans" w:cs="Open Sans"/>
          <w:sz w:val="20"/>
          <w:szCs w:val="20"/>
          <w:shd w:val="clear" w:color="auto" w:fill="FFFFFF"/>
        </w:rPr>
        <w:t xml:space="preserve">La reforma ha entrado en vigor en enero de 2015, esto ha provocado que se hayan modificado reglamentos del consejo de las empresas para atribuirles tales competencias y que </w:t>
      </w:r>
      <w:r w:rsidRPr="009C2AA4">
        <w:rPr>
          <w:rFonts w:ascii="Open Sans" w:hAnsi="Open Sans" w:cs="Open Sans"/>
          <w:sz w:val="20"/>
          <w:szCs w:val="20"/>
          <w:shd w:val="clear" w:color="auto" w:fill="FFFFFF"/>
        </w:rPr>
        <w:t>2</w:t>
      </w:r>
      <w:r w:rsidR="007F7823" w:rsidRPr="009C2AA4">
        <w:rPr>
          <w:rFonts w:ascii="Open Sans" w:hAnsi="Open Sans" w:cs="Open Sans"/>
          <w:sz w:val="20"/>
          <w:szCs w:val="20"/>
          <w:shd w:val="clear" w:color="auto" w:fill="FFFFFF"/>
        </w:rPr>
        <w:t>2</w:t>
      </w:r>
      <w:r w:rsidRPr="009C2AA4">
        <w:rPr>
          <w:rFonts w:ascii="Open Sans" w:hAnsi="Open Sans" w:cs="Open Sans"/>
          <w:sz w:val="20"/>
          <w:szCs w:val="20"/>
          <w:shd w:val="clear" w:color="auto" w:fill="FFFFFF"/>
        </w:rPr>
        <w:t xml:space="preserve"> empresas informen que a 31 de diciembre tienen una estrategia o política fiscal</w:t>
      </w:r>
      <w:r w:rsidRPr="00C61A20">
        <w:rPr>
          <w:rFonts w:ascii="Open Sans" w:hAnsi="Open Sans" w:cs="Open Sans"/>
          <w:sz w:val="20"/>
          <w:szCs w:val="20"/>
          <w:shd w:val="clear" w:color="auto" w:fill="FFFFFF"/>
        </w:rPr>
        <w:t xml:space="preserve">. La evidencia de </w:t>
      </w:r>
      <w:r w:rsidRPr="00C61A20">
        <w:rPr>
          <w:rFonts w:ascii="Open Sans" w:hAnsi="Open Sans" w:cs="Arial"/>
          <w:bCs/>
          <w:sz w:val="20"/>
          <w:szCs w:val="20"/>
        </w:rPr>
        <w:t>la importancia que ha tenido la modificación de Ley de Sociedades de Capital para que las empresas cotizadas aborden aspectos relacionados con la fiscalidad responsable se ve reflejado en la política fiscal de Ferrovial en el que indica «</w:t>
      </w:r>
      <w:r w:rsidRPr="00C61A20">
        <w:rPr>
          <w:rFonts w:ascii="Open Sans" w:hAnsi="Open Sans" w:cs="Arial"/>
          <w:bCs/>
          <w:i/>
          <w:sz w:val="20"/>
          <w:szCs w:val="20"/>
        </w:rPr>
        <w:t>en febrero de 2015, el Consejo de Administración de la compañía dio un nuevo paso al aprobar la estrategia recogida en la Política Fiscal de Ferrovial, documento que cumple con lo establecido en el Artículo 529 ter de la Ley de Sociedades de Capital</w:t>
      </w:r>
      <w:r w:rsidRPr="00C61A20">
        <w:rPr>
          <w:rFonts w:ascii="Open Sans" w:hAnsi="Open Sans" w:cs="Arial"/>
          <w:bCs/>
          <w:sz w:val="20"/>
          <w:szCs w:val="20"/>
        </w:rPr>
        <w:t xml:space="preserve">». </w:t>
      </w:r>
    </w:p>
    <w:p w14:paraId="5F0EA59D" w14:textId="77777777" w:rsidR="00C61A20" w:rsidRDefault="00C61A20" w:rsidP="008434D6">
      <w:pPr>
        <w:tabs>
          <w:tab w:val="left" w:pos="709"/>
        </w:tabs>
        <w:jc w:val="both"/>
        <w:rPr>
          <w:rFonts w:ascii="Open Sans" w:hAnsi="Open Sans" w:cs="Arial"/>
          <w:bCs/>
          <w:sz w:val="20"/>
          <w:szCs w:val="20"/>
        </w:rPr>
      </w:pPr>
    </w:p>
    <w:p w14:paraId="66853F8F" w14:textId="34390AE5" w:rsidR="008434D6" w:rsidRDefault="008434D6" w:rsidP="008434D6">
      <w:pPr>
        <w:tabs>
          <w:tab w:val="left" w:pos="709"/>
        </w:tabs>
        <w:jc w:val="both"/>
        <w:rPr>
          <w:rFonts w:ascii="Open Sans" w:hAnsi="Open Sans" w:cs="Arial"/>
          <w:bCs/>
          <w:sz w:val="20"/>
          <w:szCs w:val="20"/>
        </w:rPr>
      </w:pPr>
      <w:r w:rsidRPr="00C61A20">
        <w:rPr>
          <w:rFonts w:ascii="Open Sans" w:hAnsi="Open Sans" w:cs="Open Sans"/>
          <w:sz w:val="20"/>
          <w:szCs w:val="20"/>
          <w:shd w:val="clear" w:color="auto" w:fill="FFFFFF"/>
        </w:rPr>
        <w:t xml:space="preserve">No obstante </w:t>
      </w:r>
      <w:r w:rsidRPr="009C2AA4">
        <w:rPr>
          <w:rFonts w:ascii="Open Sans" w:hAnsi="Open Sans" w:cs="Open Sans"/>
          <w:sz w:val="20"/>
          <w:szCs w:val="20"/>
          <w:shd w:val="clear" w:color="auto" w:fill="FFFFFF"/>
        </w:rPr>
        <w:t>s</w:t>
      </w:r>
      <w:r w:rsidR="006C7D1A" w:rsidRPr="009C2AA4">
        <w:rPr>
          <w:rFonts w:ascii="Open Sans" w:hAnsi="Open Sans" w:cs="Open Sans"/>
          <w:sz w:val="20"/>
          <w:szCs w:val="20"/>
          <w:shd w:val="clear" w:color="auto" w:fill="FFFFFF"/>
        </w:rPr>
        <w:t xml:space="preserve">olamente en </w:t>
      </w:r>
      <w:r w:rsidR="006C7D1A" w:rsidRPr="009C2AA4">
        <w:rPr>
          <w:rFonts w:ascii="Open Sans" w:hAnsi="Open Sans" w:cs="Open Sans"/>
          <w:b/>
          <w:sz w:val="20"/>
          <w:szCs w:val="20"/>
          <w:shd w:val="clear" w:color="auto" w:fill="FFFFFF"/>
        </w:rPr>
        <w:t>14 empresas de las 22</w:t>
      </w:r>
      <w:r w:rsidR="009C2AA4" w:rsidRPr="009C2AA4">
        <w:rPr>
          <w:rFonts w:ascii="Open Sans" w:hAnsi="Open Sans" w:cs="Open Sans"/>
          <w:b/>
          <w:sz w:val="20"/>
          <w:szCs w:val="20"/>
          <w:shd w:val="clear" w:color="auto" w:fill="FFFFFF"/>
        </w:rPr>
        <w:t>,</w:t>
      </w:r>
      <w:r w:rsidRPr="009C2AA4">
        <w:rPr>
          <w:rFonts w:ascii="Open Sans" w:hAnsi="Open Sans" w:cs="Open Sans"/>
          <w:b/>
          <w:sz w:val="20"/>
          <w:szCs w:val="20"/>
          <w:shd w:val="clear" w:color="auto" w:fill="FFFFFF"/>
        </w:rPr>
        <w:t xml:space="preserve"> la estrate</w:t>
      </w:r>
      <w:r w:rsidR="006C7D1A" w:rsidRPr="009C2AA4">
        <w:rPr>
          <w:rFonts w:ascii="Open Sans" w:hAnsi="Open Sans" w:cs="Open Sans"/>
          <w:b/>
          <w:sz w:val="20"/>
          <w:szCs w:val="20"/>
          <w:shd w:val="clear" w:color="auto" w:fill="FFFFFF"/>
        </w:rPr>
        <w:t>gia o política es pública y en 6</w:t>
      </w:r>
      <w:r w:rsidRPr="009C2AA4">
        <w:rPr>
          <w:rFonts w:ascii="Open Sans" w:hAnsi="Open Sans" w:cs="Open Sans"/>
          <w:b/>
          <w:sz w:val="20"/>
          <w:szCs w:val="20"/>
          <w:shd w:val="clear" w:color="auto" w:fill="FFFFFF"/>
        </w:rPr>
        <w:t xml:space="preserve"> de ellas la estrategia/política, además de ser pública, está analizada, comentada o se explica su relación con principios de fiscalidad responsable</w:t>
      </w:r>
      <w:r w:rsidR="009C2AA4" w:rsidRPr="009C2AA4">
        <w:rPr>
          <w:rFonts w:ascii="Open Sans" w:hAnsi="Open Sans" w:cs="Open Sans"/>
          <w:sz w:val="20"/>
          <w:szCs w:val="20"/>
          <w:shd w:val="clear" w:color="auto" w:fill="FFFFFF"/>
        </w:rPr>
        <w:t xml:space="preserve"> </w:t>
      </w:r>
      <w:r w:rsidRPr="008C1488">
        <w:rPr>
          <w:rFonts w:ascii="Open Sans" w:hAnsi="Open Sans" w:cs="Open Sans"/>
          <w:sz w:val="20"/>
          <w:szCs w:val="20"/>
          <w:shd w:val="clear" w:color="auto" w:fill="FFFFFF"/>
        </w:rPr>
        <w:t xml:space="preserve">(BBVA, </w:t>
      </w:r>
      <w:r w:rsidR="009C2AA4">
        <w:rPr>
          <w:rFonts w:ascii="Open Sans" w:hAnsi="Open Sans" w:cs="Open Sans"/>
          <w:sz w:val="20"/>
          <w:szCs w:val="20"/>
          <w:shd w:val="clear" w:color="auto" w:fill="FFFFFF"/>
        </w:rPr>
        <w:t>ENAGAS</w:t>
      </w:r>
      <w:r w:rsidRPr="008C1488">
        <w:rPr>
          <w:rFonts w:ascii="Open Sans" w:hAnsi="Open Sans" w:cs="Open Sans"/>
          <w:sz w:val="20"/>
          <w:szCs w:val="20"/>
          <w:shd w:val="clear" w:color="auto" w:fill="FFFFFF"/>
        </w:rPr>
        <w:t xml:space="preserve">, </w:t>
      </w:r>
      <w:r w:rsidR="009C2AA4">
        <w:rPr>
          <w:rFonts w:ascii="Open Sans" w:hAnsi="Open Sans" w:cs="Open Sans"/>
          <w:sz w:val="20"/>
          <w:szCs w:val="20"/>
          <w:shd w:val="clear" w:color="auto" w:fill="FFFFFF"/>
        </w:rPr>
        <w:t>ENDESA</w:t>
      </w:r>
      <w:r w:rsidRPr="008C1488">
        <w:rPr>
          <w:rFonts w:ascii="Open Sans" w:hAnsi="Open Sans" w:cs="Open Sans"/>
          <w:sz w:val="20"/>
          <w:szCs w:val="20"/>
          <w:shd w:val="clear" w:color="auto" w:fill="FFFFFF"/>
        </w:rPr>
        <w:t xml:space="preserve">, </w:t>
      </w:r>
      <w:r w:rsidR="009C2AA4">
        <w:rPr>
          <w:rFonts w:ascii="Open Sans" w:hAnsi="Open Sans" w:cs="Open Sans"/>
          <w:sz w:val="20"/>
          <w:szCs w:val="20"/>
          <w:shd w:val="clear" w:color="auto" w:fill="FFFFFF"/>
        </w:rPr>
        <w:t>GRIFOLS</w:t>
      </w:r>
      <w:r w:rsidRPr="008C1488">
        <w:rPr>
          <w:rFonts w:ascii="Open Sans" w:hAnsi="Open Sans" w:cs="Open Sans"/>
          <w:sz w:val="20"/>
          <w:szCs w:val="20"/>
          <w:shd w:val="clear" w:color="auto" w:fill="FFFFFF"/>
        </w:rPr>
        <w:t xml:space="preserve">, </w:t>
      </w:r>
      <w:r w:rsidR="00B11C42">
        <w:rPr>
          <w:rFonts w:ascii="Open Sans" w:hAnsi="Open Sans" w:cs="Open Sans"/>
          <w:sz w:val="20"/>
          <w:szCs w:val="20"/>
          <w:shd w:val="clear" w:color="auto" w:fill="FFFFFF"/>
        </w:rPr>
        <w:t>REC</w:t>
      </w:r>
      <w:r w:rsidRPr="008C1488">
        <w:rPr>
          <w:rFonts w:ascii="Open Sans" w:hAnsi="Open Sans" w:cs="Open Sans"/>
          <w:sz w:val="20"/>
          <w:szCs w:val="20"/>
          <w:shd w:val="clear" w:color="auto" w:fill="FFFFFF"/>
        </w:rPr>
        <w:t xml:space="preserve"> y </w:t>
      </w:r>
      <w:r w:rsidR="009C2AA4">
        <w:rPr>
          <w:rFonts w:ascii="Open Sans" w:hAnsi="Open Sans" w:cs="Open Sans"/>
          <w:sz w:val="20"/>
          <w:szCs w:val="20"/>
          <w:shd w:val="clear" w:color="auto" w:fill="FFFFFF"/>
        </w:rPr>
        <w:t>REPSOL</w:t>
      </w:r>
      <w:r w:rsidRPr="008C1488">
        <w:rPr>
          <w:rFonts w:ascii="Open Sans" w:hAnsi="Open Sans" w:cs="Open Sans"/>
          <w:sz w:val="20"/>
          <w:szCs w:val="20"/>
          <w:shd w:val="clear" w:color="auto" w:fill="FFFFFF"/>
        </w:rPr>
        <w:t>). El resto de las 8 empresas afirman que cuentan con una estrategia pero ésta no es pública (</w:t>
      </w:r>
      <w:r w:rsidR="009C2AA4">
        <w:rPr>
          <w:rFonts w:ascii="Open Sans" w:hAnsi="Open Sans" w:cs="Open Sans"/>
          <w:sz w:val="20"/>
          <w:szCs w:val="20"/>
          <w:shd w:val="clear" w:color="auto" w:fill="FFFFFF"/>
        </w:rPr>
        <w:t>ABERTIS</w:t>
      </w:r>
      <w:r w:rsidRPr="008C1488">
        <w:rPr>
          <w:rFonts w:ascii="Open Sans" w:hAnsi="Open Sans" w:cs="Open Sans"/>
          <w:sz w:val="20"/>
          <w:szCs w:val="20"/>
          <w:shd w:val="clear" w:color="auto" w:fill="FFFFFF"/>
        </w:rPr>
        <w:t xml:space="preserve">, </w:t>
      </w:r>
      <w:r w:rsidR="009C2AA4">
        <w:rPr>
          <w:rFonts w:ascii="Open Sans" w:hAnsi="Open Sans" w:cs="Open Sans"/>
          <w:sz w:val="20"/>
          <w:szCs w:val="20"/>
          <w:shd w:val="clear" w:color="auto" w:fill="FFFFFF"/>
        </w:rPr>
        <w:t>ACERINOX</w:t>
      </w:r>
      <w:r w:rsidRPr="008C1488">
        <w:rPr>
          <w:rFonts w:ascii="Open Sans" w:hAnsi="Open Sans" w:cs="Open Sans"/>
          <w:sz w:val="20"/>
          <w:szCs w:val="20"/>
          <w:shd w:val="clear" w:color="auto" w:fill="FFFFFF"/>
        </w:rPr>
        <w:t xml:space="preserve">, </w:t>
      </w:r>
      <w:r w:rsidR="009C2AA4">
        <w:rPr>
          <w:rFonts w:ascii="Open Sans" w:hAnsi="Open Sans" w:cs="Open Sans"/>
          <w:sz w:val="20"/>
          <w:szCs w:val="20"/>
          <w:shd w:val="clear" w:color="auto" w:fill="FFFFFF"/>
        </w:rPr>
        <w:t>BANKINTER</w:t>
      </w:r>
      <w:r w:rsidRPr="008C1488">
        <w:rPr>
          <w:rFonts w:ascii="Open Sans" w:hAnsi="Open Sans" w:cs="Open Sans"/>
          <w:sz w:val="20"/>
          <w:szCs w:val="20"/>
          <w:shd w:val="clear" w:color="auto" w:fill="FFFFFF"/>
        </w:rPr>
        <w:t xml:space="preserve">, OHL, </w:t>
      </w:r>
      <w:r w:rsidR="009C2AA4">
        <w:rPr>
          <w:rFonts w:ascii="Open Sans" w:hAnsi="Open Sans" w:cs="Open Sans"/>
          <w:sz w:val="20"/>
          <w:szCs w:val="20"/>
          <w:shd w:val="clear" w:color="auto" w:fill="FFFFFF"/>
        </w:rPr>
        <w:t>INDITEX</w:t>
      </w:r>
      <w:r w:rsidRPr="008C1488">
        <w:rPr>
          <w:rFonts w:ascii="Open Sans" w:hAnsi="Open Sans" w:cs="Open Sans"/>
          <w:sz w:val="20"/>
          <w:szCs w:val="20"/>
          <w:shd w:val="clear" w:color="auto" w:fill="FFFFFF"/>
        </w:rPr>
        <w:t xml:space="preserve">, </w:t>
      </w:r>
      <w:r w:rsidR="009C2AA4">
        <w:rPr>
          <w:rFonts w:ascii="Open Sans" w:hAnsi="Open Sans" w:cs="Open Sans"/>
          <w:sz w:val="20"/>
          <w:szCs w:val="20"/>
          <w:shd w:val="clear" w:color="auto" w:fill="FFFFFF"/>
        </w:rPr>
        <w:t>FERROVIAL</w:t>
      </w:r>
      <w:r w:rsidRPr="008C1488">
        <w:rPr>
          <w:rFonts w:ascii="Open Sans" w:hAnsi="Open Sans" w:cs="Open Sans"/>
          <w:sz w:val="20"/>
          <w:szCs w:val="20"/>
          <w:shd w:val="clear" w:color="auto" w:fill="FFFFFF"/>
        </w:rPr>
        <w:t xml:space="preserve"> e IAG). </w:t>
      </w:r>
      <w:r w:rsidR="00406EFA">
        <w:rPr>
          <w:rFonts w:ascii="Open Sans" w:hAnsi="Open Sans" w:cs="Open Sans"/>
          <w:sz w:val="20"/>
          <w:szCs w:val="20"/>
          <w:shd w:val="clear" w:color="auto" w:fill="FFFFFF"/>
        </w:rPr>
        <w:t>Otras</w:t>
      </w:r>
      <w:r w:rsidRPr="008C1488">
        <w:rPr>
          <w:rFonts w:ascii="Open Sans" w:hAnsi="Open Sans" w:cs="Open Sans"/>
          <w:sz w:val="20"/>
          <w:szCs w:val="20"/>
          <w:shd w:val="clear" w:color="auto" w:fill="FFFFFF"/>
        </w:rPr>
        <w:t xml:space="preserve"> empresas como AENA</w:t>
      </w:r>
      <w:r>
        <w:rPr>
          <w:rFonts w:ascii="Open Sans" w:hAnsi="Open Sans" w:cs="Open Sans"/>
          <w:sz w:val="20"/>
          <w:szCs w:val="20"/>
          <w:shd w:val="clear" w:color="auto" w:fill="FFFFFF"/>
        </w:rPr>
        <w:t xml:space="preserve">, </w:t>
      </w:r>
      <w:r w:rsidR="009C2AA4">
        <w:rPr>
          <w:rFonts w:ascii="Open Sans" w:hAnsi="Open Sans" w:cs="Open Sans"/>
          <w:sz w:val="20"/>
          <w:szCs w:val="20"/>
          <w:shd w:val="clear" w:color="auto" w:fill="FFFFFF"/>
        </w:rPr>
        <w:t xml:space="preserve">INDRA </w:t>
      </w:r>
      <w:r w:rsidRPr="008C1488">
        <w:rPr>
          <w:rFonts w:ascii="Open Sans" w:hAnsi="Open Sans" w:cs="Open Sans"/>
          <w:sz w:val="20"/>
          <w:szCs w:val="20"/>
          <w:shd w:val="clear" w:color="auto" w:fill="FFFFFF"/>
        </w:rPr>
        <w:t xml:space="preserve">o ACS  </w:t>
      </w:r>
      <w:r w:rsidR="00406EFA" w:rsidRPr="008C1488">
        <w:rPr>
          <w:rFonts w:ascii="Open Sans" w:hAnsi="Open Sans" w:cs="Open Sans"/>
          <w:sz w:val="20"/>
          <w:szCs w:val="20"/>
          <w:shd w:val="clear" w:color="auto" w:fill="FFFFFF"/>
        </w:rPr>
        <w:t xml:space="preserve">asumen un compromiso genérico en materia fiscal </w:t>
      </w:r>
      <w:r w:rsidRPr="008C1488">
        <w:rPr>
          <w:rFonts w:ascii="Open Sans" w:hAnsi="Open Sans" w:cs="Open Sans"/>
          <w:sz w:val="20"/>
          <w:szCs w:val="20"/>
          <w:shd w:val="clear" w:color="auto" w:fill="FFFFFF"/>
        </w:rPr>
        <w:t>a través de diversos documentos</w:t>
      </w:r>
      <w:r w:rsidR="00406EFA">
        <w:rPr>
          <w:rFonts w:ascii="Open Sans" w:hAnsi="Open Sans" w:cs="Open Sans"/>
          <w:sz w:val="20"/>
          <w:szCs w:val="20"/>
          <w:shd w:val="clear" w:color="auto" w:fill="FFFFFF"/>
        </w:rPr>
        <w:t>, sin que ninguno de ellos tenga la categoría de política o estrategia</w:t>
      </w:r>
      <w:r w:rsidRPr="008C1488">
        <w:rPr>
          <w:rFonts w:ascii="Open Sans" w:hAnsi="Open Sans" w:cs="Open Sans"/>
          <w:sz w:val="20"/>
          <w:szCs w:val="20"/>
          <w:shd w:val="clear" w:color="auto" w:fill="FFFFFF"/>
        </w:rPr>
        <w:t xml:space="preserve">. </w:t>
      </w:r>
      <w:r w:rsidRPr="008C1488">
        <w:rPr>
          <w:rFonts w:ascii="Open Sans" w:hAnsi="Open Sans" w:cs="Open Sans"/>
          <w:sz w:val="20"/>
          <w:szCs w:val="20"/>
        </w:rPr>
        <w:t xml:space="preserve">Aena, por ejemplo,  hace una referencia en su código de conducta en el punto 4.22 en donde establece que “prohíbe expresamente todas aquellas prácticas que supongan la elusión del pago de tributos o impuestos en perjuicio de la agencia tributaria, la seguridad social, o cualquier otro ente administrativo de las administraciones locales o regionales, por lo que las personas sujetas deberán evitar esas prácticas en todo momento”.  </w:t>
      </w:r>
      <w:r w:rsidRPr="008C1488">
        <w:rPr>
          <w:rFonts w:ascii="Open Sans" w:hAnsi="Open Sans" w:cs="Arial"/>
          <w:bCs/>
          <w:sz w:val="20"/>
          <w:szCs w:val="20"/>
        </w:rPr>
        <w:t>Indra</w:t>
      </w:r>
      <w:r w:rsidR="00406EFA">
        <w:rPr>
          <w:rFonts w:ascii="Open Sans" w:hAnsi="Open Sans" w:cs="Arial"/>
          <w:bCs/>
          <w:sz w:val="20"/>
          <w:szCs w:val="20"/>
        </w:rPr>
        <w:t>,</w:t>
      </w:r>
      <w:r w:rsidRPr="008C1488">
        <w:rPr>
          <w:rFonts w:ascii="Open Sans" w:hAnsi="Open Sans" w:cs="Arial"/>
          <w:bCs/>
          <w:sz w:val="20"/>
          <w:szCs w:val="20"/>
        </w:rPr>
        <w:t xml:space="preserve"> que </w:t>
      </w:r>
      <w:r>
        <w:rPr>
          <w:rFonts w:ascii="Open Sans" w:hAnsi="Open Sans" w:cs="Arial"/>
          <w:bCs/>
          <w:sz w:val="20"/>
          <w:szCs w:val="20"/>
        </w:rPr>
        <w:t xml:space="preserve">pese a no tener  aprobada una estrategia y política en materia fiscal, en su </w:t>
      </w:r>
      <w:r w:rsidRPr="000F52CC">
        <w:rPr>
          <w:rFonts w:ascii="Open Sans" w:hAnsi="Open Sans" w:cs="Arial"/>
          <w:sz w:val="20"/>
          <w:szCs w:val="20"/>
        </w:rPr>
        <w:t>Código ético y de cumplimiento legal</w:t>
      </w:r>
      <w:r>
        <w:rPr>
          <w:rFonts w:ascii="Open Sans" w:hAnsi="Open Sans" w:cs="Arial"/>
          <w:sz w:val="20"/>
          <w:szCs w:val="20"/>
        </w:rPr>
        <w:t xml:space="preserve"> hace mención a que “</w:t>
      </w:r>
      <w:r w:rsidRPr="00256D5C">
        <w:rPr>
          <w:rFonts w:ascii="Open Sans" w:hAnsi="Open Sans" w:cs="Arial"/>
          <w:bCs/>
          <w:sz w:val="20"/>
          <w:szCs w:val="20"/>
        </w:rPr>
        <w:t>se compromete a cumplir con sus obligaciones fiscales en todos los territorios y jurisdicciones en los que desarrolle su actividad optando siempre por una política</w:t>
      </w:r>
      <w:r>
        <w:rPr>
          <w:rFonts w:ascii="Open Sans" w:hAnsi="Open Sans" w:cs="Arial"/>
          <w:bCs/>
          <w:sz w:val="20"/>
          <w:szCs w:val="20"/>
        </w:rPr>
        <w:t xml:space="preserve"> tributaria prudente”. También la política de RSC recoge que </w:t>
      </w:r>
      <w:r w:rsidRPr="00077733">
        <w:rPr>
          <w:rFonts w:ascii="Open Sans" w:hAnsi="Open Sans" w:cs="Arial"/>
          <w:bCs/>
          <w:sz w:val="20"/>
          <w:szCs w:val="20"/>
        </w:rPr>
        <w:t>la empresa impulsará  la  aplicación  de  buenas  prácticas  fiscales  en  las comunidades donde opera la Compañía.</w:t>
      </w:r>
    </w:p>
    <w:p w14:paraId="20E44025" w14:textId="77777777" w:rsidR="008434D6" w:rsidRDefault="008434D6" w:rsidP="008434D6">
      <w:pPr>
        <w:autoSpaceDE w:val="0"/>
        <w:autoSpaceDN w:val="0"/>
        <w:adjustRightInd w:val="0"/>
        <w:jc w:val="both"/>
        <w:rPr>
          <w:rFonts w:ascii="Georgia" w:hAnsi="Georgia"/>
          <w:color w:val="333333"/>
          <w:sz w:val="21"/>
          <w:szCs w:val="21"/>
          <w:shd w:val="clear" w:color="auto" w:fill="FFFFFF"/>
        </w:rPr>
      </w:pPr>
    </w:p>
    <w:p w14:paraId="6F7D9432" w14:textId="43001EB7" w:rsidR="008434D6" w:rsidRPr="008C1488" w:rsidRDefault="008434D6" w:rsidP="008434D6">
      <w:pPr>
        <w:autoSpaceDE w:val="0"/>
        <w:autoSpaceDN w:val="0"/>
        <w:adjustRightInd w:val="0"/>
        <w:jc w:val="both"/>
        <w:rPr>
          <w:rFonts w:ascii="Open Sans" w:hAnsi="Open Sans" w:cs="Open Sans"/>
          <w:sz w:val="20"/>
          <w:szCs w:val="20"/>
        </w:rPr>
      </w:pPr>
      <w:r w:rsidRPr="008C1488">
        <w:rPr>
          <w:rFonts w:ascii="Open Sans" w:hAnsi="Open Sans" w:cs="Open Sans"/>
          <w:sz w:val="20"/>
          <w:szCs w:val="20"/>
        </w:rPr>
        <w:t xml:space="preserve">Otras como AMADEUS la única mención a política o estrategia </w:t>
      </w:r>
      <w:r w:rsidR="00406EFA">
        <w:rPr>
          <w:rFonts w:ascii="Open Sans" w:hAnsi="Open Sans" w:cs="Open Sans"/>
          <w:sz w:val="20"/>
          <w:szCs w:val="20"/>
        </w:rPr>
        <w:t xml:space="preserve">que realiza </w:t>
      </w:r>
      <w:r w:rsidRPr="008C1488">
        <w:rPr>
          <w:rFonts w:ascii="Open Sans" w:hAnsi="Open Sans" w:cs="Open Sans"/>
          <w:sz w:val="20"/>
          <w:szCs w:val="20"/>
        </w:rPr>
        <w:t xml:space="preserve">es a través del informe de Buen Gobierno Corporativo cuando afirma que es el Consejo de Administración el responsable de fijar la política y estrategia fiscal del grupo, pero sin embargo no informa si tiene una estrategia o política formal aprobada. </w:t>
      </w:r>
    </w:p>
    <w:p w14:paraId="3FAB2A51" w14:textId="77777777" w:rsidR="008434D6" w:rsidRDefault="008434D6" w:rsidP="008434D6">
      <w:pPr>
        <w:jc w:val="both"/>
        <w:rPr>
          <w:rFonts w:ascii="Open Sans" w:hAnsi="Open Sans" w:cs="Open Sans"/>
          <w:sz w:val="20"/>
          <w:szCs w:val="20"/>
        </w:rPr>
      </w:pPr>
    </w:p>
    <w:p w14:paraId="24832B7C" w14:textId="4CCC8730" w:rsidR="008434D6" w:rsidRPr="00C61A20" w:rsidRDefault="008434D6" w:rsidP="008434D6">
      <w:pPr>
        <w:autoSpaceDE w:val="0"/>
        <w:autoSpaceDN w:val="0"/>
        <w:adjustRightInd w:val="0"/>
        <w:jc w:val="both"/>
        <w:rPr>
          <w:rFonts w:ascii="Open Sans" w:hAnsi="Open Sans" w:cs="Open Sans"/>
          <w:sz w:val="20"/>
          <w:szCs w:val="20"/>
        </w:rPr>
      </w:pPr>
      <w:r w:rsidRPr="00406EFA">
        <w:rPr>
          <w:rFonts w:ascii="Open Sans" w:hAnsi="Open Sans" w:cs="Open Sans"/>
          <w:sz w:val="20"/>
          <w:szCs w:val="20"/>
        </w:rPr>
        <w:t>Llama la atención que en el sector de la c</w:t>
      </w:r>
      <w:r w:rsidR="009C2AA4">
        <w:rPr>
          <w:rFonts w:ascii="Open Sans" w:hAnsi="Open Sans" w:cs="Open Sans"/>
          <w:sz w:val="20"/>
          <w:szCs w:val="20"/>
        </w:rPr>
        <w:t>onstrucción, dos empresas (SACYR</w:t>
      </w:r>
      <w:r w:rsidRPr="00406EFA">
        <w:rPr>
          <w:rFonts w:ascii="Open Sans" w:hAnsi="Open Sans" w:cs="Open Sans"/>
          <w:sz w:val="20"/>
          <w:szCs w:val="20"/>
        </w:rPr>
        <w:t xml:space="preserve"> y FCC) que ni siquiera tienen aprobada estrategias fiscales. En el caso de Sacyr no se ha encontrado evidencia alguna en toda la </w:t>
      </w:r>
      <w:r w:rsidRPr="00C61A20">
        <w:rPr>
          <w:rFonts w:ascii="Open Sans" w:hAnsi="Open Sans" w:cs="Open Sans"/>
          <w:sz w:val="20"/>
          <w:szCs w:val="20"/>
        </w:rPr>
        <w:t xml:space="preserve">información analizada que el grupo tenga un compromiso con una fiscalidad responsable. </w:t>
      </w:r>
      <w:r w:rsidR="00406EFA" w:rsidRPr="00406EFA">
        <w:rPr>
          <w:rFonts w:ascii="Open Sans" w:hAnsi="Open Sans" w:cs="Open Sans"/>
          <w:sz w:val="20"/>
          <w:szCs w:val="20"/>
        </w:rPr>
        <w:t>FCC cuenta con un Código de Conducta Fiscal del Grupo.</w:t>
      </w:r>
      <w:r w:rsidR="00406EFA" w:rsidRPr="00C61A20">
        <w:rPr>
          <w:rFonts w:ascii="Open Sans" w:hAnsi="Open Sans" w:cs="Open Sans"/>
          <w:sz w:val="20"/>
          <w:szCs w:val="20"/>
        </w:rPr>
        <w:t xml:space="preserve"> </w:t>
      </w:r>
      <w:r w:rsidRPr="00C61A20">
        <w:rPr>
          <w:rFonts w:ascii="Open Sans" w:hAnsi="Open Sans" w:cs="Open Sans"/>
          <w:sz w:val="20"/>
          <w:szCs w:val="20"/>
        </w:rPr>
        <w:t>El resto de las empresas analizadas pertenecientes al sector, cuatro de ellas (ACS, OHL, F</w:t>
      </w:r>
      <w:r w:rsidR="009C2AA4">
        <w:rPr>
          <w:rFonts w:ascii="Open Sans" w:hAnsi="Open Sans" w:cs="Open Sans"/>
          <w:sz w:val="20"/>
          <w:szCs w:val="20"/>
        </w:rPr>
        <w:t>ERROVIAL y ABERTIS</w:t>
      </w:r>
      <w:r w:rsidRPr="00C61A20">
        <w:rPr>
          <w:rFonts w:ascii="Open Sans" w:hAnsi="Open Sans" w:cs="Open Sans"/>
          <w:sz w:val="20"/>
          <w:szCs w:val="20"/>
        </w:rPr>
        <w:t>)</w:t>
      </w:r>
      <w:r w:rsidR="00406EFA">
        <w:rPr>
          <w:rFonts w:ascii="Open Sans" w:hAnsi="Open Sans" w:cs="Open Sans"/>
          <w:sz w:val="20"/>
          <w:szCs w:val="20"/>
        </w:rPr>
        <w:t>,</w:t>
      </w:r>
      <w:r w:rsidRPr="00C61A20">
        <w:rPr>
          <w:rFonts w:ascii="Open Sans" w:hAnsi="Open Sans" w:cs="Open Sans"/>
          <w:sz w:val="20"/>
          <w:szCs w:val="20"/>
        </w:rPr>
        <w:t xml:space="preserve"> aunque afirman contar con una estrategia, esta no es pública. Lo anterior es sorprendente porque</w:t>
      </w:r>
      <w:r w:rsidRPr="00C61A20">
        <w:rPr>
          <w:rFonts w:ascii="Open Sans" w:hAnsi="Open Sans"/>
          <w:color w:val="333333"/>
          <w:sz w:val="21"/>
          <w:szCs w:val="21"/>
          <w:shd w:val="clear" w:color="auto" w:fill="FFFFFF"/>
        </w:rPr>
        <w:t xml:space="preserve"> </w:t>
      </w:r>
      <w:r w:rsidRPr="00C61A20">
        <w:rPr>
          <w:rFonts w:ascii="Open Sans" w:hAnsi="Open Sans" w:cs="Open Sans"/>
          <w:sz w:val="20"/>
          <w:szCs w:val="20"/>
        </w:rPr>
        <w:t>la evasión fiscal en la industria de la construcción se manifiesta como un problema significativo en diversos países. En México y Ecuador de acuerdo con diversos estudios las tasas de evasión en el sector de la construcción  superan el 50%</w:t>
      </w:r>
      <w:r w:rsidRPr="00C61A20">
        <w:rPr>
          <w:rStyle w:val="Refdenotaalpie"/>
          <w:rFonts w:ascii="Open Sans" w:hAnsi="Open Sans" w:cs="Open Sans"/>
          <w:sz w:val="20"/>
          <w:szCs w:val="20"/>
        </w:rPr>
        <w:footnoteReference w:id="41"/>
      </w:r>
      <w:r w:rsidRPr="00C61A20">
        <w:rPr>
          <w:rFonts w:ascii="Open Sans" w:hAnsi="Open Sans" w:cs="Open Sans"/>
          <w:sz w:val="20"/>
          <w:szCs w:val="20"/>
        </w:rPr>
        <w:t>. La agencia tributaria española señala al sector de la construcción como uno de los sectores clave en el fraude y evasión fiscal transfronteriza</w:t>
      </w:r>
      <w:r w:rsidRPr="00C61A20">
        <w:rPr>
          <w:rStyle w:val="Refdenotaalpie"/>
          <w:rFonts w:ascii="Open Sans" w:hAnsi="Open Sans" w:cs="Open Sans"/>
          <w:sz w:val="20"/>
          <w:szCs w:val="20"/>
        </w:rPr>
        <w:footnoteReference w:id="42"/>
      </w:r>
      <w:r w:rsidRPr="00C61A20">
        <w:rPr>
          <w:rFonts w:ascii="Open Sans" w:hAnsi="Open Sans" w:cs="Open Sans"/>
          <w:sz w:val="20"/>
          <w:szCs w:val="20"/>
        </w:rPr>
        <w:t xml:space="preserve">. </w:t>
      </w:r>
    </w:p>
    <w:p w14:paraId="57280784" w14:textId="77777777" w:rsidR="008434D6" w:rsidRPr="00C61A20" w:rsidRDefault="008434D6" w:rsidP="008434D6">
      <w:pPr>
        <w:autoSpaceDE w:val="0"/>
        <w:autoSpaceDN w:val="0"/>
        <w:adjustRightInd w:val="0"/>
        <w:jc w:val="both"/>
        <w:rPr>
          <w:rFonts w:ascii="Open Sans" w:hAnsi="Open Sans" w:cs="Open Sans"/>
          <w:sz w:val="20"/>
          <w:szCs w:val="20"/>
        </w:rPr>
      </w:pPr>
    </w:p>
    <w:p w14:paraId="35B53A21" w14:textId="677D4428" w:rsidR="008434D6" w:rsidRPr="00724C1E" w:rsidRDefault="00B67076" w:rsidP="008434D6">
      <w:pPr>
        <w:jc w:val="both"/>
        <w:rPr>
          <w:rFonts w:ascii="Open Sans" w:hAnsi="Open Sans" w:cs="Open Sans"/>
          <w:sz w:val="20"/>
          <w:szCs w:val="20"/>
        </w:rPr>
      </w:pPr>
      <w:r>
        <w:rPr>
          <w:rFonts w:ascii="Open Sans" w:hAnsi="Open Sans" w:cs="Open Sans"/>
          <w:sz w:val="20"/>
          <w:szCs w:val="20"/>
        </w:rPr>
        <w:t>Además el</w:t>
      </w:r>
      <w:r w:rsidR="008434D6" w:rsidRPr="00724C1E">
        <w:rPr>
          <w:rFonts w:ascii="Open Sans" w:hAnsi="Open Sans" w:cs="Open Sans"/>
          <w:sz w:val="20"/>
          <w:szCs w:val="20"/>
        </w:rPr>
        <w:t xml:space="preserve"> sector de la construcción ligado a obra civil tiene una íntima relación con la Administración Pública lo que implica una exposición de riesgo elevado en materia de corrupción. </w:t>
      </w:r>
      <w:r>
        <w:rPr>
          <w:rFonts w:ascii="Open Sans" w:hAnsi="Open Sans" w:cs="Open Sans"/>
          <w:sz w:val="20"/>
          <w:szCs w:val="20"/>
        </w:rPr>
        <w:t xml:space="preserve">En el objeto del </w:t>
      </w:r>
      <w:r w:rsidR="007F55EB">
        <w:rPr>
          <w:rFonts w:ascii="Open Sans" w:hAnsi="Open Sans" w:cs="Open Sans"/>
          <w:sz w:val="20"/>
          <w:szCs w:val="20"/>
        </w:rPr>
        <w:t>presente</w:t>
      </w:r>
      <w:r>
        <w:rPr>
          <w:rFonts w:ascii="Open Sans" w:hAnsi="Open Sans" w:cs="Open Sans"/>
          <w:sz w:val="20"/>
          <w:szCs w:val="20"/>
        </w:rPr>
        <w:t xml:space="preserve"> estudio, se encuentra una conexión directa entre </w:t>
      </w:r>
      <w:r w:rsidR="008434D6" w:rsidRPr="00724C1E">
        <w:rPr>
          <w:rFonts w:ascii="Open Sans" w:hAnsi="Open Sans" w:cs="Open Sans"/>
          <w:sz w:val="20"/>
          <w:szCs w:val="20"/>
        </w:rPr>
        <w:t>la Responsabilidad Social Corporativa en materia fiscal</w:t>
      </w:r>
      <w:r>
        <w:rPr>
          <w:rFonts w:ascii="Open Sans" w:hAnsi="Open Sans" w:cs="Open Sans"/>
          <w:sz w:val="20"/>
          <w:szCs w:val="20"/>
        </w:rPr>
        <w:t xml:space="preserve"> y la corrupción</w:t>
      </w:r>
      <w:r w:rsidR="008434D6" w:rsidRPr="00724C1E">
        <w:rPr>
          <w:rFonts w:ascii="Open Sans" w:hAnsi="Open Sans" w:cs="Open Sans"/>
          <w:sz w:val="20"/>
          <w:szCs w:val="20"/>
        </w:rPr>
        <w:t xml:space="preserve">. </w:t>
      </w:r>
      <w:r w:rsidR="008434D6">
        <w:rPr>
          <w:rFonts w:ascii="Open Sans" w:hAnsi="Open Sans" w:cs="Open Sans"/>
          <w:sz w:val="20"/>
          <w:szCs w:val="20"/>
        </w:rPr>
        <w:t xml:space="preserve">Las empresas mencionadas </w:t>
      </w:r>
      <w:r w:rsidR="008434D6" w:rsidRPr="00724C1E">
        <w:rPr>
          <w:rFonts w:ascii="Open Sans" w:hAnsi="Open Sans" w:cs="Open Sans"/>
          <w:sz w:val="20"/>
          <w:szCs w:val="20"/>
        </w:rPr>
        <w:t xml:space="preserve"> mantiene</w:t>
      </w:r>
      <w:r w:rsidR="008434D6">
        <w:rPr>
          <w:rFonts w:ascii="Open Sans" w:hAnsi="Open Sans" w:cs="Open Sans"/>
          <w:sz w:val="20"/>
          <w:szCs w:val="20"/>
        </w:rPr>
        <w:t>n</w:t>
      </w:r>
      <w:r w:rsidR="008434D6" w:rsidRPr="00724C1E">
        <w:rPr>
          <w:rFonts w:ascii="Open Sans" w:hAnsi="Open Sans" w:cs="Open Sans"/>
          <w:sz w:val="20"/>
          <w:szCs w:val="20"/>
        </w:rPr>
        <w:t xml:space="preserve"> un   fuerte volumen de contratación con div</w:t>
      </w:r>
      <w:r w:rsidR="008434D6">
        <w:rPr>
          <w:rFonts w:ascii="Open Sans" w:hAnsi="Open Sans" w:cs="Open Sans"/>
          <w:sz w:val="20"/>
          <w:szCs w:val="20"/>
        </w:rPr>
        <w:t>ersas Administraciones Públicas</w:t>
      </w:r>
      <w:r w:rsidR="008434D6" w:rsidRPr="00525087">
        <w:rPr>
          <w:rFonts w:ascii="Open Sans" w:hAnsi="Open Sans" w:cs="Open Sans"/>
          <w:sz w:val="20"/>
          <w:szCs w:val="20"/>
          <w:vertAlign w:val="superscript"/>
        </w:rPr>
        <w:footnoteReference w:id="43"/>
      </w:r>
      <w:r w:rsidR="008434D6" w:rsidRPr="00724C1E">
        <w:rPr>
          <w:rFonts w:ascii="Open Sans" w:hAnsi="Open Sans" w:cs="Open Sans"/>
          <w:sz w:val="20"/>
          <w:szCs w:val="20"/>
        </w:rPr>
        <w:t xml:space="preserve"> española</w:t>
      </w:r>
      <w:r w:rsidR="008434D6">
        <w:rPr>
          <w:rFonts w:ascii="Open Sans" w:hAnsi="Open Sans" w:cs="Open Sans"/>
          <w:sz w:val="20"/>
          <w:szCs w:val="20"/>
        </w:rPr>
        <w:t>s</w:t>
      </w:r>
      <w:r w:rsidR="008434D6" w:rsidRPr="00724C1E">
        <w:rPr>
          <w:rFonts w:ascii="Open Sans" w:hAnsi="Open Sans" w:cs="Open Sans"/>
          <w:sz w:val="20"/>
          <w:szCs w:val="20"/>
        </w:rPr>
        <w:t xml:space="preserve"> y opera</w:t>
      </w:r>
      <w:r w:rsidR="008434D6">
        <w:rPr>
          <w:rFonts w:ascii="Open Sans" w:hAnsi="Open Sans" w:cs="Open Sans"/>
          <w:sz w:val="20"/>
          <w:szCs w:val="20"/>
        </w:rPr>
        <w:t>n</w:t>
      </w:r>
      <w:r w:rsidR="008434D6" w:rsidRPr="00724C1E">
        <w:rPr>
          <w:rFonts w:ascii="Open Sans" w:hAnsi="Open Sans" w:cs="Open Sans"/>
          <w:sz w:val="20"/>
          <w:szCs w:val="20"/>
        </w:rPr>
        <w:t xml:space="preserve"> en países con elevado riesgo de corrupción de acuerdo con el Índice de percepción de la corrupción de Transparencia Internacional</w:t>
      </w:r>
      <w:r w:rsidR="008434D6" w:rsidRPr="00724C1E">
        <w:rPr>
          <w:rStyle w:val="Refdenotaalpie"/>
          <w:rFonts w:ascii="Open Sans" w:hAnsi="Open Sans" w:cs="Open Sans"/>
          <w:sz w:val="20"/>
          <w:szCs w:val="20"/>
        </w:rPr>
        <w:footnoteReference w:id="44"/>
      </w:r>
      <w:r w:rsidR="008434D6" w:rsidRPr="00724C1E">
        <w:rPr>
          <w:rFonts w:ascii="Open Sans" w:hAnsi="Open Sans" w:cs="Open Sans"/>
          <w:sz w:val="20"/>
          <w:szCs w:val="20"/>
        </w:rPr>
        <w:t>.</w:t>
      </w:r>
    </w:p>
    <w:p w14:paraId="0483E267" w14:textId="77777777" w:rsidR="008434D6" w:rsidRPr="007B3E55" w:rsidRDefault="008434D6" w:rsidP="008434D6">
      <w:pPr>
        <w:jc w:val="both"/>
        <w:rPr>
          <w:rFonts w:ascii="Open Sans" w:hAnsi="Open Sans" w:cs="Arial"/>
          <w:sz w:val="20"/>
          <w:szCs w:val="20"/>
          <w:lang w:val="es-ES"/>
        </w:rPr>
      </w:pPr>
    </w:p>
    <w:p w14:paraId="529137CC" w14:textId="0E3C5489" w:rsidR="008434D6" w:rsidRDefault="008434D6" w:rsidP="008434D6">
      <w:pPr>
        <w:jc w:val="both"/>
        <w:rPr>
          <w:rFonts w:ascii="Open Sans" w:hAnsi="Open Sans" w:cs="Open Sans"/>
          <w:sz w:val="20"/>
          <w:szCs w:val="20"/>
        </w:rPr>
      </w:pPr>
      <w:r w:rsidRPr="004D37A7">
        <w:rPr>
          <w:rFonts w:ascii="Open Sans" w:hAnsi="Open Sans" w:cs="Open Sans"/>
          <w:sz w:val="20"/>
          <w:szCs w:val="20"/>
        </w:rPr>
        <w:t xml:space="preserve">Son numerosos los casos de corrupción que asolan a las empresas del sector pese a los compromisos asumidos en la materia por parte de las empresas analizadas. Por ejemplo </w:t>
      </w:r>
      <w:r w:rsidRPr="009D34FE">
        <w:rPr>
          <w:rFonts w:ascii="Open Sans" w:hAnsi="Open Sans" w:cs="Open Sans"/>
          <w:sz w:val="20"/>
          <w:szCs w:val="20"/>
        </w:rPr>
        <w:t xml:space="preserve">ACS </w:t>
      </w:r>
      <w:r>
        <w:rPr>
          <w:rFonts w:ascii="Open Sans" w:hAnsi="Open Sans" w:cs="Open Sans"/>
          <w:sz w:val="20"/>
          <w:szCs w:val="20"/>
        </w:rPr>
        <w:t xml:space="preserve">que </w:t>
      </w:r>
      <w:r w:rsidRPr="009D34FE">
        <w:rPr>
          <w:rFonts w:ascii="Open Sans" w:hAnsi="Open Sans" w:cs="Open Sans"/>
          <w:sz w:val="20"/>
          <w:szCs w:val="20"/>
        </w:rPr>
        <w:t xml:space="preserve">afirma que promueve entre sus empleados el reconocimiento de los comportamientos acordes con la lealtad y la buena fe, y contra la corrupción y el soborno, evitando asimismo cualquier tipo de conducta y procedimiento contra la competencia leal y comprometidos con la responsabilidad fiscal. ACS identifica como Riesgo relevante aquellos derivados del soborno y corrupción. Afirma que “Compañías que representan un 18,8% del Grupo ACS desarrollan auditorías de forma periódica sobre el grado de implantación del Código de Conducta del Grupo ACS, que es la herramienta principal para la lucha contra esta amenaza. La empresa afirma en el índice GRI que “no se han detectado casos de corrupción”.  Sin embargo, no hay información sobre supuestos graves casos de corrupción en los que </w:t>
      </w:r>
      <w:r w:rsidR="00B67076">
        <w:rPr>
          <w:rFonts w:ascii="Open Sans" w:hAnsi="Open Sans" w:cs="Open Sans"/>
          <w:sz w:val="20"/>
          <w:szCs w:val="20"/>
        </w:rPr>
        <w:t xml:space="preserve">supuestamente </w:t>
      </w:r>
      <w:r w:rsidRPr="009D34FE">
        <w:rPr>
          <w:rFonts w:ascii="Open Sans" w:hAnsi="Open Sans" w:cs="Open Sans"/>
          <w:sz w:val="20"/>
          <w:szCs w:val="20"/>
        </w:rPr>
        <w:t>se ha visto envuelta la empresa en  los últimos ejercicios en su actividad  nacional e internacional</w:t>
      </w:r>
      <w:r w:rsidR="00B67076">
        <w:rPr>
          <w:rFonts w:ascii="Open Sans" w:hAnsi="Open Sans" w:cs="Open Sans"/>
          <w:sz w:val="20"/>
          <w:szCs w:val="20"/>
        </w:rPr>
        <w:t xml:space="preserve"> de acuerdo con la información aparecida en diversos medios de comunicación</w:t>
      </w:r>
      <w:r w:rsidRPr="004D37A7">
        <w:rPr>
          <w:vertAlign w:val="superscript"/>
        </w:rPr>
        <w:footnoteReference w:id="45"/>
      </w:r>
      <w:r w:rsidRPr="009D34FE">
        <w:rPr>
          <w:rFonts w:ascii="Open Sans" w:hAnsi="Open Sans" w:cs="Open Sans"/>
          <w:sz w:val="20"/>
          <w:szCs w:val="20"/>
        </w:rPr>
        <w:t>. La corrupción convive con el blanqueo de capitales y el fraude fiscal.</w:t>
      </w:r>
    </w:p>
    <w:p w14:paraId="281677A9" w14:textId="77777777" w:rsidR="008434D6" w:rsidRDefault="008434D6" w:rsidP="008434D6">
      <w:pPr>
        <w:jc w:val="both"/>
        <w:rPr>
          <w:rFonts w:ascii="Open Sans" w:hAnsi="Open Sans" w:cs="Open Sans"/>
          <w:sz w:val="20"/>
          <w:szCs w:val="20"/>
        </w:rPr>
      </w:pPr>
    </w:p>
    <w:p w14:paraId="00F94D1D" w14:textId="77777777" w:rsidR="008434D6" w:rsidRDefault="008434D6" w:rsidP="008434D6">
      <w:pPr>
        <w:jc w:val="both"/>
      </w:pPr>
      <w:r>
        <w:rPr>
          <w:rFonts w:ascii="Open Sans" w:hAnsi="Open Sans" w:cs="Open Sans"/>
          <w:sz w:val="20"/>
          <w:szCs w:val="20"/>
        </w:rPr>
        <w:t xml:space="preserve">También es preocupante la situación en el sector financiero por el elevado riesgo de elusión y evasión fiscal existente, no solamente a través de su estructura societaria, sino también como facilitador de operaciones con no residentes a través de sucursales sitas en paraísos fiscales. En este sentido, el banco Santander no cuenta con una política o estrategia fiscal. Tampoco el Banco de Sabadell, el banco Popular y Merlin Properties. </w:t>
      </w:r>
      <w:r>
        <w:rPr>
          <w:rFonts w:ascii="Open Sans" w:hAnsi="Open Sans" w:cs="Open Sans"/>
          <w:bCs/>
          <w:sz w:val="20"/>
          <w:szCs w:val="20"/>
        </w:rPr>
        <w:t>Bankiter únicamente indica de forma genérica que dispone de una estrategia o política fiscal “</w:t>
      </w:r>
      <w:r>
        <w:rPr>
          <w:rFonts w:ascii="Open Sans" w:hAnsi="Open Sans" w:cs="Open Sans"/>
          <w:bCs/>
          <w:i/>
          <w:iCs/>
          <w:sz w:val="20"/>
          <w:szCs w:val="20"/>
        </w:rPr>
        <w:t>El Consejo de Administración de la entidad aprobó mediante Acuerdo de 20 de mayo de 2015, la definición de la estrategia fiscal del Grupo Bankinter, estableciendo que aquella se orienta esencialmente a asegurar el cumplimiento responsable de la normativa tributaria atendiendo al interés social y apoyando las estrategias empresariales del Grupo. A estos efectos, en el marco de su responsabilidad social y corporativa, BANKINTER reconoce la función social del sistema tributario y, por ello, pretende que el desarrollo de la función tributaria en el Grupo atienda igualmente al interés social y al de sus grupos de interés, así como el valor que otorga a la confianza de la comunidad en la que opera.”</w:t>
      </w:r>
      <w:r>
        <w:rPr>
          <w:rStyle w:val="Refdenotaalpie"/>
          <w:rFonts w:ascii="Open Sans" w:hAnsi="Open Sans" w:cs="Open Sans"/>
          <w:bCs/>
          <w:i/>
          <w:iCs/>
          <w:sz w:val="20"/>
          <w:szCs w:val="20"/>
        </w:rPr>
        <w:footnoteReference w:id="46"/>
      </w:r>
      <w:r>
        <w:rPr>
          <w:rFonts w:ascii="Open Sans" w:hAnsi="Open Sans" w:cs="Open Sans"/>
          <w:bCs/>
          <w:i/>
          <w:iCs/>
          <w:sz w:val="20"/>
          <w:szCs w:val="20"/>
        </w:rPr>
        <w:t xml:space="preserve"> </w:t>
      </w:r>
      <w:r>
        <w:rPr>
          <w:rFonts w:ascii="Open Sans" w:hAnsi="Open Sans" w:cs="Open Sans"/>
          <w:bCs/>
          <w:sz w:val="20"/>
          <w:szCs w:val="20"/>
        </w:rPr>
        <w:t>No se ha encontrado documento específico sobre dicha estrategia que permita valorar su alcance y aporte al cumplimiento fiscal de la organización. Así mismo, en la Nota 45. Política y Gestión de Riesgos tampoco se incorpora de forma explícita los riesgos fiscales.</w:t>
      </w:r>
    </w:p>
    <w:p w14:paraId="3CCDF391" w14:textId="77777777" w:rsidR="008434D6" w:rsidRDefault="008434D6" w:rsidP="008434D6">
      <w:pPr>
        <w:jc w:val="both"/>
        <w:rPr>
          <w:rFonts w:ascii="Open Sans" w:hAnsi="Open Sans" w:cs="Open Sans"/>
          <w:sz w:val="20"/>
          <w:szCs w:val="20"/>
        </w:rPr>
      </w:pPr>
    </w:p>
    <w:p w14:paraId="4405C6FC" w14:textId="72AC77A8" w:rsidR="008434D6" w:rsidRPr="009D34FE" w:rsidRDefault="009C2AA4" w:rsidP="008434D6">
      <w:pPr>
        <w:jc w:val="both"/>
        <w:rPr>
          <w:rFonts w:ascii="Open Sans" w:hAnsi="Open Sans" w:cs="Open Sans"/>
          <w:sz w:val="20"/>
          <w:szCs w:val="20"/>
        </w:rPr>
      </w:pPr>
      <w:r>
        <w:rPr>
          <w:rFonts w:ascii="Open Sans" w:hAnsi="Open Sans" w:cs="Open Sans"/>
          <w:sz w:val="20"/>
          <w:szCs w:val="20"/>
        </w:rPr>
        <w:t>GAS NATURAL FENOSA</w:t>
      </w:r>
      <w:r w:rsidR="008434D6" w:rsidRPr="004F69CF">
        <w:rPr>
          <w:rFonts w:ascii="Open Sans" w:hAnsi="Open Sans" w:cs="Open Sans"/>
          <w:sz w:val="20"/>
          <w:szCs w:val="20"/>
        </w:rPr>
        <w:t xml:space="preserve"> </w:t>
      </w:r>
      <w:r w:rsidR="008434D6">
        <w:rPr>
          <w:rFonts w:ascii="Open Sans" w:hAnsi="Open Sans" w:cs="Open Sans"/>
          <w:sz w:val="20"/>
          <w:szCs w:val="20"/>
        </w:rPr>
        <w:t>no dispone</w:t>
      </w:r>
      <w:r w:rsidR="008434D6" w:rsidRPr="004F69CF">
        <w:rPr>
          <w:rFonts w:ascii="Open Sans" w:hAnsi="Open Sans" w:cs="Open Sans"/>
          <w:sz w:val="20"/>
          <w:szCs w:val="20"/>
        </w:rPr>
        <w:t xml:space="preserve"> de una política </w:t>
      </w:r>
      <w:r w:rsidR="008434D6">
        <w:rPr>
          <w:rFonts w:ascii="Open Sans" w:hAnsi="Open Sans" w:cs="Open Sans"/>
          <w:sz w:val="20"/>
          <w:szCs w:val="20"/>
        </w:rPr>
        <w:t>fiscal explícita</w:t>
      </w:r>
      <w:r w:rsidR="008434D6" w:rsidRPr="004F69CF">
        <w:rPr>
          <w:rFonts w:ascii="Open Sans" w:hAnsi="Open Sans" w:cs="Open Sans"/>
          <w:sz w:val="20"/>
          <w:szCs w:val="20"/>
        </w:rPr>
        <w:t xml:space="preserve">. Existe lo que se denomina un "Procedimiento General de Buenas Prácticas Tributarias" del que no se proporciona información. </w:t>
      </w:r>
      <w:r w:rsidR="008434D6">
        <w:rPr>
          <w:rFonts w:ascii="Open Sans" w:hAnsi="Open Sans" w:cs="Open Sans"/>
          <w:sz w:val="20"/>
          <w:szCs w:val="20"/>
        </w:rPr>
        <w:t xml:space="preserve">Tampoco se concreta nada sobre la estrategia fiscal de la compañía, a pesar de que se pudiese presumir que existe, ya que es uno de los aspectos en los que ha obtenido una valoración más alta en el </w:t>
      </w:r>
      <w:r w:rsidR="008434D6" w:rsidRPr="0045517F">
        <w:rPr>
          <w:rFonts w:ascii="Open Sans" w:hAnsi="Open Sans" w:cs="Open Sans"/>
          <w:sz w:val="20"/>
          <w:szCs w:val="20"/>
        </w:rPr>
        <w:t>Dow Jones Sustainability Index (DJSI</w:t>
      </w:r>
      <w:r w:rsidR="008434D6">
        <w:rPr>
          <w:rFonts w:ascii="Open Sans" w:hAnsi="Open Sans" w:cs="Open Sans"/>
          <w:sz w:val="20"/>
          <w:szCs w:val="20"/>
        </w:rPr>
        <w:t>)</w:t>
      </w:r>
      <w:r w:rsidR="008434D6">
        <w:rPr>
          <w:rStyle w:val="Refdenotaalpie"/>
          <w:rFonts w:ascii="Open Sans" w:hAnsi="Open Sans" w:cs="Open Sans"/>
          <w:sz w:val="20"/>
          <w:szCs w:val="20"/>
        </w:rPr>
        <w:footnoteReference w:id="47"/>
      </w:r>
      <w:r w:rsidR="008434D6">
        <w:rPr>
          <w:rFonts w:ascii="Open Sans" w:hAnsi="Open Sans" w:cs="Open Sans"/>
          <w:sz w:val="20"/>
          <w:szCs w:val="20"/>
        </w:rPr>
        <w:t>. La aparente existencia de una estrategia fiscal contrasta con la información nula que se proporciona sobre ella.</w:t>
      </w:r>
    </w:p>
    <w:p w14:paraId="2CAF8C10" w14:textId="77777777" w:rsidR="008434D6" w:rsidRDefault="008434D6" w:rsidP="008434D6"/>
    <w:p w14:paraId="659D0579" w14:textId="76FFE99E" w:rsidR="008434D6" w:rsidRPr="001D6C23" w:rsidRDefault="00C61A20" w:rsidP="008434D6">
      <w:pPr>
        <w:jc w:val="both"/>
        <w:rPr>
          <w:rFonts w:ascii="Open Sans" w:hAnsi="Open Sans" w:cs="Open Sans"/>
          <w:sz w:val="20"/>
          <w:szCs w:val="20"/>
        </w:rPr>
      </w:pPr>
      <w:r>
        <w:rPr>
          <w:rFonts w:ascii="Open Sans" w:hAnsi="Open Sans" w:cs="Open Sans"/>
          <w:sz w:val="20"/>
          <w:szCs w:val="20"/>
        </w:rPr>
        <w:t xml:space="preserve">En el caso de </w:t>
      </w:r>
      <w:r w:rsidR="009C2AA4">
        <w:rPr>
          <w:rFonts w:ascii="Open Sans" w:hAnsi="Open Sans" w:cs="Open Sans"/>
          <w:sz w:val="20"/>
          <w:szCs w:val="20"/>
        </w:rPr>
        <w:t>TELEFÓNICA</w:t>
      </w:r>
      <w:r w:rsidR="008434D6" w:rsidRPr="001D6C23">
        <w:rPr>
          <w:rFonts w:ascii="Open Sans" w:hAnsi="Open Sans" w:cs="Open Sans"/>
          <w:sz w:val="20"/>
          <w:szCs w:val="20"/>
        </w:rPr>
        <w:t xml:space="preserve"> entre los principios </w:t>
      </w:r>
      <w:r w:rsidR="00B67076">
        <w:rPr>
          <w:rFonts w:ascii="Open Sans" w:hAnsi="Open Sans" w:cs="Open Sans"/>
          <w:sz w:val="20"/>
          <w:szCs w:val="20"/>
        </w:rPr>
        <w:t xml:space="preserve">que </w:t>
      </w:r>
      <w:r w:rsidR="008434D6" w:rsidRPr="001D6C23">
        <w:rPr>
          <w:rFonts w:ascii="Open Sans" w:hAnsi="Open Sans" w:cs="Open Sans"/>
          <w:sz w:val="20"/>
          <w:szCs w:val="20"/>
        </w:rPr>
        <w:t>se declaran en la Estrategia Fiscal se recogen los siguientes:</w:t>
      </w:r>
    </w:p>
    <w:p w14:paraId="53E7CD9F" w14:textId="77777777" w:rsidR="008434D6" w:rsidRPr="00585461" w:rsidRDefault="008434D6" w:rsidP="000B70C9">
      <w:pPr>
        <w:pStyle w:val="Prrafodelista"/>
        <w:widowControl w:val="0"/>
        <w:numPr>
          <w:ilvl w:val="0"/>
          <w:numId w:val="67"/>
        </w:numPr>
        <w:autoSpaceDE w:val="0"/>
        <w:autoSpaceDN w:val="0"/>
        <w:adjustRightInd w:val="0"/>
        <w:spacing w:before="120"/>
        <w:jc w:val="both"/>
        <w:rPr>
          <w:rFonts w:ascii="Open Sans" w:hAnsi="Open Sans" w:cs="Arial"/>
          <w:sz w:val="20"/>
          <w:szCs w:val="20"/>
        </w:rPr>
      </w:pPr>
      <w:r w:rsidRPr="00585461">
        <w:rPr>
          <w:rFonts w:ascii="Open Sans" w:hAnsi="Open Sans" w:cs="Arial"/>
          <w:sz w:val="20"/>
          <w:szCs w:val="20"/>
        </w:rPr>
        <w:t>Estamos comprometidos con nuestra obligación de pagar los impuestos legalmente exigibles de forma adecuada en todos los países en los que operamos, contribuyendo a su progreso económico y social.</w:t>
      </w:r>
    </w:p>
    <w:p w14:paraId="7EC81E5B" w14:textId="77777777" w:rsidR="008434D6" w:rsidRPr="00585461" w:rsidRDefault="008434D6" w:rsidP="000B70C9">
      <w:pPr>
        <w:pStyle w:val="Prrafodelista"/>
        <w:widowControl w:val="0"/>
        <w:numPr>
          <w:ilvl w:val="0"/>
          <w:numId w:val="67"/>
        </w:numPr>
        <w:autoSpaceDE w:val="0"/>
        <w:autoSpaceDN w:val="0"/>
        <w:adjustRightInd w:val="0"/>
        <w:spacing w:before="120"/>
        <w:jc w:val="both"/>
        <w:rPr>
          <w:rFonts w:ascii="Open Sans" w:hAnsi="Open Sans" w:cs="Arial"/>
          <w:sz w:val="20"/>
          <w:szCs w:val="20"/>
        </w:rPr>
      </w:pPr>
      <w:r w:rsidRPr="00585461">
        <w:rPr>
          <w:rFonts w:ascii="Open Sans" w:hAnsi="Open Sans" w:cs="Arial"/>
          <w:sz w:val="20"/>
          <w:szCs w:val="20"/>
        </w:rPr>
        <w:t>Conciliamos el cumplimiento de nuestras obligaciones tributarias con nuestro compromiso de crear valor para nuestros accionistas mediante la gestión eficiente de los costes asociados a la función fiscal.</w:t>
      </w:r>
    </w:p>
    <w:p w14:paraId="5E4181D7" w14:textId="77777777" w:rsidR="008434D6" w:rsidRPr="00B83DE6" w:rsidRDefault="008434D6" w:rsidP="008434D6">
      <w:pPr>
        <w:widowControl w:val="0"/>
        <w:autoSpaceDE w:val="0"/>
        <w:autoSpaceDN w:val="0"/>
        <w:adjustRightInd w:val="0"/>
        <w:spacing w:before="120"/>
        <w:jc w:val="both"/>
        <w:rPr>
          <w:rFonts w:ascii="Open Sans" w:hAnsi="Open Sans" w:cs="Arial"/>
          <w:sz w:val="20"/>
          <w:szCs w:val="20"/>
        </w:rPr>
      </w:pPr>
      <w:r w:rsidRPr="00B83DE6">
        <w:rPr>
          <w:rFonts w:ascii="Open Sans" w:hAnsi="Open Sans" w:cs="Arial"/>
          <w:sz w:val="20"/>
          <w:szCs w:val="20"/>
        </w:rPr>
        <w:t>Podría existir un conflicto entre estos dos enunciados si no se señalan prioridades entre el objetivo a “creación de valor para los accionistas mediante una gestión eficientes de costes asociados a la función fiscal” y las obligaciones legales para contribuir al progreso económico y social, aunque se exprese en términos de “conciliación de cumplimiento de obligaciones tributarias”.</w:t>
      </w:r>
      <w:r>
        <w:rPr>
          <w:rFonts w:ascii="Open Sans" w:hAnsi="Open Sans" w:cs="Arial"/>
          <w:sz w:val="20"/>
          <w:szCs w:val="20"/>
        </w:rPr>
        <w:t xml:space="preserve"> </w:t>
      </w:r>
    </w:p>
    <w:p w14:paraId="121F0DD1" w14:textId="77777777" w:rsidR="008434D6" w:rsidRDefault="008434D6" w:rsidP="008434D6"/>
    <w:p w14:paraId="4C61D64E" w14:textId="56135F92" w:rsidR="008434D6" w:rsidRPr="00724C1E" w:rsidRDefault="008434D6" w:rsidP="008434D6">
      <w:pPr>
        <w:jc w:val="both"/>
        <w:rPr>
          <w:rFonts w:ascii="Open Sans" w:hAnsi="Open Sans" w:cs="Open Sans"/>
          <w:sz w:val="20"/>
          <w:szCs w:val="20"/>
        </w:rPr>
      </w:pPr>
      <w:r>
        <w:rPr>
          <w:rFonts w:ascii="Open Sans" w:hAnsi="Open Sans" w:cs="Arial"/>
          <w:bCs/>
          <w:sz w:val="20"/>
          <w:szCs w:val="20"/>
        </w:rPr>
        <w:t xml:space="preserve">La  recomendación 54 del </w:t>
      </w:r>
      <w:r w:rsidRPr="001419FA">
        <w:rPr>
          <w:rFonts w:ascii="Open Sans" w:hAnsi="Open Sans" w:cs="Arial"/>
          <w:bCs/>
          <w:sz w:val="20"/>
          <w:szCs w:val="20"/>
        </w:rPr>
        <w:t xml:space="preserve">Código Unificado de buen gobierno de las sociedades cotizadas </w:t>
      </w:r>
      <w:r>
        <w:rPr>
          <w:rFonts w:ascii="Open Sans" w:hAnsi="Open Sans" w:cs="Arial"/>
          <w:bCs/>
          <w:sz w:val="20"/>
          <w:szCs w:val="20"/>
        </w:rPr>
        <w:t xml:space="preserve">establece que </w:t>
      </w:r>
      <w:r w:rsidRPr="001419FA">
        <w:rPr>
          <w:rFonts w:ascii="Open Sans" w:hAnsi="Open Sans" w:cs="Arial"/>
          <w:sz w:val="20"/>
          <w:szCs w:val="20"/>
        </w:rPr>
        <w:t>“la política de responsabilidad social corporativa incluya los principios o compromisos que la empresa asuma voluntariamente en su relación con los distintos grupos de interés e identifique al menos: Las prácticas concretas en cuestiones relacionadas con: accionistas, empleados, clientes, proveedores, cuestiones sociales, medio ambiente, diversidad, responsabilidad fiscal, respeto de los derechos humanos y prevención de conductas ilegales</w:t>
      </w:r>
      <w:r>
        <w:rPr>
          <w:rFonts w:ascii="Open Sans" w:hAnsi="Open Sans" w:cs="Arial"/>
          <w:sz w:val="20"/>
          <w:szCs w:val="20"/>
        </w:rPr>
        <w:t>”</w:t>
      </w:r>
      <w:r w:rsidRPr="001419FA">
        <w:rPr>
          <w:rFonts w:ascii="Open Sans" w:hAnsi="Open Sans" w:cs="Arial"/>
          <w:sz w:val="20"/>
          <w:szCs w:val="20"/>
        </w:rPr>
        <w:t>.</w:t>
      </w:r>
      <w:r>
        <w:rPr>
          <w:rFonts w:ascii="Open Sans" w:hAnsi="Open Sans" w:cs="Arial"/>
          <w:sz w:val="20"/>
          <w:szCs w:val="20"/>
        </w:rPr>
        <w:t xml:space="preserve"> Pese a que muchas empresas afirman en sus códigos de buen gobierno que la política de RSC aborda asuntos fiscales, en ocasiones esto no se refleja en las políticas vigentes, en caso de que existan, y de recogerse se limitan a explicitar compromisos de carácter genérico. Por ejemplo</w:t>
      </w:r>
      <w:r w:rsidR="00D5004F">
        <w:rPr>
          <w:rFonts w:ascii="Open Sans" w:hAnsi="Open Sans" w:cs="Arial"/>
          <w:sz w:val="20"/>
          <w:szCs w:val="20"/>
        </w:rPr>
        <w:t>,</w:t>
      </w:r>
      <w:r>
        <w:rPr>
          <w:rFonts w:ascii="Open Sans" w:hAnsi="Open Sans" w:cs="Arial"/>
          <w:sz w:val="20"/>
          <w:szCs w:val="20"/>
        </w:rPr>
        <w:t xml:space="preserve"> </w:t>
      </w:r>
      <w:r w:rsidR="00B11C42">
        <w:rPr>
          <w:rFonts w:ascii="Open Sans" w:hAnsi="Open Sans" w:cs="Arial"/>
          <w:sz w:val="20"/>
          <w:szCs w:val="20"/>
        </w:rPr>
        <w:t>INDRA</w:t>
      </w:r>
      <w:r>
        <w:rPr>
          <w:rFonts w:ascii="Open Sans" w:hAnsi="Open Sans" w:cs="Arial"/>
          <w:bCs/>
          <w:sz w:val="20"/>
          <w:szCs w:val="20"/>
        </w:rPr>
        <w:t xml:space="preserve"> recoge en su política de RSC “que </w:t>
      </w:r>
      <w:r w:rsidRPr="00077733">
        <w:rPr>
          <w:rFonts w:ascii="Open Sans" w:hAnsi="Open Sans" w:cs="Arial"/>
          <w:bCs/>
          <w:sz w:val="20"/>
          <w:szCs w:val="20"/>
        </w:rPr>
        <w:t>la empresa impulsará  la  aplicación  de  buenas  prácticas  fiscales  en  las comunidades donde opera la Compañía</w:t>
      </w:r>
      <w:r>
        <w:rPr>
          <w:rFonts w:ascii="Open Sans" w:hAnsi="Open Sans" w:cs="Arial"/>
          <w:bCs/>
          <w:sz w:val="20"/>
          <w:szCs w:val="20"/>
        </w:rPr>
        <w:t>”</w:t>
      </w:r>
      <w:r w:rsidRPr="00077733">
        <w:rPr>
          <w:rFonts w:ascii="Open Sans" w:hAnsi="Open Sans" w:cs="Arial"/>
          <w:bCs/>
          <w:sz w:val="20"/>
          <w:szCs w:val="20"/>
        </w:rPr>
        <w:t>.</w:t>
      </w:r>
      <w:r>
        <w:rPr>
          <w:rFonts w:ascii="Open Sans" w:hAnsi="Open Sans" w:cs="Arial"/>
          <w:bCs/>
          <w:sz w:val="20"/>
          <w:szCs w:val="20"/>
        </w:rPr>
        <w:t xml:space="preserve"> </w:t>
      </w:r>
      <w:r w:rsidR="00B11C42">
        <w:rPr>
          <w:rFonts w:ascii="Open Sans" w:hAnsi="Open Sans" w:cs="Arial"/>
          <w:bCs/>
          <w:sz w:val="20"/>
          <w:szCs w:val="20"/>
        </w:rPr>
        <w:t>BANKIA</w:t>
      </w:r>
      <w:r>
        <w:rPr>
          <w:rFonts w:ascii="Open Sans" w:hAnsi="Open Sans" w:cs="Arial"/>
          <w:bCs/>
          <w:sz w:val="20"/>
          <w:szCs w:val="20"/>
        </w:rPr>
        <w:t xml:space="preserve"> </w:t>
      </w:r>
      <w:r>
        <w:rPr>
          <w:rFonts w:ascii="Open Sans" w:hAnsi="Open Sans" w:cs="Open Sans"/>
          <w:sz w:val="20"/>
          <w:szCs w:val="20"/>
        </w:rPr>
        <w:t>d</w:t>
      </w:r>
      <w:r w:rsidRPr="002A3C1B">
        <w:rPr>
          <w:rFonts w:ascii="Open Sans" w:hAnsi="Open Sans" w:cs="Open Sans"/>
          <w:sz w:val="20"/>
          <w:szCs w:val="20"/>
        </w:rPr>
        <w:t>entro de la política de gestión responsable también dedica un párrafo a la fiscalidad responsable: Afirma que Bankia asume el compromiso de “Actuar con responsabilidad en la gestión de los negocios y cumplir con las obligaciones fiscales allí donde la compañía tenga actividad, asumiendo el compromiso de transparencia y colaboración con las administraciones tributarias correspondientes.”</w:t>
      </w:r>
      <w:r>
        <w:rPr>
          <w:rFonts w:ascii="Open Sans" w:hAnsi="Open Sans" w:cs="Open Sans"/>
          <w:sz w:val="20"/>
          <w:szCs w:val="20"/>
        </w:rPr>
        <w:t xml:space="preserve"> </w:t>
      </w:r>
      <w:r w:rsidR="00D5004F">
        <w:rPr>
          <w:rFonts w:ascii="Open Sans" w:hAnsi="Open Sans" w:cs="Open Sans"/>
          <w:sz w:val="20"/>
          <w:szCs w:val="20"/>
        </w:rPr>
        <w:t xml:space="preserve">La estrategia fiscal de </w:t>
      </w:r>
      <w:r w:rsidR="00B11C42">
        <w:rPr>
          <w:rFonts w:ascii="Open Sans" w:hAnsi="Open Sans" w:cs="Open Sans"/>
          <w:sz w:val="20"/>
          <w:szCs w:val="20"/>
        </w:rPr>
        <w:t>ACCIONA</w:t>
      </w:r>
      <w:r w:rsidR="00D5004F">
        <w:rPr>
          <w:rFonts w:ascii="Open Sans" w:hAnsi="Open Sans" w:cs="Open Sans"/>
          <w:sz w:val="20"/>
          <w:szCs w:val="20"/>
        </w:rPr>
        <w:t xml:space="preserve">, </w:t>
      </w:r>
      <w:r>
        <w:rPr>
          <w:rFonts w:ascii="Open Sans" w:hAnsi="Open Sans" w:cs="Open Sans"/>
          <w:sz w:val="20"/>
          <w:szCs w:val="20"/>
        </w:rPr>
        <w:t>aprobada</w:t>
      </w:r>
      <w:r w:rsidRPr="00724C1E">
        <w:rPr>
          <w:rFonts w:ascii="Open Sans" w:hAnsi="Open Sans" w:cs="Open Sans"/>
          <w:sz w:val="20"/>
          <w:szCs w:val="20"/>
        </w:rPr>
        <w:t xml:space="preserve"> durante 2015</w:t>
      </w:r>
      <w:r w:rsidR="00D5004F">
        <w:rPr>
          <w:rFonts w:ascii="Open Sans" w:hAnsi="Open Sans" w:cs="Open Sans"/>
          <w:sz w:val="20"/>
          <w:szCs w:val="20"/>
        </w:rPr>
        <w:t>,</w:t>
      </w:r>
      <w:r w:rsidRPr="00724C1E">
        <w:rPr>
          <w:rFonts w:ascii="Open Sans" w:hAnsi="Open Sans" w:cs="Open Sans"/>
          <w:sz w:val="20"/>
          <w:szCs w:val="20"/>
        </w:rPr>
        <w:t xml:space="preserve"> está basada, </w:t>
      </w:r>
      <w:r>
        <w:rPr>
          <w:rFonts w:ascii="Open Sans" w:hAnsi="Open Sans" w:cs="Open Sans"/>
          <w:sz w:val="20"/>
          <w:szCs w:val="20"/>
        </w:rPr>
        <w:t>d</w:t>
      </w:r>
      <w:r w:rsidRPr="00724C1E">
        <w:rPr>
          <w:rFonts w:ascii="Open Sans" w:hAnsi="Open Sans" w:cs="Open Sans"/>
          <w:sz w:val="20"/>
          <w:szCs w:val="20"/>
        </w:rPr>
        <w:t>e acuerdo</w:t>
      </w:r>
      <w:r>
        <w:rPr>
          <w:rFonts w:ascii="Open Sans" w:hAnsi="Open Sans" w:cs="Open Sans"/>
          <w:sz w:val="20"/>
          <w:szCs w:val="20"/>
        </w:rPr>
        <w:t xml:space="preserve"> con el documento, entre otros en los </w:t>
      </w:r>
      <w:r w:rsidRPr="00724C1E">
        <w:rPr>
          <w:rFonts w:ascii="Open Sans" w:hAnsi="Open Sans" w:cs="Open Sans"/>
          <w:sz w:val="20"/>
          <w:szCs w:val="20"/>
        </w:rPr>
        <w:t>valores:</w:t>
      </w:r>
      <w:r>
        <w:rPr>
          <w:rFonts w:ascii="Open Sans" w:hAnsi="Open Sans" w:cs="Open Sans"/>
          <w:sz w:val="20"/>
          <w:szCs w:val="20"/>
        </w:rPr>
        <w:t xml:space="preserve"> </w:t>
      </w:r>
      <w:r w:rsidRPr="00724C1E">
        <w:rPr>
          <w:rFonts w:ascii="Open Sans" w:hAnsi="Open Sans" w:cs="Open Sans"/>
          <w:sz w:val="20"/>
          <w:szCs w:val="20"/>
        </w:rPr>
        <w:t>Responsabilidad social, contribuyendo activamente al bienestar social, al desarrollo sostenible y a la generación de valor para nuestros grupos de interés.</w:t>
      </w:r>
      <w:r>
        <w:rPr>
          <w:rFonts w:ascii="Open Sans" w:hAnsi="Open Sans" w:cs="Open Sans"/>
          <w:sz w:val="20"/>
          <w:szCs w:val="20"/>
        </w:rPr>
        <w:t xml:space="preserve"> </w:t>
      </w:r>
    </w:p>
    <w:p w14:paraId="60673DD5" w14:textId="77777777" w:rsidR="008434D6" w:rsidRDefault="008434D6" w:rsidP="008434D6">
      <w:pPr>
        <w:autoSpaceDE w:val="0"/>
        <w:autoSpaceDN w:val="0"/>
        <w:adjustRightInd w:val="0"/>
        <w:jc w:val="both"/>
        <w:rPr>
          <w:rFonts w:ascii="Open Sans" w:hAnsi="Open Sans" w:cs="Open Sans"/>
          <w:sz w:val="20"/>
          <w:szCs w:val="20"/>
        </w:rPr>
      </w:pPr>
    </w:p>
    <w:p w14:paraId="0FD35C4C" w14:textId="6566E861" w:rsidR="008434D6" w:rsidRPr="002F1538" w:rsidRDefault="008434D6" w:rsidP="008434D6">
      <w:pPr>
        <w:tabs>
          <w:tab w:val="left" w:pos="709"/>
        </w:tabs>
        <w:jc w:val="both"/>
        <w:rPr>
          <w:rFonts w:ascii="Open Sans" w:hAnsi="Open Sans" w:cs="Open Sans"/>
          <w:bCs/>
          <w:sz w:val="20"/>
          <w:szCs w:val="20"/>
        </w:rPr>
      </w:pPr>
      <w:r w:rsidRPr="002F1538">
        <w:rPr>
          <w:rFonts w:ascii="Open Sans" w:hAnsi="Open Sans" w:cs="Open Sans"/>
          <w:bCs/>
          <w:sz w:val="20"/>
          <w:szCs w:val="20"/>
        </w:rPr>
        <w:t xml:space="preserve">Algunas de las políticas y estrategias de empresas analizadas vinculan a éstas con el código de buenas prácticas tributarias  de la Agencia Tributaria española. </w:t>
      </w:r>
      <w:r w:rsidR="00B11C42">
        <w:rPr>
          <w:rFonts w:ascii="Open Sans" w:hAnsi="Open Sans" w:cs="Open Sans"/>
          <w:bCs/>
          <w:sz w:val="20"/>
          <w:szCs w:val="20"/>
        </w:rPr>
        <w:t>FERROVIAL</w:t>
      </w:r>
      <w:r w:rsidRPr="002F1538">
        <w:rPr>
          <w:rFonts w:ascii="Open Sans" w:hAnsi="Open Sans" w:cs="Open Sans"/>
          <w:bCs/>
          <w:sz w:val="20"/>
          <w:szCs w:val="20"/>
        </w:rPr>
        <w:t xml:space="preserve"> en su Política de cumplimiento y buenas prácticas en materia tributaria parte de una perspectiva de “respeto a la legalidad vigente” y se indica expresamente que sigue las recomendaciones del Código de Buenas Prácticas Tributarias impulsado por la Agencia Tributaria española. </w:t>
      </w:r>
      <w:r w:rsidRPr="002F1538">
        <w:rPr>
          <w:rFonts w:ascii="Open Sans" w:hAnsi="Open Sans" w:cs="Open Sans"/>
          <w:sz w:val="20"/>
          <w:szCs w:val="20"/>
        </w:rPr>
        <w:t xml:space="preserve">MAPFRE publicó, con fecha 17 de diciembre de 2015, la política fiscal de la sociedad que  se basa en los compromisos adquiridos por MAPFRE en </w:t>
      </w:r>
      <w:r w:rsidRPr="002F1538">
        <w:rPr>
          <w:rFonts w:ascii="Open Sans" w:eastAsia="Calibri" w:hAnsi="Open Sans" w:cs="Open Sans"/>
          <w:sz w:val="20"/>
          <w:szCs w:val="20"/>
        </w:rPr>
        <w:t>el Foro de Grandes Empresas</w:t>
      </w:r>
    </w:p>
    <w:p w14:paraId="3A889093" w14:textId="77777777" w:rsidR="008434D6" w:rsidRDefault="008434D6" w:rsidP="008434D6"/>
    <w:p w14:paraId="241F1D63" w14:textId="3463B5D8" w:rsidR="008434D6" w:rsidRPr="00366FEB" w:rsidRDefault="008434D6" w:rsidP="008434D6">
      <w:pPr>
        <w:tabs>
          <w:tab w:val="left" w:pos="709"/>
        </w:tabs>
        <w:jc w:val="both"/>
        <w:rPr>
          <w:rFonts w:cs="Arial"/>
          <w:bCs/>
          <w:sz w:val="20"/>
          <w:szCs w:val="20"/>
        </w:rPr>
      </w:pPr>
      <w:r w:rsidRPr="002F1538">
        <w:rPr>
          <w:rFonts w:ascii="Open Sans" w:hAnsi="Open Sans" w:cs="Open Sans"/>
          <w:bCs/>
          <w:sz w:val="20"/>
          <w:szCs w:val="20"/>
        </w:rPr>
        <w:t xml:space="preserve">Una carencia en las políticas y estrategias aprobadas de manera mayoritaria en el ejercicio 2015, es la falta de alineamiento con iniciativas internacionales como por ejemplo el proyecto BEPS de la OCDE. Por lo general se limitan a fijar una serie compromisos con las buenas prácticas tributarias y la comunicación.  Un caso excepcional es el de BBVA: en 2015, la entidad a través del Consejo de Administración aprobó la Estrategia Fiscal del Grupo bajo el nombre de “Principios Corporativos en materia tributaria y estrategia fiscal” en la que establece las políticas, principios y valores que deben guiar el comportamiento </w:t>
      </w:r>
      <w:r w:rsidR="00D5004F">
        <w:rPr>
          <w:rFonts w:ascii="Open Sans" w:hAnsi="Open Sans" w:cs="Open Sans"/>
          <w:bCs/>
          <w:sz w:val="20"/>
          <w:szCs w:val="20"/>
        </w:rPr>
        <w:t>del Grupo en materia tributaria y</w:t>
      </w:r>
      <w:r w:rsidRPr="002F1538">
        <w:rPr>
          <w:rFonts w:ascii="Open Sans" w:hAnsi="Open Sans" w:cs="Open Sans"/>
          <w:bCs/>
          <w:sz w:val="20"/>
          <w:szCs w:val="20"/>
        </w:rPr>
        <w:t xml:space="preserve"> fiscal </w:t>
      </w:r>
      <w:r w:rsidR="00D5004F">
        <w:rPr>
          <w:rFonts w:ascii="Open Sans" w:hAnsi="Open Sans" w:cs="Open Sans"/>
          <w:bCs/>
          <w:sz w:val="20"/>
          <w:szCs w:val="20"/>
        </w:rPr>
        <w:t xml:space="preserve">y </w:t>
      </w:r>
      <w:r w:rsidRPr="002F1538">
        <w:rPr>
          <w:rFonts w:ascii="Open Sans" w:hAnsi="Open Sans" w:cs="Open Sans"/>
          <w:bCs/>
          <w:sz w:val="20"/>
          <w:szCs w:val="20"/>
        </w:rPr>
        <w:t>se define de acuerdo con las nuevas exigencias de la Ley de Sociedades de Capital, incorporando los objetivos y medidas aprobados por BEPS con el objetivo de prevenir y controlar los riesgos fiscales y mejorar la transparencia fiscal y la responsabilidad social corporativa</w:t>
      </w:r>
      <w:r>
        <w:rPr>
          <w:rStyle w:val="Refdenotaalpie"/>
          <w:rFonts w:ascii="Open Sans" w:hAnsi="Open Sans" w:cs="Open Sans"/>
          <w:sz w:val="20"/>
          <w:szCs w:val="20"/>
        </w:rPr>
        <w:footnoteReference w:id="48"/>
      </w:r>
      <w:r w:rsidRPr="00F5076A">
        <w:rPr>
          <w:rFonts w:ascii="Open Sans" w:hAnsi="Open Sans" w:cs="Open Sans"/>
          <w:sz w:val="20"/>
          <w:szCs w:val="20"/>
        </w:rPr>
        <w:t>.</w:t>
      </w:r>
    </w:p>
    <w:p w14:paraId="33B28180" w14:textId="0B232A2C" w:rsidR="00363184" w:rsidRDefault="00363184">
      <w:pPr>
        <w:rPr>
          <w:rFonts w:ascii="Open Sans" w:hAnsi="Open Sans" w:cs="Arial"/>
          <w:b/>
          <w:sz w:val="20"/>
          <w:szCs w:val="20"/>
          <w:lang w:val="es-ES"/>
        </w:rPr>
      </w:pPr>
    </w:p>
    <w:p w14:paraId="5BA965D4" w14:textId="77777777" w:rsidR="00363184" w:rsidRPr="00310A67" w:rsidRDefault="00363184" w:rsidP="003828F3">
      <w:pPr>
        <w:jc w:val="both"/>
        <w:rPr>
          <w:rFonts w:ascii="Open Sans" w:hAnsi="Open Sans" w:cs="Arial"/>
          <w:b/>
          <w:sz w:val="20"/>
          <w:szCs w:val="20"/>
          <w:lang w:val="es-ES"/>
        </w:rPr>
      </w:pPr>
    </w:p>
    <w:p w14:paraId="6131269D" w14:textId="6073F5CB" w:rsidR="00310A67" w:rsidRPr="00ED545D" w:rsidRDefault="00363184" w:rsidP="003828F3">
      <w:pPr>
        <w:jc w:val="both"/>
        <w:rPr>
          <w:rFonts w:ascii="Open Sans" w:hAnsi="Open Sans" w:cs="Arial"/>
          <w:b/>
          <w:sz w:val="22"/>
          <w:szCs w:val="22"/>
          <w:lang w:val="es-ES"/>
        </w:rPr>
      </w:pPr>
      <w:bookmarkStart w:id="28" w:name="PE2"/>
      <w:r>
        <w:rPr>
          <w:rFonts w:ascii="Open Sans" w:hAnsi="Open Sans" w:cs="Arial"/>
          <w:b/>
          <w:sz w:val="22"/>
          <w:szCs w:val="22"/>
          <w:lang w:val="es-ES"/>
        </w:rPr>
        <w:t xml:space="preserve">P.E.2 </w:t>
      </w:r>
      <w:r w:rsidR="00310A67" w:rsidRPr="00ED545D">
        <w:rPr>
          <w:rFonts w:ascii="Open Sans" w:hAnsi="Open Sans" w:cs="Arial"/>
          <w:b/>
          <w:sz w:val="22"/>
          <w:szCs w:val="22"/>
          <w:lang w:val="es-ES"/>
        </w:rPr>
        <w:t>La empresa informa sobre sus principales riesgos fiscales</w:t>
      </w:r>
      <w:bookmarkEnd w:id="28"/>
    </w:p>
    <w:p w14:paraId="1FABB8C2" w14:textId="77777777" w:rsidR="00BF1607" w:rsidRDefault="00BF1607" w:rsidP="003828F3">
      <w:pPr>
        <w:jc w:val="both"/>
        <w:rPr>
          <w:rFonts w:ascii="Open Sans" w:hAnsi="Open Sans" w:cs="Arial"/>
          <w:b/>
          <w:sz w:val="20"/>
          <w:szCs w:val="20"/>
          <w:lang w:val="es-ES"/>
        </w:rPr>
      </w:pPr>
    </w:p>
    <w:p w14:paraId="43003270" w14:textId="77777777" w:rsidR="00FD0760" w:rsidRDefault="00FD0760" w:rsidP="00FD0760">
      <w:pPr>
        <w:jc w:val="both"/>
        <w:rPr>
          <w:rFonts w:ascii="Open Sans" w:hAnsi="Open Sans" w:cs="Arial"/>
          <w:bCs/>
          <w:sz w:val="20"/>
          <w:szCs w:val="20"/>
        </w:rPr>
      </w:pPr>
      <w:r>
        <w:rPr>
          <w:rFonts w:ascii="Open Sans" w:hAnsi="Open Sans" w:cs="Arial"/>
          <w:bCs/>
          <w:sz w:val="20"/>
          <w:szCs w:val="20"/>
        </w:rPr>
        <w:t xml:space="preserve">La aprobación de la política en materia fiscal se trata de un primer paso necesario para integrar los valores de una fiscalidad responsable dentro de la empresa pero si además no viene acompañada de procedimientos concretos es imposible conocer si la empresa está implementado dichos compromisos. </w:t>
      </w:r>
    </w:p>
    <w:p w14:paraId="799BBD03" w14:textId="77777777" w:rsidR="00FD0760" w:rsidRDefault="00FD0760" w:rsidP="00FD0760">
      <w:pPr>
        <w:tabs>
          <w:tab w:val="left" w:pos="709"/>
        </w:tabs>
        <w:jc w:val="both"/>
        <w:rPr>
          <w:rFonts w:ascii="Open Sans" w:hAnsi="Open Sans" w:cs="Open Sans"/>
          <w:sz w:val="20"/>
          <w:szCs w:val="20"/>
          <w:shd w:val="clear" w:color="auto" w:fill="FFFFFF"/>
        </w:rPr>
      </w:pPr>
    </w:p>
    <w:p w14:paraId="66AF237C" w14:textId="7796C2B3" w:rsidR="00FD0760" w:rsidRPr="009C2AA4" w:rsidRDefault="00FD0760" w:rsidP="00FD0760">
      <w:pPr>
        <w:tabs>
          <w:tab w:val="left" w:pos="709"/>
        </w:tabs>
        <w:jc w:val="both"/>
        <w:rPr>
          <w:rFonts w:ascii="Open Sans" w:hAnsi="Open Sans" w:cs="Open Sans"/>
          <w:sz w:val="20"/>
          <w:szCs w:val="20"/>
          <w:shd w:val="clear" w:color="auto" w:fill="FFFFFF"/>
        </w:rPr>
      </w:pPr>
      <w:r w:rsidRPr="009C2AA4">
        <w:rPr>
          <w:rFonts w:ascii="Open Sans" w:hAnsi="Open Sans" w:cs="Open Sans"/>
          <w:sz w:val="20"/>
          <w:szCs w:val="20"/>
          <w:shd w:val="clear" w:color="auto" w:fill="FFFFFF"/>
        </w:rPr>
        <w:t xml:space="preserve">En relación al indicador P.E.2,  </w:t>
      </w:r>
      <w:r w:rsidR="00D5004F" w:rsidRPr="009C2AA4">
        <w:rPr>
          <w:rFonts w:ascii="Open Sans" w:hAnsi="Open Sans" w:cs="Open Sans"/>
          <w:b/>
          <w:sz w:val="20"/>
          <w:szCs w:val="20"/>
          <w:shd w:val="clear" w:color="auto" w:fill="FFFFFF"/>
        </w:rPr>
        <w:t>12</w:t>
      </w:r>
      <w:r w:rsidRPr="009C2AA4">
        <w:rPr>
          <w:rFonts w:ascii="Open Sans" w:hAnsi="Open Sans" w:cs="Open Sans"/>
          <w:b/>
          <w:sz w:val="20"/>
          <w:szCs w:val="20"/>
          <w:shd w:val="clear" w:color="auto" w:fill="FFFFFF"/>
        </w:rPr>
        <w:t xml:space="preserve"> de las 35 empresas </w:t>
      </w:r>
      <w:r w:rsidRPr="009C2AA4">
        <w:rPr>
          <w:rFonts w:ascii="Open Sans" w:hAnsi="Open Sans" w:cs="Open Sans"/>
          <w:sz w:val="20"/>
          <w:szCs w:val="20"/>
          <w:shd w:val="clear" w:color="auto" w:fill="FFFFFF"/>
        </w:rPr>
        <w:t xml:space="preserve">analizadas facilitan algún tipo de información sobre sus principales riesgos fiscales  lo que supone un </w:t>
      </w:r>
      <w:r w:rsidR="00D5004F" w:rsidRPr="009C2AA4">
        <w:rPr>
          <w:rFonts w:ascii="Open Sans" w:hAnsi="Open Sans" w:cs="Open Sans"/>
          <w:b/>
          <w:sz w:val="20"/>
          <w:szCs w:val="20"/>
          <w:shd w:val="clear" w:color="auto" w:fill="FFFFFF"/>
        </w:rPr>
        <w:t>34</w:t>
      </w:r>
      <w:r w:rsidRPr="009C2AA4">
        <w:rPr>
          <w:rFonts w:ascii="Open Sans" w:hAnsi="Open Sans" w:cs="Open Sans"/>
          <w:b/>
          <w:sz w:val="20"/>
          <w:szCs w:val="20"/>
          <w:shd w:val="clear" w:color="auto" w:fill="FFFFFF"/>
        </w:rPr>
        <w:t>% del total</w:t>
      </w:r>
      <w:r w:rsidRPr="009C2AA4">
        <w:rPr>
          <w:rFonts w:ascii="Open Sans" w:hAnsi="Open Sans" w:cs="Open Sans"/>
          <w:sz w:val="20"/>
          <w:szCs w:val="20"/>
          <w:shd w:val="clear" w:color="auto" w:fill="FFFFFF"/>
        </w:rPr>
        <w:t xml:space="preserve"> de empresas analizadas. El nivel de cumplimiento de este indicador se soporta, al igual que el P.E.1., en la obligatoriedad introducida en por la reforma de la Ley de Sociedades de Capital efectuada en el año 2014 por la Ley 31/2014</w:t>
      </w:r>
      <w:r w:rsidRPr="009C2AA4">
        <w:rPr>
          <w:rFonts w:ascii="Open Sans" w:hAnsi="Open Sans" w:cs="Open Sans"/>
          <w:sz w:val="20"/>
          <w:szCs w:val="20"/>
          <w:shd w:val="clear" w:color="auto" w:fill="FFFFFF"/>
          <w:vertAlign w:val="superscript"/>
        </w:rPr>
        <w:footnoteReference w:id="49"/>
      </w:r>
      <w:r w:rsidRPr="009C2AA4">
        <w:rPr>
          <w:rFonts w:ascii="Open Sans" w:hAnsi="Open Sans" w:cs="Open Sans"/>
          <w:sz w:val="20"/>
          <w:szCs w:val="20"/>
          <w:shd w:val="clear" w:color="auto" w:fill="FFFFFF"/>
          <w:vertAlign w:val="superscript"/>
        </w:rPr>
        <w:t>,</w:t>
      </w:r>
      <w:r w:rsidRPr="009C2AA4">
        <w:rPr>
          <w:rFonts w:ascii="Open Sans" w:hAnsi="Open Sans" w:cs="Open Sans"/>
          <w:sz w:val="20"/>
          <w:szCs w:val="20"/>
          <w:shd w:val="clear" w:color="auto" w:fill="FFFFFF"/>
        </w:rPr>
        <w:t xml:space="preserve"> en la que se establece en su Artículo 540 en su punto e, que el  Informe anual de gobierno corporativo incorpore </w:t>
      </w:r>
      <w:r w:rsidRPr="009C2AA4">
        <w:rPr>
          <w:rFonts w:ascii="Open Sans" w:hAnsi="Open Sans" w:cs="Open Sans"/>
          <w:i/>
          <w:sz w:val="20"/>
          <w:szCs w:val="20"/>
          <w:shd w:val="clear" w:color="auto" w:fill="FFFFFF"/>
        </w:rPr>
        <w:t>el Sistemas de control del riesgo, incluido el fiscal.</w:t>
      </w:r>
      <w:r w:rsidRPr="009C2AA4">
        <w:rPr>
          <w:rFonts w:ascii="Open Sans" w:hAnsi="Open Sans" w:cs="Open Sans"/>
          <w:sz w:val="20"/>
          <w:szCs w:val="20"/>
          <w:shd w:val="clear" w:color="auto" w:fill="FFFFFF"/>
        </w:rPr>
        <w:t xml:space="preserve"> </w:t>
      </w:r>
    </w:p>
    <w:p w14:paraId="67F12E93" w14:textId="77777777" w:rsidR="00FD0760" w:rsidRDefault="00FD0760" w:rsidP="00FD0760">
      <w:pPr>
        <w:tabs>
          <w:tab w:val="left" w:pos="709"/>
        </w:tabs>
        <w:jc w:val="both"/>
        <w:rPr>
          <w:rFonts w:ascii="Open Sans" w:hAnsi="Open Sans" w:cs="Open Sans"/>
          <w:sz w:val="20"/>
          <w:szCs w:val="20"/>
          <w:shd w:val="clear" w:color="auto" w:fill="FFFFFF"/>
        </w:rPr>
      </w:pPr>
    </w:p>
    <w:p w14:paraId="2A94B823" w14:textId="5EA0453A" w:rsidR="00FD0760" w:rsidRDefault="00FD0760" w:rsidP="00FD0760">
      <w:pPr>
        <w:jc w:val="both"/>
        <w:rPr>
          <w:rFonts w:ascii="Open Sans" w:hAnsi="Open Sans" w:cs="Open Sans"/>
          <w:sz w:val="20"/>
          <w:szCs w:val="20"/>
        </w:rPr>
      </w:pPr>
      <w:r>
        <w:rPr>
          <w:rFonts w:ascii="Open Sans" w:hAnsi="Open Sans" w:cs="Open Sans"/>
          <w:sz w:val="20"/>
          <w:szCs w:val="20"/>
          <w:shd w:val="clear" w:color="auto" w:fill="FFFFFF"/>
        </w:rPr>
        <w:t>Pese a que la  mayor parte de las empresas analizadas afirman</w:t>
      </w:r>
      <w:r w:rsidR="003912B6">
        <w:rPr>
          <w:rFonts w:ascii="Open Sans" w:hAnsi="Open Sans" w:cs="Open Sans"/>
          <w:sz w:val="20"/>
          <w:szCs w:val="20"/>
          <w:shd w:val="clear" w:color="auto" w:fill="FFFFFF"/>
        </w:rPr>
        <w:t xml:space="preserve">, </w:t>
      </w:r>
      <w:r w:rsidR="00D5004F">
        <w:rPr>
          <w:rFonts w:ascii="Open Sans" w:hAnsi="Open Sans" w:cs="Open Sans"/>
          <w:sz w:val="20"/>
          <w:szCs w:val="20"/>
          <w:shd w:val="clear" w:color="auto" w:fill="FFFFFF"/>
        </w:rPr>
        <w:t xml:space="preserve">a través de sus informes de buen gobierno, </w:t>
      </w:r>
      <w:r>
        <w:rPr>
          <w:rFonts w:ascii="Open Sans" w:hAnsi="Open Sans" w:cs="Open Sans"/>
          <w:sz w:val="20"/>
          <w:szCs w:val="20"/>
          <w:shd w:val="clear" w:color="auto" w:fill="FFFFFF"/>
        </w:rPr>
        <w:t>tener un sistema de gestión de riesgos de carácter fiscal, prácticamente ninguna los identifica o los menciona</w:t>
      </w:r>
      <w:r w:rsidR="003912B6">
        <w:rPr>
          <w:rFonts w:ascii="Open Sans" w:hAnsi="Open Sans" w:cs="Open Sans"/>
          <w:sz w:val="20"/>
          <w:szCs w:val="20"/>
          <w:shd w:val="clear" w:color="auto" w:fill="FFFFFF"/>
        </w:rPr>
        <w:t>n</w:t>
      </w:r>
      <w:r>
        <w:rPr>
          <w:rFonts w:ascii="Open Sans" w:hAnsi="Open Sans" w:cs="Open Sans"/>
          <w:sz w:val="20"/>
          <w:szCs w:val="20"/>
          <w:shd w:val="clear" w:color="auto" w:fill="FFFFFF"/>
        </w:rPr>
        <w:t xml:space="preserve"> de manera genérica y/o aislada. Por ejemplo</w:t>
      </w:r>
      <w:r w:rsidR="003912B6">
        <w:rPr>
          <w:rFonts w:ascii="Open Sans" w:hAnsi="Open Sans" w:cs="Open Sans"/>
          <w:sz w:val="20"/>
          <w:szCs w:val="20"/>
          <w:shd w:val="clear" w:color="auto" w:fill="FFFFFF"/>
        </w:rPr>
        <w:t>,</w:t>
      </w:r>
      <w:r>
        <w:rPr>
          <w:rFonts w:ascii="Open Sans" w:hAnsi="Open Sans" w:cs="Open Sans"/>
          <w:sz w:val="20"/>
          <w:szCs w:val="20"/>
          <w:shd w:val="clear" w:color="auto" w:fill="FFFFFF"/>
        </w:rPr>
        <w:t xml:space="preserve"> Acciona </w:t>
      </w:r>
      <w:r w:rsidRPr="00724C1E">
        <w:rPr>
          <w:rFonts w:ascii="Open Sans" w:hAnsi="Open Sans" w:cs="Open Sans"/>
          <w:sz w:val="20"/>
          <w:szCs w:val="20"/>
        </w:rPr>
        <w:t>afirma que ha definido una política de gestión de riesgos fiscales “basada en un adecuado entorno de control, un sistema de identificación de riesgos y un proceso de monitorización y mejora continua de la efectividad de los controles establecidos”, sin embargo no identifica esos riesgos en la información analizada ni qué medidas ha adoptado para mitigarlos.</w:t>
      </w:r>
    </w:p>
    <w:p w14:paraId="583F6E6B" w14:textId="77777777" w:rsidR="00D06B0E" w:rsidRDefault="00D06B0E" w:rsidP="00FD0760">
      <w:pPr>
        <w:jc w:val="both"/>
        <w:rPr>
          <w:rFonts w:ascii="Open Sans" w:hAnsi="Open Sans" w:cs="Open Sans"/>
          <w:sz w:val="20"/>
          <w:szCs w:val="20"/>
        </w:rPr>
      </w:pPr>
    </w:p>
    <w:p w14:paraId="6F49835F" w14:textId="119C9D07" w:rsidR="00D06B0E" w:rsidRPr="002B0B9F" w:rsidRDefault="00D06B0E" w:rsidP="00D06B0E">
      <w:pPr>
        <w:jc w:val="both"/>
        <w:rPr>
          <w:rFonts w:ascii="Open Sans" w:hAnsi="Open Sans" w:cs="Open Sans"/>
          <w:sz w:val="20"/>
          <w:szCs w:val="20"/>
        </w:rPr>
      </w:pPr>
      <w:r w:rsidRPr="002B0B9F">
        <w:rPr>
          <w:rFonts w:ascii="Open Sans" w:hAnsi="Open Sans" w:cs="Open Sans"/>
          <w:sz w:val="20"/>
          <w:szCs w:val="20"/>
        </w:rPr>
        <w:t>El contexto intern</w:t>
      </w:r>
      <w:r>
        <w:rPr>
          <w:rFonts w:ascii="Open Sans" w:hAnsi="Open Sans" w:cs="Open Sans"/>
          <w:sz w:val="20"/>
          <w:szCs w:val="20"/>
        </w:rPr>
        <w:t>acionalizado de la operativa de las empresas analizadas</w:t>
      </w:r>
      <w:r w:rsidRPr="002B0B9F">
        <w:rPr>
          <w:rFonts w:ascii="Open Sans" w:hAnsi="Open Sans" w:cs="Open Sans"/>
          <w:sz w:val="20"/>
          <w:szCs w:val="20"/>
        </w:rPr>
        <w:t xml:space="preserve"> hace que se enfrente</w:t>
      </w:r>
      <w:r>
        <w:rPr>
          <w:rFonts w:ascii="Open Sans" w:hAnsi="Open Sans" w:cs="Open Sans"/>
          <w:sz w:val="20"/>
          <w:szCs w:val="20"/>
        </w:rPr>
        <w:t>n</w:t>
      </w:r>
      <w:r w:rsidRPr="002B0B9F">
        <w:rPr>
          <w:rFonts w:ascii="Open Sans" w:hAnsi="Open Sans" w:cs="Open Sans"/>
          <w:sz w:val="20"/>
          <w:szCs w:val="20"/>
        </w:rPr>
        <w:t xml:space="preserve"> a riesgos de diferente índole, entre ellos, a gran variedad de riesgos fiscales: interpretación de las diferentes normativas tributarias de los países en los que opera, operaciones intragrupo (precios de transferencia, traslado de beneficios entre filiales, etc.),  consolidación de la información fiscal, que la información externa sobre la posición fiscal y su desempeño sea apropiada y coherente al cada vez mayor escrutinio público de una fiscalidad responsable de las multinacionales. Adecuación de gestión empresarial a las nuevas disposiciones legislativas</w:t>
      </w:r>
      <w:r w:rsidRPr="002B0B9F">
        <w:rPr>
          <w:rStyle w:val="Refdenotaalpie"/>
          <w:rFonts w:ascii="Open Sans" w:hAnsi="Open Sans" w:cs="Open Sans"/>
        </w:rPr>
        <w:footnoteReference w:id="50"/>
      </w:r>
      <w:r w:rsidRPr="002B0B9F">
        <w:rPr>
          <w:rFonts w:ascii="Open Sans" w:hAnsi="Open Sans" w:cs="Open Sans"/>
          <w:sz w:val="20"/>
          <w:szCs w:val="20"/>
        </w:rPr>
        <w:t xml:space="preserve"> que incrementa la responsabilidad tributaria de los miembros del consejo de administración que no podrán, en ningún caso, alegar su ignorancia en estas materias. </w:t>
      </w:r>
    </w:p>
    <w:p w14:paraId="2668DE6C" w14:textId="77777777" w:rsidR="00FD0760" w:rsidRDefault="00FD0760" w:rsidP="00FD0760">
      <w:pPr>
        <w:jc w:val="both"/>
        <w:rPr>
          <w:rFonts w:ascii="Open Sans" w:hAnsi="Open Sans" w:cs="Open Sans"/>
          <w:sz w:val="20"/>
          <w:szCs w:val="20"/>
        </w:rPr>
      </w:pPr>
    </w:p>
    <w:p w14:paraId="51DB8A9F" w14:textId="77777777" w:rsidR="00FD0760" w:rsidRDefault="00FD0760" w:rsidP="00FD0760">
      <w:pPr>
        <w:jc w:val="both"/>
        <w:rPr>
          <w:rFonts w:ascii="Open Sans" w:hAnsi="Open Sans" w:cs="Open Sans"/>
          <w:sz w:val="20"/>
          <w:szCs w:val="20"/>
        </w:rPr>
      </w:pPr>
      <w:r w:rsidRPr="009C2AA4">
        <w:rPr>
          <w:rFonts w:ascii="Open Sans" w:hAnsi="Open Sans" w:cs="Open Sans"/>
          <w:sz w:val="20"/>
          <w:szCs w:val="20"/>
        </w:rPr>
        <w:t>AMADEUS</w:t>
      </w:r>
      <w:r>
        <w:rPr>
          <w:rFonts w:ascii="Open Sans" w:hAnsi="Open Sans" w:cs="Open Sans"/>
          <w:sz w:val="20"/>
          <w:szCs w:val="20"/>
        </w:rPr>
        <w:t xml:space="preserve"> </w:t>
      </w:r>
      <w:r w:rsidRPr="00932DC2">
        <w:rPr>
          <w:rFonts w:ascii="Open Sans" w:hAnsi="Open Sans" w:cs="Open Sans"/>
          <w:sz w:val="20"/>
          <w:szCs w:val="20"/>
        </w:rPr>
        <w:t>en el informe de buen gobierno</w:t>
      </w:r>
      <w:r>
        <w:rPr>
          <w:rFonts w:ascii="Open Sans" w:hAnsi="Open Sans" w:cs="Open Sans"/>
          <w:sz w:val="20"/>
          <w:szCs w:val="20"/>
        </w:rPr>
        <w:t xml:space="preserve"> afirma que l</w:t>
      </w:r>
      <w:r w:rsidRPr="00932DC2">
        <w:rPr>
          <w:rFonts w:ascii="Open Sans" w:hAnsi="Open Sans" w:cs="Open Sans"/>
          <w:sz w:val="20"/>
          <w:szCs w:val="20"/>
        </w:rPr>
        <w:t>a</w:t>
      </w:r>
      <w:r>
        <w:rPr>
          <w:rFonts w:ascii="Open Sans" w:hAnsi="Open Sans" w:cs="Open Sans"/>
          <w:sz w:val="20"/>
          <w:szCs w:val="20"/>
        </w:rPr>
        <w:t xml:space="preserve"> organización tiene establecida </w:t>
      </w:r>
      <w:r w:rsidRPr="00932DC2">
        <w:rPr>
          <w:rFonts w:ascii="Open Sans" w:hAnsi="Open Sans" w:cs="Open Sans"/>
          <w:sz w:val="20"/>
          <w:szCs w:val="20"/>
        </w:rPr>
        <w:t xml:space="preserve">una lista de opciones para cada riesgo </w:t>
      </w:r>
      <w:r>
        <w:rPr>
          <w:rFonts w:ascii="Open Sans" w:hAnsi="Open Sans" w:cs="Open Sans"/>
          <w:sz w:val="20"/>
          <w:szCs w:val="20"/>
        </w:rPr>
        <w:t xml:space="preserve">fiscal </w:t>
      </w:r>
      <w:r w:rsidRPr="00932DC2">
        <w:rPr>
          <w:rFonts w:ascii="Open Sans" w:hAnsi="Open Sans" w:cs="Open Sans"/>
          <w:sz w:val="20"/>
          <w:szCs w:val="20"/>
        </w:rPr>
        <w:t xml:space="preserve">y </w:t>
      </w:r>
      <w:r>
        <w:rPr>
          <w:rFonts w:ascii="Open Sans" w:hAnsi="Open Sans" w:cs="Open Sans"/>
          <w:sz w:val="20"/>
          <w:szCs w:val="20"/>
        </w:rPr>
        <w:t xml:space="preserve">facilita </w:t>
      </w:r>
      <w:r w:rsidRPr="00932DC2">
        <w:rPr>
          <w:rFonts w:ascii="Open Sans" w:hAnsi="Open Sans" w:cs="Open Sans"/>
          <w:sz w:val="20"/>
          <w:szCs w:val="20"/>
        </w:rPr>
        <w:t>algunos ejemplos para cada uno de ellos: La decisión de no implementar estructuras fiscales complejas inconsistentes con el negocio para lograr ahorros fiscales</w:t>
      </w:r>
      <w:r>
        <w:rPr>
          <w:rFonts w:ascii="Open Sans" w:hAnsi="Open Sans" w:cs="Open Sans"/>
          <w:sz w:val="20"/>
          <w:szCs w:val="20"/>
        </w:rPr>
        <w:t xml:space="preserve"> para evitar sucesos imprevistos</w:t>
      </w:r>
      <w:r w:rsidRPr="00932DC2">
        <w:rPr>
          <w:rFonts w:ascii="Open Sans" w:hAnsi="Open Sans" w:cs="Open Sans"/>
          <w:sz w:val="20"/>
          <w:szCs w:val="20"/>
        </w:rPr>
        <w:t xml:space="preserve">. </w:t>
      </w:r>
      <w:r>
        <w:rPr>
          <w:rFonts w:ascii="Open Sans" w:hAnsi="Open Sans" w:cs="Open Sans"/>
          <w:sz w:val="20"/>
          <w:szCs w:val="20"/>
        </w:rPr>
        <w:t>Contar con una política o estrategia fiscal adecuada para r</w:t>
      </w:r>
      <w:r w:rsidRPr="00932DC2">
        <w:rPr>
          <w:rFonts w:ascii="Open Sans" w:hAnsi="Open Sans" w:cs="Open Sans"/>
          <w:sz w:val="20"/>
          <w:szCs w:val="20"/>
        </w:rPr>
        <w:t>educir la proba</w:t>
      </w:r>
      <w:r>
        <w:rPr>
          <w:rFonts w:ascii="Open Sans" w:hAnsi="Open Sans" w:cs="Open Sans"/>
          <w:sz w:val="20"/>
          <w:szCs w:val="20"/>
        </w:rPr>
        <w:t xml:space="preserve">bilidad de que ocurra un suceso. </w:t>
      </w:r>
      <w:r w:rsidRPr="00932DC2">
        <w:rPr>
          <w:rFonts w:ascii="Open Sans" w:hAnsi="Open Sans" w:cs="Open Sans"/>
          <w:sz w:val="20"/>
          <w:szCs w:val="20"/>
        </w:rPr>
        <w:t xml:space="preserve">No se sabe qué quiere decir </w:t>
      </w:r>
      <w:r>
        <w:rPr>
          <w:rFonts w:ascii="Open Sans" w:hAnsi="Open Sans" w:cs="Open Sans"/>
          <w:sz w:val="20"/>
          <w:szCs w:val="20"/>
        </w:rPr>
        <w:t xml:space="preserve">la empresa con </w:t>
      </w:r>
      <w:r w:rsidRPr="00932DC2">
        <w:rPr>
          <w:rFonts w:ascii="Open Sans" w:hAnsi="Open Sans" w:cs="Open Sans"/>
          <w:sz w:val="20"/>
          <w:szCs w:val="20"/>
        </w:rPr>
        <w:t>"adecuada"</w:t>
      </w:r>
      <w:r>
        <w:rPr>
          <w:rFonts w:ascii="Open Sans" w:hAnsi="Open Sans" w:cs="Open Sans"/>
          <w:sz w:val="20"/>
          <w:szCs w:val="20"/>
        </w:rPr>
        <w:t>, ni consta que el Consejo haya aprobado una política o estrategia fiscal</w:t>
      </w:r>
      <w:r w:rsidRPr="00932DC2">
        <w:rPr>
          <w:rFonts w:ascii="Open Sans" w:hAnsi="Open Sans" w:cs="Open Sans"/>
          <w:sz w:val="20"/>
          <w:szCs w:val="20"/>
        </w:rPr>
        <w:t xml:space="preserve">.  </w:t>
      </w:r>
      <w:r>
        <w:rPr>
          <w:rFonts w:ascii="Open Sans" w:hAnsi="Open Sans" w:cs="Open Sans"/>
          <w:sz w:val="20"/>
          <w:szCs w:val="20"/>
        </w:rPr>
        <w:t>La empresa afirma que “</w:t>
      </w:r>
      <w:r w:rsidRPr="00932DC2">
        <w:rPr>
          <w:rFonts w:ascii="Open Sans" w:hAnsi="Open Sans" w:cs="Open Sans"/>
          <w:sz w:val="20"/>
          <w:szCs w:val="20"/>
        </w:rPr>
        <w:t>No existe un riesgo fiscal específico que pudiera afectar a la consecución de los objetivos de negocio, pero el modelo de negocio de</w:t>
      </w:r>
      <w:r>
        <w:rPr>
          <w:rFonts w:ascii="Open Sans" w:hAnsi="Open Sans" w:cs="Open Sans"/>
          <w:sz w:val="20"/>
          <w:szCs w:val="20"/>
        </w:rPr>
        <w:t xml:space="preserve"> </w:t>
      </w:r>
      <w:r w:rsidRPr="00932DC2">
        <w:rPr>
          <w:rFonts w:ascii="Open Sans" w:hAnsi="Open Sans" w:cs="Open Sans"/>
          <w:sz w:val="20"/>
          <w:szCs w:val="20"/>
        </w:rPr>
        <w:t>la Sociedad y la presencia del Grupo, a través de subsidiarias/filiales en muy distintas jurisdicciones locales, hace necesario prestar</w:t>
      </w:r>
      <w:r>
        <w:rPr>
          <w:rFonts w:ascii="Open Sans" w:hAnsi="Open Sans" w:cs="Open Sans"/>
          <w:sz w:val="20"/>
          <w:szCs w:val="20"/>
        </w:rPr>
        <w:t xml:space="preserve"> </w:t>
      </w:r>
      <w:r w:rsidRPr="00932DC2">
        <w:rPr>
          <w:rFonts w:ascii="Open Sans" w:hAnsi="Open Sans" w:cs="Open Sans"/>
          <w:sz w:val="20"/>
          <w:szCs w:val="20"/>
        </w:rPr>
        <w:t>atención a un diseño apropiado de las políticas de precios de transferencia</w:t>
      </w:r>
      <w:r>
        <w:rPr>
          <w:rFonts w:ascii="Open Sans" w:hAnsi="Open Sans" w:cs="Open Sans"/>
          <w:sz w:val="20"/>
          <w:szCs w:val="20"/>
        </w:rPr>
        <w:t>”</w:t>
      </w:r>
      <w:r w:rsidRPr="00932DC2">
        <w:rPr>
          <w:rFonts w:ascii="Open Sans" w:hAnsi="Open Sans" w:cs="Open Sans"/>
          <w:sz w:val="20"/>
          <w:szCs w:val="20"/>
        </w:rPr>
        <w:t xml:space="preserve">.   </w:t>
      </w:r>
      <w:r>
        <w:rPr>
          <w:rFonts w:ascii="Open Sans" w:hAnsi="Open Sans" w:cs="Open Sans"/>
          <w:sz w:val="20"/>
          <w:szCs w:val="20"/>
        </w:rPr>
        <w:t>Identific</w:t>
      </w:r>
      <w:r w:rsidRPr="00932DC2">
        <w:rPr>
          <w:rFonts w:ascii="Open Sans" w:hAnsi="Open Sans" w:cs="Open Sans"/>
          <w:sz w:val="20"/>
          <w:szCs w:val="20"/>
        </w:rPr>
        <w:t>a como riesgo del entorno las contingencias</w:t>
      </w:r>
      <w:r>
        <w:rPr>
          <w:rFonts w:ascii="Open Sans" w:hAnsi="Open Sans" w:cs="Open Sans"/>
          <w:sz w:val="20"/>
          <w:szCs w:val="20"/>
        </w:rPr>
        <w:t xml:space="preserve"> fiscales. M</w:t>
      </w:r>
      <w:r w:rsidRPr="00932DC2">
        <w:rPr>
          <w:rFonts w:ascii="Open Sans" w:hAnsi="Open Sans" w:cs="Open Sans"/>
          <w:sz w:val="20"/>
          <w:szCs w:val="20"/>
        </w:rPr>
        <w:t>enciona que no se han mate</w:t>
      </w:r>
      <w:r>
        <w:rPr>
          <w:rFonts w:ascii="Open Sans" w:hAnsi="Open Sans" w:cs="Open Sans"/>
          <w:sz w:val="20"/>
          <w:szCs w:val="20"/>
        </w:rPr>
        <w:t>rializado riesgos durante 2015.</w:t>
      </w:r>
      <w:r w:rsidRPr="003C5F65">
        <w:rPr>
          <w:rFonts w:ascii="Open Sans" w:hAnsi="Open Sans" w:cs="Open Sans"/>
          <w:sz w:val="20"/>
          <w:szCs w:val="20"/>
        </w:rPr>
        <w:t xml:space="preserve"> </w:t>
      </w:r>
      <w:r>
        <w:rPr>
          <w:rFonts w:ascii="Open Sans" w:hAnsi="Open Sans" w:cs="Open Sans"/>
          <w:sz w:val="20"/>
          <w:szCs w:val="20"/>
        </w:rPr>
        <w:t xml:space="preserve">No obstante, salvo lo mencionado en relación a los precios de transferencia, en la información analizada no se han  encontrado evidencias de qué considera AMADEUS riesgo fiscal,  el </w:t>
      </w:r>
      <w:r w:rsidRPr="00724C1E">
        <w:rPr>
          <w:rFonts w:ascii="Open Sans" w:hAnsi="Open Sans" w:cs="Open Sans"/>
          <w:sz w:val="20"/>
          <w:szCs w:val="20"/>
        </w:rPr>
        <w:t xml:space="preserve"> sistema de identificación de riesgos</w:t>
      </w:r>
      <w:r>
        <w:rPr>
          <w:rFonts w:ascii="Open Sans" w:hAnsi="Open Sans" w:cs="Open Sans"/>
          <w:sz w:val="20"/>
          <w:szCs w:val="20"/>
        </w:rPr>
        <w:t xml:space="preserve">, salvo la mención de que los riesgos fiscales son incluidos en un mapa de riesgos corporativos, </w:t>
      </w:r>
      <w:r w:rsidRPr="00724C1E">
        <w:rPr>
          <w:rFonts w:ascii="Open Sans" w:hAnsi="Open Sans" w:cs="Open Sans"/>
          <w:sz w:val="20"/>
          <w:szCs w:val="20"/>
        </w:rPr>
        <w:t xml:space="preserve"> y </w:t>
      </w:r>
      <w:r>
        <w:rPr>
          <w:rFonts w:ascii="Open Sans" w:hAnsi="Open Sans" w:cs="Open Sans"/>
          <w:sz w:val="20"/>
          <w:szCs w:val="20"/>
        </w:rPr>
        <w:t xml:space="preserve">el </w:t>
      </w:r>
      <w:r w:rsidRPr="00724C1E">
        <w:rPr>
          <w:rFonts w:ascii="Open Sans" w:hAnsi="Open Sans" w:cs="Open Sans"/>
          <w:sz w:val="20"/>
          <w:szCs w:val="20"/>
        </w:rPr>
        <w:t>proceso de monitorización y mejora continua de la efectivida</w:t>
      </w:r>
      <w:r>
        <w:rPr>
          <w:rFonts w:ascii="Open Sans" w:hAnsi="Open Sans" w:cs="Open Sans"/>
          <w:sz w:val="20"/>
          <w:szCs w:val="20"/>
        </w:rPr>
        <w:t>d de los controles establecidos</w:t>
      </w:r>
      <w:r w:rsidRPr="00724C1E">
        <w:rPr>
          <w:rFonts w:ascii="Open Sans" w:hAnsi="Open Sans" w:cs="Open Sans"/>
          <w:sz w:val="20"/>
          <w:szCs w:val="20"/>
        </w:rPr>
        <w:t>,</w:t>
      </w:r>
      <w:r>
        <w:rPr>
          <w:rFonts w:ascii="Open Sans" w:hAnsi="Open Sans" w:cs="Open Sans"/>
          <w:sz w:val="20"/>
          <w:szCs w:val="20"/>
        </w:rPr>
        <w:t xml:space="preserve"> en caso de que éstos existiesen.</w:t>
      </w:r>
    </w:p>
    <w:p w14:paraId="3BD8BC6D" w14:textId="77777777" w:rsidR="00FD0760" w:rsidRDefault="00FD0760" w:rsidP="00FD0760">
      <w:pPr>
        <w:jc w:val="both"/>
        <w:rPr>
          <w:rFonts w:ascii="Open Sans" w:hAnsi="Open Sans" w:cs="Open Sans"/>
          <w:sz w:val="20"/>
          <w:szCs w:val="20"/>
        </w:rPr>
      </w:pPr>
    </w:p>
    <w:p w14:paraId="795FFC46" w14:textId="3AEA2CA0" w:rsidR="00FD0760" w:rsidRDefault="00FD0760" w:rsidP="00FD0760">
      <w:pPr>
        <w:jc w:val="both"/>
        <w:rPr>
          <w:rFonts w:ascii="Open Sans" w:hAnsi="Open Sans" w:cs="Open Sans"/>
          <w:sz w:val="20"/>
          <w:szCs w:val="20"/>
        </w:rPr>
      </w:pPr>
      <w:r w:rsidRPr="009C2AA4">
        <w:rPr>
          <w:rFonts w:ascii="Open Sans" w:hAnsi="Open Sans" w:cs="Open Sans"/>
          <w:sz w:val="20"/>
          <w:szCs w:val="20"/>
        </w:rPr>
        <w:t>MEDIASET</w:t>
      </w:r>
      <w:r>
        <w:rPr>
          <w:rFonts w:ascii="Open Sans" w:hAnsi="Open Sans" w:cs="Open Sans"/>
          <w:sz w:val="20"/>
          <w:szCs w:val="20"/>
        </w:rPr>
        <w:t xml:space="preserve"> </w:t>
      </w:r>
      <w:r w:rsidR="003912B6">
        <w:rPr>
          <w:rFonts w:ascii="Open Sans" w:hAnsi="Open Sans" w:cs="Open Sans"/>
          <w:sz w:val="20"/>
          <w:szCs w:val="20"/>
        </w:rPr>
        <w:t xml:space="preserve">afirma que </w:t>
      </w:r>
      <w:r w:rsidRPr="004B1A88">
        <w:rPr>
          <w:rFonts w:ascii="Open Sans" w:hAnsi="Open Sans" w:cs="Open Sans"/>
          <w:sz w:val="20"/>
          <w:szCs w:val="20"/>
        </w:rPr>
        <w:t>La Política de Gestión Integral de Riesgos del Grupo</w:t>
      </w:r>
      <w:r w:rsidR="003912B6">
        <w:rPr>
          <w:rFonts w:ascii="Open Sans" w:hAnsi="Open Sans" w:cs="Open Sans"/>
          <w:sz w:val="20"/>
          <w:szCs w:val="20"/>
        </w:rPr>
        <w:t xml:space="preserve"> </w:t>
      </w:r>
      <w:r>
        <w:rPr>
          <w:rFonts w:ascii="Open Sans" w:hAnsi="Open Sans" w:cs="Open Sans"/>
          <w:sz w:val="20"/>
          <w:szCs w:val="20"/>
        </w:rPr>
        <w:t>tiene como principal  instrumento</w:t>
      </w:r>
      <w:r w:rsidRPr="004B1A88">
        <w:rPr>
          <w:rFonts w:ascii="Open Sans" w:hAnsi="Open Sans" w:cs="Open Sans"/>
          <w:sz w:val="20"/>
          <w:szCs w:val="20"/>
        </w:rPr>
        <w:t xml:space="preserve"> la el</w:t>
      </w:r>
      <w:r w:rsidR="003912B6">
        <w:rPr>
          <w:rFonts w:ascii="Open Sans" w:hAnsi="Open Sans" w:cs="Open Sans"/>
          <w:sz w:val="20"/>
          <w:szCs w:val="20"/>
        </w:rPr>
        <w:t>aboración de un Mapa de Riesgos</w:t>
      </w:r>
      <w:r w:rsidRPr="004B1A88">
        <w:rPr>
          <w:rFonts w:ascii="Open Sans" w:hAnsi="Open Sans" w:cs="Open Sans"/>
          <w:sz w:val="20"/>
          <w:szCs w:val="20"/>
        </w:rPr>
        <w:t xml:space="preserve"> basado en el marco Enterprise Risk Management (ERM)</w:t>
      </w:r>
      <w:r w:rsidRPr="006843A0">
        <w:rPr>
          <w:rFonts w:ascii="Open Sans" w:hAnsi="Open Sans" w:cs="Open Sans"/>
          <w:sz w:val="20"/>
          <w:szCs w:val="20"/>
        </w:rPr>
        <w:t xml:space="preserve">. </w:t>
      </w:r>
      <w:r w:rsidRPr="00FD0760">
        <w:rPr>
          <w:rFonts w:ascii="Open Sans" w:hAnsi="Open Sans" w:cs="Open Sans"/>
          <w:sz w:val="20"/>
          <w:szCs w:val="20"/>
        </w:rPr>
        <w:t>Dentro del mapa de riesgos de Mediaset España, se contempla o integra el mapa de riesgos fiscales</w:t>
      </w:r>
      <w:r w:rsidRPr="006843A0">
        <w:rPr>
          <w:rFonts w:ascii="Open Sans" w:hAnsi="Open Sans" w:cs="Open Sans"/>
          <w:sz w:val="20"/>
          <w:szCs w:val="20"/>
        </w:rPr>
        <w:t xml:space="preserve">. Aunque </w:t>
      </w:r>
      <w:r>
        <w:rPr>
          <w:rFonts w:ascii="Open Sans" w:hAnsi="Open Sans" w:cs="Open Sans"/>
          <w:sz w:val="20"/>
          <w:szCs w:val="20"/>
        </w:rPr>
        <w:t>la Sociedad expresa</w:t>
      </w:r>
      <w:r w:rsidRPr="006843A0">
        <w:rPr>
          <w:rFonts w:ascii="Open Sans" w:hAnsi="Open Sans" w:cs="Open Sans"/>
          <w:sz w:val="20"/>
          <w:szCs w:val="20"/>
        </w:rPr>
        <w:t xml:space="preserve"> que “en el mismo se analizan aquellos riesgos que por su naturaleza corporativa, transaccional, operacional, de cumplimiento, financiera, contable, organizacional y/o reputacional, puedan tener implicaciones relevantes fiscales para el Grupo</w:t>
      </w:r>
      <w:r w:rsidR="007F55EB" w:rsidRPr="006843A0">
        <w:rPr>
          <w:rFonts w:ascii="Open Sans" w:hAnsi="Open Sans" w:cs="Open Sans"/>
          <w:sz w:val="20"/>
          <w:szCs w:val="20"/>
        </w:rPr>
        <w:t>”,</w:t>
      </w:r>
      <w:r w:rsidRPr="006843A0">
        <w:rPr>
          <w:rFonts w:ascii="Open Sans" w:hAnsi="Open Sans" w:cs="Open Sans"/>
          <w:sz w:val="20"/>
          <w:szCs w:val="20"/>
        </w:rPr>
        <w:t xml:space="preserve"> no se detallan dichos riesgos</w:t>
      </w:r>
      <w:r>
        <w:rPr>
          <w:rFonts w:ascii="Open Sans" w:hAnsi="Open Sans" w:cs="Open Sans"/>
          <w:sz w:val="20"/>
          <w:szCs w:val="20"/>
        </w:rPr>
        <w:t xml:space="preserve"> fiscales en ninguno de los documentos públicos. </w:t>
      </w:r>
    </w:p>
    <w:p w14:paraId="196E4297" w14:textId="77777777" w:rsidR="00FD0760" w:rsidRDefault="00FD0760" w:rsidP="00FD0760">
      <w:pPr>
        <w:jc w:val="both"/>
        <w:rPr>
          <w:rFonts w:ascii="Open Sans" w:hAnsi="Open Sans" w:cs="Open Sans"/>
          <w:sz w:val="20"/>
          <w:szCs w:val="20"/>
        </w:rPr>
      </w:pPr>
    </w:p>
    <w:p w14:paraId="35FD4A49" w14:textId="77777777" w:rsidR="00FD0760" w:rsidRDefault="00FD0760" w:rsidP="00FD0760">
      <w:pPr>
        <w:jc w:val="both"/>
        <w:rPr>
          <w:rFonts w:ascii="Open Sans" w:hAnsi="Open Sans" w:cs="Open Sans"/>
          <w:sz w:val="20"/>
          <w:szCs w:val="20"/>
        </w:rPr>
      </w:pPr>
      <w:r w:rsidRPr="009C2AA4">
        <w:rPr>
          <w:rFonts w:ascii="Open Sans" w:hAnsi="Open Sans" w:cs="Open Sans"/>
          <w:sz w:val="20"/>
          <w:szCs w:val="20"/>
        </w:rPr>
        <w:t>BBVA</w:t>
      </w:r>
      <w:r>
        <w:rPr>
          <w:rFonts w:ascii="Open Sans" w:hAnsi="Open Sans" w:cs="Open Sans"/>
          <w:sz w:val="20"/>
          <w:szCs w:val="20"/>
        </w:rPr>
        <w:t xml:space="preserve"> </w:t>
      </w:r>
      <w:r w:rsidRPr="002F1538">
        <w:rPr>
          <w:rFonts w:ascii="Open Sans" w:hAnsi="Open Sans" w:cs="Open Sans"/>
          <w:sz w:val="20"/>
          <w:szCs w:val="20"/>
        </w:rPr>
        <w:t>manifiesta  en diversos documentos su compromiso con la fiscalidad responsable, sin embargo no se ha encontrado referencia explícita a que el grupo haya identificado riesgos fiscales. En el Informe Anual del Gobierno Corporativo, describe cuáles son los Riesgos regulatorios, legales, fiscales y reputacionales a los que se enfrenta, pero en su explicación sólo entra a valorar aquellos que son regulatorios y legales.</w:t>
      </w:r>
      <w:r>
        <w:rPr>
          <w:rFonts w:ascii="Open Sans" w:hAnsi="Open Sans" w:cs="Open Sans"/>
          <w:sz w:val="20"/>
          <w:szCs w:val="20"/>
        </w:rPr>
        <w:t xml:space="preserve"> </w:t>
      </w:r>
    </w:p>
    <w:p w14:paraId="141C7885" w14:textId="77777777" w:rsidR="00FD0760" w:rsidRDefault="00FD0760" w:rsidP="00FD0760">
      <w:pPr>
        <w:jc w:val="both"/>
        <w:rPr>
          <w:rFonts w:ascii="Open Sans" w:hAnsi="Open Sans" w:cs="Open Sans"/>
          <w:sz w:val="20"/>
          <w:szCs w:val="20"/>
        </w:rPr>
      </w:pPr>
    </w:p>
    <w:p w14:paraId="205A8EE7" w14:textId="6DACD17C" w:rsidR="003912B6" w:rsidRDefault="003912B6" w:rsidP="009C2AA4">
      <w:pPr>
        <w:autoSpaceDE w:val="0"/>
        <w:autoSpaceDN w:val="0"/>
        <w:adjustRightInd w:val="0"/>
        <w:jc w:val="both"/>
        <w:rPr>
          <w:rFonts w:ascii="Open Sans" w:hAnsi="Open Sans" w:cs="Open Sans"/>
          <w:sz w:val="20"/>
          <w:szCs w:val="20"/>
        </w:rPr>
      </w:pPr>
      <w:r w:rsidRPr="009C2AA4">
        <w:rPr>
          <w:rFonts w:ascii="Open Sans" w:hAnsi="Open Sans" w:cs="Arial"/>
          <w:bCs/>
          <w:sz w:val="20"/>
          <w:szCs w:val="20"/>
        </w:rPr>
        <w:t>CAIXABANK</w:t>
      </w:r>
      <w:r>
        <w:rPr>
          <w:rFonts w:ascii="Open Sans" w:hAnsi="Open Sans" w:cs="Arial"/>
          <w:bCs/>
          <w:sz w:val="20"/>
          <w:szCs w:val="20"/>
        </w:rPr>
        <w:t xml:space="preserve"> por su parte menciona </w:t>
      </w:r>
      <w:r w:rsidRPr="00C67337">
        <w:rPr>
          <w:rFonts w:ascii="Open Sans" w:hAnsi="Open Sans" w:cs="Open Sans"/>
          <w:sz w:val="20"/>
          <w:szCs w:val="20"/>
        </w:rPr>
        <w:t xml:space="preserve">la existencia de  riesgos fiscales en varias ocasiones en su informe de gobierno corporativo, </w:t>
      </w:r>
      <w:r>
        <w:rPr>
          <w:rFonts w:ascii="Open Sans" w:hAnsi="Open Sans" w:cs="Open Sans"/>
          <w:sz w:val="20"/>
          <w:szCs w:val="20"/>
        </w:rPr>
        <w:t xml:space="preserve">sin embargo </w:t>
      </w:r>
      <w:r w:rsidRPr="00C67337">
        <w:rPr>
          <w:rFonts w:ascii="Open Sans" w:hAnsi="Open Sans" w:cs="Open Sans"/>
          <w:sz w:val="20"/>
          <w:szCs w:val="20"/>
        </w:rPr>
        <w:t>no fija cuáles son. Menciona como medidas para paliar el riesgo existente, entre otras, la aprobación de una estrategia fiscal que prevé que el Área Fiscal coordine la gestión de los sistemas de control del riesgo fiscal en el cumplimiento de las obligaciones tributarias así como la supervisión de su adecuación constante a la evolución del entorno regulatorio y tecnológico. Afirma que se ha impulsado la formalización de la Política de Control y Gestión del Riesgo Fiscal como elemento clave para determinar las responsabilidades en la gestión de decisiones con impacto fiscal considerando las distintas categorías de riesgo estrechamente vinculadas con el riesgo fiscal como son: riesgo técnico, riesgo reputacional, riesgo regulatorio, riesgo sobrevenido y riesgo de cumplimiento, este último como subcategoría del riesgo operacional. Sin embargo no se ha podido tener acceso en el presente análisis a la Política de Control y Gestión del Riesgo Fiscal.</w:t>
      </w:r>
    </w:p>
    <w:p w14:paraId="4D2906A3" w14:textId="77777777" w:rsidR="003912B6" w:rsidRDefault="003912B6" w:rsidP="00FD0760">
      <w:pPr>
        <w:jc w:val="both"/>
        <w:rPr>
          <w:rFonts w:ascii="Open Sans" w:hAnsi="Open Sans" w:cs="Open Sans"/>
          <w:sz w:val="20"/>
          <w:szCs w:val="20"/>
        </w:rPr>
      </w:pPr>
    </w:p>
    <w:p w14:paraId="2029A88F" w14:textId="0755AD25" w:rsidR="00FD0760" w:rsidRDefault="00FD0760" w:rsidP="00FD0760">
      <w:pPr>
        <w:jc w:val="both"/>
        <w:rPr>
          <w:rFonts w:ascii="Open Sans" w:hAnsi="Open Sans" w:cs="Arial"/>
          <w:bCs/>
          <w:sz w:val="20"/>
          <w:szCs w:val="20"/>
        </w:rPr>
      </w:pPr>
      <w:r>
        <w:rPr>
          <w:rFonts w:ascii="Open Sans" w:hAnsi="Open Sans" w:cs="Open Sans"/>
          <w:sz w:val="20"/>
          <w:szCs w:val="20"/>
        </w:rPr>
        <w:t>P</w:t>
      </w:r>
      <w:r w:rsidRPr="00A11F91">
        <w:rPr>
          <w:rFonts w:ascii="Open Sans" w:hAnsi="Open Sans" w:cs="Open Sans"/>
          <w:sz w:val="20"/>
          <w:szCs w:val="20"/>
        </w:rPr>
        <w:t xml:space="preserve">or su parte </w:t>
      </w:r>
      <w:r w:rsidRPr="009C2AA4">
        <w:rPr>
          <w:rFonts w:ascii="Open Sans" w:hAnsi="Open Sans" w:cs="Open Sans"/>
          <w:sz w:val="20"/>
          <w:szCs w:val="20"/>
        </w:rPr>
        <w:t>INDITEX</w:t>
      </w:r>
      <w:r w:rsidRPr="00A11F91">
        <w:rPr>
          <w:rFonts w:ascii="Open Sans" w:hAnsi="Open Sans" w:cs="Open Sans"/>
          <w:sz w:val="20"/>
          <w:szCs w:val="20"/>
        </w:rPr>
        <w:t xml:space="preserve"> </w:t>
      </w:r>
      <w:r w:rsidRPr="00A11F91">
        <w:rPr>
          <w:rFonts w:ascii="Open Sans" w:hAnsi="Open Sans" w:cs="Arial"/>
          <w:bCs/>
          <w:sz w:val="20"/>
          <w:szCs w:val="20"/>
        </w:rPr>
        <w:t xml:space="preserve">elabora un mapa de riesgos y los engloba en nueve categorías. Dentro de los riesgos normativos y regulatorios se encuentran incluidos los relativos a la normativa fiscal, aduanera, laboral, de comercio y consumo, de propiedad industrial e intelectual y los penales. Sin embargo </w:t>
      </w:r>
      <w:r w:rsidR="003912B6">
        <w:rPr>
          <w:rFonts w:ascii="Open Sans" w:hAnsi="Open Sans" w:cs="Arial"/>
          <w:bCs/>
          <w:sz w:val="20"/>
          <w:szCs w:val="20"/>
        </w:rPr>
        <w:t xml:space="preserve">Inditex </w:t>
      </w:r>
      <w:r w:rsidRPr="00A11F91">
        <w:rPr>
          <w:rFonts w:ascii="Open Sans" w:hAnsi="Open Sans" w:cs="Arial"/>
          <w:bCs/>
          <w:sz w:val="20"/>
          <w:szCs w:val="20"/>
        </w:rPr>
        <w:t>no aporta mayor grado de detalle sobre qué tipo de riesgos fiscales se identifican ni medidas concretas para mitigarlos, sólo informa  que cuenta con un control interno para mitigar los riesgos fiscales y aduaneros pero no especifica en qué consiste.</w:t>
      </w:r>
      <w:r>
        <w:rPr>
          <w:rFonts w:ascii="Open Sans" w:hAnsi="Open Sans" w:cs="Arial"/>
          <w:bCs/>
          <w:sz w:val="20"/>
          <w:szCs w:val="20"/>
        </w:rPr>
        <w:t xml:space="preserve"> </w:t>
      </w:r>
    </w:p>
    <w:p w14:paraId="793428D3" w14:textId="77777777" w:rsidR="00FD0760" w:rsidRDefault="00FD0760" w:rsidP="00FD0760">
      <w:pPr>
        <w:jc w:val="both"/>
        <w:rPr>
          <w:rFonts w:ascii="Open Sans" w:hAnsi="Open Sans" w:cs="Open Sans"/>
          <w:sz w:val="20"/>
          <w:szCs w:val="20"/>
        </w:rPr>
      </w:pPr>
    </w:p>
    <w:p w14:paraId="6DCA2FA8" w14:textId="77777777" w:rsidR="003912B6" w:rsidRDefault="00FD0760" w:rsidP="003912B6">
      <w:pPr>
        <w:jc w:val="both"/>
        <w:rPr>
          <w:rFonts w:ascii="Open Sans" w:hAnsi="Open Sans"/>
          <w:sz w:val="20"/>
          <w:szCs w:val="20"/>
        </w:rPr>
      </w:pPr>
      <w:r w:rsidRPr="009C2AA4">
        <w:rPr>
          <w:rFonts w:ascii="Open Sans" w:hAnsi="Open Sans" w:cs="Open Sans"/>
          <w:b/>
          <w:sz w:val="20"/>
          <w:szCs w:val="20"/>
          <w:shd w:val="clear" w:color="auto" w:fill="FFFFFF"/>
        </w:rPr>
        <w:t xml:space="preserve">Solamente </w:t>
      </w:r>
      <w:r w:rsidR="003912B6" w:rsidRPr="009C2AA4">
        <w:rPr>
          <w:rFonts w:ascii="Open Sans" w:hAnsi="Open Sans" w:cs="Open Sans"/>
          <w:b/>
          <w:sz w:val="20"/>
          <w:szCs w:val="20"/>
          <w:shd w:val="clear" w:color="auto" w:fill="FFFFFF"/>
        </w:rPr>
        <w:t>cuatro</w:t>
      </w:r>
      <w:r w:rsidRPr="009C2AA4">
        <w:rPr>
          <w:rFonts w:ascii="Open Sans" w:hAnsi="Open Sans" w:cs="Open Sans"/>
          <w:b/>
          <w:sz w:val="20"/>
          <w:szCs w:val="20"/>
          <w:shd w:val="clear" w:color="auto" w:fill="FFFFFF"/>
        </w:rPr>
        <w:t xml:space="preserve"> empresas además de identificar y enumerar riesgos concretos, proporcionan información sobre cómo se gestionan de este tipo de riesgos</w:t>
      </w:r>
      <w:r w:rsidRPr="009C2AA4">
        <w:rPr>
          <w:rFonts w:ascii="Open Sans" w:hAnsi="Open Sans" w:cs="Open Sans"/>
          <w:sz w:val="20"/>
          <w:szCs w:val="20"/>
          <w:shd w:val="clear" w:color="auto" w:fill="FFFFFF"/>
        </w:rPr>
        <w:t>: IAG, REC, REPSOL</w:t>
      </w:r>
      <w:r w:rsidR="003912B6" w:rsidRPr="009C2AA4">
        <w:rPr>
          <w:rFonts w:ascii="Open Sans" w:hAnsi="Open Sans" w:cs="Open Sans"/>
          <w:sz w:val="20"/>
          <w:szCs w:val="20"/>
          <w:shd w:val="clear" w:color="auto" w:fill="FFFFFF"/>
        </w:rPr>
        <w:t xml:space="preserve"> e IBERDROLA</w:t>
      </w:r>
      <w:r w:rsidRPr="009C2AA4">
        <w:rPr>
          <w:rFonts w:ascii="Open Sans" w:hAnsi="Open Sans" w:cs="Open Sans"/>
          <w:sz w:val="20"/>
          <w:szCs w:val="20"/>
          <w:shd w:val="clear" w:color="auto" w:fill="FFFFFF"/>
        </w:rPr>
        <w:t>.</w:t>
      </w:r>
      <w:r>
        <w:rPr>
          <w:rFonts w:ascii="Open Sans" w:hAnsi="Open Sans" w:cs="Open Sans"/>
          <w:sz w:val="20"/>
          <w:szCs w:val="20"/>
          <w:shd w:val="clear" w:color="auto" w:fill="FFFFFF"/>
        </w:rPr>
        <w:t xml:space="preserve"> En cualquier caso, incluso en estas tres empresas los riesgos enumerados son de carácter genérico. Por ejemplo</w:t>
      </w:r>
      <w:r w:rsidR="003912B6">
        <w:rPr>
          <w:rFonts w:ascii="Open Sans" w:hAnsi="Open Sans" w:cs="Open Sans"/>
          <w:sz w:val="20"/>
          <w:szCs w:val="20"/>
          <w:shd w:val="clear" w:color="auto" w:fill="FFFFFF"/>
        </w:rPr>
        <w:t>,</w:t>
      </w:r>
      <w:r>
        <w:rPr>
          <w:rFonts w:ascii="Open Sans" w:hAnsi="Open Sans" w:cs="Open Sans"/>
          <w:sz w:val="20"/>
          <w:szCs w:val="20"/>
          <w:shd w:val="clear" w:color="auto" w:fill="FFFFFF"/>
        </w:rPr>
        <w:t xml:space="preserve"> IAG e</w:t>
      </w:r>
      <w:r>
        <w:rPr>
          <w:rFonts w:ascii="Open Sans" w:hAnsi="Open Sans" w:cs="Arial"/>
          <w:bCs/>
          <w:sz w:val="20"/>
          <w:szCs w:val="20"/>
        </w:rPr>
        <w:t>n el Informe y cuentas anuales de 2015 informa con detalle de los principales riesgos del grupo</w:t>
      </w:r>
      <w:r>
        <w:rPr>
          <w:rStyle w:val="Refdenotaalpie"/>
          <w:rFonts w:ascii="Open Sans" w:hAnsi="Open Sans" w:cs="Arial"/>
          <w:sz w:val="20"/>
          <w:szCs w:val="20"/>
        </w:rPr>
        <w:footnoteReference w:id="51"/>
      </w:r>
      <w:r>
        <w:rPr>
          <w:rFonts w:ascii="Open Sans" w:hAnsi="Open Sans" w:cs="Arial"/>
          <w:bCs/>
          <w:sz w:val="20"/>
          <w:szCs w:val="20"/>
        </w:rPr>
        <w:t xml:space="preserve">. Identifica dentro de los riesgos financieros los de carácter fiscal y más en concreto menciona riesgos fiscales sistémicos como consecuencia de cambios en las legislaciones fiscales o cuando las autoridades fiscales cuestionan la interpretación de dicha legislación. También menciona como riesgo fiscal el riesgo reputacional derivado de cuando los medios de comunicación cuestionan los asuntos tributarios del grupo. </w:t>
      </w:r>
      <w:r w:rsidR="003912B6">
        <w:rPr>
          <w:rFonts w:ascii="Open Sans" w:hAnsi="Open Sans" w:cs="Arial"/>
          <w:bCs/>
          <w:sz w:val="20"/>
          <w:szCs w:val="20"/>
        </w:rPr>
        <w:t xml:space="preserve">En el caso de IAG </w:t>
      </w:r>
      <w:r w:rsidR="003912B6">
        <w:rPr>
          <w:rFonts w:ascii="Open Sans" w:hAnsi="Open Sans"/>
          <w:sz w:val="20"/>
          <w:szCs w:val="20"/>
        </w:rPr>
        <w:t>es llamativo que considere  que puede tener riesgo reputacional por las informaciones que aparecen en los medios de comunicación y que cuestionan su tributación</w:t>
      </w:r>
      <w:r w:rsidR="003912B6">
        <w:rPr>
          <w:rStyle w:val="Refdenotaalpie"/>
          <w:rFonts w:ascii="Open Sans" w:hAnsi="Open Sans"/>
          <w:sz w:val="20"/>
          <w:szCs w:val="20"/>
        </w:rPr>
        <w:footnoteReference w:id="52"/>
      </w:r>
      <w:r w:rsidR="003912B6">
        <w:rPr>
          <w:rFonts w:ascii="Open Sans" w:hAnsi="Open Sans"/>
          <w:sz w:val="20"/>
          <w:szCs w:val="20"/>
        </w:rPr>
        <w:t xml:space="preserve"> y su traslado de parte de las operaciones a Irlanda, sin embargo no parece que por ahora tenga intención de revertir esta situación con una mayor transparencia sobre esta cuestión. </w:t>
      </w:r>
    </w:p>
    <w:p w14:paraId="03B95B28" w14:textId="77777777" w:rsidR="003912B6" w:rsidRDefault="003912B6" w:rsidP="00FD0760">
      <w:pPr>
        <w:autoSpaceDE w:val="0"/>
        <w:autoSpaceDN w:val="0"/>
        <w:adjustRightInd w:val="0"/>
        <w:jc w:val="both"/>
        <w:rPr>
          <w:rFonts w:ascii="Open Sans" w:hAnsi="Open Sans" w:cs="Arial"/>
          <w:bCs/>
          <w:sz w:val="20"/>
          <w:szCs w:val="20"/>
        </w:rPr>
      </w:pPr>
    </w:p>
    <w:p w14:paraId="610F0D4D" w14:textId="666851F8" w:rsidR="00FD0760" w:rsidRPr="00C67337" w:rsidRDefault="00FD0760" w:rsidP="00FD0760">
      <w:pPr>
        <w:autoSpaceDE w:val="0"/>
        <w:autoSpaceDN w:val="0"/>
        <w:adjustRightInd w:val="0"/>
        <w:jc w:val="both"/>
        <w:rPr>
          <w:rFonts w:ascii="Open Sans" w:hAnsi="Open Sans" w:cs="Open Sans"/>
          <w:sz w:val="20"/>
          <w:szCs w:val="20"/>
        </w:rPr>
      </w:pPr>
      <w:r>
        <w:rPr>
          <w:rFonts w:ascii="Open Sans" w:hAnsi="Open Sans" w:cs="Arial"/>
          <w:bCs/>
          <w:sz w:val="20"/>
          <w:szCs w:val="20"/>
        </w:rPr>
        <w:t xml:space="preserve">REC </w:t>
      </w:r>
      <w:r w:rsidR="003912B6">
        <w:rPr>
          <w:rFonts w:ascii="Open Sans" w:hAnsi="Open Sans" w:cs="Arial"/>
          <w:bCs/>
          <w:sz w:val="20"/>
          <w:szCs w:val="20"/>
        </w:rPr>
        <w:t xml:space="preserve">por su parte </w:t>
      </w:r>
      <w:r>
        <w:rPr>
          <w:rFonts w:ascii="Open Sans" w:hAnsi="Open Sans" w:cs="Arial"/>
          <w:bCs/>
          <w:sz w:val="20"/>
          <w:szCs w:val="20"/>
        </w:rPr>
        <w:t xml:space="preserve">menciona la misma tipología de riesgos: </w:t>
      </w:r>
      <w:r w:rsidR="007F55EB">
        <w:rPr>
          <w:rFonts w:ascii="Open Sans" w:hAnsi="Open Sans" w:cs="Arial"/>
          <w:bCs/>
          <w:sz w:val="20"/>
          <w:szCs w:val="20"/>
        </w:rPr>
        <w:t>“los</w:t>
      </w:r>
      <w:r>
        <w:rPr>
          <w:rFonts w:ascii="Open Sans" w:hAnsi="Open Sans" w:cs="Arial"/>
          <w:bCs/>
          <w:sz w:val="20"/>
          <w:szCs w:val="20"/>
        </w:rPr>
        <w:t xml:space="preserve"> riesgos fiscales son </w:t>
      </w:r>
      <w:r w:rsidRPr="000B71F2">
        <w:rPr>
          <w:rFonts w:ascii="Open Sans" w:hAnsi="Open Sans" w:cs="Arial"/>
          <w:bCs/>
          <w:sz w:val="20"/>
          <w:szCs w:val="20"/>
        </w:rPr>
        <w:t>los producidos po</w:t>
      </w:r>
      <w:r>
        <w:rPr>
          <w:rFonts w:ascii="Open Sans" w:hAnsi="Open Sans" w:cs="Arial"/>
          <w:bCs/>
          <w:sz w:val="20"/>
          <w:szCs w:val="20"/>
        </w:rPr>
        <w:t>r la aplica</w:t>
      </w:r>
      <w:r w:rsidRPr="000B71F2">
        <w:rPr>
          <w:rFonts w:ascii="Open Sans" w:hAnsi="Open Sans" w:cs="Arial"/>
          <w:bCs/>
          <w:sz w:val="20"/>
          <w:szCs w:val="20"/>
        </w:rPr>
        <w:t>ción de la norma tributaria, la complejidad interpretativa o las modificaciones en la citada normativa y los posibles impactos reputacionales de la gestión de los asuntos fiscales</w:t>
      </w:r>
      <w:r>
        <w:rPr>
          <w:rFonts w:ascii="Open Sans" w:hAnsi="Open Sans" w:cs="Arial"/>
          <w:bCs/>
          <w:sz w:val="20"/>
          <w:szCs w:val="20"/>
        </w:rPr>
        <w:t>”</w:t>
      </w:r>
      <w:r w:rsidRPr="000B71F2">
        <w:rPr>
          <w:rFonts w:ascii="Open Sans" w:hAnsi="Open Sans" w:cs="Arial"/>
          <w:bCs/>
          <w:sz w:val="20"/>
          <w:szCs w:val="20"/>
        </w:rPr>
        <w:t>.</w:t>
      </w:r>
      <w:r>
        <w:rPr>
          <w:rFonts w:ascii="Open Sans" w:hAnsi="Open Sans" w:cs="Arial"/>
          <w:bCs/>
          <w:sz w:val="20"/>
          <w:szCs w:val="20"/>
        </w:rPr>
        <w:t xml:space="preserve"> </w:t>
      </w:r>
    </w:p>
    <w:p w14:paraId="543B1484" w14:textId="77777777" w:rsidR="00FD0760" w:rsidRDefault="00FD0760" w:rsidP="00FD0760">
      <w:pPr>
        <w:tabs>
          <w:tab w:val="left" w:pos="709"/>
        </w:tabs>
        <w:jc w:val="both"/>
        <w:rPr>
          <w:rFonts w:ascii="Open Sans" w:hAnsi="Open Sans" w:cs="Open Sans"/>
          <w:sz w:val="20"/>
          <w:szCs w:val="20"/>
          <w:shd w:val="clear" w:color="auto" w:fill="FFFFFF"/>
        </w:rPr>
      </w:pPr>
    </w:p>
    <w:p w14:paraId="798EE411" w14:textId="4C0BC065" w:rsidR="00FD0760" w:rsidRDefault="00FD0760" w:rsidP="00FD0760">
      <w:pPr>
        <w:jc w:val="both"/>
        <w:rPr>
          <w:rFonts w:ascii="Open Sans" w:hAnsi="Open Sans" w:cs="Open Sans"/>
          <w:sz w:val="20"/>
          <w:szCs w:val="20"/>
          <w:shd w:val="clear" w:color="auto" w:fill="FFFFFF"/>
        </w:rPr>
      </w:pPr>
      <w:r w:rsidRPr="00B11C42">
        <w:rPr>
          <w:rFonts w:ascii="Open Sans" w:hAnsi="Open Sans" w:cs="Open Sans"/>
          <w:b/>
          <w:sz w:val="20"/>
          <w:szCs w:val="20"/>
          <w:shd w:val="clear" w:color="auto" w:fill="FFFFFF"/>
        </w:rPr>
        <w:t>Ninguna de las empresas analizadas presenta información concreta sobre el seguimiento y materialización que se ha producido con este tipo de riesgos</w:t>
      </w:r>
      <w:r>
        <w:rPr>
          <w:rFonts w:ascii="Open Sans" w:hAnsi="Open Sans" w:cs="Open Sans"/>
          <w:sz w:val="20"/>
          <w:szCs w:val="20"/>
          <w:shd w:val="clear" w:color="auto" w:fill="FFFFFF"/>
        </w:rPr>
        <w:t xml:space="preserve">. En este indicador vuelve a ser preocupante, debido a su fuerte exposición a riesgos de tipo fiscal, la nula información sobre riesgos concretos en materia fiscal que se facilita por las empresas del sector financiero y de construcción. En el sistema bancario, 6 son las empresas que cotizan en el selectivo, solamente dos, </w:t>
      </w:r>
      <w:r w:rsidR="00B11C42">
        <w:rPr>
          <w:rFonts w:ascii="Open Sans" w:hAnsi="Open Sans" w:cs="Open Sans"/>
          <w:sz w:val="20"/>
          <w:szCs w:val="20"/>
          <w:shd w:val="clear" w:color="auto" w:fill="FFFFFF"/>
        </w:rPr>
        <w:t>BANKIA y BANKINTER</w:t>
      </w:r>
      <w:r>
        <w:rPr>
          <w:rFonts w:ascii="Open Sans" w:hAnsi="Open Sans" w:cs="Open Sans"/>
          <w:sz w:val="20"/>
          <w:szCs w:val="20"/>
          <w:shd w:val="clear" w:color="auto" w:fill="FFFFFF"/>
        </w:rPr>
        <w:t xml:space="preserve">, cumplen con el indicador. Empresas de la construcción que no cumplen con el indicador son FCC, OHL, </w:t>
      </w:r>
      <w:r w:rsidR="00B11C42">
        <w:rPr>
          <w:rFonts w:ascii="Open Sans" w:hAnsi="Open Sans" w:cs="Open Sans"/>
          <w:sz w:val="20"/>
          <w:szCs w:val="20"/>
          <w:shd w:val="clear" w:color="auto" w:fill="FFFFFF"/>
        </w:rPr>
        <w:t>SACYR</w:t>
      </w:r>
      <w:r>
        <w:rPr>
          <w:rFonts w:ascii="Open Sans" w:hAnsi="Open Sans" w:cs="Open Sans"/>
          <w:sz w:val="20"/>
          <w:szCs w:val="20"/>
          <w:shd w:val="clear" w:color="auto" w:fill="FFFFFF"/>
        </w:rPr>
        <w:t xml:space="preserve">, </w:t>
      </w:r>
      <w:r w:rsidR="00B11C42">
        <w:rPr>
          <w:rFonts w:ascii="Open Sans" w:hAnsi="Open Sans" w:cs="Open Sans"/>
          <w:sz w:val="20"/>
          <w:szCs w:val="20"/>
          <w:shd w:val="clear" w:color="auto" w:fill="FFFFFF"/>
        </w:rPr>
        <w:t>TÉCNICAS REUNIDAS</w:t>
      </w:r>
      <w:r>
        <w:rPr>
          <w:rFonts w:ascii="Open Sans" w:hAnsi="Open Sans" w:cs="Open Sans"/>
          <w:sz w:val="20"/>
          <w:szCs w:val="20"/>
          <w:shd w:val="clear" w:color="auto" w:fill="FFFFFF"/>
        </w:rPr>
        <w:t xml:space="preserve"> y ACS. </w:t>
      </w:r>
    </w:p>
    <w:p w14:paraId="79D05164" w14:textId="77777777" w:rsidR="00FD0760" w:rsidRDefault="00FD0760" w:rsidP="00FD0760">
      <w:pPr>
        <w:jc w:val="both"/>
        <w:rPr>
          <w:rFonts w:ascii="Open Sans" w:hAnsi="Open Sans" w:cs="Open Sans"/>
          <w:sz w:val="20"/>
          <w:szCs w:val="20"/>
          <w:shd w:val="clear" w:color="auto" w:fill="FFFFFF"/>
        </w:rPr>
      </w:pPr>
    </w:p>
    <w:p w14:paraId="47CF54DA" w14:textId="668B0084" w:rsidR="00FD0760" w:rsidRDefault="00FD0760" w:rsidP="00FD0760">
      <w:pPr>
        <w:jc w:val="both"/>
        <w:rPr>
          <w:rFonts w:ascii="Open Sans" w:hAnsi="Open Sans"/>
          <w:sz w:val="20"/>
          <w:szCs w:val="20"/>
        </w:rPr>
      </w:pPr>
      <w:r w:rsidRPr="00B11C42">
        <w:rPr>
          <w:rFonts w:ascii="Open Sans" w:hAnsi="Open Sans" w:cs="Open Sans"/>
          <w:b/>
          <w:sz w:val="20"/>
          <w:szCs w:val="20"/>
          <w:shd w:val="clear" w:color="auto" w:fill="FFFFFF"/>
        </w:rPr>
        <w:t>Tampoco se identifican riesgos concretos sobre operativa a través de paraísos y nichos fiscales</w:t>
      </w:r>
      <w:r w:rsidRPr="00B11C42">
        <w:rPr>
          <w:rFonts w:ascii="Open Sans" w:hAnsi="Open Sans" w:cs="Open Sans"/>
          <w:sz w:val="20"/>
          <w:szCs w:val="20"/>
          <w:shd w:val="clear" w:color="auto" w:fill="FFFFFF"/>
        </w:rPr>
        <w:t>,</w:t>
      </w:r>
      <w:r>
        <w:rPr>
          <w:rFonts w:ascii="Open Sans" w:hAnsi="Open Sans" w:cs="Open Sans"/>
          <w:sz w:val="20"/>
          <w:szCs w:val="20"/>
          <w:shd w:val="clear" w:color="auto" w:fill="FFFFFF"/>
        </w:rPr>
        <w:t xml:space="preserve"> pese a que todas las empresas analizadas menos una tienen presencia a través de sus filiales en estos territorios, al intenso debate institucional, la creciente demanda de la sociedad civil y el incremento de la presión regulatoria. Por ejemplo  BBVA afirma que </w:t>
      </w:r>
      <w:r>
        <w:rPr>
          <w:rFonts w:ascii="Open Sans" w:hAnsi="Open Sans"/>
          <w:sz w:val="20"/>
          <w:szCs w:val="20"/>
        </w:rPr>
        <w:t>u</w:t>
      </w:r>
      <w:r w:rsidRPr="00D5426F">
        <w:rPr>
          <w:rFonts w:ascii="Open Sans" w:hAnsi="Open Sans"/>
          <w:sz w:val="20"/>
          <w:szCs w:val="20"/>
        </w:rPr>
        <w:t xml:space="preserve">no de los riesgos a los que están sujetas las entidades es al riesgo fiscal. Este riesgo se puede derivar de las propias actividades por incumplimiento directo de la norma tributaria o </w:t>
      </w:r>
      <w:r>
        <w:rPr>
          <w:rFonts w:ascii="Open Sans" w:hAnsi="Open Sans"/>
          <w:sz w:val="20"/>
          <w:szCs w:val="20"/>
        </w:rPr>
        <w:t>bien</w:t>
      </w:r>
      <w:r w:rsidRPr="00D5426F">
        <w:rPr>
          <w:rFonts w:ascii="Open Sans" w:hAnsi="Open Sans"/>
          <w:sz w:val="20"/>
          <w:szCs w:val="20"/>
        </w:rPr>
        <w:t xml:space="preserve"> porqué se actuó en la creencia del cumplimiento correcto de sus obligaciones tributarias, pero puede surgir discrepancias por cambios interpretativos de consultas tributarias, doctrina administrativa o jurisprudencia. También puede derivarse de las operaciones de la propia entidad </w:t>
      </w:r>
      <w:r>
        <w:rPr>
          <w:rFonts w:ascii="Open Sans" w:hAnsi="Open Sans"/>
          <w:sz w:val="20"/>
          <w:szCs w:val="20"/>
        </w:rPr>
        <w:t xml:space="preserve">a través de </w:t>
      </w:r>
      <w:r w:rsidRPr="00D5426F">
        <w:rPr>
          <w:rFonts w:ascii="Open Sans" w:hAnsi="Open Sans"/>
          <w:sz w:val="20"/>
          <w:szCs w:val="20"/>
        </w:rPr>
        <w:t xml:space="preserve">territorios con un tratamiento fiscal favorable (paraísos </w:t>
      </w:r>
      <w:r>
        <w:rPr>
          <w:rFonts w:ascii="Open Sans" w:hAnsi="Open Sans"/>
          <w:sz w:val="20"/>
          <w:szCs w:val="20"/>
        </w:rPr>
        <w:t>y nichos fiscales), mediante la constitución de sociedad</w:t>
      </w:r>
      <w:r w:rsidR="00FB32FD">
        <w:rPr>
          <w:rFonts w:ascii="Open Sans" w:hAnsi="Open Sans"/>
          <w:sz w:val="20"/>
          <w:szCs w:val="20"/>
        </w:rPr>
        <w:t>es propias en estos territorios</w:t>
      </w:r>
      <w:r>
        <w:rPr>
          <w:rFonts w:ascii="Open Sans" w:hAnsi="Open Sans"/>
          <w:sz w:val="20"/>
          <w:szCs w:val="20"/>
        </w:rPr>
        <w:t xml:space="preserve">. Así mismo, existe el riego fiscal derivado de su </w:t>
      </w:r>
      <w:r w:rsidRPr="00D5426F">
        <w:rPr>
          <w:rFonts w:ascii="Open Sans" w:hAnsi="Open Sans"/>
          <w:sz w:val="20"/>
          <w:szCs w:val="20"/>
        </w:rPr>
        <w:t xml:space="preserve"> actividad intermediadora</w:t>
      </w:r>
      <w:r>
        <w:rPr>
          <w:rFonts w:ascii="Open Sans" w:hAnsi="Open Sans"/>
          <w:sz w:val="20"/>
          <w:szCs w:val="20"/>
        </w:rPr>
        <w:t>,</w:t>
      </w:r>
      <w:r w:rsidRPr="00D5426F">
        <w:rPr>
          <w:rFonts w:ascii="Open Sans" w:hAnsi="Open Sans"/>
          <w:sz w:val="20"/>
          <w:szCs w:val="20"/>
        </w:rPr>
        <w:t xml:space="preserve"> facilitando la constitución de sociedad</w:t>
      </w:r>
      <w:r>
        <w:rPr>
          <w:rFonts w:ascii="Open Sans" w:hAnsi="Open Sans"/>
          <w:sz w:val="20"/>
          <w:szCs w:val="20"/>
        </w:rPr>
        <w:t>es</w:t>
      </w:r>
      <w:r w:rsidRPr="00D5426F">
        <w:rPr>
          <w:rFonts w:ascii="Open Sans" w:hAnsi="Open Sans"/>
          <w:sz w:val="20"/>
          <w:szCs w:val="20"/>
        </w:rPr>
        <w:t xml:space="preserve"> o instrumentos financieros para sus clientes en países fiscalmente favorables de modo que se facilita la evasión o elusión fiscal. </w:t>
      </w:r>
      <w:r>
        <w:rPr>
          <w:rFonts w:ascii="Open Sans" w:hAnsi="Open Sans"/>
          <w:sz w:val="20"/>
          <w:szCs w:val="20"/>
        </w:rPr>
        <w:t xml:space="preserve">Como queda reflejado en algunas de las recientes noticias que han aparecido en los medios de comunicación en referencia a la </w:t>
      </w:r>
      <w:r w:rsidRPr="008A0B45">
        <w:rPr>
          <w:rFonts w:ascii="Open Sans" w:hAnsi="Open Sans"/>
          <w:sz w:val="20"/>
          <w:szCs w:val="20"/>
        </w:rPr>
        <w:t>investigación liderada por el Consorcio Internacional de Periodistas de Investigación (ICIJ) y el dia</w:t>
      </w:r>
      <w:r>
        <w:rPr>
          <w:rFonts w:ascii="Open Sans" w:hAnsi="Open Sans"/>
          <w:sz w:val="20"/>
          <w:szCs w:val="20"/>
        </w:rPr>
        <w:t xml:space="preserve">rio alemán “Süddeutsche Zeitung” más conocida como los “Papeles de Panamá”. </w:t>
      </w:r>
      <w:r w:rsidRPr="00E0783F">
        <w:rPr>
          <w:rFonts w:ascii="Open Sans" w:hAnsi="Open Sans"/>
          <w:sz w:val="20"/>
          <w:szCs w:val="20"/>
        </w:rPr>
        <w:t>En esta investigación se ha desvelado que BBVA</w:t>
      </w:r>
      <w:r>
        <w:rPr>
          <w:rFonts w:ascii="Open Sans" w:hAnsi="Open Sans"/>
          <w:sz w:val="20"/>
          <w:szCs w:val="20"/>
        </w:rPr>
        <w:t xml:space="preserve"> </w:t>
      </w:r>
      <w:r w:rsidRPr="00E0783F">
        <w:rPr>
          <w:rFonts w:ascii="Open Sans" w:hAnsi="Open Sans"/>
          <w:sz w:val="20"/>
          <w:szCs w:val="20"/>
        </w:rPr>
        <w:t>actuó como intermediario para la creación de 19 sociedades en Panamá en beneficio de sus clientes de alto patrimonio de los distintos países en los que operan (inc</w:t>
      </w:r>
      <w:r>
        <w:rPr>
          <w:rFonts w:ascii="Open Sans" w:hAnsi="Open Sans"/>
          <w:sz w:val="20"/>
          <w:szCs w:val="20"/>
        </w:rPr>
        <w:t>luido España). Estas sociedades</w:t>
      </w:r>
      <w:r w:rsidRPr="00E0783F">
        <w:rPr>
          <w:rFonts w:ascii="Open Sans" w:hAnsi="Open Sans"/>
          <w:sz w:val="20"/>
          <w:szCs w:val="20"/>
        </w:rPr>
        <w:t xml:space="preserve"> se crearon también desde Suiza (filial que cerró en 2011), Jersey y Miami, que vendió al Grupo Banco Sabadell en 2007</w:t>
      </w:r>
      <w:r>
        <w:rPr>
          <w:rStyle w:val="Refdenotaalpie"/>
          <w:rFonts w:ascii="Open Sans" w:hAnsi="Open Sans"/>
          <w:sz w:val="20"/>
          <w:szCs w:val="20"/>
        </w:rPr>
        <w:footnoteReference w:id="53"/>
      </w:r>
      <w:r>
        <w:rPr>
          <w:rFonts w:ascii="Open Sans" w:hAnsi="Open Sans"/>
          <w:sz w:val="20"/>
          <w:szCs w:val="20"/>
        </w:rPr>
        <w:t xml:space="preserve">. </w:t>
      </w:r>
      <w:r w:rsidRPr="00E0783F">
        <w:rPr>
          <w:rFonts w:ascii="Open Sans" w:hAnsi="Open Sans"/>
          <w:sz w:val="20"/>
          <w:szCs w:val="20"/>
        </w:rPr>
        <w:t>El nombre de BBVA también se menciona en relación a Canal Trust Company,</w:t>
      </w:r>
      <w:r>
        <w:rPr>
          <w:rFonts w:ascii="Open Sans" w:hAnsi="Open Sans"/>
          <w:sz w:val="20"/>
          <w:szCs w:val="20"/>
        </w:rPr>
        <w:t xml:space="preserve"> s</w:t>
      </w:r>
      <w:r w:rsidRPr="00E0783F">
        <w:rPr>
          <w:rFonts w:ascii="Open Sans" w:hAnsi="Open Sans"/>
          <w:sz w:val="20"/>
          <w:szCs w:val="20"/>
        </w:rPr>
        <w:t>ociedad dep</w:t>
      </w:r>
      <w:r>
        <w:rPr>
          <w:rFonts w:ascii="Open Sans" w:hAnsi="Open Sans"/>
          <w:sz w:val="20"/>
          <w:szCs w:val="20"/>
        </w:rPr>
        <w:t xml:space="preserve">endiente de BBVA Privanza Jersey, utilizada </w:t>
      </w:r>
      <w:r w:rsidRPr="00E0783F">
        <w:rPr>
          <w:rFonts w:ascii="Open Sans" w:hAnsi="Open Sans"/>
          <w:sz w:val="20"/>
          <w:szCs w:val="20"/>
        </w:rPr>
        <w:t>para crear estructuras societarias que ocultarían el patrimonio de los clientes de la entidad, según consta en las diligencias previas del caso en el que el juez Baltasar Garzón investigó el entramado financiero del BBVA en el exterior</w:t>
      </w:r>
      <w:r w:rsidR="007A63BA">
        <w:rPr>
          <w:rFonts w:ascii="Open Sans" w:hAnsi="Open Sans"/>
          <w:sz w:val="20"/>
          <w:szCs w:val="20"/>
        </w:rPr>
        <w:t>.</w:t>
      </w:r>
      <w:r>
        <w:rPr>
          <w:rStyle w:val="Refdenotaalpie"/>
          <w:rFonts w:ascii="Open Sans" w:hAnsi="Open Sans"/>
          <w:sz w:val="20"/>
          <w:szCs w:val="20"/>
        </w:rPr>
        <w:footnoteReference w:id="54"/>
      </w:r>
      <w:r>
        <w:rPr>
          <w:rFonts w:ascii="Open Sans" w:hAnsi="Open Sans"/>
          <w:sz w:val="20"/>
          <w:szCs w:val="20"/>
        </w:rPr>
        <w:t xml:space="preserve"> </w:t>
      </w:r>
      <w:r>
        <w:rPr>
          <w:rStyle w:val="Refdenotaalpie"/>
          <w:rFonts w:ascii="Open Sans" w:hAnsi="Open Sans"/>
          <w:sz w:val="20"/>
          <w:szCs w:val="20"/>
        </w:rPr>
        <w:footnoteReference w:id="55"/>
      </w:r>
    </w:p>
    <w:p w14:paraId="66E6D44E" w14:textId="77777777" w:rsidR="007A63BA" w:rsidRDefault="007A63BA" w:rsidP="00FD0760">
      <w:pPr>
        <w:jc w:val="both"/>
        <w:rPr>
          <w:rFonts w:ascii="Open Sans" w:hAnsi="Open Sans"/>
          <w:sz w:val="20"/>
          <w:szCs w:val="20"/>
        </w:rPr>
      </w:pPr>
    </w:p>
    <w:p w14:paraId="77F6FBD8" w14:textId="37BC795C" w:rsidR="00FD0760" w:rsidRDefault="00FD0760" w:rsidP="00FD0760">
      <w:pPr>
        <w:jc w:val="both"/>
        <w:rPr>
          <w:rFonts w:ascii="Open Sans" w:hAnsi="Open Sans" w:cs="Open Sans"/>
          <w:sz w:val="20"/>
          <w:szCs w:val="20"/>
        </w:rPr>
      </w:pPr>
      <w:r>
        <w:rPr>
          <w:rFonts w:ascii="Open Sans" w:hAnsi="Open Sans" w:cs="Open Sans"/>
          <w:sz w:val="20"/>
          <w:szCs w:val="20"/>
        </w:rPr>
        <w:t xml:space="preserve">Aunque estas noticias han saltado a la luz en 2016, hacen referencia a hechos acaecidos en años anteriores. Todo y así, </w:t>
      </w:r>
      <w:r w:rsidRPr="00D5426F">
        <w:rPr>
          <w:rFonts w:ascii="Open Sans" w:hAnsi="Open Sans" w:cs="Open Sans"/>
          <w:sz w:val="20"/>
          <w:szCs w:val="20"/>
        </w:rPr>
        <w:t>BBVA en su análisis de riesgos no contempla explícitamen</w:t>
      </w:r>
      <w:r>
        <w:rPr>
          <w:rFonts w:ascii="Open Sans" w:hAnsi="Open Sans" w:cs="Open Sans"/>
          <w:sz w:val="20"/>
          <w:szCs w:val="20"/>
        </w:rPr>
        <w:t xml:space="preserve">te ningún tipo de riesgo fiscal, ni derivado de su propia actividad ni derivado de su </w:t>
      </w:r>
      <w:r w:rsidRPr="00D5426F">
        <w:rPr>
          <w:rFonts w:ascii="Open Sans" w:hAnsi="Open Sans" w:cs="Open Sans"/>
          <w:sz w:val="20"/>
          <w:szCs w:val="20"/>
        </w:rPr>
        <w:t xml:space="preserve"> presencia</w:t>
      </w:r>
      <w:r>
        <w:rPr>
          <w:rFonts w:ascii="Open Sans" w:hAnsi="Open Sans" w:cs="Open Sans"/>
          <w:sz w:val="20"/>
          <w:szCs w:val="20"/>
        </w:rPr>
        <w:t xml:space="preserve"> y </w:t>
      </w:r>
      <w:r w:rsidR="007F55EB">
        <w:rPr>
          <w:rFonts w:ascii="Open Sans" w:hAnsi="Open Sans" w:cs="Open Sans"/>
          <w:sz w:val="20"/>
          <w:szCs w:val="20"/>
        </w:rPr>
        <w:t>operativa</w:t>
      </w:r>
      <w:r>
        <w:rPr>
          <w:rFonts w:ascii="Open Sans" w:hAnsi="Open Sans" w:cs="Open Sans"/>
          <w:sz w:val="20"/>
          <w:szCs w:val="20"/>
        </w:rPr>
        <w:t xml:space="preserve"> a través de </w:t>
      </w:r>
      <w:r w:rsidRPr="00D5426F">
        <w:rPr>
          <w:rFonts w:ascii="Open Sans" w:hAnsi="Open Sans" w:cs="Open Sans"/>
          <w:sz w:val="20"/>
          <w:szCs w:val="20"/>
        </w:rPr>
        <w:t xml:space="preserve">paraísos y nichos fiscales. </w:t>
      </w:r>
    </w:p>
    <w:p w14:paraId="592886B4" w14:textId="77777777" w:rsidR="00FD0760" w:rsidRDefault="00FD0760" w:rsidP="00FD0760">
      <w:pPr>
        <w:jc w:val="both"/>
        <w:rPr>
          <w:rFonts w:ascii="Open Sans" w:hAnsi="Open Sans"/>
          <w:sz w:val="20"/>
          <w:szCs w:val="20"/>
        </w:rPr>
      </w:pPr>
    </w:p>
    <w:p w14:paraId="2B1EABEF" w14:textId="5EBBD243" w:rsidR="00870D3F" w:rsidRPr="00B11C42" w:rsidRDefault="00870D3F" w:rsidP="00870D3F">
      <w:pPr>
        <w:jc w:val="both"/>
        <w:rPr>
          <w:rFonts w:ascii="Open Sans" w:hAnsi="Open Sans" w:cs="Open Sans"/>
          <w:sz w:val="20"/>
          <w:szCs w:val="20"/>
        </w:rPr>
      </w:pPr>
      <w:r>
        <w:rPr>
          <w:rFonts w:ascii="Open Sans" w:hAnsi="Open Sans" w:cs="Open Sans"/>
          <w:sz w:val="20"/>
          <w:szCs w:val="20"/>
        </w:rPr>
        <w:t>D</w:t>
      </w:r>
      <w:r w:rsidRPr="00BA058E">
        <w:rPr>
          <w:rFonts w:ascii="Open Sans" w:hAnsi="Open Sans" w:cs="Open Sans"/>
          <w:sz w:val="20"/>
          <w:szCs w:val="20"/>
        </w:rPr>
        <w:t>iversas noticias en los medios de comunicación reflejan la materialización de estos riesgos fiscales</w:t>
      </w:r>
      <w:r w:rsidR="00B11C42">
        <w:rPr>
          <w:rFonts w:ascii="Open Sans" w:hAnsi="Open Sans" w:cs="Open Sans"/>
          <w:sz w:val="20"/>
          <w:szCs w:val="20"/>
        </w:rPr>
        <w:t xml:space="preserve"> para el BANCO SANTANDER</w:t>
      </w:r>
      <w:r w:rsidRPr="00BA058E">
        <w:rPr>
          <w:rFonts w:ascii="Open Sans" w:hAnsi="Open Sans" w:cs="Open Sans"/>
          <w:sz w:val="20"/>
          <w:szCs w:val="20"/>
        </w:rPr>
        <w:t xml:space="preserve">. </w:t>
      </w:r>
      <w:r w:rsidR="00B11C42">
        <w:rPr>
          <w:rFonts w:ascii="Open Sans" w:hAnsi="Open Sans" w:cs="Open Sans"/>
          <w:sz w:val="20"/>
          <w:szCs w:val="20"/>
        </w:rPr>
        <w:t xml:space="preserve">El banco </w:t>
      </w:r>
      <w:r w:rsidRPr="00B11C42">
        <w:rPr>
          <w:rFonts w:ascii="Open Sans" w:hAnsi="Open Sans" w:cs="Open Sans"/>
          <w:sz w:val="20"/>
          <w:szCs w:val="20"/>
        </w:rPr>
        <w:t>Santander es una de las entidades investigadas a tras las sospechas que se plantearon sobre su implicación con HSBC para colaborar en el lavado de dinero y evasión de impuestos por parte de algunos de sus clientes, en el curso de la investigación de la Lista Falciani</w:t>
      </w:r>
      <w:r>
        <w:rPr>
          <w:rStyle w:val="Refdenotaalpie"/>
          <w:rFonts w:ascii="Open Sans" w:hAnsi="Open Sans" w:cs="Open Sans"/>
          <w:sz w:val="20"/>
          <w:szCs w:val="20"/>
        </w:rPr>
        <w:footnoteReference w:id="56"/>
      </w:r>
      <w:r w:rsidRPr="00BA058E">
        <w:rPr>
          <w:rFonts w:ascii="Open Sans" w:hAnsi="Open Sans" w:cs="Open Sans"/>
          <w:sz w:val="20"/>
          <w:szCs w:val="20"/>
        </w:rPr>
        <w:t xml:space="preserve">. </w:t>
      </w:r>
      <w:r>
        <w:rPr>
          <w:rFonts w:ascii="Open Sans" w:hAnsi="Open Sans" w:cs="Open Sans"/>
          <w:sz w:val="20"/>
          <w:szCs w:val="20"/>
        </w:rPr>
        <w:t>Además s</w:t>
      </w:r>
      <w:r w:rsidRPr="00BA058E">
        <w:rPr>
          <w:rFonts w:ascii="Open Sans" w:hAnsi="Open Sans" w:cs="Open Sans"/>
          <w:sz w:val="20"/>
          <w:szCs w:val="20"/>
        </w:rPr>
        <w:t>egún una notic</w:t>
      </w:r>
      <w:r>
        <w:rPr>
          <w:rFonts w:ascii="Open Sans" w:hAnsi="Open Sans" w:cs="Open Sans"/>
          <w:sz w:val="20"/>
          <w:szCs w:val="20"/>
        </w:rPr>
        <w:t>ia aparecida en El Confidencial</w:t>
      </w:r>
      <w:r w:rsidRPr="00BA058E">
        <w:rPr>
          <w:rFonts w:ascii="Open Sans" w:hAnsi="Open Sans" w:cs="Open Sans"/>
          <w:sz w:val="20"/>
          <w:szCs w:val="20"/>
        </w:rPr>
        <w:t xml:space="preserve">, Banco Santander creó en Bahamas, a través de su filial </w:t>
      </w:r>
      <w:r w:rsidRPr="00B11C42">
        <w:rPr>
          <w:rFonts w:ascii="Open Sans" w:hAnsi="Open Sans" w:cs="Open Sans"/>
          <w:sz w:val="20"/>
          <w:szCs w:val="20"/>
        </w:rPr>
        <w:t>Santander Bank &amp; Trust, diversas sociedades pantalla para ocultar la identidad de sus clientes, algunas de ellas todavía siguen vigentes</w:t>
      </w:r>
      <w:r w:rsidRPr="00B11C42">
        <w:rPr>
          <w:rStyle w:val="Refdenotaalpie"/>
          <w:rFonts w:ascii="Open Sans" w:hAnsi="Open Sans" w:cs="Open Sans"/>
          <w:sz w:val="20"/>
          <w:szCs w:val="20"/>
        </w:rPr>
        <w:footnoteReference w:id="57"/>
      </w:r>
      <w:r w:rsidRPr="00B11C42">
        <w:rPr>
          <w:rFonts w:ascii="Open Sans" w:hAnsi="Open Sans" w:cs="Open Sans"/>
          <w:sz w:val="20"/>
          <w:szCs w:val="20"/>
        </w:rPr>
        <w:t>.</w:t>
      </w:r>
      <w:r w:rsidR="00D06B0E" w:rsidRPr="00B11C42">
        <w:rPr>
          <w:rFonts w:ascii="Open Sans" w:hAnsi="Open Sans" w:cs="Open Sans"/>
          <w:sz w:val="20"/>
          <w:szCs w:val="20"/>
        </w:rPr>
        <w:t xml:space="preserve"> Pese a ello </w:t>
      </w:r>
      <w:r w:rsidR="00D06B0E" w:rsidRPr="00B11C42">
        <w:rPr>
          <w:rFonts w:ascii="Open Sans" w:hAnsi="Open Sans" w:cs="Open Sans"/>
          <w:bCs/>
          <w:sz w:val="20"/>
          <w:szCs w:val="20"/>
        </w:rPr>
        <w:t>el Mapa de Riesgos del Santander no incluye de forma explícita el riesgo fiscal.</w:t>
      </w:r>
      <w:r w:rsidR="00D06B0E">
        <w:rPr>
          <w:rFonts w:ascii="Open Sans" w:hAnsi="Open Sans" w:cs="Open Sans"/>
          <w:bCs/>
          <w:sz w:val="20"/>
          <w:szCs w:val="20"/>
        </w:rPr>
        <w:t xml:space="preserve"> El concepto con más afinidad es el riesgo de cumplimiento y legal, que se corresponde con el riesgo de derivado del incumplimiento del marco legal, las normas internas o los requerimientos de reguladores y supervisores pero sin referencia expresa a temas fiscales. </w:t>
      </w:r>
      <w:r w:rsidR="00D06B0E" w:rsidRPr="00B11C42">
        <w:rPr>
          <w:rFonts w:ascii="Open Sans" w:hAnsi="Open Sans" w:cs="Open Sans"/>
          <w:bCs/>
          <w:sz w:val="20"/>
          <w:szCs w:val="20"/>
        </w:rPr>
        <w:t>Tampoco se identifican riesgos de naturaleza fiscal relevantes que puedan afectar a la consecución de los objetivos del negocio y se constata que no se ha materializado ningún riesgo fiscal durante el ejercicio 2015.</w:t>
      </w:r>
    </w:p>
    <w:p w14:paraId="1304D7D5" w14:textId="77777777" w:rsidR="00870D3F" w:rsidRDefault="00870D3F" w:rsidP="00870D3F">
      <w:pPr>
        <w:jc w:val="both"/>
        <w:rPr>
          <w:rFonts w:ascii="Open Sans" w:hAnsi="Open Sans" w:cs="Open Sans"/>
          <w:sz w:val="20"/>
          <w:szCs w:val="20"/>
        </w:rPr>
      </w:pPr>
    </w:p>
    <w:p w14:paraId="02C47D56" w14:textId="20478237" w:rsidR="00FD0760" w:rsidRDefault="00FD0760" w:rsidP="00FD0760">
      <w:pPr>
        <w:jc w:val="both"/>
        <w:rPr>
          <w:rFonts w:ascii="Open Sans" w:hAnsi="Open Sans" w:cs="Open Sans"/>
          <w:sz w:val="20"/>
          <w:szCs w:val="20"/>
        </w:rPr>
      </w:pPr>
      <w:r w:rsidRPr="00B11C42">
        <w:rPr>
          <w:rFonts w:ascii="Open Sans" w:hAnsi="Open Sans" w:cs="Open Sans"/>
          <w:b/>
          <w:sz w:val="20"/>
          <w:szCs w:val="20"/>
        </w:rPr>
        <w:t xml:space="preserve">No </w:t>
      </w:r>
      <w:r w:rsidR="00FB32FD" w:rsidRPr="00B11C42">
        <w:rPr>
          <w:rFonts w:ascii="Open Sans" w:hAnsi="Open Sans" w:cs="Open Sans"/>
          <w:b/>
          <w:sz w:val="20"/>
          <w:szCs w:val="20"/>
        </w:rPr>
        <w:t xml:space="preserve">solamente </w:t>
      </w:r>
      <w:r w:rsidRPr="00B11C42">
        <w:rPr>
          <w:rFonts w:ascii="Open Sans" w:hAnsi="Open Sans" w:cs="Open Sans"/>
          <w:b/>
          <w:sz w:val="20"/>
          <w:szCs w:val="20"/>
        </w:rPr>
        <w:t>Panamá</w:t>
      </w:r>
      <w:r w:rsidR="00870D3F" w:rsidRPr="00B11C42">
        <w:rPr>
          <w:rFonts w:ascii="Open Sans" w:hAnsi="Open Sans" w:cs="Open Sans"/>
          <w:b/>
          <w:sz w:val="20"/>
          <w:szCs w:val="20"/>
        </w:rPr>
        <w:t xml:space="preserve"> o Suiza</w:t>
      </w:r>
      <w:r w:rsidRPr="00B11C42">
        <w:rPr>
          <w:rFonts w:ascii="Open Sans" w:hAnsi="Open Sans" w:cs="Open Sans"/>
          <w:b/>
          <w:sz w:val="20"/>
          <w:szCs w:val="20"/>
        </w:rPr>
        <w:t xml:space="preserve"> ha</w:t>
      </w:r>
      <w:r w:rsidR="00870D3F" w:rsidRPr="00B11C42">
        <w:rPr>
          <w:rFonts w:ascii="Open Sans" w:hAnsi="Open Sans" w:cs="Open Sans"/>
          <w:b/>
          <w:sz w:val="20"/>
          <w:szCs w:val="20"/>
        </w:rPr>
        <w:t>n estado relacionados</w:t>
      </w:r>
      <w:r w:rsidRPr="00B11C42">
        <w:rPr>
          <w:rFonts w:ascii="Open Sans" w:hAnsi="Open Sans" w:cs="Open Sans"/>
          <w:b/>
          <w:sz w:val="20"/>
          <w:szCs w:val="20"/>
        </w:rPr>
        <w:t xml:space="preserve"> con prácticas bancarias de elusión y evasión fiscal, otros territorios también han sido protagonistas en prácticas bancarias discutibles. El caso más representativo ha sido el de Islas Cayman con las participaciones preferentes</w:t>
      </w:r>
      <w:r w:rsidRPr="0009564E">
        <w:rPr>
          <w:rFonts w:ascii="Open Sans" w:hAnsi="Open Sans" w:cs="Open Sans"/>
          <w:sz w:val="20"/>
          <w:szCs w:val="20"/>
        </w:rPr>
        <w:t>. Durante los años de la gran expansión económica, las entidades financieras acudieron a las preferentes como medio de conseguir capitalización barata y poder responder a las demandas creditic</w:t>
      </w:r>
      <w:r>
        <w:rPr>
          <w:rFonts w:ascii="Open Sans" w:hAnsi="Open Sans" w:cs="Open Sans"/>
          <w:sz w:val="20"/>
          <w:szCs w:val="20"/>
        </w:rPr>
        <w:t xml:space="preserve">ias de sus clientes. En España, desde el inicio de su comercialización en 1998 hasta su legalización en julio de 2003, la CNMV, </w:t>
      </w:r>
      <w:r w:rsidRPr="0009564E">
        <w:rPr>
          <w:rFonts w:ascii="Open Sans" w:hAnsi="Open Sans" w:cs="Open Sans"/>
          <w:sz w:val="20"/>
          <w:szCs w:val="20"/>
        </w:rPr>
        <w:t>el Banco de España</w:t>
      </w:r>
      <w:r>
        <w:rPr>
          <w:rFonts w:ascii="Open Sans" w:hAnsi="Open Sans" w:cs="Open Sans"/>
          <w:sz w:val="20"/>
          <w:szCs w:val="20"/>
        </w:rPr>
        <w:t xml:space="preserve"> </w:t>
      </w:r>
      <w:r w:rsidRPr="001D3B58">
        <w:rPr>
          <w:rFonts w:ascii="Open Sans" w:hAnsi="Open Sans" w:cs="Open Sans"/>
          <w:sz w:val="20"/>
          <w:szCs w:val="20"/>
        </w:rPr>
        <w:t>y del Ministerio de Economía</w:t>
      </w:r>
      <w:r>
        <w:rPr>
          <w:rFonts w:ascii="Open Sans" w:hAnsi="Open Sans" w:cs="Open Sans"/>
          <w:sz w:val="20"/>
          <w:szCs w:val="20"/>
        </w:rPr>
        <w:t xml:space="preserve"> </w:t>
      </w:r>
      <w:r w:rsidRPr="0009564E">
        <w:rPr>
          <w:rFonts w:ascii="Open Sans" w:hAnsi="Open Sans" w:cs="Open Sans"/>
          <w:sz w:val="20"/>
          <w:szCs w:val="20"/>
        </w:rPr>
        <w:t>toleraron la emisión de este producto desde paraísos fiscales</w:t>
      </w:r>
      <w:r>
        <w:rPr>
          <w:rFonts w:ascii="Open Sans" w:hAnsi="Open Sans" w:cs="Open Sans"/>
          <w:sz w:val="20"/>
          <w:szCs w:val="20"/>
        </w:rPr>
        <w:t xml:space="preserve"> permitiendo así su amplia difusión. </w:t>
      </w:r>
      <w:r w:rsidRPr="0009564E">
        <w:rPr>
          <w:rFonts w:ascii="Open Sans" w:hAnsi="Open Sans" w:cs="Open Sans"/>
          <w:sz w:val="20"/>
          <w:szCs w:val="20"/>
        </w:rPr>
        <w:t>El procedimiento era muy simple, el banco o caja constituía una filial 100% de su propiedad en las Islas Caimán con carácter puramente instrumental, sin empleados, y que no realizaba otra actividad que la de emitir participaciones preferentes. El dinero captado por la red bancaria figuraba como recibido por la filial y se depositaba en la matriz a cambio de una remuneración. Es decir, las filiales prestaban este dinero a sus respectivos bancos matrices, que pagaban unos intereses que se deducían del impuesto de sociedades en España.</w:t>
      </w:r>
      <w:r>
        <w:rPr>
          <w:rFonts w:ascii="Open Sans" w:hAnsi="Open Sans" w:cs="Open Sans"/>
          <w:sz w:val="20"/>
          <w:szCs w:val="20"/>
        </w:rPr>
        <w:t xml:space="preserve"> </w:t>
      </w:r>
    </w:p>
    <w:p w14:paraId="4CE857B5" w14:textId="77777777" w:rsidR="00870D3F" w:rsidRDefault="00870D3F" w:rsidP="00FD0760">
      <w:pPr>
        <w:jc w:val="both"/>
        <w:rPr>
          <w:rFonts w:ascii="Open Sans" w:hAnsi="Open Sans" w:cs="Open Sans"/>
          <w:sz w:val="20"/>
          <w:szCs w:val="20"/>
        </w:rPr>
      </w:pPr>
    </w:p>
    <w:p w14:paraId="413E10E3" w14:textId="77777777" w:rsidR="00FD0760" w:rsidRPr="00D5426F" w:rsidRDefault="00FD0760" w:rsidP="00FD0760">
      <w:pPr>
        <w:jc w:val="both"/>
        <w:rPr>
          <w:rFonts w:ascii="Open Sans" w:hAnsi="Open Sans" w:cs="Open Sans"/>
          <w:sz w:val="20"/>
          <w:szCs w:val="20"/>
        </w:rPr>
      </w:pPr>
      <w:r w:rsidRPr="0009564E">
        <w:rPr>
          <w:rFonts w:ascii="Open Sans" w:hAnsi="Open Sans" w:cs="Open Sans"/>
          <w:sz w:val="20"/>
          <w:szCs w:val="20"/>
        </w:rPr>
        <w:t>El pionero fue el Banco Bilbao Vizcaya (BBV), que realizó una emisión de participaciones preferentes de 700 millones de euros en 1998 a través de las Islas Caimán. Luego le</w:t>
      </w:r>
      <w:r>
        <w:rPr>
          <w:rFonts w:ascii="Open Sans" w:hAnsi="Open Sans" w:cs="Open Sans"/>
          <w:sz w:val="20"/>
          <w:szCs w:val="20"/>
        </w:rPr>
        <w:t xml:space="preserve"> siguieron otras muchas entidades</w:t>
      </w:r>
      <w:r w:rsidRPr="0009564E">
        <w:rPr>
          <w:rFonts w:ascii="Open Sans" w:hAnsi="Open Sans" w:cs="Open Sans"/>
          <w:sz w:val="20"/>
          <w:szCs w:val="20"/>
        </w:rPr>
        <w:t>: Santander, Central Hispano, Sabadell, Popular Español y Bankinter, y las cajas La Caixa, Caixa Catalunya, Caja Madrid, Caja España, Caja de Ahorros de Murcia, Caja de Ahorros del Mediterráneo (CAM), Caja de Ahorros de Terrassa, Caja de Ahorros de Castilla-La Mancha, Caja de Ahorros de Santander y Cantabria, Caja Sur, El Monte y San Fernando</w:t>
      </w:r>
      <w:r>
        <w:rPr>
          <w:rStyle w:val="Refdenotaalpie"/>
          <w:rFonts w:ascii="Open Sans" w:hAnsi="Open Sans" w:cs="Open Sans"/>
          <w:sz w:val="20"/>
          <w:szCs w:val="20"/>
        </w:rPr>
        <w:footnoteReference w:id="58"/>
      </w:r>
      <w:r w:rsidRPr="0009564E">
        <w:rPr>
          <w:rFonts w:ascii="Open Sans" w:hAnsi="Open Sans" w:cs="Open Sans"/>
          <w:sz w:val="20"/>
          <w:szCs w:val="20"/>
        </w:rPr>
        <w:t>.</w:t>
      </w:r>
    </w:p>
    <w:p w14:paraId="051AA637" w14:textId="77777777" w:rsidR="00FD0760" w:rsidRDefault="00FD0760" w:rsidP="00FD0760">
      <w:pPr>
        <w:tabs>
          <w:tab w:val="left" w:pos="709"/>
        </w:tabs>
        <w:jc w:val="both"/>
        <w:rPr>
          <w:rFonts w:ascii="Open Sans" w:hAnsi="Open Sans" w:cs="Open Sans"/>
          <w:sz w:val="20"/>
          <w:szCs w:val="20"/>
          <w:shd w:val="clear" w:color="auto" w:fill="FFFFFF"/>
        </w:rPr>
      </w:pPr>
    </w:p>
    <w:p w14:paraId="16F451ED" w14:textId="77777777" w:rsidR="00FD0760" w:rsidRPr="00381732" w:rsidRDefault="00FD0760" w:rsidP="00FD0760">
      <w:pPr>
        <w:autoSpaceDE w:val="0"/>
        <w:autoSpaceDN w:val="0"/>
        <w:adjustRightInd w:val="0"/>
        <w:jc w:val="both"/>
        <w:rPr>
          <w:rFonts w:ascii="Open Sans" w:eastAsia="Calibri" w:hAnsi="Open Sans" w:cs="Open Sans"/>
          <w:sz w:val="20"/>
          <w:szCs w:val="20"/>
        </w:rPr>
      </w:pPr>
      <w:r>
        <w:rPr>
          <w:rFonts w:ascii="Open Sans" w:hAnsi="Open Sans" w:cs="Open Sans"/>
          <w:sz w:val="20"/>
          <w:szCs w:val="20"/>
          <w:shd w:val="clear" w:color="auto" w:fill="FFFFFF"/>
        </w:rPr>
        <w:t xml:space="preserve">Por otro lado es habitual encontrar declaraciones como que en el ejercicio no se ha materializado ningún riesgo fiscal.  Un ejemplo es el caso de AENA </w:t>
      </w:r>
      <w:r>
        <w:rPr>
          <w:rFonts w:ascii="Open Sans" w:hAnsi="Open Sans" w:cs="Open Sans"/>
          <w:sz w:val="20"/>
          <w:szCs w:val="20"/>
        </w:rPr>
        <w:t xml:space="preserve">que, </w:t>
      </w:r>
      <w:r w:rsidRPr="00932DC2">
        <w:rPr>
          <w:rFonts w:ascii="Open Sans" w:hAnsi="Open Sans" w:cs="Open Sans"/>
          <w:sz w:val="20"/>
          <w:szCs w:val="20"/>
        </w:rPr>
        <w:t>en el informe de buen gobierno</w:t>
      </w:r>
      <w:r>
        <w:rPr>
          <w:rFonts w:ascii="Open Sans" w:hAnsi="Open Sans" w:cs="Open Sans"/>
          <w:sz w:val="20"/>
          <w:szCs w:val="20"/>
        </w:rPr>
        <w:t xml:space="preserve"> afirma que l</w:t>
      </w:r>
      <w:r w:rsidRPr="00932DC2">
        <w:rPr>
          <w:rFonts w:ascii="Open Sans" w:hAnsi="Open Sans" w:cs="Open Sans"/>
          <w:sz w:val="20"/>
          <w:szCs w:val="20"/>
        </w:rPr>
        <w:t>a</w:t>
      </w:r>
      <w:r>
        <w:rPr>
          <w:rFonts w:ascii="Open Sans" w:hAnsi="Open Sans" w:cs="Open Sans"/>
          <w:sz w:val="20"/>
          <w:szCs w:val="20"/>
        </w:rPr>
        <w:t xml:space="preserve"> organización tiene establecida </w:t>
      </w:r>
      <w:r w:rsidRPr="00932DC2">
        <w:rPr>
          <w:rFonts w:ascii="Open Sans" w:hAnsi="Open Sans" w:cs="Open Sans"/>
          <w:sz w:val="20"/>
          <w:szCs w:val="20"/>
        </w:rPr>
        <w:t xml:space="preserve">una </w:t>
      </w:r>
      <w:r>
        <w:rPr>
          <w:rFonts w:ascii="Open Sans" w:hAnsi="Open Sans" w:cs="Open Sans"/>
          <w:sz w:val="20"/>
          <w:szCs w:val="20"/>
        </w:rPr>
        <w:t xml:space="preserve">activa gestión de riesgos, incluidos los fiscales. Sin embargo no los enumera y no detalla las medidas adoptadas para que el riesgo no sea efectivo. En sus cuentas anuales hace referencia a los </w:t>
      </w:r>
      <w:r w:rsidRPr="00742ED4">
        <w:rPr>
          <w:rFonts w:ascii="Open Sans" w:hAnsi="Open Sans" w:cs="Open Sans"/>
          <w:sz w:val="20"/>
          <w:szCs w:val="20"/>
        </w:rPr>
        <w:t xml:space="preserve">riesgos de tipo regulatorio, operativo y financieros (de mercado, de crédito, de liquidez) pero no </w:t>
      </w:r>
      <w:r>
        <w:rPr>
          <w:rFonts w:ascii="Open Sans" w:hAnsi="Open Sans" w:cs="Open Sans"/>
          <w:sz w:val="20"/>
          <w:szCs w:val="20"/>
        </w:rPr>
        <w:t>a los riesgos de tipo fiscal</w:t>
      </w:r>
      <w:r w:rsidRPr="00742ED4">
        <w:rPr>
          <w:rFonts w:ascii="Open Sans" w:hAnsi="Open Sans" w:cs="Open Sans"/>
          <w:sz w:val="20"/>
          <w:szCs w:val="20"/>
        </w:rPr>
        <w:t>. En el informe de buen gobierno menciona como riesgo fiscal "</w:t>
      </w:r>
      <w:r w:rsidRPr="00E87996">
        <w:rPr>
          <w:rFonts w:ascii="Open Sans" w:hAnsi="Open Sans" w:cs="Open Sans"/>
          <w:i/>
          <w:sz w:val="20"/>
          <w:szCs w:val="20"/>
        </w:rPr>
        <w:t>cambios en la legislación fiscal podrían dar lugar a impuestos adicionales u otros perjuicios para la situación fiscal de Aena</w:t>
      </w:r>
      <w:r>
        <w:rPr>
          <w:rFonts w:ascii="Open Sans" w:hAnsi="Open Sans" w:cs="Open Sans"/>
          <w:sz w:val="20"/>
          <w:szCs w:val="20"/>
        </w:rPr>
        <w:t>". Afirma que no se ha materia</w:t>
      </w:r>
      <w:r w:rsidRPr="00742ED4">
        <w:rPr>
          <w:rFonts w:ascii="Open Sans" w:hAnsi="Open Sans" w:cs="Open Sans"/>
          <w:sz w:val="20"/>
          <w:szCs w:val="20"/>
        </w:rPr>
        <w:t>li</w:t>
      </w:r>
      <w:r>
        <w:rPr>
          <w:rFonts w:ascii="Open Sans" w:hAnsi="Open Sans" w:cs="Open Sans"/>
          <w:sz w:val="20"/>
          <w:szCs w:val="20"/>
        </w:rPr>
        <w:t>za</w:t>
      </w:r>
      <w:r w:rsidRPr="00742ED4">
        <w:rPr>
          <w:rFonts w:ascii="Open Sans" w:hAnsi="Open Sans" w:cs="Open Sans"/>
          <w:sz w:val="20"/>
          <w:szCs w:val="20"/>
        </w:rPr>
        <w:t>do ningún riesgo fiscal durante el ejercicio.</w:t>
      </w:r>
      <w:r w:rsidRPr="00386181">
        <w:rPr>
          <w:rFonts w:ascii="Open Sans" w:hAnsi="Open Sans" w:cs="Open Sans"/>
          <w:sz w:val="20"/>
          <w:szCs w:val="20"/>
        </w:rPr>
        <w:t xml:space="preserve"> </w:t>
      </w:r>
      <w:r>
        <w:rPr>
          <w:rFonts w:ascii="Open Sans" w:hAnsi="Open Sans" w:cs="Open Sans"/>
          <w:sz w:val="20"/>
          <w:szCs w:val="20"/>
        </w:rPr>
        <w:t xml:space="preserve">No obstante, en la información analizada no se han  encontrado evidencias de qué considera Aena riesgo fiscal,  el </w:t>
      </w:r>
      <w:r w:rsidRPr="00724C1E">
        <w:rPr>
          <w:rFonts w:ascii="Open Sans" w:hAnsi="Open Sans" w:cs="Open Sans"/>
          <w:sz w:val="20"/>
          <w:szCs w:val="20"/>
        </w:rPr>
        <w:t xml:space="preserve"> sistema de identificación de riesgos</w:t>
      </w:r>
      <w:r w:rsidRPr="00386181">
        <w:rPr>
          <w:rFonts w:ascii="Open Sans" w:hAnsi="Open Sans" w:cs="Open Sans"/>
          <w:sz w:val="20"/>
          <w:szCs w:val="20"/>
        </w:rPr>
        <w:t xml:space="preserve"> </w:t>
      </w:r>
      <w:r w:rsidRPr="00724C1E">
        <w:rPr>
          <w:rFonts w:ascii="Open Sans" w:hAnsi="Open Sans" w:cs="Open Sans"/>
          <w:sz w:val="20"/>
          <w:szCs w:val="20"/>
        </w:rPr>
        <w:t xml:space="preserve">y </w:t>
      </w:r>
      <w:r>
        <w:rPr>
          <w:rFonts w:ascii="Open Sans" w:hAnsi="Open Sans" w:cs="Open Sans"/>
          <w:sz w:val="20"/>
          <w:szCs w:val="20"/>
        </w:rPr>
        <w:t xml:space="preserve">el </w:t>
      </w:r>
      <w:r w:rsidRPr="00724C1E">
        <w:rPr>
          <w:rFonts w:ascii="Open Sans" w:hAnsi="Open Sans" w:cs="Open Sans"/>
          <w:sz w:val="20"/>
          <w:szCs w:val="20"/>
        </w:rPr>
        <w:t xml:space="preserve">proceso de monitorización y mejora </w:t>
      </w:r>
      <w:r>
        <w:rPr>
          <w:rFonts w:ascii="Open Sans" w:hAnsi="Open Sans" w:cs="Open Sans"/>
          <w:sz w:val="20"/>
          <w:szCs w:val="20"/>
        </w:rPr>
        <w:t>continua</w:t>
      </w:r>
      <w:r w:rsidRPr="00724C1E">
        <w:rPr>
          <w:rFonts w:ascii="Open Sans" w:hAnsi="Open Sans" w:cs="Open Sans"/>
          <w:sz w:val="20"/>
          <w:szCs w:val="20"/>
        </w:rPr>
        <w:t xml:space="preserve"> de la efectivida</w:t>
      </w:r>
      <w:r>
        <w:rPr>
          <w:rFonts w:ascii="Open Sans" w:hAnsi="Open Sans" w:cs="Open Sans"/>
          <w:sz w:val="20"/>
          <w:szCs w:val="20"/>
        </w:rPr>
        <w:t>d de los controles establecidos</w:t>
      </w:r>
      <w:r w:rsidRPr="00724C1E">
        <w:rPr>
          <w:rFonts w:ascii="Open Sans" w:hAnsi="Open Sans" w:cs="Open Sans"/>
          <w:sz w:val="20"/>
          <w:szCs w:val="20"/>
        </w:rPr>
        <w:t>,</w:t>
      </w:r>
      <w:r>
        <w:rPr>
          <w:rFonts w:ascii="Open Sans" w:hAnsi="Open Sans" w:cs="Open Sans"/>
          <w:sz w:val="20"/>
          <w:szCs w:val="20"/>
        </w:rPr>
        <w:t xml:space="preserve"> en caso de que éstos existiesen. O en el caso de haberse materializado se refieren a discrepancias con las autoridades sin facilitar más información, como es el caso de Mapfre:</w:t>
      </w:r>
      <w:r w:rsidRPr="00381732">
        <w:rPr>
          <w:rFonts w:ascii="Open Sans" w:eastAsia="Calibri" w:hAnsi="Open Sans" w:cs="Open Sans"/>
          <w:color w:val="000000"/>
          <w:sz w:val="20"/>
          <w:szCs w:val="20"/>
        </w:rPr>
        <w:t xml:space="preserve"> </w:t>
      </w:r>
      <w:r w:rsidRPr="00381732">
        <w:rPr>
          <w:rFonts w:ascii="Open Sans" w:eastAsia="Calibri" w:hAnsi="Open Sans" w:cs="Open Sans"/>
          <w:i/>
          <w:color w:val="000000"/>
          <w:sz w:val="20"/>
          <w:szCs w:val="20"/>
        </w:rPr>
        <w:t>“</w:t>
      </w:r>
      <w:r w:rsidRPr="00381732">
        <w:rPr>
          <w:rFonts w:ascii="Open Sans" w:eastAsia="Calibri" w:hAnsi="Open Sans" w:cs="Open Sans"/>
          <w:i/>
          <w:sz w:val="20"/>
          <w:szCs w:val="20"/>
        </w:rPr>
        <w:t>Por lo que respecta a riesgos fiscales, se han materializado algunas discrepancias con autoridades fiscales en la interpretación de la norma tributaria en algunos países, si bien las consecuencias no han tenido materialidad significativa.”</w:t>
      </w:r>
      <w:r>
        <w:rPr>
          <w:rStyle w:val="Refdenotaalpie"/>
          <w:rFonts w:ascii="Open Sans" w:eastAsia="Calibri" w:hAnsi="Open Sans" w:cs="Open Sans"/>
          <w:i/>
          <w:sz w:val="20"/>
          <w:szCs w:val="20"/>
        </w:rPr>
        <w:footnoteReference w:id="59"/>
      </w:r>
      <w:r w:rsidRPr="00381732">
        <w:rPr>
          <w:rFonts w:ascii="Open Sans" w:eastAsia="Calibri" w:hAnsi="Open Sans" w:cs="Open Sans"/>
          <w:i/>
          <w:sz w:val="20"/>
          <w:szCs w:val="20"/>
        </w:rPr>
        <w:t xml:space="preserve"> </w:t>
      </w:r>
      <w:r w:rsidRPr="00381732">
        <w:rPr>
          <w:rFonts w:ascii="Open Sans" w:eastAsia="Calibri" w:hAnsi="Open Sans" w:cs="Open Sans"/>
          <w:sz w:val="20"/>
          <w:szCs w:val="20"/>
        </w:rPr>
        <w:t xml:space="preserve"> No obstante, no proporciona información concreta sobre las discrepancias, ni los resultados de las mismas.</w:t>
      </w:r>
    </w:p>
    <w:p w14:paraId="35F7BD3A" w14:textId="77777777" w:rsidR="00FD0760" w:rsidRDefault="00FD0760" w:rsidP="00FD0760">
      <w:pPr>
        <w:autoSpaceDE w:val="0"/>
        <w:autoSpaceDN w:val="0"/>
        <w:adjustRightInd w:val="0"/>
        <w:jc w:val="both"/>
        <w:rPr>
          <w:rFonts w:ascii="Open Sans" w:hAnsi="Open Sans" w:cs="Open Sans"/>
          <w:sz w:val="20"/>
          <w:szCs w:val="20"/>
        </w:rPr>
      </w:pPr>
    </w:p>
    <w:p w14:paraId="7C232286" w14:textId="5F8044E1" w:rsidR="00FD0760" w:rsidRDefault="00FD0760" w:rsidP="00FD0760">
      <w:pPr>
        <w:jc w:val="both"/>
        <w:rPr>
          <w:rFonts w:ascii="Open Sans" w:hAnsi="Open Sans" w:cs="Arial"/>
          <w:bCs/>
          <w:sz w:val="20"/>
          <w:szCs w:val="20"/>
        </w:rPr>
      </w:pPr>
      <w:r>
        <w:rPr>
          <w:rFonts w:ascii="Open Sans" w:hAnsi="Open Sans" w:cs="Arial"/>
          <w:bCs/>
          <w:sz w:val="20"/>
          <w:szCs w:val="20"/>
        </w:rPr>
        <w:t>Hay empresa</w:t>
      </w:r>
      <w:r w:rsidR="007A63BA">
        <w:rPr>
          <w:rFonts w:ascii="Open Sans" w:hAnsi="Open Sans" w:cs="Arial"/>
          <w:bCs/>
          <w:sz w:val="20"/>
          <w:szCs w:val="20"/>
        </w:rPr>
        <w:t>s</w:t>
      </w:r>
      <w:r>
        <w:rPr>
          <w:rFonts w:ascii="Open Sans" w:hAnsi="Open Sans" w:cs="Arial"/>
          <w:bCs/>
          <w:sz w:val="20"/>
          <w:szCs w:val="20"/>
        </w:rPr>
        <w:t xml:space="preserve"> como </w:t>
      </w:r>
      <w:r w:rsidR="00B45200">
        <w:rPr>
          <w:rFonts w:ascii="Open Sans" w:hAnsi="Open Sans" w:cs="Arial"/>
          <w:bCs/>
          <w:sz w:val="20"/>
          <w:szCs w:val="20"/>
        </w:rPr>
        <w:t>INDRA</w:t>
      </w:r>
      <w:r>
        <w:rPr>
          <w:rFonts w:ascii="Open Sans" w:hAnsi="Open Sans" w:cs="Arial"/>
          <w:bCs/>
          <w:sz w:val="20"/>
          <w:szCs w:val="20"/>
        </w:rPr>
        <w:t xml:space="preserve"> </w:t>
      </w:r>
      <w:r w:rsidR="007A63BA">
        <w:rPr>
          <w:rFonts w:ascii="Open Sans" w:hAnsi="Open Sans" w:cs="Arial"/>
          <w:bCs/>
          <w:sz w:val="20"/>
          <w:szCs w:val="20"/>
        </w:rPr>
        <w:t>que</w:t>
      </w:r>
      <w:r>
        <w:rPr>
          <w:rFonts w:ascii="Open Sans" w:hAnsi="Open Sans" w:cs="Arial"/>
          <w:bCs/>
          <w:sz w:val="20"/>
          <w:szCs w:val="20"/>
        </w:rPr>
        <w:t xml:space="preserve"> a  pesar de esto menciona que en 2015 se han materializados riesgos que han afectado a su situación fiscal (recuperabilidad de inversiones realizadas en Brasil, Portugal y ciertos negocios y </w:t>
      </w:r>
      <w:r w:rsidRPr="00172D3D">
        <w:rPr>
          <w:rFonts w:ascii="Open Sans" w:hAnsi="Open Sans" w:cs="Arial"/>
          <w:bCs/>
          <w:sz w:val="20"/>
          <w:szCs w:val="20"/>
        </w:rPr>
        <w:t>recuperabilidad de las bases imponibles en Brasil</w:t>
      </w:r>
      <w:r>
        <w:rPr>
          <w:rFonts w:ascii="Open Sans" w:hAnsi="Open Sans" w:cs="Arial"/>
          <w:bCs/>
          <w:sz w:val="20"/>
          <w:szCs w:val="20"/>
        </w:rPr>
        <w:t xml:space="preserve">) sin embargo en el Informe de Gobierno Corporativo, en la identificación de riesgos se señalan riesgos externos, operativos, financieros y de cumplimiento, pero no hay un identificación expresa de riesgos de índole fiscal. </w:t>
      </w:r>
    </w:p>
    <w:p w14:paraId="6AF06151" w14:textId="77777777" w:rsidR="00FD0760" w:rsidRDefault="00FD0760" w:rsidP="00FD0760">
      <w:pPr>
        <w:jc w:val="both"/>
        <w:rPr>
          <w:rFonts w:ascii="Open Sans" w:hAnsi="Open Sans" w:cs="Arial"/>
          <w:bCs/>
          <w:sz w:val="20"/>
          <w:szCs w:val="20"/>
        </w:rPr>
      </w:pPr>
    </w:p>
    <w:p w14:paraId="22D25D55" w14:textId="468D464D" w:rsidR="00FD0760" w:rsidRPr="000C5AB0" w:rsidRDefault="00FD0760" w:rsidP="00FD0760">
      <w:pPr>
        <w:jc w:val="both"/>
        <w:rPr>
          <w:rFonts w:ascii="Open Sans" w:hAnsi="Open Sans" w:cs="Arial"/>
          <w:bCs/>
          <w:sz w:val="20"/>
          <w:szCs w:val="20"/>
        </w:rPr>
      </w:pPr>
      <w:r w:rsidRPr="000C5AB0">
        <w:rPr>
          <w:rFonts w:ascii="Open Sans" w:hAnsi="Open Sans" w:cs="Arial"/>
          <w:bCs/>
          <w:sz w:val="20"/>
          <w:szCs w:val="20"/>
        </w:rPr>
        <w:t xml:space="preserve">El </w:t>
      </w:r>
      <w:r w:rsidR="00B45200">
        <w:rPr>
          <w:rFonts w:ascii="Open Sans" w:hAnsi="Open Sans" w:cs="Arial"/>
          <w:bCs/>
          <w:sz w:val="20"/>
          <w:szCs w:val="20"/>
        </w:rPr>
        <w:t>BANCO SANTANDER en el mapa de r</w:t>
      </w:r>
      <w:r w:rsidRPr="000C5AB0">
        <w:rPr>
          <w:rFonts w:ascii="Open Sans" w:hAnsi="Open Sans" w:cs="Arial"/>
          <w:bCs/>
          <w:sz w:val="20"/>
          <w:szCs w:val="20"/>
        </w:rPr>
        <w:t>iesgos no incluye de forma explícita el riesgo fiscal. Afirma que no se ha materializado ningún riesgo fiscal durante el ejercicio 2015</w:t>
      </w:r>
    </w:p>
    <w:p w14:paraId="7B5357EC" w14:textId="77777777" w:rsidR="00FD0760" w:rsidRDefault="00FD0760" w:rsidP="00FD0760">
      <w:pPr>
        <w:autoSpaceDE w:val="0"/>
        <w:autoSpaceDN w:val="0"/>
        <w:adjustRightInd w:val="0"/>
        <w:jc w:val="both"/>
        <w:rPr>
          <w:rFonts w:ascii="Open Sans" w:hAnsi="Open Sans" w:cs="Open Sans"/>
          <w:sz w:val="20"/>
          <w:szCs w:val="20"/>
        </w:rPr>
      </w:pPr>
    </w:p>
    <w:p w14:paraId="4760F4F7" w14:textId="53F83487" w:rsidR="00FD0760" w:rsidRDefault="00FD0760" w:rsidP="00FD0760">
      <w:pPr>
        <w:autoSpaceDE w:val="0"/>
        <w:autoSpaceDN w:val="0"/>
        <w:adjustRightInd w:val="0"/>
        <w:jc w:val="both"/>
        <w:rPr>
          <w:rFonts w:ascii="Open Sans" w:hAnsi="Open Sans" w:cs="Open Sans"/>
          <w:sz w:val="20"/>
          <w:szCs w:val="20"/>
        </w:rPr>
      </w:pPr>
      <w:r w:rsidRPr="009E62F3">
        <w:rPr>
          <w:rFonts w:ascii="Open Sans" w:hAnsi="Open Sans" w:cs="Open Sans"/>
          <w:sz w:val="20"/>
          <w:szCs w:val="20"/>
        </w:rPr>
        <w:t xml:space="preserve">En el caso de BANKIA es especialmente preocupante </w:t>
      </w:r>
      <w:r w:rsidR="00FB32FD">
        <w:rPr>
          <w:rFonts w:ascii="Open Sans" w:hAnsi="Open Sans" w:cs="Open Sans"/>
          <w:sz w:val="20"/>
          <w:szCs w:val="20"/>
        </w:rPr>
        <w:t>la selección de la</w:t>
      </w:r>
      <w:r w:rsidRPr="009E62F3">
        <w:rPr>
          <w:rFonts w:ascii="Open Sans" w:hAnsi="Open Sans" w:cs="Open Sans"/>
          <w:sz w:val="20"/>
          <w:szCs w:val="20"/>
        </w:rPr>
        <w:t xml:space="preserve"> empresa para el asesoramiento en materia de identificación y gestión de riesgos fiscales.</w:t>
      </w:r>
      <w:r>
        <w:t xml:space="preserve"> </w:t>
      </w:r>
      <w:r w:rsidRPr="00D91E3C">
        <w:rPr>
          <w:rFonts w:ascii="Open Sans" w:hAnsi="Open Sans" w:cs="Open Sans"/>
          <w:sz w:val="20"/>
          <w:szCs w:val="20"/>
        </w:rPr>
        <w:t xml:space="preserve">Bankia </w:t>
      </w:r>
      <w:r>
        <w:rPr>
          <w:rFonts w:ascii="Open Sans" w:hAnsi="Open Sans" w:cs="Open Sans"/>
          <w:sz w:val="20"/>
          <w:szCs w:val="20"/>
        </w:rPr>
        <w:t xml:space="preserve">afirma que  </w:t>
      </w:r>
      <w:r w:rsidRPr="00D91E3C">
        <w:rPr>
          <w:rFonts w:ascii="Open Sans" w:hAnsi="Open Sans" w:cs="Open Sans"/>
          <w:sz w:val="20"/>
          <w:szCs w:val="20"/>
        </w:rPr>
        <w:t>ha desarrollado un sistema de</w:t>
      </w:r>
      <w:r>
        <w:rPr>
          <w:rFonts w:ascii="Open Sans" w:hAnsi="Open Sans" w:cs="Open Sans"/>
          <w:sz w:val="20"/>
          <w:szCs w:val="20"/>
        </w:rPr>
        <w:t xml:space="preserve"> </w:t>
      </w:r>
      <w:r w:rsidRPr="00D91E3C">
        <w:rPr>
          <w:rFonts w:ascii="Open Sans" w:hAnsi="Open Sans" w:cs="Open Sans"/>
          <w:sz w:val="20"/>
          <w:szCs w:val="20"/>
        </w:rPr>
        <w:t>control y gestión de riesgos fiscales</w:t>
      </w:r>
      <w:r>
        <w:rPr>
          <w:rFonts w:ascii="Open Sans" w:hAnsi="Open Sans" w:cs="Open Sans"/>
          <w:sz w:val="20"/>
          <w:szCs w:val="20"/>
        </w:rPr>
        <w:t xml:space="preserve">, con el </w:t>
      </w:r>
      <w:r w:rsidRPr="009E62F3">
        <w:rPr>
          <w:rFonts w:ascii="Open Sans" w:hAnsi="Open Sans" w:cs="Arial"/>
          <w:bCs/>
          <w:sz w:val="20"/>
          <w:szCs w:val="20"/>
        </w:rPr>
        <w:t>asesoramiento</w:t>
      </w:r>
      <w:r>
        <w:rPr>
          <w:rFonts w:ascii="Open Sans" w:hAnsi="Open Sans" w:cs="Open Sans"/>
          <w:sz w:val="20"/>
          <w:szCs w:val="20"/>
        </w:rPr>
        <w:t xml:space="preserve"> de Deloitte,</w:t>
      </w:r>
      <w:r w:rsidRPr="00D91E3C">
        <w:rPr>
          <w:rFonts w:ascii="Open Sans" w:hAnsi="Open Sans" w:cs="Open Sans"/>
          <w:sz w:val="20"/>
          <w:szCs w:val="20"/>
        </w:rPr>
        <w:t xml:space="preserve"> que afecta a todos los departamentos y niveles de la</w:t>
      </w:r>
      <w:r>
        <w:rPr>
          <w:rFonts w:ascii="Open Sans" w:hAnsi="Open Sans" w:cs="Open Sans"/>
          <w:sz w:val="20"/>
          <w:szCs w:val="20"/>
        </w:rPr>
        <w:t xml:space="preserve"> </w:t>
      </w:r>
      <w:r w:rsidRPr="00D91E3C">
        <w:rPr>
          <w:rFonts w:ascii="Open Sans" w:hAnsi="Open Sans" w:cs="Open Sans"/>
          <w:sz w:val="20"/>
          <w:szCs w:val="20"/>
        </w:rPr>
        <w:t>entidad que persigue el correcto cumplimiento de sus obligaciones con la Hacienda Pública</w:t>
      </w:r>
      <w:r>
        <w:rPr>
          <w:rFonts w:ascii="Open Sans" w:hAnsi="Open Sans" w:cs="Open Sans"/>
          <w:sz w:val="20"/>
          <w:szCs w:val="20"/>
        </w:rPr>
        <w:t xml:space="preserve">. Sería interesante una explicación por parte de Bankia de la razón por la que se ha seleccionado a una de las consultoras </w:t>
      </w:r>
      <w:r w:rsidRPr="00750C7E">
        <w:rPr>
          <w:rFonts w:ascii="Open Sans" w:hAnsi="Open Sans" w:cs="Open Sans"/>
          <w:sz w:val="20"/>
          <w:szCs w:val="20"/>
        </w:rPr>
        <w:t>implicadas en este caso masivos de desvío de beneficios a</w:t>
      </w:r>
      <w:r>
        <w:rPr>
          <w:rFonts w:ascii="Open Sans" w:hAnsi="Open Sans" w:cs="Open Sans"/>
          <w:sz w:val="20"/>
          <w:szCs w:val="20"/>
        </w:rPr>
        <w:t xml:space="preserve"> Luxemburgo </w:t>
      </w:r>
      <w:r w:rsidRPr="00750C7E">
        <w:rPr>
          <w:rFonts w:ascii="Open Sans" w:hAnsi="Open Sans" w:cs="Open Sans"/>
          <w:sz w:val="20"/>
          <w:szCs w:val="20"/>
        </w:rPr>
        <w:t xml:space="preserve">para evitar el pago de impuestos en los países donde </w:t>
      </w:r>
      <w:r>
        <w:rPr>
          <w:rFonts w:ascii="Open Sans" w:hAnsi="Open Sans" w:cs="Open Sans"/>
          <w:sz w:val="20"/>
          <w:szCs w:val="20"/>
        </w:rPr>
        <w:t xml:space="preserve">las empresas </w:t>
      </w:r>
      <w:r w:rsidRPr="00750C7E">
        <w:rPr>
          <w:rFonts w:ascii="Open Sans" w:hAnsi="Open Sans" w:cs="Open Sans"/>
          <w:sz w:val="20"/>
          <w:szCs w:val="20"/>
        </w:rPr>
        <w:t>generan su negocio</w:t>
      </w:r>
      <w:r>
        <w:rPr>
          <w:rStyle w:val="Refdenotaalpie"/>
          <w:rFonts w:ascii="Open Sans" w:hAnsi="Open Sans" w:cs="Open Sans"/>
          <w:sz w:val="20"/>
          <w:szCs w:val="20"/>
        </w:rPr>
        <w:footnoteReference w:id="60"/>
      </w:r>
      <w:r>
        <w:rPr>
          <w:rStyle w:val="Refdenotaalpie"/>
          <w:rFonts w:ascii="Open Sans" w:hAnsi="Open Sans" w:cs="Open Sans"/>
          <w:sz w:val="20"/>
          <w:szCs w:val="20"/>
        </w:rPr>
        <w:footnoteReference w:id="61"/>
      </w:r>
      <w:r w:rsidRPr="00750C7E">
        <w:rPr>
          <w:rFonts w:ascii="Open Sans" w:hAnsi="Open Sans" w:cs="Open Sans"/>
          <w:sz w:val="20"/>
          <w:szCs w:val="20"/>
        </w:rPr>
        <w:t>.</w:t>
      </w:r>
      <w:r>
        <w:rPr>
          <w:rFonts w:ascii="Open Sans" w:hAnsi="Open Sans" w:cs="Open Sans"/>
          <w:sz w:val="20"/>
          <w:szCs w:val="20"/>
        </w:rPr>
        <w:t xml:space="preserve"> Ad</w:t>
      </w:r>
      <w:r w:rsidRPr="00EE5A80">
        <w:rPr>
          <w:rFonts w:ascii="Open Sans" w:hAnsi="Open Sans" w:cs="Open Sans"/>
          <w:sz w:val="20"/>
          <w:szCs w:val="20"/>
        </w:rPr>
        <w:t xml:space="preserve">emás </w:t>
      </w:r>
      <w:r w:rsidRPr="00EE5A80">
        <w:rPr>
          <w:rFonts w:ascii="Open Sans" w:hAnsi="Open Sans" w:cs="Open Sans"/>
          <w:bCs/>
          <w:sz w:val="20"/>
          <w:szCs w:val="20"/>
        </w:rPr>
        <w:t xml:space="preserve">Deloitte </w:t>
      </w:r>
      <w:r w:rsidRPr="00EE5A80">
        <w:rPr>
          <w:rFonts w:ascii="Open Sans" w:hAnsi="Open Sans" w:cs="Open Sans"/>
          <w:sz w:val="20"/>
          <w:szCs w:val="20"/>
        </w:rPr>
        <w:t>ha sido sancionada con una</w:t>
      </w:r>
      <w:r>
        <w:rPr>
          <w:rFonts w:ascii="Open Sans" w:hAnsi="Open Sans" w:cs="Open Sans"/>
          <w:sz w:val="20"/>
          <w:szCs w:val="20"/>
        </w:rPr>
        <w:t xml:space="preserve"> </w:t>
      </w:r>
      <w:r w:rsidRPr="00EE5A80">
        <w:rPr>
          <w:rFonts w:ascii="Open Sans" w:hAnsi="Open Sans" w:cs="Open Sans"/>
          <w:sz w:val="20"/>
          <w:szCs w:val="20"/>
        </w:rPr>
        <w:t xml:space="preserve">multa de 12 millones de euros </w:t>
      </w:r>
      <w:r w:rsidRPr="00EE5A80">
        <w:rPr>
          <w:rFonts w:ascii="Open Sans" w:hAnsi="Open Sans" w:cs="Open Sans"/>
          <w:bCs/>
          <w:sz w:val="20"/>
          <w:szCs w:val="20"/>
        </w:rPr>
        <w:t>por "infracciones continuadas muy graves"</w:t>
      </w:r>
      <w:r w:rsidRPr="00EE5A80">
        <w:rPr>
          <w:rFonts w:ascii="Open Sans" w:hAnsi="Open Sans" w:cs="Open Sans"/>
          <w:sz w:val="20"/>
          <w:szCs w:val="20"/>
        </w:rPr>
        <w:t>. También es conveniente recodar que El juez de la Audiencia Nacional Fernando Andreu </w:t>
      </w:r>
      <w:r w:rsidRPr="00EE5A80">
        <w:rPr>
          <w:rFonts w:ascii="Open Sans" w:hAnsi="Open Sans" w:cs="Open Sans"/>
          <w:bCs/>
          <w:sz w:val="20"/>
          <w:szCs w:val="20"/>
        </w:rPr>
        <w:t xml:space="preserve">ha citado a declarar como investigados </w:t>
      </w:r>
      <w:r w:rsidRPr="00EE5A80">
        <w:rPr>
          <w:rFonts w:ascii="Open Sans" w:hAnsi="Open Sans" w:cs="Open Sans"/>
          <w:sz w:val="20"/>
          <w:szCs w:val="20"/>
        </w:rPr>
        <w:t>al representante legal de la auditora Deloitte y a su socio y auditor de Bankia y su matriz Banco Financiero y de Ahorros (BFA), Francisco Celma, en la causa en la que se investiga la fusión y salida a Bolsa de la entidad en julio de 2011</w:t>
      </w:r>
      <w:r>
        <w:rPr>
          <w:rStyle w:val="Refdenotaalpie"/>
          <w:rFonts w:ascii="Open Sans" w:hAnsi="Open Sans" w:cs="Open Sans"/>
          <w:sz w:val="20"/>
          <w:szCs w:val="20"/>
        </w:rPr>
        <w:footnoteReference w:id="62"/>
      </w:r>
      <w:r w:rsidRPr="00EE5A80">
        <w:rPr>
          <w:rFonts w:ascii="Open Sans" w:hAnsi="Open Sans" w:cs="Open Sans"/>
          <w:sz w:val="20"/>
          <w:szCs w:val="20"/>
        </w:rPr>
        <w:t>.</w:t>
      </w:r>
      <w:r>
        <w:rPr>
          <w:rFonts w:ascii="Open Sans" w:hAnsi="Open Sans" w:cs="Open Sans"/>
          <w:sz w:val="20"/>
          <w:szCs w:val="20"/>
        </w:rPr>
        <w:t xml:space="preserve"> También Bankinter encarga a KPMG el asesoramiento fiscal siendo esta una de las empresas que aparecen involucradas en el desarrollo de estrategias de elusión fiscal para empresas multinacionales en el caso Luxleaks</w:t>
      </w:r>
      <w:r>
        <w:rPr>
          <w:rStyle w:val="Refdenotaalpie"/>
          <w:rFonts w:ascii="Open Sans" w:hAnsi="Open Sans" w:cs="Open Sans"/>
          <w:sz w:val="20"/>
          <w:szCs w:val="20"/>
        </w:rPr>
        <w:footnoteReference w:id="63"/>
      </w:r>
    </w:p>
    <w:p w14:paraId="6DA287DC" w14:textId="77777777" w:rsidR="00FD0760" w:rsidRDefault="00FD0760" w:rsidP="00FD0760"/>
    <w:p w14:paraId="0F4304DA" w14:textId="77777777" w:rsidR="00FD0760" w:rsidRPr="00B45200" w:rsidRDefault="00FD0760" w:rsidP="00FD0760">
      <w:pPr>
        <w:autoSpaceDE w:val="0"/>
        <w:autoSpaceDN w:val="0"/>
        <w:adjustRightInd w:val="0"/>
        <w:jc w:val="both"/>
        <w:rPr>
          <w:rFonts w:ascii="Open Sans" w:hAnsi="Open Sans" w:cs="Open Sans"/>
          <w:sz w:val="20"/>
          <w:szCs w:val="20"/>
        </w:rPr>
      </w:pPr>
      <w:r>
        <w:rPr>
          <w:rFonts w:ascii="Open Sans" w:hAnsi="Open Sans" w:cs="Open Sans"/>
          <w:sz w:val="20"/>
          <w:szCs w:val="20"/>
        </w:rPr>
        <w:t>En relación a la gestión de los  R</w:t>
      </w:r>
      <w:r w:rsidRPr="00EE5A80">
        <w:rPr>
          <w:rFonts w:ascii="Open Sans" w:hAnsi="Open Sans" w:cs="Open Sans"/>
          <w:sz w:val="20"/>
          <w:szCs w:val="20"/>
        </w:rPr>
        <w:t>iesgos de clientes</w:t>
      </w:r>
      <w:r>
        <w:rPr>
          <w:rFonts w:ascii="Open Sans" w:hAnsi="Open Sans" w:cs="Open Sans"/>
          <w:sz w:val="20"/>
          <w:szCs w:val="20"/>
        </w:rPr>
        <w:t xml:space="preserve"> es interesante la mención de </w:t>
      </w:r>
      <w:r w:rsidRPr="00EE5A80">
        <w:rPr>
          <w:rFonts w:ascii="Open Sans" w:hAnsi="Open Sans" w:cs="Open Sans"/>
          <w:sz w:val="20"/>
          <w:szCs w:val="20"/>
        </w:rPr>
        <w:t xml:space="preserve"> Bankia </w:t>
      </w:r>
      <w:r>
        <w:rPr>
          <w:rFonts w:ascii="Open Sans" w:hAnsi="Open Sans" w:cs="Open Sans"/>
          <w:sz w:val="20"/>
          <w:szCs w:val="20"/>
        </w:rPr>
        <w:t xml:space="preserve">al afirmar que  </w:t>
      </w:r>
      <w:r w:rsidRPr="00EE5A80">
        <w:rPr>
          <w:rFonts w:ascii="Open Sans" w:hAnsi="Open Sans" w:cs="Open Sans"/>
          <w:sz w:val="20"/>
          <w:szCs w:val="20"/>
        </w:rPr>
        <w:t xml:space="preserve">obliga </w:t>
      </w:r>
      <w:r w:rsidRPr="00B45200">
        <w:rPr>
          <w:rFonts w:ascii="Open Sans" w:hAnsi="Open Sans" w:cs="Open Sans"/>
          <w:sz w:val="20"/>
          <w:szCs w:val="20"/>
        </w:rPr>
        <w:t>a rechazar la financiación de operaciones con empresas</w:t>
      </w:r>
      <w:r>
        <w:rPr>
          <w:rFonts w:ascii="Open Sans" w:hAnsi="Open Sans" w:cs="Open Sans"/>
          <w:sz w:val="20"/>
          <w:szCs w:val="20"/>
        </w:rPr>
        <w:t xml:space="preserve"> que se haya </w:t>
      </w:r>
      <w:r w:rsidRPr="00EE5A80">
        <w:rPr>
          <w:rFonts w:ascii="Open Sans" w:hAnsi="Open Sans" w:cs="Open Sans"/>
          <w:sz w:val="20"/>
          <w:szCs w:val="20"/>
        </w:rPr>
        <w:t>acreditado que vulneran los derechos humanos en aspectos tales como las</w:t>
      </w:r>
      <w:r>
        <w:rPr>
          <w:rFonts w:ascii="Open Sans" w:hAnsi="Open Sans" w:cs="Open Sans"/>
          <w:sz w:val="20"/>
          <w:szCs w:val="20"/>
        </w:rPr>
        <w:t xml:space="preserve"> </w:t>
      </w:r>
      <w:r w:rsidRPr="00EE5A80">
        <w:rPr>
          <w:rFonts w:ascii="Open Sans" w:hAnsi="Open Sans" w:cs="Open Sans"/>
          <w:sz w:val="20"/>
          <w:szCs w:val="20"/>
        </w:rPr>
        <w:t>condiciones laborales, la libertad de asociación, la segu</w:t>
      </w:r>
      <w:r>
        <w:rPr>
          <w:rFonts w:ascii="Open Sans" w:hAnsi="Open Sans" w:cs="Open Sans"/>
          <w:sz w:val="20"/>
          <w:szCs w:val="20"/>
        </w:rPr>
        <w:t xml:space="preserve">ridad en el trabajo </w:t>
      </w:r>
      <w:r w:rsidRPr="00EE5A80">
        <w:rPr>
          <w:rFonts w:ascii="Open Sans" w:hAnsi="Open Sans" w:cs="Open Sans"/>
          <w:sz w:val="20"/>
          <w:szCs w:val="20"/>
        </w:rPr>
        <w:t>o la igualdad. La existencia de hechos aislados no constituye prueba suficiente de falta de respeto a los derechos</w:t>
      </w:r>
      <w:r>
        <w:rPr>
          <w:rFonts w:ascii="Open Sans" w:hAnsi="Open Sans" w:cs="Open Sans"/>
          <w:sz w:val="20"/>
          <w:szCs w:val="20"/>
        </w:rPr>
        <w:t xml:space="preserve"> fundamentales. </w:t>
      </w:r>
      <w:r w:rsidRPr="00EE5A80">
        <w:rPr>
          <w:rFonts w:ascii="Open Sans" w:hAnsi="Open Sans" w:cs="Open Sans"/>
          <w:sz w:val="20"/>
          <w:szCs w:val="20"/>
        </w:rPr>
        <w:t>Similares restricciones se adoptarán en el caso de actividades ilegales, como el</w:t>
      </w:r>
      <w:r>
        <w:rPr>
          <w:rFonts w:ascii="Open Sans" w:hAnsi="Open Sans" w:cs="Open Sans"/>
          <w:sz w:val="20"/>
          <w:szCs w:val="20"/>
        </w:rPr>
        <w:t xml:space="preserve"> </w:t>
      </w:r>
      <w:r w:rsidRPr="00EE5A80">
        <w:rPr>
          <w:rFonts w:ascii="Open Sans" w:hAnsi="Open Sans" w:cs="Open Sans"/>
          <w:sz w:val="20"/>
          <w:szCs w:val="20"/>
        </w:rPr>
        <w:t xml:space="preserve">blanqueo de capitales, la financiación del </w:t>
      </w:r>
      <w:r w:rsidRPr="00B45200">
        <w:rPr>
          <w:rFonts w:ascii="Open Sans" w:hAnsi="Open Sans" w:cs="Open Sans"/>
          <w:sz w:val="20"/>
          <w:szCs w:val="20"/>
        </w:rPr>
        <w:t>terrorismo, la evasión fiscal</w:t>
      </w:r>
      <w:r w:rsidRPr="0069113B">
        <w:rPr>
          <w:rFonts w:ascii="Open Sans" w:hAnsi="Open Sans" w:cs="Open Sans"/>
          <w:sz w:val="20"/>
          <w:szCs w:val="20"/>
        </w:rPr>
        <w:t>, el fraude o la corrupción.</w:t>
      </w:r>
      <w:r>
        <w:rPr>
          <w:rFonts w:ascii="Open Sans" w:hAnsi="Open Sans" w:cs="Open Sans"/>
          <w:sz w:val="20"/>
          <w:szCs w:val="20"/>
        </w:rPr>
        <w:t xml:space="preserve"> </w:t>
      </w:r>
      <w:r w:rsidRPr="00EE5A80">
        <w:rPr>
          <w:rFonts w:ascii="Open Sans" w:hAnsi="Open Sans" w:cs="Open Sans"/>
          <w:sz w:val="20"/>
          <w:szCs w:val="20"/>
        </w:rPr>
        <w:t xml:space="preserve">La Dirección de Control Interno de Riesgos es </w:t>
      </w:r>
      <w:r>
        <w:rPr>
          <w:rFonts w:ascii="Open Sans" w:hAnsi="Open Sans" w:cs="Open Sans"/>
          <w:sz w:val="20"/>
          <w:szCs w:val="20"/>
        </w:rPr>
        <w:t xml:space="preserve">la responsable de llevar a cabo </w:t>
      </w:r>
      <w:r w:rsidRPr="00EE5A80">
        <w:rPr>
          <w:rFonts w:ascii="Open Sans" w:hAnsi="Open Sans" w:cs="Open Sans"/>
          <w:sz w:val="20"/>
          <w:szCs w:val="20"/>
        </w:rPr>
        <w:t>un control trimestral para comprobar que no se formalizan operaciones con</w:t>
      </w:r>
      <w:r>
        <w:rPr>
          <w:rFonts w:ascii="Open Sans" w:hAnsi="Open Sans" w:cs="Open Sans"/>
          <w:sz w:val="20"/>
          <w:szCs w:val="20"/>
        </w:rPr>
        <w:t xml:space="preserve"> </w:t>
      </w:r>
      <w:r w:rsidRPr="00EE5A80">
        <w:rPr>
          <w:rFonts w:ascii="Open Sans" w:hAnsi="Open Sans" w:cs="Open Sans"/>
          <w:sz w:val="20"/>
          <w:szCs w:val="20"/>
        </w:rPr>
        <w:t>clientes que desarrollan est</w:t>
      </w:r>
      <w:r>
        <w:rPr>
          <w:rFonts w:ascii="Open Sans" w:hAnsi="Open Sans" w:cs="Open Sans"/>
          <w:sz w:val="20"/>
          <w:szCs w:val="20"/>
        </w:rPr>
        <w:t>as activida</w:t>
      </w:r>
      <w:r w:rsidRPr="00EE5A80">
        <w:rPr>
          <w:rFonts w:ascii="Open Sans" w:hAnsi="Open Sans" w:cs="Open Sans"/>
          <w:sz w:val="20"/>
          <w:szCs w:val="20"/>
        </w:rPr>
        <w:t>des.</w:t>
      </w:r>
      <w:r>
        <w:rPr>
          <w:rFonts w:ascii="Open Sans" w:hAnsi="Open Sans" w:cs="Open Sans"/>
          <w:sz w:val="20"/>
          <w:szCs w:val="20"/>
        </w:rPr>
        <w:t xml:space="preserve"> No obstante, y pese a que la iniciativa es interesante,  </w:t>
      </w:r>
      <w:r w:rsidRPr="00B45200">
        <w:rPr>
          <w:rFonts w:ascii="Open Sans" w:hAnsi="Open Sans" w:cs="Open Sans"/>
          <w:sz w:val="20"/>
          <w:szCs w:val="20"/>
        </w:rPr>
        <w:t xml:space="preserve">no hay información sobre nivel de incumplimiento de acreditados, operaciones rechazadas, procedimientos de supervisión y evaluación.  </w:t>
      </w:r>
    </w:p>
    <w:p w14:paraId="191DD17A" w14:textId="77777777" w:rsidR="00FD0760" w:rsidRDefault="00FD0760" w:rsidP="00FD0760"/>
    <w:p w14:paraId="27F9E43A" w14:textId="77777777" w:rsidR="00FD0760" w:rsidRPr="009D34FE" w:rsidRDefault="00FD0760" w:rsidP="00FD0760">
      <w:pPr>
        <w:jc w:val="both"/>
        <w:rPr>
          <w:rFonts w:ascii="Open Sans" w:hAnsi="Open Sans" w:cs="Open Sans"/>
          <w:sz w:val="20"/>
          <w:szCs w:val="20"/>
        </w:rPr>
      </w:pPr>
      <w:r w:rsidRPr="00B45200">
        <w:rPr>
          <w:rFonts w:ascii="Open Sans" w:hAnsi="Open Sans" w:cs="Open Sans"/>
          <w:b/>
          <w:sz w:val="20"/>
          <w:szCs w:val="20"/>
        </w:rPr>
        <w:t>Diversas empresas comentan la existencia de canales de denuncia y Comités de Seguimiento sin embargo muchos de estos canales presentan deficiencias en cuanto a los procedimientos y en ningún caso se informa de posibles denuncias por fraude fiscal recepcionadas y el curso facilitado a las mismas.</w:t>
      </w:r>
      <w:r>
        <w:rPr>
          <w:rFonts w:ascii="Open Sans" w:hAnsi="Open Sans" w:cs="Open Sans"/>
          <w:sz w:val="20"/>
          <w:szCs w:val="20"/>
        </w:rPr>
        <w:t xml:space="preserve"> Por ejemplo </w:t>
      </w:r>
      <w:r w:rsidRPr="009D34FE">
        <w:rPr>
          <w:rFonts w:ascii="Open Sans" w:hAnsi="Open Sans" w:cs="Open Sans"/>
          <w:sz w:val="20"/>
          <w:szCs w:val="20"/>
        </w:rPr>
        <w:t>ACS afirma que garantiza la confidencialidad</w:t>
      </w:r>
      <w:r>
        <w:rPr>
          <w:rFonts w:ascii="Open Sans" w:hAnsi="Open Sans" w:cs="Open Sans"/>
          <w:sz w:val="20"/>
          <w:szCs w:val="20"/>
        </w:rPr>
        <w:t>,</w:t>
      </w:r>
      <w:r w:rsidRPr="009D34FE">
        <w:rPr>
          <w:rFonts w:ascii="Open Sans" w:hAnsi="Open Sans" w:cs="Open Sans"/>
          <w:sz w:val="20"/>
          <w:szCs w:val="20"/>
        </w:rPr>
        <w:t xml:space="preserve"> </w:t>
      </w:r>
      <w:r>
        <w:rPr>
          <w:rFonts w:ascii="Open Sans" w:hAnsi="Open Sans" w:cs="Open Sans"/>
          <w:sz w:val="20"/>
          <w:szCs w:val="20"/>
        </w:rPr>
        <w:t xml:space="preserve">sin embargo </w:t>
      </w:r>
      <w:r w:rsidRPr="009D34FE">
        <w:rPr>
          <w:rFonts w:ascii="Open Sans" w:hAnsi="Open Sans" w:cs="Open Sans"/>
          <w:sz w:val="20"/>
          <w:szCs w:val="20"/>
        </w:rPr>
        <w:t>obliga a que en las denuncias aparezca identificado el denunciante, cuestión que puede llegar a ser muy comprometedora en los casos en que la conducta ilícita sea conocida y consentida por parte de los administradores de la sociedad. Además los denunciantes deberán mantener una relación contractual, de carácter laboral o mercantil, con la empresa. Se desconoce si alguna de las 94 comunicaciones que ha habido durante 2015 alguna responde a temas fiscales.</w:t>
      </w:r>
    </w:p>
    <w:p w14:paraId="2CB58AB6" w14:textId="77777777" w:rsidR="00ED545D" w:rsidRDefault="00ED545D" w:rsidP="003828F3">
      <w:pPr>
        <w:jc w:val="both"/>
        <w:rPr>
          <w:rFonts w:ascii="Open Sans" w:hAnsi="Open Sans" w:cs="Arial"/>
          <w:b/>
          <w:sz w:val="20"/>
          <w:szCs w:val="20"/>
          <w:lang w:val="es-ES"/>
        </w:rPr>
      </w:pPr>
    </w:p>
    <w:p w14:paraId="5881BC5B" w14:textId="77777777" w:rsidR="00C61A20" w:rsidRDefault="00C61A20" w:rsidP="003828F3">
      <w:pPr>
        <w:jc w:val="both"/>
        <w:rPr>
          <w:rFonts w:ascii="Open Sans" w:hAnsi="Open Sans" w:cs="Arial"/>
          <w:b/>
          <w:sz w:val="20"/>
          <w:szCs w:val="20"/>
          <w:lang w:val="es-ES"/>
        </w:rPr>
      </w:pPr>
    </w:p>
    <w:p w14:paraId="22BE3114" w14:textId="77777777" w:rsidR="006B00BA" w:rsidRPr="00310A67" w:rsidRDefault="006B00BA" w:rsidP="003828F3">
      <w:pPr>
        <w:jc w:val="both"/>
        <w:rPr>
          <w:rFonts w:ascii="Open Sans" w:hAnsi="Open Sans" w:cs="Arial"/>
          <w:b/>
          <w:sz w:val="20"/>
          <w:szCs w:val="20"/>
          <w:lang w:val="es-ES"/>
        </w:rPr>
      </w:pPr>
    </w:p>
    <w:p w14:paraId="35A332D9" w14:textId="077251CF" w:rsidR="00310A67" w:rsidRPr="00ED545D" w:rsidRDefault="00363184" w:rsidP="003828F3">
      <w:pPr>
        <w:jc w:val="both"/>
        <w:rPr>
          <w:rFonts w:ascii="Open Sans" w:hAnsi="Open Sans" w:cs="Arial"/>
          <w:b/>
          <w:sz w:val="22"/>
          <w:szCs w:val="22"/>
          <w:lang w:val="es-ES"/>
        </w:rPr>
      </w:pPr>
      <w:bookmarkStart w:id="29" w:name="PE3"/>
      <w:r>
        <w:rPr>
          <w:rFonts w:ascii="Open Sans" w:hAnsi="Open Sans" w:cs="Arial"/>
          <w:b/>
          <w:sz w:val="22"/>
          <w:szCs w:val="22"/>
          <w:lang w:val="es-ES"/>
        </w:rPr>
        <w:t xml:space="preserve">P.E.3 </w:t>
      </w:r>
      <w:r w:rsidR="00310A67" w:rsidRPr="00ED545D">
        <w:rPr>
          <w:rFonts w:ascii="Open Sans" w:hAnsi="Open Sans" w:cs="Arial"/>
          <w:b/>
          <w:sz w:val="22"/>
          <w:szCs w:val="22"/>
          <w:lang w:val="es-ES"/>
        </w:rPr>
        <w:t>La empresa informa sobre cómo el Consejo de Administración aborda el tema de fiscalidad</w:t>
      </w:r>
      <w:bookmarkEnd w:id="29"/>
    </w:p>
    <w:p w14:paraId="19DBA66C" w14:textId="77777777" w:rsidR="00BF1607" w:rsidRDefault="00BF1607" w:rsidP="003828F3">
      <w:pPr>
        <w:jc w:val="both"/>
        <w:rPr>
          <w:rFonts w:ascii="Open Sans" w:hAnsi="Open Sans" w:cs="Arial"/>
          <w:b/>
          <w:sz w:val="20"/>
          <w:szCs w:val="20"/>
          <w:lang w:val="es-ES"/>
        </w:rPr>
      </w:pPr>
    </w:p>
    <w:p w14:paraId="18AB4E5B" w14:textId="4687B51C" w:rsidR="007A63BA" w:rsidRDefault="007A63BA" w:rsidP="007A63BA">
      <w:pPr>
        <w:pStyle w:val="parrafo"/>
        <w:shd w:val="clear" w:color="auto" w:fill="FFFFFF"/>
        <w:spacing w:before="180" w:beforeAutospacing="0" w:after="180" w:afterAutospacing="0"/>
        <w:jc w:val="both"/>
        <w:rPr>
          <w:rFonts w:ascii="Open Sans" w:hAnsi="Open Sans" w:cs="Open Sans"/>
          <w:sz w:val="20"/>
          <w:szCs w:val="20"/>
          <w:shd w:val="clear" w:color="auto" w:fill="FFFFFF"/>
        </w:rPr>
      </w:pPr>
      <w:r w:rsidRPr="008C1488">
        <w:rPr>
          <w:rFonts w:ascii="Open Sans" w:hAnsi="Open Sans" w:cs="Open Sans"/>
          <w:sz w:val="20"/>
          <w:szCs w:val="20"/>
          <w:shd w:val="clear" w:color="auto" w:fill="FFFFFF"/>
        </w:rPr>
        <w:t>E</w:t>
      </w:r>
      <w:r>
        <w:rPr>
          <w:rFonts w:ascii="Open Sans" w:hAnsi="Open Sans" w:cs="Open Sans"/>
          <w:sz w:val="20"/>
          <w:szCs w:val="20"/>
          <w:shd w:val="clear" w:color="auto" w:fill="FFFFFF"/>
        </w:rPr>
        <w:t xml:space="preserve">n relación al indicador P.E.3, </w:t>
      </w:r>
      <w:r w:rsidR="00FB32FD" w:rsidRPr="00B45200">
        <w:rPr>
          <w:rFonts w:ascii="Open Sans" w:hAnsi="Open Sans" w:cs="Open Sans"/>
          <w:b/>
          <w:sz w:val="20"/>
          <w:szCs w:val="20"/>
          <w:shd w:val="clear" w:color="auto" w:fill="FFFFFF"/>
        </w:rPr>
        <w:t>31</w:t>
      </w:r>
      <w:r w:rsidRPr="00B45200">
        <w:rPr>
          <w:rFonts w:ascii="Open Sans" w:hAnsi="Open Sans" w:cs="Open Sans"/>
          <w:b/>
          <w:sz w:val="20"/>
          <w:szCs w:val="20"/>
          <w:shd w:val="clear" w:color="auto" w:fill="FFFFFF"/>
        </w:rPr>
        <w:t xml:space="preserve"> de las 35 empresas</w:t>
      </w:r>
      <w:r w:rsidRPr="00B45200">
        <w:rPr>
          <w:rFonts w:ascii="Open Sans" w:hAnsi="Open Sans" w:cs="Open Sans"/>
          <w:sz w:val="20"/>
          <w:szCs w:val="20"/>
          <w:shd w:val="clear" w:color="auto" w:fill="FFFFFF"/>
        </w:rPr>
        <w:t xml:space="preserve"> analizadas facilitan algún tipo de información sobre </w:t>
      </w:r>
      <w:r w:rsidR="00490931" w:rsidRPr="00B45200">
        <w:rPr>
          <w:rFonts w:ascii="Open Sans" w:hAnsi="Open Sans" w:cs="Open Sans"/>
          <w:sz w:val="20"/>
          <w:szCs w:val="20"/>
          <w:shd w:val="clear" w:color="auto" w:fill="FFFFFF"/>
        </w:rPr>
        <w:t>la asunción por el Consejo de Administración de los temas relacionados con fiscalidad</w:t>
      </w:r>
      <w:r w:rsidRPr="00B45200">
        <w:rPr>
          <w:rFonts w:ascii="Open Sans" w:hAnsi="Open Sans" w:cs="Open Sans"/>
          <w:sz w:val="20"/>
          <w:szCs w:val="20"/>
          <w:shd w:val="clear" w:color="auto" w:fill="FFFFFF"/>
        </w:rPr>
        <w:t xml:space="preserve">  lo que supone un </w:t>
      </w:r>
      <w:r w:rsidRPr="00B45200">
        <w:rPr>
          <w:rFonts w:ascii="Open Sans" w:hAnsi="Open Sans" w:cs="Open Sans"/>
          <w:b/>
          <w:sz w:val="20"/>
          <w:szCs w:val="20"/>
          <w:shd w:val="clear" w:color="auto" w:fill="FFFFFF"/>
        </w:rPr>
        <w:t>8</w:t>
      </w:r>
      <w:r w:rsidR="00FB32FD" w:rsidRPr="00B45200">
        <w:rPr>
          <w:rFonts w:ascii="Open Sans" w:hAnsi="Open Sans" w:cs="Open Sans"/>
          <w:b/>
          <w:sz w:val="20"/>
          <w:szCs w:val="20"/>
          <w:shd w:val="clear" w:color="auto" w:fill="FFFFFF"/>
        </w:rPr>
        <w:t>9</w:t>
      </w:r>
      <w:r w:rsidRPr="00B45200">
        <w:rPr>
          <w:rFonts w:ascii="Open Sans" w:hAnsi="Open Sans" w:cs="Open Sans"/>
          <w:b/>
          <w:sz w:val="20"/>
          <w:szCs w:val="20"/>
          <w:shd w:val="clear" w:color="auto" w:fill="FFFFFF"/>
        </w:rPr>
        <w:t>% del total</w:t>
      </w:r>
      <w:r w:rsidRPr="00B45200">
        <w:rPr>
          <w:rFonts w:ascii="Open Sans" w:hAnsi="Open Sans" w:cs="Open Sans"/>
          <w:sz w:val="20"/>
          <w:szCs w:val="20"/>
          <w:shd w:val="clear" w:color="auto" w:fill="FFFFFF"/>
        </w:rPr>
        <w:t xml:space="preserve"> de empresas analizadas. El nivel de cumplimiento de este indicador se soporta, al igual que el P.E.1. y P.E.2, en la obligatoriedad introducida por la reforma de la Ley de Sociedades de Capital </w:t>
      </w:r>
      <w:r w:rsidRPr="008C1488">
        <w:rPr>
          <w:rFonts w:ascii="Open Sans" w:hAnsi="Open Sans" w:cs="Open Sans"/>
          <w:sz w:val="20"/>
          <w:szCs w:val="20"/>
          <w:shd w:val="clear" w:color="auto" w:fill="FFFFFF"/>
        </w:rPr>
        <w:t>efectuada en el año 2014 por la Ley 31/2014</w:t>
      </w:r>
      <w:r>
        <w:rPr>
          <w:rFonts w:ascii="Open Sans" w:hAnsi="Open Sans" w:cs="Open Sans"/>
          <w:sz w:val="20"/>
          <w:szCs w:val="20"/>
          <w:shd w:val="clear" w:color="auto" w:fill="FFFFFF"/>
        </w:rPr>
        <w:t>,</w:t>
      </w:r>
      <w:r w:rsidRPr="008C1488">
        <w:rPr>
          <w:rFonts w:ascii="Open Sans" w:hAnsi="Open Sans" w:cs="Open Sans"/>
          <w:sz w:val="20"/>
          <w:szCs w:val="20"/>
          <w:shd w:val="clear" w:color="auto" w:fill="FFFFFF"/>
        </w:rPr>
        <w:t xml:space="preserve"> en la que se establece en su </w:t>
      </w:r>
      <w:r>
        <w:rPr>
          <w:rFonts w:ascii="Open Sans" w:hAnsi="Open Sans" w:cs="Open Sans"/>
          <w:sz w:val="20"/>
          <w:szCs w:val="20"/>
          <w:shd w:val="clear" w:color="auto" w:fill="FFFFFF"/>
        </w:rPr>
        <w:t>Artículo 529</w:t>
      </w:r>
      <w:r w:rsidRPr="008C1488">
        <w:rPr>
          <w:rFonts w:ascii="Open Sans" w:hAnsi="Open Sans" w:cs="Open Sans"/>
          <w:sz w:val="20"/>
          <w:szCs w:val="20"/>
          <w:shd w:val="clear" w:color="auto" w:fill="FFFFFF"/>
        </w:rPr>
        <w:t xml:space="preserve"> </w:t>
      </w:r>
      <w:r>
        <w:rPr>
          <w:rFonts w:ascii="Open Sans" w:hAnsi="Open Sans" w:cs="Open Sans"/>
          <w:sz w:val="20"/>
          <w:szCs w:val="20"/>
          <w:shd w:val="clear" w:color="auto" w:fill="FFFFFF"/>
        </w:rPr>
        <w:t xml:space="preserve">ter como facultades indelegables del Consejo de Administración las siguientes: </w:t>
      </w:r>
    </w:p>
    <w:p w14:paraId="7EE9C7F4" w14:textId="77777777" w:rsidR="007A63BA" w:rsidRPr="00AA2764" w:rsidRDefault="007A63BA" w:rsidP="000B70C9">
      <w:pPr>
        <w:pStyle w:val="parrafo"/>
        <w:numPr>
          <w:ilvl w:val="0"/>
          <w:numId w:val="108"/>
        </w:numPr>
        <w:shd w:val="clear" w:color="auto" w:fill="FFFFFF"/>
        <w:spacing w:before="180" w:beforeAutospacing="0" w:after="180" w:afterAutospacing="0"/>
        <w:jc w:val="both"/>
        <w:rPr>
          <w:rFonts w:ascii="Open Sans" w:hAnsi="Open Sans" w:cs="Open Sans"/>
          <w:sz w:val="20"/>
          <w:szCs w:val="20"/>
        </w:rPr>
      </w:pPr>
      <w:r w:rsidRPr="00AA2764">
        <w:rPr>
          <w:rFonts w:ascii="Open Sans" w:hAnsi="Open Sans" w:cs="Open Sans"/>
          <w:sz w:val="20"/>
          <w:szCs w:val="20"/>
        </w:rPr>
        <w:t>La determinación de la política de control y gestión de riesgos, incluidos los fiscales, y la supervisión de los sistemas internos de información y control.</w:t>
      </w:r>
    </w:p>
    <w:p w14:paraId="69A8E61B" w14:textId="77777777" w:rsidR="007A63BA" w:rsidRPr="00AA2764" w:rsidRDefault="007A63BA" w:rsidP="000B70C9">
      <w:pPr>
        <w:pStyle w:val="parrafo"/>
        <w:numPr>
          <w:ilvl w:val="0"/>
          <w:numId w:val="108"/>
        </w:numPr>
        <w:shd w:val="clear" w:color="auto" w:fill="FFFFFF"/>
        <w:spacing w:before="180" w:beforeAutospacing="0" w:after="180" w:afterAutospacing="0"/>
        <w:jc w:val="both"/>
        <w:rPr>
          <w:rFonts w:ascii="Open Sans" w:hAnsi="Open Sans" w:cs="Open Sans"/>
          <w:sz w:val="20"/>
          <w:szCs w:val="20"/>
        </w:rPr>
      </w:pPr>
      <w:r w:rsidRPr="00AA2764">
        <w:rPr>
          <w:rFonts w:ascii="Open Sans" w:hAnsi="Open Sans" w:cs="Open Sans"/>
          <w:sz w:val="20"/>
          <w:szCs w:val="20"/>
        </w:rPr>
        <w:t>La aprobación de las inversiones u operaciones de todo tipo que por su elevada cuantía o especiales características, tengan carácter estratégico o especial riesgo fiscal, salvo que su aprobación corresponda a la junta general.</w:t>
      </w:r>
    </w:p>
    <w:p w14:paraId="0F908D6D" w14:textId="77777777" w:rsidR="007A63BA" w:rsidRPr="00AA2764" w:rsidRDefault="007A63BA" w:rsidP="000B70C9">
      <w:pPr>
        <w:pStyle w:val="parrafo"/>
        <w:numPr>
          <w:ilvl w:val="0"/>
          <w:numId w:val="108"/>
        </w:numPr>
        <w:shd w:val="clear" w:color="auto" w:fill="FFFFFF"/>
        <w:spacing w:before="180" w:beforeAutospacing="0" w:after="180" w:afterAutospacing="0"/>
        <w:jc w:val="both"/>
        <w:rPr>
          <w:rFonts w:ascii="Open Sans" w:hAnsi="Open Sans" w:cs="Open Sans"/>
          <w:sz w:val="20"/>
          <w:szCs w:val="20"/>
        </w:rPr>
      </w:pPr>
      <w:r w:rsidRPr="00AA2764">
        <w:rPr>
          <w:rFonts w:ascii="Open Sans" w:hAnsi="Open Sans" w:cs="Open Sans"/>
          <w:sz w:val="20"/>
          <w:szCs w:val="20"/>
        </w:rPr>
        <w:t>La aprobación de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 la sociedad y su grupo.</w:t>
      </w:r>
    </w:p>
    <w:p w14:paraId="378E4C7D" w14:textId="77777777" w:rsidR="007A63BA" w:rsidRPr="00AA2764" w:rsidRDefault="007A63BA" w:rsidP="000B70C9">
      <w:pPr>
        <w:pStyle w:val="parrafo"/>
        <w:numPr>
          <w:ilvl w:val="0"/>
          <w:numId w:val="108"/>
        </w:numPr>
        <w:shd w:val="clear" w:color="auto" w:fill="FFFFFF"/>
        <w:spacing w:before="180" w:beforeAutospacing="0" w:after="180" w:afterAutospacing="0"/>
        <w:jc w:val="both"/>
        <w:rPr>
          <w:rFonts w:ascii="Open Sans" w:hAnsi="Open Sans" w:cs="Open Sans"/>
          <w:sz w:val="20"/>
          <w:szCs w:val="20"/>
        </w:rPr>
      </w:pPr>
      <w:r w:rsidRPr="00AA2764">
        <w:rPr>
          <w:rFonts w:ascii="Open Sans" w:hAnsi="Open Sans" w:cs="Open Sans"/>
          <w:sz w:val="20"/>
          <w:szCs w:val="20"/>
        </w:rPr>
        <w:t>La determinación de la estrategia fiscal de la sociedad.</w:t>
      </w:r>
    </w:p>
    <w:p w14:paraId="650A9F96" w14:textId="13884586" w:rsidR="00724AA5" w:rsidRDefault="007A63BA" w:rsidP="007A63BA">
      <w:pPr>
        <w:tabs>
          <w:tab w:val="left" w:pos="709"/>
        </w:tabs>
        <w:jc w:val="both"/>
        <w:rPr>
          <w:rFonts w:ascii="Open Sans" w:hAnsi="Open Sans" w:cs="Open Sans"/>
          <w:sz w:val="20"/>
          <w:szCs w:val="20"/>
        </w:rPr>
      </w:pPr>
      <w:r>
        <w:rPr>
          <w:rFonts w:ascii="Open Sans" w:eastAsia="Times New Roman" w:hAnsi="Open Sans" w:cs="Open Sans"/>
          <w:color w:val="000000"/>
          <w:sz w:val="20"/>
          <w:szCs w:val="20"/>
        </w:rPr>
        <w:t xml:space="preserve">En la mayor parte de las compañías los informes de buen gobierno se limitan a informar  que es </w:t>
      </w:r>
      <w:r>
        <w:rPr>
          <w:rFonts w:ascii="Open Sans" w:hAnsi="Open Sans" w:cs="Open Sans"/>
          <w:sz w:val="20"/>
          <w:szCs w:val="20"/>
        </w:rPr>
        <w:t xml:space="preserve">la </w:t>
      </w:r>
      <w:r w:rsidRPr="00C81EBD">
        <w:rPr>
          <w:rFonts w:ascii="Open Sans" w:hAnsi="Open Sans" w:cs="Open Sans"/>
          <w:sz w:val="20"/>
          <w:szCs w:val="20"/>
        </w:rPr>
        <w:t>Comisión de Auditoría y Cumplimiento del Grupo</w:t>
      </w:r>
      <w:r>
        <w:rPr>
          <w:rFonts w:ascii="Open Sans" w:hAnsi="Open Sans" w:cs="Open Sans"/>
          <w:sz w:val="20"/>
          <w:szCs w:val="20"/>
        </w:rPr>
        <w:t xml:space="preserve"> la responsable de supervisión de aspectos fiscales y citan como competencias indelegables del Consejo las que estable el mencionado artículo 529 de la Ley de Sociedades de Capital. No obstante solamente </w:t>
      </w:r>
      <w:r w:rsidR="00724AA5">
        <w:rPr>
          <w:rFonts w:ascii="Open Sans" w:hAnsi="Open Sans" w:cs="Open Sans"/>
          <w:sz w:val="20"/>
          <w:szCs w:val="20"/>
        </w:rPr>
        <w:t>7</w:t>
      </w:r>
      <w:r>
        <w:rPr>
          <w:rFonts w:ascii="Open Sans" w:hAnsi="Open Sans" w:cs="Open Sans"/>
          <w:sz w:val="20"/>
          <w:szCs w:val="20"/>
        </w:rPr>
        <w:t xml:space="preserve"> de las empresas analizadas además de incluir</w:t>
      </w:r>
      <w:r w:rsidRPr="00A34528">
        <w:rPr>
          <w:rFonts w:ascii="Open Sans" w:hAnsi="Open Sans" w:cs="Open Sans"/>
          <w:sz w:val="20"/>
          <w:szCs w:val="20"/>
        </w:rPr>
        <w:t xml:space="preserve"> información genérica de los Comités y mecanismos del Consejo existentes para el tratamiento de temas fiscales</w:t>
      </w:r>
      <w:r>
        <w:rPr>
          <w:rFonts w:ascii="Open Sans" w:hAnsi="Open Sans" w:cs="Open Sans"/>
          <w:sz w:val="20"/>
          <w:szCs w:val="20"/>
        </w:rPr>
        <w:t xml:space="preserve">, informan del </w:t>
      </w:r>
      <w:r w:rsidRPr="00A34528">
        <w:rPr>
          <w:rFonts w:ascii="Open Sans" w:hAnsi="Open Sans" w:cs="Open Sans"/>
          <w:sz w:val="20"/>
          <w:szCs w:val="20"/>
        </w:rPr>
        <w:t>número de reuniones de los Comités del Consejo y del Consejo en el que se han tratado temas de fiscalidad y de cuáles han sido los temas tratados</w:t>
      </w:r>
      <w:r>
        <w:rPr>
          <w:rFonts w:ascii="Open Sans" w:hAnsi="Open Sans" w:cs="Open Sans"/>
          <w:sz w:val="20"/>
          <w:szCs w:val="20"/>
        </w:rPr>
        <w:t xml:space="preserve"> (</w:t>
      </w:r>
      <w:r w:rsidR="00FB32FD">
        <w:rPr>
          <w:rFonts w:ascii="Open Sans" w:hAnsi="Open Sans" w:cs="Open Sans"/>
          <w:sz w:val="20"/>
          <w:szCs w:val="20"/>
        </w:rPr>
        <w:t xml:space="preserve">GAMESA, </w:t>
      </w:r>
      <w:r>
        <w:rPr>
          <w:rFonts w:ascii="Open Sans" w:hAnsi="Open Sans" w:cs="Open Sans"/>
          <w:sz w:val="20"/>
          <w:szCs w:val="20"/>
        </w:rPr>
        <w:t>FERR</w:t>
      </w:r>
      <w:r w:rsidR="00724AA5">
        <w:rPr>
          <w:rFonts w:ascii="Open Sans" w:hAnsi="Open Sans" w:cs="Open Sans"/>
          <w:sz w:val="20"/>
          <w:szCs w:val="20"/>
        </w:rPr>
        <w:t xml:space="preserve">OVIAL, </w:t>
      </w:r>
      <w:r w:rsidR="00B45200">
        <w:rPr>
          <w:rFonts w:ascii="Open Sans" w:hAnsi="Open Sans" w:cs="Open Sans"/>
          <w:sz w:val="20"/>
          <w:szCs w:val="20"/>
        </w:rPr>
        <w:t>IBERDROLA, INDITEX, IAG, MEDIAS</w:t>
      </w:r>
      <w:r w:rsidR="00724AA5">
        <w:rPr>
          <w:rFonts w:ascii="Open Sans" w:hAnsi="Open Sans" w:cs="Open Sans"/>
          <w:sz w:val="20"/>
          <w:szCs w:val="20"/>
        </w:rPr>
        <w:t xml:space="preserve">ET y </w:t>
      </w:r>
      <w:r>
        <w:rPr>
          <w:rFonts w:ascii="Open Sans" w:hAnsi="Open Sans" w:cs="Open Sans"/>
          <w:sz w:val="20"/>
          <w:szCs w:val="20"/>
        </w:rPr>
        <w:t>REPSOL)</w:t>
      </w:r>
      <w:r w:rsidRPr="00A34528">
        <w:rPr>
          <w:rFonts w:ascii="Open Sans" w:hAnsi="Open Sans" w:cs="Open Sans"/>
          <w:sz w:val="20"/>
          <w:szCs w:val="20"/>
        </w:rPr>
        <w:t>.</w:t>
      </w:r>
      <w:r w:rsidR="002324A0">
        <w:rPr>
          <w:rFonts w:ascii="Open Sans" w:hAnsi="Open Sans" w:cs="Open Sans"/>
          <w:sz w:val="20"/>
          <w:szCs w:val="20"/>
        </w:rPr>
        <w:t xml:space="preserve"> Solamente </w:t>
      </w:r>
      <w:r w:rsidR="00724AA5">
        <w:rPr>
          <w:rFonts w:ascii="Open Sans" w:hAnsi="Open Sans" w:cs="Open Sans"/>
          <w:sz w:val="20"/>
          <w:szCs w:val="20"/>
        </w:rPr>
        <w:t>una</w:t>
      </w:r>
      <w:r w:rsidR="002324A0">
        <w:rPr>
          <w:rFonts w:ascii="Open Sans" w:hAnsi="Open Sans" w:cs="Open Sans"/>
          <w:sz w:val="20"/>
          <w:szCs w:val="20"/>
        </w:rPr>
        <w:t xml:space="preserve"> empresa (</w:t>
      </w:r>
      <w:r w:rsidR="00724AA5">
        <w:rPr>
          <w:rFonts w:ascii="Open Sans" w:hAnsi="Open Sans" w:cs="Open Sans"/>
          <w:sz w:val="20"/>
          <w:szCs w:val="20"/>
        </w:rPr>
        <w:t>REC) publica</w:t>
      </w:r>
      <w:r>
        <w:rPr>
          <w:rFonts w:ascii="Open Sans" w:hAnsi="Open Sans" w:cs="Open Sans"/>
          <w:sz w:val="20"/>
          <w:szCs w:val="20"/>
        </w:rPr>
        <w:t xml:space="preserve"> información detallada</w:t>
      </w:r>
      <w:r w:rsidRPr="00A34528">
        <w:rPr>
          <w:rFonts w:ascii="Open Sans" w:hAnsi="Open Sans" w:cs="Open Sans"/>
          <w:sz w:val="20"/>
          <w:szCs w:val="20"/>
        </w:rPr>
        <w:t xml:space="preserve"> sobre los temas tratados </w:t>
      </w:r>
      <w:r>
        <w:rPr>
          <w:rFonts w:ascii="Open Sans" w:hAnsi="Open Sans" w:cs="Open Sans"/>
          <w:sz w:val="20"/>
          <w:szCs w:val="20"/>
        </w:rPr>
        <w:t xml:space="preserve">e indica </w:t>
      </w:r>
      <w:r w:rsidRPr="00A34528">
        <w:rPr>
          <w:rFonts w:ascii="Open Sans" w:hAnsi="Open Sans" w:cs="Open Sans"/>
          <w:sz w:val="20"/>
          <w:szCs w:val="20"/>
        </w:rPr>
        <w:t xml:space="preserve"> las decisiones adoptadas</w:t>
      </w:r>
      <w:r>
        <w:rPr>
          <w:rFonts w:ascii="Open Sans" w:hAnsi="Open Sans" w:cs="Open Sans"/>
          <w:sz w:val="20"/>
          <w:szCs w:val="20"/>
        </w:rPr>
        <w:t xml:space="preserve">. </w:t>
      </w:r>
    </w:p>
    <w:p w14:paraId="05E129DF" w14:textId="77777777" w:rsidR="00724AA5" w:rsidRDefault="00724AA5" w:rsidP="007A63BA">
      <w:pPr>
        <w:tabs>
          <w:tab w:val="left" w:pos="709"/>
        </w:tabs>
        <w:jc w:val="both"/>
        <w:rPr>
          <w:rFonts w:ascii="Open Sans" w:hAnsi="Open Sans" w:cs="Open Sans"/>
          <w:sz w:val="20"/>
          <w:szCs w:val="20"/>
        </w:rPr>
      </w:pPr>
    </w:p>
    <w:p w14:paraId="69193299" w14:textId="639929B0" w:rsidR="007A63BA" w:rsidRDefault="007A63BA" w:rsidP="007A63BA">
      <w:pPr>
        <w:tabs>
          <w:tab w:val="left" w:pos="709"/>
        </w:tabs>
        <w:jc w:val="both"/>
        <w:rPr>
          <w:rFonts w:ascii="Open Sans" w:hAnsi="Open Sans" w:cs="Arial"/>
          <w:bCs/>
          <w:sz w:val="20"/>
          <w:szCs w:val="20"/>
        </w:rPr>
      </w:pPr>
      <w:r>
        <w:rPr>
          <w:rFonts w:ascii="Open Sans" w:hAnsi="Open Sans" w:cs="Open Sans"/>
          <w:sz w:val="20"/>
          <w:szCs w:val="20"/>
        </w:rPr>
        <w:t xml:space="preserve">INDITEX </w:t>
      </w:r>
      <w:r>
        <w:rPr>
          <w:rFonts w:ascii="Open Sans" w:hAnsi="Open Sans" w:cs="Arial"/>
          <w:bCs/>
          <w:sz w:val="20"/>
          <w:szCs w:val="20"/>
        </w:rPr>
        <w:t xml:space="preserve">informa de las sesiones celebradas (5 sesiones en 2015), los asuntos tratados, los informes y propuestas al Consejo de Administración y los comparecientes. En concreto se menciona la realización del </w:t>
      </w:r>
      <w:r w:rsidRPr="005E1493">
        <w:rPr>
          <w:rFonts w:ascii="Open Sans" w:hAnsi="Open Sans" w:cs="Arial"/>
          <w:bCs/>
          <w:sz w:val="20"/>
          <w:szCs w:val="20"/>
        </w:rPr>
        <w:t>Informe sobre las políticas fiscales</w:t>
      </w:r>
      <w:r>
        <w:rPr>
          <w:rFonts w:ascii="Open Sans" w:hAnsi="Open Sans" w:cs="Arial"/>
          <w:bCs/>
          <w:sz w:val="20"/>
          <w:szCs w:val="20"/>
        </w:rPr>
        <w:t xml:space="preserve"> seguidas durante el ejercicio </w:t>
      </w:r>
      <w:r w:rsidRPr="005E1493">
        <w:rPr>
          <w:rFonts w:ascii="Open Sans" w:hAnsi="Open Sans" w:cs="Arial"/>
          <w:bCs/>
          <w:sz w:val="20"/>
          <w:szCs w:val="20"/>
        </w:rPr>
        <w:t>(Código d</w:t>
      </w:r>
      <w:r>
        <w:rPr>
          <w:rFonts w:ascii="Open Sans" w:hAnsi="Open Sans" w:cs="Arial"/>
          <w:bCs/>
          <w:sz w:val="20"/>
          <w:szCs w:val="20"/>
        </w:rPr>
        <w:t>e Buenas Prácticas Tributarias) y la propuesta de estrategia y política fiscal.</w:t>
      </w:r>
      <w:r>
        <w:rPr>
          <w:rStyle w:val="Refdenotaalpie"/>
          <w:bCs/>
          <w:szCs w:val="20"/>
        </w:rPr>
        <w:footnoteReference w:id="64"/>
      </w:r>
      <w:r w:rsidRPr="00922FAA">
        <w:rPr>
          <w:rFonts w:eastAsia="Calibri" w:cs="Open Sans"/>
          <w:sz w:val="20"/>
          <w:szCs w:val="20"/>
        </w:rPr>
        <w:t xml:space="preserve"> </w:t>
      </w:r>
      <w:r w:rsidRPr="00922FAA">
        <w:rPr>
          <w:rFonts w:ascii="Open Sans" w:hAnsi="Open Sans" w:cs="Arial"/>
          <w:bCs/>
          <w:sz w:val="20"/>
          <w:szCs w:val="20"/>
        </w:rPr>
        <w:t>REPSOL refleja información concreta sobre las reuniones realizadas por dicha Comisión de Auditoria enumera los temas tratados en cada una de ellas. Desde el objeto de análisis del presente estudio es de destacar que durante el año 2015 esta Comisión abordó diversos temas relacionados con la fiscalidad que incluyen aspectos como las responsabilidades del Consejo, las políticas fiscales de la compañía, la puesta en práctica de códigos de conducta firmados por la empresa en el ámbito fiscal, la gestión de riesgos fiscales, así como, la aplicación de sus compromisos y políticas en los relacionado con la presencia de las empresas del Grupo en paraísos fiscales.</w:t>
      </w:r>
    </w:p>
    <w:p w14:paraId="72CA2F8E" w14:textId="77777777" w:rsidR="002324A0" w:rsidRPr="00922FAA" w:rsidRDefault="002324A0" w:rsidP="007A63BA">
      <w:pPr>
        <w:tabs>
          <w:tab w:val="left" w:pos="709"/>
        </w:tabs>
        <w:jc w:val="both"/>
        <w:rPr>
          <w:rFonts w:ascii="Open Sans" w:hAnsi="Open Sans" w:cs="Arial"/>
          <w:bCs/>
          <w:sz w:val="20"/>
          <w:szCs w:val="20"/>
        </w:rPr>
      </w:pPr>
    </w:p>
    <w:p w14:paraId="06B6F399" w14:textId="77777777" w:rsidR="007A63BA" w:rsidRDefault="007A63BA" w:rsidP="007A63BA">
      <w:pPr>
        <w:jc w:val="both"/>
        <w:rPr>
          <w:rFonts w:ascii="Open Sans" w:hAnsi="Open Sans" w:cs="Arial"/>
          <w:bCs/>
          <w:sz w:val="20"/>
          <w:szCs w:val="20"/>
        </w:rPr>
      </w:pPr>
      <w:r>
        <w:rPr>
          <w:rFonts w:ascii="Open Sans" w:hAnsi="Open Sans" w:cs="Arial"/>
          <w:bCs/>
          <w:sz w:val="20"/>
          <w:szCs w:val="20"/>
        </w:rPr>
        <w:t>REC por su parte informa que durante el ejercicio 2015  la comisión se ha reunido en once ocasiones y entre otros asuntos se ha encargado del a</w:t>
      </w:r>
      <w:r w:rsidRPr="00254C2C">
        <w:rPr>
          <w:rFonts w:ascii="Open Sans" w:hAnsi="Open Sans" w:cs="Arial"/>
          <w:bCs/>
          <w:sz w:val="20"/>
          <w:szCs w:val="20"/>
        </w:rPr>
        <w:t>nálisis del informe sobre la integración de los Riesgos Fiscales en la Política de Gestión Integral de Riesgos y elevación de info</w:t>
      </w:r>
      <w:r>
        <w:rPr>
          <w:rFonts w:ascii="Open Sans" w:hAnsi="Open Sans" w:cs="Arial"/>
          <w:bCs/>
          <w:sz w:val="20"/>
          <w:szCs w:val="20"/>
        </w:rPr>
        <w:t>rme favorable  al Consejo, a</w:t>
      </w:r>
      <w:r w:rsidRPr="00254C2C">
        <w:rPr>
          <w:rFonts w:ascii="Open Sans" w:hAnsi="Open Sans" w:cs="Arial"/>
          <w:bCs/>
          <w:sz w:val="20"/>
          <w:szCs w:val="20"/>
        </w:rPr>
        <w:t>nálisis de las implicaciones fiscales derivadas de la reforma  de la Ley</w:t>
      </w:r>
      <w:r>
        <w:rPr>
          <w:rFonts w:ascii="Open Sans" w:hAnsi="Open Sans" w:cs="Arial"/>
          <w:bCs/>
          <w:sz w:val="20"/>
          <w:szCs w:val="20"/>
        </w:rPr>
        <w:t xml:space="preserve"> de Sociedades de Capital, a</w:t>
      </w:r>
      <w:r w:rsidRPr="00254C2C">
        <w:rPr>
          <w:rFonts w:ascii="Open Sans" w:hAnsi="Open Sans" w:cs="Arial"/>
          <w:bCs/>
          <w:sz w:val="20"/>
          <w:szCs w:val="20"/>
        </w:rPr>
        <w:t>nálisis de la propuesta sobre la estrategia fiscal del Grupo y emisión de informe favorable</w:t>
      </w:r>
      <w:r>
        <w:rPr>
          <w:rFonts w:ascii="Open Sans" w:hAnsi="Open Sans" w:cs="Arial"/>
          <w:bCs/>
          <w:sz w:val="20"/>
          <w:szCs w:val="20"/>
        </w:rPr>
        <w:t xml:space="preserve"> al Consejo y el a</w:t>
      </w:r>
      <w:r w:rsidRPr="00254C2C">
        <w:rPr>
          <w:rFonts w:ascii="Open Sans" w:hAnsi="Open Sans" w:cs="Arial"/>
          <w:bCs/>
          <w:sz w:val="20"/>
          <w:szCs w:val="20"/>
        </w:rPr>
        <w:t>nálisis de la propuesta sobre adhesión al Código de Buenas  Prácticas Fiscales y emisión de informe favorable.</w:t>
      </w:r>
    </w:p>
    <w:p w14:paraId="0828C6E7" w14:textId="77777777" w:rsidR="006B00BA" w:rsidRDefault="006B00BA" w:rsidP="003828F3">
      <w:pPr>
        <w:jc w:val="both"/>
        <w:rPr>
          <w:rFonts w:ascii="Open Sans" w:hAnsi="Open Sans" w:cs="Arial"/>
          <w:b/>
          <w:sz w:val="20"/>
          <w:szCs w:val="20"/>
          <w:lang w:val="es-ES"/>
        </w:rPr>
      </w:pPr>
    </w:p>
    <w:p w14:paraId="6DDFE9C9" w14:textId="77777777" w:rsidR="00B45200" w:rsidRDefault="00B45200" w:rsidP="003828F3">
      <w:pPr>
        <w:jc w:val="both"/>
        <w:rPr>
          <w:rFonts w:ascii="Open Sans" w:hAnsi="Open Sans" w:cs="Arial"/>
          <w:b/>
          <w:sz w:val="20"/>
          <w:szCs w:val="20"/>
          <w:lang w:val="es-ES"/>
        </w:rPr>
      </w:pPr>
    </w:p>
    <w:p w14:paraId="1F633668" w14:textId="77777777" w:rsidR="006B00BA" w:rsidRPr="00310A67" w:rsidRDefault="006B00BA" w:rsidP="003828F3">
      <w:pPr>
        <w:jc w:val="both"/>
        <w:rPr>
          <w:rFonts w:ascii="Open Sans" w:hAnsi="Open Sans" w:cs="Arial"/>
          <w:b/>
          <w:sz w:val="20"/>
          <w:szCs w:val="20"/>
          <w:lang w:val="es-ES"/>
        </w:rPr>
      </w:pPr>
    </w:p>
    <w:p w14:paraId="50E27231" w14:textId="54743207" w:rsidR="00310A67" w:rsidRPr="00ED545D" w:rsidRDefault="00363184" w:rsidP="003828F3">
      <w:pPr>
        <w:jc w:val="both"/>
        <w:rPr>
          <w:rFonts w:ascii="Open Sans" w:hAnsi="Open Sans" w:cs="Arial"/>
          <w:b/>
          <w:sz w:val="22"/>
          <w:szCs w:val="22"/>
          <w:lang w:val="es-ES"/>
        </w:rPr>
      </w:pPr>
      <w:bookmarkStart w:id="30" w:name="PE4"/>
      <w:r>
        <w:rPr>
          <w:rFonts w:ascii="Open Sans" w:hAnsi="Open Sans" w:cs="Arial"/>
          <w:b/>
          <w:sz w:val="22"/>
          <w:szCs w:val="22"/>
          <w:lang w:val="es-ES"/>
        </w:rPr>
        <w:t xml:space="preserve">P.E.4 </w:t>
      </w:r>
      <w:r w:rsidR="00310A67" w:rsidRPr="00ED545D">
        <w:rPr>
          <w:rFonts w:ascii="Open Sans" w:hAnsi="Open Sans" w:cs="Arial"/>
          <w:b/>
          <w:sz w:val="22"/>
          <w:szCs w:val="22"/>
          <w:lang w:val="es-ES"/>
        </w:rPr>
        <w:t>La empresa informa sobre su adhesión a códigos voluntario (de RSC, gobierno corporativo…) que contemple explícitamente aspectos de responsabilidad fiscal</w:t>
      </w:r>
      <w:bookmarkEnd w:id="30"/>
    </w:p>
    <w:p w14:paraId="1A8C3CB4" w14:textId="77777777" w:rsidR="00BF1607" w:rsidRDefault="00BF1607" w:rsidP="003828F3">
      <w:pPr>
        <w:jc w:val="both"/>
        <w:rPr>
          <w:rFonts w:ascii="Open Sans" w:hAnsi="Open Sans" w:cs="Arial"/>
          <w:b/>
          <w:sz w:val="20"/>
          <w:szCs w:val="20"/>
          <w:lang w:val="es-ES"/>
        </w:rPr>
      </w:pPr>
    </w:p>
    <w:p w14:paraId="4FF8D198" w14:textId="1063042D" w:rsidR="008846F4" w:rsidRPr="008846F4" w:rsidRDefault="002324A0" w:rsidP="008846F4">
      <w:pPr>
        <w:jc w:val="both"/>
        <w:rPr>
          <w:rFonts w:ascii="Open Sans" w:hAnsi="Open Sans" w:cs="Open Sans"/>
          <w:color w:val="000000"/>
          <w:sz w:val="20"/>
          <w:szCs w:val="20"/>
        </w:rPr>
      </w:pPr>
      <w:r w:rsidRPr="00A6510E">
        <w:rPr>
          <w:rFonts w:ascii="Open Sans" w:eastAsia="Times New Roman" w:hAnsi="Open Sans" w:cs="Open Sans"/>
          <w:color w:val="000000"/>
          <w:sz w:val="20"/>
          <w:szCs w:val="20"/>
        </w:rPr>
        <w:t>En relación al indicador P.E.4</w:t>
      </w:r>
      <w:r>
        <w:rPr>
          <w:rFonts w:ascii="Open Sans" w:eastAsia="Times New Roman" w:hAnsi="Open Sans" w:cs="Open Sans"/>
          <w:color w:val="000000"/>
          <w:sz w:val="20"/>
          <w:szCs w:val="20"/>
        </w:rPr>
        <w:t xml:space="preserve">, </w:t>
      </w:r>
      <w:r w:rsidR="00724AA5">
        <w:rPr>
          <w:rFonts w:ascii="Open Sans" w:eastAsia="Times New Roman" w:hAnsi="Open Sans" w:cs="Open Sans"/>
          <w:b/>
          <w:color w:val="000000"/>
          <w:sz w:val="20"/>
          <w:szCs w:val="20"/>
        </w:rPr>
        <w:t>22</w:t>
      </w:r>
      <w:r w:rsidRPr="002324A0">
        <w:rPr>
          <w:rFonts w:ascii="Open Sans" w:eastAsia="Times New Roman" w:hAnsi="Open Sans" w:cs="Open Sans"/>
          <w:b/>
          <w:color w:val="000000"/>
          <w:sz w:val="20"/>
          <w:szCs w:val="20"/>
        </w:rPr>
        <w:t xml:space="preserve"> de las </w:t>
      </w:r>
      <w:r w:rsidRPr="002324A0">
        <w:rPr>
          <w:rFonts w:ascii="Open Sans" w:hAnsi="Open Sans" w:cs="Arial"/>
          <w:b/>
          <w:bCs/>
          <w:sz w:val="20"/>
          <w:szCs w:val="20"/>
        </w:rPr>
        <w:t>35 empresas</w:t>
      </w:r>
      <w:r w:rsidRPr="00F31899">
        <w:rPr>
          <w:rFonts w:ascii="Open Sans" w:hAnsi="Open Sans" w:cs="Arial"/>
          <w:bCs/>
          <w:sz w:val="20"/>
          <w:szCs w:val="20"/>
        </w:rPr>
        <w:t xml:space="preserve"> analizadas informan que se han adherido a un código voluntario de buenas prácticas</w:t>
      </w:r>
      <w:r>
        <w:rPr>
          <w:rFonts w:ascii="Open Sans" w:hAnsi="Open Sans" w:cs="Arial"/>
          <w:bCs/>
          <w:sz w:val="20"/>
          <w:szCs w:val="20"/>
        </w:rPr>
        <w:t xml:space="preserve">, lo que supone un </w:t>
      </w:r>
      <w:r w:rsidR="00724AA5">
        <w:rPr>
          <w:rFonts w:ascii="Open Sans" w:hAnsi="Open Sans" w:cs="Arial"/>
          <w:b/>
          <w:bCs/>
          <w:sz w:val="20"/>
          <w:szCs w:val="20"/>
        </w:rPr>
        <w:t>63</w:t>
      </w:r>
      <w:r w:rsidRPr="002324A0">
        <w:rPr>
          <w:rFonts w:ascii="Open Sans" w:hAnsi="Open Sans" w:cs="Arial"/>
          <w:b/>
          <w:bCs/>
          <w:sz w:val="20"/>
          <w:szCs w:val="20"/>
        </w:rPr>
        <w:t>% del total</w:t>
      </w:r>
      <w:r>
        <w:rPr>
          <w:rFonts w:ascii="Open Sans" w:hAnsi="Open Sans" w:cs="Arial"/>
          <w:bCs/>
          <w:sz w:val="20"/>
          <w:szCs w:val="20"/>
        </w:rPr>
        <w:t xml:space="preserve"> de las empresas analizadas</w:t>
      </w:r>
      <w:r w:rsidRPr="00F31899">
        <w:rPr>
          <w:rFonts w:ascii="Open Sans" w:hAnsi="Open Sans" w:cs="Arial"/>
          <w:bCs/>
          <w:sz w:val="20"/>
          <w:szCs w:val="20"/>
        </w:rPr>
        <w:t xml:space="preserve">. En la totalidad de los casos se hace referencia a la adhesión del Código de Buenas Prácticas Tributarias de la Agencia Tributaria. </w:t>
      </w:r>
      <w:r w:rsidR="008846F4" w:rsidRPr="008846F4">
        <w:rPr>
          <w:rFonts w:ascii="Open Sans" w:eastAsia="Times New Roman" w:hAnsi="Open Sans" w:cs="Open Sans"/>
          <w:color w:val="000000"/>
          <w:sz w:val="20"/>
          <w:szCs w:val="20"/>
        </w:rPr>
        <w:t xml:space="preserve">Todas ellas se limitan a informar de su adhesión al Código de Buenas Prácticas Tributarias  impulsado en 2010 por la agencia tributaria española sin hacer en ningún caso referencia a otros códigos voluntarios impulsados desde otras administraciones tributarias o por organismos o instituciones internacionales. </w:t>
      </w:r>
      <w:r w:rsidR="008846F4" w:rsidRPr="008846F4">
        <w:rPr>
          <w:rFonts w:ascii="Open Sans" w:hAnsi="Open Sans" w:cs="Open Sans"/>
          <w:color w:val="000000"/>
          <w:sz w:val="20"/>
          <w:szCs w:val="20"/>
        </w:rPr>
        <w:t xml:space="preserve">En el Código se incluyen algunas cuestiones que afectan a la fiscalidad internacional (paraísos fiscales, precios de transferencia). </w:t>
      </w:r>
      <w:r w:rsidR="008846F4" w:rsidRPr="008846F4">
        <w:rPr>
          <w:rFonts w:ascii="Open Sans" w:eastAsia="Times New Roman" w:hAnsi="Open Sans" w:cs="Open Sans"/>
          <w:color w:val="000000"/>
          <w:sz w:val="20"/>
          <w:szCs w:val="20"/>
        </w:rPr>
        <w:t xml:space="preserve">Pese a la adhesión a este código,  en la mayoría de las empresas no se ha encontrado información sobre medidas empleadas para la puesta en práctica de los códigos (políticas, procedimientos, etc.), y resultados derivados de la aplicación de dichos códigos. En definitiva </w:t>
      </w:r>
      <w:r w:rsidR="008846F4" w:rsidRPr="008846F4">
        <w:rPr>
          <w:rFonts w:ascii="Open Sans" w:hAnsi="Open Sans" w:cs="Open Sans"/>
          <w:sz w:val="20"/>
          <w:szCs w:val="20"/>
        </w:rPr>
        <w:t xml:space="preserve">no se indican los procedimientos que se llevan cabo para evitar las conductas reflejadas en el código. En el mejor de los casos, FERROVIAL por ejemplo, se </w:t>
      </w:r>
      <w:r w:rsidR="008846F4" w:rsidRPr="008846F4">
        <w:rPr>
          <w:rFonts w:ascii="Open Sans" w:hAnsi="Open Sans" w:cs="Open Sans"/>
          <w:color w:val="000000"/>
          <w:sz w:val="20"/>
          <w:szCs w:val="20"/>
        </w:rPr>
        <w:t>enumeran compromisos genéricos y no se indican acciones concretas que permitan valorar su cumplimiento con profundidad.</w:t>
      </w:r>
    </w:p>
    <w:p w14:paraId="178D940E" w14:textId="77777777" w:rsidR="008846F4" w:rsidRPr="008846F4" w:rsidRDefault="008846F4" w:rsidP="008846F4">
      <w:pPr>
        <w:jc w:val="both"/>
        <w:rPr>
          <w:rFonts w:ascii="Open Sans" w:hAnsi="Open Sans" w:cs="Open Sans"/>
          <w:sz w:val="20"/>
          <w:szCs w:val="20"/>
        </w:rPr>
      </w:pPr>
    </w:p>
    <w:p w14:paraId="2D759CC7" w14:textId="77777777" w:rsidR="008846F4" w:rsidRPr="008846F4" w:rsidRDefault="008846F4" w:rsidP="008846F4">
      <w:pPr>
        <w:jc w:val="both"/>
        <w:rPr>
          <w:rFonts w:ascii="Open Sans" w:hAnsi="Open Sans" w:cs="Open Sans"/>
          <w:bCs/>
          <w:sz w:val="20"/>
          <w:szCs w:val="20"/>
        </w:rPr>
      </w:pPr>
      <w:r w:rsidRPr="008846F4">
        <w:rPr>
          <w:rFonts w:ascii="Open Sans" w:hAnsi="Open Sans" w:cs="Open Sans"/>
          <w:bCs/>
          <w:sz w:val="20"/>
          <w:szCs w:val="20"/>
        </w:rPr>
        <w:t xml:space="preserve">Código de Conducta Fiscal del Grupo </w:t>
      </w:r>
      <w:r w:rsidRPr="008846F4">
        <w:rPr>
          <w:rFonts w:ascii="Open Sans" w:hAnsi="Open Sans" w:cs="Open Sans"/>
          <w:b/>
          <w:bCs/>
          <w:sz w:val="20"/>
          <w:szCs w:val="20"/>
        </w:rPr>
        <w:t>FCC</w:t>
      </w:r>
      <w:r w:rsidRPr="008846F4">
        <w:rPr>
          <w:rFonts w:ascii="Open Sans" w:hAnsi="Open Sans" w:cs="Open Sans"/>
          <w:bCs/>
          <w:sz w:val="20"/>
          <w:szCs w:val="20"/>
        </w:rPr>
        <w:t xml:space="preserve"> se dice que participará “activamente en los foros fiscales de aquellas asociaciones empresariales y organizaciones internacionales en los que el Grupo FCC forme parte, de cara a proponer medidas tributarias concretas orientadas a la consecución de un sistema tributario más justo y armonizado, tanto para los intereses del grupo como para los de la sociedad en su conjunto”. No obstante no facilita información sobre su participación en esos espacios.</w:t>
      </w:r>
    </w:p>
    <w:p w14:paraId="140C40E8" w14:textId="77777777" w:rsidR="008846F4" w:rsidRPr="008846F4" w:rsidRDefault="008846F4" w:rsidP="008846F4">
      <w:pPr>
        <w:jc w:val="both"/>
        <w:rPr>
          <w:rFonts w:ascii="Open Sans" w:hAnsi="Open Sans" w:cs="Open Sans"/>
          <w:sz w:val="20"/>
          <w:szCs w:val="20"/>
        </w:rPr>
      </w:pPr>
    </w:p>
    <w:p w14:paraId="3522CA1E" w14:textId="77777777" w:rsidR="008846F4" w:rsidRPr="006022CB" w:rsidRDefault="008846F4" w:rsidP="008846F4">
      <w:pPr>
        <w:jc w:val="both"/>
        <w:rPr>
          <w:rFonts w:ascii="Open Sans" w:hAnsi="Open Sans" w:cs="Open Sans"/>
          <w:sz w:val="20"/>
          <w:szCs w:val="20"/>
        </w:rPr>
      </w:pPr>
      <w:r w:rsidRPr="008846F4">
        <w:rPr>
          <w:rFonts w:ascii="Open Sans" w:hAnsi="Open Sans" w:cs="Open Sans"/>
          <w:sz w:val="20"/>
          <w:szCs w:val="20"/>
        </w:rPr>
        <w:t xml:space="preserve">Hay empresas, como por ejemplo </w:t>
      </w:r>
      <w:r w:rsidRPr="008846F4">
        <w:rPr>
          <w:rFonts w:ascii="Open Sans" w:hAnsi="Open Sans" w:cs="Open Sans"/>
          <w:b/>
          <w:sz w:val="20"/>
          <w:szCs w:val="20"/>
        </w:rPr>
        <w:t>Inditex</w:t>
      </w:r>
      <w:r w:rsidRPr="008846F4">
        <w:rPr>
          <w:rFonts w:ascii="Open Sans" w:hAnsi="Open Sans" w:cs="Open Sans"/>
          <w:sz w:val="20"/>
          <w:szCs w:val="20"/>
        </w:rPr>
        <w:t xml:space="preserve"> que en 2015 han firmado</w:t>
      </w:r>
      <w:r w:rsidRPr="008846F4">
        <w:rPr>
          <w:rStyle w:val="Refdenotaalpie"/>
          <w:rFonts w:ascii="Open Sans" w:hAnsi="Open Sans" w:cs="Open Sans"/>
          <w:sz w:val="20"/>
          <w:szCs w:val="20"/>
        </w:rPr>
        <w:footnoteReference w:id="65"/>
      </w:r>
      <w:r w:rsidRPr="008846F4">
        <w:rPr>
          <w:rFonts w:ascii="Open Sans" w:hAnsi="Open Sans" w:cs="Open Sans"/>
          <w:sz w:val="20"/>
          <w:szCs w:val="20"/>
        </w:rPr>
        <w:t xml:space="preserve"> un anexo a este código por el que se comprometen con Hacienda a detallar su presencia en paraísos fiscales, lo que ganan y lo que tributan en cada país, su estructura de financiación y sus riesgos fiscales a cambio de que la agencia tributaria les informe con antelación de la posibilidad de que abra una inspección y de sus criterios administrativos y jurisprudenciales, además de suavizar los conflictos. Sin embargo también será de manera voluntaria y esta información no será pública, por lo que se desconoce si las empresas firmantes están aportando esta información con el nivel de desglose comprometido.</w:t>
      </w:r>
    </w:p>
    <w:p w14:paraId="12B09F77" w14:textId="77777777" w:rsidR="008846F4" w:rsidRDefault="008846F4" w:rsidP="008846F4">
      <w:pPr>
        <w:jc w:val="both"/>
        <w:rPr>
          <w:rFonts w:ascii="Open Sans" w:hAnsi="Open Sans"/>
          <w:b/>
          <w:sz w:val="22"/>
          <w:szCs w:val="22"/>
        </w:rPr>
      </w:pPr>
    </w:p>
    <w:p w14:paraId="180110BB" w14:textId="77777777" w:rsidR="002324A0" w:rsidRDefault="002324A0" w:rsidP="002324A0">
      <w:pPr>
        <w:jc w:val="both"/>
        <w:rPr>
          <w:rFonts w:ascii="Open Sans" w:hAnsi="Open Sans" w:cs="Arial"/>
          <w:bCs/>
          <w:sz w:val="20"/>
          <w:szCs w:val="20"/>
        </w:rPr>
      </w:pPr>
    </w:p>
    <w:p w14:paraId="7BEBA49B" w14:textId="49A1E4D4" w:rsidR="002324A0" w:rsidRDefault="008846F4" w:rsidP="002324A0">
      <w:pPr>
        <w:jc w:val="both"/>
        <w:rPr>
          <w:rFonts w:ascii="Open Sans" w:hAnsi="Open Sans" w:cs="Arial"/>
          <w:bCs/>
          <w:sz w:val="20"/>
          <w:szCs w:val="20"/>
        </w:rPr>
      </w:pPr>
      <w:r>
        <w:rPr>
          <w:rFonts w:ascii="Open Sans" w:hAnsi="Open Sans" w:cs="Arial"/>
          <w:bCs/>
          <w:sz w:val="20"/>
          <w:szCs w:val="20"/>
        </w:rPr>
        <w:t xml:space="preserve">Es importante señalar que el </w:t>
      </w:r>
      <w:r w:rsidR="002324A0" w:rsidRPr="00F31899">
        <w:rPr>
          <w:rFonts w:ascii="Open Sans" w:hAnsi="Open Sans" w:cs="Arial"/>
          <w:bCs/>
          <w:sz w:val="20"/>
          <w:szCs w:val="20"/>
        </w:rPr>
        <w:t xml:space="preserve"> Código </w:t>
      </w:r>
      <w:r>
        <w:rPr>
          <w:rFonts w:ascii="Open Sans" w:hAnsi="Open Sans" w:cs="Arial"/>
          <w:bCs/>
          <w:sz w:val="20"/>
          <w:szCs w:val="20"/>
        </w:rPr>
        <w:t xml:space="preserve">de Buenas Prácticas Tributarias </w:t>
      </w:r>
      <w:r w:rsidR="002324A0" w:rsidRPr="00F31899">
        <w:rPr>
          <w:rFonts w:ascii="Open Sans" w:hAnsi="Open Sans" w:cs="Arial"/>
          <w:bCs/>
          <w:sz w:val="20"/>
          <w:szCs w:val="20"/>
        </w:rPr>
        <w:t>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offshore, que favorecen la evasión fiscal</w:t>
      </w:r>
      <w:r w:rsidR="002324A0">
        <w:rPr>
          <w:rFonts w:ascii="Open Sans" w:hAnsi="Open Sans" w:cs="Arial"/>
          <w:bCs/>
          <w:sz w:val="20"/>
          <w:szCs w:val="20"/>
        </w:rPr>
        <w:t xml:space="preserve">. </w:t>
      </w:r>
    </w:p>
    <w:p w14:paraId="76651BB3" w14:textId="77777777" w:rsidR="002324A0" w:rsidRDefault="002324A0" w:rsidP="002324A0">
      <w:pPr>
        <w:jc w:val="both"/>
        <w:rPr>
          <w:rFonts w:ascii="Open Sans" w:hAnsi="Open Sans" w:cs="Arial"/>
          <w:bCs/>
          <w:sz w:val="20"/>
          <w:szCs w:val="20"/>
        </w:rPr>
      </w:pPr>
    </w:p>
    <w:p w14:paraId="1FE48C21" w14:textId="63BD7F63" w:rsidR="002324A0" w:rsidRDefault="002324A0" w:rsidP="002324A0">
      <w:pPr>
        <w:jc w:val="both"/>
        <w:rPr>
          <w:rFonts w:ascii="Open Sans" w:hAnsi="Open Sans" w:cs="Arial"/>
          <w:bCs/>
          <w:sz w:val="20"/>
          <w:szCs w:val="20"/>
        </w:rPr>
      </w:pPr>
      <w:r>
        <w:rPr>
          <w:rFonts w:ascii="Open Sans" w:hAnsi="Open Sans" w:cs="Arial"/>
          <w:bCs/>
          <w:sz w:val="20"/>
          <w:szCs w:val="20"/>
        </w:rPr>
        <w:t>No obstante y pese a valorar positivamente la suscripción de este código por parte de un número importante de empresas, a tenor de la información que ha sido analizada y expuesta hasta el momento, no puede concluirse que la adhesión y firma del código se haya visto reflejada, de manera generalizada</w:t>
      </w:r>
      <w:r w:rsidR="00724AA5">
        <w:rPr>
          <w:rFonts w:ascii="Open Sans" w:hAnsi="Open Sans" w:cs="Arial"/>
          <w:bCs/>
          <w:sz w:val="20"/>
          <w:szCs w:val="20"/>
        </w:rPr>
        <w:t>,</w:t>
      </w:r>
      <w:r>
        <w:rPr>
          <w:rFonts w:ascii="Open Sans" w:hAnsi="Open Sans" w:cs="Arial"/>
          <w:bCs/>
          <w:sz w:val="20"/>
          <w:szCs w:val="20"/>
        </w:rPr>
        <w:t xml:space="preserve"> en la implementación de medidas sujetas a una política fiscal responsable, puesto que la información que pudiera dar cuenta de ello es exigua en lo concreto y redundante en la dimensión declaratoria. </w:t>
      </w:r>
    </w:p>
    <w:p w14:paraId="49FE7674" w14:textId="77777777" w:rsidR="002324A0" w:rsidRDefault="002324A0" w:rsidP="002324A0">
      <w:pPr>
        <w:jc w:val="both"/>
        <w:rPr>
          <w:rFonts w:ascii="Open Sans" w:hAnsi="Open Sans" w:cs="Arial"/>
          <w:bCs/>
          <w:sz w:val="20"/>
          <w:szCs w:val="20"/>
        </w:rPr>
      </w:pPr>
    </w:p>
    <w:p w14:paraId="6330AD07" w14:textId="1DE08942" w:rsidR="002324A0" w:rsidRPr="00DA2FD8" w:rsidRDefault="002324A0" w:rsidP="002324A0">
      <w:pPr>
        <w:jc w:val="both"/>
        <w:rPr>
          <w:rFonts w:ascii="Open Sans" w:hAnsi="Open Sans" w:cs="Arial"/>
          <w:bCs/>
          <w:color w:val="FF0000"/>
          <w:sz w:val="20"/>
          <w:szCs w:val="20"/>
        </w:rPr>
      </w:pPr>
      <w:r>
        <w:rPr>
          <w:rFonts w:ascii="Open Sans" w:hAnsi="Open Sans" w:cs="Arial"/>
          <w:bCs/>
          <w:sz w:val="20"/>
          <w:szCs w:val="20"/>
        </w:rPr>
        <w:t>Ninguna empresa r</w:t>
      </w:r>
      <w:r w:rsidRPr="00F31899">
        <w:rPr>
          <w:rFonts w:ascii="Open Sans" w:hAnsi="Open Sans" w:cs="Arial"/>
          <w:bCs/>
          <w:sz w:val="20"/>
          <w:szCs w:val="20"/>
        </w:rPr>
        <w:t>inde cuentas de las acciones emprendidas para cumplir con el código</w:t>
      </w:r>
      <w:r>
        <w:rPr>
          <w:rFonts w:ascii="Open Sans" w:hAnsi="Open Sans" w:cs="Arial"/>
          <w:bCs/>
          <w:sz w:val="20"/>
          <w:szCs w:val="20"/>
        </w:rPr>
        <w:t xml:space="preserve"> y detalla</w:t>
      </w:r>
      <w:r w:rsidRPr="00F31899">
        <w:rPr>
          <w:rFonts w:ascii="Open Sans" w:hAnsi="Open Sans" w:cs="Arial"/>
          <w:bCs/>
          <w:sz w:val="20"/>
          <w:szCs w:val="20"/>
        </w:rPr>
        <w:t xml:space="preserve"> mecanismos y procedimientos específicos que estén alineados con el cumplimiento</w:t>
      </w:r>
      <w:r>
        <w:rPr>
          <w:rFonts w:ascii="Open Sans" w:hAnsi="Open Sans" w:cs="Arial"/>
          <w:bCs/>
          <w:sz w:val="20"/>
          <w:szCs w:val="20"/>
        </w:rPr>
        <w:t xml:space="preserve"> de lo establecido en el código y</w:t>
      </w:r>
      <w:r w:rsidRPr="00F31899">
        <w:rPr>
          <w:rFonts w:ascii="Open Sans" w:hAnsi="Open Sans" w:cs="Arial"/>
          <w:bCs/>
          <w:sz w:val="20"/>
          <w:szCs w:val="20"/>
        </w:rPr>
        <w:t xml:space="preserve"> enumera conflictos de interés en la implementación del código y acciones emprendidas.</w:t>
      </w:r>
    </w:p>
    <w:p w14:paraId="00D09376" w14:textId="77777777" w:rsidR="00ED545D" w:rsidRDefault="00ED545D" w:rsidP="003828F3">
      <w:pPr>
        <w:jc w:val="both"/>
        <w:rPr>
          <w:rFonts w:ascii="Open Sans" w:hAnsi="Open Sans" w:cs="Arial"/>
          <w:b/>
          <w:sz w:val="20"/>
          <w:szCs w:val="20"/>
          <w:lang w:val="es-ES"/>
        </w:rPr>
      </w:pPr>
    </w:p>
    <w:p w14:paraId="00B24A8E" w14:textId="77777777" w:rsidR="002324A0" w:rsidRDefault="002324A0" w:rsidP="003828F3">
      <w:pPr>
        <w:jc w:val="both"/>
        <w:rPr>
          <w:rFonts w:ascii="Open Sans" w:hAnsi="Open Sans" w:cs="Arial"/>
          <w:b/>
          <w:sz w:val="20"/>
          <w:szCs w:val="20"/>
          <w:lang w:val="es-ES"/>
        </w:rPr>
      </w:pPr>
    </w:p>
    <w:p w14:paraId="52E2D5CB" w14:textId="77777777" w:rsidR="002324A0" w:rsidRPr="00310A67" w:rsidRDefault="002324A0" w:rsidP="003828F3">
      <w:pPr>
        <w:jc w:val="both"/>
        <w:rPr>
          <w:rFonts w:ascii="Open Sans" w:hAnsi="Open Sans" w:cs="Arial"/>
          <w:b/>
          <w:sz w:val="20"/>
          <w:szCs w:val="20"/>
          <w:lang w:val="es-ES"/>
        </w:rPr>
      </w:pPr>
    </w:p>
    <w:p w14:paraId="1A43A6F5" w14:textId="1E1FEB69" w:rsidR="00310A67" w:rsidRPr="00ED545D" w:rsidRDefault="00363184" w:rsidP="003828F3">
      <w:pPr>
        <w:jc w:val="both"/>
        <w:rPr>
          <w:rFonts w:ascii="Open Sans" w:hAnsi="Open Sans" w:cs="Arial"/>
          <w:b/>
          <w:sz w:val="22"/>
          <w:szCs w:val="22"/>
          <w:lang w:val="es-ES"/>
        </w:rPr>
      </w:pPr>
      <w:bookmarkStart w:id="31" w:name="PE5"/>
      <w:r>
        <w:rPr>
          <w:rFonts w:ascii="Open Sans" w:hAnsi="Open Sans" w:cs="Arial"/>
          <w:b/>
          <w:sz w:val="22"/>
          <w:szCs w:val="22"/>
          <w:lang w:val="es-ES"/>
        </w:rPr>
        <w:t xml:space="preserve">P.E.5 </w:t>
      </w:r>
      <w:r w:rsidR="00310A67" w:rsidRPr="00ED545D">
        <w:rPr>
          <w:rFonts w:ascii="Open Sans" w:hAnsi="Open Sans" w:cs="Arial"/>
          <w:b/>
          <w:sz w:val="22"/>
          <w:szCs w:val="22"/>
          <w:lang w:val="es-ES"/>
        </w:rPr>
        <w:t>La empresa detalla su estructura societaria, incluyendo el nombre de las sociedades, su localización y el porcentaje de participación (posiciones superiores al 5% del capital)</w:t>
      </w:r>
      <w:bookmarkEnd w:id="31"/>
    </w:p>
    <w:p w14:paraId="08126B82" w14:textId="77777777" w:rsidR="00E0117D" w:rsidRDefault="00E0117D" w:rsidP="00AD7D8E">
      <w:pPr>
        <w:rPr>
          <w:rFonts w:ascii="Open Sans" w:hAnsi="Open Sans" w:cs="Arial"/>
          <w:b/>
          <w:sz w:val="20"/>
          <w:szCs w:val="20"/>
          <w:lang w:val="es-ES"/>
        </w:rPr>
      </w:pPr>
    </w:p>
    <w:p w14:paraId="68C6E41C" w14:textId="651E51B0" w:rsidR="002324A0" w:rsidRDefault="002324A0" w:rsidP="002324A0">
      <w:pPr>
        <w:jc w:val="both"/>
        <w:rPr>
          <w:rFonts w:ascii="Open Sans" w:hAnsi="Open Sans" w:cs="Arial"/>
          <w:bCs/>
          <w:sz w:val="20"/>
          <w:szCs w:val="20"/>
        </w:rPr>
      </w:pPr>
      <w:r w:rsidRPr="00F31899">
        <w:rPr>
          <w:rFonts w:ascii="Open Sans" w:eastAsia="Times New Roman" w:hAnsi="Open Sans" w:cs="Open Sans"/>
          <w:color w:val="000000"/>
          <w:sz w:val="20"/>
          <w:szCs w:val="20"/>
        </w:rPr>
        <w:t>En relación al indicador P.E.5·</w:t>
      </w:r>
      <w:r>
        <w:rPr>
          <w:rFonts w:ascii="Open Sans" w:eastAsia="Times New Roman" w:hAnsi="Open Sans" w:cs="Open Sans"/>
          <w:color w:val="000000"/>
          <w:sz w:val="20"/>
          <w:szCs w:val="20"/>
        </w:rPr>
        <w:t xml:space="preserve">, </w:t>
      </w:r>
      <w:r w:rsidR="0002036C">
        <w:rPr>
          <w:rFonts w:ascii="Open Sans" w:eastAsia="Times New Roman" w:hAnsi="Open Sans" w:cs="Open Sans"/>
          <w:b/>
          <w:color w:val="000000"/>
          <w:sz w:val="20"/>
          <w:szCs w:val="20"/>
        </w:rPr>
        <w:t>9</w:t>
      </w:r>
      <w:r w:rsidRPr="002324A0">
        <w:rPr>
          <w:rFonts w:ascii="Open Sans" w:eastAsia="Times New Roman" w:hAnsi="Open Sans" w:cs="Open Sans"/>
          <w:b/>
          <w:color w:val="000000"/>
          <w:sz w:val="20"/>
          <w:szCs w:val="20"/>
        </w:rPr>
        <w:t xml:space="preserve"> de las </w:t>
      </w:r>
      <w:r w:rsidRPr="002324A0">
        <w:rPr>
          <w:rFonts w:ascii="Open Sans" w:hAnsi="Open Sans" w:cs="Arial"/>
          <w:b/>
          <w:bCs/>
          <w:sz w:val="20"/>
          <w:szCs w:val="20"/>
        </w:rPr>
        <w:t>35 empresas</w:t>
      </w:r>
      <w:r w:rsidRPr="00F31899">
        <w:rPr>
          <w:rFonts w:ascii="Open Sans" w:hAnsi="Open Sans" w:cs="Arial"/>
          <w:bCs/>
          <w:sz w:val="20"/>
          <w:szCs w:val="20"/>
        </w:rPr>
        <w:t xml:space="preserve"> analizadas informan </w:t>
      </w:r>
      <w:r>
        <w:rPr>
          <w:rFonts w:ascii="Open Sans" w:hAnsi="Open Sans" w:cs="Arial"/>
          <w:bCs/>
          <w:sz w:val="20"/>
          <w:szCs w:val="20"/>
        </w:rPr>
        <w:t xml:space="preserve">de la estructura </w:t>
      </w:r>
      <w:r w:rsidR="007F55EB">
        <w:rPr>
          <w:rFonts w:ascii="Open Sans" w:hAnsi="Open Sans" w:cs="Arial"/>
          <w:bCs/>
          <w:sz w:val="20"/>
          <w:szCs w:val="20"/>
        </w:rPr>
        <w:t>societaria,</w:t>
      </w:r>
      <w:r w:rsidR="0002036C">
        <w:rPr>
          <w:rFonts w:ascii="Open Sans" w:hAnsi="Open Sans" w:cs="Arial"/>
          <w:bCs/>
          <w:sz w:val="20"/>
          <w:szCs w:val="20"/>
        </w:rPr>
        <w:t xml:space="preserve"> lo que representa un 26% del total</w:t>
      </w:r>
      <w:r w:rsidRPr="00F31899">
        <w:rPr>
          <w:rFonts w:ascii="Open Sans" w:hAnsi="Open Sans" w:cs="Arial"/>
          <w:bCs/>
          <w:sz w:val="20"/>
          <w:szCs w:val="20"/>
        </w:rPr>
        <w:t>.</w:t>
      </w:r>
      <w:r>
        <w:rPr>
          <w:rFonts w:ascii="Open Sans" w:hAnsi="Open Sans" w:cs="Arial"/>
          <w:bCs/>
          <w:sz w:val="20"/>
          <w:szCs w:val="20"/>
        </w:rPr>
        <w:t xml:space="preserve"> </w:t>
      </w:r>
    </w:p>
    <w:p w14:paraId="2EDFA0A0" w14:textId="77777777" w:rsidR="002324A0" w:rsidRDefault="002324A0" w:rsidP="002324A0">
      <w:pPr>
        <w:jc w:val="both"/>
        <w:rPr>
          <w:rFonts w:ascii="Open Sans" w:hAnsi="Open Sans" w:cs="Arial"/>
          <w:bCs/>
          <w:sz w:val="20"/>
          <w:szCs w:val="20"/>
        </w:rPr>
      </w:pPr>
    </w:p>
    <w:p w14:paraId="3AA051F5" w14:textId="5B9F51D3" w:rsidR="002324A0" w:rsidRDefault="002324A0" w:rsidP="002324A0">
      <w:pPr>
        <w:jc w:val="both"/>
        <w:rPr>
          <w:rFonts w:ascii="Open Sans" w:hAnsi="Open Sans" w:cs="Open Sans"/>
          <w:sz w:val="20"/>
          <w:szCs w:val="20"/>
        </w:rPr>
      </w:pPr>
      <w:r>
        <w:rPr>
          <w:rFonts w:ascii="Open Sans" w:hAnsi="Open Sans" w:cs="Arial"/>
          <w:bCs/>
          <w:sz w:val="20"/>
          <w:szCs w:val="20"/>
        </w:rPr>
        <w:t xml:space="preserve">Normalmente </w:t>
      </w:r>
      <w:r w:rsidRPr="00B45200">
        <w:rPr>
          <w:rFonts w:ascii="Open Sans" w:hAnsi="Open Sans" w:cs="Arial"/>
          <w:b/>
          <w:bCs/>
          <w:sz w:val="20"/>
          <w:szCs w:val="20"/>
        </w:rPr>
        <w:t>la información se limita al anexo de cuentas anuales en el que se detalla el listado de sociedades dependientes,</w:t>
      </w:r>
      <w:r w:rsidR="00724AA5" w:rsidRPr="00B45200">
        <w:rPr>
          <w:rFonts w:ascii="Open Sans" w:hAnsi="Open Sans" w:cs="Arial"/>
          <w:b/>
          <w:bCs/>
          <w:sz w:val="20"/>
          <w:szCs w:val="20"/>
        </w:rPr>
        <w:t xml:space="preserve"> sin mencionar en 2</w:t>
      </w:r>
      <w:r w:rsidR="0002036C" w:rsidRPr="00B45200">
        <w:rPr>
          <w:rFonts w:ascii="Open Sans" w:hAnsi="Open Sans" w:cs="Arial"/>
          <w:b/>
          <w:bCs/>
          <w:sz w:val="20"/>
          <w:szCs w:val="20"/>
        </w:rPr>
        <w:t>6</w:t>
      </w:r>
      <w:r w:rsidRPr="00B45200">
        <w:rPr>
          <w:rFonts w:ascii="Open Sans" w:hAnsi="Open Sans" w:cs="Arial"/>
          <w:b/>
          <w:bCs/>
          <w:sz w:val="20"/>
          <w:szCs w:val="20"/>
        </w:rPr>
        <w:t xml:space="preserve"> de las 35 empresas a través de qué sociedades participa </w:t>
      </w:r>
      <w:r w:rsidR="00724AA5" w:rsidRPr="00B45200">
        <w:rPr>
          <w:rFonts w:ascii="Open Sans" w:hAnsi="Open Sans" w:cs="Arial"/>
          <w:b/>
          <w:bCs/>
          <w:sz w:val="20"/>
          <w:szCs w:val="20"/>
        </w:rPr>
        <w:t xml:space="preserve">la matriz </w:t>
      </w:r>
      <w:r w:rsidRPr="00B45200">
        <w:rPr>
          <w:rFonts w:ascii="Open Sans" w:hAnsi="Open Sans" w:cs="Arial"/>
          <w:b/>
          <w:bCs/>
          <w:sz w:val="20"/>
          <w:szCs w:val="20"/>
        </w:rPr>
        <w:t xml:space="preserve">cuando la participación es </w:t>
      </w:r>
      <w:r w:rsidR="00724AA5" w:rsidRPr="00B45200">
        <w:rPr>
          <w:rFonts w:ascii="Open Sans" w:hAnsi="Open Sans" w:cs="Arial"/>
          <w:b/>
          <w:bCs/>
          <w:sz w:val="20"/>
          <w:szCs w:val="20"/>
        </w:rPr>
        <w:t xml:space="preserve">de tipo </w:t>
      </w:r>
      <w:r w:rsidRPr="00B45200">
        <w:rPr>
          <w:rFonts w:ascii="Open Sans" w:hAnsi="Open Sans" w:cs="Arial"/>
          <w:b/>
          <w:bCs/>
          <w:sz w:val="20"/>
          <w:szCs w:val="20"/>
        </w:rPr>
        <w:t>indirecta.</w:t>
      </w:r>
      <w:r>
        <w:rPr>
          <w:rFonts w:ascii="Open Sans" w:hAnsi="Open Sans" w:cs="Arial"/>
          <w:bCs/>
          <w:sz w:val="20"/>
          <w:szCs w:val="20"/>
        </w:rPr>
        <w:t xml:space="preserve"> Por lo general en </w:t>
      </w:r>
      <w:r w:rsidRPr="005A6A00">
        <w:rPr>
          <w:rFonts w:ascii="Open Sans" w:hAnsi="Open Sans" w:cs="Arial"/>
          <w:bCs/>
          <w:sz w:val="20"/>
          <w:szCs w:val="20"/>
        </w:rPr>
        <w:t xml:space="preserve">las Cuentas Anuales Consolidadas figura una lista con las sociedades que pertenecen al grupo, aportando información sobre el país de domicilio, la actividad, y el porcentaje de participación </w:t>
      </w:r>
      <w:r>
        <w:rPr>
          <w:rFonts w:ascii="Open Sans" w:hAnsi="Open Sans" w:cs="Arial"/>
          <w:bCs/>
          <w:sz w:val="20"/>
          <w:szCs w:val="20"/>
        </w:rPr>
        <w:t>en cada una</w:t>
      </w:r>
      <w:r w:rsidRPr="005A6A00">
        <w:rPr>
          <w:rFonts w:ascii="Open Sans" w:hAnsi="Open Sans" w:cs="Arial"/>
          <w:bCs/>
          <w:sz w:val="20"/>
          <w:szCs w:val="20"/>
        </w:rPr>
        <w:t xml:space="preserve"> en ellas. Esta información permite saber si la participación de </w:t>
      </w:r>
      <w:r>
        <w:rPr>
          <w:rFonts w:ascii="Open Sans" w:hAnsi="Open Sans" w:cs="Arial"/>
          <w:bCs/>
          <w:sz w:val="20"/>
          <w:szCs w:val="20"/>
        </w:rPr>
        <w:t>las empresas</w:t>
      </w:r>
      <w:r w:rsidRPr="005A6A00">
        <w:rPr>
          <w:rFonts w:ascii="Open Sans" w:hAnsi="Open Sans" w:cs="Arial"/>
          <w:bCs/>
          <w:sz w:val="20"/>
          <w:szCs w:val="20"/>
        </w:rPr>
        <w:t xml:space="preserve"> en las sociedades del grupo es mayoritaria o no, pero no permite obtener una imagen de la estructura societaria de </w:t>
      </w:r>
      <w:r>
        <w:rPr>
          <w:rFonts w:ascii="Open Sans" w:hAnsi="Open Sans" w:cs="Arial"/>
          <w:bCs/>
          <w:sz w:val="20"/>
          <w:szCs w:val="20"/>
        </w:rPr>
        <w:t xml:space="preserve">las empresas analizadas. </w:t>
      </w:r>
    </w:p>
    <w:p w14:paraId="27135D7C" w14:textId="77777777" w:rsidR="002324A0" w:rsidRDefault="002324A0" w:rsidP="002324A0">
      <w:pPr>
        <w:jc w:val="both"/>
        <w:rPr>
          <w:rFonts w:ascii="Open Sans" w:hAnsi="Open Sans" w:cs="Open Sans"/>
          <w:sz w:val="20"/>
          <w:szCs w:val="20"/>
        </w:rPr>
      </w:pPr>
    </w:p>
    <w:p w14:paraId="22A04852" w14:textId="3374E8CA" w:rsidR="002324A0" w:rsidRDefault="002324A0" w:rsidP="002324A0">
      <w:pPr>
        <w:jc w:val="both"/>
        <w:rPr>
          <w:rFonts w:ascii="Open Sans" w:hAnsi="Open Sans" w:cs="Arial"/>
          <w:bCs/>
          <w:sz w:val="20"/>
          <w:szCs w:val="20"/>
        </w:rPr>
      </w:pPr>
      <w:r>
        <w:rPr>
          <w:rFonts w:ascii="Open Sans" w:hAnsi="Open Sans" w:cs="Open Sans"/>
          <w:sz w:val="20"/>
          <w:szCs w:val="20"/>
        </w:rPr>
        <w:t xml:space="preserve">Sería deseable que se  informase de la estructura societaria con el cruce entre participadas para poder conocer a través de qué empresas mantienen la participación sobre el resto de entidades dependientes. Por ejemplo BBVA </w:t>
      </w:r>
      <w:r w:rsidRPr="00E17C64">
        <w:rPr>
          <w:rFonts w:ascii="Open Sans" w:hAnsi="Open Sans"/>
          <w:sz w:val="20"/>
          <w:szCs w:val="20"/>
        </w:rPr>
        <w:t>no ofrece información sobre la vinculación que las empresas del grupo mantienen entre sí</w:t>
      </w:r>
      <w:r>
        <w:rPr>
          <w:rFonts w:ascii="Open Sans" w:hAnsi="Open Sans"/>
          <w:sz w:val="20"/>
          <w:szCs w:val="20"/>
        </w:rPr>
        <w:t xml:space="preserve">. Por otras fuentes se ha identificado que </w:t>
      </w:r>
      <w:r w:rsidRPr="00E17C64">
        <w:rPr>
          <w:rFonts w:ascii="Open Sans" w:hAnsi="Open Sans" w:cs="Arial"/>
          <w:bCs/>
          <w:sz w:val="20"/>
          <w:szCs w:val="20"/>
        </w:rPr>
        <w:t>BBVA Luxinvest domiciliada en Luxemburgo, es la sociedad que posee las acciones de BBVA en Suiza, Lince Netherlands B.V. es la propietaria de Banco Provincial Overseas, N.V.,</w:t>
      </w:r>
      <w:r>
        <w:rPr>
          <w:rFonts w:ascii="Open Sans" w:hAnsi="Open Sans" w:cs="Arial"/>
          <w:bCs/>
          <w:sz w:val="20"/>
          <w:szCs w:val="20"/>
        </w:rPr>
        <w:t xml:space="preserve"> de Banco Provincial S.A.- Curaç</w:t>
      </w:r>
      <w:r w:rsidRPr="00E17C64">
        <w:rPr>
          <w:rFonts w:ascii="Open Sans" w:hAnsi="Open Sans" w:cs="Arial"/>
          <w:bCs/>
          <w:sz w:val="20"/>
          <w:szCs w:val="20"/>
        </w:rPr>
        <w:t>ao Branch y de Banco Provincial, S.A.-Banco Universal de Venezuela.</w:t>
      </w:r>
    </w:p>
    <w:p w14:paraId="7A033838" w14:textId="77777777" w:rsidR="002324A0" w:rsidRDefault="002324A0" w:rsidP="002324A0">
      <w:pPr>
        <w:jc w:val="both"/>
        <w:rPr>
          <w:rFonts w:ascii="Open Sans" w:hAnsi="Open Sans" w:cs="Arial"/>
          <w:bCs/>
          <w:sz w:val="20"/>
          <w:szCs w:val="20"/>
        </w:rPr>
      </w:pPr>
    </w:p>
    <w:p w14:paraId="6890B2A7" w14:textId="35046E21" w:rsidR="002324A0" w:rsidRDefault="002324A0" w:rsidP="002324A0">
      <w:pPr>
        <w:jc w:val="both"/>
        <w:rPr>
          <w:rFonts w:ascii="Open Sans" w:hAnsi="Open Sans" w:cs="Arial"/>
          <w:bCs/>
          <w:sz w:val="20"/>
          <w:szCs w:val="20"/>
        </w:rPr>
      </w:pPr>
      <w:r>
        <w:rPr>
          <w:rFonts w:ascii="Open Sans" w:hAnsi="Open Sans" w:cs="Arial"/>
          <w:bCs/>
          <w:sz w:val="20"/>
          <w:szCs w:val="20"/>
        </w:rPr>
        <w:t xml:space="preserve">Hay empresas que tienen estructuras societarias muy complejas. Por poner algunos ejemplos, </w:t>
      </w:r>
      <w:r w:rsidRPr="00B45200">
        <w:rPr>
          <w:rFonts w:ascii="Open Sans" w:hAnsi="Open Sans" w:cs="Arial"/>
          <w:bCs/>
          <w:sz w:val="20"/>
          <w:szCs w:val="20"/>
        </w:rPr>
        <w:t xml:space="preserve">el Grupo ACS está </w:t>
      </w:r>
      <w:r w:rsidR="00724AA5" w:rsidRPr="00B45200">
        <w:rPr>
          <w:rFonts w:ascii="Open Sans" w:hAnsi="Open Sans" w:cs="Open Sans"/>
          <w:sz w:val="20"/>
          <w:szCs w:val="20"/>
        </w:rPr>
        <w:t>confo</w:t>
      </w:r>
      <w:r w:rsidRPr="00B45200">
        <w:rPr>
          <w:rFonts w:ascii="Open Sans" w:hAnsi="Open Sans" w:cs="Open Sans"/>
          <w:sz w:val="20"/>
          <w:szCs w:val="20"/>
        </w:rPr>
        <w:t xml:space="preserve">rmado por más de 1.250 sociedades entre dependientes, asociadas y Unión Temporal de Empresas. El Santander tiene cerca de 350 sociedades dependientes, o BBVA con más de 400 sociedades, el grupo Acciona </w:t>
      </w:r>
      <w:r w:rsidRPr="00B45200">
        <w:rPr>
          <w:rFonts w:ascii="Open Sans" w:eastAsia="Calibri" w:hAnsi="Open Sans" w:cs="Open Sans"/>
          <w:sz w:val="20"/>
          <w:szCs w:val="20"/>
        </w:rPr>
        <w:t xml:space="preserve">está confirmado por más de 700 sociedades entre dependientes, multigrupo y puestas en equivalencia. El grupo Inditex está compuesto por 365 empresas </w:t>
      </w:r>
      <w:r w:rsidRPr="00B45200">
        <w:rPr>
          <w:rFonts w:ascii="Open Sans" w:hAnsi="Open Sans" w:cs="Arial"/>
          <w:bCs/>
          <w:sz w:val="20"/>
          <w:szCs w:val="20"/>
        </w:rPr>
        <w:t xml:space="preserve">dependientes </w:t>
      </w:r>
      <w:r>
        <w:rPr>
          <w:rFonts w:ascii="Open Sans" w:hAnsi="Open Sans" w:cs="Arial"/>
          <w:bCs/>
          <w:sz w:val="20"/>
          <w:szCs w:val="20"/>
        </w:rPr>
        <w:t xml:space="preserve">y que </w:t>
      </w:r>
      <w:r w:rsidRPr="0023064D">
        <w:rPr>
          <w:rFonts w:ascii="Open Sans" w:hAnsi="Open Sans" w:cs="Arial"/>
          <w:bCs/>
          <w:sz w:val="20"/>
          <w:szCs w:val="20"/>
        </w:rPr>
        <w:t>participa en el 50% del grupo formado por la sociedad ma</w:t>
      </w:r>
      <w:r>
        <w:rPr>
          <w:rFonts w:ascii="Open Sans" w:hAnsi="Open Sans" w:cs="Arial"/>
          <w:bCs/>
          <w:sz w:val="20"/>
          <w:szCs w:val="20"/>
        </w:rPr>
        <w:t>triz Tempe, S.A. y sus filiales.</w:t>
      </w:r>
    </w:p>
    <w:p w14:paraId="1222A9AE" w14:textId="77777777" w:rsidR="002324A0" w:rsidRDefault="002324A0" w:rsidP="002324A0">
      <w:pPr>
        <w:jc w:val="both"/>
        <w:rPr>
          <w:rFonts w:ascii="Open Sans" w:eastAsia="Calibri" w:hAnsi="Open Sans" w:cs="Open Sans"/>
          <w:sz w:val="20"/>
          <w:szCs w:val="20"/>
        </w:rPr>
      </w:pPr>
    </w:p>
    <w:p w14:paraId="5ADFAA55" w14:textId="2A97BEE1" w:rsidR="002324A0" w:rsidRPr="009D34FE" w:rsidRDefault="002324A0" w:rsidP="002324A0">
      <w:pPr>
        <w:jc w:val="both"/>
        <w:rPr>
          <w:rFonts w:ascii="Open Sans" w:hAnsi="Open Sans" w:cs="Open Sans"/>
          <w:sz w:val="20"/>
          <w:szCs w:val="20"/>
        </w:rPr>
      </w:pPr>
      <w:r>
        <w:rPr>
          <w:rFonts w:ascii="Open Sans" w:eastAsia="Calibri" w:hAnsi="Open Sans" w:cs="Open Sans"/>
          <w:sz w:val="20"/>
          <w:szCs w:val="20"/>
        </w:rPr>
        <w:t xml:space="preserve">Por otro lado </w:t>
      </w:r>
      <w:r w:rsidRPr="00B45200">
        <w:rPr>
          <w:rFonts w:ascii="Open Sans" w:eastAsia="Calibri" w:hAnsi="Open Sans" w:cs="Open Sans"/>
          <w:sz w:val="20"/>
          <w:szCs w:val="20"/>
        </w:rPr>
        <w:t>no se presenta información detallada de las actividades realizadas por las empresas del Grupo.</w:t>
      </w:r>
      <w:r>
        <w:rPr>
          <w:rFonts w:ascii="Open Sans" w:eastAsia="Calibri" w:hAnsi="Open Sans" w:cs="Open Sans"/>
          <w:sz w:val="20"/>
          <w:szCs w:val="20"/>
        </w:rPr>
        <w:t xml:space="preserve"> Por ejemplo</w:t>
      </w:r>
      <w:r w:rsidR="006B00BA">
        <w:rPr>
          <w:rFonts w:ascii="Open Sans" w:eastAsia="Calibri" w:hAnsi="Open Sans" w:cs="Open Sans"/>
          <w:sz w:val="20"/>
          <w:szCs w:val="20"/>
        </w:rPr>
        <w:t>,</w:t>
      </w:r>
      <w:r>
        <w:rPr>
          <w:rFonts w:ascii="Open Sans" w:eastAsia="Calibri" w:hAnsi="Open Sans" w:cs="Open Sans"/>
          <w:sz w:val="20"/>
          <w:szCs w:val="20"/>
        </w:rPr>
        <w:t xml:space="preserve"> la empresa </w:t>
      </w:r>
      <w:r w:rsidRPr="009D34FE">
        <w:rPr>
          <w:rFonts w:ascii="Open Sans" w:hAnsi="Open Sans" w:cs="Open Sans"/>
          <w:sz w:val="20"/>
          <w:szCs w:val="20"/>
        </w:rPr>
        <w:t xml:space="preserve">ACS, según viene recogido en su web corporativa, en el apartado “presencia internacional”, opera o tiene presencia en los siguientes países: Alemania, Angola, Arabia Saudita, Argelia, Argentina,  Australia, Austria, Bélgica, Bolivia, Brasil, Bulgaria, Camerún, Canadá, Chile, China, Colombia, Costa Rica, Ecuador, Egipto, El Salvador, Emiratos Árabes Unidos, España, Estados Unidos, Filipinas, Francia, Georgia, Grecia, Guatemala, Honduras, India, Indonesia, Irlanda, Italia, Japón, Luxemburgo, Malasia, Marruecos, México, Mongolia, Nicaragua, Noruega, Nueva Zelanda, Países Bajos, Panamá, Perú, Polonia, Portugal, Puerto Rico, Qatar, Reino Unido, Rep. Dominicana, República Checa, Rumanía, Rusia, Singapur,  Sudáfrica, Suecia, Turquía, Venezuela, Vietnam. Además de en estos países identificados a través de su página web, </w:t>
      </w:r>
      <w:r w:rsidR="006B00BA">
        <w:rPr>
          <w:rFonts w:ascii="Open Sans" w:hAnsi="Open Sans" w:cs="Open Sans"/>
          <w:sz w:val="20"/>
          <w:szCs w:val="20"/>
        </w:rPr>
        <w:t xml:space="preserve">ACS </w:t>
      </w:r>
      <w:r w:rsidRPr="009D34FE">
        <w:rPr>
          <w:rFonts w:ascii="Open Sans" w:hAnsi="Open Sans" w:cs="Open Sans"/>
          <w:sz w:val="20"/>
          <w:szCs w:val="20"/>
        </w:rPr>
        <w:t xml:space="preserve">tiene presencia a través de sociedades participadas en varios territorios y países considerados nichos o paraísos fiscales: Suiza, Islas Cayman,  Islas Mauricio, Bermudas, Uruguay y Gibraltar.   ACS ofrece en su web un directorio con información de contacto y direcciones de su sede corporativa y sus tres  líneas de negocio principales: Construcción, Servicios Industriales y Medioambiente. La información que facilita en su web corresponde a 34 empresas, entre ellas Dragados, Hochtief, Iridium, CIMIC y grupo Cobra. No obstante, en el anexo de las cuentas anuales hay numerosas sociedades de las que sólo se ofrece información relativa a domicilio social, no pudiendo acceder a un listado exhaustivo con información relevante sobre sus actividades. </w:t>
      </w:r>
    </w:p>
    <w:p w14:paraId="5196606F" w14:textId="77777777" w:rsidR="002324A0" w:rsidRDefault="002324A0" w:rsidP="002324A0">
      <w:pPr>
        <w:jc w:val="both"/>
        <w:rPr>
          <w:b/>
        </w:rPr>
      </w:pPr>
    </w:p>
    <w:p w14:paraId="10FE6F33" w14:textId="45D07368" w:rsidR="002324A0" w:rsidRPr="00E17C64" w:rsidRDefault="002324A0" w:rsidP="002324A0">
      <w:pPr>
        <w:jc w:val="both"/>
        <w:rPr>
          <w:rFonts w:ascii="Open Sans" w:hAnsi="Open Sans"/>
          <w:sz w:val="20"/>
          <w:szCs w:val="20"/>
        </w:rPr>
      </w:pPr>
      <w:r>
        <w:rPr>
          <w:rFonts w:ascii="Open Sans" w:hAnsi="Open Sans" w:cs="Arial"/>
          <w:bCs/>
          <w:sz w:val="20"/>
          <w:szCs w:val="20"/>
        </w:rPr>
        <w:t>En el caso de IAG las cuentas anuales dan cuentan de la estructura de filiales del grupo a través de sociedades dependientes, asociadas y negocios conjuntos. Sin embargo, se tiene constancia de filiales del grupo en numerosas ubicaciones, algunas de ellas consideradas paraíso o nicho fiscal</w:t>
      </w:r>
      <w:r w:rsidR="006B00BA">
        <w:rPr>
          <w:rFonts w:ascii="Open Sans" w:hAnsi="Open Sans" w:cs="Arial"/>
          <w:bCs/>
          <w:sz w:val="20"/>
          <w:szCs w:val="20"/>
        </w:rPr>
        <w:t xml:space="preserve">, </w:t>
      </w:r>
      <w:r>
        <w:rPr>
          <w:rFonts w:ascii="Open Sans" w:hAnsi="Open Sans" w:cs="Arial"/>
          <w:bCs/>
          <w:sz w:val="20"/>
          <w:szCs w:val="20"/>
        </w:rPr>
        <w:t xml:space="preserve"> que no figuran en sus cuentas anuales. Esta falta de información no permite conocer a sus grupos de interés la dimensión real de la empresa y las implicaciones que pudiera tener su operativa a través de paraísos  y nichos fiscales que, si bien no es ilegal, pudiera responder a una estrategia fiscal dirigida a aprovechar las ventajas tributarias y en algunos casos la nula tributación.</w:t>
      </w:r>
    </w:p>
    <w:p w14:paraId="0BFCA816" w14:textId="77777777" w:rsidR="002324A0" w:rsidRPr="0079427C" w:rsidRDefault="002324A0" w:rsidP="002324A0">
      <w:pPr>
        <w:jc w:val="both"/>
        <w:rPr>
          <w:rFonts w:ascii="Open Sans" w:hAnsi="Open Sans" w:cs="Open Sans"/>
          <w:sz w:val="20"/>
          <w:szCs w:val="20"/>
        </w:rPr>
      </w:pPr>
    </w:p>
    <w:p w14:paraId="76C8FC13" w14:textId="77777777" w:rsidR="002324A0" w:rsidRPr="002324A0" w:rsidRDefault="002324A0" w:rsidP="002324A0">
      <w:pPr>
        <w:jc w:val="both"/>
        <w:rPr>
          <w:rFonts w:ascii="Open Sans" w:hAnsi="Open Sans" w:cs="Arial"/>
          <w:bCs/>
          <w:sz w:val="20"/>
          <w:szCs w:val="20"/>
        </w:rPr>
      </w:pPr>
      <w:r w:rsidRPr="00B45200">
        <w:rPr>
          <w:rFonts w:ascii="Open Sans" w:hAnsi="Open Sans" w:cs="Open Sans"/>
          <w:sz w:val="20"/>
          <w:szCs w:val="20"/>
        </w:rPr>
        <w:t>En otras empresas se desconoce si la estructura que se detalla en el anexo de las cuentas anuales es completa</w:t>
      </w:r>
      <w:r w:rsidRPr="002324A0">
        <w:rPr>
          <w:rFonts w:ascii="Open Sans" w:hAnsi="Open Sans" w:cs="Open Sans"/>
          <w:sz w:val="20"/>
          <w:szCs w:val="20"/>
        </w:rPr>
        <w:t xml:space="preserve">, como en el caso de </w:t>
      </w:r>
      <w:r w:rsidRPr="002324A0">
        <w:rPr>
          <w:rFonts w:ascii="Open Sans" w:hAnsi="Open Sans" w:cs="Arial"/>
          <w:bCs/>
          <w:sz w:val="20"/>
          <w:szCs w:val="20"/>
        </w:rPr>
        <w:t>OHL que en el Anexo II indica que se trata de una “</w:t>
      </w:r>
      <w:r w:rsidRPr="002324A0">
        <w:rPr>
          <w:rFonts w:ascii="Open Sans" w:hAnsi="Open Sans" w:cs="Arial"/>
          <w:bCs/>
          <w:i/>
          <w:sz w:val="20"/>
          <w:szCs w:val="20"/>
        </w:rPr>
        <w:t>identificación de las sociedades más significativas comprendidas en el Grupo consolidado al 31 de diciembre de 2015</w:t>
      </w:r>
      <w:r w:rsidRPr="002324A0">
        <w:rPr>
          <w:rFonts w:ascii="Open Sans" w:hAnsi="Open Sans" w:cs="Arial"/>
          <w:bCs/>
          <w:sz w:val="20"/>
          <w:szCs w:val="20"/>
        </w:rPr>
        <w:t xml:space="preserve">”. Este detalle nos hace pensar que no están comprendidas todas las filiales que conforman el grupo OHL. </w:t>
      </w:r>
    </w:p>
    <w:p w14:paraId="177B6BED" w14:textId="77777777" w:rsidR="002324A0" w:rsidRDefault="002324A0" w:rsidP="002324A0">
      <w:pPr>
        <w:jc w:val="both"/>
        <w:rPr>
          <w:rFonts w:cs="Arial"/>
          <w:bCs/>
          <w:sz w:val="20"/>
          <w:szCs w:val="20"/>
        </w:rPr>
      </w:pPr>
    </w:p>
    <w:p w14:paraId="74E822DC" w14:textId="77777777" w:rsidR="002324A0" w:rsidRPr="002324A0" w:rsidRDefault="002324A0" w:rsidP="002324A0">
      <w:pPr>
        <w:jc w:val="both"/>
        <w:rPr>
          <w:rFonts w:ascii="Open Sans" w:hAnsi="Open Sans" w:cs="Open Sans"/>
          <w:color w:val="000000"/>
          <w:sz w:val="20"/>
          <w:szCs w:val="20"/>
        </w:rPr>
      </w:pPr>
      <w:r w:rsidRPr="002324A0">
        <w:rPr>
          <w:rFonts w:ascii="Open Sans" w:hAnsi="Open Sans" w:cs="Arial"/>
          <w:bCs/>
          <w:sz w:val="20"/>
          <w:szCs w:val="20"/>
        </w:rPr>
        <w:t xml:space="preserve">Hay empresas que presentan información más detallada en el anexo de las cuentas anuales. Tal es el caso de MAPFRE que </w:t>
      </w:r>
      <w:r w:rsidRPr="002324A0">
        <w:rPr>
          <w:rFonts w:ascii="Open Sans" w:eastAsia="Calibri" w:hAnsi="Open Sans" w:cs="Open Sans"/>
          <w:sz w:val="20"/>
          <w:szCs w:val="20"/>
        </w:rPr>
        <w:t xml:space="preserve">informa de la titularidad de las empresas que tiene en todos los países (incluidos los paraísos y los nichos fiscales) y publica el nombre de la sociedad y el porcentaje del capital social de la misma que posee; no obstante, si no es accionista mayoritario a través de una de sus sociedades, no informa sobre la identidad de éstos y tampoco informa sobre vinculaciones con otras empresas y/o inversores. MAPFRE </w:t>
      </w:r>
      <w:r w:rsidRPr="002324A0">
        <w:rPr>
          <w:rFonts w:ascii="Open Sans" w:hAnsi="Open Sans" w:cs="Open Sans"/>
          <w:color w:val="000000"/>
          <w:sz w:val="20"/>
          <w:szCs w:val="20"/>
        </w:rPr>
        <w:t xml:space="preserve">informa sobre la Tasa Fiscal Efectiva, la participación en capital, el patrimonio neto, los ingresos y el resultado del ejercicio; si bien, no incluye información específica sobre los impuestos directos e indirectos; ni sobre los trabajadores que se encuentran en estas jurisdicciones, ya que informa de manera agregada sobre los trabajadores en EMEA, que es un área territorial internacional, en la que se encuadrarían los 2 paraísos fiscales en los que tiene presencia. </w:t>
      </w:r>
    </w:p>
    <w:p w14:paraId="088E41DE" w14:textId="77777777" w:rsidR="002324A0" w:rsidRDefault="002324A0" w:rsidP="002324A0">
      <w:pPr>
        <w:jc w:val="both"/>
        <w:rPr>
          <w:rFonts w:ascii="Open Sans" w:hAnsi="Open Sans" w:cs="Open Sans"/>
          <w:color w:val="000000"/>
          <w:sz w:val="20"/>
          <w:szCs w:val="20"/>
        </w:rPr>
      </w:pPr>
    </w:p>
    <w:p w14:paraId="5481A382" w14:textId="77777777" w:rsidR="002324A0" w:rsidRDefault="002324A0" w:rsidP="002324A0">
      <w:pPr>
        <w:jc w:val="both"/>
        <w:rPr>
          <w:rFonts w:ascii="Open Sans" w:hAnsi="Open Sans" w:cs="Arial"/>
          <w:bCs/>
          <w:sz w:val="20"/>
          <w:szCs w:val="20"/>
        </w:rPr>
      </w:pPr>
      <w:r>
        <w:rPr>
          <w:rFonts w:ascii="Open Sans" w:hAnsi="Open Sans" w:cs="Arial"/>
          <w:bCs/>
          <w:sz w:val="20"/>
          <w:szCs w:val="20"/>
        </w:rPr>
        <w:t>REC publica cuál es su estructura societaria de manera accesible tanto en el Informe de RSC</w:t>
      </w:r>
      <w:r>
        <w:rPr>
          <w:rStyle w:val="Refdenotaalpie"/>
          <w:rFonts w:ascii="Open Sans" w:hAnsi="Open Sans"/>
          <w:bCs/>
          <w:sz w:val="20"/>
          <w:szCs w:val="20"/>
        </w:rPr>
        <w:footnoteReference w:id="66"/>
      </w:r>
      <w:r>
        <w:rPr>
          <w:rFonts w:ascii="Open Sans" w:hAnsi="Open Sans" w:cs="Arial"/>
          <w:bCs/>
          <w:sz w:val="20"/>
          <w:szCs w:val="20"/>
        </w:rPr>
        <w:t xml:space="preserve"> como en las cuentas anuales. No solo indica el porcentaje de participación sino a través de qué empresa ostenta la participación.  </w:t>
      </w:r>
    </w:p>
    <w:p w14:paraId="0C6AA578" w14:textId="77777777" w:rsidR="002324A0" w:rsidRPr="00665C99" w:rsidRDefault="002324A0" w:rsidP="002324A0">
      <w:pPr>
        <w:autoSpaceDE w:val="0"/>
        <w:autoSpaceDN w:val="0"/>
        <w:adjustRightInd w:val="0"/>
        <w:jc w:val="both"/>
        <w:rPr>
          <w:rFonts w:ascii="Open Sans" w:hAnsi="Open Sans" w:cs="Open Sans"/>
          <w:color w:val="000000"/>
          <w:sz w:val="20"/>
          <w:szCs w:val="20"/>
        </w:rPr>
      </w:pPr>
    </w:p>
    <w:p w14:paraId="725AAE01" w14:textId="77777777" w:rsidR="002324A0" w:rsidRPr="00BA3E81" w:rsidRDefault="002324A0" w:rsidP="002324A0">
      <w:pPr>
        <w:jc w:val="both"/>
        <w:rPr>
          <w:rFonts w:ascii="Open Sans" w:hAnsi="Open Sans" w:cs="Arial"/>
          <w:bCs/>
          <w:sz w:val="20"/>
          <w:szCs w:val="20"/>
        </w:rPr>
      </w:pPr>
      <w:r>
        <w:rPr>
          <w:rFonts w:ascii="Open Sans" w:hAnsi="Open Sans" w:cs="Arial"/>
          <w:bCs/>
          <w:sz w:val="20"/>
          <w:szCs w:val="20"/>
        </w:rPr>
        <w:t xml:space="preserve">SACYR facilita datos económicos como inversión, capital social, reservas, resultados y dividendos a cuenta. Si bien este grado de detalle se considera una buena práctica de transparencia, para una información aún más transparente sería necesario que aportase con el mismo nivel de detalle,  </w:t>
      </w:r>
      <w:r>
        <w:rPr>
          <w:rFonts w:ascii="Open Sans" w:hAnsi="Open Sans" w:cs="Open Sans"/>
          <w:sz w:val="20"/>
          <w:szCs w:val="22"/>
        </w:rPr>
        <w:t xml:space="preserve">número de empleados, facturación, beneficios antes de impuestos, impuesto de sociedades, operaciones intragrupales, entre otras partidas. </w:t>
      </w:r>
    </w:p>
    <w:p w14:paraId="1BD24C29" w14:textId="77777777" w:rsidR="002324A0" w:rsidRDefault="002324A0" w:rsidP="002324A0">
      <w:pPr>
        <w:autoSpaceDE w:val="0"/>
        <w:autoSpaceDN w:val="0"/>
        <w:adjustRightInd w:val="0"/>
        <w:jc w:val="both"/>
        <w:rPr>
          <w:rFonts w:ascii="Open Sans" w:eastAsia="Calibri" w:hAnsi="Open Sans" w:cs="Open Sans"/>
          <w:sz w:val="20"/>
          <w:szCs w:val="20"/>
        </w:rPr>
      </w:pPr>
    </w:p>
    <w:p w14:paraId="6DC074AB" w14:textId="77777777" w:rsidR="002324A0" w:rsidRDefault="002324A0" w:rsidP="002324A0">
      <w:pPr>
        <w:spacing w:before="120"/>
        <w:jc w:val="both"/>
        <w:rPr>
          <w:rFonts w:ascii="Open Sans" w:hAnsi="Open Sans" w:cs="Arial"/>
          <w:sz w:val="20"/>
          <w:szCs w:val="20"/>
        </w:rPr>
      </w:pPr>
      <w:r>
        <w:rPr>
          <w:rFonts w:ascii="Open Sans" w:eastAsia="Calibri" w:hAnsi="Open Sans" w:cs="Open Sans"/>
          <w:sz w:val="20"/>
          <w:szCs w:val="20"/>
        </w:rPr>
        <w:t xml:space="preserve">TELEFÓNICA presenta </w:t>
      </w:r>
      <w:r w:rsidRPr="00B83DE6">
        <w:rPr>
          <w:rFonts w:ascii="Open Sans" w:hAnsi="Open Sans" w:cs="Arial"/>
          <w:sz w:val="20"/>
          <w:szCs w:val="20"/>
        </w:rPr>
        <w:t>información sobre  participación</w:t>
      </w:r>
      <w:r>
        <w:rPr>
          <w:rFonts w:ascii="Open Sans" w:hAnsi="Open Sans" w:cs="Arial"/>
          <w:sz w:val="20"/>
          <w:szCs w:val="20"/>
        </w:rPr>
        <w:t xml:space="preserve"> en sociedades dependientes</w:t>
      </w:r>
      <w:r w:rsidRPr="00B83DE6">
        <w:rPr>
          <w:rFonts w:ascii="Open Sans" w:hAnsi="Open Sans" w:cs="Arial"/>
          <w:sz w:val="20"/>
          <w:szCs w:val="20"/>
        </w:rPr>
        <w:t>, reservas, resultados y valor neto de las mismas.</w:t>
      </w:r>
    </w:p>
    <w:p w14:paraId="026A33F5" w14:textId="4218C87E" w:rsidR="00B45200" w:rsidRDefault="00B45200">
      <w:pPr>
        <w:rPr>
          <w:rFonts w:ascii="Open Sans" w:hAnsi="Open Sans" w:cs="Open Sans"/>
          <w:sz w:val="20"/>
          <w:szCs w:val="20"/>
        </w:rPr>
      </w:pPr>
      <w:r>
        <w:rPr>
          <w:rFonts w:ascii="Open Sans" w:hAnsi="Open Sans" w:cs="Open Sans"/>
          <w:sz w:val="20"/>
          <w:szCs w:val="20"/>
        </w:rPr>
        <w:br w:type="page"/>
      </w:r>
    </w:p>
    <w:p w14:paraId="4BD06902" w14:textId="77777777" w:rsidR="007816D9" w:rsidRDefault="007816D9" w:rsidP="000E0003">
      <w:pPr>
        <w:autoSpaceDE w:val="0"/>
        <w:autoSpaceDN w:val="0"/>
        <w:adjustRightInd w:val="0"/>
        <w:jc w:val="both"/>
        <w:rPr>
          <w:rFonts w:ascii="Open Sans" w:hAnsi="Open Sans" w:cs="Open Sans"/>
          <w:sz w:val="20"/>
          <w:szCs w:val="20"/>
        </w:rPr>
      </w:pPr>
    </w:p>
    <w:p w14:paraId="189E764F" w14:textId="08FF3FA1" w:rsidR="00AD7D8E" w:rsidRPr="00F520B8" w:rsidRDefault="00841317" w:rsidP="00861DEE">
      <w:pPr>
        <w:pStyle w:val="Titulo3-informefinal"/>
      </w:pPr>
      <w:bookmarkStart w:id="32" w:name="_Toc354061517"/>
      <w:r>
        <w:t>4</w:t>
      </w:r>
      <w:r w:rsidR="005C3E0E">
        <w:t>.2</w:t>
      </w:r>
      <w:r w:rsidR="00AD7D8E" w:rsidRPr="00F520B8">
        <w:t xml:space="preserve">. </w:t>
      </w:r>
      <w:r w:rsidR="000835E3">
        <w:t>Impuestos e incentivos</w:t>
      </w:r>
      <w:bookmarkEnd w:id="32"/>
    </w:p>
    <w:p w14:paraId="55C3A841" w14:textId="77777777" w:rsidR="000200E0" w:rsidRDefault="000200E0">
      <w:pPr>
        <w:rPr>
          <w:rFonts w:ascii="Open Sans" w:hAnsi="Open Sans" w:cs="Arial"/>
          <w:b/>
          <w:sz w:val="20"/>
          <w:szCs w:val="20"/>
        </w:rPr>
      </w:pPr>
    </w:p>
    <w:tbl>
      <w:tblPr>
        <w:tblW w:w="8505" w:type="dxa"/>
        <w:tblInd w:w="70" w:type="dxa"/>
        <w:tblLayout w:type="fixed"/>
        <w:tblCellMar>
          <w:left w:w="70" w:type="dxa"/>
          <w:right w:w="70" w:type="dxa"/>
        </w:tblCellMar>
        <w:tblLook w:val="04A0" w:firstRow="1" w:lastRow="0" w:firstColumn="1" w:lastColumn="0" w:noHBand="0" w:noVBand="1"/>
      </w:tblPr>
      <w:tblGrid>
        <w:gridCol w:w="756"/>
        <w:gridCol w:w="3780"/>
        <w:gridCol w:w="1276"/>
        <w:gridCol w:w="992"/>
        <w:gridCol w:w="1701"/>
      </w:tblGrid>
      <w:tr w:rsidR="00363184" w:rsidRPr="0002143E" w14:paraId="02AC1030" w14:textId="77777777" w:rsidTr="00363184">
        <w:trPr>
          <w:trHeight w:val="615"/>
        </w:trPr>
        <w:tc>
          <w:tcPr>
            <w:tcW w:w="756" w:type="dxa"/>
            <w:tcBorders>
              <w:top w:val="single" w:sz="8" w:space="0" w:color="auto"/>
              <w:left w:val="single" w:sz="8" w:space="0" w:color="auto"/>
              <w:bottom w:val="single" w:sz="8" w:space="0" w:color="auto"/>
              <w:right w:val="single" w:sz="8" w:space="0" w:color="auto"/>
            </w:tcBorders>
            <w:shd w:val="clear" w:color="000000" w:fill="F2AC3C"/>
            <w:noWrap/>
            <w:vAlign w:val="center"/>
            <w:hideMark/>
          </w:tcPr>
          <w:p w14:paraId="2D7114D3" w14:textId="77777777" w:rsidR="00363184" w:rsidRPr="0002143E" w:rsidRDefault="00363184" w:rsidP="00363184">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COD.</w:t>
            </w:r>
          </w:p>
        </w:tc>
        <w:tc>
          <w:tcPr>
            <w:tcW w:w="3780" w:type="dxa"/>
            <w:tcBorders>
              <w:top w:val="single" w:sz="8" w:space="0" w:color="auto"/>
              <w:left w:val="nil"/>
              <w:bottom w:val="single" w:sz="8" w:space="0" w:color="auto"/>
              <w:right w:val="single" w:sz="8" w:space="0" w:color="auto"/>
            </w:tcBorders>
            <w:shd w:val="clear" w:color="000000" w:fill="F2AC3C"/>
            <w:noWrap/>
            <w:vAlign w:val="center"/>
            <w:hideMark/>
          </w:tcPr>
          <w:p w14:paraId="6638BAFE" w14:textId="77777777" w:rsidR="00363184" w:rsidRPr="0002143E" w:rsidRDefault="00363184" w:rsidP="00363184">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FISCALIDAD</w:t>
            </w:r>
          </w:p>
        </w:tc>
        <w:tc>
          <w:tcPr>
            <w:tcW w:w="1276" w:type="dxa"/>
            <w:tcBorders>
              <w:top w:val="single" w:sz="8" w:space="0" w:color="auto"/>
              <w:left w:val="nil"/>
              <w:bottom w:val="single" w:sz="8" w:space="0" w:color="auto"/>
              <w:right w:val="single" w:sz="8" w:space="0" w:color="auto"/>
            </w:tcBorders>
            <w:shd w:val="clear" w:color="000000" w:fill="F2AC3C"/>
            <w:vAlign w:val="center"/>
            <w:hideMark/>
          </w:tcPr>
          <w:p w14:paraId="296A8209" w14:textId="77777777" w:rsidR="00363184" w:rsidRPr="0002143E" w:rsidRDefault="00363184" w:rsidP="00363184">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NÚMERO EMPRESAS</w:t>
            </w:r>
          </w:p>
        </w:tc>
        <w:tc>
          <w:tcPr>
            <w:tcW w:w="992" w:type="dxa"/>
            <w:tcBorders>
              <w:top w:val="single" w:sz="8" w:space="0" w:color="auto"/>
              <w:left w:val="nil"/>
              <w:bottom w:val="single" w:sz="8" w:space="0" w:color="auto"/>
              <w:right w:val="single" w:sz="8" w:space="0" w:color="auto"/>
            </w:tcBorders>
            <w:shd w:val="clear" w:color="000000" w:fill="F2AC3C"/>
            <w:vAlign w:val="center"/>
            <w:hideMark/>
          </w:tcPr>
          <w:p w14:paraId="760B4BFD" w14:textId="77777777" w:rsidR="00363184" w:rsidRPr="0002143E" w:rsidRDefault="00363184" w:rsidP="00363184">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w:t>
            </w:r>
          </w:p>
        </w:tc>
        <w:tc>
          <w:tcPr>
            <w:tcW w:w="1701" w:type="dxa"/>
            <w:tcBorders>
              <w:top w:val="single" w:sz="8" w:space="0" w:color="auto"/>
              <w:left w:val="nil"/>
              <w:bottom w:val="single" w:sz="8" w:space="0" w:color="auto"/>
              <w:right w:val="single" w:sz="8" w:space="0" w:color="auto"/>
            </w:tcBorders>
            <w:shd w:val="clear" w:color="000000" w:fill="F2AC3C"/>
            <w:vAlign w:val="center"/>
          </w:tcPr>
          <w:p w14:paraId="2A6F1602" w14:textId="77777777" w:rsidR="00363184" w:rsidRPr="0002143E" w:rsidRDefault="00363184" w:rsidP="00363184">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VALORACIÓN</w:t>
            </w:r>
          </w:p>
        </w:tc>
      </w:tr>
      <w:tr w:rsidR="006423BF" w:rsidRPr="0002143E" w14:paraId="746BD8AE" w14:textId="77777777" w:rsidTr="006423BF">
        <w:trPr>
          <w:trHeight w:val="888"/>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1DF5C387" w14:textId="56DE0E85" w:rsidR="006423BF" w:rsidRPr="00363184" w:rsidRDefault="006423BF" w:rsidP="00363184">
            <w:pPr>
              <w:jc w:val="center"/>
              <w:rPr>
                <w:rFonts w:ascii="Open Sans" w:eastAsia="Times New Roman" w:hAnsi="Open Sans" w:cs="Open Sans"/>
                <w:b/>
                <w:bCs/>
                <w:color w:val="000000"/>
                <w:sz w:val="20"/>
                <w:szCs w:val="20"/>
              </w:rPr>
            </w:pPr>
            <w:r w:rsidRPr="00363184">
              <w:rPr>
                <w:rFonts w:ascii="Open Sans" w:eastAsia="Times New Roman" w:hAnsi="Open Sans" w:cs="Open Sans"/>
                <w:b/>
                <w:bCs/>
                <w:color w:val="000000"/>
                <w:sz w:val="20"/>
                <w:szCs w:val="20"/>
              </w:rPr>
              <w:t>I.I.1</w:t>
            </w:r>
          </w:p>
        </w:tc>
        <w:tc>
          <w:tcPr>
            <w:tcW w:w="3780" w:type="dxa"/>
            <w:tcBorders>
              <w:top w:val="nil"/>
              <w:left w:val="nil"/>
              <w:bottom w:val="single" w:sz="8" w:space="0" w:color="auto"/>
              <w:right w:val="single" w:sz="8" w:space="0" w:color="auto"/>
            </w:tcBorders>
            <w:shd w:val="clear" w:color="000000" w:fill="FFFFFF"/>
            <w:vAlign w:val="center"/>
            <w:hideMark/>
          </w:tcPr>
          <w:p w14:paraId="785ACD76" w14:textId="33F22999" w:rsidR="006423BF" w:rsidRPr="00363184" w:rsidRDefault="006423BF" w:rsidP="00363184">
            <w:pPr>
              <w:jc w:val="center"/>
              <w:rPr>
                <w:rFonts w:ascii="Open Sans" w:eastAsia="Times New Roman" w:hAnsi="Open Sans" w:cs="Open Sans"/>
                <w:color w:val="000000"/>
                <w:sz w:val="20"/>
                <w:szCs w:val="20"/>
              </w:rPr>
            </w:pPr>
            <w:r w:rsidRPr="00363184">
              <w:rPr>
                <w:rFonts w:ascii="Open Sans" w:eastAsia="Times New Roman" w:hAnsi="Open Sans" w:cs="Open Sans"/>
                <w:color w:val="000000"/>
                <w:sz w:val="20"/>
                <w:szCs w:val="20"/>
              </w:rPr>
              <w:t>La empresa proporciona información  sobre el impu</w:t>
            </w:r>
            <w:r>
              <w:rPr>
                <w:rFonts w:ascii="Open Sans" w:eastAsia="Times New Roman" w:hAnsi="Open Sans" w:cs="Open Sans"/>
                <w:color w:val="000000"/>
                <w:sz w:val="20"/>
                <w:szCs w:val="20"/>
              </w:rPr>
              <w:t>esto sobre sociedades soportado</w:t>
            </w:r>
          </w:p>
        </w:tc>
        <w:tc>
          <w:tcPr>
            <w:tcW w:w="1276" w:type="dxa"/>
            <w:tcBorders>
              <w:top w:val="nil"/>
              <w:left w:val="nil"/>
              <w:bottom w:val="single" w:sz="8" w:space="0" w:color="auto"/>
              <w:right w:val="single" w:sz="8" w:space="0" w:color="auto"/>
            </w:tcBorders>
            <w:shd w:val="clear" w:color="000000" w:fill="FFFFFF"/>
            <w:vAlign w:val="center"/>
            <w:hideMark/>
          </w:tcPr>
          <w:p w14:paraId="4E891A48" w14:textId="1E039C76"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2</w:t>
            </w:r>
          </w:p>
        </w:tc>
        <w:tc>
          <w:tcPr>
            <w:tcW w:w="992" w:type="dxa"/>
            <w:tcBorders>
              <w:top w:val="nil"/>
              <w:left w:val="nil"/>
              <w:bottom w:val="single" w:sz="8" w:space="0" w:color="auto"/>
              <w:right w:val="single" w:sz="8" w:space="0" w:color="auto"/>
            </w:tcBorders>
            <w:shd w:val="clear" w:color="000000" w:fill="FFFFFF"/>
            <w:vAlign w:val="center"/>
            <w:hideMark/>
          </w:tcPr>
          <w:p w14:paraId="7CC22414" w14:textId="17B98BBF"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6%</w:t>
            </w:r>
          </w:p>
        </w:tc>
        <w:tc>
          <w:tcPr>
            <w:tcW w:w="1701" w:type="dxa"/>
            <w:tcBorders>
              <w:top w:val="nil"/>
              <w:left w:val="nil"/>
              <w:bottom w:val="single" w:sz="8" w:space="0" w:color="auto"/>
              <w:right w:val="single" w:sz="8" w:space="0" w:color="auto"/>
            </w:tcBorders>
            <w:shd w:val="clear" w:color="000000" w:fill="FFFFFF"/>
            <w:vAlign w:val="center"/>
          </w:tcPr>
          <w:p w14:paraId="3EEF10FF" w14:textId="6D4515F9"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0,26</w:t>
            </w:r>
          </w:p>
        </w:tc>
      </w:tr>
      <w:tr w:rsidR="006423BF" w:rsidRPr="0002143E" w14:paraId="718186C3" w14:textId="77777777" w:rsidTr="006423BF">
        <w:trPr>
          <w:trHeight w:val="830"/>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68648771" w14:textId="459167AB" w:rsidR="006423BF" w:rsidRPr="00363184" w:rsidRDefault="006423BF" w:rsidP="00363184">
            <w:pPr>
              <w:jc w:val="center"/>
              <w:rPr>
                <w:rFonts w:ascii="Open Sans" w:eastAsia="Times New Roman" w:hAnsi="Open Sans" w:cs="Open Sans"/>
                <w:b/>
                <w:bCs/>
                <w:color w:val="000000"/>
                <w:sz w:val="20"/>
                <w:szCs w:val="20"/>
              </w:rPr>
            </w:pPr>
            <w:r w:rsidRPr="00363184">
              <w:rPr>
                <w:rFonts w:ascii="Open Sans" w:eastAsia="Times New Roman" w:hAnsi="Open Sans" w:cs="Open Sans"/>
                <w:b/>
                <w:bCs/>
                <w:color w:val="000000"/>
                <w:sz w:val="20"/>
                <w:szCs w:val="20"/>
              </w:rPr>
              <w:t>I.I.2</w:t>
            </w:r>
          </w:p>
        </w:tc>
        <w:tc>
          <w:tcPr>
            <w:tcW w:w="3780" w:type="dxa"/>
            <w:tcBorders>
              <w:top w:val="nil"/>
              <w:left w:val="nil"/>
              <w:bottom w:val="single" w:sz="8" w:space="0" w:color="auto"/>
              <w:right w:val="single" w:sz="8" w:space="0" w:color="auto"/>
            </w:tcBorders>
            <w:shd w:val="clear" w:color="000000" w:fill="FFFFFF"/>
            <w:vAlign w:val="center"/>
            <w:hideMark/>
          </w:tcPr>
          <w:p w14:paraId="73ACDA2E" w14:textId="19542E62" w:rsidR="006423BF" w:rsidRPr="00363184" w:rsidRDefault="006423BF" w:rsidP="00363184">
            <w:pPr>
              <w:jc w:val="center"/>
              <w:rPr>
                <w:rFonts w:ascii="Open Sans" w:eastAsia="Times New Roman" w:hAnsi="Open Sans" w:cs="Open Sans"/>
                <w:color w:val="000000"/>
                <w:sz w:val="20"/>
                <w:szCs w:val="20"/>
              </w:rPr>
            </w:pPr>
            <w:r w:rsidRPr="00363184">
              <w:rPr>
                <w:rFonts w:ascii="Open Sans" w:eastAsia="Times New Roman" w:hAnsi="Open Sans" w:cs="Open Sans"/>
                <w:color w:val="000000"/>
                <w:sz w:val="20"/>
                <w:szCs w:val="20"/>
              </w:rPr>
              <w:t xml:space="preserve">La empresa informa sobre tasas impositivas pagadas </w:t>
            </w:r>
            <w:r>
              <w:rPr>
                <w:rFonts w:ascii="Open Sans" w:eastAsia="Times New Roman" w:hAnsi="Open Sans" w:cs="Open Sans"/>
                <w:color w:val="000000"/>
                <w:sz w:val="20"/>
                <w:szCs w:val="20"/>
              </w:rPr>
              <w:t>en el impuesto sobre sociedades</w:t>
            </w:r>
          </w:p>
        </w:tc>
        <w:tc>
          <w:tcPr>
            <w:tcW w:w="1276" w:type="dxa"/>
            <w:tcBorders>
              <w:top w:val="nil"/>
              <w:left w:val="nil"/>
              <w:bottom w:val="single" w:sz="8" w:space="0" w:color="auto"/>
              <w:right w:val="single" w:sz="8" w:space="0" w:color="auto"/>
            </w:tcBorders>
            <w:shd w:val="clear" w:color="000000" w:fill="FFFFFF"/>
            <w:vAlign w:val="center"/>
            <w:hideMark/>
          </w:tcPr>
          <w:p w14:paraId="493B18A3" w14:textId="665FE7F0"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1</w:t>
            </w:r>
          </w:p>
        </w:tc>
        <w:tc>
          <w:tcPr>
            <w:tcW w:w="992" w:type="dxa"/>
            <w:tcBorders>
              <w:top w:val="nil"/>
              <w:left w:val="nil"/>
              <w:bottom w:val="single" w:sz="8" w:space="0" w:color="auto"/>
              <w:right w:val="single" w:sz="8" w:space="0" w:color="auto"/>
            </w:tcBorders>
            <w:shd w:val="clear" w:color="000000" w:fill="FFFFFF"/>
            <w:vAlign w:val="center"/>
            <w:hideMark/>
          </w:tcPr>
          <w:p w14:paraId="7B2CFDDA" w14:textId="47951171"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3%</w:t>
            </w:r>
          </w:p>
        </w:tc>
        <w:tc>
          <w:tcPr>
            <w:tcW w:w="1701" w:type="dxa"/>
            <w:tcBorders>
              <w:top w:val="nil"/>
              <w:left w:val="nil"/>
              <w:bottom w:val="single" w:sz="8" w:space="0" w:color="auto"/>
              <w:right w:val="single" w:sz="8" w:space="0" w:color="auto"/>
            </w:tcBorders>
            <w:shd w:val="clear" w:color="000000" w:fill="FFFFFF"/>
            <w:vAlign w:val="center"/>
          </w:tcPr>
          <w:p w14:paraId="08138FD5" w14:textId="504DE8C0"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0,06</w:t>
            </w:r>
          </w:p>
        </w:tc>
      </w:tr>
      <w:tr w:rsidR="006423BF" w:rsidRPr="0002143E" w14:paraId="1492A24C" w14:textId="77777777" w:rsidTr="006423BF">
        <w:trPr>
          <w:trHeight w:val="842"/>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111BE360" w14:textId="2C473D3F" w:rsidR="006423BF" w:rsidRPr="00363184" w:rsidRDefault="006423BF" w:rsidP="00363184">
            <w:pPr>
              <w:jc w:val="center"/>
              <w:rPr>
                <w:rFonts w:ascii="Open Sans" w:eastAsia="Times New Roman" w:hAnsi="Open Sans" w:cs="Open Sans"/>
                <w:b/>
                <w:bCs/>
                <w:color w:val="000000"/>
                <w:sz w:val="20"/>
                <w:szCs w:val="20"/>
              </w:rPr>
            </w:pPr>
            <w:r w:rsidRPr="00363184">
              <w:rPr>
                <w:rFonts w:ascii="Open Sans" w:eastAsia="Times New Roman" w:hAnsi="Open Sans" w:cs="Open Sans"/>
                <w:b/>
                <w:bCs/>
                <w:color w:val="000000"/>
                <w:sz w:val="20"/>
                <w:szCs w:val="20"/>
              </w:rPr>
              <w:t>I.I.3</w:t>
            </w:r>
          </w:p>
        </w:tc>
        <w:tc>
          <w:tcPr>
            <w:tcW w:w="3780" w:type="dxa"/>
            <w:tcBorders>
              <w:top w:val="nil"/>
              <w:left w:val="nil"/>
              <w:bottom w:val="single" w:sz="8" w:space="0" w:color="auto"/>
              <w:right w:val="single" w:sz="8" w:space="0" w:color="auto"/>
            </w:tcBorders>
            <w:shd w:val="clear" w:color="000000" w:fill="FFFFFF"/>
            <w:vAlign w:val="center"/>
            <w:hideMark/>
          </w:tcPr>
          <w:p w14:paraId="75EE8927" w14:textId="2217D504" w:rsidR="006423BF" w:rsidRPr="00363184" w:rsidRDefault="006423BF" w:rsidP="00363184">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La empresa informa sobre subvenciones recibidas</w:t>
            </w:r>
          </w:p>
        </w:tc>
        <w:tc>
          <w:tcPr>
            <w:tcW w:w="1276" w:type="dxa"/>
            <w:tcBorders>
              <w:top w:val="nil"/>
              <w:left w:val="nil"/>
              <w:bottom w:val="single" w:sz="8" w:space="0" w:color="auto"/>
              <w:right w:val="single" w:sz="8" w:space="0" w:color="auto"/>
            </w:tcBorders>
            <w:shd w:val="clear" w:color="000000" w:fill="FFFFFF"/>
            <w:vAlign w:val="center"/>
            <w:hideMark/>
          </w:tcPr>
          <w:p w14:paraId="5B108E9C" w14:textId="523AE769"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22</w:t>
            </w:r>
          </w:p>
        </w:tc>
        <w:tc>
          <w:tcPr>
            <w:tcW w:w="992" w:type="dxa"/>
            <w:tcBorders>
              <w:top w:val="nil"/>
              <w:left w:val="nil"/>
              <w:bottom w:val="single" w:sz="8" w:space="0" w:color="auto"/>
              <w:right w:val="single" w:sz="8" w:space="0" w:color="auto"/>
            </w:tcBorders>
            <w:shd w:val="clear" w:color="000000" w:fill="FFFFFF"/>
            <w:vAlign w:val="center"/>
            <w:hideMark/>
          </w:tcPr>
          <w:p w14:paraId="253BD0D0" w14:textId="1C0C4C3A"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63%</w:t>
            </w:r>
          </w:p>
        </w:tc>
        <w:tc>
          <w:tcPr>
            <w:tcW w:w="1701" w:type="dxa"/>
            <w:tcBorders>
              <w:top w:val="nil"/>
              <w:left w:val="nil"/>
              <w:bottom w:val="single" w:sz="8" w:space="0" w:color="auto"/>
              <w:right w:val="single" w:sz="8" w:space="0" w:color="auto"/>
            </w:tcBorders>
            <w:shd w:val="clear" w:color="000000" w:fill="FFFFFF"/>
            <w:vAlign w:val="center"/>
          </w:tcPr>
          <w:p w14:paraId="02C682C0" w14:textId="6C23F0CC"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0,83</w:t>
            </w:r>
          </w:p>
        </w:tc>
      </w:tr>
      <w:tr w:rsidR="006423BF" w:rsidRPr="0002143E" w14:paraId="7F784C48" w14:textId="77777777" w:rsidTr="006423BF">
        <w:trPr>
          <w:trHeight w:val="826"/>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5868E6F9" w14:textId="4ED80897" w:rsidR="006423BF" w:rsidRPr="00363184" w:rsidRDefault="006423BF" w:rsidP="00363184">
            <w:pPr>
              <w:jc w:val="center"/>
              <w:rPr>
                <w:rFonts w:ascii="Open Sans" w:eastAsia="Times New Roman" w:hAnsi="Open Sans" w:cs="Open Sans"/>
                <w:b/>
                <w:bCs/>
                <w:color w:val="000000"/>
                <w:sz w:val="20"/>
                <w:szCs w:val="20"/>
              </w:rPr>
            </w:pPr>
            <w:r w:rsidRPr="00363184">
              <w:rPr>
                <w:rFonts w:ascii="Open Sans" w:eastAsia="Times New Roman" w:hAnsi="Open Sans" w:cs="Open Sans"/>
                <w:b/>
                <w:bCs/>
                <w:color w:val="000000"/>
                <w:sz w:val="20"/>
                <w:szCs w:val="20"/>
              </w:rPr>
              <w:t>I.I.4</w:t>
            </w:r>
          </w:p>
        </w:tc>
        <w:tc>
          <w:tcPr>
            <w:tcW w:w="3780" w:type="dxa"/>
            <w:tcBorders>
              <w:top w:val="nil"/>
              <w:left w:val="nil"/>
              <w:bottom w:val="single" w:sz="8" w:space="0" w:color="auto"/>
              <w:right w:val="single" w:sz="8" w:space="0" w:color="auto"/>
            </w:tcBorders>
            <w:shd w:val="clear" w:color="000000" w:fill="FFFFFF"/>
            <w:vAlign w:val="center"/>
            <w:hideMark/>
          </w:tcPr>
          <w:p w14:paraId="4B71B320" w14:textId="19BBBB3F" w:rsidR="006423BF" w:rsidRPr="00363184" w:rsidRDefault="006423BF" w:rsidP="00363184">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La empresa informa sobre las deducciones fiscales</w:t>
            </w:r>
          </w:p>
        </w:tc>
        <w:tc>
          <w:tcPr>
            <w:tcW w:w="1276" w:type="dxa"/>
            <w:tcBorders>
              <w:top w:val="nil"/>
              <w:left w:val="nil"/>
              <w:bottom w:val="single" w:sz="8" w:space="0" w:color="auto"/>
              <w:right w:val="single" w:sz="8" w:space="0" w:color="auto"/>
            </w:tcBorders>
            <w:shd w:val="clear" w:color="000000" w:fill="FFFFFF"/>
            <w:vAlign w:val="center"/>
            <w:hideMark/>
          </w:tcPr>
          <w:p w14:paraId="63F1B634" w14:textId="6F5147A4"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29</w:t>
            </w:r>
          </w:p>
        </w:tc>
        <w:tc>
          <w:tcPr>
            <w:tcW w:w="992" w:type="dxa"/>
            <w:tcBorders>
              <w:top w:val="nil"/>
              <w:left w:val="nil"/>
              <w:bottom w:val="single" w:sz="8" w:space="0" w:color="auto"/>
              <w:right w:val="single" w:sz="8" w:space="0" w:color="auto"/>
            </w:tcBorders>
            <w:shd w:val="clear" w:color="000000" w:fill="FFFFFF"/>
            <w:vAlign w:val="center"/>
            <w:hideMark/>
          </w:tcPr>
          <w:p w14:paraId="4AE7D217" w14:textId="6AEDA6D9"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83%</w:t>
            </w:r>
          </w:p>
        </w:tc>
        <w:tc>
          <w:tcPr>
            <w:tcW w:w="1701" w:type="dxa"/>
            <w:tcBorders>
              <w:top w:val="nil"/>
              <w:left w:val="nil"/>
              <w:bottom w:val="single" w:sz="8" w:space="0" w:color="auto"/>
              <w:right w:val="single" w:sz="8" w:space="0" w:color="auto"/>
            </w:tcBorders>
            <w:shd w:val="clear" w:color="000000" w:fill="FFFFFF"/>
            <w:vAlign w:val="center"/>
          </w:tcPr>
          <w:p w14:paraId="3A739718" w14:textId="7E1BF65B"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0,97</w:t>
            </w:r>
          </w:p>
        </w:tc>
      </w:tr>
      <w:tr w:rsidR="006423BF" w:rsidRPr="0002143E" w14:paraId="7721E01A" w14:textId="77777777" w:rsidTr="006423BF">
        <w:trPr>
          <w:trHeight w:val="714"/>
        </w:trPr>
        <w:tc>
          <w:tcPr>
            <w:tcW w:w="756" w:type="dxa"/>
            <w:tcBorders>
              <w:top w:val="nil"/>
              <w:left w:val="single" w:sz="8" w:space="0" w:color="auto"/>
              <w:bottom w:val="single" w:sz="4" w:space="0" w:color="auto"/>
              <w:right w:val="single" w:sz="8" w:space="0" w:color="auto"/>
            </w:tcBorders>
            <w:shd w:val="clear" w:color="auto" w:fill="auto"/>
            <w:vAlign w:val="center"/>
            <w:hideMark/>
          </w:tcPr>
          <w:p w14:paraId="45135AD2" w14:textId="3DB4982A" w:rsidR="006423BF" w:rsidRPr="00363184" w:rsidRDefault="006423BF" w:rsidP="00363184">
            <w:pPr>
              <w:jc w:val="center"/>
              <w:rPr>
                <w:rFonts w:ascii="Open Sans" w:eastAsia="Times New Roman" w:hAnsi="Open Sans" w:cs="Open Sans"/>
                <w:b/>
                <w:bCs/>
                <w:color w:val="000000"/>
                <w:sz w:val="20"/>
                <w:szCs w:val="20"/>
              </w:rPr>
            </w:pPr>
            <w:r w:rsidRPr="00363184">
              <w:rPr>
                <w:rFonts w:ascii="Open Sans" w:eastAsia="Times New Roman" w:hAnsi="Open Sans" w:cs="Open Sans"/>
                <w:b/>
                <w:bCs/>
                <w:color w:val="000000"/>
                <w:sz w:val="20"/>
                <w:szCs w:val="20"/>
              </w:rPr>
              <w:t>I.I.5</w:t>
            </w:r>
          </w:p>
        </w:tc>
        <w:tc>
          <w:tcPr>
            <w:tcW w:w="3780" w:type="dxa"/>
            <w:tcBorders>
              <w:top w:val="nil"/>
              <w:left w:val="nil"/>
              <w:bottom w:val="single" w:sz="4" w:space="0" w:color="auto"/>
              <w:right w:val="single" w:sz="8" w:space="0" w:color="auto"/>
            </w:tcBorders>
            <w:shd w:val="clear" w:color="000000" w:fill="FFFFFF"/>
            <w:vAlign w:val="center"/>
            <w:hideMark/>
          </w:tcPr>
          <w:p w14:paraId="128FFD17" w14:textId="757A2F9F" w:rsidR="006423BF" w:rsidRPr="00363184" w:rsidRDefault="006423BF" w:rsidP="00363184">
            <w:pPr>
              <w:jc w:val="center"/>
              <w:rPr>
                <w:rFonts w:ascii="Open Sans" w:eastAsia="Times New Roman" w:hAnsi="Open Sans" w:cs="Open Sans"/>
                <w:color w:val="000000"/>
                <w:sz w:val="20"/>
                <w:szCs w:val="20"/>
              </w:rPr>
            </w:pPr>
            <w:r w:rsidRPr="00363184">
              <w:rPr>
                <w:rFonts w:ascii="Open Sans" w:eastAsia="Times New Roman" w:hAnsi="Open Sans" w:cs="Open Sans"/>
                <w:color w:val="000000"/>
                <w:sz w:val="20"/>
                <w:szCs w:val="20"/>
              </w:rPr>
              <w:t>La empresa inform</w:t>
            </w:r>
            <w:r>
              <w:rPr>
                <w:rFonts w:ascii="Open Sans" w:eastAsia="Times New Roman" w:hAnsi="Open Sans" w:cs="Open Sans"/>
                <w:color w:val="000000"/>
                <w:sz w:val="20"/>
                <w:szCs w:val="20"/>
              </w:rPr>
              <w:t>a sobre las exenciones fiscales</w:t>
            </w:r>
          </w:p>
        </w:tc>
        <w:tc>
          <w:tcPr>
            <w:tcW w:w="1276" w:type="dxa"/>
            <w:tcBorders>
              <w:top w:val="nil"/>
              <w:left w:val="nil"/>
              <w:bottom w:val="single" w:sz="4" w:space="0" w:color="auto"/>
              <w:right w:val="single" w:sz="8" w:space="0" w:color="auto"/>
            </w:tcBorders>
            <w:shd w:val="clear" w:color="000000" w:fill="FFFFFF"/>
            <w:vAlign w:val="center"/>
            <w:hideMark/>
          </w:tcPr>
          <w:p w14:paraId="38ED03D1" w14:textId="19EFE005"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4</w:t>
            </w:r>
          </w:p>
        </w:tc>
        <w:tc>
          <w:tcPr>
            <w:tcW w:w="992" w:type="dxa"/>
            <w:tcBorders>
              <w:top w:val="nil"/>
              <w:left w:val="nil"/>
              <w:bottom w:val="single" w:sz="4" w:space="0" w:color="auto"/>
              <w:right w:val="single" w:sz="8" w:space="0" w:color="auto"/>
            </w:tcBorders>
            <w:shd w:val="clear" w:color="000000" w:fill="FFFFFF"/>
            <w:vAlign w:val="center"/>
            <w:hideMark/>
          </w:tcPr>
          <w:p w14:paraId="77B8460F" w14:textId="0405D2F3"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11%</w:t>
            </w:r>
          </w:p>
        </w:tc>
        <w:tc>
          <w:tcPr>
            <w:tcW w:w="1701" w:type="dxa"/>
            <w:tcBorders>
              <w:top w:val="nil"/>
              <w:left w:val="nil"/>
              <w:bottom w:val="single" w:sz="4" w:space="0" w:color="auto"/>
              <w:right w:val="single" w:sz="8" w:space="0" w:color="auto"/>
            </w:tcBorders>
            <w:shd w:val="clear" w:color="000000" w:fill="FFFFFF"/>
            <w:vAlign w:val="center"/>
          </w:tcPr>
          <w:p w14:paraId="7364A52F" w14:textId="662528BA"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0,11</w:t>
            </w:r>
          </w:p>
        </w:tc>
      </w:tr>
      <w:tr w:rsidR="006423BF" w:rsidRPr="0002143E" w14:paraId="3658D4CD" w14:textId="77777777" w:rsidTr="006423BF">
        <w:trPr>
          <w:trHeight w:val="732"/>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88E3B62" w14:textId="3C465EEF" w:rsidR="006423BF" w:rsidRPr="00363184" w:rsidRDefault="006423BF" w:rsidP="00363184">
            <w:pPr>
              <w:jc w:val="center"/>
              <w:rPr>
                <w:rFonts w:ascii="Open Sans" w:eastAsia="Times New Roman" w:hAnsi="Open Sans" w:cs="Open Sans"/>
                <w:b/>
                <w:bCs/>
                <w:color w:val="000000"/>
                <w:sz w:val="20"/>
                <w:szCs w:val="20"/>
              </w:rPr>
            </w:pPr>
            <w:r w:rsidRPr="00363184">
              <w:rPr>
                <w:rFonts w:ascii="Open Sans" w:eastAsia="Times New Roman" w:hAnsi="Open Sans" w:cs="Open Sans"/>
                <w:b/>
                <w:bCs/>
                <w:color w:val="000000"/>
                <w:sz w:val="20"/>
                <w:szCs w:val="20"/>
              </w:rPr>
              <w:t>I.I.</w:t>
            </w:r>
            <w:r>
              <w:rPr>
                <w:rFonts w:ascii="Open Sans" w:eastAsia="Times New Roman" w:hAnsi="Open Sans" w:cs="Open Sans"/>
                <w:b/>
                <w:bCs/>
                <w:color w:val="000000"/>
                <w:sz w:val="20"/>
                <w:szCs w:val="20"/>
              </w:rPr>
              <w:t>6</w:t>
            </w:r>
          </w:p>
        </w:tc>
        <w:tc>
          <w:tcPr>
            <w:tcW w:w="3780" w:type="dxa"/>
            <w:tcBorders>
              <w:top w:val="single" w:sz="4" w:space="0" w:color="auto"/>
              <w:left w:val="single" w:sz="4" w:space="0" w:color="auto"/>
              <w:bottom w:val="single" w:sz="4" w:space="0" w:color="auto"/>
              <w:right w:val="single" w:sz="4" w:space="0" w:color="auto"/>
            </w:tcBorders>
            <w:shd w:val="clear" w:color="000000" w:fill="FFFFFF"/>
            <w:vAlign w:val="center"/>
          </w:tcPr>
          <w:p w14:paraId="2388D035" w14:textId="35E0672C" w:rsidR="006423BF" w:rsidRPr="00363184" w:rsidRDefault="006423BF" w:rsidP="00363184">
            <w:pPr>
              <w:jc w:val="center"/>
              <w:rPr>
                <w:rFonts w:ascii="Open Sans" w:eastAsia="Times New Roman" w:hAnsi="Open Sans" w:cs="Open Sans"/>
                <w:color w:val="000000"/>
                <w:sz w:val="20"/>
                <w:szCs w:val="20"/>
              </w:rPr>
            </w:pPr>
            <w:r w:rsidRPr="00363184">
              <w:rPr>
                <w:rFonts w:ascii="Open Sans" w:eastAsia="Times New Roman" w:hAnsi="Open Sans" w:cs="Open Sans"/>
                <w:color w:val="000000"/>
                <w:sz w:val="20"/>
                <w:szCs w:val="20"/>
              </w:rPr>
              <w:t>La empresa info</w:t>
            </w:r>
            <w:r>
              <w:rPr>
                <w:rFonts w:ascii="Open Sans" w:eastAsia="Times New Roman" w:hAnsi="Open Sans" w:cs="Open Sans"/>
                <w:color w:val="000000"/>
                <w:sz w:val="20"/>
                <w:szCs w:val="20"/>
              </w:rPr>
              <w:t>rma sobre los créditos fiscales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52A83E2B" w14:textId="01148829"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24</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1B65EB50" w14:textId="37AF80FF" w:rsidR="006423BF" w:rsidRPr="006423BF" w:rsidRDefault="006423BF" w:rsidP="006423BF">
            <w:pPr>
              <w:jc w:val="center"/>
              <w:rPr>
                <w:rFonts w:ascii="Open Sans" w:hAnsi="Open Sans" w:cs="Open Sans"/>
                <w:b/>
                <w:color w:val="000000"/>
                <w:sz w:val="20"/>
                <w:szCs w:val="20"/>
              </w:rPr>
            </w:pPr>
            <w:r w:rsidRPr="006423BF">
              <w:rPr>
                <w:rFonts w:ascii="Open Sans" w:hAnsi="Open Sans" w:cs="Open Sans"/>
                <w:b/>
                <w:bCs/>
                <w:color w:val="000000"/>
                <w:sz w:val="20"/>
                <w:szCs w:val="20"/>
              </w:rPr>
              <w:t>69%</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300120EC" w14:textId="577EE653" w:rsidR="006423BF" w:rsidRPr="006423BF" w:rsidRDefault="006423BF" w:rsidP="006423BF">
            <w:pPr>
              <w:jc w:val="center"/>
              <w:rPr>
                <w:rFonts w:ascii="Open Sans" w:hAnsi="Open Sans" w:cs="Open Sans"/>
                <w:b/>
                <w:bCs/>
                <w:color w:val="000000"/>
                <w:sz w:val="20"/>
                <w:szCs w:val="20"/>
              </w:rPr>
            </w:pPr>
            <w:r w:rsidRPr="006423BF">
              <w:rPr>
                <w:rFonts w:ascii="Open Sans" w:hAnsi="Open Sans" w:cs="Open Sans"/>
                <w:b/>
                <w:bCs/>
                <w:color w:val="000000"/>
                <w:sz w:val="20"/>
                <w:szCs w:val="20"/>
              </w:rPr>
              <w:t>0,94</w:t>
            </w:r>
          </w:p>
        </w:tc>
      </w:tr>
    </w:tbl>
    <w:p w14:paraId="4E1A9EDA" w14:textId="77777777" w:rsidR="000200E0" w:rsidRDefault="000200E0">
      <w:pPr>
        <w:rPr>
          <w:rFonts w:ascii="Open Sans" w:hAnsi="Open Sans" w:cs="Arial"/>
          <w:b/>
          <w:sz w:val="20"/>
          <w:szCs w:val="20"/>
        </w:rPr>
      </w:pPr>
    </w:p>
    <w:p w14:paraId="20163606" w14:textId="77777777" w:rsidR="000835E3" w:rsidRDefault="000835E3">
      <w:pPr>
        <w:rPr>
          <w:rFonts w:ascii="Open Sans" w:hAnsi="Open Sans" w:cs="Arial"/>
          <w:b/>
          <w:sz w:val="20"/>
          <w:szCs w:val="20"/>
        </w:rPr>
      </w:pPr>
    </w:p>
    <w:p w14:paraId="2DE934D1" w14:textId="77777777" w:rsidR="00683433" w:rsidRDefault="00683433">
      <w:pPr>
        <w:rPr>
          <w:rFonts w:ascii="Open Sans" w:hAnsi="Open Sans" w:cs="Arial"/>
          <w:b/>
          <w:sz w:val="20"/>
          <w:szCs w:val="20"/>
        </w:rPr>
      </w:pPr>
    </w:p>
    <w:p w14:paraId="5FE02342" w14:textId="31842CDB" w:rsidR="000835E3" w:rsidRDefault="00DC4EDD" w:rsidP="003828F3">
      <w:pPr>
        <w:jc w:val="both"/>
        <w:rPr>
          <w:rFonts w:ascii="Open Sans" w:hAnsi="Open Sans" w:cs="Arial"/>
          <w:b/>
          <w:sz w:val="22"/>
          <w:szCs w:val="22"/>
        </w:rPr>
      </w:pPr>
      <w:bookmarkStart w:id="33" w:name="II1"/>
      <w:r>
        <w:rPr>
          <w:rFonts w:ascii="Open Sans" w:hAnsi="Open Sans" w:cs="Arial"/>
          <w:b/>
          <w:sz w:val="22"/>
          <w:szCs w:val="22"/>
        </w:rPr>
        <w:t xml:space="preserve">I.I.1 </w:t>
      </w:r>
      <w:r w:rsidR="000835E3" w:rsidRPr="003828F3">
        <w:rPr>
          <w:rFonts w:ascii="Open Sans" w:hAnsi="Open Sans" w:cs="Arial"/>
          <w:b/>
          <w:sz w:val="22"/>
          <w:szCs w:val="22"/>
        </w:rPr>
        <w:t>La empresa proporciona información  sobre el impuesto sobre sociedades soportado</w:t>
      </w:r>
      <w:bookmarkEnd w:id="33"/>
    </w:p>
    <w:p w14:paraId="728D2CBE" w14:textId="77777777" w:rsidR="00DC4EDD" w:rsidRDefault="00DC4EDD" w:rsidP="003828F3">
      <w:pPr>
        <w:jc w:val="both"/>
        <w:rPr>
          <w:rFonts w:ascii="Open Sans" w:hAnsi="Open Sans" w:cs="Arial"/>
          <w:b/>
          <w:sz w:val="22"/>
          <w:szCs w:val="22"/>
        </w:rPr>
      </w:pPr>
    </w:p>
    <w:p w14:paraId="52BE3CF3" w14:textId="05185CD1" w:rsidR="00DC4EDD" w:rsidRPr="00CF6F67" w:rsidRDefault="00DC4EDD" w:rsidP="00DC4EDD">
      <w:pPr>
        <w:jc w:val="both"/>
        <w:rPr>
          <w:rFonts w:ascii="Open Sans" w:hAnsi="Open Sans" w:cs="Arial"/>
          <w:bCs/>
          <w:sz w:val="20"/>
          <w:szCs w:val="20"/>
        </w:rPr>
      </w:pPr>
      <w:r w:rsidRPr="00CF6F67">
        <w:rPr>
          <w:rFonts w:ascii="Open Sans" w:eastAsia="Times New Roman" w:hAnsi="Open Sans" w:cs="Open Sans"/>
          <w:color w:val="000000"/>
          <w:sz w:val="20"/>
          <w:szCs w:val="20"/>
        </w:rPr>
        <w:t>En relación al indicador I.I</w:t>
      </w:r>
      <w:r w:rsidR="00F7530E">
        <w:rPr>
          <w:rFonts w:ascii="Open Sans" w:eastAsia="Times New Roman" w:hAnsi="Open Sans" w:cs="Open Sans"/>
          <w:color w:val="000000"/>
          <w:sz w:val="20"/>
          <w:szCs w:val="20"/>
        </w:rPr>
        <w:t>.1</w:t>
      </w:r>
      <w:r>
        <w:rPr>
          <w:rFonts w:ascii="Open Sans" w:eastAsia="Times New Roman" w:hAnsi="Open Sans" w:cs="Open Sans"/>
          <w:color w:val="000000"/>
          <w:sz w:val="20"/>
          <w:szCs w:val="20"/>
        </w:rPr>
        <w:t xml:space="preserve"> </w:t>
      </w:r>
      <w:r w:rsidRPr="00CF6F67">
        <w:rPr>
          <w:rFonts w:ascii="Open Sans" w:eastAsia="Times New Roman" w:hAnsi="Open Sans" w:cs="Open Sans"/>
          <w:color w:val="000000"/>
          <w:sz w:val="20"/>
          <w:szCs w:val="20"/>
        </w:rPr>
        <w:t xml:space="preserve">se exige que la empresa informe sobre el impuesto sobre sociedades que soporta en cada uno de los países en los que opera. De acuerdo con este criterio </w:t>
      </w:r>
      <w:r w:rsidRPr="00EF34E5">
        <w:rPr>
          <w:rFonts w:ascii="Open Sans" w:eastAsia="Times New Roman" w:hAnsi="Open Sans" w:cs="Open Sans"/>
          <w:color w:val="000000"/>
          <w:sz w:val="20"/>
          <w:szCs w:val="20"/>
        </w:rPr>
        <w:t xml:space="preserve">solamente </w:t>
      </w:r>
      <w:r w:rsidR="006423BF" w:rsidRPr="00EF34E5">
        <w:rPr>
          <w:rFonts w:ascii="Open Sans" w:eastAsia="Times New Roman" w:hAnsi="Open Sans" w:cs="Open Sans"/>
          <w:b/>
          <w:color w:val="000000"/>
          <w:sz w:val="20"/>
          <w:szCs w:val="20"/>
        </w:rPr>
        <w:t>2</w:t>
      </w:r>
      <w:r w:rsidRPr="00EF34E5">
        <w:rPr>
          <w:rFonts w:ascii="Open Sans" w:eastAsia="Times New Roman" w:hAnsi="Open Sans" w:cs="Open Sans"/>
          <w:b/>
          <w:color w:val="000000"/>
          <w:sz w:val="20"/>
          <w:szCs w:val="20"/>
        </w:rPr>
        <w:t xml:space="preserve"> de las </w:t>
      </w:r>
      <w:r w:rsidRPr="00EF34E5">
        <w:rPr>
          <w:rFonts w:ascii="Open Sans" w:hAnsi="Open Sans" w:cs="Arial"/>
          <w:b/>
          <w:bCs/>
          <w:sz w:val="20"/>
          <w:szCs w:val="20"/>
        </w:rPr>
        <w:t>35 empresas</w:t>
      </w:r>
      <w:r w:rsidRPr="00EF34E5">
        <w:rPr>
          <w:rFonts w:ascii="Open Sans" w:hAnsi="Open Sans" w:cs="Arial"/>
          <w:bCs/>
          <w:sz w:val="20"/>
          <w:szCs w:val="20"/>
        </w:rPr>
        <w:t xml:space="preserve"> presentan información del impuesto de sociedades pagado por país en los que tiene presencia (</w:t>
      </w:r>
      <w:r w:rsidR="00EF34E5">
        <w:rPr>
          <w:rFonts w:ascii="Open Sans" w:hAnsi="Open Sans" w:cs="Arial"/>
          <w:bCs/>
          <w:sz w:val="20"/>
          <w:szCs w:val="20"/>
        </w:rPr>
        <w:t xml:space="preserve">BANCO SANTANDER y </w:t>
      </w:r>
      <w:r w:rsidRPr="00EF34E5">
        <w:rPr>
          <w:rFonts w:ascii="Open Sans" w:hAnsi="Open Sans" w:cs="Arial"/>
          <w:bCs/>
          <w:sz w:val="20"/>
          <w:szCs w:val="20"/>
        </w:rPr>
        <w:t xml:space="preserve">MEDIASET), no obstante ninguna de las empresas analizadas informa sobre cuota, base imponible y resultado contable antes de impuesto por país. </w:t>
      </w:r>
      <w:r w:rsidR="006423BF">
        <w:rPr>
          <w:rFonts w:ascii="Open Sans" w:hAnsi="Open Sans" w:cs="Arial"/>
          <w:bCs/>
          <w:sz w:val="20"/>
          <w:szCs w:val="20"/>
        </w:rPr>
        <w:t>Además, u</w:t>
      </w:r>
      <w:r w:rsidRPr="00CF6F67">
        <w:rPr>
          <w:rFonts w:ascii="Open Sans" w:hAnsi="Open Sans" w:cs="Arial"/>
          <w:bCs/>
          <w:sz w:val="20"/>
          <w:szCs w:val="20"/>
        </w:rPr>
        <w:t xml:space="preserve">na de  las empresas </w:t>
      </w:r>
      <w:r w:rsidR="006423BF">
        <w:rPr>
          <w:rFonts w:ascii="Open Sans" w:hAnsi="Open Sans" w:cs="Arial"/>
          <w:bCs/>
          <w:sz w:val="20"/>
          <w:szCs w:val="20"/>
        </w:rPr>
        <w:t>que cumple con este indicador es</w:t>
      </w:r>
      <w:r w:rsidRPr="00CF6F67">
        <w:rPr>
          <w:rFonts w:ascii="Open Sans" w:hAnsi="Open Sans" w:cs="Arial"/>
          <w:bCs/>
          <w:sz w:val="20"/>
          <w:szCs w:val="20"/>
        </w:rPr>
        <w:t xml:space="preserve"> </w:t>
      </w:r>
      <w:r w:rsidR="007F55EB" w:rsidRPr="00CF6F67">
        <w:rPr>
          <w:rFonts w:ascii="Open Sans" w:hAnsi="Open Sans" w:cs="Arial"/>
          <w:bCs/>
          <w:sz w:val="20"/>
          <w:szCs w:val="20"/>
        </w:rPr>
        <w:t>Mediaset</w:t>
      </w:r>
      <w:r w:rsidRPr="00CF6F67">
        <w:rPr>
          <w:rFonts w:ascii="Open Sans" w:hAnsi="Open Sans" w:cs="Arial"/>
          <w:bCs/>
          <w:sz w:val="20"/>
          <w:szCs w:val="20"/>
        </w:rPr>
        <w:t xml:space="preserve"> que solamente tiene presencia en España.   </w:t>
      </w:r>
    </w:p>
    <w:p w14:paraId="67350EC4" w14:textId="77777777" w:rsidR="00DC4EDD" w:rsidRDefault="00DC4EDD" w:rsidP="00DC4EDD">
      <w:pPr>
        <w:jc w:val="both"/>
        <w:rPr>
          <w:rFonts w:ascii="Open Sans" w:hAnsi="Open Sans" w:cs="Arial"/>
          <w:bCs/>
          <w:sz w:val="20"/>
          <w:szCs w:val="20"/>
        </w:rPr>
      </w:pPr>
    </w:p>
    <w:p w14:paraId="660F77A5" w14:textId="77777777" w:rsidR="00D33AF1" w:rsidRPr="00096F86" w:rsidRDefault="00D33AF1" w:rsidP="00D33AF1">
      <w:pPr>
        <w:jc w:val="both"/>
        <w:rPr>
          <w:rFonts w:ascii="Open Sans" w:hAnsi="Open Sans" w:cs="Open Sans"/>
          <w:sz w:val="20"/>
          <w:szCs w:val="20"/>
        </w:rPr>
      </w:pPr>
      <w:r w:rsidRPr="005A2D75">
        <w:rPr>
          <w:rFonts w:ascii="Open Sans" w:hAnsi="Open Sans" w:cs="Open Sans"/>
          <w:sz w:val="20"/>
          <w:szCs w:val="20"/>
        </w:rPr>
        <w:t>La informac</w:t>
      </w:r>
      <w:r w:rsidRPr="00305A91">
        <w:rPr>
          <w:rFonts w:ascii="Open Sans" w:hAnsi="Open Sans" w:cs="Open Sans"/>
          <w:sz w:val="20"/>
          <w:szCs w:val="20"/>
        </w:rPr>
        <w:t xml:space="preserve">ión sobre el pago de impuestos y recepción de subvenciones resulta relevante para conocer las condiciones en las que la empresa multinacional opera en un país concreto y en qué medida está aportando al desarrollo del mismo, a través de su contribución a los recursos públicos. A través de estos indicadores es posible comprobar además la coherencia entre sus compromisos y su voluntad de generar riqueza, contribuir al desarrollo y a la generación de impactos positivos (en los casos en los que estos existen) y </w:t>
      </w:r>
      <w:r w:rsidRPr="00096F86">
        <w:rPr>
          <w:rFonts w:ascii="Open Sans" w:hAnsi="Open Sans" w:cs="Open Sans"/>
          <w:sz w:val="20"/>
          <w:szCs w:val="20"/>
        </w:rPr>
        <w:t>las prácticas reales implementadas en base a sus políticas fiscal y económica. Así, por ejemplo, no resultan coherentes los grandes compromisos identificados con el desarrollo económico de los países en los que operan y el progresivo aumento de sociedades en paraísos fiscales, al igual que estas prácticas resultan reprochables en el caso de empresas que se benefician de subvenciones y/o diferentes posibilidades de aplicación de exenciones fiscales reguladas a través de distintas normativas.</w:t>
      </w:r>
    </w:p>
    <w:p w14:paraId="1F3241B5" w14:textId="77777777" w:rsidR="00D33AF1" w:rsidRPr="00CF6F67" w:rsidRDefault="00D33AF1" w:rsidP="00DC4EDD">
      <w:pPr>
        <w:jc w:val="both"/>
        <w:rPr>
          <w:rFonts w:ascii="Open Sans" w:hAnsi="Open Sans" w:cs="Arial"/>
          <w:bCs/>
          <w:sz w:val="20"/>
          <w:szCs w:val="20"/>
        </w:rPr>
      </w:pPr>
    </w:p>
    <w:p w14:paraId="4ACB9E5A" w14:textId="6DE2EB45" w:rsidR="00DC4EDD" w:rsidRPr="00CF6F67" w:rsidRDefault="00DC4EDD" w:rsidP="00130E31">
      <w:pPr>
        <w:jc w:val="both"/>
        <w:rPr>
          <w:rFonts w:ascii="Open Sans" w:hAnsi="Open Sans" w:cs="TT1CEt00"/>
          <w:sz w:val="20"/>
          <w:szCs w:val="20"/>
        </w:rPr>
      </w:pPr>
      <w:r w:rsidRPr="00CF6F67">
        <w:rPr>
          <w:rFonts w:ascii="Open Sans" w:hAnsi="Open Sans" w:cs="Open Sans"/>
          <w:sz w:val="20"/>
          <w:szCs w:val="20"/>
        </w:rPr>
        <w:t xml:space="preserve">Cada vez es mayor el número de investigaciones que establecen una relación entre fiscalidad y derechos humanos, y más concretamente que consideran el impacto de la política fiscal y tributaria en el disfrute de los derechos humanos de las personas que viven en la pobreza. Las investigaciones apuntan a que bajos niveles de ingreso fiscales nacionales, en particular, podrían ser un obstáculo importante para el cumplimiento de la obligación del Estado de garantizar los derechos humanos. En este sentido se </w:t>
      </w:r>
      <w:r w:rsidRPr="00EF34E5">
        <w:rPr>
          <w:rFonts w:ascii="Open Sans" w:hAnsi="Open Sans" w:cs="Open Sans"/>
          <w:sz w:val="20"/>
          <w:szCs w:val="20"/>
        </w:rPr>
        <w:t>han identificado muchos compromisos y declaraciones de las empresas analizadas  en favor de una aportación tributaria justa en los países en donde operan y de marcos de transparencia fiscal</w:t>
      </w:r>
      <w:r w:rsidRPr="00EF34E5">
        <w:rPr>
          <w:rFonts w:ascii="Open Sans" w:hAnsi="Open Sans" w:cs="TT1CEt00"/>
          <w:sz w:val="20"/>
          <w:szCs w:val="20"/>
        </w:rPr>
        <w:t>.</w:t>
      </w:r>
      <w:r w:rsidRPr="00CF6F67">
        <w:rPr>
          <w:rFonts w:ascii="Open Sans" w:hAnsi="Open Sans" w:cs="TT1CEt00"/>
          <w:sz w:val="20"/>
          <w:szCs w:val="20"/>
        </w:rPr>
        <w:t xml:space="preserve"> </w:t>
      </w:r>
      <w:r w:rsidRPr="00CF6F67">
        <w:rPr>
          <w:rFonts w:ascii="Open Sans" w:hAnsi="Open Sans" w:cs="Arial"/>
          <w:bCs/>
          <w:sz w:val="20"/>
          <w:szCs w:val="20"/>
        </w:rPr>
        <w:t>GRIFOLS</w:t>
      </w:r>
      <w:r w:rsidR="00130E31">
        <w:rPr>
          <w:rFonts w:ascii="Open Sans" w:hAnsi="Open Sans" w:cs="Arial"/>
          <w:bCs/>
          <w:sz w:val="20"/>
          <w:szCs w:val="20"/>
        </w:rPr>
        <w:t xml:space="preserve">, por ejemplo, </w:t>
      </w:r>
      <w:r w:rsidRPr="00CF6F67">
        <w:rPr>
          <w:rFonts w:ascii="Open Sans" w:hAnsi="Open Sans" w:cs="Arial"/>
          <w:bCs/>
          <w:sz w:val="20"/>
          <w:szCs w:val="20"/>
        </w:rPr>
        <w:t xml:space="preserve"> indica expresamente en su política fiscal que el pago de impuestos es para la empresa un elemento esencial de su política de responsabilidad social y un pilar de su contribución económica y social a la comunidad. Se compromete con el principio de cumplir adecuadamente con la legislación vigente tributando en todos los países en los que opera de forma justa e indica que la transparencia informativa en materia fiscal es esencial.</w:t>
      </w:r>
      <w:r w:rsidR="00130E31">
        <w:rPr>
          <w:rFonts w:ascii="Open Sans" w:hAnsi="Open Sans" w:cs="Arial"/>
          <w:bCs/>
          <w:sz w:val="20"/>
          <w:szCs w:val="20"/>
        </w:rPr>
        <w:t xml:space="preserve"> No obstante, p</w:t>
      </w:r>
      <w:r w:rsidRPr="00CF6F67">
        <w:rPr>
          <w:rFonts w:ascii="Open Sans" w:hAnsi="Open Sans" w:cs="Arial"/>
          <w:bCs/>
          <w:sz w:val="20"/>
          <w:szCs w:val="20"/>
        </w:rPr>
        <w:t>ese a estas declaraciones de principios la empresa no aporta datos de impuestos pagados de manera desglosada por país.</w:t>
      </w:r>
    </w:p>
    <w:p w14:paraId="0086C89A" w14:textId="77777777" w:rsidR="00DC4EDD" w:rsidRPr="00CF6F67" w:rsidRDefault="00DC4EDD" w:rsidP="00DC4EDD">
      <w:pPr>
        <w:autoSpaceDE w:val="0"/>
        <w:autoSpaceDN w:val="0"/>
        <w:adjustRightInd w:val="0"/>
        <w:jc w:val="both"/>
        <w:rPr>
          <w:rFonts w:ascii="Open Sans" w:hAnsi="Open Sans" w:cs="TT1CEt00"/>
          <w:sz w:val="20"/>
          <w:szCs w:val="20"/>
        </w:rPr>
      </w:pPr>
    </w:p>
    <w:p w14:paraId="46BE2739" w14:textId="105135D3" w:rsidR="00DC4EDD" w:rsidRDefault="00DC4EDD" w:rsidP="00DC4EDD">
      <w:pPr>
        <w:autoSpaceDE w:val="0"/>
        <w:autoSpaceDN w:val="0"/>
        <w:adjustRightInd w:val="0"/>
        <w:jc w:val="both"/>
        <w:rPr>
          <w:rFonts w:ascii="Open Sans" w:hAnsi="Open Sans" w:cs="Open Sans"/>
          <w:sz w:val="20"/>
          <w:szCs w:val="20"/>
        </w:rPr>
      </w:pPr>
      <w:r w:rsidRPr="00CF6F67">
        <w:rPr>
          <w:rFonts w:ascii="Open Sans" w:hAnsi="Open Sans" w:cs="TT1CEt00"/>
          <w:sz w:val="20"/>
          <w:szCs w:val="20"/>
        </w:rPr>
        <w:t xml:space="preserve">En el caso de TELEFÓNICA, la empresa </w:t>
      </w:r>
      <w:r w:rsidRPr="00CF6F67">
        <w:rPr>
          <w:rFonts w:ascii="Open Sans" w:hAnsi="Open Sans" w:cs="Arial"/>
          <w:sz w:val="20"/>
          <w:szCs w:val="20"/>
        </w:rPr>
        <w:t xml:space="preserve">considera en su estrategia de Negocio Responsable que uno de los importantes compromisos con la sostenibilidad es la aportación tributaria y la información clara y transparente. En el Informe de Integrado 2015, en su apartado </w:t>
      </w:r>
      <w:r w:rsidRPr="00CF6F67">
        <w:rPr>
          <w:rStyle w:val="A10"/>
          <w:rFonts w:ascii="Open Sans" w:hAnsi="Open Sans" w:cs="Arial"/>
          <w:sz w:val="20"/>
          <w:szCs w:val="20"/>
        </w:rPr>
        <w:t>Contribución a las haciendas locales,</w:t>
      </w:r>
      <w:r w:rsidRPr="00CF6F67">
        <w:rPr>
          <w:rStyle w:val="A8"/>
          <w:rFonts w:ascii="Open Sans" w:hAnsi="Open Sans" w:cs="Arial"/>
          <w:sz w:val="20"/>
          <w:szCs w:val="20"/>
        </w:rPr>
        <w:t xml:space="preserve"> </w:t>
      </w:r>
      <w:r w:rsidRPr="00EF34E5">
        <w:rPr>
          <w:rFonts w:ascii="Open Sans" w:hAnsi="Open Sans" w:cs="Arial"/>
          <w:sz w:val="20"/>
          <w:szCs w:val="20"/>
        </w:rPr>
        <w:t>TELEFÓNICA</w:t>
      </w:r>
      <w:r w:rsidRPr="00CF6F67">
        <w:rPr>
          <w:rFonts w:ascii="Open Sans" w:hAnsi="Open Sans" w:cs="Arial"/>
          <w:sz w:val="20"/>
          <w:szCs w:val="20"/>
        </w:rPr>
        <w:t xml:space="preserve"> informa sobre la contribución tributaria total (CTT), la distribución de los impuestos pagados por telefónica por macro áreas geográficas: España, Brasil Hispanoamérica y un agregado, resto junto con un desglose de impuestos soportados y recaudados por los siguientes conceptos: Impuestos sobre beneficios, impuestos asociados al empleo e impuestos  sobre productos y servicios. Este detalle supone un avance respecto a información de periodos anteriores, dado que cada uno de ellos responde a distintos requisitos legales, realiza una contribución diferente a la sociedad y disfruta de distintos tipos de exenciones, se echaba en falta, a efectos de transparencia, un desglose por naturaleza. No obstante </w:t>
      </w:r>
      <w:r w:rsidRPr="00EF34E5">
        <w:rPr>
          <w:rFonts w:ascii="Open Sans" w:hAnsi="Open Sans" w:cs="Arial"/>
          <w:sz w:val="20"/>
          <w:szCs w:val="20"/>
        </w:rPr>
        <w:t xml:space="preserve">al informar </w:t>
      </w:r>
      <w:r w:rsidR="00130E31" w:rsidRPr="00EF34E5">
        <w:rPr>
          <w:rFonts w:ascii="Open Sans" w:hAnsi="Open Sans" w:cs="Arial"/>
          <w:sz w:val="20"/>
          <w:szCs w:val="20"/>
        </w:rPr>
        <w:t xml:space="preserve">de </w:t>
      </w:r>
      <w:r w:rsidRPr="00EF34E5">
        <w:rPr>
          <w:rFonts w:ascii="Open Sans" w:hAnsi="Open Sans" w:cs="Arial"/>
          <w:sz w:val="20"/>
          <w:szCs w:val="20"/>
        </w:rPr>
        <w:t xml:space="preserve">la contribución total por países no se realiza este desglose, reportándose cifras globales de impuestos soportados e impuestos recaudados. </w:t>
      </w:r>
      <w:r w:rsidRPr="00EF34E5">
        <w:rPr>
          <w:rFonts w:ascii="Open Sans" w:eastAsia="Calibri" w:hAnsi="Open Sans" w:cs="Arial"/>
          <w:sz w:val="20"/>
          <w:szCs w:val="20"/>
        </w:rPr>
        <w:t>Facilita en su memoria de sostenibilidad un cuadro con los impuestos soportados y recaudados en 14 países, información totalmente insuficiente para conocer el comportamiento y contribución fiscal de Telefónica,</w:t>
      </w:r>
      <w:r w:rsidRPr="00CF6F67">
        <w:rPr>
          <w:rFonts w:ascii="Open Sans" w:eastAsia="Calibri" w:hAnsi="Open Sans" w:cs="Arial"/>
          <w:sz w:val="20"/>
          <w:szCs w:val="20"/>
        </w:rPr>
        <w:t xml:space="preserve"> ya que no facilita información por tipo de impuesto, ni tipos nominales y efectivos en el caso del impuesto de sociedades por país. Tampoco se detallan estos aspectos en el Informe Financiero de 2015.</w:t>
      </w:r>
    </w:p>
    <w:p w14:paraId="264C9A3B" w14:textId="77777777" w:rsidR="00DC4EDD" w:rsidRDefault="00DC4EDD" w:rsidP="00DC4EDD">
      <w:pPr>
        <w:autoSpaceDE w:val="0"/>
        <w:autoSpaceDN w:val="0"/>
        <w:adjustRightInd w:val="0"/>
        <w:jc w:val="both"/>
        <w:rPr>
          <w:rFonts w:ascii="Open Sans" w:hAnsi="Open Sans" w:cs="Open Sans"/>
          <w:sz w:val="20"/>
          <w:szCs w:val="20"/>
        </w:rPr>
      </w:pPr>
    </w:p>
    <w:p w14:paraId="258A01B4" w14:textId="07F3929F" w:rsidR="00DC4EDD" w:rsidRPr="00DC4EDD" w:rsidRDefault="00DC4EDD" w:rsidP="00DC4EDD">
      <w:pPr>
        <w:autoSpaceDE w:val="0"/>
        <w:autoSpaceDN w:val="0"/>
        <w:adjustRightInd w:val="0"/>
        <w:jc w:val="both"/>
        <w:rPr>
          <w:rFonts w:ascii="Open Sans" w:hAnsi="Open Sans" w:cs="Open Sans"/>
          <w:sz w:val="20"/>
          <w:szCs w:val="20"/>
        </w:rPr>
      </w:pPr>
      <w:r w:rsidRPr="00EF34E5">
        <w:rPr>
          <w:rFonts w:ascii="Open Sans" w:hAnsi="Open Sans" w:cs="Arial"/>
          <w:sz w:val="20"/>
          <w:szCs w:val="20"/>
        </w:rPr>
        <w:t>La compañía centra su ejercicio de transparencia fiscal en el aspecto de contribución</w:t>
      </w:r>
      <w:r w:rsidRPr="00EF34E5">
        <w:rPr>
          <w:rStyle w:val="A8"/>
          <w:rFonts w:ascii="Open Sans" w:hAnsi="Open Sans" w:cs="Arial"/>
          <w:sz w:val="20"/>
          <w:szCs w:val="20"/>
        </w:rPr>
        <w:t xml:space="preserve"> tributaria total (CTT), con el agregado de impuestos recaudados e impuestos soportados, lo que le permite reportar unas cifras importantes de contribución económica a la sociedad</w:t>
      </w:r>
      <w:r w:rsidRPr="00CF6F67">
        <w:rPr>
          <w:rStyle w:val="A8"/>
          <w:rFonts w:ascii="Open Sans" w:hAnsi="Open Sans" w:cs="Arial"/>
          <w:sz w:val="20"/>
          <w:szCs w:val="20"/>
        </w:rPr>
        <w:t xml:space="preserve">. Adicionalmente, este ejercicio de transparencia hacia la sociedad, se completa con la explicación de su posicionamiento respecto la operación en territorios de </w:t>
      </w:r>
      <w:r w:rsidRPr="00CF6F67">
        <w:rPr>
          <w:rFonts w:ascii="Open Sans" w:hAnsi="Open Sans" w:cs="Arial"/>
          <w:sz w:val="20"/>
          <w:szCs w:val="20"/>
        </w:rPr>
        <w:t>considerados como de escasa o nula tributación, justificada con el argumento de que su presencia de debe a propósitos comerciales, junto con de la operativa de control que garantiza los principio de fiscalidad responsable y la adhesión al código d</w:t>
      </w:r>
      <w:r>
        <w:rPr>
          <w:rFonts w:ascii="Open Sans" w:hAnsi="Open Sans" w:cs="Arial"/>
          <w:sz w:val="20"/>
          <w:szCs w:val="20"/>
        </w:rPr>
        <w:t>e buenas prácticas tributarias.</w:t>
      </w:r>
    </w:p>
    <w:p w14:paraId="79F4BBC3" w14:textId="77777777" w:rsidR="00DC4EDD" w:rsidRDefault="00DC4EDD" w:rsidP="00DC4EDD">
      <w:pPr>
        <w:jc w:val="both"/>
        <w:rPr>
          <w:rFonts w:ascii="Open Sans" w:hAnsi="Open Sans" w:cs="Arial"/>
          <w:sz w:val="20"/>
          <w:szCs w:val="20"/>
        </w:rPr>
      </w:pPr>
    </w:p>
    <w:p w14:paraId="00036E64" w14:textId="3A701C26" w:rsidR="00DC4EDD" w:rsidRPr="00EF34E5" w:rsidRDefault="00DC4EDD" w:rsidP="00DC4EDD">
      <w:pPr>
        <w:jc w:val="both"/>
        <w:rPr>
          <w:rFonts w:ascii="Open Sans" w:hAnsi="Open Sans" w:cs="Arial"/>
          <w:sz w:val="20"/>
          <w:szCs w:val="20"/>
        </w:rPr>
      </w:pPr>
      <w:r w:rsidRPr="00CF6F67">
        <w:rPr>
          <w:rFonts w:ascii="Open Sans" w:hAnsi="Open Sans" w:cs="Arial"/>
          <w:sz w:val="20"/>
          <w:szCs w:val="20"/>
        </w:rPr>
        <w:t xml:space="preserve">No obstante todo ello, </w:t>
      </w:r>
      <w:r w:rsidRPr="00EF34E5">
        <w:rPr>
          <w:rFonts w:ascii="Open Sans" w:hAnsi="Open Sans" w:cs="Arial"/>
          <w:sz w:val="20"/>
          <w:szCs w:val="20"/>
        </w:rPr>
        <w:t xml:space="preserve">la mayor parte de la información que explicaría hechos como que </w:t>
      </w:r>
      <w:r w:rsidRPr="00EF34E5">
        <w:rPr>
          <w:rFonts w:ascii="Open Sans" w:hAnsi="Open Sans" w:cs="Arial"/>
          <w:bCs/>
          <w:sz w:val="20"/>
          <w:szCs w:val="20"/>
        </w:rPr>
        <w:t>Telefónica</w:t>
      </w:r>
      <w:r w:rsidRPr="00EF34E5">
        <w:rPr>
          <w:rFonts w:ascii="Open Sans" w:hAnsi="Open Sans" w:cs="Arial"/>
          <w:sz w:val="20"/>
          <w:szCs w:val="20"/>
        </w:rPr>
        <w:t xml:space="preserve"> haya pagado en 2015 por impuesto de Sociedades 13 millones de euros, teniendo  un beneficio neto de 2.745 millones de euros, presentando un resultado contable antes de impuestos de 311 millones de euros, lo que supone una tasa efectiva del 4,2%, hay que extraerla de las cuentas anuales, que tienen un lenguaje técnico y difícilmente comprensible para los no expertos en la materia. </w:t>
      </w:r>
    </w:p>
    <w:p w14:paraId="1EAE982B" w14:textId="77777777" w:rsidR="00DC4EDD" w:rsidRPr="00CF6F67" w:rsidRDefault="00DC4EDD" w:rsidP="00DC4EDD">
      <w:pPr>
        <w:autoSpaceDE w:val="0"/>
        <w:autoSpaceDN w:val="0"/>
        <w:adjustRightInd w:val="0"/>
        <w:jc w:val="both"/>
        <w:rPr>
          <w:rFonts w:ascii="Open Sans" w:hAnsi="Open Sans" w:cs="Arial"/>
          <w:sz w:val="20"/>
          <w:szCs w:val="20"/>
        </w:rPr>
      </w:pPr>
    </w:p>
    <w:p w14:paraId="2B10790C" w14:textId="77777777" w:rsidR="00DC4EDD" w:rsidRPr="00CF6F67" w:rsidRDefault="00DC4EDD" w:rsidP="00DC4EDD">
      <w:pPr>
        <w:autoSpaceDE w:val="0"/>
        <w:autoSpaceDN w:val="0"/>
        <w:adjustRightInd w:val="0"/>
        <w:jc w:val="both"/>
        <w:rPr>
          <w:rFonts w:ascii="Open Sans" w:eastAsia="Calibri" w:hAnsi="Open Sans" w:cs="Open Sans"/>
          <w:sz w:val="20"/>
          <w:szCs w:val="20"/>
        </w:rPr>
      </w:pPr>
      <w:r w:rsidRPr="00EF34E5">
        <w:rPr>
          <w:rFonts w:ascii="Open Sans" w:eastAsia="Calibri" w:hAnsi="Open Sans" w:cs="Open Sans"/>
          <w:sz w:val="20"/>
          <w:szCs w:val="20"/>
        </w:rPr>
        <w:t xml:space="preserve">ACCIONA </w:t>
      </w:r>
      <w:r w:rsidRPr="00CF6F67">
        <w:rPr>
          <w:rFonts w:ascii="Open Sans" w:eastAsia="Calibri" w:hAnsi="Open Sans" w:cs="Open Sans"/>
          <w:sz w:val="20"/>
          <w:szCs w:val="20"/>
        </w:rPr>
        <w:t>afirma en su estrategia que “considera importante la contribución efectuada mediante el pago de impuestos, tanto soportados como recaudados, en todos los territorios en los que operamos, contribuyendo al desarrollo económico, social y ambiental en el entorno y en los grupos de interés implicados en nuestras actividades”. En su memoria de sostenibilidad señala “</w:t>
      </w:r>
      <w:r w:rsidRPr="00EF34E5">
        <w:rPr>
          <w:rFonts w:ascii="Open Sans" w:eastAsia="Calibri" w:hAnsi="Open Sans" w:cs="Open Sans"/>
          <w:sz w:val="20"/>
          <w:szCs w:val="20"/>
        </w:rPr>
        <w:t>Para poder aportar confianza y credibilidad a la sociedad, es importante informar de manera clara y transparente sobre cuestiones como la fiscalidad. Es necesario el reporte de información fiscal tanto a nivel internacional como nacional y regional”, sin embargo la información de la compañía en relación a su contribución en los países en los que tiene presencia y a través de sus sociedades dependientes es anecdótica.  Facilita en su memoria de sostenibilidad un cuadro con los impuestos soportados y recaudados en 12 países</w:t>
      </w:r>
      <w:r w:rsidRPr="00CF6F67">
        <w:rPr>
          <w:rFonts w:ascii="Open Sans" w:eastAsia="Calibri" w:hAnsi="Open Sans" w:cs="Open Sans"/>
          <w:sz w:val="20"/>
          <w:szCs w:val="20"/>
        </w:rPr>
        <w:t>, información totalmente insuficiente para conocer el comportamiento y contribución fiscal de Acciona. No facilita información por tipo de impuesto, ni tipos nominales y efectivos en el caso del impuesto de sociedades por país.</w:t>
      </w:r>
    </w:p>
    <w:p w14:paraId="32009757" w14:textId="77777777" w:rsidR="00DC4EDD" w:rsidRPr="00CF6F67" w:rsidRDefault="00DC4EDD" w:rsidP="00DC4EDD">
      <w:pPr>
        <w:autoSpaceDE w:val="0"/>
        <w:autoSpaceDN w:val="0"/>
        <w:adjustRightInd w:val="0"/>
        <w:jc w:val="both"/>
        <w:rPr>
          <w:rFonts w:ascii="Open Sans" w:hAnsi="Open Sans" w:cs="Arial"/>
          <w:sz w:val="20"/>
          <w:szCs w:val="20"/>
        </w:rPr>
      </w:pPr>
    </w:p>
    <w:p w14:paraId="5BBABBDC" w14:textId="77777777" w:rsidR="00DC4EDD" w:rsidRPr="00CF6F67" w:rsidRDefault="00DC4EDD" w:rsidP="00DC4EDD">
      <w:pPr>
        <w:tabs>
          <w:tab w:val="left" w:pos="709"/>
        </w:tabs>
        <w:jc w:val="both"/>
        <w:rPr>
          <w:rFonts w:ascii="Open Sans" w:eastAsia="Calibri" w:hAnsi="Open Sans" w:cs="Open Sans"/>
          <w:sz w:val="20"/>
          <w:szCs w:val="20"/>
        </w:rPr>
      </w:pPr>
      <w:r w:rsidRPr="00CF6F67">
        <w:rPr>
          <w:rFonts w:ascii="Open Sans" w:hAnsi="Open Sans" w:cs="Arial"/>
          <w:sz w:val="20"/>
          <w:szCs w:val="20"/>
        </w:rPr>
        <w:t>ENAGAS, En la misma línea dice: “</w:t>
      </w:r>
      <w:r w:rsidRPr="00CF6F67">
        <w:rPr>
          <w:rFonts w:ascii="Open Sans" w:hAnsi="Open Sans" w:cs="Arial"/>
          <w:i/>
          <w:sz w:val="20"/>
          <w:szCs w:val="20"/>
        </w:rPr>
        <w:t>los tributos constituyen la principal aportación de Enagás y sus filiales al sostenimiento de las cargas públicas y al desarrollo de las comunidades donde operan</w:t>
      </w:r>
      <w:r w:rsidRPr="00CF6F67">
        <w:rPr>
          <w:rFonts w:ascii="Open Sans" w:hAnsi="Open Sans" w:cs="Arial"/>
          <w:sz w:val="20"/>
          <w:szCs w:val="20"/>
        </w:rPr>
        <w:t>”</w:t>
      </w:r>
      <w:r w:rsidRPr="00CF6F67">
        <w:rPr>
          <w:rStyle w:val="Refdenotaalpie"/>
          <w:rFonts w:ascii="Open Sans" w:hAnsi="Open Sans" w:cs="Arial"/>
          <w:sz w:val="20"/>
          <w:szCs w:val="20"/>
        </w:rPr>
        <w:footnoteReference w:id="67"/>
      </w:r>
      <w:r w:rsidRPr="00CF6F67">
        <w:rPr>
          <w:rFonts w:ascii="Open Sans" w:hAnsi="Open Sans" w:cs="Arial"/>
          <w:sz w:val="20"/>
          <w:szCs w:val="20"/>
        </w:rPr>
        <w:t xml:space="preserve">. Sin embargo, solamente facilita el dato global de pago de impuestos lo que no permite comprobar el grado de contribución en cada una de las comunidades donde opera, por lo que esta información es totalmente insuficiente para </w:t>
      </w:r>
      <w:r w:rsidRPr="00CF6F67">
        <w:rPr>
          <w:rFonts w:ascii="Open Sans" w:eastAsia="Calibri" w:hAnsi="Open Sans" w:cs="Open Sans"/>
          <w:sz w:val="20"/>
          <w:szCs w:val="20"/>
        </w:rPr>
        <w:t>conocer el comportamiento y contribución fiscal detallada de Enagás. Además este año no presenta el cuadro con el desglose por filial, que sí se presentaba en el informe anterior. Esto significa un empeoramiento en la información reportada de la que no se da ninguna explicación ni motivo. Desde luego supone una mala noticia que la única empresa del IBEX35 que aportaba esta información en el ejercicio 2014 haya sufrido un retroceso en su rendición de cuentas respecto a sus grupos de interés y comunidades donde está presente.</w:t>
      </w:r>
    </w:p>
    <w:p w14:paraId="25C5C18D" w14:textId="77777777" w:rsidR="00DC4EDD" w:rsidRPr="00CF6F67" w:rsidRDefault="00DC4EDD" w:rsidP="00DC4EDD">
      <w:pPr>
        <w:autoSpaceDE w:val="0"/>
        <w:autoSpaceDN w:val="0"/>
        <w:adjustRightInd w:val="0"/>
        <w:jc w:val="both"/>
        <w:rPr>
          <w:rFonts w:ascii="Open Sans" w:hAnsi="Open Sans" w:cs="Arial"/>
          <w:sz w:val="20"/>
          <w:szCs w:val="20"/>
        </w:rPr>
      </w:pPr>
    </w:p>
    <w:p w14:paraId="2E9EF91E" w14:textId="168AA15E" w:rsidR="00DC4EDD" w:rsidRPr="00CF6F67" w:rsidRDefault="00DC4EDD" w:rsidP="00DC4EDD">
      <w:pPr>
        <w:jc w:val="both"/>
        <w:rPr>
          <w:rFonts w:ascii="Open Sans" w:hAnsi="Open Sans" w:cs="Arial"/>
          <w:sz w:val="20"/>
          <w:szCs w:val="20"/>
          <w:u w:val="single"/>
        </w:rPr>
      </w:pPr>
      <w:r w:rsidRPr="00CF6F67">
        <w:rPr>
          <w:rFonts w:ascii="Open Sans" w:hAnsi="Open Sans" w:cs="Open Sans"/>
          <w:sz w:val="20"/>
          <w:szCs w:val="20"/>
        </w:rPr>
        <w:t>Otro caso es el de BBVA que afirma “</w:t>
      </w:r>
      <w:r w:rsidRPr="00CF6F67">
        <w:rPr>
          <w:rFonts w:ascii="Open Sans" w:hAnsi="Open Sans" w:cs="TT1CEt00"/>
          <w:i/>
          <w:sz w:val="20"/>
          <w:szCs w:val="20"/>
        </w:rPr>
        <w:t>somos conscientes que los ingresos tributarios juegan un papel fundamental para financiar los servicios públicos que los gobiernos proporcionan a los ciudadanos…es especialmente importante en los países emergentes donde los ingresos tributarios juegan un papel clave desde un punto de vista de derechos humanos, ya que muchas personas viven en situaciones de extrema pobreza y dependen de las propias  instituciones públicas</w:t>
      </w:r>
      <w:r w:rsidRPr="00CF6F67">
        <w:rPr>
          <w:rFonts w:ascii="Open Sans" w:hAnsi="Open Sans" w:cs="TT1CEt00"/>
          <w:sz w:val="20"/>
          <w:szCs w:val="20"/>
        </w:rPr>
        <w:t>”</w:t>
      </w:r>
      <w:r w:rsidRPr="00CF6F67">
        <w:rPr>
          <w:rStyle w:val="Refdenotaalpie"/>
          <w:rFonts w:ascii="Open Sans" w:hAnsi="Open Sans" w:cs="TT1CEt00"/>
          <w:sz w:val="20"/>
          <w:szCs w:val="20"/>
        </w:rPr>
        <w:footnoteReference w:id="68"/>
      </w:r>
      <w:r w:rsidRPr="00CF6F67">
        <w:rPr>
          <w:rFonts w:ascii="Open Sans" w:hAnsi="Open Sans" w:cs="TT1CEt00"/>
          <w:sz w:val="20"/>
          <w:szCs w:val="20"/>
        </w:rPr>
        <w:t xml:space="preserve"> </w:t>
      </w:r>
      <w:r w:rsidRPr="00EF34E5">
        <w:rPr>
          <w:rFonts w:ascii="Open Sans" w:hAnsi="Open Sans" w:cs="Arial"/>
          <w:bCs/>
          <w:sz w:val="20"/>
          <w:szCs w:val="20"/>
        </w:rPr>
        <w:t xml:space="preserve">BBVA incluye en su informe de RSC un cuadro en el que aparecen los impuestos propios que satisface, la recaudación de tributos de terceros generados por el desarrollo de su actividad económica y los tributos recaudados de terceros en el ámbito de su función de entidad colaboradora de las administraciones tributarias. Esta información es insuficiente y es </w:t>
      </w:r>
      <w:r w:rsidRPr="00EF34E5">
        <w:rPr>
          <w:rFonts w:ascii="Open Sans" w:hAnsi="Open Sans" w:cs="Arial"/>
          <w:sz w:val="20"/>
          <w:szCs w:val="20"/>
        </w:rPr>
        <w:t>necesario recurrir a informes fuera de la memoria para obtener más información sobre los impuestos liquidados.</w:t>
      </w:r>
      <w:r w:rsidRPr="00CF6F67">
        <w:rPr>
          <w:rFonts w:ascii="Open Sans" w:hAnsi="Open Sans" w:cs="Arial"/>
          <w:sz w:val="20"/>
          <w:szCs w:val="20"/>
        </w:rPr>
        <w:t xml:space="preserve"> El informe TTC 2015 (Contribución fiscal global correspondiente al ejercicio 2015) presenta el desglose el pago de impuestos directos e indirectos, por tipo de impuesto y por país. Así mismo, en las CCAA Consolidadas 2015 se incorpora el Informe Bancario Anual</w:t>
      </w:r>
      <w:r w:rsidRPr="00CF6F67">
        <w:rPr>
          <w:rStyle w:val="Refdenotaalpie"/>
          <w:rFonts w:ascii="Open Sans" w:hAnsi="Open Sans" w:cs="Arial"/>
          <w:sz w:val="20"/>
          <w:szCs w:val="20"/>
        </w:rPr>
        <w:footnoteReference w:id="69"/>
      </w:r>
      <w:r w:rsidRPr="00CF6F67">
        <w:rPr>
          <w:rFonts w:ascii="Open Sans" w:hAnsi="Open Sans" w:cs="Arial"/>
          <w:sz w:val="20"/>
          <w:szCs w:val="20"/>
        </w:rPr>
        <w:t xml:space="preserve">, dónde se recoge, país por país, el Gasto y Pagos de Caja por Impuesto de Sociedades, junto a otra información. </w:t>
      </w:r>
      <w:r w:rsidRPr="004C6AD8">
        <w:rPr>
          <w:rFonts w:ascii="Open Sans" w:hAnsi="Open Sans" w:cs="Arial"/>
          <w:sz w:val="20"/>
          <w:szCs w:val="20"/>
        </w:rPr>
        <w:t>En el Informe Bancario Anual 2015 y en el TTC 2015 se proporciona información de los impuestos generados y liquidados en cada país. Sin embargo, aparte de los territorios off-shore que aparecen agregados en los países a los que pertenecen o bajo la denominación de “Otros”</w:t>
      </w:r>
      <w:r w:rsidRPr="004C6AD8">
        <w:rPr>
          <w:rStyle w:val="Refdenotaalpie"/>
          <w:rFonts w:ascii="Open Sans" w:hAnsi="Open Sans" w:cs="Arial"/>
          <w:sz w:val="20"/>
          <w:szCs w:val="20"/>
        </w:rPr>
        <w:footnoteReference w:id="70"/>
      </w:r>
      <w:r w:rsidRPr="004C6AD8">
        <w:rPr>
          <w:rFonts w:ascii="Open Sans" w:hAnsi="Open Sans" w:cs="Arial"/>
          <w:sz w:val="20"/>
          <w:szCs w:val="20"/>
        </w:rPr>
        <w:t>, tampoco se proporcionan datos del tipo efectivo liquidado, ni el nombre de las sociedades que generan el pago de esos impuestos, sólo menciona la sociedad principal. Así mismo, no publica ratios que comparan las cifras de impuestos liquidados con las tasas de gravamen de cada uno de los países considerados paraísos/nichos fiscales y que permitan su comparación y su valoración en relación a las cifras del conjunto de la entidad.</w:t>
      </w:r>
    </w:p>
    <w:p w14:paraId="23C7C4E6" w14:textId="77777777" w:rsidR="00DC4EDD" w:rsidRPr="00CF6F67" w:rsidRDefault="00DC4EDD" w:rsidP="00DC4EDD">
      <w:pPr>
        <w:jc w:val="both"/>
        <w:rPr>
          <w:rFonts w:ascii="Open Sans" w:hAnsi="Open Sans" w:cs="Arial"/>
          <w:sz w:val="20"/>
          <w:szCs w:val="20"/>
        </w:rPr>
      </w:pPr>
    </w:p>
    <w:p w14:paraId="41D96C98" w14:textId="77777777" w:rsidR="00DC4EDD" w:rsidRPr="00CF6F67" w:rsidRDefault="00DC4EDD" w:rsidP="00DC4EDD">
      <w:pPr>
        <w:autoSpaceDE w:val="0"/>
        <w:autoSpaceDN w:val="0"/>
        <w:adjustRightInd w:val="0"/>
        <w:jc w:val="both"/>
        <w:rPr>
          <w:rFonts w:ascii="Open Sans" w:hAnsi="Open Sans" w:cs="Helvetica-Bold"/>
          <w:bCs/>
          <w:sz w:val="20"/>
          <w:szCs w:val="20"/>
          <w:u w:val="single"/>
        </w:rPr>
      </w:pPr>
      <w:r w:rsidRPr="00CF6F67">
        <w:rPr>
          <w:rFonts w:ascii="Open Sans" w:hAnsi="Open Sans" w:cs="Arial"/>
          <w:sz w:val="20"/>
          <w:szCs w:val="20"/>
        </w:rPr>
        <w:t xml:space="preserve">Sería recomendable que diera más detalle sobre este aspecto atendiendo a los resultados obtenidos en base a la información publicada en el TTC 2015. </w:t>
      </w:r>
      <w:r w:rsidRPr="004C6AD8">
        <w:rPr>
          <w:rFonts w:ascii="Open Sans" w:hAnsi="Open Sans" w:cs="Arial"/>
          <w:sz w:val="20"/>
          <w:szCs w:val="20"/>
        </w:rPr>
        <w:t xml:space="preserve">Se ha realizado el cálculo del % que ha representado el </w:t>
      </w:r>
      <w:r w:rsidRPr="004C6AD8">
        <w:rPr>
          <w:rFonts w:ascii="Open Sans" w:hAnsi="Open Sans" w:cs="Helvetica-Bold"/>
          <w:bCs/>
          <w:sz w:val="20"/>
          <w:szCs w:val="20"/>
        </w:rPr>
        <w:t>Pago de Caja del Impuesto Sociedades sobre el importe de Beneficio Antes de Impuesto para cada uno de los países. Se aprecia que existen diferencias muy significativas entre países como Suiza (50%), Francia (48%) o EEUU (38%, incluida la influencia de Delaware) con respecto a Reino Unido (incluye Islas Caymán) y Hong Kong (0%), Venezuela (1%) o Portugal y Chile (9%). Así mismo, resultaría de utilidad para clarificar aspectos como a que es debido el pago de impuestos de sociedades a pesar de haber obtenido pérdidas en el grupo de “Otros” (que engloba a Holanda, Curaçao, las oficinas de representación y las sucursales asiáticas salvo Hong-Kong).</w:t>
      </w:r>
    </w:p>
    <w:p w14:paraId="4D27D02B" w14:textId="77777777" w:rsidR="00DC4EDD" w:rsidRPr="00CF6F67" w:rsidRDefault="00DC4EDD" w:rsidP="00DC4EDD">
      <w:pPr>
        <w:autoSpaceDE w:val="0"/>
        <w:autoSpaceDN w:val="0"/>
        <w:adjustRightInd w:val="0"/>
        <w:jc w:val="both"/>
        <w:rPr>
          <w:rFonts w:ascii="Open Sans" w:hAnsi="Open Sans" w:cs="Helvetica-Bold"/>
          <w:bCs/>
          <w:sz w:val="20"/>
          <w:szCs w:val="20"/>
          <w:u w:val="single"/>
        </w:rPr>
      </w:pPr>
    </w:p>
    <w:p w14:paraId="0B69F05E" w14:textId="77777777" w:rsidR="00DC4EDD" w:rsidRPr="00CF6F67" w:rsidRDefault="00DC4EDD" w:rsidP="00DC4EDD">
      <w:pPr>
        <w:autoSpaceDE w:val="0"/>
        <w:autoSpaceDN w:val="0"/>
        <w:adjustRightInd w:val="0"/>
        <w:jc w:val="both"/>
        <w:rPr>
          <w:rFonts w:ascii="Open Sans" w:hAnsi="Open Sans" w:cs="Arial"/>
          <w:sz w:val="20"/>
          <w:szCs w:val="20"/>
        </w:rPr>
      </w:pPr>
      <w:r w:rsidRPr="004C6AD8">
        <w:rPr>
          <w:rFonts w:ascii="Open Sans" w:hAnsi="Open Sans" w:cs="Arial"/>
          <w:sz w:val="20"/>
          <w:szCs w:val="20"/>
        </w:rPr>
        <w:t xml:space="preserve">BANKIA </w:t>
      </w:r>
      <w:r w:rsidRPr="00CF6F67">
        <w:rPr>
          <w:rFonts w:ascii="Open Sans" w:hAnsi="Open Sans" w:cs="Arial"/>
          <w:sz w:val="20"/>
          <w:szCs w:val="20"/>
        </w:rPr>
        <w:t xml:space="preserve"> afirma que “mantiene una política transparente sobre su gestión fiscal y el pago de sus impuestos, cumpliendo así con las exigencias normativas relativas al acceso a la actividad de las entidades de crédito y a la supervisión prudencial de las entidades de crédito y las empresas de inversión.”, sin embargo la información de la compañía en relación a su contribución en los países en los que tiene presencia y a través de sus sociedades dependientes es poco significativa.  </w:t>
      </w:r>
      <w:r w:rsidRPr="004C6AD8">
        <w:rPr>
          <w:rFonts w:ascii="Open Sans" w:hAnsi="Open Sans" w:cs="Arial"/>
          <w:sz w:val="20"/>
          <w:szCs w:val="20"/>
        </w:rPr>
        <w:t>No hay información del pago de impuestos desglosado por país</w:t>
      </w:r>
      <w:r w:rsidRPr="00CF6F67">
        <w:rPr>
          <w:rFonts w:ascii="Open Sans" w:hAnsi="Open Sans" w:cs="Arial"/>
          <w:sz w:val="20"/>
          <w:szCs w:val="20"/>
        </w:rPr>
        <w:t>. Hay que irse  al informe bancario anual para obtener la información sobre denominación, naturaleza y ubicación geográfica de la actividad, volumen de negocio, número de empleados a tiempo completo y resultado bruto antes de impuestos e Impuestos sobre resultados para EEUU, España, Portugal y resto de países. En el resto de países se encuentran agrupados, entre otros, Holanda e Islas Caimán.</w:t>
      </w:r>
    </w:p>
    <w:p w14:paraId="7A370B74" w14:textId="77777777" w:rsidR="00DC4EDD" w:rsidRPr="00CF6F67" w:rsidRDefault="00DC4EDD" w:rsidP="00DC4EDD">
      <w:pPr>
        <w:autoSpaceDE w:val="0"/>
        <w:autoSpaceDN w:val="0"/>
        <w:adjustRightInd w:val="0"/>
        <w:jc w:val="both"/>
        <w:rPr>
          <w:rFonts w:ascii="Open Sans" w:eastAsia="Calibri" w:hAnsi="Open Sans" w:cs="Open Sans"/>
          <w:sz w:val="20"/>
          <w:szCs w:val="20"/>
        </w:rPr>
      </w:pPr>
    </w:p>
    <w:p w14:paraId="45201D7A" w14:textId="77777777" w:rsidR="00DC4EDD" w:rsidRPr="00CF6F67" w:rsidRDefault="00DC4EDD" w:rsidP="00DC4EDD">
      <w:pPr>
        <w:autoSpaceDE w:val="0"/>
        <w:autoSpaceDN w:val="0"/>
        <w:adjustRightInd w:val="0"/>
        <w:jc w:val="both"/>
        <w:rPr>
          <w:rFonts w:ascii="Open Sans" w:hAnsi="Open Sans" w:cs="Open Sans"/>
          <w:sz w:val="20"/>
          <w:szCs w:val="20"/>
        </w:rPr>
      </w:pPr>
      <w:r w:rsidRPr="00CF6F67">
        <w:rPr>
          <w:rFonts w:ascii="Open Sans" w:hAnsi="Open Sans" w:cs="Open Sans"/>
          <w:sz w:val="20"/>
          <w:szCs w:val="20"/>
        </w:rPr>
        <w:t>En relación a la información sobre pago de impuestos del sector bancario, es importante recordar que desde el 2014 como consecuencia de la Ley 10/2014 de 26 de junio, los Bancos analizados (BBVA, Bankinter, Banco Sabadell, Banco Popular, Bankia y Santander)  tienen obligación de depositar en el Banco de España el “Informe bancario anual” Este informe ofrece, en base consolidada y con detalle por países, la siguiente información:</w:t>
      </w:r>
    </w:p>
    <w:p w14:paraId="7C17ABFB" w14:textId="77777777" w:rsidR="00DC4EDD" w:rsidRPr="00CF6F67" w:rsidRDefault="00DC4EDD" w:rsidP="00DC4EDD">
      <w:pPr>
        <w:pStyle w:val="NormalWeb"/>
        <w:shd w:val="clear" w:color="auto" w:fill="FFFFFF"/>
        <w:tabs>
          <w:tab w:val="left" w:pos="8364"/>
          <w:tab w:val="left" w:pos="8504"/>
        </w:tabs>
        <w:ind w:right="-1"/>
        <w:jc w:val="both"/>
        <w:rPr>
          <w:rFonts w:ascii="Open Sans" w:hAnsi="Open Sans" w:cs="Open Sans"/>
          <w:sz w:val="20"/>
          <w:szCs w:val="20"/>
        </w:rPr>
      </w:pPr>
    </w:p>
    <w:p w14:paraId="332DB425" w14:textId="77777777" w:rsidR="00DC4EDD" w:rsidRPr="00CF6F67" w:rsidRDefault="00DC4EDD" w:rsidP="000B70C9">
      <w:pPr>
        <w:numPr>
          <w:ilvl w:val="0"/>
          <w:numId w:val="109"/>
        </w:numPr>
        <w:shd w:val="clear" w:color="auto" w:fill="FFFFFF"/>
        <w:tabs>
          <w:tab w:val="clear" w:pos="2160"/>
          <w:tab w:val="num" w:pos="851"/>
        </w:tabs>
        <w:ind w:left="426" w:right="120" w:hanging="142"/>
        <w:jc w:val="both"/>
        <w:rPr>
          <w:rFonts w:ascii="Open Sans" w:hAnsi="Open Sans" w:cs="Open Sans"/>
          <w:sz w:val="20"/>
          <w:szCs w:val="20"/>
        </w:rPr>
      </w:pPr>
      <w:r w:rsidRPr="00CF6F67">
        <w:rPr>
          <w:rFonts w:ascii="Open Sans" w:hAnsi="Open Sans" w:cs="Open Sans"/>
          <w:sz w:val="20"/>
          <w:szCs w:val="20"/>
        </w:rPr>
        <w:t>Denominación, naturaleza y ubicación geográfica de la actividad.</w:t>
      </w:r>
    </w:p>
    <w:p w14:paraId="7B64C1EF" w14:textId="77777777" w:rsidR="00DC4EDD" w:rsidRPr="00CF6F67" w:rsidRDefault="00DC4EDD" w:rsidP="000B70C9">
      <w:pPr>
        <w:numPr>
          <w:ilvl w:val="0"/>
          <w:numId w:val="109"/>
        </w:numPr>
        <w:shd w:val="clear" w:color="auto" w:fill="FFFFFF"/>
        <w:tabs>
          <w:tab w:val="clear" w:pos="2160"/>
          <w:tab w:val="num" w:pos="851"/>
        </w:tabs>
        <w:ind w:left="426" w:right="120" w:hanging="142"/>
        <w:jc w:val="both"/>
        <w:rPr>
          <w:rFonts w:ascii="Open Sans" w:hAnsi="Open Sans" w:cs="Open Sans"/>
          <w:sz w:val="20"/>
          <w:szCs w:val="20"/>
        </w:rPr>
      </w:pPr>
      <w:r w:rsidRPr="00CF6F67">
        <w:rPr>
          <w:rFonts w:ascii="Open Sans" w:hAnsi="Open Sans" w:cs="Open Sans"/>
          <w:sz w:val="20"/>
          <w:szCs w:val="20"/>
        </w:rPr>
        <w:t>Volumen de negocio.</w:t>
      </w:r>
    </w:p>
    <w:p w14:paraId="6370ED80" w14:textId="77777777" w:rsidR="00DC4EDD" w:rsidRPr="00CF6F67" w:rsidRDefault="00DC4EDD" w:rsidP="000B70C9">
      <w:pPr>
        <w:numPr>
          <w:ilvl w:val="0"/>
          <w:numId w:val="109"/>
        </w:numPr>
        <w:shd w:val="clear" w:color="auto" w:fill="FFFFFF"/>
        <w:tabs>
          <w:tab w:val="clear" w:pos="2160"/>
          <w:tab w:val="num" w:pos="851"/>
        </w:tabs>
        <w:ind w:left="426" w:right="120" w:hanging="142"/>
        <w:jc w:val="both"/>
        <w:rPr>
          <w:rFonts w:ascii="Open Sans" w:hAnsi="Open Sans" w:cs="Open Sans"/>
          <w:sz w:val="20"/>
          <w:szCs w:val="20"/>
        </w:rPr>
      </w:pPr>
      <w:r w:rsidRPr="00CF6F67">
        <w:rPr>
          <w:rFonts w:ascii="Open Sans" w:hAnsi="Open Sans" w:cs="Open Sans"/>
          <w:sz w:val="20"/>
          <w:szCs w:val="20"/>
        </w:rPr>
        <w:t>Número de empleados a tiempo completo.</w:t>
      </w:r>
    </w:p>
    <w:p w14:paraId="7E54351E" w14:textId="77777777" w:rsidR="00DC4EDD" w:rsidRPr="00CF6F67" w:rsidRDefault="00DC4EDD" w:rsidP="000B70C9">
      <w:pPr>
        <w:numPr>
          <w:ilvl w:val="0"/>
          <w:numId w:val="109"/>
        </w:numPr>
        <w:shd w:val="clear" w:color="auto" w:fill="FFFFFF"/>
        <w:tabs>
          <w:tab w:val="clear" w:pos="2160"/>
          <w:tab w:val="num" w:pos="851"/>
        </w:tabs>
        <w:ind w:left="426" w:right="120" w:hanging="142"/>
        <w:jc w:val="both"/>
        <w:rPr>
          <w:rFonts w:ascii="Open Sans" w:hAnsi="Open Sans" w:cs="Open Sans"/>
          <w:sz w:val="20"/>
          <w:szCs w:val="20"/>
        </w:rPr>
      </w:pPr>
      <w:r w:rsidRPr="00CF6F67">
        <w:rPr>
          <w:rFonts w:ascii="Open Sans" w:hAnsi="Open Sans" w:cs="Open Sans"/>
          <w:sz w:val="20"/>
          <w:szCs w:val="20"/>
        </w:rPr>
        <w:t>Resultado bruto antes de impuestos.</w:t>
      </w:r>
    </w:p>
    <w:p w14:paraId="7F86B622" w14:textId="77777777" w:rsidR="00DC4EDD" w:rsidRPr="00CF6F67" w:rsidRDefault="00DC4EDD" w:rsidP="000B70C9">
      <w:pPr>
        <w:numPr>
          <w:ilvl w:val="0"/>
          <w:numId w:val="109"/>
        </w:numPr>
        <w:shd w:val="clear" w:color="auto" w:fill="FFFFFF"/>
        <w:tabs>
          <w:tab w:val="clear" w:pos="2160"/>
          <w:tab w:val="num" w:pos="851"/>
        </w:tabs>
        <w:ind w:left="426" w:right="120" w:hanging="142"/>
        <w:jc w:val="both"/>
        <w:rPr>
          <w:rFonts w:ascii="Open Sans" w:hAnsi="Open Sans" w:cs="Open Sans"/>
          <w:sz w:val="20"/>
          <w:szCs w:val="20"/>
        </w:rPr>
      </w:pPr>
      <w:r w:rsidRPr="00CF6F67">
        <w:rPr>
          <w:rFonts w:ascii="Open Sans" w:hAnsi="Open Sans" w:cs="Open Sans"/>
          <w:sz w:val="20"/>
          <w:szCs w:val="20"/>
        </w:rPr>
        <w:t>Impuestos sobre el resultado.</w:t>
      </w:r>
    </w:p>
    <w:p w14:paraId="6E062877" w14:textId="77777777" w:rsidR="00DC4EDD" w:rsidRPr="00CF6F67" w:rsidRDefault="00DC4EDD" w:rsidP="000B70C9">
      <w:pPr>
        <w:numPr>
          <w:ilvl w:val="0"/>
          <w:numId w:val="109"/>
        </w:numPr>
        <w:shd w:val="clear" w:color="auto" w:fill="FFFFFF"/>
        <w:tabs>
          <w:tab w:val="clear" w:pos="2160"/>
          <w:tab w:val="num" w:pos="851"/>
        </w:tabs>
        <w:ind w:left="426" w:right="120" w:hanging="142"/>
        <w:jc w:val="both"/>
        <w:rPr>
          <w:rFonts w:ascii="Open Sans" w:hAnsi="Open Sans" w:cs="Open Sans"/>
          <w:sz w:val="20"/>
          <w:szCs w:val="20"/>
        </w:rPr>
      </w:pPr>
      <w:r w:rsidRPr="00CF6F67">
        <w:rPr>
          <w:rFonts w:ascii="Open Sans" w:hAnsi="Open Sans" w:cs="Open Sans"/>
          <w:sz w:val="20"/>
          <w:szCs w:val="20"/>
        </w:rPr>
        <w:t>Subvenciones o ayudas públicas recibidas.</w:t>
      </w:r>
    </w:p>
    <w:p w14:paraId="7D4B4FA4" w14:textId="77777777" w:rsidR="00DC4EDD" w:rsidRPr="00CF6F67" w:rsidRDefault="00DC4EDD" w:rsidP="00DC4EDD">
      <w:pPr>
        <w:jc w:val="both"/>
        <w:rPr>
          <w:rFonts w:ascii="Open Sans" w:eastAsia="Open Sans" w:hAnsi="Open Sans" w:cs="Open Sans"/>
          <w:sz w:val="20"/>
          <w:szCs w:val="20"/>
        </w:rPr>
      </w:pPr>
    </w:p>
    <w:p w14:paraId="4D3B54DE" w14:textId="54EC533F" w:rsidR="00DC4EDD" w:rsidRPr="00CF6F67" w:rsidRDefault="00DC4EDD" w:rsidP="00DC4EDD">
      <w:pPr>
        <w:jc w:val="both"/>
        <w:rPr>
          <w:rFonts w:ascii="Open Sans" w:hAnsi="Open Sans"/>
          <w:sz w:val="20"/>
          <w:szCs w:val="20"/>
        </w:rPr>
      </w:pPr>
      <w:r w:rsidRPr="004C6AD8">
        <w:rPr>
          <w:rFonts w:ascii="Open Sans" w:eastAsia="Open Sans" w:hAnsi="Open Sans" w:cs="Open Sans"/>
          <w:sz w:val="20"/>
          <w:szCs w:val="20"/>
        </w:rPr>
        <w:t xml:space="preserve">Pese a esta obligación de carácter legal y vinculante, se denota un incumplimiento generalizado: </w:t>
      </w:r>
      <w:r w:rsidRPr="004C6AD8">
        <w:rPr>
          <w:rFonts w:ascii="Open Sans" w:eastAsia="Open Sans" w:hAnsi="Open Sans" w:cs="Open Sans"/>
          <w:b/>
          <w:sz w:val="20"/>
          <w:szCs w:val="20"/>
        </w:rPr>
        <w:t>Los Bancos analizados no facilitan información de todas las jurisdicciones en las que están presentes o bien a través de sociedades participadas o a través de oficinas de representación</w:t>
      </w:r>
      <w:r w:rsidRPr="00CF6F67">
        <w:rPr>
          <w:rFonts w:ascii="Open Sans" w:eastAsia="Open Sans" w:hAnsi="Open Sans" w:cs="Open Sans"/>
          <w:sz w:val="20"/>
          <w:szCs w:val="20"/>
        </w:rPr>
        <w:t xml:space="preserve">. Tal es el caso de </w:t>
      </w:r>
      <w:r w:rsidR="004C6AD8">
        <w:rPr>
          <w:rFonts w:ascii="Open Sans" w:eastAsia="Open Sans" w:hAnsi="Open Sans" w:cs="Open Sans"/>
          <w:sz w:val="20"/>
          <w:szCs w:val="20"/>
        </w:rPr>
        <w:t>BANCO POPULAR</w:t>
      </w:r>
      <w:r w:rsidRPr="00CF6F67">
        <w:rPr>
          <w:rFonts w:ascii="Open Sans" w:eastAsia="Open Sans" w:hAnsi="Open Sans" w:cs="Open Sans"/>
          <w:sz w:val="20"/>
          <w:szCs w:val="20"/>
        </w:rPr>
        <w:t xml:space="preserve"> </w:t>
      </w:r>
      <w:r w:rsidRPr="00CF6F67">
        <w:rPr>
          <w:rFonts w:ascii="Open Sans" w:hAnsi="Open Sans" w:cs="Open Sans"/>
          <w:sz w:val="20"/>
          <w:szCs w:val="20"/>
        </w:rPr>
        <w:t xml:space="preserve">que presenta información sobre España, Portugal y EEUU pero no sobre los impuestos pagados a través de sus oficinas de representación o de su sociedad participada en Hong Kong. </w:t>
      </w:r>
      <w:r w:rsidR="004C6AD8">
        <w:rPr>
          <w:rFonts w:ascii="Open Sans" w:hAnsi="Open Sans" w:cs="Open Sans"/>
          <w:sz w:val="20"/>
          <w:szCs w:val="20"/>
        </w:rPr>
        <w:t>BANKINTER</w:t>
      </w:r>
      <w:r w:rsidRPr="00CF6F67">
        <w:rPr>
          <w:rFonts w:ascii="Open Sans" w:hAnsi="Open Sans" w:cs="Open Sans"/>
          <w:sz w:val="20"/>
          <w:szCs w:val="20"/>
        </w:rPr>
        <w:t xml:space="preserve"> recoge en un Anexo de las Cuentas Anuales información de España y Luxemburgo, tal y como establece la ley 10/2014, en su artículo 87 de Ordenación, Supervisión y Solvencia de Entidades de Crédito pero no sobre sus resultados en Irlanda, donde también está presente. En el caso de BBVA recoge en un Anexo de las Cuentas Anuales información de la mayor parte de los países en los que está presente pero no en todos en los que tiene presencia. Tiene un apartado de otros en los que incluye información agregada de jurisdicciones con elevado riesgo desde una perspectiva fiscal: Holanda, Curaçao, las oficinas de representación y las sucursales asiáticas salvo Hong-Kong, así como la aportación neta de las puestas en equivalencia del Grupo Garanti y CIFH</w:t>
      </w:r>
      <w:r w:rsidRPr="00CF6F67">
        <w:rPr>
          <w:rStyle w:val="Refdenotaalpie"/>
          <w:rFonts w:ascii="Open Sans" w:hAnsi="Open Sans" w:cs="Open Sans"/>
          <w:sz w:val="20"/>
          <w:szCs w:val="20"/>
        </w:rPr>
        <w:footnoteReference w:id="71"/>
      </w:r>
      <w:r w:rsidRPr="00CF6F67">
        <w:rPr>
          <w:rFonts w:ascii="Open Sans" w:hAnsi="Open Sans" w:cs="Open Sans"/>
          <w:sz w:val="20"/>
          <w:szCs w:val="20"/>
        </w:rPr>
        <w:t xml:space="preserve">. </w:t>
      </w:r>
      <w:r w:rsidR="004C6AD8">
        <w:rPr>
          <w:rFonts w:ascii="Open Sans" w:hAnsi="Open Sans" w:cs="Open Sans"/>
          <w:sz w:val="20"/>
          <w:szCs w:val="20"/>
        </w:rPr>
        <w:t>BANCO SABADELL</w:t>
      </w:r>
      <w:r w:rsidRPr="00CF6F67">
        <w:rPr>
          <w:rFonts w:ascii="Open Sans" w:hAnsi="Open Sans" w:cs="Open Sans"/>
          <w:sz w:val="20"/>
          <w:szCs w:val="20"/>
        </w:rPr>
        <w:t xml:space="preserve"> no facilita información por país si no por grandes regiones: España, Reino Unido, Estados Unidos y Otros. </w:t>
      </w:r>
      <w:r w:rsidRPr="00CF6F67">
        <w:rPr>
          <w:rFonts w:ascii="Open Sans" w:hAnsi="Open Sans" w:cs="Open Sans;Tahoma"/>
          <w:bCs/>
          <w:color w:val="000000"/>
          <w:sz w:val="20"/>
          <w:szCs w:val="20"/>
        </w:rPr>
        <w:t xml:space="preserve">La entidad no publica la cifra total en euros del impuesto sobre sociedades que soporta en cada uno de los países en los que opera (cuota, base y resultado contable antes de impuestos) ni muestra esta </w:t>
      </w:r>
      <w:r w:rsidRPr="00CF6F67">
        <w:rPr>
          <w:rFonts w:ascii="Open Sans" w:hAnsi="Open Sans"/>
          <w:color w:val="000000"/>
          <w:sz w:val="20"/>
          <w:szCs w:val="20"/>
        </w:rPr>
        <w:t xml:space="preserve">información de forma detallada para cada </w:t>
      </w:r>
      <w:r w:rsidRPr="00CF6F67">
        <w:rPr>
          <w:rFonts w:ascii="Open Sans" w:hAnsi="Open Sans" w:cs="Open Sans;Tahoma"/>
          <w:bCs/>
          <w:color w:val="000000"/>
          <w:sz w:val="20"/>
          <w:szCs w:val="20"/>
        </w:rPr>
        <w:t xml:space="preserve">una de las subsidiarias. De modo que no es posible saber la contribución de cada sociedad del grupo ni del grupo en cada uno de los países en los que tiene presencia. </w:t>
      </w:r>
    </w:p>
    <w:p w14:paraId="7833A016" w14:textId="77777777" w:rsidR="00DC4EDD" w:rsidRPr="00CF6F67" w:rsidRDefault="00DC4EDD" w:rsidP="00DC4EDD">
      <w:pPr>
        <w:jc w:val="both"/>
        <w:rPr>
          <w:rFonts w:ascii="Open Sans" w:hAnsi="Open Sans" w:cs="Open Sans"/>
          <w:sz w:val="20"/>
          <w:szCs w:val="20"/>
        </w:rPr>
      </w:pPr>
    </w:p>
    <w:p w14:paraId="38CB2DAB" w14:textId="5D0D2D1F" w:rsidR="00DC4EDD" w:rsidRPr="00CF6F67" w:rsidRDefault="00DC4EDD" w:rsidP="00DC4EDD">
      <w:pPr>
        <w:tabs>
          <w:tab w:val="left" w:pos="709"/>
        </w:tabs>
        <w:jc w:val="both"/>
        <w:rPr>
          <w:rFonts w:ascii="Open Sans" w:hAnsi="Open Sans" w:cs="Arial"/>
          <w:sz w:val="20"/>
          <w:szCs w:val="20"/>
        </w:rPr>
      </w:pPr>
      <w:r w:rsidRPr="004C6AD8">
        <w:rPr>
          <w:rFonts w:ascii="Open Sans" w:hAnsi="Open Sans" w:cs="Open Sans"/>
          <w:sz w:val="20"/>
          <w:szCs w:val="20"/>
        </w:rPr>
        <w:t>Una justificación recurrente utilizada por las empresas para no desglosar la información es que tal país o países suponen un porcentaje bajo sobre los activos, el negocio o el pago de impuestos. Hay un número cada vez más elevado de empresas que presentan datos por regiones (</w:t>
      </w:r>
      <w:r w:rsidR="00136ED0" w:rsidRPr="004C6AD8">
        <w:rPr>
          <w:rFonts w:ascii="Open Sans" w:hAnsi="Open Sans" w:cs="Open Sans"/>
          <w:sz w:val="20"/>
          <w:szCs w:val="20"/>
        </w:rPr>
        <w:t xml:space="preserve">REC, </w:t>
      </w:r>
      <w:r w:rsidRPr="004C6AD8">
        <w:rPr>
          <w:rFonts w:ascii="Open Sans" w:hAnsi="Open Sans" w:cs="Open Sans"/>
          <w:sz w:val="20"/>
          <w:szCs w:val="20"/>
        </w:rPr>
        <w:t>ACERINOX, FERROVIAL, ENDESA, FCC, INDITEX…).</w:t>
      </w:r>
      <w:r w:rsidRPr="00CF6F67">
        <w:rPr>
          <w:rFonts w:ascii="Open Sans" w:hAnsi="Open Sans" w:cs="Open Sans"/>
          <w:sz w:val="20"/>
          <w:szCs w:val="20"/>
        </w:rPr>
        <w:t xml:space="preserve"> Este es el caso de REC </w:t>
      </w:r>
      <w:r w:rsidRPr="00CF6F67">
        <w:rPr>
          <w:rFonts w:ascii="Open Sans" w:hAnsi="Open Sans" w:cs="Arial"/>
          <w:sz w:val="20"/>
          <w:szCs w:val="20"/>
        </w:rPr>
        <w:t xml:space="preserve">que argumenta para no facilitar información desglosada por países “que al desarrollar su actividad principalmente en España, que representa el 93 % de la cifra de negocio consolidada y el 94 % de los activos totales del Grupo, no se ha considerado relevante proporcionar información por segmentos de actividad ni geográficos del resto de actividades”. Se desconoce el volumen de operaciones de las filiales y la cifra de impuestos pagados en Holanda y Luxemburgo. REC informa que hay una persona de la plantilla vinculada a REDCOR, de la otra empresa RBV no aporta datos de plantilla. FERROVIAL únicamente muestra información diferenciada para tres países (España, Reino Unido y EEUU), agrupando al resto de países bajo la categoría de “otros”, y recordemos que Ferrovial opera en otros 23 países más. </w:t>
      </w:r>
    </w:p>
    <w:p w14:paraId="65A3C95E" w14:textId="77777777" w:rsidR="00DC4EDD" w:rsidRPr="00CF6F67" w:rsidRDefault="00DC4EDD" w:rsidP="00DC4EDD">
      <w:pPr>
        <w:tabs>
          <w:tab w:val="left" w:pos="709"/>
        </w:tabs>
        <w:jc w:val="both"/>
        <w:rPr>
          <w:rFonts w:ascii="Open Sans" w:hAnsi="Open Sans" w:cs="Arial"/>
          <w:sz w:val="20"/>
          <w:szCs w:val="20"/>
        </w:rPr>
      </w:pPr>
    </w:p>
    <w:p w14:paraId="57710997" w14:textId="21F5B8D3" w:rsidR="00DC4EDD" w:rsidRPr="004C6AD8" w:rsidRDefault="00DC4EDD" w:rsidP="00DC4EDD">
      <w:pPr>
        <w:jc w:val="both"/>
        <w:rPr>
          <w:rFonts w:ascii="Open Sans" w:hAnsi="Open Sans" w:cs="Arial"/>
          <w:bCs/>
          <w:sz w:val="20"/>
          <w:szCs w:val="20"/>
        </w:rPr>
      </w:pPr>
      <w:r w:rsidRPr="004C6AD8">
        <w:rPr>
          <w:rFonts w:ascii="Open Sans" w:hAnsi="Open Sans" w:cs="Arial"/>
          <w:bCs/>
          <w:sz w:val="20"/>
          <w:szCs w:val="20"/>
        </w:rPr>
        <w:t xml:space="preserve">En esta línea INDITEX desglosa la información para España, Unión Europea (sin España), Europa no comunitaria, América, Asia y resto del mundo. </w:t>
      </w:r>
      <w:r w:rsidR="007F55EB" w:rsidRPr="004C6AD8">
        <w:rPr>
          <w:rFonts w:ascii="Open Sans" w:hAnsi="Open Sans" w:cs="Arial"/>
          <w:bCs/>
          <w:sz w:val="20"/>
          <w:szCs w:val="20"/>
        </w:rPr>
        <w:t>Esta</w:t>
      </w:r>
      <w:r w:rsidRPr="004C6AD8">
        <w:rPr>
          <w:rFonts w:ascii="Open Sans" w:hAnsi="Open Sans" w:cs="Arial"/>
          <w:bCs/>
          <w:sz w:val="20"/>
          <w:szCs w:val="20"/>
        </w:rPr>
        <w:t xml:space="preserve"> desagregación llama la atención este desglose por varias razones: </w:t>
      </w:r>
    </w:p>
    <w:p w14:paraId="2689DC05" w14:textId="77777777" w:rsidR="00DC4EDD" w:rsidRPr="00CF6F67" w:rsidRDefault="00DC4EDD" w:rsidP="00DC4EDD">
      <w:pPr>
        <w:jc w:val="both"/>
        <w:rPr>
          <w:rFonts w:ascii="Open Sans" w:hAnsi="Open Sans" w:cs="Arial"/>
          <w:bCs/>
          <w:sz w:val="20"/>
          <w:szCs w:val="20"/>
        </w:rPr>
      </w:pPr>
    </w:p>
    <w:p w14:paraId="11CA7074" w14:textId="77777777" w:rsidR="00DC4EDD" w:rsidRPr="00CF6F67" w:rsidRDefault="00DC4EDD" w:rsidP="00DC4EDD">
      <w:pPr>
        <w:jc w:val="both"/>
        <w:rPr>
          <w:rFonts w:ascii="Open Sans" w:hAnsi="Open Sans" w:cs="Arial"/>
          <w:bCs/>
          <w:sz w:val="20"/>
          <w:szCs w:val="20"/>
        </w:rPr>
      </w:pPr>
      <w:r w:rsidRPr="00CF6F67">
        <w:rPr>
          <w:rFonts w:ascii="Open Sans" w:hAnsi="Open Sans" w:cs="Arial"/>
          <w:bCs/>
          <w:sz w:val="20"/>
          <w:szCs w:val="20"/>
        </w:rPr>
        <w:t xml:space="preserve">- La desproporción en la distribución geográfica de impuestos directos en relación con el volumen de negocio. Así en España pagó un 40% de su contribución fiscal directa, mientras que solo representa el 17,7% de las ventas del grupo. De igual manera en “Asia y resto del mundo” la contribución fiscal fue del 11% mientras que el volumen de negocio representa el 23%. </w:t>
      </w:r>
    </w:p>
    <w:p w14:paraId="1E48D44E" w14:textId="77777777" w:rsidR="00DC4EDD" w:rsidRPr="00CF6F67" w:rsidRDefault="00DC4EDD" w:rsidP="00DC4EDD">
      <w:pPr>
        <w:jc w:val="both"/>
        <w:rPr>
          <w:rFonts w:ascii="Open Sans" w:hAnsi="Open Sans" w:cs="Arial"/>
          <w:bCs/>
          <w:sz w:val="20"/>
          <w:szCs w:val="20"/>
        </w:rPr>
      </w:pPr>
    </w:p>
    <w:p w14:paraId="6B0576B8" w14:textId="77777777" w:rsidR="00DC4EDD" w:rsidRPr="00CF6F67" w:rsidRDefault="00DC4EDD" w:rsidP="00DC4EDD">
      <w:pPr>
        <w:jc w:val="both"/>
        <w:rPr>
          <w:rFonts w:ascii="Open Sans" w:hAnsi="Open Sans" w:cs="Arial"/>
          <w:bCs/>
          <w:sz w:val="20"/>
          <w:szCs w:val="20"/>
        </w:rPr>
      </w:pPr>
      <w:r w:rsidRPr="00CF6F67">
        <w:rPr>
          <w:rFonts w:ascii="Open Sans" w:hAnsi="Open Sans" w:cs="Arial"/>
          <w:bCs/>
          <w:sz w:val="20"/>
          <w:szCs w:val="20"/>
        </w:rPr>
        <w:t xml:space="preserve">- El nivel de agregación tan amplio que hace en la región Asia y resto del mundo. Asia es una de las zonas de mayor importancia estratégica para Inditex. Con este desglose es imposible conocer la aportación que realiza a países que tienen una alta relevancia en su producción como son Turquía, India, Bangladesh, Vietnam, Camboya, China o Marruecos. Estos países, que no se destacan por facilitar servicios sociales y prestaciones públicas robustas, requieren de las rentas que deben pagar las grandes empresas para poder atender a sus ciudadanos y balancear las desigualdades sociales existentes. </w:t>
      </w:r>
    </w:p>
    <w:p w14:paraId="4BA86E80" w14:textId="77777777" w:rsidR="00DC4EDD" w:rsidRPr="00CF6F67" w:rsidRDefault="00DC4EDD" w:rsidP="00DC4EDD">
      <w:pPr>
        <w:jc w:val="both"/>
        <w:rPr>
          <w:rFonts w:ascii="Open Sans" w:hAnsi="Open Sans" w:cs="Arial"/>
          <w:bCs/>
          <w:sz w:val="20"/>
          <w:szCs w:val="20"/>
        </w:rPr>
      </w:pPr>
    </w:p>
    <w:p w14:paraId="17A3EF82" w14:textId="77777777" w:rsidR="00DC4EDD" w:rsidRPr="00CF6F67" w:rsidRDefault="00DC4EDD" w:rsidP="00DC4EDD">
      <w:pPr>
        <w:jc w:val="both"/>
        <w:rPr>
          <w:rFonts w:ascii="Open Sans" w:hAnsi="Open Sans" w:cs="Arial"/>
          <w:bCs/>
          <w:sz w:val="20"/>
          <w:szCs w:val="20"/>
        </w:rPr>
      </w:pPr>
      <w:r w:rsidRPr="00CF6F67">
        <w:rPr>
          <w:rFonts w:ascii="Open Sans" w:hAnsi="Open Sans" w:cs="Arial"/>
          <w:bCs/>
          <w:sz w:val="20"/>
          <w:szCs w:val="20"/>
        </w:rPr>
        <w:t xml:space="preserve">Inditex destaca en su apartado de contribución tributaria los grandes retornos que su actividad tiene para los estados, sin embargo con la información aportada no se puede conocer la contribución real que realiza en cada uno de los países en los que opera. Para tener un conocimiento sobre la contribución real sería necesario un desglose país a país de cifras de negocio, beneficios obtenidos, tipos impositivos e impuestos de sociedades pagados.  </w:t>
      </w:r>
      <w:r w:rsidRPr="004C6AD8">
        <w:rPr>
          <w:rFonts w:ascii="Open Sans" w:hAnsi="Open Sans" w:cs="Arial"/>
          <w:sz w:val="20"/>
          <w:szCs w:val="20"/>
        </w:rPr>
        <w:t>La tributación del grupo Inditex despierta una gran demanda de transparencia a sus grupos de interés, con un escrutinio continuo por diversas instituciones y medios comunicación que ponen en cuestión su modelo fiscal a través de un entramado de sociedades no operativas clave</w:t>
      </w:r>
      <w:r w:rsidRPr="00CF6F67">
        <w:rPr>
          <w:rFonts w:ascii="Open Sans" w:hAnsi="Open Sans" w:cs="Arial"/>
          <w:sz w:val="20"/>
          <w:szCs w:val="20"/>
        </w:rPr>
        <w:t xml:space="preserve"> (gestión financiera, gestión de marcas, seguros) en territorios considerados paraísos fiscales o con ventajas tributarias importantes dentro de una estrategia fiscal agresiva encaminada a la elusión de impuestos</w:t>
      </w:r>
      <w:r w:rsidRPr="00CF6F67">
        <w:rPr>
          <w:rFonts w:ascii="Open Sans" w:hAnsi="Open Sans" w:cs="Open Sans"/>
          <w:sz w:val="20"/>
          <w:szCs w:val="20"/>
        </w:rPr>
        <w:t>.</w:t>
      </w:r>
      <w:r w:rsidRPr="00CF6F67">
        <w:rPr>
          <w:rStyle w:val="Refdenotaalpie"/>
          <w:rFonts w:ascii="Open Sans" w:hAnsi="Open Sans"/>
          <w:sz w:val="20"/>
          <w:szCs w:val="20"/>
        </w:rPr>
        <w:footnoteReference w:id="72"/>
      </w:r>
      <w:r w:rsidRPr="00CF6F67">
        <w:rPr>
          <w:rFonts w:ascii="Open Sans" w:hAnsi="Open Sans"/>
          <w:bCs/>
          <w:sz w:val="20"/>
          <w:szCs w:val="20"/>
          <w:vertAlign w:val="superscript"/>
        </w:rPr>
        <w:t>,</w:t>
      </w:r>
      <w:r w:rsidRPr="00CF6F67">
        <w:rPr>
          <w:rStyle w:val="Refdenotaalpie"/>
          <w:rFonts w:ascii="Open Sans" w:hAnsi="Open Sans"/>
          <w:bCs/>
          <w:sz w:val="20"/>
          <w:szCs w:val="20"/>
        </w:rPr>
        <w:footnoteReference w:id="73"/>
      </w:r>
      <w:r w:rsidRPr="00CF6F67">
        <w:rPr>
          <w:rFonts w:ascii="Open Sans" w:hAnsi="Open Sans" w:cs="Arial"/>
          <w:bCs/>
          <w:sz w:val="20"/>
          <w:szCs w:val="20"/>
        </w:rPr>
        <w:t xml:space="preserve"> Sería imprescindible que Inditex aportara una mayor transparencia en la información sobre estas cuestiones y con un desglose suficiente por país que permitiera conocer su contribución real a los países en los que opera.</w:t>
      </w:r>
    </w:p>
    <w:p w14:paraId="0727FAE3" w14:textId="77777777" w:rsidR="00DC4EDD" w:rsidRPr="00CF6F67" w:rsidRDefault="00DC4EDD" w:rsidP="00DC4EDD">
      <w:pPr>
        <w:jc w:val="both"/>
        <w:rPr>
          <w:rFonts w:ascii="Open Sans" w:hAnsi="Open Sans" w:cs="Arial"/>
          <w:sz w:val="20"/>
          <w:szCs w:val="20"/>
        </w:rPr>
      </w:pPr>
    </w:p>
    <w:p w14:paraId="23D093D5" w14:textId="77777777" w:rsidR="00DC4EDD" w:rsidRPr="00CF6F67" w:rsidRDefault="00DC4EDD" w:rsidP="00DC4EDD">
      <w:pPr>
        <w:jc w:val="both"/>
        <w:rPr>
          <w:rFonts w:ascii="Open Sans" w:hAnsi="Open Sans" w:cs="Arial"/>
          <w:sz w:val="20"/>
          <w:szCs w:val="20"/>
        </w:rPr>
      </w:pPr>
      <w:r w:rsidRPr="00CF6F67">
        <w:rPr>
          <w:rFonts w:ascii="Open Sans" w:hAnsi="Open Sans" w:cs="Open Sans"/>
          <w:sz w:val="20"/>
          <w:szCs w:val="20"/>
        </w:rPr>
        <w:t xml:space="preserve">Otra práctica habitual en las empresas analizadas es </w:t>
      </w:r>
      <w:r w:rsidRPr="004C6AD8">
        <w:rPr>
          <w:rFonts w:ascii="Open Sans" w:hAnsi="Open Sans" w:cs="Open Sans"/>
          <w:sz w:val="20"/>
          <w:szCs w:val="20"/>
        </w:rPr>
        <w:t xml:space="preserve">presentar información sobre “Impuestos recaudados e impuestos soportados” o “impuestos propios e impuestos de terceros”. </w:t>
      </w:r>
      <w:r w:rsidRPr="004C6AD8">
        <w:rPr>
          <w:rFonts w:ascii="Open Sans" w:hAnsi="Open Sans" w:cs="Arial"/>
          <w:bCs/>
          <w:sz w:val="20"/>
          <w:szCs w:val="20"/>
        </w:rPr>
        <w:t>Este es el caso de INDRA, IBERDROLA, ACCIONA, REC INDITEX, o TELEFÓNICA, entre otras empresas.</w:t>
      </w:r>
      <w:r w:rsidRPr="00CF6F67">
        <w:rPr>
          <w:rFonts w:ascii="Open Sans" w:hAnsi="Open Sans" w:cs="Arial"/>
          <w:bCs/>
          <w:sz w:val="20"/>
          <w:szCs w:val="20"/>
        </w:rPr>
        <w:t xml:space="preserve"> </w:t>
      </w:r>
      <w:r w:rsidRPr="00CF6F67">
        <w:rPr>
          <w:rFonts w:ascii="Open Sans" w:hAnsi="Open Sans" w:cs="Arial"/>
          <w:sz w:val="20"/>
          <w:szCs w:val="20"/>
        </w:rPr>
        <w:t>Aunque se valora de manera positiva que la empresa publique esta información, no se considera útil en términos de transparencia dado que no es posible entender, ni siquiera interpretar, a qué corresponden esas cifras.</w:t>
      </w:r>
    </w:p>
    <w:p w14:paraId="13C42328" w14:textId="77777777" w:rsidR="00DC4EDD" w:rsidRPr="00CF6F67" w:rsidRDefault="00DC4EDD" w:rsidP="00DC4EDD">
      <w:pPr>
        <w:jc w:val="both"/>
        <w:rPr>
          <w:rFonts w:ascii="Open Sans" w:hAnsi="Open Sans" w:cs="Arial"/>
          <w:sz w:val="20"/>
          <w:szCs w:val="20"/>
        </w:rPr>
      </w:pPr>
    </w:p>
    <w:p w14:paraId="668561A9" w14:textId="77777777" w:rsidR="00DC4EDD" w:rsidRPr="00CF6F67" w:rsidRDefault="00DC4EDD" w:rsidP="00DC4EDD">
      <w:pPr>
        <w:jc w:val="both"/>
        <w:rPr>
          <w:rFonts w:ascii="Open Sans" w:hAnsi="Open Sans" w:cs="Arial"/>
          <w:sz w:val="20"/>
          <w:szCs w:val="20"/>
        </w:rPr>
      </w:pPr>
      <w:r w:rsidRPr="00CF6F67">
        <w:rPr>
          <w:rFonts w:ascii="Open Sans" w:hAnsi="Open Sans" w:cs="Arial"/>
          <w:sz w:val="20"/>
          <w:szCs w:val="20"/>
        </w:rPr>
        <w:t xml:space="preserve">Otro aspecto interesante a destacar es que </w:t>
      </w:r>
      <w:r w:rsidRPr="004C6AD8">
        <w:rPr>
          <w:rFonts w:ascii="Open Sans" w:hAnsi="Open Sans" w:cs="Arial"/>
          <w:sz w:val="20"/>
          <w:szCs w:val="20"/>
        </w:rPr>
        <w:t>algunas empresas consideran que desglosar el pago de impuesto de sociedades por país pone en peligro su posición competitiva</w:t>
      </w:r>
      <w:r w:rsidRPr="00CF6F67">
        <w:rPr>
          <w:rFonts w:ascii="Open Sans" w:hAnsi="Open Sans" w:cs="Arial"/>
          <w:sz w:val="20"/>
          <w:szCs w:val="20"/>
        </w:rPr>
        <w:t xml:space="preserve"> sin explicar en qué le puede afectar presentar ese tipo de información. </w:t>
      </w:r>
      <w:r w:rsidRPr="004C6AD8">
        <w:rPr>
          <w:rFonts w:ascii="Open Sans" w:hAnsi="Open Sans" w:cs="Arial"/>
          <w:sz w:val="20"/>
          <w:szCs w:val="20"/>
        </w:rPr>
        <w:t>Tal es el caso de INDRA</w:t>
      </w:r>
      <w:r w:rsidRPr="00842817">
        <w:rPr>
          <w:rFonts w:ascii="Open Sans" w:hAnsi="Open Sans" w:cs="Arial"/>
          <w:sz w:val="20"/>
          <w:szCs w:val="20"/>
          <w:u w:val="single"/>
        </w:rPr>
        <w:t xml:space="preserve"> </w:t>
      </w:r>
      <w:r w:rsidRPr="00CF6F67">
        <w:rPr>
          <w:rFonts w:ascii="Open Sans" w:hAnsi="Open Sans" w:cs="Arial"/>
          <w:sz w:val="20"/>
          <w:szCs w:val="20"/>
        </w:rPr>
        <w:t xml:space="preserve">que en el índice de G4 y con referencia al indicador EC1 dice que no aporta esta información con desglose por poner en peligro su posición competitiva. </w:t>
      </w:r>
    </w:p>
    <w:p w14:paraId="26009013" w14:textId="77777777" w:rsidR="00DC4EDD" w:rsidRPr="00CF6F67" w:rsidRDefault="00DC4EDD" w:rsidP="00DC4EDD">
      <w:pPr>
        <w:jc w:val="both"/>
        <w:rPr>
          <w:rFonts w:ascii="Open Sans" w:hAnsi="Open Sans" w:cs="Open Sans"/>
          <w:sz w:val="20"/>
          <w:szCs w:val="20"/>
        </w:rPr>
      </w:pPr>
    </w:p>
    <w:p w14:paraId="7EA3F028" w14:textId="25A2E8AD" w:rsidR="00DC4EDD" w:rsidRPr="00CF6F67" w:rsidRDefault="00DC4EDD" w:rsidP="00DC4EDD">
      <w:pPr>
        <w:jc w:val="both"/>
        <w:rPr>
          <w:rFonts w:ascii="Open Sans" w:eastAsia="Calibri" w:hAnsi="Open Sans" w:cs="Open Sans"/>
          <w:sz w:val="20"/>
          <w:szCs w:val="20"/>
        </w:rPr>
      </w:pPr>
      <w:r w:rsidRPr="00CF6F67">
        <w:rPr>
          <w:rFonts w:ascii="Open Sans" w:hAnsi="Open Sans" w:cs="Open Sans"/>
          <w:sz w:val="20"/>
          <w:szCs w:val="20"/>
        </w:rPr>
        <w:t xml:space="preserve">Hay empresas que </w:t>
      </w:r>
      <w:r w:rsidRPr="004C6AD8">
        <w:rPr>
          <w:rFonts w:ascii="Open Sans" w:hAnsi="Open Sans" w:cs="Open Sans"/>
          <w:sz w:val="20"/>
          <w:szCs w:val="20"/>
        </w:rPr>
        <w:t>incluyen un apartado en sus memorias de responsabilidad social o crean documentos específicos a los que denominan “contribución fiscal total”</w:t>
      </w:r>
      <w:r w:rsidRPr="00CF6F67">
        <w:rPr>
          <w:rFonts w:ascii="Open Sans" w:hAnsi="Open Sans" w:cs="Open Sans"/>
          <w:sz w:val="20"/>
          <w:szCs w:val="20"/>
        </w:rPr>
        <w:t xml:space="preserve"> (REPSOL, BBVA, </w:t>
      </w:r>
      <w:r w:rsidR="004C6AD8">
        <w:rPr>
          <w:rFonts w:ascii="Open Sans" w:hAnsi="Open Sans" w:cs="Open Sans"/>
          <w:sz w:val="20"/>
          <w:szCs w:val="20"/>
        </w:rPr>
        <w:t>CAIXABANK</w:t>
      </w:r>
      <w:r w:rsidRPr="00CF6F67">
        <w:rPr>
          <w:rFonts w:ascii="Open Sans" w:hAnsi="Open Sans" w:cs="Open Sans"/>
          <w:sz w:val="20"/>
          <w:szCs w:val="20"/>
        </w:rPr>
        <w:t xml:space="preserve">, TELEFÓNICA, ACCIONA, entre otros). Pese a la creación de estos documentos la aportación de los mismos es en la mayoría de los casos muy escasa en cuanto a transparencia y rendición de cuentas.   Tal es el caso </w:t>
      </w:r>
      <w:r w:rsidR="004C6AD8">
        <w:rPr>
          <w:rFonts w:ascii="Open Sans" w:eastAsia="Calibri" w:hAnsi="Open Sans" w:cs="Open Sans"/>
          <w:sz w:val="20"/>
          <w:szCs w:val="20"/>
        </w:rPr>
        <w:t>CAIXABANK</w:t>
      </w:r>
      <w:r w:rsidRPr="00CF6F67">
        <w:rPr>
          <w:rFonts w:ascii="Open Sans" w:eastAsia="Calibri" w:hAnsi="Open Sans" w:cs="Open Sans"/>
          <w:sz w:val="20"/>
          <w:szCs w:val="20"/>
        </w:rPr>
        <w:t xml:space="preserve"> que presenta un documento separado al que denomina “Contribución Fiscal Total”. Pese a que el objetivo teórico de este documento es incrementar la transparencia, la información facilitada no se puede considerar relevante y no responde a un ejercicio de rendición de cuentas conforme a los principios de iniciativas internacionales  basadas en la información financiera país a país. La información facilitada en este documento se limita a los impuestos pagados (directos, indirectos y seguridad social a cargo de la empresa) e impuestos recaudados. </w:t>
      </w:r>
    </w:p>
    <w:p w14:paraId="724124C4" w14:textId="77777777" w:rsidR="00DC4EDD" w:rsidRPr="00CF6F67" w:rsidRDefault="00DC4EDD" w:rsidP="00DC4EDD">
      <w:pPr>
        <w:jc w:val="both"/>
        <w:rPr>
          <w:rFonts w:ascii="Open Sans" w:eastAsia="Calibri" w:hAnsi="Open Sans" w:cs="Open Sans"/>
          <w:sz w:val="20"/>
          <w:szCs w:val="20"/>
        </w:rPr>
      </w:pPr>
    </w:p>
    <w:p w14:paraId="20693D13" w14:textId="6E4FE9C8" w:rsidR="00842817" w:rsidRDefault="00DC4EDD" w:rsidP="00DC4EDD">
      <w:pPr>
        <w:jc w:val="both"/>
        <w:rPr>
          <w:rFonts w:ascii="Open Sans" w:eastAsia="Calibri" w:hAnsi="Open Sans" w:cs="Open Sans"/>
          <w:sz w:val="20"/>
          <w:szCs w:val="20"/>
        </w:rPr>
      </w:pPr>
      <w:r w:rsidRPr="004C6AD8">
        <w:rPr>
          <w:rFonts w:ascii="Open Sans" w:eastAsia="Calibri" w:hAnsi="Open Sans" w:cs="Open Sans"/>
          <w:sz w:val="20"/>
          <w:szCs w:val="20"/>
        </w:rPr>
        <w:t xml:space="preserve">Como </w:t>
      </w:r>
      <w:r w:rsidRPr="004C6AD8">
        <w:rPr>
          <w:rFonts w:ascii="Open Sans" w:eastAsia="Calibri" w:hAnsi="Open Sans" w:cs="Open Sans"/>
          <w:b/>
          <w:sz w:val="20"/>
          <w:szCs w:val="20"/>
        </w:rPr>
        <w:t>buena práctica</w:t>
      </w:r>
      <w:r w:rsidRPr="004C6AD8">
        <w:rPr>
          <w:rFonts w:ascii="Open Sans" w:eastAsia="Calibri" w:hAnsi="Open Sans" w:cs="Open Sans"/>
          <w:sz w:val="20"/>
          <w:szCs w:val="20"/>
        </w:rPr>
        <w:t xml:space="preserve"> de información mencionar el caso de REPSOL que  es una de las pocas compañías analizadas que incluye en su informe de sostenibilidad datos concretos sobre los pagos de impuestos que realiza y las ayudas recibidas de los gobiernos.</w:t>
      </w:r>
      <w:r w:rsidRPr="00CF6F67">
        <w:rPr>
          <w:rFonts w:ascii="Open Sans" w:eastAsia="Calibri" w:hAnsi="Open Sans" w:cs="Open Sans"/>
          <w:sz w:val="20"/>
          <w:szCs w:val="20"/>
        </w:rPr>
        <w:t xml:space="preserve"> Además cuenta con un espacio específico en su web corporativa en el que también se publica esta información de forma fácilmente accesible. Información que, como es habitual en todas las empresas, también se incluye en el informe de gestión y en las cuentas anuales. El informe de cuentas anuales es el que recoge más información y con mayor grado de detalle. En él muestra información detallada agrupada bajo las siguientes temáticas: Impuesto sobre beneficios, Gasto devengado contablemente por Impuesto sobre beneficios, Impuestos diferidos, Actuaciones administrativas y judiciales con trascendencia fiscal. En todos estos documentados se reflejan las tablas de la contribución fiscal por países del Grupo diferenciando entre distintos tipos de impuestos. Los países que se incluyen son aquellos en los que la cifra de impuestos pagados supera los 4 millones de euros. Concretamente en el ejercicio 2015 se publicó información para 25 de los países en los 51 países en los que está presente el grupo. La desagregación por tipo de impuestos se realiza diferenciando entre aquellos que suponen una carga fiscal para la empresa y los tributos recaudados, individualizando las cifras correspondientes a Impuesto sobre sociedades, IVA e Impuesto sobre Hidrocarburos. En el informe de sostenibilidad se incluye junto con las cifras una breve explicación fácilmente entendible de a qué corresponden estas categorías. No obstante y tal y como se ha apuntado con anterioridad sería deseable que esa información tuviese un desglose mayor y que se acompañase de otras partidas como facturación, número de empleados, total de activos, etc. </w:t>
      </w:r>
      <w:r w:rsidR="00842817">
        <w:rPr>
          <w:rFonts w:ascii="Open Sans" w:eastAsia="Calibri" w:hAnsi="Open Sans" w:cs="Open Sans"/>
          <w:sz w:val="20"/>
          <w:szCs w:val="20"/>
        </w:rPr>
        <w:t xml:space="preserve">Esta evolución de la información  posiblemente responda a los requerimientos de la </w:t>
      </w:r>
      <w:r w:rsidR="00842817" w:rsidRPr="004C6AD8">
        <w:rPr>
          <w:rFonts w:ascii="Open Sans" w:eastAsia="Times New Roman" w:hAnsi="Open Sans" w:cs="Open Sans"/>
          <w:sz w:val="20"/>
          <w:szCs w:val="22"/>
          <w:lang w:val="es-ES" w:eastAsia="ar-SA"/>
        </w:rPr>
        <w:t>Directiva 2013/34/UE</w:t>
      </w:r>
      <w:r w:rsidR="00842817" w:rsidRPr="00730112">
        <w:rPr>
          <w:rFonts w:ascii="Open Sans" w:eastAsia="Times New Roman" w:hAnsi="Open Sans" w:cs="Open Sans"/>
          <w:b/>
          <w:sz w:val="20"/>
          <w:szCs w:val="22"/>
          <w:lang w:val="es-ES" w:eastAsia="ar-SA"/>
        </w:rPr>
        <w:t xml:space="preserve"> </w:t>
      </w:r>
      <w:r w:rsidR="00842817" w:rsidRPr="00842817">
        <w:rPr>
          <w:rFonts w:ascii="Open Sans" w:eastAsia="Times New Roman" w:hAnsi="Open Sans" w:cs="Open Sans"/>
          <w:sz w:val="20"/>
          <w:szCs w:val="22"/>
          <w:lang w:val="es-ES" w:eastAsia="ar-SA"/>
        </w:rPr>
        <w:t>a</w:t>
      </w:r>
      <w:r w:rsidR="00842817">
        <w:rPr>
          <w:rFonts w:ascii="Open Sans" w:eastAsia="Times New Roman" w:hAnsi="Open Sans" w:cs="Open Sans"/>
          <w:b/>
          <w:sz w:val="20"/>
          <w:szCs w:val="22"/>
          <w:lang w:val="es-ES" w:eastAsia="ar-SA"/>
        </w:rPr>
        <w:t xml:space="preserve"> </w:t>
      </w:r>
      <w:r w:rsidR="00842817" w:rsidRPr="00842817">
        <w:rPr>
          <w:rFonts w:ascii="Open Sans" w:eastAsia="Times New Roman" w:hAnsi="Open Sans" w:cs="Open Sans"/>
          <w:sz w:val="20"/>
          <w:szCs w:val="22"/>
          <w:lang w:val="es-ES" w:eastAsia="ar-SA"/>
        </w:rPr>
        <w:t>la industria</w:t>
      </w:r>
      <w:r w:rsidR="00842817">
        <w:rPr>
          <w:rFonts w:ascii="Open Sans" w:eastAsia="Times New Roman" w:hAnsi="Open Sans" w:cs="Open Sans"/>
          <w:sz w:val="20"/>
          <w:szCs w:val="22"/>
          <w:lang w:val="es-ES" w:eastAsia="ar-SA"/>
        </w:rPr>
        <w:t xml:space="preserve"> extractiva. De acuerdo con esta normativa,  las grandes empresas de la </w:t>
      </w:r>
      <w:r w:rsidR="007F55EB">
        <w:rPr>
          <w:rFonts w:ascii="Open Sans" w:eastAsia="Times New Roman" w:hAnsi="Open Sans" w:cs="Open Sans"/>
          <w:sz w:val="20"/>
          <w:szCs w:val="22"/>
          <w:lang w:val="es-ES" w:eastAsia="ar-SA"/>
        </w:rPr>
        <w:t>industria</w:t>
      </w:r>
      <w:r w:rsidR="00842817">
        <w:rPr>
          <w:rFonts w:ascii="Open Sans" w:eastAsia="Times New Roman" w:hAnsi="Open Sans" w:cs="Open Sans"/>
          <w:sz w:val="20"/>
          <w:szCs w:val="22"/>
          <w:lang w:val="es-ES" w:eastAsia="ar-SA"/>
        </w:rPr>
        <w:t xml:space="preserve"> extractiva </w:t>
      </w:r>
      <w:r w:rsidR="00842817" w:rsidRPr="00842817">
        <w:rPr>
          <w:rFonts w:ascii="Open Sans" w:eastAsia="Times New Roman" w:hAnsi="Open Sans" w:cs="Open Sans"/>
          <w:sz w:val="20"/>
          <w:szCs w:val="22"/>
          <w:lang w:val="es-ES" w:eastAsia="ar-SA"/>
        </w:rPr>
        <w:t>deben publicar los pagos de cuantía sustancial que realicen a las administraciones públicas de los países en los que operan en un informe anual específico</w:t>
      </w:r>
      <w:r w:rsidR="006D44ED">
        <w:rPr>
          <w:rStyle w:val="Refdenotaalpie"/>
          <w:rFonts w:ascii="Open Sans" w:eastAsia="Times New Roman" w:hAnsi="Open Sans" w:cs="Open Sans"/>
          <w:sz w:val="20"/>
          <w:szCs w:val="22"/>
          <w:lang w:val="es-ES" w:eastAsia="ar-SA"/>
        </w:rPr>
        <w:footnoteReference w:id="74"/>
      </w:r>
      <w:r w:rsidR="00842817" w:rsidRPr="00842817">
        <w:rPr>
          <w:rFonts w:ascii="Open Sans" w:eastAsia="Times New Roman" w:hAnsi="Open Sans" w:cs="Open Sans"/>
          <w:sz w:val="20"/>
          <w:szCs w:val="22"/>
          <w:lang w:val="es-ES" w:eastAsia="ar-SA"/>
        </w:rPr>
        <w:t>.</w:t>
      </w:r>
    </w:p>
    <w:p w14:paraId="6B6BBFC5" w14:textId="77777777" w:rsidR="00842817" w:rsidRDefault="00842817" w:rsidP="00DC4EDD">
      <w:pPr>
        <w:jc w:val="both"/>
        <w:rPr>
          <w:rFonts w:ascii="Open Sans" w:eastAsia="Calibri" w:hAnsi="Open Sans" w:cs="Open Sans"/>
          <w:sz w:val="20"/>
          <w:szCs w:val="20"/>
        </w:rPr>
      </w:pPr>
    </w:p>
    <w:p w14:paraId="7A284066" w14:textId="592DBD79" w:rsidR="00DC4EDD" w:rsidRPr="00CF6F67" w:rsidRDefault="00DC4EDD" w:rsidP="00DC4EDD">
      <w:pPr>
        <w:jc w:val="both"/>
        <w:rPr>
          <w:rFonts w:ascii="Open Sans" w:eastAsia="Calibri" w:hAnsi="Open Sans" w:cs="Open Sans"/>
          <w:sz w:val="20"/>
          <w:szCs w:val="20"/>
        </w:rPr>
      </w:pPr>
      <w:r w:rsidRPr="00CF6F67">
        <w:rPr>
          <w:rFonts w:ascii="Open Sans" w:eastAsia="Calibri" w:hAnsi="Open Sans" w:cs="Open Sans"/>
          <w:sz w:val="20"/>
          <w:szCs w:val="20"/>
        </w:rPr>
        <w:t xml:space="preserve">Pese a los pequeños avances en  la información suministrada </w:t>
      </w:r>
      <w:r w:rsidR="00842817">
        <w:rPr>
          <w:rFonts w:ascii="Open Sans" w:eastAsia="Calibri" w:hAnsi="Open Sans" w:cs="Open Sans"/>
          <w:sz w:val="20"/>
          <w:szCs w:val="20"/>
        </w:rPr>
        <w:t xml:space="preserve">por las empresas analizadas </w:t>
      </w:r>
      <w:r w:rsidRPr="00CF6F67">
        <w:rPr>
          <w:rFonts w:ascii="Open Sans" w:eastAsia="Calibri" w:hAnsi="Open Sans" w:cs="Open Sans"/>
          <w:sz w:val="20"/>
          <w:szCs w:val="20"/>
        </w:rPr>
        <w:t xml:space="preserve">en relación al pago de impuestos, todavía </w:t>
      </w:r>
      <w:r w:rsidR="00842817">
        <w:rPr>
          <w:rFonts w:ascii="Open Sans" w:eastAsia="Calibri" w:hAnsi="Open Sans" w:cs="Open Sans"/>
          <w:sz w:val="20"/>
          <w:szCs w:val="20"/>
        </w:rPr>
        <w:t xml:space="preserve">ésta </w:t>
      </w:r>
      <w:r w:rsidRPr="00CF6F67">
        <w:rPr>
          <w:rFonts w:ascii="Open Sans" w:eastAsia="Calibri" w:hAnsi="Open Sans" w:cs="Open Sans"/>
          <w:sz w:val="20"/>
          <w:szCs w:val="20"/>
        </w:rPr>
        <w:t xml:space="preserve">se sitúa en un estadio muy embrionario e incompleto. Bien porque no detalla el concepto de los impuestos pagados, bien porque no desglosa los impuestos en todos los países donde opera la empresa o porque no se facilita una información adecuada para comprender la aportación de la empresa a través del impuesto de sociedades. </w:t>
      </w:r>
    </w:p>
    <w:p w14:paraId="2CFA7142" w14:textId="77777777" w:rsidR="00DC4EDD" w:rsidRDefault="00DC4EDD" w:rsidP="003828F3">
      <w:pPr>
        <w:jc w:val="both"/>
        <w:rPr>
          <w:rFonts w:ascii="Open Sans" w:hAnsi="Open Sans" w:cs="Arial"/>
          <w:b/>
          <w:sz w:val="22"/>
          <w:szCs w:val="22"/>
        </w:rPr>
      </w:pPr>
    </w:p>
    <w:p w14:paraId="14A6A2C7" w14:textId="230AF089" w:rsidR="004C6AD8" w:rsidRDefault="004C6AD8">
      <w:pPr>
        <w:rPr>
          <w:rFonts w:ascii="Open Sans" w:hAnsi="Open Sans" w:cs="Arial"/>
          <w:b/>
          <w:sz w:val="22"/>
          <w:szCs w:val="22"/>
        </w:rPr>
      </w:pPr>
      <w:r>
        <w:rPr>
          <w:rFonts w:ascii="Open Sans" w:hAnsi="Open Sans" w:cs="Arial"/>
          <w:b/>
          <w:sz w:val="22"/>
          <w:szCs w:val="22"/>
        </w:rPr>
        <w:br w:type="page"/>
      </w:r>
    </w:p>
    <w:p w14:paraId="75BA7AAD" w14:textId="77777777" w:rsidR="006D44ED" w:rsidRDefault="006D44ED" w:rsidP="003828F3">
      <w:pPr>
        <w:jc w:val="both"/>
        <w:rPr>
          <w:rFonts w:ascii="Open Sans" w:hAnsi="Open Sans" w:cs="Arial"/>
          <w:b/>
          <w:sz w:val="22"/>
          <w:szCs w:val="22"/>
        </w:rPr>
      </w:pPr>
    </w:p>
    <w:p w14:paraId="71D3A548" w14:textId="77777777" w:rsidR="00ED545D" w:rsidRPr="000835E3" w:rsidRDefault="00ED545D" w:rsidP="003828F3">
      <w:pPr>
        <w:jc w:val="both"/>
        <w:rPr>
          <w:rFonts w:ascii="Open Sans" w:hAnsi="Open Sans" w:cs="Arial"/>
          <w:b/>
          <w:sz w:val="20"/>
          <w:szCs w:val="20"/>
        </w:rPr>
      </w:pPr>
    </w:p>
    <w:p w14:paraId="34B575F1" w14:textId="4CCB60C7" w:rsidR="000835E3" w:rsidRPr="003828F3" w:rsidRDefault="00DC4EDD" w:rsidP="003828F3">
      <w:pPr>
        <w:jc w:val="both"/>
        <w:rPr>
          <w:rFonts w:ascii="Open Sans" w:hAnsi="Open Sans" w:cs="Arial"/>
          <w:b/>
          <w:sz w:val="22"/>
          <w:szCs w:val="22"/>
        </w:rPr>
      </w:pPr>
      <w:bookmarkStart w:id="34" w:name="II2"/>
      <w:r>
        <w:rPr>
          <w:rFonts w:ascii="Open Sans" w:hAnsi="Open Sans" w:cs="Arial"/>
          <w:b/>
          <w:sz w:val="22"/>
          <w:szCs w:val="22"/>
        </w:rPr>
        <w:t xml:space="preserve">I.I.2 </w:t>
      </w:r>
      <w:r w:rsidR="000835E3" w:rsidRPr="003828F3">
        <w:rPr>
          <w:rFonts w:ascii="Open Sans" w:hAnsi="Open Sans" w:cs="Arial"/>
          <w:b/>
          <w:sz w:val="22"/>
          <w:szCs w:val="22"/>
        </w:rPr>
        <w:t>La empresa informa sobre tasas impositivas pagadas en el impuesto sobre sociedades</w:t>
      </w:r>
      <w:bookmarkEnd w:id="34"/>
    </w:p>
    <w:p w14:paraId="5F78BD15" w14:textId="77777777" w:rsidR="00ED545D" w:rsidRDefault="00ED545D" w:rsidP="003828F3">
      <w:pPr>
        <w:jc w:val="both"/>
        <w:rPr>
          <w:rFonts w:ascii="Open Sans" w:hAnsi="Open Sans" w:cs="Arial"/>
          <w:b/>
          <w:sz w:val="20"/>
          <w:szCs w:val="20"/>
        </w:rPr>
      </w:pPr>
    </w:p>
    <w:p w14:paraId="7D7B0336" w14:textId="5B1B3372" w:rsidR="00DC4EDD" w:rsidRPr="00CF6F67" w:rsidRDefault="00DC4EDD" w:rsidP="00DC4EDD">
      <w:pPr>
        <w:jc w:val="both"/>
        <w:rPr>
          <w:rFonts w:ascii="Open Sans" w:eastAsia="Times New Roman" w:hAnsi="Open Sans" w:cs="Open Sans"/>
          <w:color w:val="000000"/>
          <w:sz w:val="20"/>
          <w:szCs w:val="20"/>
        </w:rPr>
      </w:pPr>
      <w:r w:rsidRPr="00CF6F67">
        <w:rPr>
          <w:rFonts w:ascii="Open Sans" w:eastAsia="Times New Roman" w:hAnsi="Open Sans" w:cs="Open Sans"/>
          <w:color w:val="000000"/>
          <w:sz w:val="20"/>
          <w:szCs w:val="20"/>
        </w:rPr>
        <w:t>En relación al indicador I.I.2</w:t>
      </w:r>
      <w:r>
        <w:rPr>
          <w:rFonts w:ascii="Open Sans" w:eastAsia="Times New Roman" w:hAnsi="Open Sans" w:cs="Open Sans"/>
          <w:color w:val="000000"/>
          <w:sz w:val="20"/>
          <w:szCs w:val="20"/>
        </w:rPr>
        <w:t xml:space="preserve">, </w:t>
      </w:r>
      <w:r w:rsidRPr="00CF6F67">
        <w:rPr>
          <w:rFonts w:ascii="Open Sans" w:eastAsia="Times New Roman" w:hAnsi="Open Sans" w:cs="Open Sans"/>
          <w:color w:val="000000"/>
          <w:sz w:val="20"/>
          <w:szCs w:val="20"/>
        </w:rPr>
        <w:t>para cumplir con los criterios fijados, las empresas analizadas deben informar sobre la tasa impositiva efectiva y la tasa impositiva nominal del impuesto de sociedades a nivel país en, al menos, del 80% de países en los que está presente</w:t>
      </w:r>
      <w:r w:rsidRPr="00CF6F67">
        <w:rPr>
          <w:rFonts w:ascii="Open Sans" w:eastAsia="Times New Roman" w:hAnsi="Open Sans" w:cs="Open Sans"/>
          <w:b/>
          <w:color w:val="000000"/>
          <w:sz w:val="20"/>
          <w:szCs w:val="20"/>
        </w:rPr>
        <w:t xml:space="preserve">. </w:t>
      </w:r>
      <w:r w:rsidRPr="00CF6F67">
        <w:rPr>
          <w:rFonts w:ascii="Open Sans" w:eastAsia="Times New Roman" w:hAnsi="Open Sans" w:cs="Open Sans"/>
          <w:color w:val="000000"/>
          <w:sz w:val="20"/>
          <w:szCs w:val="20"/>
        </w:rPr>
        <w:t>La empresa, además, debe  explicar a qué se debe la diferencia entre la tasa impositiva efectiva y la tasa impositiva nominal del impuesto sobre sociedades. El nivel de cumplimiento de este indicador es anecdótico</w:t>
      </w:r>
      <w:r>
        <w:rPr>
          <w:rFonts w:ascii="Open Sans" w:eastAsia="Times New Roman" w:hAnsi="Open Sans" w:cs="Open Sans"/>
          <w:color w:val="000000"/>
          <w:sz w:val="20"/>
          <w:szCs w:val="20"/>
        </w:rPr>
        <w:t xml:space="preserve">. </w:t>
      </w:r>
      <w:r w:rsidRPr="004C6AD8">
        <w:rPr>
          <w:rFonts w:ascii="Open Sans" w:eastAsia="Times New Roman" w:hAnsi="Open Sans" w:cs="Open Sans"/>
          <w:b/>
          <w:color w:val="000000"/>
          <w:sz w:val="20"/>
          <w:szCs w:val="20"/>
        </w:rPr>
        <w:t>Solamente una empresa, Mediaset, lo cumple.</w:t>
      </w:r>
      <w:r w:rsidRPr="004C6AD8">
        <w:rPr>
          <w:rFonts w:ascii="Open Sans" w:eastAsia="Times New Roman" w:hAnsi="Open Sans" w:cs="Open Sans"/>
          <w:color w:val="000000"/>
          <w:sz w:val="20"/>
          <w:szCs w:val="20"/>
        </w:rPr>
        <w:t xml:space="preserve"> Esta empresa opera solamente en España y a través de una participada en un 44% en EEUU. La participada no se ha tenido en consideración.</w:t>
      </w:r>
      <w:r w:rsidRPr="00CF6F67">
        <w:rPr>
          <w:rFonts w:ascii="Open Sans" w:eastAsia="Times New Roman" w:hAnsi="Open Sans" w:cs="Open Sans"/>
          <w:color w:val="000000"/>
          <w:sz w:val="20"/>
          <w:szCs w:val="20"/>
        </w:rPr>
        <w:t xml:space="preserve"> El resto de empresas no facilita la tasa efectiva y nominal en los países en los que están presentes y ninguna informa a qué se deben las diferencias entre tasa nominal y lo efectivamente pagado por impuesto de sociedades más allá de España. </w:t>
      </w:r>
    </w:p>
    <w:p w14:paraId="73372D3E" w14:textId="77777777" w:rsidR="00DC4EDD" w:rsidRPr="00CF6F67" w:rsidRDefault="00DC4EDD" w:rsidP="00DC4EDD">
      <w:pPr>
        <w:jc w:val="both"/>
        <w:rPr>
          <w:rFonts w:ascii="Open Sans" w:eastAsia="Times New Roman" w:hAnsi="Open Sans" w:cs="Open Sans"/>
          <w:color w:val="000000"/>
          <w:sz w:val="20"/>
          <w:szCs w:val="20"/>
        </w:rPr>
      </w:pPr>
    </w:p>
    <w:p w14:paraId="26CFA2D4" w14:textId="77777777" w:rsidR="00DC4EDD" w:rsidRPr="00CF6F67" w:rsidRDefault="00DC4EDD" w:rsidP="00DC4EDD">
      <w:pPr>
        <w:autoSpaceDE w:val="0"/>
        <w:autoSpaceDN w:val="0"/>
        <w:adjustRightInd w:val="0"/>
        <w:jc w:val="both"/>
        <w:rPr>
          <w:rFonts w:ascii="Open Sans" w:eastAsia="Calibri" w:hAnsi="Open Sans" w:cs="Open Sans"/>
          <w:color w:val="000000"/>
          <w:sz w:val="20"/>
          <w:szCs w:val="20"/>
        </w:rPr>
      </w:pPr>
      <w:r w:rsidRPr="00CF6F67">
        <w:rPr>
          <w:rFonts w:ascii="Open Sans" w:eastAsia="Times New Roman" w:hAnsi="Open Sans" w:cs="Open Sans"/>
          <w:color w:val="000000"/>
          <w:sz w:val="20"/>
          <w:szCs w:val="20"/>
        </w:rPr>
        <w:t xml:space="preserve">No obstante y pese a que las empresas analizadas no llegan a alcanzar los requisitos mínimos exigidos en el indicador, hay diferencias notables en la información facilitada. Por ejemplo </w:t>
      </w:r>
      <w:r w:rsidRPr="004C6AD8">
        <w:rPr>
          <w:rFonts w:ascii="Open Sans" w:eastAsia="Calibri" w:hAnsi="Open Sans" w:cs="Open Sans"/>
          <w:color w:val="000000"/>
          <w:sz w:val="20"/>
          <w:szCs w:val="20"/>
        </w:rPr>
        <w:t>MAPFRE informa sobre la tasa fiscal efectiva de las diferentes sociedades en cada uno de los países (denominación y domicilio), de la actividad y de la participación en capital social, de los activos, del patrimonio neto, de los ingresos, del resultado del ejercicio y del método de consolidación –para todas estas cuestiones, también informa sobre el ejercicio 2014-. No obstante, no se incluye la tasa fiscal efectiva agregada por país, dato que sería de gran interés. Tampoco explica las diferencias existentes entre la tasa fiscal efectiva y la tasa impositiva nominal,</w:t>
      </w:r>
      <w:r w:rsidRPr="00CF6F67">
        <w:rPr>
          <w:rFonts w:ascii="Open Sans" w:eastAsia="Calibri" w:hAnsi="Open Sans" w:cs="Open Sans"/>
          <w:color w:val="000000"/>
          <w:sz w:val="20"/>
          <w:szCs w:val="20"/>
        </w:rPr>
        <w:t xml:space="preserve"> lo que permitiría hacer un análisis más ajustado de la contribución de MAPFRE a los impuestos de cada país.</w:t>
      </w:r>
    </w:p>
    <w:p w14:paraId="06A669DF" w14:textId="77777777" w:rsidR="00DC4EDD" w:rsidRPr="00CF6F67" w:rsidRDefault="00DC4EDD" w:rsidP="00DC4EDD">
      <w:pPr>
        <w:jc w:val="both"/>
        <w:rPr>
          <w:rFonts w:ascii="Open Sans" w:eastAsia="Times New Roman" w:hAnsi="Open Sans" w:cs="Open Sans"/>
          <w:color w:val="000000"/>
          <w:sz w:val="20"/>
          <w:szCs w:val="20"/>
        </w:rPr>
      </w:pPr>
    </w:p>
    <w:p w14:paraId="39385519" w14:textId="620A79D0" w:rsidR="00DC4EDD" w:rsidRPr="00CF6F67" w:rsidRDefault="00DC4EDD" w:rsidP="00DC4EDD">
      <w:pPr>
        <w:tabs>
          <w:tab w:val="left" w:pos="709"/>
        </w:tabs>
        <w:jc w:val="both"/>
        <w:rPr>
          <w:rFonts w:ascii="Open Sans" w:hAnsi="Open Sans"/>
          <w:b/>
        </w:rPr>
      </w:pPr>
      <w:r w:rsidRPr="00CF6F67">
        <w:rPr>
          <w:rFonts w:ascii="Open Sans" w:eastAsia="Times New Roman" w:hAnsi="Open Sans" w:cs="Open Sans"/>
          <w:color w:val="000000"/>
          <w:sz w:val="20"/>
          <w:szCs w:val="20"/>
        </w:rPr>
        <w:t xml:space="preserve">En el caso de </w:t>
      </w:r>
      <w:r w:rsidR="004C6AD8">
        <w:rPr>
          <w:rFonts w:ascii="Open Sans" w:eastAsia="Times New Roman" w:hAnsi="Open Sans" w:cs="Open Sans"/>
          <w:color w:val="000000"/>
          <w:sz w:val="20"/>
          <w:szCs w:val="20"/>
        </w:rPr>
        <w:t>FERROVIAL</w:t>
      </w:r>
      <w:r w:rsidRPr="00CF6F67">
        <w:rPr>
          <w:rFonts w:ascii="Open Sans" w:eastAsia="Times New Roman" w:hAnsi="Open Sans" w:cs="Open Sans"/>
          <w:color w:val="000000"/>
          <w:sz w:val="20"/>
          <w:szCs w:val="20"/>
        </w:rPr>
        <w:t xml:space="preserve"> </w:t>
      </w:r>
      <w:r w:rsidRPr="00CF6F67">
        <w:rPr>
          <w:rFonts w:ascii="Open Sans" w:hAnsi="Open Sans" w:cs="Arial"/>
          <w:bCs/>
          <w:sz w:val="20"/>
          <w:szCs w:val="20"/>
        </w:rPr>
        <w:t>la explicación sobre la diferencia entre tasas impositivas menciona únicamente los motivos para el total del Grupo (donde el tipo efectivo es claramente superior al nominal) pero no se indica nada sobre la situación país por país, ni siquiera sobre dos de los países sobre los que se incluye información desagregada y en los que el tipo efectivo pagado por la compañía es inferior al nominal del país. Estos dos países son: España, con una tipo efectivo de la empresa del 21% frente al nominal del 28%; y Reino Unido donde Ferrovial registra un ingreso por impuesto sobre sociedades de 5 millones de euros frente a la tasa nominal del país del 20%. La información que proporciona a nivel global se limita a indicar que «</w:t>
      </w:r>
      <w:r w:rsidRPr="00CF6F67">
        <w:rPr>
          <w:rFonts w:ascii="Open Sans" w:hAnsi="Open Sans" w:cs="Arial"/>
          <w:bCs/>
          <w:i/>
          <w:sz w:val="20"/>
          <w:szCs w:val="20"/>
        </w:rPr>
        <w:t>la diferencia entre la tasa efectiva real del 31% y la tasa teórica del 26% corresponde a la no deducibilidad fiscal de determinados conceptos, fundamentalmente pérdidas obtenidas en el extranjero por un importe de 64 millones de euros en base y 13 millones de euros en cuota</w:t>
      </w:r>
      <w:r w:rsidRPr="00CF6F67">
        <w:rPr>
          <w:rFonts w:ascii="Open Sans" w:hAnsi="Open Sans" w:cs="Arial"/>
          <w:bCs/>
          <w:sz w:val="20"/>
          <w:szCs w:val="20"/>
        </w:rPr>
        <w:t>».</w:t>
      </w:r>
    </w:p>
    <w:p w14:paraId="412565B1" w14:textId="77777777" w:rsidR="00DC4EDD" w:rsidRPr="00CF6F67" w:rsidRDefault="00DC4EDD" w:rsidP="00DC4EDD">
      <w:pPr>
        <w:jc w:val="both"/>
        <w:rPr>
          <w:rFonts w:ascii="Open Sans" w:eastAsia="Times New Roman" w:hAnsi="Open Sans" w:cs="Open Sans"/>
          <w:color w:val="000000"/>
          <w:sz w:val="20"/>
          <w:szCs w:val="20"/>
        </w:rPr>
      </w:pPr>
    </w:p>
    <w:p w14:paraId="52BB0753" w14:textId="03798426" w:rsidR="00DC4EDD" w:rsidRPr="00CF6F67" w:rsidRDefault="00DC4EDD" w:rsidP="00DC4EDD">
      <w:pPr>
        <w:jc w:val="both"/>
        <w:rPr>
          <w:rFonts w:ascii="Open Sans" w:hAnsi="Open Sans" w:cs="Arial"/>
          <w:bCs/>
          <w:sz w:val="20"/>
          <w:szCs w:val="20"/>
        </w:rPr>
      </w:pPr>
      <w:r w:rsidRPr="00CF6F67">
        <w:rPr>
          <w:rFonts w:ascii="Open Sans" w:eastAsia="Times New Roman" w:hAnsi="Open Sans" w:cs="Open Sans"/>
          <w:color w:val="000000"/>
          <w:sz w:val="20"/>
          <w:szCs w:val="20"/>
        </w:rPr>
        <w:t xml:space="preserve">Hay otras </w:t>
      </w:r>
      <w:r w:rsidRPr="004C6AD8">
        <w:rPr>
          <w:rFonts w:ascii="Open Sans" w:eastAsia="Times New Roman" w:hAnsi="Open Sans" w:cs="Open Sans"/>
          <w:color w:val="000000"/>
          <w:sz w:val="20"/>
          <w:szCs w:val="20"/>
        </w:rPr>
        <w:t>empresas que simplemente informan de la tasa nominal en los países donde está presente. Esta información no aporta ningún valor ni ayuda a entender la contribución fiscal de la empresa</w:t>
      </w:r>
      <w:r w:rsidRPr="00CF6F67">
        <w:rPr>
          <w:rFonts w:ascii="Open Sans" w:eastAsia="Times New Roman" w:hAnsi="Open Sans" w:cs="Open Sans"/>
          <w:color w:val="000000"/>
          <w:sz w:val="20"/>
          <w:szCs w:val="20"/>
        </w:rPr>
        <w:t xml:space="preserve">. Por ejemplo </w:t>
      </w:r>
      <w:r w:rsidR="004C6AD8">
        <w:rPr>
          <w:rFonts w:ascii="Open Sans" w:hAnsi="Open Sans" w:cs="Arial"/>
          <w:bCs/>
          <w:sz w:val="20"/>
          <w:szCs w:val="20"/>
        </w:rPr>
        <w:t>SACYR</w:t>
      </w:r>
      <w:r w:rsidRPr="00CF6F67">
        <w:rPr>
          <w:rFonts w:ascii="Open Sans" w:hAnsi="Open Sans" w:cs="Arial"/>
          <w:bCs/>
          <w:sz w:val="20"/>
          <w:szCs w:val="20"/>
        </w:rPr>
        <w:t xml:space="preserve"> aporta información de los tipos nominales de gravamen empleados para el cálculo del impuesto sobre las ganancias de las sociedades del grupo para 19 países, pero no informa cuál ha sido la tasa real efectiva igualmente desglosada por país. Otro caso es el de </w:t>
      </w:r>
      <w:r w:rsidRPr="004C6AD8">
        <w:rPr>
          <w:rFonts w:ascii="Open Sans" w:hAnsi="Open Sans" w:cs="Arial"/>
          <w:bCs/>
          <w:sz w:val="20"/>
          <w:szCs w:val="20"/>
        </w:rPr>
        <w:t>OHL</w:t>
      </w:r>
      <w:r w:rsidRPr="00CF6F67">
        <w:rPr>
          <w:rFonts w:ascii="Open Sans" w:hAnsi="Open Sans" w:cs="Arial"/>
          <w:bCs/>
          <w:sz w:val="20"/>
          <w:szCs w:val="20"/>
        </w:rPr>
        <w:t xml:space="preserve">, la empresa aporta un listado de los tipos impositivos en 20 de los países en los que la empresa tiene actividad pero no aporta los tipos impositivos efectivos en cada uno de ellos. </w:t>
      </w:r>
      <w:r w:rsidRPr="004C6AD8">
        <w:rPr>
          <w:rFonts w:ascii="Open Sans" w:hAnsi="Open Sans" w:cs="Arial"/>
          <w:bCs/>
          <w:sz w:val="20"/>
          <w:szCs w:val="20"/>
        </w:rPr>
        <w:t>REPSOL o DIA</w:t>
      </w:r>
      <w:r w:rsidRPr="00CF6F67">
        <w:rPr>
          <w:rFonts w:ascii="Open Sans" w:hAnsi="Open Sans" w:cs="Arial"/>
          <w:bCs/>
          <w:sz w:val="20"/>
          <w:szCs w:val="20"/>
        </w:rPr>
        <w:t xml:space="preserve"> también publican la tasa nominal de los países donde están presentes pero no la efectiva.</w:t>
      </w:r>
    </w:p>
    <w:p w14:paraId="02CD3D4C" w14:textId="77777777" w:rsidR="00DC4EDD" w:rsidRDefault="00DC4EDD" w:rsidP="003828F3">
      <w:pPr>
        <w:jc w:val="both"/>
        <w:rPr>
          <w:rFonts w:ascii="Open Sans" w:hAnsi="Open Sans" w:cs="Arial"/>
          <w:b/>
          <w:sz w:val="20"/>
          <w:szCs w:val="20"/>
        </w:rPr>
      </w:pPr>
    </w:p>
    <w:p w14:paraId="4137AB60" w14:textId="77777777" w:rsidR="00DC4EDD" w:rsidRPr="000835E3" w:rsidRDefault="00DC4EDD" w:rsidP="003828F3">
      <w:pPr>
        <w:jc w:val="both"/>
        <w:rPr>
          <w:rFonts w:ascii="Open Sans" w:hAnsi="Open Sans" w:cs="Arial"/>
          <w:b/>
          <w:sz w:val="20"/>
          <w:szCs w:val="20"/>
        </w:rPr>
      </w:pPr>
    </w:p>
    <w:p w14:paraId="307A65A9" w14:textId="349BF515" w:rsidR="000835E3" w:rsidRPr="003828F3" w:rsidRDefault="00DC4EDD" w:rsidP="003828F3">
      <w:pPr>
        <w:jc w:val="both"/>
        <w:rPr>
          <w:rFonts w:ascii="Open Sans" w:hAnsi="Open Sans" w:cs="Arial"/>
          <w:b/>
          <w:sz w:val="22"/>
          <w:szCs w:val="22"/>
        </w:rPr>
      </w:pPr>
      <w:bookmarkStart w:id="35" w:name="II3"/>
      <w:r>
        <w:rPr>
          <w:rFonts w:ascii="Open Sans" w:hAnsi="Open Sans" w:cs="Arial"/>
          <w:b/>
          <w:sz w:val="22"/>
          <w:szCs w:val="22"/>
        </w:rPr>
        <w:t>I.I.3 La empresa informa sobre las s</w:t>
      </w:r>
      <w:r w:rsidR="000835E3" w:rsidRPr="003828F3">
        <w:rPr>
          <w:rFonts w:ascii="Open Sans" w:hAnsi="Open Sans" w:cs="Arial"/>
          <w:b/>
          <w:sz w:val="22"/>
          <w:szCs w:val="22"/>
        </w:rPr>
        <w:t xml:space="preserve">ubvenciones </w:t>
      </w:r>
      <w:r w:rsidR="006D44ED">
        <w:rPr>
          <w:rFonts w:ascii="Open Sans" w:hAnsi="Open Sans" w:cs="Arial"/>
          <w:b/>
          <w:sz w:val="22"/>
          <w:szCs w:val="22"/>
        </w:rPr>
        <w:t xml:space="preserve">y ayudas públicas </w:t>
      </w:r>
      <w:r w:rsidR="000835E3" w:rsidRPr="003828F3">
        <w:rPr>
          <w:rFonts w:ascii="Open Sans" w:hAnsi="Open Sans" w:cs="Arial"/>
          <w:b/>
          <w:sz w:val="22"/>
          <w:szCs w:val="22"/>
        </w:rPr>
        <w:t>recibidas</w:t>
      </w:r>
      <w:bookmarkEnd w:id="35"/>
    </w:p>
    <w:p w14:paraId="35FAA745" w14:textId="77777777" w:rsidR="00ED545D" w:rsidRDefault="00ED545D" w:rsidP="003828F3">
      <w:pPr>
        <w:jc w:val="both"/>
        <w:rPr>
          <w:rFonts w:ascii="Open Sans" w:hAnsi="Open Sans" w:cs="Arial"/>
          <w:b/>
          <w:sz w:val="20"/>
          <w:szCs w:val="20"/>
        </w:rPr>
      </w:pPr>
    </w:p>
    <w:p w14:paraId="55BF1816" w14:textId="6F564C1E" w:rsidR="00DC4EDD" w:rsidRPr="00CF6F67" w:rsidRDefault="00DC4EDD" w:rsidP="00DC4EDD">
      <w:pPr>
        <w:jc w:val="both"/>
        <w:rPr>
          <w:rFonts w:ascii="Open Sans" w:eastAsia="Times New Roman" w:hAnsi="Open Sans" w:cs="Open Sans"/>
          <w:color w:val="000000"/>
          <w:sz w:val="20"/>
          <w:szCs w:val="20"/>
        </w:rPr>
      </w:pPr>
      <w:r w:rsidRPr="00CF6F67">
        <w:rPr>
          <w:rFonts w:ascii="Open Sans" w:eastAsia="Times New Roman" w:hAnsi="Open Sans" w:cs="Open Sans"/>
          <w:color w:val="000000"/>
          <w:sz w:val="20"/>
          <w:szCs w:val="20"/>
        </w:rPr>
        <w:t>En relación al indicador I.I.3·</w:t>
      </w:r>
      <w:r w:rsidRPr="00CF6F67">
        <w:rPr>
          <w:rFonts w:ascii="Open Sans" w:eastAsia="Times New Roman" w:hAnsi="Open Sans" w:cs="Open Sans"/>
          <w:b/>
          <w:color w:val="000000"/>
          <w:sz w:val="20"/>
          <w:szCs w:val="20"/>
        </w:rPr>
        <w:t>,</w:t>
      </w:r>
      <w:r w:rsidRPr="00CF6F67">
        <w:rPr>
          <w:rFonts w:ascii="Open Sans" w:eastAsia="Times New Roman" w:hAnsi="Open Sans" w:cs="Open Sans"/>
          <w:color w:val="000000"/>
          <w:sz w:val="20"/>
          <w:szCs w:val="20"/>
        </w:rPr>
        <w:t xml:space="preserve"> para cumplir con los criterios fijados, las empresas analizadas deben informar </w:t>
      </w:r>
      <w:r w:rsidR="006D44ED">
        <w:rPr>
          <w:rFonts w:ascii="Open Sans" w:eastAsia="Times New Roman" w:hAnsi="Open Sans" w:cs="Open Sans"/>
          <w:color w:val="000000"/>
          <w:sz w:val="20"/>
          <w:szCs w:val="20"/>
        </w:rPr>
        <w:t xml:space="preserve">de </w:t>
      </w:r>
      <w:r w:rsidRPr="00CF6F67">
        <w:rPr>
          <w:rFonts w:ascii="Open Sans" w:eastAsia="Times New Roman" w:hAnsi="Open Sans" w:cs="Open Sans"/>
          <w:color w:val="000000"/>
          <w:sz w:val="20"/>
          <w:szCs w:val="20"/>
        </w:rPr>
        <w:t xml:space="preserve">al menos de la cifra total en euros de las subvenciones públicas recibidas a nivel global. Son </w:t>
      </w:r>
      <w:r w:rsidR="006D44ED">
        <w:rPr>
          <w:rFonts w:ascii="Open Sans" w:eastAsia="Times New Roman" w:hAnsi="Open Sans" w:cs="Open Sans"/>
          <w:b/>
          <w:color w:val="000000"/>
          <w:sz w:val="20"/>
          <w:szCs w:val="20"/>
        </w:rPr>
        <w:t>22</w:t>
      </w:r>
      <w:r w:rsidRPr="00DC4EDD">
        <w:rPr>
          <w:rFonts w:ascii="Open Sans" w:eastAsia="Times New Roman" w:hAnsi="Open Sans" w:cs="Open Sans"/>
          <w:b/>
          <w:color w:val="000000"/>
          <w:sz w:val="20"/>
          <w:szCs w:val="20"/>
        </w:rPr>
        <w:t xml:space="preserve"> las empresas de las 35 analizadas</w:t>
      </w:r>
      <w:r w:rsidRPr="00CF6F67">
        <w:rPr>
          <w:rFonts w:ascii="Open Sans" w:eastAsia="Times New Roman" w:hAnsi="Open Sans" w:cs="Open Sans"/>
          <w:color w:val="000000"/>
          <w:sz w:val="20"/>
          <w:szCs w:val="20"/>
        </w:rPr>
        <w:t xml:space="preserve"> que cumplen con este indicador aunque solamente CAIXABANK facilita información más detallada. Ninguna empresa pública información detallada por país y se limitan a dar cifra global de subvenciones aplicadas a resultados.</w:t>
      </w:r>
    </w:p>
    <w:p w14:paraId="1F0BD990" w14:textId="77777777" w:rsidR="00DC4EDD" w:rsidRPr="00CF6F67" w:rsidRDefault="00DC4EDD" w:rsidP="00DC4EDD">
      <w:pPr>
        <w:jc w:val="both"/>
        <w:rPr>
          <w:rFonts w:ascii="Open Sans" w:eastAsia="Times New Roman" w:hAnsi="Open Sans" w:cs="Open Sans"/>
          <w:color w:val="000000"/>
          <w:sz w:val="20"/>
          <w:szCs w:val="20"/>
        </w:rPr>
      </w:pPr>
    </w:p>
    <w:p w14:paraId="442D2E50" w14:textId="267090BC" w:rsidR="00F7530E" w:rsidRPr="00136ED0" w:rsidRDefault="00F7530E" w:rsidP="00F7530E">
      <w:pPr>
        <w:jc w:val="both"/>
        <w:rPr>
          <w:rFonts w:ascii="Open Sans" w:hAnsi="Open Sans" w:cs="Arial"/>
          <w:i/>
          <w:sz w:val="20"/>
          <w:szCs w:val="20"/>
        </w:rPr>
      </w:pPr>
      <w:r>
        <w:rPr>
          <w:rFonts w:ascii="Open Sans" w:eastAsia="Times New Roman" w:hAnsi="Open Sans" w:cs="Open Sans"/>
          <w:color w:val="000000"/>
          <w:sz w:val="20"/>
          <w:szCs w:val="20"/>
        </w:rPr>
        <w:t xml:space="preserve">En primer lugar se echa </w:t>
      </w:r>
      <w:r w:rsidRPr="004C6AD8">
        <w:rPr>
          <w:rFonts w:ascii="Open Sans" w:eastAsia="Times New Roman" w:hAnsi="Open Sans" w:cs="Open Sans"/>
          <w:color w:val="000000"/>
          <w:sz w:val="20"/>
          <w:szCs w:val="20"/>
        </w:rPr>
        <w:t>en falta una definición de lo que la empresa entiende por subvención pública</w:t>
      </w:r>
      <w:r>
        <w:rPr>
          <w:rFonts w:ascii="Open Sans" w:eastAsia="Times New Roman" w:hAnsi="Open Sans" w:cs="Open Sans"/>
          <w:color w:val="000000"/>
          <w:sz w:val="20"/>
          <w:szCs w:val="20"/>
        </w:rPr>
        <w:t xml:space="preserve">. Se denota diversos criterios de interpretación por parte de las empresas analizadas. </w:t>
      </w:r>
      <w:r w:rsidR="004C6AD8">
        <w:rPr>
          <w:rFonts w:ascii="Open Sans" w:eastAsia="Times New Roman" w:hAnsi="Open Sans" w:cs="Open Sans"/>
          <w:color w:val="000000"/>
          <w:sz w:val="20"/>
          <w:szCs w:val="20"/>
        </w:rPr>
        <w:t>BANCO</w:t>
      </w:r>
      <w:r>
        <w:rPr>
          <w:rFonts w:ascii="Open Sans" w:eastAsia="Times New Roman" w:hAnsi="Open Sans" w:cs="Open Sans"/>
          <w:color w:val="000000"/>
          <w:sz w:val="20"/>
          <w:szCs w:val="20"/>
        </w:rPr>
        <w:t xml:space="preserve"> SANTANDER informa que toma como referencia </w:t>
      </w:r>
      <w:r>
        <w:rPr>
          <w:rFonts w:ascii="Open Sans" w:hAnsi="Open Sans" w:cs="Open Sans"/>
          <w:bCs/>
          <w:sz w:val="20"/>
          <w:szCs w:val="20"/>
        </w:rPr>
        <w:t xml:space="preserve">la </w:t>
      </w:r>
      <w:r w:rsidRPr="004C6AD8">
        <w:rPr>
          <w:rFonts w:ascii="Open Sans" w:hAnsi="Open Sans" w:cs="Open Sans"/>
          <w:bCs/>
          <w:sz w:val="20"/>
          <w:szCs w:val="20"/>
        </w:rPr>
        <w:t>Guía de Ayudas de Estado de la Comisión Europea</w:t>
      </w:r>
      <w:r>
        <w:rPr>
          <w:rFonts w:ascii="Open Sans" w:hAnsi="Open Sans" w:cs="Open Sans"/>
          <w:bCs/>
          <w:sz w:val="20"/>
          <w:szCs w:val="20"/>
        </w:rPr>
        <w:t xml:space="preserve">. </w:t>
      </w:r>
      <w:r>
        <w:rPr>
          <w:rFonts w:ascii="Open Sans" w:hAnsi="Open Sans" w:cs="Arial"/>
          <w:sz w:val="20"/>
          <w:szCs w:val="20"/>
        </w:rPr>
        <w:t>INDRA incluye dentro del nuevo código ético la norma de conducta en relación a subvenciones y ayudas públicas, en el que explica que se entiende por subvención (</w:t>
      </w:r>
      <w:r w:rsidRPr="004C6AD8">
        <w:rPr>
          <w:rFonts w:ascii="Open Sans" w:hAnsi="Open Sans" w:cs="Arial"/>
          <w:sz w:val="20"/>
          <w:szCs w:val="20"/>
        </w:rPr>
        <w:t>aportaciones de fondos directamente y financiación en condiciones ventajosas frente al mercado</w:t>
      </w:r>
      <w:r>
        <w:rPr>
          <w:rFonts w:ascii="Open Sans" w:hAnsi="Open Sans" w:cs="Arial"/>
          <w:sz w:val="20"/>
          <w:szCs w:val="20"/>
        </w:rPr>
        <w:t>) y actuaciones que están prohibidas.  AM</w:t>
      </w:r>
      <w:r w:rsidR="00136ED0">
        <w:rPr>
          <w:rFonts w:ascii="Open Sans" w:hAnsi="Open Sans" w:cs="Arial"/>
          <w:sz w:val="20"/>
          <w:szCs w:val="20"/>
        </w:rPr>
        <w:t>A</w:t>
      </w:r>
      <w:r>
        <w:rPr>
          <w:rFonts w:ascii="Open Sans" w:hAnsi="Open Sans" w:cs="Arial"/>
          <w:sz w:val="20"/>
          <w:szCs w:val="20"/>
        </w:rPr>
        <w:t xml:space="preserve">DEUS </w:t>
      </w:r>
      <w:r>
        <w:rPr>
          <w:rFonts w:ascii="Open Sans" w:hAnsi="Open Sans" w:cs="Open Sans"/>
          <w:sz w:val="20"/>
          <w:szCs w:val="20"/>
        </w:rPr>
        <w:t xml:space="preserve">Menciona que </w:t>
      </w:r>
      <w:r w:rsidRPr="00670D46">
        <w:rPr>
          <w:rFonts w:ascii="Open Sans" w:hAnsi="Open Sans" w:cs="Open Sans"/>
          <w:sz w:val="20"/>
          <w:szCs w:val="20"/>
        </w:rPr>
        <w:t>recibe incentivos fiscales como disminución de impuestos a pagar en relación a los gastos de investigación y desarrollo</w:t>
      </w:r>
      <w:r>
        <w:rPr>
          <w:rFonts w:ascii="Open Sans" w:hAnsi="Open Sans" w:cs="Open Sans"/>
          <w:sz w:val="20"/>
          <w:szCs w:val="20"/>
        </w:rPr>
        <w:t xml:space="preserve"> </w:t>
      </w:r>
      <w:r w:rsidRPr="00670D46">
        <w:rPr>
          <w:rFonts w:ascii="Open Sans" w:hAnsi="Open Sans" w:cs="Open Sans"/>
          <w:sz w:val="20"/>
          <w:szCs w:val="20"/>
        </w:rPr>
        <w:t xml:space="preserve">incurridos por el Grupo. </w:t>
      </w:r>
      <w:r>
        <w:rPr>
          <w:rFonts w:ascii="Open Sans" w:hAnsi="Open Sans" w:cs="Open Sans"/>
          <w:sz w:val="20"/>
          <w:szCs w:val="20"/>
        </w:rPr>
        <w:t xml:space="preserve">Afirma que </w:t>
      </w:r>
      <w:r w:rsidRPr="004C6AD8">
        <w:rPr>
          <w:rFonts w:ascii="Open Sans" w:hAnsi="Open Sans" w:cs="Open Sans"/>
          <w:sz w:val="20"/>
          <w:szCs w:val="20"/>
        </w:rPr>
        <w:t>“estos incentivos son, en sustancia, subvenciones públicas</w:t>
      </w:r>
      <w:r>
        <w:rPr>
          <w:rFonts w:ascii="Open Sans" w:hAnsi="Open Sans" w:cs="Open Sans"/>
          <w:sz w:val="20"/>
          <w:szCs w:val="20"/>
        </w:rPr>
        <w:t xml:space="preserve">”. En esta misma línea se pronuncia REC que </w:t>
      </w:r>
      <w:r>
        <w:rPr>
          <w:rFonts w:ascii="Open Sans" w:hAnsi="Open Sans" w:cs="Arial"/>
          <w:sz w:val="20"/>
          <w:szCs w:val="20"/>
        </w:rPr>
        <w:t xml:space="preserve">indica que las </w:t>
      </w:r>
      <w:r w:rsidRPr="00871E86">
        <w:rPr>
          <w:rFonts w:ascii="Open Sans" w:hAnsi="Open Sans" w:cs="Arial"/>
          <w:sz w:val="20"/>
          <w:szCs w:val="20"/>
        </w:rPr>
        <w:t xml:space="preserve">deducciones del impuesto sobre las ganancias concedidas por Administraciones Públicas como una minoración de la cuota de dicho impuesto </w:t>
      </w:r>
      <w:r>
        <w:rPr>
          <w:rFonts w:ascii="Open Sans" w:hAnsi="Open Sans" w:cs="Arial"/>
          <w:sz w:val="20"/>
          <w:szCs w:val="20"/>
        </w:rPr>
        <w:t>tienen la</w:t>
      </w:r>
      <w:r w:rsidRPr="00871E86">
        <w:rPr>
          <w:rFonts w:ascii="Open Sans" w:hAnsi="Open Sans" w:cs="Arial"/>
          <w:sz w:val="20"/>
          <w:szCs w:val="20"/>
        </w:rPr>
        <w:t xml:space="preserve"> consideración de subvenciones oficiales de capital</w:t>
      </w:r>
      <w:r w:rsidRPr="004C6AD8">
        <w:rPr>
          <w:rFonts w:ascii="Open Sans" w:hAnsi="Open Sans" w:cs="Arial"/>
          <w:sz w:val="20"/>
          <w:szCs w:val="20"/>
        </w:rPr>
        <w:t xml:space="preserve">. </w:t>
      </w:r>
      <w:r w:rsidRPr="004C6AD8">
        <w:rPr>
          <w:rFonts w:ascii="Open Sans" w:hAnsi="Open Sans" w:cs="Open Sans"/>
          <w:sz w:val="20"/>
          <w:szCs w:val="20"/>
        </w:rPr>
        <w:t xml:space="preserve">A partir de esta falta de criterio homogéneo la información facilitada por las empresas es muy desigual y en muy pocos casos va más allá de dar una cifra global </w:t>
      </w:r>
      <w:r w:rsidRPr="004C6AD8">
        <w:rPr>
          <w:rFonts w:ascii="Open Sans" w:hAnsi="Open Sans" w:cs="Arial"/>
          <w:sz w:val="20"/>
          <w:szCs w:val="20"/>
        </w:rPr>
        <w:t>sin información de  proyectos o actividad subvencionada, cantidad por proyecto, el organismo que lo concede y país</w:t>
      </w:r>
      <w:r w:rsidR="004C6AD8">
        <w:rPr>
          <w:rFonts w:ascii="Open Sans" w:hAnsi="Open Sans" w:cs="Arial"/>
          <w:sz w:val="20"/>
          <w:szCs w:val="20"/>
        </w:rPr>
        <w:t>.</w:t>
      </w:r>
    </w:p>
    <w:p w14:paraId="145693B7" w14:textId="77777777" w:rsidR="00F7530E" w:rsidRDefault="00F7530E" w:rsidP="00F7530E">
      <w:pPr>
        <w:jc w:val="both"/>
        <w:rPr>
          <w:rFonts w:ascii="Open Sans" w:hAnsi="Open Sans" w:cs="Open Sans"/>
          <w:bCs/>
          <w:sz w:val="20"/>
          <w:szCs w:val="20"/>
        </w:rPr>
      </w:pPr>
    </w:p>
    <w:p w14:paraId="586D83CF" w14:textId="77777777" w:rsidR="00F7530E" w:rsidRDefault="00F7530E" w:rsidP="00F7530E">
      <w:pPr>
        <w:jc w:val="both"/>
        <w:rPr>
          <w:rFonts w:ascii="Open Sans" w:hAnsi="Open Sans" w:cs="Open Sans"/>
          <w:bCs/>
          <w:sz w:val="20"/>
          <w:szCs w:val="20"/>
        </w:rPr>
      </w:pPr>
      <w:r>
        <w:rPr>
          <w:rFonts w:ascii="Open Sans" w:hAnsi="Open Sans" w:cs="Open Sans"/>
          <w:bCs/>
          <w:sz w:val="20"/>
          <w:szCs w:val="20"/>
        </w:rPr>
        <w:t>Es relevante la falta de información sobre ayudas y subvenciones facilitadas por las empresas analizadas si atendemos a las cuantías que han recibido algunas de ellas:</w:t>
      </w:r>
    </w:p>
    <w:p w14:paraId="7C667C1B" w14:textId="77777777" w:rsidR="00F7530E" w:rsidRDefault="00F7530E" w:rsidP="00F7530E">
      <w:pPr>
        <w:jc w:val="both"/>
        <w:rPr>
          <w:rFonts w:ascii="Open Sans" w:hAnsi="Open Sans" w:cs="Open Sans"/>
          <w:bCs/>
          <w:sz w:val="20"/>
          <w:szCs w:val="20"/>
        </w:rPr>
      </w:pPr>
    </w:p>
    <w:p w14:paraId="02B404D5" w14:textId="476D4966" w:rsidR="00F7530E" w:rsidRDefault="00F7530E" w:rsidP="00F7530E">
      <w:pPr>
        <w:jc w:val="both"/>
        <w:rPr>
          <w:rFonts w:ascii="Open Sans" w:eastAsia="Times New Roman" w:hAnsi="Open Sans" w:cs="Open Sans"/>
          <w:color w:val="000000"/>
          <w:sz w:val="20"/>
          <w:szCs w:val="20"/>
        </w:rPr>
      </w:pPr>
      <w:r>
        <w:rPr>
          <w:rFonts w:ascii="Open Sans" w:hAnsi="Open Sans" w:cs="Open Sans"/>
          <w:bCs/>
          <w:sz w:val="20"/>
          <w:szCs w:val="20"/>
        </w:rPr>
        <w:t xml:space="preserve">En el caso de </w:t>
      </w:r>
      <w:r w:rsidRPr="004C6AD8">
        <w:rPr>
          <w:rFonts w:ascii="Open Sans" w:hAnsi="Open Sans" w:cs="Open Sans"/>
          <w:bCs/>
          <w:sz w:val="20"/>
          <w:szCs w:val="20"/>
        </w:rPr>
        <w:t>TELEFÓNICA</w:t>
      </w:r>
      <w:r>
        <w:rPr>
          <w:rFonts w:ascii="Open Sans" w:hAnsi="Open Sans" w:cs="Open Sans"/>
          <w:bCs/>
          <w:sz w:val="20"/>
          <w:szCs w:val="20"/>
        </w:rPr>
        <w:t xml:space="preserve"> l</w:t>
      </w:r>
      <w:r w:rsidRPr="00F9506C">
        <w:rPr>
          <w:rFonts w:ascii="Open Sans" w:eastAsia="Times New Roman" w:hAnsi="Open Sans" w:cs="Open Sans"/>
          <w:color w:val="000000"/>
          <w:sz w:val="20"/>
          <w:szCs w:val="20"/>
        </w:rPr>
        <w:t>a información es confusa</w:t>
      </w:r>
      <w:r>
        <w:rPr>
          <w:rFonts w:ascii="Open Sans" w:eastAsia="Times New Roman" w:hAnsi="Open Sans" w:cs="Open Sans"/>
          <w:color w:val="000000"/>
          <w:sz w:val="20"/>
          <w:szCs w:val="20"/>
        </w:rPr>
        <w:t>.</w:t>
      </w:r>
      <w:r w:rsidRPr="00F9506C">
        <w:rPr>
          <w:rFonts w:ascii="Open Sans" w:eastAsia="Times New Roman" w:hAnsi="Open Sans" w:cs="Open Sans"/>
          <w:color w:val="000000"/>
          <w:sz w:val="20"/>
          <w:szCs w:val="20"/>
        </w:rPr>
        <w:t xml:space="preserve"> </w:t>
      </w:r>
      <w:r>
        <w:rPr>
          <w:rFonts w:ascii="Open Sans" w:eastAsia="Times New Roman" w:hAnsi="Open Sans" w:cs="Open Sans"/>
          <w:color w:val="000000"/>
          <w:sz w:val="20"/>
          <w:szCs w:val="20"/>
        </w:rPr>
        <w:t>E</w:t>
      </w:r>
      <w:r w:rsidRPr="00F9506C">
        <w:rPr>
          <w:rFonts w:ascii="Open Sans" w:eastAsia="Times New Roman" w:hAnsi="Open Sans" w:cs="Open Sans"/>
          <w:color w:val="000000"/>
          <w:sz w:val="20"/>
          <w:szCs w:val="20"/>
        </w:rPr>
        <w:t xml:space="preserve">n el informe Financiero 2015, la nota explicativa de “Ingresos y gastos” se informa de un importe de 1.841 millones de euros de "Otros ingresos", de los cuales se detalla que 33 millones de euros son por subvenciones, sin especificar de qué tipo. Por otra parte, en el Informe Integrado puntualiza que Telefónica está registrada como lobista en el registro voluntario de la Unión Europea, </w:t>
      </w:r>
      <w:r w:rsidRPr="004C6AD8">
        <w:rPr>
          <w:rFonts w:ascii="Open Sans" w:eastAsia="Times New Roman" w:hAnsi="Open Sans" w:cs="Open Sans"/>
          <w:color w:val="000000"/>
          <w:sz w:val="20"/>
          <w:szCs w:val="20"/>
        </w:rPr>
        <w:t>reportando unos gastos de lobby durante 2014 de 2 millones de euros y unas subvenciones recibidas de 4.400 millones.</w:t>
      </w:r>
      <w:r w:rsidRPr="00F9506C">
        <w:rPr>
          <w:rFonts w:ascii="Open Sans" w:eastAsia="Times New Roman" w:hAnsi="Open Sans" w:cs="Open Sans"/>
          <w:color w:val="000000"/>
          <w:sz w:val="20"/>
          <w:szCs w:val="20"/>
        </w:rPr>
        <w:t xml:space="preserve"> A pesar de esto, no se ha encontrado información detallada de subvenciones por tipo y país.</w:t>
      </w:r>
      <w:r>
        <w:rPr>
          <w:rFonts w:ascii="Open Sans" w:eastAsia="Times New Roman" w:hAnsi="Open Sans" w:cs="Open Sans"/>
          <w:color w:val="000000"/>
          <w:sz w:val="20"/>
          <w:szCs w:val="20"/>
        </w:rPr>
        <w:t xml:space="preserve"> </w:t>
      </w:r>
    </w:p>
    <w:p w14:paraId="4F2A1DF2" w14:textId="77777777" w:rsidR="00F7530E" w:rsidRDefault="00F7530E" w:rsidP="00F7530E">
      <w:pPr>
        <w:jc w:val="both"/>
        <w:rPr>
          <w:rFonts w:ascii="Open Sans" w:eastAsia="Times New Roman" w:hAnsi="Open Sans" w:cs="Open Sans"/>
          <w:color w:val="000000"/>
          <w:sz w:val="20"/>
          <w:szCs w:val="20"/>
        </w:rPr>
      </w:pPr>
    </w:p>
    <w:p w14:paraId="1DCB9A18" w14:textId="18C6FFD1" w:rsidR="00F7530E" w:rsidRPr="009D34FE" w:rsidRDefault="00F7530E" w:rsidP="00F7530E">
      <w:pPr>
        <w:autoSpaceDE w:val="0"/>
        <w:autoSpaceDN w:val="0"/>
        <w:adjustRightInd w:val="0"/>
        <w:jc w:val="both"/>
        <w:rPr>
          <w:rFonts w:ascii="Open Sans" w:hAnsi="Open Sans" w:cs="Open Sans"/>
          <w:sz w:val="20"/>
          <w:szCs w:val="20"/>
        </w:rPr>
      </w:pPr>
      <w:r w:rsidRPr="004C6AD8">
        <w:rPr>
          <w:rFonts w:ascii="Open Sans" w:hAnsi="Open Sans"/>
          <w:sz w:val="20"/>
          <w:szCs w:val="20"/>
        </w:rPr>
        <w:t xml:space="preserve">ACS </w:t>
      </w:r>
      <w:r w:rsidRPr="004C6AD8">
        <w:rPr>
          <w:rFonts w:ascii="Open Sans" w:hAnsi="Open Sans" w:cs="Open Sans"/>
          <w:sz w:val="20"/>
          <w:szCs w:val="20"/>
        </w:rPr>
        <w:t>solamente</w:t>
      </w:r>
      <w:r w:rsidR="004C6AD8">
        <w:rPr>
          <w:rFonts w:ascii="Open Sans" w:hAnsi="Open Sans" w:cs="Open Sans"/>
          <w:sz w:val="20"/>
          <w:szCs w:val="20"/>
        </w:rPr>
        <w:t xml:space="preserve"> informa</w:t>
      </w:r>
      <w:r w:rsidRPr="004C6AD8">
        <w:rPr>
          <w:rFonts w:ascii="Open Sans" w:hAnsi="Open Sans" w:cs="Open Sans"/>
          <w:sz w:val="20"/>
          <w:szCs w:val="20"/>
        </w:rPr>
        <w:t xml:space="preserve"> en las cuentas anuales</w:t>
      </w:r>
      <w:r w:rsidR="004C6AD8">
        <w:rPr>
          <w:rFonts w:ascii="Open Sans" w:hAnsi="Open Sans" w:cs="Open Sans"/>
          <w:sz w:val="20"/>
          <w:szCs w:val="20"/>
        </w:rPr>
        <w:t xml:space="preserve"> de</w:t>
      </w:r>
      <w:r w:rsidRPr="004C6AD8">
        <w:rPr>
          <w:rFonts w:ascii="Open Sans" w:hAnsi="Open Sans" w:cs="Open Sans"/>
          <w:sz w:val="20"/>
          <w:szCs w:val="20"/>
        </w:rPr>
        <w:t xml:space="preserve"> las subvenciones de capital</w:t>
      </w:r>
      <w:r w:rsidRPr="009D34FE">
        <w:rPr>
          <w:rStyle w:val="Refdenotaalpie"/>
          <w:rFonts w:ascii="Open Sans" w:hAnsi="Open Sans" w:cs="Open Sans"/>
          <w:sz w:val="20"/>
          <w:szCs w:val="20"/>
        </w:rPr>
        <w:footnoteReference w:id="75"/>
      </w:r>
      <w:r w:rsidRPr="009D34FE">
        <w:rPr>
          <w:rFonts w:ascii="Open Sans" w:hAnsi="Open Sans" w:cs="Open Sans"/>
          <w:sz w:val="20"/>
          <w:szCs w:val="20"/>
        </w:rPr>
        <w:t xml:space="preserve"> cuyo importe asciende a 31 de diciembre a la cantidad de </w:t>
      </w:r>
      <w:r w:rsidRPr="004C6AD8">
        <w:rPr>
          <w:rFonts w:ascii="Open Sans" w:hAnsi="Open Sans" w:cs="Open Sans"/>
          <w:sz w:val="20"/>
          <w:szCs w:val="20"/>
        </w:rPr>
        <w:t xml:space="preserve">58.776 miles de euros. No hay información sobre la administración concesionaria, el destino de la subvención o el concepto por el cual se ha concedido. </w:t>
      </w:r>
      <w:r w:rsidRPr="009D34FE">
        <w:rPr>
          <w:rFonts w:ascii="Open Sans" w:hAnsi="Open Sans" w:cs="Open Sans"/>
          <w:sz w:val="20"/>
          <w:szCs w:val="20"/>
        </w:rPr>
        <w:t xml:space="preserve">Tampoco existe en la información analizada un desglose de las subvenciones por país. En la medida en que están vinculadas a sufragar la compra de un bien afecto a la actividad, se declararán de manera diferida en la misma proporción en la que se amortiza el bien. La empresa no informa sobre </w:t>
      </w:r>
      <w:r w:rsidRPr="004C6AD8">
        <w:rPr>
          <w:rFonts w:ascii="Open Sans" w:hAnsi="Open Sans" w:cs="Open Sans"/>
          <w:sz w:val="20"/>
          <w:szCs w:val="20"/>
        </w:rPr>
        <w:t>la solicitud, de acuerdo con el d</w:t>
      </w:r>
      <w:r w:rsidRPr="004C6AD8">
        <w:rPr>
          <w:rFonts w:ascii="Open Sans" w:eastAsia="Calibri" w:hAnsi="Open Sans" w:cs="Open Sans"/>
          <w:sz w:val="20"/>
          <w:szCs w:val="20"/>
        </w:rPr>
        <w:t>iario El Confidencial, de una subvención de 100 millones de euros a fondo perdido para el </w:t>
      </w:r>
      <w:r w:rsidRPr="004C6AD8">
        <w:rPr>
          <w:rFonts w:ascii="Open Sans" w:eastAsia="Calibri" w:hAnsi="Open Sans" w:cs="Open Sans"/>
          <w:bCs/>
          <w:sz w:val="20"/>
          <w:szCs w:val="20"/>
        </w:rPr>
        <w:t>AVE entre Barcelona y París</w:t>
      </w:r>
      <w:r w:rsidRPr="004C6AD8">
        <w:rPr>
          <w:rFonts w:ascii="Open Sans" w:eastAsia="Calibri" w:hAnsi="Open Sans" w:cs="Open Sans"/>
          <w:sz w:val="20"/>
          <w:szCs w:val="20"/>
        </w:rPr>
        <w:t>. ACS e Eifffage han decidido pedir el </w:t>
      </w:r>
      <w:r w:rsidRPr="004C6AD8">
        <w:rPr>
          <w:rFonts w:ascii="Open Sans" w:eastAsia="Calibri" w:hAnsi="Open Sans" w:cs="Open Sans"/>
          <w:bCs/>
          <w:sz w:val="20"/>
          <w:szCs w:val="20"/>
        </w:rPr>
        <w:t>preconcurso de acreedores</w:t>
      </w:r>
      <w:r w:rsidRPr="004C6AD8">
        <w:rPr>
          <w:rFonts w:ascii="Open Sans" w:eastAsia="Calibri" w:hAnsi="Open Sans" w:cs="Open Sans"/>
          <w:sz w:val="20"/>
          <w:szCs w:val="20"/>
        </w:rPr>
        <w:t> para </w:t>
      </w:r>
      <w:r w:rsidRPr="004C6AD8">
        <w:rPr>
          <w:rFonts w:ascii="Open Sans" w:eastAsia="Calibri" w:hAnsi="Open Sans" w:cs="Open Sans"/>
          <w:bCs/>
          <w:sz w:val="20"/>
          <w:szCs w:val="20"/>
        </w:rPr>
        <w:t>TP Ferro,</w:t>
      </w:r>
      <w:r w:rsidRPr="004C6AD8">
        <w:rPr>
          <w:rFonts w:ascii="Open Sans" w:eastAsia="Calibri" w:hAnsi="Open Sans" w:cs="Open Sans"/>
          <w:sz w:val="20"/>
          <w:szCs w:val="20"/>
        </w:rPr>
        <w:t xml:space="preserve"> la empresa a la que el PP y el PSOE le </w:t>
      </w:r>
      <w:r w:rsidRPr="004C6AD8">
        <w:rPr>
          <w:rFonts w:ascii="Open Sans" w:hAnsi="Open Sans" w:cs="Open Sans"/>
          <w:sz w:val="20"/>
          <w:szCs w:val="20"/>
        </w:rPr>
        <w:t>dieron la concesión entre 2003 y 2004.</w:t>
      </w:r>
      <w:r w:rsidRPr="009D34FE">
        <w:rPr>
          <w:rFonts w:ascii="Open Sans" w:hAnsi="Open Sans" w:cs="Open Sans"/>
          <w:sz w:val="20"/>
          <w:szCs w:val="20"/>
        </w:rPr>
        <w:t xml:space="preserve"> De no alcanzar un acuerdo con sus acreedores, TP Ferro entrará definitivamente en concurso de acreedores y los bancos y fondos podrán exigir, de acuerdo con este mismo diario, la </w:t>
      </w:r>
      <w:r w:rsidRPr="009D34FE">
        <w:rPr>
          <w:rFonts w:ascii="Open Sans" w:hAnsi="Open Sans" w:cs="Open Sans"/>
          <w:bCs/>
          <w:sz w:val="20"/>
          <w:szCs w:val="20"/>
        </w:rPr>
        <w:t>Responsabilidad Patrimonial de la Administración (RPA)</w:t>
      </w:r>
      <w:r w:rsidRPr="009D34FE">
        <w:rPr>
          <w:rStyle w:val="Refdenotaalpie"/>
          <w:rFonts w:ascii="Open Sans" w:hAnsi="Open Sans" w:cs="Open Sans"/>
          <w:bCs/>
          <w:sz w:val="20"/>
          <w:szCs w:val="20"/>
        </w:rPr>
        <w:footnoteReference w:id="76"/>
      </w:r>
      <w:r w:rsidRPr="009D34FE">
        <w:rPr>
          <w:rFonts w:ascii="Open Sans" w:hAnsi="Open Sans" w:cs="Open Sans"/>
          <w:sz w:val="20"/>
          <w:szCs w:val="20"/>
        </w:rPr>
        <w:t xml:space="preserve">.Tampoco informa del </w:t>
      </w:r>
      <w:r w:rsidRPr="004C6AD8">
        <w:rPr>
          <w:rFonts w:ascii="Open Sans" w:hAnsi="Open Sans" w:cs="Open Sans"/>
          <w:sz w:val="20"/>
          <w:szCs w:val="20"/>
        </w:rPr>
        <w:t>rescate del almacén de gas del Castor, que tuvo que ser rescatado por el Estado con </w:t>
      </w:r>
      <w:hyperlink r:id="rId50" w:tgtFrame="_self" w:tooltip="Florentino Pérez carga 182 euros a la factura del gas de todos los españoles por el Castor" w:history="1">
        <w:r w:rsidRPr="004C6AD8">
          <w:rPr>
            <w:rFonts w:ascii="Open Sans" w:hAnsi="Open Sans" w:cs="Open Sans"/>
            <w:sz w:val="20"/>
            <w:szCs w:val="20"/>
          </w:rPr>
          <w:t>un agujero de 1.350 millones</w:t>
        </w:r>
      </w:hyperlink>
      <w:r w:rsidRPr="009D34FE">
        <w:rPr>
          <w:rFonts w:ascii="Open Sans" w:hAnsi="Open Sans" w:cs="Open Sans"/>
          <w:sz w:val="20"/>
          <w:szCs w:val="20"/>
        </w:rPr>
        <w:t>. Pese a que este se produjo en 2014 la repercusión pública del mismo y el daño patrimonial al Estado, sería conveniente una mayor información por parte de la empresa en relación a los fondos recibidos por parte de los Estados. De acuerdo con el diario El Confidencial una resolución de la Dirección General de Política Energética y Minas, dependiente del Ministerio de Industria, Energía y Turismo, del pasado 12 de noviembre de 2015, en la que se otorgó a los promotores </w:t>
      </w:r>
      <w:r w:rsidRPr="009D34FE">
        <w:rPr>
          <w:rFonts w:ascii="Open Sans" w:hAnsi="Open Sans" w:cs="Open Sans"/>
          <w:bCs/>
          <w:sz w:val="20"/>
          <w:szCs w:val="20"/>
        </w:rPr>
        <w:t>un último pago de 295 millones</w:t>
      </w:r>
      <w:r w:rsidRPr="009D34FE">
        <w:rPr>
          <w:rFonts w:ascii="Open Sans" w:hAnsi="Open Sans" w:cs="Open Sans"/>
          <w:sz w:val="20"/>
          <w:szCs w:val="20"/>
        </w:rPr>
        <w:t>. Castor </w:t>
      </w:r>
      <w:hyperlink r:id="rId51" w:history="1">
        <w:r w:rsidRPr="009D34FE">
          <w:rPr>
            <w:rFonts w:ascii="Open Sans" w:hAnsi="Open Sans" w:cs="Open Sans"/>
            <w:sz w:val="20"/>
            <w:szCs w:val="20"/>
          </w:rPr>
          <w:t>tuvo que cerrarse</w:t>
        </w:r>
      </w:hyperlink>
      <w:r w:rsidRPr="009D34FE">
        <w:rPr>
          <w:rFonts w:ascii="Open Sans" w:hAnsi="Open Sans" w:cs="Open Sans"/>
          <w:sz w:val="20"/>
          <w:szCs w:val="20"/>
        </w:rPr>
        <w:t> en 2014, cuando la inyección de gas colchón provocó una serie de terremotos en Castellón y el sur de Cataluña</w:t>
      </w:r>
      <w:r w:rsidRPr="009D34FE">
        <w:rPr>
          <w:rStyle w:val="Refdenotaalpie"/>
          <w:rFonts w:ascii="Open Sans" w:hAnsi="Open Sans" w:cs="Open Sans"/>
          <w:sz w:val="20"/>
          <w:szCs w:val="20"/>
        </w:rPr>
        <w:footnoteReference w:id="77"/>
      </w:r>
      <w:r w:rsidRPr="009D34FE">
        <w:rPr>
          <w:rFonts w:ascii="Open Sans" w:hAnsi="Open Sans" w:cs="Open Sans"/>
          <w:sz w:val="20"/>
          <w:szCs w:val="20"/>
        </w:rPr>
        <w:t>.</w:t>
      </w:r>
      <w:r>
        <w:rPr>
          <w:rFonts w:ascii="Open Sans" w:hAnsi="Open Sans" w:cs="Open Sans"/>
          <w:sz w:val="20"/>
          <w:szCs w:val="20"/>
        </w:rPr>
        <w:t xml:space="preserve"> </w:t>
      </w:r>
      <w:r w:rsidRPr="009D34FE">
        <w:rPr>
          <w:rFonts w:ascii="Open Sans" w:hAnsi="Open Sans" w:cs="Open Sans"/>
          <w:sz w:val="20"/>
          <w:szCs w:val="20"/>
        </w:rPr>
        <w:t xml:space="preserve">Tampoco presenta información sobre el </w:t>
      </w:r>
      <w:r w:rsidRPr="004C6AD8">
        <w:rPr>
          <w:rFonts w:ascii="Open Sans" w:hAnsi="Open Sans" w:cs="Open Sans"/>
          <w:sz w:val="20"/>
          <w:szCs w:val="20"/>
        </w:rPr>
        <w:t>pago comprometido de 600 millones en concepto de “lucro cesante” por la planta de escombreras en la región de  Murcia</w:t>
      </w:r>
      <w:r w:rsidRPr="009D34FE">
        <w:rPr>
          <w:rStyle w:val="Refdenotaalpie"/>
          <w:rFonts w:ascii="Open Sans" w:hAnsi="Open Sans" w:cs="Open Sans"/>
          <w:sz w:val="20"/>
          <w:szCs w:val="20"/>
        </w:rPr>
        <w:footnoteReference w:id="78"/>
      </w:r>
      <w:r w:rsidRPr="009D34FE">
        <w:rPr>
          <w:rFonts w:ascii="Open Sans" w:hAnsi="Open Sans" w:cs="Open Sans"/>
          <w:sz w:val="20"/>
          <w:szCs w:val="20"/>
        </w:rPr>
        <w:t xml:space="preserve">. </w:t>
      </w:r>
    </w:p>
    <w:p w14:paraId="7ACC882E" w14:textId="77777777" w:rsidR="00F7530E" w:rsidRDefault="00F7530E" w:rsidP="00F7530E">
      <w:pPr>
        <w:jc w:val="both"/>
        <w:rPr>
          <w:rFonts w:ascii="Open Sans" w:eastAsia="Times New Roman" w:hAnsi="Open Sans" w:cs="Open Sans"/>
          <w:color w:val="000000"/>
          <w:sz w:val="20"/>
          <w:szCs w:val="20"/>
        </w:rPr>
      </w:pPr>
    </w:p>
    <w:p w14:paraId="13914F8A" w14:textId="77777777" w:rsidR="00F7530E" w:rsidRPr="00F9506C" w:rsidRDefault="00F7530E" w:rsidP="00F7530E">
      <w:pPr>
        <w:jc w:val="both"/>
        <w:rPr>
          <w:rFonts w:ascii="Open Sans" w:eastAsia="Times New Roman" w:hAnsi="Open Sans" w:cs="Open Sans"/>
          <w:color w:val="000000"/>
          <w:sz w:val="20"/>
          <w:szCs w:val="20"/>
        </w:rPr>
      </w:pPr>
      <w:r w:rsidRPr="004C6AD8">
        <w:rPr>
          <w:rFonts w:ascii="Open Sans" w:eastAsia="Times New Roman" w:hAnsi="Open Sans" w:cs="Open Sans"/>
          <w:color w:val="000000"/>
          <w:sz w:val="20"/>
          <w:szCs w:val="20"/>
        </w:rPr>
        <w:t xml:space="preserve">AENA </w:t>
      </w:r>
      <w:r w:rsidRPr="004C6AD8">
        <w:rPr>
          <w:rFonts w:ascii="Open Sans" w:hAnsi="Open Sans" w:cs="Open Sans"/>
          <w:sz w:val="20"/>
          <w:szCs w:val="20"/>
        </w:rPr>
        <w:t>solamente menciona las subvenciones de capital de organismos oficiales europeos. Tiene contabilizados a 31 de diciembre 610.250 miles de euros</w:t>
      </w:r>
      <w:r w:rsidRPr="00810EF6">
        <w:rPr>
          <w:rFonts w:ascii="Open Sans" w:hAnsi="Open Sans" w:cs="Open Sans"/>
          <w:sz w:val="20"/>
          <w:szCs w:val="20"/>
        </w:rPr>
        <w:t xml:space="preserve"> y ha imputado durante el ejercicio 45.928 miles de euros. </w:t>
      </w:r>
      <w:r>
        <w:rPr>
          <w:rFonts w:ascii="Open Sans" w:hAnsi="Open Sans" w:cs="Open Sans"/>
          <w:sz w:val="20"/>
          <w:szCs w:val="20"/>
        </w:rPr>
        <w:t xml:space="preserve">Afirma </w:t>
      </w:r>
      <w:r w:rsidRPr="00810EF6">
        <w:rPr>
          <w:rFonts w:ascii="Open Sans" w:hAnsi="Open Sans" w:cs="Open Sans"/>
          <w:sz w:val="20"/>
          <w:szCs w:val="20"/>
        </w:rPr>
        <w:t xml:space="preserve">que las subvenciones corresponden principalmente a recursos otorgados por el fondo de desarrollo regional para el desarrollo de infraestructuras aeroportuarias. </w:t>
      </w:r>
      <w:r>
        <w:rPr>
          <w:rFonts w:ascii="Open Sans" w:hAnsi="Open Sans" w:cs="Open Sans"/>
          <w:sz w:val="20"/>
          <w:szCs w:val="20"/>
        </w:rPr>
        <w:t xml:space="preserve"> La empresa m</w:t>
      </w:r>
      <w:r w:rsidRPr="00810EF6">
        <w:rPr>
          <w:rFonts w:ascii="Open Sans" w:hAnsi="Open Sans" w:cs="Open Sans"/>
          <w:sz w:val="20"/>
          <w:szCs w:val="20"/>
        </w:rPr>
        <w:t xml:space="preserve">antiene préstamos con el </w:t>
      </w:r>
      <w:r>
        <w:rPr>
          <w:rFonts w:ascii="Open Sans" w:hAnsi="Open Sans" w:cs="Open Sans"/>
          <w:sz w:val="20"/>
          <w:szCs w:val="20"/>
        </w:rPr>
        <w:t>Banco Europeo de Inversiones</w:t>
      </w:r>
      <w:r w:rsidRPr="00810EF6">
        <w:rPr>
          <w:rFonts w:ascii="Open Sans" w:hAnsi="Open Sans" w:cs="Open Sans"/>
          <w:sz w:val="20"/>
          <w:szCs w:val="20"/>
        </w:rPr>
        <w:t xml:space="preserve"> </w:t>
      </w:r>
      <w:r>
        <w:rPr>
          <w:rFonts w:ascii="Open Sans" w:hAnsi="Open Sans" w:cs="Open Sans"/>
          <w:sz w:val="20"/>
          <w:szCs w:val="20"/>
        </w:rPr>
        <w:t>y el Instituto de Crédito Oficial, s</w:t>
      </w:r>
      <w:r w:rsidRPr="00810EF6">
        <w:rPr>
          <w:rFonts w:ascii="Open Sans" w:hAnsi="Open Sans" w:cs="Open Sans"/>
          <w:sz w:val="20"/>
          <w:szCs w:val="20"/>
        </w:rPr>
        <w:t>e desconoce si el interés de estos préstamos o p</w:t>
      </w:r>
      <w:r>
        <w:rPr>
          <w:rFonts w:ascii="Open Sans" w:hAnsi="Open Sans" w:cs="Open Sans"/>
          <w:sz w:val="20"/>
          <w:szCs w:val="20"/>
        </w:rPr>
        <w:t xml:space="preserve">arte de él están subvencionados. Por otro lado </w:t>
      </w:r>
      <w:r w:rsidRPr="00810EF6">
        <w:rPr>
          <w:rFonts w:ascii="Open Sans" w:hAnsi="Open Sans" w:cs="Open Sans"/>
          <w:sz w:val="20"/>
          <w:szCs w:val="20"/>
        </w:rPr>
        <w:t xml:space="preserve"> </w:t>
      </w:r>
      <w:r>
        <w:rPr>
          <w:rFonts w:ascii="Open Sans" w:hAnsi="Open Sans" w:cs="Open Sans"/>
          <w:sz w:val="20"/>
          <w:szCs w:val="20"/>
        </w:rPr>
        <w:t xml:space="preserve">menciona </w:t>
      </w:r>
      <w:r w:rsidRPr="00810EF6">
        <w:rPr>
          <w:rFonts w:ascii="Open Sans" w:hAnsi="Open Sans" w:cs="Open Sans"/>
          <w:sz w:val="20"/>
          <w:szCs w:val="20"/>
        </w:rPr>
        <w:t xml:space="preserve">que entre los </w:t>
      </w:r>
      <w:r>
        <w:rPr>
          <w:rFonts w:ascii="Open Sans" w:hAnsi="Open Sans" w:cs="Open Sans"/>
          <w:sz w:val="20"/>
          <w:szCs w:val="20"/>
        </w:rPr>
        <w:t>objetiv</w:t>
      </w:r>
      <w:r w:rsidRPr="00810EF6">
        <w:rPr>
          <w:rFonts w:ascii="Open Sans" w:hAnsi="Open Sans" w:cs="Open Sans"/>
          <w:sz w:val="20"/>
          <w:szCs w:val="20"/>
        </w:rPr>
        <w:t>os del grupo de gestión de innovación sostenible de Aena se encuentran "Apoyar a las diferentes</w:t>
      </w:r>
      <w:r>
        <w:rPr>
          <w:rFonts w:ascii="Open Sans" w:hAnsi="Open Sans" w:cs="Open Sans"/>
          <w:sz w:val="20"/>
          <w:szCs w:val="20"/>
        </w:rPr>
        <w:t xml:space="preserve"> </w:t>
      </w:r>
      <w:r w:rsidRPr="00810EF6">
        <w:rPr>
          <w:rFonts w:ascii="Open Sans" w:hAnsi="Open Sans" w:cs="Open Sans"/>
          <w:sz w:val="20"/>
          <w:szCs w:val="20"/>
        </w:rPr>
        <w:t>unidades para la obtención de subvenciones europeas (EUROPA2020) y Nacionales (ayudas y deducciones fiscales)</w:t>
      </w:r>
      <w:r>
        <w:rPr>
          <w:rFonts w:ascii="Open Sans" w:hAnsi="Open Sans" w:cs="Open Sans"/>
          <w:sz w:val="20"/>
          <w:szCs w:val="20"/>
        </w:rPr>
        <w:t>”</w:t>
      </w:r>
      <w:r w:rsidRPr="00810EF6">
        <w:rPr>
          <w:rFonts w:ascii="Open Sans" w:hAnsi="Open Sans" w:cs="Open Sans"/>
          <w:sz w:val="20"/>
          <w:szCs w:val="20"/>
        </w:rPr>
        <w:t xml:space="preserve">.  </w:t>
      </w:r>
    </w:p>
    <w:p w14:paraId="48A51A27" w14:textId="77777777" w:rsidR="00F7530E" w:rsidRDefault="00F7530E" w:rsidP="00F7530E">
      <w:pPr>
        <w:jc w:val="both"/>
        <w:rPr>
          <w:rFonts w:ascii="Open Sans" w:eastAsia="Times New Roman" w:hAnsi="Open Sans" w:cs="Open Sans"/>
          <w:color w:val="000000"/>
          <w:sz w:val="20"/>
          <w:szCs w:val="20"/>
        </w:rPr>
      </w:pPr>
    </w:p>
    <w:p w14:paraId="00E92CC7" w14:textId="77777777" w:rsidR="00F7530E" w:rsidRPr="00F7530E" w:rsidRDefault="00F7530E" w:rsidP="00F7530E">
      <w:pPr>
        <w:jc w:val="both"/>
        <w:rPr>
          <w:rFonts w:ascii="Open Sans" w:hAnsi="Open Sans" w:cs="Open Sans"/>
          <w:b/>
          <w:u w:val="single"/>
        </w:rPr>
      </w:pPr>
      <w:r w:rsidRPr="004C6AD8">
        <w:rPr>
          <w:rFonts w:ascii="Open Sans" w:eastAsia="Times New Roman" w:hAnsi="Open Sans" w:cs="Open Sans"/>
          <w:color w:val="000000"/>
          <w:sz w:val="20"/>
          <w:szCs w:val="20"/>
        </w:rPr>
        <w:t>OHL</w:t>
      </w:r>
      <w:r w:rsidRPr="00F7530E">
        <w:rPr>
          <w:rFonts w:ascii="Open Sans" w:eastAsia="Times New Roman" w:hAnsi="Open Sans" w:cs="Open Sans"/>
          <w:color w:val="000000"/>
          <w:sz w:val="20"/>
          <w:szCs w:val="20"/>
        </w:rPr>
        <w:t xml:space="preserve"> </w:t>
      </w:r>
      <w:r w:rsidRPr="00F7530E">
        <w:rPr>
          <w:rFonts w:ascii="Open Sans" w:hAnsi="Open Sans" w:cs="Open Sans"/>
          <w:sz w:val="20"/>
          <w:szCs w:val="20"/>
          <w:shd w:val="clear" w:color="auto" w:fill="FFFFFF"/>
        </w:rPr>
        <w:t xml:space="preserve">no desglosa las subvenciones por países o sociedades, solamente indica de las subvenciones concedidas por los organismos españoles y por la Comisión Europea durante el año 2015 en un total de 291 miles de euros y </w:t>
      </w:r>
      <w:r w:rsidRPr="004C6AD8">
        <w:rPr>
          <w:rFonts w:ascii="Open Sans" w:hAnsi="Open Sans" w:cs="Open Sans"/>
          <w:sz w:val="20"/>
          <w:szCs w:val="20"/>
          <w:shd w:val="clear" w:color="auto" w:fill="FFFFFF"/>
        </w:rPr>
        <w:t>presenta las subvenciones a nivel global que en 2015 el importe total fue de 52.675 miles de euros.</w:t>
      </w:r>
    </w:p>
    <w:p w14:paraId="0C678345" w14:textId="77777777" w:rsidR="00F7530E" w:rsidRDefault="00F7530E" w:rsidP="00F7530E">
      <w:pPr>
        <w:jc w:val="both"/>
        <w:rPr>
          <w:rFonts w:ascii="Open Sans" w:eastAsia="Times New Roman" w:hAnsi="Open Sans" w:cs="Open Sans"/>
          <w:color w:val="000000"/>
          <w:sz w:val="20"/>
          <w:szCs w:val="20"/>
        </w:rPr>
      </w:pPr>
    </w:p>
    <w:p w14:paraId="7A23B1A6" w14:textId="77777777" w:rsidR="00F7530E" w:rsidRDefault="00F7530E" w:rsidP="00F7530E">
      <w:pPr>
        <w:jc w:val="both"/>
        <w:rPr>
          <w:rFonts w:ascii="Open Sans" w:hAnsi="Open Sans" w:cs="Arial"/>
          <w:sz w:val="20"/>
          <w:szCs w:val="20"/>
        </w:rPr>
      </w:pPr>
      <w:r w:rsidRPr="004C6AD8">
        <w:rPr>
          <w:rFonts w:ascii="Open Sans" w:eastAsia="Times New Roman" w:hAnsi="Open Sans" w:cs="Open Sans"/>
          <w:color w:val="000000"/>
          <w:sz w:val="20"/>
          <w:szCs w:val="20"/>
        </w:rPr>
        <w:t xml:space="preserve">REC </w:t>
      </w:r>
      <w:r w:rsidRPr="004C6AD8">
        <w:rPr>
          <w:rFonts w:ascii="Open Sans" w:hAnsi="Open Sans" w:cs="Arial"/>
          <w:sz w:val="20"/>
          <w:szCs w:val="20"/>
        </w:rPr>
        <w:t>tampoco aporta información desglosada por país relativa las subvenciones recibidas,</w:t>
      </w:r>
      <w:r>
        <w:rPr>
          <w:rFonts w:ascii="Open Sans" w:hAnsi="Open Sans" w:cs="Arial"/>
          <w:sz w:val="20"/>
          <w:szCs w:val="20"/>
        </w:rPr>
        <w:t xml:space="preserve"> </w:t>
      </w:r>
      <w:r w:rsidRPr="006553D4">
        <w:rPr>
          <w:rFonts w:ascii="Open Sans" w:hAnsi="Open Sans" w:cs="Arial"/>
          <w:sz w:val="20"/>
          <w:szCs w:val="20"/>
        </w:rPr>
        <w:t>solamente facilita el dato consolidado de subvenciones que se imputan en la cuenta de resultados.</w:t>
      </w:r>
      <w:r>
        <w:rPr>
          <w:rFonts w:ascii="Open Sans" w:hAnsi="Open Sans" w:cs="Arial"/>
          <w:sz w:val="20"/>
          <w:szCs w:val="20"/>
        </w:rPr>
        <w:t xml:space="preserve"> </w:t>
      </w:r>
      <w:r w:rsidRPr="006553D4">
        <w:rPr>
          <w:rFonts w:ascii="Open Sans" w:hAnsi="Open Sans" w:cs="Arial"/>
          <w:sz w:val="20"/>
          <w:szCs w:val="20"/>
        </w:rPr>
        <w:t>La única información desagregada que facili</w:t>
      </w:r>
      <w:r>
        <w:rPr>
          <w:rFonts w:ascii="Open Sans" w:hAnsi="Open Sans" w:cs="Arial"/>
          <w:sz w:val="20"/>
          <w:szCs w:val="20"/>
        </w:rPr>
        <w:t>ta es la incluida en la "Nota 11</w:t>
      </w:r>
      <w:r w:rsidRPr="006553D4">
        <w:rPr>
          <w:rFonts w:ascii="Open Sans" w:hAnsi="Open Sans" w:cs="Arial"/>
          <w:sz w:val="20"/>
          <w:szCs w:val="20"/>
        </w:rPr>
        <w:t xml:space="preserve">" de las </w:t>
      </w:r>
      <w:r>
        <w:rPr>
          <w:rFonts w:ascii="Open Sans" w:hAnsi="Open Sans" w:cs="Arial"/>
          <w:sz w:val="20"/>
          <w:szCs w:val="20"/>
        </w:rPr>
        <w:t xml:space="preserve">cuentas anuales. Se indica que </w:t>
      </w:r>
      <w:r w:rsidRPr="003152EA">
        <w:rPr>
          <w:rFonts w:ascii="Open Sans" w:hAnsi="Open Sans" w:cs="Arial"/>
          <w:sz w:val="20"/>
          <w:szCs w:val="20"/>
        </w:rPr>
        <w:t>recibe subvenciones de capital por diferentes organismos oficiales cuya finalidad es la financiación de bienes de i</w:t>
      </w:r>
      <w:r>
        <w:rPr>
          <w:rFonts w:ascii="Open Sans" w:hAnsi="Open Sans" w:cs="Arial"/>
          <w:sz w:val="20"/>
          <w:szCs w:val="20"/>
        </w:rPr>
        <w:t xml:space="preserve">nmovilizado propiedad del Grupo, pero no se aporta mayor grado de detalle. Solo indica que en 2010 la Comisión Europea le concedió una </w:t>
      </w:r>
      <w:r w:rsidRPr="004C6AD8">
        <w:rPr>
          <w:rFonts w:ascii="Open Sans" w:hAnsi="Open Sans" w:cs="Arial"/>
          <w:sz w:val="20"/>
          <w:szCs w:val="20"/>
        </w:rPr>
        <w:t>subvención para el proyecto de interconexión eléctrica entre España y Francia por 112,5 millones de euros y que en 2015 se ha ingresado el último tramo de la subvención por 59.297 miles de euros.</w:t>
      </w:r>
      <w:r w:rsidRPr="003152EA">
        <w:rPr>
          <w:rFonts w:ascii="Open Sans" w:hAnsi="Open Sans" w:cs="Arial"/>
          <w:sz w:val="20"/>
          <w:szCs w:val="20"/>
        </w:rPr>
        <w:t xml:space="preserve"> </w:t>
      </w:r>
      <w:r>
        <w:rPr>
          <w:rFonts w:ascii="Open Sans" w:hAnsi="Open Sans" w:cs="Arial"/>
          <w:sz w:val="20"/>
          <w:szCs w:val="20"/>
        </w:rPr>
        <w:t xml:space="preserve">Por otro lado indica que las </w:t>
      </w:r>
      <w:r w:rsidRPr="00871E86">
        <w:rPr>
          <w:rFonts w:ascii="Open Sans" w:hAnsi="Open Sans" w:cs="Arial"/>
          <w:sz w:val="20"/>
          <w:szCs w:val="20"/>
        </w:rPr>
        <w:t xml:space="preserve">deducciones del impuesto sobre las ganancias concedidas por Administraciones Públicas como una minoración de la cuota de dicho impuesto </w:t>
      </w:r>
      <w:r>
        <w:rPr>
          <w:rFonts w:ascii="Open Sans" w:hAnsi="Open Sans" w:cs="Arial"/>
          <w:sz w:val="20"/>
          <w:szCs w:val="20"/>
        </w:rPr>
        <w:t>tienen la</w:t>
      </w:r>
      <w:r w:rsidRPr="00871E86">
        <w:rPr>
          <w:rFonts w:ascii="Open Sans" w:hAnsi="Open Sans" w:cs="Arial"/>
          <w:sz w:val="20"/>
          <w:szCs w:val="20"/>
        </w:rPr>
        <w:t xml:space="preserve"> consideración de subvenciones oficiales de capital</w:t>
      </w:r>
      <w:r>
        <w:rPr>
          <w:rFonts w:ascii="Open Sans" w:hAnsi="Open Sans" w:cs="Arial"/>
          <w:sz w:val="20"/>
          <w:szCs w:val="20"/>
        </w:rPr>
        <w:t xml:space="preserve">, aunque se desconoce el importe. </w:t>
      </w:r>
    </w:p>
    <w:p w14:paraId="3A4DB196" w14:textId="77777777" w:rsidR="00F7530E" w:rsidRDefault="00F7530E" w:rsidP="00F7530E">
      <w:pPr>
        <w:jc w:val="both"/>
        <w:rPr>
          <w:rFonts w:ascii="Open Sans" w:hAnsi="Open Sans" w:cs="Arial"/>
          <w:sz w:val="20"/>
          <w:szCs w:val="20"/>
        </w:rPr>
      </w:pPr>
    </w:p>
    <w:p w14:paraId="466332DD" w14:textId="77777777" w:rsidR="00F7530E" w:rsidRPr="00F7530E" w:rsidRDefault="00F7530E" w:rsidP="00F7530E">
      <w:pPr>
        <w:jc w:val="both"/>
        <w:rPr>
          <w:rFonts w:ascii="Open Sans" w:hAnsi="Open Sans" w:cs="Open Sans"/>
          <w:bCs/>
          <w:sz w:val="20"/>
          <w:szCs w:val="20"/>
        </w:rPr>
      </w:pPr>
      <w:r w:rsidRPr="004C6AD8">
        <w:rPr>
          <w:rFonts w:ascii="Open Sans" w:eastAsia="Times New Roman" w:hAnsi="Open Sans" w:cs="Open Sans"/>
          <w:color w:val="000000"/>
          <w:sz w:val="20"/>
          <w:szCs w:val="20"/>
        </w:rPr>
        <w:t xml:space="preserve">ABERTIS </w:t>
      </w:r>
      <w:r w:rsidRPr="004C6AD8">
        <w:rPr>
          <w:rFonts w:ascii="Open Sans" w:hAnsi="Open Sans" w:cs="Open Sans"/>
          <w:sz w:val="20"/>
          <w:szCs w:val="20"/>
        </w:rPr>
        <w:t>indica vagamente la información relativa a las subvenciones de capital recibidas, apareciendo desglosada en dos conceptos "Del segmento de telecomunicaciones" y "Resto".</w:t>
      </w:r>
      <w:r w:rsidRPr="00F7530E">
        <w:rPr>
          <w:rFonts w:ascii="Open Sans" w:hAnsi="Open Sans" w:cs="Open Sans"/>
          <w:sz w:val="20"/>
          <w:szCs w:val="20"/>
        </w:rPr>
        <w:t xml:space="preserve"> Respecto al primero de ellos, indica: "</w:t>
      </w:r>
      <w:r w:rsidRPr="00F7530E">
        <w:rPr>
          <w:rFonts w:ascii="Open Sans" w:hAnsi="Open Sans" w:cs="Open Sans"/>
          <w:i/>
          <w:sz w:val="20"/>
          <w:szCs w:val="20"/>
        </w:rPr>
        <w:t>Al cierre de 2015 corresponde a subvenciones concedidas por la Agencia Espacial Europea y al cierre de 2014 a subvenciones concedidas por el Fondo Europeo de Desarrollo Regional (FEDER) a sociedades del segmento de telecomunicaciones terrestres discontinuado en 2015 y por la Agencia Espacial Europea. Éstas últimas, tanto en 2015 como en 2014, están asociadas a satélites en construcción por lo que no presentan imputación a resultados</w:t>
      </w:r>
      <w:r w:rsidRPr="00F7530E">
        <w:rPr>
          <w:rFonts w:ascii="Open Sans" w:hAnsi="Open Sans" w:cs="Open Sans"/>
          <w:sz w:val="20"/>
          <w:szCs w:val="20"/>
        </w:rPr>
        <w:t>". En la página 104 vuelve a hacer alusión a las Subvenciones de Capital diciendo que: "</w:t>
      </w:r>
      <w:r w:rsidRPr="00F7530E">
        <w:rPr>
          <w:rFonts w:ascii="Open Sans" w:hAnsi="Open Sans" w:cs="Open Sans"/>
          <w:i/>
          <w:sz w:val="20"/>
          <w:szCs w:val="20"/>
        </w:rPr>
        <w:t>se hallan registradas minorando los otros activos intangibles (principalmente en el epígrafe de “Concesiones administrativas”)</w:t>
      </w:r>
      <w:r w:rsidRPr="00F7530E">
        <w:rPr>
          <w:rFonts w:ascii="Open Sans" w:hAnsi="Open Sans" w:cs="Open Sans"/>
          <w:sz w:val="20"/>
          <w:szCs w:val="20"/>
        </w:rPr>
        <w:t xml:space="preserve">" por un valor de </w:t>
      </w:r>
      <w:r w:rsidRPr="004C6AD8">
        <w:rPr>
          <w:rFonts w:ascii="Open Sans" w:hAnsi="Open Sans" w:cs="Open Sans"/>
          <w:sz w:val="20"/>
          <w:szCs w:val="20"/>
        </w:rPr>
        <w:t xml:space="preserve">126.061 miles de €. </w:t>
      </w:r>
      <w:r w:rsidRPr="004C6AD8">
        <w:rPr>
          <w:rFonts w:ascii="Open Sans" w:hAnsi="Open Sans" w:cs="Open Sans"/>
          <w:bCs/>
          <w:sz w:val="20"/>
          <w:szCs w:val="20"/>
        </w:rPr>
        <w:t>Aparecen cantidades diferentes en conceptos diferentes</w:t>
      </w:r>
      <w:r w:rsidRPr="00F7530E">
        <w:rPr>
          <w:rFonts w:ascii="Open Sans" w:hAnsi="Open Sans" w:cs="Open Sans"/>
          <w:bCs/>
          <w:sz w:val="20"/>
          <w:szCs w:val="20"/>
        </w:rPr>
        <w:t>, no quedando claro si percibe la suma de ambas o si una está incluida en la otra, lo que genera confusión.</w:t>
      </w:r>
    </w:p>
    <w:p w14:paraId="66A32C9D" w14:textId="77777777" w:rsidR="00F7530E" w:rsidRDefault="00F7530E" w:rsidP="00F7530E">
      <w:pPr>
        <w:jc w:val="both"/>
        <w:rPr>
          <w:rFonts w:cs="Arial"/>
          <w:bCs/>
          <w:sz w:val="20"/>
          <w:szCs w:val="20"/>
        </w:rPr>
      </w:pPr>
    </w:p>
    <w:p w14:paraId="1CF36532" w14:textId="72522F12" w:rsidR="00F7530E" w:rsidRPr="007772A8" w:rsidRDefault="00F7530E" w:rsidP="00F7530E">
      <w:pPr>
        <w:jc w:val="both"/>
        <w:rPr>
          <w:rFonts w:ascii="Open Sans" w:hAnsi="Open Sans" w:cs="Open Sans"/>
          <w:sz w:val="20"/>
          <w:szCs w:val="20"/>
        </w:rPr>
      </w:pPr>
      <w:r w:rsidRPr="004C6AD8">
        <w:rPr>
          <w:rFonts w:ascii="Open Sans" w:eastAsia="Times New Roman" w:hAnsi="Open Sans" w:cs="Open Sans"/>
          <w:color w:val="000000"/>
          <w:sz w:val="20"/>
          <w:szCs w:val="20"/>
        </w:rPr>
        <w:t>En el sector financiero las ayudas públicas en los últimos años han sido especialmente relevantes en cuanto a su cuantía y eco mediático, lo que ha provocado importantes protestas sociales y una amplia preocupación sobre cómo se están gestionando esas ayudas.</w:t>
      </w:r>
      <w:r>
        <w:rPr>
          <w:rFonts w:ascii="Open Sans" w:eastAsia="Times New Roman" w:hAnsi="Open Sans" w:cs="Open Sans"/>
          <w:color w:val="000000"/>
          <w:sz w:val="20"/>
          <w:szCs w:val="20"/>
        </w:rPr>
        <w:t xml:space="preserve"> Es conveniente recordar que el coste del sistema bancario español de acuerdo con las estimaciones realizadas por Bruselas ha ascendido a 100.000 millones de euros (61.361 millones inyecciones directas en capital, 15.709 millones en Esquemas e Protección de Activos y 20.189 millones de ayuda del SAREB). Pese a ello la información facilitada por  muchas de las empresas del sector es nula </w:t>
      </w:r>
      <w:r w:rsidR="004975C3">
        <w:rPr>
          <w:rFonts w:ascii="Open Sans" w:eastAsia="Times New Roman" w:hAnsi="Open Sans" w:cs="Open Sans"/>
          <w:color w:val="000000"/>
          <w:sz w:val="20"/>
          <w:szCs w:val="20"/>
        </w:rPr>
        <w:t>o</w:t>
      </w:r>
      <w:r>
        <w:rPr>
          <w:rFonts w:ascii="Open Sans" w:eastAsia="Times New Roman" w:hAnsi="Open Sans" w:cs="Open Sans"/>
          <w:color w:val="000000"/>
          <w:sz w:val="20"/>
          <w:szCs w:val="20"/>
        </w:rPr>
        <w:t xml:space="preserve"> anecdótica. Por ejemplo </w:t>
      </w:r>
      <w:r w:rsidRPr="004C6AD8">
        <w:rPr>
          <w:rFonts w:ascii="Open Sans" w:eastAsia="Times New Roman" w:hAnsi="Open Sans" w:cs="Open Sans"/>
          <w:color w:val="000000"/>
          <w:sz w:val="20"/>
          <w:szCs w:val="20"/>
        </w:rPr>
        <w:t xml:space="preserve">BANKIA </w:t>
      </w:r>
      <w:r w:rsidRPr="004C6AD8">
        <w:rPr>
          <w:rFonts w:ascii="Open Sans" w:hAnsi="Open Sans" w:cs="Open Sans"/>
          <w:sz w:val="20"/>
          <w:szCs w:val="20"/>
        </w:rPr>
        <w:t>sólo cuantifica las subvenciones a la formación dentro del indicador GRI EC4 de ayudas significativas recibidas de gobiernos (1.995.600,15 €).</w:t>
      </w:r>
      <w:r w:rsidRPr="00AF35E8">
        <w:rPr>
          <w:rFonts w:ascii="Open Sans" w:hAnsi="Open Sans" w:cs="Open Sans"/>
          <w:sz w:val="20"/>
          <w:szCs w:val="20"/>
        </w:rPr>
        <w:t>Ciertamente, las ayudas a la recapitalización de la entidad por el FROB se formalizaron hasta el mes de diciembre de 2012, pero tampoco en la información referente a dicho ejercicio se consideraban estas ayudas, pues la inyección de capital realizada por el FROB y el MEDE, al ser recuperable, no es considerada ayuda por la entidad. Sí lo es a criterio del Banco de España</w:t>
      </w:r>
      <w:r w:rsidRPr="00AF35E8">
        <w:rPr>
          <w:rFonts w:ascii="Open Sans" w:hAnsi="Open Sans"/>
          <w:sz w:val="20"/>
          <w:szCs w:val="20"/>
          <w:vertAlign w:val="superscript"/>
        </w:rPr>
        <w:footnoteReference w:id="79"/>
      </w:r>
      <w:r w:rsidRPr="00AF35E8">
        <w:rPr>
          <w:rFonts w:ascii="Open Sans" w:hAnsi="Open Sans" w:cs="Open Sans"/>
          <w:sz w:val="20"/>
          <w:szCs w:val="20"/>
        </w:rPr>
        <w:t>. También se considera ayuda parte de los 24.268 millones de euros vivos en garantías EPA y unos 12.000 millones por la adquisición de activos tóxicos a través de la Sareb, según criterio de la Comisión Europea</w:t>
      </w:r>
      <w:r w:rsidRPr="00AF35E8">
        <w:rPr>
          <w:rFonts w:ascii="Open Sans" w:hAnsi="Open Sans" w:cs="Open Sans"/>
          <w:sz w:val="20"/>
          <w:szCs w:val="20"/>
          <w:vertAlign w:val="superscript"/>
        </w:rPr>
        <w:t>18</w:t>
      </w:r>
      <w:r w:rsidRPr="006B1444">
        <w:rPr>
          <w:rFonts w:ascii="Open Sans" w:hAnsi="Open Sans" w:cs="Open Sans"/>
          <w:sz w:val="20"/>
          <w:szCs w:val="20"/>
        </w:rPr>
        <w:t xml:space="preserve">. </w:t>
      </w:r>
      <w:r>
        <w:rPr>
          <w:rFonts w:ascii="Open Sans" w:hAnsi="Open Sans" w:cs="Open Sans"/>
          <w:sz w:val="20"/>
          <w:szCs w:val="20"/>
        </w:rPr>
        <w:t xml:space="preserve">Hay que irse a las cuentas anuales para obtener información más detallada y al margen del apartado de subvenciones. En las cuentas anuales consolidadas, la entidad </w:t>
      </w:r>
      <w:r w:rsidRPr="00AF35E8">
        <w:rPr>
          <w:rFonts w:ascii="Open Sans" w:hAnsi="Open Sans" w:cs="Open Sans"/>
          <w:sz w:val="20"/>
          <w:szCs w:val="20"/>
        </w:rPr>
        <w:t>pública los fondos procedentes de la reestruc</w:t>
      </w:r>
      <w:r>
        <w:rPr>
          <w:rFonts w:ascii="Open Sans" w:hAnsi="Open Sans" w:cs="Open Sans"/>
          <w:sz w:val="20"/>
          <w:szCs w:val="20"/>
        </w:rPr>
        <w:t>turación bancaria a través del F</w:t>
      </w:r>
      <w:r w:rsidRPr="00AF35E8">
        <w:rPr>
          <w:rFonts w:ascii="Open Sans" w:hAnsi="Open Sans" w:cs="Open Sans"/>
          <w:sz w:val="20"/>
          <w:szCs w:val="20"/>
        </w:rPr>
        <w:t xml:space="preserve">rob y las operaciones realizas por la </w:t>
      </w:r>
      <w:r>
        <w:rPr>
          <w:rFonts w:ascii="Open Sans" w:hAnsi="Open Sans" w:cs="Open Sans"/>
          <w:sz w:val="20"/>
          <w:szCs w:val="20"/>
        </w:rPr>
        <w:t>SAREB</w:t>
      </w:r>
      <w:r w:rsidRPr="00AF35E8">
        <w:rPr>
          <w:rFonts w:ascii="Open Sans" w:hAnsi="Open Sans" w:cs="Open Sans"/>
          <w:sz w:val="20"/>
          <w:szCs w:val="20"/>
        </w:rPr>
        <w:t xml:space="preserve">. En total se transmitieron al SAREB entre operaciones de financiación y activos inmobiliarios </w:t>
      </w:r>
      <w:r w:rsidRPr="004C6AD8">
        <w:rPr>
          <w:rFonts w:ascii="Open Sans" w:hAnsi="Open Sans" w:cs="Open Sans"/>
          <w:sz w:val="20"/>
          <w:szCs w:val="20"/>
        </w:rPr>
        <w:t xml:space="preserve">36.644.770 miles de euros en valor bruto a los que se aplicó un descuento de 17.177.373 miles de euros, lo que equivale a un 46,87%. </w:t>
      </w:r>
      <w:r>
        <w:rPr>
          <w:rFonts w:ascii="Open Sans" w:hAnsi="Open Sans" w:cs="Open Sans"/>
          <w:sz w:val="20"/>
        </w:rPr>
        <w:t>Según una información de</w:t>
      </w:r>
      <w:r w:rsidRPr="00D317BC">
        <w:rPr>
          <w:rFonts w:ascii="Open Sans" w:hAnsi="Open Sans" w:cs="Open Sans"/>
          <w:sz w:val="20"/>
        </w:rPr>
        <w:t xml:space="preserve">l </w:t>
      </w:r>
      <w:r>
        <w:rPr>
          <w:rFonts w:ascii="Open Sans" w:hAnsi="Open Sans" w:cs="Open Sans"/>
          <w:sz w:val="20"/>
        </w:rPr>
        <w:t xml:space="preserve">diario digital el </w:t>
      </w:r>
      <w:r w:rsidRPr="00D317BC">
        <w:rPr>
          <w:rFonts w:ascii="Open Sans" w:hAnsi="Open Sans" w:cs="Open Sans"/>
          <w:sz w:val="20"/>
        </w:rPr>
        <w:t xml:space="preserve">confidencial “Bruselas considera que las ayudas públicas vienen porque el precio pagado por Sareb a los bancos por sus activos (el precio de transferencia) es superior al de mercado. Y como ese sobreprecio no lo habrían conseguido vendiendo los activos en el mercado, es ayuda de Estado. Dicho de otra forma, los descuentos con los que se han traspasado los créditos y los inmuebles </w:t>
      </w:r>
      <w:r>
        <w:rPr>
          <w:rFonts w:ascii="Open Sans" w:hAnsi="Open Sans" w:cs="Open Sans"/>
          <w:sz w:val="20"/>
        </w:rPr>
        <w:t xml:space="preserve">al SAREB </w:t>
      </w:r>
      <w:r w:rsidRPr="00D317BC">
        <w:rPr>
          <w:rFonts w:ascii="Open Sans" w:hAnsi="Open Sans" w:cs="Open Sans"/>
          <w:sz w:val="20"/>
        </w:rPr>
        <w:t xml:space="preserve">deberían haber sido mayores (Bruselas lo cifra en el 72% como media y el 75% para los pisos terminados), lo que habría obligado a más provisiones, más pérdidas y más inyecciones de capital público. En vez de eso, se ha pagado un sobreprecio, lo que ha evitado esas inyecciones, pero el impacto es el mismo. Por eso es una ayuda pública”. </w:t>
      </w:r>
    </w:p>
    <w:p w14:paraId="407DE0B1" w14:textId="77777777" w:rsidR="00F7530E" w:rsidRDefault="00F7530E" w:rsidP="00F7530E">
      <w:pPr>
        <w:jc w:val="both"/>
        <w:rPr>
          <w:rFonts w:ascii="Open Sans" w:eastAsia="Times New Roman" w:hAnsi="Open Sans" w:cs="Open Sans"/>
          <w:color w:val="000000"/>
          <w:sz w:val="20"/>
          <w:szCs w:val="20"/>
        </w:rPr>
      </w:pPr>
    </w:p>
    <w:p w14:paraId="3821C29D" w14:textId="77777777" w:rsidR="00F7530E" w:rsidRPr="00C67337" w:rsidRDefault="00F7530E" w:rsidP="00F7530E">
      <w:pPr>
        <w:jc w:val="both"/>
        <w:rPr>
          <w:rFonts w:ascii="Open Sans" w:hAnsi="Open Sans" w:cs="Open Sans"/>
          <w:sz w:val="20"/>
          <w:szCs w:val="20"/>
        </w:rPr>
      </w:pPr>
      <w:r w:rsidRPr="004C6AD8">
        <w:rPr>
          <w:rFonts w:ascii="Open Sans" w:eastAsia="Times New Roman" w:hAnsi="Open Sans" w:cs="Open Sans"/>
          <w:color w:val="000000"/>
          <w:sz w:val="20"/>
          <w:szCs w:val="20"/>
        </w:rPr>
        <w:t xml:space="preserve">En CAIXABANK </w:t>
      </w:r>
      <w:r w:rsidRPr="004C6AD8">
        <w:rPr>
          <w:rFonts w:ascii="Open Sans" w:hAnsi="Open Sans" w:cs="Open Sans"/>
          <w:sz w:val="20"/>
          <w:szCs w:val="20"/>
        </w:rPr>
        <w:t xml:space="preserve">la única información relativa a subvenciones en sus publicaciones de RSC, informe corporativo integrado y anexo del informe: índice GRI, es, al igual que en BANKIA,  la relativa a formación de sus empleados. </w:t>
      </w:r>
      <w:r>
        <w:rPr>
          <w:rFonts w:ascii="Open Sans" w:hAnsi="Open Sans" w:cs="Open Sans"/>
          <w:sz w:val="20"/>
          <w:szCs w:val="20"/>
        </w:rPr>
        <w:t xml:space="preserve">Hay que irse a sus cuentas consolidadas </w:t>
      </w:r>
      <w:r>
        <w:rPr>
          <w:rFonts w:ascii="Open Sans" w:eastAsia="Times New Roman" w:hAnsi="Open Sans" w:cs="Open Sans"/>
          <w:color w:val="000000"/>
          <w:sz w:val="20"/>
          <w:szCs w:val="20"/>
        </w:rPr>
        <w:t xml:space="preserve">para encontrar información más detallada. </w:t>
      </w:r>
      <w:r>
        <w:rPr>
          <w:rFonts w:ascii="Open Sans" w:hAnsi="Open Sans" w:cs="Open Sans"/>
          <w:sz w:val="20"/>
          <w:szCs w:val="20"/>
        </w:rPr>
        <w:t>I</w:t>
      </w:r>
      <w:r w:rsidRPr="00C67337">
        <w:rPr>
          <w:rFonts w:ascii="Open Sans" w:hAnsi="Open Sans" w:cs="Open Sans"/>
          <w:sz w:val="20"/>
          <w:szCs w:val="20"/>
        </w:rPr>
        <w:t>nforma sobre las ayudas públicas o subvenciones que ha recibido el Grupo, pero todas ellas son referidas a su actividad en España. No detalla subvenciones recibidas por otros gobiernos. Estas son las subvenciones que declara para el ejercicio 2015:</w:t>
      </w:r>
    </w:p>
    <w:p w14:paraId="0233D27C" w14:textId="77777777" w:rsidR="00F7530E" w:rsidRPr="00C67337" w:rsidRDefault="00F7530E" w:rsidP="00F7530E">
      <w:pPr>
        <w:jc w:val="both"/>
        <w:rPr>
          <w:rFonts w:ascii="Open Sans" w:hAnsi="Open Sans" w:cs="Open Sans"/>
          <w:sz w:val="20"/>
          <w:szCs w:val="20"/>
        </w:rPr>
      </w:pPr>
    </w:p>
    <w:p w14:paraId="191EA389" w14:textId="77777777" w:rsidR="00F7530E" w:rsidRPr="00C67337" w:rsidRDefault="00F7530E" w:rsidP="000B70C9">
      <w:pPr>
        <w:numPr>
          <w:ilvl w:val="0"/>
          <w:numId w:val="44"/>
        </w:numPr>
        <w:jc w:val="both"/>
        <w:rPr>
          <w:rFonts w:ascii="Open Sans" w:hAnsi="Open Sans" w:cs="Open Sans"/>
          <w:sz w:val="20"/>
          <w:szCs w:val="20"/>
        </w:rPr>
      </w:pPr>
      <w:r w:rsidRPr="00C67337">
        <w:rPr>
          <w:rFonts w:ascii="Open Sans" w:hAnsi="Open Sans" w:cs="Open Sans"/>
          <w:sz w:val="20"/>
          <w:szCs w:val="20"/>
        </w:rPr>
        <w:t>Subvención recibida del Ministerio de Industria, Energía y Turismo, a través de la gerencia del sector naval, en virtud del Real Decreto 442/1994 y sucesivas modificaciones, en concepto de ayudas a la construcción naval (4.202 miles de euros)</w:t>
      </w:r>
    </w:p>
    <w:p w14:paraId="477472FF" w14:textId="77777777" w:rsidR="00F7530E" w:rsidRPr="00C67337" w:rsidRDefault="00F7530E" w:rsidP="000B70C9">
      <w:pPr>
        <w:numPr>
          <w:ilvl w:val="0"/>
          <w:numId w:val="44"/>
        </w:numPr>
        <w:jc w:val="both"/>
        <w:rPr>
          <w:rFonts w:ascii="Open Sans" w:hAnsi="Open Sans" w:cs="Open Sans"/>
          <w:sz w:val="20"/>
          <w:szCs w:val="20"/>
        </w:rPr>
      </w:pPr>
      <w:r w:rsidRPr="00C67337">
        <w:rPr>
          <w:rFonts w:ascii="Open Sans" w:hAnsi="Open Sans" w:cs="Open Sans"/>
          <w:sz w:val="20"/>
          <w:szCs w:val="20"/>
        </w:rPr>
        <w:t>Nuevo MicroBank tiene suscritos dos convenios con el FEI (Fondo Europeo de Inversiones), dentro del programa CIP (Competitiveness and Innovation Framework Programme), y del programa MAP,</w:t>
      </w:r>
      <w:r>
        <w:rPr>
          <w:rFonts w:ascii="Open Sans" w:hAnsi="Open Sans" w:cs="Open Sans"/>
          <w:sz w:val="20"/>
          <w:szCs w:val="20"/>
        </w:rPr>
        <w:t xml:space="preserve"> </w:t>
      </w:r>
      <w:r w:rsidRPr="00C67337">
        <w:rPr>
          <w:rFonts w:ascii="Open Sans" w:hAnsi="Open Sans" w:cs="Open Sans"/>
          <w:sz w:val="20"/>
          <w:szCs w:val="20"/>
        </w:rPr>
        <w:t>que cubren las pérdidas de riesgos fallidos de las carteras de microcréditos sociales y financieros que cumplan los criterios de admisión de dicho programa, hasta un máximo prefijado. (4.582 miles de euros).</w:t>
      </w:r>
    </w:p>
    <w:p w14:paraId="596C8244" w14:textId="77777777" w:rsidR="00F7530E" w:rsidRPr="00C67337" w:rsidRDefault="00F7530E" w:rsidP="000B70C9">
      <w:pPr>
        <w:numPr>
          <w:ilvl w:val="0"/>
          <w:numId w:val="44"/>
        </w:numPr>
        <w:jc w:val="both"/>
        <w:rPr>
          <w:rFonts w:ascii="Open Sans" w:hAnsi="Open Sans" w:cs="Open Sans"/>
          <w:sz w:val="20"/>
          <w:szCs w:val="20"/>
        </w:rPr>
      </w:pPr>
      <w:r w:rsidRPr="00C67337">
        <w:rPr>
          <w:rFonts w:ascii="Open Sans" w:hAnsi="Open Sans" w:cs="Open Sans"/>
          <w:sz w:val="20"/>
          <w:szCs w:val="20"/>
        </w:rPr>
        <w:t>Subvención de la Fundación Tripartita por formación a empleados (3.011 miles de euros).</w:t>
      </w:r>
    </w:p>
    <w:p w14:paraId="32CE5E8B" w14:textId="77777777" w:rsidR="00F7530E" w:rsidRPr="00C67337" w:rsidRDefault="00F7530E" w:rsidP="00F7530E">
      <w:pPr>
        <w:jc w:val="both"/>
        <w:rPr>
          <w:rFonts w:ascii="Open Sans" w:hAnsi="Open Sans" w:cs="Open Sans"/>
          <w:sz w:val="20"/>
          <w:szCs w:val="20"/>
        </w:rPr>
      </w:pPr>
    </w:p>
    <w:p w14:paraId="320DCD4B" w14:textId="77777777" w:rsidR="00F7530E" w:rsidRPr="004C6AD8" w:rsidRDefault="00F7530E" w:rsidP="00F7530E">
      <w:pPr>
        <w:jc w:val="both"/>
        <w:rPr>
          <w:rFonts w:ascii="Open Sans" w:hAnsi="Open Sans" w:cs="Open Sans"/>
          <w:sz w:val="20"/>
          <w:szCs w:val="20"/>
        </w:rPr>
      </w:pPr>
      <w:r w:rsidRPr="00C67337">
        <w:rPr>
          <w:rFonts w:ascii="Open Sans" w:hAnsi="Open Sans" w:cs="Open Sans"/>
          <w:sz w:val="20"/>
        </w:rPr>
        <w:t>CAIXABANK</w:t>
      </w:r>
      <w:r w:rsidRPr="00C67337">
        <w:rPr>
          <w:rFonts w:ascii="Open Sans" w:hAnsi="Open Sans" w:cs="Open Sans"/>
          <w:sz w:val="20"/>
          <w:szCs w:val="20"/>
        </w:rPr>
        <w:t xml:space="preserve"> </w:t>
      </w:r>
      <w:r>
        <w:rPr>
          <w:rFonts w:ascii="Open Sans" w:hAnsi="Open Sans" w:cs="Open Sans"/>
          <w:sz w:val="20"/>
          <w:szCs w:val="20"/>
        </w:rPr>
        <w:t xml:space="preserve">en sus cuentas consolidadas </w:t>
      </w:r>
      <w:r w:rsidRPr="00C67337">
        <w:rPr>
          <w:rFonts w:ascii="Open Sans" w:hAnsi="Open Sans" w:cs="Open Sans"/>
          <w:sz w:val="20"/>
          <w:szCs w:val="20"/>
        </w:rPr>
        <w:t xml:space="preserve">declara también las subvenciones pactadas por la compra del Banco de Valencia. Declara que en el acuerdo con el FROB "se suscribió un protocolo de medidas de apoyo financiero instrumentado en un Esquema de Protección de Activos mediante el cual el FROB asumirá el 72,5% de las pérdidas derivadas de una serie de activos de la cartera de inversión crediticia (pymes y autónomos) y riesgos contingentes (“Activos garantizados”), hasta un importe máximo determinado, con efectos retroactivos desde 30 de septiembre de 2012, y con una vigencia de 10 años, esto es, hasta 30 de septiembre de 2022. El acuerdo incorporaba un umbral a partir del cual estas pérdidas serían asumidas por el FROB. (...) El FROB hará efectivo los pagos, en su caso, siempre que la pérdida neta esté por encima del umbral pactado, y antes del 30 de junio de cada año. A 31 de diciembre de 2014 el activo registrado asciende a 480 millones de euros. La pérdida esperada total menos las provisiones existentes en Banco de Valencia se registró como un ajuste a valor razonable aumentando el fondo de deterioro de la inversión crediticia. ". De acuerdo con una información aparecida en </w:t>
      </w:r>
      <w:r>
        <w:rPr>
          <w:rFonts w:ascii="Open Sans" w:hAnsi="Open Sans" w:cs="Open Sans"/>
          <w:sz w:val="20"/>
          <w:szCs w:val="20"/>
        </w:rPr>
        <w:t xml:space="preserve">un </w:t>
      </w:r>
      <w:r w:rsidRPr="00C67337">
        <w:rPr>
          <w:rFonts w:ascii="Open Sans" w:hAnsi="Open Sans" w:cs="Open Sans"/>
          <w:sz w:val="20"/>
          <w:szCs w:val="20"/>
        </w:rPr>
        <w:t xml:space="preserve"> diario digital </w:t>
      </w:r>
      <w:r>
        <w:rPr>
          <w:rFonts w:ascii="Open Sans" w:hAnsi="Open Sans" w:cs="Open Sans"/>
          <w:sz w:val="20"/>
          <w:szCs w:val="20"/>
        </w:rPr>
        <w:t xml:space="preserve">que hace alusión </w:t>
      </w:r>
      <w:r w:rsidRPr="00C67337">
        <w:rPr>
          <w:rFonts w:ascii="Open Sans" w:hAnsi="Open Sans" w:cs="Open Sans"/>
          <w:sz w:val="20"/>
          <w:szCs w:val="20"/>
        </w:rPr>
        <w:t xml:space="preserve"> un estudio publicado por el profesor de Finanzas de las universidades de Valencia y La Rioja, </w:t>
      </w:r>
      <w:hyperlink r:id="rId52" w:history="1">
        <w:r w:rsidRPr="00C67337">
          <w:rPr>
            <w:rFonts w:ascii="Open Sans" w:hAnsi="Open Sans" w:cs="Open Sans"/>
            <w:sz w:val="20"/>
            <w:szCs w:val="20"/>
          </w:rPr>
          <w:t>Salvador Climent</w:t>
        </w:r>
      </w:hyperlink>
      <w:r w:rsidRPr="00C67337">
        <w:rPr>
          <w:rFonts w:ascii="Open Sans" w:hAnsi="Open Sans" w:cs="Open Sans"/>
          <w:sz w:val="20"/>
          <w:szCs w:val="20"/>
        </w:rPr>
        <w:t xml:space="preserve">, y presentado en el último Congreso de la Asociación Española de Contabilidad y Administración de Empresas concluye </w:t>
      </w:r>
      <w:r w:rsidRPr="004C6AD8">
        <w:rPr>
          <w:rFonts w:ascii="Open Sans" w:hAnsi="Open Sans" w:cs="Open Sans"/>
          <w:sz w:val="20"/>
          <w:szCs w:val="20"/>
        </w:rPr>
        <w:t>que la compra de Banco de Valencia por parte de Caixabank supuso un “rescate público encubierto con dinero público para la entidad catalana”. Añade que “Gracias a las ventajosas condiciones del acuerdo firmado con el FROB, Fainé se hizo prácticamente gratis con una entidad valorada en más de 4.042 millones de euros lo que le permitió generar unas plusvalías de 2.288 millones ese mismo ejercicio”…“Sin el impacto de la compra del Banco de Valencia las pérdidas antes de impuestos [de Caixabank en 2013] hubieran sido de 3.002 millones de euros. Cifra que a buen seguro hubiera hecho saltar las alarmas en los mercados financieros, tanto nacionales como internacionales”</w:t>
      </w:r>
      <w:r w:rsidRPr="004C6AD8">
        <w:rPr>
          <w:rStyle w:val="Refdenotaalpie"/>
          <w:rFonts w:ascii="Open Sans" w:hAnsi="Open Sans" w:cs="Open Sans"/>
          <w:sz w:val="20"/>
          <w:szCs w:val="20"/>
        </w:rPr>
        <w:footnoteReference w:id="80"/>
      </w:r>
      <w:r w:rsidRPr="004C6AD8">
        <w:rPr>
          <w:rFonts w:ascii="Open Sans" w:hAnsi="Open Sans" w:cs="Open Sans"/>
          <w:sz w:val="20"/>
          <w:szCs w:val="20"/>
        </w:rPr>
        <w:t>.</w:t>
      </w:r>
    </w:p>
    <w:p w14:paraId="56898512" w14:textId="77777777" w:rsidR="00F7530E" w:rsidRDefault="00F7530E" w:rsidP="00F7530E">
      <w:pPr>
        <w:jc w:val="both"/>
        <w:rPr>
          <w:rFonts w:ascii="Open Sans" w:hAnsi="Open Sans" w:cs="Open Sans"/>
          <w:sz w:val="20"/>
          <w:szCs w:val="20"/>
        </w:rPr>
      </w:pPr>
    </w:p>
    <w:p w14:paraId="73321E38" w14:textId="77777777" w:rsidR="00F7530E" w:rsidRDefault="00F7530E" w:rsidP="00F7530E">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Otro sector que históricamente ha recibido cuantiosas ayudas es el sector eléctrico. También en estas empresas la información en relación a ayudas y subvenciones es parcial y muy mejorable. En la actualidad las energías renovables están en plena expansión. Muchos gobiernos han apostado por esta forma de generación  para reducir su dependencia energética y diversificar su mix energético (variedad de fuentes de producción de energía: carbón, petróleo, gas, nuclear, renovables, etc.). Por tanto, las empresas dedicadas a las energías renovables reciben año a año cuantiosas subvenciones. Puesto que esas fuentes de financiación son públicas, los ciudadanos de los países que conceden subvenciones a las energías renovables tienen derecho a reclamar a las compañías subvencionas total transparencia al respecto, disponiendo de información sobre la cuantía de las subvenciones, su propósito, su duración y cómo se fiscalizan, entre otros. </w:t>
      </w:r>
    </w:p>
    <w:p w14:paraId="64BE2E39" w14:textId="77777777" w:rsidR="00F7530E" w:rsidRDefault="00F7530E" w:rsidP="00F7530E">
      <w:pPr>
        <w:jc w:val="both"/>
        <w:rPr>
          <w:rFonts w:ascii="Open Sans" w:hAnsi="Open Sans" w:cs="Open Sans"/>
          <w:sz w:val="20"/>
          <w:szCs w:val="20"/>
        </w:rPr>
      </w:pPr>
    </w:p>
    <w:p w14:paraId="72C4F5FE" w14:textId="77777777" w:rsidR="00F7530E" w:rsidRPr="00724C1E" w:rsidRDefault="00F7530E" w:rsidP="00F7530E">
      <w:pPr>
        <w:autoSpaceDE w:val="0"/>
        <w:autoSpaceDN w:val="0"/>
        <w:adjustRightInd w:val="0"/>
        <w:jc w:val="both"/>
        <w:rPr>
          <w:rFonts w:ascii="Open Sans" w:hAnsi="Open Sans" w:cs="Open Sans"/>
          <w:sz w:val="20"/>
          <w:szCs w:val="20"/>
        </w:rPr>
      </w:pPr>
      <w:r w:rsidRPr="004C6AD8">
        <w:rPr>
          <w:rFonts w:ascii="Open Sans" w:hAnsi="Open Sans" w:cs="Open Sans"/>
          <w:sz w:val="20"/>
          <w:szCs w:val="20"/>
        </w:rPr>
        <w:t>ACCIONA declara en las cuentas anuales declara haber recibido un total de 148.174.000 euros, sin desglosar en la documentación analizada el importe de las subvenciones por país y a qué conceptos responden.  Por otro lado, en el epígrafe "Otros ingresos a distribuir en varios ejercicios" aparecen 70.388.000 euros.</w:t>
      </w:r>
      <w:r>
        <w:rPr>
          <w:rFonts w:ascii="Open Sans" w:hAnsi="Open Sans" w:cs="Open Sans"/>
          <w:sz w:val="20"/>
          <w:szCs w:val="20"/>
        </w:rPr>
        <w:t xml:space="preserve"> La empresa</w:t>
      </w:r>
      <w:r w:rsidRPr="00724C1E">
        <w:rPr>
          <w:rFonts w:ascii="Open Sans" w:hAnsi="Open Sans" w:cs="Open Sans"/>
          <w:sz w:val="20"/>
          <w:szCs w:val="20"/>
        </w:rPr>
        <w:t xml:space="preserve">  afirma que se corresponden con incentivos del gobierno de EEUU para promover las energías renovables y su naturaleza contable es similar a la de subvenciones.</w:t>
      </w:r>
    </w:p>
    <w:p w14:paraId="091E0D95" w14:textId="77777777" w:rsidR="00F7530E" w:rsidRPr="00C67337" w:rsidRDefault="00F7530E" w:rsidP="00F7530E">
      <w:pPr>
        <w:jc w:val="both"/>
        <w:rPr>
          <w:rFonts w:ascii="Open Sans" w:hAnsi="Open Sans" w:cs="Open Sans"/>
          <w:sz w:val="20"/>
          <w:szCs w:val="20"/>
        </w:rPr>
      </w:pPr>
    </w:p>
    <w:p w14:paraId="60FBCDCA" w14:textId="77777777" w:rsidR="00F7530E" w:rsidRPr="00096D6F" w:rsidRDefault="00F7530E" w:rsidP="00F7530E">
      <w:pPr>
        <w:jc w:val="both"/>
        <w:rPr>
          <w:rFonts w:ascii="Open Sans" w:eastAsia="Calibri" w:hAnsi="Open Sans" w:cs="Arial"/>
          <w:bCs/>
          <w:sz w:val="20"/>
          <w:szCs w:val="20"/>
        </w:rPr>
      </w:pPr>
      <w:r>
        <w:rPr>
          <w:rFonts w:ascii="Open Sans" w:eastAsia="Times New Roman" w:hAnsi="Open Sans" w:cs="Open Sans"/>
          <w:color w:val="000000"/>
          <w:sz w:val="20"/>
          <w:szCs w:val="20"/>
        </w:rPr>
        <w:t xml:space="preserve">Por último mencionar la práctica </w:t>
      </w:r>
      <w:r w:rsidRPr="004C6AD8">
        <w:rPr>
          <w:rFonts w:ascii="Open Sans" w:eastAsia="Times New Roman" w:hAnsi="Open Sans" w:cs="Open Sans"/>
          <w:b/>
          <w:color w:val="000000"/>
          <w:sz w:val="20"/>
          <w:szCs w:val="20"/>
        </w:rPr>
        <w:t>inexistencia de información</w:t>
      </w:r>
      <w:r>
        <w:rPr>
          <w:rFonts w:ascii="Open Sans" w:eastAsia="Times New Roman" w:hAnsi="Open Sans" w:cs="Open Sans"/>
          <w:color w:val="000000"/>
          <w:sz w:val="20"/>
          <w:szCs w:val="20"/>
        </w:rPr>
        <w:t xml:space="preserve"> </w:t>
      </w:r>
      <w:r>
        <w:rPr>
          <w:rFonts w:ascii="Open Sans" w:eastAsia="Calibri" w:hAnsi="Open Sans" w:cs="Arial"/>
          <w:b/>
          <w:bCs/>
          <w:sz w:val="20"/>
          <w:szCs w:val="20"/>
        </w:rPr>
        <w:t>e</w:t>
      </w:r>
      <w:r w:rsidRPr="00B478DE">
        <w:rPr>
          <w:rFonts w:ascii="Open Sans" w:eastAsia="Calibri" w:hAnsi="Open Sans" w:cs="Arial"/>
          <w:b/>
          <w:bCs/>
          <w:sz w:val="20"/>
          <w:szCs w:val="20"/>
        </w:rPr>
        <w:t xml:space="preserve">n relación a </w:t>
      </w:r>
      <w:r>
        <w:rPr>
          <w:rFonts w:ascii="Open Sans" w:eastAsia="Calibri" w:hAnsi="Open Sans" w:cs="Arial"/>
          <w:b/>
          <w:bCs/>
          <w:sz w:val="20"/>
          <w:szCs w:val="20"/>
        </w:rPr>
        <w:t xml:space="preserve">las condiciones y ayudas a través </w:t>
      </w:r>
      <w:r w:rsidRPr="00B478DE">
        <w:rPr>
          <w:rFonts w:ascii="Open Sans" w:eastAsia="Calibri" w:hAnsi="Open Sans" w:cs="Arial"/>
          <w:b/>
          <w:bCs/>
          <w:sz w:val="20"/>
          <w:szCs w:val="20"/>
        </w:rPr>
        <w:t xml:space="preserve">los créditos privilegiados </w:t>
      </w:r>
      <w:r>
        <w:rPr>
          <w:rFonts w:ascii="Open Sans" w:eastAsia="Calibri" w:hAnsi="Open Sans" w:cs="Arial"/>
          <w:b/>
          <w:bCs/>
          <w:sz w:val="20"/>
          <w:szCs w:val="20"/>
        </w:rPr>
        <w:t xml:space="preserve">procedentes del BEI, ICO o </w:t>
      </w:r>
      <w:r w:rsidRPr="000408E8">
        <w:rPr>
          <w:rFonts w:ascii="Open Sans" w:eastAsia="Calibri" w:hAnsi="Open Sans" w:cs="Arial"/>
          <w:bCs/>
          <w:sz w:val="20"/>
          <w:szCs w:val="20"/>
        </w:rPr>
        <w:t>por el Ministerio de Ciencia y Tecnología</w:t>
      </w:r>
      <w:r>
        <w:rPr>
          <w:rFonts w:ascii="Open Sans" w:eastAsia="Calibri" w:hAnsi="Open Sans" w:cs="Arial"/>
          <w:bCs/>
          <w:sz w:val="20"/>
          <w:szCs w:val="20"/>
        </w:rPr>
        <w:t>, entre otros.</w:t>
      </w:r>
    </w:p>
    <w:p w14:paraId="53F517D1" w14:textId="77777777" w:rsidR="00DC4EDD" w:rsidRPr="00CF6F67" w:rsidRDefault="00DC4EDD" w:rsidP="00DC4EDD">
      <w:pPr>
        <w:jc w:val="both"/>
        <w:rPr>
          <w:rFonts w:ascii="Open Sans" w:eastAsia="Times New Roman" w:hAnsi="Open Sans" w:cs="Open Sans"/>
          <w:color w:val="000000"/>
          <w:sz w:val="20"/>
          <w:szCs w:val="20"/>
        </w:rPr>
      </w:pPr>
    </w:p>
    <w:p w14:paraId="3D91919A" w14:textId="77777777" w:rsidR="00DC4EDD" w:rsidRDefault="00DC4EDD" w:rsidP="003828F3">
      <w:pPr>
        <w:jc w:val="both"/>
        <w:rPr>
          <w:rFonts w:ascii="Open Sans" w:hAnsi="Open Sans" w:cs="Arial"/>
          <w:b/>
          <w:sz w:val="20"/>
          <w:szCs w:val="20"/>
        </w:rPr>
      </w:pPr>
    </w:p>
    <w:p w14:paraId="148B9E16" w14:textId="77777777" w:rsidR="00DC4EDD" w:rsidRPr="000835E3" w:rsidRDefault="00DC4EDD" w:rsidP="003828F3">
      <w:pPr>
        <w:jc w:val="both"/>
        <w:rPr>
          <w:rFonts w:ascii="Open Sans" w:hAnsi="Open Sans" w:cs="Arial"/>
          <w:b/>
          <w:sz w:val="20"/>
          <w:szCs w:val="20"/>
        </w:rPr>
      </w:pPr>
    </w:p>
    <w:p w14:paraId="629AC654" w14:textId="1D0854F7" w:rsidR="000835E3" w:rsidRPr="003828F3" w:rsidRDefault="00ED545D" w:rsidP="003828F3">
      <w:pPr>
        <w:jc w:val="both"/>
        <w:rPr>
          <w:rFonts w:ascii="Open Sans" w:hAnsi="Open Sans" w:cs="Arial"/>
          <w:b/>
          <w:sz w:val="22"/>
          <w:szCs w:val="22"/>
        </w:rPr>
      </w:pPr>
      <w:bookmarkStart w:id="36" w:name="II4"/>
      <w:r w:rsidRPr="003828F3">
        <w:rPr>
          <w:rFonts w:ascii="Open Sans" w:hAnsi="Open Sans" w:cs="Arial"/>
          <w:b/>
          <w:sz w:val="22"/>
          <w:szCs w:val="22"/>
        </w:rPr>
        <w:t xml:space="preserve">I.I.4 </w:t>
      </w:r>
      <w:r w:rsidR="00DC4EDD">
        <w:rPr>
          <w:rFonts w:ascii="Open Sans" w:hAnsi="Open Sans" w:cs="Arial"/>
          <w:b/>
          <w:sz w:val="22"/>
          <w:szCs w:val="22"/>
        </w:rPr>
        <w:t>La empresa informa sobre las d</w:t>
      </w:r>
      <w:r w:rsidR="000835E3" w:rsidRPr="003828F3">
        <w:rPr>
          <w:rFonts w:ascii="Open Sans" w:hAnsi="Open Sans" w:cs="Arial"/>
          <w:b/>
          <w:sz w:val="22"/>
          <w:szCs w:val="22"/>
        </w:rPr>
        <w:t>educciones fiscales</w:t>
      </w:r>
      <w:bookmarkEnd w:id="36"/>
    </w:p>
    <w:p w14:paraId="4CB04B7D" w14:textId="77777777" w:rsidR="00F7530E" w:rsidRPr="000835E3" w:rsidRDefault="00F7530E" w:rsidP="003828F3">
      <w:pPr>
        <w:jc w:val="both"/>
        <w:rPr>
          <w:rFonts w:ascii="Open Sans" w:hAnsi="Open Sans" w:cs="Arial"/>
          <w:b/>
          <w:sz w:val="20"/>
          <w:szCs w:val="20"/>
        </w:rPr>
      </w:pPr>
    </w:p>
    <w:p w14:paraId="66B77EB9" w14:textId="7A7A7652" w:rsidR="000835E3" w:rsidRPr="003828F3" w:rsidRDefault="00ED545D" w:rsidP="003828F3">
      <w:pPr>
        <w:jc w:val="both"/>
        <w:rPr>
          <w:rFonts w:ascii="Open Sans" w:hAnsi="Open Sans" w:cs="Arial"/>
          <w:b/>
          <w:sz w:val="22"/>
          <w:szCs w:val="22"/>
        </w:rPr>
      </w:pPr>
      <w:bookmarkStart w:id="37" w:name="II5"/>
      <w:r w:rsidRPr="003828F3">
        <w:rPr>
          <w:rFonts w:ascii="Open Sans" w:hAnsi="Open Sans" w:cs="Arial"/>
          <w:b/>
          <w:sz w:val="22"/>
          <w:szCs w:val="22"/>
        </w:rPr>
        <w:t xml:space="preserve">I.I.5 </w:t>
      </w:r>
      <w:r w:rsidR="000835E3" w:rsidRPr="003828F3">
        <w:rPr>
          <w:rFonts w:ascii="Open Sans" w:hAnsi="Open Sans" w:cs="Arial"/>
          <w:b/>
          <w:sz w:val="22"/>
          <w:szCs w:val="22"/>
        </w:rPr>
        <w:t>La empresa informa sobre las exenciones fiscales</w:t>
      </w:r>
      <w:bookmarkEnd w:id="37"/>
    </w:p>
    <w:p w14:paraId="6B24CCD7" w14:textId="77777777" w:rsidR="00ED545D" w:rsidRPr="000835E3" w:rsidRDefault="00ED545D" w:rsidP="003828F3">
      <w:pPr>
        <w:jc w:val="both"/>
        <w:rPr>
          <w:rFonts w:ascii="Open Sans" w:hAnsi="Open Sans" w:cs="Arial"/>
          <w:b/>
          <w:sz w:val="20"/>
          <w:szCs w:val="20"/>
        </w:rPr>
      </w:pPr>
    </w:p>
    <w:p w14:paraId="288562DD" w14:textId="4F6C24D1" w:rsidR="000835E3" w:rsidRPr="003828F3" w:rsidRDefault="00ED545D" w:rsidP="003828F3">
      <w:pPr>
        <w:jc w:val="both"/>
        <w:rPr>
          <w:rFonts w:ascii="Open Sans" w:hAnsi="Open Sans" w:cs="Arial"/>
          <w:b/>
          <w:sz w:val="22"/>
          <w:szCs w:val="22"/>
        </w:rPr>
      </w:pPr>
      <w:bookmarkStart w:id="38" w:name="II6"/>
      <w:r w:rsidRPr="003828F3">
        <w:rPr>
          <w:rFonts w:ascii="Open Sans" w:hAnsi="Open Sans" w:cs="Arial"/>
          <w:b/>
          <w:sz w:val="22"/>
          <w:szCs w:val="22"/>
        </w:rPr>
        <w:t xml:space="preserve">I.I.6 </w:t>
      </w:r>
      <w:r w:rsidR="000835E3" w:rsidRPr="003828F3">
        <w:rPr>
          <w:rFonts w:ascii="Open Sans" w:hAnsi="Open Sans" w:cs="Arial"/>
          <w:b/>
          <w:sz w:val="22"/>
          <w:szCs w:val="22"/>
        </w:rPr>
        <w:t>La empresa informa sobre los créditos fiscales</w:t>
      </w:r>
      <w:bookmarkEnd w:id="38"/>
    </w:p>
    <w:p w14:paraId="0F233530" w14:textId="77777777" w:rsidR="000835E3" w:rsidRDefault="000835E3">
      <w:pPr>
        <w:rPr>
          <w:rFonts w:ascii="Open Sans" w:hAnsi="Open Sans" w:cs="Arial"/>
          <w:b/>
          <w:sz w:val="20"/>
          <w:szCs w:val="20"/>
        </w:rPr>
      </w:pPr>
    </w:p>
    <w:p w14:paraId="6E4CF7D8" w14:textId="77777777" w:rsidR="000200E0" w:rsidRDefault="000200E0">
      <w:pPr>
        <w:rPr>
          <w:rFonts w:ascii="Open Sans" w:hAnsi="Open Sans" w:cs="Arial"/>
          <w:b/>
          <w:sz w:val="20"/>
          <w:szCs w:val="20"/>
        </w:rPr>
      </w:pPr>
    </w:p>
    <w:p w14:paraId="08F6B239" w14:textId="77777777" w:rsidR="00F7530E" w:rsidRPr="004C6AD8" w:rsidRDefault="00F7530E" w:rsidP="00F7530E">
      <w:pPr>
        <w:autoSpaceDE w:val="0"/>
        <w:autoSpaceDN w:val="0"/>
        <w:adjustRightInd w:val="0"/>
        <w:jc w:val="both"/>
        <w:rPr>
          <w:rFonts w:ascii="Open Sans" w:hAnsi="Open Sans" w:cs="Arial"/>
          <w:sz w:val="20"/>
          <w:szCs w:val="20"/>
        </w:rPr>
      </w:pPr>
      <w:r>
        <w:rPr>
          <w:rFonts w:ascii="Open Sans" w:eastAsia="Times New Roman" w:hAnsi="Open Sans" w:cs="Open Sans"/>
          <w:color w:val="000000"/>
          <w:sz w:val="20"/>
          <w:szCs w:val="20"/>
        </w:rPr>
        <w:t xml:space="preserve">En este apartado se exponen las principales conclusiones relativas a incentivos fiscales que han sido analizados a partir de tres indicadores: Deducciones, exenciones y créditos fiscales. </w:t>
      </w:r>
      <w:r w:rsidRPr="00F90114">
        <w:rPr>
          <w:rFonts w:ascii="Open Sans" w:hAnsi="Open Sans" w:cs="Arial"/>
          <w:sz w:val="20"/>
          <w:szCs w:val="20"/>
        </w:rPr>
        <w:t xml:space="preserve">En el apartado de deducciones, exenciones y créditos </w:t>
      </w:r>
      <w:r w:rsidRPr="00F7530E">
        <w:rPr>
          <w:rFonts w:ascii="Open Sans" w:hAnsi="Open Sans" w:cs="Arial"/>
          <w:b/>
          <w:sz w:val="20"/>
          <w:szCs w:val="20"/>
        </w:rPr>
        <w:t>fiscales ninguna empresa presenta información por país y en concepto de qué se le han otorgado las exenciones, deducciones o créditos fiscales</w:t>
      </w:r>
      <w:r w:rsidRPr="00F90114">
        <w:rPr>
          <w:rFonts w:ascii="Open Sans" w:hAnsi="Open Sans" w:cs="Arial"/>
          <w:sz w:val="20"/>
          <w:szCs w:val="20"/>
        </w:rPr>
        <w:t xml:space="preserve">. </w:t>
      </w:r>
      <w:r w:rsidRPr="004C6AD8">
        <w:rPr>
          <w:rFonts w:ascii="Open Sans" w:hAnsi="Open Sans" w:cs="Arial"/>
          <w:sz w:val="20"/>
          <w:szCs w:val="20"/>
        </w:rPr>
        <w:t>Esta información es relevante pues en algunos casos puede condicionar la imputación de beneficios en un país o en otro en base a este tipo de incentivos fiscales. Tal es el caso de ARCELORMITTAL que es explícita al declarar en sus cuentas anuales  que la estructura de su planificación fiscal es en función de sus activos por impuestos diferidos en las diferentes jurisdicciones donde opera. Sus estrategias de planificación fiscal tienen que ver con las ganancias fiscales previstas, los efectos de la regulación fiscal de cada país y la posibilidad de utilizar los activos de impuestos diferidos reconocidos, etc…</w:t>
      </w:r>
    </w:p>
    <w:p w14:paraId="7B1FE0D6" w14:textId="77777777" w:rsidR="00F7530E" w:rsidRDefault="00F7530E" w:rsidP="00F7530E">
      <w:pPr>
        <w:jc w:val="both"/>
        <w:rPr>
          <w:rFonts w:ascii="Open Sans" w:hAnsi="Open Sans" w:cs="Arial"/>
          <w:sz w:val="20"/>
          <w:szCs w:val="20"/>
        </w:rPr>
      </w:pPr>
    </w:p>
    <w:p w14:paraId="75F6FBBF" w14:textId="77777777" w:rsidR="009F7017" w:rsidRDefault="00F7530E" w:rsidP="00F7530E">
      <w:pPr>
        <w:autoSpaceDE w:val="0"/>
        <w:autoSpaceDN w:val="0"/>
        <w:adjustRightInd w:val="0"/>
        <w:jc w:val="both"/>
        <w:rPr>
          <w:rFonts w:ascii="Open Sans" w:eastAsia="Times New Roman" w:hAnsi="Open Sans" w:cs="Open Sans"/>
          <w:color w:val="000000"/>
          <w:sz w:val="20"/>
          <w:szCs w:val="20"/>
        </w:rPr>
      </w:pPr>
      <w:r w:rsidRPr="004C6AD8">
        <w:rPr>
          <w:rFonts w:ascii="Open Sans" w:eastAsia="Times New Roman" w:hAnsi="Open Sans" w:cs="Open Sans"/>
          <w:color w:val="000000"/>
          <w:sz w:val="20"/>
          <w:szCs w:val="20"/>
        </w:rPr>
        <w:t>El sistema de deducciones, exenciones y créditos fiscales afecta a los impuestos a pagar por parte de las empresas por lo que sería de gran utilidad contar con esa información.</w:t>
      </w:r>
      <w:r w:rsidRPr="006710B4">
        <w:rPr>
          <w:rFonts w:ascii="Open Sans" w:eastAsia="Times New Roman" w:hAnsi="Open Sans" w:cs="Open Sans"/>
          <w:color w:val="000000"/>
          <w:sz w:val="20"/>
          <w:szCs w:val="20"/>
        </w:rPr>
        <w:t xml:space="preserve"> Los activos por impuestos diferidos son derechos que permiten las empresas deducirse carga fiscal no solo en el ejercicio en el que se declaran sino incluso en ejercicios futuros. Se convierten así en activos fiscales a favor de la empresa, como una deuda futura que la administración mantiene con ellas. </w:t>
      </w:r>
    </w:p>
    <w:p w14:paraId="62FC3E41" w14:textId="77777777" w:rsidR="009F7017" w:rsidRDefault="009F7017" w:rsidP="00F7530E">
      <w:pPr>
        <w:autoSpaceDE w:val="0"/>
        <w:autoSpaceDN w:val="0"/>
        <w:adjustRightInd w:val="0"/>
        <w:jc w:val="both"/>
        <w:rPr>
          <w:rFonts w:ascii="Open Sans" w:eastAsia="Times New Roman" w:hAnsi="Open Sans" w:cs="Open Sans"/>
          <w:color w:val="000000"/>
          <w:sz w:val="20"/>
          <w:szCs w:val="20"/>
        </w:rPr>
      </w:pPr>
    </w:p>
    <w:p w14:paraId="0F36AEFB" w14:textId="4600D5AA" w:rsidR="009F7017" w:rsidRPr="009F7017" w:rsidRDefault="009F7017" w:rsidP="00F7530E">
      <w:pPr>
        <w:autoSpaceDE w:val="0"/>
        <w:autoSpaceDN w:val="0"/>
        <w:adjustRightInd w:val="0"/>
        <w:jc w:val="both"/>
        <w:rPr>
          <w:rFonts w:ascii="Open Sans" w:eastAsia="Times New Roman" w:hAnsi="Open Sans" w:cs="Open Sans"/>
          <w:color w:val="000000"/>
          <w:sz w:val="20"/>
          <w:szCs w:val="20"/>
          <w:u w:val="single"/>
        </w:rPr>
      </w:pPr>
      <w:r>
        <w:rPr>
          <w:rFonts w:ascii="Open Sans" w:eastAsia="Times New Roman" w:hAnsi="Open Sans" w:cs="Open Sans"/>
          <w:color w:val="000000"/>
          <w:sz w:val="20"/>
          <w:szCs w:val="20"/>
        </w:rPr>
        <w:t xml:space="preserve">De acuerdo con la CNMV </w:t>
      </w:r>
      <w:r w:rsidRPr="004C6AD8">
        <w:rPr>
          <w:rFonts w:ascii="Open Sans" w:eastAsia="Times New Roman" w:hAnsi="Open Sans" w:cs="Open Sans"/>
          <w:color w:val="000000"/>
          <w:sz w:val="20"/>
          <w:szCs w:val="20"/>
        </w:rPr>
        <w:t>las empresas del selectivo español Ibex 35 acumulan activos fiscales diferidos por valor de 103.707 millones de euros la mayor parte está en manos de los bancos y las energéticas.</w:t>
      </w:r>
      <w:r w:rsidR="00C47211" w:rsidRPr="004C6AD8">
        <w:rPr>
          <w:rFonts w:ascii="Open Sans" w:eastAsia="Times New Roman" w:hAnsi="Open Sans" w:cs="Open Sans"/>
          <w:color w:val="000000"/>
          <w:sz w:val="20"/>
          <w:szCs w:val="20"/>
        </w:rPr>
        <w:t xml:space="preserve"> La recaudación por impuesto de sociedades se ve minorada en un 17,4% por el efecto de las desgravaciones</w:t>
      </w:r>
      <w:r w:rsidR="00C47211" w:rsidRPr="004C6AD8">
        <w:rPr>
          <w:rStyle w:val="Refdenotaalpie"/>
          <w:rFonts w:ascii="Open Sans" w:eastAsia="Times New Roman" w:hAnsi="Open Sans" w:cs="Open Sans"/>
          <w:color w:val="000000"/>
          <w:sz w:val="20"/>
          <w:szCs w:val="20"/>
        </w:rPr>
        <w:footnoteReference w:id="81"/>
      </w:r>
      <w:r w:rsidR="00C47211" w:rsidRPr="004C6AD8">
        <w:rPr>
          <w:rFonts w:ascii="Open Sans" w:eastAsia="Times New Roman" w:hAnsi="Open Sans" w:cs="Open Sans"/>
          <w:color w:val="000000"/>
          <w:sz w:val="20"/>
          <w:szCs w:val="20"/>
        </w:rPr>
        <w:t>.</w:t>
      </w:r>
      <w:r w:rsidR="00C47211">
        <w:rPr>
          <w:rFonts w:ascii="Open Sans" w:eastAsia="Times New Roman" w:hAnsi="Open Sans" w:cs="Open Sans"/>
          <w:color w:val="000000"/>
          <w:sz w:val="20"/>
          <w:szCs w:val="20"/>
          <w:u w:val="single"/>
        </w:rPr>
        <w:t xml:space="preserve"> </w:t>
      </w:r>
    </w:p>
    <w:p w14:paraId="197AB2FF" w14:textId="77777777" w:rsidR="009F7017" w:rsidRDefault="009F7017" w:rsidP="00F7530E">
      <w:pPr>
        <w:autoSpaceDE w:val="0"/>
        <w:autoSpaceDN w:val="0"/>
        <w:adjustRightInd w:val="0"/>
        <w:jc w:val="both"/>
        <w:rPr>
          <w:rFonts w:ascii="Open Sans" w:eastAsia="Times New Roman" w:hAnsi="Open Sans" w:cs="Open Sans"/>
          <w:color w:val="000000"/>
          <w:sz w:val="20"/>
          <w:szCs w:val="20"/>
        </w:rPr>
      </w:pPr>
    </w:p>
    <w:p w14:paraId="1101716C" w14:textId="24BD5A78" w:rsidR="00F7530E" w:rsidRPr="004C6AD8" w:rsidRDefault="009F7017" w:rsidP="004C6AD8">
      <w:pPr>
        <w:autoSpaceDE w:val="0"/>
        <w:autoSpaceDN w:val="0"/>
        <w:adjustRightInd w:val="0"/>
        <w:jc w:val="both"/>
        <w:rPr>
          <w:rFonts w:ascii="Open Sans" w:eastAsia="Times New Roman" w:hAnsi="Open Sans" w:cs="Open Sans"/>
          <w:color w:val="000000"/>
          <w:sz w:val="20"/>
          <w:szCs w:val="20"/>
        </w:rPr>
      </w:pPr>
      <w:r>
        <w:rPr>
          <w:rFonts w:ascii="Open Sans" w:eastAsia="Times New Roman" w:hAnsi="Open Sans" w:cs="Open Sans"/>
          <w:color w:val="000000"/>
          <w:sz w:val="20"/>
          <w:szCs w:val="20"/>
        </w:rPr>
        <w:t>P</w:t>
      </w:r>
      <w:r w:rsidR="00F7530E" w:rsidRPr="006710B4">
        <w:rPr>
          <w:rFonts w:ascii="Open Sans" w:eastAsia="Times New Roman" w:hAnsi="Open Sans" w:cs="Open Sans"/>
          <w:color w:val="000000"/>
          <w:sz w:val="20"/>
          <w:szCs w:val="20"/>
        </w:rPr>
        <w:t>or su dimensión, de acuerdo con Oxfam: “son un auténtico agujero negro para las arcas públicas, que quiebra el principio de suficiencia recaudatoria y que va a condicionar la capacidad recaudatoria en España incluso durante los próximos años. El uso de activos diferidos ha aumentado un 90% entre 2009 y 2012.</w:t>
      </w:r>
      <w:r w:rsidR="00F7530E" w:rsidRPr="00C225CF">
        <w:rPr>
          <w:rFonts w:ascii="Open Sans" w:eastAsia="Times New Roman" w:hAnsi="Open Sans" w:cs="Open Sans"/>
          <w:color w:val="000000"/>
          <w:sz w:val="20"/>
          <w:szCs w:val="20"/>
          <w:vertAlign w:val="superscript"/>
        </w:rPr>
        <w:t>88</w:t>
      </w:r>
      <w:r w:rsidR="00F7530E" w:rsidRPr="006710B4">
        <w:rPr>
          <w:rFonts w:ascii="Open Sans" w:eastAsia="Times New Roman" w:hAnsi="Open Sans" w:cs="Open Sans"/>
          <w:color w:val="000000"/>
          <w:sz w:val="20"/>
          <w:szCs w:val="20"/>
        </w:rPr>
        <w:t xml:space="preserve"> Se aprobaron en el momento álgido de la crisis, para compensar a grandes bancos que estaban comprando cajas y otros bancos más pequeños y con muchas pérdidas por lo general. Así, estas entidades han logrado contabilizar créditos fiscales para el futuro, pudiendo deducirse en el futuro importantes cantidades de la contribución fiscal que les correspondería. Y de esta manera, con “premios” fiscales regalo de la administración, han absorbido las pérdidas generadas por esas operaciones, y el Estado dejará de ingresar en el futuro esas deducciones</w:t>
      </w:r>
      <w:r w:rsidR="00F7530E" w:rsidRPr="004C6AD8">
        <w:rPr>
          <w:rStyle w:val="Refdenotaalpie"/>
          <w:rFonts w:ascii="Open Sans" w:eastAsia="Times New Roman" w:hAnsi="Open Sans" w:cs="Open Sans"/>
          <w:color w:val="000000"/>
          <w:sz w:val="20"/>
          <w:szCs w:val="20"/>
        </w:rPr>
        <w:footnoteReference w:id="82"/>
      </w:r>
      <w:r w:rsidR="00F7530E" w:rsidRPr="004C6AD8">
        <w:rPr>
          <w:rFonts w:ascii="Open Sans" w:eastAsia="Times New Roman" w:hAnsi="Open Sans" w:cs="Open Sans"/>
          <w:color w:val="000000"/>
          <w:sz w:val="20"/>
          <w:szCs w:val="20"/>
        </w:rPr>
        <w:t>”.  En 2015 la Comisión Europea ha abierto una investigación sobre si el aval del estado para computar como capital los activos fiscales diferidos (DTA, por sus siglas en inglés) son o no ayudas estatales ilegales</w:t>
      </w:r>
      <w:r w:rsidR="00F7530E" w:rsidRPr="004C6AD8">
        <w:rPr>
          <w:rStyle w:val="Refdenotaalpie"/>
          <w:rFonts w:ascii="Open Sans" w:eastAsia="Times New Roman" w:hAnsi="Open Sans" w:cs="Open Sans"/>
          <w:color w:val="000000"/>
          <w:sz w:val="20"/>
          <w:szCs w:val="20"/>
        </w:rPr>
        <w:footnoteReference w:id="83"/>
      </w:r>
      <w:r w:rsidR="00F7530E" w:rsidRPr="004C6AD8">
        <w:rPr>
          <w:rFonts w:ascii="Open Sans" w:eastAsia="Times New Roman" w:hAnsi="Open Sans" w:cs="Open Sans"/>
          <w:color w:val="000000"/>
          <w:sz w:val="20"/>
          <w:szCs w:val="20"/>
        </w:rPr>
        <w:t>.</w:t>
      </w:r>
    </w:p>
    <w:p w14:paraId="7F69037D" w14:textId="77777777" w:rsidR="00F7530E" w:rsidRDefault="00F7530E" w:rsidP="004C6AD8">
      <w:pPr>
        <w:autoSpaceDE w:val="0"/>
        <w:autoSpaceDN w:val="0"/>
        <w:adjustRightInd w:val="0"/>
        <w:jc w:val="both"/>
        <w:rPr>
          <w:rFonts w:ascii="Open Sans" w:eastAsia="Times New Roman" w:hAnsi="Open Sans" w:cs="Open Sans"/>
          <w:color w:val="000000"/>
          <w:sz w:val="20"/>
          <w:szCs w:val="20"/>
        </w:rPr>
      </w:pPr>
    </w:p>
    <w:p w14:paraId="7AB7C8A5" w14:textId="1BF5DECF" w:rsidR="00F7530E" w:rsidRPr="004C6AD8" w:rsidRDefault="00F7530E" w:rsidP="004C6AD8">
      <w:pPr>
        <w:jc w:val="both"/>
        <w:rPr>
          <w:rFonts w:ascii="Open Sans" w:hAnsi="Open Sans" w:cs="Open Sans"/>
          <w:sz w:val="20"/>
          <w:szCs w:val="20"/>
        </w:rPr>
      </w:pPr>
      <w:r w:rsidRPr="004C6AD8">
        <w:rPr>
          <w:rFonts w:ascii="Open Sans" w:hAnsi="Open Sans" w:cs="Open Sans"/>
          <w:sz w:val="20"/>
          <w:szCs w:val="20"/>
        </w:rPr>
        <w:t>La Comisión Europea ha abierto en los últimos años tres expedientes contra el Estado español al considerar que la introducción en 2002 en la normativa fiscal del Impuesto sobre Sociedades en España que incorpora un beneficio fiscal vinculado a  deducibilidad fiscal de la amortización del fondo de comercio financiero generado en la adquisición de compañías no residentes en España,</w:t>
      </w:r>
      <w:r w:rsidRPr="004345F5">
        <w:rPr>
          <w:rFonts w:ascii="Open Sans" w:hAnsi="Open Sans" w:cs="Open Sans"/>
          <w:sz w:val="20"/>
          <w:szCs w:val="20"/>
        </w:rPr>
        <w:t xml:space="preserve"> podría constituir una Ayuda de Estado.</w:t>
      </w:r>
      <w:r w:rsidRPr="004345F5">
        <w:rPr>
          <w:rFonts w:ascii="Open Sans" w:hAnsi="Open Sans" w:cs="Open Sans"/>
          <w:sz w:val="20"/>
          <w:szCs w:val="20"/>
          <w:vertAlign w:val="superscript"/>
        </w:rPr>
        <w:footnoteReference w:id="84"/>
      </w:r>
      <w:r w:rsidRPr="004345F5">
        <w:rPr>
          <w:rFonts w:ascii="Open Sans" w:hAnsi="Open Sans" w:cs="Open Sans"/>
          <w:sz w:val="20"/>
          <w:szCs w:val="20"/>
        </w:rPr>
        <w:t xml:space="preserve"> Prácticamente todas las grandes empresas españolas que se expandieron en el extranjero mediante compras se beneficiaron de esta posibilidad: </w:t>
      </w:r>
      <w:r w:rsidR="004C6AD8">
        <w:rPr>
          <w:rFonts w:ascii="Open Sans" w:hAnsi="Open Sans" w:cs="Open Sans"/>
          <w:sz w:val="20"/>
          <w:szCs w:val="20"/>
        </w:rPr>
        <w:t xml:space="preserve">Banco </w:t>
      </w:r>
      <w:r w:rsidRPr="004345F5">
        <w:rPr>
          <w:rFonts w:ascii="Open Sans" w:hAnsi="Open Sans" w:cs="Open Sans"/>
          <w:sz w:val="20"/>
          <w:szCs w:val="20"/>
        </w:rPr>
        <w:t xml:space="preserve">Santander, BBVA, Telefónica, Ferrovial, Iberdrola, Abertis...Solo en el caso de </w:t>
      </w:r>
      <w:r w:rsidRPr="004C6AD8">
        <w:rPr>
          <w:rFonts w:ascii="Open Sans" w:hAnsi="Open Sans" w:cs="Open Sans"/>
          <w:sz w:val="20"/>
          <w:szCs w:val="20"/>
        </w:rPr>
        <w:t>Telefónica, el importe de las deducciones que llegaría a poder aplicarse a raíz de la </w:t>
      </w:r>
      <w:hyperlink r:id="rId53" w:tgtFrame="_blank" w:history="1">
        <w:r w:rsidRPr="004C6AD8">
          <w:rPr>
            <w:rFonts w:ascii="Open Sans" w:hAnsi="Open Sans" w:cs="Open Sans"/>
            <w:sz w:val="20"/>
            <w:szCs w:val="20"/>
          </w:rPr>
          <w:t>compra de la brasileña Vivo</w:t>
        </w:r>
      </w:hyperlink>
      <w:r w:rsidRPr="004C6AD8">
        <w:rPr>
          <w:rFonts w:ascii="Open Sans" w:hAnsi="Open Sans" w:cs="Open Sans"/>
          <w:sz w:val="20"/>
          <w:szCs w:val="20"/>
        </w:rPr>
        <w:t xml:space="preserve"> asciende a 4.000 millones  </w:t>
      </w:r>
    </w:p>
    <w:p w14:paraId="779953E7" w14:textId="77777777" w:rsidR="00F7530E" w:rsidRPr="002473EA" w:rsidRDefault="00F7530E" w:rsidP="004C6AD8">
      <w:pPr>
        <w:jc w:val="both"/>
        <w:rPr>
          <w:rFonts w:ascii="Open Sans" w:hAnsi="Open Sans" w:cs="Open Sans"/>
          <w:sz w:val="20"/>
          <w:szCs w:val="20"/>
        </w:rPr>
      </w:pPr>
    </w:p>
    <w:p w14:paraId="5034CFC2" w14:textId="68383E41" w:rsidR="00F7530E" w:rsidRDefault="00F7530E" w:rsidP="004C6AD8">
      <w:pPr>
        <w:jc w:val="both"/>
        <w:rPr>
          <w:rFonts w:ascii="Open Sans" w:hAnsi="Open Sans" w:cs="Open Sans"/>
          <w:sz w:val="20"/>
          <w:szCs w:val="20"/>
        </w:rPr>
      </w:pPr>
      <w:r w:rsidRPr="002473EA">
        <w:rPr>
          <w:rFonts w:ascii="Open Sans" w:hAnsi="Open Sans" w:cs="Open Sans"/>
          <w:sz w:val="20"/>
          <w:szCs w:val="20"/>
        </w:rPr>
        <w:t xml:space="preserve">Por otro lado, en una situación de crisis de recursos e incremento de la necesidades sociales como la que está viviendo España, no puede desligarse el compromiso con la responsabilidad social de las empresas, de sus políticas fiscales y sus aportaciones a la Hacienda Pública, especialmente en el Impuesto sobre </w:t>
      </w:r>
      <w:r w:rsidRPr="00B0598D">
        <w:rPr>
          <w:rFonts w:ascii="Open Sans" w:hAnsi="Open Sans" w:cs="Open Sans"/>
          <w:sz w:val="20"/>
          <w:szCs w:val="20"/>
        </w:rPr>
        <w:t xml:space="preserve">Sociedades, que grava los beneficios. En los últimos años, el tipo efectivo y real de este impuesto se viene desplomando en España, como puede verse en el siguiente gráfico. Lo recaudado por IRPF </w:t>
      </w:r>
      <w:r w:rsidR="00B0598D" w:rsidRPr="00B0598D">
        <w:rPr>
          <w:rFonts w:ascii="Open Sans" w:hAnsi="Open Sans" w:cs="Open Sans"/>
          <w:sz w:val="20"/>
          <w:szCs w:val="20"/>
        </w:rPr>
        <w:t>ha incrementado una merma de 2007 a 2015</w:t>
      </w:r>
      <w:r w:rsidRPr="00B0598D">
        <w:rPr>
          <w:rFonts w:ascii="Open Sans" w:hAnsi="Open Sans" w:cs="Open Sans"/>
          <w:sz w:val="20"/>
          <w:szCs w:val="20"/>
        </w:rPr>
        <w:t xml:space="preserve"> </w:t>
      </w:r>
      <w:r w:rsidR="00B0598D" w:rsidRPr="00B0598D">
        <w:rPr>
          <w:rFonts w:ascii="Open Sans" w:hAnsi="Open Sans" w:cs="Open Sans"/>
          <w:sz w:val="20"/>
          <w:szCs w:val="20"/>
        </w:rPr>
        <w:t>de un 0,37</w:t>
      </w:r>
      <w:r w:rsidRPr="00B0598D">
        <w:rPr>
          <w:rFonts w:ascii="Open Sans" w:hAnsi="Open Sans" w:cs="Open Sans"/>
          <w:sz w:val="20"/>
          <w:szCs w:val="20"/>
        </w:rPr>
        <w:t>%, lo recaudado por IVA ha experimentad</w:t>
      </w:r>
      <w:r w:rsidR="00B0598D" w:rsidRPr="00B0598D">
        <w:rPr>
          <w:rFonts w:ascii="Open Sans" w:hAnsi="Open Sans" w:cs="Open Sans"/>
          <w:sz w:val="20"/>
          <w:szCs w:val="20"/>
        </w:rPr>
        <w:t>o un crecimiento del 7,97</w:t>
      </w:r>
      <w:r w:rsidRPr="00B0598D">
        <w:rPr>
          <w:rFonts w:ascii="Open Sans" w:hAnsi="Open Sans" w:cs="Open Sans"/>
          <w:sz w:val="20"/>
          <w:szCs w:val="20"/>
        </w:rPr>
        <w:t xml:space="preserve">%, sin embargo lo recaudado por impuesto de sociedades ha caído un </w:t>
      </w:r>
      <w:r w:rsidR="00B0598D" w:rsidRPr="00B0598D">
        <w:rPr>
          <w:rFonts w:ascii="Open Sans" w:hAnsi="Open Sans" w:cs="Open Sans"/>
          <w:sz w:val="20"/>
          <w:szCs w:val="20"/>
        </w:rPr>
        <w:t>47,40</w:t>
      </w:r>
      <w:r w:rsidR="00A54E84">
        <w:rPr>
          <w:rFonts w:ascii="Open Sans" w:hAnsi="Open Sans" w:cs="Open Sans"/>
          <w:sz w:val="20"/>
          <w:szCs w:val="20"/>
        </w:rPr>
        <w:t>%</w:t>
      </w:r>
      <w:r w:rsidRPr="00B0598D">
        <w:rPr>
          <w:rFonts w:ascii="Open Sans" w:hAnsi="Open Sans" w:cs="Open Sans"/>
          <w:sz w:val="20"/>
          <w:szCs w:val="20"/>
        </w:rPr>
        <w:t>. Es conveniente apuntar que sin  embargo los beneficios empresariales se están recuperando a gran velocidad.  </w:t>
      </w:r>
    </w:p>
    <w:p w14:paraId="15A8FD45" w14:textId="77777777" w:rsidR="00F7530E" w:rsidRPr="002473EA" w:rsidRDefault="00F7530E" w:rsidP="00F7530E">
      <w:pPr>
        <w:spacing w:before="120"/>
        <w:jc w:val="both"/>
        <w:rPr>
          <w:rFonts w:ascii="Open Sans" w:hAnsi="Open Sans" w:cs="Open Sans"/>
          <w:sz w:val="20"/>
          <w:szCs w:val="20"/>
        </w:rPr>
      </w:pPr>
    </w:p>
    <w:p w14:paraId="151335A6" w14:textId="58400260" w:rsidR="00F7530E" w:rsidRDefault="00B702FB" w:rsidP="00B702FB">
      <w:pPr>
        <w:tabs>
          <w:tab w:val="left" w:pos="1665"/>
        </w:tabs>
        <w:jc w:val="center"/>
        <w:rPr>
          <w:rFonts w:ascii="Open Sans" w:hAnsi="Open Sans" w:cs="Open Sans"/>
          <w:sz w:val="20"/>
          <w:szCs w:val="20"/>
        </w:rPr>
      </w:pPr>
      <w:r>
        <w:rPr>
          <w:rFonts w:ascii="Open Sans" w:hAnsi="Open Sans" w:cs="Open Sans"/>
          <w:noProof/>
          <w:sz w:val="20"/>
          <w:szCs w:val="20"/>
          <w:lang w:val="es-ES"/>
        </w:rPr>
        <w:drawing>
          <wp:inline distT="0" distB="0" distL="0" distR="0" wp14:anchorId="4A7F1F31" wp14:editId="4485AE60">
            <wp:extent cx="4380300" cy="2647666"/>
            <wp:effectExtent l="0" t="0" r="1270"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4380205" cy="2647608"/>
                    </a:xfrm>
                    <a:prstGeom prst="rect">
                      <a:avLst/>
                    </a:prstGeom>
                    <a:noFill/>
                  </pic:spPr>
                </pic:pic>
              </a:graphicData>
            </a:graphic>
          </wp:inline>
        </w:drawing>
      </w:r>
    </w:p>
    <w:p w14:paraId="1CFDD190" w14:textId="0993EDE0" w:rsidR="00F7530E" w:rsidRDefault="00F7530E" w:rsidP="00F7530E">
      <w:pPr>
        <w:jc w:val="center"/>
        <w:rPr>
          <w:rFonts w:ascii="Open Sans" w:eastAsia="Times New Roman" w:hAnsi="Open Sans" w:cs="Open Sans"/>
          <w:b/>
          <w:sz w:val="20"/>
          <w:szCs w:val="20"/>
        </w:rPr>
      </w:pPr>
    </w:p>
    <w:p w14:paraId="505D33E3" w14:textId="4C33349E" w:rsidR="00F7530E" w:rsidRDefault="00F7530E" w:rsidP="00F7530E">
      <w:pPr>
        <w:jc w:val="center"/>
        <w:rPr>
          <w:rFonts w:ascii="Open Sans" w:eastAsia="Times New Roman" w:hAnsi="Open Sans" w:cs="Open Sans"/>
          <w:sz w:val="18"/>
          <w:szCs w:val="18"/>
        </w:rPr>
      </w:pPr>
      <w:r>
        <w:rPr>
          <w:rFonts w:ascii="Open Sans" w:eastAsia="Times New Roman" w:hAnsi="Open Sans" w:cs="Open Sans"/>
          <w:sz w:val="18"/>
          <w:szCs w:val="18"/>
        </w:rPr>
        <w:t>Fuente: El</w:t>
      </w:r>
      <w:r w:rsidR="00D13C13">
        <w:rPr>
          <w:rFonts w:ascii="Open Sans" w:eastAsia="Times New Roman" w:hAnsi="Open Sans" w:cs="Open Sans"/>
          <w:sz w:val="18"/>
          <w:szCs w:val="18"/>
        </w:rPr>
        <w:t>aboración propia a partir de los datos disponibles en la Agencia Tributaria</w:t>
      </w:r>
    </w:p>
    <w:p w14:paraId="229C7C9C" w14:textId="77777777" w:rsidR="00F7530E" w:rsidRDefault="00F7530E" w:rsidP="00F7530E">
      <w:pPr>
        <w:rPr>
          <w:rFonts w:ascii="Open Sans" w:eastAsia="Times New Roman" w:hAnsi="Open Sans" w:cs="Open Sans"/>
          <w:b/>
          <w:sz w:val="20"/>
          <w:szCs w:val="20"/>
        </w:rPr>
      </w:pPr>
    </w:p>
    <w:p w14:paraId="68652AC9" w14:textId="77777777" w:rsidR="00F7530E" w:rsidRDefault="00F7530E" w:rsidP="00F7530E">
      <w:pPr>
        <w:jc w:val="both"/>
        <w:rPr>
          <w:rFonts w:ascii="Open Sans" w:hAnsi="Open Sans" w:cs="Open Sans"/>
          <w:sz w:val="20"/>
          <w:szCs w:val="20"/>
        </w:rPr>
      </w:pPr>
    </w:p>
    <w:p w14:paraId="5B5F952F" w14:textId="669C00A1" w:rsidR="00F7530E" w:rsidRDefault="00F7530E" w:rsidP="00683433">
      <w:pPr>
        <w:autoSpaceDE w:val="0"/>
        <w:autoSpaceDN w:val="0"/>
        <w:adjustRightInd w:val="0"/>
        <w:jc w:val="both"/>
        <w:rPr>
          <w:rFonts w:ascii="Open Sans" w:hAnsi="Open Sans" w:cs="Arial"/>
          <w:sz w:val="20"/>
          <w:szCs w:val="20"/>
        </w:rPr>
      </w:pPr>
      <w:r w:rsidRPr="004C6AD8">
        <w:rPr>
          <w:rFonts w:ascii="Open Sans" w:hAnsi="Open Sans" w:cs="Arial"/>
          <w:sz w:val="20"/>
          <w:szCs w:val="20"/>
        </w:rPr>
        <w:t>En 2015 los cambios normativos en el Impuesto sobre Sociedades, tuvo un impacto negativo sobre la recaudación del impuesto de sociedades de  3.041 millones, según estimaciones de la agencia tributaria</w:t>
      </w:r>
      <w:r w:rsidRPr="004C6AD8">
        <w:rPr>
          <w:rStyle w:val="Refdenotaalpie"/>
          <w:rFonts w:ascii="Open Sans" w:hAnsi="Open Sans" w:cs="Arial"/>
          <w:sz w:val="20"/>
          <w:szCs w:val="20"/>
        </w:rPr>
        <w:footnoteReference w:id="85"/>
      </w:r>
      <w:r w:rsidRPr="004C6AD8">
        <w:rPr>
          <w:rFonts w:ascii="Open Sans" w:hAnsi="Open Sans" w:cs="Arial"/>
          <w:sz w:val="20"/>
          <w:szCs w:val="20"/>
        </w:rPr>
        <w:t xml:space="preserve">. </w:t>
      </w:r>
    </w:p>
    <w:p w14:paraId="39519FF2" w14:textId="77777777" w:rsidR="00E90732" w:rsidRPr="004C6AD8" w:rsidRDefault="00E90732" w:rsidP="00683433">
      <w:pPr>
        <w:autoSpaceDE w:val="0"/>
        <w:autoSpaceDN w:val="0"/>
        <w:adjustRightInd w:val="0"/>
        <w:jc w:val="both"/>
        <w:rPr>
          <w:rFonts w:ascii="Open Sans" w:hAnsi="Open Sans" w:cs="Arial"/>
          <w:sz w:val="20"/>
          <w:szCs w:val="20"/>
        </w:rPr>
      </w:pPr>
    </w:p>
    <w:p w14:paraId="7CEB0922" w14:textId="77777777" w:rsidR="00F7530E" w:rsidRPr="00E90732" w:rsidRDefault="00F7530E" w:rsidP="00F7530E">
      <w:pPr>
        <w:tabs>
          <w:tab w:val="left" w:pos="709"/>
        </w:tabs>
        <w:jc w:val="both"/>
        <w:rPr>
          <w:rFonts w:ascii="Open Sans" w:eastAsia="Calibri" w:hAnsi="Open Sans" w:cs="Open Sans"/>
          <w:sz w:val="20"/>
          <w:szCs w:val="20"/>
        </w:rPr>
      </w:pPr>
      <w:r w:rsidRPr="004C6AD8">
        <w:rPr>
          <w:rFonts w:ascii="Open Sans" w:hAnsi="Open Sans" w:cs="Arial"/>
          <w:sz w:val="20"/>
          <w:szCs w:val="20"/>
        </w:rPr>
        <w:t>De acuerdo con el informe anual de recaudación emitido por la agencia tributaria,  la base imponible del Impuesto sobre Sociedades disminuyó en 2015 un 10,2% pese a que el resultado contable positivo creció un 12,6% en 2015.</w:t>
      </w:r>
      <w:r>
        <w:rPr>
          <w:rFonts w:ascii="Open Sans" w:hAnsi="Open Sans" w:cs="Arial"/>
          <w:sz w:val="20"/>
          <w:szCs w:val="20"/>
          <w:u w:val="single"/>
        </w:rPr>
        <w:t xml:space="preserve"> </w:t>
      </w:r>
      <w:r>
        <w:rPr>
          <w:rFonts w:ascii="Open Sans" w:hAnsi="Open Sans" w:cs="Arial"/>
          <w:sz w:val="20"/>
          <w:szCs w:val="20"/>
        </w:rPr>
        <w:t xml:space="preserve">En muchas empresas el resultado contable es positivo sin embargo después de aplicar deducciones, exenciones y créditos fiscales les sale el impuesto de sociedades a devolver. Por ejemplo  </w:t>
      </w:r>
      <w:r>
        <w:rPr>
          <w:rFonts w:ascii="Open Sans" w:eastAsia="Calibri" w:hAnsi="Open Sans" w:cs="Open Sans"/>
          <w:sz w:val="20"/>
          <w:szCs w:val="20"/>
        </w:rPr>
        <w:t xml:space="preserve">AMADEUS en las cuentas anuales consolidadas no hay referencia a la conciliación entre el resultado contable y la base imponible, sin embargo Amadeus dedica un apartado a explicar esta conciliación en las Cuentas Anuales del ejercicio 2015 de la matriz Amadeus IT Holding SA. De acuerdo con la información facilitada por la empresa la conciliación arroja una </w:t>
      </w:r>
      <w:r w:rsidRPr="00E90732">
        <w:rPr>
          <w:rFonts w:ascii="Open Sans" w:eastAsia="Calibri" w:hAnsi="Open Sans" w:cs="Open Sans"/>
          <w:sz w:val="20"/>
          <w:szCs w:val="20"/>
        </w:rPr>
        <w:t>base imponible negativa por importe de 11.495 miles de euros provocada por los dividendos recibidos del grupo fiscal por importe de 363.137 miles de euros</w:t>
      </w:r>
    </w:p>
    <w:p w14:paraId="5FCA4E1E" w14:textId="77777777" w:rsidR="00F7530E" w:rsidRDefault="00F7530E" w:rsidP="00F7530E">
      <w:pPr>
        <w:jc w:val="both"/>
        <w:rPr>
          <w:rFonts w:ascii="Open Sans" w:hAnsi="Open Sans" w:cs="Arial"/>
          <w:sz w:val="20"/>
          <w:szCs w:val="20"/>
        </w:rPr>
      </w:pPr>
    </w:p>
    <w:p w14:paraId="6F23BCF9" w14:textId="77777777" w:rsidR="00F7530E" w:rsidRPr="00E90732" w:rsidRDefault="00F7530E" w:rsidP="00E90732">
      <w:pPr>
        <w:autoSpaceDE w:val="0"/>
        <w:autoSpaceDN w:val="0"/>
        <w:adjustRightInd w:val="0"/>
        <w:jc w:val="both"/>
        <w:rPr>
          <w:rFonts w:ascii="Open Sans" w:eastAsia="Calibri" w:hAnsi="Open Sans" w:cs="Calibri"/>
          <w:sz w:val="20"/>
          <w:szCs w:val="20"/>
        </w:rPr>
      </w:pPr>
      <w:r w:rsidRPr="00C67337">
        <w:rPr>
          <w:rFonts w:ascii="Open Sans" w:eastAsia="Calibri" w:hAnsi="Open Sans" w:cs="Open Sans"/>
          <w:sz w:val="20"/>
          <w:szCs w:val="20"/>
        </w:rPr>
        <w:t xml:space="preserve">En relación al impuesto de sociedades, en la cuentas anuales </w:t>
      </w:r>
      <w:r w:rsidRPr="00C67337">
        <w:rPr>
          <w:rFonts w:ascii="Open Sans" w:eastAsia="Calibri" w:hAnsi="Open Sans" w:cs="Calibri"/>
          <w:sz w:val="20"/>
          <w:szCs w:val="20"/>
        </w:rPr>
        <w:t xml:space="preserve">CAIXABANK  afirma que “los ingresos y gastos de tributan, prácticamente en su totalidad, al tipo general del 30% en el Impuesto sobre Sociedades”. </w:t>
      </w:r>
      <w:r w:rsidRPr="00E90732">
        <w:rPr>
          <w:rFonts w:ascii="Open Sans" w:eastAsia="Calibri" w:hAnsi="Open Sans" w:cs="Calibri"/>
          <w:sz w:val="20"/>
          <w:szCs w:val="20"/>
        </w:rPr>
        <w:t>Pese a que Caixabank obtiene un resultado positivo de 638.104 miles de euros, a la entidad le sale a devolver un total de 180.758 miles de euros lo que equivale a una cuota efectiva negativa  del 28%.</w:t>
      </w:r>
      <w:r w:rsidRPr="00C67337">
        <w:rPr>
          <w:rFonts w:ascii="Open Sans" w:eastAsia="Calibri" w:hAnsi="Open Sans" w:cs="Calibri"/>
          <w:sz w:val="20"/>
          <w:szCs w:val="20"/>
        </w:rPr>
        <w:t xml:space="preserve"> El resultado antes de impuestos lo ajusta por rendimientos de instrumentos de capital, resultado de entidades valoradas por el método de participación y diferencia negativa de consolidación. Sería deseable que la entidad presentase información más detallada de cada una de estas partidas. No habla de créditos fiscales. </w:t>
      </w:r>
      <w:r w:rsidRPr="00E90732">
        <w:rPr>
          <w:rFonts w:ascii="Open Sans" w:eastAsia="Calibri" w:hAnsi="Open Sans" w:cs="Calibri"/>
          <w:sz w:val="20"/>
          <w:szCs w:val="20"/>
        </w:rPr>
        <w:t>Menciona que tiene activos fiscales diferidos en concepto de bases imponibles negativas por importe de 1.777.044 miles de euros, sin especificar más información.</w:t>
      </w:r>
    </w:p>
    <w:p w14:paraId="491581C3" w14:textId="77777777" w:rsidR="00F7530E" w:rsidRPr="00C67337" w:rsidRDefault="00F7530E" w:rsidP="00E90732">
      <w:pPr>
        <w:autoSpaceDE w:val="0"/>
        <w:autoSpaceDN w:val="0"/>
        <w:adjustRightInd w:val="0"/>
        <w:jc w:val="both"/>
        <w:rPr>
          <w:rFonts w:ascii="Open Sans" w:eastAsia="Calibri" w:hAnsi="Open Sans" w:cs="Calibri"/>
          <w:sz w:val="20"/>
          <w:szCs w:val="20"/>
        </w:rPr>
      </w:pPr>
    </w:p>
    <w:p w14:paraId="591FDF7E" w14:textId="0B71D538" w:rsidR="00F7530E" w:rsidRPr="00E90732" w:rsidRDefault="00E90732" w:rsidP="00E90732">
      <w:pPr>
        <w:jc w:val="both"/>
        <w:rPr>
          <w:rFonts w:ascii="Open Sans" w:hAnsi="Open Sans" w:cs="Open Sans"/>
          <w:bCs/>
          <w:sz w:val="20"/>
          <w:szCs w:val="20"/>
        </w:rPr>
      </w:pPr>
      <w:r>
        <w:rPr>
          <w:rFonts w:ascii="Open Sans" w:eastAsia="Calibri" w:hAnsi="Open Sans" w:cs="Open Sans"/>
          <w:sz w:val="20"/>
          <w:szCs w:val="20"/>
        </w:rPr>
        <w:t xml:space="preserve">BANCO </w:t>
      </w:r>
      <w:r w:rsidR="00F7530E">
        <w:rPr>
          <w:rFonts w:ascii="Open Sans" w:eastAsia="Calibri" w:hAnsi="Open Sans" w:cs="Open Sans"/>
          <w:sz w:val="20"/>
          <w:szCs w:val="20"/>
        </w:rPr>
        <w:t xml:space="preserve">SANTANDER, </w:t>
      </w:r>
      <w:r w:rsidR="00F7530E">
        <w:rPr>
          <w:rFonts w:ascii="Open Sans" w:hAnsi="Open Sans" w:cs="Open Sans"/>
          <w:bCs/>
          <w:sz w:val="20"/>
          <w:szCs w:val="20"/>
        </w:rPr>
        <w:t>presenta deducciones y los créditos fiscales por bases imponibles negativas se presentan de forma agregada por países principales</w:t>
      </w:r>
      <w:r w:rsidR="00F7530E" w:rsidRPr="00E90732">
        <w:rPr>
          <w:rFonts w:ascii="Open Sans" w:hAnsi="Open Sans" w:cs="Open Sans"/>
          <w:bCs/>
          <w:sz w:val="20"/>
          <w:szCs w:val="20"/>
        </w:rPr>
        <w:t xml:space="preserve">. Para el conjunto del grupo ascienden a 4,808M€ de los cuales en España ascienden a 3.227M€, en Brasil a 232M€ y en EEUU a 1.078M€. </w:t>
      </w:r>
    </w:p>
    <w:p w14:paraId="36CDD3D1" w14:textId="77777777" w:rsidR="00F7530E" w:rsidRDefault="00F7530E" w:rsidP="00E90732">
      <w:pPr>
        <w:jc w:val="both"/>
        <w:rPr>
          <w:rFonts w:ascii="Open Sans" w:hAnsi="Open Sans" w:cs="Open Sans"/>
          <w:bCs/>
          <w:sz w:val="20"/>
          <w:szCs w:val="20"/>
        </w:rPr>
      </w:pPr>
    </w:p>
    <w:p w14:paraId="1143DA1C" w14:textId="77777777" w:rsidR="00F7530E" w:rsidRPr="00E90732" w:rsidRDefault="00F7530E" w:rsidP="00E90732">
      <w:pPr>
        <w:jc w:val="both"/>
        <w:rPr>
          <w:rFonts w:ascii="Open Sans" w:hAnsi="Open Sans" w:cs="Arial"/>
          <w:color w:val="000000"/>
          <w:sz w:val="20"/>
          <w:szCs w:val="20"/>
        </w:rPr>
      </w:pPr>
      <w:r>
        <w:rPr>
          <w:rFonts w:ascii="Open Sans" w:hAnsi="Open Sans" w:cs="Open Sans"/>
          <w:bCs/>
          <w:sz w:val="20"/>
          <w:szCs w:val="20"/>
        </w:rPr>
        <w:t xml:space="preserve">En TELEFÓNICA </w:t>
      </w:r>
      <w:r>
        <w:rPr>
          <w:rFonts w:ascii="Open Sans" w:hAnsi="Open Sans" w:cs="Arial"/>
          <w:color w:val="000000"/>
          <w:sz w:val="20"/>
          <w:szCs w:val="20"/>
        </w:rPr>
        <w:t>l</w:t>
      </w:r>
      <w:r w:rsidRPr="00B83DE6">
        <w:rPr>
          <w:rFonts w:ascii="Open Sans" w:hAnsi="Open Sans" w:cs="Arial"/>
          <w:color w:val="000000"/>
          <w:sz w:val="20"/>
          <w:szCs w:val="20"/>
        </w:rPr>
        <w:t xml:space="preserve">as </w:t>
      </w:r>
      <w:r w:rsidRPr="00E90732">
        <w:rPr>
          <w:rFonts w:ascii="Open Sans" w:hAnsi="Open Sans" w:cs="Arial"/>
          <w:color w:val="000000"/>
          <w:sz w:val="20"/>
          <w:szCs w:val="20"/>
        </w:rPr>
        <w:t xml:space="preserve">bases imponibles negativas que se encuentran </w:t>
      </w:r>
      <w:r w:rsidRPr="00E90732">
        <w:rPr>
          <w:rFonts w:ascii="Open Sans" w:hAnsi="Open Sans" w:cs="Arial"/>
          <w:i/>
          <w:color w:val="000000"/>
          <w:sz w:val="20"/>
          <w:szCs w:val="20"/>
        </w:rPr>
        <w:t>pendientes de aplicar</w:t>
      </w:r>
      <w:r w:rsidRPr="00E90732">
        <w:rPr>
          <w:rFonts w:ascii="Open Sans" w:hAnsi="Open Sans" w:cs="Arial"/>
          <w:color w:val="000000"/>
          <w:sz w:val="20"/>
          <w:szCs w:val="20"/>
        </w:rPr>
        <w:t xml:space="preserve"> por el Grupo Fiscal en España al 31 de diciembre de 2015 ascienden a 8.943 millones de euros. En el cuadro de conciliación entre resultado contable y el gasto por impuesto devengado</w:t>
      </w:r>
      <w:r w:rsidRPr="00E90732">
        <w:rPr>
          <w:rStyle w:val="Refdenotaalpie"/>
          <w:rFonts w:ascii="Open Sans" w:hAnsi="Open Sans" w:cs="Arial"/>
          <w:color w:val="000000"/>
          <w:sz w:val="20"/>
          <w:szCs w:val="20"/>
        </w:rPr>
        <w:footnoteReference w:id="86"/>
      </w:r>
      <w:r w:rsidRPr="00E90732">
        <w:rPr>
          <w:rFonts w:ascii="Open Sans" w:hAnsi="Open Sans" w:cs="Arial"/>
          <w:color w:val="000000"/>
          <w:sz w:val="20"/>
          <w:szCs w:val="20"/>
        </w:rPr>
        <w:t xml:space="preserve"> se expresa que la cifra de  </w:t>
      </w:r>
      <w:r w:rsidRPr="00E90732">
        <w:rPr>
          <w:rFonts w:ascii="Open Sans" w:hAnsi="Open Sans" w:cs="Arial"/>
          <w:i/>
          <w:color w:val="000000"/>
          <w:sz w:val="20"/>
          <w:szCs w:val="20"/>
        </w:rPr>
        <w:t>Utilización/Activación</w:t>
      </w:r>
      <w:r w:rsidRPr="00E90732">
        <w:rPr>
          <w:rFonts w:ascii="Open Sans" w:hAnsi="Open Sans" w:cs="Arial"/>
          <w:color w:val="000000"/>
          <w:sz w:val="20"/>
          <w:szCs w:val="20"/>
        </w:rPr>
        <w:t xml:space="preserve"> de bases negativas en el ejercicio 2015 es de 1.200 millones de euros</w:t>
      </w:r>
    </w:p>
    <w:p w14:paraId="73132E33" w14:textId="77777777" w:rsidR="00F7530E" w:rsidRPr="00B83DE6" w:rsidRDefault="00F7530E" w:rsidP="00E90732">
      <w:pPr>
        <w:jc w:val="both"/>
        <w:rPr>
          <w:rFonts w:ascii="Open Sans" w:hAnsi="Open Sans" w:cs="Arial"/>
          <w:color w:val="000000"/>
          <w:sz w:val="20"/>
          <w:szCs w:val="20"/>
        </w:rPr>
      </w:pPr>
    </w:p>
    <w:p w14:paraId="41E0460D" w14:textId="5658334E" w:rsidR="00F7530E" w:rsidRPr="00B83DE6" w:rsidRDefault="00F7530E" w:rsidP="00E90732">
      <w:pPr>
        <w:jc w:val="both"/>
        <w:rPr>
          <w:rFonts w:ascii="Open Sans" w:hAnsi="Open Sans" w:cs="Arial"/>
          <w:color w:val="000000"/>
          <w:sz w:val="20"/>
          <w:szCs w:val="20"/>
        </w:rPr>
      </w:pPr>
      <w:r w:rsidRPr="002473EA">
        <w:rPr>
          <w:rFonts w:ascii="Open Sans" w:hAnsi="Open Sans" w:cs="Open Sans"/>
          <w:bCs/>
          <w:sz w:val="20"/>
          <w:szCs w:val="20"/>
        </w:rPr>
        <w:t>En SACYR</w:t>
      </w:r>
      <w:r>
        <w:t xml:space="preserve"> l</w:t>
      </w:r>
      <w:r w:rsidRPr="00B83DE6">
        <w:rPr>
          <w:rFonts w:ascii="Open Sans" w:hAnsi="Open Sans" w:cs="Arial"/>
          <w:color w:val="000000"/>
          <w:sz w:val="20"/>
          <w:szCs w:val="20"/>
        </w:rPr>
        <w:t xml:space="preserve">as bases imponibles negativas que se encuentran </w:t>
      </w:r>
      <w:r w:rsidRPr="00B83DE6">
        <w:rPr>
          <w:rFonts w:ascii="Open Sans" w:hAnsi="Open Sans" w:cs="Arial"/>
          <w:i/>
          <w:color w:val="000000"/>
          <w:sz w:val="20"/>
          <w:szCs w:val="20"/>
        </w:rPr>
        <w:t>pendientes de aplicar</w:t>
      </w:r>
      <w:r w:rsidRPr="00B83DE6">
        <w:rPr>
          <w:rFonts w:ascii="Open Sans" w:hAnsi="Open Sans" w:cs="Arial"/>
          <w:color w:val="000000"/>
          <w:sz w:val="20"/>
          <w:szCs w:val="20"/>
        </w:rPr>
        <w:t xml:space="preserve"> por el Grupo Fiscal en España al 31 de diciembre de 2015 </w:t>
      </w:r>
      <w:r w:rsidRPr="00E90732">
        <w:rPr>
          <w:rFonts w:ascii="Open Sans" w:hAnsi="Open Sans" w:cs="Arial"/>
          <w:color w:val="000000"/>
          <w:sz w:val="20"/>
          <w:szCs w:val="20"/>
        </w:rPr>
        <w:t>ascienden a 8.943 millones de euros</w:t>
      </w:r>
      <w:r w:rsidR="00E90732">
        <w:rPr>
          <w:rFonts w:ascii="Open Sans" w:hAnsi="Open Sans" w:cs="Arial"/>
          <w:color w:val="000000"/>
          <w:sz w:val="20"/>
          <w:szCs w:val="20"/>
        </w:rPr>
        <w:t>.</w:t>
      </w:r>
    </w:p>
    <w:p w14:paraId="53EC2D60" w14:textId="77777777" w:rsidR="00F7530E" w:rsidRPr="00B83DE6" w:rsidRDefault="00F7530E" w:rsidP="00E90732">
      <w:pPr>
        <w:jc w:val="both"/>
        <w:rPr>
          <w:rFonts w:ascii="Open Sans" w:hAnsi="Open Sans" w:cs="Arial"/>
          <w:bCs/>
          <w:color w:val="76923C" w:themeColor="accent3" w:themeShade="BF"/>
          <w:sz w:val="20"/>
          <w:szCs w:val="20"/>
        </w:rPr>
      </w:pPr>
    </w:p>
    <w:p w14:paraId="26958EBF" w14:textId="77777777" w:rsidR="00F7530E" w:rsidRPr="00716CCC" w:rsidRDefault="00F7530E" w:rsidP="00E90732">
      <w:pPr>
        <w:jc w:val="both"/>
        <w:rPr>
          <w:rFonts w:ascii="Open Sans" w:hAnsi="Open Sans" w:cs="Open Sans"/>
          <w:sz w:val="20"/>
          <w:szCs w:val="20"/>
          <w:u w:val="single"/>
        </w:rPr>
      </w:pPr>
      <w:r w:rsidRPr="00E90732">
        <w:rPr>
          <w:rFonts w:ascii="Open Sans" w:hAnsi="Open Sans" w:cs="Open Sans"/>
          <w:bCs/>
          <w:sz w:val="20"/>
          <w:szCs w:val="20"/>
        </w:rPr>
        <w:t>En BANKIA</w:t>
      </w:r>
      <w:r w:rsidRPr="00E90732">
        <w:rPr>
          <w:rFonts w:ascii="Open Sans" w:hAnsi="Open Sans"/>
          <w:sz w:val="20"/>
          <w:szCs w:val="20"/>
        </w:rPr>
        <w:t xml:space="preserve"> l</w:t>
      </w:r>
      <w:r w:rsidRPr="00E90732">
        <w:rPr>
          <w:rFonts w:ascii="Open Sans" w:hAnsi="Open Sans" w:cs="Open Sans"/>
          <w:sz w:val="20"/>
          <w:szCs w:val="20"/>
        </w:rPr>
        <w:t>a cuantía de la base imponible pendiente de compensación asciende a la cantidad de 10.666.255 y el importe del impuesto diferido deudor contabilizado (crédito fiscal) a la cantidad de 2.249.838.</w:t>
      </w:r>
      <w:r w:rsidRPr="00716CCC">
        <w:rPr>
          <w:rFonts w:ascii="Open Sans" w:hAnsi="Open Sans" w:cs="Open Sans"/>
          <w:sz w:val="20"/>
          <w:szCs w:val="20"/>
          <w:u w:val="single"/>
        </w:rPr>
        <w:t xml:space="preserve"> </w:t>
      </w:r>
      <w:r w:rsidRPr="00BA3F93">
        <w:rPr>
          <w:rFonts w:ascii="Open Sans" w:hAnsi="Open Sans" w:cs="Open Sans"/>
          <w:sz w:val="20"/>
          <w:szCs w:val="20"/>
        </w:rPr>
        <w:t>En relación a las deducciones, créditos fiscales, deducciones  la información, aunque no se presenta desglosada por país, es bastante amplia. En el apartado de deducciones  aporta información  sobre cuantías  pendientes de aplicación o compensación por parte del Banco incluyendo su año de origen, concepto e importe.</w:t>
      </w:r>
      <w:r>
        <w:rPr>
          <w:rFonts w:ascii="Open Sans" w:hAnsi="Open Sans" w:cs="Open Sans"/>
          <w:sz w:val="20"/>
          <w:szCs w:val="20"/>
        </w:rPr>
        <w:t xml:space="preserve"> También informa </w:t>
      </w:r>
      <w:r w:rsidRPr="00BA3F93">
        <w:rPr>
          <w:rFonts w:ascii="Open Sans" w:hAnsi="Open Sans" w:cs="Open Sans"/>
          <w:sz w:val="20"/>
          <w:szCs w:val="20"/>
        </w:rPr>
        <w:t>de las bases imponibles negativas del Banco incluyendo su año de origen.</w:t>
      </w:r>
    </w:p>
    <w:p w14:paraId="52920B2E" w14:textId="77777777" w:rsidR="00F7530E" w:rsidRPr="005A556B" w:rsidRDefault="00F7530E" w:rsidP="00F7530E">
      <w:pPr>
        <w:jc w:val="both"/>
      </w:pPr>
    </w:p>
    <w:p w14:paraId="47C3BCBA" w14:textId="77777777" w:rsidR="00F7530E" w:rsidRDefault="00F7530E" w:rsidP="00F7530E">
      <w:pPr>
        <w:autoSpaceDE w:val="0"/>
        <w:autoSpaceDN w:val="0"/>
        <w:adjustRightInd w:val="0"/>
        <w:jc w:val="both"/>
        <w:rPr>
          <w:rFonts w:ascii="Open Sans" w:hAnsi="Open Sans" w:cs="Open Sans"/>
          <w:sz w:val="20"/>
          <w:szCs w:val="20"/>
        </w:rPr>
      </w:pPr>
      <w:r w:rsidRPr="00E90732">
        <w:rPr>
          <w:rFonts w:ascii="Open Sans" w:hAnsi="Open Sans" w:cs="Arial"/>
          <w:b/>
          <w:sz w:val="20"/>
          <w:szCs w:val="20"/>
        </w:rPr>
        <w:t>Otro aspecto identificado es la disparidad en cuanto a la referencia de los términos utilizados por las empresas: En unas se habla de deducciones, en otros de créditos fiscales en otras de bases imponibles negativas para referirse a los mismos conceptos</w:t>
      </w:r>
      <w:r>
        <w:rPr>
          <w:rFonts w:ascii="Open Sans" w:hAnsi="Open Sans" w:cs="Arial"/>
          <w:sz w:val="20"/>
          <w:szCs w:val="20"/>
        </w:rPr>
        <w:t xml:space="preserve">. Ejemplos de empresas que informan con mayor detalle de las deducciones y créditos fiscales serían AENA y BANKIA. Bankia </w:t>
      </w:r>
      <w:r>
        <w:rPr>
          <w:rFonts w:ascii="Open Sans" w:hAnsi="Open Sans" w:cs="Open Sans"/>
          <w:sz w:val="20"/>
          <w:szCs w:val="20"/>
        </w:rPr>
        <w:t>en relación a las deducciones, créditos fiscales, deducciones  la información, aunque no se presenta desglosada por país, es bastante amplia. En el apartado de deducciones  aporta información  sobre cuantías  pendientes de aplicación o compensación por parte del Banco incluyendo su año de origen, concepto e importe. También informa de las bases imponibles negativas del Banco incluyendo su año de origen. AENA informa claramente de las deducciones por conceptos: Canarias por inversión en activos fijos, doble imposición internacional y recuperación del 30% de no deducibilidad. Informa sobre el año generado, año de vencimiento, importe reconocido, registrado y aplicado en 2015.</w:t>
      </w:r>
    </w:p>
    <w:p w14:paraId="19CD13D4" w14:textId="77777777" w:rsidR="000200E0" w:rsidRDefault="000200E0">
      <w:pPr>
        <w:rPr>
          <w:rFonts w:ascii="Open Sans" w:hAnsi="Open Sans" w:cs="Arial"/>
          <w:b/>
          <w:sz w:val="20"/>
          <w:szCs w:val="20"/>
        </w:rPr>
      </w:pPr>
    </w:p>
    <w:p w14:paraId="050312DF" w14:textId="3DB8BDF4" w:rsidR="00F7530E" w:rsidRDefault="00F7530E">
      <w:pPr>
        <w:rPr>
          <w:rFonts w:ascii="Open Sans" w:hAnsi="Open Sans" w:cs="Open Sans"/>
          <w:sz w:val="20"/>
          <w:szCs w:val="20"/>
        </w:rPr>
      </w:pPr>
      <w:r>
        <w:rPr>
          <w:rFonts w:ascii="Open Sans" w:hAnsi="Open Sans" w:cs="Open Sans"/>
          <w:sz w:val="20"/>
          <w:szCs w:val="20"/>
        </w:rPr>
        <w:br w:type="page"/>
      </w:r>
    </w:p>
    <w:p w14:paraId="735C16B3" w14:textId="77777777" w:rsidR="000200E0" w:rsidRDefault="000200E0" w:rsidP="000200E0">
      <w:pPr>
        <w:autoSpaceDE w:val="0"/>
        <w:autoSpaceDN w:val="0"/>
        <w:adjustRightInd w:val="0"/>
        <w:jc w:val="both"/>
        <w:rPr>
          <w:rFonts w:ascii="Open Sans" w:hAnsi="Open Sans" w:cs="Open Sans"/>
          <w:sz w:val="20"/>
          <w:szCs w:val="20"/>
        </w:rPr>
      </w:pPr>
    </w:p>
    <w:p w14:paraId="61F7ABC8" w14:textId="71BBD44E" w:rsidR="000200E0" w:rsidRPr="00F520B8" w:rsidRDefault="00841317" w:rsidP="000200E0">
      <w:pPr>
        <w:pStyle w:val="Titulo3-informefinal"/>
      </w:pPr>
      <w:bookmarkStart w:id="39" w:name="_Toc354061518"/>
      <w:r>
        <w:t>4</w:t>
      </w:r>
      <w:r w:rsidR="000200E0">
        <w:t>.3</w:t>
      </w:r>
      <w:r w:rsidR="000200E0" w:rsidRPr="00F520B8">
        <w:t xml:space="preserve">. </w:t>
      </w:r>
      <w:r w:rsidR="000835E3">
        <w:t>Paraísos y nichos fiscales</w:t>
      </w:r>
      <w:bookmarkEnd w:id="39"/>
    </w:p>
    <w:p w14:paraId="75860F64" w14:textId="77777777" w:rsidR="000200E0" w:rsidRDefault="000200E0" w:rsidP="000200E0">
      <w:pPr>
        <w:rPr>
          <w:rFonts w:ascii="Open Sans" w:hAnsi="Open Sans" w:cs="Arial"/>
          <w:b/>
          <w:sz w:val="20"/>
          <w:szCs w:val="20"/>
        </w:rPr>
      </w:pPr>
    </w:p>
    <w:tbl>
      <w:tblPr>
        <w:tblW w:w="8505" w:type="dxa"/>
        <w:tblInd w:w="70" w:type="dxa"/>
        <w:tblLayout w:type="fixed"/>
        <w:tblCellMar>
          <w:left w:w="70" w:type="dxa"/>
          <w:right w:w="70" w:type="dxa"/>
        </w:tblCellMar>
        <w:tblLook w:val="04A0" w:firstRow="1" w:lastRow="0" w:firstColumn="1" w:lastColumn="0" w:noHBand="0" w:noVBand="1"/>
      </w:tblPr>
      <w:tblGrid>
        <w:gridCol w:w="756"/>
        <w:gridCol w:w="3780"/>
        <w:gridCol w:w="1276"/>
        <w:gridCol w:w="992"/>
        <w:gridCol w:w="1701"/>
      </w:tblGrid>
      <w:tr w:rsidR="009130AF" w:rsidRPr="0002143E" w14:paraId="02DD20E1" w14:textId="77777777" w:rsidTr="009130AF">
        <w:trPr>
          <w:trHeight w:val="615"/>
        </w:trPr>
        <w:tc>
          <w:tcPr>
            <w:tcW w:w="756" w:type="dxa"/>
            <w:tcBorders>
              <w:top w:val="single" w:sz="8" w:space="0" w:color="auto"/>
              <w:left w:val="single" w:sz="8" w:space="0" w:color="auto"/>
              <w:bottom w:val="single" w:sz="8" w:space="0" w:color="auto"/>
              <w:right w:val="single" w:sz="8" w:space="0" w:color="auto"/>
            </w:tcBorders>
            <w:shd w:val="clear" w:color="000000" w:fill="F2AC3C"/>
            <w:noWrap/>
            <w:vAlign w:val="center"/>
            <w:hideMark/>
          </w:tcPr>
          <w:p w14:paraId="76EEB164"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COD.</w:t>
            </w:r>
          </w:p>
        </w:tc>
        <w:tc>
          <w:tcPr>
            <w:tcW w:w="3780" w:type="dxa"/>
            <w:tcBorders>
              <w:top w:val="single" w:sz="8" w:space="0" w:color="auto"/>
              <w:left w:val="nil"/>
              <w:bottom w:val="single" w:sz="8" w:space="0" w:color="auto"/>
              <w:right w:val="single" w:sz="8" w:space="0" w:color="auto"/>
            </w:tcBorders>
            <w:shd w:val="clear" w:color="000000" w:fill="F2AC3C"/>
            <w:noWrap/>
            <w:vAlign w:val="center"/>
            <w:hideMark/>
          </w:tcPr>
          <w:p w14:paraId="3E183467"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FISCALIDAD</w:t>
            </w:r>
          </w:p>
        </w:tc>
        <w:tc>
          <w:tcPr>
            <w:tcW w:w="1276" w:type="dxa"/>
            <w:tcBorders>
              <w:top w:val="single" w:sz="8" w:space="0" w:color="auto"/>
              <w:left w:val="nil"/>
              <w:bottom w:val="single" w:sz="8" w:space="0" w:color="auto"/>
              <w:right w:val="single" w:sz="8" w:space="0" w:color="auto"/>
            </w:tcBorders>
            <w:shd w:val="clear" w:color="000000" w:fill="F2AC3C"/>
            <w:vAlign w:val="center"/>
            <w:hideMark/>
          </w:tcPr>
          <w:p w14:paraId="419F1CA0"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NÚMERO EMPRESAS</w:t>
            </w:r>
          </w:p>
        </w:tc>
        <w:tc>
          <w:tcPr>
            <w:tcW w:w="992" w:type="dxa"/>
            <w:tcBorders>
              <w:top w:val="single" w:sz="8" w:space="0" w:color="auto"/>
              <w:left w:val="nil"/>
              <w:bottom w:val="single" w:sz="8" w:space="0" w:color="auto"/>
              <w:right w:val="single" w:sz="8" w:space="0" w:color="auto"/>
            </w:tcBorders>
            <w:shd w:val="clear" w:color="000000" w:fill="F2AC3C"/>
            <w:vAlign w:val="center"/>
            <w:hideMark/>
          </w:tcPr>
          <w:p w14:paraId="1019EB5D"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w:t>
            </w:r>
          </w:p>
        </w:tc>
        <w:tc>
          <w:tcPr>
            <w:tcW w:w="1701" w:type="dxa"/>
            <w:tcBorders>
              <w:top w:val="single" w:sz="8" w:space="0" w:color="auto"/>
              <w:left w:val="nil"/>
              <w:bottom w:val="single" w:sz="8" w:space="0" w:color="auto"/>
              <w:right w:val="single" w:sz="8" w:space="0" w:color="auto"/>
            </w:tcBorders>
            <w:shd w:val="clear" w:color="000000" w:fill="F2AC3C"/>
            <w:vAlign w:val="center"/>
          </w:tcPr>
          <w:p w14:paraId="4D66FBF7"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VALORACIÓN</w:t>
            </w:r>
          </w:p>
        </w:tc>
      </w:tr>
      <w:tr w:rsidR="00BF0214" w:rsidRPr="0002143E" w14:paraId="3041CAE4" w14:textId="77777777" w:rsidTr="00BF0214">
        <w:trPr>
          <w:trHeight w:val="888"/>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78430BA9" w14:textId="1638F303"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P.N.1</w:t>
            </w:r>
          </w:p>
        </w:tc>
        <w:tc>
          <w:tcPr>
            <w:tcW w:w="3780" w:type="dxa"/>
            <w:tcBorders>
              <w:top w:val="nil"/>
              <w:left w:val="nil"/>
              <w:bottom w:val="single" w:sz="8" w:space="0" w:color="auto"/>
              <w:right w:val="single" w:sz="8" w:space="0" w:color="auto"/>
            </w:tcBorders>
            <w:shd w:val="clear" w:color="000000" w:fill="FFFFFF"/>
            <w:vAlign w:val="center"/>
            <w:hideMark/>
          </w:tcPr>
          <w:p w14:paraId="3F234DE1" w14:textId="2DE1C2E4" w:rsidR="00BF0214" w:rsidRPr="009130AF"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Posicionamiento respecto a los paraísos/nichos fiscales</w:t>
            </w:r>
          </w:p>
        </w:tc>
        <w:tc>
          <w:tcPr>
            <w:tcW w:w="1276" w:type="dxa"/>
            <w:tcBorders>
              <w:top w:val="nil"/>
              <w:left w:val="nil"/>
              <w:bottom w:val="single" w:sz="8" w:space="0" w:color="auto"/>
              <w:right w:val="single" w:sz="8" w:space="0" w:color="auto"/>
            </w:tcBorders>
            <w:shd w:val="clear" w:color="000000" w:fill="FFFFFF"/>
            <w:vAlign w:val="center"/>
            <w:hideMark/>
          </w:tcPr>
          <w:p w14:paraId="486F887B" w14:textId="7BFA69EB"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15</w:t>
            </w:r>
          </w:p>
        </w:tc>
        <w:tc>
          <w:tcPr>
            <w:tcW w:w="992" w:type="dxa"/>
            <w:tcBorders>
              <w:top w:val="nil"/>
              <w:left w:val="nil"/>
              <w:bottom w:val="single" w:sz="8" w:space="0" w:color="auto"/>
              <w:right w:val="single" w:sz="8" w:space="0" w:color="auto"/>
            </w:tcBorders>
            <w:shd w:val="clear" w:color="000000" w:fill="FFFFFF"/>
            <w:vAlign w:val="center"/>
            <w:hideMark/>
          </w:tcPr>
          <w:p w14:paraId="79D3A50E" w14:textId="33C3F033"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43%</w:t>
            </w:r>
          </w:p>
        </w:tc>
        <w:tc>
          <w:tcPr>
            <w:tcW w:w="1701" w:type="dxa"/>
            <w:tcBorders>
              <w:top w:val="nil"/>
              <w:left w:val="nil"/>
              <w:bottom w:val="single" w:sz="8" w:space="0" w:color="auto"/>
              <w:right w:val="single" w:sz="8" w:space="0" w:color="auto"/>
            </w:tcBorders>
            <w:shd w:val="clear" w:color="000000" w:fill="FFFFFF"/>
            <w:vAlign w:val="center"/>
          </w:tcPr>
          <w:p w14:paraId="47700A23" w14:textId="57F20D35"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0,74</w:t>
            </w:r>
          </w:p>
        </w:tc>
      </w:tr>
      <w:tr w:rsidR="00BF0214" w:rsidRPr="0002143E" w14:paraId="2D4341C9" w14:textId="77777777" w:rsidTr="00BF0214">
        <w:trPr>
          <w:trHeight w:val="830"/>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67114F10" w14:textId="2DC01983"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P.N.2</w:t>
            </w:r>
          </w:p>
        </w:tc>
        <w:tc>
          <w:tcPr>
            <w:tcW w:w="3780" w:type="dxa"/>
            <w:tcBorders>
              <w:top w:val="nil"/>
              <w:left w:val="nil"/>
              <w:bottom w:val="single" w:sz="8" w:space="0" w:color="auto"/>
              <w:right w:val="single" w:sz="8" w:space="0" w:color="auto"/>
            </w:tcBorders>
            <w:shd w:val="clear" w:color="000000" w:fill="FFFFFF"/>
            <w:vAlign w:val="center"/>
            <w:hideMark/>
          </w:tcPr>
          <w:p w14:paraId="74ED1809" w14:textId="77777777" w:rsidR="00BF0214"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indica los paraísos fisca</w:t>
            </w:r>
            <w:r>
              <w:rPr>
                <w:rFonts w:ascii="Open Sans" w:eastAsia="Times New Roman" w:hAnsi="Open Sans" w:cs="Open Sans"/>
                <w:color w:val="000000"/>
                <w:sz w:val="20"/>
                <w:szCs w:val="20"/>
              </w:rPr>
              <w:t xml:space="preserve">les en los que tiene presencia </w:t>
            </w:r>
          </w:p>
          <w:p w14:paraId="1E130888" w14:textId="46C0179E" w:rsidR="00BF0214" w:rsidRPr="009130AF"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(incluyendo el número de sociedades)</w:t>
            </w:r>
          </w:p>
        </w:tc>
        <w:tc>
          <w:tcPr>
            <w:tcW w:w="1276" w:type="dxa"/>
            <w:tcBorders>
              <w:top w:val="nil"/>
              <w:left w:val="nil"/>
              <w:bottom w:val="single" w:sz="8" w:space="0" w:color="auto"/>
              <w:right w:val="single" w:sz="8" w:space="0" w:color="auto"/>
            </w:tcBorders>
            <w:shd w:val="clear" w:color="000000" w:fill="FFFFFF"/>
            <w:vAlign w:val="center"/>
            <w:hideMark/>
          </w:tcPr>
          <w:p w14:paraId="5B3B1C93" w14:textId="7FD7AB2D"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7</w:t>
            </w:r>
          </w:p>
        </w:tc>
        <w:tc>
          <w:tcPr>
            <w:tcW w:w="992" w:type="dxa"/>
            <w:tcBorders>
              <w:top w:val="nil"/>
              <w:left w:val="nil"/>
              <w:bottom w:val="single" w:sz="8" w:space="0" w:color="auto"/>
              <w:right w:val="single" w:sz="8" w:space="0" w:color="auto"/>
            </w:tcBorders>
            <w:shd w:val="clear" w:color="000000" w:fill="FFFFFF"/>
            <w:vAlign w:val="center"/>
            <w:hideMark/>
          </w:tcPr>
          <w:p w14:paraId="05C42513" w14:textId="0AF1602F"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20%</w:t>
            </w:r>
          </w:p>
        </w:tc>
        <w:tc>
          <w:tcPr>
            <w:tcW w:w="1701" w:type="dxa"/>
            <w:tcBorders>
              <w:top w:val="nil"/>
              <w:left w:val="nil"/>
              <w:bottom w:val="single" w:sz="8" w:space="0" w:color="auto"/>
              <w:right w:val="single" w:sz="8" w:space="0" w:color="auto"/>
            </w:tcBorders>
            <w:shd w:val="clear" w:color="000000" w:fill="FFFFFF"/>
            <w:vAlign w:val="center"/>
          </w:tcPr>
          <w:p w14:paraId="50CEEC12" w14:textId="4C536878"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0,55</w:t>
            </w:r>
          </w:p>
        </w:tc>
      </w:tr>
      <w:tr w:rsidR="00BF0214" w:rsidRPr="0002143E" w14:paraId="09C17DC5" w14:textId="77777777" w:rsidTr="00BF0214">
        <w:trPr>
          <w:trHeight w:val="842"/>
        </w:trPr>
        <w:tc>
          <w:tcPr>
            <w:tcW w:w="756" w:type="dxa"/>
            <w:tcBorders>
              <w:top w:val="nil"/>
              <w:left w:val="single" w:sz="8" w:space="0" w:color="auto"/>
              <w:bottom w:val="single" w:sz="8" w:space="0" w:color="auto"/>
              <w:right w:val="single" w:sz="8" w:space="0" w:color="auto"/>
            </w:tcBorders>
            <w:shd w:val="clear" w:color="auto" w:fill="auto"/>
            <w:vAlign w:val="center"/>
          </w:tcPr>
          <w:p w14:paraId="3DBB0071" w14:textId="4630C953"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P.N.3</w:t>
            </w:r>
          </w:p>
        </w:tc>
        <w:tc>
          <w:tcPr>
            <w:tcW w:w="3780" w:type="dxa"/>
            <w:tcBorders>
              <w:top w:val="nil"/>
              <w:left w:val="nil"/>
              <w:bottom w:val="single" w:sz="8" w:space="0" w:color="auto"/>
              <w:right w:val="single" w:sz="8" w:space="0" w:color="auto"/>
            </w:tcBorders>
            <w:shd w:val="clear" w:color="000000" w:fill="FFFFFF"/>
            <w:vAlign w:val="center"/>
          </w:tcPr>
          <w:p w14:paraId="2442C3B1" w14:textId="53E86001" w:rsidR="00BF0214" w:rsidRDefault="00BF0214" w:rsidP="00BF0214">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 xml:space="preserve">La empresa indica los </w:t>
            </w:r>
            <w:r>
              <w:rPr>
                <w:rFonts w:ascii="Open Sans" w:eastAsia="Times New Roman" w:hAnsi="Open Sans" w:cs="Open Sans"/>
                <w:color w:val="000000"/>
                <w:sz w:val="20"/>
                <w:szCs w:val="20"/>
              </w:rPr>
              <w:t>nichos</w:t>
            </w:r>
            <w:r w:rsidRPr="009130AF">
              <w:rPr>
                <w:rFonts w:ascii="Open Sans" w:eastAsia="Times New Roman" w:hAnsi="Open Sans" w:cs="Open Sans"/>
                <w:color w:val="000000"/>
                <w:sz w:val="20"/>
                <w:szCs w:val="20"/>
              </w:rPr>
              <w:t xml:space="preserve"> fisca</w:t>
            </w:r>
            <w:r>
              <w:rPr>
                <w:rFonts w:ascii="Open Sans" w:eastAsia="Times New Roman" w:hAnsi="Open Sans" w:cs="Open Sans"/>
                <w:color w:val="000000"/>
                <w:sz w:val="20"/>
                <w:szCs w:val="20"/>
              </w:rPr>
              <w:t xml:space="preserve">les en los que tiene presencia </w:t>
            </w:r>
          </w:p>
          <w:p w14:paraId="4A0CB8A1" w14:textId="305A12E0" w:rsidR="00BF0214" w:rsidRPr="009130AF" w:rsidRDefault="00BF0214" w:rsidP="00BF0214">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(incluyendo el número de sociedades)</w:t>
            </w:r>
          </w:p>
        </w:tc>
        <w:tc>
          <w:tcPr>
            <w:tcW w:w="1276" w:type="dxa"/>
            <w:tcBorders>
              <w:top w:val="nil"/>
              <w:left w:val="nil"/>
              <w:bottom w:val="single" w:sz="8" w:space="0" w:color="auto"/>
              <w:right w:val="single" w:sz="8" w:space="0" w:color="auto"/>
            </w:tcBorders>
            <w:shd w:val="clear" w:color="000000" w:fill="FFFFFF"/>
            <w:vAlign w:val="center"/>
          </w:tcPr>
          <w:p w14:paraId="6513E090" w14:textId="39CE666D" w:rsidR="00BF0214" w:rsidRPr="00BF0214" w:rsidRDefault="00FC1D38" w:rsidP="00BF0214">
            <w:pPr>
              <w:jc w:val="center"/>
              <w:rPr>
                <w:rFonts w:ascii="Open Sans" w:hAnsi="Open Sans" w:cs="Open Sans"/>
                <w:b/>
                <w:bCs/>
                <w:color w:val="000000"/>
                <w:sz w:val="20"/>
                <w:szCs w:val="20"/>
              </w:rPr>
            </w:pPr>
            <w:r>
              <w:rPr>
                <w:rFonts w:ascii="Open Sans" w:hAnsi="Open Sans" w:cs="Open Sans"/>
                <w:b/>
                <w:bCs/>
                <w:color w:val="000000"/>
                <w:sz w:val="20"/>
                <w:szCs w:val="20"/>
              </w:rPr>
              <w:t>3</w:t>
            </w:r>
          </w:p>
        </w:tc>
        <w:tc>
          <w:tcPr>
            <w:tcW w:w="992" w:type="dxa"/>
            <w:tcBorders>
              <w:top w:val="nil"/>
              <w:left w:val="nil"/>
              <w:bottom w:val="single" w:sz="8" w:space="0" w:color="auto"/>
              <w:right w:val="single" w:sz="8" w:space="0" w:color="auto"/>
            </w:tcBorders>
            <w:shd w:val="clear" w:color="000000" w:fill="FFFFFF"/>
            <w:vAlign w:val="center"/>
          </w:tcPr>
          <w:p w14:paraId="469AD99E" w14:textId="26EB706C" w:rsidR="00BF0214" w:rsidRPr="00BF0214" w:rsidRDefault="00FC1D38" w:rsidP="00BF0214">
            <w:pPr>
              <w:jc w:val="center"/>
              <w:rPr>
                <w:rFonts w:ascii="Open Sans" w:hAnsi="Open Sans" w:cs="Open Sans"/>
                <w:b/>
                <w:color w:val="000000"/>
                <w:sz w:val="20"/>
                <w:szCs w:val="20"/>
              </w:rPr>
            </w:pPr>
            <w:r>
              <w:rPr>
                <w:rFonts w:ascii="Open Sans" w:hAnsi="Open Sans" w:cs="Open Sans"/>
                <w:b/>
                <w:bCs/>
                <w:color w:val="000000"/>
                <w:sz w:val="20"/>
                <w:szCs w:val="20"/>
              </w:rPr>
              <w:t>9</w:t>
            </w:r>
            <w:r w:rsidR="00BF0214" w:rsidRPr="00BF0214">
              <w:rPr>
                <w:rFonts w:ascii="Open Sans" w:hAnsi="Open Sans" w:cs="Open Sans"/>
                <w:b/>
                <w:bCs/>
                <w:color w:val="000000"/>
                <w:sz w:val="20"/>
                <w:szCs w:val="20"/>
              </w:rPr>
              <w:t>%</w:t>
            </w:r>
          </w:p>
        </w:tc>
        <w:tc>
          <w:tcPr>
            <w:tcW w:w="1701" w:type="dxa"/>
            <w:tcBorders>
              <w:top w:val="nil"/>
              <w:left w:val="nil"/>
              <w:bottom w:val="single" w:sz="8" w:space="0" w:color="auto"/>
              <w:right w:val="single" w:sz="8" w:space="0" w:color="auto"/>
            </w:tcBorders>
            <w:shd w:val="clear" w:color="000000" w:fill="FFFFFF"/>
            <w:vAlign w:val="center"/>
          </w:tcPr>
          <w:p w14:paraId="3D9B4C0E" w14:textId="6AFE52AC"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0,26</w:t>
            </w:r>
          </w:p>
        </w:tc>
      </w:tr>
      <w:tr w:rsidR="00BF0214" w:rsidRPr="0002143E" w14:paraId="5976DC20" w14:textId="77777777" w:rsidTr="00BF0214">
        <w:trPr>
          <w:trHeight w:val="842"/>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083F8E4B" w14:textId="7749DA68"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w:t>
            </w:r>
            <w:r>
              <w:rPr>
                <w:rFonts w:ascii="Open Sans" w:eastAsia="Times New Roman" w:hAnsi="Open Sans" w:cs="Open Sans"/>
                <w:b/>
                <w:bCs/>
                <w:color w:val="000000"/>
                <w:sz w:val="20"/>
                <w:szCs w:val="20"/>
              </w:rPr>
              <w:t>4</w:t>
            </w:r>
          </w:p>
        </w:tc>
        <w:tc>
          <w:tcPr>
            <w:tcW w:w="3780" w:type="dxa"/>
            <w:tcBorders>
              <w:top w:val="nil"/>
              <w:left w:val="nil"/>
              <w:bottom w:val="single" w:sz="8" w:space="0" w:color="auto"/>
              <w:right w:val="single" w:sz="8" w:space="0" w:color="auto"/>
            </w:tcBorders>
            <w:shd w:val="clear" w:color="000000" w:fill="FFFFFF"/>
            <w:vAlign w:val="center"/>
            <w:hideMark/>
          </w:tcPr>
          <w:p w14:paraId="094297A9" w14:textId="44575907" w:rsidR="00BF0214" w:rsidRPr="009130AF"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informa sobre qué actividades lleva a cabo en paraísos/nichos fiscales</w:t>
            </w:r>
          </w:p>
        </w:tc>
        <w:tc>
          <w:tcPr>
            <w:tcW w:w="1276" w:type="dxa"/>
            <w:tcBorders>
              <w:top w:val="nil"/>
              <w:left w:val="nil"/>
              <w:bottom w:val="single" w:sz="8" w:space="0" w:color="auto"/>
              <w:right w:val="single" w:sz="8" w:space="0" w:color="auto"/>
            </w:tcBorders>
            <w:shd w:val="clear" w:color="000000" w:fill="FFFFFF"/>
            <w:vAlign w:val="center"/>
            <w:hideMark/>
          </w:tcPr>
          <w:p w14:paraId="5AC0DBA6" w14:textId="2551AF9A" w:rsidR="00BF0214" w:rsidRPr="00BF0214" w:rsidRDefault="005174C2" w:rsidP="00BF0214">
            <w:pPr>
              <w:jc w:val="center"/>
              <w:rPr>
                <w:rFonts w:ascii="Open Sans" w:hAnsi="Open Sans" w:cs="Open Sans"/>
                <w:b/>
                <w:bCs/>
                <w:color w:val="000000"/>
                <w:sz w:val="20"/>
                <w:szCs w:val="20"/>
              </w:rPr>
            </w:pPr>
            <w:r>
              <w:rPr>
                <w:rFonts w:ascii="Open Sans" w:hAnsi="Open Sans" w:cs="Open Sans"/>
                <w:b/>
                <w:bCs/>
                <w:color w:val="000000"/>
                <w:sz w:val="20"/>
                <w:szCs w:val="20"/>
              </w:rPr>
              <w:t>7</w:t>
            </w:r>
          </w:p>
        </w:tc>
        <w:tc>
          <w:tcPr>
            <w:tcW w:w="992" w:type="dxa"/>
            <w:tcBorders>
              <w:top w:val="nil"/>
              <w:left w:val="nil"/>
              <w:bottom w:val="single" w:sz="8" w:space="0" w:color="auto"/>
              <w:right w:val="single" w:sz="8" w:space="0" w:color="auto"/>
            </w:tcBorders>
            <w:shd w:val="clear" w:color="000000" w:fill="FFFFFF"/>
            <w:vAlign w:val="center"/>
            <w:hideMark/>
          </w:tcPr>
          <w:p w14:paraId="33B7646B" w14:textId="739CABA9" w:rsidR="00BF0214" w:rsidRPr="00BF0214" w:rsidRDefault="00E8623C" w:rsidP="005174C2">
            <w:pPr>
              <w:jc w:val="center"/>
              <w:rPr>
                <w:rFonts w:ascii="Open Sans" w:hAnsi="Open Sans" w:cs="Open Sans"/>
                <w:b/>
                <w:bCs/>
                <w:color w:val="000000"/>
                <w:sz w:val="20"/>
                <w:szCs w:val="20"/>
              </w:rPr>
            </w:pPr>
            <w:r>
              <w:rPr>
                <w:rFonts w:ascii="Open Sans" w:hAnsi="Open Sans" w:cs="Open Sans"/>
                <w:b/>
                <w:bCs/>
                <w:color w:val="000000"/>
                <w:sz w:val="20"/>
                <w:szCs w:val="20"/>
              </w:rPr>
              <w:t>2</w:t>
            </w:r>
            <w:r w:rsidR="005174C2">
              <w:rPr>
                <w:rFonts w:ascii="Open Sans" w:hAnsi="Open Sans" w:cs="Open Sans"/>
                <w:b/>
                <w:bCs/>
                <w:color w:val="000000"/>
                <w:sz w:val="20"/>
                <w:szCs w:val="20"/>
              </w:rPr>
              <w:t>0</w:t>
            </w:r>
            <w:r w:rsidR="00BF0214" w:rsidRPr="00BF0214">
              <w:rPr>
                <w:rFonts w:ascii="Open Sans" w:hAnsi="Open Sans" w:cs="Open Sans"/>
                <w:b/>
                <w:bCs/>
                <w:color w:val="000000"/>
                <w:sz w:val="20"/>
                <w:szCs w:val="20"/>
              </w:rPr>
              <w:t>%</w:t>
            </w:r>
          </w:p>
        </w:tc>
        <w:tc>
          <w:tcPr>
            <w:tcW w:w="1701" w:type="dxa"/>
            <w:tcBorders>
              <w:top w:val="nil"/>
              <w:left w:val="nil"/>
              <w:bottom w:val="single" w:sz="8" w:space="0" w:color="auto"/>
              <w:right w:val="single" w:sz="8" w:space="0" w:color="auto"/>
            </w:tcBorders>
            <w:shd w:val="clear" w:color="000000" w:fill="FFFFFF"/>
            <w:vAlign w:val="center"/>
          </w:tcPr>
          <w:p w14:paraId="1D94330B" w14:textId="467128D1"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0,50</w:t>
            </w:r>
          </w:p>
        </w:tc>
      </w:tr>
      <w:tr w:rsidR="00BF0214" w:rsidRPr="0002143E" w14:paraId="5057C8AE" w14:textId="77777777" w:rsidTr="00BF0214">
        <w:trPr>
          <w:trHeight w:val="714"/>
        </w:trPr>
        <w:tc>
          <w:tcPr>
            <w:tcW w:w="756" w:type="dxa"/>
            <w:tcBorders>
              <w:top w:val="nil"/>
              <w:left w:val="single" w:sz="8" w:space="0" w:color="auto"/>
              <w:bottom w:val="single" w:sz="4" w:space="0" w:color="auto"/>
              <w:right w:val="single" w:sz="8" w:space="0" w:color="auto"/>
            </w:tcBorders>
            <w:shd w:val="clear" w:color="auto" w:fill="auto"/>
            <w:vAlign w:val="center"/>
            <w:hideMark/>
          </w:tcPr>
          <w:p w14:paraId="7BE8C0CA" w14:textId="096B501D"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P.N.5</w:t>
            </w:r>
          </w:p>
        </w:tc>
        <w:tc>
          <w:tcPr>
            <w:tcW w:w="3780" w:type="dxa"/>
            <w:tcBorders>
              <w:top w:val="nil"/>
              <w:left w:val="nil"/>
              <w:bottom w:val="single" w:sz="4" w:space="0" w:color="auto"/>
              <w:right w:val="single" w:sz="8" w:space="0" w:color="auto"/>
            </w:tcBorders>
            <w:shd w:val="clear" w:color="000000" w:fill="FFFFFF"/>
            <w:vAlign w:val="center"/>
            <w:hideMark/>
          </w:tcPr>
          <w:p w14:paraId="2B38F840" w14:textId="109B8DF2" w:rsidR="00BF0214" w:rsidRPr="009130AF"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w:t>
            </w:r>
            <w:r>
              <w:rPr>
                <w:rFonts w:ascii="Open Sans" w:eastAsia="Times New Roman" w:hAnsi="Open Sans" w:cs="Open Sans"/>
                <w:color w:val="000000"/>
                <w:sz w:val="20"/>
                <w:szCs w:val="20"/>
              </w:rPr>
              <w:t>a pu</w:t>
            </w:r>
            <w:r w:rsidRPr="009130AF">
              <w:rPr>
                <w:rFonts w:ascii="Open Sans" w:eastAsia="Times New Roman" w:hAnsi="Open Sans" w:cs="Open Sans"/>
                <w:color w:val="000000"/>
                <w:sz w:val="20"/>
                <w:szCs w:val="20"/>
              </w:rPr>
              <w:t>blica información de los impuestos directos e indirectos pagados en paraísos/nichos fiscales</w:t>
            </w:r>
          </w:p>
        </w:tc>
        <w:tc>
          <w:tcPr>
            <w:tcW w:w="1276" w:type="dxa"/>
            <w:tcBorders>
              <w:top w:val="nil"/>
              <w:left w:val="nil"/>
              <w:bottom w:val="single" w:sz="4" w:space="0" w:color="auto"/>
              <w:right w:val="single" w:sz="8" w:space="0" w:color="auto"/>
            </w:tcBorders>
            <w:shd w:val="clear" w:color="000000" w:fill="FFFFFF"/>
            <w:vAlign w:val="center"/>
            <w:hideMark/>
          </w:tcPr>
          <w:p w14:paraId="43987442" w14:textId="3BA4849B"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1</w:t>
            </w:r>
          </w:p>
        </w:tc>
        <w:tc>
          <w:tcPr>
            <w:tcW w:w="992" w:type="dxa"/>
            <w:tcBorders>
              <w:top w:val="nil"/>
              <w:left w:val="nil"/>
              <w:bottom w:val="single" w:sz="4" w:space="0" w:color="auto"/>
              <w:right w:val="single" w:sz="8" w:space="0" w:color="auto"/>
            </w:tcBorders>
            <w:shd w:val="clear" w:color="000000" w:fill="FFFFFF"/>
            <w:vAlign w:val="center"/>
            <w:hideMark/>
          </w:tcPr>
          <w:p w14:paraId="4AB0ECFB" w14:textId="17AE6C84"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3%</w:t>
            </w:r>
          </w:p>
        </w:tc>
        <w:tc>
          <w:tcPr>
            <w:tcW w:w="1701" w:type="dxa"/>
            <w:tcBorders>
              <w:top w:val="nil"/>
              <w:left w:val="nil"/>
              <w:bottom w:val="single" w:sz="4" w:space="0" w:color="auto"/>
              <w:right w:val="single" w:sz="8" w:space="0" w:color="auto"/>
            </w:tcBorders>
            <w:shd w:val="clear" w:color="000000" w:fill="FFFFFF"/>
            <w:vAlign w:val="center"/>
          </w:tcPr>
          <w:p w14:paraId="00802D55" w14:textId="38FA92B9"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0,09</w:t>
            </w:r>
          </w:p>
        </w:tc>
      </w:tr>
      <w:tr w:rsidR="00BF0214" w:rsidRPr="0002143E" w14:paraId="1AAC9833" w14:textId="77777777" w:rsidTr="00BF0214">
        <w:trPr>
          <w:trHeight w:val="732"/>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52BA9AE5" w14:textId="3E135918"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P.N.6</w:t>
            </w:r>
          </w:p>
        </w:tc>
        <w:tc>
          <w:tcPr>
            <w:tcW w:w="3780" w:type="dxa"/>
            <w:tcBorders>
              <w:top w:val="single" w:sz="4" w:space="0" w:color="auto"/>
              <w:left w:val="single" w:sz="4" w:space="0" w:color="auto"/>
              <w:bottom w:val="single" w:sz="4" w:space="0" w:color="auto"/>
              <w:right w:val="single" w:sz="4" w:space="0" w:color="auto"/>
            </w:tcBorders>
            <w:shd w:val="clear" w:color="000000" w:fill="FFFFFF"/>
            <w:vAlign w:val="center"/>
          </w:tcPr>
          <w:p w14:paraId="5BD526C5" w14:textId="57AFDCA2" w:rsidR="00BF0214" w:rsidRPr="009130AF"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informa sobre el volumen de operaciones (en euros) que lleva a cabo en paraísos/nichos fiscales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1B3D3CC5" w14:textId="238150EF"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175105F2" w14:textId="3C7CEAE1" w:rsidR="00BF0214" w:rsidRPr="00BF0214" w:rsidRDefault="00BF0214" w:rsidP="00BF0214">
            <w:pPr>
              <w:jc w:val="center"/>
              <w:rPr>
                <w:rFonts w:ascii="Open Sans" w:hAnsi="Open Sans" w:cs="Open Sans"/>
                <w:b/>
                <w:color w:val="000000"/>
                <w:sz w:val="20"/>
                <w:szCs w:val="20"/>
              </w:rPr>
            </w:pPr>
            <w:r w:rsidRPr="00BF0214">
              <w:rPr>
                <w:rFonts w:ascii="Open Sans" w:hAnsi="Open Sans" w:cs="Open Sans"/>
                <w:b/>
                <w:bCs/>
                <w:color w:val="000000"/>
                <w:sz w:val="20"/>
                <w:szCs w:val="20"/>
              </w:rPr>
              <w:t>23%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1A5DC71E" w14:textId="32551BD5"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0,38</w:t>
            </w:r>
          </w:p>
        </w:tc>
      </w:tr>
      <w:tr w:rsidR="00BF0214" w:rsidRPr="0002143E" w14:paraId="2A7A49CF" w14:textId="77777777" w:rsidTr="00BF0214">
        <w:trPr>
          <w:trHeight w:val="732"/>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E6DFDEB" w14:textId="7575E36D" w:rsidR="00BF0214" w:rsidRPr="009130AF" w:rsidRDefault="00BF0214"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P.N.7</w:t>
            </w:r>
          </w:p>
        </w:tc>
        <w:tc>
          <w:tcPr>
            <w:tcW w:w="3780" w:type="dxa"/>
            <w:tcBorders>
              <w:top w:val="single" w:sz="4" w:space="0" w:color="auto"/>
              <w:left w:val="single" w:sz="4" w:space="0" w:color="auto"/>
              <w:bottom w:val="single" w:sz="4" w:space="0" w:color="auto"/>
              <w:right w:val="single" w:sz="4" w:space="0" w:color="auto"/>
            </w:tcBorders>
            <w:shd w:val="clear" w:color="000000" w:fill="FFFFFF"/>
            <w:vAlign w:val="center"/>
          </w:tcPr>
          <w:p w14:paraId="24FE198B" w14:textId="77777777" w:rsidR="00BF0214"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informa sobre qué porcentaje representa el número de trabajadores en paraísos/nichos fiscales sobre e</w:t>
            </w:r>
            <w:r>
              <w:rPr>
                <w:rFonts w:ascii="Open Sans" w:eastAsia="Times New Roman" w:hAnsi="Open Sans" w:cs="Open Sans"/>
                <w:color w:val="000000"/>
                <w:sz w:val="20"/>
                <w:szCs w:val="20"/>
              </w:rPr>
              <w:t>l número total de trabajadores</w:t>
            </w:r>
          </w:p>
          <w:p w14:paraId="4CB2E8C0" w14:textId="4E7621DE" w:rsidR="00BF0214" w:rsidRPr="009130AF" w:rsidRDefault="00BF0214"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(en equivalencia a tiempo completo)</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0697F96D" w14:textId="1F606E1F"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1</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0F487EC0" w14:textId="6A0DB359" w:rsidR="00BF0214" w:rsidRPr="00BF0214" w:rsidRDefault="00BF0214" w:rsidP="00BF0214">
            <w:pPr>
              <w:jc w:val="center"/>
              <w:rPr>
                <w:rFonts w:ascii="Open Sans" w:hAnsi="Open Sans" w:cs="Open Sans"/>
                <w:b/>
                <w:color w:val="000000"/>
                <w:sz w:val="20"/>
                <w:szCs w:val="20"/>
              </w:rPr>
            </w:pPr>
            <w:r w:rsidRPr="00BF0214">
              <w:rPr>
                <w:rFonts w:ascii="Open Sans" w:hAnsi="Open Sans" w:cs="Open Sans"/>
                <w:b/>
                <w:bCs/>
                <w:color w:val="000000"/>
                <w:sz w:val="20"/>
                <w:szCs w:val="20"/>
              </w:rPr>
              <w:t>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6B334F68" w14:textId="46B3583E" w:rsidR="00BF0214" w:rsidRPr="00BF0214" w:rsidRDefault="00BF0214" w:rsidP="00BF0214">
            <w:pPr>
              <w:jc w:val="center"/>
              <w:rPr>
                <w:rFonts w:ascii="Open Sans" w:hAnsi="Open Sans" w:cs="Open Sans"/>
                <w:b/>
                <w:bCs/>
                <w:color w:val="000000"/>
                <w:sz w:val="20"/>
                <w:szCs w:val="20"/>
              </w:rPr>
            </w:pPr>
            <w:r w:rsidRPr="00BF0214">
              <w:rPr>
                <w:rFonts w:ascii="Open Sans" w:hAnsi="Open Sans" w:cs="Open Sans"/>
                <w:b/>
                <w:bCs/>
                <w:color w:val="000000"/>
                <w:sz w:val="20"/>
                <w:szCs w:val="20"/>
              </w:rPr>
              <w:t>0,12</w:t>
            </w:r>
          </w:p>
        </w:tc>
      </w:tr>
    </w:tbl>
    <w:p w14:paraId="33095335" w14:textId="43269F72" w:rsidR="000200E0" w:rsidRDefault="000200E0" w:rsidP="000200E0">
      <w:pPr>
        <w:rPr>
          <w:rFonts w:ascii="Open Sans" w:hAnsi="Open Sans" w:cs="Arial"/>
          <w:b/>
          <w:sz w:val="20"/>
          <w:szCs w:val="20"/>
        </w:rPr>
      </w:pPr>
    </w:p>
    <w:p w14:paraId="39071609" w14:textId="77777777" w:rsidR="000200E0" w:rsidRDefault="000200E0">
      <w:pPr>
        <w:rPr>
          <w:rFonts w:ascii="Open Sans" w:hAnsi="Open Sans" w:cs="Arial"/>
          <w:b/>
          <w:sz w:val="20"/>
          <w:szCs w:val="20"/>
        </w:rPr>
      </w:pPr>
    </w:p>
    <w:p w14:paraId="6FB8045C" w14:textId="77777777" w:rsidR="009130AF" w:rsidRDefault="009130AF" w:rsidP="00EF0D79">
      <w:pPr>
        <w:jc w:val="both"/>
        <w:rPr>
          <w:rFonts w:ascii="Open Sans" w:hAnsi="Open Sans"/>
          <w:sz w:val="20"/>
          <w:szCs w:val="20"/>
        </w:rPr>
      </w:pPr>
    </w:p>
    <w:p w14:paraId="7769C152" w14:textId="178A1B7A" w:rsidR="009130AF" w:rsidRDefault="009130AF" w:rsidP="009130AF">
      <w:pPr>
        <w:jc w:val="both"/>
        <w:rPr>
          <w:rFonts w:ascii="Open Sans" w:hAnsi="Open Sans"/>
          <w:b/>
          <w:sz w:val="22"/>
          <w:szCs w:val="22"/>
        </w:rPr>
      </w:pPr>
      <w:bookmarkStart w:id="40" w:name="PN1"/>
      <w:r w:rsidRPr="009130AF">
        <w:rPr>
          <w:rFonts w:ascii="Open Sans" w:hAnsi="Open Sans"/>
          <w:b/>
          <w:sz w:val="22"/>
          <w:szCs w:val="22"/>
        </w:rPr>
        <w:t>P.N.1 Posicionamiento respecto a los paraísos/nichos fiscales</w:t>
      </w:r>
      <w:bookmarkEnd w:id="40"/>
    </w:p>
    <w:p w14:paraId="0395F05F" w14:textId="77777777" w:rsidR="009130AF" w:rsidRDefault="009130AF" w:rsidP="009130AF">
      <w:pPr>
        <w:jc w:val="both"/>
        <w:rPr>
          <w:rFonts w:ascii="Open Sans" w:hAnsi="Open Sans"/>
          <w:b/>
          <w:sz w:val="22"/>
          <w:szCs w:val="22"/>
        </w:rPr>
      </w:pPr>
    </w:p>
    <w:p w14:paraId="5452F970" w14:textId="490FE420" w:rsidR="00F7530E" w:rsidRPr="00F7530E" w:rsidRDefault="00F7530E" w:rsidP="00F7530E">
      <w:pPr>
        <w:pStyle w:val="Normal1"/>
        <w:tabs>
          <w:tab w:val="left" w:pos="7000"/>
        </w:tabs>
        <w:jc w:val="both"/>
        <w:rPr>
          <w:rFonts w:ascii="Open Sans" w:hAnsi="Open Sans" w:cs="Open Sans"/>
          <w:sz w:val="20"/>
        </w:rPr>
      </w:pPr>
      <w:r w:rsidRPr="00F31899">
        <w:rPr>
          <w:rFonts w:ascii="Open Sans" w:hAnsi="Open Sans" w:cs="Open Sans"/>
          <w:sz w:val="20"/>
        </w:rPr>
        <w:t xml:space="preserve">En relación al </w:t>
      </w:r>
      <w:r w:rsidRPr="00F7530E">
        <w:rPr>
          <w:rFonts w:ascii="Open Sans" w:hAnsi="Open Sans" w:cs="Open Sans"/>
          <w:sz w:val="20"/>
        </w:rPr>
        <w:t>indicador P.N.1,</w:t>
      </w:r>
      <w:r>
        <w:rPr>
          <w:rFonts w:ascii="Open Sans" w:hAnsi="Open Sans" w:cs="Open Sans"/>
          <w:b/>
          <w:sz w:val="20"/>
        </w:rPr>
        <w:t xml:space="preserve"> </w:t>
      </w:r>
      <w:r>
        <w:rPr>
          <w:rFonts w:ascii="Open Sans" w:hAnsi="Open Sans" w:cs="Open Sans"/>
          <w:sz w:val="20"/>
        </w:rPr>
        <w:t xml:space="preserve">para cumplir con los criterios fijados, las empresas analizadas </w:t>
      </w:r>
      <w:r w:rsidRPr="006C73DA">
        <w:rPr>
          <w:rFonts w:ascii="Open Sans" w:hAnsi="Open Sans" w:cs="Open Sans"/>
          <w:sz w:val="20"/>
        </w:rPr>
        <w:t xml:space="preserve">deben informar sobre </w:t>
      </w:r>
      <w:r>
        <w:rPr>
          <w:rFonts w:ascii="Open Sans" w:hAnsi="Open Sans" w:cs="Open Sans"/>
          <w:sz w:val="20"/>
        </w:rPr>
        <w:t xml:space="preserve">qué consideran, al menos, paraíso fiscal. </w:t>
      </w:r>
      <w:r w:rsidRPr="00FD7B63">
        <w:rPr>
          <w:rFonts w:ascii="Open Sans" w:hAnsi="Open Sans" w:cs="Open Sans"/>
          <w:sz w:val="20"/>
        </w:rPr>
        <w:t xml:space="preserve">De las empresas analizadas </w:t>
      </w:r>
      <w:r w:rsidR="00BF0214" w:rsidRPr="00FD7B63">
        <w:rPr>
          <w:rFonts w:ascii="Open Sans" w:hAnsi="Open Sans" w:cs="Open Sans"/>
          <w:b/>
          <w:sz w:val="20"/>
        </w:rPr>
        <w:t>15</w:t>
      </w:r>
      <w:r w:rsidRPr="00FD7B63">
        <w:rPr>
          <w:rFonts w:ascii="Open Sans" w:hAnsi="Open Sans" w:cs="Open Sans"/>
          <w:b/>
          <w:sz w:val="20"/>
        </w:rPr>
        <w:t xml:space="preserve"> hacen referencia a qué consideran paraíso fiscal</w:t>
      </w:r>
      <w:r w:rsidRPr="00FD7B63">
        <w:rPr>
          <w:rFonts w:ascii="Open Sans" w:hAnsi="Open Sans" w:cs="Open Sans"/>
          <w:sz w:val="20"/>
        </w:rPr>
        <w:t>, no obstante este posicionamiento se materializa haciendo alusión a las listas oficinales del Estado español o de la OCDE.</w:t>
      </w:r>
      <w:r w:rsidRPr="00CC295B">
        <w:rPr>
          <w:rFonts w:ascii="Open Sans" w:hAnsi="Open Sans" w:cs="Open Sans"/>
          <w:sz w:val="20"/>
        </w:rPr>
        <w:t xml:space="preserve"> </w:t>
      </w:r>
      <w:r>
        <w:rPr>
          <w:rFonts w:ascii="Open Sans" w:hAnsi="Open Sans" w:cs="Open Sans"/>
          <w:sz w:val="20"/>
        </w:rPr>
        <w:t xml:space="preserve">Tal es el caso de </w:t>
      </w:r>
      <w:r w:rsidRPr="00CC295B">
        <w:rPr>
          <w:rFonts w:ascii="Open Sans" w:hAnsi="Open Sans" w:cs="Open Sans"/>
          <w:sz w:val="20"/>
        </w:rPr>
        <w:t xml:space="preserve">TELEFÓNICA </w:t>
      </w:r>
      <w:r>
        <w:rPr>
          <w:rFonts w:ascii="Open Sans" w:hAnsi="Open Sans" w:cs="Open Sans"/>
          <w:sz w:val="20"/>
        </w:rPr>
        <w:t xml:space="preserve">que </w:t>
      </w:r>
      <w:r w:rsidRPr="00CC295B">
        <w:rPr>
          <w:rFonts w:ascii="Open Sans" w:hAnsi="Open Sans" w:cs="Open Sans"/>
          <w:sz w:val="20"/>
        </w:rPr>
        <w:t xml:space="preserve">hace referencia a la lista de la OCDE y en particular con los establecidos en la normativa tributaria española. </w:t>
      </w:r>
      <w:r w:rsidRPr="00F7530E">
        <w:rPr>
          <w:rFonts w:ascii="Open Sans" w:hAnsi="Open Sans" w:cs="Open Sans"/>
          <w:sz w:val="20"/>
        </w:rPr>
        <w:t xml:space="preserve">GAMESA hace referencia al </w:t>
      </w:r>
      <w:r w:rsidRPr="00F7530E">
        <w:rPr>
          <w:rFonts w:ascii="Open Sans" w:hAnsi="Open Sans" w:cs="Open Sans"/>
          <w:i/>
          <w:sz w:val="20"/>
        </w:rPr>
        <w:t>Real Decreto</w:t>
      </w:r>
      <w:r w:rsidRPr="00F7530E">
        <w:rPr>
          <w:rFonts w:ascii="Open Sans" w:hAnsi="Open Sans" w:cs="Open Sans"/>
          <w:sz w:val="20"/>
        </w:rPr>
        <w:t xml:space="preserve"> </w:t>
      </w:r>
      <w:r w:rsidRPr="00F7530E">
        <w:rPr>
          <w:rFonts w:ascii="Open Sans" w:hAnsi="Open Sans" w:cs="Open Sans"/>
          <w:i/>
          <w:sz w:val="20"/>
        </w:rPr>
        <w:t xml:space="preserve">Ley 1080/1991, de 5 de julio. </w:t>
      </w:r>
      <w:r w:rsidRPr="00F7530E">
        <w:rPr>
          <w:rFonts w:ascii="Open Sans" w:hAnsi="Open Sans" w:cs="Open Sans"/>
          <w:sz w:val="20"/>
        </w:rPr>
        <w:t xml:space="preserve">Repsol y </w:t>
      </w:r>
      <w:r w:rsidR="007F55EB" w:rsidRPr="00F7530E">
        <w:rPr>
          <w:rFonts w:ascii="Open Sans" w:hAnsi="Open Sans" w:cs="Open Sans"/>
          <w:sz w:val="20"/>
        </w:rPr>
        <w:t>Enagás</w:t>
      </w:r>
      <w:r w:rsidRPr="00F7530E">
        <w:rPr>
          <w:rFonts w:ascii="Open Sans" w:hAnsi="Open Sans" w:cs="Open Sans"/>
          <w:sz w:val="20"/>
        </w:rPr>
        <w:t xml:space="preserve"> consideran como referencia para la categorización de una jurisdicción como paraíso fiscal los listados elaborados por la OCDE y por España (RD 1080/1991). </w:t>
      </w:r>
      <w:r w:rsidR="00BF0214">
        <w:rPr>
          <w:rFonts w:ascii="Open Sans" w:hAnsi="Open Sans" w:cs="Open Sans"/>
          <w:sz w:val="20"/>
        </w:rPr>
        <w:t>Sin embargo</w:t>
      </w:r>
      <w:r w:rsidRPr="00F7530E">
        <w:rPr>
          <w:rFonts w:ascii="Open Sans" w:hAnsi="Open Sans" w:cs="Open Sans"/>
          <w:sz w:val="20"/>
        </w:rPr>
        <w:t>, la dificultad para establecer hoy en día los territorios considerados paraíso fiscal es elevada. Más allá de los reconocidos por el real decreto 1080/1991, con una lista cada vez más pequeña gracias a los acuerdos de intercambio de información, la lista de la OCDE en la que sólo figuran dos países, la Unión Europea está en proceso de elaborar una lista conjunta para todos los países de la unión de ca</w:t>
      </w:r>
      <w:r w:rsidRPr="00F7530E">
        <w:rPr>
          <w:rFonts w:ascii="Open Sans" w:hAnsi="Open Sans" w:cs="Open Sans"/>
          <w:bCs/>
          <w:sz w:val="20"/>
        </w:rPr>
        <w:t>ra al año 2018</w:t>
      </w:r>
      <w:r w:rsidRPr="00F7530E">
        <w:rPr>
          <w:rFonts w:ascii="Open Sans" w:hAnsi="Open Sans" w:cs="Open Sans"/>
          <w:bCs/>
          <w:sz w:val="20"/>
          <w:vertAlign w:val="superscript"/>
        </w:rPr>
        <w:footnoteReference w:id="87"/>
      </w:r>
      <w:r w:rsidRPr="00F7530E">
        <w:rPr>
          <w:rFonts w:ascii="Open Sans" w:hAnsi="Open Sans" w:cs="Open Sans"/>
          <w:bCs/>
          <w:sz w:val="20"/>
        </w:rPr>
        <w:t xml:space="preserve">. </w:t>
      </w:r>
      <w:r w:rsidRPr="00FD7B63">
        <w:rPr>
          <w:rFonts w:ascii="Open Sans" w:hAnsi="Open Sans" w:cs="Open Sans"/>
          <w:bCs/>
          <w:sz w:val="20"/>
        </w:rPr>
        <w:t>ENDESA e INDRA mencionan, además del Real Decreto y la lista de la OCDE,  la lista de “Tax Justice Network</w:t>
      </w:r>
      <w:r w:rsidRPr="00F7530E">
        <w:rPr>
          <w:rFonts w:ascii="Open Sans" w:hAnsi="Open Sans" w:cs="Open Sans"/>
          <w:bCs/>
          <w:sz w:val="20"/>
        </w:rPr>
        <w:t>.  BANCO SANTANDER</w:t>
      </w:r>
      <w:r w:rsidRPr="00F7530E">
        <w:rPr>
          <w:rFonts w:ascii="Open Sans" w:eastAsia="Arial" w:hAnsi="Open Sans" w:cs="Open Sans"/>
          <w:sz w:val="20"/>
          <w:highlight w:val="white"/>
        </w:rPr>
        <w:t xml:space="preserve"> menciona que "se entenderá que un determinado país o territorio es calificado como paraíso fiscal cuando de acuerdo con la normativa española que resulte de aplicación en cada momento, o con la normativa local que resulte de aplicación en cada caso, tenga dicha consideración".</w:t>
      </w:r>
    </w:p>
    <w:p w14:paraId="0E381B47" w14:textId="77777777" w:rsidR="00F7530E" w:rsidRPr="00F7530E" w:rsidRDefault="00F7530E" w:rsidP="00F7530E">
      <w:pPr>
        <w:pStyle w:val="Normal1"/>
        <w:tabs>
          <w:tab w:val="left" w:pos="7000"/>
        </w:tabs>
        <w:jc w:val="both"/>
        <w:rPr>
          <w:rFonts w:ascii="Open Sans" w:hAnsi="Open Sans" w:cs="Open Sans"/>
          <w:sz w:val="20"/>
        </w:rPr>
      </w:pPr>
    </w:p>
    <w:p w14:paraId="4CD3D360" w14:textId="77777777" w:rsidR="00F7530E" w:rsidRDefault="00F7530E" w:rsidP="00F7530E">
      <w:pPr>
        <w:jc w:val="both"/>
        <w:rPr>
          <w:rFonts w:ascii="Open Sans" w:hAnsi="Open Sans" w:cs="Open Sans"/>
          <w:color w:val="666666"/>
          <w:sz w:val="20"/>
          <w:szCs w:val="20"/>
        </w:rPr>
      </w:pPr>
      <w:r>
        <w:rPr>
          <w:rFonts w:ascii="Open Sans" w:hAnsi="Open Sans" w:cs="Open Sans"/>
          <w:sz w:val="20"/>
          <w:szCs w:val="20"/>
        </w:rPr>
        <w:t>Existe un amplio debate, y al día de hoy no hay consenso, en relación a qué considerar paraíso fiscal. La Comisión de Asuntos Económicos y Monetarios del Parlamento Europeo solicita a la Comisión Europea que adopte una definición clara y un conjunto común de criterios para identificar los paraísos fiscales. Sugiere que la definición se base en las normas de la OCDE en materia de transparencia e intercambio de información, así como en los principios y criterios del Código de Conducta; estima, a este respecto, que debe considerarse paraíso fiscal todo territorio en el que se cumplan varios de los siguientes indicadores</w:t>
      </w:r>
      <w:r>
        <w:rPr>
          <w:rStyle w:val="Refdenotaalpie"/>
          <w:rFonts w:ascii="Open Sans" w:hAnsi="Open Sans" w:cs="Open Sans"/>
          <w:sz w:val="20"/>
          <w:szCs w:val="20"/>
        </w:rPr>
        <w:footnoteReference w:id="88"/>
      </w:r>
      <w:r>
        <w:rPr>
          <w:rFonts w:ascii="Open Sans" w:hAnsi="Open Sans" w:cs="Open Sans"/>
          <w:color w:val="666666"/>
          <w:sz w:val="20"/>
          <w:szCs w:val="20"/>
        </w:rPr>
        <w:t>:</w:t>
      </w:r>
    </w:p>
    <w:p w14:paraId="7560E55C" w14:textId="77777777" w:rsidR="00F7530E" w:rsidRDefault="00F7530E" w:rsidP="00F7530E">
      <w:pPr>
        <w:jc w:val="both"/>
        <w:rPr>
          <w:rFonts w:ascii="Open Sans" w:hAnsi="Open Sans" w:cs="Open Sans"/>
          <w:color w:val="666666"/>
          <w:sz w:val="20"/>
          <w:szCs w:val="20"/>
        </w:rPr>
      </w:pPr>
    </w:p>
    <w:p w14:paraId="214BF24F"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i) las ventajas se otorgan solo a los no residentes, o solo con respecto a las operaciones realizadas con no residentes,</w:t>
      </w:r>
    </w:p>
    <w:p w14:paraId="799B8C26" w14:textId="77777777" w:rsidR="00F7530E" w:rsidRDefault="00F7530E" w:rsidP="00F7530E">
      <w:pPr>
        <w:pStyle w:val="NormalWeb"/>
        <w:shd w:val="clear" w:color="auto" w:fill="FFFFFF"/>
        <w:ind w:left="708"/>
        <w:jc w:val="both"/>
        <w:rPr>
          <w:rFonts w:ascii="Open Sans" w:hAnsi="Open Sans" w:cs="Open Sans"/>
          <w:sz w:val="20"/>
          <w:szCs w:val="20"/>
        </w:rPr>
      </w:pPr>
    </w:p>
    <w:p w14:paraId="5F5C8AA2"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ii) las ventajas están totalmente aisladas del mercado nacional, de modo que no afectan a la base fiscal nacional,</w:t>
      </w:r>
    </w:p>
    <w:p w14:paraId="7C3F5A37" w14:textId="77777777" w:rsidR="00F7530E" w:rsidRDefault="00F7530E" w:rsidP="00F7530E">
      <w:pPr>
        <w:pStyle w:val="NormalWeb"/>
        <w:shd w:val="clear" w:color="auto" w:fill="FFFFFF"/>
        <w:ind w:left="708"/>
        <w:jc w:val="both"/>
        <w:rPr>
          <w:rFonts w:ascii="Open Sans" w:hAnsi="Open Sans" w:cs="Open Sans"/>
          <w:sz w:val="20"/>
          <w:szCs w:val="20"/>
        </w:rPr>
      </w:pPr>
    </w:p>
    <w:p w14:paraId="2574E95E"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iii) las ventajas se otorgan aun cuando no exista ninguna actividad económica real ni presencia económica sustancial dentro del territorio que ofrezca dichas ventajas fiscales,</w:t>
      </w:r>
    </w:p>
    <w:p w14:paraId="11297885" w14:textId="77777777" w:rsidR="00F7530E" w:rsidRDefault="00F7530E" w:rsidP="00F7530E">
      <w:pPr>
        <w:pStyle w:val="NormalWeb"/>
        <w:shd w:val="clear" w:color="auto" w:fill="FFFFFF"/>
        <w:ind w:left="708"/>
        <w:jc w:val="both"/>
        <w:rPr>
          <w:rFonts w:ascii="Open Sans" w:hAnsi="Open Sans" w:cs="Open Sans"/>
          <w:sz w:val="20"/>
          <w:szCs w:val="20"/>
        </w:rPr>
      </w:pPr>
    </w:p>
    <w:p w14:paraId="7F0130B9"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iv) las normas para determinar los beneficios derivados de las actividades internas de los grupos de empresas multinacionales no se ajustan a los principios internacionalmente reconocidos, particularmente, a las normas acordadas en la OCDE,</w:t>
      </w:r>
    </w:p>
    <w:p w14:paraId="6BB72210" w14:textId="77777777" w:rsidR="00F7530E" w:rsidRDefault="00F7530E" w:rsidP="00F7530E">
      <w:pPr>
        <w:pStyle w:val="NormalWeb"/>
        <w:shd w:val="clear" w:color="auto" w:fill="FFFFFF"/>
        <w:ind w:left="708"/>
        <w:jc w:val="both"/>
        <w:rPr>
          <w:rFonts w:ascii="Open Sans" w:hAnsi="Open Sans" w:cs="Open Sans"/>
          <w:sz w:val="20"/>
          <w:szCs w:val="20"/>
        </w:rPr>
      </w:pPr>
    </w:p>
    <w:p w14:paraId="6BA2BF90"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v) las medidas fiscales carecen de transparencia, incluida una aplicación de las disposiciones legales a nivel administrativo con menos rigor y sin transparencia,</w:t>
      </w:r>
    </w:p>
    <w:p w14:paraId="5D9BEBF9" w14:textId="77777777" w:rsidR="00F7530E" w:rsidRDefault="00F7530E" w:rsidP="00F7530E">
      <w:pPr>
        <w:pStyle w:val="NormalWeb"/>
        <w:shd w:val="clear" w:color="auto" w:fill="FFFFFF"/>
        <w:ind w:left="708"/>
        <w:jc w:val="both"/>
        <w:rPr>
          <w:rFonts w:ascii="Open Sans" w:hAnsi="Open Sans" w:cs="Open Sans"/>
          <w:sz w:val="20"/>
          <w:szCs w:val="20"/>
        </w:rPr>
      </w:pPr>
    </w:p>
    <w:p w14:paraId="41B8A89E"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vi) no se aplican impuestos a las rentas pertinentes o solo se aplican impuestos simbólicos,</w:t>
      </w:r>
    </w:p>
    <w:p w14:paraId="64298439" w14:textId="77777777" w:rsidR="00F7530E" w:rsidRDefault="00F7530E" w:rsidP="00F7530E">
      <w:pPr>
        <w:pStyle w:val="NormalWeb"/>
        <w:shd w:val="clear" w:color="auto" w:fill="FFFFFF"/>
        <w:ind w:left="708"/>
        <w:jc w:val="both"/>
        <w:rPr>
          <w:rFonts w:ascii="Open Sans" w:hAnsi="Open Sans" w:cs="Open Sans"/>
          <w:sz w:val="20"/>
          <w:szCs w:val="20"/>
        </w:rPr>
      </w:pPr>
    </w:p>
    <w:p w14:paraId="27C25BD8"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vii) existe una legislación o unas prácticas administrativas que impiden un intercambio efectivo de información a efectos fiscales con otros gobiernos sobre los contribuyentes que se benefician de la ausencia de imposición o de la imposición simbólica, lo que contraviene las normas dispuestas en el artículo 26 del Modelo de Convenio Tributario sobre la Renta y sobre el Patrimonio de la OCDE,</w:t>
      </w:r>
    </w:p>
    <w:p w14:paraId="664A3ED7" w14:textId="77777777" w:rsidR="00F7530E" w:rsidRDefault="00F7530E" w:rsidP="00F7530E">
      <w:pPr>
        <w:pStyle w:val="NormalWeb"/>
        <w:shd w:val="clear" w:color="auto" w:fill="FFFFFF"/>
        <w:ind w:left="708"/>
        <w:jc w:val="both"/>
        <w:rPr>
          <w:rFonts w:ascii="Open Sans" w:hAnsi="Open Sans" w:cs="Open Sans"/>
          <w:sz w:val="20"/>
          <w:szCs w:val="20"/>
        </w:rPr>
      </w:pPr>
    </w:p>
    <w:p w14:paraId="4959A1FC" w14:textId="77777777" w:rsidR="00F7530E" w:rsidRDefault="00F7530E" w:rsidP="00F7530E">
      <w:pPr>
        <w:pStyle w:val="NormalWeb"/>
        <w:shd w:val="clear" w:color="auto" w:fill="FFFFFF"/>
        <w:ind w:left="708"/>
        <w:jc w:val="both"/>
        <w:rPr>
          <w:rFonts w:ascii="Open Sans" w:hAnsi="Open Sans" w:cs="Open Sans"/>
          <w:sz w:val="20"/>
          <w:szCs w:val="20"/>
        </w:rPr>
      </w:pPr>
      <w:r>
        <w:rPr>
          <w:rFonts w:ascii="Open Sans" w:hAnsi="Open Sans" w:cs="Open Sans"/>
          <w:sz w:val="20"/>
          <w:szCs w:val="20"/>
        </w:rPr>
        <w:t>viii) se crean estructuras opacas y secretas que hacen que la creación y el funcionamiento de los registros de empresas y de fideicomisos y fundaciones no sean exhaustivos y carezcan de transparencia,</w:t>
      </w:r>
    </w:p>
    <w:p w14:paraId="0EA81F42" w14:textId="77777777" w:rsidR="00F7530E" w:rsidRDefault="00F7530E" w:rsidP="00F7530E">
      <w:pPr>
        <w:pStyle w:val="NormalWeb"/>
        <w:shd w:val="clear" w:color="auto" w:fill="FFFFFF"/>
        <w:ind w:left="708"/>
        <w:jc w:val="both"/>
        <w:rPr>
          <w:rFonts w:ascii="Open Sans" w:hAnsi="Open Sans" w:cs="Open Sans"/>
          <w:sz w:val="20"/>
          <w:szCs w:val="20"/>
        </w:rPr>
      </w:pPr>
    </w:p>
    <w:p w14:paraId="120A3E80" w14:textId="4B7B2763" w:rsidR="00F7530E" w:rsidRDefault="00F7530E" w:rsidP="00FD7B63">
      <w:pPr>
        <w:pStyle w:val="NormalWeb"/>
        <w:shd w:val="clear" w:color="auto" w:fill="FFFFFF"/>
        <w:ind w:left="708"/>
        <w:jc w:val="both"/>
        <w:rPr>
          <w:rFonts w:ascii="Open Sans" w:hAnsi="Open Sans" w:cs="Open Sans"/>
          <w:sz w:val="20"/>
          <w:szCs w:val="20"/>
        </w:rPr>
      </w:pPr>
      <w:r>
        <w:rPr>
          <w:rFonts w:ascii="Open Sans" w:hAnsi="Open Sans" w:cs="Open Sans"/>
          <w:sz w:val="20"/>
          <w:szCs w:val="20"/>
        </w:rPr>
        <w:t>ix) el territorio está incluido por el GAFI en la lista de países y territorios no cooperadores;</w:t>
      </w:r>
    </w:p>
    <w:p w14:paraId="4149732B" w14:textId="77777777" w:rsidR="009B0D67" w:rsidRDefault="009B0D67" w:rsidP="00F7530E">
      <w:pPr>
        <w:rPr>
          <w:rFonts w:ascii="Open Sans" w:hAnsi="Open Sans" w:cs="Open Sans"/>
          <w:sz w:val="20"/>
          <w:szCs w:val="20"/>
        </w:rPr>
      </w:pPr>
    </w:p>
    <w:p w14:paraId="39D418FB" w14:textId="4494333D" w:rsidR="009B0D67" w:rsidRPr="009B0D67" w:rsidRDefault="009B0D67" w:rsidP="009B0D67">
      <w:pPr>
        <w:jc w:val="both"/>
        <w:rPr>
          <w:rFonts w:ascii="Open Sans" w:hAnsi="Open Sans" w:cs="Open Sans"/>
          <w:sz w:val="20"/>
          <w:szCs w:val="20"/>
        </w:rPr>
      </w:pPr>
      <w:r w:rsidRPr="009B0D67">
        <w:rPr>
          <w:rFonts w:ascii="Open Sans" w:hAnsi="Open Sans" w:cs="Open Sans"/>
          <w:sz w:val="20"/>
          <w:szCs w:val="20"/>
        </w:rPr>
        <w:t>La OCDE por su parte en el informe sobre competencia fiscal perniciosa del año 1998</w:t>
      </w:r>
      <w:r>
        <w:rPr>
          <w:rStyle w:val="Refdenotaalpie"/>
          <w:rFonts w:ascii="Open Sans" w:hAnsi="Open Sans" w:cs="Open Sans"/>
          <w:sz w:val="20"/>
          <w:szCs w:val="20"/>
        </w:rPr>
        <w:footnoteReference w:id="89"/>
      </w:r>
      <w:r w:rsidRPr="009B0D67">
        <w:rPr>
          <w:rFonts w:ascii="Open Sans" w:hAnsi="Open Sans" w:cs="Open Sans"/>
          <w:sz w:val="20"/>
          <w:szCs w:val="20"/>
        </w:rPr>
        <w:t>, señala las siguientes características de un paraí</w:t>
      </w:r>
      <w:r>
        <w:rPr>
          <w:rFonts w:ascii="Open Sans" w:hAnsi="Open Sans" w:cs="Open Sans"/>
          <w:sz w:val="20"/>
          <w:szCs w:val="20"/>
        </w:rPr>
        <w:t>so fiscal: U</w:t>
      </w:r>
      <w:r w:rsidRPr="009B0D67">
        <w:rPr>
          <w:rFonts w:ascii="Open Sans" w:hAnsi="Open Sans" w:cs="Open Sans"/>
          <w:sz w:val="20"/>
          <w:szCs w:val="20"/>
        </w:rPr>
        <w:t>n n</w:t>
      </w:r>
      <w:r>
        <w:rPr>
          <w:rFonts w:ascii="Open Sans" w:hAnsi="Open Sans" w:cs="Open Sans"/>
          <w:sz w:val="20"/>
          <w:szCs w:val="20"/>
        </w:rPr>
        <w:t xml:space="preserve">ivel de tributación bajo o nulo; </w:t>
      </w:r>
      <w:r w:rsidRPr="009B0D67">
        <w:rPr>
          <w:rFonts w:ascii="Open Sans" w:hAnsi="Open Sans" w:cs="Open Sans"/>
          <w:sz w:val="20"/>
          <w:szCs w:val="20"/>
        </w:rPr>
        <w:t xml:space="preserve"> falta de transparencia, especialmente en la aplicación del sistema fiscal</w:t>
      </w:r>
      <w:r>
        <w:rPr>
          <w:rFonts w:ascii="Open Sans" w:hAnsi="Open Sans" w:cs="Open Sans"/>
          <w:sz w:val="20"/>
          <w:szCs w:val="20"/>
        </w:rPr>
        <w:t>;</w:t>
      </w:r>
      <w:r w:rsidRPr="009B0D67">
        <w:rPr>
          <w:rFonts w:ascii="Open Sans" w:hAnsi="Open Sans" w:cs="Open Sans"/>
          <w:sz w:val="20"/>
          <w:szCs w:val="20"/>
        </w:rPr>
        <w:t xml:space="preserve"> falta de interca</w:t>
      </w:r>
      <w:r>
        <w:rPr>
          <w:rFonts w:ascii="Open Sans" w:hAnsi="Open Sans" w:cs="Open Sans"/>
          <w:sz w:val="20"/>
          <w:szCs w:val="20"/>
        </w:rPr>
        <w:t xml:space="preserve">mbio efectivo de información </w:t>
      </w:r>
      <w:r w:rsidR="007F55EB">
        <w:rPr>
          <w:rFonts w:ascii="Open Sans" w:hAnsi="Open Sans" w:cs="Open Sans"/>
          <w:sz w:val="20"/>
          <w:szCs w:val="20"/>
        </w:rPr>
        <w:t>e</w:t>
      </w:r>
      <w:r>
        <w:rPr>
          <w:rFonts w:ascii="Open Sans" w:hAnsi="Open Sans" w:cs="Open Sans"/>
          <w:sz w:val="20"/>
          <w:szCs w:val="20"/>
        </w:rPr>
        <w:t xml:space="preserve"> </w:t>
      </w:r>
      <w:r w:rsidRPr="009B0D67">
        <w:rPr>
          <w:rFonts w:ascii="Open Sans" w:hAnsi="Open Sans" w:cs="Open Sans"/>
          <w:sz w:val="20"/>
          <w:szCs w:val="20"/>
        </w:rPr>
        <w:t>inexistencia de actividad económica sustancial en su jurisdicción.</w:t>
      </w:r>
      <w:r>
        <w:rPr>
          <w:rFonts w:ascii="Open Sans" w:hAnsi="Open Sans" w:cs="Open Sans"/>
          <w:sz w:val="20"/>
          <w:szCs w:val="20"/>
        </w:rPr>
        <w:t xml:space="preserve"> </w:t>
      </w:r>
      <w:r w:rsidRPr="009B0D67">
        <w:rPr>
          <w:rFonts w:ascii="Open Sans" w:hAnsi="Open Sans" w:cs="Open Sans"/>
          <w:sz w:val="20"/>
          <w:szCs w:val="20"/>
        </w:rPr>
        <w:t>El citado informe incluye criterios auxiliares en la identificación de paraísos fiscales: definiciones artificiales de base imponible; falta de aplicación de los criterios sobre precios de transferencia elaborados por la OCDE; existencia de exención a las rentas de fuente extranjera; la posibilidad de negociación, con las autoridades fiscales, de las condiciones de imposición o rulings y, la fama internacional reluciente de la jurisdicción como paraíso fiscal o la existencia de auto-publicidad o reputation test</w:t>
      </w:r>
      <w:r>
        <w:rPr>
          <w:rFonts w:ascii="Open Sans" w:hAnsi="Open Sans" w:cs="Open Sans"/>
          <w:sz w:val="20"/>
          <w:szCs w:val="20"/>
        </w:rPr>
        <w:t>.</w:t>
      </w:r>
    </w:p>
    <w:p w14:paraId="1BE4CF08" w14:textId="77777777" w:rsidR="009B0D67" w:rsidRDefault="009B0D67" w:rsidP="009B0D67">
      <w:pPr>
        <w:jc w:val="both"/>
        <w:rPr>
          <w:rFonts w:ascii="Open Sans" w:hAnsi="Open Sans" w:cs="Open Sans"/>
          <w:sz w:val="20"/>
          <w:szCs w:val="20"/>
        </w:rPr>
      </w:pPr>
    </w:p>
    <w:p w14:paraId="2E0C74B7" w14:textId="77777777" w:rsidR="00F7530E" w:rsidRDefault="00F7530E" w:rsidP="00F7530E">
      <w:pPr>
        <w:rPr>
          <w:rFonts w:ascii="Open Sans" w:hAnsi="Open Sans" w:cs="Open Sans"/>
          <w:sz w:val="20"/>
          <w:szCs w:val="20"/>
        </w:rPr>
      </w:pPr>
      <w:r>
        <w:rPr>
          <w:rFonts w:ascii="Open Sans" w:hAnsi="Open Sans" w:cs="Open Sans"/>
          <w:sz w:val="20"/>
          <w:szCs w:val="20"/>
        </w:rPr>
        <w:t xml:space="preserve">Uno de los principales métodos de elusión fiscal son las operaciones con flujos financieros a través de los denominados paraísos fiscales. No obstante, ha de recalcarse que no todos los territorios así considerados tienen por qué ser paraísos fiscales “puros”. </w:t>
      </w:r>
    </w:p>
    <w:p w14:paraId="2EE65D82" w14:textId="77777777" w:rsidR="00F7530E" w:rsidRDefault="00F7530E" w:rsidP="00F7530E">
      <w:pPr>
        <w:rPr>
          <w:rFonts w:ascii="Open Sans" w:hAnsi="Open Sans" w:cs="Open Sans"/>
          <w:sz w:val="20"/>
          <w:szCs w:val="20"/>
        </w:rPr>
      </w:pPr>
    </w:p>
    <w:p w14:paraId="569E1393" w14:textId="77777777" w:rsidR="00F7530E" w:rsidRDefault="00F7530E" w:rsidP="000B70C9">
      <w:pPr>
        <w:pStyle w:val="Prrafodelista"/>
        <w:numPr>
          <w:ilvl w:val="0"/>
          <w:numId w:val="110"/>
        </w:numPr>
        <w:ind w:left="714" w:hanging="357"/>
        <w:jc w:val="both"/>
        <w:rPr>
          <w:rFonts w:ascii="Open Sans" w:hAnsi="Open Sans" w:cs="Open Sans"/>
          <w:sz w:val="20"/>
          <w:szCs w:val="20"/>
        </w:rPr>
      </w:pPr>
      <w:r>
        <w:rPr>
          <w:rFonts w:ascii="Open Sans" w:hAnsi="Open Sans" w:cs="Open Sans"/>
          <w:sz w:val="20"/>
          <w:szCs w:val="20"/>
        </w:rPr>
        <w:t>Los paraísos fiscales puros albergan a numerosas “empresas de buzón”, que buscan ventajas fiscales, jurídicas y ausencia de transparencia. Este régimen tributario favorable se aplica a los ciudadanos y empresas no residentes que se domicilien a efectos fiscales en el mismo. Típicamente estas ventajas consisten en una exención total o una reducción muy significativa en el pago de los principales impuestos.</w:t>
      </w:r>
    </w:p>
    <w:p w14:paraId="0961D5F5" w14:textId="77777777" w:rsidR="00F7530E" w:rsidRDefault="00F7530E" w:rsidP="000B70C9">
      <w:pPr>
        <w:pStyle w:val="Prrafodelista"/>
        <w:numPr>
          <w:ilvl w:val="0"/>
          <w:numId w:val="110"/>
        </w:numPr>
        <w:ind w:left="714" w:hanging="357"/>
        <w:jc w:val="both"/>
        <w:rPr>
          <w:rFonts w:ascii="Open Sans" w:hAnsi="Open Sans" w:cs="Open Sans"/>
          <w:sz w:val="20"/>
          <w:szCs w:val="20"/>
        </w:rPr>
      </w:pPr>
      <w:r>
        <w:rPr>
          <w:rFonts w:ascii="Open Sans" w:hAnsi="Open Sans" w:cs="Open Sans"/>
          <w:sz w:val="20"/>
          <w:szCs w:val="20"/>
        </w:rPr>
        <w:t xml:space="preserve">Por otro lado, existen zonas de baja tributación, que gravan beneficios y rentas del capital de una manera reducida para no residentes. </w:t>
      </w:r>
    </w:p>
    <w:p w14:paraId="0959CC88" w14:textId="77777777" w:rsidR="00F7530E" w:rsidRDefault="00F7530E" w:rsidP="000B70C9">
      <w:pPr>
        <w:pStyle w:val="Prrafodelista"/>
        <w:numPr>
          <w:ilvl w:val="0"/>
          <w:numId w:val="110"/>
        </w:numPr>
        <w:ind w:left="714" w:hanging="357"/>
        <w:jc w:val="both"/>
        <w:rPr>
          <w:rFonts w:ascii="Open Sans" w:hAnsi="Open Sans" w:cs="Open Sans"/>
          <w:sz w:val="20"/>
          <w:szCs w:val="20"/>
        </w:rPr>
      </w:pPr>
      <w:r>
        <w:rPr>
          <w:rFonts w:ascii="Open Sans" w:hAnsi="Open Sans" w:cs="Open Sans"/>
          <w:sz w:val="20"/>
          <w:szCs w:val="20"/>
        </w:rPr>
        <w:t>Por último están los denominados nichos fiscales, que bajo determinadas condiciones permiten una tributación extremadamente baja, aunque la tributación habitual sea normal. Estas condiciones o excepciones con frecuencia están diseñadas deliberadamente para ciertos tipos de actividades corporativas que pueden ser empleadas por multinacionales para reducir considerablemente su carga impositiva total. Ejemplos de estos nichos fiscales pueden ser Irlanda o Luxemburgo.</w:t>
      </w:r>
    </w:p>
    <w:p w14:paraId="55083D8B" w14:textId="77777777" w:rsidR="00F7530E" w:rsidRDefault="00F7530E" w:rsidP="00F7530E">
      <w:pPr>
        <w:jc w:val="both"/>
        <w:rPr>
          <w:rFonts w:ascii="Open Sans" w:hAnsi="Open Sans" w:cs="Open Sans"/>
          <w:sz w:val="20"/>
          <w:szCs w:val="20"/>
        </w:rPr>
      </w:pPr>
    </w:p>
    <w:p w14:paraId="534CB85C" w14:textId="77777777" w:rsidR="009B0D67" w:rsidRDefault="009B0D67" w:rsidP="00F7530E">
      <w:pPr>
        <w:jc w:val="both"/>
        <w:rPr>
          <w:rFonts w:ascii="Open Sans" w:hAnsi="Open Sans" w:cs="Arial"/>
          <w:bCs/>
          <w:sz w:val="20"/>
          <w:szCs w:val="20"/>
          <w:u w:val="single"/>
        </w:rPr>
      </w:pPr>
    </w:p>
    <w:p w14:paraId="382DE9EB" w14:textId="4EA2E9A4" w:rsidR="00F7530E" w:rsidRDefault="00F7530E" w:rsidP="00F7530E">
      <w:pPr>
        <w:jc w:val="both"/>
        <w:rPr>
          <w:rFonts w:ascii="Open Sans" w:hAnsi="Open Sans" w:cs="Arial"/>
          <w:bCs/>
          <w:sz w:val="20"/>
          <w:szCs w:val="20"/>
        </w:rPr>
      </w:pPr>
      <w:r w:rsidRPr="00FD7B63">
        <w:rPr>
          <w:rFonts w:ascii="Open Sans" w:hAnsi="Open Sans" w:cs="Arial"/>
          <w:bCs/>
          <w:sz w:val="20"/>
          <w:szCs w:val="20"/>
        </w:rPr>
        <w:t xml:space="preserve">En el análisis realizado, </w:t>
      </w:r>
      <w:r w:rsidRPr="00FD7B63">
        <w:rPr>
          <w:rFonts w:ascii="Open Sans" w:hAnsi="Open Sans" w:cs="Arial"/>
          <w:b/>
          <w:bCs/>
          <w:sz w:val="20"/>
          <w:szCs w:val="20"/>
        </w:rPr>
        <w:t>son muchas las empresas que en sus estrategias o políticas se comprometen a no operar a través de paraísos fiscales pero sin embargo no dan una definición ni indican que consideran paraíso fiscal</w:t>
      </w:r>
      <w:r w:rsidRPr="00FD7B63">
        <w:rPr>
          <w:rFonts w:ascii="Open Sans" w:hAnsi="Open Sans" w:cs="Arial"/>
          <w:bCs/>
          <w:sz w:val="20"/>
          <w:szCs w:val="20"/>
        </w:rPr>
        <w:t xml:space="preserve">. </w:t>
      </w:r>
      <w:r>
        <w:rPr>
          <w:rFonts w:ascii="Open Sans" w:hAnsi="Open Sans" w:cs="Arial"/>
          <w:bCs/>
          <w:sz w:val="20"/>
          <w:szCs w:val="20"/>
        </w:rPr>
        <w:t>REC, por ejemplo, no indica si opera en paraísos y nichos fiscales, solo indica en el código ético y en la nueva estrategia fiscal aprobada en 2015 que “</w:t>
      </w:r>
      <w:r>
        <w:rPr>
          <w:rFonts w:ascii="Open Sans" w:hAnsi="Open Sans" w:cs="Arial"/>
          <w:bCs/>
          <w:i/>
          <w:sz w:val="20"/>
          <w:szCs w:val="20"/>
        </w:rPr>
        <w:t xml:space="preserve">el grupo se compromete a no crear empresas con el fin de evadir impuestos en territorios considerados paraísos fiscales por la Unión Europea”. </w:t>
      </w:r>
    </w:p>
    <w:p w14:paraId="5473AFD7" w14:textId="77777777" w:rsidR="00F7530E" w:rsidRDefault="00F7530E" w:rsidP="00F7530E">
      <w:pPr>
        <w:jc w:val="both"/>
        <w:rPr>
          <w:rFonts w:ascii="Open Sans" w:hAnsi="Open Sans" w:cs="Open Sans"/>
          <w:b/>
          <w:sz w:val="20"/>
          <w:szCs w:val="20"/>
        </w:rPr>
      </w:pPr>
    </w:p>
    <w:p w14:paraId="752DB247" w14:textId="5F6454F7" w:rsidR="00F7530E" w:rsidRPr="00237A0E" w:rsidRDefault="00FD7B63" w:rsidP="00F7530E">
      <w:pPr>
        <w:jc w:val="both"/>
        <w:rPr>
          <w:rFonts w:ascii="Open Sans" w:hAnsi="Open Sans"/>
          <w:i/>
          <w:sz w:val="20"/>
          <w:szCs w:val="20"/>
        </w:rPr>
      </w:pPr>
      <w:r>
        <w:rPr>
          <w:rFonts w:ascii="Open Sans" w:hAnsi="Open Sans" w:cs="Arial"/>
          <w:bCs/>
          <w:sz w:val="20"/>
          <w:szCs w:val="20"/>
        </w:rPr>
        <w:t>GRIFOLS</w:t>
      </w:r>
      <w:r w:rsidR="00F7530E">
        <w:rPr>
          <w:rFonts w:ascii="Open Sans" w:hAnsi="Open Sans" w:cs="Arial"/>
          <w:bCs/>
          <w:sz w:val="20"/>
          <w:szCs w:val="20"/>
        </w:rPr>
        <w:t xml:space="preserve"> en su </w:t>
      </w:r>
      <w:r w:rsidR="00F7530E">
        <w:rPr>
          <w:rFonts w:ascii="Open Sans" w:hAnsi="Open Sans"/>
          <w:sz w:val="20"/>
          <w:szCs w:val="20"/>
        </w:rPr>
        <w:t>política de cumplimiento y buenas prácticas en materia fiscal menciona expresamente que “</w:t>
      </w:r>
      <w:r w:rsidR="00F7530E">
        <w:rPr>
          <w:rFonts w:ascii="Open Sans" w:hAnsi="Open Sans"/>
          <w:i/>
          <w:sz w:val="20"/>
          <w:szCs w:val="20"/>
        </w:rPr>
        <w:t>no tiene presencia en territorios calificados como paraísos fiscales, y sus operaciones comerciales con terceros en esos o cualesquiera otros territorios se enmarcan en su actividad industrial y comercial ordinaria</w:t>
      </w:r>
      <w:r w:rsidR="00F7530E">
        <w:rPr>
          <w:rFonts w:ascii="Open Sans" w:hAnsi="Open Sans"/>
          <w:sz w:val="20"/>
          <w:szCs w:val="20"/>
        </w:rPr>
        <w:t>”.</w:t>
      </w:r>
    </w:p>
    <w:p w14:paraId="751D5290" w14:textId="77777777" w:rsidR="00F7530E" w:rsidRPr="00E81D87" w:rsidRDefault="00F7530E" w:rsidP="00F7530E">
      <w:pPr>
        <w:jc w:val="both"/>
        <w:rPr>
          <w:rFonts w:ascii="Open Sans" w:hAnsi="Open Sans" w:cs="Open Sans"/>
          <w:b/>
          <w:sz w:val="20"/>
          <w:szCs w:val="20"/>
        </w:rPr>
      </w:pPr>
    </w:p>
    <w:p w14:paraId="00F5596D" w14:textId="47EB8D31" w:rsidR="00F7530E" w:rsidRDefault="00FD7B63" w:rsidP="00F7530E">
      <w:pPr>
        <w:autoSpaceDE w:val="0"/>
        <w:autoSpaceDN w:val="0"/>
        <w:adjustRightInd w:val="0"/>
        <w:jc w:val="both"/>
        <w:rPr>
          <w:b/>
        </w:rPr>
      </w:pPr>
      <w:r>
        <w:rPr>
          <w:rFonts w:ascii="Open Sans" w:hAnsi="Open Sans" w:cs="Open Sans"/>
          <w:sz w:val="20"/>
          <w:szCs w:val="20"/>
        </w:rPr>
        <w:t>BANKIA</w:t>
      </w:r>
      <w:r w:rsidR="00F7530E">
        <w:rPr>
          <w:rFonts w:ascii="Open Sans" w:hAnsi="Open Sans" w:cs="Open Sans"/>
          <w:sz w:val="20"/>
          <w:szCs w:val="20"/>
        </w:rPr>
        <w:t xml:space="preserve"> afirma que “</w:t>
      </w:r>
      <w:r w:rsidR="00F7530E" w:rsidRPr="00A325E0">
        <w:rPr>
          <w:rFonts w:ascii="Open Sans" w:hAnsi="Open Sans" w:cs="Open Sans"/>
          <w:i/>
          <w:sz w:val="20"/>
          <w:szCs w:val="20"/>
        </w:rPr>
        <w:t>no opera en paraísos fiscales con la finalidad de eludir sus obligaciones fiscales y que no utiliza estructuras fiscales artificiosas destinadas a la evasión fiscal, que no cumplan con el espíritu de la normativa local o internacional</w:t>
      </w:r>
      <w:r w:rsidR="00F7530E">
        <w:rPr>
          <w:rFonts w:ascii="Open Sans" w:hAnsi="Open Sans" w:cs="Open Sans"/>
          <w:sz w:val="20"/>
          <w:szCs w:val="20"/>
        </w:rPr>
        <w:t>”. Sin embargo no se encontrado información sobre qué considera Bankia paraíso o nicho fiscal.</w:t>
      </w:r>
    </w:p>
    <w:p w14:paraId="5F74487E" w14:textId="77777777" w:rsidR="00F7530E" w:rsidRDefault="00F7530E" w:rsidP="00F7530E">
      <w:pPr>
        <w:jc w:val="both"/>
        <w:rPr>
          <w:rFonts w:ascii="Open Sans" w:eastAsia="Times New Roman" w:hAnsi="Open Sans" w:cs="Open Sans"/>
          <w:color w:val="000000"/>
          <w:sz w:val="20"/>
          <w:szCs w:val="20"/>
        </w:rPr>
      </w:pPr>
    </w:p>
    <w:p w14:paraId="0B0DF5D3" w14:textId="01F17115" w:rsidR="00F7530E" w:rsidRDefault="00FD7B63" w:rsidP="00F7530E">
      <w:pPr>
        <w:jc w:val="both"/>
        <w:rPr>
          <w:rFonts w:ascii="Open Sans" w:hAnsi="Open Sans" w:cs="Open Sans"/>
          <w:sz w:val="20"/>
          <w:szCs w:val="20"/>
        </w:rPr>
      </w:pPr>
      <w:r>
        <w:rPr>
          <w:rFonts w:ascii="Open Sans" w:hAnsi="Open Sans" w:cs="Open Sans"/>
          <w:sz w:val="20"/>
          <w:szCs w:val="20"/>
        </w:rPr>
        <w:t>CAIXABANK</w:t>
      </w:r>
      <w:r w:rsidR="00F7530E">
        <w:rPr>
          <w:rFonts w:ascii="Open Sans" w:hAnsi="Open Sans" w:cs="Open Sans"/>
          <w:sz w:val="20"/>
          <w:szCs w:val="20"/>
        </w:rPr>
        <w:t xml:space="preserve"> afirma que “</w:t>
      </w:r>
      <w:r w:rsidR="00F7530E" w:rsidRPr="00A325E0">
        <w:rPr>
          <w:rFonts w:ascii="Open Sans" w:hAnsi="Open Sans" w:cs="Open Sans"/>
          <w:i/>
          <w:sz w:val="20"/>
          <w:szCs w:val="20"/>
        </w:rPr>
        <w:t>evita operar en paraísos fiscal que no cumplan con los estándares de transparencia requeridos por las organizaciones internacionales rectoras del comercio y desarrollo mundial</w:t>
      </w:r>
      <w:r w:rsidR="00F7530E">
        <w:rPr>
          <w:rFonts w:ascii="Open Sans" w:hAnsi="Open Sans" w:cs="Open Sans"/>
          <w:sz w:val="20"/>
          <w:szCs w:val="20"/>
        </w:rPr>
        <w:t>”. Añade que “CaixaBank realiza su actividad económica en territorios que no tengan la condición de paraíso fiscal de conformidad con la normativa fiscal española y los Convenios Internacionales aplicables” sin embargo no especifica a qué convenios internacionales se refiere y además establece el supuesto excepcional de que para “</w:t>
      </w:r>
      <w:r w:rsidR="00F7530E" w:rsidRPr="00A325E0">
        <w:rPr>
          <w:rFonts w:ascii="Open Sans" w:hAnsi="Open Sans" w:cs="Open Sans"/>
          <w:i/>
          <w:sz w:val="20"/>
          <w:szCs w:val="20"/>
        </w:rPr>
        <w:t>la efectiva realización de una actividad económica requiera la toma de participación en una entidad situada en un territorio calificado como paraíso fiscal se someterá la transacción a la aprobación del Consejo de Administración tras verificarse que la necesaria ubicación de la actividad en ese territorio no tiene como fundamento minorar la tributación de CaixaBank o restar transparencia a su actuación</w:t>
      </w:r>
      <w:r w:rsidR="00F7530E">
        <w:rPr>
          <w:rFonts w:ascii="Open Sans" w:hAnsi="Open Sans" w:cs="Open Sans"/>
          <w:sz w:val="20"/>
          <w:szCs w:val="20"/>
        </w:rPr>
        <w:t>”.</w:t>
      </w:r>
    </w:p>
    <w:p w14:paraId="319C5BBF" w14:textId="77777777" w:rsidR="00F7530E" w:rsidRPr="00064AAE" w:rsidRDefault="00F7530E" w:rsidP="00F7530E">
      <w:pPr>
        <w:jc w:val="both"/>
        <w:rPr>
          <w:rFonts w:ascii="Open Sans" w:hAnsi="Open Sans" w:cs="Open Sans"/>
          <w:sz w:val="20"/>
          <w:szCs w:val="20"/>
        </w:rPr>
      </w:pPr>
    </w:p>
    <w:p w14:paraId="56787BC9" w14:textId="268BEBF3" w:rsidR="00F7530E" w:rsidRPr="00064AAE" w:rsidRDefault="00F7530E" w:rsidP="00F7530E">
      <w:pPr>
        <w:jc w:val="both"/>
        <w:rPr>
          <w:rFonts w:ascii="Open Sans" w:hAnsi="Open Sans" w:cs="Open Sans"/>
          <w:sz w:val="20"/>
          <w:szCs w:val="20"/>
        </w:rPr>
      </w:pPr>
      <w:r w:rsidRPr="00064AAE">
        <w:rPr>
          <w:rFonts w:ascii="Open Sans" w:hAnsi="Open Sans" w:cs="Open Sans"/>
          <w:sz w:val="20"/>
          <w:szCs w:val="20"/>
        </w:rPr>
        <w:t>EN</w:t>
      </w:r>
      <w:r w:rsidR="00FD7B63">
        <w:rPr>
          <w:rFonts w:ascii="Open Sans" w:hAnsi="Open Sans" w:cs="Open Sans"/>
          <w:sz w:val="20"/>
          <w:szCs w:val="20"/>
        </w:rPr>
        <w:t>A</w:t>
      </w:r>
      <w:r w:rsidRPr="00064AAE">
        <w:rPr>
          <w:rFonts w:ascii="Open Sans" w:hAnsi="Open Sans" w:cs="Open Sans"/>
          <w:sz w:val="20"/>
          <w:szCs w:val="20"/>
        </w:rPr>
        <w:t>GAS por su parte informa en su estrategia fiscal sobre: “</w:t>
      </w:r>
      <w:r w:rsidRPr="00064AAE">
        <w:rPr>
          <w:rFonts w:ascii="Open Sans" w:hAnsi="Open Sans" w:cs="Open Sans"/>
          <w:i/>
          <w:sz w:val="20"/>
          <w:szCs w:val="20"/>
        </w:rPr>
        <w:t>no utilizar, con la finalidad de minorar la carga impositiva, estructuras de carácter opaco o en las que la tributación no se adecúe a la ubicación de los medios materiales y humanos y al lugar de realización de las actividades de las entidades intervinientes, ni realizar, con igual fin, operaciones artificiosas no vinculadas a la actividad empresarial</w:t>
      </w:r>
      <w:r w:rsidRPr="00064AAE">
        <w:rPr>
          <w:rFonts w:ascii="Open Sans" w:hAnsi="Open Sans" w:cs="Open Sans"/>
          <w:sz w:val="20"/>
          <w:szCs w:val="20"/>
        </w:rPr>
        <w:t>”</w:t>
      </w:r>
      <w:r w:rsidRPr="00064AAE">
        <w:rPr>
          <w:rStyle w:val="Refdenotaalpie"/>
          <w:rFonts w:ascii="Open Sans" w:hAnsi="Open Sans" w:cs="Open Sans"/>
          <w:sz w:val="20"/>
          <w:szCs w:val="20"/>
        </w:rPr>
        <w:footnoteReference w:id="90"/>
      </w:r>
      <w:r w:rsidRPr="00064AAE">
        <w:rPr>
          <w:rFonts w:ascii="Open Sans" w:hAnsi="Open Sans" w:cs="Open Sans"/>
          <w:sz w:val="20"/>
          <w:szCs w:val="20"/>
        </w:rPr>
        <w:t xml:space="preserve"> </w:t>
      </w:r>
    </w:p>
    <w:p w14:paraId="6731C035" w14:textId="77777777" w:rsidR="00F7530E" w:rsidRPr="00064AAE" w:rsidRDefault="00F7530E" w:rsidP="00F7530E">
      <w:pPr>
        <w:jc w:val="both"/>
        <w:rPr>
          <w:rFonts w:ascii="Open Sans" w:hAnsi="Open Sans" w:cs="Open Sans"/>
          <w:sz w:val="20"/>
          <w:szCs w:val="20"/>
        </w:rPr>
      </w:pPr>
    </w:p>
    <w:p w14:paraId="0D473314" w14:textId="08548490" w:rsidR="00F7530E" w:rsidRPr="00064AAE" w:rsidRDefault="00F7530E" w:rsidP="00F7530E">
      <w:pPr>
        <w:jc w:val="both"/>
        <w:rPr>
          <w:rFonts w:ascii="Open Sans" w:hAnsi="Open Sans" w:cs="Open Sans"/>
          <w:sz w:val="20"/>
          <w:szCs w:val="20"/>
        </w:rPr>
      </w:pPr>
      <w:r w:rsidRPr="00FD7B63">
        <w:rPr>
          <w:rFonts w:ascii="Open Sans" w:hAnsi="Open Sans" w:cs="Open Sans"/>
          <w:b/>
          <w:sz w:val="20"/>
          <w:szCs w:val="20"/>
        </w:rPr>
        <w:t>Todas las empresas analizadas, con motivo de la modificación de la Ley de Sociedades de Capital, delegan en el Consejo de Administración la creación o adquisición de participaciones de sociedades en países o territorios que tengan la consideración de paraísos fiscales</w:t>
      </w:r>
      <w:r w:rsidRPr="00064AAE">
        <w:rPr>
          <w:rFonts w:ascii="Open Sans" w:hAnsi="Open Sans" w:cs="Open Sans"/>
          <w:sz w:val="20"/>
          <w:szCs w:val="20"/>
        </w:rPr>
        <w:t xml:space="preserve">. Sin embargo la mayor parte de ellas tampoco facilita información ni en los informes de buen gobierno ni en ninguna otra documentación publica sobre qué consideran paraíso fiscal. </w:t>
      </w:r>
    </w:p>
    <w:p w14:paraId="7F7F34CB" w14:textId="77777777" w:rsidR="00F7530E" w:rsidRPr="00064AAE" w:rsidRDefault="00F7530E" w:rsidP="00F7530E">
      <w:pPr>
        <w:jc w:val="both"/>
        <w:rPr>
          <w:rFonts w:ascii="Open Sans" w:hAnsi="Open Sans" w:cs="Open Sans"/>
          <w:sz w:val="20"/>
          <w:szCs w:val="20"/>
        </w:rPr>
      </w:pPr>
    </w:p>
    <w:p w14:paraId="4E19483B" w14:textId="74AE1261" w:rsidR="00F7530E" w:rsidRPr="00064AAE" w:rsidRDefault="00F7530E" w:rsidP="00F7530E">
      <w:pPr>
        <w:jc w:val="both"/>
        <w:rPr>
          <w:rFonts w:ascii="Open Sans" w:hAnsi="Open Sans" w:cs="Open Sans"/>
          <w:sz w:val="20"/>
          <w:szCs w:val="20"/>
          <w:u w:val="single"/>
        </w:rPr>
      </w:pPr>
      <w:r w:rsidRPr="00064AAE">
        <w:rPr>
          <w:rFonts w:ascii="Open Sans" w:hAnsi="Open Sans" w:cs="Open Sans"/>
          <w:sz w:val="20"/>
          <w:szCs w:val="20"/>
        </w:rPr>
        <w:t xml:space="preserve">En relación a nichos fiscales solamente INDRA y ENDESA hacen referencia al listado de Tax Justice Network. Algunas empresas asumen compromisos en contra de la elusión fiscal. Es habitual encontrar declaraciones o compromisos en contra de  generar estructuras opacas con el objetivo de minorar la carga tributaria a través de los paraísos fiscales y las estructuras de ingeniería fiscal, sin  embargo, y más allá de INDRA y ENDESA, ninguna hace referencia a qué considera nicho fiscal. </w:t>
      </w:r>
      <w:r w:rsidRPr="00F7530E">
        <w:rPr>
          <w:rFonts w:ascii="Open Sans" w:hAnsi="Open Sans" w:cs="Open Sans"/>
          <w:b/>
          <w:sz w:val="20"/>
          <w:szCs w:val="20"/>
        </w:rPr>
        <w:t>Ninguna empresa contempla varias listas de territorios en función del tipo de operativa, presencia y riesgo de elusión fiscal.</w:t>
      </w:r>
      <w:r w:rsidRPr="00064AAE">
        <w:rPr>
          <w:rFonts w:ascii="Open Sans" w:hAnsi="Open Sans" w:cs="Open Sans"/>
          <w:sz w:val="20"/>
          <w:szCs w:val="20"/>
          <w:u w:val="single"/>
        </w:rPr>
        <w:t xml:space="preserve"> </w:t>
      </w:r>
    </w:p>
    <w:p w14:paraId="3AF4DC45" w14:textId="77777777" w:rsidR="00F7530E" w:rsidRPr="00064AAE" w:rsidRDefault="00F7530E" w:rsidP="00F7530E">
      <w:pPr>
        <w:jc w:val="both"/>
        <w:rPr>
          <w:rFonts w:ascii="Open Sans" w:hAnsi="Open Sans" w:cs="Open Sans"/>
          <w:sz w:val="20"/>
          <w:szCs w:val="20"/>
          <w:u w:val="single"/>
        </w:rPr>
      </w:pPr>
    </w:p>
    <w:p w14:paraId="5EB31EED" w14:textId="77777777" w:rsidR="00F7530E" w:rsidRPr="00064AAE" w:rsidRDefault="00F7530E" w:rsidP="00F7530E">
      <w:pPr>
        <w:jc w:val="both"/>
        <w:rPr>
          <w:rFonts w:ascii="Open Sans" w:hAnsi="Open Sans" w:cs="Open Sans"/>
          <w:sz w:val="20"/>
          <w:szCs w:val="20"/>
        </w:rPr>
      </w:pPr>
      <w:r>
        <w:rPr>
          <w:rFonts w:ascii="Open Sans" w:hAnsi="Open Sans" w:cs="Open Sans"/>
          <w:sz w:val="20"/>
          <w:szCs w:val="20"/>
        </w:rPr>
        <w:t xml:space="preserve">La información sobre la presencia y operativa en nichos fiscales es muy relevante a efectos de rendición de cuentas en materia de fiscalidad responsable. </w:t>
      </w:r>
      <w:r w:rsidRPr="00064AAE">
        <w:rPr>
          <w:rFonts w:ascii="Open Sans" w:hAnsi="Open Sans" w:cs="Open Sans"/>
          <w:sz w:val="20"/>
          <w:szCs w:val="20"/>
        </w:rPr>
        <w:t>El uso cada vez más frecuente de los nichos fiscales es puesta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064AAE">
        <w:rPr>
          <w:rStyle w:val="Refdenotaalpie"/>
          <w:rFonts w:ascii="Open Sans" w:hAnsi="Open Sans" w:cs="Open Sans"/>
          <w:sz w:val="20"/>
          <w:szCs w:val="20"/>
        </w:rPr>
        <w:footnoteReference w:id="91"/>
      </w:r>
      <w:r w:rsidRPr="00064AAE">
        <w:rPr>
          <w:rFonts w:ascii="Open Sans" w:hAnsi="Open Sans" w:cs="Open Sans"/>
          <w:sz w:val="20"/>
          <w:szCs w:val="20"/>
        </w:rPr>
        <w:t>.</w:t>
      </w:r>
    </w:p>
    <w:p w14:paraId="6D87E4F6" w14:textId="77777777" w:rsidR="00F7530E" w:rsidRDefault="00F7530E" w:rsidP="009130AF">
      <w:pPr>
        <w:jc w:val="both"/>
        <w:rPr>
          <w:rFonts w:ascii="Open Sans" w:hAnsi="Open Sans"/>
          <w:b/>
          <w:sz w:val="22"/>
          <w:szCs w:val="22"/>
        </w:rPr>
      </w:pPr>
    </w:p>
    <w:p w14:paraId="1DFAFB9B" w14:textId="77777777" w:rsidR="00F7530E" w:rsidRDefault="00F7530E" w:rsidP="009130AF">
      <w:pPr>
        <w:jc w:val="both"/>
        <w:rPr>
          <w:rFonts w:ascii="Open Sans" w:hAnsi="Open Sans"/>
          <w:b/>
          <w:sz w:val="22"/>
          <w:szCs w:val="22"/>
        </w:rPr>
      </w:pPr>
    </w:p>
    <w:p w14:paraId="60E7A165" w14:textId="77777777" w:rsidR="00FD7B63" w:rsidRPr="009130AF" w:rsidRDefault="00FD7B63" w:rsidP="009130AF">
      <w:pPr>
        <w:jc w:val="both"/>
        <w:rPr>
          <w:rFonts w:ascii="Open Sans" w:hAnsi="Open Sans"/>
          <w:b/>
          <w:sz w:val="22"/>
          <w:szCs w:val="22"/>
        </w:rPr>
      </w:pPr>
    </w:p>
    <w:p w14:paraId="04C45DCE" w14:textId="79B414EC" w:rsidR="009130AF" w:rsidRDefault="009130AF" w:rsidP="009130AF">
      <w:pPr>
        <w:jc w:val="both"/>
        <w:rPr>
          <w:rFonts w:ascii="Open Sans" w:hAnsi="Open Sans"/>
          <w:b/>
          <w:sz w:val="22"/>
          <w:szCs w:val="22"/>
        </w:rPr>
      </w:pPr>
      <w:bookmarkStart w:id="41" w:name="PN2"/>
      <w:r w:rsidRPr="009130AF">
        <w:rPr>
          <w:rFonts w:ascii="Open Sans" w:hAnsi="Open Sans"/>
          <w:b/>
          <w:sz w:val="22"/>
          <w:szCs w:val="22"/>
        </w:rPr>
        <w:t>P.N.2 La empresa indica los paraísos fiscales en los que tiene presencia (incluyendo el número de sociedades)</w:t>
      </w:r>
      <w:bookmarkEnd w:id="41"/>
    </w:p>
    <w:p w14:paraId="13BE8E1E" w14:textId="77777777" w:rsidR="00F7530E" w:rsidRDefault="00F7530E" w:rsidP="009130AF">
      <w:pPr>
        <w:jc w:val="both"/>
        <w:rPr>
          <w:rFonts w:ascii="Open Sans" w:hAnsi="Open Sans"/>
          <w:b/>
          <w:sz w:val="22"/>
          <w:szCs w:val="22"/>
        </w:rPr>
      </w:pPr>
    </w:p>
    <w:p w14:paraId="0B791289" w14:textId="348CD59B" w:rsidR="00AA1975" w:rsidRDefault="0049669C" w:rsidP="00AA1975">
      <w:pPr>
        <w:jc w:val="both"/>
        <w:rPr>
          <w:rFonts w:ascii="Open Sans" w:hAnsi="Open Sans"/>
          <w:b/>
          <w:sz w:val="22"/>
          <w:szCs w:val="22"/>
        </w:rPr>
      </w:pPr>
      <w:r>
        <w:rPr>
          <w:rFonts w:ascii="Open Sans" w:hAnsi="Open Sans"/>
          <w:b/>
          <w:sz w:val="22"/>
          <w:szCs w:val="22"/>
        </w:rPr>
        <w:t>P.N.3</w:t>
      </w:r>
      <w:r w:rsidR="00AA1975" w:rsidRPr="009130AF">
        <w:rPr>
          <w:rFonts w:ascii="Open Sans" w:hAnsi="Open Sans"/>
          <w:b/>
          <w:sz w:val="22"/>
          <w:szCs w:val="22"/>
        </w:rPr>
        <w:t xml:space="preserve"> La empresa indica los </w:t>
      </w:r>
      <w:r w:rsidR="00AA1975">
        <w:rPr>
          <w:rFonts w:ascii="Open Sans" w:hAnsi="Open Sans"/>
          <w:b/>
          <w:sz w:val="22"/>
          <w:szCs w:val="22"/>
        </w:rPr>
        <w:t>nichos</w:t>
      </w:r>
      <w:r w:rsidR="00AA1975" w:rsidRPr="009130AF">
        <w:rPr>
          <w:rFonts w:ascii="Open Sans" w:hAnsi="Open Sans"/>
          <w:b/>
          <w:sz w:val="22"/>
          <w:szCs w:val="22"/>
        </w:rPr>
        <w:t xml:space="preserve"> fiscales en los que tiene presencia (incluyendo el número de sociedades)</w:t>
      </w:r>
    </w:p>
    <w:p w14:paraId="0495F326" w14:textId="77777777" w:rsidR="009130AF" w:rsidRDefault="009130AF" w:rsidP="009130AF">
      <w:pPr>
        <w:jc w:val="both"/>
        <w:rPr>
          <w:rFonts w:ascii="Open Sans" w:hAnsi="Open Sans"/>
          <w:b/>
          <w:sz w:val="22"/>
          <w:szCs w:val="22"/>
        </w:rPr>
      </w:pPr>
    </w:p>
    <w:p w14:paraId="12A44DF4" w14:textId="65D6CF36" w:rsidR="00F7530E" w:rsidRPr="00064AAE" w:rsidRDefault="00F7530E" w:rsidP="00F7530E">
      <w:pPr>
        <w:jc w:val="both"/>
        <w:rPr>
          <w:rFonts w:ascii="Open Sans" w:hAnsi="Open Sans" w:cs="Open Sans"/>
          <w:sz w:val="20"/>
          <w:szCs w:val="20"/>
        </w:rPr>
      </w:pPr>
      <w:r>
        <w:rPr>
          <w:rFonts w:ascii="Open Sans" w:hAnsi="Open Sans" w:cs="Open Sans"/>
          <w:sz w:val="20"/>
          <w:szCs w:val="20"/>
        </w:rPr>
        <w:t xml:space="preserve">Con </w:t>
      </w:r>
      <w:r w:rsidRPr="00064AAE">
        <w:rPr>
          <w:rFonts w:ascii="Open Sans" w:hAnsi="Open Sans" w:cs="Open Sans"/>
          <w:sz w:val="20"/>
          <w:szCs w:val="20"/>
        </w:rPr>
        <w:t xml:space="preserve">estos indicadores se persigue analizar si la empresa </w:t>
      </w:r>
      <w:r>
        <w:rPr>
          <w:rFonts w:ascii="Open Sans" w:hAnsi="Open Sans" w:cs="Open Sans"/>
          <w:sz w:val="20"/>
          <w:szCs w:val="20"/>
        </w:rPr>
        <w:t xml:space="preserve">informa sobre paraísos y/o </w:t>
      </w:r>
      <w:r w:rsidRPr="00064AAE">
        <w:rPr>
          <w:rFonts w:ascii="Open Sans" w:hAnsi="Open Sans" w:cs="Open Sans"/>
          <w:sz w:val="20"/>
          <w:szCs w:val="20"/>
        </w:rPr>
        <w:t xml:space="preserve">nichos fiscales en los que tiene presencia, si indica número de sociedades en cada paraíso </w:t>
      </w:r>
      <w:r>
        <w:rPr>
          <w:rFonts w:ascii="Open Sans" w:hAnsi="Open Sans" w:cs="Open Sans"/>
          <w:sz w:val="20"/>
          <w:szCs w:val="20"/>
        </w:rPr>
        <w:t xml:space="preserve">o nicho </w:t>
      </w:r>
      <w:r w:rsidRPr="00064AAE">
        <w:rPr>
          <w:rFonts w:ascii="Open Sans" w:hAnsi="Open Sans" w:cs="Open Sans"/>
          <w:sz w:val="20"/>
          <w:szCs w:val="20"/>
        </w:rPr>
        <w:t xml:space="preserve">fiscal y </w:t>
      </w:r>
      <w:r>
        <w:rPr>
          <w:rFonts w:ascii="Open Sans" w:hAnsi="Open Sans" w:cs="Open Sans"/>
          <w:sz w:val="20"/>
          <w:szCs w:val="20"/>
        </w:rPr>
        <w:t xml:space="preserve">si </w:t>
      </w:r>
      <w:r w:rsidRPr="00064AAE">
        <w:rPr>
          <w:rFonts w:ascii="Open Sans" w:hAnsi="Open Sans" w:cs="Open Sans"/>
          <w:sz w:val="20"/>
          <w:szCs w:val="20"/>
        </w:rPr>
        <w:t xml:space="preserve">explica a qué motivos responde su presencia en cada uno de ellos. </w:t>
      </w:r>
      <w:r>
        <w:rPr>
          <w:rFonts w:ascii="Open Sans" w:hAnsi="Open Sans" w:cs="Open Sans"/>
          <w:sz w:val="20"/>
          <w:szCs w:val="20"/>
        </w:rPr>
        <w:t xml:space="preserve">Para cumplir con el indicador </w:t>
      </w:r>
      <w:r w:rsidR="00E8623C">
        <w:rPr>
          <w:rFonts w:ascii="Open Sans" w:hAnsi="Open Sans" w:cs="Open Sans"/>
          <w:sz w:val="20"/>
          <w:szCs w:val="20"/>
        </w:rPr>
        <w:t xml:space="preserve">P.N.2 y P.N.3 </w:t>
      </w:r>
      <w:r>
        <w:rPr>
          <w:rFonts w:ascii="Open Sans" w:hAnsi="Open Sans" w:cs="Open Sans"/>
          <w:sz w:val="20"/>
          <w:szCs w:val="20"/>
        </w:rPr>
        <w:t xml:space="preserve">es suficiente que la empresa presente información  sobre los paraísos y nichos en los que tiene presencia. De acuerdo con este criterio </w:t>
      </w:r>
      <w:r w:rsidR="00AA1975">
        <w:rPr>
          <w:rFonts w:ascii="Open Sans" w:hAnsi="Open Sans" w:cs="Open Sans"/>
          <w:b/>
          <w:sz w:val="20"/>
          <w:szCs w:val="20"/>
        </w:rPr>
        <w:t>un total de 7</w:t>
      </w:r>
      <w:r w:rsidRPr="00F7530E">
        <w:rPr>
          <w:rFonts w:ascii="Open Sans" w:hAnsi="Open Sans" w:cs="Open Sans"/>
          <w:b/>
          <w:sz w:val="20"/>
          <w:szCs w:val="20"/>
        </w:rPr>
        <w:t xml:space="preserve"> empresas señala la presencia en paraísos fiscales</w:t>
      </w:r>
      <w:r w:rsidR="00FC1D38">
        <w:rPr>
          <w:rFonts w:ascii="Open Sans" w:hAnsi="Open Sans" w:cs="Open Sans"/>
          <w:sz w:val="20"/>
          <w:szCs w:val="20"/>
        </w:rPr>
        <w:t xml:space="preserve"> (20</w:t>
      </w:r>
      <w:r>
        <w:rPr>
          <w:rFonts w:ascii="Open Sans" w:hAnsi="Open Sans" w:cs="Open Sans"/>
          <w:sz w:val="20"/>
          <w:szCs w:val="20"/>
        </w:rPr>
        <w:t xml:space="preserve">% de las analizadas) </w:t>
      </w:r>
      <w:r w:rsidRPr="00F7530E">
        <w:rPr>
          <w:rFonts w:ascii="Open Sans" w:hAnsi="Open Sans" w:cs="Open Sans"/>
          <w:b/>
          <w:sz w:val="20"/>
          <w:szCs w:val="20"/>
        </w:rPr>
        <w:t xml:space="preserve">y </w:t>
      </w:r>
      <w:r w:rsidR="00FC1D38">
        <w:rPr>
          <w:rFonts w:ascii="Open Sans" w:hAnsi="Open Sans" w:cs="Open Sans"/>
          <w:b/>
          <w:sz w:val="20"/>
          <w:szCs w:val="20"/>
        </w:rPr>
        <w:t>3</w:t>
      </w:r>
      <w:r w:rsidRPr="00F7530E">
        <w:rPr>
          <w:rFonts w:ascii="Open Sans" w:hAnsi="Open Sans" w:cs="Open Sans"/>
          <w:b/>
          <w:sz w:val="20"/>
          <w:szCs w:val="20"/>
        </w:rPr>
        <w:t xml:space="preserve"> </w:t>
      </w:r>
      <w:r>
        <w:rPr>
          <w:rFonts w:ascii="Open Sans" w:hAnsi="Open Sans" w:cs="Open Sans"/>
          <w:sz w:val="20"/>
          <w:szCs w:val="20"/>
        </w:rPr>
        <w:t>(</w:t>
      </w:r>
      <w:r w:rsidR="00FC1D38">
        <w:rPr>
          <w:rFonts w:ascii="Open Sans" w:hAnsi="Open Sans" w:cs="Open Sans"/>
          <w:sz w:val="20"/>
          <w:szCs w:val="20"/>
        </w:rPr>
        <w:t>9</w:t>
      </w:r>
      <w:r>
        <w:rPr>
          <w:rFonts w:ascii="Open Sans" w:hAnsi="Open Sans" w:cs="Open Sans"/>
          <w:sz w:val="20"/>
          <w:szCs w:val="20"/>
        </w:rPr>
        <w:t xml:space="preserve">% de las analizadas) </w:t>
      </w:r>
      <w:r w:rsidRPr="00F7530E">
        <w:rPr>
          <w:rFonts w:ascii="Open Sans" w:hAnsi="Open Sans" w:cs="Open Sans"/>
          <w:b/>
          <w:sz w:val="20"/>
          <w:szCs w:val="20"/>
        </w:rPr>
        <w:t>lo hacen en relación a nichos fiscales.</w:t>
      </w:r>
    </w:p>
    <w:p w14:paraId="444F4FC6" w14:textId="77777777" w:rsidR="00F7530E" w:rsidRDefault="00F7530E" w:rsidP="00F7530E">
      <w:pPr>
        <w:jc w:val="both"/>
        <w:rPr>
          <w:rFonts w:ascii="Open Sans" w:eastAsia="Times New Roman" w:hAnsi="Open Sans" w:cs="Open Sans"/>
          <w:b/>
          <w:color w:val="000000"/>
          <w:sz w:val="20"/>
          <w:szCs w:val="20"/>
        </w:rPr>
      </w:pPr>
    </w:p>
    <w:p w14:paraId="31B444DF" w14:textId="568F6784" w:rsidR="00F7530E" w:rsidRDefault="00F7530E" w:rsidP="00F7530E">
      <w:pPr>
        <w:jc w:val="both"/>
        <w:rPr>
          <w:rFonts w:ascii="Open Sans" w:eastAsia="Times New Roman" w:hAnsi="Open Sans" w:cs="Open Sans"/>
          <w:color w:val="000000"/>
          <w:sz w:val="20"/>
          <w:szCs w:val="20"/>
        </w:rPr>
      </w:pPr>
      <w:r w:rsidRPr="007B4E91">
        <w:rPr>
          <w:rFonts w:ascii="Open Sans" w:eastAsia="Times New Roman" w:hAnsi="Open Sans" w:cs="Open Sans"/>
          <w:color w:val="000000"/>
          <w:sz w:val="20"/>
          <w:szCs w:val="20"/>
        </w:rPr>
        <w:t xml:space="preserve">Pese a la inmensa mayoría de las empresas </w:t>
      </w:r>
      <w:r>
        <w:rPr>
          <w:rFonts w:ascii="Open Sans" w:eastAsia="Times New Roman" w:hAnsi="Open Sans" w:cs="Open Sans"/>
          <w:color w:val="000000"/>
          <w:sz w:val="20"/>
          <w:szCs w:val="20"/>
        </w:rPr>
        <w:t xml:space="preserve">analizadas no declara su presencia expresamente en paraísos y/o nichos fiscales más allá de la información recogida en el  anexo de las cuentas anuales, donde se detalla la relación de sociedades dependientes, siguiendo la metodología del Observatorio de RSC se han identificado </w:t>
      </w:r>
      <w:r w:rsidRPr="00FD7B63">
        <w:rPr>
          <w:rFonts w:ascii="Open Sans" w:eastAsia="Times New Roman" w:hAnsi="Open Sans" w:cs="Open Sans"/>
          <w:b/>
          <w:color w:val="000000"/>
          <w:sz w:val="20"/>
          <w:szCs w:val="20"/>
        </w:rPr>
        <w:t>1.</w:t>
      </w:r>
      <w:r w:rsidR="00FC1D38" w:rsidRPr="00FD7B63">
        <w:rPr>
          <w:rFonts w:ascii="Open Sans" w:eastAsia="Times New Roman" w:hAnsi="Open Sans" w:cs="Open Sans"/>
          <w:b/>
          <w:color w:val="000000"/>
          <w:sz w:val="20"/>
          <w:szCs w:val="20"/>
        </w:rPr>
        <w:t>297</w:t>
      </w:r>
      <w:r w:rsidRPr="00FD7B63">
        <w:rPr>
          <w:rFonts w:ascii="Open Sans" w:eastAsia="Times New Roman" w:hAnsi="Open Sans" w:cs="Open Sans"/>
          <w:b/>
          <w:color w:val="000000"/>
          <w:sz w:val="20"/>
          <w:szCs w:val="20"/>
        </w:rPr>
        <w:t xml:space="preserve"> sociedades sitas en paraísos o nichos fiscales.</w:t>
      </w:r>
      <w:r w:rsidRPr="00AA7763">
        <w:rPr>
          <w:rFonts w:ascii="Open Sans" w:eastAsia="Times New Roman" w:hAnsi="Open Sans" w:cs="Open Sans"/>
          <w:color w:val="000000"/>
          <w:sz w:val="20"/>
          <w:szCs w:val="20"/>
          <w:u w:val="single"/>
        </w:rPr>
        <w:t xml:space="preserve"> </w:t>
      </w:r>
      <w:r w:rsidR="00201B90" w:rsidRPr="00201B90">
        <w:rPr>
          <w:rFonts w:ascii="Open Sans" w:eastAsia="Times New Roman" w:hAnsi="Open Sans" w:cs="Open Sans"/>
          <w:color w:val="000000"/>
          <w:sz w:val="20"/>
          <w:szCs w:val="20"/>
        </w:rPr>
        <w:t>Esto supone un incremento de 406</w:t>
      </w:r>
      <w:r w:rsidRPr="00201B90">
        <w:rPr>
          <w:rFonts w:ascii="Open Sans" w:eastAsia="Times New Roman" w:hAnsi="Open Sans" w:cs="Open Sans"/>
          <w:color w:val="000000"/>
          <w:sz w:val="20"/>
          <w:szCs w:val="20"/>
        </w:rPr>
        <w:t xml:space="preserve"> so</w:t>
      </w:r>
      <w:r w:rsidR="00201B90" w:rsidRPr="00201B90">
        <w:rPr>
          <w:rFonts w:ascii="Open Sans" w:eastAsia="Times New Roman" w:hAnsi="Open Sans" w:cs="Open Sans"/>
          <w:color w:val="000000"/>
          <w:sz w:val="20"/>
          <w:szCs w:val="20"/>
        </w:rPr>
        <w:t>ciedades lo que equivale a un 46</w:t>
      </w:r>
      <w:r w:rsidRPr="00201B90">
        <w:rPr>
          <w:rFonts w:ascii="Open Sans" w:eastAsia="Times New Roman" w:hAnsi="Open Sans" w:cs="Open Sans"/>
          <w:color w:val="000000"/>
          <w:sz w:val="20"/>
          <w:szCs w:val="20"/>
        </w:rPr>
        <w:t>%</w:t>
      </w:r>
      <w:r w:rsidR="00201B90" w:rsidRPr="00201B90">
        <w:rPr>
          <w:rFonts w:ascii="Open Sans" w:eastAsia="Times New Roman" w:hAnsi="Open Sans" w:cs="Open Sans"/>
          <w:color w:val="000000"/>
          <w:sz w:val="20"/>
          <w:szCs w:val="20"/>
        </w:rPr>
        <w:t xml:space="preserve"> con respecto al ejercicio anterior</w:t>
      </w:r>
      <w:r w:rsidRPr="00201B90">
        <w:rPr>
          <w:rFonts w:ascii="Open Sans" w:eastAsia="Times New Roman" w:hAnsi="Open Sans" w:cs="Open Sans"/>
          <w:color w:val="000000"/>
          <w:sz w:val="20"/>
          <w:szCs w:val="20"/>
        </w:rPr>
        <w:t xml:space="preserve">. </w:t>
      </w:r>
      <w:r>
        <w:rPr>
          <w:rFonts w:ascii="Open Sans" w:eastAsia="Times New Roman" w:hAnsi="Open Sans" w:cs="Open Sans"/>
          <w:color w:val="000000"/>
          <w:sz w:val="20"/>
          <w:szCs w:val="20"/>
        </w:rPr>
        <w:t xml:space="preserve">Este fuerte crecimiento </w:t>
      </w:r>
      <w:r w:rsidR="00BF650E">
        <w:rPr>
          <w:rFonts w:ascii="Open Sans" w:eastAsia="Times New Roman" w:hAnsi="Open Sans" w:cs="Open Sans"/>
          <w:color w:val="000000"/>
          <w:sz w:val="20"/>
          <w:szCs w:val="20"/>
        </w:rPr>
        <w:t xml:space="preserve">está fundamentalmente </w:t>
      </w:r>
      <w:r>
        <w:rPr>
          <w:rFonts w:ascii="Open Sans" w:eastAsia="Times New Roman" w:hAnsi="Open Sans" w:cs="Open Sans"/>
          <w:color w:val="000000"/>
          <w:sz w:val="20"/>
          <w:szCs w:val="20"/>
        </w:rPr>
        <w:t xml:space="preserve"> motivado porque este año se han considerado </w:t>
      </w:r>
      <w:r w:rsidR="00BF650E">
        <w:rPr>
          <w:rFonts w:ascii="Open Sans" w:eastAsia="Times New Roman" w:hAnsi="Open Sans" w:cs="Open Sans"/>
          <w:color w:val="000000"/>
          <w:sz w:val="20"/>
          <w:szCs w:val="20"/>
        </w:rPr>
        <w:t xml:space="preserve">en el análisis </w:t>
      </w:r>
      <w:r>
        <w:rPr>
          <w:rFonts w:ascii="Open Sans" w:eastAsia="Times New Roman" w:hAnsi="Open Sans" w:cs="Open Sans"/>
          <w:color w:val="000000"/>
          <w:sz w:val="20"/>
          <w:szCs w:val="20"/>
        </w:rPr>
        <w:t xml:space="preserve">todas las sociedades cuyo domicilio esté </w:t>
      </w:r>
      <w:r w:rsidR="00BF650E">
        <w:rPr>
          <w:rFonts w:ascii="Open Sans" w:eastAsia="Times New Roman" w:hAnsi="Open Sans" w:cs="Open Sans"/>
          <w:color w:val="000000"/>
          <w:sz w:val="20"/>
          <w:szCs w:val="20"/>
        </w:rPr>
        <w:t xml:space="preserve">radicado </w:t>
      </w:r>
      <w:r>
        <w:rPr>
          <w:rFonts w:ascii="Open Sans" w:eastAsia="Times New Roman" w:hAnsi="Open Sans" w:cs="Open Sans"/>
          <w:color w:val="000000"/>
          <w:sz w:val="20"/>
          <w:szCs w:val="20"/>
        </w:rPr>
        <w:t xml:space="preserve">en un paraíso o nicho fiscal. Hasta el año pasado el Observatorio de RSC en sus estudios solamente contabilizaba aquellas sociedades en países o territorios en los que la empresa no </w:t>
      </w:r>
      <w:r>
        <w:rPr>
          <w:rFonts w:ascii="Open Sans" w:eastAsia="Times New Roman" w:hAnsi="Open Sans" w:cs="Times New Roman"/>
          <w:sz w:val="20"/>
          <w:lang w:val="es-ES" w:eastAsia="ar-SA"/>
        </w:rPr>
        <w:t xml:space="preserve">realiza actividad operativa, o la sociedad identificada tuviese  mero carácter instrumental y financiero, o bien cuya ubicación geográfica no tuviese relación con el tipo de operaciones que realiza (sociedades de cartera, financieras, tenencia de acciones, banca, servicios financieros, instrumental financiera, reaseguros, gestora de fondos de inversión, emisión de participaciones preferentes de capital).  </w:t>
      </w:r>
      <w:r>
        <w:rPr>
          <w:rFonts w:ascii="Open Sans" w:eastAsia="Times New Roman" w:hAnsi="Open Sans" w:cs="Open Sans"/>
          <w:color w:val="000000"/>
          <w:sz w:val="20"/>
          <w:szCs w:val="20"/>
        </w:rPr>
        <w:t xml:space="preserve"> El cambio de criterio se debe a varios motivos: En muchas ocasiones con la información que aparece en el anexo de cuentas anuales no es posible identificar si la empresa realiza una actividad operativa en el país. Por otro lado en ocasiones se identificaba por otras fuentes una actividad operativa de la empresa que no se justificaba con el número de sociedades en el país o territorio. Por último, lo relevante es conocer qué tipo de actividades se están realizando, volumen de activos, operaciones intragrupo, margen bruto, resultado contable, base imponible, acuerdos, si los hubiese con los Estados, beneficios, impuestos y número de empleados.  </w:t>
      </w:r>
    </w:p>
    <w:p w14:paraId="148CC818" w14:textId="77777777" w:rsidR="00846272" w:rsidRDefault="00846272" w:rsidP="00F7530E">
      <w:pPr>
        <w:jc w:val="both"/>
        <w:rPr>
          <w:rFonts w:ascii="Open Sans" w:eastAsia="Times New Roman" w:hAnsi="Open Sans" w:cs="Open Sans"/>
          <w:color w:val="000000"/>
          <w:sz w:val="20"/>
          <w:szCs w:val="20"/>
        </w:rPr>
      </w:pPr>
    </w:p>
    <w:p w14:paraId="77E4F2EB" w14:textId="6C602FDE" w:rsidR="00846272" w:rsidRDefault="00846272" w:rsidP="00F7530E">
      <w:pPr>
        <w:jc w:val="both"/>
        <w:rPr>
          <w:rFonts w:ascii="Open Sans" w:hAnsi="Open Sans" w:cs="Arial"/>
          <w:bCs/>
          <w:sz w:val="20"/>
          <w:szCs w:val="20"/>
        </w:rPr>
      </w:pPr>
      <w:r>
        <w:rPr>
          <w:rFonts w:ascii="Open Sans" w:eastAsia="Times New Roman" w:hAnsi="Open Sans" w:cs="Open Sans"/>
          <w:color w:val="000000"/>
          <w:sz w:val="20"/>
          <w:szCs w:val="20"/>
        </w:rPr>
        <w:t xml:space="preserve">No obstante, en el presente estudio se ha diferenciado entre sociedades en las que la empresa realiza en el territorio alguna </w:t>
      </w:r>
      <w:r w:rsidR="007F55EB">
        <w:rPr>
          <w:rFonts w:ascii="Open Sans" w:eastAsia="Times New Roman" w:hAnsi="Open Sans" w:cs="Open Sans"/>
          <w:color w:val="000000"/>
          <w:sz w:val="20"/>
          <w:szCs w:val="20"/>
        </w:rPr>
        <w:t>actividad</w:t>
      </w:r>
      <w:r>
        <w:rPr>
          <w:rFonts w:ascii="Open Sans" w:eastAsia="Times New Roman" w:hAnsi="Open Sans" w:cs="Open Sans"/>
          <w:color w:val="000000"/>
          <w:sz w:val="20"/>
          <w:szCs w:val="20"/>
        </w:rPr>
        <w:t xml:space="preserve"> de tipo productivo o comercial y </w:t>
      </w:r>
      <w:r w:rsidR="00FD7B63">
        <w:rPr>
          <w:rFonts w:ascii="Open Sans" w:eastAsia="Times New Roman" w:hAnsi="Open Sans" w:cs="Open Sans"/>
          <w:color w:val="000000"/>
          <w:sz w:val="20"/>
          <w:szCs w:val="20"/>
        </w:rPr>
        <w:t>aquellas</w:t>
      </w:r>
      <w:r>
        <w:rPr>
          <w:rFonts w:ascii="Open Sans" w:eastAsia="Times New Roman" w:hAnsi="Open Sans" w:cs="Open Sans"/>
          <w:color w:val="000000"/>
          <w:sz w:val="20"/>
          <w:szCs w:val="20"/>
        </w:rPr>
        <w:t xml:space="preserve"> otras que o bien tienen carácter financiero, </w:t>
      </w:r>
      <w:r w:rsidR="00FD7B63">
        <w:rPr>
          <w:rFonts w:ascii="Open Sans" w:eastAsia="Times New Roman" w:hAnsi="Open Sans" w:cs="Open Sans"/>
          <w:color w:val="000000"/>
          <w:sz w:val="20"/>
          <w:szCs w:val="20"/>
        </w:rPr>
        <w:t>u ofrecen</w:t>
      </w:r>
      <w:r>
        <w:rPr>
          <w:rFonts w:ascii="Open Sans" w:eastAsia="Times New Roman" w:hAnsi="Open Sans" w:cs="Open Sans"/>
          <w:color w:val="000000"/>
          <w:sz w:val="20"/>
          <w:szCs w:val="20"/>
        </w:rPr>
        <w:t xml:space="preserve"> dudas sobre si su ubicación responde a razones vinculadas con la producción o acción comercial de la empresa:</w:t>
      </w:r>
    </w:p>
    <w:p w14:paraId="2FA6CDD4" w14:textId="77777777" w:rsidR="00F7530E" w:rsidRDefault="00F7530E" w:rsidP="00F7530E">
      <w:pPr>
        <w:jc w:val="both"/>
        <w:rPr>
          <w:rFonts w:ascii="Open Sans" w:eastAsia="Times New Roman" w:hAnsi="Open Sans" w:cs="Open Sans"/>
          <w:b/>
          <w:color w:val="000000"/>
          <w:sz w:val="20"/>
          <w:szCs w:val="20"/>
        </w:rPr>
      </w:pPr>
    </w:p>
    <w:tbl>
      <w:tblPr>
        <w:tblW w:w="7046" w:type="dxa"/>
        <w:jc w:val="center"/>
        <w:tblInd w:w="-1108" w:type="dxa"/>
        <w:tblCellMar>
          <w:left w:w="70" w:type="dxa"/>
          <w:right w:w="70" w:type="dxa"/>
        </w:tblCellMar>
        <w:tblLook w:val="04A0" w:firstRow="1" w:lastRow="0" w:firstColumn="1" w:lastColumn="0" w:noHBand="0" w:noVBand="1"/>
      </w:tblPr>
      <w:tblGrid>
        <w:gridCol w:w="1684"/>
        <w:gridCol w:w="2126"/>
        <w:gridCol w:w="3236"/>
      </w:tblGrid>
      <w:tr w:rsidR="00254660" w:rsidRPr="00C62902" w14:paraId="68C59F17" w14:textId="77777777" w:rsidTr="00C62902">
        <w:trPr>
          <w:trHeight w:val="334"/>
          <w:jc w:val="center"/>
        </w:trPr>
        <w:tc>
          <w:tcPr>
            <w:tcW w:w="7046" w:type="dxa"/>
            <w:gridSpan w:val="3"/>
            <w:tcBorders>
              <w:top w:val="single" w:sz="8" w:space="0" w:color="auto"/>
              <w:left w:val="single" w:sz="8" w:space="0" w:color="auto"/>
              <w:bottom w:val="single" w:sz="8" w:space="0" w:color="auto"/>
              <w:right w:val="single" w:sz="8" w:space="0" w:color="auto"/>
            </w:tcBorders>
            <w:shd w:val="clear" w:color="000000" w:fill="F2AC3C"/>
            <w:vAlign w:val="center"/>
            <w:hideMark/>
          </w:tcPr>
          <w:p w14:paraId="29DB9A92" w14:textId="77777777" w:rsidR="00254660" w:rsidRPr="00C62902" w:rsidRDefault="00254660" w:rsidP="00846272">
            <w:pPr>
              <w:jc w:val="center"/>
              <w:rPr>
                <w:rFonts w:ascii="Open Sans" w:eastAsia="Times New Roman" w:hAnsi="Open Sans" w:cs="Open Sans"/>
                <w:b/>
                <w:bCs/>
                <w:color w:val="FFFFFF"/>
                <w:sz w:val="20"/>
                <w:szCs w:val="20"/>
                <w:lang w:val="es-ES"/>
              </w:rPr>
            </w:pPr>
            <w:r w:rsidRPr="00C62902">
              <w:rPr>
                <w:rFonts w:ascii="Open Sans" w:eastAsia="Times New Roman" w:hAnsi="Open Sans" w:cs="Open Sans"/>
                <w:b/>
                <w:bCs/>
                <w:color w:val="FFFFFF"/>
                <w:sz w:val="20"/>
                <w:szCs w:val="20"/>
                <w:lang w:val="es-ES"/>
              </w:rPr>
              <w:t xml:space="preserve">Nº Sociedades en paraísos fiscales 2015 </w:t>
            </w:r>
          </w:p>
        </w:tc>
      </w:tr>
      <w:tr w:rsidR="00C62902" w:rsidRPr="00C62902" w14:paraId="217962C9" w14:textId="77777777" w:rsidTr="00C62902">
        <w:trPr>
          <w:trHeight w:val="409"/>
          <w:jc w:val="center"/>
        </w:trPr>
        <w:tc>
          <w:tcPr>
            <w:tcW w:w="1684" w:type="dxa"/>
            <w:tcBorders>
              <w:top w:val="nil"/>
              <w:left w:val="single" w:sz="8" w:space="0" w:color="auto"/>
              <w:bottom w:val="single" w:sz="8" w:space="0" w:color="auto"/>
              <w:right w:val="single" w:sz="8" w:space="0" w:color="auto"/>
            </w:tcBorders>
            <w:shd w:val="clear" w:color="000000" w:fill="A0A0A0"/>
            <w:vAlign w:val="center"/>
          </w:tcPr>
          <w:p w14:paraId="00751D36" w14:textId="5616DE40" w:rsidR="00C62902" w:rsidRPr="00C62902" w:rsidRDefault="00C62902" w:rsidP="00846272">
            <w:pPr>
              <w:jc w:val="center"/>
              <w:rPr>
                <w:rFonts w:ascii="Open Sans" w:eastAsia="Times New Roman" w:hAnsi="Open Sans" w:cs="Open Sans"/>
                <w:b/>
                <w:bCs/>
                <w:color w:val="FFFFFF"/>
                <w:sz w:val="20"/>
                <w:szCs w:val="20"/>
                <w:lang w:val="es-ES"/>
              </w:rPr>
            </w:pPr>
            <w:r w:rsidRPr="00C62902">
              <w:rPr>
                <w:rFonts w:ascii="Open Sans" w:eastAsia="Times New Roman" w:hAnsi="Open Sans" w:cs="Open Sans"/>
                <w:b/>
                <w:bCs/>
                <w:color w:val="FFFFFF"/>
                <w:sz w:val="20"/>
                <w:szCs w:val="20"/>
                <w:lang w:val="es-ES"/>
              </w:rPr>
              <w:t>TOTAL</w:t>
            </w:r>
          </w:p>
        </w:tc>
        <w:tc>
          <w:tcPr>
            <w:tcW w:w="2126" w:type="dxa"/>
            <w:tcBorders>
              <w:top w:val="nil"/>
              <w:left w:val="nil"/>
              <w:bottom w:val="single" w:sz="8" w:space="0" w:color="auto"/>
              <w:right w:val="single" w:sz="8" w:space="0" w:color="auto"/>
            </w:tcBorders>
            <w:shd w:val="clear" w:color="000000" w:fill="A0A0A0"/>
            <w:vAlign w:val="center"/>
          </w:tcPr>
          <w:p w14:paraId="7BB2BEAF" w14:textId="15A650B4" w:rsidR="00C62902" w:rsidRPr="00C62902" w:rsidRDefault="00C62902" w:rsidP="00846272">
            <w:pPr>
              <w:jc w:val="center"/>
              <w:rPr>
                <w:rFonts w:ascii="Open Sans" w:eastAsia="Times New Roman" w:hAnsi="Open Sans" w:cs="Open Sans"/>
                <w:b/>
                <w:bCs/>
                <w:color w:val="FFFFFF"/>
                <w:sz w:val="20"/>
                <w:szCs w:val="20"/>
                <w:lang w:val="es-ES"/>
              </w:rPr>
            </w:pPr>
            <w:r w:rsidRPr="00C62902">
              <w:rPr>
                <w:rFonts w:ascii="Open Sans" w:eastAsia="Times New Roman" w:hAnsi="Open Sans" w:cs="Open Sans"/>
                <w:b/>
                <w:bCs/>
                <w:color w:val="FFFFFF"/>
                <w:sz w:val="20"/>
                <w:szCs w:val="20"/>
                <w:lang w:val="es-ES"/>
              </w:rPr>
              <w:t>OPERATIVAS</w:t>
            </w:r>
          </w:p>
        </w:tc>
        <w:tc>
          <w:tcPr>
            <w:tcW w:w="3236" w:type="dxa"/>
            <w:tcBorders>
              <w:top w:val="nil"/>
              <w:left w:val="nil"/>
              <w:bottom w:val="single" w:sz="8" w:space="0" w:color="auto"/>
              <w:right w:val="single" w:sz="8" w:space="0" w:color="auto"/>
            </w:tcBorders>
            <w:shd w:val="clear" w:color="000000" w:fill="A0A0A0"/>
            <w:vAlign w:val="center"/>
            <w:hideMark/>
          </w:tcPr>
          <w:p w14:paraId="134A3900" w14:textId="62E5FE61" w:rsidR="00C62902" w:rsidRPr="00C62902" w:rsidRDefault="00C62902" w:rsidP="00C62902">
            <w:pPr>
              <w:jc w:val="center"/>
              <w:rPr>
                <w:rFonts w:ascii="Open Sans" w:eastAsia="Times New Roman" w:hAnsi="Open Sans" w:cs="Open Sans"/>
                <w:b/>
                <w:bCs/>
                <w:color w:val="FFFFFF"/>
                <w:sz w:val="20"/>
                <w:szCs w:val="20"/>
                <w:lang w:val="es-ES"/>
              </w:rPr>
            </w:pPr>
            <w:r w:rsidRPr="00C62902">
              <w:rPr>
                <w:rFonts w:ascii="Open Sans" w:eastAsia="Times New Roman" w:hAnsi="Open Sans" w:cs="Open Sans"/>
                <w:b/>
                <w:bCs/>
                <w:color w:val="FFFFFF"/>
                <w:sz w:val="20"/>
                <w:szCs w:val="20"/>
                <w:lang w:val="es-ES"/>
              </w:rPr>
              <w:t>FINANCIERAS, SIN ACTIVIDAD EN EL PAÍS…</w:t>
            </w:r>
          </w:p>
        </w:tc>
      </w:tr>
      <w:tr w:rsidR="00C62902" w:rsidRPr="00C62902" w14:paraId="020B6911" w14:textId="77777777" w:rsidTr="000E628F">
        <w:trPr>
          <w:trHeight w:val="315"/>
          <w:jc w:val="center"/>
        </w:trPr>
        <w:tc>
          <w:tcPr>
            <w:tcW w:w="1684" w:type="dxa"/>
            <w:tcBorders>
              <w:top w:val="nil"/>
              <w:left w:val="single" w:sz="8" w:space="0" w:color="auto"/>
              <w:bottom w:val="single" w:sz="8" w:space="0" w:color="auto"/>
              <w:right w:val="single" w:sz="8" w:space="0" w:color="auto"/>
            </w:tcBorders>
            <w:shd w:val="clear" w:color="auto" w:fill="auto"/>
            <w:vAlign w:val="center"/>
          </w:tcPr>
          <w:p w14:paraId="48CF6BD2" w14:textId="4A7F9D79" w:rsidR="00C62902" w:rsidRPr="00C62902" w:rsidRDefault="00C62902" w:rsidP="005933E5">
            <w:pPr>
              <w:jc w:val="center"/>
              <w:rPr>
                <w:rFonts w:ascii="Open Sans" w:eastAsia="Times New Roman" w:hAnsi="Open Sans" w:cs="Open Sans"/>
                <w:b/>
                <w:bCs/>
                <w:color w:val="000000"/>
                <w:sz w:val="20"/>
                <w:szCs w:val="20"/>
                <w:lang w:val="es-ES"/>
              </w:rPr>
            </w:pPr>
            <w:r w:rsidRPr="00C62902">
              <w:rPr>
                <w:rFonts w:ascii="Open Sans" w:eastAsia="Times New Roman" w:hAnsi="Open Sans" w:cs="Open Sans"/>
                <w:b/>
                <w:bCs/>
                <w:color w:val="000000"/>
                <w:sz w:val="20"/>
                <w:szCs w:val="20"/>
                <w:lang w:val="es-ES"/>
              </w:rPr>
              <w:t>12</w:t>
            </w:r>
            <w:r w:rsidR="005933E5">
              <w:rPr>
                <w:rFonts w:ascii="Open Sans" w:eastAsia="Times New Roman" w:hAnsi="Open Sans" w:cs="Open Sans"/>
                <w:b/>
                <w:bCs/>
                <w:color w:val="000000"/>
                <w:sz w:val="20"/>
                <w:szCs w:val="20"/>
                <w:lang w:val="es-ES"/>
              </w:rPr>
              <w:t>85</w:t>
            </w:r>
          </w:p>
        </w:tc>
        <w:tc>
          <w:tcPr>
            <w:tcW w:w="2126" w:type="dxa"/>
            <w:tcBorders>
              <w:top w:val="nil"/>
              <w:left w:val="nil"/>
              <w:bottom w:val="single" w:sz="8" w:space="0" w:color="auto"/>
              <w:right w:val="single" w:sz="8" w:space="0" w:color="auto"/>
            </w:tcBorders>
            <w:shd w:val="clear" w:color="auto" w:fill="auto"/>
            <w:vAlign w:val="center"/>
          </w:tcPr>
          <w:p w14:paraId="3111C693" w14:textId="2143ED76" w:rsidR="00C62902" w:rsidRPr="00C62902" w:rsidRDefault="00BF650E" w:rsidP="00846272">
            <w:pPr>
              <w:jc w:val="center"/>
              <w:rPr>
                <w:rFonts w:ascii="Open Sans" w:eastAsia="Times New Roman" w:hAnsi="Open Sans" w:cs="Open Sans"/>
                <w:b/>
                <w:bCs/>
                <w:color w:val="000000"/>
                <w:sz w:val="20"/>
                <w:szCs w:val="20"/>
                <w:lang w:val="es-ES"/>
              </w:rPr>
            </w:pPr>
            <w:r>
              <w:rPr>
                <w:rFonts w:ascii="Open Sans" w:eastAsia="Times New Roman" w:hAnsi="Open Sans" w:cs="Open Sans"/>
                <w:b/>
                <w:bCs/>
                <w:color w:val="000000"/>
                <w:sz w:val="20"/>
                <w:szCs w:val="20"/>
                <w:lang w:val="es-ES"/>
              </w:rPr>
              <w:t>316</w:t>
            </w:r>
          </w:p>
        </w:tc>
        <w:tc>
          <w:tcPr>
            <w:tcW w:w="3236" w:type="dxa"/>
            <w:tcBorders>
              <w:top w:val="nil"/>
              <w:left w:val="nil"/>
              <w:bottom w:val="single" w:sz="8" w:space="0" w:color="auto"/>
              <w:right w:val="single" w:sz="8" w:space="0" w:color="auto"/>
            </w:tcBorders>
            <w:shd w:val="clear" w:color="auto" w:fill="auto"/>
            <w:vAlign w:val="bottom"/>
            <w:hideMark/>
          </w:tcPr>
          <w:p w14:paraId="3B6BBEAE" w14:textId="77777777" w:rsidR="000E628F" w:rsidRDefault="000E628F" w:rsidP="000E628F">
            <w:pPr>
              <w:jc w:val="center"/>
              <w:rPr>
                <w:rFonts w:ascii="Open Sans" w:eastAsia="Times New Roman" w:hAnsi="Open Sans" w:cs="Open Sans"/>
                <w:b/>
                <w:bCs/>
                <w:color w:val="000000"/>
                <w:sz w:val="20"/>
                <w:szCs w:val="20"/>
                <w:lang w:val="es-ES"/>
              </w:rPr>
            </w:pPr>
          </w:p>
          <w:p w14:paraId="3A5B27E9" w14:textId="53892DD3" w:rsidR="00C62902" w:rsidRPr="00C62902" w:rsidRDefault="005933E5" w:rsidP="000E628F">
            <w:pPr>
              <w:jc w:val="center"/>
              <w:rPr>
                <w:rFonts w:ascii="Open Sans" w:eastAsia="Times New Roman" w:hAnsi="Open Sans" w:cs="Open Sans"/>
                <w:b/>
                <w:bCs/>
                <w:color w:val="000000"/>
                <w:sz w:val="20"/>
                <w:szCs w:val="20"/>
                <w:lang w:val="es-ES"/>
              </w:rPr>
            </w:pPr>
            <w:r>
              <w:rPr>
                <w:rFonts w:ascii="Open Sans" w:eastAsia="Times New Roman" w:hAnsi="Open Sans" w:cs="Open Sans"/>
                <w:b/>
                <w:bCs/>
                <w:color w:val="000000"/>
                <w:sz w:val="20"/>
                <w:szCs w:val="20"/>
                <w:lang w:val="es-ES"/>
              </w:rPr>
              <w:t>969</w:t>
            </w:r>
          </w:p>
          <w:p w14:paraId="11FBC042" w14:textId="64556045" w:rsidR="00C62902" w:rsidRPr="00C62902" w:rsidRDefault="00C62902" w:rsidP="000E628F">
            <w:pPr>
              <w:jc w:val="center"/>
              <w:rPr>
                <w:rFonts w:ascii="Open Sans" w:eastAsia="Times New Roman" w:hAnsi="Open Sans" w:cs="Open Sans"/>
                <w:b/>
                <w:bCs/>
                <w:color w:val="000000"/>
                <w:sz w:val="20"/>
                <w:szCs w:val="20"/>
                <w:lang w:val="es-ES"/>
              </w:rPr>
            </w:pPr>
          </w:p>
        </w:tc>
      </w:tr>
    </w:tbl>
    <w:p w14:paraId="2D330D37" w14:textId="77777777" w:rsidR="00F7530E" w:rsidRDefault="00F7530E" w:rsidP="00F7530E">
      <w:pPr>
        <w:jc w:val="both"/>
        <w:rPr>
          <w:rFonts w:ascii="Open Sans" w:eastAsia="Times New Roman" w:hAnsi="Open Sans" w:cs="Open Sans"/>
          <w:b/>
          <w:color w:val="000000"/>
          <w:sz w:val="20"/>
          <w:szCs w:val="20"/>
        </w:rPr>
      </w:pPr>
    </w:p>
    <w:p w14:paraId="1B60ECDF" w14:textId="78507484" w:rsidR="00846272" w:rsidRPr="00FD7B63" w:rsidRDefault="00846272" w:rsidP="00F7530E">
      <w:pPr>
        <w:jc w:val="both"/>
        <w:rPr>
          <w:rFonts w:ascii="Open Sans" w:eastAsia="Times New Roman" w:hAnsi="Open Sans" w:cs="Open Sans"/>
          <w:b/>
          <w:color w:val="000000"/>
          <w:sz w:val="20"/>
          <w:szCs w:val="20"/>
        </w:rPr>
      </w:pPr>
      <w:r w:rsidRPr="00846272">
        <w:rPr>
          <w:rFonts w:ascii="Open Sans" w:eastAsia="Times New Roman" w:hAnsi="Open Sans" w:cs="Open Sans"/>
          <w:color w:val="000000"/>
          <w:sz w:val="20"/>
          <w:szCs w:val="20"/>
        </w:rPr>
        <w:t xml:space="preserve">Si </w:t>
      </w:r>
      <w:r>
        <w:rPr>
          <w:rFonts w:ascii="Open Sans" w:eastAsia="Times New Roman" w:hAnsi="Open Sans" w:cs="Open Sans"/>
          <w:color w:val="000000"/>
          <w:sz w:val="20"/>
          <w:szCs w:val="20"/>
        </w:rPr>
        <w:t xml:space="preserve">se utiliza el mismo criterio que en años anteriores, </w:t>
      </w:r>
      <w:r w:rsidRPr="00FD7B63">
        <w:rPr>
          <w:rFonts w:ascii="Open Sans" w:eastAsia="Times New Roman" w:hAnsi="Open Sans" w:cs="Open Sans"/>
          <w:b/>
          <w:color w:val="000000"/>
          <w:sz w:val="20"/>
          <w:szCs w:val="20"/>
        </w:rPr>
        <w:t>el número de sociedades i</w:t>
      </w:r>
      <w:r w:rsidR="000E628F" w:rsidRPr="00FD7B63">
        <w:rPr>
          <w:rFonts w:ascii="Open Sans" w:eastAsia="Times New Roman" w:hAnsi="Open Sans" w:cs="Open Sans"/>
          <w:b/>
          <w:color w:val="000000"/>
          <w:sz w:val="20"/>
          <w:szCs w:val="20"/>
        </w:rPr>
        <w:t>d</w:t>
      </w:r>
      <w:r w:rsidRPr="00FD7B63">
        <w:rPr>
          <w:rFonts w:ascii="Open Sans" w:eastAsia="Times New Roman" w:hAnsi="Open Sans" w:cs="Open Sans"/>
          <w:b/>
          <w:color w:val="000000"/>
          <w:sz w:val="20"/>
          <w:szCs w:val="20"/>
        </w:rPr>
        <w:t xml:space="preserve">entificadas que ofrecen dudas sobre su ubicación o cuyo objeto sea de ámbito financiero o instrumental pasa de 891 en 2014 a 981 en 2015, lo que supone un crecimiento de </w:t>
      </w:r>
      <w:r w:rsidR="005933E5">
        <w:rPr>
          <w:rFonts w:ascii="Open Sans" w:eastAsia="Times New Roman" w:hAnsi="Open Sans" w:cs="Open Sans"/>
          <w:b/>
          <w:color w:val="000000"/>
          <w:sz w:val="20"/>
          <w:szCs w:val="20"/>
        </w:rPr>
        <w:t xml:space="preserve">casi </w:t>
      </w:r>
      <w:r w:rsidRPr="00FD7B63">
        <w:rPr>
          <w:rFonts w:ascii="Open Sans" w:eastAsia="Times New Roman" w:hAnsi="Open Sans" w:cs="Open Sans"/>
          <w:b/>
          <w:color w:val="000000"/>
          <w:sz w:val="20"/>
          <w:szCs w:val="20"/>
        </w:rPr>
        <w:t>un 10%.</w:t>
      </w:r>
    </w:p>
    <w:p w14:paraId="706BF83B" w14:textId="77777777" w:rsidR="00846272" w:rsidRDefault="00846272" w:rsidP="00F7530E">
      <w:pPr>
        <w:jc w:val="both"/>
        <w:rPr>
          <w:rFonts w:ascii="Open Sans" w:eastAsia="Times New Roman" w:hAnsi="Open Sans" w:cs="Open Sans"/>
          <w:b/>
          <w:color w:val="000000"/>
          <w:sz w:val="20"/>
          <w:szCs w:val="20"/>
        </w:rPr>
      </w:pPr>
    </w:p>
    <w:tbl>
      <w:tblPr>
        <w:tblW w:w="4660" w:type="dxa"/>
        <w:jc w:val="center"/>
        <w:tblInd w:w="60" w:type="dxa"/>
        <w:tblCellMar>
          <w:left w:w="70" w:type="dxa"/>
          <w:right w:w="70" w:type="dxa"/>
        </w:tblCellMar>
        <w:tblLook w:val="04A0" w:firstRow="1" w:lastRow="0" w:firstColumn="1" w:lastColumn="0" w:noHBand="0" w:noVBand="1"/>
      </w:tblPr>
      <w:tblGrid>
        <w:gridCol w:w="1060"/>
        <w:gridCol w:w="1200"/>
        <w:gridCol w:w="1200"/>
        <w:gridCol w:w="1200"/>
      </w:tblGrid>
      <w:tr w:rsidR="00F7530E" w:rsidRPr="006F00A8" w14:paraId="73E53A59" w14:textId="77777777" w:rsidTr="00F7530E">
        <w:trPr>
          <w:trHeight w:val="334"/>
          <w:jc w:val="center"/>
        </w:trPr>
        <w:tc>
          <w:tcPr>
            <w:tcW w:w="4660" w:type="dxa"/>
            <w:gridSpan w:val="4"/>
            <w:tcBorders>
              <w:top w:val="single" w:sz="8" w:space="0" w:color="auto"/>
              <w:left w:val="single" w:sz="8" w:space="0" w:color="auto"/>
              <w:bottom w:val="single" w:sz="8" w:space="0" w:color="auto"/>
              <w:right w:val="single" w:sz="8" w:space="0" w:color="auto"/>
            </w:tcBorders>
            <w:shd w:val="clear" w:color="000000" w:fill="F2AC3C"/>
            <w:vAlign w:val="center"/>
            <w:hideMark/>
          </w:tcPr>
          <w:p w14:paraId="1A8ED099" w14:textId="1BEE78C6" w:rsidR="00F7530E" w:rsidRPr="006F00A8" w:rsidRDefault="00F7530E" w:rsidP="00BC63A1">
            <w:pPr>
              <w:jc w:val="center"/>
              <w:rPr>
                <w:rFonts w:ascii="Open Sans" w:eastAsia="Times New Roman" w:hAnsi="Open Sans" w:cs="Open Sans"/>
                <w:b/>
                <w:bCs/>
                <w:color w:val="FFFFFF"/>
                <w:sz w:val="20"/>
                <w:szCs w:val="20"/>
                <w:lang w:val="es-ES"/>
              </w:rPr>
            </w:pPr>
            <w:r w:rsidRPr="006F00A8">
              <w:rPr>
                <w:rFonts w:ascii="Open Sans" w:eastAsia="Times New Roman" w:hAnsi="Open Sans" w:cs="Open Sans"/>
                <w:b/>
                <w:bCs/>
                <w:color w:val="FFFFFF"/>
                <w:sz w:val="20"/>
                <w:szCs w:val="20"/>
                <w:lang w:val="es-ES"/>
              </w:rPr>
              <w:t>Nº Sociedades en paraísos fiscales</w:t>
            </w:r>
            <w:r w:rsidR="00254660">
              <w:rPr>
                <w:rFonts w:ascii="Open Sans" w:eastAsia="Times New Roman" w:hAnsi="Open Sans" w:cs="Open Sans"/>
                <w:b/>
                <w:bCs/>
                <w:color w:val="FFFFFF"/>
                <w:sz w:val="20"/>
                <w:szCs w:val="20"/>
                <w:lang w:val="es-ES"/>
              </w:rPr>
              <w:t xml:space="preserve"> 2015 </w:t>
            </w:r>
          </w:p>
        </w:tc>
      </w:tr>
      <w:tr w:rsidR="00F7530E" w:rsidRPr="006F00A8" w14:paraId="314BCC4B" w14:textId="77777777" w:rsidTr="00F7530E">
        <w:trPr>
          <w:trHeight w:val="409"/>
          <w:jc w:val="center"/>
        </w:trPr>
        <w:tc>
          <w:tcPr>
            <w:tcW w:w="1060" w:type="dxa"/>
            <w:tcBorders>
              <w:top w:val="nil"/>
              <w:left w:val="single" w:sz="8" w:space="0" w:color="auto"/>
              <w:bottom w:val="single" w:sz="8" w:space="0" w:color="auto"/>
              <w:right w:val="single" w:sz="8" w:space="0" w:color="auto"/>
            </w:tcBorders>
            <w:shd w:val="clear" w:color="000000" w:fill="A0A0A0"/>
            <w:vAlign w:val="center"/>
            <w:hideMark/>
          </w:tcPr>
          <w:p w14:paraId="3BFC4E16" w14:textId="77777777" w:rsidR="00F7530E" w:rsidRPr="006F00A8" w:rsidRDefault="00F7530E" w:rsidP="00BC63A1">
            <w:pPr>
              <w:jc w:val="center"/>
              <w:rPr>
                <w:rFonts w:ascii="Arial" w:eastAsia="Times New Roman" w:hAnsi="Arial" w:cs="Arial"/>
                <w:b/>
                <w:bCs/>
                <w:color w:val="FFFFFF"/>
                <w:sz w:val="20"/>
                <w:szCs w:val="20"/>
                <w:lang w:val="es-ES"/>
              </w:rPr>
            </w:pPr>
            <w:r w:rsidRPr="006F00A8">
              <w:rPr>
                <w:rFonts w:ascii="Arial" w:eastAsia="Times New Roman" w:hAnsi="Arial" w:cs="Arial"/>
                <w:b/>
                <w:bCs/>
                <w:color w:val="FFFFFF"/>
                <w:sz w:val="20"/>
                <w:szCs w:val="20"/>
                <w:lang w:val="es-ES"/>
              </w:rPr>
              <w:t>2015</w:t>
            </w:r>
          </w:p>
        </w:tc>
        <w:tc>
          <w:tcPr>
            <w:tcW w:w="1200" w:type="dxa"/>
            <w:tcBorders>
              <w:top w:val="nil"/>
              <w:left w:val="nil"/>
              <w:bottom w:val="single" w:sz="8" w:space="0" w:color="auto"/>
              <w:right w:val="single" w:sz="8" w:space="0" w:color="auto"/>
            </w:tcBorders>
            <w:shd w:val="clear" w:color="000000" w:fill="A0A0A0"/>
            <w:vAlign w:val="center"/>
            <w:hideMark/>
          </w:tcPr>
          <w:p w14:paraId="594C6F18" w14:textId="77777777" w:rsidR="00F7530E" w:rsidRPr="006F00A8" w:rsidRDefault="00F7530E" w:rsidP="00BC63A1">
            <w:pPr>
              <w:jc w:val="center"/>
              <w:rPr>
                <w:rFonts w:ascii="Arial" w:eastAsia="Times New Roman" w:hAnsi="Arial" w:cs="Arial"/>
                <w:b/>
                <w:bCs/>
                <w:color w:val="FFFFFF"/>
                <w:sz w:val="20"/>
                <w:szCs w:val="20"/>
                <w:lang w:val="es-ES"/>
              </w:rPr>
            </w:pPr>
            <w:r w:rsidRPr="006F00A8">
              <w:rPr>
                <w:rFonts w:ascii="Arial" w:eastAsia="Times New Roman" w:hAnsi="Arial" w:cs="Arial"/>
                <w:b/>
                <w:bCs/>
                <w:color w:val="FFFFFF"/>
                <w:sz w:val="20"/>
                <w:szCs w:val="20"/>
                <w:lang w:val="es-ES"/>
              </w:rPr>
              <w:t>2014</w:t>
            </w:r>
          </w:p>
        </w:tc>
        <w:tc>
          <w:tcPr>
            <w:tcW w:w="1200" w:type="dxa"/>
            <w:tcBorders>
              <w:top w:val="nil"/>
              <w:left w:val="nil"/>
              <w:bottom w:val="single" w:sz="8" w:space="0" w:color="auto"/>
              <w:right w:val="single" w:sz="8" w:space="0" w:color="auto"/>
            </w:tcBorders>
            <w:shd w:val="clear" w:color="000000" w:fill="A0A0A0"/>
            <w:vAlign w:val="center"/>
            <w:hideMark/>
          </w:tcPr>
          <w:p w14:paraId="644EC209" w14:textId="77777777" w:rsidR="00F7530E" w:rsidRPr="006F00A8" w:rsidRDefault="00F7530E" w:rsidP="00BC63A1">
            <w:pPr>
              <w:jc w:val="center"/>
              <w:rPr>
                <w:rFonts w:ascii="Arial" w:eastAsia="Times New Roman" w:hAnsi="Arial" w:cs="Arial"/>
                <w:b/>
                <w:bCs/>
                <w:color w:val="FFFFFF"/>
                <w:sz w:val="20"/>
                <w:szCs w:val="20"/>
                <w:lang w:val="es-ES"/>
              </w:rPr>
            </w:pPr>
            <w:r w:rsidRPr="006F00A8">
              <w:rPr>
                <w:rFonts w:ascii="Arial" w:eastAsia="Times New Roman" w:hAnsi="Arial" w:cs="Arial"/>
                <w:b/>
                <w:bCs/>
                <w:color w:val="FFFFFF"/>
                <w:sz w:val="20"/>
                <w:szCs w:val="20"/>
                <w:lang w:val="es-ES"/>
              </w:rPr>
              <w:t>2013</w:t>
            </w:r>
          </w:p>
        </w:tc>
        <w:tc>
          <w:tcPr>
            <w:tcW w:w="1200" w:type="dxa"/>
            <w:tcBorders>
              <w:top w:val="nil"/>
              <w:left w:val="nil"/>
              <w:bottom w:val="single" w:sz="8" w:space="0" w:color="auto"/>
              <w:right w:val="single" w:sz="8" w:space="0" w:color="auto"/>
            </w:tcBorders>
            <w:shd w:val="clear" w:color="000000" w:fill="A0A0A0"/>
            <w:vAlign w:val="center"/>
            <w:hideMark/>
          </w:tcPr>
          <w:p w14:paraId="3C76B6B3" w14:textId="77777777" w:rsidR="00F7530E" w:rsidRPr="006F00A8" w:rsidRDefault="00F7530E" w:rsidP="00BC63A1">
            <w:pPr>
              <w:jc w:val="center"/>
              <w:rPr>
                <w:rFonts w:ascii="Open Sans" w:eastAsia="Times New Roman" w:hAnsi="Open Sans" w:cs="Open Sans"/>
                <w:b/>
                <w:bCs/>
                <w:color w:val="FFFFFF"/>
                <w:sz w:val="20"/>
                <w:szCs w:val="20"/>
                <w:lang w:val="es-ES"/>
              </w:rPr>
            </w:pPr>
            <w:r w:rsidRPr="006F00A8">
              <w:rPr>
                <w:rFonts w:ascii="Open Sans" w:eastAsia="Times New Roman" w:hAnsi="Open Sans" w:cs="Open Sans"/>
                <w:b/>
                <w:bCs/>
                <w:color w:val="FFFFFF"/>
                <w:sz w:val="20"/>
                <w:szCs w:val="20"/>
                <w:lang w:val="es-ES"/>
              </w:rPr>
              <w:t>2012</w:t>
            </w:r>
          </w:p>
        </w:tc>
      </w:tr>
      <w:tr w:rsidR="00F7530E" w:rsidRPr="006F00A8" w14:paraId="49FCC3C0" w14:textId="77777777" w:rsidTr="00BC63A1">
        <w:trPr>
          <w:trHeight w:val="315"/>
          <w:jc w:val="center"/>
        </w:trPr>
        <w:tc>
          <w:tcPr>
            <w:tcW w:w="1060" w:type="dxa"/>
            <w:tcBorders>
              <w:top w:val="nil"/>
              <w:left w:val="single" w:sz="8" w:space="0" w:color="auto"/>
              <w:bottom w:val="single" w:sz="8" w:space="0" w:color="auto"/>
              <w:right w:val="single" w:sz="8" w:space="0" w:color="auto"/>
            </w:tcBorders>
            <w:shd w:val="clear" w:color="auto" w:fill="auto"/>
            <w:vAlign w:val="center"/>
            <w:hideMark/>
          </w:tcPr>
          <w:p w14:paraId="43E915DD" w14:textId="53EE4EC3" w:rsidR="00F7530E" w:rsidRPr="006F00A8" w:rsidRDefault="00254660" w:rsidP="00201B90">
            <w:pPr>
              <w:jc w:val="center"/>
              <w:rPr>
                <w:rFonts w:ascii="Arial" w:eastAsia="Times New Roman" w:hAnsi="Arial" w:cs="Arial"/>
                <w:b/>
                <w:bCs/>
                <w:color w:val="000000"/>
                <w:sz w:val="20"/>
                <w:szCs w:val="20"/>
                <w:lang w:val="es-ES"/>
              </w:rPr>
            </w:pPr>
            <w:r>
              <w:rPr>
                <w:rFonts w:ascii="Arial" w:eastAsia="Times New Roman" w:hAnsi="Arial" w:cs="Arial"/>
                <w:b/>
                <w:bCs/>
                <w:color w:val="000000"/>
                <w:sz w:val="20"/>
                <w:szCs w:val="20"/>
                <w:lang w:val="es-ES"/>
              </w:rPr>
              <w:t>9</w:t>
            </w:r>
            <w:r w:rsidR="005933E5">
              <w:rPr>
                <w:rFonts w:ascii="Arial" w:eastAsia="Times New Roman" w:hAnsi="Arial" w:cs="Arial"/>
                <w:b/>
                <w:bCs/>
                <w:color w:val="000000"/>
                <w:sz w:val="20"/>
                <w:szCs w:val="20"/>
                <w:lang w:val="es-ES"/>
              </w:rPr>
              <w:t>69</w:t>
            </w:r>
          </w:p>
        </w:tc>
        <w:tc>
          <w:tcPr>
            <w:tcW w:w="1200" w:type="dxa"/>
            <w:tcBorders>
              <w:top w:val="nil"/>
              <w:left w:val="nil"/>
              <w:bottom w:val="single" w:sz="8" w:space="0" w:color="auto"/>
              <w:right w:val="single" w:sz="8" w:space="0" w:color="auto"/>
            </w:tcBorders>
            <w:shd w:val="clear" w:color="auto" w:fill="auto"/>
            <w:vAlign w:val="center"/>
            <w:hideMark/>
          </w:tcPr>
          <w:p w14:paraId="5FF89719" w14:textId="7C269D7E" w:rsidR="00F7530E" w:rsidRPr="006F00A8" w:rsidRDefault="00254660" w:rsidP="00BC63A1">
            <w:pPr>
              <w:jc w:val="center"/>
              <w:rPr>
                <w:rFonts w:ascii="Arial" w:eastAsia="Times New Roman" w:hAnsi="Arial" w:cs="Arial"/>
                <w:b/>
                <w:bCs/>
                <w:color w:val="000000"/>
                <w:sz w:val="20"/>
                <w:szCs w:val="20"/>
                <w:lang w:val="es-ES"/>
              </w:rPr>
            </w:pPr>
            <w:r>
              <w:rPr>
                <w:rFonts w:ascii="Arial" w:eastAsia="Times New Roman" w:hAnsi="Arial" w:cs="Arial"/>
                <w:b/>
                <w:bCs/>
                <w:color w:val="000000"/>
                <w:sz w:val="20"/>
                <w:szCs w:val="20"/>
                <w:lang w:val="es-ES"/>
              </w:rPr>
              <w:t>891</w:t>
            </w:r>
          </w:p>
        </w:tc>
        <w:tc>
          <w:tcPr>
            <w:tcW w:w="1200" w:type="dxa"/>
            <w:tcBorders>
              <w:top w:val="nil"/>
              <w:left w:val="nil"/>
              <w:bottom w:val="single" w:sz="8" w:space="0" w:color="auto"/>
              <w:right w:val="single" w:sz="8" w:space="0" w:color="auto"/>
            </w:tcBorders>
            <w:shd w:val="clear" w:color="auto" w:fill="auto"/>
            <w:vAlign w:val="center"/>
            <w:hideMark/>
          </w:tcPr>
          <w:p w14:paraId="5EC995C9" w14:textId="77777777" w:rsidR="00F7530E" w:rsidRPr="006F00A8" w:rsidRDefault="00F7530E" w:rsidP="00BC63A1">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750</w:t>
            </w:r>
          </w:p>
        </w:tc>
        <w:tc>
          <w:tcPr>
            <w:tcW w:w="1200" w:type="dxa"/>
            <w:tcBorders>
              <w:top w:val="nil"/>
              <w:left w:val="nil"/>
              <w:bottom w:val="single" w:sz="8" w:space="0" w:color="auto"/>
              <w:right w:val="single" w:sz="8" w:space="0" w:color="auto"/>
            </w:tcBorders>
            <w:shd w:val="clear" w:color="auto" w:fill="auto"/>
            <w:vAlign w:val="center"/>
            <w:hideMark/>
          </w:tcPr>
          <w:p w14:paraId="76843BF3" w14:textId="77777777" w:rsidR="00F7530E" w:rsidRPr="006F00A8" w:rsidRDefault="00F7530E" w:rsidP="00BC63A1">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519</w:t>
            </w:r>
          </w:p>
        </w:tc>
      </w:tr>
    </w:tbl>
    <w:p w14:paraId="00EE7AF0" w14:textId="77777777" w:rsidR="00F7530E" w:rsidRDefault="00F7530E" w:rsidP="00F7530E">
      <w:pPr>
        <w:jc w:val="both"/>
        <w:rPr>
          <w:rFonts w:ascii="Open Sans" w:eastAsia="Times New Roman" w:hAnsi="Open Sans" w:cs="Open Sans"/>
          <w:b/>
          <w:color w:val="000000"/>
          <w:sz w:val="20"/>
          <w:szCs w:val="20"/>
        </w:rPr>
      </w:pPr>
    </w:p>
    <w:p w14:paraId="083A2219" w14:textId="77777777" w:rsidR="00F7530E" w:rsidRDefault="00F7530E" w:rsidP="00F7530E">
      <w:pPr>
        <w:jc w:val="both"/>
        <w:rPr>
          <w:rFonts w:ascii="Open Sans" w:hAnsi="Open Sans" w:cs="Arial"/>
          <w:bCs/>
          <w:sz w:val="20"/>
          <w:szCs w:val="20"/>
        </w:rPr>
      </w:pPr>
      <w:r w:rsidRPr="006C459D">
        <w:rPr>
          <w:rFonts w:ascii="Open Sans" w:eastAsia="Times New Roman" w:hAnsi="Open Sans" w:cs="Open Sans"/>
          <w:color w:val="000000"/>
          <w:sz w:val="20"/>
          <w:szCs w:val="20"/>
        </w:rPr>
        <w:t>Más allá de la información extraída de las  cuentas anuales de las empresas, en varias de ellas se han localizado sociedades localizadas en paraísos o nichos fiscales a través de búsquedas en terceras fuentes. Tal es el caso de IAG</w:t>
      </w:r>
      <w:r>
        <w:rPr>
          <w:rFonts w:ascii="Open Sans" w:eastAsia="Times New Roman" w:hAnsi="Open Sans" w:cs="Open Sans"/>
          <w:b/>
          <w:color w:val="000000"/>
          <w:sz w:val="20"/>
          <w:szCs w:val="20"/>
        </w:rPr>
        <w:t xml:space="preserve"> </w:t>
      </w:r>
      <w:r>
        <w:rPr>
          <w:rFonts w:ascii="Open Sans" w:hAnsi="Open Sans" w:cs="Arial"/>
          <w:bCs/>
          <w:sz w:val="20"/>
          <w:szCs w:val="20"/>
        </w:rPr>
        <w:t>en la que se ha detectado el caso de filiales que en cuentas anuales indica que están domiciliadas en Inglaterra y España, sin embargo, a través de búsquedas externas</w:t>
      </w:r>
      <w:r w:rsidRPr="00F7530E">
        <w:rPr>
          <w:rStyle w:val="Refdenotaalpie"/>
          <w:rFonts w:ascii="Open Sans" w:hAnsi="Open Sans" w:cs="Arial"/>
          <w:sz w:val="20"/>
          <w:szCs w:val="20"/>
        </w:rPr>
        <w:footnoteReference w:id="92"/>
      </w:r>
      <w:r>
        <w:rPr>
          <w:rFonts w:ascii="Open Sans" w:hAnsi="Open Sans" w:cs="Arial"/>
          <w:bCs/>
          <w:sz w:val="20"/>
          <w:szCs w:val="20"/>
        </w:rPr>
        <w:t xml:space="preserve"> se han localizado también domiciliadas en paraísos y nichos fiscales. Tal es el caso de British Airways Plc, que además de estar en Inglaterra, también se encuentra en Bahamas, Barbados, Bermuda, Gibraltar, Holanda, Hong Kong, Luxemburgo, Singapur y Sudáfrica. También Vueling Airlines SA, en cuentas anuales indica que está en España pero se ha encontrado una filial en Holanda. En el caso de IAG Cargo Limited, las cuentas anuales indica que se encuentra en Inglaterra, pero se ha localizados dos filiales, una en Singapur y otra en Suiza. </w:t>
      </w:r>
    </w:p>
    <w:p w14:paraId="23600481" w14:textId="77777777" w:rsidR="00F7530E" w:rsidRDefault="00F7530E" w:rsidP="00F7530E">
      <w:pPr>
        <w:jc w:val="both"/>
        <w:rPr>
          <w:rFonts w:ascii="Open Sans" w:eastAsia="Times New Roman" w:hAnsi="Open Sans" w:cs="Open Sans"/>
          <w:b/>
          <w:color w:val="000000"/>
          <w:sz w:val="20"/>
          <w:szCs w:val="20"/>
        </w:rPr>
      </w:pPr>
    </w:p>
    <w:p w14:paraId="1A1914A5" w14:textId="5207E5B9" w:rsidR="00F7530E" w:rsidRDefault="005933E5" w:rsidP="00F7530E">
      <w:pPr>
        <w:tabs>
          <w:tab w:val="left" w:pos="2880"/>
        </w:tabs>
        <w:jc w:val="both"/>
        <w:rPr>
          <w:rFonts w:ascii="Open Sans" w:hAnsi="Open Sans" w:cs="Open Sans"/>
          <w:sz w:val="20"/>
          <w:szCs w:val="20"/>
        </w:rPr>
      </w:pPr>
      <w:r>
        <w:rPr>
          <w:rFonts w:ascii="Open Sans" w:hAnsi="Open Sans" w:cs="Open Sans"/>
          <w:sz w:val="20"/>
          <w:szCs w:val="20"/>
        </w:rPr>
        <w:t>De las 1285</w:t>
      </w:r>
      <w:r w:rsidR="00846272" w:rsidRPr="00FD7B63">
        <w:rPr>
          <w:rFonts w:ascii="Open Sans" w:hAnsi="Open Sans" w:cs="Open Sans"/>
          <w:sz w:val="20"/>
          <w:szCs w:val="20"/>
        </w:rPr>
        <w:t xml:space="preserve"> sociedades identificadas e</w:t>
      </w:r>
      <w:r>
        <w:rPr>
          <w:rFonts w:ascii="Open Sans" w:hAnsi="Open Sans" w:cs="Open Sans"/>
          <w:sz w:val="20"/>
          <w:szCs w:val="20"/>
        </w:rPr>
        <w:t>n paraísos o nichos fiscales, 97</w:t>
      </w:r>
      <w:r w:rsidR="00846272" w:rsidRPr="00FD7B63">
        <w:rPr>
          <w:rFonts w:ascii="Open Sans" w:hAnsi="Open Sans" w:cs="Open Sans"/>
          <w:sz w:val="20"/>
          <w:szCs w:val="20"/>
        </w:rPr>
        <w:t xml:space="preserve"> de ellas se encuentran ubicadas en paraísos fiscales de acuerdo con la normativa española y la OCDE y </w:t>
      </w:r>
      <w:r>
        <w:rPr>
          <w:rFonts w:ascii="Open Sans" w:hAnsi="Open Sans" w:cs="Open Sans"/>
          <w:sz w:val="20"/>
          <w:szCs w:val="20"/>
        </w:rPr>
        <w:t>118</w:t>
      </w:r>
      <w:r w:rsidR="001B00B6" w:rsidRPr="00FD7B63">
        <w:rPr>
          <w:rFonts w:ascii="Open Sans" w:hAnsi="Open Sans" w:cs="Open Sans"/>
          <w:sz w:val="20"/>
          <w:szCs w:val="20"/>
        </w:rPr>
        <w:t>8</w:t>
      </w:r>
      <w:r w:rsidR="00846272" w:rsidRPr="00FD7B63">
        <w:rPr>
          <w:rFonts w:ascii="Open Sans" w:hAnsi="Open Sans" w:cs="Open Sans"/>
          <w:sz w:val="20"/>
          <w:szCs w:val="20"/>
        </w:rPr>
        <w:t xml:space="preserve"> sitas en </w:t>
      </w:r>
      <w:r w:rsidR="001B00B6" w:rsidRPr="00FD7B63">
        <w:rPr>
          <w:rFonts w:ascii="Open Sans" w:hAnsi="Open Sans" w:cs="Open Sans"/>
          <w:sz w:val="20"/>
          <w:szCs w:val="20"/>
        </w:rPr>
        <w:t>territorios con baja tributación para no residentes y que en algunos casos son denominados paraísos pero que en cualquier caso son considerados como nichos fiscales.</w:t>
      </w:r>
      <w:r w:rsidR="001B00B6">
        <w:rPr>
          <w:rFonts w:ascii="Open Sans" w:hAnsi="Open Sans" w:cs="Open Sans"/>
          <w:sz w:val="20"/>
          <w:szCs w:val="20"/>
        </w:rPr>
        <w:t xml:space="preserve"> </w:t>
      </w:r>
      <w:r w:rsidR="00F7530E">
        <w:rPr>
          <w:rFonts w:ascii="Open Sans" w:hAnsi="Open Sans" w:cs="Open Sans"/>
          <w:sz w:val="20"/>
          <w:szCs w:val="20"/>
        </w:rPr>
        <w:t>A continuación se muestra una tabla con el número de sociedades dependientes y participadas con domicilio en territorios denominados paraísos o nichos fiscales, por cada una de las empresas del IBEX35 objeto de este informe.</w:t>
      </w:r>
    </w:p>
    <w:tbl>
      <w:tblPr>
        <w:tblW w:w="0" w:type="auto"/>
        <w:jc w:val="center"/>
        <w:tblInd w:w="-595" w:type="dxa"/>
        <w:tblLayout w:type="fixed"/>
        <w:tblCellMar>
          <w:left w:w="30" w:type="dxa"/>
          <w:right w:w="30" w:type="dxa"/>
        </w:tblCellMar>
        <w:tblLook w:val="0000" w:firstRow="0" w:lastRow="0" w:firstColumn="0" w:lastColumn="0" w:noHBand="0" w:noVBand="0"/>
      </w:tblPr>
      <w:tblGrid>
        <w:gridCol w:w="3312"/>
        <w:gridCol w:w="1703"/>
        <w:gridCol w:w="1145"/>
        <w:gridCol w:w="1263"/>
      </w:tblGrid>
      <w:tr w:rsidR="00FD7B63" w:rsidRPr="002102BD" w14:paraId="7AC955AF" w14:textId="77777777" w:rsidTr="00FD7B63">
        <w:trPr>
          <w:trHeight w:val="447"/>
          <w:jc w:val="center"/>
        </w:trPr>
        <w:tc>
          <w:tcPr>
            <w:tcW w:w="3312" w:type="dxa"/>
            <w:tcBorders>
              <w:top w:val="single" w:sz="12" w:space="0" w:color="auto"/>
              <w:left w:val="single" w:sz="12" w:space="0" w:color="auto"/>
              <w:bottom w:val="single" w:sz="12" w:space="0" w:color="auto"/>
              <w:right w:val="single" w:sz="12" w:space="0" w:color="auto"/>
            </w:tcBorders>
            <w:shd w:val="solid" w:color="FF9900" w:fill="auto"/>
          </w:tcPr>
          <w:p w14:paraId="3F426FBA" w14:textId="237E3C19" w:rsidR="00455193" w:rsidRPr="002102BD" w:rsidRDefault="00455193" w:rsidP="00BC63A1">
            <w:pPr>
              <w:autoSpaceDE w:val="0"/>
              <w:autoSpaceDN w:val="0"/>
              <w:adjustRightInd w:val="0"/>
              <w:jc w:val="center"/>
              <w:rPr>
                <w:rFonts w:ascii="Open Sans" w:eastAsiaTheme="minorHAnsi" w:hAnsi="Open Sans" w:cs="Open Sans"/>
                <w:b/>
                <w:bCs/>
                <w:color w:val="FFFFFF"/>
                <w:sz w:val="20"/>
                <w:szCs w:val="20"/>
                <w:lang w:val="es-ES" w:eastAsia="en-US"/>
              </w:rPr>
            </w:pPr>
            <w:r w:rsidRPr="002102BD">
              <w:rPr>
                <w:rFonts w:ascii="Open Sans" w:eastAsiaTheme="minorHAnsi" w:hAnsi="Open Sans" w:cs="Open Sans"/>
                <w:b/>
                <w:bCs/>
                <w:color w:val="FFFFFF"/>
                <w:sz w:val="20"/>
                <w:szCs w:val="20"/>
                <w:lang w:val="es-ES" w:eastAsia="en-US"/>
              </w:rPr>
              <w:t>Número de sociedades en paraísos</w:t>
            </w:r>
            <w:r>
              <w:rPr>
                <w:rFonts w:ascii="Open Sans" w:eastAsiaTheme="minorHAnsi" w:hAnsi="Open Sans" w:cs="Open Sans"/>
                <w:b/>
                <w:bCs/>
                <w:color w:val="FFFFFF"/>
                <w:sz w:val="20"/>
                <w:szCs w:val="20"/>
                <w:lang w:val="es-ES" w:eastAsia="en-US"/>
              </w:rPr>
              <w:t xml:space="preserve"> y nichos</w:t>
            </w:r>
            <w:r w:rsidRPr="002102BD">
              <w:rPr>
                <w:rFonts w:ascii="Open Sans" w:eastAsiaTheme="minorHAnsi" w:hAnsi="Open Sans" w:cs="Open Sans"/>
                <w:b/>
                <w:bCs/>
                <w:color w:val="FFFFFF"/>
                <w:sz w:val="20"/>
                <w:szCs w:val="20"/>
                <w:lang w:val="es-ES" w:eastAsia="en-US"/>
              </w:rPr>
              <w:t xml:space="preserve"> fiscales</w:t>
            </w:r>
          </w:p>
        </w:tc>
        <w:tc>
          <w:tcPr>
            <w:tcW w:w="1703" w:type="dxa"/>
            <w:tcBorders>
              <w:top w:val="single" w:sz="12" w:space="0" w:color="auto"/>
              <w:left w:val="nil"/>
              <w:bottom w:val="single" w:sz="12" w:space="0" w:color="auto"/>
              <w:right w:val="single" w:sz="12" w:space="0" w:color="auto"/>
            </w:tcBorders>
            <w:shd w:val="solid" w:color="FF9900" w:fill="auto"/>
            <w:vAlign w:val="center"/>
          </w:tcPr>
          <w:p w14:paraId="72C505F6" w14:textId="7C253746" w:rsidR="00455193" w:rsidRPr="002102BD" w:rsidRDefault="00455193" w:rsidP="009436FC">
            <w:pPr>
              <w:autoSpaceDE w:val="0"/>
              <w:autoSpaceDN w:val="0"/>
              <w:adjustRightInd w:val="0"/>
              <w:jc w:val="center"/>
              <w:rPr>
                <w:rFonts w:ascii="Open Sans" w:eastAsiaTheme="minorHAnsi" w:hAnsi="Open Sans" w:cs="Open Sans"/>
                <w:b/>
                <w:bCs/>
                <w:color w:val="FFFFFF"/>
                <w:sz w:val="20"/>
                <w:szCs w:val="20"/>
                <w:lang w:val="es-ES" w:eastAsia="en-US"/>
              </w:rPr>
            </w:pPr>
            <w:r>
              <w:rPr>
                <w:rFonts w:ascii="Open Sans" w:eastAsiaTheme="minorHAnsi" w:hAnsi="Open Sans" w:cs="Open Sans"/>
                <w:b/>
                <w:bCs/>
                <w:color w:val="FFFFFF"/>
                <w:sz w:val="20"/>
                <w:szCs w:val="20"/>
                <w:lang w:val="es-ES" w:eastAsia="en-US"/>
              </w:rPr>
              <w:t xml:space="preserve">Total Sociedades </w:t>
            </w:r>
          </w:p>
        </w:tc>
        <w:tc>
          <w:tcPr>
            <w:tcW w:w="1145" w:type="dxa"/>
            <w:tcBorders>
              <w:top w:val="single" w:sz="12" w:space="0" w:color="auto"/>
              <w:left w:val="nil"/>
              <w:bottom w:val="single" w:sz="12" w:space="0" w:color="auto"/>
              <w:right w:val="single" w:sz="12" w:space="0" w:color="auto"/>
            </w:tcBorders>
            <w:shd w:val="solid" w:color="FF9900" w:fill="auto"/>
            <w:vAlign w:val="center"/>
          </w:tcPr>
          <w:p w14:paraId="0B82B4F1" w14:textId="386574BB" w:rsidR="00455193" w:rsidRPr="002102BD" w:rsidRDefault="00455193" w:rsidP="009436FC">
            <w:pPr>
              <w:autoSpaceDE w:val="0"/>
              <w:autoSpaceDN w:val="0"/>
              <w:adjustRightInd w:val="0"/>
              <w:jc w:val="center"/>
              <w:rPr>
                <w:rFonts w:ascii="Open Sans" w:eastAsiaTheme="minorHAnsi" w:hAnsi="Open Sans" w:cs="Open Sans"/>
                <w:b/>
                <w:bCs/>
                <w:color w:val="FFFFFF"/>
                <w:sz w:val="20"/>
                <w:szCs w:val="20"/>
                <w:lang w:val="es-ES" w:eastAsia="en-US"/>
              </w:rPr>
            </w:pPr>
            <w:r>
              <w:rPr>
                <w:rFonts w:ascii="Open Sans" w:eastAsiaTheme="minorHAnsi" w:hAnsi="Open Sans" w:cs="Open Sans"/>
                <w:b/>
                <w:bCs/>
                <w:color w:val="FFFFFF"/>
                <w:sz w:val="20"/>
                <w:szCs w:val="20"/>
                <w:lang w:val="es-ES" w:eastAsia="en-US"/>
              </w:rPr>
              <w:t>Total Paraísos</w:t>
            </w:r>
          </w:p>
        </w:tc>
        <w:tc>
          <w:tcPr>
            <w:tcW w:w="1263" w:type="dxa"/>
            <w:tcBorders>
              <w:top w:val="single" w:sz="12" w:space="0" w:color="auto"/>
              <w:left w:val="nil"/>
              <w:bottom w:val="single" w:sz="12" w:space="0" w:color="auto"/>
              <w:right w:val="single" w:sz="12" w:space="0" w:color="auto"/>
            </w:tcBorders>
            <w:shd w:val="solid" w:color="FF9900" w:fill="auto"/>
            <w:vAlign w:val="center"/>
          </w:tcPr>
          <w:p w14:paraId="30643DB8" w14:textId="59DAAB63" w:rsidR="00455193" w:rsidRPr="002102BD" w:rsidRDefault="00455193" w:rsidP="009436FC">
            <w:pPr>
              <w:autoSpaceDE w:val="0"/>
              <w:autoSpaceDN w:val="0"/>
              <w:adjustRightInd w:val="0"/>
              <w:jc w:val="center"/>
              <w:rPr>
                <w:rFonts w:ascii="Open Sans" w:eastAsiaTheme="minorHAnsi" w:hAnsi="Open Sans" w:cs="Open Sans"/>
                <w:b/>
                <w:bCs/>
                <w:color w:val="FFFFFF"/>
                <w:sz w:val="20"/>
                <w:szCs w:val="20"/>
                <w:lang w:val="es-ES" w:eastAsia="en-US"/>
              </w:rPr>
            </w:pPr>
            <w:r>
              <w:rPr>
                <w:rFonts w:ascii="Open Sans" w:eastAsiaTheme="minorHAnsi" w:hAnsi="Open Sans" w:cs="Open Sans"/>
                <w:b/>
                <w:bCs/>
                <w:color w:val="FFFFFF"/>
                <w:sz w:val="20"/>
                <w:szCs w:val="20"/>
                <w:lang w:val="es-ES" w:eastAsia="en-US"/>
              </w:rPr>
              <w:t>Total Nichos</w:t>
            </w:r>
          </w:p>
        </w:tc>
      </w:tr>
      <w:tr w:rsidR="00FD7B63" w:rsidRPr="002102BD" w14:paraId="3C552660"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18E91443"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ABERTIS</w:t>
            </w:r>
          </w:p>
        </w:tc>
        <w:tc>
          <w:tcPr>
            <w:tcW w:w="1703" w:type="dxa"/>
            <w:tcBorders>
              <w:top w:val="nil"/>
              <w:left w:val="nil"/>
              <w:bottom w:val="single" w:sz="12" w:space="0" w:color="auto"/>
              <w:right w:val="single" w:sz="12" w:space="0" w:color="auto"/>
            </w:tcBorders>
            <w:vAlign w:val="bottom"/>
          </w:tcPr>
          <w:p w14:paraId="40BB0137" w14:textId="28C75CEE"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13</w:t>
            </w:r>
          </w:p>
        </w:tc>
        <w:tc>
          <w:tcPr>
            <w:tcW w:w="1145" w:type="dxa"/>
            <w:tcBorders>
              <w:top w:val="nil"/>
              <w:left w:val="nil"/>
              <w:bottom w:val="single" w:sz="12" w:space="0" w:color="auto"/>
              <w:right w:val="single" w:sz="12" w:space="0" w:color="auto"/>
            </w:tcBorders>
            <w:vAlign w:val="bottom"/>
          </w:tcPr>
          <w:p w14:paraId="612A81A1" w14:textId="0595B93A"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36BBF7D9" w14:textId="136C46CF"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13</w:t>
            </w:r>
          </w:p>
        </w:tc>
      </w:tr>
      <w:tr w:rsidR="00FD7B63" w:rsidRPr="002102BD" w14:paraId="2D8DA483"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29AE083E"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ACCIONA</w:t>
            </w:r>
          </w:p>
        </w:tc>
        <w:tc>
          <w:tcPr>
            <w:tcW w:w="1703" w:type="dxa"/>
            <w:tcBorders>
              <w:top w:val="nil"/>
              <w:left w:val="nil"/>
              <w:bottom w:val="single" w:sz="12" w:space="0" w:color="auto"/>
              <w:right w:val="single" w:sz="12" w:space="0" w:color="auto"/>
            </w:tcBorders>
            <w:vAlign w:val="bottom"/>
          </w:tcPr>
          <w:p w14:paraId="147F046C" w14:textId="64B2A25B"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48</w:t>
            </w:r>
          </w:p>
        </w:tc>
        <w:tc>
          <w:tcPr>
            <w:tcW w:w="1145" w:type="dxa"/>
            <w:tcBorders>
              <w:top w:val="nil"/>
              <w:left w:val="nil"/>
              <w:bottom w:val="single" w:sz="12" w:space="0" w:color="auto"/>
              <w:right w:val="single" w:sz="12" w:space="0" w:color="auto"/>
            </w:tcBorders>
            <w:vAlign w:val="bottom"/>
          </w:tcPr>
          <w:p w14:paraId="67D96B2A" w14:textId="37A34715"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w:t>
            </w:r>
          </w:p>
        </w:tc>
        <w:tc>
          <w:tcPr>
            <w:tcW w:w="1263" w:type="dxa"/>
            <w:tcBorders>
              <w:top w:val="nil"/>
              <w:left w:val="nil"/>
              <w:bottom w:val="single" w:sz="12" w:space="0" w:color="auto"/>
              <w:right w:val="single" w:sz="12" w:space="0" w:color="auto"/>
            </w:tcBorders>
            <w:vAlign w:val="bottom"/>
          </w:tcPr>
          <w:p w14:paraId="1AF1127C" w14:textId="01B702AB"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47</w:t>
            </w:r>
          </w:p>
        </w:tc>
      </w:tr>
      <w:tr w:rsidR="00FD7B63" w:rsidRPr="002102BD" w14:paraId="7470C954"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2DECFF05"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ACERINOX</w:t>
            </w:r>
          </w:p>
        </w:tc>
        <w:tc>
          <w:tcPr>
            <w:tcW w:w="1703" w:type="dxa"/>
            <w:tcBorders>
              <w:top w:val="nil"/>
              <w:left w:val="nil"/>
              <w:bottom w:val="single" w:sz="12" w:space="0" w:color="auto"/>
              <w:right w:val="single" w:sz="12" w:space="0" w:color="auto"/>
            </w:tcBorders>
            <w:vAlign w:val="bottom"/>
          </w:tcPr>
          <w:p w14:paraId="78003CF4" w14:textId="1C21F189"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8</w:t>
            </w:r>
          </w:p>
        </w:tc>
        <w:tc>
          <w:tcPr>
            <w:tcW w:w="1145" w:type="dxa"/>
            <w:tcBorders>
              <w:top w:val="nil"/>
              <w:left w:val="nil"/>
              <w:bottom w:val="single" w:sz="12" w:space="0" w:color="auto"/>
              <w:right w:val="single" w:sz="12" w:space="0" w:color="auto"/>
            </w:tcBorders>
            <w:vAlign w:val="bottom"/>
          </w:tcPr>
          <w:p w14:paraId="3C2F4A30" w14:textId="5D3BC852"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7D3DDC57" w14:textId="5980CA6E"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8</w:t>
            </w:r>
          </w:p>
        </w:tc>
      </w:tr>
      <w:tr w:rsidR="00FD7B63" w:rsidRPr="002102BD" w14:paraId="06DD07C5"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25E8882A"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ACS</w:t>
            </w:r>
          </w:p>
        </w:tc>
        <w:tc>
          <w:tcPr>
            <w:tcW w:w="1703" w:type="dxa"/>
            <w:tcBorders>
              <w:top w:val="nil"/>
              <w:left w:val="nil"/>
              <w:bottom w:val="single" w:sz="12" w:space="0" w:color="auto"/>
              <w:right w:val="single" w:sz="12" w:space="0" w:color="auto"/>
            </w:tcBorders>
            <w:vAlign w:val="bottom"/>
          </w:tcPr>
          <w:p w14:paraId="64BC7545" w14:textId="6002AD08"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152</w:t>
            </w:r>
          </w:p>
        </w:tc>
        <w:tc>
          <w:tcPr>
            <w:tcW w:w="1145" w:type="dxa"/>
            <w:tcBorders>
              <w:top w:val="nil"/>
              <w:left w:val="nil"/>
              <w:bottom w:val="single" w:sz="12" w:space="0" w:color="auto"/>
              <w:right w:val="single" w:sz="12" w:space="0" w:color="auto"/>
            </w:tcBorders>
            <w:vAlign w:val="bottom"/>
          </w:tcPr>
          <w:p w14:paraId="2CEBB2E2" w14:textId="76FADE3B"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13</w:t>
            </w:r>
          </w:p>
        </w:tc>
        <w:tc>
          <w:tcPr>
            <w:tcW w:w="1263" w:type="dxa"/>
            <w:tcBorders>
              <w:top w:val="nil"/>
              <w:left w:val="nil"/>
              <w:bottom w:val="single" w:sz="12" w:space="0" w:color="auto"/>
              <w:right w:val="single" w:sz="12" w:space="0" w:color="auto"/>
            </w:tcBorders>
            <w:vAlign w:val="bottom"/>
          </w:tcPr>
          <w:p w14:paraId="693A4145" w14:textId="7432B8A5"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139</w:t>
            </w:r>
          </w:p>
        </w:tc>
      </w:tr>
      <w:tr w:rsidR="00FD7B63" w:rsidRPr="002102BD" w14:paraId="645D980B"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687FD4F9"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AENA</w:t>
            </w:r>
          </w:p>
        </w:tc>
        <w:tc>
          <w:tcPr>
            <w:tcW w:w="1703" w:type="dxa"/>
            <w:tcBorders>
              <w:top w:val="nil"/>
              <w:left w:val="nil"/>
              <w:bottom w:val="single" w:sz="12" w:space="0" w:color="auto"/>
              <w:right w:val="single" w:sz="12" w:space="0" w:color="auto"/>
            </w:tcBorders>
            <w:vAlign w:val="bottom"/>
          </w:tcPr>
          <w:p w14:paraId="0B1A4E72" w14:textId="049223D9"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0</w:t>
            </w:r>
          </w:p>
        </w:tc>
        <w:tc>
          <w:tcPr>
            <w:tcW w:w="1145" w:type="dxa"/>
            <w:tcBorders>
              <w:top w:val="nil"/>
              <w:left w:val="nil"/>
              <w:bottom w:val="single" w:sz="12" w:space="0" w:color="auto"/>
              <w:right w:val="single" w:sz="12" w:space="0" w:color="auto"/>
            </w:tcBorders>
            <w:vAlign w:val="bottom"/>
          </w:tcPr>
          <w:p w14:paraId="0B4013CE" w14:textId="7575F2D4"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344475A4" w14:textId="48F1954B"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r>
      <w:tr w:rsidR="00FD7B63" w:rsidRPr="002102BD" w14:paraId="467E93A5"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59EC039"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AMADEUS</w:t>
            </w:r>
          </w:p>
        </w:tc>
        <w:tc>
          <w:tcPr>
            <w:tcW w:w="1703" w:type="dxa"/>
            <w:tcBorders>
              <w:top w:val="nil"/>
              <w:left w:val="nil"/>
              <w:bottom w:val="single" w:sz="12" w:space="0" w:color="auto"/>
              <w:right w:val="single" w:sz="12" w:space="0" w:color="auto"/>
            </w:tcBorders>
            <w:vAlign w:val="bottom"/>
          </w:tcPr>
          <w:p w14:paraId="66414FED" w14:textId="5193398B"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24</w:t>
            </w:r>
          </w:p>
        </w:tc>
        <w:tc>
          <w:tcPr>
            <w:tcW w:w="1145" w:type="dxa"/>
            <w:tcBorders>
              <w:top w:val="nil"/>
              <w:left w:val="nil"/>
              <w:bottom w:val="single" w:sz="12" w:space="0" w:color="auto"/>
              <w:right w:val="single" w:sz="12" w:space="0" w:color="auto"/>
            </w:tcBorders>
            <w:vAlign w:val="bottom"/>
          </w:tcPr>
          <w:p w14:paraId="72A435A6" w14:textId="3C0D1DF3"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c>
          <w:tcPr>
            <w:tcW w:w="1263" w:type="dxa"/>
            <w:tcBorders>
              <w:top w:val="nil"/>
              <w:left w:val="nil"/>
              <w:bottom w:val="single" w:sz="12" w:space="0" w:color="auto"/>
              <w:right w:val="single" w:sz="12" w:space="0" w:color="auto"/>
            </w:tcBorders>
            <w:vAlign w:val="bottom"/>
          </w:tcPr>
          <w:p w14:paraId="20AB197E" w14:textId="403D322E"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22</w:t>
            </w:r>
          </w:p>
        </w:tc>
      </w:tr>
      <w:tr w:rsidR="00FD7B63" w:rsidRPr="002102BD" w14:paraId="2F15F0AC"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00F2ED73" w14:textId="77777777" w:rsidR="00455193" w:rsidRPr="002102BD" w:rsidRDefault="00455193"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ARCELOR MITTAL</w:t>
            </w:r>
          </w:p>
        </w:tc>
        <w:tc>
          <w:tcPr>
            <w:tcW w:w="1703" w:type="dxa"/>
            <w:tcBorders>
              <w:top w:val="nil"/>
              <w:left w:val="nil"/>
              <w:bottom w:val="single" w:sz="12" w:space="0" w:color="auto"/>
              <w:right w:val="single" w:sz="12" w:space="0" w:color="auto"/>
            </w:tcBorders>
            <w:vAlign w:val="bottom"/>
          </w:tcPr>
          <w:p w14:paraId="028BF35A" w14:textId="49DA4D84" w:rsidR="00455193" w:rsidRPr="00FD7B63" w:rsidRDefault="00455193"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145</w:t>
            </w:r>
          </w:p>
        </w:tc>
        <w:tc>
          <w:tcPr>
            <w:tcW w:w="1145" w:type="dxa"/>
            <w:tcBorders>
              <w:top w:val="nil"/>
              <w:left w:val="nil"/>
              <w:bottom w:val="single" w:sz="12" w:space="0" w:color="auto"/>
              <w:right w:val="single" w:sz="12" w:space="0" w:color="auto"/>
            </w:tcBorders>
            <w:vAlign w:val="bottom"/>
          </w:tcPr>
          <w:p w14:paraId="4E037B5E" w14:textId="6ACBD127"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c>
          <w:tcPr>
            <w:tcW w:w="1263" w:type="dxa"/>
            <w:tcBorders>
              <w:top w:val="nil"/>
              <w:left w:val="nil"/>
              <w:bottom w:val="single" w:sz="12" w:space="0" w:color="auto"/>
              <w:right w:val="single" w:sz="12" w:space="0" w:color="auto"/>
            </w:tcBorders>
            <w:vAlign w:val="bottom"/>
          </w:tcPr>
          <w:p w14:paraId="76A0A8E9" w14:textId="7E7D2915" w:rsidR="00455193" w:rsidRPr="00FD7B63" w:rsidRDefault="00455193"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143</w:t>
            </w:r>
          </w:p>
        </w:tc>
      </w:tr>
      <w:tr w:rsidR="00FD7B63" w:rsidRPr="002102BD" w14:paraId="678F3ADB"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7BEB9EB"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BANKIA</w:t>
            </w:r>
          </w:p>
        </w:tc>
        <w:tc>
          <w:tcPr>
            <w:tcW w:w="1703" w:type="dxa"/>
            <w:tcBorders>
              <w:top w:val="nil"/>
              <w:left w:val="nil"/>
              <w:bottom w:val="single" w:sz="12" w:space="0" w:color="auto"/>
              <w:right w:val="single" w:sz="12" w:space="0" w:color="auto"/>
            </w:tcBorders>
            <w:vAlign w:val="bottom"/>
          </w:tcPr>
          <w:p w14:paraId="6AEF587E" w14:textId="5FEA285B"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Calibri" w:hAnsi="Calibri"/>
                <w:color w:val="000000"/>
                <w:sz w:val="22"/>
                <w:szCs w:val="22"/>
              </w:rPr>
              <w:t>7</w:t>
            </w:r>
          </w:p>
        </w:tc>
        <w:tc>
          <w:tcPr>
            <w:tcW w:w="1145" w:type="dxa"/>
            <w:tcBorders>
              <w:top w:val="nil"/>
              <w:left w:val="nil"/>
              <w:bottom w:val="single" w:sz="12" w:space="0" w:color="auto"/>
              <w:right w:val="single" w:sz="12" w:space="0" w:color="auto"/>
            </w:tcBorders>
            <w:vAlign w:val="bottom"/>
          </w:tcPr>
          <w:p w14:paraId="7B22B7CE" w14:textId="351B020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1</w:t>
            </w:r>
          </w:p>
        </w:tc>
        <w:tc>
          <w:tcPr>
            <w:tcW w:w="1263" w:type="dxa"/>
            <w:tcBorders>
              <w:top w:val="nil"/>
              <w:left w:val="nil"/>
              <w:bottom w:val="single" w:sz="12" w:space="0" w:color="auto"/>
              <w:right w:val="single" w:sz="12" w:space="0" w:color="auto"/>
            </w:tcBorders>
            <w:vAlign w:val="bottom"/>
          </w:tcPr>
          <w:p w14:paraId="7DF25889" w14:textId="682A9924"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6</w:t>
            </w:r>
          </w:p>
        </w:tc>
      </w:tr>
      <w:tr w:rsidR="00FD7B63" w:rsidRPr="002102BD" w14:paraId="05169E0B"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CD1D380"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BANKINTER</w:t>
            </w:r>
          </w:p>
        </w:tc>
        <w:tc>
          <w:tcPr>
            <w:tcW w:w="1703" w:type="dxa"/>
            <w:tcBorders>
              <w:top w:val="nil"/>
              <w:left w:val="nil"/>
              <w:bottom w:val="single" w:sz="12" w:space="0" w:color="auto"/>
              <w:right w:val="single" w:sz="12" w:space="0" w:color="auto"/>
            </w:tcBorders>
            <w:vAlign w:val="bottom"/>
          </w:tcPr>
          <w:p w14:paraId="18ABBD94" w14:textId="527CFD09"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Calibri" w:hAnsi="Calibri"/>
                <w:color w:val="000000"/>
                <w:sz w:val="22"/>
                <w:szCs w:val="22"/>
              </w:rPr>
              <w:t>2</w:t>
            </w:r>
          </w:p>
        </w:tc>
        <w:tc>
          <w:tcPr>
            <w:tcW w:w="1145" w:type="dxa"/>
            <w:tcBorders>
              <w:top w:val="nil"/>
              <w:left w:val="nil"/>
              <w:bottom w:val="single" w:sz="12" w:space="0" w:color="auto"/>
              <w:right w:val="single" w:sz="12" w:space="0" w:color="auto"/>
            </w:tcBorders>
            <w:vAlign w:val="bottom"/>
          </w:tcPr>
          <w:p w14:paraId="0F9495C9" w14:textId="5AA87978"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0</w:t>
            </w:r>
          </w:p>
        </w:tc>
        <w:tc>
          <w:tcPr>
            <w:tcW w:w="1263" w:type="dxa"/>
            <w:tcBorders>
              <w:top w:val="nil"/>
              <w:left w:val="nil"/>
              <w:bottom w:val="single" w:sz="12" w:space="0" w:color="auto"/>
              <w:right w:val="single" w:sz="12" w:space="0" w:color="auto"/>
            </w:tcBorders>
            <w:vAlign w:val="bottom"/>
          </w:tcPr>
          <w:p w14:paraId="5242EA47" w14:textId="61DDDB39"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2</w:t>
            </w:r>
          </w:p>
        </w:tc>
      </w:tr>
      <w:tr w:rsidR="00FD7B63" w:rsidRPr="002102BD" w14:paraId="7B1DA629"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4FB9AC24"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BBVA</w:t>
            </w:r>
          </w:p>
        </w:tc>
        <w:tc>
          <w:tcPr>
            <w:tcW w:w="1703" w:type="dxa"/>
            <w:tcBorders>
              <w:top w:val="nil"/>
              <w:left w:val="nil"/>
              <w:bottom w:val="single" w:sz="12" w:space="0" w:color="auto"/>
              <w:right w:val="single" w:sz="12" w:space="0" w:color="auto"/>
            </w:tcBorders>
            <w:vAlign w:val="bottom"/>
          </w:tcPr>
          <w:p w14:paraId="210DB7FF" w14:textId="5B6597FF"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53</w:t>
            </w:r>
          </w:p>
        </w:tc>
        <w:tc>
          <w:tcPr>
            <w:tcW w:w="1145" w:type="dxa"/>
            <w:tcBorders>
              <w:top w:val="nil"/>
              <w:left w:val="nil"/>
              <w:bottom w:val="single" w:sz="12" w:space="0" w:color="auto"/>
              <w:right w:val="single" w:sz="12" w:space="0" w:color="auto"/>
            </w:tcBorders>
            <w:vAlign w:val="bottom"/>
          </w:tcPr>
          <w:p w14:paraId="26588017" w14:textId="7CCEDE8D"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4</w:t>
            </w:r>
          </w:p>
        </w:tc>
        <w:tc>
          <w:tcPr>
            <w:tcW w:w="1263" w:type="dxa"/>
            <w:tcBorders>
              <w:top w:val="nil"/>
              <w:left w:val="nil"/>
              <w:bottom w:val="single" w:sz="12" w:space="0" w:color="auto"/>
              <w:right w:val="single" w:sz="12" w:space="0" w:color="auto"/>
            </w:tcBorders>
            <w:vAlign w:val="bottom"/>
          </w:tcPr>
          <w:p w14:paraId="2C36ACA7" w14:textId="5F79AC6A"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49</w:t>
            </w:r>
          </w:p>
        </w:tc>
      </w:tr>
      <w:tr w:rsidR="00FD7B63" w:rsidRPr="002102BD" w14:paraId="7A0B2E4C"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3B7C6336"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BCO.POPULAR</w:t>
            </w:r>
          </w:p>
        </w:tc>
        <w:tc>
          <w:tcPr>
            <w:tcW w:w="1703" w:type="dxa"/>
            <w:tcBorders>
              <w:top w:val="nil"/>
              <w:left w:val="nil"/>
              <w:bottom w:val="single" w:sz="12" w:space="0" w:color="auto"/>
              <w:right w:val="single" w:sz="12" w:space="0" w:color="auto"/>
            </w:tcBorders>
            <w:vAlign w:val="bottom"/>
          </w:tcPr>
          <w:p w14:paraId="2DF6F33F" w14:textId="1B151683"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Calibri" w:hAnsi="Calibri"/>
                <w:color w:val="000000"/>
                <w:sz w:val="22"/>
                <w:szCs w:val="22"/>
              </w:rPr>
              <w:t>2</w:t>
            </w:r>
          </w:p>
        </w:tc>
        <w:tc>
          <w:tcPr>
            <w:tcW w:w="1145" w:type="dxa"/>
            <w:tcBorders>
              <w:top w:val="nil"/>
              <w:left w:val="nil"/>
              <w:bottom w:val="single" w:sz="12" w:space="0" w:color="auto"/>
              <w:right w:val="single" w:sz="12" w:space="0" w:color="auto"/>
            </w:tcBorders>
            <w:vAlign w:val="bottom"/>
          </w:tcPr>
          <w:p w14:paraId="75DE8F8D" w14:textId="130D5FC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1</w:t>
            </w:r>
          </w:p>
        </w:tc>
        <w:tc>
          <w:tcPr>
            <w:tcW w:w="1263" w:type="dxa"/>
            <w:tcBorders>
              <w:top w:val="nil"/>
              <w:left w:val="nil"/>
              <w:bottom w:val="single" w:sz="12" w:space="0" w:color="auto"/>
              <w:right w:val="single" w:sz="12" w:space="0" w:color="auto"/>
            </w:tcBorders>
            <w:vAlign w:val="bottom"/>
          </w:tcPr>
          <w:p w14:paraId="763601FD" w14:textId="03212ED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1</w:t>
            </w:r>
          </w:p>
        </w:tc>
      </w:tr>
      <w:tr w:rsidR="00FD7B63" w:rsidRPr="002102BD" w14:paraId="110E2FCA"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19FC019D"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BCO.SABADELL</w:t>
            </w:r>
          </w:p>
        </w:tc>
        <w:tc>
          <w:tcPr>
            <w:tcW w:w="1703" w:type="dxa"/>
            <w:tcBorders>
              <w:top w:val="nil"/>
              <w:left w:val="nil"/>
              <w:bottom w:val="single" w:sz="12" w:space="0" w:color="auto"/>
              <w:right w:val="single" w:sz="12" w:space="0" w:color="auto"/>
            </w:tcBorders>
            <w:vAlign w:val="bottom"/>
          </w:tcPr>
          <w:p w14:paraId="73D69C01" w14:textId="66A7DCBD"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7</w:t>
            </w:r>
          </w:p>
        </w:tc>
        <w:tc>
          <w:tcPr>
            <w:tcW w:w="1145" w:type="dxa"/>
            <w:tcBorders>
              <w:top w:val="nil"/>
              <w:left w:val="nil"/>
              <w:bottom w:val="single" w:sz="12" w:space="0" w:color="auto"/>
              <w:right w:val="single" w:sz="12" w:space="0" w:color="auto"/>
            </w:tcBorders>
            <w:vAlign w:val="bottom"/>
          </w:tcPr>
          <w:p w14:paraId="0B2BC681" w14:textId="08C7DC5F"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296B0B2C" w14:textId="07D36159"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eastAsiaTheme="minorHAnsi" w:hAnsi="Open Sans" w:cs="Open Sans"/>
                <w:color w:val="000000"/>
                <w:sz w:val="20"/>
                <w:szCs w:val="20"/>
                <w:lang w:val="es-ES" w:eastAsia="en-US"/>
              </w:rPr>
              <w:t>7</w:t>
            </w:r>
          </w:p>
        </w:tc>
      </w:tr>
      <w:tr w:rsidR="00FD7B63" w:rsidRPr="002102BD" w14:paraId="5C49A4EF"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684C1BAB"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BCO. SANTANDER</w:t>
            </w:r>
          </w:p>
        </w:tc>
        <w:tc>
          <w:tcPr>
            <w:tcW w:w="1703" w:type="dxa"/>
            <w:tcBorders>
              <w:top w:val="nil"/>
              <w:left w:val="nil"/>
              <w:bottom w:val="single" w:sz="12" w:space="0" w:color="auto"/>
              <w:right w:val="single" w:sz="12" w:space="0" w:color="auto"/>
            </w:tcBorders>
            <w:vAlign w:val="bottom"/>
          </w:tcPr>
          <w:p w14:paraId="4ACE4D4E" w14:textId="38A2E804"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216</w:t>
            </w:r>
          </w:p>
        </w:tc>
        <w:tc>
          <w:tcPr>
            <w:tcW w:w="1145" w:type="dxa"/>
            <w:tcBorders>
              <w:top w:val="nil"/>
              <w:left w:val="nil"/>
              <w:bottom w:val="single" w:sz="12" w:space="0" w:color="auto"/>
              <w:right w:val="single" w:sz="12" w:space="0" w:color="auto"/>
            </w:tcBorders>
            <w:vAlign w:val="bottom"/>
          </w:tcPr>
          <w:p w14:paraId="67788F89" w14:textId="411236E1"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19</w:t>
            </w:r>
          </w:p>
        </w:tc>
        <w:tc>
          <w:tcPr>
            <w:tcW w:w="1263" w:type="dxa"/>
            <w:tcBorders>
              <w:top w:val="nil"/>
              <w:left w:val="nil"/>
              <w:bottom w:val="single" w:sz="12" w:space="0" w:color="auto"/>
              <w:right w:val="single" w:sz="12" w:space="0" w:color="auto"/>
            </w:tcBorders>
            <w:vAlign w:val="bottom"/>
          </w:tcPr>
          <w:p w14:paraId="172771AF" w14:textId="362304EF"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197</w:t>
            </w:r>
          </w:p>
        </w:tc>
      </w:tr>
      <w:tr w:rsidR="00FD7B63" w:rsidRPr="002102BD" w14:paraId="6832E417"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10495153"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CAIXABANK</w:t>
            </w:r>
          </w:p>
        </w:tc>
        <w:tc>
          <w:tcPr>
            <w:tcW w:w="1703" w:type="dxa"/>
            <w:tcBorders>
              <w:top w:val="nil"/>
              <w:left w:val="nil"/>
              <w:bottom w:val="single" w:sz="12" w:space="0" w:color="auto"/>
              <w:right w:val="single" w:sz="12" w:space="0" w:color="auto"/>
            </w:tcBorders>
            <w:vAlign w:val="bottom"/>
          </w:tcPr>
          <w:p w14:paraId="67C1913A" w14:textId="1A67D109"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3</w:t>
            </w:r>
          </w:p>
        </w:tc>
        <w:tc>
          <w:tcPr>
            <w:tcW w:w="1145" w:type="dxa"/>
            <w:tcBorders>
              <w:top w:val="nil"/>
              <w:left w:val="nil"/>
              <w:bottom w:val="single" w:sz="12" w:space="0" w:color="auto"/>
              <w:right w:val="single" w:sz="12" w:space="0" w:color="auto"/>
            </w:tcBorders>
            <w:vAlign w:val="bottom"/>
          </w:tcPr>
          <w:p w14:paraId="07ED4121" w14:textId="5507041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33E84769" w14:textId="7227075F"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3</w:t>
            </w:r>
          </w:p>
        </w:tc>
      </w:tr>
      <w:tr w:rsidR="00FD7B63" w:rsidRPr="002102BD" w14:paraId="1FE97AD4" w14:textId="77777777" w:rsidTr="00FD7B63">
        <w:trPr>
          <w:trHeight w:val="240"/>
          <w:jc w:val="center"/>
        </w:trPr>
        <w:tc>
          <w:tcPr>
            <w:tcW w:w="3312" w:type="dxa"/>
            <w:tcBorders>
              <w:top w:val="nil"/>
              <w:left w:val="single" w:sz="12" w:space="0" w:color="auto"/>
              <w:bottom w:val="single" w:sz="12" w:space="0" w:color="auto"/>
              <w:right w:val="single" w:sz="12" w:space="0" w:color="auto"/>
            </w:tcBorders>
          </w:tcPr>
          <w:p w14:paraId="03652D63"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DIA</w:t>
            </w:r>
          </w:p>
        </w:tc>
        <w:tc>
          <w:tcPr>
            <w:tcW w:w="1703" w:type="dxa"/>
            <w:tcBorders>
              <w:top w:val="nil"/>
              <w:left w:val="nil"/>
              <w:bottom w:val="single" w:sz="12" w:space="0" w:color="auto"/>
              <w:right w:val="single" w:sz="12" w:space="0" w:color="auto"/>
            </w:tcBorders>
            <w:vAlign w:val="bottom"/>
          </w:tcPr>
          <w:p w14:paraId="5B8AD913" w14:textId="247D5A94"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2</w:t>
            </w:r>
          </w:p>
        </w:tc>
        <w:tc>
          <w:tcPr>
            <w:tcW w:w="1145" w:type="dxa"/>
            <w:tcBorders>
              <w:top w:val="nil"/>
              <w:left w:val="nil"/>
              <w:bottom w:val="single" w:sz="12" w:space="0" w:color="auto"/>
              <w:right w:val="single" w:sz="12" w:space="0" w:color="auto"/>
            </w:tcBorders>
            <w:vAlign w:val="bottom"/>
          </w:tcPr>
          <w:p w14:paraId="78B68AE3" w14:textId="7DA090B3"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0DFB1044" w14:textId="7D1E38C0"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r>
      <w:tr w:rsidR="00FD7B63" w:rsidRPr="002102BD" w14:paraId="5390F86A"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5B19E850"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ENAGAS</w:t>
            </w:r>
          </w:p>
        </w:tc>
        <w:tc>
          <w:tcPr>
            <w:tcW w:w="1703" w:type="dxa"/>
            <w:tcBorders>
              <w:top w:val="nil"/>
              <w:left w:val="nil"/>
              <w:bottom w:val="single" w:sz="12" w:space="0" w:color="auto"/>
              <w:right w:val="single" w:sz="12" w:space="0" w:color="auto"/>
            </w:tcBorders>
            <w:vAlign w:val="bottom"/>
          </w:tcPr>
          <w:p w14:paraId="0BF221FA" w14:textId="7E43E71D"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3</w:t>
            </w:r>
          </w:p>
        </w:tc>
        <w:tc>
          <w:tcPr>
            <w:tcW w:w="1145" w:type="dxa"/>
            <w:tcBorders>
              <w:top w:val="nil"/>
              <w:left w:val="nil"/>
              <w:bottom w:val="single" w:sz="12" w:space="0" w:color="auto"/>
              <w:right w:val="single" w:sz="12" w:space="0" w:color="auto"/>
            </w:tcBorders>
            <w:vAlign w:val="bottom"/>
          </w:tcPr>
          <w:p w14:paraId="630E3049" w14:textId="21DD15EC"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325F50C3" w14:textId="1C5D82CB"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3</w:t>
            </w:r>
          </w:p>
        </w:tc>
      </w:tr>
      <w:tr w:rsidR="00FD7B63" w:rsidRPr="002102BD" w14:paraId="57A87DD5"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B96EC05"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ENDESA</w:t>
            </w:r>
          </w:p>
        </w:tc>
        <w:tc>
          <w:tcPr>
            <w:tcW w:w="1703" w:type="dxa"/>
            <w:tcBorders>
              <w:top w:val="nil"/>
              <w:left w:val="nil"/>
              <w:bottom w:val="single" w:sz="12" w:space="0" w:color="auto"/>
              <w:right w:val="single" w:sz="12" w:space="0" w:color="auto"/>
            </w:tcBorders>
            <w:vAlign w:val="bottom"/>
          </w:tcPr>
          <w:p w14:paraId="67E98323" w14:textId="30CC62B2"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4</w:t>
            </w:r>
          </w:p>
        </w:tc>
        <w:tc>
          <w:tcPr>
            <w:tcW w:w="1145" w:type="dxa"/>
            <w:tcBorders>
              <w:top w:val="nil"/>
              <w:left w:val="nil"/>
              <w:bottom w:val="single" w:sz="12" w:space="0" w:color="auto"/>
              <w:right w:val="single" w:sz="12" w:space="0" w:color="auto"/>
            </w:tcBorders>
            <w:vAlign w:val="bottom"/>
          </w:tcPr>
          <w:p w14:paraId="0458B135" w14:textId="24A69AEA"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5992E969" w14:textId="41E9C400"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4</w:t>
            </w:r>
          </w:p>
        </w:tc>
      </w:tr>
      <w:tr w:rsidR="00FD7B63" w:rsidRPr="002102BD" w14:paraId="5E25EF78"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5F045BE"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FCC</w:t>
            </w:r>
          </w:p>
        </w:tc>
        <w:tc>
          <w:tcPr>
            <w:tcW w:w="1703" w:type="dxa"/>
            <w:tcBorders>
              <w:top w:val="nil"/>
              <w:left w:val="nil"/>
              <w:bottom w:val="single" w:sz="12" w:space="0" w:color="auto"/>
              <w:right w:val="single" w:sz="12" w:space="0" w:color="auto"/>
            </w:tcBorders>
            <w:vAlign w:val="bottom"/>
          </w:tcPr>
          <w:p w14:paraId="1DB08369" w14:textId="6835EF52"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65</w:t>
            </w:r>
          </w:p>
        </w:tc>
        <w:tc>
          <w:tcPr>
            <w:tcW w:w="1145" w:type="dxa"/>
            <w:tcBorders>
              <w:top w:val="nil"/>
              <w:left w:val="nil"/>
              <w:bottom w:val="single" w:sz="12" w:space="0" w:color="auto"/>
              <w:right w:val="single" w:sz="12" w:space="0" w:color="auto"/>
            </w:tcBorders>
            <w:vAlign w:val="bottom"/>
          </w:tcPr>
          <w:p w14:paraId="17AE1083" w14:textId="259D1522"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6</w:t>
            </w:r>
          </w:p>
        </w:tc>
        <w:tc>
          <w:tcPr>
            <w:tcW w:w="1263" w:type="dxa"/>
            <w:tcBorders>
              <w:top w:val="nil"/>
              <w:left w:val="nil"/>
              <w:bottom w:val="single" w:sz="12" w:space="0" w:color="auto"/>
              <w:right w:val="single" w:sz="12" w:space="0" w:color="auto"/>
            </w:tcBorders>
            <w:vAlign w:val="bottom"/>
          </w:tcPr>
          <w:p w14:paraId="0BBC425E" w14:textId="43B52EF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59</w:t>
            </w:r>
          </w:p>
        </w:tc>
      </w:tr>
      <w:tr w:rsidR="00FD7B63" w:rsidRPr="002102BD" w14:paraId="36706724"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060BC36"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FERROVIAL</w:t>
            </w:r>
          </w:p>
        </w:tc>
        <w:tc>
          <w:tcPr>
            <w:tcW w:w="1703" w:type="dxa"/>
            <w:tcBorders>
              <w:top w:val="nil"/>
              <w:left w:val="nil"/>
              <w:bottom w:val="single" w:sz="12" w:space="0" w:color="auto"/>
              <w:right w:val="single" w:sz="12" w:space="0" w:color="auto"/>
            </w:tcBorders>
            <w:vAlign w:val="bottom"/>
          </w:tcPr>
          <w:p w14:paraId="4A2159DB" w14:textId="4B7773B4"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33</w:t>
            </w:r>
          </w:p>
        </w:tc>
        <w:tc>
          <w:tcPr>
            <w:tcW w:w="1145" w:type="dxa"/>
            <w:tcBorders>
              <w:top w:val="nil"/>
              <w:left w:val="nil"/>
              <w:bottom w:val="single" w:sz="12" w:space="0" w:color="auto"/>
              <w:right w:val="single" w:sz="12" w:space="0" w:color="auto"/>
            </w:tcBorders>
            <w:vAlign w:val="bottom"/>
          </w:tcPr>
          <w:p w14:paraId="7C80F228" w14:textId="21448773"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79D6F34C" w14:textId="59B4F592"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33</w:t>
            </w:r>
          </w:p>
        </w:tc>
      </w:tr>
      <w:tr w:rsidR="00FD7B63" w:rsidRPr="002102BD" w14:paraId="762D144E"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1131B3BC"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GAMESA</w:t>
            </w:r>
          </w:p>
        </w:tc>
        <w:tc>
          <w:tcPr>
            <w:tcW w:w="1703" w:type="dxa"/>
            <w:tcBorders>
              <w:top w:val="nil"/>
              <w:left w:val="nil"/>
              <w:bottom w:val="single" w:sz="12" w:space="0" w:color="auto"/>
              <w:right w:val="single" w:sz="12" w:space="0" w:color="auto"/>
            </w:tcBorders>
            <w:vAlign w:val="bottom"/>
          </w:tcPr>
          <w:p w14:paraId="3AC8FD1A" w14:textId="7545CB67"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22</w:t>
            </w:r>
          </w:p>
        </w:tc>
        <w:tc>
          <w:tcPr>
            <w:tcW w:w="1145" w:type="dxa"/>
            <w:tcBorders>
              <w:top w:val="nil"/>
              <w:left w:val="nil"/>
              <w:bottom w:val="single" w:sz="12" w:space="0" w:color="auto"/>
              <w:right w:val="single" w:sz="12" w:space="0" w:color="auto"/>
            </w:tcBorders>
            <w:vAlign w:val="bottom"/>
          </w:tcPr>
          <w:p w14:paraId="4BA2A510" w14:textId="3A59B5A2"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w:t>
            </w:r>
          </w:p>
        </w:tc>
        <w:tc>
          <w:tcPr>
            <w:tcW w:w="1263" w:type="dxa"/>
            <w:tcBorders>
              <w:top w:val="nil"/>
              <w:left w:val="nil"/>
              <w:bottom w:val="single" w:sz="12" w:space="0" w:color="auto"/>
              <w:right w:val="single" w:sz="12" w:space="0" w:color="auto"/>
            </w:tcBorders>
            <w:vAlign w:val="bottom"/>
          </w:tcPr>
          <w:p w14:paraId="39A32FC1" w14:textId="0FB37DA4"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21</w:t>
            </w:r>
          </w:p>
        </w:tc>
      </w:tr>
      <w:tr w:rsidR="00FD7B63" w:rsidRPr="002102BD" w14:paraId="5D6D7FE0"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3A70E46E"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GAS NATURAL</w:t>
            </w:r>
          </w:p>
        </w:tc>
        <w:tc>
          <w:tcPr>
            <w:tcW w:w="1703" w:type="dxa"/>
            <w:tcBorders>
              <w:top w:val="nil"/>
              <w:left w:val="nil"/>
              <w:bottom w:val="single" w:sz="12" w:space="0" w:color="auto"/>
              <w:right w:val="single" w:sz="12" w:space="0" w:color="auto"/>
            </w:tcBorders>
            <w:vAlign w:val="bottom"/>
          </w:tcPr>
          <w:p w14:paraId="17F81F9D" w14:textId="1B6AEE79"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31</w:t>
            </w:r>
          </w:p>
        </w:tc>
        <w:tc>
          <w:tcPr>
            <w:tcW w:w="1145" w:type="dxa"/>
            <w:tcBorders>
              <w:top w:val="nil"/>
              <w:left w:val="nil"/>
              <w:bottom w:val="single" w:sz="12" w:space="0" w:color="auto"/>
              <w:right w:val="single" w:sz="12" w:space="0" w:color="auto"/>
            </w:tcBorders>
            <w:vAlign w:val="bottom"/>
          </w:tcPr>
          <w:p w14:paraId="24E180BC" w14:textId="181D3F03"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5</w:t>
            </w:r>
          </w:p>
        </w:tc>
        <w:tc>
          <w:tcPr>
            <w:tcW w:w="1263" w:type="dxa"/>
            <w:tcBorders>
              <w:top w:val="nil"/>
              <w:left w:val="nil"/>
              <w:bottom w:val="single" w:sz="12" w:space="0" w:color="auto"/>
              <w:right w:val="single" w:sz="12" w:space="0" w:color="auto"/>
            </w:tcBorders>
            <w:vAlign w:val="bottom"/>
          </w:tcPr>
          <w:p w14:paraId="7A1476B3" w14:textId="68E75E47"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26</w:t>
            </w:r>
          </w:p>
        </w:tc>
      </w:tr>
      <w:tr w:rsidR="00FD7B63" w:rsidRPr="002102BD" w14:paraId="12F100FE"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4CCFA897"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GRIFOLS</w:t>
            </w:r>
          </w:p>
        </w:tc>
        <w:tc>
          <w:tcPr>
            <w:tcW w:w="1703" w:type="dxa"/>
            <w:tcBorders>
              <w:top w:val="nil"/>
              <w:left w:val="nil"/>
              <w:bottom w:val="single" w:sz="12" w:space="0" w:color="auto"/>
              <w:right w:val="single" w:sz="12" w:space="0" w:color="auto"/>
            </w:tcBorders>
            <w:vAlign w:val="bottom"/>
          </w:tcPr>
          <w:p w14:paraId="55837821" w14:textId="437D5F28"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16</w:t>
            </w:r>
          </w:p>
        </w:tc>
        <w:tc>
          <w:tcPr>
            <w:tcW w:w="1145" w:type="dxa"/>
            <w:tcBorders>
              <w:top w:val="nil"/>
              <w:left w:val="nil"/>
              <w:bottom w:val="single" w:sz="12" w:space="0" w:color="auto"/>
              <w:right w:val="single" w:sz="12" w:space="0" w:color="auto"/>
            </w:tcBorders>
            <w:vAlign w:val="bottom"/>
          </w:tcPr>
          <w:p w14:paraId="2FA46A92" w14:textId="2982299A"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5199420C" w14:textId="0ED828F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16</w:t>
            </w:r>
          </w:p>
        </w:tc>
      </w:tr>
      <w:tr w:rsidR="00FD7B63" w:rsidRPr="002102BD" w14:paraId="050AD5FB"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42BFD1FC"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IAG IBERIA</w:t>
            </w:r>
          </w:p>
        </w:tc>
        <w:tc>
          <w:tcPr>
            <w:tcW w:w="1703" w:type="dxa"/>
            <w:tcBorders>
              <w:top w:val="nil"/>
              <w:left w:val="nil"/>
              <w:bottom w:val="single" w:sz="12" w:space="0" w:color="auto"/>
              <w:right w:val="single" w:sz="12" w:space="0" w:color="auto"/>
            </w:tcBorders>
            <w:vAlign w:val="bottom"/>
          </w:tcPr>
          <w:p w14:paraId="53E795D9" w14:textId="53EBFB57"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Calibri" w:hAnsi="Calibri"/>
                <w:color w:val="000000"/>
                <w:sz w:val="22"/>
                <w:szCs w:val="22"/>
              </w:rPr>
              <w:t>41</w:t>
            </w:r>
          </w:p>
        </w:tc>
        <w:tc>
          <w:tcPr>
            <w:tcW w:w="1145" w:type="dxa"/>
            <w:tcBorders>
              <w:top w:val="nil"/>
              <w:left w:val="nil"/>
              <w:bottom w:val="single" w:sz="12" w:space="0" w:color="auto"/>
              <w:right w:val="single" w:sz="12" w:space="0" w:color="auto"/>
            </w:tcBorders>
            <w:vAlign w:val="bottom"/>
          </w:tcPr>
          <w:p w14:paraId="766C95D9" w14:textId="1F1624F4"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13</w:t>
            </w:r>
          </w:p>
        </w:tc>
        <w:tc>
          <w:tcPr>
            <w:tcW w:w="1263" w:type="dxa"/>
            <w:tcBorders>
              <w:top w:val="nil"/>
              <w:left w:val="nil"/>
              <w:bottom w:val="single" w:sz="12" w:space="0" w:color="auto"/>
              <w:right w:val="single" w:sz="12" w:space="0" w:color="auto"/>
            </w:tcBorders>
            <w:vAlign w:val="bottom"/>
          </w:tcPr>
          <w:p w14:paraId="3EBD94E0" w14:textId="2F947125"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Calibri" w:hAnsi="Calibri"/>
                <w:color w:val="000000"/>
                <w:sz w:val="22"/>
                <w:szCs w:val="22"/>
              </w:rPr>
              <w:t>28</w:t>
            </w:r>
          </w:p>
        </w:tc>
      </w:tr>
      <w:tr w:rsidR="00FD7B63" w:rsidRPr="002102BD" w14:paraId="6C6F3861"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0BBFC359"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IBERDROLA</w:t>
            </w:r>
          </w:p>
        </w:tc>
        <w:tc>
          <w:tcPr>
            <w:tcW w:w="1703" w:type="dxa"/>
            <w:tcBorders>
              <w:top w:val="nil"/>
              <w:left w:val="nil"/>
              <w:bottom w:val="single" w:sz="12" w:space="0" w:color="auto"/>
              <w:right w:val="single" w:sz="12" w:space="0" w:color="auto"/>
            </w:tcBorders>
            <w:vAlign w:val="bottom"/>
          </w:tcPr>
          <w:p w14:paraId="56B5D38B" w14:textId="60483985"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71</w:t>
            </w:r>
          </w:p>
        </w:tc>
        <w:tc>
          <w:tcPr>
            <w:tcW w:w="1145" w:type="dxa"/>
            <w:tcBorders>
              <w:top w:val="nil"/>
              <w:left w:val="nil"/>
              <w:bottom w:val="single" w:sz="12" w:space="0" w:color="auto"/>
              <w:right w:val="single" w:sz="12" w:space="0" w:color="auto"/>
            </w:tcBorders>
            <w:vAlign w:val="bottom"/>
          </w:tcPr>
          <w:p w14:paraId="18816DC4" w14:textId="4632F0AB"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w:t>
            </w:r>
          </w:p>
        </w:tc>
        <w:tc>
          <w:tcPr>
            <w:tcW w:w="1263" w:type="dxa"/>
            <w:tcBorders>
              <w:top w:val="nil"/>
              <w:left w:val="nil"/>
              <w:bottom w:val="single" w:sz="12" w:space="0" w:color="auto"/>
              <w:right w:val="single" w:sz="12" w:space="0" w:color="auto"/>
            </w:tcBorders>
            <w:vAlign w:val="bottom"/>
          </w:tcPr>
          <w:p w14:paraId="385CABC1" w14:textId="76BA9AC3"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70</w:t>
            </w:r>
          </w:p>
        </w:tc>
      </w:tr>
      <w:tr w:rsidR="00FD7B63" w:rsidRPr="002102BD" w14:paraId="301A4675"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01D2D635"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INDITEX</w:t>
            </w:r>
          </w:p>
        </w:tc>
        <w:tc>
          <w:tcPr>
            <w:tcW w:w="1703" w:type="dxa"/>
            <w:tcBorders>
              <w:top w:val="nil"/>
              <w:left w:val="nil"/>
              <w:bottom w:val="single" w:sz="12" w:space="0" w:color="auto"/>
              <w:right w:val="single" w:sz="12" w:space="0" w:color="auto"/>
            </w:tcBorders>
            <w:vAlign w:val="bottom"/>
          </w:tcPr>
          <w:p w14:paraId="10705133" w14:textId="70FCB977"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74</w:t>
            </w:r>
          </w:p>
        </w:tc>
        <w:tc>
          <w:tcPr>
            <w:tcW w:w="1145" w:type="dxa"/>
            <w:tcBorders>
              <w:top w:val="nil"/>
              <w:left w:val="nil"/>
              <w:bottom w:val="single" w:sz="12" w:space="0" w:color="auto"/>
              <w:right w:val="single" w:sz="12" w:space="0" w:color="auto"/>
            </w:tcBorders>
            <w:vAlign w:val="bottom"/>
          </w:tcPr>
          <w:p w14:paraId="3FE7CFDF" w14:textId="597886F0"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8</w:t>
            </w:r>
          </w:p>
        </w:tc>
        <w:tc>
          <w:tcPr>
            <w:tcW w:w="1263" w:type="dxa"/>
            <w:tcBorders>
              <w:top w:val="nil"/>
              <w:left w:val="nil"/>
              <w:bottom w:val="single" w:sz="12" w:space="0" w:color="auto"/>
              <w:right w:val="single" w:sz="12" w:space="0" w:color="auto"/>
            </w:tcBorders>
            <w:vAlign w:val="bottom"/>
          </w:tcPr>
          <w:p w14:paraId="3B1E6D49" w14:textId="6FB81D34"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66</w:t>
            </w:r>
          </w:p>
        </w:tc>
      </w:tr>
      <w:tr w:rsidR="00FD7B63" w:rsidRPr="002102BD" w14:paraId="76F38307"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B0DB644"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INDRA</w:t>
            </w:r>
          </w:p>
        </w:tc>
        <w:tc>
          <w:tcPr>
            <w:tcW w:w="1703" w:type="dxa"/>
            <w:tcBorders>
              <w:top w:val="nil"/>
              <w:left w:val="nil"/>
              <w:bottom w:val="single" w:sz="12" w:space="0" w:color="auto"/>
              <w:right w:val="single" w:sz="12" w:space="0" w:color="auto"/>
            </w:tcBorders>
            <w:vAlign w:val="bottom"/>
          </w:tcPr>
          <w:p w14:paraId="58163EA5" w14:textId="4DC3C4F8"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41</w:t>
            </w:r>
          </w:p>
        </w:tc>
        <w:tc>
          <w:tcPr>
            <w:tcW w:w="1145" w:type="dxa"/>
            <w:tcBorders>
              <w:top w:val="nil"/>
              <w:left w:val="nil"/>
              <w:bottom w:val="single" w:sz="12" w:space="0" w:color="auto"/>
              <w:right w:val="single" w:sz="12" w:space="0" w:color="auto"/>
            </w:tcBorders>
            <w:vAlign w:val="bottom"/>
          </w:tcPr>
          <w:p w14:paraId="686E2804" w14:textId="3A6A86A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13</w:t>
            </w:r>
          </w:p>
        </w:tc>
        <w:tc>
          <w:tcPr>
            <w:tcW w:w="1263" w:type="dxa"/>
            <w:tcBorders>
              <w:top w:val="nil"/>
              <w:left w:val="nil"/>
              <w:bottom w:val="single" w:sz="12" w:space="0" w:color="auto"/>
              <w:right w:val="single" w:sz="12" w:space="0" w:color="auto"/>
            </w:tcBorders>
            <w:vAlign w:val="bottom"/>
          </w:tcPr>
          <w:p w14:paraId="650206C1" w14:textId="39BBCCDF"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28</w:t>
            </w:r>
          </w:p>
        </w:tc>
      </w:tr>
      <w:tr w:rsidR="00FD7B63" w:rsidRPr="002102BD" w14:paraId="1A1FDF12"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6F6AB16"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MAPFRE</w:t>
            </w:r>
          </w:p>
        </w:tc>
        <w:tc>
          <w:tcPr>
            <w:tcW w:w="1703" w:type="dxa"/>
            <w:tcBorders>
              <w:top w:val="nil"/>
              <w:left w:val="nil"/>
              <w:bottom w:val="single" w:sz="12" w:space="0" w:color="auto"/>
              <w:right w:val="single" w:sz="12" w:space="0" w:color="auto"/>
            </w:tcBorders>
            <w:vAlign w:val="bottom"/>
          </w:tcPr>
          <w:p w14:paraId="700E5B75" w14:textId="0800B2EA"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46</w:t>
            </w:r>
          </w:p>
        </w:tc>
        <w:tc>
          <w:tcPr>
            <w:tcW w:w="1145" w:type="dxa"/>
            <w:tcBorders>
              <w:top w:val="nil"/>
              <w:left w:val="nil"/>
              <w:bottom w:val="single" w:sz="12" w:space="0" w:color="auto"/>
              <w:right w:val="single" w:sz="12" w:space="0" w:color="auto"/>
            </w:tcBorders>
            <w:vAlign w:val="bottom"/>
          </w:tcPr>
          <w:p w14:paraId="71D78A11" w14:textId="2AE96F58"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c>
          <w:tcPr>
            <w:tcW w:w="1263" w:type="dxa"/>
            <w:tcBorders>
              <w:top w:val="nil"/>
              <w:left w:val="nil"/>
              <w:bottom w:val="single" w:sz="12" w:space="0" w:color="auto"/>
              <w:right w:val="single" w:sz="12" w:space="0" w:color="auto"/>
            </w:tcBorders>
            <w:vAlign w:val="bottom"/>
          </w:tcPr>
          <w:p w14:paraId="74D8A409" w14:textId="271326D3"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44</w:t>
            </w:r>
          </w:p>
        </w:tc>
      </w:tr>
      <w:tr w:rsidR="00FD7B63" w:rsidRPr="002102BD" w14:paraId="403BD468"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53BD7946"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MEDIASET</w:t>
            </w:r>
          </w:p>
        </w:tc>
        <w:tc>
          <w:tcPr>
            <w:tcW w:w="1703" w:type="dxa"/>
            <w:tcBorders>
              <w:top w:val="nil"/>
              <w:left w:val="nil"/>
              <w:bottom w:val="single" w:sz="12" w:space="0" w:color="auto"/>
              <w:right w:val="single" w:sz="12" w:space="0" w:color="auto"/>
            </w:tcBorders>
            <w:vAlign w:val="bottom"/>
          </w:tcPr>
          <w:p w14:paraId="26E25410" w14:textId="3E53AB46"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w:t>
            </w:r>
          </w:p>
        </w:tc>
        <w:tc>
          <w:tcPr>
            <w:tcW w:w="1145" w:type="dxa"/>
            <w:tcBorders>
              <w:top w:val="nil"/>
              <w:left w:val="nil"/>
              <w:bottom w:val="single" w:sz="12" w:space="0" w:color="auto"/>
              <w:right w:val="single" w:sz="12" w:space="0" w:color="auto"/>
            </w:tcBorders>
            <w:vAlign w:val="bottom"/>
          </w:tcPr>
          <w:p w14:paraId="53BFB74A" w14:textId="344C3CA7"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7CE764AD" w14:textId="310AE2C4"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w:t>
            </w:r>
          </w:p>
        </w:tc>
      </w:tr>
      <w:tr w:rsidR="00FD7B63" w:rsidRPr="002102BD" w14:paraId="26AE3AC7"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52506B27"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MERLIN PROPERTIES</w:t>
            </w:r>
          </w:p>
        </w:tc>
        <w:tc>
          <w:tcPr>
            <w:tcW w:w="1703" w:type="dxa"/>
            <w:tcBorders>
              <w:top w:val="nil"/>
              <w:left w:val="nil"/>
              <w:bottom w:val="single" w:sz="12" w:space="0" w:color="auto"/>
              <w:right w:val="single" w:sz="12" w:space="0" w:color="auto"/>
            </w:tcBorders>
            <w:vAlign w:val="bottom"/>
          </w:tcPr>
          <w:p w14:paraId="722B9B0B" w14:textId="633E4153"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w:t>
            </w:r>
          </w:p>
        </w:tc>
        <w:tc>
          <w:tcPr>
            <w:tcW w:w="1145" w:type="dxa"/>
            <w:tcBorders>
              <w:top w:val="nil"/>
              <w:left w:val="nil"/>
              <w:bottom w:val="single" w:sz="12" w:space="0" w:color="auto"/>
              <w:right w:val="single" w:sz="12" w:space="0" w:color="auto"/>
            </w:tcBorders>
            <w:vAlign w:val="bottom"/>
          </w:tcPr>
          <w:p w14:paraId="0DE7FA12" w14:textId="665D04D0"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17714ECC" w14:textId="198E7C7A"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w:t>
            </w:r>
          </w:p>
        </w:tc>
      </w:tr>
      <w:tr w:rsidR="00FD7B63" w:rsidRPr="002102BD" w14:paraId="5F9D8462"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0511B166"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OHL</w:t>
            </w:r>
          </w:p>
        </w:tc>
        <w:tc>
          <w:tcPr>
            <w:tcW w:w="1703" w:type="dxa"/>
            <w:tcBorders>
              <w:top w:val="nil"/>
              <w:left w:val="nil"/>
              <w:bottom w:val="single" w:sz="12" w:space="0" w:color="auto"/>
              <w:right w:val="single" w:sz="12" w:space="0" w:color="auto"/>
            </w:tcBorders>
            <w:vAlign w:val="bottom"/>
          </w:tcPr>
          <w:p w14:paraId="12CF4603" w14:textId="5672DF43"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17</w:t>
            </w:r>
          </w:p>
        </w:tc>
        <w:tc>
          <w:tcPr>
            <w:tcW w:w="1145" w:type="dxa"/>
            <w:tcBorders>
              <w:top w:val="nil"/>
              <w:left w:val="nil"/>
              <w:bottom w:val="single" w:sz="12" w:space="0" w:color="auto"/>
              <w:right w:val="single" w:sz="12" w:space="0" w:color="auto"/>
            </w:tcBorders>
            <w:vAlign w:val="bottom"/>
          </w:tcPr>
          <w:p w14:paraId="34BD9E28" w14:textId="68A05AEA"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c>
          <w:tcPr>
            <w:tcW w:w="1263" w:type="dxa"/>
            <w:tcBorders>
              <w:top w:val="nil"/>
              <w:left w:val="nil"/>
              <w:bottom w:val="single" w:sz="12" w:space="0" w:color="auto"/>
              <w:right w:val="single" w:sz="12" w:space="0" w:color="auto"/>
            </w:tcBorders>
            <w:vAlign w:val="bottom"/>
          </w:tcPr>
          <w:p w14:paraId="69693FCB" w14:textId="4A3659A3"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15</w:t>
            </w:r>
          </w:p>
        </w:tc>
      </w:tr>
      <w:tr w:rsidR="00FD7B63" w:rsidRPr="002102BD" w14:paraId="04C73455"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38EC9F4F"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REC</w:t>
            </w:r>
          </w:p>
        </w:tc>
        <w:tc>
          <w:tcPr>
            <w:tcW w:w="1703" w:type="dxa"/>
            <w:tcBorders>
              <w:top w:val="nil"/>
              <w:left w:val="nil"/>
              <w:bottom w:val="single" w:sz="12" w:space="0" w:color="auto"/>
              <w:right w:val="single" w:sz="12" w:space="0" w:color="auto"/>
            </w:tcBorders>
            <w:vAlign w:val="bottom"/>
          </w:tcPr>
          <w:p w14:paraId="68A86F44" w14:textId="4BC993A7"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2</w:t>
            </w:r>
          </w:p>
        </w:tc>
        <w:tc>
          <w:tcPr>
            <w:tcW w:w="1145" w:type="dxa"/>
            <w:tcBorders>
              <w:top w:val="nil"/>
              <w:left w:val="nil"/>
              <w:bottom w:val="single" w:sz="12" w:space="0" w:color="auto"/>
              <w:right w:val="single" w:sz="12" w:space="0" w:color="auto"/>
            </w:tcBorders>
            <w:vAlign w:val="bottom"/>
          </w:tcPr>
          <w:p w14:paraId="20C16E2E" w14:textId="1949BCB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37AC9275" w14:textId="26C5FBB9"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r>
      <w:tr w:rsidR="00FD7B63" w:rsidRPr="002102BD" w14:paraId="34E7DB17"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692F5E18"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REPSOL</w:t>
            </w:r>
          </w:p>
        </w:tc>
        <w:tc>
          <w:tcPr>
            <w:tcW w:w="1703" w:type="dxa"/>
            <w:tcBorders>
              <w:top w:val="nil"/>
              <w:left w:val="nil"/>
              <w:bottom w:val="single" w:sz="12" w:space="0" w:color="auto"/>
              <w:right w:val="single" w:sz="12" w:space="0" w:color="auto"/>
            </w:tcBorders>
            <w:vAlign w:val="bottom"/>
          </w:tcPr>
          <w:p w14:paraId="5939A7EB" w14:textId="5BAA82B5"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120</w:t>
            </w:r>
          </w:p>
        </w:tc>
        <w:tc>
          <w:tcPr>
            <w:tcW w:w="1145" w:type="dxa"/>
            <w:tcBorders>
              <w:top w:val="nil"/>
              <w:left w:val="nil"/>
              <w:bottom w:val="single" w:sz="12" w:space="0" w:color="auto"/>
              <w:right w:val="single" w:sz="12" w:space="0" w:color="auto"/>
            </w:tcBorders>
            <w:vAlign w:val="bottom"/>
          </w:tcPr>
          <w:p w14:paraId="13EBBD1D" w14:textId="42FD02EC"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9</w:t>
            </w:r>
          </w:p>
        </w:tc>
        <w:tc>
          <w:tcPr>
            <w:tcW w:w="1263" w:type="dxa"/>
            <w:tcBorders>
              <w:top w:val="nil"/>
              <w:left w:val="nil"/>
              <w:bottom w:val="single" w:sz="12" w:space="0" w:color="auto"/>
              <w:right w:val="single" w:sz="12" w:space="0" w:color="auto"/>
            </w:tcBorders>
            <w:vAlign w:val="bottom"/>
          </w:tcPr>
          <w:p w14:paraId="55C2B3BC" w14:textId="04842AFE"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111</w:t>
            </w:r>
          </w:p>
        </w:tc>
      </w:tr>
      <w:tr w:rsidR="00FD7B63" w:rsidRPr="002102BD" w14:paraId="415F4AA4"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3DCCC936"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SACYR</w:t>
            </w:r>
          </w:p>
        </w:tc>
        <w:tc>
          <w:tcPr>
            <w:tcW w:w="1703" w:type="dxa"/>
            <w:tcBorders>
              <w:top w:val="nil"/>
              <w:left w:val="nil"/>
              <w:bottom w:val="single" w:sz="12" w:space="0" w:color="auto"/>
              <w:right w:val="single" w:sz="12" w:space="0" w:color="auto"/>
            </w:tcBorders>
            <w:vAlign w:val="bottom"/>
          </w:tcPr>
          <w:p w14:paraId="744FFDDF" w14:textId="7ABAE3C3"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15</w:t>
            </w:r>
          </w:p>
        </w:tc>
        <w:tc>
          <w:tcPr>
            <w:tcW w:w="1145" w:type="dxa"/>
            <w:tcBorders>
              <w:top w:val="nil"/>
              <w:left w:val="nil"/>
              <w:bottom w:val="single" w:sz="12" w:space="0" w:color="auto"/>
              <w:right w:val="single" w:sz="12" w:space="0" w:color="auto"/>
            </w:tcBorders>
            <w:vAlign w:val="bottom"/>
          </w:tcPr>
          <w:p w14:paraId="3BCB4B60" w14:textId="71E09FB9"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c>
          <w:tcPr>
            <w:tcW w:w="1263" w:type="dxa"/>
            <w:tcBorders>
              <w:top w:val="nil"/>
              <w:left w:val="nil"/>
              <w:bottom w:val="single" w:sz="12" w:space="0" w:color="auto"/>
              <w:right w:val="single" w:sz="12" w:space="0" w:color="auto"/>
            </w:tcBorders>
            <w:vAlign w:val="bottom"/>
          </w:tcPr>
          <w:p w14:paraId="011762FE" w14:textId="614EFA39"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13</w:t>
            </w:r>
          </w:p>
        </w:tc>
      </w:tr>
      <w:tr w:rsidR="00FD7B63" w:rsidRPr="002102BD" w14:paraId="772EBDEA"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7FBF46B9" w14:textId="77777777"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TECNICAS REUNIDAS</w:t>
            </w:r>
          </w:p>
        </w:tc>
        <w:tc>
          <w:tcPr>
            <w:tcW w:w="1703" w:type="dxa"/>
            <w:tcBorders>
              <w:top w:val="nil"/>
              <w:left w:val="nil"/>
              <w:bottom w:val="single" w:sz="12" w:space="0" w:color="auto"/>
              <w:right w:val="single" w:sz="12" w:space="0" w:color="auto"/>
            </w:tcBorders>
            <w:vAlign w:val="bottom"/>
          </w:tcPr>
          <w:p w14:paraId="68091C8B" w14:textId="5A78C8D9" w:rsidR="0030792E" w:rsidRPr="00FD7B63" w:rsidRDefault="0030792E" w:rsidP="00BC63A1">
            <w:pPr>
              <w:autoSpaceDE w:val="0"/>
              <w:autoSpaceDN w:val="0"/>
              <w:adjustRightInd w:val="0"/>
              <w:jc w:val="center"/>
              <w:rPr>
                <w:rFonts w:ascii="Open Sans" w:eastAsiaTheme="minorHAnsi" w:hAnsi="Open Sans" w:cs="Open Sans"/>
                <w:bCs/>
                <w:color w:val="000000"/>
                <w:sz w:val="20"/>
                <w:szCs w:val="20"/>
                <w:lang w:val="es-ES" w:eastAsia="en-US"/>
              </w:rPr>
            </w:pPr>
            <w:r w:rsidRPr="00FD7B63">
              <w:rPr>
                <w:rFonts w:ascii="Open Sans" w:hAnsi="Open Sans" w:cs="Open Sans"/>
                <w:color w:val="000000"/>
                <w:sz w:val="20"/>
                <w:szCs w:val="20"/>
              </w:rPr>
              <w:t>11</w:t>
            </w:r>
          </w:p>
        </w:tc>
        <w:tc>
          <w:tcPr>
            <w:tcW w:w="1145" w:type="dxa"/>
            <w:tcBorders>
              <w:top w:val="nil"/>
              <w:left w:val="nil"/>
              <w:bottom w:val="single" w:sz="12" w:space="0" w:color="auto"/>
              <w:right w:val="single" w:sz="12" w:space="0" w:color="auto"/>
            </w:tcBorders>
            <w:vAlign w:val="bottom"/>
          </w:tcPr>
          <w:p w14:paraId="4098EB92" w14:textId="2679BEF9"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w:t>
            </w:r>
          </w:p>
        </w:tc>
        <w:tc>
          <w:tcPr>
            <w:tcW w:w="1263" w:type="dxa"/>
            <w:tcBorders>
              <w:top w:val="nil"/>
              <w:left w:val="nil"/>
              <w:bottom w:val="single" w:sz="12" w:space="0" w:color="auto"/>
              <w:right w:val="single" w:sz="12" w:space="0" w:color="auto"/>
            </w:tcBorders>
            <w:vAlign w:val="bottom"/>
          </w:tcPr>
          <w:p w14:paraId="4592092B" w14:textId="4430AA66"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9</w:t>
            </w:r>
          </w:p>
        </w:tc>
      </w:tr>
      <w:tr w:rsidR="00FD7B63" w:rsidRPr="002102BD" w14:paraId="00B08D63" w14:textId="77777777" w:rsidTr="00FD7B63">
        <w:trPr>
          <w:trHeight w:val="229"/>
          <w:jc w:val="center"/>
        </w:trPr>
        <w:tc>
          <w:tcPr>
            <w:tcW w:w="3312" w:type="dxa"/>
            <w:tcBorders>
              <w:top w:val="nil"/>
              <w:left w:val="single" w:sz="12" w:space="0" w:color="auto"/>
              <w:bottom w:val="single" w:sz="12" w:space="0" w:color="auto"/>
              <w:right w:val="single" w:sz="12" w:space="0" w:color="auto"/>
            </w:tcBorders>
          </w:tcPr>
          <w:p w14:paraId="5738A7C7" w14:textId="29325FEF" w:rsidR="0030792E" w:rsidRPr="002102BD" w:rsidRDefault="0030792E" w:rsidP="00BC63A1">
            <w:pPr>
              <w:autoSpaceDE w:val="0"/>
              <w:autoSpaceDN w:val="0"/>
              <w:adjustRightInd w:val="0"/>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TELEFONICA</w:t>
            </w:r>
            <w:r w:rsidR="00710DFC">
              <w:rPr>
                <w:rStyle w:val="Refdenotaalpie"/>
                <w:rFonts w:ascii="Open Sans" w:eastAsiaTheme="minorHAnsi" w:hAnsi="Open Sans" w:cs="Open Sans"/>
                <w:b/>
                <w:bCs/>
                <w:color w:val="000000"/>
                <w:sz w:val="20"/>
                <w:szCs w:val="20"/>
                <w:lang w:val="es-ES" w:eastAsia="en-US"/>
              </w:rPr>
              <w:footnoteReference w:id="93"/>
            </w:r>
          </w:p>
        </w:tc>
        <w:tc>
          <w:tcPr>
            <w:tcW w:w="1703" w:type="dxa"/>
            <w:tcBorders>
              <w:top w:val="nil"/>
              <w:left w:val="nil"/>
              <w:bottom w:val="single" w:sz="12" w:space="0" w:color="auto"/>
              <w:right w:val="single" w:sz="12" w:space="0" w:color="auto"/>
            </w:tcBorders>
            <w:vAlign w:val="bottom"/>
          </w:tcPr>
          <w:p w14:paraId="33895B2E" w14:textId="19DB6441" w:rsidR="0030792E" w:rsidRPr="00FD7B63" w:rsidRDefault="005933E5" w:rsidP="00BC63A1">
            <w:pPr>
              <w:autoSpaceDE w:val="0"/>
              <w:autoSpaceDN w:val="0"/>
              <w:adjustRightInd w:val="0"/>
              <w:jc w:val="center"/>
              <w:rPr>
                <w:rFonts w:ascii="Open Sans" w:eastAsiaTheme="minorHAnsi" w:hAnsi="Open Sans" w:cs="Open Sans"/>
                <w:bCs/>
                <w:color w:val="000000"/>
                <w:sz w:val="20"/>
                <w:szCs w:val="20"/>
                <w:lang w:val="es-ES" w:eastAsia="en-US"/>
              </w:rPr>
            </w:pPr>
            <w:r>
              <w:rPr>
                <w:rFonts w:ascii="Open Sans" w:hAnsi="Open Sans" w:cs="Open Sans"/>
                <w:color w:val="000000"/>
                <w:sz w:val="20"/>
                <w:szCs w:val="20"/>
              </w:rPr>
              <w:t>1</w:t>
            </w:r>
            <w:r w:rsidR="0030792E" w:rsidRPr="00FD7B63">
              <w:rPr>
                <w:rFonts w:ascii="Open Sans" w:hAnsi="Open Sans" w:cs="Open Sans"/>
                <w:color w:val="000000"/>
                <w:sz w:val="20"/>
                <w:szCs w:val="20"/>
              </w:rPr>
              <w:t>9</w:t>
            </w:r>
          </w:p>
        </w:tc>
        <w:tc>
          <w:tcPr>
            <w:tcW w:w="1145" w:type="dxa"/>
            <w:tcBorders>
              <w:top w:val="nil"/>
              <w:left w:val="nil"/>
              <w:bottom w:val="single" w:sz="12" w:space="0" w:color="auto"/>
              <w:right w:val="single" w:sz="12" w:space="0" w:color="auto"/>
            </w:tcBorders>
            <w:vAlign w:val="bottom"/>
          </w:tcPr>
          <w:p w14:paraId="377BBE0A" w14:textId="28D9579E" w:rsidR="0030792E" w:rsidRPr="00FD7B63" w:rsidRDefault="005933E5" w:rsidP="00BC63A1">
            <w:pPr>
              <w:autoSpaceDE w:val="0"/>
              <w:autoSpaceDN w:val="0"/>
              <w:adjustRightInd w:val="0"/>
              <w:jc w:val="center"/>
              <w:rPr>
                <w:rFonts w:ascii="Open Sans" w:eastAsiaTheme="minorHAnsi" w:hAnsi="Open Sans" w:cs="Open Sans"/>
                <w:color w:val="000000"/>
                <w:sz w:val="20"/>
                <w:szCs w:val="20"/>
                <w:lang w:val="es-ES" w:eastAsia="en-US"/>
              </w:rPr>
            </w:pPr>
            <w:r>
              <w:rPr>
                <w:rFonts w:ascii="Open Sans" w:hAnsi="Open Sans" w:cs="Open Sans"/>
                <w:color w:val="000000"/>
                <w:sz w:val="20"/>
                <w:szCs w:val="20"/>
              </w:rPr>
              <w:t>0</w:t>
            </w:r>
          </w:p>
        </w:tc>
        <w:tc>
          <w:tcPr>
            <w:tcW w:w="1263" w:type="dxa"/>
            <w:tcBorders>
              <w:top w:val="nil"/>
              <w:left w:val="nil"/>
              <w:bottom w:val="single" w:sz="12" w:space="0" w:color="auto"/>
              <w:right w:val="single" w:sz="12" w:space="0" w:color="auto"/>
            </w:tcBorders>
            <w:vAlign w:val="bottom"/>
          </w:tcPr>
          <w:p w14:paraId="213666AB" w14:textId="3468BAB6" w:rsidR="0030792E" w:rsidRPr="00FD7B63" w:rsidRDefault="0030792E" w:rsidP="00BC63A1">
            <w:pPr>
              <w:autoSpaceDE w:val="0"/>
              <w:autoSpaceDN w:val="0"/>
              <w:adjustRightInd w:val="0"/>
              <w:jc w:val="center"/>
              <w:rPr>
                <w:rFonts w:ascii="Open Sans" w:eastAsiaTheme="minorHAnsi" w:hAnsi="Open Sans" w:cs="Open Sans"/>
                <w:color w:val="000000"/>
                <w:sz w:val="20"/>
                <w:szCs w:val="20"/>
                <w:lang w:val="es-ES" w:eastAsia="en-US"/>
              </w:rPr>
            </w:pPr>
            <w:r w:rsidRPr="00FD7B63">
              <w:rPr>
                <w:rFonts w:ascii="Open Sans" w:hAnsi="Open Sans" w:cs="Open Sans"/>
                <w:color w:val="000000"/>
                <w:sz w:val="20"/>
                <w:szCs w:val="20"/>
              </w:rPr>
              <w:t>27</w:t>
            </w:r>
          </w:p>
        </w:tc>
      </w:tr>
      <w:tr w:rsidR="00FD7B63" w:rsidRPr="002102BD" w14:paraId="5AAADDF8" w14:textId="77777777" w:rsidTr="00FD7B63">
        <w:trPr>
          <w:trHeight w:val="342"/>
          <w:jc w:val="center"/>
        </w:trPr>
        <w:tc>
          <w:tcPr>
            <w:tcW w:w="3312" w:type="dxa"/>
            <w:tcBorders>
              <w:top w:val="nil"/>
              <w:left w:val="single" w:sz="12" w:space="0" w:color="auto"/>
              <w:bottom w:val="single" w:sz="12" w:space="0" w:color="auto"/>
              <w:right w:val="single" w:sz="12" w:space="0" w:color="auto"/>
            </w:tcBorders>
            <w:shd w:val="solid" w:color="FF9900" w:fill="auto"/>
            <w:vAlign w:val="center"/>
          </w:tcPr>
          <w:p w14:paraId="66F59B2C" w14:textId="77777777" w:rsidR="0030792E" w:rsidRPr="002102BD" w:rsidRDefault="0030792E" w:rsidP="00FD7B63">
            <w:pPr>
              <w:autoSpaceDE w:val="0"/>
              <w:autoSpaceDN w:val="0"/>
              <w:adjustRightInd w:val="0"/>
              <w:jc w:val="center"/>
              <w:rPr>
                <w:rFonts w:ascii="Open Sans" w:eastAsiaTheme="minorHAnsi" w:hAnsi="Open Sans" w:cs="Open Sans"/>
                <w:b/>
                <w:bCs/>
                <w:color w:val="000000"/>
                <w:sz w:val="20"/>
                <w:szCs w:val="20"/>
                <w:lang w:val="es-ES" w:eastAsia="en-US"/>
              </w:rPr>
            </w:pPr>
            <w:r w:rsidRPr="002102BD">
              <w:rPr>
                <w:rFonts w:ascii="Open Sans" w:eastAsiaTheme="minorHAnsi" w:hAnsi="Open Sans" w:cs="Open Sans"/>
                <w:b/>
                <w:bCs/>
                <w:color w:val="000000"/>
                <w:sz w:val="20"/>
                <w:szCs w:val="20"/>
                <w:lang w:val="es-ES" w:eastAsia="en-US"/>
              </w:rPr>
              <w:t>TOTAL DE EMPRESAS</w:t>
            </w:r>
          </w:p>
        </w:tc>
        <w:tc>
          <w:tcPr>
            <w:tcW w:w="1703" w:type="dxa"/>
            <w:tcBorders>
              <w:top w:val="nil"/>
              <w:left w:val="nil"/>
              <w:bottom w:val="single" w:sz="12" w:space="0" w:color="auto"/>
              <w:right w:val="single" w:sz="12" w:space="0" w:color="auto"/>
            </w:tcBorders>
            <w:shd w:val="solid" w:color="FF9900" w:fill="auto"/>
            <w:vAlign w:val="center"/>
          </w:tcPr>
          <w:p w14:paraId="774ED07B" w14:textId="425C9B19" w:rsidR="0030792E" w:rsidRPr="002102BD" w:rsidRDefault="0030792E" w:rsidP="00FD7B63">
            <w:pPr>
              <w:autoSpaceDE w:val="0"/>
              <w:autoSpaceDN w:val="0"/>
              <w:adjustRightInd w:val="0"/>
              <w:jc w:val="center"/>
              <w:rPr>
                <w:rFonts w:ascii="Open Sans" w:eastAsiaTheme="minorHAnsi" w:hAnsi="Open Sans" w:cs="Open Sans"/>
                <w:b/>
                <w:bCs/>
                <w:color w:val="000000"/>
                <w:sz w:val="20"/>
                <w:szCs w:val="20"/>
                <w:lang w:val="es-ES" w:eastAsia="en-US"/>
              </w:rPr>
            </w:pPr>
            <w:r>
              <w:rPr>
                <w:rFonts w:ascii="Calibri" w:hAnsi="Calibri"/>
                <w:b/>
                <w:bCs/>
                <w:color w:val="000000"/>
                <w:sz w:val="22"/>
                <w:szCs w:val="22"/>
              </w:rPr>
              <w:t>1</w:t>
            </w:r>
            <w:r w:rsidR="00FD7B63">
              <w:rPr>
                <w:rFonts w:ascii="Calibri" w:hAnsi="Calibri"/>
                <w:b/>
                <w:bCs/>
                <w:color w:val="000000"/>
                <w:sz w:val="22"/>
                <w:szCs w:val="22"/>
              </w:rPr>
              <w:t>.</w:t>
            </w:r>
            <w:r w:rsidR="005933E5">
              <w:rPr>
                <w:rFonts w:ascii="Calibri" w:hAnsi="Calibri"/>
                <w:b/>
                <w:bCs/>
                <w:color w:val="000000"/>
                <w:sz w:val="22"/>
                <w:szCs w:val="22"/>
              </w:rPr>
              <w:t>285</w:t>
            </w:r>
          </w:p>
        </w:tc>
        <w:tc>
          <w:tcPr>
            <w:tcW w:w="1145" w:type="dxa"/>
            <w:tcBorders>
              <w:top w:val="nil"/>
              <w:left w:val="nil"/>
              <w:bottom w:val="single" w:sz="12" w:space="0" w:color="auto"/>
              <w:right w:val="single" w:sz="12" w:space="0" w:color="auto"/>
            </w:tcBorders>
            <w:shd w:val="solid" w:color="FF9900" w:fill="auto"/>
            <w:vAlign w:val="center"/>
          </w:tcPr>
          <w:p w14:paraId="25A0F54C" w14:textId="25435893" w:rsidR="0030792E" w:rsidRPr="002102BD" w:rsidRDefault="0030792E" w:rsidP="00FD7B63">
            <w:pPr>
              <w:autoSpaceDE w:val="0"/>
              <w:autoSpaceDN w:val="0"/>
              <w:adjustRightInd w:val="0"/>
              <w:jc w:val="center"/>
              <w:rPr>
                <w:rFonts w:ascii="Open Sans" w:eastAsiaTheme="minorHAnsi" w:hAnsi="Open Sans" w:cs="Open Sans"/>
                <w:b/>
                <w:bCs/>
                <w:color w:val="000000"/>
                <w:sz w:val="20"/>
                <w:szCs w:val="20"/>
                <w:lang w:val="es-ES" w:eastAsia="en-US"/>
              </w:rPr>
            </w:pPr>
            <w:r>
              <w:rPr>
                <w:rFonts w:ascii="Calibri" w:hAnsi="Calibri"/>
                <w:b/>
                <w:bCs/>
                <w:color w:val="000000"/>
                <w:sz w:val="22"/>
                <w:szCs w:val="22"/>
              </w:rPr>
              <w:t>9</w:t>
            </w:r>
            <w:r w:rsidR="005933E5">
              <w:rPr>
                <w:rFonts w:ascii="Calibri" w:hAnsi="Calibri"/>
                <w:b/>
                <w:bCs/>
                <w:color w:val="000000"/>
                <w:sz w:val="22"/>
                <w:szCs w:val="22"/>
              </w:rPr>
              <w:t>7</w:t>
            </w:r>
          </w:p>
        </w:tc>
        <w:tc>
          <w:tcPr>
            <w:tcW w:w="1263" w:type="dxa"/>
            <w:tcBorders>
              <w:top w:val="nil"/>
              <w:left w:val="nil"/>
              <w:bottom w:val="single" w:sz="12" w:space="0" w:color="auto"/>
              <w:right w:val="single" w:sz="12" w:space="0" w:color="auto"/>
            </w:tcBorders>
            <w:shd w:val="solid" w:color="FF9900" w:fill="auto"/>
            <w:vAlign w:val="center"/>
          </w:tcPr>
          <w:p w14:paraId="2AEF2CC4" w14:textId="479608C3" w:rsidR="0030792E" w:rsidRPr="002102BD" w:rsidRDefault="0030792E" w:rsidP="00FD7B63">
            <w:pPr>
              <w:autoSpaceDE w:val="0"/>
              <w:autoSpaceDN w:val="0"/>
              <w:adjustRightInd w:val="0"/>
              <w:jc w:val="center"/>
              <w:rPr>
                <w:rFonts w:ascii="Open Sans" w:eastAsiaTheme="minorHAnsi" w:hAnsi="Open Sans" w:cs="Open Sans"/>
                <w:b/>
                <w:bCs/>
                <w:color w:val="000000"/>
                <w:sz w:val="20"/>
                <w:szCs w:val="20"/>
                <w:lang w:val="es-ES" w:eastAsia="en-US"/>
              </w:rPr>
            </w:pPr>
            <w:r>
              <w:rPr>
                <w:rFonts w:ascii="Calibri" w:hAnsi="Calibri"/>
                <w:b/>
                <w:bCs/>
                <w:color w:val="000000"/>
                <w:sz w:val="22"/>
                <w:szCs w:val="22"/>
              </w:rPr>
              <w:t>1</w:t>
            </w:r>
            <w:r w:rsidR="00FD7B63">
              <w:rPr>
                <w:rFonts w:ascii="Calibri" w:hAnsi="Calibri"/>
                <w:b/>
                <w:bCs/>
                <w:color w:val="000000"/>
                <w:sz w:val="22"/>
                <w:szCs w:val="22"/>
              </w:rPr>
              <w:t>.</w:t>
            </w:r>
            <w:r w:rsidR="005933E5">
              <w:rPr>
                <w:rFonts w:ascii="Calibri" w:hAnsi="Calibri"/>
                <w:b/>
                <w:bCs/>
                <w:color w:val="000000"/>
                <w:sz w:val="22"/>
                <w:szCs w:val="22"/>
              </w:rPr>
              <w:t>18</w:t>
            </w:r>
            <w:r>
              <w:rPr>
                <w:rFonts w:ascii="Calibri" w:hAnsi="Calibri"/>
                <w:b/>
                <w:bCs/>
                <w:color w:val="000000"/>
                <w:sz w:val="22"/>
                <w:szCs w:val="22"/>
              </w:rPr>
              <w:t>8</w:t>
            </w:r>
          </w:p>
        </w:tc>
      </w:tr>
    </w:tbl>
    <w:p w14:paraId="110CF930" w14:textId="77777777" w:rsidR="00F7530E" w:rsidRDefault="00F7530E" w:rsidP="009130AF">
      <w:pPr>
        <w:jc w:val="both"/>
        <w:rPr>
          <w:rFonts w:ascii="Open Sans" w:hAnsi="Open Sans"/>
          <w:b/>
          <w:sz w:val="22"/>
          <w:szCs w:val="22"/>
        </w:rPr>
      </w:pPr>
    </w:p>
    <w:p w14:paraId="456A9317" w14:textId="34FF7A9B" w:rsidR="009436FC" w:rsidRPr="00B72F2E" w:rsidRDefault="009436FC" w:rsidP="009436FC">
      <w:pPr>
        <w:jc w:val="both"/>
        <w:rPr>
          <w:rFonts w:ascii="Open Sans" w:eastAsia="Times New Roman" w:hAnsi="Open Sans" w:cs="Open Sans"/>
          <w:color w:val="000000"/>
          <w:sz w:val="20"/>
          <w:szCs w:val="20"/>
        </w:rPr>
      </w:pPr>
      <w:r w:rsidRPr="009436FC">
        <w:rPr>
          <w:rFonts w:ascii="Open Sans" w:eastAsia="Times New Roman" w:hAnsi="Open Sans" w:cs="Open Sans"/>
          <w:b/>
          <w:color w:val="000000"/>
          <w:sz w:val="20"/>
          <w:szCs w:val="20"/>
        </w:rPr>
        <w:t>La única empresa de las analizadas que no tiene presencia en paraísos o nichos fiscales es AENA</w:t>
      </w:r>
      <w:r>
        <w:rPr>
          <w:rFonts w:ascii="Open Sans" w:eastAsia="Times New Roman" w:hAnsi="Open Sans" w:cs="Open Sans"/>
          <w:color w:val="000000"/>
          <w:sz w:val="20"/>
          <w:szCs w:val="20"/>
        </w:rPr>
        <w:t xml:space="preserve">. </w:t>
      </w:r>
      <w:r w:rsidR="00254660">
        <w:rPr>
          <w:rFonts w:ascii="Open Sans" w:eastAsia="Times New Roman" w:hAnsi="Open Sans" w:cs="Open Sans"/>
          <w:color w:val="000000"/>
          <w:sz w:val="20"/>
          <w:szCs w:val="20"/>
        </w:rPr>
        <w:t xml:space="preserve">Hay </w:t>
      </w:r>
      <w:r>
        <w:rPr>
          <w:rFonts w:ascii="Open Sans" w:eastAsia="Times New Roman" w:hAnsi="Open Sans" w:cs="Open Sans"/>
          <w:color w:val="000000"/>
          <w:sz w:val="20"/>
          <w:szCs w:val="20"/>
        </w:rPr>
        <w:t xml:space="preserve"> empresas han aumentado su presencia con respecto al ejercicio 2014 aunque en </w:t>
      </w:r>
      <w:r w:rsidR="00455193">
        <w:rPr>
          <w:rFonts w:ascii="Open Sans" w:eastAsia="Times New Roman" w:hAnsi="Open Sans" w:cs="Open Sans"/>
          <w:color w:val="000000"/>
          <w:sz w:val="20"/>
          <w:szCs w:val="20"/>
        </w:rPr>
        <w:t xml:space="preserve">la mayor parte de los </w:t>
      </w:r>
      <w:r>
        <w:rPr>
          <w:rFonts w:ascii="Open Sans" w:eastAsia="Times New Roman" w:hAnsi="Open Sans" w:cs="Open Sans"/>
          <w:color w:val="000000"/>
          <w:sz w:val="20"/>
          <w:szCs w:val="20"/>
        </w:rPr>
        <w:t xml:space="preserve"> casos el motivo es  que este año se han contabilizado todas las sociedades con domicilio en paraísos fiscales independientemente de su operativa. </w:t>
      </w:r>
      <w:r w:rsidRPr="00B72F2E">
        <w:rPr>
          <w:rFonts w:ascii="Open Sans" w:eastAsia="Times New Roman" w:hAnsi="Open Sans" w:cs="Open Sans"/>
          <w:color w:val="000000"/>
          <w:sz w:val="20"/>
          <w:szCs w:val="20"/>
        </w:rPr>
        <w:t>No obstante de las 1</w:t>
      </w:r>
      <w:r w:rsidR="00B72F2E">
        <w:rPr>
          <w:rFonts w:ascii="Open Sans" w:eastAsia="Times New Roman" w:hAnsi="Open Sans" w:cs="Open Sans"/>
          <w:color w:val="000000"/>
          <w:sz w:val="20"/>
          <w:szCs w:val="20"/>
        </w:rPr>
        <w:t>.</w:t>
      </w:r>
      <w:r w:rsidR="00254660" w:rsidRPr="00B72F2E">
        <w:rPr>
          <w:rFonts w:ascii="Open Sans" w:eastAsia="Times New Roman" w:hAnsi="Open Sans" w:cs="Open Sans"/>
          <w:color w:val="000000"/>
          <w:sz w:val="20"/>
          <w:szCs w:val="20"/>
        </w:rPr>
        <w:t>297</w:t>
      </w:r>
      <w:r w:rsidRPr="00B72F2E">
        <w:rPr>
          <w:rFonts w:ascii="Open Sans" w:eastAsia="Times New Roman" w:hAnsi="Open Sans" w:cs="Open Sans"/>
          <w:color w:val="000000"/>
          <w:sz w:val="20"/>
          <w:szCs w:val="20"/>
        </w:rPr>
        <w:t xml:space="preserve"> sociedades identificadas, </w:t>
      </w:r>
      <w:r w:rsidR="00455193" w:rsidRPr="00B72F2E">
        <w:rPr>
          <w:rFonts w:ascii="Open Sans" w:eastAsia="Times New Roman" w:hAnsi="Open Sans" w:cs="Open Sans"/>
          <w:color w:val="000000"/>
          <w:sz w:val="20"/>
          <w:szCs w:val="20"/>
        </w:rPr>
        <w:t xml:space="preserve">como se ha comentado anteriormente </w:t>
      </w:r>
      <w:r w:rsidR="00254660" w:rsidRPr="00B72F2E">
        <w:rPr>
          <w:rFonts w:ascii="Open Sans" w:eastAsia="Times New Roman" w:hAnsi="Open Sans" w:cs="Open Sans"/>
          <w:color w:val="000000"/>
          <w:sz w:val="20"/>
          <w:szCs w:val="20"/>
        </w:rPr>
        <w:t>un 76</w:t>
      </w:r>
      <w:r w:rsidRPr="00B72F2E">
        <w:rPr>
          <w:rFonts w:ascii="Open Sans" w:eastAsia="Times New Roman" w:hAnsi="Open Sans" w:cs="Open Sans"/>
          <w:color w:val="000000"/>
          <w:sz w:val="20"/>
          <w:szCs w:val="20"/>
        </w:rPr>
        <w:t>% son de carácter instrumental o financiero, o gestionan operaciones en terceros países o n</w:t>
      </w:r>
      <w:r w:rsidR="00254660" w:rsidRPr="00B72F2E">
        <w:rPr>
          <w:rFonts w:ascii="Open Sans" w:eastAsia="Times New Roman" w:hAnsi="Open Sans" w:cs="Open Sans"/>
          <w:color w:val="000000"/>
          <w:sz w:val="20"/>
          <w:szCs w:val="20"/>
        </w:rPr>
        <w:t>o</w:t>
      </w:r>
      <w:r w:rsidRPr="00B72F2E">
        <w:rPr>
          <w:rFonts w:ascii="Open Sans" w:eastAsia="Times New Roman" w:hAnsi="Open Sans" w:cs="Open Sans"/>
          <w:color w:val="000000"/>
          <w:sz w:val="20"/>
          <w:szCs w:val="20"/>
        </w:rPr>
        <w:t xml:space="preserve"> se ha identificado actividad de la empresa en el territorio o país donde tiene el domicilio la sociedad.</w:t>
      </w:r>
    </w:p>
    <w:p w14:paraId="36C45F1D" w14:textId="77777777" w:rsidR="009436FC" w:rsidRDefault="009436FC" w:rsidP="009436FC">
      <w:pPr>
        <w:jc w:val="both"/>
        <w:rPr>
          <w:rFonts w:ascii="Open Sans" w:eastAsia="Times New Roman" w:hAnsi="Open Sans" w:cs="Open Sans"/>
          <w:color w:val="000000"/>
          <w:sz w:val="20"/>
          <w:szCs w:val="20"/>
        </w:rPr>
      </w:pPr>
    </w:p>
    <w:p w14:paraId="7FD033E9" w14:textId="77777777" w:rsidR="00BF650E" w:rsidRDefault="00BF650E" w:rsidP="00BF650E">
      <w:pPr>
        <w:jc w:val="both"/>
        <w:rPr>
          <w:rFonts w:ascii="Open Sans" w:hAnsi="Open Sans" w:cs="Arial"/>
          <w:bCs/>
          <w:sz w:val="20"/>
          <w:szCs w:val="20"/>
        </w:rPr>
      </w:pPr>
      <w:r>
        <w:rPr>
          <w:rFonts w:ascii="Open Sans" w:eastAsia="Times New Roman" w:hAnsi="Open Sans" w:cs="Open Sans"/>
          <w:color w:val="000000"/>
          <w:sz w:val="20"/>
          <w:szCs w:val="20"/>
        </w:rPr>
        <w:t xml:space="preserve">Es conveniente recordar que </w:t>
      </w:r>
      <w:r>
        <w:rPr>
          <w:rFonts w:ascii="Open Sans" w:hAnsi="Open Sans" w:cs="Arial"/>
          <w:bCs/>
          <w:sz w:val="20"/>
          <w:szCs w:val="20"/>
        </w:rPr>
        <w:t>la presencia de empresas internacionales en territorios considerados paraísos o nichos fiscales 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w:t>
      </w:r>
    </w:p>
    <w:p w14:paraId="56832285" w14:textId="77777777" w:rsidR="00BF650E" w:rsidRDefault="00BF650E" w:rsidP="009436FC">
      <w:pPr>
        <w:jc w:val="both"/>
        <w:rPr>
          <w:rFonts w:ascii="Open Sans" w:eastAsia="Times New Roman" w:hAnsi="Open Sans" w:cs="Open Sans"/>
          <w:color w:val="000000"/>
          <w:sz w:val="20"/>
          <w:szCs w:val="20"/>
        </w:rPr>
      </w:pPr>
    </w:p>
    <w:p w14:paraId="3013D25A" w14:textId="72E7D4F7" w:rsidR="009436FC" w:rsidRDefault="001B00B6" w:rsidP="009436FC">
      <w:pPr>
        <w:jc w:val="both"/>
        <w:rPr>
          <w:rFonts w:ascii="Open Sans" w:hAnsi="Open Sans" w:cs="Arial"/>
          <w:color w:val="000000"/>
          <w:sz w:val="20"/>
          <w:szCs w:val="20"/>
        </w:rPr>
      </w:pPr>
      <w:r>
        <w:rPr>
          <w:rFonts w:ascii="Open Sans" w:eastAsia="Times New Roman" w:hAnsi="Open Sans" w:cs="Open Sans"/>
          <w:b/>
          <w:color w:val="000000"/>
          <w:sz w:val="20"/>
          <w:szCs w:val="20"/>
        </w:rPr>
        <w:t xml:space="preserve">Sorprende el hecho de que haya </w:t>
      </w:r>
      <w:r w:rsidR="009436FC" w:rsidRPr="009436FC">
        <w:rPr>
          <w:rFonts w:ascii="Open Sans" w:eastAsia="Times New Roman" w:hAnsi="Open Sans" w:cs="Open Sans"/>
          <w:b/>
          <w:color w:val="000000"/>
          <w:sz w:val="20"/>
          <w:szCs w:val="20"/>
        </w:rPr>
        <w:t xml:space="preserve">empresas </w:t>
      </w:r>
      <w:r>
        <w:rPr>
          <w:rFonts w:ascii="Open Sans" w:eastAsia="Times New Roman" w:hAnsi="Open Sans" w:cs="Open Sans"/>
          <w:b/>
          <w:color w:val="000000"/>
          <w:sz w:val="20"/>
          <w:szCs w:val="20"/>
        </w:rPr>
        <w:t>que afirme</w:t>
      </w:r>
      <w:r w:rsidR="009436FC" w:rsidRPr="009436FC">
        <w:rPr>
          <w:rFonts w:ascii="Open Sans" w:eastAsia="Times New Roman" w:hAnsi="Open Sans" w:cs="Open Sans"/>
          <w:b/>
          <w:color w:val="000000"/>
          <w:sz w:val="20"/>
          <w:szCs w:val="20"/>
        </w:rPr>
        <w:t xml:space="preserve">n que no operan en paraísos fiscales pero sin embargo </w:t>
      </w:r>
      <w:r>
        <w:rPr>
          <w:rFonts w:ascii="Open Sans" w:eastAsia="Times New Roman" w:hAnsi="Open Sans" w:cs="Open Sans"/>
          <w:b/>
          <w:color w:val="000000"/>
          <w:sz w:val="20"/>
          <w:szCs w:val="20"/>
        </w:rPr>
        <w:t>en la investigación r</w:t>
      </w:r>
      <w:r w:rsidR="00B72F2E">
        <w:rPr>
          <w:rFonts w:ascii="Open Sans" w:eastAsia="Times New Roman" w:hAnsi="Open Sans" w:cs="Open Sans"/>
          <w:b/>
          <w:color w:val="000000"/>
          <w:sz w:val="20"/>
          <w:szCs w:val="20"/>
        </w:rPr>
        <w:t>ealizada</w:t>
      </w:r>
      <w:r>
        <w:rPr>
          <w:rFonts w:ascii="Open Sans" w:eastAsia="Times New Roman" w:hAnsi="Open Sans" w:cs="Open Sans"/>
          <w:b/>
          <w:color w:val="000000"/>
          <w:sz w:val="20"/>
          <w:szCs w:val="20"/>
        </w:rPr>
        <w:t xml:space="preserve"> si </w:t>
      </w:r>
      <w:r w:rsidR="009436FC" w:rsidRPr="009436FC">
        <w:rPr>
          <w:rFonts w:ascii="Open Sans" w:eastAsia="Times New Roman" w:hAnsi="Open Sans" w:cs="Open Sans"/>
          <w:b/>
          <w:color w:val="000000"/>
          <w:sz w:val="20"/>
          <w:szCs w:val="20"/>
        </w:rPr>
        <w:t xml:space="preserve">se han detectado sociedades dependientes en estos territorios. </w:t>
      </w:r>
      <w:r w:rsidR="009436FC">
        <w:rPr>
          <w:rFonts w:ascii="Open Sans" w:eastAsia="Times New Roman" w:hAnsi="Open Sans" w:cs="Open Sans"/>
          <w:color w:val="000000"/>
          <w:sz w:val="20"/>
          <w:szCs w:val="20"/>
        </w:rPr>
        <w:t xml:space="preserve">Tal es el caso de TELEFÓNICA que  </w:t>
      </w:r>
      <w:r w:rsidR="009436FC">
        <w:rPr>
          <w:rFonts w:ascii="Open Sans" w:hAnsi="Open Sans" w:cs="Arial"/>
          <w:sz w:val="20"/>
          <w:szCs w:val="20"/>
        </w:rPr>
        <w:t xml:space="preserve">se compromete a </w:t>
      </w:r>
      <w:r w:rsidR="00254660">
        <w:rPr>
          <w:rFonts w:ascii="Open Sans" w:hAnsi="Open Sans" w:cs="Arial"/>
          <w:sz w:val="20"/>
          <w:szCs w:val="20"/>
        </w:rPr>
        <w:t xml:space="preserve">no </w:t>
      </w:r>
      <w:r w:rsidR="009436FC">
        <w:rPr>
          <w:rFonts w:ascii="Open Sans" w:hAnsi="Open Sans" w:cs="Arial"/>
          <w:sz w:val="20"/>
          <w:szCs w:val="20"/>
        </w:rPr>
        <w:t>operar en jurisdicciones que hayan adoptado los estándares de transparencia e intercambio de información recomendados por la OCDE y en particular con los establecidos en la normativa tributaria española. En línea con lo anterior,  declara que no tener presencia en ninguna de las jurisdicciones recogidas en el listado de paraísos fiscales reglamentariamente establecido por España de acuerdo con la disposición adicional 1ª Ley 36/2006 de medidas para la prevención del fraude fiscal en su redacción actualizada por la Disposición Final 2 de la Ley 26/2014 de 27 de Noviembre .Adem</w:t>
      </w:r>
      <w:r>
        <w:rPr>
          <w:rFonts w:ascii="Open Sans" w:hAnsi="Open Sans" w:cs="Arial"/>
          <w:sz w:val="20"/>
          <w:szCs w:val="20"/>
        </w:rPr>
        <w:t>ás, Telefónica está comprometida</w:t>
      </w:r>
      <w:r w:rsidR="009436FC">
        <w:rPr>
          <w:rFonts w:ascii="Open Sans" w:hAnsi="Open Sans" w:cs="Arial"/>
          <w:sz w:val="20"/>
          <w:szCs w:val="20"/>
        </w:rPr>
        <w:t xml:space="preserve"> con el cumplimiento de lo establecido en las “Líneas Directrices de la OCDE para empresas multinacionales”</w:t>
      </w:r>
      <w:r w:rsidR="009436FC">
        <w:rPr>
          <w:rStyle w:val="Refdenotaalpie"/>
          <w:rFonts w:ascii="Open Sans" w:hAnsi="Open Sans" w:cs="Arial"/>
          <w:sz w:val="20"/>
          <w:szCs w:val="20"/>
        </w:rPr>
        <w:footnoteReference w:id="94"/>
      </w:r>
      <w:r w:rsidR="009436FC">
        <w:rPr>
          <w:rFonts w:ascii="Open Sans" w:hAnsi="Open Sans" w:cs="Arial"/>
          <w:sz w:val="20"/>
          <w:szCs w:val="20"/>
        </w:rPr>
        <w:t> en materia tributaria. Tal y como se explica en la metodología de este informe, el criterio que se sigue en la presente investigación es otro. Resultado de la investigación y análisis realizados, se han identificado un total de 29 sociedades dependientes de TELEFÓNICA domiciliadas en paraísos fiscales o nichos  de acuerdo con la metodología empleada por el Observatorio de RSC, de las cuales una tiene domicilio en Islas Vírgenes y una en las Islas Caimán</w:t>
      </w:r>
      <w:r w:rsidR="005933E5">
        <w:rPr>
          <w:rFonts w:ascii="Open Sans" w:hAnsi="Open Sans" w:cs="Arial"/>
          <w:sz w:val="20"/>
          <w:szCs w:val="20"/>
        </w:rPr>
        <w:t xml:space="preserve"> (de acuerdo con Bloomberg aunque no se ha podido confirma su existencia a la fecha de este estudio)</w:t>
      </w:r>
      <w:r w:rsidR="009436FC">
        <w:rPr>
          <w:rFonts w:ascii="Open Sans" w:hAnsi="Open Sans" w:cs="Arial"/>
          <w:sz w:val="20"/>
          <w:szCs w:val="20"/>
        </w:rPr>
        <w:t xml:space="preserve">. </w:t>
      </w:r>
      <w:r w:rsidR="009436FC">
        <w:rPr>
          <w:rFonts w:ascii="Open Sans" w:hAnsi="Open Sans" w:cs="Arial"/>
          <w:color w:val="000000"/>
          <w:sz w:val="20"/>
          <w:szCs w:val="20"/>
        </w:rPr>
        <w:t>Pese a que la empresa afirma que no opera en países fiscales de acuerdo con el listado de la OCDE y el ordenamiento jurídico español, se ha identificado presencia en Islas Caimán e Islas Vírgenes Británicas</w:t>
      </w:r>
      <w:r w:rsidR="005933E5">
        <w:rPr>
          <w:rFonts w:ascii="Open Sans" w:hAnsi="Open Sans" w:cs="Arial"/>
          <w:color w:val="000000"/>
          <w:sz w:val="20"/>
          <w:szCs w:val="20"/>
        </w:rPr>
        <w:t xml:space="preserve"> </w:t>
      </w:r>
      <w:r w:rsidR="005933E5">
        <w:rPr>
          <w:rFonts w:ascii="Open Sans" w:hAnsi="Open Sans" w:cs="Arial"/>
          <w:sz w:val="20"/>
          <w:szCs w:val="20"/>
        </w:rPr>
        <w:t>(de acuerdo con Bloomberg aunque no se ha podido confirma su existencia a la fecha de este estudio)</w:t>
      </w:r>
      <w:r w:rsidR="009436FC">
        <w:rPr>
          <w:rFonts w:ascii="Open Sans" w:hAnsi="Open Sans" w:cs="Arial"/>
          <w:color w:val="000000"/>
          <w:sz w:val="20"/>
          <w:szCs w:val="20"/>
        </w:rPr>
        <w:t xml:space="preserve">, ambos considerados paraísos fiscales según Real Decreto 1080/81, Tax Justice Network y el Parlamento Europeo, de acuerdo con el listado de subsidiarias de la SEC consultadas y que no se referencian en el anexo correspondiente del Informe financiero 2015, en el que tampoco aparecen subsidiarias que operan en nichos fiscales (Suiza Países Bajos y Panamá), considerados como tales por Tax Justice y el Parlamento Europeo. </w:t>
      </w:r>
      <w:r w:rsidR="005933E5">
        <w:rPr>
          <w:rFonts w:ascii="Open Sans" w:hAnsi="Open Sans" w:cs="Arial"/>
          <w:color w:val="000000"/>
          <w:sz w:val="20"/>
          <w:szCs w:val="20"/>
        </w:rPr>
        <w:t>Finalmente no se han incluido las 12 empresas identificadas a través de terceras fuentes (SEC, Bloomberg) al no poder asegurar que siguen perteneciendo a la matriz a la fecha de este estudio.</w:t>
      </w:r>
    </w:p>
    <w:p w14:paraId="03798291" w14:textId="77777777" w:rsidR="009436FC" w:rsidRDefault="009436FC" w:rsidP="009436FC">
      <w:pPr>
        <w:jc w:val="both"/>
        <w:rPr>
          <w:rFonts w:ascii="Open Sans" w:eastAsia="Times New Roman" w:hAnsi="Open Sans" w:cs="Open Sans"/>
          <w:color w:val="000000"/>
          <w:sz w:val="20"/>
          <w:szCs w:val="20"/>
        </w:rPr>
      </w:pPr>
    </w:p>
    <w:p w14:paraId="6792AD2B" w14:textId="77777777" w:rsidR="009436FC" w:rsidRPr="00B72F2E" w:rsidRDefault="009436FC" w:rsidP="009436FC">
      <w:pPr>
        <w:jc w:val="both"/>
        <w:rPr>
          <w:rFonts w:ascii="Times New Roman" w:hAnsi="Times New Roman" w:cs="Times New Roman"/>
        </w:rPr>
      </w:pPr>
      <w:r>
        <w:rPr>
          <w:rFonts w:ascii="Open Sans" w:eastAsia="Times New Roman" w:hAnsi="Open Sans" w:cs="Open Sans"/>
          <w:color w:val="000000"/>
          <w:sz w:val="20"/>
          <w:szCs w:val="20"/>
        </w:rPr>
        <w:t xml:space="preserve">En otras empresas surgen dudas en relación a su actividad en ciertos territorios. Tal es el caso de </w:t>
      </w:r>
      <w:r>
        <w:rPr>
          <w:rFonts w:ascii="Open Sans" w:hAnsi="Open Sans" w:cs="Arial"/>
          <w:bCs/>
          <w:sz w:val="20"/>
          <w:szCs w:val="20"/>
        </w:rPr>
        <w:t xml:space="preserve">SACYR, que entre las 15 sociedades </w:t>
      </w:r>
      <w:r>
        <w:rPr>
          <w:rFonts w:ascii="Open Sans" w:hAnsi="Open Sans" w:cs="Open Sans"/>
          <w:sz w:val="20"/>
          <w:szCs w:val="20"/>
        </w:rPr>
        <w:t xml:space="preserve">ubicadas en paraísos o nichos fiscales que se han identificado se considera que existe un grupo de 7 empresas que ofrecen dudas en cuanto a que su actividad tenga que ver con la operativa propia de negocio, puesto que tanto la declaración de la actividad (holding) como su ubicación generan dudas sobre su utilización posible dentro de una estrategia fiscal planificada y que no son susceptibles de resolverse al no aportar la empresa mayor información. En el caso de la </w:t>
      </w:r>
      <w:r w:rsidRPr="00B72F2E">
        <w:rPr>
          <w:rFonts w:ascii="Open Sans" w:hAnsi="Open Sans" w:cs="Open Sans"/>
          <w:sz w:val="20"/>
          <w:szCs w:val="20"/>
        </w:rPr>
        <w:t>empresa B.F. Constructions Limited, si bien se indica que la actividad es Construcción y explotación de concesiones en Reino Unido, la empresa se encuentra domiciliada en el paraíso fiscal de Gibraltar, territorio offshore conocido por sus ventajas fiscales.</w:t>
      </w:r>
      <w:r w:rsidRPr="00B72F2E">
        <w:rPr>
          <w:rStyle w:val="Refdenotaalpie"/>
          <w:rFonts w:ascii="Open Sans" w:hAnsi="Open Sans" w:cs="Open Sans"/>
          <w:sz w:val="20"/>
          <w:szCs w:val="20"/>
        </w:rPr>
        <w:footnoteReference w:id="95"/>
      </w:r>
      <w:r w:rsidRPr="00B72F2E">
        <w:rPr>
          <w:rFonts w:ascii="Open Sans" w:hAnsi="Open Sans" w:cs="Open Sans"/>
          <w:sz w:val="20"/>
          <w:szCs w:val="20"/>
        </w:rPr>
        <w:t xml:space="preserve">  En el caso de las empresas Sacyr Concessions Limited, N6 Concession Holding Ltd, son sociedades holding</w:t>
      </w:r>
      <w:r w:rsidRPr="00B72F2E">
        <w:rPr>
          <w:rFonts w:ascii="Open Sans" w:hAnsi="Open Sans" w:cs="Open Sans"/>
          <w:sz w:val="20"/>
          <w:szCs w:val="20"/>
          <w:vertAlign w:val="superscript"/>
        </w:rPr>
        <w:footnoteReference w:id="96"/>
      </w:r>
      <w:r w:rsidRPr="00B72F2E">
        <w:rPr>
          <w:rFonts w:ascii="Open Sans" w:hAnsi="Open Sans" w:cs="Open Sans"/>
          <w:sz w:val="20"/>
          <w:szCs w:val="20"/>
        </w:rPr>
        <w:t xml:space="preserve"> ambas domiciliadas en Irlanda que tanto por su estructura como por su ubicación goza de una tributación más beneficiosa. </w:t>
      </w:r>
      <w:r w:rsidRPr="00B72F2E">
        <w:rPr>
          <w:rFonts w:ascii="Times New Roman" w:hAnsi="Times New Roman" w:cs="Times New Roman"/>
        </w:rPr>
        <w:t xml:space="preserve"> </w:t>
      </w:r>
    </w:p>
    <w:p w14:paraId="7E4ADBC1" w14:textId="77777777" w:rsidR="00B702FB" w:rsidRDefault="00B702FB" w:rsidP="009436FC">
      <w:pPr>
        <w:jc w:val="both"/>
        <w:rPr>
          <w:rFonts w:ascii="Open Sans" w:eastAsia="Times New Roman" w:hAnsi="Open Sans" w:cs="Open Sans"/>
          <w:color w:val="000000"/>
          <w:sz w:val="20"/>
          <w:szCs w:val="20"/>
        </w:rPr>
      </w:pPr>
    </w:p>
    <w:p w14:paraId="02A6152C" w14:textId="77777777" w:rsidR="009436FC" w:rsidRPr="009436FC" w:rsidRDefault="009436FC" w:rsidP="009436FC">
      <w:pPr>
        <w:jc w:val="both"/>
        <w:rPr>
          <w:rFonts w:ascii="Open Sans" w:hAnsi="Open Sans" w:cs="Open Sans"/>
          <w:sz w:val="20"/>
          <w:szCs w:val="20"/>
        </w:rPr>
      </w:pPr>
      <w:r w:rsidRPr="00B72F2E">
        <w:rPr>
          <w:rFonts w:ascii="Open Sans" w:hAnsi="Open Sans" w:cs="Open Sans"/>
          <w:b/>
          <w:sz w:val="20"/>
          <w:szCs w:val="20"/>
        </w:rPr>
        <w:t>Los territorios considerados paraísos fiscales más utilizados por las empresas del IBEX35 se muestran en la siguiente tabla</w:t>
      </w:r>
      <w:r w:rsidRPr="009436FC">
        <w:rPr>
          <w:rFonts w:ascii="Open Sans" w:hAnsi="Open Sans" w:cs="Open Sans"/>
          <w:sz w:val="20"/>
          <w:szCs w:val="20"/>
        </w:rPr>
        <w:t xml:space="preserve">, así como su evolución en los últimos tres ejercicios analizados. </w:t>
      </w:r>
    </w:p>
    <w:p w14:paraId="2351B72A" w14:textId="77777777" w:rsidR="00F7530E" w:rsidRDefault="00F7530E" w:rsidP="009130AF">
      <w:pPr>
        <w:jc w:val="both"/>
        <w:rPr>
          <w:rFonts w:ascii="Open Sans" w:hAnsi="Open Sans"/>
          <w:b/>
          <w:sz w:val="22"/>
          <w:szCs w:val="22"/>
        </w:rPr>
      </w:pPr>
    </w:p>
    <w:tbl>
      <w:tblPr>
        <w:tblW w:w="7820" w:type="dxa"/>
        <w:jc w:val="center"/>
        <w:tblInd w:w="60" w:type="dxa"/>
        <w:tblCellMar>
          <w:left w:w="70" w:type="dxa"/>
          <w:right w:w="70" w:type="dxa"/>
        </w:tblCellMar>
        <w:tblLook w:val="04A0" w:firstRow="1" w:lastRow="0" w:firstColumn="1" w:lastColumn="0" w:noHBand="0" w:noVBand="1"/>
      </w:tblPr>
      <w:tblGrid>
        <w:gridCol w:w="3160"/>
        <w:gridCol w:w="1060"/>
        <w:gridCol w:w="1200"/>
        <w:gridCol w:w="1200"/>
        <w:gridCol w:w="1200"/>
      </w:tblGrid>
      <w:tr w:rsidR="009436FC" w:rsidRPr="006F00A8" w14:paraId="29360622" w14:textId="77777777" w:rsidTr="009436FC">
        <w:trPr>
          <w:trHeight w:val="315"/>
          <w:jc w:val="center"/>
        </w:trPr>
        <w:tc>
          <w:tcPr>
            <w:tcW w:w="3160" w:type="dxa"/>
            <w:vMerge w:val="restart"/>
            <w:tcBorders>
              <w:top w:val="single" w:sz="8" w:space="0" w:color="auto"/>
              <w:left w:val="single" w:sz="8" w:space="0" w:color="auto"/>
              <w:bottom w:val="single" w:sz="8" w:space="0" w:color="000000"/>
              <w:right w:val="single" w:sz="8" w:space="0" w:color="auto"/>
            </w:tcBorders>
            <w:shd w:val="clear" w:color="000000" w:fill="F2AC3C"/>
            <w:vAlign w:val="center"/>
            <w:hideMark/>
          </w:tcPr>
          <w:p w14:paraId="27809963" w14:textId="03683D9E" w:rsidR="009436FC" w:rsidRPr="006F00A8" w:rsidRDefault="009436FC" w:rsidP="00BC63A1">
            <w:pPr>
              <w:jc w:val="center"/>
              <w:rPr>
                <w:rFonts w:ascii="Open Sans" w:eastAsia="Times New Roman" w:hAnsi="Open Sans" w:cs="Open Sans"/>
                <w:b/>
                <w:bCs/>
                <w:color w:val="FFFFFF"/>
                <w:sz w:val="20"/>
                <w:szCs w:val="20"/>
                <w:lang w:val="es-ES"/>
              </w:rPr>
            </w:pPr>
            <w:r w:rsidRPr="006F00A8">
              <w:rPr>
                <w:rFonts w:ascii="Open Sans" w:eastAsia="Times New Roman" w:hAnsi="Open Sans" w:cs="Open Sans"/>
                <w:b/>
                <w:bCs/>
                <w:color w:val="FFFFFF"/>
                <w:sz w:val="20"/>
                <w:szCs w:val="20"/>
                <w:lang w:val="es-ES"/>
              </w:rPr>
              <w:t>Paraísos</w:t>
            </w:r>
            <w:r>
              <w:rPr>
                <w:rFonts w:ascii="Open Sans" w:eastAsia="Times New Roman" w:hAnsi="Open Sans" w:cs="Open Sans"/>
                <w:b/>
                <w:bCs/>
                <w:color w:val="FFFFFF"/>
                <w:sz w:val="20"/>
                <w:szCs w:val="20"/>
                <w:lang w:val="es-ES"/>
              </w:rPr>
              <w:t>/nichos</w:t>
            </w:r>
            <w:r w:rsidRPr="006F00A8">
              <w:rPr>
                <w:rFonts w:ascii="Open Sans" w:eastAsia="Times New Roman" w:hAnsi="Open Sans" w:cs="Open Sans"/>
                <w:b/>
                <w:bCs/>
                <w:color w:val="FFFFFF"/>
                <w:sz w:val="20"/>
                <w:szCs w:val="20"/>
                <w:lang w:val="es-ES"/>
              </w:rPr>
              <w:t xml:space="preserve"> fiscales más utilizados</w:t>
            </w:r>
          </w:p>
        </w:tc>
        <w:tc>
          <w:tcPr>
            <w:tcW w:w="4660" w:type="dxa"/>
            <w:gridSpan w:val="4"/>
            <w:tcBorders>
              <w:top w:val="single" w:sz="8" w:space="0" w:color="auto"/>
              <w:left w:val="nil"/>
              <w:bottom w:val="single" w:sz="4" w:space="0" w:color="auto"/>
              <w:right w:val="single" w:sz="8" w:space="0" w:color="000000"/>
            </w:tcBorders>
            <w:shd w:val="clear" w:color="000000" w:fill="F2AC3C"/>
            <w:vAlign w:val="center"/>
            <w:hideMark/>
          </w:tcPr>
          <w:p w14:paraId="0B893153" w14:textId="77777777" w:rsidR="009436FC" w:rsidRPr="006F00A8" w:rsidRDefault="009436FC" w:rsidP="00BC63A1">
            <w:pPr>
              <w:jc w:val="center"/>
              <w:rPr>
                <w:rFonts w:ascii="Open Sans" w:eastAsia="Times New Roman" w:hAnsi="Open Sans" w:cs="Open Sans"/>
                <w:b/>
                <w:bCs/>
                <w:color w:val="FFFFFF"/>
                <w:sz w:val="20"/>
                <w:szCs w:val="20"/>
                <w:lang w:val="es-ES"/>
              </w:rPr>
            </w:pPr>
            <w:r w:rsidRPr="006F00A8">
              <w:rPr>
                <w:rFonts w:ascii="Open Sans" w:eastAsia="Times New Roman" w:hAnsi="Open Sans" w:cs="Open Sans"/>
                <w:b/>
                <w:bCs/>
                <w:color w:val="FFFFFF"/>
                <w:sz w:val="20"/>
                <w:szCs w:val="20"/>
                <w:lang w:val="es-ES"/>
              </w:rPr>
              <w:t>Número de sociedades</w:t>
            </w:r>
          </w:p>
        </w:tc>
      </w:tr>
      <w:tr w:rsidR="009436FC" w:rsidRPr="006F00A8" w14:paraId="5182C44C" w14:textId="77777777" w:rsidTr="009436FC">
        <w:trPr>
          <w:trHeight w:val="315"/>
          <w:jc w:val="center"/>
        </w:trPr>
        <w:tc>
          <w:tcPr>
            <w:tcW w:w="3160" w:type="dxa"/>
            <w:vMerge/>
            <w:tcBorders>
              <w:top w:val="single" w:sz="8" w:space="0" w:color="auto"/>
              <w:left w:val="single" w:sz="8" w:space="0" w:color="auto"/>
              <w:bottom w:val="single" w:sz="8" w:space="0" w:color="000000"/>
              <w:right w:val="single" w:sz="8" w:space="0" w:color="auto"/>
            </w:tcBorders>
            <w:vAlign w:val="center"/>
            <w:hideMark/>
          </w:tcPr>
          <w:p w14:paraId="18961D0C" w14:textId="77777777" w:rsidR="009436FC" w:rsidRPr="006F00A8" w:rsidRDefault="009436FC" w:rsidP="00BC63A1">
            <w:pPr>
              <w:rPr>
                <w:rFonts w:ascii="Open Sans" w:eastAsia="Times New Roman" w:hAnsi="Open Sans" w:cs="Open Sans"/>
                <w:b/>
                <w:bCs/>
                <w:color w:val="FFFFFF"/>
                <w:sz w:val="20"/>
                <w:szCs w:val="20"/>
                <w:lang w:val="es-ES"/>
              </w:rPr>
            </w:pPr>
          </w:p>
        </w:tc>
        <w:tc>
          <w:tcPr>
            <w:tcW w:w="1060" w:type="dxa"/>
            <w:tcBorders>
              <w:top w:val="nil"/>
              <w:left w:val="nil"/>
              <w:bottom w:val="single" w:sz="8" w:space="0" w:color="auto"/>
              <w:right w:val="single" w:sz="8" w:space="0" w:color="auto"/>
            </w:tcBorders>
            <w:shd w:val="clear" w:color="000000" w:fill="BFBFBF"/>
            <w:vAlign w:val="center"/>
            <w:hideMark/>
          </w:tcPr>
          <w:p w14:paraId="51E50EE7"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2015</w:t>
            </w:r>
          </w:p>
        </w:tc>
        <w:tc>
          <w:tcPr>
            <w:tcW w:w="1200" w:type="dxa"/>
            <w:tcBorders>
              <w:top w:val="nil"/>
              <w:left w:val="nil"/>
              <w:bottom w:val="single" w:sz="8" w:space="0" w:color="auto"/>
              <w:right w:val="single" w:sz="8" w:space="0" w:color="auto"/>
            </w:tcBorders>
            <w:shd w:val="clear" w:color="000000" w:fill="BFBFBF"/>
            <w:vAlign w:val="center"/>
            <w:hideMark/>
          </w:tcPr>
          <w:p w14:paraId="5B79A0F0"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2014</w:t>
            </w:r>
          </w:p>
        </w:tc>
        <w:tc>
          <w:tcPr>
            <w:tcW w:w="1200" w:type="dxa"/>
            <w:tcBorders>
              <w:top w:val="nil"/>
              <w:left w:val="nil"/>
              <w:bottom w:val="single" w:sz="8" w:space="0" w:color="auto"/>
              <w:right w:val="single" w:sz="8" w:space="0" w:color="auto"/>
            </w:tcBorders>
            <w:shd w:val="clear" w:color="000000" w:fill="BFBFBF"/>
            <w:vAlign w:val="center"/>
            <w:hideMark/>
          </w:tcPr>
          <w:p w14:paraId="641FFC0A"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2013</w:t>
            </w:r>
          </w:p>
        </w:tc>
        <w:tc>
          <w:tcPr>
            <w:tcW w:w="1200" w:type="dxa"/>
            <w:tcBorders>
              <w:top w:val="nil"/>
              <w:left w:val="nil"/>
              <w:bottom w:val="single" w:sz="8" w:space="0" w:color="auto"/>
              <w:right w:val="single" w:sz="8" w:space="0" w:color="auto"/>
            </w:tcBorders>
            <w:shd w:val="clear" w:color="000000" w:fill="BFBFBF"/>
            <w:vAlign w:val="center"/>
            <w:hideMark/>
          </w:tcPr>
          <w:p w14:paraId="3A14F834"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2012</w:t>
            </w:r>
          </w:p>
        </w:tc>
      </w:tr>
      <w:tr w:rsidR="009436FC" w:rsidRPr="006F00A8" w14:paraId="7B46361B"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20B1768C"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EEUU Delaware</w:t>
            </w:r>
          </w:p>
        </w:tc>
        <w:tc>
          <w:tcPr>
            <w:tcW w:w="1060" w:type="dxa"/>
            <w:tcBorders>
              <w:top w:val="nil"/>
              <w:left w:val="nil"/>
              <w:bottom w:val="single" w:sz="8" w:space="0" w:color="auto"/>
              <w:right w:val="single" w:sz="8" w:space="0" w:color="auto"/>
            </w:tcBorders>
            <w:shd w:val="clear" w:color="auto" w:fill="auto"/>
            <w:vAlign w:val="center"/>
            <w:hideMark/>
          </w:tcPr>
          <w:p w14:paraId="531D91A7" w14:textId="3FA98DB6" w:rsidR="009436FC" w:rsidRPr="006F00A8" w:rsidRDefault="00EE1193" w:rsidP="009436FC">
            <w:pPr>
              <w:jc w:val="center"/>
              <w:rPr>
                <w:rFonts w:ascii="Open Sans" w:eastAsia="Times New Roman" w:hAnsi="Open Sans" w:cs="Open Sans"/>
                <w:b/>
                <w:bCs/>
                <w:color w:val="000000"/>
                <w:sz w:val="20"/>
                <w:szCs w:val="20"/>
                <w:lang w:val="es-ES"/>
              </w:rPr>
            </w:pPr>
            <w:r>
              <w:rPr>
                <w:rFonts w:ascii="Open Sans" w:eastAsia="Times New Roman" w:hAnsi="Open Sans" w:cs="Open Sans"/>
                <w:b/>
                <w:bCs/>
                <w:color w:val="000000"/>
                <w:sz w:val="20"/>
                <w:szCs w:val="20"/>
                <w:lang w:val="es-ES"/>
              </w:rPr>
              <w:t>463</w:t>
            </w:r>
          </w:p>
        </w:tc>
        <w:tc>
          <w:tcPr>
            <w:tcW w:w="1200" w:type="dxa"/>
            <w:tcBorders>
              <w:top w:val="nil"/>
              <w:left w:val="nil"/>
              <w:bottom w:val="single" w:sz="8" w:space="0" w:color="auto"/>
              <w:right w:val="single" w:sz="8" w:space="0" w:color="auto"/>
            </w:tcBorders>
            <w:shd w:val="clear" w:color="auto" w:fill="auto"/>
            <w:vAlign w:val="center"/>
            <w:hideMark/>
          </w:tcPr>
          <w:p w14:paraId="3069A7BC"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420</w:t>
            </w:r>
          </w:p>
        </w:tc>
        <w:tc>
          <w:tcPr>
            <w:tcW w:w="1200" w:type="dxa"/>
            <w:tcBorders>
              <w:top w:val="nil"/>
              <w:left w:val="nil"/>
              <w:bottom w:val="single" w:sz="8" w:space="0" w:color="auto"/>
              <w:right w:val="single" w:sz="8" w:space="0" w:color="auto"/>
            </w:tcBorders>
            <w:shd w:val="clear" w:color="auto" w:fill="auto"/>
            <w:vAlign w:val="center"/>
            <w:hideMark/>
          </w:tcPr>
          <w:p w14:paraId="605498A2"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352</w:t>
            </w:r>
          </w:p>
        </w:tc>
        <w:tc>
          <w:tcPr>
            <w:tcW w:w="1200" w:type="dxa"/>
            <w:tcBorders>
              <w:top w:val="nil"/>
              <w:left w:val="nil"/>
              <w:bottom w:val="single" w:sz="8" w:space="0" w:color="auto"/>
              <w:right w:val="single" w:sz="8" w:space="0" w:color="auto"/>
            </w:tcBorders>
            <w:shd w:val="clear" w:color="auto" w:fill="auto"/>
            <w:vAlign w:val="center"/>
            <w:hideMark/>
          </w:tcPr>
          <w:p w14:paraId="287067AE"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194</w:t>
            </w:r>
          </w:p>
        </w:tc>
      </w:tr>
      <w:tr w:rsidR="009436FC" w:rsidRPr="006F00A8" w14:paraId="32E602EB"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4F9696FA"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Países Bajos (Holanda)</w:t>
            </w:r>
          </w:p>
        </w:tc>
        <w:tc>
          <w:tcPr>
            <w:tcW w:w="1060" w:type="dxa"/>
            <w:tcBorders>
              <w:top w:val="nil"/>
              <w:left w:val="nil"/>
              <w:bottom w:val="single" w:sz="8" w:space="0" w:color="auto"/>
              <w:right w:val="single" w:sz="8" w:space="0" w:color="auto"/>
            </w:tcBorders>
            <w:shd w:val="clear" w:color="auto" w:fill="auto"/>
            <w:vAlign w:val="center"/>
            <w:hideMark/>
          </w:tcPr>
          <w:p w14:paraId="5F2AE7AF"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169</w:t>
            </w:r>
          </w:p>
        </w:tc>
        <w:tc>
          <w:tcPr>
            <w:tcW w:w="1200" w:type="dxa"/>
            <w:tcBorders>
              <w:top w:val="nil"/>
              <w:left w:val="nil"/>
              <w:bottom w:val="single" w:sz="8" w:space="0" w:color="auto"/>
              <w:right w:val="single" w:sz="8" w:space="0" w:color="auto"/>
            </w:tcBorders>
            <w:shd w:val="clear" w:color="auto" w:fill="auto"/>
            <w:vAlign w:val="center"/>
            <w:hideMark/>
          </w:tcPr>
          <w:p w14:paraId="0C070FE0"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131</w:t>
            </w:r>
          </w:p>
        </w:tc>
        <w:tc>
          <w:tcPr>
            <w:tcW w:w="1200" w:type="dxa"/>
            <w:tcBorders>
              <w:top w:val="nil"/>
              <w:left w:val="nil"/>
              <w:bottom w:val="single" w:sz="8" w:space="0" w:color="auto"/>
              <w:right w:val="single" w:sz="8" w:space="0" w:color="auto"/>
            </w:tcBorders>
            <w:shd w:val="clear" w:color="auto" w:fill="auto"/>
            <w:vAlign w:val="center"/>
            <w:hideMark/>
          </w:tcPr>
          <w:p w14:paraId="05F8BC0D"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122</w:t>
            </w:r>
          </w:p>
        </w:tc>
        <w:tc>
          <w:tcPr>
            <w:tcW w:w="1200" w:type="dxa"/>
            <w:tcBorders>
              <w:top w:val="nil"/>
              <w:left w:val="nil"/>
              <w:bottom w:val="single" w:sz="8" w:space="0" w:color="auto"/>
              <w:right w:val="single" w:sz="8" w:space="0" w:color="auto"/>
            </w:tcBorders>
            <w:shd w:val="clear" w:color="auto" w:fill="auto"/>
            <w:vAlign w:val="center"/>
            <w:hideMark/>
          </w:tcPr>
          <w:p w14:paraId="3252F0A0"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104</w:t>
            </w:r>
          </w:p>
        </w:tc>
      </w:tr>
      <w:tr w:rsidR="009436FC" w:rsidRPr="006F00A8" w14:paraId="2FB29935"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3D0AAE37"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Irlanda</w:t>
            </w:r>
          </w:p>
        </w:tc>
        <w:tc>
          <w:tcPr>
            <w:tcW w:w="1060" w:type="dxa"/>
            <w:tcBorders>
              <w:top w:val="nil"/>
              <w:left w:val="nil"/>
              <w:bottom w:val="single" w:sz="8" w:space="0" w:color="auto"/>
              <w:right w:val="single" w:sz="8" w:space="0" w:color="auto"/>
            </w:tcBorders>
            <w:shd w:val="clear" w:color="auto" w:fill="auto"/>
            <w:vAlign w:val="center"/>
            <w:hideMark/>
          </w:tcPr>
          <w:p w14:paraId="5DCA3A56"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110</w:t>
            </w:r>
          </w:p>
        </w:tc>
        <w:tc>
          <w:tcPr>
            <w:tcW w:w="1200" w:type="dxa"/>
            <w:tcBorders>
              <w:top w:val="nil"/>
              <w:left w:val="nil"/>
              <w:bottom w:val="single" w:sz="8" w:space="0" w:color="auto"/>
              <w:right w:val="single" w:sz="8" w:space="0" w:color="auto"/>
            </w:tcBorders>
            <w:shd w:val="clear" w:color="auto" w:fill="auto"/>
            <w:vAlign w:val="center"/>
            <w:hideMark/>
          </w:tcPr>
          <w:p w14:paraId="322CE496"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65</w:t>
            </w:r>
          </w:p>
        </w:tc>
        <w:tc>
          <w:tcPr>
            <w:tcW w:w="1200" w:type="dxa"/>
            <w:tcBorders>
              <w:top w:val="nil"/>
              <w:left w:val="nil"/>
              <w:bottom w:val="single" w:sz="8" w:space="0" w:color="auto"/>
              <w:right w:val="single" w:sz="8" w:space="0" w:color="auto"/>
            </w:tcBorders>
            <w:shd w:val="clear" w:color="auto" w:fill="auto"/>
            <w:vAlign w:val="center"/>
            <w:hideMark/>
          </w:tcPr>
          <w:p w14:paraId="7F4A252E"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56</w:t>
            </w:r>
          </w:p>
        </w:tc>
        <w:tc>
          <w:tcPr>
            <w:tcW w:w="1200" w:type="dxa"/>
            <w:tcBorders>
              <w:top w:val="nil"/>
              <w:left w:val="nil"/>
              <w:bottom w:val="single" w:sz="8" w:space="0" w:color="auto"/>
              <w:right w:val="single" w:sz="8" w:space="0" w:color="auto"/>
            </w:tcBorders>
            <w:shd w:val="clear" w:color="auto" w:fill="auto"/>
            <w:vAlign w:val="center"/>
            <w:hideMark/>
          </w:tcPr>
          <w:p w14:paraId="5A815BFB"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26</w:t>
            </w:r>
          </w:p>
        </w:tc>
      </w:tr>
      <w:tr w:rsidR="009436FC" w:rsidRPr="006F00A8" w14:paraId="5097E077"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71AC44BE"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Luxemburgo</w:t>
            </w:r>
          </w:p>
        </w:tc>
        <w:tc>
          <w:tcPr>
            <w:tcW w:w="1060" w:type="dxa"/>
            <w:tcBorders>
              <w:top w:val="nil"/>
              <w:left w:val="nil"/>
              <w:bottom w:val="single" w:sz="8" w:space="0" w:color="auto"/>
              <w:right w:val="single" w:sz="8" w:space="0" w:color="auto"/>
            </w:tcBorders>
            <w:shd w:val="clear" w:color="auto" w:fill="auto"/>
            <w:vAlign w:val="center"/>
            <w:hideMark/>
          </w:tcPr>
          <w:p w14:paraId="78D61997"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81</w:t>
            </w:r>
          </w:p>
        </w:tc>
        <w:tc>
          <w:tcPr>
            <w:tcW w:w="1200" w:type="dxa"/>
            <w:tcBorders>
              <w:top w:val="nil"/>
              <w:left w:val="nil"/>
              <w:bottom w:val="single" w:sz="8" w:space="0" w:color="auto"/>
              <w:right w:val="single" w:sz="8" w:space="0" w:color="auto"/>
            </w:tcBorders>
            <w:shd w:val="clear" w:color="auto" w:fill="auto"/>
            <w:vAlign w:val="center"/>
            <w:hideMark/>
          </w:tcPr>
          <w:p w14:paraId="48A0BDB3"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60</w:t>
            </w:r>
          </w:p>
        </w:tc>
        <w:tc>
          <w:tcPr>
            <w:tcW w:w="1200" w:type="dxa"/>
            <w:tcBorders>
              <w:top w:val="nil"/>
              <w:left w:val="nil"/>
              <w:bottom w:val="single" w:sz="8" w:space="0" w:color="auto"/>
              <w:right w:val="single" w:sz="8" w:space="0" w:color="auto"/>
            </w:tcBorders>
            <w:shd w:val="clear" w:color="auto" w:fill="auto"/>
            <w:vAlign w:val="center"/>
            <w:hideMark/>
          </w:tcPr>
          <w:p w14:paraId="599A6201"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62</w:t>
            </w:r>
          </w:p>
        </w:tc>
        <w:tc>
          <w:tcPr>
            <w:tcW w:w="1200" w:type="dxa"/>
            <w:tcBorders>
              <w:top w:val="nil"/>
              <w:left w:val="nil"/>
              <w:bottom w:val="single" w:sz="8" w:space="0" w:color="auto"/>
              <w:right w:val="single" w:sz="8" w:space="0" w:color="auto"/>
            </w:tcBorders>
            <w:shd w:val="clear" w:color="auto" w:fill="auto"/>
            <w:vAlign w:val="center"/>
            <w:hideMark/>
          </w:tcPr>
          <w:p w14:paraId="12AEA25F"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45</w:t>
            </w:r>
          </w:p>
        </w:tc>
      </w:tr>
      <w:tr w:rsidR="009436FC" w:rsidRPr="006F00A8" w14:paraId="2AD1D07E"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6D8B19C8"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Panamá</w:t>
            </w:r>
          </w:p>
        </w:tc>
        <w:tc>
          <w:tcPr>
            <w:tcW w:w="1060" w:type="dxa"/>
            <w:tcBorders>
              <w:top w:val="nil"/>
              <w:left w:val="nil"/>
              <w:bottom w:val="single" w:sz="8" w:space="0" w:color="auto"/>
              <w:right w:val="single" w:sz="8" w:space="0" w:color="auto"/>
            </w:tcBorders>
            <w:shd w:val="clear" w:color="auto" w:fill="auto"/>
            <w:vAlign w:val="center"/>
            <w:hideMark/>
          </w:tcPr>
          <w:p w14:paraId="0C6904B9"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45</w:t>
            </w:r>
          </w:p>
        </w:tc>
        <w:tc>
          <w:tcPr>
            <w:tcW w:w="1200" w:type="dxa"/>
            <w:tcBorders>
              <w:top w:val="nil"/>
              <w:left w:val="nil"/>
              <w:bottom w:val="single" w:sz="8" w:space="0" w:color="auto"/>
              <w:right w:val="single" w:sz="8" w:space="0" w:color="auto"/>
            </w:tcBorders>
            <w:shd w:val="clear" w:color="auto" w:fill="auto"/>
            <w:vAlign w:val="center"/>
            <w:hideMark/>
          </w:tcPr>
          <w:p w14:paraId="33E6D273"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13</w:t>
            </w:r>
          </w:p>
        </w:tc>
        <w:tc>
          <w:tcPr>
            <w:tcW w:w="1200" w:type="dxa"/>
            <w:tcBorders>
              <w:top w:val="nil"/>
              <w:left w:val="nil"/>
              <w:bottom w:val="single" w:sz="8" w:space="0" w:color="auto"/>
              <w:right w:val="single" w:sz="8" w:space="0" w:color="auto"/>
            </w:tcBorders>
            <w:shd w:val="clear" w:color="auto" w:fill="auto"/>
            <w:vAlign w:val="center"/>
            <w:hideMark/>
          </w:tcPr>
          <w:p w14:paraId="392443D2"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8</w:t>
            </w:r>
          </w:p>
        </w:tc>
        <w:tc>
          <w:tcPr>
            <w:tcW w:w="1200" w:type="dxa"/>
            <w:tcBorders>
              <w:top w:val="nil"/>
              <w:left w:val="nil"/>
              <w:bottom w:val="single" w:sz="8" w:space="0" w:color="auto"/>
              <w:right w:val="single" w:sz="8" w:space="0" w:color="auto"/>
            </w:tcBorders>
            <w:shd w:val="clear" w:color="auto" w:fill="auto"/>
            <w:vAlign w:val="center"/>
            <w:hideMark/>
          </w:tcPr>
          <w:p w14:paraId="3F4A920D"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6</w:t>
            </w:r>
          </w:p>
        </w:tc>
      </w:tr>
      <w:tr w:rsidR="009436FC" w:rsidRPr="006F00A8" w14:paraId="1FE52FCD"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4E384E76"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Suiza</w:t>
            </w:r>
          </w:p>
        </w:tc>
        <w:tc>
          <w:tcPr>
            <w:tcW w:w="1060" w:type="dxa"/>
            <w:tcBorders>
              <w:top w:val="nil"/>
              <w:left w:val="nil"/>
              <w:bottom w:val="single" w:sz="8" w:space="0" w:color="auto"/>
              <w:right w:val="single" w:sz="8" w:space="0" w:color="auto"/>
            </w:tcBorders>
            <w:shd w:val="clear" w:color="auto" w:fill="auto"/>
            <w:vAlign w:val="center"/>
            <w:hideMark/>
          </w:tcPr>
          <w:p w14:paraId="6126D2CA"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40</w:t>
            </w:r>
          </w:p>
        </w:tc>
        <w:tc>
          <w:tcPr>
            <w:tcW w:w="1200" w:type="dxa"/>
            <w:tcBorders>
              <w:top w:val="nil"/>
              <w:left w:val="nil"/>
              <w:bottom w:val="single" w:sz="8" w:space="0" w:color="auto"/>
              <w:right w:val="single" w:sz="8" w:space="0" w:color="auto"/>
            </w:tcBorders>
            <w:shd w:val="clear" w:color="auto" w:fill="auto"/>
            <w:vAlign w:val="center"/>
            <w:hideMark/>
          </w:tcPr>
          <w:p w14:paraId="29718BFE"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27</w:t>
            </w:r>
          </w:p>
        </w:tc>
        <w:tc>
          <w:tcPr>
            <w:tcW w:w="1200" w:type="dxa"/>
            <w:tcBorders>
              <w:top w:val="nil"/>
              <w:left w:val="nil"/>
              <w:bottom w:val="single" w:sz="8" w:space="0" w:color="auto"/>
              <w:right w:val="single" w:sz="8" w:space="0" w:color="auto"/>
            </w:tcBorders>
            <w:shd w:val="clear" w:color="auto" w:fill="auto"/>
            <w:vAlign w:val="center"/>
            <w:hideMark/>
          </w:tcPr>
          <w:p w14:paraId="04144560"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25</w:t>
            </w:r>
          </w:p>
        </w:tc>
        <w:tc>
          <w:tcPr>
            <w:tcW w:w="1200" w:type="dxa"/>
            <w:tcBorders>
              <w:top w:val="nil"/>
              <w:left w:val="nil"/>
              <w:bottom w:val="single" w:sz="8" w:space="0" w:color="auto"/>
              <w:right w:val="single" w:sz="8" w:space="0" w:color="auto"/>
            </w:tcBorders>
            <w:shd w:val="clear" w:color="auto" w:fill="auto"/>
            <w:vAlign w:val="center"/>
            <w:hideMark/>
          </w:tcPr>
          <w:p w14:paraId="18B62CE6"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21</w:t>
            </w:r>
          </w:p>
        </w:tc>
      </w:tr>
      <w:tr w:rsidR="009436FC" w:rsidRPr="006F00A8" w14:paraId="608E2A19"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36678073"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Hong Kong</w:t>
            </w:r>
          </w:p>
        </w:tc>
        <w:tc>
          <w:tcPr>
            <w:tcW w:w="1060" w:type="dxa"/>
            <w:tcBorders>
              <w:top w:val="nil"/>
              <w:left w:val="nil"/>
              <w:bottom w:val="single" w:sz="8" w:space="0" w:color="auto"/>
              <w:right w:val="single" w:sz="8" w:space="0" w:color="auto"/>
            </w:tcBorders>
            <w:shd w:val="clear" w:color="auto" w:fill="auto"/>
            <w:vAlign w:val="center"/>
            <w:hideMark/>
          </w:tcPr>
          <w:p w14:paraId="3BB77F5D"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33</w:t>
            </w:r>
          </w:p>
        </w:tc>
        <w:tc>
          <w:tcPr>
            <w:tcW w:w="1200" w:type="dxa"/>
            <w:tcBorders>
              <w:top w:val="nil"/>
              <w:left w:val="nil"/>
              <w:bottom w:val="single" w:sz="8" w:space="0" w:color="auto"/>
              <w:right w:val="single" w:sz="8" w:space="0" w:color="auto"/>
            </w:tcBorders>
            <w:shd w:val="clear" w:color="auto" w:fill="auto"/>
            <w:vAlign w:val="center"/>
            <w:hideMark/>
          </w:tcPr>
          <w:p w14:paraId="099DE67C"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27</w:t>
            </w:r>
          </w:p>
        </w:tc>
        <w:tc>
          <w:tcPr>
            <w:tcW w:w="1200" w:type="dxa"/>
            <w:tcBorders>
              <w:top w:val="nil"/>
              <w:left w:val="nil"/>
              <w:bottom w:val="single" w:sz="8" w:space="0" w:color="auto"/>
              <w:right w:val="single" w:sz="8" w:space="0" w:color="auto"/>
            </w:tcBorders>
            <w:shd w:val="clear" w:color="auto" w:fill="auto"/>
            <w:vAlign w:val="center"/>
            <w:hideMark/>
          </w:tcPr>
          <w:p w14:paraId="099FD268"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24</w:t>
            </w:r>
          </w:p>
        </w:tc>
        <w:tc>
          <w:tcPr>
            <w:tcW w:w="1200" w:type="dxa"/>
            <w:tcBorders>
              <w:top w:val="nil"/>
              <w:left w:val="nil"/>
              <w:bottom w:val="single" w:sz="8" w:space="0" w:color="auto"/>
              <w:right w:val="single" w:sz="8" w:space="0" w:color="auto"/>
            </w:tcBorders>
            <w:shd w:val="clear" w:color="auto" w:fill="auto"/>
            <w:vAlign w:val="center"/>
            <w:hideMark/>
          </w:tcPr>
          <w:p w14:paraId="53578B77"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22</w:t>
            </w:r>
          </w:p>
        </w:tc>
      </w:tr>
      <w:tr w:rsidR="009436FC" w:rsidRPr="006F00A8" w14:paraId="6EA1F83E"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48F1E111"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Puerto Rico</w:t>
            </w:r>
          </w:p>
        </w:tc>
        <w:tc>
          <w:tcPr>
            <w:tcW w:w="1060" w:type="dxa"/>
            <w:tcBorders>
              <w:top w:val="nil"/>
              <w:left w:val="nil"/>
              <w:bottom w:val="single" w:sz="8" w:space="0" w:color="auto"/>
              <w:right w:val="single" w:sz="8" w:space="0" w:color="auto"/>
            </w:tcBorders>
            <w:shd w:val="clear" w:color="auto" w:fill="auto"/>
            <w:vAlign w:val="center"/>
            <w:hideMark/>
          </w:tcPr>
          <w:p w14:paraId="025416CE"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31</w:t>
            </w:r>
          </w:p>
        </w:tc>
        <w:tc>
          <w:tcPr>
            <w:tcW w:w="1200" w:type="dxa"/>
            <w:tcBorders>
              <w:top w:val="nil"/>
              <w:left w:val="nil"/>
              <w:bottom w:val="single" w:sz="8" w:space="0" w:color="auto"/>
              <w:right w:val="single" w:sz="8" w:space="0" w:color="auto"/>
            </w:tcBorders>
            <w:shd w:val="clear" w:color="auto" w:fill="auto"/>
            <w:vAlign w:val="center"/>
            <w:hideMark/>
          </w:tcPr>
          <w:p w14:paraId="6EFB9734"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14</w:t>
            </w:r>
          </w:p>
        </w:tc>
        <w:tc>
          <w:tcPr>
            <w:tcW w:w="1200" w:type="dxa"/>
            <w:tcBorders>
              <w:top w:val="nil"/>
              <w:left w:val="nil"/>
              <w:bottom w:val="single" w:sz="8" w:space="0" w:color="auto"/>
              <w:right w:val="single" w:sz="8" w:space="0" w:color="auto"/>
            </w:tcBorders>
            <w:shd w:val="clear" w:color="auto" w:fill="auto"/>
            <w:vAlign w:val="center"/>
            <w:hideMark/>
          </w:tcPr>
          <w:p w14:paraId="44E492D7"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14</w:t>
            </w:r>
          </w:p>
        </w:tc>
        <w:tc>
          <w:tcPr>
            <w:tcW w:w="1200" w:type="dxa"/>
            <w:tcBorders>
              <w:top w:val="nil"/>
              <w:left w:val="nil"/>
              <w:bottom w:val="single" w:sz="8" w:space="0" w:color="auto"/>
              <w:right w:val="single" w:sz="8" w:space="0" w:color="auto"/>
            </w:tcBorders>
            <w:shd w:val="clear" w:color="auto" w:fill="auto"/>
            <w:vAlign w:val="center"/>
            <w:hideMark/>
          </w:tcPr>
          <w:p w14:paraId="0FE2108F"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18</w:t>
            </w:r>
          </w:p>
        </w:tc>
      </w:tr>
      <w:tr w:rsidR="009436FC" w:rsidRPr="006F00A8" w14:paraId="1E6E5152"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56BD4880"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Uruguay</w:t>
            </w:r>
          </w:p>
        </w:tc>
        <w:tc>
          <w:tcPr>
            <w:tcW w:w="1060" w:type="dxa"/>
            <w:tcBorders>
              <w:top w:val="nil"/>
              <w:left w:val="nil"/>
              <w:bottom w:val="single" w:sz="8" w:space="0" w:color="auto"/>
              <w:right w:val="single" w:sz="8" w:space="0" w:color="auto"/>
            </w:tcBorders>
            <w:shd w:val="clear" w:color="auto" w:fill="auto"/>
            <w:vAlign w:val="center"/>
            <w:hideMark/>
          </w:tcPr>
          <w:p w14:paraId="36933895"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29</w:t>
            </w:r>
          </w:p>
        </w:tc>
        <w:tc>
          <w:tcPr>
            <w:tcW w:w="1200" w:type="dxa"/>
            <w:tcBorders>
              <w:top w:val="nil"/>
              <w:left w:val="nil"/>
              <w:bottom w:val="single" w:sz="8" w:space="0" w:color="auto"/>
              <w:right w:val="single" w:sz="8" w:space="0" w:color="auto"/>
            </w:tcBorders>
            <w:shd w:val="clear" w:color="auto" w:fill="auto"/>
            <w:vAlign w:val="center"/>
            <w:hideMark/>
          </w:tcPr>
          <w:p w14:paraId="48EE7D0D"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25</w:t>
            </w:r>
          </w:p>
        </w:tc>
        <w:tc>
          <w:tcPr>
            <w:tcW w:w="1200" w:type="dxa"/>
            <w:tcBorders>
              <w:top w:val="nil"/>
              <w:left w:val="nil"/>
              <w:bottom w:val="single" w:sz="8" w:space="0" w:color="auto"/>
              <w:right w:val="single" w:sz="8" w:space="0" w:color="auto"/>
            </w:tcBorders>
            <w:shd w:val="clear" w:color="auto" w:fill="auto"/>
            <w:vAlign w:val="center"/>
            <w:hideMark/>
          </w:tcPr>
          <w:p w14:paraId="00403C29"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24</w:t>
            </w:r>
          </w:p>
        </w:tc>
        <w:tc>
          <w:tcPr>
            <w:tcW w:w="1200" w:type="dxa"/>
            <w:tcBorders>
              <w:top w:val="nil"/>
              <w:left w:val="nil"/>
              <w:bottom w:val="single" w:sz="8" w:space="0" w:color="auto"/>
              <w:right w:val="single" w:sz="8" w:space="0" w:color="auto"/>
            </w:tcBorders>
            <w:shd w:val="clear" w:color="auto" w:fill="auto"/>
            <w:vAlign w:val="center"/>
            <w:hideMark/>
          </w:tcPr>
          <w:p w14:paraId="3B509B9B"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17</w:t>
            </w:r>
          </w:p>
        </w:tc>
      </w:tr>
      <w:tr w:rsidR="009436FC" w:rsidRPr="006F00A8" w14:paraId="7F4F203B"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093267A5"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Singapur</w:t>
            </w:r>
          </w:p>
        </w:tc>
        <w:tc>
          <w:tcPr>
            <w:tcW w:w="1060" w:type="dxa"/>
            <w:tcBorders>
              <w:top w:val="nil"/>
              <w:left w:val="nil"/>
              <w:bottom w:val="single" w:sz="8" w:space="0" w:color="auto"/>
              <w:right w:val="single" w:sz="8" w:space="0" w:color="auto"/>
            </w:tcBorders>
            <w:shd w:val="clear" w:color="auto" w:fill="auto"/>
            <w:vAlign w:val="center"/>
            <w:hideMark/>
          </w:tcPr>
          <w:p w14:paraId="6DBEE8E6" w14:textId="77777777"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26</w:t>
            </w:r>
          </w:p>
        </w:tc>
        <w:tc>
          <w:tcPr>
            <w:tcW w:w="1200" w:type="dxa"/>
            <w:tcBorders>
              <w:top w:val="nil"/>
              <w:left w:val="nil"/>
              <w:bottom w:val="single" w:sz="8" w:space="0" w:color="auto"/>
              <w:right w:val="single" w:sz="8" w:space="0" w:color="auto"/>
            </w:tcBorders>
            <w:shd w:val="clear" w:color="auto" w:fill="auto"/>
            <w:vAlign w:val="center"/>
            <w:hideMark/>
          </w:tcPr>
          <w:p w14:paraId="4FF9B617"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17</w:t>
            </w:r>
          </w:p>
        </w:tc>
        <w:tc>
          <w:tcPr>
            <w:tcW w:w="1200" w:type="dxa"/>
            <w:tcBorders>
              <w:top w:val="nil"/>
              <w:left w:val="nil"/>
              <w:bottom w:val="single" w:sz="8" w:space="0" w:color="auto"/>
              <w:right w:val="single" w:sz="8" w:space="0" w:color="auto"/>
            </w:tcBorders>
            <w:shd w:val="clear" w:color="auto" w:fill="auto"/>
            <w:vAlign w:val="center"/>
            <w:hideMark/>
          </w:tcPr>
          <w:p w14:paraId="39CB77D5"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16</w:t>
            </w:r>
          </w:p>
        </w:tc>
        <w:tc>
          <w:tcPr>
            <w:tcW w:w="1200" w:type="dxa"/>
            <w:tcBorders>
              <w:top w:val="nil"/>
              <w:left w:val="nil"/>
              <w:bottom w:val="single" w:sz="8" w:space="0" w:color="auto"/>
              <w:right w:val="single" w:sz="8" w:space="0" w:color="auto"/>
            </w:tcBorders>
            <w:shd w:val="clear" w:color="auto" w:fill="auto"/>
            <w:vAlign w:val="center"/>
            <w:hideMark/>
          </w:tcPr>
          <w:p w14:paraId="4DC0FA4C"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9</w:t>
            </w:r>
          </w:p>
        </w:tc>
      </w:tr>
      <w:tr w:rsidR="009436FC" w:rsidRPr="006F00A8" w14:paraId="34001D13" w14:textId="77777777" w:rsidTr="009436FC">
        <w:trPr>
          <w:trHeight w:val="315"/>
          <w:jc w:val="center"/>
        </w:trPr>
        <w:tc>
          <w:tcPr>
            <w:tcW w:w="3160" w:type="dxa"/>
            <w:tcBorders>
              <w:top w:val="nil"/>
              <w:left w:val="single" w:sz="8" w:space="0" w:color="auto"/>
              <w:bottom w:val="single" w:sz="8" w:space="0" w:color="auto"/>
              <w:right w:val="single" w:sz="8" w:space="0" w:color="auto"/>
            </w:tcBorders>
            <w:shd w:val="clear" w:color="auto" w:fill="auto"/>
            <w:vAlign w:val="center"/>
            <w:hideMark/>
          </w:tcPr>
          <w:p w14:paraId="1994637C" w14:textId="77777777" w:rsidR="009436FC" w:rsidRPr="006F00A8" w:rsidRDefault="009436FC" w:rsidP="00BC63A1">
            <w:pP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Islas Cayman</w:t>
            </w:r>
          </w:p>
        </w:tc>
        <w:tc>
          <w:tcPr>
            <w:tcW w:w="1060" w:type="dxa"/>
            <w:tcBorders>
              <w:top w:val="nil"/>
              <w:left w:val="nil"/>
              <w:bottom w:val="single" w:sz="8" w:space="0" w:color="auto"/>
              <w:right w:val="single" w:sz="8" w:space="0" w:color="auto"/>
            </w:tcBorders>
            <w:shd w:val="clear" w:color="auto" w:fill="auto"/>
            <w:vAlign w:val="center"/>
            <w:hideMark/>
          </w:tcPr>
          <w:p w14:paraId="6CB93CAC" w14:textId="7506859B" w:rsidR="009436FC" w:rsidRPr="006F00A8" w:rsidRDefault="009436FC" w:rsidP="009436FC">
            <w:pPr>
              <w:jc w:val="center"/>
              <w:rPr>
                <w:rFonts w:ascii="Open Sans" w:eastAsia="Times New Roman" w:hAnsi="Open Sans" w:cs="Open Sans"/>
                <w:b/>
                <w:bCs/>
                <w:color w:val="000000"/>
                <w:sz w:val="20"/>
                <w:szCs w:val="20"/>
                <w:lang w:val="es-ES"/>
              </w:rPr>
            </w:pPr>
            <w:r w:rsidRPr="006F00A8">
              <w:rPr>
                <w:rFonts w:ascii="Open Sans" w:eastAsia="Times New Roman" w:hAnsi="Open Sans" w:cs="Open Sans"/>
                <w:b/>
                <w:bCs/>
                <w:color w:val="000000"/>
                <w:sz w:val="20"/>
                <w:szCs w:val="20"/>
                <w:lang w:val="es-ES"/>
              </w:rPr>
              <w:t>2</w:t>
            </w:r>
            <w:r w:rsidR="005933E5">
              <w:rPr>
                <w:rFonts w:ascii="Open Sans" w:eastAsia="Times New Roman" w:hAnsi="Open Sans" w:cs="Open Sans"/>
                <w:b/>
                <w:bCs/>
                <w:color w:val="000000"/>
                <w:sz w:val="20"/>
                <w:szCs w:val="20"/>
                <w:lang w:val="es-ES"/>
              </w:rPr>
              <w:t>2</w:t>
            </w:r>
          </w:p>
        </w:tc>
        <w:tc>
          <w:tcPr>
            <w:tcW w:w="1200" w:type="dxa"/>
            <w:tcBorders>
              <w:top w:val="nil"/>
              <w:left w:val="nil"/>
              <w:bottom w:val="single" w:sz="8" w:space="0" w:color="auto"/>
              <w:right w:val="single" w:sz="8" w:space="0" w:color="auto"/>
            </w:tcBorders>
            <w:shd w:val="clear" w:color="auto" w:fill="auto"/>
            <w:vAlign w:val="center"/>
            <w:hideMark/>
          </w:tcPr>
          <w:p w14:paraId="19598E45"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29</w:t>
            </w:r>
          </w:p>
        </w:tc>
        <w:tc>
          <w:tcPr>
            <w:tcW w:w="1200" w:type="dxa"/>
            <w:tcBorders>
              <w:top w:val="nil"/>
              <w:left w:val="nil"/>
              <w:bottom w:val="single" w:sz="8" w:space="0" w:color="auto"/>
              <w:right w:val="single" w:sz="8" w:space="0" w:color="auto"/>
            </w:tcBorders>
            <w:shd w:val="clear" w:color="auto" w:fill="auto"/>
            <w:vAlign w:val="center"/>
            <w:hideMark/>
          </w:tcPr>
          <w:p w14:paraId="1BB3A33E"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22</w:t>
            </w:r>
          </w:p>
        </w:tc>
        <w:tc>
          <w:tcPr>
            <w:tcW w:w="1200" w:type="dxa"/>
            <w:tcBorders>
              <w:top w:val="nil"/>
              <w:left w:val="nil"/>
              <w:bottom w:val="single" w:sz="8" w:space="0" w:color="auto"/>
              <w:right w:val="single" w:sz="8" w:space="0" w:color="auto"/>
            </w:tcBorders>
            <w:shd w:val="clear" w:color="auto" w:fill="auto"/>
            <w:vAlign w:val="center"/>
            <w:hideMark/>
          </w:tcPr>
          <w:p w14:paraId="558A4183" w14:textId="77777777" w:rsidR="009436FC" w:rsidRPr="006F00A8" w:rsidRDefault="009436FC" w:rsidP="009436FC">
            <w:pPr>
              <w:jc w:val="center"/>
              <w:rPr>
                <w:rFonts w:ascii="Open Sans" w:eastAsia="Times New Roman" w:hAnsi="Open Sans" w:cs="Open Sans"/>
                <w:color w:val="000000"/>
                <w:sz w:val="20"/>
                <w:szCs w:val="20"/>
                <w:lang w:val="es-ES"/>
              </w:rPr>
            </w:pPr>
            <w:r w:rsidRPr="006F00A8">
              <w:rPr>
                <w:rFonts w:ascii="Open Sans" w:eastAsia="Times New Roman" w:hAnsi="Open Sans" w:cs="Open Sans"/>
                <w:color w:val="000000"/>
                <w:sz w:val="20"/>
                <w:szCs w:val="20"/>
                <w:lang w:val="es-ES"/>
              </w:rPr>
              <w:t>20</w:t>
            </w:r>
          </w:p>
        </w:tc>
      </w:tr>
    </w:tbl>
    <w:p w14:paraId="10EC8F2B" w14:textId="77777777" w:rsidR="00F7530E" w:rsidRDefault="00F7530E" w:rsidP="009130AF">
      <w:pPr>
        <w:jc w:val="both"/>
        <w:rPr>
          <w:rFonts w:ascii="Open Sans" w:hAnsi="Open Sans"/>
          <w:b/>
          <w:sz w:val="22"/>
          <w:szCs w:val="22"/>
        </w:rPr>
      </w:pPr>
    </w:p>
    <w:p w14:paraId="661BA065" w14:textId="68B77409" w:rsidR="009436FC" w:rsidRPr="00B72F2E" w:rsidRDefault="009436FC" w:rsidP="009436FC">
      <w:pPr>
        <w:jc w:val="both"/>
        <w:rPr>
          <w:rFonts w:ascii="Open Sans" w:hAnsi="Open Sans" w:cs="Open Sans"/>
          <w:sz w:val="20"/>
          <w:szCs w:val="20"/>
        </w:rPr>
      </w:pPr>
      <w:r>
        <w:rPr>
          <w:rFonts w:ascii="Open Sans" w:hAnsi="Open Sans" w:cs="Open Sans"/>
          <w:sz w:val="20"/>
          <w:szCs w:val="20"/>
        </w:rPr>
        <w:t xml:space="preserve">Como se puede ver en la tabla anterior, por número de sociedades dependientes domiciliadas, </w:t>
      </w:r>
      <w:r w:rsidRPr="00B72F2E">
        <w:rPr>
          <w:rFonts w:ascii="Open Sans" w:hAnsi="Open Sans" w:cs="Open Sans"/>
          <w:sz w:val="20"/>
          <w:szCs w:val="20"/>
        </w:rPr>
        <w:t xml:space="preserve">los paraísos </w:t>
      </w:r>
      <w:r w:rsidR="001B00B6" w:rsidRPr="00B72F2E">
        <w:rPr>
          <w:rFonts w:ascii="Open Sans" w:hAnsi="Open Sans" w:cs="Open Sans"/>
          <w:sz w:val="20"/>
          <w:szCs w:val="20"/>
        </w:rPr>
        <w:t xml:space="preserve">y nichos </w:t>
      </w:r>
      <w:r w:rsidRPr="00B72F2E">
        <w:rPr>
          <w:rFonts w:ascii="Open Sans" w:hAnsi="Open Sans" w:cs="Open Sans"/>
          <w:sz w:val="20"/>
          <w:szCs w:val="20"/>
        </w:rPr>
        <w:t xml:space="preserve">fiscales más </w:t>
      </w:r>
      <w:r w:rsidR="001B00B6" w:rsidRPr="00B72F2E">
        <w:rPr>
          <w:rFonts w:ascii="Open Sans" w:hAnsi="Open Sans" w:cs="Open Sans"/>
          <w:sz w:val="20"/>
          <w:szCs w:val="20"/>
        </w:rPr>
        <w:t xml:space="preserve">utilizados </w:t>
      </w:r>
      <w:r w:rsidRPr="00B72F2E">
        <w:rPr>
          <w:rFonts w:ascii="Open Sans" w:hAnsi="Open Sans" w:cs="Open Sans"/>
          <w:sz w:val="20"/>
          <w:szCs w:val="20"/>
        </w:rPr>
        <w:t>por las empresas d</w:t>
      </w:r>
      <w:r w:rsidR="00C045EF" w:rsidRPr="00B72F2E">
        <w:rPr>
          <w:rFonts w:ascii="Open Sans" w:hAnsi="Open Sans" w:cs="Open Sans"/>
          <w:sz w:val="20"/>
          <w:szCs w:val="20"/>
        </w:rPr>
        <w:t>el IBEX</w:t>
      </w:r>
      <w:r w:rsidR="00B72F2E">
        <w:rPr>
          <w:rFonts w:ascii="Open Sans" w:hAnsi="Open Sans" w:cs="Open Sans"/>
          <w:sz w:val="20"/>
          <w:szCs w:val="20"/>
        </w:rPr>
        <w:t xml:space="preserve"> </w:t>
      </w:r>
      <w:r w:rsidR="00C045EF" w:rsidRPr="00B72F2E">
        <w:rPr>
          <w:rFonts w:ascii="Open Sans" w:hAnsi="Open Sans" w:cs="Open Sans"/>
          <w:sz w:val="20"/>
          <w:szCs w:val="20"/>
        </w:rPr>
        <w:t>35 son: EEUU Delaware 463,</w:t>
      </w:r>
      <w:r w:rsidRPr="00B72F2E">
        <w:rPr>
          <w:rFonts w:ascii="Open Sans" w:hAnsi="Open Sans" w:cs="Open Sans"/>
          <w:sz w:val="20"/>
          <w:szCs w:val="20"/>
        </w:rPr>
        <w:t xml:space="preserve"> Holanda 169, Irlanda 110, Luxemburgo 81, Panamá 45, Hong Kong 33, Puerto Rico 31, Uruguay 29, Singapur 26 e Islas Cayman 23. </w:t>
      </w:r>
    </w:p>
    <w:p w14:paraId="46955BE6" w14:textId="77777777" w:rsidR="009436FC" w:rsidRDefault="009436FC" w:rsidP="009436FC">
      <w:pPr>
        <w:jc w:val="both"/>
        <w:rPr>
          <w:rFonts w:ascii="Open Sans" w:hAnsi="Open Sans" w:cs="Open Sans"/>
          <w:sz w:val="20"/>
          <w:szCs w:val="20"/>
        </w:rPr>
      </w:pPr>
    </w:p>
    <w:p w14:paraId="4CE52C6A" w14:textId="366F53AD" w:rsidR="009436FC" w:rsidRDefault="009436FC" w:rsidP="009436FC">
      <w:pPr>
        <w:jc w:val="both"/>
        <w:rPr>
          <w:rFonts w:ascii="Open Sans" w:hAnsi="Open Sans" w:cs="Open Sans"/>
          <w:sz w:val="20"/>
          <w:szCs w:val="20"/>
        </w:rPr>
      </w:pPr>
      <w:r w:rsidRPr="00F9690E">
        <w:rPr>
          <w:rFonts w:ascii="Open Sans" w:hAnsi="Open Sans" w:cs="Open Sans"/>
          <w:sz w:val="20"/>
          <w:szCs w:val="20"/>
        </w:rPr>
        <w:t>Evidentemente el número de sociedades es sólo un indicador que puede aportar algún indicio sobre el nivel de actividad desde estos territorios, si bien no se ha podido acceder a datos sobre el volumen de actividad de estas sociedades en términos económicos, por su facturación, gastos</w:t>
      </w:r>
      <w:r w:rsidR="001B00B6">
        <w:rPr>
          <w:rFonts w:ascii="Open Sans" w:hAnsi="Open Sans" w:cs="Open Sans"/>
          <w:sz w:val="20"/>
          <w:szCs w:val="20"/>
        </w:rPr>
        <w:t>, número de empleados</w:t>
      </w:r>
      <w:r w:rsidRPr="00F9690E">
        <w:rPr>
          <w:rFonts w:ascii="Open Sans" w:hAnsi="Open Sans" w:cs="Open Sans"/>
          <w:sz w:val="20"/>
          <w:szCs w:val="20"/>
        </w:rPr>
        <w:t xml:space="preserve"> o resultados del ejercicio.</w:t>
      </w:r>
    </w:p>
    <w:p w14:paraId="0EE5C3AA" w14:textId="77777777" w:rsidR="009436FC" w:rsidRDefault="009436FC" w:rsidP="009436FC">
      <w:pPr>
        <w:jc w:val="both"/>
        <w:rPr>
          <w:rFonts w:ascii="Open Sans" w:hAnsi="Open Sans" w:cs="Open Sans"/>
          <w:sz w:val="20"/>
          <w:szCs w:val="20"/>
        </w:rPr>
      </w:pPr>
    </w:p>
    <w:p w14:paraId="743B753D" w14:textId="511EE647" w:rsidR="009436FC" w:rsidRDefault="009436FC" w:rsidP="009436FC">
      <w:pPr>
        <w:jc w:val="both"/>
        <w:rPr>
          <w:rFonts w:ascii="Open Sans" w:hAnsi="Open Sans" w:cs="Open Sans"/>
          <w:sz w:val="20"/>
          <w:szCs w:val="20"/>
        </w:rPr>
      </w:pPr>
      <w:r>
        <w:rPr>
          <w:rFonts w:ascii="Open Sans" w:hAnsi="Open Sans" w:cs="Open Sans"/>
          <w:sz w:val="20"/>
          <w:szCs w:val="20"/>
        </w:rPr>
        <w:t>En 2015</w:t>
      </w:r>
      <w:r w:rsidR="001B00B6">
        <w:rPr>
          <w:rFonts w:ascii="Open Sans" w:hAnsi="Open Sans" w:cs="Open Sans"/>
          <w:sz w:val="20"/>
          <w:szCs w:val="20"/>
        </w:rPr>
        <w:t>,</w:t>
      </w:r>
      <w:r>
        <w:rPr>
          <w:rFonts w:ascii="Open Sans" w:hAnsi="Open Sans" w:cs="Open Sans"/>
          <w:sz w:val="20"/>
          <w:szCs w:val="20"/>
        </w:rPr>
        <w:t xml:space="preserve"> el número de sociedades dependientes de empresas del IBEX 35 domiciliad</w:t>
      </w:r>
      <w:r w:rsidR="00EE1193">
        <w:rPr>
          <w:rFonts w:ascii="Open Sans" w:hAnsi="Open Sans" w:cs="Open Sans"/>
          <w:sz w:val="20"/>
          <w:szCs w:val="20"/>
        </w:rPr>
        <w:t xml:space="preserve">as en </w:t>
      </w:r>
      <w:r w:rsidR="00EE1193" w:rsidRPr="00DF77A7">
        <w:rPr>
          <w:rFonts w:ascii="Open Sans" w:hAnsi="Open Sans" w:cs="Open Sans"/>
          <w:b/>
          <w:sz w:val="20"/>
          <w:szCs w:val="20"/>
        </w:rPr>
        <w:t>Delaware (EEUU)</w:t>
      </w:r>
      <w:r w:rsidR="00EE1193">
        <w:rPr>
          <w:rFonts w:ascii="Open Sans" w:hAnsi="Open Sans" w:cs="Open Sans"/>
          <w:sz w:val="20"/>
          <w:szCs w:val="20"/>
        </w:rPr>
        <w:t xml:space="preserve"> fue de 463</w:t>
      </w:r>
      <w:r>
        <w:rPr>
          <w:rFonts w:ascii="Open Sans" w:hAnsi="Open Sans" w:cs="Open Sans"/>
          <w:sz w:val="20"/>
          <w:szCs w:val="20"/>
        </w:rPr>
        <w:t>, más del doble de las identificadas en 2012 (194).</w:t>
      </w:r>
    </w:p>
    <w:p w14:paraId="280DABF5" w14:textId="77777777" w:rsidR="009436FC" w:rsidRDefault="009436FC" w:rsidP="009436FC">
      <w:pPr>
        <w:jc w:val="both"/>
        <w:rPr>
          <w:rFonts w:ascii="Open Sans" w:hAnsi="Open Sans" w:cs="Open Sans"/>
          <w:sz w:val="20"/>
          <w:szCs w:val="20"/>
        </w:rPr>
      </w:pPr>
    </w:p>
    <w:p w14:paraId="7FCB1A26" w14:textId="4541FC3E" w:rsidR="009436FC" w:rsidRDefault="00EE1193" w:rsidP="00B72F2E">
      <w:pPr>
        <w:jc w:val="both"/>
        <w:rPr>
          <w:rFonts w:ascii="Open Sans" w:hAnsi="Open Sans" w:cs="Open Sans"/>
          <w:sz w:val="20"/>
          <w:szCs w:val="20"/>
        </w:rPr>
      </w:pPr>
      <w:r w:rsidRPr="00B72F2E">
        <w:rPr>
          <w:rFonts w:ascii="Open Sans" w:hAnsi="Open Sans" w:cs="Open Sans"/>
          <w:sz w:val="20"/>
          <w:szCs w:val="20"/>
        </w:rPr>
        <w:t>De las 463</w:t>
      </w:r>
      <w:r w:rsidR="009436FC" w:rsidRPr="00B72F2E">
        <w:rPr>
          <w:rFonts w:ascii="Open Sans" w:hAnsi="Open Sans" w:cs="Open Sans"/>
          <w:sz w:val="20"/>
          <w:szCs w:val="20"/>
        </w:rPr>
        <w:t xml:space="preserve"> sociedades dependientes domiciliadas en Delaware, según el análisis realizado más del </w:t>
      </w:r>
      <w:r w:rsidRPr="00B72F2E">
        <w:rPr>
          <w:rFonts w:ascii="Open Sans" w:hAnsi="Open Sans" w:cs="Open Sans"/>
          <w:sz w:val="20"/>
          <w:szCs w:val="20"/>
        </w:rPr>
        <w:t>81</w:t>
      </w:r>
      <w:r w:rsidR="009436FC" w:rsidRPr="00B72F2E">
        <w:rPr>
          <w:rFonts w:ascii="Open Sans" w:hAnsi="Open Sans" w:cs="Open Sans"/>
          <w:sz w:val="20"/>
          <w:szCs w:val="20"/>
        </w:rPr>
        <w:t>% comparten las mismas dos direcciones postales en la pequeña ciudad de Wilmington (70.000 habitantes):</w:t>
      </w:r>
    </w:p>
    <w:p w14:paraId="13F14972" w14:textId="77777777" w:rsidR="009436FC" w:rsidRDefault="009436FC" w:rsidP="009436FC">
      <w:pPr>
        <w:jc w:val="both"/>
        <w:rPr>
          <w:rFonts w:ascii="Open Sans" w:hAnsi="Open Sans" w:cs="Open Sans"/>
          <w:sz w:val="20"/>
          <w:szCs w:val="20"/>
        </w:rPr>
      </w:pPr>
    </w:p>
    <w:p w14:paraId="2DB71360" w14:textId="77777777" w:rsidR="009436FC" w:rsidRDefault="009436FC" w:rsidP="009436FC">
      <w:pPr>
        <w:jc w:val="both"/>
        <w:rPr>
          <w:rFonts w:ascii="Open Sans" w:hAnsi="Open Sans" w:cs="Open Sans"/>
          <w:sz w:val="20"/>
          <w:szCs w:val="20"/>
        </w:rPr>
      </w:pPr>
    </w:p>
    <w:p w14:paraId="4BF0C490" w14:textId="77777777" w:rsidR="00197816" w:rsidRPr="007F2E24" w:rsidRDefault="00197816" w:rsidP="00197816">
      <w:pPr>
        <w:pStyle w:val="Prrafodelista"/>
        <w:numPr>
          <w:ilvl w:val="0"/>
          <w:numId w:val="111"/>
        </w:numPr>
        <w:suppressAutoHyphens/>
        <w:jc w:val="both"/>
        <w:rPr>
          <w:rFonts w:ascii="Open Sans" w:hAnsi="Open Sans" w:cs="Open Sans"/>
          <w:b/>
          <w:sz w:val="20"/>
          <w:szCs w:val="20"/>
          <w:u w:val="single"/>
          <w:lang w:val="en-GB"/>
        </w:rPr>
      </w:pPr>
      <w:r w:rsidRPr="00197816">
        <w:rPr>
          <w:rFonts w:ascii="Open Sans" w:hAnsi="Open Sans" w:cs="Open Sans"/>
          <w:b/>
          <w:bCs/>
          <w:sz w:val="20"/>
          <w:szCs w:val="20"/>
          <w:u w:val="single"/>
          <w:lang w:val="en-US"/>
        </w:rPr>
        <w:t>1209 Orange Street Wilmington, Delaware 19802 (Corporation Trust Center)</w:t>
      </w:r>
    </w:p>
    <w:p w14:paraId="0248AFF7" w14:textId="77777777" w:rsidR="00197816" w:rsidRDefault="00197816" w:rsidP="00197816">
      <w:pPr>
        <w:pStyle w:val="Prrafodelista"/>
        <w:suppressAutoHyphens/>
        <w:jc w:val="both"/>
        <w:rPr>
          <w:rFonts w:ascii="Open Sans" w:hAnsi="Open Sans" w:cs="Open Sans"/>
          <w:b/>
          <w:sz w:val="20"/>
          <w:szCs w:val="20"/>
          <w:u w:val="single"/>
          <w:lang w:val="en-US"/>
        </w:rPr>
      </w:pPr>
    </w:p>
    <w:p w14:paraId="61003708" w14:textId="77777777" w:rsidR="00197816" w:rsidRDefault="00197816" w:rsidP="00197816">
      <w:pPr>
        <w:suppressAutoHyphens/>
        <w:jc w:val="both"/>
        <w:rPr>
          <w:rFonts w:ascii="Open Sans" w:hAnsi="Open Sans" w:cs="Open Sans"/>
          <w:b/>
          <w:sz w:val="20"/>
          <w:szCs w:val="20"/>
          <w:u w:val="single"/>
          <w:lang w:val="en-US"/>
        </w:rPr>
      </w:pPr>
    </w:p>
    <w:p w14:paraId="647B49CB" w14:textId="77777777" w:rsidR="00197816" w:rsidRDefault="00197816" w:rsidP="00197816">
      <w:pPr>
        <w:suppressAutoHyphens/>
        <w:jc w:val="both"/>
        <w:rPr>
          <w:rFonts w:ascii="Open Sans" w:hAnsi="Open Sans" w:cs="Open Sans"/>
          <w:b/>
          <w:sz w:val="20"/>
          <w:szCs w:val="20"/>
          <w:u w:val="single"/>
          <w:lang w:val="en-US"/>
        </w:rPr>
      </w:pPr>
    </w:p>
    <w:p w14:paraId="0347F0A7" w14:textId="1F035168" w:rsidR="00197816" w:rsidRDefault="00197816" w:rsidP="00197816">
      <w:pPr>
        <w:suppressAutoHyphens/>
        <w:jc w:val="center"/>
        <w:rPr>
          <w:rFonts w:ascii="Open Sans" w:hAnsi="Open Sans" w:cs="Open Sans"/>
          <w:b/>
          <w:sz w:val="20"/>
          <w:szCs w:val="20"/>
          <w:u w:val="single"/>
          <w:lang w:val="en-US"/>
        </w:rPr>
      </w:pPr>
      <w:r w:rsidRPr="00197816">
        <w:rPr>
          <w:noProof/>
          <w:lang w:val="es-ES"/>
        </w:rPr>
        <w:drawing>
          <wp:inline distT="0" distB="0" distL="0" distR="0" wp14:anchorId="5D56BB93" wp14:editId="61F4C2BE">
            <wp:extent cx="3390071" cy="188087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390071" cy="1880870"/>
                    </a:xfrm>
                    <a:prstGeom prst="rect">
                      <a:avLst/>
                    </a:prstGeom>
                  </pic:spPr>
                </pic:pic>
              </a:graphicData>
            </a:graphic>
          </wp:inline>
        </w:drawing>
      </w:r>
    </w:p>
    <w:p w14:paraId="68CAEB7A" w14:textId="77777777" w:rsidR="00197816" w:rsidRDefault="00197816" w:rsidP="00197816">
      <w:pPr>
        <w:suppressAutoHyphens/>
        <w:jc w:val="both"/>
        <w:rPr>
          <w:rFonts w:ascii="Open Sans" w:hAnsi="Open Sans" w:cs="Open Sans"/>
          <w:b/>
          <w:sz w:val="20"/>
          <w:szCs w:val="20"/>
          <w:u w:val="single"/>
          <w:lang w:val="en-US"/>
        </w:rPr>
      </w:pPr>
    </w:p>
    <w:p w14:paraId="4BB89564" w14:textId="77777777" w:rsidR="00197816" w:rsidRDefault="00197816" w:rsidP="00197816">
      <w:pPr>
        <w:suppressAutoHyphens/>
        <w:jc w:val="both"/>
        <w:rPr>
          <w:rFonts w:ascii="Open Sans" w:hAnsi="Open Sans" w:cs="Open Sans"/>
          <w:b/>
          <w:sz w:val="20"/>
          <w:szCs w:val="20"/>
          <w:u w:val="single"/>
          <w:lang w:val="en-US"/>
        </w:rPr>
      </w:pPr>
    </w:p>
    <w:p w14:paraId="0F76A38E" w14:textId="77777777" w:rsidR="00B72F2E" w:rsidRDefault="00B72F2E" w:rsidP="00197816">
      <w:pPr>
        <w:suppressAutoHyphens/>
        <w:jc w:val="both"/>
        <w:rPr>
          <w:rFonts w:ascii="Open Sans" w:hAnsi="Open Sans" w:cs="Open Sans"/>
          <w:b/>
          <w:sz w:val="20"/>
          <w:szCs w:val="20"/>
          <w:u w:val="single"/>
          <w:lang w:val="en-US"/>
        </w:rPr>
      </w:pPr>
    </w:p>
    <w:p w14:paraId="539F0547" w14:textId="77777777" w:rsidR="00DF77A7" w:rsidRPr="00197816" w:rsidRDefault="00DF77A7" w:rsidP="00197816">
      <w:pPr>
        <w:suppressAutoHyphens/>
        <w:jc w:val="both"/>
        <w:rPr>
          <w:rFonts w:ascii="Open Sans" w:hAnsi="Open Sans" w:cs="Open Sans"/>
          <w:b/>
          <w:sz w:val="20"/>
          <w:szCs w:val="20"/>
          <w:u w:val="single"/>
          <w:lang w:val="en-US"/>
        </w:rPr>
      </w:pPr>
    </w:p>
    <w:p w14:paraId="636F0F2F" w14:textId="77777777" w:rsidR="009436FC" w:rsidRDefault="009436FC" w:rsidP="000B70C9">
      <w:pPr>
        <w:pStyle w:val="Prrafodelista"/>
        <w:numPr>
          <w:ilvl w:val="0"/>
          <w:numId w:val="111"/>
        </w:numPr>
        <w:suppressAutoHyphens/>
        <w:jc w:val="both"/>
        <w:rPr>
          <w:rFonts w:ascii="Open Sans" w:hAnsi="Open Sans" w:cs="Open Sans"/>
          <w:b/>
          <w:sz w:val="20"/>
          <w:szCs w:val="20"/>
          <w:u w:val="single"/>
          <w:lang w:val="en-US"/>
        </w:rPr>
      </w:pPr>
      <w:r>
        <w:rPr>
          <w:rFonts w:ascii="Open Sans" w:hAnsi="Open Sans" w:cs="Open Sans"/>
          <w:b/>
          <w:sz w:val="20"/>
          <w:szCs w:val="20"/>
          <w:u w:val="single"/>
          <w:lang w:val="en-US"/>
        </w:rPr>
        <w:t>2711 Centreville Road, Suite 400, Wilmington, Delaware, 19808, (Corporation Service Company)</w:t>
      </w:r>
    </w:p>
    <w:p w14:paraId="36A65897" w14:textId="77777777" w:rsidR="009436FC" w:rsidRDefault="009436FC" w:rsidP="009436FC">
      <w:pPr>
        <w:pStyle w:val="Prrafodelista"/>
        <w:suppressAutoHyphens/>
        <w:jc w:val="both"/>
        <w:rPr>
          <w:rFonts w:ascii="Open Sans" w:hAnsi="Open Sans" w:cs="Open Sans"/>
          <w:b/>
          <w:sz w:val="20"/>
          <w:szCs w:val="20"/>
          <w:u w:val="single"/>
          <w:lang w:val="en-US"/>
        </w:rPr>
      </w:pPr>
    </w:p>
    <w:p w14:paraId="26A15C85" w14:textId="77777777" w:rsidR="009436FC" w:rsidRDefault="009436FC" w:rsidP="009436FC">
      <w:pPr>
        <w:pStyle w:val="Prrafodelista"/>
        <w:rPr>
          <w:rFonts w:ascii="Open Sans" w:hAnsi="Open Sans" w:cs="Open Sans"/>
          <w:sz w:val="20"/>
          <w:szCs w:val="20"/>
          <w:lang w:val="en-US"/>
        </w:rPr>
      </w:pPr>
    </w:p>
    <w:p w14:paraId="17670E9F" w14:textId="77777777" w:rsidR="009436FC" w:rsidRDefault="009436FC" w:rsidP="009436FC">
      <w:pPr>
        <w:ind w:left="1416"/>
        <w:jc w:val="both"/>
        <w:rPr>
          <w:rFonts w:ascii="Open Sans" w:hAnsi="Open Sans" w:cs="Open Sans"/>
          <w:sz w:val="20"/>
          <w:szCs w:val="20"/>
          <w:lang w:val="en-US"/>
        </w:rPr>
      </w:pPr>
      <w:r>
        <w:rPr>
          <w:rFonts w:ascii="Open Sans" w:hAnsi="Open Sans" w:cs="Open Sans"/>
          <w:noProof/>
          <w:sz w:val="20"/>
          <w:szCs w:val="20"/>
          <w:lang w:val="es-ES"/>
        </w:rPr>
        <w:drawing>
          <wp:inline distT="0" distB="0" distL="0" distR="0" wp14:anchorId="287387D8" wp14:editId="2F20D656">
            <wp:extent cx="3328035" cy="2551866"/>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330916" cy="2554075"/>
                    </a:xfrm>
                    <a:prstGeom prst="rect">
                      <a:avLst/>
                    </a:prstGeom>
                    <a:noFill/>
                    <a:ln>
                      <a:noFill/>
                    </a:ln>
                  </pic:spPr>
                </pic:pic>
              </a:graphicData>
            </a:graphic>
          </wp:inline>
        </w:drawing>
      </w:r>
    </w:p>
    <w:p w14:paraId="67A894FE" w14:textId="77777777" w:rsidR="009436FC" w:rsidRDefault="009436FC" w:rsidP="009436FC">
      <w:pPr>
        <w:jc w:val="both"/>
        <w:rPr>
          <w:rFonts w:ascii="Open Sans" w:hAnsi="Open Sans" w:cs="Open Sans"/>
          <w:sz w:val="20"/>
          <w:szCs w:val="20"/>
        </w:rPr>
      </w:pPr>
    </w:p>
    <w:p w14:paraId="673E1456" w14:textId="169A4D10" w:rsidR="00DF77A7" w:rsidRDefault="00DF77A7">
      <w:pPr>
        <w:rPr>
          <w:rFonts w:ascii="Open Sans" w:hAnsi="Open Sans" w:cs="Open Sans"/>
          <w:sz w:val="20"/>
          <w:szCs w:val="20"/>
        </w:rPr>
      </w:pPr>
      <w:r>
        <w:rPr>
          <w:rFonts w:ascii="Open Sans" w:hAnsi="Open Sans" w:cs="Open Sans"/>
          <w:sz w:val="20"/>
          <w:szCs w:val="20"/>
        </w:rPr>
        <w:br w:type="page"/>
      </w:r>
    </w:p>
    <w:p w14:paraId="388B113D" w14:textId="77777777" w:rsidR="00DF77A7" w:rsidRDefault="00DF77A7" w:rsidP="009436FC">
      <w:pPr>
        <w:jc w:val="both"/>
        <w:rPr>
          <w:rFonts w:ascii="Open Sans" w:hAnsi="Open Sans" w:cs="Open Sans"/>
          <w:sz w:val="20"/>
          <w:szCs w:val="20"/>
        </w:rPr>
      </w:pPr>
    </w:p>
    <w:p w14:paraId="4968CD0F" w14:textId="76E2C081" w:rsidR="009436FC" w:rsidRDefault="009436FC" w:rsidP="009436FC">
      <w:pPr>
        <w:jc w:val="both"/>
        <w:rPr>
          <w:rFonts w:ascii="Open Sans" w:hAnsi="Open Sans" w:cs="Open Sans"/>
          <w:sz w:val="20"/>
          <w:szCs w:val="20"/>
        </w:rPr>
      </w:pPr>
      <w:r>
        <w:rPr>
          <w:rFonts w:ascii="Open Sans" w:hAnsi="Open Sans" w:cs="Open Sans"/>
          <w:sz w:val="20"/>
          <w:szCs w:val="20"/>
        </w:rPr>
        <w:t xml:space="preserve">El interés de las empresas analizadas por Delaware no decae como se puede observar en el caso de </w:t>
      </w:r>
      <w:r w:rsidR="00DF77A7">
        <w:rPr>
          <w:rFonts w:ascii="Open Sans" w:hAnsi="Open Sans" w:cs="Open Sans"/>
          <w:sz w:val="20"/>
          <w:szCs w:val="20"/>
        </w:rPr>
        <w:t>FERROVIAL</w:t>
      </w:r>
      <w:r>
        <w:rPr>
          <w:rFonts w:ascii="Open Sans" w:hAnsi="Open Sans" w:cs="Open Sans"/>
          <w:sz w:val="20"/>
          <w:szCs w:val="20"/>
        </w:rPr>
        <w:t xml:space="preserve"> que en 2014 afirmaba “se ha realizado un proceso de reestructuración societaria en Estados Unidos con la finalidad de agrupar bajo una única sociedad matriz el conjunto de las actividades del grupo en dicho país, lo que ha dado lugar a la creación del Grupo consolidado fiscal en Estados Unidos. Este grupo consolidado está formado por Ferrovial Holding US Corp, junto con las sociedades cabeceras de cada uno de los negocios en el país, que son Cintra Holding US Corp para autopistas, y Ferrovial Construction US Corp para construcción, y dependiendo de esta última, las sociedad Webber LLC y Ferrovial Agromán US Corp. El resto de sociedades dependientes de cada una de las mencionadas anteriormente, tributan en régimen de transparencia fiscal al porcentaje de participación con sus sociedades cabeceras, por lo que de esta forma sus resultados también se integran en el consolidado fiscal de Estados Unidos.” Estas sociedades matrices están precisamente localizadas en Orange Street 1209, Delaware, dirección que alberga cerca de 300.000 empresas</w:t>
      </w:r>
      <w:r>
        <w:rPr>
          <w:rStyle w:val="Refdenotaalpie"/>
          <w:rFonts w:ascii="Open Sans" w:hAnsi="Open Sans" w:cs="Open Sans"/>
          <w:sz w:val="20"/>
          <w:szCs w:val="20"/>
        </w:rPr>
        <w:footnoteReference w:id="97"/>
      </w:r>
      <w:r>
        <w:rPr>
          <w:rFonts w:ascii="Open Sans" w:hAnsi="Open Sans" w:cs="Open Sans"/>
          <w:sz w:val="20"/>
          <w:szCs w:val="20"/>
        </w:rPr>
        <w:t>.</w:t>
      </w:r>
    </w:p>
    <w:p w14:paraId="548F8ACB" w14:textId="77777777" w:rsidR="009436FC" w:rsidRDefault="009436FC" w:rsidP="009436FC">
      <w:pPr>
        <w:jc w:val="both"/>
        <w:rPr>
          <w:rFonts w:ascii="Open Sans" w:hAnsi="Open Sans" w:cs="Open Sans"/>
          <w:sz w:val="20"/>
          <w:szCs w:val="20"/>
        </w:rPr>
      </w:pPr>
    </w:p>
    <w:p w14:paraId="687392C4" w14:textId="77777777" w:rsidR="009436FC" w:rsidRDefault="009436FC" w:rsidP="009436FC">
      <w:pPr>
        <w:jc w:val="both"/>
        <w:rPr>
          <w:rFonts w:ascii="Open Sans" w:hAnsi="Open Sans" w:cs="Arial"/>
          <w:b/>
          <w:bCs/>
          <w:sz w:val="20"/>
          <w:szCs w:val="20"/>
        </w:rPr>
      </w:pPr>
      <w:r w:rsidRPr="00F9690E">
        <w:rPr>
          <w:rFonts w:ascii="Open Sans" w:hAnsi="Open Sans" w:cs="Arial"/>
          <w:bCs/>
          <w:sz w:val="20"/>
          <w:szCs w:val="20"/>
        </w:rPr>
        <w:t>SACYR durante el ejercicio 2014 y 2015 ha creado 4 nuevas sociedades con domicilio en Delaware (EEUU). Estas son: Sacyr Construcción USA LLC, Sacyr Environment USA LLC, Sacyr Industrial USA LLC y Sacyr Infraestructure USA LLC. No se ha encontrado ninguna información sobre ellas a excepción de la contenida en el anexo de cuentas anuales y su fecha de creación</w:t>
      </w:r>
      <w:r w:rsidRPr="00F9690E">
        <w:rPr>
          <w:rStyle w:val="Refdenotaalpie"/>
          <w:rFonts w:ascii="Open Sans" w:hAnsi="Open Sans" w:cs="Arial"/>
          <w:bCs/>
          <w:sz w:val="20"/>
          <w:szCs w:val="20"/>
        </w:rPr>
        <w:footnoteReference w:id="98"/>
      </w:r>
      <w:r w:rsidRPr="00F9690E">
        <w:rPr>
          <w:rFonts w:ascii="Open Sans" w:hAnsi="Open Sans" w:cs="Arial"/>
          <w:bCs/>
          <w:sz w:val="20"/>
          <w:szCs w:val="20"/>
        </w:rPr>
        <w:t>. Como anuncia Sacyr en su Estrategia 2015-2020 la expansión internacional es uno de los objetivos y se marca para el 2020 tener un posicionamiento geográfico muy reforzado en Estados Unidos</w:t>
      </w:r>
      <w:r w:rsidRPr="00F9690E">
        <w:rPr>
          <w:rStyle w:val="Refdenotaalpie"/>
          <w:rFonts w:ascii="Open Sans" w:hAnsi="Open Sans" w:cs="Arial"/>
          <w:bCs/>
          <w:sz w:val="20"/>
          <w:szCs w:val="20"/>
        </w:rPr>
        <w:footnoteReference w:id="99"/>
      </w:r>
      <w:r w:rsidRPr="00F9690E">
        <w:rPr>
          <w:rFonts w:ascii="Open Sans" w:hAnsi="Open Sans" w:cs="Arial"/>
          <w:bCs/>
          <w:sz w:val="20"/>
          <w:szCs w:val="20"/>
        </w:rPr>
        <w:t>. En la documentación analizada no hay ninguna información sobre la decisión de la apertura de estas filiales en Delaware. Sería importante esta información  para despejar cualquier duda sobre el posible aprovechamiento de las ventajas fiscales que presenta este territorio para las sociedades no residentes.</w:t>
      </w:r>
      <w:r w:rsidRPr="00F9690E">
        <w:rPr>
          <w:rStyle w:val="Refdenotaalpie"/>
          <w:rFonts w:ascii="Open Sans" w:hAnsi="Open Sans" w:cs="Arial"/>
          <w:bCs/>
          <w:sz w:val="20"/>
          <w:szCs w:val="20"/>
        </w:rPr>
        <w:footnoteReference w:id="100"/>
      </w:r>
      <w:r>
        <w:rPr>
          <w:rFonts w:ascii="Open Sans" w:hAnsi="Open Sans" w:cs="Arial"/>
          <w:bCs/>
          <w:sz w:val="20"/>
          <w:szCs w:val="20"/>
        </w:rPr>
        <w:t xml:space="preserve"> </w:t>
      </w:r>
    </w:p>
    <w:p w14:paraId="34D26237" w14:textId="77777777" w:rsidR="009436FC" w:rsidRDefault="009436FC" w:rsidP="009436FC">
      <w:pPr>
        <w:jc w:val="both"/>
        <w:rPr>
          <w:rFonts w:ascii="Open Sans" w:hAnsi="Open Sans" w:cs="Arial"/>
          <w:b/>
          <w:bCs/>
          <w:sz w:val="20"/>
          <w:szCs w:val="20"/>
        </w:rPr>
      </w:pPr>
    </w:p>
    <w:p w14:paraId="790B6206" w14:textId="77777777" w:rsidR="009436FC" w:rsidRPr="009D34FE" w:rsidRDefault="009436FC" w:rsidP="009436FC">
      <w:pPr>
        <w:jc w:val="both"/>
        <w:rPr>
          <w:rFonts w:ascii="Open Sans" w:hAnsi="Open Sans" w:cs="Open Sans"/>
          <w:sz w:val="20"/>
          <w:szCs w:val="20"/>
        </w:rPr>
      </w:pPr>
      <w:r>
        <w:rPr>
          <w:rFonts w:ascii="Open Sans" w:hAnsi="Open Sans" w:cs="Open Sans"/>
          <w:sz w:val="20"/>
          <w:szCs w:val="20"/>
        </w:rPr>
        <w:t xml:space="preserve">Es interesante observar como muchas empresas que tienen actividad en Estados Unidos (EEUU), o bien tienen dos domicilios, o bien operan directamente a través de una sociedad constituida en Delaware. A efectos de cómputo de sociedades para este análisis se han tenido en consideración las empresas domiciliadas en Delaware aunque realicen una actividad productiva o comercial en otro estado de EEUU. Las filiales que tiene ACS en </w:t>
      </w:r>
      <w:r w:rsidRPr="009D34FE">
        <w:rPr>
          <w:rFonts w:ascii="Open Sans" w:hAnsi="Open Sans" w:cs="Open Sans"/>
          <w:sz w:val="20"/>
          <w:szCs w:val="20"/>
        </w:rPr>
        <w:t xml:space="preserve">EEUU tienen una doble dirección. Por un lado la que aparece en las cuentas anuales y por otro un domicilio en </w:t>
      </w:r>
      <w:r w:rsidRPr="00DF77A7">
        <w:rPr>
          <w:rFonts w:ascii="Open Sans" w:hAnsi="Open Sans" w:cs="Open Sans"/>
          <w:sz w:val="20"/>
          <w:szCs w:val="20"/>
        </w:rPr>
        <w:t>Delaware</w:t>
      </w:r>
      <w:r w:rsidRPr="009D34FE">
        <w:rPr>
          <w:rFonts w:ascii="Open Sans" w:hAnsi="Open Sans" w:cs="Open Sans"/>
          <w:sz w:val="20"/>
          <w:szCs w:val="20"/>
        </w:rPr>
        <w:t>. Una mayor búsqueda a través de fuentes externas (bizipedia, opencorporates…), indican que se trata de filiales que aparecen al menos en dos domicilios, el de actividad y en Delaware, no teniendo aparentemente actividad operativa en este Estado.</w:t>
      </w:r>
    </w:p>
    <w:p w14:paraId="4B63D96C" w14:textId="77777777" w:rsidR="009436FC" w:rsidRDefault="009436FC" w:rsidP="009436FC">
      <w:pPr>
        <w:jc w:val="both"/>
        <w:rPr>
          <w:rFonts w:ascii="Open Sans" w:hAnsi="Open Sans" w:cs="Open Sans"/>
          <w:sz w:val="20"/>
          <w:szCs w:val="20"/>
        </w:rPr>
      </w:pPr>
    </w:p>
    <w:p w14:paraId="44BC772A" w14:textId="2EB3EDF4" w:rsidR="009436FC" w:rsidRDefault="009436FC" w:rsidP="009436FC">
      <w:pPr>
        <w:jc w:val="both"/>
        <w:rPr>
          <w:rFonts w:ascii="Open Sans" w:hAnsi="Open Sans" w:cs="Open Sans"/>
          <w:sz w:val="20"/>
          <w:szCs w:val="20"/>
        </w:rPr>
      </w:pPr>
      <w:r w:rsidRPr="009D34FE">
        <w:rPr>
          <w:rFonts w:ascii="Open Sans" w:hAnsi="Open Sans" w:cs="Open Sans"/>
          <w:sz w:val="20"/>
          <w:szCs w:val="20"/>
        </w:rPr>
        <w:t xml:space="preserve">En </w:t>
      </w:r>
      <w:r w:rsidRPr="00DF77A7">
        <w:rPr>
          <w:rFonts w:ascii="Open Sans" w:hAnsi="Open Sans" w:cs="Open Sans"/>
          <w:sz w:val="20"/>
          <w:szCs w:val="20"/>
        </w:rPr>
        <w:t>Delaware se han identificado un total de 49 sociedades dependientes de ACS</w:t>
      </w:r>
      <w:r w:rsidRPr="009D34FE">
        <w:rPr>
          <w:rFonts w:ascii="Open Sans" w:hAnsi="Open Sans" w:cs="Open Sans"/>
          <w:sz w:val="20"/>
          <w:szCs w:val="20"/>
        </w:rPr>
        <w:t xml:space="preserve">, 16 de las cuales comparten el domicilio de “2711 Centreville Road, Suite 400, Wilmington, Delaware 19808. </w:t>
      </w:r>
      <w:r w:rsidRPr="00E556BB">
        <w:rPr>
          <w:rFonts w:ascii="Open Sans" w:hAnsi="Open Sans" w:cs="Open Sans"/>
          <w:sz w:val="20"/>
          <w:szCs w:val="20"/>
          <w:lang w:val="en-GB"/>
        </w:rPr>
        <w:t>(EE. UU)” y 2</w:t>
      </w:r>
      <w:r w:rsidR="00EE1193">
        <w:rPr>
          <w:rFonts w:ascii="Open Sans" w:hAnsi="Open Sans" w:cs="Open Sans"/>
          <w:sz w:val="20"/>
          <w:szCs w:val="20"/>
          <w:lang w:val="en-GB"/>
        </w:rPr>
        <w:t>9</w:t>
      </w:r>
      <w:r w:rsidRPr="00E556BB">
        <w:rPr>
          <w:rFonts w:ascii="Open Sans" w:hAnsi="Open Sans" w:cs="Open Sans"/>
          <w:sz w:val="20"/>
          <w:szCs w:val="20"/>
          <w:lang w:val="en-GB"/>
        </w:rPr>
        <w:t xml:space="preserve"> la dirección postal “Corporation Trust Company, Corporation Trust Center, 1209 Orange Street.Wilmington New Castle. </w:t>
      </w:r>
      <w:r w:rsidRPr="009D34FE">
        <w:rPr>
          <w:rFonts w:ascii="Open Sans" w:hAnsi="Open Sans" w:cs="Open Sans"/>
          <w:sz w:val="20"/>
          <w:szCs w:val="20"/>
        </w:rPr>
        <w:t>Delaware 19801. Estados Unidos”. En este último domicilio de acuerdo con el New York Times hay domiciliadas más de 285.000 empresas</w:t>
      </w:r>
      <w:r w:rsidRPr="009D34FE">
        <w:rPr>
          <w:rStyle w:val="Refdenotaalpie"/>
          <w:rFonts w:ascii="Open Sans" w:hAnsi="Open Sans" w:cs="Open Sans"/>
          <w:sz w:val="20"/>
          <w:szCs w:val="20"/>
        </w:rPr>
        <w:footnoteReference w:id="101"/>
      </w:r>
      <w:r w:rsidRPr="009D34FE">
        <w:rPr>
          <w:rFonts w:ascii="Open Sans" w:hAnsi="Open Sans" w:cs="Open Sans"/>
          <w:sz w:val="20"/>
          <w:szCs w:val="20"/>
        </w:rPr>
        <w:t xml:space="preserve"> entre ellas Cocacola, Apple, Google, Bank of America, Ford, BBVA, Santander o General Electric.</w:t>
      </w:r>
    </w:p>
    <w:p w14:paraId="0D34712F" w14:textId="77777777" w:rsidR="009436FC" w:rsidRDefault="009436FC" w:rsidP="009436FC">
      <w:pPr>
        <w:jc w:val="both"/>
        <w:rPr>
          <w:rFonts w:ascii="Open Sans" w:hAnsi="Open Sans" w:cs="Open Sans"/>
          <w:sz w:val="20"/>
          <w:szCs w:val="20"/>
        </w:rPr>
      </w:pPr>
    </w:p>
    <w:p w14:paraId="2FE6D345" w14:textId="77777777" w:rsidR="009436FC" w:rsidRDefault="009436FC" w:rsidP="009436FC">
      <w:pPr>
        <w:jc w:val="both"/>
        <w:rPr>
          <w:rFonts w:ascii="Open Sans" w:hAnsi="Open Sans" w:cs="Open Sans"/>
          <w:sz w:val="20"/>
          <w:szCs w:val="20"/>
        </w:rPr>
      </w:pPr>
      <w:r w:rsidRPr="00DF77A7">
        <w:rPr>
          <w:rFonts w:ascii="Open Sans" w:hAnsi="Open Sans" w:cs="Open Sans"/>
          <w:sz w:val="20"/>
          <w:szCs w:val="20"/>
        </w:rPr>
        <w:t>GRIFOLS cuenta con 10 sociedades en Delaware</w:t>
      </w:r>
      <w:r>
        <w:rPr>
          <w:rFonts w:ascii="Open Sans" w:hAnsi="Open Sans" w:cs="Open Sans"/>
          <w:sz w:val="20"/>
          <w:szCs w:val="20"/>
        </w:rPr>
        <w:t xml:space="preserve"> (EEUU). </w:t>
      </w:r>
      <w:r w:rsidRPr="004C6F3F">
        <w:rPr>
          <w:rFonts w:ascii="Open Sans" w:hAnsi="Open Sans" w:cs="Open Sans"/>
          <w:sz w:val="20"/>
          <w:szCs w:val="20"/>
        </w:rPr>
        <w:t xml:space="preserve">En relación </w:t>
      </w:r>
      <w:r>
        <w:rPr>
          <w:rFonts w:ascii="Open Sans" w:hAnsi="Open Sans" w:cs="Open Sans"/>
          <w:sz w:val="20"/>
          <w:szCs w:val="20"/>
        </w:rPr>
        <w:t>a estas filiales en las cuentas anuales figura como sede otras localizaciones de EEUU, sin embargo a través de fuentes externas</w:t>
      </w:r>
      <w:r>
        <w:rPr>
          <w:rStyle w:val="Refdenotaalpie"/>
          <w:rFonts w:ascii="Open Sans" w:hAnsi="Open Sans" w:cs="Open Sans"/>
          <w:sz w:val="20"/>
          <w:szCs w:val="20"/>
        </w:rPr>
        <w:footnoteReference w:id="102"/>
      </w:r>
      <w:r>
        <w:rPr>
          <w:rFonts w:ascii="Open Sans" w:hAnsi="Open Sans" w:cs="Open Sans"/>
          <w:sz w:val="20"/>
          <w:szCs w:val="20"/>
        </w:rPr>
        <w:t xml:space="preserve"> también se han identificado que se encuentran dadas de alta en Delaware. Así por ejemplo en el caso de Biomat SA, PlasmaCare y Talecris Plasma Resources (empresas que gestionan la obtención de plasma a través de centros de donaciones en todo EEUU) las tres aparecen con filiales en Delaware sin embargo en el listado de centros de donaciones no existe ninguno en esta jurisdicción</w:t>
      </w:r>
      <w:r>
        <w:rPr>
          <w:rStyle w:val="Refdenotaalpie"/>
          <w:rFonts w:ascii="Open Sans" w:hAnsi="Open Sans" w:cs="Open Sans"/>
          <w:sz w:val="20"/>
          <w:szCs w:val="20"/>
        </w:rPr>
        <w:footnoteReference w:id="103"/>
      </w:r>
      <w:r>
        <w:rPr>
          <w:rFonts w:ascii="Open Sans" w:hAnsi="Open Sans" w:cs="Open Sans"/>
          <w:sz w:val="20"/>
          <w:szCs w:val="20"/>
        </w:rPr>
        <w:t xml:space="preserve">. Además la empresa Talecris Plasma Resources de Delaware aparece como la compañía de control del resto de filiales.  Para el resto de sociedades la operativa es similar, pues aparecen en numerosas jurisdicciones en EEUU donde tiene operativa y siempre existe otra abierta en Delaware, </w:t>
      </w:r>
      <w:r w:rsidRPr="004C6F3F">
        <w:rPr>
          <w:rFonts w:ascii="Open Sans" w:hAnsi="Open Sans" w:cs="Open Sans"/>
          <w:sz w:val="20"/>
          <w:szCs w:val="20"/>
        </w:rPr>
        <w:t>no teniendo aparentemente actividad operativa en este estado.</w:t>
      </w:r>
    </w:p>
    <w:p w14:paraId="4543C493" w14:textId="77777777" w:rsidR="009436FC" w:rsidRDefault="009436FC" w:rsidP="009436FC">
      <w:pPr>
        <w:jc w:val="both"/>
        <w:rPr>
          <w:rFonts w:ascii="Open Sans" w:hAnsi="Open Sans" w:cs="Open Sans"/>
          <w:sz w:val="20"/>
          <w:szCs w:val="20"/>
        </w:rPr>
      </w:pPr>
    </w:p>
    <w:p w14:paraId="53D91251" w14:textId="77777777" w:rsidR="009436FC" w:rsidRDefault="009436FC" w:rsidP="009436FC">
      <w:pPr>
        <w:pStyle w:val="NormalWeb"/>
        <w:jc w:val="both"/>
        <w:rPr>
          <w:rFonts w:ascii="Open Sans" w:hAnsi="Open Sans" w:cs="Open Sans"/>
        </w:rPr>
      </w:pPr>
      <w:r w:rsidRPr="00532858">
        <w:rPr>
          <w:rFonts w:ascii="Open Sans" w:eastAsiaTheme="minorEastAsia" w:hAnsi="Open Sans" w:cs="Open Sans"/>
          <w:sz w:val="20"/>
          <w:szCs w:val="20"/>
          <w:lang w:val="es-ES_tradnl"/>
        </w:rPr>
        <w:t>En relación a Grifols Shared Services North America, Inc. (antes Grifols, Inc.), si bien la nueva denominación no aparece en Delaware se ha localizado a Grifols Inc en dos registros diferentes en Delaware, una filial con apertura en el año 2003 y la otra en 2012. No hay mayor información al respecto, solo que Grifols Shared Services North America, Inc. es la cabecera del grupo fiscal en EEUU</w:t>
      </w:r>
      <w:r>
        <w:rPr>
          <w:rStyle w:val="Refdenotaalpie"/>
          <w:rFonts w:ascii="Open Sans" w:hAnsi="Open Sans" w:cs="Open Sans"/>
        </w:rPr>
        <w:footnoteReference w:id="104"/>
      </w:r>
      <w:r>
        <w:rPr>
          <w:rFonts w:ascii="Open Sans" w:hAnsi="Open Sans" w:cs="Open Sans"/>
        </w:rPr>
        <w:t xml:space="preserve">. </w:t>
      </w:r>
    </w:p>
    <w:p w14:paraId="49A0A23D" w14:textId="77777777" w:rsidR="009436FC" w:rsidRDefault="009436FC" w:rsidP="009436FC">
      <w:pPr>
        <w:jc w:val="both"/>
        <w:rPr>
          <w:rFonts w:ascii="Open Sans" w:hAnsi="Open Sans" w:cs="Open Sans"/>
          <w:sz w:val="20"/>
          <w:szCs w:val="20"/>
        </w:rPr>
      </w:pPr>
    </w:p>
    <w:p w14:paraId="327CDED2" w14:textId="77777777" w:rsidR="009436FC" w:rsidRPr="009436FC" w:rsidRDefault="009436FC" w:rsidP="009436FC">
      <w:pPr>
        <w:jc w:val="both"/>
        <w:rPr>
          <w:rFonts w:ascii="Open Sans" w:hAnsi="Open Sans" w:cs="Arial"/>
          <w:bCs/>
          <w:sz w:val="20"/>
          <w:szCs w:val="20"/>
        </w:rPr>
      </w:pPr>
      <w:r w:rsidRPr="009436FC">
        <w:rPr>
          <w:rFonts w:ascii="Open Sans" w:hAnsi="Open Sans" w:cs="Arial"/>
          <w:bCs/>
          <w:sz w:val="20"/>
          <w:szCs w:val="20"/>
        </w:rPr>
        <w:t>OHL cuenta con 6 filiales en Delaware (EEUU). Estas filiales figuran en el Anexo II de las cuentas anuales pero domiciliadas en otras direcciones de EEUU. A través de fuentes externas</w:t>
      </w:r>
      <w:r w:rsidRPr="009436FC">
        <w:rPr>
          <w:rFonts w:ascii="Open Sans" w:hAnsi="Open Sans"/>
          <w:sz w:val="20"/>
          <w:szCs w:val="20"/>
          <w:vertAlign w:val="superscript"/>
        </w:rPr>
        <w:footnoteReference w:id="105"/>
      </w:r>
      <w:r w:rsidRPr="009436FC">
        <w:rPr>
          <w:rFonts w:ascii="Open Sans" w:hAnsi="Open Sans" w:cs="Arial"/>
          <w:bCs/>
          <w:sz w:val="20"/>
          <w:szCs w:val="20"/>
        </w:rPr>
        <w:t xml:space="preserve"> se han localizado estas mismas filiales domiciliadas también en Delaware. Estas empresas en EEUU están registradas en diferentes estados debido a que la legislación norteamericana les exige estar registradas en cada estado donde quieran tener actividad. Sin embargo no se ha identificado que OHL tenga actividad operativa en el estado de Delaware.</w:t>
      </w:r>
    </w:p>
    <w:p w14:paraId="7B7CDDE6" w14:textId="77777777" w:rsidR="009436FC" w:rsidRPr="009436FC" w:rsidRDefault="009436FC" w:rsidP="009436FC">
      <w:pPr>
        <w:jc w:val="both"/>
        <w:rPr>
          <w:rFonts w:ascii="Open Sans" w:hAnsi="Open Sans" w:cs="Arial"/>
          <w:bCs/>
          <w:sz w:val="20"/>
          <w:szCs w:val="20"/>
        </w:rPr>
      </w:pPr>
    </w:p>
    <w:p w14:paraId="0059C8EE" w14:textId="77777777" w:rsidR="009436FC" w:rsidRPr="00DF77A7" w:rsidRDefault="009436FC" w:rsidP="009436FC">
      <w:pPr>
        <w:tabs>
          <w:tab w:val="left" w:pos="709"/>
        </w:tabs>
        <w:jc w:val="both"/>
        <w:rPr>
          <w:rFonts w:ascii="Open Sans" w:hAnsi="Open Sans" w:cs="Open Sans"/>
          <w:sz w:val="20"/>
          <w:szCs w:val="20"/>
        </w:rPr>
      </w:pPr>
      <w:r w:rsidRPr="009436FC">
        <w:rPr>
          <w:rFonts w:ascii="Open Sans" w:hAnsi="Open Sans" w:cs="Open Sans"/>
          <w:sz w:val="20"/>
          <w:szCs w:val="20"/>
        </w:rPr>
        <w:t xml:space="preserve">ABERTIS cuenta con cuatro filiales en EEUU que, tras la verificación de sus datos en fuentes como opencorporates.com, se encuentran al menos en dos domicilios, siendo uno de ellos el de actividad y el otro </w:t>
      </w:r>
      <w:r w:rsidRPr="00DF77A7">
        <w:rPr>
          <w:rFonts w:ascii="Open Sans" w:hAnsi="Open Sans" w:cs="Open Sans"/>
          <w:sz w:val="20"/>
          <w:szCs w:val="20"/>
        </w:rPr>
        <w:t>Delaware, no teniendo aparentemente actividad operativa en este emplazamiento. Estas son: Consultek Inc., Abertis USA Corp., TBI Overseas (Bolivia) LLC, TBI Overseas (UK) LLC.</w:t>
      </w:r>
    </w:p>
    <w:p w14:paraId="0F7DF60E" w14:textId="77777777" w:rsidR="009436FC" w:rsidRDefault="009436FC" w:rsidP="009436FC">
      <w:pPr>
        <w:jc w:val="both"/>
        <w:rPr>
          <w:rFonts w:cs="Arial"/>
          <w:b/>
          <w:sz w:val="20"/>
          <w:szCs w:val="20"/>
        </w:rPr>
      </w:pPr>
    </w:p>
    <w:p w14:paraId="6E553546" w14:textId="77777777" w:rsidR="009436FC" w:rsidRDefault="009436FC" w:rsidP="009436FC">
      <w:pPr>
        <w:jc w:val="both"/>
        <w:rPr>
          <w:rFonts w:ascii="Open Sans" w:hAnsi="Open Sans" w:cs="Arial"/>
          <w:bCs/>
          <w:sz w:val="20"/>
          <w:szCs w:val="20"/>
        </w:rPr>
      </w:pPr>
      <w:r w:rsidRPr="009436FC">
        <w:rPr>
          <w:rFonts w:ascii="Open Sans" w:hAnsi="Open Sans" w:cs="Arial"/>
          <w:bCs/>
          <w:sz w:val="20"/>
          <w:szCs w:val="20"/>
        </w:rPr>
        <w:t xml:space="preserve">Con las filiales con sede en EEUU de FCC </w:t>
      </w:r>
      <w:r>
        <w:rPr>
          <w:rFonts w:ascii="Open Sans" w:hAnsi="Open Sans" w:cs="Arial"/>
          <w:bCs/>
          <w:sz w:val="20"/>
          <w:szCs w:val="20"/>
        </w:rPr>
        <w:t xml:space="preserve">se ha procedido, al igual que en otros casos, a realizar búsquedas en portales especializados en corporaciones para identificar la ubicación exacta de su domicilio, puesto que pese a tener el Grupo operaciones en diversos estados de EEUU, Delaware tiene la consideración de nicho fiscal. Mediante la mencionada búsqueda se ha podido comprobar que </w:t>
      </w:r>
      <w:r w:rsidRPr="00DF77A7">
        <w:rPr>
          <w:rFonts w:ascii="Open Sans" w:hAnsi="Open Sans" w:cs="Arial"/>
          <w:bCs/>
          <w:sz w:val="20"/>
          <w:szCs w:val="20"/>
        </w:rPr>
        <w:t>FCC Environmental Services, Llc está domiciliada en Delaware, teniendo a su vez 3 empresas subsidiarias en estados en los que tiene actividad,</w:t>
      </w:r>
      <w:r>
        <w:rPr>
          <w:rFonts w:ascii="Open Sans" w:hAnsi="Open Sans" w:cs="Arial"/>
          <w:bCs/>
          <w:sz w:val="20"/>
          <w:szCs w:val="20"/>
        </w:rPr>
        <w:t xml:space="preserve"> mientras que para Delaware no ha podido ser encontrada mención alguna a proyectos u operaciones en la documentación analizada. Importante es el hecho de la prelación temporal de inscripción de estas sociedades, siendo la primera </w:t>
      </w:r>
      <w:r w:rsidRPr="00F32899">
        <w:rPr>
          <w:rFonts w:ascii="Open Sans" w:hAnsi="Open Sans" w:cs="Arial"/>
          <w:bCs/>
          <w:sz w:val="20"/>
          <w:szCs w:val="20"/>
        </w:rPr>
        <w:t>FCC Environmental Services, Llc</w:t>
      </w:r>
      <w:r>
        <w:rPr>
          <w:rFonts w:ascii="Open Sans" w:hAnsi="Open Sans" w:cs="Arial"/>
          <w:bCs/>
          <w:sz w:val="20"/>
          <w:szCs w:val="20"/>
        </w:rPr>
        <w:t xml:space="preserve">, domiciliada en </w:t>
      </w:r>
      <w:r w:rsidRPr="00F32899">
        <w:rPr>
          <w:rFonts w:ascii="Open Sans" w:hAnsi="Open Sans" w:cs="Arial"/>
          <w:bCs/>
          <w:sz w:val="20"/>
          <w:szCs w:val="20"/>
        </w:rPr>
        <w:t>Wilmington</w:t>
      </w:r>
      <w:r>
        <w:rPr>
          <w:rFonts w:ascii="Open Sans" w:hAnsi="Open Sans" w:cs="Arial"/>
          <w:bCs/>
          <w:sz w:val="20"/>
          <w:szCs w:val="20"/>
        </w:rPr>
        <w:t>, Delaware, y el resto inscribiéndose con posterioridad a ésta de la que dependen.</w:t>
      </w:r>
    </w:p>
    <w:p w14:paraId="55E9C3DB" w14:textId="77777777" w:rsidR="009436FC" w:rsidRDefault="009436FC" w:rsidP="009436FC">
      <w:pPr>
        <w:jc w:val="both"/>
        <w:rPr>
          <w:rFonts w:ascii="Open Sans" w:hAnsi="Open Sans" w:cs="Open Sans"/>
          <w:sz w:val="20"/>
          <w:szCs w:val="20"/>
        </w:rPr>
      </w:pPr>
    </w:p>
    <w:p w14:paraId="040B9D87" w14:textId="77777777" w:rsidR="009436FC" w:rsidRDefault="009436FC" w:rsidP="009436FC">
      <w:pPr>
        <w:jc w:val="both"/>
        <w:rPr>
          <w:rFonts w:ascii="Open Sans" w:hAnsi="Open Sans" w:cs="Open Sans"/>
          <w:sz w:val="20"/>
          <w:szCs w:val="20"/>
        </w:rPr>
      </w:pPr>
      <w:r w:rsidRPr="00DF77A7">
        <w:rPr>
          <w:rFonts w:ascii="Open Sans" w:hAnsi="Open Sans" w:cs="Open Sans"/>
          <w:sz w:val="20"/>
          <w:szCs w:val="20"/>
        </w:rPr>
        <w:t>Según un artículo publicado por el New York Times el 30 de junio de 2012</w:t>
      </w:r>
      <w:r w:rsidRPr="00DF77A7">
        <w:rPr>
          <w:rStyle w:val="Refdenotaalpie"/>
          <w:rFonts w:ascii="Open Sans" w:hAnsi="Open Sans" w:cs="Open Sans"/>
          <w:sz w:val="20"/>
          <w:szCs w:val="20"/>
        </w:rPr>
        <w:footnoteReference w:id="106"/>
      </w:r>
      <w:r w:rsidRPr="00DF77A7">
        <w:rPr>
          <w:rFonts w:ascii="Open Sans" w:hAnsi="Open Sans" w:cs="Open Sans"/>
          <w:sz w:val="20"/>
          <w:szCs w:val="20"/>
        </w:rPr>
        <w:t>, en este domicilio de Delaware, edificio de una planta</w:t>
      </w:r>
      <w:r w:rsidRPr="00DF77A7">
        <w:rPr>
          <w:rStyle w:val="Refdenotaalpie"/>
          <w:rFonts w:ascii="Open Sans" w:hAnsi="Open Sans" w:cs="Open Sans"/>
          <w:sz w:val="20"/>
          <w:szCs w:val="20"/>
        </w:rPr>
        <w:footnoteReference w:id="107"/>
      </w:r>
      <w:r w:rsidRPr="00DF77A7">
        <w:rPr>
          <w:rFonts w:ascii="Open Sans" w:hAnsi="Open Sans" w:cs="Open Sans"/>
          <w:sz w:val="20"/>
          <w:szCs w:val="20"/>
        </w:rPr>
        <w:t xml:space="preserve"> (foto superior), estaban registradas más de 285.00 empresas.</w:t>
      </w:r>
      <w:r>
        <w:rPr>
          <w:rFonts w:ascii="Open Sans" w:hAnsi="Open Sans" w:cs="Open Sans"/>
          <w:sz w:val="20"/>
          <w:szCs w:val="20"/>
        </w:rPr>
        <w:t xml:space="preserve"> Y añade que un 60% de las empresas del listado Forbes 500 tienen domiciliada alguna empresa en este domicilio, entre ellas American Airlines, Apple, Bank of America, Berkshire Hathaway, Cargill, Coca-Cola, Ford, General Electric, Google, JPMorgan Chase, y Wal-Mart. En el último recuento, Delaware tenía más entidades jurídicas, públicas y privadas, que personas, 945.326 frente a 897.934</w:t>
      </w:r>
      <w:r>
        <w:rPr>
          <w:rStyle w:val="Refdenotaalpie"/>
          <w:rFonts w:ascii="Open Sans" w:hAnsi="Open Sans" w:cs="Open Sans"/>
          <w:sz w:val="20"/>
          <w:szCs w:val="20"/>
        </w:rPr>
        <w:footnoteReference w:id="108"/>
      </w:r>
      <w:r>
        <w:rPr>
          <w:rFonts w:ascii="Open Sans" w:hAnsi="Open Sans" w:cs="Open Sans"/>
          <w:sz w:val="20"/>
          <w:szCs w:val="20"/>
        </w:rPr>
        <w:t>. CT Corporation, el agente registrado para 1209 North Orange Street representa casi un tercio de todas las empresas registradas en Delaware. Las razones para domiciliar empresas en Delaware pueden ser diversas, entre ellas están:</w:t>
      </w:r>
    </w:p>
    <w:p w14:paraId="4CA6E5E9" w14:textId="77777777" w:rsidR="009436FC" w:rsidRDefault="009436FC" w:rsidP="009436FC">
      <w:pPr>
        <w:jc w:val="both"/>
        <w:rPr>
          <w:rFonts w:ascii="Open Sans" w:hAnsi="Open Sans" w:cs="Open Sans"/>
          <w:sz w:val="20"/>
          <w:szCs w:val="20"/>
        </w:rPr>
      </w:pPr>
    </w:p>
    <w:p w14:paraId="39CEF961" w14:textId="77777777" w:rsidR="009436FC" w:rsidRDefault="009436FC" w:rsidP="000B70C9">
      <w:pPr>
        <w:pStyle w:val="Prrafodelista"/>
        <w:numPr>
          <w:ilvl w:val="0"/>
          <w:numId w:val="111"/>
        </w:numPr>
        <w:jc w:val="both"/>
        <w:rPr>
          <w:rStyle w:val="apple-converted-space"/>
        </w:rPr>
      </w:pPr>
      <w:r>
        <w:rPr>
          <w:rFonts w:ascii="Open Sans" w:hAnsi="Open Sans" w:cs="Open Sans"/>
          <w:sz w:val="20"/>
          <w:szCs w:val="20"/>
        </w:rPr>
        <w:t>Si la empresa tiene actividad en algún otro estado de EEUU puede contribuir según un artículo del New York Times a reducir la cantidad de impuestos a pagar, en los círculos fiscales se le llama “the Delaware loophole” o la escapatoria Delaware</w:t>
      </w:r>
      <w:r>
        <w:rPr>
          <w:rStyle w:val="apple-converted-space"/>
          <w:rFonts w:ascii="Open Sans" w:hAnsi="Open Sans" w:cs="Open Sans"/>
          <w:color w:val="000000"/>
          <w:sz w:val="20"/>
          <w:szCs w:val="20"/>
          <w:shd w:val="clear" w:color="auto" w:fill="FFFFFF"/>
        </w:rPr>
        <w:t>.</w:t>
      </w:r>
    </w:p>
    <w:p w14:paraId="5441E0FE" w14:textId="77777777" w:rsidR="009436FC" w:rsidRDefault="009436FC" w:rsidP="000B70C9">
      <w:pPr>
        <w:pStyle w:val="Prrafodelista"/>
        <w:numPr>
          <w:ilvl w:val="0"/>
          <w:numId w:val="111"/>
        </w:numPr>
        <w:jc w:val="both"/>
      </w:pPr>
      <w:r>
        <w:rPr>
          <w:rFonts w:ascii="Open Sans" w:hAnsi="Open Sans" w:cs="Open Sans"/>
          <w:sz w:val="20"/>
          <w:szCs w:val="20"/>
        </w:rPr>
        <w:t>Se puede crear una sociedad en un día y sin estar físicamente allí</w:t>
      </w:r>
      <w:r>
        <w:rPr>
          <w:rStyle w:val="Refdenotaalpie"/>
          <w:rFonts w:ascii="Open Sans" w:hAnsi="Open Sans" w:cs="Open Sans"/>
          <w:sz w:val="20"/>
          <w:szCs w:val="20"/>
        </w:rPr>
        <w:footnoteReference w:id="109"/>
      </w:r>
      <w:r>
        <w:rPr>
          <w:rFonts w:ascii="Open Sans" w:hAnsi="Open Sans" w:cs="Open Sans"/>
          <w:sz w:val="20"/>
          <w:szCs w:val="20"/>
        </w:rPr>
        <w:t>.</w:t>
      </w:r>
    </w:p>
    <w:p w14:paraId="7E61598B" w14:textId="77777777" w:rsidR="009436FC" w:rsidRDefault="009436FC" w:rsidP="000B70C9">
      <w:pPr>
        <w:pStyle w:val="Prrafodelista"/>
        <w:numPr>
          <w:ilvl w:val="0"/>
          <w:numId w:val="111"/>
        </w:numPr>
        <w:jc w:val="both"/>
        <w:rPr>
          <w:rFonts w:ascii="Open Sans" w:hAnsi="Open Sans" w:cs="Open Sans"/>
          <w:sz w:val="20"/>
          <w:szCs w:val="20"/>
        </w:rPr>
      </w:pPr>
      <w:r>
        <w:rPr>
          <w:rFonts w:ascii="Open Sans" w:hAnsi="Open Sans" w:cs="Open Sans"/>
          <w:sz w:val="20"/>
          <w:szCs w:val="20"/>
        </w:rPr>
        <w:t>Existe secreto de privacidad de los propietarios incluso en los registros públicos de EEUU.</w:t>
      </w:r>
    </w:p>
    <w:p w14:paraId="77B53190" w14:textId="77777777" w:rsidR="009436FC" w:rsidRDefault="009436FC" w:rsidP="000B70C9">
      <w:pPr>
        <w:pStyle w:val="Prrafodelista"/>
        <w:numPr>
          <w:ilvl w:val="0"/>
          <w:numId w:val="111"/>
        </w:numPr>
        <w:jc w:val="both"/>
        <w:rPr>
          <w:rFonts w:ascii="Open Sans" w:hAnsi="Open Sans" w:cs="Open Sans"/>
          <w:sz w:val="20"/>
          <w:szCs w:val="20"/>
        </w:rPr>
      </w:pPr>
      <w:r>
        <w:rPr>
          <w:rFonts w:ascii="Open Sans" w:hAnsi="Open Sans" w:cs="Open Sans"/>
          <w:sz w:val="20"/>
          <w:szCs w:val="20"/>
        </w:rPr>
        <w:t>Si la compañía no tiene actividad en Delaware no tiene que pagar impuestos</w:t>
      </w:r>
      <w:r>
        <w:rPr>
          <w:rStyle w:val="Refdenotaalpie"/>
          <w:rFonts w:ascii="Open Sans" w:hAnsi="Open Sans" w:cs="Open Sans"/>
          <w:sz w:val="20"/>
          <w:szCs w:val="20"/>
        </w:rPr>
        <w:footnoteReference w:id="110"/>
      </w:r>
      <w:r>
        <w:rPr>
          <w:rFonts w:ascii="Open Sans" w:hAnsi="Open Sans" w:cs="Open Sans"/>
          <w:sz w:val="20"/>
          <w:szCs w:val="20"/>
        </w:rPr>
        <w:t>.</w:t>
      </w:r>
    </w:p>
    <w:p w14:paraId="7D3B5C1E" w14:textId="77777777" w:rsidR="009436FC" w:rsidRDefault="009436FC" w:rsidP="009436FC">
      <w:pPr>
        <w:jc w:val="both"/>
        <w:rPr>
          <w:rFonts w:ascii="Open Sans" w:hAnsi="Open Sans" w:cs="Open Sans"/>
          <w:sz w:val="20"/>
          <w:szCs w:val="20"/>
        </w:rPr>
      </w:pPr>
    </w:p>
    <w:p w14:paraId="6949E002" w14:textId="77777777" w:rsidR="009436FC" w:rsidRDefault="009436FC" w:rsidP="009436FC">
      <w:pPr>
        <w:jc w:val="both"/>
        <w:rPr>
          <w:rFonts w:ascii="Open Sans" w:hAnsi="Open Sans" w:cs="Open Sans"/>
          <w:sz w:val="20"/>
          <w:szCs w:val="20"/>
        </w:rPr>
      </w:pPr>
      <w:r>
        <w:rPr>
          <w:rFonts w:ascii="Open Sans" w:hAnsi="Open Sans" w:cs="Open Sans"/>
          <w:sz w:val="20"/>
          <w:szCs w:val="20"/>
        </w:rPr>
        <w:t>Cerca de la mitad de las corporaciones públicas en  los US están incorporadas en Delaware, y en un último recuento (datos de 2012) Delaware tenía más corporaciones –públicas y privadas-  que personas, 945,326 frente a 897,934 personas.</w:t>
      </w:r>
    </w:p>
    <w:p w14:paraId="5223A955" w14:textId="77777777" w:rsidR="009436FC" w:rsidRDefault="009436FC" w:rsidP="009436FC">
      <w:pPr>
        <w:jc w:val="both"/>
        <w:rPr>
          <w:rFonts w:ascii="Open Sans" w:hAnsi="Open Sans" w:cs="Open Sans"/>
          <w:sz w:val="20"/>
          <w:szCs w:val="20"/>
        </w:rPr>
      </w:pPr>
    </w:p>
    <w:p w14:paraId="3D23FE57" w14:textId="064D654D" w:rsidR="009436FC" w:rsidRDefault="009436FC" w:rsidP="009436FC">
      <w:pPr>
        <w:jc w:val="both"/>
        <w:rPr>
          <w:rFonts w:ascii="Open Sans" w:hAnsi="Open Sans" w:cs="Open Sans"/>
          <w:sz w:val="20"/>
          <w:szCs w:val="20"/>
        </w:rPr>
      </w:pPr>
      <w:r>
        <w:rPr>
          <w:rFonts w:ascii="Open Sans" w:hAnsi="Open Sans" w:cs="Open Sans"/>
          <w:bCs/>
          <w:sz w:val="20"/>
          <w:szCs w:val="20"/>
          <w:shd w:val="clear" w:color="auto" w:fill="FAFAFA"/>
        </w:rPr>
        <w:t>Según Pollack (2014), Delaware permite a las empresas</w:t>
      </w:r>
      <w:r>
        <w:rPr>
          <w:rFonts w:ascii="Open Sans" w:hAnsi="Open Sans" w:cs="Open Sans"/>
          <w:b/>
          <w:bCs/>
          <w:sz w:val="20"/>
          <w:szCs w:val="20"/>
          <w:shd w:val="clear" w:color="auto" w:fill="FAFAFA"/>
        </w:rPr>
        <w:t xml:space="preserve"> </w:t>
      </w:r>
      <w:r>
        <w:rPr>
          <w:rFonts w:ascii="Open Sans" w:hAnsi="Open Sans" w:cs="Open Sans"/>
          <w:sz w:val="20"/>
          <w:szCs w:val="20"/>
        </w:rPr>
        <w:t>trasladar sus royalties y otros ingresos similares a sus compañías filiales en Delaware, donde esas ganancias están exentas de tributación. El funcionamiento es sencillo, una corporación situada físicamente y que desarrolla sus actividades en otro Estado americano (por ejemplo Pennsylvania) crea una holding de inversiones en Delaware y le otorga todos sus bienes intangibles (propiedad intelectual, patentes, marcas, nombres de marca…). Estos bienes intangibles pasan a ser propiedad de la subsidiaria de Delaware y entonces la matriz de Pennsylvania mueve los beneficios a su subsidiaria en Delaware que está exenta de pagar tasas por el derecho de uso de  la propiedad intelectual.</w:t>
      </w:r>
      <w:r>
        <w:rPr>
          <w:rStyle w:val="Refdenotaalpie"/>
          <w:rFonts w:ascii="Open Sans" w:hAnsi="Open Sans" w:cs="Open Sans"/>
          <w:sz w:val="20"/>
          <w:szCs w:val="20"/>
        </w:rPr>
        <w:footnoteReference w:id="111"/>
      </w:r>
      <w:r>
        <w:rPr>
          <w:rFonts w:ascii="Open Sans" w:hAnsi="Open Sans" w:cs="Open Sans"/>
          <w:sz w:val="20"/>
          <w:szCs w:val="20"/>
        </w:rPr>
        <w:t xml:space="preserve"> En los círculo</w:t>
      </w:r>
      <w:r w:rsidR="007F55EB">
        <w:rPr>
          <w:rFonts w:ascii="Open Sans" w:hAnsi="Open Sans" w:cs="Open Sans"/>
          <w:sz w:val="20"/>
          <w:szCs w:val="20"/>
        </w:rPr>
        <w:t>s financieros,  a esta estrategi</w:t>
      </w:r>
      <w:r>
        <w:rPr>
          <w:rFonts w:ascii="Open Sans" w:hAnsi="Open Sans" w:cs="Open Sans"/>
          <w:sz w:val="20"/>
          <w:szCs w:val="20"/>
        </w:rPr>
        <w:t>a  se la conoce como “el limbo de Delaware” o “Delaware loophole”.</w:t>
      </w:r>
    </w:p>
    <w:p w14:paraId="28E12EFE" w14:textId="77777777" w:rsidR="009436FC" w:rsidRDefault="009436FC" w:rsidP="009436FC">
      <w:pPr>
        <w:jc w:val="both"/>
        <w:rPr>
          <w:rFonts w:ascii="Open Sans" w:hAnsi="Open Sans" w:cs="Open Sans"/>
          <w:sz w:val="20"/>
          <w:szCs w:val="20"/>
        </w:rPr>
      </w:pPr>
    </w:p>
    <w:p w14:paraId="61D48284" w14:textId="77777777" w:rsidR="009436FC" w:rsidRPr="00EE1193" w:rsidRDefault="009436FC" w:rsidP="009436FC">
      <w:pPr>
        <w:jc w:val="both"/>
        <w:rPr>
          <w:rFonts w:ascii="Open Sans" w:hAnsi="Open Sans" w:cs="Open Sans"/>
          <w:sz w:val="20"/>
          <w:szCs w:val="20"/>
          <w:u w:val="single"/>
        </w:rPr>
      </w:pPr>
      <w:r w:rsidRPr="009436FC">
        <w:rPr>
          <w:rFonts w:ascii="Open Sans" w:hAnsi="Open Sans" w:cs="Open Sans"/>
          <w:b/>
          <w:sz w:val="20"/>
          <w:szCs w:val="20"/>
        </w:rPr>
        <w:t>Holanda</w:t>
      </w:r>
      <w:r>
        <w:rPr>
          <w:rFonts w:ascii="Open Sans" w:hAnsi="Open Sans" w:cs="Open Sans"/>
          <w:sz w:val="20"/>
          <w:szCs w:val="20"/>
        </w:rPr>
        <w:t xml:space="preserve"> es el segundo país preferido por las empresas analizadas para sus sociedades financieras y/o instrumentales. Tal es el caso </w:t>
      </w:r>
      <w:r w:rsidRPr="00DF77A7">
        <w:rPr>
          <w:rFonts w:ascii="Open Sans" w:hAnsi="Open Sans" w:cs="Open Sans"/>
          <w:sz w:val="20"/>
          <w:szCs w:val="20"/>
        </w:rPr>
        <w:t>de FCC que no tiene operaciones en Holanda (como viene recogido en su web corporativa “presencia en el mundo”, y en su Informe de RSC), pero sin embargo cuenta con seis sociedades establecidas allí:</w:t>
      </w:r>
    </w:p>
    <w:p w14:paraId="309FDD4B" w14:textId="77777777" w:rsidR="009436FC" w:rsidRDefault="009436FC" w:rsidP="009436FC">
      <w:pPr>
        <w:jc w:val="both"/>
        <w:rPr>
          <w:rFonts w:ascii="Open Sans" w:hAnsi="Open Sans" w:cs="Open Sans"/>
          <w:sz w:val="20"/>
          <w:szCs w:val="20"/>
        </w:rPr>
      </w:pPr>
    </w:p>
    <w:p w14:paraId="7FF949D4" w14:textId="77777777" w:rsidR="009436FC" w:rsidRDefault="009436FC" w:rsidP="009436FC">
      <w:pPr>
        <w:jc w:val="both"/>
        <w:rPr>
          <w:rFonts w:ascii="Open Sans" w:hAnsi="Open Sans" w:cs="Open Sans"/>
          <w:sz w:val="20"/>
          <w:szCs w:val="20"/>
          <w:lang w:val="en-GB"/>
        </w:rPr>
      </w:pPr>
      <w:r>
        <w:rPr>
          <w:rFonts w:ascii="Open Sans" w:hAnsi="Open Sans" w:cs="Open Sans"/>
          <w:sz w:val="20"/>
          <w:szCs w:val="20"/>
          <w:lang w:val="en-GB"/>
        </w:rPr>
        <w:t>- Aqualia New Europe B.V.</w:t>
      </w:r>
    </w:p>
    <w:p w14:paraId="19924414" w14:textId="77777777" w:rsidR="009436FC" w:rsidRDefault="009436FC" w:rsidP="009436FC">
      <w:pPr>
        <w:jc w:val="both"/>
        <w:rPr>
          <w:rFonts w:ascii="Open Sans" w:hAnsi="Open Sans" w:cs="Open Sans"/>
          <w:sz w:val="20"/>
          <w:szCs w:val="20"/>
          <w:lang w:val="en-GB"/>
        </w:rPr>
      </w:pPr>
      <w:r>
        <w:rPr>
          <w:rFonts w:ascii="Open Sans" w:hAnsi="Open Sans" w:cs="Open Sans"/>
          <w:sz w:val="20"/>
          <w:szCs w:val="20"/>
          <w:lang w:val="en-GB"/>
        </w:rPr>
        <w:t>- Aqua Management Solutions B.V.</w:t>
      </w:r>
    </w:p>
    <w:p w14:paraId="1B4A62B3" w14:textId="77777777" w:rsidR="009436FC" w:rsidRDefault="009436FC" w:rsidP="009436FC">
      <w:pPr>
        <w:jc w:val="both"/>
        <w:rPr>
          <w:rFonts w:ascii="Open Sans" w:hAnsi="Open Sans" w:cs="Open Sans"/>
          <w:sz w:val="20"/>
          <w:szCs w:val="20"/>
          <w:lang w:val="en-GB"/>
        </w:rPr>
      </w:pPr>
      <w:r>
        <w:rPr>
          <w:rFonts w:ascii="Open Sans" w:hAnsi="Open Sans" w:cs="Open Sans"/>
          <w:sz w:val="20"/>
          <w:szCs w:val="20"/>
          <w:lang w:val="en-GB"/>
        </w:rPr>
        <w:t>- FCC Construction International B.V.</w:t>
      </w:r>
    </w:p>
    <w:p w14:paraId="0FB91FAF" w14:textId="77777777" w:rsidR="009436FC" w:rsidRDefault="009436FC" w:rsidP="009436FC">
      <w:pPr>
        <w:jc w:val="both"/>
        <w:rPr>
          <w:rFonts w:ascii="Open Sans" w:hAnsi="Open Sans" w:cs="Open Sans"/>
          <w:sz w:val="20"/>
          <w:szCs w:val="20"/>
          <w:lang w:val="en-GB"/>
        </w:rPr>
      </w:pPr>
      <w:r>
        <w:rPr>
          <w:rFonts w:ascii="Open Sans" w:hAnsi="Open Sans" w:cs="Open Sans"/>
          <w:sz w:val="20"/>
          <w:szCs w:val="20"/>
          <w:lang w:val="en-GB"/>
        </w:rPr>
        <w:t>- PPP Infraestructure Investments B.V.</w:t>
      </w:r>
    </w:p>
    <w:p w14:paraId="4C0127F5" w14:textId="77777777" w:rsidR="009436FC" w:rsidRDefault="009436FC" w:rsidP="009436FC">
      <w:pPr>
        <w:jc w:val="both"/>
        <w:rPr>
          <w:rFonts w:ascii="Open Sans" w:hAnsi="Open Sans" w:cs="Open Sans"/>
          <w:sz w:val="20"/>
          <w:szCs w:val="20"/>
          <w:lang w:val="en-GB"/>
        </w:rPr>
      </w:pPr>
      <w:r>
        <w:rPr>
          <w:rFonts w:ascii="Open Sans" w:hAnsi="Open Sans" w:cs="Open Sans"/>
          <w:sz w:val="20"/>
          <w:szCs w:val="20"/>
          <w:lang w:val="en-GB"/>
        </w:rPr>
        <w:t>- Uniland International B.V.</w:t>
      </w:r>
    </w:p>
    <w:p w14:paraId="6366C25C" w14:textId="77777777" w:rsidR="009436FC" w:rsidRDefault="009436FC" w:rsidP="009436FC">
      <w:pPr>
        <w:jc w:val="both"/>
        <w:rPr>
          <w:rFonts w:ascii="Open Sans" w:hAnsi="Open Sans" w:cs="Open Sans"/>
          <w:sz w:val="20"/>
          <w:szCs w:val="20"/>
          <w:lang w:val="en-GB"/>
        </w:rPr>
      </w:pPr>
      <w:r>
        <w:rPr>
          <w:rFonts w:ascii="Open Sans" w:hAnsi="Open Sans" w:cs="Open Sans"/>
          <w:sz w:val="20"/>
          <w:szCs w:val="20"/>
          <w:lang w:val="en-GB"/>
        </w:rPr>
        <w:t>- Uniland Trading B.V.</w:t>
      </w:r>
    </w:p>
    <w:p w14:paraId="783B33E3" w14:textId="77777777" w:rsidR="009436FC" w:rsidRDefault="009436FC" w:rsidP="009436FC">
      <w:pPr>
        <w:jc w:val="both"/>
        <w:rPr>
          <w:rFonts w:ascii="Open Sans" w:hAnsi="Open Sans" w:cs="Open Sans"/>
          <w:sz w:val="20"/>
          <w:szCs w:val="20"/>
          <w:lang w:val="en-US"/>
        </w:rPr>
      </w:pPr>
    </w:p>
    <w:p w14:paraId="1BE6E876" w14:textId="77777777" w:rsidR="009436FC" w:rsidRDefault="009436FC" w:rsidP="009436FC">
      <w:pPr>
        <w:jc w:val="both"/>
        <w:rPr>
          <w:rFonts w:ascii="Open Sans" w:hAnsi="Open Sans" w:cs="Open Sans"/>
          <w:sz w:val="20"/>
          <w:szCs w:val="20"/>
        </w:rPr>
      </w:pPr>
      <w:r w:rsidRPr="002800FF">
        <w:rPr>
          <w:rFonts w:ascii="Open Sans" w:hAnsi="Open Sans" w:cs="Open Sans"/>
          <w:sz w:val="20"/>
          <w:szCs w:val="20"/>
        </w:rPr>
        <w:t>En el caso de Holanda según un estudio de “Volkskrant “. De las 100 mayores empresas del mundo 91 operan en los Países Bajos. Al menos 60 utilizan la ruta Dutch puramente por evasión de impuestos y en otras 17 empresas existe una fuerte sospecha de atajos fiscales</w:t>
      </w:r>
      <w:r w:rsidRPr="002800FF">
        <w:rPr>
          <w:rStyle w:val="Refdenotaalpie"/>
          <w:rFonts w:ascii="Open Sans" w:hAnsi="Open Sans" w:cs="Open Sans"/>
          <w:sz w:val="20"/>
          <w:szCs w:val="20"/>
        </w:rPr>
        <w:footnoteReference w:id="112"/>
      </w:r>
      <w:r w:rsidRPr="002800FF">
        <w:rPr>
          <w:rFonts w:ascii="Open Sans" w:hAnsi="Open Sans" w:cs="Open Sans"/>
          <w:sz w:val="20"/>
          <w:szCs w:val="20"/>
        </w:rPr>
        <w:t>.</w:t>
      </w:r>
    </w:p>
    <w:p w14:paraId="0470C326" w14:textId="77777777" w:rsidR="009436FC" w:rsidRDefault="009436FC" w:rsidP="009436FC">
      <w:pPr>
        <w:jc w:val="both"/>
        <w:rPr>
          <w:rFonts w:ascii="Open Sans" w:hAnsi="Open Sans" w:cs="Open Sans"/>
          <w:sz w:val="20"/>
          <w:szCs w:val="20"/>
        </w:rPr>
      </w:pPr>
    </w:p>
    <w:p w14:paraId="64C02DC6" w14:textId="77777777" w:rsidR="009436FC" w:rsidRDefault="009436FC" w:rsidP="009436FC">
      <w:pPr>
        <w:jc w:val="both"/>
        <w:rPr>
          <w:rFonts w:ascii="Open Sans" w:hAnsi="Open Sans" w:cs="Open Sans"/>
          <w:sz w:val="20"/>
          <w:szCs w:val="20"/>
        </w:rPr>
      </w:pPr>
      <w:r w:rsidRPr="00DF77A7">
        <w:rPr>
          <w:rFonts w:ascii="Open Sans" w:hAnsi="Open Sans" w:cs="Open Sans"/>
          <w:sz w:val="20"/>
          <w:szCs w:val="20"/>
        </w:rPr>
        <w:t xml:space="preserve">Otro de los territorios en donde aparecen un mayor número de sociedades participadas es </w:t>
      </w:r>
      <w:r w:rsidRPr="00DF77A7">
        <w:rPr>
          <w:rFonts w:ascii="Open Sans" w:hAnsi="Open Sans" w:cs="Open Sans"/>
          <w:b/>
          <w:sz w:val="20"/>
          <w:szCs w:val="20"/>
        </w:rPr>
        <w:t>Luxemburgo</w:t>
      </w:r>
      <w:r w:rsidRPr="00DF77A7">
        <w:rPr>
          <w:rFonts w:ascii="Open Sans" w:hAnsi="Open Sans" w:cs="Open Sans"/>
          <w:sz w:val="20"/>
          <w:szCs w:val="20"/>
        </w:rPr>
        <w:t>. En 2014 ha saltado a la luz el caso de “Lukleaks”.</w:t>
      </w:r>
      <w:r>
        <w:rPr>
          <w:rFonts w:ascii="Open Sans" w:hAnsi="Open Sans" w:cs="Open Sans"/>
          <w:sz w:val="20"/>
          <w:szCs w:val="20"/>
        </w:rPr>
        <w:t xml:space="preserve"> Este es un caso de investigación transnacional, en la que han participado periodistas de al menos 26 países, mediante la cual se revelaron documentos secretos en los que supuestamente la autoridad tributaria de Luxemburgo pactaba con multinacionales (más de 370 según algunos medios de prensa) el desvío de beneficios al gran ducado, y de esta manera pagar menos impuestos en los países donde residen u operan. Las conocidas como “Big Four”, es decir, las auditoras PWC, Deloitte, E&amp;Y, y KPMG ayudaron a las empresas a eludir impuestos según “El Confidencial”</w:t>
      </w:r>
      <w:r>
        <w:rPr>
          <w:rStyle w:val="Refdenotaalpie"/>
          <w:rFonts w:ascii="Open Sans" w:hAnsi="Open Sans" w:cs="Open Sans"/>
          <w:sz w:val="20"/>
          <w:szCs w:val="20"/>
        </w:rPr>
        <w:footnoteReference w:id="113"/>
      </w:r>
      <w:r>
        <w:rPr>
          <w:rFonts w:ascii="Open Sans" w:hAnsi="Open Sans" w:cs="Open Sans"/>
          <w:sz w:val="20"/>
          <w:szCs w:val="20"/>
        </w:rPr>
        <w:t>, contribuyendo a la firma de este tipo de acuerdos elaborando diferentes esquemas que permitían ese desvío de beneficios. Los acuerdos pueden denominarse “tax rulings”, y son documentos privados en los que una empresa acuerda con la administración tributaria de un país (Luxemburgo en este caso) cuánto y cómo pagar impuestos. Según el mismo medio, en la mayoría de los casos, alrededor de un 1%</w:t>
      </w:r>
      <w:r>
        <w:rPr>
          <w:rStyle w:val="Refdenotaalpie"/>
          <w:rFonts w:ascii="Open Sans" w:hAnsi="Open Sans" w:cs="Open Sans"/>
          <w:sz w:val="20"/>
          <w:szCs w:val="20"/>
        </w:rPr>
        <w:footnoteReference w:id="114"/>
      </w:r>
      <w:r>
        <w:rPr>
          <w:rFonts w:ascii="Open Sans" w:hAnsi="Open Sans" w:cs="Open Sans"/>
          <w:sz w:val="20"/>
          <w:szCs w:val="20"/>
        </w:rPr>
        <w:t xml:space="preserve">. Además, para evadir impuestos en Luxemburgo, se utilizan básicamente tres métodos: creación de filiales que desvían el beneficio por dividendos a la matriz, por pago de intereses a la matriz (Que les presta dinero supuestamente para operar) y mediante el pago de altos royalties. Ninguna empresa española aparece en estos registros aunque de acuerdo con el diario el confidencial </w:t>
      </w:r>
      <w:r>
        <w:rPr>
          <w:rStyle w:val="Refdenotaalpie"/>
          <w:rFonts w:ascii="Open Sans" w:hAnsi="Open Sans" w:cs="Open Sans"/>
          <w:sz w:val="20"/>
          <w:szCs w:val="20"/>
        </w:rPr>
        <w:footnoteReference w:id="115"/>
      </w:r>
      <w:r>
        <w:rPr>
          <w:rFonts w:ascii="Open Sans" w:hAnsi="Open Sans" w:cs="Open Sans"/>
          <w:sz w:val="20"/>
          <w:szCs w:val="20"/>
        </w:rPr>
        <w:t xml:space="preserve"> Deloitte y E&amp;Y serían los responsables del esquema por el que los fondos Cinven y BC Partners eludieron el pago de impuestos por 1600 millones de € tras comprar la compañía en una OPA de exclusión sobre la empresa Amadeus y venderla posteriormente mediante una OPV que la valoraba en prácticamente el doble que en la exclusión. Ese dinero no pagó impuestos en España, sino que se transfirió a Luxemburgo mediante una estructura denominada Amadelux, que Deloitte creó para ambos fondos en 2005 para canalizar su inversión en Amadeus. En ese país tampoco es que tributasen demasiado, porque el acuerdo contempla que las ganancias de capital estarán exentas de impuestos, y considera que el grueso de sus ingresos se consideraría pago de intereses de la financiación concedida por otras sociedades luxemburguesas, por lo que no había plusvalías. Un tax ruling posterior establece un margen del 0.01% de los ingresos de Amadelux como sujetos a tributación en Luxemburgo. Sería una pequeña tasa a cambio de acceder a este tipo de acuerdos tan ventajosos.</w:t>
      </w:r>
    </w:p>
    <w:p w14:paraId="3BA9026F" w14:textId="77777777" w:rsidR="009436FC" w:rsidRDefault="009436FC" w:rsidP="009436FC">
      <w:pPr>
        <w:jc w:val="both"/>
        <w:rPr>
          <w:rFonts w:ascii="Open Sans" w:hAnsi="Open Sans" w:cs="Open Sans"/>
          <w:sz w:val="20"/>
          <w:szCs w:val="20"/>
        </w:rPr>
      </w:pPr>
    </w:p>
    <w:p w14:paraId="5DCF3FAD" w14:textId="77777777" w:rsidR="009436FC" w:rsidRDefault="009436FC" w:rsidP="009436FC">
      <w:pPr>
        <w:jc w:val="both"/>
        <w:rPr>
          <w:rFonts w:ascii="Open Sans" w:hAnsi="Open Sans" w:cs="Open Sans"/>
          <w:sz w:val="20"/>
          <w:szCs w:val="20"/>
        </w:rPr>
      </w:pPr>
      <w:r>
        <w:rPr>
          <w:rFonts w:ascii="Open Sans" w:hAnsi="Open Sans" w:cs="Open Sans"/>
          <w:sz w:val="20"/>
          <w:szCs w:val="20"/>
        </w:rPr>
        <w:t>Según el diario “El economista”</w:t>
      </w:r>
      <w:r>
        <w:rPr>
          <w:rStyle w:val="Refdenotaalpie"/>
          <w:rFonts w:ascii="Open Sans" w:hAnsi="Open Sans" w:cs="Open Sans"/>
          <w:sz w:val="20"/>
          <w:szCs w:val="20"/>
        </w:rPr>
        <w:footnoteReference w:id="116"/>
      </w:r>
      <w:r>
        <w:rPr>
          <w:rFonts w:ascii="Open Sans" w:hAnsi="Open Sans" w:cs="Open Sans"/>
          <w:sz w:val="20"/>
          <w:szCs w:val="20"/>
        </w:rPr>
        <w:t>, una dirección alberga a 1.600 compañías según los documentos revelados. Se trata del número 5 de la calle Guillaume Kroll, un edificio de 4 plantas.</w:t>
      </w:r>
    </w:p>
    <w:p w14:paraId="72CACA81" w14:textId="77777777" w:rsidR="009436FC" w:rsidRDefault="009436FC" w:rsidP="009436FC">
      <w:pPr>
        <w:jc w:val="both"/>
        <w:rPr>
          <w:rFonts w:ascii="Open Sans" w:hAnsi="Open Sans" w:cs="Open Sans"/>
          <w:sz w:val="20"/>
          <w:szCs w:val="20"/>
        </w:rPr>
      </w:pPr>
    </w:p>
    <w:p w14:paraId="68C79DF6" w14:textId="77777777" w:rsidR="009436FC" w:rsidRDefault="009436FC" w:rsidP="009436FC">
      <w:pPr>
        <w:jc w:val="center"/>
        <w:rPr>
          <w:rFonts w:ascii="Open Sans" w:hAnsi="Open Sans" w:cs="Open Sans"/>
          <w:sz w:val="20"/>
          <w:szCs w:val="20"/>
        </w:rPr>
      </w:pPr>
      <w:r>
        <w:rPr>
          <w:rFonts w:ascii="Open Sans" w:hAnsi="Open Sans" w:cs="Open Sans"/>
          <w:noProof/>
          <w:sz w:val="20"/>
          <w:szCs w:val="20"/>
          <w:lang w:val="es-ES"/>
        </w:rPr>
        <w:drawing>
          <wp:inline distT="0" distB="0" distL="0" distR="0" wp14:anchorId="76390AC0" wp14:editId="46D47AE1">
            <wp:extent cx="4486276" cy="1446878"/>
            <wp:effectExtent l="0" t="0" r="0" b="127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4484694" cy="1446368"/>
                    </a:xfrm>
                    <a:prstGeom prst="rect">
                      <a:avLst/>
                    </a:prstGeom>
                    <a:noFill/>
                    <a:ln>
                      <a:noFill/>
                    </a:ln>
                  </pic:spPr>
                </pic:pic>
              </a:graphicData>
            </a:graphic>
          </wp:inline>
        </w:drawing>
      </w:r>
    </w:p>
    <w:p w14:paraId="4D03E42C" w14:textId="77777777" w:rsidR="009436FC" w:rsidRDefault="009436FC" w:rsidP="009436FC">
      <w:pPr>
        <w:jc w:val="both"/>
        <w:rPr>
          <w:rFonts w:ascii="Open Sans" w:hAnsi="Open Sans" w:cs="Open Sans"/>
          <w:sz w:val="20"/>
          <w:szCs w:val="20"/>
        </w:rPr>
      </w:pPr>
    </w:p>
    <w:p w14:paraId="259804CA" w14:textId="77777777" w:rsidR="009436FC" w:rsidRDefault="009436FC" w:rsidP="009436FC">
      <w:pPr>
        <w:jc w:val="both"/>
        <w:rPr>
          <w:rFonts w:ascii="Open Sans" w:hAnsi="Open Sans" w:cs="Open Sans"/>
          <w:sz w:val="20"/>
          <w:szCs w:val="20"/>
        </w:rPr>
      </w:pPr>
    </w:p>
    <w:p w14:paraId="295544DA" w14:textId="77777777" w:rsidR="009436FC" w:rsidRDefault="009436FC" w:rsidP="009436FC">
      <w:pPr>
        <w:jc w:val="both"/>
        <w:rPr>
          <w:rFonts w:ascii="Open Sans" w:hAnsi="Open Sans" w:cs="Open Sans"/>
          <w:sz w:val="20"/>
          <w:szCs w:val="20"/>
        </w:rPr>
      </w:pPr>
      <w:r>
        <w:rPr>
          <w:rFonts w:ascii="Open Sans" w:hAnsi="Open Sans" w:cs="Open Sans"/>
          <w:sz w:val="20"/>
          <w:szCs w:val="20"/>
        </w:rPr>
        <w:t>No es el único medio que recoge esta situación. También el diario “El País” lo menciona</w:t>
      </w:r>
      <w:r>
        <w:rPr>
          <w:rStyle w:val="Refdenotaalpie"/>
          <w:rFonts w:ascii="Open Sans" w:hAnsi="Open Sans" w:cs="Open Sans"/>
          <w:sz w:val="20"/>
          <w:szCs w:val="20"/>
        </w:rPr>
        <w:footnoteReference w:id="117"/>
      </w:r>
      <w:r>
        <w:rPr>
          <w:rFonts w:ascii="Open Sans" w:hAnsi="Open Sans" w:cs="Open Sans"/>
          <w:sz w:val="20"/>
          <w:szCs w:val="20"/>
        </w:rPr>
        <w:t>, y añade que lejos de ser una excepción, cerca de la estación de tren hay un edificio que alberga 1450 empresas en seis plantas. Y en la avenida John F. Kennedy otro edificio es sede de 1300 empresas. Algunos de estos edificios, siempre según “El País”, están situados muy cerca de las sedes de otras protagonistas del caso, como Pricewaterhousecoopers (PWC).</w:t>
      </w:r>
    </w:p>
    <w:p w14:paraId="473F2301" w14:textId="77777777" w:rsidR="009436FC" w:rsidRDefault="009436FC" w:rsidP="009436FC">
      <w:pPr>
        <w:jc w:val="both"/>
        <w:rPr>
          <w:rFonts w:ascii="Open Sans" w:hAnsi="Open Sans" w:cs="Open Sans"/>
          <w:sz w:val="20"/>
          <w:szCs w:val="20"/>
        </w:rPr>
      </w:pPr>
    </w:p>
    <w:p w14:paraId="5C2EC5F6" w14:textId="77777777" w:rsidR="009436FC" w:rsidRDefault="009436FC" w:rsidP="009436F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Por otro lado, y </w:t>
      </w:r>
      <w:r w:rsidRPr="00DF77A7">
        <w:rPr>
          <w:rFonts w:ascii="Open Sans" w:hAnsi="Open Sans" w:cs="Open Sans"/>
          <w:sz w:val="20"/>
          <w:szCs w:val="20"/>
        </w:rPr>
        <w:t>como señala portavoz del cuerpo de inspectores de hacienda del Estado, José María Peláez Martos “se puede afirmar que no hay fraude o escándalo financiero, a nivel nacional o internacional, en el que no aparezca la utilización de los paraísos.</w:t>
      </w:r>
      <w:r>
        <w:rPr>
          <w:rFonts w:ascii="Open Sans" w:hAnsi="Open Sans" w:cs="Open Sans"/>
          <w:sz w:val="20"/>
          <w:szCs w:val="20"/>
        </w:rPr>
        <w:t xml:space="preserve"> Así, podemos citar los casos Enron, Worldcom, Parmalat, BBVA, o los casos Ballena Blanca y Malaya, resultando evidente, por otro lado, que en la utilización de los paraísos fiscales tiene una intervención muy directa el sistema bancario y financiero”</w:t>
      </w:r>
      <w:r>
        <w:rPr>
          <w:rStyle w:val="Refdenotaalpie"/>
          <w:rFonts w:ascii="Open Sans" w:hAnsi="Open Sans" w:cs="Open Sans"/>
          <w:sz w:val="20"/>
          <w:szCs w:val="20"/>
        </w:rPr>
        <w:footnoteReference w:id="118"/>
      </w:r>
      <w:r>
        <w:rPr>
          <w:rFonts w:ascii="Open Sans" w:hAnsi="Open Sans" w:cs="Open Sans"/>
          <w:sz w:val="20"/>
          <w:szCs w:val="20"/>
        </w:rPr>
        <w:t>.</w:t>
      </w:r>
    </w:p>
    <w:p w14:paraId="096D5E17" w14:textId="77777777" w:rsidR="009436FC" w:rsidRDefault="009436FC" w:rsidP="009436FC">
      <w:pPr>
        <w:autoSpaceDE w:val="0"/>
        <w:autoSpaceDN w:val="0"/>
        <w:adjustRightInd w:val="0"/>
        <w:jc w:val="both"/>
        <w:rPr>
          <w:rFonts w:ascii="Open Sans" w:hAnsi="Open Sans" w:cs="Open Sans"/>
          <w:sz w:val="20"/>
          <w:szCs w:val="20"/>
        </w:rPr>
      </w:pPr>
    </w:p>
    <w:p w14:paraId="1BCD2790" w14:textId="0EB87E22" w:rsidR="0090659A" w:rsidRDefault="0090659A">
      <w:pPr>
        <w:rPr>
          <w:rFonts w:ascii="Open Sans" w:hAnsi="Open Sans" w:cs="Open Sans"/>
          <w:sz w:val="20"/>
          <w:szCs w:val="20"/>
        </w:rPr>
      </w:pPr>
      <w:r>
        <w:rPr>
          <w:rFonts w:ascii="Open Sans" w:hAnsi="Open Sans" w:cs="Open Sans"/>
          <w:sz w:val="20"/>
          <w:szCs w:val="20"/>
        </w:rPr>
        <w:br w:type="page"/>
      </w:r>
    </w:p>
    <w:p w14:paraId="3AF1B78E" w14:textId="77777777" w:rsidR="009436FC" w:rsidRPr="009130AF" w:rsidRDefault="009436FC" w:rsidP="009130AF">
      <w:pPr>
        <w:jc w:val="both"/>
        <w:rPr>
          <w:rFonts w:ascii="Open Sans" w:hAnsi="Open Sans"/>
          <w:b/>
          <w:sz w:val="22"/>
          <w:szCs w:val="22"/>
        </w:rPr>
      </w:pPr>
    </w:p>
    <w:p w14:paraId="079DAEE8" w14:textId="77777777" w:rsidR="009130AF" w:rsidRPr="009130AF" w:rsidRDefault="009130AF" w:rsidP="009130AF">
      <w:pPr>
        <w:jc w:val="both"/>
        <w:rPr>
          <w:rFonts w:ascii="Open Sans" w:hAnsi="Open Sans"/>
          <w:b/>
          <w:sz w:val="22"/>
          <w:szCs w:val="22"/>
        </w:rPr>
      </w:pPr>
    </w:p>
    <w:p w14:paraId="3F3C37EC" w14:textId="77777777" w:rsidR="00E8623C" w:rsidRDefault="00E8623C" w:rsidP="00E8623C">
      <w:pPr>
        <w:jc w:val="both"/>
        <w:rPr>
          <w:rFonts w:ascii="Open Sans" w:hAnsi="Open Sans"/>
          <w:b/>
          <w:sz w:val="22"/>
          <w:szCs w:val="22"/>
        </w:rPr>
      </w:pPr>
      <w:bookmarkStart w:id="42" w:name="PN3"/>
      <w:bookmarkStart w:id="43" w:name="PN5"/>
      <w:r>
        <w:rPr>
          <w:rFonts w:ascii="Open Sans" w:hAnsi="Open Sans"/>
          <w:b/>
          <w:sz w:val="22"/>
          <w:szCs w:val="22"/>
        </w:rPr>
        <w:t>P.N.4</w:t>
      </w:r>
      <w:r w:rsidRPr="009130AF">
        <w:rPr>
          <w:rFonts w:ascii="Open Sans" w:hAnsi="Open Sans"/>
          <w:b/>
          <w:sz w:val="22"/>
          <w:szCs w:val="22"/>
        </w:rPr>
        <w:t xml:space="preserve"> La empresa informa sobre qué actividades lleva a cabo en paraísos/nichos fiscales</w:t>
      </w:r>
      <w:bookmarkEnd w:id="42"/>
    </w:p>
    <w:p w14:paraId="6BB2A3A1" w14:textId="77777777" w:rsidR="00E8623C" w:rsidRDefault="00E8623C" w:rsidP="009130AF">
      <w:pPr>
        <w:jc w:val="both"/>
        <w:rPr>
          <w:rFonts w:ascii="Open Sans" w:hAnsi="Open Sans"/>
          <w:b/>
          <w:sz w:val="22"/>
          <w:szCs w:val="22"/>
        </w:rPr>
      </w:pPr>
    </w:p>
    <w:p w14:paraId="131F0884" w14:textId="46659213" w:rsidR="009130AF" w:rsidRDefault="00A30E4E" w:rsidP="009130AF">
      <w:pPr>
        <w:jc w:val="both"/>
        <w:rPr>
          <w:rFonts w:ascii="Open Sans" w:hAnsi="Open Sans"/>
          <w:b/>
          <w:sz w:val="22"/>
          <w:szCs w:val="22"/>
        </w:rPr>
      </w:pPr>
      <w:r>
        <w:rPr>
          <w:rFonts w:ascii="Open Sans" w:hAnsi="Open Sans"/>
          <w:b/>
          <w:sz w:val="22"/>
          <w:szCs w:val="22"/>
        </w:rPr>
        <w:t>P.N.</w:t>
      </w:r>
      <w:r w:rsidR="00E8623C">
        <w:rPr>
          <w:rFonts w:ascii="Open Sans" w:hAnsi="Open Sans"/>
          <w:b/>
          <w:sz w:val="22"/>
          <w:szCs w:val="22"/>
        </w:rPr>
        <w:t>5</w:t>
      </w:r>
      <w:r w:rsidR="009130AF" w:rsidRPr="009130AF">
        <w:rPr>
          <w:rFonts w:ascii="Open Sans" w:hAnsi="Open Sans"/>
          <w:b/>
          <w:sz w:val="22"/>
          <w:szCs w:val="22"/>
        </w:rPr>
        <w:t xml:space="preserve"> La empresa publica información de los impuestos directos e indirectos pagados en paraísos/nichos fiscales</w:t>
      </w:r>
      <w:bookmarkEnd w:id="43"/>
    </w:p>
    <w:p w14:paraId="474BB34D" w14:textId="77777777" w:rsidR="009130AF" w:rsidRPr="009130AF" w:rsidRDefault="009130AF" w:rsidP="009130AF">
      <w:pPr>
        <w:jc w:val="both"/>
        <w:rPr>
          <w:rFonts w:ascii="Open Sans" w:hAnsi="Open Sans"/>
          <w:b/>
          <w:sz w:val="22"/>
          <w:szCs w:val="22"/>
        </w:rPr>
      </w:pPr>
    </w:p>
    <w:p w14:paraId="28966D2C" w14:textId="2B32D940" w:rsidR="009130AF" w:rsidRDefault="009130AF" w:rsidP="009130AF">
      <w:pPr>
        <w:jc w:val="both"/>
        <w:rPr>
          <w:rFonts w:ascii="Open Sans" w:hAnsi="Open Sans"/>
          <w:b/>
          <w:sz w:val="22"/>
          <w:szCs w:val="22"/>
        </w:rPr>
      </w:pPr>
      <w:bookmarkStart w:id="44" w:name="PN6"/>
      <w:r w:rsidRPr="009130AF">
        <w:rPr>
          <w:rFonts w:ascii="Open Sans" w:hAnsi="Open Sans"/>
          <w:b/>
          <w:sz w:val="22"/>
          <w:szCs w:val="22"/>
        </w:rPr>
        <w:t>P.N.6 La empresa informa sobre el volumen de operaciones (en euros) que lleva a cabo en paraísos/nichos fiscales</w:t>
      </w:r>
      <w:bookmarkEnd w:id="44"/>
    </w:p>
    <w:p w14:paraId="3E2A7394" w14:textId="77777777" w:rsidR="009130AF" w:rsidRPr="009130AF" w:rsidRDefault="009130AF" w:rsidP="009130AF">
      <w:pPr>
        <w:jc w:val="both"/>
        <w:rPr>
          <w:rFonts w:ascii="Open Sans" w:hAnsi="Open Sans"/>
          <w:b/>
          <w:sz w:val="22"/>
          <w:szCs w:val="22"/>
        </w:rPr>
      </w:pPr>
    </w:p>
    <w:p w14:paraId="10249A08" w14:textId="171B0B87" w:rsidR="009130AF" w:rsidRPr="009130AF" w:rsidRDefault="009130AF" w:rsidP="009130AF">
      <w:pPr>
        <w:jc w:val="both"/>
        <w:rPr>
          <w:rFonts w:ascii="Open Sans" w:hAnsi="Open Sans"/>
          <w:b/>
          <w:sz w:val="20"/>
          <w:szCs w:val="20"/>
        </w:rPr>
      </w:pPr>
      <w:bookmarkStart w:id="45" w:name="PN7"/>
      <w:r w:rsidRPr="009130AF">
        <w:rPr>
          <w:rFonts w:ascii="Open Sans" w:hAnsi="Open Sans"/>
          <w:b/>
          <w:sz w:val="22"/>
          <w:szCs w:val="22"/>
        </w:rPr>
        <w:t>P.N.7 La empresa informa sobre qué porcentaje representa el número de trabajadores en paraísos/nichos fiscales sobre el número total de trabajadores (en equivalencia a tiempo completo)</w:t>
      </w:r>
      <w:bookmarkEnd w:id="45"/>
    </w:p>
    <w:p w14:paraId="018C3CF4" w14:textId="77777777" w:rsidR="009130AF" w:rsidRDefault="009130AF" w:rsidP="00EF0D79">
      <w:pPr>
        <w:jc w:val="both"/>
        <w:rPr>
          <w:rFonts w:ascii="Open Sans" w:hAnsi="Open Sans"/>
          <w:sz w:val="20"/>
          <w:szCs w:val="20"/>
        </w:rPr>
      </w:pPr>
    </w:p>
    <w:p w14:paraId="2EA2A272" w14:textId="77777777" w:rsidR="000200E0" w:rsidRDefault="000200E0" w:rsidP="000200E0">
      <w:pPr>
        <w:jc w:val="both"/>
        <w:rPr>
          <w:rFonts w:ascii="Open Sans" w:hAnsi="Open Sans"/>
          <w:sz w:val="20"/>
          <w:szCs w:val="20"/>
        </w:rPr>
      </w:pPr>
    </w:p>
    <w:p w14:paraId="1DDD58C0" w14:textId="10A6456F" w:rsidR="0090659A" w:rsidRDefault="0090659A" w:rsidP="0090659A">
      <w:pPr>
        <w:jc w:val="both"/>
        <w:rPr>
          <w:rFonts w:ascii="Open Sans" w:hAnsi="Open Sans" w:cs="Open Sans"/>
          <w:sz w:val="20"/>
          <w:szCs w:val="20"/>
        </w:rPr>
      </w:pPr>
      <w:r w:rsidRPr="00DF77A7">
        <w:rPr>
          <w:rFonts w:ascii="Open Sans" w:hAnsi="Open Sans" w:cs="Open Sans"/>
          <w:b/>
          <w:sz w:val="20"/>
          <w:szCs w:val="20"/>
        </w:rPr>
        <w:t>Los indicadores P.N.4, P.N.5, P.N.6 y P.N.7  analizan la información que facilita la empresa sobre su actividad en paraísos y nichos fiscales</w:t>
      </w:r>
      <w:r w:rsidRPr="00BE413F">
        <w:rPr>
          <w:rFonts w:ascii="Open Sans" w:hAnsi="Open Sans" w:cs="Open Sans"/>
          <w:sz w:val="20"/>
          <w:szCs w:val="20"/>
        </w:rPr>
        <w:t xml:space="preserve">. La información que se considera relevante en relación a la actividad y que se encuentra recogida en los indicadores mencionados es si la empresa informa sobre qué tipo de actividad realiza en estos territorios,  los impuestos pagados en paraísos y nichos fiscales, el volumen de operaciones en relación a facturación y/o ventas, total de activos, beneficios e impuesto pagados y el número de trabajadores en paraísos y/o nichos fiscales.  </w:t>
      </w:r>
      <w:r w:rsidRPr="00BE413F">
        <w:rPr>
          <w:rFonts w:ascii="Open Sans" w:hAnsi="Open Sans" w:cs="Arial"/>
          <w:bCs/>
          <w:sz w:val="20"/>
          <w:szCs w:val="20"/>
        </w:rPr>
        <w:t>Es perentorio remarcar que la presencia de sociedades en este tipo de jurisdicciones con escasa o nula tributación no constituye ningún tipo de irregularidad en sí misma, si bien la capacidad de las empresas para dar cuenta del tipo de actividad que se desempeña en estos territorios, vehiculizada a través de las sociedades erradicadas en los mismos, es clave para despejar cualquier tipo de duda o susceptibilidad entorno a la estructura fiscal de las empresas que constituyen el Grupo.</w:t>
      </w:r>
    </w:p>
    <w:p w14:paraId="4FA27F9D" w14:textId="77777777" w:rsidR="0090659A" w:rsidRDefault="0090659A" w:rsidP="0090659A">
      <w:pPr>
        <w:jc w:val="both"/>
        <w:rPr>
          <w:rFonts w:ascii="Open Sans" w:hAnsi="Open Sans" w:cs="Open Sans"/>
          <w:sz w:val="20"/>
          <w:szCs w:val="20"/>
        </w:rPr>
      </w:pPr>
    </w:p>
    <w:p w14:paraId="280676EA" w14:textId="5DFF8DE4" w:rsidR="0090659A" w:rsidRDefault="0090659A" w:rsidP="0090659A">
      <w:pPr>
        <w:jc w:val="both"/>
        <w:rPr>
          <w:rFonts w:ascii="Open Sans" w:hAnsi="Open Sans" w:cs="Arial"/>
          <w:bCs/>
          <w:sz w:val="20"/>
          <w:szCs w:val="20"/>
        </w:rPr>
      </w:pPr>
      <w:r w:rsidRPr="0090659A">
        <w:rPr>
          <w:rFonts w:ascii="Open Sans" w:hAnsi="Open Sans" w:cs="Open Sans"/>
          <w:b/>
          <w:sz w:val="20"/>
          <w:szCs w:val="20"/>
        </w:rPr>
        <w:t xml:space="preserve">La información en relación a la actividad de la empresa en paraísos o nichos fiscales se limita en un </w:t>
      </w:r>
      <w:r w:rsidR="005174C2">
        <w:rPr>
          <w:rFonts w:ascii="Open Sans" w:hAnsi="Open Sans" w:cs="Open Sans"/>
          <w:b/>
          <w:sz w:val="20"/>
          <w:szCs w:val="20"/>
        </w:rPr>
        <w:t>80</w:t>
      </w:r>
      <w:r w:rsidRPr="0090659A">
        <w:rPr>
          <w:rFonts w:ascii="Open Sans" w:hAnsi="Open Sans" w:cs="Open Sans"/>
          <w:b/>
          <w:sz w:val="20"/>
          <w:szCs w:val="20"/>
        </w:rPr>
        <w:t>% de las empresas analizadas a la facilitada en el anexo de cuentas anuales.</w:t>
      </w:r>
      <w:r>
        <w:rPr>
          <w:rFonts w:ascii="Open Sans" w:hAnsi="Open Sans" w:cs="Open Sans"/>
          <w:sz w:val="20"/>
          <w:szCs w:val="20"/>
        </w:rPr>
        <w:t xml:space="preserve"> La información que aparece  en estos anexos es de carácter muy general y con un alcance extremadamente limitado que no permite conocer con grado de precisión alguno la actividad desarrollada por las empresas en estos territorios. Por ejemplo </w:t>
      </w:r>
      <w:r w:rsidRPr="00DF77A7">
        <w:rPr>
          <w:rFonts w:ascii="Open Sans" w:hAnsi="Open Sans" w:cs="Open Sans"/>
          <w:sz w:val="20"/>
          <w:szCs w:val="20"/>
        </w:rPr>
        <w:t xml:space="preserve">IAG </w:t>
      </w:r>
      <w:r w:rsidRPr="0090659A">
        <w:rPr>
          <w:rFonts w:ascii="Open Sans" w:hAnsi="Open Sans" w:cs="Arial"/>
          <w:bCs/>
          <w:sz w:val="20"/>
          <w:szCs w:val="20"/>
        </w:rPr>
        <w:t xml:space="preserve">no aporta información sobre la actividad principal de la mayoría de estas filiales </w:t>
      </w:r>
      <w:r>
        <w:rPr>
          <w:rFonts w:ascii="Open Sans" w:hAnsi="Open Sans" w:cs="Arial"/>
          <w:bCs/>
          <w:sz w:val="20"/>
          <w:szCs w:val="20"/>
        </w:rPr>
        <w:t xml:space="preserve">con lo que no se puede comprobar si la actividad de estas filiales está relacionada con la actividad principal del grupo por lo que, a falta de mayor información, existen dudas en relación a 40 filiales del grupo. </w:t>
      </w:r>
    </w:p>
    <w:p w14:paraId="1B0CB06C" w14:textId="77777777" w:rsidR="0090659A" w:rsidRDefault="0090659A" w:rsidP="0090659A">
      <w:pPr>
        <w:rPr>
          <w:rFonts w:ascii="Open Sans" w:hAnsi="Open Sans" w:cs="Arial"/>
          <w:bCs/>
          <w:sz w:val="22"/>
          <w:szCs w:val="22"/>
        </w:rPr>
      </w:pPr>
    </w:p>
    <w:p w14:paraId="2C629BE6" w14:textId="708AE400" w:rsidR="0090659A" w:rsidRPr="0090659A" w:rsidRDefault="0090659A" w:rsidP="0090659A">
      <w:pPr>
        <w:jc w:val="both"/>
        <w:rPr>
          <w:rFonts w:ascii="Open Sans" w:hAnsi="Open Sans" w:cs="Arial"/>
          <w:bCs/>
          <w:sz w:val="20"/>
          <w:szCs w:val="20"/>
          <w:u w:val="single"/>
        </w:rPr>
      </w:pPr>
      <w:r w:rsidRPr="0090659A">
        <w:rPr>
          <w:rFonts w:ascii="Open Sans" w:hAnsi="Open Sans" w:cs="Arial"/>
          <w:bCs/>
          <w:sz w:val="20"/>
          <w:szCs w:val="20"/>
        </w:rPr>
        <w:t>El número de filiales en estos territorios de IAG se ha ampliado en relación al ejercicio anterior. Una de las principales razones es la adquisición de la aerolínea Aer Lingus con 7 filiales domiciliadas en Irlanda. Sin embargo pese a que Irlanda es su sede operativa, no se informa de las actividades que realizan dichas filiales. Además de Irlanda,  Aer Lingus tiene filiales domiciliadas en Isla de Man (</w:t>
      </w:r>
      <w:r w:rsidRPr="0090659A">
        <w:rPr>
          <w:rFonts w:ascii="Open Sans" w:hAnsi="Open Sans"/>
          <w:color w:val="000000"/>
          <w:sz w:val="20"/>
          <w:szCs w:val="20"/>
        </w:rPr>
        <w:t>Aer Lingus Beachey Limited</w:t>
      </w:r>
      <w:r w:rsidRPr="0090659A">
        <w:rPr>
          <w:rFonts w:ascii="Open Sans" w:hAnsi="Open Sans" w:cs="Arial"/>
          <w:bCs/>
          <w:sz w:val="20"/>
          <w:szCs w:val="20"/>
        </w:rPr>
        <w:t>) y en Bermuda (</w:t>
      </w:r>
      <w:r w:rsidRPr="0090659A">
        <w:rPr>
          <w:rFonts w:ascii="Open Sans" w:hAnsi="Open Sans"/>
          <w:color w:val="000000"/>
          <w:sz w:val="20"/>
          <w:szCs w:val="20"/>
        </w:rPr>
        <w:t>Dirnan Insurance Company Limited</w:t>
      </w:r>
      <w:r w:rsidRPr="0090659A">
        <w:rPr>
          <w:rFonts w:ascii="Open Sans" w:hAnsi="Open Sans" w:cs="Arial"/>
          <w:bCs/>
          <w:sz w:val="20"/>
          <w:szCs w:val="20"/>
        </w:rPr>
        <w:t>).</w:t>
      </w:r>
      <w:r>
        <w:rPr>
          <w:rFonts w:ascii="Open Sans" w:hAnsi="Open Sans" w:cs="Arial"/>
          <w:bCs/>
          <w:sz w:val="20"/>
          <w:szCs w:val="20"/>
        </w:rPr>
        <w:t xml:space="preserve">  Con la incorporación de Aer Lingus IAG entra de lleno en un país considerado nicho fiscal con una baja tributación en el impuesto de sociedades (12,5%) y que según su consejero delegado se trata de un país estratégico para el grupo con grandes perspectivas de crecimiento por la atracción de inversiones de multinacionales estadounidenses, especialmente en los sectores farmacéutico, IT y digital.</w:t>
      </w:r>
      <w:r w:rsidRPr="0090659A">
        <w:rPr>
          <w:rStyle w:val="Refdenotaalpie"/>
          <w:rFonts w:ascii="Open Sans" w:hAnsi="Open Sans" w:cs="Arial"/>
          <w:sz w:val="20"/>
          <w:szCs w:val="20"/>
        </w:rPr>
        <w:footnoteReference w:id="119"/>
      </w:r>
      <w:r w:rsidRPr="0090659A">
        <w:rPr>
          <w:rFonts w:ascii="Open Sans" w:hAnsi="Open Sans" w:cs="Arial"/>
          <w:bCs/>
          <w:sz w:val="20"/>
          <w:szCs w:val="20"/>
        </w:rPr>
        <w:t xml:space="preserve"> </w:t>
      </w:r>
      <w:r>
        <w:rPr>
          <w:rFonts w:ascii="Open Sans" w:hAnsi="Open Sans" w:cs="Arial"/>
          <w:bCs/>
          <w:sz w:val="20"/>
          <w:szCs w:val="20"/>
        </w:rPr>
        <w:t>Esta operación con posible finalidad fiscal s recogida por diversos medios de comunicación</w:t>
      </w:r>
      <w:r>
        <w:rPr>
          <w:rStyle w:val="Refdenotaalpie"/>
          <w:rFonts w:ascii="Open Sans" w:hAnsi="Open Sans" w:cs="Arial"/>
          <w:bCs/>
          <w:sz w:val="20"/>
          <w:szCs w:val="20"/>
        </w:rPr>
        <w:footnoteReference w:id="120"/>
      </w:r>
      <w:r>
        <w:rPr>
          <w:rFonts w:ascii="Open Sans" w:hAnsi="Open Sans" w:cs="Arial"/>
          <w:bCs/>
          <w:sz w:val="20"/>
          <w:szCs w:val="20"/>
        </w:rPr>
        <w:t>.</w:t>
      </w:r>
    </w:p>
    <w:p w14:paraId="5E038DBC" w14:textId="77777777" w:rsidR="0090659A" w:rsidRDefault="0090659A" w:rsidP="0090659A">
      <w:pPr>
        <w:jc w:val="both"/>
        <w:rPr>
          <w:rFonts w:ascii="Open Sans" w:hAnsi="Open Sans" w:cs="Open Sans"/>
          <w:sz w:val="20"/>
          <w:szCs w:val="20"/>
        </w:rPr>
      </w:pPr>
    </w:p>
    <w:p w14:paraId="49615491" w14:textId="77777777" w:rsidR="0090659A" w:rsidRPr="0090659A" w:rsidRDefault="0090659A" w:rsidP="0090659A">
      <w:pPr>
        <w:jc w:val="both"/>
        <w:rPr>
          <w:rFonts w:ascii="Open Sans" w:hAnsi="Open Sans" w:cs="Open Sans"/>
          <w:sz w:val="20"/>
          <w:szCs w:val="20"/>
        </w:rPr>
      </w:pPr>
      <w:r w:rsidRPr="00DF77A7">
        <w:rPr>
          <w:rFonts w:ascii="Open Sans" w:hAnsi="Open Sans" w:cs="Open Sans"/>
          <w:sz w:val="20"/>
          <w:szCs w:val="20"/>
        </w:rPr>
        <w:t>AMADEUS</w:t>
      </w:r>
      <w:r>
        <w:rPr>
          <w:rFonts w:ascii="Open Sans" w:hAnsi="Open Sans" w:cs="Open Sans"/>
          <w:sz w:val="20"/>
          <w:szCs w:val="20"/>
        </w:rPr>
        <w:t xml:space="preserve"> cuenta con 26 sociedades domiciliadas en países y territorios considerados paraísos (2) y nicho fiscal (24) de acuerdo con la metodología del Observatorio de RSC. La información sobre su presencia internacional de AMADEUS, es confusa y resulta difícil de interpretar: afirma que está presente en más de 70 `países pero en un mapa de presencia en su informe global solamente facilita información de 16 países en donde tiene sus sedes principales, oficinas regionales y centros de I+D. En relación a las oficinas comerciales se deduce de un apartado dedicado a “Amadeus websites” al que se accede a través de su “global website” y un menú arriba a la derecha en el que deja la opción de “change country”.   No se ha encontrado en su web, ni en la referida a España ni en la globalwebsite ninguna información detallada acerca de la presencia por países. </w:t>
      </w:r>
      <w:r w:rsidRPr="00DF77A7">
        <w:rPr>
          <w:rFonts w:ascii="Open Sans" w:hAnsi="Open Sans" w:cs="Open Sans"/>
          <w:sz w:val="20"/>
          <w:szCs w:val="20"/>
        </w:rPr>
        <w:t>La empresa no aporta información sobre las actividades de compañía  en paraísos y nichos fiscales ni en la Memoria de Sostenibilidad ni en ningún otro documento de los analizados A pesar de las limitaciones sobre la información en materia fiscal, en función de la información aportada en el Anexo I de las Cuentas Anuales sobre sociedades dependientes, se considera que 10 sociedades ubicadas en paraísos o nichos fiscales ofrecen dudas en cuanto a que su actividad tenga que ver con la operativa propia de negocio ya que su actividad (financiera o instrumental).</w:t>
      </w:r>
      <w:r w:rsidRPr="0090659A">
        <w:rPr>
          <w:rFonts w:ascii="Open Sans" w:hAnsi="Open Sans" w:cs="Open Sans"/>
          <w:sz w:val="20"/>
          <w:szCs w:val="20"/>
        </w:rPr>
        <w:t xml:space="preserve"> Estas dudas no son susceptibles de disipar  al no aportar la empresa mayor información sobre su actividad en estos territorios. Este es el caso de Delaware con ocho sociedades, una sociedad en Holanda, una en Uruguay y una en Irlanda. </w:t>
      </w:r>
    </w:p>
    <w:p w14:paraId="35F60E67" w14:textId="77777777" w:rsidR="0090659A" w:rsidRDefault="0090659A" w:rsidP="0090659A">
      <w:pPr>
        <w:jc w:val="both"/>
        <w:rPr>
          <w:rFonts w:ascii="Open Sans" w:hAnsi="Open Sans" w:cs="Open Sans"/>
          <w:sz w:val="20"/>
          <w:szCs w:val="20"/>
        </w:rPr>
      </w:pPr>
    </w:p>
    <w:p w14:paraId="3B934316" w14:textId="77777777" w:rsidR="0090659A" w:rsidRPr="0090659A" w:rsidRDefault="0090659A" w:rsidP="0090659A">
      <w:pPr>
        <w:tabs>
          <w:tab w:val="left" w:pos="709"/>
        </w:tabs>
        <w:jc w:val="both"/>
        <w:rPr>
          <w:rFonts w:ascii="Open Sans" w:eastAsia="Calibri" w:hAnsi="Open Sans" w:cs="Open Sans"/>
          <w:sz w:val="20"/>
          <w:szCs w:val="20"/>
        </w:rPr>
      </w:pPr>
      <w:r w:rsidRPr="00DF77A7">
        <w:rPr>
          <w:rFonts w:ascii="Open Sans" w:hAnsi="Open Sans" w:cs="Open Sans"/>
          <w:sz w:val="20"/>
          <w:szCs w:val="20"/>
        </w:rPr>
        <w:t>DIA</w:t>
      </w:r>
      <w:r w:rsidRPr="0090659A">
        <w:rPr>
          <w:rFonts w:ascii="Open Sans" w:hAnsi="Open Sans" w:cs="Open Sans"/>
          <w:sz w:val="20"/>
          <w:szCs w:val="20"/>
        </w:rPr>
        <w:t xml:space="preserve"> cuenta con dos sociedades en Suiza: DIA World Trade, S.A. e </w:t>
      </w:r>
      <w:r w:rsidRPr="0090659A">
        <w:rPr>
          <w:rFonts w:ascii="Open Sans" w:eastAsia="Calibri" w:hAnsi="Open Sans" w:cs="Open Sans"/>
          <w:sz w:val="20"/>
          <w:szCs w:val="20"/>
        </w:rPr>
        <w:t xml:space="preserve">ICDC Services, Sàrl. Se trata de dos sociedades instrumentales cuyas actividades son, respectivamente, </w:t>
      </w:r>
      <w:r w:rsidRPr="0090659A">
        <w:rPr>
          <w:rFonts w:ascii="Open Sans" w:hAnsi="Open Sans" w:cs="Open Sans"/>
          <w:sz w:val="20"/>
          <w:szCs w:val="20"/>
        </w:rPr>
        <w:t>prestar servicios a los proveedores de las sociedades del Grupo DIA</w:t>
      </w:r>
      <w:r w:rsidRPr="0090659A">
        <w:rPr>
          <w:rFonts w:ascii="Open Sans" w:eastAsia="Calibri" w:hAnsi="Open Sans" w:cs="Open Sans"/>
          <w:sz w:val="20"/>
          <w:szCs w:val="20"/>
        </w:rPr>
        <w:t xml:space="preserve"> y la negociación con proveedores internacionales. En las Cuentas Anuales se indica que la cifra de ventas en Suiza es inexistente y en ninguno de los documentos analizados se ha encontrado evidencia de que DIA posea establecimientos o franquiciados en Suiza que le permita desarrollar su actividad principal. Llama la atención que estas sociedades radicadas en Suiza únicamente se citan en las Cuentas Anuales y en el Informe de Gestión, donde se proporciona información genérica sobre las actividades que realizan y los accionistas de las mismas. En otro tipo de informes, como el de Desarrollo Sostenible, únicamente se indica que el grupo opera en España, Portugal, Argentina, Brasil y China. Tampoco se ha encontrado información cuantitativa que muestre el comportamiento fiscal de la empresa en Suiza ni siquiera en las Cuentas Anuales.</w:t>
      </w:r>
    </w:p>
    <w:p w14:paraId="1B816947" w14:textId="77777777" w:rsidR="0090659A" w:rsidRPr="0090659A" w:rsidRDefault="0090659A" w:rsidP="0090659A">
      <w:pPr>
        <w:jc w:val="both"/>
        <w:rPr>
          <w:rFonts w:ascii="Open Sans" w:hAnsi="Open Sans" w:cs="Open Sans"/>
          <w:sz w:val="20"/>
          <w:szCs w:val="20"/>
        </w:rPr>
      </w:pPr>
    </w:p>
    <w:p w14:paraId="4EB08ACE" w14:textId="7B72833C" w:rsidR="0090659A" w:rsidRPr="0090659A" w:rsidRDefault="0090659A" w:rsidP="0090659A">
      <w:pPr>
        <w:tabs>
          <w:tab w:val="left" w:pos="709"/>
        </w:tabs>
        <w:jc w:val="both"/>
        <w:rPr>
          <w:rFonts w:ascii="Open Sans" w:hAnsi="Open Sans" w:cs="Open Sans"/>
          <w:sz w:val="20"/>
          <w:szCs w:val="20"/>
        </w:rPr>
      </w:pPr>
      <w:r w:rsidRPr="00DF77A7">
        <w:rPr>
          <w:rFonts w:ascii="Open Sans" w:hAnsi="Open Sans" w:cs="Open Sans"/>
          <w:sz w:val="20"/>
          <w:szCs w:val="20"/>
        </w:rPr>
        <w:t>ACERINOX</w:t>
      </w:r>
      <w:r w:rsidRPr="0090659A">
        <w:rPr>
          <w:rFonts w:ascii="Open Sans" w:hAnsi="Open Sans" w:cs="Open Sans"/>
          <w:sz w:val="20"/>
          <w:szCs w:val="20"/>
        </w:rPr>
        <w:t xml:space="preserve"> cuenta, de acuerdo con el anexo de las cuentas anuales, con 9 sociedades en paraísos o nichos fiscales. Estas sociedades llevan a cabo distintas actividades explicadas por la empresa. Sin embargo, en 4 de ellas se considera que realizan sus actividades no sólo en el país donde están ubicadas sino además en otros territorios, estas son Acerinox (Schweiz) A.G., Acerinox middle east DMCC, Acerinox pacific LTD., Acerinox (sea), PTE LTD. A pesar de que la empresa provee unas breves explicaciones: “</w:t>
      </w:r>
      <w:r w:rsidRPr="0090659A">
        <w:rPr>
          <w:rFonts w:ascii="Open Sans" w:hAnsi="Open Sans" w:cs="Open Sans"/>
          <w:i/>
          <w:sz w:val="20"/>
          <w:szCs w:val="20"/>
        </w:rPr>
        <w:t>Acerinox aclara, además, que en los siguientes territorios: Dubái, Singapur, Hong Kong y Suiza no se realiza ninguna actividad que no sea estrictamente comercial y que la facturación que en ellos se genera deriva exclusivamente de la comercialización de productos tangibles – acero inoxidable</w:t>
      </w:r>
      <w:r w:rsidRPr="0090659A">
        <w:rPr>
          <w:rFonts w:ascii="Open Sans" w:hAnsi="Open Sans" w:cs="Open Sans"/>
          <w:sz w:val="20"/>
          <w:szCs w:val="20"/>
        </w:rPr>
        <w:t>”</w:t>
      </w:r>
      <w:r w:rsidRPr="0090659A">
        <w:rPr>
          <w:rStyle w:val="Refdenotaalpie"/>
          <w:rFonts w:ascii="Open Sans" w:hAnsi="Open Sans" w:cs="Open Sans"/>
          <w:sz w:val="20"/>
          <w:szCs w:val="20"/>
        </w:rPr>
        <w:footnoteReference w:id="121"/>
      </w:r>
      <w:r w:rsidRPr="0090659A">
        <w:rPr>
          <w:rFonts w:ascii="Open Sans" w:hAnsi="Open Sans" w:cs="Open Sans"/>
          <w:sz w:val="20"/>
          <w:szCs w:val="20"/>
        </w:rPr>
        <w:t>, éstas se consideran insuficientes ya que no se explica el motivo por el que están radicadas en esos países y no en otros donde la empresa también tiene presencia comercial. Si bien la presencia en paraísos/nichos fiscales puede ser legal, en ocasiones corresponde a estrategias de ingeniería fiscal destinadas a eludir el pago de impuestos, lo cual estaría en contraposición con los compromisos indicados por Acerinox en sus principios de fiscalidad responsable como el: “</w:t>
      </w:r>
      <w:r w:rsidRPr="0090659A">
        <w:rPr>
          <w:rFonts w:ascii="Open Sans" w:hAnsi="Open Sans" w:cs="Open Sans"/>
          <w:i/>
          <w:sz w:val="20"/>
          <w:szCs w:val="20"/>
        </w:rPr>
        <w:t>no constituir ni adquirir sociedades residentes en paraísos fiscales, con la sola excepción de los supuestos en que se limiten a vender sus productos en dichos territorios</w:t>
      </w:r>
      <w:r w:rsidRPr="0090659A">
        <w:rPr>
          <w:rFonts w:ascii="Open Sans" w:hAnsi="Open Sans" w:cs="Open Sans"/>
          <w:sz w:val="20"/>
          <w:szCs w:val="20"/>
        </w:rPr>
        <w:t>”</w:t>
      </w:r>
      <w:r w:rsidRPr="0090659A">
        <w:rPr>
          <w:rStyle w:val="Refdenotaalpie"/>
          <w:rFonts w:ascii="Open Sans" w:hAnsi="Open Sans" w:cs="Open Sans"/>
          <w:sz w:val="20"/>
          <w:szCs w:val="20"/>
        </w:rPr>
        <w:footnoteReference w:id="122"/>
      </w:r>
      <w:r w:rsidRPr="0090659A">
        <w:rPr>
          <w:rFonts w:ascii="Open Sans" w:hAnsi="Open Sans" w:cs="Open Sans"/>
          <w:sz w:val="20"/>
          <w:szCs w:val="20"/>
        </w:rPr>
        <w:t>. A la vista de la situación de estas sociedades, donde algunas de ellas como la radicada en Dubái tiene en parte de su denominación “oriente medio” o la de Hong Kong “Acerinox Pacífico”, nombres que podrían indicar su actividad fuera del territorio, unido al compromiso de la empresa de “</w:t>
      </w:r>
      <w:r w:rsidRPr="0090659A">
        <w:rPr>
          <w:rFonts w:ascii="Open Sans" w:hAnsi="Open Sans" w:cs="Open Sans"/>
          <w:i/>
          <w:sz w:val="20"/>
          <w:szCs w:val="20"/>
        </w:rPr>
        <w:t>difundir información relevante y fiable sobre el desempeño y las actividades del Grupo</w:t>
      </w:r>
      <w:r w:rsidRPr="0090659A">
        <w:rPr>
          <w:rFonts w:ascii="Open Sans" w:hAnsi="Open Sans" w:cs="Open Sans"/>
          <w:sz w:val="20"/>
          <w:szCs w:val="20"/>
        </w:rPr>
        <w:t>”</w:t>
      </w:r>
      <w:r w:rsidRPr="0090659A">
        <w:rPr>
          <w:rStyle w:val="Refdenotaalpie"/>
          <w:rFonts w:ascii="Open Sans" w:hAnsi="Open Sans" w:cs="Open Sans"/>
          <w:sz w:val="20"/>
          <w:szCs w:val="20"/>
        </w:rPr>
        <w:footnoteReference w:id="123"/>
      </w:r>
      <w:r w:rsidRPr="0090659A">
        <w:rPr>
          <w:rFonts w:ascii="Open Sans" w:hAnsi="Open Sans" w:cs="Open Sans"/>
          <w:sz w:val="20"/>
          <w:szCs w:val="20"/>
        </w:rPr>
        <w:t>, hace necesaria una mayor transparencia sobre sus actividades, el origen de sus ingresos y, en definitiva, los motivos que llevan al grupo a radicar esas filiales en dichos territorios.</w:t>
      </w:r>
    </w:p>
    <w:p w14:paraId="65C9DBA6" w14:textId="77777777" w:rsidR="0090659A" w:rsidRPr="0090659A" w:rsidRDefault="0090659A" w:rsidP="0090659A">
      <w:pPr>
        <w:jc w:val="both"/>
        <w:rPr>
          <w:rFonts w:ascii="Open Sans" w:hAnsi="Open Sans" w:cs="Open Sans"/>
          <w:sz w:val="20"/>
          <w:szCs w:val="20"/>
        </w:rPr>
      </w:pPr>
    </w:p>
    <w:p w14:paraId="0BFC4ED7" w14:textId="77777777" w:rsidR="0090659A" w:rsidRDefault="0090659A" w:rsidP="0090659A">
      <w:pPr>
        <w:jc w:val="both"/>
        <w:rPr>
          <w:rFonts w:ascii="Open Sans" w:hAnsi="Open Sans" w:cs="Arial"/>
          <w:sz w:val="20"/>
          <w:szCs w:val="20"/>
        </w:rPr>
      </w:pPr>
      <w:r>
        <w:rPr>
          <w:rFonts w:ascii="Open Sans" w:hAnsi="Open Sans" w:cs="Open Sans"/>
          <w:sz w:val="20"/>
          <w:szCs w:val="20"/>
        </w:rPr>
        <w:t xml:space="preserve">Por otro lado son varias  </w:t>
      </w:r>
      <w:r w:rsidRPr="00FD6A83">
        <w:rPr>
          <w:rFonts w:ascii="Open Sans" w:hAnsi="Open Sans" w:cs="Open Sans"/>
          <w:b/>
          <w:sz w:val="20"/>
          <w:szCs w:val="20"/>
        </w:rPr>
        <w:t>las empresas que cuentan con declaraciones genéricas de que no utilizan sus sociedades en paraísos o nichos con finalidad elusoria (REC, GAMESA, BANKIA, GRIFOLS, BBVA, INDITEX…),</w:t>
      </w:r>
      <w:r w:rsidRPr="00FD6A83">
        <w:rPr>
          <w:rFonts w:ascii="Open Sans" w:hAnsi="Open Sans" w:cs="Open Sans"/>
          <w:sz w:val="20"/>
          <w:szCs w:val="20"/>
        </w:rPr>
        <w:t xml:space="preserve"> </w:t>
      </w:r>
      <w:r w:rsidRPr="00A85EC8">
        <w:rPr>
          <w:rFonts w:ascii="Open Sans" w:hAnsi="Open Sans" w:cs="Open Sans"/>
          <w:sz w:val="20"/>
          <w:szCs w:val="20"/>
        </w:rPr>
        <w:t>sin embargo no facilitan información sobre sus actividades y número de empleados en estos territorios</w:t>
      </w:r>
      <w:r>
        <w:rPr>
          <w:rFonts w:ascii="Open Sans" w:hAnsi="Open Sans" w:cs="Open Sans"/>
          <w:sz w:val="20"/>
          <w:szCs w:val="20"/>
        </w:rPr>
        <w:t xml:space="preserve">. Tal es el caso de REC que afirma </w:t>
      </w:r>
      <w:r>
        <w:rPr>
          <w:rFonts w:ascii="Open Sans" w:hAnsi="Open Sans" w:cs="Arial"/>
          <w:bCs/>
          <w:sz w:val="20"/>
          <w:szCs w:val="20"/>
        </w:rPr>
        <w:t>“</w:t>
      </w:r>
      <w:r>
        <w:rPr>
          <w:rFonts w:ascii="Open Sans" w:hAnsi="Open Sans" w:cs="Arial"/>
          <w:bCs/>
          <w:i/>
          <w:sz w:val="20"/>
          <w:szCs w:val="20"/>
        </w:rPr>
        <w:t xml:space="preserve">el grupo se compromete a no crear empresas con el fin de evadir impuestos en territorios considerados paraísos fiscales por la Unión Europea”. </w:t>
      </w:r>
      <w:r w:rsidRPr="006A739D">
        <w:rPr>
          <w:rFonts w:ascii="Open Sans" w:hAnsi="Open Sans" w:cs="Arial"/>
          <w:bCs/>
          <w:sz w:val="20"/>
          <w:szCs w:val="20"/>
        </w:rPr>
        <w:t>Sin embargo se han</w:t>
      </w:r>
      <w:r>
        <w:rPr>
          <w:rFonts w:ascii="Open Sans" w:hAnsi="Open Sans" w:cs="Arial"/>
          <w:bCs/>
          <w:i/>
          <w:sz w:val="20"/>
          <w:szCs w:val="20"/>
        </w:rPr>
        <w:t xml:space="preserve"> </w:t>
      </w:r>
      <w:r>
        <w:rPr>
          <w:rFonts w:ascii="Open Sans" w:hAnsi="Open Sans" w:cs="Arial"/>
          <w:bCs/>
          <w:sz w:val="20"/>
          <w:szCs w:val="20"/>
        </w:rPr>
        <w:t xml:space="preserve">identificado 2  en el listado de sociedades dependientes de las cuentas anuales consolidadas 2 filiales domiciliadas en Holanda y Luxemburgo, países considerados como nichos fiscales por la reducida fiscalidad que aplican a las compañías sin que la compañía facilite suficiente información. </w:t>
      </w:r>
      <w:r>
        <w:rPr>
          <w:rFonts w:ascii="Open Sans" w:hAnsi="Open Sans" w:cs="Arial"/>
          <w:sz w:val="20"/>
          <w:szCs w:val="20"/>
        </w:rPr>
        <w:t>REC indica expresamente en su estrategia fiscal y en el código ético que “</w:t>
      </w:r>
      <w:r>
        <w:rPr>
          <w:rFonts w:ascii="Open Sans" w:hAnsi="Open Sans" w:cs="Arial"/>
          <w:bCs/>
          <w:i/>
          <w:sz w:val="20"/>
          <w:szCs w:val="20"/>
        </w:rPr>
        <w:t>La actividad desarrollada en dichos lugares estará́ relacionada con el desarrollo de las funciones del Grupo</w:t>
      </w:r>
      <w:r>
        <w:rPr>
          <w:rFonts w:ascii="Open Sans" w:hAnsi="Open Sans" w:cs="Arial"/>
          <w:bCs/>
          <w:sz w:val="20"/>
          <w:szCs w:val="20"/>
        </w:rPr>
        <w:t xml:space="preserve">”. </w:t>
      </w:r>
      <w:r>
        <w:rPr>
          <w:rFonts w:ascii="Open Sans" w:hAnsi="Open Sans" w:cs="Arial"/>
          <w:sz w:val="20"/>
          <w:szCs w:val="20"/>
        </w:rPr>
        <w:t>Sin embargo, en la práctica siempre resulta más complejo aclarar cuál es el alcance de las funciones de un grupo dedicado en exclusiva a "la operación del sistema eléctrico y al transporte de electricidad", para esclarecer así por ejemplo si es función del grupo las actividades de reaseguro del riesgo en Luxemburgo, o las actividades de financiación del grupo mediante emisión de deuda en Holanda, como es el caso de dos sociedades.</w:t>
      </w:r>
    </w:p>
    <w:p w14:paraId="69695848" w14:textId="77777777" w:rsidR="0090659A" w:rsidRDefault="0090659A" w:rsidP="0090659A">
      <w:pPr>
        <w:jc w:val="both"/>
      </w:pPr>
    </w:p>
    <w:p w14:paraId="096CBB9E" w14:textId="77777777" w:rsidR="0090659A" w:rsidRDefault="0090659A" w:rsidP="0090659A">
      <w:pPr>
        <w:jc w:val="both"/>
        <w:rPr>
          <w:rFonts w:ascii="Open Sans" w:hAnsi="Open Sans"/>
          <w:sz w:val="20"/>
          <w:szCs w:val="20"/>
        </w:rPr>
      </w:pPr>
      <w:r>
        <w:rPr>
          <w:rFonts w:ascii="Open Sans" w:hAnsi="Open Sans" w:cs="Arial"/>
          <w:bCs/>
          <w:sz w:val="20"/>
          <w:szCs w:val="20"/>
        </w:rPr>
        <w:t xml:space="preserve">Otro caso es el de la empresa </w:t>
      </w:r>
      <w:r w:rsidRPr="00DF77A7">
        <w:rPr>
          <w:rFonts w:ascii="Open Sans" w:hAnsi="Open Sans" w:cs="Arial"/>
          <w:bCs/>
          <w:sz w:val="20"/>
          <w:szCs w:val="20"/>
        </w:rPr>
        <w:t>GRIFOLS</w:t>
      </w:r>
      <w:r>
        <w:rPr>
          <w:rFonts w:ascii="Open Sans" w:hAnsi="Open Sans" w:cs="Arial"/>
          <w:bCs/>
          <w:sz w:val="20"/>
          <w:szCs w:val="20"/>
        </w:rPr>
        <w:t xml:space="preserve"> en su </w:t>
      </w:r>
      <w:r>
        <w:rPr>
          <w:rFonts w:ascii="Open Sans" w:hAnsi="Open Sans"/>
          <w:sz w:val="20"/>
          <w:szCs w:val="20"/>
        </w:rPr>
        <w:t>política de cumplimiento y buenas prácticas en materia fiscal menciona expresamente que “</w:t>
      </w:r>
      <w:r w:rsidRPr="00FD6A83">
        <w:rPr>
          <w:rFonts w:ascii="Open Sans" w:hAnsi="Open Sans"/>
          <w:i/>
          <w:sz w:val="20"/>
          <w:szCs w:val="20"/>
        </w:rPr>
        <w:t>no tiene presencia en territorios calificados como paraísos fiscales, y sus operaciones comerciales con terceros en esos o cualesquiera otros territorios se enmarcan en su actividad industrial y comercial ordinaria. En consistencia con los principios y recomendaciones de fiscalidad internacional del Comité de Asuntos Fiscales de la OCDE, rechaza el traslado de resultados de forma artificiosa a dichos territorios o</w:t>
      </w:r>
      <w:r>
        <w:rPr>
          <w:rFonts w:ascii="Open Sans" w:hAnsi="Open Sans"/>
          <w:i/>
          <w:sz w:val="20"/>
          <w:szCs w:val="20"/>
        </w:rPr>
        <w:t xml:space="preserve"> el amparo en la opacidad informativa que esos territorios ofrecen. La transparencia informativa en materia fiscal se considera esencial en la política fiscal de Grifols</w:t>
      </w:r>
      <w:r>
        <w:rPr>
          <w:rFonts w:ascii="Open Sans" w:hAnsi="Open Sans"/>
          <w:sz w:val="20"/>
          <w:szCs w:val="20"/>
        </w:rPr>
        <w:t xml:space="preserve">”. Según la metodología del Observatorio de RSC, que tiene en cuenta también los nichos fiscales, </w:t>
      </w:r>
      <w:r w:rsidRPr="00FD6A83">
        <w:rPr>
          <w:rFonts w:ascii="Open Sans" w:hAnsi="Open Sans"/>
          <w:sz w:val="20"/>
          <w:szCs w:val="20"/>
        </w:rPr>
        <w:t>Grifols tiene presencia en países y en territorios considerados nichos fiscales con 16 filiales. Estos son: Delaware (EEUU), Hong Kong (China), Singapur, Suiza e Irlanda.</w:t>
      </w:r>
      <w:r>
        <w:rPr>
          <w:rFonts w:ascii="Open Sans" w:hAnsi="Open Sans"/>
          <w:sz w:val="20"/>
          <w:szCs w:val="20"/>
        </w:rPr>
        <w:t xml:space="preserve"> </w:t>
      </w:r>
      <w:r w:rsidRPr="00A85EC8">
        <w:rPr>
          <w:rFonts w:ascii="Open Sans" w:hAnsi="Open Sans" w:cs="Arial"/>
          <w:sz w:val="20"/>
          <w:szCs w:val="20"/>
        </w:rPr>
        <w:t xml:space="preserve">GRIFOLS no facilita información de manera desglosada </w:t>
      </w:r>
      <w:r>
        <w:rPr>
          <w:rFonts w:ascii="Open Sans" w:hAnsi="Open Sans" w:cs="Arial"/>
          <w:sz w:val="20"/>
          <w:szCs w:val="20"/>
        </w:rPr>
        <w:t xml:space="preserve">en estos territorios </w:t>
      </w:r>
      <w:r w:rsidRPr="00A85EC8">
        <w:rPr>
          <w:rFonts w:ascii="Open Sans" w:hAnsi="Open Sans" w:cs="Arial"/>
          <w:sz w:val="20"/>
          <w:szCs w:val="20"/>
        </w:rPr>
        <w:t>sobre número de empleados vinculados con las mismas, datos de facturación, beneficios e impuestos pagados</w:t>
      </w:r>
      <w:r>
        <w:rPr>
          <w:rFonts w:ascii="Open Sans" w:hAnsi="Open Sans" w:cs="Arial"/>
          <w:sz w:val="20"/>
          <w:szCs w:val="20"/>
        </w:rPr>
        <w:t>.</w:t>
      </w:r>
    </w:p>
    <w:p w14:paraId="2B6660BC" w14:textId="77777777" w:rsidR="0090659A" w:rsidRDefault="0090659A" w:rsidP="0090659A">
      <w:pPr>
        <w:jc w:val="both"/>
        <w:rPr>
          <w:rFonts w:ascii="Open Sans" w:hAnsi="Open Sans" w:cs="Arial"/>
          <w:sz w:val="20"/>
          <w:szCs w:val="20"/>
        </w:rPr>
      </w:pPr>
    </w:p>
    <w:p w14:paraId="1199D8F4" w14:textId="67F26E94" w:rsidR="0090659A" w:rsidRDefault="0090659A" w:rsidP="0090659A">
      <w:pPr>
        <w:jc w:val="both"/>
        <w:rPr>
          <w:rFonts w:ascii="Open Sans" w:hAnsi="Open Sans" w:cs="Arial"/>
          <w:sz w:val="20"/>
          <w:szCs w:val="20"/>
        </w:rPr>
      </w:pPr>
      <w:r w:rsidRPr="00DF77A7">
        <w:rPr>
          <w:rFonts w:ascii="Open Sans" w:hAnsi="Open Sans" w:cs="Arial"/>
          <w:sz w:val="20"/>
          <w:szCs w:val="20"/>
        </w:rPr>
        <w:t>Durante el ejercicio 2015 GRIFOLS inauguró oficialmente el centro mundial de operaciones de Dublín (Irlanda) donde ha traslado todas las operaciones de la división Biociencia: actividad logística transnacional de la división, el etiquetado, acondicionamiento y empaquetado de producto final; los trámites regulatorios y aprobaciones finales relacionadas con el suministro de plasma; coordinación de la política comercial, I+D y cadena de suministro. Además, en el nuevo centro se encuentra centralizada la gestión de la tesorería del Grupo, operando como acceso de Grifols a los mercados de capitales</w:t>
      </w:r>
      <w:r>
        <w:rPr>
          <w:rFonts w:ascii="Open Sans" w:hAnsi="Open Sans" w:cs="Arial"/>
          <w:sz w:val="20"/>
          <w:szCs w:val="20"/>
        </w:rPr>
        <w:t xml:space="preserve">. Esta decisión ha sido ampliamente criticada en medios de comunicación ya que Irlanda, con su baja fiscalidad, atrae a multinacionales de diferentes sectores pero en especial a la industria farmacéutica principalmente por </w:t>
      </w:r>
      <w:r w:rsidR="007F55EB">
        <w:rPr>
          <w:rFonts w:ascii="Open Sans" w:hAnsi="Open Sans" w:cs="Arial"/>
          <w:sz w:val="20"/>
          <w:szCs w:val="20"/>
        </w:rPr>
        <w:t>sus ventajas fiscales</w:t>
      </w:r>
      <w:r>
        <w:rPr>
          <w:rStyle w:val="Refdenotaalpie"/>
          <w:rFonts w:ascii="Open Sans" w:hAnsi="Open Sans" w:cs="Arial"/>
          <w:sz w:val="20"/>
          <w:szCs w:val="20"/>
        </w:rPr>
        <w:footnoteReference w:id="124"/>
      </w:r>
      <w:r>
        <w:rPr>
          <w:rFonts w:ascii="Open Sans" w:hAnsi="Open Sans" w:cs="Arial"/>
          <w:sz w:val="20"/>
          <w:szCs w:val="20"/>
        </w:rPr>
        <w:t xml:space="preserve">. También es objeto de investigación por parte de las autoridades españolas y estadounidenses. </w:t>
      </w:r>
    </w:p>
    <w:p w14:paraId="5624B526" w14:textId="77777777" w:rsidR="0090659A" w:rsidRDefault="0090659A" w:rsidP="0090659A">
      <w:pPr>
        <w:jc w:val="both"/>
      </w:pPr>
    </w:p>
    <w:p w14:paraId="59464899" w14:textId="77777777" w:rsidR="0090659A" w:rsidRDefault="0090659A" w:rsidP="0090659A">
      <w:pPr>
        <w:autoSpaceDE w:val="0"/>
        <w:autoSpaceDN w:val="0"/>
        <w:adjustRightInd w:val="0"/>
        <w:jc w:val="both"/>
        <w:rPr>
          <w:rFonts w:ascii="Open Sans" w:hAnsi="Open Sans" w:cs="Open Sans"/>
          <w:sz w:val="20"/>
          <w:szCs w:val="20"/>
        </w:rPr>
      </w:pPr>
      <w:r w:rsidRPr="00DF77A7">
        <w:rPr>
          <w:rFonts w:ascii="Open Sans" w:hAnsi="Open Sans" w:cs="Open Sans"/>
          <w:sz w:val="20"/>
          <w:szCs w:val="20"/>
        </w:rPr>
        <w:t>ACS</w:t>
      </w:r>
      <w:r>
        <w:rPr>
          <w:rFonts w:ascii="Open Sans" w:hAnsi="Open Sans" w:cs="Open Sans"/>
          <w:sz w:val="20"/>
          <w:szCs w:val="20"/>
        </w:rPr>
        <w:t xml:space="preserve"> en su Código de Conducta aprobado en 2015 afirma que “</w:t>
      </w:r>
      <w:r>
        <w:rPr>
          <w:rFonts w:ascii="Open Sans" w:eastAsia="Calibri" w:hAnsi="Open Sans" w:cs="KlavikaBasic-Light"/>
          <w:i/>
          <w:sz w:val="20"/>
          <w:szCs w:val="20"/>
        </w:rPr>
        <w:t>se compromete a cumplir la normativa fiscal vigente en cada país o territorio donde está presente, evitando la ocultación de información relevante, la elusión ilegal del pago de impuestos o la obtención de beneficios fiscales indebidos</w:t>
      </w:r>
      <w:r>
        <w:rPr>
          <w:rFonts w:ascii="Open Sans" w:hAnsi="Open Sans" w:cs="Open Sans"/>
          <w:sz w:val="20"/>
          <w:szCs w:val="20"/>
        </w:rPr>
        <w:t xml:space="preserve">”,  no aporta información sobre las actividades de compañía  en paraísos y nichos fiscales ni en la Memoria de Sostenibilidad ni en ningún otro documento de los analizados. </w:t>
      </w:r>
      <w:r w:rsidRPr="00FD6A83">
        <w:rPr>
          <w:rFonts w:ascii="Open Sans" w:hAnsi="Open Sans" w:cs="Open Sans"/>
          <w:sz w:val="20"/>
          <w:szCs w:val="20"/>
        </w:rPr>
        <w:t>A pesar de las limitaciones sobre la información en materia fiscal, en función de la información aportada en el Anexo I de las Cuentas Anuales sobre sociedades dependientes, se considera que 105 sociedades ubicadas en paraísos o nichos fiscales ofrecen dudas en cuanto a que su actividad tenga que ver con la operativa propia de negocio ya que su actividad (financiera o instrumental), o su ubicación ofrecen dudas que no son susceptibles de resolver al no aportar la empresa mayor información. Este es el caso de Suiza, Islas Cayman,  Islas Mauricio, Bermudas, Uruguay y Gibraltar, en las que se ubican varias filiales (14) de ACS que pese a mencionar una actividad operativa sin embargo la empresa no declara en sus cuentas anuales y otras fuentes consultadas operaciones en estas circunscripciones.</w:t>
      </w:r>
      <w:r>
        <w:rPr>
          <w:rFonts w:ascii="Open Sans" w:hAnsi="Open Sans" w:cs="Open Sans"/>
          <w:sz w:val="20"/>
          <w:szCs w:val="20"/>
        </w:rPr>
        <w:t xml:space="preserve"> ACS afirma tener presencia en 60 países en 5 continentes y muestra su presencia en un mapa en su página Web. Ni en el mapa y ni en la relación  de países de la web de ACS se ha podido constatar que la empresa tenga presencia en estos territorios. Por otro lado hay sociedades que tienen mero carácter instrumental o financiero (ver por ejemplo varias de las sociedades ubicadas en Holanda) o que gestionan operaciones en terceros países (ver por ejemplo Delaware y algunas participadas en Singapur):</w:t>
      </w:r>
    </w:p>
    <w:p w14:paraId="785BEE98" w14:textId="77777777" w:rsidR="0090659A" w:rsidRDefault="0090659A" w:rsidP="0090659A">
      <w:pPr>
        <w:autoSpaceDE w:val="0"/>
        <w:autoSpaceDN w:val="0"/>
        <w:adjustRightInd w:val="0"/>
        <w:jc w:val="both"/>
        <w:rPr>
          <w:rFonts w:ascii="Open Sans" w:hAnsi="Open Sans" w:cs="Open Sans"/>
          <w:sz w:val="20"/>
          <w:szCs w:val="20"/>
        </w:rPr>
      </w:pPr>
    </w:p>
    <w:p w14:paraId="79DD3553" w14:textId="3FAE3C19" w:rsidR="0090659A" w:rsidRDefault="00DF77A7" w:rsidP="0090659A">
      <w:pPr>
        <w:jc w:val="both"/>
        <w:rPr>
          <w:rFonts w:ascii="Open Sans" w:hAnsi="Open Sans" w:cs="Open Sans"/>
          <w:sz w:val="20"/>
          <w:szCs w:val="20"/>
        </w:rPr>
      </w:pPr>
      <w:r w:rsidRPr="00DF77A7">
        <w:rPr>
          <w:rFonts w:ascii="Open Sans" w:hAnsi="Open Sans" w:cs="Open Sans"/>
          <w:sz w:val="20"/>
          <w:szCs w:val="20"/>
        </w:rPr>
        <w:t>ACCIONA</w:t>
      </w:r>
      <w:r w:rsidR="00FD6A83" w:rsidRPr="00FD6A83">
        <w:rPr>
          <w:rFonts w:ascii="Open Sans" w:hAnsi="Open Sans" w:cs="Open Sans"/>
          <w:sz w:val="20"/>
          <w:szCs w:val="20"/>
        </w:rPr>
        <w:t xml:space="preserve"> </w:t>
      </w:r>
      <w:r w:rsidR="0090659A" w:rsidRPr="00DF77A7">
        <w:rPr>
          <w:rFonts w:ascii="Open Sans" w:hAnsi="Open Sans" w:cs="Open Sans"/>
          <w:sz w:val="20"/>
          <w:szCs w:val="20"/>
        </w:rPr>
        <w:t xml:space="preserve">cuenta con 44 sociedades domiciliadas en países y territorios considerados paraíso (5) o nicho fiscal (39) de acuerdo con la metodología del Observatorio de RSC. Acciona  afirma que “Es necesario el reporte de información fiscal tanto a nivel internacional como nacional y regional, ya que la evasión fiscal es también un asunto que preocupa a la sociedad”,  no aporta información sobre las actividades de compañía  en paraísos y nichos fiscales ni en la Memoria de Sostenibilidad ni en ningún otro documento de los analizados. </w:t>
      </w:r>
      <w:r w:rsidR="0090659A">
        <w:rPr>
          <w:rFonts w:ascii="Open Sans" w:hAnsi="Open Sans" w:cs="Open Sans"/>
          <w:sz w:val="20"/>
          <w:szCs w:val="20"/>
        </w:rPr>
        <w:t xml:space="preserve">A pesar de las limitaciones sobre la información en materia fiscal, en función de la información aportada en el Anexo I de las Cuentas Anuales sobre sociedades dependientes, se considera que </w:t>
      </w:r>
      <w:r w:rsidR="0090659A" w:rsidRPr="00DF77A7">
        <w:rPr>
          <w:rFonts w:ascii="Open Sans" w:hAnsi="Open Sans" w:cs="Open Sans"/>
          <w:sz w:val="20"/>
          <w:szCs w:val="20"/>
        </w:rPr>
        <w:t xml:space="preserve">treinta y nueve sociedades ubicadas en paraísos o nichos fiscales ofrecen dudas en cuanto a que su actividad tenga que ver con la operativa propia de negocio ya que su actividad (no operativa), o su ubicación ofrecen dudas que no son susceptibles de resolver al no aportar la empresa mayor información. </w:t>
      </w:r>
      <w:r w:rsidR="0090659A" w:rsidRPr="00FD6A83">
        <w:rPr>
          <w:rFonts w:ascii="Open Sans" w:hAnsi="Open Sans" w:cs="Open Sans"/>
          <w:sz w:val="20"/>
          <w:szCs w:val="20"/>
        </w:rPr>
        <w:t xml:space="preserve">Este es el caso de Holanda, Andorra, Panamá, Gibrartar, Malta y Suiza, en las que se ubican varias filiales (10) de Acciona que pese a mencionar una actividad operativa sin embargo la empresa no declara en sus cuentas anuales y otras fuentes consultadas operaciones en estas circunscripciones. </w:t>
      </w:r>
      <w:r w:rsidR="0090659A">
        <w:rPr>
          <w:rFonts w:ascii="Open Sans" w:hAnsi="Open Sans" w:cs="Open Sans"/>
          <w:sz w:val="20"/>
          <w:szCs w:val="20"/>
        </w:rPr>
        <w:t>Acciona afirma tener presencia en 65 países en 5 continentes y muestra su presencia en un mapa interactivo. Ni en el mapa y ni en la relación  de países de la web de acciona se ha podido constatar que la empresa tenga presencia en estos territorios. En el caso de Panamá Acciona cuenta dos sociedades: ACCIONA Infraestructuras-Elecnor, Hospital David y Compañía Internacional de Construcciones. Según  la información aparecida en el diario cincodías el 19 de febrero de 2015 Panamá anula a Acciona un contrato para construir un hospital “por encontrarse una serie de anomalías desde el proceso de evaluación al de adjudicación”</w:t>
      </w:r>
      <w:r w:rsidR="0090659A">
        <w:rPr>
          <w:rStyle w:val="Refdenotaalpie"/>
          <w:rFonts w:ascii="Open Sans" w:hAnsi="Open Sans" w:cs="Open Sans"/>
          <w:sz w:val="20"/>
          <w:szCs w:val="20"/>
        </w:rPr>
        <w:footnoteReference w:id="125"/>
      </w:r>
    </w:p>
    <w:p w14:paraId="3653B7F3" w14:textId="77777777" w:rsidR="0090659A" w:rsidRDefault="0090659A" w:rsidP="0090659A">
      <w:pPr>
        <w:jc w:val="both"/>
        <w:rPr>
          <w:rFonts w:ascii="Open Sans" w:hAnsi="Open Sans" w:cs="Open Sans"/>
          <w:sz w:val="20"/>
          <w:szCs w:val="20"/>
        </w:rPr>
      </w:pPr>
    </w:p>
    <w:p w14:paraId="44C4B66D" w14:textId="77777777" w:rsidR="0090659A" w:rsidRPr="002675A4" w:rsidRDefault="0090659A" w:rsidP="0090659A">
      <w:pPr>
        <w:jc w:val="both"/>
        <w:rPr>
          <w:rFonts w:ascii="Open Sans" w:hAnsi="Open Sans" w:cs="Open Sans"/>
          <w:sz w:val="20"/>
          <w:szCs w:val="20"/>
        </w:rPr>
      </w:pPr>
      <w:r>
        <w:rPr>
          <w:rFonts w:ascii="Open Sans" w:hAnsi="Open Sans" w:cs="Open Sans"/>
          <w:sz w:val="20"/>
          <w:szCs w:val="20"/>
        </w:rPr>
        <w:t xml:space="preserve">Por otro lado, </w:t>
      </w:r>
      <w:r w:rsidRPr="00DF77A7">
        <w:rPr>
          <w:rFonts w:ascii="Open Sans" w:hAnsi="Open Sans" w:cs="Open Sans"/>
          <w:sz w:val="20"/>
          <w:szCs w:val="20"/>
        </w:rPr>
        <w:t xml:space="preserve">en prensa aparecen informaciones sobre posible estructura societaria a través de paraísos fiscales (Bermudas y Cayman) de la concesionaria liderada por Acciona de la privatización de la </w:t>
      </w:r>
      <w:r w:rsidRPr="00DF77A7">
        <w:rPr>
          <w:rStyle w:val="apple-converted-space"/>
          <w:rFonts w:ascii="Open Sans" w:hAnsi="Open Sans" w:cs="Open Sans"/>
          <w:color w:val="333333"/>
          <w:sz w:val="20"/>
          <w:szCs w:val="20"/>
          <w:shd w:val="clear" w:color="auto" w:fill="FFFFFF"/>
        </w:rPr>
        <w:t> </w:t>
      </w:r>
      <w:r w:rsidRPr="00DF77A7">
        <w:rPr>
          <w:rFonts w:ascii="Open Sans" w:hAnsi="Open Sans" w:cs="Open Sans"/>
          <w:sz w:val="20"/>
          <w:szCs w:val="20"/>
        </w:rPr>
        <w:t>la empresa pública Aigües Ter Llobregat por parte de “ATLL Concesionaria de la Generalitat SA” entidad participada por Acciona</w:t>
      </w:r>
      <w:r w:rsidRPr="00DF77A7">
        <w:rPr>
          <w:rStyle w:val="Refdenotaalpie"/>
          <w:rFonts w:ascii="Open Sans" w:hAnsi="Open Sans" w:cs="Open Sans"/>
          <w:sz w:val="20"/>
          <w:szCs w:val="20"/>
        </w:rPr>
        <w:footnoteReference w:id="126"/>
      </w:r>
      <w:r w:rsidRPr="00DF77A7">
        <w:rPr>
          <w:rFonts w:ascii="Times New Roman" w:hAnsi="Times New Roman" w:cs="Times New Roman"/>
        </w:rPr>
        <w:t xml:space="preserve"> </w:t>
      </w:r>
    </w:p>
    <w:p w14:paraId="49974292" w14:textId="77777777" w:rsidR="0090659A" w:rsidRDefault="0090659A" w:rsidP="0090659A">
      <w:pPr>
        <w:jc w:val="both"/>
        <w:rPr>
          <w:rFonts w:ascii="Open Sans" w:hAnsi="Open Sans" w:cs="Open Sans"/>
          <w:sz w:val="20"/>
          <w:szCs w:val="20"/>
        </w:rPr>
      </w:pPr>
    </w:p>
    <w:p w14:paraId="4AE1C61C" w14:textId="77777777" w:rsidR="0090659A" w:rsidRPr="00FD6A83" w:rsidRDefault="0090659A" w:rsidP="0090659A">
      <w:pPr>
        <w:autoSpaceDE w:val="0"/>
        <w:autoSpaceDN w:val="0"/>
        <w:adjustRightInd w:val="0"/>
        <w:jc w:val="both"/>
        <w:rPr>
          <w:rFonts w:ascii="Open Sans" w:eastAsia="Calibri" w:hAnsi="Open Sans" w:cs="Open Sans"/>
          <w:sz w:val="20"/>
          <w:szCs w:val="20"/>
        </w:rPr>
      </w:pPr>
      <w:r w:rsidRPr="00DF77A7">
        <w:rPr>
          <w:rFonts w:ascii="Open Sans" w:eastAsia="Calibri" w:hAnsi="Open Sans" w:cs="Open Sans"/>
          <w:sz w:val="20"/>
          <w:szCs w:val="20"/>
        </w:rPr>
        <w:t>MAPFRE</w:t>
      </w:r>
      <w:r>
        <w:rPr>
          <w:rFonts w:ascii="Open Sans" w:eastAsia="Calibri" w:hAnsi="Open Sans" w:cs="Open Sans"/>
          <w:sz w:val="20"/>
          <w:szCs w:val="20"/>
        </w:rPr>
        <w:t xml:space="preserve"> tiene </w:t>
      </w:r>
      <w:r w:rsidRPr="00DF77A7">
        <w:rPr>
          <w:rFonts w:ascii="Open Sans" w:eastAsia="Calibri" w:hAnsi="Open Sans" w:cs="Open Sans"/>
          <w:sz w:val="20"/>
          <w:szCs w:val="20"/>
        </w:rPr>
        <w:t xml:space="preserve">un posicionamiento definido con respecto a los paraísos fiscales </w:t>
      </w:r>
      <w:r w:rsidRPr="00DF77A7">
        <w:rPr>
          <w:rFonts w:ascii="Open Sans" w:eastAsia="Calibri" w:hAnsi="Open Sans" w:cs="Open Sans"/>
          <w:color w:val="000000"/>
          <w:sz w:val="20"/>
          <w:szCs w:val="20"/>
        </w:rPr>
        <w:t>en el que se compromete a estar sólo en los casos que esté justificado por razones operativas</w:t>
      </w:r>
      <w:r w:rsidRPr="00DF77A7">
        <w:rPr>
          <w:rFonts w:ascii="Open Sans" w:eastAsia="Calibri" w:hAnsi="Open Sans" w:cs="Open Sans"/>
          <w:sz w:val="20"/>
          <w:szCs w:val="20"/>
        </w:rPr>
        <w:t>. Sin embargo MAPFRE no informa en mayor detalle sobre sus empresas en paraísos fiscales (tampoco en los nichos fiscales). Informa de forma genérica en el anexo 1 de las cuentas anuales,</w:t>
      </w:r>
      <w:r w:rsidRPr="00FD6A83">
        <w:rPr>
          <w:rFonts w:ascii="Open Sans" w:eastAsia="Calibri" w:hAnsi="Open Sans" w:cs="Open Sans"/>
          <w:sz w:val="20"/>
          <w:szCs w:val="20"/>
        </w:rPr>
        <w:t xml:space="preserve"> donde se puede observar que tiene presencia en Bahréin y Jordania; si bien, en estos países las actividades parecen ser operativas (asistencia en viaje). </w:t>
      </w:r>
    </w:p>
    <w:p w14:paraId="527A0FAA" w14:textId="77777777" w:rsidR="0090659A" w:rsidRDefault="0090659A" w:rsidP="0090659A">
      <w:pPr>
        <w:autoSpaceDE w:val="0"/>
        <w:autoSpaceDN w:val="0"/>
        <w:adjustRightInd w:val="0"/>
        <w:jc w:val="both"/>
        <w:rPr>
          <w:rFonts w:ascii="Open Sans" w:eastAsia="Calibri" w:hAnsi="Open Sans" w:cs="Open Sans"/>
          <w:sz w:val="20"/>
          <w:szCs w:val="20"/>
        </w:rPr>
      </w:pPr>
    </w:p>
    <w:p w14:paraId="2FB7D163" w14:textId="77777777" w:rsidR="0090659A" w:rsidRDefault="0090659A" w:rsidP="0090659A">
      <w:pPr>
        <w:autoSpaceDE w:val="0"/>
        <w:autoSpaceDN w:val="0"/>
        <w:adjustRightInd w:val="0"/>
        <w:jc w:val="both"/>
        <w:rPr>
          <w:rFonts w:ascii="Open Sans" w:eastAsia="Calibri" w:hAnsi="Open Sans" w:cs="Open Sans"/>
          <w:sz w:val="20"/>
          <w:szCs w:val="20"/>
        </w:rPr>
      </w:pPr>
      <w:r>
        <w:rPr>
          <w:rFonts w:ascii="Open Sans" w:eastAsia="Calibri" w:hAnsi="Open Sans" w:cs="Open Sans"/>
          <w:color w:val="000000"/>
          <w:sz w:val="20"/>
          <w:szCs w:val="20"/>
        </w:rPr>
        <w:t xml:space="preserve">En 2014, MAPFRE tenía presencia a través de tres sociedades en Delaware. No obstante, en 2015, el domicilio fiscal que aparece en las cuentas anuales no aparece Delaware. Hemos contrastado esta información con terceras partes a través de búsquedas en la página Web </w:t>
      </w:r>
      <w:r>
        <w:rPr>
          <w:rFonts w:ascii="Open Sans" w:eastAsia="Calibri" w:hAnsi="Open Sans" w:cs="Open Sans"/>
          <w:i/>
          <w:color w:val="000000"/>
          <w:sz w:val="20"/>
          <w:szCs w:val="20"/>
        </w:rPr>
        <w:t>Opencorporates</w:t>
      </w:r>
      <w:r>
        <w:rPr>
          <w:rFonts w:ascii="Open Sans" w:eastAsia="Calibri" w:hAnsi="Open Sans" w:cs="Open Sans"/>
          <w:color w:val="000000"/>
          <w:sz w:val="20"/>
          <w:szCs w:val="20"/>
        </w:rPr>
        <w:t xml:space="preserve">, y según esta fuente, la sociedad INSPOP USA, LLC con sede en California, sería una filial de INSPOP USA, LLC con sede en Delaware. En los otros dos casos de sociedades que tenían también domicilio fiscal en Delaware en 2014, </w:t>
      </w:r>
      <w:r>
        <w:rPr>
          <w:rFonts w:ascii="Open Sans" w:hAnsi="Open Sans" w:cs="Open Sans"/>
          <w:sz w:val="20"/>
          <w:szCs w:val="20"/>
        </w:rPr>
        <w:t>INSURE &amp; GO INSURANCE SERVICES USA CORP.</w:t>
      </w:r>
      <w:r>
        <w:rPr>
          <w:rFonts w:ascii="Open Sans" w:eastAsia="Calibri" w:hAnsi="Open Sans" w:cs="Open Sans"/>
          <w:sz w:val="20"/>
          <w:szCs w:val="20"/>
        </w:rPr>
        <w:t xml:space="preserve"> y BRICKELL FINANCIAL SERVICESMOTOR CLUB, INC., ya no figura su domicilio fiscal en esta jurisdicción y por lo tanto coincidiría la información aportada por MAPFRE y la página Web </w:t>
      </w:r>
      <w:r>
        <w:rPr>
          <w:rFonts w:ascii="Open Sans" w:eastAsia="Calibri" w:hAnsi="Open Sans" w:cs="Open Sans"/>
          <w:i/>
          <w:sz w:val="20"/>
          <w:szCs w:val="20"/>
        </w:rPr>
        <w:t>Opencorporates</w:t>
      </w:r>
      <w:r>
        <w:rPr>
          <w:rFonts w:ascii="Open Sans" w:eastAsia="Calibri" w:hAnsi="Open Sans" w:cs="Open Sans"/>
          <w:sz w:val="20"/>
          <w:szCs w:val="20"/>
        </w:rPr>
        <w:t>.</w:t>
      </w:r>
    </w:p>
    <w:p w14:paraId="39E89AA2" w14:textId="77777777" w:rsidR="0090659A" w:rsidRDefault="0090659A" w:rsidP="0090659A">
      <w:pPr>
        <w:autoSpaceDE w:val="0"/>
        <w:autoSpaceDN w:val="0"/>
        <w:adjustRightInd w:val="0"/>
        <w:jc w:val="both"/>
        <w:rPr>
          <w:rFonts w:ascii="Open Sans" w:eastAsia="Calibri" w:hAnsi="Open Sans" w:cs="Open Sans"/>
          <w:sz w:val="20"/>
          <w:szCs w:val="20"/>
        </w:rPr>
      </w:pPr>
    </w:p>
    <w:p w14:paraId="2B810043" w14:textId="77777777" w:rsidR="0090659A" w:rsidRDefault="0090659A" w:rsidP="0090659A">
      <w:pPr>
        <w:autoSpaceDE w:val="0"/>
        <w:autoSpaceDN w:val="0"/>
        <w:adjustRightInd w:val="0"/>
        <w:jc w:val="both"/>
        <w:rPr>
          <w:rFonts w:ascii="Open Sans" w:hAnsi="Open Sans" w:cs="Open Sans"/>
          <w:sz w:val="20"/>
          <w:szCs w:val="20"/>
        </w:rPr>
      </w:pPr>
      <w:r>
        <w:rPr>
          <w:rFonts w:ascii="Open Sans" w:eastAsia="Calibri" w:hAnsi="Open Sans" w:cs="Open Sans"/>
          <w:sz w:val="20"/>
          <w:szCs w:val="20"/>
        </w:rPr>
        <w:t xml:space="preserve">También se ha realizado una búsqueda genérica de MAPFRE en </w:t>
      </w:r>
      <w:r>
        <w:rPr>
          <w:rFonts w:ascii="Open Sans" w:eastAsia="Calibri" w:hAnsi="Open Sans" w:cs="Open Sans"/>
          <w:i/>
          <w:sz w:val="20"/>
          <w:szCs w:val="20"/>
        </w:rPr>
        <w:t xml:space="preserve">Opencorporates </w:t>
      </w:r>
      <w:r>
        <w:rPr>
          <w:rFonts w:ascii="Open Sans" w:eastAsia="Calibri" w:hAnsi="Open Sans" w:cs="Open Sans"/>
          <w:sz w:val="20"/>
          <w:szCs w:val="20"/>
        </w:rPr>
        <w:t xml:space="preserve">y en los resultados aparecen dos sociedades en Delaware (MAPFRE LIFE INSURANCE COMPANY y MAPFRE RE HOLDINGS, INC.); sin embargo, en las cuentas anuales de la empresa, aparecen 2 coincidencias para el primer caso –con domicilio en Puerto Rico y otra jurisdicción de EEUU- y varias con MAPFRE RE, pero ninguna como MAPFRE RE HOLDINGS. En la búsqueda realizada en la página Web Openleis, se ha encontrado también una entidad sita en las Islas Caymán con la denominación MAPFRE, siempre según la información de esta fuente, que se denomina  </w:t>
      </w:r>
      <w:r>
        <w:rPr>
          <w:rFonts w:ascii="Open Sans" w:hAnsi="Open Sans" w:cs="Open Sans"/>
          <w:sz w:val="20"/>
          <w:szCs w:val="20"/>
        </w:rPr>
        <w:t>LMA SPC - Map R Segregated Portfolio.</w:t>
      </w:r>
    </w:p>
    <w:p w14:paraId="0EF3C1CA" w14:textId="77777777" w:rsidR="0090659A" w:rsidRDefault="0090659A" w:rsidP="0090659A">
      <w:pPr>
        <w:autoSpaceDE w:val="0"/>
        <w:autoSpaceDN w:val="0"/>
        <w:adjustRightInd w:val="0"/>
        <w:jc w:val="both"/>
        <w:rPr>
          <w:rFonts w:ascii="Open Sans" w:eastAsia="Calibri" w:hAnsi="Open Sans" w:cs="Open Sans"/>
          <w:sz w:val="20"/>
          <w:szCs w:val="20"/>
        </w:rPr>
      </w:pPr>
    </w:p>
    <w:p w14:paraId="385E25BF" w14:textId="77777777" w:rsidR="0090659A" w:rsidRDefault="0090659A" w:rsidP="0090659A">
      <w:pPr>
        <w:jc w:val="both"/>
        <w:rPr>
          <w:rFonts w:ascii="Open Sans" w:hAnsi="Open Sans" w:cs="Open Sans"/>
          <w:color w:val="000000"/>
          <w:sz w:val="20"/>
          <w:szCs w:val="20"/>
        </w:rPr>
      </w:pPr>
      <w:r w:rsidRPr="00B362D0">
        <w:rPr>
          <w:rFonts w:ascii="Open Sans" w:hAnsi="Open Sans" w:cs="Open Sans"/>
          <w:color w:val="000000"/>
          <w:sz w:val="20"/>
          <w:szCs w:val="20"/>
        </w:rPr>
        <w:t>Mientras que la actividad de MAPFRE en paraísos fiscales parece estar más vinculada a la actividad de la compañía; en los nichos fiscales encontramos sociedades holding en 4 países (Panamá, Puerto Rico, República Dominicana y Uruguay), sociedades con actividad financiera en Malta (</w:t>
      </w:r>
      <w:r w:rsidRPr="00B362D0">
        <w:rPr>
          <w:rFonts w:ascii="Open Sans" w:hAnsi="Open Sans" w:cs="Open Sans"/>
          <w:sz w:val="20"/>
          <w:szCs w:val="20"/>
        </w:rPr>
        <w:t xml:space="preserve">EURO GLOBE HOLDINGS LIMITED) </w:t>
      </w:r>
      <w:r w:rsidRPr="00B362D0">
        <w:rPr>
          <w:rFonts w:ascii="Open Sans" w:hAnsi="Open Sans" w:cs="Open Sans"/>
          <w:color w:val="000000"/>
          <w:sz w:val="20"/>
          <w:szCs w:val="20"/>
        </w:rPr>
        <w:t>y Puerto Rico (</w:t>
      </w:r>
      <w:r w:rsidRPr="00B362D0">
        <w:rPr>
          <w:rFonts w:ascii="Open Sans" w:hAnsi="Open Sans" w:cs="Open Sans"/>
          <w:sz w:val="20"/>
          <w:szCs w:val="20"/>
        </w:rPr>
        <w:t>MAPFRE FINANCE OF PUERTO RICO CORP)</w:t>
      </w:r>
      <w:r w:rsidRPr="00B362D0">
        <w:rPr>
          <w:rFonts w:ascii="Open Sans" w:hAnsi="Open Sans" w:cs="Open Sans"/>
          <w:color w:val="000000"/>
          <w:sz w:val="20"/>
          <w:szCs w:val="20"/>
        </w:rPr>
        <w:t xml:space="preserve"> y empresas denominadas como tenedoras de acciones en Panamá (</w:t>
      </w:r>
      <w:r w:rsidRPr="00B362D0">
        <w:rPr>
          <w:rFonts w:ascii="Open Sans" w:hAnsi="Open Sans" w:cs="Open Sans"/>
          <w:sz w:val="20"/>
          <w:szCs w:val="20"/>
        </w:rPr>
        <w:t>MAPFRE TENEDORA DE ACC, S.A.)</w:t>
      </w:r>
      <w:r w:rsidRPr="00B362D0">
        <w:rPr>
          <w:rFonts w:ascii="Open Sans" w:hAnsi="Open Sans" w:cs="Open Sans"/>
          <w:color w:val="000000"/>
          <w:sz w:val="20"/>
          <w:szCs w:val="20"/>
        </w:rPr>
        <w:t>. Sería conveniente que MAPFRE informara con un mayor detalle, sobre la actividad de estas empresas.</w:t>
      </w:r>
    </w:p>
    <w:p w14:paraId="0EDACF2E" w14:textId="77777777" w:rsidR="0090659A" w:rsidRPr="006A739D" w:rsidRDefault="0090659A" w:rsidP="0090659A">
      <w:pPr>
        <w:jc w:val="both"/>
        <w:rPr>
          <w:rFonts w:ascii="Open Sans" w:hAnsi="Open Sans" w:cs="Open Sans"/>
          <w:sz w:val="20"/>
          <w:szCs w:val="20"/>
        </w:rPr>
      </w:pPr>
    </w:p>
    <w:p w14:paraId="7B4AD36D" w14:textId="77777777" w:rsidR="0090659A" w:rsidRPr="005174C2" w:rsidRDefault="0090659A" w:rsidP="0090659A">
      <w:pPr>
        <w:jc w:val="both"/>
        <w:rPr>
          <w:rFonts w:ascii="Open Sans" w:hAnsi="Open Sans" w:cs="Open Sans"/>
          <w:sz w:val="20"/>
          <w:szCs w:val="20"/>
          <w:u w:val="single"/>
        </w:rPr>
      </w:pPr>
      <w:r w:rsidRPr="00DF77A7">
        <w:rPr>
          <w:rFonts w:ascii="Open Sans" w:hAnsi="Open Sans" w:cs="Arial"/>
          <w:bCs/>
          <w:sz w:val="20"/>
          <w:szCs w:val="20"/>
        </w:rPr>
        <w:t>INDITEX menciona como principio rector de su estrategia fiscal la “renuncia a la utilización de estructuras societarias de carácter opaco que interpongan sociedades instrumentales en paraísos fiscales, de acuerdo con el listado de territorios considerados como tales por la normativa fiscal española.</w:t>
      </w:r>
      <w:r w:rsidRPr="00DF77A7">
        <w:rPr>
          <w:rStyle w:val="Refdenotaalpie"/>
          <w:rFonts w:ascii="Open Sans" w:hAnsi="Open Sans"/>
          <w:bCs/>
          <w:sz w:val="20"/>
          <w:szCs w:val="20"/>
        </w:rPr>
        <w:footnoteReference w:id="127"/>
      </w:r>
      <w:r w:rsidRPr="00DF77A7">
        <w:rPr>
          <w:rFonts w:ascii="Open Sans" w:hAnsi="Open Sans" w:cs="Arial"/>
          <w:bCs/>
          <w:sz w:val="20"/>
          <w:szCs w:val="20"/>
        </w:rPr>
        <w:t xml:space="preserve"> Sin embargo, más allá de este compromiso, Inditex no aporta mayor información</w:t>
      </w:r>
      <w:r w:rsidRPr="00DF77A7">
        <w:rPr>
          <w:rFonts w:ascii="Open Sans" w:hAnsi="Open Sans" w:cs="Open Sans"/>
          <w:sz w:val="20"/>
          <w:szCs w:val="20"/>
        </w:rPr>
        <w:t xml:space="preserve"> sobre las actividades de sociedades en paraísos y nichos fiscales ni en la Memoria Anual ni en ningún otro documento de los analizados.</w:t>
      </w:r>
    </w:p>
    <w:p w14:paraId="009DF3E3" w14:textId="77777777" w:rsidR="0090659A" w:rsidRPr="008B260B" w:rsidRDefault="0090659A" w:rsidP="0090659A">
      <w:pPr>
        <w:jc w:val="both"/>
        <w:rPr>
          <w:rFonts w:ascii="Open Sans" w:hAnsi="Open Sans" w:cs="Arial"/>
          <w:bCs/>
          <w:sz w:val="20"/>
          <w:szCs w:val="20"/>
        </w:rPr>
      </w:pPr>
      <w:r w:rsidRPr="00724C1E">
        <w:rPr>
          <w:rFonts w:ascii="Open Sans" w:hAnsi="Open Sans" w:cs="Open Sans"/>
          <w:sz w:val="20"/>
          <w:szCs w:val="20"/>
        </w:rPr>
        <w:t xml:space="preserve"> </w:t>
      </w:r>
    </w:p>
    <w:p w14:paraId="46A20589" w14:textId="0EC59AE8" w:rsidR="0090659A" w:rsidRDefault="0090659A" w:rsidP="0090659A">
      <w:pPr>
        <w:jc w:val="both"/>
        <w:rPr>
          <w:rFonts w:ascii="Open Sans" w:hAnsi="Open Sans" w:cs="Arial"/>
          <w:bCs/>
          <w:sz w:val="20"/>
          <w:szCs w:val="20"/>
        </w:rPr>
      </w:pPr>
      <w:r>
        <w:rPr>
          <w:rFonts w:ascii="Open Sans" w:hAnsi="Open Sans" w:cs="Arial"/>
          <w:bCs/>
          <w:sz w:val="20"/>
          <w:szCs w:val="20"/>
        </w:rPr>
        <w:t xml:space="preserve">Aparte de la actividad de venta al público, </w:t>
      </w:r>
      <w:r w:rsidR="005174C2">
        <w:rPr>
          <w:rFonts w:ascii="Open Sans" w:hAnsi="Open Sans" w:cs="Arial"/>
          <w:bCs/>
          <w:sz w:val="20"/>
          <w:szCs w:val="20"/>
        </w:rPr>
        <w:t>Inditex genera ingresos derivado</w:t>
      </w:r>
      <w:r>
        <w:rPr>
          <w:rFonts w:ascii="Open Sans" w:hAnsi="Open Sans" w:cs="Arial"/>
          <w:bCs/>
          <w:sz w:val="20"/>
          <w:szCs w:val="20"/>
        </w:rPr>
        <w:t>s de otras actividades como la gestión de activos a través de sociedades de cartera, actividad financiera, inmobiliaria, construcción, aseguradora, prestación de servicios multicadena, entre otros de carácter operativo, compras, diseño y fabricación textil y logística. Sin embargo Inditex no aporta ningún tipo de información ni desglose de datos derivados de estas actividades. Se desconoce por tanto cual es la aportación de estas actividades a la cifra total de negocio del grupo.</w:t>
      </w:r>
    </w:p>
    <w:p w14:paraId="50BB29D8" w14:textId="77777777" w:rsidR="0090659A" w:rsidRDefault="0090659A" w:rsidP="0090659A">
      <w:pPr>
        <w:rPr>
          <w:rFonts w:ascii="Open Sans" w:hAnsi="Open Sans" w:cs="Arial"/>
          <w:bCs/>
          <w:sz w:val="20"/>
          <w:szCs w:val="20"/>
        </w:rPr>
      </w:pPr>
    </w:p>
    <w:p w14:paraId="374116F1" w14:textId="77777777" w:rsidR="0090659A" w:rsidRDefault="0090659A" w:rsidP="0090659A">
      <w:pPr>
        <w:jc w:val="both"/>
        <w:rPr>
          <w:rFonts w:ascii="Open Sans" w:hAnsi="Open Sans" w:cs="Arial"/>
          <w:bCs/>
          <w:sz w:val="20"/>
          <w:szCs w:val="20"/>
        </w:rPr>
      </w:pPr>
      <w:r>
        <w:rPr>
          <w:rFonts w:ascii="Open Sans" w:hAnsi="Open Sans" w:cs="Arial"/>
          <w:bCs/>
          <w:sz w:val="20"/>
          <w:szCs w:val="20"/>
        </w:rPr>
        <w:t xml:space="preserve">Un ejemplo de ello es la actividad inmobiliaria del grupo. </w:t>
      </w:r>
      <w:r w:rsidRPr="0042574B">
        <w:rPr>
          <w:rFonts w:ascii="Open Sans" w:hAnsi="Open Sans" w:cs="Arial"/>
          <w:bCs/>
          <w:sz w:val="20"/>
          <w:szCs w:val="20"/>
        </w:rPr>
        <w:t xml:space="preserve">Según </w:t>
      </w:r>
      <w:r>
        <w:rPr>
          <w:rFonts w:ascii="Open Sans" w:hAnsi="Open Sans" w:cs="Arial"/>
          <w:bCs/>
          <w:sz w:val="20"/>
          <w:szCs w:val="20"/>
        </w:rPr>
        <w:t>la Memoria Anual</w:t>
      </w:r>
      <w:r w:rsidRPr="0042574B">
        <w:rPr>
          <w:rFonts w:ascii="Open Sans" w:hAnsi="Open Sans" w:cs="Arial"/>
          <w:bCs/>
          <w:sz w:val="20"/>
          <w:szCs w:val="20"/>
        </w:rPr>
        <w:t xml:space="preserve">, Inditex cuenta con </w:t>
      </w:r>
      <w:r>
        <w:rPr>
          <w:rFonts w:ascii="Open Sans" w:hAnsi="Open Sans" w:cs="Arial"/>
          <w:bCs/>
          <w:sz w:val="20"/>
          <w:szCs w:val="20"/>
        </w:rPr>
        <w:t>16</w:t>
      </w:r>
      <w:r w:rsidRPr="0042574B">
        <w:rPr>
          <w:rFonts w:ascii="Open Sans" w:hAnsi="Open Sans" w:cs="Arial"/>
          <w:bCs/>
          <w:sz w:val="20"/>
          <w:szCs w:val="20"/>
        </w:rPr>
        <w:t xml:space="preserve"> sociedades</w:t>
      </w:r>
      <w:r>
        <w:rPr>
          <w:rFonts w:ascii="Open Sans" w:hAnsi="Open Sans" w:cs="Arial"/>
          <w:bCs/>
          <w:sz w:val="20"/>
          <w:szCs w:val="20"/>
        </w:rPr>
        <w:t xml:space="preserve"> dependientes</w:t>
      </w:r>
      <w:r w:rsidRPr="0042574B">
        <w:rPr>
          <w:rFonts w:ascii="Open Sans" w:hAnsi="Open Sans" w:cs="Arial"/>
          <w:bCs/>
          <w:sz w:val="20"/>
          <w:szCs w:val="20"/>
        </w:rPr>
        <w:t xml:space="preserve"> dedicadas a la actividad inmobiliaria y </w:t>
      </w:r>
      <w:r>
        <w:rPr>
          <w:rFonts w:ascii="Open Sans" w:hAnsi="Open Sans" w:cs="Arial"/>
          <w:bCs/>
          <w:sz w:val="20"/>
          <w:szCs w:val="20"/>
        </w:rPr>
        <w:t xml:space="preserve">alguna de ellas </w:t>
      </w:r>
      <w:r w:rsidRPr="0042574B">
        <w:rPr>
          <w:rFonts w:ascii="Open Sans" w:hAnsi="Open Sans" w:cs="Arial"/>
          <w:bCs/>
          <w:sz w:val="20"/>
          <w:szCs w:val="20"/>
        </w:rPr>
        <w:t xml:space="preserve">están domiciliadas en plazas de </w:t>
      </w:r>
      <w:r>
        <w:rPr>
          <w:rFonts w:ascii="Open Sans" w:hAnsi="Open Sans" w:cs="Arial"/>
          <w:bCs/>
          <w:sz w:val="20"/>
          <w:szCs w:val="20"/>
        </w:rPr>
        <w:t>tributación blanda. Es el caso</w:t>
      </w:r>
      <w:r w:rsidRPr="0042574B">
        <w:rPr>
          <w:rFonts w:ascii="Open Sans" w:hAnsi="Open Sans" w:cs="Arial"/>
          <w:bCs/>
          <w:sz w:val="20"/>
          <w:szCs w:val="20"/>
        </w:rPr>
        <w:t xml:space="preserve"> de Zara Vastgoed B</w:t>
      </w:r>
      <w:r>
        <w:rPr>
          <w:rFonts w:ascii="Open Sans" w:hAnsi="Open Sans" w:cs="Arial"/>
          <w:bCs/>
          <w:sz w:val="20"/>
          <w:szCs w:val="20"/>
        </w:rPr>
        <w:t xml:space="preserve">V, </w:t>
      </w:r>
      <w:r w:rsidRPr="0042574B">
        <w:rPr>
          <w:rFonts w:ascii="Open Sans" w:hAnsi="Open Sans" w:cs="Arial"/>
          <w:bCs/>
          <w:sz w:val="20"/>
          <w:szCs w:val="20"/>
        </w:rPr>
        <w:t xml:space="preserve">radicada en Amsterdan y </w:t>
      </w:r>
      <w:r>
        <w:rPr>
          <w:rFonts w:ascii="Open Sans" w:hAnsi="Open Sans" w:cs="Arial"/>
          <w:bCs/>
          <w:sz w:val="20"/>
          <w:szCs w:val="20"/>
        </w:rPr>
        <w:t xml:space="preserve">de </w:t>
      </w:r>
      <w:r w:rsidRPr="0042574B">
        <w:rPr>
          <w:rFonts w:ascii="Open Sans" w:hAnsi="Open Sans" w:cs="Arial"/>
          <w:bCs/>
          <w:sz w:val="20"/>
          <w:szCs w:val="20"/>
        </w:rPr>
        <w:t>Vastgoed Asia Ltd, con domicilio fiscal en Hong Kong (China).</w:t>
      </w:r>
      <w:r>
        <w:rPr>
          <w:rFonts w:ascii="Open Sans" w:hAnsi="Open Sans" w:cs="Arial"/>
          <w:bCs/>
          <w:sz w:val="20"/>
          <w:szCs w:val="20"/>
        </w:rPr>
        <w:t xml:space="preserve"> Esta última en 2014 pasó a denominarse </w:t>
      </w:r>
      <w:r w:rsidRPr="0042574B">
        <w:rPr>
          <w:rFonts w:ascii="Open Sans" w:hAnsi="Open Sans" w:cs="Arial"/>
          <w:bCs/>
          <w:sz w:val="20"/>
          <w:szCs w:val="20"/>
        </w:rPr>
        <w:t xml:space="preserve">ITX Global Solutions </w:t>
      </w:r>
      <w:r>
        <w:rPr>
          <w:rFonts w:ascii="Open Sans" w:hAnsi="Open Sans" w:cs="Arial"/>
          <w:bCs/>
          <w:sz w:val="20"/>
          <w:szCs w:val="20"/>
        </w:rPr>
        <w:t>Limited y en las cuentas anuales de 2015 indica ahora que su actividad es “servicios”. En España la aportación del negocio inmobiliario Goa-Invest al grupo cada vez es mayor</w:t>
      </w:r>
      <w:r>
        <w:rPr>
          <w:rStyle w:val="Refdenotaalpie"/>
          <w:bCs/>
          <w:szCs w:val="20"/>
        </w:rPr>
        <w:footnoteReference w:id="128"/>
      </w:r>
      <w:r>
        <w:rPr>
          <w:rFonts w:ascii="Open Sans" w:hAnsi="Open Sans" w:cs="Arial"/>
          <w:bCs/>
          <w:sz w:val="20"/>
          <w:szCs w:val="20"/>
        </w:rPr>
        <w:t>.</w:t>
      </w:r>
    </w:p>
    <w:p w14:paraId="5719DC5D" w14:textId="77777777" w:rsidR="0090659A" w:rsidRDefault="0090659A" w:rsidP="0090659A">
      <w:pPr>
        <w:jc w:val="both"/>
        <w:rPr>
          <w:rFonts w:ascii="Open Sans" w:hAnsi="Open Sans" w:cs="Arial"/>
          <w:bCs/>
          <w:sz w:val="20"/>
          <w:szCs w:val="20"/>
        </w:rPr>
      </w:pPr>
    </w:p>
    <w:p w14:paraId="1627BA33" w14:textId="77777777" w:rsidR="0090659A" w:rsidRDefault="0090659A" w:rsidP="0090659A">
      <w:pPr>
        <w:jc w:val="both"/>
        <w:rPr>
          <w:rFonts w:ascii="Open Sans" w:hAnsi="Open Sans" w:cs="Arial"/>
          <w:bCs/>
          <w:sz w:val="20"/>
          <w:szCs w:val="20"/>
        </w:rPr>
      </w:pPr>
      <w:r w:rsidRPr="00DF77A7">
        <w:rPr>
          <w:rFonts w:ascii="Open Sans" w:hAnsi="Open Sans" w:cs="Arial"/>
          <w:bCs/>
          <w:sz w:val="20"/>
          <w:szCs w:val="20"/>
        </w:rPr>
        <w:t xml:space="preserve">La empresa tiene 16 sociedades en Holanda cuya actividad es financiera o instrumental. </w:t>
      </w:r>
      <w:r>
        <w:rPr>
          <w:rFonts w:ascii="Open Sans" w:hAnsi="Open Sans" w:cs="Arial"/>
          <w:bCs/>
          <w:sz w:val="20"/>
          <w:szCs w:val="20"/>
        </w:rPr>
        <w:t xml:space="preserve">En Delaware (EEUU) está la sociedad </w:t>
      </w:r>
      <w:r w:rsidRPr="0078031F">
        <w:rPr>
          <w:rFonts w:ascii="Open Sans" w:hAnsi="Open Sans" w:cs="Arial"/>
          <w:bCs/>
          <w:sz w:val="20"/>
          <w:szCs w:val="20"/>
        </w:rPr>
        <w:t>ITX USA LLC</w:t>
      </w:r>
      <w:r>
        <w:rPr>
          <w:rFonts w:ascii="Open Sans" w:hAnsi="Open Sans" w:cs="Arial"/>
          <w:bCs/>
          <w:sz w:val="20"/>
          <w:szCs w:val="20"/>
        </w:rPr>
        <w:t>, que en las cuentas anuales figura domiciliada en Nueva York.</w:t>
      </w:r>
    </w:p>
    <w:p w14:paraId="0D1EE4E9" w14:textId="77777777" w:rsidR="0090659A" w:rsidRDefault="0090659A" w:rsidP="0090659A">
      <w:pPr>
        <w:jc w:val="both"/>
        <w:rPr>
          <w:rFonts w:ascii="Open Sans" w:hAnsi="Open Sans" w:cs="Arial"/>
          <w:bCs/>
          <w:sz w:val="20"/>
          <w:szCs w:val="20"/>
        </w:rPr>
      </w:pPr>
    </w:p>
    <w:p w14:paraId="754082D4" w14:textId="77777777" w:rsidR="0090659A" w:rsidRPr="00DF77A7" w:rsidRDefault="0090659A" w:rsidP="0090659A">
      <w:pPr>
        <w:jc w:val="both"/>
        <w:rPr>
          <w:rFonts w:ascii="Open Sans" w:hAnsi="Open Sans" w:cs="Arial"/>
          <w:bCs/>
          <w:sz w:val="20"/>
          <w:szCs w:val="20"/>
        </w:rPr>
      </w:pPr>
      <w:r w:rsidRPr="00DF77A7">
        <w:rPr>
          <w:rFonts w:ascii="Open Sans" w:hAnsi="Open Sans" w:cs="Arial"/>
          <w:bCs/>
          <w:sz w:val="20"/>
          <w:szCs w:val="20"/>
        </w:rPr>
        <w:t>En Irlanda INDITEX tiene 2 sociedades con actividad aseguradora  y financiera.</w:t>
      </w:r>
    </w:p>
    <w:p w14:paraId="46E7E418" w14:textId="77777777" w:rsidR="0090659A" w:rsidRPr="00E15A8F" w:rsidRDefault="0090659A" w:rsidP="0090659A">
      <w:pPr>
        <w:jc w:val="both"/>
        <w:rPr>
          <w:rFonts w:ascii="Open Sans" w:hAnsi="Open Sans" w:cs="Arial"/>
          <w:bCs/>
          <w:sz w:val="20"/>
          <w:szCs w:val="20"/>
          <w:u w:val="single"/>
        </w:rPr>
      </w:pPr>
    </w:p>
    <w:p w14:paraId="492647E8" w14:textId="77777777" w:rsidR="0090659A" w:rsidRPr="00DF77A7" w:rsidRDefault="0090659A" w:rsidP="0090659A">
      <w:pPr>
        <w:jc w:val="both"/>
        <w:rPr>
          <w:rFonts w:ascii="Open Sans" w:hAnsi="Open Sans" w:cs="Arial"/>
          <w:bCs/>
          <w:sz w:val="20"/>
          <w:szCs w:val="20"/>
        </w:rPr>
      </w:pPr>
      <w:r w:rsidRPr="00DF77A7">
        <w:rPr>
          <w:rFonts w:ascii="Open Sans" w:hAnsi="Open Sans" w:cs="Arial"/>
          <w:bCs/>
          <w:sz w:val="20"/>
          <w:szCs w:val="20"/>
        </w:rPr>
        <w:t>En Suiza hay 4 sociedades: una sociedad de cartera, una central de compras, otra indica sin actividad pero el año anterior indicaba que era una comercializadora de calzado. También se ha identificado una nueva filial que no figura en sus cuentas anuales, ITX Merken B.V., à Amsterdam (Pays-Bas), succursale de Fribourg</w:t>
      </w:r>
      <w:r w:rsidRPr="00DF77A7">
        <w:rPr>
          <w:rStyle w:val="Refdenotaalpie"/>
          <w:rFonts w:ascii="Open Sans" w:hAnsi="Open Sans"/>
          <w:bCs/>
          <w:sz w:val="20"/>
          <w:szCs w:val="20"/>
        </w:rPr>
        <w:footnoteReference w:id="129"/>
      </w:r>
      <w:r w:rsidRPr="00DF77A7">
        <w:rPr>
          <w:rFonts w:ascii="Open Sans" w:hAnsi="Open Sans" w:cs="Arial"/>
          <w:bCs/>
          <w:sz w:val="20"/>
          <w:szCs w:val="20"/>
        </w:rPr>
        <w:t>, y cuya actividad es obtener ingresos como resultado de la conclusión de acuerdos de franquicia en relación con el concepto de tiendas y productos de la empresa y el grupo de empresas del que forma parte.</w:t>
      </w:r>
    </w:p>
    <w:p w14:paraId="5CA16B4B" w14:textId="77777777" w:rsidR="0090659A" w:rsidRPr="00E15A8F" w:rsidRDefault="0090659A" w:rsidP="0090659A">
      <w:pPr>
        <w:jc w:val="both"/>
        <w:rPr>
          <w:rFonts w:ascii="Open Sans" w:hAnsi="Open Sans" w:cs="Arial"/>
          <w:bCs/>
          <w:sz w:val="20"/>
          <w:szCs w:val="20"/>
          <w:u w:val="single"/>
        </w:rPr>
      </w:pPr>
    </w:p>
    <w:p w14:paraId="379DF82F" w14:textId="77777777" w:rsidR="0090659A" w:rsidRPr="00DF77A7" w:rsidRDefault="0090659A" w:rsidP="0090659A">
      <w:pPr>
        <w:jc w:val="both"/>
        <w:rPr>
          <w:rFonts w:ascii="Open Sans" w:hAnsi="Open Sans" w:cs="Arial"/>
          <w:bCs/>
          <w:sz w:val="20"/>
          <w:szCs w:val="20"/>
        </w:rPr>
      </w:pPr>
      <w:r w:rsidRPr="00DF77A7">
        <w:rPr>
          <w:rFonts w:ascii="Open Sans" w:hAnsi="Open Sans" w:cs="Arial"/>
          <w:bCs/>
          <w:sz w:val="20"/>
          <w:szCs w:val="20"/>
        </w:rPr>
        <w:t>En Hong-Kong (China) hay 2 sociedades, una de prestación de servicios multicadena y una central de compras de calzado.</w:t>
      </w:r>
    </w:p>
    <w:p w14:paraId="4246F80B" w14:textId="77777777" w:rsidR="0090659A" w:rsidRDefault="0090659A" w:rsidP="0090659A">
      <w:pPr>
        <w:jc w:val="both"/>
        <w:rPr>
          <w:rFonts w:ascii="Open Sans" w:hAnsi="Open Sans" w:cs="Arial"/>
          <w:bCs/>
          <w:sz w:val="20"/>
          <w:szCs w:val="20"/>
        </w:rPr>
      </w:pPr>
    </w:p>
    <w:p w14:paraId="37A69716" w14:textId="77777777" w:rsidR="0090659A" w:rsidRPr="00DF77A7" w:rsidRDefault="0090659A" w:rsidP="0090659A">
      <w:pPr>
        <w:jc w:val="both"/>
        <w:rPr>
          <w:rFonts w:ascii="Open Sans" w:hAnsi="Open Sans" w:cs="Arial"/>
          <w:bCs/>
          <w:sz w:val="20"/>
          <w:szCs w:val="20"/>
        </w:rPr>
      </w:pPr>
      <w:r>
        <w:rPr>
          <w:rFonts w:ascii="Open Sans" w:hAnsi="Open Sans" w:cs="Arial"/>
          <w:bCs/>
          <w:sz w:val="20"/>
          <w:szCs w:val="20"/>
        </w:rPr>
        <w:t xml:space="preserve">Además de estas 25 sociedades que generan dudas, también se han identificado otras 5 sociedades de cartera domiciliadas en Hamburgo (Alemania). Estas son:  </w:t>
      </w:r>
      <w:r w:rsidRPr="00CB06C3">
        <w:rPr>
          <w:rFonts w:ascii="Open Sans" w:hAnsi="Open Sans" w:cs="Arial"/>
          <w:bCs/>
          <w:sz w:val="20"/>
          <w:szCs w:val="20"/>
        </w:rPr>
        <w:t>Zara Deutschland, GmbH</w:t>
      </w:r>
      <w:r w:rsidRPr="006E51D1">
        <w:rPr>
          <w:rFonts w:ascii="Open Sans" w:hAnsi="Open Sans" w:cs="Arial"/>
          <w:bCs/>
          <w:sz w:val="20"/>
          <w:szCs w:val="20"/>
        </w:rPr>
        <w:t xml:space="preserve">, </w:t>
      </w:r>
      <w:r w:rsidRPr="00CB06C3">
        <w:rPr>
          <w:rFonts w:ascii="Open Sans" w:hAnsi="Open Sans" w:cs="Arial"/>
          <w:bCs/>
          <w:sz w:val="20"/>
          <w:szCs w:val="20"/>
        </w:rPr>
        <w:t>Massimo Dutti Deutschland, GmbH</w:t>
      </w:r>
      <w:r w:rsidRPr="006E51D1">
        <w:rPr>
          <w:rFonts w:ascii="Open Sans" w:hAnsi="Open Sans" w:cs="Arial"/>
          <w:bCs/>
          <w:sz w:val="20"/>
          <w:szCs w:val="20"/>
        </w:rPr>
        <w:t xml:space="preserve">, </w:t>
      </w:r>
      <w:r w:rsidRPr="00CB06C3">
        <w:rPr>
          <w:rFonts w:ascii="Open Sans" w:hAnsi="Open Sans" w:cs="Arial"/>
          <w:bCs/>
          <w:sz w:val="20"/>
          <w:szCs w:val="20"/>
        </w:rPr>
        <w:t>P&amp;B Gmbh</w:t>
      </w:r>
      <w:r w:rsidRPr="006E51D1">
        <w:rPr>
          <w:rFonts w:ascii="Open Sans" w:hAnsi="Open Sans" w:cs="Arial"/>
          <w:bCs/>
          <w:sz w:val="20"/>
          <w:szCs w:val="20"/>
        </w:rPr>
        <w:t xml:space="preserve">, </w:t>
      </w:r>
      <w:r w:rsidRPr="00CB06C3">
        <w:rPr>
          <w:rFonts w:ascii="Open Sans" w:hAnsi="Open Sans" w:cs="Arial"/>
          <w:bCs/>
          <w:sz w:val="20"/>
          <w:szCs w:val="20"/>
        </w:rPr>
        <w:t>BSKE, GMBH</w:t>
      </w:r>
      <w:r w:rsidRPr="006E51D1">
        <w:rPr>
          <w:rFonts w:ascii="Open Sans" w:hAnsi="Open Sans" w:cs="Arial"/>
          <w:bCs/>
          <w:sz w:val="20"/>
          <w:szCs w:val="20"/>
        </w:rPr>
        <w:t xml:space="preserve"> y </w:t>
      </w:r>
      <w:r w:rsidRPr="00CB06C3">
        <w:rPr>
          <w:rFonts w:ascii="Open Sans" w:hAnsi="Open Sans" w:cs="Arial"/>
          <w:bCs/>
          <w:sz w:val="20"/>
          <w:szCs w:val="20"/>
        </w:rPr>
        <w:t>ZHE, Gmbh</w:t>
      </w:r>
      <w:r>
        <w:rPr>
          <w:rFonts w:ascii="Open Sans" w:hAnsi="Open Sans" w:cs="Arial"/>
          <w:bCs/>
          <w:sz w:val="20"/>
          <w:szCs w:val="20"/>
        </w:rPr>
        <w:t>. También 1 sociedad de construcción (</w:t>
      </w:r>
      <w:r w:rsidRPr="00CB06C3">
        <w:rPr>
          <w:rFonts w:ascii="Open Sans" w:hAnsi="Open Sans" w:cs="Arial"/>
          <w:bCs/>
          <w:sz w:val="20"/>
          <w:szCs w:val="20"/>
        </w:rPr>
        <w:t>Goa-Invest Deutschland GMBH</w:t>
      </w:r>
      <w:r w:rsidRPr="006E51D1">
        <w:rPr>
          <w:rFonts w:ascii="Open Sans" w:hAnsi="Open Sans" w:cs="Arial"/>
          <w:bCs/>
          <w:sz w:val="20"/>
          <w:szCs w:val="20"/>
        </w:rPr>
        <w:t>)</w:t>
      </w:r>
      <w:r>
        <w:rPr>
          <w:rFonts w:ascii="Open Sans" w:hAnsi="Open Sans" w:cs="Arial"/>
          <w:bCs/>
          <w:sz w:val="20"/>
          <w:szCs w:val="20"/>
        </w:rPr>
        <w:t>. Esta plaza, aunque no se la considera una zona off shore al uso, pues no practica el secreto bancario, se le atribuyen ciertas ventajas fiscales</w:t>
      </w:r>
      <w:r w:rsidRPr="00DF77A7">
        <w:rPr>
          <w:rFonts w:ascii="Open Sans" w:hAnsi="Open Sans" w:cs="Arial"/>
          <w:bCs/>
          <w:sz w:val="20"/>
          <w:szCs w:val="20"/>
        </w:rPr>
        <w:t>.</w:t>
      </w:r>
      <w:r w:rsidRPr="00DF77A7">
        <w:rPr>
          <w:rStyle w:val="Refdenotaalpie"/>
          <w:rFonts w:ascii="Open Sans" w:hAnsi="Open Sans"/>
          <w:bCs/>
          <w:sz w:val="20"/>
          <w:szCs w:val="20"/>
        </w:rPr>
        <w:footnoteReference w:id="130"/>
      </w:r>
    </w:p>
    <w:p w14:paraId="2DA49EFE" w14:textId="77777777" w:rsidR="0090659A" w:rsidRDefault="0090659A" w:rsidP="0090659A">
      <w:pPr>
        <w:jc w:val="both"/>
        <w:rPr>
          <w:rFonts w:ascii="Open Sans" w:hAnsi="Open Sans" w:cs="Arial"/>
          <w:sz w:val="20"/>
          <w:szCs w:val="20"/>
        </w:rPr>
      </w:pPr>
    </w:p>
    <w:p w14:paraId="1F7440C1" w14:textId="5724F612" w:rsidR="0090659A" w:rsidRPr="00FD6A83" w:rsidRDefault="0090659A" w:rsidP="0090659A">
      <w:pPr>
        <w:jc w:val="both"/>
        <w:rPr>
          <w:rFonts w:ascii="Open Sans" w:hAnsi="Open Sans" w:cs="Arial"/>
          <w:sz w:val="20"/>
          <w:szCs w:val="20"/>
        </w:rPr>
      </w:pPr>
      <w:r>
        <w:rPr>
          <w:rFonts w:ascii="Open Sans" w:hAnsi="Open Sans" w:cs="Arial"/>
          <w:sz w:val="20"/>
          <w:szCs w:val="20"/>
        </w:rPr>
        <w:t xml:space="preserve">Solamente </w:t>
      </w:r>
      <w:r w:rsidRPr="00FD6A83">
        <w:rPr>
          <w:rFonts w:ascii="Open Sans" w:hAnsi="Open Sans" w:cs="Arial"/>
          <w:b/>
          <w:sz w:val="20"/>
          <w:szCs w:val="20"/>
        </w:rPr>
        <w:t xml:space="preserve">dos de las 35 empresas analizadas presentan información relevante en relación a la actividad de </w:t>
      </w:r>
      <w:r w:rsidR="00AE3273">
        <w:rPr>
          <w:rFonts w:ascii="Open Sans" w:hAnsi="Open Sans" w:cs="Arial"/>
          <w:b/>
          <w:sz w:val="20"/>
          <w:szCs w:val="20"/>
        </w:rPr>
        <w:t xml:space="preserve">las sociedades sitas en </w:t>
      </w:r>
      <w:r w:rsidR="007F55EB">
        <w:rPr>
          <w:rFonts w:ascii="Open Sans" w:hAnsi="Open Sans" w:cs="Arial"/>
          <w:b/>
          <w:sz w:val="20"/>
          <w:szCs w:val="20"/>
        </w:rPr>
        <w:t>paraísos</w:t>
      </w:r>
      <w:r w:rsidR="00AE3273">
        <w:rPr>
          <w:rFonts w:ascii="Open Sans" w:hAnsi="Open Sans" w:cs="Arial"/>
          <w:b/>
          <w:sz w:val="20"/>
          <w:szCs w:val="20"/>
        </w:rPr>
        <w:t xml:space="preserve"> y nichos fiscales</w:t>
      </w:r>
      <w:r>
        <w:rPr>
          <w:rFonts w:ascii="Open Sans" w:hAnsi="Open Sans" w:cs="Arial"/>
          <w:sz w:val="20"/>
          <w:szCs w:val="20"/>
        </w:rPr>
        <w:t xml:space="preserve">. Una de ellas es </w:t>
      </w:r>
      <w:r w:rsidRPr="00DF77A7">
        <w:rPr>
          <w:rFonts w:ascii="Open Sans" w:hAnsi="Open Sans" w:cs="Arial"/>
          <w:sz w:val="20"/>
          <w:szCs w:val="20"/>
        </w:rPr>
        <w:t>INDRA</w:t>
      </w:r>
      <w:r>
        <w:rPr>
          <w:rFonts w:ascii="Open Sans" w:hAnsi="Open Sans" w:cs="Arial"/>
          <w:sz w:val="20"/>
          <w:szCs w:val="20"/>
        </w:rPr>
        <w:t xml:space="preserve"> que si bien informa de manera genérica en el Anexo 1 de las Cuentas Anuales sobre la actividad que se desarrolla en cada filial, </w:t>
      </w:r>
      <w:r w:rsidRPr="00FD6A83">
        <w:rPr>
          <w:rFonts w:ascii="Open Sans" w:hAnsi="Open Sans" w:cs="Arial"/>
          <w:sz w:val="20"/>
          <w:szCs w:val="20"/>
        </w:rPr>
        <w:t>en la memoria de RSC aporta información más concreta sobre algunas de las filiales domiciliadas en paraísos fiscales. Aporta información sobre actividades realizadas y empleados en Bahréin, Filipinas, Panamá y Uruguay. La sociedad de Omán es de nueva constitución en 2015 y se encarga de proyectos como el nuevo aeropuerto de Salalah o la puesta en operación de la nueva torre de control del aeropuerto internacional de Mascate, pero no se informa del número de empleados en esta nueva filial.</w:t>
      </w:r>
    </w:p>
    <w:p w14:paraId="49E4F4B8" w14:textId="77777777" w:rsidR="0090659A" w:rsidRDefault="0090659A" w:rsidP="0090659A">
      <w:pPr>
        <w:jc w:val="both"/>
        <w:rPr>
          <w:rFonts w:ascii="Open Sans" w:hAnsi="Open Sans" w:cs="Arial"/>
          <w:sz w:val="20"/>
          <w:szCs w:val="20"/>
        </w:rPr>
      </w:pPr>
    </w:p>
    <w:p w14:paraId="6F8D110E" w14:textId="77777777" w:rsidR="0090659A" w:rsidRDefault="0090659A" w:rsidP="0090659A">
      <w:pPr>
        <w:jc w:val="both"/>
        <w:rPr>
          <w:rFonts w:ascii="Open Sans" w:hAnsi="Open Sans" w:cs="Arial"/>
          <w:sz w:val="20"/>
          <w:szCs w:val="20"/>
        </w:rPr>
      </w:pPr>
      <w:r>
        <w:rPr>
          <w:rFonts w:ascii="Open Sans" w:hAnsi="Open Sans" w:cs="Arial"/>
          <w:sz w:val="20"/>
          <w:szCs w:val="20"/>
        </w:rPr>
        <w:t xml:space="preserve">En las cuentas anuales aporta información de manera desglosada por empresa de las participaciones directas e indirectas, patrimonio neto, ingresos de explotación y resultado después de impuestos.  </w:t>
      </w:r>
      <w:r>
        <w:rPr>
          <w:rFonts w:ascii="Open Sans" w:hAnsi="Open Sans" w:cs="Arial"/>
          <w:bCs/>
          <w:sz w:val="20"/>
          <w:szCs w:val="20"/>
        </w:rPr>
        <w:t xml:space="preserve">La empresa indica en su Informe Anual de Responsabilidad Social Corporativa que su actividad en estas jurisdicciones no tiene nada que ver con motivaciones fiscales sino con el desarrollo de su operativa internacional </w:t>
      </w:r>
      <w:r>
        <w:rPr>
          <w:rFonts w:ascii="Open Sans" w:hAnsi="Open Sans" w:cs="Arial"/>
          <w:sz w:val="20"/>
          <w:szCs w:val="20"/>
        </w:rPr>
        <w:t>También enumera los países o territorios considerados paraíso fiscal en los que ha mantenido actividades puntuales durante 2015</w:t>
      </w:r>
      <w:r w:rsidRPr="00DF77A7">
        <w:rPr>
          <w:rStyle w:val="Refdenotaalpie"/>
          <w:rFonts w:ascii="Open Sans" w:hAnsi="Open Sans" w:cs="Arial"/>
          <w:sz w:val="20"/>
          <w:szCs w:val="20"/>
        </w:rPr>
        <w:footnoteReference w:id="131"/>
      </w:r>
      <w:r w:rsidRPr="00DF77A7">
        <w:rPr>
          <w:rFonts w:ascii="Open Sans" w:hAnsi="Open Sans" w:cs="Arial"/>
          <w:sz w:val="20"/>
          <w:szCs w:val="20"/>
        </w:rPr>
        <w:t>.</w:t>
      </w:r>
      <w:r>
        <w:rPr>
          <w:rFonts w:ascii="Open Sans" w:hAnsi="Open Sans" w:cs="Arial"/>
          <w:sz w:val="20"/>
          <w:szCs w:val="20"/>
        </w:rPr>
        <w:t xml:space="preserve"> Estos son Andorra, Bahamas, Barbados, Chipre, Emiratos Árabes Unidos, Gibraltar, Guernsey y Jersey, Hong Kong, Islas Mauricio, Irlanda, Jamaica, Luxemburgo, Macao, Malta, Países Bajos, Santa Lucía, Singapur, y Suiza. </w:t>
      </w:r>
    </w:p>
    <w:p w14:paraId="11D43A9A" w14:textId="77777777" w:rsidR="0090659A" w:rsidRDefault="0090659A" w:rsidP="0090659A">
      <w:pPr>
        <w:jc w:val="both"/>
        <w:rPr>
          <w:rFonts w:ascii="Open Sans" w:hAnsi="Open Sans" w:cs="Open Sans"/>
          <w:sz w:val="20"/>
          <w:szCs w:val="20"/>
        </w:rPr>
      </w:pPr>
    </w:p>
    <w:p w14:paraId="15D8EACF" w14:textId="77777777" w:rsidR="0090659A" w:rsidRDefault="0090659A" w:rsidP="0090659A">
      <w:pPr>
        <w:jc w:val="both"/>
        <w:rPr>
          <w:rFonts w:ascii="Open Sans" w:hAnsi="Open Sans" w:cs="Arial"/>
          <w:sz w:val="20"/>
          <w:szCs w:val="20"/>
        </w:rPr>
      </w:pPr>
      <w:r>
        <w:rPr>
          <w:rFonts w:ascii="Open Sans" w:hAnsi="Open Sans" w:cs="Open Sans"/>
          <w:sz w:val="20"/>
          <w:szCs w:val="20"/>
        </w:rPr>
        <w:t xml:space="preserve">INDRA </w:t>
      </w:r>
      <w:r w:rsidRPr="00DF77A7">
        <w:rPr>
          <w:rFonts w:ascii="Open Sans" w:hAnsi="Open Sans" w:cs="Arial"/>
          <w:sz w:val="20"/>
          <w:szCs w:val="20"/>
        </w:rPr>
        <w:t>indica que las ventas en 2015 de estos lugares representaron un 3,6% del total de ventas de la compañía.</w:t>
      </w:r>
      <w:r>
        <w:rPr>
          <w:rFonts w:ascii="Open Sans" w:hAnsi="Open Sans" w:cs="Arial"/>
          <w:sz w:val="20"/>
          <w:szCs w:val="20"/>
        </w:rPr>
        <w:t xml:space="preserve"> Se echa en falta que la empresa informase también sobre el porcentaje que representa el número de trabajadores en estas filiales.</w:t>
      </w:r>
    </w:p>
    <w:p w14:paraId="3DB4B7E7" w14:textId="77777777" w:rsidR="0090659A" w:rsidRDefault="0090659A" w:rsidP="0090659A">
      <w:pPr>
        <w:jc w:val="both"/>
        <w:rPr>
          <w:rFonts w:ascii="Open Sans" w:hAnsi="Open Sans" w:cs="Arial"/>
          <w:sz w:val="20"/>
          <w:szCs w:val="20"/>
        </w:rPr>
      </w:pPr>
    </w:p>
    <w:p w14:paraId="58FFF54E" w14:textId="77777777" w:rsidR="0090659A" w:rsidRDefault="0090659A" w:rsidP="0090659A">
      <w:pPr>
        <w:tabs>
          <w:tab w:val="left" w:pos="709"/>
        </w:tabs>
        <w:jc w:val="both"/>
        <w:rPr>
          <w:rFonts w:ascii="Open Sans" w:hAnsi="Open Sans" w:cs="Open Sans"/>
          <w:sz w:val="20"/>
          <w:szCs w:val="20"/>
        </w:rPr>
      </w:pPr>
      <w:r w:rsidRPr="00DF77A7">
        <w:rPr>
          <w:rFonts w:ascii="Open Sans" w:hAnsi="Open Sans" w:cs="Open Sans"/>
          <w:sz w:val="20"/>
          <w:szCs w:val="20"/>
        </w:rPr>
        <w:t>REPSOL por su parte publica información sobre paraísos fiscales en el Informe de Gestión e Informe de sostenibilidad. Además  también incluye un apartado específico de la web denominado “Presencia en paraísos fiscales”</w:t>
      </w:r>
      <w:r w:rsidRPr="00DF77A7">
        <w:rPr>
          <w:rStyle w:val="Refdenotaalpie"/>
          <w:rFonts w:ascii="Open Sans" w:hAnsi="Open Sans" w:cs="Open Sans"/>
          <w:sz w:val="20"/>
          <w:szCs w:val="20"/>
        </w:rPr>
        <w:footnoteReference w:id="132"/>
      </w:r>
      <w:r w:rsidRPr="00DF77A7">
        <w:rPr>
          <w:rFonts w:ascii="Open Sans" w:hAnsi="Open Sans" w:cs="Open Sans"/>
          <w:sz w:val="20"/>
          <w:szCs w:val="20"/>
        </w:rPr>
        <w:t>. En el Informe de Gestión, Repsol aporta información sobre su presencia en paraísos fiscales a través de cuatro sociedades activas en las que indica tener una participación minoritaria, indicando en cada uno de los casos: nombre de la sociedad, participación, jurisdicción y actividad desarrollada. Las controladas por el Grupo, en el mismo apartado, también facilita información pero mucho más limitada.</w:t>
      </w:r>
      <w:r w:rsidRPr="00EF44AA">
        <w:rPr>
          <w:rFonts w:ascii="Open Sans" w:hAnsi="Open Sans" w:cs="Open Sans"/>
          <w:sz w:val="20"/>
          <w:szCs w:val="20"/>
        </w:rPr>
        <w:t xml:space="preserve"> Únicamente indicar que se indica la existencia de tres sociedades inactivas y/o en proceso de liquidación y otras cuatro «</w:t>
      </w:r>
      <w:r w:rsidRPr="00EF44AA">
        <w:rPr>
          <w:rFonts w:ascii="Open Sans" w:hAnsi="Open Sans" w:cs="Open Sans"/>
          <w:i/>
          <w:sz w:val="20"/>
          <w:szCs w:val="20"/>
        </w:rPr>
        <w:t>cuya residencia fiscal ha sido efectivamente trasladada a países de la Unión Europea o a otros países participantes en las iniciativas del G-20, que no tienen la consideración de paraísos fiscales</w:t>
      </w:r>
      <w:r w:rsidRPr="00EF44AA">
        <w:rPr>
          <w:rFonts w:ascii="Open Sans" w:hAnsi="Open Sans" w:cs="Open Sans"/>
          <w:sz w:val="20"/>
          <w:szCs w:val="20"/>
        </w:rPr>
        <w:t xml:space="preserve">». Tomando como base las empresas que se incluyen a 31 de diciembre como parte del Grupo en las cuentas anuales, Repsol contaba con 5 empresas en paraísos fiscales (mencionadas en el párrafo anterior) y 123 empresas en jurisdicciones que, pese a no estar incluidas en los listados tomados en consideración por la empresa, sí forman parte del análisis realizado en el presente estudio debido a que ofrecen ventajas fiscales especiales a las empresas que en ellos radican (nichos fiscales). Dentro de esta categoría de nicho fiscal, Repsol cuenta con empresas en: Andorra, Bahamas, Barbados, Bolivia, Delaware (EEUU), Luxemburgo, Países Bajos, Singapur, Suiza y Venezuela. Repsol no facilita información sobre su actividad en los mismos. La información sobre las cifras de impuestos pagados en estas jurisdicciones con carácter fiscal especial se publica de forma individualizada, siempre que se supere los 4 millones de euros por país, en el Informe de Gestión y en la web corporativa. Esta limitación de importe hace que únicamente se refleje la información de 4 de las 10 jurisdicciones que se han mencionado en este apartado: Bolivia, Países Bajos, Singapur y Venezuela. Los datos que se publican son los relativos a los impuestos soportados por la empresa (diferenciando, a su vez, entre impuesto de sociedades y otros) y los recaudados por la empresa (diferenciando en este caso entre IVA, impuesto sobre hidrocarburos y otros). Sin embargo, no se ha encontrado evidencia de la existencia de información pública específica en relación a los ingresos, gastos de personal, volumen de negocio generado y beneficios en estas jurisdicciones con carácter fiscal especial. </w:t>
      </w:r>
    </w:p>
    <w:p w14:paraId="5EF6DBD5" w14:textId="77777777" w:rsidR="00E15A8F" w:rsidRDefault="00E15A8F" w:rsidP="0090659A">
      <w:pPr>
        <w:tabs>
          <w:tab w:val="left" w:pos="709"/>
        </w:tabs>
        <w:jc w:val="both"/>
        <w:rPr>
          <w:rFonts w:ascii="Open Sans" w:hAnsi="Open Sans" w:cs="Open Sans"/>
          <w:sz w:val="20"/>
          <w:szCs w:val="20"/>
        </w:rPr>
      </w:pPr>
    </w:p>
    <w:p w14:paraId="3F5C5E2F" w14:textId="6BBAEE51" w:rsidR="00E15A8F" w:rsidRPr="00DF77A7" w:rsidRDefault="00E15A8F" w:rsidP="0090659A">
      <w:pPr>
        <w:tabs>
          <w:tab w:val="left" w:pos="709"/>
        </w:tabs>
        <w:jc w:val="both"/>
        <w:rPr>
          <w:rFonts w:ascii="Open Sans" w:hAnsi="Open Sans" w:cs="Open Sans"/>
          <w:sz w:val="20"/>
          <w:szCs w:val="20"/>
        </w:rPr>
      </w:pPr>
      <w:r w:rsidRPr="00DF77A7">
        <w:rPr>
          <w:rFonts w:ascii="Open Sans" w:hAnsi="Open Sans" w:cs="Open Sans"/>
          <w:b/>
          <w:sz w:val="20"/>
          <w:szCs w:val="20"/>
        </w:rPr>
        <w:t xml:space="preserve">También facilitan información </w:t>
      </w:r>
      <w:r w:rsidR="00692FEC" w:rsidRPr="00DF77A7">
        <w:rPr>
          <w:rFonts w:ascii="Open Sans" w:hAnsi="Open Sans" w:cs="Open Sans"/>
          <w:b/>
          <w:sz w:val="20"/>
          <w:szCs w:val="20"/>
        </w:rPr>
        <w:t>de la actividad des</w:t>
      </w:r>
      <w:r w:rsidR="00DF77A7">
        <w:rPr>
          <w:rFonts w:ascii="Open Sans" w:hAnsi="Open Sans" w:cs="Open Sans"/>
          <w:b/>
          <w:sz w:val="20"/>
          <w:szCs w:val="20"/>
        </w:rPr>
        <w:t>a</w:t>
      </w:r>
      <w:r w:rsidR="00692FEC" w:rsidRPr="00DF77A7">
        <w:rPr>
          <w:rFonts w:ascii="Open Sans" w:hAnsi="Open Sans" w:cs="Open Sans"/>
          <w:b/>
          <w:sz w:val="20"/>
          <w:szCs w:val="20"/>
        </w:rPr>
        <w:t>rrollada</w:t>
      </w:r>
      <w:r w:rsidR="00692FEC" w:rsidRPr="00DF77A7">
        <w:rPr>
          <w:rFonts w:ascii="Open Sans" w:hAnsi="Open Sans" w:cs="Open Sans"/>
          <w:sz w:val="20"/>
          <w:szCs w:val="20"/>
        </w:rPr>
        <w:t xml:space="preserve"> </w:t>
      </w:r>
      <w:r w:rsidRPr="00DF77A7">
        <w:rPr>
          <w:rFonts w:ascii="Open Sans" w:hAnsi="Open Sans" w:cs="Open Sans"/>
          <w:sz w:val="20"/>
          <w:szCs w:val="20"/>
        </w:rPr>
        <w:t>aunque con carácter limitado y solamente en relación a</w:t>
      </w:r>
      <w:r w:rsidR="00DF77A7" w:rsidRPr="00DF77A7">
        <w:rPr>
          <w:rFonts w:ascii="Open Sans" w:hAnsi="Open Sans" w:cs="Open Sans"/>
          <w:sz w:val="20"/>
          <w:szCs w:val="20"/>
        </w:rPr>
        <w:t xml:space="preserve"> su presencia en paraísos fiscales</w:t>
      </w:r>
      <w:r w:rsidRPr="00DF77A7">
        <w:rPr>
          <w:rFonts w:ascii="Open Sans" w:hAnsi="Open Sans" w:cs="Open Sans"/>
          <w:sz w:val="20"/>
          <w:szCs w:val="20"/>
        </w:rPr>
        <w:t xml:space="preserve"> no </w:t>
      </w:r>
      <w:r w:rsidRPr="00DF77A7">
        <w:rPr>
          <w:rFonts w:ascii="Open Sans" w:hAnsi="Open Sans" w:cs="Open Sans"/>
          <w:b/>
          <w:sz w:val="20"/>
          <w:szCs w:val="20"/>
        </w:rPr>
        <w:t>en nichos fiscales</w:t>
      </w:r>
      <w:r w:rsidRPr="00DF77A7">
        <w:rPr>
          <w:rFonts w:ascii="Open Sans" w:hAnsi="Open Sans" w:cs="Open Sans"/>
          <w:sz w:val="20"/>
          <w:szCs w:val="20"/>
        </w:rPr>
        <w:t xml:space="preserve">: BBVA, </w:t>
      </w:r>
      <w:r w:rsidR="00DF77A7" w:rsidRPr="00DF77A7">
        <w:rPr>
          <w:rFonts w:ascii="Open Sans" w:hAnsi="Open Sans" w:cs="Open Sans"/>
          <w:sz w:val="20"/>
          <w:szCs w:val="20"/>
        </w:rPr>
        <w:t xml:space="preserve">BANCO SANTANDER, IBERDROLA, ENDESA, ACERINOX Y ENAGAS. </w:t>
      </w:r>
    </w:p>
    <w:p w14:paraId="6E7289C0" w14:textId="77777777" w:rsidR="0090659A" w:rsidRDefault="0090659A" w:rsidP="0090659A">
      <w:pPr>
        <w:tabs>
          <w:tab w:val="left" w:pos="709"/>
        </w:tabs>
        <w:jc w:val="both"/>
        <w:rPr>
          <w:rFonts w:cs="Arial"/>
          <w:sz w:val="20"/>
          <w:szCs w:val="20"/>
        </w:rPr>
      </w:pPr>
    </w:p>
    <w:p w14:paraId="1167F625" w14:textId="7F28214B" w:rsidR="00AE3273" w:rsidRPr="00AE3273" w:rsidRDefault="00AE3273" w:rsidP="00AE3273">
      <w:pPr>
        <w:tabs>
          <w:tab w:val="left" w:pos="709"/>
        </w:tabs>
        <w:jc w:val="both"/>
        <w:rPr>
          <w:rFonts w:ascii="Open Sans" w:hAnsi="Open Sans" w:cs="Open Sans"/>
          <w:sz w:val="20"/>
          <w:szCs w:val="20"/>
        </w:rPr>
      </w:pPr>
      <w:r w:rsidRPr="00DF77A7">
        <w:rPr>
          <w:rFonts w:ascii="Open Sans" w:hAnsi="Open Sans" w:cs="Open Sans"/>
          <w:b/>
          <w:sz w:val="20"/>
          <w:szCs w:val="20"/>
        </w:rPr>
        <w:t>De las 35 empresas analizadas, solamente una (</w:t>
      </w:r>
      <w:r w:rsidR="00DF77A7" w:rsidRPr="00DF77A7">
        <w:rPr>
          <w:rFonts w:ascii="Open Sans" w:hAnsi="Open Sans" w:cs="Open Sans"/>
          <w:b/>
          <w:sz w:val="20"/>
          <w:szCs w:val="20"/>
        </w:rPr>
        <w:t>BANCO SANTANDER</w:t>
      </w:r>
      <w:r w:rsidRPr="00DF77A7">
        <w:rPr>
          <w:rFonts w:ascii="Open Sans" w:hAnsi="Open Sans" w:cs="Open Sans"/>
          <w:b/>
          <w:sz w:val="20"/>
          <w:szCs w:val="20"/>
        </w:rPr>
        <w:t>) facilita información del impuesto de sociedades  pagado  en los distintos territorios considerados como paraísos o nichos fiscales</w:t>
      </w:r>
      <w:r w:rsidR="00EE0A7A" w:rsidRPr="00DF77A7">
        <w:rPr>
          <w:rFonts w:ascii="Open Sans" w:hAnsi="Open Sans" w:cs="Open Sans"/>
          <w:b/>
          <w:sz w:val="20"/>
          <w:szCs w:val="20"/>
        </w:rPr>
        <w:t xml:space="preserve"> en los que está presente</w:t>
      </w:r>
      <w:r w:rsidRPr="00DF77A7">
        <w:rPr>
          <w:rFonts w:ascii="Open Sans" w:hAnsi="Open Sans" w:cs="Open Sans"/>
          <w:sz w:val="20"/>
          <w:szCs w:val="20"/>
        </w:rPr>
        <w:t>.</w:t>
      </w:r>
      <w:r w:rsidRPr="00AE3273">
        <w:rPr>
          <w:rFonts w:ascii="Open Sans" w:hAnsi="Open Sans" w:cs="Open Sans"/>
          <w:sz w:val="20"/>
          <w:szCs w:val="20"/>
        </w:rPr>
        <w:t xml:space="preserve"> Es conveniente recordar que esta información </w:t>
      </w:r>
      <w:r w:rsidR="00EE0A7A">
        <w:rPr>
          <w:rFonts w:ascii="Open Sans" w:hAnsi="Open Sans" w:cs="Open Sans"/>
          <w:sz w:val="20"/>
          <w:szCs w:val="20"/>
        </w:rPr>
        <w:t xml:space="preserve">es facilitada </w:t>
      </w:r>
      <w:r w:rsidRPr="00AE3273">
        <w:rPr>
          <w:rFonts w:ascii="Open Sans" w:hAnsi="Open Sans" w:cs="Open Sans"/>
          <w:sz w:val="20"/>
          <w:szCs w:val="20"/>
        </w:rPr>
        <w:t xml:space="preserve"> por parte del Banco Santander en cumplimiento de la Ley 10/2014 de Ordenación, Supervisión y Solvencia de Entidades de Crédito de 26 de junio, que de acuerdo  a la misma deben publicar el margen bruto, los beneficio y el </w:t>
      </w:r>
      <w:r w:rsidR="007F55EB" w:rsidRPr="00AE3273">
        <w:rPr>
          <w:rFonts w:ascii="Open Sans" w:hAnsi="Open Sans" w:cs="Open Sans"/>
          <w:sz w:val="20"/>
          <w:szCs w:val="20"/>
        </w:rPr>
        <w:t>impuesto</w:t>
      </w:r>
      <w:r w:rsidRPr="00AE3273">
        <w:rPr>
          <w:rFonts w:ascii="Open Sans" w:hAnsi="Open Sans" w:cs="Open Sans"/>
          <w:sz w:val="20"/>
          <w:szCs w:val="20"/>
        </w:rPr>
        <w:t xml:space="preserve"> de sociedades entre otra información en todos los </w:t>
      </w:r>
      <w:r w:rsidR="007F55EB" w:rsidRPr="00AE3273">
        <w:rPr>
          <w:rFonts w:ascii="Open Sans" w:hAnsi="Open Sans" w:cs="Open Sans"/>
          <w:sz w:val="20"/>
          <w:szCs w:val="20"/>
        </w:rPr>
        <w:t>territorios</w:t>
      </w:r>
      <w:r w:rsidRPr="00AE3273">
        <w:rPr>
          <w:rFonts w:ascii="Open Sans" w:hAnsi="Open Sans" w:cs="Open Sans"/>
          <w:sz w:val="20"/>
          <w:szCs w:val="20"/>
        </w:rPr>
        <w:t xml:space="preserve"> donde la entidades de depósito tienen  presencia.</w:t>
      </w:r>
    </w:p>
    <w:p w14:paraId="6B5E2BBC" w14:textId="72F08D41" w:rsidR="00AE3273" w:rsidRDefault="00AE3273" w:rsidP="0090659A">
      <w:pPr>
        <w:tabs>
          <w:tab w:val="left" w:pos="709"/>
        </w:tabs>
        <w:jc w:val="both"/>
        <w:rPr>
          <w:rFonts w:cs="Arial"/>
          <w:sz w:val="20"/>
          <w:szCs w:val="20"/>
        </w:rPr>
      </w:pPr>
    </w:p>
    <w:p w14:paraId="39A4AA2E" w14:textId="7FB6455D" w:rsidR="00692FEC" w:rsidRPr="00595013" w:rsidRDefault="00692FEC" w:rsidP="0090659A">
      <w:pPr>
        <w:tabs>
          <w:tab w:val="left" w:pos="709"/>
        </w:tabs>
        <w:jc w:val="both"/>
        <w:rPr>
          <w:rFonts w:ascii="Open Sans" w:hAnsi="Open Sans" w:cs="Arial"/>
          <w:sz w:val="20"/>
          <w:szCs w:val="20"/>
        </w:rPr>
      </w:pPr>
      <w:r w:rsidRPr="00DF77A7">
        <w:rPr>
          <w:rFonts w:ascii="Open Sans" w:hAnsi="Open Sans" w:cs="Arial"/>
          <w:sz w:val="20"/>
          <w:szCs w:val="20"/>
        </w:rPr>
        <w:t xml:space="preserve">Siete empresas facilitan información poco relevante en relación al volumen de operaciones </w:t>
      </w:r>
      <w:r w:rsidR="0045726F" w:rsidRPr="00DF77A7">
        <w:rPr>
          <w:rFonts w:ascii="Open Sans" w:hAnsi="Open Sans" w:cs="Arial"/>
          <w:sz w:val="20"/>
          <w:szCs w:val="20"/>
        </w:rPr>
        <w:t xml:space="preserve">en paraísos o nichos </w:t>
      </w:r>
      <w:r w:rsidR="007F55EB" w:rsidRPr="00DF77A7">
        <w:rPr>
          <w:rFonts w:ascii="Open Sans" w:hAnsi="Open Sans" w:cs="Arial"/>
          <w:sz w:val="20"/>
          <w:szCs w:val="20"/>
        </w:rPr>
        <w:t>fiscales</w:t>
      </w:r>
      <w:r w:rsidR="0045726F" w:rsidRPr="00DF77A7">
        <w:rPr>
          <w:rFonts w:ascii="Open Sans" w:hAnsi="Open Sans" w:cs="Arial"/>
          <w:sz w:val="20"/>
          <w:szCs w:val="20"/>
        </w:rPr>
        <w:t xml:space="preserve"> aunque en la mayoría con un alcance limitado a algunos </w:t>
      </w:r>
      <w:r w:rsidR="007F55EB" w:rsidRPr="00DF77A7">
        <w:rPr>
          <w:rFonts w:ascii="Open Sans" w:hAnsi="Open Sans" w:cs="Arial"/>
          <w:sz w:val="20"/>
          <w:szCs w:val="20"/>
        </w:rPr>
        <w:t>territorios,</w:t>
      </w:r>
      <w:r w:rsidR="0045726F" w:rsidRPr="00DF77A7">
        <w:rPr>
          <w:rFonts w:ascii="Open Sans" w:hAnsi="Open Sans" w:cs="Arial"/>
          <w:sz w:val="20"/>
          <w:szCs w:val="20"/>
        </w:rPr>
        <w:t xml:space="preserve"> no a todos los territorios considerados paraísos y nichos fiscales en los que están presentes.</w:t>
      </w:r>
      <w:r w:rsidR="0045726F" w:rsidRPr="00595013">
        <w:rPr>
          <w:rFonts w:ascii="Open Sans" w:hAnsi="Open Sans" w:cs="Arial"/>
          <w:sz w:val="20"/>
          <w:szCs w:val="20"/>
        </w:rPr>
        <w:t xml:space="preserve"> Esta información se limita a información de tipo genérica relativa a facturación, capital o beneficios </w:t>
      </w:r>
      <w:r w:rsidR="007F55EB" w:rsidRPr="00595013">
        <w:rPr>
          <w:rFonts w:ascii="Open Sans" w:hAnsi="Open Sans" w:cs="Arial"/>
          <w:sz w:val="20"/>
          <w:szCs w:val="20"/>
        </w:rPr>
        <w:t>normalmente</w:t>
      </w:r>
      <w:r w:rsidR="0045726F" w:rsidRPr="00595013">
        <w:rPr>
          <w:rFonts w:ascii="Open Sans" w:hAnsi="Open Sans" w:cs="Arial"/>
          <w:sz w:val="20"/>
          <w:szCs w:val="20"/>
        </w:rPr>
        <w:t xml:space="preserve"> a través del anexo de </w:t>
      </w:r>
      <w:r w:rsidR="007F55EB" w:rsidRPr="00595013">
        <w:rPr>
          <w:rFonts w:ascii="Open Sans" w:hAnsi="Open Sans" w:cs="Arial"/>
          <w:sz w:val="20"/>
          <w:szCs w:val="20"/>
        </w:rPr>
        <w:t>las cuentas anuales</w:t>
      </w:r>
      <w:r w:rsidR="0045726F" w:rsidRPr="00595013">
        <w:rPr>
          <w:rFonts w:ascii="Open Sans" w:hAnsi="Open Sans" w:cs="Arial"/>
          <w:sz w:val="20"/>
          <w:szCs w:val="20"/>
        </w:rPr>
        <w:t xml:space="preserve"> donde se detallan las sociedades dependientes. El resto de empresas analizadas no presenta ninguna información.</w:t>
      </w:r>
    </w:p>
    <w:p w14:paraId="19695E48" w14:textId="77777777" w:rsidR="00AE3273" w:rsidRDefault="00AE3273" w:rsidP="0090659A">
      <w:pPr>
        <w:tabs>
          <w:tab w:val="left" w:pos="709"/>
        </w:tabs>
        <w:jc w:val="both"/>
        <w:rPr>
          <w:rFonts w:cs="Arial"/>
          <w:sz w:val="20"/>
          <w:szCs w:val="20"/>
        </w:rPr>
      </w:pPr>
    </w:p>
    <w:p w14:paraId="26DD305C" w14:textId="77777777" w:rsidR="0090659A" w:rsidRPr="00EF44AA" w:rsidRDefault="0090659A" w:rsidP="0090659A">
      <w:pPr>
        <w:jc w:val="both"/>
        <w:rPr>
          <w:rFonts w:ascii="Open Sans" w:hAnsi="Open Sans" w:cs="Arial"/>
          <w:sz w:val="20"/>
          <w:szCs w:val="20"/>
        </w:rPr>
      </w:pPr>
      <w:r w:rsidRPr="00EF44AA">
        <w:rPr>
          <w:rFonts w:ascii="Open Sans" w:hAnsi="Open Sans" w:cs="Arial"/>
          <w:sz w:val="20"/>
          <w:szCs w:val="20"/>
        </w:rPr>
        <w:t xml:space="preserve">Es interesante destacar que muchas de las </w:t>
      </w:r>
      <w:r w:rsidRPr="00EF44AA">
        <w:rPr>
          <w:rFonts w:ascii="Open Sans" w:hAnsi="Open Sans" w:cs="Arial"/>
          <w:b/>
          <w:sz w:val="20"/>
          <w:szCs w:val="20"/>
        </w:rPr>
        <w:t>sociedades radicadas en Holanda se dedican a operaciones de financiación intragrupales, sociedades holding o entidades que se dedican a captar financiación</w:t>
      </w:r>
      <w:r w:rsidRPr="00EF44AA">
        <w:rPr>
          <w:rFonts w:ascii="Open Sans" w:hAnsi="Open Sans" w:cs="Arial"/>
          <w:sz w:val="20"/>
          <w:szCs w:val="20"/>
        </w:rPr>
        <w:t xml:space="preserve">: </w:t>
      </w:r>
    </w:p>
    <w:p w14:paraId="0E950780" w14:textId="77777777" w:rsidR="0090659A" w:rsidRDefault="0090659A" w:rsidP="0090659A">
      <w:pPr>
        <w:jc w:val="both"/>
        <w:rPr>
          <w:rFonts w:ascii="Open Sans" w:hAnsi="Open Sans" w:cs="Arial"/>
          <w:sz w:val="20"/>
          <w:szCs w:val="20"/>
        </w:rPr>
      </w:pPr>
    </w:p>
    <w:p w14:paraId="076C2539" w14:textId="77777777" w:rsidR="0045726F" w:rsidRPr="00DF77A7" w:rsidRDefault="0045726F" w:rsidP="0045726F">
      <w:pPr>
        <w:jc w:val="both"/>
        <w:rPr>
          <w:rFonts w:ascii="Open Sans" w:hAnsi="Open Sans" w:cs="Open Sans"/>
          <w:sz w:val="20"/>
          <w:szCs w:val="20"/>
        </w:rPr>
      </w:pPr>
      <w:r w:rsidRPr="00DF77A7">
        <w:rPr>
          <w:rFonts w:ascii="Open Sans" w:hAnsi="Open Sans" w:cs="Open Sans"/>
          <w:sz w:val="20"/>
          <w:szCs w:val="20"/>
        </w:rPr>
        <w:t>Holanda, además de los tratados de doble imposición, cuenta con el llamado “privilegio de filiación” para las sociedades holding que les permite eximirse del pago por los dividendos y ganancias que les reporten sus filiales, siempre que se tenga una participación mínima en la filial del 5%.</w:t>
      </w:r>
      <w:r w:rsidRPr="00BE413F">
        <w:rPr>
          <w:rFonts w:ascii="Open Sans" w:hAnsi="Open Sans" w:cs="Open Sans"/>
          <w:sz w:val="20"/>
          <w:szCs w:val="20"/>
        </w:rPr>
        <w:t xml:space="preserve"> Para ejercer actividad con forma de holding simplemente hay que registrarlo y contar con una sede, que en muchas ocasiones responde simplemente al conocido “apartado de correos</w:t>
      </w:r>
      <w:r w:rsidRPr="00DF77A7">
        <w:rPr>
          <w:rFonts w:ascii="Open Sans" w:hAnsi="Open Sans" w:cs="Open Sans"/>
          <w:sz w:val="20"/>
          <w:szCs w:val="20"/>
        </w:rPr>
        <w:t>”</w:t>
      </w:r>
      <w:r w:rsidRPr="00DF77A7">
        <w:rPr>
          <w:rFonts w:ascii="Open Sans" w:hAnsi="Open Sans"/>
          <w:sz w:val="20"/>
          <w:szCs w:val="20"/>
          <w:vertAlign w:val="superscript"/>
        </w:rPr>
        <w:footnoteReference w:id="133"/>
      </w:r>
      <w:r w:rsidRPr="00DF77A7">
        <w:rPr>
          <w:rFonts w:ascii="Open Sans" w:hAnsi="Open Sans" w:cs="Open Sans"/>
          <w:sz w:val="20"/>
          <w:szCs w:val="20"/>
          <w:vertAlign w:val="superscript"/>
        </w:rPr>
        <w:t>.</w:t>
      </w:r>
    </w:p>
    <w:p w14:paraId="5ADCA272" w14:textId="77777777" w:rsidR="0045726F" w:rsidRDefault="0045726F" w:rsidP="0045726F">
      <w:pPr>
        <w:jc w:val="both"/>
        <w:rPr>
          <w:rFonts w:ascii="Open Sans" w:hAnsi="Open Sans" w:cs="Open Sans"/>
          <w:sz w:val="20"/>
          <w:szCs w:val="20"/>
        </w:rPr>
      </w:pPr>
    </w:p>
    <w:p w14:paraId="5D50C5BB" w14:textId="77777777" w:rsidR="0045726F" w:rsidRPr="00F81A0E" w:rsidRDefault="0045726F" w:rsidP="0045726F">
      <w:pPr>
        <w:autoSpaceDE w:val="0"/>
        <w:autoSpaceDN w:val="0"/>
        <w:adjustRightInd w:val="0"/>
        <w:jc w:val="both"/>
        <w:rPr>
          <w:rFonts w:ascii="Open Sans" w:hAnsi="Open Sans" w:cs="Open Sans"/>
          <w:b/>
          <w:bCs/>
          <w:sz w:val="20"/>
          <w:szCs w:val="20"/>
        </w:rPr>
      </w:pPr>
      <w:r w:rsidRPr="00F81A0E">
        <w:rPr>
          <w:rFonts w:ascii="Open Sans" w:hAnsi="Open Sans" w:cs="Open Sans"/>
          <w:sz w:val="20"/>
          <w:szCs w:val="20"/>
        </w:rPr>
        <w:t xml:space="preserve">Según el artículo de Francis Weyzig </w:t>
      </w:r>
      <w:r w:rsidRPr="00F81A0E">
        <w:rPr>
          <w:rFonts w:ascii="Open Sans" w:hAnsi="Open Sans" w:cs="Open Sans"/>
          <w:bCs/>
          <w:sz w:val="20"/>
          <w:szCs w:val="20"/>
        </w:rPr>
        <w:t>I</w:t>
      </w:r>
      <w:r w:rsidRPr="00F81A0E">
        <w:rPr>
          <w:rFonts w:ascii="Open Sans" w:hAnsi="Open Sans" w:cs="Open Sans"/>
          <w:bCs/>
          <w:i/>
          <w:sz w:val="20"/>
          <w:szCs w:val="20"/>
        </w:rPr>
        <w:t>nternational finance and tax avoidance via Dutch</w:t>
      </w:r>
      <w:r>
        <w:rPr>
          <w:rFonts w:ascii="Open Sans" w:hAnsi="Open Sans" w:cs="Open Sans"/>
          <w:bCs/>
          <w:i/>
          <w:sz w:val="20"/>
          <w:szCs w:val="20"/>
        </w:rPr>
        <w:t xml:space="preserve"> </w:t>
      </w:r>
      <w:r w:rsidRPr="00F81A0E">
        <w:rPr>
          <w:rFonts w:ascii="Open Sans" w:hAnsi="Open Sans" w:cs="Open Sans"/>
          <w:bCs/>
          <w:i/>
          <w:sz w:val="20"/>
          <w:szCs w:val="20"/>
        </w:rPr>
        <w:t>SpecialPurpose Entities</w:t>
      </w:r>
      <w:r w:rsidRPr="00F81A0E">
        <w:rPr>
          <w:rFonts w:ascii="Open Sans" w:hAnsi="Open Sans" w:cs="Open Sans"/>
          <w:i/>
          <w:sz w:val="20"/>
          <w:szCs w:val="20"/>
        </w:rPr>
        <w:t xml:space="preserve"> </w:t>
      </w:r>
      <w:r w:rsidRPr="00F81A0E">
        <w:rPr>
          <w:rFonts w:ascii="Open Sans" w:hAnsi="Open Sans" w:cs="Open Sans"/>
          <w:sz w:val="20"/>
          <w:szCs w:val="20"/>
        </w:rPr>
        <w:t>muchas entidades no financieras de países de la UE utilizan conductos holandeses para emitir títulos de deuda. Esto elimina cualquier retención fiscal en los pagos de intereses a acreedores extranjeros, porque los pagos a un conducto holandés (Dutch conduit) están exentos bajo la Directiva de Intereses y Royalties y Holanda no hace retención fiscal sobre los intereses.</w:t>
      </w:r>
    </w:p>
    <w:p w14:paraId="7EBE7A5C" w14:textId="77777777" w:rsidR="0045726F" w:rsidRPr="00F81A0E" w:rsidRDefault="0045726F" w:rsidP="0045726F">
      <w:pPr>
        <w:jc w:val="both"/>
        <w:rPr>
          <w:rFonts w:ascii="Open Sans" w:hAnsi="Open Sans" w:cs="Open Sans"/>
          <w:sz w:val="20"/>
          <w:szCs w:val="20"/>
        </w:rPr>
      </w:pPr>
    </w:p>
    <w:p w14:paraId="6C691D0C" w14:textId="77777777" w:rsidR="0045726F" w:rsidRDefault="0045726F" w:rsidP="0045726F">
      <w:pPr>
        <w:jc w:val="both"/>
        <w:rPr>
          <w:rFonts w:ascii="Open Sans" w:hAnsi="Open Sans" w:cs="Open Sans"/>
          <w:sz w:val="20"/>
          <w:szCs w:val="20"/>
        </w:rPr>
      </w:pPr>
      <w:r w:rsidRPr="00F81A0E">
        <w:rPr>
          <w:rFonts w:ascii="Open Sans" w:hAnsi="Open Sans" w:cs="Open Sans"/>
          <w:sz w:val="20"/>
          <w:szCs w:val="20"/>
        </w:rPr>
        <w:t>Según el artículo anterior existen varios tipos de SPE en Hol</w:t>
      </w:r>
      <w:r>
        <w:rPr>
          <w:rFonts w:ascii="Open Sans" w:hAnsi="Open Sans" w:cs="Open Sans"/>
          <w:sz w:val="20"/>
          <w:szCs w:val="20"/>
        </w:rPr>
        <w:t>anda (Special Purpose Entities):</w:t>
      </w:r>
    </w:p>
    <w:p w14:paraId="178C387E" w14:textId="77777777" w:rsidR="0045726F" w:rsidRPr="00F81A0E" w:rsidRDefault="0045726F" w:rsidP="0045726F">
      <w:pPr>
        <w:jc w:val="both"/>
        <w:rPr>
          <w:rFonts w:ascii="Open Sans" w:hAnsi="Open Sans" w:cs="Open Sans"/>
          <w:sz w:val="20"/>
          <w:szCs w:val="20"/>
        </w:rPr>
      </w:pPr>
    </w:p>
    <w:p w14:paraId="795FF93C" w14:textId="77777777" w:rsidR="0045726F" w:rsidRPr="00F81A0E" w:rsidRDefault="0045726F" w:rsidP="0045726F">
      <w:pPr>
        <w:pStyle w:val="Prrafodelista"/>
        <w:numPr>
          <w:ilvl w:val="0"/>
          <w:numId w:val="112"/>
        </w:numPr>
        <w:spacing w:after="200" w:line="276" w:lineRule="auto"/>
        <w:jc w:val="both"/>
        <w:rPr>
          <w:rFonts w:ascii="Open Sans" w:hAnsi="Open Sans" w:cs="Open Sans"/>
          <w:sz w:val="20"/>
          <w:szCs w:val="20"/>
        </w:rPr>
      </w:pPr>
      <w:r w:rsidRPr="00F81A0E">
        <w:rPr>
          <w:rFonts w:ascii="Open Sans" w:hAnsi="Open Sans" w:cs="Open Sans"/>
          <w:sz w:val="20"/>
          <w:szCs w:val="20"/>
        </w:rPr>
        <w:t>“Holding intermediaria” este tipo de SPE incluye joint ventures y está asociada con la evasión de la retención fiscal sobre los dividendos en el país en el que se realiza la inversión o el impuesto sobre el patrimonio y el impuesto nacional sobre los beneficios obtenidos en el extranjero.</w:t>
      </w:r>
    </w:p>
    <w:p w14:paraId="71E96D3A" w14:textId="77777777" w:rsidR="0045726F" w:rsidRPr="00F81A0E" w:rsidRDefault="0045726F" w:rsidP="0045726F">
      <w:pPr>
        <w:pStyle w:val="Prrafodelista"/>
        <w:numPr>
          <w:ilvl w:val="0"/>
          <w:numId w:val="112"/>
        </w:numPr>
        <w:spacing w:after="200" w:line="276" w:lineRule="auto"/>
        <w:jc w:val="both"/>
        <w:rPr>
          <w:rFonts w:ascii="Open Sans" w:hAnsi="Open Sans" w:cs="Open Sans"/>
          <w:sz w:val="20"/>
          <w:szCs w:val="20"/>
        </w:rPr>
      </w:pPr>
      <w:r w:rsidRPr="00F81A0E">
        <w:rPr>
          <w:rFonts w:ascii="Open Sans" w:hAnsi="Open Sans" w:cs="Open Sans"/>
          <w:sz w:val="20"/>
          <w:szCs w:val="20"/>
        </w:rPr>
        <w:t xml:space="preserve">“Intra-group loan conduit” préstamos intra-grupo, que permiten evadir la retención fiscal sobre los intereses. Si una de estas entidades canaliza pagos de interés hacia una entidad afiliada situada en un paraíso fiscal, la estrategia general puede suponer la evasión del impuesto de sociedades en el país receptor (host country) </w:t>
      </w:r>
    </w:p>
    <w:p w14:paraId="231042C8" w14:textId="77777777" w:rsidR="0045726F" w:rsidRPr="00F81A0E" w:rsidRDefault="0045726F" w:rsidP="0045726F">
      <w:pPr>
        <w:pStyle w:val="Prrafodelista"/>
        <w:numPr>
          <w:ilvl w:val="0"/>
          <w:numId w:val="112"/>
        </w:numPr>
        <w:spacing w:after="200" w:line="276" w:lineRule="auto"/>
        <w:jc w:val="both"/>
        <w:rPr>
          <w:rFonts w:ascii="Open Sans" w:hAnsi="Open Sans" w:cs="Open Sans"/>
          <w:sz w:val="20"/>
          <w:szCs w:val="20"/>
        </w:rPr>
      </w:pPr>
      <w:r w:rsidRPr="00F81A0E">
        <w:rPr>
          <w:rFonts w:ascii="Open Sans" w:hAnsi="Open Sans" w:cs="Open Sans"/>
          <w:sz w:val="20"/>
          <w:szCs w:val="20"/>
        </w:rPr>
        <w:t>“Intra-group financing Company” que actúa para recibir el desvío de FDI (inversiones extranjeras directas)</w:t>
      </w:r>
    </w:p>
    <w:p w14:paraId="41DEBE1C" w14:textId="764609E6" w:rsidR="0045726F" w:rsidRPr="00DF77A7" w:rsidRDefault="0045726F" w:rsidP="0045726F">
      <w:pPr>
        <w:pStyle w:val="Prrafodelista"/>
        <w:numPr>
          <w:ilvl w:val="0"/>
          <w:numId w:val="112"/>
        </w:numPr>
        <w:autoSpaceDE w:val="0"/>
        <w:autoSpaceDN w:val="0"/>
        <w:adjustRightInd w:val="0"/>
        <w:jc w:val="both"/>
        <w:rPr>
          <w:rFonts w:ascii="Open Sans" w:hAnsi="Open Sans" w:cs="Open Sans"/>
          <w:sz w:val="20"/>
          <w:szCs w:val="20"/>
        </w:rPr>
      </w:pPr>
      <w:r w:rsidRPr="00F81A0E">
        <w:rPr>
          <w:rFonts w:ascii="Open Sans" w:hAnsi="Open Sans" w:cs="Open Sans"/>
          <w:sz w:val="20"/>
          <w:szCs w:val="20"/>
        </w:rPr>
        <w:t xml:space="preserve">” Vehículo de obtención de fondos” (“Fund raising vehicle”), que emite títulos de deuda a través de Holanda con el fin de evadir la retención fiscal en el pago de intereses a acreedores extranjeros. Para empresas españolas y portuguesas, la retención fiscal es 0 en el pago de intereses a través de la SPE holandesa en lugar de </w:t>
      </w:r>
      <w:r w:rsidRPr="00DF77A7">
        <w:rPr>
          <w:rFonts w:ascii="Open Sans" w:hAnsi="Open Sans" w:cs="Open Sans"/>
          <w:sz w:val="20"/>
          <w:szCs w:val="20"/>
        </w:rPr>
        <w:t>hasta el 20% en pagos directos a acreedores extranjeros. Otras firmas españolas también emiten deuda vía SPE en Luxemburgo</w:t>
      </w:r>
      <w:r w:rsidR="00DF77A7">
        <w:rPr>
          <w:rFonts w:ascii="Open Sans" w:hAnsi="Open Sans" w:cs="Open Sans"/>
          <w:sz w:val="20"/>
          <w:szCs w:val="20"/>
        </w:rPr>
        <w:t>.</w:t>
      </w:r>
    </w:p>
    <w:p w14:paraId="4D8877E3" w14:textId="77777777" w:rsidR="0045726F" w:rsidRDefault="0045726F" w:rsidP="0090659A">
      <w:pPr>
        <w:jc w:val="both"/>
        <w:rPr>
          <w:rFonts w:ascii="Open Sans" w:hAnsi="Open Sans" w:cs="Arial"/>
          <w:sz w:val="20"/>
          <w:szCs w:val="20"/>
        </w:rPr>
      </w:pPr>
    </w:p>
    <w:p w14:paraId="064D7752" w14:textId="77777777" w:rsidR="0090659A" w:rsidRPr="00BE413F" w:rsidRDefault="0090659A" w:rsidP="0090659A">
      <w:pPr>
        <w:jc w:val="both"/>
        <w:rPr>
          <w:rFonts w:ascii="Open Sans" w:hAnsi="Open Sans" w:cs="Open Sans"/>
          <w:sz w:val="20"/>
          <w:szCs w:val="20"/>
        </w:rPr>
      </w:pPr>
      <w:r w:rsidRPr="00DF77A7">
        <w:rPr>
          <w:rFonts w:ascii="Open Sans" w:hAnsi="Open Sans" w:cs="Open Sans"/>
          <w:sz w:val="20"/>
          <w:szCs w:val="20"/>
        </w:rPr>
        <w:t>ENDESA</w:t>
      </w:r>
      <w:r w:rsidRPr="00BE413F">
        <w:rPr>
          <w:rFonts w:ascii="Open Sans" w:hAnsi="Open Sans" w:cs="Open Sans"/>
          <w:sz w:val="20"/>
          <w:szCs w:val="20"/>
        </w:rPr>
        <w:t xml:space="preserve"> posee el 100% de International ENDESA, B.V., sociedad holandesa, constituida en 1993, que capta fondos para el Grupo ENDESA a través de los programas de emisión de deuda Euro Medium Term Note (EMTN) y Euro Commercial Paper Programme (ECP). A su vez, la holandesa International Endesa, B.V. es propietaria al 100% de Endesa Capital Finance L.L.C. con sede en Delaware</w:t>
      </w:r>
      <w:r w:rsidRPr="00F81A0E">
        <w:rPr>
          <w:szCs w:val="20"/>
          <w:vertAlign w:val="superscript"/>
        </w:rPr>
        <w:footnoteReference w:id="134"/>
      </w:r>
      <w:r w:rsidRPr="00F81A0E">
        <w:rPr>
          <w:rFonts w:ascii="Open Sans" w:hAnsi="Open Sans" w:cs="Open Sans"/>
          <w:sz w:val="20"/>
          <w:szCs w:val="20"/>
          <w:vertAlign w:val="superscript"/>
        </w:rPr>
        <w:t>,</w:t>
      </w:r>
      <w:r w:rsidRPr="00BE413F">
        <w:rPr>
          <w:rFonts w:ascii="Open Sans" w:hAnsi="Open Sans" w:cs="Open Sans"/>
          <w:sz w:val="20"/>
          <w:szCs w:val="20"/>
        </w:rPr>
        <w:t xml:space="preserve"> información que no aparece explicitada en los documentos de la compañía. Endesa Capital Finance L.L.C lanzó una emisión de </w:t>
      </w:r>
      <w:r w:rsidRPr="002800FF">
        <w:rPr>
          <w:rFonts w:ascii="Open Sans" w:hAnsi="Open Sans" w:cs="Open Sans"/>
          <w:sz w:val="20"/>
          <w:szCs w:val="20"/>
        </w:rPr>
        <w:t>participaciones preferentes de 1.500 millones de euros en el año 2003 y en junio de 2011 ofreció a sus tenedores</w:t>
      </w:r>
      <w:r w:rsidRPr="00BE413F">
        <w:rPr>
          <w:rFonts w:ascii="Open Sans" w:hAnsi="Open Sans" w:cs="Open Sans"/>
          <w:sz w:val="20"/>
          <w:szCs w:val="20"/>
        </w:rPr>
        <w:t xml:space="preserve"> la posibilidad de recomprarlas por el 100% de su valor nominal</w:t>
      </w:r>
      <w:r w:rsidRPr="00E15A8F">
        <w:rPr>
          <w:szCs w:val="20"/>
          <w:vertAlign w:val="superscript"/>
        </w:rPr>
        <w:footnoteReference w:id="135"/>
      </w:r>
      <w:r w:rsidRPr="00BE413F">
        <w:rPr>
          <w:rFonts w:ascii="Open Sans" w:hAnsi="Open Sans" w:cs="Open Sans"/>
          <w:sz w:val="20"/>
          <w:szCs w:val="20"/>
        </w:rPr>
        <w:t>.</w:t>
      </w:r>
    </w:p>
    <w:p w14:paraId="64E732A5" w14:textId="77777777" w:rsidR="0090659A" w:rsidRPr="00BE413F" w:rsidRDefault="0090659A" w:rsidP="0090659A">
      <w:pPr>
        <w:jc w:val="both"/>
        <w:rPr>
          <w:rFonts w:ascii="Open Sans" w:hAnsi="Open Sans" w:cs="Open Sans"/>
          <w:sz w:val="20"/>
          <w:szCs w:val="20"/>
        </w:rPr>
      </w:pPr>
    </w:p>
    <w:p w14:paraId="4404E877" w14:textId="77777777" w:rsidR="0090659A" w:rsidRPr="00BE413F" w:rsidRDefault="0090659A" w:rsidP="0090659A">
      <w:pPr>
        <w:jc w:val="both"/>
        <w:rPr>
          <w:rFonts w:ascii="Open Sans" w:hAnsi="Open Sans" w:cs="Open Sans"/>
          <w:sz w:val="20"/>
          <w:szCs w:val="20"/>
        </w:rPr>
      </w:pPr>
      <w:r w:rsidRPr="00BE413F">
        <w:rPr>
          <w:rFonts w:ascii="Open Sans" w:hAnsi="Open Sans" w:cs="Open Sans"/>
          <w:sz w:val="20"/>
          <w:szCs w:val="20"/>
        </w:rPr>
        <w:t xml:space="preserve">Endesa justifica la presencia de ambas filiales en Holanda porque "las características económicas y jurídicas holandesas permiten tener acceso directo a los mercados financieros más eficientes, adoptar sistemas jurídicos más ágiles capaces de proporcionar una mayor flexibilidad a las empresas establecidas en el mismo y resultan en una menor incidencia de los costes de cumplimiento y una mayor velocidad de acceso a fuentes de financiación. </w:t>
      </w:r>
    </w:p>
    <w:p w14:paraId="0B56F5B9" w14:textId="77777777" w:rsidR="0090659A" w:rsidRPr="00BE413F" w:rsidRDefault="0090659A" w:rsidP="0090659A">
      <w:pPr>
        <w:jc w:val="both"/>
        <w:rPr>
          <w:rFonts w:ascii="Open Sans" w:hAnsi="Open Sans" w:cs="Open Sans"/>
          <w:sz w:val="20"/>
          <w:szCs w:val="20"/>
        </w:rPr>
      </w:pPr>
    </w:p>
    <w:p w14:paraId="221D818A" w14:textId="77777777" w:rsidR="0090659A" w:rsidRPr="00BE413F" w:rsidRDefault="0090659A" w:rsidP="0090659A">
      <w:pPr>
        <w:jc w:val="both"/>
        <w:rPr>
          <w:rFonts w:ascii="Open Sans" w:hAnsi="Open Sans" w:cs="Open Sans"/>
          <w:sz w:val="20"/>
          <w:szCs w:val="20"/>
        </w:rPr>
      </w:pPr>
      <w:r w:rsidRPr="00BE413F">
        <w:rPr>
          <w:rFonts w:ascii="Open Sans" w:hAnsi="Open Sans" w:cs="Open Sans"/>
          <w:sz w:val="20"/>
          <w:szCs w:val="20"/>
        </w:rPr>
        <w:t>En cualquier caso, Endesa afirma “es importante mencionar que Holanda, aunque está incluida en el listado de Tax Justice Network (noviembre 2009), tiene firmado con España un convenio para evitar la Doble Imposición con cláusula de intercambio de información desde octubre de 1972 y mantiene un tipo de gravamen en el Impuesto sobre Sociedades muy similar al existente en España”.</w:t>
      </w:r>
    </w:p>
    <w:p w14:paraId="6B16A1A5" w14:textId="77777777" w:rsidR="0090659A" w:rsidRPr="002800FF" w:rsidRDefault="0090659A" w:rsidP="0090659A">
      <w:pPr>
        <w:jc w:val="both"/>
        <w:rPr>
          <w:rFonts w:ascii="Open Sans" w:hAnsi="Open Sans" w:cs="Open Sans"/>
          <w:sz w:val="20"/>
          <w:szCs w:val="20"/>
        </w:rPr>
      </w:pPr>
    </w:p>
    <w:p w14:paraId="5E44350B" w14:textId="12CF4EFA" w:rsidR="0090659A" w:rsidRDefault="0090659A" w:rsidP="0090659A">
      <w:pPr>
        <w:jc w:val="both"/>
        <w:rPr>
          <w:rFonts w:ascii="Open Sans" w:hAnsi="Open Sans" w:cs="Arial"/>
          <w:bCs/>
          <w:sz w:val="20"/>
          <w:szCs w:val="20"/>
        </w:rPr>
      </w:pPr>
      <w:r w:rsidRPr="00DF77A7">
        <w:rPr>
          <w:rFonts w:ascii="Open Sans" w:hAnsi="Open Sans" w:cs="Arial"/>
          <w:bCs/>
          <w:sz w:val="20"/>
          <w:szCs w:val="20"/>
        </w:rPr>
        <w:t xml:space="preserve">FCC </w:t>
      </w:r>
      <w:r>
        <w:rPr>
          <w:rFonts w:ascii="Open Sans" w:hAnsi="Open Sans" w:cs="Arial"/>
          <w:bCs/>
          <w:sz w:val="20"/>
          <w:szCs w:val="20"/>
        </w:rPr>
        <w:t xml:space="preserve">tiene varias sociedades dependientes en </w:t>
      </w:r>
      <w:r w:rsidR="00FD6A83">
        <w:rPr>
          <w:rFonts w:ascii="Open Sans" w:hAnsi="Open Sans" w:cs="Arial"/>
          <w:bCs/>
          <w:sz w:val="20"/>
          <w:szCs w:val="20"/>
        </w:rPr>
        <w:t>Holanda</w:t>
      </w:r>
      <w:r>
        <w:rPr>
          <w:rFonts w:ascii="Open Sans" w:hAnsi="Open Sans" w:cs="Arial"/>
          <w:bCs/>
          <w:sz w:val="20"/>
          <w:szCs w:val="20"/>
        </w:rPr>
        <w:t>, país considerado nicho fiscal según la Metodología del OBRSC, y en el que el Grupo reconoce que, conjuntamente con Reino Unido, “las operaciones han experimentado una disminución de dos empleados, quedando un total de catorce trabajadores a finales de 2015”, no pareciera ser consistente con las hasta 6 empresas domiciliadas en Holanda que aparecen en los anexos:</w:t>
      </w:r>
    </w:p>
    <w:p w14:paraId="79B3DBCE" w14:textId="77777777" w:rsidR="0090659A" w:rsidRDefault="0090659A" w:rsidP="0090659A">
      <w:pPr>
        <w:jc w:val="both"/>
        <w:rPr>
          <w:rFonts w:ascii="Open Sans" w:hAnsi="Open Sans" w:cs="Arial"/>
          <w:bCs/>
          <w:sz w:val="20"/>
          <w:szCs w:val="20"/>
        </w:rPr>
      </w:pPr>
    </w:p>
    <w:p w14:paraId="040474DC" w14:textId="77777777" w:rsidR="0090659A" w:rsidRDefault="0090659A" w:rsidP="000B70C9">
      <w:pPr>
        <w:pStyle w:val="Prrafodelista"/>
        <w:numPr>
          <w:ilvl w:val="0"/>
          <w:numId w:val="84"/>
        </w:numPr>
        <w:jc w:val="both"/>
        <w:rPr>
          <w:rFonts w:ascii="Open Sans" w:hAnsi="Open Sans" w:cs="Arial"/>
          <w:bCs/>
          <w:sz w:val="20"/>
          <w:szCs w:val="20"/>
        </w:rPr>
      </w:pPr>
      <w:r>
        <w:rPr>
          <w:rFonts w:ascii="Open Sans" w:hAnsi="Open Sans" w:cs="Arial"/>
          <w:bCs/>
          <w:sz w:val="20"/>
          <w:szCs w:val="20"/>
        </w:rPr>
        <w:t>Aqualia New Europe B.V.</w:t>
      </w:r>
    </w:p>
    <w:p w14:paraId="3A03DB89" w14:textId="77777777" w:rsidR="0090659A" w:rsidRDefault="0090659A" w:rsidP="000B70C9">
      <w:pPr>
        <w:pStyle w:val="Prrafodelista"/>
        <w:numPr>
          <w:ilvl w:val="0"/>
          <w:numId w:val="84"/>
        </w:numPr>
        <w:jc w:val="both"/>
        <w:rPr>
          <w:rFonts w:ascii="Open Sans" w:hAnsi="Open Sans" w:cs="Arial"/>
          <w:bCs/>
          <w:sz w:val="20"/>
          <w:szCs w:val="20"/>
          <w:lang w:val="en-US"/>
        </w:rPr>
      </w:pPr>
      <w:r>
        <w:rPr>
          <w:rFonts w:ascii="Open Sans" w:hAnsi="Open Sans" w:cs="Arial"/>
          <w:bCs/>
          <w:sz w:val="20"/>
          <w:szCs w:val="20"/>
          <w:lang w:val="en-US"/>
        </w:rPr>
        <w:t>Aqua Management Solutions B.V.</w:t>
      </w:r>
    </w:p>
    <w:p w14:paraId="4109F8C7" w14:textId="77777777" w:rsidR="0090659A" w:rsidRDefault="0090659A" w:rsidP="000B70C9">
      <w:pPr>
        <w:pStyle w:val="Prrafodelista"/>
        <w:numPr>
          <w:ilvl w:val="0"/>
          <w:numId w:val="84"/>
        </w:numPr>
        <w:jc w:val="both"/>
        <w:rPr>
          <w:rFonts w:ascii="Open Sans" w:hAnsi="Open Sans" w:cs="Arial"/>
          <w:bCs/>
          <w:sz w:val="20"/>
          <w:szCs w:val="20"/>
          <w:lang w:val="en-US"/>
        </w:rPr>
      </w:pPr>
      <w:r>
        <w:rPr>
          <w:rFonts w:ascii="Open Sans" w:hAnsi="Open Sans" w:cs="Arial"/>
          <w:bCs/>
          <w:sz w:val="20"/>
          <w:szCs w:val="20"/>
          <w:lang w:val="en-US"/>
        </w:rPr>
        <w:t>FCC Construction International B.V.</w:t>
      </w:r>
    </w:p>
    <w:p w14:paraId="3699B440" w14:textId="77777777" w:rsidR="0090659A" w:rsidRDefault="0090659A" w:rsidP="000B70C9">
      <w:pPr>
        <w:pStyle w:val="Prrafodelista"/>
        <w:numPr>
          <w:ilvl w:val="0"/>
          <w:numId w:val="84"/>
        </w:numPr>
        <w:jc w:val="both"/>
        <w:rPr>
          <w:rFonts w:ascii="Open Sans" w:hAnsi="Open Sans" w:cs="Arial"/>
          <w:bCs/>
          <w:sz w:val="20"/>
          <w:szCs w:val="20"/>
          <w:lang w:val="en-US"/>
        </w:rPr>
      </w:pPr>
      <w:r>
        <w:rPr>
          <w:rFonts w:ascii="Open Sans" w:hAnsi="Open Sans" w:cs="Arial"/>
          <w:bCs/>
          <w:sz w:val="20"/>
          <w:szCs w:val="20"/>
          <w:lang w:val="en-US"/>
        </w:rPr>
        <w:t>Uniland International B.V.</w:t>
      </w:r>
    </w:p>
    <w:p w14:paraId="41A4B971" w14:textId="77777777" w:rsidR="0090659A" w:rsidRDefault="0090659A" w:rsidP="000B70C9">
      <w:pPr>
        <w:pStyle w:val="Prrafodelista"/>
        <w:numPr>
          <w:ilvl w:val="0"/>
          <w:numId w:val="84"/>
        </w:numPr>
        <w:jc w:val="both"/>
        <w:rPr>
          <w:rFonts w:ascii="Open Sans" w:hAnsi="Open Sans" w:cs="Arial"/>
          <w:bCs/>
          <w:sz w:val="20"/>
          <w:szCs w:val="20"/>
          <w:lang w:val="en-US"/>
        </w:rPr>
      </w:pPr>
      <w:r>
        <w:rPr>
          <w:rFonts w:ascii="Open Sans" w:hAnsi="Open Sans" w:cs="Arial"/>
          <w:bCs/>
          <w:sz w:val="20"/>
          <w:szCs w:val="20"/>
          <w:lang w:val="en-US"/>
        </w:rPr>
        <w:t>Uniland Trading B.V.</w:t>
      </w:r>
    </w:p>
    <w:p w14:paraId="676AF4BF" w14:textId="77777777" w:rsidR="0090659A" w:rsidRDefault="0090659A" w:rsidP="000B70C9">
      <w:pPr>
        <w:pStyle w:val="Prrafodelista"/>
        <w:numPr>
          <w:ilvl w:val="0"/>
          <w:numId w:val="84"/>
        </w:numPr>
        <w:jc w:val="both"/>
        <w:rPr>
          <w:rFonts w:ascii="Open Sans" w:hAnsi="Open Sans" w:cs="Arial"/>
          <w:bCs/>
          <w:sz w:val="20"/>
          <w:szCs w:val="20"/>
          <w:lang w:val="en-US"/>
        </w:rPr>
      </w:pPr>
      <w:r>
        <w:rPr>
          <w:rFonts w:ascii="Open Sans" w:hAnsi="Open Sans" w:cs="Arial"/>
          <w:bCs/>
          <w:sz w:val="20"/>
          <w:szCs w:val="20"/>
          <w:lang w:val="en-US"/>
        </w:rPr>
        <w:t>PPP Infraestructure Investments B.V.</w:t>
      </w:r>
    </w:p>
    <w:p w14:paraId="0D3C3548" w14:textId="77777777" w:rsidR="0090659A" w:rsidRPr="00E556BB" w:rsidRDefault="0090659A" w:rsidP="0090659A">
      <w:pPr>
        <w:rPr>
          <w:sz w:val="22"/>
          <w:szCs w:val="22"/>
          <w:lang w:val="en-GB"/>
        </w:rPr>
      </w:pPr>
    </w:p>
    <w:p w14:paraId="59D4C23A" w14:textId="77777777" w:rsidR="0090659A" w:rsidRDefault="0090659A" w:rsidP="0090659A">
      <w:pPr>
        <w:jc w:val="both"/>
        <w:rPr>
          <w:rFonts w:ascii="Open Sans" w:hAnsi="Open Sans" w:cs="Arial"/>
          <w:sz w:val="20"/>
          <w:szCs w:val="20"/>
        </w:rPr>
      </w:pPr>
      <w:r>
        <w:rPr>
          <w:rFonts w:ascii="Open Sans" w:hAnsi="Open Sans" w:cs="Arial"/>
          <w:bCs/>
          <w:sz w:val="20"/>
          <w:szCs w:val="20"/>
        </w:rPr>
        <w:t>Al no ofrecerse más información sobre la actividad de las citadas empresas, de nuevo planea la duda sobre la finalidad de las mismas dentro de un potencial entramado de elusión fiscal</w:t>
      </w:r>
    </w:p>
    <w:p w14:paraId="522C1851" w14:textId="77777777" w:rsidR="0090659A" w:rsidRDefault="0090659A" w:rsidP="0090659A">
      <w:pPr>
        <w:jc w:val="both"/>
        <w:rPr>
          <w:rFonts w:ascii="Open Sans" w:hAnsi="Open Sans" w:cs="Arial"/>
          <w:sz w:val="20"/>
          <w:szCs w:val="20"/>
        </w:rPr>
      </w:pPr>
    </w:p>
    <w:p w14:paraId="00ADAED3" w14:textId="5EFD4644" w:rsidR="0090659A" w:rsidRDefault="0090659A" w:rsidP="0090659A">
      <w:pPr>
        <w:jc w:val="both"/>
        <w:rPr>
          <w:rFonts w:ascii="Open Sans" w:hAnsi="Open Sans" w:cs="Arial"/>
          <w:sz w:val="20"/>
          <w:szCs w:val="20"/>
        </w:rPr>
      </w:pPr>
      <w:r w:rsidRPr="00DF77A7">
        <w:rPr>
          <w:rFonts w:ascii="Open Sans" w:hAnsi="Open Sans" w:cs="Open Sans"/>
          <w:sz w:val="20"/>
          <w:szCs w:val="20"/>
        </w:rPr>
        <w:t>GAS NATURAL</w:t>
      </w:r>
      <w:r w:rsidR="00FD6A83" w:rsidRPr="00DF77A7">
        <w:rPr>
          <w:rFonts w:ascii="Open Sans" w:hAnsi="Open Sans" w:cs="Open Sans"/>
          <w:sz w:val="20"/>
          <w:szCs w:val="20"/>
        </w:rPr>
        <w:t xml:space="preserve"> FENOSA</w:t>
      </w:r>
      <w:r>
        <w:rPr>
          <w:rFonts w:ascii="Open Sans" w:hAnsi="Open Sans" w:cs="Open Sans"/>
          <w:sz w:val="20"/>
          <w:szCs w:val="20"/>
        </w:rPr>
        <w:t xml:space="preserve"> posee dos sociedades radicadas en los Países Bajos (Holanda), GPG México Wind, B.V. y GPG México, B.V., cuya actividad es la tenencia de acciones de empresas sitas en México. No se explica el porqué de esta clara desconexión geográfica entre las empresas que realizan las actividades por un lado y las que detentan sus acciones por otro.</w:t>
      </w:r>
    </w:p>
    <w:p w14:paraId="22188E80" w14:textId="77777777" w:rsidR="0090659A" w:rsidRPr="00FD6A83" w:rsidRDefault="0090659A" w:rsidP="0090659A">
      <w:pPr>
        <w:jc w:val="both"/>
        <w:rPr>
          <w:rFonts w:ascii="Open Sans" w:hAnsi="Open Sans" w:cs="Arial"/>
          <w:sz w:val="20"/>
          <w:szCs w:val="20"/>
          <w:u w:val="single"/>
        </w:rPr>
      </w:pPr>
    </w:p>
    <w:p w14:paraId="0A97FFFF" w14:textId="77777777" w:rsidR="0090659A" w:rsidRPr="00FD6A83" w:rsidRDefault="0090659A" w:rsidP="0090659A">
      <w:pPr>
        <w:jc w:val="both"/>
        <w:rPr>
          <w:rFonts w:ascii="Open Sans" w:hAnsi="Open Sans" w:cs="Arial"/>
          <w:bCs/>
          <w:sz w:val="20"/>
          <w:szCs w:val="20"/>
        </w:rPr>
      </w:pPr>
      <w:r w:rsidRPr="00DF77A7">
        <w:rPr>
          <w:rFonts w:ascii="Open Sans" w:hAnsi="Open Sans" w:cs="Arial"/>
          <w:sz w:val="20"/>
          <w:szCs w:val="20"/>
        </w:rPr>
        <w:t>INDITEX</w:t>
      </w:r>
      <w:r w:rsidRPr="00FD6A83">
        <w:rPr>
          <w:rFonts w:ascii="Open Sans" w:hAnsi="Open Sans" w:cs="Arial"/>
          <w:sz w:val="20"/>
          <w:szCs w:val="20"/>
        </w:rPr>
        <w:t xml:space="preserve"> </w:t>
      </w:r>
      <w:r w:rsidRPr="00FD6A83">
        <w:rPr>
          <w:rFonts w:ascii="Open Sans" w:hAnsi="Open Sans" w:cs="Arial"/>
          <w:bCs/>
          <w:sz w:val="20"/>
          <w:szCs w:val="20"/>
        </w:rPr>
        <w:t>posee en Holanda 16 empresas domiciliadas cuya actividades son financieras, sociedades de cartera (tenedoras de acciones de otras filiales del grupo), prestación de servicios multicadena, actividad aseguradora e inmobiliaria. En el caso de la sociedad Pull and Bear Taiwan, B.V. Taiwan Branch aunque indica que su actividad es la venta al público se refiere a operaciones en Taiwán.</w:t>
      </w:r>
    </w:p>
    <w:p w14:paraId="044489A2" w14:textId="77777777" w:rsidR="0090659A" w:rsidRDefault="0090659A" w:rsidP="0090659A">
      <w:pPr>
        <w:jc w:val="both"/>
        <w:rPr>
          <w:rFonts w:ascii="Open Sans" w:hAnsi="Open Sans" w:cs="Arial"/>
          <w:sz w:val="20"/>
          <w:szCs w:val="20"/>
        </w:rPr>
      </w:pPr>
    </w:p>
    <w:p w14:paraId="1DAE85BB" w14:textId="77777777" w:rsidR="0090659A" w:rsidRPr="00FD6A83" w:rsidRDefault="0090659A" w:rsidP="0090659A">
      <w:pPr>
        <w:jc w:val="both"/>
        <w:rPr>
          <w:rFonts w:ascii="Open Sans" w:hAnsi="Open Sans" w:cs="Arial"/>
          <w:sz w:val="20"/>
          <w:szCs w:val="20"/>
        </w:rPr>
      </w:pPr>
      <w:r>
        <w:rPr>
          <w:rFonts w:ascii="Open Sans" w:hAnsi="Open Sans" w:cs="Arial"/>
          <w:sz w:val="20"/>
          <w:szCs w:val="20"/>
        </w:rPr>
        <w:t>E</w:t>
      </w:r>
      <w:r>
        <w:rPr>
          <w:rFonts w:ascii="Open Sans" w:hAnsi="Open Sans" w:cs="Open Sans"/>
          <w:sz w:val="20"/>
          <w:szCs w:val="20"/>
        </w:rPr>
        <w:t xml:space="preserve">l Grupo </w:t>
      </w:r>
      <w:r w:rsidRPr="00DF77A7">
        <w:rPr>
          <w:rFonts w:ascii="Open Sans" w:hAnsi="Open Sans" w:cs="Open Sans"/>
          <w:sz w:val="20"/>
          <w:szCs w:val="20"/>
        </w:rPr>
        <w:t>ACS</w:t>
      </w:r>
      <w:r>
        <w:rPr>
          <w:rFonts w:ascii="Open Sans" w:hAnsi="Open Sans" w:cs="Open Sans"/>
          <w:sz w:val="20"/>
          <w:szCs w:val="20"/>
        </w:rPr>
        <w:t xml:space="preserve"> tiene un saldo de obligaciones y bonos emitidos por importe de 2.815.259 miles de euros no corrientes y 1.028.431 miles de euros corrientes (2.928.519 miles de euros no corrientes y 760.847 miles de euros corrientes respectivamente a 31 de diciembre de 2014) procedentes principalmente de Cimic, Hochtief y ACS. </w:t>
      </w:r>
      <w:r w:rsidRPr="00FD6A83">
        <w:rPr>
          <w:rFonts w:ascii="Open Sans" w:hAnsi="Open Sans" w:cs="Open Sans"/>
          <w:sz w:val="20"/>
          <w:szCs w:val="20"/>
        </w:rPr>
        <w:t>Hay diversas emisiones que cotizan en la bolsa de Irlanda.  Una emisión de bonos sin calificación crediticia por importe de 500 millones de euros con vencimiento en 2019 y con cupón del 2,625% anual. Esta emisión cotiza en la Bolsa de Luxemburgo y en todas las bolsas alemanas. La emisión realizada por ACS Actividades Finance 2 B.V. por un importe vivo a 31 de diciembre de 2015 de 235.300 miles de euros. La emisión realizada por ACS Actividades Finance B.V. por un importe vivo a 31 de diciembre de 2015 de 297.600 miles de euros. Ambas sociedades están domiciliadas en Holanda.</w:t>
      </w:r>
    </w:p>
    <w:p w14:paraId="4B4D13C6" w14:textId="77777777" w:rsidR="0090659A" w:rsidRDefault="0090659A" w:rsidP="0090659A">
      <w:pPr>
        <w:jc w:val="both"/>
        <w:rPr>
          <w:rFonts w:ascii="Open Sans" w:hAnsi="Open Sans" w:cs="Arial"/>
          <w:sz w:val="20"/>
          <w:szCs w:val="20"/>
        </w:rPr>
      </w:pPr>
    </w:p>
    <w:p w14:paraId="7FB9F2A5" w14:textId="77777777" w:rsidR="0090659A" w:rsidRPr="00FD6A83" w:rsidRDefault="0090659A" w:rsidP="0090659A">
      <w:pPr>
        <w:jc w:val="both"/>
        <w:rPr>
          <w:rFonts w:ascii="Open Sans" w:hAnsi="Open Sans" w:cs="Arial"/>
          <w:b/>
          <w:sz w:val="20"/>
          <w:szCs w:val="20"/>
        </w:rPr>
      </w:pPr>
      <w:r w:rsidRPr="00DF77A7">
        <w:rPr>
          <w:rFonts w:ascii="Open Sans" w:hAnsi="Open Sans" w:cs="Arial"/>
          <w:sz w:val="20"/>
          <w:szCs w:val="20"/>
        </w:rPr>
        <w:t>REC</w:t>
      </w:r>
      <w:r>
        <w:rPr>
          <w:rFonts w:ascii="Open Sans" w:hAnsi="Open Sans" w:cs="Arial"/>
          <w:sz w:val="20"/>
          <w:szCs w:val="20"/>
        </w:rPr>
        <w:t xml:space="preserve"> tiene una sociedad en </w:t>
      </w:r>
      <w:r w:rsidRPr="00FD6A83">
        <w:rPr>
          <w:rFonts w:ascii="Open Sans" w:hAnsi="Open Sans" w:cs="Arial"/>
          <w:sz w:val="20"/>
          <w:szCs w:val="20"/>
        </w:rPr>
        <w:t xml:space="preserve">Holanda, RBV que fue constituida en 2003  para poder realizar emisiones de deuda para la financiación del Grupo Red Eléctrica. </w:t>
      </w:r>
    </w:p>
    <w:p w14:paraId="1B9EA100" w14:textId="77777777" w:rsidR="0090659A" w:rsidRDefault="0090659A" w:rsidP="0090659A">
      <w:pPr>
        <w:jc w:val="both"/>
        <w:rPr>
          <w:rFonts w:ascii="Open Sans" w:hAnsi="Open Sans" w:cs="Arial"/>
          <w:sz w:val="20"/>
          <w:szCs w:val="20"/>
        </w:rPr>
      </w:pPr>
    </w:p>
    <w:p w14:paraId="3DA33F63" w14:textId="77777777" w:rsidR="0090659A" w:rsidRPr="00FD6A83" w:rsidRDefault="0090659A" w:rsidP="0090659A">
      <w:pPr>
        <w:jc w:val="both"/>
        <w:rPr>
          <w:rFonts w:ascii="Open Sans" w:hAnsi="Open Sans" w:cs="Arial"/>
          <w:color w:val="000000"/>
          <w:sz w:val="20"/>
          <w:szCs w:val="20"/>
        </w:rPr>
      </w:pPr>
      <w:r w:rsidRPr="00DF77A7">
        <w:rPr>
          <w:rFonts w:ascii="Open Sans" w:hAnsi="Open Sans" w:cs="Arial"/>
          <w:color w:val="000000"/>
          <w:sz w:val="20"/>
          <w:szCs w:val="20"/>
        </w:rPr>
        <w:t xml:space="preserve">TELEFÓNICA </w:t>
      </w:r>
      <w:r w:rsidRPr="00FD6A83">
        <w:rPr>
          <w:rFonts w:ascii="Open Sans" w:hAnsi="Open Sans" w:cs="Arial"/>
          <w:color w:val="000000"/>
          <w:sz w:val="20"/>
          <w:szCs w:val="20"/>
        </w:rPr>
        <w:t xml:space="preserve"> mantiene la sede de dos holdings latinoamericanos en los Países Bajos: Panamá Cellular Holdings BV y Guatemala Cellular Holdings BV, además de las sedes de la sociedad de cartera Aliança Atlántica Holding BV, la filial de gestión de tesorería Telfisa Global BV, así como la división de captación de fondos en los mercados de capital Telefónica Europe BV</w:t>
      </w:r>
    </w:p>
    <w:p w14:paraId="3AC399B3" w14:textId="77777777" w:rsidR="0090659A" w:rsidRDefault="0090659A" w:rsidP="0090659A">
      <w:pPr>
        <w:jc w:val="both"/>
        <w:rPr>
          <w:rFonts w:ascii="Open Sans" w:hAnsi="Open Sans" w:cs="Arial"/>
          <w:color w:val="000000"/>
          <w:sz w:val="20"/>
          <w:szCs w:val="20"/>
          <w:u w:val="single"/>
        </w:rPr>
      </w:pPr>
    </w:p>
    <w:p w14:paraId="7CEC2E9B" w14:textId="77777777" w:rsidR="0090659A" w:rsidRPr="00FD6A83" w:rsidRDefault="0090659A" w:rsidP="0090659A">
      <w:pPr>
        <w:jc w:val="both"/>
        <w:rPr>
          <w:rFonts w:ascii="Open Sans" w:hAnsi="Open Sans" w:cs="Open Sans"/>
          <w:color w:val="000000"/>
          <w:sz w:val="20"/>
          <w:szCs w:val="20"/>
        </w:rPr>
      </w:pPr>
      <w:r w:rsidRPr="00FD6A83">
        <w:rPr>
          <w:rFonts w:ascii="Open Sans" w:hAnsi="Open Sans" w:cs="Arial"/>
          <w:color w:val="000000"/>
          <w:sz w:val="20"/>
          <w:szCs w:val="20"/>
        </w:rPr>
        <w:t xml:space="preserve">Otros dos de los territorios más utilizados para captación de fondos son </w:t>
      </w:r>
      <w:r w:rsidRPr="00F5507F">
        <w:rPr>
          <w:rFonts w:ascii="Open Sans" w:hAnsi="Open Sans" w:cs="Arial"/>
          <w:color w:val="000000"/>
          <w:sz w:val="20"/>
          <w:szCs w:val="20"/>
        </w:rPr>
        <w:t>Irlanda y Luxemburgo</w:t>
      </w:r>
      <w:r w:rsidRPr="00FD6A83">
        <w:rPr>
          <w:rFonts w:ascii="Open Sans" w:hAnsi="Open Sans" w:cs="Arial"/>
          <w:color w:val="000000"/>
          <w:sz w:val="20"/>
          <w:szCs w:val="20"/>
        </w:rPr>
        <w:t xml:space="preserve">. Po ejemplo </w:t>
      </w:r>
      <w:r w:rsidRPr="00DF77A7">
        <w:rPr>
          <w:rFonts w:ascii="Open Sans" w:hAnsi="Open Sans" w:cs="Arial"/>
          <w:color w:val="000000"/>
          <w:sz w:val="20"/>
          <w:szCs w:val="20"/>
        </w:rPr>
        <w:t>OHL</w:t>
      </w:r>
      <w:r w:rsidRPr="00FD6A83">
        <w:rPr>
          <w:rFonts w:ascii="Open Sans" w:hAnsi="Open Sans" w:cs="Arial"/>
          <w:color w:val="000000"/>
          <w:sz w:val="20"/>
          <w:szCs w:val="20"/>
        </w:rPr>
        <w:t xml:space="preserve"> </w:t>
      </w:r>
      <w:r w:rsidRPr="00FD6A83">
        <w:rPr>
          <w:rFonts w:ascii="Open Sans" w:hAnsi="Open Sans" w:cs="Open Sans"/>
          <w:bCs/>
          <w:sz w:val="20"/>
          <w:szCs w:val="20"/>
        </w:rPr>
        <w:t>tiene en Luxemburgo 2 sociedades, una indica que su actividad es “gestión” (</w:t>
      </w:r>
      <w:r w:rsidRPr="00FD6A83">
        <w:rPr>
          <w:rFonts w:ascii="Open Sans" w:hAnsi="Open Sans" w:cs="Open Sans"/>
          <w:color w:val="000000"/>
          <w:sz w:val="20"/>
          <w:szCs w:val="20"/>
        </w:rPr>
        <w:t>OHL Finance S.à.r.l) y la otra “</w:t>
      </w:r>
      <w:r w:rsidRPr="00FD6A83">
        <w:rPr>
          <w:rFonts w:ascii="Open Sans" w:hAnsi="Open Sans" w:cs="Open Sans"/>
          <w:sz w:val="20"/>
          <w:szCs w:val="20"/>
        </w:rPr>
        <w:t>Emisión de participaciones y cualquier instrumento de deuda” (</w:t>
      </w:r>
      <w:r w:rsidRPr="00FD6A83">
        <w:rPr>
          <w:rFonts w:ascii="Open Sans" w:hAnsi="Open Sans" w:cs="Open Sans"/>
          <w:color w:val="000000"/>
          <w:sz w:val="20"/>
          <w:szCs w:val="20"/>
        </w:rPr>
        <w:t xml:space="preserve">OHL Investments, S.A.). También a través de la misma fuente externa se ha identificado la empresa OHL Investments 1407 S.A. domiciliada en Luxemburgo desde el año 2014 pero se desconoce la actividad de esta filial. </w:t>
      </w:r>
    </w:p>
    <w:p w14:paraId="0BC4F48F" w14:textId="77777777" w:rsidR="0090659A" w:rsidRPr="00FD6A83" w:rsidRDefault="0090659A" w:rsidP="0090659A">
      <w:pPr>
        <w:jc w:val="both"/>
        <w:rPr>
          <w:rFonts w:ascii="Open Sans" w:hAnsi="Open Sans" w:cs="Open Sans"/>
          <w:color w:val="000000"/>
          <w:sz w:val="20"/>
          <w:szCs w:val="20"/>
        </w:rPr>
      </w:pPr>
    </w:p>
    <w:p w14:paraId="1DE6DC5B" w14:textId="357D9038" w:rsidR="0090659A" w:rsidRDefault="0090659A" w:rsidP="0090659A">
      <w:pPr>
        <w:jc w:val="both"/>
        <w:rPr>
          <w:rFonts w:ascii="Open Sans" w:hAnsi="Open Sans" w:cs="Open Sans"/>
          <w:sz w:val="20"/>
          <w:szCs w:val="20"/>
        </w:rPr>
      </w:pPr>
      <w:r>
        <w:rPr>
          <w:rFonts w:ascii="Open Sans" w:hAnsi="Open Sans" w:cs="Open Sans"/>
          <w:sz w:val="20"/>
          <w:szCs w:val="20"/>
        </w:rPr>
        <w:t xml:space="preserve">Otro aspecto sensible identificado está en la </w:t>
      </w:r>
      <w:r w:rsidRPr="00675759">
        <w:rPr>
          <w:rFonts w:ascii="Open Sans" w:hAnsi="Open Sans" w:cs="Open Sans"/>
          <w:b/>
          <w:sz w:val="20"/>
          <w:szCs w:val="20"/>
        </w:rPr>
        <w:t>relación de accionistas significativos de las empresas analizadas con territorios considerados paraísos y/o nichos fiscales</w:t>
      </w:r>
      <w:r>
        <w:rPr>
          <w:rFonts w:ascii="Open Sans" w:hAnsi="Open Sans" w:cs="Open Sans"/>
          <w:sz w:val="20"/>
          <w:szCs w:val="20"/>
        </w:rPr>
        <w:t>:</w:t>
      </w:r>
    </w:p>
    <w:p w14:paraId="3CA050B2" w14:textId="77777777" w:rsidR="0090659A" w:rsidRDefault="0090659A" w:rsidP="0090659A">
      <w:pPr>
        <w:jc w:val="both"/>
        <w:rPr>
          <w:rFonts w:ascii="Open Sans" w:hAnsi="Open Sans" w:cs="Open Sans"/>
          <w:sz w:val="20"/>
          <w:szCs w:val="20"/>
        </w:rPr>
      </w:pPr>
    </w:p>
    <w:p w14:paraId="6D449AFF" w14:textId="77777777" w:rsidR="0090659A" w:rsidRPr="00FD6A83" w:rsidRDefault="0090659A" w:rsidP="0090659A">
      <w:pPr>
        <w:jc w:val="both"/>
        <w:rPr>
          <w:rFonts w:ascii="Open Sans" w:hAnsi="Open Sans" w:cs="Open Sans"/>
          <w:sz w:val="20"/>
          <w:szCs w:val="20"/>
        </w:rPr>
      </w:pPr>
      <w:r>
        <w:rPr>
          <w:rFonts w:ascii="Open Sans" w:hAnsi="Open Sans"/>
          <w:sz w:val="20"/>
          <w:szCs w:val="20"/>
        </w:rPr>
        <w:t xml:space="preserve">Los mayores accionistas de </w:t>
      </w:r>
      <w:r w:rsidRPr="00F5507F">
        <w:rPr>
          <w:rFonts w:ascii="Open Sans" w:hAnsi="Open Sans"/>
          <w:sz w:val="20"/>
          <w:szCs w:val="20"/>
        </w:rPr>
        <w:t>GRIFOLS</w:t>
      </w:r>
      <w:r w:rsidRPr="00FD6A83">
        <w:rPr>
          <w:rFonts w:ascii="Open Sans" w:hAnsi="Open Sans"/>
          <w:sz w:val="20"/>
          <w:szCs w:val="20"/>
        </w:rPr>
        <w:t xml:space="preserve"> son tres firmas vinculadas con miembros de la familia Grifols, Deria SA (8,87%), Scranton Enterprises B.V. (8,55%) y Thorthol Holdings B.V. (7,06%). Además Nuria Roura Carreras (miembro de la familia Grifols) tiene un 6,15% de participaciones de manera indirecta a través de la sociedad Rodellar Amsterdam Holdings B.V. Todas, excepto Deria SA,  se encuentran radicadas en Holanda, </w:t>
      </w:r>
      <w:r w:rsidRPr="00FD6A83">
        <w:rPr>
          <w:rFonts w:ascii="Open Sans" w:hAnsi="Open Sans" w:cs="Open Sans"/>
          <w:sz w:val="20"/>
          <w:szCs w:val="20"/>
        </w:rPr>
        <w:t xml:space="preserve">país conocido por sus ventajas fiscales para no residentes. </w:t>
      </w:r>
    </w:p>
    <w:p w14:paraId="7BFB1CC6" w14:textId="77777777" w:rsidR="0090659A" w:rsidRDefault="0090659A" w:rsidP="0090659A">
      <w:pPr>
        <w:jc w:val="both"/>
        <w:rPr>
          <w:rFonts w:ascii="Open Sans" w:hAnsi="Open Sans" w:cs="Open Sans"/>
          <w:sz w:val="20"/>
          <w:szCs w:val="20"/>
          <w:u w:val="single"/>
        </w:rPr>
      </w:pPr>
    </w:p>
    <w:p w14:paraId="6B8BC699" w14:textId="77777777" w:rsidR="0090659A" w:rsidRDefault="0090659A" w:rsidP="0090659A">
      <w:pPr>
        <w:jc w:val="both"/>
        <w:rPr>
          <w:rFonts w:ascii="Times New Roman" w:hAnsi="Times New Roman" w:cs="Times New Roman"/>
        </w:rPr>
      </w:pPr>
      <w:r>
        <w:rPr>
          <w:rFonts w:ascii="Open Sans" w:hAnsi="Open Sans" w:cs="Open Sans"/>
          <w:sz w:val="20"/>
          <w:szCs w:val="20"/>
        </w:rPr>
        <w:t xml:space="preserve">El segundo principal accionista de </w:t>
      </w:r>
      <w:r w:rsidRPr="00F5507F">
        <w:rPr>
          <w:rFonts w:ascii="Open Sans" w:hAnsi="Open Sans" w:cs="Open Sans"/>
          <w:sz w:val="20"/>
          <w:szCs w:val="20"/>
        </w:rPr>
        <w:t>AENA</w:t>
      </w:r>
      <w:r>
        <w:rPr>
          <w:rFonts w:ascii="Open Sans" w:hAnsi="Open Sans" w:cs="Open Sans"/>
          <w:sz w:val="20"/>
          <w:szCs w:val="20"/>
        </w:rPr>
        <w:t xml:space="preserve"> por detrás de la entidad pública empresarial Enaire es la sociedad </w:t>
      </w:r>
      <w:r w:rsidRPr="00FD6A83">
        <w:rPr>
          <w:rFonts w:ascii="Open Sans" w:hAnsi="Open Sans" w:cs="Open Sans"/>
          <w:sz w:val="20"/>
          <w:szCs w:val="20"/>
        </w:rPr>
        <w:t>The Children's Investment Fund  (TCI) con un 11,32% del capital. Esta sociedad está radicada en Luxemburgo y cuyo único accionista es una filial radicada en las Islas Caimán</w:t>
      </w:r>
      <w:r>
        <w:rPr>
          <w:rFonts w:ascii="Open Sans" w:hAnsi="Open Sans" w:cs="Open Sans"/>
          <w:sz w:val="20"/>
          <w:szCs w:val="20"/>
        </w:rPr>
        <w:t>, territorio británico dependiente del Reino Unido al que la Agencia Tributaria española considera un </w:t>
      </w:r>
      <w:hyperlink r:id="rId58" w:history="1">
        <w:r>
          <w:rPr>
            <w:rStyle w:val="Hipervnculo"/>
            <w:rFonts w:ascii="Open Sans" w:hAnsi="Open Sans" w:cs="Open Sans"/>
            <w:sz w:val="20"/>
            <w:szCs w:val="20"/>
          </w:rPr>
          <w:t>paraíso fiscal</w:t>
        </w:r>
      </w:hyperlink>
      <w:r>
        <w:rPr>
          <w:rFonts w:ascii="Open Sans" w:hAnsi="Open Sans" w:cs="Open Sans"/>
          <w:sz w:val="20"/>
          <w:szCs w:val="20"/>
        </w:rPr>
        <w:t>. La sede de ese fondo, de acuerdo con información aparecida en prensa, está en Ugland House, un edificio de cinco plantas donde están registradas más de 18.000 empresas que utilizan este territorio completamente opaco como tapadera fiscal</w:t>
      </w:r>
      <w:r>
        <w:rPr>
          <w:rStyle w:val="Refdenotaalpie"/>
          <w:rFonts w:ascii="Open Sans" w:hAnsi="Open Sans" w:cs="Open Sans"/>
          <w:sz w:val="20"/>
          <w:szCs w:val="20"/>
        </w:rPr>
        <w:footnoteReference w:id="136"/>
      </w:r>
      <w:r>
        <w:rPr>
          <w:rFonts w:ascii="Times New Roman" w:hAnsi="Times New Roman" w:cs="Times New Roman"/>
        </w:rPr>
        <w:t>.</w:t>
      </w:r>
    </w:p>
    <w:p w14:paraId="6C4EC05C" w14:textId="77777777" w:rsidR="0090659A" w:rsidRDefault="0090659A" w:rsidP="0090659A">
      <w:pPr>
        <w:jc w:val="both"/>
        <w:rPr>
          <w:rFonts w:ascii="Times New Roman" w:hAnsi="Times New Roman" w:cs="Times New Roman"/>
        </w:rPr>
      </w:pPr>
    </w:p>
    <w:p w14:paraId="24366F1A" w14:textId="77777777" w:rsidR="0090659A" w:rsidRDefault="0090659A" w:rsidP="0090659A">
      <w:pPr>
        <w:jc w:val="both"/>
        <w:rPr>
          <w:rFonts w:ascii="Open Sans" w:hAnsi="Open Sans" w:cs="Open Sans"/>
          <w:sz w:val="20"/>
          <w:szCs w:val="20"/>
        </w:rPr>
      </w:pPr>
      <w:r>
        <w:rPr>
          <w:rFonts w:ascii="Open Sans" w:hAnsi="Open Sans" w:cs="Open Sans"/>
          <w:sz w:val="20"/>
          <w:szCs w:val="20"/>
        </w:rPr>
        <w:t xml:space="preserve">Los mayores accionistas </w:t>
      </w:r>
      <w:r w:rsidRPr="00FD6A83">
        <w:rPr>
          <w:rFonts w:ascii="Open Sans" w:hAnsi="Open Sans" w:cs="Open Sans"/>
          <w:sz w:val="20"/>
          <w:szCs w:val="20"/>
        </w:rPr>
        <w:t xml:space="preserve">de </w:t>
      </w:r>
      <w:r w:rsidRPr="00F5507F">
        <w:rPr>
          <w:rFonts w:ascii="Open Sans" w:hAnsi="Open Sans" w:cs="Open Sans"/>
          <w:sz w:val="20"/>
          <w:szCs w:val="20"/>
        </w:rPr>
        <w:t>ACCIONA</w:t>
      </w:r>
      <w:r w:rsidRPr="00FD6A83">
        <w:rPr>
          <w:rFonts w:ascii="Open Sans" w:hAnsi="Open Sans" w:cs="Open Sans"/>
          <w:sz w:val="20"/>
          <w:szCs w:val="20"/>
        </w:rPr>
        <w:t xml:space="preserve"> son la Familia Entrecanales, con el 53,9% del capital a través de dos sociedades: Tussen de Grachten, BV (Familia Entrecanales Franco) con un 27,8% y Wit Europese Investering, BV, anteriormente Entreazca (Familia Entrecanales Domecq) con un 26,1%. Ambas sociedades están radicadas en Holanda,</w:t>
      </w:r>
      <w:r>
        <w:rPr>
          <w:rFonts w:ascii="Open Sans" w:hAnsi="Open Sans" w:cs="Open Sans"/>
          <w:sz w:val="20"/>
          <w:szCs w:val="20"/>
        </w:rPr>
        <w:t xml:space="preserve"> país conocido por sus ventajas fiscales para no residentes. Por otro lado, de acuerdo con la base de datos opencorporates, varios de los miembros de la familia Entrecanales son apoderados de la empresa Esfingo, INC de Panamá. El presidente y director es José María Entrecanales Azcarate y  el Vicepresidente y Tesorero es Juan Crisostomo Entrecanales Azcarate. La sociedad fue creada 32 años atrás</w:t>
      </w:r>
      <w:r>
        <w:rPr>
          <w:rStyle w:val="Refdenotaalpie"/>
          <w:rFonts w:ascii="Open Sans" w:hAnsi="Open Sans" w:cs="Open Sans"/>
          <w:sz w:val="20"/>
          <w:szCs w:val="20"/>
        </w:rPr>
        <w:footnoteReference w:id="137"/>
      </w:r>
      <w:r>
        <w:rPr>
          <w:rFonts w:ascii="Open Sans" w:hAnsi="Open Sans" w:cs="Open Sans"/>
          <w:sz w:val="20"/>
          <w:szCs w:val="20"/>
        </w:rPr>
        <w:t>. En la información accesible a través del registro se conoce que cuenta con un capital social de 20 millones de dólares pero no se ha tenido acceso ni a quién son los propietarios ni a los activos que gestiona</w:t>
      </w:r>
      <w:r>
        <w:rPr>
          <w:rStyle w:val="Refdenotaalpie"/>
          <w:rFonts w:ascii="Open Sans" w:hAnsi="Open Sans" w:cs="Open Sans"/>
          <w:sz w:val="20"/>
          <w:szCs w:val="20"/>
        </w:rPr>
        <w:footnoteReference w:id="138"/>
      </w:r>
      <w:r>
        <w:rPr>
          <w:rFonts w:ascii="Open Sans" w:hAnsi="Open Sans" w:cs="Open Sans"/>
          <w:sz w:val="20"/>
          <w:szCs w:val="20"/>
        </w:rPr>
        <w:t>. De acuerdo con opencorporates hay otra sociedad con idéntico nombre domiciliada en Bermudas aunque no se ha podido tener acceso ni a los titulares de las acciones ni a los apoderados</w:t>
      </w:r>
      <w:r>
        <w:rPr>
          <w:rStyle w:val="Refdenotaalpie"/>
          <w:rFonts w:ascii="Open Sans" w:hAnsi="Open Sans" w:cs="Open Sans"/>
          <w:sz w:val="20"/>
          <w:szCs w:val="20"/>
        </w:rPr>
        <w:footnoteReference w:id="139"/>
      </w:r>
      <w:r>
        <w:rPr>
          <w:rFonts w:ascii="Open Sans" w:hAnsi="Open Sans" w:cs="Open Sans"/>
          <w:sz w:val="20"/>
          <w:szCs w:val="20"/>
        </w:rPr>
        <w:t>.</w:t>
      </w:r>
    </w:p>
    <w:p w14:paraId="5750FEA7" w14:textId="77777777" w:rsidR="0090659A" w:rsidRDefault="0090659A" w:rsidP="0090659A">
      <w:pPr>
        <w:jc w:val="both"/>
        <w:rPr>
          <w:rFonts w:ascii="Times New Roman" w:hAnsi="Times New Roman" w:cs="Times New Roman"/>
        </w:rPr>
      </w:pPr>
    </w:p>
    <w:p w14:paraId="7F1C89E6" w14:textId="77777777" w:rsidR="0090659A" w:rsidRDefault="0090659A" w:rsidP="0090659A">
      <w:pPr>
        <w:jc w:val="both"/>
        <w:rPr>
          <w:rFonts w:ascii="Open Sans" w:hAnsi="Open Sans" w:cs="Open Sans"/>
          <w:bCs/>
          <w:sz w:val="20"/>
          <w:szCs w:val="20"/>
        </w:rPr>
      </w:pPr>
      <w:r>
        <w:rPr>
          <w:rFonts w:ascii="Open Sans" w:hAnsi="Open Sans" w:cs="Arial"/>
          <w:bCs/>
          <w:sz w:val="20"/>
          <w:szCs w:val="20"/>
        </w:rPr>
        <w:t xml:space="preserve">El mayor accionista de </w:t>
      </w:r>
      <w:r w:rsidRPr="00F5507F">
        <w:rPr>
          <w:rFonts w:ascii="Open Sans" w:hAnsi="Open Sans" w:cs="Arial"/>
          <w:bCs/>
          <w:sz w:val="20"/>
          <w:szCs w:val="20"/>
        </w:rPr>
        <w:t>IAG</w:t>
      </w:r>
      <w:r>
        <w:rPr>
          <w:rFonts w:ascii="Open Sans" w:hAnsi="Open Sans" w:cs="Arial"/>
          <w:bCs/>
          <w:sz w:val="20"/>
          <w:szCs w:val="20"/>
        </w:rPr>
        <w:t xml:space="preserve">, </w:t>
      </w:r>
      <w:r w:rsidRPr="00FD6A83">
        <w:rPr>
          <w:rFonts w:ascii="Open Sans" w:hAnsi="Open Sans" w:cs="Arial"/>
          <w:bCs/>
          <w:sz w:val="20"/>
          <w:szCs w:val="20"/>
        </w:rPr>
        <w:t>Qatar Airways (Q.C.S.C.) con una participación indirecta del 9,993 % a través de  Qatar Airways Luxembourg S.à.r.l. tiene sede en Luxemburgo. Otros accionistas significativos son gestoras de fondos que cuentan con filiales en paraísos y nichos fiscales</w:t>
      </w:r>
      <w:r>
        <w:rPr>
          <w:rFonts w:ascii="Open Sans" w:hAnsi="Open Sans" w:cs="Arial"/>
          <w:bCs/>
          <w:sz w:val="20"/>
          <w:szCs w:val="20"/>
        </w:rPr>
        <w:t xml:space="preserve">. Así Standard Life Investment (Holdings) Limited con un 6,008% aparece en Jersey, Hong Kong, Irlanda, Suiza y Singapur. Europacific Growth Fund con un  5,261%, Capital Research and Management Company  con un 5,049%, BlackRock Inc. 3,024%, Legal &amp; General Investment Management Limited con un 3,236% e Invesco Limited con un 1,082% todas ellas tienen filiales domiciliadas en Delaware (EEUU). </w:t>
      </w:r>
    </w:p>
    <w:p w14:paraId="04E3309F" w14:textId="77777777" w:rsidR="0090659A" w:rsidRDefault="0090659A" w:rsidP="0090659A">
      <w:pPr>
        <w:jc w:val="both"/>
        <w:rPr>
          <w:rFonts w:ascii="Open Sans" w:hAnsi="Open Sans" w:cs="Open Sans"/>
          <w:bCs/>
          <w:sz w:val="20"/>
          <w:szCs w:val="20"/>
        </w:rPr>
      </w:pPr>
    </w:p>
    <w:p w14:paraId="1ACD052D" w14:textId="77777777" w:rsidR="0090659A" w:rsidRPr="00675759" w:rsidRDefault="0090659A" w:rsidP="0090659A">
      <w:pPr>
        <w:jc w:val="both"/>
        <w:rPr>
          <w:rFonts w:ascii="Open Sans" w:hAnsi="Open Sans" w:cs="Open Sans"/>
        </w:rPr>
      </w:pPr>
      <w:r w:rsidRPr="00675759">
        <w:rPr>
          <w:rFonts w:ascii="Open Sans" w:hAnsi="Open Sans" w:cs="Open Sans"/>
          <w:bCs/>
          <w:sz w:val="20"/>
          <w:szCs w:val="20"/>
        </w:rPr>
        <w:t>El 58,77%</w:t>
      </w:r>
      <w:r w:rsidRPr="00675759">
        <w:rPr>
          <w:rStyle w:val="Refdenotaalpie"/>
          <w:rFonts w:ascii="Open Sans" w:hAnsi="Open Sans" w:cs="Open Sans"/>
          <w:bCs/>
          <w:sz w:val="20"/>
          <w:szCs w:val="20"/>
        </w:rPr>
        <w:footnoteReference w:id="140"/>
      </w:r>
      <w:r w:rsidRPr="00675759">
        <w:rPr>
          <w:rFonts w:ascii="Open Sans" w:hAnsi="Open Sans" w:cs="Open Sans"/>
          <w:bCs/>
          <w:sz w:val="20"/>
          <w:szCs w:val="20"/>
        </w:rPr>
        <w:t xml:space="preserve"> del capital del Grupo </w:t>
      </w:r>
      <w:r w:rsidRPr="00F5507F">
        <w:rPr>
          <w:rFonts w:ascii="Open Sans" w:hAnsi="Open Sans" w:cs="Open Sans"/>
          <w:bCs/>
          <w:sz w:val="20"/>
          <w:szCs w:val="20"/>
        </w:rPr>
        <w:t>OHL</w:t>
      </w:r>
      <w:r w:rsidRPr="00675759">
        <w:rPr>
          <w:rFonts w:ascii="Open Sans" w:hAnsi="Open Sans" w:cs="Open Sans"/>
          <w:bCs/>
          <w:sz w:val="20"/>
          <w:szCs w:val="20"/>
        </w:rPr>
        <w:t xml:space="preserve"> es controlado directa e indirectamente por el Grupo Villar Mir (mayor accionista), formado fundamentalmente por las sociedades Inmobiliaria Espacio S.A. (50,40%) y Tyrus Capital Event S. A. R. L. (8,37%). El Grupo Villar Mir tiene como fundador y presidente D. Juan-Miguel Villar Mir. En </w:t>
      </w:r>
      <w:r>
        <w:rPr>
          <w:rFonts w:ascii="Open Sans" w:hAnsi="Open Sans" w:cs="Open Sans"/>
          <w:bCs/>
          <w:sz w:val="20"/>
          <w:szCs w:val="20"/>
        </w:rPr>
        <w:t>un noticia aparecida en eldiario.es</w:t>
      </w:r>
      <w:r w:rsidRPr="00675759">
        <w:rPr>
          <w:rStyle w:val="Refdenotaalpie"/>
          <w:rFonts w:ascii="Open Sans" w:hAnsi="Open Sans" w:cs="Open Sans"/>
          <w:bCs/>
          <w:sz w:val="20"/>
          <w:szCs w:val="20"/>
        </w:rPr>
        <w:footnoteReference w:id="141"/>
      </w:r>
      <w:r w:rsidRPr="00675759">
        <w:rPr>
          <w:rFonts w:ascii="Open Sans" w:hAnsi="Open Sans" w:cs="Open Sans"/>
          <w:bCs/>
          <w:sz w:val="20"/>
          <w:szCs w:val="20"/>
        </w:rPr>
        <w:t xml:space="preserve"> de noviembre de 2016 aparece el nombre de su hija, Silvia Villar Mir de Fuentes, actualmente miembro del Consejo de Administración, conjuntamente con el nombre de </w:t>
      </w:r>
      <w:r w:rsidRPr="00675759">
        <w:rPr>
          <w:rFonts w:ascii="Open Sans" w:hAnsi="Open Sans" w:cs="Open Sans"/>
          <w:sz w:val="20"/>
          <w:szCs w:val="20"/>
        </w:rPr>
        <w:t>Tomás García Madrid como administradores desde hace diez años de una sociedad británica que tiene vínculos con el paraíso fiscal de Mauricio, según se desprende de documentación disponible en el Registro Mercantil de Reino Unido. Ambos, según fuente, son consejeros de</w:t>
      </w:r>
      <w:r w:rsidRPr="00675759">
        <w:rPr>
          <w:rStyle w:val="apple-converted-space"/>
          <w:rFonts w:ascii="Open Sans" w:hAnsi="Open Sans" w:cs="Open Sans"/>
          <w:sz w:val="20"/>
          <w:szCs w:val="20"/>
        </w:rPr>
        <w:t> </w:t>
      </w:r>
      <w:r w:rsidRPr="00675759">
        <w:rPr>
          <w:rFonts w:ascii="Open Sans" w:hAnsi="Open Sans" w:cs="Open Sans"/>
          <w:sz w:val="20"/>
          <w:szCs w:val="20"/>
        </w:rPr>
        <w:t>European Art Gallery LTD, sociedad radicada en Londres que, a través de las sociedades que controlan sus acciones, está vinculada con ese territorio opaco en el Océano Índico. La conocida como Isla Mauricio está considerada paraíso fiscal</w:t>
      </w:r>
      <w:r w:rsidRPr="00675759">
        <w:rPr>
          <w:rStyle w:val="apple-converted-space"/>
          <w:rFonts w:ascii="Open Sans" w:hAnsi="Open Sans" w:cs="Open Sans"/>
          <w:sz w:val="20"/>
          <w:szCs w:val="20"/>
        </w:rPr>
        <w:t> </w:t>
      </w:r>
      <w:r w:rsidRPr="00675759">
        <w:rPr>
          <w:rFonts w:ascii="Open Sans" w:hAnsi="Open Sans" w:cs="Open Sans"/>
          <w:sz w:val="20"/>
          <w:szCs w:val="20"/>
        </w:rPr>
        <w:t xml:space="preserve">por la Agencia Tributaria española, al no existir convenios de doble imposición ni de intercambio de información fiscal con España.  </w:t>
      </w:r>
      <w:r w:rsidRPr="00675759">
        <w:rPr>
          <w:rFonts w:ascii="Open Sans" w:hAnsi="Open Sans" w:cs="Open Sans"/>
        </w:rPr>
        <w:t xml:space="preserve"> </w:t>
      </w:r>
    </w:p>
    <w:p w14:paraId="464C58C7" w14:textId="77777777" w:rsidR="0090659A" w:rsidRDefault="0090659A" w:rsidP="0090659A">
      <w:pPr>
        <w:jc w:val="both"/>
        <w:rPr>
          <w:rFonts w:ascii="Open Sans" w:hAnsi="Open Sans" w:cs="Open Sans"/>
          <w:sz w:val="20"/>
          <w:szCs w:val="20"/>
        </w:rPr>
      </w:pPr>
    </w:p>
    <w:p w14:paraId="060EFD83" w14:textId="77777777" w:rsidR="0090659A" w:rsidRDefault="0090659A" w:rsidP="0090659A">
      <w:pPr>
        <w:autoSpaceDE w:val="0"/>
        <w:autoSpaceDN w:val="0"/>
        <w:adjustRightInd w:val="0"/>
        <w:jc w:val="both"/>
        <w:rPr>
          <w:rFonts w:ascii="Open Sans" w:hAnsi="Open Sans" w:cs="Open Sans"/>
          <w:sz w:val="20"/>
        </w:rPr>
      </w:pPr>
      <w:r w:rsidRPr="00F5507F">
        <w:rPr>
          <w:rFonts w:ascii="Open Sans" w:hAnsi="Open Sans" w:cs="Open Sans"/>
          <w:b/>
          <w:sz w:val="20"/>
          <w:szCs w:val="20"/>
        </w:rPr>
        <w:t>Es especialmente preocupante</w:t>
      </w:r>
      <w:r>
        <w:rPr>
          <w:rFonts w:ascii="Open Sans" w:hAnsi="Open Sans" w:cs="Open Sans"/>
          <w:sz w:val="20"/>
          <w:szCs w:val="20"/>
        </w:rPr>
        <w:t xml:space="preserve"> </w:t>
      </w:r>
      <w:r w:rsidRPr="0008611D">
        <w:rPr>
          <w:rFonts w:ascii="Open Sans" w:hAnsi="Open Sans" w:cs="Open Sans"/>
          <w:b/>
          <w:sz w:val="20"/>
          <w:szCs w:val="20"/>
        </w:rPr>
        <w:t>el caso del sector financiero y sus actividades en paraísos y/o nichos fiscales</w:t>
      </w:r>
      <w:r>
        <w:rPr>
          <w:rFonts w:ascii="Open Sans" w:hAnsi="Open Sans" w:cs="Open Sans"/>
          <w:sz w:val="20"/>
          <w:szCs w:val="20"/>
        </w:rPr>
        <w:t xml:space="preserve">, ya no por la repercusión directa que pudiese ocasionar estrategias fiscales agresivas por parte de estas empresas, sino por la operativa con sectores no residentes a través de las filiales o sucursales que mantienen en territorios considerados paraísos fiscales y que puedan suponer un soporte para la elusión o evasión fiscal. </w:t>
      </w:r>
      <w:r>
        <w:rPr>
          <w:rFonts w:ascii="Open Sans" w:eastAsia="Arial" w:hAnsi="Open Sans" w:cs="Open Sans"/>
          <w:sz w:val="20"/>
        </w:rPr>
        <w:t>Es  importante resaltar el doble riesgo que entraña la presencia de entidades financieras en paraísos fiscales: por un lado, existe riesgo de elusión fiscal por parte de la propia empresa. Por otro, debe considerarse el riesgo de elusión fiscal por parte de los clientes. Así, la presencia de sociedades del Grupo en territorios con baja o nula fiscalidad para no residentes, puede facilitar también la operativa de sus clientes en tales territorios, clientes que a su vez presentan también un incremento del riesgo de elusión fiscal. A diferencia de otras empresas, los bancos tienen acceso a una inmensa cantidad de capital. Este capital puede ser utilizado como base para facilitar los mecanismos de evasión diseñados e implementados por otros de los que los bancos pueden beneficiarse, por ejemplo a través de la participación en los beneficios fiscales directamente o por condiciones de los préstamos más rentables</w:t>
      </w:r>
      <w:r>
        <w:rPr>
          <w:rFonts w:ascii="Open Sans" w:eastAsia="Arial" w:hAnsi="Open Sans" w:cs="Open Sans"/>
          <w:sz w:val="20"/>
          <w:vertAlign w:val="superscript"/>
        </w:rPr>
        <w:footnoteReference w:id="142"/>
      </w:r>
      <w:r>
        <w:rPr>
          <w:rFonts w:ascii="Open Sans" w:eastAsia="Arial" w:hAnsi="Open Sans" w:cs="Open Sans"/>
          <w:sz w:val="20"/>
        </w:rPr>
        <w:t>.</w:t>
      </w:r>
    </w:p>
    <w:p w14:paraId="08202D23" w14:textId="77777777" w:rsidR="0090659A" w:rsidRDefault="0090659A" w:rsidP="0090659A">
      <w:pPr>
        <w:pStyle w:val="Normal1"/>
        <w:tabs>
          <w:tab w:val="left" w:pos="7000"/>
        </w:tabs>
        <w:jc w:val="both"/>
        <w:rPr>
          <w:rFonts w:ascii="Open Sans" w:hAnsi="Open Sans" w:cs="Open Sans"/>
          <w:sz w:val="20"/>
        </w:rPr>
      </w:pPr>
    </w:p>
    <w:p w14:paraId="4D31DBCC" w14:textId="1E0B72EF" w:rsidR="00C27BD4" w:rsidRDefault="0090659A" w:rsidP="0090659A">
      <w:pPr>
        <w:jc w:val="both"/>
        <w:rPr>
          <w:rFonts w:ascii="Open Sans" w:hAnsi="Open Sans" w:cs="Open Sans"/>
          <w:sz w:val="20"/>
          <w:szCs w:val="20"/>
        </w:rPr>
      </w:pPr>
      <w:r>
        <w:rPr>
          <w:rFonts w:ascii="Open Sans" w:hAnsi="Open Sans" w:cs="Open Sans"/>
          <w:sz w:val="20"/>
          <w:szCs w:val="20"/>
        </w:rPr>
        <w:t>Una de las medidas que se proponen desde el cuerpo de inspectores de hacienda para la lucha contra los paraísos fiscales es prohibir a las entidades bancarias residentes en España tener sucursales o establecimientos abiertos en estos territorios, salvo que suministren a la Administración Tributaria identificación de los clientes y otro tipo de información</w:t>
      </w:r>
      <w:r>
        <w:rPr>
          <w:rStyle w:val="Refdenotaalpie"/>
          <w:rFonts w:ascii="Open Sans" w:hAnsi="Open Sans" w:cs="Open Sans"/>
          <w:sz w:val="20"/>
          <w:szCs w:val="20"/>
        </w:rPr>
        <w:footnoteReference w:id="143"/>
      </w:r>
      <w:r>
        <w:rPr>
          <w:rFonts w:ascii="Open Sans" w:hAnsi="Open Sans" w:cs="Open Sans"/>
          <w:sz w:val="20"/>
          <w:szCs w:val="20"/>
        </w:rPr>
        <w:t xml:space="preserve">. </w:t>
      </w:r>
      <w:r w:rsidR="00C27BD4">
        <w:rPr>
          <w:rFonts w:ascii="Open Sans" w:hAnsi="Open Sans" w:cs="Open Sans"/>
          <w:sz w:val="20"/>
          <w:szCs w:val="20"/>
        </w:rPr>
        <w:t xml:space="preserve"> De acuerd</w:t>
      </w:r>
      <w:r w:rsidR="007F55EB">
        <w:rPr>
          <w:rFonts w:ascii="Open Sans" w:hAnsi="Open Sans" w:cs="Open Sans"/>
          <w:sz w:val="20"/>
          <w:szCs w:val="20"/>
        </w:rPr>
        <w:t>o con la Agencia Tributaria a raíz</w:t>
      </w:r>
      <w:r w:rsidR="00C27BD4">
        <w:rPr>
          <w:rFonts w:ascii="Open Sans" w:hAnsi="Open Sans" w:cs="Open Sans"/>
          <w:sz w:val="20"/>
          <w:szCs w:val="20"/>
        </w:rPr>
        <w:t xml:space="preserve"> de la implantación del modelo 720 por el que se deben declarar los bienes en el extranjero l</w:t>
      </w:r>
      <w:r w:rsidR="00C27BD4" w:rsidRPr="00C27BD4">
        <w:rPr>
          <w:rFonts w:ascii="Open Sans" w:hAnsi="Open Sans" w:cs="Open Sans"/>
          <w:sz w:val="20"/>
          <w:szCs w:val="20"/>
        </w:rPr>
        <w:t xml:space="preserve">os contribuyentes españoles </w:t>
      </w:r>
      <w:r w:rsidR="00C27BD4">
        <w:rPr>
          <w:rFonts w:ascii="Open Sans" w:hAnsi="Open Sans" w:cs="Open Sans"/>
          <w:sz w:val="20"/>
          <w:szCs w:val="20"/>
        </w:rPr>
        <w:t xml:space="preserve">han declarado </w:t>
      </w:r>
      <w:r w:rsidR="00C27BD4" w:rsidRPr="00C27BD4">
        <w:rPr>
          <w:rFonts w:ascii="Open Sans" w:hAnsi="Open Sans" w:cs="Open Sans"/>
          <w:sz w:val="20"/>
          <w:szCs w:val="20"/>
        </w:rPr>
        <w:t xml:space="preserve"> 7.300 millones de euros en nueve paraísos fiscales: Suiza, Andorra, Luxemburgo, Singapur, Malta, Jersey, Gibraltar, Bahamas y la Isla de Man</w:t>
      </w:r>
      <w:r w:rsidR="00C27BD4">
        <w:rPr>
          <w:rStyle w:val="Refdenotaalpie"/>
          <w:rFonts w:ascii="Open Sans" w:hAnsi="Open Sans" w:cs="Open Sans"/>
          <w:sz w:val="20"/>
          <w:szCs w:val="20"/>
        </w:rPr>
        <w:footnoteReference w:id="144"/>
      </w:r>
    </w:p>
    <w:p w14:paraId="1A2BED81" w14:textId="77777777" w:rsidR="00C27BD4" w:rsidRDefault="00C27BD4" w:rsidP="0090659A">
      <w:pPr>
        <w:jc w:val="both"/>
        <w:rPr>
          <w:rFonts w:ascii="Open Sans" w:hAnsi="Open Sans" w:cs="Open Sans"/>
          <w:sz w:val="20"/>
          <w:szCs w:val="20"/>
        </w:rPr>
      </w:pPr>
    </w:p>
    <w:p w14:paraId="4E7D59EE" w14:textId="63C99FA8" w:rsidR="0090659A" w:rsidRDefault="0090659A" w:rsidP="0090659A">
      <w:pPr>
        <w:jc w:val="both"/>
        <w:rPr>
          <w:rFonts w:ascii="Open Sans" w:hAnsi="Open Sans" w:cs="Open Sans"/>
          <w:sz w:val="20"/>
          <w:szCs w:val="20"/>
        </w:rPr>
      </w:pPr>
      <w:r w:rsidRPr="007F2E24">
        <w:rPr>
          <w:rFonts w:ascii="Open Sans" w:hAnsi="Open Sans" w:cs="Open Sans"/>
          <w:sz w:val="20"/>
          <w:szCs w:val="20"/>
        </w:rPr>
        <w:t>Del análisis re</w:t>
      </w:r>
      <w:r w:rsidR="00F5507F" w:rsidRPr="007F2E24">
        <w:rPr>
          <w:rFonts w:ascii="Open Sans" w:hAnsi="Open Sans" w:cs="Open Sans"/>
          <w:sz w:val="20"/>
          <w:szCs w:val="20"/>
        </w:rPr>
        <w:t>alizado, se concluye que en 2015</w:t>
      </w:r>
      <w:r w:rsidRPr="007F2E24">
        <w:rPr>
          <w:rFonts w:ascii="Open Sans" w:hAnsi="Open Sans" w:cs="Open Sans"/>
          <w:sz w:val="20"/>
          <w:szCs w:val="20"/>
        </w:rPr>
        <w:t>, de acuerdo con la metodología del Observatorio de Responsabilidad Social Corporativa, todos los bancos del Ibex 35 mantienen sociedades radicadas en territorios considerados como paraísos</w:t>
      </w:r>
      <w:r w:rsidR="007F2E24" w:rsidRPr="007F2E24">
        <w:rPr>
          <w:rFonts w:ascii="Open Sans" w:hAnsi="Open Sans" w:cs="Open Sans"/>
          <w:sz w:val="20"/>
          <w:szCs w:val="20"/>
        </w:rPr>
        <w:t xml:space="preserve"> y/o nichos</w:t>
      </w:r>
      <w:r w:rsidRPr="007F2E24">
        <w:rPr>
          <w:rFonts w:ascii="Open Sans" w:hAnsi="Open Sans" w:cs="Open Sans"/>
          <w:sz w:val="20"/>
          <w:szCs w:val="20"/>
        </w:rPr>
        <w:t xml:space="preserve"> fiscales:</w:t>
      </w:r>
    </w:p>
    <w:p w14:paraId="3FA783F5" w14:textId="6435193F" w:rsidR="00FD6A83" w:rsidRDefault="00FD6A83">
      <w:pPr>
        <w:rPr>
          <w:rFonts w:ascii="Open Sans" w:hAnsi="Open Sans" w:cs="Open Sans"/>
          <w:sz w:val="20"/>
          <w:szCs w:val="20"/>
        </w:rPr>
      </w:pPr>
    </w:p>
    <w:p w14:paraId="396F8ACA" w14:textId="77777777" w:rsidR="00FD6A83" w:rsidRDefault="00FD6A83" w:rsidP="0090659A">
      <w:pPr>
        <w:jc w:val="both"/>
        <w:rPr>
          <w:rFonts w:ascii="Open Sans" w:hAnsi="Open Sans" w:cs="Open Sans"/>
          <w:sz w:val="20"/>
          <w:szCs w:val="20"/>
        </w:rPr>
      </w:pPr>
    </w:p>
    <w:tbl>
      <w:tblPr>
        <w:tblW w:w="5320" w:type="dxa"/>
        <w:jc w:val="center"/>
        <w:tblCellMar>
          <w:left w:w="70" w:type="dxa"/>
          <w:right w:w="70" w:type="dxa"/>
        </w:tblCellMar>
        <w:tblLook w:val="04A0" w:firstRow="1" w:lastRow="0" w:firstColumn="1" w:lastColumn="0" w:noHBand="0" w:noVBand="1"/>
      </w:tblPr>
      <w:tblGrid>
        <w:gridCol w:w="2400"/>
        <w:gridCol w:w="2920"/>
      </w:tblGrid>
      <w:tr w:rsidR="0090659A" w14:paraId="4BEA44FF" w14:textId="77777777" w:rsidTr="00BC63A1">
        <w:trPr>
          <w:trHeight w:val="315"/>
          <w:jc w:val="center"/>
        </w:trPr>
        <w:tc>
          <w:tcPr>
            <w:tcW w:w="2400" w:type="dxa"/>
            <w:vMerge w:val="restart"/>
            <w:tcBorders>
              <w:top w:val="single" w:sz="8" w:space="0" w:color="auto"/>
              <w:left w:val="single" w:sz="8" w:space="0" w:color="auto"/>
              <w:bottom w:val="single" w:sz="8" w:space="0" w:color="000000"/>
              <w:right w:val="single" w:sz="8" w:space="0" w:color="auto"/>
            </w:tcBorders>
            <w:shd w:val="clear" w:color="auto" w:fill="F2AC3C"/>
            <w:vAlign w:val="center"/>
            <w:hideMark/>
          </w:tcPr>
          <w:p w14:paraId="4441B02F" w14:textId="77777777" w:rsidR="0090659A" w:rsidRDefault="0090659A" w:rsidP="00BC63A1">
            <w:pPr>
              <w:jc w:val="center"/>
              <w:rPr>
                <w:rFonts w:ascii="Open Sans" w:eastAsia="Times New Roman" w:hAnsi="Open Sans" w:cs="Open Sans"/>
                <w:b/>
                <w:bCs/>
                <w:color w:val="FFFFFF"/>
                <w:sz w:val="20"/>
                <w:szCs w:val="20"/>
              </w:rPr>
            </w:pPr>
            <w:r>
              <w:rPr>
                <w:rFonts w:ascii="Open Sans" w:eastAsia="Times New Roman" w:hAnsi="Open Sans" w:cs="Open Sans"/>
                <w:b/>
                <w:bCs/>
                <w:color w:val="FFFFFF"/>
                <w:sz w:val="20"/>
                <w:szCs w:val="20"/>
              </w:rPr>
              <w:t>EMPRESA</w:t>
            </w:r>
          </w:p>
        </w:tc>
        <w:tc>
          <w:tcPr>
            <w:tcW w:w="2920" w:type="dxa"/>
            <w:vMerge w:val="restart"/>
            <w:tcBorders>
              <w:top w:val="single" w:sz="8" w:space="0" w:color="auto"/>
              <w:left w:val="single" w:sz="8" w:space="0" w:color="auto"/>
              <w:bottom w:val="single" w:sz="8" w:space="0" w:color="000000"/>
              <w:right w:val="single" w:sz="8" w:space="0" w:color="auto"/>
            </w:tcBorders>
            <w:shd w:val="clear" w:color="auto" w:fill="F2AC3C"/>
            <w:vAlign w:val="center"/>
            <w:hideMark/>
          </w:tcPr>
          <w:p w14:paraId="2710D5E4" w14:textId="77777777" w:rsidR="0090659A" w:rsidRDefault="0090659A" w:rsidP="00BC63A1">
            <w:pPr>
              <w:jc w:val="center"/>
              <w:rPr>
                <w:rFonts w:ascii="Open Sans" w:eastAsia="Times New Roman" w:hAnsi="Open Sans" w:cs="Open Sans"/>
                <w:b/>
                <w:bCs/>
                <w:color w:val="FFFFFF"/>
                <w:sz w:val="20"/>
                <w:szCs w:val="20"/>
              </w:rPr>
            </w:pPr>
            <w:r>
              <w:rPr>
                <w:rFonts w:ascii="Open Sans" w:eastAsia="Times New Roman" w:hAnsi="Open Sans" w:cs="Open Sans"/>
                <w:b/>
                <w:bCs/>
                <w:color w:val="FFFFFF"/>
                <w:sz w:val="20"/>
                <w:szCs w:val="20"/>
              </w:rPr>
              <w:t>Nº de sociedades en paraísos fiscales</w:t>
            </w:r>
          </w:p>
        </w:tc>
      </w:tr>
      <w:tr w:rsidR="0090659A" w14:paraId="2327379C" w14:textId="77777777" w:rsidTr="00BC63A1">
        <w:trPr>
          <w:trHeight w:val="315"/>
          <w:jc w:val="center"/>
        </w:trPr>
        <w:tc>
          <w:tcPr>
            <w:tcW w:w="0" w:type="auto"/>
            <w:vMerge/>
            <w:tcBorders>
              <w:top w:val="single" w:sz="8" w:space="0" w:color="auto"/>
              <w:left w:val="single" w:sz="8" w:space="0" w:color="auto"/>
              <w:bottom w:val="single" w:sz="8" w:space="0" w:color="000000"/>
              <w:right w:val="single" w:sz="8" w:space="0" w:color="auto"/>
            </w:tcBorders>
            <w:vAlign w:val="center"/>
            <w:hideMark/>
          </w:tcPr>
          <w:p w14:paraId="7565DB2D" w14:textId="77777777" w:rsidR="0090659A" w:rsidRDefault="0090659A" w:rsidP="00BC63A1">
            <w:pPr>
              <w:rPr>
                <w:rFonts w:ascii="Open Sans" w:eastAsia="Times New Roman" w:hAnsi="Open Sans" w:cs="Open Sans"/>
                <w:b/>
                <w:bCs/>
                <w:color w:val="FFFFFF"/>
                <w:sz w:val="20"/>
                <w:szCs w:val="20"/>
              </w:rPr>
            </w:pP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5F9646CE" w14:textId="77777777" w:rsidR="0090659A" w:rsidRDefault="0090659A" w:rsidP="00BC63A1">
            <w:pPr>
              <w:rPr>
                <w:rFonts w:ascii="Open Sans" w:eastAsia="Times New Roman" w:hAnsi="Open Sans" w:cs="Open Sans"/>
                <w:b/>
                <w:bCs/>
                <w:color w:val="FFFFFF"/>
                <w:sz w:val="20"/>
                <w:szCs w:val="20"/>
              </w:rPr>
            </w:pPr>
          </w:p>
        </w:tc>
      </w:tr>
      <w:tr w:rsidR="0090659A" w14:paraId="021DF2CF"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328D2F4B"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Bankia</w:t>
            </w:r>
          </w:p>
        </w:tc>
        <w:tc>
          <w:tcPr>
            <w:tcW w:w="2920" w:type="dxa"/>
            <w:tcBorders>
              <w:top w:val="nil"/>
              <w:left w:val="nil"/>
              <w:bottom w:val="single" w:sz="8" w:space="0" w:color="auto"/>
              <w:right w:val="single" w:sz="8" w:space="0" w:color="auto"/>
            </w:tcBorders>
            <w:vAlign w:val="center"/>
            <w:hideMark/>
          </w:tcPr>
          <w:p w14:paraId="6D5C1EFE"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7</w:t>
            </w:r>
          </w:p>
        </w:tc>
      </w:tr>
      <w:tr w:rsidR="0090659A" w14:paraId="0645190E"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51F89E54"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Bankinter</w:t>
            </w:r>
          </w:p>
        </w:tc>
        <w:tc>
          <w:tcPr>
            <w:tcW w:w="2920" w:type="dxa"/>
            <w:tcBorders>
              <w:top w:val="nil"/>
              <w:left w:val="nil"/>
              <w:bottom w:val="single" w:sz="8" w:space="0" w:color="auto"/>
              <w:right w:val="single" w:sz="8" w:space="0" w:color="auto"/>
            </w:tcBorders>
            <w:vAlign w:val="center"/>
            <w:hideMark/>
          </w:tcPr>
          <w:p w14:paraId="49DEE006"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2</w:t>
            </w:r>
          </w:p>
        </w:tc>
      </w:tr>
      <w:tr w:rsidR="0090659A" w14:paraId="63F0A0D7"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23DEDD85"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BBVA</w:t>
            </w:r>
          </w:p>
        </w:tc>
        <w:tc>
          <w:tcPr>
            <w:tcW w:w="2920" w:type="dxa"/>
            <w:tcBorders>
              <w:top w:val="nil"/>
              <w:left w:val="nil"/>
              <w:bottom w:val="single" w:sz="8" w:space="0" w:color="auto"/>
              <w:right w:val="single" w:sz="8" w:space="0" w:color="auto"/>
            </w:tcBorders>
            <w:vAlign w:val="center"/>
            <w:hideMark/>
          </w:tcPr>
          <w:p w14:paraId="37E4E9F8"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73</w:t>
            </w:r>
          </w:p>
        </w:tc>
      </w:tr>
      <w:tr w:rsidR="0090659A" w14:paraId="5AA66A5E"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21573877"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Banco Popular</w:t>
            </w:r>
          </w:p>
        </w:tc>
        <w:tc>
          <w:tcPr>
            <w:tcW w:w="2920" w:type="dxa"/>
            <w:tcBorders>
              <w:top w:val="nil"/>
              <w:left w:val="nil"/>
              <w:bottom w:val="single" w:sz="8" w:space="0" w:color="auto"/>
              <w:right w:val="single" w:sz="8" w:space="0" w:color="auto"/>
            </w:tcBorders>
            <w:vAlign w:val="center"/>
            <w:hideMark/>
          </w:tcPr>
          <w:p w14:paraId="2A1DF756"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2</w:t>
            </w:r>
          </w:p>
        </w:tc>
      </w:tr>
      <w:tr w:rsidR="0090659A" w14:paraId="42FFA6E7"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3D4B86F8"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Banco Sabadell</w:t>
            </w:r>
          </w:p>
        </w:tc>
        <w:tc>
          <w:tcPr>
            <w:tcW w:w="2920" w:type="dxa"/>
            <w:tcBorders>
              <w:top w:val="nil"/>
              <w:left w:val="nil"/>
              <w:bottom w:val="single" w:sz="8" w:space="0" w:color="auto"/>
              <w:right w:val="single" w:sz="8" w:space="0" w:color="auto"/>
            </w:tcBorders>
            <w:vAlign w:val="center"/>
            <w:hideMark/>
          </w:tcPr>
          <w:p w14:paraId="1585A460"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7</w:t>
            </w:r>
          </w:p>
        </w:tc>
      </w:tr>
      <w:tr w:rsidR="0090659A" w14:paraId="6AB97607"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64B2D650"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Caixabank</w:t>
            </w:r>
          </w:p>
        </w:tc>
        <w:tc>
          <w:tcPr>
            <w:tcW w:w="2920" w:type="dxa"/>
            <w:tcBorders>
              <w:top w:val="nil"/>
              <w:left w:val="nil"/>
              <w:bottom w:val="single" w:sz="8" w:space="0" w:color="auto"/>
              <w:right w:val="single" w:sz="8" w:space="0" w:color="auto"/>
            </w:tcBorders>
            <w:vAlign w:val="center"/>
            <w:hideMark/>
          </w:tcPr>
          <w:p w14:paraId="3BD4B891"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3</w:t>
            </w:r>
          </w:p>
        </w:tc>
      </w:tr>
      <w:tr w:rsidR="0090659A" w14:paraId="0C3B43EF" w14:textId="77777777" w:rsidTr="00BC63A1">
        <w:trPr>
          <w:trHeight w:val="315"/>
          <w:jc w:val="center"/>
        </w:trPr>
        <w:tc>
          <w:tcPr>
            <w:tcW w:w="2400" w:type="dxa"/>
            <w:tcBorders>
              <w:top w:val="nil"/>
              <w:left w:val="single" w:sz="8" w:space="0" w:color="auto"/>
              <w:bottom w:val="single" w:sz="8" w:space="0" w:color="auto"/>
              <w:right w:val="single" w:sz="8" w:space="0" w:color="auto"/>
            </w:tcBorders>
            <w:vAlign w:val="center"/>
            <w:hideMark/>
          </w:tcPr>
          <w:p w14:paraId="67F1E533" w14:textId="77777777" w:rsidR="0090659A" w:rsidRDefault="0090659A" w:rsidP="00CC58F5">
            <w:pPr>
              <w:ind w:firstLineChars="100" w:firstLine="201"/>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Banco Santander</w:t>
            </w:r>
          </w:p>
        </w:tc>
        <w:tc>
          <w:tcPr>
            <w:tcW w:w="2920" w:type="dxa"/>
            <w:tcBorders>
              <w:top w:val="nil"/>
              <w:left w:val="nil"/>
              <w:bottom w:val="single" w:sz="8" w:space="0" w:color="auto"/>
              <w:right w:val="single" w:sz="8" w:space="0" w:color="auto"/>
            </w:tcBorders>
            <w:vAlign w:val="center"/>
            <w:hideMark/>
          </w:tcPr>
          <w:p w14:paraId="45F2BCA1" w14:textId="77777777" w:rsidR="0090659A" w:rsidRDefault="0090659A" w:rsidP="00BC63A1">
            <w:pPr>
              <w:jc w:val="center"/>
              <w:rPr>
                <w:rFonts w:ascii="Open Sans" w:eastAsia="Times New Roman" w:hAnsi="Open Sans" w:cs="Open Sans"/>
                <w:color w:val="000000"/>
                <w:sz w:val="20"/>
                <w:szCs w:val="20"/>
              </w:rPr>
            </w:pPr>
            <w:r>
              <w:rPr>
                <w:rFonts w:ascii="Open Sans" w:eastAsia="Times New Roman" w:hAnsi="Open Sans" w:cs="Open Sans"/>
                <w:color w:val="000000"/>
                <w:sz w:val="20"/>
                <w:szCs w:val="20"/>
              </w:rPr>
              <w:t>217</w:t>
            </w:r>
          </w:p>
        </w:tc>
      </w:tr>
      <w:tr w:rsidR="0090659A" w14:paraId="5FF934C0" w14:textId="77777777" w:rsidTr="00BC63A1">
        <w:trPr>
          <w:trHeight w:val="315"/>
          <w:jc w:val="center"/>
        </w:trPr>
        <w:tc>
          <w:tcPr>
            <w:tcW w:w="2400" w:type="dxa"/>
            <w:tcBorders>
              <w:top w:val="nil"/>
              <w:left w:val="single" w:sz="8" w:space="0" w:color="auto"/>
              <w:bottom w:val="single" w:sz="8" w:space="0" w:color="auto"/>
              <w:right w:val="single" w:sz="8" w:space="0" w:color="auto"/>
            </w:tcBorders>
            <w:shd w:val="clear" w:color="auto" w:fill="F2AC3C"/>
            <w:vAlign w:val="center"/>
            <w:hideMark/>
          </w:tcPr>
          <w:p w14:paraId="58A9DA53" w14:textId="77777777" w:rsidR="0090659A" w:rsidRDefault="0090659A" w:rsidP="00BC63A1">
            <w:pPr>
              <w:jc w:val="center"/>
              <w:rPr>
                <w:rFonts w:ascii="Open Sans" w:eastAsia="Times New Roman" w:hAnsi="Open Sans" w:cs="Open Sans"/>
                <w:b/>
                <w:bCs/>
                <w:sz w:val="20"/>
                <w:szCs w:val="20"/>
              </w:rPr>
            </w:pPr>
            <w:r>
              <w:rPr>
                <w:rFonts w:ascii="Open Sans" w:eastAsia="Times New Roman" w:hAnsi="Open Sans" w:cs="Open Sans"/>
                <w:b/>
                <w:bCs/>
                <w:sz w:val="20"/>
                <w:szCs w:val="20"/>
              </w:rPr>
              <w:t>TOTAL</w:t>
            </w:r>
          </w:p>
        </w:tc>
        <w:tc>
          <w:tcPr>
            <w:tcW w:w="2920" w:type="dxa"/>
            <w:tcBorders>
              <w:top w:val="nil"/>
              <w:left w:val="nil"/>
              <w:bottom w:val="single" w:sz="8" w:space="0" w:color="auto"/>
              <w:right w:val="single" w:sz="8" w:space="0" w:color="auto"/>
            </w:tcBorders>
            <w:shd w:val="clear" w:color="auto" w:fill="F2AC3C"/>
            <w:vAlign w:val="center"/>
            <w:hideMark/>
          </w:tcPr>
          <w:p w14:paraId="07298C54" w14:textId="77777777" w:rsidR="0090659A" w:rsidRDefault="0090659A" w:rsidP="00BC63A1">
            <w:pPr>
              <w:jc w:val="center"/>
              <w:rPr>
                <w:rFonts w:ascii="Open Sans" w:eastAsia="Times New Roman" w:hAnsi="Open Sans" w:cs="Open Sans"/>
                <w:b/>
                <w:bCs/>
                <w:sz w:val="20"/>
                <w:szCs w:val="20"/>
              </w:rPr>
            </w:pPr>
            <w:r>
              <w:rPr>
                <w:rFonts w:ascii="Open Sans" w:eastAsia="Times New Roman" w:hAnsi="Open Sans" w:cs="Open Sans"/>
                <w:b/>
                <w:bCs/>
                <w:sz w:val="20"/>
                <w:szCs w:val="20"/>
              </w:rPr>
              <w:t>311</w:t>
            </w:r>
          </w:p>
        </w:tc>
      </w:tr>
    </w:tbl>
    <w:p w14:paraId="76699977" w14:textId="77777777" w:rsidR="0090659A" w:rsidRDefault="0090659A" w:rsidP="0090659A">
      <w:pPr>
        <w:ind w:firstLine="426"/>
        <w:jc w:val="center"/>
        <w:rPr>
          <w:rFonts w:ascii="Open Sans" w:hAnsi="Open Sans" w:cs="Open Sans"/>
          <w:sz w:val="18"/>
          <w:szCs w:val="18"/>
        </w:rPr>
      </w:pPr>
    </w:p>
    <w:p w14:paraId="4C3163C4" w14:textId="77777777" w:rsidR="0090659A" w:rsidRDefault="0090659A" w:rsidP="0090659A">
      <w:pPr>
        <w:jc w:val="both"/>
        <w:rPr>
          <w:rFonts w:cs="Arial"/>
          <w:b/>
          <w:sz w:val="20"/>
          <w:szCs w:val="20"/>
        </w:rPr>
      </w:pPr>
    </w:p>
    <w:p w14:paraId="1DCD2182" w14:textId="77777777" w:rsidR="0090659A" w:rsidRDefault="0090659A" w:rsidP="0090659A">
      <w:pPr>
        <w:jc w:val="both"/>
        <w:rPr>
          <w:rFonts w:cs="Arial"/>
          <w:b/>
          <w:sz w:val="20"/>
          <w:szCs w:val="20"/>
        </w:rPr>
      </w:pPr>
    </w:p>
    <w:p w14:paraId="618B40C1" w14:textId="3F41BF57" w:rsidR="0090659A" w:rsidRPr="00F5507F" w:rsidRDefault="00F5507F" w:rsidP="0090659A">
      <w:pPr>
        <w:pStyle w:val="Normal1"/>
        <w:jc w:val="both"/>
        <w:rPr>
          <w:rFonts w:ascii="Open Sans" w:eastAsia="Open Sans" w:hAnsi="Open Sans" w:cs="Open Sans"/>
          <w:sz w:val="20"/>
        </w:rPr>
      </w:pPr>
      <w:r>
        <w:rPr>
          <w:rFonts w:ascii="Open Sans" w:eastAsia="Open Sans" w:hAnsi="Open Sans" w:cs="Open Sans"/>
          <w:sz w:val="20"/>
          <w:highlight w:val="white"/>
        </w:rPr>
        <w:t>BANCO SABADELL</w:t>
      </w:r>
      <w:r w:rsidR="0090659A">
        <w:rPr>
          <w:rFonts w:ascii="Open Sans" w:eastAsia="Open Sans" w:hAnsi="Open Sans" w:cs="Open Sans"/>
          <w:sz w:val="20"/>
          <w:highlight w:val="white"/>
        </w:rPr>
        <w:t xml:space="preserve"> tiene presencia en </w:t>
      </w:r>
      <w:r w:rsidR="0090659A" w:rsidRPr="00997ECD">
        <w:rPr>
          <w:rFonts w:ascii="Open Sans" w:eastAsia="Open Sans" w:hAnsi="Open Sans" w:cs="Open Sans"/>
          <w:sz w:val="20"/>
        </w:rPr>
        <w:t>19 países</w:t>
      </w:r>
      <w:r w:rsidR="0090659A">
        <w:rPr>
          <w:rFonts w:ascii="Open Sans" w:eastAsia="Open Sans" w:hAnsi="Open Sans" w:cs="Open Sans"/>
          <w:sz w:val="20"/>
          <w:highlight w:val="white"/>
        </w:rPr>
        <w:t>. A pesar de que se incluye la relación de los países y del tipo de entidad con el que opera en cada uno de ellos (Sucursales, Oficinas de representación,</w:t>
      </w:r>
      <w:r w:rsidR="0090659A">
        <w:rPr>
          <w:rFonts w:ascii="Open Sans" w:eastAsia="Open Sans" w:hAnsi="Open Sans" w:cs="Open Sans"/>
          <w:i/>
          <w:iCs/>
          <w:sz w:val="20"/>
          <w:highlight w:val="white"/>
        </w:rPr>
        <w:t xml:space="preserve"> Banking subsidiaries</w:t>
      </w:r>
      <w:r w:rsidR="0090659A">
        <w:rPr>
          <w:rFonts w:ascii="Open Sans" w:eastAsia="Open Sans" w:hAnsi="Open Sans" w:cs="Open Sans"/>
          <w:sz w:val="20"/>
          <w:highlight w:val="white"/>
        </w:rPr>
        <w:t xml:space="preserve"> y Bancos asociados), el informe presentado por el grupo incluye información agregada del grupo que sólo se detalla en el Informe Bancario Anual por grandes regiones: España, Reino Unido, Estados Unidos y Otros. Sería recomendable que la entidad ofreciera información detallada país por país para poder tener una visión adecuada de cuál es el comportamiento de la entidad en los 19 países en los que tiene presencia. </w:t>
      </w:r>
      <w:r w:rsidR="0090659A" w:rsidRPr="003A34F0">
        <w:rPr>
          <w:rFonts w:ascii="Open Sans" w:eastAsia="Open Sans" w:hAnsi="Open Sans" w:cs="Open Sans"/>
          <w:sz w:val="20"/>
          <w:highlight w:val="white"/>
        </w:rPr>
        <w:t>Esto</w:t>
      </w:r>
      <w:r w:rsidR="0090659A">
        <w:rPr>
          <w:rFonts w:ascii="Open Sans" w:eastAsia="Open Sans" w:hAnsi="Open Sans" w:cs="Open Sans"/>
          <w:sz w:val="20"/>
          <w:highlight w:val="white"/>
        </w:rPr>
        <w:t xml:space="preserve"> es especialmente relevante teniendo en cuenta que algunos de ellos se encuentran localizados en zonas geográficas sensibles y / o están sujetos a regímenes fiscales más favorables que el español. </w:t>
      </w:r>
      <w:r w:rsidR="0090659A">
        <w:rPr>
          <w:rFonts w:ascii="Open Sans" w:eastAsia="Open Sans" w:hAnsi="Open Sans" w:cs="Open Sans"/>
          <w:sz w:val="20"/>
        </w:rPr>
        <w:t xml:space="preserve">Banco Sabadell contaba en 2014 con 14 sociedades ubicadas en territorios </w:t>
      </w:r>
      <w:r w:rsidR="0090659A">
        <w:rPr>
          <w:rFonts w:ascii="Open Sans" w:eastAsia="Open Sans" w:hAnsi="Open Sans" w:cs="Open Sans"/>
          <w:i/>
          <w:sz w:val="20"/>
        </w:rPr>
        <w:t xml:space="preserve">off-shore </w:t>
      </w:r>
      <w:r w:rsidR="0090659A">
        <w:rPr>
          <w:rFonts w:ascii="Open Sans" w:eastAsia="Open Sans" w:hAnsi="Open Sans" w:cs="Open Sans"/>
          <w:sz w:val="20"/>
        </w:rPr>
        <w:t xml:space="preserve">de acuerdo con la metodología utilizada por este estudio por parte del Observatorio de Responsabilidad Social Corporativa. En 2015 el número de sociedades se ha reducido a la mitad.  La mayoría de ellas dedicadas a otras actividades financieras, además de la banca y los seguros: tenencia de acciones, gestión de activos y emisión de deuda. </w:t>
      </w:r>
      <w:r w:rsidR="0090659A" w:rsidRPr="00F5507F">
        <w:rPr>
          <w:rFonts w:ascii="Open Sans" w:eastAsia="Open Sans" w:hAnsi="Open Sans" w:cs="Open Sans"/>
          <w:sz w:val="20"/>
          <w:highlight w:val="white"/>
        </w:rPr>
        <w:t>La información reportada de estas sociedades se encuentra en el Anexo I – Sociedades del grupo Banco Sabadell junto con la del resto de sociedades no ubicadas en territorios off-shore. Así encontramos información sobre su participación directa en el accionariado en BancSabadell d’Andorra SA (50,97%), Banco Atlántico Bahamas (99,99%), Sabadell Asia Trade Services Ltd (100%) y Europa Invest (22% directa y 78% indirecta). En  las otras tres sociedades de Andorra mantiene una participación indirecta del 50,97%. No se ha encontrado información en los documentos presentados sobre las sociedades a través de las cuales instrumentaliza esta participación indirecta.</w:t>
      </w:r>
    </w:p>
    <w:p w14:paraId="364025B9" w14:textId="77777777" w:rsidR="0090659A" w:rsidRDefault="0090659A" w:rsidP="0090659A">
      <w:pPr>
        <w:pStyle w:val="Normal1"/>
        <w:jc w:val="both"/>
        <w:rPr>
          <w:rFonts w:ascii="Open Sans" w:eastAsia="Open Sans" w:hAnsi="Open Sans" w:cs="Open Sans"/>
          <w:sz w:val="20"/>
        </w:rPr>
      </w:pPr>
    </w:p>
    <w:p w14:paraId="55F3FC7A" w14:textId="24E6B8DE" w:rsidR="0090659A" w:rsidRDefault="0090659A" w:rsidP="0090659A">
      <w:pPr>
        <w:jc w:val="both"/>
        <w:rPr>
          <w:rFonts w:ascii="Times New Roman" w:hAnsi="Times New Roman" w:cs="Times New Roman"/>
        </w:rPr>
      </w:pPr>
      <w:r>
        <w:rPr>
          <w:rFonts w:ascii="Open Sans" w:eastAsia="Open Sans" w:hAnsi="Open Sans" w:cs="Open Sans"/>
          <w:sz w:val="20"/>
        </w:rPr>
        <w:t xml:space="preserve">En </w:t>
      </w:r>
      <w:r w:rsidRPr="00F5507F">
        <w:rPr>
          <w:rFonts w:ascii="Open Sans" w:eastAsia="Open Sans" w:hAnsi="Open Sans" w:cs="Open Sans"/>
          <w:sz w:val="20"/>
        </w:rPr>
        <w:t>BBVA</w:t>
      </w:r>
      <w:r w:rsidR="00CC58F5">
        <w:rPr>
          <w:rFonts w:ascii="Open Sans" w:eastAsia="Open Sans" w:hAnsi="Open Sans" w:cs="Open Sans"/>
          <w:sz w:val="20"/>
        </w:rPr>
        <w:t xml:space="preserve"> se han identificado 5</w:t>
      </w:r>
      <w:r>
        <w:rPr>
          <w:rFonts w:ascii="Open Sans" w:eastAsia="Open Sans" w:hAnsi="Open Sans" w:cs="Open Sans"/>
          <w:sz w:val="20"/>
        </w:rPr>
        <w:t xml:space="preserve">3 </w:t>
      </w:r>
      <w:r>
        <w:rPr>
          <w:rFonts w:ascii="Open Sans" w:hAnsi="Open Sans" w:cs="Arial"/>
          <w:bCs/>
          <w:sz w:val="20"/>
          <w:szCs w:val="20"/>
        </w:rPr>
        <w:t xml:space="preserve">sociedades en territorios off-shore (4 en paraísos fiscales y </w:t>
      </w:r>
      <w:r w:rsidR="00CC58F5">
        <w:rPr>
          <w:rFonts w:ascii="Open Sans" w:hAnsi="Open Sans" w:cs="Arial"/>
          <w:bCs/>
          <w:sz w:val="20"/>
          <w:szCs w:val="20"/>
        </w:rPr>
        <w:t>4</w:t>
      </w:r>
      <w:r>
        <w:rPr>
          <w:rFonts w:ascii="Open Sans" w:hAnsi="Open Sans" w:cs="Arial"/>
          <w:bCs/>
          <w:sz w:val="20"/>
          <w:szCs w:val="20"/>
        </w:rPr>
        <w:t>9 en nichos fiscales)</w:t>
      </w:r>
      <w:r>
        <w:rPr>
          <w:rFonts w:ascii="Open Sans" w:hAnsi="Open Sans" w:cs="Arial"/>
          <w:bCs/>
          <w:sz w:val="20"/>
        </w:rPr>
        <w:t xml:space="preserve">. </w:t>
      </w:r>
      <w:r>
        <w:rPr>
          <w:rFonts w:ascii="Open Sans" w:hAnsi="Open Sans" w:cs="Arial"/>
          <w:bCs/>
          <w:sz w:val="20"/>
          <w:szCs w:val="20"/>
        </w:rPr>
        <w:t>Adicionalmente apuntar que BBVA tiene a través de sus filiales dos sucursales en las Islas Caymán: BBVA Banco Francés</w:t>
      </w:r>
      <w:r w:rsidRPr="00FD6A83">
        <w:rPr>
          <w:rStyle w:val="Refdenotaalpie"/>
          <w:rFonts w:ascii="Open Sans" w:hAnsi="Open Sans" w:cs="Arial"/>
          <w:bCs/>
          <w:sz w:val="20"/>
          <w:szCs w:val="20"/>
        </w:rPr>
        <w:footnoteReference w:id="145"/>
      </w:r>
      <w:r>
        <w:rPr>
          <w:rFonts w:ascii="Open Sans" w:hAnsi="Open Sans" w:cs="Arial"/>
          <w:bCs/>
          <w:sz w:val="20"/>
          <w:szCs w:val="20"/>
        </w:rPr>
        <w:t xml:space="preserve"> y BBVA Bancomer SA</w:t>
      </w:r>
      <w:r w:rsidRPr="00FD6A83">
        <w:rPr>
          <w:rStyle w:val="Refdenotaalpie"/>
          <w:rFonts w:ascii="Open Sans" w:hAnsi="Open Sans" w:cs="Arial"/>
          <w:bCs/>
          <w:sz w:val="20"/>
          <w:szCs w:val="20"/>
        </w:rPr>
        <w:footnoteReference w:id="146"/>
      </w:r>
      <w:r>
        <w:rPr>
          <w:rFonts w:ascii="Open Sans" w:hAnsi="Open Sans" w:cs="Arial"/>
          <w:bCs/>
          <w:sz w:val="20"/>
          <w:szCs w:val="20"/>
        </w:rPr>
        <w:t>. En el Informe de Gestión incluido en las CCAA Consolidadas 2015 “</w:t>
      </w:r>
      <w:r>
        <w:rPr>
          <w:rFonts w:ascii="Open Sans" w:hAnsi="Open Sans" w:cs="Arial"/>
          <w:bCs/>
          <w:i/>
          <w:sz w:val="20"/>
          <w:szCs w:val="20"/>
        </w:rPr>
        <w:t>el Grupo BBVA mantiene una política expresa sobre actividades en establecimientos permanentes domiciliados en centros financieros off-shore, la cual incluye un plan de reducción del número de dichos centros en los que el Grupo está presente</w:t>
      </w:r>
      <w:r>
        <w:rPr>
          <w:rFonts w:ascii="Open Sans" w:hAnsi="Open Sans" w:cs="Arial"/>
          <w:bCs/>
          <w:sz w:val="20"/>
          <w:szCs w:val="20"/>
        </w:rPr>
        <w:t xml:space="preserve">”. En su estrategia fiscal indica que </w:t>
      </w:r>
      <w:r>
        <w:rPr>
          <w:rFonts w:ascii="Open Sans" w:hAnsi="Open Sans" w:cs="Arial"/>
          <w:sz w:val="20"/>
          <w:szCs w:val="20"/>
        </w:rPr>
        <w:t>"</w:t>
      </w:r>
      <w:r>
        <w:rPr>
          <w:rFonts w:ascii="Open Sans" w:hAnsi="Open Sans" w:cs="Arial"/>
          <w:i/>
          <w:sz w:val="20"/>
          <w:szCs w:val="20"/>
        </w:rPr>
        <w:t>La realización de operaciones en territorios calificados como paraísos fiscales responden a la realización efectiva de actividad económica y generación de valor, sin ser el objetivo de las mismas trasladar resultados a estas jurisdicciones para obtener una reducción de la carga tributaria o menoscabar la transparencia de BBVA</w:t>
      </w:r>
      <w:r>
        <w:rPr>
          <w:rFonts w:ascii="Open Sans" w:hAnsi="Open Sans" w:cs="Arial"/>
          <w:sz w:val="20"/>
          <w:szCs w:val="20"/>
        </w:rPr>
        <w:t>”. Sería recomendable que la entidad concretara el motivo por el que se ha escogido ubicar las sociedades en estos territorios y no otros con fiscalidad no tan favorable. Es decir, qué elementos de “</w:t>
      </w:r>
      <w:r>
        <w:rPr>
          <w:rFonts w:ascii="Open Sans" w:hAnsi="Open Sans" w:cs="Arial"/>
          <w:i/>
          <w:sz w:val="20"/>
          <w:szCs w:val="20"/>
        </w:rPr>
        <w:t xml:space="preserve">realización efectiva de actividad económica y generación de valor” </w:t>
      </w:r>
      <w:r>
        <w:rPr>
          <w:rFonts w:ascii="Open Sans" w:hAnsi="Open Sans" w:cs="Arial"/>
          <w:sz w:val="20"/>
          <w:szCs w:val="20"/>
        </w:rPr>
        <w:t xml:space="preserve">le proporciona tener el domicilio social en Delaware (nicho fiscal de EEUU) que no le proporciona cualquier otro estado de EEUU o Islas Caymán y no otro territorio británico. </w:t>
      </w:r>
      <w:r>
        <w:rPr>
          <w:rFonts w:ascii="Open Sans" w:hAnsi="Open Sans" w:cs="Arial"/>
          <w:bCs/>
          <w:sz w:val="20"/>
          <w:szCs w:val="20"/>
        </w:rPr>
        <w:t xml:space="preserve">BBVA sólo reconoce como establecimientos permanentes de su Grupo en paraísos fiscales dos sucursales en Islas Caimán, que no se corresponden con las identificadas de Bancomer y Banco Francés (menciona una sucursal de BBVA y otras de BBVA Compass Bank) que se dedican a actividades de Banca Corporativa, y las emisoras de valores en Islas Caimán:  BBVA International, Ltd., BBVA Global Finance, Ltd., Continental DPR Finance Company, </w:t>
      </w:r>
      <w:r>
        <w:rPr>
          <w:rFonts w:ascii="Open Sans" w:hAnsi="Open Sans" w:cs="Arial"/>
          <w:sz w:val="20"/>
          <w:szCs w:val="20"/>
        </w:rPr>
        <w:t>Garanti Diversified Payment Rights Finance Company, y RPV Company. En la información proporcionada en el Informe Bancario Anual y en el TTC 2015, algunos de los territorios off-shore aparecen agregados a los territorios a los que pertenecen (Islas Caymán a Reino Unido, Delaware a EEUU o Curaçao a Países Bajos) o bien aparecen agregados bajo la denominación de Otros.  En el Informe Bancario Anual 2015 y en el TTC 2015 se proporciona información de los impuestos generados y liquidados en cada país. Sin embargo, aparte de los territorios off-shore que aparecen agregados en los países a los que pertenecen o bajo la denominación de “Otros”</w:t>
      </w:r>
      <w:r>
        <w:rPr>
          <w:rStyle w:val="Refdenotaalpie"/>
          <w:rFonts w:ascii="Open Sans" w:hAnsi="Open Sans" w:cs="Arial"/>
        </w:rPr>
        <w:footnoteReference w:id="147"/>
      </w:r>
      <w:r>
        <w:rPr>
          <w:rFonts w:ascii="Open Sans" w:hAnsi="Open Sans" w:cs="Arial"/>
          <w:sz w:val="20"/>
          <w:szCs w:val="20"/>
        </w:rPr>
        <w:t>, tampoco se proporcionan datos del tipo efectivo liquidado, ni el nombre de las sociedades que generan el pago de esos impuestos, sólo menciona la sociedad principal.</w:t>
      </w:r>
      <w:r>
        <w:rPr>
          <w:rFonts w:ascii="Times New Roman" w:hAnsi="Times New Roman" w:cs="Times New Roman"/>
        </w:rPr>
        <w:t xml:space="preserve"> </w:t>
      </w:r>
    </w:p>
    <w:p w14:paraId="0C29BF19" w14:textId="77777777" w:rsidR="0090659A" w:rsidRDefault="0090659A" w:rsidP="0090659A">
      <w:pPr>
        <w:jc w:val="both"/>
        <w:rPr>
          <w:rFonts w:ascii="Open Sans" w:hAnsi="Open Sans" w:cs="Arial"/>
          <w:sz w:val="20"/>
          <w:szCs w:val="20"/>
        </w:rPr>
      </w:pPr>
    </w:p>
    <w:p w14:paraId="3FE30B5B" w14:textId="7FE50013" w:rsidR="0090659A" w:rsidRDefault="0090659A" w:rsidP="0090659A">
      <w:pPr>
        <w:pStyle w:val="Normal1"/>
        <w:jc w:val="both"/>
      </w:pPr>
      <w:r>
        <w:rPr>
          <w:rFonts w:ascii="Open Sans" w:eastAsia="Arial" w:hAnsi="Open Sans" w:cs="Open Sans"/>
          <w:sz w:val="20"/>
        </w:rPr>
        <w:t xml:space="preserve">El </w:t>
      </w:r>
      <w:r w:rsidR="00F5507F" w:rsidRPr="00F5507F">
        <w:rPr>
          <w:rFonts w:ascii="Open Sans" w:eastAsia="Arial" w:hAnsi="Open Sans" w:cs="Open Sans"/>
          <w:sz w:val="20"/>
        </w:rPr>
        <w:t>BANCO SANTANDER</w:t>
      </w:r>
      <w:r>
        <w:rPr>
          <w:rFonts w:ascii="Open Sans" w:eastAsia="Arial" w:hAnsi="Open Sans" w:cs="Open Sans"/>
          <w:sz w:val="20"/>
        </w:rPr>
        <w:t xml:space="preserve"> </w:t>
      </w:r>
      <w:r w:rsidRPr="00F5507F">
        <w:rPr>
          <w:rFonts w:ascii="Open Sans" w:eastAsia="Arial" w:hAnsi="Open Sans" w:cs="Open Sans"/>
          <w:sz w:val="20"/>
        </w:rPr>
        <w:t>proporciona información sobre las sociedades presentes en territorios off-shore, reconociendo un total de 10 filiales.</w:t>
      </w:r>
      <w:r>
        <w:rPr>
          <w:rFonts w:ascii="Open Sans" w:eastAsia="Arial" w:hAnsi="Open Sans" w:cs="Open Sans"/>
          <w:sz w:val="20"/>
        </w:rPr>
        <w:t xml:space="preserve"> Siguiendo la misma argumentación del ejercicio anterior, apunta que estos territorios off-shore no son considerados paraísos fiscales por la OCDE ni por la Comisión Europea.  En 2014 declaró 11 sociedades y se preveía liquidar 7 en los próximos ejercicios, de las cuales sólo se ha liquidado una.  Del resto, 3 están en liquidación y en los próximos ejercicios  planea liquidar cuatro filiales más (1 emisora y 3 con poca actividad). A finales de 2015 estas sociedades ocupan a 118 empleados.</w:t>
      </w:r>
    </w:p>
    <w:p w14:paraId="0437783B" w14:textId="77777777" w:rsidR="0090659A" w:rsidRDefault="0090659A" w:rsidP="0090659A"/>
    <w:p w14:paraId="5F0C1E90" w14:textId="77777777" w:rsidR="0090659A" w:rsidRDefault="0090659A" w:rsidP="0090659A">
      <w:pPr>
        <w:pStyle w:val="Normal1"/>
        <w:jc w:val="both"/>
      </w:pPr>
      <w:r>
        <w:rPr>
          <w:rFonts w:ascii="Open Sans" w:eastAsia="Arial" w:hAnsi="Open Sans" w:cs="Open Sans"/>
          <w:sz w:val="20"/>
        </w:rPr>
        <w:t xml:space="preserve">A pesar de mantener la política de reducir su presencia en estos territorios, el grupo declara su presencia en Islas Caimán, Isla de Man y Jersey a través de Sucursales que se mantendrán activas.  Estas sucursales integran su balance y cuenta de resultados en sus correspondientes matrices extranjeras. </w:t>
      </w:r>
    </w:p>
    <w:p w14:paraId="6EFD5DD1" w14:textId="77777777" w:rsidR="0090659A" w:rsidRDefault="0090659A" w:rsidP="0090659A">
      <w:pPr>
        <w:pStyle w:val="Normal1"/>
        <w:jc w:val="both"/>
        <w:rPr>
          <w:rFonts w:ascii="Open Sans" w:hAnsi="Open Sans" w:cs="Open Sans"/>
          <w:sz w:val="20"/>
        </w:rPr>
      </w:pPr>
    </w:p>
    <w:p w14:paraId="0904FD29" w14:textId="4B4825AC" w:rsidR="0090659A" w:rsidRDefault="0090659A" w:rsidP="0090659A">
      <w:pPr>
        <w:pStyle w:val="Normal1"/>
        <w:jc w:val="both"/>
      </w:pPr>
      <w:r w:rsidRPr="00F5507F">
        <w:rPr>
          <w:rFonts w:ascii="Open Sans" w:eastAsia="Arial" w:hAnsi="Open Sans" w:cs="Open Sans"/>
          <w:sz w:val="20"/>
        </w:rPr>
        <w:t>La entidad afirma que aplica procedimientos de control y gestión para evitar riesgos reputacionales y legales pero no da información concreta sobre los resultados de los informes y revisiones para poder valorar el tipo de operatoria y relevancia de las actividades.</w:t>
      </w:r>
      <w:r>
        <w:rPr>
          <w:rFonts w:ascii="Open Sans" w:eastAsia="Arial" w:hAnsi="Open Sans" w:cs="Open Sans"/>
          <w:sz w:val="20"/>
        </w:rPr>
        <w:t xml:space="preserve"> Si bien es cierto que en los anexos de las CCAA Consolidadas 2015 se recogen datos sobre estas sociedades</w:t>
      </w:r>
      <w:r w:rsidR="007F55EB">
        <w:rPr>
          <w:rFonts w:ascii="Open Sans" w:eastAsia="Arial" w:hAnsi="Open Sans" w:cs="Open Sans"/>
          <w:sz w:val="20"/>
        </w:rPr>
        <w:t>: resultados</w:t>
      </w:r>
      <w:r>
        <w:rPr>
          <w:rFonts w:ascii="Open Sans" w:eastAsia="Arial" w:hAnsi="Open Sans" w:cs="Open Sans"/>
          <w:sz w:val="20"/>
        </w:rPr>
        <w:t xml:space="preserve"> individuales, capital e importe en libros que se incluyen no son representativos de sus operaciones. </w:t>
      </w:r>
    </w:p>
    <w:p w14:paraId="1F70C678" w14:textId="77777777" w:rsidR="0090659A" w:rsidRDefault="0090659A" w:rsidP="0090659A">
      <w:pPr>
        <w:pStyle w:val="Normal1"/>
        <w:jc w:val="both"/>
        <w:rPr>
          <w:rFonts w:ascii="Open Sans" w:hAnsi="Open Sans" w:cs="Open Sans"/>
          <w:sz w:val="20"/>
        </w:rPr>
      </w:pPr>
    </w:p>
    <w:p w14:paraId="447AA264" w14:textId="77777777" w:rsidR="0090659A" w:rsidRDefault="0090659A" w:rsidP="0090659A">
      <w:pPr>
        <w:jc w:val="both"/>
      </w:pPr>
      <w:r>
        <w:rPr>
          <w:rFonts w:ascii="Open Sans" w:hAnsi="Open Sans" w:cs="Open Sans"/>
          <w:bCs/>
          <w:sz w:val="20"/>
          <w:szCs w:val="20"/>
        </w:rPr>
        <w:t>En cuanto a los impuestos pagados en territorios off-shore, el Informe Bancario Anual 2015</w:t>
      </w:r>
      <w:r>
        <w:rPr>
          <w:rStyle w:val="Refdenotaalpie"/>
          <w:rFonts w:ascii="Open Sans" w:hAnsi="Open Sans" w:cs="Open Sans"/>
          <w:bCs/>
          <w:sz w:val="20"/>
          <w:szCs w:val="20"/>
        </w:rPr>
        <w:footnoteReference w:id="148"/>
      </w:r>
      <w:r>
        <w:rPr>
          <w:rFonts w:ascii="Open Sans" w:hAnsi="Open Sans" w:cs="Open Sans"/>
          <w:bCs/>
          <w:sz w:val="20"/>
          <w:szCs w:val="20"/>
        </w:rPr>
        <w:t xml:space="preserve"> incluye información desagregada por países del volumen de negocio, N.º de empleados, BAI e Impuesto sobre resultados. Así se presenta la contribución fiscal en Bahamas, Irlanda, Isla de Man, Islas Caymán, Jersey, Panamá, Puerto Rico, Singapur, Suiza y Uruguay. No hay datos específicos de algunos de los territorios off-shore en los que opera como Delaware, Guernsey, Hong Kong o Luxemburgo. Sería muy recomendable que la entidad incorporara en las notas explicativas en que jurisdicción las ha incorporado y desagregara sus datos atendiendo al elevado número de sociedades ubicadas en algunos de estos territorios y la relevancia de las cifras de los países en los que parece que se han incorporado (EEUU, UK, …). </w:t>
      </w:r>
    </w:p>
    <w:p w14:paraId="2FB4A408" w14:textId="77777777" w:rsidR="0090659A" w:rsidRDefault="0090659A" w:rsidP="0090659A">
      <w:pPr>
        <w:pStyle w:val="Normal1"/>
        <w:tabs>
          <w:tab w:val="left" w:pos="7000"/>
        </w:tabs>
        <w:jc w:val="both"/>
        <w:rPr>
          <w:rFonts w:ascii="Open Sans" w:eastAsia="Arial" w:hAnsi="Open Sans" w:cs="Open Sans"/>
          <w:sz w:val="20"/>
          <w:highlight w:val="white"/>
        </w:rPr>
      </w:pPr>
    </w:p>
    <w:p w14:paraId="4005883E" w14:textId="77777777" w:rsidR="0090659A" w:rsidRPr="00FD6A83" w:rsidRDefault="0090659A" w:rsidP="0090659A">
      <w:pPr>
        <w:pStyle w:val="Normal1"/>
        <w:tabs>
          <w:tab w:val="left" w:pos="7000"/>
        </w:tabs>
        <w:jc w:val="both"/>
        <w:rPr>
          <w:sz w:val="20"/>
        </w:rPr>
      </w:pPr>
      <w:r w:rsidRPr="00FD6A83">
        <w:rPr>
          <w:rFonts w:ascii="Open Sans" w:eastAsia="Arial" w:hAnsi="Open Sans" w:cs="Open Sans"/>
          <w:sz w:val="20"/>
          <w:highlight w:val="white"/>
        </w:rPr>
        <w:t xml:space="preserve">Tal y como se hizo constar en el informe de 2014, en lo que respecta a las políticas adoptadas por el Banco, el Código General de Conducta del Banco Santander recoge cuál es su postura respecto a sus compromisos fiscales y a la operativa con paraísos fiscales en el Capítulo X. </w:t>
      </w:r>
      <w:r w:rsidRPr="00FD6A83">
        <w:rPr>
          <w:rFonts w:ascii="Open Sans" w:eastAsia="Arial" w:hAnsi="Open Sans" w:cs="Open Sans"/>
          <w:sz w:val="20"/>
        </w:rPr>
        <w:t xml:space="preserve">OBLIGACIONES TRIBUTARIAS y Capítulo XI. </w:t>
      </w:r>
      <w:r w:rsidRPr="00FD6A83">
        <w:rPr>
          <w:rFonts w:ascii="Open Sans" w:eastAsia="Arial" w:hAnsi="Open Sans" w:cs="Open Sans"/>
          <w:sz w:val="20"/>
          <w:highlight w:val="white"/>
        </w:rPr>
        <w:t>ESTABLECIMIENTOS EN PA</w:t>
      </w:r>
      <w:r w:rsidRPr="00FD6A83">
        <w:rPr>
          <w:rFonts w:ascii="Open Sans" w:hAnsi="Open Sans" w:cs="Open Sans"/>
          <w:sz w:val="20"/>
        </w:rPr>
        <w:t>ÍSES O TERRITORIOS CALIFICADOS COMO PARAÍSO FISCAL. La entidad</w:t>
      </w:r>
      <w:r w:rsidRPr="00FD6A83">
        <w:rPr>
          <w:rFonts w:ascii="Open Sans" w:eastAsia="Arial" w:hAnsi="Open Sans" w:cs="Open Sans"/>
          <w:sz w:val="20"/>
          <w:highlight w:val="white"/>
        </w:rPr>
        <w:t xml:space="preserve"> Se compromete a  "evitar en todo caso la utilización de estructuras de carácter opaco con finalidades tributarias (...) diseñadas con el propósito de impedir el conocimiento por parte de las autoridades fiscales...". El hecho de incluir en el compromiso una referencia a cuál es el propósito o la intención, le da componente de subjetividad que hace difícil comprobar su cumplimiento. También se recoge la necesidad de informar al Consejo de Administración de las políticas fiscales. Así mismo, afirma que “no se crearán ni adquirirán participaciones en entidades domiciliadas en países o territorios que tengan la consideración de paraísos fiscales sin autorización específica del Consejo de Administración. Cuando razones de urgencia así lo aconsejen, la autorización podrá darla la Comisión Ejecutiva, dando cuenta posteriormente al Consejo”. Pero no explica cuáles son esas razones de urgencia. Añade que “El objeto social y las actividades que puedan llevarse a cabo en los países o territorios calificados como paraíso fiscal deberán estar claramente identificados y definidos. En el caso de que la actividad en el país o territorio calificado como paraíso fiscal consista en servir de vehículo especial para la emisión de valores, no se utilizará un mismo vehículo para canalizar actividades diferentes y los fondos captados no se remansarán en la propia entidad domiciliada en el país o territorio calificado como paraíso fiscal, sino que se localizarán en entidades del Grupo domiciliadas en territorios no calificados como paraíso fiscal que emitan la garantía para su captación”. </w:t>
      </w:r>
    </w:p>
    <w:p w14:paraId="2F489B59" w14:textId="77777777" w:rsidR="0090659A" w:rsidRDefault="0090659A" w:rsidP="0090659A"/>
    <w:p w14:paraId="0F7C8398" w14:textId="46850A97" w:rsidR="0090659A" w:rsidRDefault="00F5507F" w:rsidP="0090659A">
      <w:pPr>
        <w:jc w:val="both"/>
      </w:pPr>
      <w:r w:rsidRPr="00F5507F">
        <w:rPr>
          <w:rFonts w:ascii="Open Sans" w:hAnsi="Open Sans" w:cs="Arial"/>
          <w:bCs/>
          <w:sz w:val="20"/>
          <w:szCs w:val="20"/>
        </w:rPr>
        <w:t>BANKINTER</w:t>
      </w:r>
      <w:r w:rsidR="0090659A">
        <w:rPr>
          <w:rFonts w:ascii="Open Sans" w:hAnsi="Open Sans" w:cs="Arial"/>
          <w:bCs/>
          <w:sz w:val="20"/>
          <w:szCs w:val="20"/>
        </w:rPr>
        <w:t xml:space="preserve"> </w:t>
      </w:r>
      <w:r w:rsidR="0090659A">
        <w:rPr>
          <w:rFonts w:ascii="Open Sans" w:eastAsia="Open Sans" w:hAnsi="Open Sans" w:cs="Open Sans"/>
          <w:bCs/>
          <w:sz w:val="20"/>
          <w:szCs w:val="20"/>
        </w:rPr>
        <w:t>tiene p</w:t>
      </w:r>
      <w:r w:rsidR="0090659A">
        <w:rPr>
          <w:rFonts w:ascii="Open Sans" w:hAnsi="Open Sans" w:cs="Open Sans"/>
          <w:bCs/>
          <w:sz w:val="20"/>
          <w:szCs w:val="20"/>
        </w:rPr>
        <w:t xml:space="preserve">resencia en dos nichos fiscales: Irlanda a través de Castellana Finance Ltd (100% de participación) y Luxemburgo mediante </w:t>
      </w:r>
      <w:r w:rsidR="0090659A">
        <w:rPr>
          <w:rFonts w:ascii="Open Sans" w:eastAsia="Open Sans" w:hAnsi="Open Sans" w:cs="Open Sans"/>
          <w:bCs/>
          <w:sz w:val="20"/>
          <w:szCs w:val="20"/>
        </w:rPr>
        <w:t xml:space="preserve">Bankinter Luxemburgo, S.A. </w:t>
      </w:r>
      <w:r w:rsidR="0090659A">
        <w:rPr>
          <w:rFonts w:ascii="Open Sans" w:hAnsi="Open Sans" w:cs="Open Sans"/>
          <w:bCs/>
          <w:sz w:val="20"/>
          <w:szCs w:val="20"/>
        </w:rPr>
        <w:t>(99,98%, se desconoce a quien pertenece el 0,02% restante) .</w:t>
      </w:r>
    </w:p>
    <w:p w14:paraId="36D12507" w14:textId="77777777" w:rsidR="0090659A" w:rsidRDefault="0090659A" w:rsidP="0090659A">
      <w:pPr>
        <w:jc w:val="both"/>
        <w:rPr>
          <w:rFonts w:ascii="Open Sans" w:hAnsi="Open Sans" w:cs="Arial"/>
          <w:bCs/>
          <w:sz w:val="20"/>
          <w:szCs w:val="20"/>
        </w:rPr>
      </w:pPr>
    </w:p>
    <w:p w14:paraId="108649F9" w14:textId="77777777" w:rsidR="0090659A" w:rsidRDefault="0090659A" w:rsidP="0090659A">
      <w:pPr>
        <w:jc w:val="both"/>
      </w:pPr>
      <w:r>
        <w:rPr>
          <w:rFonts w:ascii="Open Sans" w:eastAsia="Open Sans" w:hAnsi="Open Sans" w:cs="Open Sans"/>
          <w:sz w:val="20"/>
          <w:szCs w:val="20"/>
        </w:rPr>
        <w:t>Por lo que respecta a Castellana Finance Ltd, se trata de una empresa de servicios financieros creada en 2007 para la comercialización de bonos hipotecarios de alto riesgo (RMBS) de Bankinter</w:t>
      </w:r>
      <w:r>
        <w:rPr>
          <w:rStyle w:val="Refdenotaalpie"/>
          <w:rFonts w:ascii="Open Sans" w:eastAsia="Open Sans" w:hAnsi="Open Sans" w:cs="Open Sans"/>
          <w:sz w:val="20"/>
          <w:szCs w:val="20"/>
        </w:rPr>
        <w:footnoteReference w:id="149"/>
      </w:r>
      <w:r>
        <w:rPr>
          <w:rFonts w:ascii="Open Sans" w:eastAsia="Open Sans" w:hAnsi="Open Sans" w:cs="Open Sans"/>
          <w:sz w:val="20"/>
          <w:szCs w:val="20"/>
        </w:rPr>
        <w:t>. Tras sucesivas recompras por parte de Bankinter, S.A. de bonos emitidos por esta empresa, así como tras la reestructuración de balance del mismo, el banco decidió incorporarla al grupo el 30/06/2013</w:t>
      </w:r>
      <w:r>
        <w:rPr>
          <w:rStyle w:val="Refdenotaalpie"/>
          <w:rFonts w:ascii="Open Sans" w:eastAsia="Open Sans" w:hAnsi="Open Sans" w:cs="Open Sans"/>
          <w:sz w:val="20"/>
          <w:szCs w:val="20"/>
        </w:rPr>
        <w:footnoteReference w:id="150"/>
      </w:r>
      <w:r>
        <w:rPr>
          <w:rFonts w:ascii="Open Sans" w:eastAsia="Open Sans" w:hAnsi="Open Sans" w:cs="Open Sans"/>
          <w:sz w:val="20"/>
          <w:szCs w:val="20"/>
        </w:rPr>
        <w:t>. No se proporciona información sobre la actividad que desarrolla actualmente esta empresa, únicamente que es un vehículo de propósito especial. Sería necesario aclarar este punto, puesto que a pesar de que tiene estructura patrimonial</w:t>
      </w:r>
      <w:r>
        <w:rPr>
          <w:rStyle w:val="Refdenotaalpie"/>
          <w:rFonts w:ascii="Open Sans" w:eastAsia="Open Sans" w:hAnsi="Open Sans" w:cs="Open Sans"/>
          <w:sz w:val="20"/>
          <w:szCs w:val="20"/>
        </w:rPr>
        <w:footnoteReference w:id="151"/>
      </w:r>
      <w:r>
        <w:rPr>
          <w:rFonts w:ascii="Open Sans" w:eastAsia="Open Sans" w:hAnsi="Open Sans" w:cs="Open Sans"/>
          <w:sz w:val="20"/>
          <w:szCs w:val="20"/>
        </w:rPr>
        <w:t>, no se informa de que haya tenido actividad ni resultados</w:t>
      </w:r>
      <w:r>
        <w:rPr>
          <w:rStyle w:val="Refdenotaalpie"/>
          <w:rFonts w:ascii="Open Sans" w:eastAsia="Open Sans" w:hAnsi="Open Sans" w:cs="Open Sans"/>
          <w:sz w:val="20"/>
          <w:szCs w:val="20"/>
        </w:rPr>
        <w:footnoteReference w:id="152"/>
      </w:r>
      <w:r>
        <w:rPr>
          <w:rFonts w:ascii="Open Sans" w:eastAsia="Open Sans" w:hAnsi="Open Sans" w:cs="Open Sans"/>
          <w:sz w:val="20"/>
          <w:szCs w:val="20"/>
        </w:rPr>
        <w:t>.</w:t>
      </w:r>
    </w:p>
    <w:p w14:paraId="0AD0936D" w14:textId="77777777" w:rsidR="0090659A" w:rsidRDefault="0090659A" w:rsidP="0090659A">
      <w:pPr>
        <w:jc w:val="both"/>
        <w:rPr>
          <w:rFonts w:ascii="Open Sans" w:hAnsi="Open Sans" w:cs="Open Sans"/>
        </w:rPr>
      </w:pPr>
    </w:p>
    <w:p w14:paraId="7EB47863" w14:textId="77777777" w:rsidR="0090659A" w:rsidRDefault="0090659A" w:rsidP="0090659A">
      <w:pPr>
        <w:jc w:val="both"/>
      </w:pPr>
      <w:r>
        <w:rPr>
          <w:rFonts w:ascii="Open Sans" w:eastAsia="Open Sans" w:hAnsi="Open Sans" w:cs="Open Sans"/>
          <w:sz w:val="20"/>
          <w:szCs w:val="20"/>
        </w:rPr>
        <w:t>En ejercicios anteriores, Bankinter reflejaba en las CCAA Consolidadas las provisiones por pasivos fiscales que pudieran derivarse como resultado de las reclamaciones interpuestas contra las sanciones por las retenciones correspondientes a los depósitos contratados en aquella sucursal</w:t>
      </w:r>
      <w:r>
        <w:rPr>
          <w:rStyle w:val="Refdenotaalpie"/>
          <w:rFonts w:ascii="Open Sans" w:eastAsia="Open Sans" w:hAnsi="Open Sans" w:cs="Open Sans"/>
          <w:sz w:val="20"/>
          <w:szCs w:val="20"/>
        </w:rPr>
        <w:footnoteReference w:id="153"/>
      </w:r>
      <w:r>
        <w:rPr>
          <w:rFonts w:ascii="Open Sans" w:eastAsia="Open Sans" w:hAnsi="Open Sans" w:cs="Open Sans"/>
          <w:sz w:val="20"/>
          <w:szCs w:val="20"/>
        </w:rPr>
        <w:t>. En los informes de 2015, igual que en 2014, no se ha encontrado información sobre el estado de situación de este procedimiento.</w:t>
      </w:r>
    </w:p>
    <w:p w14:paraId="6C7B6C37" w14:textId="77777777" w:rsidR="0090659A" w:rsidRDefault="0090659A" w:rsidP="0090659A"/>
    <w:p w14:paraId="55F37CBB" w14:textId="77777777" w:rsidR="0090659A" w:rsidRDefault="0090659A" w:rsidP="0090659A">
      <w:pPr>
        <w:jc w:val="both"/>
        <w:rPr>
          <w:rFonts w:ascii="Open Sans" w:eastAsia="Open Sans" w:hAnsi="Open Sans" w:cs="Open Sans"/>
          <w:sz w:val="20"/>
          <w:szCs w:val="20"/>
        </w:rPr>
      </w:pPr>
      <w:r>
        <w:rPr>
          <w:rFonts w:ascii="Open Sans" w:eastAsia="Open Sans" w:hAnsi="Open Sans" w:cs="Open Sans"/>
          <w:sz w:val="20"/>
          <w:szCs w:val="20"/>
        </w:rPr>
        <w:t>La filial luxemburguesa, Bankinter Luxemburgo, S.A., está destinada a proporcionar servicios y productos a los clientes de Banca Privada e internacionales. A cierre de 2015 los recursos de Bankinter in Luxemburgo y su SICAV experimentaron un crecimiento del 68% (alcanzando la cifra de 1.312 millones de euros) y  la gestión discrecional de sus activos  un crecimiento del 107% respecto a 2014</w:t>
      </w:r>
      <w:r>
        <w:rPr>
          <w:rStyle w:val="Refdenotaalpie"/>
          <w:rFonts w:ascii="Open Sans" w:eastAsia="Open Sans" w:hAnsi="Open Sans" w:cs="Open Sans"/>
          <w:sz w:val="20"/>
          <w:szCs w:val="20"/>
        </w:rPr>
        <w:footnoteReference w:id="154"/>
      </w:r>
      <w:r>
        <w:rPr>
          <w:rFonts w:ascii="Open Sans" w:eastAsia="Open Sans" w:hAnsi="Open Sans" w:cs="Open Sans"/>
          <w:sz w:val="20"/>
          <w:szCs w:val="20"/>
        </w:rPr>
        <w:t xml:space="preserve">. </w:t>
      </w:r>
    </w:p>
    <w:p w14:paraId="5CF7EB9D" w14:textId="77777777" w:rsidR="00FD6A83" w:rsidRDefault="00FD6A83" w:rsidP="0090659A">
      <w:pPr>
        <w:jc w:val="both"/>
      </w:pPr>
    </w:p>
    <w:p w14:paraId="7904EA6C" w14:textId="77777777" w:rsidR="0090659A" w:rsidRDefault="0090659A" w:rsidP="0090659A">
      <w:pPr>
        <w:jc w:val="both"/>
        <w:rPr>
          <w:rFonts w:ascii="Open Sans" w:eastAsia="Open Sans" w:hAnsi="Open Sans" w:cs="Open Sans"/>
          <w:sz w:val="20"/>
          <w:szCs w:val="20"/>
        </w:rPr>
      </w:pPr>
      <w:r>
        <w:rPr>
          <w:rFonts w:ascii="Open Sans" w:eastAsia="Open Sans" w:hAnsi="Open Sans" w:cs="Open Sans"/>
          <w:sz w:val="20"/>
          <w:szCs w:val="20"/>
        </w:rPr>
        <w:t>Sin embargo, Bankinter no proporciona información detallada del tipo de operaciones que se están llevando a cabo, ni el tipo de clientes que operan con esta entidad (sólo menciona que son clientes de Banca Privada que buscan una diversificación geográfica de su patrimonio financiero), de modo que no es posible valorar las implicaciones fiscales que se puedan derivar de la operativa a través de esta filial. Por lo tanto, sería bien recibida más información dados los antecedentes de lo acontecido con la sucursal que la entidad mantenía en Irlanda y los escándalos entorno a la fiscalidad para no residentes del gobierno luxemburgués.</w:t>
      </w:r>
    </w:p>
    <w:p w14:paraId="12FE3BF5" w14:textId="77777777" w:rsidR="00761E49" w:rsidRDefault="00761E49" w:rsidP="000200E0">
      <w:pPr>
        <w:jc w:val="both"/>
        <w:rPr>
          <w:rFonts w:ascii="Open Sans" w:hAnsi="Open Sans"/>
          <w:sz w:val="20"/>
          <w:szCs w:val="20"/>
        </w:rPr>
      </w:pPr>
    </w:p>
    <w:p w14:paraId="29831B23" w14:textId="77777777" w:rsidR="00683433" w:rsidRDefault="00683433" w:rsidP="00683433">
      <w:pPr>
        <w:jc w:val="both"/>
        <w:rPr>
          <w:rFonts w:ascii="Open Sans" w:hAnsi="Open Sans" w:cs="Open Sans"/>
          <w:sz w:val="20"/>
          <w:szCs w:val="20"/>
        </w:rPr>
      </w:pPr>
      <w:r w:rsidRPr="00F5507F">
        <w:rPr>
          <w:rFonts w:ascii="Open Sans" w:hAnsi="Open Sans" w:cs="Open Sans"/>
          <w:b/>
          <w:sz w:val="20"/>
          <w:szCs w:val="20"/>
        </w:rPr>
        <w:t>La importancia de los centros offshore en el los flujos financieros internacionales se pone en evidencia en los países de procedencia de la inversión extranjera</w:t>
      </w:r>
      <w:r w:rsidRPr="00096F86">
        <w:rPr>
          <w:rFonts w:ascii="Open Sans" w:hAnsi="Open Sans" w:cs="Open Sans"/>
          <w:sz w:val="20"/>
          <w:szCs w:val="20"/>
        </w:rPr>
        <w:t xml:space="preserve">. </w:t>
      </w:r>
      <w:r>
        <w:rPr>
          <w:rFonts w:ascii="Open Sans" w:hAnsi="Open Sans" w:cs="Open Sans"/>
          <w:sz w:val="20"/>
          <w:szCs w:val="20"/>
        </w:rPr>
        <w:t>A través de Luxemburgo llegaron un total de 3.584 millones de euros lo que supone un 39,7% más que en el ejercicio 2014. Desde H</w:t>
      </w:r>
      <w:r w:rsidRPr="00884EB8">
        <w:rPr>
          <w:rFonts w:ascii="Open Sans" w:hAnsi="Open Sans" w:cs="Open Sans"/>
          <w:sz w:val="20"/>
          <w:szCs w:val="20"/>
        </w:rPr>
        <w:t>olanda</w:t>
      </w:r>
      <w:r>
        <w:rPr>
          <w:rFonts w:ascii="Open Sans" w:hAnsi="Open Sans" w:cs="Open Sans"/>
          <w:sz w:val="20"/>
          <w:szCs w:val="20"/>
        </w:rPr>
        <w:t xml:space="preserve"> </w:t>
      </w:r>
      <w:r w:rsidRPr="00884EB8">
        <w:rPr>
          <w:rFonts w:ascii="Open Sans" w:hAnsi="Open Sans" w:cs="Open Sans"/>
          <w:sz w:val="20"/>
          <w:szCs w:val="20"/>
        </w:rPr>
        <w:t>llegaron 2.777 millones de euros, un 139,9% más que en 2014.</w:t>
      </w:r>
      <w:r w:rsidRPr="00745E50">
        <w:rPr>
          <w:rFonts w:ascii="Open Sans" w:hAnsi="Open Sans" w:cs="Open Sans"/>
          <w:sz w:val="20"/>
          <w:szCs w:val="20"/>
        </w:rPr>
        <w:t xml:space="preserve"> </w:t>
      </w:r>
      <w:r>
        <w:rPr>
          <w:rFonts w:ascii="Open Sans" w:hAnsi="Open Sans" w:cs="Open Sans"/>
          <w:sz w:val="20"/>
          <w:szCs w:val="20"/>
        </w:rPr>
        <w:t xml:space="preserve">La inversión desde paraísos fiscales puros alcanzó los 633 millones de euros lo que supone un 31,1% más que en 2014. </w:t>
      </w:r>
    </w:p>
    <w:p w14:paraId="25B4D5DF" w14:textId="77777777" w:rsidR="00683433" w:rsidRDefault="00683433" w:rsidP="00683433">
      <w:pPr>
        <w:jc w:val="both"/>
        <w:rPr>
          <w:rFonts w:ascii="Open Sans" w:hAnsi="Open Sans" w:cs="Open Sans"/>
          <w:sz w:val="20"/>
          <w:szCs w:val="20"/>
        </w:rPr>
      </w:pPr>
    </w:p>
    <w:p w14:paraId="257DA2C8" w14:textId="77777777" w:rsidR="00683433" w:rsidRDefault="00683433" w:rsidP="00683433">
      <w:pPr>
        <w:jc w:val="both"/>
        <w:rPr>
          <w:rFonts w:ascii="Open Sans" w:hAnsi="Open Sans" w:cs="Open Sans"/>
          <w:sz w:val="20"/>
          <w:szCs w:val="20"/>
        </w:rPr>
      </w:pPr>
    </w:p>
    <w:p w14:paraId="5FDA932B" w14:textId="77777777" w:rsidR="00683433" w:rsidRDefault="00683433" w:rsidP="00F5507F">
      <w:pPr>
        <w:ind w:left="709"/>
        <w:rPr>
          <w:rFonts w:ascii="Open Sans" w:hAnsi="Open Sans" w:cs="Open Sans"/>
          <w:sz w:val="20"/>
          <w:szCs w:val="20"/>
        </w:rPr>
      </w:pPr>
      <w:r w:rsidRPr="00884EB8">
        <w:rPr>
          <w:noProof/>
          <w:lang w:val="es-ES"/>
        </w:rPr>
        <w:drawing>
          <wp:inline distT="0" distB="0" distL="0" distR="0" wp14:anchorId="1EA8F08C" wp14:editId="5220ED8B">
            <wp:extent cx="4287217" cy="275051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4301944" cy="2759963"/>
                    </a:xfrm>
                    <a:prstGeom prst="rect">
                      <a:avLst/>
                    </a:prstGeom>
                    <a:ln>
                      <a:noFill/>
                    </a:ln>
                    <a:extLst>
                      <a:ext uri="{53640926-AAD7-44D8-BBD7-CCE9431645EC}">
                        <a14:shadowObscured xmlns:a14="http://schemas.microsoft.com/office/drawing/2010/main"/>
                      </a:ext>
                    </a:extLst>
                  </pic:spPr>
                </pic:pic>
              </a:graphicData>
            </a:graphic>
          </wp:inline>
        </w:drawing>
      </w:r>
    </w:p>
    <w:p w14:paraId="5F4CC185" w14:textId="77777777" w:rsidR="00683433" w:rsidRDefault="00683433" w:rsidP="00683433">
      <w:pPr>
        <w:rPr>
          <w:rFonts w:ascii="Open Sans" w:hAnsi="Open Sans" w:cs="Open Sans"/>
          <w:sz w:val="20"/>
          <w:szCs w:val="20"/>
        </w:rPr>
      </w:pPr>
    </w:p>
    <w:p w14:paraId="3E4ED7C2" w14:textId="77777777" w:rsidR="00761E49" w:rsidRDefault="00761E49" w:rsidP="000200E0">
      <w:pPr>
        <w:jc w:val="both"/>
        <w:rPr>
          <w:rFonts w:ascii="Open Sans" w:hAnsi="Open Sans"/>
          <w:sz w:val="20"/>
          <w:szCs w:val="20"/>
        </w:rPr>
      </w:pPr>
    </w:p>
    <w:p w14:paraId="44B0AFAB" w14:textId="77777777" w:rsidR="0090659A" w:rsidRDefault="0090659A" w:rsidP="000200E0">
      <w:pPr>
        <w:jc w:val="both"/>
        <w:rPr>
          <w:rFonts w:ascii="Open Sans" w:hAnsi="Open Sans"/>
          <w:sz w:val="20"/>
          <w:szCs w:val="20"/>
        </w:rPr>
      </w:pPr>
    </w:p>
    <w:p w14:paraId="49500504" w14:textId="77777777" w:rsidR="0090659A" w:rsidRDefault="0090659A" w:rsidP="000200E0">
      <w:pPr>
        <w:jc w:val="both"/>
        <w:rPr>
          <w:rFonts w:ascii="Open Sans" w:hAnsi="Open Sans"/>
          <w:sz w:val="20"/>
          <w:szCs w:val="20"/>
        </w:rPr>
      </w:pPr>
    </w:p>
    <w:p w14:paraId="303EA9DC" w14:textId="77777777" w:rsidR="000200E0" w:rsidRDefault="000200E0" w:rsidP="000200E0">
      <w:pPr>
        <w:jc w:val="both"/>
        <w:rPr>
          <w:rFonts w:ascii="Open Sans" w:hAnsi="Open Sans"/>
          <w:b/>
          <w:sz w:val="20"/>
          <w:szCs w:val="20"/>
        </w:rPr>
      </w:pPr>
    </w:p>
    <w:p w14:paraId="00AA52B8" w14:textId="793D78D3" w:rsidR="009130AF" w:rsidRDefault="009130AF">
      <w:pPr>
        <w:rPr>
          <w:rFonts w:ascii="Open Sans" w:hAnsi="Open Sans" w:cs="Open Sans"/>
          <w:sz w:val="20"/>
          <w:szCs w:val="20"/>
        </w:rPr>
      </w:pPr>
      <w:r>
        <w:rPr>
          <w:rFonts w:ascii="Open Sans" w:hAnsi="Open Sans" w:cs="Open Sans"/>
          <w:sz w:val="20"/>
          <w:szCs w:val="20"/>
        </w:rPr>
        <w:br w:type="page"/>
      </w:r>
    </w:p>
    <w:p w14:paraId="46513415" w14:textId="77777777" w:rsidR="00E65917" w:rsidRDefault="00E65917" w:rsidP="00E65917">
      <w:pPr>
        <w:autoSpaceDE w:val="0"/>
        <w:autoSpaceDN w:val="0"/>
        <w:adjustRightInd w:val="0"/>
        <w:jc w:val="both"/>
        <w:rPr>
          <w:rFonts w:ascii="Open Sans" w:hAnsi="Open Sans" w:cs="Open Sans"/>
          <w:sz w:val="20"/>
          <w:szCs w:val="20"/>
        </w:rPr>
      </w:pPr>
    </w:p>
    <w:p w14:paraId="21340682" w14:textId="3FB89528" w:rsidR="00E65917" w:rsidRPr="00F520B8" w:rsidRDefault="00841317" w:rsidP="00E65917">
      <w:pPr>
        <w:pStyle w:val="Titulo3-informefinal"/>
      </w:pPr>
      <w:bookmarkStart w:id="46" w:name="_Toc354061519"/>
      <w:r>
        <w:t>4</w:t>
      </w:r>
      <w:r w:rsidR="00E65917">
        <w:t>.4</w:t>
      </w:r>
      <w:r w:rsidR="00E65917" w:rsidRPr="00F520B8">
        <w:t xml:space="preserve">. </w:t>
      </w:r>
      <w:r w:rsidR="00E65917">
        <w:t>Relaciones con administraciones tributarias</w:t>
      </w:r>
      <w:bookmarkEnd w:id="46"/>
    </w:p>
    <w:p w14:paraId="63EA5C67" w14:textId="77777777" w:rsidR="00E65917" w:rsidRDefault="00E65917" w:rsidP="00E65917">
      <w:pPr>
        <w:rPr>
          <w:rFonts w:ascii="Open Sans" w:hAnsi="Open Sans" w:cs="Arial"/>
          <w:b/>
          <w:sz w:val="20"/>
          <w:szCs w:val="20"/>
        </w:rPr>
      </w:pPr>
    </w:p>
    <w:tbl>
      <w:tblPr>
        <w:tblW w:w="8505" w:type="dxa"/>
        <w:tblInd w:w="70" w:type="dxa"/>
        <w:tblLayout w:type="fixed"/>
        <w:tblCellMar>
          <w:left w:w="70" w:type="dxa"/>
          <w:right w:w="70" w:type="dxa"/>
        </w:tblCellMar>
        <w:tblLook w:val="04A0" w:firstRow="1" w:lastRow="0" w:firstColumn="1" w:lastColumn="0" w:noHBand="0" w:noVBand="1"/>
      </w:tblPr>
      <w:tblGrid>
        <w:gridCol w:w="756"/>
        <w:gridCol w:w="3780"/>
        <w:gridCol w:w="1276"/>
        <w:gridCol w:w="992"/>
        <w:gridCol w:w="1701"/>
      </w:tblGrid>
      <w:tr w:rsidR="009130AF" w:rsidRPr="0002143E" w14:paraId="69BBDA24" w14:textId="77777777" w:rsidTr="009130AF">
        <w:trPr>
          <w:trHeight w:val="615"/>
        </w:trPr>
        <w:tc>
          <w:tcPr>
            <w:tcW w:w="756" w:type="dxa"/>
            <w:tcBorders>
              <w:top w:val="single" w:sz="8" w:space="0" w:color="auto"/>
              <w:left w:val="single" w:sz="8" w:space="0" w:color="auto"/>
              <w:bottom w:val="single" w:sz="8" w:space="0" w:color="auto"/>
              <w:right w:val="single" w:sz="8" w:space="0" w:color="auto"/>
            </w:tcBorders>
            <w:shd w:val="clear" w:color="000000" w:fill="F2AC3C"/>
            <w:noWrap/>
            <w:vAlign w:val="center"/>
            <w:hideMark/>
          </w:tcPr>
          <w:p w14:paraId="46177ABC"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COD.</w:t>
            </w:r>
          </w:p>
        </w:tc>
        <w:tc>
          <w:tcPr>
            <w:tcW w:w="3780" w:type="dxa"/>
            <w:tcBorders>
              <w:top w:val="single" w:sz="8" w:space="0" w:color="auto"/>
              <w:left w:val="nil"/>
              <w:bottom w:val="single" w:sz="8" w:space="0" w:color="auto"/>
              <w:right w:val="single" w:sz="8" w:space="0" w:color="auto"/>
            </w:tcBorders>
            <w:shd w:val="clear" w:color="000000" w:fill="F2AC3C"/>
            <w:noWrap/>
            <w:vAlign w:val="center"/>
            <w:hideMark/>
          </w:tcPr>
          <w:p w14:paraId="0DCC5511"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FISCALIDAD</w:t>
            </w:r>
          </w:p>
        </w:tc>
        <w:tc>
          <w:tcPr>
            <w:tcW w:w="1276" w:type="dxa"/>
            <w:tcBorders>
              <w:top w:val="single" w:sz="8" w:space="0" w:color="auto"/>
              <w:left w:val="nil"/>
              <w:bottom w:val="single" w:sz="8" w:space="0" w:color="auto"/>
              <w:right w:val="single" w:sz="8" w:space="0" w:color="auto"/>
            </w:tcBorders>
            <w:shd w:val="clear" w:color="000000" w:fill="F2AC3C"/>
            <w:vAlign w:val="center"/>
            <w:hideMark/>
          </w:tcPr>
          <w:p w14:paraId="72E82DB0"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NÚMERO EMPRESAS</w:t>
            </w:r>
          </w:p>
        </w:tc>
        <w:tc>
          <w:tcPr>
            <w:tcW w:w="992" w:type="dxa"/>
            <w:tcBorders>
              <w:top w:val="single" w:sz="8" w:space="0" w:color="auto"/>
              <w:left w:val="nil"/>
              <w:bottom w:val="single" w:sz="8" w:space="0" w:color="auto"/>
              <w:right w:val="single" w:sz="8" w:space="0" w:color="auto"/>
            </w:tcBorders>
            <w:shd w:val="clear" w:color="000000" w:fill="F2AC3C"/>
            <w:vAlign w:val="center"/>
            <w:hideMark/>
          </w:tcPr>
          <w:p w14:paraId="502DA1D6"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w:t>
            </w:r>
          </w:p>
        </w:tc>
        <w:tc>
          <w:tcPr>
            <w:tcW w:w="1701" w:type="dxa"/>
            <w:tcBorders>
              <w:top w:val="single" w:sz="8" w:space="0" w:color="auto"/>
              <w:left w:val="nil"/>
              <w:bottom w:val="single" w:sz="8" w:space="0" w:color="auto"/>
              <w:right w:val="single" w:sz="8" w:space="0" w:color="auto"/>
            </w:tcBorders>
            <w:shd w:val="clear" w:color="000000" w:fill="F2AC3C"/>
            <w:vAlign w:val="center"/>
          </w:tcPr>
          <w:p w14:paraId="01A673F9" w14:textId="77777777" w:rsidR="009130AF" w:rsidRPr="0002143E" w:rsidRDefault="009130AF" w:rsidP="009130AF">
            <w:pPr>
              <w:jc w:val="center"/>
              <w:rPr>
                <w:rFonts w:ascii="Open Sans" w:eastAsia="Times New Roman" w:hAnsi="Open Sans" w:cs="Open Sans"/>
                <w:b/>
                <w:bCs/>
                <w:color w:val="000000"/>
                <w:sz w:val="20"/>
                <w:szCs w:val="20"/>
              </w:rPr>
            </w:pPr>
            <w:r w:rsidRPr="0002143E">
              <w:rPr>
                <w:rFonts w:ascii="Open Sans" w:eastAsia="Times New Roman" w:hAnsi="Open Sans" w:cs="Open Sans"/>
                <w:b/>
                <w:bCs/>
                <w:color w:val="000000"/>
                <w:sz w:val="20"/>
                <w:szCs w:val="20"/>
              </w:rPr>
              <w:t>VALORACIÓN</w:t>
            </w:r>
          </w:p>
        </w:tc>
      </w:tr>
      <w:tr w:rsidR="008B1503" w:rsidRPr="0002143E" w14:paraId="09B2C7F7" w14:textId="77777777" w:rsidTr="008B1503">
        <w:trPr>
          <w:trHeight w:val="830"/>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0303B017" w14:textId="18B3F5F1" w:rsidR="008B1503" w:rsidRPr="009130AF" w:rsidRDefault="008B1503" w:rsidP="009130AF">
            <w:pPr>
              <w:jc w:val="center"/>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R.A.1</w:t>
            </w:r>
          </w:p>
        </w:tc>
        <w:tc>
          <w:tcPr>
            <w:tcW w:w="3780" w:type="dxa"/>
            <w:tcBorders>
              <w:top w:val="nil"/>
              <w:left w:val="nil"/>
              <w:bottom w:val="single" w:sz="8" w:space="0" w:color="auto"/>
              <w:right w:val="single" w:sz="8" w:space="0" w:color="auto"/>
            </w:tcBorders>
            <w:shd w:val="clear" w:color="000000" w:fill="FFFFFF"/>
            <w:vAlign w:val="center"/>
            <w:hideMark/>
          </w:tcPr>
          <w:p w14:paraId="3D7CD11F" w14:textId="74DA9E9C" w:rsidR="008B1503" w:rsidRPr="009130AF" w:rsidRDefault="008B1503"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mantiene una relación cooperativa con la administración tributaria</w:t>
            </w:r>
          </w:p>
        </w:tc>
        <w:tc>
          <w:tcPr>
            <w:tcW w:w="1276" w:type="dxa"/>
            <w:tcBorders>
              <w:top w:val="nil"/>
              <w:left w:val="nil"/>
              <w:bottom w:val="single" w:sz="8" w:space="0" w:color="auto"/>
              <w:right w:val="single" w:sz="8" w:space="0" w:color="auto"/>
            </w:tcBorders>
            <w:shd w:val="clear" w:color="000000" w:fill="FFFFFF"/>
            <w:vAlign w:val="center"/>
            <w:hideMark/>
          </w:tcPr>
          <w:p w14:paraId="786F662E" w14:textId="29FC1CF0" w:rsidR="008B1503" w:rsidRPr="008B1503" w:rsidRDefault="009349FE" w:rsidP="008B1503">
            <w:pPr>
              <w:jc w:val="center"/>
              <w:rPr>
                <w:rFonts w:ascii="Open Sans" w:hAnsi="Open Sans" w:cs="Open Sans"/>
                <w:b/>
                <w:bCs/>
                <w:color w:val="000000"/>
                <w:sz w:val="20"/>
                <w:szCs w:val="20"/>
              </w:rPr>
            </w:pPr>
            <w:r>
              <w:rPr>
                <w:rFonts w:ascii="Open Sans" w:hAnsi="Open Sans" w:cs="Open Sans"/>
                <w:b/>
                <w:bCs/>
                <w:color w:val="000000"/>
                <w:sz w:val="20"/>
                <w:szCs w:val="20"/>
              </w:rPr>
              <w:t>1</w:t>
            </w:r>
          </w:p>
        </w:tc>
        <w:tc>
          <w:tcPr>
            <w:tcW w:w="992" w:type="dxa"/>
            <w:tcBorders>
              <w:top w:val="nil"/>
              <w:left w:val="nil"/>
              <w:bottom w:val="single" w:sz="8" w:space="0" w:color="auto"/>
              <w:right w:val="single" w:sz="8" w:space="0" w:color="auto"/>
            </w:tcBorders>
            <w:shd w:val="clear" w:color="000000" w:fill="FFFFFF"/>
            <w:vAlign w:val="center"/>
            <w:hideMark/>
          </w:tcPr>
          <w:p w14:paraId="64AFDD55" w14:textId="31D33C3D" w:rsidR="008B1503" w:rsidRPr="008B1503" w:rsidRDefault="009349FE" w:rsidP="008B1503">
            <w:pPr>
              <w:jc w:val="center"/>
              <w:rPr>
                <w:rFonts w:ascii="Open Sans" w:hAnsi="Open Sans" w:cs="Open Sans"/>
                <w:b/>
                <w:bCs/>
                <w:color w:val="000000"/>
                <w:sz w:val="20"/>
                <w:szCs w:val="20"/>
              </w:rPr>
            </w:pPr>
            <w:r>
              <w:rPr>
                <w:rFonts w:ascii="Open Sans" w:hAnsi="Open Sans" w:cs="Open Sans"/>
                <w:b/>
                <w:bCs/>
                <w:color w:val="000000"/>
                <w:sz w:val="20"/>
                <w:szCs w:val="20"/>
              </w:rPr>
              <w:t>3</w:t>
            </w:r>
            <w:r w:rsidR="008B1503" w:rsidRPr="008B1503">
              <w:rPr>
                <w:rFonts w:ascii="Open Sans" w:hAnsi="Open Sans" w:cs="Open Sans"/>
                <w:b/>
                <w:bCs/>
                <w:color w:val="000000"/>
                <w:sz w:val="20"/>
                <w:szCs w:val="20"/>
              </w:rPr>
              <w:t>%</w:t>
            </w:r>
          </w:p>
        </w:tc>
        <w:tc>
          <w:tcPr>
            <w:tcW w:w="1701" w:type="dxa"/>
            <w:tcBorders>
              <w:top w:val="nil"/>
              <w:left w:val="nil"/>
              <w:bottom w:val="single" w:sz="8" w:space="0" w:color="auto"/>
              <w:right w:val="single" w:sz="8" w:space="0" w:color="auto"/>
            </w:tcBorders>
            <w:shd w:val="clear" w:color="000000" w:fill="FFFFFF"/>
            <w:vAlign w:val="center"/>
          </w:tcPr>
          <w:p w14:paraId="49CAF200" w14:textId="6101D886"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0,20</w:t>
            </w:r>
          </w:p>
        </w:tc>
      </w:tr>
      <w:tr w:rsidR="008B1503" w:rsidRPr="0002143E" w14:paraId="4FD58AC7" w14:textId="77777777" w:rsidTr="008B1503">
        <w:trPr>
          <w:trHeight w:val="842"/>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2AADF9AA" w14:textId="4B34F797" w:rsidR="008B1503" w:rsidRPr="009130AF" w:rsidRDefault="008B1503" w:rsidP="009130AF">
            <w:pPr>
              <w:jc w:val="center"/>
              <w:rPr>
                <w:rFonts w:ascii="Open Sans" w:eastAsia="Times New Roman" w:hAnsi="Open Sans" w:cs="Open Sans"/>
                <w:b/>
                <w:bCs/>
                <w:color w:val="000000"/>
                <w:sz w:val="20"/>
                <w:szCs w:val="20"/>
              </w:rPr>
            </w:pPr>
            <w:r w:rsidRPr="009130AF">
              <w:rPr>
                <w:rFonts w:ascii="Open Sans" w:eastAsia="Times New Roman" w:hAnsi="Open Sans" w:cs="Open Sans"/>
                <w:b/>
                <w:bCs/>
                <w:color w:val="000000"/>
                <w:sz w:val="20"/>
                <w:szCs w:val="20"/>
              </w:rPr>
              <w:t>R.A.</w:t>
            </w:r>
            <w:r>
              <w:rPr>
                <w:rFonts w:ascii="Open Sans" w:eastAsia="Times New Roman" w:hAnsi="Open Sans" w:cs="Open Sans"/>
                <w:b/>
                <w:bCs/>
                <w:color w:val="000000"/>
                <w:sz w:val="20"/>
                <w:szCs w:val="20"/>
              </w:rPr>
              <w:t>2</w:t>
            </w:r>
          </w:p>
        </w:tc>
        <w:tc>
          <w:tcPr>
            <w:tcW w:w="3780" w:type="dxa"/>
            <w:tcBorders>
              <w:top w:val="nil"/>
              <w:left w:val="nil"/>
              <w:bottom w:val="single" w:sz="8" w:space="0" w:color="auto"/>
              <w:right w:val="single" w:sz="8" w:space="0" w:color="auto"/>
            </w:tcBorders>
            <w:shd w:val="clear" w:color="000000" w:fill="FFFFFF"/>
            <w:vAlign w:val="center"/>
            <w:hideMark/>
          </w:tcPr>
          <w:p w14:paraId="6F4FCBAB" w14:textId="61FC7644" w:rsidR="008B1503" w:rsidRPr="009130AF" w:rsidRDefault="008B1503" w:rsidP="009130AF">
            <w:pPr>
              <w:jc w:val="center"/>
              <w:rPr>
                <w:rFonts w:ascii="Open Sans" w:eastAsia="Times New Roman" w:hAnsi="Open Sans" w:cs="Open Sans"/>
                <w:color w:val="000000"/>
                <w:sz w:val="20"/>
                <w:szCs w:val="20"/>
              </w:rPr>
            </w:pPr>
            <w:r w:rsidRPr="009130AF">
              <w:rPr>
                <w:rFonts w:ascii="Open Sans" w:hAnsi="Open Sans"/>
                <w:sz w:val="20"/>
                <w:szCs w:val="20"/>
              </w:rPr>
              <w:t xml:space="preserve"> </w:t>
            </w:r>
            <w:r w:rsidRPr="009130AF">
              <w:rPr>
                <w:rFonts w:ascii="Open Sans" w:eastAsia="Times New Roman" w:hAnsi="Open Sans" w:cs="Open Sans"/>
                <w:color w:val="000000"/>
                <w:sz w:val="20"/>
                <w:szCs w:val="20"/>
              </w:rPr>
              <w:t xml:space="preserve">La empresa se relaciona con </w:t>
            </w:r>
            <w:r>
              <w:rPr>
                <w:rFonts w:ascii="Open Sans" w:eastAsia="Times New Roman" w:hAnsi="Open Sans" w:cs="Open Sans"/>
                <w:color w:val="000000"/>
                <w:sz w:val="20"/>
                <w:szCs w:val="20"/>
              </w:rPr>
              <w:t xml:space="preserve">legisladores y políticos ¿Cómo?. </w:t>
            </w:r>
            <w:r w:rsidRPr="009130AF">
              <w:rPr>
                <w:rFonts w:ascii="Open Sans" w:eastAsia="Times New Roman" w:hAnsi="Open Sans" w:cs="Open Sans"/>
                <w:color w:val="000000"/>
                <w:sz w:val="20"/>
                <w:szCs w:val="20"/>
              </w:rPr>
              <w:t xml:space="preserve">En el caso de que realice </w:t>
            </w:r>
            <w:r>
              <w:rPr>
                <w:rFonts w:ascii="Open Sans" w:eastAsia="Times New Roman" w:hAnsi="Open Sans" w:cs="Open Sans"/>
                <w:color w:val="000000"/>
                <w:sz w:val="20"/>
                <w:szCs w:val="20"/>
              </w:rPr>
              <w:t>actividades de presión/lobby, ¿E</w:t>
            </w:r>
            <w:r w:rsidRPr="009130AF">
              <w:rPr>
                <w:rFonts w:ascii="Open Sans" w:eastAsia="Times New Roman" w:hAnsi="Open Sans" w:cs="Open Sans"/>
                <w:color w:val="000000"/>
                <w:sz w:val="20"/>
                <w:szCs w:val="20"/>
              </w:rPr>
              <w:t>n qué temas las hace?</w:t>
            </w:r>
          </w:p>
        </w:tc>
        <w:tc>
          <w:tcPr>
            <w:tcW w:w="1276" w:type="dxa"/>
            <w:tcBorders>
              <w:top w:val="nil"/>
              <w:left w:val="nil"/>
              <w:bottom w:val="single" w:sz="8" w:space="0" w:color="auto"/>
              <w:right w:val="single" w:sz="8" w:space="0" w:color="auto"/>
            </w:tcBorders>
            <w:shd w:val="clear" w:color="000000" w:fill="FFFFFF"/>
            <w:vAlign w:val="center"/>
            <w:hideMark/>
          </w:tcPr>
          <w:p w14:paraId="634541F3" w14:textId="0D3555DD"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1</w:t>
            </w:r>
          </w:p>
        </w:tc>
        <w:tc>
          <w:tcPr>
            <w:tcW w:w="992" w:type="dxa"/>
            <w:tcBorders>
              <w:top w:val="nil"/>
              <w:left w:val="nil"/>
              <w:bottom w:val="single" w:sz="8" w:space="0" w:color="auto"/>
              <w:right w:val="single" w:sz="8" w:space="0" w:color="auto"/>
            </w:tcBorders>
            <w:shd w:val="clear" w:color="000000" w:fill="FFFFFF"/>
            <w:vAlign w:val="center"/>
            <w:hideMark/>
          </w:tcPr>
          <w:p w14:paraId="72FFF798" w14:textId="73921C32"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3%</w:t>
            </w:r>
          </w:p>
        </w:tc>
        <w:tc>
          <w:tcPr>
            <w:tcW w:w="1701" w:type="dxa"/>
            <w:tcBorders>
              <w:top w:val="nil"/>
              <w:left w:val="nil"/>
              <w:bottom w:val="single" w:sz="8" w:space="0" w:color="auto"/>
              <w:right w:val="single" w:sz="8" w:space="0" w:color="auto"/>
            </w:tcBorders>
            <w:shd w:val="clear" w:color="000000" w:fill="FFFFFF"/>
            <w:vAlign w:val="center"/>
          </w:tcPr>
          <w:p w14:paraId="60CA66C5" w14:textId="7B73F79A"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0,23</w:t>
            </w:r>
          </w:p>
        </w:tc>
      </w:tr>
      <w:tr w:rsidR="008B1503" w:rsidRPr="0002143E" w14:paraId="0F3BC88A" w14:textId="77777777" w:rsidTr="008B1503">
        <w:trPr>
          <w:trHeight w:val="826"/>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4E39CDC2" w14:textId="0C6AEA29" w:rsidR="008B1503" w:rsidRPr="009130AF" w:rsidRDefault="008B1503" w:rsidP="009130AF">
            <w:pPr>
              <w:jc w:val="center"/>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R.A.3</w:t>
            </w:r>
          </w:p>
        </w:tc>
        <w:tc>
          <w:tcPr>
            <w:tcW w:w="3780" w:type="dxa"/>
            <w:tcBorders>
              <w:top w:val="nil"/>
              <w:left w:val="nil"/>
              <w:bottom w:val="single" w:sz="8" w:space="0" w:color="auto"/>
              <w:right w:val="single" w:sz="8" w:space="0" w:color="auto"/>
            </w:tcBorders>
            <w:shd w:val="clear" w:color="000000" w:fill="FFFFFF"/>
            <w:vAlign w:val="center"/>
            <w:hideMark/>
          </w:tcPr>
          <w:p w14:paraId="3C646E1E" w14:textId="580AA0D8" w:rsidR="008B1503" w:rsidRPr="009130AF" w:rsidRDefault="008B1503"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informa sobre las co</w:t>
            </w:r>
            <w:r>
              <w:rPr>
                <w:rFonts w:ascii="Open Sans" w:eastAsia="Times New Roman" w:hAnsi="Open Sans" w:cs="Open Sans"/>
                <w:color w:val="000000"/>
                <w:sz w:val="20"/>
                <w:szCs w:val="20"/>
              </w:rPr>
              <w:t xml:space="preserve">ntingencias fiscales existentes. </w:t>
            </w:r>
            <w:r w:rsidRPr="009130AF">
              <w:rPr>
                <w:rFonts w:ascii="Open Sans" w:eastAsia="Times New Roman" w:hAnsi="Open Sans" w:cs="Open Sans"/>
                <w:color w:val="000000"/>
                <w:sz w:val="20"/>
                <w:szCs w:val="20"/>
              </w:rPr>
              <w:t xml:space="preserve"> </w:t>
            </w:r>
            <w:r>
              <w:rPr>
                <w:rFonts w:ascii="Open Sans" w:eastAsia="Times New Roman" w:hAnsi="Open Sans" w:cs="Open Sans"/>
                <w:color w:val="000000"/>
                <w:sz w:val="20"/>
                <w:szCs w:val="20"/>
              </w:rPr>
              <w:t>(e</w:t>
            </w:r>
            <w:r w:rsidRPr="009130AF">
              <w:rPr>
                <w:rFonts w:ascii="Open Sans" w:eastAsia="Times New Roman" w:hAnsi="Open Sans" w:cs="Open Sans"/>
                <w:color w:val="000000"/>
                <w:sz w:val="20"/>
                <w:szCs w:val="20"/>
              </w:rPr>
              <w:t>ntendiendo por tales aquellas operaciones o transacciones en las que existe riesgo significativo de que no coincida el criterio aplicado o que piensa aplicar la empresa con el de la administración</w:t>
            </w:r>
            <w:r>
              <w:rPr>
                <w:rFonts w:ascii="Open Sans" w:eastAsia="Times New Roman" w:hAnsi="Open Sans" w:cs="Open Sans"/>
                <w:color w:val="000000"/>
                <w:sz w:val="20"/>
                <w:szCs w:val="20"/>
              </w:rPr>
              <w:t>)</w:t>
            </w:r>
          </w:p>
        </w:tc>
        <w:tc>
          <w:tcPr>
            <w:tcW w:w="1276" w:type="dxa"/>
            <w:tcBorders>
              <w:top w:val="nil"/>
              <w:left w:val="nil"/>
              <w:bottom w:val="single" w:sz="8" w:space="0" w:color="auto"/>
              <w:right w:val="single" w:sz="8" w:space="0" w:color="auto"/>
            </w:tcBorders>
            <w:shd w:val="clear" w:color="000000" w:fill="FFFFFF"/>
            <w:vAlign w:val="center"/>
            <w:hideMark/>
          </w:tcPr>
          <w:p w14:paraId="73E1413F" w14:textId="240133D6"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25</w:t>
            </w:r>
          </w:p>
        </w:tc>
        <w:tc>
          <w:tcPr>
            <w:tcW w:w="992" w:type="dxa"/>
            <w:tcBorders>
              <w:top w:val="nil"/>
              <w:left w:val="nil"/>
              <w:bottom w:val="single" w:sz="8" w:space="0" w:color="auto"/>
              <w:right w:val="single" w:sz="8" w:space="0" w:color="auto"/>
            </w:tcBorders>
            <w:shd w:val="clear" w:color="000000" w:fill="FFFFFF"/>
            <w:vAlign w:val="center"/>
            <w:hideMark/>
          </w:tcPr>
          <w:p w14:paraId="2391119D" w14:textId="5653D950"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71%</w:t>
            </w:r>
          </w:p>
        </w:tc>
        <w:tc>
          <w:tcPr>
            <w:tcW w:w="1701" w:type="dxa"/>
            <w:tcBorders>
              <w:top w:val="nil"/>
              <w:left w:val="nil"/>
              <w:bottom w:val="single" w:sz="8" w:space="0" w:color="auto"/>
              <w:right w:val="single" w:sz="8" w:space="0" w:color="auto"/>
            </w:tcBorders>
            <w:shd w:val="clear" w:color="000000" w:fill="FFFFFF"/>
            <w:vAlign w:val="center"/>
          </w:tcPr>
          <w:p w14:paraId="0F5D741A" w14:textId="3BB84F6C"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0,83</w:t>
            </w:r>
          </w:p>
        </w:tc>
      </w:tr>
      <w:tr w:rsidR="008B1503" w:rsidRPr="0002143E" w14:paraId="15496994" w14:textId="77777777" w:rsidTr="008B1503">
        <w:trPr>
          <w:trHeight w:val="732"/>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DA133D9" w14:textId="0E00319A" w:rsidR="008B1503" w:rsidRPr="009130AF" w:rsidRDefault="008B1503" w:rsidP="009130AF">
            <w:pPr>
              <w:jc w:val="center"/>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R.A.4</w:t>
            </w:r>
          </w:p>
        </w:tc>
        <w:tc>
          <w:tcPr>
            <w:tcW w:w="3780" w:type="dxa"/>
            <w:tcBorders>
              <w:top w:val="single" w:sz="4" w:space="0" w:color="auto"/>
              <w:left w:val="single" w:sz="4" w:space="0" w:color="auto"/>
              <w:bottom w:val="single" w:sz="4" w:space="0" w:color="auto"/>
              <w:right w:val="single" w:sz="4" w:space="0" w:color="auto"/>
            </w:tcBorders>
            <w:shd w:val="clear" w:color="000000" w:fill="FFFFFF"/>
            <w:vAlign w:val="center"/>
          </w:tcPr>
          <w:p w14:paraId="6C4EE31F" w14:textId="422F6931" w:rsidR="008B1503" w:rsidRPr="009130AF" w:rsidRDefault="008B1503"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aporta información sobre los litigios abiertos co</w:t>
            </w:r>
            <w:r>
              <w:rPr>
                <w:rFonts w:ascii="Open Sans" w:eastAsia="Times New Roman" w:hAnsi="Open Sans" w:cs="Open Sans"/>
                <w:color w:val="000000"/>
                <w:sz w:val="20"/>
                <w:szCs w:val="20"/>
              </w:rPr>
              <w:t xml:space="preserve">n administraciones tributarias </w:t>
            </w:r>
            <w:r w:rsidRPr="009130AF">
              <w:rPr>
                <w:rFonts w:ascii="Open Sans" w:eastAsia="Times New Roman" w:hAnsi="Open Sans" w:cs="Open Sans"/>
                <w:color w:val="000000"/>
                <w:sz w:val="20"/>
                <w:szCs w:val="20"/>
              </w:rPr>
              <w:t>(Entiéndase litigio en sentido amplio: judiciales, administrativos,…)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296C0D8E" w14:textId="2B8D8FFB"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28</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3150CCA4" w14:textId="5CF3BA50" w:rsidR="008B1503" w:rsidRPr="008B1503" w:rsidRDefault="008B1503" w:rsidP="008B1503">
            <w:pPr>
              <w:jc w:val="center"/>
              <w:rPr>
                <w:rFonts w:ascii="Open Sans" w:hAnsi="Open Sans" w:cs="Open Sans"/>
                <w:b/>
                <w:color w:val="000000"/>
                <w:sz w:val="20"/>
                <w:szCs w:val="20"/>
              </w:rPr>
            </w:pPr>
            <w:r w:rsidRPr="008B1503">
              <w:rPr>
                <w:rFonts w:ascii="Open Sans" w:hAnsi="Open Sans" w:cs="Open Sans"/>
                <w:b/>
                <w:bCs/>
                <w:color w:val="000000"/>
                <w:sz w:val="20"/>
                <w:szCs w:val="20"/>
              </w:rPr>
              <w:t>80%</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03C77112" w14:textId="54633AB1"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1,09</w:t>
            </w:r>
          </w:p>
        </w:tc>
      </w:tr>
      <w:tr w:rsidR="008B1503" w:rsidRPr="0002143E" w14:paraId="66042650" w14:textId="77777777" w:rsidTr="008B1503">
        <w:trPr>
          <w:trHeight w:val="732"/>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3C64026C" w14:textId="2626348A" w:rsidR="008B1503" w:rsidRPr="009130AF" w:rsidRDefault="008B1503" w:rsidP="009130AF">
            <w:pPr>
              <w:jc w:val="center"/>
              <w:rPr>
                <w:rFonts w:ascii="Open Sans" w:eastAsia="Times New Roman" w:hAnsi="Open Sans" w:cs="Open Sans"/>
                <w:b/>
                <w:bCs/>
                <w:color w:val="000000"/>
                <w:sz w:val="20"/>
                <w:szCs w:val="20"/>
              </w:rPr>
            </w:pPr>
            <w:r>
              <w:rPr>
                <w:rFonts w:ascii="Open Sans" w:eastAsia="Times New Roman" w:hAnsi="Open Sans" w:cs="Open Sans"/>
                <w:b/>
                <w:bCs/>
                <w:color w:val="000000"/>
                <w:sz w:val="20"/>
                <w:szCs w:val="20"/>
              </w:rPr>
              <w:t>R.A.5</w:t>
            </w:r>
          </w:p>
        </w:tc>
        <w:tc>
          <w:tcPr>
            <w:tcW w:w="3780" w:type="dxa"/>
            <w:tcBorders>
              <w:top w:val="single" w:sz="4" w:space="0" w:color="auto"/>
              <w:left w:val="single" w:sz="4" w:space="0" w:color="auto"/>
              <w:bottom w:val="single" w:sz="4" w:space="0" w:color="auto"/>
              <w:right w:val="single" w:sz="4" w:space="0" w:color="auto"/>
            </w:tcBorders>
            <w:shd w:val="clear" w:color="000000" w:fill="FFFFFF"/>
            <w:vAlign w:val="center"/>
          </w:tcPr>
          <w:p w14:paraId="7F342120" w14:textId="6180FDBC" w:rsidR="008B1503" w:rsidRPr="009130AF" w:rsidRDefault="008B1503" w:rsidP="009130AF">
            <w:pPr>
              <w:jc w:val="center"/>
              <w:rPr>
                <w:rFonts w:ascii="Open Sans" w:eastAsia="Times New Roman" w:hAnsi="Open Sans" w:cs="Open Sans"/>
                <w:color w:val="000000"/>
                <w:sz w:val="20"/>
                <w:szCs w:val="20"/>
              </w:rPr>
            </w:pPr>
            <w:r w:rsidRPr="009130AF">
              <w:rPr>
                <w:rFonts w:ascii="Open Sans" w:eastAsia="Times New Roman" w:hAnsi="Open Sans" w:cs="Open Sans"/>
                <w:color w:val="000000"/>
                <w:sz w:val="20"/>
                <w:szCs w:val="20"/>
              </w:rPr>
              <w:t>La empresa aporta información sobre los litigios con administraciones tributarias resueltos en el ú</w:t>
            </w:r>
            <w:r>
              <w:rPr>
                <w:rFonts w:ascii="Open Sans" w:eastAsia="Times New Roman" w:hAnsi="Open Sans" w:cs="Open Sans"/>
                <w:color w:val="000000"/>
                <w:sz w:val="20"/>
                <w:szCs w:val="20"/>
              </w:rPr>
              <w:t xml:space="preserve">ltimo ejercicio económico. </w:t>
            </w:r>
            <w:r w:rsidRPr="009130AF">
              <w:rPr>
                <w:rFonts w:ascii="Open Sans" w:eastAsia="Times New Roman" w:hAnsi="Open Sans" w:cs="Open Sans"/>
                <w:color w:val="000000"/>
                <w:sz w:val="20"/>
                <w:szCs w:val="20"/>
              </w:rPr>
              <w:t>(Entiéndase litigio en sentido amplio: judiciales, administrativos,…)</w:t>
            </w:r>
          </w:p>
        </w:tc>
        <w:tc>
          <w:tcPr>
            <w:tcW w:w="1276" w:type="dxa"/>
            <w:tcBorders>
              <w:top w:val="single" w:sz="4" w:space="0" w:color="auto"/>
              <w:left w:val="single" w:sz="4" w:space="0" w:color="auto"/>
              <w:bottom w:val="single" w:sz="4" w:space="0" w:color="auto"/>
              <w:right w:val="single" w:sz="4" w:space="0" w:color="auto"/>
            </w:tcBorders>
            <w:shd w:val="clear" w:color="000000" w:fill="FFFFFF"/>
            <w:vAlign w:val="center"/>
          </w:tcPr>
          <w:p w14:paraId="0DE7D079" w14:textId="1D9C3B3F"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15</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14:paraId="11357193" w14:textId="5C85711B" w:rsidR="008B1503" w:rsidRPr="008B1503" w:rsidRDefault="008B1503" w:rsidP="008B1503">
            <w:pPr>
              <w:jc w:val="center"/>
              <w:rPr>
                <w:rFonts w:ascii="Open Sans" w:hAnsi="Open Sans" w:cs="Open Sans"/>
                <w:b/>
                <w:color w:val="000000"/>
                <w:sz w:val="20"/>
                <w:szCs w:val="20"/>
              </w:rPr>
            </w:pPr>
            <w:r w:rsidRPr="008B1503">
              <w:rPr>
                <w:rFonts w:ascii="Open Sans" w:hAnsi="Open Sans" w:cs="Open Sans"/>
                <w:b/>
                <w:bCs/>
                <w:color w:val="000000"/>
                <w:sz w:val="20"/>
                <w:szCs w:val="20"/>
              </w:rPr>
              <w:t>43%</w:t>
            </w:r>
          </w:p>
        </w:tc>
        <w:tc>
          <w:tcPr>
            <w:tcW w:w="1701" w:type="dxa"/>
            <w:tcBorders>
              <w:top w:val="single" w:sz="4" w:space="0" w:color="auto"/>
              <w:left w:val="single" w:sz="4" w:space="0" w:color="auto"/>
              <w:bottom w:val="single" w:sz="4" w:space="0" w:color="auto"/>
              <w:right w:val="single" w:sz="4" w:space="0" w:color="auto"/>
            </w:tcBorders>
            <w:shd w:val="clear" w:color="000000" w:fill="FFFFFF"/>
            <w:vAlign w:val="center"/>
          </w:tcPr>
          <w:p w14:paraId="4A52D00C" w14:textId="6A8ADB33" w:rsidR="008B1503" w:rsidRPr="008B1503" w:rsidRDefault="008B1503" w:rsidP="008B1503">
            <w:pPr>
              <w:jc w:val="center"/>
              <w:rPr>
                <w:rFonts w:ascii="Open Sans" w:hAnsi="Open Sans" w:cs="Open Sans"/>
                <w:b/>
                <w:bCs/>
                <w:color w:val="000000"/>
                <w:sz w:val="20"/>
                <w:szCs w:val="20"/>
              </w:rPr>
            </w:pPr>
            <w:r w:rsidRPr="008B1503">
              <w:rPr>
                <w:rFonts w:ascii="Open Sans" w:hAnsi="Open Sans" w:cs="Open Sans"/>
                <w:b/>
                <w:bCs/>
                <w:color w:val="000000"/>
                <w:sz w:val="20"/>
                <w:szCs w:val="20"/>
              </w:rPr>
              <w:t>0,57</w:t>
            </w:r>
          </w:p>
        </w:tc>
      </w:tr>
    </w:tbl>
    <w:p w14:paraId="1EA47466" w14:textId="77777777" w:rsidR="00E65917" w:rsidRDefault="00E65917" w:rsidP="00E65917">
      <w:pPr>
        <w:jc w:val="both"/>
        <w:rPr>
          <w:rFonts w:ascii="Open Sans" w:hAnsi="Open Sans"/>
          <w:sz w:val="20"/>
          <w:szCs w:val="20"/>
        </w:rPr>
      </w:pPr>
    </w:p>
    <w:p w14:paraId="66C1D1C6" w14:textId="77777777" w:rsidR="004918A8" w:rsidRDefault="004918A8" w:rsidP="00E65917">
      <w:pPr>
        <w:jc w:val="both"/>
        <w:rPr>
          <w:rFonts w:ascii="Open Sans" w:hAnsi="Open Sans"/>
          <w:sz w:val="20"/>
          <w:szCs w:val="20"/>
        </w:rPr>
      </w:pPr>
    </w:p>
    <w:p w14:paraId="1BA0FB04" w14:textId="5EDE400C" w:rsidR="006022CB" w:rsidRDefault="006022CB" w:rsidP="006022CB">
      <w:pPr>
        <w:jc w:val="both"/>
        <w:rPr>
          <w:rFonts w:ascii="Open Sans" w:eastAsia="Times New Roman" w:hAnsi="Open Sans" w:cs="Open Sans"/>
          <w:color w:val="000000"/>
          <w:sz w:val="20"/>
          <w:szCs w:val="20"/>
        </w:rPr>
      </w:pPr>
      <w:r>
        <w:rPr>
          <w:rFonts w:ascii="Open Sans" w:eastAsia="Times New Roman" w:hAnsi="Open Sans" w:cs="Open Sans"/>
          <w:color w:val="000000"/>
          <w:sz w:val="20"/>
          <w:szCs w:val="20"/>
        </w:rPr>
        <w:t xml:space="preserve">En esta subdimensión se </w:t>
      </w:r>
      <w:r w:rsidR="0045726F">
        <w:rPr>
          <w:rFonts w:ascii="Open Sans" w:eastAsia="Times New Roman" w:hAnsi="Open Sans" w:cs="Open Sans"/>
          <w:color w:val="000000"/>
          <w:sz w:val="20"/>
          <w:szCs w:val="20"/>
        </w:rPr>
        <w:t xml:space="preserve">analizada </w:t>
      </w:r>
      <w:r>
        <w:rPr>
          <w:rFonts w:ascii="Open Sans" w:eastAsia="Times New Roman" w:hAnsi="Open Sans" w:cs="Open Sans"/>
          <w:color w:val="000000"/>
          <w:sz w:val="20"/>
          <w:szCs w:val="20"/>
        </w:rPr>
        <w:t xml:space="preserve"> la calidad de la información que las empresas analizadas suministran en relación al marco de relaciones con las administraciones tributarias donde operan y acerca de las discrepancias  que mantienen con las mismas que deriven en contingencias o litigios</w:t>
      </w:r>
      <w:r w:rsidR="008B1503">
        <w:rPr>
          <w:rFonts w:ascii="Open Sans" w:eastAsia="Times New Roman" w:hAnsi="Open Sans" w:cs="Open Sans"/>
          <w:color w:val="000000"/>
          <w:sz w:val="20"/>
          <w:szCs w:val="20"/>
        </w:rPr>
        <w:t xml:space="preserve"> de tipo administrativo o judicial</w:t>
      </w:r>
      <w:r>
        <w:rPr>
          <w:rFonts w:ascii="Open Sans" w:eastAsia="Times New Roman" w:hAnsi="Open Sans" w:cs="Open Sans"/>
          <w:color w:val="000000"/>
          <w:sz w:val="20"/>
          <w:szCs w:val="20"/>
        </w:rPr>
        <w:t>.</w:t>
      </w:r>
    </w:p>
    <w:p w14:paraId="2F8A9B72" w14:textId="77777777" w:rsidR="00E65917" w:rsidRDefault="00E65917" w:rsidP="00E65917">
      <w:pPr>
        <w:jc w:val="both"/>
        <w:rPr>
          <w:rFonts w:ascii="Open Sans" w:hAnsi="Open Sans"/>
          <w:sz w:val="20"/>
          <w:szCs w:val="20"/>
        </w:rPr>
      </w:pPr>
    </w:p>
    <w:p w14:paraId="3F575A1F" w14:textId="77777777" w:rsidR="006022CB" w:rsidRPr="00C17CF0" w:rsidRDefault="006022CB" w:rsidP="00C17CF0">
      <w:pPr>
        <w:jc w:val="both"/>
        <w:rPr>
          <w:rFonts w:ascii="Open Sans" w:hAnsi="Open Sans"/>
          <w:b/>
          <w:sz w:val="22"/>
          <w:szCs w:val="22"/>
        </w:rPr>
      </w:pPr>
    </w:p>
    <w:p w14:paraId="2736A2A5" w14:textId="1285CC4D" w:rsidR="00C17CF0" w:rsidRDefault="008B1503" w:rsidP="00C17CF0">
      <w:pPr>
        <w:jc w:val="both"/>
        <w:rPr>
          <w:rFonts w:ascii="Open Sans" w:hAnsi="Open Sans"/>
          <w:b/>
          <w:sz w:val="22"/>
          <w:szCs w:val="22"/>
        </w:rPr>
      </w:pPr>
      <w:bookmarkStart w:id="47" w:name="RA2"/>
      <w:r>
        <w:rPr>
          <w:rFonts w:ascii="Open Sans" w:hAnsi="Open Sans"/>
          <w:b/>
          <w:sz w:val="22"/>
          <w:szCs w:val="22"/>
        </w:rPr>
        <w:t>R.A.1</w:t>
      </w:r>
      <w:r w:rsidR="00C17CF0" w:rsidRPr="00C17CF0">
        <w:rPr>
          <w:rFonts w:ascii="Open Sans" w:hAnsi="Open Sans"/>
          <w:b/>
          <w:sz w:val="22"/>
          <w:szCs w:val="22"/>
        </w:rPr>
        <w:t>. La empresa mantiene una relación cooperativa con la administración tributaria</w:t>
      </w:r>
      <w:bookmarkEnd w:id="47"/>
    </w:p>
    <w:p w14:paraId="5F1BFFFB" w14:textId="77777777" w:rsidR="00C17CF0" w:rsidRDefault="00C17CF0" w:rsidP="00C17CF0">
      <w:pPr>
        <w:jc w:val="both"/>
        <w:rPr>
          <w:rFonts w:ascii="Open Sans" w:hAnsi="Open Sans"/>
          <w:b/>
          <w:sz w:val="22"/>
          <w:szCs w:val="22"/>
        </w:rPr>
      </w:pPr>
    </w:p>
    <w:p w14:paraId="04D21EA5" w14:textId="3083900C" w:rsidR="00111808" w:rsidRPr="00004403" w:rsidRDefault="008B1503" w:rsidP="00111808">
      <w:pPr>
        <w:autoSpaceDE w:val="0"/>
        <w:autoSpaceDN w:val="0"/>
        <w:adjustRightInd w:val="0"/>
        <w:jc w:val="both"/>
        <w:rPr>
          <w:rFonts w:ascii="Open Sans" w:hAnsi="Open Sans" w:cs="Open Sans"/>
          <w:bCs/>
          <w:sz w:val="20"/>
          <w:szCs w:val="20"/>
        </w:rPr>
      </w:pPr>
      <w:r>
        <w:rPr>
          <w:rFonts w:ascii="Open Sans" w:hAnsi="Open Sans" w:cs="Arial"/>
          <w:bCs/>
          <w:sz w:val="20"/>
        </w:rPr>
        <w:t>En relación al indicador R.A.1</w:t>
      </w:r>
      <w:r w:rsidR="006022CB">
        <w:rPr>
          <w:rFonts w:ascii="Open Sans" w:hAnsi="Open Sans" w:cs="Arial"/>
          <w:bCs/>
          <w:sz w:val="20"/>
        </w:rPr>
        <w:t xml:space="preserve">, </w:t>
      </w:r>
      <w:r w:rsidR="009349FE" w:rsidRPr="00D1478F">
        <w:rPr>
          <w:rFonts w:ascii="Open Sans" w:hAnsi="Open Sans" w:cs="Open Sans"/>
          <w:sz w:val="20"/>
        </w:rPr>
        <w:t>s</w:t>
      </w:r>
      <w:r w:rsidR="006022CB" w:rsidRPr="00724C1E">
        <w:rPr>
          <w:rFonts w:ascii="Open Sans" w:hAnsi="Open Sans" w:cs="Open Sans"/>
          <w:sz w:val="20"/>
        </w:rPr>
        <w:t xml:space="preserve">alvo </w:t>
      </w:r>
      <w:r w:rsidR="006022CB">
        <w:rPr>
          <w:rFonts w:ascii="Open Sans" w:hAnsi="Open Sans" w:cs="Open Sans"/>
          <w:sz w:val="20"/>
        </w:rPr>
        <w:t xml:space="preserve">la </w:t>
      </w:r>
      <w:r w:rsidR="006022CB" w:rsidRPr="00724C1E">
        <w:rPr>
          <w:rFonts w:ascii="Open Sans" w:hAnsi="Open Sans" w:cs="Open Sans"/>
          <w:sz w:val="20"/>
        </w:rPr>
        <w:t>adhesión al Código de Buenas Prácticas Tributarias y los compromisos adoptados en la</w:t>
      </w:r>
      <w:r w:rsidR="006022CB">
        <w:rPr>
          <w:rFonts w:ascii="Open Sans" w:hAnsi="Open Sans" w:cs="Open Sans"/>
          <w:sz w:val="20"/>
        </w:rPr>
        <w:t>s</w:t>
      </w:r>
      <w:r w:rsidR="006022CB" w:rsidRPr="00724C1E">
        <w:rPr>
          <w:rFonts w:ascii="Open Sans" w:hAnsi="Open Sans" w:cs="Open Sans"/>
          <w:sz w:val="20"/>
        </w:rPr>
        <w:t xml:space="preserve"> estrategia</w:t>
      </w:r>
      <w:r w:rsidR="006022CB">
        <w:rPr>
          <w:rFonts w:ascii="Open Sans" w:hAnsi="Open Sans" w:cs="Open Sans"/>
          <w:sz w:val="20"/>
        </w:rPr>
        <w:t>s</w:t>
      </w:r>
      <w:r w:rsidR="006022CB" w:rsidRPr="00724C1E">
        <w:rPr>
          <w:rFonts w:ascii="Open Sans" w:hAnsi="Open Sans" w:cs="Open Sans"/>
          <w:sz w:val="20"/>
        </w:rPr>
        <w:t xml:space="preserve"> fiscal</w:t>
      </w:r>
      <w:r w:rsidR="006022CB">
        <w:rPr>
          <w:rFonts w:ascii="Open Sans" w:hAnsi="Open Sans" w:cs="Open Sans"/>
          <w:sz w:val="20"/>
        </w:rPr>
        <w:t>es</w:t>
      </w:r>
      <w:r w:rsidR="006022CB" w:rsidRPr="00724C1E">
        <w:rPr>
          <w:rFonts w:ascii="Open Sans" w:hAnsi="Open Sans" w:cs="Open Sans"/>
          <w:sz w:val="20"/>
        </w:rPr>
        <w:t xml:space="preserve"> no se ha encontrado información </w:t>
      </w:r>
      <w:r w:rsidR="006022CB">
        <w:rPr>
          <w:rFonts w:ascii="Open Sans" w:hAnsi="Open Sans" w:cs="Open Sans"/>
          <w:sz w:val="20"/>
        </w:rPr>
        <w:t xml:space="preserve">en las empresas analizadas </w:t>
      </w:r>
      <w:r w:rsidR="006022CB" w:rsidRPr="00724C1E">
        <w:rPr>
          <w:rFonts w:ascii="Open Sans" w:hAnsi="Open Sans" w:cs="Open Sans"/>
          <w:sz w:val="20"/>
        </w:rPr>
        <w:t>sobre las relaciones de carácter cooperativo</w:t>
      </w:r>
      <w:r w:rsidR="006022CB">
        <w:rPr>
          <w:rFonts w:ascii="Open Sans" w:hAnsi="Open Sans" w:cs="Open Sans"/>
          <w:sz w:val="20"/>
        </w:rPr>
        <w:t xml:space="preserve">. No se </w:t>
      </w:r>
      <w:r w:rsidR="006022CB" w:rsidRPr="00615880">
        <w:rPr>
          <w:rFonts w:ascii="Open Sans" w:hAnsi="Open Sans" w:cs="Open Sans"/>
          <w:sz w:val="20"/>
        </w:rPr>
        <w:t>indica en qué iniciativas de relación cooperativa con administraciones tributarias en las que participa en cada uno de los países en los que opera</w:t>
      </w:r>
      <w:r w:rsidR="006022CB">
        <w:rPr>
          <w:rFonts w:ascii="Open Sans" w:hAnsi="Open Sans" w:cs="Open Sans"/>
          <w:sz w:val="20"/>
        </w:rPr>
        <w:t>n, ni en qué consisten tales iniciativas, ni número de reuniones, ni asuntos tratados</w:t>
      </w:r>
      <w:r w:rsidR="006022CB" w:rsidRPr="00615880">
        <w:rPr>
          <w:rFonts w:ascii="Open Sans" w:hAnsi="Open Sans" w:cs="Open Sans"/>
          <w:sz w:val="20"/>
        </w:rPr>
        <w:t>.</w:t>
      </w:r>
      <w:r w:rsidR="006022CB">
        <w:rPr>
          <w:rFonts w:ascii="Open Sans" w:hAnsi="Open Sans" w:cs="Open Sans"/>
          <w:sz w:val="20"/>
        </w:rPr>
        <w:t xml:space="preserve"> </w:t>
      </w:r>
      <w:r w:rsidR="009349FE" w:rsidRPr="00D1478F">
        <w:rPr>
          <w:rFonts w:ascii="Open Sans" w:hAnsi="Open Sans" w:cs="Open Sans"/>
          <w:b/>
          <w:sz w:val="20"/>
        </w:rPr>
        <w:t>Se ha considerado que  el nivel mínimo de cumplimiento solamente es alcanzado por una de las 35 empresas analizadas</w:t>
      </w:r>
      <w:r w:rsidR="009349FE">
        <w:rPr>
          <w:rFonts w:ascii="Open Sans" w:hAnsi="Open Sans" w:cs="Open Sans"/>
          <w:sz w:val="20"/>
        </w:rPr>
        <w:t xml:space="preserve">, </w:t>
      </w:r>
      <w:r w:rsidR="00D1478F">
        <w:rPr>
          <w:rFonts w:ascii="Open Sans" w:hAnsi="Open Sans" w:cs="Open Sans"/>
          <w:sz w:val="20"/>
        </w:rPr>
        <w:t>REPSOL</w:t>
      </w:r>
      <w:r w:rsidR="00111808">
        <w:rPr>
          <w:rFonts w:ascii="Open Sans" w:hAnsi="Open Sans" w:cs="Open Sans"/>
          <w:sz w:val="20"/>
        </w:rPr>
        <w:t xml:space="preserve"> cuya</w:t>
      </w:r>
      <w:r w:rsidR="00111808" w:rsidRPr="00004403">
        <w:rPr>
          <w:rFonts w:ascii="Open Sans" w:hAnsi="Open Sans" w:cs="Open Sans"/>
          <w:bCs/>
          <w:sz w:val="20"/>
          <w:szCs w:val="20"/>
        </w:rPr>
        <w:t xml:space="preserve"> política fiscal refleja su posicionamiento a favor de la relación de cumplimiento cooperativo con las administraciones tributarias al comprometerse en el tercer principio de dicha política a «</w:t>
      </w:r>
      <w:r w:rsidR="00111808" w:rsidRPr="00004403">
        <w:rPr>
          <w:rFonts w:ascii="Open Sans" w:hAnsi="Open Sans" w:cs="Open Sans"/>
          <w:bCs/>
          <w:i/>
          <w:sz w:val="20"/>
          <w:szCs w:val="20"/>
        </w:rPr>
        <w:t>potenciar una relación con las administraciones tributarias inspirada en los principios de confianza, buena fe, profesionalidad, colaboración, lealtad y búsqueda del entendimiento mutuo sobre una base de reciprocidad, todo ello con la finalidad de facilitar la aplicación del sistema tributario, incrementar la seguridad jurídica y reducir la litigiosidad</w:t>
      </w:r>
      <w:r w:rsidR="00111808" w:rsidRPr="00004403">
        <w:rPr>
          <w:rFonts w:ascii="Open Sans" w:hAnsi="Open Sans" w:cs="Open Sans"/>
          <w:bCs/>
          <w:sz w:val="20"/>
          <w:szCs w:val="20"/>
        </w:rPr>
        <w:t>». Compromiso que también se plasma en las cuenta anuales cuando afirma que «</w:t>
      </w:r>
      <w:r w:rsidR="00111808" w:rsidRPr="00004403">
        <w:rPr>
          <w:rFonts w:ascii="Open Sans" w:hAnsi="Open Sans" w:cs="Open Sans"/>
          <w:bCs/>
          <w:i/>
          <w:sz w:val="20"/>
          <w:szCs w:val="20"/>
        </w:rPr>
        <w:t>cuando se plantean diferentes interpretaciones de la normativa fiscal aplicable a determinadas operaciones entre Repsol y las autoridades fiscales, el Grupo actúa con las autoridades de forma transparente y cooperativa para resolver las controversias mediante las fórmulas jurídicas disponibles con el objeto de llegar a una solución no litigiosa</w:t>
      </w:r>
      <w:r w:rsidR="00111808" w:rsidRPr="00004403">
        <w:rPr>
          <w:rFonts w:ascii="Open Sans" w:hAnsi="Open Sans" w:cs="Open Sans"/>
          <w:bCs/>
          <w:sz w:val="20"/>
          <w:szCs w:val="20"/>
        </w:rPr>
        <w:t>».</w:t>
      </w:r>
      <w:r w:rsidR="00111808">
        <w:rPr>
          <w:rFonts w:ascii="Open Sans" w:hAnsi="Open Sans" w:cs="Open Sans"/>
          <w:bCs/>
          <w:sz w:val="20"/>
          <w:szCs w:val="20"/>
        </w:rPr>
        <w:t xml:space="preserve"> Repsol info</w:t>
      </w:r>
      <w:r w:rsidR="005822C5">
        <w:rPr>
          <w:rFonts w:ascii="Open Sans" w:hAnsi="Open Sans" w:cs="Open Sans"/>
          <w:bCs/>
          <w:sz w:val="20"/>
          <w:szCs w:val="20"/>
        </w:rPr>
        <w:t>rma que forma parte de I</w:t>
      </w:r>
      <w:r w:rsidR="00111808">
        <w:rPr>
          <w:rFonts w:ascii="Open Sans" w:hAnsi="Open Sans" w:cs="Open Sans"/>
          <w:bCs/>
          <w:sz w:val="20"/>
          <w:szCs w:val="20"/>
        </w:rPr>
        <w:t xml:space="preserve"> Foro Tributario de </w:t>
      </w:r>
      <w:r w:rsidR="007F55EB">
        <w:rPr>
          <w:rFonts w:ascii="Open Sans" w:hAnsi="Open Sans" w:cs="Open Sans"/>
          <w:bCs/>
          <w:sz w:val="20"/>
          <w:szCs w:val="20"/>
        </w:rPr>
        <w:t>Grandes</w:t>
      </w:r>
      <w:r w:rsidR="00111808">
        <w:rPr>
          <w:rFonts w:ascii="Open Sans" w:hAnsi="Open Sans" w:cs="Open Sans"/>
          <w:bCs/>
          <w:sz w:val="20"/>
          <w:szCs w:val="20"/>
        </w:rPr>
        <w:t xml:space="preserve"> Empresas, de la </w:t>
      </w:r>
      <w:r w:rsidR="00111808" w:rsidRPr="00BB6394">
        <w:rPr>
          <w:rFonts w:ascii="Open Sans" w:eastAsia="Calibri" w:hAnsi="Open Sans" w:cs="Open Sans"/>
          <w:bCs/>
          <w:sz w:val="20"/>
          <w:szCs w:val="20"/>
        </w:rPr>
        <w:t>Red de Estandarización Noruega (NORSOK)</w:t>
      </w:r>
      <w:r w:rsidR="00111808">
        <w:rPr>
          <w:rFonts w:ascii="Open Sans" w:eastAsia="Calibri" w:hAnsi="Open Sans" w:cs="Open Sans"/>
          <w:bCs/>
          <w:sz w:val="20"/>
          <w:szCs w:val="20"/>
        </w:rPr>
        <w:t xml:space="preserve">, de </w:t>
      </w:r>
      <w:r w:rsidR="00111808" w:rsidRPr="00BB6394">
        <w:rPr>
          <w:rFonts w:ascii="Open Sans" w:eastAsia="Calibri" w:hAnsi="Open Sans" w:cs="Open Sans"/>
          <w:bCs/>
          <w:sz w:val="20"/>
          <w:szCs w:val="20"/>
        </w:rPr>
        <w:t>EITI</w:t>
      </w:r>
      <w:r w:rsidR="00111808">
        <w:rPr>
          <w:rFonts w:ascii="Open Sans" w:eastAsia="Calibri" w:hAnsi="Open Sans" w:cs="Open Sans"/>
          <w:bCs/>
          <w:sz w:val="20"/>
          <w:szCs w:val="20"/>
        </w:rPr>
        <w:t xml:space="preserve">, </w:t>
      </w:r>
      <w:r w:rsidR="00111808" w:rsidRPr="00BB6394">
        <w:rPr>
          <w:rFonts w:ascii="Open Sans" w:hAnsi="Open Sans" w:cs="Open Sans"/>
          <w:sz w:val="20"/>
          <w:szCs w:val="20"/>
        </w:rPr>
        <w:t>ITIC’s Oil and Gas Taxation and Regulatory Dialogue</w:t>
      </w:r>
      <w:r w:rsidR="00111808">
        <w:rPr>
          <w:rFonts w:ascii="Open Sans" w:hAnsi="Open Sans" w:cs="Open Sans"/>
          <w:sz w:val="20"/>
          <w:szCs w:val="20"/>
        </w:rPr>
        <w:t xml:space="preserve">, de </w:t>
      </w:r>
      <w:r w:rsidR="00111808" w:rsidRPr="00BB6394">
        <w:rPr>
          <w:rFonts w:ascii="Open Sans" w:hAnsi="Open Sans" w:cs="Open Sans"/>
          <w:sz w:val="20"/>
          <w:szCs w:val="20"/>
        </w:rPr>
        <w:t>Business and Industry Advisory Committee (BIAC)</w:t>
      </w:r>
      <w:r w:rsidR="00111808">
        <w:rPr>
          <w:rFonts w:ascii="Open Sans" w:hAnsi="Open Sans" w:cs="Open Sans"/>
          <w:sz w:val="20"/>
          <w:szCs w:val="20"/>
        </w:rPr>
        <w:t xml:space="preserve"> de la que Repsol forma parte del Comité fiscal, de </w:t>
      </w:r>
      <w:r w:rsidR="00111808" w:rsidRPr="00BB6394">
        <w:rPr>
          <w:rFonts w:ascii="Open Sans" w:hAnsi="Open Sans" w:cs="Open Sans"/>
          <w:sz w:val="20"/>
          <w:szCs w:val="20"/>
        </w:rPr>
        <w:t>Fuels Europe, asociación sectorial en la que Repsol participa en el grupo de trabajo de Tax Issue Group (TIG)</w:t>
      </w:r>
      <w:r w:rsidR="00111808">
        <w:rPr>
          <w:rFonts w:ascii="Open Sans" w:hAnsi="Open Sans" w:cs="Open Sans"/>
          <w:sz w:val="20"/>
          <w:szCs w:val="20"/>
        </w:rPr>
        <w:t xml:space="preserve">, del </w:t>
      </w:r>
      <w:r w:rsidR="00111808" w:rsidRPr="00BB6394">
        <w:rPr>
          <w:rFonts w:ascii="Open Sans" w:hAnsi="Open Sans" w:cs="Open Sans"/>
          <w:sz w:val="20"/>
          <w:szCs w:val="20"/>
        </w:rPr>
        <w:t>Subcomité Fiscal de la Industria Extractiva creado por el Comité multistakeholder de Expertos en Cooperación Internacional en Materia Fiscal de Naciones Unidas</w:t>
      </w:r>
      <w:r w:rsidR="005822C5">
        <w:rPr>
          <w:rFonts w:ascii="Open Sans" w:hAnsi="Open Sans" w:cs="Open Sans"/>
          <w:sz w:val="20"/>
          <w:szCs w:val="20"/>
        </w:rPr>
        <w:t xml:space="preserve">, y el </w:t>
      </w:r>
      <w:r w:rsidR="005822C5" w:rsidRPr="00BB6394">
        <w:rPr>
          <w:rFonts w:ascii="Open Sans" w:hAnsi="Open Sans" w:cs="Open Sans"/>
          <w:sz w:val="20"/>
          <w:szCs w:val="20"/>
        </w:rPr>
        <w:t>Foro Conjunto de la Unión Europea en mate</w:t>
      </w:r>
      <w:r w:rsidR="005822C5">
        <w:rPr>
          <w:rFonts w:ascii="Open Sans" w:hAnsi="Open Sans" w:cs="Open Sans"/>
          <w:sz w:val="20"/>
          <w:szCs w:val="20"/>
        </w:rPr>
        <w:t>ria de Precios de Transferencia, entre otros.</w:t>
      </w:r>
    </w:p>
    <w:p w14:paraId="0BEE4855" w14:textId="77777777" w:rsidR="00111808" w:rsidRDefault="00111808" w:rsidP="00111808">
      <w:pPr>
        <w:autoSpaceDE w:val="0"/>
        <w:autoSpaceDN w:val="0"/>
        <w:adjustRightInd w:val="0"/>
        <w:jc w:val="both"/>
        <w:rPr>
          <w:rFonts w:ascii="Open Sans" w:hAnsi="Open Sans" w:cs="Open Sans"/>
          <w:bCs/>
          <w:sz w:val="20"/>
          <w:szCs w:val="20"/>
        </w:rPr>
      </w:pPr>
    </w:p>
    <w:p w14:paraId="20E92091" w14:textId="272A4E40" w:rsidR="00C045EF" w:rsidRPr="00AB2915" w:rsidRDefault="00C045EF" w:rsidP="00C045EF">
      <w:pPr>
        <w:jc w:val="both"/>
        <w:rPr>
          <w:rFonts w:ascii="Open Sans" w:eastAsia="Times New Roman" w:hAnsi="Open Sans" w:cs="Open Sans"/>
          <w:color w:val="000000"/>
          <w:sz w:val="20"/>
          <w:szCs w:val="20"/>
        </w:rPr>
      </w:pPr>
      <w:r>
        <w:rPr>
          <w:rFonts w:ascii="Open Sans" w:eastAsia="Times New Roman" w:hAnsi="Open Sans" w:cs="Open Sans"/>
          <w:color w:val="000000"/>
          <w:sz w:val="20"/>
          <w:szCs w:val="20"/>
          <w:bdr w:val="none" w:sz="0" w:space="0" w:color="auto" w:frame="1"/>
        </w:rPr>
        <w:t>Tal y como apunta Rafael Sanz (2014) en su tesis “La relación cooperativa entre la administración tributaria y las grandes empresas”</w:t>
      </w:r>
      <w:r w:rsidR="007F55EB">
        <w:rPr>
          <w:rFonts w:ascii="Open Sans" w:eastAsia="Times New Roman" w:hAnsi="Open Sans" w:cs="Open Sans"/>
          <w:color w:val="000000"/>
          <w:sz w:val="20"/>
          <w:szCs w:val="20"/>
          <w:bdr w:val="none" w:sz="0" w:space="0" w:color="auto" w:frame="1"/>
        </w:rPr>
        <w:t>: Los</w:t>
      </w:r>
      <w:r w:rsidRPr="006D716E">
        <w:rPr>
          <w:rFonts w:ascii="Open Sans" w:eastAsia="Times New Roman" w:hAnsi="Open Sans" w:cs="Open Sans"/>
          <w:color w:val="000000"/>
          <w:sz w:val="20"/>
          <w:szCs w:val="20"/>
          <w:bdr w:val="none" w:sz="0" w:space="0" w:color="auto" w:frame="1"/>
        </w:rPr>
        <w:t xml:space="preserve"> análisis de la OCDE se refieren a transparencia entre Administración y grandes contribuyentes, pero es necesario también que exista transparencia sobre tales relaciones, que permitan la supervisión de otras institucio</w:t>
      </w:r>
      <w:r>
        <w:rPr>
          <w:rFonts w:ascii="Open Sans" w:eastAsia="Times New Roman" w:hAnsi="Open Sans" w:cs="Open Sans"/>
          <w:color w:val="000000"/>
          <w:sz w:val="20"/>
          <w:szCs w:val="20"/>
          <w:bdr w:val="none" w:sz="0" w:space="0" w:color="auto" w:frame="1"/>
        </w:rPr>
        <w:t>nes y de la sociedad en su con</w:t>
      </w:r>
      <w:r w:rsidRPr="006D716E">
        <w:rPr>
          <w:rFonts w:ascii="Open Sans" w:eastAsia="Times New Roman" w:hAnsi="Open Sans" w:cs="Open Sans"/>
          <w:color w:val="000000"/>
          <w:sz w:val="20"/>
          <w:szCs w:val="20"/>
          <w:bdr w:val="none" w:sz="0" w:space="0" w:color="auto" w:frame="1"/>
        </w:rPr>
        <w:t>junto sobre el modo en que se desarrolla la relación cooperativa. La Unión Europea, por ejemplo, ha analizado las necesidades “</w:t>
      </w:r>
      <w:r w:rsidRPr="006D716E">
        <w:rPr>
          <w:rFonts w:ascii="Open Sans" w:eastAsia="Times New Roman" w:hAnsi="Open Sans" w:cs="Open Sans"/>
          <w:i/>
          <w:iCs/>
          <w:color w:val="000000"/>
          <w:sz w:val="20"/>
          <w:szCs w:val="20"/>
          <w:bdr w:val="none" w:sz="0" w:space="0" w:color="auto" w:frame="1"/>
        </w:rPr>
        <w:t>en materia de transparencia de la actividad delos grupos de presión</w:t>
      </w:r>
      <w:r w:rsidRPr="006D716E">
        <w:rPr>
          <w:rFonts w:ascii="Open Sans" w:eastAsia="Times New Roman" w:hAnsi="Open Sans" w:cs="Open Sans"/>
          <w:color w:val="000000"/>
          <w:sz w:val="20"/>
          <w:szCs w:val="20"/>
          <w:bdr w:val="none" w:sz="0" w:space="0" w:color="auto" w:frame="1"/>
        </w:rPr>
        <w:t xml:space="preserve">”, puesto que se considera que a veces sus prácticas van más </w:t>
      </w:r>
      <w:r w:rsidR="007F55EB" w:rsidRPr="006D716E">
        <w:rPr>
          <w:rFonts w:ascii="Open Sans" w:eastAsia="Times New Roman" w:hAnsi="Open Sans" w:cs="Open Sans"/>
          <w:color w:val="000000"/>
          <w:sz w:val="20"/>
          <w:szCs w:val="20"/>
          <w:bdr w:val="none" w:sz="0" w:space="0" w:color="auto" w:frame="1"/>
        </w:rPr>
        <w:t>allá de</w:t>
      </w:r>
      <w:r w:rsidRPr="006D716E">
        <w:rPr>
          <w:rFonts w:ascii="Open Sans" w:eastAsia="Times New Roman" w:hAnsi="Open Sans" w:cs="Open Sans"/>
          <w:color w:val="000000"/>
          <w:sz w:val="20"/>
          <w:szCs w:val="20"/>
          <w:bdr w:val="none" w:sz="0" w:space="0" w:color="auto" w:frame="1"/>
        </w:rPr>
        <w:t xml:space="preserve"> la representación legítima de intereses. En Reino Unido, la relación cooperativa </w:t>
      </w:r>
      <w:r w:rsidR="007F55EB" w:rsidRPr="006D716E">
        <w:rPr>
          <w:rFonts w:ascii="Open Sans" w:eastAsia="Times New Roman" w:hAnsi="Open Sans" w:cs="Open Sans"/>
          <w:color w:val="000000"/>
          <w:sz w:val="20"/>
          <w:szCs w:val="20"/>
          <w:bdr w:val="none" w:sz="0" w:space="0" w:color="auto" w:frame="1"/>
        </w:rPr>
        <w:t>ha sido</w:t>
      </w:r>
      <w:r w:rsidRPr="006D716E">
        <w:rPr>
          <w:rFonts w:ascii="Open Sans" w:eastAsia="Times New Roman" w:hAnsi="Open Sans" w:cs="Open Sans"/>
          <w:color w:val="000000"/>
          <w:sz w:val="20"/>
          <w:szCs w:val="20"/>
          <w:bdr w:val="none" w:sz="0" w:space="0" w:color="auto" w:frame="1"/>
        </w:rPr>
        <w:t xml:space="preserve"> cuestionada porque se ha considerado que se trataba de manera preferente y </w:t>
      </w:r>
      <w:r w:rsidR="007F55EB" w:rsidRPr="006D716E">
        <w:rPr>
          <w:rFonts w:ascii="Open Sans" w:eastAsia="Times New Roman" w:hAnsi="Open Sans" w:cs="Open Sans"/>
          <w:color w:val="000000"/>
          <w:sz w:val="20"/>
          <w:szCs w:val="20"/>
          <w:bdr w:val="none" w:sz="0" w:space="0" w:color="auto" w:frame="1"/>
        </w:rPr>
        <w:t>excesivamente</w:t>
      </w:r>
      <w:r w:rsidRPr="006D716E">
        <w:rPr>
          <w:rFonts w:ascii="Open Sans" w:eastAsia="Times New Roman" w:hAnsi="Open Sans" w:cs="Open Sans"/>
          <w:color w:val="000000"/>
          <w:sz w:val="20"/>
          <w:szCs w:val="20"/>
          <w:bdr w:val="none" w:sz="0" w:space="0" w:color="auto" w:frame="1"/>
        </w:rPr>
        <w:t xml:space="preserve"> laxa a determinadas grandes empresas; el Parla</w:t>
      </w:r>
      <w:r>
        <w:rPr>
          <w:rFonts w:ascii="Open Sans" w:eastAsia="Times New Roman" w:hAnsi="Open Sans" w:cs="Open Sans"/>
          <w:color w:val="000000"/>
          <w:sz w:val="20"/>
          <w:szCs w:val="20"/>
          <w:bdr w:val="none" w:sz="0" w:space="0" w:color="auto" w:frame="1"/>
        </w:rPr>
        <w:t>mento criticó la falta de trans</w:t>
      </w:r>
      <w:r w:rsidRPr="006D716E">
        <w:rPr>
          <w:rFonts w:ascii="Open Sans" w:eastAsia="Times New Roman" w:hAnsi="Open Sans" w:cs="Open Sans"/>
          <w:color w:val="000000"/>
          <w:sz w:val="20"/>
          <w:szCs w:val="20"/>
          <w:bdr w:val="none" w:sz="0" w:space="0" w:color="auto" w:frame="1"/>
        </w:rPr>
        <w:t xml:space="preserve">parencia que le dificultaba el control de los acuerdos entre estos contribuyentes y </w:t>
      </w:r>
      <w:r w:rsidR="007F55EB" w:rsidRPr="006D716E">
        <w:rPr>
          <w:rFonts w:ascii="Open Sans" w:eastAsia="Times New Roman" w:hAnsi="Open Sans" w:cs="Open Sans"/>
          <w:color w:val="000000"/>
          <w:sz w:val="20"/>
          <w:szCs w:val="20"/>
          <w:bdr w:val="none" w:sz="0" w:space="0" w:color="auto" w:frame="1"/>
        </w:rPr>
        <w:t>la Administración</w:t>
      </w:r>
      <w:r>
        <w:rPr>
          <w:rFonts w:ascii="Open Sans" w:eastAsia="Times New Roman" w:hAnsi="Open Sans" w:cs="Open Sans"/>
          <w:color w:val="000000"/>
          <w:sz w:val="20"/>
          <w:szCs w:val="20"/>
          <w:bdr w:val="none" w:sz="0" w:space="0" w:color="auto" w:frame="1"/>
        </w:rPr>
        <w:t>.</w:t>
      </w:r>
    </w:p>
    <w:p w14:paraId="1CA4E20C" w14:textId="77777777" w:rsidR="006022CB" w:rsidRDefault="006022CB" w:rsidP="006022CB">
      <w:pPr>
        <w:pStyle w:val="Normal1"/>
        <w:jc w:val="both"/>
        <w:rPr>
          <w:rFonts w:ascii="Open Sans" w:hAnsi="Open Sans" w:cs="Open Sans"/>
          <w:sz w:val="20"/>
        </w:rPr>
      </w:pPr>
    </w:p>
    <w:p w14:paraId="7C80B854" w14:textId="3A6CBCDC" w:rsidR="006022CB" w:rsidRPr="00D1478F" w:rsidRDefault="006022CB" w:rsidP="006022CB">
      <w:pPr>
        <w:pStyle w:val="Normal1"/>
        <w:jc w:val="both"/>
        <w:rPr>
          <w:rFonts w:ascii="Open Sans" w:hAnsi="Open Sans" w:cs="Open Sans"/>
          <w:bCs/>
          <w:sz w:val="20"/>
        </w:rPr>
      </w:pPr>
      <w:r w:rsidRPr="00D1478F">
        <w:rPr>
          <w:rFonts w:ascii="Open Sans" w:hAnsi="Open Sans" w:cs="Open Sans"/>
          <w:sz w:val="20"/>
        </w:rPr>
        <w:t xml:space="preserve">La mayor parte de las empresas analizadas se limitan a declaraciones de carácter totalmente genérico: </w:t>
      </w:r>
      <w:r w:rsidR="00D1478F" w:rsidRPr="00D1478F">
        <w:rPr>
          <w:rFonts w:ascii="Open Sans" w:hAnsi="Open Sans" w:cs="Open Sans"/>
          <w:sz w:val="20"/>
        </w:rPr>
        <w:t>INDRA</w:t>
      </w:r>
      <w:r w:rsidRPr="00D1478F">
        <w:rPr>
          <w:rFonts w:ascii="Open Sans" w:hAnsi="Open Sans" w:cs="Open Sans"/>
          <w:sz w:val="20"/>
        </w:rPr>
        <w:t xml:space="preserve"> por ejemplo </w:t>
      </w:r>
      <w:r w:rsidRPr="00D1478F">
        <w:rPr>
          <w:rFonts w:ascii="Open Sans" w:hAnsi="Open Sans" w:cs="Arial"/>
          <w:bCs/>
          <w:sz w:val="20"/>
        </w:rPr>
        <w:t xml:space="preserve">indica expresamente que “las relaciones con las autoridades, los organismos reguladores y las Administraciones Públicas se plantearán siempre bajo los principios de  cooperación y transparencia...” </w:t>
      </w:r>
      <w:r w:rsidR="00D1478F" w:rsidRPr="00D1478F">
        <w:rPr>
          <w:rFonts w:ascii="Open Sans" w:hAnsi="Open Sans" w:cs="Arial"/>
          <w:bCs/>
          <w:sz w:val="20"/>
        </w:rPr>
        <w:t>GAMESA</w:t>
      </w:r>
      <w:r w:rsidRPr="00D1478F">
        <w:rPr>
          <w:rFonts w:ascii="Open Sans" w:hAnsi="Open Sans" w:cs="Arial"/>
          <w:bCs/>
          <w:sz w:val="20"/>
        </w:rPr>
        <w:t xml:space="preserve"> </w:t>
      </w:r>
      <w:r w:rsidRPr="00D1478F">
        <w:rPr>
          <w:rFonts w:ascii="Open Sans" w:hAnsi="Open Sans" w:cs="Open Sans"/>
          <w:sz w:val="20"/>
        </w:rPr>
        <w:t>aboga por “</w:t>
      </w:r>
      <w:r w:rsidRPr="00D1478F">
        <w:rPr>
          <w:rFonts w:ascii="Open Sans" w:hAnsi="Open Sans" w:cs="Open Sans"/>
          <w:i/>
          <w:sz w:val="20"/>
        </w:rPr>
        <w:t>mantener una relación adecuada con las Administraciones Tributarias correspondientes</w:t>
      </w:r>
      <w:r w:rsidRPr="00D1478F">
        <w:rPr>
          <w:rFonts w:ascii="Open Sans" w:hAnsi="Open Sans" w:cs="Open Sans"/>
          <w:sz w:val="20"/>
        </w:rPr>
        <w:t xml:space="preserve">” AENA en su código de conducta afirma que "las personas sujetas a este deberán mantener en todo momento una actitud de colaboración y transparencia con cualesquiera Administración Pública u órgano supervisor..” </w:t>
      </w:r>
      <w:r w:rsidR="00D1478F" w:rsidRPr="00D1478F">
        <w:rPr>
          <w:rFonts w:ascii="Open Sans" w:hAnsi="Open Sans" w:cs="Open Sans"/>
          <w:sz w:val="20"/>
        </w:rPr>
        <w:t>ENAGÁS</w:t>
      </w:r>
      <w:r w:rsidRPr="00D1478F">
        <w:rPr>
          <w:rFonts w:ascii="Open Sans" w:hAnsi="Open Sans" w:cs="Open Sans"/>
          <w:sz w:val="20"/>
        </w:rPr>
        <w:t xml:space="preserve"> afirma </w:t>
      </w:r>
      <w:r w:rsidRPr="00D1478F">
        <w:rPr>
          <w:rFonts w:ascii="Open Sans" w:hAnsi="Open Sans" w:cs="Open Sans"/>
          <w:bCs/>
          <w:sz w:val="20"/>
        </w:rPr>
        <w:t>“</w:t>
      </w:r>
      <w:r w:rsidRPr="00D1478F">
        <w:rPr>
          <w:rFonts w:ascii="Open Sans" w:hAnsi="Open Sans" w:cs="Open Sans"/>
          <w:bCs/>
          <w:i/>
          <w:sz w:val="20"/>
        </w:rPr>
        <w:t xml:space="preserve">mantener y potenciar una relación con la Administración tributaria presidida por la colaboración, confianza, buena fe, reciprocidad y profesionalidad…” </w:t>
      </w:r>
      <w:r w:rsidRPr="00D1478F">
        <w:rPr>
          <w:rFonts w:ascii="Open Sans" w:hAnsi="Open Sans" w:cs="Open Sans"/>
          <w:bCs/>
          <w:sz w:val="20"/>
        </w:rPr>
        <w:t xml:space="preserve">BBVA afirma que </w:t>
      </w:r>
      <w:r w:rsidRPr="00D1478F">
        <w:rPr>
          <w:rFonts w:ascii="Open Sans" w:hAnsi="Open Sans" w:cs="Arial"/>
          <w:bCs/>
          <w:sz w:val="20"/>
        </w:rPr>
        <w:t>“</w:t>
      </w:r>
      <w:r w:rsidRPr="00D1478F">
        <w:rPr>
          <w:rFonts w:ascii="Open Sans" w:hAnsi="Open Sans" w:cs="Arial"/>
          <w:bCs/>
          <w:i/>
          <w:sz w:val="20"/>
        </w:rPr>
        <w:t>promueve una relación recíprocamente cooperativa con las distintas Administraciones Tributarias con las que se relaciona como consecuencia de la realización de su actividad, basada en los principios de transparencia, confianza mutua, buena fe y lealtad entre las partes</w:t>
      </w:r>
      <w:r w:rsidRPr="00D1478F">
        <w:rPr>
          <w:rFonts w:ascii="Open Sans" w:hAnsi="Open Sans" w:cs="Arial"/>
          <w:bCs/>
          <w:sz w:val="20"/>
        </w:rPr>
        <w:t>"</w:t>
      </w:r>
    </w:p>
    <w:p w14:paraId="285C4368" w14:textId="77777777" w:rsidR="006022CB" w:rsidRDefault="006022CB" w:rsidP="00C17CF0">
      <w:pPr>
        <w:jc w:val="both"/>
        <w:rPr>
          <w:rFonts w:ascii="Open Sans" w:hAnsi="Open Sans"/>
          <w:b/>
          <w:sz w:val="22"/>
          <w:szCs w:val="22"/>
          <w:lang w:val="es-ES"/>
        </w:rPr>
      </w:pPr>
    </w:p>
    <w:p w14:paraId="7C3C908E" w14:textId="77777777" w:rsidR="005822C5" w:rsidRPr="006022CB" w:rsidRDefault="005822C5" w:rsidP="00C17CF0">
      <w:pPr>
        <w:jc w:val="both"/>
        <w:rPr>
          <w:rFonts w:ascii="Open Sans" w:hAnsi="Open Sans"/>
          <w:b/>
          <w:sz w:val="22"/>
          <w:szCs w:val="22"/>
          <w:lang w:val="es-ES"/>
        </w:rPr>
      </w:pPr>
    </w:p>
    <w:p w14:paraId="7692BF93" w14:textId="77777777" w:rsidR="006022CB" w:rsidRPr="00C17CF0" w:rsidRDefault="006022CB" w:rsidP="00C17CF0">
      <w:pPr>
        <w:jc w:val="both"/>
        <w:rPr>
          <w:rFonts w:ascii="Open Sans" w:hAnsi="Open Sans"/>
          <w:b/>
          <w:sz w:val="22"/>
          <w:szCs w:val="22"/>
        </w:rPr>
      </w:pPr>
    </w:p>
    <w:p w14:paraId="760A5114" w14:textId="3F61EDFE" w:rsidR="00C17CF0" w:rsidRDefault="00C17CF0" w:rsidP="00C17CF0">
      <w:pPr>
        <w:jc w:val="both"/>
        <w:rPr>
          <w:rFonts w:ascii="Open Sans" w:hAnsi="Open Sans"/>
          <w:b/>
          <w:sz w:val="22"/>
          <w:szCs w:val="22"/>
        </w:rPr>
      </w:pPr>
      <w:bookmarkStart w:id="48" w:name="RA3"/>
      <w:r w:rsidRPr="00C17CF0">
        <w:rPr>
          <w:rFonts w:ascii="Open Sans" w:hAnsi="Open Sans"/>
          <w:b/>
          <w:sz w:val="22"/>
          <w:szCs w:val="22"/>
        </w:rPr>
        <w:t>R.A.</w:t>
      </w:r>
      <w:r w:rsidR="005822C5">
        <w:rPr>
          <w:rFonts w:ascii="Open Sans" w:hAnsi="Open Sans"/>
          <w:b/>
          <w:sz w:val="22"/>
          <w:szCs w:val="22"/>
        </w:rPr>
        <w:t>2</w:t>
      </w:r>
      <w:r w:rsidRPr="00C17CF0">
        <w:rPr>
          <w:rFonts w:ascii="Open Sans" w:hAnsi="Open Sans"/>
          <w:b/>
          <w:sz w:val="22"/>
          <w:szCs w:val="22"/>
        </w:rPr>
        <w:t>. La empresa se relaciona con legisladores y políticos ¿Cómo?. En el caso de que realice actividades de presión/lobby, ¿En qué temas las hace?</w:t>
      </w:r>
      <w:bookmarkEnd w:id="48"/>
    </w:p>
    <w:p w14:paraId="503827BC" w14:textId="77777777" w:rsidR="00C17CF0" w:rsidRDefault="00C17CF0" w:rsidP="00C17CF0">
      <w:pPr>
        <w:jc w:val="both"/>
        <w:rPr>
          <w:rFonts w:ascii="Open Sans" w:hAnsi="Open Sans"/>
          <w:b/>
          <w:sz w:val="22"/>
          <w:szCs w:val="22"/>
        </w:rPr>
      </w:pPr>
    </w:p>
    <w:p w14:paraId="374C5C53" w14:textId="5985F86F" w:rsidR="006022CB" w:rsidRPr="006022CB" w:rsidRDefault="006022CB" w:rsidP="006022CB">
      <w:pPr>
        <w:jc w:val="both"/>
        <w:rPr>
          <w:rFonts w:ascii="Open Sans" w:hAnsi="Open Sans" w:cs="Open Sans"/>
          <w:bCs/>
          <w:sz w:val="20"/>
          <w:szCs w:val="20"/>
        </w:rPr>
      </w:pPr>
      <w:r w:rsidRPr="006022CB">
        <w:rPr>
          <w:rFonts w:ascii="Open Sans" w:hAnsi="Open Sans" w:cs="Open Sans"/>
          <w:bCs/>
          <w:sz w:val="20"/>
          <w:szCs w:val="20"/>
        </w:rPr>
        <w:t xml:space="preserve">Un aspecto no siempre visibilizado por las empresas son las actividades de lobby que realizan bien sea de manera directa o indirecta a través de asociaciones a las que pertenece. Si bien estas actividades son lícitas la máxima transparencia sobre las mismas es importante por la consecuencia que dichas relaciones pueden tener en las decisiones sobre </w:t>
      </w:r>
      <w:r w:rsidR="007F55EB" w:rsidRPr="006022CB">
        <w:rPr>
          <w:rFonts w:ascii="Open Sans" w:hAnsi="Open Sans" w:cs="Open Sans"/>
          <w:bCs/>
          <w:sz w:val="20"/>
          <w:szCs w:val="20"/>
        </w:rPr>
        <w:t>las políticas públicas</w:t>
      </w:r>
      <w:r w:rsidRPr="006022CB">
        <w:rPr>
          <w:rStyle w:val="Refdenotaalpie"/>
          <w:rFonts w:ascii="Open Sans" w:hAnsi="Open Sans" w:cs="Open Sans"/>
          <w:bCs/>
          <w:sz w:val="20"/>
          <w:szCs w:val="20"/>
        </w:rPr>
        <w:footnoteReference w:id="155"/>
      </w:r>
      <w:r w:rsidRPr="006022CB">
        <w:rPr>
          <w:rFonts w:ascii="Open Sans" w:hAnsi="Open Sans" w:cs="Open Sans"/>
          <w:bCs/>
          <w:sz w:val="20"/>
          <w:szCs w:val="20"/>
        </w:rPr>
        <w:t>.</w:t>
      </w:r>
    </w:p>
    <w:p w14:paraId="077EA13D" w14:textId="77777777" w:rsidR="006022CB" w:rsidRDefault="006022CB" w:rsidP="006022CB">
      <w:pPr>
        <w:jc w:val="both"/>
        <w:rPr>
          <w:rFonts w:ascii="Open Sans" w:hAnsi="Open Sans" w:cs="Open Sans"/>
          <w:bCs/>
          <w:sz w:val="20"/>
          <w:szCs w:val="20"/>
        </w:rPr>
      </w:pPr>
    </w:p>
    <w:p w14:paraId="1FFC66C5" w14:textId="117889EA" w:rsidR="006022CB" w:rsidRPr="006022CB" w:rsidRDefault="006022CB" w:rsidP="006022CB">
      <w:pPr>
        <w:jc w:val="both"/>
        <w:rPr>
          <w:rFonts w:ascii="Open Sans" w:eastAsia="Times New Roman" w:hAnsi="Open Sans" w:cs="Open Sans"/>
          <w:color w:val="000000"/>
          <w:sz w:val="20"/>
          <w:szCs w:val="20"/>
        </w:rPr>
      </w:pPr>
      <w:r w:rsidRPr="006022CB">
        <w:rPr>
          <w:rFonts w:ascii="Open Sans" w:hAnsi="Open Sans" w:cs="Open Sans"/>
          <w:bCs/>
          <w:sz w:val="20"/>
          <w:szCs w:val="20"/>
        </w:rPr>
        <w:t>En relación</w:t>
      </w:r>
      <w:r w:rsidR="005822C5">
        <w:rPr>
          <w:rFonts w:ascii="Open Sans" w:hAnsi="Open Sans" w:cs="Open Sans"/>
          <w:bCs/>
          <w:sz w:val="20"/>
          <w:szCs w:val="20"/>
        </w:rPr>
        <w:t xml:space="preserve"> al indicador R.A.2</w:t>
      </w:r>
      <w:r w:rsidRPr="006022CB">
        <w:rPr>
          <w:rFonts w:ascii="Open Sans" w:hAnsi="Open Sans" w:cs="Open Sans"/>
          <w:bCs/>
          <w:sz w:val="20"/>
          <w:szCs w:val="20"/>
        </w:rPr>
        <w:t xml:space="preserve">, </w:t>
      </w:r>
      <w:r w:rsidRPr="006022CB">
        <w:rPr>
          <w:rFonts w:ascii="Open Sans" w:hAnsi="Open Sans" w:cs="Open Sans"/>
          <w:b/>
          <w:sz w:val="20"/>
          <w:szCs w:val="20"/>
        </w:rPr>
        <w:t>1</w:t>
      </w:r>
      <w:r w:rsidRPr="006022CB">
        <w:rPr>
          <w:rFonts w:ascii="Open Sans" w:eastAsia="Times New Roman" w:hAnsi="Open Sans" w:cs="Open Sans"/>
          <w:b/>
          <w:color w:val="000000"/>
          <w:sz w:val="20"/>
          <w:szCs w:val="20"/>
        </w:rPr>
        <w:t xml:space="preserve"> de las empresas analizadas</w:t>
      </w:r>
      <w:r w:rsidRPr="006022CB">
        <w:rPr>
          <w:rFonts w:ascii="Open Sans" w:hAnsi="Open Sans" w:cs="Open Sans"/>
          <w:sz w:val="20"/>
          <w:szCs w:val="20"/>
        </w:rPr>
        <w:t xml:space="preserve">, lo que supone un </w:t>
      </w:r>
      <w:r w:rsidR="00C746AC">
        <w:rPr>
          <w:rFonts w:ascii="Open Sans" w:eastAsia="Times New Roman" w:hAnsi="Open Sans" w:cs="Open Sans"/>
          <w:b/>
          <w:color w:val="000000"/>
          <w:sz w:val="20"/>
          <w:szCs w:val="20"/>
        </w:rPr>
        <w:t>3</w:t>
      </w:r>
      <w:r w:rsidRPr="006022CB">
        <w:rPr>
          <w:rFonts w:ascii="Open Sans" w:eastAsia="Times New Roman" w:hAnsi="Open Sans" w:cs="Open Sans"/>
          <w:b/>
          <w:color w:val="000000"/>
          <w:sz w:val="20"/>
          <w:szCs w:val="20"/>
        </w:rPr>
        <w:t>% del total,</w:t>
      </w:r>
      <w:r w:rsidRPr="006022CB">
        <w:rPr>
          <w:rFonts w:ascii="Open Sans" w:eastAsia="Times New Roman" w:hAnsi="Open Sans" w:cs="Open Sans"/>
          <w:color w:val="000000"/>
          <w:sz w:val="20"/>
          <w:szCs w:val="20"/>
        </w:rPr>
        <w:t xml:space="preserve"> presentan alguna información sobre acciones de lobby</w:t>
      </w:r>
      <w:r w:rsidR="00C746AC">
        <w:rPr>
          <w:rFonts w:ascii="Open Sans" w:eastAsia="Times New Roman" w:hAnsi="Open Sans" w:cs="Open Sans"/>
          <w:color w:val="000000"/>
          <w:sz w:val="20"/>
          <w:szCs w:val="20"/>
        </w:rPr>
        <w:t xml:space="preserve"> en </w:t>
      </w:r>
      <w:r w:rsidR="007F55EB">
        <w:rPr>
          <w:rFonts w:ascii="Open Sans" w:eastAsia="Times New Roman" w:hAnsi="Open Sans" w:cs="Open Sans"/>
          <w:color w:val="000000"/>
          <w:sz w:val="20"/>
          <w:szCs w:val="20"/>
        </w:rPr>
        <w:t>materia</w:t>
      </w:r>
      <w:r w:rsidR="00C746AC">
        <w:rPr>
          <w:rFonts w:ascii="Open Sans" w:eastAsia="Times New Roman" w:hAnsi="Open Sans" w:cs="Open Sans"/>
          <w:color w:val="000000"/>
          <w:sz w:val="20"/>
          <w:szCs w:val="20"/>
        </w:rPr>
        <w:t xml:space="preserve"> fiscal, REPSOL</w:t>
      </w:r>
      <w:r w:rsidRPr="006022CB">
        <w:rPr>
          <w:rFonts w:ascii="Open Sans" w:eastAsia="Times New Roman" w:hAnsi="Open Sans" w:cs="Open Sans"/>
          <w:color w:val="000000"/>
          <w:sz w:val="20"/>
          <w:szCs w:val="20"/>
        </w:rPr>
        <w:t>.</w:t>
      </w:r>
      <w:r w:rsidR="00C746AC">
        <w:rPr>
          <w:rFonts w:ascii="Open Sans" w:eastAsia="Times New Roman" w:hAnsi="Open Sans" w:cs="Open Sans"/>
          <w:color w:val="000000"/>
          <w:sz w:val="20"/>
          <w:szCs w:val="20"/>
        </w:rPr>
        <w:t xml:space="preserve"> Hay un conjunto de empresas que informan de manera escueta sobre su política de Lobby, s</w:t>
      </w:r>
      <w:r w:rsidRPr="006022CB">
        <w:rPr>
          <w:rFonts w:ascii="Open Sans" w:eastAsia="Times New Roman" w:hAnsi="Open Sans" w:cs="Open Sans"/>
          <w:color w:val="000000"/>
          <w:sz w:val="20"/>
          <w:szCs w:val="20"/>
        </w:rPr>
        <w:t xml:space="preserve">in embargo la información es muy </w:t>
      </w:r>
      <w:r w:rsidR="00C746AC">
        <w:rPr>
          <w:rFonts w:ascii="Open Sans" w:eastAsia="Times New Roman" w:hAnsi="Open Sans" w:cs="Open Sans"/>
          <w:color w:val="000000"/>
          <w:sz w:val="20"/>
          <w:szCs w:val="20"/>
        </w:rPr>
        <w:t xml:space="preserve">escasa </w:t>
      </w:r>
      <w:r w:rsidRPr="006022CB">
        <w:rPr>
          <w:rFonts w:ascii="Open Sans" w:eastAsia="Times New Roman" w:hAnsi="Open Sans" w:cs="Open Sans"/>
          <w:color w:val="000000"/>
          <w:sz w:val="20"/>
          <w:szCs w:val="20"/>
        </w:rPr>
        <w:t>y ninguna empresa explica en qué temas hace este tipo de actividades, a través de qué vías y cuánto dinero (en €) dedica a este tipo de actividades</w:t>
      </w:r>
      <w:r w:rsidR="00C746AC">
        <w:rPr>
          <w:rFonts w:ascii="Open Sans" w:eastAsia="Times New Roman" w:hAnsi="Open Sans" w:cs="Open Sans"/>
          <w:color w:val="000000"/>
          <w:sz w:val="20"/>
          <w:szCs w:val="20"/>
        </w:rPr>
        <w:t xml:space="preserve">. A continuación se exponen algunos ejemplos: </w:t>
      </w:r>
    </w:p>
    <w:p w14:paraId="30FF6397" w14:textId="77777777" w:rsidR="006022CB" w:rsidRPr="006022CB" w:rsidRDefault="006022CB" w:rsidP="006022CB">
      <w:pPr>
        <w:jc w:val="both"/>
        <w:rPr>
          <w:rFonts w:ascii="Open Sans" w:eastAsia="Times New Roman" w:hAnsi="Open Sans" w:cs="Open Sans"/>
          <w:color w:val="000000"/>
          <w:sz w:val="20"/>
          <w:szCs w:val="20"/>
        </w:rPr>
      </w:pPr>
    </w:p>
    <w:p w14:paraId="509C7165" w14:textId="559252F8" w:rsidR="006022CB" w:rsidRPr="006022CB" w:rsidRDefault="00D1478F" w:rsidP="006022CB">
      <w:pPr>
        <w:jc w:val="both"/>
        <w:rPr>
          <w:rFonts w:ascii="Open Sans" w:hAnsi="Open Sans" w:cs="Open Sans"/>
          <w:sz w:val="20"/>
          <w:szCs w:val="20"/>
        </w:rPr>
      </w:pPr>
      <w:r>
        <w:rPr>
          <w:rFonts w:ascii="Open Sans" w:hAnsi="Open Sans" w:cs="Open Sans"/>
          <w:sz w:val="20"/>
          <w:szCs w:val="20"/>
        </w:rPr>
        <w:t>TELEFÓ</w:t>
      </w:r>
      <w:r w:rsidR="00C746AC">
        <w:rPr>
          <w:rFonts w:ascii="Open Sans" w:hAnsi="Open Sans" w:cs="Open Sans"/>
          <w:sz w:val="20"/>
          <w:szCs w:val="20"/>
        </w:rPr>
        <w:t>NICA hace una</w:t>
      </w:r>
      <w:r w:rsidR="006022CB" w:rsidRPr="006022CB">
        <w:rPr>
          <w:rFonts w:ascii="Open Sans" w:hAnsi="Open Sans" w:cs="Open Sans"/>
          <w:sz w:val="20"/>
          <w:szCs w:val="20"/>
        </w:rPr>
        <w:t xml:space="preserve"> referencia a las actividades de lobby</w:t>
      </w:r>
      <w:r w:rsidR="006022CB" w:rsidRPr="006022CB">
        <w:rPr>
          <w:rStyle w:val="Refdenotaalpie"/>
          <w:rFonts w:ascii="Open Sans" w:hAnsi="Open Sans" w:cs="Open Sans"/>
          <w:sz w:val="20"/>
          <w:szCs w:val="20"/>
        </w:rPr>
        <w:footnoteReference w:id="156"/>
      </w:r>
      <w:r w:rsidR="006022CB" w:rsidRPr="006022CB">
        <w:rPr>
          <w:rFonts w:ascii="Open Sans" w:hAnsi="Open Sans" w:cs="Open Sans"/>
          <w:sz w:val="20"/>
          <w:szCs w:val="20"/>
        </w:rPr>
        <w:t xml:space="preserve">  “</w:t>
      </w:r>
      <w:r w:rsidR="006022CB" w:rsidRPr="00D1478F">
        <w:rPr>
          <w:rFonts w:ascii="Open Sans" w:hAnsi="Open Sans" w:cs="Open Sans"/>
          <w:sz w:val="20"/>
          <w:szCs w:val="20"/>
        </w:rPr>
        <w:t xml:space="preserve">Telefónica </w:t>
      </w:r>
      <w:r w:rsidR="006022CB" w:rsidRPr="006022CB">
        <w:rPr>
          <w:rFonts w:ascii="Open Sans" w:hAnsi="Open Sans" w:cs="Open Sans"/>
          <w:sz w:val="20"/>
          <w:szCs w:val="20"/>
        </w:rPr>
        <w:t>está registrada como lobista en el registro voluntario de la Unión Europea, reportando unos costes vinculados a las actividades cubiertas por el registro de 2 millones de euros</w:t>
      </w:r>
    </w:p>
    <w:p w14:paraId="1CB70BDB" w14:textId="77777777" w:rsidR="006022CB" w:rsidRPr="006022CB" w:rsidRDefault="006022CB" w:rsidP="006022CB">
      <w:pPr>
        <w:jc w:val="both"/>
        <w:rPr>
          <w:rFonts w:ascii="Open Sans" w:hAnsi="Open Sans" w:cs="Open Sans"/>
          <w:sz w:val="20"/>
          <w:szCs w:val="20"/>
        </w:rPr>
      </w:pPr>
    </w:p>
    <w:p w14:paraId="354E9412" w14:textId="77777777" w:rsidR="006022CB" w:rsidRPr="006022CB" w:rsidRDefault="006022CB" w:rsidP="006022CB">
      <w:pPr>
        <w:jc w:val="both"/>
        <w:rPr>
          <w:rFonts w:ascii="Open Sans" w:hAnsi="Open Sans" w:cs="Open Sans"/>
          <w:bCs/>
          <w:sz w:val="20"/>
          <w:szCs w:val="20"/>
        </w:rPr>
      </w:pPr>
      <w:r w:rsidRPr="00D1478F">
        <w:rPr>
          <w:rFonts w:ascii="Open Sans" w:hAnsi="Open Sans" w:cs="Open Sans"/>
          <w:bCs/>
          <w:sz w:val="20"/>
          <w:szCs w:val="20"/>
        </w:rPr>
        <w:t>REC</w:t>
      </w:r>
      <w:r w:rsidRPr="006022CB">
        <w:rPr>
          <w:rFonts w:ascii="Open Sans" w:hAnsi="Open Sans" w:cs="Open Sans"/>
          <w:bCs/>
          <w:sz w:val="20"/>
          <w:szCs w:val="20"/>
        </w:rPr>
        <w:t xml:space="preserve"> aporta información de asociaciones nacionales e internacionales de las cuales es miembro, explica a qué se dedican y de manera general indica que el objetivo de la participación en entidades internacionales es elaborar propuestas sobre sostenibilidad, legislación, regulación y criterios operativos de redes y sistemas eléctricos en el ámbito  europeo. No hay constancia de que estos organismos participen en propuestas relacionadas con aspectos fiscales. </w:t>
      </w:r>
    </w:p>
    <w:p w14:paraId="22934345" w14:textId="77777777" w:rsidR="006022CB" w:rsidRPr="006022CB" w:rsidRDefault="006022CB" w:rsidP="006022CB">
      <w:pPr>
        <w:jc w:val="both"/>
        <w:rPr>
          <w:rFonts w:ascii="Open Sans" w:hAnsi="Open Sans" w:cs="Open Sans"/>
          <w:bCs/>
          <w:sz w:val="20"/>
          <w:szCs w:val="20"/>
        </w:rPr>
      </w:pPr>
    </w:p>
    <w:p w14:paraId="3912E32B" w14:textId="4E50EEF3" w:rsidR="006022CB" w:rsidRPr="006022CB" w:rsidRDefault="00D1478F" w:rsidP="006022CB">
      <w:pPr>
        <w:jc w:val="both"/>
        <w:rPr>
          <w:rFonts w:ascii="Open Sans" w:eastAsia="Calibri" w:hAnsi="Open Sans" w:cs="Open Sans"/>
          <w:sz w:val="20"/>
          <w:szCs w:val="20"/>
        </w:rPr>
      </w:pPr>
      <w:r w:rsidRPr="00D1478F">
        <w:rPr>
          <w:rFonts w:ascii="Open Sans" w:hAnsi="Open Sans" w:cs="Open Sans"/>
          <w:bCs/>
          <w:sz w:val="20"/>
          <w:szCs w:val="20"/>
        </w:rPr>
        <w:t>REPSOL</w:t>
      </w:r>
      <w:r w:rsidR="006022CB" w:rsidRPr="006022CB">
        <w:rPr>
          <w:rFonts w:ascii="Open Sans" w:hAnsi="Open Sans" w:cs="Open Sans"/>
          <w:bCs/>
          <w:sz w:val="20"/>
          <w:szCs w:val="20"/>
        </w:rPr>
        <w:t xml:space="preserve"> reconoce abiertamente su participación en los debates sobre el desarrollo de políticas públicas. En su página web corporativa hay un apartado específico para las actividades de lobby englobado bajo “Ética y transparencia” en la que se indica que el Grupo apoya que la actividad de lobby se haga de forma transparente. También refleja en su informe de sostenibilidad las demandas de información formuladas por parte de sus inversores sobre </w:t>
      </w:r>
      <w:r w:rsidR="006022CB" w:rsidRPr="006022CB">
        <w:rPr>
          <w:rFonts w:ascii="Open Sans" w:eastAsia="Calibri" w:hAnsi="Open Sans" w:cs="Open Sans"/>
          <w:sz w:val="20"/>
          <w:szCs w:val="20"/>
        </w:rPr>
        <w:t xml:space="preserve">las actividades de lobby llevadas a cabo y las contribuciones a partidos políticos. </w:t>
      </w:r>
    </w:p>
    <w:p w14:paraId="24A1C203" w14:textId="77777777" w:rsidR="006022CB" w:rsidRDefault="006022CB" w:rsidP="006022CB">
      <w:pPr>
        <w:jc w:val="both"/>
        <w:rPr>
          <w:rFonts w:ascii="Open Sans" w:eastAsia="Calibri" w:hAnsi="Open Sans" w:cs="Open Sans"/>
          <w:sz w:val="20"/>
          <w:szCs w:val="20"/>
        </w:rPr>
      </w:pPr>
    </w:p>
    <w:p w14:paraId="5A1882FA" w14:textId="6CE9897B" w:rsidR="00A10D31" w:rsidRDefault="00A10D31" w:rsidP="00A10D31">
      <w:pPr>
        <w:jc w:val="both"/>
        <w:rPr>
          <w:rFonts w:ascii="Open Sans" w:hAnsi="Open Sans" w:cs="Arial"/>
          <w:bCs/>
          <w:sz w:val="20"/>
          <w:szCs w:val="20"/>
        </w:rPr>
      </w:pPr>
      <w:r w:rsidRPr="00D1478F">
        <w:rPr>
          <w:rFonts w:ascii="Open Sans" w:hAnsi="Open Sans" w:cs="Open Sans"/>
          <w:bCs/>
          <w:sz w:val="20"/>
          <w:szCs w:val="20"/>
        </w:rPr>
        <w:t>FERROVIAL</w:t>
      </w:r>
      <w:r>
        <w:t xml:space="preserve"> </w:t>
      </w:r>
      <w:r>
        <w:rPr>
          <w:rFonts w:ascii="Open Sans" w:hAnsi="Open Sans" w:cs="Arial"/>
          <w:bCs/>
          <w:sz w:val="20"/>
          <w:szCs w:val="20"/>
        </w:rPr>
        <w:t>reconoce en su informe anual que</w:t>
      </w:r>
      <w:r w:rsidRPr="00101E59">
        <w:rPr>
          <w:rFonts w:ascii="Open Sans" w:hAnsi="Open Sans" w:cs="Arial"/>
          <w:bCs/>
          <w:sz w:val="20"/>
          <w:szCs w:val="20"/>
        </w:rPr>
        <w:t xml:space="preserve"> </w:t>
      </w:r>
      <w:r>
        <w:rPr>
          <w:rFonts w:ascii="Open Sans" w:hAnsi="Open Sans" w:cs="Arial"/>
          <w:bCs/>
          <w:sz w:val="20"/>
          <w:szCs w:val="20"/>
        </w:rPr>
        <w:t>«</w:t>
      </w:r>
      <w:r w:rsidRPr="004C1B47">
        <w:rPr>
          <w:rFonts w:ascii="Open Sans" w:hAnsi="Open Sans" w:cs="Arial"/>
          <w:bCs/>
          <w:i/>
          <w:sz w:val="20"/>
          <w:szCs w:val="20"/>
        </w:rPr>
        <w:t>participa indirectamente en los procesos legislativos, aportando su conocimiento internacional sobre lo que contienen otras jurisdicciones en materia tributaria</w:t>
      </w:r>
      <w:r>
        <w:rPr>
          <w:rFonts w:ascii="Open Sans" w:hAnsi="Open Sans" w:cs="Arial"/>
          <w:bCs/>
          <w:sz w:val="20"/>
          <w:szCs w:val="20"/>
        </w:rPr>
        <w:t>», sin embargo, no se ha encontrado evidencia de que exista información pública sobre las actividades de lobby realizadas por las empresas que conforman el Grupo ni la cuantificación monetaria de las mismas.</w:t>
      </w:r>
    </w:p>
    <w:p w14:paraId="1FE2C7D2" w14:textId="77777777" w:rsidR="00A10D31" w:rsidRPr="006022CB" w:rsidRDefault="00A10D31" w:rsidP="006022CB">
      <w:pPr>
        <w:jc w:val="both"/>
        <w:rPr>
          <w:rFonts w:ascii="Open Sans" w:eastAsia="Calibri" w:hAnsi="Open Sans" w:cs="Open Sans"/>
          <w:sz w:val="20"/>
          <w:szCs w:val="20"/>
        </w:rPr>
      </w:pPr>
    </w:p>
    <w:p w14:paraId="6C9CBB50" w14:textId="1E945CF0" w:rsidR="006022CB" w:rsidRPr="006022CB" w:rsidRDefault="00D1478F" w:rsidP="006022CB">
      <w:pPr>
        <w:jc w:val="both"/>
        <w:rPr>
          <w:rFonts w:ascii="Open Sans" w:hAnsi="Open Sans" w:cs="Open Sans"/>
          <w:sz w:val="20"/>
          <w:szCs w:val="20"/>
        </w:rPr>
      </w:pPr>
      <w:r w:rsidRPr="00D1478F">
        <w:rPr>
          <w:rFonts w:ascii="Open Sans" w:hAnsi="Open Sans" w:cs="Open Sans"/>
          <w:sz w:val="20"/>
          <w:szCs w:val="20"/>
        </w:rPr>
        <w:t>ARCELORMITTAL</w:t>
      </w:r>
      <w:r w:rsidR="006022CB" w:rsidRPr="00D1478F">
        <w:rPr>
          <w:rFonts w:ascii="Open Sans" w:hAnsi="Open Sans" w:cs="Open Sans"/>
          <w:sz w:val="20"/>
          <w:szCs w:val="20"/>
        </w:rPr>
        <w:t xml:space="preserve"> </w:t>
      </w:r>
      <w:r w:rsidR="006022CB" w:rsidRPr="006022CB">
        <w:rPr>
          <w:rFonts w:ascii="Open Sans" w:hAnsi="Open Sans" w:cs="Open Sans"/>
          <w:sz w:val="20"/>
          <w:szCs w:val="20"/>
        </w:rPr>
        <w:t>informa sobre su actividad de lobby en Europa, los países de Norteamérica del Tratado de Libre Comercio, Sudáfrica, y menciona en genérico otros países.  Está registrada en el "Registro de Transparencia de la Unión Europea"</w:t>
      </w:r>
      <w:r w:rsidR="006022CB" w:rsidRPr="006022CB">
        <w:rPr>
          <w:rStyle w:val="Refdenotaalpie"/>
          <w:rFonts w:ascii="Open Sans" w:hAnsi="Open Sans" w:cs="Open Sans"/>
          <w:sz w:val="20"/>
          <w:szCs w:val="20"/>
        </w:rPr>
        <w:footnoteReference w:id="157"/>
      </w:r>
      <w:r w:rsidR="006022CB" w:rsidRPr="006022CB">
        <w:rPr>
          <w:rFonts w:ascii="Open Sans" w:hAnsi="Open Sans" w:cs="Open Sans"/>
          <w:sz w:val="20"/>
          <w:szCs w:val="20"/>
        </w:rPr>
        <w:t xml:space="preserve"> y en el Registro de Contribuciones del Senado de Estados Unidos</w:t>
      </w:r>
      <w:r w:rsidR="006022CB" w:rsidRPr="006022CB">
        <w:rPr>
          <w:rStyle w:val="Refdenotaalpie"/>
          <w:rFonts w:ascii="Open Sans" w:hAnsi="Open Sans" w:cs="Open Sans"/>
          <w:sz w:val="20"/>
          <w:szCs w:val="20"/>
        </w:rPr>
        <w:footnoteReference w:id="158"/>
      </w:r>
      <w:r w:rsidR="006022CB" w:rsidRPr="006022CB">
        <w:rPr>
          <w:rFonts w:ascii="Open Sans" w:hAnsi="Open Sans" w:cs="Open Sans"/>
          <w:sz w:val="20"/>
          <w:szCs w:val="20"/>
        </w:rPr>
        <w:t xml:space="preserve">, en los que se puede consultar las cantidades de dinero destinadas a tal fin durante el ejercicio 2015. </w:t>
      </w:r>
    </w:p>
    <w:p w14:paraId="53CADE2D" w14:textId="77777777" w:rsidR="006022CB" w:rsidRPr="006022CB" w:rsidRDefault="006022CB" w:rsidP="006022CB">
      <w:pPr>
        <w:jc w:val="both"/>
        <w:rPr>
          <w:rFonts w:ascii="Open Sans" w:hAnsi="Open Sans" w:cs="Open Sans"/>
          <w:bCs/>
          <w:sz w:val="20"/>
          <w:szCs w:val="20"/>
        </w:rPr>
      </w:pPr>
    </w:p>
    <w:p w14:paraId="0F9F5EB2" w14:textId="67A87930" w:rsidR="006022CB" w:rsidRPr="006022CB" w:rsidRDefault="00D1478F" w:rsidP="006022CB">
      <w:pPr>
        <w:jc w:val="both"/>
        <w:rPr>
          <w:rFonts w:ascii="Open Sans" w:hAnsi="Open Sans" w:cs="Open Sans"/>
          <w:sz w:val="20"/>
          <w:szCs w:val="20"/>
        </w:rPr>
      </w:pPr>
      <w:r w:rsidRPr="00D1478F">
        <w:rPr>
          <w:rFonts w:ascii="Open Sans" w:hAnsi="Open Sans" w:cs="Open Sans"/>
          <w:sz w:val="20"/>
          <w:szCs w:val="20"/>
          <w:highlight w:val="white"/>
        </w:rPr>
        <w:t>INDRA</w:t>
      </w:r>
      <w:r w:rsidR="006022CB" w:rsidRPr="006022CB">
        <w:rPr>
          <w:rFonts w:ascii="Open Sans" w:hAnsi="Open Sans" w:cs="Open Sans"/>
          <w:sz w:val="20"/>
          <w:szCs w:val="20"/>
          <w:highlight w:val="white"/>
        </w:rPr>
        <w:t xml:space="preserve"> en e</w:t>
      </w:r>
      <w:r w:rsidR="006022CB" w:rsidRPr="006022CB">
        <w:rPr>
          <w:rFonts w:ascii="Open Sans" w:hAnsi="Open Sans" w:cs="Open Sans"/>
          <w:bCs/>
          <w:sz w:val="20"/>
          <w:szCs w:val="20"/>
        </w:rPr>
        <w:t xml:space="preserve">l ejercicio 2014 explicaba la actuación que las filiales de EEUU realizan a través de </w:t>
      </w:r>
      <w:r w:rsidR="006022CB" w:rsidRPr="006022CB">
        <w:rPr>
          <w:rFonts w:ascii="Open Sans" w:hAnsi="Open Sans" w:cs="Open Sans"/>
          <w:sz w:val="20"/>
          <w:szCs w:val="20"/>
        </w:rPr>
        <w:t>bufetes de abogados, ya que es la vía que se utiliza en este país para la obtención de información y gestión de contratos, subvenciones y ayudas. Por otro lado Indra ha sido una de las principales beneficiarias de los proyectos de I+D financiados por la Unión Europea. Desde 2002, ha recibido más de ocho millones de euros en los siete programas en que ha participado</w:t>
      </w:r>
      <w:r w:rsidR="006022CB" w:rsidRPr="006022CB">
        <w:rPr>
          <w:rStyle w:val="Refdenotaalpie"/>
          <w:rFonts w:ascii="Open Sans" w:hAnsi="Open Sans" w:cs="Open Sans"/>
          <w:sz w:val="20"/>
          <w:szCs w:val="20"/>
        </w:rPr>
        <w:footnoteReference w:id="159"/>
      </w:r>
      <w:r w:rsidR="006022CB" w:rsidRPr="006022CB">
        <w:rPr>
          <w:rFonts w:ascii="Open Sans" w:hAnsi="Open Sans" w:cs="Open Sans"/>
          <w:sz w:val="20"/>
          <w:szCs w:val="20"/>
        </w:rPr>
        <w:t>. A su vez Indra ha dedicado en 2015 cerca de 1 millón de euros en influir sobre las políticas de la Unión Europea</w:t>
      </w:r>
      <w:r w:rsidR="006022CB" w:rsidRPr="006022CB">
        <w:rPr>
          <w:rStyle w:val="Refdenotaalpie"/>
          <w:rFonts w:ascii="Open Sans" w:hAnsi="Open Sans" w:cs="Open Sans"/>
          <w:sz w:val="20"/>
          <w:szCs w:val="20"/>
        </w:rPr>
        <w:footnoteReference w:id="160"/>
      </w:r>
      <w:r w:rsidR="006022CB" w:rsidRPr="006022CB">
        <w:rPr>
          <w:rFonts w:ascii="Open Sans" w:hAnsi="Open Sans" w:cs="Open Sans"/>
          <w:sz w:val="20"/>
          <w:szCs w:val="20"/>
        </w:rPr>
        <w:t xml:space="preserve">. </w:t>
      </w:r>
    </w:p>
    <w:p w14:paraId="70007CB2" w14:textId="77777777" w:rsidR="006022CB" w:rsidRPr="006022CB" w:rsidRDefault="006022CB" w:rsidP="006022CB">
      <w:pPr>
        <w:pStyle w:val="Normal1"/>
        <w:jc w:val="both"/>
        <w:rPr>
          <w:rFonts w:ascii="Open Sans" w:hAnsi="Open Sans" w:cs="Open Sans"/>
          <w:sz w:val="20"/>
          <w:highlight w:val="white"/>
        </w:rPr>
      </w:pPr>
    </w:p>
    <w:p w14:paraId="5DBCB50B" w14:textId="7BE7588D" w:rsidR="006022CB" w:rsidRPr="006022CB" w:rsidRDefault="006022CB" w:rsidP="006022CB">
      <w:pPr>
        <w:jc w:val="both"/>
        <w:rPr>
          <w:rFonts w:ascii="Open Sans" w:hAnsi="Open Sans" w:cs="Open Sans"/>
          <w:bCs/>
          <w:sz w:val="20"/>
          <w:szCs w:val="20"/>
        </w:rPr>
      </w:pPr>
      <w:r w:rsidRPr="006022CB">
        <w:rPr>
          <w:rFonts w:ascii="Open Sans" w:hAnsi="Open Sans" w:cs="Open Sans"/>
          <w:bCs/>
          <w:sz w:val="20"/>
          <w:szCs w:val="20"/>
        </w:rPr>
        <w:t xml:space="preserve">En varios casos y después de contrastar información con terceras fuentes, se han identificado </w:t>
      </w:r>
      <w:r w:rsidR="00D1478F">
        <w:rPr>
          <w:rFonts w:ascii="Open Sans" w:hAnsi="Open Sans" w:cs="Open Sans"/>
          <w:b/>
          <w:bCs/>
          <w:sz w:val="20"/>
          <w:szCs w:val="20"/>
        </w:rPr>
        <w:t>acciones de L</w:t>
      </w:r>
      <w:r w:rsidRPr="006022CB">
        <w:rPr>
          <w:rFonts w:ascii="Open Sans" w:hAnsi="Open Sans" w:cs="Open Sans"/>
          <w:b/>
          <w:bCs/>
          <w:sz w:val="20"/>
          <w:szCs w:val="20"/>
        </w:rPr>
        <w:t>obby desarrolladas por las empresas analizadas que no son declaradas en sus documentos públicos</w:t>
      </w:r>
      <w:r w:rsidRPr="006022CB">
        <w:rPr>
          <w:rFonts w:ascii="Open Sans" w:hAnsi="Open Sans" w:cs="Open Sans"/>
          <w:bCs/>
          <w:sz w:val="20"/>
          <w:szCs w:val="20"/>
        </w:rPr>
        <w:t>. Tal es el caso de:</w:t>
      </w:r>
    </w:p>
    <w:p w14:paraId="2B7A54EB" w14:textId="77777777" w:rsidR="006022CB" w:rsidRPr="006022CB" w:rsidRDefault="006022CB" w:rsidP="006022CB">
      <w:pPr>
        <w:jc w:val="both"/>
        <w:rPr>
          <w:rFonts w:ascii="Open Sans" w:hAnsi="Open Sans" w:cs="Open Sans"/>
          <w:bCs/>
          <w:sz w:val="20"/>
          <w:szCs w:val="20"/>
        </w:rPr>
      </w:pPr>
    </w:p>
    <w:p w14:paraId="589B69AF" w14:textId="4087447D" w:rsidR="00A10D31" w:rsidRPr="00D1478F" w:rsidRDefault="00D1478F" w:rsidP="00A10D31">
      <w:pPr>
        <w:jc w:val="both"/>
        <w:rPr>
          <w:rFonts w:ascii="Open Sans" w:hAnsi="Open Sans" w:cs="Arial"/>
          <w:sz w:val="20"/>
          <w:szCs w:val="20"/>
        </w:rPr>
      </w:pPr>
      <w:r w:rsidRPr="00D1478F">
        <w:rPr>
          <w:rFonts w:ascii="Open Sans" w:hAnsi="Open Sans" w:cs="Open Sans"/>
          <w:bCs/>
          <w:sz w:val="20"/>
          <w:szCs w:val="20"/>
        </w:rPr>
        <w:t>GRIFOLS</w:t>
      </w:r>
      <w:r w:rsidR="006022CB" w:rsidRPr="006022CB">
        <w:rPr>
          <w:rFonts w:ascii="Open Sans" w:hAnsi="Open Sans" w:cs="Open Sans"/>
          <w:bCs/>
          <w:sz w:val="20"/>
          <w:szCs w:val="20"/>
        </w:rPr>
        <w:t xml:space="preserve"> no informa de su actividad de lobby. </w:t>
      </w:r>
      <w:r w:rsidR="006022CB" w:rsidRPr="00D1478F">
        <w:rPr>
          <w:rFonts w:ascii="Open Sans" w:hAnsi="Open Sans" w:cs="Open Sans"/>
          <w:bCs/>
          <w:sz w:val="20"/>
          <w:szCs w:val="20"/>
        </w:rPr>
        <w:t>A través de fuentes externas se conoce que Grifols es miembro de European Confederation of Pharmaceutical Entrepreneurs (EUCOPE)</w:t>
      </w:r>
      <w:r w:rsidR="006022CB" w:rsidRPr="00D1478F">
        <w:rPr>
          <w:rStyle w:val="Refdenotaalpie"/>
          <w:rFonts w:ascii="Open Sans" w:hAnsi="Open Sans" w:cs="Open Sans"/>
          <w:bCs/>
          <w:sz w:val="20"/>
          <w:szCs w:val="20"/>
        </w:rPr>
        <w:footnoteReference w:id="161"/>
      </w:r>
      <w:r w:rsidR="006022CB" w:rsidRPr="00D1478F">
        <w:rPr>
          <w:rFonts w:ascii="Open Sans" w:hAnsi="Open Sans" w:cs="Open Sans"/>
          <w:bCs/>
          <w:sz w:val="20"/>
          <w:szCs w:val="20"/>
        </w:rPr>
        <w:t>, PhRma</w:t>
      </w:r>
      <w:r w:rsidR="006022CB" w:rsidRPr="00D1478F">
        <w:rPr>
          <w:rStyle w:val="Refdenotaalpie"/>
          <w:rFonts w:ascii="Open Sans" w:hAnsi="Open Sans" w:cs="Open Sans"/>
          <w:bCs/>
          <w:sz w:val="20"/>
          <w:szCs w:val="20"/>
        </w:rPr>
        <w:footnoteReference w:id="162"/>
      </w:r>
      <w:r w:rsidR="006022CB" w:rsidRPr="00D1478F">
        <w:rPr>
          <w:rFonts w:ascii="Open Sans" w:hAnsi="Open Sans" w:cs="Open Sans"/>
          <w:bCs/>
          <w:sz w:val="20"/>
          <w:szCs w:val="20"/>
        </w:rPr>
        <w:t>, Plasma Proteins Therapeutics Association</w:t>
      </w:r>
      <w:r w:rsidR="006022CB" w:rsidRPr="00D1478F">
        <w:rPr>
          <w:rStyle w:val="Refdenotaalpie"/>
          <w:rFonts w:ascii="Open Sans" w:hAnsi="Open Sans" w:cs="Open Sans"/>
          <w:bCs/>
          <w:sz w:val="20"/>
          <w:szCs w:val="20"/>
        </w:rPr>
        <w:footnoteReference w:id="163"/>
      </w:r>
      <w:r w:rsidR="006022CB" w:rsidRPr="00D1478F">
        <w:rPr>
          <w:rFonts w:ascii="Open Sans" w:hAnsi="Open Sans" w:cs="Open Sans"/>
          <w:bCs/>
          <w:sz w:val="20"/>
          <w:szCs w:val="20"/>
        </w:rPr>
        <w:t xml:space="preserve"> (PPTA), entre otras. Estas asociaciones, inscritas en el registro de transparencia de la UE, han mostrado intereses relacionados con temas comerciales, económicos y financieros, entre otros. </w:t>
      </w:r>
      <w:r w:rsidR="00A10D31" w:rsidRPr="00D1478F">
        <w:rPr>
          <w:rFonts w:ascii="Open Sans" w:hAnsi="Open Sans" w:cs="Open Sans"/>
          <w:bCs/>
          <w:sz w:val="20"/>
          <w:szCs w:val="20"/>
        </w:rPr>
        <w:t xml:space="preserve"> </w:t>
      </w:r>
      <w:r w:rsidR="00A10D31" w:rsidRPr="00D1478F">
        <w:rPr>
          <w:rFonts w:ascii="Open Sans" w:hAnsi="Open Sans" w:cs="Arial"/>
          <w:sz w:val="20"/>
          <w:szCs w:val="20"/>
        </w:rPr>
        <w:t xml:space="preserve"> </w:t>
      </w:r>
      <w:r w:rsidR="00A10D31" w:rsidRPr="00D1478F">
        <w:rPr>
          <w:rFonts w:ascii="Open Sans" w:hAnsi="Open Sans" w:cs="Arial"/>
          <w:bCs/>
          <w:sz w:val="20"/>
          <w:szCs w:val="20"/>
        </w:rPr>
        <w:t>El lobby farmacéutico y sanitario invierte una gran cantidad de dinero para influir en los centros de decisión de políticas públicas en una gran variedad de temáticas que les pueden afectar, aranceles, patentes, fiscalidad....etc. Es difícil saber con precisión la cantidad global invertida pues en el caso de la Unión Europea estar dado de alta en el registro de transparencia no es obligatorio. Algunos estudios estiman que en la UE la industria, empresas, asociaciones y los principales grupos de lobby, declaran unos 40 millones de euros destinados a reuniones con políticos y a participar en grupos de asesoramiento</w:t>
      </w:r>
      <w:r w:rsidR="00A10D31" w:rsidRPr="00D1478F">
        <w:rPr>
          <w:rStyle w:val="Refdenotaalpie"/>
          <w:rFonts w:ascii="Open Sans" w:hAnsi="Open Sans"/>
          <w:bCs/>
          <w:sz w:val="20"/>
          <w:szCs w:val="20"/>
        </w:rPr>
        <w:footnoteReference w:id="164"/>
      </w:r>
      <w:r w:rsidR="00A10D31" w:rsidRPr="00D1478F">
        <w:rPr>
          <w:rFonts w:ascii="Open Sans" w:hAnsi="Open Sans" w:cs="Arial"/>
          <w:bCs/>
          <w:sz w:val="20"/>
          <w:szCs w:val="20"/>
        </w:rPr>
        <w:t>. En EEUU, según otro estudio</w:t>
      </w:r>
      <w:r w:rsidR="00A10D31" w:rsidRPr="00D1478F">
        <w:rPr>
          <w:rStyle w:val="Refdenotaalpie"/>
          <w:rFonts w:ascii="Open Sans" w:hAnsi="Open Sans"/>
          <w:bCs/>
          <w:sz w:val="20"/>
          <w:szCs w:val="20"/>
        </w:rPr>
        <w:footnoteReference w:id="165"/>
      </w:r>
      <w:r w:rsidR="00A10D31" w:rsidRPr="00D1478F">
        <w:rPr>
          <w:rFonts w:ascii="Open Sans" w:hAnsi="Open Sans" w:cs="Arial"/>
          <w:bCs/>
          <w:sz w:val="20"/>
          <w:szCs w:val="20"/>
        </w:rPr>
        <w:t xml:space="preserve">, en 2013, el sector farmacéutico y de atención sanitaria dedicó más de 487 millones de dólares a actividades de </w:t>
      </w:r>
      <w:r w:rsidR="00A10D31" w:rsidRPr="00D1478F">
        <w:rPr>
          <w:rFonts w:ascii="Open Sans" w:hAnsi="Open Sans" w:cs="Arial"/>
          <w:bCs/>
          <w:i/>
          <w:iCs/>
          <w:sz w:val="20"/>
          <w:szCs w:val="20"/>
        </w:rPr>
        <w:t xml:space="preserve">lobby </w:t>
      </w:r>
      <w:r w:rsidR="00A10D31" w:rsidRPr="00D1478F">
        <w:rPr>
          <w:rFonts w:ascii="Open Sans" w:hAnsi="Open Sans" w:cs="Arial"/>
          <w:bCs/>
          <w:sz w:val="20"/>
          <w:szCs w:val="20"/>
        </w:rPr>
        <w:t>sólo en Estados Unidos.</w:t>
      </w:r>
    </w:p>
    <w:p w14:paraId="3A104D98" w14:textId="77777777" w:rsidR="006022CB" w:rsidRPr="006022CB" w:rsidRDefault="006022CB" w:rsidP="006022CB">
      <w:pPr>
        <w:jc w:val="both"/>
        <w:rPr>
          <w:rFonts w:ascii="Open Sans" w:eastAsia="Times New Roman" w:hAnsi="Open Sans" w:cs="Open Sans"/>
          <w:b/>
          <w:color w:val="000000"/>
          <w:sz w:val="20"/>
          <w:szCs w:val="20"/>
        </w:rPr>
      </w:pPr>
    </w:p>
    <w:p w14:paraId="1E7DA620" w14:textId="6B605389" w:rsidR="006022CB" w:rsidRPr="006022CB" w:rsidRDefault="00D1478F" w:rsidP="006022CB">
      <w:pPr>
        <w:jc w:val="both"/>
        <w:rPr>
          <w:rFonts w:ascii="Open Sans" w:hAnsi="Open Sans" w:cs="Open Sans"/>
          <w:bCs/>
          <w:sz w:val="20"/>
          <w:szCs w:val="20"/>
        </w:rPr>
      </w:pPr>
      <w:r w:rsidRPr="00D1478F">
        <w:rPr>
          <w:rFonts w:ascii="Open Sans" w:hAnsi="Open Sans" w:cs="Open Sans"/>
          <w:sz w:val="20"/>
          <w:szCs w:val="20"/>
        </w:rPr>
        <w:t>INDITEX</w:t>
      </w:r>
      <w:r w:rsidR="006022CB" w:rsidRPr="006022CB">
        <w:rPr>
          <w:rFonts w:ascii="Open Sans" w:hAnsi="Open Sans" w:cs="Open Sans"/>
          <w:sz w:val="20"/>
          <w:szCs w:val="20"/>
        </w:rPr>
        <w:t xml:space="preserve"> no aporta ninguna información en su memoria anual no aporta información sobre acciones de Lobby, sin embargo a través de fuentes externas</w:t>
      </w:r>
      <w:r w:rsidR="006022CB" w:rsidRPr="006022CB">
        <w:rPr>
          <w:rStyle w:val="Refdenotaalpie"/>
          <w:rFonts w:ascii="Open Sans" w:hAnsi="Open Sans" w:cs="Open Sans"/>
          <w:sz w:val="20"/>
          <w:szCs w:val="20"/>
        </w:rPr>
        <w:footnoteReference w:id="166"/>
      </w:r>
      <w:r w:rsidR="006022CB" w:rsidRPr="006022CB">
        <w:rPr>
          <w:rFonts w:ascii="Open Sans" w:hAnsi="Open Sans" w:cs="Open Sans"/>
          <w:sz w:val="20"/>
          <w:szCs w:val="20"/>
        </w:rPr>
        <w:t xml:space="preserve"> se conoce que forma parte del lobby europeo </w:t>
      </w:r>
      <w:r w:rsidR="006022CB" w:rsidRPr="006022CB">
        <w:rPr>
          <w:rFonts w:ascii="Open Sans" w:hAnsi="Open Sans" w:cs="Open Sans"/>
          <w:bCs/>
          <w:sz w:val="20"/>
          <w:szCs w:val="20"/>
        </w:rPr>
        <w:t>European Branded Clothing Alliance, que tiene entre sus actividades de presión temas relacionados con fiscalidad. Inditex no aporta información en su memoria anual sobre estas cuestiones pero no cabe duda de la gran influencia del lobby textil como se apunta desde algunas publicaciones especializadas.</w:t>
      </w:r>
      <w:r w:rsidR="006022CB" w:rsidRPr="006022CB">
        <w:rPr>
          <w:rStyle w:val="Refdenotaalpie"/>
          <w:rFonts w:ascii="Open Sans" w:hAnsi="Open Sans" w:cs="Open Sans"/>
          <w:bCs/>
          <w:sz w:val="20"/>
          <w:szCs w:val="20"/>
        </w:rPr>
        <w:footnoteReference w:id="167"/>
      </w:r>
      <w:r w:rsidR="006022CB" w:rsidRPr="006022CB">
        <w:rPr>
          <w:rFonts w:ascii="Open Sans" w:hAnsi="Open Sans" w:cs="Open Sans"/>
          <w:bCs/>
          <w:sz w:val="20"/>
          <w:szCs w:val="20"/>
        </w:rPr>
        <w:t xml:space="preserve"> </w:t>
      </w:r>
    </w:p>
    <w:p w14:paraId="555ACE4C" w14:textId="77777777" w:rsidR="006022CB" w:rsidRPr="006022CB" w:rsidRDefault="006022CB" w:rsidP="006022CB">
      <w:pPr>
        <w:pStyle w:val="Normal1"/>
        <w:jc w:val="both"/>
        <w:rPr>
          <w:rFonts w:ascii="Open Sans" w:hAnsi="Open Sans" w:cs="Open Sans"/>
          <w:sz w:val="20"/>
          <w:highlight w:val="white"/>
        </w:rPr>
      </w:pPr>
    </w:p>
    <w:p w14:paraId="17A92E0D" w14:textId="49BF934A" w:rsidR="006022CB" w:rsidRPr="006022CB" w:rsidRDefault="00D1478F" w:rsidP="006022CB">
      <w:pPr>
        <w:jc w:val="both"/>
        <w:rPr>
          <w:rFonts w:ascii="Open Sans" w:hAnsi="Open Sans" w:cs="Open Sans"/>
          <w:bCs/>
          <w:sz w:val="20"/>
          <w:szCs w:val="20"/>
        </w:rPr>
      </w:pPr>
      <w:r w:rsidRPr="00D1478F">
        <w:rPr>
          <w:rFonts w:ascii="Open Sans" w:hAnsi="Open Sans" w:cs="Open Sans"/>
          <w:bCs/>
          <w:sz w:val="20"/>
          <w:szCs w:val="20"/>
        </w:rPr>
        <w:t>SACYR</w:t>
      </w:r>
      <w:r w:rsidR="006022CB" w:rsidRPr="00D1478F">
        <w:rPr>
          <w:rFonts w:ascii="Open Sans" w:hAnsi="Open Sans" w:cs="Open Sans"/>
          <w:bCs/>
          <w:sz w:val="20"/>
          <w:szCs w:val="20"/>
        </w:rPr>
        <w:t xml:space="preserve">  </w:t>
      </w:r>
      <w:r w:rsidR="006022CB" w:rsidRPr="006022CB">
        <w:rPr>
          <w:rFonts w:ascii="Open Sans" w:hAnsi="Open Sans" w:cs="Open Sans"/>
          <w:bCs/>
          <w:sz w:val="20"/>
          <w:szCs w:val="20"/>
        </w:rPr>
        <w:t>incluye en el código de conducta  el comportamiento con gobiernos y autoridades. En el informe anual integrado Sacyr menciona las asociaciones a las que pertenece en temáticas y algunas relaciones que ha mantenido con diferentes organismos pero solo en materia de I+d+i pero más allá de este listado no se explica ni marcos de relación ni temáticas en las que se realiza actividades de incidencia. A través del Registro de Transparencia de la Unión Europea se conoce que, por ejemplo, la Asociación de Empresas Constructoras de Ámbito Nacional (SEOPAN) a la que pertenece Sacyr, realiza actividades de lobby, entre otras temáticas, de carácter fiscal</w:t>
      </w:r>
      <w:r w:rsidR="006022CB" w:rsidRPr="006022CB">
        <w:rPr>
          <w:rStyle w:val="Refdenotaalpie"/>
          <w:rFonts w:ascii="Open Sans" w:hAnsi="Open Sans" w:cs="Open Sans"/>
          <w:bCs/>
          <w:sz w:val="20"/>
          <w:szCs w:val="20"/>
        </w:rPr>
        <w:footnoteReference w:id="168"/>
      </w:r>
      <w:r w:rsidR="006022CB" w:rsidRPr="006022CB">
        <w:rPr>
          <w:rFonts w:ascii="Open Sans" w:hAnsi="Open Sans" w:cs="Open Sans"/>
          <w:bCs/>
          <w:sz w:val="20"/>
          <w:szCs w:val="20"/>
        </w:rPr>
        <w:t xml:space="preserve">. </w:t>
      </w:r>
    </w:p>
    <w:p w14:paraId="5058668A" w14:textId="77777777" w:rsidR="006022CB" w:rsidRPr="006022CB" w:rsidRDefault="006022CB" w:rsidP="006022CB">
      <w:pPr>
        <w:jc w:val="both"/>
        <w:rPr>
          <w:rFonts w:ascii="Open Sans" w:hAnsi="Open Sans" w:cs="Open Sans"/>
          <w:bCs/>
          <w:sz w:val="20"/>
          <w:szCs w:val="20"/>
          <w:u w:val="single"/>
        </w:rPr>
      </w:pPr>
    </w:p>
    <w:p w14:paraId="6A62905A" w14:textId="77777777" w:rsidR="006022CB" w:rsidRPr="006022CB" w:rsidRDefault="006022CB" w:rsidP="006022CB">
      <w:pPr>
        <w:jc w:val="both"/>
        <w:rPr>
          <w:rFonts w:ascii="Open Sans" w:hAnsi="Open Sans" w:cs="Open Sans"/>
          <w:sz w:val="20"/>
          <w:szCs w:val="20"/>
        </w:rPr>
      </w:pPr>
      <w:r w:rsidRPr="00D1478F">
        <w:rPr>
          <w:rFonts w:ascii="Open Sans" w:hAnsi="Open Sans" w:cs="Open Sans"/>
          <w:bCs/>
          <w:sz w:val="20"/>
          <w:szCs w:val="20"/>
        </w:rPr>
        <w:t>BBVA</w:t>
      </w:r>
      <w:r w:rsidRPr="006022CB">
        <w:rPr>
          <w:rFonts w:ascii="Open Sans" w:hAnsi="Open Sans" w:cs="Open Sans"/>
          <w:bCs/>
          <w:sz w:val="20"/>
          <w:szCs w:val="20"/>
        </w:rPr>
        <w:t xml:space="preserve"> ha abierto una oficina en Bruselas, la Oficina de Asuntos Europeos del BBVA, encargada de las relaciones con las instituciones europeas. Su misión principal es estar en contacto con los responsables políticos, para lo que destina un máximo de 600.000 euros para acciones de lobby</w:t>
      </w:r>
      <w:r w:rsidRPr="006022CB">
        <w:rPr>
          <w:rStyle w:val="Refdenotaalpie"/>
          <w:rFonts w:ascii="Open Sans" w:hAnsi="Open Sans" w:cs="Open Sans"/>
          <w:bCs/>
          <w:sz w:val="20"/>
          <w:szCs w:val="20"/>
        </w:rPr>
        <w:footnoteReference w:id="169"/>
      </w:r>
      <w:r w:rsidRPr="006022CB">
        <w:rPr>
          <w:rFonts w:ascii="Open Sans" w:hAnsi="Open Sans" w:cs="Open Sans"/>
          <w:bCs/>
          <w:sz w:val="20"/>
          <w:szCs w:val="20"/>
        </w:rPr>
        <w:t xml:space="preserve"> según artículo publicado en la prensa, no se ha encontrado mención en los informes del grupo. En EEUU, BBVA ha hecho lobby</w:t>
      </w:r>
      <w:r w:rsidRPr="006022CB">
        <w:rPr>
          <w:rFonts w:ascii="Open Sans" w:hAnsi="Open Sans" w:cs="Open Sans"/>
          <w:sz w:val="20"/>
          <w:szCs w:val="20"/>
        </w:rPr>
        <w:t xml:space="preserve"> </w:t>
      </w:r>
      <w:r w:rsidRPr="006022CB">
        <w:rPr>
          <w:rFonts w:ascii="Open Sans" w:hAnsi="Open Sans" w:cs="Open Sans"/>
          <w:bCs/>
          <w:sz w:val="20"/>
          <w:szCs w:val="20"/>
        </w:rPr>
        <w:t>a través de la Coalición de Bancos Regionales de la que forma parte (junto a American Expresss, SunTrust, Huntington, Regions, Fifth Third, Capital One, BMO Financial Group, BBT y Bank of the West) para no ser tratado como banco sistémico y evitar una mayor regulación</w:t>
      </w:r>
      <w:r w:rsidRPr="006022CB">
        <w:rPr>
          <w:rStyle w:val="Refdenotaalpie"/>
          <w:rFonts w:ascii="Open Sans" w:hAnsi="Open Sans" w:cs="Open Sans"/>
          <w:bCs/>
          <w:sz w:val="20"/>
          <w:szCs w:val="20"/>
        </w:rPr>
        <w:footnoteReference w:id="170"/>
      </w:r>
      <w:r w:rsidRPr="006022CB">
        <w:rPr>
          <w:rFonts w:ascii="Open Sans" w:hAnsi="Open Sans" w:cs="Open Sans"/>
          <w:bCs/>
          <w:sz w:val="20"/>
          <w:szCs w:val="20"/>
        </w:rPr>
        <w:t>. En territorio español, BBVA es uno de los patronos de Fedea (Fundación de Estudios de Economía Aplicada) asociación que busca crear las condiciones óptimas para que surjan nuevas ideas que informen el diseño de la política pública española</w:t>
      </w:r>
      <w:r w:rsidRPr="006022CB">
        <w:rPr>
          <w:rStyle w:val="Refdenotaalpie"/>
          <w:rFonts w:ascii="Open Sans" w:hAnsi="Open Sans" w:cs="Open Sans"/>
          <w:bCs/>
          <w:sz w:val="20"/>
          <w:szCs w:val="20"/>
        </w:rPr>
        <w:footnoteReference w:id="171"/>
      </w:r>
      <w:r w:rsidRPr="006022CB">
        <w:rPr>
          <w:rFonts w:ascii="Open Sans" w:hAnsi="Open Sans" w:cs="Open Sans"/>
          <w:bCs/>
          <w:sz w:val="20"/>
          <w:szCs w:val="20"/>
        </w:rPr>
        <w:t>.</w:t>
      </w:r>
    </w:p>
    <w:p w14:paraId="6248ACD4" w14:textId="77777777" w:rsidR="006022CB" w:rsidRPr="006022CB" w:rsidRDefault="006022CB" w:rsidP="006022CB">
      <w:pPr>
        <w:jc w:val="both"/>
        <w:rPr>
          <w:rFonts w:ascii="Open Sans" w:hAnsi="Open Sans" w:cs="Open Sans"/>
          <w:b/>
          <w:sz w:val="20"/>
          <w:szCs w:val="20"/>
        </w:rPr>
      </w:pPr>
    </w:p>
    <w:p w14:paraId="191B1C95" w14:textId="04ED8010" w:rsidR="006022CB" w:rsidRPr="006022CB" w:rsidRDefault="00D1478F" w:rsidP="006022CB">
      <w:pPr>
        <w:jc w:val="both"/>
        <w:rPr>
          <w:rFonts w:ascii="Open Sans" w:hAnsi="Open Sans" w:cs="Open Sans"/>
          <w:sz w:val="20"/>
          <w:szCs w:val="20"/>
        </w:rPr>
      </w:pPr>
      <w:r w:rsidRPr="00D1478F">
        <w:rPr>
          <w:rFonts w:ascii="Open Sans" w:hAnsi="Open Sans" w:cs="Open Sans"/>
          <w:sz w:val="20"/>
          <w:szCs w:val="20"/>
        </w:rPr>
        <w:t>IBERDROLA</w:t>
      </w:r>
      <w:r w:rsidR="006022CB">
        <w:rPr>
          <w:rFonts w:ascii="Open Sans" w:hAnsi="Open Sans" w:cs="Open Sans"/>
          <w:sz w:val="20"/>
          <w:szCs w:val="20"/>
        </w:rPr>
        <w:t xml:space="preserve"> </w:t>
      </w:r>
      <w:r w:rsidR="006022CB" w:rsidRPr="006022CB">
        <w:rPr>
          <w:rFonts w:ascii="Open Sans" w:hAnsi="Open Sans" w:cs="Open Sans"/>
          <w:sz w:val="20"/>
          <w:szCs w:val="20"/>
        </w:rPr>
        <w:t>no hace referencia explícita a estas actividades en la documentación consultada. Esta ausencia de información contrasta con noticias que apuntan a Iberdrola como una de las empresas del IBEX35 que más lobby hace</w:t>
      </w:r>
      <w:r w:rsidR="006022CB" w:rsidRPr="006022CB">
        <w:rPr>
          <w:rStyle w:val="Refdenotaalpie"/>
          <w:rFonts w:ascii="Open Sans" w:hAnsi="Open Sans" w:cs="Open Sans"/>
          <w:sz w:val="20"/>
          <w:szCs w:val="20"/>
        </w:rPr>
        <w:footnoteReference w:id="172"/>
      </w:r>
      <w:r w:rsidR="006022CB" w:rsidRPr="006022CB">
        <w:rPr>
          <w:rFonts w:ascii="Open Sans" w:hAnsi="Open Sans" w:cs="Open Sans"/>
          <w:sz w:val="20"/>
          <w:szCs w:val="20"/>
        </w:rPr>
        <w:t xml:space="preserve">  </w:t>
      </w:r>
      <w:r w:rsidR="006022CB" w:rsidRPr="006022CB">
        <w:rPr>
          <w:rStyle w:val="Refdenotaalpie"/>
          <w:rFonts w:ascii="Open Sans" w:hAnsi="Open Sans" w:cs="Open Sans"/>
          <w:sz w:val="20"/>
          <w:szCs w:val="20"/>
        </w:rPr>
        <w:footnoteReference w:id="173"/>
      </w:r>
      <w:r w:rsidR="006022CB" w:rsidRPr="006022CB">
        <w:rPr>
          <w:rFonts w:ascii="Open Sans" w:hAnsi="Open Sans" w:cs="Open Sans"/>
          <w:sz w:val="20"/>
          <w:szCs w:val="20"/>
        </w:rPr>
        <w:t>. Algunas de estas actividades de lobby han tenido un claro propósito fiscal</w:t>
      </w:r>
      <w:r w:rsidR="006022CB" w:rsidRPr="006022CB">
        <w:rPr>
          <w:rStyle w:val="Refdenotaalpie"/>
          <w:rFonts w:ascii="Open Sans" w:hAnsi="Open Sans" w:cs="Open Sans"/>
          <w:sz w:val="20"/>
          <w:szCs w:val="20"/>
        </w:rPr>
        <w:footnoteReference w:id="174"/>
      </w:r>
      <w:r w:rsidR="006022CB" w:rsidRPr="006022CB">
        <w:rPr>
          <w:rFonts w:ascii="Open Sans" w:hAnsi="Open Sans" w:cs="Open Sans"/>
          <w:sz w:val="20"/>
          <w:szCs w:val="20"/>
        </w:rPr>
        <w:t xml:space="preserve">. La presuntamente demostrada actividad de la compañía en este campo, unida a la nula información que se proporciona al respecto. </w:t>
      </w:r>
    </w:p>
    <w:p w14:paraId="65BAEFC6" w14:textId="77777777" w:rsidR="006022CB" w:rsidRPr="006022CB" w:rsidRDefault="006022CB" w:rsidP="00C17CF0">
      <w:pPr>
        <w:jc w:val="both"/>
        <w:rPr>
          <w:rFonts w:ascii="Open Sans" w:hAnsi="Open Sans" w:cs="Open Sans"/>
          <w:b/>
          <w:sz w:val="20"/>
          <w:szCs w:val="20"/>
        </w:rPr>
      </w:pPr>
    </w:p>
    <w:p w14:paraId="03FE2BB7" w14:textId="48DFC03B" w:rsidR="006022CB" w:rsidRDefault="008D6B8D" w:rsidP="008D6B8D">
      <w:pPr>
        <w:rPr>
          <w:rFonts w:ascii="Open Sans" w:hAnsi="Open Sans"/>
          <w:b/>
          <w:sz w:val="22"/>
          <w:szCs w:val="22"/>
        </w:rPr>
      </w:pPr>
      <w:r>
        <w:rPr>
          <w:rFonts w:ascii="Open Sans" w:hAnsi="Open Sans"/>
          <w:b/>
          <w:sz w:val="22"/>
          <w:szCs w:val="22"/>
        </w:rPr>
        <w:br w:type="page"/>
      </w:r>
    </w:p>
    <w:p w14:paraId="7FB54B27" w14:textId="77777777" w:rsidR="006022CB" w:rsidRPr="00C17CF0" w:rsidRDefault="006022CB" w:rsidP="00C17CF0">
      <w:pPr>
        <w:jc w:val="both"/>
        <w:rPr>
          <w:rFonts w:ascii="Open Sans" w:hAnsi="Open Sans"/>
          <w:b/>
          <w:sz w:val="22"/>
          <w:szCs w:val="22"/>
        </w:rPr>
      </w:pPr>
    </w:p>
    <w:p w14:paraId="04D574DD" w14:textId="7D96B482" w:rsidR="00C17CF0" w:rsidRDefault="00C17CF0" w:rsidP="00C17CF0">
      <w:pPr>
        <w:jc w:val="both"/>
        <w:rPr>
          <w:rFonts w:ascii="Open Sans" w:hAnsi="Open Sans"/>
          <w:b/>
          <w:sz w:val="22"/>
          <w:szCs w:val="22"/>
        </w:rPr>
      </w:pPr>
      <w:bookmarkStart w:id="49" w:name="RA4"/>
      <w:r w:rsidRPr="00C17CF0">
        <w:rPr>
          <w:rFonts w:ascii="Open Sans" w:hAnsi="Open Sans"/>
          <w:b/>
          <w:sz w:val="22"/>
          <w:szCs w:val="22"/>
        </w:rPr>
        <w:t>R.A.4. La empresa informa sobre las contingencias fiscales existentes.  (</w:t>
      </w:r>
      <w:r w:rsidR="007F55EB" w:rsidRPr="00C17CF0">
        <w:rPr>
          <w:rFonts w:ascii="Open Sans" w:hAnsi="Open Sans"/>
          <w:b/>
          <w:sz w:val="22"/>
          <w:szCs w:val="22"/>
        </w:rPr>
        <w:t>Entendiendo</w:t>
      </w:r>
      <w:r w:rsidRPr="00C17CF0">
        <w:rPr>
          <w:rFonts w:ascii="Open Sans" w:hAnsi="Open Sans"/>
          <w:b/>
          <w:sz w:val="22"/>
          <w:szCs w:val="22"/>
        </w:rPr>
        <w:t xml:space="preserve"> por tales aquellas operaciones o transacciones en las que existe riesgo significativo de que no coincida el criterio aplicado o que piensa aplicar la empresa con el de la administración)</w:t>
      </w:r>
      <w:bookmarkEnd w:id="49"/>
      <w:r>
        <w:rPr>
          <w:rFonts w:ascii="Open Sans" w:hAnsi="Open Sans"/>
          <w:b/>
          <w:sz w:val="22"/>
          <w:szCs w:val="22"/>
        </w:rPr>
        <w:t>.</w:t>
      </w:r>
    </w:p>
    <w:p w14:paraId="15593230" w14:textId="77777777" w:rsidR="00C17CF0" w:rsidRPr="00C17CF0" w:rsidRDefault="00C17CF0" w:rsidP="00C17CF0">
      <w:pPr>
        <w:jc w:val="both"/>
        <w:rPr>
          <w:rFonts w:ascii="Open Sans" w:hAnsi="Open Sans"/>
          <w:b/>
          <w:sz w:val="22"/>
          <w:szCs w:val="22"/>
        </w:rPr>
      </w:pPr>
    </w:p>
    <w:p w14:paraId="0BF0FADC" w14:textId="4153EC1F" w:rsidR="00C17CF0" w:rsidRDefault="00C17CF0" w:rsidP="00C17CF0">
      <w:pPr>
        <w:jc w:val="both"/>
        <w:rPr>
          <w:rFonts w:ascii="Open Sans" w:hAnsi="Open Sans"/>
          <w:b/>
          <w:sz w:val="22"/>
          <w:szCs w:val="22"/>
        </w:rPr>
      </w:pPr>
      <w:bookmarkStart w:id="50" w:name="RA5"/>
      <w:r w:rsidRPr="00C17CF0">
        <w:rPr>
          <w:rFonts w:ascii="Open Sans" w:hAnsi="Open Sans"/>
          <w:b/>
          <w:sz w:val="22"/>
          <w:szCs w:val="22"/>
        </w:rPr>
        <w:t>R.A.5. La empresa informa sobre si hay deudas tributarias en período ejecutivo, es decir, vencido el período voluntario de pago</w:t>
      </w:r>
      <w:r>
        <w:rPr>
          <w:rFonts w:ascii="Open Sans" w:hAnsi="Open Sans"/>
          <w:b/>
          <w:sz w:val="22"/>
          <w:szCs w:val="22"/>
        </w:rPr>
        <w:t>.</w:t>
      </w:r>
      <w:bookmarkEnd w:id="50"/>
    </w:p>
    <w:p w14:paraId="5219C2D3" w14:textId="77777777" w:rsidR="00C17CF0" w:rsidRPr="00C17CF0" w:rsidRDefault="00C17CF0" w:rsidP="00C17CF0">
      <w:pPr>
        <w:jc w:val="both"/>
        <w:rPr>
          <w:rFonts w:ascii="Open Sans" w:hAnsi="Open Sans"/>
          <w:b/>
          <w:sz w:val="22"/>
          <w:szCs w:val="22"/>
        </w:rPr>
      </w:pPr>
    </w:p>
    <w:p w14:paraId="36D482B8" w14:textId="5F65CF18" w:rsidR="00C17CF0" w:rsidRDefault="00C17CF0" w:rsidP="00C17CF0">
      <w:pPr>
        <w:jc w:val="both"/>
        <w:rPr>
          <w:rFonts w:ascii="Open Sans" w:hAnsi="Open Sans"/>
          <w:b/>
          <w:sz w:val="22"/>
          <w:szCs w:val="22"/>
        </w:rPr>
      </w:pPr>
      <w:bookmarkStart w:id="51" w:name="RA6"/>
      <w:r w:rsidRPr="00C17CF0">
        <w:rPr>
          <w:rFonts w:ascii="Open Sans" w:hAnsi="Open Sans"/>
          <w:b/>
          <w:sz w:val="22"/>
          <w:szCs w:val="22"/>
        </w:rPr>
        <w:t>R.A.6. La empresa aporta información sobre los litigios abiertos con administraciones tributarias (Entiéndase litigio en sentido amplio: judiciales, administrativos,…)</w:t>
      </w:r>
      <w:r>
        <w:rPr>
          <w:rFonts w:ascii="Open Sans" w:hAnsi="Open Sans"/>
          <w:b/>
          <w:sz w:val="22"/>
          <w:szCs w:val="22"/>
        </w:rPr>
        <w:t>.</w:t>
      </w:r>
      <w:bookmarkEnd w:id="51"/>
    </w:p>
    <w:p w14:paraId="4B964870" w14:textId="77777777" w:rsidR="00C17CF0" w:rsidRPr="00C17CF0" w:rsidRDefault="00C17CF0" w:rsidP="00C17CF0">
      <w:pPr>
        <w:jc w:val="both"/>
        <w:rPr>
          <w:rFonts w:ascii="Open Sans" w:hAnsi="Open Sans"/>
          <w:b/>
          <w:sz w:val="22"/>
          <w:szCs w:val="22"/>
        </w:rPr>
      </w:pPr>
    </w:p>
    <w:p w14:paraId="11A79A8C" w14:textId="7EE720EF" w:rsidR="00C17CF0" w:rsidRPr="00C17CF0" w:rsidRDefault="00C17CF0" w:rsidP="00C17CF0">
      <w:pPr>
        <w:jc w:val="both"/>
        <w:rPr>
          <w:rFonts w:ascii="Open Sans" w:hAnsi="Open Sans"/>
          <w:b/>
          <w:sz w:val="22"/>
          <w:szCs w:val="22"/>
        </w:rPr>
      </w:pPr>
      <w:bookmarkStart w:id="52" w:name="RA7"/>
      <w:r w:rsidRPr="00C17CF0">
        <w:rPr>
          <w:rFonts w:ascii="Open Sans" w:hAnsi="Open Sans"/>
          <w:b/>
          <w:sz w:val="22"/>
          <w:szCs w:val="22"/>
        </w:rPr>
        <w:t>R.A.7. La empresa aporta información sobre los litigios con administraciones tributarias resueltos en el último ejercicio económico. (Entiéndase litigio en sentido amplio: judiciales, administrativos,…)</w:t>
      </w:r>
      <w:bookmarkEnd w:id="52"/>
    </w:p>
    <w:p w14:paraId="737A2E97" w14:textId="77777777" w:rsidR="00E65917" w:rsidRDefault="00E65917" w:rsidP="00E65917">
      <w:pPr>
        <w:jc w:val="both"/>
        <w:rPr>
          <w:rFonts w:ascii="Open Sans" w:hAnsi="Open Sans"/>
          <w:b/>
          <w:sz w:val="20"/>
          <w:szCs w:val="20"/>
        </w:rPr>
      </w:pPr>
    </w:p>
    <w:p w14:paraId="53B90EAD" w14:textId="77777777" w:rsidR="000200E0" w:rsidRDefault="000200E0" w:rsidP="00EF0D79">
      <w:pPr>
        <w:jc w:val="both"/>
        <w:rPr>
          <w:rFonts w:ascii="Open Sans" w:hAnsi="Open Sans"/>
          <w:b/>
          <w:sz w:val="20"/>
          <w:szCs w:val="20"/>
        </w:rPr>
      </w:pPr>
    </w:p>
    <w:p w14:paraId="5CF62074" w14:textId="200DCDD5" w:rsidR="008D6B8D" w:rsidRPr="008D6B8D" w:rsidRDefault="008D6B8D" w:rsidP="008D6B8D">
      <w:pPr>
        <w:jc w:val="both"/>
        <w:rPr>
          <w:rFonts w:ascii="Open Sans" w:hAnsi="Open Sans" w:cs="Open Sans"/>
          <w:sz w:val="20"/>
          <w:szCs w:val="20"/>
        </w:rPr>
      </w:pPr>
      <w:r w:rsidRPr="008D6B8D">
        <w:rPr>
          <w:rFonts w:ascii="Open Sans" w:hAnsi="Open Sans" w:cs="Open Sans"/>
          <w:sz w:val="20"/>
          <w:szCs w:val="20"/>
        </w:rPr>
        <w:t xml:space="preserve">Muchas de las empresas analizadas mantienen litigios, bien en vía judicial bien en vía administrativa, con las administraciones tributarias. Este dato podría contradecir los compromisos adoptados por las empresas en relación a relación cooperativa con la administración o al menos </w:t>
      </w:r>
      <w:r w:rsidR="00C746AC">
        <w:rPr>
          <w:rFonts w:ascii="Open Sans" w:hAnsi="Open Sans" w:cs="Open Sans"/>
          <w:sz w:val="20"/>
          <w:szCs w:val="20"/>
        </w:rPr>
        <w:t xml:space="preserve">que </w:t>
      </w:r>
      <w:r w:rsidRPr="008D6B8D">
        <w:rPr>
          <w:rFonts w:ascii="Open Sans" w:hAnsi="Open Sans" w:cs="Open Sans"/>
          <w:sz w:val="20"/>
          <w:szCs w:val="20"/>
        </w:rPr>
        <w:t>esta no ha funcionado. La información facilitada en este apartado se limita en la mayoría de las ocasiones a litigios abiertos que mantienen abiertos las compañías analizadas en España siendo la información sobre controversias con las agencias tributarias fuera de España anecdótica.</w:t>
      </w:r>
    </w:p>
    <w:p w14:paraId="6947E378" w14:textId="77777777" w:rsidR="008D6B8D" w:rsidRPr="008D6B8D" w:rsidRDefault="008D6B8D" w:rsidP="008D6B8D">
      <w:pPr>
        <w:jc w:val="both"/>
        <w:rPr>
          <w:rFonts w:ascii="Open Sans" w:hAnsi="Open Sans" w:cs="Open Sans"/>
          <w:sz w:val="20"/>
          <w:szCs w:val="20"/>
        </w:rPr>
      </w:pPr>
    </w:p>
    <w:p w14:paraId="05EE70ED" w14:textId="45F4DC1F" w:rsidR="008D6B8D" w:rsidRPr="008D6B8D" w:rsidRDefault="00EE122A" w:rsidP="008D6B8D">
      <w:pPr>
        <w:jc w:val="both"/>
        <w:rPr>
          <w:rFonts w:ascii="Open Sans" w:hAnsi="Open Sans" w:cs="Open Sans"/>
          <w:sz w:val="20"/>
          <w:szCs w:val="20"/>
        </w:rPr>
      </w:pPr>
      <w:r w:rsidRPr="00EE122A">
        <w:rPr>
          <w:rFonts w:ascii="Open Sans" w:hAnsi="Open Sans" w:cs="Open Sans"/>
          <w:b/>
          <w:sz w:val="20"/>
          <w:szCs w:val="20"/>
        </w:rPr>
        <w:t>Hay</w:t>
      </w:r>
      <w:r w:rsidR="008D6B8D" w:rsidRPr="00EE122A">
        <w:rPr>
          <w:rFonts w:ascii="Open Sans" w:hAnsi="Open Sans" w:cs="Open Sans"/>
          <w:b/>
          <w:sz w:val="20"/>
          <w:szCs w:val="20"/>
        </w:rPr>
        <w:t xml:space="preserve"> empresas que mantienen contingencias y actas de disconformidad por importes muy cuantiosos, sin embargo muy pocas empresas presentan información detallada sobre el motivo de la discrepancia en cada uno de los casos</w:t>
      </w:r>
      <w:r w:rsidR="008D6B8D" w:rsidRPr="008D6B8D">
        <w:rPr>
          <w:rFonts w:ascii="Open Sans" w:hAnsi="Open Sans" w:cs="Open Sans"/>
          <w:sz w:val="20"/>
          <w:szCs w:val="20"/>
        </w:rPr>
        <w:t>.</w:t>
      </w:r>
    </w:p>
    <w:p w14:paraId="276EF104" w14:textId="77777777" w:rsidR="008D6B8D" w:rsidRPr="008D6B8D" w:rsidRDefault="008D6B8D" w:rsidP="008D6B8D">
      <w:pPr>
        <w:jc w:val="both"/>
        <w:rPr>
          <w:rFonts w:ascii="Open Sans" w:hAnsi="Open Sans" w:cs="Open Sans"/>
          <w:sz w:val="20"/>
          <w:szCs w:val="20"/>
        </w:rPr>
      </w:pPr>
    </w:p>
    <w:p w14:paraId="6620F3C7" w14:textId="69ED375D" w:rsidR="008D6B8D" w:rsidRPr="008D6B8D" w:rsidRDefault="00EE122A" w:rsidP="008D6B8D">
      <w:pPr>
        <w:widowControl w:val="0"/>
        <w:autoSpaceDE w:val="0"/>
        <w:autoSpaceDN w:val="0"/>
        <w:adjustRightInd w:val="0"/>
        <w:spacing w:before="120" w:after="160"/>
        <w:jc w:val="both"/>
        <w:rPr>
          <w:rFonts w:ascii="Open Sans" w:hAnsi="Open Sans" w:cs="Open Sans"/>
          <w:bCs/>
          <w:color w:val="1C1C1C"/>
          <w:sz w:val="20"/>
          <w:szCs w:val="20"/>
        </w:rPr>
      </w:pPr>
      <w:r w:rsidRPr="00EE122A">
        <w:rPr>
          <w:rStyle w:val="A12"/>
          <w:rFonts w:ascii="Open Sans" w:hAnsi="Open Sans" w:cs="Open Sans"/>
          <w:bCs/>
          <w:color w:val="1C1C1C"/>
          <w:sz w:val="20"/>
          <w:szCs w:val="20"/>
        </w:rPr>
        <w:t>TELEFÓNICA</w:t>
      </w:r>
      <w:r w:rsidR="008D6B8D" w:rsidRPr="008D6B8D">
        <w:rPr>
          <w:rStyle w:val="A12"/>
          <w:rFonts w:ascii="Open Sans" w:hAnsi="Open Sans" w:cs="Open Sans"/>
          <w:bCs/>
          <w:color w:val="1C1C1C"/>
          <w:sz w:val="20"/>
          <w:szCs w:val="20"/>
        </w:rPr>
        <w:t xml:space="preserve"> </w:t>
      </w:r>
      <w:r w:rsidR="008D6B8D" w:rsidRPr="00EE122A">
        <w:rPr>
          <w:rStyle w:val="A12"/>
          <w:rFonts w:ascii="Open Sans" w:hAnsi="Open Sans" w:cs="Open Sans"/>
          <w:bCs/>
          <w:color w:val="1C1C1C"/>
          <w:sz w:val="20"/>
          <w:szCs w:val="20"/>
        </w:rPr>
        <w:t xml:space="preserve">admite que recibió el expediente sancionador por 206 millones y ha presentado una reclamación en el Tribunal Central Contencioso Administrativo contra esta resolución, </w:t>
      </w:r>
      <w:r w:rsidR="008D6B8D" w:rsidRPr="008D6B8D">
        <w:rPr>
          <w:rStyle w:val="A12"/>
          <w:rFonts w:ascii="Open Sans" w:hAnsi="Open Sans" w:cs="Open Sans"/>
          <w:bCs/>
          <w:color w:val="1C1C1C"/>
          <w:sz w:val="20"/>
          <w:szCs w:val="20"/>
        </w:rPr>
        <w:t>motivo por el cual todavía no ha hecho una provisión por este concepto. Telefónica asegura que, ”como consecuencia del proceso de inspección en curso, no se estima que exista una necesidad de registrar pasivos adicionales en los estados consolidados del grupo” y que, no supondrá ningún pagó en efectivo porque dicha cantidad será recuperable en el futuro en la medida que se trata de diferencias temporarias que revertirán en los próximos ejercicios. Conforme a las noticias de prensa consultadas sobre este asunto</w:t>
      </w:r>
      <w:r w:rsidR="008D6B8D" w:rsidRPr="008D6B8D">
        <w:rPr>
          <w:rStyle w:val="Refdenotaalpie"/>
          <w:rFonts w:ascii="Open Sans" w:hAnsi="Open Sans" w:cs="Open Sans"/>
          <w:bCs/>
          <w:color w:val="1C1C1C"/>
          <w:sz w:val="20"/>
          <w:szCs w:val="20"/>
        </w:rPr>
        <w:t xml:space="preserve"> </w:t>
      </w:r>
      <w:r w:rsidR="008D6B8D" w:rsidRPr="008D6B8D">
        <w:rPr>
          <w:rStyle w:val="Refdenotaalpie"/>
          <w:rFonts w:ascii="Open Sans" w:hAnsi="Open Sans" w:cs="Open Sans"/>
          <w:bCs/>
          <w:color w:val="1C1C1C"/>
          <w:sz w:val="20"/>
          <w:szCs w:val="20"/>
        </w:rPr>
        <w:footnoteReference w:id="175"/>
      </w:r>
      <w:r w:rsidR="008D6B8D" w:rsidRPr="008D6B8D">
        <w:rPr>
          <w:rStyle w:val="A12"/>
          <w:rFonts w:ascii="Open Sans" w:hAnsi="Open Sans" w:cs="Open Sans"/>
          <w:bCs/>
          <w:color w:val="1C1C1C"/>
          <w:sz w:val="20"/>
          <w:szCs w:val="20"/>
        </w:rPr>
        <w:t>, de confirmarse, se trataría de la sanción más grande de Hacienda contra Telefónica, pero no la primera por contabilizar de forma errónea impuestos de sociedades. En 2013, la Agencia Tributaria ya le obligó a pagar 135 millones por las actas de inspección llevadas a cabo por la Agencia Tributaria de los ejercicios de 2005 a 2007. Anteriormente tuvo otro litigio que finalizó en 2012 en el Tribunal Supremo por los impuestos entre 1998 y 2000, por los que tuvo que pagar 110 millones.</w:t>
      </w:r>
    </w:p>
    <w:p w14:paraId="0C12324C" w14:textId="045E1BB7" w:rsidR="008D6B8D" w:rsidRDefault="008D6B8D" w:rsidP="008D6B8D">
      <w:pPr>
        <w:jc w:val="both"/>
        <w:rPr>
          <w:rFonts w:ascii="Open Sans" w:hAnsi="Open Sans" w:cs="Open Sans"/>
          <w:sz w:val="20"/>
          <w:szCs w:val="20"/>
        </w:rPr>
      </w:pPr>
      <w:r w:rsidRPr="008D6B8D">
        <w:rPr>
          <w:rFonts w:ascii="Open Sans" w:hAnsi="Open Sans" w:cs="Open Sans"/>
          <w:sz w:val="20"/>
          <w:szCs w:val="20"/>
        </w:rPr>
        <w:t xml:space="preserve">En relación con los </w:t>
      </w:r>
      <w:r w:rsidRPr="00EE122A">
        <w:rPr>
          <w:rFonts w:ascii="Open Sans" w:hAnsi="Open Sans" w:cs="Open Sans"/>
          <w:sz w:val="20"/>
          <w:szCs w:val="20"/>
        </w:rPr>
        <w:t>litigios fiscales que el Grupo Telefónica tiene abiertos en Brasil sobre impuestos directos e indirecto</w:t>
      </w:r>
      <w:r w:rsidR="009D6A21" w:rsidRPr="00EE122A">
        <w:rPr>
          <w:rFonts w:ascii="Open Sans" w:hAnsi="Open Sans" w:cs="Open Sans"/>
          <w:sz w:val="20"/>
          <w:szCs w:val="20"/>
        </w:rPr>
        <w:t>s</w:t>
      </w:r>
      <w:r w:rsidRPr="00EE122A">
        <w:rPr>
          <w:rFonts w:ascii="Open Sans" w:hAnsi="Open Sans" w:cs="Open Sans"/>
          <w:sz w:val="20"/>
          <w:szCs w:val="20"/>
        </w:rPr>
        <w:t xml:space="preserve">, </w:t>
      </w:r>
      <w:r w:rsidRPr="00EE122A">
        <w:rPr>
          <w:rFonts w:ascii="Open Sans" w:hAnsi="Open Sans" w:cs="Open Sans"/>
          <w:color w:val="000000"/>
          <w:sz w:val="20"/>
          <w:szCs w:val="20"/>
        </w:rPr>
        <w:t>todos los procesos relacionados con estos asuntos están siendo impugnados en todas las instancias (administrativas y judiciales)</w:t>
      </w:r>
      <w:r w:rsidR="007F55EB" w:rsidRPr="00EE122A">
        <w:rPr>
          <w:rFonts w:ascii="Open Sans" w:hAnsi="Open Sans" w:cs="Open Sans"/>
          <w:color w:val="000000"/>
          <w:sz w:val="20"/>
          <w:szCs w:val="20"/>
        </w:rPr>
        <w:t>, siendo</w:t>
      </w:r>
      <w:r w:rsidRPr="00EE122A">
        <w:rPr>
          <w:rFonts w:ascii="Open Sans" w:hAnsi="Open Sans" w:cs="Open Sans"/>
          <w:color w:val="000000"/>
          <w:sz w:val="20"/>
          <w:szCs w:val="20"/>
        </w:rPr>
        <w:t xml:space="preserve"> el importe total acumulado de dichas actas, incluyendo intereses, sanciones y otros conceptos, de aproximadamente, 11.900 millones de reales brasileños (aproximadamente 2.750 millones de euros). Informa que los citados procesos no se encuentran provisionados puesto q</w:t>
      </w:r>
      <w:r w:rsidRPr="008D6B8D">
        <w:rPr>
          <w:rFonts w:ascii="Open Sans" w:hAnsi="Open Sans" w:cs="Open Sans"/>
          <w:color w:val="000000"/>
          <w:sz w:val="20"/>
          <w:szCs w:val="20"/>
        </w:rPr>
        <w:t>ue la calificación del riesgo de los mismos es no probable</w:t>
      </w:r>
      <w:r>
        <w:rPr>
          <w:rFonts w:ascii="Open Sans" w:hAnsi="Open Sans" w:cs="Open Sans"/>
          <w:sz w:val="20"/>
          <w:szCs w:val="20"/>
        </w:rPr>
        <w:t xml:space="preserve">. </w:t>
      </w:r>
    </w:p>
    <w:p w14:paraId="3D651B0D" w14:textId="77777777" w:rsidR="008D6B8D" w:rsidRDefault="008D6B8D" w:rsidP="008D6B8D">
      <w:pPr>
        <w:jc w:val="both"/>
        <w:rPr>
          <w:rFonts w:ascii="Open Sans" w:hAnsi="Open Sans" w:cs="Open Sans"/>
          <w:sz w:val="20"/>
          <w:szCs w:val="20"/>
        </w:rPr>
      </w:pPr>
    </w:p>
    <w:p w14:paraId="21FB1306" w14:textId="312040DD" w:rsidR="008D6B8D" w:rsidRPr="00EE122A" w:rsidRDefault="008D6B8D" w:rsidP="008D6B8D">
      <w:pPr>
        <w:jc w:val="both"/>
        <w:rPr>
          <w:rFonts w:ascii="Open Sans" w:hAnsi="Open Sans" w:cs="Open Sans"/>
          <w:sz w:val="20"/>
          <w:szCs w:val="20"/>
        </w:rPr>
      </w:pPr>
      <w:r w:rsidRPr="00EE122A">
        <w:rPr>
          <w:rFonts w:ascii="Open Sans" w:hAnsi="Open Sans" w:cs="Open Sans"/>
          <w:color w:val="000000"/>
          <w:sz w:val="20"/>
          <w:szCs w:val="20"/>
        </w:rPr>
        <w:t>En relación con las reclamaciones fiscales en Perú, existen litigios abiertos por la liquidación del impuesto sobre sociedades de dos ejercicios, así como el de los pagos a cuenta de otro debido a las sentencias y resoluciones recibidas en junio y agosto en el año 2015. El Grupo decidió registrar una provisión en sus estados financieros consolidados adjuntos por un importe de 431 millones de euros.</w:t>
      </w:r>
    </w:p>
    <w:p w14:paraId="38158334" w14:textId="77777777" w:rsidR="008D6B8D" w:rsidRPr="00EE122A" w:rsidRDefault="008D6B8D" w:rsidP="008D6B8D">
      <w:pPr>
        <w:jc w:val="both"/>
        <w:rPr>
          <w:rFonts w:ascii="Open Sans" w:hAnsi="Open Sans" w:cs="Open Sans"/>
          <w:sz w:val="20"/>
          <w:szCs w:val="20"/>
        </w:rPr>
      </w:pPr>
    </w:p>
    <w:p w14:paraId="2964A910" w14:textId="479EB11C" w:rsidR="008D6B8D" w:rsidRPr="00EE122A" w:rsidRDefault="00EE122A" w:rsidP="008D6B8D">
      <w:pPr>
        <w:jc w:val="both"/>
        <w:rPr>
          <w:rFonts w:ascii="Open Sans" w:hAnsi="Open Sans" w:cs="Open Sans"/>
          <w:sz w:val="20"/>
          <w:szCs w:val="20"/>
        </w:rPr>
      </w:pPr>
      <w:r w:rsidRPr="00EE122A">
        <w:rPr>
          <w:rFonts w:ascii="Open Sans" w:hAnsi="Open Sans" w:cs="Open Sans"/>
          <w:sz w:val="20"/>
          <w:szCs w:val="20"/>
        </w:rPr>
        <w:t>GAMESA</w:t>
      </w:r>
      <w:r w:rsidR="008D6B8D" w:rsidRPr="00EE122A">
        <w:rPr>
          <w:rFonts w:ascii="Open Sans" w:hAnsi="Open Sans" w:cs="Open Sans"/>
          <w:sz w:val="20"/>
          <w:szCs w:val="20"/>
        </w:rPr>
        <w:t xml:space="preserve"> tiene provisiones para litigios que ascienden a 19.070.000 euros, pero no se aporta información sobre qué litigios las han originado.</w:t>
      </w:r>
    </w:p>
    <w:p w14:paraId="15B6A5C7" w14:textId="77777777" w:rsidR="008D6B8D" w:rsidRPr="00EE122A" w:rsidRDefault="008D6B8D" w:rsidP="008D6B8D">
      <w:pPr>
        <w:jc w:val="both"/>
        <w:rPr>
          <w:rFonts w:ascii="Open Sans" w:hAnsi="Open Sans" w:cs="Open Sans"/>
          <w:sz w:val="20"/>
          <w:szCs w:val="20"/>
        </w:rPr>
      </w:pPr>
    </w:p>
    <w:p w14:paraId="1B028A67" w14:textId="6C802BEC" w:rsidR="008D6B8D" w:rsidRPr="00EE122A" w:rsidRDefault="00EE122A" w:rsidP="008D6B8D">
      <w:pPr>
        <w:jc w:val="both"/>
        <w:rPr>
          <w:rFonts w:ascii="Open Sans" w:hAnsi="Open Sans" w:cs="Open Sans"/>
          <w:sz w:val="20"/>
          <w:szCs w:val="20"/>
        </w:rPr>
      </w:pPr>
      <w:r w:rsidRPr="00EE122A">
        <w:rPr>
          <w:rFonts w:ascii="Open Sans" w:hAnsi="Open Sans" w:cs="Open Sans"/>
          <w:sz w:val="20"/>
          <w:szCs w:val="20"/>
        </w:rPr>
        <w:t>CAIXABANK</w:t>
      </w:r>
      <w:r w:rsidR="008D6B8D" w:rsidRPr="00EE122A">
        <w:rPr>
          <w:rFonts w:ascii="Open Sans" w:hAnsi="Open Sans" w:cs="Open Sans"/>
          <w:sz w:val="20"/>
          <w:szCs w:val="20"/>
        </w:rPr>
        <w:t xml:space="preserve"> tiene provisionada por contingencias fiscales la nada desdeñable cantidad de 344.465 miles de euros, 33.171 miles de euros responden para la cobertura de los riesgos máximos que puedan derivarse de las actas firmadas en disconformidad que están pendientes de resolución por parte de la Audiencia Nacional, 202.252 miles de euros por disconformidad del  impuesto sobre depósitos. Y en un  apartado con el título de “otros” un total de 97.868 miles de euros. Sobre esta cantidad no informa acerca de qué ha motivado la provisión. </w:t>
      </w:r>
    </w:p>
    <w:p w14:paraId="4B84535B" w14:textId="77777777" w:rsidR="008D6B8D" w:rsidRPr="00EE122A" w:rsidRDefault="008D6B8D" w:rsidP="008D6B8D">
      <w:pPr>
        <w:jc w:val="both"/>
        <w:rPr>
          <w:rFonts w:ascii="Open Sans" w:hAnsi="Open Sans" w:cs="Open Sans"/>
          <w:sz w:val="20"/>
          <w:szCs w:val="20"/>
        </w:rPr>
      </w:pPr>
    </w:p>
    <w:p w14:paraId="2E7E9DE8" w14:textId="0C08D65C" w:rsidR="008D6B8D" w:rsidRPr="008D6B8D" w:rsidRDefault="00EE122A" w:rsidP="008D6B8D">
      <w:pPr>
        <w:jc w:val="both"/>
        <w:rPr>
          <w:rFonts w:ascii="Open Sans" w:hAnsi="Open Sans" w:cs="Open Sans"/>
          <w:sz w:val="20"/>
          <w:szCs w:val="20"/>
        </w:rPr>
      </w:pPr>
      <w:r w:rsidRPr="00EE122A">
        <w:rPr>
          <w:rFonts w:ascii="Open Sans" w:hAnsi="Open Sans" w:cs="Open Sans"/>
          <w:sz w:val="20"/>
          <w:szCs w:val="20"/>
        </w:rPr>
        <w:t>AMADEUS</w:t>
      </w:r>
      <w:r w:rsidR="008D6B8D" w:rsidRPr="00EE122A">
        <w:rPr>
          <w:rFonts w:ascii="Open Sans" w:hAnsi="Open Sans" w:cs="Open Sans"/>
          <w:sz w:val="20"/>
          <w:szCs w:val="20"/>
        </w:rPr>
        <w:t xml:space="preserve"> e</w:t>
      </w:r>
      <w:r w:rsidR="008D6B8D" w:rsidRPr="008D6B8D">
        <w:rPr>
          <w:rFonts w:ascii="Open Sans" w:hAnsi="Open Sans" w:cs="Open Sans"/>
          <w:sz w:val="20"/>
          <w:szCs w:val="20"/>
        </w:rPr>
        <w:t xml:space="preserve">n relación a las contingencias y litigios con las diversas agencias tributarias la única información que proporciona es que  al 31 de diciembre de 2015, </w:t>
      </w:r>
      <w:r w:rsidR="009D6A21">
        <w:rPr>
          <w:rFonts w:ascii="Open Sans" w:hAnsi="Open Sans" w:cs="Open Sans"/>
          <w:sz w:val="20"/>
          <w:szCs w:val="20"/>
        </w:rPr>
        <w:t xml:space="preserve">es que </w:t>
      </w:r>
      <w:r w:rsidR="008D6B8D" w:rsidRPr="008D6B8D">
        <w:rPr>
          <w:rFonts w:ascii="Open Sans" w:hAnsi="Open Sans" w:cs="Open Sans"/>
          <w:sz w:val="20"/>
          <w:szCs w:val="20"/>
        </w:rPr>
        <w:t>la Sociedad tiene abiertos a inspección los últimos cuatro años excepto para aquellos impuestos que han sido objeto de inspecciones de carácter total o parcial y que han concluido con la firma de actas en disconformidad, que se encuentran recurridas en vía Contenciosa-Administrativa.</w:t>
      </w:r>
    </w:p>
    <w:p w14:paraId="4A7C8A93" w14:textId="77777777" w:rsidR="008D6B8D" w:rsidRPr="008D6B8D" w:rsidRDefault="008D6B8D" w:rsidP="008D6B8D">
      <w:pPr>
        <w:jc w:val="both"/>
        <w:rPr>
          <w:rFonts w:ascii="Open Sans" w:hAnsi="Open Sans" w:cs="Open Sans"/>
          <w:sz w:val="20"/>
          <w:szCs w:val="20"/>
        </w:rPr>
      </w:pPr>
    </w:p>
    <w:p w14:paraId="26DCF335" w14:textId="77777777" w:rsidR="008D6B8D" w:rsidRPr="00EE122A" w:rsidRDefault="008D6B8D" w:rsidP="008D6B8D">
      <w:pPr>
        <w:autoSpaceDE w:val="0"/>
        <w:autoSpaceDN w:val="0"/>
        <w:adjustRightInd w:val="0"/>
        <w:jc w:val="both"/>
        <w:rPr>
          <w:rFonts w:ascii="Open Sans" w:hAnsi="Open Sans" w:cs="Open Sans"/>
          <w:sz w:val="20"/>
          <w:szCs w:val="20"/>
        </w:rPr>
      </w:pPr>
      <w:r w:rsidRPr="00EE122A">
        <w:rPr>
          <w:rFonts w:ascii="Open Sans" w:hAnsi="Open Sans" w:cs="Open Sans"/>
          <w:sz w:val="20"/>
          <w:szCs w:val="20"/>
        </w:rPr>
        <w:t>ACS i</w:t>
      </w:r>
      <w:r w:rsidRPr="008D6B8D">
        <w:rPr>
          <w:rFonts w:ascii="Open Sans" w:hAnsi="Open Sans" w:cs="Open Sans"/>
          <w:sz w:val="20"/>
          <w:szCs w:val="20"/>
        </w:rPr>
        <w:t xml:space="preserve">nforma que ha firmado actas de conformidad en una inspección que tiene abierta en concepto del Impuesto sobre Sociedades consolidado del Grupo, y por el Impuesto sobre el Valor Añadido igualmente en régimen de Grupo, determinándose una deuda tributaria de 1.485 miles de euros y 393 miles de euros, respectivamente, incluyendo cuotas de impuesto, intereses de demora y sanciones. No presenta información de otros posibles litigios y/ o sanciones en los distintos países en los que opera. </w:t>
      </w:r>
      <w:r w:rsidRPr="00EE122A">
        <w:rPr>
          <w:rFonts w:ascii="Open Sans" w:hAnsi="Open Sans" w:cs="Open Sans"/>
          <w:sz w:val="20"/>
          <w:szCs w:val="20"/>
        </w:rPr>
        <w:t>No se ha encontrado información acerca de la reclamación de 600 millones de euros por impago de impuestos por parte de la filial de ACS Hochtief por la gestión del aeropuerto de Atenas</w:t>
      </w:r>
      <w:r w:rsidRPr="00EE122A">
        <w:rPr>
          <w:rStyle w:val="Refdenotaalpie"/>
          <w:rFonts w:ascii="Open Sans" w:hAnsi="Open Sans" w:cs="Open Sans"/>
          <w:sz w:val="20"/>
          <w:szCs w:val="20"/>
        </w:rPr>
        <w:footnoteReference w:id="176"/>
      </w:r>
      <w:r w:rsidRPr="00EE122A">
        <w:rPr>
          <w:rFonts w:ascii="Open Sans" w:hAnsi="Open Sans" w:cs="Open Sans"/>
          <w:sz w:val="20"/>
          <w:szCs w:val="20"/>
        </w:rPr>
        <w:t>.</w:t>
      </w:r>
    </w:p>
    <w:p w14:paraId="056B0EE0" w14:textId="77777777" w:rsidR="008D6B8D" w:rsidRPr="008D6B8D" w:rsidRDefault="008D6B8D" w:rsidP="008D6B8D">
      <w:pPr>
        <w:autoSpaceDE w:val="0"/>
        <w:autoSpaceDN w:val="0"/>
        <w:adjustRightInd w:val="0"/>
        <w:jc w:val="both"/>
        <w:rPr>
          <w:rFonts w:ascii="Open Sans" w:hAnsi="Open Sans" w:cs="Open Sans"/>
          <w:sz w:val="20"/>
          <w:szCs w:val="20"/>
        </w:rPr>
      </w:pPr>
    </w:p>
    <w:p w14:paraId="772659F3" w14:textId="77777777" w:rsidR="008D6B8D" w:rsidRPr="00EE122A" w:rsidRDefault="008D6B8D" w:rsidP="008D6B8D">
      <w:pPr>
        <w:autoSpaceDE w:val="0"/>
        <w:autoSpaceDN w:val="0"/>
        <w:adjustRightInd w:val="0"/>
        <w:jc w:val="both"/>
        <w:rPr>
          <w:rFonts w:ascii="Open Sans" w:hAnsi="Open Sans" w:cs="Open Sans"/>
          <w:bCs/>
          <w:sz w:val="20"/>
          <w:szCs w:val="20"/>
        </w:rPr>
      </w:pPr>
      <w:r w:rsidRPr="00EE122A">
        <w:rPr>
          <w:rFonts w:ascii="Open Sans" w:hAnsi="Open Sans" w:cs="Open Sans"/>
          <w:sz w:val="20"/>
          <w:szCs w:val="20"/>
        </w:rPr>
        <w:t>BBVA</w:t>
      </w:r>
      <w:r w:rsidRPr="008D6B8D">
        <w:rPr>
          <w:rFonts w:ascii="Open Sans" w:hAnsi="Open Sans" w:cs="Open Sans"/>
          <w:sz w:val="20"/>
          <w:szCs w:val="20"/>
        </w:rPr>
        <w:t xml:space="preserve"> </w:t>
      </w:r>
      <w:r w:rsidRPr="00EE122A">
        <w:rPr>
          <w:rFonts w:ascii="Open Sans" w:hAnsi="Open Sans" w:cs="Open Sans"/>
          <w:bCs/>
          <w:sz w:val="20"/>
          <w:szCs w:val="20"/>
        </w:rPr>
        <w:t xml:space="preserve">menciona que es parte en determinados procedimientos judiciales en varias jurisdicciones (entre otras, España, México y Estados Unidos) derivados del curso ordinario de su negocio, pero no considera que se sean materiales ni que vayan a afectar de manera significativa, ni de forma individual o agregada, a las cuentas del grupo. No aporta más información sobre las causas que han originado el procedimiento judicial, ni a qué sociedades afecta, ni ejercicio fiscal, ni estado del procedimiento (iniciado, recurrido...) </w:t>
      </w:r>
    </w:p>
    <w:p w14:paraId="1555B06C" w14:textId="77777777" w:rsidR="008D6B8D" w:rsidRPr="008D6B8D" w:rsidRDefault="008D6B8D" w:rsidP="008D6B8D">
      <w:pPr>
        <w:jc w:val="both"/>
        <w:rPr>
          <w:rFonts w:ascii="Open Sans" w:hAnsi="Open Sans" w:cs="Open Sans"/>
          <w:sz w:val="20"/>
          <w:szCs w:val="20"/>
        </w:rPr>
      </w:pPr>
      <w:r w:rsidRPr="008D6B8D">
        <w:rPr>
          <w:rFonts w:ascii="Open Sans" w:hAnsi="Open Sans" w:cs="Open Sans"/>
          <w:bCs/>
          <w:sz w:val="20"/>
          <w:szCs w:val="20"/>
        </w:rPr>
        <w:t xml:space="preserve">En 2015 el Grupo tuvo que hacer frente a dos sanciones relativas a temas fiscales derivados de su actividad como intermediadora. Por un lado, </w:t>
      </w:r>
      <w:r w:rsidRPr="008D6B8D">
        <w:rPr>
          <w:rFonts w:ascii="Open Sans" w:hAnsi="Open Sans" w:cs="Open Sans"/>
          <w:sz w:val="20"/>
          <w:szCs w:val="20"/>
        </w:rPr>
        <w:t>BBVA Suiza llegó a un acuerdo con el Departamento de Justicia de los Estados Unidos para pagar cerca de 9 millones de euros a EEUU para cerrar una investigación por evasión fiscal</w:t>
      </w:r>
      <w:r w:rsidRPr="008D6B8D">
        <w:rPr>
          <w:rStyle w:val="Refdenotaalpie"/>
          <w:rFonts w:ascii="Open Sans" w:hAnsi="Open Sans" w:cs="Open Sans"/>
          <w:sz w:val="20"/>
          <w:szCs w:val="20"/>
        </w:rPr>
        <w:footnoteReference w:id="177"/>
      </w:r>
      <w:r w:rsidRPr="008D6B8D">
        <w:rPr>
          <w:rFonts w:ascii="Open Sans" w:hAnsi="Open Sans" w:cs="Open Sans"/>
          <w:sz w:val="20"/>
          <w:szCs w:val="20"/>
        </w:rPr>
        <w:t xml:space="preserve"> al considerarse que había colaborado presuntamente con contribuyentes norteamericanos en la evasión de impuestos utilizando las leyes de secreto bancario de Suiza para ocultar activos. Por otro lado, </w:t>
      </w:r>
      <w:r w:rsidRPr="00EE122A">
        <w:rPr>
          <w:rFonts w:ascii="Open Sans" w:hAnsi="Open Sans" w:cs="Open Sans"/>
          <w:sz w:val="20"/>
          <w:szCs w:val="20"/>
        </w:rPr>
        <w:t>Bruselas ha implicado a BBVA en un caso de fraude masivo de IVA heredado de la filial Garanti, afecta por una investigación en relación al comercio masivo de derechos de emisión de carbón por el que empresas habrían evitado pagar 5.000 millones en impuestos</w:t>
      </w:r>
      <w:r w:rsidRPr="008D6B8D">
        <w:rPr>
          <w:rStyle w:val="Refdenotaalpie"/>
          <w:rFonts w:ascii="Open Sans" w:hAnsi="Open Sans" w:cs="Open Sans"/>
          <w:sz w:val="20"/>
          <w:szCs w:val="20"/>
        </w:rPr>
        <w:footnoteReference w:id="178"/>
      </w:r>
      <w:r w:rsidRPr="008D6B8D">
        <w:rPr>
          <w:rFonts w:ascii="Open Sans" w:hAnsi="Open Sans" w:cs="Open Sans"/>
          <w:sz w:val="20"/>
          <w:szCs w:val="20"/>
        </w:rPr>
        <w:t>. Ninguno de estos dos incidentes ha sido incorporado ni mencionado en los diversos informes que ha publicado BBVA con respecto a su actividad en 2015.</w:t>
      </w:r>
    </w:p>
    <w:p w14:paraId="135DDD5A" w14:textId="77777777" w:rsidR="008D6B8D" w:rsidRPr="008D6B8D" w:rsidRDefault="008D6B8D" w:rsidP="008D6B8D">
      <w:pPr>
        <w:jc w:val="both"/>
        <w:rPr>
          <w:rFonts w:ascii="Open Sans" w:hAnsi="Open Sans" w:cs="Open Sans"/>
          <w:sz w:val="20"/>
          <w:szCs w:val="20"/>
        </w:rPr>
      </w:pPr>
    </w:p>
    <w:p w14:paraId="13018F6E" w14:textId="040D87C6" w:rsidR="008D6B8D" w:rsidRPr="00EE122A" w:rsidRDefault="00EE122A" w:rsidP="008D6B8D">
      <w:pPr>
        <w:jc w:val="both"/>
        <w:rPr>
          <w:rFonts w:ascii="Open Sans" w:hAnsi="Open Sans" w:cs="Open Sans"/>
          <w:sz w:val="20"/>
          <w:szCs w:val="20"/>
        </w:rPr>
      </w:pPr>
      <w:r w:rsidRPr="00EE122A">
        <w:rPr>
          <w:rFonts w:ascii="Open Sans" w:hAnsi="Open Sans" w:cs="Open Sans"/>
          <w:sz w:val="20"/>
          <w:szCs w:val="20"/>
        </w:rPr>
        <w:t>INDITEX</w:t>
      </w:r>
      <w:r w:rsidR="008D6B8D" w:rsidRPr="00EE122A">
        <w:rPr>
          <w:rFonts w:ascii="Open Sans" w:hAnsi="Open Sans" w:cs="Open Sans"/>
          <w:sz w:val="20"/>
          <w:szCs w:val="20"/>
        </w:rPr>
        <w:t xml:space="preserve"> informa en su Memoria Anual de comprobaciones en sociedades del grupo y destaca las domiciliadas en Italia, Francia, México y Turquía pero no aclara los motivos de las comprobaciones. Por fuentes externas se conoce que también en España tiene abiertas inspecciones relacionadas con el impuesto de sociedades y el IVA.</w:t>
      </w:r>
      <w:r w:rsidR="008D6B8D" w:rsidRPr="00EE122A">
        <w:rPr>
          <w:rStyle w:val="Refdenotaalpie"/>
          <w:rFonts w:ascii="Open Sans" w:hAnsi="Open Sans" w:cs="Open Sans"/>
          <w:sz w:val="20"/>
          <w:szCs w:val="20"/>
        </w:rPr>
        <w:footnoteReference w:id="179"/>
      </w:r>
      <w:r w:rsidR="008D6B8D" w:rsidRPr="00EE122A">
        <w:rPr>
          <w:rFonts w:ascii="Open Sans" w:hAnsi="Open Sans" w:cs="Open Sans"/>
          <w:sz w:val="20"/>
          <w:szCs w:val="20"/>
        </w:rPr>
        <w:t xml:space="preserve"> </w:t>
      </w:r>
      <w:r w:rsidR="008D6B8D" w:rsidRPr="00EE122A">
        <w:rPr>
          <w:rStyle w:val="Refdenotaalpie"/>
          <w:rFonts w:ascii="Open Sans" w:hAnsi="Open Sans" w:cs="Open Sans"/>
          <w:sz w:val="20"/>
          <w:szCs w:val="20"/>
        </w:rPr>
        <w:footnoteReference w:id="180"/>
      </w:r>
    </w:p>
    <w:p w14:paraId="3DE8183F" w14:textId="77777777" w:rsidR="008D6B8D" w:rsidRPr="00EE122A" w:rsidRDefault="008D6B8D" w:rsidP="008D6B8D">
      <w:pPr>
        <w:rPr>
          <w:rFonts w:ascii="Open Sans" w:hAnsi="Open Sans" w:cs="Open Sans"/>
          <w:sz w:val="20"/>
          <w:szCs w:val="20"/>
        </w:rPr>
      </w:pPr>
    </w:p>
    <w:p w14:paraId="0BF705F3" w14:textId="2A3DAE6D" w:rsidR="008D6B8D" w:rsidRPr="00EE122A" w:rsidRDefault="00EE122A" w:rsidP="008D6B8D">
      <w:pPr>
        <w:jc w:val="both"/>
        <w:rPr>
          <w:rFonts w:ascii="Open Sans" w:hAnsi="Open Sans" w:cs="Open Sans"/>
          <w:sz w:val="20"/>
          <w:szCs w:val="20"/>
        </w:rPr>
      </w:pPr>
      <w:r w:rsidRPr="00EE122A">
        <w:rPr>
          <w:rFonts w:ascii="Open Sans" w:hAnsi="Open Sans" w:cs="Open Sans"/>
          <w:sz w:val="20"/>
          <w:szCs w:val="20"/>
        </w:rPr>
        <w:t>BANCO SANTANDER</w:t>
      </w:r>
      <w:r w:rsidR="008D6B8D" w:rsidRPr="00EE122A">
        <w:rPr>
          <w:rFonts w:ascii="Open Sans" w:hAnsi="Open Sans" w:cs="Open Sans"/>
          <w:sz w:val="20"/>
          <w:szCs w:val="20"/>
        </w:rPr>
        <w:t xml:space="preserve"> tiene provisionados 57.440 miles de euros para responsabilidades que corresponden a reclamaciones legales y obligaciones pero no se informa de los hechos que las originan. También tiene otra partida de “otras provisiones” por importe de 55.086 miles de euros pero no explica que incluye este concepto. </w:t>
      </w:r>
    </w:p>
    <w:p w14:paraId="1EAC05AF" w14:textId="77777777" w:rsidR="008D6B8D" w:rsidRPr="00EE122A" w:rsidRDefault="008D6B8D" w:rsidP="008D6B8D">
      <w:pPr>
        <w:jc w:val="both"/>
        <w:rPr>
          <w:rFonts w:ascii="Open Sans" w:hAnsi="Open Sans" w:cs="Open Sans"/>
          <w:bCs/>
          <w:sz w:val="20"/>
          <w:szCs w:val="20"/>
        </w:rPr>
      </w:pPr>
    </w:p>
    <w:p w14:paraId="4862CC36" w14:textId="77777777" w:rsidR="008D6B8D" w:rsidRPr="00EE122A" w:rsidRDefault="008D6B8D" w:rsidP="008D6B8D">
      <w:pPr>
        <w:jc w:val="both"/>
        <w:rPr>
          <w:rFonts w:ascii="Open Sans" w:hAnsi="Open Sans" w:cs="Open Sans"/>
          <w:sz w:val="20"/>
          <w:szCs w:val="20"/>
        </w:rPr>
      </w:pPr>
      <w:r w:rsidRPr="00EE122A">
        <w:rPr>
          <w:rFonts w:ascii="Open Sans" w:hAnsi="Open Sans" w:cs="Open Sans"/>
          <w:sz w:val="20"/>
          <w:szCs w:val="20"/>
        </w:rPr>
        <w:t xml:space="preserve">Por lo que respecte a discrepancias con la Administración Tributaria, Banco de Santander provisiona para impuestos 997M€ que incluyen provisiones para procesos de naturaleza fiscal, sin ofrecer más información sobre los procesos fiscales (tipo, importe,…) que ha originado la provisión. </w:t>
      </w:r>
    </w:p>
    <w:p w14:paraId="7D0E1CB7" w14:textId="77777777" w:rsidR="008D6B8D" w:rsidRPr="00EE122A" w:rsidRDefault="008D6B8D" w:rsidP="008D6B8D">
      <w:pPr>
        <w:jc w:val="both"/>
        <w:rPr>
          <w:rFonts w:ascii="Open Sans" w:hAnsi="Open Sans" w:cs="Open Sans"/>
          <w:sz w:val="20"/>
          <w:szCs w:val="20"/>
          <w:u w:val="single"/>
        </w:rPr>
      </w:pPr>
    </w:p>
    <w:p w14:paraId="114111F5" w14:textId="77777777" w:rsidR="008D6B8D" w:rsidRPr="008D6B8D" w:rsidRDefault="008D6B8D" w:rsidP="008D6B8D">
      <w:pPr>
        <w:jc w:val="both"/>
        <w:rPr>
          <w:rFonts w:ascii="Open Sans" w:hAnsi="Open Sans" w:cs="Open Sans"/>
          <w:sz w:val="20"/>
          <w:szCs w:val="20"/>
        </w:rPr>
      </w:pPr>
      <w:r w:rsidRPr="008D6B8D">
        <w:rPr>
          <w:rFonts w:ascii="Open Sans" w:hAnsi="Open Sans" w:cs="Open Sans"/>
          <w:sz w:val="20"/>
          <w:szCs w:val="20"/>
        </w:rPr>
        <w:t xml:space="preserve">Respecto a litigios pendientes con administraciones tributarias, la entidad proporciona información sobre el tipo de litigio (acción judicial, liquidaciones complementarias, procesos administrativos y judiciales, y autos de infracción), motivo del litigio, ejercicio fiscal y elemento fiscal afectado (Impuesto sobre beneficios, liquidación de impuestos, cotizaciones de la seguridad social, deducción por doble imposición y tratamiento fiscal de determinadas operaciones). No se informa del número concreto de litigios en curso ni de la cantidad sujeta a reclamación, ni de la provisión por el importe de la pérdida estimada (en algunos casos no ha provisionado por considerarse un pasivo contingente).  La mayor parte de los litigios se han interpuesto a Banco Santander (Brasil) S.A., a excepción de una acción judicial interpuesta por Santander Holdings USA Inc y unas reclamaciones a Santander UK plc por el tratamiento fiscal de determinadas operaciones. </w:t>
      </w:r>
      <w:r w:rsidRPr="008D6B8D">
        <w:rPr>
          <w:rFonts w:ascii="Open Sans" w:eastAsia="Arial" w:hAnsi="Open Sans" w:cs="Open Sans"/>
          <w:color w:val="000000"/>
          <w:sz w:val="20"/>
          <w:szCs w:val="20"/>
        </w:rPr>
        <w:t xml:space="preserve">Respecto a los impuestos pagados en ejercicios anteriores, Banco Santander informa con cierto detalle, de diversos tipos de litigios con las administraciones tributarios mayoritariamente en Brasil, pero no se obtiene datos sobre los importes reclamados ni del volumen de las provisiones realizadas, con lo que no es posible saber el alcance de dichos litigios. </w:t>
      </w:r>
    </w:p>
    <w:p w14:paraId="085A8B6B" w14:textId="77777777" w:rsidR="008D6B8D" w:rsidRPr="008D6B8D" w:rsidRDefault="008D6B8D" w:rsidP="008D6B8D">
      <w:pPr>
        <w:jc w:val="both"/>
        <w:rPr>
          <w:rFonts w:ascii="Open Sans" w:hAnsi="Open Sans" w:cs="Open Sans"/>
          <w:bCs/>
          <w:sz w:val="20"/>
          <w:szCs w:val="20"/>
        </w:rPr>
      </w:pPr>
    </w:p>
    <w:p w14:paraId="14A3502E" w14:textId="4CEC0A02" w:rsidR="008D6B8D" w:rsidRPr="00EE122A" w:rsidRDefault="00EE122A" w:rsidP="008D6B8D">
      <w:pPr>
        <w:tabs>
          <w:tab w:val="left" w:pos="709"/>
        </w:tabs>
        <w:jc w:val="both"/>
        <w:rPr>
          <w:rFonts w:ascii="Open Sans" w:hAnsi="Open Sans" w:cs="Open Sans"/>
          <w:b/>
          <w:sz w:val="20"/>
          <w:szCs w:val="20"/>
        </w:rPr>
      </w:pPr>
      <w:r w:rsidRPr="00EE122A">
        <w:rPr>
          <w:rFonts w:ascii="Open Sans" w:hAnsi="Open Sans" w:cs="Open Sans"/>
          <w:sz w:val="20"/>
          <w:szCs w:val="20"/>
        </w:rPr>
        <w:t>REPSOL</w:t>
      </w:r>
      <w:r w:rsidR="008D6B8D" w:rsidRPr="008D6B8D">
        <w:rPr>
          <w:rFonts w:ascii="Open Sans" w:hAnsi="Open Sans" w:cs="Open Sans"/>
          <w:sz w:val="20"/>
          <w:szCs w:val="20"/>
        </w:rPr>
        <w:t xml:space="preserve"> </w:t>
      </w:r>
      <w:r w:rsidR="008D6B8D" w:rsidRPr="008D6B8D">
        <w:rPr>
          <w:rFonts w:ascii="Open Sans" w:hAnsi="Open Sans" w:cs="Open Sans"/>
          <w:bCs/>
          <w:sz w:val="20"/>
          <w:szCs w:val="20"/>
        </w:rPr>
        <w:t xml:space="preserve">en las cuentas anuales incluye un apartado específico sobre “Actuaciones administrativas y judiciales con trascendencia fiscal” en el que Repsol detalla los principales litigios que mantenía abiertos a 31 de diciembre con las Administraciones Tributarias de los países en los que tiene presencia. En dicho apartado se ofrece información agrupada por país, explicando los motivos que los ocasionan, su evolución y las empresas del Grupo relacionadas con ellos. Concretamente </w:t>
      </w:r>
      <w:r w:rsidR="008D6B8D" w:rsidRPr="00EE122A">
        <w:rPr>
          <w:rFonts w:ascii="Open Sans" w:hAnsi="Open Sans" w:cs="Open Sans"/>
          <w:bCs/>
          <w:sz w:val="20"/>
          <w:szCs w:val="20"/>
        </w:rPr>
        <w:t xml:space="preserve">en las cuentas anuales de 2015 se indica la existencia de litigios abiertos en las siguientes jurisdicciones: Bolivia, Brasil, Canadá, Ecuador, España, Indonesia, Malasia, Timor Oriental y Trinidad y Tobago. El importe registrado para todos ellos se publica de forma agregada, suponiendo un total para el Grupo de 1.524 millones de euros a 31 de diciembre de 2015 (frente a los 649 millones de euros de diciembre 2014). </w:t>
      </w:r>
    </w:p>
    <w:p w14:paraId="5847B30D" w14:textId="77777777" w:rsidR="008D6B8D" w:rsidRPr="008D6B8D" w:rsidRDefault="008D6B8D" w:rsidP="008D6B8D">
      <w:pPr>
        <w:autoSpaceDE w:val="0"/>
        <w:autoSpaceDN w:val="0"/>
        <w:adjustRightInd w:val="0"/>
        <w:jc w:val="both"/>
        <w:rPr>
          <w:rFonts w:ascii="Open Sans" w:hAnsi="Open Sans" w:cs="Open Sans"/>
          <w:sz w:val="20"/>
          <w:szCs w:val="20"/>
        </w:rPr>
      </w:pPr>
    </w:p>
    <w:p w14:paraId="51ACD85B" w14:textId="03D576BC" w:rsidR="008D6B8D" w:rsidRPr="00EE122A" w:rsidRDefault="00EE122A" w:rsidP="008D6B8D">
      <w:pPr>
        <w:tabs>
          <w:tab w:val="left" w:pos="709"/>
        </w:tabs>
        <w:jc w:val="both"/>
        <w:rPr>
          <w:rFonts w:ascii="Open Sans" w:hAnsi="Open Sans" w:cs="Open Sans"/>
          <w:bCs/>
          <w:sz w:val="20"/>
          <w:szCs w:val="20"/>
        </w:rPr>
      </w:pPr>
      <w:r w:rsidRPr="00EE122A">
        <w:rPr>
          <w:rFonts w:ascii="Open Sans" w:hAnsi="Open Sans" w:cs="Open Sans"/>
          <w:sz w:val="20"/>
          <w:szCs w:val="20"/>
        </w:rPr>
        <w:t>FERROVIAL</w:t>
      </w:r>
      <w:r w:rsidR="008D6B8D" w:rsidRPr="008D6B8D">
        <w:rPr>
          <w:rFonts w:ascii="Open Sans" w:hAnsi="Open Sans" w:cs="Open Sans"/>
          <w:sz w:val="20"/>
          <w:szCs w:val="20"/>
        </w:rPr>
        <w:t xml:space="preserve"> </w:t>
      </w:r>
      <w:r w:rsidR="008D6B8D" w:rsidRPr="00EE122A">
        <w:rPr>
          <w:rFonts w:ascii="Open Sans" w:hAnsi="Open Sans" w:cs="Open Sans"/>
          <w:bCs/>
          <w:sz w:val="20"/>
          <w:szCs w:val="20"/>
        </w:rPr>
        <w:t xml:space="preserve">respecto a los litigios fiscales abiertos la información que aporta en el Informe Integrado es que no existen procesos de inspección abiertos y que </w:t>
      </w:r>
      <w:r w:rsidR="008D6B8D" w:rsidRPr="00EE122A">
        <w:rPr>
          <w:rFonts w:ascii="Open Sans" w:hAnsi="Open Sans" w:cs="Open Sans"/>
          <w:bCs/>
          <w:i/>
          <w:sz w:val="20"/>
          <w:szCs w:val="20"/>
        </w:rPr>
        <w:t>«se ha comunicado el inicio de expediente sancionador por indebida acreditación de bases imponible negativas, del cual se estima puede derivarse una deuda tributaria a pagar en 2016 de 7 millones de euros».</w:t>
      </w:r>
      <w:r w:rsidR="008D6B8D" w:rsidRPr="00EE122A">
        <w:rPr>
          <w:rFonts w:ascii="Open Sans" w:hAnsi="Open Sans" w:cs="Open Sans"/>
          <w:bCs/>
          <w:sz w:val="20"/>
          <w:szCs w:val="20"/>
        </w:rPr>
        <w:t xml:space="preserve"> Sin embargo únicamente se cita la jurisdicción española y no se hace mención alguna a la existencia o no de litigios abiertos en otras de las muchas jurisdicciones en las que el Grupo está presente. Puede cuestionarse que la información indicada en el párrafo sobre litigios abiertos en el ámbito fiscal que publica Ferrovial sea completa si la comparamos con la cifra de 246 millones de euros que se incluye en las cuentas anuales por “</w:t>
      </w:r>
      <w:r w:rsidR="008D6B8D" w:rsidRPr="00EE122A">
        <w:rPr>
          <w:rFonts w:ascii="Open Sans" w:hAnsi="Open Sans" w:cs="Open Sans"/>
          <w:bCs/>
          <w:i/>
          <w:sz w:val="20"/>
          <w:szCs w:val="20"/>
        </w:rPr>
        <w:t>provisiones por reclamaciones de carácter tributario</w:t>
      </w:r>
      <w:r w:rsidR="008D6B8D" w:rsidRPr="00EE122A">
        <w:rPr>
          <w:rFonts w:ascii="Open Sans" w:hAnsi="Open Sans" w:cs="Open Sans"/>
          <w:bCs/>
          <w:sz w:val="20"/>
          <w:szCs w:val="20"/>
        </w:rPr>
        <w:t>”. Sobre la existencia de contingencias la empresa indica que «</w:t>
      </w:r>
      <w:r w:rsidR="008D6B8D" w:rsidRPr="00EE122A">
        <w:rPr>
          <w:rFonts w:ascii="Open Sans" w:hAnsi="Open Sans" w:cs="Open Sans"/>
          <w:bCs/>
          <w:i/>
          <w:sz w:val="20"/>
          <w:szCs w:val="20"/>
        </w:rPr>
        <w:t>considera que las posibles contingencias significativas de carácter tributario se encuentran adecuadamente provisionadas al cierre del ejercicio</w:t>
      </w:r>
      <w:r w:rsidR="008D6B8D" w:rsidRPr="00EE122A">
        <w:rPr>
          <w:rFonts w:ascii="Open Sans" w:hAnsi="Open Sans" w:cs="Open Sans"/>
          <w:bCs/>
          <w:sz w:val="20"/>
          <w:szCs w:val="20"/>
        </w:rPr>
        <w:t>» sin indicar cuáles son, su importe ni los motivos de su existencia.</w:t>
      </w:r>
    </w:p>
    <w:p w14:paraId="51F46461" w14:textId="77777777" w:rsidR="008D6B8D" w:rsidRPr="00EE122A" w:rsidRDefault="008D6B8D" w:rsidP="00EF0D79">
      <w:pPr>
        <w:jc w:val="both"/>
        <w:rPr>
          <w:rFonts w:ascii="Open Sans" w:hAnsi="Open Sans"/>
          <w:b/>
          <w:sz w:val="20"/>
          <w:szCs w:val="20"/>
        </w:rPr>
      </w:pPr>
    </w:p>
    <w:p w14:paraId="27BBB1D6" w14:textId="77777777" w:rsidR="008D6B8D" w:rsidRDefault="008D6B8D" w:rsidP="00EF0D79">
      <w:pPr>
        <w:jc w:val="both"/>
        <w:rPr>
          <w:rFonts w:ascii="Open Sans" w:hAnsi="Open Sans"/>
          <w:b/>
          <w:sz w:val="20"/>
          <w:szCs w:val="20"/>
        </w:rPr>
      </w:pPr>
    </w:p>
    <w:p w14:paraId="66A214FD" w14:textId="77777777" w:rsidR="008D6B8D" w:rsidRDefault="008D6B8D" w:rsidP="00EF0D79">
      <w:pPr>
        <w:jc w:val="both"/>
        <w:rPr>
          <w:rFonts w:ascii="Open Sans" w:hAnsi="Open Sans"/>
          <w:b/>
          <w:sz w:val="20"/>
          <w:szCs w:val="20"/>
        </w:rPr>
      </w:pPr>
    </w:p>
    <w:p w14:paraId="730C1B3A" w14:textId="77777777" w:rsidR="008D6B8D" w:rsidRDefault="008D6B8D" w:rsidP="00EF0D79">
      <w:pPr>
        <w:jc w:val="both"/>
        <w:rPr>
          <w:rFonts w:ascii="Open Sans" w:hAnsi="Open Sans"/>
          <w:b/>
          <w:sz w:val="20"/>
          <w:szCs w:val="20"/>
        </w:rPr>
      </w:pPr>
    </w:p>
    <w:p w14:paraId="327D80CC" w14:textId="77777777" w:rsidR="008D6B8D" w:rsidRDefault="008D6B8D" w:rsidP="00EF0D79">
      <w:pPr>
        <w:jc w:val="both"/>
        <w:rPr>
          <w:rFonts w:ascii="Open Sans" w:hAnsi="Open Sans"/>
          <w:b/>
          <w:sz w:val="20"/>
          <w:szCs w:val="20"/>
        </w:rPr>
      </w:pPr>
    </w:p>
    <w:p w14:paraId="726C6ACA" w14:textId="77777777" w:rsidR="000200E0" w:rsidRDefault="000200E0" w:rsidP="00EF0D79">
      <w:pPr>
        <w:jc w:val="both"/>
        <w:rPr>
          <w:rFonts w:ascii="Open Sans" w:hAnsi="Open Sans"/>
          <w:b/>
          <w:sz w:val="20"/>
          <w:szCs w:val="20"/>
        </w:rPr>
      </w:pPr>
    </w:p>
    <w:p w14:paraId="22CB8BCB" w14:textId="5FC6C6D3" w:rsidR="00C17CF0" w:rsidRDefault="00C17CF0">
      <w:pPr>
        <w:rPr>
          <w:rFonts w:ascii="Open Sans" w:hAnsi="Open Sans" w:cs="Open Sans"/>
          <w:sz w:val="20"/>
          <w:szCs w:val="20"/>
        </w:rPr>
      </w:pPr>
      <w:r>
        <w:rPr>
          <w:rFonts w:ascii="Open Sans" w:hAnsi="Open Sans" w:cs="Open Sans"/>
          <w:sz w:val="20"/>
          <w:szCs w:val="20"/>
        </w:rPr>
        <w:br w:type="page"/>
      </w:r>
    </w:p>
    <w:p w14:paraId="67C67733" w14:textId="77777777" w:rsidR="004918A8" w:rsidRDefault="004918A8" w:rsidP="004918A8">
      <w:pPr>
        <w:autoSpaceDE w:val="0"/>
        <w:autoSpaceDN w:val="0"/>
        <w:adjustRightInd w:val="0"/>
        <w:jc w:val="both"/>
        <w:rPr>
          <w:rFonts w:ascii="Open Sans" w:hAnsi="Open Sans" w:cs="Open Sans"/>
          <w:sz w:val="20"/>
          <w:szCs w:val="20"/>
        </w:rPr>
      </w:pPr>
    </w:p>
    <w:p w14:paraId="75BEAC4E" w14:textId="33DDBB1C" w:rsidR="004918A8" w:rsidRPr="00F520B8" w:rsidRDefault="00841317" w:rsidP="004918A8">
      <w:pPr>
        <w:pStyle w:val="Titulo3-informefinal"/>
      </w:pPr>
      <w:bookmarkStart w:id="53" w:name="_Toc354061520"/>
      <w:r>
        <w:t>4</w:t>
      </w:r>
      <w:r w:rsidR="004918A8">
        <w:t>.5</w:t>
      </w:r>
      <w:r w:rsidR="004918A8" w:rsidRPr="00F520B8">
        <w:t xml:space="preserve">. </w:t>
      </w:r>
      <w:r w:rsidR="004918A8">
        <w:t>Operativa de la empresa</w:t>
      </w:r>
      <w:bookmarkEnd w:id="53"/>
    </w:p>
    <w:p w14:paraId="2EE52A11" w14:textId="77777777" w:rsidR="004918A8" w:rsidRDefault="004918A8" w:rsidP="004918A8">
      <w:pPr>
        <w:rPr>
          <w:rFonts w:ascii="Open Sans" w:hAnsi="Open Sans" w:cs="Arial"/>
          <w:b/>
          <w:sz w:val="20"/>
          <w:szCs w:val="20"/>
        </w:rPr>
      </w:pPr>
    </w:p>
    <w:tbl>
      <w:tblPr>
        <w:tblW w:w="7797" w:type="dxa"/>
        <w:jc w:val="center"/>
        <w:tblInd w:w="70" w:type="dxa"/>
        <w:tblLayout w:type="fixed"/>
        <w:tblCellMar>
          <w:left w:w="70" w:type="dxa"/>
          <w:right w:w="70" w:type="dxa"/>
        </w:tblCellMar>
        <w:tblLook w:val="04A0" w:firstRow="1" w:lastRow="0" w:firstColumn="1" w:lastColumn="0" w:noHBand="0" w:noVBand="1"/>
      </w:tblPr>
      <w:tblGrid>
        <w:gridCol w:w="756"/>
        <w:gridCol w:w="4064"/>
        <w:gridCol w:w="1417"/>
        <w:gridCol w:w="1560"/>
      </w:tblGrid>
      <w:tr w:rsidR="00C17CF0" w:rsidRPr="00C17CF0" w14:paraId="68591DAD" w14:textId="77777777" w:rsidTr="0060302B">
        <w:trPr>
          <w:trHeight w:val="615"/>
          <w:jc w:val="center"/>
        </w:trPr>
        <w:tc>
          <w:tcPr>
            <w:tcW w:w="756" w:type="dxa"/>
            <w:tcBorders>
              <w:top w:val="single" w:sz="8" w:space="0" w:color="auto"/>
              <w:left w:val="single" w:sz="8" w:space="0" w:color="auto"/>
              <w:bottom w:val="single" w:sz="8" w:space="0" w:color="auto"/>
              <w:right w:val="single" w:sz="8" w:space="0" w:color="auto"/>
            </w:tcBorders>
            <w:shd w:val="clear" w:color="000000" w:fill="F2AC3C"/>
            <w:noWrap/>
            <w:vAlign w:val="center"/>
            <w:hideMark/>
          </w:tcPr>
          <w:p w14:paraId="657A96F7" w14:textId="77777777" w:rsidR="00C17CF0" w:rsidRPr="00C17CF0" w:rsidRDefault="00C17CF0" w:rsidP="00BC63A1">
            <w:pPr>
              <w:jc w:val="center"/>
              <w:rPr>
                <w:rFonts w:ascii="Open Sans" w:eastAsia="Times New Roman" w:hAnsi="Open Sans" w:cs="Open Sans"/>
                <w:b/>
                <w:bCs/>
                <w:color w:val="000000"/>
                <w:sz w:val="20"/>
                <w:szCs w:val="20"/>
              </w:rPr>
            </w:pPr>
            <w:r w:rsidRPr="00C17CF0">
              <w:rPr>
                <w:rFonts w:ascii="Open Sans" w:eastAsia="Times New Roman" w:hAnsi="Open Sans" w:cs="Open Sans"/>
                <w:b/>
                <w:bCs/>
                <w:color w:val="000000"/>
                <w:sz w:val="20"/>
                <w:szCs w:val="20"/>
              </w:rPr>
              <w:t>COD.</w:t>
            </w:r>
          </w:p>
        </w:tc>
        <w:tc>
          <w:tcPr>
            <w:tcW w:w="4064" w:type="dxa"/>
            <w:tcBorders>
              <w:top w:val="single" w:sz="8" w:space="0" w:color="auto"/>
              <w:left w:val="nil"/>
              <w:bottom w:val="single" w:sz="8" w:space="0" w:color="auto"/>
              <w:right w:val="single" w:sz="8" w:space="0" w:color="auto"/>
            </w:tcBorders>
            <w:shd w:val="clear" w:color="000000" w:fill="F2AC3C"/>
            <w:noWrap/>
            <w:vAlign w:val="center"/>
            <w:hideMark/>
          </w:tcPr>
          <w:p w14:paraId="2AFE7280" w14:textId="77777777" w:rsidR="00C17CF0" w:rsidRPr="00C17CF0" w:rsidRDefault="00C17CF0" w:rsidP="00BC63A1">
            <w:pPr>
              <w:jc w:val="center"/>
              <w:rPr>
                <w:rFonts w:ascii="Open Sans" w:eastAsia="Times New Roman" w:hAnsi="Open Sans" w:cs="Open Sans"/>
                <w:b/>
                <w:bCs/>
                <w:color w:val="000000"/>
                <w:sz w:val="20"/>
                <w:szCs w:val="20"/>
              </w:rPr>
            </w:pPr>
            <w:r w:rsidRPr="00C17CF0">
              <w:rPr>
                <w:rFonts w:ascii="Open Sans" w:eastAsia="Times New Roman" w:hAnsi="Open Sans" w:cs="Open Sans"/>
                <w:b/>
                <w:bCs/>
                <w:color w:val="000000"/>
                <w:sz w:val="20"/>
                <w:szCs w:val="20"/>
              </w:rPr>
              <w:t>FISCALIDAD</w:t>
            </w:r>
          </w:p>
        </w:tc>
        <w:tc>
          <w:tcPr>
            <w:tcW w:w="1417" w:type="dxa"/>
            <w:tcBorders>
              <w:top w:val="single" w:sz="8" w:space="0" w:color="auto"/>
              <w:left w:val="nil"/>
              <w:bottom w:val="single" w:sz="8" w:space="0" w:color="auto"/>
              <w:right w:val="single" w:sz="8" w:space="0" w:color="auto"/>
            </w:tcBorders>
            <w:shd w:val="clear" w:color="000000" w:fill="F2AC3C"/>
            <w:vAlign w:val="center"/>
            <w:hideMark/>
          </w:tcPr>
          <w:p w14:paraId="7E7B5A22" w14:textId="77777777" w:rsidR="00C17CF0" w:rsidRPr="00C17CF0" w:rsidRDefault="00C17CF0" w:rsidP="00BC63A1">
            <w:pPr>
              <w:jc w:val="center"/>
              <w:rPr>
                <w:rFonts w:ascii="Open Sans" w:eastAsia="Times New Roman" w:hAnsi="Open Sans" w:cs="Open Sans"/>
                <w:b/>
                <w:bCs/>
                <w:color w:val="000000"/>
                <w:sz w:val="20"/>
                <w:szCs w:val="20"/>
              </w:rPr>
            </w:pPr>
            <w:r w:rsidRPr="00C17CF0">
              <w:rPr>
                <w:rFonts w:ascii="Open Sans" w:eastAsia="Times New Roman" w:hAnsi="Open Sans" w:cs="Open Sans"/>
                <w:b/>
                <w:bCs/>
                <w:color w:val="000000"/>
                <w:sz w:val="20"/>
                <w:szCs w:val="20"/>
              </w:rPr>
              <w:t>NÚMERO EMPRESAS</w:t>
            </w:r>
          </w:p>
        </w:tc>
        <w:tc>
          <w:tcPr>
            <w:tcW w:w="1560" w:type="dxa"/>
            <w:tcBorders>
              <w:top w:val="single" w:sz="8" w:space="0" w:color="auto"/>
              <w:left w:val="nil"/>
              <w:bottom w:val="single" w:sz="8" w:space="0" w:color="auto"/>
              <w:right w:val="single" w:sz="8" w:space="0" w:color="auto"/>
            </w:tcBorders>
            <w:shd w:val="clear" w:color="000000" w:fill="F2AC3C"/>
            <w:vAlign w:val="center"/>
            <w:hideMark/>
          </w:tcPr>
          <w:p w14:paraId="5D3DCF0C" w14:textId="77777777" w:rsidR="00C17CF0" w:rsidRPr="00C17CF0" w:rsidRDefault="00C17CF0" w:rsidP="00BC63A1">
            <w:pPr>
              <w:jc w:val="center"/>
              <w:rPr>
                <w:rFonts w:ascii="Open Sans" w:eastAsia="Times New Roman" w:hAnsi="Open Sans" w:cs="Open Sans"/>
                <w:b/>
                <w:bCs/>
                <w:color w:val="000000"/>
                <w:sz w:val="20"/>
                <w:szCs w:val="20"/>
              </w:rPr>
            </w:pPr>
            <w:r w:rsidRPr="00C17CF0">
              <w:rPr>
                <w:rFonts w:ascii="Open Sans" w:eastAsia="Times New Roman" w:hAnsi="Open Sans" w:cs="Open Sans"/>
                <w:b/>
                <w:bCs/>
                <w:color w:val="000000"/>
                <w:sz w:val="20"/>
                <w:szCs w:val="20"/>
              </w:rPr>
              <w:t>%</w:t>
            </w:r>
          </w:p>
        </w:tc>
      </w:tr>
      <w:tr w:rsidR="00C17CF0" w:rsidRPr="00C17CF0" w14:paraId="53028086" w14:textId="77777777" w:rsidTr="0060302B">
        <w:trPr>
          <w:trHeight w:val="888"/>
          <w:jc w:val="center"/>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3DD4566E" w14:textId="0DA5CA2D" w:rsidR="00C17CF0" w:rsidRPr="00C17CF0" w:rsidRDefault="00C17CF0" w:rsidP="00BC63A1">
            <w:pPr>
              <w:jc w:val="center"/>
              <w:rPr>
                <w:rFonts w:ascii="Open Sans" w:eastAsia="Times New Roman" w:hAnsi="Open Sans" w:cs="Open Sans"/>
                <w:b/>
                <w:bCs/>
                <w:color w:val="000000"/>
                <w:sz w:val="20"/>
                <w:szCs w:val="20"/>
              </w:rPr>
            </w:pPr>
            <w:bookmarkStart w:id="54" w:name="OE1"/>
            <w:r w:rsidRPr="00C17CF0">
              <w:rPr>
                <w:rFonts w:ascii="Open Sans" w:eastAsia="Times New Roman" w:hAnsi="Open Sans" w:cs="Open Sans"/>
                <w:b/>
                <w:bCs/>
                <w:color w:val="000000"/>
                <w:sz w:val="20"/>
                <w:szCs w:val="20"/>
              </w:rPr>
              <w:t>O.E.1</w:t>
            </w:r>
            <w:bookmarkEnd w:id="54"/>
          </w:p>
        </w:tc>
        <w:tc>
          <w:tcPr>
            <w:tcW w:w="4064" w:type="dxa"/>
            <w:tcBorders>
              <w:top w:val="nil"/>
              <w:left w:val="nil"/>
              <w:bottom w:val="single" w:sz="8" w:space="0" w:color="auto"/>
              <w:right w:val="single" w:sz="8" w:space="0" w:color="auto"/>
            </w:tcBorders>
            <w:shd w:val="clear" w:color="000000" w:fill="FFFFFF"/>
            <w:hideMark/>
          </w:tcPr>
          <w:p w14:paraId="160498F9" w14:textId="68A6229B"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 xml:space="preserve">La empresa indica si son las actividades financieras y/o de seguros unas de las principales fuentes de ingresos de la empresa </w:t>
            </w:r>
          </w:p>
        </w:tc>
        <w:tc>
          <w:tcPr>
            <w:tcW w:w="1417" w:type="dxa"/>
            <w:tcBorders>
              <w:top w:val="nil"/>
              <w:left w:val="nil"/>
              <w:bottom w:val="single" w:sz="8" w:space="0" w:color="auto"/>
              <w:right w:val="single" w:sz="8" w:space="0" w:color="auto"/>
            </w:tcBorders>
            <w:shd w:val="clear" w:color="000000" w:fill="FFFFFF"/>
            <w:vAlign w:val="center"/>
            <w:hideMark/>
          </w:tcPr>
          <w:p w14:paraId="496D4839" w14:textId="116971E0"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7</w:t>
            </w:r>
          </w:p>
        </w:tc>
        <w:tc>
          <w:tcPr>
            <w:tcW w:w="1560" w:type="dxa"/>
            <w:tcBorders>
              <w:top w:val="nil"/>
              <w:left w:val="nil"/>
              <w:bottom w:val="single" w:sz="8" w:space="0" w:color="auto"/>
              <w:right w:val="single" w:sz="8" w:space="0" w:color="auto"/>
            </w:tcBorders>
            <w:shd w:val="clear" w:color="000000" w:fill="FFFFFF"/>
            <w:vAlign w:val="center"/>
            <w:hideMark/>
          </w:tcPr>
          <w:p w14:paraId="00787C4A" w14:textId="2FA94312" w:rsidR="00C17CF0" w:rsidRPr="00C17CF0" w:rsidRDefault="00C17CF0" w:rsidP="00C17CF0">
            <w:pPr>
              <w:jc w:val="center"/>
              <w:rPr>
                <w:rFonts w:ascii="Open Sans" w:hAnsi="Open Sans" w:cs="Open Sans"/>
                <w:b/>
                <w:bCs/>
                <w:color w:val="000000"/>
                <w:sz w:val="20"/>
                <w:szCs w:val="20"/>
              </w:rPr>
            </w:pPr>
            <w:r w:rsidRPr="00C17CF0">
              <w:rPr>
                <w:rFonts w:ascii="Open Sans" w:hAnsi="Open Sans"/>
                <w:b/>
                <w:color w:val="000000"/>
                <w:sz w:val="20"/>
                <w:szCs w:val="20"/>
              </w:rPr>
              <w:t>20%</w:t>
            </w:r>
          </w:p>
        </w:tc>
      </w:tr>
      <w:tr w:rsidR="00C17CF0" w:rsidRPr="00C17CF0" w14:paraId="0700082B" w14:textId="77777777" w:rsidTr="0060302B">
        <w:trPr>
          <w:trHeight w:val="830"/>
          <w:jc w:val="center"/>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220969D6" w14:textId="1C8721B1" w:rsidR="00C17CF0" w:rsidRPr="00C17CF0" w:rsidRDefault="00C17CF0" w:rsidP="00BC63A1">
            <w:pPr>
              <w:jc w:val="center"/>
              <w:rPr>
                <w:rFonts w:ascii="Open Sans" w:eastAsia="Times New Roman" w:hAnsi="Open Sans" w:cs="Open Sans"/>
                <w:b/>
                <w:bCs/>
                <w:color w:val="000000"/>
                <w:sz w:val="20"/>
                <w:szCs w:val="20"/>
              </w:rPr>
            </w:pPr>
            <w:bookmarkStart w:id="55" w:name="OE2"/>
            <w:r w:rsidRPr="00C17CF0">
              <w:rPr>
                <w:rFonts w:ascii="Open Sans" w:eastAsia="Times New Roman" w:hAnsi="Open Sans" w:cs="Open Sans"/>
                <w:b/>
                <w:bCs/>
                <w:color w:val="000000"/>
                <w:sz w:val="20"/>
                <w:szCs w:val="20"/>
              </w:rPr>
              <w:t>O.E.2</w:t>
            </w:r>
            <w:bookmarkEnd w:id="55"/>
          </w:p>
        </w:tc>
        <w:tc>
          <w:tcPr>
            <w:tcW w:w="4064" w:type="dxa"/>
            <w:tcBorders>
              <w:top w:val="nil"/>
              <w:left w:val="nil"/>
              <w:bottom w:val="single" w:sz="8" w:space="0" w:color="auto"/>
              <w:right w:val="single" w:sz="8" w:space="0" w:color="auto"/>
            </w:tcBorders>
            <w:shd w:val="clear" w:color="000000" w:fill="FFFFFF"/>
            <w:hideMark/>
          </w:tcPr>
          <w:p w14:paraId="5E2E0E1B" w14:textId="02AD6E1A"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La empresa informa sobre cómo se fijan los precios de transferencia de las compras intragrupo</w:t>
            </w:r>
          </w:p>
        </w:tc>
        <w:tc>
          <w:tcPr>
            <w:tcW w:w="1417" w:type="dxa"/>
            <w:tcBorders>
              <w:top w:val="nil"/>
              <w:left w:val="nil"/>
              <w:bottom w:val="single" w:sz="8" w:space="0" w:color="auto"/>
              <w:right w:val="single" w:sz="8" w:space="0" w:color="auto"/>
            </w:tcBorders>
            <w:shd w:val="clear" w:color="000000" w:fill="FFFFFF"/>
            <w:vAlign w:val="center"/>
            <w:hideMark/>
          </w:tcPr>
          <w:p w14:paraId="27E01A12" w14:textId="6093FB6E" w:rsidR="00C17CF0" w:rsidRPr="00C17CF0" w:rsidRDefault="00BB19B7" w:rsidP="00C17CF0">
            <w:pPr>
              <w:jc w:val="center"/>
              <w:rPr>
                <w:rFonts w:ascii="Open Sans" w:hAnsi="Open Sans"/>
                <w:b/>
                <w:bCs/>
                <w:color w:val="000000"/>
                <w:sz w:val="20"/>
                <w:szCs w:val="20"/>
              </w:rPr>
            </w:pPr>
            <w:r>
              <w:rPr>
                <w:rFonts w:ascii="Open Sans" w:hAnsi="Open Sans"/>
                <w:b/>
                <w:bCs/>
                <w:color w:val="000000"/>
                <w:sz w:val="20"/>
                <w:szCs w:val="20"/>
              </w:rPr>
              <w:t>2</w:t>
            </w:r>
          </w:p>
        </w:tc>
        <w:tc>
          <w:tcPr>
            <w:tcW w:w="1560" w:type="dxa"/>
            <w:tcBorders>
              <w:top w:val="nil"/>
              <w:left w:val="nil"/>
              <w:bottom w:val="single" w:sz="8" w:space="0" w:color="auto"/>
              <w:right w:val="single" w:sz="8" w:space="0" w:color="auto"/>
            </w:tcBorders>
            <w:shd w:val="clear" w:color="000000" w:fill="FFFFFF"/>
            <w:vAlign w:val="center"/>
            <w:hideMark/>
          </w:tcPr>
          <w:p w14:paraId="5B54EC78" w14:textId="2C1559EF" w:rsidR="00C17CF0" w:rsidRPr="00C17CF0" w:rsidRDefault="00BB19B7" w:rsidP="00C17CF0">
            <w:pPr>
              <w:jc w:val="center"/>
              <w:rPr>
                <w:rFonts w:ascii="Open Sans" w:hAnsi="Open Sans" w:cs="Open Sans"/>
                <w:b/>
                <w:bCs/>
                <w:color w:val="000000"/>
                <w:sz w:val="20"/>
                <w:szCs w:val="20"/>
              </w:rPr>
            </w:pPr>
            <w:r>
              <w:rPr>
                <w:rFonts w:ascii="Open Sans" w:hAnsi="Open Sans"/>
                <w:b/>
                <w:color w:val="000000"/>
                <w:sz w:val="20"/>
                <w:szCs w:val="20"/>
              </w:rPr>
              <w:t>6</w:t>
            </w:r>
            <w:r w:rsidR="00C17CF0" w:rsidRPr="00C17CF0">
              <w:rPr>
                <w:rFonts w:ascii="Open Sans" w:hAnsi="Open Sans"/>
                <w:b/>
                <w:color w:val="000000"/>
                <w:sz w:val="20"/>
                <w:szCs w:val="20"/>
              </w:rPr>
              <w:t>%</w:t>
            </w:r>
          </w:p>
        </w:tc>
      </w:tr>
      <w:tr w:rsidR="00C17CF0" w:rsidRPr="00C17CF0" w14:paraId="051F0DC0" w14:textId="77777777" w:rsidTr="0060302B">
        <w:trPr>
          <w:trHeight w:val="842"/>
          <w:jc w:val="center"/>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27461B09" w14:textId="72408109" w:rsidR="00C17CF0" w:rsidRPr="00C17CF0" w:rsidRDefault="00C17CF0" w:rsidP="00BC63A1">
            <w:pPr>
              <w:jc w:val="center"/>
              <w:rPr>
                <w:rFonts w:ascii="Open Sans" w:eastAsia="Times New Roman" w:hAnsi="Open Sans" w:cs="Open Sans"/>
                <w:b/>
                <w:bCs/>
                <w:color w:val="000000"/>
                <w:sz w:val="20"/>
                <w:szCs w:val="20"/>
              </w:rPr>
            </w:pPr>
            <w:bookmarkStart w:id="56" w:name="OE3"/>
            <w:r w:rsidRPr="00C17CF0">
              <w:rPr>
                <w:rFonts w:ascii="Open Sans" w:eastAsia="Times New Roman" w:hAnsi="Open Sans" w:cs="Open Sans"/>
                <w:b/>
                <w:bCs/>
                <w:color w:val="000000"/>
                <w:sz w:val="20"/>
                <w:szCs w:val="20"/>
              </w:rPr>
              <w:t>O.E.3</w:t>
            </w:r>
            <w:bookmarkEnd w:id="56"/>
          </w:p>
        </w:tc>
        <w:tc>
          <w:tcPr>
            <w:tcW w:w="4064" w:type="dxa"/>
            <w:tcBorders>
              <w:top w:val="nil"/>
              <w:left w:val="nil"/>
              <w:bottom w:val="single" w:sz="8" w:space="0" w:color="auto"/>
              <w:right w:val="single" w:sz="8" w:space="0" w:color="auto"/>
            </w:tcBorders>
            <w:shd w:val="clear" w:color="000000" w:fill="FFFFFF"/>
            <w:hideMark/>
          </w:tcPr>
          <w:p w14:paraId="4787F1B3" w14:textId="1A7CA431"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La empresa informa sobre cuál es el porcentaje que representan las compras intragrupo respecto al total de comprar realizadas</w:t>
            </w:r>
          </w:p>
        </w:tc>
        <w:tc>
          <w:tcPr>
            <w:tcW w:w="1417" w:type="dxa"/>
            <w:tcBorders>
              <w:top w:val="nil"/>
              <w:left w:val="nil"/>
              <w:bottom w:val="single" w:sz="8" w:space="0" w:color="auto"/>
              <w:right w:val="single" w:sz="8" w:space="0" w:color="auto"/>
            </w:tcBorders>
            <w:shd w:val="clear" w:color="000000" w:fill="FFFFFF"/>
            <w:vAlign w:val="center"/>
            <w:hideMark/>
          </w:tcPr>
          <w:p w14:paraId="45503A2B" w14:textId="2C8ABC3C"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2</w:t>
            </w:r>
          </w:p>
        </w:tc>
        <w:tc>
          <w:tcPr>
            <w:tcW w:w="1560" w:type="dxa"/>
            <w:tcBorders>
              <w:top w:val="nil"/>
              <w:left w:val="nil"/>
              <w:bottom w:val="single" w:sz="8" w:space="0" w:color="auto"/>
              <w:right w:val="single" w:sz="8" w:space="0" w:color="auto"/>
            </w:tcBorders>
            <w:shd w:val="clear" w:color="000000" w:fill="FFFFFF"/>
            <w:vAlign w:val="center"/>
            <w:hideMark/>
          </w:tcPr>
          <w:p w14:paraId="31D44ACE" w14:textId="5622FF24" w:rsidR="00C17CF0" w:rsidRPr="00C17CF0" w:rsidRDefault="00C17CF0" w:rsidP="00C17CF0">
            <w:pPr>
              <w:jc w:val="center"/>
              <w:rPr>
                <w:rFonts w:ascii="Open Sans" w:hAnsi="Open Sans" w:cs="Open Sans"/>
                <w:b/>
                <w:bCs/>
                <w:color w:val="000000"/>
                <w:sz w:val="20"/>
                <w:szCs w:val="20"/>
              </w:rPr>
            </w:pPr>
            <w:r w:rsidRPr="00C17CF0">
              <w:rPr>
                <w:rFonts w:ascii="Open Sans" w:hAnsi="Open Sans"/>
                <w:b/>
                <w:color w:val="000000"/>
                <w:sz w:val="20"/>
                <w:szCs w:val="20"/>
              </w:rPr>
              <w:t>6%</w:t>
            </w:r>
          </w:p>
        </w:tc>
      </w:tr>
      <w:tr w:rsidR="00C17CF0" w:rsidRPr="00C17CF0" w14:paraId="091F980E" w14:textId="77777777" w:rsidTr="0060302B">
        <w:trPr>
          <w:trHeight w:val="826"/>
          <w:jc w:val="center"/>
        </w:trPr>
        <w:tc>
          <w:tcPr>
            <w:tcW w:w="756" w:type="dxa"/>
            <w:tcBorders>
              <w:top w:val="nil"/>
              <w:left w:val="single" w:sz="8" w:space="0" w:color="auto"/>
              <w:bottom w:val="single" w:sz="8" w:space="0" w:color="auto"/>
              <w:right w:val="single" w:sz="8" w:space="0" w:color="auto"/>
            </w:tcBorders>
            <w:shd w:val="clear" w:color="auto" w:fill="auto"/>
            <w:vAlign w:val="center"/>
            <w:hideMark/>
          </w:tcPr>
          <w:p w14:paraId="135F3C6B" w14:textId="603A5519" w:rsidR="00C17CF0" w:rsidRPr="00C17CF0" w:rsidRDefault="00C17CF0" w:rsidP="00BC63A1">
            <w:pPr>
              <w:jc w:val="center"/>
              <w:rPr>
                <w:rFonts w:ascii="Open Sans" w:eastAsia="Times New Roman" w:hAnsi="Open Sans" w:cs="Open Sans"/>
                <w:b/>
                <w:bCs/>
                <w:color w:val="000000"/>
                <w:sz w:val="20"/>
                <w:szCs w:val="20"/>
              </w:rPr>
            </w:pPr>
            <w:bookmarkStart w:id="57" w:name="OE4"/>
            <w:r w:rsidRPr="00C17CF0">
              <w:rPr>
                <w:rFonts w:ascii="Open Sans" w:eastAsia="Times New Roman" w:hAnsi="Open Sans" w:cs="Open Sans"/>
                <w:b/>
                <w:bCs/>
                <w:color w:val="000000"/>
                <w:sz w:val="20"/>
                <w:szCs w:val="20"/>
              </w:rPr>
              <w:t>O.E.4</w:t>
            </w:r>
            <w:bookmarkEnd w:id="57"/>
          </w:p>
        </w:tc>
        <w:tc>
          <w:tcPr>
            <w:tcW w:w="4064" w:type="dxa"/>
            <w:tcBorders>
              <w:top w:val="nil"/>
              <w:left w:val="nil"/>
              <w:bottom w:val="single" w:sz="8" w:space="0" w:color="auto"/>
              <w:right w:val="single" w:sz="8" w:space="0" w:color="auto"/>
            </w:tcBorders>
            <w:shd w:val="clear" w:color="000000" w:fill="FFFFFF"/>
            <w:hideMark/>
          </w:tcPr>
          <w:p w14:paraId="479D9B27" w14:textId="7A817B0D"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 xml:space="preserve">La empresa  </w:t>
            </w:r>
            <w:r w:rsidR="007F55EB" w:rsidRPr="00C17CF0">
              <w:rPr>
                <w:rFonts w:ascii="Open Sans" w:eastAsia="Times New Roman" w:hAnsi="Open Sans" w:cs="Open Sans"/>
                <w:color w:val="000000"/>
                <w:sz w:val="20"/>
                <w:szCs w:val="20"/>
              </w:rPr>
              <w:t>informa</w:t>
            </w:r>
            <w:r w:rsidRPr="00C17CF0">
              <w:rPr>
                <w:rFonts w:ascii="Open Sans" w:eastAsia="Times New Roman" w:hAnsi="Open Sans" w:cs="Open Sans"/>
                <w:color w:val="000000"/>
                <w:sz w:val="20"/>
                <w:szCs w:val="20"/>
              </w:rPr>
              <w:t xml:space="preserve"> sobre si utiliza estructuras de empresas de marketig o comerciales, dónde, y si recibe incentivos por ello o acuerdos privilegiados de precios en algunos países</w:t>
            </w:r>
          </w:p>
        </w:tc>
        <w:tc>
          <w:tcPr>
            <w:tcW w:w="1417" w:type="dxa"/>
            <w:tcBorders>
              <w:top w:val="nil"/>
              <w:left w:val="nil"/>
              <w:bottom w:val="single" w:sz="8" w:space="0" w:color="auto"/>
              <w:right w:val="single" w:sz="8" w:space="0" w:color="auto"/>
            </w:tcBorders>
            <w:shd w:val="clear" w:color="000000" w:fill="FFFFFF"/>
            <w:vAlign w:val="center"/>
            <w:hideMark/>
          </w:tcPr>
          <w:p w14:paraId="04560F8C" w14:textId="221DEC75"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0</w:t>
            </w:r>
          </w:p>
        </w:tc>
        <w:tc>
          <w:tcPr>
            <w:tcW w:w="1560" w:type="dxa"/>
            <w:tcBorders>
              <w:top w:val="nil"/>
              <w:left w:val="nil"/>
              <w:bottom w:val="single" w:sz="8" w:space="0" w:color="auto"/>
              <w:right w:val="single" w:sz="8" w:space="0" w:color="auto"/>
            </w:tcBorders>
            <w:shd w:val="clear" w:color="000000" w:fill="FFFFFF"/>
            <w:vAlign w:val="center"/>
            <w:hideMark/>
          </w:tcPr>
          <w:p w14:paraId="749F224E" w14:textId="6C168B64" w:rsidR="00C17CF0" w:rsidRPr="00C17CF0" w:rsidRDefault="00C17CF0" w:rsidP="00C17CF0">
            <w:pPr>
              <w:jc w:val="center"/>
              <w:rPr>
                <w:rFonts w:ascii="Open Sans" w:hAnsi="Open Sans" w:cs="Open Sans"/>
                <w:b/>
                <w:bCs/>
                <w:color w:val="000000"/>
                <w:sz w:val="20"/>
                <w:szCs w:val="20"/>
              </w:rPr>
            </w:pPr>
            <w:r w:rsidRPr="00C17CF0">
              <w:rPr>
                <w:rFonts w:ascii="Open Sans" w:hAnsi="Open Sans"/>
                <w:b/>
                <w:color w:val="000000"/>
                <w:sz w:val="20"/>
                <w:szCs w:val="20"/>
              </w:rPr>
              <w:t>0%</w:t>
            </w:r>
          </w:p>
        </w:tc>
      </w:tr>
      <w:tr w:rsidR="00C17CF0" w:rsidRPr="00C17CF0" w14:paraId="42F1B730" w14:textId="77777777" w:rsidTr="0060302B">
        <w:trPr>
          <w:trHeight w:val="714"/>
          <w:jc w:val="center"/>
        </w:trPr>
        <w:tc>
          <w:tcPr>
            <w:tcW w:w="756" w:type="dxa"/>
            <w:tcBorders>
              <w:top w:val="nil"/>
              <w:left w:val="single" w:sz="8" w:space="0" w:color="auto"/>
              <w:bottom w:val="single" w:sz="4" w:space="0" w:color="auto"/>
              <w:right w:val="single" w:sz="8" w:space="0" w:color="auto"/>
            </w:tcBorders>
            <w:shd w:val="clear" w:color="auto" w:fill="auto"/>
            <w:vAlign w:val="center"/>
            <w:hideMark/>
          </w:tcPr>
          <w:p w14:paraId="1C1904CA" w14:textId="4DE15D62" w:rsidR="00C17CF0" w:rsidRPr="00C17CF0" w:rsidRDefault="00C17CF0" w:rsidP="00BC63A1">
            <w:pPr>
              <w:jc w:val="center"/>
              <w:rPr>
                <w:rFonts w:ascii="Open Sans" w:eastAsia="Times New Roman" w:hAnsi="Open Sans" w:cs="Open Sans"/>
                <w:b/>
                <w:bCs/>
                <w:color w:val="000000"/>
                <w:sz w:val="20"/>
                <w:szCs w:val="20"/>
              </w:rPr>
            </w:pPr>
            <w:bookmarkStart w:id="58" w:name="OE5"/>
            <w:r w:rsidRPr="00C17CF0">
              <w:rPr>
                <w:rFonts w:ascii="Open Sans" w:eastAsia="Times New Roman" w:hAnsi="Open Sans" w:cs="Open Sans"/>
                <w:b/>
                <w:bCs/>
                <w:color w:val="000000"/>
                <w:sz w:val="20"/>
                <w:szCs w:val="20"/>
              </w:rPr>
              <w:t>O.E.5</w:t>
            </w:r>
            <w:bookmarkEnd w:id="58"/>
          </w:p>
        </w:tc>
        <w:tc>
          <w:tcPr>
            <w:tcW w:w="4064" w:type="dxa"/>
            <w:tcBorders>
              <w:top w:val="nil"/>
              <w:left w:val="nil"/>
              <w:bottom w:val="single" w:sz="4" w:space="0" w:color="auto"/>
              <w:right w:val="single" w:sz="8" w:space="0" w:color="auto"/>
            </w:tcBorders>
            <w:shd w:val="clear" w:color="000000" w:fill="FFFFFF"/>
            <w:hideMark/>
          </w:tcPr>
          <w:p w14:paraId="06D9799A" w14:textId="21B657F0"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 xml:space="preserve">La empresa informa sobre el porcentaje que representa el volumen de endeudamiento intragrupo respecto al volumen de endeudamiento total </w:t>
            </w:r>
          </w:p>
        </w:tc>
        <w:tc>
          <w:tcPr>
            <w:tcW w:w="1417" w:type="dxa"/>
            <w:tcBorders>
              <w:top w:val="nil"/>
              <w:left w:val="nil"/>
              <w:bottom w:val="single" w:sz="4" w:space="0" w:color="auto"/>
              <w:right w:val="single" w:sz="8" w:space="0" w:color="auto"/>
            </w:tcBorders>
            <w:shd w:val="clear" w:color="000000" w:fill="FFFFFF"/>
            <w:vAlign w:val="center"/>
            <w:hideMark/>
          </w:tcPr>
          <w:p w14:paraId="601AAF9B" w14:textId="45F95648"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2</w:t>
            </w:r>
          </w:p>
        </w:tc>
        <w:tc>
          <w:tcPr>
            <w:tcW w:w="1560" w:type="dxa"/>
            <w:tcBorders>
              <w:top w:val="nil"/>
              <w:left w:val="nil"/>
              <w:bottom w:val="single" w:sz="4" w:space="0" w:color="auto"/>
              <w:right w:val="single" w:sz="8" w:space="0" w:color="auto"/>
            </w:tcBorders>
            <w:shd w:val="clear" w:color="000000" w:fill="FFFFFF"/>
            <w:vAlign w:val="center"/>
            <w:hideMark/>
          </w:tcPr>
          <w:p w14:paraId="7ACFC305" w14:textId="22357CB8" w:rsidR="00C17CF0" w:rsidRPr="00C17CF0" w:rsidRDefault="00C17CF0" w:rsidP="00C17CF0">
            <w:pPr>
              <w:jc w:val="center"/>
              <w:rPr>
                <w:rFonts w:ascii="Open Sans" w:hAnsi="Open Sans" w:cs="Open Sans"/>
                <w:b/>
                <w:bCs/>
                <w:color w:val="000000"/>
                <w:sz w:val="20"/>
                <w:szCs w:val="20"/>
              </w:rPr>
            </w:pPr>
            <w:r w:rsidRPr="00C17CF0">
              <w:rPr>
                <w:rFonts w:ascii="Open Sans" w:hAnsi="Open Sans"/>
                <w:b/>
                <w:color w:val="000000"/>
                <w:sz w:val="20"/>
                <w:szCs w:val="20"/>
              </w:rPr>
              <w:t>6%</w:t>
            </w:r>
          </w:p>
        </w:tc>
      </w:tr>
      <w:tr w:rsidR="00C17CF0" w:rsidRPr="00C17CF0" w14:paraId="7308606C" w14:textId="77777777" w:rsidTr="0060302B">
        <w:trPr>
          <w:trHeight w:val="732"/>
          <w:jc w:val="center"/>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4E0D7A83" w14:textId="522428E1" w:rsidR="00C17CF0" w:rsidRPr="00C17CF0" w:rsidRDefault="00C17CF0" w:rsidP="00BC63A1">
            <w:pPr>
              <w:jc w:val="center"/>
              <w:rPr>
                <w:rFonts w:ascii="Open Sans" w:eastAsia="Times New Roman" w:hAnsi="Open Sans" w:cs="Open Sans"/>
                <w:b/>
                <w:bCs/>
                <w:color w:val="000000"/>
                <w:sz w:val="20"/>
                <w:szCs w:val="20"/>
              </w:rPr>
            </w:pPr>
            <w:bookmarkStart w:id="59" w:name="OE6"/>
            <w:r w:rsidRPr="00C17CF0">
              <w:rPr>
                <w:rFonts w:ascii="Open Sans" w:eastAsia="Times New Roman" w:hAnsi="Open Sans" w:cs="Open Sans"/>
                <w:b/>
                <w:bCs/>
                <w:color w:val="000000"/>
                <w:sz w:val="20"/>
                <w:szCs w:val="20"/>
              </w:rPr>
              <w:t>O.E.6</w:t>
            </w:r>
            <w:bookmarkEnd w:id="59"/>
          </w:p>
        </w:tc>
        <w:tc>
          <w:tcPr>
            <w:tcW w:w="4064" w:type="dxa"/>
            <w:tcBorders>
              <w:top w:val="single" w:sz="4" w:space="0" w:color="auto"/>
              <w:left w:val="single" w:sz="4" w:space="0" w:color="auto"/>
              <w:bottom w:val="single" w:sz="4" w:space="0" w:color="auto"/>
              <w:right w:val="single" w:sz="4" w:space="0" w:color="auto"/>
            </w:tcBorders>
            <w:shd w:val="clear" w:color="000000" w:fill="FFFFFF"/>
          </w:tcPr>
          <w:p w14:paraId="7621D7C4" w14:textId="79E5FA4F"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La empresa informa sobre el coste financiero de la deuda intragrupo, así como del coste financiero del total de la deuda</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0B5F74CA" w14:textId="6E927584"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0</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68102327" w14:textId="106930F0" w:rsidR="00C17CF0" w:rsidRPr="00C17CF0" w:rsidRDefault="00C17CF0" w:rsidP="00C17CF0">
            <w:pPr>
              <w:jc w:val="center"/>
              <w:rPr>
                <w:rFonts w:ascii="Open Sans" w:hAnsi="Open Sans"/>
                <w:b/>
                <w:color w:val="000000"/>
                <w:sz w:val="20"/>
                <w:szCs w:val="20"/>
              </w:rPr>
            </w:pPr>
            <w:r w:rsidRPr="00C17CF0">
              <w:rPr>
                <w:rFonts w:ascii="Open Sans" w:hAnsi="Open Sans"/>
                <w:b/>
                <w:color w:val="000000"/>
                <w:sz w:val="20"/>
                <w:szCs w:val="20"/>
              </w:rPr>
              <w:t>0%</w:t>
            </w:r>
          </w:p>
        </w:tc>
      </w:tr>
      <w:tr w:rsidR="00C17CF0" w:rsidRPr="00C17CF0" w14:paraId="237DF1CE" w14:textId="77777777" w:rsidTr="0060302B">
        <w:trPr>
          <w:trHeight w:val="732"/>
          <w:jc w:val="center"/>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2367FCEE" w14:textId="12A34013" w:rsidR="00C17CF0" w:rsidRPr="00C17CF0" w:rsidRDefault="00C17CF0" w:rsidP="00BC63A1">
            <w:pPr>
              <w:jc w:val="center"/>
              <w:rPr>
                <w:rFonts w:ascii="Open Sans" w:eastAsia="Times New Roman" w:hAnsi="Open Sans" w:cs="Open Sans"/>
                <w:b/>
                <w:bCs/>
                <w:color w:val="000000"/>
                <w:sz w:val="20"/>
                <w:szCs w:val="20"/>
              </w:rPr>
            </w:pPr>
            <w:bookmarkStart w:id="60" w:name="OE7"/>
            <w:r w:rsidRPr="00C17CF0">
              <w:rPr>
                <w:rFonts w:ascii="Open Sans" w:eastAsia="Times New Roman" w:hAnsi="Open Sans" w:cs="Open Sans"/>
                <w:b/>
                <w:bCs/>
                <w:color w:val="000000"/>
                <w:sz w:val="20"/>
                <w:szCs w:val="20"/>
              </w:rPr>
              <w:t>O.E.7</w:t>
            </w:r>
            <w:bookmarkEnd w:id="60"/>
          </w:p>
        </w:tc>
        <w:tc>
          <w:tcPr>
            <w:tcW w:w="4064" w:type="dxa"/>
            <w:tcBorders>
              <w:top w:val="single" w:sz="4" w:space="0" w:color="auto"/>
              <w:left w:val="single" w:sz="4" w:space="0" w:color="auto"/>
              <w:bottom w:val="single" w:sz="4" w:space="0" w:color="auto"/>
              <w:right w:val="single" w:sz="4" w:space="0" w:color="auto"/>
            </w:tcBorders>
            <w:shd w:val="clear" w:color="000000" w:fill="FFFFFF"/>
          </w:tcPr>
          <w:p w14:paraId="675F0D4D" w14:textId="263F4D22"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La empresa informa sobre cómo se fijan los precios de transferencia de la propiedad intelectual</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448E30D1" w14:textId="243DD027"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2</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1DF3A6B5" w14:textId="7A2908C3" w:rsidR="00C17CF0" w:rsidRPr="00C17CF0" w:rsidRDefault="00C17CF0" w:rsidP="00C17CF0">
            <w:pPr>
              <w:jc w:val="center"/>
              <w:rPr>
                <w:rFonts w:ascii="Open Sans" w:hAnsi="Open Sans"/>
                <w:b/>
                <w:color w:val="000000"/>
                <w:sz w:val="20"/>
                <w:szCs w:val="20"/>
              </w:rPr>
            </w:pPr>
            <w:r w:rsidRPr="00C17CF0">
              <w:rPr>
                <w:rFonts w:ascii="Open Sans" w:hAnsi="Open Sans"/>
                <w:b/>
                <w:color w:val="000000"/>
                <w:sz w:val="20"/>
                <w:szCs w:val="20"/>
              </w:rPr>
              <w:t>6%</w:t>
            </w:r>
          </w:p>
        </w:tc>
      </w:tr>
      <w:tr w:rsidR="00C17CF0" w:rsidRPr="00C17CF0" w14:paraId="3AA2BA31" w14:textId="77777777" w:rsidTr="0060302B">
        <w:trPr>
          <w:trHeight w:val="732"/>
          <w:jc w:val="center"/>
        </w:trPr>
        <w:tc>
          <w:tcPr>
            <w:tcW w:w="756" w:type="dxa"/>
            <w:tcBorders>
              <w:top w:val="single" w:sz="4" w:space="0" w:color="auto"/>
              <w:left w:val="single" w:sz="4" w:space="0" w:color="auto"/>
              <w:bottom w:val="single" w:sz="4" w:space="0" w:color="auto"/>
              <w:right w:val="single" w:sz="4" w:space="0" w:color="auto"/>
            </w:tcBorders>
            <w:shd w:val="clear" w:color="auto" w:fill="auto"/>
            <w:vAlign w:val="center"/>
          </w:tcPr>
          <w:p w14:paraId="17CF090C" w14:textId="13422757" w:rsidR="00C17CF0" w:rsidRPr="00C17CF0" w:rsidRDefault="00C17CF0" w:rsidP="00BC63A1">
            <w:pPr>
              <w:jc w:val="center"/>
              <w:rPr>
                <w:rFonts w:ascii="Open Sans" w:eastAsia="Times New Roman" w:hAnsi="Open Sans" w:cs="Open Sans"/>
                <w:b/>
                <w:bCs/>
                <w:color w:val="000000"/>
                <w:sz w:val="20"/>
                <w:szCs w:val="20"/>
              </w:rPr>
            </w:pPr>
            <w:bookmarkStart w:id="61" w:name="OE8"/>
            <w:r w:rsidRPr="00C17CF0">
              <w:rPr>
                <w:rFonts w:ascii="Open Sans" w:eastAsia="Times New Roman" w:hAnsi="Open Sans" w:cs="Open Sans"/>
                <w:b/>
                <w:bCs/>
                <w:color w:val="000000"/>
                <w:sz w:val="20"/>
                <w:szCs w:val="20"/>
              </w:rPr>
              <w:t>O.E.8</w:t>
            </w:r>
            <w:bookmarkEnd w:id="61"/>
          </w:p>
        </w:tc>
        <w:tc>
          <w:tcPr>
            <w:tcW w:w="4064" w:type="dxa"/>
            <w:tcBorders>
              <w:top w:val="single" w:sz="4" w:space="0" w:color="auto"/>
              <w:left w:val="single" w:sz="4" w:space="0" w:color="auto"/>
              <w:bottom w:val="single" w:sz="4" w:space="0" w:color="auto"/>
              <w:right w:val="single" w:sz="4" w:space="0" w:color="auto"/>
            </w:tcBorders>
            <w:shd w:val="clear" w:color="000000" w:fill="FFFFFF"/>
          </w:tcPr>
          <w:p w14:paraId="7C9ACAAD" w14:textId="51146858" w:rsidR="00C17CF0" w:rsidRPr="00C17CF0" w:rsidRDefault="00C17CF0" w:rsidP="00BC63A1">
            <w:pPr>
              <w:jc w:val="center"/>
              <w:rPr>
                <w:rFonts w:ascii="Open Sans" w:eastAsia="Times New Roman" w:hAnsi="Open Sans" w:cs="Open Sans"/>
                <w:color w:val="000000"/>
                <w:sz w:val="20"/>
                <w:szCs w:val="20"/>
              </w:rPr>
            </w:pPr>
            <w:r w:rsidRPr="00C17CF0">
              <w:rPr>
                <w:rFonts w:ascii="Open Sans" w:eastAsia="Times New Roman" w:hAnsi="Open Sans" w:cs="Open Sans"/>
                <w:color w:val="000000"/>
                <w:sz w:val="20"/>
                <w:szCs w:val="20"/>
              </w:rPr>
              <w:t>La empresa informa sobre la estructura de propiedad que gobierna los activos de propiedad intelectual, así como sobre los empleados y beneficios atribuidos a esa estructura</w:t>
            </w:r>
          </w:p>
        </w:tc>
        <w:tc>
          <w:tcPr>
            <w:tcW w:w="1417" w:type="dxa"/>
            <w:tcBorders>
              <w:top w:val="single" w:sz="4" w:space="0" w:color="auto"/>
              <w:left w:val="single" w:sz="4" w:space="0" w:color="auto"/>
              <w:bottom w:val="single" w:sz="4" w:space="0" w:color="auto"/>
              <w:right w:val="single" w:sz="4" w:space="0" w:color="auto"/>
            </w:tcBorders>
            <w:shd w:val="clear" w:color="000000" w:fill="FFFFFF"/>
            <w:vAlign w:val="center"/>
          </w:tcPr>
          <w:p w14:paraId="595E4D53" w14:textId="54783C32" w:rsidR="00C17CF0" w:rsidRPr="00C17CF0" w:rsidRDefault="00C17CF0" w:rsidP="00C17CF0">
            <w:pPr>
              <w:jc w:val="center"/>
              <w:rPr>
                <w:rFonts w:ascii="Open Sans" w:hAnsi="Open Sans"/>
                <w:b/>
                <w:bCs/>
                <w:color w:val="000000"/>
                <w:sz w:val="20"/>
                <w:szCs w:val="20"/>
              </w:rPr>
            </w:pPr>
            <w:r w:rsidRPr="00C17CF0">
              <w:rPr>
                <w:rFonts w:ascii="Open Sans" w:hAnsi="Open Sans"/>
                <w:b/>
                <w:bCs/>
                <w:color w:val="000000"/>
                <w:sz w:val="20"/>
                <w:szCs w:val="20"/>
              </w:rPr>
              <w:t>1</w:t>
            </w:r>
          </w:p>
        </w:tc>
        <w:tc>
          <w:tcPr>
            <w:tcW w:w="1560" w:type="dxa"/>
            <w:tcBorders>
              <w:top w:val="single" w:sz="4" w:space="0" w:color="auto"/>
              <w:left w:val="single" w:sz="4" w:space="0" w:color="auto"/>
              <w:bottom w:val="single" w:sz="4" w:space="0" w:color="auto"/>
              <w:right w:val="single" w:sz="4" w:space="0" w:color="auto"/>
            </w:tcBorders>
            <w:shd w:val="clear" w:color="000000" w:fill="FFFFFF"/>
            <w:vAlign w:val="center"/>
          </w:tcPr>
          <w:p w14:paraId="11C95A5F" w14:textId="23AA33E4" w:rsidR="00C17CF0" w:rsidRPr="00C17CF0" w:rsidRDefault="00C17CF0" w:rsidP="00C17CF0">
            <w:pPr>
              <w:jc w:val="center"/>
              <w:rPr>
                <w:rFonts w:ascii="Open Sans" w:hAnsi="Open Sans"/>
                <w:b/>
                <w:color w:val="000000"/>
                <w:sz w:val="20"/>
                <w:szCs w:val="20"/>
              </w:rPr>
            </w:pPr>
            <w:r w:rsidRPr="00C17CF0">
              <w:rPr>
                <w:rFonts w:ascii="Open Sans" w:hAnsi="Open Sans"/>
                <w:b/>
                <w:color w:val="000000"/>
                <w:sz w:val="20"/>
                <w:szCs w:val="20"/>
              </w:rPr>
              <w:t>3%</w:t>
            </w:r>
          </w:p>
        </w:tc>
      </w:tr>
    </w:tbl>
    <w:p w14:paraId="4449BCF2" w14:textId="77777777" w:rsidR="000200E0" w:rsidRDefault="000200E0" w:rsidP="00EF0D79">
      <w:pPr>
        <w:jc w:val="both"/>
        <w:rPr>
          <w:rFonts w:ascii="Open Sans" w:hAnsi="Open Sans"/>
          <w:b/>
          <w:sz w:val="20"/>
          <w:szCs w:val="20"/>
        </w:rPr>
      </w:pPr>
    </w:p>
    <w:p w14:paraId="5BE2699A" w14:textId="77777777" w:rsidR="000200E0" w:rsidRDefault="000200E0" w:rsidP="00EF0D79">
      <w:pPr>
        <w:jc w:val="both"/>
        <w:rPr>
          <w:rFonts w:ascii="Open Sans" w:hAnsi="Open Sans"/>
          <w:sz w:val="20"/>
          <w:szCs w:val="20"/>
        </w:rPr>
      </w:pPr>
    </w:p>
    <w:p w14:paraId="0222D3C4" w14:textId="77777777" w:rsidR="0060302B" w:rsidRDefault="0060302B" w:rsidP="0060302B">
      <w:pPr>
        <w:jc w:val="both"/>
        <w:rPr>
          <w:rFonts w:ascii="Open Sans" w:hAnsi="Open Sans" w:cs="Open Sans"/>
          <w:sz w:val="20"/>
          <w:szCs w:val="20"/>
        </w:rPr>
      </w:pPr>
      <w:r w:rsidRPr="0060302B">
        <w:rPr>
          <w:rFonts w:ascii="Open Sans" w:hAnsi="Open Sans" w:cs="Open Sans"/>
          <w:sz w:val="20"/>
          <w:szCs w:val="20"/>
        </w:rPr>
        <w:t xml:space="preserve">Tener conocimiento detallado de las operaciones intragrupo </w:t>
      </w:r>
      <w:r w:rsidRPr="0060302B">
        <w:rPr>
          <w:rFonts w:ascii="Open Sans" w:eastAsia="Calibri" w:hAnsi="Open Sans" w:cs="Open Sans"/>
          <w:sz w:val="20"/>
          <w:szCs w:val="20"/>
        </w:rPr>
        <w:t xml:space="preserve">es fundamental para poder deducir si la empresa está operando a través de su estructura societaria con el objetivo de implementar estrategias de optimización fiscal. Entre los indicadores analizados en este apartado están el porcentaje de compraventa  con empresas  pertenecientes al Grupo sobre el total de la compañía. Mecanismos existentes para la fijación de precios de transferencia. Operaciones de financiación intragrupo y tipo de interés asociado a esas operaciones. Estructura de propiedad que gobierna los activos de propiedad intelectual, así como sobre los empleados y beneficios atribuidos a esa estructura y si utiliza estructuras de empresas de marketig o comerciales, dónde, y si recibe incentivos por ello o acuerdos privilegiados de precios en algunos países. </w:t>
      </w:r>
      <w:r w:rsidRPr="0060302B">
        <w:rPr>
          <w:rFonts w:ascii="Open Sans" w:hAnsi="Open Sans" w:cs="Open Sans"/>
          <w:bCs/>
          <w:sz w:val="20"/>
          <w:szCs w:val="20"/>
        </w:rPr>
        <w:t xml:space="preserve">Tener acceso a esta información es básico para poder contrastar los compromisos de las empresas en materia de fiscalidad responsable. </w:t>
      </w:r>
      <w:r w:rsidRPr="0060302B">
        <w:rPr>
          <w:rFonts w:ascii="Open Sans" w:hAnsi="Open Sans" w:cs="Open Sans"/>
          <w:sz w:val="20"/>
          <w:szCs w:val="20"/>
        </w:rPr>
        <w:t>Más si cabe si tenemos en consideración la presencia de empresas de los grupos analizados  en jurisdicciones consideradas como nichos o paraísos fiscales cuyas actividades principales son financieras, de seguros y reaseguros.</w:t>
      </w:r>
    </w:p>
    <w:p w14:paraId="0565BA7B" w14:textId="77777777" w:rsidR="0060302B" w:rsidRDefault="0060302B" w:rsidP="0060302B">
      <w:pPr>
        <w:jc w:val="both"/>
        <w:rPr>
          <w:rFonts w:ascii="Open Sans" w:hAnsi="Open Sans" w:cs="Open Sans"/>
          <w:sz w:val="20"/>
          <w:szCs w:val="20"/>
        </w:rPr>
      </w:pPr>
    </w:p>
    <w:p w14:paraId="4892C6E0" w14:textId="77777777" w:rsidR="0060302B" w:rsidRDefault="0060302B" w:rsidP="0060302B">
      <w:pPr>
        <w:jc w:val="both"/>
        <w:rPr>
          <w:rFonts w:ascii="Open Sans" w:hAnsi="Open Sans" w:cs="Open Sans"/>
          <w:sz w:val="20"/>
          <w:szCs w:val="20"/>
        </w:rPr>
      </w:pPr>
      <w:r w:rsidRPr="0060302B">
        <w:rPr>
          <w:rFonts w:ascii="Open Sans" w:hAnsi="Open Sans" w:cs="Open Sans"/>
          <w:b/>
          <w:sz w:val="20"/>
          <w:szCs w:val="20"/>
        </w:rPr>
        <w:t>Las empresas analizadas facilitan información anecdótica sobre estos aspectos</w:t>
      </w:r>
      <w:r w:rsidRPr="0060302B">
        <w:rPr>
          <w:rFonts w:ascii="Open Sans" w:hAnsi="Open Sans" w:cs="Open Sans"/>
          <w:sz w:val="20"/>
          <w:szCs w:val="20"/>
        </w:rPr>
        <w:t xml:space="preserve">. Pese a que </w:t>
      </w:r>
      <w:r>
        <w:rPr>
          <w:rFonts w:ascii="Open Sans" w:hAnsi="Open Sans" w:cs="Open Sans"/>
          <w:sz w:val="20"/>
          <w:szCs w:val="20"/>
        </w:rPr>
        <w:t>l</w:t>
      </w:r>
      <w:r w:rsidRPr="0060302B">
        <w:rPr>
          <w:rFonts w:ascii="Open Sans" w:hAnsi="Open Sans" w:cs="Open Sans"/>
          <w:sz w:val="20"/>
          <w:szCs w:val="20"/>
        </w:rPr>
        <w:t xml:space="preserve">a Ley de Sociedades de Capital establece en el  Art 260 “La Memoria deberá contener las transacciones significativas entre la sociedad y terceros vinculados con ella, indicando la naturaleza de la vinculación, el importe y cualquier otra información acerca de las transacciones, que sea necesaria para la determinación de la situación financiera de la sociedad” la información sobre compraventas y operaciones de financiación entre empresas del grupo o bien no existe o tiene carácter muy general. Esta información es, si cabe más relevante, cuando 34 de las 35 empresas tienen sociedades dependientes en paraísos o nichos fiscales, en algunas de ellas la presencia es muy numerosa. Por otro lado la mayor parte de las empresas in forman en sus cuentas anuales consolidadas que eliminan los saldos de operaciones intragrupo al elaborar las cuentas anuales consolidadas. </w:t>
      </w:r>
      <w:r w:rsidRPr="0060302B">
        <w:rPr>
          <w:rFonts w:ascii="Open Sans" w:hAnsi="Open Sans" w:cs="Open Sans"/>
          <w:bCs/>
          <w:sz w:val="20"/>
          <w:szCs w:val="20"/>
        </w:rPr>
        <w:t>Si bien tal operativa en relación a la consolidación es correcta, hubiera sido deseable encontrar información adicional en las empresas analizadas que pudiera despejar dudas con respecto a estos elementos cuya planificación se utiliza frecuentemente para estructurar prácticas de elusión fiscal.</w:t>
      </w:r>
    </w:p>
    <w:p w14:paraId="70A6DFFE" w14:textId="77777777" w:rsidR="0060302B" w:rsidRDefault="0060302B" w:rsidP="0060302B">
      <w:pPr>
        <w:jc w:val="both"/>
        <w:rPr>
          <w:rFonts w:ascii="Open Sans" w:hAnsi="Open Sans" w:cs="Open Sans"/>
          <w:sz w:val="20"/>
          <w:szCs w:val="20"/>
        </w:rPr>
      </w:pPr>
    </w:p>
    <w:p w14:paraId="4D8DB670" w14:textId="77777777" w:rsidR="00BC2D58" w:rsidRDefault="0060302B" w:rsidP="0060302B">
      <w:pPr>
        <w:jc w:val="both"/>
      </w:pPr>
      <w:r w:rsidRPr="00F2590F">
        <w:rPr>
          <w:rFonts w:ascii="Open Sans" w:hAnsi="Open Sans" w:cs="Open Sans"/>
          <w:color w:val="000000"/>
          <w:sz w:val="20"/>
          <w:szCs w:val="20"/>
        </w:rPr>
        <w:t xml:space="preserve">Uno de los mecanismos más utilizados por las empresas multinacionales para eludir el pago de impuestos o instrumentar </w:t>
      </w:r>
      <w:r w:rsidRPr="00F2590F">
        <w:rPr>
          <w:rFonts w:ascii="Open Sans" w:hAnsi="Open Sans" w:cs="Open Sans"/>
          <w:b/>
          <w:color w:val="000000"/>
          <w:sz w:val="20"/>
          <w:szCs w:val="20"/>
        </w:rPr>
        <w:t>estrategias de optimización fiscal</w:t>
      </w:r>
      <w:r w:rsidRPr="00F2590F">
        <w:rPr>
          <w:rFonts w:ascii="Open Sans" w:hAnsi="Open Sans" w:cs="Open Sans"/>
          <w:color w:val="000000"/>
          <w:sz w:val="20"/>
          <w:szCs w:val="20"/>
        </w:rPr>
        <w:t>, consiste en la utilización de los precios de transferencia</w:t>
      </w:r>
      <w:r w:rsidRPr="0060302B">
        <w:rPr>
          <w:rFonts w:ascii="Open Sans" w:hAnsi="Open Sans" w:cs="Open Sans"/>
          <w:color w:val="000000"/>
          <w:sz w:val="20"/>
          <w:szCs w:val="20"/>
        </w:rPr>
        <w:t xml:space="preserve">.  A través del intercambio de bienes y servicios y el sistema de fijación de precios de los mismos puede convertirse en mecanismos  de traslación de rentas y beneficios entre las diferentes partes del grupo multinacional y por tanto entre las jurisdicciones tributarias. El cómo se fijen los precios de transferencia por las empresas es un aspecto muy relevante desde la perspectiva de fiscalidad responsable si se tiene en consideración que más del 60 por 100 del comercio mundial transnacional se realiza entre entidades vinculadas. </w:t>
      </w:r>
      <w:r w:rsidR="001B0C96" w:rsidRPr="001B0C96">
        <w:rPr>
          <w:rFonts w:ascii="Open Sans" w:hAnsi="Open Sans" w:cs="Open Sans"/>
          <w:color w:val="000000"/>
          <w:sz w:val="20"/>
          <w:szCs w:val="20"/>
        </w:rPr>
        <w:t>La cuestión de los precios de transferencia, señala la OCDE, es de particular importancia para la responsabilidad social y tributaria de las empresas. El drástico aumento del comercio mundial y de la inversión extranjera directa (junto con el papel importante que las empresas multinacionales desempeñan en dichas actividades de comercio e inversión) implica que los precios de trasferencia sean un factor de importancia al momento de determinar las obligaciones tributarias de los miembros de un grupo multinacional porque tienen un efecto sustancial en la distribución de la base impositiva entre los países en los que opera la empresa multinacional.</w:t>
      </w:r>
      <w:r w:rsidR="001B0C96">
        <w:t xml:space="preserve"> </w:t>
      </w:r>
    </w:p>
    <w:p w14:paraId="54C951DA" w14:textId="77777777" w:rsidR="00F2590F" w:rsidRDefault="00F2590F" w:rsidP="0060302B">
      <w:pPr>
        <w:jc w:val="both"/>
      </w:pPr>
    </w:p>
    <w:p w14:paraId="1866390D" w14:textId="509CB9C8" w:rsidR="0060302B" w:rsidRDefault="0060302B" w:rsidP="0060302B">
      <w:pPr>
        <w:jc w:val="both"/>
        <w:rPr>
          <w:rFonts w:ascii="Open Sans" w:hAnsi="Open Sans" w:cs="Open Sans"/>
          <w:bCs/>
          <w:sz w:val="20"/>
          <w:szCs w:val="20"/>
        </w:rPr>
      </w:pPr>
      <w:r w:rsidRPr="0060302B">
        <w:rPr>
          <w:rFonts w:ascii="Open Sans" w:hAnsi="Open Sans" w:cs="Open Sans"/>
          <w:color w:val="000000"/>
          <w:sz w:val="20"/>
          <w:szCs w:val="20"/>
        </w:rPr>
        <w:t xml:space="preserve">Tanto la OCDE como la Comisión Europea centran su atención sobre los precios de transferencia como uno de los principales responsables de la elusión fiscal: La OCDE lo integra en BEPS y </w:t>
      </w:r>
      <w:r w:rsidRPr="0060302B">
        <w:rPr>
          <w:rFonts w:ascii="Open Sans" w:hAnsi="Open Sans" w:cs="Open Sans"/>
          <w:bCs/>
          <w:sz w:val="20"/>
          <w:szCs w:val="20"/>
        </w:rPr>
        <w:t>la Comisión Europea, en su propuesta para la reforma del impuesto de sociedades para la UE</w:t>
      </w:r>
      <w:r w:rsidRPr="0060302B">
        <w:rPr>
          <w:rStyle w:val="Refdenotaalpie"/>
          <w:rFonts w:ascii="Open Sans" w:hAnsi="Open Sans" w:cs="Open Sans"/>
          <w:bCs/>
          <w:sz w:val="20"/>
          <w:szCs w:val="20"/>
        </w:rPr>
        <w:footnoteReference w:id="181"/>
      </w:r>
      <w:r w:rsidRPr="0060302B">
        <w:rPr>
          <w:rFonts w:ascii="Open Sans" w:hAnsi="Open Sans" w:cs="Open Sans"/>
          <w:bCs/>
          <w:sz w:val="20"/>
          <w:szCs w:val="20"/>
        </w:rPr>
        <w:t>, reconoce que una “fiscalidad más equitativa depende sobre todo del sistema actual de precios de transferencia, que permanece al margen de estas propuestas y en espera de la base imponible consolidada común”</w:t>
      </w:r>
      <w:r w:rsidRPr="0060302B">
        <w:rPr>
          <w:rStyle w:val="Refdenotaalpie"/>
          <w:rFonts w:ascii="Open Sans" w:hAnsi="Open Sans" w:cs="Open Sans"/>
          <w:bCs/>
          <w:sz w:val="20"/>
          <w:szCs w:val="20"/>
        </w:rPr>
        <w:footnoteReference w:id="182"/>
      </w:r>
      <w:r w:rsidRPr="0060302B">
        <w:rPr>
          <w:rFonts w:ascii="Open Sans" w:hAnsi="Open Sans" w:cs="Open Sans"/>
          <w:bCs/>
          <w:sz w:val="20"/>
          <w:szCs w:val="20"/>
        </w:rPr>
        <w:t>.</w:t>
      </w:r>
    </w:p>
    <w:p w14:paraId="749D927B" w14:textId="77777777" w:rsidR="001B0C96" w:rsidRDefault="001B0C96" w:rsidP="0060302B">
      <w:pPr>
        <w:jc w:val="both"/>
        <w:rPr>
          <w:rFonts w:ascii="Open Sans" w:hAnsi="Open Sans" w:cs="Open Sans"/>
          <w:bCs/>
          <w:sz w:val="20"/>
          <w:szCs w:val="20"/>
        </w:rPr>
      </w:pPr>
    </w:p>
    <w:p w14:paraId="4650C372" w14:textId="77777777" w:rsidR="0060302B" w:rsidRDefault="0060302B" w:rsidP="0060302B">
      <w:pPr>
        <w:jc w:val="both"/>
        <w:rPr>
          <w:rFonts w:ascii="Open Sans" w:hAnsi="Open Sans" w:cs="Open Sans"/>
          <w:sz w:val="20"/>
          <w:szCs w:val="20"/>
        </w:rPr>
      </w:pPr>
    </w:p>
    <w:p w14:paraId="7F1FADD6" w14:textId="22673CCF" w:rsidR="0060302B" w:rsidRPr="0060302B" w:rsidRDefault="0060302B" w:rsidP="0060302B">
      <w:pPr>
        <w:jc w:val="both"/>
        <w:rPr>
          <w:rFonts w:ascii="Open Sans" w:hAnsi="Open Sans" w:cs="Open Sans"/>
          <w:sz w:val="20"/>
          <w:szCs w:val="20"/>
        </w:rPr>
      </w:pPr>
      <w:r w:rsidRPr="00F2590F">
        <w:rPr>
          <w:rFonts w:ascii="Open Sans" w:hAnsi="Open Sans" w:cs="Open Sans"/>
          <w:color w:val="000000"/>
          <w:sz w:val="20"/>
          <w:szCs w:val="20"/>
        </w:rPr>
        <w:t xml:space="preserve">En relación  a la </w:t>
      </w:r>
      <w:r w:rsidRPr="00F2590F">
        <w:rPr>
          <w:rFonts w:ascii="Open Sans" w:hAnsi="Open Sans" w:cs="Open Sans"/>
          <w:b/>
          <w:color w:val="000000"/>
          <w:sz w:val="20"/>
          <w:szCs w:val="20"/>
        </w:rPr>
        <w:t>fijación de los precios de transferencia</w:t>
      </w:r>
      <w:r w:rsidRPr="00F2590F">
        <w:rPr>
          <w:rFonts w:ascii="Open Sans" w:hAnsi="Open Sans" w:cs="Open Sans"/>
          <w:color w:val="000000"/>
          <w:sz w:val="20"/>
          <w:szCs w:val="20"/>
        </w:rPr>
        <w:t xml:space="preserve"> la mayor parte de las empresas analizadas hacen declaraciones afirmando sobre que serán fijados conforme precios de mercado, sin embargo ninguna empresa facilita información detallada sobre los mecanismos de fijación de precios. </w:t>
      </w:r>
      <w:r w:rsidR="00F2590F">
        <w:rPr>
          <w:rFonts w:ascii="Open Sans" w:hAnsi="Open Sans" w:cs="Open Sans"/>
          <w:bCs/>
          <w:sz w:val="20"/>
          <w:szCs w:val="20"/>
        </w:rPr>
        <w:t>REPSOL</w:t>
      </w:r>
      <w:r w:rsidRPr="00F2590F">
        <w:rPr>
          <w:rFonts w:ascii="Open Sans" w:hAnsi="Open Sans" w:cs="Open Sans"/>
          <w:bCs/>
          <w:sz w:val="20"/>
          <w:szCs w:val="20"/>
        </w:rPr>
        <w:t xml:space="preserve"> afirma que «</w:t>
      </w:r>
      <w:r w:rsidRPr="00F2590F">
        <w:rPr>
          <w:rFonts w:ascii="Open Sans" w:hAnsi="Open Sans" w:cs="Open Sans"/>
          <w:bCs/>
          <w:i/>
          <w:sz w:val="20"/>
          <w:szCs w:val="20"/>
        </w:rPr>
        <w:t xml:space="preserve"> realiza transacciones con partes</w:t>
      </w:r>
      <w:r w:rsidRPr="0060302B">
        <w:rPr>
          <w:rFonts w:ascii="Open Sans" w:hAnsi="Open Sans" w:cs="Open Sans"/>
          <w:bCs/>
          <w:i/>
          <w:sz w:val="20"/>
          <w:szCs w:val="20"/>
        </w:rPr>
        <w:t xml:space="preserve"> vinculadas dentro de las condiciones generales de mercado</w:t>
      </w:r>
      <w:r w:rsidRPr="0060302B">
        <w:rPr>
          <w:rFonts w:ascii="Open Sans" w:hAnsi="Open Sans" w:cs="Open Sans"/>
          <w:bCs/>
          <w:sz w:val="20"/>
          <w:szCs w:val="20"/>
        </w:rPr>
        <w:t>»</w:t>
      </w:r>
      <w:r w:rsidR="00F2590F">
        <w:rPr>
          <w:rFonts w:ascii="Open Sans" w:hAnsi="Open Sans" w:cs="Open Sans"/>
          <w:bCs/>
          <w:sz w:val="20"/>
          <w:szCs w:val="20"/>
        </w:rPr>
        <w:t xml:space="preserve">. </w:t>
      </w:r>
      <w:r w:rsidRPr="00F2590F">
        <w:rPr>
          <w:rFonts w:ascii="Open Sans" w:hAnsi="Open Sans" w:cs="Open Sans"/>
          <w:bCs/>
          <w:sz w:val="20"/>
          <w:szCs w:val="20"/>
        </w:rPr>
        <w:t>DIA</w:t>
      </w:r>
      <w:r w:rsidRPr="0060302B">
        <w:rPr>
          <w:rFonts w:ascii="Open Sans" w:hAnsi="Open Sans" w:cs="Open Sans"/>
          <w:bCs/>
          <w:sz w:val="20"/>
          <w:szCs w:val="20"/>
        </w:rPr>
        <w:t xml:space="preserve"> por su parte afirma «</w:t>
      </w:r>
      <w:r w:rsidRPr="0060302B">
        <w:rPr>
          <w:rFonts w:ascii="Open Sans" w:hAnsi="Open Sans" w:cs="Open Sans"/>
          <w:bCs/>
          <w:i/>
          <w:sz w:val="20"/>
          <w:szCs w:val="20"/>
        </w:rPr>
        <w:t>los precios de transferencia entre los segmentos de operación son pactados de manera similar a la que se pactan con terceros</w:t>
      </w:r>
      <w:r w:rsidRPr="0060302B">
        <w:rPr>
          <w:rFonts w:ascii="Open Sans" w:hAnsi="Open Sans" w:cs="Open Sans"/>
          <w:bCs/>
          <w:sz w:val="20"/>
          <w:szCs w:val="20"/>
        </w:rPr>
        <w:t xml:space="preserve">». Pocas empresas facilitan información algo más detallada uno de los casos sería el de </w:t>
      </w:r>
      <w:r w:rsidRPr="00F2590F">
        <w:rPr>
          <w:rFonts w:ascii="Open Sans" w:hAnsi="Open Sans" w:cs="Open Sans"/>
          <w:bCs/>
          <w:sz w:val="20"/>
          <w:szCs w:val="20"/>
        </w:rPr>
        <w:t>BBVA</w:t>
      </w:r>
      <w:r w:rsidRPr="0060302B">
        <w:rPr>
          <w:rFonts w:ascii="Open Sans" w:hAnsi="Open Sans" w:cs="Open Sans"/>
          <w:bCs/>
          <w:sz w:val="20"/>
          <w:szCs w:val="20"/>
        </w:rPr>
        <w:t>: “</w:t>
      </w:r>
      <w:r w:rsidRPr="0060302B">
        <w:rPr>
          <w:rFonts w:ascii="Open Sans" w:hAnsi="Open Sans" w:cs="Open Sans"/>
          <w:bCs/>
          <w:i/>
          <w:sz w:val="20"/>
          <w:szCs w:val="20"/>
        </w:rPr>
        <w:t>BBVA ha establecido una política de precios de transferencia para todas sus operaciones entre partes y entidades vinculadas que está presidida por los principios de libre concurrencia, creación de valor y asunción de riesgos y beneficios.  Dichos tipos están compuestos por una tasa de referencia (índice de uso generalmente aceptado en el mercado) que se aplica en función del plazo de revisión o vencimiento de la operación, y por una prima de liquidez, es decir, un spread, que se establece en función de las condiciones y perspectivas de los mercados financieros en este aspecto</w:t>
      </w:r>
      <w:r w:rsidRPr="0060302B">
        <w:rPr>
          <w:rFonts w:ascii="Open Sans" w:hAnsi="Open Sans" w:cs="Open Sans"/>
          <w:bCs/>
          <w:sz w:val="20"/>
          <w:szCs w:val="20"/>
        </w:rPr>
        <w:t>”.</w:t>
      </w:r>
    </w:p>
    <w:p w14:paraId="7D5CF62E" w14:textId="77777777" w:rsidR="0060302B" w:rsidRPr="0060302B" w:rsidRDefault="0060302B" w:rsidP="0060302B">
      <w:pPr>
        <w:tabs>
          <w:tab w:val="left" w:pos="709"/>
        </w:tabs>
        <w:rPr>
          <w:rFonts w:ascii="Open Sans" w:hAnsi="Open Sans" w:cs="Open Sans"/>
          <w:bCs/>
          <w:sz w:val="20"/>
          <w:szCs w:val="20"/>
        </w:rPr>
      </w:pPr>
    </w:p>
    <w:p w14:paraId="725D4442" w14:textId="77777777" w:rsidR="0060302B" w:rsidRPr="0060302B" w:rsidRDefault="0060302B" w:rsidP="0060302B">
      <w:pPr>
        <w:jc w:val="both"/>
        <w:rPr>
          <w:rFonts w:ascii="Open Sans" w:eastAsia="Calibri" w:hAnsi="Open Sans" w:cs="Open Sans"/>
          <w:sz w:val="20"/>
          <w:szCs w:val="20"/>
        </w:rPr>
      </w:pPr>
      <w:r w:rsidRPr="00F2590F">
        <w:rPr>
          <w:rFonts w:ascii="Open Sans" w:eastAsia="Calibri" w:hAnsi="Open Sans" w:cs="Open Sans"/>
          <w:sz w:val="20"/>
          <w:szCs w:val="20"/>
        </w:rPr>
        <w:t xml:space="preserve">ACS afirma en el informe económico del grupo que </w:t>
      </w:r>
      <w:r w:rsidRPr="00F2590F">
        <w:rPr>
          <w:rFonts w:ascii="Open Sans" w:eastAsia="Calibri" w:hAnsi="Open Sans" w:cs="Open Sans"/>
          <w:i/>
          <w:sz w:val="20"/>
          <w:szCs w:val="20"/>
        </w:rPr>
        <w:t>“Las sociedades del Grupo realizan todas sus operaciones con vinculadas a valor de mercado. Adicionalmente, los precios de transferencia se encuentran adecuadamente soportados, por lo que los Administradores de la Sociedad Dominante consideran que no existen riesgos significativos por este aspecto de los que puedan derivarse pasivos de consideración en el futuro”</w:t>
      </w:r>
      <w:r w:rsidRPr="00F2590F">
        <w:rPr>
          <w:rFonts w:ascii="Open Sans" w:eastAsia="Calibri" w:hAnsi="Open Sans" w:cs="Open Sans"/>
          <w:sz w:val="20"/>
          <w:szCs w:val="20"/>
        </w:rPr>
        <w:t>. No obstante, una información publicada por el diario EL Confidencial ACS y su socio del proyecto Castor, que tuvo un coste 1.350 millones de euros para el Estado, reclamaron quisieron “inflar los costes del cierre del almacén de gas de Castor a través de operaciones intragrupo. ACS reclamaba por concepto de margen de operaciones y mantenimiento </w:t>
      </w:r>
      <w:r w:rsidRPr="00F2590F">
        <w:rPr>
          <w:rFonts w:ascii="Open Sans" w:eastAsia="Calibri" w:hAnsi="Open Sans" w:cs="Open Sans"/>
          <w:bCs/>
          <w:sz w:val="20"/>
          <w:szCs w:val="20"/>
        </w:rPr>
        <w:t>el 10%</w:t>
      </w:r>
      <w:r w:rsidRPr="00F2590F">
        <w:rPr>
          <w:rFonts w:ascii="Open Sans" w:eastAsia="Calibri" w:hAnsi="Open Sans" w:cs="Open Sans"/>
          <w:sz w:val="20"/>
          <w:szCs w:val="20"/>
        </w:rPr>
        <w:t>. Pero como apunta el Ministerio, “no cabe reconocer costes inexistentes como son los márgenes intragrupo”. ACS y Dundee Energy explicaron que solo en los costes de operación y mantenimiento, el “beneficio industrial” obtenido por su contratista era del 10% ¿Y quién era ese contratista? Pues la </w:t>
      </w:r>
      <w:r w:rsidRPr="00F2590F">
        <w:rPr>
          <w:rFonts w:ascii="Open Sans" w:eastAsia="Calibri" w:hAnsi="Open Sans" w:cs="Open Sans"/>
          <w:bCs/>
          <w:sz w:val="20"/>
          <w:szCs w:val="20"/>
        </w:rPr>
        <w:t>UTE ACS-Cobra</w:t>
      </w:r>
      <w:r w:rsidRPr="00F2590F">
        <w:rPr>
          <w:rFonts w:ascii="Open Sans" w:eastAsia="Calibri" w:hAnsi="Open Sans" w:cs="Open Sans"/>
          <w:sz w:val="20"/>
          <w:szCs w:val="20"/>
        </w:rPr>
        <w:t>, propiedad de la propia ACS. De manera que ACS, a través de Escal, donde tenía el 66%, se contrataba a sí misma, a la UTE ACS-Cobra, y </w:t>
      </w:r>
      <w:r w:rsidRPr="00F2590F">
        <w:rPr>
          <w:rFonts w:ascii="Open Sans" w:eastAsia="Calibri" w:hAnsi="Open Sans" w:cs="Open Sans"/>
          <w:bCs/>
          <w:sz w:val="20"/>
          <w:szCs w:val="20"/>
        </w:rPr>
        <w:t>ganaba el 10% hiciera lo que hiciese, de acuerdo con la información aparecida en el diario EL Confidencial</w:t>
      </w:r>
      <w:r w:rsidRPr="0060302B">
        <w:rPr>
          <w:rStyle w:val="Refdenotaalpie"/>
          <w:rFonts w:ascii="Open Sans" w:eastAsia="Calibri" w:hAnsi="Open Sans" w:cs="Open Sans"/>
          <w:bCs/>
          <w:sz w:val="20"/>
          <w:szCs w:val="20"/>
        </w:rPr>
        <w:footnoteReference w:id="183"/>
      </w:r>
      <w:r w:rsidRPr="0060302B">
        <w:rPr>
          <w:rFonts w:ascii="Open Sans" w:eastAsia="Calibri" w:hAnsi="Open Sans" w:cs="Open Sans"/>
          <w:sz w:val="20"/>
          <w:szCs w:val="20"/>
        </w:rPr>
        <w:t>.  El juzgado de Instrucción número 4 de Vinaròs (Castellón) ha abierto una causa por </w:t>
      </w:r>
      <w:r w:rsidRPr="0060302B">
        <w:rPr>
          <w:rFonts w:ascii="Open Sans" w:eastAsia="Calibri" w:hAnsi="Open Sans" w:cs="Open Sans"/>
          <w:bCs/>
          <w:sz w:val="20"/>
          <w:szCs w:val="20"/>
        </w:rPr>
        <w:t>supuestas irregularidades en la tramitación de la concesión</w:t>
      </w:r>
      <w:r w:rsidRPr="0060302B">
        <w:rPr>
          <w:rFonts w:ascii="Open Sans" w:eastAsia="Calibri" w:hAnsi="Open Sans" w:cs="Open Sans"/>
          <w:sz w:val="20"/>
          <w:szCs w:val="20"/>
        </w:rPr>
        <w:t> de explotación del </w:t>
      </w:r>
      <w:hyperlink r:id="rId60" w:history="1">
        <w:r w:rsidRPr="0060302B">
          <w:rPr>
            <w:rFonts w:ascii="Open Sans" w:eastAsia="Calibri" w:hAnsi="Open Sans" w:cs="Open Sans"/>
            <w:sz w:val="20"/>
            <w:szCs w:val="20"/>
          </w:rPr>
          <w:t>proyecto Castor</w:t>
        </w:r>
      </w:hyperlink>
      <w:r w:rsidRPr="0060302B">
        <w:rPr>
          <w:rFonts w:ascii="Open Sans" w:eastAsia="Calibri" w:hAnsi="Open Sans" w:cs="Open Sans"/>
          <w:sz w:val="20"/>
          <w:szCs w:val="20"/>
        </w:rPr>
        <w:t> y ha imputado a 18 personas por presunta prevaricación medioambiental y contra el medio ambiente y los recursos naturales</w:t>
      </w:r>
      <w:r w:rsidRPr="0060302B">
        <w:rPr>
          <w:rStyle w:val="Refdenotaalpie"/>
          <w:rFonts w:ascii="Open Sans" w:eastAsia="Calibri" w:hAnsi="Open Sans" w:cs="Open Sans"/>
          <w:sz w:val="20"/>
          <w:szCs w:val="20"/>
        </w:rPr>
        <w:footnoteReference w:id="184"/>
      </w:r>
      <w:r w:rsidRPr="0060302B">
        <w:rPr>
          <w:rFonts w:ascii="Open Sans" w:eastAsia="Calibri" w:hAnsi="Open Sans" w:cs="Open Sans"/>
          <w:sz w:val="20"/>
          <w:szCs w:val="20"/>
        </w:rPr>
        <w:t xml:space="preserve">. </w:t>
      </w:r>
    </w:p>
    <w:p w14:paraId="7F109A6C" w14:textId="77777777" w:rsidR="0060302B" w:rsidRPr="0060302B" w:rsidRDefault="0060302B" w:rsidP="0060302B">
      <w:pPr>
        <w:tabs>
          <w:tab w:val="left" w:pos="709"/>
        </w:tabs>
        <w:rPr>
          <w:rFonts w:ascii="Open Sans" w:hAnsi="Open Sans" w:cs="Open Sans"/>
          <w:bCs/>
          <w:sz w:val="20"/>
          <w:szCs w:val="20"/>
        </w:rPr>
      </w:pPr>
    </w:p>
    <w:p w14:paraId="3B012A94" w14:textId="75FD6F27" w:rsidR="0060302B" w:rsidRPr="00F2590F" w:rsidRDefault="0060302B" w:rsidP="0060302B">
      <w:pPr>
        <w:tabs>
          <w:tab w:val="left" w:pos="709"/>
        </w:tabs>
        <w:jc w:val="both"/>
        <w:rPr>
          <w:rFonts w:ascii="Open Sans" w:eastAsia="Calibri" w:hAnsi="Open Sans" w:cs="Open Sans"/>
          <w:sz w:val="20"/>
          <w:szCs w:val="20"/>
        </w:rPr>
      </w:pPr>
      <w:r w:rsidRPr="00F2590F">
        <w:rPr>
          <w:rFonts w:ascii="Open Sans" w:hAnsi="Open Sans" w:cs="Open Sans"/>
          <w:bCs/>
          <w:sz w:val="20"/>
          <w:szCs w:val="20"/>
        </w:rPr>
        <w:t xml:space="preserve">Hay empresas que reconocen contingencias fiscales o litigios con la agencia tributaria por los precios de transferencia. Tal es el caso de </w:t>
      </w:r>
      <w:r w:rsidR="00F2590F" w:rsidRPr="00F2590F">
        <w:rPr>
          <w:rFonts w:ascii="Open Sans" w:hAnsi="Open Sans" w:cs="Open Sans"/>
          <w:bCs/>
          <w:sz w:val="20"/>
          <w:szCs w:val="20"/>
        </w:rPr>
        <w:t>IBERDROLA</w:t>
      </w:r>
      <w:r w:rsidRPr="00F2590F">
        <w:rPr>
          <w:rFonts w:ascii="Open Sans" w:hAnsi="Open Sans" w:cs="Open Sans"/>
          <w:bCs/>
          <w:sz w:val="20"/>
          <w:szCs w:val="20"/>
        </w:rPr>
        <w:t xml:space="preserve"> que </w:t>
      </w:r>
      <w:r w:rsidRPr="00F2590F">
        <w:rPr>
          <w:rFonts w:ascii="Open Sans" w:eastAsia="Calibri" w:hAnsi="Open Sans" w:cs="Open Sans"/>
          <w:sz w:val="20"/>
          <w:szCs w:val="20"/>
        </w:rPr>
        <w:t>"</w:t>
      </w:r>
      <w:r w:rsidRPr="00F2590F">
        <w:rPr>
          <w:rFonts w:ascii="Open Sans" w:eastAsia="Calibri" w:hAnsi="Open Sans" w:cs="Open Sans"/>
          <w:i/>
          <w:sz w:val="20"/>
          <w:szCs w:val="20"/>
        </w:rPr>
        <w:t>A fecha de formulación de estas Cuentas anuales consolidadas se han incoado actas de inspección en relación con el Impuesto sobre Sociedades (específicas de la materia de precios de transferencia)</w:t>
      </w:r>
      <w:r w:rsidRPr="00F2590F">
        <w:rPr>
          <w:rFonts w:ascii="Open Sans" w:eastAsia="Calibri" w:hAnsi="Open Sans" w:cs="Open Sans"/>
          <w:sz w:val="20"/>
          <w:szCs w:val="20"/>
        </w:rPr>
        <w:t>"</w:t>
      </w:r>
      <w:r w:rsidRPr="00F2590F">
        <w:rPr>
          <w:rStyle w:val="Refdenotaalpie"/>
          <w:rFonts w:ascii="Open Sans" w:eastAsia="Calibri" w:hAnsi="Open Sans" w:cs="Open Sans"/>
          <w:sz w:val="20"/>
          <w:szCs w:val="20"/>
        </w:rPr>
        <w:footnoteReference w:id="185"/>
      </w:r>
    </w:p>
    <w:p w14:paraId="36CB47A8" w14:textId="77777777" w:rsidR="0060302B" w:rsidRPr="00F2590F" w:rsidRDefault="0060302B" w:rsidP="0060302B">
      <w:pPr>
        <w:tabs>
          <w:tab w:val="left" w:pos="709"/>
        </w:tabs>
        <w:jc w:val="both"/>
        <w:rPr>
          <w:rFonts w:ascii="Open Sans" w:eastAsia="Calibri" w:hAnsi="Open Sans" w:cs="Open Sans"/>
          <w:sz w:val="20"/>
          <w:szCs w:val="20"/>
        </w:rPr>
      </w:pPr>
    </w:p>
    <w:p w14:paraId="2F88D458" w14:textId="4E122053" w:rsidR="0060302B" w:rsidRPr="00F2590F" w:rsidRDefault="00F2590F" w:rsidP="005908DE">
      <w:pPr>
        <w:tabs>
          <w:tab w:val="left" w:pos="709"/>
        </w:tabs>
        <w:jc w:val="both"/>
        <w:rPr>
          <w:rFonts w:ascii="Open Sans" w:hAnsi="Open Sans" w:cs="Open Sans"/>
          <w:sz w:val="20"/>
          <w:szCs w:val="20"/>
        </w:rPr>
      </w:pPr>
      <w:r>
        <w:rPr>
          <w:rFonts w:ascii="Open Sans" w:hAnsi="Open Sans" w:cs="Open Sans"/>
          <w:sz w:val="20"/>
          <w:szCs w:val="20"/>
        </w:rPr>
        <w:t>ACERINOX</w:t>
      </w:r>
      <w:r w:rsidR="0060302B" w:rsidRPr="0060302B">
        <w:rPr>
          <w:rFonts w:ascii="Open Sans" w:hAnsi="Open Sans" w:cs="Open Sans"/>
          <w:sz w:val="20"/>
          <w:szCs w:val="20"/>
        </w:rPr>
        <w:t xml:space="preserve"> afirma que el método de precios de transferencia “es homogéneo con el Grupo y es uno de los métodos aprobados por la OCDE”</w:t>
      </w:r>
      <w:r w:rsidR="0060302B" w:rsidRPr="0060302B">
        <w:rPr>
          <w:rStyle w:val="Refdenotaalpie"/>
          <w:rFonts w:ascii="Open Sans" w:hAnsi="Open Sans" w:cs="Open Sans"/>
          <w:sz w:val="20"/>
          <w:szCs w:val="20"/>
        </w:rPr>
        <w:footnoteReference w:id="186"/>
      </w:r>
      <w:r w:rsidR="0060302B" w:rsidRPr="0060302B">
        <w:rPr>
          <w:rFonts w:ascii="Open Sans" w:hAnsi="Open Sans" w:cs="Open Sans"/>
          <w:sz w:val="20"/>
          <w:szCs w:val="20"/>
        </w:rPr>
        <w:t xml:space="preserve">, sin embargo no facilita más información sobre operaciones intragrupo. </w:t>
      </w:r>
      <w:r w:rsidR="0060302B" w:rsidRPr="00F2590F">
        <w:rPr>
          <w:rFonts w:ascii="Open Sans" w:hAnsi="Open Sans" w:cs="Open Sans"/>
          <w:sz w:val="20"/>
          <w:szCs w:val="20"/>
        </w:rPr>
        <w:t>Acerinox tiene abiertas inspecciones fiscales por precios de transferencia en</w:t>
      </w:r>
      <w:r w:rsidR="0060302B" w:rsidRPr="00F2590F">
        <w:rPr>
          <w:rStyle w:val="Refdenotaalpie"/>
          <w:rFonts w:ascii="Open Sans" w:hAnsi="Open Sans" w:cs="Open Sans"/>
          <w:sz w:val="20"/>
          <w:szCs w:val="20"/>
        </w:rPr>
        <w:footnoteReference w:id="187"/>
      </w:r>
      <w:r w:rsidR="0060302B" w:rsidRPr="00F2590F">
        <w:rPr>
          <w:rFonts w:ascii="Open Sans" w:hAnsi="Open Sans" w:cs="Open Sans"/>
          <w:sz w:val="20"/>
          <w:szCs w:val="20"/>
        </w:rPr>
        <w:t>:</w:t>
      </w:r>
    </w:p>
    <w:p w14:paraId="2F47056B" w14:textId="77777777" w:rsidR="0060302B" w:rsidRPr="0060302B" w:rsidRDefault="0060302B" w:rsidP="0060302B">
      <w:pPr>
        <w:tabs>
          <w:tab w:val="left" w:pos="709"/>
        </w:tabs>
        <w:rPr>
          <w:rFonts w:ascii="Open Sans" w:hAnsi="Open Sans" w:cs="Open Sans"/>
          <w:sz w:val="20"/>
          <w:szCs w:val="20"/>
        </w:rPr>
      </w:pPr>
    </w:p>
    <w:p w14:paraId="52A79E5B" w14:textId="77777777" w:rsidR="0060302B" w:rsidRPr="0060302B" w:rsidRDefault="0060302B" w:rsidP="0060302B">
      <w:pPr>
        <w:numPr>
          <w:ilvl w:val="0"/>
          <w:numId w:val="16"/>
        </w:numPr>
        <w:tabs>
          <w:tab w:val="left" w:pos="709"/>
        </w:tabs>
        <w:jc w:val="both"/>
        <w:rPr>
          <w:rFonts w:ascii="Open Sans" w:hAnsi="Open Sans" w:cs="Open Sans"/>
          <w:sz w:val="20"/>
          <w:szCs w:val="20"/>
        </w:rPr>
      </w:pPr>
      <w:r w:rsidRPr="0060302B">
        <w:rPr>
          <w:rFonts w:ascii="Open Sans" w:hAnsi="Open Sans" w:cs="Open Sans"/>
          <w:sz w:val="20"/>
          <w:szCs w:val="20"/>
        </w:rPr>
        <w:t>Italia;  en relación a los precios de transferencia de las operaciones entre Acerinox Italia S.r.l. y las compañías manufactureras del Grupo.</w:t>
      </w:r>
    </w:p>
    <w:p w14:paraId="0372E3A7" w14:textId="77777777" w:rsidR="0060302B" w:rsidRPr="0060302B" w:rsidRDefault="0060302B" w:rsidP="0060302B">
      <w:pPr>
        <w:numPr>
          <w:ilvl w:val="0"/>
          <w:numId w:val="16"/>
        </w:numPr>
        <w:tabs>
          <w:tab w:val="left" w:pos="709"/>
        </w:tabs>
        <w:jc w:val="both"/>
        <w:rPr>
          <w:rFonts w:ascii="Open Sans" w:hAnsi="Open Sans" w:cs="Open Sans"/>
          <w:sz w:val="20"/>
          <w:szCs w:val="20"/>
        </w:rPr>
      </w:pPr>
      <w:r w:rsidRPr="0060302B">
        <w:rPr>
          <w:rFonts w:ascii="Open Sans" w:hAnsi="Open Sans" w:cs="Open Sans"/>
          <w:sz w:val="20"/>
          <w:szCs w:val="20"/>
        </w:rPr>
        <w:t>Malasia; en 2015 se iniciaron actuaciones inspectoras en la sociedad Acerinox SC Malasia, Sdn. Bhd. relacionada con precios de transferencia de los ejercicios 2010 a 2013.</w:t>
      </w:r>
    </w:p>
    <w:p w14:paraId="699421EE" w14:textId="77777777" w:rsidR="0060302B" w:rsidRPr="0060302B" w:rsidRDefault="0060302B" w:rsidP="0060302B">
      <w:pPr>
        <w:numPr>
          <w:ilvl w:val="0"/>
          <w:numId w:val="16"/>
        </w:numPr>
        <w:tabs>
          <w:tab w:val="left" w:pos="709"/>
        </w:tabs>
        <w:jc w:val="both"/>
        <w:rPr>
          <w:rFonts w:ascii="Open Sans" w:hAnsi="Open Sans" w:cs="Open Sans"/>
          <w:sz w:val="20"/>
          <w:szCs w:val="20"/>
        </w:rPr>
      </w:pPr>
      <w:r w:rsidRPr="0060302B">
        <w:rPr>
          <w:rFonts w:ascii="Open Sans" w:hAnsi="Open Sans" w:cs="Open Sans"/>
          <w:sz w:val="20"/>
          <w:szCs w:val="20"/>
        </w:rPr>
        <w:t>Sudáfrica; en 2014 se iniciaron de actuaciones inspectoras por precios de transferencia en la sociedad del Grupo Columbus Stainless (Pty) Ltd. relativa a los ejercicios 2010 a 2012, las cuales se han cerrado en 2015 con ajustes en base por precios de transferencia por importe de 32 millones de euros, aunque no hubo sanción tributaria.</w:t>
      </w:r>
    </w:p>
    <w:p w14:paraId="72E6A45D" w14:textId="77777777" w:rsidR="0060302B" w:rsidRPr="0060302B" w:rsidRDefault="0060302B" w:rsidP="0060302B">
      <w:pPr>
        <w:numPr>
          <w:ilvl w:val="0"/>
          <w:numId w:val="16"/>
        </w:numPr>
        <w:tabs>
          <w:tab w:val="left" w:pos="709"/>
        </w:tabs>
        <w:jc w:val="both"/>
        <w:rPr>
          <w:rFonts w:ascii="Open Sans" w:hAnsi="Open Sans" w:cs="Open Sans"/>
          <w:sz w:val="20"/>
          <w:szCs w:val="20"/>
        </w:rPr>
      </w:pPr>
      <w:r w:rsidRPr="0060302B">
        <w:rPr>
          <w:rFonts w:ascii="Open Sans" w:hAnsi="Open Sans" w:cs="Open Sans"/>
          <w:sz w:val="20"/>
          <w:szCs w:val="20"/>
        </w:rPr>
        <w:t>Portugal; Durante el 2011 tuvieron lugar actuaciones de comprobación fiscal de las que se derivó un ajuste de precios de transferencia por las transacciones de compra-venta entre la Sociedad Acerol, Ltda y las fábricas del Grupo, fundamentalmente Acerinox, S.A. y Roldan, S.A..</w:t>
      </w:r>
    </w:p>
    <w:p w14:paraId="153C7C1F" w14:textId="77777777" w:rsidR="0060302B" w:rsidRPr="0060302B" w:rsidRDefault="0060302B" w:rsidP="0060302B">
      <w:pPr>
        <w:tabs>
          <w:tab w:val="left" w:pos="709"/>
        </w:tabs>
        <w:rPr>
          <w:rFonts w:ascii="Open Sans" w:hAnsi="Open Sans" w:cs="Open Sans"/>
          <w:sz w:val="20"/>
          <w:szCs w:val="20"/>
        </w:rPr>
      </w:pPr>
    </w:p>
    <w:p w14:paraId="0CFF5672" w14:textId="380059AA" w:rsidR="0060302B" w:rsidRDefault="0060302B" w:rsidP="0060302B">
      <w:pPr>
        <w:jc w:val="both"/>
        <w:rPr>
          <w:rFonts w:ascii="Open Sans" w:hAnsi="Open Sans" w:cs="Open Sans"/>
          <w:sz w:val="20"/>
          <w:szCs w:val="20"/>
        </w:rPr>
      </w:pPr>
      <w:r w:rsidRPr="0060302B">
        <w:rPr>
          <w:rFonts w:ascii="Open Sans" w:hAnsi="Open Sans" w:cs="Open Sans"/>
          <w:bCs/>
          <w:sz w:val="20"/>
          <w:szCs w:val="20"/>
        </w:rPr>
        <w:t xml:space="preserve">En relación a las </w:t>
      </w:r>
      <w:r w:rsidRPr="0060302B">
        <w:rPr>
          <w:rFonts w:ascii="Open Sans" w:hAnsi="Open Sans" w:cs="Open Sans"/>
          <w:b/>
          <w:bCs/>
          <w:sz w:val="20"/>
          <w:szCs w:val="20"/>
        </w:rPr>
        <w:t>operaciones de financiación intragrupo</w:t>
      </w:r>
      <w:r w:rsidRPr="0060302B">
        <w:rPr>
          <w:rFonts w:ascii="Open Sans" w:hAnsi="Open Sans" w:cs="Open Sans"/>
          <w:bCs/>
          <w:sz w:val="20"/>
          <w:szCs w:val="20"/>
        </w:rPr>
        <w:t xml:space="preserve"> se facilita mayor información pero normalmente limitada a cuantías y no a costes de la financiación.  </w:t>
      </w:r>
      <w:r w:rsidR="00F2590F">
        <w:rPr>
          <w:rFonts w:ascii="Open Sans" w:hAnsi="Open Sans" w:cs="Open Sans"/>
          <w:bCs/>
          <w:sz w:val="20"/>
          <w:szCs w:val="20"/>
        </w:rPr>
        <w:t>BANKINTER</w:t>
      </w:r>
      <w:r w:rsidRPr="0060302B">
        <w:rPr>
          <w:rFonts w:ascii="Open Sans" w:hAnsi="Open Sans" w:cs="Open Sans"/>
          <w:bCs/>
          <w:sz w:val="20"/>
          <w:szCs w:val="20"/>
        </w:rPr>
        <w:t xml:space="preserve"> informa que el total de operaciones con partes vinculadas asciende a 2.608.377m€, concentrándose principalmente en Acuerdos de Financiación (créditos y aportaciones de capital) como prestamista (79%) y como prestatario (14%). No sé ha encontrado información sobre las condiciones económicas de estos acuerdos de financiación para poder valorar los precios de transferencia de las operaciones intragrupo. </w:t>
      </w:r>
      <w:r w:rsidR="00F2590F">
        <w:rPr>
          <w:rFonts w:ascii="Open Sans" w:hAnsi="Open Sans" w:cs="Open Sans"/>
          <w:sz w:val="20"/>
          <w:szCs w:val="20"/>
        </w:rPr>
        <w:t>ENAGÁS</w:t>
      </w:r>
      <w:r w:rsidRPr="0060302B">
        <w:rPr>
          <w:rFonts w:ascii="Open Sans" w:hAnsi="Open Sans" w:cs="Open Sans"/>
          <w:sz w:val="20"/>
          <w:szCs w:val="20"/>
        </w:rPr>
        <w:t xml:space="preserve"> informa de operaciones llevadas a cabo por la sociedad Suiza “Trans Adriatic Pipeline AG”</w:t>
      </w:r>
      <w:r w:rsidRPr="0060302B">
        <w:rPr>
          <w:rStyle w:val="Refdenotaalpie"/>
          <w:rFonts w:ascii="Open Sans" w:hAnsi="Open Sans" w:cs="Open Sans"/>
          <w:sz w:val="20"/>
          <w:szCs w:val="20"/>
        </w:rPr>
        <w:footnoteReference w:id="188"/>
      </w:r>
      <w:r w:rsidRPr="0060302B">
        <w:rPr>
          <w:rFonts w:ascii="Open Sans" w:hAnsi="Open Sans" w:cs="Open Sans"/>
          <w:sz w:val="20"/>
          <w:szCs w:val="20"/>
        </w:rPr>
        <w:t>, una de las cuales corresponde a “préstamo e intereses financieros” por importe de 62.194 miles de euros y la otra a “compromisos de inversión adquiridos” por importe de 141.025 miles de euros, cantidades que son bastante elevadas y de las que no se aporta más explicación que la descrita. Es importante destacar que Suiza está considerado un nicho fiscal.</w:t>
      </w:r>
    </w:p>
    <w:p w14:paraId="4460CB34" w14:textId="77777777" w:rsidR="0060302B" w:rsidRDefault="0060302B" w:rsidP="0060302B">
      <w:pPr>
        <w:jc w:val="both"/>
        <w:rPr>
          <w:rFonts w:ascii="Open Sans" w:hAnsi="Open Sans" w:cs="Open Sans"/>
          <w:sz w:val="20"/>
          <w:szCs w:val="20"/>
        </w:rPr>
      </w:pPr>
    </w:p>
    <w:p w14:paraId="52B39240" w14:textId="48AA8F46" w:rsidR="0060302B" w:rsidRPr="0060302B" w:rsidRDefault="00F2590F" w:rsidP="0060302B">
      <w:pPr>
        <w:jc w:val="both"/>
        <w:rPr>
          <w:rFonts w:ascii="Open Sans" w:hAnsi="Open Sans" w:cs="Open Sans"/>
          <w:sz w:val="20"/>
          <w:szCs w:val="20"/>
        </w:rPr>
      </w:pPr>
      <w:r>
        <w:rPr>
          <w:rFonts w:ascii="Open Sans" w:eastAsia="Calibri" w:hAnsi="Open Sans" w:cs="Open Sans"/>
          <w:sz w:val="20"/>
          <w:szCs w:val="20"/>
        </w:rPr>
        <w:t>ENDESA</w:t>
      </w:r>
      <w:r w:rsidR="0060302B" w:rsidRPr="0060302B">
        <w:rPr>
          <w:rFonts w:ascii="Open Sans" w:eastAsia="Calibri" w:hAnsi="Open Sans" w:cs="Open Sans"/>
          <w:sz w:val="20"/>
          <w:szCs w:val="20"/>
        </w:rPr>
        <w:t xml:space="preserve"> informa del montante total de intereses a tipo fijo (3.002 Millones de Euros) y Variable (3.387 Millones de Euros) (En total, 6.389 Millones de Euros) así como de que el tipo de interés de referencia de la deuda contratada es “fundamentalmente”, Euribor, pero no informa sobre los diferenciales aplicados (que permitan contrastar si estos son o no de mercado) a las operaciones intragrupo, el porcentaje que representa el volumen de endeudamiento intragrupo respecto al volumen de endeudamiento total, el coste financiero de la deuda intragrupo o el coste financiero del total de la deuda.</w:t>
      </w:r>
    </w:p>
    <w:p w14:paraId="4DFE8581" w14:textId="77777777" w:rsidR="0060302B" w:rsidRPr="0060302B" w:rsidRDefault="0060302B" w:rsidP="0060302B">
      <w:pPr>
        <w:jc w:val="both"/>
        <w:rPr>
          <w:rFonts w:ascii="Open Sans" w:hAnsi="Open Sans" w:cs="Open Sans"/>
          <w:sz w:val="20"/>
          <w:szCs w:val="20"/>
        </w:rPr>
      </w:pPr>
    </w:p>
    <w:p w14:paraId="54E05D0D" w14:textId="77777777" w:rsidR="0060302B" w:rsidRDefault="0060302B" w:rsidP="0060302B">
      <w:pPr>
        <w:jc w:val="both"/>
        <w:rPr>
          <w:rFonts w:ascii="Open Sans" w:hAnsi="Open Sans" w:cs="Open Sans"/>
          <w:sz w:val="20"/>
          <w:szCs w:val="20"/>
        </w:rPr>
      </w:pPr>
      <w:r w:rsidRPr="00F2590F">
        <w:rPr>
          <w:rFonts w:ascii="Open Sans" w:eastAsia="Calibri" w:hAnsi="Open Sans" w:cs="Open Sans"/>
          <w:sz w:val="20"/>
          <w:szCs w:val="20"/>
        </w:rPr>
        <w:t>ACS</w:t>
      </w:r>
      <w:r w:rsidRPr="0060302B">
        <w:rPr>
          <w:rFonts w:ascii="Open Sans" w:eastAsia="Calibri" w:hAnsi="Open Sans" w:cs="Open Sans"/>
          <w:sz w:val="20"/>
          <w:szCs w:val="20"/>
        </w:rPr>
        <w:t xml:space="preserve"> informa que mantiene a 31 de diciembre de 2015 créditos con empresas asociadas por importe de </w:t>
      </w:r>
      <w:r w:rsidRPr="00F2590F">
        <w:rPr>
          <w:rFonts w:ascii="Open Sans" w:eastAsia="Calibri" w:hAnsi="Open Sans" w:cs="Open Sans"/>
          <w:sz w:val="20"/>
          <w:szCs w:val="20"/>
        </w:rPr>
        <w:t>1.131.008 miles de euros</w:t>
      </w:r>
      <w:r w:rsidRPr="0060302B">
        <w:rPr>
          <w:rFonts w:ascii="Open Sans" w:eastAsia="Calibri" w:hAnsi="Open Sans" w:cs="Open Sans"/>
          <w:sz w:val="20"/>
          <w:szCs w:val="20"/>
        </w:rPr>
        <w:t>.  En relación a las condiciones impuestas a las operaciones, lo único que menciona es que los créditos devengan interés de mercado sin especificar qué entiende por éste.</w:t>
      </w:r>
    </w:p>
    <w:p w14:paraId="513FDD15" w14:textId="77777777" w:rsidR="0060302B" w:rsidRDefault="0060302B" w:rsidP="0060302B">
      <w:pPr>
        <w:jc w:val="both"/>
        <w:rPr>
          <w:rFonts w:ascii="Open Sans" w:hAnsi="Open Sans" w:cs="Open Sans"/>
          <w:sz w:val="20"/>
          <w:szCs w:val="20"/>
        </w:rPr>
      </w:pPr>
    </w:p>
    <w:p w14:paraId="1CE7ABBD" w14:textId="3E5EADD7" w:rsidR="0060302B" w:rsidRPr="0060302B" w:rsidRDefault="0060302B" w:rsidP="00F2590F">
      <w:pPr>
        <w:jc w:val="both"/>
        <w:rPr>
          <w:rFonts w:ascii="Open Sans" w:hAnsi="Open Sans" w:cs="Open Sans"/>
          <w:sz w:val="20"/>
          <w:szCs w:val="20"/>
        </w:rPr>
      </w:pPr>
      <w:r>
        <w:rPr>
          <w:rFonts w:ascii="Open Sans" w:hAnsi="Open Sans" w:cs="Open Sans"/>
          <w:sz w:val="20"/>
          <w:szCs w:val="20"/>
        </w:rPr>
        <w:t>La Caixa</w:t>
      </w:r>
      <w:r w:rsidRPr="0060302B">
        <w:rPr>
          <w:rFonts w:ascii="Open Sans" w:hAnsi="Open Sans" w:cs="Open Sans"/>
          <w:sz w:val="20"/>
          <w:szCs w:val="20"/>
        </w:rPr>
        <w:t>, accionista mayoritario, y con las entidades asociadas y multigrupo (4.030.765 miles de euros y 627.296 miles de euros respectivamente en créditos), en  el pasivo en débitos a clientes y a entidades de crédito mantiene (1.286.890 miles de euros y 881.522 miles de euros respectivamente). Afirma que las operaciones entre empresas del grupo forman parte del tráfico ordinario y se realizan en condiciones de mercado. Detalla las operaciones más significativas realizadas durante el ejercicio 2015. No obstante no informa sobre el coste financiero de las operaciones intragrupo, solamente facilita de manera agregada los intereses y cargas asimiladas e intereses y rendimientos asimilados para el conjunto de las operaciones formalizadas.</w:t>
      </w:r>
    </w:p>
    <w:p w14:paraId="7EB4273B" w14:textId="77777777" w:rsidR="0060302B" w:rsidRPr="0060302B" w:rsidRDefault="0060302B" w:rsidP="00F2590F">
      <w:pPr>
        <w:jc w:val="both"/>
        <w:rPr>
          <w:rFonts w:ascii="Open Sans" w:hAnsi="Open Sans" w:cs="Open Sans"/>
          <w:sz w:val="20"/>
          <w:szCs w:val="20"/>
        </w:rPr>
      </w:pPr>
    </w:p>
    <w:p w14:paraId="3A5B2A7C" w14:textId="2083E313" w:rsidR="0060302B" w:rsidRDefault="00F2590F" w:rsidP="00F2590F">
      <w:pPr>
        <w:jc w:val="both"/>
        <w:rPr>
          <w:rFonts w:ascii="Open Sans" w:eastAsia="Calibri" w:hAnsi="Open Sans" w:cs="Open Sans"/>
          <w:sz w:val="20"/>
          <w:szCs w:val="20"/>
        </w:rPr>
      </w:pPr>
      <w:r>
        <w:rPr>
          <w:rFonts w:ascii="Open Sans" w:eastAsia="Calibri" w:hAnsi="Open Sans" w:cs="Open Sans"/>
          <w:sz w:val="20"/>
          <w:szCs w:val="20"/>
        </w:rPr>
        <w:t>INDITEX</w:t>
      </w:r>
      <w:r w:rsidR="0060302B" w:rsidRPr="0060302B">
        <w:rPr>
          <w:rFonts w:ascii="Open Sans" w:eastAsia="Calibri" w:hAnsi="Open Sans" w:cs="Open Sans"/>
          <w:sz w:val="20"/>
          <w:szCs w:val="20"/>
        </w:rPr>
        <w:t xml:space="preserve"> tampoco presenta información sobre las compras intragrupo, desde qué sociedades gestiona los derechos de marca y propiedad intelectual, ni las operaciones de financiación realizadas entre sociedades del grupo y condiciones asignadas a las mismas.  </w:t>
      </w:r>
      <w:r w:rsidR="0060302B">
        <w:rPr>
          <w:rFonts w:ascii="Open Sans" w:eastAsia="Calibri" w:hAnsi="Open Sans" w:cs="Open Sans"/>
          <w:sz w:val="20"/>
          <w:szCs w:val="20"/>
        </w:rPr>
        <w:t>Inditex</w:t>
      </w:r>
      <w:r w:rsidR="0060302B" w:rsidRPr="0060302B">
        <w:rPr>
          <w:rFonts w:ascii="Open Sans" w:eastAsia="Calibri" w:hAnsi="Open Sans" w:cs="Open Sans"/>
          <w:sz w:val="20"/>
          <w:szCs w:val="20"/>
        </w:rPr>
        <w:t xml:space="preserve"> afirma que la “fijación de precios de mercado en todas las operaciones realizadas entre sociedades del Grupo, de conformidad con lo dispuesto en la legislación fiscal de los países involucrados en cada operación y el marco normativo internacionalmente aceptado por las Directrices de la OCDE. </w:t>
      </w:r>
      <w:r w:rsidR="0060302B" w:rsidRPr="0060302B">
        <w:rPr>
          <w:rFonts w:ascii="Open Sans" w:hAnsi="Open Sans" w:cs="Open Sans"/>
          <w:bCs/>
          <w:sz w:val="20"/>
          <w:szCs w:val="20"/>
        </w:rPr>
        <w:t xml:space="preserve">La empresa indica expresamente que las operaciones entre Inditex y sus sociedades dependientes forman parte del </w:t>
      </w:r>
      <w:r w:rsidR="007F55EB" w:rsidRPr="0060302B">
        <w:rPr>
          <w:rFonts w:ascii="Open Sans" w:hAnsi="Open Sans" w:cs="Open Sans"/>
          <w:bCs/>
          <w:sz w:val="20"/>
          <w:szCs w:val="20"/>
        </w:rPr>
        <w:t>tráfico</w:t>
      </w:r>
      <w:r w:rsidR="0060302B" w:rsidRPr="0060302B">
        <w:rPr>
          <w:rFonts w:ascii="Open Sans" w:hAnsi="Open Sans" w:cs="Open Sans"/>
          <w:bCs/>
          <w:sz w:val="20"/>
          <w:szCs w:val="20"/>
        </w:rPr>
        <w:t xml:space="preserve"> habitual en cuanto a su objeto y condiciones. Sin embargo esta empresa ha protagonizado uno de los escándalos fiscales más sonados en 2016 que ha provocado un debate en el Parlamente europeo.  </w:t>
      </w:r>
      <w:r w:rsidR="0060302B" w:rsidRPr="0060302B">
        <w:rPr>
          <w:rFonts w:ascii="Open Sans" w:eastAsia="Calibri" w:hAnsi="Open Sans" w:cs="Open Sans"/>
          <w:sz w:val="20"/>
          <w:szCs w:val="20"/>
        </w:rPr>
        <w:t>Según un artículo publicado en Bloomberg</w:t>
      </w:r>
      <w:r w:rsidR="0060302B" w:rsidRPr="0060302B">
        <w:rPr>
          <w:rStyle w:val="Refdenotaalpie"/>
          <w:rFonts w:ascii="Open Sans" w:eastAsia="Calibri" w:hAnsi="Open Sans" w:cs="Open Sans"/>
          <w:sz w:val="20"/>
          <w:szCs w:val="20"/>
        </w:rPr>
        <w:footnoteReference w:id="189"/>
      </w:r>
      <w:r w:rsidR="0060302B" w:rsidRPr="0060302B">
        <w:rPr>
          <w:rFonts w:ascii="Open Sans" w:eastAsia="Calibri" w:hAnsi="Open Sans" w:cs="Open Sans"/>
          <w:sz w:val="20"/>
          <w:szCs w:val="20"/>
        </w:rPr>
        <w:t xml:space="preserve"> explica cómo el grupo utiliza la empresa ITX Merken, con operativa en Holanda y Suiza para rebajar el pago de impuestos. Esta empresa asesora a otras empresas del grupo en la localización de nuevas tiendas y en el diseño interior de las mismas. También controla los derechos de utilización de las marcas comerciales como Zara. A través del movimiento de dinero entre subsidiaras se consigue el traslado de beneficios a esta empresa domiciliada en paraísos fiscales donde los impuestos son muy bajos o cero</w:t>
      </w:r>
      <w:r w:rsidR="0060302B">
        <w:rPr>
          <w:rFonts w:ascii="Open Sans" w:eastAsia="Calibri" w:hAnsi="Open Sans" w:cs="Open Sans"/>
          <w:sz w:val="20"/>
          <w:szCs w:val="20"/>
        </w:rPr>
        <w:t>.</w:t>
      </w:r>
    </w:p>
    <w:p w14:paraId="13E5D8C3" w14:textId="77777777" w:rsidR="0060302B" w:rsidRDefault="0060302B" w:rsidP="0060302B">
      <w:pPr>
        <w:jc w:val="both"/>
        <w:rPr>
          <w:rFonts w:ascii="Open Sans" w:eastAsia="Calibri" w:hAnsi="Open Sans" w:cs="Open Sans"/>
          <w:sz w:val="20"/>
          <w:szCs w:val="20"/>
        </w:rPr>
      </w:pPr>
    </w:p>
    <w:p w14:paraId="6BE4E0FA" w14:textId="65611D57" w:rsidR="0060302B" w:rsidRDefault="0060302B" w:rsidP="0060302B">
      <w:pPr>
        <w:jc w:val="both"/>
        <w:rPr>
          <w:rFonts w:ascii="Open Sans" w:eastAsia="Calibri" w:hAnsi="Open Sans" w:cs="Open Sans"/>
          <w:sz w:val="20"/>
          <w:szCs w:val="20"/>
        </w:rPr>
      </w:pPr>
      <w:r w:rsidRPr="0060302B">
        <w:rPr>
          <w:rFonts w:ascii="Open Sans" w:hAnsi="Open Sans" w:cs="Open Sans"/>
          <w:sz w:val="20"/>
          <w:szCs w:val="20"/>
        </w:rPr>
        <w:t>Como</w:t>
      </w:r>
      <w:r>
        <w:rPr>
          <w:rFonts w:ascii="Open Sans" w:hAnsi="Open Sans" w:cs="Open Sans"/>
          <w:sz w:val="20"/>
          <w:szCs w:val="20"/>
        </w:rPr>
        <w:t xml:space="preserve"> caso excepcional está </w:t>
      </w:r>
      <w:r w:rsidR="00F2590F" w:rsidRPr="00F2590F">
        <w:rPr>
          <w:rFonts w:ascii="Open Sans" w:hAnsi="Open Sans" w:cs="Open Sans"/>
          <w:sz w:val="20"/>
          <w:szCs w:val="20"/>
        </w:rPr>
        <w:t>MEDIASET</w:t>
      </w:r>
      <w:r w:rsidRPr="0060302B">
        <w:rPr>
          <w:rFonts w:ascii="Open Sans" w:hAnsi="Open Sans" w:cs="Open Sans"/>
          <w:b/>
          <w:sz w:val="20"/>
          <w:szCs w:val="20"/>
        </w:rPr>
        <w:t xml:space="preserve"> </w:t>
      </w:r>
      <w:r w:rsidRPr="0060302B">
        <w:rPr>
          <w:rFonts w:ascii="Open Sans" w:hAnsi="Open Sans" w:cs="Open Sans"/>
          <w:sz w:val="20"/>
          <w:szCs w:val="20"/>
        </w:rPr>
        <w:t>que además de informar de forma detallada sobre las operaciones intragrupo en las cuentas anuales consolidadas hace público un Informe anual de Operaciones Vinculadas y Operaciones intragrupo emitido por la Comisió</w:t>
      </w:r>
      <w:r w:rsidR="00F2590F">
        <w:rPr>
          <w:rFonts w:ascii="Open Sans" w:hAnsi="Open Sans" w:cs="Open Sans"/>
          <w:sz w:val="20"/>
          <w:szCs w:val="20"/>
        </w:rPr>
        <w:t>n de Auditoría y Cumplimiento,</w:t>
      </w:r>
      <w:r w:rsidRPr="0060302B">
        <w:rPr>
          <w:rFonts w:ascii="Open Sans" w:hAnsi="Open Sans" w:cs="Open Sans"/>
          <w:sz w:val="20"/>
          <w:szCs w:val="20"/>
        </w:rPr>
        <w:t xml:space="preserve"> en el que incluye, al menos, el tipo de operación, cuantía, sujetos afectados e impacto sobre la compañía. </w:t>
      </w:r>
    </w:p>
    <w:p w14:paraId="49BF1753" w14:textId="77777777" w:rsidR="0060302B" w:rsidRDefault="0060302B" w:rsidP="0060302B">
      <w:pPr>
        <w:jc w:val="both"/>
        <w:rPr>
          <w:rFonts w:ascii="Open Sans" w:eastAsia="Calibri" w:hAnsi="Open Sans" w:cs="Open Sans"/>
          <w:sz w:val="20"/>
          <w:szCs w:val="20"/>
        </w:rPr>
      </w:pPr>
    </w:p>
    <w:p w14:paraId="43CF439B" w14:textId="7EB98B18" w:rsidR="0060302B" w:rsidRPr="0060302B" w:rsidRDefault="00F2590F" w:rsidP="0060302B">
      <w:pPr>
        <w:jc w:val="both"/>
        <w:rPr>
          <w:rFonts w:ascii="Open Sans" w:eastAsia="Calibri" w:hAnsi="Open Sans" w:cs="Open Sans"/>
          <w:sz w:val="20"/>
          <w:szCs w:val="20"/>
        </w:rPr>
      </w:pPr>
      <w:r>
        <w:rPr>
          <w:rFonts w:ascii="Open Sans" w:eastAsia="Calibri" w:hAnsi="Open Sans" w:cs="Open Sans"/>
          <w:sz w:val="20"/>
          <w:szCs w:val="20"/>
        </w:rPr>
        <w:t>INDITEX</w:t>
      </w:r>
      <w:r w:rsidR="0060302B">
        <w:rPr>
          <w:rFonts w:ascii="Open Sans" w:eastAsia="Calibri" w:hAnsi="Open Sans" w:cs="Open Sans"/>
          <w:sz w:val="20"/>
          <w:szCs w:val="20"/>
        </w:rPr>
        <w:t xml:space="preserve"> </w:t>
      </w:r>
      <w:r w:rsidR="0060302B" w:rsidRPr="0060302B">
        <w:rPr>
          <w:rFonts w:ascii="Open Sans" w:hAnsi="Open Sans" w:cs="Open Sans"/>
          <w:bCs/>
          <w:sz w:val="20"/>
          <w:szCs w:val="20"/>
        </w:rPr>
        <w:t xml:space="preserve">no es el único cao en relación a la falta de información sobre cuál es la estructura societaria que gobierna los activos de propiedad industrial de patentes, licencias y marcas.  Esta información no se ha encontrado en ninguna de las empresas analizadas. </w:t>
      </w:r>
      <w:r>
        <w:rPr>
          <w:rFonts w:ascii="Open Sans" w:hAnsi="Open Sans" w:cs="Open Sans"/>
          <w:bCs/>
          <w:sz w:val="20"/>
          <w:szCs w:val="20"/>
        </w:rPr>
        <w:t>GRIFOLS</w:t>
      </w:r>
      <w:r w:rsidR="0060302B" w:rsidRPr="0060302B">
        <w:rPr>
          <w:rFonts w:ascii="Open Sans" w:hAnsi="Open Sans" w:cs="Open Sans"/>
          <w:bCs/>
          <w:sz w:val="20"/>
          <w:szCs w:val="20"/>
        </w:rPr>
        <w:t xml:space="preserve"> por ejemplo no presenta ningún tipo de información, no obstante a través del informe de gobierno corporativo </w:t>
      </w:r>
      <w:r w:rsidR="0060302B">
        <w:rPr>
          <w:rFonts w:ascii="Open Sans" w:hAnsi="Open Sans" w:cs="Open Sans"/>
          <w:bCs/>
          <w:sz w:val="20"/>
          <w:szCs w:val="20"/>
        </w:rPr>
        <w:t xml:space="preserve">se indica las operaciones </w:t>
      </w:r>
      <w:r w:rsidR="0060302B" w:rsidRPr="0060302B">
        <w:rPr>
          <w:rFonts w:ascii="Open Sans" w:hAnsi="Open Sans" w:cs="Open Sans"/>
          <w:bCs/>
          <w:sz w:val="20"/>
          <w:szCs w:val="20"/>
        </w:rPr>
        <w:t>con partes vinculadas y se incluye la empresa Marca Grifols S.L.. Esta empresa no se encuentra en el listado de empresas dependientes ni asociadas del grupo pero se indica que recibe un canon por el uso de la marca Grifols, que en el ejercicio 2015 ha recibido un pago de 1,7 millones de euros en concepto de “otros gastos por servicios”.</w:t>
      </w:r>
    </w:p>
    <w:p w14:paraId="7A65625C" w14:textId="77777777" w:rsidR="00D4131A" w:rsidRDefault="00D4131A" w:rsidP="00EF0D79">
      <w:pPr>
        <w:jc w:val="both"/>
        <w:rPr>
          <w:rFonts w:ascii="Open Sans" w:hAnsi="Open Sans"/>
          <w:sz w:val="20"/>
          <w:szCs w:val="20"/>
        </w:rPr>
      </w:pPr>
    </w:p>
    <w:p w14:paraId="2663552C" w14:textId="77777777" w:rsidR="0060302B" w:rsidRDefault="0060302B" w:rsidP="00EF0D79">
      <w:pPr>
        <w:jc w:val="both"/>
        <w:rPr>
          <w:rFonts w:ascii="Open Sans" w:hAnsi="Open Sans"/>
          <w:sz w:val="20"/>
          <w:szCs w:val="20"/>
        </w:rPr>
      </w:pPr>
    </w:p>
    <w:p w14:paraId="4BC7359A" w14:textId="77777777" w:rsidR="0060302B" w:rsidRDefault="0060302B" w:rsidP="00EF0D79">
      <w:pPr>
        <w:jc w:val="both"/>
        <w:rPr>
          <w:rFonts w:ascii="Open Sans" w:hAnsi="Open Sans"/>
          <w:sz w:val="20"/>
          <w:szCs w:val="20"/>
        </w:rPr>
      </w:pPr>
    </w:p>
    <w:p w14:paraId="34602CC3" w14:textId="77777777" w:rsidR="0060302B" w:rsidRDefault="0060302B" w:rsidP="00EF0D79">
      <w:pPr>
        <w:jc w:val="both"/>
        <w:rPr>
          <w:rFonts w:ascii="Open Sans" w:hAnsi="Open Sans"/>
          <w:sz w:val="20"/>
          <w:szCs w:val="20"/>
        </w:rPr>
      </w:pPr>
    </w:p>
    <w:p w14:paraId="07D4F780" w14:textId="4628C1B5" w:rsidR="00D4131A" w:rsidRDefault="00D4131A" w:rsidP="00D4131A">
      <w:r>
        <w:br w:type="page"/>
      </w:r>
    </w:p>
    <w:p w14:paraId="6B3D393A" w14:textId="77777777" w:rsidR="00BC63A1" w:rsidRDefault="00BC63A1" w:rsidP="00BC63A1">
      <w:pPr>
        <w:spacing w:before="120"/>
        <w:jc w:val="both"/>
        <w:rPr>
          <w:rFonts w:cs="Arial"/>
          <w:bCs/>
          <w:sz w:val="20"/>
          <w:szCs w:val="20"/>
        </w:rPr>
      </w:pPr>
    </w:p>
    <w:p w14:paraId="56AD7D37" w14:textId="7726D7A7" w:rsidR="004008A6" w:rsidRPr="00F520B8" w:rsidRDefault="004008A6" w:rsidP="004008A6">
      <w:pPr>
        <w:pStyle w:val="Titulo3-informefinal"/>
      </w:pPr>
      <w:bookmarkStart w:id="62" w:name="_Toc354061521"/>
      <w:r>
        <w:t>4.6</w:t>
      </w:r>
      <w:r w:rsidRPr="00F520B8">
        <w:t xml:space="preserve">. </w:t>
      </w:r>
      <w:r>
        <w:t>Conclusiones</w:t>
      </w:r>
      <w:bookmarkEnd w:id="62"/>
      <w:r w:rsidR="007F2E24">
        <w:t xml:space="preserve"> generales</w:t>
      </w:r>
    </w:p>
    <w:p w14:paraId="14D5FAAA" w14:textId="77777777" w:rsidR="00BC63A1" w:rsidRPr="00BC63A1" w:rsidRDefault="00BC63A1" w:rsidP="00BC63A1">
      <w:pPr>
        <w:spacing w:before="120"/>
        <w:jc w:val="both"/>
        <w:rPr>
          <w:rFonts w:ascii="Open Sans" w:hAnsi="Open Sans" w:cs="Open Sans"/>
          <w:sz w:val="20"/>
          <w:szCs w:val="20"/>
        </w:rPr>
      </w:pPr>
    </w:p>
    <w:p w14:paraId="66A80DD1" w14:textId="2F1A246F" w:rsidR="004008A6" w:rsidRDefault="00BC63A1" w:rsidP="00BC63A1">
      <w:pPr>
        <w:jc w:val="both"/>
        <w:rPr>
          <w:rFonts w:ascii="Open Sans" w:hAnsi="Open Sans" w:cs="Open Sans"/>
          <w:sz w:val="20"/>
          <w:szCs w:val="20"/>
        </w:rPr>
      </w:pPr>
      <w:r w:rsidRPr="00BC63A1">
        <w:rPr>
          <w:rFonts w:ascii="Open Sans" w:hAnsi="Open Sans" w:cs="Open Sans"/>
          <w:sz w:val="20"/>
          <w:szCs w:val="20"/>
        </w:rPr>
        <w:t>Un porcentaje significativo de las empresas analizadas asumen compromisos sobre  fiscalidad responsable reflejados no solamente en estrategias o políticas fiscales sino también en documentos adicionales. Nos referimos a los documentos públicos a través</w:t>
      </w:r>
      <w:r w:rsidR="00F2590F">
        <w:rPr>
          <w:rFonts w:ascii="Open Sans" w:hAnsi="Open Sans" w:cs="Open Sans"/>
          <w:sz w:val="20"/>
          <w:szCs w:val="20"/>
        </w:rPr>
        <w:t xml:space="preserve"> de</w:t>
      </w:r>
      <w:r w:rsidRPr="00BC63A1">
        <w:rPr>
          <w:rFonts w:ascii="Open Sans" w:hAnsi="Open Sans" w:cs="Open Sans"/>
          <w:sz w:val="20"/>
          <w:szCs w:val="20"/>
        </w:rPr>
        <w:t xml:space="preserve"> los que las empresas rinden cuentas en relación a la gestión de impactos sociales y medioambientales: La memorias de RSC o memorias de sostenibilidad.</w:t>
      </w:r>
    </w:p>
    <w:p w14:paraId="687BF55B" w14:textId="77777777" w:rsidR="004008A6" w:rsidRDefault="004008A6" w:rsidP="00BC63A1">
      <w:pPr>
        <w:jc w:val="both"/>
        <w:rPr>
          <w:rFonts w:ascii="Open Sans" w:hAnsi="Open Sans" w:cs="Open Sans"/>
          <w:sz w:val="20"/>
          <w:szCs w:val="20"/>
        </w:rPr>
      </w:pPr>
    </w:p>
    <w:p w14:paraId="768081A4" w14:textId="7A0364A6" w:rsidR="004008A6" w:rsidRDefault="00BC63A1" w:rsidP="00BC63A1">
      <w:pPr>
        <w:jc w:val="both"/>
        <w:rPr>
          <w:rFonts w:ascii="Open Sans" w:hAnsi="Open Sans" w:cs="Open Sans"/>
          <w:sz w:val="20"/>
          <w:szCs w:val="20"/>
        </w:rPr>
      </w:pPr>
      <w:r w:rsidRPr="00BC63A1">
        <w:rPr>
          <w:rFonts w:ascii="Open Sans" w:hAnsi="Open Sans" w:cs="Open Sans"/>
          <w:sz w:val="20"/>
          <w:szCs w:val="20"/>
        </w:rPr>
        <w:t xml:space="preserve">Tal es el caso de </w:t>
      </w:r>
      <w:r w:rsidR="00F2590F" w:rsidRPr="00F2590F">
        <w:rPr>
          <w:rFonts w:ascii="Open Sans" w:hAnsi="Open Sans" w:cs="Open Sans"/>
          <w:sz w:val="20"/>
          <w:szCs w:val="20"/>
        </w:rPr>
        <w:t>ACCIONA</w:t>
      </w:r>
      <w:r w:rsidRPr="00BC63A1">
        <w:rPr>
          <w:rFonts w:ascii="Open Sans" w:hAnsi="Open Sans" w:cs="Open Sans"/>
          <w:sz w:val="20"/>
          <w:szCs w:val="20"/>
        </w:rPr>
        <w:t xml:space="preserve"> que en su memoria de Sostenibilidad dice “</w:t>
      </w:r>
      <w:r w:rsidRPr="004008A6">
        <w:rPr>
          <w:rFonts w:ascii="Open Sans" w:hAnsi="Open Sans" w:cs="Open Sans"/>
          <w:sz w:val="20"/>
          <w:szCs w:val="20"/>
        </w:rPr>
        <w:t>adoptar políticas para mejorar la transparencia fiscal”.</w:t>
      </w:r>
      <w:r w:rsidRPr="00BC63A1">
        <w:rPr>
          <w:rFonts w:ascii="Open Sans" w:hAnsi="Open Sans" w:cs="Open Sans"/>
          <w:sz w:val="20"/>
          <w:szCs w:val="20"/>
        </w:rPr>
        <w:t xml:space="preserve"> También menciona en su memoria de sostenibilidad que “La evasión fiscal por parte de las compañías supone también una gran preocupación para la sociedad”. También menciona que “Para poder aportar confianza y credibilidad a la sociedad, es importante informar de manera clara y transparente sobre cuestiones como la fiscalidad. Es necesario el reporte de información fiscal tanto a nivel internacional como nacional y regional, ya que la evasión fiscal es también un asunto que preocupa a la sociedad”. </w:t>
      </w:r>
    </w:p>
    <w:p w14:paraId="3404E2FE" w14:textId="77777777" w:rsidR="004008A6" w:rsidRDefault="004008A6" w:rsidP="00BC63A1">
      <w:pPr>
        <w:jc w:val="both"/>
        <w:rPr>
          <w:rFonts w:ascii="Open Sans" w:hAnsi="Open Sans" w:cs="Open Sans"/>
          <w:sz w:val="20"/>
          <w:szCs w:val="20"/>
        </w:rPr>
      </w:pPr>
    </w:p>
    <w:p w14:paraId="6BC4E39B" w14:textId="756CC026" w:rsidR="004008A6" w:rsidRDefault="00BC63A1" w:rsidP="00BC63A1">
      <w:pPr>
        <w:jc w:val="both"/>
        <w:rPr>
          <w:rFonts w:ascii="Open Sans" w:hAnsi="Open Sans" w:cs="Open Sans"/>
          <w:sz w:val="20"/>
          <w:szCs w:val="20"/>
        </w:rPr>
      </w:pPr>
      <w:r w:rsidRPr="00F2590F">
        <w:rPr>
          <w:rFonts w:ascii="Open Sans" w:hAnsi="Open Sans" w:cs="Open Sans"/>
          <w:sz w:val="20"/>
          <w:szCs w:val="20"/>
        </w:rPr>
        <w:t>ACS</w:t>
      </w:r>
      <w:r w:rsidRPr="00BC63A1">
        <w:rPr>
          <w:rFonts w:ascii="Open Sans" w:hAnsi="Open Sans" w:cs="Open Sans"/>
          <w:sz w:val="20"/>
          <w:szCs w:val="20"/>
        </w:rPr>
        <w:t xml:space="preserve"> en  la memoria de responsabilidad social 2015, menciona que “el Código de Conducta como en la Política de Responsabilidad Social Corporativa del Grupo ACS se incide en la Responsabilidad fiscal del Grupo, por el cual ACS se compromete a cumplir la normativa fiscal vigente en cada país o territorio donde está presente, evitando la ocultación de información relevante, la elusión ilegal del pago de impuestos o la obtención de beneficios fiscales indebidos…” </w:t>
      </w:r>
      <w:r w:rsidR="004008A6">
        <w:rPr>
          <w:rFonts w:ascii="Open Sans" w:hAnsi="Open Sans" w:cs="Open Sans"/>
          <w:sz w:val="20"/>
          <w:szCs w:val="20"/>
        </w:rPr>
        <w:t xml:space="preserve"> </w:t>
      </w:r>
      <w:r w:rsidR="00F2590F">
        <w:rPr>
          <w:rFonts w:ascii="Open Sans" w:hAnsi="Open Sans" w:cs="Open Sans"/>
          <w:sz w:val="20"/>
          <w:szCs w:val="20"/>
        </w:rPr>
        <w:t>TELEFÓNICA, REC e INDRA</w:t>
      </w:r>
      <w:r w:rsidRPr="00BC63A1">
        <w:rPr>
          <w:rFonts w:ascii="Open Sans" w:hAnsi="Open Sans" w:cs="Open Sans"/>
          <w:sz w:val="20"/>
          <w:szCs w:val="20"/>
        </w:rPr>
        <w:t xml:space="preserve"> serían otros ejemplos aunque no los únicos. No obstante lo anterior son muy pocas las empresas que identifican la fiscalidad  como tema relevante en sus informes de materialidad, prácticamente ninguna empresa menciona la fiscalidad como asunto material. Este aspecto es sorprendente y podría cuestionar los procedimientos empleados  en la realización de esos estudios de materialidad. </w:t>
      </w:r>
    </w:p>
    <w:p w14:paraId="2D71C795" w14:textId="77777777" w:rsidR="004008A6" w:rsidRDefault="004008A6" w:rsidP="00BC63A1">
      <w:pPr>
        <w:jc w:val="both"/>
        <w:rPr>
          <w:rFonts w:ascii="Open Sans" w:hAnsi="Open Sans" w:cs="Open Sans"/>
          <w:sz w:val="20"/>
          <w:szCs w:val="20"/>
        </w:rPr>
      </w:pPr>
    </w:p>
    <w:p w14:paraId="6FFE18A2" w14:textId="7B5CAD50" w:rsidR="00BC63A1" w:rsidRPr="004008A6" w:rsidRDefault="00BC63A1" w:rsidP="00BC63A1">
      <w:pPr>
        <w:jc w:val="both"/>
        <w:rPr>
          <w:rFonts w:ascii="Open Sans" w:hAnsi="Open Sans" w:cs="Open Sans"/>
          <w:sz w:val="20"/>
          <w:szCs w:val="20"/>
        </w:rPr>
      </w:pPr>
      <w:r w:rsidRPr="00BC63A1">
        <w:rPr>
          <w:rFonts w:ascii="Open Sans" w:hAnsi="Open Sans" w:cs="Open Sans"/>
          <w:sz w:val="20"/>
          <w:szCs w:val="20"/>
        </w:rPr>
        <w:t>Hay numerosas evidencias de que la fiscalidad responsable es un aspecto cada vez más material para las empresas y para sus grupos de interés, además este aspecto ha transcendido en los últimos años a los medios e comunicación y las agendas públicas y desde la Comisión Europea</w:t>
      </w:r>
      <w:r w:rsidRPr="00BC63A1">
        <w:rPr>
          <w:rStyle w:val="Refdenotaalpie"/>
          <w:rFonts w:ascii="Open Sans" w:hAnsi="Open Sans" w:cs="Open Sans"/>
          <w:sz w:val="20"/>
          <w:szCs w:val="20"/>
        </w:rPr>
        <w:footnoteReference w:id="190"/>
      </w:r>
      <w:r w:rsidRPr="00BC63A1">
        <w:rPr>
          <w:rFonts w:ascii="Open Sans" w:hAnsi="Open Sans" w:cs="Open Sans"/>
          <w:sz w:val="20"/>
          <w:szCs w:val="20"/>
        </w:rPr>
        <w:t>, OCDE</w:t>
      </w:r>
      <w:r w:rsidRPr="00BC63A1">
        <w:rPr>
          <w:rStyle w:val="Refdenotaalpie"/>
          <w:rFonts w:ascii="Open Sans" w:hAnsi="Open Sans" w:cs="Open Sans"/>
          <w:sz w:val="20"/>
          <w:szCs w:val="20"/>
        </w:rPr>
        <w:footnoteReference w:id="191"/>
      </w:r>
      <w:r w:rsidRPr="00BC63A1">
        <w:rPr>
          <w:rFonts w:ascii="Open Sans" w:hAnsi="Open Sans" w:cs="Open Sans"/>
          <w:sz w:val="20"/>
          <w:szCs w:val="20"/>
        </w:rPr>
        <w:t xml:space="preserve"> y otras instituciones</w:t>
      </w:r>
      <w:r w:rsidRPr="00BC63A1">
        <w:rPr>
          <w:rStyle w:val="Refdenotaalpie"/>
          <w:rFonts w:ascii="Open Sans" w:hAnsi="Open Sans" w:cs="Open Sans"/>
          <w:sz w:val="20"/>
          <w:szCs w:val="20"/>
        </w:rPr>
        <w:footnoteReference w:id="192"/>
      </w:r>
      <w:r w:rsidRPr="00BC63A1">
        <w:rPr>
          <w:rFonts w:ascii="Open Sans" w:hAnsi="Open Sans" w:cs="Open Sans"/>
          <w:sz w:val="20"/>
          <w:szCs w:val="20"/>
        </w:rPr>
        <w:t xml:space="preserve"> se está trabajando para que las empresas estén obligadas a aportar mayor información en materia fiscal. </w:t>
      </w:r>
    </w:p>
    <w:p w14:paraId="0203E6A2" w14:textId="77777777" w:rsidR="00BC63A1" w:rsidRPr="00BC63A1" w:rsidRDefault="00BC63A1" w:rsidP="00BC63A1">
      <w:pPr>
        <w:spacing w:before="120"/>
        <w:jc w:val="both"/>
        <w:rPr>
          <w:rFonts w:ascii="Open Sans" w:hAnsi="Open Sans" w:cs="Open Sans"/>
          <w:sz w:val="20"/>
          <w:szCs w:val="20"/>
        </w:rPr>
      </w:pPr>
    </w:p>
    <w:p w14:paraId="6AFA7D50" w14:textId="77777777" w:rsidR="004008A6" w:rsidRDefault="00BC63A1" w:rsidP="004008A6">
      <w:pPr>
        <w:jc w:val="both"/>
        <w:rPr>
          <w:rFonts w:ascii="Open Sans" w:hAnsi="Open Sans" w:cs="Open Sans"/>
          <w:sz w:val="20"/>
          <w:szCs w:val="20"/>
        </w:rPr>
      </w:pPr>
      <w:r w:rsidRPr="00BC63A1">
        <w:rPr>
          <w:rFonts w:ascii="Open Sans" w:hAnsi="Open Sans" w:cs="Open Sans"/>
          <w:sz w:val="20"/>
          <w:szCs w:val="20"/>
        </w:rPr>
        <w:t>En muy pocas ocasiones se hace referencia a referencias internacionales como el proceso BEPS impulsado por la OCDE. La referencia más mencionada por las empresas son las líneas directrices para empresas multinacionales de la OCDE (</w:t>
      </w:r>
      <w:r w:rsidR="004008A6">
        <w:rPr>
          <w:rFonts w:ascii="Open Sans" w:hAnsi="Open Sans" w:cs="Open Sans"/>
          <w:sz w:val="20"/>
          <w:szCs w:val="20"/>
        </w:rPr>
        <w:t>Mediaset, Telefónica y Gamesa</w:t>
      </w:r>
      <w:r w:rsidRPr="00BC63A1">
        <w:rPr>
          <w:rFonts w:ascii="Open Sans" w:hAnsi="Open Sans" w:cs="Open Sans"/>
          <w:sz w:val="20"/>
          <w:szCs w:val="20"/>
        </w:rPr>
        <w:t>).</w:t>
      </w:r>
    </w:p>
    <w:p w14:paraId="581E56EA" w14:textId="77777777" w:rsidR="004008A6" w:rsidRDefault="004008A6" w:rsidP="004008A6">
      <w:pPr>
        <w:jc w:val="both"/>
        <w:rPr>
          <w:rFonts w:ascii="Open Sans" w:hAnsi="Open Sans" w:cs="Open Sans"/>
          <w:sz w:val="20"/>
          <w:szCs w:val="20"/>
        </w:rPr>
      </w:pPr>
    </w:p>
    <w:p w14:paraId="0FF4A2CB" w14:textId="26A66285" w:rsidR="004008A6" w:rsidRDefault="00BC63A1" w:rsidP="004008A6">
      <w:pPr>
        <w:jc w:val="both"/>
        <w:rPr>
          <w:rFonts w:ascii="Open Sans" w:hAnsi="Open Sans" w:cs="Open Sans"/>
          <w:sz w:val="20"/>
          <w:szCs w:val="20"/>
        </w:rPr>
      </w:pPr>
      <w:r w:rsidRPr="00BC63A1">
        <w:rPr>
          <w:rFonts w:ascii="Open Sans" w:hAnsi="Open Sans" w:cs="Open Sans"/>
          <w:sz w:val="20"/>
          <w:szCs w:val="20"/>
        </w:rPr>
        <w:t xml:space="preserve">Como se ha comentado anteriormente, pese a que por parte de las empresas analizadas hay una conciencia, en mayor o menor medida,  de que la fiscalidad y la transparencia constituyen aspectos relevantes  para sus grupos de interés, la información facilitada no es clara, ni es precisa ni  cuenta con un desglose suficiente que permita evaluar el cumplimiento de los compromisos asumidos por la compañías limitándose, en la mayor parte de los casos analizados,  a facilitar documentos con principios genéricos que no ven su plasmación en acciones concretas e información relevante en relación a su planificación fiscal. En las empresas analizadas se producen contradicciones entre los compromisos asumidos y la carencia de información sobre la actividad de sus sociedades dependientes sitas en territorios considerados nichos o paraísos fiscales o sobre su actividad e impuestos pagados con un desglose de todos los países en los que la empresa opera. La información en cuanto a operaciones intragrupo y condiciones aplicadas a las mismas es en el mejor de los casos anecdótica.  </w:t>
      </w:r>
    </w:p>
    <w:p w14:paraId="63205931" w14:textId="77777777" w:rsidR="004008A6" w:rsidRDefault="004008A6" w:rsidP="004008A6">
      <w:pPr>
        <w:jc w:val="both"/>
        <w:rPr>
          <w:rFonts w:ascii="Open Sans" w:hAnsi="Open Sans" w:cs="Open Sans"/>
          <w:sz w:val="20"/>
          <w:szCs w:val="20"/>
        </w:rPr>
      </w:pPr>
    </w:p>
    <w:p w14:paraId="372A86FC" w14:textId="77777777" w:rsidR="004008A6" w:rsidRDefault="00BC63A1" w:rsidP="004008A6">
      <w:pPr>
        <w:jc w:val="both"/>
        <w:rPr>
          <w:rFonts w:ascii="Open Sans" w:hAnsi="Open Sans" w:cs="Open Sans"/>
          <w:sz w:val="20"/>
          <w:szCs w:val="20"/>
        </w:rPr>
      </w:pPr>
      <w:r w:rsidRPr="00BC63A1">
        <w:rPr>
          <w:rFonts w:ascii="Open Sans" w:hAnsi="Open Sans" w:cs="Open Sans"/>
          <w:sz w:val="20"/>
          <w:szCs w:val="20"/>
        </w:rPr>
        <w:t xml:space="preserve">En la mayor parte de las compañías no hay un documento aparte de las cuentas anuales dedicado al reporte fiscal. La mayor parte de la información objeto de análisis hay que extraerla de las cuentas anuales que tienen un lenguaje técnico y difícilmente comprensible para los no expertos en la materia. </w:t>
      </w:r>
      <w:r w:rsidRPr="00BC63A1">
        <w:rPr>
          <w:rFonts w:ascii="Open Sans" w:hAnsi="Open Sans" w:cs="Open Sans"/>
          <w:bCs/>
          <w:sz w:val="20"/>
          <w:szCs w:val="20"/>
        </w:rPr>
        <w:t xml:space="preserve">Teniendo en cuenta la limitación propia de este tipo de informes como herramienta de comunicación, ya que no es esa su finalidad, sería el Informe de Responsabilidad Corporativa un medio más idóneo a tal fin. </w:t>
      </w:r>
      <w:r w:rsidRPr="00BC63A1">
        <w:rPr>
          <w:rFonts w:ascii="Open Sans" w:hAnsi="Open Sans" w:cs="Open Sans"/>
          <w:sz w:val="20"/>
          <w:szCs w:val="20"/>
        </w:rPr>
        <w:t xml:space="preserve">La información contenida en las memorias de sostenibilidad tiene carácter anecdótico, casos excepcionales serían </w:t>
      </w:r>
      <w:r w:rsidR="004008A6" w:rsidRPr="00F2590F">
        <w:rPr>
          <w:rFonts w:ascii="Open Sans" w:hAnsi="Open Sans" w:cs="Open Sans"/>
          <w:sz w:val="20"/>
          <w:szCs w:val="20"/>
        </w:rPr>
        <w:t>REC, Indra y Telefónica</w:t>
      </w:r>
      <w:r w:rsidRPr="00BC63A1">
        <w:rPr>
          <w:rFonts w:ascii="Open Sans" w:hAnsi="Open Sans" w:cs="Open Sans"/>
          <w:sz w:val="20"/>
          <w:szCs w:val="20"/>
        </w:rPr>
        <w:t xml:space="preserve"> que facilitan información más detallada. Por otro lado, las empresas analizadas no siguen los estándares internacionales del country by country que promueven organismos internacionales. </w:t>
      </w:r>
      <w:r w:rsidRPr="00BC63A1">
        <w:rPr>
          <w:rFonts w:ascii="Open Sans" w:hAnsi="Open Sans" w:cs="Open Sans"/>
          <w:bCs/>
          <w:sz w:val="20"/>
          <w:szCs w:val="20"/>
        </w:rPr>
        <w:t>Sería deseable que en el Informe de RSC o de sostenibilidad que publican las empresas incluyese información material y relevante sobre responsabilidad fiscal y sobre transparencia tributaria.  Este aspecto sería valorado de manera muy positiva pues haría accesible a todos sus grupos de interés información relevante para conocer como los grandes grupos empresariales contribuyen a las economías en los países en los que operan</w:t>
      </w:r>
      <w:r w:rsidRPr="00BC63A1">
        <w:rPr>
          <w:rFonts w:ascii="Open Sans" w:hAnsi="Open Sans" w:cs="Open Sans"/>
          <w:sz w:val="20"/>
          <w:szCs w:val="20"/>
        </w:rPr>
        <w:t xml:space="preserve"> a través de un documento no técnico y con un formato sencillo y un lenguaje claro y accesible para personas no familiarizadas en este ámbito</w:t>
      </w:r>
      <w:r w:rsidRPr="00BC63A1">
        <w:rPr>
          <w:rFonts w:ascii="Open Sans" w:hAnsi="Open Sans" w:cs="Open Sans"/>
          <w:bCs/>
          <w:sz w:val="20"/>
          <w:szCs w:val="20"/>
        </w:rPr>
        <w:t xml:space="preserve">. </w:t>
      </w:r>
    </w:p>
    <w:p w14:paraId="2F2AD618" w14:textId="77777777" w:rsidR="004008A6" w:rsidRDefault="004008A6" w:rsidP="004008A6">
      <w:pPr>
        <w:jc w:val="both"/>
        <w:rPr>
          <w:rFonts w:ascii="Open Sans" w:hAnsi="Open Sans" w:cs="Open Sans"/>
          <w:sz w:val="20"/>
          <w:szCs w:val="20"/>
        </w:rPr>
      </w:pPr>
    </w:p>
    <w:p w14:paraId="31A85665" w14:textId="5064779A" w:rsidR="004008A6" w:rsidRPr="00F2590F" w:rsidRDefault="00BC63A1" w:rsidP="004008A6">
      <w:pPr>
        <w:jc w:val="both"/>
        <w:rPr>
          <w:rFonts w:ascii="Open Sans" w:hAnsi="Open Sans" w:cs="Open Sans"/>
          <w:sz w:val="20"/>
          <w:szCs w:val="20"/>
        </w:rPr>
      </w:pPr>
      <w:r w:rsidRPr="00BC63A1">
        <w:rPr>
          <w:rFonts w:ascii="Open Sans" w:hAnsi="Open Sans" w:cs="Open Sans"/>
          <w:bCs/>
          <w:sz w:val="20"/>
          <w:szCs w:val="20"/>
        </w:rPr>
        <w:t xml:space="preserve">Hay empresas que presentan documentos específicos para presentar información sobre </w:t>
      </w:r>
      <w:r w:rsidRPr="00BC63A1">
        <w:rPr>
          <w:rFonts w:ascii="Open Sans" w:hAnsi="Open Sans" w:cs="Open Sans"/>
          <w:sz w:val="20"/>
          <w:szCs w:val="20"/>
        </w:rPr>
        <w:t xml:space="preserve">contribución fiscal. Tal es el caso de </w:t>
      </w:r>
      <w:r w:rsidRPr="00F2590F">
        <w:rPr>
          <w:rFonts w:ascii="Open Sans" w:hAnsi="Open Sans" w:cs="Open Sans"/>
          <w:sz w:val="20"/>
          <w:szCs w:val="20"/>
        </w:rPr>
        <w:t xml:space="preserve">REC, BBVA, </w:t>
      </w:r>
      <w:r w:rsidR="00F2590F" w:rsidRPr="00F2590F">
        <w:rPr>
          <w:rFonts w:ascii="Open Sans" w:hAnsi="Open Sans" w:cs="Open Sans"/>
          <w:sz w:val="20"/>
          <w:szCs w:val="20"/>
        </w:rPr>
        <w:t xml:space="preserve">CAIXABANK, ENDESA, REPSOL Y TELEFÓNICA. </w:t>
      </w:r>
    </w:p>
    <w:p w14:paraId="06FC1783" w14:textId="77777777" w:rsidR="004008A6" w:rsidRDefault="004008A6" w:rsidP="004008A6">
      <w:pPr>
        <w:jc w:val="both"/>
        <w:rPr>
          <w:rFonts w:ascii="Open Sans" w:hAnsi="Open Sans" w:cs="Open Sans"/>
          <w:sz w:val="20"/>
          <w:szCs w:val="20"/>
        </w:rPr>
      </w:pPr>
    </w:p>
    <w:p w14:paraId="7B897195" w14:textId="220723FB" w:rsidR="00BC63A1" w:rsidRPr="00BC63A1" w:rsidRDefault="00BC63A1" w:rsidP="004008A6">
      <w:pPr>
        <w:jc w:val="both"/>
        <w:rPr>
          <w:rFonts w:ascii="Open Sans" w:hAnsi="Open Sans" w:cs="Open Sans"/>
          <w:sz w:val="20"/>
          <w:szCs w:val="20"/>
        </w:rPr>
      </w:pPr>
      <w:r w:rsidRPr="00BC63A1">
        <w:rPr>
          <w:rFonts w:ascii="Open Sans" w:hAnsi="Open Sans" w:cs="Open Sans"/>
          <w:sz w:val="20"/>
          <w:szCs w:val="20"/>
        </w:rPr>
        <w:t>Algunas de estas empresas se basan para construir esta información en la metodología Total Tax Contribution (TTC) de la consultora Price Watherhouse Coopeers, una herramienta para la divulgación de información fiscal. Esta metodología se asienta en que el impuesto sobre sociedades es solo una parte de todos los impuestos que paga una empresa y que es más adecuado informar sobre la contribución total de la compañía a las arcas públicas, diferenciando entre impuestos soportados e impuestos recaudados en nombre de terceros. Sin embargo, es conveniente destacar que, esta metodología se aleja de un gran número de iniciativas internacionales</w:t>
      </w:r>
      <w:r w:rsidRPr="004008A6">
        <w:rPr>
          <w:rFonts w:ascii="Open Sans" w:hAnsi="Open Sans" w:cs="Open Sans"/>
          <w:sz w:val="20"/>
          <w:szCs w:val="20"/>
          <w:vertAlign w:val="superscript"/>
        </w:rPr>
        <w:footnoteReference w:id="193"/>
      </w:r>
      <w:r w:rsidRPr="00BC63A1">
        <w:rPr>
          <w:rFonts w:ascii="Open Sans" w:hAnsi="Open Sans" w:cs="Open Sans"/>
          <w:sz w:val="20"/>
          <w:szCs w:val="20"/>
        </w:rPr>
        <w:t xml:space="preserve"> que apuestan por una información país a país en relación a estas cuestiones y que exigen mayor grado de desglose de los datos por filiales en relación a resultado del ejercicio, impuestos sobre los beneficios, número de plantilla, entre otros. Si bien este nivel de desglose es voluntario, aportar esta información demuestra un compromiso real con la transparencia fiscal.  Algunas empresas dedican un apartado dentro su web a su estrategia y comportamiento fiscal. La web de Telefónica contiene un apartado específico sobre Transparencia Fiscal</w:t>
      </w:r>
      <w:r w:rsidRPr="004008A6">
        <w:rPr>
          <w:rFonts w:ascii="Open Sans" w:hAnsi="Open Sans" w:cs="Open Sans"/>
          <w:sz w:val="20"/>
          <w:szCs w:val="20"/>
          <w:vertAlign w:val="superscript"/>
        </w:rPr>
        <w:footnoteReference w:id="194"/>
      </w:r>
      <w:r w:rsidRPr="00BC63A1">
        <w:rPr>
          <w:rFonts w:ascii="Open Sans" w:hAnsi="Open Sans" w:cs="Open Sans"/>
          <w:sz w:val="20"/>
          <w:szCs w:val="20"/>
        </w:rPr>
        <w:t xml:space="preserve"> dentro del esquema estratégico actual de la compañía en materia de RSC denominado Estrategia de Negocio Responsable</w:t>
      </w:r>
      <w:r w:rsidRPr="004008A6">
        <w:rPr>
          <w:rFonts w:ascii="Open Sans" w:hAnsi="Open Sans" w:cs="Open Sans"/>
          <w:sz w:val="20"/>
          <w:szCs w:val="20"/>
          <w:vertAlign w:val="superscript"/>
        </w:rPr>
        <w:footnoteReference w:id="195"/>
      </w:r>
      <w:r w:rsidRPr="00BC63A1">
        <w:rPr>
          <w:rFonts w:ascii="Open Sans" w:hAnsi="Open Sans" w:cs="Open Sans"/>
          <w:sz w:val="20"/>
          <w:szCs w:val="20"/>
        </w:rPr>
        <w:t xml:space="preserve"> y que ofrece información sobre el posicionamiento de la compañía en este ámbito de gestión que se desglosa en información sobre la estrategia fiscal y ética,  el devengo y pago de impuestos, el código ético de conducta tributaria, riesgos fiscales y buenas prácticas. Se trata, como decimos  de una agrupación que muestra el posicionamiento del grupo Telefónica respecto a la Transparencia Fiscal dentro del esquema de Negocio Responsable de la compañía.  La mayoría de esta información se contiene también en los documentos: Informe Financiero 2015 e Informe Integrado 2015. No obstante la información contenida en estos documentos se echa en falta una mayor información sobre los entramados societarios, así como del detalle del impuesto sobre sociedades que soportan las empresas  en cada uno de los países en los que opera, así como sus deducciones, exenciones y créditos fiscales, o las operaciones intragrupo, lo que supondría un ejercicio real de transparencia de cara grupos de interés, diferentes de inversores, accionistas o Administración Pública.</w:t>
      </w:r>
    </w:p>
    <w:p w14:paraId="62D76706" w14:textId="77777777" w:rsidR="00BC63A1" w:rsidRPr="00E70FC3" w:rsidRDefault="00BC63A1" w:rsidP="00BC63A1">
      <w:pPr>
        <w:spacing w:before="120"/>
        <w:jc w:val="both"/>
        <w:rPr>
          <w:rFonts w:ascii="Open Sans" w:hAnsi="Open Sans" w:cs="Open Sans"/>
          <w:sz w:val="20"/>
          <w:szCs w:val="20"/>
        </w:rPr>
      </w:pPr>
    </w:p>
    <w:p w14:paraId="1D4432DE" w14:textId="77777777" w:rsidR="00C2693E" w:rsidRDefault="00C2693E" w:rsidP="00C2693E">
      <w:pPr>
        <w:suppressAutoHyphens/>
        <w:contextualSpacing/>
        <w:jc w:val="both"/>
        <w:rPr>
          <w:rFonts w:ascii="Open Sans" w:eastAsia="Times New Roman" w:hAnsi="Open Sans" w:cs="Times New Roman"/>
          <w:sz w:val="20"/>
          <w:lang w:val="es-ES" w:eastAsia="ar-SA"/>
        </w:rPr>
      </w:pPr>
    </w:p>
    <w:p w14:paraId="5C603A40" w14:textId="77777777" w:rsidR="00C2693E" w:rsidRDefault="00C2693E" w:rsidP="00C2693E">
      <w:pPr>
        <w:suppressAutoHyphens/>
        <w:contextualSpacing/>
        <w:jc w:val="both"/>
        <w:rPr>
          <w:rFonts w:ascii="Open Sans" w:eastAsia="Times New Roman" w:hAnsi="Open Sans" w:cs="Times New Roman"/>
          <w:sz w:val="20"/>
          <w:lang w:val="es-ES" w:eastAsia="ar-SA"/>
        </w:rPr>
        <w:sectPr w:rsidR="00C2693E" w:rsidSect="00CA4DA8">
          <w:pgSz w:w="11900" w:h="16840"/>
          <w:pgMar w:top="1418" w:right="1701" w:bottom="1418" w:left="1701" w:header="708" w:footer="708" w:gutter="0"/>
          <w:cols w:space="708"/>
          <w:docGrid w:linePitch="360"/>
        </w:sectPr>
      </w:pPr>
    </w:p>
    <w:p w14:paraId="72A78DA7" w14:textId="2197405E" w:rsidR="00C2693E" w:rsidRDefault="00C2693E" w:rsidP="00C2693E">
      <w:pPr>
        <w:suppressAutoHyphens/>
        <w:contextualSpacing/>
        <w:jc w:val="both"/>
        <w:rPr>
          <w:rFonts w:ascii="Open Sans" w:eastAsia="Times New Roman" w:hAnsi="Open Sans" w:cs="Times New Roman"/>
          <w:sz w:val="20"/>
          <w:lang w:val="es-ES" w:eastAsia="ar-SA"/>
        </w:rPr>
        <w:sectPr w:rsidR="00C2693E" w:rsidSect="00CA4DA8">
          <w:headerReference w:type="default" r:id="rId61"/>
          <w:pgSz w:w="11900" w:h="16840"/>
          <w:pgMar w:top="0" w:right="0" w:bottom="0" w:left="0" w:header="708" w:footer="708" w:gutter="0"/>
          <w:cols w:space="708"/>
          <w:titlePg/>
          <w:docGrid w:linePitch="360"/>
        </w:sectPr>
      </w:pPr>
      <w:r>
        <w:rPr>
          <w:rFonts w:ascii="Open Sans" w:eastAsia="Times New Roman" w:hAnsi="Open Sans" w:cs="Times New Roman"/>
          <w:noProof/>
          <w:sz w:val="20"/>
          <w:lang w:val="es-ES"/>
        </w:rPr>
        <w:drawing>
          <wp:inline distT="0" distB="0" distL="0" distR="0" wp14:anchorId="5B13CFEF" wp14:editId="1F8CD921">
            <wp:extent cx="7556500" cy="10684336"/>
            <wp:effectExtent l="0" t="0" r="0" b="9525"/>
            <wp:docPr id="4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7556500" cy="10684336"/>
                    </a:xfrm>
                    <a:prstGeom prst="rect">
                      <a:avLst/>
                    </a:prstGeom>
                    <a:noFill/>
                    <a:ln>
                      <a:noFill/>
                    </a:ln>
                  </pic:spPr>
                </pic:pic>
              </a:graphicData>
            </a:graphic>
          </wp:inline>
        </w:drawing>
      </w:r>
    </w:p>
    <w:p w14:paraId="02A1D172" w14:textId="77777777" w:rsidR="00BC63A1" w:rsidRDefault="00BC63A1" w:rsidP="00D4131A"/>
    <w:p w14:paraId="31EB6CB4" w14:textId="77777777" w:rsidR="00BC63A1" w:rsidRDefault="00BC63A1" w:rsidP="00D4131A"/>
    <w:p w14:paraId="457EDB18" w14:textId="3D763C43" w:rsidR="00B525FF" w:rsidRPr="007C3FAD" w:rsidRDefault="00841317" w:rsidP="009349A9">
      <w:pPr>
        <w:pStyle w:val="Titulo2-InformeFinal"/>
        <w:rPr>
          <w:i/>
        </w:rPr>
      </w:pPr>
      <w:bookmarkStart w:id="63" w:name="_Toc254282536"/>
      <w:bookmarkStart w:id="64" w:name="_Toc354061522"/>
      <w:r>
        <w:t>5</w:t>
      </w:r>
      <w:r w:rsidR="00A112C7" w:rsidRPr="007C3FAD">
        <w:t xml:space="preserve">. </w:t>
      </w:r>
      <w:bookmarkEnd w:id="63"/>
      <w:r w:rsidR="00595013">
        <w:t>INFORMES POR EMPRESA</w:t>
      </w:r>
      <w:bookmarkEnd w:id="64"/>
    </w:p>
    <w:p w14:paraId="28B3F32A" w14:textId="4CA79995" w:rsidR="005A7746" w:rsidRPr="007C3FAD" w:rsidRDefault="00841317" w:rsidP="009349A9">
      <w:pPr>
        <w:pStyle w:val="Titulo3-informefinal"/>
        <w:rPr>
          <w:i/>
        </w:rPr>
      </w:pPr>
      <w:bookmarkStart w:id="65" w:name="_Toc254282537"/>
      <w:bookmarkStart w:id="66" w:name="_Toc354061523"/>
      <w:r>
        <w:t>5</w:t>
      </w:r>
      <w:r w:rsidR="00A112C7" w:rsidRPr="007C3FAD">
        <w:t>.1. Empresas del sector Bienes de Consumo</w:t>
      </w:r>
      <w:bookmarkEnd w:id="65"/>
      <w:bookmarkEnd w:id="66"/>
    </w:p>
    <w:p w14:paraId="3ECC7420" w14:textId="77D0432B" w:rsidR="004D74B6" w:rsidRPr="007B33DB" w:rsidRDefault="004D74B6" w:rsidP="007B33DB">
      <w:pPr>
        <w:spacing w:line="360" w:lineRule="auto"/>
        <w:jc w:val="both"/>
        <w:outlineLvl w:val="4"/>
        <w:rPr>
          <w:rFonts w:ascii="Open Sans" w:hAnsi="Open Sans" w:cs="Arial"/>
          <w:b/>
          <w:caps/>
        </w:rPr>
      </w:pPr>
    </w:p>
    <w:p w14:paraId="732EE393" w14:textId="77777777" w:rsidR="00DF20C0" w:rsidRPr="007C3FAD" w:rsidRDefault="00DF20C0" w:rsidP="007A07D5">
      <w:pPr>
        <w:pStyle w:val="Prrafodelista"/>
        <w:numPr>
          <w:ilvl w:val="0"/>
          <w:numId w:val="3"/>
        </w:numPr>
        <w:spacing w:line="360" w:lineRule="auto"/>
        <w:jc w:val="both"/>
        <w:outlineLvl w:val="4"/>
        <w:rPr>
          <w:rFonts w:ascii="Open Sans" w:hAnsi="Open Sans" w:cs="Arial"/>
          <w:noProof/>
        </w:rPr>
      </w:pPr>
      <w:r w:rsidRPr="007C3FAD">
        <w:rPr>
          <w:rFonts w:ascii="Open Sans" w:hAnsi="Open Sans" w:cs="Arial"/>
          <w:b/>
          <w:caps/>
        </w:rPr>
        <w:t>GRIFOLS s.a.</w:t>
      </w:r>
    </w:p>
    <w:p w14:paraId="129705EC" w14:textId="52D7E63D" w:rsidR="005A7746" w:rsidRDefault="00DF20C0" w:rsidP="007A07D5">
      <w:pPr>
        <w:pStyle w:val="Prrafodelista"/>
        <w:numPr>
          <w:ilvl w:val="0"/>
          <w:numId w:val="3"/>
        </w:numPr>
        <w:spacing w:line="360" w:lineRule="auto"/>
        <w:jc w:val="both"/>
        <w:outlineLvl w:val="4"/>
        <w:rPr>
          <w:rFonts w:ascii="Open Sans" w:hAnsi="Open Sans" w:cs="Arial"/>
          <w:b/>
          <w:caps/>
        </w:rPr>
      </w:pPr>
      <w:r w:rsidRPr="007C3FAD">
        <w:rPr>
          <w:rFonts w:ascii="Open Sans" w:hAnsi="Open Sans" w:cs="Arial"/>
          <w:b/>
          <w:caps/>
        </w:rPr>
        <w:t>INDUSTRIA DE DISEÑO TEXTIL, S.A. (INDITEX)</w:t>
      </w:r>
    </w:p>
    <w:p w14:paraId="17481E63" w14:textId="751C9395" w:rsidR="005A7746" w:rsidRDefault="005A7746" w:rsidP="00DF20C0">
      <w:pPr>
        <w:rPr>
          <w:rFonts w:ascii="Open Sans" w:hAnsi="Open Sans" w:cs="Arial"/>
          <w:b/>
          <w:caps/>
        </w:rPr>
      </w:pPr>
      <w:r w:rsidRPr="007C3FAD">
        <w:rPr>
          <w:rFonts w:ascii="Open Sans" w:hAnsi="Open Sans" w:cs="Arial"/>
          <w:b/>
          <w:caps/>
        </w:rPr>
        <w:br w:type="page"/>
      </w:r>
    </w:p>
    <w:p w14:paraId="36421BE6" w14:textId="77777777" w:rsidR="00AC7677" w:rsidRPr="008D6821" w:rsidRDefault="00AC7677" w:rsidP="00AC7677">
      <w:pPr>
        <w:autoSpaceDE w:val="0"/>
        <w:autoSpaceDN w:val="0"/>
        <w:adjustRightInd w:val="0"/>
        <w:rPr>
          <w:rFonts w:ascii="DINCond-Light" w:eastAsiaTheme="minorHAnsi" w:hAnsi="DINCond-Light" w:cs="DINCond-Light"/>
          <w:sz w:val="15"/>
          <w:szCs w:val="15"/>
          <w:lang w:eastAsia="en-US"/>
        </w:rPr>
      </w:pPr>
    </w:p>
    <w:p w14:paraId="42DD7C4D" w14:textId="77777777" w:rsidR="00D144D8" w:rsidRDefault="00D144D8" w:rsidP="00D144D8">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67" w:name="Grifols"/>
      <w:r>
        <w:rPr>
          <w:rFonts w:ascii="Open Sans" w:hAnsi="Open Sans" w:cs="Arial"/>
          <w:b/>
          <w:caps/>
          <w:color w:val="FFFFFF"/>
        </w:rPr>
        <w:t>Grifols, s.a</w:t>
      </w:r>
    </w:p>
    <w:bookmarkEnd w:id="67"/>
    <w:p w14:paraId="45F65DFB" w14:textId="77777777" w:rsidR="00D144D8" w:rsidRDefault="00D144D8" w:rsidP="00D144D8">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cs="Arial"/>
          <w:b/>
          <w:i/>
          <w:color w:val="FFFFFF"/>
        </w:rPr>
        <w:t>(Grifols)</w:t>
      </w:r>
    </w:p>
    <w:p w14:paraId="17802F04" w14:textId="77777777" w:rsidR="00D144D8" w:rsidRDefault="00D144D8" w:rsidP="00D144D8">
      <w:pPr>
        <w:spacing w:before="120" w:after="120" w:line="360" w:lineRule="auto"/>
        <w:jc w:val="both"/>
        <w:rPr>
          <w:rFonts w:ascii="Open Sans" w:hAnsi="Open Sans" w:cs="Tahoma"/>
          <w:b/>
          <w:bCs/>
          <w:color w:val="002060"/>
          <w:sz w:val="28"/>
          <w:szCs w:val="28"/>
        </w:rPr>
      </w:pPr>
    </w:p>
    <w:p w14:paraId="792531A9" w14:textId="77777777" w:rsidR="00BA0792" w:rsidRPr="00732FD5" w:rsidRDefault="00BA0792" w:rsidP="00BA0792">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22EF0AB8" w14:textId="77777777" w:rsidR="00BA0792" w:rsidRPr="00732FD5" w:rsidRDefault="00BA0792" w:rsidP="00BA0792">
      <w:pPr>
        <w:jc w:val="both"/>
        <w:rPr>
          <w:rFonts w:ascii="Open Sans" w:hAnsi="Open Sans" w:cs="Arial"/>
          <w:sz w:val="22"/>
          <w:szCs w:val="22"/>
          <w:u w:val="single"/>
        </w:rPr>
      </w:pPr>
    </w:p>
    <w:p w14:paraId="477B0518" w14:textId="77777777" w:rsidR="00BA0792" w:rsidRPr="00EE1EF7" w:rsidRDefault="00BA0792" w:rsidP="00BA0792">
      <w:pPr>
        <w:jc w:val="both"/>
        <w:rPr>
          <w:rFonts w:ascii="Open Sans" w:hAnsi="Open Sans" w:cs="Arial"/>
          <w:sz w:val="20"/>
          <w:szCs w:val="20"/>
        </w:rPr>
      </w:pPr>
      <w:r w:rsidRPr="00EE1EF7">
        <w:rPr>
          <w:rFonts w:ascii="Open Sans" w:hAnsi="Open Sans" w:cs="Arial"/>
          <w:sz w:val="20"/>
          <w:szCs w:val="20"/>
          <w:u w:val="single"/>
        </w:rPr>
        <w:t>Productos/servicios</w:t>
      </w:r>
    </w:p>
    <w:p w14:paraId="557F31CC" w14:textId="77777777" w:rsidR="00BA0792" w:rsidRPr="00EE1EF7" w:rsidRDefault="00BA0792" w:rsidP="00BA0792">
      <w:pPr>
        <w:jc w:val="both"/>
        <w:rPr>
          <w:rFonts w:ascii="Open Sans" w:hAnsi="Open Sans" w:cs="Arial"/>
          <w:sz w:val="20"/>
          <w:szCs w:val="20"/>
        </w:rPr>
      </w:pPr>
    </w:p>
    <w:p w14:paraId="0BA65546" w14:textId="77777777" w:rsidR="00BA0792" w:rsidRDefault="00BA0792" w:rsidP="00BA0792">
      <w:pPr>
        <w:jc w:val="both"/>
        <w:rPr>
          <w:rFonts w:ascii="Open Sans" w:hAnsi="Open Sans" w:cs="Open Sans"/>
          <w:sz w:val="20"/>
          <w:szCs w:val="20"/>
        </w:rPr>
      </w:pPr>
      <w:r>
        <w:rPr>
          <w:rFonts w:ascii="Open Sans" w:hAnsi="Open Sans" w:cs="Open Sans"/>
          <w:sz w:val="20"/>
          <w:szCs w:val="20"/>
        </w:rPr>
        <w:t>Grifols es una empresa multinacional especializada en el sector farmacéutico y hospitalario. Desarrolla, produce y comercializa productos en diferentes líneas de negocio:</w:t>
      </w:r>
    </w:p>
    <w:p w14:paraId="07222311" w14:textId="77777777" w:rsidR="00BA0792" w:rsidRDefault="00BA0792" w:rsidP="00BA0792">
      <w:pPr>
        <w:jc w:val="both"/>
        <w:rPr>
          <w:rFonts w:ascii="Open Sans" w:hAnsi="Open Sans" w:cs="Open Sans"/>
          <w:sz w:val="20"/>
          <w:szCs w:val="20"/>
        </w:rPr>
      </w:pPr>
    </w:p>
    <w:p w14:paraId="43A80556" w14:textId="77777777" w:rsidR="00BA0792" w:rsidRDefault="00BA0792" w:rsidP="00BA0792">
      <w:pPr>
        <w:numPr>
          <w:ilvl w:val="0"/>
          <w:numId w:val="11"/>
        </w:numPr>
        <w:jc w:val="both"/>
        <w:rPr>
          <w:rFonts w:ascii="Open Sans" w:hAnsi="Open Sans" w:cs="Open Sans"/>
          <w:sz w:val="20"/>
          <w:szCs w:val="20"/>
        </w:rPr>
      </w:pPr>
      <w:r>
        <w:rPr>
          <w:rFonts w:ascii="Open Sans" w:hAnsi="Open Sans" w:cs="Open Sans"/>
          <w:sz w:val="20"/>
          <w:szCs w:val="20"/>
        </w:rPr>
        <w:t>Bioscience</w:t>
      </w:r>
      <w:r w:rsidRPr="00B848AE">
        <w:rPr>
          <w:rFonts w:ascii="Open Sans" w:hAnsi="Open Sans" w:cs="Open Sans"/>
          <w:sz w:val="20"/>
          <w:szCs w:val="20"/>
        </w:rPr>
        <w:t>: concentra todas las actividades relacionadas con los productos derivados del plasma humano para uso terapéutico.</w:t>
      </w:r>
      <w:r>
        <w:rPr>
          <w:rFonts w:ascii="Open Sans" w:hAnsi="Open Sans" w:cs="Open Sans"/>
          <w:sz w:val="20"/>
          <w:szCs w:val="20"/>
        </w:rPr>
        <w:t xml:space="preserve"> I</w:t>
      </w:r>
      <w:r w:rsidRPr="006E6910">
        <w:rPr>
          <w:rFonts w:ascii="Open Sans" w:hAnsi="Open Sans" w:cs="Open Sans"/>
          <w:sz w:val="20"/>
          <w:szCs w:val="20"/>
        </w:rPr>
        <w:t>nvestigación, desarrollo, producción y comercialización de hemoderivados. Medicamentos relacionados con las propiedades terapéuticas de las proteínas del plasma.</w:t>
      </w:r>
    </w:p>
    <w:p w14:paraId="1FE19CFF" w14:textId="77777777" w:rsidR="00BA0792" w:rsidRDefault="00BA0792" w:rsidP="00BA0792">
      <w:pPr>
        <w:jc w:val="both"/>
        <w:rPr>
          <w:rFonts w:ascii="Open Sans" w:hAnsi="Open Sans" w:cs="Open Sans"/>
          <w:sz w:val="20"/>
          <w:szCs w:val="20"/>
        </w:rPr>
      </w:pPr>
    </w:p>
    <w:p w14:paraId="2D509391" w14:textId="77777777" w:rsidR="00BA0792" w:rsidRPr="006E6910" w:rsidRDefault="00BA0792" w:rsidP="00BA0792">
      <w:pPr>
        <w:numPr>
          <w:ilvl w:val="0"/>
          <w:numId w:val="11"/>
        </w:numPr>
        <w:jc w:val="both"/>
        <w:rPr>
          <w:rFonts w:ascii="Open Sans" w:hAnsi="Open Sans" w:cs="Open Sans"/>
          <w:sz w:val="20"/>
          <w:szCs w:val="20"/>
        </w:rPr>
      </w:pPr>
      <w:r>
        <w:rPr>
          <w:rFonts w:ascii="Open Sans" w:hAnsi="Open Sans" w:cs="Open Sans"/>
          <w:sz w:val="20"/>
          <w:szCs w:val="20"/>
        </w:rPr>
        <w:t>Diagnostic</w:t>
      </w:r>
      <w:r w:rsidRPr="00B848AE">
        <w:rPr>
          <w:rFonts w:ascii="Open Sans" w:hAnsi="Open Sans" w:cs="Open Sans"/>
          <w:sz w:val="20"/>
          <w:szCs w:val="20"/>
        </w:rPr>
        <w:t>: agrupa la comercialización de aparatos para pruebas diagnósticas, reactivos y equipos, ya sean fabricados por empresas del Grupo o empresas externas.</w:t>
      </w:r>
      <w:r>
        <w:rPr>
          <w:rFonts w:ascii="Open Sans" w:hAnsi="Open Sans" w:cs="Open Sans"/>
          <w:sz w:val="20"/>
          <w:szCs w:val="20"/>
        </w:rPr>
        <w:t xml:space="preserve"> D</w:t>
      </w:r>
      <w:r w:rsidRPr="006E6910">
        <w:rPr>
          <w:rFonts w:ascii="Open Sans" w:hAnsi="Open Sans" w:cs="Open Sans"/>
          <w:sz w:val="20"/>
          <w:szCs w:val="20"/>
        </w:rPr>
        <w:t>esarrollo, fabricación y comercialización de sistemas de análisis diagnostico in-vitro, equipos de donación sanguínea, procedimientos de inactivación de componentes sanguíneos para transfusión, hemostasia e inmunología.</w:t>
      </w:r>
    </w:p>
    <w:p w14:paraId="0739EC9C" w14:textId="77777777" w:rsidR="00BA0792" w:rsidRPr="00B848AE" w:rsidRDefault="00BA0792" w:rsidP="00BA0792">
      <w:pPr>
        <w:jc w:val="both"/>
        <w:rPr>
          <w:rFonts w:ascii="Open Sans" w:hAnsi="Open Sans" w:cs="Open Sans"/>
          <w:sz w:val="20"/>
          <w:szCs w:val="20"/>
        </w:rPr>
      </w:pPr>
    </w:p>
    <w:p w14:paraId="5436C25C" w14:textId="77777777" w:rsidR="00BA0792" w:rsidRDefault="00BA0792" w:rsidP="00BA0792">
      <w:pPr>
        <w:numPr>
          <w:ilvl w:val="0"/>
          <w:numId w:val="11"/>
        </w:numPr>
        <w:jc w:val="both"/>
        <w:rPr>
          <w:rFonts w:ascii="Open Sans" w:hAnsi="Open Sans" w:cs="Open Sans"/>
          <w:sz w:val="20"/>
          <w:szCs w:val="20"/>
        </w:rPr>
      </w:pPr>
      <w:r w:rsidRPr="00B848AE">
        <w:rPr>
          <w:rFonts w:ascii="Open Sans" w:hAnsi="Open Sans" w:cs="Open Sans"/>
          <w:sz w:val="20"/>
          <w:szCs w:val="20"/>
        </w:rPr>
        <w:t>Hospital: incluye todos los productos farmacéuticos no biológicos y de suministros médicos fabricados por las empresas del Grupo que se destinan a la farmacia hospitalaria. También incluye aquellos productos relacionados con este negocio que el Grupo no fabrica pero que comercializa como complemento a los suyos propios.</w:t>
      </w:r>
    </w:p>
    <w:p w14:paraId="53CB2B46" w14:textId="77777777" w:rsidR="00BA0792" w:rsidRPr="00B848AE" w:rsidRDefault="00BA0792" w:rsidP="00BA0792">
      <w:pPr>
        <w:jc w:val="both"/>
        <w:rPr>
          <w:rFonts w:ascii="Open Sans" w:hAnsi="Open Sans" w:cs="Open Sans"/>
          <w:sz w:val="20"/>
          <w:szCs w:val="20"/>
        </w:rPr>
      </w:pPr>
    </w:p>
    <w:p w14:paraId="3447ECD4" w14:textId="77777777" w:rsidR="00BA0792" w:rsidRPr="003F3005" w:rsidRDefault="00BA0792" w:rsidP="00BA0792">
      <w:pPr>
        <w:numPr>
          <w:ilvl w:val="0"/>
          <w:numId w:val="11"/>
        </w:numPr>
        <w:jc w:val="both"/>
        <w:rPr>
          <w:rFonts w:ascii="Open Sans" w:hAnsi="Open Sans" w:cs="Arial"/>
          <w:sz w:val="20"/>
          <w:szCs w:val="20"/>
        </w:rPr>
      </w:pPr>
      <w:r w:rsidRPr="00AF4B38">
        <w:rPr>
          <w:rFonts w:ascii="Open Sans" w:hAnsi="Open Sans" w:cs="Open Sans"/>
          <w:sz w:val="20"/>
          <w:szCs w:val="20"/>
        </w:rPr>
        <w:t xml:space="preserve">Materias primas: división que engloba los ingresos no recurrentes. </w:t>
      </w:r>
      <w:r w:rsidRPr="003F3005">
        <w:rPr>
          <w:rFonts w:ascii="Open Sans" w:hAnsi="Open Sans" w:cs="Open Sans"/>
          <w:sz w:val="20"/>
          <w:szCs w:val="20"/>
        </w:rPr>
        <w:t>Incluye las ventas de pro- ductos biológicos intermedios y plasma a terceros, los ingresos por royalties y los trabajos a tercer</w:t>
      </w:r>
      <w:r>
        <w:rPr>
          <w:rFonts w:ascii="Open Sans" w:hAnsi="Open Sans" w:cs="Open Sans"/>
          <w:sz w:val="20"/>
          <w:szCs w:val="20"/>
        </w:rPr>
        <w:t>os realizados por Grifols Engi</w:t>
      </w:r>
      <w:r w:rsidRPr="003F3005">
        <w:rPr>
          <w:rFonts w:ascii="Open Sans" w:hAnsi="Open Sans" w:cs="Open Sans"/>
          <w:sz w:val="20"/>
          <w:szCs w:val="20"/>
        </w:rPr>
        <w:t>neering.</w:t>
      </w:r>
    </w:p>
    <w:p w14:paraId="46555709" w14:textId="77777777" w:rsidR="00BA0792" w:rsidRPr="00AF4B38" w:rsidRDefault="00BA0792" w:rsidP="00BA0792">
      <w:pPr>
        <w:ind w:left="720"/>
        <w:jc w:val="both"/>
        <w:rPr>
          <w:rFonts w:ascii="Open Sans" w:hAnsi="Open Sans" w:cs="Arial"/>
          <w:sz w:val="20"/>
          <w:szCs w:val="20"/>
        </w:rPr>
      </w:pPr>
    </w:p>
    <w:p w14:paraId="52F8BBD3" w14:textId="77777777" w:rsidR="00BA0792" w:rsidRPr="00EE1EF7" w:rsidRDefault="00BA0792" w:rsidP="00BA0792">
      <w:pPr>
        <w:jc w:val="both"/>
        <w:rPr>
          <w:rFonts w:ascii="Open Sans" w:hAnsi="Open Sans" w:cs="Arial"/>
          <w:sz w:val="20"/>
          <w:szCs w:val="20"/>
        </w:rPr>
      </w:pPr>
    </w:p>
    <w:p w14:paraId="2B4A7967" w14:textId="77777777" w:rsidR="00BA0792" w:rsidRPr="00EE1EF7" w:rsidRDefault="00BA0792" w:rsidP="00BA0792">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63201F89" w14:textId="77777777" w:rsidR="00BA0792" w:rsidRPr="00EE1EF7" w:rsidRDefault="00BA0792" w:rsidP="00BA0792">
      <w:pPr>
        <w:jc w:val="both"/>
        <w:rPr>
          <w:rFonts w:ascii="Open Sans" w:hAnsi="Open Sans" w:cs="Arial"/>
          <w:sz w:val="20"/>
          <w:szCs w:val="20"/>
        </w:rPr>
      </w:pPr>
    </w:p>
    <w:p w14:paraId="6266B0AC" w14:textId="77777777" w:rsidR="00BA0792" w:rsidRPr="00914337" w:rsidRDefault="00BA0792" w:rsidP="00BA0792">
      <w:pPr>
        <w:jc w:val="both"/>
        <w:rPr>
          <w:rFonts w:ascii="Open Sans" w:hAnsi="Open Sans" w:cs="Arial"/>
          <w:sz w:val="20"/>
          <w:szCs w:val="20"/>
        </w:rPr>
      </w:pPr>
      <w:r>
        <w:rPr>
          <w:rFonts w:ascii="Open Sans" w:hAnsi="Open Sans" w:cs="Arial"/>
          <w:sz w:val="20"/>
          <w:szCs w:val="20"/>
        </w:rPr>
        <w:t>Grifols</w:t>
      </w:r>
      <w:r w:rsidRPr="00914337">
        <w:rPr>
          <w:rFonts w:ascii="Open Sans" w:hAnsi="Open Sans" w:cs="Arial"/>
          <w:sz w:val="20"/>
          <w:szCs w:val="20"/>
        </w:rPr>
        <w:t xml:space="preserve"> tiene presencia</w:t>
      </w:r>
      <w:r>
        <w:rPr>
          <w:rFonts w:ascii="Open Sans" w:hAnsi="Open Sans" w:cs="Arial"/>
          <w:sz w:val="20"/>
          <w:szCs w:val="20"/>
        </w:rPr>
        <w:t xml:space="preserve"> a través de sus filiales</w:t>
      </w:r>
      <w:r w:rsidRPr="00914337">
        <w:rPr>
          <w:rFonts w:ascii="Open Sans" w:hAnsi="Open Sans" w:cs="Arial"/>
          <w:sz w:val="20"/>
          <w:szCs w:val="20"/>
        </w:rPr>
        <w:t xml:space="preserve"> en los siguientes países: </w:t>
      </w:r>
    </w:p>
    <w:p w14:paraId="18949186" w14:textId="77777777" w:rsidR="00BA0792" w:rsidRPr="00914337" w:rsidRDefault="00BA0792" w:rsidP="00BA0792">
      <w:pPr>
        <w:jc w:val="both"/>
        <w:rPr>
          <w:rFonts w:ascii="Open Sans" w:hAnsi="Open Sans" w:cs="Arial"/>
          <w:sz w:val="20"/>
          <w:szCs w:val="20"/>
        </w:rPr>
      </w:pPr>
    </w:p>
    <w:p w14:paraId="169F8FC2" w14:textId="77777777" w:rsidR="00BA0792" w:rsidRDefault="00BA0792" w:rsidP="00BA0792">
      <w:pPr>
        <w:numPr>
          <w:ilvl w:val="0"/>
          <w:numId w:val="12"/>
        </w:numPr>
        <w:jc w:val="both"/>
        <w:rPr>
          <w:rFonts w:ascii="Open Sans" w:hAnsi="Open Sans" w:cs="Open Sans"/>
          <w:sz w:val="20"/>
          <w:szCs w:val="20"/>
        </w:rPr>
      </w:pPr>
      <w:r>
        <w:rPr>
          <w:rFonts w:ascii="Open Sans" w:hAnsi="Open Sans" w:cs="Open Sans"/>
          <w:sz w:val="20"/>
          <w:szCs w:val="20"/>
        </w:rPr>
        <w:t xml:space="preserve">Europa: Alemania, </w:t>
      </w:r>
      <w:r w:rsidRPr="001B3842">
        <w:rPr>
          <w:rFonts w:ascii="Open Sans" w:hAnsi="Open Sans" w:cs="Open Sans"/>
          <w:sz w:val="20"/>
          <w:szCs w:val="20"/>
        </w:rPr>
        <w:t>Bélgica,</w:t>
      </w:r>
      <w:r>
        <w:rPr>
          <w:rFonts w:ascii="Open Sans" w:hAnsi="Open Sans" w:cs="Open Sans"/>
          <w:sz w:val="20"/>
          <w:szCs w:val="20"/>
        </w:rPr>
        <w:t xml:space="preserve"> Eslovaquia, España, Francia, Irlanda, Italia, Polonia, Portugal, Reino Unido, República Checa, Suecia y Suiza</w:t>
      </w:r>
    </w:p>
    <w:p w14:paraId="025AC34C" w14:textId="77777777" w:rsidR="00BA0792" w:rsidRDefault="00BA0792" w:rsidP="00BA0792">
      <w:pPr>
        <w:numPr>
          <w:ilvl w:val="0"/>
          <w:numId w:val="12"/>
        </w:numPr>
        <w:jc w:val="both"/>
        <w:rPr>
          <w:rFonts w:ascii="Open Sans" w:hAnsi="Open Sans" w:cs="Open Sans"/>
          <w:sz w:val="20"/>
          <w:szCs w:val="20"/>
        </w:rPr>
      </w:pPr>
      <w:r>
        <w:rPr>
          <w:rFonts w:ascii="Open Sans" w:hAnsi="Open Sans" w:cs="Open Sans"/>
          <w:sz w:val="20"/>
          <w:szCs w:val="20"/>
        </w:rPr>
        <w:t>América: Argentina, Brasil, Canadá, Chile, Colombia, EEUU y México</w:t>
      </w:r>
    </w:p>
    <w:p w14:paraId="6F02E877" w14:textId="77777777" w:rsidR="00BA0792" w:rsidRDefault="00BA0792" w:rsidP="00BA0792">
      <w:pPr>
        <w:numPr>
          <w:ilvl w:val="0"/>
          <w:numId w:val="12"/>
        </w:numPr>
        <w:jc w:val="both"/>
        <w:rPr>
          <w:rFonts w:ascii="Open Sans" w:hAnsi="Open Sans" w:cs="Open Sans"/>
          <w:sz w:val="20"/>
          <w:szCs w:val="20"/>
        </w:rPr>
      </w:pPr>
      <w:r>
        <w:rPr>
          <w:rFonts w:ascii="Open Sans" w:hAnsi="Open Sans" w:cs="Open Sans"/>
          <w:sz w:val="20"/>
          <w:szCs w:val="20"/>
        </w:rPr>
        <w:t xml:space="preserve">Asia: China, Hong Kong, India, Japón, Malasia, Tailandia, Singapur, </w:t>
      </w:r>
    </w:p>
    <w:p w14:paraId="5D9CFD5D" w14:textId="77777777" w:rsidR="00BA0792" w:rsidRDefault="00BA0792" w:rsidP="00BA0792">
      <w:pPr>
        <w:numPr>
          <w:ilvl w:val="0"/>
          <w:numId w:val="12"/>
        </w:numPr>
        <w:jc w:val="both"/>
        <w:rPr>
          <w:rFonts w:ascii="Open Sans" w:hAnsi="Open Sans" w:cs="Open Sans"/>
          <w:sz w:val="20"/>
          <w:szCs w:val="20"/>
        </w:rPr>
      </w:pPr>
      <w:r>
        <w:rPr>
          <w:rFonts w:ascii="Open Sans" w:hAnsi="Open Sans" w:cs="Open Sans"/>
          <w:sz w:val="20"/>
          <w:szCs w:val="20"/>
        </w:rPr>
        <w:t>Oceanía: Australia</w:t>
      </w:r>
    </w:p>
    <w:p w14:paraId="6AB0CB59" w14:textId="77777777" w:rsidR="00BA0792" w:rsidRDefault="00BA0792" w:rsidP="00BA0792">
      <w:pPr>
        <w:jc w:val="both"/>
        <w:rPr>
          <w:rFonts w:ascii="Open Sans" w:hAnsi="Open Sans" w:cs="Open Sans"/>
          <w:sz w:val="20"/>
          <w:szCs w:val="20"/>
        </w:rPr>
      </w:pPr>
    </w:p>
    <w:p w14:paraId="1B760B1F" w14:textId="77777777" w:rsidR="00BA0792" w:rsidRPr="00FA612E" w:rsidRDefault="00BA0792" w:rsidP="00BA0792">
      <w:pPr>
        <w:jc w:val="both"/>
        <w:rPr>
          <w:rFonts w:ascii="Open Sans" w:hAnsi="Open Sans" w:cs="Open Sans"/>
          <w:sz w:val="20"/>
          <w:szCs w:val="20"/>
        </w:rPr>
      </w:pPr>
      <w:r>
        <w:rPr>
          <w:rFonts w:ascii="Open Sans" w:hAnsi="Open Sans" w:cs="Open Sans"/>
          <w:sz w:val="20"/>
          <w:szCs w:val="20"/>
        </w:rPr>
        <w:t xml:space="preserve">Además, a través de su actividad comercial tiene presencia en más de 100 países, pero Grifols no indica de manera clara, ni en su web ni en otro documento público, un listado de los países en los que tiene actividad comercial. </w:t>
      </w:r>
    </w:p>
    <w:p w14:paraId="1A956C6C" w14:textId="77777777" w:rsidR="00BA0792" w:rsidRDefault="00BA0792" w:rsidP="00BA0792">
      <w:pPr>
        <w:jc w:val="both"/>
        <w:rPr>
          <w:rFonts w:ascii="Open Sans" w:hAnsi="Open Sans" w:cs="Arial"/>
          <w:b/>
          <w:sz w:val="20"/>
          <w:szCs w:val="20"/>
        </w:rPr>
      </w:pPr>
    </w:p>
    <w:p w14:paraId="716D1BA3" w14:textId="77777777" w:rsidR="00BA0792" w:rsidRPr="00EE1EF7" w:rsidRDefault="00BA0792" w:rsidP="00BA0792">
      <w:pPr>
        <w:jc w:val="both"/>
        <w:rPr>
          <w:rFonts w:ascii="Open Sans" w:hAnsi="Open Sans" w:cs="Arial"/>
          <w:sz w:val="20"/>
          <w:szCs w:val="20"/>
        </w:rPr>
      </w:pPr>
    </w:p>
    <w:p w14:paraId="01CA2318" w14:textId="77777777" w:rsidR="00BA0792" w:rsidRDefault="00BA0792" w:rsidP="00BA0792">
      <w:pPr>
        <w:jc w:val="both"/>
        <w:rPr>
          <w:rFonts w:ascii="Open Sans" w:hAnsi="Open Sans" w:cs="Arial"/>
          <w:sz w:val="20"/>
          <w:szCs w:val="20"/>
          <w:u w:val="single"/>
        </w:rPr>
      </w:pPr>
      <w:r>
        <w:rPr>
          <w:rFonts w:ascii="Open Sans" w:hAnsi="Open Sans" w:cs="Arial"/>
          <w:sz w:val="20"/>
          <w:szCs w:val="20"/>
          <w:u w:val="single"/>
        </w:rPr>
        <w:t>Cifras relevantes de la empresa:</w:t>
      </w:r>
    </w:p>
    <w:p w14:paraId="42B11255" w14:textId="77777777" w:rsidR="00BA0792" w:rsidRDefault="00BA0792" w:rsidP="00BA0792">
      <w:pPr>
        <w:jc w:val="both"/>
        <w:rPr>
          <w:rFonts w:ascii="Open Sans" w:hAnsi="Open Sans" w:cs="Arial"/>
          <w:sz w:val="20"/>
          <w:szCs w:val="20"/>
          <w:u w:val="single"/>
        </w:rPr>
      </w:pPr>
    </w:p>
    <w:p w14:paraId="1E190CB8" w14:textId="77777777" w:rsidR="00BA0792" w:rsidRDefault="00BA0792" w:rsidP="00BA0792">
      <w:pPr>
        <w:jc w:val="both"/>
        <w:rPr>
          <w:rFonts w:ascii="Open Sans" w:hAnsi="Open Sans" w:cs="Arial"/>
          <w:sz w:val="20"/>
          <w:szCs w:val="20"/>
        </w:rPr>
      </w:pPr>
      <w:r>
        <w:rPr>
          <w:rFonts w:ascii="Open Sans" w:hAnsi="Open Sans" w:cs="Arial"/>
          <w:sz w:val="20"/>
          <w:szCs w:val="20"/>
        </w:rPr>
        <w:t>Grifols</w:t>
      </w:r>
      <w:r w:rsidRPr="009E6F04">
        <w:rPr>
          <w:rFonts w:ascii="Open Sans" w:hAnsi="Open Sans" w:cs="Arial"/>
          <w:sz w:val="20"/>
          <w:szCs w:val="20"/>
        </w:rPr>
        <w:t xml:space="preserve"> ha obtenido </w:t>
      </w:r>
      <w:r>
        <w:rPr>
          <w:rFonts w:ascii="Open Sans" w:hAnsi="Open Sans" w:cs="Arial"/>
          <w:sz w:val="20"/>
          <w:szCs w:val="20"/>
        </w:rPr>
        <w:t>unos ingresos netos</w:t>
      </w:r>
      <w:r w:rsidRPr="009E6F04">
        <w:rPr>
          <w:rFonts w:ascii="Open Sans" w:hAnsi="Open Sans" w:cs="Arial"/>
          <w:sz w:val="20"/>
          <w:szCs w:val="20"/>
        </w:rPr>
        <w:t xml:space="preserve"> en 2015 de </w:t>
      </w:r>
      <w:r w:rsidRPr="0073425D">
        <w:rPr>
          <w:rFonts w:ascii="Open Sans" w:hAnsi="Open Sans" w:cs="Arial"/>
          <w:sz w:val="20"/>
          <w:szCs w:val="20"/>
        </w:rPr>
        <w:t>3.934,6</w:t>
      </w:r>
      <w:r>
        <w:rPr>
          <w:rFonts w:ascii="Open Sans" w:hAnsi="Open Sans" w:cs="Arial"/>
          <w:sz w:val="20"/>
          <w:szCs w:val="20"/>
        </w:rPr>
        <w:t xml:space="preserve"> millones de euros lo que le ha generado unos beneficios antes de impuestos al grupo consolidado de 690,2 millones de euros.</w:t>
      </w:r>
    </w:p>
    <w:p w14:paraId="42099E0C" w14:textId="77777777" w:rsidR="00BA0792" w:rsidRDefault="00BA0792" w:rsidP="00BA0792">
      <w:pPr>
        <w:jc w:val="both"/>
        <w:rPr>
          <w:rFonts w:ascii="Open Sans" w:hAnsi="Open Sans" w:cs="Arial"/>
          <w:sz w:val="20"/>
          <w:szCs w:val="20"/>
        </w:rPr>
      </w:pPr>
    </w:p>
    <w:p w14:paraId="06011CD6" w14:textId="77777777" w:rsidR="00BA0792" w:rsidRPr="00B6285B" w:rsidRDefault="00BA0792" w:rsidP="00BA0792">
      <w:pPr>
        <w:jc w:val="both"/>
        <w:rPr>
          <w:rFonts w:ascii="Open Sans" w:hAnsi="Open Sans" w:cs="Arial"/>
          <w:sz w:val="20"/>
          <w:szCs w:val="20"/>
        </w:rPr>
      </w:pPr>
      <w:r w:rsidRPr="009E6F04">
        <w:rPr>
          <w:rFonts w:ascii="Open Sans" w:hAnsi="Open Sans" w:cs="Arial"/>
          <w:sz w:val="20"/>
          <w:szCs w:val="20"/>
        </w:rPr>
        <w:t xml:space="preserve">Al </w:t>
      </w:r>
      <w:r>
        <w:rPr>
          <w:rFonts w:ascii="Open Sans" w:hAnsi="Open Sans" w:cs="Arial"/>
          <w:sz w:val="20"/>
          <w:szCs w:val="20"/>
        </w:rPr>
        <w:t xml:space="preserve">cierre del ejercicio 2015  </w:t>
      </w:r>
      <w:r w:rsidRPr="009E6F04">
        <w:rPr>
          <w:rFonts w:ascii="Open Sans" w:hAnsi="Open Sans" w:cs="Arial"/>
          <w:sz w:val="20"/>
          <w:szCs w:val="20"/>
        </w:rPr>
        <w:t xml:space="preserve">el grupo cuenta con un total de </w:t>
      </w:r>
      <w:r w:rsidRPr="007B2B76">
        <w:rPr>
          <w:rFonts w:ascii="Open Sans" w:hAnsi="Open Sans" w:cs="Arial"/>
          <w:sz w:val="20"/>
          <w:szCs w:val="20"/>
        </w:rPr>
        <w:t>14.749</w:t>
      </w:r>
      <w:r>
        <w:rPr>
          <w:rFonts w:ascii="Open Sans" w:hAnsi="Open Sans" w:cs="Arial"/>
          <w:sz w:val="20"/>
          <w:szCs w:val="20"/>
        </w:rPr>
        <w:t xml:space="preserve"> </w:t>
      </w:r>
      <w:r w:rsidRPr="009E6F04">
        <w:rPr>
          <w:rFonts w:ascii="Open Sans" w:hAnsi="Open Sans" w:cs="Arial"/>
          <w:sz w:val="20"/>
          <w:szCs w:val="20"/>
        </w:rPr>
        <w:t>empleados.</w:t>
      </w:r>
    </w:p>
    <w:p w14:paraId="73BBF57C" w14:textId="77777777" w:rsidR="00BA0792" w:rsidRDefault="00BA0792" w:rsidP="00BA0792">
      <w:pPr>
        <w:jc w:val="both"/>
        <w:rPr>
          <w:rFonts w:ascii="Open Sans" w:hAnsi="Open Sans" w:cs="Arial"/>
          <w:sz w:val="20"/>
          <w:szCs w:val="20"/>
          <w:u w:val="single"/>
        </w:rPr>
      </w:pPr>
    </w:p>
    <w:p w14:paraId="0CC59BA6" w14:textId="77777777" w:rsidR="00BA0792" w:rsidRPr="00EE1EF7" w:rsidRDefault="00BA0792" w:rsidP="00BA0792">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13F0DDB0" w14:textId="77777777" w:rsidR="00BA0792" w:rsidRPr="00EE1EF7" w:rsidRDefault="00BA0792" w:rsidP="00BA0792">
      <w:pPr>
        <w:jc w:val="both"/>
        <w:rPr>
          <w:rFonts w:ascii="Open Sans" w:hAnsi="Open Sans" w:cs="Arial"/>
          <w:sz w:val="20"/>
          <w:szCs w:val="20"/>
          <w:u w:val="single"/>
        </w:rPr>
      </w:pPr>
    </w:p>
    <w:p w14:paraId="1A756D20" w14:textId="77777777" w:rsidR="00BA0792" w:rsidRPr="00EE1EF7" w:rsidRDefault="00BA0792" w:rsidP="00BA0792">
      <w:pPr>
        <w:jc w:val="both"/>
        <w:rPr>
          <w:rFonts w:ascii="Open Sans" w:hAnsi="Open Sans" w:cs="Arial"/>
          <w:sz w:val="20"/>
          <w:szCs w:val="20"/>
        </w:rPr>
      </w:pPr>
      <w:r>
        <w:rPr>
          <w:rFonts w:ascii="Open Sans" w:hAnsi="Open Sans" w:cs="Arial"/>
          <w:sz w:val="20"/>
          <w:szCs w:val="20"/>
        </w:rPr>
        <w:t>Grifols no</w:t>
      </w:r>
      <w:r w:rsidRPr="00EE1EF7">
        <w:rPr>
          <w:rFonts w:ascii="Open Sans" w:hAnsi="Open Sans" w:cs="Arial"/>
          <w:sz w:val="20"/>
          <w:szCs w:val="20"/>
        </w:rPr>
        <w:t xml:space="preserve"> informa</w:t>
      </w:r>
      <w:r>
        <w:rPr>
          <w:rFonts w:ascii="Open Sans" w:hAnsi="Open Sans" w:cs="Arial"/>
          <w:sz w:val="20"/>
          <w:szCs w:val="20"/>
        </w:rPr>
        <w:t xml:space="preserve"> de</w:t>
      </w:r>
      <w:r w:rsidRPr="00EE1EF7">
        <w:rPr>
          <w:rFonts w:ascii="Open Sans" w:hAnsi="Open Sans" w:cs="Arial"/>
          <w:sz w:val="20"/>
          <w:szCs w:val="20"/>
        </w:rPr>
        <w:t xml:space="preserve"> que se ha</w:t>
      </w:r>
      <w:r>
        <w:rPr>
          <w:rFonts w:ascii="Open Sans" w:hAnsi="Open Sans" w:cs="Arial"/>
          <w:sz w:val="20"/>
          <w:szCs w:val="20"/>
        </w:rPr>
        <w:t>ya</w:t>
      </w:r>
      <w:r w:rsidRPr="00EE1EF7">
        <w:rPr>
          <w:rFonts w:ascii="Open Sans" w:hAnsi="Open Sans" w:cs="Arial"/>
          <w:sz w:val="20"/>
          <w:szCs w:val="20"/>
        </w:rPr>
        <w:t xml:space="preserve"> adherido voluntariamente</w:t>
      </w:r>
      <w:r>
        <w:rPr>
          <w:rFonts w:ascii="Open Sans" w:hAnsi="Open Sans" w:cs="Arial"/>
          <w:sz w:val="20"/>
          <w:szCs w:val="20"/>
        </w:rPr>
        <w:t xml:space="preserve"> a</w:t>
      </w:r>
      <w:r w:rsidRPr="00EE1EF7">
        <w:rPr>
          <w:rFonts w:ascii="Open Sans" w:hAnsi="Open Sans" w:cs="Arial"/>
          <w:sz w:val="20"/>
          <w:szCs w:val="20"/>
        </w:rPr>
        <w:t xml:space="preserve"> estándares relacionados con contenidos y sistemas de gestión de </w:t>
      </w:r>
      <w:r>
        <w:rPr>
          <w:rFonts w:ascii="Open Sans" w:hAnsi="Open Sans" w:cs="Arial"/>
          <w:sz w:val="20"/>
          <w:szCs w:val="20"/>
        </w:rPr>
        <w:t>fiscalidad responsable.</w:t>
      </w:r>
    </w:p>
    <w:p w14:paraId="25E82358" w14:textId="77777777" w:rsidR="00BA0792" w:rsidRPr="00EE1EF7" w:rsidRDefault="00BA0792" w:rsidP="00BA0792">
      <w:pPr>
        <w:jc w:val="both"/>
        <w:rPr>
          <w:rFonts w:ascii="Open Sans" w:hAnsi="Open Sans" w:cs="Arial"/>
          <w:sz w:val="20"/>
          <w:szCs w:val="20"/>
          <w:u w:val="single"/>
        </w:rPr>
      </w:pPr>
    </w:p>
    <w:p w14:paraId="55A09BB8" w14:textId="77777777" w:rsidR="00BA0792" w:rsidRPr="00EE1EF7" w:rsidRDefault="00BA0792" w:rsidP="00BA0792">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0D82B6E4" w14:textId="77777777" w:rsidR="00BA0792" w:rsidRPr="00EE1EF7" w:rsidRDefault="00BA0792" w:rsidP="00BA0792">
      <w:pPr>
        <w:ind w:firstLine="709"/>
        <w:jc w:val="both"/>
        <w:rPr>
          <w:rFonts w:ascii="Open Sans" w:hAnsi="Open Sans" w:cs="Arial"/>
          <w:sz w:val="20"/>
          <w:szCs w:val="20"/>
        </w:rPr>
      </w:pPr>
    </w:p>
    <w:p w14:paraId="6AAF0285" w14:textId="77777777" w:rsidR="00BA0792" w:rsidRPr="00EE1EF7" w:rsidRDefault="00BA0792" w:rsidP="00BA0792">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5700A346" w14:textId="77777777" w:rsidR="00BA0792" w:rsidRPr="00732FD5" w:rsidRDefault="00BA0792" w:rsidP="00BA0792">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BA0792" w:rsidRPr="00732FD5" w14:paraId="47998001" w14:textId="77777777" w:rsidTr="006E3A41">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4E84910A" w14:textId="77777777" w:rsidR="00BA0792" w:rsidRPr="00732FD5" w:rsidRDefault="00BA0792" w:rsidP="006E3A41">
            <w:pPr>
              <w:jc w:val="center"/>
              <w:rPr>
                <w:rFonts w:ascii="Open Sans" w:hAnsi="Open Sans" w:cs="Arial"/>
                <w:b/>
                <w:sz w:val="20"/>
                <w:szCs w:val="22"/>
              </w:rPr>
            </w:pPr>
            <w:r w:rsidRPr="00732FD5">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EBD19F4" w14:textId="77777777" w:rsidR="00BA0792" w:rsidRPr="00732FD5" w:rsidRDefault="00BA0792" w:rsidP="006E3A41">
            <w:pPr>
              <w:jc w:val="center"/>
              <w:rPr>
                <w:rFonts w:ascii="Open Sans" w:hAnsi="Open Sans" w:cs="Arial"/>
                <w:b/>
                <w:sz w:val="20"/>
                <w:szCs w:val="22"/>
              </w:rPr>
            </w:pPr>
            <w:r w:rsidRPr="00732FD5">
              <w:rPr>
                <w:rFonts w:ascii="Open Sans" w:hAnsi="Open Sans" w:cs="Arial"/>
                <w:b/>
                <w:sz w:val="20"/>
                <w:szCs w:val="22"/>
              </w:rPr>
              <w:t>OBSERVACIONES</w:t>
            </w:r>
          </w:p>
        </w:tc>
      </w:tr>
      <w:tr w:rsidR="00BA0792" w:rsidRPr="00732FD5" w14:paraId="153C026D" w14:textId="77777777" w:rsidTr="006E3A41">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6D08273" w14:textId="77777777" w:rsidR="00BA0792" w:rsidRPr="004816F8" w:rsidRDefault="00BA0792" w:rsidP="006E3A41">
            <w:pPr>
              <w:rPr>
                <w:rFonts w:ascii="Open Sans" w:hAnsi="Open Sans" w:cs="Arial"/>
                <w:color w:val="000000"/>
                <w:sz w:val="20"/>
                <w:szCs w:val="20"/>
              </w:rPr>
            </w:pPr>
            <w:r w:rsidRPr="004816F8">
              <w:rPr>
                <w:rFonts w:ascii="Open Sans" w:hAnsi="Open Sans" w:cs="Arial"/>
                <w:color w:val="000000"/>
                <w:sz w:val="20"/>
                <w:szCs w:val="20"/>
              </w:rPr>
              <w:t>Informe Anual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82958AE" w14:textId="77777777" w:rsidR="00BA0792" w:rsidRPr="004816F8" w:rsidRDefault="00BA0792" w:rsidP="006E3A41">
            <w:pPr>
              <w:rPr>
                <w:rFonts w:ascii="Open Sans" w:hAnsi="Open Sans" w:cs="Arial"/>
                <w:color w:val="000000"/>
                <w:sz w:val="20"/>
                <w:szCs w:val="20"/>
              </w:rPr>
            </w:pPr>
            <w:r w:rsidRPr="004816F8">
              <w:rPr>
                <w:rFonts w:ascii="Open Sans" w:hAnsi="Open Sans" w:cs="Arial"/>
                <w:color w:val="000000"/>
                <w:sz w:val="20"/>
                <w:szCs w:val="20"/>
              </w:rPr>
              <w:t> </w:t>
            </w:r>
          </w:p>
        </w:tc>
      </w:tr>
      <w:tr w:rsidR="00BA0792" w:rsidRPr="00732FD5" w14:paraId="7DDCAC56" w14:textId="77777777" w:rsidTr="006E3A41">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A35C2B3" w14:textId="77777777" w:rsidR="00BA0792" w:rsidRPr="004816F8" w:rsidRDefault="00BA0792" w:rsidP="006E3A41">
            <w:pPr>
              <w:rPr>
                <w:rFonts w:ascii="Open Sans" w:hAnsi="Open Sans" w:cs="Arial"/>
                <w:color w:val="000000"/>
                <w:sz w:val="20"/>
                <w:szCs w:val="20"/>
              </w:rPr>
            </w:pPr>
            <w:r w:rsidRPr="004816F8">
              <w:rPr>
                <w:rFonts w:ascii="Open Sans" w:hAnsi="Open Sans" w:cs="Arial"/>
                <w:color w:val="000000"/>
                <w:sz w:val="20"/>
                <w:szCs w:val="20"/>
              </w:rPr>
              <w:t>Cuentas anuales consolidadas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B7B2239" w14:textId="77777777" w:rsidR="00BA0792" w:rsidRPr="004816F8" w:rsidRDefault="00BA0792" w:rsidP="006E3A41">
            <w:pPr>
              <w:rPr>
                <w:rFonts w:ascii="Open Sans" w:hAnsi="Open Sans" w:cs="Arial"/>
                <w:color w:val="000000"/>
                <w:sz w:val="20"/>
                <w:szCs w:val="20"/>
              </w:rPr>
            </w:pPr>
            <w:r w:rsidRPr="004816F8">
              <w:rPr>
                <w:rFonts w:ascii="Open Sans" w:hAnsi="Open Sans" w:cs="Arial"/>
                <w:color w:val="000000"/>
                <w:sz w:val="20"/>
                <w:szCs w:val="20"/>
              </w:rPr>
              <w:t> </w:t>
            </w:r>
          </w:p>
        </w:tc>
      </w:tr>
      <w:tr w:rsidR="00BA0792" w:rsidRPr="00732FD5" w14:paraId="3C5112EF" w14:textId="77777777" w:rsidTr="006E3A41">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5CC51F6"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Informe de gestión consolidado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A710170"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 </w:t>
            </w:r>
          </w:p>
        </w:tc>
      </w:tr>
      <w:tr w:rsidR="00BA0792" w:rsidRPr="00732FD5" w14:paraId="11DDD5C2"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D502E39"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Informe Anual de Gobierno Corporativo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5809FA8D"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 </w:t>
            </w:r>
          </w:p>
        </w:tc>
      </w:tr>
      <w:tr w:rsidR="00BA0792" w:rsidRPr="00732FD5" w14:paraId="3A7B146F"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65E217D"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Política de cumplimiento y buenas prácticas en materia fiscal</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643759C0"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 xml:space="preserve">10 de diciembre de 2015 </w:t>
            </w:r>
          </w:p>
        </w:tc>
      </w:tr>
      <w:tr w:rsidR="00BA0792" w:rsidRPr="00732FD5" w14:paraId="2FD020BA"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ECBBF91"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Reglamento del Consejo de Administración</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0980DDF8" w14:textId="77777777" w:rsidR="00BA0792" w:rsidRPr="004816F8" w:rsidRDefault="00BA0792" w:rsidP="006E3A41">
            <w:pPr>
              <w:rPr>
                <w:rFonts w:ascii="Open Sans" w:hAnsi="Open Sans"/>
                <w:color w:val="000000"/>
                <w:sz w:val="20"/>
                <w:szCs w:val="20"/>
              </w:rPr>
            </w:pPr>
            <w:r>
              <w:rPr>
                <w:rFonts w:ascii="Open Sans" w:hAnsi="Open Sans"/>
                <w:color w:val="000000"/>
                <w:sz w:val="20"/>
                <w:szCs w:val="20"/>
              </w:rPr>
              <w:t>Aprobado</w:t>
            </w:r>
            <w:r w:rsidRPr="004816F8">
              <w:rPr>
                <w:rFonts w:ascii="Open Sans" w:hAnsi="Open Sans"/>
                <w:color w:val="000000"/>
                <w:sz w:val="20"/>
                <w:szCs w:val="20"/>
              </w:rPr>
              <w:t xml:space="preserve"> el 31 de marzo de 2015.</w:t>
            </w:r>
          </w:p>
        </w:tc>
      </w:tr>
      <w:tr w:rsidR="00BA0792" w:rsidRPr="00732FD5" w14:paraId="04759CA4"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5E844ACC"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Informe de funcionamiento del comité de auditoría</w:t>
            </w:r>
            <w:r>
              <w:rPr>
                <w:rFonts w:ascii="Open Sans" w:hAnsi="Open Sans"/>
                <w:color w:val="000000"/>
                <w:sz w:val="20"/>
                <w:szCs w:val="20"/>
              </w:rPr>
              <w:t xml:space="preserve"> correspondiente al ejercicio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4365C0A"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 </w:t>
            </w:r>
          </w:p>
        </w:tc>
      </w:tr>
      <w:tr w:rsidR="00BA0792" w:rsidRPr="00732FD5" w14:paraId="5804E074"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2F06EB1D"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Estatutos del Comité de Auditoría</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37767F78"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Actualización 31 de marzo de 2015</w:t>
            </w:r>
          </w:p>
        </w:tc>
      </w:tr>
      <w:tr w:rsidR="00BA0792" w:rsidRPr="00732FD5" w14:paraId="48758CE2"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4E23B561"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Código de conducta</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4AF23203"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Aprobado octubre 2012.</w:t>
            </w:r>
          </w:p>
        </w:tc>
      </w:tr>
      <w:tr w:rsidR="00BA0792" w:rsidRPr="00732FD5" w14:paraId="79E449A8" w14:textId="77777777" w:rsidTr="006E3A41">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0AA943D"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Política anticorrupción</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0B05D5B5" w14:textId="77777777" w:rsidR="00BA0792" w:rsidRPr="004816F8" w:rsidRDefault="00BA0792" w:rsidP="006E3A41">
            <w:pPr>
              <w:rPr>
                <w:rFonts w:ascii="Open Sans" w:hAnsi="Open Sans"/>
                <w:color w:val="000000"/>
                <w:sz w:val="20"/>
                <w:szCs w:val="20"/>
              </w:rPr>
            </w:pPr>
            <w:r w:rsidRPr="004816F8">
              <w:rPr>
                <w:rFonts w:ascii="Open Sans" w:hAnsi="Open Sans"/>
                <w:color w:val="000000"/>
                <w:sz w:val="20"/>
                <w:szCs w:val="20"/>
              </w:rPr>
              <w:t>Actualización octubre 2015</w:t>
            </w:r>
          </w:p>
        </w:tc>
      </w:tr>
    </w:tbl>
    <w:p w14:paraId="45EAA81E" w14:textId="77777777" w:rsidR="00BA0792" w:rsidRPr="00732FD5" w:rsidRDefault="00BA0792" w:rsidP="00BA0792">
      <w:pPr>
        <w:jc w:val="both"/>
        <w:rPr>
          <w:rFonts w:ascii="Open Sans" w:hAnsi="Open Sans" w:cs="Arial"/>
          <w:b/>
        </w:rPr>
      </w:pPr>
    </w:p>
    <w:p w14:paraId="56406AED" w14:textId="77777777" w:rsidR="00BA0792" w:rsidRDefault="00BA0792" w:rsidP="00BA0792">
      <w:pPr>
        <w:rPr>
          <w:rFonts w:ascii="Open Sans" w:hAnsi="Open Sans" w:cs="Arial"/>
          <w:b/>
        </w:rPr>
      </w:pPr>
      <w:r>
        <w:rPr>
          <w:rFonts w:ascii="Open Sans" w:hAnsi="Open Sans" w:cs="Arial"/>
          <w:b/>
        </w:rPr>
        <w:br w:type="page"/>
      </w:r>
    </w:p>
    <w:p w14:paraId="0052F2BF" w14:textId="77777777" w:rsidR="00BA0792" w:rsidRPr="00732FD5" w:rsidRDefault="00BA0792" w:rsidP="00BA0792">
      <w:pPr>
        <w:jc w:val="both"/>
        <w:rPr>
          <w:rFonts w:ascii="Open Sans" w:hAnsi="Open Sans" w:cs="Arial"/>
          <w:b/>
        </w:rPr>
      </w:pPr>
    </w:p>
    <w:p w14:paraId="09374B67" w14:textId="77777777" w:rsidR="00BA0792" w:rsidRPr="00EE1EF7" w:rsidRDefault="00BA0792" w:rsidP="00BA0792">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295462DF" w14:textId="77777777" w:rsidR="00BA0792" w:rsidRDefault="00BA0792" w:rsidP="00BA0792">
      <w:pPr>
        <w:rPr>
          <w:rFonts w:ascii="Open Sans" w:hAnsi="Open Sans" w:cs="Arial"/>
          <w:b/>
          <w:color w:val="FF0000"/>
          <w:sz w:val="22"/>
          <w:szCs w:val="22"/>
        </w:rPr>
      </w:pPr>
    </w:p>
    <w:p w14:paraId="2561CC90" w14:textId="77777777" w:rsidR="00BA0792" w:rsidRDefault="00BA0792" w:rsidP="00BA0792">
      <w:pPr>
        <w:rPr>
          <w:rFonts w:ascii="Open Sans" w:hAnsi="Open Sans" w:cs="Arial"/>
          <w:b/>
          <w:color w:val="FF0000"/>
          <w:sz w:val="22"/>
          <w:szCs w:val="22"/>
        </w:rPr>
      </w:pPr>
    </w:p>
    <w:p w14:paraId="33F16673" w14:textId="77777777" w:rsidR="00BA0792" w:rsidRPr="007829A9" w:rsidRDefault="00BA0792" w:rsidP="00BA0792">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4EF41977" w14:textId="77777777" w:rsidR="00BA0792" w:rsidRPr="00732FD5" w:rsidRDefault="00BA0792" w:rsidP="00BA0792">
      <w:pPr>
        <w:rPr>
          <w:rFonts w:ascii="Open Sans" w:hAnsi="Open Sans" w:cs="Arial"/>
          <w:b/>
        </w:rPr>
      </w:pPr>
    </w:p>
    <w:p w14:paraId="0581B799" w14:textId="77777777" w:rsidR="00BA0792" w:rsidRDefault="00BA0792" w:rsidP="00BA0792">
      <w:pPr>
        <w:jc w:val="center"/>
      </w:pPr>
      <w:r w:rsidRPr="00BD1CE9">
        <w:rPr>
          <w:noProof/>
          <w:lang w:val="es-ES"/>
        </w:rPr>
        <w:drawing>
          <wp:inline distT="0" distB="0" distL="0" distR="0" wp14:anchorId="5F24516C" wp14:editId="0F5481C4">
            <wp:extent cx="3686175" cy="1828800"/>
            <wp:effectExtent l="0" t="0" r="9525"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5C6D1DC8" w14:textId="77777777" w:rsidR="00BA0792" w:rsidRDefault="00BA0792" w:rsidP="00BA0792">
      <w:pPr>
        <w:jc w:val="both"/>
      </w:pPr>
    </w:p>
    <w:p w14:paraId="611C5A25" w14:textId="77777777" w:rsidR="00BA0792" w:rsidRDefault="00BA0792" w:rsidP="00BA0792">
      <w:pPr>
        <w:jc w:val="both"/>
      </w:pPr>
    </w:p>
    <w:p w14:paraId="17BB2B24" w14:textId="77777777" w:rsidR="00BA0792" w:rsidRPr="00732FD5" w:rsidRDefault="00BA0792" w:rsidP="00BA0792">
      <w:pPr>
        <w:jc w:val="center"/>
        <w:rPr>
          <w:rFonts w:ascii="Open Sans" w:hAnsi="Open Sans" w:cs="Arial"/>
          <w:b/>
        </w:rPr>
      </w:pPr>
    </w:p>
    <w:p w14:paraId="0272B490" w14:textId="77777777" w:rsidR="00BA0792" w:rsidRPr="00732FD5" w:rsidRDefault="00BA0792" w:rsidP="00BA0792">
      <w:pPr>
        <w:jc w:val="center"/>
        <w:rPr>
          <w:rFonts w:ascii="Open Sans" w:hAnsi="Open Sans" w:cs="Arial"/>
          <w:b/>
        </w:rPr>
      </w:pPr>
    </w:p>
    <w:p w14:paraId="0585996F" w14:textId="77777777" w:rsidR="00BA0792" w:rsidRPr="00EE1EF7" w:rsidRDefault="00BA0792" w:rsidP="00BA0792">
      <w:pPr>
        <w:jc w:val="both"/>
        <w:rPr>
          <w:rFonts w:ascii="Open Sans" w:hAnsi="Open Sans" w:cs="Arial"/>
          <w:b/>
          <w:sz w:val="22"/>
          <w:szCs w:val="22"/>
        </w:rPr>
      </w:pPr>
      <w:r w:rsidRPr="00EE1EF7">
        <w:rPr>
          <w:rFonts w:ascii="Open Sans" w:hAnsi="Open Sans" w:cs="Arial"/>
          <w:b/>
          <w:sz w:val="22"/>
          <w:szCs w:val="22"/>
          <w:u w:val="single"/>
        </w:rPr>
        <w:t>3. Contexto general</w:t>
      </w:r>
    </w:p>
    <w:p w14:paraId="715BF5BD" w14:textId="77777777" w:rsidR="00BA0792" w:rsidRDefault="00BA0792" w:rsidP="00BA0792">
      <w:pPr>
        <w:jc w:val="both"/>
        <w:rPr>
          <w:rFonts w:ascii="Open Sans" w:hAnsi="Open Sans" w:cs="Arial"/>
          <w:b/>
        </w:rPr>
      </w:pPr>
    </w:p>
    <w:p w14:paraId="6FEF5041" w14:textId="77777777" w:rsidR="00BA0792" w:rsidRDefault="00BA0792" w:rsidP="00BA0792">
      <w:pPr>
        <w:jc w:val="both"/>
        <w:rPr>
          <w:rFonts w:ascii="Open Sans" w:hAnsi="Open Sans" w:cs="Open Sans"/>
          <w:sz w:val="20"/>
          <w:szCs w:val="20"/>
        </w:rPr>
      </w:pPr>
      <w:r>
        <w:rPr>
          <w:rFonts w:ascii="Open Sans" w:hAnsi="Open Sans" w:cs="Open Sans"/>
          <w:sz w:val="20"/>
          <w:szCs w:val="20"/>
        </w:rPr>
        <w:t xml:space="preserve">Grifols es una empresa multinacional especializada en el sector farmacéutico y hospitalario. Desarrolla, produce y comercializa diferentes líneas de negocio: </w:t>
      </w:r>
    </w:p>
    <w:p w14:paraId="4AE6C13A" w14:textId="77777777" w:rsidR="00BA0792" w:rsidRDefault="00BA0792" w:rsidP="00BA0792">
      <w:pPr>
        <w:jc w:val="both"/>
        <w:rPr>
          <w:rFonts w:ascii="Open Sans" w:hAnsi="Open Sans" w:cs="Open Sans"/>
          <w:sz w:val="20"/>
          <w:szCs w:val="20"/>
        </w:rPr>
      </w:pPr>
    </w:p>
    <w:p w14:paraId="118FB267" w14:textId="77777777" w:rsidR="00BA0792" w:rsidRPr="00B6285B" w:rsidRDefault="00BA0792" w:rsidP="00BA0792">
      <w:pPr>
        <w:pStyle w:val="Prrafodelista"/>
        <w:numPr>
          <w:ilvl w:val="0"/>
          <w:numId w:val="12"/>
        </w:numPr>
        <w:jc w:val="both"/>
        <w:rPr>
          <w:rFonts w:ascii="Open Sans" w:hAnsi="Open Sans" w:cs="Open Sans"/>
          <w:sz w:val="20"/>
          <w:szCs w:val="20"/>
        </w:rPr>
      </w:pPr>
      <w:r w:rsidRPr="00B6285B">
        <w:rPr>
          <w:rFonts w:ascii="Open Sans" w:hAnsi="Open Sans" w:cs="Open Sans"/>
          <w:sz w:val="20"/>
          <w:szCs w:val="20"/>
        </w:rPr>
        <w:t xml:space="preserve">Medicamentos derivados del plasma. Tiene una red de más de 159 centros operativos de donación de plasma en EEUU y cuenta con centros de producción en España y EEUU. Es líder mundial con una cuota de mercado del 18%. </w:t>
      </w:r>
    </w:p>
    <w:p w14:paraId="50BBD536" w14:textId="77777777" w:rsidR="00BA0792" w:rsidRPr="00B6285B" w:rsidRDefault="00BA0792" w:rsidP="00BA0792">
      <w:pPr>
        <w:pStyle w:val="Prrafodelista"/>
        <w:numPr>
          <w:ilvl w:val="0"/>
          <w:numId w:val="12"/>
        </w:numPr>
        <w:jc w:val="both"/>
        <w:rPr>
          <w:rFonts w:ascii="Open Sans" w:hAnsi="Open Sans" w:cs="Open Sans"/>
          <w:sz w:val="20"/>
          <w:szCs w:val="20"/>
        </w:rPr>
      </w:pPr>
      <w:r w:rsidRPr="00B6285B">
        <w:rPr>
          <w:rFonts w:ascii="Open Sans" w:hAnsi="Open Sans" w:cs="Open Sans"/>
          <w:sz w:val="20"/>
          <w:szCs w:val="20"/>
        </w:rPr>
        <w:t xml:space="preserve">Productos de diagnóstico con instalaciones en España, EEUU, Australia y Suiza. </w:t>
      </w:r>
    </w:p>
    <w:p w14:paraId="50EF5082" w14:textId="77777777" w:rsidR="00BA0792" w:rsidRPr="00B6285B" w:rsidRDefault="00BA0792" w:rsidP="00BA0792">
      <w:pPr>
        <w:pStyle w:val="Prrafodelista"/>
        <w:numPr>
          <w:ilvl w:val="0"/>
          <w:numId w:val="12"/>
        </w:numPr>
        <w:jc w:val="both"/>
        <w:rPr>
          <w:rFonts w:ascii="Open Sans" w:hAnsi="Open Sans" w:cs="Open Sans"/>
          <w:sz w:val="20"/>
          <w:szCs w:val="20"/>
        </w:rPr>
      </w:pPr>
      <w:r w:rsidRPr="00B6285B">
        <w:rPr>
          <w:rFonts w:ascii="Open Sans" w:hAnsi="Open Sans" w:cs="Open Sans"/>
          <w:sz w:val="20"/>
          <w:szCs w:val="20"/>
        </w:rPr>
        <w:t xml:space="preserve">Proveedor de farmacia hospitalaria, nutrición clínica y servicios logísticos en España.  </w:t>
      </w:r>
    </w:p>
    <w:p w14:paraId="07F0678B" w14:textId="77777777" w:rsidR="00BA0792" w:rsidRDefault="00BA0792" w:rsidP="00BA0792">
      <w:pPr>
        <w:jc w:val="both"/>
        <w:rPr>
          <w:rFonts w:ascii="Open Sans" w:hAnsi="Open Sans" w:cs="Open Sans"/>
          <w:sz w:val="20"/>
          <w:szCs w:val="20"/>
        </w:rPr>
      </w:pPr>
    </w:p>
    <w:p w14:paraId="2CC0EA95" w14:textId="77777777" w:rsidR="00BA0792" w:rsidRPr="00A13796" w:rsidRDefault="00BA0792" w:rsidP="00BA0792">
      <w:pPr>
        <w:jc w:val="both"/>
        <w:rPr>
          <w:rFonts w:ascii="Open Sans" w:hAnsi="Open Sans" w:cs="Arial"/>
          <w:sz w:val="20"/>
          <w:szCs w:val="20"/>
        </w:rPr>
      </w:pPr>
      <w:r>
        <w:rPr>
          <w:rFonts w:ascii="Open Sans" w:hAnsi="Open Sans" w:cs="Open Sans"/>
          <w:sz w:val="20"/>
          <w:szCs w:val="20"/>
        </w:rPr>
        <w:t>G</w:t>
      </w:r>
      <w:r w:rsidRPr="00F75BC4">
        <w:rPr>
          <w:rFonts w:ascii="Open Sans" w:hAnsi="Open Sans" w:cs="Open Sans"/>
          <w:sz w:val="20"/>
          <w:szCs w:val="20"/>
        </w:rPr>
        <w:t>rif</w:t>
      </w:r>
      <w:r>
        <w:rPr>
          <w:rFonts w:ascii="Open Sans" w:hAnsi="Open Sans" w:cs="Open Sans"/>
          <w:sz w:val="20"/>
          <w:szCs w:val="20"/>
        </w:rPr>
        <w:t>ols ha cerrado el ejercicio 2015</w:t>
      </w:r>
      <w:r w:rsidRPr="00F75BC4">
        <w:rPr>
          <w:rFonts w:ascii="Open Sans" w:hAnsi="Open Sans" w:cs="Open Sans"/>
          <w:sz w:val="20"/>
          <w:szCs w:val="20"/>
        </w:rPr>
        <w:t xml:space="preserve"> con una cifra de negocio que asciende a </w:t>
      </w:r>
      <w:r>
        <w:rPr>
          <w:rFonts w:ascii="Open Sans" w:hAnsi="Open Sans" w:cs="Open Sans"/>
          <w:sz w:val="20"/>
          <w:szCs w:val="20"/>
        </w:rPr>
        <w:t xml:space="preserve">3.934,6 </w:t>
      </w:r>
      <w:r w:rsidRPr="00F75BC4">
        <w:rPr>
          <w:rFonts w:ascii="Open Sans" w:hAnsi="Open Sans" w:cs="Open Sans"/>
          <w:sz w:val="20"/>
          <w:szCs w:val="20"/>
        </w:rPr>
        <w:t xml:space="preserve">millones de euros, un </w:t>
      </w:r>
      <w:r>
        <w:rPr>
          <w:rFonts w:ascii="Open Sans" w:hAnsi="Open Sans" w:cs="Open Sans"/>
          <w:sz w:val="20"/>
          <w:szCs w:val="20"/>
        </w:rPr>
        <w:t>17,3</w:t>
      </w:r>
      <w:r w:rsidRPr="00F75BC4">
        <w:rPr>
          <w:rFonts w:ascii="Open Sans" w:hAnsi="Open Sans" w:cs="Open Sans"/>
          <w:sz w:val="20"/>
          <w:szCs w:val="20"/>
        </w:rPr>
        <w:t xml:space="preserve">% superior al año anterior. </w:t>
      </w:r>
      <w:r>
        <w:rPr>
          <w:rFonts w:ascii="Open Sans" w:hAnsi="Open Sans" w:cs="Open Sans"/>
          <w:sz w:val="20"/>
          <w:szCs w:val="20"/>
        </w:rPr>
        <w:t xml:space="preserve">Los ingresos por segmentos de negocio son Biociencia </w:t>
      </w:r>
      <w:r>
        <w:rPr>
          <w:rFonts w:ascii="Open Sans" w:hAnsi="Open Sans" w:cs="Arial"/>
          <w:sz w:val="20"/>
          <w:szCs w:val="20"/>
        </w:rPr>
        <w:t xml:space="preserve">un </w:t>
      </w:r>
      <w:r w:rsidRPr="00AA7DBD">
        <w:rPr>
          <w:rFonts w:ascii="Open Sans" w:hAnsi="Open Sans" w:cs="Arial"/>
          <w:sz w:val="20"/>
          <w:szCs w:val="20"/>
        </w:rPr>
        <w:t>77,1%</w:t>
      </w:r>
      <w:r>
        <w:rPr>
          <w:rFonts w:ascii="Open Sans" w:hAnsi="Open Sans" w:cs="Arial"/>
          <w:sz w:val="20"/>
          <w:szCs w:val="20"/>
        </w:rPr>
        <w:t xml:space="preserve">, </w:t>
      </w:r>
      <w:r w:rsidRPr="00AA7DBD">
        <w:rPr>
          <w:rFonts w:ascii="Open Sans" w:hAnsi="Open Sans" w:cs="Arial"/>
          <w:sz w:val="20"/>
          <w:szCs w:val="20"/>
        </w:rPr>
        <w:t>Diagnostic</w:t>
      </w:r>
      <w:r>
        <w:rPr>
          <w:rFonts w:ascii="Open Sans" w:hAnsi="Open Sans" w:cs="Arial"/>
          <w:sz w:val="20"/>
          <w:szCs w:val="20"/>
        </w:rPr>
        <w:t>o un</w:t>
      </w:r>
      <w:r w:rsidRPr="00AA7DBD">
        <w:rPr>
          <w:rFonts w:ascii="Open Sans" w:hAnsi="Open Sans" w:cs="Arial"/>
          <w:sz w:val="20"/>
          <w:szCs w:val="20"/>
        </w:rPr>
        <w:t xml:space="preserve"> 17,6%</w:t>
      </w:r>
      <w:r>
        <w:rPr>
          <w:rFonts w:ascii="Open Sans" w:hAnsi="Open Sans" w:cs="Arial"/>
          <w:sz w:val="20"/>
          <w:szCs w:val="20"/>
        </w:rPr>
        <w:t xml:space="preserve">, </w:t>
      </w:r>
      <w:r w:rsidRPr="00AA7DBD">
        <w:rPr>
          <w:rFonts w:ascii="Open Sans" w:hAnsi="Open Sans" w:cs="Arial"/>
          <w:sz w:val="20"/>
          <w:szCs w:val="20"/>
        </w:rPr>
        <w:t>Hospital</w:t>
      </w:r>
      <w:r>
        <w:rPr>
          <w:rFonts w:ascii="Open Sans" w:hAnsi="Open Sans" w:cs="Arial"/>
          <w:sz w:val="20"/>
          <w:szCs w:val="20"/>
        </w:rPr>
        <w:t xml:space="preserve"> el </w:t>
      </w:r>
      <w:r w:rsidRPr="00AA7DBD">
        <w:rPr>
          <w:rFonts w:ascii="Open Sans" w:hAnsi="Open Sans" w:cs="Arial"/>
          <w:sz w:val="20"/>
          <w:szCs w:val="20"/>
        </w:rPr>
        <w:t>2,4%</w:t>
      </w:r>
      <w:r>
        <w:rPr>
          <w:rFonts w:ascii="Open Sans" w:hAnsi="Open Sans" w:cs="Arial"/>
          <w:sz w:val="20"/>
          <w:szCs w:val="20"/>
        </w:rPr>
        <w:t xml:space="preserve"> y Materias primas y otros un </w:t>
      </w:r>
      <w:r w:rsidRPr="00AA7DBD">
        <w:rPr>
          <w:rFonts w:ascii="Open Sans" w:hAnsi="Open Sans" w:cs="Arial"/>
          <w:sz w:val="20"/>
          <w:szCs w:val="20"/>
        </w:rPr>
        <w:t>2,9%</w:t>
      </w:r>
      <w:r>
        <w:rPr>
          <w:rFonts w:ascii="Open Sans" w:hAnsi="Open Sans" w:cs="Arial"/>
          <w:sz w:val="20"/>
          <w:szCs w:val="20"/>
        </w:rPr>
        <w:t xml:space="preserve">. El 95% de sus ingresos proceden de mercados internacionales siendo la distribución por áreas geográficas la siguiente: </w:t>
      </w:r>
      <w:r w:rsidRPr="00A13796">
        <w:rPr>
          <w:rFonts w:ascii="Open Sans" w:hAnsi="Open Sans" w:cs="Arial"/>
          <w:sz w:val="20"/>
          <w:szCs w:val="20"/>
        </w:rPr>
        <w:t>USA + Canadá 63,7%</w:t>
      </w:r>
      <w:r>
        <w:rPr>
          <w:rFonts w:ascii="Open Sans" w:hAnsi="Open Sans" w:cs="Arial"/>
          <w:sz w:val="20"/>
          <w:szCs w:val="20"/>
        </w:rPr>
        <w:t xml:space="preserve">, </w:t>
      </w:r>
      <w:r w:rsidRPr="00A13796">
        <w:rPr>
          <w:rFonts w:ascii="Open Sans" w:hAnsi="Open Sans" w:cs="Arial"/>
          <w:sz w:val="20"/>
          <w:szCs w:val="20"/>
        </w:rPr>
        <w:t>UE 16,8%</w:t>
      </w:r>
      <w:r>
        <w:rPr>
          <w:rFonts w:ascii="Open Sans" w:hAnsi="Open Sans" w:cs="Arial"/>
          <w:sz w:val="20"/>
          <w:szCs w:val="20"/>
        </w:rPr>
        <w:t xml:space="preserve"> y R</w:t>
      </w:r>
      <w:r w:rsidRPr="00A13796">
        <w:rPr>
          <w:rFonts w:ascii="Open Sans" w:hAnsi="Open Sans" w:cs="Arial"/>
          <w:sz w:val="20"/>
          <w:szCs w:val="20"/>
        </w:rPr>
        <w:t>esto del mundo 16,6%</w:t>
      </w:r>
      <w:r>
        <w:rPr>
          <w:rFonts w:ascii="Open Sans" w:hAnsi="Open Sans" w:cs="Arial"/>
          <w:sz w:val="20"/>
          <w:szCs w:val="20"/>
        </w:rPr>
        <w:t>.</w:t>
      </w:r>
    </w:p>
    <w:p w14:paraId="7FF41A9C" w14:textId="77777777" w:rsidR="00BA0792" w:rsidRDefault="00BA0792" w:rsidP="00BA0792">
      <w:pPr>
        <w:jc w:val="both"/>
        <w:rPr>
          <w:rFonts w:ascii="Open Sans" w:hAnsi="Open Sans" w:cs="Arial"/>
          <w:sz w:val="20"/>
          <w:szCs w:val="20"/>
        </w:rPr>
      </w:pPr>
    </w:p>
    <w:p w14:paraId="52ADD39F" w14:textId="77777777" w:rsidR="00BA0792" w:rsidRDefault="00BA0792" w:rsidP="00BA0792">
      <w:pPr>
        <w:jc w:val="both"/>
        <w:rPr>
          <w:rFonts w:ascii="Open Sans" w:hAnsi="Open Sans" w:cs="Arial"/>
          <w:sz w:val="20"/>
          <w:szCs w:val="20"/>
        </w:rPr>
      </w:pPr>
      <w:r>
        <w:rPr>
          <w:rFonts w:ascii="Open Sans" w:hAnsi="Open Sans" w:cs="Arial"/>
          <w:sz w:val="20"/>
          <w:szCs w:val="20"/>
        </w:rPr>
        <w:t xml:space="preserve">La totalidad de las acciones de la entidad cotizan en los cuatro mercados de valores españoles y las acciones sin voto de la clase B cotizan en la bolsa de valores americana NASDAQ desde junio de 2011. </w:t>
      </w:r>
    </w:p>
    <w:p w14:paraId="719C6BD3" w14:textId="77777777" w:rsidR="00BA0792" w:rsidRDefault="00BA0792" w:rsidP="00BA0792">
      <w:pPr>
        <w:jc w:val="both"/>
        <w:rPr>
          <w:rFonts w:ascii="Open Sans" w:hAnsi="Open Sans" w:cs="Arial"/>
          <w:sz w:val="20"/>
          <w:szCs w:val="20"/>
        </w:rPr>
      </w:pPr>
    </w:p>
    <w:p w14:paraId="18E18187" w14:textId="77777777" w:rsidR="00BA0792" w:rsidRDefault="00BA0792" w:rsidP="00BA0792">
      <w:pPr>
        <w:jc w:val="both"/>
        <w:rPr>
          <w:rFonts w:ascii="Open Sans" w:hAnsi="Open Sans" w:cs="Arial"/>
          <w:sz w:val="20"/>
          <w:szCs w:val="20"/>
        </w:rPr>
      </w:pPr>
      <w:r>
        <w:rPr>
          <w:rFonts w:ascii="Open Sans" w:hAnsi="Open Sans" w:cs="Arial"/>
          <w:sz w:val="20"/>
          <w:szCs w:val="20"/>
        </w:rPr>
        <w:t>Grifols en materia fiscal se enfrenta a riesgos derivados de la interpretación de las diferentes normativas tributarias de los países en los que opera, operaciones intragrupo (precios de transferencia, traslado de beneficios entre filiales, etc.),  consolidación de la información fiscal,  de reputación relacionado con el escrutinio público en relación a su fiscalidad</w:t>
      </w:r>
      <w:r>
        <w:rPr>
          <w:rStyle w:val="Refdenotaalpie"/>
          <w:rFonts w:ascii="Open Sans" w:hAnsi="Open Sans" w:cs="Arial"/>
          <w:sz w:val="20"/>
          <w:szCs w:val="20"/>
        </w:rPr>
        <w:footnoteReference w:id="196"/>
      </w:r>
      <w:r>
        <w:rPr>
          <w:rStyle w:val="Refdenotaalpie"/>
          <w:rFonts w:ascii="Open Sans" w:hAnsi="Open Sans" w:cs="Arial"/>
          <w:sz w:val="20"/>
          <w:szCs w:val="20"/>
        </w:rPr>
        <w:footnoteReference w:id="197"/>
      </w:r>
      <w:r>
        <w:rPr>
          <w:rFonts w:ascii="Open Sans" w:hAnsi="Open Sans" w:cs="Arial"/>
          <w:sz w:val="20"/>
          <w:szCs w:val="20"/>
        </w:rPr>
        <w:t>,  adecuación de la gestión la empresarial a las nuevas disposiciones legislativas</w:t>
      </w:r>
      <w:r w:rsidRPr="00E4027B">
        <w:rPr>
          <w:rStyle w:val="Refdenotaalpie"/>
          <w:rFonts w:ascii="Open Sans" w:hAnsi="Open Sans"/>
          <w:sz w:val="20"/>
          <w:szCs w:val="20"/>
        </w:rPr>
        <w:footnoteReference w:id="198"/>
      </w:r>
      <w:r>
        <w:rPr>
          <w:rFonts w:ascii="Open Sans" w:hAnsi="Open Sans" w:cs="Arial"/>
          <w:sz w:val="20"/>
          <w:szCs w:val="20"/>
        </w:rPr>
        <w:t xml:space="preserve"> que incrementa </w:t>
      </w:r>
      <w:r w:rsidRPr="00B556A4">
        <w:rPr>
          <w:rFonts w:ascii="Open Sans" w:hAnsi="Open Sans" w:cs="Arial"/>
          <w:sz w:val="20"/>
          <w:szCs w:val="20"/>
        </w:rPr>
        <w:t>la responsabilidad tributaria de los miembros del consejo de administración que no podrán, en ningún caso, alegar s</w:t>
      </w:r>
      <w:r>
        <w:rPr>
          <w:rFonts w:ascii="Open Sans" w:hAnsi="Open Sans" w:cs="Arial"/>
          <w:sz w:val="20"/>
          <w:szCs w:val="20"/>
        </w:rPr>
        <w:t xml:space="preserve">u ignorancia en estas materias. </w:t>
      </w:r>
    </w:p>
    <w:p w14:paraId="1E32E5E5" w14:textId="77777777" w:rsidR="00BA0792" w:rsidRDefault="00BA0792" w:rsidP="00BA0792">
      <w:pPr>
        <w:jc w:val="both"/>
        <w:rPr>
          <w:rFonts w:ascii="Open Sans" w:hAnsi="Open Sans" w:cs="Arial"/>
          <w:sz w:val="20"/>
          <w:szCs w:val="20"/>
        </w:rPr>
      </w:pPr>
    </w:p>
    <w:p w14:paraId="21AA5178" w14:textId="77777777" w:rsidR="00BA0792" w:rsidRDefault="00BA0792" w:rsidP="00BA0792">
      <w:pPr>
        <w:jc w:val="both"/>
        <w:rPr>
          <w:rFonts w:ascii="Open Sans" w:hAnsi="Open Sans" w:cs="Arial"/>
          <w:sz w:val="20"/>
          <w:szCs w:val="20"/>
        </w:rPr>
      </w:pPr>
      <w:r>
        <w:rPr>
          <w:rFonts w:ascii="Open Sans" w:hAnsi="Open Sans" w:cs="Arial"/>
          <w:sz w:val="20"/>
          <w:szCs w:val="20"/>
        </w:rPr>
        <w:t xml:space="preserve">Durante el ejercicio 2015 </w:t>
      </w:r>
      <w:r w:rsidRPr="001E64F5">
        <w:rPr>
          <w:rFonts w:ascii="Open Sans" w:hAnsi="Open Sans" w:cs="Arial"/>
          <w:sz w:val="20"/>
          <w:szCs w:val="20"/>
        </w:rPr>
        <w:t>Grifols inauguró oficialmente el centro mundial</w:t>
      </w:r>
      <w:r>
        <w:rPr>
          <w:rFonts w:ascii="Open Sans" w:hAnsi="Open Sans" w:cs="Arial"/>
          <w:sz w:val="20"/>
          <w:szCs w:val="20"/>
        </w:rPr>
        <w:t xml:space="preserve"> de operaciones de Dublín (Irlanda) donde ha traslado todas las operaciones de la división Biociencia: actividad logística transnacional de la división, </w:t>
      </w:r>
      <w:r w:rsidRPr="001E64F5">
        <w:rPr>
          <w:rFonts w:ascii="Open Sans" w:hAnsi="Open Sans" w:cs="Arial"/>
          <w:sz w:val="20"/>
          <w:szCs w:val="20"/>
        </w:rPr>
        <w:t>el etiquetado, acondicionamiento y empaquetado de producto final; los trámites regulatorios y aprobaciones finales relacionadas con el suministro de plasma; coordinación de la política comercial, I+D y cadena de suministro. Además, en el nuevo centro se encuentra centralizada la gestión de la tesorería del Grupo, operando como acceso de Grifols a los mercados de capitales.</w:t>
      </w:r>
    </w:p>
    <w:p w14:paraId="1E0422D1" w14:textId="77777777" w:rsidR="00BA0792" w:rsidRDefault="00BA0792" w:rsidP="00BA0792">
      <w:pPr>
        <w:jc w:val="both"/>
        <w:rPr>
          <w:rFonts w:ascii="Open Sans" w:hAnsi="Open Sans" w:cs="Arial"/>
          <w:sz w:val="20"/>
          <w:szCs w:val="20"/>
        </w:rPr>
      </w:pPr>
    </w:p>
    <w:p w14:paraId="1FB86493" w14:textId="77777777" w:rsidR="00BA0792" w:rsidRDefault="00BA0792" w:rsidP="00BA0792">
      <w:pPr>
        <w:jc w:val="both"/>
        <w:rPr>
          <w:rFonts w:ascii="Open Sans" w:hAnsi="Open Sans" w:cs="Arial"/>
          <w:sz w:val="20"/>
          <w:szCs w:val="20"/>
        </w:rPr>
      </w:pPr>
      <w:r>
        <w:rPr>
          <w:rFonts w:ascii="Open Sans" w:hAnsi="Open Sans" w:cs="Arial"/>
          <w:sz w:val="20"/>
          <w:szCs w:val="20"/>
        </w:rPr>
        <w:t xml:space="preserve">Esta decisión ha sido ampliamente criticada en medios de comunicación ya que Irlanda, con su baja fiscalidad, atrae a multinacionales de diferentes sectores pero en especial a la industria farmacéutica principalmente por </w:t>
      </w:r>
      <w:proofErr w:type="gramStart"/>
      <w:r>
        <w:rPr>
          <w:rFonts w:ascii="Open Sans" w:hAnsi="Open Sans" w:cs="Arial"/>
          <w:sz w:val="20"/>
          <w:szCs w:val="20"/>
        </w:rPr>
        <w:t>su ventajas fiscales</w:t>
      </w:r>
      <w:proofErr w:type="gramEnd"/>
      <w:r>
        <w:rPr>
          <w:rStyle w:val="Refdenotaalpie"/>
          <w:rFonts w:ascii="Open Sans" w:hAnsi="Open Sans" w:cs="Arial"/>
          <w:sz w:val="20"/>
          <w:szCs w:val="20"/>
        </w:rPr>
        <w:footnoteReference w:id="199"/>
      </w:r>
      <w:r>
        <w:rPr>
          <w:rFonts w:ascii="Open Sans" w:hAnsi="Open Sans" w:cs="Arial"/>
          <w:sz w:val="20"/>
          <w:szCs w:val="20"/>
        </w:rPr>
        <w:t xml:space="preserve">. También es objeto de investigación por parte de las autoridades españolas y estadounidenses. </w:t>
      </w:r>
    </w:p>
    <w:p w14:paraId="7FF71B2A" w14:textId="77777777" w:rsidR="00BA0792" w:rsidRDefault="00BA0792" w:rsidP="00BA0792">
      <w:pPr>
        <w:jc w:val="both"/>
        <w:rPr>
          <w:rFonts w:ascii="Open Sans" w:hAnsi="Open Sans" w:cs="Arial"/>
          <w:sz w:val="20"/>
          <w:szCs w:val="20"/>
        </w:rPr>
      </w:pPr>
    </w:p>
    <w:p w14:paraId="45DA0A33" w14:textId="77777777" w:rsidR="00BA0792" w:rsidRDefault="00BA0792" w:rsidP="00BA0792">
      <w:pPr>
        <w:jc w:val="both"/>
        <w:rPr>
          <w:rFonts w:ascii="Open Sans" w:hAnsi="Open Sans" w:cs="Arial"/>
          <w:sz w:val="20"/>
          <w:szCs w:val="20"/>
        </w:rPr>
      </w:pPr>
      <w:r>
        <w:rPr>
          <w:rFonts w:ascii="Open Sans" w:hAnsi="Open Sans" w:cs="Arial"/>
          <w:sz w:val="20"/>
          <w:szCs w:val="20"/>
        </w:rPr>
        <w:t xml:space="preserve">Otros riesgos a los que se enfrenta Grifols son los que tienen que ver con la corrupción, y su actividad de lobby. </w:t>
      </w:r>
      <w:r>
        <w:rPr>
          <w:rFonts w:ascii="Open Sans" w:hAnsi="Open Sans" w:cs="Arial"/>
          <w:bCs/>
          <w:sz w:val="20"/>
          <w:szCs w:val="20"/>
        </w:rPr>
        <w:t>El lobby farmacéutico y sanitario invierte una gran cantidad de dinero para influir en los centros de decisión de políticas públicas en una gran variedad de temáticas que les pueden afectar, aranceles, patentes, fiscalidad....etc. Es difícil saber con precisión la cantidad global invertida pues en el caso de la Unión Europea estar dado de alta en el registro de transparencia no es obligatorio. Algunos estudios estiman que en la UE la industria, empresas, asociaciones y los principales grupos de lobby, declaran unos 40 millones de euros destinados a reuniones con políticos y a participar en grupos de asesoramiento</w:t>
      </w:r>
      <w:r>
        <w:rPr>
          <w:rStyle w:val="Refdenotaalpie"/>
          <w:rFonts w:ascii="Open Sans" w:hAnsi="Open Sans" w:cs="Arial"/>
          <w:bCs/>
          <w:sz w:val="20"/>
          <w:szCs w:val="20"/>
        </w:rPr>
        <w:footnoteReference w:id="200"/>
      </w:r>
      <w:r>
        <w:rPr>
          <w:rFonts w:ascii="Open Sans" w:hAnsi="Open Sans" w:cs="Arial"/>
          <w:bCs/>
          <w:sz w:val="20"/>
          <w:szCs w:val="20"/>
        </w:rPr>
        <w:t>. En EEUU, según otro estudio</w:t>
      </w:r>
      <w:r>
        <w:rPr>
          <w:rStyle w:val="Refdenotaalpie"/>
          <w:rFonts w:ascii="Open Sans" w:hAnsi="Open Sans" w:cs="Arial"/>
          <w:bCs/>
          <w:sz w:val="20"/>
          <w:szCs w:val="20"/>
        </w:rPr>
        <w:footnoteReference w:id="201"/>
      </w:r>
      <w:r>
        <w:rPr>
          <w:rFonts w:ascii="Open Sans" w:hAnsi="Open Sans" w:cs="Arial"/>
          <w:bCs/>
          <w:sz w:val="20"/>
          <w:szCs w:val="20"/>
        </w:rPr>
        <w:t>, e</w:t>
      </w:r>
      <w:r w:rsidRPr="00FC44A2">
        <w:rPr>
          <w:rFonts w:ascii="Open Sans" w:hAnsi="Open Sans" w:cs="Arial"/>
          <w:bCs/>
          <w:sz w:val="20"/>
          <w:szCs w:val="20"/>
        </w:rPr>
        <w:t xml:space="preserve">n 2013, el sector farmacéutico y de atención sanitaria dedicó más de 487 millones de dólares a actividades de </w:t>
      </w:r>
      <w:r w:rsidRPr="00FC44A2">
        <w:rPr>
          <w:rFonts w:ascii="Open Sans" w:hAnsi="Open Sans" w:cs="Arial"/>
          <w:bCs/>
          <w:i/>
          <w:iCs/>
          <w:sz w:val="20"/>
          <w:szCs w:val="20"/>
        </w:rPr>
        <w:t xml:space="preserve">lobby </w:t>
      </w:r>
      <w:r>
        <w:rPr>
          <w:rFonts w:ascii="Open Sans" w:hAnsi="Open Sans" w:cs="Arial"/>
          <w:bCs/>
          <w:sz w:val="20"/>
          <w:szCs w:val="20"/>
        </w:rPr>
        <w:t>sólo en Estados Unidos.</w:t>
      </w:r>
    </w:p>
    <w:p w14:paraId="58C62EC0" w14:textId="77777777" w:rsidR="00BA0792" w:rsidRDefault="00BA0792" w:rsidP="00BA0792">
      <w:pPr>
        <w:jc w:val="both"/>
        <w:rPr>
          <w:rFonts w:ascii="Open Sans" w:hAnsi="Open Sans" w:cs="Arial"/>
          <w:sz w:val="20"/>
          <w:szCs w:val="20"/>
        </w:rPr>
      </w:pPr>
    </w:p>
    <w:p w14:paraId="45FC6EFD" w14:textId="77777777" w:rsidR="00BA0792" w:rsidRDefault="00BA0792" w:rsidP="00BA0792">
      <w:pPr>
        <w:jc w:val="both"/>
        <w:rPr>
          <w:rFonts w:ascii="Open Sans" w:hAnsi="Open Sans" w:cs="Arial"/>
          <w:sz w:val="20"/>
          <w:szCs w:val="20"/>
        </w:rPr>
      </w:pPr>
      <w:r>
        <w:rPr>
          <w:rFonts w:ascii="Open Sans" w:hAnsi="Open Sans" w:cs="Arial"/>
          <w:sz w:val="20"/>
          <w:szCs w:val="20"/>
        </w:rPr>
        <w:t xml:space="preserve">También las relaciones de la industria farmacéutica en relación con el patrocinio de profesionales sanitarios son riesgos que la empresa debe afrontar. </w:t>
      </w:r>
    </w:p>
    <w:p w14:paraId="003AC7B1" w14:textId="77777777" w:rsidR="00BA0792" w:rsidRDefault="00BA0792" w:rsidP="00BA0792">
      <w:pPr>
        <w:jc w:val="both"/>
        <w:rPr>
          <w:rFonts w:ascii="Open Sans" w:hAnsi="Open Sans" w:cs="Arial"/>
          <w:sz w:val="20"/>
          <w:szCs w:val="20"/>
        </w:rPr>
      </w:pPr>
    </w:p>
    <w:p w14:paraId="6A0B745D" w14:textId="77777777" w:rsidR="00BA0792" w:rsidRDefault="00BA0792" w:rsidP="00BA0792">
      <w:pPr>
        <w:jc w:val="both"/>
        <w:rPr>
          <w:rFonts w:ascii="Open Sans" w:hAnsi="Open Sans"/>
          <w:sz w:val="20"/>
          <w:szCs w:val="20"/>
        </w:rPr>
      </w:pPr>
      <w:r>
        <w:rPr>
          <w:rFonts w:ascii="Open Sans" w:hAnsi="Open Sans"/>
          <w:sz w:val="20"/>
          <w:szCs w:val="20"/>
        </w:rPr>
        <w:t xml:space="preserve">Grifols expresa un compromiso con la sostenibilidad pero restringe este concepto a su gestión medioambiental. De hecho solo elabora un informe ambiental y no dispone de una memoria de sostenibilidad, responsabilidad social o anual en el que aporte información sobre otros aspectos sociales y económicos. </w:t>
      </w:r>
    </w:p>
    <w:p w14:paraId="547C144A" w14:textId="77777777" w:rsidR="00BA0792" w:rsidRDefault="00BA0792" w:rsidP="00BA0792">
      <w:pPr>
        <w:jc w:val="both"/>
        <w:rPr>
          <w:rFonts w:ascii="Open Sans" w:hAnsi="Open Sans"/>
          <w:sz w:val="20"/>
          <w:szCs w:val="20"/>
        </w:rPr>
      </w:pPr>
    </w:p>
    <w:p w14:paraId="37233074" w14:textId="77777777" w:rsidR="00BA0792" w:rsidRDefault="00BA0792" w:rsidP="00BA0792">
      <w:pPr>
        <w:jc w:val="both"/>
        <w:rPr>
          <w:rFonts w:ascii="Open Sans" w:hAnsi="Open Sans"/>
          <w:sz w:val="20"/>
          <w:szCs w:val="20"/>
        </w:rPr>
      </w:pPr>
      <w:r w:rsidRPr="00DD22C4">
        <w:rPr>
          <w:rFonts w:ascii="Open Sans" w:hAnsi="Open Sans"/>
          <w:sz w:val="20"/>
          <w:szCs w:val="20"/>
        </w:rPr>
        <w:t xml:space="preserve">En materia de fiscalidad </w:t>
      </w:r>
      <w:r>
        <w:rPr>
          <w:rFonts w:ascii="Open Sans" w:hAnsi="Open Sans"/>
          <w:sz w:val="20"/>
          <w:szCs w:val="20"/>
        </w:rPr>
        <w:t>Grifols</w:t>
      </w:r>
      <w:r w:rsidRPr="00DD22C4">
        <w:rPr>
          <w:rFonts w:ascii="Open Sans" w:hAnsi="Open Sans"/>
          <w:sz w:val="20"/>
          <w:szCs w:val="20"/>
        </w:rPr>
        <w:t xml:space="preserve"> cuenta con varios compromisos relacionados con la fiscalidad responsable. Estos compromisos se encuentran recogidos en </w:t>
      </w:r>
      <w:r>
        <w:rPr>
          <w:rFonts w:ascii="Open Sans" w:hAnsi="Open Sans"/>
          <w:sz w:val="20"/>
          <w:szCs w:val="20"/>
        </w:rPr>
        <w:t xml:space="preserve">la </w:t>
      </w:r>
      <w:r w:rsidRPr="00604CF7">
        <w:rPr>
          <w:rFonts w:ascii="Open Sans" w:hAnsi="Open Sans"/>
          <w:sz w:val="20"/>
          <w:szCs w:val="20"/>
        </w:rPr>
        <w:t xml:space="preserve">política de cumplimiento y buenas prácticas en materia fiscal </w:t>
      </w:r>
      <w:r>
        <w:rPr>
          <w:rFonts w:ascii="Open Sans" w:hAnsi="Open Sans"/>
          <w:sz w:val="20"/>
          <w:szCs w:val="20"/>
        </w:rPr>
        <w:t xml:space="preserve">que ha sido aprobada por el consejo de administración en 2015 y que sigue los </w:t>
      </w:r>
      <w:r w:rsidRPr="00B832B9">
        <w:rPr>
          <w:rFonts w:ascii="Open Sans" w:hAnsi="Open Sans"/>
          <w:sz w:val="20"/>
          <w:szCs w:val="20"/>
        </w:rPr>
        <w:t>principios de fiscalidad responsable, prudencia y colaboración con las Administraciones.</w:t>
      </w:r>
    </w:p>
    <w:p w14:paraId="5C069640" w14:textId="77777777" w:rsidR="00BA0792" w:rsidRDefault="00BA0792" w:rsidP="00BA0792">
      <w:pPr>
        <w:jc w:val="both"/>
        <w:rPr>
          <w:rFonts w:ascii="Open Sans" w:hAnsi="Open Sans"/>
          <w:sz w:val="20"/>
          <w:szCs w:val="20"/>
        </w:rPr>
      </w:pPr>
    </w:p>
    <w:p w14:paraId="03BEF35D" w14:textId="77777777" w:rsidR="00BA0792" w:rsidRDefault="00BA0792" w:rsidP="00BA0792">
      <w:pPr>
        <w:jc w:val="both"/>
        <w:rPr>
          <w:rFonts w:ascii="Open Sans" w:hAnsi="Open Sans"/>
          <w:sz w:val="20"/>
          <w:szCs w:val="20"/>
        </w:rPr>
      </w:pPr>
      <w:r>
        <w:rPr>
          <w:rFonts w:ascii="Open Sans" w:hAnsi="Open Sans"/>
          <w:sz w:val="20"/>
          <w:szCs w:val="20"/>
        </w:rPr>
        <w:t xml:space="preserve">Dentro de esta nueva política indica que el pago de impuestos es un elemento esencial de su política de responsabilidad social corporativa, sin embargo no hay ninguna evidencia de su existencia. </w:t>
      </w:r>
    </w:p>
    <w:p w14:paraId="4F8AEFA8" w14:textId="77777777" w:rsidR="00BA0792" w:rsidRDefault="00BA0792" w:rsidP="00BA0792">
      <w:pPr>
        <w:jc w:val="both"/>
        <w:rPr>
          <w:rFonts w:ascii="Open Sans" w:hAnsi="Open Sans"/>
          <w:sz w:val="20"/>
          <w:szCs w:val="20"/>
        </w:rPr>
      </w:pPr>
    </w:p>
    <w:p w14:paraId="2018D4B4" w14:textId="77777777" w:rsidR="00BA0792" w:rsidRDefault="00BA0792" w:rsidP="00BA0792">
      <w:pPr>
        <w:jc w:val="both"/>
        <w:rPr>
          <w:rFonts w:ascii="Open Sans" w:hAnsi="Open Sans"/>
          <w:sz w:val="20"/>
          <w:szCs w:val="20"/>
        </w:rPr>
      </w:pPr>
      <w:r>
        <w:rPr>
          <w:rFonts w:ascii="Open Sans" w:hAnsi="Open Sans"/>
          <w:sz w:val="20"/>
          <w:szCs w:val="20"/>
        </w:rPr>
        <w:t xml:space="preserve">En materia anticorrupción Grifols cuenta con una política anticorrupción que ha sido actualizad en 2015 y que marca las pautas de comportamiento y señales para estar atento a posibles actos de corrupción. </w:t>
      </w:r>
    </w:p>
    <w:p w14:paraId="73A4BA9B" w14:textId="77777777" w:rsidR="00BA0792" w:rsidRDefault="00BA0792" w:rsidP="00BA0792">
      <w:pPr>
        <w:jc w:val="both"/>
        <w:rPr>
          <w:rFonts w:ascii="Open Sans" w:hAnsi="Open Sans"/>
          <w:sz w:val="20"/>
          <w:szCs w:val="20"/>
        </w:rPr>
      </w:pPr>
    </w:p>
    <w:p w14:paraId="1197B583" w14:textId="77777777" w:rsidR="00BA0792" w:rsidRPr="00BD1CE9" w:rsidRDefault="00BA0792" w:rsidP="00BA0792">
      <w:pPr>
        <w:rPr>
          <w:rFonts w:ascii="Open Sans" w:hAnsi="Open Sans"/>
          <w:sz w:val="20"/>
          <w:szCs w:val="20"/>
        </w:rPr>
      </w:pPr>
    </w:p>
    <w:p w14:paraId="041B16F8" w14:textId="77777777" w:rsidR="00BA0792" w:rsidRPr="00EE1EF7" w:rsidRDefault="00BA0792" w:rsidP="00BA0792">
      <w:pPr>
        <w:jc w:val="both"/>
        <w:rPr>
          <w:rFonts w:ascii="Open Sans" w:hAnsi="Open Sans" w:cs="Arial"/>
          <w:b/>
          <w:sz w:val="22"/>
          <w:szCs w:val="22"/>
          <w:u w:val="single"/>
        </w:rPr>
      </w:pPr>
      <w:r w:rsidRPr="00EE1EF7">
        <w:rPr>
          <w:rFonts w:ascii="Open Sans" w:hAnsi="Open Sans" w:cs="Arial"/>
          <w:b/>
          <w:sz w:val="22"/>
          <w:szCs w:val="22"/>
          <w:u w:val="single"/>
        </w:rPr>
        <w:t>4. Análisis</w:t>
      </w:r>
    </w:p>
    <w:p w14:paraId="1E4CDA4C" w14:textId="77777777" w:rsidR="00BA0792" w:rsidRPr="00732FD5" w:rsidRDefault="00BA0792" w:rsidP="00BA0792">
      <w:pPr>
        <w:jc w:val="both"/>
        <w:rPr>
          <w:rFonts w:ascii="Open Sans" w:hAnsi="Open Sans" w:cs="Arial"/>
          <w:b/>
          <w:sz w:val="22"/>
          <w:szCs w:val="22"/>
        </w:rPr>
      </w:pPr>
    </w:p>
    <w:p w14:paraId="055F63EA" w14:textId="77777777" w:rsidR="00BA0792" w:rsidRPr="00BF6B92" w:rsidRDefault="00BA0792" w:rsidP="00BA0792">
      <w:pPr>
        <w:jc w:val="both"/>
        <w:rPr>
          <w:rFonts w:ascii="Open Sans" w:hAnsi="Open Sans" w:cs="Arial"/>
          <w:bCs/>
          <w:sz w:val="20"/>
          <w:szCs w:val="20"/>
        </w:rPr>
      </w:pPr>
      <w:r w:rsidRPr="00BF6B92">
        <w:rPr>
          <w:rFonts w:ascii="Open Sans" w:hAnsi="Open Sans" w:cs="Arial"/>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3788B45E" w14:textId="77777777" w:rsidR="00BA0792" w:rsidRDefault="00BA0792" w:rsidP="00BA0792">
      <w:pPr>
        <w:jc w:val="both"/>
        <w:rPr>
          <w:rFonts w:ascii="Open Sans" w:hAnsi="Open Sans" w:cs="Arial"/>
          <w:b/>
          <w:sz w:val="22"/>
          <w:szCs w:val="22"/>
        </w:rPr>
      </w:pPr>
    </w:p>
    <w:p w14:paraId="127C4202" w14:textId="77777777" w:rsidR="00BA0792" w:rsidRDefault="00BA0792" w:rsidP="00BA0792">
      <w:pPr>
        <w:jc w:val="both"/>
        <w:rPr>
          <w:rFonts w:ascii="Open Sans" w:hAnsi="Open Sans"/>
          <w:sz w:val="20"/>
          <w:szCs w:val="20"/>
        </w:rPr>
      </w:pPr>
      <w:r>
        <w:rPr>
          <w:rFonts w:ascii="Open Sans" w:hAnsi="Open Sans" w:cs="Arial"/>
          <w:bCs/>
          <w:sz w:val="20"/>
          <w:szCs w:val="20"/>
        </w:rPr>
        <w:t xml:space="preserve">Grifols en su </w:t>
      </w:r>
      <w:r w:rsidRPr="00604CF7">
        <w:rPr>
          <w:rFonts w:ascii="Open Sans" w:hAnsi="Open Sans"/>
          <w:sz w:val="20"/>
          <w:szCs w:val="20"/>
        </w:rPr>
        <w:t>política de cumplimiento y buenas prácticas en materia fiscal</w:t>
      </w:r>
      <w:r>
        <w:rPr>
          <w:rFonts w:ascii="Open Sans" w:hAnsi="Open Sans"/>
          <w:sz w:val="20"/>
          <w:szCs w:val="20"/>
        </w:rPr>
        <w:t xml:space="preserve"> menciona expresamente que “</w:t>
      </w:r>
      <w:r w:rsidRPr="00071E0A">
        <w:rPr>
          <w:rFonts w:ascii="Open Sans" w:hAnsi="Open Sans"/>
          <w:i/>
          <w:sz w:val="20"/>
          <w:szCs w:val="20"/>
        </w:rPr>
        <w:t>no tiene presencia en territorios calificados como paraísos fiscales, y sus operaciones comerciales con terceros en esos o cualesquiera otros territorios se enmarcan en su actividad industrial y comercial ordinaria. En consistencia con los principios y recomendaciones de fiscalidad internacional del Comité de Asuntos Fiscales de la OCDE, rechaza el traslado de resultados de forma artificiosa a dichos territorios o el amparo en la opacidad informativa que esos territorios ofrecen. La transparencia informativa en materia fiscal se considera esencial en la política fiscal de Grifols</w:t>
      </w:r>
      <w:r>
        <w:rPr>
          <w:rFonts w:ascii="Open Sans" w:hAnsi="Open Sans"/>
          <w:sz w:val="20"/>
          <w:szCs w:val="20"/>
        </w:rPr>
        <w:t>”</w:t>
      </w:r>
      <w:r w:rsidRPr="00071E0A">
        <w:rPr>
          <w:rFonts w:ascii="Open Sans" w:hAnsi="Open Sans"/>
          <w:sz w:val="20"/>
          <w:szCs w:val="20"/>
        </w:rPr>
        <w:t>.</w:t>
      </w:r>
    </w:p>
    <w:p w14:paraId="43FD019F" w14:textId="77777777" w:rsidR="00BA0792" w:rsidRDefault="00BA0792" w:rsidP="00BA0792">
      <w:pPr>
        <w:jc w:val="both"/>
        <w:rPr>
          <w:rFonts w:ascii="Open Sans" w:hAnsi="Open Sans"/>
          <w:sz w:val="20"/>
          <w:szCs w:val="20"/>
        </w:rPr>
      </w:pPr>
    </w:p>
    <w:p w14:paraId="5C3401C2" w14:textId="77777777" w:rsidR="00BA0792" w:rsidRDefault="00BA0792" w:rsidP="00BA0792">
      <w:pPr>
        <w:jc w:val="both"/>
        <w:rPr>
          <w:rFonts w:ascii="Open Sans" w:hAnsi="Open Sans"/>
          <w:sz w:val="20"/>
          <w:szCs w:val="20"/>
        </w:rPr>
      </w:pPr>
      <w:r>
        <w:rPr>
          <w:rFonts w:ascii="Open Sans" w:hAnsi="Open Sans"/>
          <w:sz w:val="20"/>
          <w:szCs w:val="20"/>
        </w:rPr>
        <w:t xml:space="preserve">No indica claramente que lista sigue para determinar si tiene presencia o no en paraísos fiscales. Por la definición anterior se deduce que sigue a tal efecto el listado de la OCDE.  Sin embargo, según la metodología del Observatorio de RSC, que tiene en cuenta también los nichos fiscales, Grifols tiene presencia en países y en territorios considerados nichos fiscales con 16 filiales. Estos son: Delaware (EEUU), Hong Kong (China), Singapur, Suiza e Irlanda. </w:t>
      </w:r>
    </w:p>
    <w:p w14:paraId="523456E0" w14:textId="77777777" w:rsidR="00BA0792" w:rsidRDefault="00BA0792" w:rsidP="00BA0792">
      <w:pPr>
        <w:rPr>
          <w:rFonts w:ascii="Open Sans" w:hAnsi="Open Sans"/>
          <w:sz w:val="20"/>
          <w:szCs w:val="20"/>
        </w:rPr>
      </w:pPr>
      <w:r>
        <w:rPr>
          <w:rFonts w:ascii="Open Sans" w:hAnsi="Open Sans"/>
          <w:sz w:val="20"/>
          <w:szCs w:val="20"/>
        </w:rPr>
        <w:br w:type="page"/>
      </w:r>
    </w:p>
    <w:p w14:paraId="3CF5C2B1" w14:textId="77777777" w:rsidR="00BA0792" w:rsidRDefault="00BA0792" w:rsidP="00BA0792">
      <w:pPr>
        <w:jc w:val="both"/>
        <w:rPr>
          <w:rFonts w:ascii="Open Sans" w:hAnsi="Open Sans"/>
          <w:sz w:val="20"/>
          <w:szCs w:val="20"/>
        </w:rPr>
      </w:pPr>
    </w:p>
    <w:tbl>
      <w:tblPr>
        <w:tblW w:w="8662" w:type="dxa"/>
        <w:tblInd w:w="55" w:type="dxa"/>
        <w:tblCellMar>
          <w:left w:w="70" w:type="dxa"/>
          <w:right w:w="70" w:type="dxa"/>
        </w:tblCellMar>
        <w:tblLook w:val="04A0" w:firstRow="1" w:lastRow="0" w:firstColumn="1" w:lastColumn="0" w:noHBand="0" w:noVBand="1"/>
      </w:tblPr>
      <w:tblGrid>
        <w:gridCol w:w="2850"/>
        <w:gridCol w:w="1985"/>
        <w:gridCol w:w="3827"/>
      </w:tblGrid>
      <w:tr w:rsidR="00BA0792" w:rsidRPr="00BE2DAE" w14:paraId="73F69F0E" w14:textId="77777777" w:rsidTr="006E3A41">
        <w:trPr>
          <w:trHeight w:val="300"/>
        </w:trPr>
        <w:tc>
          <w:tcPr>
            <w:tcW w:w="285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3AC8AF" w14:textId="77777777" w:rsidR="00BA0792" w:rsidRPr="00BE2DAE" w:rsidRDefault="00BA0792" w:rsidP="006E3A41">
            <w:pPr>
              <w:rPr>
                <w:rFonts w:ascii="Open Sans" w:hAnsi="Open Sans"/>
                <w:b/>
                <w:bCs/>
                <w:color w:val="000000"/>
                <w:sz w:val="20"/>
                <w:szCs w:val="20"/>
              </w:rPr>
            </w:pPr>
            <w:r w:rsidRPr="00BE2DAE">
              <w:rPr>
                <w:rFonts w:ascii="Open Sans" w:hAnsi="Open Sans"/>
                <w:b/>
                <w:bCs/>
                <w:color w:val="000000"/>
                <w:sz w:val="20"/>
                <w:szCs w:val="20"/>
              </w:rPr>
              <w:t>Nombre de la Sociedad</w:t>
            </w:r>
          </w:p>
        </w:tc>
        <w:tc>
          <w:tcPr>
            <w:tcW w:w="1985" w:type="dxa"/>
            <w:tcBorders>
              <w:top w:val="single" w:sz="4" w:space="0" w:color="auto"/>
              <w:left w:val="nil"/>
              <w:bottom w:val="single" w:sz="4" w:space="0" w:color="auto"/>
              <w:right w:val="single" w:sz="4" w:space="0" w:color="auto"/>
            </w:tcBorders>
            <w:shd w:val="clear" w:color="000000" w:fill="D9D9D9"/>
            <w:noWrap/>
            <w:vAlign w:val="center"/>
            <w:hideMark/>
          </w:tcPr>
          <w:p w14:paraId="5931A6E2" w14:textId="77777777" w:rsidR="00BA0792" w:rsidRPr="00BE2DAE" w:rsidRDefault="00BA0792" w:rsidP="006E3A41">
            <w:pPr>
              <w:rPr>
                <w:rFonts w:ascii="Open Sans" w:hAnsi="Open Sans"/>
                <w:b/>
                <w:bCs/>
                <w:color w:val="000000"/>
                <w:sz w:val="20"/>
                <w:szCs w:val="20"/>
              </w:rPr>
            </w:pPr>
            <w:r w:rsidRPr="00BE2DAE">
              <w:rPr>
                <w:rFonts w:ascii="Open Sans" w:hAnsi="Open Sans"/>
                <w:b/>
                <w:bCs/>
                <w:color w:val="000000"/>
                <w:sz w:val="20"/>
                <w:szCs w:val="20"/>
              </w:rPr>
              <w:t>Jurisdicción</w:t>
            </w:r>
          </w:p>
        </w:tc>
        <w:tc>
          <w:tcPr>
            <w:tcW w:w="3827" w:type="dxa"/>
            <w:tcBorders>
              <w:top w:val="single" w:sz="4" w:space="0" w:color="auto"/>
              <w:left w:val="nil"/>
              <w:bottom w:val="single" w:sz="4" w:space="0" w:color="auto"/>
              <w:right w:val="single" w:sz="4" w:space="0" w:color="auto"/>
            </w:tcBorders>
            <w:shd w:val="clear" w:color="000000" w:fill="D9D9D9"/>
            <w:noWrap/>
            <w:vAlign w:val="center"/>
            <w:hideMark/>
          </w:tcPr>
          <w:p w14:paraId="60DC069D" w14:textId="77777777" w:rsidR="00BA0792" w:rsidRPr="00BE2DAE" w:rsidRDefault="00BA0792" w:rsidP="006E3A41">
            <w:pPr>
              <w:rPr>
                <w:rFonts w:ascii="Open Sans" w:hAnsi="Open Sans"/>
                <w:b/>
                <w:bCs/>
                <w:color w:val="000000"/>
                <w:sz w:val="20"/>
                <w:szCs w:val="20"/>
              </w:rPr>
            </w:pPr>
            <w:r w:rsidRPr="00BE2DAE">
              <w:rPr>
                <w:rFonts w:ascii="Open Sans" w:hAnsi="Open Sans"/>
                <w:b/>
                <w:bCs/>
                <w:color w:val="000000"/>
                <w:sz w:val="20"/>
                <w:szCs w:val="20"/>
              </w:rPr>
              <w:t>Actividad</w:t>
            </w:r>
          </w:p>
        </w:tc>
      </w:tr>
      <w:tr w:rsidR="00BA0792" w:rsidRPr="00BE2DAE" w14:paraId="405D9F35" w14:textId="77777777" w:rsidTr="006E3A41">
        <w:trPr>
          <w:trHeight w:val="1800"/>
        </w:trPr>
        <w:tc>
          <w:tcPr>
            <w:tcW w:w="2850" w:type="dxa"/>
            <w:tcBorders>
              <w:top w:val="nil"/>
              <w:left w:val="single" w:sz="4" w:space="0" w:color="auto"/>
              <w:bottom w:val="single" w:sz="4" w:space="0" w:color="auto"/>
              <w:right w:val="single" w:sz="4" w:space="0" w:color="auto"/>
            </w:tcBorders>
            <w:shd w:val="clear" w:color="000000" w:fill="FFFFFF"/>
            <w:noWrap/>
            <w:hideMark/>
          </w:tcPr>
          <w:p w14:paraId="5740DD1D"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Alkahest, Inc.</w:t>
            </w:r>
          </w:p>
        </w:tc>
        <w:tc>
          <w:tcPr>
            <w:tcW w:w="1985" w:type="dxa"/>
            <w:tcBorders>
              <w:top w:val="nil"/>
              <w:left w:val="nil"/>
              <w:bottom w:val="single" w:sz="4" w:space="0" w:color="auto"/>
              <w:right w:val="single" w:sz="4" w:space="0" w:color="auto"/>
            </w:tcBorders>
            <w:shd w:val="clear" w:color="auto" w:fill="auto"/>
            <w:noWrap/>
            <w:hideMark/>
          </w:tcPr>
          <w:p w14:paraId="6E6F7348"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44A67184"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Investigación. desarrollo de nuevas aplicaciones terapéuticas de las proteínas plasmáticas para el tratamiento del deterioro cognitivo asociado a la edad y otras enfermedades del sistema nervioso central (SNC)</w:t>
            </w:r>
          </w:p>
        </w:tc>
      </w:tr>
      <w:tr w:rsidR="00BA0792" w:rsidRPr="00BE2DAE" w14:paraId="4254B2AD" w14:textId="77777777" w:rsidTr="006E3A41">
        <w:trPr>
          <w:trHeight w:val="300"/>
        </w:trPr>
        <w:tc>
          <w:tcPr>
            <w:tcW w:w="2850" w:type="dxa"/>
            <w:tcBorders>
              <w:top w:val="nil"/>
              <w:left w:val="single" w:sz="4" w:space="0" w:color="auto"/>
              <w:bottom w:val="single" w:sz="4" w:space="0" w:color="auto"/>
              <w:right w:val="single" w:sz="4" w:space="0" w:color="auto"/>
            </w:tcBorders>
            <w:shd w:val="clear" w:color="000000" w:fill="FFFFFF"/>
            <w:noWrap/>
            <w:hideMark/>
          </w:tcPr>
          <w:p w14:paraId="62B18E51"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Biomat USA,Inc.</w:t>
            </w:r>
          </w:p>
        </w:tc>
        <w:tc>
          <w:tcPr>
            <w:tcW w:w="1985" w:type="dxa"/>
            <w:tcBorders>
              <w:top w:val="nil"/>
              <w:left w:val="nil"/>
              <w:bottom w:val="single" w:sz="4" w:space="0" w:color="auto"/>
              <w:right w:val="single" w:sz="4" w:space="0" w:color="auto"/>
            </w:tcBorders>
            <w:shd w:val="clear" w:color="auto" w:fill="auto"/>
            <w:noWrap/>
            <w:hideMark/>
          </w:tcPr>
          <w:p w14:paraId="50ADA000"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2FE01364"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Obtención de plasma humano.</w:t>
            </w:r>
          </w:p>
        </w:tc>
      </w:tr>
      <w:tr w:rsidR="00BA0792" w:rsidRPr="00BE2DAE" w14:paraId="02894426" w14:textId="77777777" w:rsidTr="006E3A41">
        <w:trPr>
          <w:trHeight w:val="600"/>
        </w:trPr>
        <w:tc>
          <w:tcPr>
            <w:tcW w:w="2850" w:type="dxa"/>
            <w:tcBorders>
              <w:top w:val="nil"/>
              <w:left w:val="single" w:sz="4" w:space="0" w:color="auto"/>
              <w:bottom w:val="single" w:sz="4" w:space="0" w:color="auto"/>
              <w:right w:val="single" w:sz="4" w:space="0" w:color="auto"/>
            </w:tcBorders>
            <w:shd w:val="clear" w:color="000000" w:fill="FFFFFF"/>
            <w:noWrap/>
            <w:hideMark/>
          </w:tcPr>
          <w:p w14:paraId="46577E66"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Grifols Biologicals, Inc.</w:t>
            </w:r>
          </w:p>
        </w:tc>
        <w:tc>
          <w:tcPr>
            <w:tcW w:w="1985" w:type="dxa"/>
            <w:tcBorders>
              <w:top w:val="nil"/>
              <w:left w:val="nil"/>
              <w:bottom w:val="single" w:sz="4" w:space="0" w:color="auto"/>
              <w:right w:val="single" w:sz="4" w:space="0" w:color="auto"/>
            </w:tcBorders>
            <w:shd w:val="clear" w:color="auto" w:fill="auto"/>
            <w:noWrap/>
            <w:hideMark/>
          </w:tcPr>
          <w:p w14:paraId="2598E9F2"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7653A90D"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Fraccionamiento de plasma y producción de hemoderivados.</w:t>
            </w:r>
          </w:p>
        </w:tc>
      </w:tr>
      <w:tr w:rsidR="00BA0792" w:rsidRPr="00BE2DAE" w14:paraId="51D62145" w14:textId="77777777" w:rsidTr="006E3A41">
        <w:trPr>
          <w:trHeight w:val="600"/>
        </w:trPr>
        <w:tc>
          <w:tcPr>
            <w:tcW w:w="2850" w:type="dxa"/>
            <w:tcBorders>
              <w:top w:val="nil"/>
              <w:left w:val="single" w:sz="4" w:space="0" w:color="auto"/>
              <w:bottom w:val="single" w:sz="4" w:space="0" w:color="auto"/>
              <w:right w:val="single" w:sz="4" w:space="0" w:color="auto"/>
            </w:tcBorders>
            <w:shd w:val="clear" w:color="auto" w:fill="auto"/>
            <w:noWrap/>
            <w:hideMark/>
          </w:tcPr>
          <w:p w14:paraId="670812FC"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Grifols Diagnostics Solutions Inc (anteriormente G-C Diagnostics Corp.)</w:t>
            </w:r>
          </w:p>
        </w:tc>
        <w:tc>
          <w:tcPr>
            <w:tcW w:w="1985" w:type="dxa"/>
            <w:tcBorders>
              <w:top w:val="nil"/>
              <w:left w:val="nil"/>
              <w:bottom w:val="single" w:sz="4" w:space="0" w:color="auto"/>
              <w:right w:val="single" w:sz="4" w:space="0" w:color="auto"/>
            </w:tcBorders>
            <w:shd w:val="clear" w:color="auto" w:fill="auto"/>
            <w:noWrap/>
            <w:hideMark/>
          </w:tcPr>
          <w:p w14:paraId="3BCD3BB2"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4B77E698"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Producción y venta de productos de tests sanguíneo</w:t>
            </w:r>
          </w:p>
        </w:tc>
      </w:tr>
      <w:tr w:rsidR="00BA0792" w:rsidRPr="00BE2DAE" w14:paraId="2AE4F70D" w14:textId="77777777" w:rsidTr="006E3A41">
        <w:trPr>
          <w:trHeight w:val="1200"/>
        </w:trPr>
        <w:tc>
          <w:tcPr>
            <w:tcW w:w="2850" w:type="dxa"/>
            <w:tcBorders>
              <w:top w:val="nil"/>
              <w:left w:val="single" w:sz="4" w:space="0" w:color="auto"/>
              <w:bottom w:val="single" w:sz="4" w:space="0" w:color="auto"/>
              <w:right w:val="single" w:sz="4" w:space="0" w:color="auto"/>
            </w:tcBorders>
            <w:shd w:val="clear" w:color="000000" w:fill="FFFFFF"/>
            <w:noWrap/>
            <w:hideMark/>
          </w:tcPr>
          <w:p w14:paraId="1EC73BEB" w14:textId="77777777" w:rsidR="00BA0792" w:rsidRPr="00BE2DAE" w:rsidRDefault="00BA0792" w:rsidP="006E3A41">
            <w:pPr>
              <w:rPr>
                <w:rFonts w:ascii="Open Sans" w:hAnsi="Open Sans"/>
                <w:color w:val="000000"/>
                <w:sz w:val="20"/>
                <w:szCs w:val="20"/>
                <w:lang w:val="en-GB"/>
              </w:rPr>
            </w:pPr>
            <w:r w:rsidRPr="00BE2DAE">
              <w:rPr>
                <w:rFonts w:ascii="Open Sans" w:hAnsi="Open Sans"/>
                <w:color w:val="000000"/>
                <w:sz w:val="20"/>
                <w:szCs w:val="20"/>
                <w:lang w:val="en-GB"/>
              </w:rPr>
              <w:t>Grifols Shared Services North America, Inc. (antes Grifols Inc.)</w:t>
            </w:r>
          </w:p>
        </w:tc>
        <w:tc>
          <w:tcPr>
            <w:tcW w:w="1985" w:type="dxa"/>
            <w:tcBorders>
              <w:top w:val="nil"/>
              <w:left w:val="nil"/>
              <w:bottom w:val="single" w:sz="4" w:space="0" w:color="auto"/>
              <w:right w:val="single" w:sz="4" w:space="0" w:color="auto"/>
            </w:tcBorders>
            <w:shd w:val="clear" w:color="auto" w:fill="auto"/>
            <w:noWrap/>
            <w:hideMark/>
          </w:tcPr>
          <w:p w14:paraId="5C5276C5"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62A33995"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Servicios. Proporcionar servicios de apoyo para para la adquisición, fabricación, preparación y venta de derivados del plasma y relacionados.</w:t>
            </w:r>
          </w:p>
        </w:tc>
      </w:tr>
      <w:tr w:rsidR="00BA0792" w:rsidRPr="00BE2DAE" w14:paraId="47E4DA0F" w14:textId="77777777" w:rsidTr="006E3A41">
        <w:trPr>
          <w:trHeight w:val="600"/>
        </w:trPr>
        <w:tc>
          <w:tcPr>
            <w:tcW w:w="2850" w:type="dxa"/>
            <w:tcBorders>
              <w:top w:val="nil"/>
              <w:left w:val="single" w:sz="4" w:space="0" w:color="auto"/>
              <w:bottom w:val="single" w:sz="4" w:space="0" w:color="auto"/>
              <w:right w:val="single" w:sz="4" w:space="0" w:color="auto"/>
            </w:tcBorders>
            <w:shd w:val="clear" w:color="000000" w:fill="FFFFFF"/>
            <w:noWrap/>
            <w:hideMark/>
          </w:tcPr>
          <w:p w14:paraId="2CE6731C"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Grifols Therapeutics Inc</w:t>
            </w:r>
          </w:p>
        </w:tc>
        <w:tc>
          <w:tcPr>
            <w:tcW w:w="1985" w:type="dxa"/>
            <w:tcBorders>
              <w:top w:val="nil"/>
              <w:left w:val="nil"/>
              <w:bottom w:val="single" w:sz="4" w:space="0" w:color="auto"/>
              <w:right w:val="single" w:sz="4" w:space="0" w:color="auto"/>
            </w:tcBorders>
            <w:shd w:val="clear" w:color="auto" w:fill="auto"/>
            <w:noWrap/>
            <w:hideMark/>
          </w:tcPr>
          <w:p w14:paraId="1FDAB44B"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244360CA"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Fraccionamiento de plasma y producción de hemoderivados.</w:t>
            </w:r>
          </w:p>
        </w:tc>
      </w:tr>
      <w:tr w:rsidR="00BA0792" w:rsidRPr="00BE2DAE" w14:paraId="78F75435" w14:textId="77777777" w:rsidTr="006E3A41">
        <w:trPr>
          <w:trHeight w:val="600"/>
        </w:trPr>
        <w:tc>
          <w:tcPr>
            <w:tcW w:w="2850" w:type="dxa"/>
            <w:tcBorders>
              <w:top w:val="nil"/>
              <w:left w:val="single" w:sz="4" w:space="0" w:color="auto"/>
              <w:bottom w:val="single" w:sz="4" w:space="0" w:color="auto"/>
              <w:right w:val="single" w:sz="4" w:space="0" w:color="auto"/>
            </w:tcBorders>
            <w:shd w:val="clear" w:color="000000" w:fill="FFFFFF"/>
            <w:noWrap/>
            <w:hideMark/>
          </w:tcPr>
          <w:p w14:paraId="318E3F87" w14:textId="77777777" w:rsidR="00BA0792" w:rsidRPr="00BE2DAE" w:rsidRDefault="00BA0792" w:rsidP="006E3A41">
            <w:pPr>
              <w:rPr>
                <w:rFonts w:ascii="Open Sans" w:hAnsi="Open Sans"/>
                <w:color w:val="000000"/>
                <w:sz w:val="20"/>
                <w:szCs w:val="20"/>
                <w:lang w:val="en-GB"/>
              </w:rPr>
            </w:pPr>
            <w:r w:rsidRPr="00BE2DAE">
              <w:rPr>
                <w:rFonts w:ascii="Open Sans" w:hAnsi="Open Sans"/>
                <w:color w:val="000000"/>
                <w:sz w:val="20"/>
                <w:szCs w:val="20"/>
                <w:lang w:val="en-GB"/>
              </w:rPr>
              <w:t>Grifols Worldwide Operations USA Inc.</w:t>
            </w:r>
          </w:p>
        </w:tc>
        <w:tc>
          <w:tcPr>
            <w:tcW w:w="1985" w:type="dxa"/>
            <w:tcBorders>
              <w:top w:val="nil"/>
              <w:left w:val="nil"/>
              <w:bottom w:val="single" w:sz="4" w:space="0" w:color="auto"/>
              <w:right w:val="single" w:sz="4" w:space="0" w:color="auto"/>
            </w:tcBorders>
            <w:shd w:val="clear" w:color="auto" w:fill="auto"/>
            <w:noWrap/>
            <w:hideMark/>
          </w:tcPr>
          <w:p w14:paraId="3927DBDC"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492A5B24"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Almacenamiento, producción y soporte logístico para productos biológicos.</w:t>
            </w:r>
          </w:p>
        </w:tc>
      </w:tr>
      <w:tr w:rsidR="00BA0792" w:rsidRPr="00BE2DAE" w14:paraId="26C7F755" w14:textId="77777777" w:rsidTr="006E3A41">
        <w:trPr>
          <w:trHeight w:val="300"/>
        </w:trPr>
        <w:tc>
          <w:tcPr>
            <w:tcW w:w="2850" w:type="dxa"/>
            <w:tcBorders>
              <w:top w:val="nil"/>
              <w:left w:val="single" w:sz="4" w:space="0" w:color="auto"/>
              <w:bottom w:val="single" w:sz="4" w:space="0" w:color="auto"/>
              <w:right w:val="single" w:sz="4" w:space="0" w:color="auto"/>
            </w:tcBorders>
            <w:shd w:val="clear" w:color="000000" w:fill="FFFFFF"/>
            <w:noWrap/>
            <w:hideMark/>
          </w:tcPr>
          <w:p w14:paraId="4366772E"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PlasmaCare, Inc.</w:t>
            </w:r>
          </w:p>
        </w:tc>
        <w:tc>
          <w:tcPr>
            <w:tcW w:w="1985" w:type="dxa"/>
            <w:tcBorders>
              <w:top w:val="nil"/>
              <w:left w:val="nil"/>
              <w:bottom w:val="single" w:sz="4" w:space="0" w:color="auto"/>
              <w:right w:val="single" w:sz="4" w:space="0" w:color="auto"/>
            </w:tcBorders>
            <w:shd w:val="clear" w:color="auto" w:fill="auto"/>
            <w:noWrap/>
            <w:hideMark/>
          </w:tcPr>
          <w:p w14:paraId="4CF6F85A"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39A269F7"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Obtención de plasma humano.</w:t>
            </w:r>
          </w:p>
        </w:tc>
      </w:tr>
      <w:tr w:rsidR="00BA0792" w:rsidRPr="00BE2DAE" w14:paraId="2BA8F48C" w14:textId="77777777" w:rsidTr="006E3A41">
        <w:trPr>
          <w:trHeight w:val="1800"/>
        </w:trPr>
        <w:tc>
          <w:tcPr>
            <w:tcW w:w="2850" w:type="dxa"/>
            <w:tcBorders>
              <w:top w:val="nil"/>
              <w:left w:val="single" w:sz="4" w:space="0" w:color="auto"/>
              <w:bottom w:val="single" w:sz="4" w:space="0" w:color="auto"/>
              <w:right w:val="single" w:sz="4" w:space="0" w:color="auto"/>
            </w:tcBorders>
            <w:shd w:val="clear" w:color="000000" w:fill="FFFFFF"/>
            <w:noWrap/>
            <w:hideMark/>
          </w:tcPr>
          <w:p w14:paraId="6068401C"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Progenika Inc</w:t>
            </w:r>
          </w:p>
        </w:tc>
        <w:tc>
          <w:tcPr>
            <w:tcW w:w="1985" w:type="dxa"/>
            <w:tcBorders>
              <w:top w:val="nil"/>
              <w:left w:val="nil"/>
              <w:bottom w:val="single" w:sz="4" w:space="0" w:color="auto"/>
              <w:right w:val="single" w:sz="4" w:space="0" w:color="auto"/>
            </w:tcBorders>
            <w:shd w:val="clear" w:color="auto" w:fill="auto"/>
            <w:noWrap/>
            <w:hideMark/>
          </w:tcPr>
          <w:p w14:paraId="1A704FE9"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61B65A09"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Investigación. Desarrollo, producción y comercialización de herramientas genéticas, dispositivos de diagnóstico y sistemas y productos terapéuticos para la medicina personalizada y la mejor atención de la salud en general.</w:t>
            </w:r>
          </w:p>
        </w:tc>
      </w:tr>
      <w:tr w:rsidR="00BA0792" w:rsidRPr="00BE2DAE" w14:paraId="6052EC92" w14:textId="77777777" w:rsidTr="006E3A41">
        <w:trPr>
          <w:trHeight w:val="300"/>
        </w:trPr>
        <w:tc>
          <w:tcPr>
            <w:tcW w:w="2850" w:type="dxa"/>
            <w:tcBorders>
              <w:top w:val="nil"/>
              <w:left w:val="single" w:sz="4" w:space="0" w:color="auto"/>
              <w:bottom w:val="single" w:sz="4" w:space="0" w:color="auto"/>
              <w:right w:val="single" w:sz="4" w:space="0" w:color="auto"/>
            </w:tcBorders>
            <w:shd w:val="clear" w:color="000000" w:fill="FFFFFF"/>
            <w:noWrap/>
            <w:hideMark/>
          </w:tcPr>
          <w:p w14:paraId="0BBA5A35"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Talecris Plasma Resources Inc.</w:t>
            </w:r>
          </w:p>
        </w:tc>
        <w:tc>
          <w:tcPr>
            <w:tcW w:w="1985" w:type="dxa"/>
            <w:tcBorders>
              <w:top w:val="nil"/>
              <w:left w:val="nil"/>
              <w:bottom w:val="single" w:sz="4" w:space="0" w:color="auto"/>
              <w:right w:val="single" w:sz="4" w:space="0" w:color="auto"/>
            </w:tcBorders>
            <w:shd w:val="clear" w:color="auto" w:fill="auto"/>
            <w:noWrap/>
            <w:hideMark/>
          </w:tcPr>
          <w:p w14:paraId="07235157"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Delaware (EEUU)</w:t>
            </w:r>
          </w:p>
        </w:tc>
        <w:tc>
          <w:tcPr>
            <w:tcW w:w="3827" w:type="dxa"/>
            <w:tcBorders>
              <w:top w:val="nil"/>
              <w:left w:val="nil"/>
              <w:bottom w:val="single" w:sz="4" w:space="0" w:color="auto"/>
              <w:right w:val="single" w:sz="4" w:space="0" w:color="auto"/>
            </w:tcBorders>
            <w:shd w:val="clear" w:color="auto" w:fill="auto"/>
            <w:hideMark/>
          </w:tcPr>
          <w:p w14:paraId="70F41EEA"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Obtención de plasma humano.</w:t>
            </w:r>
          </w:p>
        </w:tc>
      </w:tr>
      <w:tr w:rsidR="00BA0792" w:rsidRPr="00BE2DAE" w14:paraId="0D5BB598" w14:textId="77777777" w:rsidTr="006E3A41">
        <w:trPr>
          <w:trHeight w:val="600"/>
        </w:trPr>
        <w:tc>
          <w:tcPr>
            <w:tcW w:w="2850" w:type="dxa"/>
            <w:tcBorders>
              <w:top w:val="nil"/>
              <w:left w:val="single" w:sz="4" w:space="0" w:color="auto"/>
              <w:bottom w:val="single" w:sz="4" w:space="0" w:color="auto"/>
              <w:right w:val="single" w:sz="4" w:space="0" w:color="auto"/>
            </w:tcBorders>
            <w:shd w:val="clear" w:color="000000" w:fill="FFFFFF"/>
            <w:noWrap/>
            <w:hideMark/>
          </w:tcPr>
          <w:p w14:paraId="684A76BA"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Grifols (H.K.), Limited</w:t>
            </w:r>
          </w:p>
        </w:tc>
        <w:tc>
          <w:tcPr>
            <w:tcW w:w="1985" w:type="dxa"/>
            <w:tcBorders>
              <w:top w:val="nil"/>
              <w:left w:val="nil"/>
              <w:bottom w:val="single" w:sz="4" w:space="0" w:color="auto"/>
              <w:right w:val="single" w:sz="4" w:space="0" w:color="auto"/>
            </w:tcBorders>
            <w:shd w:val="clear" w:color="auto" w:fill="auto"/>
            <w:noWrap/>
            <w:hideMark/>
          </w:tcPr>
          <w:p w14:paraId="0BB9A7AC"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Hong Kong</w:t>
            </w:r>
          </w:p>
        </w:tc>
        <w:tc>
          <w:tcPr>
            <w:tcW w:w="3827" w:type="dxa"/>
            <w:tcBorders>
              <w:top w:val="nil"/>
              <w:left w:val="nil"/>
              <w:bottom w:val="single" w:sz="4" w:space="0" w:color="auto"/>
              <w:right w:val="single" w:sz="4" w:space="0" w:color="auto"/>
            </w:tcBorders>
            <w:shd w:val="clear" w:color="auto" w:fill="auto"/>
            <w:hideMark/>
          </w:tcPr>
          <w:p w14:paraId="6C622CC0"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Comercial. Distribución y venta de productos de diagnóstico.</w:t>
            </w:r>
          </w:p>
        </w:tc>
      </w:tr>
      <w:tr w:rsidR="00BA0792" w:rsidRPr="00BE2DAE" w14:paraId="4CB4A37F" w14:textId="77777777" w:rsidTr="006E3A41">
        <w:trPr>
          <w:trHeight w:val="1200"/>
        </w:trPr>
        <w:tc>
          <w:tcPr>
            <w:tcW w:w="2850" w:type="dxa"/>
            <w:tcBorders>
              <w:top w:val="nil"/>
              <w:left w:val="single" w:sz="4" w:space="0" w:color="auto"/>
              <w:bottom w:val="single" w:sz="4" w:space="0" w:color="auto"/>
              <w:right w:val="single" w:sz="4" w:space="0" w:color="auto"/>
            </w:tcBorders>
            <w:shd w:val="clear" w:color="000000" w:fill="FFFFFF"/>
            <w:noWrap/>
            <w:hideMark/>
          </w:tcPr>
          <w:p w14:paraId="125234CE"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Grifols Worldwide Operations Limited</w:t>
            </w:r>
          </w:p>
        </w:tc>
        <w:tc>
          <w:tcPr>
            <w:tcW w:w="1985" w:type="dxa"/>
            <w:tcBorders>
              <w:top w:val="nil"/>
              <w:left w:val="nil"/>
              <w:bottom w:val="single" w:sz="4" w:space="0" w:color="auto"/>
              <w:right w:val="single" w:sz="4" w:space="0" w:color="auto"/>
            </w:tcBorders>
            <w:shd w:val="clear" w:color="auto" w:fill="auto"/>
            <w:noWrap/>
            <w:hideMark/>
          </w:tcPr>
          <w:p w14:paraId="76C0793B"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Irlanda</w:t>
            </w:r>
          </w:p>
        </w:tc>
        <w:tc>
          <w:tcPr>
            <w:tcW w:w="3827" w:type="dxa"/>
            <w:tcBorders>
              <w:top w:val="nil"/>
              <w:left w:val="nil"/>
              <w:bottom w:val="single" w:sz="4" w:space="0" w:color="auto"/>
              <w:right w:val="single" w:sz="4" w:space="0" w:color="auto"/>
            </w:tcBorders>
            <w:shd w:val="clear" w:color="000000" w:fill="FFFFFF"/>
            <w:hideMark/>
          </w:tcPr>
          <w:p w14:paraId="50F7C7B1"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Envasar, etiquetar, almacenar, distribuir, fabricar, desarrollo de productos farmacéuticos y la prestación de servicios financieros a compañías del grupo.</w:t>
            </w:r>
          </w:p>
        </w:tc>
      </w:tr>
      <w:tr w:rsidR="00BA0792" w:rsidRPr="00BE2DAE" w14:paraId="2319B374" w14:textId="77777777" w:rsidTr="006E3A41">
        <w:trPr>
          <w:trHeight w:val="600"/>
        </w:trPr>
        <w:tc>
          <w:tcPr>
            <w:tcW w:w="2850" w:type="dxa"/>
            <w:tcBorders>
              <w:top w:val="nil"/>
              <w:left w:val="single" w:sz="4" w:space="0" w:color="auto"/>
              <w:bottom w:val="single" w:sz="4" w:space="0" w:color="auto"/>
              <w:right w:val="single" w:sz="4" w:space="0" w:color="auto"/>
            </w:tcBorders>
            <w:shd w:val="clear" w:color="000000" w:fill="FFFFFF"/>
            <w:noWrap/>
            <w:hideMark/>
          </w:tcPr>
          <w:p w14:paraId="48F122F1"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Squadron Reinsurance Ltd.</w:t>
            </w:r>
          </w:p>
        </w:tc>
        <w:tc>
          <w:tcPr>
            <w:tcW w:w="1985" w:type="dxa"/>
            <w:tcBorders>
              <w:top w:val="nil"/>
              <w:left w:val="nil"/>
              <w:bottom w:val="single" w:sz="4" w:space="0" w:color="auto"/>
              <w:right w:val="single" w:sz="4" w:space="0" w:color="auto"/>
            </w:tcBorders>
            <w:shd w:val="clear" w:color="auto" w:fill="auto"/>
            <w:noWrap/>
            <w:hideMark/>
          </w:tcPr>
          <w:p w14:paraId="65D64F4A"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Irlanda</w:t>
            </w:r>
          </w:p>
        </w:tc>
        <w:tc>
          <w:tcPr>
            <w:tcW w:w="3827" w:type="dxa"/>
            <w:tcBorders>
              <w:top w:val="nil"/>
              <w:left w:val="nil"/>
              <w:bottom w:val="single" w:sz="4" w:space="0" w:color="auto"/>
              <w:right w:val="single" w:sz="4" w:space="0" w:color="auto"/>
            </w:tcBorders>
            <w:shd w:val="clear" w:color="auto" w:fill="auto"/>
            <w:hideMark/>
          </w:tcPr>
          <w:p w14:paraId="69ACBE9E"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 xml:space="preserve">Servicios. </w:t>
            </w:r>
            <w:proofErr w:type="gramStart"/>
            <w:r w:rsidRPr="00BE2DAE">
              <w:rPr>
                <w:rFonts w:ascii="Open Sans" w:hAnsi="Open Sans"/>
                <w:color w:val="000000"/>
                <w:sz w:val="20"/>
                <w:szCs w:val="20"/>
              </w:rPr>
              <w:t>reaseguramiento</w:t>
            </w:r>
            <w:proofErr w:type="gramEnd"/>
            <w:r w:rsidRPr="00BE2DAE">
              <w:rPr>
                <w:rFonts w:ascii="Open Sans" w:hAnsi="Open Sans"/>
                <w:color w:val="000000"/>
                <w:sz w:val="20"/>
                <w:szCs w:val="20"/>
              </w:rPr>
              <w:t xml:space="preserve"> de las pólizas de seguros de las sociedades del Grupo.</w:t>
            </w:r>
          </w:p>
        </w:tc>
      </w:tr>
      <w:tr w:rsidR="00BA0792" w:rsidRPr="00BE2DAE" w14:paraId="429136B0" w14:textId="77777777" w:rsidTr="006E3A41">
        <w:trPr>
          <w:trHeight w:val="600"/>
        </w:trPr>
        <w:tc>
          <w:tcPr>
            <w:tcW w:w="2850" w:type="dxa"/>
            <w:tcBorders>
              <w:top w:val="nil"/>
              <w:left w:val="single" w:sz="4" w:space="0" w:color="auto"/>
              <w:bottom w:val="single" w:sz="4" w:space="0" w:color="auto"/>
              <w:right w:val="single" w:sz="4" w:space="0" w:color="auto"/>
            </w:tcBorders>
            <w:shd w:val="clear" w:color="000000" w:fill="FFFFFF"/>
            <w:noWrap/>
            <w:hideMark/>
          </w:tcPr>
          <w:p w14:paraId="2C062CE1" w14:textId="77777777" w:rsidR="00BA0792" w:rsidRPr="00BE2DAE" w:rsidRDefault="00BA0792" w:rsidP="006E3A41">
            <w:pPr>
              <w:rPr>
                <w:rFonts w:ascii="Open Sans" w:hAnsi="Open Sans"/>
                <w:color w:val="000000"/>
                <w:sz w:val="20"/>
                <w:szCs w:val="20"/>
                <w:lang w:val="en-GB"/>
              </w:rPr>
            </w:pPr>
            <w:r w:rsidRPr="00BE2DAE">
              <w:rPr>
                <w:rFonts w:ascii="Open Sans" w:hAnsi="Open Sans"/>
                <w:color w:val="000000"/>
                <w:sz w:val="20"/>
                <w:szCs w:val="20"/>
                <w:lang w:val="en-GB"/>
              </w:rPr>
              <w:t>Grifols Asia Pacific Pte. Ltd.</w:t>
            </w:r>
          </w:p>
        </w:tc>
        <w:tc>
          <w:tcPr>
            <w:tcW w:w="1985" w:type="dxa"/>
            <w:tcBorders>
              <w:top w:val="nil"/>
              <w:left w:val="nil"/>
              <w:bottom w:val="single" w:sz="4" w:space="0" w:color="auto"/>
              <w:right w:val="single" w:sz="4" w:space="0" w:color="auto"/>
            </w:tcBorders>
            <w:shd w:val="clear" w:color="auto" w:fill="auto"/>
            <w:noWrap/>
            <w:hideMark/>
          </w:tcPr>
          <w:p w14:paraId="03F46F03"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Singapur</w:t>
            </w:r>
          </w:p>
        </w:tc>
        <w:tc>
          <w:tcPr>
            <w:tcW w:w="3827" w:type="dxa"/>
            <w:tcBorders>
              <w:top w:val="nil"/>
              <w:left w:val="nil"/>
              <w:bottom w:val="single" w:sz="4" w:space="0" w:color="auto"/>
              <w:right w:val="single" w:sz="4" w:space="0" w:color="auto"/>
            </w:tcBorders>
            <w:shd w:val="clear" w:color="auto" w:fill="auto"/>
            <w:hideMark/>
          </w:tcPr>
          <w:p w14:paraId="53536D34"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Comercial. Distribución y venta de productos médicos y farmacéuticos.</w:t>
            </w:r>
          </w:p>
        </w:tc>
      </w:tr>
      <w:tr w:rsidR="00BA0792" w:rsidRPr="00BE2DAE" w14:paraId="168EDCAF" w14:textId="77777777" w:rsidTr="006E3A41">
        <w:trPr>
          <w:trHeight w:val="1500"/>
        </w:trPr>
        <w:tc>
          <w:tcPr>
            <w:tcW w:w="2850" w:type="dxa"/>
            <w:tcBorders>
              <w:top w:val="nil"/>
              <w:left w:val="single" w:sz="4" w:space="0" w:color="auto"/>
              <w:bottom w:val="single" w:sz="4" w:space="0" w:color="auto"/>
              <w:right w:val="single" w:sz="4" w:space="0" w:color="auto"/>
            </w:tcBorders>
            <w:shd w:val="clear" w:color="000000" w:fill="FFFFFF"/>
            <w:noWrap/>
            <w:hideMark/>
          </w:tcPr>
          <w:p w14:paraId="57EBCCC3"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Grifols Switzerland, AG</w:t>
            </w:r>
          </w:p>
        </w:tc>
        <w:tc>
          <w:tcPr>
            <w:tcW w:w="1985" w:type="dxa"/>
            <w:tcBorders>
              <w:top w:val="nil"/>
              <w:left w:val="nil"/>
              <w:bottom w:val="single" w:sz="4" w:space="0" w:color="auto"/>
              <w:right w:val="single" w:sz="4" w:space="0" w:color="auto"/>
            </w:tcBorders>
            <w:shd w:val="clear" w:color="auto" w:fill="auto"/>
            <w:noWrap/>
            <w:hideMark/>
          </w:tcPr>
          <w:p w14:paraId="0C1B31FB"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Suiza</w:t>
            </w:r>
          </w:p>
        </w:tc>
        <w:tc>
          <w:tcPr>
            <w:tcW w:w="3827" w:type="dxa"/>
            <w:tcBorders>
              <w:top w:val="nil"/>
              <w:left w:val="nil"/>
              <w:bottom w:val="single" w:sz="4" w:space="0" w:color="auto"/>
              <w:right w:val="single" w:sz="4" w:space="0" w:color="auto"/>
            </w:tcBorders>
            <w:shd w:val="clear" w:color="auto" w:fill="auto"/>
            <w:hideMark/>
          </w:tcPr>
          <w:p w14:paraId="0A591532"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Comercial. Investigación, desarrollo, importación y exportación y comercialización de productos farmacéuticos, dispositivos e instrumentos de diagnóstico.</w:t>
            </w:r>
          </w:p>
        </w:tc>
      </w:tr>
      <w:tr w:rsidR="00BA0792" w:rsidRPr="00BE2DAE" w14:paraId="005F150B" w14:textId="77777777" w:rsidTr="006E3A41">
        <w:trPr>
          <w:trHeight w:val="900"/>
        </w:trPr>
        <w:tc>
          <w:tcPr>
            <w:tcW w:w="2850" w:type="dxa"/>
            <w:tcBorders>
              <w:top w:val="nil"/>
              <w:left w:val="single" w:sz="4" w:space="0" w:color="auto"/>
              <w:bottom w:val="single" w:sz="4" w:space="0" w:color="auto"/>
              <w:right w:val="single" w:sz="4" w:space="0" w:color="auto"/>
            </w:tcBorders>
            <w:shd w:val="clear" w:color="000000" w:fill="FFFFFF"/>
            <w:noWrap/>
            <w:hideMark/>
          </w:tcPr>
          <w:p w14:paraId="01B4DDED"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Medion Diagnostic Grifols AG</w:t>
            </w:r>
          </w:p>
        </w:tc>
        <w:tc>
          <w:tcPr>
            <w:tcW w:w="1985" w:type="dxa"/>
            <w:tcBorders>
              <w:top w:val="nil"/>
              <w:left w:val="nil"/>
              <w:bottom w:val="single" w:sz="4" w:space="0" w:color="auto"/>
              <w:right w:val="single" w:sz="4" w:space="0" w:color="auto"/>
            </w:tcBorders>
            <w:shd w:val="clear" w:color="auto" w:fill="auto"/>
            <w:noWrap/>
            <w:hideMark/>
          </w:tcPr>
          <w:p w14:paraId="12B270FE"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Suiza</w:t>
            </w:r>
          </w:p>
        </w:tc>
        <w:tc>
          <w:tcPr>
            <w:tcW w:w="3827" w:type="dxa"/>
            <w:tcBorders>
              <w:top w:val="nil"/>
              <w:left w:val="nil"/>
              <w:bottom w:val="single" w:sz="4" w:space="0" w:color="auto"/>
              <w:right w:val="single" w:sz="4" w:space="0" w:color="auto"/>
            </w:tcBorders>
            <w:shd w:val="clear" w:color="000000" w:fill="FFFFFF"/>
            <w:hideMark/>
          </w:tcPr>
          <w:p w14:paraId="62A573F9" w14:textId="77777777" w:rsidR="00BA0792" w:rsidRPr="00BE2DAE" w:rsidRDefault="00BA0792" w:rsidP="006E3A41">
            <w:pPr>
              <w:rPr>
                <w:rFonts w:ascii="Open Sans" w:hAnsi="Open Sans"/>
                <w:color w:val="000000"/>
                <w:sz w:val="20"/>
                <w:szCs w:val="20"/>
              </w:rPr>
            </w:pPr>
            <w:r w:rsidRPr="00BE2DAE">
              <w:rPr>
                <w:rFonts w:ascii="Open Sans" w:hAnsi="Open Sans"/>
                <w:color w:val="000000"/>
                <w:sz w:val="20"/>
                <w:szCs w:val="20"/>
              </w:rPr>
              <w:t>Industrial. Realización de actividades de desarrollo y producción en el área de la biotecnología y el diagnóstico.</w:t>
            </w:r>
          </w:p>
        </w:tc>
      </w:tr>
    </w:tbl>
    <w:p w14:paraId="5AB6E497" w14:textId="77777777" w:rsidR="00BA0792" w:rsidRDefault="00BA0792" w:rsidP="00BA0792">
      <w:pPr>
        <w:jc w:val="both"/>
        <w:rPr>
          <w:rFonts w:ascii="Open Sans" w:hAnsi="Open Sans"/>
          <w:sz w:val="20"/>
          <w:szCs w:val="20"/>
        </w:rPr>
      </w:pPr>
    </w:p>
    <w:p w14:paraId="356C6B65" w14:textId="77777777" w:rsidR="00BA0792" w:rsidRPr="00CD203E" w:rsidRDefault="00BA0792" w:rsidP="00BA0792">
      <w:pPr>
        <w:jc w:val="both"/>
        <w:rPr>
          <w:rFonts w:ascii="Open Sans" w:hAnsi="Open Sans"/>
          <w:sz w:val="20"/>
          <w:szCs w:val="20"/>
        </w:rPr>
      </w:pPr>
    </w:p>
    <w:p w14:paraId="1B60D131" w14:textId="77777777" w:rsidR="00BA0792" w:rsidRDefault="00BA0792" w:rsidP="00BA0792">
      <w:pPr>
        <w:jc w:val="both"/>
        <w:rPr>
          <w:rFonts w:ascii="Open Sans" w:hAnsi="Open Sans" w:cs="Open Sans"/>
          <w:sz w:val="20"/>
          <w:szCs w:val="20"/>
        </w:rPr>
      </w:pPr>
      <w:r>
        <w:rPr>
          <w:rFonts w:ascii="Open Sans" w:hAnsi="Open Sans" w:cs="Open Sans"/>
          <w:sz w:val="20"/>
          <w:szCs w:val="20"/>
        </w:rPr>
        <w:t xml:space="preserve">Grifols cuenta con 10 sociedades en Delaware (EEUU). </w:t>
      </w:r>
      <w:r w:rsidRPr="004C6F3F">
        <w:rPr>
          <w:rFonts w:ascii="Open Sans" w:hAnsi="Open Sans" w:cs="Open Sans"/>
          <w:sz w:val="20"/>
          <w:szCs w:val="20"/>
        </w:rPr>
        <w:t xml:space="preserve">En relación </w:t>
      </w:r>
      <w:r>
        <w:rPr>
          <w:rFonts w:ascii="Open Sans" w:hAnsi="Open Sans" w:cs="Open Sans"/>
          <w:sz w:val="20"/>
          <w:szCs w:val="20"/>
        </w:rPr>
        <w:t>a estas filiales en las cuentas anuales figura como sede otras localizaciones de EEUU, sin embargo a través de fuentes externas</w:t>
      </w:r>
      <w:r>
        <w:rPr>
          <w:rStyle w:val="Refdenotaalpie"/>
          <w:rFonts w:ascii="Open Sans" w:hAnsi="Open Sans" w:cs="Open Sans"/>
          <w:sz w:val="20"/>
          <w:szCs w:val="20"/>
        </w:rPr>
        <w:footnoteReference w:id="202"/>
      </w:r>
      <w:r>
        <w:rPr>
          <w:rFonts w:ascii="Open Sans" w:hAnsi="Open Sans" w:cs="Open Sans"/>
          <w:sz w:val="20"/>
          <w:szCs w:val="20"/>
        </w:rPr>
        <w:t xml:space="preserve"> también se han identificado que se encuentran dadas de alta en Delaware. Así por ejemplo en el caso de Biomat SA, PlasmaCare y Talecris Plasma Resources (empresas que gestionan la obtención de plasma a través de centros de donaciones en todo EEUU) las tres aparecen con filiales en Delaware sin embargo en el listado de centros de donaciones no existe ninguno en esta jurisdicción</w:t>
      </w:r>
      <w:r>
        <w:rPr>
          <w:rStyle w:val="Refdenotaalpie"/>
          <w:rFonts w:ascii="Open Sans" w:hAnsi="Open Sans" w:cs="Open Sans"/>
          <w:sz w:val="20"/>
          <w:szCs w:val="20"/>
        </w:rPr>
        <w:footnoteReference w:id="203"/>
      </w:r>
      <w:r>
        <w:rPr>
          <w:rFonts w:ascii="Open Sans" w:hAnsi="Open Sans" w:cs="Open Sans"/>
          <w:sz w:val="20"/>
          <w:szCs w:val="20"/>
        </w:rPr>
        <w:t xml:space="preserve">. Además la empresa Talecris Plasma Resources de Delaware aparece como la compañía de control del resto de filiales.  Para el resto de sociedades la operativa es similar, pues aparecen en numerosas jurisdicciones en EEUU donde tiene operativa y siempre existe otra abierta en Delaware, </w:t>
      </w:r>
      <w:r w:rsidRPr="004C6F3F">
        <w:rPr>
          <w:rFonts w:ascii="Open Sans" w:hAnsi="Open Sans" w:cs="Open Sans"/>
          <w:sz w:val="20"/>
          <w:szCs w:val="20"/>
        </w:rPr>
        <w:t>no teniendo aparentemente actividad operativa en este estado.</w:t>
      </w:r>
    </w:p>
    <w:p w14:paraId="78D1CCD0" w14:textId="77777777" w:rsidR="00BA0792" w:rsidRDefault="00BA0792" w:rsidP="00BA0792">
      <w:pPr>
        <w:jc w:val="both"/>
        <w:rPr>
          <w:rFonts w:ascii="Open Sans" w:hAnsi="Open Sans" w:cs="Open Sans"/>
          <w:sz w:val="20"/>
          <w:szCs w:val="20"/>
        </w:rPr>
      </w:pPr>
    </w:p>
    <w:p w14:paraId="6C4613EC" w14:textId="77777777" w:rsidR="00BA0792" w:rsidRPr="00BA0792" w:rsidRDefault="00BA0792" w:rsidP="00BA0792">
      <w:pPr>
        <w:pStyle w:val="NormalWeb"/>
        <w:jc w:val="both"/>
        <w:rPr>
          <w:rFonts w:ascii="Open Sans" w:hAnsi="Open Sans" w:cs="Open Sans"/>
          <w:sz w:val="20"/>
          <w:szCs w:val="20"/>
        </w:rPr>
      </w:pPr>
      <w:r w:rsidRPr="00BA0792">
        <w:rPr>
          <w:rFonts w:ascii="Open Sans" w:hAnsi="Open Sans" w:cs="Open Sans"/>
          <w:sz w:val="20"/>
          <w:szCs w:val="20"/>
        </w:rPr>
        <w:t>En relación a Grifols Shared Services North America, Inc. (antes Grifols, Inc.), si bien la nueva denominación no aparece en Delaware se ha localizado a Grifols Inc en dos registros diferentes en Delaware, una filial con apertura en el año 2003 y la otra en 2012. No hay mayor información al respecto, solo que Grifols Shared Services North America, Inc. es la cabecera del grupo fiscal en EEUU</w:t>
      </w:r>
      <w:r w:rsidRPr="00BA0792">
        <w:rPr>
          <w:rStyle w:val="Refdenotaalpie"/>
          <w:rFonts w:ascii="Open Sans" w:hAnsi="Open Sans" w:cs="Open Sans"/>
          <w:sz w:val="20"/>
          <w:szCs w:val="20"/>
        </w:rPr>
        <w:footnoteReference w:id="204"/>
      </w:r>
      <w:r w:rsidRPr="00BA0792">
        <w:rPr>
          <w:rFonts w:ascii="Open Sans" w:hAnsi="Open Sans" w:cs="Open Sans"/>
          <w:sz w:val="20"/>
          <w:szCs w:val="20"/>
        </w:rPr>
        <w:t xml:space="preserve">. </w:t>
      </w:r>
    </w:p>
    <w:p w14:paraId="23AB3EED" w14:textId="77777777" w:rsidR="00BA0792" w:rsidRPr="00BA0792" w:rsidRDefault="00BA0792" w:rsidP="00BA0792">
      <w:pPr>
        <w:pStyle w:val="NormalWeb"/>
        <w:jc w:val="both"/>
        <w:rPr>
          <w:rFonts w:ascii="Open Sans" w:hAnsi="Open Sans" w:cs="Open Sans"/>
          <w:sz w:val="20"/>
          <w:szCs w:val="20"/>
        </w:rPr>
      </w:pPr>
    </w:p>
    <w:p w14:paraId="57773DBE" w14:textId="77777777" w:rsidR="00BA0792" w:rsidRDefault="00BA0792" w:rsidP="00BA0792">
      <w:pPr>
        <w:pStyle w:val="NormalWeb"/>
        <w:jc w:val="both"/>
        <w:rPr>
          <w:rFonts w:ascii="Open Sans" w:hAnsi="Open Sans" w:cs="Open Sans"/>
          <w:sz w:val="20"/>
          <w:szCs w:val="20"/>
        </w:rPr>
      </w:pPr>
      <w:r w:rsidRPr="00BA0792">
        <w:rPr>
          <w:rFonts w:ascii="Open Sans" w:hAnsi="Open Sans" w:cs="Open Sans"/>
          <w:sz w:val="20"/>
          <w:szCs w:val="20"/>
        </w:rPr>
        <w:t>La sociedad Grifols Worldwide Operations Limited de Irlanda fue constituida en 2013. Durante el ejercicio 2015 se ha trasladado todas las operaciones de la división Biociencia a Irlanda y además ha centralizado la gestión de la tesorería del Grupo, operando como acceso de Grifols a los mercados de capitales y asumiendo el papel de único prestatario (líneas de crédito, bonos, etc.) y único prestamista para las filiales del grupo</w:t>
      </w:r>
      <w:r w:rsidRPr="00BA0792">
        <w:rPr>
          <w:rStyle w:val="Refdenotaalpie"/>
          <w:rFonts w:ascii="Open Sans" w:hAnsi="Open Sans" w:cs="Open Sans"/>
          <w:sz w:val="20"/>
          <w:szCs w:val="20"/>
        </w:rPr>
        <w:footnoteReference w:id="205"/>
      </w:r>
      <w:r w:rsidRPr="00BA0792">
        <w:rPr>
          <w:rFonts w:ascii="Open Sans" w:hAnsi="Open Sans" w:cs="Open Sans"/>
          <w:sz w:val="20"/>
          <w:szCs w:val="20"/>
        </w:rPr>
        <w:t>.</w:t>
      </w:r>
    </w:p>
    <w:p w14:paraId="7B99CB35" w14:textId="77777777" w:rsidR="00BA0792" w:rsidRPr="00BA0792" w:rsidRDefault="00BA0792" w:rsidP="00BA0792">
      <w:pPr>
        <w:pStyle w:val="NormalWeb"/>
        <w:jc w:val="both"/>
        <w:rPr>
          <w:rFonts w:ascii="Open Sans" w:hAnsi="Open Sans" w:cs="Open Sans"/>
          <w:sz w:val="20"/>
          <w:szCs w:val="20"/>
        </w:rPr>
      </w:pPr>
    </w:p>
    <w:p w14:paraId="1488895A" w14:textId="77777777" w:rsidR="00BA0792" w:rsidRDefault="00BA0792" w:rsidP="00BA0792">
      <w:pPr>
        <w:pStyle w:val="NormalWeb"/>
        <w:jc w:val="both"/>
        <w:rPr>
          <w:rFonts w:ascii="Open Sans" w:hAnsi="Open Sans" w:cs="Open Sans"/>
          <w:sz w:val="20"/>
          <w:szCs w:val="20"/>
        </w:rPr>
      </w:pPr>
      <w:r w:rsidRPr="00BA0792">
        <w:rPr>
          <w:rFonts w:ascii="Open Sans" w:hAnsi="Open Sans" w:cs="Open Sans"/>
          <w:sz w:val="20"/>
          <w:szCs w:val="20"/>
        </w:rPr>
        <w:t xml:space="preserve">Grifols indica </w:t>
      </w:r>
      <w:r w:rsidRPr="00BA0792">
        <w:rPr>
          <w:rFonts w:ascii="Open Sans" w:hAnsi="Open Sans" w:cs="Open Sans"/>
          <w:bCs/>
          <w:sz w:val="20"/>
          <w:szCs w:val="20"/>
        </w:rPr>
        <w:t xml:space="preserve">en su política fiscal que no utiliza estructuras de carácter artificioso, ajenas a su actividad, con la finalidad de reducir la carga tributaria o la transferencia de beneficios. Sin embargo sin mayor información de la compañía al respecto no se puede constatar tal compromiso. Para ellos sería necesario que la empresa, </w:t>
      </w:r>
      <w:r w:rsidRPr="00BA0792">
        <w:rPr>
          <w:rFonts w:ascii="Open Sans" w:hAnsi="Open Sans" w:cs="Open Sans"/>
          <w:sz w:val="20"/>
          <w:szCs w:val="20"/>
        </w:rPr>
        <w:t>más allá de la información sobre localización, actividad y participación, que se aporta en las cuentas anuales, aportara información de manera desglosada sobre número de empleados vinculados con las mismas, datos de facturación, beneficios e impuestos pagados.</w:t>
      </w:r>
    </w:p>
    <w:p w14:paraId="5615AA89" w14:textId="77777777" w:rsidR="00BA0792" w:rsidRPr="00BA0792" w:rsidRDefault="00BA0792" w:rsidP="00BA0792">
      <w:pPr>
        <w:pStyle w:val="NormalWeb"/>
        <w:jc w:val="both"/>
        <w:rPr>
          <w:rFonts w:ascii="Open Sans" w:hAnsi="Open Sans" w:cs="Open Sans"/>
          <w:bCs/>
          <w:sz w:val="20"/>
          <w:szCs w:val="20"/>
        </w:rPr>
      </w:pPr>
    </w:p>
    <w:p w14:paraId="550A07AD" w14:textId="77777777" w:rsidR="00BA0792" w:rsidRDefault="00BA0792" w:rsidP="00BA0792">
      <w:pPr>
        <w:pStyle w:val="NormalWeb"/>
        <w:jc w:val="both"/>
        <w:rPr>
          <w:rFonts w:ascii="Open Sans" w:hAnsi="Open Sans" w:cs="Open Sans"/>
          <w:sz w:val="20"/>
          <w:szCs w:val="20"/>
        </w:rPr>
      </w:pPr>
      <w:r w:rsidRPr="00BA0792">
        <w:rPr>
          <w:rFonts w:ascii="Open Sans" w:hAnsi="Open Sans" w:cs="Open Sans"/>
          <w:sz w:val="20"/>
          <w:szCs w:val="20"/>
        </w:rPr>
        <w:t>La presencia de empresas internacionales en territorios considerados paraísos o nichos fiscales 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w:t>
      </w:r>
    </w:p>
    <w:p w14:paraId="183C3465" w14:textId="77777777" w:rsidR="00BA0792" w:rsidRPr="00BA0792" w:rsidRDefault="00BA0792" w:rsidP="00BA0792">
      <w:pPr>
        <w:pStyle w:val="NormalWeb"/>
        <w:jc w:val="both"/>
        <w:rPr>
          <w:rFonts w:ascii="Open Sans" w:hAnsi="Open Sans" w:cs="Open Sans"/>
          <w:bCs/>
          <w:sz w:val="20"/>
          <w:szCs w:val="20"/>
        </w:rPr>
      </w:pPr>
    </w:p>
    <w:p w14:paraId="7CD56AB6" w14:textId="77777777" w:rsidR="00BA0792" w:rsidRDefault="00BA0792" w:rsidP="00BA0792">
      <w:pPr>
        <w:jc w:val="both"/>
        <w:rPr>
          <w:rFonts w:ascii="Open Sans" w:hAnsi="Open Sans"/>
          <w:sz w:val="20"/>
          <w:szCs w:val="20"/>
        </w:rPr>
      </w:pPr>
      <w:r>
        <w:rPr>
          <w:rFonts w:ascii="Open Sans" w:hAnsi="Open Sans" w:cs="Open Sans"/>
          <w:sz w:val="20"/>
          <w:szCs w:val="20"/>
        </w:rPr>
        <w:t xml:space="preserve">Grifols indica en su informe de gobierno corporativo que es competencia del consejo de administración la aprobación de la creación o adquisición de participaciones en entidades </w:t>
      </w:r>
      <w:r w:rsidRPr="00324488">
        <w:rPr>
          <w:rFonts w:ascii="Open Sans" w:hAnsi="Open Sans"/>
          <w:sz w:val="20"/>
          <w:szCs w:val="20"/>
        </w:rPr>
        <w:t>domiciliadas en países o territorios que tengan cons</w:t>
      </w:r>
      <w:r>
        <w:rPr>
          <w:rFonts w:ascii="Open Sans" w:hAnsi="Open Sans"/>
          <w:sz w:val="20"/>
          <w:szCs w:val="20"/>
        </w:rPr>
        <w:t xml:space="preserve">ideración de paraísos fiscales, previo informe del comité de auditoría. </w:t>
      </w:r>
    </w:p>
    <w:p w14:paraId="226BB36B" w14:textId="77777777" w:rsidR="00BA0792" w:rsidRDefault="00BA0792" w:rsidP="00BA0792">
      <w:pPr>
        <w:jc w:val="both"/>
        <w:rPr>
          <w:rFonts w:ascii="Open Sans" w:hAnsi="Open Sans"/>
          <w:sz w:val="20"/>
          <w:szCs w:val="20"/>
        </w:rPr>
      </w:pPr>
    </w:p>
    <w:p w14:paraId="18CEC78C" w14:textId="77777777" w:rsidR="00BA0792" w:rsidRDefault="00BA0792" w:rsidP="00BA0792">
      <w:pPr>
        <w:jc w:val="both"/>
        <w:rPr>
          <w:rFonts w:ascii="Open Sans" w:hAnsi="Open Sans"/>
          <w:sz w:val="20"/>
          <w:szCs w:val="20"/>
        </w:rPr>
      </w:pPr>
      <w:r>
        <w:rPr>
          <w:rFonts w:ascii="Open Sans" w:hAnsi="Open Sans"/>
          <w:sz w:val="20"/>
          <w:szCs w:val="20"/>
        </w:rPr>
        <w:t>Por otro lado los mayores accionistas de Grifols son tres firmas vinculadas con miembros de la familia Grifols, Deria SA (</w:t>
      </w:r>
      <w:r w:rsidRPr="001B2428">
        <w:rPr>
          <w:rFonts w:ascii="Open Sans" w:hAnsi="Open Sans"/>
          <w:sz w:val="20"/>
          <w:szCs w:val="20"/>
        </w:rPr>
        <w:t>8,87%</w:t>
      </w:r>
      <w:r>
        <w:rPr>
          <w:rFonts w:ascii="Open Sans" w:hAnsi="Open Sans"/>
          <w:sz w:val="20"/>
          <w:szCs w:val="20"/>
        </w:rPr>
        <w:t xml:space="preserve">), </w:t>
      </w:r>
      <w:r w:rsidRPr="001D2FEF">
        <w:rPr>
          <w:rFonts w:ascii="Open Sans" w:hAnsi="Open Sans"/>
          <w:sz w:val="20"/>
          <w:szCs w:val="20"/>
        </w:rPr>
        <w:t>Scranton Enterprises B.V.</w:t>
      </w:r>
      <w:r>
        <w:rPr>
          <w:rFonts w:ascii="Open Sans" w:hAnsi="Open Sans"/>
          <w:sz w:val="20"/>
          <w:szCs w:val="20"/>
        </w:rPr>
        <w:t xml:space="preserve"> (</w:t>
      </w:r>
      <w:r w:rsidRPr="001D2FEF">
        <w:rPr>
          <w:rFonts w:ascii="Open Sans" w:hAnsi="Open Sans"/>
          <w:sz w:val="20"/>
          <w:szCs w:val="20"/>
        </w:rPr>
        <w:t>8,55%</w:t>
      </w:r>
      <w:r>
        <w:rPr>
          <w:rFonts w:ascii="Open Sans" w:hAnsi="Open Sans"/>
          <w:sz w:val="20"/>
          <w:szCs w:val="20"/>
        </w:rPr>
        <w:t xml:space="preserve">) y </w:t>
      </w:r>
      <w:r w:rsidRPr="001D2FEF">
        <w:rPr>
          <w:rFonts w:ascii="Open Sans" w:hAnsi="Open Sans"/>
          <w:sz w:val="20"/>
          <w:szCs w:val="20"/>
        </w:rPr>
        <w:t>Thorthol Holdings B.V.</w:t>
      </w:r>
      <w:r>
        <w:rPr>
          <w:rFonts w:ascii="Open Sans" w:hAnsi="Open Sans"/>
          <w:sz w:val="20"/>
          <w:szCs w:val="20"/>
        </w:rPr>
        <w:t xml:space="preserve"> (7,06%). Además Nuria Roura Carreras (miembro de la familia Grifols) tiene un 6,15% de participaciones de manera indirecta a través de la sociedad Rodellar Amsterdam Holdings B.V. Todas, excepto Deria SA,  se encuentran radicadas en Holanda, </w:t>
      </w:r>
      <w:r w:rsidRPr="00724C1E">
        <w:rPr>
          <w:rFonts w:ascii="Open Sans" w:hAnsi="Open Sans" w:cs="Open Sans"/>
          <w:sz w:val="20"/>
          <w:szCs w:val="20"/>
        </w:rPr>
        <w:t>país conocido por sus ventajas fiscales para no residentes</w:t>
      </w:r>
      <w:r>
        <w:rPr>
          <w:rFonts w:ascii="Open Sans" w:hAnsi="Open Sans" w:cs="Open Sans"/>
          <w:sz w:val="20"/>
          <w:szCs w:val="20"/>
        </w:rPr>
        <w:t xml:space="preserve">. </w:t>
      </w:r>
    </w:p>
    <w:p w14:paraId="4FC9F7C3" w14:textId="77777777" w:rsidR="00BA0792" w:rsidRPr="00100D26" w:rsidRDefault="00BA0792" w:rsidP="00BA0792">
      <w:pPr>
        <w:jc w:val="both"/>
        <w:rPr>
          <w:rFonts w:ascii="Open Sans" w:hAnsi="Open Sans"/>
          <w:sz w:val="20"/>
          <w:szCs w:val="20"/>
        </w:rPr>
      </w:pPr>
      <w:r>
        <w:rPr>
          <w:rFonts w:ascii="Open Sans" w:hAnsi="Open Sans"/>
          <w:sz w:val="20"/>
          <w:szCs w:val="20"/>
        </w:rPr>
        <w:t xml:space="preserve"> </w:t>
      </w:r>
    </w:p>
    <w:p w14:paraId="1232CCA2"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El consejo de administración de Grifols aprobó en diciembre de 2015 la política de cumplimiento </w:t>
      </w:r>
      <w:r w:rsidRPr="00F2014E">
        <w:rPr>
          <w:rFonts w:ascii="Open Sans" w:hAnsi="Open Sans" w:cs="Arial"/>
          <w:bCs/>
          <w:sz w:val="20"/>
          <w:szCs w:val="20"/>
        </w:rPr>
        <w:t>y buen</w:t>
      </w:r>
      <w:r>
        <w:rPr>
          <w:rFonts w:ascii="Open Sans" w:hAnsi="Open Sans" w:cs="Arial"/>
          <w:bCs/>
          <w:sz w:val="20"/>
          <w:szCs w:val="20"/>
        </w:rPr>
        <w:t xml:space="preserve">as prácticas en materia fiscal. La política, además de ser pública, se encuentra comentada y explica su relación con la fiscalidad responsable. </w:t>
      </w:r>
    </w:p>
    <w:p w14:paraId="41E11FB2" w14:textId="77777777" w:rsidR="00BA0792" w:rsidRDefault="00BA0792" w:rsidP="00BA0792">
      <w:pPr>
        <w:jc w:val="both"/>
        <w:rPr>
          <w:rFonts w:ascii="Open Sans" w:hAnsi="Open Sans" w:cs="Arial"/>
          <w:bCs/>
          <w:sz w:val="20"/>
          <w:szCs w:val="20"/>
        </w:rPr>
      </w:pPr>
    </w:p>
    <w:p w14:paraId="7489B605"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Expone que se encuentra limitada  el  cumplimiento  de  la </w:t>
      </w:r>
      <w:r w:rsidRPr="00B710D4">
        <w:rPr>
          <w:rFonts w:ascii="Open Sans" w:hAnsi="Open Sans" w:cs="Arial"/>
          <w:bCs/>
          <w:sz w:val="20"/>
          <w:szCs w:val="20"/>
        </w:rPr>
        <w:t>normativa  tributaria  vigente  aplicable  en  cada  uno  de  los  países  en  los</w:t>
      </w:r>
      <w:r>
        <w:rPr>
          <w:rFonts w:ascii="Open Sans" w:hAnsi="Open Sans" w:cs="Arial"/>
          <w:bCs/>
          <w:sz w:val="20"/>
          <w:szCs w:val="20"/>
        </w:rPr>
        <w:t xml:space="preserve">  que  Grifols  desarrolla  su </w:t>
      </w:r>
      <w:r w:rsidRPr="00B710D4">
        <w:rPr>
          <w:rFonts w:ascii="Open Sans" w:hAnsi="Open Sans" w:cs="Arial"/>
          <w:bCs/>
          <w:sz w:val="20"/>
          <w:szCs w:val="20"/>
        </w:rPr>
        <w:t>actividad,  bajo  los  principios  de  fiscalidad  responsable,  prude</w:t>
      </w:r>
      <w:r>
        <w:rPr>
          <w:rFonts w:ascii="Open Sans" w:hAnsi="Open Sans" w:cs="Arial"/>
          <w:bCs/>
          <w:sz w:val="20"/>
          <w:szCs w:val="20"/>
        </w:rPr>
        <w:t xml:space="preserve">ncia  y  colaboración  con  la </w:t>
      </w:r>
      <w:r w:rsidRPr="00B710D4">
        <w:rPr>
          <w:rFonts w:ascii="Open Sans" w:hAnsi="Open Sans" w:cs="Arial"/>
          <w:bCs/>
          <w:sz w:val="20"/>
          <w:szCs w:val="20"/>
        </w:rPr>
        <w:t>Administración.</w:t>
      </w:r>
      <w:r>
        <w:rPr>
          <w:rFonts w:ascii="Open Sans" w:hAnsi="Open Sans" w:cs="Arial"/>
          <w:bCs/>
          <w:sz w:val="20"/>
          <w:szCs w:val="20"/>
        </w:rPr>
        <w:t xml:space="preserve"> Añade que se enmarca en un </w:t>
      </w:r>
      <w:r w:rsidRPr="00FA571D">
        <w:rPr>
          <w:rFonts w:ascii="Open Sans" w:hAnsi="Open Sans" w:cs="Arial"/>
          <w:bCs/>
          <w:sz w:val="20"/>
          <w:szCs w:val="20"/>
        </w:rPr>
        <w:t xml:space="preserve">contexto de cumplimiento con los principios de fiscalidad internacional enunciados en instituciones como el Comité de Asuntos Fiscales de la OCDE o la Unión Europea. </w:t>
      </w:r>
    </w:p>
    <w:p w14:paraId="6218CD28" w14:textId="77777777" w:rsidR="00BA0792" w:rsidRDefault="00BA0792" w:rsidP="00BA0792">
      <w:pPr>
        <w:jc w:val="both"/>
        <w:rPr>
          <w:rFonts w:ascii="Open Sans" w:hAnsi="Open Sans" w:cs="Arial"/>
          <w:bCs/>
          <w:sz w:val="20"/>
          <w:szCs w:val="20"/>
        </w:rPr>
      </w:pPr>
    </w:p>
    <w:p w14:paraId="6C8374BC"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Dentro de los principios que contempla dicha política se destaca la prevención de los riesgos fiscales significativos mediante la implantación de sistemas internos de información y control. Sin embargo en la información que aporta Grifols en relación a la gestión de riesgos, no hay ninguna evidencia de que se hayan identificado riesgos fiscales. Es el comité de auditoría el que tiene asignadas las funciones de supervisión de control interno y los sistemas de gestión de riesgos incluidos los fiscales. Durante el ejercicio 2015 se ha reunido en siete ocasiones pero según el informe de funcionamiento del comité de auditoría en materia fiscal solo se ha procedido a la aprobación de la política de cumplimiento </w:t>
      </w:r>
      <w:r w:rsidRPr="00F2014E">
        <w:rPr>
          <w:rFonts w:ascii="Open Sans" w:hAnsi="Open Sans" w:cs="Arial"/>
          <w:bCs/>
          <w:sz w:val="20"/>
          <w:szCs w:val="20"/>
        </w:rPr>
        <w:t>y buen</w:t>
      </w:r>
      <w:r>
        <w:rPr>
          <w:rFonts w:ascii="Open Sans" w:hAnsi="Open Sans" w:cs="Arial"/>
          <w:bCs/>
          <w:sz w:val="20"/>
          <w:szCs w:val="20"/>
        </w:rPr>
        <w:t xml:space="preserve">as prácticas en materia fiscal. </w:t>
      </w:r>
    </w:p>
    <w:p w14:paraId="0A223E25" w14:textId="77777777" w:rsidR="00BA0792" w:rsidRDefault="00BA0792" w:rsidP="00BA0792">
      <w:pPr>
        <w:jc w:val="both"/>
        <w:rPr>
          <w:rFonts w:ascii="Open Sans" w:hAnsi="Open Sans" w:cs="Arial"/>
          <w:bCs/>
          <w:sz w:val="20"/>
          <w:szCs w:val="20"/>
        </w:rPr>
      </w:pPr>
    </w:p>
    <w:p w14:paraId="5EB6D001"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El mapa de riesgos que se explica en el informe de gobierno corporativo no menciona la existencia de riesgos en este sentido y tampoco se especifica medidas que se hayan adoptado para mitigarlos a excepción de la aprobación de la política de cumplimiento </w:t>
      </w:r>
      <w:r w:rsidRPr="00F2014E">
        <w:rPr>
          <w:rFonts w:ascii="Open Sans" w:hAnsi="Open Sans" w:cs="Arial"/>
          <w:bCs/>
          <w:sz w:val="20"/>
          <w:szCs w:val="20"/>
        </w:rPr>
        <w:t>y buen</w:t>
      </w:r>
      <w:r>
        <w:rPr>
          <w:rFonts w:ascii="Open Sans" w:hAnsi="Open Sans" w:cs="Arial"/>
          <w:bCs/>
          <w:sz w:val="20"/>
          <w:szCs w:val="20"/>
        </w:rPr>
        <w:t xml:space="preserve">as prácticas en materia fiscal. </w:t>
      </w:r>
    </w:p>
    <w:p w14:paraId="2656A9E8" w14:textId="77777777" w:rsidR="00BA0792" w:rsidRDefault="00BA0792" w:rsidP="00BA0792">
      <w:pPr>
        <w:jc w:val="both"/>
        <w:rPr>
          <w:rFonts w:ascii="Open Sans" w:hAnsi="Open Sans" w:cs="Arial"/>
          <w:bCs/>
          <w:sz w:val="20"/>
          <w:szCs w:val="20"/>
        </w:rPr>
      </w:pPr>
    </w:p>
    <w:p w14:paraId="65C0E034"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La aprobación de la política en materia fiscal se trata de un primer paso necesario para integrar los valores de una fiscalidad responsable dentro de la empresa pero si además no viene acompañada de procedimientos concretos es imposible conocer si la empresa está </w:t>
      </w:r>
      <w:proofErr w:type="gramStart"/>
      <w:r>
        <w:rPr>
          <w:rFonts w:ascii="Open Sans" w:hAnsi="Open Sans" w:cs="Arial"/>
          <w:bCs/>
          <w:sz w:val="20"/>
          <w:szCs w:val="20"/>
        </w:rPr>
        <w:t>implementado dichos compromisos</w:t>
      </w:r>
      <w:proofErr w:type="gramEnd"/>
      <w:r>
        <w:rPr>
          <w:rFonts w:ascii="Open Sans" w:hAnsi="Open Sans" w:cs="Arial"/>
          <w:bCs/>
          <w:sz w:val="20"/>
          <w:szCs w:val="20"/>
        </w:rPr>
        <w:t xml:space="preserve">. </w:t>
      </w:r>
    </w:p>
    <w:p w14:paraId="33660A33" w14:textId="77777777" w:rsidR="00BA0792" w:rsidRDefault="00BA0792" w:rsidP="00BA0792">
      <w:pPr>
        <w:jc w:val="both"/>
        <w:rPr>
          <w:rFonts w:ascii="Open Sans" w:hAnsi="Open Sans" w:cs="Arial"/>
          <w:bCs/>
          <w:sz w:val="20"/>
          <w:szCs w:val="20"/>
        </w:rPr>
      </w:pPr>
    </w:p>
    <w:p w14:paraId="6CA2222A" w14:textId="77777777" w:rsidR="00BA0792" w:rsidRDefault="00BA0792" w:rsidP="00BA0792">
      <w:pPr>
        <w:jc w:val="both"/>
        <w:rPr>
          <w:rFonts w:ascii="Open Sans" w:hAnsi="Open Sans" w:cs="Arial"/>
          <w:bCs/>
          <w:sz w:val="20"/>
          <w:szCs w:val="20"/>
        </w:rPr>
      </w:pPr>
      <w:r>
        <w:rPr>
          <w:rFonts w:ascii="Open Sans" w:hAnsi="Open Sans" w:cs="Arial"/>
          <w:bCs/>
          <w:sz w:val="20"/>
          <w:szCs w:val="20"/>
        </w:rPr>
        <w:t>Se ha encontrado una mención en el código ético del grupo Grifols a una pauta de actuación de los empleados para denunciar operaciones opacas. En caso de apreciar algún indicio, como por ejemplo, “p</w:t>
      </w:r>
      <w:r w:rsidRPr="006778B2">
        <w:rPr>
          <w:rFonts w:ascii="Open Sans" w:hAnsi="Open Sans" w:cs="Arial"/>
          <w:bCs/>
          <w:sz w:val="20"/>
          <w:szCs w:val="20"/>
        </w:rPr>
        <w:t>agos hechos desde o que se solicite se hagan a países sin relación alguna con la operación en s</w:t>
      </w:r>
      <w:r>
        <w:rPr>
          <w:rFonts w:ascii="Open Sans" w:hAnsi="Open Sans" w:cs="Arial"/>
          <w:bCs/>
          <w:sz w:val="20"/>
          <w:szCs w:val="20"/>
        </w:rPr>
        <w:t xml:space="preserve">í, incluyendo paraísos fiscales”, el empleado debe informar a través del mecanismo habilitado, el canal de denuncia. La política anticorrupción también alude a que en posibles </w:t>
      </w:r>
      <w:r w:rsidRPr="00F24292">
        <w:rPr>
          <w:rFonts w:ascii="Open Sans" w:hAnsi="Open Sans" w:cs="Arial"/>
          <w:bCs/>
          <w:sz w:val="20"/>
          <w:szCs w:val="20"/>
        </w:rPr>
        <w:t>joint ventures, fusiones, adquisiciones u oportunidades similares de negocio, los miembros de Grifols deben consultar con el Departamento de Compliance o el Departamento/Asesores Legales sobre la realización de la due diligence que resulte apropiada o la adopción de otras medidas de precaución adecuadas antes de cualquier decisión comercial, incluyendo cualquier acuerdo preliminar</w:t>
      </w:r>
      <w:r>
        <w:rPr>
          <w:rFonts w:ascii="Open Sans" w:hAnsi="Open Sans" w:cs="Arial"/>
          <w:bCs/>
          <w:sz w:val="20"/>
          <w:szCs w:val="20"/>
        </w:rPr>
        <w:t xml:space="preserve">. </w:t>
      </w:r>
    </w:p>
    <w:p w14:paraId="230584B8"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Pero más allá de esta indicación para los empleados se desconoce qué mecanismos ha habilitado la empresa para dar cumplimiento a su política fiscal. </w:t>
      </w:r>
    </w:p>
    <w:p w14:paraId="25C14A35" w14:textId="77777777" w:rsidR="00BA0792" w:rsidRDefault="00BA0792" w:rsidP="00BA0792">
      <w:pPr>
        <w:jc w:val="both"/>
        <w:rPr>
          <w:rFonts w:ascii="Open Sans" w:hAnsi="Open Sans" w:cs="Arial"/>
          <w:bCs/>
          <w:sz w:val="20"/>
          <w:szCs w:val="20"/>
        </w:rPr>
      </w:pPr>
    </w:p>
    <w:p w14:paraId="0348920C"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A través de las cuentas anuales consolidadas se informa de las filiales dependientes y asociadas además de la fecha </w:t>
      </w:r>
      <w:r w:rsidRPr="001B7109">
        <w:rPr>
          <w:rFonts w:ascii="Open Sans" w:hAnsi="Open Sans" w:cs="Arial"/>
          <w:bCs/>
          <w:sz w:val="20"/>
          <w:szCs w:val="20"/>
        </w:rPr>
        <w:t>constitución, domicilio compl</w:t>
      </w:r>
      <w:r>
        <w:rPr>
          <w:rFonts w:ascii="Open Sans" w:hAnsi="Open Sans" w:cs="Arial"/>
          <w:bCs/>
          <w:sz w:val="20"/>
          <w:szCs w:val="20"/>
        </w:rPr>
        <w:t xml:space="preserve">eto, actividad y objeto social y porcentaje de </w:t>
      </w:r>
      <w:r w:rsidRPr="001B7109">
        <w:rPr>
          <w:rFonts w:ascii="Open Sans" w:hAnsi="Open Sans" w:cs="Arial"/>
          <w:bCs/>
          <w:sz w:val="20"/>
          <w:szCs w:val="20"/>
        </w:rPr>
        <w:t>participación directa e indirecta.</w:t>
      </w:r>
      <w:r>
        <w:rPr>
          <w:rFonts w:ascii="Open Sans" w:hAnsi="Open Sans" w:cs="Arial"/>
          <w:bCs/>
          <w:sz w:val="20"/>
          <w:szCs w:val="20"/>
        </w:rPr>
        <w:t xml:space="preserve"> Sin embargo no se aporta información clara sobre la estructura societaria de quien ostenta la participación indirecta. </w:t>
      </w:r>
    </w:p>
    <w:p w14:paraId="12179215" w14:textId="77777777" w:rsidR="00BA0792" w:rsidRDefault="00BA0792" w:rsidP="00BA0792">
      <w:pPr>
        <w:rPr>
          <w:rFonts w:ascii="Open Sans" w:hAnsi="Open Sans" w:cs="Arial"/>
          <w:bCs/>
          <w:sz w:val="20"/>
          <w:szCs w:val="20"/>
        </w:rPr>
      </w:pPr>
    </w:p>
    <w:p w14:paraId="2D4BDA31"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Grifols indica expresamente en su política fiscal que el pago de impuestos es para la empresa un elemento esencial de su política de responsabilidad social y un pilar de su contribución económica y social a la comunidad. Se compromete con el principio de cumplir adecuadamente con la legislación vigente tributando </w:t>
      </w:r>
      <w:r w:rsidRPr="00D3168E">
        <w:rPr>
          <w:rFonts w:ascii="Open Sans" w:hAnsi="Open Sans" w:cs="Arial"/>
          <w:bCs/>
          <w:sz w:val="20"/>
          <w:szCs w:val="20"/>
        </w:rPr>
        <w:t>en todos los países en los que opera de forma justa</w:t>
      </w:r>
      <w:r>
        <w:rPr>
          <w:rFonts w:ascii="Open Sans" w:hAnsi="Open Sans" w:cs="Arial"/>
          <w:bCs/>
          <w:sz w:val="20"/>
          <w:szCs w:val="20"/>
        </w:rPr>
        <w:t xml:space="preserve"> e indica que l</w:t>
      </w:r>
      <w:r w:rsidRPr="00576D2E">
        <w:rPr>
          <w:rFonts w:ascii="Open Sans" w:hAnsi="Open Sans" w:cs="Arial"/>
          <w:bCs/>
          <w:sz w:val="20"/>
          <w:szCs w:val="20"/>
        </w:rPr>
        <w:t xml:space="preserve">a transparencia informativa en materia fiscal </w:t>
      </w:r>
      <w:r>
        <w:rPr>
          <w:rFonts w:ascii="Open Sans" w:hAnsi="Open Sans" w:cs="Arial"/>
          <w:bCs/>
          <w:sz w:val="20"/>
          <w:szCs w:val="20"/>
        </w:rPr>
        <w:t>es esencial.</w:t>
      </w:r>
    </w:p>
    <w:p w14:paraId="51FE5ADF" w14:textId="77777777" w:rsidR="00BA0792" w:rsidRDefault="00BA0792" w:rsidP="00BA0792">
      <w:pPr>
        <w:jc w:val="both"/>
        <w:rPr>
          <w:rFonts w:ascii="Open Sans" w:hAnsi="Open Sans" w:cs="Arial"/>
          <w:bCs/>
          <w:sz w:val="20"/>
          <w:szCs w:val="20"/>
        </w:rPr>
      </w:pPr>
    </w:p>
    <w:p w14:paraId="25F10B62"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Pese a estas declaraciones de principios la empresa no aporta datos de impuestos pagados de manera desglosada por país. Se limita a informar en las cuentas anuales consolidadas de la cifra total pagada por el impuesto sobre los beneficios que en el ejercicio 2015 ha ascendido en el grupo consolidado a 158,8 millones de euros. Tal y como está presentada esta información es imposible conocer cual es la contribución real de la empresa a las haciendas públicas de los países en los que realiza operaciones, estando al mismo tiempo  en contradicción con el compromiso de transparencia en materia fiscal. </w:t>
      </w:r>
    </w:p>
    <w:p w14:paraId="2B4E776F" w14:textId="77777777" w:rsidR="00BA0792" w:rsidRDefault="00BA0792" w:rsidP="00BA0792">
      <w:pPr>
        <w:jc w:val="both"/>
        <w:rPr>
          <w:rFonts w:ascii="Open Sans" w:hAnsi="Open Sans" w:cs="Arial"/>
          <w:bCs/>
          <w:sz w:val="20"/>
          <w:szCs w:val="20"/>
        </w:rPr>
      </w:pPr>
    </w:p>
    <w:p w14:paraId="7C48A614"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Grifols presenta información fiscal consolidada de todas las filiales incluidas en el grupo. Se informa que Grifols SA en España y  </w:t>
      </w:r>
      <w:r w:rsidRPr="00AC3448">
        <w:rPr>
          <w:rFonts w:ascii="Open Sans" w:hAnsi="Open Sans" w:cs="Arial"/>
          <w:bCs/>
          <w:sz w:val="20"/>
          <w:szCs w:val="20"/>
        </w:rPr>
        <w:t>Grifols Shared Services North America</w:t>
      </w:r>
      <w:r>
        <w:rPr>
          <w:rFonts w:ascii="Open Sans" w:hAnsi="Open Sans" w:cs="Arial"/>
          <w:bCs/>
          <w:sz w:val="20"/>
          <w:szCs w:val="20"/>
        </w:rPr>
        <w:t xml:space="preserve"> en EEUU son las empresas autorizadas en España y en EEU para t</w:t>
      </w:r>
      <w:r w:rsidRPr="00AC4E2C">
        <w:rPr>
          <w:rFonts w:ascii="Open Sans" w:hAnsi="Open Sans" w:cs="Arial"/>
          <w:bCs/>
          <w:sz w:val="20"/>
          <w:szCs w:val="20"/>
        </w:rPr>
        <w:t>ributar por el Impuesto sobre las Ganancias en régimen de declaración consolidada</w:t>
      </w:r>
      <w:r>
        <w:rPr>
          <w:rFonts w:ascii="Open Sans" w:hAnsi="Open Sans" w:cs="Arial"/>
          <w:bCs/>
          <w:sz w:val="20"/>
          <w:szCs w:val="20"/>
        </w:rPr>
        <w:t>. Indica las empresas que están bajo el paraguas de estas dos y que la tasa impositiva en España ha sido del 28% y en EEUU</w:t>
      </w:r>
      <w:r w:rsidRPr="00AC4E2C">
        <w:rPr>
          <w:rFonts w:ascii="Open Sans" w:hAnsi="Open Sans" w:cs="Arial"/>
          <w:bCs/>
          <w:sz w:val="20"/>
          <w:szCs w:val="20"/>
        </w:rPr>
        <w:t xml:space="preserve"> alrededor del 37,5% sobre la base imponible</w:t>
      </w:r>
      <w:r>
        <w:rPr>
          <w:rFonts w:ascii="Open Sans" w:hAnsi="Open Sans" w:cs="Arial"/>
          <w:bCs/>
          <w:sz w:val="20"/>
          <w:szCs w:val="20"/>
        </w:rPr>
        <w:t xml:space="preserve">. Sin embargo tras la aplicación de diversas deducciones (19,4 millones de euros) y efectos de diferentes tipos impositivos derivados de la generación de beneficios en distintos países (24,5 millones de euros), la tasa efectiva resultante en el ejercicio 2015 ha sido del 23%. </w:t>
      </w:r>
    </w:p>
    <w:p w14:paraId="0A18356B" w14:textId="77777777" w:rsidR="00BA0792" w:rsidRDefault="00BA0792" w:rsidP="00BA0792">
      <w:pPr>
        <w:jc w:val="both"/>
        <w:rPr>
          <w:rFonts w:ascii="Open Sans" w:hAnsi="Open Sans" w:cs="Arial"/>
          <w:bCs/>
          <w:sz w:val="20"/>
          <w:szCs w:val="20"/>
        </w:rPr>
      </w:pPr>
    </w:p>
    <w:p w14:paraId="5DC60FED"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Grifols no aporta información sobre deducciones, exenciones y créditos fiscales de manera desglosada por país. Se conoce a nivel consolidado que se ha deducido 19,4 millones de la base imponible consolidada pero se desconoce a que son debidas dichas deducciones. </w:t>
      </w:r>
    </w:p>
    <w:p w14:paraId="125DF0EF" w14:textId="77777777" w:rsidR="00BA0792" w:rsidRDefault="00BA0792" w:rsidP="00BA0792">
      <w:pPr>
        <w:jc w:val="both"/>
        <w:rPr>
          <w:rFonts w:ascii="Open Sans" w:hAnsi="Open Sans" w:cs="Arial"/>
          <w:bCs/>
          <w:sz w:val="20"/>
          <w:szCs w:val="20"/>
        </w:rPr>
      </w:pPr>
    </w:p>
    <w:p w14:paraId="38F0C1A3" w14:textId="77777777" w:rsidR="00BA0792" w:rsidRPr="00304C88" w:rsidRDefault="00BA0792" w:rsidP="00BA0792">
      <w:pPr>
        <w:jc w:val="both"/>
        <w:rPr>
          <w:rFonts w:ascii="Open Sans" w:hAnsi="Open Sans" w:cs="Arial"/>
          <w:bCs/>
          <w:sz w:val="20"/>
          <w:szCs w:val="20"/>
        </w:rPr>
      </w:pPr>
      <w:r>
        <w:rPr>
          <w:rFonts w:ascii="Open Sans" w:hAnsi="Open Sans" w:cs="Arial"/>
          <w:bCs/>
          <w:sz w:val="20"/>
          <w:szCs w:val="20"/>
        </w:rPr>
        <w:t>Tampoco aporta información desglosada en relación a la activación de créditos fiscales. Solo indica que tiene bases imponibles negativas pendientes de compensar de sociedades norteamericanas y españolas y que el grupo no ha reconocido como activos por impuestos diferidos, el</w:t>
      </w:r>
      <w:r w:rsidRPr="00304C88">
        <w:rPr>
          <w:rFonts w:ascii="Open Sans" w:hAnsi="Open Sans" w:cs="Arial"/>
          <w:bCs/>
          <w:sz w:val="20"/>
          <w:szCs w:val="20"/>
        </w:rPr>
        <w:t xml:space="preserve"> efecto fiscal de las bases imponibles negativas pendientes de compensar de socieda</w:t>
      </w:r>
      <w:r>
        <w:rPr>
          <w:rFonts w:ascii="Open Sans" w:hAnsi="Open Sans" w:cs="Arial"/>
          <w:bCs/>
          <w:sz w:val="20"/>
          <w:szCs w:val="20"/>
        </w:rPr>
        <w:t xml:space="preserve">des del Grupo por importe de 67,9 millones de euros. </w:t>
      </w:r>
    </w:p>
    <w:p w14:paraId="074168A1"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 </w:t>
      </w:r>
    </w:p>
    <w:p w14:paraId="735796DE" w14:textId="77777777" w:rsidR="00BA0792" w:rsidRDefault="00BA0792" w:rsidP="00BA0792">
      <w:pPr>
        <w:jc w:val="both"/>
        <w:rPr>
          <w:rFonts w:ascii="Open Sans" w:hAnsi="Open Sans" w:cs="Arial"/>
          <w:bCs/>
          <w:sz w:val="20"/>
          <w:szCs w:val="20"/>
        </w:rPr>
      </w:pPr>
      <w:r>
        <w:rPr>
          <w:rFonts w:ascii="Open Sans" w:hAnsi="Open Sans" w:cs="Arial"/>
          <w:bCs/>
          <w:sz w:val="20"/>
          <w:szCs w:val="20"/>
        </w:rPr>
        <w:t>En las cuentas anuales consolidadas del grupo fiscal Grifols SA se informa, también de manera consolidada, de deducciones y bonificaciones por 2,4 millones,</w:t>
      </w:r>
      <w:r>
        <w:rPr>
          <w:rStyle w:val="Refdenotaalpie"/>
          <w:rFonts w:ascii="Open Sans" w:hAnsi="Open Sans" w:cs="Arial"/>
          <w:bCs/>
          <w:sz w:val="20"/>
          <w:szCs w:val="20"/>
        </w:rPr>
        <w:footnoteReference w:id="206"/>
      </w:r>
      <w:r>
        <w:rPr>
          <w:rFonts w:ascii="Open Sans" w:hAnsi="Open Sans" w:cs="Arial"/>
          <w:bCs/>
          <w:sz w:val="20"/>
          <w:szCs w:val="20"/>
        </w:rPr>
        <w:t xml:space="preserve"> pero sin indicar a que se deben, así como de una exención por doble imposición de 87,6 millones de euros</w:t>
      </w:r>
      <w:r>
        <w:rPr>
          <w:rStyle w:val="Refdenotaalpie"/>
          <w:rFonts w:ascii="Open Sans" w:hAnsi="Open Sans" w:cs="Arial"/>
          <w:bCs/>
          <w:sz w:val="20"/>
          <w:szCs w:val="20"/>
        </w:rPr>
        <w:footnoteReference w:id="207"/>
      </w:r>
      <w:r>
        <w:rPr>
          <w:rFonts w:ascii="Open Sans" w:hAnsi="Open Sans" w:cs="Arial"/>
          <w:bCs/>
          <w:sz w:val="20"/>
          <w:szCs w:val="20"/>
        </w:rPr>
        <w:t xml:space="preserve">. No se tiene acceso a información del grupo fiscal </w:t>
      </w:r>
      <w:r w:rsidRPr="00AC3448">
        <w:rPr>
          <w:rFonts w:ascii="Open Sans" w:hAnsi="Open Sans" w:cs="Arial"/>
          <w:bCs/>
          <w:sz w:val="20"/>
          <w:szCs w:val="20"/>
        </w:rPr>
        <w:t>Grifols Shared Services North America</w:t>
      </w:r>
      <w:r>
        <w:rPr>
          <w:rFonts w:ascii="Open Sans" w:hAnsi="Open Sans" w:cs="Arial"/>
          <w:bCs/>
          <w:sz w:val="20"/>
          <w:szCs w:val="20"/>
        </w:rPr>
        <w:t xml:space="preserve"> ni tampoco a la información económica del resto de filiales. En el caso de la empresa </w:t>
      </w:r>
      <w:r w:rsidRPr="003D0EC7">
        <w:rPr>
          <w:rFonts w:ascii="Open Sans" w:hAnsi="Open Sans" w:cs="Arial"/>
          <w:bCs/>
          <w:sz w:val="20"/>
          <w:szCs w:val="20"/>
        </w:rPr>
        <w:t>Grifols Worldwide Operations Limited (Irlanda)</w:t>
      </w:r>
      <w:r>
        <w:rPr>
          <w:rFonts w:ascii="Open Sans" w:hAnsi="Open Sans" w:cs="Arial"/>
          <w:bCs/>
          <w:sz w:val="20"/>
          <w:szCs w:val="20"/>
        </w:rPr>
        <w:t xml:space="preserve"> además indica que según </w:t>
      </w:r>
      <w:r w:rsidRPr="003D0EC7">
        <w:rPr>
          <w:rFonts w:ascii="Open Sans" w:hAnsi="Open Sans" w:cs="Arial"/>
          <w:bCs/>
          <w:sz w:val="20"/>
          <w:szCs w:val="20"/>
        </w:rPr>
        <w:t>la Ley de Sociedades de Irlanda de 2014</w:t>
      </w:r>
      <w:r>
        <w:rPr>
          <w:rFonts w:ascii="Open Sans" w:hAnsi="Open Sans" w:cs="Arial"/>
          <w:bCs/>
          <w:sz w:val="20"/>
          <w:szCs w:val="20"/>
        </w:rPr>
        <w:t xml:space="preserve"> se</w:t>
      </w:r>
      <w:r w:rsidRPr="003D0EC7">
        <w:rPr>
          <w:rFonts w:ascii="Open Sans" w:hAnsi="Open Sans" w:cs="Arial"/>
          <w:bCs/>
          <w:sz w:val="20"/>
          <w:szCs w:val="20"/>
        </w:rPr>
        <w:t xml:space="preserve"> encuentra habilitada para solicitar la exención de la obligación de depositar sus estados financieros en Irlanda en relación con el ejercicio finalizado el 31 de diciembre 2015</w:t>
      </w:r>
      <w:r>
        <w:rPr>
          <w:rStyle w:val="Refdenotaalpie"/>
          <w:rFonts w:ascii="Open Sans" w:hAnsi="Open Sans" w:cs="Arial"/>
          <w:bCs/>
          <w:sz w:val="20"/>
          <w:szCs w:val="20"/>
        </w:rPr>
        <w:footnoteReference w:id="208"/>
      </w:r>
      <w:r>
        <w:rPr>
          <w:rFonts w:ascii="Open Sans" w:hAnsi="Open Sans" w:cs="Arial"/>
          <w:bCs/>
          <w:sz w:val="20"/>
          <w:szCs w:val="20"/>
        </w:rPr>
        <w:t>.</w:t>
      </w:r>
    </w:p>
    <w:p w14:paraId="0243AD33" w14:textId="77777777" w:rsidR="00BA0792" w:rsidRDefault="00BA0792" w:rsidP="00BA0792">
      <w:pPr>
        <w:jc w:val="both"/>
        <w:rPr>
          <w:rFonts w:ascii="Open Sans" w:hAnsi="Open Sans" w:cs="Arial"/>
          <w:bCs/>
          <w:sz w:val="20"/>
          <w:szCs w:val="20"/>
        </w:rPr>
      </w:pPr>
    </w:p>
    <w:p w14:paraId="79583C64" w14:textId="77777777" w:rsidR="00BA0792" w:rsidRDefault="00BA0792" w:rsidP="00BA0792">
      <w:pPr>
        <w:jc w:val="both"/>
        <w:rPr>
          <w:rFonts w:ascii="Open Sans" w:hAnsi="Open Sans" w:cs="Arial"/>
          <w:sz w:val="20"/>
          <w:szCs w:val="20"/>
        </w:rPr>
      </w:pPr>
      <w:r>
        <w:rPr>
          <w:rFonts w:ascii="Open Sans" w:hAnsi="Open Sans" w:cs="Arial"/>
          <w:bCs/>
          <w:sz w:val="20"/>
          <w:szCs w:val="20"/>
        </w:rPr>
        <w:t xml:space="preserve">La falta de información más transparente y con un desglose por país sobre deducciones, exenciones y créditos fiscales que sea aplicado para el pago de impuestos sobre los beneficios es relevante </w:t>
      </w:r>
      <w:r w:rsidRPr="00F90114">
        <w:rPr>
          <w:rFonts w:ascii="Open Sans" w:hAnsi="Open Sans" w:cs="Arial"/>
          <w:sz w:val="20"/>
          <w:szCs w:val="20"/>
        </w:rPr>
        <w:t xml:space="preserve">pues en algunos casos puede condicionar la imputación de beneficios en un país u en otro en base a este tipo de incentivos fiscales. </w:t>
      </w:r>
      <w:r>
        <w:rPr>
          <w:rFonts w:ascii="Open Sans" w:hAnsi="Open Sans" w:cs="Arial"/>
          <w:sz w:val="20"/>
          <w:szCs w:val="20"/>
        </w:rPr>
        <w:t xml:space="preserve"> </w:t>
      </w:r>
    </w:p>
    <w:p w14:paraId="58B2CC60" w14:textId="77777777" w:rsidR="00BA0792" w:rsidRPr="00AF748F" w:rsidRDefault="00BA0792" w:rsidP="00BA0792">
      <w:pPr>
        <w:jc w:val="both"/>
        <w:rPr>
          <w:rFonts w:ascii="Open Sans" w:hAnsi="Open Sans" w:cs="Arial"/>
          <w:bCs/>
          <w:sz w:val="20"/>
          <w:szCs w:val="20"/>
        </w:rPr>
      </w:pPr>
    </w:p>
    <w:p w14:paraId="4911B161" w14:textId="77777777" w:rsidR="00BA0792" w:rsidRPr="00BA0792" w:rsidRDefault="00BA0792" w:rsidP="00BA0792">
      <w:pPr>
        <w:pStyle w:val="NormalWeb"/>
        <w:jc w:val="both"/>
        <w:rPr>
          <w:rFonts w:ascii="Open Sans" w:hAnsi="Open Sans" w:cs="Arial"/>
          <w:bCs/>
          <w:sz w:val="20"/>
          <w:szCs w:val="20"/>
        </w:rPr>
      </w:pPr>
      <w:r w:rsidRPr="00BA0792">
        <w:rPr>
          <w:rFonts w:ascii="Open Sans" w:hAnsi="Open Sans" w:cs="Arial"/>
          <w:bCs/>
          <w:sz w:val="20"/>
          <w:szCs w:val="20"/>
        </w:rPr>
        <w:t xml:space="preserve">Mucha de la operativa del grupo se realiza en diversos nichos fiscales con ventajas fiscales muy favorables para el asentamiento de empresas en sus territorios. En el ejercicio 2015 Grifols trasladó su centro de operaciones de la división Biociencia a Irlanda. Algunas de las actividades de EEUU cuenta con filiales, aparentemente no operativas, en Delaware. También parte de la actividad comercial del grupo está localizada en Suiza, Hong Kong y Singapure, considerados nichos fiscales por la organización Tax Justice Network. </w:t>
      </w:r>
    </w:p>
    <w:p w14:paraId="5E5755DD" w14:textId="77777777" w:rsidR="00BA0792" w:rsidRPr="0007749A" w:rsidRDefault="00BA0792" w:rsidP="00BA0792">
      <w:pPr>
        <w:pStyle w:val="NormalWeb"/>
        <w:jc w:val="both"/>
        <w:rPr>
          <w:rFonts w:ascii="Open Sans" w:hAnsi="Open Sans" w:cs="Open Sans"/>
        </w:rPr>
      </w:pPr>
    </w:p>
    <w:p w14:paraId="46CEBA1E" w14:textId="77777777" w:rsidR="00BA0792" w:rsidRPr="00096D6F" w:rsidRDefault="00BA0792" w:rsidP="00BA0792">
      <w:pPr>
        <w:jc w:val="both"/>
        <w:rPr>
          <w:rFonts w:ascii="Open Sans" w:eastAsia="Calibri" w:hAnsi="Open Sans" w:cs="Arial"/>
          <w:bCs/>
          <w:sz w:val="20"/>
          <w:szCs w:val="20"/>
        </w:rPr>
      </w:pPr>
      <w:r w:rsidRPr="000408E8">
        <w:rPr>
          <w:rFonts w:ascii="Open Sans" w:eastAsia="Calibri" w:hAnsi="Open Sans" w:cs="Arial"/>
          <w:bCs/>
          <w:sz w:val="20"/>
          <w:szCs w:val="20"/>
        </w:rPr>
        <w:t xml:space="preserve">Grifols no informa de las subvenciones recibidas país a país y tampoco aporta información sobre quién se las </w:t>
      </w:r>
      <w:r>
        <w:rPr>
          <w:rFonts w:ascii="Open Sans" w:eastAsia="Calibri" w:hAnsi="Open Sans" w:cs="Arial"/>
          <w:bCs/>
          <w:sz w:val="20"/>
          <w:szCs w:val="20"/>
        </w:rPr>
        <w:t xml:space="preserve">ha </w:t>
      </w:r>
      <w:r w:rsidRPr="000408E8">
        <w:rPr>
          <w:rFonts w:ascii="Open Sans" w:eastAsia="Calibri" w:hAnsi="Open Sans" w:cs="Arial"/>
          <w:bCs/>
          <w:sz w:val="20"/>
          <w:szCs w:val="20"/>
        </w:rPr>
        <w:t xml:space="preserve">concedido y </w:t>
      </w:r>
      <w:r>
        <w:rPr>
          <w:rFonts w:ascii="Open Sans" w:eastAsia="Calibri" w:hAnsi="Open Sans" w:cs="Arial"/>
          <w:bCs/>
          <w:sz w:val="20"/>
          <w:szCs w:val="20"/>
        </w:rPr>
        <w:t xml:space="preserve">los </w:t>
      </w:r>
      <w:r w:rsidRPr="000408E8">
        <w:rPr>
          <w:rFonts w:ascii="Open Sans" w:eastAsia="Calibri" w:hAnsi="Open Sans" w:cs="Arial"/>
          <w:bCs/>
          <w:sz w:val="20"/>
          <w:szCs w:val="20"/>
        </w:rPr>
        <w:t xml:space="preserve">motivos. En relación a esta cuestión indica que ha recibido en 2015 subvenciones de capital (12,2 millones de euros) subvenciones de tipo de interés (créditos privilegiados por 851 miles de euros) y subvenciones de explotación como compensación por gastos o pérdidas ya incurridas. En relación a los créditos privilegiados se indica que corresponde al tipo de interés implícito en los créditos concedidos por el Ministerio de Ciencia y Tecnología al no devengar estos intereses. Por último que el importe total de subvenciones reconocido en la cuenta de pérdidas y ganancias ha sido de 1.227 miles de euros. </w:t>
      </w:r>
    </w:p>
    <w:p w14:paraId="03C6EF9D" w14:textId="77777777" w:rsidR="00BA0792" w:rsidRDefault="00BA0792" w:rsidP="00BA0792">
      <w:pPr>
        <w:rPr>
          <w:rFonts w:ascii="Open Sans" w:hAnsi="Open Sans" w:cs="Arial"/>
          <w:bCs/>
          <w:sz w:val="20"/>
          <w:szCs w:val="20"/>
        </w:rPr>
      </w:pPr>
    </w:p>
    <w:p w14:paraId="01E2FDEE"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Grifols no se encuentra adherida en ningún país a códigos de buenas prácticas tributarias. En su política fiscal expresa su compromiso con </w:t>
      </w:r>
      <w:r w:rsidRPr="008E4DF6">
        <w:rPr>
          <w:rFonts w:ascii="Open Sans" w:hAnsi="Open Sans" w:cs="Arial"/>
          <w:bCs/>
          <w:sz w:val="20"/>
          <w:szCs w:val="20"/>
        </w:rPr>
        <w:t xml:space="preserve">una relación cooperativa y fluida con las Administraciones Tributarias, con la colaboración en la detección y búsqueda de soluciones respecto a las prácticas fiscales fraudulentas que puedan desarrollarse en los mercados en los que opera. </w:t>
      </w:r>
    </w:p>
    <w:p w14:paraId="7C344728" w14:textId="77777777" w:rsidR="00BA0792" w:rsidRDefault="00BA0792" w:rsidP="00BA0792">
      <w:pPr>
        <w:jc w:val="both"/>
        <w:rPr>
          <w:rFonts w:ascii="Open Sans" w:hAnsi="Open Sans" w:cs="Arial"/>
          <w:bCs/>
          <w:sz w:val="20"/>
          <w:szCs w:val="20"/>
        </w:rPr>
      </w:pPr>
    </w:p>
    <w:p w14:paraId="7C9AD678" w14:textId="77777777" w:rsidR="00BA0792" w:rsidRPr="000C15DB" w:rsidRDefault="00BA0792" w:rsidP="00BA0792">
      <w:pPr>
        <w:jc w:val="both"/>
        <w:rPr>
          <w:rFonts w:ascii="Open Sans" w:hAnsi="Open Sans" w:cs="Arial"/>
          <w:bCs/>
          <w:sz w:val="20"/>
          <w:szCs w:val="20"/>
        </w:rPr>
      </w:pPr>
      <w:r>
        <w:rPr>
          <w:rFonts w:ascii="Open Sans" w:hAnsi="Open Sans" w:cs="Arial"/>
          <w:bCs/>
          <w:sz w:val="20"/>
          <w:szCs w:val="20"/>
        </w:rPr>
        <w:t xml:space="preserve">Más allá de este compromiso genérico no aporta ninguna otra información que indique cómo está cooperando con las administraciones tributarias en este sentido. En la información de las cuentas anuales consolidadas indica que tiene varios ejercicios abiertos a inspección por las autoridades fiscales pero que espera que no surja </w:t>
      </w:r>
      <w:r w:rsidRPr="000C15DB">
        <w:rPr>
          <w:rFonts w:ascii="Open Sans" w:hAnsi="Open Sans" w:cs="Arial"/>
          <w:bCs/>
          <w:sz w:val="20"/>
          <w:szCs w:val="20"/>
        </w:rPr>
        <w:t>ningún pasivo significativo derivado de estas inspecciones.</w:t>
      </w:r>
    </w:p>
    <w:p w14:paraId="5B22C3FC" w14:textId="77777777" w:rsidR="00BA0792" w:rsidRDefault="00BA0792" w:rsidP="00BA0792">
      <w:pPr>
        <w:jc w:val="both"/>
        <w:rPr>
          <w:rFonts w:ascii="Open Sans" w:hAnsi="Open Sans" w:cs="Arial"/>
          <w:bCs/>
          <w:sz w:val="20"/>
          <w:szCs w:val="20"/>
        </w:rPr>
      </w:pPr>
    </w:p>
    <w:p w14:paraId="5FC58744" w14:textId="77777777" w:rsidR="00BA0792" w:rsidRDefault="00BA0792" w:rsidP="00BA0792">
      <w:pPr>
        <w:jc w:val="both"/>
        <w:rPr>
          <w:rFonts w:ascii="Open Sans" w:hAnsi="Open Sans" w:cs="Arial"/>
          <w:bCs/>
          <w:sz w:val="20"/>
          <w:szCs w:val="20"/>
        </w:rPr>
      </w:pPr>
    </w:p>
    <w:p w14:paraId="37E32B0C" w14:textId="77777777" w:rsidR="00BA0792" w:rsidRPr="00C664A7" w:rsidRDefault="00BA0792" w:rsidP="00BA0792">
      <w:pPr>
        <w:pStyle w:val="Prrafodelista"/>
        <w:numPr>
          <w:ilvl w:val="0"/>
          <w:numId w:val="13"/>
        </w:numPr>
        <w:jc w:val="both"/>
        <w:rPr>
          <w:rFonts w:ascii="Open Sans" w:hAnsi="Open Sans" w:cs="Arial"/>
          <w:bCs/>
          <w:sz w:val="20"/>
          <w:szCs w:val="20"/>
        </w:rPr>
      </w:pPr>
      <w:r w:rsidRPr="006D0282">
        <w:rPr>
          <w:rFonts w:ascii="Open Sans" w:hAnsi="Open Sans" w:cs="Arial"/>
          <w:bCs/>
          <w:sz w:val="20"/>
          <w:szCs w:val="20"/>
        </w:rPr>
        <w:t>En EEUU, Grifols Shared Services North America, Inc. y subsidiarias en relación a “Federal Income Tax”, por la “State Income tax” y por retenciones a empleados.</w:t>
      </w:r>
    </w:p>
    <w:p w14:paraId="20F7420E" w14:textId="77777777" w:rsidR="00BA0792" w:rsidRPr="006D0282" w:rsidRDefault="00BA0792" w:rsidP="00BA0792">
      <w:pPr>
        <w:pStyle w:val="Prrafodelista"/>
        <w:numPr>
          <w:ilvl w:val="0"/>
          <w:numId w:val="13"/>
        </w:numPr>
        <w:jc w:val="both"/>
        <w:rPr>
          <w:rFonts w:ascii="Open Sans" w:hAnsi="Open Sans" w:cs="Arial"/>
          <w:bCs/>
          <w:sz w:val="20"/>
          <w:szCs w:val="20"/>
        </w:rPr>
      </w:pPr>
      <w:r w:rsidRPr="006D0282">
        <w:rPr>
          <w:rFonts w:ascii="Open Sans" w:hAnsi="Open Sans" w:cs="Arial"/>
          <w:bCs/>
          <w:sz w:val="20"/>
          <w:szCs w:val="20"/>
        </w:rPr>
        <w:t xml:space="preserve">Grifols S.A, Intituto Grifols, S.A, Movaco, S.A. y Biomat, S.A.: notificación de inspección sobre Impuesto de Sociedades, Retenciones e IVA. </w:t>
      </w:r>
    </w:p>
    <w:p w14:paraId="48ADCCA1" w14:textId="77777777" w:rsidR="00BA0792" w:rsidRPr="006D0282" w:rsidRDefault="00BA0792" w:rsidP="00BA0792">
      <w:pPr>
        <w:pStyle w:val="Prrafodelista"/>
        <w:numPr>
          <w:ilvl w:val="0"/>
          <w:numId w:val="13"/>
        </w:numPr>
        <w:jc w:val="both"/>
        <w:rPr>
          <w:rFonts w:ascii="Open Sans" w:hAnsi="Open Sans" w:cs="Arial"/>
          <w:bCs/>
          <w:sz w:val="20"/>
          <w:szCs w:val="20"/>
        </w:rPr>
      </w:pPr>
      <w:r w:rsidRPr="006D0282">
        <w:rPr>
          <w:rFonts w:ascii="Open Sans" w:hAnsi="Open Sans" w:cs="Arial"/>
          <w:bCs/>
          <w:sz w:val="20"/>
          <w:szCs w:val="20"/>
        </w:rPr>
        <w:t xml:space="preserve">Grifols Deutschland GmbH: notificación de inspección sobre retenciones a los empleados </w:t>
      </w:r>
    </w:p>
    <w:p w14:paraId="4E902982" w14:textId="77777777" w:rsidR="00BA0792" w:rsidRPr="006D0282" w:rsidRDefault="00BA0792" w:rsidP="00BA0792">
      <w:pPr>
        <w:pStyle w:val="Prrafodelista"/>
        <w:numPr>
          <w:ilvl w:val="0"/>
          <w:numId w:val="13"/>
        </w:numPr>
        <w:jc w:val="both"/>
        <w:rPr>
          <w:rFonts w:ascii="Open Sans" w:hAnsi="Open Sans" w:cs="Arial"/>
          <w:bCs/>
          <w:sz w:val="20"/>
          <w:szCs w:val="20"/>
        </w:rPr>
      </w:pPr>
      <w:r w:rsidRPr="006D0282">
        <w:rPr>
          <w:rFonts w:ascii="Open Sans" w:hAnsi="Open Sans" w:cs="Arial"/>
          <w:bCs/>
          <w:sz w:val="20"/>
          <w:szCs w:val="20"/>
        </w:rPr>
        <w:t xml:space="preserve">Grifols Italia, S.p.A.: notificación de inspección sobre Impuesto de Sociedades, Retenciones e IVA. </w:t>
      </w:r>
    </w:p>
    <w:p w14:paraId="0B954515" w14:textId="77777777" w:rsidR="00BA0792" w:rsidRDefault="00BA0792" w:rsidP="00BA0792">
      <w:pPr>
        <w:jc w:val="both"/>
        <w:rPr>
          <w:rFonts w:ascii="Courier New" w:eastAsia="Calibri" w:hAnsi="Courier New" w:cs="Courier New"/>
          <w:color w:val="000000"/>
          <w:sz w:val="19"/>
          <w:szCs w:val="19"/>
        </w:rPr>
      </w:pPr>
    </w:p>
    <w:p w14:paraId="7887FCD5" w14:textId="77777777" w:rsidR="00BA0792" w:rsidRPr="005B1B7D" w:rsidRDefault="00BA0792" w:rsidP="00BA0792">
      <w:pPr>
        <w:jc w:val="both"/>
        <w:rPr>
          <w:rFonts w:ascii="Open Sans" w:hAnsi="Open Sans" w:cs="Arial"/>
          <w:bCs/>
          <w:sz w:val="20"/>
          <w:szCs w:val="20"/>
        </w:rPr>
      </w:pPr>
      <w:r w:rsidRPr="005B1B7D">
        <w:rPr>
          <w:rFonts w:ascii="Open Sans" w:hAnsi="Open Sans" w:cs="Arial"/>
          <w:bCs/>
          <w:sz w:val="20"/>
          <w:szCs w:val="20"/>
        </w:rPr>
        <w:t xml:space="preserve">Tiene provisionados 4,9 millones de euros en provisiones no corrientes de las cuales 1,5 indica que son “otras provisiones” pero no indica a que son debidas. </w:t>
      </w:r>
    </w:p>
    <w:p w14:paraId="13FB7F27" w14:textId="77777777" w:rsidR="00BA0792" w:rsidRDefault="00BA0792" w:rsidP="00BA0792">
      <w:pPr>
        <w:jc w:val="both"/>
        <w:rPr>
          <w:rFonts w:ascii="Open Sans" w:hAnsi="Open Sans" w:cs="Arial"/>
          <w:bCs/>
          <w:sz w:val="20"/>
          <w:szCs w:val="20"/>
        </w:rPr>
      </w:pPr>
    </w:p>
    <w:p w14:paraId="3249B3BD"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Grifols no informa de su actividad de lobby. En el código ético y en la política anticorrupción, Grifols contempla el marco de actuación en relación a estas actividades pero no hay información publicada por la empresa sobre si realiza este tipo de actividad de manera directa o indirecta a través de asociaciones a las que pertenezca y en qué cantidades </w:t>
      </w:r>
      <w:proofErr w:type="gramStart"/>
      <w:r>
        <w:rPr>
          <w:rFonts w:ascii="Open Sans" w:hAnsi="Open Sans" w:cs="Arial"/>
          <w:bCs/>
          <w:sz w:val="20"/>
          <w:szCs w:val="20"/>
        </w:rPr>
        <w:t>a</w:t>
      </w:r>
      <w:proofErr w:type="gramEnd"/>
      <w:r>
        <w:rPr>
          <w:rFonts w:ascii="Open Sans" w:hAnsi="Open Sans" w:cs="Arial"/>
          <w:bCs/>
          <w:sz w:val="20"/>
          <w:szCs w:val="20"/>
        </w:rPr>
        <w:t xml:space="preserve"> destinado a tal fin. A través de fuentes externas se conoce que Grifols es miembro de </w:t>
      </w:r>
      <w:r w:rsidRPr="009972DC">
        <w:rPr>
          <w:rFonts w:ascii="Open Sans" w:hAnsi="Open Sans" w:cs="Arial"/>
          <w:bCs/>
          <w:sz w:val="20"/>
          <w:szCs w:val="20"/>
        </w:rPr>
        <w:t xml:space="preserve">European Confederation of Pharmaceutical Entrepreneurs </w:t>
      </w:r>
      <w:r>
        <w:rPr>
          <w:rFonts w:ascii="Open Sans" w:hAnsi="Open Sans" w:cs="Arial"/>
          <w:bCs/>
          <w:sz w:val="20"/>
          <w:szCs w:val="20"/>
        </w:rPr>
        <w:t>(EUCOPE)</w:t>
      </w:r>
      <w:r>
        <w:rPr>
          <w:rStyle w:val="Refdenotaalpie"/>
          <w:rFonts w:ascii="Open Sans" w:hAnsi="Open Sans" w:cs="Arial"/>
          <w:bCs/>
          <w:sz w:val="20"/>
          <w:szCs w:val="20"/>
        </w:rPr>
        <w:footnoteReference w:id="209"/>
      </w:r>
      <w:r>
        <w:rPr>
          <w:rFonts w:ascii="Open Sans" w:hAnsi="Open Sans" w:cs="Arial"/>
          <w:bCs/>
          <w:sz w:val="20"/>
          <w:szCs w:val="20"/>
        </w:rPr>
        <w:t>, PhRma</w:t>
      </w:r>
      <w:r>
        <w:rPr>
          <w:rStyle w:val="Refdenotaalpie"/>
          <w:rFonts w:ascii="Open Sans" w:hAnsi="Open Sans" w:cs="Arial"/>
          <w:bCs/>
          <w:sz w:val="20"/>
          <w:szCs w:val="20"/>
        </w:rPr>
        <w:footnoteReference w:id="210"/>
      </w:r>
      <w:r>
        <w:rPr>
          <w:rFonts w:ascii="Open Sans" w:hAnsi="Open Sans" w:cs="Arial"/>
          <w:bCs/>
          <w:sz w:val="20"/>
          <w:szCs w:val="20"/>
        </w:rPr>
        <w:t>, Plasma Protein</w:t>
      </w:r>
      <w:r w:rsidRPr="009972DC">
        <w:rPr>
          <w:rFonts w:ascii="Open Sans" w:hAnsi="Open Sans" w:cs="Arial"/>
          <w:bCs/>
          <w:sz w:val="20"/>
          <w:szCs w:val="20"/>
        </w:rPr>
        <w:t>s</w:t>
      </w:r>
      <w:r>
        <w:rPr>
          <w:rFonts w:ascii="Open Sans" w:hAnsi="Open Sans" w:cs="Arial"/>
          <w:bCs/>
          <w:sz w:val="20"/>
          <w:szCs w:val="20"/>
        </w:rPr>
        <w:t xml:space="preserve"> </w:t>
      </w:r>
      <w:r w:rsidRPr="009972DC">
        <w:rPr>
          <w:rFonts w:ascii="Open Sans" w:hAnsi="Open Sans" w:cs="Arial"/>
          <w:bCs/>
          <w:sz w:val="20"/>
          <w:szCs w:val="20"/>
        </w:rPr>
        <w:t>Therapeutics Association</w:t>
      </w:r>
      <w:r>
        <w:rPr>
          <w:rStyle w:val="Refdenotaalpie"/>
          <w:rFonts w:ascii="Open Sans" w:hAnsi="Open Sans" w:cs="Arial"/>
          <w:bCs/>
          <w:sz w:val="20"/>
          <w:szCs w:val="20"/>
        </w:rPr>
        <w:footnoteReference w:id="211"/>
      </w:r>
      <w:r w:rsidRPr="009972DC">
        <w:rPr>
          <w:rFonts w:ascii="Open Sans" w:hAnsi="Open Sans" w:cs="Arial"/>
          <w:bCs/>
          <w:sz w:val="20"/>
          <w:szCs w:val="20"/>
        </w:rPr>
        <w:t xml:space="preserve"> (PPTA)</w:t>
      </w:r>
      <w:r>
        <w:rPr>
          <w:rFonts w:ascii="Open Sans" w:hAnsi="Open Sans" w:cs="Arial"/>
          <w:bCs/>
          <w:sz w:val="20"/>
          <w:szCs w:val="20"/>
        </w:rPr>
        <w:t xml:space="preserve">, entre otras. Estas asociaciones, inscritas en el registro de transparencia de la UE, han mostrado intereses relacionados con temas comerciales, económicos y financieros, entre otros. </w:t>
      </w:r>
    </w:p>
    <w:p w14:paraId="508138D2" w14:textId="77777777" w:rsidR="00BA0792" w:rsidRDefault="00BA0792" w:rsidP="00BA0792">
      <w:pPr>
        <w:rPr>
          <w:rFonts w:ascii="Open Sans" w:hAnsi="Open Sans" w:cs="Arial"/>
          <w:bCs/>
          <w:sz w:val="20"/>
          <w:szCs w:val="20"/>
        </w:rPr>
      </w:pPr>
    </w:p>
    <w:p w14:paraId="086D9DFE"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Grifols indica en su política fiscal que ha </w:t>
      </w:r>
      <w:r w:rsidRPr="00593F0B">
        <w:rPr>
          <w:rFonts w:ascii="Open Sans" w:hAnsi="Open Sans" w:cs="Arial"/>
          <w:bCs/>
          <w:sz w:val="20"/>
          <w:szCs w:val="20"/>
        </w:rPr>
        <w:t>establecido una política de precios de transferencia, para todas aquellas operaciones con partes vinculadas, que está alineada con los principios marcados por los principales Organismos Internacionales competentes. Esta política es revisada anualmente para evitar cualquier desviación sobre dichos principios.</w:t>
      </w:r>
      <w:r>
        <w:rPr>
          <w:rFonts w:ascii="Open Sans" w:hAnsi="Open Sans" w:cs="Arial"/>
          <w:bCs/>
          <w:sz w:val="20"/>
          <w:szCs w:val="20"/>
        </w:rPr>
        <w:t xml:space="preserve"> Aparte de esta declaración Grifols no aporta mayor información en relación a cómo se fijan los precios intragrupo. </w:t>
      </w:r>
    </w:p>
    <w:p w14:paraId="7052DA9C" w14:textId="77777777" w:rsidR="00BA0792" w:rsidRDefault="00BA0792" w:rsidP="00BA0792">
      <w:pPr>
        <w:jc w:val="both"/>
        <w:rPr>
          <w:rFonts w:ascii="Open Sans" w:hAnsi="Open Sans" w:cs="Arial"/>
          <w:bCs/>
          <w:sz w:val="20"/>
          <w:szCs w:val="20"/>
        </w:rPr>
      </w:pPr>
    </w:p>
    <w:p w14:paraId="35997B7F" w14:textId="77777777" w:rsidR="00BA0792" w:rsidRDefault="00BA0792" w:rsidP="00BA0792">
      <w:pPr>
        <w:jc w:val="both"/>
        <w:rPr>
          <w:rFonts w:ascii="Open Sans" w:hAnsi="Open Sans" w:cs="Arial"/>
          <w:bCs/>
          <w:sz w:val="20"/>
          <w:szCs w:val="20"/>
        </w:rPr>
      </w:pPr>
      <w:r>
        <w:rPr>
          <w:rFonts w:ascii="Open Sans" w:hAnsi="Open Sans" w:cs="Arial"/>
          <w:bCs/>
          <w:sz w:val="20"/>
          <w:szCs w:val="20"/>
        </w:rPr>
        <w:t>En las cuentas anuales aporta información de manera consolidada sobre operaciones con partes vinculadas en relación a ventas a entidades asociadas (</w:t>
      </w:r>
      <w:r w:rsidRPr="00DE62FA">
        <w:rPr>
          <w:rFonts w:ascii="Open Sans" w:hAnsi="Open Sans" w:cs="Arial"/>
          <w:bCs/>
          <w:sz w:val="20"/>
          <w:szCs w:val="20"/>
        </w:rPr>
        <w:t>317</w:t>
      </w:r>
      <w:r>
        <w:rPr>
          <w:rFonts w:ascii="Open Sans" w:hAnsi="Open Sans" w:cs="Arial"/>
          <w:bCs/>
          <w:sz w:val="20"/>
          <w:szCs w:val="20"/>
        </w:rPr>
        <w:t xml:space="preserve"> miles de euros), </w:t>
      </w:r>
      <w:r w:rsidRPr="00DE62FA">
        <w:rPr>
          <w:rFonts w:ascii="Open Sans" w:hAnsi="Open Sans" w:cs="Arial"/>
          <w:bCs/>
          <w:sz w:val="20"/>
          <w:szCs w:val="20"/>
        </w:rPr>
        <w:t>gastos por servicios</w:t>
      </w:r>
      <w:r>
        <w:rPr>
          <w:rFonts w:ascii="Open Sans" w:hAnsi="Open Sans" w:cs="Arial"/>
          <w:bCs/>
          <w:sz w:val="20"/>
          <w:szCs w:val="20"/>
        </w:rPr>
        <w:t xml:space="preserve"> y c</w:t>
      </w:r>
      <w:r w:rsidRPr="00151787">
        <w:rPr>
          <w:rFonts w:ascii="Open Sans" w:hAnsi="Open Sans" w:cs="Arial"/>
          <w:bCs/>
          <w:sz w:val="20"/>
          <w:szCs w:val="20"/>
        </w:rPr>
        <w:t xml:space="preserve">ompra de activos fijos </w:t>
      </w:r>
      <w:r>
        <w:rPr>
          <w:rFonts w:ascii="Open Sans" w:hAnsi="Open Sans" w:cs="Arial"/>
          <w:bCs/>
          <w:sz w:val="20"/>
          <w:szCs w:val="20"/>
        </w:rPr>
        <w:t xml:space="preserve">con otras partes vinculadas (6 y 276 millones de euros respectivamente) pero no especifica el tipo de servicios ni quienes constituyen el concepto otras partes vinculadas. </w:t>
      </w:r>
    </w:p>
    <w:p w14:paraId="5C239578" w14:textId="77777777" w:rsidR="00BA0792" w:rsidRDefault="00BA0792" w:rsidP="00BA0792">
      <w:pPr>
        <w:jc w:val="both"/>
        <w:rPr>
          <w:rFonts w:ascii="Open Sans" w:hAnsi="Open Sans" w:cs="Arial"/>
          <w:bCs/>
          <w:sz w:val="20"/>
          <w:szCs w:val="20"/>
        </w:rPr>
      </w:pPr>
    </w:p>
    <w:p w14:paraId="5C2A10BB" w14:textId="77777777" w:rsidR="00BA0792" w:rsidRPr="00C82A08" w:rsidRDefault="00BA0792" w:rsidP="00BA0792">
      <w:pPr>
        <w:jc w:val="both"/>
        <w:rPr>
          <w:rFonts w:ascii="Open Sans" w:hAnsi="Open Sans" w:cs="Arial"/>
          <w:bCs/>
          <w:sz w:val="20"/>
          <w:szCs w:val="20"/>
        </w:rPr>
      </w:pPr>
      <w:r>
        <w:rPr>
          <w:rFonts w:ascii="Open Sans" w:hAnsi="Open Sans" w:cs="Arial"/>
          <w:bCs/>
          <w:sz w:val="20"/>
          <w:szCs w:val="20"/>
        </w:rPr>
        <w:t>Grifols especifica que las</w:t>
      </w:r>
      <w:r w:rsidRPr="00C82A08">
        <w:rPr>
          <w:rFonts w:ascii="Open Sans" w:hAnsi="Open Sans" w:cs="Arial"/>
          <w:bCs/>
          <w:sz w:val="20"/>
          <w:szCs w:val="20"/>
        </w:rPr>
        <w:t xml:space="preserve"> transacciones y saldos mantenidos con empresas del Grupo y los beneficios o pérdidas no realizados han sido eliminados</w:t>
      </w:r>
      <w:r>
        <w:rPr>
          <w:rFonts w:ascii="Open Sans" w:hAnsi="Open Sans" w:cs="Arial"/>
          <w:bCs/>
          <w:sz w:val="20"/>
          <w:szCs w:val="20"/>
        </w:rPr>
        <w:t xml:space="preserve"> en el proceso de consolidación de las cuentas anuales. </w:t>
      </w:r>
    </w:p>
    <w:p w14:paraId="54D0C49A" w14:textId="77777777" w:rsidR="00BA0792" w:rsidRDefault="00BA0792" w:rsidP="00BA0792">
      <w:pPr>
        <w:jc w:val="both"/>
        <w:rPr>
          <w:rFonts w:ascii="Open Sans" w:hAnsi="Open Sans" w:cs="Arial"/>
          <w:bCs/>
          <w:sz w:val="20"/>
          <w:szCs w:val="20"/>
        </w:rPr>
      </w:pPr>
    </w:p>
    <w:p w14:paraId="68132CA6"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Por otro lado Grifols no explica cuál es la estructura societaria que gobierna los activos de propiedad industrial de patentes, licencias y marcas. A través del informe de gobierno corporativo se indica las operaciones entre con partes vinculadas y se incluye la empresa Marca Grifols </w:t>
      </w:r>
      <w:proofErr w:type="gramStart"/>
      <w:r>
        <w:rPr>
          <w:rFonts w:ascii="Open Sans" w:hAnsi="Open Sans" w:cs="Arial"/>
          <w:bCs/>
          <w:sz w:val="20"/>
          <w:szCs w:val="20"/>
        </w:rPr>
        <w:t>S.L..</w:t>
      </w:r>
      <w:proofErr w:type="gramEnd"/>
      <w:r>
        <w:rPr>
          <w:rFonts w:ascii="Open Sans" w:hAnsi="Open Sans" w:cs="Arial"/>
          <w:bCs/>
          <w:sz w:val="20"/>
          <w:szCs w:val="20"/>
        </w:rPr>
        <w:t xml:space="preserve"> Esta empresa no se encuentra en el listado de empresas dependientes ni asociadas del grupo pero se indica que recibe un canon por el uso de la marca Grifols, que en el ejercicio 2015 ha recibido un pago de 1,7 millones de euros en concepto de “otros gastos por servicios”. </w:t>
      </w:r>
    </w:p>
    <w:p w14:paraId="42A4BAF0" w14:textId="77777777" w:rsidR="00BA0792" w:rsidRDefault="00BA0792" w:rsidP="00BA0792">
      <w:pPr>
        <w:jc w:val="both"/>
        <w:rPr>
          <w:rFonts w:ascii="Open Sans" w:hAnsi="Open Sans" w:cs="Arial"/>
          <w:bCs/>
          <w:sz w:val="20"/>
          <w:szCs w:val="20"/>
        </w:rPr>
      </w:pPr>
    </w:p>
    <w:p w14:paraId="44A472D6" w14:textId="77777777" w:rsidR="00BA0792" w:rsidRDefault="00BA0792" w:rsidP="00BA0792">
      <w:pPr>
        <w:jc w:val="both"/>
        <w:rPr>
          <w:rFonts w:ascii="Open Sans" w:hAnsi="Open Sans" w:cs="Arial"/>
          <w:bCs/>
          <w:sz w:val="20"/>
          <w:szCs w:val="20"/>
        </w:rPr>
      </w:pPr>
      <w:r>
        <w:rPr>
          <w:rFonts w:ascii="Open Sans" w:hAnsi="Open Sans" w:cs="Arial"/>
          <w:bCs/>
          <w:sz w:val="20"/>
          <w:szCs w:val="20"/>
        </w:rPr>
        <w:t xml:space="preserve">Sobre financiación intragrupo se informa de </w:t>
      </w:r>
      <w:r w:rsidRPr="00AF0A58">
        <w:rPr>
          <w:rFonts w:ascii="Open Sans" w:hAnsi="Open Sans" w:cs="Arial"/>
          <w:bCs/>
          <w:sz w:val="20"/>
          <w:szCs w:val="20"/>
        </w:rPr>
        <w:t>créditos a entidades asociadas</w:t>
      </w:r>
      <w:r>
        <w:rPr>
          <w:rFonts w:ascii="Open Sans" w:hAnsi="Open Sans" w:cs="Arial"/>
          <w:bCs/>
          <w:sz w:val="20"/>
          <w:szCs w:val="20"/>
        </w:rPr>
        <w:t xml:space="preserve"> por importe de 25,7 millones de euros. Corresponde a la suscripción por la </w:t>
      </w:r>
      <w:r w:rsidRPr="00AF0A58">
        <w:rPr>
          <w:rFonts w:ascii="Open Sans" w:hAnsi="Open Sans" w:cs="Arial"/>
          <w:bCs/>
          <w:sz w:val="20"/>
          <w:szCs w:val="20"/>
        </w:rPr>
        <w:t>Sociedad dependiente Grifols Worldwide Operations Limited</w:t>
      </w:r>
      <w:r>
        <w:rPr>
          <w:rFonts w:ascii="Open Sans" w:hAnsi="Open Sans" w:cs="Arial"/>
          <w:bCs/>
          <w:sz w:val="20"/>
          <w:szCs w:val="20"/>
        </w:rPr>
        <w:t xml:space="preserve"> (Irlanda) </w:t>
      </w:r>
      <w:r w:rsidRPr="00AF0A58">
        <w:rPr>
          <w:rFonts w:ascii="Open Sans" w:hAnsi="Open Sans" w:cs="Arial"/>
          <w:bCs/>
          <w:sz w:val="20"/>
          <w:szCs w:val="20"/>
        </w:rPr>
        <w:t>al 9% de los bonos convertibles emitidos por Tigenix y con vencimiento en 2018</w:t>
      </w:r>
      <w:r>
        <w:rPr>
          <w:rFonts w:ascii="Open Sans" w:hAnsi="Open Sans" w:cs="Arial"/>
          <w:bCs/>
          <w:sz w:val="20"/>
          <w:szCs w:val="20"/>
        </w:rPr>
        <w:t xml:space="preserve">. Esta empresa desde 2015 asume la tesorería del grupo, siendo el </w:t>
      </w:r>
      <w:r w:rsidRPr="00C82A08">
        <w:rPr>
          <w:rFonts w:ascii="Open Sans" w:hAnsi="Open Sans" w:cs="Arial"/>
          <w:bCs/>
          <w:sz w:val="20"/>
          <w:szCs w:val="20"/>
        </w:rPr>
        <w:t xml:space="preserve">único prestatario (líneas de crédito, bonos, etc.) y único prestamista para las filiales del grupo. </w:t>
      </w:r>
    </w:p>
    <w:p w14:paraId="73D659ED" w14:textId="77777777" w:rsidR="00BA0792" w:rsidRDefault="00BA0792" w:rsidP="00BA0792">
      <w:pPr>
        <w:jc w:val="both"/>
        <w:rPr>
          <w:rFonts w:ascii="Open Sans" w:hAnsi="Open Sans" w:cs="Arial"/>
          <w:bCs/>
          <w:sz w:val="20"/>
          <w:szCs w:val="20"/>
        </w:rPr>
      </w:pPr>
    </w:p>
    <w:p w14:paraId="0144BF4E" w14:textId="77777777" w:rsidR="00BA0792" w:rsidRPr="007B63C6" w:rsidRDefault="00BA0792" w:rsidP="00BA0792">
      <w:pPr>
        <w:jc w:val="both"/>
        <w:rPr>
          <w:rFonts w:ascii="Open Sans" w:hAnsi="Open Sans" w:cs="Arial"/>
          <w:bCs/>
          <w:sz w:val="20"/>
          <w:szCs w:val="20"/>
        </w:rPr>
      </w:pPr>
      <w:r>
        <w:rPr>
          <w:rFonts w:ascii="Open Sans" w:hAnsi="Open Sans" w:cs="Arial"/>
          <w:bCs/>
          <w:sz w:val="20"/>
          <w:szCs w:val="20"/>
        </w:rPr>
        <w:t xml:space="preserve">El no disponer de información clara sobre estas cuestiones limita el cocimiento sobre la operativa de la empresa y es fundamental </w:t>
      </w:r>
      <w:r w:rsidRPr="00724C1E">
        <w:rPr>
          <w:rFonts w:ascii="Open Sans" w:eastAsia="Calibri" w:hAnsi="Open Sans" w:cs="Open Sans"/>
          <w:sz w:val="20"/>
          <w:szCs w:val="20"/>
        </w:rPr>
        <w:t>para poder deducir si la empresa está operando a través de su estructura societaria para implementar estrategias de optimización fiscal.</w:t>
      </w:r>
    </w:p>
    <w:p w14:paraId="456BBD85" w14:textId="77777777" w:rsidR="00BA0792" w:rsidRPr="00732FD5" w:rsidRDefault="00BA0792" w:rsidP="00BA0792">
      <w:pPr>
        <w:rPr>
          <w:rFonts w:ascii="Open Sans" w:hAnsi="Open Sans" w:cs="Arial"/>
          <w:bCs/>
          <w:sz w:val="22"/>
          <w:szCs w:val="22"/>
        </w:rPr>
      </w:pPr>
    </w:p>
    <w:p w14:paraId="51527B45" w14:textId="77777777" w:rsidR="00BA0792" w:rsidRPr="0024142E" w:rsidRDefault="00BA0792" w:rsidP="00BA0792">
      <w:pPr>
        <w:jc w:val="both"/>
        <w:rPr>
          <w:rFonts w:ascii="Open Sans" w:hAnsi="Open Sans" w:cs="Arial"/>
          <w:sz w:val="20"/>
          <w:szCs w:val="20"/>
        </w:rPr>
      </w:pPr>
    </w:p>
    <w:p w14:paraId="644FF735" w14:textId="77777777" w:rsidR="00BA0792" w:rsidRPr="0024142E" w:rsidRDefault="00BA0792" w:rsidP="00BA0792">
      <w:pPr>
        <w:rPr>
          <w:rFonts w:ascii="Open Sans" w:hAnsi="Open Sans" w:cs="Arial"/>
          <w:bCs/>
          <w:sz w:val="22"/>
          <w:szCs w:val="22"/>
          <w:u w:val="single"/>
        </w:rPr>
      </w:pPr>
      <w:r w:rsidRPr="0024142E">
        <w:rPr>
          <w:rFonts w:ascii="Open Sans" w:hAnsi="Open Sans" w:cs="Arial"/>
          <w:b/>
          <w:sz w:val="22"/>
          <w:szCs w:val="22"/>
          <w:u w:val="single"/>
        </w:rPr>
        <w:t>5. Conclusiones</w:t>
      </w:r>
    </w:p>
    <w:p w14:paraId="6ACB90BB" w14:textId="77777777" w:rsidR="00BA0792" w:rsidRDefault="00BA0792" w:rsidP="00BA0792">
      <w:pPr>
        <w:rPr>
          <w:rFonts w:ascii="Open Sans" w:hAnsi="Open Sans"/>
        </w:rPr>
      </w:pPr>
    </w:p>
    <w:p w14:paraId="1E7C4607" w14:textId="77777777" w:rsidR="00BA0792" w:rsidRDefault="00BA0792" w:rsidP="00BA0792">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Grifols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0,38</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(0,80), seguidos de “relaciones con Administraciones Tributarias” (0,40), “impuestos e incentivos” (0,17) y “paraísos y nichos fiscales” (0,14). </w:t>
      </w:r>
    </w:p>
    <w:p w14:paraId="20974A32" w14:textId="77777777" w:rsidR="00BA0792" w:rsidRDefault="00BA0792" w:rsidP="00BA0792">
      <w:pPr>
        <w:jc w:val="both"/>
        <w:rPr>
          <w:rFonts w:ascii="Open Sans" w:hAnsi="Open Sans"/>
          <w:sz w:val="20"/>
          <w:szCs w:val="20"/>
        </w:rPr>
      </w:pPr>
    </w:p>
    <w:p w14:paraId="670616DC" w14:textId="77777777" w:rsidR="00BA0792" w:rsidRDefault="00BA0792" w:rsidP="00BA0792">
      <w:pPr>
        <w:jc w:val="both"/>
        <w:rPr>
          <w:rFonts w:ascii="Open Sans" w:hAnsi="Open Sans"/>
          <w:sz w:val="20"/>
          <w:szCs w:val="20"/>
        </w:rPr>
      </w:pPr>
      <w:r>
        <w:rPr>
          <w:rFonts w:ascii="Open Sans" w:hAnsi="Open Sans"/>
          <w:sz w:val="20"/>
          <w:szCs w:val="20"/>
        </w:rPr>
        <w:t xml:space="preserve">Grifols no </w:t>
      </w:r>
      <w:r w:rsidRPr="008831FB">
        <w:rPr>
          <w:rFonts w:ascii="Open Sans" w:hAnsi="Open Sans"/>
          <w:sz w:val="20"/>
          <w:szCs w:val="20"/>
        </w:rPr>
        <w:t>realiza un informe en el que incluya aspectos de responsabilidad social corporativa</w:t>
      </w:r>
      <w:r>
        <w:rPr>
          <w:rFonts w:ascii="Open Sans" w:hAnsi="Open Sans"/>
          <w:sz w:val="20"/>
          <w:szCs w:val="20"/>
        </w:rPr>
        <w:t xml:space="preserve"> y en el que incluya información relativa a su contribución</w:t>
      </w:r>
      <w:r w:rsidRPr="008831FB">
        <w:rPr>
          <w:rFonts w:ascii="Open Sans" w:hAnsi="Open Sans"/>
          <w:sz w:val="20"/>
          <w:szCs w:val="20"/>
        </w:rPr>
        <w:t xml:space="preserve"> ec</w:t>
      </w:r>
      <w:r>
        <w:rPr>
          <w:rFonts w:ascii="Open Sans" w:hAnsi="Open Sans"/>
          <w:sz w:val="20"/>
          <w:szCs w:val="20"/>
        </w:rPr>
        <w:t>onómica y social en las comunidades en las que opera. Esta aspecto es significativo pues la empresa en su política fiscal considera l</w:t>
      </w:r>
      <w:r w:rsidRPr="00C95477">
        <w:rPr>
          <w:rFonts w:ascii="Open Sans" w:hAnsi="Open Sans"/>
          <w:sz w:val="20"/>
          <w:szCs w:val="20"/>
        </w:rPr>
        <w:t xml:space="preserve">a transparencia informativa en materia fiscal </w:t>
      </w:r>
      <w:r>
        <w:rPr>
          <w:rFonts w:ascii="Open Sans" w:hAnsi="Open Sans"/>
          <w:sz w:val="20"/>
          <w:szCs w:val="20"/>
        </w:rPr>
        <w:t xml:space="preserve">esencial pero sin embargo no elabora información adaptada para que todos sus grupos de interés puedan acceder de manera clara y entendible a dicha información, limitando por tanto esta materia a un público entendido. </w:t>
      </w:r>
    </w:p>
    <w:p w14:paraId="6FA7E6B0" w14:textId="77777777" w:rsidR="00BA0792" w:rsidRDefault="00BA0792" w:rsidP="00BA0792">
      <w:pPr>
        <w:jc w:val="both"/>
        <w:rPr>
          <w:rFonts w:ascii="Open Sans" w:hAnsi="Open Sans"/>
          <w:sz w:val="20"/>
          <w:szCs w:val="20"/>
        </w:rPr>
      </w:pPr>
    </w:p>
    <w:p w14:paraId="1749D5F1" w14:textId="77777777" w:rsidR="00BA0792" w:rsidRDefault="00BA0792" w:rsidP="00BA0792">
      <w:pPr>
        <w:jc w:val="both"/>
        <w:rPr>
          <w:rFonts w:ascii="Open Sans" w:hAnsi="Open Sans"/>
          <w:sz w:val="20"/>
          <w:szCs w:val="20"/>
        </w:rPr>
      </w:pPr>
      <w:r>
        <w:rPr>
          <w:rFonts w:ascii="Open Sans" w:hAnsi="Open Sans"/>
          <w:sz w:val="20"/>
          <w:szCs w:val="20"/>
        </w:rPr>
        <w:t xml:space="preserve">Las cuentas anuales consolidadas no es un documento de fácil lectura y ofrece poca claridad para conocer las cuestiones que engloban una fiscalidad responsable y transparente, pues mucha de la información no queda suficientemente explicada al eliminarse datos clave para entender la operativa del grupo en estas cuestiones. </w:t>
      </w:r>
    </w:p>
    <w:p w14:paraId="06A13687" w14:textId="77777777" w:rsidR="00BA0792" w:rsidRDefault="00BA0792" w:rsidP="00BA0792">
      <w:pPr>
        <w:jc w:val="both"/>
        <w:rPr>
          <w:rFonts w:ascii="Open Sans" w:hAnsi="Open Sans"/>
          <w:sz w:val="20"/>
          <w:szCs w:val="20"/>
        </w:rPr>
      </w:pPr>
    </w:p>
    <w:p w14:paraId="71B58074" w14:textId="77777777" w:rsidR="00BA0792" w:rsidRDefault="00BA0792" w:rsidP="00BA0792">
      <w:pPr>
        <w:tabs>
          <w:tab w:val="left" w:pos="2552"/>
        </w:tabs>
        <w:jc w:val="both"/>
        <w:rPr>
          <w:rFonts w:ascii="Open Sans" w:hAnsi="Open Sans"/>
          <w:sz w:val="20"/>
          <w:szCs w:val="20"/>
        </w:rPr>
      </w:pPr>
      <w:r>
        <w:rPr>
          <w:rFonts w:ascii="Open Sans" w:hAnsi="Open Sans"/>
          <w:sz w:val="20"/>
          <w:szCs w:val="20"/>
        </w:rPr>
        <w:t xml:space="preserve">Grifols no aporta información sobre su operativa en nichos fiscales, no desglosa el pago de impuestos país a país, no detalla información relativa a subvenciones públicas recibidas  ni detalla cuál es su actividad de lobby. Tampoco aporta información sobre su estructura societaria y cuál es su operativa de compras y financiación intragrupo. La poca transparencia sobre todas estas cuestiones </w:t>
      </w:r>
      <w:proofErr w:type="gramStart"/>
      <w:r>
        <w:rPr>
          <w:rFonts w:ascii="Open Sans" w:hAnsi="Open Sans"/>
          <w:sz w:val="20"/>
          <w:szCs w:val="20"/>
        </w:rPr>
        <w:t>generan</w:t>
      </w:r>
      <w:proofErr w:type="gramEnd"/>
      <w:r>
        <w:rPr>
          <w:rFonts w:ascii="Open Sans" w:hAnsi="Open Sans"/>
          <w:sz w:val="20"/>
          <w:szCs w:val="20"/>
        </w:rPr>
        <w:t xml:space="preserve"> dudas sobre los compromisos adquiridos a través de la </w:t>
      </w:r>
      <w:r>
        <w:rPr>
          <w:rFonts w:ascii="Open Sans" w:hAnsi="Open Sans" w:cs="Arial"/>
          <w:bCs/>
          <w:sz w:val="20"/>
          <w:szCs w:val="20"/>
        </w:rPr>
        <w:t xml:space="preserve">política de cumplimiento </w:t>
      </w:r>
      <w:r w:rsidRPr="00F2014E">
        <w:rPr>
          <w:rFonts w:ascii="Open Sans" w:hAnsi="Open Sans" w:cs="Arial"/>
          <w:bCs/>
          <w:sz w:val="20"/>
          <w:szCs w:val="20"/>
        </w:rPr>
        <w:t>y buen</w:t>
      </w:r>
      <w:r>
        <w:rPr>
          <w:rFonts w:ascii="Open Sans" w:hAnsi="Open Sans" w:cs="Arial"/>
          <w:bCs/>
          <w:sz w:val="20"/>
          <w:szCs w:val="20"/>
        </w:rPr>
        <w:t xml:space="preserve">as prácticas en materia fiscal. </w:t>
      </w:r>
    </w:p>
    <w:p w14:paraId="5B0DD0CF" w14:textId="77777777" w:rsidR="00BA0792" w:rsidRDefault="00BA0792" w:rsidP="00BA0792">
      <w:pPr>
        <w:jc w:val="both"/>
        <w:rPr>
          <w:rFonts w:ascii="Open Sans" w:hAnsi="Open Sans"/>
          <w:sz w:val="20"/>
          <w:szCs w:val="20"/>
        </w:rPr>
      </w:pPr>
    </w:p>
    <w:p w14:paraId="7E3AFD3C" w14:textId="3C1079FA" w:rsidR="00D144D8" w:rsidRDefault="00BA0792" w:rsidP="00BA0792">
      <w:pPr>
        <w:jc w:val="both"/>
        <w:rPr>
          <w:rFonts w:ascii="Open Sans" w:hAnsi="Open Sans" w:cs="Arial"/>
          <w:sz w:val="20"/>
          <w:szCs w:val="20"/>
        </w:rPr>
      </w:pPr>
      <w:r>
        <w:rPr>
          <w:rFonts w:ascii="Open Sans" w:hAnsi="Open Sans" w:cs="Arial"/>
          <w:sz w:val="20"/>
          <w:szCs w:val="20"/>
        </w:rPr>
        <w:t>La fiscalidad responsable es un aspecto cada vez más material para todas las empresas y para sus grupos de interés, además este aspecto ha transcendido en los últimos años a las agendas públicas y desde la Comisión Europea</w:t>
      </w:r>
      <w:r>
        <w:rPr>
          <w:rStyle w:val="Refdenotaalpie"/>
          <w:rFonts w:ascii="Open Sans" w:hAnsi="Open Sans" w:cs="Arial"/>
          <w:sz w:val="20"/>
          <w:szCs w:val="20"/>
        </w:rPr>
        <w:footnoteReference w:id="212"/>
      </w:r>
      <w:r>
        <w:rPr>
          <w:rFonts w:ascii="Open Sans" w:hAnsi="Open Sans" w:cs="Arial"/>
          <w:sz w:val="20"/>
          <w:szCs w:val="20"/>
        </w:rPr>
        <w:t>, OCDE</w:t>
      </w:r>
      <w:r>
        <w:rPr>
          <w:rStyle w:val="Refdenotaalpie"/>
          <w:rFonts w:ascii="Open Sans" w:hAnsi="Open Sans" w:cs="Arial"/>
          <w:sz w:val="20"/>
          <w:szCs w:val="20"/>
        </w:rPr>
        <w:footnoteReference w:id="213"/>
      </w:r>
      <w:r>
        <w:rPr>
          <w:rFonts w:ascii="Open Sans" w:hAnsi="Open Sans" w:cs="Arial"/>
          <w:sz w:val="20"/>
          <w:szCs w:val="20"/>
        </w:rPr>
        <w:t xml:space="preserve"> y otras instituciones</w:t>
      </w:r>
      <w:r>
        <w:rPr>
          <w:rStyle w:val="Refdenotaalpie"/>
          <w:rFonts w:ascii="Open Sans" w:hAnsi="Open Sans" w:cs="Arial"/>
          <w:sz w:val="20"/>
          <w:szCs w:val="20"/>
        </w:rPr>
        <w:footnoteReference w:id="214"/>
      </w:r>
      <w:r>
        <w:rPr>
          <w:rFonts w:ascii="Open Sans" w:hAnsi="Open Sans" w:cs="Arial"/>
          <w:sz w:val="20"/>
          <w:szCs w:val="20"/>
        </w:rPr>
        <w:t xml:space="preserve"> se está trabajando para que las empresas estén obligadas a aportar mayor información. Grifols </w:t>
      </w:r>
      <w:r w:rsidRPr="00724C1E">
        <w:rPr>
          <w:rFonts w:ascii="Open Sans" w:hAnsi="Open Sans" w:cs="Open Sans"/>
          <w:sz w:val="20"/>
          <w:szCs w:val="20"/>
        </w:rPr>
        <w:t xml:space="preserve">no sigue los estándares internacionales </w:t>
      </w:r>
      <w:r>
        <w:rPr>
          <w:rFonts w:ascii="Open Sans" w:hAnsi="Open Sans" w:cs="Open Sans"/>
          <w:sz w:val="20"/>
          <w:szCs w:val="20"/>
        </w:rPr>
        <w:t>en relación a la información país a país</w:t>
      </w:r>
      <w:r w:rsidRPr="00724C1E">
        <w:rPr>
          <w:rFonts w:ascii="Open Sans" w:hAnsi="Open Sans" w:cs="Open Sans"/>
          <w:sz w:val="20"/>
          <w:szCs w:val="20"/>
        </w:rPr>
        <w:t xml:space="preserve"> que promueven que la empresa presente infor</w:t>
      </w:r>
      <w:r>
        <w:rPr>
          <w:rFonts w:ascii="Open Sans" w:hAnsi="Open Sans" w:cs="Open Sans"/>
          <w:sz w:val="20"/>
          <w:szCs w:val="20"/>
        </w:rPr>
        <w:t xml:space="preserve">mación país a país de una serie </w:t>
      </w:r>
      <w:r w:rsidRPr="00724C1E">
        <w:rPr>
          <w:rFonts w:ascii="Open Sans" w:hAnsi="Open Sans" w:cs="Open Sans"/>
          <w:sz w:val="20"/>
          <w:szCs w:val="20"/>
        </w:rPr>
        <w:t>de partidas financieras y de la actividad que realiza en los territorios donde está presente.</w:t>
      </w:r>
      <w:r>
        <w:rPr>
          <w:rFonts w:ascii="Open Sans" w:hAnsi="Open Sans" w:cs="Open Sans"/>
          <w:sz w:val="20"/>
          <w:szCs w:val="20"/>
        </w:rPr>
        <w:t xml:space="preserve"> </w:t>
      </w:r>
      <w:r w:rsidR="00D144D8">
        <w:rPr>
          <w:rFonts w:ascii="Open Sans" w:hAnsi="Open Sans" w:cs="Open Sans"/>
          <w:sz w:val="20"/>
          <w:szCs w:val="20"/>
        </w:rPr>
        <w:t xml:space="preserve"> </w:t>
      </w:r>
    </w:p>
    <w:p w14:paraId="3811DFCF" w14:textId="77777777" w:rsidR="00D144D8" w:rsidRDefault="00D144D8" w:rsidP="00D144D8">
      <w:pPr>
        <w:jc w:val="both"/>
        <w:rPr>
          <w:rFonts w:ascii="Open Sans" w:hAnsi="Open Sans" w:cs="Times New Roman"/>
          <w:sz w:val="20"/>
          <w:szCs w:val="20"/>
        </w:rPr>
      </w:pPr>
    </w:p>
    <w:p w14:paraId="20C3C92A" w14:textId="77777777" w:rsidR="00D144D8" w:rsidRDefault="00D144D8" w:rsidP="00D144D8">
      <w:pPr>
        <w:jc w:val="both"/>
        <w:rPr>
          <w:rFonts w:ascii="Open Sans" w:hAnsi="Open Sans"/>
          <w:sz w:val="20"/>
          <w:szCs w:val="20"/>
        </w:rPr>
      </w:pPr>
    </w:p>
    <w:p w14:paraId="297C8C6D" w14:textId="77777777" w:rsidR="00B52432" w:rsidRDefault="00B52432" w:rsidP="00DF20C0">
      <w:pPr>
        <w:rPr>
          <w:rFonts w:ascii="Open Sans" w:hAnsi="Open Sans" w:cs="Open Sans"/>
          <w:sz w:val="20"/>
          <w:szCs w:val="20"/>
        </w:rPr>
      </w:pPr>
    </w:p>
    <w:p w14:paraId="2A2401EC" w14:textId="426A89C9" w:rsidR="00B52432" w:rsidRDefault="00B52432">
      <w:pPr>
        <w:rPr>
          <w:rFonts w:ascii="Open Sans" w:hAnsi="Open Sans" w:cs="Open Sans"/>
          <w:sz w:val="20"/>
          <w:szCs w:val="20"/>
        </w:rPr>
      </w:pPr>
      <w:r>
        <w:rPr>
          <w:rFonts w:ascii="Open Sans" w:hAnsi="Open Sans" w:cs="Open Sans"/>
          <w:sz w:val="20"/>
          <w:szCs w:val="20"/>
        </w:rPr>
        <w:br w:type="page"/>
      </w:r>
    </w:p>
    <w:p w14:paraId="5E09DF6C" w14:textId="77777777" w:rsidR="00D144D8" w:rsidRDefault="00D144D8" w:rsidP="00D144D8">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b/>
          <w:caps/>
          <w:color w:val="FFFFFF"/>
        </w:rPr>
      </w:pPr>
      <w:bookmarkStart w:id="68" w:name="Inditex"/>
      <w:r>
        <w:rPr>
          <w:rFonts w:ascii="Open Sans" w:hAnsi="Open Sans"/>
          <w:b/>
          <w:bCs/>
          <w:caps/>
          <w:color w:val="FFFFFF"/>
        </w:rPr>
        <w:t>INDUSTRIA DE DISEÑO TEXTIL, S.A.</w:t>
      </w:r>
      <w:bookmarkEnd w:id="68"/>
    </w:p>
    <w:p w14:paraId="3BCD2912" w14:textId="77777777" w:rsidR="00D144D8" w:rsidRDefault="00D144D8" w:rsidP="00D144D8">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b/>
          <w:bCs/>
          <w:i/>
          <w:color w:val="FFFFFF"/>
        </w:rPr>
        <w:t>Inditex</w:t>
      </w:r>
    </w:p>
    <w:p w14:paraId="48AD7486" w14:textId="77777777" w:rsidR="00D144D8" w:rsidRDefault="00D144D8" w:rsidP="00D144D8">
      <w:pPr>
        <w:spacing w:before="120" w:after="120" w:line="360" w:lineRule="auto"/>
        <w:jc w:val="both"/>
        <w:rPr>
          <w:rFonts w:ascii="Open Sans" w:hAnsi="Open Sans" w:cs="Tahoma"/>
          <w:b/>
          <w:bCs/>
          <w:color w:val="002060"/>
          <w:sz w:val="28"/>
          <w:szCs w:val="28"/>
        </w:rPr>
      </w:pPr>
    </w:p>
    <w:p w14:paraId="4E9076DE" w14:textId="77777777" w:rsidR="00BA0792" w:rsidRPr="00732FD5" w:rsidRDefault="00BA0792" w:rsidP="00BA0792">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172CF5E6" w14:textId="77777777" w:rsidR="00BA0792" w:rsidRPr="00732FD5" w:rsidRDefault="00BA0792" w:rsidP="00BA0792">
      <w:pPr>
        <w:jc w:val="both"/>
        <w:rPr>
          <w:rFonts w:ascii="Open Sans" w:hAnsi="Open Sans" w:cs="Arial"/>
          <w:sz w:val="22"/>
          <w:szCs w:val="22"/>
          <w:u w:val="single"/>
        </w:rPr>
      </w:pPr>
    </w:p>
    <w:p w14:paraId="32E22477" w14:textId="77777777" w:rsidR="00BA0792" w:rsidRPr="00EE1EF7" w:rsidRDefault="00BA0792" w:rsidP="00BA0792">
      <w:pPr>
        <w:jc w:val="both"/>
        <w:rPr>
          <w:rFonts w:ascii="Open Sans" w:hAnsi="Open Sans" w:cs="Arial"/>
          <w:sz w:val="20"/>
          <w:szCs w:val="20"/>
        </w:rPr>
      </w:pPr>
      <w:r w:rsidRPr="00EE1EF7">
        <w:rPr>
          <w:rFonts w:ascii="Open Sans" w:hAnsi="Open Sans" w:cs="Arial"/>
          <w:sz w:val="20"/>
          <w:szCs w:val="20"/>
          <w:u w:val="single"/>
        </w:rPr>
        <w:t>Productos/servicios</w:t>
      </w:r>
    </w:p>
    <w:p w14:paraId="289DADA4" w14:textId="77777777" w:rsidR="00BA0792" w:rsidRPr="00EE1EF7" w:rsidRDefault="00BA0792" w:rsidP="00BA0792">
      <w:pPr>
        <w:jc w:val="both"/>
        <w:rPr>
          <w:rFonts w:ascii="Open Sans" w:hAnsi="Open Sans" w:cs="Arial"/>
          <w:sz w:val="20"/>
          <w:szCs w:val="20"/>
        </w:rPr>
      </w:pPr>
    </w:p>
    <w:p w14:paraId="441B4033" w14:textId="77777777" w:rsidR="00BA0792" w:rsidRPr="002C071C" w:rsidRDefault="00BA0792" w:rsidP="00BA0792">
      <w:pPr>
        <w:jc w:val="both"/>
        <w:rPr>
          <w:rFonts w:ascii="Open Sans" w:hAnsi="Open Sans" w:cs="Arial"/>
          <w:sz w:val="20"/>
          <w:szCs w:val="20"/>
        </w:rPr>
      </w:pPr>
      <w:r w:rsidRPr="002C071C">
        <w:rPr>
          <w:rFonts w:ascii="Open Sans" w:hAnsi="Open Sans" w:cs="Arial"/>
          <w:sz w:val="20"/>
          <w:szCs w:val="20"/>
        </w:rPr>
        <w:t>Inditex ofrece a sus clientes los siguientes productos/ servicios:</w:t>
      </w:r>
    </w:p>
    <w:p w14:paraId="647AB346" w14:textId="77777777" w:rsidR="00BA0792" w:rsidRPr="002C071C" w:rsidRDefault="00BA0792" w:rsidP="00BA0792">
      <w:pPr>
        <w:jc w:val="both"/>
        <w:rPr>
          <w:rFonts w:ascii="Open Sans" w:hAnsi="Open Sans" w:cs="Arial"/>
          <w:sz w:val="20"/>
          <w:szCs w:val="20"/>
        </w:rPr>
      </w:pPr>
    </w:p>
    <w:p w14:paraId="523C80F6" w14:textId="77777777" w:rsidR="00BA0792" w:rsidRPr="002C071C" w:rsidRDefault="00BA0792" w:rsidP="00BA0792">
      <w:pPr>
        <w:jc w:val="both"/>
        <w:rPr>
          <w:rFonts w:ascii="Open Sans" w:hAnsi="Open Sans" w:cs="Arial"/>
          <w:sz w:val="20"/>
          <w:szCs w:val="20"/>
        </w:rPr>
      </w:pPr>
      <w:r w:rsidRPr="002C071C">
        <w:rPr>
          <w:rFonts w:ascii="Open Sans" w:hAnsi="Open Sans" w:cs="Arial"/>
          <w:sz w:val="20"/>
          <w:szCs w:val="20"/>
        </w:rPr>
        <w:t>Diseño, fabricación, distribución y venta de artículos de artículos de moda, esencialmente ropa, calzado, complementos y productos textiles para el hogar</w:t>
      </w:r>
      <w:r w:rsidRPr="002C071C">
        <w:rPr>
          <w:rFonts w:ascii="Open Sans" w:hAnsi="Open Sans" w:cs="Arial"/>
          <w:sz w:val="20"/>
          <w:szCs w:val="20"/>
          <w:vertAlign w:val="superscript"/>
        </w:rPr>
        <w:footnoteReference w:id="215"/>
      </w:r>
      <w:r w:rsidRPr="002C071C">
        <w:rPr>
          <w:rFonts w:ascii="Open Sans" w:hAnsi="Open Sans" w:cs="Arial"/>
          <w:sz w:val="20"/>
          <w:szCs w:val="20"/>
        </w:rPr>
        <w:t xml:space="preserve">. Su actividad se desarrolla a través de distintos formatos comerciales, como son Zara, Pull &amp; Bear, Massimo Dutti, Bershka, Stradivarius, Oysho, Zara Home y Uterqüe. </w:t>
      </w:r>
    </w:p>
    <w:p w14:paraId="762C32DB" w14:textId="77777777" w:rsidR="00BA0792" w:rsidRPr="002C071C" w:rsidRDefault="00BA0792" w:rsidP="00BA0792">
      <w:pPr>
        <w:jc w:val="both"/>
        <w:rPr>
          <w:rFonts w:ascii="Open Sans" w:hAnsi="Open Sans" w:cs="Arial"/>
          <w:sz w:val="20"/>
          <w:szCs w:val="20"/>
        </w:rPr>
      </w:pPr>
    </w:p>
    <w:p w14:paraId="18A8056E" w14:textId="77777777" w:rsidR="00BA0792" w:rsidRPr="00EE1EF7" w:rsidRDefault="00BA0792" w:rsidP="00BA0792">
      <w:pPr>
        <w:jc w:val="both"/>
        <w:rPr>
          <w:rFonts w:ascii="Open Sans" w:hAnsi="Open Sans" w:cs="Arial"/>
          <w:sz w:val="20"/>
          <w:szCs w:val="20"/>
        </w:rPr>
      </w:pPr>
      <w:r w:rsidRPr="002C071C">
        <w:rPr>
          <w:rFonts w:ascii="Open Sans" w:hAnsi="Open Sans" w:cs="Arial"/>
          <w:sz w:val="20"/>
          <w:szCs w:val="20"/>
        </w:rPr>
        <w:t>Inditex no incluye a Lefties en su memoria, salvo en lo relativo al grupo fiscal. Pese a ello y en relación a esta  empresa señala en su web</w:t>
      </w:r>
      <w:r w:rsidRPr="002C071C">
        <w:rPr>
          <w:rFonts w:ascii="Open Sans" w:hAnsi="Open Sans" w:cs="Arial"/>
          <w:sz w:val="20"/>
          <w:szCs w:val="20"/>
          <w:vertAlign w:val="superscript"/>
        </w:rPr>
        <w:footnoteReference w:id="216"/>
      </w:r>
      <w:r w:rsidRPr="002C071C">
        <w:rPr>
          <w:rFonts w:ascii="Open Sans" w:hAnsi="Open Sans" w:cs="Arial"/>
          <w:i/>
          <w:sz w:val="20"/>
          <w:szCs w:val="20"/>
        </w:rPr>
        <w:t>: ¨</w:t>
      </w:r>
      <w:proofErr w:type="gramStart"/>
      <w:r w:rsidRPr="002C071C">
        <w:rPr>
          <w:rFonts w:ascii="Open Sans" w:hAnsi="Open Sans" w:cs="Arial"/>
          <w:i/>
          <w:sz w:val="20"/>
          <w:szCs w:val="20"/>
        </w:rPr>
        <w:t>..</w:t>
      </w:r>
      <w:proofErr w:type="gramEnd"/>
      <w:r w:rsidRPr="002C071C">
        <w:rPr>
          <w:rFonts w:ascii="Open Sans" w:hAnsi="Open Sans" w:cs="Arial"/>
          <w:i/>
          <w:sz w:val="20"/>
          <w:szCs w:val="20"/>
        </w:rPr>
        <w:t xml:space="preserve">Lefties es una de las principales empresas de </w:t>
      </w:r>
      <w:r>
        <w:rPr>
          <w:rFonts w:ascii="Open Sans" w:hAnsi="Open Sans" w:cs="Arial"/>
          <w:i/>
          <w:sz w:val="20"/>
          <w:szCs w:val="20"/>
        </w:rPr>
        <w:t>moda accesible</w:t>
      </w:r>
      <w:r w:rsidRPr="002C071C">
        <w:rPr>
          <w:rFonts w:ascii="Open Sans" w:hAnsi="Open Sans" w:cs="Arial"/>
          <w:i/>
          <w:sz w:val="20"/>
          <w:szCs w:val="20"/>
        </w:rPr>
        <w:t xml:space="preserve"> del panorama nacional… </w:t>
      </w:r>
      <w:r w:rsidRPr="002D1AE9">
        <w:rPr>
          <w:rFonts w:ascii="Open Sans" w:hAnsi="Open Sans" w:cs="Arial"/>
          <w:i/>
          <w:sz w:val="20"/>
          <w:szCs w:val="20"/>
        </w:rPr>
        <w:t>Lefties está presente en 4 países (España, Portugal, Rusia y México) con una red de 127 tiendas. Pertenece a Inditex, uno de los mayores grupos de moda y distribución del mundo.</w:t>
      </w:r>
    </w:p>
    <w:p w14:paraId="00E508D5" w14:textId="77777777" w:rsidR="00BA0792" w:rsidRDefault="00BA0792" w:rsidP="00BA0792">
      <w:pPr>
        <w:jc w:val="both"/>
        <w:rPr>
          <w:rFonts w:ascii="Open Sans" w:hAnsi="Open Sans" w:cs="Arial"/>
          <w:sz w:val="20"/>
          <w:szCs w:val="20"/>
        </w:rPr>
      </w:pPr>
    </w:p>
    <w:p w14:paraId="6D908BDF" w14:textId="77777777" w:rsidR="00BA0792" w:rsidRPr="00EE1EF7" w:rsidRDefault="00BA0792" w:rsidP="00BA0792">
      <w:pPr>
        <w:jc w:val="both"/>
        <w:rPr>
          <w:rFonts w:ascii="Open Sans" w:hAnsi="Open Sans" w:cs="Arial"/>
          <w:sz w:val="20"/>
          <w:szCs w:val="20"/>
        </w:rPr>
      </w:pPr>
    </w:p>
    <w:p w14:paraId="5D52E891" w14:textId="77777777" w:rsidR="00BA0792" w:rsidRPr="00EE1EF7" w:rsidRDefault="00BA0792" w:rsidP="00BA0792">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50B0E01C" w14:textId="77777777" w:rsidR="00BA0792" w:rsidRPr="00EE1EF7" w:rsidRDefault="00BA0792" w:rsidP="00BA0792">
      <w:pPr>
        <w:jc w:val="both"/>
        <w:rPr>
          <w:rFonts w:ascii="Open Sans" w:hAnsi="Open Sans" w:cs="Arial"/>
          <w:sz w:val="20"/>
          <w:szCs w:val="20"/>
        </w:rPr>
      </w:pPr>
    </w:p>
    <w:p w14:paraId="2C927F6B" w14:textId="77777777" w:rsidR="00BA0792" w:rsidRPr="003F4A57" w:rsidRDefault="00BA0792" w:rsidP="00BA0792">
      <w:pPr>
        <w:jc w:val="both"/>
        <w:rPr>
          <w:rFonts w:ascii="Open Sans" w:hAnsi="Open Sans" w:cs="Arial"/>
          <w:sz w:val="20"/>
          <w:szCs w:val="20"/>
        </w:rPr>
      </w:pPr>
      <w:r w:rsidRPr="003F4A57">
        <w:rPr>
          <w:rFonts w:ascii="Open Sans" w:hAnsi="Open Sans" w:cs="Arial"/>
          <w:sz w:val="20"/>
          <w:szCs w:val="20"/>
        </w:rPr>
        <w:t>Al cierre del ejer</w:t>
      </w:r>
      <w:r>
        <w:rPr>
          <w:rFonts w:ascii="Open Sans" w:hAnsi="Open Sans" w:cs="Arial"/>
          <w:sz w:val="20"/>
          <w:szCs w:val="20"/>
        </w:rPr>
        <w:t>cicio 2015</w:t>
      </w:r>
      <w:r w:rsidRPr="003F4A57">
        <w:rPr>
          <w:rFonts w:ascii="Open Sans" w:hAnsi="Open Sans" w:cs="Arial"/>
          <w:sz w:val="20"/>
          <w:szCs w:val="20"/>
        </w:rPr>
        <w:t xml:space="preserve"> (31 de Enero de 201</w:t>
      </w:r>
      <w:r>
        <w:rPr>
          <w:rFonts w:ascii="Open Sans" w:hAnsi="Open Sans" w:cs="Arial"/>
          <w:sz w:val="20"/>
          <w:szCs w:val="20"/>
        </w:rPr>
        <w:t>6</w:t>
      </w:r>
      <w:r w:rsidRPr="003F4A57">
        <w:rPr>
          <w:rFonts w:ascii="Open Sans" w:hAnsi="Open Sans" w:cs="Arial"/>
          <w:sz w:val="20"/>
          <w:szCs w:val="20"/>
        </w:rPr>
        <w:t xml:space="preserve">), Inditex, S.A. tenía presencia comercial en 88 países, con un total de </w:t>
      </w:r>
      <w:r w:rsidRPr="00197674">
        <w:rPr>
          <w:rFonts w:ascii="Open Sans" w:hAnsi="Open Sans" w:cs="Arial"/>
          <w:sz w:val="20"/>
          <w:szCs w:val="20"/>
        </w:rPr>
        <w:t>7.013</w:t>
      </w:r>
      <w:r>
        <w:rPr>
          <w:rFonts w:ascii="Open Sans" w:hAnsi="Open Sans" w:cs="Arial"/>
          <w:sz w:val="20"/>
          <w:szCs w:val="20"/>
        </w:rPr>
        <w:t xml:space="preserve"> </w:t>
      </w:r>
      <w:r w:rsidRPr="003F4A57">
        <w:rPr>
          <w:rFonts w:ascii="Open Sans" w:hAnsi="Open Sans" w:cs="Arial"/>
          <w:sz w:val="20"/>
          <w:szCs w:val="20"/>
        </w:rPr>
        <w:t>tiendas (</w:t>
      </w:r>
      <w:r w:rsidRPr="00277BFC">
        <w:rPr>
          <w:rFonts w:ascii="Open Sans" w:hAnsi="Open Sans" w:cs="Arial"/>
          <w:sz w:val="20"/>
          <w:szCs w:val="20"/>
        </w:rPr>
        <w:t>6.105</w:t>
      </w:r>
      <w:r>
        <w:rPr>
          <w:rFonts w:ascii="Open Sans" w:hAnsi="Open Sans" w:cs="Arial"/>
          <w:sz w:val="20"/>
          <w:szCs w:val="20"/>
        </w:rPr>
        <w:t xml:space="preserve"> tiendas propias y 908 franquicias) y operaba con tiendas online en 29 mercados, </w:t>
      </w:r>
      <w:r w:rsidRPr="003F4A57">
        <w:rPr>
          <w:rFonts w:ascii="Open Sans" w:hAnsi="Open Sans" w:cs="Arial"/>
          <w:sz w:val="20"/>
          <w:szCs w:val="20"/>
        </w:rPr>
        <w:t>distribuidas en Europa, Asia, África, América y Oceanía.</w:t>
      </w:r>
    </w:p>
    <w:p w14:paraId="0B2EFF45" w14:textId="77777777" w:rsidR="00BA0792" w:rsidRPr="003F4A57" w:rsidRDefault="00BA0792" w:rsidP="00BA0792">
      <w:pPr>
        <w:jc w:val="both"/>
        <w:rPr>
          <w:rFonts w:ascii="Open Sans" w:hAnsi="Open Sans" w:cs="Arial"/>
          <w:sz w:val="20"/>
          <w:szCs w:val="20"/>
        </w:rPr>
      </w:pPr>
    </w:p>
    <w:p w14:paraId="2503B3EA" w14:textId="77777777" w:rsidR="00BA0792" w:rsidRDefault="00BA0792" w:rsidP="00BA0792">
      <w:pPr>
        <w:jc w:val="both"/>
        <w:rPr>
          <w:rFonts w:ascii="Open Sans" w:hAnsi="Open Sans" w:cs="Arial"/>
          <w:sz w:val="20"/>
          <w:szCs w:val="20"/>
        </w:rPr>
      </w:pPr>
      <w:r w:rsidRPr="003F4A57">
        <w:rPr>
          <w:rFonts w:ascii="Open Sans" w:hAnsi="Open Sans" w:cs="Arial"/>
          <w:sz w:val="20"/>
          <w:szCs w:val="20"/>
        </w:rPr>
        <w:t xml:space="preserve">Inditex tiene presencia en los siguientes países: </w:t>
      </w:r>
    </w:p>
    <w:p w14:paraId="1A19D42E" w14:textId="77777777" w:rsidR="00BA0792" w:rsidRDefault="00BA0792" w:rsidP="00BA0792">
      <w:pPr>
        <w:jc w:val="both"/>
        <w:rPr>
          <w:rFonts w:ascii="Open Sans" w:hAnsi="Open Sans" w:cs="Arial"/>
          <w:sz w:val="20"/>
          <w:szCs w:val="20"/>
        </w:rPr>
      </w:pPr>
    </w:p>
    <w:p w14:paraId="6BED96B7" w14:textId="77777777" w:rsidR="00BA0792" w:rsidRDefault="00BA0792" w:rsidP="00BA0792">
      <w:pPr>
        <w:jc w:val="both"/>
        <w:rPr>
          <w:rFonts w:ascii="Open Sans" w:hAnsi="Open Sans" w:cs="Arial"/>
          <w:sz w:val="20"/>
          <w:szCs w:val="20"/>
        </w:rPr>
      </w:pPr>
      <w:r>
        <w:rPr>
          <w:rFonts w:ascii="Open Sans" w:hAnsi="Open Sans" w:cs="Arial"/>
          <w:sz w:val="20"/>
          <w:szCs w:val="20"/>
        </w:rPr>
        <w:t xml:space="preserve">Albania, </w:t>
      </w:r>
      <w:r w:rsidRPr="003F4A57">
        <w:rPr>
          <w:rFonts w:ascii="Open Sans" w:hAnsi="Open Sans" w:cs="Arial"/>
          <w:sz w:val="20"/>
          <w:szCs w:val="20"/>
        </w:rPr>
        <w:t xml:space="preserve">Alemania, Andorra, Arabia Saudí, Argelia, Argentina, Armenia, Ary Macedonia, Australia, Austria, Azerbaiyán, Bahréin, Bélgica, Bosnia, Brasil, Bulgaria, Canadá, Chile, China, Chipre, Colombia, Corea del Sur, Costa Rica, Croacia, Dinamarca, EAU, Ecuador, Egipto, El Salvador, Eslovaquia, Eslovenia, España, Estados Unidos, Estonia, Filipinas, Finlandia, Francia, Georgia, Grecia, Guatemala, Holanda, Honduras, Hungría, India, Indonesia, Irlanda, Islandia, Israel, Italia, Japón, Jordania, Kazajstán, Kuwait, Letonia, Líbano, Lituania, Luxemburgo, </w:t>
      </w:r>
      <w:r>
        <w:rPr>
          <w:rFonts w:ascii="Open Sans" w:hAnsi="Open Sans" w:cs="Arial"/>
          <w:sz w:val="20"/>
          <w:szCs w:val="20"/>
        </w:rPr>
        <w:t xml:space="preserve">Macedonia, </w:t>
      </w:r>
      <w:r w:rsidRPr="003F4A57">
        <w:rPr>
          <w:rFonts w:ascii="Open Sans" w:hAnsi="Open Sans" w:cs="Arial"/>
          <w:sz w:val="20"/>
          <w:szCs w:val="20"/>
        </w:rPr>
        <w:t>Malasia, Malta, Marruecos, México, Mónaco, Montenegro, Noruega, Omán, Panamá, Perú, Polonia, Portugal, Puerto Rico, Qatar, Reino Unido, República Checa, República Dominicana, Rumanía, Rusia, Serbia, Singapur, Sudáfrica, Suecia, Suiza, Taiwán, Tailandia, Túnez, Turquía, Ucrania, Uruguay</w:t>
      </w:r>
      <w:r>
        <w:rPr>
          <w:rFonts w:ascii="Open Sans" w:hAnsi="Open Sans" w:cs="Arial"/>
          <w:sz w:val="20"/>
          <w:szCs w:val="20"/>
        </w:rPr>
        <w:t xml:space="preserve"> y Venezuela. </w:t>
      </w:r>
    </w:p>
    <w:p w14:paraId="14BBD88E" w14:textId="77777777" w:rsidR="00BA0792" w:rsidRDefault="00BA0792" w:rsidP="00BA0792">
      <w:pPr>
        <w:jc w:val="both"/>
        <w:rPr>
          <w:rFonts w:ascii="Open Sans" w:hAnsi="Open Sans" w:cs="Arial"/>
          <w:sz w:val="20"/>
          <w:szCs w:val="20"/>
        </w:rPr>
      </w:pPr>
    </w:p>
    <w:p w14:paraId="056F6C9F" w14:textId="77777777" w:rsidR="00BA0792" w:rsidRPr="003F4A57" w:rsidRDefault="00BA0792" w:rsidP="00BA0792">
      <w:pPr>
        <w:jc w:val="both"/>
        <w:rPr>
          <w:rFonts w:ascii="Open Sans" w:hAnsi="Open Sans" w:cs="Arial"/>
          <w:sz w:val="20"/>
          <w:szCs w:val="20"/>
        </w:rPr>
      </w:pPr>
    </w:p>
    <w:p w14:paraId="1EA6C99C" w14:textId="77777777" w:rsidR="00BA0792" w:rsidRDefault="00BA0792" w:rsidP="00BA0792">
      <w:pPr>
        <w:jc w:val="both"/>
        <w:rPr>
          <w:rFonts w:ascii="Open Sans" w:hAnsi="Open Sans" w:cs="Arial"/>
          <w:sz w:val="20"/>
          <w:szCs w:val="20"/>
          <w:u w:val="single"/>
        </w:rPr>
      </w:pPr>
      <w:r>
        <w:rPr>
          <w:rFonts w:ascii="Open Sans" w:hAnsi="Open Sans" w:cs="Arial"/>
          <w:sz w:val="20"/>
          <w:szCs w:val="20"/>
          <w:u w:val="single"/>
        </w:rPr>
        <w:t>Cifras relevantes de la empresa:</w:t>
      </w:r>
    </w:p>
    <w:p w14:paraId="7F9121D6" w14:textId="77777777" w:rsidR="00BA0792" w:rsidRDefault="00BA0792" w:rsidP="00BA0792">
      <w:pPr>
        <w:jc w:val="both"/>
        <w:rPr>
          <w:rFonts w:ascii="Open Sans" w:hAnsi="Open Sans" w:cs="Arial"/>
          <w:sz w:val="20"/>
          <w:szCs w:val="20"/>
          <w:u w:val="single"/>
        </w:rPr>
      </w:pPr>
    </w:p>
    <w:p w14:paraId="7DCC0979" w14:textId="77777777" w:rsidR="00BA0792" w:rsidRDefault="00BA0792" w:rsidP="00BA0792">
      <w:pPr>
        <w:jc w:val="both"/>
        <w:rPr>
          <w:rFonts w:ascii="Open Sans" w:hAnsi="Open Sans" w:cs="Arial"/>
          <w:sz w:val="20"/>
          <w:szCs w:val="20"/>
        </w:rPr>
      </w:pPr>
      <w:r>
        <w:rPr>
          <w:rFonts w:ascii="Open Sans" w:hAnsi="Open Sans" w:cs="Arial"/>
          <w:sz w:val="20"/>
          <w:szCs w:val="20"/>
        </w:rPr>
        <w:t>Inditex</w:t>
      </w:r>
      <w:r w:rsidRPr="009E6F04">
        <w:rPr>
          <w:rFonts w:ascii="Open Sans" w:hAnsi="Open Sans" w:cs="Arial"/>
          <w:sz w:val="20"/>
          <w:szCs w:val="20"/>
        </w:rPr>
        <w:t xml:space="preserve"> ha obtenido una facturación en 2015 de </w:t>
      </w:r>
      <w:r w:rsidRPr="004D79CC">
        <w:rPr>
          <w:rFonts w:ascii="Open Sans" w:hAnsi="Open Sans" w:cs="Arial"/>
          <w:sz w:val="20"/>
          <w:szCs w:val="20"/>
        </w:rPr>
        <w:t>20.900</w:t>
      </w:r>
      <w:r>
        <w:rPr>
          <w:rFonts w:ascii="Open Sans" w:hAnsi="Open Sans" w:cs="Arial"/>
          <w:sz w:val="20"/>
          <w:szCs w:val="20"/>
        </w:rPr>
        <w:t xml:space="preserve"> millones de euros lo que le ha generado </w:t>
      </w:r>
      <w:proofErr w:type="gramStart"/>
      <w:r>
        <w:rPr>
          <w:rFonts w:ascii="Open Sans" w:hAnsi="Open Sans" w:cs="Arial"/>
          <w:sz w:val="20"/>
          <w:szCs w:val="20"/>
        </w:rPr>
        <w:t>un beneficios</w:t>
      </w:r>
      <w:proofErr w:type="gramEnd"/>
      <w:r>
        <w:rPr>
          <w:rFonts w:ascii="Open Sans" w:hAnsi="Open Sans" w:cs="Arial"/>
          <w:sz w:val="20"/>
          <w:szCs w:val="20"/>
        </w:rPr>
        <w:t xml:space="preserve"> antes de impuestos al grupo consolidado de 3.743 millones de euros.</w:t>
      </w:r>
    </w:p>
    <w:p w14:paraId="1794552E" w14:textId="77777777" w:rsidR="00BA0792" w:rsidRDefault="00BA0792" w:rsidP="00BA0792">
      <w:pPr>
        <w:jc w:val="both"/>
        <w:rPr>
          <w:rFonts w:ascii="Open Sans" w:hAnsi="Open Sans" w:cs="Arial"/>
          <w:sz w:val="20"/>
          <w:szCs w:val="20"/>
        </w:rPr>
      </w:pPr>
    </w:p>
    <w:p w14:paraId="309480AE" w14:textId="77777777" w:rsidR="00BA0792" w:rsidRPr="009E6F04" w:rsidRDefault="00BA0792" w:rsidP="00BA0792">
      <w:pPr>
        <w:jc w:val="both"/>
        <w:rPr>
          <w:rFonts w:ascii="Open Sans" w:hAnsi="Open Sans" w:cs="Arial"/>
          <w:sz w:val="20"/>
          <w:szCs w:val="20"/>
        </w:rPr>
      </w:pPr>
      <w:r w:rsidRPr="009E6F04">
        <w:rPr>
          <w:rFonts w:ascii="Open Sans" w:hAnsi="Open Sans" w:cs="Arial"/>
          <w:sz w:val="20"/>
          <w:szCs w:val="20"/>
        </w:rPr>
        <w:t xml:space="preserve">Al </w:t>
      </w:r>
      <w:r>
        <w:rPr>
          <w:rFonts w:ascii="Open Sans" w:hAnsi="Open Sans" w:cs="Arial"/>
          <w:sz w:val="20"/>
          <w:szCs w:val="20"/>
        </w:rPr>
        <w:t>cierre del ejercicio (31 de enero de 2016)</w:t>
      </w:r>
      <w:r w:rsidRPr="009E6F04">
        <w:rPr>
          <w:rFonts w:ascii="Open Sans" w:hAnsi="Open Sans" w:cs="Arial"/>
          <w:sz w:val="20"/>
          <w:szCs w:val="20"/>
        </w:rPr>
        <w:t xml:space="preserve"> el grupo cuenta con un total de </w:t>
      </w:r>
      <w:r w:rsidRPr="004D79CC">
        <w:rPr>
          <w:rFonts w:ascii="Open Sans" w:hAnsi="Open Sans" w:cs="Arial"/>
          <w:sz w:val="20"/>
          <w:szCs w:val="20"/>
        </w:rPr>
        <w:t>152.854</w:t>
      </w:r>
      <w:r>
        <w:rPr>
          <w:rFonts w:ascii="Open Sans" w:hAnsi="Open Sans" w:cs="Arial"/>
          <w:sz w:val="20"/>
          <w:szCs w:val="20"/>
        </w:rPr>
        <w:t xml:space="preserve"> </w:t>
      </w:r>
      <w:r w:rsidRPr="009E6F04">
        <w:rPr>
          <w:rFonts w:ascii="Open Sans" w:hAnsi="Open Sans" w:cs="Arial"/>
          <w:sz w:val="20"/>
          <w:szCs w:val="20"/>
        </w:rPr>
        <w:t>empleados.</w:t>
      </w:r>
    </w:p>
    <w:p w14:paraId="4C196B2D" w14:textId="77777777" w:rsidR="00BA0792" w:rsidRDefault="00BA0792" w:rsidP="00BA0792">
      <w:pPr>
        <w:jc w:val="both"/>
        <w:rPr>
          <w:rFonts w:ascii="Open Sans" w:hAnsi="Open Sans" w:cs="Arial"/>
          <w:sz w:val="20"/>
          <w:szCs w:val="20"/>
          <w:u w:val="single"/>
        </w:rPr>
      </w:pPr>
    </w:p>
    <w:p w14:paraId="063180A2" w14:textId="77777777" w:rsidR="00BA0792" w:rsidRDefault="00BA0792" w:rsidP="00BA0792">
      <w:pPr>
        <w:jc w:val="both"/>
        <w:rPr>
          <w:rFonts w:ascii="Open Sans" w:hAnsi="Open Sans" w:cs="Arial"/>
          <w:sz w:val="20"/>
          <w:szCs w:val="20"/>
          <w:u w:val="single"/>
        </w:rPr>
      </w:pPr>
    </w:p>
    <w:p w14:paraId="34206DD1" w14:textId="77777777" w:rsidR="00BA0792" w:rsidRPr="00EE1EF7" w:rsidRDefault="00BA0792" w:rsidP="00BA0792">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5B21AFC9" w14:textId="77777777" w:rsidR="00BA0792" w:rsidRPr="00EE1EF7" w:rsidRDefault="00BA0792" w:rsidP="00BA0792">
      <w:pPr>
        <w:jc w:val="both"/>
        <w:rPr>
          <w:rFonts w:ascii="Open Sans" w:hAnsi="Open Sans" w:cs="Arial"/>
          <w:sz w:val="20"/>
          <w:szCs w:val="20"/>
          <w:u w:val="single"/>
        </w:rPr>
      </w:pPr>
    </w:p>
    <w:p w14:paraId="36618916" w14:textId="77777777" w:rsidR="00BA0792" w:rsidRPr="00EE1EF7" w:rsidRDefault="00BA0792" w:rsidP="00BA0792">
      <w:pPr>
        <w:jc w:val="both"/>
        <w:rPr>
          <w:rFonts w:ascii="Open Sans" w:hAnsi="Open Sans" w:cs="Arial"/>
          <w:sz w:val="20"/>
          <w:szCs w:val="20"/>
        </w:rPr>
      </w:pPr>
      <w:r>
        <w:rPr>
          <w:rFonts w:ascii="Open Sans" w:hAnsi="Open Sans" w:cs="Arial"/>
          <w:sz w:val="20"/>
          <w:szCs w:val="20"/>
        </w:rPr>
        <w:t>Inditex</w:t>
      </w:r>
      <w:r w:rsidRPr="00EE1EF7">
        <w:rPr>
          <w:rFonts w:ascii="Open Sans" w:hAnsi="Open Sans" w:cs="Arial"/>
          <w:sz w:val="20"/>
          <w:szCs w:val="20"/>
        </w:rPr>
        <w:t xml:space="preserve"> informa que se ha adherido voluntariamente a los siguientes estándares relacionados con contenidos y sistemas de gestión de </w:t>
      </w:r>
      <w:r>
        <w:rPr>
          <w:rFonts w:ascii="Open Sans" w:hAnsi="Open Sans" w:cs="Arial"/>
          <w:sz w:val="20"/>
          <w:szCs w:val="20"/>
        </w:rPr>
        <w:t>fiscalidad responsable</w:t>
      </w:r>
      <w:r w:rsidRPr="00EE1EF7">
        <w:rPr>
          <w:rFonts w:ascii="Open Sans" w:hAnsi="Open Sans" w:cs="Arial"/>
          <w:sz w:val="20"/>
          <w:szCs w:val="20"/>
        </w:rPr>
        <w:t>:</w:t>
      </w:r>
    </w:p>
    <w:p w14:paraId="56D4ED61" w14:textId="77777777" w:rsidR="00BA0792" w:rsidRPr="00EE1EF7" w:rsidRDefault="00BA0792" w:rsidP="00BA0792">
      <w:pPr>
        <w:jc w:val="both"/>
        <w:rPr>
          <w:rFonts w:ascii="Open Sans" w:hAnsi="Open Sans" w:cs="Arial"/>
          <w:sz w:val="20"/>
          <w:szCs w:val="20"/>
        </w:rPr>
      </w:pPr>
    </w:p>
    <w:p w14:paraId="41A37AA7" w14:textId="77777777" w:rsidR="00BA0792" w:rsidRDefault="00BA0792" w:rsidP="00BA0792">
      <w:pPr>
        <w:numPr>
          <w:ilvl w:val="0"/>
          <w:numId w:val="12"/>
        </w:numPr>
        <w:jc w:val="both"/>
        <w:rPr>
          <w:rFonts w:ascii="Open Sans" w:hAnsi="Open Sans" w:cs="Arial"/>
          <w:sz w:val="20"/>
          <w:szCs w:val="20"/>
        </w:rPr>
      </w:pPr>
      <w:r>
        <w:rPr>
          <w:rFonts w:ascii="Open Sans" w:hAnsi="Open Sans" w:cs="Arial"/>
          <w:sz w:val="20"/>
          <w:szCs w:val="20"/>
        </w:rPr>
        <w:t>Código de buenas prácticas tributarias. Agencia Tributaria del Gobierno de España</w:t>
      </w:r>
    </w:p>
    <w:p w14:paraId="37A53F65" w14:textId="77777777" w:rsidR="00BA0792" w:rsidRPr="00D91C09" w:rsidRDefault="00BA0792" w:rsidP="00BA0792">
      <w:pPr>
        <w:numPr>
          <w:ilvl w:val="0"/>
          <w:numId w:val="12"/>
        </w:numPr>
        <w:jc w:val="both"/>
        <w:rPr>
          <w:rFonts w:ascii="Open Sans" w:hAnsi="Open Sans" w:cs="Arial"/>
          <w:sz w:val="20"/>
          <w:szCs w:val="20"/>
        </w:rPr>
      </w:pPr>
      <w:r w:rsidRPr="00D91C09">
        <w:rPr>
          <w:rFonts w:ascii="Open Sans" w:hAnsi="Open Sans" w:cs="Arial"/>
          <w:bCs/>
          <w:sz w:val="20"/>
          <w:szCs w:val="20"/>
        </w:rPr>
        <w:t>Sigue las Directrices de la OCDE aplicables en materia de precios de transferencia a empresas multinacionales y administraciones tributarias</w:t>
      </w:r>
    </w:p>
    <w:p w14:paraId="597DE0A7" w14:textId="77777777" w:rsidR="00BA0792" w:rsidRDefault="00BA0792" w:rsidP="00BA0792">
      <w:pPr>
        <w:jc w:val="both"/>
        <w:rPr>
          <w:rFonts w:ascii="Open Sans" w:hAnsi="Open Sans" w:cs="Arial"/>
          <w:sz w:val="20"/>
          <w:szCs w:val="20"/>
          <w:u w:val="single"/>
        </w:rPr>
      </w:pPr>
    </w:p>
    <w:p w14:paraId="4D205423" w14:textId="77777777" w:rsidR="00BA0792" w:rsidRPr="00EE1EF7" w:rsidRDefault="00BA0792" w:rsidP="00BA0792">
      <w:pPr>
        <w:jc w:val="both"/>
        <w:rPr>
          <w:rFonts w:ascii="Open Sans" w:hAnsi="Open Sans" w:cs="Arial"/>
          <w:sz w:val="20"/>
          <w:szCs w:val="20"/>
          <w:u w:val="single"/>
        </w:rPr>
      </w:pPr>
    </w:p>
    <w:p w14:paraId="6C48AB03" w14:textId="77777777" w:rsidR="00BA0792" w:rsidRPr="00EE1EF7" w:rsidRDefault="00BA0792" w:rsidP="00BA0792">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3AD58C4C" w14:textId="77777777" w:rsidR="00BA0792" w:rsidRPr="00EE1EF7" w:rsidRDefault="00BA0792" w:rsidP="00BA0792">
      <w:pPr>
        <w:ind w:firstLine="709"/>
        <w:jc w:val="both"/>
        <w:rPr>
          <w:rFonts w:ascii="Open Sans" w:hAnsi="Open Sans" w:cs="Arial"/>
          <w:sz w:val="20"/>
          <w:szCs w:val="20"/>
        </w:rPr>
      </w:pPr>
    </w:p>
    <w:p w14:paraId="2D742357" w14:textId="77777777" w:rsidR="00BA0792" w:rsidRPr="00EE1EF7" w:rsidRDefault="00BA0792" w:rsidP="00BA0792">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5B7C9160" w14:textId="77777777" w:rsidR="00BA0792" w:rsidRPr="00732FD5" w:rsidRDefault="00BA0792" w:rsidP="00BA0792">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BA0792" w:rsidRPr="00732FD5" w14:paraId="0D29674C" w14:textId="77777777" w:rsidTr="006E3A41">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54E208BC" w14:textId="77777777" w:rsidR="00BA0792" w:rsidRPr="00732FD5" w:rsidRDefault="00BA0792" w:rsidP="006E3A41">
            <w:pPr>
              <w:jc w:val="center"/>
              <w:rPr>
                <w:rFonts w:ascii="Open Sans" w:hAnsi="Open Sans" w:cs="Arial"/>
                <w:b/>
                <w:sz w:val="20"/>
                <w:szCs w:val="22"/>
              </w:rPr>
            </w:pPr>
            <w:r w:rsidRPr="00732FD5">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7E75ED9C" w14:textId="77777777" w:rsidR="00BA0792" w:rsidRPr="00732FD5" w:rsidRDefault="00BA0792" w:rsidP="006E3A41">
            <w:pPr>
              <w:jc w:val="center"/>
              <w:rPr>
                <w:rFonts w:ascii="Open Sans" w:hAnsi="Open Sans" w:cs="Arial"/>
                <w:b/>
                <w:sz w:val="20"/>
                <w:szCs w:val="22"/>
              </w:rPr>
            </w:pPr>
            <w:r w:rsidRPr="00732FD5">
              <w:rPr>
                <w:rFonts w:ascii="Open Sans" w:hAnsi="Open Sans" w:cs="Arial"/>
                <w:b/>
                <w:sz w:val="20"/>
                <w:szCs w:val="22"/>
              </w:rPr>
              <w:t>OBSERVACIONES</w:t>
            </w:r>
          </w:p>
        </w:tc>
      </w:tr>
      <w:tr w:rsidR="00BA0792" w:rsidRPr="00732FD5" w14:paraId="2F2C5495" w14:textId="77777777" w:rsidTr="006E3A41">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86C7833" w14:textId="77777777" w:rsidR="00BA0792" w:rsidRPr="00BD0C68" w:rsidRDefault="00BA0792" w:rsidP="006E3A41">
            <w:pPr>
              <w:rPr>
                <w:rFonts w:ascii="Open Sans" w:eastAsia="Arial Unicode MS" w:hAnsi="Open Sans" w:cs="Arial"/>
                <w:sz w:val="20"/>
                <w:szCs w:val="20"/>
              </w:rPr>
            </w:pPr>
            <w:r w:rsidRPr="00BD0C68">
              <w:rPr>
                <w:rFonts w:ascii="Open Sans" w:hAnsi="Open Sans" w:cs="Arial"/>
                <w:color w:val="000000"/>
                <w:sz w:val="20"/>
                <w:szCs w:val="20"/>
              </w:rPr>
              <w:t>Memoria Anual</w:t>
            </w:r>
            <w:r>
              <w:rPr>
                <w:rFonts w:ascii="Open Sans" w:hAnsi="Open Sans" w:cs="Arial"/>
                <w:color w:val="000000"/>
                <w:sz w:val="20"/>
                <w:szCs w:val="20"/>
              </w:rPr>
              <w:t xml:space="preserve">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44BE8BC" w14:textId="77777777" w:rsidR="00BA0792" w:rsidRPr="00BD0C68" w:rsidRDefault="00BA0792" w:rsidP="006E3A41">
            <w:pPr>
              <w:rPr>
                <w:rFonts w:ascii="Open Sans" w:eastAsia="Arial Unicode MS" w:hAnsi="Open Sans" w:cs="Arial"/>
                <w:sz w:val="20"/>
                <w:szCs w:val="20"/>
              </w:rPr>
            </w:pPr>
            <w:r w:rsidRPr="00BD0C68">
              <w:rPr>
                <w:rFonts w:ascii="Open Sans" w:hAnsi="Open Sans" w:cs="Arial"/>
                <w:color w:val="000000"/>
                <w:sz w:val="20"/>
                <w:szCs w:val="20"/>
              </w:rPr>
              <w:t> </w:t>
            </w:r>
          </w:p>
        </w:tc>
      </w:tr>
      <w:tr w:rsidR="00BA0792" w:rsidRPr="00732FD5" w14:paraId="05920BBA" w14:textId="77777777" w:rsidTr="006E3A41">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2B59B44" w14:textId="77777777" w:rsidR="00BA0792" w:rsidRPr="00BD0C68" w:rsidRDefault="00BA0792" w:rsidP="006E3A41">
            <w:pPr>
              <w:rPr>
                <w:rFonts w:ascii="Open Sans" w:eastAsia="Arial Unicode MS" w:hAnsi="Open Sans" w:cs="Arial"/>
                <w:sz w:val="20"/>
                <w:szCs w:val="20"/>
              </w:rPr>
            </w:pPr>
            <w:r w:rsidRPr="00BD0C68">
              <w:rPr>
                <w:rFonts w:ascii="Open Sans" w:hAnsi="Open Sans"/>
                <w:color w:val="000000"/>
                <w:sz w:val="20"/>
                <w:szCs w:val="20"/>
              </w:rPr>
              <w:t>Informe Anual de Gobierno Corporativo</w:t>
            </w:r>
            <w:r>
              <w:rPr>
                <w:rFonts w:ascii="Open Sans" w:hAnsi="Open Sans"/>
                <w:color w:val="000000"/>
                <w:sz w:val="20"/>
                <w:szCs w:val="20"/>
              </w:rPr>
              <w:t xml:space="preserve">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C124FF4" w14:textId="77777777" w:rsidR="00BA0792" w:rsidRPr="00BD0C68" w:rsidRDefault="00BA0792" w:rsidP="006E3A41">
            <w:pPr>
              <w:rPr>
                <w:rFonts w:ascii="Open Sans" w:eastAsia="Arial Unicode MS" w:hAnsi="Open Sans" w:cs="Arial"/>
                <w:sz w:val="20"/>
                <w:szCs w:val="20"/>
              </w:rPr>
            </w:pPr>
            <w:r w:rsidRPr="00BD0C68">
              <w:rPr>
                <w:rFonts w:ascii="Open Sans" w:hAnsi="Open Sans"/>
                <w:color w:val="000000"/>
                <w:sz w:val="20"/>
                <w:szCs w:val="20"/>
              </w:rPr>
              <w:t> </w:t>
            </w:r>
          </w:p>
        </w:tc>
      </w:tr>
      <w:tr w:rsidR="00BA0792" w:rsidRPr="00732FD5" w14:paraId="1BCAA6F3" w14:textId="77777777" w:rsidTr="006E3A41">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ED88801" w14:textId="77777777" w:rsidR="00BA0792" w:rsidRPr="00BD0C68" w:rsidRDefault="00BA0792" w:rsidP="006E3A41">
            <w:pPr>
              <w:rPr>
                <w:rFonts w:ascii="Open Sans" w:eastAsia="Arial Unicode MS" w:hAnsi="Open Sans" w:cs="Arial"/>
                <w:sz w:val="20"/>
                <w:szCs w:val="20"/>
              </w:rPr>
            </w:pPr>
            <w:r w:rsidRPr="00BD0C68">
              <w:rPr>
                <w:rFonts w:ascii="Open Sans" w:hAnsi="Open Sans"/>
                <w:color w:val="000000"/>
                <w:sz w:val="20"/>
                <w:szCs w:val="20"/>
              </w:rPr>
              <w:t>Código de Conducta y Practicas Responsables del Grupo Inditex</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3E6795C" w14:textId="77777777" w:rsidR="00BA0792" w:rsidRPr="00BD0C68" w:rsidRDefault="00BA0792" w:rsidP="006E3A41">
            <w:pPr>
              <w:rPr>
                <w:rFonts w:ascii="Open Sans" w:eastAsia="Arial Unicode MS" w:hAnsi="Open Sans" w:cs="Arial"/>
                <w:sz w:val="20"/>
                <w:szCs w:val="20"/>
              </w:rPr>
            </w:pPr>
            <w:r>
              <w:rPr>
                <w:rFonts w:ascii="Open Sans" w:hAnsi="Open Sans"/>
                <w:color w:val="000000"/>
                <w:sz w:val="20"/>
                <w:szCs w:val="20"/>
              </w:rPr>
              <w:t>Aprobado en julio 2012</w:t>
            </w:r>
          </w:p>
        </w:tc>
      </w:tr>
      <w:tr w:rsidR="00BA0792" w:rsidRPr="00732FD5" w14:paraId="51BCF4A6"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48737AAA" w14:textId="77777777" w:rsidR="00BA0792" w:rsidRPr="00BD0C68" w:rsidRDefault="00BA0792" w:rsidP="006E3A41">
            <w:pPr>
              <w:rPr>
                <w:rFonts w:ascii="Open Sans" w:hAnsi="Open Sans" w:cs="Tahoma"/>
                <w:sz w:val="20"/>
                <w:szCs w:val="20"/>
              </w:rPr>
            </w:pPr>
            <w:r w:rsidRPr="00BD0C68">
              <w:rPr>
                <w:rFonts w:ascii="Open Sans" w:hAnsi="Open Sans"/>
                <w:color w:val="000000"/>
                <w:sz w:val="20"/>
                <w:szCs w:val="20"/>
              </w:rPr>
              <w:t>Reglamento del Consejo de Administración</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135A30D" w14:textId="77777777" w:rsidR="00BA0792" w:rsidRPr="00BD0C68" w:rsidRDefault="00BA0792" w:rsidP="006E3A41">
            <w:pPr>
              <w:rPr>
                <w:rFonts w:ascii="Open Sans" w:eastAsia="Arial Unicode MS" w:hAnsi="Open Sans" w:cs="Arial"/>
                <w:sz w:val="20"/>
                <w:szCs w:val="20"/>
              </w:rPr>
            </w:pPr>
            <w:r w:rsidRPr="00BD0C68">
              <w:rPr>
                <w:rFonts w:ascii="Open Sans" w:hAnsi="Open Sans"/>
                <w:color w:val="000000"/>
                <w:sz w:val="20"/>
                <w:szCs w:val="20"/>
              </w:rPr>
              <w:t>aprobado en junio 2015</w:t>
            </w:r>
          </w:p>
        </w:tc>
      </w:tr>
      <w:tr w:rsidR="00BA0792" w:rsidRPr="00732FD5" w14:paraId="39047510" w14:textId="77777777" w:rsidTr="006E3A41">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90276B8" w14:textId="77777777" w:rsidR="00BA0792" w:rsidRPr="00BD0C68" w:rsidRDefault="00BA0792" w:rsidP="006E3A41">
            <w:pPr>
              <w:rPr>
                <w:rFonts w:ascii="Open Sans" w:hAnsi="Open Sans" w:cs="Tahoma"/>
                <w:sz w:val="20"/>
                <w:szCs w:val="20"/>
              </w:rPr>
            </w:pPr>
            <w:r w:rsidRPr="00BD0C68">
              <w:rPr>
                <w:rFonts w:ascii="Open Sans" w:hAnsi="Open Sans"/>
                <w:color w:val="000000"/>
                <w:sz w:val="20"/>
                <w:szCs w:val="20"/>
              </w:rPr>
              <w:t>Reglamentos Comisión de Auditoria y Control</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4E9158B2" w14:textId="77777777" w:rsidR="00BA0792" w:rsidRPr="00BD0C68" w:rsidRDefault="00BA0792" w:rsidP="006E3A41">
            <w:pPr>
              <w:rPr>
                <w:rFonts w:ascii="Open Sans" w:eastAsia="Arial Unicode MS" w:hAnsi="Open Sans" w:cs="Arial"/>
                <w:sz w:val="20"/>
                <w:szCs w:val="20"/>
              </w:rPr>
            </w:pPr>
            <w:r w:rsidRPr="00BD0C68">
              <w:rPr>
                <w:rFonts w:ascii="Open Sans" w:hAnsi="Open Sans"/>
                <w:color w:val="000000"/>
                <w:sz w:val="20"/>
                <w:szCs w:val="20"/>
              </w:rPr>
              <w:t>aprobado en junio 2015</w:t>
            </w:r>
          </w:p>
        </w:tc>
      </w:tr>
    </w:tbl>
    <w:p w14:paraId="7B0BBCD4" w14:textId="77777777" w:rsidR="00BA0792" w:rsidRPr="00732FD5" w:rsidRDefault="00BA0792" w:rsidP="00BA0792">
      <w:pPr>
        <w:jc w:val="both"/>
        <w:rPr>
          <w:rFonts w:ascii="Open Sans" w:hAnsi="Open Sans" w:cs="Arial"/>
          <w:b/>
        </w:rPr>
      </w:pPr>
    </w:p>
    <w:p w14:paraId="0C57FEF0" w14:textId="77777777" w:rsidR="00BA0792" w:rsidRDefault="00BA0792" w:rsidP="00BA0792">
      <w:pPr>
        <w:rPr>
          <w:rFonts w:ascii="Open Sans" w:hAnsi="Open Sans" w:cs="Arial"/>
          <w:b/>
        </w:rPr>
      </w:pPr>
      <w:r>
        <w:rPr>
          <w:rFonts w:ascii="Open Sans" w:hAnsi="Open Sans" w:cs="Arial"/>
          <w:b/>
        </w:rPr>
        <w:br w:type="page"/>
      </w:r>
    </w:p>
    <w:p w14:paraId="26DC02A6" w14:textId="77777777" w:rsidR="00BA0792" w:rsidRPr="00732FD5" w:rsidRDefault="00BA0792" w:rsidP="00BA0792">
      <w:pPr>
        <w:jc w:val="both"/>
        <w:rPr>
          <w:rFonts w:ascii="Open Sans" w:hAnsi="Open Sans" w:cs="Arial"/>
          <w:b/>
        </w:rPr>
      </w:pPr>
    </w:p>
    <w:p w14:paraId="615E5C64" w14:textId="77777777" w:rsidR="00BA0792" w:rsidRPr="005B5FC7" w:rsidRDefault="00BA0792" w:rsidP="00BA0792">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7C0B4A1B" w14:textId="77777777" w:rsidR="00BA0792" w:rsidRDefault="00BA0792" w:rsidP="00BA0792">
      <w:pPr>
        <w:rPr>
          <w:rFonts w:ascii="Open Sans" w:hAnsi="Open Sans" w:cs="Arial"/>
          <w:b/>
        </w:rPr>
      </w:pPr>
    </w:p>
    <w:p w14:paraId="5826EF95" w14:textId="77777777" w:rsidR="00BA0792" w:rsidRDefault="00BA0792" w:rsidP="00BA0792">
      <w:pPr>
        <w:jc w:val="center"/>
        <w:rPr>
          <w:rFonts w:ascii="Open Sans" w:hAnsi="Open Sans" w:cs="Arial"/>
          <w:b/>
        </w:rPr>
      </w:pPr>
    </w:p>
    <w:p w14:paraId="68C2180B" w14:textId="77777777" w:rsidR="00BA0792" w:rsidRPr="007829A9" w:rsidRDefault="00BA0792" w:rsidP="00BA0792">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792153EE" w14:textId="77777777" w:rsidR="00BA0792" w:rsidRPr="00732FD5" w:rsidRDefault="00BA0792" w:rsidP="00BA0792">
      <w:pPr>
        <w:rPr>
          <w:rFonts w:ascii="Open Sans" w:hAnsi="Open Sans" w:cs="Arial"/>
          <w:b/>
        </w:rPr>
      </w:pPr>
    </w:p>
    <w:p w14:paraId="0E9DCDEC" w14:textId="77777777" w:rsidR="00BA0792" w:rsidRDefault="00BA0792" w:rsidP="00BA0792">
      <w:pPr>
        <w:jc w:val="center"/>
      </w:pPr>
      <w:r w:rsidRPr="00FD6D38">
        <w:rPr>
          <w:noProof/>
          <w:lang w:val="es-ES"/>
        </w:rPr>
        <w:drawing>
          <wp:inline distT="0" distB="0" distL="0" distR="0" wp14:anchorId="45D74558" wp14:editId="6E8C2D50">
            <wp:extent cx="3686175" cy="1828800"/>
            <wp:effectExtent l="0" t="0" r="952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56F17EF8" w14:textId="77777777" w:rsidR="00BA0792" w:rsidRDefault="00BA0792" w:rsidP="00BA0792">
      <w:pPr>
        <w:jc w:val="both"/>
      </w:pPr>
    </w:p>
    <w:p w14:paraId="09A0DEB1" w14:textId="77777777" w:rsidR="00BA0792" w:rsidRDefault="00BA0792" w:rsidP="00BA0792">
      <w:pPr>
        <w:jc w:val="both"/>
      </w:pPr>
    </w:p>
    <w:p w14:paraId="7B8BE3AB" w14:textId="77777777" w:rsidR="00BA0792" w:rsidRDefault="00BA0792" w:rsidP="00BA0792">
      <w:pPr>
        <w:rPr>
          <w:rFonts w:ascii="Open Sans" w:hAnsi="Open Sans" w:cs="Arial"/>
          <w:b/>
        </w:rPr>
      </w:pPr>
    </w:p>
    <w:p w14:paraId="40AA203D" w14:textId="77777777" w:rsidR="00BA0792" w:rsidRPr="00732FD5" w:rsidRDefault="00BA0792" w:rsidP="00BA0792">
      <w:pPr>
        <w:jc w:val="center"/>
        <w:rPr>
          <w:rFonts w:ascii="Open Sans" w:hAnsi="Open Sans" w:cs="Arial"/>
          <w:b/>
        </w:rPr>
      </w:pPr>
    </w:p>
    <w:p w14:paraId="59A3AD95" w14:textId="77777777" w:rsidR="00BA0792" w:rsidRPr="00EE1EF7" w:rsidRDefault="00BA0792" w:rsidP="00BA0792">
      <w:pPr>
        <w:jc w:val="both"/>
        <w:rPr>
          <w:rFonts w:ascii="Open Sans" w:hAnsi="Open Sans" w:cs="Arial"/>
          <w:b/>
          <w:sz w:val="22"/>
          <w:szCs w:val="22"/>
        </w:rPr>
      </w:pPr>
      <w:r w:rsidRPr="00EE1EF7">
        <w:rPr>
          <w:rFonts w:ascii="Open Sans" w:hAnsi="Open Sans" w:cs="Arial"/>
          <w:b/>
          <w:sz w:val="22"/>
          <w:szCs w:val="22"/>
          <w:u w:val="single"/>
        </w:rPr>
        <w:t>3. Contexto general</w:t>
      </w:r>
    </w:p>
    <w:p w14:paraId="77471CC5" w14:textId="77777777" w:rsidR="00BA0792" w:rsidRDefault="00BA0792" w:rsidP="00BA0792">
      <w:pPr>
        <w:jc w:val="both"/>
        <w:rPr>
          <w:rFonts w:ascii="Open Sans" w:hAnsi="Open Sans" w:cs="Arial"/>
          <w:b/>
        </w:rPr>
      </w:pPr>
    </w:p>
    <w:p w14:paraId="7E27A421"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El contexto general en el que se ha desarrollado la actividad de Inditex a lo largo del ejercicio 2015 ha estado marcado por un incremento en su cifra de negocio, que crece tanto en ventas, como en mercados y en número de tiendas netas. Las ventas se situaron en 20.900 millones de euros, un 15,4% superior al ejercicio 2014. </w:t>
      </w:r>
    </w:p>
    <w:p w14:paraId="51D07BDA" w14:textId="77777777" w:rsidR="00BA0792" w:rsidRPr="00BA0792" w:rsidRDefault="00BA0792" w:rsidP="00BA0792">
      <w:pPr>
        <w:jc w:val="both"/>
        <w:rPr>
          <w:rFonts w:ascii="Open Sans" w:hAnsi="Open Sans" w:cs="Arial"/>
          <w:sz w:val="20"/>
          <w:szCs w:val="20"/>
        </w:rPr>
      </w:pPr>
    </w:p>
    <w:p w14:paraId="462C2965"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Las aperturas netas de tiendas en 2015 se situaron en 330, alcanzando al cierre del ejercicio un total de 7.013 tiendas (6.105 de gestión propia y 908 franquiciadas) en 88 mercados. </w:t>
      </w:r>
    </w:p>
    <w:p w14:paraId="273CE14F" w14:textId="77777777" w:rsidR="00BA0792" w:rsidRPr="00BA0792" w:rsidRDefault="00BA0792" w:rsidP="00BA0792">
      <w:pPr>
        <w:jc w:val="both"/>
        <w:rPr>
          <w:rFonts w:ascii="Open Sans" w:hAnsi="Open Sans" w:cs="Arial"/>
          <w:sz w:val="20"/>
          <w:szCs w:val="20"/>
        </w:rPr>
      </w:pPr>
    </w:p>
    <w:p w14:paraId="659C5077"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El Grupo opera una plataforma de ventas en tienda y online y continúa la expansión global de este modelo integrado con el lanzamiento de la venta online de Zara en Taiwán, Hong Kong y Macao en septiembre 2015, y de Zara Home en Australia en diciembre 2015.</w:t>
      </w:r>
    </w:p>
    <w:p w14:paraId="38C7CAFC" w14:textId="77777777" w:rsidR="00BA0792" w:rsidRPr="00BA0792" w:rsidRDefault="00BA0792" w:rsidP="00BA0792">
      <w:pPr>
        <w:jc w:val="both"/>
        <w:rPr>
          <w:rFonts w:ascii="Open Sans" w:hAnsi="Open Sans" w:cs="Arial"/>
          <w:sz w:val="20"/>
          <w:szCs w:val="20"/>
        </w:rPr>
      </w:pPr>
    </w:p>
    <w:p w14:paraId="63C2F2A5"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Cotiza en las Bolsas españolas y  forma  parte  del  índice  selectivo  IBEX35. También  forma  parte  del  Eurostoxx  600 del  índice  selectivo  Morgan  Stanley  Capital International, del  Dow  Jones  Sustainability  Index,  FTSE4Good y  del índice  bursátil FTSE ISS Corporate Governance. </w:t>
      </w:r>
    </w:p>
    <w:p w14:paraId="48E3A09F" w14:textId="77777777" w:rsidR="00BA0792" w:rsidRPr="00BA0792" w:rsidRDefault="00BA0792" w:rsidP="00BA0792">
      <w:pPr>
        <w:jc w:val="both"/>
        <w:rPr>
          <w:rFonts w:ascii="Open Sans" w:hAnsi="Open Sans" w:cs="Arial"/>
          <w:sz w:val="20"/>
          <w:szCs w:val="20"/>
        </w:rPr>
      </w:pPr>
    </w:p>
    <w:p w14:paraId="5F95D731"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En relación a su estructura de propiedad los titulares de participaciones significativas de la Sociedad, a 31 de enero de 2016 son Partler 2006 S.L. (con una participación directa de 9,284%), Rosp Corunna Participaciones Empresariales, S.L., (con una participación indirecta de 5,053%). En diciembre de 2015 se produjo la fusión por absorción de Gartler, S.L. por parte de Pontegadea Inversiones, S.L. con la transmisión en bloque de su patrimonio adquiriendo la titularidad directa del 50,010% de las acciones y derechos de voto de Inditex. Amancio Ortega Gaona es el titular indirecto de las acciones de Inditex a través de los accionistas significativos Pontegadea Inversiones, S.L. y Partler 2006, S.L. y que Rosp Corunna Participaciones Empresariales, S.L., es propiedad de Sandra Marcos Ortega Mera, que son hijos de Amancio Ortega Gaona.</w:t>
      </w:r>
    </w:p>
    <w:p w14:paraId="126D4E11" w14:textId="77777777" w:rsidR="00BA0792" w:rsidRPr="00BA0792" w:rsidRDefault="00BA0792" w:rsidP="00BA0792">
      <w:pPr>
        <w:jc w:val="both"/>
        <w:rPr>
          <w:rFonts w:ascii="Open Sans" w:hAnsi="Open Sans" w:cs="Arial"/>
          <w:sz w:val="20"/>
          <w:szCs w:val="20"/>
        </w:rPr>
      </w:pPr>
    </w:p>
    <w:p w14:paraId="06589ECC"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El contexto tan internacionalizado de la operativa del grupo hace que se enfrente a riesgos de diferente índole, entre ellos, a gran variedad de riesgos fiscales: interpretación de las diferentes normativas tributarias de los países en los que opera, operaciones intragrupo (precios de transferencia, traslado de beneficios entre filiales, etc.),  consolidación de la información fiscal, que la información externa sobre la posición fiscal y su desempeño sea apropiada y coherente al cada vez mayor escrutinio público de una fiscalidad responsable de las multinacionales. Adecuación de gestión empresarial a las nuevas disposiciones legislativas</w:t>
      </w:r>
      <w:r w:rsidRPr="00BA0792">
        <w:rPr>
          <w:rStyle w:val="Refdenotaalpie"/>
          <w:rFonts w:ascii="Open Sans" w:hAnsi="Open Sans"/>
          <w:sz w:val="20"/>
          <w:szCs w:val="20"/>
        </w:rPr>
        <w:footnoteReference w:id="217"/>
      </w:r>
      <w:r w:rsidRPr="00BA0792">
        <w:rPr>
          <w:rFonts w:ascii="Open Sans" w:hAnsi="Open Sans" w:cs="Arial"/>
          <w:sz w:val="20"/>
          <w:szCs w:val="20"/>
        </w:rPr>
        <w:t xml:space="preserve"> que incrementa la responsabilidad tributaria de los miembros del consejo de administración que no podrán, en ningún caso, alegar su ignorancia en estas materias. </w:t>
      </w:r>
    </w:p>
    <w:p w14:paraId="10D0A991" w14:textId="77777777" w:rsidR="00BA0792" w:rsidRPr="00BA0792" w:rsidRDefault="00BA0792" w:rsidP="00BA0792">
      <w:pPr>
        <w:jc w:val="both"/>
        <w:rPr>
          <w:rFonts w:ascii="Open Sans" w:hAnsi="Open Sans" w:cs="Arial"/>
          <w:sz w:val="20"/>
          <w:szCs w:val="20"/>
        </w:rPr>
      </w:pPr>
    </w:p>
    <w:p w14:paraId="3005CEA8"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Inditex asume un compromiso explícito con la sostenibilidad en su cadena de valor y con la contribución a la agenda que marcan los Objetivos de Desarrollo Sostenible de Naciones Unidas (ODS). Dentro de sus prioridades se encuentra la contribución al bienestar comunitario aunque no hay una mención expresa con una fiscalidad responsable.</w:t>
      </w:r>
    </w:p>
    <w:p w14:paraId="69D5D899" w14:textId="77777777" w:rsidR="00BA0792" w:rsidRPr="00BA0792" w:rsidRDefault="00BA0792" w:rsidP="00BA0792">
      <w:pPr>
        <w:jc w:val="both"/>
        <w:rPr>
          <w:rFonts w:ascii="Open Sans" w:hAnsi="Open Sans" w:cs="Arial"/>
          <w:sz w:val="20"/>
          <w:szCs w:val="20"/>
        </w:rPr>
      </w:pPr>
    </w:p>
    <w:p w14:paraId="4BE3500E" w14:textId="77777777" w:rsidR="00BA0792" w:rsidRPr="00BA0792" w:rsidRDefault="00BA0792" w:rsidP="00BA0792">
      <w:pPr>
        <w:jc w:val="both"/>
        <w:rPr>
          <w:rFonts w:ascii="Open Sans" w:hAnsi="Open Sans"/>
          <w:sz w:val="20"/>
          <w:szCs w:val="20"/>
        </w:rPr>
      </w:pPr>
      <w:r w:rsidRPr="00BA0792">
        <w:rPr>
          <w:rFonts w:ascii="Open Sans" w:hAnsi="Open Sans" w:cs="Arial"/>
          <w:sz w:val="20"/>
          <w:szCs w:val="20"/>
        </w:rPr>
        <w:t xml:space="preserve">Los principales compromisos en relación con una fiscalidad responsable se encuentran en la </w:t>
      </w:r>
      <w:r w:rsidRPr="00BA0792">
        <w:rPr>
          <w:rFonts w:ascii="Open Sans" w:hAnsi="Open Sans"/>
          <w:sz w:val="20"/>
          <w:szCs w:val="20"/>
        </w:rPr>
        <w:t>Estrategia Fiscal del Grupo Inditex aprobada en diciembre de 2015. No es un documento público, pero en la memoria anual indica alguno de los principios rectores de la estrategia en relación a las obligaciones tributarias, relación con las autoridades fiscales, operativa en paraísos fiscales y la fijación de precios intragrupo.</w:t>
      </w:r>
    </w:p>
    <w:p w14:paraId="6A830732" w14:textId="77777777" w:rsidR="00BA0792" w:rsidRPr="00BA0792" w:rsidRDefault="00BA0792" w:rsidP="00BA0792">
      <w:pPr>
        <w:jc w:val="both"/>
        <w:rPr>
          <w:rFonts w:ascii="Open Sans" w:hAnsi="Open Sans" w:cs="Arial"/>
          <w:sz w:val="20"/>
          <w:szCs w:val="20"/>
        </w:rPr>
      </w:pPr>
    </w:p>
    <w:p w14:paraId="3FB7E866" w14:textId="77777777" w:rsidR="00BA0792" w:rsidRPr="00BA0792" w:rsidRDefault="00BA0792" w:rsidP="00BA0792">
      <w:pPr>
        <w:jc w:val="both"/>
        <w:rPr>
          <w:rFonts w:ascii="Open Sans" w:hAnsi="Open Sans"/>
          <w:sz w:val="20"/>
          <w:szCs w:val="20"/>
        </w:rPr>
      </w:pPr>
      <w:r w:rsidRPr="00BA0792">
        <w:rPr>
          <w:rFonts w:ascii="Open Sans" w:hAnsi="Open Sans"/>
          <w:sz w:val="20"/>
          <w:szCs w:val="20"/>
        </w:rPr>
        <w:t xml:space="preserve">En el Código de conducta y prácticas responsables también se hace referencia al comportamiento de empleados en relación a los pagos hacia paraísos fiscales y sobre la relación con autoridades y funcionarios en relación a información fiscal y de subvenciones. </w:t>
      </w:r>
    </w:p>
    <w:p w14:paraId="0D5B65BA" w14:textId="77777777" w:rsidR="00BA0792" w:rsidRDefault="00BA0792" w:rsidP="00BA0792">
      <w:pPr>
        <w:jc w:val="both"/>
        <w:rPr>
          <w:rFonts w:ascii="Open Sans" w:hAnsi="Open Sans"/>
          <w:sz w:val="20"/>
          <w:szCs w:val="20"/>
        </w:rPr>
      </w:pPr>
    </w:p>
    <w:p w14:paraId="065A4DCA" w14:textId="77777777" w:rsidR="00BA0792" w:rsidRDefault="00BA0792" w:rsidP="00BA0792">
      <w:pPr>
        <w:jc w:val="both"/>
        <w:rPr>
          <w:rFonts w:ascii="Open Sans" w:hAnsi="Open Sans"/>
          <w:sz w:val="20"/>
          <w:szCs w:val="20"/>
        </w:rPr>
      </w:pPr>
    </w:p>
    <w:p w14:paraId="51670138" w14:textId="77777777" w:rsidR="00BA0792" w:rsidRPr="00EE1EF7" w:rsidRDefault="00BA0792" w:rsidP="00BA0792">
      <w:pPr>
        <w:jc w:val="both"/>
        <w:rPr>
          <w:rFonts w:ascii="Open Sans" w:hAnsi="Open Sans" w:cs="Arial"/>
          <w:b/>
          <w:sz w:val="22"/>
          <w:szCs w:val="22"/>
          <w:u w:val="single"/>
        </w:rPr>
      </w:pPr>
      <w:r w:rsidRPr="00EE1EF7">
        <w:rPr>
          <w:rFonts w:ascii="Open Sans" w:hAnsi="Open Sans" w:cs="Arial"/>
          <w:b/>
          <w:sz w:val="22"/>
          <w:szCs w:val="22"/>
          <w:u w:val="single"/>
        </w:rPr>
        <w:t>4. Análisis</w:t>
      </w:r>
    </w:p>
    <w:p w14:paraId="77A69C14" w14:textId="77777777" w:rsidR="00BA0792" w:rsidRPr="00732FD5" w:rsidRDefault="00BA0792" w:rsidP="00BA0792">
      <w:pPr>
        <w:jc w:val="both"/>
        <w:rPr>
          <w:rFonts w:ascii="Open Sans" w:hAnsi="Open Sans" w:cs="Arial"/>
          <w:b/>
          <w:sz w:val="22"/>
          <w:szCs w:val="22"/>
        </w:rPr>
      </w:pPr>
    </w:p>
    <w:p w14:paraId="4DBEAA32"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26940E9E" w14:textId="77777777" w:rsidR="00BA0792" w:rsidRPr="00BA0792" w:rsidRDefault="00BA0792" w:rsidP="00BA0792">
      <w:pPr>
        <w:rPr>
          <w:rFonts w:ascii="Open Sans" w:hAnsi="Open Sans" w:cs="Arial"/>
          <w:bCs/>
          <w:sz w:val="20"/>
          <w:szCs w:val="20"/>
        </w:rPr>
      </w:pPr>
    </w:p>
    <w:p w14:paraId="19017DB2"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Inditex menciona como principio rector de su estrategia fiscal la “renuncia a la utilización de estructuras societarias de carácter opaco que interpongan sociedades instrumentales en paraísos fiscales, de acuerdo con el listado de territorios considerados como tales por la normativa fiscal española.</w:t>
      </w:r>
      <w:r w:rsidRPr="00BA0792">
        <w:rPr>
          <w:rStyle w:val="Refdenotaalpie"/>
          <w:rFonts w:ascii="Open Sans" w:hAnsi="Open Sans"/>
          <w:bCs/>
          <w:sz w:val="20"/>
          <w:szCs w:val="20"/>
        </w:rPr>
        <w:footnoteReference w:id="218"/>
      </w:r>
      <w:r w:rsidRPr="00BA0792">
        <w:rPr>
          <w:rFonts w:ascii="Open Sans" w:hAnsi="Open Sans" w:cs="Arial"/>
          <w:bCs/>
          <w:sz w:val="20"/>
          <w:szCs w:val="20"/>
        </w:rPr>
        <w:t xml:space="preserve"> Sin embargo, más allá de este compromiso, Inditex no aporta mayor información</w:t>
      </w:r>
      <w:r w:rsidRPr="00BA0792">
        <w:rPr>
          <w:rFonts w:ascii="Open Sans" w:hAnsi="Open Sans" w:cs="Open Sans"/>
          <w:sz w:val="20"/>
          <w:szCs w:val="20"/>
        </w:rPr>
        <w:t xml:space="preserve"> sobre las actividades de sociedades en paraísos y nichos fiscales ni en la Memoria Anual ni en ningún otro documento de los analizados. </w:t>
      </w:r>
    </w:p>
    <w:p w14:paraId="693FD547" w14:textId="77777777" w:rsidR="00BA0792" w:rsidRPr="00BA0792" w:rsidRDefault="00BA0792" w:rsidP="00BA0792">
      <w:pPr>
        <w:jc w:val="both"/>
        <w:rPr>
          <w:rFonts w:ascii="Open Sans" w:hAnsi="Open Sans" w:cs="Open Sans"/>
          <w:sz w:val="20"/>
          <w:szCs w:val="20"/>
        </w:rPr>
      </w:pPr>
    </w:p>
    <w:p w14:paraId="50E5E6CC" w14:textId="77777777" w:rsidR="00BA0792" w:rsidRPr="00BA0792" w:rsidRDefault="00BA0792" w:rsidP="00BA0792">
      <w:pPr>
        <w:jc w:val="both"/>
        <w:rPr>
          <w:rFonts w:ascii="Open Sans" w:hAnsi="Open Sans" w:cs="Arial"/>
          <w:bCs/>
          <w:sz w:val="20"/>
          <w:szCs w:val="20"/>
        </w:rPr>
      </w:pPr>
      <w:r w:rsidRPr="00BA0792">
        <w:rPr>
          <w:rFonts w:ascii="Open Sans" w:hAnsi="Open Sans" w:cs="Open Sans"/>
          <w:sz w:val="20"/>
          <w:szCs w:val="20"/>
        </w:rPr>
        <w:t>Con esta limitación en la información y teniendo en cuenta la información del Anexo I de las cuentas anuales</w:t>
      </w:r>
      <w:r w:rsidRPr="00BA0792">
        <w:rPr>
          <w:rStyle w:val="Refdenotaalpie"/>
          <w:rFonts w:ascii="Open Sans" w:hAnsi="Open Sans"/>
          <w:sz w:val="20"/>
          <w:szCs w:val="20"/>
        </w:rPr>
        <w:footnoteReference w:id="219"/>
      </w:r>
      <w:r w:rsidRPr="00BA0792">
        <w:rPr>
          <w:rFonts w:ascii="Open Sans" w:hAnsi="Open Sans" w:cs="Open Sans"/>
          <w:sz w:val="20"/>
          <w:szCs w:val="20"/>
        </w:rPr>
        <w:t xml:space="preserve"> sobre la composición del grupo,  Inditex </w:t>
      </w:r>
      <w:r w:rsidRPr="00BA0792">
        <w:rPr>
          <w:rFonts w:ascii="Open Sans" w:hAnsi="Open Sans" w:cs="Arial"/>
          <w:bCs/>
          <w:sz w:val="20"/>
          <w:szCs w:val="20"/>
        </w:rPr>
        <w:t xml:space="preserve">cuenta con un total de  74 sociedades domiciliadas en países y territorios considerados paraíso fiscal (9 sociedades) o nicho fiscal (65 sociedades), de acuerdo con la metodología del Observatorio de RSC. </w:t>
      </w:r>
    </w:p>
    <w:p w14:paraId="1ED4106E" w14:textId="77777777" w:rsidR="00BA0792" w:rsidRPr="00BA0792" w:rsidRDefault="00BA0792" w:rsidP="00BA0792">
      <w:pPr>
        <w:jc w:val="both"/>
        <w:rPr>
          <w:rFonts w:ascii="Open Sans" w:hAnsi="Open Sans" w:cs="Arial"/>
          <w:bCs/>
          <w:sz w:val="20"/>
          <w:szCs w:val="20"/>
        </w:rPr>
      </w:pPr>
    </w:p>
    <w:p w14:paraId="48870A27"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Inditex tiene filiales en los siguientes países considerados paraísos fiscales según el Real Decreto  1080/91 y sus posteriores modificaciones</w:t>
      </w:r>
      <w:r w:rsidRPr="00BA0792">
        <w:rPr>
          <w:rStyle w:val="Refdenotaalpie"/>
          <w:rFonts w:ascii="Open Sans" w:hAnsi="Open Sans"/>
          <w:bCs/>
          <w:sz w:val="20"/>
          <w:szCs w:val="20"/>
        </w:rPr>
        <w:footnoteReference w:id="220"/>
      </w:r>
      <w:r w:rsidRPr="00BA0792">
        <w:rPr>
          <w:rFonts w:ascii="Open Sans" w:hAnsi="Open Sans" w:cs="Arial"/>
          <w:bCs/>
          <w:sz w:val="20"/>
          <w:szCs w:val="20"/>
        </w:rPr>
        <w:t xml:space="preserve"> y listado de la OCDE: </w:t>
      </w:r>
    </w:p>
    <w:p w14:paraId="7F9D4ADD" w14:textId="77777777" w:rsidR="00BA0792" w:rsidRPr="00BA0792" w:rsidRDefault="00BA0792" w:rsidP="00BA0792">
      <w:pPr>
        <w:jc w:val="both"/>
        <w:rPr>
          <w:rFonts w:ascii="Open Sans" w:hAnsi="Open Sans" w:cs="Arial"/>
          <w:bCs/>
          <w:sz w:val="20"/>
          <w:szCs w:val="20"/>
        </w:rPr>
      </w:pPr>
    </w:p>
    <w:p w14:paraId="504DF22D"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 </w:t>
      </w:r>
      <w:r w:rsidRPr="00BA0792">
        <w:rPr>
          <w:rFonts w:ascii="Open Sans" w:hAnsi="Open Sans" w:cs="Arial"/>
          <w:sz w:val="20"/>
          <w:szCs w:val="20"/>
        </w:rPr>
        <w:t>Macao (China) y Mónaco.</w:t>
      </w:r>
    </w:p>
    <w:p w14:paraId="595085C8" w14:textId="77777777" w:rsidR="00BA0792" w:rsidRPr="00BA0792" w:rsidRDefault="00BA0792" w:rsidP="00BA0792">
      <w:pPr>
        <w:jc w:val="both"/>
        <w:rPr>
          <w:rFonts w:ascii="Open Sans" w:hAnsi="Open Sans" w:cs="Arial"/>
          <w:bCs/>
          <w:sz w:val="20"/>
          <w:szCs w:val="20"/>
        </w:rPr>
      </w:pPr>
    </w:p>
    <w:p w14:paraId="012936E8"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Inditex tiene filiales en los siguientes países considerados nichos fiscales según la organización Tax Justice Network</w:t>
      </w:r>
      <w:r w:rsidRPr="00BA0792">
        <w:rPr>
          <w:rStyle w:val="Refdenotaalpie"/>
          <w:rFonts w:ascii="Open Sans" w:hAnsi="Open Sans"/>
          <w:bCs/>
          <w:sz w:val="20"/>
          <w:szCs w:val="20"/>
        </w:rPr>
        <w:footnoteReference w:id="221"/>
      </w:r>
      <w:r w:rsidRPr="00BA0792">
        <w:rPr>
          <w:rFonts w:ascii="Open Sans" w:hAnsi="Open Sans" w:cs="Arial"/>
          <w:bCs/>
          <w:sz w:val="20"/>
          <w:szCs w:val="20"/>
        </w:rPr>
        <w:t xml:space="preserve"> y Parlamento Europeo.</w:t>
      </w:r>
    </w:p>
    <w:p w14:paraId="252C0F51" w14:textId="77777777" w:rsidR="00BA0792" w:rsidRPr="00BA0792" w:rsidRDefault="00BA0792" w:rsidP="00BA0792">
      <w:pPr>
        <w:jc w:val="both"/>
        <w:rPr>
          <w:rFonts w:ascii="Open Sans" w:hAnsi="Open Sans" w:cs="Arial"/>
          <w:bCs/>
          <w:sz w:val="20"/>
          <w:szCs w:val="20"/>
        </w:rPr>
      </w:pPr>
    </w:p>
    <w:p w14:paraId="26545046"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 </w:t>
      </w:r>
      <w:r w:rsidRPr="00BA0792">
        <w:rPr>
          <w:rFonts w:ascii="Open Sans" w:hAnsi="Open Sans" w:cs="Arial"/>
          <w:sz w:val="20"/>
          <w:szCs w:val="20"/>
        </w:rPr>
        <w:t xml:space="preserve">Delaware (EEUU), </w:t>
      </w:r>
      <w:r w:rsidRPr="00BA0792">
        <w:rPr>
          <w:rFonts w:ascii="Open Sans" w:hAnsi="Open Sans" w:cs="Arial"/>
          <w:bCs/>
          <w:sz w:val="20"/>
          <w:szCs w:val="20"/>
        </w:rPr>
        <w:t>Holanda, Irlanda, Suiza, Hong Kong (China), Luxemburgo, Montenegro, Uruguay, Puerto Rico, Macedonia, Sudáfrica y Taiwán.</w:t>
      </w:r>
    </w:p>
    <w:p w14:paraId="0B98551A" w14:textId="77777777" w:rsidR="00BA0792" w:rsidRPr="00BA0792" w:rsidRDefault="00BA0792" w:rsidP="00BA0792">
      <w:pPr>
        <w:jc w:val="both"/>
        <w:rPr>
          <w:rFonts w:ascii="Open Sans" w:hAnsi="Open Sans" w:cs="Arial"/>
          <w:bCs/>
          <w:sz w:val="20"/>
          <w:szCs w:val="20"/>
        </w:rPr>
      </w:pPr>
    </w:p>
    <w:p w14:paraId="6E058319" w14:textId="77777777" w:rsidR="00BA0792" w:rsidRPr="00BA0792" w:rsidRDefault="00BA0792" w:rsidP="00BA0792">
      <w:pPr>
        <w:jc w:val="both"/>
        <w:rPr>
          <w:rFonts w:ascii="Open Sans" w:hAnsi="Open Sans" w:cs="Open Sans"/>
          <w:sz w:val="20"/>
          <w:szCs w:val="20"/>
        </w:rPr>
      </w:pPr>
      <w:r w:rsidRPr="00BA0792">
        <w:rPr>
          <w:rFonts w:ascii="Open Sans" w:hAnsi="Open Sans" w:cs="Arial"/>
          <w:bCs/>
          <w:sz w:val="20"/>
          <w:szCs w:val="20"/>
        </w:rPr>
        <w:t xml:space="preserve">Entre estas 74 sociedades </w:t>
      </w:r>
      <w:r w:rsidRPr="00BA0792">
        <w:rPr>
          <w:rFonts w:ascii="Open Sans" w:hAnsi="Open Sans" w:cs="Open Sans"/>
          <w:sz w:val="20"/>
          <w:szCs w:val="20"/>
        </w:rPr>
        <w:t>ubicadas en paraísos o nichos fiscales se considera que existe un grupo de 25 empresas que ofrecen dudas en cuanto a que su actividad tenga que ver con la operativa propia de negocio, puesto que tanto la declaración de la actividad (no operativa) como su ubicación generan dudas sobre su utilización posible dentro de una estrategia fiscal planificada y que no son susceptibles de resolverse al no aportar la empresa mayor información.</w:t>
      </w:r>
    </w:p>
    <w:p w14:paraId="64834490" w14:textId="77777777" w:rsidR="00BA0792" w:rsidRPr="00BA0792" w:rsidRDefault="00BA0792" w:rsidP="00BA0792">
      <w:pPr>
        <w:jc w:val="both"/>
        <w:rPr>
          <w:rFonts w:ascii="Open Sans" w:hAnsi="Open Sans" w:cs="Arial"/>
          <w:bCs/>
          <w:sz w:val="20"/>
          <w:szCs w:val="20"/>
        </w:rPr>
      </w:pPr>
    </w:p>
    <w:p w14:paraId="1AEA2EE4"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Así en Holanda hay 16 empresas domiciliadas cuya actividades son financieras, sociedades de cartera (tenedoras de acciones de otras filiales del grupo), prestación de servicios multicadena, actividad aseguradora e inmobiliaria. En el caso de la sociedad Pull and Bear Taiwan, B.V. Taiwan Branch aunque indica que su actividad es la venta al público se refiere a operaciones en Taiwán.</w:t>
      </w:r>
    </w:p>
    <w:p w14:paraId="2515ADDB" w14:textId="77777777" w:rsidR="00BA0792" w:rsidRPr="00BA0792" w:rsidRDefault="00BA0792" w:rsidP="00BA0792">
      <w:pPr>
        <w:jc w:val="both"/>
        <w:rPr>
          <w:rFonts w:ascii="Open Sans" w:hAnsi="Open Sans" w:cs="Arial"/>
          <w:bCs/>
          <w:sz w:val="20"/>
          <w:szCs w:val="20"/>
        </w:rPr>
      </w:pPr>
    </w:p>
    <w:p w14:paraId="4BBB79E8"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En Delaware (EEUU) está la sociedad ITX USA LLC, que en las cuentas anuales figura domiciliada en Nueva York.</w:t>
      </w:r>
    </w:p>
    <w:p w14:paraId="7240A0D4" w14:textId="77777777" w:rsidR="00BA0792" w:rsidRPr="00BA0792" w:rsidRDefault="00BA0792" w:rsidP="00BA0792">
      <w:pPr>
        <w:jc w:val="both"/>
        <w:rPr>
          <w:rFonts w:ascii="Open Sans" w:hAnsi="Open Sans" w:cs="Arial"/>
          <w:bCs/>
          <w:sz w:val="20"/>
          <w:szCs w:val="20"/>
        </w:rPr>
      </w:pPr>
    </w:p>
    <w:p w14:paraId="3466E645"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En Irlanda hay 2 sociedades con actividad aseguradora  y financiera.</w:t>
      </w:r>
    </w:p>
    <w:p w14:paraId="6A9CA547" w14:textId="77777777" w:rsidR="00BA0792" w:rsidRPr="00BA0792" w:rsidRDefault="00BA0792" w:rsidP="00BA0792">
      <w:pPr>
        <w:jc w:val="both"/>
        <w:rPr>
          <w:rFonts w:ascii="Open Sans" w:hAnsi="Open Sans" w:cs="Arial"/>
          <w:bCs/>
          <w:sz w:val="20"/>
          <w:szCs w:val="20"/>
        </w:rPr>
      </w:pPr>
    </w:p>
    <w:p w14:paraId="167D882F"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En Suiza hay 4 sociedades: una sociedad de cartera, una central de compras, otra indica sin actividad pero el año anterior indicaba que era una comercializadora de calzado. También se ha identificado una nueva filial que no figura en sus cuentas anuales, ITX Merken B.V., à Amsterdam (Pays-Bas), succursale de Fribourg</w:t>
      </w:r>
      <w:r w:rsidRPr="00BA0792">
        <w:rPr>
          <w:rStyle w:val="Refdenotaalpie"/>
          <w:rFonts w:ascii="Open Sans" w:hAnsi="Open Sans"/>
          <w:bCs/>
          <w:sz w:val="20"/>
          <w:szCs w:val="20"/>
        </w:rPr>
        <w:footnoteReference w:id="222"/>
      </w:r>
      <w:r w:rsidRPr="00BA0792">
        <w:rPr>
          <w:rFonts w:ascii="Open Sans" w:hAnsi="Open Sans" w:cs="Arial"/>
          <w:bCs/>
          <w:sz w:val="20"/>
          <w:szCs w:val="20"/>
        </w:rPr>
        <w:t>, y cuya actividad es obtener ingresos como resultado de la conclusión de acuerdos de franquicia en relación con el concepto de tiendas y productos de la empresa y el grupo de empresas del que forma parte.</w:t>
      </w:r>
    </w:p>
    <w:p w14:paraId="68DE426C" w14:textId="77777777" w:rsidR="00BA0792" w:rsidRPr="00BA0792" w:rsidRDefault="00BA0792" w:rsidP="00BA0792">
      <w:pPr>
        <w:tabs>
          <w:tab w:val="left" w:pos="1410"/>
        </w:tabs>
        <w:jc w:val="both"/>
        <w:rPr>
          <w:rFonts w:ascii="Open Sans" w:hAnsi="Open Sans" w:cs="Arial"/>
          <w:bCs/>
          <w:sz w:val="20"/>
          <w:szCs w:val="20"/>
        </w:rPr>
      </w:pPr>
      <w:r w:rsidRPr="00BA0792">
        <w:rPr>
          <w:rFonts w:ascii="Open Sans" w:hAnsi="Open Sans" w:cs="Arial"/>
          <w:bCs/>
          <w:sz w:val="20"/>
          <w:szCs w:val="20"/>
        </w:rPr>
        <w:tab/>
      </w:r>
    </w:p>
    <w:p w14:paraId="31A710C9"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En Hong-Kong (China) hay 2 sociedades, una de prestación de servicios multicadena y una central de compras de calzado.</w:t>
      </w:r>
    </w:p>
    <w:p w14:paraId="713BC9E8" w14:textId="77777777" w:rsidR="00BA0792" w:rsidRDefault="00BA0792" w:rsidP="00BA0792">
      <w:pPr>
        <w:jc w:val="both"/>
        <w:rPr>
          <w:rFonts w:ascii="Open Sans" w:hAnsi="Open Sans" w:cs="Arial"/>
          <w:bCs/>
          <w:sz w:val="20"/>
          <w:szCs w:val="20"/>
        </w:rPr>
      </w:pPr>
    </w:p>
    <w:tbl>
      <w:tblPr>
        <w:tblW w:w="8510" w:type="dxa"/>
        <w:tblInd w:w="65" w:type="dxa"/>
        <w:tblCellMar>
          <w:left w:w="70" w:type="dxa"/>
          <w:right w:w="70" w:type="dxa"/>
        </w:tblCellMar>
        <w:tblLook w:val="04A0" w:firstRow="1" w:lastRow="0" w:firstColumn="1" w:lastColumn="0" w:noHBand="0" w:noVBand="1"/>
      </w:tblPr>
      <w:tblGrid>
        <w:gridCol w:w="3407"/>
        <w:gridCol w:w="2835"/>
        <w:gridCol w:w="2268"/>
      </w:tblGrid>
      <w:tr w:rsidR="00BA0792" w:rsidRPr="000D76B6" w14:paraId="263F957A" w14:textId="77777777" w:rsidTr="006E3A41">
        <w:trPr>
          <w:trHeight w:val="447"/>
        </w:trPr>
        <w:tc>
          <w:tcPr>
            <w:tcW w:w="3407"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DBDAFC9" w14:textId="77777777" w:rsidR="00BA0792" w:rsidRPr="000D76B6" w:rsidRDefault="00BA0792" w:rsidP="006E3A41">
            <w:pPr>
              <w:jc w:val="center"/>
              <w:rPr>
                <w:rFonts w:ascii="Open Sans" w:hAnsi="Open Sans"/>
                <w:b/>
                <w:bCs/>
                <w:color w:val="000000"/>
                <w:sz w:val="20"/>
                <w:szCs w:val="20"/>
              </w:rPr>
            </w:pPr>
            <w:r w:rsidRPr="000D76B6">
              <w:rPr>
                <w:rFonts w:ascii="Open Sans" w:hAnsi="Open Sans"/>
                <w:b/>
                <w:bCs/>
                <w:color w:val="000000"/>
                <w:sz w:val="20"/>
                <w:szCs w:val="20"/>
              </w:rPr>
              <w:t>Nombre de la Sociedad</w:t>
            </w:r>
          </w:p>
        </w:tc>
        <w:tc>
          <w:tcPr>
            <w:tcW w:w="2835" w:type="dxa"/>
            <w:tcBorders>
              <w:top w:val="single" w:sz="4" w:space="0" w:color="auto"/>
              <w:left w:val="nil"/>
              <w:bottom w:val="single" w:sz="4" w:space="0" w:color="auto"/>
              <w:right w:val="single" w:sz="4" w:space="0" w:color="auto"/>
            </w:tcBorders>
            <w:shd w:val="clear" w:color="000000" w:fill="D9D9D9"/>
            <w:noWrap/>
            <w:vAlign w:val="center"/>
            <w:hideMark/>
          </w:tcPr>
          <w:p w14:paraId="110D7815" w14:textId="77777777" w:rsidR="00BA0792" w:rsidRPr="000D76B6" w:rsidRDefault="00BA0792" w:rsidP="006E3A41">
            <w:pPr>
              <w:jc w:val="center"/>
              <w:rPr>
                <w:rFonts w:ascii="Open Sans" w:hAnsi="Open Sans"/>
                <w:b/>
                <w:bCs/>
                <w:color w:val="000000"/>
                <w:sz w:val="20"/>
                <w:szCs w:val="20"/>
              </w:rPr>
            </w:pPr>
            <w:r w:rsidRPr="000D76B6">
              <w:rPr>
                <w:rFonts w:ascii="Open Sans" w:hAnsi="Open Sans"/>
                <w:b/>
                <w:bCs/>
                <w:color w:val="000000"/>
                <w:sz w:val="20"/>
                <w:szCs w:val="20"/>
              </w:rPr>
              <w:t>Jurisdicción</w:t>
            </w:r>
          </w:p>
        </w:tc>
        <w:tc>
          <w:tcPr>
            <w:tcW w:w="2268" w:type="dxa"/>
            <w:tcBorders>
              <w:top w:val="single" w:sz="4" w:space="0" w:color="auto"/>
              <w:left w:val="nil"/>
              <w:bottom w:val="single" w:sz="4" w:space="0" w:color="auto"/>
              <w:right w:val="single" w:sz="4" w:space="0" w:color="auto"/>
            </w:tcBorders>
            <w:shd w:val="clear" w:color="000000" w:fill="D9D9D9"/>
            <w:noWrap/>
            <w:vAlign w:val="center"/>
            <w:hideMark/>
          </w:tcPr>
          <w:p w14:paraId="4CC46ABC" w14:textId="77777777" w:rsidR="00BA0792" w:rsidRPr="000D76B6" w:rsidRDefault="00BA0792" w:rsidP="006E3A41">
            <w:pPr>
              <w:jc w:val="center"/>
              <w:rPr>
                <w:rFonts w:ascii="Open Sans" w:hAnsi="Open Sans"/>
                <w:b/>
                <w:bCs/>
                <w:color w:val="000000"/>
                <w:sz w:val="20"/>
                <w:szCs w:val="20"/>
              </w:rPr>
            </w:pPr>
            <w:r w:rsidRPr="000D76B6">
              <w:rPr>
                <w:rFonts w:ascii="Open Sans" w:hAnsi="Open Sans"/>
                <w:b/>
                <w:bCs/>
                <w:color w:val="000000"/>
                <w:sz w:val="20"/>
                <w:szCs w:val="20"/>
              </w:rPr>
              <w:t>Actividad</w:t>
            </w:r>
          </w:p>
        </w:tc>
      </w:tr>
      <w:tr w:rsidR="00BA0792" w:rsidRPr="000D76B6" w14:paraId="63B127D2"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056215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Bershka Taiwan, B.V.</w:t>
            </w:r>
          </w:p>
        </w:tc>
        <w:tc>
          <w:tcPr>
            <w:tcW w:w="2835" w:type="dxa"/>
            <w:tcBorders>
              <w:top w:val="nil"/>
              <w:left w:val="nil"/>
              <w:bottom w:val="single" w:sz="4" w:space="0" w:color="auto"/>
              <w:right w:val="single" w:sz="4" w:space="0" w:color="auto"/>
            </w:tcBorders>
            <w:shd w:val="clear" w:color="auto" w:fill="auto"/>
            <w:vAlign w:val="center"/>
            <w:hideMark/>
          </w:tcPr>
          <w:p w14:paraId="334AE7E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5BAF007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6105F55B"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1E51A0A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 Financien II, B.V.</w:t>
            </w:r>
          </w:p>
        </w:tc>
        <w:tc>
          <w:tcPr>
            <w:tcW w:w="2835" w:type="dxa"/>
            <w:tcBorders>
              <w:top w:val="nil"/>
              <w:left w:val="nil"/>
              <w:bottom w:val="single" w:sz="4" w:space="0" w:color="auto"/>
              <w:right w:val="single" w:sz="4" w:space="0" w:color="auto"/>
            </w:tcBorders>
            <w:shd w:val="clear" w:color="auto" w:fill="auto"/>
            <w:vAlign w:val="center"/>
            <w:hideMark/>
          </w:tcPr>
          <w:p w14:paraId="3C8CAF5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7C3038F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Financiera</w:t>
            </w:r>
          </w:p>
        </w:tc>
      </w:tr>
      <w:tr w:rsidR="00BA0792" w:rsidRPr="000D76B6" w14:paraId="575B6E11"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CA282B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 Financien III, B.V.</w:t>
            </w:r>
          </w:p>
        </w:tc>
        <w:tc>
          <w:tcPr>
            <w:tcW w:w="2835" w:type="dxa"/>
            <w:tcBorders>
              <w:top w:val="nil"/>
              <w:left w:val="nil"/>
              <w:bottom w:val="single" w:sz="4" w:space="0" w:color="auto"/>
              <w:right w:val="single" w:sz="4" w:space="0" w:color="auto"/>
            </w:tcBorders>
            <w:shd w:val="clear" w:color="auto" w:fill="auto"/>
            <w:vAlign w:val="center"/>
            <w:hideMark/>
          </w:tcPr>
          <w:p w14:paraId="417CA9F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6690AD7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Financiera</w:t>
            </w:r>
          </w:p>
        </w:tc>
      </w:tr>
      <w:tr w:rsidR="00BA0792" w:rsidRPr="000D76B6" w14:paraId="0509B65B"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99A791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ITX Financien, B.V. </w:t>
            </w:r>
          </w:p>
        </w:tc>
        <w:tc>
          <w:tcPr>
            <w:tcW w:w="2835" w:type="dxa"/>
            <w:tcBorders>
              <w:top w:val="nil"/>
              <w:left w:val="nil"/>
              <w:bottom w:val="single" w:sz="4" w:space="0" w:color="auto"/>
              <w:right w:val="single" w:sz="4" w:space="0" w:color="auto"/>
            </w:tcBorders>
            <w:shd w:val="clear" w:color="auto" w:fill="auto"/>
            <w:vAlign w:val="center"/>
            <w:hideMark/>
          </w:tcPr>
          <w:p w14:paraId="662424F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13AA3D9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Financiera</w:t>
            </w:r>
          </w:p>
        </w:tc>
      </w:tr>
      <w:tr w:rsidR="00BA0792" w:rsidRPr="000D76B6" w14:paraId="0FC10BE7"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0A57522"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ITX Merken New B.V.</w:t>
            </w:r>
          </w:p>
        </w:tc>
        <w:tc>
          <w:tcPr>
            <w:tcW w:w="2835" w:type="dxa"/>
            <w:tcBorders>
              <w:top w:val="nil"/>
              <w:left w:val="nil"/>
              <w:bottom w:val="single" w:sz="4" w:space="0" w:color="auto"/>
              <w:right w:val="single" w:sz="4" w:space="0" w:color="auto"/>
            </w:tcBorders>
            <w:shd w:val="clear" w:color="auto" w:fill="auto"/>
            <w:vAlign w:val="center"/>
            <w:hideMark/>
          </w:tcPr>
          <w:p w14:paraId="468B7C6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7030809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w:t>
            </w:r>
          </w:p>
        </w:tc>
      </w:tr>
      <w:tr w:rsidR="00BA0792" w:rsidRPr="000D76B6" w14:paraId="647C2AC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BF24C7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Massimo Dutti Taiwan B.V.</w:t>
            </w:r>
          </w:p>
        </w:tc>
        <w:tc>
          <w:tcPr>
            <w:tcW w:w="2835" w:type="dxa"/>
            <w:tcBorders>
              <w:top w:val="nil"/>
              <w:left w:val="nil"/>
              <w:bottom w:val="single" w:sz="4" w:space="0" w:color="auto"/>
              <w:right w:val="single" w:sz="4" w:space="0" w:color="auto"/>
            </w:tcBorders>
            <w:shd w:val="clear" w:color="auto" w:fill="auto"/>
            <w:vAlign w:val="center"/>
            <w:hideMark/>
          </w:tcPr>
          <w:p w14:paraId="196D8B1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1A7DBB0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7CBD568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A81A8C1"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Pull and Bear Taiwan, B.V.</w:t>
            </w:r>
          </w:p>
        </w:tc>
        <w:tc>
          <w:tcPr>
            <w:tcW w:w="2835" w:type="dxa"/>
            <w:tcBorders>
              <w:top w:val="nil"/>
              <w:left w:val="nil"/>
              <w:bottom w:val="single" w:sz="4" w:space="0" w:color="auto"/>
              <w:right w:val="single" w:sz="4" w:space="0" w:color="auto"/>
            </w:tcBorders>
            <w:shd w:val="clear" w:color="auto" w:fill="auto"/>
            <w:vAlign w:val="center"/>
            <w:hideMark/>
          </w:tcPr>
          <w:p w14:paraId="2B3397C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755298D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4440BFB3"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6AC5EEB"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 xml:space="preserve">Pull and Bear Taiwan, B.V. Taiwan Branch </w:t>
            </w:r>
          </w:p>
        </w:tc>
        <w:tc>
          <w:tcPr>
            <w:tcW w:w="2835" w:type="dxa"/>
            <w:tcBorders>
              <w:top w:val="nil"/>
              <w:left w:val="nil"/>
              <w:bottom w:val="single" w:sz="4" w:space="0" w:color="auto"/>
              <w:right w:val="single" w:sz="4" w:space="0" w:color="auto"/>
            </w:tcBorders>
            <w:shd w:val="clear" w:color="auto" w:fill="auto"/>
            <w:vAlign w:val="center"/>
            <w:hideMark/>
          </w:tcPr>
          <w:p w14:paraId="1DC21EF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3B298E3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171317A"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306FDF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Zara </w:t>
            </w:r>
            <w:proofErr w:type="gramStart"/>
            <w:r w:rsidRPr="000D76B6">
              <w:rPr>
                <w:rFonts w:ascii="Open Sans" w:hAnsi="Open Sans" w:cs="Arial"/>
                <w:sz w:val="20"/>
                <w:szCs w:val="20"/>
              </w:rPr>
              <w:t>Holding .</w:t>
            </w:r>
            <w:proofErr w:type="gramEnd"/>
            <w:r w:rsidRPr="000D76B6">
              <w:rPr>
                <w:rFonts w:ascii="Open Sans" w:hAnsi="Open Sans" w:cs="Arial"/>
                <w:sz w:val="20"/>
                <w:szCs w:val="20"/>
              </w:rPr>
              <w:t xml:space="preserve"> B.V.</w:t>
            </w:r>
          </w:p>
        </w:tc>
        <w:tc>
          <w:tcPr>
            <w:tcW w:w="2835" w:type="dxa"/>
            <w:tcBorders>
              <w:top w:val="nil"/>
              <w:left w:val="nil"/>
              <w:bottom w:val="single" w:sz="4" w:space="0" w:color="auto"/>
              <w:right w:val="single" w:sz="4" w:space="0" w:color="auto"/>
            </w:tcBorders>
            <w:shd w:val="clear" w:color="auto" w:fill="auto"/>
            <w:vAlign w:val="center"/>
            <w:hideMark/>
          </w:tcPr>
          <w:p w14:paraId="3E49883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25FC0C5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23AF920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E83FC0B"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Zara Holding II, B.V</w:t>
            </w:r>
          </w:p>
        </w:tc>
        <w:tc>
          <w:tcPr>
            <w:tcW w:w="2835" w:type="dxa"/>
            <w:tcBorders>
              <w:top w:val="nil"/>
              <w:left w:val="nil"/>
              <w:bottom w:val="single" w:sz="4" w:space="0" w:color="auto"/>
              <w:right w:val="single" w:sz="4" w:space="0" w:color="auto"/>
            </w:tcBorders>
            <w:shd w:val="clear" w:color="auto" w:fill="auto"/>
            <w:vAlign w:val="center"/>
            <w:hideMark/>
          </w:tcPr>
          <w:p w14:paraId="2869335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66E2BE6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1665275C"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181956C"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Zara Home Taiwan, B.V.</w:t>
            </w:r>
          </w:p>
        </w:tc>
        <w:tc>
          <w:tcPr>
            <w:tcW w:w="2835" w:type="dxa"/>
            <w:tcBorders>
              <w:top w:val="nil"/>
              <w:left w:val="nil"/>
              <w:bottom w:val="single" w:sz="4" w:space="0" w:color="auto"/>
              <w:right w:val="single" w:sz="4" w:space="0" w:color="auto"/>
            </w:tcBorders>
            <w:shd w:val="clear" w:color="auto" w:fill="auto"/>
            <w:vAlign w:val="center"/>
            <w:hideMark/>
          </w:tcPr>
          <w:p w14:paraId="034E0E4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64867C8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15F5490D"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1A3C1C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Management, B.V.</w:t>
            </w:r>
          </w:p>
        </w:tc>
        <w:tc>
          <w:tcPr>
            <w:tcW w:w="2835" w:type="dxa"/>
            <w:tcBorders>
              <w:top w:val="nil"/>
              <w:left w:val="nil"/>
              <w:bottom w:val="single" w:sz="4" w:space="0" w:color="auto"/>
              <w:right w:val="single" w:sz="4" w:space="0" w:color="auto"/>
            </w:tcBorders>
            <w:shd w:val="clear" w:color="auto" w:fill="auto"/>
            <w:vAlign w:val="center"/>
            <w:hideMark/>
          </w:tcPr>
          <w:p w14:paraId="424CA79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11C6E2B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2E4FD79E"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E0029C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Zara Mexico, B.V. </w:t>
            </w:r>
          </w:p>
        </w:tc>
        <w:tc>
          <w:tcPr>
            <w:tcW w:w="2835" w:type="dxa"/>
            <w:tcBorders>
              <w:top w:val="nil"/>
              <w:left w:val="nil"/>
              <w:bottom w:val="single" w:sz="4" w:space="0" w:color="auto"/>
              <w:right w:val="single" w:sz="4" w:space="0" w:color="auto"/>
            </w:tcBorders>
            <w:shd w:val="clear" w:color="auto" w:fill="auto"/>
            <w:vAlign w:val="center"/>
            <w:hideMark/>
          </w:tcPr>
          <w:p w14:paraId="674F77A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6EAE431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3E9D835D"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80F865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Vastgoed, B.V.</w:t>
            </w:r>
          </w:p>
        </w:tc>
        <w:tc>
          <w:tcPr>
            <w:tcW w:w="2835" w:type="dxa"/>
            <w:tcBorders>
              <w:top w:val="nil"/>
              <w:left w:val="nil"/>
              <w:bottom w:val="single" w:sz="4" w:space="0" w:color="auto"/>
              <w:right w:val="single" w:sz="4" w:space="0" w:color="auto"/>
            </w:tcBorders>
            <w:shd w:val="clear" w:color="auto" w:fill="auto"/>
            <w:vAlign w:val="center"/>
            <w:hideMark/>
          </w:tcPr>
          <w:p w14:paraId="16A27FF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7313187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Inmobiliaria </w:t>
            </w:r>
          </w:p>
        </w:tc>
      </w:tr>
      <w:tr w:rsidR="00BA0792" w:rsidRPr="000D76B6" w14:paraId="67020803"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BC5583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ZaraTaiwan, B.V. </w:t>
            </w:r>
          </w:p>
        </w:tc>
        <w:tc>
          <w:tcPr>
            <w:tcW w:w="2835" w:type="dxa"/>
            <w:tcBorders>
              <w:top w:val="nil"/>
              <w:left w:val="nil"/>
              <w:bottom w:val="single" w:sz="4" w:space="0" w:color="auto"/>
              <w:right w:val="single" w:sz="4" w:space="0" w:color="auto"/>
            </w:tcBorders>
            <w:shd w:val="clear" w:color="auto" w:fill="auto"/>
            <w:vAlign w:val="center"/>
            <w:hideMark/>
          </w:tcPr>
          <w:p w14:paraId="1CD6BA4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74B536B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4316D32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53FA57F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ITX Merken, B.V. </w:t>
            </w:r>
          </w:p>
        </w:tc>
        <w:tc>
          <w:tcPr>
            <w:tcW w:w="2835" w:type="dxa"/>
            <w:tcBorders>
              <w:top w:val="nil"/>
              <w:left w:val="nil"/>
              <w:bottom w:val="single" w:sz="4" w:space="0" w:color="auto"/>
              <w:right w:val="single" w:sz="4" w:space="0" w:color="auto"/>
            </w:tcBorders>
            <w:shd w:val="clear" w:color="auto" w:fill="auto"/>
            <w:vAlign w:val="center"/>
            <w:hideMark/>
          </w:tcPr>
          <w:p w14:paraId="460EA39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Amsterdam - Holanda </w:t>
            </w:r>
          </w:p>
        </w:tc>
        <w:tc>
          <w:tcPr>
            <w:tcW w:w="2268" w:type="dxa"/>
            <w:tcBorders>
              <w:top w:val="nil"/>
              <w:left w:val="nil"/>
              <w:bottom w:val="single" w:sz="4" w:space="0" w:color="auto"/>
              <w:right w:val="single" w:sz="4" w:space="0" w:color="auto"/>
            </w:tcBorders>
            <w:shd w:val="clear" w:color="auto" w:fill="auto"/>
            <w:vAlign w:val="center"/>
            <w:hideMark/>
          </w:tcPr>
          <w:p w14:paraId="3AA7669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Prestación de servicios</w:t>
            </w:r>
          </w:p>
        </w:tc>
      </w:tr>
      <w:tr w:rsidR="00BA0792" w:rsidRPr="000D76B6" w14:paraId="417416F1"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5DAEFFB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 USA LLC</w:t>
            </w:r>
          </w:p>
        </w:tc>
        <w:tc>
          <w:tcPr>
            <w:tcW w:w="2835" w:type="dxa"/>
            <w:tcBorders>
              <w:top w:val="nil"/>
              <w:left w:val="nil"/>
              <w:bottom w:val="single" w:sz="4" w:space="0" w:color="auto"/>
              <w:right w:val="single" w:sz="4" w:space="0" w:color="auto"/>
            </w:tcBorders>
            <w:shd w:val="clear" w:color="auto" w:fill="auto"/>
            <w:vAlign w:val="center"/>
            <w:hideMark/>
          </w:tcPr>
          <w:p w14:paraId="1D940D8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Delaware (EEUU)</w:t>
            </w:r>
          </w:p>
        </w:tc>
        <w:tc>
          <w:tcPr>
            <w:tcW w:w="2268" w:type="dxa"/>
            <w:tcBorders>
              <w:top w:val="nil"/>
              <w:left w:val="nil"/>
              <w:bottom w:val="single" w:sz="4" w:space="0" w:color="auto"/>
              <w:right w:val="single" w:sz="4" w:space="0" w:color="auto"/>
            </w:tcBorders>
            <w:shd w:val="clear" w:color="auto" w:fill="auto"/>
            <w:vAlign w:val="center"/>
            <w:hideMark/>
          </w:tcPr>
          <w:p w14:paraId="53D8DBC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77CCEC3A"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1DA0F77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 RE</w:t>
            </w:r>
          </w:p>
        </w:tc>
        <w:tc>
          <w:tcPr>
            <w:tcW w:w="2835" w:type="dxa"/>
            <w:tcBorders>
              <w:top w:val="nil"/>
              <w:left w:val="nil"/>
              <w:bottom w:val="single" w:sz="4" w:space="0" w:color="auto"/>
              <w:right w:val="single" w:sz="4" w:space="0" w:color="auto"/>
            </w:tcBorders>
            <w:shd w:val="clear" w:color="auto" w:fill="auto"/>
            <w:vAlign w:val="center"/>
            <w:hideMark/>
          </w:tcPr>
          <w:p w14:paraId="43434B6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07AFA15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Actividad Aseguradora</w:t>
            </w:r>
          </w:p>
        </w:tc>
      </w:tr>
      <w:tr w:rsidR="00BA0792" w:rsidRPr="000D76B6" w14:paraId="4DDB7E59"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B8F6FA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Financiën B.V. Ireland</w:t>
            </w:r>
          </w:p>
        </w:tc>
        <w:tc>
          <w:tcPr>
            <w:tcW w:w="2835" w:type="dxa"/>
            <w:tcBorders>
              <w:top w:val="nil"/>
              <w:left w:val="nil"/>
              <w:bottom w:val="single" w:sz="4" w:space="0" w:color="auto"/>
              <w:right w:val="single" w:sz="4" w:space="0" w:color="auto"/>
            </w:tcBorders>
            <w:shd w:val="clear" w:color="auto" w:fill="auto"/>
            <w:vAlign w:val="center"/>
            <w:hideMark/>
          </w:tcPr>
          <w:p w14:paraId="18BBE40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7B28233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Financiera</w:t>
            </w:r>
          </w:p>
        </w:tc>
      </w:tr>
      <w:tr w:rsidR="00BA0792" w:rsidRPr="000D76B6" w14:paraId="48C36C0B"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88AEAE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 Holding, S.A.</w:t>
            </w:r>
          </w:p>
        </w:tc>
        <w:tc>
          <w:tcPr>
            <w:tcW w:w="2835" w:type="dxa"/>
            <w:tcBorders>
              <w:top w:val="nil"/>
              <w:left w:val="nil"/>
              <w:bottom w:val="single" w:sz="4" w:space="0" w:color="auto"/>
              <w:right w:val="single" w:sz="4" w:space="0" w:color="auto"/>
            </w:tcBorders>
            <w:shd w:val="clear" w:color="auto" w:fill="auto"/>
            <w:vAlign w:val="center"/>
            <w:hideMark/>
          </w:tcPr>
          <w:p w14:paraId="04639B0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7C4045D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Cartera</w:t>
            </w:r>
          </w:p>
        </w:tc>
      </w:tr>
      <w:tr w:rsidR="00BA0792" w:rsidRPr="000D76B6" w14:paraId="4CB740F4"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C14CB6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ITX Trading, </w:t>
            </w:r>
          </w:p>
        </w:tc>
        <w:tc>
          <w:tcPr>
            <w:tcW w:w="2835" w:type="dxa"/>
            <w:tcBorders>
              <w:top w:val="nil"/>
              <w:left w:val="nil"/>
              <w:bottom w:val="single" w:sz="4" w:space="0" w:color="auto"/>
              <w:right w:val="single" w:sz="4" w:space="0" w:color="auto"/>
            </w:tcBorders>
            <w:shd w:val="clear" w:color="auto" w:fill="auto"/>
            <w:vAlign w:val="center"/>
            <w:hideMark/>
          </w:tcPr>
          <w:p w14:paraId="14CCB78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0CA90F2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Compras</w:t>
            </w:r>
          </w:p>
        </w:tc>
      </w:tr>
      <w:tr w:rsidR="00BA0792" w:rsidRPr="000D76B6" w14:paraId="6B571FF7" w14:textId="77777777" w:rsidTr="006E3A41">
        <w:trPr>
          <w:trHeight w:val="76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D43BF2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Tempe Trading</w:t>
            </w:r>
          </w:p>
        </w:tc>
        <w:tc>
          <w:tcPr>
            <w:tcW w:w="2835" w:type="dxa"/>
            <w:tcBorders>
              <w:top w:val="nil"/>
              <w:left w:val="nil"/>
              <w:bottom w:val="single" w:sz="4" w:space="0" w:color="auto"/>
              <w:right w:val="single" w:sz="4" w:space="0" w:color="auto"/>
            </w:tcBorders>
            <w:shd w:val="clear" w:color="auto" w:fill="auto"/>
            <w:vAlign w:val="center"/>
            <w:hideMark/>
          </w:tcPr>
          <w:p w14:paraId="1B095EA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5181604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Sin actividad. En 2014 ponía comercialización de calzado</w:t>
            </w:r>
          </w:p>
        </w:tc>
      </w:tr>
      <w:tr w:rsidR="00BA0792" w:rsidRPr="000D76B6" w14:paraId="3DC5F72A" w14:textId="77777777" w:rsidTr="006E3A41">
        <w:trPr>
          <w:trHeight w:val="2040"/>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8722BF6"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ITX Merken B.V., à Amsterdam (Pays-Bas), succursale de Fribourg</w:t>
            </w:r>
          </w:p>
        </w:tc>
        <w:tc>
          <w:tcPr>
            <w:tcW w:w="2835" w:type="dxa"/>
            <w:tcBorders>
              <w:top w:val="nil"/>
              <w:left w:val="nil"/>
              <w:bottom w:val="single" w:sz="4" w:space="0" w:color="auto"/>
              <w:right w:val="single" w:sz="4" w:space="0" w:color="auto"/>
            </w:tcBorders>
            <w:shd w:val="clear" w:color="auto" w:fill="auto"/>
            <w:vAlign w:val="center"/>
            <w:hideMark/>
          </w:tcPr>
          <w:p w14:paraId="1F0D3F2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Suiza</w:t>
            </w:r>
          </w:p>
        </w:tc>
        <w:tc>
          <w:tcPr>
            <w:tcW w:w="2268" w:type="dxa"/>
            <w:tcBorders>
              <w:top w:val="nil"/>
              <w:left w:val="nil"/>
              <w:bottom w:val="single" w:sz="4" w:space="0" w:color="auto"/>
              <w:right w:val="single" w:sz="4" w:space="0" w:color="auto"/>
            </w:tcBorders>
            <w:shd w:val="clear" w:color="auto" w:fill="auto"/>
            <w:vAlign w:val="center"/>
            <w:hideMark/>
          </w:tcPr>
          <w:p w14:paraId="5A3BA8C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Obtener ingresos como resultado de la conclusión de acuerdos de franquicia en relación con el concepto de tiendas y productos de la empresa y el grupo de empresas del que forma parte.</w:t>
            </w:r>
          </w:p>
        </w:tc>
      </w:tr>
      <w:tr w:rsidR="00BA0792" w:rsidRPr="000D76B6" w14:paraId="7AC033B7"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EA7D42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ITX Global Solutions LIMITED </w:t>
            </w:r>
          </w:p>
        </w:tc>
        <w:tc>
          <w:tcPr>
            <w:tcW w:w="2835" w:type="dxa"/>
            <w:tcBorders>
              <w:top w:val="nil"/>
              <w:left w:val="nil"/>
              <w:bottom w:val="single" w:sz="4" w:space="0" w:color="auto"/>
              <w:right w:val="single" w:sz="4" w:space="0" w:color="auto"/>
            </w:tcBorders>
            <w:shd w:val="clear" w:color="auto" w:fill="auto"/>
            <w:vAlign w:val="center"/>
            <w:hideMark/>
          </w:tcPr>
          <w:p w14:paraId="3783E55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5A0130F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Servicios</w:t>
            </w:r>
          </w:p>
        </w:tc>
      </w:tr>
      <w:tr w:rsidR="00BA0792" w:rsidRPr="000D76B6" w14:paraId="614D8C7B" w14:textId="77777777" w:rsidTr="006E3A41">
        <w:trPr>
          <w:trHeight w:val="510"/>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A8CF85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Tempe trading Asia Limited</w:t>
            </w:r>
          </w:p>
        </w:tc>
        <w:tc>
          <w:tcPr>
            <w:tcW w:w="2835" w:type="dxa"/>
            <w:tcBorders>
              <w:top w:val="nil"/>
              <w:left w:val="nil"/>
              <w:bottom w:val="single" w:sz="4" w:space="0" w:color="auto"/>
              <w:right w:val="single" w:sz="4" w:space="0" w:color="auto"/>
            </w:tcBorders>
            <w:shd w:val="clear" w:color="auto" w:fill="auto"/>
            <w:vAlign w:val="center"/>
            <w:hideMark/>
          </w:tcPr>
          <w:p w14:paraId="4D1F8A4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4E09995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Comercialización de Calzado</w:t>
            </w:r>
          </w:p>
        </w:tc>
      </w:tr>
      <w:tr w:rsidR="00BA0792" w:rsidRPr="000D76B6" w14:paraId="2E16AD0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71322A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Bershka Nederland, B.V.</w:t>
            </w:r>
          </w:p>
        </w:tc>
        <w:tc>
          <w:tcPr>
            <w:tcW w:w="2835" w:type="dxa"/>
            <w:tcBorders>
              <w:top w:val="nil"/>
              <w:left w:val="nil"/>
              <w:bottom w:val="single" w:sz="4" w:space="0" w:color="auto"/>
              <w:right w:val="single" w:sz="4" w:space="0" w:color="auto"/>
            </w:tcBorders>
            <w:shd w:val="clear" w:color="auto" w:fill="auto"/>
            <w:vAlign w:val="center"/>
            <w:hideMark/>
          </w:tcPr>
          <w:p w14:paraId="34251D9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0EECD0E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3A5E64E"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6F86BC3"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Massimo Dutti Nederland, B.V.</w:t>
            </w:r>
          </w:p>
        </w:tc>
        <w:tc>
          <w:tcPr>
            <w:tcW w:w="2835" w:type="dxa"/>
            <w:tcBorders>
              <w:top w:val="nil"/>
              <w:left w:val="nil"/>
              <w:bottom w:val="single" w:sz="4" w:space="0" w:color="auto"/>
              <w:right w:val="single" w:sz="4" w:space="0" w:color="auto"/>
            </w:tcBorders>
            <w:shd w:val="clear" w:color="auto" w:fill="auto"/>
            <w:vAlign w:val="center"/>
            <w:hideMark/>
          </w:tcPr>
          <w:p w14:paraId="734AF49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1D968CD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0B4FF8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E80FBC6"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Pull and Bear Nederland, B.V.</w:t>
            </w:r>
          </w:p>
        </w:tc>
        <w:tc>
          <w:tcPr>
            <w:tcW w:w="2835" w:type="dxa"/>
            <w:tcBorders>
              <w:top w:val="nil"/>
              <w:left w:val="nil"/>
              <w:bottom w:val="single" w:sz="4" w:space="0" w:color="auto"/>
              <w:right w:val="single" w:sz="4" w:space="0" w:color="auto"/>
            </w:tcBorders>
            <w:shd w:val="clear" w:color="auto" w:fill="auto"/>
            <w:vAlign w:val="center"/>
            <w:hideMark/>
          </w:tcPr>
          <w:p w14:paraId="3547D90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205DFCB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4AE4D3A"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ABAB77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Stradivarius Nederland, B.V.</w:t>
            </w:r>
          </w:p>
        </w:tc>
        <w:tc>
          <w:tcPr>
            <w:tcW w:w="2835" w:type="dxa"/>
            <w:tcBorders>
              <w:top w:val="nil"/>
              <w:left w:val="nil"/>
              <w:bottom w:val="single" w:sz="4" w:space="0" w:color="auto"/>
              <w:right w:val="single" w:sz="4" w:space="0" w:color="auto"/>
            </w:tcBorders>
            <w:shd w:val="clear" w:color="auto" w:fill="auto"/>
            <w:vAlign w:val="center"/>
            <w:hideMark/>
          </w:tcPr>
          <w:p w14:paraId="781DA55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245C517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72C597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DD55B60"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Zara Home Nederland, B.V.</w:t>
            </w:r>
          </w:p>
        </w:tc>
        <w:tc>
          <w:tcPr>
            <w:tcW w:w="2835" w:type="dxa"/>
            <w:tcBorders>
              <w:top w:val="nil"/>
              <w:left w:val="nil"/>
              <w:bottom w:val="single" w:sz="4" w:space="0" w:color="auto"/>
              <w:right w:val="single" w:sz="4" w:space="0" w:color="auto"/>
            </w:tcBorders>
            <w:shd w:val="clear" w:color="auto" w:fill="auto"/>
            <w:vAlign w:val="center"/>
            <w:hideMark/>
          </w:tcPr>
          <w:p w14:paraId="6D1F394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61E55CF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588771F"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B709C4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Nederland, B.V.</w:t>
            </w:r>
          </w:p>
        </w:tc>
        <w:tc>
          <w:tcPr>
            <w:tcW w:w="2835" w:type="dxa"/>
            <w:tcBorders>
              <w:top w:val="nil"/>
              <w:left w:val="nil"/>
              <w:bottom w:val="single" w:sz="4" w:space="0" w:color="auto"/>
              <w:right w:val="single" w:sz="4" w:space="0" w:color="auto"/>
            </w:tcBorders>
            <w:shd w:val="clear" w:color="auto" w:fill="auto"/>
            <w:vAlign w:val="center"/>
            <w:hideMark/>
          </w:tcPr>
          <w:p w14:paraId="6A28CB5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Amsterdam - Holanda</w:t>
            </w:r>
          </w:p>
        </w:tc>
        <w:tc>
          <w:tcPr>
            <w:tcW w:w="2268" w:type="dxa"/>
            <w:tcBorders>
              <w:top w:val="nil"/>
              <w:left w:val="nil"/>
              <w:bottom w:val="single" w:sz="4" w:space="0" w:color="auto"/>
              <w:right w:val="single" w:sz="4" w:space="0" w:color="auto"/>
            </w:tcBorders>
            <w:shd w:val="clear" w:color="auto" w:fill="auto"/>
            <w:vAlign w:val="center"/>
            <w:hideMark/>
          </w:tcPr>
          <w:p w14:paraId="3A0D267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6DAB6641"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F4EB15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 Fashion Ltd</w:t>
            </w:r>
          </w:p>
        </w:tc>
        <w:tc>
          <w:tcPr>
            <w:tcW w:w="2835" w:type="dxa"/>
            <w:tcBorders>
              <w:top w:val="nil"/>
              <w:left w:val="nil"/>
              <w:bottom w:val="single" w:sz="4" w:space="0" w:color="auto"/>
              <w:right w:val="single" w:sz="4" w:space="0" w:color="auto"/>
            </w:tcBorders>
            <w:shd w:val="clear" w:color="auto" w:fill="auto"/>
            <w:vAlign w:val="center"/>
            <w:hideMark/>
          </w:tcPr>
          <w:p w14:paraId="08F5F84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Dublin - Irlanda</w:t>
            </w:r>
          </w:p>
        </w:tc>
        <w:tc>
          <w:tcPr>
            <w:tcW w:w="2268" w:type="dxa"/>
            <w:tcBorders>
              <w:top w:val="nil"/>
              <w:left w:val="nil"/>
              <w:bottom w:val="single" w:sz="4" w:space="0" w:color="auto"/>
              <w:right w:val="single" w:sz="4" w:space="0" w:color="auto"/>
            </w:tcBorders>
            <w:shd w:val="clear" w:color="auto" w:fill="auto"/>
            <w:vAlign w:val="center"/>
            <w:hideMark/>
          </w:tcPr>
          <w:p w14:paraId="5F41782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6561C5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37EAFA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Bershka Ireland., Ltd.</w:t>
            </w:r>
          </w:p>
        </w:tc>
        <w:tc>
          <w:tcPr>
            <w:tcW w:w="2835" w:type="dxa"/>
            <w:tcBorders>
              <w:top w:val="nil"/>
              <w:left w:val="nil"/>
              <w:bottom w:val="single" w:sz="4" w:space="0" w:color="auto"/>
              <w:right w:val="single" w:sz="4" w:space="0" w:color="auto"/>
            </w:tcBorders>
            <w:shd w:val="clear" w:color="auto" w:fill="auto"/>
            <w:vAlign w:val="center"/>
            <w:hideMark/>
          </w:tcPr>
          <w:p w14:paraId="0E25134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3F6239F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41CB299E"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089C8C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Massimo Dutti Ireland., Ltd.</w:t>
            </w:r>
          </w:p>
        </w:tc>
        <w:tc>
          <w:tcPr>
            <w:tcW w:w="2835" w:type="dxa"/>
            <w:tcBorders>
              <w:top w:val="nil"/>
              <w:left w:val="nil"/>
              <w:bottom w:val="single" w:sz="4" w:space="0" w:color="auto"/>
              <w:right w:val="single" w:sz="4" w:space="0" w:color="auto"/>
            </w:tcBorders>
            <w:shd w:val="clear" w:color="auto" w:fill="auto"/>
            <w:vAlign w:val="center"/>
            <w:hideMark/>
          </w:tcPr>
          <w:p w14:paraId="60E8B40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5A4FC87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1C49A546"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A0873CF"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Pull and Bear Ireland, Ltd.</w:t>
            </w:r>
          </w:p>
        </w:tc>
        <w:tc>
          <w:tcPr>
            <w:tcW w:w="2835" w:type="dxa"/>
            <w:tcBorders>
              <w:top w:val="nil"/>
              <w:left w:val="nil"/>
              <w:bottom w:val="single" w:sz="4" w:space="0" w:color="auto"/>
              <w:right w:val="single" w:sz="4" w:space="0" w:color="auto"/>
            </w:tcBorders>
            <w:shd w:val="clear" w:color="auto" w:fill="auto"/>
            <w:vAlign w:val="center"/>
            <w:hideMark/>
          </w:tcPr>
          <w:p w14:paraId="214F84C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02A558B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5281714"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50562FC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Stradivarius Ireland Limited</w:t>
            </w:r>
          </w:p>
        </w:tc>
        <w:tc>
          <w:tcPr>
            <w:tcW w:w="2835" w:type="dxa"/>
            <w:tcBorders>
              <w:top w:val="nil"/>
              <w:left w:val="nil"/>
              <w:bottom w:val="single" w:sz="4" w:space="0" w:color="auto"/>
              <w:right w:val="single" w:sz="4" w:space="0" w:color="auto"/>
            </w:tcBorders>
            <w:shd w:val="clear" w:color="auto" w:fill="auto"/>
            <w:vAlign w:val="center"/>
            <w:hideMark/>
          </w:tcPr>
          <w:p w14:paraId="1573720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08EA721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79ADF3A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E0A269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 Clothing Ireland, Ltd.</w:t>
            </w:r>
          </w:p>
        </w:tc>
        <w:tc>
          <w:tcPr>
            <w:tcW w:w="2835" w:type="dxa"/>
            <w:tcBorders>
              <w:top w:val="nil"/>
              <w:left w:val="nil"/>
              <w:bottom w:val="single" w:sz="4" w:space="0" w:color="auto"/>
              <w:right w:val="single" w:sz="4" w:space="0" w:color="auto"/>
            </w:tcBorders>
            <w:shd w:val="clear" w:color="auto" w:fill="auto"/>
            <w:vAlign w:val="center"/>
            <w:hideMark/>
          </w:tcPr>
          <w:p w14:paraId="367858C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Dublin - Irlanda </w:t>
            </w:r>
          </w:p>
        </w:tc>
        <w:tc>
          <w:tcPr>
            <w:tcW w:w="2268" w:type="dxa"/>
            <w:tcBorders>
              <w:top w:val="nil"/>
              <w:left w:val="nil"/>
              <w:bottom w:val="single" w:sz="4" w:space="0" w:color="auto"/>
              <w:right w:val="single" w:sz="4" w:space="0" w:color="auto"/>
            </w:tcBorders>
            <w:shd w:val="clear" w:color="auto" w:fill="auto"/>
            <w:vAlign w:val="center"/>
            <w:hideMark/>
          </w:tcPr>
          <w:p w14:paraId="41F1F0C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E9B9C5B"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1684753"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Bershka Suisse, S.A.R.L.</w:t>
            </w:r>
          </w:p>
        </w:tc>
        <w:tc>
          <w:tcPr>
            <w:tcW w:w="2835" w:type="dxa"/>
            <w:tcBorders>
              <w:top w:val="nil"/>
              <w:left w:val="nil"/>
              <w:bottom w:val="single" w:sz="4" w:space="0" w:color="auto"/>
              <w:right w:val="single" w:sz="4" w:space="0" w:color="auto"/>
            </w:tcBorders>
            <w:shd w:val="clear" w:color="auto" w:fill="auto"/>
            <w:vAlign w:val="center"/>
            <w:hideMark/>
          </w:tcPr>
          <w:p w14:paraId="3884FAE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609AD2F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1A13F4C"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2CA0E0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Massimo Dutti Suisse, S.A.R.L</w:t>
            </w:r>
          </w:p>
        </w:tc>
        <w:tc>
          <w:tcPr>
            <w:tcW w:w="2835" w:type="dxa"/>
            <w:tcBorders>
              <w:top w:val="nil"/>
              <w:left w:val="nil"/>
              <w:bottom w:val="single" w:sz="4" w:space="0" w:color="auto"/>
              <w:right w:val="single" w:sz="4" w:space="0" w:color="auto"/>
            </w:tcBorders>
            <w:shd w:val="clear" w:color="auto" w:fill="auto"/>
            <w:vAlign w:val="center"/>
            <w:hideMark/>
          </w:tcPr>
          <w:p w14:paraId="3C87DFA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439BF8B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1D2902E2"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206370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Home Suisse</w:t>
            </w:r>
          </w:p>
        </w:tc>
        <w:tc>
          <w:tcPr>
            <w:tcW w:w="2835" w:type="dxa"/>
            <w:tcBorders>
              <w:top w:val="nil"/>
              <w:left w:val="nil"/>
              <w:bottom w:val="single" w:sz="4" w:space="0" w:color="auto"/>
              <w:right w:val="single" w:sz="4" w:space="0" w:color="auto"/>
            </w:tcBorders>
            <w:shd w:val="clear" w:color="auto" w:fill="auto"/>
            <w:vAlign w:val="center"/>
            <w:hideMark/>
          </w:tcPr>
          <w:p w14:paraId="3378E68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40306F4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E62A5B2"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9604BA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Suisse S.A.R.L.</w:t>
            </w:r>
          </w:p>
        </w:tc>
        <w:tc>
          <w:tcPr>
            <w:tcW w:w="2835" w:type="dxa"/>
            <w:tcBorders>
              <w:top w:val="nil"/>
              <w:left w:val="nil"/>
              <w:bottom w:val="single" w:sz="4" w:space="0" w:color="auto"/>
              <w:right w:val="single" w:sz="4" w:space="0" w:color="auto"/>
            </w:tcBorders>
            <w:shd w:val="clear" w:color="auto" w:fill="auto"/>
            <w:vAlign w:val="center"/>
            <w:hideMark/>
          </w:tcPr>
          <w:p w14:paraId="0E431E5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3FEE91F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F38B978"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97B65E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Pull &amp; Bear Suisse, SÁRL</w:t>
            </w:r>
          </w:p>
        </w:tc>
        <w:tc>
          <w:tcPr>
            <w:tcW w:w="2835" w:type="dxa"/>
            <w:tcBorders>
              <w:top w:val="nil"/>
              <w:left w:val="nil"/>
              <w:bottom w:val="single" w:sz="4" w:space="0" w:color="auto"/>
              <w:right w:val="single" w:sz="4" w:space="0" w:color="auto"/>
            </w:tcBorders>
            <w:shd w:val="clear" w:color="auto" w:fill="auto"/>
            <w:vAlign w:val="center"/>
            <w:hideMark/>
          </w:tcPr>
          <w:p w14:paraId="3E00DFE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Friburgo - Suiza</w:t>
            </w:r>
          </w:p>
        </w:tc>
        <w:tc>
          <w:tcPr>
            <w:tcW w:w="2268" w:type="dxa"/>
            <w:tcBorders>
              <w:top w:val="nil"/>
              <w:left w:val="nil"/>
              <w:bottom w:val="single" w:sz="4" w:space="0" w:color="auto"/>
              <w:right w:val="single" w:sz="4" w:space="0" w:color="auto"/>
            </w:tcBorders>
            <w:shd w:val="clear" w:color="auto" w:fill="auto"/>
            <w:vAlign w:val="center"/>
            <w:hideMark/>
          </w:tcPr>
          <w:p w14:paraId="429B69D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1D0E0D1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1E30124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Bershka Hong Kong Limited</w:t>
            </w:r>
          </w:p>
        </w:tc>
        <w:tc>
          <w:tcPr>
            <w:tcW w:w="2835" w:type="dxa"/>
            <w:tcBorders>
              <w:top w:val="nil"/>
              <w:left w:val="nil"/>
              <w:bottom w:val="single" w:sz="4" w:space="0" w:color="auto"/>
              <w:right w:val="single" w:sz="4" w:space="0" w:color="auto"/>
            </w:tcBorders>
            <w:shd w:val="clear" w:color="auto" w:fill="auto"/>
            <w:vAlign w:val="center"/>
            <w:hideMark/>
          </w:tcPr>
          <w:p w14:paraId="353AE86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2FF31F8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6F07366F"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F17D210"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Massimo Dutti Hong Kong, Ltd.</w:t>
            </w:r>
          </w:p>
        </w:tc>
        <w:tc>
          <w:tcPr>
            <w:tcW w:w="2835" w:type="dxa"/>
            <w:tcBorders>
              <w:top w:val="nil"/>
              <w:left w:val="nil"/>
              <w:bottom w:val="single" w:sz="4" w:space="0" w:color="auto"/>
              <w:right w:val="single" w:sz="4" w:space="0" w:color="auto"/>
            </w:tcBorders>
            <w:shd w:val="clear" w:color="auto" w:fill="auto"/>
            <w:vAlign w:val="center"/>
            <w:hideMark/>
          </w:tcPr>
          <w:p w14:paraId="0FE292F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022C0D4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B51BA09"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2C03D0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Oysho Hong Kong Ltd</w:t>
            </w:r>
          </w:p>
        </w:tc>
        <w:tc>
          <w:tcPr>
            <w:tcW w:w="2835" w:type="dxa"/>
            <w:tcBorders>
              <w:top w:val="nil"/>
              <w:left w:val="nil"/>
              <w:bottom w:val="single" w:sz="4" w:space="0" w:color="auto"/>
              <w:right w:val="single" w:sz="4" w:space="0" w:color="auto"/>
            </w:tcBorders>
            <w:shd w:val="clear" w:color="auto" w:fill="auto"/>
            <w:vAlign w:val="center"/>
            <w:hideMark/>
          </w:tcPr>
          <w:p w14:paraId="23F149E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7AABC92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A1D97B2"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95ABA51"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Pull &amp; Bear Hong Kong LTD</w:t>
            </w:r>
          </w:p>
        </w:tc>
        <w:tc>
          <w:tcPr>
            <w:tcW w:w="2835" w:type="dxa"/>
            <w:tcBorders>
              <w:top w:val="nil"/>
              <w:left w:val="nil"/>
              <w:bottom w:val="single" w:sz="4" w:space="0" w:color="auto"/>
              <w:right w:val="single" w:sz="4" w:space="0" w:color="auto"/>
            </w:tcBorders>
            <w:shd w:val="clear" w:color="auto" w:fill="auto"/>
            <w:vAlign w:val="center"/>
            <w:hideMark/>
          </w:tcPr>
          <w:p w14:paraId="28AAA77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35E76BC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3313D97"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C512D3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Stradivarius Hong Kong, LTD</w:t>
            </w:r>
          </w:p>
        </w:tc>
        <w:tc>
          <w:tcPr>
            <w:tcW w:w="2835" w:type="dxa"/>
            <w:tcBorders>
              <w:top w:val="nil"/>
              <w:left w:val="nil"/>
              <w:bottom w:val="single" w:sz="4" w:space="0" w:color="auto"/>
              <w:right w:val="single" w:sz="4" w:space="0" w:color="auto"/>
            </w:tcBorders>
            <w:shd w:val="clear" w:color="auto" w:fill="auto"/>
            <w:vAlign w:val="center"/>
            <w:hideMark/>
          </w:tcPr>
          <w:p w14:paraId="413FFDC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4EF8A07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A7696AA"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3149876"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Uterqüe Hong Kong, LTD</w:t>
            </w:r>
          </w:p>
        </w:tc>
        <w:tc>
          <w:tcPr>
            <w:tcW w:w="2835" w:type="dxa"/>
            <w:tcBorders>
              <w:top w:val="nil"/>
              <w:left w:val="nil"/>
              <w:bottom w:val="single" w:sz="4" w:space="0" w:color="auto"/>
              <w:right w:val="single" w:sz="4" w:space="0" w:color="auto"/>
            </w:tcBorders>
            <w:shd w:val="clear" w:color="auto" w:fill="auto"/>
            <w:vAlign w:val="center"/>
            <w:hideMark/>
          </w:tcPr>
          <w:p w14:paraId="482988B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7C6F720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4F24CD07"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127ED80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Zara Asia, Ltd. </w:t>
            </w:r>
          </w:p>
        </w:tc>
        <w:tc>
          <w:tcPr>
            <w:tcW w:w="2835" w:type="dxa"/>
            <w:tcBorders>
              <w:top w:val="nil"/>
              <w:left w:val="nil"/>
              <w:bottom w:val="single" w:sz="4" w:space="0" w:color="auto"/>
              <w:right w:val="single" w:sz="4" w:space="0" w:color="auto"/>
            </w:tcBorders>
            <w:shd w:val="clear" w:color="auto" w:fill="auto"/>
            <w:vAlign w:val="center"/>
            <w:hideMark/>
          </w:tcPr>
          <w:p w14:paraId="2732E12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65F3A59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5C9AD59"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51DA555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Home Hong Kong</w:t>
            </w:r>
          </w:p>
        </w:tc>
        <w:tc>
          <w:tcPr>
            <w:tcW w:w="2835" w:type="dxa"/>
            <w:tcBorders>
              <w:top w:val="nil"/>
              <w:left w:val="nil"/>
              <w:bottom w:val="single" w:sz="4" w:space="0" w:color="auto"/>
              <w:right w:val="single" w:sz="4" w:space="0" w:color="auto"/>
            </w:tcBorders>
            <w:shd w:val="clear" w:color="auto" w:fill="auto"/>
            <w:vAlign w:val="center"/>
            <w:hideMark/>
          </w:tcPr>
          <w:p w14:paraId="4008D59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Hong Kong - China</w:t>
            </w:r>
          </w:p>
        </w:tc>
        <w:tc>
          <w:tcPr>
            <w:tcW w:w="2268" w:type="dxa"/>
            <w:tcBorders>
              <w:top w:val="nil"/>
              <w:left w:val="nil"/>
              <w:bottom w:val="single" w:sz="4" w:space="0" w:color="auto"/>
              <w:right w:val="single" w:sz="4" w:space="0" w:color="auto"/>
            </w:tcBorders>
            <w:shd w:val="clear" w:color="auto" w:fill="auto"/>
            <w:vAlign w:val="center"/>
            <w:hideMark/>
          </w:tcPr>
          <w:p w14:paraId="2DF75D7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D14BAC1" w14:textId="77777777" w:rsidTr="006E3A41">
        <w:trPr>
          <w:trHeight w:val="510"/>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50BE043"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Pull &amp; Bear, Luxembourg S.A.</w:t>
            </w:r>
          </w:p>
        </w:tc>
        <w:tc>
          <w:tcPr>
            <w:tcW w:w="2835" w:type="dxa"/>
            <w:tcBorders>
              <w:top w:val="nil"/>
              <w:left w:val="nil"/>
              <w:bottom w:val="single" w:sz="4" w:space="0" w:color="auto"/>
              <w:right w:val="single" w:sz="4" w:space="0" w:color="auto"/>
            </w:tcBorders>
            <w:shd w:val="clear" w:color="auto" w:fill="auto"/>
            <w:vAlign w:val="center"/>
            <w:hideMark/>
          </w:tcPr>
          <w:p w14:paraId="53A7354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Luxemburgo - Luxemburgo</w:t>
            </w:r>
          </w:p>
        </w:tc>
        <w:tc>
          <w:tcPr>
            <w:tcW w:w="2268" w:type="dxa"/>
            <w:tcBorders>
              <w:top w:val="nil"/>
              <w:left w:val="nil"/>
              <w:bottom w:val="single" w:sz="4" w:space="0" w:color="auto"/>
              <w:right w:val="single" w:sz="4" w:space="0" w:color="auto"/>
            </w:tcBorders>
            <w:shd w:val="clear" w:color="auto" w:fill="auto"/>
            <w:vAlign w:val="center"/>
            <w:hideMark/>
          </w:tcPr>
          <w:p w14:paraId="50B3641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552B214" w14:textId="77777777" w:rsidTr="006E3A41">
        <w:trPr>
          <w:trHeight w:val="510"/>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F4D282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Luxembourg, S.A.</w:t>
            </w:r>
          </w:p>
        </w:tc>
        <w:tc>
          <w:tcPr>
            <w:tcW w:w="2835" w:type="dxa"/>
            <w:tcBorders>
              <w:top w:val="nil"/>
              <w:left w:val="nil"/>
              <w:bottom w:val="single" w:sz="4" w:space="0" w:color="auto"/>
              <w:right w:val="single" w:sz="4" w:space="0" w:color="auto"/>
            </w:tcBorders>
            <w:shd w:val="clear" w:color="auto" w:fill="auto"/>
            <w:vAlign w:val="center"/>
            <w:hideMark/>
          </w:tcPr>
          <w:p w14:paraId="7E0A0FD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Luxemburgo - Luxemburgo</w:t>
            </w:r>
          </w:p>
        </w:tc>
        <w:tc>
          <w:tcPr>
            <w:tcW w:w="2268" w:type="dxa"/>
            <w:tcBorders>
              <w:top w:val="nil"/>
              <w:left w:val="nil"/>
              <w:bottom w:val="single" w:sz="4" w:space="0" w:color="auto"/>
              <w:right w:val="single" w:sz="4" w:space="0" w:color="auto"/>
            </w:tcBorders>
            <w:shd w:val="clear" w:color="auto" w:fill="auto"/>
            <w:vAlign w:val="center"/>
            <w:hideMark/>
          </w:tcPr>
          <w:p w14:paraId="630DD93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CFF72CB"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0866B5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Bershka Macau, Ltd</w:t>
            </w:r>
          </w:p>
        </w:tc>
        <w:tc>
          <w:tcPr>
            <w:tcW w:w="2835" w:type="dxa"/>
            <w:tcBorders>
              <w:top w:val="nil"/>
              <w:left w:val="nil"/>
              <w:bottom w:val="single" w:sz="4" w:space="0" w:color="auto"/>
              <w:right w:val="single" w:sz="4" w:space="0" w:color="auto"/>
            </w:tcBorders>
            <w:shd w:val="clear" w:color="auto" w:fill="auto"/>
            <w:vAlign w:val="center"/>
            <w:hideMark/>
          </w:tcPr>
          <w:p w14:paraId="6FD13D79"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49304CC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48C3D4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EE3CE8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Massimo Dutti Macau Ltd.</w:t>
            </w:r>
          </w:p>
        </w:tc>
        <w:tc>
          <w:tcPr>
            <w:tcW w:w="2835" w:type="dxa"/>
            <w:tcBorders>
              <w:top w:val="nil"/>
              <w:left w:val="nil"/>
              <w:bottom w:val="single" w:sz="4" w:space="0" w:color="auto"/>
              <w:right w:val="single" w:sz="4" w:space="0" w:color="auto"/>
            </w:tcBorders>
            <w:shd w:val="clear" w:color="auto" w:fill="auto"/>
            <w:vAlign w:val="center"/>
            <w:hideMark/>
          </w:tcPr>
          <w:p w14:paraId="147709C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35BDFC7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7F16D7F3"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317758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Oysho Macau, Ltd</w:t>
            </w:r>
          </w:p>
        </w:tc>
        <w:tc>
          <w:tcPr>
            <w:tcW w:w="2835" w:type="dxa"/>
            <w:tcBorders>
              <w:top w:val="nil"/>
              <w:left w:val="nil"/>
              <w:bottom w:val="single" w:sz="4" w:space="0" w:color="auto"/>
              <w:right w:val="single" w:sz="4" w:space="0" w:color="auto"/>
            </w:tcBorders>
            <w:shd w:val="clear" w:color="auto" w:fill="auto"/>
            <w:vAlign w:val="center"/>
            <w:hideMark/>
          </w:tcPr>
          <w:p w14:paraId="56059B3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30210DB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D31661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A677C4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Pull &amp; Bear Macau, Ltd</w:t>
            </w:r>
          </w:p>
        </w:tc>
        <w:tc>
          <w:tcPr>
            <w:tcW w:w="2835" w:type="dxa"/>
            <w:tcBorders>
              <w:top w:val="nil"/>
              <w:left w:val="nil"/>
              <w:bottom w:val="single" w:sz="4" w:space="0" w:color="auto"/>
              <w:right w:val="single" w:sz="4" w:space="0" w:color="auto"/>
            </w:tcBorders>
            <w:shd w:val="clear" w:color="auto" w:fill="auto"/>
            <w:vAlign w:val="center"/>
            <w:hideMark/>
          </w:tcPr>
          <w:p w14:paraId="5F17014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109848E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696FFF5"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2B254AB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Stradivarius Macau, Ltd</w:t>
            </w:r>
          </w:p>
        </w:tc>
        <w:tc>
          <w:tcPr>
            <w:tcW w:w="2835" w:type="dxa"/>
            <w:tcBorders>
              <w:top w:val="nil"/>
              <w:left w:val="nil"/>
              <w:bottom w:val="single" w:sz="4" w:space="0" w:color="auto"/>
              <w:right w:val="single" w:sz="4" w:space="0" w:color="auto"/>
            </w:tcBorders>
            <w:shd w:val="clear" w:color="auto" w:fill="auto"/>
            <w:vAlign w:val="center"/>
            <w:hideMark/>
          </w:tcPr>
          <w:p w14:paraId="50B0B66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2651AE43"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A12BD1C"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9E615A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Home Macao Ltd</w:t>
            </w:r>
          </w:p>
        </w:tc>
        <w:tc>
          <w:tcPr>
            <w:tcW w:w="2835" w:type="dxa"/>
            <w:tcBorders>
              <w:top w:val="nil"/>
              <w:left w:val="nil"/>
              <w:bottom w:val="single" w:sz="4" w:space="0" w:color="auto"/>
              <w:right w:val="single" w:sz="4" w:space="0" w:color="auto"/>
            </w:tcBorders>
            <w:shd w:val="clear" w:color="auto" w:fill="auto"/>
            <w:vAlign w:val="center"/>
            <w:hideMark/>
          </w:tcPr>
          <w:p w14:paraId="5AD94B4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5D29078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E24DE1E"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BED805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Macau, Ltd.</w:t>
            </w:r>
          </w:p>
        </w:tc>
        <w:tc>
          <w:tcPr>
            <w:tcW w:w="2835" w:type="dxa"/>
            <w:tcBorders>
              <w:top w:val="nil"/>
              <w:left w:val="nil"/>
              <w:bottom w:val="single" w:sz="4" w:space="0" w:color="auto"/>
              <w:right w:val="single" w:sz="4" w:space="0" w:color="auto"/>
            </w:tcBorders>
            <w:shd w:val="clear" w:color="auto" w:fill="auto"/>
            <w:vAlign w:val="center"/>
            <w:hideMark/>
          </w:tcPr>
          <w:p w14:paraId="316140A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Macao- China</w:t>
            </w:r>
          </w:p>
        </w:tc>
        <w:tc>
          <w:tcPr>
            <w:tcW w:w="2268" w:type="dxa"/>
            <w:tcBorders>
              <w:top w:val="nil"/>
              <w:left w:val="nil"/>
              <w:bottom w:val="single" w:sz="4" w:space="0" w:color="auto"/>
              <w:right w:val="single" w:sz="4" w:space="0" w:color="auto"/>
            </w:tcBorders>
            <w:shd w:val="clear" w:color="auto" w:fill="auto"/>
            <w:vAlign w:val="center"/>
            <w:hideMark/>
          </w:tcPr>
          <w:p w14:paraId="7AFB1A1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F0C66FE"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3769DED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Monaco, SAM</w:t>
            </w:r>
          </w:p>
        </w:tc>
        <w:tc>
          <w:tcPr>
            <w:tcW w:w="2835" w:type="dxa"/>
            <w:tcBorders>
              <w:top w:val="nil"/>
              <w:left w:val="nil"/>
              <w:bottom w:val="single" w:sz="4" w:space="0" w:color="auto"/>
              <w:right w:val="single" w:sz="4" w:space="0" w:color="auto"/>
            </w:tcBorders>
            <w:shd w:val="clear" w:color="auto" w:fill="auto"/>
            <w:vAlign w:val="center"/>
            <w:hideMark/>
          </w:tcPr>
          <w:p w14:paraId="7395E16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Montecarlo - Monaco</w:t>
            </w:r>
          </w:p>
        </w:tc>
        <w:tc>
          <w:tcPr>
            <w:tcW w:w="2268" w:type="dxa"/>
            <w:tcBorders>
              <w:top w:val="nil"/>
              <w:left w:val="nil"/>
              <w:bottom w:val="single" w:sz="4" w:space="0" w:color="auto"/>
              <w:right w:val="single" w:sz="4" w:space="0" w:color="auto"/>
            </w:tcBorders>
            <w:shd w:val="clear" w:color="auto" w:fill="auto"/>
            <w:vAlign w:val="center"/>
            <w:hideMark/>
          </w:tcPr>
          <w:p w14:paraId="57F5E2D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D497C09"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9D7CEA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Inditex Montenegro, D.O.O. Podgorica</w:t>
            </w:r>
          </w:p>
        </w:tc>
        <w:tc>
          <w:tcPr>
            <w:tcW w:w="2835" w:type="dxa"/>
            <w:tcBorders>
              <w:top w:val="nil"/>
              <w:left w:val="nil"/>
              <w:bottom w:val="single" w:sz="4" w:space="0" w:color="auto"/>
              <w:right w:val="single" w:sz="4" w:space="0" w:color="auto"/>
            </w:tcBorders>
            <w:shd w:val="clear" w:color="auto" w:fill="auto"/>
            <w:vAlign w:val="center"/>
            <w:hideMark/>
          </w:tcPr>
          <w:p w14:paraId="1720A9B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Montenegro</w:t>
            </w:r>
          </w:p>
        </w:tc>
        <w:tc>
          <w:tcPr>
            <w:tcW w:w="2268" w:type="dxa"/>
            <w:tcBorders>
              <w:top w:val="nil"/>
              <w:left w:val="nil"/>
              <w:bottom w:val="single" w:sz="4" w:space="0" w:color="auto"/>
              <w:right w:val="single" w:sz="4" w:space="0" w:color="auto"/>
            </w:tcBorders>
            <w:shd w:val="clear" w:color="auto" w:fill="auto"/>
            <w:vAlign w:val="center"/>
            <w:hideMark/>
          </w:tcPr>
          <w:p w14:paraId="5B1C071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CDBF04F"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7284E5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G.Zara Uruguay, S.A.</w:t>
            </w:r>
          </w:p>
        </w:tc>
        <w:tc>
          <w:tcPr>
            <w:tcW w:w="2835" w:type="dxa"/>
            <w:tcBorders>
              <w:top w:val="nil"/>
              <w:left w:val="nil"/>
              <w:bottom w:val="single" w:sz="4" w:space="0" w:color="auto"/>
              <w:right w:val="single" w:sz="4" w:space="0" w:color="auto"/>
            </w:tcBorders>
            <w:shd w:val="clear" w:color="auto" w:fill="auto"/>
            <w:vAlign w:val="center"/>
            <w:hideMark/>
          </w:tcPr>
          <w:p w14:paraId="10516C9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Montevideo - Uruguay</w:t>
            </w:r>
          </w:p>
        </w:tc>
        <w:tc>
          <w:tcPr>
            <w:tcW w:w="2268" w:type="dxa"/>
            <w:tcBorders>
              <w:top w:val="nil"/>
              <w:left w:val="nil"/>
              <w:bottom w:val="single" w:sz="4" w:space="0" w:color="auto"/>
              <w:right w:val="single" w:sz="4" w:space="0" w:color="auto"/>
            </w:tcBorders>
            <w:shd w:val="clear" w:color="auto" w:fill="auto"/>
            <w:vAlign w:val="center"/>
            <w:hideMark/>
          </w:tcPr>
          <w:p w14:paraId="1EBFBDA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4B251E18"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5C9EE076"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G. Zara Home Uruguay, S.A.</w:t>
            </w:r>
          </w:p>
        </w:tc>
        <w:tc>
          <w:tcPr>
            <w:tcW w:w="2835" w:type="dxa"/>
            <w:tcBorders>
              <w:top w:val="nil"/>
              <w:left w:val="nil"/>
              <w:bottom w:val="single" w:sz="4" w:space="0" w:color="auto"/>
              <w:right w:val="single" w:sz="4" w:space="0" w:color="auto"/>
            </w:tcBorders>
            <w:shd w:val="clear" w:color="auto" w:fill="auto"/>
            <w:vAlign w:val="center"/>
            <w:hideMark/>
          </w:tcPr>
          <w:p w14:paraId="5615FFE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Montevideo -Uruguay</w:t>
            </w:r>
          </w:p>
        </w:tc>
        <w:tc>
          <w:tcPr>
            <w:tcW w:w="2268" w:type="dxa"/>
            <w:tcBorders>
              <w:top w:val="nil"/>
              <w:left w:val="nil"/>
              <w:bottom w:val="single" w:sz="4" w:space="0" w:color="auto"/>
              <w:right w:val="single" w:sz="4" w:space="0" w:color="auto"/>
            </w:tcBorders>
            <w:shd w:val="clear" w:color="auto" w:fill="auto"/>
            <w:vAlign w:val="center"/>
            <w:hideMark/>
          </w:tcPr>
          <w:p w14:paraId="2508515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E3381CE"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A004DFE"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Puerto Rico, Inc.</w:t>
            </w:r>
          </w:p>
        </w:tc>
        <w:tc>
          <w:tcPr>
            <w:tcW w:w="2835" w:type="dxa"/>
            <w:tcBorders>
              <w:top w:val="nil"/>
              <w:left w:val="nil"/>
              <w:bottom w:val="single" w:sz="4" w:space="0" w:color="auto"/>
              <w:right w:val="single" w:sz="4" w:space="0" w:color="auto"/>
            </w:tcBorders>
            <w:shd w:val="clear" w:color="auto" w:fill="auto"/>
            <w:vAlign w:val="center"/>
            <w:hideMark/>
          </w:tcPr>
          <w:p w14:paraId="28BCE9D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San Juan - Puerto Rico</w:t>
            </w:r>
          </w:p>
        </w:tc>
        <w:tc>
          <w:tcPr>
            <w:tcW w:w="2268" w:type="dxa"/>
            <w:tcBorders>
              <w:top w:val="nil"/>
              <w:left w:val="nil"/>
              <w:bottom w:val="single" w:sz="4" w:space="0" w:color="auto"/>
              <w:right w:val="single" w:sz="4" w:space="0" w:color="auto"/>
            </w:tcBorders>
            <w:shd w:val="clear" w:color="auto" w:fill="auto"/>
            <w:vAlign w:val="center"/>
            <w:hideMark/>
          </w:tcPr>
          <w:p w14:paraId="7264559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175A43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907857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Massimo Dutti Puerto Rico, INC</w:t>
            </w:r>
          </w:p>
        </w:tc>
        <w:tc>
          <w:tcPr>
            <w:tcW w:w="2835" w:type="dxa"/>
            <w:tcBorders>
              <w:top w:val="nil"/>
              <w:left w:val="nil"/>
              <w:bottom w:val="single" w:sz="4" w:space="0" w:color="auto"/>
              <w:right w:val="single" w:sz="4" w:space="0" w:color="auto"/>
            </w:tcBorders>
            <w:shd w:val="clear" w:color="auto" w:fill="auto"/>
            <w:vAlign w:val="center"/>
            <w:hideMark/>
          </w:tcPr>
          <w:p w14:paraId="6098FB7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San Juan - Puerto Rico </w:t>
            </w:r>
          </w:p>
        </w:tc>
        <w:tc>
          <w:tcPr>
            <w:tcW w:w="2268" w:type="dxa"/>
            <w:tcBorders>
              <w:top w:val="nil"/>
              <w:left w:val="nil"/>
              <w:bottom w:val="single" w:sz="4" w:space="0" w:color="auto"/>
              <w:right w:val="single" w:sz="4" w:space="0" w:color="auto"/>
            </w:tcBorders>
            <w:shd w:val="clear" w:color="auto" w:fill="auto"/>
            <w:vAlign w:val="center"/>
            <w:hideMark/>
          </w:tcPr>
          <w:p w14:paraId="67F37252"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06BF2C66"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1928643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Puerto Rico, Inc.</w:t>
            </w:r>
          </w:p>
        </w:tc>
        <w:tc>
          <w:tcPr>
            <w:tcW w:w="2835" w:type="dxa"/>
            <w:tcBorders>
              <w:top w:val="nil"/>
              <w:left w:val="nil"/>
              <w:bottom w:val="single" w:sz="4" w:space="0" w:color="auto"/>
              <w:right w:val="single" w:sz="4" w:space="0" w:color="auto"/>
            </w:tcBorders>
            <w:shd w:val="clear" w:color="auto" w:fill="auto"/>
            <w:vAlign w:val="center"/>
            <w:hideMark/>
          </w:tcPr>
          <w:p w14:paraId="3D9A1E6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San Juan - Puerto Rico </w:t>
            </w:r>
          </w:p>
        </w:tc>
        <w:tc>
          <w:tcPr>
            <w:tcW w:w="2268" w:type="dxa"/>
            <w:tcBorders>
              <w:top w:val="nil"/>
              <w:left w:val="nil"/>
              <w:bottom w:val="single" w:sz="4" w:space="0" w:color="auto"/>
              <w:right w:val="single" w:sz="4" w:space="0" w:color="auto"/>
            </w:tcBorders>
            <w:shd w:val="clear" w:color="auto" w:fill="auto"/>
            <w:vAlign w:val="center"/>
            <w:hideMark/>
          </w:tcPr>
          <w:p w14:paraId="5C8C204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6532963"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F16E80B"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ITXR Macedonaia Dooel Skopje</w:t>
            </w:r>
          </w:p>
        </w:tc>
        <w:tc>
          <w:tcPr>
            <w:tcW w:w="2835" w:type="dxa"/>
            <w:tcBorders>
              <w:top w:val="nil"/>
              <w:left w:val="nil"/>
              <w:bottom w:val="single" w:sz="4" w:space="0" w:color="auto"/>
              <w:right w:val="single" w:sz="4" w:space="0" w:color="auto"/>
            </w:tcBorders>
            <w:shd w:val="clear" w:color="auto" w:fill="auto"/>
            <w:vAlign w:val="center"/>
            <w:hideMark/>
          </w:tcPr>
          <w:p w14:paraId="5CD0E78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Skopje-Macedonia</w:t>
            </w:r>
          </w:p>
        </w:tc>
        <w:tc>
          <w:tcPr>
            <w:tcW w:w="2268" w:type="dxa"/>
            <w:tcBorders>
              <w:top w:val="nil"/>
              <w:left w:val="nil"/>
              <w:bottom w:val="single" w:sz="4" w:space="0" w:color="auto"/>
              <w:right w:val="single" w:sz="4" w:space="0" w:color="auto"/>
            </w:tcBorders>
            <w:shd w:val="clear" w:color="auto" w:fill="auto"/>
            <w:vAlign w:val="center"/>
            <w:hideMark/>
          </w:tcPr>
          <w:p w14:paraId="554F17D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28D8734B"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F67AC55"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ITX Fashion Retail South Africa</w:t>
            </w:r>
          </w:p>
        </w:tc>
        <w:tc>
          <w:tcPr>
            <w:tcW w:w="2835" w:type="dxa"/>
            <w:tcBorders>
              <w:top w:val="nil"/>
              <w:left w:val="nil"/>
              <w:bottom w:val="single" w:sz="4" w:space="0" w:color="auto"/>
              <w:right w:val="single" w:sz="4" w:space="0" w:color="auto"/>
            </w:tcBorders>
            <w:shd w:val="clear" w:color="auto" w:fill="auto"/>
            <w:vAlign w:val="center"/>
            <w:hideMark/>
          </w:tcPr>
          <w:p w14:paraId="574B0BE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Sudáfrica</w:t>
            </w:r>
          </w:p>
        </w:tc>
        <w:tc>
          <w:tcPr>
            <w:tcW w:w="2268" w:type="dxa"/>
            <w:tcBorders>
              <w:top w:val="nil"/>
              <w:left w:val="nil"/>
              <w:bottom w:val="single" w:sz="4" w:space="0" w:color="auto"/>
              <w:right w:val="single" w:sz="4" w:space="0" w:color="auto"/>
            </w:tcBorders>
            <w:shd w:val="clear" w:color="auto" w:fill="auto"/>
            <w:vAlign w:val="center"/>
            <w:hideMark/>
          </w:tcPr>
          <w:p w14:paraId="75145A48"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12DAE9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12CBD6E5"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Zara Home Retail South Africa (PTY) LTD.</w:t>
            </w:r>
          </w:p>
        </w:tc>
        <w:tc>
          <w:tcPr>
            <w:tcW w:w="2835" w:type="dxa"/>
            <w:tcBorders>
              <w:top w:val="nil"/>
              <w:left w:val="nil"/>
              <w:bottom w:val="single" w:sz="4" w:space="0" w:color="auto"/>
              <w:right w:val="single" w:sz="4" w:space="0" w:color="auto"/>
            </w:tcBorders>
            <w:shd w:val="clear" w:color="auto" w:fill="auto"/>
            <w:vAlign w:val="center"/>
            <w:hideMark/>
          </w:tcPr>
          <w:p w14:paraId="30FFD01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Sudáfrica</w:t>
            </w:r>
          </w:p>
        </w:tc>
        <w:tc>
          <w:tcPr>
            <w:tcW w:w="2268" w:type="dxa"/>
            <w:tcBorders>
              <w:top w:val="nil"/>
              <w:left w:val="nil"/>
              <w:bottom w:val="single" w:sz="4" w:space="0" w:color="auto"/>
              <w:right w:val="single" w:sz="4" w:space="0" w:color="auto"/>
            </w:tcBorders>
            <w:shd w:val="clear" w:color="auto" w:fill="auto"/>
            <w:vAlign w:val="center"/>
            <w:hideMark/>
          </w:tcPr>
          <w:p w14:paraId="60DE74A4"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39515698"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608EB53C"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Bershka Taiwan, B.V. Taiwan Branch</w:t>
            </w:r>
          </w:p>
        </w:tc>
        <w:tc>
          <w:tcPr>
            <w:tcW w:w="2835" w:type="dxa"/>
            <w:tcBorders>
              <w:top w:val="nil"/>
              <w:left w:val="nil"/>
              <w:bottom w:val="single" w:sz="4" w:space="0" w:color="auto"/>
              <w:right w:val="single" w:sz="4" w:space="0" w:color="auto"/>
            </w:tcBorders>
            <w:shd w:val="clear" w:color="auto" w:fill="auto"/>
            <w:vAlign w:val="center"/>
            <w:hideMark/>
          </w:tcPr>
          <w:p w14:paraId="5DCBA05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Taipei - Taiwan</w:t>
            </w:r>
          </w:p>
        </w:tc>
        <w:tc>
          <w:tcPr>
            <w:tcW w:w="2268" w:type="dxa"/>
            <w:tcBorders>
              <w:top w:val="nil"/>
              <w:left w:val="nil"/>
              <w:bottom w:val="single" w:sz="4" w:space="0" w:color="auto"/>
              <w:right w:val="single" w:sz="4" w:space="0" w:color="auto"/>
            </w:tcBorders>
            <w:shd w:val="clear" w:color="auto" w:fill="auto"/>
            <w:vAlign w:val="center"/>
            <w:hideMark/>
          </w:tcPr>
          <w:p w14:paraId="67D38990"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76C1BBAF"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073D3AC"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Massimo Dutti Taiwan, B.V. Taiwan Branch</w:t>
            </w:r>
          </w:p>
        </w:tc>
        <w:tc>
          <w:tcPr>
            <w:tcW w:w="2835" w:type="dxa"/>
            <w:tcBorders>
              <w:top w:val="nil"/>
              <w:left w:val="nil"/>
              <w:bottom w:val="single" w:sz="4" w:space="0" w:color="auto"/>
              <w:right w:val="single" w:sz="4" w:space="0" w:color="auto"/>
            </w:tcBorders>
            <w:shd w:val="clear" w:color="auto" w:fill="auto"/>
            <w:vAlign w:val="center"/>
            <w:hideMark/>
          </w:tcPr>
          <w:p w14:paraId="768C27C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Taipei - Taiwan</w:t>
            </w:r>
          </w:p>
        </w:tc>
        <w:tc>
          <w:tcPr>
            <w:tcW w:w="2268" w:type="dxa"/>
            <w:tcBorders>
              <w:top w:val="nil"/>
              <w:left w:val="nil"/>
              <w:bottom w:val="single" w:sz="4" w:space="0" w:color="auto"/>
              <w:right w:val="single" w:sz="4" w:space="0" w:color="auto"/>
            </w:tcBorders>
            <w:shd w:val="clear" w:color="auto" w:fill="auto"/>
            <w:vAlign w:val="center"/>
            <w:hideMark/>
          </w:tcPr>
          <w:p w14:paraId="79DEE345"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776D9A1C"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014A1EE4" w14:textId="77777777" w:rsidR="00BA0792" w:rsidRPr="000D76B6" w:rsidRDefault="00BA0792" w:rsidP="006E3A41">
            <w:pPr>
              <w:rPr>
                <w:rFonts w:ascii="Open Sans" w:hAnsi="Open Sans" w:cs="Arial"/>
                <w:sz w:val="20"/>
                <w:szCs w:val="20"/>
                <w:lang w:val="en-GB"/>
              </w:rPr>
            </w:pPr>
            <w:r w:rsidRPr="000D76B6">
              <w:rPr>
                <w:rFonts w:ascii="Open Sans" w:hAnsi="Open Sans" w:cs="Arial"/>
                <w:sz w:val="20"/>
                <w:szCs w:val="20"/>
                <w:lang w:val="en-GB"/>
              </w:rPr>
              <w:t>Zara Home Taiwan, B.V. TW Branch</w:t>
            </w:r>
          </w:p>
        </w:tc>
        <w:tc>
          <w:tcPr>
            <w:tcW w:w="2835" w:type="dxa"/>
            <w:tcBorders>
              <w:top w:val="nil"/>
              <w:left w:val="nil"/>
              <w:bottom w:val="single" w:sz="4" w:space="0" w:color="auto"/>
              <w:right w:val="single" w:sz="4" w:space="0" w:color="auto"/>
            </w:tcBorders>
            <w:shd w:val="clear" w:color="auto" w:fill="auto"/>
            <w:vAlign w:val="center"/>
            <w:hideMark/>
          </w:tcPr>
          <w:p w14:paraId="138FBD1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Taipei - Taiwan</w:t>
            </w:r>
          </w:p>
        </w:tc>
        <w:tc>
          <w:tcPr>
            <w:tcW w:w="2268" w:type="dxa"/>
            <w:tcBorders>
              <w:top w:val="nil"/>
              <w:left w:val="nil"/>
              <w:bottom w:val="single" w:sz="4" w:space="0" w:color="auto"/>
              <w:right w:val="single" w:sz="4" w:space="0" w:color="auto"/>
            </w:tcBorders>
            <w:shd w:val="clear" w:color="auto" w:fill="auto"/>
            <w:vAlign w:val="center"/>
            <w:hideMark/>
          </w:tcPr>
          <w:p w14:paraId="0C56C26D"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11AEDD20"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42BE29CF"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Taiwan BV ITX Taiwan Branch</w:t>
            </w:r>
          </w:p>
        </w:tc>
        <w:tc>
          <w:tcPr>
            <w:tcW w:w="2835" w:type="dxa"/>
            <w:tcBorders>
              <w:top w:val="nil"/>
              <w:left w:val="nil"/>
              <w:bottom w:val="single" w:sz="4" w:space="0" w:color="auto"/>
              <w:right w:val="single" w:sz="4" w:space="0" w:color="auto"/>
            </w:tcBorders>
            <w:shd w:val="clear" w:color="auto" w:fill="auto"/>
            <w:vAlign w:val="center"/>
            <w:hideMark/>
          </w:tcPr>
          <w:p w14:paraId="1456AF36"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Taipei - Taiwan</w:t>
            </w:r>
          </w:p>
        </w:tc>
        <w:tc>
          <w:tcPr>
            <w:tcW w:w="2268" w:type="dxa"/>
            <w:tcBorders>
              <w:top w:val="nil"/>
              <w:left w:val="nil"/>
              <w:bottom w:val="single" w:sz="4" w:space="0" w:color="auto"/>
              <w:right w:val="single" w:sz="4" w:space="0" w:color="auto"/>
            </w:tcBorders>
            <w:shd w:val="clear" w:color="auto" w:fill="auto"/>
            <w:vAlign w:val="center"/>
            <w:hideMark/>
          </w:tcPr>
          <w:p w14:paraId="5C8C6941"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r w:rsidR="00BA0792" w:rsidRPr="000D76B6" w14:paraId="50408227" w14:textId="77777777" w:rsidTr="006E3A41">
        <w:trPr>
          <w:trHeight w:val="315"/>
        </w:trPr>
        <w:tc>
          <w:tcPr>
            <w:tcW w:w="3407" w:type="dxa"/>
            <w:tcBorders>
              <w:top w:val="nil"/>
              <w:left w:val="single" w:sz="4" w:space="0" w:color="auto"/>
              <w:bottom w:val="single" w:sz="4" w:space="0" w:color="auto"/>
              <w:right w:val="single" w:sz="4" w:space="0" w:color="auto"/>
            </w:tcBorders>
            <w:shd w:val="clear" w:color="000000" w:fill="FFFFFF"/>
            <w:noWrap/>
            <w:vAlign w:val="center"/>
            <w:hideMark/>
          </w:tcPr>
          <w:p w14:paraId="7C65C76C"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Zara Taiwan, B.V. TW Branch</w:t>
            </w:r>
          </w:p>
        </w:tc>
        <w:tc>
          <w:tcPr>
            <w:tcW w:w="2835" w:type="dxa"/>
            <w:tcBorders>
              <w:top w:val="nil"/>
              <w:left w:val="nil"/>
              <w:bottom w:val="single" w:sz="4" w:space="0" w:color="auto"/>
              <w:right w:val="single" w:sz="4" w:space="0" w:color="auto"/>
            </w:tcBorders>
            <w:shd w:val="clear" w:color="auto" w:fill="auto"/>
            <w:vAlign w:val="center"/>
            <w:hideMark/>
          </w:tcPr>
          <w:p w14:paraId="67A08047"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Taipei - Taiwan</w:t>
            </w:r>
          </w:p>
        </w:tc>
        <w:tc>
          <w:tcPr>
            <w:tcW w:w="2268" w:type="dxa"/>
            <w:tcBorders>
              <w:top w:val="nil"/>
              <w:left w:val="nil"/>
              <w:bottom w:val="single" w:sz="4" w:space="0" w:color="auto"/>
              <w:right w:val="single" w:sz="4" w:space="0" w:color="auto"/>
            </w:tcBorders>
            <w:shd w:val="clear" w:color="auto" w:fill="auto"/>
            <w:vAlign w:val="center"/>
            <w:hideMark/>
          </w:tcPr>
          <w:p w14:paraId="1366225A" w14:textId="77777777" w:rsidR="00BA0792" w:rsidRPr="000D76B6" w:rsidRDefault="00BA0792" w:rsidP="006E3A41">
            <w:pPr>
              <w:rPr>
                <w:rFonts w:ascii="Open Sans" w:hAnsi="Open Sans" w:cs="Arial"/>
                <w:sz w:val="20"/>
                <w:szCs w:val="20"/>
              </w:rPr>
            </w:pPr>
            <w:r w:rsidRPr="000D76B6">
              <w:rPr>
                <w:rFonts w:ascii="Open Sans" w:hAnsi="Open Sans" w:cs="Arial"/>
                <w:sz w:val="20"/>
                <w:szCs w:val="20"/>
              </w:rPr>
              <w:t xml:space="preserve">Venta al público </w:t>
            </w:r>
          </w:p>
        </w:tc>
      </w:tr>
    </w:tbl>
    <w:p w14:paraId="55CDF97E" w14:textId="77777777" w:rsidR="00BA0792" w:rsidRDefault="00BA0792" w:rsidP="00BA0792">
      <w:pPr>
        <w:jc w:val="both"/>
        <w:rPr>
          <w:rFonts w:ascii="Open Sans" w:hAnsi="Open Sans" w:cs="Arial"/>
          <w:bCs/>
          <w:sz w:val="20"/>
          <w:szCs w:val="20"/>
        </w:rPr>
      </w:pPr>
    </w:p>
    <w:p w14:paraId="59E9431E"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Si bien la presencia de empresas internacionales en territorios considerados paraísos o nichos fiscales no es en sí misma ilegal, pero puede representar, si se utilizasen para desempeñar estrategias de elusión fiscal, una contradicción con los valores y compromisos asumidos por la empresa en lo relativo a un modelo fiscal basado en prácticas éticas y que potencie el desarrollo económico y social de los países con una contribución fiscal justa.  Por ello, y para despejar cualquier tipo de duda, sería deseable que Inditex presentase información detallada de su operativa a través de estas sociedades, facturación, empleados, resultado contable, conciliación con el impuesto de sociedades a pagar y operaciones realizadas con otras sociedades del grupo.</w:t>
      </w:r>
    </w:p>
    <w:p w14:paraId="64C0C8C3" w14:textId="77777777" w:rsidR="00BA0792" w:rsidRPr="00BA0792" w:rsidRDefault="00BA0792" w:rsidP="00BA0792">
      <w:pPr>
        <w:jc w:val="both"/>
        <w:rPr>
          <w:rFonts w:ascii="Open Sans" w:hAnsi="Open Sans" w:cs="Arial"/>
          <w:bCs/>
          <w:sz w:val="20"/>
          <w:szCs w:val="20"/>
        </w:rPr>
      </w:pPr>
    </w:p>
    <w:p w14:paraId="52E2CC23"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Inditex indica que es responsabilidad del Consejo de Administración la creación o adquisición de participaciones en entidades de </w:t>
      </w:r>
      <w:proofErr w:type="gramStart"/>
      <w:r w:rsidRPr="00BA0792">
        <w:rPr>
          <w:rFonts w:ascii="Open Sans" w:hAnsi="Open Sans" w:cs="Arial"/>
          <w:bCs/>
          <w:sz w:val="20"/>
          <w:szCs w:val="20"/>
        </w:rPr>
        <w:t>propósito especial o domiciliadas</w:t>
      </w:r>
      <w:proofErr w:type="gramEnd"/>
      <w:r w:rsidRPr="00BA0792">
        <w:rPr>
          <w:rFonts w:ascii="Open Sans" w:hAnsi="Open Sans" w:cs="Arial"/>
          <w:bCs/>
          <w:sz w:val="20"/>
          <w:szCs w:val="20"/>
        </w:rPr>
        <w:t xml:space="preserve"> en países o territorios que tengan la consideración de paraísos fiscales. Indica igualmente que el grupo opera a través de sociedades ubicadas en dichos territorios sólo en la medida en que resulta estrictamente necesario para realizar actividades comerciales en los mismos a través de sus tiendas. Sin embargo, a pesar de esta afirmación, no se facilita información sobre el número de empleados vinculados a las mismas, datos de facturación, beneficios e impuestos pagados por estas sociedades, por lo que es imposible conocer cual es su función dentro de la operativa del grupo. Además Inditex indica expresamente en su memoria que “todos los saldos deudores y acreedores y transacciones entre sociedades del Grupo, así como los resultados aún no realizados con terceros han sido eliminados en el proceso de consolidación”</w:t>
      </w:r>
      <w:r w:rsidRPr="00BA0792">
        <w:rPr>
          <w:rStyle w:val="Refdenotaalpie"/>
          <w:rFonts w:ascii="Open Sans" w:hAnsi="Open Sans"/>
          <w:bCs/>
          <w:sz w:val="20"/>
          <w:szCs w:val="20"/>
        </w:rPr>
        <w:footnoteReference w:id="223"/>
      </w:r>
      <w:r w:rsidRPr="00BA0792">
        <w:rPr>
          <w:rFonts w:ascii="Open Sans" w:hAnsi="Open Sans" w:cs="Arial"/>
          <w:bCs/>
          <w:sz w:val="20"/>
          <w:szCs w:val="20"/>
        </w:rPr>
        <w:t>.</w:t>
      </w:r>
    </w:p>
    <w:p w14:paraId="61BE38C0" w14:textId="77777777" w:rsidR="00BA0792" w:rsidRPr="00BA0792" w:rsidRDefault="00BA0792" w:rsidP="00BA0792">
      <w:pPr>
        <w:jc w:val="both"/>
        <w:rPr>
          <w:rFonts w:ascii="Open Sans" w:hAnsi="Open Sans" w:cs="Arial"/>
          <w:bCs/>
          <w:sz w:val="20"/>
          <w:szCs w:val="20"/>
        </w:rPr>
      </w:pPr>
    </w:p>
    <w:p w14:paraId="5993F604"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Además de estas 25 sociedades que generan dudas, también se han identificado otras 5 sociedades de cartera domiciliadas en Hamburgo (Alemania). Estas son</w:t>
      </w:r>
      <w:proofErr w:type="gramStart"/>
      <w:r w:rsidRPr="00BA0792">
        <w:rPr>
          <w:rFonts w:ascii="Open Sans" w:hAnsi="Open Sans" w:cs="Arial"/>
          <w:bCs/>
          <w:sz w:val="20"/>
          <w:szCs w:val="20"/>
        </w:rPr>
        <w:t>:  Zara</w:t>
      </w:r>
      <w:proofErr w:type="gramEnd"/>
      <w:r w:rsidRPr="00BA0792">
        <w:rPr>
          <w:rFonts w:ascii="Open Sans" w:hAnsi="Open Sans" w:cs="Arial"/>
          <w:bCs/>
          <w:sz w:val="20"/>
          <w:szCs w:val="20"/>
        </w:rPr>
        <w:t xml:space="preserve"> Deutschland, GmbH, Massimo Dutti Deutschland, GmbH, P&amp;B Gmbh, BSKE, GMBH y ZHE, Gmbh. También 1 sociedad de construcción (Goa-Invest Deutschland GMBH). Esta plaza, aunque no se la considera una zona offshore al uso, pues no practica el secreto bancario, se le atribuyen ciertas ventajas fiscales.</w:t>
      </w:r>
      <w:r w:rsidRPr="00BA0792">
        <w:rPr>
          <w:rStyle w:val="Refdenotaalpie"/>
          <w:rFonts w:ascii="Open Sans" w:hAnsi="Open Sans"/>
          <w:bCs/>
          <w:sz w:val="20"/>
          <w:szCs w:val="20"/>
        </w:rPr>
        <w:footnoteReference w:id="224"/>
      </w:r>
    </w:p>
    <w:p w14:paraId="1C51D03F" w14:textId="77777777" w:rsidR="00BA0792" w:rsidRPr="00BA0792" w:rsidRDefault="00BA0792" w:rsidP="00BA0792">
      <w:pPr>
        <w:jc w:val="both"/>
        <w:rPr>
          <w:rFonts w:ascii="Open Sans" w:hAnsi="Open Sans" w:cs="Arial"/>
          <w:bCs/>
          <w:sz w:val="20"/>
          <w:szCs w:val="20"/>
        </w:rPr>
      </w:pPr>
    </w:p>
    <w:p w14:paraId="09AEBDBB"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En diciembre de 2015 el Consejo de Administración aprobó una serie de políticas para adecuarse a las recomendaciones del Código de Buen Corporativo y a otras novedades legislativas. Entre las políticas aprobadas se encuentran la Política de Control y Gestión de riesgos y la Estrategia y Política Fiscal.</w:t>
      </w:r>
    </w:p>
    <w:p w14:paraId="0FB1754B" w14:textId="77777777" w:rsidR="00BA0792" w:rsidRPr="00BA0792" w:rsidRDefault="00BA0792" w:rsidP="00BA0792">
      <w:pPr>
        <w:jc w:val="both"/>
        <w:rPr>
          <w:rFonts w:ascii="Open Sans" w:hAnsi="Open Sans" w:cs="Arial"/>
          <w:bCs/>
          <w:sz w:val="20"/>
          <w:szCs w:val="20"/>
        </w:rPr>
      </w:pPr>
    </w:p>
    <w:p w14:paraId="25ED873A"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La Política de Control y Gestión de Riesgos del Grupo establece los  principios  básicos,  los factores  de  riesgo  clave  y  el  marco general de actuación para la gestión y control de los riesgos. Esta política tiene desarrollo a través de otras políticas y normativas internas específicas en  relación  con determinadas unidades o áreas del Grupo. Inditex elabora un mapa de riesgos y los engloba en nueve categorías. Dentro de los riesgos normativos y regulatorios se encuentran incluidos los relativos a la normativa fiscal, aduanera, laboral, de comercio y consumo, de propiedad industrial e intelectual y los penales. Sin embargo no se aporta mayor grado de detalle sobre qué tipo de riesgos fiscales se identifican ni medidas concretas para mitigarlos, sólo informa  que cuenta con un control interno para mitigar los riesgos fiscales y aduaneros pero no especifica en qué consiste. </w:t>
      </w:r>
    </w:p>
    <w:p w14:paraId="246992C4" w14:textId="77777777" w:rsidR="00BA0792" w:rsidRPr="00BA0792" w:rsidRDefault="00BA0792" w:rsidP="00BA0792">
      <w:pPr>
        <w:jc w:val="both"/>
        <w:rPr>
          <w:rFonts w:ascii="Open Sans" w:hAnsi="Open Sans" w:cs="Arial"/>
          <w:bCs/>
          <w:sz w:val="20"/>
          <w:szCs w:val="20"/>
        </w:rPr>
      </w:pPr>
    </w:p>
    <w:p w14:paraId="013022C1" w14:textId="77777777" w:rsidR="00BA0792" w:rsidRPr="00BA0792" w:rsidRDefault="00BA0792" w:rsidP="00BA0792">
      <w:pPr>
        <w:jc w:val="both"/>
        <w:rPr>
          <w:rFonts w:ascii="Open Sans" w:hAnsi="Open Sans" w:cs="Open Sans"/>
          <w:sz w:val="20"/>
          <w:szCs w:val="20"/>
        </w:rPr>
      </w:pPr>
      <w:r w:rsidRPr="00BA0792">
        <w:rPr>
          <w:rFonts w:ascii="Open Sans" w:hAnsi="Open Sans" w:cs="Open Sans"/>
          <w:sz w:val="20"/>
          <w:szCs w:val="20"/>
        </w:rPr>
        <w:t xml:space="preserve">En relación a la estrategia y política fiscal, aunque </w:t>
      </w:r>
      <w:r w:rsidRPr="00BA0792">
        <w:rPr>
          <w:rFonts w:ascii="Open Sans" w:hAnsi="Open Sans" w:cs="Arial"/>
          <w:bCs/>
          <w:sz w:val="20"/>
          <w:szCs w:val="20"/>
        </w:rPr>
        <w:t>la Memoria Anual hace referencia a algunas de las cuestiones que contempla no se ha podido tener acceso   al no ser un documento público.</w:t>
      </w:r>
    </w:p>
    <w:p w14:paraId="2EB1E669" w14:textId="77777777" w:rsidR="00BA0792" w:rsidRPr="00BA0792" w:rsidRDefault="00BA0792" w:rsidP="00BA0792">
      <w:pPr>
        <w:jc w:val="both"/>
        <w:rPr>
          <w:rFonts w:ascii="Open Sans" w:hAnsi="Open Sans" w:cs="Arial"/>
          <w:bCs/>
          <w:sz w:val="20"/>
          <w:szCs w:val="20"/>
        </w:rPr>
      </w:pPr>
    </w:p>
    <w:p w14:paraId="79E108A2"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Los principales valores a los que hace referencia son:</w:t>
      </w:r>
    </w:p>
    <w:p w14:paraId="491526ED" w14:textId="77777777" w:rsidR="00BA0792" w:rsidRPr="00BA0792" w:rsidRDefault="00BA0792" w:rsidP="00BA0792">
      <w:pPr>
        <w:jc w:val="both"/>
        <w:rPr>
          <w:rFonts w:ascii="Open Sans" w:hAnsi="Open Sans" w:cs="Arial"/>
          <w:bCs/>
          <w:sz w:val="20"/>
          <w:szCs w:val="20"/>
        </w:rPr>
      </w:pPr>
    </w:p>
    <w:p w14:paraId="4B831BE7" w14:textId="77777777" w:rsidR="00BA0792" w:rsidRPr="00BA0792" w:rsidRDefault="00BA0792" w:rsidP="00BA0792">
      <w:pPr>
        <w:numPr>
          <w:ilvl w:val="0"/>
          <w:numId w:val="14"/>
        </w:numPr>
        <w:jc w:val="both"/>
        <w:rPr>
          <w:rFonts w:ascii="Open Sans" w:hAnsi="Open Sans" w:cs="Arial"/>
          <w:bCs/>
          <w:sz w:val="20"/>
          <w:szCs w:val="20"/>
        </w:rPr>
      </w:pPr>
      <w:r w:rsidRPr="00BA0792">
        <w:rPr>
          <w:rFonts w:ascii="Open Sans" w:hAnsi="Open Sans" w:cs="Arial"/>
          <w:bCs/>
          <w:sz w:val="20"/>
          <w:szCs w:val="20"/>
        </w:rPr>
        <w:t>Compromiso con el cumplimiento de todas sus obligaciones tributarias de acuerdo con la legislación vigente en los diferentes países donde opera a través de un modelo fiscal transparente, basado en prácticas fiscales éticas y que potencie el desarrollo económico y social de dichos países con una contribución fiscal justa.</w:t>
      </w:r>
    </w:p>
    <w:p w14:paraId="7FD24388" w14:textId="77777777" w:rsidR="00BA0792" w:rsidRPr="00BA0792" w:rsidRDefault="00BA0792" w:rsidP="00BA0792">
      <w:pPr>
        <w:jc w:val="both"/>
        <w:rPr>
          <w:rFonts w:ascii="Open Sans" w:hAnsi="Open Sans" w:cs="Arial"/>
          <w:bCs/>
          <w:sz w:val="20"/>
          <w:szCs w:val="20"/>
        </w:rPr>
      </w:pPr>
    </w:p>
    <w:p w14:paraId="4075B7B6" w14:textId="77777777" w:rsidR="00BA0792" w:rsidRPr="00BA0792" w:rsidRDefault="00BA0792" w:rsidP="00BA0792">
      <w:pPr>
        <w:numPr>
          <w:ilvl w:val="0"/>
          <w:numId w:val="14"/>
        </w:numPr>
        <w:jc w:val="both"/>
        <w:rPr>
          <w:rFonts w:ascii="Open Sans" w:hAnsi="Open Sans" w:cs="Arial"/>
          <w:bCs/>
          <w:sz w:val="20"/>
          <w:szCs w:val="20"/>
        </w:rPr>
      </w:pPr>
      <w:r w:rsidRPr="00BA0792">
        <w:rPr>
          <w:rFonts w:ascii="Open Sans" w:hAnsi="Open Sans" w:cs="Arial"/>
          <w:bCs/>
          <w:sz w:val="20"/>
          <w:szCs w:val="20"/>
        </w:rPr>
        <w:t>Relaciones con las autoridades fiscales de los países en donde opera basadas en principios de buena fe, colaboración y confianza mutua.</w:t>
      </w:r>
    </w:p>
    <w:p w14:paraId="7F158BF8" w14:textId="77777777" w:rsidR="00BA0792" w:rsidRPr="00BA0792" w:rsidRDefault="00BA0792" w:rsidP="00BA0792">
      <w:pPr>
        <w:jc w:val="both"/>
        <w:rPr>
          <w:rFonts w:ascii="Open Sans" w:hAnsi="Open Sans" w:cs="Arial"/>
          <w:bCs/>
          <w:sz w:val="20"/>
          <w:szCs w:val="20"/>
        </w:rPr>
      </w:pPr>
    </w:p>
    <w:p w14:paraId="78A7948A" w14:textId="77777777" w:rsidR="00BA0792" w:rsidRPr="00BA0792" w:rsidRDefault="00BA0792" w:rsidP="00BA0792">
      <w:pPr>
        <w:numPr>
          <w:ilvl w:val="0"/>
          <w:numId w:val="14"/>
        </w:numPr>
        <w:jc w:val="both"/>
        <w:rPr>
          <w:rFonts w:ascii="Open Sans" w:hAnsi="Open Sans" w:cs="Arial"/>
          <w:bCs/>
          <w:sz w:val="20"/>
          <w:szCs w:val="20"/>
        </w:rPr>
      </w:pPr>
      <w:r w:rsidRPr="00BA0792">
        <w:rPr>
          <w:rFonts w:ascii="Open Sans" w:hAnsi="Open Sans" w:cs="Arial"/>
          <w:bCs/>
          <w:sz w:val="20"/>
          <w:szCs w:val="20"/>
        </w:rPr>
        <w:t>Renuncia a la utilización de estructuras societarias de carácter opaco que interpongan sociedades instrumentales en paraísos fiscales, de acuerdo con el listado de territorios considerados como tales por la normativa fiscal española).</w:t>
      </w:r>
    </w:p>
    <w:p w14:paraId="4FFA5E41" w14:textId="77777777" w:rsidR="00BA0792" w:rsidRPr="00BA0792" w:rsidRDefault="00BA0792" w:rsidP="00BA0792">
      <w:pPr>
        <w:jc w:val="both"/>
        <w:rPr>
          <w:rFonts w:ascii="Open Sans" w:hAnsi="Open Sans" w:cs="Arial"/>
          <w:bCs/>
          <w:sz w:val="20"/>
          <w:szCs w:val="20"/>
        </w:rPr>
      </w:pPr>
    </w:p>
    <w:p w14:paraId="52FEC1A6" w14:textId="77777777" w:rsidR="00BA0792" w:rsidRPr="00BA0792" w:rsidRDefault="00BA0792" w:rsidP="00BA0792">
      <w:pPr>
        <w:numPr>
          <w:ilvl w:val="0"/>
          <w:numId w:val="14"/>
        </w:numPr>
        <w:jc w:val="both"/>
        <w:rPr>
          <w:rFonts w:ascii="Open Sans" w:hAnsi="Open Sans" w:cs="Arial"/>
          <w:bCs/>
          <w:sz w:val="20"/>
          <w:szCs w:val="20"/>
        </w:rPr>
      </w:pPr>
      <w:r w:rsidRPr="00BA0792">
        <w:rPr>
          <w:rFonts w:ascii="Open Sans" w:hAnsi="Open Sans" w:cs="Arial"/>
          <w:bCs/>
          <w:sz w:val="20"/>
          <w:szCs w:val="20"/>
        </w:rPr>
        <w:t>Fijación de precios de mercado en todas las operaciones realizadas entre sociedades del Grupo, de conformidad con lo dispuesto en la legislación fiscal de los países involucrados en cada operación y el marco normativo internacionalmente aceptado por las Directrices de la OCDE.</w:t>
      </w:r>
    </w:p>
    <w:p w14:paraId="1257D593" w14:textId="77777777" w:rsidR="00BA0792" w:rsidRPr="00BA0792" w:rsidRDefault="00BA0792" w:rsidP="00BA0792">
      <w:pPr>
        <w:jc w:val="both"/>
        <w:rPr>
          <w:rFonts w:ascii="Open Sans" w:hAnsi="Open Sans" w:cs="Arial"/>
          <w:bCs/>
          <w:sz w:val="20"/>
          <w:szCs w:val="20"/>
        </w:rPr>
      </w:pPr>
    </w:p>
    <w:p w14:paraId="4EA91AD4"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La Comisión de Auditoría y Control tiene competencias en relación a los asuntos fiscales y el nuevo reglamento de la comisión define las funciones concretas en su artículo 14. </w:t>
      </w:r>
    </w:p>
    <w:p w14:paraId="48771A38" w14:textId="77777777" w:rsidR="00BA0792" w:rsidRPr="00BA0792" w:rsidRDefault="00BA0792" w:rsidP="00BA0792">
      <w:pPr>
        <w:jc w:val="both"/>
        <w:rPr>
          <w:rFonts w:ascii="Open Sans" w:hAnsi="Open Sans" w:cs="Arial"/>
          <w:bCs/>
          <w:sz w:val="20"/>
          <w:szCs w:val="20"/>
        </w:rPr>
      </w:pPr>
    </w:p>
    <w:p w14:paraId="1C35C311" w14:textId="77777777" w:rsidR="00BA0792" w:rsidRPr="00BA0792" w:rsidRDefault="00BA0792" w:rsidP="00BA0792">
      <w:pPr>
        <w:numPr>
          <w:ilvl w:val="0"/>
          <w:numId w:val="15"/>
        </w:numPr>
        <w:ind w:left="709"/>
        <w:jc w:val="both"/>
        <w:rPr>
          <w:rFonts w:ascii="Open Sans" w:hAnsi="Open Sans" w:cs="Arial"/>
          <w:bCs/>
          <w:sz w:val="20"/>
          <w:szCs w:val="20"/>
        </w:rPr>
      </w:pPr>
      <w:r w:rsidRPr="00BA0792">
        <w:rPr>
          <w:rFonts w:ascii="Open Sans" w:hAnsi="Open Sans" w:cs="Arial"/>
          <w:bCs/>
          <w:sz w:val="20"/>
          <w:szCs w:val="20"/>
        </w:rPr>
        <w:t>Informar, con carácter previo, al Consejo de Administración sobre la creación o adquisición, en su caso, de participaciones en entidades de propósito especial o domiciliadas en países o territorios que tengan la consideración de paraísos fiscales.</w:t>
      </w:r>
    </w:p>
    <w:p w14:paraId="55892C28" w14:textId="77777777" w:rsidR="00BA0792" w:rsidRPr="00BA0792" w:rsidRDefault="00BA0792" w:rsidP="00BA0792">
      <w:pPr>
        <w:ind w:left="709"/>
        <w:jc w:val="both"/>
        <w:rPr>
          <w:rFonts w:ascii="Open Sans" w:hAnsi="Open Sans" w:cs="Arial"/>
          <w:bCs/>
          <w:sz w:val="20"/>
          <w:szCs w:val="20"/>
        </w:rPr>
      </w:pPr>
    </w:p>
    <w:p w14:paraId="0A6FD13A" w14:textId="77777777" w:rsidR="00BA0792" w:rsidRPr="00BA0792" w:rsidRDefault="00BA0792" w:rsidP="00BA0792">
      <w:pPr>
        <w:numPr>
          <w:ilvl w:val="0"/>
          <w:numId w:val="15"/>
        </w:numPr>
        <w:ind w:left="709"/>
        <w:jc w:val="both"/>
        <w:rPr>
          <w:rFonts w:ascii="Open Sans" w:hAnsi="Open Sans" w:cs="Arial"/>
          <w:bCs/>
          <w:sz w:val="20"/>
          <w:szCs w:val="20"/>
        </w:rPr>
      </w:pPr>
      <w:r w:rsidRPr="00BA0792">
        <w:rPr>
          <w:rFonts w:ascii="Open Sans" w:hAnsi="Open Sans" w:cs="Arial"/>
          <w:bCs/>
          <w:sz w:val="20"/>
          <w:szCs w:val="20"/>
        </w:rPr>
        <w:t>Recibir, del responsable de asuntos fiscales de la Sociedad y para su traslado al Consejo de Administración, con anterioridad a la formulación de las cuentas anuales y a la presentación de la declaración del Impuesto sobre Sociedades, información sobre los criterios fiscales aplicados por la Sociedad durante el ejercicio y, sobre el grado de cumplimiento del Código de Buenas Prácticas Tributarias.</w:t>
      </w:r>
    </w:p>
    <w:p w14:paraId="7EBA579D" w14:textId="77777777" w:rsidR="00BA0792" w:rsidRPr="00BA0792" w:rsidRDefault="00BA0792" w:rsidP="00BA0792">
      <w:pPr>
        <w:ind w:left="709"/>
        <w:jc w:val="both"/>
        <w:rPr>
          <w:rFonts w:ascii="Open Sans" w:hAnsi="Open Sans" w:cs="Arial"/>
          <w:bCs/>
          <w:sz w:val="20"/>
          <w:szCs w:val="20"/>
        </w:rPr>
      </w:pPr>
    </w:p>
    <w:p w14:paraId="4DC00F0E" w14:textId="77777777" w:rsidR="00BA0792" w:rsidRPr="00BA0792" w:rsidRDefault="00BA0792" w:rsidP="00BA0792">
      <w:pPr>
        <w:numPr>
          <w:ilvl w:val="0"/>
          <w:numId w:val="15"/>
        </w:numPr>
        <w:ind w:left="709"/>
        <w:jc w:val="both"/>
        <w:rPr>
          <w:rFonts w:ascii="Open Sans" w:hAnsi="Open Sans" w:cs="Arial"/>
          <w:bCs/>
          <w:sz w:val="20"/>
          <w:szCs w:val="20"/>
        </w:rPr>
      </w:pPr>
      <w:r w:rsidRPr="00BA0792">
        <w:rPr>
          <w:rFonts w:ascii="Open Sans" w:hAnsi="Open Sans" w:cs="Arial"/>
          <w:bCs/>
          <w:sz w:val="20"/>
          <w:szCs w:val="20"/>
        </w:rPr>
        <w:t>Informar al Consejo de Administración, sobre la base de la información recibida del responsable de asuntos fiscales de la Sociedad, de las políticas fiscales aplicadas y, en el caso de operaciones o asuntos que deban someterse a la aprobación del Consejo de Administración, sobre sus consecuencias fiscales, cuando constituyan un factor relevante.</w:t>
      </w:r>
    </w:p>
    <w:p w14:paraId="5C0E7103" w14:textId="77777777" w:rsidR="00BA0792" w:rsidRPr="00BA0792" w:rsidRDefault="00BA0792" w:rsidP="00BA0792">
      <w:pPr>
        <w:jc w:val="both"/>
        <w:rPr>
          <w:rFonts w:ascii="Open Sans" w:hAnsi="Open Sans" w:cs="Arial"/>
          <w:bCs/>
          <w:sz w:val="20"/>
          <w:szCs w:val="20"/>
        </w:rPr>
      </w:pPr>
    </w:p>
    <w:p w14:paraId="311273A1"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Inditex informa de las sesiones celebradas (5 sesiones en 2015), los asuntos tratados, los informes y propuestas al Consejo de Administración y los comparecientes. En concreto se menciona la realización del Informe sobre las políticas fiscales seguidas durante el ejercicio (Código de Buenas Prácticas Tributarias) y la propuesta de estrategia y política fiscal.</w:t>
      </w:r>
      <w:r w:rsidRPr="00BA0792">
        <w:rPr>
          <w:rStyle w:val="Refdenotaalpie"/>
          <w:rFonts w:ascii="Open Sans" w:hAnsi="Open Sans"/>
          <w:bCs/>
          <w:sz w:val="20"/>
          <w:szCs w:val="20"/>
        </w:rPr>
        <w:footnoteReference w:id="225"/>
      </w:r>
    </w:p>
    <w:p w14:paraId="2BEAC4C7" w14:textId="77777777" w:rsidR="00BA0792" w:rsidRPr="00BA0792" w:rsidRDefault="00BA0792" w:rsidP="00BA0792">
      <w:pPr>
        <w:jc w:val="both"/>
        <w:rPr>
          <w:rFonts w:ascii="Open Sans" w:hAnsi="Open Sans" w:cs="Arial"/>
          <w:bCs/>
          <w:sz w:val="20"/>
          <w:szCs w:val="20"/>
        </w:rPr>
      </w:pPr>
    </w:p>
    <w:p w14:paraId="688BBF3C" w14:textId="77777777" w:rsidR="00BA0792" w:rsidRPr="00BA0792" w:rsidRDefault="00BA0792" w:rsidP="00BA0792">
      <w:pPr>
        <w:jc w:val="both"/>
        <w:rPr>
          <w:rFonts w:ascii="Open Sans" w:hAnsi="Open Sans" w:cs="Open Sans"/>
          <w:sz w:val="20"/>
          <w:szCs w:val="20"/>
        </w:rPr>
      </w:pPr>
      <w:r w:rsidRPr="00BA0792">
        <w:rPr>
          <w:rFonts w:ascii="Open Sans" w:hAnsi="Open Sans" w:cs="Arial"/>
          <w:bCs/>
          <w:sz w:val="20"/>
          <w:szCs w:val="20"/>
        </w:rPr>
        <w:t xml:space="preserve">En relación a la estructura societaria, Inditex aporta información de sociedades dependientes y negocios de control conjunto. Solo indica el porcentaje de participación para posiciones superiores al 50% y no informa si la participación es directa o indirecta y tampoco a través de qué empresa ostenta la participación en caso de ser indirecta.  </w:t>
      </w:r>
      <w:r w:rsidRPr="00BA0792">
        <w:rPr>
          <w:rFonts w:ascii="Open Sans" w:hAnsi="Open Sans" w:cs="Open Sans"/>
          <w:sz w:val="20"/>
          <w:szCs w:val="20"/>
        </w:rPr>
        <w:t xml:space="preserve">Sería deseable que Inditex aportara información transparente para conocer la estructura societaria del grupo, es decir, a través de qué empresas Inditex  es accionista sobre el resto de entidades dependientes. </w:t>
      </w:r>
    </w:p>
    <w:p w14:paraId="543462CC" w14:textId="77777777" w:rsidR="00BA0792" w:rsidRPr="00BA0792" w:rsidRDefault="00BA0792" w:rsidP="00BA0792">
      <w:pPr>
        <w:jc w:val="both"/>
        <w:rPr>
          <w:rFonts w:ascii="Open Sans" w:hAnsi="Open Sans" w:cs="Open Sans"/>
          <w:sz w:val="20"/>
          <w:szCs w:val="20"/>
        </w:rPr>
      </w:pPr>
    </w:p>
    <w:p w14:paraId="78BF0B91" w14:textId="77777777" w:rsidR="00BA0792" w:rsidRPr="00BA0792" w:rsidRDefault="00BA0792" w:rsidP="00BA0792">
      <w:pPr>
        <w:jc w:val="both"/>
        <w:rPr>
          <w:rFonts w:ascii="Open Sans" w:hAnsi="Open Sans" w:cs="Arial"/>
          <w:bCs/>
          <w:sz w:val="20"/>
          <w:szCs w:val="20"/>
        </w:rPr>
      </w:pPr>
      <w:r w:rsidRPr="00BA0792">
        <w:rPr>
          <w:rFonts w:ascii="Open Sans" w:hAnsi="Open Sans" w:cs="Open Sans"/>
          <w:sz w:val="20"/>
          <w:szCs w:val="20"/>
        </w:rPr>
        <w:t>En relación a los accionistas mayoritarios,</w:t>
      </w:r>
      <w:r w:rsidRPr="00BA0792">
        <w:rPr>
          <w:rFonts w:ascii="Open Sans" w:hAnsi="Open Sans" w:cs="Arial"/>
          <w:bCs/>
          <w:sz w:val="20"/>
          <w:szCs w:val="20"/>
        </w:rPr>
        <w:t xml:space="preserve"> en 2015 la sociedad Ponteagadea Inversiones pasa a ostentar de manera directa el 50,01% de participaciones tras la fusión por absorción de Gartler, SL. Inditex no aporta mayor información sobre la estructura societaria de sus accionistas significativos. Por fuentes externas se conoce que Ponteagadea Inversiones es la cabecera de un holding que entre otras sociedades penden sociedades inmobiliarias repartidas en diferentes países.</w:t>
      </w:r>
      <w:r w:rsidRPr="00BA0792">
        <w:rPr>
          <w:rStyle w:val="Refdenotaalpie"/>
          <w:rFonts w:ascii="Open Sans" w:hAnsi="Open Sans"/>
          <w:bCs/>
          <w:sz w:val="20"/>
          <w:szCs w:val="20"/>
        </w:rPr>
        <w:footnoteReference w:id="226"/>
      </w:r>
      <w:r w:rsidRPr="00BA0792">
        <w:rPr>
          <w:rFonts w:ascii="Open Sans" w:hAnsi="Open Sans" w:cs="Arial"/>
          <w:bCs/>
          <w:sz w:val="20"/>
          <w:szCs w:val="20"/>
          <w:vertAlign w:val="superscript"/>
        </w:rPr>
        <w:t>,</w:t>
      </w:r>
      <w:r w:rsidRPr="00BA0792">
        <w:rPr>
          <w:rStyle w:val="Refdenotaalpie"/>
          <w:rFonts w:ascii="Open Sans" w:hAnsi="Open Sans"/>
          <w:bCs/>
          <w:sz w:val="20"/>
          <w:szCs w:val="20"/>
        </w:rPr>
        <w:footnoteReference w:id="227"/>
      </w:r>
      <w:proofErr w:type="gramStart"/>
      <w:r w:rsidRPr="00BA0792">
        <w:rPr>
          <w:rFonts w:ascii="Open Sans" w:hAnsi="Open Sans" w:cs="Arial"/>
          <w:bCs/>
          <w:sz w:val="20"/>
          <w:szCs w:val="20"/>
          <w:vertAlign w:val="superscript"/>
        </w:rPr>
        <w:t>,</w:t>
      </w:r>
      <w:proofErr w:type="gramEnd"/>
      <w:r w:rsidRPr="00BA0792">
        <w:rPr>
          <w:rStyle w:val="Refdenotaalpie"/>
          <w:rFonts w:ascii="Open Sans" w:hAnsi="Open Sans"/>
          <w:bCs/>
          <w:sz w:val="20"/>
          <w:szCs w:val="20"/>
        </w:rPr>
        <w:footnoteReference w:id="228"/>
      </w:r>
      <w:r w:rsidRPr="00BA0792">
        <w:rPr>
          <w:rFonts w:ascii="Open Sans" w:hAnsi="Open Sans" w:cs="Arial"/>
          <w:bCs/>
          <w:sz w:val="20"/>
          <w:szCs w:val="20"/>
          <w:vertAlign w:val="superscript"/>
        </w:rPr>
        <w:t xml:space="preserve"> </w:t>
      </w:r>
    </w:p>
    <w:p w14:paraId="542BA340" w14:textId="77777777" w:rsidR="00BA0792" w:rsidRPr="00BA0792" w:rsidRDefault="00BA0792" w:rsidP="00BA0792">
      <w:pPr>
        <w:jc w:val="both"/>
        <w:rPr>
          <w:rFonts w:ascii="Open Sans" w:hAnsi="Open Sans" w:cs="Arial"/>
          <w:bCs/>
          <w:sz w:val="20"/>
          <w:szCs w:val="20"/>
        </w:rPr>
      </w:pPr>
    </w:p>
    <w:p w14:paraId="2922A58B"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De la información que aparecen en los anexos de las cuentas anuales se extrae que el grupo está conformado por 365 sociedades dependientes y que participa en el 50% del grupo formado por la sociedad matriz Tempe, S.A. y sus filiales. Inditex considera sociedades dependientes aquellas en las que la sociedad dominante posee el control y, por lo tanto, tiene la facultad para dirigir las políticas financieras y operativas. Indica que para su consolidación se eliminan todos los saldos deudores y acreedores y transacciones entre sociedades del Grupo. </w:t>
      </w:r>
    </w:p>
    <w:p w14:paraId="3135906D" w14:textId="77777777" w:rsidR="00BA0792" w:rsidRPr="00BA0792" w:rsidRDefault="00BA0792" w:rsidP="00BA0792">
      <w:pPr>
        <w:rPr>
          <w:rFonts w:ascii="Open Sans" w:hAnsi="Open Sans" w:cs="Arial"/>
          <w:bCs/>
          <w:sz w:val="20"/>
          <w:szCs w:val="20"/>
        </w:rPr>
      </w:pPr>
    </w:p>
    <w:p w14:paraId="6EF271A6"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En relación con el pago de impuesto, Inditex mantiene un compromiso con un modelo fiscal transparente basado en prácticas fiscales éticas y con una contribución fiscal justa a través de su política fiscal. </w:t>
      </w:r>
    </w:p>
    <w:p w14:paraId="65FED527" w14:textId="77777777" w:rsidR="00BA0792" w:rsidRPr="00BA0792" w:rsidRDefault="00BA0792" w:rsidP="00BA0792">
      <w:pPr>
        <w:jc w:val="both"/>
        <w:rPr>
          <w:rFonts w:ascii="Open Sans" w:hAnsi="Open Sans" w:cs="Arial"/>
          <w:bCs/>
          <w:sz w:val="20"/>
          <w:szCs w:val="20"/>
        </w:rPr>
      </w:pPr>
    </w:p>
    <w:p w14:paraId="7C443013" w14:textId="77777777" w:rsidR="00BA0792" w:rsidRPr="00BA0792" w:rsidRDefault="00BA0792" w:rsidP="00BA0792">
      <w:pPr>
        <w:jc w:val="both"/>
        <w:rPr>
          <w:rFonts w:ascii="Open Sans" w:hAnsi="Open Sans" w:cs="Open Sans"/>
          <w:sz w:val="20"/>
          <w:szCs w:val="20"/>
        </w:rPr>
      </w:pPr>
      <w:r w:rsidRPr="00BA0792">
        <w:rPr>
          <w:rFonts w:ascii="Open Sans" w:hAnsi="Open Sans" w:cs="Open Sans"/>
          <w:sz w:val="20"/>
          <w:szCs w:val="20"/>
        </w:rPr>
        <w:t>Está adherida al Código de Buenas Prácticas Tributarias en España desde septiembre de 2010, aunque no se trata de un código vinculante para sus firmantes. En 2015 ha firmado</w:t>
      </w:r>
      <w:r w:rsidRPr="00BA0792">
        <w:rPr>
          <w:rStyle w:val="Refdenotaalpie"/>
          <w:rFonts w:ascii="Open Sans" w:hAnsi="Open Sans"/>
          <w:sz w:val="20"/>
          <w:szCs w:val="20"/>
        </w:rPr>
        <w:footnoteReference w:id="229"/>
      </w:r>
      <w:r w:rsidRPr="00BA0792">
        <w:rPr>
          <w:rFonts w:ascii="Open Sans" w:hAnsi="Open Sans" w:cs="Open Sans"/>
          <w:sz w:val="20"/>
          <w:szCs w:val="20"/>
        </w:rPr>
        <w:t xml:space="preserve"> un anexo a este código, junto con otras grandes empresas, por el que se comprometen con Hacienda a detallar su presencia en paraísos fiscales, lo que ganan y lo que tributan en cada país, su estructura de financiación y sus riesgos fiscales a cambio de que la agencia tributaria les informe con antelación de la posibilidad de que abra una inspección y de sus criterios administrativos y jurisprudenciales, además de suavizar los conflictos. Sin embargo también será de manera voluntaria y esta información no será pública, por lo que se desconoce si las empresas firmantes están aportando esta información con el nivel de desglose comprometido.</w:t>
      </w:r>
    </w:p>
    <w:p w14:paraId="5EF55338" w14:textId="77777777" w:rsidR="00BA0792" w:rsidRPr="00BA0792" w:rsidRDefault="00BA0792" w:rsidP="00BA0792">
      <w:pPr>
        <w:jc w:val="both"/>
        <w:rPr>
          <w:rFonts w:ascii="Open Sans" w:hAnsi="Open Sans" w:cs="Open Sans"/>
          <w:sz w:val="20"/>
          <w:szCs w:val="20"/>
        </w:rPr>
      </w:pPr>
    </w:p>
    <w:p w14:paraId="0486712D" w14:textId="77777777" w:rsidR="00BA0792" w:rsidRPr="00BA0792" w:rsidRDefault="00BA0792" w:rsidP="00BA0792">
      <w:pPr>
        <w:jc w:val="both"/>
        <w:rPr>
          <w:rFonts w:ascii="Open Sans" w:hAnsi="Open Sans" w:cs="Arial"/>
          <w:bCs/>
          <w:sz w:val="20"/>
          <w:szCs w:val="20"/>
        </w:rPr>
      </w:pPr>
      <w:r w:rsidRPr="00BA0792">
        <w:rPr>
          <w:rFonts w:ascii="Open Sans" w:hAnsi="Open Sans" w:cs="Open Sans"/>
          <w:sz w:val="20"/>
          <w:szCs w:val="20"/>
        </w:rPr>
        <w:t xml:space="preserve">En su código de conducta y prácticas responsables menciona que </w:t>
      </w:r>
      <w:r w:rsidRPr="00BA0792">
        <w:rPr>
          <w:rFonts w:ascii="Open Sans" w:hAnsi="Open Sans" w:cs="Arial"/>
          <w:bCs/>
          <w:sz w:val="20"/>
          <w:szCs w:val="20"/>
        </w:rPr>
        <w:t xml:space="preserve">las personas que trabajan en Inditex evitarán obtener ventajas indebidas en materia fiscal para Inditex y se asegurarán de que la información declarada en esta materia a las autoridades sea veraz y refleja fielmente la realidad de la compañía, pero no se informa de protocolos de actuación en la materia. </w:t>
      </w:r>
    </w:p>
    <w:p w14:paraId="34B0790E" w14:textId="77777777" w:rsidR="00BA0792" w:rsidRPr="00BA0792" w:rsidRDefault="00BA0792" w:rsidP="00BA0792">
      <w:pPr>
        <w:jc w:val="both"/>
        <w:rPr>
          <w:rFonts w:ascii="Open Sans" w:hAnsi="Open Sans" w:cs="Arial"/>
          <w:bCs/>
          <w:sz w:val="20"/>
          <w:szCs w:val="20"/>
        </w:rPr>
      </w:pPr>
    </w:p>
    <w:p w14:paraId="7120E048"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Inditex considera la transparencia y la contribución tributaria un aspecto material sobre el que debe informar y en la Memoria Anual dedica un apartado a este asunto.   Informa que la contribución fiscal del grupo en todo el mundo alcanzó en 2015 los 2.501 millones de euros en impuestos directos y los 2.498 millones de euros en impuestos recaudados para los estados.  Indica que los impuestos directos incluye el impuesto sobre los beneficios, contribuciones a los sistemas de seguridad social o tributos sobre productos y servicios o impuestos medioambientales, satisfecho en aquellos países donde el Grupo tiene actividad. Los impuestos recaudados incluye IVA, IRPF. </w:t>
      </w:r>
    </w:p>
    <w:p w14:paraId="15490DF7" w14:textId="77777777" w:rsidR="00BA0792" w:rsidRPr="00BA0792" w:rsidRDefault="00BA0792" w:rsidP="00BA0792">
      <w:pPr>
        <w:rPr>
          <w:rFonts w:ascii="Open Sans" w:hAnsi="Open Sans" w:cs="Arial"/>
          <w:bCs/>
          <w:sz w:val="20"/>
          <w:szCs w:val="20"/>
        </w:rPr>
      </w:pPr>
    </w:p>
    <w:p w14:paraId="2EA96E1C"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De nuevo Inditex no aporta un desglose país a país como cabría esperar de una empresa líder a nivel mundial y con explícitos compromisos con la transparencia y una fiscalidad justa, alejándose de la línea que están empezando a seguir otras empresas que cada vez van exponiendo de una forma más pormenorizada y desglosada sus aportes a las respectivas haciendas públicas de los países donde trabajan. </w:t>
      </w:r>
    </w:p>
    <w:p w14:paraId="34F1F68C" w14:textId="77777777" w:rsidR="00BA0792" w:rsidRPr="00BA0792" w:rsidRDefault="00BA0792" w:rsidP="00BA0792">
      <w:pPr>
        <w:jc w:val="both"/>
        <w:rPr>
          <w:rFonts w:ascii="Open Sans" w:hAnsi="Open Sans" w:cs="Arial"/>
          <w:bCs/>
          <w:sz w:val="20"/>
          <w:szCs w:val="20"/>
        </w:rPr>
      </w:pPr>
    </w:p>
    <w:p w14:paraId="418C328C"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El desglose se realiza por regiones: España, Unión Europea (sin España), Europa no comunitaria, América, Asia y resto del mundo. Llama la atención este desglose por varias razones: </w:t>
      </w:r>
    </w:p>
    <w:p w14:paraId="3A7C0EF5" w14:textId="77777777" w:rsidR="00BA0792" w:rsidRPr="00BA0792" w:rsidRDefault="00BA0792" w:rsidP="00BA0792">
      <w:pPr>
        <w:jc w:val="both"/>
        <w:rPr>
          <w:rFonts w:ascii="Open Sans" w:hAnsi="Open Sans" w:cs="Arial"/>
          <w:bCs/>
          <w:sz w:val="20"/>
          <w:szCs w:val="20"/>
        </w:rPr>
      </w:pPr>
    </w:p>
    <w:p w14:paraId="4456AEA3"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 La desproporción en la distribución geográfica de impuestos directos en relación con el volumen de negocio. Así en España pagó un 40% de su contribución fiscal directa, mientras que solo representa el 17,7% de las ventas del grupo. De igual manera en “Asia y resto del mundo” la contribución fiscal fue del 11% mientras que el volumen de negocio representa el 23%. </w:t>
      </w:r>
    </w:p>
    <w:p w14:paraId="4C7670B1" w14:textId="77777777" w:rsidR="00BA0792" w:rsidRPr="00BA0792" w:rsidRDefault="00BA0792" w:rsidP="00BA0792">
      <w:pPr>
        <w:jc w:val="both"/>
        <w:rPr>
          <w:rFonts w:ascii="Open Sans" w:hAnsi="Open Sans" w:cs="Arial"/>
          <w:bCs/>
          <w:sz w:val="20"/>
          <w:szCs w:val="20"/>
        </w:rPr>
      </w:pPr>
    </w:p>
    <w:p w14:paraId="76CE0918"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 El nivel de agregación tan amplio que hace en la región Asia y resto del mundo. Asia es una de las zonas de mayor importancia estratégica para Inditex. Con este desglose es imposible conocer la aportación que realiza a países que tienen una alta relevancia en su producción como son Turquía, India, Bangladesh, Vietnam, Camboya, China o Marruecos. Estos países, que no se destacan por facilitar servicios sociales y prestaciones públicas robustas, requieren de las rentas que deben pagar las grandes empresas para poder atender a sus ciudadanos y balancear las desigualdades sociales existentes. </w:t>
      </w:r>
    </w:p>
    <w:p w14:paraId="593FD2E8" w14:textId="77777777" w:rsidR="00BA0792" w:rsidRPr="00BA0792" w:rsidRDefault="00BA0792" w:rsidP="00BA0792">
      <w:pPr>
        <w:jc w:val="both"/>
        <w:rPr>
          <w:rFonts w:ascii="Open Sans" w:hAnsi="Open Sans" w:cs="Arial"/>
          <w:bCs/>
          <w:sz w:val="20"/>
          <w:szCs w:val="20"/>
        </w:rPr>
      </w:pPr>
    </w:p>
    <w:p w14:paraId="008AEB6C"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Inditex destaca en su apartado de contribución tributaria los grandes retornos que su actividad tiene para los estados, sin embargo con la información aportada no se puede conocer la contribución real que realiza en cada uno de los países en los que opera. Para tener un conocimiento sobre la contribución real sería necesario un desglose país a país de cifras de negocio, beneficios obtenidos, tipos impositivos e impuestos de sociedades pagados. </w:t>
      </w:r>
    </w:p>
    <w:p w14:paraId="6C76393E" w14:textId="77777777" w:rsidR="00BA0792" w:rsidRPr="00BA0792" w:rsidRDefault="00BA0792" w:rsidP="00BA0792">
      <w:pPr>
        <w:jc w:val="both"/>
        <w:rPr>
          <w:rFonts w:ascii="Open Sans" w:hAnsi="Open Sans" w:cs="Arial"/>
          <w:sz w:val="20"/>
          <w:szCs w:val="20"/>
        </w:rPr>
      </w:pPr>
    </w:p>
    <w:p w14:paraId="0E7EE368"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La tributación del grupo Inditex despierta una gran demanda de transparencia a sus grupos de interés, con un escrutinio continuo por diversas instituciones y medios comunicación que ponen en cuestión su modelo fiscal a través de un entramado de sociedades no operativas clave (gestión financiera, gestión de marcas, seguros) en territorios considerados paraísos fiscales o con ventajas tributarias importantes dentro de una estrategia fiscal agresiva encaminada a la elusión de impuestos</w:t>
      </w:r>
      <w:r w:rsidRPr="00BA0792">
        <w:rPr>
          <w:rFonts w:ascii="Open Sans" w:hAnsi="Open Sans" w:cs="Open Sans"/>
          <w:sz w:val="20"/>
          <w:szCs w:val="20"/>
        </w:rPr>
        <w:t>.</w:t>
      </w:r>
      <w:r w:rsidRPr="00BA0792">
        <w:rPr>
          <w:rStyle w:val="Refdenotaalpie"/>
          <w:rFonts w:ascii="Open Sans" w:hAnsi="Open Sans"/>
          <w:sz w:val="20"/>
          <w:szCs w:val="20"/>
        </w:rPr>
        <w:footnoteReference w:id="230"/>
      </w:r>
      <w:r w:rsidRPr="00BA0792">
        <w:rPr>
          <w:rFonts w:ascii="Open Sans" w:hAnsi="Open Sans"/>
          <w:bCs/>
          <w:sz w:val="20"/>
          <w:szCs w:val="20"/>
          <w:vertAlign w:val="superscript"/>
        </w:rPr>
        <w:t>,</w:t>
      </w:r>
      <w:r w:rsidRPr="00BA0792">
        <w:rPr>
          <w:rStyle w:val="Refdenotaalpie"/>
          <w:rFonts w:ascii="Open Sans" w:hAnsi="Open Sans"/>
          <w:bCs/>
          <w:sz w:val="20"/>
          <w:szCs w:val="20"/>
        </w:rPr>
        <w:footnoteReference w:id="231"/>
      </w:r>
      <w:r w:rsidRPr="00BA0792">
        <w:rPr>
          <w:rFonts w:ascii="Open Sans" w:hAnsi="Open Sans" w:cs="Arial"/>
          <w:bCs/>
          <w:sz w:val="20"/>
          <w:szCs w:val="20"/>
        </w:rPr>
        <w:t xml:space="preserve"> Sería imprescindible que Inditex aportara una mayor transparencia en la información sobre estas cuestiones y con un desglose suficiente por país que permitiera conocer su contribución real a los países en los que opera.</w:t>
      </w:r>
    </w:p>
    <w:p w14:paraId="34E6D0BE" w14:textId="77777777" w:rsidR="00BA0792" w:rsidRPr="00BA0792" w:rsidRDefault="00BA0792" w:rsidP="00BA0792">
      <w:pPr>
        <w:jc w:val="both"/>
        <w:rPr>
          <w:rFonts w:ascii="Open Sans" w:hAnsi="Open Sans" w:cs="Arial"/>
          <w:sz w:val="20"/>
          <w:szCs w:val="20"/>
        </w:rPr>
      </w:pPr>
    </w:p>
    <w:p w14:paraId="15E2D933"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En relación a las subvenciones recibidas en cada uno de los países en los que opera, Inditex sólo indica según el Indicador G4- EC4,  ¨</w:t>
      </w:r>
      <w:proofErr w:type="gramStart"/>
      <w:r w:rsidRPr="00BA0792">
        <w:rPr>
          <w:rFonts w:ascii="Open Sans" w:hAnsi="Open Sans" w:cs="Arial"/>
          <w:sz w:val="20"/>
          <w:szCs w:val="20"/>
        </w:rPr>
        <w:t>..</w:t>
      </w:r>
      <w:proofErr w:type="gramEnd"/>
      <w:r w:rsidRPr="00BA0792">
        <w:rPr>
          <w:rFonts w:ascii="Open Sans" w:hAnsi="Open Sans" w:cs="Arial"/>
          <w:i/>
          <w:sz w:val="20"/>
          <w:szCs w:val="20"/>
        </w:rPr>
        <w:t>No se han recibido desde gobiernos ayudas significativas en materia de subvenciones, premios, derechos de vacaciones o asistencia de crédito a la exportación¨.</w:t>
      </w:r>
    </w:p>
    <w:p w14:paraId="3AB33AA4" w14:textId="77777777" w:rsidR="00BA0792" w:rsidRPr="00BA0792" w:rsidRDefault="00BA0792" w:rsidP="00BA0792">
      <w:pPr>
        <w:jc w:val="both"/>
        <w:rPr>
          <w:rFonts w:ascii="Open Sans" w:hAnsi="Open Sans" w:cs="Arial"/>
          <w:sz w:val="20"/>
          <w:szCs w:val="20"/>
        </w:rPr>
      </w:pPr>
    </w:p>
    <w:p w14:paraId="08DD7980"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En el apartado de deducciones, exenciones y créditos fiscales la empresa no presenta información por país y en concepto de qué se le han otorgado las exenciones, deducciones o créditos fiscales. Esta información es relevante pues en algunos casos puede condicionar la imputación de beneficios en un país o en otro en base a este tipo de incentivos fiscales.  </w:t>
      </w:r>
    </w:p>
    <w:p w14:paraId="338AE7C3" w14:textId="77777777" w:rsidR="00BA0792" w:rsidRPr="00BA0792" w:rsidRDefault="00BA0792" w:rsidP="00BA0792">
      <w:pPr>
        <w:jc w:val="both"/>
        <w:rPr>
          <w:rFonts w:ascii="Open Sans" w:hAnsi="Open Sans" w:cs="Arial"/>
          <w:sz w:val="20"/>
          <w:szCs w:val="20"/>
        </w:rPr>
      </w:pPr>
    </w:p>
    <w:p w14:paraId="72E9E985"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Sólo informa que las sociedades que integran el Grupo consolidado se han acogido a los beneficios fiscales previstos en la normativa fiscal en vigor de cada país por importe de 15.568 miles de euros. Estas deducciones y bonificaciones derivan, fundamentalmente, de la realización de inversiones y, en menor medida, de bonificaciones. También que se han descontado 166.149 miles de euros en concepto de diferencias permanentes y que corresponden a gastos no deducibles fiscalmente, a ingresos fiscales por la aportación de derechos de uso de ciertos activos a una filial y a la exención de rentas de establecimientos permanentes en el extranjero. </w:t>
      </w:r>
    </w:p>
    <w:p w14:paraId="12B090AD" w14:textId="77777777" w:rsidR="00BA0792" w:rsidRPr="00BA0792" w:rsidRDefault="00BA0792" w:rsidP="00BA0792">
      <w:pPr>
        <w:jc w:val="both"/>
        <w:rPr>
          <w:rFonts w:ascii="Open Sans" w:hAnsi="Open Sans" w:cs="Arial"/>
          <w:sz w:val="20"/>
          <w:szCs w:val="20"/>
        </w:rPr>
      </w:pPr>
    </w:p>
    <w:p w14:paraId="1AAAEBFB"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El grupo tiene pérdidas fiscales susceptibles de compensación con futuros beneficios por importe de 399.889 miles de euros, pero en el ejercicio 2015 no se han activado pérdidas y créditos de ejercicios anteriores. </w:t>
      </w:r>
    </w:p>
    <w:p w14:paraId="2A2BB954" w14:textId="77777777" w:rsidR="00BA0792" w:rsidRPr="00BA0792" w:rsidRDefault="00BA0792" w:rsidP="00BA0792">
      <w:pPr>
        <w:jc w:val="both"/>
        <w:rPr>
          <w:rFonts w:ascii="Open Sans" w:hAnsi="Open Sans" w:cs="Arial"/>
          <w:sz w:val="20"/>
          <w:szCs w:val="20"/>
        </w:rPr>
      </w:pPr>
    </w:p>
    <w:p w14:paraId="6A718762" w14:textId="77777777" w:rsidR="00BA0792" w:rsidRPr="00BA0792" w:rsidRDefault="00BA0792" w:rsidP="00BA0792">
      <w:pPr>
        <w:jc w:val="both"/>
        <w:rPr>
          <w:rFonts w:ascii="Open Sans" w:hAnsi="Open Sans" w:cs="Arial"/>
          <w:sz w:val="20"/>
          <w:szCs w:val="20"/>
        </w:rPr>
      </w:pPr>
      <w:r w:rsidRPr="00BA0792">
        <w:rPr>
          <w:rFonts w:ascii="Open Sans" w:hAnsi="Open Sans" w:cs="Arial"/>
          <w:sz w:val="20"/>
          <w:szCs w:val="20"/>
        </w:rPr>
        <w:t xml:space="preserve">La empresa informa de la conciliación de la tasa impositiva legal (28% en España) y la tasa impositiva efectiva soportada por el grupo, que ha sido del 23%. </w:t>
      </w:r>
    </w:p>
    <w:p w14:paraId="20639977" w14:textId="77777777" w:rsidR="00BA0792" w:rsidRPr="00BA0792" w:rsidRDefault="00BA0792" w:rsidP="00BA0792">
      <w:pPr>
        <w:rPr>
          <w:rFonts w:ascii="Open Sans" w:hAnsi="Open Sans" w:cs="Arial"/>
          <w:bCs/>
          <w:sz w:val="20"/>
          <w:szCs w:val="20"/>
        </w:rPr>
      </w:pPr>
    </w:p>
    <w:p w14:paraId="28031C0F"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Salvo por su adhesión al Código de Buenas Prácticas Tributarias y los compromisos adoptados en la estrategia fiscal no se ha encontrado información sobre las relaciones de carácter cooperativo y de lobby mantenidas con las agencias tributarias de los países en los que el grupo está presente. La empresa sólo indica que trata de evitar ligios tributarios y aplica con carácter preferente los criterios interpretativos sobre la normativa tributaria fijados por las autoridades. </w:t>
      </w:r>
    </w:p>
    <w:p w14:paraId="1A583D46" w14:textId="77777777" w:rsidR="00BA0792" w:rsidRPr="00BA0792" w:rsidRDefault="00BA0792" w:rsidP="00BA0792">
      <w:pPr>
        <w:jc w:val="both"/>
        <w:rPr>
          <w:rFonts w:ascii="Open Sans" w:hAnsi="Open Sans" w:cs="Arial"/>
          <w:bCs/>
          <w:sz w:val="20"/>
          <w:szCs w:val="20"/>
        </w:rPr>
      </w:pPr>
    </w:p>
    <w:p w14:paraId="46336764" w14:textId="77777777" w:rsidR="00BA0792" w:rsidRPr="00BA0792" w:rsidRDefault="00BA0792" w:rsidP="00BA0792">
      <w:pPr>
        <w:jc w:val="both"/>
        <w:rPr>
          <w:rFonts w:ascii="Open Sans" w:hAnsi="Open Sans" w:cs="Open Sans"/>
          <w:sz w:val="20"/>
          <w:szCs w:val="20"/>
        </w:rPr>
      </w:pPr>
      <w:r w:rsidRPr="00BA0792">
        <w:rPr>
          <w:rFonts w:ascii="Open Sans" w:hAnsi="Open Sans" w:cs="Open Sans"/>
          <w:sz w:val="20"/>
          <w:szCs w:val="20"/>
        </w:rPr>
        <w:t>La empresa informa en su Memoria Anual de comprobaciones en sociedades del grupo y destaca las domiciliadas en Italia, Francia, México y Turquía pero no aclara los motivos de las comprobaciones. Por fuentes externas se conoce que también en España tiene abiertas inspecciones relacionadas con el impuesto de sociedades y el IVA.</w:t>
      </w:r>
      <w:r w:rsidRPr="00BA0792">
        <w:rPr>
          <w:rStyle w:val="Refdenotaalpie"/>
          <w:rFonts w:ascii="Open Sans" w:hAnsi="Open Sans"/>
          <w:sz w:val="20"/>
          <w:szCs w:val="20"/>
        </w:rPr>
        <w:footnoteReference w:id="232"/>
      </w:r>
      <w:r w:rsidRPr="00BA0792">
        <w:rPr>
          <w:rFonts w:ascii="Open Sans" w:hAnsi="Open Sans" w:cs="Open Sans"/>
          <w:sz w:val="20"/>
          <w:szCs w:val="20"/>
        </w:rPr>
        <w:t xml:space="preserve"> </w:t>
      </w:r>
      <w:r w:rsidRPr="00BA0792">
        <w:rPr>
          <w:rStyle w:val="Refdenotaalpie"/>
          <w:rFonts w:ascii="Open Sans" w:hAnsi="Open Sans"/>
          <w:sz w:val="20"/>
          <w:szCs w:val="20"/>
        </w:rPr>
        <w:footnoteReference w:id="233"/>
      </w:r>
    </w:p>
    <w:p w14:paraId="3D1253AD" w14:textId="77777777" w:rsidR="00BA0792" w:rsidRPr="00BA0792" w:rsidRDefault="00BA0792" w:rsidP="00BA0792">
      <w:pPr>
        <w:rPr>
          <w:rFonts w:ascii="Open Sans" w:hAnsi="Open Sans" w:cs="Open Sans"/>
          <w:sz w:val="20"/>
          <w:szCs w:val="20"/>
        </w:rPr>
      </w:pPr>
    </w:p>
    <w:p w14:paraId="0320E05A" w14:textId="77777777" w:rsidR="00BA0792" w:rsidRPr="00BA0792" w:rsidRDefault="00BA0792" w:rsidP="00BA0792">
      <w:pPr>
        <w:jc w:val="both"/>
        <w:rPr>
          <w:rFonts w:ascii="Open Sans" w:hAnsi="Open Sans" w:cs="Open Sans"/>
          <w:sz w:val="20"/>
          <w:szCs w:val="20"/>
        </w:rPr>
      </w:pPr>
      <w:r w:rsidRPr="00BA0792">
        <w:rPr>
          <w:rFonts w:ascii="Open Sans" w:hAnsi="Open Sans" w:cs="Open Sans"/>
          <w:sz w:val="20"/>
          <w:szCs w:val="20"/>
        </w:rPr>
        <w:t xml:space="preserve">Además tiene provisionados 57.440 miles de euros para responsabilidades que corresponden a reclamaciones legales y obligaciones pero no se informa de los hechos que las originan. También tiene otra partida de “otras provisiones” por importe de 55.086 miles de euros pero no explica que incluye este concepto. </w:t>
      </w:r>
    </w:p>
    <w:p w14:paraId="1F4BA1A2" w14:textId="77777777" w:rsidR="00BA0792" w:rsidRPr="00BA0792" w:rsidRDefault="00BA0792" w:rsidP="00BA0792">
      <w:pPr>
        <w:jc w:val="both"/>
        <w:rPr>
          <w:rFonts w:ascii="Open Sans" w:hAnsi="Open Sans" w:cs="Open Sans"/>
          <w:sz w:val="20"/>
          <w:szCs w:val="20"/>
        </w:rPr>
      </w:pPr>
    </w:p>
    <w:p w14:paraId="33847B87" w14:textId="77777777" w:rsidR="00BA0792" w:rsidRPr="00BA0792" w:rsidRDefault="00BA0792" w:rsidP="00BA0792">
      <w:pPr>
        <w:jc w:val="both"/>
        <w:rPr>
          <w:rFonts w:ascii="Open Sans" w:hAnsi="Open Sans" w:cs="Open Sans"/>
          <w:sz w:val="20"/>
          <w:szCs w:val="20"/>
        </w:rPr>
      </w:pPr>
      <w:r w:rsidRPr="00BA0792">
        <w:rPr>
          <w:rFonts w:ascii="Open Sans" w:hAnsi="Open Sans" w:cs="Open Sans"/>
          <w:sz w:val="20"/>
          <w:szCs w:val="20"/>
        </w:rPr>
        <w:t>En relación con su actividad de lobby, Inditex explica que según el Código de Conducta y Prácticas Responsables “</w:t>
      </w:r>
      <w:r w:rsidRPr="00BA0792">
        <w:rPr>
          <w:rFonts w:ascii="Open Sans" w:hAnsi="Open Sans" w:cs="Open Sans"/>
          <w:i/>
          <w:sz w:val="20"/>
          <w:szCs w:val="20"/>
        </w:rPr>
        <w:t>cualquier relación con gobiernos, autoridades, instituciones y partidos políticos estará basada en los principios de legalidad y neutralidad. Las contribuciones que en su caso realice la compañía, en dinero y/o en especie, a partidos políticos, instituciones y autoridades públicas, se harán siempre de acuerdo con la legislación vigente y garantizando su transparencia, a cuyo fin, deberán ir precedidas de un informe de la Asesoría Jurídica que acredite su plena legalidad</w:t>
      </w:r>
      <w:r w:rsidRPr="00BA0792">
        <w:rPr>
          <w:rFonts w:ascii="Open Sans" w:hAnsi="Open Sans" w:cs="Open Sans"/>
          <w:sz w:val="20"/>
          <w:szCs w:val="20"/>
        </w:rPr>
        <w:t xml:space="preserve">”. En el art. 4.7 de su Código de Conducta señala que se abstendrán de realizar pagos de facilitación o agilización frente a órgano judicial, administración pública u organismo oficial. </w:t>
      </w:r>
    </w:p>
    <w:p w14:paraId="7C83B2F2" w14:textId="77777777" w:rsidR="00BA0792" w:rsidRPr="00BA0792" w:rsidRDefault="00BA0792" w:rsidP="00BA0792">
      <w:pPr>
        <w:jc w:val="both"/>
        <w:rPr>
          <w:rFonts w:ascii="Open Sans" w:hAnsi="Open Sans" w:cs="Open Sans"/>
          <w:sz w:val="20"/>
          <w:szCs w:val="20"/>
        </w:rPr>
      </w:pPr>
    </w:p>
    <w:p w14:paraId="6374E400" w14:textId="77777777" w:rsidR="00BA0792" w:rsidRPr="00BA0792" w:rsidRDefault="00BA0792" w:rsidP="00BA0792">
      <w:pPr>
        <w:jc w:val="both"/>
        <w:rPr>
          <w:rFonts w:ascii="Open Sans" w:hAnsi="Open Sans" w:cs="Open Sans"/>
          <w:bCs/>
          <w:sz w:val="20"/>
          <w:szCs w:val="20"/>
        </w:rPr>
      </w:pPr>
      <w:r w:rsidRPr="00BA0792">
        <w:rPr>
          <w:rFonts w:ascii="Open Sans" w:hAnsi="Open Sans" w:cs="Open Sans"/>
          <w:sz w:val="20"/>
          <w:szCs w:val="20"/>
        </w:rPr>
        <w:t>Inditex, sin embargo, no aporta ninguna información en su memoria anual sobre este respecto, a pesar de que indica en la tabla de GRI, indicador G4-SO6</w:t>
      </w:r>
      <w:r w:rsidRPr="00BA0792">
        <w:rPr>
          <w:rFonts w:ascii="Open Sans" w:eastAsia="Calibri" w:hAnsi="Open Sans" w:cs="Helvetica"/>
          <w:color w:val="000E1C"/>
          <w:sz w:val="20"/>
          <w:szCs w:val="20"/>
        </w:rPr>
        <w:t xml:space="preserve"> </w:t>
      </w:r>
      <w:r w:rsidRPr="00BA0792">
        <w:rPr>
          <w:rFonts w:ascii="Open Sans" w:hAnsi="Open Sans" w:cs="Open Sans"/>
          <w:sz w:val="20"/>
          <w:szCs w:val="20"/>
        </w:rPr>
        <w:t>que reporta sobre el valor de las contribuciones políticas por país y destinatario</w:t>
      </w:r>
      <w:r w:rsidRPr="00BA0792">
        <w:rPr>
          <w:rStyle w:val="Refdenotaalpie"/>
          <w:rFonts w:ascii="Open Sans" w:hAnsi="Open Sans"/>
          <w:sz w:val="20"/>
          <w:szCs w:val="20"/>
        </w:rPr>
        <w:footnoteReference w:id="234"/>
      </w:r>
      <w:r w:rsidRPr="00BA0792">
        <w:rPr>
          <w:rFonts w:ascii="Open Sans" w:hAnsi="Open Sans" w:cs="Open Sans"/>
          <w:sz w:val="20"/>
          <w:szCs w:val="20"/>
        </w:rPr>
        <w:t>.  A través de fuentes externas</w:t>
      </w:r>
      <w:r w:rsidRPr="00BA0792">
        <w:rPr>
          <w:rStyle w:val="Refdenotaalpie"/>
          <w:rFonts w:ascii="Open Sans" w:hAnsi="Open Sans"/>
          <w:sz w:val="20"/>
          <w:szCs w:val="20"/>
        </w:rPr>
        <w:footnoteReference w:id="235"/>
      </w:r>
      <w:r w:rsidRPr="00BA0792">
        <w:rPr>
          <w:rFonts w:ascii="Open Sans" w:hAnsi="Open Sans" w:cs="Open Sans"/>
          <w:sz w:val="20"/>
          <w:szCs w:val="20"/>
        </w:rPr>
        <w:t xml:space="preserve"> se conoce que forma parte del lobby europeo </w:t>
      </w:r>
      <w:r w:rsidRPr="00BA0792">
        <w:rPr>
          <w:rFonts w:ascii="Open Sans" w:hAnsi="Open Sans" w:cs="Open Sans"/>
          <w:bCs/>
          <w:sz w:val="20"/>
          <w:szCs w:val="20"/>
        </w:rPr>
        <w:t>European Branded Clothing Alliance, que tiene entre sus actividades de presión temas relacionados con fiscalidad. Inditex no aporta información en su memoria anual sobre estas cuestiones pero no cabe duda de la gran influencia del lobby textil como se apunta desde algunas publicaciones especializadas.</w:t>
      </w:r>
      <w:r w:rsidRPr="00BA0792">
        <w:rPr>
          <w:rStyle w:val="Refdenotaalpie"/>
          <w:rFonts w:ascii="Open Sans" w:hAnsi="Open Sans"/>
          <w:bCs/>
          <w:sz w:val="20"/>
          <w:szCs w:val="20"/>
        </w:rPr>
        <w:footnoteReference w:id="236"/>
      </w:r>
      <w:r w:rsidRPr="00BA0792">
        <w:rPr>
          <w:rFonts w:ascii="Open Sans" w:hAnsi="Open Sans" w:cs="Open Sans"/>
          <w:bCs/>
          <w:sz w:val="20"/>
          <w:szCs w:val="20"/>
        </w:rPr>
        <w:t xml:space="preserve"> </w:t>
      </w:r>
    </w:p>
    <w:p w14:paraId="165BB808" w14:textId="77777777" w:rsidR="00BA0792" w:rsidRPr="00BA0792" w:rsidRDefault="00BA0792" w:rsidP="00BA0792">
      <w:pPr>
        <w:rPr>
          <w:rFonts w:ascii="Open Sans" w:hAnsi="Open Sans" w:cs="Arial"/>
          <w:bCs/>
          <w:sz w:val="20"/>
          <w:szCs w:val="20"/>
        </w:rPr>
      </w:pPr>
    </w:p>
    <w:p w14:paraId="57AFD130"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Aparte de la actividad de venta al público, Inditex genera ingresos derivadas de otras actividades como la gestión de activos a través de sociedades de cartera, actividad financiera, inmobiliaria, construcción, aseguradora, prestación de servicios multicadena, entre otros de carácter operativo, compras, diseño y fabricación textil y logística. Sin embargo Inditex no aporta ningún tipo de información ni desglose de datos derivados de estas actividades. Se desconoce por tanto cual es la aportación de estas actividades a la cifra total de negocio del grupo.</w:t>
      </w:r>
    </w:p>
    <w:p w14:paraId="0EF906D1" w14:textId="77777777" w:rsidR="00BA0792" w:rsidRPr="00BA0792" w:rsidRDefault="00BA0792" w:rsidP="00BA0792">
      <w:pPr>
        <w:rPr>
          <w:rFonts w:ascii="Open Sans" w:hAnsi="Open Sans" w:cs="Arial"/>
          <w:bCs/>
          <w:sz w:val="20"/>
          <w:szCs w:val="20"/>
        </w:rPr>
      </w:pPr>
    </w:p>
    <w:p w14:paraId="02873461"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Un ejemplo de ello es la actividad inmobiliaria del grupo. Según la Memoria Anual, Inditex cuenta con 16 sociedades dependientes dedicadas a la actividad inmobiliaria y alguna de ellas </w:t>
      </w:r>
      <w:proofErr w:type="gramStart"/>
      <w:r w:rsidRPr="00BA0792">
        <w:rPr>
          <w:rFonts w:ascii="Open Sans" w:hAnsi="Open Sans" w:cs="Arial"/>
          <w:bCs/>
          <w:sz w:val="20"/>
          <w:szCs w:val="20"/>
        </w:rPr>
        <w:t>están</w:t>
      </w:r>
      <w:proofErr w:type="gramEnd"/>
      <w:r w:rsidRPr="00BA0792">
        <w:rPr>
          <w:rFonts w:ascii="Open Sans" w:hAnsi="Open Sans" w:cs="Arial"/>
          <w:bCs/>
          <w:sz w:val="20"/>
          <w:szCs w:val="20"/>
        </w:rPr>
        <w:t xml:space="preserve"> domiciliadas en plazas de tributación blanda. Es el caso de Zara Vastgoed BV, radicada en Amsterdan y de Vastgoed Asia Ltd, con domicilio fiscal en Hong Kong (China). Esta última en 2014 pasó a denominarse ITX Global Solutions Limited y en las cuentas anuales de 2015 indica ahora que su actividad es “servicios”. En España la aportación del negocio inmobiliario Goa-Invest al grupo cada vez es mayor</w:t>
      </w:r>
      <w:r w:rsidRPr="00BA0792">
        <w:rPr>
          <w:rStyle w:val="Refdenotaalpie"/>
          <w:rFonts w:ascii="Open Sans" w:hAnsi="Open Sans"/>
          <w:bCs/>
          <w:sz w:val="20"/>
          <w:szCs w:val="20"/>
        </w:rPr>
        <w:footnoteReference w:id="237"/>
      </w:r>
      <w:r w:rsidRPr="00BA0792">
        <w:rPr>
          <w:rFonts w:ascii="Open Sans" w:hAnsi="Open Sans" w:cs="Arial"/>
          <w:bCs/>
          <w:sz w:val="20"/>
          <w:szCs w:val="20"/>
        </w:rPr>
        <w:t>.</w:t>
      </w:r>
    </w:p>
    <w:p w14:paraId="17F12669" w14:textId="77777777" w:rsidR="00BA0792" w:rsidRPr="00BA0792" w:rsidRDefault="00BA0792" w:rsidP="00BA0792">
      <w:pPr>
        <w:jc w:val="both"/>
        <w:rPr>
          <w:rFonts w:ascii="Open Sans" w:hAnsi="Open Sans" w:cs="Arial"/>
          <w:bCs/>
          <w:sz w:val="20"/>
          <w:szCs w:val="20"/>
        </w:rPr>
      </w:pPr>
    </w:p>
    <w:p w14:paraId="195B5454" w14:textId="77777777" w:rsidR="00BA0792" w:rsidRPr="00BA0792" w:rsidRDefault="00BA0792" w:rsidP="00BA0792">
      <w:pPr>
        <w:jc w:val="both"/>
        <w:rPr>
          <w:rFonts w:ascii="Open Sans" w:eastAsia="Calibri" w:hAnsi="Open Sans" w:cs="Open Sans"/>
          <w:sz w:val="20"/>
          <w:szCs w:val="20"/>
        </w:rPr>
      </w:pPr>
      <w:r w:rsidRPr="00BA0792">
        <w:rPr>
          <w:rFonts w:ascii="Open Sans" w:eastAsia="Calibri" w:hAnsi="Open Sans" w:cs="Open Sans"/>
          <w:sz w:val="20"/>
          <w:szCs w:val="20"/>
        </w:rPr>
        <w:t xml:space="preserve">Inditex tampoco presenta información sobre las compras intragrupo, desde qué sociedades gestiona los derechos de marca y propiedad intelectual, ni las operaciones de financiación realizadas entre sociedades del grupo y condiciones asignadas a las mismas. </w:t>
      </w:r>
    </w:p>
    <w:p w14:paraId="5FBEDE40" w14:textId="77777777" w:rsidR="00BA0792" w:rsidRPr="00BA0792" w:rsidRDefault="00BA0792" w:rsidP="00BA0792">
      <w:pPr>
        <w:jc w:val="both"/>
        <w:rPr>
          <w:rFonts w:ascii="Open Sans" w:eastAsia="Calibri" w:hAnsi="Open Sans" w:cs="Open Sans"/>
          <w:sz w:val="20"/>
          <w:szCs w:val="20"/>
        </w:rPr>
      </w:pPr>
    </w:p>
    <w:p w14:paraId="38611EE2" w14:textId="77777777" w:rsidR="00BA0792" w:rsidRPr="00BA0792" w:rsidRDefault="00BA0792" w:rsidP="00BA0792">
      <w:pPr>
        <w:jc w:val="both"/>
        <w:rPr>
          <w:rFonts w:ascii="Open Sans" w:eastAsia="Calibri" w:hAnsi="Open Sans" w:cs="Open Sans"/>
          <w:sz w:val="20"/>
          <w:szCs w:val="20"/>
        </w:rPr>
      </w:pPr>
      <w:r w:rsidRPr="00BA0792">
        <w:rPr>
          <w:rFonts w:ascii="Open Sans" w:eastAsia="Calibri" w:hAnsi="Open Sans" w:cs="Open Sans"/>
          <w:sz w:val="20"/>
          <w:szCs w:val="20"/>
        </w:rPr>
        <w:t>Según un artículo publicado en Bloomberg</w:t>
      </w:r>
      <w:r w:rsidRPr="00BA0792">
        <w:rPr>
          <w:rStyle w:val="Refdenotaalpie"/>
          <w:rFonts w:ascii="Open Sans" w:eastAsia="Calibri" w:hAnsi="Open Sans"/>
          <w:sz w:val="20"/>
          <w:szCs w:val="20"/>
        </w:rPr>
        <w:footnoteReference w:id="238"/>
      </w:r>
      <w:r w:rsidRPr="00BA0792">
        <w:rPr>
          <w:rFonts w:ascii="Open Sans" w:eastAsia="Calibri" w:hAnsi="Open Sans" w:cs="Open Sans"/>
          <w:sz w:val="20"/>
          <w:szCs w:val="20"/>
        </w:rPr>
        <w:t xml:space="preserve"> se explica cómo el grupo utiliza la empresa ITX Merken, con operativa en Holanda y Suiza para rebajar el pago de impuestos. Esta empresa asesora a otras empresas del grupo en la localización de nuevas tiendas y en el diseño interior de las mismas. También controla los derechos de utilización de las marcas comerciales como Zara. A través del movimiento de dinero entre subsidiaras se consigue el traslado de beneficios a esta empresa domiciliada en paraísos fiscales donde los impuestos son muy bajos o cero. Tener conocimiento de estas operaciones es fundamental para poder deducir si la empresa está operando a través de su estructura societaria para implementar estrategias de optimización fiscal.</w:t>
      </w:r>
    </w:p>
    <w:p w14:paraId="00EA9195" w14:textId="77777777" w:rsidR="00BA0792" w:rsidRPr="00BA0792" w:rsidRDefault="00BA0792" w:rsidP="00BA0792">
      <w:pPr>
        <w:jc w:val="both"/>
        <w:rPr>
          <w:rFonts w:ascii="Open Sans" w:eastAsia="Calibri" w:hAnsi="Open Sans" w:cs="Open Sans"/>
          <w:sz w:val="20"/>
          <w:szCs w:val="20"/>
        </w:rPr>
      </w:pPr>
    </w:p>
    <w:p w14:paraId="41DFAD90" w14:textId="77777777" w:rsidR="00BA0792" w:rsidRPr="00BA0792" w:rsidRDefault="00BA0792" w:rsidP="00BA0792">
      <w:pPr>
        <w:jc w:val="both"/>
        <w:rPr>
          <w:rFonts w:ascii="Open Sans" w:eastAsia="Calibri" w:hAnsi="Open Sans" w:cs="Open Sans"/>
          <w:sz w:val="20"/>
          <w:szCs w:val="20"/>
        </w:rPr>
      </w:pPr>
      <w:r w:rsidRPr="00BA0792">
        <w:rPr>
          <w:rFonts w:ascii="Open Sans" w:eastAsia="Calibri" w:hAnsi="Open Sans" w:cs="Open Sans"/>
          <w:sz w:val="20"/>
          <w:szCs w:val="20"/>
        </w:rPr>
        <w:t>La única información que se ha podido encontrar en relación a las compras intragrupo es que un compromiso dentro de la estrategia fiscal: “fijación de precios de mercado en todas las operaciones realizadas entre sociedades del Grupo, de conformidad con lo dispuesto en la legislación fiscal de los países involucrados en cada operación y el marco normativo internacionalmente aceptado por las Directrices de la OCDE.</w:t>
      </w:r>
    </w:p>
    <w:p w14:paraId="3D123C24" w14:textId="77777777" w:rsidR="00BA0792" w:rsidRPr="00BA0792" w:rsidRDefault="00BA0792" w:rsidP="00BA0792">
      <w:pPr>
        <w:jc w:val="both"/>
        <w:rPr>
          <w:rFonts w:ascii="Open Sans" w:hAnsi="Open Sans" w:cs="Arial"/>
          <w:bCs/>
          <w:sz w:val="20"/>
          <w:szCs w:val="20"/>
        </w:rPr>
      </w:pPr>
    </w:p>
    <w:p w14:paraId="7F99F350" w14:textId="77777777" w:rsidR="00BA0792" w:rsidRPr="00BA0792" w:rsidRDefault="00BA0792" w:rsidP="00BA0792">
      <w:pPr>
        <w:jc w:val="both"/>
        <w:rPr>
          <w:rFonts w:ascii="Open Sans" w:hAnsi="Open Sans" w:cs="Arial"/>
          <w:bCs/>
          <w:sz w:val="20"/>
          <w:szCs w:val="20"/>
        </w:rPr>
      </w:pPr>
      <w:r w:rsidRPr="00BA0792">
        <w:rPr>
          <w:rFonts w:ascii="Open Sans" w:hAnsi="Open Sans" w:cs="Arial"/>
          <w:bCs/>
          <w:sz w:val="20"/>
          <w:szCs w:val="20"/>
        </w:rPr>
        <w:t xml:space="preserve">La empresa, además, indica expresamente que las operaciones entre Inditex y sus sociedades dependientes forman parte del </w:t>
      </w:r>
      <w:proofErr w:type="gramStart"/>
      <w:r w:rsidRPr="00BA0792">
        <w:rPr>
          <w:rFonts w:ascii="Open Sans" w:hAnsi="Open Sans" w:cs="Arial"/>
          <w:bCs/>
          <w:sz w:val="20"/>
          <w:szCs w:val="20"/>
        </w:rPr>
        <w:t>trafico</w:t>
      </w:r>
      <w:proofErr w:type="gramEnd"/>
      <w:r w:rsidRPr="00BA0792">
        <w:rPr>
          <w:rFonts w:ascii="Open Sans" w:hAnsi="Open Sans" w:cs="Arial"/>
          <w:bCs/>
          <w:sz w:val="20"/>
          <w:szCs w:val="20"/>
        </w:rPr>
        <w:t xml:space="preserve"> habitual en cuanto a su objeto y condiciones y han sido totalmente eliminadas en el proceso de consolidación de las cuentas anuales</w:t>
      </w:r>
      <w:r w:rsidRPr="00BA0792">
        <w:rPr>
          <w:rStyle w:val="Refdenotaalpie"/>
          <w:rFonts w:ascii="Open Sans" w:hAnsi="Open Sans"/>
          <w:bCs/>
          <w:sz w:val="20"/>
          <w:szCs w:val="20"/>
        </w:rPr>
        <w:footnoteReference w:id="239"/>
      </w:r>
      <w:r w:rsidRPr="00BA0792">
        <w:rPr>
          <w:rFonts w:ascii="Open Sans" w:hAnsi="Open Sans" w:cs="Arial"/>
          <w:bCs/>
          <w:sz w:val="20"/>
          <w:szCs w:val="20"/>
        </w:rPr>
        <w:t>.</w:t>
      </w:r>
    </w:p>
    <w:p w14:paraId="501833C8" w14:textId="77777777" w:rsidR="00BA0792" w:rsidRDefault="00BA0792" w:rsidP="00BA0792">
      <w:pPr>
        <w:rPr>
          <w:rFonts w:ascii="Open Sans" w:hAnsi="Open Sans" w:cs="Arial"/>
          <w:sz w:val="20"/>
          <w:szCs w:val="20"/>
        </w:rPr>
      </w:pPr>
    </w:p>
    <w:p w14:paraId="4B8752E7" w14:textId="77777777" w:rsidR="00BA0792" w:rsidRPr="0024142E" w:rsidRDefault="00BA0792" w:rsidP="00BA0792">
      <w:pPr>
        <w:jc w:val="both"/>
        <w:rPr>
          <w:rFonts w:ascii="Open Sans" w:hAnsi="Open Sans" w:cs="Arial"/>
          <w:sz w:val="20"/>
          <w:szCs w:val="20"/>
        </w:rPr>
      </w:pPr>
    </w:p>
    <w:p w14:paraId="21843A31" w14:textId="77777777" w:rsidR="00BA0792" w:rsidRPr="0024142E" w:rsidRDefault="00BA0792" w:rsidP="00BA0792">
      <w:pPr>
        <w:rPr>
          <w:rFonts w:ascii="Open Sans" w:hAnsi="Open Sans" w:cs="Arial"/>
          <w:bCs/>
          <w:sz w:val="22"/>
          <w:szCs w:val="22"/>
          <w:u w:val="single"/>
        </w:rPr>
      </w:pPr>
      <w:r w:rsidRPr="0024142E">
        <w:rPr>
          <w:rFonts w:ascii="Open Sans" w:hAnsi="Open Sans" w:cs="Arial"/>
          <w:b/>
          <w:sz w:val="22"/>
          <w:szCs w:val="22"/>
          <w:u w:val="single"/>
        </w:rPr>
        <w:t>5. Conclusiones</w:t>
      </w:r>
    </w:p>
    <w:p w14:paraId="68B92E35" w14:textId="77777777" w:rsidR="00BA0792" w:rsidRDefault="00BA0792" w:rsidP="00BA0792">
      <w:pPr>
        <w:rPr>
          <w:rFonts w:ascii="Open Sans" w:hAnsi="Open Sans" w:cs="Arial"/>
          <w:bCs/>
          <w:sz w:val="22"/>
          <w:szCs w:val="22"/>
        </w:rPr>
      </w:pPr>
    </w:p>
    <w:p w14:paraId="232EA13D" w14:textId="77777777" w:rsidR="00BA0792" w:rsidRPr="00BA0792" w:rsidRDefault="00BA0792" w:rsidP="00BA0792">
      <w:pPr>
        <w:pStyle w:val="Default"/>
        <w:jc w:val="both"/>
        <w:rPr>
          <w:rFonts w:ascii="Open Sans" w:hAnsi="Open Sans" w:cs="Open Sans"/>
          <w:color w:val="auto"/>
          <w:sz w:val="20"/>
          <w:szCs w:val="20"/>
        </w:rPr>
      </w:pPr>
      <w:r w:rsidRPr="00BA0792">
        <w:rPr>
          <w:rFonts w:ascii="Open Sans" w:hAnsi="Open Sans" w:cs="Open Sans"/>
          <w:color w:val="auto"/>
          <w:sz w:val="20"/>
          <w:szCs w:val="20"/>
        </w:rPr>
        <w:t xml:space="preserve">La valoración global de la transparencia de Inditex en el ámbito fiscal es de </w:t>
      </w:r>
      <w:r w:rsidRPr="00BA0792">
        <w:rPr>
          <w:rFonts w:ascii="Open Sans" w:hAnsi="Open Sans" w:cs="Open Sans"/>
          <w:b/>
          <w:color w:val="auto"/>
          <w:sz w:val="20"/>
          <w:szCs w:val="20"/>
        </w:rPr>
        <w:t>0,46</w:t>
      </w:r>
      <w:r w:rsidRPr="00BA0792">
        <w:rPr>
          <w:rFonts w:ascii="Open Sans" w:hAnsi="Open Sans" w:cs="Open Sans"/>
          <w:color w:val="auto"/>
          <w:sz w:val="20"/>
          <w:szCs w:val="20"/>
        </w:rPr>
        <w:t xml:space="preserve"> sobre un máximo de 3, lo que equivale a una </w:t>
      </w:r>
      <w:r w:rsidRPr="00BA0792">
        <w:rPr>
          <w:rFonts w:ascii="Open Sans" w:hAnsi="Open Sans" w:cs="Open Sans"/>
          <w:i/>
          <w:color w:val="auto"/>
          <w:sz w:val="20"/>
          <w:szCs w:val="20"/>
        </w:rPr>
        <w:t>información escasa</w:t>
      </w:r>
      <w:r w:rsidRPr="00BA0792">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(0,80), seguidos de “relaciones con Administraciones Tributarias” (0,60), “paraísos y nichos fiscales” (0,29), e “impuestos e incentivos” (0,17).</w:t>
      </w:r>
    </w:p>
    <w:p w14:paraId="4EEC6FE9" w14:textId="77777777" w:rsidR="00BA0792" w:rsidRPr="00BA0792" w:rsidRDefault="00BA0792" w:rsidP="00BA0792">
      <w:pPr>
        <w:rPr>
          <w:rFonts w:ascii="Open Sans" w:hAnsi="Open Sans"/>
          <w:sz w:val="20"/>
          <w:szCs w:val="20"/>
        </w:rPr>
      </w:pPr>
    </w:p>
    <w:p w14:paraId="5F8E13CF" w14:textId="77777777" w:rsidR="00BA0792" w:rsidRPr="00BA0792" w:rsidRDefault="00BA0792" w:rsidP="00BA0792">
      <w:pPr>
        <w:jc w:val="both"/>
        <w:rPr>
          <w:rFonts w:ascii="Open Sans" w:hAnsi="Open Sans"/>
          <w:bCs/>
          <w:sz w:val="20"/>
          <w:szCs w:val="20"/>
        </w:rPr>
      </w:pPr>
      <w:r w:rsidRPr="00BA0792">
        <w:rPr>
          <w:rFonts w:ascii="Open Sans" w:hAnsi="Open Sans"/>
          <w:sz w:val="20"/>
          <w:szCs w:val="20"/>
        </w:rPr>
        <w:t xml:space="preserve">La calidad de la  información que Inditex presenta en materia de fiscalidad se encuentra estancada desde los últimos ejercicios y </w:t>
      </w:r>
      <w:r w:rsidRPr="00BA0792">
        <w:rPr>
          <w:rFonts w:ascii="Open Sans" w:hAnsi="Open Sans"/>
          <w:bCs/>
          <w:sz w:val="20"/>
          <w:szCs w:val="20"/>
        </w:rPr>
        <w:t>está muy por debajo de lo que sería de esperar de una empresa líder a nivel mundial</w:t>
      </w:r>
      <w:r w:rsidRPr="00BA0792">
        <w:rPr>
          <w:rStyle w:val="Refdenotaalpie"/>
          <w:rFonts w:ascii="Open Sans" w:hAnsi="Open Sans"/>
          <w:bCs/>
          <w:sz w:val="20"/>
          <w:szCs w:val="20"/>
        </w:rPr>
        <w:footnoteReference w:id="240"/>
      </w:r>
      <w:r w:rsidRPr="00BA0792">
        <w:rPr>
          <w:rFonts w:ascii="Open Sans" w:hAnsi="Open Sans"/>
          <w:bCs/>
          <w:sz w:val="20"/>
          <w:szCs w:val="20"/>
        </w:rPr>
        <w:t xml:space="preserve">. </w:t>
      </w:r>
    </w:p>
    <w:p w14:paraId="689AE80E" w14:textId="77777777" w:rsidR="00BA0792" w:rsidRPr="00BA0792" w:rsidRDefault="00BA0792" w:rsidP="00BA0792">
      <w:pPr>
        <w:jc w:val="both"/>
        <w:rPr>
          <w:rFonts w:ascii="Open Sans" w:hAnsi="Open Sans"/>
          <w:bCs/>
          <w:sz w:val="20"/>
          <w:szCs w:val="20"/>
        </w:rPr>
      </w:pPr>
    </w:p>
    <w:p w14:paraId="19C54498" w14:textId="77777777" w:rsidR="00BA0792" w:rsidRPr="00BA0792" w:rsidRDefault="00BA0792" w:rsidP="00BA0792">
      <w:pPr>
        <w:jc w:val="both"/>
        <w:rPr>
          <w:rFonts w:ascii="Open Sans" w:hAnsi="Open Sans"/>
          <w:bCs/>
          <w:sz w:val="20"/>
          <w:szCs w:val="20"/>
        </w:rPr>
      </w:pPr>
      <w:r w:rsidRPr="00BA0792">
        <w:rPr>
          <w:rFonts w:ascii="Open Sans" w:hAnsi="Open Sans"/>
          <w:bCs/>
          <w:sz w:val="20"/>
          <w:szCs w:val="20"/>
        </w:rPr>
        <w:t xml:space="preserve">No cabe duda de que la contribución fiscal del grupo Inditex </w:t>
      </w:r>
      <w:proofErr w:type="gramStart"/>
      <w:r w:rsidRPr="00BA0792">
        <w:rPr>
          <w:rFonts w:ascii="Open Sans" w:hAnsi="Open Sans"/>
          <w:bCs/>
          <w:sz w:val="20"/>
          <w:szCs w:val="20"/>
        </w:rPr>
        <w:t>es</w:t>
      </w:r>
      <w:proofErr w:type="gramEnd"/>
      <w:r w:rsidRPr="00BA0792">
        <w:rPr>
          <w:rFonts w:ascii="Open Sans" w:hAnsi="Open Sans"/>
          <w:bCs/>
          <w:sz w:val="20"/>
          <w:szCs w:val="20"/>
        </w:rPr>
        <w:t xml:space="preserve"> muy significativa a las agencias tributarias pero tal y como presenta la información no es posible conocer su contribución país a país.  Más allá de la exposición de compromisos de actuación en materia fiscal, Inditex no aporta detalle sobre su desempeño. Se sigue evidenciando falta de desglose de impuesto de sociedades, ventas, beneficios y número de empleados país a país, falta de información sobre su estructura societaria, datos sobre operaciones intragrupo y operaciones en paraísos fiscales. </w:t>
      </w:r>
    </w:p>
    <w:p w14:paraId="3FE53716" w14:textId="77777777" w:rsidR="00BA0792" w:rsidRPr="00BA0792" w:rsidRDefault="00BA0792" w:rsidP="00BA0792">
      <w:pPr>
        <w:jc w:val="both"/>
        <w:rPr>
          <w:rFonts w:ascii="Open Sans" w:hAnsi="Open Sans"/>
          <w:bCs/>
          <w:sz w:val="20"/>
          <w:szCs w:val="20"/>
        </w:rPr>
      </w:pPr>
    </w:p>
    <w:p w14:paraId="577F25DA" w14:textId="77777777" w:rsidR="00BA0792" w:rsidRPr="00BA0792" w:rsidRDefault="00BA0792" w:rsidP="00BA0792">
      <w:pPr>
        <w:jc w:val="both"/>
        <w:rPr>
          <w:rFonts w:ascii="Open Sans" w:hAnsi="Open Sans"/>
          <w:bCs/>
          <w:sz w:val="20"/>
          <w:szCs w:val="20"/>
        </w:rPr>
      </w:pPr>
      <w:r w:rsidRPr="00BA0792">
        <w:rPr>
          <w:rFonts w:ascii="Open Sans" w:hAnsi="Open Sans"/>
          <w:bCs/>
          <w:sz w:val="20"/>
          <w:szCs w:val="20"/>
        </w:rPr>
        <w:t xml:space="preserve">Además como se ha mencionado anteriormente, Inditex considera  dentro de sus aspectos materiales la transparencia y contribución tributaria. Si bien Inditex dedica un apartado en su memoria anual a información fiscal “Contribución tributaria 2015”, sin embargo la información que aporta sobre este asunto no responde a una verdadera rendición de cuentas, no es clara, ni precisa ni cuenta con un desglose suficiente que permita evaluar el cumplimiento de los compromisos asumidos por la compañía.  Además para determinada información (consolidación fiscal, operaciones intragrupo, estructura societaria, operativa en paraísos fiscales, litigios con administraciones tributarias, deducciones, exenciones y créditos fiscales)  es preciso acudir a la información de las Cuentas Anuales, con un lenguaje técnico y difícilmente comprensible para los no expertos en la materia. Por todas estas razones se considera que Inditex no da respuesta a la petición de sus grupos de interés de mayor transparencia y claridad en la información. </w:t>
      </w:r>
    </w:p>
    <w:p w14:paraId="43DBF463" w14:textId="77777777" w:rsidR="00BA0792" w:rsidRPr="00BA0792" w:rsidRDefault="00BA0792" w:rsidP="00BA0792">
      <w:pPr>
        <w:jc w:val="both"/>
        <w:rPr>
          <w:rFonts w:ascii="Open Sans" w:hAnsi="Open Sans"/>
          <w:bCs/>
          <w:sz w:val="20"/>
          <w:szCs w:val="20"/>
        </w:rPr>
      </w:pPr>
    </w:p>
    <w:p w14:paraId="683B4BC9" w14:textId="77777777" w:rsidR="00BA0792" w:rsidRPr="00BA0792" w:rsidRDefault="00BA0792" w:rsidP="00BA0792">
      <w:pPr>
        <w:jc w:val="both"/>
        <w:rPr>
          <w:rFonts w:ascii="Open Sans" w:hAnsi="Open Sans"/>
          <w:bCs/>
          <w:sz w:val="20"/>
          <w:szCs w:val="20"/>
        </w:rPr>
      </w:pPr>
      <w:r w:rsidRPr="00BA0792">
        <w:rPr>
          <w:rFonts w:ascii="Open Sans" w:hAnsi="Open Sans"/>
          <w:bCs/>
          <w:sz w:val="20"/>
          <w:szCs w:val="20"/>
        </w:rPr>
        <w:t>Inditex no sigue los estándares internacionales de presentación de información país a país (</w:t>
      </w:r>
      <w:r w:rsidRPr="00BA0792">
        <w:rPr>
          <w:rFonts w:ascii="Open Sans" w:hAnsi="Open Sans"/>
          <w:bCs/>
          <w:i/>
          <w:sz w:val="20"/>
          <w:szCs w:val="20"/>
        </w:rPr>
        <w:t>country by country reporting</w:t>
      </w:r>
      <w:r w:rsidRPr="00BA0792">
        <w:rPr>
          <w:rFonts w:ascii="Open Sans" w:hAnsi="Open Sans"/>
          <w:bCs/>
          <w:sz w:val="20"/>
          <w:szCs w:val="20"/>
        </w:rPr>
        <w:t>)</w:t>
      </w:r>
      <w:r w:rsidRPr="00BA0792">
        <w:rPr>
          <w:rStyle w:val="Refdenotaalpie"/>
          <w:rFonts w:ascii="Open Sans" w:hAnsi="Open Sans"/>
          <w:bCs/>
          <w:sz w:val="20"/>
          <w:szCs w:val="20"/>
        </w:rPr>
        <w:footnoteReference w:id="241"/>
      </w:r>
      <w:r w:rsidRPr="00BA0792">
        <w:rPr>
          <w:rFonts w:ascii="Open Sans" w:hAnsi="Open Sans"/>
          <w:bCs/>
          <w:sz w:val="20"/>
          <w:szCs w:val="20"/>
        </w:rPr>
        <w:t xml:space="preserve"> que promueven que la empresa presente información país a país de una sería de partidas financieras y de la actividad que realiza en los territorios donde está presente. Tampoco presenta información relevante y material como por ejemplo sobre su actividad en territorios considerados paraísos o nichos fiscales.</w:t>
      </w:r>
    </w:p>
    <w:p w14:paraId="161C164E" w14:textId="77777777" w:rsidR="00BA0792" w:rsidRDefault="00BA0792">
      <w:pPr>
        <w:rPr>
          <w:rFonts w:ascii="Open Sans" w:hAnsi="Open Sans"/>
          <w:sz w:val="20"/>
          <w:szCs w:val="20"/>
        </w:rPr>
      </w:pPr>
    </w:p>
    <w:p w14:paraId="7D869799" w14:textId="6E833CD8" w:rsidR="000158A6" w:rsidRDefault="000158A6">
      <w:pPr>
        <w:rPr>
          <w:rFonts w:ascii="Open Sans" w:hAnsi="Open Sans"/>
          <w:sz w:val="20"/>
          <w:szCs w:val="20"/>
        </w:rPr>
      </w:pPr>
      <w:r>
        <w:rPr>
          <w:rFonts w:ascii="Open Sans" w:hAnsi="Open Sans"/>
          <w:sz w:val="20"/>
          <w:szCs w:val="20"/>
        </w:rPr>
        <w:br w:type="page"/>
      </w:r>
    </w:p>
    <w:p w14:paraId="3BC2256D" w14:textId="77777777" w:rsidR="00D144D8" w:rsidRDefault="00D144D8" w:rsidP="00D144D8">
      <w:pPr>
        <w:rPr>
          <w:rFonts w:ascii="Open Sans" w:hAnsi="Open Sans"/>
          <w:sz w:val="20"/>
          <w:szCs w:val="20"/>
        </w:rPr>
      </w:pPr>
    </w:p>
    <w:p w14:paraId="0C34AFB3" w14:textId="77777777" w:rsidR="00B52432" w:rsidRPr="00604DB1" w:rsidRDefault="00B52432" w:rsidP="00DF20C0">
      <w:pPr>
        <w:rPr>
          <w:rFonts w:ascii="Open Sans" w:hAnsi="Open Sans" w:cs="Open Sans"/>
          <w:sz w:val="20"/>
          <w:szCs w:val="20"/>
        </w:rPr>
      </w:pPr>
    </w:p>
    <w:p w14:paraId="73038EFD" w14:textId="44781BA4" w:rsidR="00A112C7" w:rsidRPr="004206F5" w:rsidRDefault="00841317" w:rsidP="009349A9">
      <w:pPr>
        <w:pStyle w:val="Titulo3-informefinal"/>
        <w:rPr>
          <w:i/>
        </w:rPr>
      </w:pPr>
      <w:bookmarkStart w:id="69" w:name="_Toc254282538"/>
      <w:bookmarkStart w:id="70" w:name="_Toc354061524"/>
      <w:r>
        <w:t>5</w:t>
      </w:r>
      <w:r w:rsidR="00A112C7" w:rsidRPr="004206F5">
        <w:t>.2. Empresas del sector Materiales Básicos, Industria y Construcción</w:t>
      </w:r>
      <w:bookmarkEnd w:id="69"/>
      <w:bookmarkEnd w:id="70"/>
    </w:p>
    <w:p w14:paraId="1D3F4DFF" w14:textId="55B1594A" w:rsidR="008A66F5" w:rsidRPr="004206F5" w:rsidRDefault="008A66F5" w:rsidP="009178F4">
      <w:pPr>
        <w:spacing w:line="360" w:lineRule="auto"/>
        <w:jc w:val="both"/>
        <w:outlineLvl w:val="4"/>
        <w:rPr>
          <w:rFonts w:ascii="Open Sans" w:hAnsi="Open Sans" w:cs="Arial"/>
          <w:b/>
          <w:caps/>
        </w:rPr>
      </w:pPr>
    </w:p>
    <w:p w14:paraId="74FC38D3" w14:textId="20A001C3" w:rsidR="00DF20C0"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ACCIONA, S.A.</w:t>
      </w:r>
    </w:p>
    <w:p w14:paraId="66833A37" w14:textId="0B21E235" w:rsidR="00B60D9F" w:rsidRPr="00B60D9F" w:rsidRDefault="00B60D9F" w:rsidP="00B60D9F">
      <w:pPr>
        <w:numPr>
          <w:ilvl w:val="0"/>
          <w:numId w:val="2"/>
        </w:numPr>
        <w:tabs>
          <w:tab w:val="clear" w:pos="0"/>
        </w:tabs>
        <w:spacing w:line="360" w:lineRule="auto"/>
        <w:ind w:left="567"/>
        <w:jc w:val="both"/>
        <w:outlineLvl w:val="4"/>
        <w:rPr>
          <w:rFonts w:ascii="Open Sans" w:hAnsi="Open Sans" w:cs="Arial"/>
          <w:b/>
          <w:caps/>
        </w:rPr>
      </w:pPr>
      <w:r>
        <w:rPr>
          <w:rFonts w:ascii="Open Sans" w:hAnsi="Open Sans" w:cs="Arial"/>
          <w:b/>
          <w:caps/>
        </w:rPr>
        <w:t>ACERINOX, S.A.</w:t>
      </w:r>
    </w:p>
    <w:p w14:paraId="70961F79" w14:textId="77777777" w:rsidR="00DF20C0" w:rsidRPr="004206F5"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ACTIVIDADES DE CONSTRUCCIONES Y SERVICIOS, SA. (GRUPO ACS)</w:t>
      </w:r>
    </w:p>
    <w:p w14:paraId="4A425C3E" w14:textId="31CE725E" w:rsidR="00DF20C0" w:rsidRPr="004206F5" w:rsidRDefault="001C5777" w:rsidP="00C140CD">
      <w:pPr>
        <w:numPr>
          <w:ilvl w:val="0"/>
          <w:numId w:val="2"/>
        </w:numPr>
        <w:tabs>
          <w:tab w:val="clear" w:pos="0"/>
        </w:tabs>
        <w:spacing w:line="360" w:lineRule="auto"/>
        <w:ind w:left="567"/>
        <w:jc w:val="both"/>
        <w:outlineLvl w:val="4"/>
        <w:rPr>
          <w:rFonts w:ascii="Open Sans" w:hAnsi="Open Sans" w:cs="Arial"/>
          <w:b/>
          <w:caps/>
        </w:rPr>
      </w:pPr>
      <w:r>
        <w:rPr>
          <w:rFonts w:ascii="Open Sans" w:hAnsi="Open Sans" w:cs="Arial"/>
          <w:b/>
          <w:caps/>
        </w:rPr>
        <w:t>ARCELOR</w:t>
      </w:r>
      <w:r w:rsidR="00DF20C0" w:rsidRPr="004206F5">
        <w:rPr>
          <w:rFonts w:ascii="Open Sans" w:hAnsi="Open Sans" w:cs="Arial"/>
          <w:b/>
          <w:caps/>
        </w:rPr>
        <w:t>MITTAL</w:t>
      </w:r>
    </w:p>
    <w:p w14:paraId="6ED996F4" w14:textId="77777777" w:rsidR="00DF20C0" w:rsidRPr="004206F5"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FOMENTO DE CONSTRUCCIONES Y CONTRATAS, S.A. (FCC)</w:t>
      </w:r>
    </w:p>
    <w:p w14:paraId="2C810614" w14:textId="277DFF4D" w:rsidR="00DF20C0" w:rsidRPr="004206F5"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FERROVIAL, S.A.</w:t>
      </w:r>
    </w:p>
    <w:p w14:paraId="56841D4E" w14:textId="77777777" w:rsidR="00DF20C0" w:rsidRPr="004206F5"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OBRASCÓN HUARTE LAIN, S.A. (OHL)</w:t>
      </w:r>
    </w:p>
    <w:p w14:paraId="017E0A6E" w14:textId="40FB9CBB" w:rsidR="00DF20C0" w:rsidRPr="004206F5"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SACYR, S.A.</w:t>
      </w:r>
    </w:p>
    <w:p w14:paraId="33C66F64" w14:textId="2950068D" w:rsidR="004C6977" w:rsidRPr="004206F5" w:rsidRDefault="00DF20C0" w:rsidP="00C140CD">
      <w:pPr>
        <w:numPr>
          <w:ilvl w:val="0"/>
          <w:numId w:val="2"/>
        </w:numPr>
        <w:tabs>
          <w:tab w:val="clear" w:pos="0"/>
        </w:tabs>
        <w:spacing w:line="360" w:lineRule="auto"/>
        <w:ind w:left="567"/>
        <w:jc w:val="both"/>
        <w:outlineLvl w:val="4"/>
        <w:rPr>
          <w:rFonts w:ascii="Open Sans" w:hAnsi="Open Sans" w:cs="Arial"/>
          <w:b/>
          <w:caps/>
        </w:rPr>
      </w:pPr>
      <w:r w:rsidRPr="004206F5">
        <w:rPr>
          <w:rFonts w:ascii="Open Sans" w:hAnsi="Open Sans" w:cs="Arial"/>
          <w:b/>
          <w:caps/>
        </w:rPr>
        <w:t>TÉCNICAS REUNIDAS S.A.</w:t>
      </w:r>
    </w:p>
    <w:p w14:paraId="7E18058B" w14:textId="77777777" w:rsidR="004C6977" w:rsidRDefault="004C6977">
      <w:pPr>
        <w:rPr>
          <w:rFonts w:ascii="Arial" w:hAnsi="Arial" w:cs="Arial"/>
          <w:b/>
          <w:caps/>
        </w:rPr>
      </w:pPr>
      <w:r>
        <w:rPr>
          <w:rFonts w:ascii="Arial" w:hAnsi="Arial" w:cs="Arial"/>
          <w:b/>
          <w:caps/>
        </w:rPr>
        <w:br w:type="page"/>
      </w:r>
    </w:p>
    <w:p w14:paraId="07F378EF" w14:textId="77777777" w:rsidR="007A07D5" w:rsidRDefault="007A07D5" w:rsidP="007A07D5">
      <w:pPr>
        <w:pBdr>
          <w:top w:val="single" w:sz="4" w:space="1" w:color="auto"/>
          <w:left w:val="single" w:sz="4" w:space="4" w:color="auto"/>
          <w:bottom w:val="single" w:sz="4" w:space="1" w:color="auto"/>
          <w:right w:val="single" w:sz="4" w:space="4" w:color="auto"/>
        </w:pBdr>
        <w:shd w:val="clear" w:color="auto" w:fill="000080"/>
        <w:ind w:left="708" w:hanging="708"/>
        <w:jc w:val="center"/>
        <w:outlineLvl w:val="4"/>
        <w:rPr>
          <w:rFonts w:ascii="Open Sans" w:hAnsi="Open Sans" w:cs="Arial"/>
          <w:b/>
          <w:caps/>
          <w:color w:val="FFFFFF"/>
        </w:rPr>
      </w:pPr>
      <w:bookmarkStart w:id="71" w:name="Acciona"/>
      <w:r>
        <w:rPr>
          <w:rFonts w:ascii="Open Sans" w:hAnsi="Open Sans" w:cs="Arial"/>
          <w:b/>
          <w:caps/>
          <w:color w:val="FFFFFF"/>
        </w:rPr>
        <w:t>ACCIONA S.A.</w:t>
      </w:r>
      <w:bookmarkEnd w:id="71"/>
    </w:p>
    <w:p w14:paraId="2273236C" w14:textId="77777777" w:rsidR="007A07D5" w:rsidRDefault="007A07D5" w:rsidP="007A07D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cs="Arial"/>
          <w:b/>
          <w:i/>
          <w:color w:val="FFFFFF"/>
        </w:rPr>
        <w:t>(Acciona)</w:t>
      </w:r>
    </w:p>
    <w:p w14:paraId="36229B5C" w14:textId="77777777" w:rsidR="007A07D5" w:rsidRDefault="007A07D5" w:rsidP="007A07D5">
      <w:pPr>
        <w:spacing w:before="120" w:after="120" w:line="360" w:lineRule="auto"/>
        <w:ind w:left="708"/>
        <w:jc w:val="both"/>
        <w:rPr>
          <w:rFonts w:ascii="Open Sans" w:hAnsi="Open Sans" w:cs="Open Sans"/>
          <w:b/>
          <w:bCs/>
          <w:color w:val="002060"/>
          <w:sz w:val="20"/>
          <w:szCs w:val="20"/>
        </w:rPr>
      </w:pPr>
    </w:p>
    <w:p w14:paraId="095BF26F" w14:textId="77777777" w:rsidR="00B96A46" w:rsidRPr="00B31EB8" w:rsidRDefault="00B96A46" w:rsidP="00B96A46">
      <w:pPr>
        <w:jc w:val="both"/>
        <w:outlineLvl w:val="5"/>
        <w:rPr>
          <w:rFonts w:ascii="Open Sans" w:hAnsi="Open Sans" w:cs="Open Sans"/>
          <w:b/>
          <w:sz w:val="22"/>
          <w:szCs w:val="22"/>
          <w:u w:val="single"/>
        </w:rPr>
      </w:pPr>
      <w:r w:rsidRPr="00B31EB8">
        <w:rPr>
          <w:rFonts w:ascii="Open Sans" w:hAnsi="Open Sans" w:cs="Open Sans"/>
          <w:b/>
          <w:sz w:val="22"/>
          <w:szCs w:val="22"/>
          <w:u w:val="single"/>
        </w:rPr>
        <w:t>1. Datos generales de la entidad</w:t>
      </w:r>
    </w:p>
    <w:p w14:paraId="2770499E" w14:textId="77777777" w:rsidR="00B96A46" w:rsidRPr="00B31EB8" w:rsidRDefault="00B96A46" w:rsidP="00B96A46">
      <w:pPr>
        <w:jc w:val="both"/>
        <w:rPr>
          <w:rFonts w:ascii="Open Sans" w:hAnsi="Open Sans" w:cs="Open Sans"/>
          <w:sz w:val="20"/>
          <w:szCs w:val="20"/>
          <w:u w:val="single"/>
        </w:rPr>
      </w:pPr>
    </w:p>
    <w:p w14:paraId="19C4FC35"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u w:val="single"/>
        </w:rPr>
        <w:t>Productos/servicios</w:t>
      </w:r>
    </w:p>
    <w:p w14:paraId="350C2D82" w14:textId="77777777" w:rsidR="00B96A46" w:rsidRPr="00B31EB8" w:rsidRDefault="00B96A46" w:rsidP="00B96A46">
      <w:pPr>
        <w:jc w:val="both"/>
        <w:rPr>
          <w:rFonts w:ascii="Open Sans" w:hAnsi="Open Sans" w:cs="Open Sans"/>
          <w:sz w:val="20"/>
          <w:szCs w:val="20"/>
        </w:rPr>
      </w:pPr>
    </w:p>
    <w:p w14:paraId="2F3AAD2B" w14:textId="77777777" w:rsidR="00B96A46" w:rsidRPr="00B31EB8" w:rsidRDefault="00B96A46" w:rsidP="00B96A46">
      <w:pPr>
        <w:ind w:left="708" w:hanging="708"/>
        <w:jc w:val="both"/>
        <w:rPr>
          <w:rFonts w:ascii="Open Sans" w:hAnsi="Open Sans" w:cs="Open Sans"/>
          <w:sz w:val="20"/>
          <w:szCs w:val="20"/>
        </w:rPr>
      </w:pPr>
      <w:r w:rsidRPr="00B31EB8">
        <w:rPr>
          <w:rFonts w:ascii="Open Sans" w:hAnsi="Open Sans" w:cs="Open Sans"/>
          <w:sz w:val="20"/>
          <w:szCs w:val="20"/>
        </w:rPr>
        <w:t>De acuerdo con el documento de las Cuentas Anuales e Informe de Gestión consolidados ejercicio 2015 de Acciona S.A. y sociedades dependientes (en adelante Acciona), las actividades del Grupo son las siguientes:</w:t>
      </w:r>
    </w:p>
    <w:p w14:paraId="79121565"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w:t>
      </w:r>
    </w:p>
    <w:p w14:paraId="45CBCE89"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Acciona Energía: que incluye el negocio eléctrico en sus distintas actividades industriales y comerciales, abarcando desde la construcción de parques eólicos a la generación, distribución y comercialización de las distintas fuentes de energía. </w:t>
      </w:r>
    </w:p>
    <w:p w14:paraId="36BF2793" w14:textId="77777777" w:rsidR="00B96A46" w:rsidRPr="00B31EB8" w:rsidRDefault="00B96A46" w:rsidP="00B96A46">
      <w:pPr>
        <w:jc w:val="both"/>
        <w:rPr>
          <w:rFonts w:ascii="Open Sans" w:hAnsi="Open Sans" w:cs="Open Sans"/>
          <w:sz w:val="20"/>
          <w:szCs w:val="20"/>
        </w:rPr>
      </w:pPr>
    </w:p>
    <w:p w14:paraId="5E5E0905"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Acciona Construcción de infraestructuras: que incluye las actividades de construcción, ingeniería y las concesiones de transporte y de hospitales, principalmente. </w:t>
      </w:r>
    </w:p>
    <w:p w14:paraId="588CDDC1" w14:textId="77777777" w:rsidR="00B96A46" w:rsidRPr="00B31EB8" w:rsidRDefault="00B96A46" w:rsidP="00B96A46">
      <w:pPr>
        <w:jc w:val="both"/>
        <w:rPr>
          <w:rFonts w:ascii="Open Sans" w:hAnsi="Open Sans" w:cs="Open Sans"/>
          <w:sz w:val="20"/>
          <w:szCs w:val="20"/>
        </w:rPr>
      </w:pPr>
    </w:p>
    <w:p w14:paraId="2F242642"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Acciona Agua: que incluye las actividades de construcción de plantas desaladoras, de tratamiento de aguas y potabilizadoras así como la gestión del ciclo integral del agua, actividad que abarca desde la captación, potabilización incluyendo la desalinización, hasta la depuración y retorno al medio ambiente del agua. Asimismo opera concesiones de servicios relacionados con el ciclo integral agua. </w:t>
      </w:r>
    </w:p>
    <w:p w14:paraId="18DC7018" w14:textId="77777777" w:rsidR="00B96A46" w:rsidRPr="00B31EB8" w:rsidRDefault="00B96A46" w:rsidP="00B96A46">
      <w:pPr>
        <w:jc w:val="both"/>
        <w:rPr>
          <w:rFonts w:ascii="Open Sans" w:hAnsi="Open Sans" w:cs="Open Sans"/>
          <w:sz w:val="20"/>
          <w:szCs w:val="20"/>
        </w:rPr>
      </w:pPr>
    </w:p>
    <w:p w14:paraId="5BC51272"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Acciona Servicios: que incluye las actividades facility services, handling aeroportuario, recogida y tratamiento de residuos y servicios logísticos, entre otros. </w:t>
      </w:r>
    </w:p>
    <w:p w14:paraId="3261956D" w14:textId="77777777" w:rsidR="00B96A46" w:rsidRPr="00B31EB8" w:rsidRDefault="00B96A46" w:rsidP="00B96A46">
      <w:pPr>
        <w:jc w:val="both"/>
        <w:rPr>
          <w:rFonts w:ascii="Open Sans" w:hAnsi="Open Sans" w:cs="Open Sans"/>
          <w:sz w:val="20"/>
          <w:szCs w:val="20"/>
        </w:rPr>
      </w:pPr>
    </w:p>
    <w:p w14:paraId="64AE53A8"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Otras actividades: que incluye los negocios relativos a la gestión de fondos e intermediación bursátil, la producción de vinos, así como la actividad del subgrupo Acciona Trasmediterránea, el negocio inmobiliario, y otras participaciones.</w:t>
      </w:r>
    </w:p>
    <w:p w14:paraId="0ECC44CD" w14:textId="77777777" w:rsidR="00B96A46" w:rsidRPr="00B31EB8" w:rsidRDefault="00B96A46" w:rsidP="00B96A46">
      <w:pPr>
        <w:jc w:val="both"/>
        <w:rPr>
          <w:rFonts w:ascii="Open Sans" w:hAnsi="Open Sans" w:cs="Open Sans"/>
          <w:sz w:val="20"/>
          <w:szCs w:val="20"/>
          <w:u w:val="single"/>
        </w:rPr>
      </w:pPr>
    </w:p>
    <w:p w14:paraId="4D782E1C"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u w:val="single"/>
        </w:rPr>
        <w:t xml:space="preserve">Alcance geográfico </w:t>
      </w:r>
    </w:p>
    <w:p w14:paraId="168DC682" w14:textId="77777777" w:rsidR="00B96A46" w:rsidRPr="00B31EB8" w:rsidRDefault="00B96A46" w:rsidP="00B96A46">
      <w:pPr>
        <w:jc w:val="both"/>
        <w:rPr>
          <w:rFonts w:ascii="Open Sans" w:hAnsi="Open Sans" w:cs="Open Sans"/>
          <w:sz w:val="20"/>
          <w:szCs w:val="20"/>
        </w:rPr>
      </w:pPr>
    </w:p>
    <w:p w14:paraId="58053700"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Acciona opera o tiene presencia en los siguientes países: </w:t>
      </w:r>
    </w:p>
    <w:p w14:paraId="5B1BE9AB" w14:textId="77777777" w:rsidR="00B96A46" w:rsidRPr="00B31EB8" w:rsidRDefault="00B96A46" w:rsidP="00B96A46">
      <w:pPr>
        <w:jc w:val="both"/>
        <w:rPr>
          <w:rFonts w:ascii="Open Sans" w:hAnsi="Open Sans" w:cs="Open Sans"/>
          <w:sz w:val="20"/>
          <w:szCs w:val="20"/>
        </w:rPr>
      </w:pPr>
    </w:p>
    <w:p w14:paraId="58E029D3"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África: Argelia, Gabón, Marruecos, Sudáfrica. </w:t>
      </w:r>
    </w:p>
    <w:p w14:paraId="2AB1624A"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América: Brasil, Canadá, Chile, Colombia, Costa Rica, Ecuador, EE.UU., El Salvador, México, Panamá, Perú, República Dominicana, Venezuela y Argentina. </w:t>
      </w:r>
    </w:p>
    <w:p w14:paraId="7214742A"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Asia: Arabia Saudí, Catar, China, Emiratos Árabes Unidos, India, Hong Kong, Singapur, Filipinas y Corea del Sur.</w:t>
      </w:r>
    </w:p>
    <w:p w14:paraId="15B973CF"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 Europa: Alemania, Croacia, España, Grecia, Bélgica, Italia, Malta, Polonia, Gibraltar (UK), Portugal, Francia, Suiza, Eslovenia, Holanda, Hungría, Rumanía, Reino Unido y Suecia. </w:t>
      </w:r>
    </w:p>
    <w:p w14:paraId="069C8C1E"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Oceanía: Australia.</w:t>
      </w:r>
    </w:p>
    <w:p w14:paraId="3EB80C0D" w14:textId="77777777" w:rsidR="00B96A46" w:rsidRPr="00B31EB8" w:rsidRDefault="00B96A46" w:rsidP="00B96A46">
      <w:pPr>
        <w:jc w:val="both"/>
        <w:rPr>
          <w:rFonts w:ascii="Open Sans" w:hAnsi="Open Sans" w:cs="Open Sans"/>
          <w:sz w:val="20"/>
          <w:szCs w:val="20"/>
        </w:rPr>
      </w:pPr>
    </w:p>
    <w:p w14:paraId="35B32E8F"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br w:type="page"/>
      </w:r>
    </w:p>
    <w:p w14:paraId="360DE3A4" w14:textId="77777777" w:rsidR="00B96A46" w:rsidRPr="00B31EB8" w:rsidRDefault="00B96A46" w:rsidP="00B96A46">
      <w:pPr>
        <w:jc w:val="both"/>
        <w:rPr>
          <w:rFonts w:ascii="Open Sans" w:hAnsi="Open Sans" w:cs="Open Sans"/>
          <w:sz w:val="20"/>
          <w:szCs w:val="20"/>
          <w:u w:val="single"/>
        </w:rPr>
      </w:pPr>
      <w:r w:rsidRPr="00B31EB8">
        <w:rPr>
          <w:rFonts w:ascii="Open Sans" w:hAnsi="Open Sans" w:cs="Open Sans"/>
          <w:sz w:val="20"/>
          <w:szCs w:val="20"/>
          <w:u w:val="single"/>
        </w:rPr>
        <w:t>Cifras relevantes de la empresa:</w:t>
      </w:r>
    </w:p>
    <w:p w14:paraId="4DE2CD30" w14:textId="77777777" w:rsidR="00B96A46" w:rsidRPr="00B31EB8" w:rsidRDefault="00B96A46" w:rsidP="00B96A46">
      <w:pPr>
        <w:jc w:val="both"/>
        <w:rPr>
          <w:rFonts w:ascii="Open Sans" w:hAnsi="Open Sans" w:cs="Open Sans"/>
          <w:sz w:val="20"/>
          <w:szCs w:val="20"/>
          <w:u w:val="single"/>
        </w:rPr>
      </w:pPr>
    </w:p>
    <w:p w14:paraId="10E696A3"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ha obtenido una facturación en 2015 de 6.544 millones de euros lo que le ha generado unos beneficios antes de impuestos al grupo consolidado de 318.563 miles de euros. Al 31 de diciembre de 2015 el grupo cuenta con un total de 31.876 empleados.</w:t>
      </w:r>
    </w:p>
    <w:p w14:paraId="792DA9C7" w14:textId="77777777" w:rsidR="00B96A46" w:rsidRPr="00B31EB8" w:rsidRDefault="00B96A46" w:rsidP="00B96A46">
      <w:pPr>
        <w:jc w:val="both"/>
        <w:rPr>
          <w:rFonts w:ascii="Open Sans" w:hAnsi="Open Sans" w:cs="Open Sans"/>
          <w:sz w:val="20"/>
          <w:szCs w:val="20"/>
          <w:u w:val="single"/>
        </w:rPr>
      </w:pPr>
    </w:p>
    <w:p w14:paraId="67D72AD5" w14:textId="77777777" w:rsidR="00B96A46" w:rsidRPr="00B31EB8" w:rsidRDefault="00B96A46" w:rsidP="00B96A46">
      <w:pPr>
        <w:jc w:val="both"/>
        <w:rPr>
          <w:rFonts w:ascii="Open Sans" w:hAnsi="Open Sans" w:cs="Open Sans"/>
          <w:sz w:val="20"/>
          <w:szCs w:val="20"/>
          <w:u w:val="single"/>
        </w:rPr>
      </w:pPr>
    </w:p>
    <w:p w14:paraId="44930AD1" w14:textId="77777777" w:rsidR="00B96A46" w:rsidRPr="00B31EB8" w:rsidRDefault="00B96A46" w:rsidP="00B96A46">
      <w:pPr>
        <w:jc w:val="both"/>
        <w:rPr>
          <w:rFonts w:ascii="Open Sans" w:hAnsi="Open Sans" w:cs="Open Sans"/>
          <w:sz w:val="20"/>
          <w:szCs w:val="20"/>
          <w:u w:val="single"/>
        </w:rPr>
      </w:pPr>
      <w:r w:rsidRPr="00B31EB8">
        <w:rPr>
          <w:rFonts w:ascii="Open Sans" w:hAnsi="Open Sans" w:cs="Open Sans"/>
          <w:sz w:val="20"/>
          <w:szCs w:val="20"/>
          <w:u w:val="single"/>
        </w:rPr>
        <w:t>Estándares voluntarios relacionados con fiscalidad responsable</w:t>
      </w:r>
    </w:p>
    <w:p w14:paraId="5812BACF" w14:textId="77777777" w:rsidR="00B96A46" w:rsidRPr="00B31EB8" w:rsidRDefault="00B96A46" w:rsidP="00B96A46">
      <w:pPr>
        <w:jc w:val="both"/>
        <w:rPr>
          <w:rFonts w:ascii="Open Sans" w:hAnsi="Open Sans" w:cs="Open Sans"/>
          <w:sz w:val="20"/>
          <w:szCs w:val="20"/>
          <w:u w:val="single"/>
        </w:rPr>
      </w:pPr>
    </w:p>
    <w:p w14:paraId="61956A98"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informa que se ha adherido voluntariamente a los siguientes estándares relacionados con contenidos y sistemas de gestión de fiscalidad responsable:</w:t>
      </w:r>
    </w:p>
    <w:p w14:paraId="3C27296D" w14:textId="77777777" w:rsidR="00B96A46" w:rsidRPr="00B31EB8" w:rsidRDefault="00B96A46" w:rsidP="00B96A46">
      <w:pPr>
        <w:jc w:val="both"/>
        <w:rPr>
          <w:rFonts w:ascii="Open Sans" w:hAnsi="Open Sans" w:cs="Open Sans"/>
          <w:sz w:val="20"/>
          <w:szCs w:val="20"/>
        </w:rPr>
      </w:pPr>
    </w:p>
    <w:p w14:paraId="456D1D21" w14:textId="77777777" w:rsidR="00B96A46" w:rsidRPr="00B31EB8" w:rsidRDefault="00B96A46" w:rsidP="00B96A46">
      <w:pPr>
        <w:numPr>
          <w:ilvl w:val="0"/>
          <w:numId w:val="17"/>
        </w:numPr>
        <w:jc w:val="both"/>
        <w:rPr>
          <w:rFonts w:ascii="Open Sans" w:hAnsi="Open Sans" w:cs="Open Sans"/>
          <w:sz w:val="20"/>
          <w:szCs w:val="20"/>
        </w:rPr>
      </w:pPr>
      <w:r w:rsidRPr="00B31EB8">
        <w:rPr>
          <w:rFonts w:ascii="Open Sans" w:hAnsi="Open Sans" w:cs="Open Sans"/>
          <w:sz w:val="20"/>
          <w:szCs w:val="20"/>
        </w:rPr>
        <w:t>Código de Buenas Prácticas Tributarias de la Agencia Tributaria.</w:t>
      </w:r>
    </w:p>
    <w:p w14:paraId="06034F5D" w14:textId="77777777" w:rsidR="00B96A46" w:rsidRPr="00B31EB8" w:rsidRDefault="00B96A46" w:rsidP="00B96A46">
      <w:pPr>
        <w:jc w:val="both"/>
        <w:rPr>
          <w:rFonts w:ascii="Open Sans" w:hAnsi="Open Sans" w:cs="Open Sans"/>
          <w:sz w:val="20"/>
          <w:szCs w:val="20"/>
          <w:u w:val="single"/>
        </w:rPr>
      </w:pPr>
    </w:p>
    <w:p w14:paraId="48084421" w14:textId="77777777" w:rsidR="00B96A46" w:rsidRPr="00B31EB8" w:rsidRDefault="00B96A46" w:rsidP="00B96A46">
      <w:pPr>
        <w:jc w:val="both"/>
        <w:rPr>
          <w:rFonts w:ascii="Open Sans" w:hAnsi="Open Sans" w:cs="Open Sans"/>
          <w:sz w:val="20"/>
          <w:szCs w:val="20"/>
          <w:u w:val="single"/>
        </w:rPr>
      </w:pPr>
    </w:p>
    <w:p w14:paraId="002A7950" w14:textId="77777777" w:rsidR="00B96A46" w:rsidRPr="00B31EB8" w:rsidRDefault="00B96A46" w:rsidP="00B96A46">
      <w:pPr>
        <w:jc w:val="both"/>
        <w:rPr>
          <w:rFonts w:ascii="Open Sans" w:hAnsi="Open Sans" w:cs="Open Sans"/>
          <w:sz w:val="20"/>
          <w:szCs w:val="20"/>
          <w:u w:val="single"/>
        </w:rPr>
      </w:pPr>
      <w:r w:rsidRPr="00B31EB8">
        <w:rPr>
          <w:rFonts w:ascii="Open Sans" w:hAnsi="Open Sans" w:cs="Open Sans"/>
          <w:sz w:val="20"/>
          <w:szCs w:val="20"/>
          <w:u w:val="single"/>
        </w:rPr>
        <w:t>Documentos incluidos en el análisis</w:t>
      </w:r>
    </w:p>
    <w:p w14:paraId="787CA4F0" w14:textId="77777777" w:rsidR="00B96A46" w:rsidRPr="00B31EB8" w:rsidRDefault="00B96A46" w:rsidP="00B96A46">
      <w:pPr>
        <w:ind w:firstLine="709"/>
        <w:jc w:val="both"/>
        <w:rPr>
          <w:rFonts w:ascii="Open Sans" w:hAnsi="Open Sans" w:cs="Open Sans"/>
          <w:sz w:val="20"/>
          <w:szCs w:val="20"/>
        </w:rPr>
      </w:pPr>
    </w:p>
    <w:p w14:paraId="60D071D7"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37AC277D" w14:textId="77777777" w:rsidR="00B96A46" w:rsidRPr="00B31EB8" w:rsidRDefault="00B96A46" w:rsidP="00B96A46">
      <w:pPr>
        <w:ind w:firstLine="709"/>
        <w:jc w:val="both"/>
        <w:rPr>
          <w:rFonts w:ascii="Open Sans" w:hAnsi="Open Sans" w:cs="Open Sans"/>
          <w:sz w:val="20"/>
          <w:szCs w:val="20"/>
        </w:rPr>
      </w:pPr>
    </w:p>
    <w:tbl>
      <w:tblPr>
        <w:tblW w:w="8660" w:type="dxa"/>
        <w:tblLayout w:type="fixed"/>
        <w:tblCellMar>
          <w:left w:w="0" w:type="dxa"/>
          <w:right w:w="0" w:type="dxa"/>
        </w:tblCellMar>
        <w:tblLook w:val="0000" w:firstRow="0" w:lastRow="0" w:firstColumn="0" w:lastColumn="0" w:noHBand="0" w:noVBand="0"/>
      </w:tblPr>
      <w:tblGrid>
        <w:gridCol w:w="4549"/>
        <w:gridCol w:w="4111"/>
      </w:tblGrid>
      <w:tr w:rsidR="00B96A46" w:rsidRPr="00B31EB8" w14:paraId="36289D71" w14:textId="77777777" w:rsidTr="006E3A41">
        <w:trPr>
          <w:trHeight w:val="327"/>
        </w:trPr>
        <w:tc>
          <w:tcPr>
            <w:tcW w:w="4549"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6273ACD7" w14:textId="77777777" w:rsidR="00B96A46" w:rsidRPr="00B31EB8" w:rsidRDefault="00B96A46" w:rsidP="006E3A41">
            <w:pPr>
              <w:jc w:val="center"/>
              <w:rPr>
                <w:rFonts w:ascii="Open Sans" w:hAnsi="Open Sans" w:cs="Open Sans"/>
                <w:b/>
                <w:sz w:val="20"/>
                <w:szCs w:val="20"/>
              </w:rPr>
            </w:pPr>
            <w:r w:rsidRPr="00B31EB8">
              <w:rPr>
                <w:rFonts w:ascii="Open Sans" w:hAnsi="Open Sans" w:cs="Open Sans"/>
                <w:b/>
                <w:sz w:val="20"/>
                <w:szCs w:val="20"/>
              </w:rPr>
              <w:t>DOCUMENTACIÓN</w:t>
            </w:r>
          </w:p>
        </w:tc>
        <w:tc>
          <w:tcPr>
            <w:tcW w:w="4111"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0ABAAA6C" w14:textId="77777777" w:rsidR="00B96A46" w:rsidRPr="00B31EB8" w:rsidRDefault="00B96A46" w:rsidP="006E3A41">
            <w:pPr>
              <w:jc w:val="center"/>
              <w:rPr>
                <w:rFonts w:ascii="Open Sans" w:hAnsi="Open Sans" w:cs="Open Sans"/>
                <w:b/>
                <w:sz w:val="20"/>
                <w:szCs w:val="20"/>
              </w:rPr>
            </w:pPr>
            <w:r w:rsidRPr="00B31EB8">
              <w:rPr>
                <w:rFonts w:ascii="Open Sans" w:hAnsi="Open Sans" w:cs="Open Sans"/>
                <w:b/>
                <w:sz w:val="20"/>
                <w:szCs w:val="20"/>
              </w:rPr>
              <w:t>OBSERVACIONES</w:t>
            </w:r>
          </w:p>
        </w:tc>
      </w:tr>
      <w:tr w:rsidR="00B96A46" w:rsidRPr="00B31EB8" w14:paraId="2FBE3F7D" w14:textId="77777777" w:rsidTr="006E3A41">
        <w:trPr>
          <w:trHeight w:val="315"/>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4F2CD855" w14:textId="77777777" w:rsidR="00B96A46" w:rsidRPr="00B31EB8" w:rsidRDefault="00B96A46" w:rsidP="006E3A41">
            <w:pPr>
              <w:rPr>
                <w:rFonts w:ascii="Open Sans" w:eastAsia="Arial Unicode MS" w:hAnsi="Open Sans" w:cs="Open Sans"/>
                <w:sz w:val="20"/>
                <w:szCs w:val="20"/>
              </w:rPr>
            </w:pPr>
            <w:r w:rsidRPr="00B31EB8">
              <w:rPr>
                <w:rFonts w:ascii="Open Sans" w:eastAsia="Arial Unicode MS" w:hAnsi="Open Sans" w:cs="Open Sans"/>
                <w:sz w:val="20"/>
                <w:szCs w:val="20"/>
              </w:rPr>
              <w:t>Cuentas anuales e informe de gestión 2015</w:t>
            </w:r>
          </w:p>
        </w:tc>
        <w:tc>
          <w:tcPr>
            <w:tcW w:w="411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06741E62" w14:textId="77777777" w:rsidR="00B96A46" w:rsidRPr="00B31EB8" w:rsidRDefault="00B96A46" w:rsidP="006E3A41">
            <w:pPr>
              <w:jc w:val="both"/>
              <w:rPr>
                <w:rFonts w:ascii="Open Sans" w:eastAsia="Arial Unicode MS" w:hAnsi="Open Sans" w:cs="Open Sans"/>
                <w:sz w:val="20"/>
                <w:szCs w:val="20"/>
              </w:rPr>
            </w:pPr>
          </w:p>
        </w:tc>
      </w:tr>
      <w:tr w:rsidR="00B96A46" w:rsidRPr="00B31EB8" w14:paraId="73502F09" w14:textId="77777777" w:rsidTr="006E3A41">
        <w:trPr>
          <w:trHeight w:val="300"/>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096667E" w14:textId="77777777" w:rsidR="00B96A46" w:rsidRPr="00B31EB8" w:rsidRDefault="00B96A46" w:rsidP="006E3A41">
            <w:pPr>
              <w:rPr>
                <w:rFonts w:ascii="Open Sans" w:eastAsia="Arial Unicode MS" w:hAnsi="Open Sans" w:cs="Open Sans"/>
                <w:sz w:val="20"/>
                <w:szCs w:val="20"/>
              </w:rPr>
            </w:pPr>
            <w:r w:rsidRPr="00B31EB8">
              <w:rPr>
                <w:rFonts w:ascii="Open Sans" w:eastAsia="Arial Unicode MS" w:hAnsi="Open Sans" w:cs="Open Sans"/>
                <w:sz w:val="20"/>
                <w:szCs w:val="20"/>
              </w:rPr>
              <w:t>Memoria de sostenibilidad 2015</w:t>
            </w:r>
          </w:p>
        </w:tc>
        <w:tc>
          <w:tcPr>
            <w:tcW w:w="411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4E6BF93" w14:textId="77777777" w:rsidR="00B96A46" w:rsidRPr="00B31EB8" w:rsidRDefault="00B96A46" w:rsidP="006E3A41">
            <w:pPr>
              <w:jc w:val="both"/>
              <w:rPr>
                <w:rFonts w:ascii="Open Sans" w:eastAsia="Arial Unicode MS" w:hAnsi="Open Sans" w:cs="Open Sans"/>
                <w:sz w:val="20"/>
                <w:szCs w:val="20"/>
              </w:rPr>
            </w:pPr>
          </w:p>
        </w:tc>
      </w:tr>
      <w:tr w:rsidR="00B96A46" w:rsidRPr="00B31EB8" w14:paraId="4DCF374C" w14:textId="77777777" w:rsidTr="006E3A41">
        <w:trPr>
          <w:trHeight w:val="264"/>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62954CB" w14:textId="77777777" w:rsidR="00B96A46" w:rsidRPr="00B31EB8" w:rsidRDefault="00B96A46" w:rsidP="006E3A41">
            <w:pPr>
              <w:rPr>
                <w:rFonts w:ascii="Open Sans" w:eastAsia="Arial Unicode MS" w:hAnsi="Open Sans" w:cs="Open Sans"/>
                <w:sz w:val="20"/>
                <w:szCs w:val="20"/>
              </w:rPr>
            </w:pPr>
            <w:r w:rsidRPr="00B31EB8">
              <w:rPr>
                <w:rFonts w:ascii="Open Sans" w:eastAsia="Arial Unicode MS" w:hAnsi="Open Sans" w:cs="Open Sans"/>
                <w:sz w:val="20"/>
                <w:szCs w:val="20"/>
              </w:rPr>
              <w:t>Estrategia fiscal acciona</w:t>
            </w:r>
          </w:p>
        </w:tc>
        <w:tc>
          <w:tcPr>
            <w:tcW w:w="411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AA6D892" w14:textId="77777777" w:rsidR="00B96A46" w:rsidRPr="00B31EB8" w:rsidRDefault="00B96A46" w:rsidP="006E3A41">
            <w:pPr>
              <w:jc w:val="both"/>
              <w:rPr>
                <w:rFonts w:ascii="Open Sans" w:eastAsia="Arial Unicode MS" w:hAnsi="Open Sans" w:cs="Open Sans"/>
                <w:sz w:val="20"/>
                <w:szCs w:val="20"/>
              </w:rPr>
            </w:pPr>
          </w:p>
        </w:tc>
      </w:tr>
      <w:tr w:rsidR="00B96A46" w:rsidRPr="00B31EB8" w14:paraId="79027DF4" w14:textId="77777777" w:rsidTr="006E3A41">
        <w:trPr>
          <w:trHeight w:val="270"/>
        </w:trPr>
        <w:tc>
          <w:tcPr>
            <w:tcW w:w="4549"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21894BC8"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Informe de Gobierno Corporativo Acciona 2015</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2B2D0416" w14:textId="77777777" w:rsidR="00B96A46" w:rsidRPr="00B31EB8" w:rsidRDefault="00B96A46" w:rsidP="006E3A41">
            <w:pPr>
              <w:jc w:val="both"/>
              <w:rPr>
                <w:rFonts w:ascii="Open Sans" w:eastAsia="Arial Unicode MS" w:hAnsi="Open Sans" w:cs="Open Sans"/>
                <w:sz w:val="20"/>
                <w:szCs w:val="20"/>
              </w:rPr>
            </w:pPr>
          </w:p>
        </w:tc>
      </w:tr>
      <w:tr w:rsidR="00B96A46" w:rsidRPr="00B31EB8" w14:paraId="3718D926" w14:textId="77777777" w:rsidTr="006E3A41">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FA70228"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Otras fuentes como bases de datos de empresas registradas o informes aparecidos en medios de comunicación</w:t>
            </w:r>
          </w:p>
        </w:tc>
        <w:tc>
          <w:tcPr>
            <w:tcW w:w="4111"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750AB6EF" w14:textId="77777777" w:rsidR="00B96A46" w:rsidRPr="00B31EB8" w:rsidRDefault="00B96A46" w:rsidP="006E3A41">
            <w:pPr>
              <w:jc w:val="both"/>
              <w:rPr>
                <w:rFonts w:ascii="Open Sans" w:eastAsia="Arial Unicode MS" w:hAnsi="Open Sans" w:cs="Open Sans"/>
                <w:sz w:val="20"/>
                <w:szCs w:val="20"/>
              </w:rPr>
            </w:pPr>
          </w:p>
        </w:tc>
      </w:tr>
    </w:tbl>
    <w:p w14:paraId="4F4F570D" w14:textId="77777777" w:rsidR="00B96A46" w:rsidRPr="00B31EB8" w:rsidRDefault="00B96A46" w:rsidP="00B96A46">
      <w:pPr>
        <w:jc w:val="both"/>
        <w:rPr>
          <w:rFonts w:ascii="Open Sans" w:hAnsi="Open Sans" w:cs="Open Sans"/>
          <w:b/>
          <w:sz w:val="20"/>
          <w:szCs w:val="20"/>
        </w:rPr>
      </w:pPr>
    </w:p>
    <w:p w14:paraId="66674D6B" w14:textId="77777777" w:rsidR="00B96A46" w:rsidRPr="00B31EB8" w:rsidRDefault="00B96A46" w:rsidP="00B96A46">
      <w:pPr>
        <w:jc w:val="both"/>
        <w:rPr>
          <w:rFonts w:ascii="Open Sans" w:hAnsi="Open Sans" w:cs="Open Sans"/>
          <w:b/>
          <w:sz w:val="20"/>
          <w:szCs w:val="20"/>
        </w:rPr>
      </w:pPr>
    </w:p>
    <w:p w14:paraId="2411ECDF" w14:textId="77777777" w:rsidR="00B96A46" w:rsidRPr="00B31EB8" w:rsidRDefault="00B96A46" w:rsidP="00B96A46">
      <w:pPr>
        <w:jc w:val="both"/>
        <w:rPr>
          <w:rFonts w:ascii="Open Sans" w:hAnsi="Open Sans" w:cs="Open Sans"/>
          <w:b/>
          <w:sz w:val="22"/>
          <w:szCs w:val="22"/>
          <w:u w:val="single"/>
        </w:rPr>
      </w:pPr>
      <w:r w:rsidRPr="00B31EB8">
        <w:rPr>
          <w:rFonts w:ascii="Open Sans" w:hAnsi="Open Sans" w:cs="Open Sans"/>
          <w:b/>
          <w:sz w:val="22"/>
          <w:szCs w:val="22"/>
          <w:u w:val="single"/>
        </w:rPr>
        <w:t>2. Tabla de resultados</w:t>
      </w:r>
    </w:p>
    <w:p w14:paraId="5EB8E92C" w14:textId="77777777" w:rsidR="00B96A46" w:rsidRPr="00B31EB8" w:rsidRDefault="00B96A46" w:rsidP="00B96A46">
      <w:pPr>
        <w:jc w:val="both"/>
        <w:rPr>
          <w:rFonts w:ascii="Open Sans" w:hAnsi="Open Sans" w:cs="Open Sans"/>
          <w:b/>
          <w:sz w:val="22"/>
          <w:szCs w:val="22"/>
          <w:u w:val="single"/>
        </w:rPr>
      </w:pPr>
    </w:p>
    <w:p w14:paraId="76D625BB" w14:textId="77777777" w:rsidR="00B96A46" w:rsidRPr="00B31EB8" w:rsidRDefault="00B96A46" w:rsidP="00B96A46">
      <w:pPr>
        <w:jc w:val="center"/>
        <w:rPr>
          <w:rFonts w:ascii="Open Sans" w:hAnsi="Open Sans" w:cs="Open Sans"/>
          <w:b/>
          <w:color w:val="FF0000"/>
          <w:sz w:val="20"/>
          <w:szCs w:val="20"/>
        </w:rPr>
      </w:pPr>
    </w:p>
    <w:p w14:paraId="10727497" w14:textId="77777777" w:rsidR="00B96A46" w:rsidRPr="00B31EB8" w:rsidRDefault="00B96A46" w:rsidP="00B96A46">
      <w:pPr>
        <w:suppressAutoHyphens/>
        <w:jc w:val="center"/>
        <w:rPr>
          <w:rFonts w:ascii="Open Sans" w:hAnsi="Open Sans" w:cs="Arial"/>
          <w:b/>
          <w:sz w:val="20"/>
          <w:szCs w:val="22"/>
          <w:u w:val="single"/>
          <w:lang w:eastAsia="ar-SA"/>
        </w:rPr>
      </w:pPr>
      <w:r w:rsidRPr="00B31EB8">
        <w:rPr>
          <w:rFonts w:ascii="Open Sans" w:hAnsi="Open Sans" w:cs="Arial"/>
          <w:b/>
          <w:sz w:val="20"/>
          <w:szCs w:val="22"/>
          <w:u w:val="single"/>
          <w:lang w:eastAsia="ar-SA"/>
        </w:rPr>
        <w:t>TABLA 1: Valoraciones por dimensión</w:t>
      </w:r>
    </w:p>
    <w:p w14:paraId="11EF8FDD" w14:textId="77777777" w:rsidR="00B96A46" w:rsidRPr="00B31EB8" w:rsidRDefault="00B96A46" w:rsidP="00B96A46">
      <w:pPr>
        <w:rPr>
          <w:rFonts w:ascii="Open Sans" w:hAnsi="Open Sans" w:cs="Arial"/>
          <w:b/>
        </w:rPr>
      </w:pPr>
    </w:p>
    <w:p w14:paraId="2E6EBDF2" w14:textId="031AEC8F" w:rsidR="00B96A46" w:rsidRPr="00B31EB8" w:rsidRDefault="00B96A46" w:rsidP="00B96A46">
      <w:pPr>
        <w:jc w:val="center"/>
        <w:rPr>
          <w:rFonts w:ascii="Open Sans" w:hAnsi="Open Sans"/>
        </w:rPr>
      </w:pPr>
      <w:r>
        <w:rPr>
          <w:rFonts w:ascii="Open Sans" w:hAnsi="Open Sans"/>
          <w:noProof/>
          <w:lang w:val="es-ES"/>
        </w:rPr>
        <w:drawing>
          <wp:inline distT="0" distB="0" distL="0" distR="0" wp14:anchorId="62F5C38D" wp14:editId="0596BE9B">
            <wp:extent cx="3683000" cy="1828800"/>
            <wp:effectExtent l="0" t="0" r="0"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a:ext>
                      </a:extLst>
                    </a:blip>
                    <a:srcRect/>
                    <a:stretch>
                      <a:fillRect/>
                    </a:stretch>
                  </pic:blipFill>
                  <pic:spPr bwMode="auto">
                    <a:xfrm>
                      <a:off x="0" y="0"/>
                      <a:ext cx="3683000" cy="1828800"/>
                    </a:xfrm>
                    <a:prstGeom prst="rect">
                      <a:avLst/>
                    </a:prstGeom>
                    <a:noFill/>
                    <a:ln>
                      <a:noFill/>
                    </a:ln>
                  </pic:spPr>
                </pic:pic>
              </a:graphicData>
            </a:graphic>
          </wp:inline>
        </w:drawing>
      </w:r>
    </w:p>
    <w:p w14:paraId="6979AA47" w14:textId="77777777" w:rsidR="00B96A46" w:rsidRPr="00B31EB8" w:rsidRDefault="00B96A46" w:rsidP="00B96A46">
      <w:pPr>
        <w:jc w:val="center"/>
        <w:rPr>
          <w:rFonts w:ascii="Open Sans" w:hAnsi="Open Sans" w:cs="Open Sans"/>
          <w:b/>
          <w:sz w:val="20"/>
          <w:szCs w:val="20"/>
        </w:rPr>
      </w:pPr>
    </w:p>
    <w:p w14:paraId="7B865CED" w14:textId="3AF1E28B" w:rsidR="00B96A46" w:rsidRDefault="00B96A46">
      <w:pPr>
        <w:rPr>
          <w:rFonts w:ascii="Open Sans" w:hAnsi="Open Sans" w:cs="Open Sans"/>
          <w:b/>
          <w:sz w:val="20"/>
          <w:szCs w:val="20"/>
        </w:rPr>
      </w:pPr>
      <w:r>
        <w:rPr>
          <w:rFonts w:ascii="Open Sans" w:hAnsi="Open Sans" w:cs="Open Sans"/>
          <w:b/>
          <w:sz w:val="20"/>
          <w:szCs w:val="20"/>
        </w:rPr>
        <w:br w:type="page"/>
      </w:r>
    </w:p>
    <w:p w14:paraId="6C8CCD6F" w14:textId="77777777" w:rsidR="00B96A46" w:rsidRPr="00B31EB8" w:rsidRDefault="00B96A46" w:rsidP="00B96A46">
      <w:pPr>
        <w:jc w:val="center"/>
        <w:rPr>
          <w:rFonts w:ascii="Open Sans" w:hAnsi="Open Sans" w:cs="Open Sans"/>
          <w:b/>
          <w:sz w:val="20"/>
          <w:szCs w:val="20"/>
        </w:rPr>
      </w:pPr>
    </w:p>
    <w:p w14:paraId="6CA7E8F4" w14:textId="77777777" w:rsidR="00B96A46" w:rsidRPr="00B31EB8" w:rsidRDefault="00B96A46" w:rsidP="00B96A46">
      <w:pPr>
        <w:jc w:val="center"/>
        <w:rPr>
          <w:rFonts w:ascii="Open Sans" w:hAnsi="Open Sans" w:cs="Open Sans"/>
          <w:b/>
          <w:sz w:val="20"/>
          <w:szCs w:val="20"/>
        </w:rPr>
      </w:pPr>
    </w:p>
    <w:p w14:paraId="00A0D866" w14:textId="77777777" w:rsidR="00B96A46" w:rsidRPr="00B31EB8" w:rsidRDefault="00B96A46" w:rsidP="00B96A46">
      <w:pPr>
        <w:jc w:val="both"/>
        <w:rPr>
          <w:rFonts w:ascii="Open Sans" w:hAnsi="Open Sans" w:cs="Open Sans"/>
          <w:b/>
          <w:sz w:val="22"/>
          <w:szCs w:val="22"/>
        </w:rPr>
      </w:pPr>
      <w:r w:rsidRPr="00B31EB8">
        <w:rPr>
          <w:rFonts w:ascii="Open Sans" w:hAnsi="Open Sans" w:cs="Open Sans"/>
          <w:b/>
          <w:sz w:val="22"/>
          <w:szCs w:val="22"/>
          <w:u w:val="single"/>
        </w:rPr>
        <w:t>3. Contexto general</w:t>
      </w:r>
    </w:p>
    <w:p w14:paraId="359A68FE" w14:textId="77777777" w:rsidR="00B96A46" w:rsidRPr="00B31EB8" w:rsidRDefault="00B96A46" w:rsidP="00B96A46">
      <w:pPr>
        <w:jc w:val="both"/>
        <w:rPr>
          <w:rFonts w:ascii="Open Sans" w:hAnsi="Open Sans" w:cs="Open Sans"/>
          <w:b/>
          <w:sz w:val="20"/>
          <w:szCs w:val="20"/>
        </w:rPr>
      </w:pPr>
    </w:p>
    <w:p w14:paraId="7FBAAAFE"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 xml:space="preserve">Acciona cuenta con una capitalización a diciembre de 2015 de 4.528 millones de euros con una revalorización de las acciones de más de un 40% durante el ejercicio. Ha obtenido unos ingresos durante el periodo analizado de 6.544 millones de euros, de los que el  42% corresponde a la división de energía, el 51% a la de infraestructuras y el 7% restante a “otras actividades” entre las que se encuentra inmobiliario, servicios financieros a través de Bestinver, transmediterránea y producción y comercialización de vino. El EBITDA se situó en los 1.174 millones a diciembre de 2015. La energía aporta el 76% del Etbida, las infraestructuras el 14% y otras actividades el 10%. En el sector de la energía trabaja exclusivamente con energías renovables. El área de infraestructuras distingue entre construcción, principalmente obra civil (Túneles, puertos, puentes, carreteras…) agua (captación del agua, potabilización, desalación, depuración) y servicios. Acciona es líder mundial en proveedor de energía renovable. </w:t>
      </w:r>
    </w:p>
    <w:p w14:paraId="373ECBF5" w14:textId="77777777" w:rsidR="00B96A46" w:rsidRPr="00B31EB8" w:rsidRDefault="00B96A46" w:rsidP="00B96A46">
      <w:pPr>
        <w:autoSpaceDE w:val="0"/>
        <w:autoSpaceDN w:val="0"/>
        <w:adjustRightInd w:val="0"/>
        <w:rPr>
          <w:rFonts w:ascii="Open Sans" w:hAnsi="Open Sans" w:cs="Open Sans"/>
          <w:sz w:val="20"/>
          <w:szCs w:val="20"/>
        </w:rPr>
      </w:pPr>
    </w:p>
    <w:p w14:paraId="7F234F3D"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La deuda financiera neta de Acciona alcanza los 5.159 millones de euros a 31 de diciembre de 2015.</w:t>
      </w:r>
    </w:p>
    <w:p w14:paraId="08A3E42E" w14:textId="77777777" w:rsidR="00B96A46" w:rsidRPr="00B31EB8" w:rsidRDefault="00B96A46" w:rsidP="00B96A46">
      <w:pPr>
        <w:autoSpaceDE w:val="0"/>
        <w:autoSpaceDN w:val="0"/>
        <w:adjustRightInd w:val="0"/>
        <w:rPr>
          <w:rFonts w:ascii="Open Sans" w:hAnsi="Open Sans" w:cs="Open Sans"/>
          <w:sz w:val="20"/>
          <w:szCs w:val="20"/>
        </w:rPr>
      </w:pPr>
    </w:p>
    <w:p w14:paraId="1275667F"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La evasión fiscal en la industria de la construcción se manifiesta como un problema significativo en diversos países. En México y Ecuador de acuerdo con diversos estudios las tasas de evasión en el sector de la construcción  superan el 50%</w:t>
      </w:r>
      <w:r w:rsidRPr="00B31EB8">
        <w:rPr>
          <w:rStyle w:val="Refdenotaalpie"/>
          <w:rFonts w:ascii="Open Sans" w:hAnsi="Open Sans" w:cs="Open Sans"/>
          <w:sz w:val="20"/>
          <w:szCs w:val="20"/>
        </w:rPr>
        <w:footnoteReference w:id="242"/>
      </w:r>
      <w:r w:rsidRPr="00B31EB8">
        <w:rPr>
          <w:rFonts w:ascii="Open Sans" w:hAnsi="Open Sans" w:cs="Open Sans"/>
          <w:sz w:val="20"/>
          <w:szCs w:val="20"/>
        </w:rPr>
        <w:t>. La agencia tributaria española señala al sector de la construcción como uno de los sectores clave en el fraude y evasión fiscal transfronteriza</w:t>
      </w:r>
      <w:r w:rsidRPr="00B31EB8">
        <w:rPr>
          <w:rStyle w:val="Refdenotaalpie"/>
          <w:rFonts w:ascii="Open Sans" w:hAnsi="Open Sans" w:cs="Open Sans"/>
          <w:sz w:val="20"/>
          <w:szCs w:val="20"/>
        </w:rPr>
        <w:footnoteReference w:id="243"/>
      </w:r>
      <w:r w:rsidRPr="00B31EB8">
        <w:rPr>
          <w:rFonts w:ascii="Open Sans" w:hAnsi="Open Sans" w:cs="Open Sans"/>
          <w:sz w:val="20"/>
          <w:szCs w:val="20"/>
        </w:rPr>
        <w:t xml:space="preserve">. </w:t>
      </w:r>
    </w:p>
    <w:p w14:paraId="3CE9C8F0" w14:textId="77777777" w:rsidR="00B96A46" w:rsidRPr="00B31EB8" w:rsidRDefault="00B96A46" w:rsidP="00B96A46">
      <w:pPr>
        <w:autoSpaceDE w:val="0"/>
        <w:autoSpaceDN w:val="0"/>
        <w:adjustRightInd w:val="0"/>
        <w:jc w:val="both"/>
        <w:rPr>
          <w:rFonts w:ascii="Open Sans" w:hAnsi="Open Sans" w:cs="Open Sans"/>
          <w:sz w:val="20"/>
          <w:szCs w:val="20"/>
        </w:rPr>
      </w:pPr>
    </w:p>
    <w:p w14:paraId="6FCE7EDE"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El sector de la construcción ligado a obra civil tiene una íntima relación con la Administración Pública lo que implica una exposición de riesgo elevado en materia de corrupción. Acciona mantiene un  fuerte volumen de contratación con diversas Administraciones Públicas. Acciona es una de las principales beneficiaria de contratos con la Administración Pública</w:t>
      </w:r>
      <w:r w:rsidRPr="00B31EB8">
        <w:rPr>
          <w:rFonts w:ascii="Open Sans" w:hAnsi="Open Sans" w:cs="Open Sans"/>
          <w:sz w:val="20"/>
          <w:szCs w:val="20"/>
          <w:vertAlign w:val="superscript"/>
        </w:rPr>
        <w:footnoteReference w:id="244"/>
      </w:r>
      <w:r w:rsidRPr="00B31EB8">
        <w:rPr>
          <w:rFonts w:ascii="Open Sans" w:hAnsi="Open Sans" w:cs="Open Sans"/>
          <w:sz w:val="20"/>
          <w:szCs w:val="20"/>
        </w:rPr>
        <w:t xml:space="preserve"> española y opera en países con elevado riesgo de corrupción de acuerdo con el Índice de percepción de la corrupción de Transparencia Internacional como Venezuela, China, India, Argelia, Marruecos, Gabón, Sudáfrica, México y El Salvador, entre otros</w:t>
      </w:r>
      <w:r w:rsidRPr="00B31EB8">
        <w:rPr>
          <w:rStyle w:val="Refdenotaalpie"/>
          <w:rFonts w:ascii="Open Sans" w:hAnsi="Open Sans" w:cs="Open Sans"/>
          <w:sz w:val="20"/>
          <w:szCs w:val="20"/>
        </w:rPr>
        <w:footnoteReference w:id="245"/>
      </w:r>
      <w:r w:rsidRPr="00B31EB8">
        <w:rPr>
          <w:rFonts w:ascii="Open Sans" w:hAnsi="Open Sans" w:cs="Open Sans"/>
          <w:sz w:val="20"/>
          <w:szCs w:val="20"/>
        </w:rPr>
        <w:t>.</w:t>
      </w:r>
    </w:p>
    <w:p w14:paraId="5FE60920" w14:textId="77777777" w:rsidR="00B96A46" w:rsidRPr="00B31EB8" w:rsidRDefault="00B96A46" w:rsidP="00B96A46">
      <w:pPr>
        <w:autoSpaceDE w:val="0"/>
        <w:autoSpaceDN w:val="0"/>
        <w:adjustRightInd w:val="0"/>
        <w:jc w:val="both"/>
        <w:rPr>
          <w:rFonts w:ascii="Open Sans" w:hAnsi="Open Sans" w:cs="Open Sans"/>
          <w:sz w:val="20"/>
          <w:szCs w:val="20"/>
        </w:rPr>
      </w:pPr>
    </w:p>
    <w:p w14:paraId="16F901D8"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El sector inmobiliario agrupa un conjunto de actividades de promoción y explotación de bienes inmuebles en las que intervienen diversos agentes en distintas etapas.  De acuerdo con la agencia tributaria el fraude inmobiliario tiene carácter estructural</w:t>
      </w:r>
      <w:r w:rsidRPr="00B31EB8">
        <w:rPr>
          <w:rStyle w:val="Refdenotaalpie"/>
          <w:rFonts w:ascii="Open Sans" w:hAnsi="Open Sans" w:cs="Open Sans"/>
          <w:sz w:val="20"/>
          <w:szCs w:val="20"/>
        </w:rPr>
        <w:footnoteReference w:id="246"/>
      </w:r>
      <w:r w:rsidRPr="00B31EB8">
        <w:rPr>
          <w:rFonts w:ascii="Open Sans" w:hAnsi="Open Sans" w:cs="Open Sans"/>
          <w:sz w:val="20"/>
          <w:szCs w:val="20"/>
        </w:rPr>
        <w:t>. En el sector inmobiliario las tipologías de fraude más habituales consisten en la ocultación de la titularidad de los bienes o de la intervención del operador económico en el proceso urbanístico, la declaración de transmisiones por valores inferiores a los reales. Se trata de un sector idóneo para blanquear dinero oculto a la hacienda pública y por otro lado es propicio a generar dinero negro por la ocultación de las ganancias reales. En relación al sector eléctrico son varios los casos sonados de desvío de beneficios u  ocultación de pérdidas a través de paraísos fiscales y el uso de la distorsión de precios</w:t>
      </w:r>
      <w:r w:rsidRPr="00B31EB8">
        <w:rPr>
          <w:rStyle w:val="Refdenotaalpie"/>
          <w:rFonts w:ascii="Open Sans" w:hAnsi="Open Sans" w:cs="Open Sans"/>
          <w:sz w:val="20"/>
          <w:szCs w:val="20"/>
        </w:rPr>
        <w:footnoteReference w:id="247"/>
      </w:r>
      <w:r w:rsidRPr="00B31EB8">
        <w:rPr>
          <w:rFonts w:ascii="Open Sans" w:hAnsi="Open Sans" w:cs="Open Sans"/>
          <w:sz w:val="20"/>
          <w:szCs w:val="20"/>
        </w:rPr>
        <w:t xml:space="preserve"> así como fraude con el IVA</w:t>
      </w:r>
      <w:r w:rsidRPr="00B31EB8">
        <w:rPr>
          <w:rStyle w:val="Refdenotaalpie"/>
          <w:rFonts w:ascii="Open Sans" w:hAnsi="Open Sans" w:cs="Open Sans"/>
          <w:sz w:val="20"/>
          <w:szCs w:val="20"/>
        </w:rPr>
        <w:footnoteReference w:id="248"/>
      </w:r>
      <w:r w:rsidRPr="00B31EB8">
        <w:rPr>
          <w:rFonts w:ascii="Open Sans" w:hAnsi="Open Sans" w:cs="Open Sans"/>
          <w:sz w:val="20"/>
          <w:szCs w:val="20"/>
        </w:rPr>
        <w:t xml:space="preserve">. </w:t>
      </w:r>
    </w:p>
    <w:p w14:paraId="69C8808D" w14:textId="77777777" w:rsidR="00B96A46" w:rsidRPr="00B31EB8" w:rsidRDefault="00B96A46" w:rsidP="00B96A46">
      <w:pPr>
        <w:autoSpaceDE w:val="0"/>
        <w:autoSpaceDN w:val="0"/>
        <w:adjustRightInd w:val="0"/>
        <w:rPr>
          <w:rFonts w:ascii="Open Sans" w:hAnsi="Open Sans" w:cs="Open Sans"/>
          <w:sz w:val="20"/>
          <w:szCs w:val="20"/>
        </w:rPr>
      </w:pPr>
    </w:p>
    <w:p w14:paraId="4BF88D32"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asume un compromiso explícito con la sostenibilidad. Cuenta con una estrategia de sostenibilidad que se materializa en el Plan Director de Sostenibilidad 2015 de la Compañía. Este plan "parte de unos principios y propósitos claros y se plasma en compromisos y objetivos concretos, que se pueden medir y evaluar. El Plan establece las políticas, los objetivos y las líneas de trabajo a desarrollar hasta 2015 en nueve áreas de trabajo: Innovación, Entorno, Sociedad, Personas, Círculo de Valor, Buen Gobierno, Grupos de Interés, Difusión y Liderazgo y Rendición de Cuentas"</w:t>
      </w:r>
      <w:r w:rsidRPr="00B31EB8">
        <w:rPr>
          <w:rStyle w:val="Refdenotaalpie"/>
          <w:rFonts w:ascii="Open Sans" w:hAnsi="Open Sans" w:cs="Open Sans"/>
          <w:sz w:val="20"/>
          <w:szCs w:val="20"/>
        </w:rPr>
        <w:footnoteReference w:id="249"/>
      </w:r>
      <w:r w:rsidRPr="00B31EB8">
        <w:rPr>
          <w:rFonts w:ascii="Open Sans" w:hAnsi="Open Sans" w:cs="Open Sans"/>
          <w:sz w:val="20"/>
          <w:szCs w:val="20"/>
        </w:rPr>
        <w:t xml:space="preserve"> . En el Plan 2020 menciona como una línea de actuación “adoptar políticas para mejorar la transparencia fiscal”</w:t>
      </w:r>
      <w:r w:rsidRPr="00B31EB8">
        <w:rPr>
          <w:rStyle w:val="Refdenotaalpie"/>
          <w:rFonts w:ascii="Open Sans" w:hAnsi="Open Sans" w:cs="Open Sans"/>
          <w:sz w:val="20"/>
          <w:szCs w:val="20"/>
        </w:rPr>
        <w:footnoteReference w:id="250"/>
      </w:r>
      <w:r w:rsidRPr="00B31EB8">
        <w:rPr>
          <w:rFonts w:ascii="Open Sans" w:hAnsi="Open Sans" w:cs="Open Sans"/>
          <w:sz w:val="20"/>
          <w:szCs w:val="20"/>
        </w:rPr>
        <w:t xml:space="preserve">. </w:t>
      </w:r>
    </w:p>
    <w:p w14:paraId="194D8731" w14:textId="77777777" w:rsidR="00B96A46" w:rsidRPr="00B31EB8" w:rsidRDefault="00B96A46" w:rsidP="00B96A46">
      <w:pPr>
        <w:jc w:val="both"/>
        <w:rPr>
          <w:rFonts w:ascii="Open Sans" w:hAnsi="Open Sans" w:cs="Open Sans"/>
          <w:sz w:val="20"/>
          <w:szCs w:val="20"/>
        </w:rPr>
      </w:pPr>
    </w:p>
    <w:p w14:paraId="4E4815FA"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En materia de fiscalidad Acciona cuenta con varios compromisos relacionados con la transparencia y con la fiscalidad responsable. Estos compromisos se encuentran recogidos en una estrategia fiscal. Además asume las líneas directrices para empresas multinacionales que hacen alusión a la fiscalidad responsable.</w:t>
      </w:r>
    </w:p>
    <w:p w14:paraId="3E7FF3FC" w14:textId="77777777" w:rsidR="00B96A46" w:rsidRPr="00B31EB8" w:rsidRDefault="00B96A46" w:rsidP="00B96A46">
      <w:pPr>
        <w:jc w:val="both"/>
        <w:rPr>
          <w:rFonts w:ascii="Open Sans" w:hAnsi="Open Sans" w:cs="Open Sans"/>
          <w:sz w:val="20"/>
          <w:szCs w:val="20"/>
        </w:rPr>
      </w:pPr>
    </w:p>
    <w:p w14:paraId="4DBFCE0F"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cuenta con presencia en los principales índices de sostenibilidad: DJSI World, FTSE4Good, MSCI Global Climate Index, The Climate “A” list del CDP, STOXX Global Climate Change Leaders Index, entre otros. 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B31EB8">
        <w:rPr>
          <w:rStyle w:val="Refdenotaalpie"/>
          <w:rFonts w:ascii="Open Sans" w:hAnsi="Open Sans" w:cs="Open Sans"/>
          <w:sz w:val="20"/>
          <w:szCs w:val="20"/>
        </w:rPr>
        <w:footnoteReference w:id="251"/>
      </w:r>
    </w:p>
    <w:p w14:paraId="5250E22D" w14:textId="77777777" w:rsidR="00B96A46" w:rsidRPr="00B31EB8" w:rsidRDefault="00B96A46" w:rsidP="00B96A46">
      <w:pPr>
        <w:jc w:val="both"/>
        <w:rPr>
          <w:rFonts w:ascii="Open Sans" w:hAnsi="Open Sans" w:cs="Open Sans"/>
          <w:sz w:val="20"/>
          <w:szCs w:val="20"/>
        </w:rPr>
      </w:pPr>
    </w:p>
    <w:p w14:paraId="0401B231" w14:textId="70B21920" w:rsidR="00B96A46" w:rsidRDefault="00B96A46">
      <w:pPr>
        <w:rPr>
          <w:rFonts w:ascii="Open Sans" w:hAnsi="Open Sans" w:cs="Open Sans"/>
          <w:sz w:val="20"/>
          <w:szCs w:val="20"/>
        </w:rPr>
      </w:pPr>
      <w:r>
        <w:rPr>
          <w:rFonts w:ascii="Open Sans" w:hAnsi="Open Sans" w:cs="Open Sans"/>
          <w:sz w:val="20"/>
          <w:szCs w:val="20"/>
        </w:rPr>
        <w:br w:type="page"/>
      </w:r>
    </w:p>
    <w:p w14:paraId="7B7ADFED" w14:textId="77777777" w:rsidR="00B96A46" w:rsidRPr="00B31EB8" w:rsidRDefault="00B96A46" w:rsidP="00B96A46">
      <w:pPr>
        <w:jc w:val="both"/>
        <w:rPr>
          <w:rFonts w:ascii="Open Sans" w:hAnsi="Open Sans" w:cs="Open Sans"/>
          <w:sz w:val="20"/>
          <w:szCs w:val="20"/>
        </w:rPr>
      </w:pPr>
    </w:p>
    <w:p w14:paraId="501DAD1C" w14:textId="77777777" w:rsidR="00B96A46" w:rsidRPr="00B31EB8" w:rsidRDefault="00B96A46" w:rsidP="00B96A46">
      <w:pPr>
        <w:jc w:val="both"/>
        <w:rPr>
          <w:rFonts w:ascii="Open Sans" w:hAnsi="Open Sans" w:cs="Open Sans"/>
          <w:b/>
          <w:sz w:val="22"/>
          <w:szCs w:val="22"/>
          <w:u w:val="single"/>
        </w:rPr>
      </w:pPr>
      <w:r w:rsidRPr="00B31EB8">
        <w:rPr>
          <w:rFonts w:ascii="Open Sans" w:hAnsi="Open Sans" w:cs="Open Sans"/>
          <w:b/>
          <w:sz w:val="22"/>
          <w:szCs w:val="22"/>
          <w:u w:val="single"/>
        </w:rPr>
        <w:t>4. Análisis</w:t>
      </w:r>
    </w:p>
    <w:p w14:paraId="1D86E490" w14:textId="77777777" w:rsidR="00B96A46" w:rsidRPr="00B31EB8" w:rsidRDefault="00B96A46" w:rsidP="00B96A46">
      <w:pPr>
        <w:jc w:val="both"/>
        <w:rPr>
          <w:rFonts w:ascii="Open Sans" w:hAnsi="Open Sans" w:cs="Open Sans"/>
          <w:b/>
          <w:sz w:val="20"/>
          <w:szCs w:val="20"/>
        </w:rPr>
      </w:pPr>
    </w:p>
    <w:p w14:paraId="5AFB3689"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726817E2" w14:textId="77777777" w:rsidR="00B96A46" w:rsidRPr="00B31EB8" w:rsidRDefault="00B96A46" w:rsidP="00B96A46">
      <w:pPr>
        <w:jc w:val="both"/>
        <w:rPr>
          <w:rFonts w:ascii="Open Sans" w:hAnsi="Open Sans" w:cs="Open Sans"/>
          <w:sz w:val="20"/>
          <w:szCs w:val="20"/>
        </w:rPr>
      </w:pPr>
    </w:p>
    <w:p w14:paraId="1E692B72"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Con respecto a la presencia territorial de Acciona, el grupo cuenta con 49 sociedades domiciliadas en países y territorios considerados paraíso, una sociedad conforme la normativa española, o nicho fiscal cuarenta y ocho sociedades de acuerdo con la metodología del Observatorio de RSC. La presencia de empresas internacionales en territorios considerados paraísos o nichos fiscales 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 Acciona ofrece en su web un directorio con información de contacto y direcciones de su sede corporativa y sus dos  líneas de negocio principales: energía e infraestructuras que al mismo tiempo la subdivide en construcción, agua, concesiones, industrial y servicios. No obstante, al entrar en los directorios de empresas de estas webs, sólo se ofrece información relativa a domicilio social e información de contacto de un número limitado de empresas, no pudiendo acceder a un listado exhaustivo con información relevante sobre sus actividades. </w:t>
      </w:r>
    </w:p>
    <w:p w14:paraId="43B46F15" w14:textId="77777777" w:rsidR="00B96A46" w:rsidRPr="00B31EB8" w:rsidRDefault="00B96A46" w:rsidP="00B96A46">
      <w:pPr>
        <w:jc w:val="both"/>
        <w:rPr>
          <w:rFonts w:ascii="Open Sans" w:hAnsi="Open Sans" w:cs="Open Sans"/>
          <w:sz w:val="20"/>
          <w:szCs w:val="20"/>
        </w:rPr>
      </w:pPr>
    </w:p>
    <w:p w14:paraId="7C165B15"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Pese a que Acciona  en la estrategia fiscal aprobada en 2015 afirma que “Es necesario el reporte de información fiscal tanto a nivel internacional como nacional y regional, ya que la evasión fiscal es también un asunto que preocupa a la sociedad”,  no aporta información sobre las actividades de compañía  en paraísos y nichos fiscales ni en la Memoria de Sostenibilidad ni en ningún otro documento de los analizados. A pesar de las limitaciones sobre la información en materia fiscal, en función de la información aportada en el Anexo I de las Cuentas Anuales sobre sociedades dependientes, se considera que cuarenta y una sociedades ubicadas en paraísos o nichos fiscales ofrecen dudas en cuanto a que su actividad tenga que ver con la operativa propia de negocio ya que su actividad (no operativa), o su ubicación, ofrecen dudas que no son susceptibles de resolver al no aportar la empresa mayor información. Este es el caso de Holanda, Andorra, Panamá, Gibraltar, Malta y Suiza, en las que se ubican varias filiales (10) de Acciona que pese a mencionar una actividad operativa sin embargo la empresa no declara en sus cuentas anuales y otras fuentes consultadas operaciones en estas circunscripciones</w:t>
      </w:r>
      <w:proofErr w:type="gramStart"/>
      <w:r w:rsidRPr="00B31EB8">
        <w:rPr>
          <w:rFonts w:ascii="Open Sans" w:hAnsi="Open Sans" w:cs="Open Sans"/>
          <w:sz w:val="20"/>
          <w:szCs w:val="20"/>
        </w:rPr>
        <w:t>..</w:t>
      </w:r>
      <w:proofErr w:type="gramEnd"/>
      <w:r w:rsidRPr="00B31EB8">
        <w:rPr>
          <w:rFonts w:ascii="Open Sans" w:hAnsi="Open Sans" w:cs="Open Sans"/>
          <w:sz w:val="20"/>
          <w:szCs w:val="20"/>
        </w:rPr>
        <w:t xml:space="preserve"> Acciona afirma tener presencia en 65 países en 5 continentes y muestra su presencia en un mapa interactivo. Ni en el mapa y ni en la relación  de países de la web de acciona se ha podido constatar que la empresa tenga presencia en estos territorios. En el caso de Panamá Acciona cuenta dos sociedades: ACCIONA Infraestructuras-Elecnor, Hospital David y Compañía Internacional de Construcciones. Según  la información aparecida en el diario Cincodías el 19 de febrero de 2015 Panamá anula a Acciona un contrato para construir un hospital “por encontrarse una serie de anomalías desde el proceso de evaluación al de adjudicación”</w:t>
      </w:r>
      <w:r w:rsidRPr="00B31EB8">
        <w:rPr>
          <w:rStyle w:val="Refdenotaalpie"/>
          <w:rFonts w:ascii="Open Sans" w:hAnsi="Open Sans" w:cs="Open Sans"/>
          <w:sz w:val="20"/>
          <w:szCs w:val="20"/>
        </w:rPr>
        <w:footnoteReference w:id="252"/>
      </w:r>
    </w:p>
    <w:p w14:paraId="00B12866" w14:textId="77777777" w:rsidR="00B96A46" w:rsidRPr="00B31EB8" w:rsidRDefault="00B96A46" w:rsidP="00B96A46">
      <w:pPr>
        <w:jc w:val="both"/>
        <w:rPr>
          <w:rFonts w:ascii="Open Sans" w:hAnsi="Open Sans" w:cs="Open Sans"/>
          <w:sz w:val="20"/>
          <w:szCs w:val="20"/>
        </w:rPr>
      </w:pPr>
    </w:p>
    <w:p w14:paraId="27677698" w14:textId="77777777" w:rsidR="00B96A46" w:rsidRPr="00B31EB8" w:rsidRDefault="00B96A46" w:rsidP="00B96A46">
      <w:pPr>
        <w:jc w:val="both"/>
        <w:rPr>
          <w:rFonts w:ascii="Open Sans" w:hAnsi="Open Sans" w:cs="Open Sans"/>
          <w:sz w:val="20"/>
          <w:szCs w:val="20"/>
        </w:rPr>
      </w:pPr>
    </w:p>
    <w:tbl>
      <w:tblPr>
        <w:tblW w:w="8792" w:type="dxa"/>
        <w:tblInd w:w="55" w:type="dxa"/>
        <w:tblCellMar>
          <w:left w:w="70" w:type="dxa"/>
          <w:right w:w="70" w:type="dxa"/>
        </w:tblCellMar>
        <w:tblLook w:val="04A0" w:firstRow="1" w:lastRow="0" w:firstColumn="1" w:lastColumn="0" w:noHBand="0" w:noVBand="1"/>
      </w:tblPr>
      <w:tblGrid>
        <w:gridCol w:w="4268"/>
        <w:gridCol w:w="1843"/>
        <w:gridCol w:w="2681"/>
      </w:tblGrid>
      <w:tr w:rsidR="00B96A46" w:rsidRPr="00B31EB8" w14:paraId="5587AD3F" w14:textId="77777777" w:rsidTr="006E3A41">
        <w:trPr>
          <w:trHeight w:val="349"/>
        </w:trPr>
        <w:tc>
          <w:tcPr>
            <w:tcW w:w="42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73D7F22" w14:textId="77777777" w:rsidR="00B96A46" w:rsidRPr="00B31EB8" w:rsidRDefault="00B96A46" w:rsidP="006E3A41">
            <w:pPr>
              <w:jc w:val="center"/>
              <w:rPr>
                <w:rFonts w:ascii="Open Sans" w:hAnsi="Open Sans" w:cs="Open Sans"/>
                <w:b/>
                <w:bCs/>
                <w:color w:val="000000"/>
                <w:sz w:val="20"/>
                <w:szCs w:val="20"/>
              </w:rPr>
            </w:pPr>
            <w:r w:rsidRPr="00B31EB8">
              <w:rPr>
                <w:rFonts w:ascii="Open Sans" w:hAnsi="Open Sans" w:cs="Open Sans"/>
                <w:b/>
                <w:bCs/>
                <w:color w:val="000000"/>
                <w:sz w:val="20"/>
                <w:szCs w:val="20"/>
              </w:rPr>
              <w:t>Nombre de la Sociedad</w:t>
            </w:r>
          </w:p>
        </w:tc>
        <w:tc>
          <w:tcPr>
            <w:tcW w:w="1843" w:type="dxa"/>
            <w:tcBorders>
              <w:top w:val="single" w:sz="4" w:space="0" w:color="auto"/>
              <w:left w:val="nil"/>
              <w:bottom w:val="single" w:sz="4" w:space="0" w:color="auto"/>
              <w:right w:val="single" w:sz="4" w:space="0" w:color="auto"/>
            </w:tcBorders>
            <w:shd w:val="clear" w:color="000000" w:fill="D9D9D9"/>
            <w:noWrap/>
            <w:vAlign w:val="center"/>
            <w:hideMark/>
          </w:tcPr>
          <w:p w14:paraId="1D431F7F" w14:textId="77777777" w:rsidR="00B96A46" w:rsidRPr="00B31EB8" w:rsidRDefault="00B96A46" w:rsidP="006E3A41">
            <w:pPr>
              <w:ind w:left="-200" w:firstLine="200"/>
              <w:jc w:val="center"/>
              <w:rPr>
                <w:rFonts w:ascii="Open Sans" w:hAnsi="Open Sans" w:cs="Open Sans"/>
                <w:b/>
                <w:bCs/>
                <w:color w:val="000000"/>
                <w:sz w:val="20"/>
                <w:szCs w:val="20"/>
              </w:rPr>
            </w:pPr>
            <w:r w:rsidRPr="00B31EB8">
              <w:rPr>
                <w:rFonts w:ascii="Open Sans" w:hAnsi="Open Sans" w:cs="Open Sans"/>
                <w:b/>
                <w:bCs/>
                <w:color w:val="000000"/>
                <w:sz w:val="20"/>
                <w:szCs w:val="20"/>
              </w:rPr>
              <w:t>Jurisdicción</w:t>
            </w:r>
          </w:p>
        </w:tc>
        <w:tc>
          <w:tcPr>
            <w:tcW w:w="2681" w:type="dxa"/>
            <w:tcBorders>
              <w:top w:val="single" w:sz="4" w:space="0" w:color="auto"/>
              <w:left w:val="nil"/>
              <w:bottom w:val="single" w:sz="4" w:space="0" w:color="auto"/>
              <w:right w:val="single" w:sz="4" w:space="0" w:color="auto"/>
            </w:tcBorders>
            <w:shd w:val="clear" w:color="000000" w:fill="D9D9D9"/>
            <w:noWrap/>
            <w:vAlign w:val="center"/>
            <w:hideMark/>
          </w:tcPr>
          <w:p w14:paraId="331C08BB" w14:textId="77777777" w:rsidR="00B96A46" w:rsidRPr="00B31EB8" w:rsidRDefault="00B96A46" w:rsidP="006E3A41">
            <w:pPr>
              <w:jc w:val="center"/>
              <w:rPr>
                <w:rFonts w:ascii="Open Sans" w:hAnsi="Open Sans" w:cs="Open Sans"/>
                <w:b/>
                <w:bCs/>
                <w:color w:val="000000"/>
                <w:sz w:val="20"/>
                <w:szCs w:val="20"/>
              </w:rPr>
            </w:pPr>
            <w:r w:rsidRPr="00B31EB8">
              <w:rPr>
                <w:rFonts w:ascii="Open Sans" w:hAnsi="Open Sans" w:cs="Open Sans"/>
                <w:b/>
                <w:bCs/>
                <w:color w:val="000000"/>
                <w:sz w:val="20"/>
                <w:szCs w:val="20"/>
              </w:rPr>
              <w:t>Actividad</w:t>
            </w:r>
          </w:p>
        </w:tc>
      </w:tr>
      <w:tr w:rsidR="00B96A46" w:rsidRPr="00B31EB8" w14:paraId="56E540B9"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510E366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COEFISA, S.A.</w:t>
            </w:r>
          </w:p>
        </w:tc>
        <w:tc>
          <w:tcPr>
            <w:tcW w:w="1843" w:type="dxa"/>
            <w:tcBorders>
              <w:top w:val="nil"/>
              <w:left w:val="nil"/>
              <w:bottom w:val="single" w:sz="4" w:space="0" w:color="auto"/>
              <w:right w:val="single" w:sz="4" w:space="0" w:color="auto"/>
            </w:tcBorders>
            <w:shd w:val="clear" w:color="auto" w:fill="auto"/>
            <w:hideMark/>
          </w:tcPr>
          <w:p w14:paraId="2949280B"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Suiza</w:t>
            </w:r>
          </w:p>
        </w:tc>
        <w:tc>
          <w:tcPr>
            <w:tcW w:w="2681" w:type="dxa"/>
            <w:tcBorders>
              <w:top w:val="nil"/>
              <w:left w:val="nil"/>
              <w:bottom w:val="single" w:sz="4" w:space="0" w:color="auto"/>
              <w:right w:val="single" w:sz="4" w:space="0" w:color="auto"/>
            </w:tcBorders>
            <w:shd w:val="clear" w:color="auto" w:fill="auto"/>
            <w:hideMark/>
          </w:tcPr>
          <w:p w14:paraId="7691EAA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Construcción</w:t>
            </w:r>
          </w:p>
        </w:tc>
      </w:tr>
      <w:tr w:rsidR="00B96A46" w:rsidRPr="00B31EB8" w14:paraId="09AB03B9" w14:textId="77777777" w:rsidTr="006E3A41">
        <w:trPr>
          <w:trHeight w:val="510"/>
        </w:trPr>
        <w:tc>
          <w:tcPr>
            <w:tcW w:w="4268" w:type="dxa"/>
            <w:tcBorders>
              <w:top w:val="nil"/>
              <w:left w:val="single" w:sz="4" w:space="0" w:color="auto"/>
              <w:bottom w:val="single" w:sz="4" w:space="0" w:color="auto"/>
              <w:right w:val="single" w:sz="4" w:space="0" w:color="auto"/>
            </w:tcBorders>
            <w:shd w:val="clear" w:color="auto" w:fill="auto"/>
            <w:hideMark/>
          </w:tcPr>
          <w:p w14:paraId="33F0CA81"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Infraestructuras- Elecnor, Hospital David</w:t>
            </w:r>
          </w:p>
        </w:tc>
        <w:tc>
          <w:tcPr>
            <w:tcW w:w="1843" w:type="dxa"/>
            <w:tcBorders>
              <w:top w:val="nil"/>
              <w:left w:val="nil"/>
              <w:bottom w:val="single" w:sz="4" w:space="0" w:color="auto"/>
              <w:right w:val="single" w:sz="4" w:space="0" w:color="auto"/>
            </w:tcBorders>
            <w:shd w:val="clear" w:color="auto" w:fill="auto"/>
            <w:hideMark/>
          </w:tcPr>
          <w:p w14:paraId="379593C6"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 xml:space="preserve">Panamá </w:t>
            </w:r>
          </w:p>
        </w:tc>
        <w:tc>
          <w:tcPr>
            <w:tcW w:w="2681" w:type="dxa"/>
            <w:tcBorders>
              <w:top w:val="nil"/>
              <w:left w:val="nil"/>
              <w:bottom w:val="single" w:sz="4" w:space="0" w:color="auto"/>
              <w:right w:val="single" w:sz="4" w:space="0" w:color="auto"/>
            </w:tcBorders>
            <w:shd w:val="clear" w:color="auto" w:fill="auto"/>
            <w:hideMark/>
          </w:tcPr>
          <w:p w14:paraId="0052F5C4"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Construcción</w:t>
            </w:r>
          </w:p>
        </w:tc>
      </w:tr>
      <w:tr w:rsidR="00B96A46" w:rsidRPr="00B31EB8" w14:paraId="19DDD96C" w14:textId="77777777" w:rsidTr="006E3A41">
        <w:trPr>
          <w:trHeight w:val="510"/>
        </w:trPr>
        <w:tc>
          <w:tcPr>
            <w:tcW w:w="4268" w:type="dxa"/>
            <w:tcBorders>
              <w:top w:val="nil"/>
              <w:left w:val="single" w:sz="4" w:space="0" w:color="auto"/>
              <w:bottom w:val="single" w:sz="4" w:space="0" w:color="auto"/>
              <w:right w:val="single" w:sz="4" w:space="0" w:color="auto"/>
            </w:tcBorders>
            <w:shd w:val="clear" w:color="auto" w:fill="auto"/>
            <w:hideMark/>
          </w:tcPr>
          <w:p w14:paraId="00BA876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COMPAÑÍA INTERNACIONAL DE CONSTRUCCIONES</w:t>
            </w:r>
          </w:p>
        </w:tc>
        <w:tc>
          <w:tcPr>
            <w:tcW w:w="1843" w:type="dxa"/>
            <w:tcBorders>
              <w:top w:val="nil"/>
              <w:left w:val="nil"/>
              <w:bottom w:val="single" w:sz="4" w:space="0" w:color="auto"/>
              <w:right w:val="single" w:sz="4" w:space="0" w:color="auto"/>
            </w:tcBorders>
            <w:shd w:val="clear" w:color="auto" w:fill="auto"/>
            <w:hideMark/>
          </w:tcPr>
          <w:p w14:paraId="0EEA6A29"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Panamá</w:t>
            </w:r>
          </w:p>
        </w:tc>
        <w:tc>
          <w:tcPr>
            <w:tcW w:w="2681" w:type="dxa"/>
            <w:tcBorders>
              <w:top w:val="nil"/>
              <w:left w:val="nil"/>
              <w:bottom w:val="single" w:sz="4" w:space="0" w:color="auto"/>
              <w:right w:val="single" w:sz="4" w:space="0" w:color="auto"/>
            </w:tcBorders>
            <w:shd w:val="clear" w:color="auto" w:fill="auto"/>
            <w:hideMark/>
          </w:tcPr>
          <w:p w14:paraId="51F75DF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Construcción</w:t>
            </w:r>
          </w:p>
        </w:tc>
      </w:tr>
      <w:tr w:rsidR="00B96A46" w:rsidRPr="00B31EB8" w14:paraId="776A1B97" w14:textId="77777777" w:rsidTr="006E3A41">
        <w:trPr>
          <w:trHeight w:val="342"/>
        </w:trPr>
        <w:tc>
          <w:tcPr>
            <w:tcW w:w="4268" w:type="dxa"/>
            <w:tcBorders>
              <w:top w:val="nil"/>
              <w:left w:val="single" w:sz="4" w:space="0" w:color="auto"/>
              <w:bottom w:val="single" w:sz="4" w:space="0" w:color="auto"/>
              <w:right w:val="single" w:sz="4" w:space="0" w:color="auto"/>
            </w:tcBorders>
            <w:shd w:val="clear" w:color="auto" w:fill="auto"/>
            <w:hideMark/>
          </w:tcPr>
          <w:p w14:paraId="6EEAC711"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ENTRECANALES Y TAVORA GIBRALTAR, LTD</w:t>
            </w:r>
          </w:p>
        </w:tc>
        <w:tc>
          <w:tcPr>
            <w:tcW w:w="1843" w:type="dxa"/>
            <w:tcBorders>
              <w:top w:val="nil"/>
              <w:left w:val="nil"/>
              <w:bottom w:val="single" w:sz="4" w:space="0" w:color="auto"/>
              <w:right w:val="single" w:sz="4" w:space="0" w:color="auto"/>
            </w:tcBorders>
            <w:shd w:val="clear" w:color="auto" w:fill="auto"/>
            <w:hideMark/>
          </w:tcPr>
          <w:p w14:paraId="3FE3D847"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Gibraltar</w:t>
            </w:r>
          </w:p>
        </w:tc>
        <w:tc>
          <w:tcPr>
            <w:tcW w:w="2681" w:type="dxa"/>
            <w:tcBorders>
              <w:top w:val="nil"/>
              <w:left w:val="nil"/>
              <w:bottom w:val="single" w:sz="4" w:space="0" w:color="auto"/>
              <w:right w:val="single" w:sz="4" w:space="0" w:color="auto"/>
            </w:tcBorders>
            <w:shd w:val="clear" w:color="auto" w:fill="auto"/>
            <w:hideMark/>
          </w:tcPr>
          <w:p w14:paraId="22ECF46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Construcción</w:t>
            </w:r>
          </w:p>
        </w:tc>
      </w:tr>
      <w:tr w:rsidR="00B96A46" w:rsidRPr="00B31EB8" w14:paraId="351C8F5F" w14:textId="77777777" w:rsidTr="006E3A41">
        <w:trPr>
          <w:trHeight w:val="276"/>
        </w:trPr>
        <w:tc>
          <w:tcPr>
            <w:tcW w:w="4268" w:type="dxa"/>
            <w:tcBorders>
              <w:top w:val="nil"/>
              <w:left w:val="single" w:sz="4" w:space="0" w:color="auto"/>
              <w:bottom w:val="single" w:sz="4" w:space="0" w:color="auto"/>
              <w:right w:val="single" w:sz="4" w:space="0" w:color="auto"/>
            </w:tcBorders>
            <w:shd w:val="clear" w:color="auto" w:fill="auto"/>
            <w:hideMark/>
          </w:tcPr>
          <w:p w14:paraId="3CB164D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NECSO HONG KONG, LTD.</w:t>
            </w:r>
          </w:p>
        </w:tc>
        <w:tc>
          <w:tcPr>
            <w:tcW w:w="1843" w:type="dxa"/>
            <w:tcBorders>
              <w:top w:val="nil"/>
              <w:left w:val="nil"/>
              <w:bottom w:val="single" w:sz="4" w:space="0" w:color="auto"/>
              <w:right w:val="single" w:sz="4" w:space="0" w:color="auto"/>
            </w:tcBorders>
            <w:shd w:val="clear" w:color="auto" w:fill="auto"/>
            <w:hideMark/>
          </w:tcPr>
          <w:p w14:paraId="7C759497"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Hong Kong</w:t>
            </w:r>
          </w:p>
        </w:tc>
        <w:tc>
          <w:tcPr>
            <w:tcW w:w="2681" w:type="dxa"/>
            <w:tcBorders>
              <w:top w:val="nil"/>
              <w:left w:val="nil"/>
              <w:bottom w:val="single" w:sz="4" w:space="0" w:color="auto"/>
              <w:right w:val="single" w:sz="4" w:space="0" w:color="auto"/>
            </w:tcBorders>
            <w:shd w:val="clear" w:color="auto" w:fill="auto"/>
            <w:hideMark/>
          </w:tcPr>
          <w:p w14:paraId="45D26FEC"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Construcción</w:t>
            </w:r>
          </w:p>
        </w:tc>
      </w:tr>
      <w:tr w:rsidR="00B96A46" w:rsidRPr="00B31EB8" w14:paraId="04786D54" w14:textId="77777777" w:rsidTr="006E3A41">
        <w:trPr>
          <w:trHeight w:val="394"/>
        </w:trPr>
        <w:tc>
          <w:tcPr>
            <w:tcW w:w="4268" w:type="dxa"/>
            <w:tcBorders>
              <w:top w:val="nil"/>
              <w:left w:val="single" w:sz="4" w:space="0" w:color="auto"/>
              <w:bottom w:val="single" w:sz="4" w:space="0" w:color="auto"/>
              <w:right w:val="single" w:sz="4" w:space="0" w:color="auto"/>
            </w:tcBorders>
            <w:shd w:val="clear" w:color="auto" w:fill="auto"/>
            <w:hideMark/>
          </w:tcPr>
          <w:p w14:paraId="23B4F2CD"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Iberica Arabian Co Ltd</w:t>
            </w:r>
          </w:p>
        </w:tc>
        <w:tc>
          <w:tcPr>
            <w:tcW w:w="1843" w:type="dxa"/>
            <w:tcBorders>
              <w:top w:val="nil"/>
              <w:left w:val="nil"/>
              <w:bottom w:val="single" w:sz="4" w:space="0" w:color="auto"/>
              <w:right w:val="single" w:sz="4" w:space="0" w:color="auto"/>
            </w:tcBorders>
            <w:shd w:val="clear" w:color="auto" w:fill="auto"/>
            <w:hideMark/>
          </w:tcPr>
          <w:p w14:paraId="6FD35A4B"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Arabia Saudita</w:t>
            </w:r>
          </w:p>
        </w:tc>
        <w:tc>
          <w:tcPr>
            <w:tcW w:w="2681" w:type="dxa"/>
            <w:tcBorders>
              <w:top w:val="nil"/>
              <w:left w:val="nil"/>
              <w:bottom w:val="single" w:sz="4" w:space="0" w:color="auto"/>
              <w:right w:val="single" w:sz="4" w:space="0" w:color="auto"/>
            </w:tcBorders>
            <w:shd w:val="clear" w:color="auto" w:fill="auto"/>
            <w:hideMark/>
          </w:tcPr>
          <w:p w14:paraId="1A3BD573"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Ingeniería</w:t>
            </w:r>
          </w:p>
        </w:tc>
      </w:tr>
      <w:tr w:rsidR="00B96A46" w:rsidRPr="00B31EB8" w14:paraId="7B3E65EE" w14:textId="77777777" w:rsidTr="006E3A41">
        <w:trPr>
          <w:trHeight w:val="141"/>
        </w:trPr>
        <w:tc>
          <w:tcPr>
            <w:tcW w:w="4268" w:type="dxa"/>
            <w:tcBorders>
              <w:top w:val="nil"/>
              <w:left w:val="single" w:sz="4" w:space="0" w:color="auto"/>
              <w:bottom w:val="single" w:sz="4" w:space="0" w:color="auto"/>
              <w:right w:val="single" w:sz="4" w:space="0" w:color="auto"/>
            </w:tcBorders>
            <w:shd w:val="clear" w:color="auto" w:fill="auto"/>
            <w:hideMark/>
          </w:tcPr>
          <w:p w14:paraId="1B06ED1C"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LOCUBSA</w:t>
            </w:r>
          </w:p>
        </w:tc>
        <w:tc>
          <w:tcPr>
            <w:tcW w:w="1843" w:type="dxa"/>
            <w:tcBorders>
              <w:top w:val="nil"/>
              <w:left w:val="nil"/>
              <w:bottom w:val="single" w:sz="4" w:space="0" w:color="auto"/>
              <w:right w:val="single" w:sz="4" w:space="0" w:color="auto"/>
            </w:tcBorders>
            <w:shd w:val="clear" w:color="auto" w:fill="auto"/>
            <w:hideMark/>
          </w:tcPr>
          <w:p w14:paraId="73C30A7C"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Andorra</w:t>
            </w:r>
          </w:p>
        </w:tc>
        <w:tc>
          <w:tcPr>
            <w:tcW w:w="2681" w:type="dxa"/>
            <w:tcBorders>
              <w:top w:val="nil"/>
              <w:left w:val="nil"/>
              <w:bottom w:val="single" w:sz="4" w:space="0" w:color="auto"/>
              <w:right w:val="single" w:sz="4" w:space="0" w:color="auto"/>
            </w:tcBorders>
            <w:shd w:val="clear" w:color="auto" w:fill="auto"/>
            <w:hideMark/>
          </w:tcPr>
          <w:p w14:paraId="1C76238C"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Construcción</w:t>
            </w:r>
          </w:p>
        </w:tc>
      </w:tr>
      <w:tr w:rsidR="00B96A46" w:rsidRPr="00B31EB8" w14:paraId="505E32A4" w14:textId="77777777" w:rsidTr="006E3A41">
        <w:trPr>
          <w:trHeight w:val="283"/>
        </w:trPr>
        <w:tc>
          <w:tcPr>
            <w:tcW w:w="4268" w:type="dxa"/>
            <w:tcBorders>
              <w:top w:val="nil"/>
              <w:left w:val="single" w:sz="4" w:space="0" w:color="auto"/>
              <w:bottom w:val="single" w:sz="4" w:space="0" w:color="auto"/>
              <w:right w:val="single" w:sz="4" w:space="0" w:color="auto"/>
            </w:tcBorders>
            <w:shd w:val="clear" w:color="auto" w:fill="auto"/>
            <w:hideMark/>
          </w:tcPr>
          <w:p w14:paraId="23D964E2" w14:textId="77777777" w:rsidR="00B96A46" w:rsidRPr="00B31EB8" w:rsidRDefault="00B96A46" w:rsidP="006E3A41">
            <w:pPr>
              <w:rPr>
                <w:rFonts w:ascii="Open Sans" w:hAnsi="Open Sans" w:cs="Open Sans"/>
                <w:sz w:val="20"/>
                <w:szCs w:val="20"/>
                <w:lang w:val="en-US"/>
              </w:rPr>
            </w:pPr>
            <w:r w:rsidRPr="00B31EB8">
              <w:rPr>
                <w:rFonts w:ascii="Open Sans" w:hAnsi="Open Sans" w:cs="Open Sans"/>
                <w:sz w:val="20"/>
                <w:szCs w:val="20"/>
                <w:lang w:val="en-US"/>
              </w:rPr>
              <w:t>ACCIONA FACILITY SERVICES HOLLAND, B.V.</w:t>
            </w:r>
          </w:p>
        </w:tc>
        <w:tc>
          <w:tcPr>
            <w:tcW w:w="1843" w:type="dxa"/>
            <w:tcBorders>
              <w:top w:val="nil"/>
              <w:left w:val="nil"/>
              <w:bottom w:val="single" w:sz="4" w:space="0" w:color="auto"/>
              <w:right w:val="single" w:sz="4" w:space="0" w:color="auto"/>
            </w:tcBorders>
            <w:shd w:val="clear" w:color="auto" w:fill="auto"/>
            <w:hideMark/>
          </w:tcPr>
          <w:p w14:paraId="65FFEAAC"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Holanda</w:t>
            </w:r>
          </w:p>
        </w:tc>
        <w:tc>
          <w:tcPr>
            <w:tcW w:w="2681" w:type="dxa"/>
            <w:tcBorders>
              <w:top w:val="nil"/>
              <w:left w:val="nil"/>
              <w:bottom w:val="single" w:sz="4" w:space="0" w:color="auto"/>
              <w:right w:val="single" w:sz="4" w:space="0" w:color="auto"/>
            </w:tcBorders>
            <w:shd w:val="clear" w:color="auto" w:fill="auto"/>
            <w:hideMark/>
          </w:tcPr>
          <w:p w14:paraId="25DAA7A5"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S. Urbanos/</w:t>
            </w:r>
          </w:p>
        </w:tc>
      </w:tr>
      <w:tr w:rsidR="00B96A46" w:rsidRPr="00B31EB8" w14:paraId="73BFBE59" w14:textId="77777777" w:rsidTr="006E3A41">
        <w:trPr>
          <w:trHeight w:val="287"/>
        </w:trPr>
        <w:tc>
          <w:tcPr>
            <w:tcW w:w="4268" w:type="dxa"/>
            <w:tcBorders>
              <w:top w:val="nil"/>
              <w:left w:val="single" w:sz="4" w:space="0" w:color="auto"/>
              <w:bottom w:val="single" w:sz="4" w:space="0" w:color="auto"/>
              <w:right w:val="single" w:sz="4" w:space="0" w:color="auto"/>
            </w:tcBorders>
            <w:shd w:val="clear" w:color="auto" w:fill="auto"/>
            <w:hideMark/>
          </w:tcPr>
          <w:p w14:paraId="48C9A547"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ACCIONA &amp; Sogex Facility Services LLC</w:t>
            </w:r>
          </w:p>
        </w:tc>
        <w:tc>
          <w:tcPr>
            <w:tcW w:w="1843" w:type="dxa"/>
            <w:tcBorders>
              <w:top w:val="nil"/>
              <w:left w:val="nil"/>
              <w:bottom w:val="single" w:sz="4" w:space="0" w:color="auto"/>
              <w:right w:val="single" w:sz="4" w:space="0" w:color="auto"/>
            </w:tcBorders>
            <w:shd w:val="clear" w:color="auto" w:fill="auto"/>
            <w:hideMark/>
          </w:tcPr>
          <w:p w14:paraId="7AD67D9D"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OMAN</w:t>
            </w:r>
          </w:p>
        </w:tc>
        <w:tc>
          <w:tcPr>
            <w:tcW w:w="2681" w:type="dxa"/>
            <w:tcBorders>
              <w:top w:val="nil"/>
              <w:left w:val="nil"/>
              <w:bottom w:val="single" w:sz="4" w:space="0" w:color="auto"/>
              <w:right w:val="single" w:sz="4" w:space="0" w:color="auto"/>
            </w:tcBorders>
            <w:shd w:val="clear" w:color="auto" w:fill="auto"/>
            <w:hideMark/>
          </w:tcPr>
          <w:p w14:paraId="119DF4A9"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Servicios Urbanos</w:t>
            </w:r>
          </w:p>
        </w:tc>
      </w:tr>
      <w:tr w:rsidR="00B96A46" w:rsidRPr="00B31EB8" w14:paraId="08D6177B" w14:textId="77777777" w:rsidTr="006E3A41">
        <w:trPr>
          <w:trHeight w:val="615"/>
        </w:trPr>
        <w:tc>
          <w:tcPr>
            <w:tcW w:w="4268" w:type="dxa"/>
            <w:tcBorders>
              <w:top w:val="nil"/>
              <w:left w:val="single" w:sz="4" w:space="0" w:color="auto"/>
              <w:bottom w:val="single" w:sz="4" w:space="0" w:color="auto"/>
              <w:right w:val="single" w:sz="4" w:space="0" w:color="auto"/>
            </w:tcBorders>
            <w:shd w:val="clear" w:color="auto" w:fill="auto"/>
            <w:hideMark/>
          </w:tcPr>
          <w:p w14:paraId="1DF65D10"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American Water – Acciona Agua LLC</w:t>
            </w:r>
          </w:p>
        </w:tc>
        <w:tc>
          <w:tcPr>
            <w:tcW w:w="1843" w:type="dxa"/>
            <w:tcBorders>
              <w:top w:val="nil"/>
              <w:left w:val="nil"/>
              <w:bottom w:val="single" w:sz="4" w:space="0" w:color="auto"/>
              <w:right w:val="single" w:sz="4" w:space="0" w:color="auto"/>
            </w:tcBorders>
            <w:shd w:val="clear" w:color="auto" w:fill="auto"/>
            <w:hideMark/>
          </w:tcPr>
          <w:p w14:paraId="0F5CE4B0"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79BDFE6A"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 xml:space="preserve">Comparte participación al 50% con American Water </w:t>
            </w:r>
          </w:p>
        </w:tc>
      </w:tr>
      <w:tr w:rsidR="00B96A46" w:rsidRPr="00B31EB8" w14:paraId="1217969F"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184F7D9D"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Pridesa America Corporation</w:t>
            </w:r>
          </w:p>
        </w:tc>
        <w:tc>
          <w:tcPr>
            <w:tcW w:w="1843" w:type="dxa"/>
            <w:tcBorders>
              <w:top w:val="nil"/>
              <w:left w:val="nil"/>
              <w:bottom w:val="single" w:sz="4" w:space="0" w:color="auto"/>
              <w:right w:val="single" w:sz="4" w:space="0" w:color="auto"/>
            </w:tcBorders>
            <w:shd w:val="clear" w:color="auto" w:fill="auto"/>
            <w:hideMark/>
          </w:tcPr>
          <w:p w14:paraId="3C929ECA"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5FE29268"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Agua</w:t>
            </w:r>
          </w:p>
        </w:tc>
      </w:tr>
      <w:tr w:rsidR="00B96A46" w:rsidRPr="00B31EB8" w14:paraId="47F32662" w14:textId="77777777" w:rsidTr="006E3A41">
        <w:trPr>
          <w:trHeight w:val="318"/>
        </w:trPr>
        <w:tc>
          <w:tcPr>
            <w:tcW w:w="4268" w:type="dxa"/>
            <w:tcBorders>
              <w:top w:val="nil"/>
              <w:left w:val="single" w:sz="4" w:space="0" w:color="auto"/>
              <w:bottom w:val="single" w:sz="4" w:space="0" w:color="auto"/>
              <w:right w:val="single" w:sz="4" w:space="0" w:color="auto"/>
            </w:tcBorders>
            <w:shd w:val="clear" w:color="auto" w:fill="auto"/>
            <w:hideMark/>
          </w:tcPr>
          <w:p w14:paraId="2DFA0863"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GWH-ACCIONA ENERGY, LLC</w:t>
            </w:r>
          </w:p>
        </w:tc>
        <w:tc>
          <w:tcPr>
            <w:tcW w:w="1843" w:type="dxa"/>
            <w:tcBorders>
              <w:top w:val="nil"/>
              <w:left w:val="nil"/>
              <w:bottom w:val="single" w:sz="4" w:space="0" w:color="auto"/>
              <w:right w:val="single" w:sz="4" w:space="0" w:color="auto"/>
            </w:tcBorders>
            <w:shd w:val="clear" w:color="auto" w:fill="auto"/>
            <w:hideMark/>
          </w:tcPr>
          <w:p w14:paraId="6C208166"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3611122D"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01C3A48E" w14:textId="77777777" w:rsidTr="006E3A41">
        <w:trPr>
          <w:trHeight w:val="563"/>
        </w:trPr>
        <w:tc>
          <w:tcPr>
            <w:tcW w:w="4268" w:type="dxa"/>
            <w:tcBorders>
              <w:top w:val="nil"/>
              <w:left w:val="single" w:sz="4" w:space="0" w:color="auto"/>
              <w:bottom w:val="single" w:sz="4" w:space="0" w:color="auto"/>
              <w:right w:val="single" w:sz="4" w:space="0" w:color="auto"/>
            </w:tcBorders>
            <w:shd w:val="clear" w:color="auto" w:fill="auto"/>
            <w:hideMark/>
          </w:tcPr>
          <w:p w14:paraId="561455DE"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Renewable Energy Canada Holdings Llc</w:t>
            </w:r>
          </w:p>
        </w:tc>
        <w:tc>
          <w:tcPr>
            <w:tcW w:w="1843" w:type="dxa"/>
            <w:tcBorders>
              <w:top w:val="nil"/>
              <w:left w:val="nil"/>
              <w:bottom w:val="single" w:sz="4" w:space="0" w:color="auto"/>
              <w:right w:val="single" w:sz="4" w:space="0" w:color="auto"/>
            </w:tcBorders>
            <w:shd w:val="clear" w:color="auto" w:fill="auto"/>
            <w:hideMark/>
          </w:tcPr>
          <w:p w14:paraId="652EFE70"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56E3F1E4"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5D408196" w14:textId="77777777" w:rsidTr="006E3A41">
        <w:trPr>
          <w:trHeight w:val="402"/>
        </w:trPr>
        <w:tc>
          <w:tcPr>
            <w:tcW w:w="4268" w:type="dxa"/>
            <w:tcBorders>
              <w:top w:val="nil"/>
              <w:left w:val="single" w:sz="4" w:space="0" w:color="auto"/>
              <w:bottom w:val="single" w:sz="4" w:space="0" w:color="auto"/>
              <w:right w:val="single" w:sz="4" w:space="0" w:color="auto"/>
            </w:tcBorders>
            <w:shd w:val="clear" w:color="auto" w:fill="auto"/>
            <w:hideMark/>
          </w:tcPr>
          <w:p w14:paraId="498C7E34"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Solar Energy Llc.</w:t>
            </w:r>
          </w:p>
        </w:tc>
        <w:tc>
          <w:tcPr>
            <w:tcW w:w="1843" w:type="dxa"/>
            <w:tcBorders>
              <w:top w:val="nil"/>
              <w:left w:val="nil"/>
              <w:bottom w:val="single" w:sz="4" w:space="0" w:color="auto"/>
              <w:right w:val="single" w:sz="4" w:space="0" w:color="auto"/>
            </w:tcBorders>
            <w:shd w:val="clear" w:color="auto" w:fill="auto"/>
            <w:hideMark/>
          </w:tcPr>
          <w:p w14:paraId="2DD26796"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7BDCB60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3B11BAB4" w14:textId="77777777" w:rsidTr="006E3A41">
        <w:trPr>
          <w:trHeight w:val="422"/>
        </w:trPr>
        <w:tc>
          <w:tcPr>
            <w:tcW w:w="4268" w:type="dxa"/>
            <w:tcBorders>
              <w:top w:val="nil"/>
              <w:left w:val="single" w:sz="4" w:space="0" w:color="auto"/>
              <w:bottom w:val="single" w:sz="4" w:space="0" w:color="auto"/>
              <w:right w:val="single" w:sz="4" w:space="0" w:color="auto"/>
            </w:tcBorders>
            <w:shd w:val="clear" w:color="auto" w:fill="auto"/>
            <w:hideMark/>
          </w:tcPr>
          <w:p w14:paraId="0EB83D53"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Solar Power Inc.</w:t>
            </w:r>
          </w:p>
        </w:tc>
        <w:tc>
          <w:tcPr>
            <w:tcW w:w="1843" w:type="dxa"/>
            <w:tcBorders>
              <w:top w:val="nil"/>
              <w:left w:val="nil"/>
              <w:bottom w:val="single" w:sz="4" w:space="0" w:color="auto"/>
              <w:right w:val="single" w:sz="4" w:space="0" w:color="auto"/>
            </w:tcBorders>
            <w:shd w:val="clear" w:color="auto" w:fill="auto"/>
            <w:hideMark/>
          </w:tcPr>
          <w:p w14:paraId="4D1546DC"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444C381E"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17918814"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3234632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Energy USA Global LLC</w:t>
            </w:r>
          </w:p>
        </w:tc>
        <w:tc>
          <w:tcPr>
            <w:tcW w:w="1843" w:type="dxa"/>
            <w:tcBorders>
              <w:top w:val="nil"/>
              <w:left w:val="nil"/>
              <w:bottom w:val="single" w:sz="4" w:space="0" w:color="auto"/>
              <w:right w:val="single" w:sz="4" w:space="0" w:color="auto"/>
            </w:tcBorders>
            <w:shd w:val="clear" w:color="auto" w:fill="auto"/>
            <w:hideMark/>
          </w:tcPr>
          <w:p w14:paraId="1ECBDDBB"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0E060243"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7E42C665" w14:textId="77777777" w:rsidTr="006E3A41">
        <w:trPr>
          <w:trHeight w:val="389"/>
        </w:trPr>
        <w:tc>
          <w:tcPr>
            <w:tcW w:w="4268" w:type="dxa"/>
            <w:tcBorders>
              <w:top w:val="nil"/>
              <w:left w:val="single" w:sz="4" w:space="0" w:color="auto"/>
              <w:bottom w:val="single" w:sz="4" w:space="0" w:color="auto"/>
              <w:right w:val="single" w:sz="4" w:space="0" w:color="auto"/>
            </w:tcBorders>
            <w:shd w:val="clear" w:color="auto" w:fill="auto"/>
            <w:hideMark/>
          </w:tcPr>
          <w:p w14:paraId="451E228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Wind Energy Usa, Llc.</w:t>
            </w:r>
          </w:p>
        </w:tc>
        <w:tc>
          <w:tcPr>
            <w:tcW w:w="1843" w:type="dxa"/>
            <w:tcBorders>
              <w:top w:val="nil"/>
              <w:left w:val="nil"/>
              <w:bottom w:val="single" w:sz="4" w:space="0" w:color="auto"/>
              <w:right w:val="single" w:sz="4" w:space="0" w:color="auto"/>
            </w:tcBorders>
            <w:shd w:val="clear" w:color="auto" w:fill="auto"/>
            <w:hideMark/>
          </w:tcPr>
          <w:p w14:paraId="301FAF3F"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4A92D6A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094DAAE4" w14:textId="77777777" w:rsidTr="006E3A41">
        <w:trPr>
          <w:trHeight w:val="410"/>
        </w:trPr>
        <w:tc>
          <w:tcPr>
            <w:tcW w:w="4268" w:type="dxa"/>
            <w:tcBorders>
              <w:top w:val="nil"/>
              <w:left w:val="single" w:sz="4" w:space="0" w:color="auto"/>
              <w:bottom w:val="single" w:sz="4" w:space="0" w:color="auto"/>
              <w:right w:val="single" w:sz="4" w:space="0" w:color="auto"/>
            </w:tcBorders>
            <w:shd w:val="clear" w:color="auto" w:fill="auto"/>
          </w:tcPr>
          <w:p w14:paraId="62C21430"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ACCIONA Windpower North America L.L.C</w:t>
            </w:r>
          </w:p>
        </w:tc>
        <w:tc>
          <w:tcPr>
            <w:tcW w:w="1843" w:type="dxa"/>
            <w:tcBorders>
              <w:top w:val="nil"/>
              <w:left w:val="nil"/>
              <w:bottom w:val="single" w:sz="4" w:space="0" w:color="auto"/>
              <w:right w:val="single" w:sz="4" w:space="0" w:color="auto"/>
            </w:tcBorders>
            <w:shd w:val="clear" w:color="auto" w:fill="auto"/>
          </w:tcPr>
          <w:p w14:paraId="4A8D6D3F"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tcPr>
          <w:p w14:paraId="2EA4F4BC"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5858B3F6" w14:textId="77777777" w:rsidTr="006E3A41">
        <w:trPr>
          <w:trHeight w:val="416"/>
        </w:trPr>
        <w:tc>
          <w:tcPr>
            <w:tcW w:w="4268" w:type="dxa"/>
            <w:tcBorders>
              <w:top w:val="nil"/>
              <w:left w:val="single" w:sz="4" w:space="0" w:color="auto"/>
              <w:bottom w:val="single" w:sz="4" w:space="0" w:color="auto"/>
              <w:right w:val="single" w:sz="4" w:space="0" w:color="auto"/>
            </w:tcBorders>
            <w:shd w:val="clear" w:color="auto" w:fill="auto"/>
            <w:hideMark/>
          </w:tcPr>
          <w:p w14:paraId="03A1911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Anchor Wind, Llc.</w:t>
            </w:r>
          </w:p>
        </w:tc>
        <w:tc>
          <w:tcPr>
            <w:tcW w:w="1843" w:type="dxa"/>
            <w:tcBorders>
              <w:top w:val="nil"/>
              <w:left w:val="nil"/>
              <w:bottom w:val="single" w:sz="4" w:space="0" w:color="auto"/>
              <w:right w:val="single" w:sz="4" w:space="0" w:color="auto"/>
            </w:tcBorders>
            <w:shd w:val="clear" w:color="auto" w:fill="auto"/>
            <w:hideMark/>
          </w:tcPr>
          <w:p w14:paraId="68481C42"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31710850"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263C466B" w14:textId="77777777" w:rsidTr="006E3A41">
        <w:trPr>
          <w:trHeight w:val="272"/>
        </w:trPr>
        <w:tc>
          <w:tcPr>
            <w:tcW w:w="4268" w:type="dxa"/>
            <w:tcBorders>
              <w:top w:val="nil"/>
              <w:left w:val="single" w:sz="4" w:space="0" w:color="auto"/>
              <w:bottom w:val="single" w:sz="4" w:space="0" w:color="auto"/>
              <w:right w:val="single" w:sz="4" w:space="0" w:color="auto"/>
            </w:tcBorders>
            <w:shd w:val="clear" w:color="auto" w:fill="auto"/>
            <w:hideMark/>
          </w:tcPr>
          <w:p w14:paraId="5DFCC878"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Red Hills Finance, Llc.</w:t>
            </w:r>
          </w:p>
        </w:tc>
        <w:tc>
          <w:tcPr>
            <w:tcW w:w="1843" w:type="dxa"/>
            <w:tcBorders>
              <w:top w:val="nil"/>
              <w:left w:val="nil"/>
              <w:bottom w:val="single" w:sz="4" w:space="0" w:color="auto"/>
              <w:right w:val="single" w:sz="4" w:space="0" w:color="auto"/>
            </w:tcBorders>
            <w:shd w:val="clear" w:color="auto" w:fill="auto"/>
            <w:hideMark/>
          </w:tcPr>
          <w:p w14:paraId="45A39735"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2FECB08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51448D2A" w14:textId="77777777" w:rsidTr="006E3A41">
        <w:trPr>
          <w:trHeight w:val="276"/>
        </w:trPr>
        <w:tc>
          <w:tcPr>
            <w:tcW w:w="4268" w:type="dxa"/>
            <w:tcBorders>
              <w:top w:val="nil"/>
              <w:left w:val="single" w:sz="4" w:space="0" w:color="auto"/>
              <w:bottom w:val="single" w:sz="4" w:space="0" w:color="auto"/>
              <w:right w:val="single" w:sz="4" w:space="0" w:color="auto"/>
            </w:tcBorders>
            <w:shd w:val="clear" w:color="auto" w:fill="auto"/>
            <w:hideMark/>
          </w:tcPr>
          <w:p w14:paraId="71662C84"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Red Hills Holding, Llc.</w:t>
            </w:r>
          </w:p>
        </w:tc>
        <w:tc>
          <w:tcPr>
            <w:tcW w:w="1843" w:type="dxa"/>
            <w:tcBorders>
              <w:top w:val="nil"/>
              <w:left w:val="nil"/>
              <w:bottom w:val="single" w:sz="4" w:space="0" w:color="auto"/>
              <w:right w:val="single" w:sz="4" w:space="0" w:color="auto"/>
            </w:tcBorders>
            <w:shd w:val="clear" w:color="auto" w:fill="auto"/>
            <w:hideMark/>
          </w:tcPr>
          <w:p w14:paraId="77C6C640"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1FB080A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6BB0CEC0" w14:textId="77777777" w:rsidTr="006E3A41">
        <w:trPr>
          <w:trHeight w:val="408"/>
        </w:trPr>
        <w:tc>
          <w:tcPr>
            <w:tcW w:w="4268" w:type="dxa"/>
            <w:tcBorders>
              <w:top w:val="nil"/>
              <w:left w:val="single" w:sz="4" w:space="0" w:color="auto"/>
              <w:bottom w:val="single" w:sz="4" w:space="0" w:color="auto"/>
              <w:right w:val="single" w:sz="4" w:space="0" w:color="auto"/>
            </w:tcBorders>
            <w:shd w:val="clear" w:color="auto" w:fill="auto"/>
            <w:noWrap/>
            <w:hideMark/>
          </w:tcPr>
          <w:p w14:paraId="4DE85FD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Table Mountain Wind Llc.</w:t>
            </w:r>
          </w:p>
        </w:tc>
        <w:tc>
          <w:tcPr>
            <w:tcW w:w="1843" w:type="dxa"/>
            <w:tcBorders>
              <w:top w:val="nil"/>
              <w:left w:val="nil"/>
              <w:bottom w:val="single" w:sz="4" w:space="0" w:color="auto"/>
              <w:right w:val="single" w:sz="4" w:space="0" w:color="auto"/>
            </w:tcBorders>
            <w:shd w:val="clear" w:color="auto" w:fill="auto"/>
            <w:hideMark/>
          </w:tcPr>
          <w:p w14:paraId="66B0D3C7"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28B966FD"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1B81D96B" w14:textId="77777777" w:rsidTr="006E3A41">
        <w:trPr>
          <w:trHeight w:val="414"/>
        </w:trPr>
        <w:tc>
          <w:tcPr>
            <w:tcW w:w="4268" w:type="dxa"/>
            <w:tcBorders>
              <w:top w:val="nil"/>
              <w:left w:val="single" w:sz="4" w:space="0" w:color="auto"/>
              <w:bottom w:val="single" w:sz="4" w:space="0" w:color="auto"/>
              <w:right w:val="single" w:sz="4" w:space="0" w:color="auto"/>
            </w:tcBorders>
            <w:shd w:val="clear" w:color="auto" w:fill="auto"/>
            <w:noWrap/>
            <w:hideMark/>
          </w:tcPr>
          <w:p w14:paraId="78F88997"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Tatanka Finance Llc.</w:t>
            </w:r>
          </w:p>
        </w:tc>
        <w:tc>
          <w:tcPr>
            <w:tcW w:w="1843" w:type="dxa"/>
            <w:tcBorders>
              <w:top w:val="nil"/>
              <w:left w:val="nil"/>
              <w:bottom w:val="single" w:sz="4" w:space="0" w:color="auto"/>
              <w:right w:val="single" w:sz="4" w:space="0" w:color="auto"/>
            </w:tcBorders>
            <w:shd w:val="clear" w:color="auto" w:fill="auto"/>
            <w:hideMark/>
          </w:tcPr>
          <w:p w14:paraId="71C37125"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71D88C0E"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7EF1B10B" w14:textId="77777777" w:rsidTr="006E3A41">
        <w:trPr>
          <w:trHeight w:val="420"/>
        </w:trPr>
        <w:tc>
          <w:tcPr>
            <w:tcW w:w="4268" w:type="dxa"/>
            <w:tcBorders>
              <w:top w:val="nil"/>
              <w:left w:val="single" w:sz="4" w:space="0" w:color="auto"/>
              <w:bottom w:val="single" w:sz="4" w:space="0" w:color="auto"/>
              <w:right w:val="single" w:sz="4" w:space="0" w:color="auto"/>
            </w:tcBorders>
            <w:shd w:val="clear" w:color="auto" w:fill="auto"/>
            <w:noWrap/>
            <w:hideMark/>
          </w:tcPr>
          <w:p w14:paraId="5F7E99BD"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Tatanka Holding, Llc.</w:t>
            </w:r>
          </w:p>
        </w:tc>
        <w:tc>
          <w:tcPr>
            <w:tcW w:w="1843" w:type="dxa"/>
            <w:tcBorders>
              <w:top w:val="nil"/>
              <w:left w:val="nil"/>
              <w:bottom w:val="single" w:sz="4" w:space="0" w:color="auto"/>
              <w:right w:val="single" w:sz="4" w:space="0" w:color="auto"/>
            </w:tcBorders>
            <w:shd w:val="clear" w:color="auto" w:fill="auto"/>
            <w:hideMark/>
          </w:tcPr>
          <w:p w14:paraId="16DCC686"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2EB8B48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70CEA1FB" w14:textId="77777777" w:rsidTr="006E3A41">
        <w:trPr>
          <w:trHeight w:val="412"/>
        </w:trPr>
        <w:tc>
          <w:tcPr>
            <w:tcW w:w="4268" w:type="dxa"/>
            <w:tcBorders>
              <w:top w:val="nil"/>
              <w:left w:val="single" w:sz="4" w:space="0" w:color="auto"/>
              <w:bottom w:val="single" w:sz="4" w:space="0" w:color="auto"/>
              <w:right w:val="single" w:sz="4" w:space="0" w:color="auto"/>
            </w:tcBorders>
            <w:shd w:val="clear" w:color="auto" w:fill="auto"/>
            <w:noWrap/>
            <w:hideMark/>
          </w:tcPr>
          <w:p w14:paraId="192200B0"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Terranova Energy Corporation</w:t>
            </w:r>
          </w:p>
        </w:tc>
        <w:tc>
          <w:tcPr>
            <w:tcW w:w="1843" w:type="dxa"/>
            <w:tcBorders>
              <w:top w:val="nil"/>
              <w:left w:val="nil"/>
              <w:bottom w:val="single" w:sz="4" w:space="0" w:color="auto"/>
              <w:right w:val="single" w:sz="4" w:space="0" w:color="auto"/>
            </w:tcBorders>
            <w:shd w:val="clear" w:color="auto" w:fill="auto"/>
            <w:hideMark/>
          </w:tcPr>
          <w:p w14:paraId="488125FF"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California</w:t>
            </w:r>
          </w:p>
        </w:tc>
        <w:tc>
          <w:tcPr>
            <w:tcW w:w="2681" w:type="dxa"/>
            <w:tcBorders>
              <w:top w:val="nil"/>
              <w:left w:val="nil"/>
              <w:bottom w:val="single" w:sz="4" w:space="0" w:color="auto"/>
              <w:right w:val="single" w:sz="4" w:space="0" w:color="auto"/>
            </w:tcBorders>
            <w:shd w:val="clear" w:color="auto" w:fill="auto"/>
            <w:hideMark/>
          </w:tcPr>
          <w:p w14:paraId="1D9B7B1C"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6A6033E6" w14:textId="77777777" w:rsidTr="006E3A41">
        <w:trPr>
          <w:trHeight w:val="417"/>
        </w:trPr>
        <w:tc>
          <w:tcPr>
            <w:tcW w:w="4268" w:type="dxa"/>
            <w:tcBorders>
              <w:top w:val="nil"/>
              <w:left w:val="single" w:sz="4" w:space="0" w:color="auto"/>
              <w:bottom w:val="single" w:sz="4" w:space="0" w:color="auto"/>
              <w:right w:val="single" w:sz="4" w:space="0" w:color="auto"/>
            </w:tcBorders>
            <w:shd w:val="clear" w:color="auto" w:fill="auto"/>
            <w:noWrap/>
            <w:hideMark/>
          </w:tcPr>
          <w:p w14:paraId="42291EF5"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Tatanka Wind Power Llc.</w:t>
            </w:r>
          </w:p>
        </w:tc>
        <w:tc>
          <w:tcPr>
            <w:tcW w:w="1843" w:type="dxa"/>
            <w:tcBorders>
              <w:top w:val="nil"/>
              <w:left w:val="nil"/>
              <w:bottom w:val="single" w:sz="4" w:space="0" w:color="auto"/>
              <w:right w:val="single" w:sz="4" w:space="0" w:color="auto"/>
            </w:tcBorders>
            <w:shd w:val="clear" w:color="auto" w:fill="auto"/>
            <w:hideMark/>
          </w:tcPr>
          <w:p w14:paraId="3E9571C0"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063996F0"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65B018D6" w14:textId="77777777" w:rsidTr="006E3A41">
        <w:trPr>
          <w:trHeight w:val="424"/>
        </w:trPr>
        <w:tc>
          <w:tcPr>
            <w:tcW w:w="4268" w:type="dxa"/>
            <w:tcBorders>
              <w:top w:val="nil"/>
              <w:left w:val="single" w:sz="4" w:space="0" w:color="auto"/>
              <w:bottom w:val="single" w:sz="4" w:space="0" w:color="auto"/>
              <w:right w:val="single" w:sz="4" w:space="0" w:color="auto"/>
            </w:tcBorders>
            <w:shd w:val="clear" w:color="auto" w:fill="auto"/>
            <w:noWrap/>
            <w:hideMark/>
          </w:tcPr>
          <w:p w14:paraId="07B4000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Velva Windfarm, Llc.</w:t>
            </w:r>
          </w:p>
        </w:tc>
        <w:tc>
          <w:tcPr>
            <w:tcW w:w="1843" w:type="dxa"/>
            <w:tcBorders>
              <w:top w:val="nil"/>
              <w:left w:val="nil"/>
              <w:bottom w:val="single" w:sz="4" w:space="0" w:color="auto"/>
              <w:right w:val="single" w:sz="4" w:space="0" w:color="auto"/>
            </w:tcBorders>
            <w:shd w:val="clear" w:color="auto" w:fill="auto"/>
            <w:hideMark/>
          </w:tcPr>
          <w:p w14:paraId="1F7207F4"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74A7D555"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79A8BD36" w14:textId="77777777" w:rsidTr="006E3A41">
        <w:trPr>
          <w:trHeight w:val="416"/>
        </w:trPr>
        <w:tc>
          <w:tcPr>
            <w:tcW w:w="4268" w:type="dxa"/>
            <w:tcBorders>
              <w:top w:val="nil"/>
              <w:left w:val="single" w:sz="4" w:space="0" w:color="auto"/>
              <w:bottom w:val="single" w:sz="4" w:space="0" w:color="auto"/>
              <w:right w:val="single" w:sz="4" w:space="0" w:color="auto"/>
            </w:tcBorders>
            <w:shd w:val="clear" w:color="auto" w:fill="auto"/>
            <w:noWrap/>
            <w:hideMark/>
          </w:tcPr>
          <w:p w14:paraId="2FB5A66E"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White Shield Wind Proyect Llc.</w:t>
            </w:r>
          </w:p>
        </w:tc>
        <w:tc>
          <w:tcPr>
            <w:tcW w:w="1843" w:type="dxa"/>
            <w:tcBorders>
              <w:top w:val="nil"/>
              <w:left w:val="nil"/>
              <w:bottom w:val="single" w:sz="4" w:space="0" w:color="auto"/>
              <w:right w:val="single" w:sz="4" w:space="0" w:color="auto"/>
            </w:tcBorders>
            <w:shd w:val="clear" w:color="auto" w:fill="auto"/>
            <w:hideMark/>
          </w:tcPr>
          <w:p w14:paraId="66BE97E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38D5B5B5"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0B6BA89A"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596FC65D"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Ternua Holdings. B.V.</w:t>
            </w:r>
          </w:p>
        </w:tc>
        <w:tc>
          <w:tcPr>
            <w:tcW w:w="1843" w:type="dxa"/>
            <w:tcBorders>
              <w:top w:val="nil"/>
              <w:left w:val="nil"/>
              <w:bottom w:val="single" w:sz="4" w:space="0" w:color="auto"/>
              <w:right w:val="single" w:sz="4" w:space="0" w:color="auto"/>
            </w:tcBorders>
            <w:shd w:val="clear" w:color="auto" w:fill="auto"/>
            <w:hideMark/>
          </w:tcPr>
          <w:p w14:paraId="3019C078"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Holanda</w:t>
            </w:r>
          </w:p>
        </w:tc>
        <w:tc>
          <w:tcPr>
            <w:tcW w:w="2681" w:type="dxa"/>
            <w:tcBorders>
              <w:top w:val="nil"/>
              <w:left w:val="single" w:sz="4" w:space="0" w:color="auto"/>
              <w:bottom w:val="single" w:sz="4" w:space="0" w:color="auto"/>
              <w:right w:val="single" w:sz="4" w:space="0" w:color="auto"/>
            </w:tcBorders>
            <w:shd w:val="clear" w:color="auto" w:fill="auto"/>
            <w:hideMark/>
          </w:tcPr>
          <w:p w14:paraId="66F9778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65388918" w14:textId="77777777" w:rsidTr="006E3A41">
        <w:trPr>
          <w:trHeight w:val="384"/>
        </w:trPr>
        <w:tc>
          <w:tcPr>
            <w:tcW w:w="4268" w:type="dxa"/>
            <w:tcBorders>
              <w:top w:val="nil"/>
              <w:left w:val="single" w:sz="4" w:space="0" w:color="auto"/>
              <w:bottom w:val="single" w:sz="4" w:space="0" w:color="auto"/>
              <w:right w:val="single" w:sz="4" w:space="0" w:color="auto"/>
            </w:tcBorders>
            <w:shd w:val="clear" w:color="auto" w:fill="auto"/>
            <w:hideMark/>
          </w:tcPr>
          <w:p w14:paraId="3C2FC9A7"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Acciona Energy North America Corp</w:t>
            </w:r>
          </w:p>
        </w:tc>
        <w:tc>
          <w:tcPr>
            <w:tcW w:w="1843" w:type="dxa"/>
            <w:tcBorders>
              <w:top w:val="nil"/>
              <w:left w:val="nil"/>
              <w:bottom w:val="single" w:sz="4" w:space="0" w:color="auto"/>
              <w:right w:val="single" w:sz="4" w:space="0" w:color="auto"/>
            </w:tcBorders>
            <w:shd w:val="clear" w:color="auto" w:fill="auto"/>
            <w:hideMark/>
          </w:tcPr>
          <w:p w14:paraId="1057DDDE"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15E74B18"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7927822F" w14:textId="77777777" w:rsidTr="006E3A41">
        <w:trPr>
          <w:trHeight w:val="404"/>
        </w:trPr>
        <w:tc>
          <w:tcPr>
            <w:tcW w:w="4268" w:type="dxa"/>
            <w:tcBorders>
              <w:top w:val="nil"/>
              <w:left w:val="single" w:sz="4" w:space="0" w:color="auto"/>
              <w:bottom w:val="single" w:sz="4" w:space="0" w:color="auto"/>
              <w:right w:val="single" w:sz="4" w:space="0" w:color="auto"/>
            </w:tcBorders>
            <w:shd w:val="clear" w:color="auto" w:fill="auto"/>
            <w:hideMark/>
          </w:tcPr>
          <w:p w14:paraId="44F05275"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Acciona EPC North America, L.L.C</w:t>
            </w:r>
          </w:p>
        </w:tc>
        <w:tc>
          <w:tcPr>
            <w:tcW w:w="1843" w:type="dxa"/>
            <w:tcBorders>
              <w:top w:val="nil"/>
              <w:left w:val="nil"/>
              <w:bottom w:val="single" w:sz="4" w:space="0" w:color="auto"/>
              <w:right w:val="single" w:sz="4" w:space="0" w:color="auto"/>
            </w:tcBorders>
            <w:shd w:val="clear" w:color="auto" w:fill="auto"/>
            <w:hideMark/>
          </w:tcPr>
          <w:p w14:paraId="52982C31"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32E43DE6"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70D5102E" w14:textId="77777777" w:rsidTr="006E3A41">
        <w:trPr>
          <w:trHeight w:val="423"/>
        </w:trPr>
        <w:tc>
          <w:tcPr>
            <w:tcW w:w="4268" w:type="dxa"/>
            <w:tcBorders>
              <w:top w:val="nil"/>
              <w:left w:val="single" w:sz="4" w:space="0" w:color="auto"/>
              <w:bottom w:val="single" w:sz="4" w:space="0" w:color="auto"/>
              <w:right w:val="single" w:sz="4" w:space="0" w:color="auto"/>
            </w:tcBorders>
            <w:shd w:val="clear" w:color="auto" w:fill="auto"/>
            <w:hideMark/>
          </w:tcPr>
          <w:p w14:paraId="7BBA38E9"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Maritime Global Operator, Ltd</w:t>
            </w:r>
          </w:p>
        </w:tc>
        <w:tc>
          <w:tcPr>
            <w:tcW w:w="1843" w:type="dxa"/>
            <w:tcBorders>
              <w:top w:val="nil"/>
              <w:left w:val="nil"/>
              <w:bottom w:val="single" w:sz="4" w:space="0" w:color="auto"/>
              <w:right w:val="single" w:sz="4" w:space="0" w:color="auto"/>
            </w:tcBorders>
            <w:shd w:val="clear" w:color="auto" w:fill="auto"/>
            <w:hideMark/>
          </w:tcPr>
          <w:p w14:paraId="32263BF4"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Malta</w:t>
            </w:r>
          </w:p>
        </w:tc>
        <w:tc>
          <w:tcPr>
            <w:tcW w:w="2681" w:type="dxa"/>
            <w:tcBorders>
              <w:top w:val="nil"/>
              <w:left w:val="single" w:sz="4" w:space="0" w:color="auto"/>
              <w:bottom w:val="single" w:sz="4" w:space="0" w:color="auto"/>
              <w:right w:val="single" w:sz="4" w:space="0" w:color="auto"/>
            </w:tcBorders>
            <w:shd w:val="clear" w:color="auto" w:fill="auto"/>
            <w:hideMark/>
          </w:tcPr>
          <w:p w14:paraId="7FD6DC79"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Servicios Logísticos</w:t>
            </w:r>
          </w:p>
        </w:tc>
      </w:tr>
      <w:tr w:rsidR="00B96A46" w:rsidRPr="00B31EB8" w14:paraId="506D1E6E"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38DAA93A" w14:textId="77777777" w:rsidR="00B96A46" w:rsidRPr="00B31EB8" w:rsidRDefault="00B96A46" w:rsidP="006E3A41">
            <w:pPr>
              <w:rPr>
                <w:rFonts w:ascii="Open Sans" w:hAnsi="Open Sans" w:cs="Open Sans"/>
                <w:sz w:val="20"/>
                <w:szCs w:val="20"/>
                <w:lang w:val="en-GB"/>
              </w:rPr>
            </w:pPr>
            <w:r w:rsidRPr="00B31EB8">
              <w:rPr>
                <w:rFonts w:ascii="Open Sans" w:hAnsi="Open Sans" w:cs="Open Sans"/>
                <w:sz w:val="20"/>
                <w:szCs w:val="20"/>
                <w:lang w:val="en-GB"/>
              </w:rPr>
              <w:t>San Roman Wind I, LLC</w:t>
            </w:r>
          </w:p>
        </w:tc>
        <w:tc>
          <w:tcPr>
            <w:tcW w:w="1843" w:type="dxa"/>
            <w:tcBorders>
              <w:top w:val="nil"/>
              <w:left w:val="nil"/>
              <w:bottom w:val="single" w:sz="4" w:space="0" w:color="auto"/>
              <w:right w:val="single" w:sz="4" w:space="0" w:color="auto"/>
            </w:tcBorders>
            <w:shd w:val="clear" w:color="auto" w:fill="auto"/>
            <w:hideMark/>
          </w:tcPr>
          <w:p w14:paraId="379ADAEE"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4ACDB387"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2E3C9AC1" w14:textId="77777777" w:rsidTr="006E3A41">
        <w:trPr>
          <w:trHeight w:val="392"/>
        </w:trPr>
        <w:tc>
          <w:tcPr>
            <w:tcW w:w="4268" w:type="dxa"/>
            <w:tcBorders>
              <w:top w:val="nil"/>
              <w:left w:val="single" w:sz="4" w:space="0" w:color="auto"/>
              <w:bottom w:val="single" w:sz="4" w:space="0" w:color="auto"/>
              <w:right w:val="single" w:sz="4" w:space="0" w:color="auto"/>
            </w:tcBorders>
            <w:shd w:val="clear" w:color="auto" w:fill="auto"/>
            <w:hideMark/>
          </w:tcPr>
          <w:p w14:paraId="05353A61"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Nevada Solar One, Llc</w:t>
            </w:r>
          </w:p>
        </w:tc>
        <w:tc>
          <w:tcPr>
            <w:tcW w:w="1843" w:type="dxa"/>
            <w:tcBorders>
              <w:top w:val="nil"/>
              <w:left w:val="nil"/>
              <w:bottom w:val="single" w:sz="4" w:space="0" w:color="auto"/>
              <w:right w:val="single" w:sz="4" w:space="0" w:color="auto"/>
            </w:tcBorders>
            <w:shd w:val="clear" w:color="auto" w:fill="auto"/>
            <w:hideMark/>
          </w:tcPr>
          <w:p w14:paraId="660D5B9A"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297FFDE9"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5E1882AF" w14:textId="77777777" w:rsidTr="006E3A41">
        <w:trPr>
          <w:trHeight w:val="412"/>
        </w:trPr>
        <w:tc>
          <w:tcPr>
            <w:tcW w:w="4268" w:type="dxa"/>
            <w:tcBorders>
              <w:top w:val="nil"/>
              <w:left w:val="single" w:sz="4" w:space="0" w:color="auto"/>
              <w:bottom w:val="single" w:sz="4" w:space="0" w:color="auto"/>
              <w:right w:val="single" w:sz="4" w:space="0" w:color="auto"/>
            </w:tcBorders>
            <w:shd w:val="clear" w:color="auto" w:fill="auto"/>
            <w:hideMark/>
          </w:tcPr>
          <w:p w14:paraId="6609A00C"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Nvs1 Investment Group Llc</w:t>
            </w:r>
          </w:p>
        </w:tc>
        <w:tc>
          <w:tcPr>
            <w:tcW w:w="1843" w:type="dxa"/>
            <w:tcBorders>
              <w:top w:val="nil"/>
              <w:left w:val="nil"/>
              <w:bottom w:val="single" w:sz="4" w:space="0" w:color="auto"/>
              <w:right w:val="single" w:sz="4" w:space="0" w:color="auto"/>
            </w:tcBorders>
            <w:shd w:val="clear" w:color="auto" w:fill="auto"/>
            <w:hideMark/>
          </w:tcPr>
          <w:p w14:paraId="1A4DE692"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39932C55"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3DFAF5D3" w14:textId="77777777" w:rsidTr="006E3A41">
        <w:trPr>
          <w:trHeight w:val="418"/>
        </w:trPr>
        <w:tc>
          <w:tcPr>
            <w:tcW w:w="4268" w:type="dxa"/>
            <w:tcBorders>
              <w:top w:val="nil"/>
              <w:left w:val="single" w:sz="4" w:space="0" w:color="auto"/>
              <w:bottom w:val="single" w:sz="4" w:space="0" w:color="auto"/>
              <w:right w:val="single" w:sz="4" w:space="0" w:color="auto"/>
            </w:tcBorders>
            <w:shd w:val="clear" w:color="auto" w:fill="auto"/>
            <w:hideMark/>
          </w:tcPr>
          <w:p w14:paraId="6D5A4A30" w14:textId="77777777" w:rsidR="00B96A46" w:rsidRPr="00B31EB8" w:rsidRDefault="00B96A46" w:rsidP="006E3A41">
            <w:pPr>
              <w:rPr>
                <w:rFonts w:ascii="Open Sans" w:hAnsi="Open Sans" w:cs="Open Sans"/>
                <w:sz w:val="20"/>
                <w:szCs w:val="20"/>
                <w:lang w:val="en-GB"/>
              </w:rPr>
            </w:pPr>
            <w:r w:rsidRPr="00B31EB8">
              <w:rPr>
                <w:rFonts w:ascii="Open Sans" w:hAnsi="Open Sans" w:cs="Open Sans"/>
                <w:sz w:val="20"/>
                <w:szCs w:val="20"/>
                <w:lang w:val="en-GB"/>
              </w:rPr>
              <w:t>Solomon Forks Wind Farm, Llc</w:t>
            </w:r>
          </w:p>
        </w:tc>
        <w:tc>
          <w:tcPr>
            <w:tcW w:w="1843" w:type="dxa"/>
            <w:tcBorders>
              <w:top w:val="nil"/>
              <w:left w:val="nil"/>
              <w:bottom w:val="single" w:sz="4" w:space="0" w:color="auto"/>
              <w:right w:val="single" w:sz="4" w:space="0" w:color="auto"/>
            </w:tcBorders>
            <w:shd w:val="clear" w:color="auto" w:fill="auto"/>
            <w:hideMark/>
          </w:tcPr>
          <w:p w14:paraId="3BDD12BE"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nil"/>
              <w:bottom w:val="single" w:sz="4" w:space="0" w:color="auto"/>
              <w:right w:val="single" w:sz="4" w:space="0" w:color="auto"/>
            </w:tcBorders>
            <w:shd w:val="clear" w:color="auto" w:fill="auto"/>
            <w:hideMark/>
          </w:tcPr>
          <w:p w14:paraId="2B24CDE1"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0C007451"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5FB56542"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Tripower Wind. B.V.</w:t>
            </w:r>
          </w:p>
        </w:tc>
        <w:tc>
          <w:tcPr>
            <w:tcW w:w="1843" w:type="dxa"/>
            <w:tcBorders>
              <w:top w:val="nil"/>
              <w:left w:val="nil"/>
              <w:bottom w:val="single" w:sz="4" w:space="0" w:color="auto"/>
              <w:right w:val="single" w:sz="4" w:space="0" w:color="auto"/>
            </w:tcBorders>
            <w:shd w:val="clear" w:color="auto" w:fill="auto"/>
            <w:hideMark/>
          </w:tcPr>
          <w:p w14:paraId="4CFA8B5D"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Holanda</w:t>
            </w:r>
          </w:p>
        </w:tc>
        <w:tc>
          <w:tcPr>
            <w:tcW w:w="2681" w:type="dxa"/>
            <w:tcBorders>
              <w:top w:val="nil"/>
              <w:left w:val="single" w:sz="4" w:space="0" w:color="auto"/>
              <w:bottom w:val="single" w:sz="4" w:space="0" w:color="auto"/>
              <w:right w:val="single" w:sz="4" w:space="0" w:color="auto"/>
            </w:tcBorders>
            <w:shd w:val="clear" w:color="auto" w:fill="auto"/>
            <w:hideMark/>
          </w:tcPr>
          <w:p w14:paraId="42C14853"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76C8A593"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noWrap/>
            <w:hideMark/>
          </w:tcPr>
          <w:p w14:paraId="087B0AF1"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Solena Group</w:t>
            </w:r>
          </w:p>
        </w:tc>
        <w:tc>
          <w:tcPr>
            <w:tcW w:w="1843" w:type="dxa"/>
            <w:tcBorders>
              <w:top w:val="nil"/>
              <w:left w:val="nil"/>
              <w:bottom w:val="single" w:sz="4" w:space="0" w:color="auto"/>
              <w:right w:val="single" w:sz="4" w:space="0" w:color="auto"/>
            </w:tcBorders>
            <w:shd w:val="clear" w:color="auto" w:fill="auto"/>
            <w:hideMark/>
          </w:tcPr>
          <w:p w14:paraId="735F65E9"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nil"/>
              <w:left w:val="single" w:sz="4" w:space="0" w:color="auto"/>
              <w:bottom w:val="single" w:sz="4" w:space="0" w:color="auto"/>
              <w:right w:val="single" w:sz="4" w:space="0" w:color="auto"/>
            </w:tcBorders>
            <w:shd w:val="clear" w:color="auto" w:fill="auto"/>
            <w:noWrap/>
            <w:hideMark/>
          </w:tcPr>
          <w:p w14:paraId="2DD59BD9"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Servicios Urbanos</w:t>
            </w:r>
          </w:p>
        </w:tc>
      </w:tr>
      <w:tr w:rsidR="00B96A46" w:rsidRPr="00B31EB8" w14:paraId="143C440D"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hideMark/>
          </w:tcPr>
          <w:p w14:paraId="0A84FF21"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ACCIONA Epc North America Llc</w:t>
            </w:r>
          </w:p>
        </w:tc>
        <w:tc>
          <w:tcPr>
            <w:tcW w:w="1843" w:type="dxa"/>
            <w:tcBorders>
              <w:top w:val="nil"/>
              <w:left w:val="nil"/>
              <w:bottom w:val="single" w:sz="4" w:space="0" w:color="auto"/>
              <w:right w:val="single" w:sz="4" w:space="0" w:color="auto"/>
            </w:tcBorders>
            <w:shd w:val="clear" w:color="auto" w:fill="auto"/>
            <w:hideMark/>
          </w:tcPr>
          <w:p w14:paraId="2B3C38E1"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Delaware</w:t>
            </w:r>
          </w:p>
        </w:tc>
        <w:tc>
          <w:tcPr>
            <w:tcW w:w="2681" w:type="dxa"/>
            <w:tcBorders>
              <w:top w:val="nil"/>
              <w:left w:val="single" w:sz="4" w:space="0" w:color="auto"/>
              <w:bottom w:val="single" w:sz="4" w:space="0" w:color="auto"/>
              <w:right w:val="single" w:sz="4" w:space="0" w:color="auto"/>
            </w:tcBorders>
            <w:shd w:val="clear" w:color="auto" w:fill="auto"/>
            <w:hideMark/>
          </w:tcPr>
          <w:p w14:paraId="405EE9CD"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588DABBD" w14:textId="77777777" w:rsidTr="006E3A41">
        <w:trPr>
          <w:trHeight w:val="300"/>
        </w:trPr>
        <w:tc>
          <w:tcPr>
            <w:tcW w:w="4268" w:type="dxa"/>
            <w:tcBorders>
              <w:top w:val="nil"/>
              <w:left w:val="single" w:sz="4" w:space="0" w:color="auto"/>
              <w:bottom w:val="single" w:sz="4" w:space="0" w:color="auto"/>
              <w:right w:val="single" w:sz="4" w:space="0" w:color="auto"/>
            </w:tcBorders>
            <w:shd w:val="clear" w:color="auto" w:fill="auto"/>
            <w:noWrap/>
            <w:hideMark/>
          </w:tcPr>
          <w:p w14:paraId="670B73B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Ternua Holdings. B.V.</w:t>
            </w:r>
          </w:p>
        </w:tc>
        <w:tc>
          <w:tcPr>
            <w:tcW w:w="1843" w:type="dxa"/>
            <w:tcBorders>
              <w:top w:val="nil"/>
              <w:left w:val="nil"/>
              <w:bottom w:val="single" w:sz="4" w:space="0" w:color="auto"/>
              <w:right w:val="single" w:sz="4" w:space="0" w:color="auto"/>
            </w:tcBorders>
            <w:shd w:val="clear" w:color="000000" w:fill="FFFFFF"/>
            <w:hideMark/>
          </w:tcPr>
          <w:p w14:paraId="3D645C19"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Holanda</w:t>
            </w:r>
          </w:p>
        </w:tc>
        <w:tc>
          <w:tcPr>
            <w:tcW w:w="2681" w:type="dxa"/>
            <w:tcBorders>
              <w:top w:val="nil"/>
              <w:left w:val="single" w:sz="4" w:space="0" w:color="auto"/>
              <w:bottom w:val="single" w:sz="4" w:space="0" w:color="auto"/>
              <w:right w:val="single" w:sz="4" w:space="0" w:color="auto"/>
            </w:tcBorders>
            <w:shd w:val="clear" w:color="000000" w:fill="FFFFFF"/>
            <w:hideMark/>
          </w:tcPr>
          <w:p w14:paraId="4E2E12A2"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Energía</w:t>
            </w:r>
          </w:p>
        </w:tc>
      </w:tr>
      <w:tr w:rsidR="00B96A46" w:rsidRPr="00B31EB8" w14:paraId="0F15A75F" w14:textId="77777777" w:rsidTr="006E3A41">
        <w:trPr>
          <w:trHeight w:val="333"/>
        </w:trPr>
        <w:tc>
          <w:tcPr>
            <w:tcW w:w="4268" w:type="dxa"/>
            <w:tcBorders>
              <w:top w:val="single" w:sz="4" w:space="0" w:color="auto"/>
              <w:left w:val="single" w:sz="4" w:space="0" w:color="auto"/>
              <w:bottom w:val="single" w:sz="4" w:space="0" w:color="auto"/>
              <w:right w:val="single" w:sz="4" w:space="0" w:color="auto"/>
            </w:tcBorders>
            <w:shd w:val="clear" w:color="auto" w:fill="auto"/>
            <w:hideMark/>
          </w:tcPr>
          <w:p w14:paraId="4E025829"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Pacific Renewable Energy Generation Llc</w:t>
            </w:r>
          </w:p>
        </w:tc>
        <w:tc>
          <w:tcPr>
            <w:tcW w:w="1843" w:type="dxa"/>
            <w:tcBorders>
              <w:top w:val="single" w:sz="4" w:space="0" w:color="auto"/>
              <w:left w:val="nil"/>
              <w:bottom w:val="single" w:sz="4" w:space="0" w:color="auto"/>
              <w:right w:val="single" w:sz="4" w:space="0" w:color="auto"/>
            </w:tcBorders>
            <w:shd w:val="clear" w:color="auto" w:fill="auto"/>
            <w:hideMark/>
          </w:tcPr>
          <w:p w14:paraId="4AFD0951"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Delaware</w:t>
            </w:r>
          </w:p>
        </w:tc>
        <w:tc>
          <w:tcPr>
            <w:tcW w:w="2681" w:type="dxa"/>
            <w:tcBorders>
              <w:top w:val="single" w:sz="4" w:space="0" w:color="auto"/>
              <w:left w:val="nil"/>
              <w:bottom w:val="single" w:sz="4" w:space="0" w:color="auto"/>
              <w:right w:val="single" w:sz="4" w:space="0" w:color="auto"/>
            </w:tcBorders>
            <w:shd w:val="clear" w:color="auto" w:fill="auto"/>
            <w:hideMark/>
          </w:tcPr>
          <w:p w14:paraId="685B3BE5"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Energía</w:t>
            </w:r>
          </w:p>
        </w:tc>
      </w:tr>
      <w:tr w:rsidR="00B96A46" w:rsidRPr="00B31EB8" w14:paraId="2CAB2E86" w14:textId="77777777" w:rsidTr="006E3A41">
        <w:trPr>
          <w:trHeight w:val="500"/>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4CC29F8F"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Acciona Infraestructuras-Elecnor, Hospital David </w:t>
            </w:r>
          </w:p>
        </w:tc>
        <w:tc>
          <w:tcPr>
            <w:tcW w:w="1843" w:type="dxa"/>
            <w:tcBorders>
              <w:top w:val="single" w:sz="4" w:space="0" w:color="auto"/>
              <w:left w:val="nil"/>
              <w:bottom w:val="single" w:sz="4" w:space="0" w:color="auto"/>
              <w:right w:val="single" w:sz="4" w:space="0" w:color="auto"/>
            </w:tcBorders>
            <w:shd w:val="clear" w:color="auto" w:fill="auto"/>
          </w:tcPr>
          <w:p w14:paraId="617005B1"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 xml:space="preserve"> Panamá  </w:t>
            </w:r>
          </w:p>
        </w:tc>
        <w:tc>
          <w:tcPr>
            <w:tcW w:w="2681" w:type="dxa"/>
            <w:tcBorders>
              <w:top w:val="single" w:sz="4" w:space="0" w:color="auto"/>
              <w:left w:val="nil"/>
              <w:bottom w:val="single" w:sz="4" w:space="0" w:color="auto"/>
              <w:right w:val="single" w:sz="4" w:space="0" w:color="auto"/>
            </w:tcBorders>
            <w:shd w:val="clear" w:color="auto" w:fill="auto"/>
          </w:tcPr>
          <w:p w14:paraId="219741DA"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w:t>
            </w:r>
          </w:p>
          <w:p w14:paraId="42C606E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Construcción  </w:t>
            </w:r>
          </w:p>
          <w:p w14:paraId="4203F3C2" w14:textId="77777777" w:rsidR="00B96A46" w:rsidRPr="00B31EB8" w:rsidRDefault="00B96A46" w:rsidP="006E3A41">
            <w:pPr>
              <w:rPr>
                <w:rFonts w:ascii="Open Sans" w:hAnsi="Open Sans" w:cs="Open Sans"/>
                <w:color w:val="000000"/>
                <w:sz w:val="20"/>
                <w:szCs w:val="20"/>
              </w:rPr>
            </w:pPr>
          </w:p>
        </w:tc>
      </w:tr>
      <w:tr w:rsidR="00B96A46" w:rsidRPr="00B31EB8" w14:paraId="7C28F335" w14:textId="77777777" w:rsidTr="006E3A41">
        <w:trPr>
          <w:trHeight w:val="524"/>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3E248460"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 xml:space="preserve"> Acciona Energy South Africa (Proprietary) Limited </w:t>
            </w:r>
          </w:p>
        </w:tc>
        <w:tc>
          <w:tcPr>
            <w:tcW w:w="1843" w:type="dxa"/>
            <w:tcBorders>
              <w:top w:val="single" w:sz="4" w:space="0" w:color="auto"/>
              <w:left w:val="nil"/>
              <w:bottom w:val="single" w:sz="4" w:space="0" w:color="auto"/>
              <w:right w:val="single" w:sz="4" w:space="0" w:color="auto"/>
            </w:tcBorders>
            <w:shd w:val="clear" w:color="auto" w:fill="auto"/>
          </w:tcPr>
          <w:p w14:paraId="19F72B79"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lang w:val="en-GB"/>
              </w:rPr>
              <w:t xml:space="preserve"> </w:t>
            </w:r>
            <w:r w:rsidRPr="00B31EB8">
              <w:rPr>
                <w:rFonts w:ascii="Open Sans" w:hAnsi="Open Sans" w:cs="Open Sans"/>
                <w:color w:val="000000"/>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3A4B7735"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647EC316" w14:textId="77777777" w:rsidTr="006E3A41">
        <w:trPr>
          <w:trHeight w:val="404"/>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4A0738FB"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Acciona Energy South Africa Global (Pty) Ltd </w:t>
            </w:r>
          </w:p>
        </w:tc>
        <w:tc>
          <w:tcPr>
            <w:tcW w:w="1843" w:type="dxa"/>
            <w:tcBorders>
              <w:top w:val="single" w:sz="4" w:space="0" w:color="auto"/>
              <w:left w:val="nil"/>
              <w:bottom w:val="single" w:sz="4" w:space="0" w:color="auto"/>
              <w:right w:val="single" w:sz="4" w:space="0" w:color="auto"/>
            </w:tcBorders>
            <w:shd w:val="clear" w:color="auto" w:fill="auto"/>
          </w:tcPr>
          <w:p w14:paraId="1221D16C"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 xml:space="preserve"> Sudáfrica </w:t>
            </w:r>
          </w:p>
        </w:tc>
        <w:tc>
          <w:tcPr>
            <w:tcW w:w="2681" w:type="dxa"/>
            <w:tcBorders>
              <w:top w:val="single" w:sz="4" w:space="0" w:color="auto"/>
              <w:left w:val="nil"/>
              <w:bottom w:val="single" w:sz="4" w:space="0" w:color="auto"/>
              <w:right w:val="single" w:sz="4" w:space="0" w:color="auto"/>
            </w:tcBorders>
            <w:shd w:val="clear" w:color="auto" w:fill="auto"/>
          </w:tcPr>
          <w:p w14:paraId="366BE6B7"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220E04A6" w14:textId="77777777" w:rsidTr="006E3A41">
        <w:trPr>
          <w:trHeight w:val="268"/>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6E0EFD34"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 xml:space="preserve"> Acciona Windpower South Africa (Pty) Ltd. </w:t>
            </w:r>
          </w:p>
        </w:tc>
        <w:tc>
          <w:tcPr>
            <w:tcW w:w="1843" w:type="dxa"/>
            <w:tcBorders>
              <w:top w:val="single" w:sz="4" w:space="0" w:color="auto"/>
              <w:left w:val="nil"/>
              <w:bottom w:val="single" w:sz="4" w:space="0" w:color="auto"/>
              <w:right w:val="single" w:sz="4" w:space="0" w:color="auto"/>
            </w:tcBorders>
            <w:shd w:val="clear" w:color="auto" w:fill="auto"/>
          </w:tcPr>
          <w:p w14:paraId="5014A867"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438D62A4"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48654966" w14:textId="77777777" w:rsidTr="006E3A41">
        <w:trPr>
          <w:trHeight w:val="428"/>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0ED50A55"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 xml:space="preserve"> Gouda Wind Facility (Proprietary) Limited </w:t>
            </w:r>
          </w:p>
        </w:tc>
        <w:tc>
          <w:tcPr>
            <w:tcW w:w="1843" w:type="dxa"/>
            <w:tcBorders>
              <w:top w:val="single" w:sz="4" w:space="0" w:color="auto"/>
              <w:left w:val="nil"/>
              <w:bottom w:val="single" w:sz="4" w:space="0" w:color="auto"/>
              <w:right w:val="single" w:sz="4" w:space="0" w:color="auto"/>
            </w:tcBorders>
            <w:shd w:val="clear" w:color="auto" w:fill="auto"/>
          </w:tcPr>
          <w:p w14:paraId="1DFA10EF"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 xml:space="preserve">Sudáfrica </w:t>
            </w:r>
          </w:p>
        </w:tc>
        <w:tc>
          <w:tcPr>
            <w:tcW w:w="2681" w:type="dxa"/>
            <w:tcBorders>
              <w:top w:val="single" w:sz="4" w:space="0" w:color="auto"/>
              <w:left w:val="nil"/>
              <w:bottom w:val="single" w:sz="4" w:space="0" w:color="auto"/>
              <w:right w:val="single" w:sz="4" w:space="0" w:color="auto"/>
            </w:tcBorders>
            <w:shd w:val="clear" w:color="auto" w:fill="auto"/>
          </w:tcPr>
          <w:p w14:paraId="1D686131"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32E58033" w14:textId="77777777" w:rsidTr="006E3A41">
        <w:trPr>
          <w:trHeight w:val="419"/>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70BDBB86"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San Solar Energy Facility (Propietary) Limited </w:t>
            </w:r>
          </w:p>
        </w:tc>
        <w:tc>
          <w:tcPr>
            <w:tcW w:w="1843" w:type="dxa"/>
            <w:tcBorders>
              <w:top w:val="single" w:sz="4" w:space="0" w:color="auto"/>
              <w:left w:val="nil"/>
              <w:bottom w:val="single" w:sz="4" w:space="0" w:color="auto"/>
              <w:right w:val="single" w:sz="4" w:space="0" w:color="auto"/>
            </w:tcBorders>
            <w:shd w:val="clear" w:color="auto" w:fill="auto"/>
          </w:tcPr>
          <w:p w14:paraId="39CFEBFB"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 xml:space="preserve">  Sudáfrica</w:t>
            </w:r>
          </w:p>
        </w:tc>
        <w:tc>
          <w:tcPr>
            <w:tcW w:w="2681" w:type="dxa"/>
            <w:tcBorders>
              <w:top w:val="single" w:sz="4" w:space="0" w:color="auto"/>
              <w:left w:val="nil"/>
              <w:bottom w:val="single" w:sz="4" w:space="0" w:color="auto"/>
              <w:right w:val="single" w:sz="4" w:space="0" w:color="auto"/>
            </w:tcBorders>
            <w:shd w:val="clear" w:color="auto" w:fill="auto"/>
          </w:tcPr>
          <w:p w14:paraId="789CD006"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18723874" w14:textId="77777777" w:rsidTr="006E3A41">
        <w:trPr>
          <w:trHeight w:val="411"/>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2973EE7C"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 xml:space="preserve"> Sishen Solar Facility (Proprietary) Limited </w:t>
            </w:r>
          </w:p>
        </w:tc>
        <w:tc>
          <w:tcPr>
            <w:tcW w:w="1843" w:type="dxa"/>
            <w:tcBorders>
              <w:top w:val="single" w:sz="4" w:space="0" w:color="auto"/>
              <w:left w:val="nil"/>
              <w:bottom w:val="single" w:sz="4" w:space="0" w:color="auto"/>
              <w:right w:val="single" w:sz="4" w:space="0" w:color="auto"/>
            </w:tcBorders>
            <w:shd w:val="clear" w:color="auto" w:fill="auto"/>
          </w:tcPr>
          <w:p w14:paraId="5F90C93C"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lang w:val="en-GB"/>
              </w:rPr>
              <w:t xml:space="preserve"> </w:t>
            </w:r>
            <w:r w:rsidRPr="00B31EB8">
              <w:rPr>
                <w:rFonts w:ascii="Open Sans" w:hAnsi="Open Sans" w:cs="Open Sans"/>
                <w:color w:val="000000"/>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5084F9DB"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1FFD992A" w14:textId="77777777" w:rsidTr="006E3A41">
        <w:trPr>
          <w:trHeight w:val="418"/>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70EC7136" w14:textId="77777777" w:rsidR="00B96A46" w:rsidRPr="00B31EB8" w:rsidRDefault="00B96A46" w:rsidP="006E3A41">
            <w:pPr>
              <w:rPr>
                <w:rFonts w:ascii="Open Sans" w:hAnsi="Open Sans" w:cs="Open Sans"/>
                <w:sz w:val="20"/>
                <w:szCs w:val="20"/>
                <w:lang w:val="en-GB"/>
              </w:rPr>
            </w:pPr>
            <w:r w:rsidRPr="00B31EB8">
              <w:rPr>
                <w:rFonts w:ascii="Open Sans" w:hAnsi="Open Sans" w:cs="Open Sans"/>
                <w:sz w:val="20"/>
                <w:szCs w:val="20"/>
                <w:lang w:val="en-GB"/>
              </w:rPr>
              <w:t xml:space="preserve"> Bokpoort EPC Consortium (Pty) Ltd </w:t>
            </w:r>
          </w:p>
        </w:tc>
        <w:tc>
          <w:tcPr>
            <w:tcW w:w="1843" w:type="dxa"/>
            <w:tcBorders>
              <w:top w:val="single" w:sz="4" w:space="0" w:color="auto"/>
              <w:left w:val="nil"/>
              <w:bottom w:val="single" w:sz="4" w:space="0" w:color="auto"/>
              <w:right w:val="single" w:sz="4" w:space="0" w:color="auto"/>
            </w:tcBorders>
            <w:shd w:val="clear" w:color="auto" w:fill="auto"/>
          </w:tcPr>
          <w:p w14:paraId="39C011DD"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187A1ED5"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 xml:space="preserve">  Ingeniería</w:t>
            </w:r>
          </w:p>
        </w:tc>
      </w:tr>
      <w:tr w:rsidR="00B96A46" w:rsidRPr="00B31EB8" w14:paraId="53E5DF7D" w14:textId="77777777" w:rsidTr="006E3A41">
        <w:trPr>
          <w:trHeight w:val="282"/>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5EE9942E"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Firefly Investments 238 (Proprietary) Limited </w:t>
            </w:r>
          </w:p>
        </w:tc>
        <w:tc>
          <w:tcPr>
            <w:tcW w:w="1843" w:type="dxa"/>
            <w:tcBorders>
              <w:top w:val="single" w:sz="4" w:space="0" w:color="auto"/>
              <w:left w:val="nil"/>
              <w:bottom w:val="single" w:sz="4" w:space="0" w:color="auto"/>
              <w:right w:val="single" w:sz="4" w:space="0" w:color="auto"/>
            </w:tcBorders>
            <w:shd w:val="clear" w:color="auto" w:fill="auto"/>
          </w:tcPr>
          <w:p w14:paraId="41E6A431"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rPr>
              <w:t xml:space="preserve"> Sudáfrica</w:t>
            </w:r>
          </w:p>
        </w:tc>
        <w:tc>
          <w:tcPr>
            <w:tcW w:w="2681" w:type="dxa"/>
            <w:tcBorders>
              <w:top w:val="single" w:sz="4" w:space="0" w:color="auto"/>
              <w:left w:val="nil"/>
              <w:bottom w:val="single" w:sz="4" w:space="0" w:color="auto"/>
              <w:right w:val="single" w:sz="4" w:space="0" w:color="auto"/>
            </w:tcBorders>
            <w:shd w:val="clear" w:color="auto" w:fill="auto"/>
          </w:tcPr>
          <w:p w14:paraId="4835D2D4"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740E5D5D" w14:textId="77777777" w:rsidTr="006E3A41">
        <w:trPr>
          <w:trHeight w:val="541"/>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34BB9B66"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 xml:space="preserve"> Oakleaf Investment Holdings 86 (Proprietary) Limit </w:t>
            </w:r>
          </w:p>
        </w:tc>
        <w:tc>
          <w:tcPr>
            <w:tcW w:w="1843" w:type="dxa"/>
            <w:tcBorders>
              <w:top w:val="single" w:sz="4" w:space="0" w:color="auto"/>
              <w:left w:val="nil"/>
              <w:bottom w:val="single" w:sz="4" w:space="0" w:color="auto"/>
              <w:right w:val="single" w:sz="4" w:space="0" w:color="auto"/>
            </w:tcBorders>
            <w:shd w:val="clear" w:color="auto" w:fill="auto"/>
          </w:tcPr>
          <w:p w14:paraId="1C455B7E"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lang w:val="en-GB"/>
              </w:rPr>
              <w:t xml:space="preserve"> </w:t>
            </w:r>
            <w:r w:rsidRPr="00B31EB8">
              <w:rPr>
                <w:rFonts w:ascii="Open Sans" w:hAnsi="Open Sans" w:cs="Open Sans"/>
                <w:color w:val="000000"/>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2BD3B689"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r w:rsidR="00B96A46" w:rsidRPr="00B31EB8" w14:paraId="30283351" w14:textId="77777777" w:rsidTr="006E3A41">
        <w:trPr>
          <w:trHeight w:val="408"/>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6620B072" w14:textId="77777777" w:rsidR="00B96A46" w:rsidRPr="00B31EB8" w:rsidRDefault="00B96A46" w:rsidP="006E3A41">
            <w:pPr>
              <w:rPr>
                <w:rFonts w:ascii="Open Sans" w:hAnsi="Open Sans" w:cs="Open Sans"/>
                <w:sz w:val="20"/>
                <w:szCs w:val="20"/>
                <w:lang w:val="en-GB"/>
              </w:rPr>
            </w:pPr>
            <w:r w:rsidRPr="00B31EB8">
              <w:rPr>
                <w:rFonts w:ascii="Open Sans" w:hAnsi="Open Sans" w:cs="Open Sans"/>
                <w:sz w:val="20"/>
                <w:szCs w:val="20"/>
                <w:lang w:val="en-GB"/>
              </w:rPr>
              <w:t xml:space="preserve"> Deep River Wind Facility (Propietary) Limited </w:t>
            </w:r>
          </w:p>
        </w:tc>
        <w:tc>
          <w:tcPr>
            <w:tcW w:w="1843" w:type="dxa"/>
            <w:tcBorders>
              <w:top w:val="single" w:sz="4" w:space="0" w:color="auto"/>
              <w:left w:val="nil"/>
              <w:bottom w:val="single" w:sz="4" w:space="0" w:color="auto"/>
              <w:right w:val="single" w:sz="4" w:space="0" w:color="auto"/>
            </w:tcBorders>
            <w:shd w:val="clear" w:color="auto" w:fill="auto"/>
          </w:tcPr>
          <w:p w14:paraId="0F1DE267"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08834CDB"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 xml:space="preserve"> Energía  </w:t>
            </w:r>
          </w:p>
        </w:tc>
      </w:tr>
      <w:tr w:rsidR="00B96A46" w:rsidRPr="00B31EB8" w14:paraId="654F2C14" w14:textId="77777777" w:rsidTr="006E3A41">
        <w:trPr>
          <w:trHeight w:val="414"/>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11458864" w14:textId="77777777" w:rsidR="00B96A46" w:rsidRPr="00B31EB8" w:rsidRDefault="00B96A46" w:rsidP="006E3A41">
            <w:pPr>
              <w:rPr>
                <w:rFonts w:ascii="Open Sans" w:hAnsi="Open Sans" w:cs="Open Sans"/>
                <w:sz w:val="20"/>
                <w:szCs w:val="20"/>
                <w:lang w:val="en-GB"/>
              </w:rPr>
            </w:pPr>
            <w:r w:rsidRPr="00B31EB8">
              <w:rPr>
                <w:rFonts w:ascii="Open Sans" w:hAnsi="Open Sans" w:cs="Open Sans"/>
                <w:sz w:val="20"/>
                <w:szCs w:val="20"/>
                <w:lang w:val="en-GB"/>
              </w:rPr>
              <w:t xml:space="preserve"> Kimberly Solar Facility (Propietary) Limited </w:t>
            </w:r>
          </w:p>
        </w:tc>
        <w:tc>
          <w:tcPr>
            <w:tcW w:w="1843" w:type="dxa"/>
            <w:tcBorders>
              <w:top w:val="single" w:sz="4" w:space="0" w:color="auto"/>
              <w:left w:val="nil"/>
              <w:bottom w:val="single" w:sz="4" w:space="0" w:color="auto"/>
              <w:right w:val="single" w:sz="4" w:space="0" w:color="auto"/>
            </w:tcBorders>
            <w:shd w:val="clear" w:color="auto" w:fill="auto"/>
          </w:tcPr>
          <w:p w14:paraId="338E0F43" w14:textId="77777777" w:rsidR="00B96A46" w:rsidRPr="00B31EB8" w:rsidRDefault="00B96A46" w:rsidP="006E3A41">
            <w:pPr>
              <w:ind w:left="-200" w:firstLine="200"/>
              <w:rPr>
                <w:rFonts w:ascii="Open Sans" w:hAnsi="Open Sans" w:cs="Open Sans"/>
                <w:sz w:val="20"/>
                <w:szCs w:val="20"/>
              </w:rPr>
            </w:pPr>
            <w:r w:rsidRPr="00B31EB8">
              <w:rPr>
                <w:rFonts w:ascii="Open Sans" w:hAnsi="Open Sans" w:cs="Open Sans"/>
                <w:sz w:val="20"/>
                <w:szCs w:val="20"/>
                <w:lang w:val="en-GB"/>
              </w:rPr>
              <w:t xml:space="preserve"> </w:t>
            </w:r>
            <w:r w:rsidRPr="00B31EB8">
              <w:rPr>
                <w:rFonts w:ascii="Open Sans" w:hAnsi="Open Sans" w:cs="Open Sans"/>
                <w:sz w:val="20"/>
                <w:szCs w:val="20"/>
              </w:rPr>
              <w:t>Sudáfrica</w:t>
            </w:r>
          </w:p>
        </w:tc>
        <w:tc>
          <w:tcPr>
            <w:tcW w:w="2681" w:type="dxa"/>
            <w:tcBorders>
              <w:top w:val="single" w:sz="4" w:space="0" w:color="auto"/>
              <w:left w:val="nil"/>
              <w:bottom w:val="single" w:sz="4" w:space="0" w:color="auto"/>
              <w:right w:val="single" w:sz="4" w:space="0" w:color="auto"/>
            </w:tcBorders>
            <w:shd w:val="clear" w:color="auto" w:fill="auto"/>
          </w:tcPr>
          <w:p w14:paraId="6BEC5A40" w14:textId="77777777" w:rsidR="00B96A46" w:rsidRPr="00B31EB8" w:rsidRDefault="00B96A46" w:rsidP="006E3A41">
            <w:pPr>
              <w:rPr>
                <w:rFonts w:ascii="Open Sans" w:hAnsi="Open Sans" w:cs="Open Sans"/>
                <w:sz w:val="20"/>
                <w:szCs w:val="20"/>
              </w:rPr>
            </w:pPr>
            <w:r w:rsidRPr="00B31EB8">
              <w:rPr>
                <w:rFonts w:ascii="Open Sans" w:hAnsi="Open Sans" w:cs="Open Sans"/>
                <w:sz w:val="20"/>
                <w:szCs w:val="20"/>
              </w:rPr>
              <w:t xml:space="preserve"> Energía  </w:t>
            </w:r>
          </w:p>
        </w:tc>
      </w:tr>
      <w:tr w:rsidR="00B96A46" w:rsidRPr="00B31EB8" w14:paraId="621F79F5" w14:textId="77777777" w:rsidTr="006E3A41">
        <w:trPr>
          <w:trHeight w:val="420"/>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295AEB96" w14:textId="77777777" w:rsidR="00B96A46" w:rsidRPr="00B31EB8" w:rsidRDefault="00B96A46" w:rsidP="006E3A41">
            <w:pPr>
              <w:rPr>
                <w:rFonts w:ascii="Open Sans" w:hAnsi="Open Sans" w:cs="Open Sans"/>
                <w:color w:val="000000"/>
                <w:sz w:val="20"/>
                <w:szCs w:val="20"/>
              </w:rPr>
            </w:pPr>
          </w:p>
        </w:tc>
        <w:tc>
          <w:tcPr>
            <w:tcW w:w="1843" w:type="dxa"/>
            <w:tcBorders>
              <w:top w:val="single" w:sz="4" w:space="0" w:color="auto"/>
              <w:left w:val="nil"/>
              <w:bottom w:val="single" w:sz="4" w:space="0" w:color="auto"/>
              <w:right w:val="single" w:sz="4" w:space="0" w:color="auto"/>
            </w:tcBorders>
            <w:shd w:val="clear" w:color="auto" w:fill="auto"/>
          </w:tcPr>
          <w:p w14:paraId="200C97AF" w14:textId="77777777" w:rsidR="00B96A46" w:rsidRPr="00B31EB8" w:rsidRDefault="00B96A46" w:rsidP="006E3A41">
            <w:pPr>
              <w:ind w:left="-200" w:firstLine="200"/>
              <w:rPr>
                <w:rFonts w:ascii="Open Sans" w:hAnsi="Open Sans" w:cs="Open Sans"/>
                <w:color w:val="000000"/>
                <w:sz w:val="20"/>
                <w:szCs w:val="20"/>
              </w:rPr>
            </w:pPr>
          </w:p>
        </w:tc>
        <w:tc>
          <w:tcPr>
            <w:tcW w:w="2681" w:type="dxa"/>
            <w:tcBorders>
              <w:top w:val="single" w:sz="4" w:space="0" w:color="auto"/>
              <w:left w:val="nil"/>
              <w:bottom w:val="single" w:sz="4" w:space="0" w:color="auto"/>
              <w:right w:val="single" w:sz="4" w:space="0" w:color="auto"/>
            </w:tcBorders>
            <w:shd w:val="clear" w:color="auto" w:fill="auto"/>
          </w:tcPr>
          <w:p w14:paraId="1E23E546"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Repetida</w:t>
            </w:r>
          </w:p>
        </w:tc>
      </w:tr>
      <w:tr w:rsidR="00B96A46" w:rsidRPr="00B31EB8" w14:paraId="1D0B624C" w14:textId="77777777" w:rsidTr="006E3A41">
        <w:trPr>
          <w:trHeight w:val="425"/>
        </w:trPr>
        <w:tc>
          <w:tcPr>
            <w:tcW w:w="4268" w:type="dxa"/>
            <w:tcBorders>
              <w:top w:val="single" w:sz="4" w:space="0" w:color="auto"/>
              <w:left w:val="single" w:sz="4" w:space="0" w:color="auto"/>
              <w:bottom w:val="single" w:sz="4" w:space="0" w:color="auto"/>
              <w:right w:val="single" w:sz="4" w:space="0" w:color="auto"/>
            </w:tcBorders>
            <w:shd w:val="clear" w:color="auto" w:fill="auto"/>
          </w:tcPr>
          <w:p w14:paraId="6C968970" w14:textId="77777777" w:rsidR="00B96A46" w:rsidRPr="00B31EB8" w:rsidRDefault="00B96A46" w:rsidP="006E3A41">
            <w:pPr>
              <w:rPr>
                <w:rFonts w:ascii="Open Sans" w:hAnsi="Open Sans" w:cs="Open Sans"/>
                <w:color w:val="000000"/>
                <w:sz w:val="20"/>
                <w:szCs w:val="20"/>
                <w:lang w:val="en-GB"/>
              </w:rPr>
            </w:pPr>
            <w:r w:rsidRPr="00B31EB8">
              <w:rPr>
                <w:rFonts w:ascii="Open Sans" w:hAnsi="Open Sans" w:cs="Open Sans"/>
                <w:color w:val="000000"/>
                <w:sz w:val="20"/>
                <w:szCs w:val="20"/>
                <w:lang w:val="en-GB"/>
              </w:rPr>
              <w:t xml:space="preserve"> Meltemi South Sp. Z.O.O. </w:t>
            </w:r>
          </w:p>
        </w:tc>
        <w:tc>
          <w:tcPr>
            <w:tcW w:w="1843" w:type="dxa"/>
            <w:tcBorders>
              <w:top w:val="single" w:sz="4" w:space="0" w:color="auto"/>
              <w:left w:val="nil"/>
              <w:bottom w:val="single" w:sz="4" w:space="0" w:color="auto"/>
              <w:right w:val="single" w:sz="4" w:space="0" w:color="auto"/>
            </w:tcBorders>
            <w:shd w:val="clear" w:color="auto" w:fill="auto"/>
          </w:tcPr>
          <w:p w14:paraId="66237AEE" w14:textId="77777777" w:rsidR="00B96A46" w:rsidRPr="00B31EB8" w:rsidRDefault="00B96A46" w:rsidP="006E3A41">
            <w:pPr>
              <w:ind w:left="-200" w:firstLine="200"/>
              <w:rPr>
                <w:rFonts w:ascii="Open Sans" w:hAnsi="Open Sans" w:cs="Open Sans"/>
                <w:color w:val="000000"/>
                <w:sz w:val="20"/>
                <w:szCs w:val="20"/>
              </w:rPr>
            </w:pPr>
            <w:r w:rsidRPr="00B31EB8">
              <w:rPr>
                <w:rFonts w:ascii="Open Sans" w:hAnsi="Open Sans" w:cs="Open Sans"/>
                <w:color w:val="000000"/>
                <w:sz w:val="20"/>
                <w:szCs w:val="20"/>
                <w:lang w:val="en-GB"/>
              </w:rPr>
              <w:t xml:space="preserve"> </w:t>
            </w:r>
            <w:r w:rsidRPr="00B31EB8">
              <w:rPr>
                <w:rFonts w:ascii="Open Sans" w:hAnsi="Open Sans" w:cs="Open Sans"/>
                <w:color w:val="000000"/>
                <w:sz w:val="20"/>
                <w:szCs w:val="20"/>
              </w:rPr>
              <w:t>Polonia</w:t>
            </w:r>
          </w:p>
        </w:tc>
        <w:tc>
          <w:tcPr>
            <w:tcW w:w="2681" w:type="dxa"/>
            <w:tcBorders>
              <w:top w:val="single" w:sz="4" w:space="0" w:color="auto"/>
              <w:left w:val="nil"/>
              <w:bottom w:val="single" w:sz="4" w:space="0" w:color="auto"/>
              <w:right w:val="single" w:sz="4" w:space="0" w:color="auto"/>
            </w:tcBorders>
            <w:shd w:val="clear" w:color="auto" w:fill="auto"/>
          </w:tcPr>
          <w:p w14:paraId="7A2FF65E" w14:textId="77777777" w:rsidR="00B96A46" w:rsidRPr="00B31EB8" w:rsidRDefault="00B96A46" w:rsidP="006E3A41">
            <w:pPr>
              <w:rPr>
                <w:rFonts w:ascii="Open Sans" w:hAnsi="Open Sans" w:cs="Open Sans"/>
                <w:color w:val="000000"/>
                <w:sz w:val="20"/>
                <w:szCs w:val="20"/>
              </w:rPr>
            </w:pPr>
            <w:r w:rsidRPr="00B31EB8">
              <w:rPr>
                <w:rFonts w:ascii="Open Sans" w:hAnsi="Open Sans" w:cs="Open Sans"/>
                <w:color w:val="000000"/>
                <w:sz w:val="20"/>
                <w:szCs w:val="20"/>
              </w:rPr>
              <w:t xml:space="preserve"> Energía  </w:t>
            </w:r>
          </w:p>
        </w:tc>
      </w:tr>
    </w:tbl>
    <w:p w14:paraId="58C6B1AF" w14:textId="77777777" w:rsidR="00B96A46" w:rsidRPr="00B31EB8" w:rsidRDefault="00B96A46" w:rsidP="00B96A46">
      <w:pPr>
        <w:jc w:val="both"/>
        <w:rPr>
          <w:rFonts w:ascii="Open Sans" w:hAnsi="Open Sans" w:cs="Open Sans"/>
          <w:b/>
          <w:sz w:val="20"/>
          <w:szCs w:val="20"/>
        </w:rPr>
      </w:pPr>
    </w:p>
    <w:p w14:paraId="599B69A1"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En relación a EEUU existen filiales que según se indica tienen que ver con la actividad de energía pero no se indica la dirección concreta de la misma. Una mayor búsqueda a través de fuentes externas (bizipedia, opencorporates…), indican que se trata de filiales que aparecen al menos en dos domicilios, el de actividad y en Delaware, no teniendo aparentemente actividad operativa en este Estado.</w:t>
      </w:r>
    </w:p>
    <w:p w14:paraId="3A302446" w14:textId="77777777" w:rsidR="00B96A46" w:rsidRPr="00B31EB8" w:rsidRDefault="00B96A46" w:rsidP="00B96A46">
      <w:pPr>
        <w:jc w:val="both"/>
        <w:rPr>
          <w:rFonts w:ascii="Open Sans" w:hAnsi="Open Sans" w:cs="Open Sans"/>
          <w:sz w:val="20"/>
          <w:szCs w:val="20"/>
        </w:rPr>
      </w:pPr>
    </w:p>
    <w:p w14:paraId="63EC62A6" w14:textId="77777777" w:rsidR="00B96A46" w:rsidRDefault="00B96A46" w:rsidP="00B96A46">
      <w:pPr>
        <w:jc w:val="both"/>
        <w:rPr>
          <w:rFonts w:ascii="Open Sans" w:hAnsi="Open Sans" w:cs="Open Sans"/>
          <w:sz w:val="20"/>
          <w:szCs w:val="20"/>
        </w:rPr>
      </w:pPr>
      <w:r w:rsidRPr="00B31EB8">
        <w:rPr>
          <w:rFonts w:ascii="Open Sans" w:hAnsi="Open Sans" w:cs="Open Sans"/>
          <w:sz w:val="20"/>
          <w:szCs w:val="20"/>
        </w:rPr>
        <w:t xml:space="preserve">De la información facilitada por Acciona no es posible conocer el total de la titularidad de las sociedades dependientes localizadas en nichos y paraísos fiscales, tampoco se tiene acceso al número de empleados vinculados con las mismas, datos de facturación, beneficios e impuestos pagados. </w:t>
      </w:r>
    </w:p>
    <w:p w14:paraId="7E91769B" w14:textId="77777777" w:rsidR="00B96A46" w:rsidRPr="00B31EB8" w:rsidRDefault="00B96A46" w:rsidP="00B96A46">
      <w:pPr>
        <w:jc w:val="both"/>
        <w:rPr>
          <w:rFonts w:ascii="Open Sans" w:hAnsi="Open Sans" w:cs="Open Sans"/>
          <w:sz w:val="20"/>
          <w:szCs w:val="20"/>
        </w:rPr>
      </w:pPr>
    </w:p>
    <w:p w14:paraId="2D8025A0"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menciona en su estrategia fiscal que corresponde al Consejo de Administración  “la aprobación de la creación o adquisición de participaciones en entidades de propósito especial o domiciliadas en países o territorios que tengan la consideración de paraísos fiscales”, sin embargo no se posiciona con respecto a qué considera paraíso fiscal ni nicho fiscal. El uso cada vez más frecuente de los nichos fiscales es puesta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B31EB8">
        <w:rPr>
          <w:rStyle w:val="Refdenotaalpie"/>
          <w:rFonts w:ascii="Open Sans" w:hAnsi="Open Sans" w:cs="Open Sans"/>
          <w:sz w:val="20"/>
          <w:szCs w:val="20"/>
        </w:rPr>
        <w:footnoteReference w:id="253"/>
      </w:r>
      <w:r w:rsidRPr="00B31EB8">
        <w:rPr>
          <w:rFonts w:ascii="Open Sans" w:hAnsi="Open Sans" w:cs="Open Sans"/>
          <w:sz w:val="20"/>
          <w:szCs w:val="20"/>
        </w:rPr>
        <w:t>.</w:t>
      </w:r>
    </w:p>
    <w:p w14:paraId="283034C8" w14:textId="77777777" w:rsidR="00B96A46" w:rsidRPr="00B31EB8" w:rsidRDefault="00B96A46" w:rsidP="00B96A46">
      <w:pPr>
        <w:jc w:val="both"/>
        <w:rPr>
          <w:rFonts w:ascii="Open Sans" w:hAnsi="Open Sans" w:cs="Open Sans"/>
          <w:sz w:val="20"/>
          <w:szCs w:val="20"/>
        </w:rPr>
      </w:pPr>
    </w:p>
    <w:p w14:paraId="5C65A556"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No se ha encontrado mención en la documentación analizada sobre informaciones aparecidas en prensa sobre una posible estructura societaria a través de paraísos fiscales (Bermudas y Cayman) de la concesionaria liderada por Acciona de la privatización de la </w:t>
      </w:r>
      <w:r w:rsidRPr="00B31EB8">
        <w:rPr>
          <w:rStyle w:val="apple-converted-space"/>
          <w:rFonts w:ascii="Open Sans" w:hAnsi="Open Sans" w:cs="Open Sans"/>
          <w:color w:val="333333"/>
          <w:sz w:val="20"/>
          <w:szCs w:val="20"/>
          <w:shd w:val="clear" w:color="auto" w:fill="FFFFFF"/>
        </w:rPr>
        <w:t> </w:t>
      </w:r>
      <w:r w:rsidRPr="00B31EB8">
        <w:rPr>
          <w:rFonts w:ascii="Open Sans" w:hAnsi="Open Sans" w:cs="Open Sans"/>
          <w:sz w:val="20"/>
          <w:szCs w:val="20"/>
        </w:rPr>
        <w:t>la empresa pública Aigües Ter Llobregat por parte de “ATLL Concesionaria de la Generalitat SA” entidad participada por Acciona</w:t>
      </w:r>
      <w:r w:rsidRPr="00B31EB8">
        <w:rPr>
          <w:rStyle w:val="Refdenotaalpie"/>
          <w:rFonts w:ascii="Open Sans" w:hAnsi="Open Sans" w:cs="Open Sans"/>
          <w:sz w:val="20"/>
          <w:szCs w:val="20"/>
        </w:rPr>
        <w:footnoteReference w:id="254"/>
      </w:r>
    </w:p>
    <w:p w14:paraId="4284B56D" w14:textId="77777777" w:rsidR="00B96A46" w:rsidRPr="00B31EB8" w:rsidRDefault="00B96A46" w:rsidP="00B96A46">
      <w:pPr>
        <w:jc w:val="both"/>
        <w:rPr>
          <w:rFonts w:ascii="Open Sans" w:hAnsi="Open Sans" w:cs="Open Sans"/>
          <w:b/>
          <w:sz w:val="20"/>
          <w:szCs w:val="20"/>
        </w:rPr>
      </w:pPr>
    </w:p>
    <w:p w14:paraId="7830E0A0" w14:textId="77777777" w:rsidR="00B96A46" w:rsidRDefault="00B96A46" w:rsidP="00B96A46">
      <w:pPr>
        <w:jc w:val="both"/>
        <w:rPr>
          <w:rFonts w:ascii="Open Sans" w:hAnsi="Open Sans" w:cs="Open Sans"/>
          <w:sz w:val="20"/>
          <w:szCs w:val="20"/>
        </w:rPr>
      </w:pPr>
      <w:r w:rsidRPr="00B31EB8">
        <w:rPr>
          <w:rFonts w:ascii="Open Sans" w:hAnsi="Open Sans" w:cs="Open Sans"/>
          <w:sz w:val="20"/>
          <w:szCs w:val="20"/>
        </w:rPr>
        <w:t xml:space="preserve">Por otro lado, los mayores accionistas de Acciona son la Familia Entrecanales, con el 56,03% del capital a través de dos sociedades: Tussen de Grachten, BV (Familia Entrecanales Franco) con un 27,8% y Wit Europese Investering, BV, anteriormente Entreazca (Familia Entrecanales Domecq) con un 28.23%. Ambas sociedades están radicadas en Holanda, país conocido por sus ventajas fiscales para no residentes. </w:t>
      </w:r>
    </w:p>
    <w:p w14:paraId="062645A7" w14:textId="77777777" w:rsidR="00B96A46" w:rsidRPr="00B31EB8" w:rsidRDefault="00B96A46" w:rsidP="00B96A46">
      <w:pPr>
        <w:jc w:val="both"/>
        <w:rPr>
          <w:rFonts w:ascii="Open Sans" w:hAnsi="Open Sans" w:cs="Open Sans"/>
          <w:sz w:val="20"/>
          <w:szCs w:val="20"/>
        </w:rPr>
      </w:pPr>
    </w:p>
    <w:p w14:paraId="054ABDF6"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afirma que ha definido una política de gestión de riesgos fiscales “basada en un adecuado entorno de control, un sistema de identificación de riesgos y un proceso de monitorización y mejora continua de la efectividad de los controles establecidos”, sin embargo no identifica esos riesgos en la información analizada ni qué medidas ha adoptado para mitigarlos.</w:t>
      </w:r>
    </w:p>
    <w:p w14:paraId="1F6632E0" w14:textId="77777777" w:rsidR="00B96A46" w:rsidRPr="00B31EB8" w:rsidRDefault="00B96A46" w:rsidP="00B96A46">
      <w:pPr>
        <w:jc w:val="both"/>
        <w:rPr>
          <w:rFonts w:ascii="Open Sans" w:hAnsi="Open Sans" w:cs="Open Sans"/>
          <w:sz w:val="20"/>
          <w:szCs w:val="20"/>
        </w:rPr>
      </w:pPr>
    </w:p>
    <w:p w14:paraId="2EBA912B"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El Consejo de Administración acordó en septiembre de 2011 la adhesión de ACCIONA, S.A. al Código de Buenas Prácticas Tributarias.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w:t>
      </w:r>
      <w:r w:rsidRPr="00B31EB8">
        <w:rPr>
          <w:rFonts w:ascii="Open Sans" w:hAnsi="Open Sans" w:cs="Open Sans"/>
          <w:i/>
          <w:iCs/>
          <w:sz w:val="20"/>
          <w:szCs w:val="20"/>
        </w:rPr>
        <w:t>offshore</w:t>
      </w:r>
      <w:r w:rsidRPr="00B31EB8">
        <w:rPr>
          <w:rFonts w:ascii="Open Sans" w:hAnsi="Open Sans" w:cs="Open Sans"/>
          <w:sz w:val="20"/>
          <w:szCs w:val="20"/>
        </w:rPr>
        <w:t>, que favorecen la evasión fiscal</w:t>
      </w:r>
    </w:p>
    <w:p w14:paraId="465FF7A3" w14:textId="77777777" w:rsidR="00B96A46" w:rsidRPr="00B31EB8" w:rsidRDefault="00B96A46" w:rsidP="00B96A46">
      <w:pPr>
        <w:jc w:val="both"/>
        <w:rPr>
          <w:rFonts w:ascii="Open Sans" w:hAnsi="Open Sans" w:cs="Open Sans"/>
          <w:sz w:val="20"/>
          <w:szCs w:val="20"/>
        </w:rPr>
      </w:pPr>
    </w:p>
    <w:p w14:paraId="6AABF9F6"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 xml:space="preserve">Acciona afirma que  “con el fin de aunar y completar los sistemas de control, prevención y cumplimiento normativo ya existentes para reducir los riesgos fiscales significativos y la prevención de aquellas conductas susceptibles de generarlos, aprobándose el 24 de julio de 2012 el Código de Conducta Tributara y Políticas Fiscales que incluye un apartado sobre la política de gestión de los mismos y en la que se define una matriz de riesgos fiscales asumible”. Sin embargo en la información consultada no se ha tenido acceso al Código de Conducta Tributaria y Políticas Fiscales, ni a la matriz de riesgo. </w:t>
      </w:r>
    </w:p>
    <w:p w14:paraId="62A132B9" w14:textId="77777777" w:rsidR="00B96A46" w:rsidRPr="00B31EB8" w:rsidRDefault="00B96A46" w:rsidP="00B96A46">
      <w:pPr>
        <w:jc w:val="both"/>
        <w:rPr>
          <w:rFonts w:ascii="Open Sans" w:hAnsi="Open Sans" w:cs="Open Sans"/>
          <w:b/>
          <w:sz w:val="20"/>
          <w:szCs w:val="20"/>
        </w:rPr>
      </w:pPr>
    </w:p>
    <w:p w14:paraId="5D23D3AC"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Acciona ha aprobado durante 2015 una estrategia fiscal está basada, de acuerdo con el documento, en los siguientes valores:</w:t>
      </w:r>
    </w:p>
    <w:p w14:paraId="427C5FFA" w14:textId="77777777" w:rsidR="00B96A46" w:rsidRPr="00B31EB8" w:rsidRDefault="00B96A46" w:rsidP="00B96A46">
      <w:pPr>
        <w:jc w:val="both"/>
        <w:rPr>
          <w:rFonts w:ascii="Open Sans" w:hAnsi="Open Sans" w:cs="Open Sans"/>
          <w:sz w:val="20"/>
          <w:szCs w:val="20"/>
        </w:rPr>
      </w:pPr>
    </w:p>
    <w:p w14:paraId="387AC247" w14:textId="77777777" w:rsidR="00B96A46" w:rsidRPr="00B31EB8" w:rsidRDefault="00B96A46" w:rsidP="00B96A46">
      <w:pPr>
        <w:numPr>
          <w:ilvl w:val="0"/>
          <w:numId w:val="18"/>
        </w:numPr>
        <w:jc w:val="both"/>
        <w:rPr>
          <w:rFonts w:ascii="Open Sans" w:hAnsi="Open Sans" w:cs="Open Sans"/>
          <w:sz w:val="20"/>
          <w:szCs w:val="20"/>
        </w:rPr>
      </w:pPr>
      <w:r w:rsidRPr="00B31EB8">
        <w:rPr>
          <w:rFonts w:ascii="Open Sans" w:hAnsi="Open Sans" w:cs="Open Sans"/>
          <w:sz w:val="20"/>
          <w:szCs w:val="20"/>
        </w:rPr>
        <w:t>Responsabilidad social, contribuyendo activamente al bienestar social, al desarrollo sostenible y a la generación de valor para nuestros grupos de interés.</w:t>
      </w:r>
    </w:p>
    <w:p w14:paraId="587BEA12" w14:textId="77777777" w:rsidR="00B96A46" w:rsidRPr="00B31EB8" w:rsidRDefault="00B96A46" w:rsidP="00B96A46">
      <w:pPr>
        <w:numPr>
          <w:ilvl w:val="0"/>
          <w:numId w:val="18"/>
        </w:numPr>
        <w:jc w:val="both"/>
        <w:rPr>
          <w:rFonts w:ascii="Open Sans" w:hAnsi="Open Sans" w:cs="Open Sans"/>
          <w:sz w:val="20"/>
          <w:szCs w:val="20"/>
        </w:rPr>
      </w:pPr>
      <w:r w:rsidRPr="00B31EB8">
        <w:rPr>
          <w:rFonts w:ascii="Open Sans" w:hAnsi="Open Sans" w:cs="Open Sans"/>
          <w:sz w:val="20"/>
          <w:szCs w:val="20"/>
        </w:rPr>
        <w:t>Solidez financiera, retorno y resultados, protegiendo el valor para el accionista mediante la gestión eficiente y sostenible de los asuntos fiscales y de los costes de cumplimiento.</w:t>
      </w:r>
    </w:p>
    <w:p w14:paraId="24CF8AEF" w14:textId="77777777" w:rsidR="00B96A46" w:rsidRPr="00B31EB8" w:rsidRDefault="00B96A46" w:rsidP="00B96A46">
      <w:pPr>
        <w:numPr>
          <w:ilvl w:val="0"/>
          <w:numId w:val="18"/>
        </w:numPr>
        <w:jc w:val="both"/>
        <w:rPr>
          <w:rFonts w:ascii="Open Sans" w:hAnsi="Open Sans" w:cs="Open Sans"/>
          <w:sz w:val="20"/>
          <w:szCs w:val="20"/>
        </w:rPr>
      </w:pPr>
      <w:r w:rsidRPr="00B31EB8">
        <w:rPr>
          <w:rFonts w:ascii="Open Sans" w:hAnsi="Open Sans" w:cs="Open Sans"/>
          <w:sz w:val="20"/>
          <w:szCs w:val="20"/>
        </w:rPr>
        <w:t>Honestidad en el cumplimiento de la normativa fiscal en todas las jurisdicciones en las que el Grupo tiene presencia.</w:t>
      </w:r>
    </w:p>
    <w:p w14:paraId="4911B6DC" w14:textId="77777777" w:rsidR="00B96A46" w:rsidRPr="00B31EB8" w:rsidRDefault="00B96A46" w:rsidP="00B96A46">
      <w:pPr>
        <w:jc w:val="both"/>
        <w:rPr>
          <w:rFonts w:ascii="Open Sans" w:eastAsia="Calibri" w:hAnsi="Open Sans" w:cs="Open Sans"/>
          <w:sz w:val="20"/>
          <w:szCs w:val="20"/>
        </w:rPr>
      </w:pPr>
    </w:p>
    <w:p w14:paraId="47A0ED10" w14:textId="77777777" w:rsidR="00B96A46" w:rsidRDefault="00B96A46" w:rsidP="00B96A46">
      <w:pPr>
        <w:autoSpaceDE w:val="0"/>
        <w:autoSpaceDN w:val="0"/>
        <w:adjustRightInd w:val="0"/>
        <w:jc w:val="both"/>
        <w:rPr>
          <w:rFonts w:ascii="Open Sans" w:eastAsia="Calibri" w:hAnsi="Open Sans" w:cs="Open Sans"/>
          <w:sz w:val="20"/>
          <w:szCs w:val="20"/>
        </w:rPr>
      </w:pPr>
      <w:r w:rsidRPr="00B31EB8">
        <w:rPr>
          <w:rFonts w:ascii="Open Sans" w:eastAsia="Calibri" w:hAnsi="Open Sans" w:cs="Open Sans"/>
          <w:sz w:val="20"/>
          <w:szCs w:val="20"/>
        </w:rPr>
        <w:t xml:space="preserve">La estrategia establece unos objetivos y dedica uno de los tres capítulos al </w:t>
      </w:r>
      <w:r w:rsidRPr="00B31EB8">
        <w:rPr>
          <w:rFonts w:ascii="Open Sans" w:eastAsia="Calibri" w:hAnsi="Open Sans" w:cs="Open Sans"/>
          <w:i/>
          <w:sz w:val="20"/>
          <w:szCs w:val="20"/>
        </w:rPr>
        <w:t>Gobierno, estructura y organización</w:t>
      </w:r>
      <w:r w:rsidRPr="00B31EB8">
        <w:rPr>
          <w:rFonts w:ascii="Open Sans" w:eastAsia="Calibri" w:hAnsi="Open Sans" w:cs="Open Sans"/>
          <w:sz w:val="20"/>
          <w:szCs w:val="20"/>
        </w:rPr>
        <w:t xml:space="preserve">. En este punto señala, en línea con la Ley de Sociedades de Capital, que corresponde al Consejo de Administración definir la política fiscal corporativa y velar por su cumplimiento mediante el establecimiento de un apropiado sistema de control y supervisión. Sin embargo no se ha encontrado información ni en las cuentas anuales ni en el informe de Buen Gobierno sobre las reuniones en que se ha tratado el tema fiscal, temas tratados y decisiones adoptadas. </w:t>
      </w:r>
    </w:p>
    <w:p w14:paraId="03B3622C" w14:textId="77777777" w:rsidR="00B96A46" w:rsidRPr="00B31EB8" w:rsidRDefault="00B96A46" w:rsidP="00B96A46">
      <w:pPr>
        <w:autoSpaceDE w:val="0"/>
        <w:autoSpaceDN w:val="0"/>
        <w:adjustRightInd w:val="0"/>
        <w:jc w:val="both"/>
        <w:rPr>
          <w:rFonts w:ascii="Open Sans" w:eastAsia="Calibri" w:hAnsi="Open Sans" w:cs="Open Sans"/>
          <w:sz w:val="20"/>
          <w:szCs w:val="20"/>
        </w:rPr>
      </w:pPr>
    </w:p>
    <w:p w14:paraId="13C9DFEB" w14:textId="77777777" w:rsidR="00B96A46" w:rsidRPr="00B31EB8" w:rsidRDefault="00B96A46" w:rsidP="00B96A46">
      <w:pPr>
        <w:jc w:val="both"/>
        <w:rPr>
          <w:rFonts w:ascii="Open Sans" w:eastAsia="Calibri" w:hAnsi="Open Sans" w:cs="Open Sans"/>
          <w:sz w:val="20"/>
          <w:szCs w:val="20"/>
        </w:rPr>
      </w:pPr>
      <w:r w:rsidRPr="00B31EB8">
        <w:rPr>
          <w:rFonts w:ascii="Open Sans" w:eastAsia="Calibri" w:hAnsi="Open Sans" w:cs="Open Sans"/>
          <w:sz w:val="20"/>
          <w:szCs w:val="20"/>
        </w:rPr>
        <w:t>Acciona no detalla su estructura societaria a través de participaciones directas e indirectas en aquellas sociedades con una participación superior al 5% del capital. De la información que aparecen en los anexos de las cuentas anuales se extrae que el grupo está confirmado por más de 700 sociedades entre dependientes, multigrupo y puestas en equivalencia. Acciona considera entidades dependientes “aquellas sobre las que la Sociedad tiene capacidad para ejercer control efectivo; capacidad que se manifiesta, en general por la constatación de tres elementos que deben cumplirse: tener poder sobre la participada, la exposición o el derecho a los resultados variables de la inversión y la capacidad de utilizar dicho poder de modo que pueda influir en el importe de esos retornos”.</w:t>
      </w:r>
    </w:p>
    <w:p w14:paraId="429FFB1C" w14:textId="77777777" w:rsidR="00B96A46" w:rsidRPr="00B31EB8" w:rsidRDefault="00B96A46" w:rsidP="00B96A46">
      <w:pPr>
        <w:jc w:val="both"/>
        <w:rPr>
          <w:rFonts w:ascii="Open Sans" w:eastAsia="Calibri" w:hAnsi="Open Sans" w:cs="Open Sans"/>
          <w:sz w:val="20"/>
          <w:szCs w:val="20"/>
        </w:rPr>
      </w:pPr>
    </w:p>
    <w:p w14:paraId="0E71389E" w14:textId="77777777" w:rsidR="00B96A46" w:rsidRPr="00B31EB8" w:rsidRDefault="00B96A46" w:rsidP="00B96A46">
      <w:pPr>
        <w:jc w:val="both"/>
        <w:rPr>
          <w:rFonts w:ascii="Open Sans" w:eastAsia="Calibri" w:hAnsi="Open Sans" w:cs="Open Sans"/>
          <w:sz w:val="20"/>
          <w:szCs w:val="20"/>
        </w:rPr>
      </w:pPr>
      <w:r w:rsidRPr="00B31EB8">
        <w:rPr>
          <w:rFonts w:ascii="Open Sans" w:eastAsia="Calibri" w:hAnsi="Open Sans" w:cs="Open Sans"/>
          <w:sz w:val="20"/>
          <w:szCs w:val="20"/>
        </w:rPr>
        <w:t xml:space="preserve">En relación a operaciones intragrupo  no se ha encontrado  información sobre las compras intragrupo, desde qué sociedades gestiona los derechos de marca y propiedad intelectual, ni las operaciones de financiación realizadas entre sociedades del grupo y condiciones asignadas a las mismas. Tener conocimiento de estas operaciones es fundamental para poder deducir si la empresa está operando a través de su estructura societaria para implementar estrategias de optimización fiscal. </w:t>
      </w:r>
    </w:p>
    <w:p w14:paraId="2895B7E7" w14:textId="77777777" w:rsidR="00B96A46" w:rsidRPr="00B31EB8" w:rsidRDefault="00B96A46" w:rsidP="00B96A46">
      <w:pPr>
        <w:jc w:val="both"/>
        <w:rPr>
          <w:rFonts w:ascii="Open Sans" w:eastAsia="Calibri" w:hAnsi="Open Sans" w:cs="Open Sans"/>
          <w:sz w:val="20"/>
          <w:szCs w:val="20"/>
        </w:rPr>
      </w:pPr>
    </w:p>
    <w:p w14:paraId="12BCDCBB" w14:textId="77777777" w:rsidR="00B96A46" w:rsidRDefault="00B96A46" w:rsidP="00B96A46">
      <w:pPr>
        <w:autoSpaceDE w:val="0"/>
        <w:autoSpaceDN w:val="0"/>
        <w:adjustRightInd w:val="0"/>
        <w:jc w:val="both"/>
        <w:rPr>
          <w:rFonts w:ascii="Open Sans" w:eastAsia="Calibri" w:hAnsi="Open Sans" w:cs="Open Sans"/>
          <w:sz w:val="20"/>
          <w:szCs w:val="20"/>
        </w:rPr>
      </w:pPr>
      <w:r w:rsidRPr="00B31EB8">
        <w:rPr>
          <w:rFonts w:ascii="Open Sans" w:eastAsia="Calibri" w:hAnsi="Open Sans" w:cs="Open Sans"/>
          <w:sz w:val="20"/>
          <w:szCs w:val="20"/>
        </w:rPr>
        <w:t>Acciona afirma en su estrategia que “considera importante la contribución efectuada mediante el pago de impuestos, tanto soportados como recaudados, en todos los territorios en los que operamos, contribuyendo al desarrollo económico, social y ambiental en el entorno y en los grupos de interés implicados en nuestras actividades”. En su memoria de sostenibilidad señala “Para poder aportar confianza y credibilidad a la sociedad, es importante informar de manera clara y transparente sobre cuestiones como la fiscalidad. Es necesario el reporte de información fiscal tanto a nivel internacional como nacional y regional”, sin embargo la información de la compañía en relación a su contribución en los países en los que tiene presencia y a través de sus sociedades dependientes es escasa.  Facilita en su memoria de sostenibilidad un cuadro con los impuestos soportados y recaudados en 12 países, información insuficiente para conocer el comportamiento y contribución fiscal de Acciona. No facilita información por tipo de impuesto, ni tipos nominales y efectivos en el caso del impuesto de sociedades por país</w:t>
      </w:r>
      <w:r>
        <w:rPr>
          <w:rFonts w:ascii="Open Sans" w:eastAsia="Calibri" w:hAnsi="Open Sans" w:cs="Open Sans"/>
          <w:sz w:val="20"/>
          <w:szCs w:val="20"/>
        </w:rPr>
        <w:t xml:space="preserve">. </w:t>
      </w:r>
    </w:p>
    <w:p w14:paraId="726CB42B" w14:textId="77777777" w:rsidR="00B96A46" w:rsidRPr="00B31EB8" w:rsidRDefault="00B96A46" w:rsidP="00B96A46">
      <w:pPr>
        <w:autoSpaceDE w:val="0"/>
        <w:autoSpaceDN w:val="0"/>
        <w:adjustRightInd w:val="0"/>
        <w:jc w:val="both"/>
        <w:rPr>
          <w:rFonts w:ascii="Open Sans" w:eastAsia="Calibri" w:hAnsi="Open Sans" w:cs="Open Sans"/>
          <w:sz w:val="20"/>
          <w:szCs w:val="20"/>
        </w:rPr>
      </w:pPr>
    </w:p>
    <w:p w14:paraId="4F48C557"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En cuanto a subvenciones recibidas, en las cuentas anuales declara haber recibido un total de 148.174.000 euros, sin desglosar en la documentación analizada el importe de las subvenciones por país y a qué conceptos responden.  Por otro lado, en el epígrafe "Otros ingresos a distribuir en varios ejercicios" aparecen 70.388.000 euros. La empresa  afirma que se corresponden con incentivos del gobierno de EEUU para promover las energías renovables y su naturaleza contable es similar a la de subvenciones.</w:t>
      </w:r>
    </w:p>
    <w:p w14:paraId="35C76DDA" w14:textId="77777777" w:rsidR="00B96A46" w:rsidRPr="00B31EB8" w:rsidRDefault="00B96A46" w:rsidP="00B96A46">
      <w:pPr>
        <w:autoSpaceDE w:val="0"/>
        <w:autoSpaceDN w:val="0"/>
        <w:adjustRightInd w:val="0"/>
        <w:jc w:val="both"/>
        <w:rPr>
          <w:rFonts w:ascii="Open Sans" w:hAnsi="Open Sans" w:cs="Open Sans"/>
          <w:sz w:val="20"/>
          <w:szCs w:val="20"/>
        </w:rPr>
      </w:pPr>
    </w:p>
    <w:p w14:paraId="3ECE1678"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 xml:space="preserve">En el apartado de deducciones, exenciones y créditos fiscales la empresa no presenta información por país y en concepto de qué se le han otorgado las exenciones, deducciones o créditos fiscales. Esta información es relevante pues en algunos casos puede condicionar la imputación de beneficios en un país u en otro en base a este tipo de incentivos fiscales. </w:t>
      </w:r>
    </w:p>
    <w:p w14:paraId="0340BE02" w14:textId="77777777" w:rsidR="00B96A46" w:rsidRPr="00B31EB8" w:rsidRDefault="00B96A46" w:rsidP="00B96A46">
      <w:pPr>
        <w:autoSpaceDE w:val="0"/>
        <w:autoSpaceDN w:val="0"/>
        <w:adjustRightInd w:val="0"/>
        <w:jc w:val="both"/>
        <w:rPr>
          <w:rFonts w:ascii="Open Sans" w:hAnsi="Open Sans" w:cs="Open Sans"/>
          <w:sz w:val="20"/>
          <w:szCs w:val="20"/>
        </w:rPr>
      </w:pPr>
    </w:p>
    <w:p w14:paraId="65C5FFFB"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En relación a las deducciones pendientes de compensar cuyo importe es cuantioso,  196.268 miles euros, la empresa informa que corresponden, principalmente, a las generadas por el grupo fiscal cuya sociedad dominante es Acciona, S.A. a 31 de diciembre de 2015. Las deducciones pendientes de aplicación más significativas son: 106.322 miles euros de las deducciones por actividades de I+D+i, 55.817 miles de euros en concepto de deducción por reinversión de beneficios extraordinarios y 14.356 miles euros por las deducciones medioambientales.</w:t>
      </w:r>
    </w:p>
    <w:p w14:paraId="77FA354C" w14:textId="77777777" w:rsidR="00B96A46" w:rsidRPr="00B31EB8" w:rsidRDefault="00B96A46" w:rsidP="00B96A46">
      <w:pPr>
        <w:autoSpaceDE w:val="0"/>
        <w:autoSpaceDN w:val="0"/>
        <w:adjustRightInd w:val="0"/>
        <w:jc w:val="both"/>
        <w:rPr>
          <w:rFonts w:ascii="Open Sans" w:hAnsi="Open Sans" w:cs="Open Sans"/>
          <w:sz w:val="20"/>
          <w:szCs w:val="20"/>
        </w:rPr>
      </w:pPr>
    </w:p>
    <w:p w14:paraId="54DB91C7" w14:textId="77777777" w:rsidR="00B96A46" w:rsidRPr="00B31EB8" w:rsidRDefault="00B96A46" w:rsidP="00B96A46">
      <w:pPr>
        <w:autoSpaceDE w:val="0"/>
        <w:autoSpaceDN w:val="0"/>
        <w:adjustRightInd w:val="0"/>
        <w:jc w:val="both"/>
        <w:rPr>
          <w:rFonts w:ascii="Open Sans" w:hAnsi="Open Sans" w:cs="Open Sans"/>
          <w:sz w:val="20"/>
          <w:szCs w:val="20"/>
        </w:rPr>
      </w:pPr>
      <w:r w:rsidRPr="00B31EB8">
        <w:rPr>
          <w:rFonts w:ascii="Open Sans" w:hAnsi="Open Sans" w:cs="Open Sans"/>
          <w:sz w:val="20"/>
          <w:szCs w:val="20"/>
        </w:rPr>
        <w:t>En relación a los créditos fiscales por bases imponibles negativas  las clasifica en función de grupo fiscal Acciona, sociedades españolas no grupo fiscal e internacional con vencimiento. En total 195.111 miles de euros. No presenta información  por país salvo la mención de  que algunas filiales de la División de energía en EEUU, Australia y México, así como Mostostal Warszawa y la filial de concesiones en Chile tienen registrados créditos fiscales por las bases imponibles negativas pendientes de compensar pero no específica importes. La empresa informa en sus cuentas anuales de diversos litigios que mantiene abiertos con la administración tributaria por distintos conceptos. También especifica litigios que tiene abiertos en México por asuntos fiscales. Salvo por su adhesión al Código de Buenas Prácticas Tributarias y los compromisos adoptados en la estrategia fiscal no se ha encontrado información sobre las relaciones de carácter cooperativo y de lobby mantenidas con las agencias tributarias de los países en los que el Grupo está presente.</w:t>
      </w:r>
    </w:p>
    <w:p w14:paraId="06747229" w14:textId="77777777" w:rsidR="00B96A46" w:rsidRPr="00B31EB8" w:rsidRDefault="00B96A46" w:rsidP="00B96A46">
      <w:pPr>
        <w:rPr>
          <w:rFonts w:ascii="Open Sans" w:hAnsi="Open Sans" w:cs="Open Sans"/>
          <w:bCs/>
          <w:sz w:val="20"/>
          <w:szCs w:val="20"/>
        </w:rPr>
      </w:pPr>
    </w:p>
    <w:p w14:paraId="3C4C53D4" w14:textId="77777777" w:rsidR="00B96A46" w:rsidRPr="00B31EB8" w:rsidRDefault="00B96A46" w:rsidP="00B96A46">
      <w:pPr>
        <w:jc w:val="both"/>
        <w:rPr>
          <w:rFonts w:ascii="Open Sans" w:hAnsi="Open Sans" w:cs="Open Sans"/>
          <w:sz w:val="20"/>
          <w:szCs w:val="20"/>
        </w:rPr>
      </w:pPr>
    </w:p>
    <w:p w14:paraId="5738CA0D" w14:textId="77777777" w:rsidR="00B96A46" w:rsidRPr="00B31EB8" w:rsidRDefault="00B96A46" w:rsidP="00B96A46">
      <w:pPr>
        <w:rPr>
          <w:rFonts w:ascii="Open Sans" w:hAnsi="Open Sans" w:cs="Open Sans"/>
          <w:bCs/>
          <w:sz w:val="22"/>
          <w:szCs w:val="22"/>
          <w:u w:val="single"/>
        </w:rPr>
      </w:pPr>
      <w:r w:rsidRPr="00B31EB8">
        <w:rPr>
          <w:rFonts w:ascii="Open Sans" w:hAnsi="Open Sans" w:cs="Open Sans"/>
          <w:b/>
          <w:sz w:val="22"/>
          <w:szCs w:val="22"/>
          <w:u w:val="single"/>
        </w:rPr>
        <w:t>5. Conclusiones</w:t>
      </w:r>
    </w:p>
    <w:p w14:paraId="38AC2CFD" w14:textId="77777777" w:rsidR="00B96A46" w:rsidRPr="00B31EB8" w:rsidRDefault="00B96A46" w:rsidP="00B96A46">
      <w:pPr>
        <w:rPr>
          <w:rFonts w:ascii="Open Sans" w:hAnsi="Open Sans" w:cs="Open Sans"/>
          <w:bCs/>
          <w:sz w:val="20"/>
          <w:szCs w:val="20"/>
        </w:rPr>
      </w:pPr>
    </w:p>
    <w:p w14:paraId="4046BEB3" w14:textId="77777777" w:rsidR="00B96A46" w:rsidRPr="00B31EB8" w:rsidRDefault="00B96A46" w:rsidP="00B96A46">
      <w:pPr>
        <w:pStyle w:val="Default"/>
        <w:jc w:val="both"/>
        <w:rPr>
          <w:rFonts w:ascii="Open Sans" w:hAnsi="Open Sans" w:cs="Open Sans"/>
          <w:color w:val="auto"/>
          <w:sz w:val="20"/>
          <w:szCs w:val="20"/>
        </w:rPr>
      </w:pPr>
      <w:r w:rsidRPr="00B31EB8">
        <w:rPr>
          <w:rFonts w:ascii="Open Sans" w:hAnsi="Open Sans" w:cs="Open Sans"/>
          <w:color w:val="auto"/>
          <w:sz w:val="20"/>
          <w:szCs w:val="20"/>
        </w:rPr>
        <w:t xml:space="preserve">La valoración global de la transparencia de Acciona en el ámbito fiscal es de </w:t>
      </w:r>
      <w:r w:rsidRPr="00B31EB8">
        <w:rPr>
          <w:rFonts w:ascii="Open Sans" w:hAnsi="Open Sans" w:cs="Open Sans"/>
          <w:b/>
          <w:color w:val="auto"/>
          <w:sz w:val="20"/>
          <w:szCs w:val="20"/>
        </w:rPr>
        <w:t>0,48</w:t>
      </w:r>
      <w:r w:rsidRPr="00B31EB8">
        <w:rPr>
          <w:rFonts w:ascii="Open Sans" w:hAnsi="Open Sans" w:cs="Open Sans"/>
          <w:color w:val="auto"/>
          <w:sz w:val="20"/>
          <w:szCs w:val="20"/>
        </w:rPr>
        <w:t xml:space="preserve"> sobre un máximo de 3 lo que equivale a una información escasa de acuerdo con la metodología empleada. De las dimensiones analizadas, la máxima puntuación se obtiene en los aspectos relacionados con la “política y estrategia fiscal” (1,00), seguidos por las “relaciones con Administraciones Tributarias” (0,40), “impuestos e incentivos” (0,50) y “paraísos y nichos fiscales” (0,00). </w:t>
      </w:r>
    </w:p>
    <w:p w14:paraId="750EBC3B" w14:textId="77777777" w:rsidR="00B96A46" w:rsidRPr="00B31EB8" w:rsidRDefault="00B96A46" w:rsidP="00B96A46">
      <w:pPr>
        <w:jc w:val="both"/>
        <w:rPr>
          <w:rFonts w:ascii="Open Sans" w:hAnsi="Open Sans" w:cs="Open Sans"/>
          <w:sz w:val="20"/>
          <w:szCs w:val="20"/>
        </w:rPr>
      </w:pPr>
    </w:p>
    <w:p w14:paraId="51581027"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Tras analizar la documentación publicada por Acciona en relación a su actividad fiscal en 2015 (Memoria de Sostenibilidad, Informe de Gobierno Corporativo, Código de conducta e Informe de Cuentas Anuales, principalmente), se observa que la Compañía cuenta con compromiso en relación a la fiscalidad responsable concretado en una estrategia que ha sido recientemente aprobada.</w:t>
      </w:r>
    </w:p>
    <w:p w14:paraId="3A709796" w14:textId="77777777" w:rsidR="00B96A46" w:rsidRPr="00B31EB8" w:rsidRDefault="00B96A46" w:rsidP="00B96A46">
      <w:pPr>
        <w:jc w:val="both"/>
        <w:rPr>
          <w:rFonts w:ascii="Open Sans" w:hAnsi="Open Sans" w:cs="Open Sans"/>
          <w:sz w:val="20"/>
          <w:szCs w:val="20"/>
        </w:rPr>
      </w:pPr>
    </w:p>
    <w:p w14:paraId="0C743328"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En base al principio de Materialidad, una de las directrices incluidas en el Plan Director de Sostenibilidad 2020 de Acciona es “adoptar políticas para mejorar la transparencia fiscal”. También menciona en su memoria de sostenibilidad que “La evasión fiscal por parte de las compañías supone también una gran preocupación para la sociedad”. También menciona que “Para poder aportar confianza y credibilidad a la sociedad, es importante informar de manera clara y transparente sobre cuestiones como la fiscalidad. Es necesario el reporte de información fiscal tanto a nivel internacional como nacional y regional, ya que la evasión fiscal es también un asunto que preocupa a la sociedad”. Pese a que Acciona es consciente de que la fiscalidad y la transparencia en este asunto, constituye un aspecto material para sus grupos de interés la información no es clara, ni es precisa ni  cuenta con un desglose suficiente que permita evaluar el cumplimiento de los compromisos asumidos por la compañía. No hay un documento aparte de las cuentas anuales dedicado al reporte fiscal. La mayor parte de la información objeto de análisis hay que extraerla de las cuentas anuales que tienen un lenguaje técnico y difícilmente comprensible para los no expertos en la materia. La información contenida en la memoria de sostenibilidad tiene carácter anecdótico. Por otro lado, Acciona no sigue los estándares internacionales del country by country que promueven que la empresa presente información país a país de una sería de partidas financieras y de la actividad que realiza en los territorios donde está presente. Tampoco presenta información relevante y material como por ejemplo sobre su actividad en territorios considerados paraísos o nichos fiscales</w:t>
      </w:r>
    </w:p>
    <w:p w14:paraId="60DB3AF4" w14:textId="77777777" w:rsidR="00B96A46" w:rsidRPr="00B31EB8" w:rsidRDefault="00B96A46" w:rsidP="00B96A46">
      <w:pPr>
        <w:jc w:val="both"/>
        <w:rPr>
          <w:rFonts w:ascii="Open Sans" w:hAnsi="Open Sans" w:cs="Open Sans"/>
          <w:sz w:val="20"/>
          <w:szCs w:val="20"/>
        </w:rPr>
      </w:pPr>
    </w:p>
    <w:p w14:paraId="55719009" w14:textId="77777777" w:rsidR="00B96A46" w:rsidRPr="00B31EB8" w:rsidRDefault="00B96A46" w:rsidP="00B96A46">
      <w:pPr>
        <w:jc w:val="both"/>
        <w:rPr>
          <w:rFonts w:ascii="Open Sans" w:hAnsi="Open Sans" w:cs="Open Sans"/>
          <w:sz w:val="20"/>
          <w:szCs w:val="20"/>
        </w:rPr>
      </w:pPr>
      <w:r w:rsidRPr="00B31EB8">
        <w:rPr>
          <w:rFonts w:ascii="Open Sans" w:hAnsi="Open Sans" w:cs="Open Sans"/>
          <w:sz w:val="20"/>
          <w:szCs w:val="20"/>
        </w:rPr>
        <w:t>Pese a afirmar que realiza una matriz de riesgos, no presenta información sobre supuestos casos de corrupción en los que se ha visto envuelta en los últimos ejercicios</w:t>
      </w:r>
      <w:r w:rsidRPr="00B31EB8">
        <w:rPr>
          <w:rStyle w:val="Refdenotaalpie"/>
          <w:rFonts w:ascii="Open Sans" w:hAnsi="Open Sans" w:cs="Open Sans"/>
          <w:sz w:val="20"/>
          <w:szCs w:val="20"/>
        </w:rPr>
        <w:footnoteReference w:id="255"/>
      </w:r>
      <w:r w:rsidRPr="00B31EB8">
        <w:rPr>
          <w:rFonts w:ascii="Open Sans" w:hAnsi="Open Sans" w:cs="Open Sans"/>
          <w:sz w:val="20"/>
          <w:szCs w:val="20"/>
        </w:rPr>
        <w:t>. La corrupción convive con el blanqueo de capitales y el fraude fiscal.</w:t>
      </w:r>
    </w:p>
    <w:p w14:paraId="00AF8A9B" w14:textId="77777777" w:rsidR="00B96A46" w:rsidRPr="00B31EB8" w:rsidRDefault="00B96A46" w:rsidP="00B96A46">
      <w:pPr>
        <w:jc w:val="both"/>
        <w:rPr>
          <w:rFonts w:ascii="Open Sans" w:hAnsi="Open Sans" w:cs="Open Sans"/>
          <w:sz w:val="20"/>
          <w:szCs w:val="20"/>
        </w:rPr>
      </w:pPr>
    </w:p>
    <w:p w14:paraId="69650DE9" w14:textId="77777777" w:rsidR="00B96A46" w:rsidRPr="00B31EB8" w:rsidRDefault="00B96A46" w:rsidP="00B96A46">
      <w:pPr>
        <w:jc w:val="both"/>
        <w:rPr>
          <w:rFonts w:ascii="Open Sans" w:hAnsi="Open Sans" w:cs="Open Sans"/>
        </w:rPr>
      </w:pPr>
      <w:r w:rsidRPr="00B31EB8">
        <w:rPr>
          <w:rFonts w:ascii="Open Sans" w:hAnsi="Open Sans" w:cs="Open Sans"/>
          <w:sz w:val="20"/>
          <w:szCs w:val="20"/>
        </w:rPr>
        <w:t>En la documentación analizada no se han encontrado evidencias de que Acciona haya establecido un diálogo, más allá de con la agencia tributaria, con sus grupos de interés en relación a los aspectos fiscales.</w:t>
      </w:r>
    </w:p>
    <w:p w14:paraId="1A3F9386" w14:textId="77777777" w:rsidR="007A07D5" w:rsidRDefault="007A07D5"/>
    <w:p w14:paraId="017499B9" w14:textId="2FCA16C6" w:rsidR="00422DF8" w:rsidRDefault="00422DF8">
      <w:r>
        <w:br w:type="page"/>
      </w:r>
    </w:p>
    <w:p w14:paraId="45DF90E4" w14:textId="77777777" w:rsidR="00B60D9F" w:rsidRDefault="00B60D9F" w:rsidP="00B60D9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72" w:name="Acerinox"/>
      <w:r>
        <w:rPr>
          <w:rFonts w:ascii="Open Sans" w:hAnsi="Open Sans" w:cs="Arial"/>
          <w:b/>
          <w:caps/>
          <w:color w:val="FFFFFF"/>
        </w:rPr>
        <w:t>Acerinox S.A.</w:t>
      </w:r>
    </w:p>
    <w:bookmarkEnd w:id="72"/>
    <w:p w14:paraId="2CC65B0A" w14:textId="77777777" w:rsidR="00B60D9F" w:rsidRDefault="00B60D9F" w:rsidP="00B60D9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cs="Arial"/>
          <w:b/>
          <w:i/>
          <w:color w:val="FFFFFF"/>
        </w:rPr>
        <w:t>(Acerinox)</w:t>
      </w:r>
    </w:p>
    <w:p w14:paraId="509F4ACD" w14:textId="77777777" w:rsidR="00B60D9F" w:rsidRDefault="00B60D9F" w:rsidP="00B60D9F">
      <w:pPr>
        <w:spacing w:before="120" w:after="120" w:line="360" w:lineRule="auto"/>
        <w:jc w:val="both"/>
        <w:rPr>
          <w:rFonts w:ascii="Open Sans" w:hAnsi="Open Sans" w:cs="Tahoma"/>
          <w:b/>
          <w:bCs/>
          <w:color w:val="002060"/>
          <w:sz w:val="28"/>
          <w:szCs w:val="28"/>
        </w:rPr>
      </w:pPr>
    </w:p>
    <w:p w14:paraId="61749611" w14:textId="77777777" w:rsidR="007359B0" w:rsidRPr="00243B82" w:rsidRDefault="007359B0" w:rsidP="007359B0">
      <w:pPr>
        <w:jc w:val="both"/>
        <w:outlineLvl w:val="5"/>
        <w:rPr>
          <w:rFonts w:ascii="Open Sans" w:hAnsi="Open Sans" w:cs="Arial"/>
          <w:b/>
          <w:sz w:val="26"/>
          <w:szCs w:val="22"/>
          <w:u w:val="single"/>
        </w:rPr>
      </w:pPr>
      <w:r w:rsidRPr="00243B82">
        <w:rPr>
          <w:rFonts w:ascii="Open Sans" w:hAnsi="Open Sans" w:cs="Arial"/>
          <w:b/>
          <w:sz w:val="22"/>
          <w:szCs w:val="22"/>
          <w:u w:val="single"/>
        </w:rPr>
        <w:t>1. Datos generales de la entidad</w:t>
      </w:r>
    </w:p>
    <w:p w14:paraId="50AE00B6" w14:textId="77777777" w:rsidR="007359B0" w:rsidRPr="00243B82" w:rsidRDefault="007359B0" w:rsidP="007359B0">
      <w:pPr>
        <w:jc w:val="both"/>
        <w:rPr>
          <w:rFonts w:ascii="Open Sans" w:hAnsi="Open Sans" w:cs="Arial"/>
          <w:sz w:val="22"/>
          <w:szCs w:val="22"/>
          <w:u w:val="single"/>
        </w:rPr>
      </w:pPr>
    </w:p>
    <w:p w14:paraId="3E5E2D98"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u w:val="single"/>
        </w:rPr>
        <w:t>Productos/servicios</w:t>
      </w:r>
    </w:p>
    <w:p w14:paraId="3E07F424" w14:textId="77777777" w:rsidR="007359B0" w:rsidRPr="00243B82" w:rsidRDefault="007359B0" w:rsidP="007359B0">
      <w:pPr>
        <w:jc w:val="both"/>
        <w:rPr>
          <w:rFonts w:ascii="Open Sans" w:hAnsi="Open Sans" w:cs="Arial"/>
          <w:sz w:val="20"/>
          <w:szCs w:val="20"/>
        </w:rPr>
      </w:pPr>
    </w:p>
    <w:p w14:paraId="522DCD56"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 xml:space="preserve">La actividad principal de Acerinox es la fabricación, transformación y comercialización de productos de acero inoxidable. Ofrece a sus clientes los siguientes productos/ servicios: </w:t>
      </w:r>
    </w:p>
    <w:p w14:paraId="422B484A" w14:textId="77777777" w:rsidR="007359B0" w:rsidRPr="00243B82" w:rsidRDefault="007359B0" w:rsidP="007359B0">
      <w:pPr>
        <w:jc w:val="both"/>
        <w:rPr>
          <w:rFonts w:ascii="Open Sans" w:hAnsi="Open Sans" w:cs="Arial"/>
          <w:sz w:val="20"/>
          <w:szCs w:val="20"/>
        </w:rPr>
      </w:pPr>
    </w:p>
    <w:p w14:paraId="118115E1"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 xml:space="preserve">Acería </w:t>
      </w:r>
    </w:p>
    <w:p w14:paraId="203107CC"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 xml:space="preserve">Laminación en caliente de productos planos </w:t>
      </w:r>
    </w:p>
    <w:p w14:paraId="1404D349"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 xml:space="preserve">Laminación en frío </w:t>
      </w:r>
    </w:p>
    <w:p w14:paraId="182A5783"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 xml:space="preserve">Producto largo (laminación en caliente) </w:t>
      </w:r>
    </w:p>
    <w:p w14:paraId="2B6BF4B6"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 xml:space="preserve">Producto largo (acabado) </w:t>
      </w:r>
    </w:p>
    <w:p w14:paraId="6797C5D4" w14:textId="77777777" w:rsidR="007359B0" w:rsidRPr="00243B82" w:rsidRDefault="007359B0" w:rsidP="007359B0">
      <w:pPr>
        <w:jc w:val="both"/>
        <w:rPr>
          <w:rFonts w:ascii="Open Sans" w:hAnsi="Open Sans" w:cs="Arial"/>
          <w:sz w:val="20"/>
          <w:szCs w:val="20"/>
        </w:rPr>
      </w:pPr>
    </w:p>
    <w:p w14:paraId="448D3C71" w14:textId="77777777" w:rsidR="007359B0" w:rsidRPr="00243B82" w:rsidRDefault="007359B0" w:rsidP="007359B0">
      <w:pPr>
        <w:jc w:val="both"/>
        <w:rPr>
          <w:rFonts w:ascii="Open Sans" w:hAnsi="Open Sans" w:cs="Arial"/>
          <w:sz w:val="20"/>
          <w:szCs w:val="20"/>
        </w:rPr>
      </w:pPr>
    </w:p>
    <w:p w14:paraId="7954A080"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u w:val="single"/>
        </w:rPr>
        <w:t>Alcance geográfico</w:t>
      </w:r>
    </w:p>
    <w:p w14:paraId="3E9E4C74" w14:textId="77777777" w:rsidR="007359B0" w:rsidRPr="00243B82" w:rsidRDefault="007359B0" w:rsidP="007359B0">
      <w:pPr>
        <w:jc w:val="both"/>
        <w:rPr>
          <w:rFonts w:ascii="Open Sans" w:hAnsi="Open Sans" w:cs="Arial"/>
          <w:sz w:val="20"/>
          <w:szCs w:val="20"/>
        </w:rPr>
      </w:pPr>
    </w:p>
    <w:p w14:paraId="59E7E504"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Acerinox opera o tiene presencia en los siguientes países:</w:t>
      </w:r>
    </w:p>
    <w:p w14:paraId="3049B35B" w14:textId="77777777" w:rsidR="007359B0" w:rsidRPr="00243B82" w:rsidRDefault="007359B0" w:rsidP="007359B0">
      <w:pPr>
        <w:jc w:val="both"/>
        <w:rPr>
          <w:rFonts w:ascii="Open Sans" w:hAnsi="Open Sans" w:cs="Arial"/>
          <w:sz w:val="20"/>
          <w:szCs w:val="20"/>
        </w:rPr>
      </w:pPr>
    </w:p>
    <w:p w14:paraId="167268ED" w14:textId="77777777" w:rsidR="007359B0" w:rsidRPr="00243B82" w:rsidRDefault="007359B0" w:rsidP="007359B0">
      <w:pPr>
        <w:ind w:left="567" w:hanging="567"/>
        <w:jc w:val="both"/>
        <w:rPr>
          <w:rFonts w:ascii="Open Sans" w:hAnsi="Open Sans" w:cs="Arial"/>
          <w:sz w:val="20"/>
          <w:szCs w:val="20"/>
        </w:rPr>
      </w:pPr>
      <w:r w:rsidRPr="00243B82">
        <w:rPr>
          <w:rFonts w:ascii="Open Sans" w:hAnsi="Open Sans" w:cs="Arial"/>
          <w:sz w:val="20"/>
          <w:szCs w:val="20"/>
        </w:rPr>
        <w:t>-</w:t>
      </w:r>
      <w:r w:rsidRPr="00243B82">
        <w:rPr>
          <w:rFonts w:ascii="Open Sans" w:hAnsi="Open Sans" w:cs="Arial"/>
          <w:sz w:val="20"/>
          <w:szCs w:val="20"/>
        </w:rPr>
        <w:tab/>
        <w:t>Europa: Alemania, Bélgica, España, Francia, Italia, Luxemburgo, Noruega, Polonia, Portugal, Reino Unido, Rusia, Suecia, Suiza y Turquía.</w:t>
      </w:r>
    </w:p>
    <w:p w14:paraId="3E300EC9" w14:textId="77777777" w:rsidR="007359B0" w:rsidRPr="00243B82" w:rsidRDefault="007359B0" w:rsidP="007359B0">
      <w:pPr>
        <w:ind w:left="567" w:hanging="567"/>
        <w:jc w:val="both"/>
        <w:rPr>
          <w:rFonts w:ascii="Open Sans" w:hAnsi="Open Sans" w:cs="Arial"/>
          <w:sz w:val="20"/>
          <w:szCs w:val="20"/>
        </w:rPr>
      </w:pPr>
      <w:r w:rsidRPr="00243B82">
        <w:rPr>
          <w:rFonts w:ascii="Open Sans" w:hAnsi="Open Sans" w:cs="Arial"/>
          <w:sz w:val="20"/>
          <w:szCs w:val="20"/>
        </w:rPr>
        <w:t>-</w:t>
      </w:r>
      <w:r w:rsidRPr="00243B82">
        <w:rPr>
          <w:rFonts w:ascii="Open Sans" w:hAnsi="Open Sans" w:cs="Arial"/>
          <w:sz w:val="20"/>
          <w:szCs w:val="20"/>
        </w:rPr>
        <w:tab/>
        <w:t>Asia: China, Corea del Sur, Emiratos Árabes Unidos, Filipinas, Hong Kong, India, Indonesia, Israel, Japón, Laos, Malasia, Pakistán, Singapur, Sri Lanka, Tailandia, Taiwán y Vietnam.</w:t>
      </w:r>
    </w:p>
    <w:p w14:paraId="54B401D2" w14:textId="77777777" w:rsidR="007359B0" w:rsidRPr="00243B82" w:rsidRDefault="007359B0" w:rsidP="007359B0">
      <w:pPr>
        <w:ind w:left="567" w:hanging="567"/>
        <w:jc w:val="both"/>
        <w:rPr>
          <w:rFonts w:ascii="Open Sans" w:hAnsi="Open Sans" w:cs="Arial"/>
          <w:sz w:val="20"/>
          <w:szCs w:val="20"/>
        </w:rPr>
      </w:pPr>
      <w:r w:rsidRPr="00243B82">
        <w:rPr>
          <w:rFonts w:ascii="Open Sans" w:hAnsi="Open Sans" w:cs="Arial"/>
          <w:sz w:val="20"/>
          <w:szCs w:val="20"/>
        </w:rPr>
        <w:t>-</w:t>
      </w:r>
      <w:r w:rsidRPr="00243B82">
        <w:rPr>
          <w:rFonts w:ascii="Open Sans" w:hAnsi="Open Sans" w:cs="Arial"/>
          <w:sz w:val="20"/>
          <w:szCs w:val="20"/>
        </w:rPr>
        <w:tab/>
        <w:t>África: Argelia, Egipto, Marruecos, Sudáfrica y Túnez.</w:t>
      </w:r>
    </w:p>
    <w:p w14:paraId="18B6B619" w14:textId="77777777" w:rsidR="007359B0" w:rsidRPr="00243B82" w:rsidRDefault="007359B0" w:rsidP="007359B0">
      <w:pPr>
        <w:ind w:left="567" w:hanging="567"/>
        <w:jc w:val="both"/>
        <w:rPr>
          <w:rFonts w:ascii="Open Sans" w:hAnsi="Open Sans" w:cs="Arial"/>
          <w:sz w:val="20"/>
          <w:szCs w:val="20"/>
        </w:rPr>
      </w:pPr>
      <w:r w:rsidRPr="00243B82">
        <w:rPr>
          <w:rFonts w:ascii="Open Sans" w:hAnsi="Open Sans" w:cs="Arial"/>
          <w:sz w:val="20"/>
          <w:szCs w:val="20"/>
        </w:rPr>
        <w:t>-</w:t>
      </w:r>
      <w:r w:rsidRPr="00243B82">
        <w:rPr>
          <w:rFonts w:ascii="Open Sans" w:hAnsi="Open Sans" w:cs="Arial"/>
          <w:sz w:val="20"/>
          <w:szCs w:val="20"/>
        </w:rPr>
        <w:tab/>
        <w:t>América: Argentina, Brasil, Canadá, Chile, Colombia, Estados Unidos, México, Perú y Venezuela.</w:t>
      </w:r>
    </w:p>
    <w:p w14:paraId="3474AAA2" w14:textId="77777777" w:rsidR="007359B0" w:rsidRPr="00243B82" w:rsidRDefault="007359B0" w:rsidP="007359B0">
      <w:pPr>
        <w:ind w:left="567" w:hanging="567"/>
        <w:jc w:val="both"/>
        <w:rPr>
          <w:rFonts w:ascii="Open Sans" w:hAnsi="Open Sans" w:cs="Arial"/>
          <w:sz w:val="20"/>
          <w:szCs w:val="20"/>
        </w:rPr>
      </w:pPr>
      <w:r w:rsidRPr="00243B82">
        <w:rPr>
          <w:rFonts w:ascii="Open Sans" w:hAnsi="Open Sans" w:cs="Arial"/>
          <w:sz w:val="20"/>
          <w:szCs w:val="20"/>
        </w:rPr>
        <w:t>-</w:t>
      </w:r>
      <w:r w:rsidRPr="00243B82">
        <w:rPr>
          <w:rFonts w:ascii="Open Sans" w:hAnsi="Open Sans" w:cs="Arial"/>
          <w:sz w:val="20"/>
          <w:szCs w:val="20"/>
        </w:rPr>
        <w:tab/>
        <w:t>Oceanía: Australia y Nueva Zelanda.</w:t>
      </w:r>
    </w:p>
    <w:p w14:paraId="7AC2E29D" w14:textId="77777777" w:rsidR="007359B0" w:rsidRPr="00243B82" w:rsidRDefault="007359B0" w:rsidP="007359B0">
      <w:pPr>
        <w:jc w:val="both"/>
        <w:rPr>
          <w:rFonts w:ascii="Open Sans" w:hAnsi="Open Sans" w:cs="Arial"/>
          <w:sz w:val="20"/>
          <w:szCs w:val="20"/>
        </w:rPr>
      </w:pPr>
    </w:p>
    <w:p w14:paraId="217C921B"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Además, Acerinox informa que vende sus productos en 80 países, incluyendo los que tiene presencia operativa o societaria ya nombrados.</w:t>
      </w:r>
    </w:p>
    <w:p w14:paraId="42FDCD08" w14:textId="77777777" w:rsidR="007359B0" w:rsidRPr="00243B82" w:rsidRDefault="007359B0" w:rsidP="007359B0">
      <w:pPr>
        <w:jc w:val="both"/>
        <w:rPr>
          <w:rFonts w:ascii="Open Sans" w:hAnsi="Open Sans" w:cs="Arial"/>
          <w:sz w:val="20"/>
          <w:szCs w:val="20"/>
        </w:rPr>
      </w:pPr>
    </w:p>
    <w:p w14:paraId="1DAF80BA" w14:textId="77777777" w:rsidR="007359B0" w:rsidRPr="00243B82" w:rsidRDefault="007359B0" w:rsidP="007359B0">
      <w:pPr>
        <w:jc w:val="both"/>
        <w:rPr>
          <w:rFonts w:ascii="Open Sans" w:hAnsi="Open Sans" w:cs="Arial"/>
          <w:sz w:val="20"/>
          <w:szCs w:val="20"/>
        </w:rPr>
      </w:pPr>
    </w:p>
    <w:p w14:paraId="70EA2AB9" w14:textId="77777777" w:rsidR="007359B0" w:rsidRPr="00243B82" w:rsidRDefault="007359B0" w:rsidP="007359B0">
      <w:pPr>
        <w:jc w:val="both"/>
        <w:rPr>
          <w:rFonts w:ascii="Open Sans" w:hAnsi="Open Sans" w:cs="Arial"/>
          <w:sz w:val="20"/>
          <w:szCs w:val="20"/>
          <w:u w:val="single"/>
        </w:rPr>
      </w:pPr>
      <w:r w:rsidRPr="00243B82">
        <w:rPr>
          <w:rFonts w:ascii="Open Sans" w:hAnsi="Open Sans" w:cs="Arial"/>
          <w:sz w:val="20"/>
          <w:szCs w:val="20"/>
          <w:u w:val="single"/>
        </w:rPr>
        <w:t>Cifras relevantes de la empresa:</w:t>
      </w:r>
    </w:p>
    <w:p w14:paraId="6275DC2A" w14:textId="77777777" w:rsidR="007359B0" w:rsidRPr="00243B82" w:rsidRDefault="007359B0" w:rsidP="007359B0">
      <w:pPr>
        <w:jc w:val="both"/>
        <w:rPr>
          <w:rFonts w:ascii="Open Sans" w:hAnsi="Open Sans" w:cs="Arial"/>
          <w:sz w:val="20"/>
          <w:szCs w:val="20"/>
          <w:u w:val="single"/>
        </w:rPr>
      </w:pPr>
    </w:p>
    <w:p w14:paraId="5E8C12E5"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Acerinox ha obtenido una facturación en 2015 de 4.221 millones de euros lo que le ha generado unos beneficios antes de impuestos al grupo consolidado de 76.896 miles de euros, con un impuesto sobre las ganancias de 45.589 miles de euros. Al 31 de diciembre de 2015 el grupo cuenta con un total de 6.506 empleados.</w:t>
      </w:r>
    </w:p>
    <w:p w14:paraId="3EBDBAA7" w14:textId="77777777" w:rsidR="007359B0" w:rsidRPr="00243B82" w:rsidRDefault="007359B0" w:rsidP="007359B0">
      <w:pPr>
        <w:jc w:val="both"/>
        <w:rPr>
          <w:rFonts w:ascii="Open Sans" w:hAnsi="Open Sans" w:cs="Arial"/>
          <w:sz w:val="20"/>
          <w:szCs w:val="20"/>
          <w:u w:val="single"/>
        </w:rPr>
      </w:pPr>
    </w:p>
    <w:p w14:paraId="0FAE5BE2" w14:textId="77777777" w:rsidR="007359B0" w:rsidRPr="00243B82" w:rsidRDefault="007359B0" w:rsidP="007359B0">
      <w:pPr>
        <w:jc w:val="both"/>
        <w:rPr>
          <w:rFonts w:ascii="Open Sans" w:hAnsi="Open Sans" w:cs="Arial"/>
          <w:sz w:val="20"/>
          <w:szCs w:val="20"/>
          <w:u w:val="single"/>
        </w:rPr>
      </w:pPr>
    </w:p>
    <w:p w14:paraId="2F079DF5" w14:textId="77777777" w:rsidR="007359B0" w:rsidRPr="00243B82" w:rsidRDefault="007359B0" w:rsidP="007359B0">
      <w:pPr>
        <w:jc w:val="both"/>
        <w:rPr>
          <w:rFonts w:ascii="Open Sans" w:hAnsi="Open Sans" w:cs="Arial"/>
          <w:sz w:val="20"/>
          <w:szCs w:val="20"/>
          <w:u w:val="single"/>
        </w:rPr>
      </w:pPr>
      <w:r w:rsidRPr="00243B82">
        <w:rPr>
          <w:rFonts w:ascii="Open Sans" w:hAnsi="Open Sans" w:cs="Arial"/>
          <w:sz w:val="20"/>
          <w:szCs w:val="20"/>
          <w:u w:val="single"/>
        </w:rPr>
        <w:t>Estándares voluntarios relacionados con fiscalidad responsable</w:t>
      </w:r>
    </w:p>
    <w:p w14:paraId="524383F7" w14:textId="77777777" w:rsidR="007359B0" w:rsidRPr="00243B82" w:rsidRDefault="007359B0" w:rsidP="007359B0">
      <w:pPr>
        <w:jc w:val="both"/>
        <w:rPr>
          <w:rFonts w:ascii="Open Sans" w:hAnsi="Open Sans" w:cs="Arial"/>
          <w:sz w:val="20"/>
          <w:szCs w:val="20"/>
          <w:u w:val="single"/>
        </w:rPr>
      </w:pPr>
    </w:p>
    <w:p w14:paraId="032A6AE8" w14:textId="77777777" w:rsidR="007359B0" w:rsidRPr="00243B82" w:rsidRDefault="007359B0" w:rsidP="007359B0">
      <w:pPr>
        <w:jc w:val="both"/>
        <w:rPr>
          <w:rFonts w:ascii="Open Sans" w:hAnsi="Open Sans" w:cs="Open Sans"/>
          <w:sz w:val="20"/>
          <w:szCs w:val="20"/>
        </w:rPr>
      </w:pPr>
      <w:r w:rsidRPr="00243B82">
        <w:rPr>
          <w:rFonts w:ascii="Open Sans" w:hAnsi="Open Sans" w:cs="Open Sans"/>
          <w:sz w:val="20"/>
          <w:szCs w:val="20"/>
        </w:rPr>
        <w:t>Acerinox informa que se ha adherido voluntariamente a los siguientes estándares relacionados con contenidos y sistemas de gestión de fiscalidad responsable:</w:t>
      </w:r>
    </w:p>
    <w:p w14:paraId="0D540766" w14:textId="77777777" w:rsidR="007359B0" w:rsidRPr="00243B82" w:rsidRDefault="007359B0" w:rsidP="007359B0">
      <w:pPr>
        <w:ind w:left="708"/>
        <w:jc w:val="both"/>
        <w:rPr>
          <w:rFonts w:ascii="Open Sans" w:hAnsi="Open Sans" w:cs="Open Sans"/>
          <w:sz w:val="20"/>
          <w:szCs w:val="20"/>
        </w:rPr>
      </w:pPr>
    </w:p>
    <w:p w14:paraId="6BAC819C" w14:textId="77777777" w:rsidR="007359B0" w:rsidRPr="00243B82" w:rsidRDefault="007359B0" w:rsidP="007359B0">
      <w:pPr>
        <w:numPr>
          <w:ilvl w:val="0"/>
          <w:numId w:val="16"/>
        </w:numPr>
        <w:jc w:val="both"/>
        <w:rPr>
          <w:rFonts w:ascii="Open Sans" w:hAnsi="Open Sans" w:cs="Open Sans"/>
          <w:sz w:val="20"/>
          <w:szCs w:val="20"/>
        </w:rPr>
      </w:pPr>
      <w:r w:rsidRPr="00243B82">
        <w:rPr>
          <w:rFonts w:ascii="Open Sans" w:hAnsi="Open Sans" w:cs="Open Sans"/>
          <w:sz w:val="20"/>
          <w:szCs w:val="20"/>
        </w:rPr>
        <w:t>Código de Buenas Prácticas Tributarias de la Agencia Tributaria.</w:t>
      </w:r>
    </w:p>
    <w:p w14:paraId="53F53F4A" w14:textId="77777777" w:rsidR="007359B0" w:rsidRPr="00243B82" w:rsidRDefault="007359B0" w:rsidP="007359B0">
      <w:pPr>
        <w:jc w:val="both"/>
        <w:rPr>
          <w:rFonts w:ascii="Open Sans" w:hAnsi="Open Sans" w:cs="Arial"/>
          <w:sz w:val="20"/>
          <w:szCs w:val="20"/>
          <w:u w:val="single"/>
        </w:rPr>
      </w:pPr>
    </w:p>
    <w:p w14:paraId="0289CDBB" w14:textId="77777777" w:rsidR="007359B0" w:rsidRPr="00243B82" w:rsidRDefault="007359B0" w:rsidP="007359B0">
      <w:pPr>
        <w:jc w:val="both"/>
        <w:rPr>
          <w:rFonts w:ascii="Open Sans" w:hAnsi="Open Sans" w:cs="Arial"/>
          <w:sz w:val="20"/>
          <w:szCs w:val="20"/>
          <w:u w:val="single"/>
        </w:rPr>
      </w:pPr>
    </w:p>
    <w:p w14:paraId="7BA63C39" w14:textId="77777777" w:rsidR="007359B0" w:rsidRPr="00243B82" w:rsidRDefault="007359B0" w:rsidP="007359B0">
      <w:pPr>
        <w:jc w:val="both"/>
        <w:rPr>
          <w:rFonts w:ascii="Open Sans" w:hAnsi="Open Sans" w:cs="Arial"/>
          <w:sz w:val="20"/>
          <w:szCs w:val="20"/>
          <w:u w:val="single"/>
        </w:rPr>
      </w:pPr>
      <w:r w:rsidRPr="00243B82">
        <w:rPr>
          <w:rFonts w:ascii="Open Sans" w:hAnsi="Open Sans" w:cs="Arial"/>
          <w:sz w:val="20"/>
          <w:szCs w:val="20"/>
          <w:u w:val="single"/>
        </w:rPr>
        <w:t>Documentos incluidos en el análisis</w:t>
      </w:r>
    </w:p>
    <w:p w14:paraId="336146E1" w14:textId="77777777" w:rsidR="007359B0" w:rsidRPr="00243B82" w:rsidRDefault="007359B0" w:rsidP="007359B0">
      <w:pPr>
        <w:ind w:firstLine="709"/>
        <w:jc w:val="both"/>
        <w:rPr>
          <w:rFonts w:ascii="Open Sans" w:hAnsi="Open Sans" w:cs="Arial"/>
          <w:sz w:val="20"/>
          <w:szCs w:val="20"/>
        </w:rPr>
      </w:pPr>
    </w:p>
    <w:p w14:paraId="35E8ECFF"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Para el análisis de la calidad de la información relacionada con fiscalidad de la empresa, se ha tenido en cuenta la información contenida en la siguiente documentación:</w:t>
      </w:r>
    </w:p>
    <w:p w14:paraId="43D8C283" w14:textId="77777777" w:rsidR="007359B0" w:rsidRPr="00243B82" w:rsidRDefault="007359B0" w:rsidP="007359B0">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7359B0" w:rsidRPr="00243B82" w14:paraId="1310DF05" w14:textId="77777777" w:rsidTr="006E3A41">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6DAAE731" w14:textId="77777777" w:rsidR="007359B0" w:rsidRPr="00243B82" w:rsidRDefault="007359B0" w:rsidP="006E3A41">
            <w:pPr>
              <w:jc w:val="center"/>
              <w:rPr>
                <w:rFonts w:ascii="Open Sans" w:hAnsi="Open Sans" w:cs="Arial"/>
                <w:b/>
                <w:sz w:val="20"/>
                <w:szCs w:val="20"/>
              </w:rPr>
            </w:pPr>
            <w:r w:rsidRPr="00243B82">
              <w:rPr>
                <w:rFonts w:ascii="Open Sans" w:hAnsi="Open Sans" w:cs="Arial"/>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50742734" w14:textId="77777777" w:rsidR="007359B0" w:rsidRPr="00243B82" w:rsidRDefault="007359B0" w:rsidP="006E3A41">
            <w:pPr>
              <w:jc w:val="center"/>
              <w:rPr>
                <w:rFonts w:ascii="Open Sans" w:hAnsi="Open Sans" w:cs="Arial"/>
                <w:b/>
                <w:sz w:val="20"/>
                <w:szCs w:val="20"/>
              </w:rPr>
            </w:pPr>
            <w:r w:rsidRPr="00243B82">
              <w:rPr>
                <w:rFonts w:ascii="Open Sans" w:hAnsi="Open Sans" w:cs="Arial"/>
                <w:b/>
                <w:sz w:val="20"/>
                <w:szCs w:val="20"/>
              </w:rPr>
              <w:t>OBSERVACIONES</w:t>
            </w:r>
          </w:p>
        </w:tc>
      </w:tr>
      <w:tr w:rsidR="007359B0" w:rsidRPr="00243B82" w14:paraId="73BC4B9D" w14:textId="77777777" w:rsidTr="006E3A41">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0948703A" w14:textId="77777777" w:rsidR="007359B0" w:rsidRPr="00243B82" w:rsidRDefault="007359B0" w:rsidP="006E3A41">
            <w:pPr>
              <w:jc w:val="both"/>
              <w:rPr>
                <w:rFonts w:ascii="Open Sans" w:eastAsia="Arial Unicode MS" w:hAnsi="Open Sans" w:cs="Arial"/>
                <w:sz w:val="20"/>
                <w:szCs w:val="20"/>
              </w:rPr>
            </w:pPr>
            <w:r w:rsidRPr="00243B82">
              <w:rPr>
                <w:rFonts w:ascii="Open Sans" w:eastAsia="Arial Unicode MS" w:hAnsi="Open Sans" w:cs="Arial"/>
                <w:sz w:val="20"/>
                <w:szCs w:val="20"/>
              </w:rPr>
              <w:t>Informe Financiero Anual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B061765" w14:textId="77777777" w:rsidR="007359B0" w:rsidRPr="00243B82" w:rsidRDefault="007359B0" w:rsidP="006E3A41">
            <w:pPr>
              <w:jc w:val="both"/>
              <w:rPr>
                <w:rFonts w:ascii="Open Sans" w:eastAsia="Arial Unicode MS" w:hAnsi="Open Sans" w:cs="Arial"/>
                <w:sz w:val="20"/>
                <w:szCs w:val="20"/>
              </w:rPr>
            </w:pPr>
          </w:p>
        </w:tc>
      </w:tr>
      <w:tr w:rsidR="007359B0" w:rsidRPr="00243B82" w14:paraId="35F240E3" w14:textId="77777777" w:rsidTr="006E3A41">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9ADC2A5" w14:textId="77777777" w:rsidR="007359B0" w:rsidRPr="00243B82" w:rsidRDefault="007359B0" w:rsidP="006E3A41">
            <w:pPr>
              <w:jc w:val="both"/>
              <w:rPr>
                <w:rFonts w:ascii="Open Sans" w:eastAsia="Arial Unicode MS" w:hAnsi="Open Sans" w:cs="Arial"/>
                <w:sz w:val="20"/>
                <w:szCs w:val="20"/>
              </w:rPr>
            </w:pPr>
            <w:r w:rsidRPr="00243B82">
              <w:rPr>
                <w:rFonts w:ascii="Open Sans" w:eastAsia="Arial Unicode MS" w:hAnsi="Open Sans" w:cs="Arial"/>
                <w:sz w:val="20"/>
                <w:szCs w:val="20"/>
              </w:rPr>
              <w:t>Informe de Sostenibilidad de Acerinox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A10EA1E" w14:textId="77777777" w:rsidR="007359B0" w:rsidRPr="00243B82" w:rsidRDefault="007359B0" w:rsidP="006E3A41">
            <w:pPr>
              <w:jc w:val="both"/>
              <w:rPr>
                <w:rFonts w:ascii="Open Sans" w:eastAsia="Arial Unicode MS" w:hAnsi="Open Sans" w:cs="Arial"/>
                <w:sz w:val="20"/>
                <w:szCs w:val="20"/>
              </w:rPr>
            </w:pPr>
          </w:p>
        </w:tc>
      </w:tr>
      <w:tr w:rsidR="007359B0" w:rsidRPr="00243B82" w14:paraId="6EBB9356" w14:textId="77777777" w:rsidTr="006E3A41">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9B022F3" w14:textId="77777777" w:rsidR="007359B0" w:rsidRPr="00243B82" w:rsidRDefault="007359B0" w:rsidP="006E3A41">
            <w:pPr>
              <w:jc w:val="both"/>
              <w:rPr>
                <w:rFonts w:ascii="Open Sans" w:eastAsia="Arial Unicode MS" w:hAnsi="Open Sans" w:cs="Arial"/>
                <w:sz w:val="20"/>
                <w:szCs w:val="20"/>
              </w:rPr>
            </w:pPr>
            <w:r w:rsidRPr="00243B82">
              <w:rPr>
                <w:rFonts w:ascii="Open Sans" w:eastAsia="Arial Unicode MS" w:hAnsi="Open Sans" w:cs="Arial"/>
                <w:sz w:val="20"/>
                <w:szCs w:val="20"/>
              </w:rPr>
              <w:t>Informe Anual de Gobierno Corporativo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5399FFD" w14:textId="77777777" w:rsidR="007359B0" w:rsidRPr="00243B82" w:rsidRDefault="007359B0" w:rsidP="006E3A41">
            <w:pPr>
              <w:jc w:val="both"/>
              <w:rPr>
                <w:rFonts w:ascii="Open Sans" w:eastAsia="Arial Unicode MS" w:hAnsi="Open Sans" w:cs="Arial"/>
                <w:sz w:val="20"/>
                <w:szCs w:val="20"/>
              </w:rPr>
            </w:pPr>
          </w:p>
        </w:tc>
      </w:tr>
      <w:tr w:rsidR="007359B0" w:rsidRPr="00243B82" w14:paraId="3B773F28"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2D102FB2" w14:textId="77777777" w:rsidR="007359B0" w:rsidRPr="00243B82" w:rsidRDefault="007359B0" w:rsidP="006E3A41">
            <w:pPr>
              <w:jc w:val="both"/>
              <w:rPr>
                <w:rFonts w:ascii="Open Sans" w:hAnsi="Open Sans" w:cs="Tahoma"/>
                <w:sz w:val="20"/>
                <w:szCs w:val="20"/>
              </w:rPr>
            </w:pPr>
            <w:r w:rsidRPr="00243B82">
              <w:rPr>
                <w:rFonts w:ascii="Open Sans" w:hAnsi="Open Sans" w:cs="Tahoma"/>
                <w:sz w:val="20"/>
                <w:szCs w:val="20"/>
              </w:rPr>
              <w:t>Informe Anual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1029767" w14:textId="77777777" w:rsidR="007359B0" w:rsidRPr="00243B82" w:rsidRDefault="007359B0" w:rsidP="006E3A41">
            <w:pPr>
              <w:jc w:val="both"/>
              <w:rPr>
                <w:rFonts w:ascii="Open Sans" w:eastAsia="Arial Unicode MS" w:hAnsi="Open Sans" w:cs="Arial"/>
                <w:sz w:val="20"/>
                <w:szCs w:val="20"/>
              </w:rPr>
            </w:pPr>
          </w:p>
        </w:tc>
      </w:tr>
      <w:tr w:rsidR="007359B0" w:rsidRPr="00243B82" w14:paraId="2E3EF9AF"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68BEBB38" w14:textId="77777777" w:rsidR="007359B0" w:rsidRPr="00243B82" w:rsidRDefault="007359B0" w:rsidP="006E3A41">
            <w:pPr>
              <w:jc w:val="both"/>
              <w:rPr>
                <w:rFonts w:ascii="Open Sans" w:hAnsi="Open Sans" w:cs="Tahoma"/>
                <w:sz w:val="20"/>
                <w:szCs w:val="20"/>
              </w:rPr>
            </w:pPr>
            <w:r w:rsidRPr="00243B82">
              <w:rPr>
                <w:rFonts w:ascii="Open Sans" w:hAnsi="Open Sans" w:cs="Tahoma"/>
                <w:sz w:val="20"/>
                <w:szCs w:val="20"/>
              </w:rPr>
              <w:t>Política General de Responsabilidad Social Corporativa de Acerinox, S.A. y de su Grupo de Empresas</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78213D70" w14:textId="77777777" w:rsidR="007359B0" w:rsidRPr="00243B82" w:rsidRDefault="007359B0" w:rsidP="006E3A41">
            <w:pPr>
              <w:jc w:val="both"/>
              <w:rPr>
                <w:rFonts w:ascii="Open Sans" w:eastAsia="Arial Unicode MS" w:hAnsi="Open Sans" w:cs="Arial"/>
                <w:sz w:val="20"/>
                <w:szCs w:val="20"/>
              </w:rPr>
            </w:pPr>
          </w:p>
        </w:tc>
      </w:tr>
      <w:tr w:rsidR="007359B0" w:rsidRPr="00243B82" w14:paraId="3E951408" w14:textId="77777777" w:rsidTr="006E3A41">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40FD7C20" w14:textId="77777777" w:rsidR="007359B0" w:rsidRPr="00243B82" w:rsidRDefault="007359B0" w:rsidP="006E3A41">
            <w:pPr>
              <w:jc w:val="both"/>
              <w:rPr>
                <w:rFonts w:ascii="Open Sans" w:hAnsi="Open Sans" w:cs="Tahoma"/>
                <w:sz w:val="20"/>
                <w:szCs w:val="20"/>
              </w:rPr>
            </w:pPr>
            <w:r w:rsidRPr="00243B82">
              <w:rPr>
                <w:rFonts w:ascii="Open Sans" w:hAnsi="Open Sans" w:cs="Tahoma"/>
                <w:sz w:val="20"/>
                <w:szCs w:val="20"/>
              </w:rPr>
              <w:t>Política General de Control y Gestión de Riesgos de Acerinox, S.A.  y de su Grupo de Empresas</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578FB163" w14:textId="77777777" w:rsidR="007359B0" w:rsidRPr="00243B82" w:rsidRDefault="007359B0" w:rsidP="006E3A41">
            <w:pPr>
              <w:jc w:val="both"/>
              <w:rPr>
                <w:rFonts w:ascii="Open Sans" w:eastAsia="Arial Unicode MS" w:hAnsi="Open Sans" w:cs="Arial"/>
                <w:sz w:val="20"/>
                <w:szCs w:val="20"/>
              </w:rPr>
            </w:pPr>
          </w:p>
        </w:tc>
      </w:tr>
      <w:tr w:rsidR="007359B0" w:rsidRPr="00243B82" w14:paraId="78CA3A8E" w14:textId="77777777" w:rsidTr="006E3A41">
        <w:trPr>
          <w:trHeight w:val="457"/>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782E546A" w14:textId="77777777" w:rsidR="007359B0" w:rsidRPr="00243B82" w:rsidRDefault="007359B0" w:rsidP="006E3A41">
            <w:pPr>
              <w:jc w:val="both"/>
              <w:rPr>
                <w:rFonts w:ascii="Open Sans" w:hAnsi="Open Sans" w:cs="Tahoma"/>
                <w:sz w:val="20"/>
                <w:szCs w:val="20"/>
              </w:rPr>
            </w:pPr>
            <w:r w:rsidRPr="00243B82">
              <w:rPr>
                <w:rFonts w:ascii="Open Sans" w:hAnsi="Open Sans" w:cs="Tahoma"/>
                <w:sz w:val="20"/>
                <w:szCs w:val="20"/>
              </w:rPr>
              <w:t>Código de conducta y buenas prácticas de las empresas del Grupo Acerinox (2011)</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24695AB9" w14:textId="77777777" w:rsidR="007359B0" w:rsidRPr="00243B82" w:rsidRDefault="007359B0" w:rsidP="006E3A41">
            <w:pPr>
              <w:jc w:val="both"/>
              <w:rPr>
                <w:rFonts w:ascii="Open Sans" w:eastAsia="Arial Unicode MS" w:hAnsi="Open Sans" w:cs="Arial"/>
                <w:sz w:val="20"/>
                <w:szCs w:val="20"/>
              </w:rPr>
            </w:pPr>
          </w:p>
        </w:tc>
      </w:tr>
    </w:tbl>
    <w:p w14:paraId="01354124" w14:textId="77777777" w:rsidR="007359B0" w:rsidRPr="00243B82" w:rsidRDefault="007359B0" w:rsidP="007359B0">
      <w:pPr>
        <w:jc w:val="both"/>
        <w:rPr>
          <w:rFonts w:ascii="Open Sans" w:hAnsi="Open Sans" w:cs="Arial"/>
          <w:b/>
        </w:rPr>
      </w:pPr>
    </w:p>
    <w:p w14:paraId="7310B6C0" w14:textId="77777777" w:rsidR="007359B0" w:rsidRPr="00243B82" w:rsidRDefault="007359B0" w:rsidP="007359B0">
      <w:pPr>
        <w:jc w:val="both"/>
        <w:rPr>
          <w:rFonts w:ascii="Open Sans" w:hAnsi="Open Sans" w:cs="Arial"/>
          <w:b/>
        </w:rPr>
      </w:pPr>
    </w:p>
    <w:p w14:paraId="633FD830" w14:textId="77777777" w:rsidR="007359B0" w:rsidRPr="00243B82" w:rsidRDefault="007359B0" w:rsidP="007359B0">
      <w:pPr>
        <w:jc w:val="both"/>
        <w:rPr>
          <w:rFonts w:ascii="Open Sans" w:hAnsi="Open Sans" w:cs="Arial"/>
          <w:b/>
        </w:rPr>
      </w:pPr>
    </w:p>
    <w:p w14:paraId="23559928" w14:textId="77777777" w:rsidR="007359B0" w:rsidRPr="00243B82" w:rsidRDefault="007359B0" w:rsidP="007359B0">
      <w:pPr>
        <w:jc w:val="both"/>
        <w:rPr>
          <w:rFonts w:ascii="Open Sans" w:hAnsi="Open Sans" w:cs="Arial"/>
          <w:b/>
        </w:rPr>
      </w:pPr>
      <w:r w:rsidRPr="00243B82">
        <w:rPr>
          <w:rFonts w:ascii="Open Sans" w:hAnsi="Open Sans" w:cs="Arial"/>
          <w:b/>
          <w:sz w:val="22"/>
          <w:szCs w:val="22"/>
          <w:u w:val="single"/>
        </w:rPr>
        <w:t>2. Tablas de resultados</w:t>
      </w:r>
    </w:p>
    <w:p w14:paraId="25E166B4" w14:textId="77777777" w:rsidR="007359B0" w:rsidRPr="00243B82" w:rsidRDefault="007359B0" w:rsidP="007359B0">
      <w:pPr>
        <w:jc w:val="both"/>
        <w:rPr>
          <w:rFonts w:ascii="Open Sans" w:hAnsi="Open Sans" w:cs="Arial"/>
          <w:b/>
          <w:u w:val="single"/>
        </w:rPr>
      </w:pPr>
    </w:p>
    <w:p w14:paraId="532DD2B1" w14:textId="77777777" w:rsidR="007359B0" w:rsidRPr="00243B82" w:rsidRDefault="007359B0" w:rsidP="007359B0">
      <w:pPr>
        <w:jc w:val="both"/>
        <w:rPr>
          <w:rFonts w:ascii="Open Sans" w:hAnsi="Open Sans"/>
        </w:rPr>
      </w:pPr>
    </w:p>
    <w:p w14:paraId="1FF8BF32" w14:textId="77777777" w:rsidR="007359B0" w:rsidRPr="00243B82" w:rsidRDefault="007359B0" w:rsidP="007359B0">
      <w:pPr>
        <w:suppressAutoHyphens/>
        <w:jc w:val="center"/>
        <w:rPr>
          <w:rFonts w:ascii="Open Sans" w:hAnsi="Open Sans" w:cs="Arial"/>
          <w:b/>
          <w:sz w:val="20"/>
          <w:szCs w:val="22"/>
          <w:u w:val="single"/>
          <w:lang w:eastAsia="ar-SA"/>
        </w:rPr>
      </w:pPr>
      <w:r w:rsidRPr="00243B82">
        <w:rPr>
          <w:rFonts w:ascii="Open Sans" w:hAnsi="Open Sans" w:cs="Arial"/>
          <w:b/>
          <w:sz w:val="20"/>
          <w:szCs w:val="22"/>
          <w:u w:val="single"/>
          <w:lang w:eastAsia="ar-SA"/>
        </w:rPr>
        <w:t>TABLA 1: Valoraciones por dimensión</w:t>
      </w:r>
    </w:p>
    <w:p w14:paraId="24CBB469" w14:textId="77777777" w:rsidR="007359B0" w:rsidRPr="00243B82" w:rsidRDefault="007359B0" w:rsidP="007359B0">
      <w:pPr>
        <w:rPr>
          <w:rFonts w:ascii="Open Sans" w:hAnsi="Open Sans" w:cs="Arial"/>
          <w:b/>
        </w:rPr>
      </w:pPr>
    </w:p>
    <w:p w14:paraId="35D4F26B" w14:textId="5061B788" w:rsidR="007359B0" w:rsidRPr="00243B82" w:rsidRDefault="007359B0" w:rsidP="007359B0">
      <w:pPr>
        <w:jc w:val="center"/>
        <w:rPr>
          <w:rFonts w:ascii="Open Sans" w:hAnsi="Open Sans"/>
        </w:rPr>
      </w:pPr>
      <w:r>
        <w:rPr>
          <w:rFonts w:ascii="Open Sans" w:hAnsi="Open Sans"/>
          <w:noProof/>
          <w:lang w:val="es-ES"/>
        </w:rPr>
        <w:drawing>
          <wp:inline distT="0" distB="0" distL="0" distR="0" wp14:anchorId="49ED8931" wp14:editId="1009507E">
            <wp:extent cx="3683000" cy="1828800"/>
            <wp:effectExtent l="0" t="0" r="0" b="0"/>
            <wp:docPr id="6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a:ext>
                      </a:extLst>
                    </a:blip>
                    <a:srcRect/>
                    <a:stretch>
                      <a:fillRect/>
                    </a:stretch>
                  </pic:blipFill>
                  <pic:spPr bwMode="auto">
                    <a:xfrm>
                      <a:off x="0" y="0"/>
                      <a:ext cx="3683000" cy="1828800"/>
                    </a:xfrm>
                    <a:prstGeom prst="rect">
                      <a:avLst/>
                    </a:prstGeom>
                    <a:noFill/>
                    <a:ln>
                      <a:noFill/>
                    </a:ln>
                  </pic:spPr>
                </pic:pic>
              </a:graphicData>
            </a:graphic>
          </wp:inline>
        </w:drawing>
      </w:r>
    </w:p>
    <w:p w14:paraId="4564B748" w14:textId="77777777" w:rsidR="007359B0" w:rsidRPr="00243B82" w:rsidRDefault="007359B0" w:rsidP="007359B0">
      <w:pPr>
        <w:jc w:val="both"/>
        <w:rPr>
          <w:rFonts w:ascii="Open Sans" w:hAnsi="Open Sans"/>
        </w:rPr>
      </w:pPr>
    </w:p>
    <w:p w14:paraId="43D818C7" w14:textId="77777777" w:rsidR="007359B0" w:rsidRPr="00243B82" w:rsidRDefault="007359B0" w:rsidP="007359B0">
      <w:pPr>
        <w:jc w:val="both"/>
        <w:rPr>
          <w:rFonts w:ascii="Open Sans" w:hAnsi="Open Sans"/>
        </w:rPr>
      </w:pPr>
    </w:p>
    <w:p w14:paraId="700C0DC0" w14:textId="77777777" w:rsidR="007359B0" w:rsidRPr="00243B82" w:rsidRDefault="007359B0" w:rsidP="007359B0">
      <w:pPr>
        <w:jc w:val="both"/>
        <w:rPr>
          <w:rFonts w:ascii="Open Sans" w:hAnsi="Open Sans" w:cs="Arial"/>
          <w:b/>
          <w:u w:val="single"/>
        </w:rPr>
      </w:pPr>
    </w:p>
    <w:p w14:paraId="19786242" w14:textId="77777777" w:rsidR="007359B0" w:rsidRPr="00243B82" w:rsidRDefault="007359B0" w:rsidP="007359B0">
      <w:pPr>
        <w:jc w:val="both"/>
        <w:rPr>
          <w:rFonts w:ascii="Open Sans" w:hAnsi="Open Sans" w:cs="Arial"/>
          <w:b/>
          <w:u w:val="single"/>
        </w:rPr>
      </w:pPr>
      <w:r w:rsidRPr="00243B82">
        <w:rPr>
          <w:rFonts w:ascii="Open Sans" w:hAnsi="Open Sans" w:cs="Arial"/>
          <w:b/>
          <w:u w:val="single"/>
        </w:rPr>
        <w:br w:type="page"/>
      </w:r>
    </w:p>
    <w:p w14:paraId="3A5E39D8" w14:textId="77777777" w:rsidR="007359B0" w:rsidRPr="00243B82" w:rsidRDefault="007359B0" w:rsidP="007359B0">
      <w:pPr>
        <w:jc w:val="center"/>
        <w:rPr>
          <w:rFonts w:ascii="Open Sans" w:hAnsi="Open Sans" w:cs="Arial"/>
          <w:b/>
        </w:rPr>
      </w:pPr>
    </w:p>
    <w:p w14:paraId="4BDDF254" w14:textId="77777777" w:rsidR="007359B0" w:rsidRPr="00243B82" w:rsidRDefault="007359B0" w:rsidP="007359B0">
      <w:pPr>
        <w:jc w:val="both"/>
        <w:rPr>
          <w:rFonts w:ascii="Open Sans" w:hAnsi="Open Sans" w:cs="Arial"/>
          <w:b/>
          <w:sz w:val="22"/>
          <w:szCs w:val="22"/>
        </w:rPr>
      </w:pPr>
      <w:r w:rsidRPr="00243B82">
        <w:rPr>
          <w:rFonts w:ascii="Open Sans" w:hAnsi="Open Sans" w:cs="Arial"/>
          <w:b/>
          <w:sz w:val="22"/>
          <w:szCs w:val="22"/>
          <w:u w:val="single"/>
        </w:rPr>
        <w:t>3. Contexto general</w:t>
      </w:r>
    </w:p>
    <w:p w14:paraId="1CA658B5" w14:textId="77777777" w:rsidR="007359B0" w:rsidRPr="00243B82" w:rsidRDefault="007359B0" w:rsidP="007359B0">
      <w:pPr>
        <w:jc w:val="both"/>
        <w:rPr>
          <w:rFonts w:ascii="Open Sans" w:hAnsi="Open Sans" w:cs="Arial"/>
          <w:b/>
        </w:rPr>
      </w:pPr>
    </w:p>
    <w:p w14:paraId="34A5E994" w14:textId="77777777" w:rsidR="007359B0" w:rsidRPr="00243B82" w:rsidRDefault="007359B0" w:rsidP="007359B0">
      <w:pPr>
        <w:jc w:val="both"/>
        <w:rPr>
          <w:rFonts w:ascii="Open Sans" w:hAnsi="Open Sans" w:cs="Arial"/>
          <w:sz w:val="20"/>
        </w:rPr>
      </w:pPr>
      <w:r w:rsidRPr="00243B82">
        <w:rPr>
          <w:rFonts w:ascii="Open Sans" w:hAnsi="Open Sans" w:cs="Arial"/>
          <w:sz w:val="20"/>
        </w:rPr>
        <w:t>Acerinox tiene por actividad la fabricación y comercialización de acero inoxidable, actividad fabril que necesariamente implica un impacto especialmente elevado en materia medioambiental, sin descuidar la social y la económica dada su deslocalización. Dispone de oficinas en 37 países con presencia en todos los continentes, además de 6 fábricas en 4 países, España (3), Estados Unidos (1), Malasia (1) y Sudáfrica (1).</w:t>
      </w:r>
    </w:p>
    <w:p w14:paraId="5BFE93BA" w14:textId="77777777" w:rsidR="007359B0" w:rsidRPr="00243B82" w:rsidRDefault="007359B0" w:rsidP="007359B0">
      <w:pPr>
        <w:jc w:val="both"/>
        <w:rPr>
          <w:rFonts w:ascii="Open Sans" w:hAnsi="Open Sans" w:cs="Arial"/>
          <w:sz w:val="20"/>
        </w:rPr>
      </w:pPr>
    </w:p>
    <w:p w14:paraId="507632EA" w14:textId="77777777" w:rsidR="007359B0" w:rsidRPr="00243B82" w:rsidRDefault="007359B0" w:rsidP="007359B0">
      <w:pPr>
        <w:jc w:val="both"/>
        <w:rPr>
          <w:rFonts w:ascii="Open Sans" w:hAnsi="Open Sans" w:cs="Arial"/>
          <w:sz w:val="20"/>
        </w:rPr>
      </w:pPr>
      <w:r w:rsidRPr="00243B82">
        <w:rPr>
          <w:rFonts w:ascii="Open Sans" w:hAnsi="Open Sans" w:cs="Arial"/>
          <w:sz w:val="20"/>
        </w:rPr>
        <w:t>Además, dispone de una plantilla formada por 6.506 trabajadores y trabajadoras a cierre de 2015</w:t>
      </w:r>
      <w:r w:rsidRPr="00243B82">
        <w:rPr>
          <w:rStyle w:val="Refdenotaalpie"/>
          <w:rFonts w:ascii="Open Sans" w:hAnsi="Open Sans" w:cs="Arial"/>
          <w:sz w:val="20"/>
        </w:rPr>
        <w:footnoteReference w:id="256"/>
      </w:r>
      <w:r w:rsidRPr="00243B82">
        <w:rPr>
          <w:rFonts w:ascii="Open Sans" w:hAnsi="Open Sans" w:cs="Arial"/>
          <w:sz w:val="20"/>
        </w:rPr>
        <w:t xml:space="preserve"> en, al menos, 37 países en los que dispone de oficinas, aunque no se facilita ni el dato exacto ni el desglose por país que permita conocer la situación exacta de sus empleadas y empleados.</w:t>
      </w:r>
    </w:p>
    <w:p w14:paraId="618C2DDF" w14:textId="77777777" w:rsidR="007359B0" w:rsidRPr="00243B82" w:rsidRDefault="007359B0" w:rsidP="007359B0">
      <w:pPr>
        <w:jc w:val="both"/>
        <w:rPr>
          <w:rFonts w:ascii="Open Sans" w:hAnsi="Open Sans" w:cs="Arial"/>
          <w:sz w:val="20"/>
        </w:rPr>
      </w:pPr>
    </w:p>
    <w:p w14:paraId="59C8AF4F" w14:textId="77777777" w:rsidR="007359B0" w:rsidRPr="00243B82" w:rsidRDefault="007359B0" w:rsidP="007359B0">
      <w:pPr>
        <w:jc w:val="both"/>
        <w:rPr>
          <w:rFonts w:ascii="Open Sans" w:hAnsi="Open Sans" w:cs="Arial"/>
          <w:sz w:val="20"/>
        </w:rPr>
      </w:pPr>
      <w:r w:rsidRPr="00243B82">
        <w:rPr>
          <w:rFonts w:ascii="Open Sans" w:hAnsi="Open Sans" w:cs="Arial"/>
          <w:sz w:val="20"/>
        </w:rPr>
        <w:t>Por otro lado, está presente en más de 80 países</w:t>
      </w:r>
      <w:r w:rsidRPr="00243B82">
        <w:rPr>
          <w:rStyle w:val="Refdenotaalpie"/>
          <w:rFonts w:ascii="Open Sans" w:hAnsi="Open Sans" w:cs="Arial"/>
          <w:sz w:val="20"/>
        </w:rPr>
        <w:footnoteReference w:id="257"/>
      </w:r>
      <w:r w:rsidRPr="00243B82">
        <w:rPr>
          <w:rFonts w:ascii="Open Sans" w:hAnsi="Open Sans" w:cs="Arial"/>
          <w:sz w:val="20"/>
        </w:rPr>
        <w:t xml:space="preserve"> bien a través de oficinas, agentes comerciales, centros logísticos o de fabricación, aunque no se tiene el desglose exacto ya que no es posible extraerlo completamente de su mapa de actividad</w:t>
      </w:r>
      <w:r w:rsidRPr="00243B82">
        <w:rPr>
          <w:rStyle w:val="Refdenotaalpie"/>
          <w:rFonts w:ascii="Open Sans" w:hAnsi="Open Sans" w:cs="Arial"/>
          <w:sz w:val="20"/>
        </w:rPr>
        <w:footnoteReference w:id="258"/>
      </w:r>
      <w:r w:rsidRPr="00243B82">
        <w:rPr>
          <w:rFonts w:ascii="Open Sans" w:hAnsi="Open Sans" w:cs="Arial"/>
          <w:sz w:val="20"/>
        </w:rPr>
        <w:t>.</w:t>
      </w:r>
    </w:p>
    <w:p w14:paraId="02FA47BD" w14:textId="77777777" w:rsidR="007359B0" w:rsidRPr="00243B82" w:rsidRDefault="007359B0" w:rsidP="007359B0">
      <w:pPr>
        <w:jc w:val="both"/>
        <w:rPr>
          <w:rFonts w:ascii="Open Sans" w:hAnsi="Open Sans" w:cs="Arial"/>
          <w:sz w:val="20"/>
        </w:rPr>
      </w:pPr>
    </w:p>
    <w:p w14:paraId="569ECF90" w14:textId="77777777" w:rsidR="007359B0" w:rsidRPr="00243B82" w:rsidRDefault="007359B0" w:rsidP="007359B0">
      <w:pPr>
        <w:jc w:val="both"/>
        <w:rPr>
          <w:rFonts w:ascii="Open Sans" w:hAnsi="Open Sans" w:cs="Arial"/>
          <w:sz w:val="20"/>
        </w:rPr>
      </w:pPr>
      <w:r w:rsidRPr="00243B82">
        <w:rPr>
          <w:rFonts w:ascii="Open Sans" w:hAnsi="Open Sans" w:cs="Arial"/>
          <w:sz w:val="20"/>
        </w:rPr>
        <w:t>La única variación en el perímetro de consolidación del Grupo Acerinox en este ejercicio ha sido la adquisición en el mes de enero de 2015 de la participación minoritaria restante del 1,67% en las sociedades comercializadoras españolas Inoxcenter, S.L.U y Metalinox Bilbao, S.A.U. pasando a ostentar así el 100% de la participación en esas dos sociedades.</w:t>
      </w:r>
    </w:p>
    <w:p w14:paraId="258DA01B" w14:textId="77777777" w:rsidR="007359B0" w:rsidRPr="00243B82" w:rsidRDefault="007359B0" w:rsidP="007359B0">
      <w:pPr>
        <w:jc w:val="both"/>
        <w:rPr>
          <w:rFonts w:ascii="Open Sans" w:hAnsi="Open Sans" w:cs="Arial"/>
          <w:sz w:val="20"/>
        </w:rPr>
      </w:pPr>
    </w:p>
    <w:p w14:paraId="4543FFA7" w14:textId="77777777" w:rsidR="007359B0" w:rsidRPr="00243B82" w:rsidRDefault="007359B0" w:rsidP="007359B0">
      <w:pPr>
        <w:jc w:val="both"/>
        <w:rPr>
          <w:rFonts w:ascii="Open Sans" w:hAnsi="Open Sans" w:cs="Arial"/>
          <w:sz w:val="20"/>
        </w:rPr>
      </w:pPr>
      <w:r w:rsidRPr="00243B82">
        <w:rPr>
          <w:rFonts w:ascii="Open Sans" w:hAnsi="Open Sans" w:cs="Arial"/>
          <w:sz w:val="20"/>
        </w:rPr>
        <w:t>La compañía dispone de una Política General de Responsabilidad Social Corporativa de Acerinox, aprobada por el consejo de administración y que alcanza al comportamiento de todas las empresas que forman parte del grupo. Esta política tiene por objeto “</w:t>
      </w:r>
      <w:r w:rsidRPr="00243B82">
        <w:rPr>
          <w:rFonts w:ascii="Open Sans" w:hAnsi="Open Sans" w:cs="Arial"/>
          <w:i/>
          <w:sz w:val="20"/>
        </w:rPr>
        <w:t>favorecer una cultura de responsabilidad social en el Grupo, con carácter global, que contribuya a mejorar el bienestar de las personas, impulsar el desarrollo económico y social de las comunidades en que está presente y crear valor sostenible para los accionistas e inversores, empleados, clientes, proveedores, acreedores, para los territorios en los que el Grupo desarrolla sus negocios, para el medio ambiente, los organismos reguladores y los medios de comunicación</w:t>
      </w:r>
      <w:r w:rsidRPr="00243B82">
        <w:rPr>
          <w:rFonts w:ascii="Open Sans" w:hAnsi="Open Sans" w:cs="Arial"/>
          <w:sz w:val="20"/>
        </w:rPr>
        <w:t>”</w:t>
      </w:r>
      <w:r w:rsidRPr="00243B82">
        <w:rPr>
          <w:rStyle w:val="Refdenotaalpie"/>
          <w:rFonts w:ascii="Open Sans" w:hAnsi="Open Sans" w:cs="Arial"/>
          <w:sz w:val="20"/>
        </w:rPr>
        <w:footnoteReference w:id="259"/>
      </w:r>
      <w:r w:rsidRPr="00243B82">
        <w:rPr>
          <w:rFonts w:ascii="Open Sans" w:hAnsi="Open Sans" w:cs="Arial"/>
          <w:sz w:val="20"/>
        </w:rPr>
        <w:t>.</w:t>
      </w:r>
    </w:p>
    <w:p w14:paraId="5CB38D52" w14:textId="77777777" w:rsidR="007359B0" w:rsidRPr="00243B82" w:rsidRDefault="007359B0" w:rsidP="007359B0">
      <w:pPr>
        <w:jc w:val="both"/>
        <w:rPr>
          <w:rFonts w:ascii="Open Sans" w:hAnsi="Open Sans" w:cs="Arial"/>
          <w:sz w:val="20"/>
        </w:rPr>
      </w:pPr>
    </w:p>
    <w:p w14:paraId="6F4172F4" w14:textId="77777777" w:rsidR="007359B0" w:rsidRPr="00243B82" w:rsidRDefault="007359B0" w:rsidP="007359B0">
      <w:pPr>
        <w:jc w:val="both"/>
        <w:rPr>
          <w:rFonts w:ascii="Open Sans" w:hAnsi="Open Sans" w:cs="Arial"/>
          <w:sz w:val="20"/>
        </w:rPr>
      </w:pPr>
      <w:r w:rsidRPr="00243B82">
        <w:rPr>
          <w:rFonts w:ascii="Open Sans" w:hAnsi="Open Sans" w:cs="Arial"/>
          <w:sz w:val="20"/>
        </w:rPr>
        <w:t>Además de esto, en la política hay un apartado “principios de actuación en relación con una fiscalidad responsable”</w:t>
      </w:r>
      <w:r w:rsidRPr="00243B82">
        <w:rPr>
          <w:rStyle w:val="Refdenotaalpie"/>
          <w:rFonts w:ascii="Open Sans" w:hAnsi="Open Sans" w:cs="Arial"/>
          <w:sz w:val="20"/>
        </w:rPr>
        <w:footnoteReference w:id="260"/>
      </w:r>
      <w:r w:rsidRPr="00243B82">
        <w:rPr>
          <w:rFonts w:ascii="Open Sans" w:hAnsi="Open Sans" w:cs="Arial"/>
          <w:sz w:val="20"/>
        </w:rPr>
        <w:t>, en los que la empresa asume los siguientes 5 compromisos:</w:t>
      </w:r>
    </w:p>
    <w:p w14:paraId="3CE3F79F" w14:textId="77777777" w:rsidR="007359B0" w:rsidRPr="00243B82" w:rsidRDefault="007359B0" w:rsidP="007359B0">
      <w:pPr>
        <w:jc w:val="both"/>
        <w:rPr>
          <w:rFonts w:ascii="Open Sans" w:hAnsi="Open Sans" w:cs="Arial"/>
          <w:sz w:val="20"/>
        </w:rPr>
      </w:pPr>
    </w:p>
    <w:p w14:paraId="109F67B4" w14:textId="77777777" w:rsidR="007359B0" w:rsidRPr="00243B82" w:rsidRDefault="007359B0" w:rsidP="007359B0">
      <w:pPr>
        <w:numPr>
          <w:ilvl w:val="0"/>
          <w:numId w:val="16"/>
        </w:numPr>
        <w:jc w:val="both"/>
        <w:rPr>
          <w:rFonts w:ascii="Open Sans" w:hAnsi="Open Sans" w:cs="Arial"/>
          <w:sz w:val="20"/>
        </w:rPr>
      </w:pPr>
      <w:r w:rsidRPr="00243B82">
        <w:rPr>
          <w:rFonts w:ascii="Open Sans" w:hAnsi="Open Sans" w:cs="Arial"/>
          <w:sz w:val="20"/>
        </w:rPr>
        <w:t>Cumplir de la legislación vigente en materia fiscal en los distintos países y territorios en los que opera.</w:t>
      </w:r>
    </w:p>
    <w:p w14:paraId="4E5A2F2B" w14:textId="77777777" w:rsidR="007359B0" w:rsidRPr="00243B82" w:rsidRDefault="007359B0" w:rsidP="007359B0">
      <w:pPr>
        <w:numPr>
          <w:ilvl w:val="0"/>
          <w:numId w:val="16"/>
        </w:numPr>
        <w:jc w:val="both"/>
        <w:rPr>
          <w:rFonts w:ascii="Open Sans" w:hAnsi="Open Sans" w:cs="Arial"/>
          <w:sz w:val="20"/>
        </w:rPr>
      </w:pPr>
      <w:r w:rsidRPr="00243B82">
        <w:rPr>
          <w:rFonts w:ascii="Open Sans" w:hAnsi="Open Sans" w:cs="Arial"/>
          <w:sz w:val="20"/>
        </w:rPr>
        <w:t>Adoptar decisiones en materia tributaria sobre la base de una interpretación razonable de la normativa aplicable.</w:t>
      </w:r>
    </w:p>
    <w:p w14:paraId="74D06919" w14:textId="77777777" w:rsidR="007359B0" w:rsidRPr="00243B82" w:rsidRDefault="007359B0" w:rsidP="007359B0">
      <w:pPr>
        <w:numPr>
          <w:ilvl w:val="0"/>
          <w:numId w:val="16"/>
        </w:numPr>
        <w:jc w:val="both"/>
        <w:rPr>
          <w:rFonts w:ascii="Open Sans" w:hAnsi="Open Sans" w:cs="Arial"/>
          <w:sz w:val="20"/>
        </w:rPr>
      </w:pPr>
      <w:r w:rsidRPr="00243B82">
        <w:rPr>
          <w:rFonts w:ascii="Open Sans" w:hAnsi="Open Sans" w:cs="Arial"/>
          <w:sz w:val="20"/>
        </w:rPr>
        <w:t>No constituir ni adquirir sociedades residentes en paraísos fiscales, con la sola excepción de los supuestos en que se limiten a vender sus productos en dichos territorios.</w:t>
      </w:r>
    </w:p>
    <w:p w14:paraId="7A5CD42C" w14:textId="77777777" w:rsidR="007359B0" w:rsidRPr="00243B82" w:rsidRDefault="007359B0" w:rsidP="007359B0">
      <w:pPr>
        <w:numPr>
          <w:ilvl w:val="0"/>
          <w:numId w:val="16"/>
        </w:numPr>
        <w:jc w:val="both"/>
        <w:rPr>
          <w:rFonts w:ascii="Open Sans" w:hAnsi="Open Sans" w:cs="Arial"/>
          <w:sz w:val="20"/>
        </w:rPr>
      </w:pPr>
      <w:r w:rsidRPr="00243B82">
        <w:rPr>
          <w:rFonts w:ascii="Open Sans" w:hAnsi="Open Sans" w:cs="Arial"/>
          <w:sz w:val="20"/>
        </w:rPr>
        <w:t>No utilizar estructuras de carácter opaco o artificioso ajenas a las actividades propias del Grupo y con la única finalidad de reducir su carga tributaria. En particular, se adopta el compromiso de no realizar transacciones entre entidades vinculadas por motivaciones exclusivamente de erosión de las bases imponibles o de traslado de beneficios a territorios de baja tributación.</w:t>
      </w:r>
    </w:p>
    <w:p w14:paraId="564491FF" w14:textId="77777777" w:rsidR="007359B0" w:rsidRPr="00243B82" w:rsidRDefault="007359B0" w:rsidP="007359B0">
      <w:pPr>
        <w:numPr>
          <w:ilvl w:val="0"/>
          <w:numId w:val="16"/>
        </w:numPr>
        <w:jc w:val="both"/>
        <w:rPr>
          <w:rFonts w:ascii="Open Sans" w:hAnsi="Open Sans" w:cs="Arial"/>
          <w:sz w:val="20"/>
        </w:rPr>
      </w:pPr>
      <w:r w:rsidRPr="00243B82">
        <w:rPr>
          <w:rFonts w:ascii="Open Sans" w:hAnsi="Open Sans" w:cs="Arial"/>
          <w:sz w:val="20"/>
        </w:rPr>
        <w:t>Mantener una relación con las autoridades en materia tributaria basada en la confianza, buena fe, profesionalidad, colaboración, lealtad y reciprocidad, sin perjuicio de las legítimas controversias que, respetando los principios anteriores y en defensa de sus intereses, puedan generarse con dichas autoridades en torno a la aplicación de las normas.</w:t>
      </w:r>
    </w:p>
    <w:p w14:paraId="1FA1C0C6" w14:textId="77777777" w:rsidR="007359B0" w:rsidRPr="00243B82" w:rsidRDefault="007359B0" w:rsidP="007359B0">
      <w:pPr>
        <w:jc w:val="both"/>
        <w:rPr>
          <w:rFonts w:ascii="Open Sans" w:hAnsi="Open Sans" w:cs="Arial"/>
          <w:sz w:val="20"/>
        </w:rPr>
      </w:pPr>
    </w:p>
    <w:p w14:paraId="1B6D3D4E" w14:textId="77777777" w:rsidR="007359B0" w:rsidRPr="00243B82" w:rsidRDefault="007359B0" w:rsidP="007359B0">
      <w:pPr>
        <w:jc w:val="both"/>
        <w:rPr>
          <w:rFonts w:ascii="Open Sans" w:hAnsi="Open Sans" w:cs="Arial"/>
          <w:sz w:val="20"/>
        </w:rPr>
      </w:pPr>
      <w:r w:rsidRPr="00243B82">
        <w:rPr>
          <w:rFonts w:ascii="Open Sans" w:hAnsi="Open Sans" w:cs="Arial"/>
          <w:sz w:val="20"/>
        </w:rPr>
        <w:t>Asimismo, Acerinox está adherida desde el 2011 al</w:t>
      </w:r>
      <w:r w:rsidRPr="00243B82">
        <w:rPr>
          <w:rFonts w:ascii="Open Sans" w:hAnsi="Open Sans"/>
        </w:rPr>
        <w:t xml:space="preserve"> </w:t>
      </w:r>
      <w:r w:rsidRPr="00243B82">
        <w:rPr>
          <w:rFonts w:ascii="Open Sans" w:hAnsi="Open Sans" w:cs="Arial"/>
          <w:sz w:val="20"/>
        </w:rPr>
        <w:t>Código de Buenas Prácticas Tributarias de la agencia tributaria. Cabe destacar, que el Consejo de Administración de Acerinox aprobó en el año 2016 una Política Fiscal que, al no estar vigente en el ejercicio 2015, no entra dentro del período del presente análisis.</w:t>
      </w:r>
    </w:p>
    <w:p w14:paraId="48D596DA" w14:textId="77777777" w:rsidR="007359B0" w:rsidRPr="00243B82" w:rsidRDefault="007359B0" w:rsidP="007359B0">
      <w:pPr>
        <w:jc w:val="both"/>
        <w:rPr>
          <w:rFonts w:ascii="Open Sans" w:hAnsi="Open Sans" w:cs="Arial"/>
          <w:sz w:val="20"/>
        </w:rPr>
      </w:pPr>
    </w:p>
    <w:p w14:paraId="450907E8" w14:textId="77777777" w:rsidR="007359B0" w:rsidRPr="00243B82" w:rsidRDefault="007359B0" w:rsidP="007359B0">
      <w:pPr>
        <w:jc w:val="both"/>
        <w:rPr>
          <w:rFonts w:ascii="Open Sans" w:hAnsi="Open Sans" w:cs="Arial"/>
          <w:sz w:val="20"/>
        </w:rPr>
      </w:pPr>
      <w:r w:rsidRPr="00243B82">
        <w:rPr>
          <w:rFonts w:ascii="Open Sans" w:hAnsi="Open Sans" w:cs="Arial"/>
          <w:sz w:val="20"/>
        </w:rPr>
        <w:t>Debido a su alcance geográfico, con 40 sociedades en 30 países, así como su presencia comercial que amplía sus operaciones a 80, Acerinox está expuesta a multitud de riesgos relaciones con la fiscalidad, teniendo presencia en países considerados nicho fiscal según la metodología del Observatorio de RSC, así como otro tipo de riesgos como su presencia en países con altos índices de corrupción como son Laos, Venezuela, China, Malasia, Sudáfrica, Colombia, México, Rusia, Tailandia, Brasil o Argentina, entre otros</w:t>
      </w:r>
      <w:r w:rsidRPr="00243B82">
        <w:rPr>
          <w:rStyle w:val="Refdenotaalpie"/>
          <w:rFonts w:ascii="Open Sans" w:hAnsi="Open Sans" w:cs="Arial"/>
          <w:sz w:val="20"/>
        </w:rPr>
        <w:footnoteReference w:id="261"/>
      </w:r>
      <w:r w:rsidRPr="00243B82">
        <w:rPr>
          <w:rFonts w:ascii="Open Sans" w:hAnsi="Open Sans" w:cs="Arial"/>
          <w:sz w:val="20"/>
        </w:rPr>
        <w:t>.</w:t>
      </w:r>
    </w:p>
    <w:p w14:paraId="0681198A" w14:textId="77777777" w:rsidR="007359B0" w:rsidRPr="00243B82" w:rsidRDefault="007359B0" w:rsidP="007359B0">
      <w:pPr>
        <w:jc w:val="both"/>
        <w:rPr>
          <w:rFonts w:ascii="Open Sans" w:hAnsi="Open Sans"/>
          <w:sz w:val="20"/>
          <w:szCs w:val="20"/>
        </w:rPr>
      </w:pPr>
    </w:p>
    <w:p w14:paraId="21BD76D6" w14:textId="77777777" w:rsidR="007359B0" w:rsidRPr="00243B82" w:rsidRDefault="007359B0" w:rsidP="007359B0">
      <w:pPr>
        <w:jc w:val="both"/>
        <w:rPr>
          <w:rFonts w:ascii="Open Sans" w:hAnsi="Open Sans"/>
          <w:sz w:val="22"/>
        </w:rPr>
      </w:pPr>
    </w:p>
    <w:p w14:paraId="7C84AFF4" w14:textId="77777777" w:rsidR="007359B0" w:rsidRPr="00243B82" w:rsidRDefault="007359B0" w:rsidP="007359B0">
      <w:pPr>
        <w:jc w:val="both"/>
        <w:rPr>
          <w:rFonts w:ascii="Open Sans" w:hAnsi="Open Sans" w:cs="Arial"/>
          <w:b/>
          <w:sz w:val="22"/>
          <w:szCs w:val="22"/>
          <w:u w:val="single"/>
        </w:rPr>
      </w:pPr>
      <w:r w:rsidRPr="00243B82">
        <w:rPr>
          <w:rFonts w:ascii="Open Sans" w:hAnsi="Open Sans" w:cs="Arial"/>
          <w:b/>
          <w:sz w:val="22"/>
          <w:szCs w:val="22"/>
          <w:u w:val="single"/>
        </w:rPr>
        <w:t>4. Análisis</w:t>
      </w:r>
    </w:p>
    <w:p w14:paraId="095F1709" w14:textId="77777777" w:rsidR="007359B0" w:rsidRPr="00243B82" w:rsidRDefault="007359B0" w:rsidP="007359B0">
      <w:pPr>
        <w:jc w:val="both"/>
        <w:rPr>
          <w:rFonts w:ascii="Open Sans" w:hAnsi="Open Sans" w:cs="Arial"/>
          <w:b/>
        </w:rPr>
      </w:pPr>
    </w:p>
    <w:p w14:paraId="20035D42"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 cierre de 2015, el perímetro de consolidación del Grupo Acerinox incluye, además de Acerinox, S.A., 40 sociedades dependientes que consolidan por integración global, además de una entidad asociada que consolida por el método de la participación.</w:t>
      </w:r>
    </w:p>
    <w:p w14:paraId="3C1D6E2A" w14:textId="77777777" w:rsidR="007359B0" w:rsidRPr="00243B82" w:rsidRDefault="007359B0" w:rsidP="007359B0">
      <w:pPr>
        <w:jc w:val="both"/>
        <w:rPr>
          <w:rFonts w:ascii="Open Sans" w:hAnsi="Open Sans" w:cs="Arial"/>
          <w:sz w:val="20"/>
          <w:szCs w:val="20"/>
        </w:rPr>
      </w:pPr>
    </w:p>
    <w:p w14:paraId="50181C25" w14:textId="77777777" w:rsidR="007359B0" w:rsidRPr="00243B82" w:rsidRDefault="007359B0" w:rsidP="007359B0">
      <w:pPr>
        <w:jc w:val="both"/>
        <w:rPr>
          <w:rFonts w:ascii="Open Sans" w:hAnsi="Open Sans" w:cs="Open Sans"/>
          <w:sz w:val="20"/>
          <w:szCs w:val="20"/>
        </w:rPr>
      </w:pPr>
      <w:r w:rsidRPr="00243B82">
        <w:rPr>
          <w:rFonts w:ascii="Open Sans" w:hAnsi="Open Sans" w:cs="Arial"/>
          <w:sz w:val="20"/>
          <w:szCs w:val="20"/>
        </w:rPr>
        <w:t xml:space="preserve">De estas 40 sociedades, 7 de ellas se encuentran domiciliadas en territorios considerados nicho fiscal según la metodología del Observatorio de RSC. Estas sociedades llevan a cabo distintas actividades explicadas por la empresa. Sin embargo, en 4 de ellas se considera que realizan sus actividades no sólo en el país donde están ubicadas sino además en otros territorios, estas son </w:t>
      </w:r>
      <w:r w:rsidRPr="00243B82">
        <w:rPr>
          <w:rFonts w:ascii="Open Sans" w:hAnsi="Open Sans" w:cs="Open Sans"/>
          <w:sz w:val="20"/>
          <w:szCs w:val="20"/>
        </w:rPr>
        <w:t>Acerinox (Schweiz) A.G., Acerinox middle east DMCC, Acerinox pacific LTD., Acerinox (sea), PTE LTD. A pesar de que la empresa provee unas breves explicaciones: “</w:t>
      </w:r>
      <w:r w:rsidRPr="00243B82">
        <w:rPr>
          <w:rFonts w:ascii="Open Sans" w:hAnsi="Open Sans" w:cs="Open Sans"/>
          <w:i/>
          <w:sz w:val="20"/>
          <w:szCs w:val="20"/>
        </w:rPr>
        <w:t>Acerinox aclara, además, que en los siguientes territorios: Dubái, Singapur, Hong Kong y Suiza no se realiza ninguna actividad que no sea estrictamente comercial y que la facturación que en ellos se genera deriva exclusivamente de la comercialización de productos tangibles – acero inoxidable</w:t>
      </w:r>
      <w:r w:rsidRPr="00243B82">
        <w:rPr>
          <w:rFonts w:ascii="Open Sans" w:hAnsi="Open Sans" w:cs="Open Sans"/>
          <w:sz w:val="20"/>
          <w:szCs w:val="20"/>
        </w:rPr>
        <w:t>”</w:t>
      </w:r>
      <w:r w:rsidRPr="00243B82">
        <w:rPr>
          <w:rStyle w:val="Refdenotaalpie"/>
          <w:rFonts w:ascii="Open Sans" w:hAnsi="Open Sans" w:cs="Open Sans"/>
          <w:sz w:val="20"/>
          <w:szCs w:val="20"/>
        </w:rPr>
        <w:footnoteReference w:id="262"/>
      </w:r>
      <w:r w:rsidRPr="00243B82">
        <w:rPr>
          <w:rFonts w:ascii="Open Sans" w:hAnsi="Open Sans" w:cs="Open Sans"/>
          <w:sz w:val="20"/>
          <w:szCs w:val="20"/>
        </w:rPr>
        <w:t>, éstas se consideran insuficientes ya que no se explica el motivo por el que están radicadas en esos países y no en otros donde la empresa también tiene presencia comercial.</w:t>
      </w:r>
    </w:p>
    <w:p w14:paraId="47FC9DF1" w14:textId="77777777" w:rsidR="007359B0" w:rsidRPr="00243B82" w:rsidRDefault="007359B0" w:rsidP="007359B0">
      <w:pPr>
        <w:jc w:val="both"/>
        <w:rPr>
          <w:rFonts w:ascii="Open Sans" w:hAnsi="Open Sans" w:cs="Open Sans"/>
          <w:sz w:val="20"/>
          <w:szCs w:val="20"/>
        </w:rPr>
      </w:pPr>
    </w:p>
    <w:p w14:paraId="414412F9" w14:textId="77777777" w:rsidR="007359B0" w:rsidRPr="00243B82" w:rsidRDefault="007359B0" w:rsidP="007359B0">
      <w:pPr>
        <w:jc w:val="both"/>
        <w:rPr>
          <w:rFonts w:ascii="Open Sans" w:hAnsi="Open Sans" w:cs="Open Sans"/>
          <w:sz w:val="20"/>
          <w:szCs w:val="20"/>
        </w:rPr>
      </w:pPr>
      <w:r w:rsidRPr="00243B82">
        <w:rPr>
          <w:rFonts w:ascii="Open Sans" w:hAnsi="Open Sans" w:cs="Open Sans"/>
          <w:sz w:val="20"/>
          <w:szCs w:val="20"/>
        </w:rPr>
        <w:t>Respecto a la sociedad</w:t>
      </w:r>
      <w:r w:rsidRPr="00243B82">
        <w:rPr>
          <w:rFonts w:ascii="Open Sans" w:hAnsi="Open Sans"/>
        </w:rPr>
        <w:t xml:space="preserve"> </w:t>
      </w:r>
      <w:r w:rsidRPr="00243B82">
        <w:rPr>
          <w:rFonts w:ascii="Open Sans" w:hAnsi="Open Sans" w:cs="Open Sans"/>
          <w:sz w:val="20"/>
          <w:szCs w:val="20"/>
        </w:rPr>
        <w:t>Inox re, S.A., radicada en Luxemburgo, Acerinox también expone que: “</w:t>
      </w:r>
      <w:r w:rsidRPr="00243B82">
        <w:rPr>
          <w:rFonts w:ascii="Open Sans" w:hAnsi="Open Sans" w:cs="Open Sans"/>
          <w:i/>
          <w:sz w:val="20"/>
          <w:szCs w:val="20"/>
        </w:rPr>
        <w:t>la actividad desarrollada en Luxemburgo se relaciona exclusivamente con la gestión de seguros en beneficio del Grupo</w:t>
      </w:r>
      <w:r w:rsidRPr="00243B82">
        <w:rPr>
          <w:rFonts w:ascii="Open Sans" w:hAnsi="Open Sans" w:cs="Open Sans"/>
          <w:sz w:val="20"/>
          <w:szCs w:val="20"/>
        </w:rPr>
        <w:t>”</w:t>
      </w:r>
      <w:r w:rsidRPr="00243B82">
        <w:rPr>
          <w:rStyle w:val="Refdenotaalpie"/>
          <w:rFonts w:ascii="Open Sans" w:hAnsi="Open Sans" w:cs="Open Sans"/>
          <w:sz w:val="20"/>
          <w:szCs w:val="20"/>
        </w:rPr>
        <w:footnoteReference w:id="263"/>
      </w:r>
      <w:r w:rsidRPr="00243B82">
        <w:rPr>
          <w:rFonts w:ascii="Open Sans" w:hAnsi="Open Sans" w:cs="Open Sans"/>
          <w:sz w:val="20"/>
          <w:szCs w:val="20"/>
        </w:rPr>
        <w:t>, sin embargo, serían necesarias más explicaciones de los motivos que llevan al grupo a tener su filial en un país donde no tiene ningún otro tipo de actividad conocida.</w:t>
      </w:r>
    </w:p>
    <w:p w14:paraId="6B98ADED" w14:textId="77777777" w:rsidR="007359B0" w:rsidRPr="00243B82" w:rsidRDefault="007359B0" w:rsidP="007359B0">
      <w:pPr>
        <w:jc w:val="both"/>
        <w:rPr>
          <w:rFonts w:ascii="Open Sans" w:hAnsi="Open Sans" w:cs="Open Sans"/>
          <w:sz w:val="20"/>
          <w:szCs w:val="20"/>
        </w:rPr>
      </w:pPr>
    </w:p>
    <w:p w14:paraId="5B554446" w14:textId="77777777" w:rsidR="007359B0" w:rsidRPr="00243B82" w:rsidRDefault="007359B0" w:rsidP="007359B0">
      <w:pPr>
        <w:jc w:val="both"/>
        <w:rPr>
          <w:rFonts w:ascii="Open Sans" w:hAnsi="Open Sans" w:cs="Open Sans"/>
          <w:sz w:val="20"/>
          <w:szCs w:val="20"/>
        </w:rPr>
      </w:pPr>
      <w:r w:rsidRPr="00243B82">
        <w:rPr>
          <w:rFonts w:ascii="Open Sans" w:hAnsi="Open Sans" w:cs="Open Sans"/>
          <w:sz w:val="20"/>
          <w:szCs w:val="20"/>
        </w:rPr>
        <w:t xml:space="preserve">En relación a las dos sociedades radicadas en Estados Unidos, North American Stainless INC. </w:t>
      </w:r>
      <w:proofErr w:type="gramStart"/>
      <w:r w:rsidRPr="00243B82">
        <w:rPr>
          <w:rFonts w:ascii="Open Sans" w:hAnsi="Open Sans" w:cs="Open Sans"/>
          <w:sz w:val="20"/>
          <w:szCs w:val="20"/>
        </w:rPr>
        <w:t>y</w:t>
      </w:r>
      <w:proofErr w:type="gramEnd"/>
      <w:r w:rsidRPr="00243B82">
        <w:rPr>
          <w:rFonts w:ascii="Open Sans" w:hAnsi="Open Sans" w:cs="Open Sans"/>
          <w:sz w:val="20"/>
          <w:szCs w:val="20"/>
        </w:rPr>
        <w:t xml:space="preserve"> North American Stainless Financial Investments LTD., ambas se encuentran radicadas en el estado de Kentucky</w:t>
      </w:r>
      <w:r w:rsidRPr="00243B82">
        <w:rPr>
          <w:rStyle w:val="Refdenotaalpie"/>
          <w:rFonts w:ascii="Open Sans" w:hAnsi="Open Sans" w:cs="Open Sans"/>
          <w:sz w:val="20"/>
          <w:szCs w:val="20"/>
        </w:rPr>
        <w:footnoteReference w:id="264"/>
      </w:r>
      <w:r w:rsidRPr="00243B82">
        <w:rPr>
          <w:rFonts w:ascii="Open Sans" w:hAnsi="Open Sans" w:cs="Open Sans"/>
          <w:sz w:val="20"/>
          <w:szCs w:val="20"/>
        </w:rPr>
        <w:t>, sin embargo, tras una búsqueda en fuentes externas se encuentra que las direcciones incorporadas de estas sociedades están en Delaware</w:t>
      </w:r>
      <w:r w:rsidRPr="00243B82">
        <w:rPr>
          <w:rStyle w:val="Refdenotaalpie"/>
          <w:rFonts w:ascii="Open Sans" w:hAnsi="Open Sans" w:cs="Open Sans"/>
          <w:sz w:val="20"/>
          <w:szCs w:val="20"/>
        </w:rPr>
        <w:footnoteReference w:id="265"/>
      </w:r>
      <w:r w:rsidRPr="00243B82">
        <w:rPr>
          <w:rFonts w:ascii="Open Sans" w:hAnsi="Open Sans" w:cs="Open Sans"/>
          <w:sz w:val="20"/>
          <w:szCs w:val="20"/>
        </w:rPr>
        <w:t xml:space="preserve">. </w:t>
      </w:r>
    </w:p>
    <w:p w14:paraId="71290FE9" w14:textId="77777777" w:rsidR="007359B0" w:rsidRPr="00243B82" w:rsidRDefault="007359B0" w:rsidP="007359B0">
      <w:pPr>
        <w:jc w:val="both"/>
        <w:rPr>
          <w:rFonts w:ascii="Open Sans" w:hAnsi="Open Sans" w:cs="Arial"/>
          <w:sz w:val="20"/>
          <w:szCs w:val="20"/>
        </w:rPr>
      </w:pPr>
    </w:p>
    <w:p w14:paraId="4F545FB8" w14:textId="77777777" w:rsidR="007359B0" w:rsidRPr="00243B82" w:rsidRDefault="007359B0" w:rsidP="007359B0">
      <w:pPr>
        <w:jc w:val="both"/>
        <w:rPr>
          <w:rFonts w:ascii="Open Sans" w:hAnsi="Open Sans" w:cs="Arial"/>
          <w:sz w:val="20"/>
          <w:szCs w:val="20"/>
        </w:rPr>
      </w:pPr>
    </w:p>
    <w:tbl>
      <w:tblPr>
        <w:tblW w:w="0" w:type="auto"/>
        <w:jc w:val="center"/>
        <w:tblInd w:w="-1353" w:type="dxa"/>
        <w:tblLayout w:type="fixed"/>
        <w:tblCellMar>
          <w:left w:w="70" w:type="dxa"/>
          <w:right w:w="70" w:type="dxa"/>
        </w:tblCellMar>
        <w:tblLook w:val="04A0" w:firstRow="1" w:lastRow="0" w:firstColumn="1" w:lastColumn="0" w:noHBand="0" w:noVBand="1"/>
      </w:tblPr>
      <w:tblGrid>
        <w:gridCol w:w="3621"/>
        <w:gridCol w:w="1773"/>
        <w:gridCol w:w="2783"/>
      </w:tblGrid>
      <w:tr w:rsidR="007359B0" w:rsidRPr="00243B82" w14:paraId="7B5203E5" w14:textId="77777777" w:rsidTr="006E3A41">
        <w:trPr>
          <w:trHeight w:val="373"/>
          <w:jc w:val="center"/>
        </w:trPr>
        <w:tc>
          <w:tcPr>
            <w:tcW w:w="3621"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2E8FC45" w14:textId="77777777" w:rsidR="007359B0" w:rsidRPr="00243B82" w:rsidRDefault="007359B0" w:rsidP="006E3A41">
            <w:pPr>
              <w:jc w:val="center"/>
              <w:rPr>
                <w:rFonts w:ascii="Open Sans" w:hAnsi="Open Sans" w:cs="Open Sans"/>
                <w:b/>
                <w:bCs/>
                <w:color w:val="000000"/>
                <w:sz w:val="20"/>
                <w:szCs w:val="20"/>
              </w:rPr>
            </w:pPr>
            <w:r w:rsidRPr="00243B82">
              <w:rPr>
                <w:rFonts w:ascii="Open Sans" w:hAnsi="Open Sans" w:cs="Open Sans"/>
                <w:b/>
                <w:bCs/>
                <w:color w:val="000000"/>
                <w:sz w:val="20"/>
                <w:szCs w:val="20"/>
              </w:rPr>
              <w:t>Nombre de la Sociedad</w:t>
            </w:r>
          </w:p>
        </w:tc>
        <w:tc>
          <w:tcPr>
            <w:tcW w:w="1773" w:type="dxa"/>
            <w:tcBorders>
              <w:top w:val="single" w:sz="4" w:space="0" w:color="auto"/>
              <w:left w:val="nil"/>
              <w:bottom w:val="single" w:sz="4" w:space="0" w:color="auto"/>
              <w:right w:val="single" w:sz="4" w:space="0" w:color="auto"/>
            </w:tcBorders>
            <w:shd w:val="clear" w:color="000000" w:fill="D9D9D9"/>
            <w:noWrap/>
            <w:vAlign w:val="center"/>
            <w:hideMark/>
          </w:tcPr>
          <w:p w14:paraId="6F22C884" w14:textId="77777777" w:rsidR="007359B0" w:rsidRPr="00243B82" w:rsidRDefault="007359B0" w:rsidP="006E3A41">
            <w:pPr>
              <w:jc w:val="center"/>
              <w:rPr>
                <w:rFonts w:ascii="Open Sans" w:hAnsi="Open Sans" w:cs="Open Sans"/>
                <w:b/>
                <w:bCs/>
                <w:color w:val="000000"/>
                <w:sz w:val="20"/>
                <w:szCs w:val="20"/>
              </w:rPr>
            </w:pPr>
            <w:r w:rsidRPr="00243B82">
              <w:rPr>
                <w:rFonts w:ascii="Open Sans" w:hAnsi="Open Sans" w:cs="Open Sans"/>
                <w:b/>
                <w:bCs/>
                <w:color w:val="000000"/>
                <w:sz w:val="20"/>
                <w:szCs w:val="20"/>
              </w:rPr>
              <w:t>Jurisdicción</w:t>
            </w:r>
          </w:p>
        </w:tc>
        <w:tc>
          <w:tcPr>
            <w:tcW w:w="2783" w:type="dxa"/>
            <w:tcBorders>
              <w:top w:val="single" w:sz="4" w:space="0" w:color="auto"/>
              <w:left w:val="nil"/>
              <w:bottom w:val="single" w:sz="4" w:space="0" w:color="auto"/>
              <w:right w:val="single" w:sz="4" w:space="0" w:color="auto"/>
            </w:tcBorders>
            <w:shd w:val="clear" w:color="000000" w:fill="D9D9D9"/>
            <w:noWrap/>
            <w:vAlign w:val="center"/>
            <w:hideMark/>
          </w:tcPr>
          <w:p w14:paraId="24736E0F" w14:textId="77777777" w:rsidR="007359B0" w:rsidRPr="00243B82" w:rsidRDefault="007359B0" w:rsidP="006E3A41">
            <w:pPr>
              <w:jc w:val="center"/>
              <w:rPr>
                <w:rFonts w:ascii="Open Sans" w:hAnsi="Open Sans" w:cs="Open Sans"/>
                <w:b/>
                <w:bCs/>
                <w:color w:val="000000"/>
                <w:sz w:val="20"/>
                <w:szCs w:val="20"/>
              </w:rPr>
            </w:pPr>
            <w:r w:rsidRPr="00243B82">
              <w:rPr>
                <w:rFonts w:ascii="Open Sans" w:hAnsi="Open Sans" w:cs="Open Sans"/>
                <w:b/>
                <w:bCs/>
                <w:color w:val="000000"/>
                <w:sz w:val="20"/>
                <w:szCs w:val="20"/>
              </w:rPr>
              <w:t>Actividad</w:t>
            </w:r>
          </w:p>
        </w:tc>
      </w:tr>
      <w:tr w:rsidR="007359B0" w:rsidRPr="00243B82" w14:paraId="3DC683CE" w14:textId="77777777" w:rsidTr="006E3A41">
        <w:trPr>
          <w:trHeight w:val="525"/>
          <w:jc w:val="center"/>
        </w:trPr>
        <w:tc>
          <w:tcPr>
            <w:tcW w:w="3621" w:type="dxa"/>
            <w:tcBorders>
              <w:top w:val="nil"/>
              <w:left w:val="single" w:sz="4" w:space="0" w:color="auto"/>
              <w:bottom w:val="single" w:sz="4" w:space="0" w:color="auto"/>
              <w:right w:val="single" w:sz="4" w:space="0" w:color="auto"/>
            </w:tcBorders>
            <w:shd w:val="clear" w:color="000000" w:fill="FFFFFF"/>
            <w:vAlign w:val="center"/>
            <w:hideMark/>
          </w:tcPr>
          <w:p w14:paraId="146C6F37"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ACERINOX (SCHWEIZ) A.G.</w:t>
            </w:r>
          </w:p>
        </w:tc>
        <w:tc>
          <w:tcPr>
            <w:tcW w:w="1773" w:type="dxa"/>
            <w:tcBorders>
              <w:top w:val="nil"/>
              <w:left w:val="nil"/>
              <w:bottom w:val="single" w:sz="4" w:space="0" w:color="auto"/>
              <w:right w:val="single" w:sz="4" w:space="0" w:color="auto"/>
            </w:tcBorders>
            <w:shd w:val="clear" w:color="000000" w:fill="FFFFFF"/>
            <w:vAlign w:val="center"/>
            <w:hideMark/>
          </w:tcPr>
          <w:p w14:paraId="1EF350BF"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Suiza</w:t>
            </w:r>
          </w:p>
        </w:tc>
        <w:tc>
          <w:tcPr>
            <w:tcW w:w="2783" w:type="dxa"/>
            <w:tcBorders>
              <w:top w:val="nil"/>
              <w:left w:val="nil"/>
              <w:bottom w:val="single" w:sz="4" w:space="0" w:color="auto"/>
              <w:right w:val="single" w:sz="4" w:space="0" w:color="auto"/>
            </w:tcBorders>
            <w:shd w:val="clear" w:color="000000" w:fill="FFFFFF"/>
            <w:noWrap/>
            <w:vAlign w:val="center"/>
            <w:hideMark/>
          </w:tcPr>
          <w:p w14:paraId="776D78F7"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Comercialización de productos de acero inoxidable</w:t>
            </w:r>
          </w:p>
        </w:tc>
      </w:tr>
      <w:tr w:rsidR="007359B0" w:rsidRPr="00243B82" w14:paraId="02943136" w14:textId="77777777" w:rsidTr="006E3A41">
        <w:trPr>
          <w:trHeight w:val="525"/>
          <w:jc w:val="center"/>
        </w:trPr>
        <w:tc>
          <w:tcPr>
            <w:tcW w:w="3621" w:type="dxa"/>
            <w:tcBorders>
              <w:top w:val="nil"/>
              <w:left w:val="single" w:sz="4" w:space="0" w:color="auto"/>
              <w:bottom w:val="single" w:sz="4" w:space="0" w:color="auto"/>
              <w:right w:val="single" w:sz="4" w:space="0" w:color="auto"/>
            </w:tcBorders>
            <w:shd w:val="clear" w:color="000000" w:fill="FFFFFF"/>
            <w:vAlign w:val="center"/>
          </w:tcPr>
          <w:p w14:paraId="03BB5B38" w14:textId="77777777" w:rsidR="007359B0" w:rsidRPr="00243B82" w:rsidRDefault="007359B0" w:rsidP="006E3A41">
            <w:pPr>
              <w:rPr>
                <w:rFonts w:ascii="Open Sans" w:hAnsi="Open Sans" w:cs="Open Sans"/>
                <w:sz w:val="20"/>
                <w:szCs w:val="20"/>
                <w:lang w:val="en-US"/>
              </w:rPr>
            </w:pPr>
            <w:r w:rsidRPr="00243B82">
              <w:rPr>
                <w:rFonts w:ascii="Open Sans" w:hAnsi="Open Sans" w:cs="Open Sans"/>
                <w:sz w:val="20"/>
                <w:szCs w:val="20"/>
                <w:lang w:val="en-US"/>
              </w:rPr>
              <w:t>ACERINOX MIDDLE EAST DMCC (DUBAI)</w:t>
            </w:r>
          </w:p>
        </w:tc>
        <w:tc>
          <w:tcPr>
            <w:tcW w:w="1773" w:type="dxa"/>
            <w:tcBorders>
              <w:top w:val="nil"/>
              <w:left w:val="nil"/>
              <w:bottom w:val="single" w:sz="4" w:space="0" w:color="auto"/>
              <w:right w:val="single" w:sz="4" w:space="0" w:color="auto"/>
            </w:tcBorders>
            <w:shd w:val="clear" w:color="000000" w:fill="FFFFFF"/>
            <w:vAlign w:val="center"/>
          </w:tcPr>
          <w:p w14:paraId="45A71D9A"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Emiratos Árabes Unidos</w:t>
            </w:r>
          </w:p>
        </w:tc>
        <w:tc>
          <w:tcPr>
            <w:tcW w:w="2783" w:type="dxa"/>
            <w:tcBorders>
              <w:top w:val="nil"/>
              <w:left w:val="nil"/>
              <w:bottom w:val="single" w:sz="4" w:space="0" w:color="auto"/>
              <w:right w:val="single" w:sz="4" w:space="0" w:color="auto"/>
            </w:tcBorders>
            <w:shd w:val="clear" w:color="000000" w:fill="FFFFFF"/>
            <w:noWrap/>
            <w:vAlign w:val="center"/>
          </w:tcPr>
          <w:p w14:paraId="372787DE"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Comercialización de productos de acero inoxidable</w:t>
            </w:r>
          </w:p>
        </w:tc>
      </w:tr>
      <w:tr w:rsidR="007359B0" w:rsidRPr="00243B82" w14:paraId="2C443C12" w14:textId="77777777" w:rsidTr="006E3A41">
        <w:trPr>
          <w:trHeight w:val="525"/>
          <w:jc w:val="center"/>
        </w:trPr>
        <w:tc>
          <w:tcPr>
            <w:tcW w:w="3621" w:type="dxa"/>
            <w:tcBorders>
              <w:top w:val="nil"/>
              <w:left w:val="single" w:sz="4" w:space="0" w:color="auto"/>
              <w:bottom w:val="single" w:sz="4" w:space="0" w:color="auto"/>
              <w:right w:val="single" w:sz="4" w:space="0" w:color="auto"/>
            </w:tcBorders>
            <w:shd w:val="clear" w:color="000000" w:fill="FFFFFF"/>
            <w:vAlign w:val="center"/>
          </w:tcPr>
          <w:p w14:paraId="0A3084C4"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ACERINOX PACIFIC LTD.</w:t>
            </w:r>
          </w:p>
        </w:tc>
        <w:tc>
          <w:tcPr>
            <w:tcW w:w="1773" w:type="dxa"/>
            <w:tcBorders>
              <w:top w:val="nil"/>
              <w:left w:val="nil"/>
              <w:bottom w:val="single" w:sz="4" w:space="0" w:color="auto"/>
              <w:right w:val="single" w:sz="4" w:space="0" w:color="auto"/>
            </w:tcBorders>
            <w:shd w:val="clear" w:color="000000" w:fill="FFFFFF"/>
            <w:vAlign w:val="center"/>
          </w:tcPr>
          <w:p w14:paraId="026203C3"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Hong Kong</w:t>
            </w:r>
          </w:p>
        </w:tc>
        <w:tc>
          <w:tcPr>
            <w:tcW w:w="2783" w:type="dxa"/>
            <w:tcBorders>
              <w:top w:val="nil"/>
              <w:left w:val="nil"/>
              <w:bottom w:val="single" w:sz="4" w:space="0" w:color="auto"/>
              <w:right w:val="single" w:sz="4" w:space="0" w:color="auto"/>
            </w:tcBorders>
            <w:shd w:val="clear" w:color="000000" w:fill="FFFFFF"/>
            <w:noWrap/>
            <w:vAlign w:val="center"/>
          </w:tcPr>
          <w:p w14:paraId="05370EED"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Comercialización de productos de acero inoxidable</w:t>
            </w:r>
          </w:p>
        </w:tc>
      </w:tr>
      <w:tr w:rsidR="007359B0" w:rsidRPr="00243B82" w14:paraId="56517BD3" w14:textId="77777777" w:rsidTr="006E3A41">
        <w:trPr>
          <w:trHeight w:val="620"/>
          <w:jc w:val="center"/>
        </w:trPr>
        <w:tc>
          <w:tcPr>
            <w:tcW w:w="3621" w:type="dxa"/>
            <w:tcBorders>
              <w:top w:val="nil"/>
              <w:left w:val="single" w:sz="4" w:space="0" w:color="auto"/>
              <w:bottom w:val="single" w:sz="4" w:space="0" w:color="auto"/>
              <w:right w:val="single" w:sz="4" w:space="0" w:color="auto"/>
            </w:tcBorders>
            <w:shd w:val="clear" w:color="000000" w:fill="FFFFFF"/>
            <w:vAlign w:val="center"/>
          </w:tcPr>
          <w:p w14:paraId="50C15B48"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ACERINOX (SEA), PTE LTD.</w:t>
            </w:r>
          </w:p>
        </w:tc>
        <w:tc>
          <w:tcPr>
            <w:tcW w:w="1773" w:type="dxa"/>
            <w:tcBorders>
              <w:top w:val="nil"/>
              <w:left w:val="nil"/>
              <w:bottom w:val="single" w:sz="4" w:space="0" w:color="auto"/>
              <w:right w:val="single" w:sz="4" w:space="0" w:color="auto"/>
            </w:tcBorders>
            <w:shd w:val="clear" w:color="000000" w:fill="FFFFFF"/>
            <w:vAlign w:val="center"/>
          </w:tcPr>
          <w:p w14:paraId="24D7B5EB"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Singapur</w:t>
            </w:r>
          </w:p>
        </w:tc>
        <w:tc>
          <w:tcPr>
            <w:tcW w:w="2783" w:type="dxa"/>
            <w:tcBorders>
              <w:top w:val="nil"/>
              <w:left w:val="nil"/>
              <w:bottom w:val="single" w:sz="4" w:space="0" w:color="auto"/>
              <w:right w:val="single" w:sz="4" w:space="0" w:color="auto"/>
            </w:tcBorders>
            <w:shd w:val="clear" w:color="000000" w:fill="FFFFFF"/>
            <w:noWrap/>
            <w:vAlign w:val="center"/>
          </w:tcPr>
          <w:p w14:paraId="026ACD45"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Comercialización de productos de acero inoxidable</w:t>
            </w:r>
          </w:p>
        </w:tc>
      </w:tr>
      <w:tr w:rsidR="007359B0" w:rsidRPr="00243B82" w14:paraId="3767F59B" w14:textId="77777777" w:rsidTr="006E3A41">
        <w:trPr>
          <w:trHeight w:val="620"/>
          <w:jc w:val="center"/>
        </w:trPr>
        <w:tc>
          <w:tcPr>
            <w:tcW w:w="3621" w:type="dxa"/>
            <w:tcBorders>
              <w:top w:val="nil"/>
              <w:left w:val="single" w:sz="4" w:space="0" w:color="auto"/>
              <w:bottom w:val="single" w:sz="4" w:space="0" w:color="auto"/>
              <w:right w:val="single" w:sz="4" w:space="0" w:color="auto"/>
            </w:tcBorders>
            <w:shd w:val="clear" w:color="000000" w:fill="FFFFFF"/>
            <w:vAlign w:val="center"/>
          </w:tcPr>
          <w:p w14:paraId="0F082A7F"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INOX RE, S.A.</w:t>
            </w:r>
          </w:p>
        </w:tc>
        <w:tc>
          <w:tcPr>
            <w:tcW w:w="1773" w:type="dxa"/>
            <w:tcBorders>
              <w:top w:val="nil"/>
              <w:left w:val="nil"/>
              <w:bottom w:val="single" w:sz="4" w:space="0" w:color="auto"/>
              <w:right w:val="single" w:sz="4" w:space="0" w:color="auto"/>
            </w:tcBorders>
            <w:shd w:val="clear" w:color="000000" w:fill="FFFFFF"/>
            <w:vAlign w:val="center"/>
          </w:tcPr>
          <w:p w14:paraId="4752F046"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Luxemburgo</w:t>
            </w:r>
          </w:p>
        </w:tc>
        <w:tc>
          <w:tcPr>
            <w:tcW w:w="2783" w:type="dxa"/>
            <w:tcBorders>
              <w:top w:val="nil"/>
              <w:left w:val="nil"/>
              <w:bottom w:val="single" w:sz="4" w:space="0" w:color="auto"/>
              <w:right w:val="single" w:sz="4" w:space="0" w:color="auto"/>
            </w:tcBorders>
            <w:shd w:val="clear" w:color="000000" w:fill="FFFFFF"/>
            <w:noWrap/>
            <w:vAlign w:val="center"/>
          </w:tcPr>
          <w:p w14:paraId="53D898BA"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Sociedad cautiva de reaseguro</w:t>
            </w:r>
          </w:p>
        </w:tc>
      </w:tr>
      <w:tr w:rsidR="007359B0" w:rsidRPr="00243B82" w14:paraId="129C31FA" w14:textId="77777777" w:rsidTr="006E3A41">
        <w:trPr>
          <w:trHeight w:val="620"/>
          <w:jc w:val="center"/>
        </w:trPr>
        <w:tc>
          <w:tcPr>
            <w:tcW w:w="3621" w:type="dxa"/>
            <w:tcBorders>
              <w:top w:val="nil"/>
              <w:left w:val="single" w:sz="4" w:space="0" w:color="auto"/>
              <w:bottom w:val="single" w:sz="4" w:space="0" w:color="auto"/>
              <w:right w:val="single" w:sz="4" w:space="0" w:color="auto"/>
            </w:tcBorders>
            <w:shd w:val="clear" w:color="000000" w:fill="FFFFFF"/>
            <w:vAlign w:val="center"/>
          </w:tcPr>
          <w:p w14:paraId="2A461393"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NORTH AMERICAN STAINLESS INC.</w:t>
            </w:r>
          </w:p>
        </w:tc>
        <w:tc>
          <w:tcPr>
            <w:tcW w:w="1773" w:type="dxa"/>
            <w:tcBorders>
              <w:top w:val="nil"/>
              <w:left w:val="nil"/>
              <w:bottom w:val="single" w:sz="4" w:space="0" w:color="auto"/>
              <w:right w:val="single" w:sz="4" w:space="0" w:color="auto"/>
            </w:tcBorders>
            <w:shd w:val="clear" w:color="000000" w:fill="FFFFFF"/>
            <w:vAlign w:val="center"/>
          </w:tcPr>
          <w:p w14:paraId="5D69C731" w14:textId="77777777" w:rsidR="007359B0" w:rsidRPr="00243B82" w:rsidRDefault="007359B0" w:rsidP="006E3A41">
            <w:pPr>
              <w:rPr>
                <w:rFonts w:ascii="Open Sans" w:hAnsi="Open Sans" w:cs="Open Sans"/>
                <w:sz w:val="20"/>
                <w:szCs w:val="20"/>
                <w:lang w:val="en-US"/>
              </w:rPr>
            </w:pPr>
            <w:r w:rsidRPr="00243B82">
              <w:rPr>
                <w:rFonts w:ascii="Open Sans" w:hAnsi="Open Sans" w:cs="Open Sans"/>
                <w:sz w:val="20"/>
                <w:szCs w:val="20"/>
                <w:lang w:val="en-US"/>
              </w:rPr>
              <w:t xml:space="preserve">Kentucky / Delaware U.S.A. </w:t>
            </w:r>
          </w:p>
          <w:p w14:paraId="3E0B8602" w14:textId="77777777" w:rsidR="007359B0" w:rsidRPr="00243B82" w:rsidRDefault="007359B0" w:rsidP="006E3A41">
            <w:pPr>
              <w:rPr>
                <w:rFonts w:ascii="Open Sans" w:hAnsi="Open Sans" w:cs="Open Sans"/>
                <w:sz w:val="20"/>
                <w:szCs w:val="20"/>
                <w:lang w:val="en-US"/>
              </w:rPr>
            </w:pPr>
          </w:p>
        </w:tc>
        <w:tc>
          <w:tcPr>
            <w:tcW w:w="2783" w:type="dxa"/>
            <w:tcBorders>
              <w:top w:val="nil"/>
              <w:left w:val="nil"/>
              <w:bottom w:val="single" w:sz="4" w:space="0" w:color="auto"/>
              <w:right w:val="single" w:sz="4" w:space="0" w:color="auto"/>
            </w:tcBorders>
            <w:shd w:val="clear" w:color="000000" w:fill="FFFFFF"/>
            <w:noWrap/>
            <w:vAlign w:val="center"/>
          </w:tcPr>
          <w:p w14:paraId="5B20C115"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Fabricación y comercialización de productos planos y largos de acero inoxidable</w:t>
            </w:r>
          </w:p>
        </w:tc>
      </w:tr>
      <w:tr w:rsidR="007359B0" w:rsidRPr="00243B82" w14:paraId="1A8D4792" w14:textId="77777777" w:rsidTr="006E3A41">
        <w:trPr>
          <w:trHeight w:val="620"/>
          <w:jc w:val="center"/>
        </w:trPr>
        <w:tc>
          <w:tcPr>
            <w:tcW w:w="3621" w:type="dxa"/>
            <w:tcBorders>
              <w:top w:val="nil"/>
              <w:left w:val="single" w:sz="4" w:space="0" w:color="auto"/>
              <w:bottom w:val="single" w:sz="4" w:space="0" w:color="auto"/>
              <w:right w:val="single" w:sz="4" w:space="0" w:color="auto"/>
            </w:tcBorders>
            <w:shd w:val="clear" w:color="000000" w:fill="FFFFFF"/>
            <w:vAlign w:val="center"/>
          </w:tcPr>
          <w:p w14:paraId="0D35F427" w14:textId="77777777" w:rsidR="007359B0" w:rsidRPr="00243B82" w:rsidRDefault="007359B0" w:rsidP="006E3A41">
            <w:pPr>
              <w:rPr>
                <w:rFonts w:ascii="Open Sans" w:hAnsi="Open Sans" w:cs="Open Sans"/>
                <w:sz w:val="20"/>
                <w:szCs w:val="20"/>
                <w:lang w:val="en-US"/>
              </w:rPr>
            </w:pPr>
            <w:r w:rsidRPr="00243B82">
              <w:rPr>
                <w:rFonts w:ascii="Open Sans" w:hAnsi="Open Sans" w:cs="Open Sans"/>
                <w:sz w:val="20"/>
                <w:szCs w:val="20"/>
                <w:lang w:val="en-US"/>
              </w:rPr>
              <w:t>NORTH AMERICAN STAINLESS FINANCIAL INVESTMENTS LTD.</w:t>
            </w:r>
          </w:p>
        </w:tc>
        <w:tc>
          <w:tcPr>
            <w:tcW w:w="1773" w:type="dxa"/>
            <w:tcBorders>
              <w:top w:val="nil"/>
              <w:left w:val="nil"/>
              <w:bottom w:val="single" w:sz="4" w:space="0" w:color="auto"/>
              <w:right w:val="single" w:sz="4" w:space="0" w:color="auto"/>
            </w:tcBorders>
            <w:shd w:val="clear" w:color="000000" w:fill="FFFFFF"/>
            <w:vAlign w:val="center"/>
          </w:tcPr>
          <w:p w14:paraId="69E435B6" w14:textId="77777777" w:rsidR="007359B0" w:rsidRPr="00243B82" w:rsidRDefault="007359B0" w:rsidP="006E3A41">
            <w:pPr>
              <w:rPr>
                <w:rFonts w:ascii="Open Sans" w:hAnsi="Open Sans" w:cs="Open Sans"/>
                <w:sz w:val="20"/>
                <w:szCs w:val="20"/>
                <w:lang w:val="en-US"/>
              </w:rPr>
            </w:pPr>
            <w:r w:rsidRPr="00243B82">
              <w:rPr>
                <w:rFonts w:ascii="Open Sans" w:hAnsi="Open Sans" w:cs="Open Sans"/>
                <w:sz w:val="20"/>
                <w:szCs w:val="20"/>
                <w:lang w:val="en-US"/>
              </w:rPr>
              <w:t xml:space="preserve">Kentucky / Delaware  U.S.A. </w:t>
            </w:r>
          </w:p>
        </w:tc>
        <w:tc>
          <w:tcPr>
            <w:tcW w:w="2783" w:type="dxa"/>
            <w:tcBorders>
              <w:top w:val="nil"/>
              <w:left w:val="nil"/>
              <w:bottom w:val="single" w:sz="4" w:space="0" w:color="auto"/>
              <w:right w:val="single" w:sz="4" w:space="0" w:color="auto"/>
            </w:tcBorders>
            <w:shd w:val="clear" w:color="000000" w:fill="FFFFFF"/>
            <w:noWrap/>
            <w:vAlign w:val="center"/>
          </w:tcPr>
          <w:p w14:paraId="72ED7423" w14:textId="77777777" w:rsidR="007359B0" w:rsidRPr="00243B82" w:rsidRDefault="007359B0" w:rsidP="006E3A41">
            <w:pPr>
              <w:rPr>
                <w:rFonts w:ascii="Open Sans" w:hAnsi="Open Sans" w:cs="Open Sans"/>
                <w:sz w:val="20"/>
                <w:szCs w:val="20"/>
              </w:rPr>
            </w:pPr>
            <w:r w:rsidRPr="00243B82">
              <w:rPr>
                <w:rFonts w:ascii="Open Sans" w:hAnsi="Open Sans" w:cs="Open Sans"/>
                <w:sz w:val="20"/>
                <w:szCs w:val="20"/>
              </w:rPr>
              <w:t>Prestación de servicios de asesoramiento en materia de comercio exterior</w:t>
            </w:r>
          </w:p>
        </w:tc>
      </w:tr>
    </w:tbl>
    <w:p w14:paraId="38FF7266" w14:textId="77777777" w:rsidR="007359B0" w:rsidRPr="00243B82" w:rsidRDefault="007359B0" w:rsidP="007359B0">
      <w:pPr>
        <w:jc w:val="both"/>
        <w:rPr>
          <w:rFonts w:ascii="Open Sans" w:hAnsi="Open Sans" w:cs="Arial"/>
          <w:sz w:val="20"/>
          <w:szCs w:val="20"/>
        </w:rPr>
      </w:pPr>
    </w:p>
    <w:p w14:paraId="3AD47C09"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Si bien la presencia en paraísos/nichos fiscales puede ser legal, en ocasiones corresponde a estrategias de ingeniería fiscal destinadas a eludir el pago de impuestos, lo cual estaría en contraposición con los compromisos indicados por Acerinox en sus principios de fiscalidad responsable como el: “</w:t>
      </w:r>
      <w:r w:rsidRPr="00243B82">
        <w:rPr>
          <w:rFonts w:ascii="Open Sans" w:hAnsi="Open Sans" w:cs="Arial"/>
          <w:i/>
          <w:sz w:val="20"/>
          <w:szCs w:val="20"/>
        </w:rPr>
        <w:t>no constituir ni adquirir sociedades residentes en paraísos fiscales, con la sola excepción de los supuestos en que se limiten a vender sus productos en dichos territorios</w:t>
      </w:r>
      <w:r w:rsidRPr="00243B82">
        <w:rPr>
          <w:rFonts w:ascii="Open Sans" w:hAnsi="Open Sans" w:cs="Arial"/>
          <w:sz w:val="20"/>
          <w:szCs w:val="20"/>
        </w:rPr>
        <w:t>”</w:t>
      </w:r>
      <w:r w:rsidRPr="00243B82">
        <w:rPr>
          <w:rStyle w:val="Refdenotaalpie"/>
          <w:rFonts w:ascii="Open Sans" w:hAnsi="Open Sans" w:cs="Arial"/>
          <w:sz w:val="20"/>
          <w:szCs w:val="20"/>
        </w:rPr>
        <w:footnoteReference w:id="266"/>
      </w:r>
      <w:r w:rsidRPr="00243B82">
        <w:rPr>
          <w:rFonts w:ascii="Open Sans" w:hAnsi="Open Sans" w:cs="Arial"/>
          <w:sz w:val="20"/>
          <w:szCs w:val="20"/>
        </w:rPr>
        <w:t>. A la vista de la situación de estas sociedades, donde algunas de ellas como la radicada en Dubái tiene en parte de su denominación “oriente medio” o la de Hong Kong “Acerinox Pacífico”, nombres que podrían indicar su actividad fuera del territorio, unido al compromiso de la empresa de “</w:t>
      </w:r>
      <w:r w:rsidRPr="00243B82">
        <w:rPr>
          <w:rFonts w:ascii="Open Sans" w:hAnsi="Open Sans" w:cs="Arial"/>
          <w:i/>
          <w:sz w:val="20"/>
          <w:szCs w:val="20"/>
        </w:rPr>
        <w:t>difundir información relevante y fiable sobre el desempeño y las actividades del Grupo</w:t>
      </w:r>
      <w:r w:rsidRPr="00243B82">
        <w:rPr>
          <w:rFonts w:ascii="Open Sans" w:hAnsi="Open Sans" w:cs="Arial"/>
          <w:sz w:val="20"/>
          <w:szCs w:val="20"/>
        </w:rPr>
        <w:t>”</w:t>
      </w:r>
      <w:r w:rsidRPr="00243B82">
        <w:rPr>
          <w:rStyle w:val="Refdenotaalpie"/>
          <w:rFonts w:ascii="Open Sans" w:hAnsi="Open Sans" w:cs="Arial"/>
          <w:sz w:val="20"/>
          <w:szCs w:val="20"/>
        </w:rPr>
        <w:footnoteReference w:id="267"/>
      </w:r>
      <w:r w:rsidRPr="00243B82">
        <w:rPr>
          <w:rFonts w:ascii="Open Sans" w:hAnsi="Open Sans" w:cs="Arial"/>
          <w:sz w:val="20"/>
          <w:szCs w:val="20"/>
        </w:rPr>
        <w:t>, hace necesaria una mayor transparencia sobre sus actividades, el origen de sus ingresos y, en definitiva, los motivos que llevan al grupo a radicar esas filiales en dichos territorios.</w:t>
      </w:r>
    </w:p>
    <w:p w14:paraId="04A73BF7" w14:textId="77777777" w:rsidR="007359B0" w:rsidRPr="00243B82" w:rsidRDefault="007359B0" w:rsidP="007359B0">
      <w:pPr>
        <w:jc w:val="both"/>
        <w:rPr>
          <w:rFonts w:ascii="Open Sans" w:hAnsi="Open Sans" w:cs="Arial"/>
          <w:sz w:val="20"/>
          <w:szCs w:val="20"/>
        </w:rPr>
      </w:pPr>
    </w:p>
    <w:p w14:paraId="1EB42C47"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Esta transparencia se hace más necesaria si cabe teniendo en cuenta el uso cada vez más frecuente de los nichos fiscales, puesto en evidencia por parte de la agencia tributaria: “</w:t>
      </w:r>
      <w:r w:rsidRPr="00243B82">
        <w:rPr>
          <w:rFonts w:ascii="Open Sans" w:hAnsi="Open Sans" w:cs="Arial"/>
          <w:i/>
          <w:sz w:val="20"/>
          <w:szCs w:val="20"/>
        </w:rPr>
        <w:t>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243B82">
        <w:rPr>
          <w:rFonts w:ascii="Open Sans" w:hAnsi="Open Sans" w:cs="Arial"/>
          <w:sz w:val="20"/>
          <w:szCs w:val="20"/>
        </w:rPr>
        <w:t>”</w:t>
      </w:r>
      <w:r w:rsidRPr="00243B82">
        <w:rPr>
          <w:rStyle w:val="Refdenotaalpie"/>
          <w:rFonts w:ascii="Open Sans" w:hAnsi="Open Sans" w:cs="Open Sans"/>
          <w:sz w:val="20"/>
          <w:szCs w:val="20"/>
        </w:rPr>
        <w:footnoteReference w:id="268"/>
      </w:r>
      <w:r w:rsidRPr="00243B82">
        <w:rPr>
          <w:rFonts w:ascii="Open Sans" w:hAnsi="Open Sans" w:cs="Open Sans"/>
          <w:sz w:val="20"/>
          <w:szCs w:val="20"/>
        </w:rPr>
        <w:t>.</w:t>
      </w:r>
    </w:p>
    <w:p w14:paraId="01136674" w14:textId="77777777" w:rsidR="007359B0" w:rsidRPr="00243B82" w:rsidRDefault="007359B0" w:rsidP="007359B0">
      <w:pPr>
        <w:jc w:val="both"/>
        <w:rPr>
          <w:rFonts w:ascii="Open Sans" w:hAnsi="Open Sans" w:cs="Arial"/>
          <w:sz w:val="20"/>
          <w:szCs w:val="20"/>
        </w:rPr>
      </w:pPr>
    </w:p>
    <w:p w14:paraId="604E2EA1"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De la información facilitada por Acerinox sí se puede extraer la propiedad de todas las sociedades del grupo, incluyendo las dos que no están participadas al 100%. Estas sociedades son Columbus Stainless, Ltd, con un porcentaje de participación del 24% en manos del Grupo sudafricano IDC (Industrial Development Corporation), y Bahru Stainless Sdn. Bhd, cuyo principal socio minoritario es la sociedad Nisshin Steel Holding. Co, Ltd. con una participación del 30% además de Metal One Corporation, que ostenta un 3% de participación</w:t>
      </w:r>
      <w:r w:rsidRPr="00243B82">
        <w:rPr>
          <w:rStyle w:val="Refdenotaalpie"/>
          <w:rFonts w:ascii="Open Sans" w:hAnsi="Open Sans" w:cs="Arial"/>
          <w:sz w:val="20"/>
          <w:szCs w:val="20"/>
        </w:rPr>
        <w:footnoteReference w:id="269"/>
      </w:r>
      <w:r w:rsidRPr="00243B82">
        <w:rPr>
          <w:rFonts w:ascii="Open Sans" w:hAnsi="Open Sans" w:cs="Arial"/>
          <w:sz w:val="20"/>
          <w:szCs w:val="20"/>
        </w:rPr>
        <w:t>. De estas sociedades se informa que no han repartido dividendos ni en 2014 ni 2015, además de encontrarse información sobre sus activos o número de empleados.</w:t>
      </w:r>
    </w:p>
    <w:p w14:paraId="325FC310" w14:textId="77777777" w:rsidR="007359B0" w:rsidRPr="00243B82" w:rsidRDefault="007359B0" w:rsidP="007359B0">
      <w:pPr>
        <w:jc w:val="both"/>
        <w:rPr>
          <w:rFonts w:ascii="Open Sans" w:hAnsi="Open Sans" w:cs="Arial"/>
          <w:sz w:val="20"/>
          <w:szCs w:val="20"/>
        </w:rPr>
      </w:pPr>
    </w:p>
    <w:p w14:paraId="1ECB0353"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Acerinox dispone de una Política General de Control y Gestión de Riesgos la cual tiene por objeto “</w:t>
      </w:r>
      <w:r w:rsidRPr="00243B82">
        <w:rPr>
          <w:rFonts w:ascii="Open Sans" w:hAnsi="Open Sans" w:cs="Arial"/>
          <w:i/>
          <w:sz w:val="20"/>
          <w:szCs w:val="20"/>
        </w:rPr>
        <w:t>establecer los principios básicos y el marco general de control y de gestión de los riesgos de toda naturaleza a los que se enfrentan la Sociedad y el Grupo</w:t>
      </w:r>
      <w:r w:rsidRPr="00243B82">
        <w:rPr>
          <w:rFonts w:ascii="Open Sans" w:hAnsi="Open Sans" w:cs="Arial"/>
          <w:sz w:val="20"/>
          <w:szCs w:val="20"/>
        </w:rPr>
        <w:t>”</w:t>
      </w:r>
      <w:r w:rsidRPr="00243B82">
        <w:rPr>
          <w:rStyle w:val="Refdenotaalpie"/>
          <w:rFonts w:ascii="Open Sans" w:hAnsi="Open Sans" w:cs="Arial"/>
          <w:sz w:val="20"/>
          <w:szCs w:val="20"/>
        </w:rPr>
        <w:footnoteReference w:id="270"/>
      </w:r>
      <w:r w:rsidRPr="00243B82">
        <w:rPr>
          <w:rFonts w:ascii="Open Sans" w:hAnsi="Open Sans" w:cs="Arial"/>
          <w:sz w:val="20"/>
          <w:szCs w:val="20"/>
        </w:rPr>
        <w:t>. En este sentido, dentro de los riegos regulatorios define: “</w:t>
      </w:r>
      <w:r w:rsidRPr="00243B82">
        <w:rPr>
          <w:rFonts w:ascii="Open Sans" w:hAnsi="Open Sans" w:cs="Arial"/>
          <w:i/>
          <w:sz w:val="20"/>
          <w:szCs w:val="20"/>
        </w:rPr>
        <w:t>son los derivados de cambios normativos establecidos por los distintos reguladores o en la normativa social medioambiental o fiscal</w:t>
      </w:r>
      <w:r w:rsidRPr="00243B82">
        <w:rPr>
          <w:rFonts w:ascii="Open Sans" w:hAnsi="Open Sans" w:cs="Arial"/>
          <w:sz w:val="20"/>
          <w:szCs w:val="20"/>
        </w:rPr>
        <w:t>”.</w:t>
      </w:r>
    </w:p>
    <w:p w14:paraId="6D4B37B4" w14:textId="77777777" w:rsidR="007359B0" w:rsidRPr="00243B82" w:rsidRDefault="007359B0" w:rsidP="007359B0">
      <w:pPr>
        <w:jc w:val="both"/>
        <w:rPr>
          <w:rFonts w:ascii="Open Sans" w:hAnsi="Open Sans" w:cs="Arial"/>
          <w:sz w:val="20"/>
          <w:szCs w:val="20"/>
        </w:rPr>
      </w:pPr>
    </w:p>
    <w:p w14:paraId="79A4E933"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Asimismo, Acerinox está adherida al Código de Buenas Prácticas Tributarias de la agencia tributaria, el cual incluye, entre otros compromisos, la prohibición de operar con estructuras instrumentales offshore, que favorecen la evasión fiscal. Esto sin duda es valorable, y pone de manifiesto las intenciones positivas de la compañía de operar bajo una estricta transparencia y cumpliendo la regulación vigente. Por contra, en los informes emitidos en el 2015 no se hace referencia a esta adhesión, así como tampoco las medidas cooperativas que la empresa lleva a cabo para relacionarse con las administraciones tributarias.</w:t>
      </w:r>
    </w:p>
    <w:p w14:paraId="4693509F" w14:textId="77777777" w:rsidR="007359B0" w:rsidRPr="00243B82" w:rsidRDefault="007359B0" w:rsidP="007359B0">
      <w:pPr>
        <w:jc w:val="both"/>
        <w:rPr>
          <w:rFonts w:ascii="Open Sans" w:hAnsi="Open Sans" w:cs="Arial"/>
          <w:sz w:val="20"/>
          <w:szCs w:val="20"/>
        </w:rPr>
      </w:pPr>
    </w:p>
    <w:p w14:paraId="1C88D0C9"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El grupo expone que “</w:t>
      </w:r>
      <w:r w:rsidRPr="00243B82">
        <w:rPr>
          <w:rFonts w:ascii="Open Sans" w:hAnsi="Open Sans" w:cs="Arial"/>
          <w:i/>
          <w:sz w:val="20"/>
          <w:szCs w:val="20"/>
        </w:rPr>
        <w:t>Acerinox no financia ningún partido político, ni asociaciones o fundaciones tuteladas, recomendadas o utilizadas por partidos políticos</w:t>
      </w:r>
      <w:r w:rsidRPr="00243B82">
        <w:rPr>
          <w:rFonts w:ascii="Open Sans" w:hAnsi="Open Sans" w:cs="Arial"/>
          <w:sz w:val="20"/>
          <w:szCs w:val="20"/>
        </w:rPr>
        <w:t>”</w:t>
      </w:r>
      <w:r w:rsidRPr="00243B82">
        <w:rPr>
          <w:rStyle w:val="Refdenotaalpie"/>
          <w:rFonts w:ascii="Open Sans" w:hAnsi="Open Sans" w:cs="Arial"/>
          <w:sz w:val="20"/>
          <w:szCs w:val="20"/>
        </w:rPr>
        <w:footnoteReference w:id="271"/>
      </w:r>
      <w:r w:rsidRPr="00243B82">
        <w:rPr>
          <w:rFonts w:ascii="Open Sans" w:hAnsi="Open Sans" w:cs="Arial"/>
          <w:sz w:val="20"/>
          <w:szCs w:val="20"/>
        </w:rPr>
        <w:t>, y que su código de conducta “</w:t>
      </w:r>
      <w:r w:rsidRPr="00243B82">
        <w:rPr>
          <w:rFonts w:ascii="Open Sans" w:hAnsi="Open Sans" w:cs="Arial"/>
          <w:i/>
          <w:sz w:val="20"/>
          <w:szCs w:val="20"/>
        </w:rPr>
        <w:t>impide a los trabajadores y directivos del grupo influir sobre decisiones políticas y administrativas en cualquier forma que no sea la invocación de la norma legal aplicable</w:t>
      </w:r>
      <w:r w:rsidRPr="00243B82">
        <w:rPr>
          <w:rFonts w:ascii="Open Sans" w:hAnsi="Open Sans" w:cs="Arial"/>
          <w:sz w:val="20"/>
          <w:szCs w:val="20"/>
        </w:rPr>
        <w:t>”, sin embargo, no se detallan las posibles acciones que se puedan llevar a cabo a través de asociaciones sectoriales para relacionarse con los legisladores y políticos (actividades de lobby).</w:t>
      </w:r>
    </w:p>
    <w:p w14:paraId="47BE6D82" w14:textId="77777777" w:rsidR="007359B0" w:rsidRPr="00243B82" w:rsidRDefault="007359B0" w:rsidP="007359B0">
      <w:pPr>
        <w:jc w:val="both"/>
        <w:rPr>
          <w:rFonts w:ascii="Open Sans" w:hAnsi="Open Sans" w:cs="Arial"/>
          <w:sz w:val="20"/>
          <w:szCs w:val="20"/>
        </w:rPr>
      </w:pPr>
    </w:p>
    <w:p w14:paraId="6F7C00CC"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En relación a operaciones intragrupo, la empresa no presenta información sobre las compras o deudas financieras entras las distintas sociedades, información que se hace necesaria teniendo en cuenta las inspecciones fiscales que mantiene abiertas en</w:t>
      </w:r>
      <w:r w:rsidRPr="00243B82">
        <w:rPr>
          <w:rStyle w:val="Refdenotaalpie"/>
          <w:rFonts w:ascii="Open Sans" w:hAnsi="Open Sans" w:cs="Arial"/>
          <w:sz w:val="20"/>
          <w:szCs w:val="20"/>
        </w:rPr>
        <w:footnoteReference w:id="272"/>
      </w:r>
      <w:r w:rsidRPr="00243B82">
        <w:rPr>
          <w:rFonts w:ascii="Open Sans" w:hAnsi="Open Sans" w:cs="Arial"/>
          <w:sz w:val="20"/>
          <w:szCs w:val="20"/>
        </w:rPr>
        <w:t>:</w:t>
      </w:r>
    </w:p>
    <w:p w14:paraId="03377385" w14:textId="77777777" w:rsidR="007359B0" w:rsidRPr="00243B82" w:rsidRDefault="007359B0" w:rsidP="007359B0">
      <w:pPr>
        <w:jc w:val="both"/>
        <w:rPr>
          <w:rFonts w:ascii="Open Sans" w:hAnsi="Open Sans" w:cs="Arial"/>
          <w:sz w:val="20"/>
          <w:szCs w:val="20"/>
        </w:rPr>
      </w:pPr>
    </w:p>
    <w:p w14:paraId="01576DE4"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Italia;  en relación a los precios de transferencia de las operaciones entre Acerinox Italia S.r.l. y las compañías manufactureras del Grupo.</w:t>
      </w:r>
    </w:p>
    <w:p w14:paraId="121F7CA1"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Malasia; en 2015 se iniciaron actuaciones inspectoras en la sociedad Acerinox SC Malasia, Sdn. Bhd. relacionada con precios de transferencia de los ejercicios 2010 a 2013.</w:t>
      </w:r>
    </w:p>
    <w:p w14:paraId="5CFCEAD2"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Sudáfrica; en 2014 se iniciaron de actuaciones inspectoras por precios de transferencia en la sociedad del Grupo Columbus Stainless (Pty) Ltd. relativa a los ejercicios 2010 a 2012, las cuales se han cerrado en 2015 con ajustes en base por precios de transferencia por importe de 32 millones de euros, aunque no hubo sanción tributaria.</w:t>
      </w:r>
    </w:p>
    <w:p w14:paraId="6DC96C29" w14:textId="77777777" w:rsidR="007359B0" w:rsidRPr="00243B82" w:rsidRDefault="007359B0" w:rsidP="007359B0">
      <w:pPr>
        <w:numPr>
          <w:ilvl w:val="0"/>
          <w:numId w:val="16"/>
        </w:numPr>
        <w:jc w:val="both"/>
        <w:rPr>
          <w:rFonts w:ascii="Open Sans" w:hAnsi="Open Sans" w:cs="Arial"/>
          <w:sz w:val="20"/>
          <w:szCs w:val="20"/>
        </w:rPr>
      </w:pPr>
      <w:r w:rsidRPr="00243B82">
        <w:rPr>
          <w:rFonts w:ascii="Open Sans" w:hAnsi="Open Sans" w:cs="Arial"/>
          <w:sz w:val="20"/>
          <w:szCs w:val="20"/>
        </w:rPr>
        <w:t xml:space="preserve">Portugal; Durante el 2011 tuvieron lugar actuaciones de comprobación fiscal de las que se derivó un ajuste de precios de transferencia por las transacciones de compra-venta entre la Sociedad Acerol, Ltda. y las fábricas del Grupo, fundamentalmente Acerinox, S.A. y Roldan, </w:t>
      </w:r>
      <w:proofErr w:type="gramStart"/>
      <w:r w:rsidRPr="00243B82">
        <w:rPr>
          <w:rFonts w:ascii="Open Sans" w:hAnsi="Open Sans" w:cs="Arial"/>
          <w:sz w:val="20"/>
          <w:szCs w:val="20"/>
        </w:rPr>
        <w:t>S.A..</w:t>
      </w:r>
      <w:proofErr w:type="gramEnd"/>
    </w:p>
    <w:p w14:paraId="63474632" w14:textId="77777777" w:rsidR="007359B0" w:rsidRPr="00243B82" w:rsidRDefault="007359B0" w:rsidP="007359B0">
      <w:pPr>
        <w:jc w:val="both"/>
        <w:rPr>
          <w:rFonts w:ascii="Open Sans" w:hAnsi="Open Sans" w:cs="Arial"/>
          <w:sz w:val="20"/>
          <w:szCs w:val="20"/>
        </w:rPr>
      </w:pPr>
    </w:p>
    <w:p w14:paraId="405CDC2F"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Si bien se expone que el método de precios de transferencia “</w:t>
      </w:r>
      <w:r w:rsidRPr="00243B82">
        <w:rPr>
          <w:rFonts w:ascii="Open Sans" w:hAnsi="Open Sans" w:cs="Arial"/>
          <w:i/>
          <w:sz w:val="20"/>
          <w:szCs w:val="20"/>
        </w:rPr>
        <w:t>es homogéneo con el Grupo y es uno de los métodos aprobados por la OCDE”</w:t>
      </w:r>
      <w:r w:rsidRPr="00243B82">
        <w:rPr>
          <w:rStyle w:val="Refdenotaalpie"/>
          <w:rFonts w:ascii="Open Sans" w:hAnsi="Open Sans" w:cs="Arial"/>
          <w:sz w:val="20"/>
          <w:szCs w:val="20"/>
        </w:rPr>
        <w:footnoteReference w:id="273"/>
      </w:r>
      <w:r w:rsidRPr="00243B82">
        <w:rPr>
          <w:rFonts w:ascii="Open Sans" w:hAnsi="Open Sans" w:cs="Arial"/>
          <w:sz w:val="20"/>
          <w:szCs w:val="20"/>
        </w:rPr>
        <w:t>, estas inspecciones no hacen sino poner de manifiesto la necesidad de más transparencia por parte de Acerinox en lo referente a sus políticas y operaciones intragrupo.</w:t>
      </w:r>
    </w:p>
    <w:p w14:paraId="4577BFC1" w14:textId="77777777" w:rsidR="007359B0" w:rsidRPr="00243B82" w:rsidRDefault="007359B0" w:rsidP="007359B0">
      <w:pPr>
        <w:jc w:val="both"/>
        <w:rPr>
          <w:rFonts w:ascii="Open Sans" w:hAnsi="Open Sans" w:cs="Arial"/>
          <w:sz w:val="20"/>
          <w:szCs w:val="20"/>
        </w:rPr>
      </w:pPr>
    </w:p>
    <w:p w14:paraId="1E04304C"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En relación al desglose de impuestos, Acerinox facilita dos cuadros en los que se expone la información relativa, por un lado a salarios y seguridad social, y por otro a los impuestos pagados o recaudados</w:t>
      </w:r>
      <w:r w:rsidRPr="00243B82">
        <w:rPr>
          <w:rStyle w:val="Refdenotaalpie"/>
          <w:rFonts w:ascii="Open Sans" w:hAnsi="Open Sans" w:cs="Arial"/>
          <w:sz w:val="20"/>
          <w:szCs w:val="20"/>
        </w:rPr>
        <w:footnoteReference w:id="274"/>
      </w:r>
      <w:r w:rsidRPr="00243B82">
        <w:rPr>
          <w:rFonts w:ascii="Open Sans" w:hAnsi="Open Sans" w:cs="Arial"/>
          <w:sz w:val="20"/>
          <w:szCs w:val="20"/>
        </w:rPr>
        <w:t>. Esta información resulta muy útil, y pone de manifiesto, por ejemplo, que el importe abonado por Acerinox en impuesto de sociedades en 2015 respecto a los beneficios de 2014 en América supone 26 veces el abonado en el resto de países donde opera.  Aun siendo muy valorable esta información, resulta imposible realizar una evaluación del desempeño respecto a otros indicadores a nivel país o su contribución directa a las diferentes comunidades donde opera, ya que se desglosa por zonas geográficas y no por países, lo que sería deseable e iría en línea con iniciativas internacionales como el proyecto BEPS de la OCDE</w:t>
      </w:r>
      <w:r w:rsidRPr="00243B82">
        <w:rPr>
          <w:rStyle w:val="Refdenotaalpie"/>
          <w:rFonts w:ascii="Open Sans" w:hAnsi="Open Sans" w:cs="Arial"/>
          <w:sz w:val="20"/>
          <w:szCs w:val="20"/>
        </w:rPr>
        <w:footnoteReference w:id="275"/>
      </w:r>
      <w:r w:rsidRPr="00243B82">
        <w:rPr>
          <w:rFonts w:ascii="Open Sans" w:hAnsi="Open Sans" w:cs="Arial"/>
          <w:sz w:val="20"/>
          <w:szCs w:val="20"/>
        </w:rPr>
        <w:t>.</w:t>
      </w:r>
    </w:p>
    <w:p w14:paraId="21BD9DA4" w14:textId="77777777" w:rsidR="007359B0" w:rsidRPr="00243B82" w:rsidRDefault="007359B0" w:rsidP="007359B0">
      <w:pPr>
        <w:jc w:val="both"/>
        <w:rPr>
          <w:rFonts w:ascii="Open Sans" w:hAnsi="Open Sans" w:cs="Arial"/>
          <w:sz w:val="20"/>
          <w:szCs w:val="20"/>
        </w:rPr>
      </w:pPr>
    </w:p>
    <w:p w14:paraId="025561BE"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Es de destacar también que la tasa impositiva para el grupo consolidado en el ejercicio 2015 asciende al 66%. La empresa lo justifica debido “</w:t>
      </w:r>
      <w:r w:rsidRPr="00243B82">
        <w:rPr>
          <w:rFonts w:ascii="Open Sans" w:hAnsi="Open Sans" w:cs="Arial"/>
          <w:i/>
          <w:sz w:val="20"/>
          <w:szCs w:val="20"/>
        </w:rPr>
        <w:t>al efecto conjunto de, por un lado, la mayor contribución al beneficio del Grupo de la Sociedad North American Stainless, cuya “tasa impositiva es del 35%, minorado, por otro lado, por pérdidas en otras sociedades por importe de 77 millones de euros cuyos créditos fiscales no han sido activados</w:t>
      </w:r>
      <w:r w:rsidRPr="00243B82">
        <w:rPr>
          <w:rFonts w:ascii="Open Sans" w:hAnsi="Open Sans" w:cs="Arial"/>
          <w:sz w:val="20"/>
          <w:szCs w:val="20"/>
        </w:rPr>
        <w:t>”</w:t>
      </w:r>
      <w:r w:rsidRPr="00243B82">
        <w:rPr>
          <w:rStyle w:val="Refdenotaalpie"/>
          <w:rFonts w:ascii="Open Sans" w:hAnsi="Open Sans" w:cs="Arial"/>
          <w:sz w:val="20"/>
          <w:szCs w:val="20"/>
        </w:rPr>
        <w:footnoteReference w:id="276"/>
      </w:r>
      <w:r w:rsidRPr="00243B82">
        <w:rPr>
          <w:rFonts w:ascii="Open Sans" w:hAnsi="Open Sans" w:cs="Arial"/>
          <w:sz w:val="20"/>
          <w:szCs w:val="20"/>
        </w:rPr>
        <w:t>. Esto sin embargo no explica de forma total la elevada tasa que ha soportado el grupo en el ejercicio 2015.</w:t>
      </w:r>
    </w:p>
    <w:p w14:paraId="20935C3D" w14:textId="77777777" w:rsidR="007359B0" w:rsidRPr="00243B82" w:rsidRDefault="007359B0" w:rsidP="007359B0">
      <w:pPr>
        <w:jc w:val="both"/>
        <w:rPr>
          <w:rFonts w:ascii="Open Sans" w:hAnsi="Open Sans" w:cs="Arial"/>
          <w:sz w:val="20"/>
          <w:szCs w:val="20"/>
        </w:rPr>
      </w:pPr>
    </w:p>
    <w:p w14:paraId="50465C10"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Sobre las subvenciones recibidas, Acerinox muestra unas ayudas concedidas en 2015 de 4.352 miles de euros, e indica que “</w:t>
      </w:r>
      <w:r w:rsidRPr="00243B82">
        <w:rPr>
          <w:rFonts w:ascii="Open Sans" w:hAnsi="Open Sans" w:cs="Arial"/>
          <w:i/>
          <w:sz w:val="20"/>
          <w:szCs w:val="20"/>
        </w:rPr>
        <w:t>recoge fundamentalmente las ayudas recibidas por Acerinox Europa para el desarrollo de actividades de investigación y desarrollo, así como la contrapartida de los derechos de emisión asignados de manera gratuita de acuerdo con el Plan Nacional de Asignación</w:t>
      </w:r>
      <w:r w:rsidRPr="00243B82">
        <w:rPr>
          <w:rFonts w:ascii="Open Sans" w:hAnsi="Open Sans" w:cs="Arial"/>
          <w:sz w:val="20"/>
          <w:szCs w:val="20"/>
        </w:rPr>
        <w:t>”</w:t>
      </w:r>
      <w:r w:rsidRPr="00243B82">
        <w:rPr>
          <w:rStyle w:val="Refdenotaalpie"/>
          <w:rFonts w:ascii="Open Sans" w:hAnsi="Open Sans" w:cs="Arial"/>
          <w:sz w:val="20"/>
          <w:szCs w:val="20"/>
        </w:rPr>
        <w:footnoteReference w:id="277"/>
      </w:r>
      <w:r w:rsidRPr="00243B82">
        <w:rPr>
          <w:rFonts w:ascii="Open Sans" w:hAnsi="Open Sans" w:cs="Arial"/>
          <w:sz w:val="20"/>
          <w:szCs w:val="20"/>
        </w:rPr>
        <w:t>. Teniendo en cuenta la limitada cantidad de conceptos en subvenciones, sería deseable desglosar de nuevo la información a nivel país, para poder valorar la contribución de las administraciones a la empresa y viceversa.</w:t>
      </w:r>
    </w:p>
    <w:p w14:paraId="3646C2BB" w14:textId="77777777" w:rsidR="007359B0" w:rsidRPr="00243B82" w:rsidRDefault="007359B0" w:rsidP="007359B0">
      <w:pPr>
        <w:jc w:val="both"/>
        <w:rPr>
          <w:rFonts w:ascii="Open Sans" w:hAnsi="Open Sans" w:cs="Arial"/>
          <w:sz w:val="20"/>
          <w:szCs w:val="20"/>
        </w:rPr>
      </w:pPr>
    </w:p>
    <w:p w14:paraId="53A94F82"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En relación las exenciones y créditos fiscales por país Acerinox informa que “</w:t>
      </w:r>
      <w:r w:rsidRPr="00243B82">
        <w:rPr>
          <w:rFonts w:ascii="Open Sans" w:hAnsi="Open Sans" w:cs="Arial"/>
          <w:i/>
          <w:sz w:val="20"/>
          <w:szCs w:val="20"/>
        </w:rPr>
        <w:t>las bases imponibles compensadas en este ejercicio ascienden a 4.603 miles de euros</w:t>
      </w:r>
      <w:r w:rsidRPr="00243B82">
        <w:rPr>
          <w:rFonts w:ascii="Open Sans" w:hAnsi="Open Sans" w:cs="Arial"/>
          <w:sz w:val="20"/>
          <w:szCs w:val="20"/>
        </w:rPr>
        <w:t>”</w:t>
      </w:r>
      <w:r w:rsidRPr="00243B82">
        <w:rPr>
          <w:rStyle w:val="Refdenotaalpie"/>
          <w:rFonts w:ascii="Open Sans" w:hAnsi="Open Sans" w:cs="Arial"/>
          <w:sz w:val="20"/>
          <w:szCs w:val="20"/>
        </w:rPr>
        <w:footnoteReference w:id="278"/>
      </w:r>
      <w:r w:rsidRPr="00243B82">
        <w:rPr>
          <w:rFonts w:ascii="Open Sans" w:hAnsi="Open Sans" w:cs="Arial"/>
          <w:sz w:val="20"/>
          <w:szCs w:val="20"/>
        </w:rPr>
        <w:t>, habiendo “</w:t>
      </w:r>
      <w:r w:rsidRPr="00243B82">
        <w:rPr>
          <w:rFonts w:ascii="Open Sans" w:hAnsi="Open Sans" w:cs="Arial"/>
          <w:i/>
          <w:sz w:val="20"/>
          <w:szCs w:val="20"/>
        </w:rPr>
        <w:t>compensado en este ejercicio deducciones pendientes de ejercicios anteriores por importe de 1.533 miles de euros</w:t>
      </w:r>
      <w:r w:rsidRPr="00243B82">
        <w:rPr>
          <w:rFonts w:ascii="Open Sans" w:hAnsi="Open Sans" w:cs="Arial"/>
          <w:sz w:val="20"/>
          <w:szCs w:val="20"/>
        </w:rPr>
        <w:t>”. Esta información, como ocurre con impuestos y subvenciones, sería deseable que se facilitara por país, facilitando así evaluar el desempeño de la empresa por territorios o comunidades, y por tanto su contribución a las distintas sociedades donde opera.</w:t>
      </w:r>
    </w:p>
    <w:p w14:paraId="215C0452" w14:textId="77777777" w:rsidR="007359B0" w:rsidRPr="00243B82" w:rsidRDefault="007359B0" w:rsidP="007359B0">
      <w:pPr>
        <w:jc w:val="both"/>
        <w:rPr>
          <w:rFonts w:ascii="Open Sans" w:hAnsi="Open Sans" w:cs="Arial"/>
          <w:sz w:val="20"/>
          <w:szCs w:val="20"/>
        </w:rPr>
      </w:pPr>
    </w:p>
    <w:p w14:paraId="621E8C50" w14:textId="77777777" w:rsidR="007359B0" w:rsidRPr="00243B82" w:rsidRDefault="007359B0" w:rsidP="007359B0">
      <w:pPr>
        <w:jc w:val="both"/>
        <w:rPr>
          <w:rFonts w:ascii="Open Sans" w:hAnsi="Open Sans" w:cs="Arial"/>
          <w:sz w:val="20"/>
          <w:szCs w:val="20"/>
        </w:rPr>
      </w:pPr>
    </w:p>
    <w:p w14:paraId="48F9C0B0" w14:textId="77777777" w:rsidR="007359B0" w:rsidRPr="00243B82" w:rsidRDefault="007359B0" w:rsidP="007359B0">
      <w:pPr>
        <w:rPr>
          <w:rFonts w:ascii="Open Sans" w:hAnsi="Open Sans" w:cs="Arial"/>
          <w:bCs/>
          <w:sz w:val="22"/>
          <w:szCs w:val="22"/>
          <w:u w:val="single"/>
        </w:rPr>
      </w:pPr>
      <w:r w:rsidRPr="00243B82">
        <w:rPr>
          <w:rFonts w:ascii="Open Sans" w:hAnsi="Open Sans" w:cs="Arial"/>
          <w:b/>
          <w:sz w:val="22"/>
          <w:szCs w:val="22"/>
          <w:u w:val="single"/>
        </w:rPr>
        <w:t>5. Conclusiones</w:t>
      </w:r>
    </w:p>
    <w:p w14:paraId="306201CC" w14:textId="77777777" w:rsidR="007359B0" w:rsidRPr="00243B82" w:rsidRDefault="007359B0" w:rsidP="007359B0">
      <w:pPr>
        <w:rPr>
          <w:rFonts w:ascii="Open Sans" w:hAnsi="Open Sans" w:cs="Arial"/>
          <w:bCs/>
          <w:sz w:val="22"/>
          <w:szCs w:val="22"/>
        </w:rPr>
      </w:pPr>
    </w:p>
    <w:p w14:paraId="3AEBAB21" w14:textId="77777777" w:rsidR="007359B0" w:rsidRPr="00243B82" w:rsidRDefault="007359B0" w:rsidP="007359B0">
      <w:pPr>
        <w:pStyle w:val="Default"/>
        <w:jc w:val="both"/>
        <w:rPr>
          <w:rFonts w:ascii="Open Sans" w:hAnsi="Open Sans" w:cs="Open Sans"/>
          <w:color w:val="auto"/>
          <w:sz w:val="20"/>
          <w:szCs w:val="20"/>
        </w:rPr>
      </w:pPr>
      <w:r w:rsidRPr="00243B82">
        <w:rPr>
          <w:rFonts w:ascii="Open Sans" w:hAnsi="Open Sans" w:cs="Open Sans"/>
          <w:color w:val="auto"/>
          <w:sz w:val="20"/>
          <w:szCs w:val="20"/>
        </w:rPr>
        <w:t xml:space="preserve">La valoración global de la transparencia de Acerinox en el ámbito fiscal es de </w:t>
      </w:r>
      <w:r w:rsidRPr="00243B82">
        <w:rPr>
          <w:rFonts w:ascii="Open Sans" w:hAnsi="Open Sans" w:cs="Open Sans"/>
          <w:b/>
          <w:color w:val="auto"/>
          <w:sz w:val="20"/>
          <w:szCs w:val="20"/>
        </w:rPr>
        <w:t>0,79</w:t>
      </w:r>
      <w:r w:rsidRPr="00243B82">
        <w:rPr>
          <w:rFonts w:ascii="Open Sans" w:hAnsi="Open Sans" w:cs="Open Sans"/>
          <w:color w:val="auto"/>
          <w:sz w:val="20"/>
          <w:szCs w:val="20"/>
        </w:rPr>
        <w:t xml:space="preserve"> sobre un máximo de 3, </w:t>
      </w:r>
      <w:r w:rsidRPr="00243B82">
        <w:rPr>
          <w:rFonts w:ascii="Open Sans" w:hAnsi="Open Sans" w:cs="Open Sans"/>
          <w:sz w:val="20"/>
          <w:szCs w:val="20"/>
        </w:rPr>
        <w:t xml:space="preserve">lo que equivale a una </w:t>
      </w:r>
      <w:r w:rsidRPr="00243B82">
        <w:rPr>
          <w:rFonts w:ascii="Open Sans" w:hAnsi="Open Sans" w:cs="Open Sans"/>
          <w:i/>
          <w:sz w:val="20"/>
          <w:szCs w:val="20"/>
        </w:rPr>
        <w:t>información escasa</w:t>
      </w:r>
      <w:r w:rsidRPr="00243B82">
        <w:rPr>
          <w:rFonts w:ascii="Open Sans" w:hAnsi="Open Sans" w:cs="Open Sans"/>
          <w:sz w:val="20"/>
          <w:szCs w:val="20"/>
        </w:rPr>
        <w:t xml:space="preserve"> de acuerdo con la metodología utilizada.</w:t>
      </w:r>
      <w:r w:rsidRPr="00243B82">
        <w:rPr>
          <w:rFonts w:ascii="Open Sans" w:hAnsi="Open Sans" w:cs="Open Sans"/>
          <w:color w:val="auto"/>
          <w:sz w:val="20"/>
          <w:szCs w:val="20"/>
        </w:rPr>
        <w:t xml:space="preserve"> De las dimensiones analizadas, la máxima puntuación se obtiene en los aspectos relacionados con la “política y estrategia fiscal” (1,00) y “relaciones con Administraciones Tributarias” (1,00)  seguidos por los relacionados con “paraísos y nichos fiscales” (0,67) e “impuestos e incentivos” (0,50).</w:t>
      </w:r>
    </w:p>
    <w:p w14:paraId="7E10D76B" w14:textId="77777777" w:rsidR="007359B0" w:rsidRPr="00243B82" w:rsidRDefault="007359B0" w:rsidP="007359B0">
      <w:pPr>
        <w:rPr>
          <w:rFonts w:ascii="Open Sans" w:hAnsi="Open Sans"/>
        </w:rPr>
      </w:pPr>
    </w:p>
    <w:p w14:paraId="67251A2E"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 diferencia del alcance que se ofrece para la información social y económica en su Informe de Sostenibilidad, los datos incluidos en el Informe Financiero y en el Informe anual sí que engloban a todas las sociedades del grupo Acerinox, lo que permite poder evaluar su desempeño con un alcance global de la información. Por el contrario, la información se presenta en ocasiones dispersa en los diferentes informes, lo que dificulta en gran medida la valoración de sus políticas, acciones y resultados. En el informe de sostenibilidad no aporta información sobre aspectos fiscales cuando además estos son considerados por la empresa como un aspecto material. Es importante trasladar esta información de los informes técnicos no accesibles a informes más accesibles para todos los grupos de interés por la complejidad de entender la información económica y financiera. Además son aspectos que interesan cada vez más a todos los grupos de interés.</w:t>
      </w:r>
    </w:p>
    <w:p w14:paraId="156A4FB9" w14:textId="77777777" w:rsidR="007359B0" w:rsidRPr="00243B82" w:rsidRDefault="007359B0" w:rsidP="007359B0">
      <w:pPr>
        <w:jc w:val="both"/>
        <w:rPr>
          <w:rFonts w:ascii="Open Sans" w:hAnsi="Open Sans" w:cs="Arial"/>
          <w:sz w:val="20"/>
          <w:szCs w:val="20"/>
        </w:rPr>
      </w:pPr>
    </w:p>
    <w:p w14:paraId="2A812D19"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Como punto muy positivo, Acerinox muestra en el apartado Política Fiscal del Informe Anual su posicionamiento y resultados en una serie de aspectos que, aunque con poca profundidad, si resultan muy relevantes y cada vez más demandados por la sociedad. Esta información, como otras a las que se hace referencia en el presente análisis (exenciones, subvenciones, impuestos, etc.), refleja la necesidad de presentarla con un desglose país por país, con el objetivo de mostrar un resumen de las principales cifras de las diferentes sociedades o territorios donde está operando la empresa y su contribución fiscal a dichas comunidades.</w:t>
      </w:r>
    </w:p>
    <w:p w14:paraId="38ABD719" w14:textId="77777777" w:rsidR="007359B0" w:rsidRPr="00243B82" w:rsidRDefault="007359B0" w:rsidP="007359B0">
      <w:pPr>
        <w:jc w:val="both"/>
        <w:rPr>
          <w:rFonts w:ascii="Open Sans" w:hAnsi="Open Sans" w:cs="Arial"/>
          <w:sz w:val="20"/>
          <w:szCs w:val="20"/>
        </w:rPr>
      </w:pPr>
    </w:p>
    <w:p w14:paraId="3367AAB5"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Respecto a la precisión y profundidad de la información, a pesar de exponer algunos detalles respecto a su presencia en nichos fiscales, con actividades de comercialización o reaseguro, y en las que se deja claro que no son sociedades de carácter artificioso creadas con la única finalidad de reducir la carga fiscal, si reflejan la necesidad de más transparencia, explicando si realizan operaciones comerciales fuera de esos territorios y desglosando, en esos casos, al máximo la información.</w:t>
      </w:r>
    </w:p>
    <w:p w14:paraId="2B0CA651" w14:textId="77777777" w:rsidR="007359B0" w:rsidRPr="00243B82" w:rsidRDefault="007359B0" w:rsidP="007359B0">
      <w:pPr>
        <w:jc w:val="both"/>
        <w:rPr>
          <w:rFonts w:ascii="Open Sans" w:hAnsi="Open Sans" w:cs="Arial"/>
          <w:sz w:val="20"/>
          <w:szCs w:val="20"/>
        </w:rPr>
      </w:pPr>
    </w:p>
    <w:p w14:paraId="1F552C9F"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 xml:space="preserve">Por otro lado, resulta sorprendente que la compañía lleve adherida desde 2011 al </w:t>
      </w:r>
      <w:r w:rsidRPr="00243B82">
        <w:rPr>
          <w:rFonts w:ascii="Open Sans" w:hAnsi="Open Sans" w:cs="Arial"/>
          <w:sz w:val="20"/>
        </w:rPr>
        <w:t>Código de Buenas Prácticas Tributarias de la agencia tributaria, y no se mencione en ninguno de los informes dicha adhesión, así como tampoco se presenta una relación entre las distintas acciones que pueda estar llevando a cabo la sociedad para materializar esas buenas prácticas que, si bien se pueden identificar algunas de ellas, resulta difícil de vincular sin un análisis pormenorizado. La claridad y accesibilidad de los datos debe ser también una prioridad a la hora de presentar la información y realizar una correcta rendición de cuentas a sus grupos de interés.</w:t>
      </w:r>
    </w:p>
    <w:p w14:paraId="219D9645" w14:textId="77777777" w:rsidR="007359B0" w:rsidRPr="00243B82" w:rsidRDefault="007359B0" w:rsidP="007359B0">
      <w:pPr>
        <w:jc w:val="both"/>
        <w:rPr>
          <w:rFonts w:ascii="Open Sans" w:hAnsi="Open Sans" w:cs="Arial"/>
          <w:sz w:val="20"/>
          <w:szCs w:val="20"/>
        </w:rPr>
      </w:pPr>
    </w:p>
    <w:p w14:paraId="359AABFC"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A este respecto, apenas se dan detalles de las distintas acciones llevadas a cabo por la empresa en su relación y cooperación con las distintas administraciones tributarias de los países donde tiene presencia, más allá de las explicaciones pertinentes respecto a litigios, inspecciones, u otro tipo de controversias.</w:t>
      </w:r>
    </w:p>
    <w:p w14:paraId="09C4B100" w14:textId="77777777" w:rsidR="007359B0" w:rsidRPr="00243B82" w:rsidRDefault="007359B0" w:rsidP="007359B0">
      <w:pPr>
        <w:jc w:val="both"/>
        <w:rPr>
          <w:rFonts w:ascii="Open Sans" w:hAnsi="Open Sans" w:cs="Arial"/>
          <w:sz w:val="20"/>
          <w:szCs w:val="20"/>
        </w:rPr>
      </w:pPr>
    </w:p>
    <w:p w14:paraId="59C7074B" w14:textId="77777777" w:rsidR="007359B0" w:rsidRPr="00243B82" w:rsidRDefault="007359B0" w:rsidP="007359B0">
      <w:pPr>
        <w:jc w:val="both"/>
        <w:rPr>
          <w:rFonts w:ascii="Open Sans" w:hAnsi="Open Sans" w:cs="Arial"/>
          <w:sz w:val="20"/>
          <w:szCs w:val="20"/>
        </w:rPr>
      </w:pPr>
      <w:r w:rsidRPr="00243B82">
        <w:rPr>
          <w:rFonts w:ascii="Open Sans" w:hAnsi="Open Sans" w:cs="Arial"/>
          <w:sz w:val="20"/>
          <w:szCs w:val="20"/>
        </w:rPr>
        <w:t>Por último, es destacable la presentación en muchos de los apartados de información referente al año 2014, que sin duda es relevante para poder evaluar los datos ofrecidos con una referencia temporal.</w:t>
      </w:r>
    </w:p>
    <w:p w14:paraId="7B18767A" w14:textId="405A40CC" w:rsidR="00B60D9F" w:rsidRDefault="00B60D9F" w:rsidP="00B60D9F">
      <w:pPr>
        <w:jc w:val="both"/>
        <w:rPr>
          <w:rFonts w:ascii="Open Sans" w:hAnsi="Open Sans" w:cs="Arial"/>
          <w:sz w:val="20"/>
          <w:szCs w:val="20"/>
        </w:rPr>
      </w:pPr>
    </w:p>
    <w:p w14:paraId="74862492" w14:textId="77777777" w:rsidR="00B60D9F" w:rsidRDefault="00B60D9F" w:rsidP="00B60D9F"/>
    <w:p w14:paraId="5935F7CA" w14:textId="77777777" w:rsidR="00B60D9F" w:rsidRDefault="00B60D9F" w:rsidP="00B60D9F"/>
    <w:p w14:paraId="066FD8E1" w14:textId="77777777" w:rsidR="00B60D9F" w:rsidRDefault="00B60D9F" w:rsidP="00B60D9F">
      <w:r>
        <w:br w:type="page"/>
      </w:r>
    </w:p>
    <w:p w14:paraId="446474AD" w14:textId="77777777" w:rsidR="00B60D9F" w:rsidRDefault="00B60D9F" w:rsidP="00B60D9F">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b/>
          <w:color w:val="FFFFFF"/>
        </w:rPr>
      </w:pPr>
      <w:bookmarkStart w:id="73" w:name="ACS"/>
      <w:r>
        <w:rPr>
          <w:rFonts w:ascii="Open Sans" w:hAnsi="Open Sans" w:cs="Open Sans"/>
          <w:b/>
          <w:color w:val="FFFFFF"/>
        </w:rPr>
        <w:t>ACTIVIDADES DE CONSTRUCCION Y SERVICIOS. S.A</w:t>
      </w:r>
      <w:bookmarkEnd w:id="73"/>
    </w:p>
    <w:p w14:paraId="5CDCDC90" w14:textId="77777777" w:rsidR="00B60D9F" w:rsidRDefault="00B60D9F" w:rsidP="00B60D9F">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b/>
          <w:bCs/>
          <w:i/>
          <w:color w:val="FFFFFF"/>
          <w:sz w:val="28"/>
          <w:szCs w:val="28"/>
        </w:rPr>
      </w:pPr>
      <w:r>
        <w:rPr>
          <w:rFonts w:ascii="Open Sans" w:hAnsi="Open Sans" w:cs="Open Sans"/>
          <w:b/>
          <w:i/>
          <w:color w:val="FFFFFF"/>
        </w:rPr>
        <w:t>(GRUPO ACS)</w:t>
      </w:r>
    </w:p>
    <w:p w14:paraId="20065C07" w14:textId="77777777" w:rsidR="00B60D9F" w:rsidRDefault="00B60D9F" w:rsidP="00B60D9F">
      <w:pPr>
        <w:ind w:left="708"/>
        <w:jc w:val="both"/>
        <w:outlineLvl w:val="5"/>
        <w:rPr>
          <w:rFonts w:ascii="Open Sans" w:hAnsi="Open Sans" w:cs="Open Sans"/>
          <w:b/>
          <w:sz w:val="20"/>
          <w:szCs w:val="20"/>
          <w:u w:val="single"/>
        </w:rPr>
      </w:pPr>
    </w:p>
    <w:p w14:paraId="2812DE53" w14:textId="77777777" w:rsidR="007359B0" w:rsidRPr="00CA2F5C" w:rsidRDefault="007359B0" w:rsidP="007359B0">
      <w:pPr>
        <w:jc w:val="both"/>
        <w:outlineLvl w:val="5"/>
        <w:rPr>
          <w:rFonts w:ascii="Open Sans" w:hAnsi="Open Sans" w:cs="Open Sans"/>
          <w:b/>
          <w:sz w:val="22"/>
          <w:szCs w:val="22"/>
          <w:u w:val="single"/>
        </w:rPr>
      </w:pPr>
      <w:r w:rsidRPr="00CA2F5C">
        <w:rPr>
          <w:rFonts w:ascii="Open Sans" w:hAnsi="Open Sans" w:cs="Open Sans"/>
          <w:b/>
          <w:sz w:val="22"/>
          <w:szCs w:val="22"/>
          <w:u w:val="single"/>
        </w:rPr>
        <w:t>1. Datos generales de la entidad</w:t>
      </w:r>
    </w:p>
    <w:p w14:paraId="76E7DA56" w14:textId="77777777" w:rsidR="007359B0" w:rsidRPr="00CA2F5C" w:rsidRDefault="007359B0" w:rsidP="007359B0">
      <w:pPr>
        <w:jc w:val="both"/>
        <w:rPr>
          <w:rFonts w:ascii="Open Sans" w:hAnsi="Open Sans" w:cs="Open Sans"/>
          <w:sz w:val="20"/>
          <w:szCs w:val="20"/>
          <w:u w:val="single"/>
        </w:rPr>
      </w:pPr>
    </w:p>
    <w:p w14:paraId="37AFFA52"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u w:val="single"/>
        </w:rPr>
        <w:t>Productos/servicios</w:t>
      </w:r>
    </w:p>
    <w:p w14:paraId="7522F6F9" w14:textId="77777777" w:rsidR="007359B0" w:rsidRPr="00CA2F5C" w:rsidRDefault="007359B0" w:rsidP="007359B0">
      <w:pPr>
        <w:jc w:val="both"/>
        <w:rPr>
          <w:rFonts w:ascii="Open Sans" w:hAnsi="Open Sans" w:cs="Open Sans"/>
          <w:sz w:val="20"/>
          <w:szCs w:val="20"/>
        </w:rPr>
      </w:pPr>
    </w:p>
    <w:p w14:paraId="5969B0D5"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De acuerdo con la web corporativa del Grupo ACS, en adelante ACS, la empresa es una referencia mundial en las actividades de construcción y servicios.</w:t>
      </w:r>
    </w:p>
    <w:p w14:paraId="46B1B751" w14:textId="77777777" w:rsidR="007359B0" w:rsidRPr="00CA2F5C" w:rsidRDefault="007359B0" w:rsidP="007359B0">
      <w:pPr>
        <w:jc w:val="both"/>
        <w:rPr>
          <w:rFonts w:ascii="Open Sans" w:hAnsi="Open Sans" w:cs="Open Sans"/>
          <w:sz w:val="20"/>
          <w:szCs w:val="20"/>
        </w:rPr>
      </w:pPr>
    </w:p>
    <w:p w14:paraId="2AD27365" w14:textId="77777777" w:rsidR="007359B0" w:rsidRPr="00CA2F5C" w:rsidRDefault="007359B0" w:rsidP="007359B0">
      <w:pPr>
        <w:jc w:val="both"/>
        <w:rPr>
          <w:rFonts w:ascii="Open Sans" w:hAnsi="Open Sans" w:cs="Open Sans"/>
          <w:sz w:val="20"/>
          <w:szCs w:val="20"/>
        </w:rPr>
      </w:pPr>
      <w:r w:rsidRPr="00CA2F5C">
        <w:rPr>
          <w:rFonts w:ascii="Open Sans" w:hAnsi="Open Sans" w:cs="Open Sans"/>
          <w:b/>
          <w:sz w:val="20"/>
          <w:szCs w:val="20"/>
        </w:rPr>
        <w:t>El área de Construcción del Grupo ACS</w:t>
      </w:r>
      <w:r w:rsidRPr="00CA2F5C">
        <w:rPr>
          <w:rFonts w:ascii="Open Sans" w:hAnsi="Open Sans" w:cs="Open Sans"/>
          <w:sz w:val="20"/>
          <w:szCs w:val="20"/>
        </w:rPr>
        <w:t xml:space="preserve"> está orientada a la realización de todo tipo de proyectos de Obra Civil (actividades relacionadas con el desarrollo de infraestructuras como autopistas, obras ferroviarias, marítimas y aeroportuarias), de Edificación (edificios residenciales, equipamiento social e instalaciones) y de proyectos relacionados con el segmento de la Minería (contratos de prestación de servicios de minería, así como las infraestructuras necesarias para la actividad minera).</w:t>
      </w:r>
    </w:p>
    <w:p w14:paraId="66A1C2C7" w14:textId="77777777" w:rsidR="007359B0" w:rsidRPr="00CA2F5C" w:rsidRDefault="007359B0" w:rsidP="007359B0">
      <w:pPr>
        <w:jc w:val="both"/>
        <w:rPr>
          <w:rFonts w:ascii="Open Sans" w:hAnsi="Open Sans"/>
          <w:color w:val="585858"/>
          <w:sz w:val="15"/>
          <w:szCs w:val="15"/>
          <w:shd w:val="clear" w:color="auto" w:fill="FFFFFF"/>
        </w:rPr>
      </w:pPr>
    </w:p>
    <w:p w14:paraId="66BA4B5F"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Estos proyectos se llevan a cabo, bien a través de modelos de construcción directa para clientes, tanto institucionales como privados, o a través de modelo de colaboración público-privada, en las que el Grupo ACS abarca toda la cadena del valor del negocio concesional, desde la desde la concepción del proyecto hasta su financiación, construcción, puesta en marcha y explotación. Estas actividades se llevan a cabo, a través de las tres compañías cabeceras de esta área, que son Dragados, HOCHTIEF e Iridium. Cada una de estas tres compañías está formada a su vez por un numeroso grupo de empresas, las cuales operan de manera independiente, especializándose en las diferentes actividades y áreas geográficas en las que opera el Grupo.</w:t>
      </w:r>
    </w:p>
    <w:p w14:paraId="13EA57C0" w14:textId="77777777" w:rsidR="007359B0" w:rsidRPr="00CA2F5C" w:rsidRDefault="007359B0" w:rsidP="007359B0">
      <w:pPr>
        <w:jc w:val="both"/>
        <w:rPr>
          <w:rFonts w:ascii="Open Sans" w:hAnsi="Open Sans" w:cs="Open Sans"/>
          <w:sz w:val="20"/>
          <w:szCs w:val="20"/>
        </w:rPr>
      </w:pPr>
    </w:p>
    <w:p w14:paraId="20352B3B" w14:textId="77777777" w:rsidR="007359B0" w:rsidRPr="00CA2F5C" w:rsidRDefault="007359B0" w:rsidP="007359B0">
      <w:pPr>
        <w:jc w:val="both"/>
        <w:rPr>
          <w:rFonts w:ascii="Open Sans" w:hAnsi="Open Sans" w:cs="Open Sans"/>
          <w:sz w:val="20"/>
          <w:szCs w:val="20"/>
        </w:rPr>
      </w:pPr>
      <w:r w:rsidRPr="00CA2F5C">
        <w:rPr>
          <w:rFonts w:ascii="Open Sans" w:hAnsi="Open Sans" w:cs="Open Sans"/>
          <w:b/>
          <w:sz w:val="20"/>
          <w:szCs w:val="20"/>
        </w:rPr>
        <w:t>El área de servicios</w:t>
      </w:r>
      <w:r w:rsidRPr="00CA2F5C">
        <w:rPr>
          <w:rFonts w:ascii="Open Sans" w:hAnsi="Open Sans" w:cs="Open Sans"/>
          <w:sz w:val="20"/>
          <w:szCs w:val="20"/>
        </w:rPr>
        <w:t xml:space="preserve"> lo subdivide en Servicios Industriales y Servicios Medioambientales. </w:t>
      </w:r>
    </w:p>
    <w:p w14:paraId="32C83F0A" w14:textId="77777777" w:rsidR="007359B0" w:rsidRPr="00CA2F5C" w:rsidRDefault="007359B0" w:rsidP="007359B0">
      <w:pPr>
        <w:jc w:val="both"/>
        <w:rPr>
          <w:rFonts w:ascii="Open Sans" w:hAnsi="Open Sans" w:cs="Open Sans"/>
          <w:sz w:val="20"/>
          <w:szCs w:val="20"/>
        </w:rPr>
      </w:pPr>
    </w:p>
    <w:p w14:paraId="47273CD9" w14:textId="77777777" w:rsidR="007359B0" w:rsidRPr="00CA2F5C" w:rsidRDefault="007359B0" w:rsidP="007359B0">
      <w:pPr>
        <w:numPr>
          <w:ilvl w:val="0"/>
          <w:numId w:val="19"/>
        </w:numPr>
        <w:jc w:val="both"/>
        <w:rPr>
          <w:rFonts w:ascii="Open Sans" w:hAnsi="Open Sans" w:cs="Open Sans"/>
          <w:sz w:val="20"/>
          <w:szCs w:val="20"/>
        </w:rPr>
      </w:pPr>
      <w:r w:rsidRPr="00CA2F5C">
        <w:rPr>
          <w:rFonts w:ascii="Open Sans" w:hAnsi="Open Sans" w:cs="Open Sans"/>
          <w:sz w:val="20"/>
          <w:szCs w:val="20"/>
        </w:rPr>
        <w:t>El área de Servicios Industriales del Grupo ACS, es uno de los principales competidores mundiales en el ámbito de la ingeniería industrial aplicada, con proyectos en más de 50 países. Su actividad está orientada al desarrollo, construcción, mantenimiento y operación de infraestructuras energéticas, industriales y de movilidad a través de un extenso grupo de empresas.  Dentro de su sector, el área de Servicios Industriales es líder en España y uno de los principales competidores en Latinoamérica, donde cuenta con una dilatada experiencia y presencia estable en el desarrollo de proyectos llave en mano y prestación de servicios, especialmente en México y Perú donde ostenta una posición de liderazgo. Asimismo, el área de Servicios Industriales cuenta con una creciente presencia en Europa y en países de Oriente Medio, donde en los últimos años ha obtenido la adjudicación de importantes proyectos. De igual manera, el Grupo está consolidando su presencia en áreas como Norteamérica, África y países de la zona de Asia Pacífico.</w:t>
      </w:r>
    </w:p>
    <w:p w14:paraId="47561EFB" w14:textId="77777777" w:rsidR="007359B0" w:rsidRPr="00CA2F5C" w:rsidRDefault="007359B0" w:rsidP="007359B0">
      <w:pPr>
        <w:jc w:val="both"/>
        <w:rPr>
          <w:rFonts w:ascii="Open Sans" w:hAnsi="Open Sans" w:cs="Open Sans"/>
          <w:sz w:val="20"/>
          <w:szCs w:val="20"/>
        </w:rPr>
      </w:pPr>
    </w:p>
    <w:p w14:paraId="4DEF6E55" w14:textId="77777777" w:rsidR="007359B0" w:rsidRPr="00CA2F5C" w:rsidRDefault="007359B0" w:rsidP="007359B0">
      <w:pPr>
        <w:numPr>
          <w:ilvl w:val="0"/>
          <w:numId w:val="19"/>
        </w:numPr>
        <w:jc w:val="both"/>
        <w:rPr>
          <w:rFonts w:ascii="Open Sans" w:hAnsi="Open Sans" w:cs="Open Sans"/>
          <w:sz w:val="20"/>
          <w:szCs w:val="20"/>
        </w:rPr>
      </w:pPr>
      <w:r w:rsidRPr="00CA2F5C">
        <w:rPr>
          <w:rFonts w:ascii="Open Sans" w:hAnsi="Open Sans" w:cs="Open Sans"/>
          <w:sz w:val="20"/>
          <w:szCs w:val="20"/>
        </w:rPr>
        <w:t>El área de Medio Ambiente del Grupo ACS está orientado al desarrollo de las actividades de Servicios Medioambientales a través de Urbaser, Mantenimiento Integral a través de Clece, y Servicios de Logística a través de Sintax. La actividad de Servicios Medioambientales desarrollada por Urbaser se encuentran a su vez dividida en dos áreas diferenciadas: Servicios Urbanos y Tratamiento de Residuos.  La actividad del área de Servicios Urbanos se centra en la recogida de residuos sólidos urbanos y limpieza viaria (incluyendo programas de recogida selectiva y limpieza de playas y de interiores), jardinería, recogida y tratamiento de residuos de construcción y demolición y gestión integral del ciclo del agua. </w:t>
      </w:r>
    </w:p>
    <w:p w14:paraId="756882F9" w14:textId="77777777" w:rsidR="007359B0" w:rsidRPr="00CA2F5C" w:rsidRDefault="007359B0" w:rsidP="007359B0">
      <w:pPr>
        <w:jc w:val="both"/>
        <w:rPr>
          <w:rFonts w:ascii="Open Sans" w:hAnsi="Open Sans" w:cs="Open Sans"/>
          <w:sz w:val="20"/>
          <w:szCs w:val="20"/>
        </w:rPr>
      </w:pPr>
    </w:p>
    <w:p w14:paraId="45759154"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u w:val="single"/>
        </w:rPr>
        <w:t xml:space="preserve">Alcance geográfico </w:t>
      </w:r>
    </w:p>
    <w:p w14:paraId="4A551B8E" w14:textId="77777777" w:rsidR="007359B0" w:rsidRPr="00CA2F5C" w:rsidRDefault="007359B0" w:rsidP="007359B0">
      <w:pPr>
        <w:jc w:val="both"/>
        <w:rPr>
          <w:rFonts w:ascii="Open Sans" w:hAnsi="Open Sans" w:cs="Open Sans"/>
          <w:sz w:val="20"/>
          <w:szCs w:val="20"/>
        </w:rPr>
      </w:pPr>
    </w:p>
    <w:p w14:paraId="3E0F00D6"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ACS, según viene recogido en su web corporativa, en el apartado “presencia internacional”, opera o tiene presencia en los siguientes países: Alemania, Angola, Arabia Saudita, Argelia, Argentina,  Australia, Austria, Bélgica, Bolivia, Brasil, Bulgaria, Camerún, Canadá, Chile, China, Colombia, Costa Rica, Ecuador, Egipto, El Salvador, Emiratos Árabes Unidos, España, Estados Unidos, Filipinas, Francia, Georgia, Grecia, Guatemala, Honduras, India, Indonesia, Irlanda, Italia, Japón, Luxemburgo, Malasia, Marruecos, México, Mongolia, Nicaragua, Noruega, Nueva Zelanda, Países Bajos, Panamá, Perú, Polonia, Portugal, Puerto Rico, Qatar, Reino Unido, Rep. Dominicana, República Checa, Rumanía, Rusia, Singapur,  Sudáfrica, Suecia, Turquía, Venezuela, Vietnam. </w:t>
      </w:r>
    </w:p>
    <w:p w14:paraId="609FDAF2" w14:textId="77777777" w:rsidR="007359B0" w:rsidRPr="00CA2F5C" w:rsidRDefault="007359B0" w:rsidP="007359B0">
      <w:pPr>
        <w:jc w:val="both"/>
        <w:rPr>
          <w:rFonts w:ascii="Open Sans" w:hAnsi="Open Sans" w:cs="Open Sans"/>
          <w:sz w:val="20"/>
          <w:szCs w:val="20"/>
        </w:rPr>
      </w:pPr>
    </w:p>
    <w:p w14:paraId="6F9F6182"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Además de en estos países identificados a través de su página web, tiene presencia a través de sociedades participadas en varios territorios y países considerados nichos o paraísos fiscales: Suiza, Islas Cayman,  Islas Mauricio, Bermudas, Uruguay y Gibraltar.   </w:t>
      </w:r>
    </w:p>
    <w:p w14:paraId="506CB222" w14:textId="77777777" w:rsidR="007359B0" w:rsidRPr="00CA2F5C" w:rsidRDefault="007359B0" w:rsidP="007359B0">
      <w:pPr>
        <w:jc w:val="both"/>
        <w:rPr>
          <w:rFonts w:ascii="Open Sans" w:hAnsi="Open Sans" w:cs="Open Sans"/>
          <w:sz w:val="20"/>
          <w:szCs w:val="20"/>
        </w:rPr>
      </w:pPr>
    </w:p>
    <w:p w14:paraId="74FAB091" w14:textId="77777777" w:rsidR="007359B0" w:rsidRPr="00CA2F5C" w:rsidRDefault="007359B0" w:rsidP="007359B0">
      <w:pPr>
        <w:jc w:val="both"/>
        <w:rPr>
          <w:rFonts w:ascii="Open Sans" w:hAnsi="Open Sans" w:cs="Open Sans"/>
          <w:sz w:val="20"/>
          <w:szCs w:val="20"/>
        </w:rPr>
      </w:pPr>
    </w:p>
    <w:p w14:paraId="5054B24C" w14:textId="77777777" w:rsidR="007359B0" w:rsidRPr="00CA2F5C" w:rsidRDefault="007359B0" w:rsidP="007359B0">
      <w:pPr>
        <w:jc w:val="both"/>
        <w:rPr>
          <w:rFonts w:ascii="Open Sans" w:hAnsi="Open Sans" w:cs="Open Sans"/>
          <w:sz w:val="20"/>
          <w:szCs w:val="20"/>
          <w:u w:val="single"/>
        </w:rPr>
      </w:pPr>
      <w:r w:rsidRPr="00CA2F5C">
        <w:rPr>
          <w:rFonts w:ascii="Open Sans" w:hAnsi="Open Sans" w:cs="Open Sans"/>
          <w:sz w:val="20"/>
          <w:szCs w:val="20"/>
          <w:u w:val="single"/>
        </w:rPr>
        <w:t>Cifras relevantes de la empresa:</w:t>
      </w:r>
    </w:p>
    <w:p w14:paraId="5C48DEC1" w14:textId="77777777" w:rsidR="007359B0" w:rsidRPr="00CA2F5C" w:rsidRDefault="007359B0" w:rsidP="007359B0">
      <w:pPr>
        <w:jc w:val="both"/>
        <w:rPr>
          <w:rFonts w:ascii="Open Sans" w:hAnsi="Open Sans" w:cs="Open Sans"/>
          <w:sz w:val="20"/>
          <w:szCs w:val="20"/>
          <w:u w:val="single"/>
        </w:rPr>
      </w:pPr>
    </w:p>
    <w:p w14:paraId="72968773"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ACS ha obtenido una facturación en 2015 de 34.924,7  millones de euros lo que le ha generado unos beneficios antes de impuestos al grupo consolidado de 1.364,8 miles de euros. Al 31 de diciembre de 2015 el grupo cuenta con un total de 196.967 empleados.</w:t>
      </w:r>
    </w:p>
    <w:p w14:paraId="13D731DA" w14:textId="77777777" w:rsidR="007359B0" w:rsidRPr="00CA2F5C" w:rsidRDefault="007359B0" w:rsidP="007359B0">
      <w:pPr>
        <w:jc w:val="both"/>
        <w:rPr>
          <w:rFonts w:ascii="Open Sans" w:hAnsi="Open Sans" w:cs="Open Sans"/>
          <w:sz w:val="20"/>
          <w:szCs w:val="20"/>
          <w:u w:val="single"/>
        </w:rPr>
      </w:pPr>
    </w:p>
    <w:p w14:paraId="41A04167" w14:textId="77777777" w:rsidR="007359B0" w:rsidRPr="00CA2F5C" w:rsidRDefault="007359B0" w:rsidP="007359B0">
      <w:pPr>
        <w:jc w:val="both"/>
        <w:rPr>
          <w:rFonts w:ascii="Open Sans" w:hAnsi="Open Sans" w:cs="Open Sans"/>
          <w:sz w:val="20"/>
          <w:szCs w:val="20"/>
          <w:u w:val="single"/>
        </w:rPr>
      </w:pPr>
    </w:p>
    <w:p w14:paraId="3BF9D1A7" w14:textId="77777777" w:rsidR="007359B0" w:rsidRPr="00CA2F5C" w:rsidRDefault="007359B0" w:rsidP="007359B0">
      <w:pPr>
        <w:jc w:val="both"/>
        <w:rPr>
          <w:rFonts w:ascii="Open Sans" w:hAnsi="Open Sans" w:cs="Open Sans"/>
          <w:sz w:val="20"/>
          <w:szCs w:val="20"/>
          <w:u w:val="single"/>
        </w:rPr>
      </w:pPr>
      <w:r w:rsidRPr="00CA2F5C">
        <w:rPr>
          <w:rFonts w:ascii="Open Sans" w:hAnsi="Open Sans" w:cs="Open Sans"/>
          <w:sz w:val="20"/>
          <w:szCs w:val="20"/>
          <w:u w:val="single"/>
        </w:rPr>
        <w:t>Estándares voluntarios relacionados con fiscalidad responsable</w:t>
      </w:r>
    </w:p>
    <w:p w14:paraId="79ECC736" w14:textId="77777777" w:rsidR="007359B0" w:rsidRPr="00CA2F5C" w:rsidRDefault="007359B0" w:rsidP="007359B0">
      <w:pPr>
        <w:jc w:val="both"/>
        <w:rPr>
          <w:rFonts w:ascii="Open Sans" w:hAnsi="Open Sans" w:cs="Open Sans"/>
          <w:sz w:val="20"/>
          <w:szCs w:val="20"/>
          <w:u w:val="single"/>
        </w:rPr>
      </w:pPr>
    </w:p>
    <w:p w14:paraId="0BA350C4"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ACS informa que se ha adherido voluntariamente a los siguientes estándares relacionados con contenidos y sistemas de gestión de fiscalidad responsable:</w:t>
      </w:r>
    </w:p>
    <w:p w14:paraId="135E2348" w14:textId="77777777" w:rsidR="007359B0" w:rsidRPr="00CA2F5C" w:rsidRDefault="007359B0" w:rsidP="007359B0">
      <w:pPr>
        <w:jc w:val="both"/>
        <w:rPr>
          <w:rFonts w:ascii="Open Sans" w:hAnsi="Open Sans" w:cs="Open Sans"/>
          <w:sz w:val="20"/>
          <w:szCs w:val="20"/>
        </w:rPr>
      </w:pPr>
    </w:p>
    <w:p w14:paraId="1D7C3DDA" w14:textId="77777777" w:rsidR="007359B0" w:rsidRPr="00CA2F5C" w:rsidRDefault="007359B0" w:rsidP="007359B0">
      <w:pPr>
        <w:numPr>
          <w:ilvl w:val="0"/>
          <w:numId w:val="20"/>
        </w:numPr>
        <w:jc w:val="both"/>
        <w:rPr>
          <w:rFonts w:ascii="Open Sans" w:hAnsi="Open Sans" w:cs="Open Sans"/>
          <w:sz w:val="20"/>
          <w:szCs w:val="20"/>
        </w:rPr>
      </w:pPr>
      <w:r w:rsidRPr="00CA2F5C">
        <w:rPr>
          <w:rFonts w:ascii="Open Sans" w:hAnsi="Open Sans" w:cs="Open Sans"/>
          <w:sz w:val="20"/>
          <w:szCs w:val="20"/>
        </w:rPr>
        <w:t>Código de Buenas Prácticas Tributarias de la Agencia Tributaria.</w:t>
      </w:r>
    </w:p>
    <w:p w14:paraId="425D8C9E" w14:textId="77777777" w:rsidR="007359B0" w:rsidRPr="00CA2F5C" w:rsidRDefault="007359B0" w:rsidP="007359B0">
      <w:pPr>
        <w:jc w:val="both"/>
        <w:rPr>
          <w:rFonts w:ascii="Open Sans" w:hAnsi="Open Sans" w:cs="Open Sans"/>
          <w:sz w:val="20"/>
          <w:szCs w:val="20"/>
          <w:u w:val="single"/>
        </w:rPr>
      </w:pPr>
    </w:p>
    <w:p w14:paraId="19E85AA0" w14:textId="77777777" w:rsidR="007359B0" w:rsidRPr="00CA2F5C" w:rsidRDefault="007359B0" w:rsidP="007359B0">
      <w:pPr>
        <w:jc w:val="both"/>
        <w:rPr>
          <w:rFonts w:ascii="Open Sans" w:hAnsi="Open Sans" w:cs="Open Sans"/>
          <w:sz w:val="20"/>
          <w:szCs w:val="20"/>
          <w:u w:val="single"/>
        </w:rPr>
      </w:pPr>
    </w:p>
    <w:p w14:paraId="01E95BB5" w14:textId="77777777" w:rsidR="007359B0" w:rsidRPr="00CA2F5C" w:rsidRDefault="007359B0" w:rsidP="007359B0">
      <w:pPr>
        <w:jc w:val="both"/>
        <w:rPr>
          <w:rFonts w:ascii="Open Sans" w:hAnsi="Open Sans" w:cs="Open Sans"/>
          <w:sz w:val="20"/>
          <w:szCs w:val="20"/>
          <w:u w:val="single"/>
        </w:rPr>
      </w:pPr>
      <w:r w:rsidRPr="00CA2F5C">
        <w:rPr>
          <w:rFonts w:ascii="Open Sans" w:hAnsi="Open Sans" w:cs="Open Sans"/>
          <w:sz w:val="20"/>
          <w:szCs w:val="20"/>
          <w:u w:val="single"/>
        </w:rPr>
        <w:t>Documentos incluidos en el análisis</w:t>
      </w:r>
    </w:p>
    <w:p w14:paraId="706FEF57" w14:textId="77777777" w:rsidR="007359B0" w:rsidRPr="00CA2F5C" w:rsidRDefault="007359B0" w:rsidP="007359B0">
      <w:pPr>
        <w:ind w:firstLine="709"/>
        <w:jc w:val="both"/>
        <w:rPr>
          <w:rFonts w:ascii="Open Sans" w:hAnsi="Open Sans" w:cs="Open Sans"/>
          <w:sz w:val="20"/>
          <w:szCs w:val="20"/>
        </w:rPr>
      </w:pPr>
    </w:p>
    <w:p w14:paraId="113DCC7B"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0ADA3612" w14:textId="77777777" w:rsidR="007359B0" w:rsidRPr="00CA2F5C" w:rsidRDefault="007359B0" w:rsidP="007359B0">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360"/>
        <w:gridCol w:w="473"/>
        <w:gridCol w:w="3685"/>
      </w:tblGrid>
      <w:tr w:rsidR="007359B0" w:rsidRPr="00CA2F5C" w14:paraId="5099A494" w14:textId="77777777" w:rsidTr="006E3A41">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70590A88" w14:textId="77777777" w:rsidR="007359B0" w:rsidRPr="00CA2F5C" w:rsidRDefault="007359B0" w:rsidP="006E3A41">
            <w:pPr>
              <w:jc w:val="center"/>
              <w:rPr>
                <w:rFonts w:ascii="Open Sans" w:hAnsi="Open Sans" w:cs="Open Sans"/>
                <w:b/>
                <w:sz w:val="20"/>
                <w:szCs w:val="20"/>
              </w:rPr>
            </w:pPr>
            <w:r w:rsidRPr="00CA2F5C">
              <w:rPr>
                <w:rFonts w:ascii="Open Sans" w:hAnsi="Open Sans" w:cs="Open Sans"/>
                <w:b/>
                <w:sz w:val="20"/>
                <w:szCs w:val="20"/>
              </w:rPr>
              <w:t>DOCUMENTACIÓN</w:t>
            </w:r>
          </w:p>
        </w:tc>
        <w:tc>
          <w:tcPr>
            <w:tcW w:w="4158" w:type="dxa"/>
            <w:gridSpan w:val="2"/>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22F5F3E0" w14:textId="77777777" w:rsidR="007359B0" w:rsidRPr="00CA2F5C" w:rsidRDefault="007359B0" w:rsidP="006E3A41">
            <w:pPr>
              <w:jc w:val="center"/>
              <w:rPr>
                <w:rFonts w:ascii="Open Sans" w:hAnsi="Open Sans" w:cs="Open Sans"/>
                <w:b/>
                <w:sz w:val="20"/>
                <w:szCs w:val="20"/>
              </w:rPr>
            </w:pPr>
            <w:r w:rsidRPr="00CA2F5C">
              <w:rPr>
                <w:rFonts w:ascii="Open Sans" w:hAnsi="Open Sans" w:cs="Open Sans"/>
                <w:b/>
                <w:sz w:val="20"/>
                <w:szCs w:val="20"/>
              </w:rPr>
              <w:t>OBSERVACIONES</w:t>
            </w:r>
          </w:p>
        </w:tc>
      </w:tr>
      <w:tr w:rsidR="007359B0" w:rsidRPr="00CA2F5C" w14:paraId="1B7CA9C6" w14:textId="77777777" w:rsidTr="006E3A41">
        <w:trPr>
          <w:trHeight w:val="315"/>
        </w:trPr>
        <w:tc>
          <w:tcPr>
            <w:tcW w:w="4833" w:type="dxa"/>
            <w:gridSpan w:val="2"/>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314B9131" w14:textId="77777777" w:rsidR="007359B0" w:rsidRPr="00CA2F5C" w:rsidRDefault="007359B0" w:rsidP="006E3A41">
            <w:pPr>
              <w:rPr>
                <w:rFonts w:ascii="Open Sans" w:eastAsia="Arial Unicode MS" w:hAnsi="Open Sans" w:cs="Open Sans"/>
                <w:sz w:val="20"/>
                <w:szCs w:val="20"/>
              </w:rPr>
            </w:pPr>
            <w:r w:rsidRPr="00CA2F5C">
              <w:rPr>
                <w:rFonts w:ascii="Open Sans" w:eastAsia="Arial Unicode MS" w:hAnsi="Open Sans" w:cs="Open Sans"/>
                <w:sz w:val="20"/>
                <w:szCs w:val="20"/>
              </w:rPr>
              <w:t>Cuentas anuales e informe de gestión 2015</w:t>
            </w:r>
          </w:p>
        </w:tc>
        <w:tc>
          <w:tcPr>
            <w:tcW w:w="3685"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B0DCCF5" w14:textId="77777777" w:rsidR="007359B0" w:rsidRPr="00CA2F5C" w:rsidRDefault="007359B0" w:rsidP="006E3A41">
            <w:pPr>
              <w:jc w:val="both"/>
              <w:rPr>
                <w:rFonts w:ascii="Open Sans" w:eastAsia="Arial Unicode MS" w:hAnsi="Open Sans" w:cs="Open Sans"/>
                <w:sz w:val="20"/>
                <w:szCs w:val="20"/>
              </w:rPr>
            </w:pPr>
          </w:p>
        </w:tc>
      </w:tr>
      <w:tr w:rsidR="007359B0" w:rsidRPr="00CA2F5C" w14:paraId="55748381" w14:textId="77777777" w:rsidTr="006E3A41">
        <w:trPr>
          <w:trHeight w:val="300"/>
        </w:trPr>
        <w:tc>
          <w:tcPr>
            <w:tcW w:w="4833" w:type="dxa"/>
            <w:gridSpan w:val="2"/>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889D172" w14:textId="77777777" w:rsidR="007359B0" w:rsidRPr="00CA2F5C" w:rsidRDefault="007359B0" w:rsidP="006E3A41">
            <w:pPr>
              <w:rPr>
                <w:rFonts w:ascii="Open Sans" w:eastAsia="Arial Unicode MS" w:hAnsi="Open Sans" w:cs="Open Sans"/>
                <w:sz w:val="20"/>
                <w:szCs w:val="20"/>
              </w:rPr>
            </w:pPr>
            <w:r w:rsidRPr="00CA2F5C">
              <w:rPr>
                <w:rFonts w:ascii="Open Sans" w:eastAsia="Arial Unicode MS" w:hAnsi="Open Sans" w:cs="Open Sans"/>
                <w:sz w:val="20"/>
                <w:szCs w:val="20"/>
              </w:rPr>
              <w:t>Memoria de Responsabilidad Social Corporativa 2015</w:t>
            </w:r>
          </w:p>
        </w:tc>
        <w:tc>
          <w:tcPr>
            <w:tcW w:w="3685"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A34C4F2" w14:textId="77777777" w:rsidR="007359B0" w:rsidRPr="00CA2F5C" w:rsidRDefault="007359B0" w:rsidP="006E3A41">
            <w:pPr>
              <w:jc w:val="both"/>
              <w:rPr>
                <w:rFonts w:ascii="Open Sans" w:eastAsia="Arial Unicode MS" w:hAnsi="Open Sans" w:cs="Open Sans"/>
                <w:sz w:val="20"/>
                <w:szCs w:val="20"/>
              </w:rPr>
            </w:pPr>
          </w:p>
        </w:tc>
      </w:tr>
      <w:tr w:rsidR="007359B0" w:rsidRPr="00CA2F5C" w14:paraId="4B9B0D0C" w14:textId="77777777" w:rsidTr="006E3A41">
        <w:trPr>
          <w:trHeight w:val="270"/>
        </w:trPr>
        <w:tc>
          <w:tcPr>
            <w:tcW w:w="4833" w:type="dxa"/>
            <w:gridSpan w:val="2"/>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71E5D4FC" w14:textId="77777777" w:rsidR="007359B0" w:rsidRPr="00CA2F5C" w:rsidRDefault="007359B0" w:rsidP="006E3A41">
            <w:pPr>
              <w:rPr>
                <w:rFonts w:ascii="Open Sans" w:hAnsi="Open Sans" w:cs="Open Sans"/>
                <w:sz w:val="20"/>
                <w:szCs w:val="20"/>
              </w:rPr>
            </w:pPr>
            <w:r w:rsidRPr="00CA2F5C">
              <w:rPr>
                <w:rFonts w:ascii="Open Sans" w:hAnsi="Open Sans" w:cs="Open Sans"/>
                <w:sz w:val="20"/>
                <w:szCs w:val="20"/>
              </w:rPr>
              <w:t>Informe de Gobierno Corporativo ACS 2015</w:t>
            </w:r>
          </w:p>
        </w:tc>
        <w:tc>
          <w:tcPr>
            <w:tcW w:w="3685"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1928C1AF" w14:textId="77777777" w:rsidR="007359B0" w:rsidRPr="00CA2F5C" w:rsidRDefault="007359B0" w:rsidP="006E3A41">
            <w:pPr>
              <w:jc w:val="both"/>
              <w:rPr>
                <w:rFonts w:ascii="Open Sans" w:eastAsia="Arial Unicode MS" w:hAnsi="Open Sans" w:cs="Open Sans"/>
                <w:sz w:val="20"/>
                <w:szCs w:val="20"/>
              </w:rPr>
            </w:pPr>
          </w:p>
        </w:tc>
      </w:tr>
      <w:tr w:rsidR="007359B0" w:rsidRPr="00CA2F5C" w14:paraId="58B21DF7" w14:textId="77777777" w:rsidTr="006E3A41">
        <w:trPr>
          <w:trHeight w:val="179"/>
        </w:trPr>
        <w:tc>
          <w:tcPr>
            <w:tcW w:w="4833" w:type="dxa"/>
            <w:gridSpan w:val="2"/>
            <w:tcBorders>
              <w:top w:val="single" w:sz="4" w:space="0" w:color="auto"/>
              <w:left w:val="single" w:sz="8" w:space="0" w:color="auto"/>
              <w:bottom w:val="single" w:sz="4" w:space="0" w:color="auto"/>
              <w:right w:val="nil"/>
            </w:tcBorders>
            <w:tcMar>
              <w:top w:w="13" w:type="dxa"/>
              <w:left w:w="13" w:type="dxa"/>
              <w:bottom w:w="0" w:type="dxa"/>
              <w:right w:w="13" w:type="dxa"/>
            </w:tcMar>
          </w:tcPr>
          <w:p w14:paraId="16506139" w14:textId="77777777" w:rsidR="007359B0" w:rsidRPr="00CA2F5C" w:rsidRDefault="007359B0" w:rsidP="006E3A41">
            <w:pPr>
              <w:rPr>
                <w:rFonts w:ascii="Open Sans" w:hAnsi="Open Sans" w:cs="Open Sans"/>
                <w:sz w:val="20"/>
                <w:szCs w:val="20"/>
              </w:rPr>
            </w:pPr>
            <w:r w:rsidRPr="00CA2F5C">
              <w:rPr>
                <w:rFonts w:ascii="Open Sans" w:hAnsi="Open Sans" w:cs="Open Sans"/>
                <w:sz w:val="20"/>
                <w:szCs w:val="20"/>
              </w:rPr>
              <w:t>Otras fuentes como bases de datos de empresas registradas o informes aparecidos en medios de comunicación</w:t>
            </w:r>
          </w:p>
        </w:tc>
        <w:tc>
          <w:tcPr>
            <w:tcW w:w="3685"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24AE95B6" w14:textId="77777777" w:rsidR="007359B0" w:rsidRPr="00CA2F5C" w:rsidRDefault="007359B0" w:rsidP="006E3A41">
            <w:pPr>
              <w:jc w:val="both"/>
              <w:rPr>
                <w:rFonts w:ascii="Open Sans" w:eastAsia="Arial Unicode MS" w:hAnsi="Open Sans" w:cs="Open Sans"/>
                <w:sz w:val="20"/>
                <w:szCs w:val="20"/>
              </w:rPr>
            </w:pPr>
          </w:p>
        </w:tc>
      </w:tr>
    </w:tbl>
    <w:p w14:paraId="44346512" w14:textId="77777777" w:rsidR="007359B0" w:rsidRPr="00CA2F5C" w:rsidRDefault="007359B0" w:rsidP="007359B0">
      <w:pPr>
        <w:jc w:val="both"/>
        <w:rPr>
          <w:rFonts w:ascii="Open Sans" w:hAnsi="Open Sans" w:cs="Open Sans"/>
          <w:b/>
          <w:sz w:val="20"/>
          <w:szCs w:val="20"/>
        </w:rPr>
      </w:pPr>
    </w:p>
    <w:p w14:paraId="2916434D" w14:textId="77777777" w:rsidR="007359B0" w:rsidRPr="00CA2F5C" w:rsidRDefault="007359B0" w:rsidP="007359B0">
      <w:pPr>
        <w:jc w:val="both"/>
        <w:rPr>
          <w:rFonts w:ascii="Open Sans" w:hAnsi="Open Sans" w:cs="Open Sans"/>
          <w:b/>
          <w:sz w:val="20"/>
          <w:szCs w:val="20"/>
        </w:rPr>
      </w:pPr>
    </w:p>
    <w:p w14:paraId="562099B1" w14:textId="77777777" w:rsidR="007359B0" w:rsidRPr="00CA2F5C" w:rsidRDefault="007359B0" w:rsidP="007359B0">
      <w:pPr>
        <w:jc w:val="both"/>
        <w:rPr>
          <w:rFonts w:ascii="Open Sans" w:hAnsi="Open Sans" w:cs="Open Sans"/>
          <w:b/>
          <w:sz w:val="20"/>
          <w:szCs w:val="20"/>
        </w:rPr>
      </w:pPr>
    </w:p>
    <w:p w14:paraId="3BB50866" w14:textId="77777777" w:rsidR="007359B0" w:rsidRPr="00CA2F5C" w:rsidRDefault="007359B0" w:rsidP="007359B0">
      <w:pPr>
        <w:jc w:val="both"/>
        <w:rPr>
          <w:rFonts w:ascii="Open Sans" w:hAnsi="Open Sans" w:cs="Open Sans"/>
          <w:b/>
          <w:sz w:val="22"/>
          <w:szCs w:val="22"/>
          <w:u w:val="single"/>
        </w:rPr>
      </w:pPr>
      <w:r w:rsidRPr="00CA2F5C">
        <w:rPr>
          <w:rFonts w:ascii="Open Sans" w:hAnsi="Open Sans" w:cs="Open Sans"/>
          <w:b/>
          <w:sz w:val="22"/>
          <w:szCs w:val="22"/>
          <w:u w:val="single"/>
        </w:rPr>
        <w:t>2. Tabla de resultados</w:t>
      </w:r>
    </w:p>
    <w:p w14:paraId="2B0FF684" w14:textId="77777777" w:rsidR="007359B0" w:rsidRPr="00CA2F5C" w:rsidRDefault="007359B0" w:rsidP="007359B0">
      <w:pPr>
        <w:jc w:val="both"/>
        <w:rPr>
          <w:rFonts w:ascii="Open Sans" w:hAnsi="Open Sans" w:cs="Open Sans"/>
          <w:b/>
          <w:sz w:val="22"/>
          <w:szCs w:val="22"/>
          <w:u w:val="single"/>
        </w:rPr>
      </w:pPr>
    </w:p>
    <w:p w14:paraId="1E70E80B" w14:textId="77777777" w:rsidR="007359B0" w:rsidRPr="00CA2F5C" w:rsidRDefault="007359B0" w:rsidP="007359B0">
      <w:pPr>
        <w:jc w:val="both"/>
        <w:rPr>
          <w:rFonts w:ascii="Open Sans" w:hAnsi="Open Sans" w:cs="Open Sans"/>
          <w:b/>
          <w:sz w:val="22"/>
          <w:szCs w:val="22"/>
          <w:u w:val="single"/>
        </w:rPr>
      </w:pPr>
    </w:p>
    <w:p w14:paraId="6C82A969" w14:textId="77777777" w:rsidR="007359B0" w:rsidRPr="00CA2F5C" w:rsidRDefault="007359B0" w:rsidP="007359B0">
      <w:pPr>
        <w:suppressAutoHyphens/>
        <w:jc w:val="center"/>
        <w:rPr>
          <w:rFonts w:ascii="Open Sans" w:hAnsi="Open Sans" w:cs="Arial"/>
          <w:b/>
          <w:sz w:val="20"/>
          <w:szCs w:val="22"/>
          <w:u w:val="single"/>
          <w:lang w:eastAsia="ar-SA"/>
        </w:rPr>
      </w:pPr>
      <w:r w:rsidRPr="00CA2F5C">
        <w:rPr>
          <w:rFonts w:ascii="Open Sans" w:hAnsi="Open Sans" w:cs="Arial"/>
          <w:b/>
          <w:sz w:val="20"/>
          <w:szCs w:val="22"/>
          <w:u w:val="single"/>
          <w:lang w:eastAsia="ar-SA"/>
        </w:rPr>
        <w:t>TABLA 1: Valoraciones por dimensión</w:t>
      </w:r>
    </w:p>
    <w:p w14:paraId="6BAA22EB" w14:textId="77777777" w:rsidR="007359B0" w:rsidRPr="00CA2F5C" w:rsidRDefault="007359B0" w:rsidP="007359B0">
      <w:pPr>
        <w:rPr>
          <w:rFonts w:ascii="Open Sans" w:hAnsi="Open Sans" w:cs="Arial"/>
          <w:b/>
        </w:rPr>
      </w:pPr>
    </w:p>
    <w:p w14:paraId="790A8249" w14:textId="05AB387C" w:rsidR="007359B0" w:rsidRPr="00CA2F5C" w:rsidRDefault="007359B0" w:rsidP="007359B0">
      <w:pPr>
        <w:jc w:val="center"/>
        <w:rPr>
          <w:rFonts w:ascii="Open Sans" w:hAnsi="Open Sans"/>
        </w:rPr>
      </w:pPr>
      <w:r>
        <w:rPr>
          <w:rFonts w:ascii="Open Sans" w:hAnsi="Open Sans"/>
          <w:noProof/>
          <w:lang w:val="es-ES"/>
        </w:rPr>
        <w:drawing>
          <wp:inline distT="0" distB="0" distL="0" distR="0" wp14:anchorId="12403C85" wp14:editId="49B025E9">
            <wp:extent cx="3683000" cy="1828800"/>
            <wp:effectExtent l="0" t="0" r="0" b="0"/>
            <wp:docPr id="6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3683000" cy="1828800"/>
                    </a:xfrm>
                    <a:prstGeom prst="rect">
                      <a:avLst/>
                    </a:prstGeom>
                    <a:noFill/>
                    <a:ln>
                      <a:noFill/>
                    </a:ln>
                  </pic:spPr>
                </pic:pic>
              </a:graphicData>
            </a:graphic>
          </wp:inline>
        </w:drawing>
      </w:r>
    </w:p>
    <w:p w14:paraId="23352089" w14:textId="77777777" w:rsidR="007359B0" w:rsidRPr="00CA2F5C" w:rsidRDefault="007359B0" w:rsidP="007359B0">
      <w:pPr>
        <w:jc w:val="center"/>
        <w:rPr>
          <w:rFonts w:ascii="Open Sans" w:hAnsi="Open Sans" w:cs="Open Sans"/>
          <w:b/>
          <w:sz w:val="20"/>
          <w:szCs w:val="20"/>
        </w:rPr>
      </w:pPr>
    </w:p>
    <w:p w14:paraId="482DDE8B" w14:textId="77777777" w:rsidR="007359B0" w:rsidRPr="00CA2F5C" w:rsidRDefault="007359B0" w:rsidP="007359B0">
      <w:pPr>
        <w:jc w:val="center"/>
        <w:rPr>
          <w:rFonts w:ascii="Open Sans" w:hAnsi="Open Sans" w:cs="Open Sans"/>
          <w:b/>
          <w:sz w:val="20"/>
          <w:szCs w:val="20"/>
        </w:rPr>
      </w:pPr>
    </w:p>
    <w:p w14:paraId="22BF4BDF" w14:textId="77777777" w:rsidR="007359B0" w:rsidRPr="00CA2F5C" w:rsidRDefault="007359B0" w:rsidP="007359B0">
      <w:pPr>
        <w:jc w:val="center"/>
        <w:rPr>
          <w:rFonts w:ascii="Open Sans" w:hAnsi="Open Sans" w:cs="Open Sans"/>
          <w:b/>
          <w:sz w:val="20"/>
          <w:szCs w:val="20"/>
        </w:rPr>
      </w:pPr>
    </w:p>
    <w:p w14:paraId="1FCE6788" w14:textId="77777777" w:rsidR="007359B0" w:rsidRPr="00CA2F5C" w:rsidRDefault="007359B0" w:rsidP="007359B0">
      <w:pPr>
        <w:jc w:val="center"/>
        <w:rPr>
          <w:rFonts w:ascii="Open Sans" w:hAnsi="Open Sans" w:cs="Open Sans"/>
          <w:b/>
          <w:sz w:val="20"/>
          <w:szCs w:val="20"/>
        </w:rPr>
      </w:pPr>
    </w:p>
    <w:p w14:paraId="4C6684C0" w14:textId="77777777" w:rsidR="007359B0" w:rsidRPr="00CA2F5C" w:rsidRDefault="007359B0" w:rsidP="007359B0">
      <w:pPr>
        <w:jc w:val="both"/>
        <w:rPr>
          <w:rFonts w:ascii="Open Sans" w:hAnsi="Open Sans" w:cs="Open Sans"/>
          <w:b/>
          <w:sz w:val="22"/>
          <w:szCs w:val="22"/>
        </w:rPr>
      </w:pPr>
      <w:r w:rsidRPr="00CA2F5C">
        <w:rPr>
          <w:rFonts w:ascii="Open Sans" w:hAnsi="Open Sans" w:cs="Open Sans"/>
          <w:b/>
          <w:sz w:val="22"/>
          <w:szCs w:val="22"/>
          <w:u w:val="single"/>
        </w:rPr>
        <w:t>3. Contexto general</w:t>
      </w:r>
    </w:p>
    <w:p w14:paraId="13FFAA5F" w14:textId="77777777" w:rsidR="007359B0" w:rsidRPr="00CA2F5C" w:rsidRDefault="007359B0" w:rsidP="007359B0">
      <w:pPr>
        <w:jc w:val="both"/>
        <w:rPr>
          <w:rFonts w:ascii="Open Sans" w:hAnsi="Open Sans" w:cs="Open Sans"/>
          <w:b/>
          <w:sz w:val="20"/>
          <w:szCs w:val="20"/>
        </w:rPr>
      </w:pPr>
    </w:p>
    <w:p w14:paraId="5237B236"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ACS  cuenta con una capitalización a diciembre de 2015 de 8.501 millones de euros con una caída de las acciones de 6,75% durante el ejercicio. Ha obtenido unos ingresos durante el periodo analizado de 34.924,7 millones de euros. La división Construcción aporta el 72% de los ingresos del Grupo, Servicios industriales un 19% y Medioambiente el 9%. El mercado internacional aporta el 83% de los ingresos del Grupo.  Dentro del mercado internacional, el que mantienen con países OCDE y UE supone el 81%, y un 19% con el resto de países.</w:t>
      </w:r>
    </w:p>
    <w:p w14:paraId="3DBCA832" w14:textId="77777777" w:rsidR="007359B0" w:rsidRPr="00CA2F5C" w:rsidRDefault="007359B0" w:rsidP="007359B0">
      <w:pPr>
        <w:autoSpaceDE w:val="0"/>
        <w:autoSpaceDN w:val="0"/>
        <w:adjustRightInd w:val="0"/>
        <w:jc w:val="both"/>
        <w:rPr>
          <w:rFonts w:ascii="Open Sans" w:hAnsi="Open Sans" w:cs="Open Sans"/>
          <w:sz w:val="20"/>
          <w:szCs w:val="20"/>
        </w:rPr>
      </w:pPr>
    </w:p>
    <w:p w14:paraId="098D5332" w14:textId="77777777" w:rsidR="007359B0" w:rsidRPr="00CA2F5C" w:rsidRDefault="007359B0" w:rsidP="007359B0">
      <w:pPr>
        <w:autoSpaceDE w:val="0"/>
        <w:autoSpaceDN w:val="0"/>
        <w:adjustRightInd w:val="0"/>
        <w:jc w:val="both"/>
        <w:rPr>
          <w:rFonts w:ascii="Open Sans" w:hAnsi="Open Sans"/>
          <w:color w:val="333333"/>
          <w:sz w:val="26"/>
          <w:szCs w:val="26"/>
          <w:shd w:val="clear" w:color="auto" w:fill="FFFFFF"/>
        </w:rPr>
      </w:pPr>
      <w:r w:rsidRPr="00CA2F5C">
        <w:rPr>
          <w:rFonts w:ascii="Open Sans" w:hAnsi="Open Sans" w:cs="Open Sans"/>
          <w:sz w:val="20"/>
          <w:szCs w:val="20"/>
        </w:rPr>
        <w:t>ACS ha diversificado durante los últimos 10 años su actividad ganando terreno su negocio internacional frente a su negocio nacional. Esta diversificación se ha intensificado desde la crisis en España en donde la contratación pública de obra civil quedó significativamente reducida. La conquista del exterior de ACS, concretamente del mercado estadounidense, ha tenido un coste que se traduce en un fuerte endeudamiento. De acuerdo con el New York Times en 2012 más del 50% de la deuda de ACS estaba vinculada con este esfuerzo de diversificación</w:t>
      </w:r>
      <w:r w:rsidRPr="00CA2F5C">
        <w:rPr>
          <w:rStyle w:val="Refdenotaalpie"/>
          <w:rFonts w:ascii="Open Sans" w:hAnsi="Open Sans" w:cs="Open Sans"/>
          <w:sz w:val="20"/>
          <w:szCs w:val="20"/>
          <w:shd w:val="clear" w:color="auto" w:fill="FFFFFF"/>
        </w:rPr>
        <w:footnoteReference w:id="279"/>
      </w:r>
      <w:r w:rsidRPr="00CA2F5C">
        <w:rPr>
          <w:rFonts w:ascii="Open Sans" w:hAnsi="Open Sans"/>
          <w:color w:val="333333"/>
          <w:sz w:val="26"/>
          <w:szCs w:val="26"/>
          <w:shd w:val="clear" w:color="auto" w:fill="FFFFFF"/>
        </w:rPr>
        <w:t xml:space="preserve">. </w:t>
      </w:r>
    </w:p>
    <w:p w14:paraId="0DBD4E27" w14:textId="77777777" w:rsidR="007359B0" w:rsidRPr="00CA2F5C" w:rsidRDefault="007359B0" w:rsidP="007359B0">
      <w:pPr>
        <w:autoSpaceDE w:val="0"/>
        <w:autoSpaceDN w:val="0"/>
        <w:adjustRightInd w:val="0"/>
        <w:jc w:val="both"/>
        <w:rPr>
          <w:rFonts w:ascii="Open Sans" w:hAnsi="Open Sans" w:cs="Open Sans"/>
          <w:sz w:val="20"/>
          <w:szCs w:val="20"/>
        </w:rPr>
      </w:pPr>
    </w:p>
    <w:p w14:paraId="326BEF5B"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A 31 de diciembre de 2015, el Grupo ACS tiene un saldo de obligaciones y bonos emitidos por importe de 2.815.259 miles de euros no corrientes y 1.028.431 miles de euros corrientes (2.928.519 miles de euros no corrientes y 760.847 miles de euros corrientes respectivamente a 31 de diciembre de 2014) procedentes principalmente de Cimic, Hochtief y ACS. Hay diversas emisiones que cotizan en la bolsa de Irlanda.  Una emisión de bonos sin calificación crediticia por importe de 500 millones de euros con vencimiento en 2019 y con cupón del 2,625% anual. Esta emisión cotiza en la Bolsa de Luxemburgo y en todas las bolsas alemanas. La emisión realizada por ACS Actividades Finance 2 B.V. por un importe vivo a 31 de diciembre de 2015 de 235.300 miles de euros. La emisión realizada por ACS Actividades Finance B.V. por un importe vivo a 31 de diciembre de 2015 de 297.600 miles de euros. Ambas sociedades están domiciliadas en Holanda.</w:t>
      </w:r>
    </w:p>
    <w:p w14:paraId="71CA50F2" w14:textId="77777777" w:rsidR="007359B0" w:rsidRPr="00CA2F5C" w:rsidRDefault="007359B0" w:rsidP="007359B0">
      <w:pPr>
        <w:autoSpaceDE w:val="0"/>
        <w:autoSpaceDN w:val="0"/>
        <w:adjustRightInd w:val="0"/>
        <w:jc w:val="both"/>
        <w:rPr>
          <w:rFonts w:ascii="Open Sans" w:hAnsi="Open Sans" w:cs="Open Sans"/>
          <w:sz w:val="20"/>
          <w:szCs w:val="20"/>
        </w:rPr>
      </w:pPr>
    </w:p>
    <w:p w14:paraId="79903A6A"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La evasión fiscal en la industria de la construcción se manifiesta como un problema significativo en diversos países. En México y Ecuador de acuerdo con diversos estudios las tasas de evasión en el sector de la construcción  superan el 50%</w:t>
      </w:r>
      <w:r w:rsidRPr="00CA2F5C">
        <w:rPr>
          <w:rStyle w:val="Refdenotaalpie"/>
          <w:rFonts w:ascii="Open Sans" w:hAnsi="Open Sans" w:cs="Open Sans"/>
          <w:sz w:val="20"/>
          <w:szCs w:val="20"/>
        </w:rPr>
        <w:footnoteReference w:id="280"/>
      </w:r>
      <w:r w:rsidRPr="00CA2F5C">
        <w:rPr>
          <w:rFonts w:ascii="Open Sans" w:hAnsi="Open Sans" w:cs="Open Sans"/>
          <w:sz w:val="20"/>
          <w:szCs w:val="20"/>
        </w:rPr>
        <w:t>. La agencia tributaria española señala al sector de la construcción como uno de los sectores clave en el fraude y evasión fiscal transfronteriza</w:t>
      </w:r>
      <w:r w:rsidRPr="00CA2F5C">
        <w:rPr>
          <w:rStyle w:val="Refdenotaalpie"/>
          <w:rFonts w:ascii="Open Sans" w:hAnsi="Open Sans" w:cs="Open Sans"/>
          <w:sz w:val="20"/>
          <w:szCs w:val="20"/>
        </w:rPr>
        <w:footnoteReference w:id="281"/>
      </w:r>
      <w:r w:rsidRPr="00CA2F5C">
        <w:rPr>
          <w:rFonts w:ascii="Open Sans" w:hAnsi="Open Sans" w:cs="Open Sans"/>
          <w:sz w:val="20"/>
          <w:szCs w:val="20"/>
        </w:rPr>
        <w:t xml:space="preserve">. </w:t>
      </w:r>
    </w:p>
    <w:p w14:paraId="2D1DE0EE" w14:textId="77777777" w:rsidR="007359B0" w:rsidRPr="00CA2F5C" w:rsidRDefault="007359B0" w:rsidP="007359B0">
      <w:pPr>
        <w:autoSpaceDE w:val="0"/>
        <w:autoSpaceDN w:val="0"/>
        <w:adjustRightInd w:val="0"/>
        <w:jc w:val="both"/>
        <w:rPr>
          <w:rFonts w:ascii="Open Sans" w:hAnsi="Open Sans" w:cs="Open Sans"/>
          <w:sz w:val="20"/>
          <w:szCs w:val="20"/>
        </w:rPr>
      </w:pPr>
    </w:p>
    <w:p w14:paraId="6E4ADE01"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El sector de la construcción ligado a obra civil tiene una íntima relación con la Administración Pública lo que implica una exposición de riesgo elevado en materia de corrupción. ACS mantiene un fuerte volumen de contratación con diversas Administraciones Públicas, a través de adjudicación de obra civil, concesiones y prestación de servicios. ACS es una de las principales beneficiaria de contratos con la Administración Pública</w:t>
      </w:r>
      <w:r w:rsidRPr="00CA2F5C">
        <w:rPr>
          <w:rFonts w:ascii="Open Sans" w:hAnsi="Open Sans" w:cs="Open Sans"/>
          <w:sz w:val="20"/>
          <w:szCs w:val="20"/>
          <w:vertAlign w:val="superscript"/>
        </w:rPr>
        <w:footnoteReference w:id="282"/>
      </w:r>
      <w:r w:rsidRPr="00CA2F5C">
        <w:rPr>
          <w:rFonts w:ascii="Open Sans" w:hAnsi="Open Sans" w:cs="Open Sans"/>
          <w:sz w:val="20"/>
          <w:szCs w:val="20"/>
        </w:rPr>
        <w:t xml:space="preserve"> española y opera en países con elevado riesgo de corrupción de acuerdo con el Índice de percepción de la corrupción de Transparencia Internacional como Venezuela, China, India, Argelia, Angola, Marruecos, Gabón, Sudáfrica, México, Guatemala, Honduras, Ecuador, Nicaragua, Argentina, República Dominicana y El Salvador, entre otros</w:t>
      </w:r>
      <w:r w:rsidRPr="00CA2F5C">
        <w:rPr>
          <w:rStyle w:val="Refdenotaalpie"/>
          <w:rFonts w:ascii="Open Sans" w:hAnsi="Open Sans" w:cs="Open Sans"/>
          <w:sz w:val="20"/>
          <w:szCs w:val="20"/>
        </w:rPr>
        <w:footnoteReference w:id="283"/>
      </w:r>
      <w:r w:rsidRPr="00CA2F5C">
        <w:rPr>
          <w:rFonts w:ascii="Open Sans" w:hAnsi="Open Sans" w:cs="Open Sans"/>
          <w:sz w:val="20"/>
          <w:szCs w:val="20"/>
        </w:rPr>
        <w:t>.</w:t>
      </w:r>
    </w:p>
    <w:p w14:paraId="4933BA82" w14:textId="77777777" w:rsidR="007359B0" w:rsidRPr="00CA2F5C" w:rsidRDefault="007359B0" w:rsidP="007359B0">
      <w:pPr>
        <w:autoSpaceDE w:val="0"/>
        <w:autoSpaceDN w:val="0"/>
        <w:adjustRightInd w:val="0"/>
        <w:jc w:val="both"/>
        <w:rPr>
          <w:rFonts w:ascii="Open Sans" w:hAnsi="Open Sans" w:cs="Open Sans"/>
          <w:sz w:val="20"/>
          <w:szCs w:val="20"/>
        </w:rPr>
      </w:pPr>
    </w:p>
    <w:p w14:paraId="6086E7AA"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El sector inmobiliario agrupa un conjunto de actividades de promoción y explotación de bienes inmuebles en las que intervienen diversos agentes en distintas etapas.  De acuerdo con la agencia tributaria el fraude inmobiliario tiene carácter estructural</w:t>
      </w:r>
      <w:r w:rsidRPr="00CA2F5C">
        <w:rPr>
          <w:rStyle w:val="Refdenotaalpie"/>
          <w:rFonts w:ascii="Open Sans" w:hAnsi="Open Sans" w:cs="Open Sans"/>
          <w:sz w:val="20"/>
          <w:szCs w:val="20"/>
        </w:rPr>
        <w:footnoteReference w:id="284"/>
      </w:r>
      <w:r w:rsidRPr="00CA2F5C">
        <w:rPr>
          <w:rFonts w:ascii="Open Sans" w:hAnsi="Open Sans" w:cs="Open Sans"/>
          <w:sz w:val="20"/>
          <w:szCs w:val="20"/>
        </w:rPr>
        <w:t xml:space="preserve">. En el sector inmobiliario las tipologías de fraude más habituales consisten en la ocultación de la titularidad de los bienes o de la intervención del operador económico en el proceso urbanístico, la declaración de transmisiones por valores inferiores a los reales. Se trata de un sector idóneo para blanquear dinero oculto a la hacienda pública y por otro lado es propicio a generar dinero negro por la ocultación de las ganancias reales. </w:t>
      </w:r>
    </w:p>
    <w:p w14:paraId="327247D0" w14:textId="77777777" w:rsidR="007359B0" w:rsidRPr="00CA2F5C" w:rsidRDefault="007359B0" w:rsidP="007359B0">
      <w:pPr>
        <w:autoSpaceDE w:val="0"/>
        <w:autoSpaceDN w:val="0"/>
        <w:adjustRightInd w:val="0"/>
        <w:rPr>
          <w:rFonts w:ascii="Open Sans" w:hAnsi="Open Sans" w:cs="Open Sans"/>
          <w:sz w:val="20"/>
          <w:szCs w:val="20"/>
        </w:rPr>
      </w:pPr>
    </w:p>
    <w:p w14:paraId="6539D558"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ACS asume un compromiso explícito con la sostenibilidad. Cuenta con una estrategia de responsabilidad social corporativa (RSC) y una política de RSC. Esta política tiene fecha de aprobación de 2016 y aunque menciona la fiscalidad y asume el “compromiso del Grupo con la normativa fiscal vigente en cada país” no puede tenerse en cuenta en este análisis que está referido a 2015.</w:t>
      </w:r>
      <w:r w:rsidRPr="00CA2F5C">
        <w:rPr>
          <w:rFonts w:ascii="Open Sans" w:hAnsi="Open Sans"/>
        </w:rPr>
        <w:t xml:space="preserve"> </w:t>
      </w:r>
      <w:r w:rsidRPr="00CA2F5C">
        <w:rPr>
          <w:rFonts w:ascii="Open Sans" w:hAnsi="Open Sans" w:cs="Open Sans"/>
          <w:sz w:val="20"/>
          <w:szCs w:val="20"/>
        </w:rPr>
        <w:t xml:space="preserve"> En el código de conducta en el apartado dedicado a integridad dedica un párrafo a la responsabilidad fiscal del grupo. </w:t>
      </w:r>
    </w:p>
    <w:p w14:paraId="76BA888D" w14:textId="77777777" w:rsidR="007359B0" w:rsidRPr="00CA2F5C" w:rsidRDefault="007359B0" w:rsidP="007359B0">
      <w:pPr>
        <w:jc w:val="both"/>
        <w:rPr>
          <w:rFonts w:ascii="Open Sans" w:hAnsi="Open Sans" w:cs="Open Sans"/>
          <w:sz w:val="20"/>
          <w:szCs w:val="20"/>
        </w:rPr>
      </w:pPr>
    </w:p>
    <w:p w14:paraId="6D158587"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ACS cuenta con presencia en el índice de sostenibilidad Dow Jones Sustainability. 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CA2F5C">
        <w:rPr>
          <w:rStyle w:val="Refdenotaalpie"/>
          <w:rFonts w:ascii="Open Sans" w:hAnsi="Open Sans" w:cs="Open Sans"/>
          <w:sz w:val="20"/>
          <w:szCs w:val="20"/>
        </w:rPr>
        <w:footnoteReference w:id="285"/>
      </w:r>
    </w:p>
    <w:p w14:paraId="6DB07311" w14:textId="77777777" w:rsidR="007359B0" w:rsidRPr="00CA2F5C" w:rsidRDefault="007359B0" w:rsidP="007359B0">
      <w:pPr>
        <w:jc w:val="both"/>
        <w:rPr>
          <w:rFonts w:ascii="Open Sans" w:hAnsi="Open Sans" w:cs="Open Sans"/>
          <w:sz w:val="20"/>
          <w:szCs w:val="20"/>
        </w:rPr>
      </w:pPr>
    </w:p>
    <w:p w14:paraId="253B4A17" w14:textId="77777777" w:rsidR="007359B0" w:rsidRPr="00CA2F5C" w:rsidRDefault="007359B0" w:rsidP="007359B0">
      <w:pPr>
        <w:jc w:val="both"/>
        <w:rPr>
          <w:rFonts w:ascii="Open Sans" w:hAnsi="Open Sans" w:cs="Open Sans"/>
          <w:sz w:val="20"/>
          <w:szCs w:val="20"/>
        </w:rPr>
      </w:pPr>
    </w:p>
    <w:p w14:paraId="6E961205" w14:textId="77777777" w:rsidR="007359B0" w:rsidRPr="00CA2F5C" w:rsidRDefault="007359B0" w:rsidP="007359B0">
      <w:pPr>
        <w:jc w:val="both"/>
        <w:rPr>
          <w:rFonts w:ascii="Open Sans" w:hAnsi="Open Sans" w:cs="Open Sans"/>
          <w:b/>
          <w:sz w:val="22"/>
          <w:szCs w:val="22"/>
          <w:u w:val="single"/>
        </w:rPr>
      </w:pPr>
      <w:r w:rsidRPr="00CA2F5C">
        <w:rPr>
          <w:rFonts w:ascii="Open Sans" w:hAnsi="Open Sans" w:cs="Open Sans"/>
          <w:b/>
          <w:sz w:val="22"/>
          <w:szCs w:val="22"/>
          <w:u w:val="single"/>
        </w:rPr>
        <w:t>4. Análisis</w:t>
      </w:r>
    </w:p>
    <w:p w14:paraId="0E3E3677" w14:textId="77777777" w:rsidR="007359B0" w:rsidRPr="00CA2F5C" w:rsidRDefault="007359B0" w:rsidP="007359B0">
      <w:pPr>
        <w:jc w:val="both"/>
        <w:rPr>
          <w:rFonts w:ascii="Open Sans" w:hAnsi="Open Sans" w:cs="Open Sans"/>
          <w:b/>
          <w:sz w:val="20"/>
          <w:szCs w:val="20"/>
        </w:rPr>
      </w:pPr>
    </w:p>
    <w:p w14:paraId="03BC3565"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66592613" w14:textId="77777777" w:rsidR="007359B0" w:rsidRPr="00CA2F5C" w:rsidRDefault="007359B0" w:rsidP="007359B0">
      <w:pPr>
        <w:jc w:val="both"/>
        <w:rPr>
          <w:rFonts w:ascii="Open Sans" w:hAnsi="Open Sans" w:cs="Open Sans"/>
          <w:sz w:val="20"/>
          <w:szCs w:val="20"/>
        </w:rPr>
      </w:pPr>
    </w:p>
    <w:p w14:paraId="0516A490"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Con respecto a la presencia territorial de ACS, el grupo cuenta con 151 sociedades domiciliadas en países y territorios considerados paraíso (15) o nicho fiscal (136) de acuerdo con la metodología del Observatorio de RSC. La presencia de empresas internacionales en territorios considerados paraísos o nichos fiscales no es en sí misma ilegal, pero podría representar, si se utilizan para desempeñar estrategias de elusión fiscal, una contradicción con los valores y compromisos asumidos por la empresa en materia de RSC, en especial en lo relativo a la contribución económica y social a los países donde opera y obtiene sus beneficios. ACS ofrece en su web un directorio con información de contacto y direcciones de su sede corporativa y sus tres  líneas de negocio principales: Construcción, Servicios Industriales y Medioambiente. La información que facilita en su web corresponde a 34 empresas, entre ellas Dragados, Hochtief, Iridium, CIMIC y grupo Cobra. No obstante, en el anexo de las cuentas anuales hay numerosas sociedades de las que sólo se ofrece información relativa a domicilio social, no pudiendo acceder a un listado exhaustivo con información relevante sobre sus actividades. </w:t>
      </w:r>
    </w:p>
    <w:p w14:paraId="50B3CCE0" w14:textId="77777777" w:rsidR="007359B0" w:rsidRPr="00CA2F5C" w:rsidRDefault="007359B0" w:rsidP="007359B0">
      <w:pPr>
        <w:jc w:val="both"/>
        <w:rPr>
          <w:rFonts w:ascii="Open Sans" w:hAnsi="Open Sans" w:cs="Open Sans"/>
          <w:sz w:val="20"/>
          <w:szCs w:val="20"/>
        </w:rPr>
      </w:pPr>
    </w:p>
    <w:p w14:paraId="1CC79FCB"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Pese a que ACS  en su Código de Conducta aprobado en 2015 afirma que “</w:t>
      </w:r>
      <w:r w:rsidRPr="00CA2F5C">
        <w:rPr>
          <w:rFonts w:ascii="Open Sans" w:eastAsia="Calibri" w:hAnsi="Open Sans" w:cs="KlavikaBasic-Light"/>
          <w:i/>
          <w:sz w:val="20"/>
          <w:szCs w:val="20"/>
        </w:rPr>
        <w:t>se compromete a cumplir la normativa fiscal vigente en cada país o territorio donde está presente, evitando la ocultación de información relevante, la elusión ilegal del pago de impuestos o la obtención de beneficios fiscales indebidos</w:t>
      </w:r>
      <w:r w:rsidRPr="00CA2F5C">
        <w:rPr>
          <w:rFonts w:ascii="Open Sans" w:hAnsi="Open Sans" w:cs="Open Sans"/>
          <w:sz w:val="20"/>
          <w:szCs w:val="20"/>
        </w:rPr>
        <w:t>”,  no aporta información sobre las actividades de compañía  en paraísos y nichos fiscales ni en la Memoria de Sostenibilidad ni en ningún otro documento de los analizados. A pesar de las limitaciones sobre la información en materia fiscal, en función de la información aportada en el Anexo I de las Cuentas Anuales sobre sociedades dependientes, se considera que 105 sociedades ubicadas en paraísos o nichos fiscales ofrecen dudas en cuanto a que su actividad tenga que ver con la operativa propia de negocio ya que su actividad (financiera o instrumental), o su ubicación ofrecen dudas que no son susceptibles de resolver al no aportar la empresa mayor información. Este es el caso de Suiza, Islas Cayman,  Islas Mauricio, Bermudas, Uruguay y Gibraltar, en las que se ubican varias filiales (17) de ACS que pese a mencionar una actividad operativa sin embargo la empresa no declara en sus cuentas anuales y otras fuentes consultadas operaciones en estas circunscripciones. ACS afirma tener presencia en 60 países en 5 continentes y muestra su presencia en un mapa en su página Web. Ni en el mapa y ni en la relación  de países de la web de ACS se ha podido constatar que la empresa tenga presencia en estos territorios. Por otro lado hay sociedades que tienen mero carácter instrumental o financiero (ver por ejemplo varias de las sociedades ubicadas en Holanda) o que gestionan operaciones en terceros países (ver por ejemplo Delaware y algunas participadas en Singapur):</w:t>
      </w:r>
    </w:p>
    <w:p w14:paraId="3149F03C" w14:textId="77777777" w:rsidR="007359B0" w:rsidRPr="00CA2F5C" w:rsidRDefault="007359B0" w:rsidP="007359B0">
      <w:pPr>
        <w:jc w:val="both"/>
        <w:rPr>
          <w:rFonts w:ascii="Open Sans" w:hAnsi="Open Sans" w:cs="Open Sans"/>
          <w:sz w:val="20"/>
          <w:szCs w:val="20"/>
        </w:rPr>
      </w:pPr>
    </w:p>
    <w:p w14:paraId="7C91FE31" w14:textId="77777777" w:rsidR="007359B0" w:rsidRPr="00CA2F5C" w:rsidRDefault="007359B0" w:rsidP="007359B0">
      <w:pPr>
        <w:jc w:val="both"/>
        <w:rPr>
          <w:rFonts w:ascii="Open Sans" w:hAnsi="Open Sans" w:cs="Open Sans"/>
          <w:sz w:val="20"/>
          <w:szCs w:val="20"/>
        </w:rPr>
      </w:pPr>
    </w:p>
    <w:tbl>
      <w:tblPr>
        <w:tblW w:w="5000" w:type="pct"/>
        <w:tblLayout w:type="fixed"/>
        <w:tblCellMar>
          <w:left w:w="70" w:type="dxa"/>
          <w:right w:w="70" w:type="dxa"/>
        </w:tblCellMar>
        <w:tblLook w:val="04A0" w:firstRow="1" w:lastRow="0" w:firstColumn="1" w:lastColumn="0" w:noHBand="0" w:noVBand="1"/>
      </w:tblPr>
      <w:tblGrid>
        <w:gridCol w:w="3775"/>
        <w:gridCol w:w="2104"/>
        <w:gridCol w:w="2759"/>
      </w:tblGrid>
      <w:tr w:rsidR="007359B0" w:rsidRPr="00CA2F5C" w14:paraId="5F551F47" w14:textId="77777777" w:rsidTr="006E3A41">
        <w:trPr>
          <w:trHeight w:val="416"/>
        </w:trPr>
        <w:tc>
          <w:tcPr>
            <w:tcW w:w="2185"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D19A2F" w14:textId="77777777" w:rsidR="007359B0" w:rsidRPr="00CA2F5C" w:rsidRDefault="007359B0" w:rsidP="006E3A41">
            <w:pPr>
              <w:jc w:val="center"/>
              <w:rPr>
                <w:rFonts w:ascii="Open Sans" w:hAnsi="Open Sans" w:cs="Open Sans"/>
                <w:b/>
                <w:bCs/>
                <w:color w:val="000000"/>
                <w:sz w:val="20"/>
                <w:szCs w:val="20"/>
              </w:rPr>
            </w:pPr>
            <w:r w:rsidRPr="00CA2F5C">
              <w:rPr>
                <w:rFonts w:ascii="Open Sans" w:hAnsi="Open Sans" w:cs="Open Sans"/>
                <w:b/>
                <w:bCs/>
                <w:color w:val="000000"/>
                <w:sz w:val="20"/>
                <w:szCs w:val="20"/>
              </w:rPr>
              <w:t>Nombre de la Sociedad</w:t>
            </w:r>
          </w:p>
        </w:tc>
        <w:tc>
          <w:tcPr>
            <w:tcW w:w="1218" w:type="pct"/>
            <w:tcBorders>
              <w:top w:val="single" w:sz="4" w:space="0" w:color="auto"/>
              <w:left w:val="nil"/>
              <w:bottom w:val="single" w:sz="4" w:space="0" w:color="auto"/>
              <w:right w:val="single" w:sz="4" w:space="0" w:color="auto"/>
            </w:tcBorders>
            <w:shd w:val="clear" w:color="000000" w:fill="D9D9D9"/>
            <w:noWrap/>
            <w:vAlign w:val="center"/>
            <w:hideMark/>
          </w:tcPr>
          <w:p w14:paraId="0F14C4A2" w14:textId="77777777" w:rsidR="007359B0" w:rsidRPr="00CA2F5C" w:rsidRDefault="007359B0" w:rsidP="006E3A41">
            <w:pPr>
              <w:jc w:val="center"/>
              <w:rPr>
                <w:rFonts w:ascii="Open Sans" w:hAnsi="Open Sans" w:cs="Open Sans"/>
                <w:b/>
                <w:bCs/>
                <w:color w:val="000000"/>
                <w:sz w:val="20"/>
                <w:szCs w:val="20"/>
              </w:rPr>
            </w:pPr>
            <w:r w:rsidRPr="00CA2F5C">
              <w:rPr>
                <w:rFonts w:ascii="Open Sans" w:hAnsi="Open Sans" w:cs="Open Sans"/>
                <w:b/>
                <w:bCs/>
                <w:color w:val="000000"/>
                <w:sz w:val="20"/>
                <w:szCs w:val="20"/>
              </w:rPr>
              <w:t>Jurisdicción</w:t>
            </w:r>
          </w:p>
        </w:tc>
        <w:tc>
          <w:tcPr>
            <w:tcW w:w="1597" w:type="pct"/>
            <w:tcBorders>
              <w:top w:val="single" w:sz="4" w:space="0" w:color="auto"/>
              <w:left w:val="nil"/>
              <w:bottom w:val="single" w:sz="4" w:space="0" w:color="auto"/>
              <w:right w:val="single" w:sz="4" w:space="0" w:color="auto"/>
            </w:tcBorders>
            <w:shd w:val="clear" w:color="000000" w:fill="D9D9D9"/>
            <w:noWrap/>
            <w:vAlign w:val="center"/>
            <w:hideMark/>
          </w:tcPr>
          <w:p w14:paraId="2AC8403D" w14:textId="77777777" w:rsidR="007359B0" w:rsidRPr="00CA2F5C" w:rsidRDefault="007359B0" w:rsidP="006E3A41">
            <w:pPr>
              <w:jc w:val="center"/>
              <w:rPr>
                <w:rFonts w:ascii="Open Sans" w:hAnsi="Open Sans" w:cs="Open Sans"/>
                <w:b/>
                <w:bCs/>
                <w:color w:val="000000"/>
                <w:sz w:val="20"/>
                <w:szCs w:val="20"/>
              </w:rPr>
            </w:pPr>
            <w:r w:rsidRPr="00CA2F5C">
              <w:rPr>
                <w:rFonts w:ascii="Open Sans" w:hAnsi="Open Sans" w:cs="Open Sans"/>
                <w:b/>
                <w:bCs/>
                <w:color w:val="000000"/>
                <w:sz w:val="20"/>
                <w:szCs w:val="20"/>
              </w:rPr>
              <w:t>Actividad</w:t>
            </w:r>
          </w:p>
        </w:tc>
      </w:tr>
      <w:tr w:rsidR="007359B0" w:rsidRPr="00CA2F5C" w14:paraId="6344FF68" w14:textId="77777777" w:rsidTr="006E3A41">
        <w:trPr>
          <w:trHeight w:val="836"/>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DCCB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ACS Actividades Finance 2,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3C2A3B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D0EFE7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No detallado - CORPORATIVO</w:t>
            </w:r>
          </w:p>
        </w:tc>
      </w:tr>
      <w:tr w:rsidR="007359B0" w:rsidRPr="00CA2F5C" w14:paraId="582EB950" w14:textId="77777777" w:rsidTr="006E3A41">
        <w:trPr>
          <w:trHeight w:val="84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7335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ACS Actividades Finance,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44A56E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2F550E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No detallado - CORPORATIVO</w:t>
            </w:r>
          </w:p>
        </w:tc>
      </w:tr>
      <w:tr w:rsidR="007359B0" w:rsidRPr="00CA2F5C" w14:paraId="0E85F4D9" w14:textId="77777777" w:rsidTr="006E3A41">
        <w:trPr>
          <w:trHeight w:val="711"/>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881FC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ACS industrial Services,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8372C5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7AC0D4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157F70FB" w14:textId="77777777" w:rsidTr="006E3A41">
        <w:trPr>
          <w:trHeight w:val="693"/>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EE81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ACS Infrastructure Development,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AE9E01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945CAB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IRIDIUM (Concesiones)</w:t>
            </w:r>
          </w:p>
        </w:tc>
      </w:tr>
      <w:tr w:rsidR="007359B0" w:rsidRPr="00CA2F5C" w14:paraId="5C41ADF6" w14:textId="77777777" w:rsidTr="006E3A41">
        <w:trPr>
          <w:trHeight w:val="690"/>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E092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Actividades de Servicios e Instalaciones Cobra,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C50F67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Guatemala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90B943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 </w:t>
            </w:r>
          </w:p>
        </w:tc>
      </w:tr>
      <w:tr w:rsidR="007359B0" w:rsidRPr="00CA2F5C" w14:paraId="2C476552" w14:textId="77777777" w:rsidTr="006E3A41">
        <w:trPr>
          <w:trHeight w:val="855"/>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BA81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lang w:val="en-GB"/>
              </w:rPr>
              <w:t xml:space="preserve">Al Habtoor Engineering Enterprises Co. </w:t>
            </w:r>
            <w:r w:rsidRPr="00CA2F5C">
              <w:rPr>
                <w:rFonts w:ascii="Open Sans" w:hAnsi="Open Sans" w:cs="Open Sans"/>
                <w:bCs/>
                <w:color w:val="000000"/>
                <w:sz w:val="20"/>
                <w:szCs w:val="20"/>
              </w:rPr>
              <w:t>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02D09A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Emiratos Árabes Unidos</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AD8DA9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20DBD73A" w14:textId="77777777" w:rsidTr="006E3A41">
        <w:trPr>
          <w:trHeight w:val="839"/>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6BBA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Ausindo Holdings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F5AC13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7B39EB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7E395E37" w14:textId="77777777" w:rsidTr="006E3A41">
        <w:trPr>
          <w:trHeight w:val="554"/>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C874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Avante MPG1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33E023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CE7A88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55411E9F" w14:textId="77777777" w:rsidTr="006E3A41">
        <w:trPr>
          <w:trHeight w:val="420"/>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06B0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Avante MPG2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175C52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E184CA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3E5217B" w14:textId="77777777" w:rsidTr="006E3A41">
        <w:trPr>
          <w:trHeight w:val="626"/>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09AF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Beggen PropCo Sàrl</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F84FFF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C5BAC1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15C90181" w14:textId="77777777" w:rsidTr="006E3A41">
        <w:trPr>
          <w:trHeight w:val="705"/>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2379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Builders Direct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F5B4F6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D02216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4A7097C7" w14:textId="77777777" w:rsidTr="006E3A41">
        <w:trPr>
          <w:trHeight w:val="843"/>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B8076"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Builders Insurance Holdings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A8C1D7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C53159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63FD0447" w14:textId="77777777" w:rsidTr="006E3A41">
        <w:trPr>
          <w:trHeight w:val="558"/>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B773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Builders Reinsurance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79A907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FA40FB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68D04D3C" w14:textId="77777777" w:rsidTr="006E3A41">
        <w:trPr>
          <w:trHeight w:val="835"/>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9F53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Caribbean Operations,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9619F5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129B9F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177903A" w14:textId="77777777" w:rsidTr="006E3A41">
        <w:trPr>
          <w:trHeight w:val="833"/>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FF79A"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Celtic Roads Group (PortLaoise)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D3A8BA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A0BCB0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CONSTRUCCION - ORODIUM CONCESIONES</w:t>
            </w:r>
          </w:p>
        </w:tc>
      </w:tr>
      <w:tr w:rsidR="007359B0" w:rsidRPr="00CA2F5C" w14:paraId="274DA428" w14:textId="77777777" w:rsidTr="006E3A41">
        <w:trPr>
          <w:trHeight w:val="561"/>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4B0A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Cobra Energy Investment Finance,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A59B74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ED833F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4F9ABC50" w14:textId="77777777" w:rsidTr="006E3A41">
        <w:trPr>
          <w:trHeight w:val="836"/>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F52D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xml:space="preserve">Cobra Energy Investment, LLC. </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339164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018B9C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72263364" w14:textId="77777777" w:rsidTr="006E3A41">
        <w:trPr>
          <w:trHeight w:val="978"/>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7206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Cobra Gibraltar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3E3FB7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Gibraltar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C34016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3BBBF25B" w14:textId="77777777" w:rsidTr="006E3A41">
        <w:trPr>
          <w:trHeight w:val="850"/>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E6A0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Cobra Great Island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887761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FCB77B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5D0904CD" w14:textId="77777777" w:rsidTr="006E3A41">
        <w:trPr>
          <w:trHeight w:val="691"/>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D6F4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Cobra Industrial Services,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9B348B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DFA793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6E63FAA" w14:textId="77777777" w:rsidTr="006E3A41">
        <w:trPr>
          <w:trHeight w:val="701"/>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A13C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Cobra Ingeniería Uruguay,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3A6657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Uruguay</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18F060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47BAF820" w14:textId="77777777" w:rsidTr="006E3A41">
        <w:trPr>
          <w:trHeight w:val="414"/>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5146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Cobra Instalaciones y Servicios República Dominicana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B8D983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República Dominicana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215C1D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47099D7" w14:textId="77777777" w:rsidTr="006E3A41">
        <w:trPr>
          <w:trHeight w:val="492"/>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DD05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Conyblox Proprietary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4BEAF4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25866E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5FA406F8" w14:textId="77777777" w:rsidTr="006E3A41">
        <w:trPr>
          <w:trHeight w:val="784"/>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A927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Conyceto Pty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C62A6E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FA95EB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495D2540" w14:textId="77777777" w:rsidTr="006E3A41">
        <w:trPr>
          <w:trHeight w:val="851"/>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C4C8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Copernicus JV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700E19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7DB0BB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7AB5D2B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AE3D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Dankocom Pty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0B27B0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A278F6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6CEF2F4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617DF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DRACE INFRASTRUCTURES USA,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32A2B4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3CBCFC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76360E5F"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6A2B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Dragados Construc. Netherlands,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6CD4F8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D70A9F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455855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D24CF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DRAGADOS CONSTRUCTION USA,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8DEB24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2697FB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1820A8D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9501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Dragados Gulf Construction, Ltda.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4B2925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Arabia Saudita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1A5FE7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687DEB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F96EF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Dragados Ireland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72291B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43CAB6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CONSTRUCCION - DRAGADOS</w:t>
            </w:r>
          </w:p>
        </w:tc>
      </w:tr>
      <w:tr w:rsidR="007359B0" w:rsidRPr="00CA2F5C" w14:paraId="475B611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6EB1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Dragados USA,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E25B36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761A09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447DF11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A919E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Dragados Waterford Ireland,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D52BB1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9E0EA0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IRIDIUM (Concesiones)</w:t>
            </w:r>
          </w:p>
        </w:tc>
      </w:tr>
      <w:tr w:rsidR="007359B0" w:rsidRPr="00CA2F5C" w14:paraId="1AA3873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7F42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Drazigystix Pty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67D3C8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D86E24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7B8D0A3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76FD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ELECTREN USA,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CDA9F0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A13255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3B5AF2D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CDF15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EP Ute los coos</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3B07F2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República Dominicana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509FDD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5AEE048F"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24F7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Facilities Management Solutions,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E4F2E4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EAFD79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73999145"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1B9D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Firefly Investments 261</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6B3496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7145F5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1CA6C4D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7050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Flatiron Construction Corp.</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C385B8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91BDAD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EE6537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B47E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Flatiron Construction International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B63095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169477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1A40468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1C52B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Flatiron Constructors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A9E44E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4C6D0A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8062CB0"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D8B8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Flatiron Electric AL Group</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43F34A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7D4C13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1E76C4B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ED022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Flatiron Holding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2785E1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EBDB28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4854B1FD"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5EBA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Flatiron West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A0F89C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125F5D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6EAA64A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3D06E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Geocisa USA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43FD85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05C440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construcción-Dragados</w:t>
            </w:r>
          </w:p>
        </w:tc>
      </w:tr>
      <w:tr w:rsidR="007359B0" w:rsidRPr="00CA2F5C" w14:paraId="5D94680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4700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Giddens Investment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BA998A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452F52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121FCCD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67ECF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Green Construction Company</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AF9EB4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0C4348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4D62C03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193D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Grupo Cobra South Africa Proprietary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C90989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23B70C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3D57296F"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75A93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Grupo Maessa Saudi Arabia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CEA9B7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xml:space="preserve">Arabia Saudí </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F5C272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6490F7F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D638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Guatemala de Tráfico y Sistemas,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F4155C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Guatemala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885155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43AB90C2"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653A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de Cochea,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44487C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419FA7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35E06C8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D4C4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de Mendre,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FC4058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E15D02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7828E4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0152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de Pedregalito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728C6D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2613D8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4DF5752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92E0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del Alto,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D86D20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8332A9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A1B8CA2"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BA5D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del Chiriqui,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A36190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86BC96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12215F72"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EC62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Río Piedra,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C34422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BD9807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B71C6E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75D9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Hidráulica San José,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3AD9CF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66C151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2F82CF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88AEC"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Hochtief Development Schweiz Projekt 2 AG</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226550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Suiza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397D5F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27388A7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1B71B"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Hochtief PPP Solutions (Ireland)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F3A433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930FBC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Concesiones</w:t>
            </w:r>
          </w:p>
        </w:tc>
      </w:tr>
      <w:tr w:rsidR="007359B0" w:rsidRPr="00CA2F5C" w14:paraId="59897EE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24CA6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Hochtief PPP Solutions Netherlands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1759CB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80A2DB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3A25A5E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D6680F"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Hochtief PPP Solutions North America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E62B41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BA4538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Concesiones</w:t>
            </w:r>
          </w:p>
        </w:tc>
      </w:tr>
      <w:tr w:rsidR="007359B0" w:rsidRPr="00CA2F5C" w14:paraId="54188B55"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A87C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Presidio Holding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917B69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DC545E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4308497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62DD8"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Hochtief Solutions Saudi Arabia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E399BE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Arabia Saudita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31DA32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21FB3EB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7F6B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HT CONSTRUCTION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6C1583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26258F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E5DE71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2B80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Humiclima Caribe Cpor A.Higüey</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37B609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República Dominicana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F35CF4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24E64E3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7CA8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Humiclima Panamá,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5A08C9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B3E022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6A22215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373F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 595 Express,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694985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DA5BBC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IRIDIUM (Concesiones)</w:t>
            </w:r>
          </w:p>
        </w:tc>
      </w:tr>
      <w:tr w:rsidR="007359B0" w:rsidRPr="00CA2F5C" w14:paraId="4FB1615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65716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 595 ITS Solutions,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0BC46B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1F2EE6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IRIDIUM (Concesiones)</w:t>
            </w:r>
          </w:p>
        </w:tc>
      </w:tr>
      <w:tr w:rsidR="007359B0" w:rsidRPr="00CA2F5C" w14:paraId="06CFB4B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FA0E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Imesapi,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DFD233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33C2E7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26E59B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4CBBC"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Independent (Re)insurance Services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518E3C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6E74C7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8D4078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4701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Initec Energía Ireland,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3FCD51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587765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4BCB4C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0AB2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Instalaciones y Servicios Codepa,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B23592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620006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605CEA1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0211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Instalaciones y Servicios INSERPA,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6B15CC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D41CCD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Instalaciones y Servicios INSERPA, S.A.</w:t>
            </w:r>
          </w:p>
        </w:tc>
      </w:tr>
      <w:tr w:rsidR="007359B0" w:rsidRPr="00CA2F5C" w14:paraId="538B473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D49F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INTEGRATED TECHNICAL PRODUCTS,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25CAD1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868B24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33B31D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3826D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Iridium Portlaoise Ireland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2376E8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398427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IRIDIUM (Concesiones)</w:t>
            </w:r>
          </w:p>
        </w:tc>
      </w:tr>
      <w:tr w:rsidR="007359B0" w:rsidRPr="00CA2F5C" w14:paraId="0DA21B10"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2F43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Asia (China)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38EF0C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DB7576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3BE6DD2D"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4F135"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Asia (Hong Kong) Holdings (No. 2)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5D6412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78EC9F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5E4BC38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BFD619"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Asia Southern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485534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9D793B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4D1B7DB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8F44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Companies Management Group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5E0004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Emiratos Árabes Unidos</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D77EF1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 tief Asia Pacífico</w:t>
            </w:r>
          </w:p>
        </w:tc>
      </w:tr>
      <w:tr w:rsidR="007359B0" w:rsidRPr="00CA2F5C" w14:paraId="4821EC55"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3098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Contractors (Asia)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98192C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AE7C29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776C248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456E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Contractors (China)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237274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8EA813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1180946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31296"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Contractors (Indo-China)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8ACC48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6FD610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50E2482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8F54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Contractors (Philippines)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47571F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Filipinas</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8A0EE4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3F13AC7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F6CDB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Contractors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E3EE59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DFB5C6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6E0F9D6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CBFFA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Contractors Mauritius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D1CCE1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51B296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7932D63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705A2"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Engineering &amp; Construction (Singapore)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6400A1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1D0FAC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5765DEF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05E3C"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Foundation Engineering (Asia)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C3BF97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3DD2F2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28EB147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7FC6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International Holdings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B0BD91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Islas Cayman</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094D63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7C93AD9F"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7CBED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International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5B2455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Islas Cayman</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31B623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1317969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89E4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International Mauritius Holdings Limited No. 4</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65CEAD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5A9831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16CAF20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F8513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Investments Mauritius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351176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8FAC10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2B82949D"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4700F"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Investments Mauritius Limited No. 2</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F3B9DA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D1CF8D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395D3CD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C1C55"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Investments Mauritius Limited No. 4</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927C5C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5DBB93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2ED552A0"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F4A18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Joint Venture</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BE4CD0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39B108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1EE0E8E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CF803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M&amp;E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B76B1B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38DB83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0B34816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4A8EF"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Middle East and Africa (Holding)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BE1B4B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Islas Cayman</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CDD91E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7B8F9ED5"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4FE6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Africa (Mauricio)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FB0487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8D8430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2A2184B2"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D3BED"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Offshore Eclipse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F80D85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CF7D13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22EC232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C5B1B"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Offshore Faulkner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0700EB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5F1A8F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7FFC023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DB96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Offshore Mynx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18E98A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6824E1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17B8042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D8A5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Offshore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0E0F26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0C098F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26BECF6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44BA0"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Leighton Offshore Stealth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355EB7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237839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2BB008E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8779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 USA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87FE6E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DC9A44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5338DF6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2649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Leighton-LNS Joint Venture</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2E9CEC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EAFA42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1C618C2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05D72"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Leigthon Offshore / Leigthon Engineering &amp; Construction JV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56DBA2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D8A440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 Pacífico</w:t>
            </w:r>
          </w:p>
        </w:tc>
      </w:tr>
      <w:tr w:rsidR="007359B0" w:rsidRPr="00CA2F5C" w14:paraId="640A9A7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B71F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MASE Internacional, CRL</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A5EEAF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Puerto Rico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669CDD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6E2541A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43CD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MIDASCO,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A2DEE4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F19DC4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7B6E90A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468A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Mideast Construction Services,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F4099E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C5DF43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7935626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08374"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Newark Real Estate Holdings,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DAFCDE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C7A41A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construcción-Dragados</w:t>
            </w:r>
          </w:p>
        </w:tc>
      </w:tr>
      <w:tr w:rsidR="007359B0" w:rsidRPr="00CA2F5C" w14:paraId="4DE14259"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C24C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Offshore Services,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CEC357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CCC1F8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7D8DDD7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B29C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OMM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83F4C4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F5F13F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4092907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53BD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Opal Insurance (Singapore)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A85E12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D1B6F8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656F063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E14AE"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Project Development Poland 3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42C281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D09A0E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22082FD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DC08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Railways Infraestructures Instalac y Servicios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4DFA10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Arabia Saudí</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2318D5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585F4A5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20919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Semi Ingenieria, S.r.L</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F7E2E1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República Dominicana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6B9FE5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0B5BF62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3B37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SEMI Panamá,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AF8972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DCA779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60EB703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FF763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SEMIUR Montajes Industriales,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066BE0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Uruguay</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093CB5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5C5276A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CB1A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Semona, S.R.L.</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A77BB3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República Dominicana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E570B1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60766E6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FE9E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Logísticos y Auxiliares de Occidente,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BDDCE1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Guatemala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738FE0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 </w:t>
            </w:r>
          </w:p>
        </w:tc>
      </w:tr>
      <w:tr w:rsidR="007359B0" w:rsidRPr="00CA2F5C" w14:paraId="296F24C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75EB5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Sice South Africa Pty,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8D2297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Sudáfrica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18EAC2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719431F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3444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SICE,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4C045E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F4628B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421E647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4CDF5D"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Small Medium Enterprises Consulting,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921D38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1BC5BE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70F7121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00D6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Sociedad Industrial de Construcción Eléctricas,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40E234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Panamá</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D6BF08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06301508"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D7B7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Soduker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5F60A7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AFBBA8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66380B7F"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A37FA9"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Steinfort Multi-Asset Fund SICAV-SIF</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465799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3F6982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1739364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E069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Steinfort Propco Sàrl</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DEFA79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DFC684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078DDF5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E3E40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Taxway, S.A.</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9B0077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Uruguay</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11BEE3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SERVICIOS INDUSTRIALES</w:t>
            </w:r>
          </w:p>
        </w:tc>
      </w:tr>
      <w:tr w:rsidR="007359B0" w:rsidRPr="00CA2F5C" w14:paraId="2CBE3AC1"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CD02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TC Professional Services,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E8A956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592687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D36865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E0C752"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The Currituck Development Group,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24B5A0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FC96BB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IRIDIUM (Concesiones)</w:t>
            </w:r>
          </w:p>
        </w:tc>
      </w:tr>
      <w:tr w:rsidR="007359B0" w:rsidRPr="00CA2F5C" w14:paraId="31F549B0"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D1BF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The Lathrop Company,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AB784F6"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D74B94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6825AB0D"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18BDE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The Turner Corporation</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2392B8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6474B6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2E9B21A7"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007B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Thiess (Mauricio) Pty.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FD5945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Mauricio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FA957D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Asia-Pacífi co</w:t>
            </w:r>
          </w:p>
        </w:tc>
      </w:tr>
      <w:tr w:rsidR="007359B0" w:rsidRPr="00CA2F5C" w14:paraId="7545EB4D"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66E20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Tirpser B.V.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5F90E2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EA0436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Europa</w:t>
            </w:r>
          </w:p>
        </w:tc>
      </w:tr>
      <w:tr w:rsidR="007359B0" w:rsidRPr="00CA2F5C" w14:paraId="09AE685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0EDF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Tompkins Builders,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F962CD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F42331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2258435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5EF42"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Turner (East Asia) Pte.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A18710C"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6B5AA7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EFC017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BFA0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Caribe,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5F52E84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AA6E06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FA13CE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D0626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Cayman Ltd.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95D050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Islas Cayman</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095D88B"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A2E6EF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9BBF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Construction Company</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59DA57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BE2784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4DDCA1BB"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44576"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Turner Construction Company - Singapore (US)</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BC9952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7F6B2E5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5C6A7912"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567B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Development Corporation</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FD896B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31AF66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1E2826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38A3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Turner International (Hong Kong)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1CA68A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D1D8E2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7506E4A"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23B6E"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International Industries,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59ECEC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86F0CF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6483A4CE"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3E69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International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61D1592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Bermudas</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755755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41F5D7CF"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66BF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International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379E47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63E6001"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1670BD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650B0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International Pte.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265A5F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09C25E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100F91B4"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D6F9F"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Logistics, LLC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74F02785"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C291B7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3C8FE412"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56854"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Turner Support Services,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790325D"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1E8D71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B804CA6"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D5D2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Universal Construction Company,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225BA07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30280CD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Hochtief América</w:t>
            </w:r>
          </w:p>
        </w:tc>
      </w:tr>
      <w:tr w:rsidR="007359B0" w:rsidRPr="00CA2F5C" w14:paraId="07AB3B95"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0941EA"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URBASER,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2327E09"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619D27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MEDIO AMBIENTE</w:t>
            </w:r>
          </w:p>
        </w:tc>
      </w:tr>
      <w:tr w:rsidR="007359B0" w:rsidRPr="00CA2F5C" w14:paraId="69C57673"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9774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UTE DRAGADOS COBRA INITEC JV</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1F01C8D2"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Irlanda</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2281D49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r w:rsidR="007359B0" w:rsidRPr="00CA2F5C" w14:paraId="76ADD16D"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E1290"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Vias USA. Inc.</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EFAF0A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Delaware</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0BEF4EC7"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CONSTRUCCION - DRAGADOS</w:t>
            </w:r>
          </w:p>
        </w:tc>
      </w:tr>
      <w:tr w:rsidR="007359B0" w:rsidRPr="00CA2F5C" w14:paraId="381CE49C" w14:textId="77777777" w:rsidTr="006E3A41">
        <w:trPr>
          <w:trHeight w:val="73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483817" w14:textId="77777777" w:rsidR="007359B0" w:rsidRPr="00CA2F5C" w:rsidRDefault="007359B0" w:rsidP="006E3A41">
            <w:pPr>
              <w:rPr>
                <w:rFonts w:ascii="Open Sans" w:hAnsi="Open Sans" w:cs="Open Sans"/>
                <w:bCs/>
                <w:color w:val="000000"/>
                <w:sz w:val="20"/>
                <w:szCs w:val="20"/>
                <w:lang w:val="en-GB"/>
              </w:rPr>
            </w:pPr>
            <w:r w:rsidRPr="00CA2F5C">
              <w:rPr>
                <w:rFonts w:ascii="Open Sans" w:hAnsi="Open Sans" w:cs="Open Sans"/>
                <w:bCs/>
                <w:color w:val="000000"/>
                <w:sz w:val="20"/>
                <w:szCs w:val="20"/>
                <w:lang w:val="en-GB"/>
              </w:rPr>
              <w:t>Vintage Real Estate HoldCo Sàrl</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3E9C76A3"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Luxemburgo</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13803278" w14:textId="77777777" w:rsidR="007359B0" w:rsidRPr="00CA2F5C" w:rsidRDefault="007359B0" w:rsidP="006E3A41">
            <w:pPr>
              <w:rPr>
                <w:rFonts w:ascii="Open Sans" w:hAnsi="Open Sans" w:cs="Open Sans"/>
                <w:bCs/>
                <w:color w:val="000000"/>
                <w:sz w:val="20"/>
                <w:szCs w:val="20"/>
              </w:rPr>
            </w:pPr>
            <w:r w:rsidRPr="00CA2F5C">
              <w:rPr>
                <w:rFonts w:ascii="Open Sans" w:hAnsi="Open Sans" w:cs="Open Sans"/>
                <w:bCs/>
                <w:color w:val="000000"/>
                <w:sz w:val="20"/>
                <w:szCs w:val="20"/>
              </w:rPr>
              <w:t>CONSTRUCCIÓN - HOCHTIEF</w:t>
            </w:r>
          </w:p>
        </w:tc>
      </w:tr>
    </w:tbl>
    <w:p w14:paraId="477B054B" w14:textId="77777777" w:rsidR="007359B0" w:rsidRPr="00CA2F5C" w:rsidRDefault="007359B0" w:rsidP="007359B0">
      <w:pPr>
        <w:jc w:val="both"/>
        <w:rPr>
          <w:rFonts w:ascii="Open Sans" w:hAnsi="Open Sans" w:cs="Open Sans"/>
          <w:b/>
          <w:sz w:val="20"/>
          <w:szCs w:val="20"/>
        </w:rPr>
      </w:pPr>
    </w:p>
    <w:p w14:paraId="5586F92B" w14:textId="77777777" w:rsidR="007359B0" w:rsidRPr="00CA2F5C" w:rsidRDefault="007359B0" w:rsidP="007359B0">
      <w:pPr>
        <w:jc w:val="both"/>
        <w:rPr>
          <w:rFonts w:ascii="Open Sans" w:hAnsi="Open Sans" w:cs="Open Sans"/>
          <w:sz w:val="20"/>
          <w:szCs w:val="20"/>
        </w:rPr>
      </w:pPr>
    </w:p>
    <w:p w14:paraId="3611C82E"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En relación a EEUU existen filiales que tienen una doble dirección. Por un lado la que aparece en las cuentas anuales y por otro un domicilio en Delaware. Una mayor búsqueda a través de fuentes externas (bizipedia, opencorporates…), indican que se trata de filiales que aparecen al menos en dos domicilios, el de actividad y en Delaware, no teniendo aparentemente actividad operativa en este Estado.</w:t>
      </w:r>
    </w:p>
    <w:p w14:paraId="63395337" w14:textId="77777777" w:rsidR="007359B0" w:rsidRPr="00CA2F5C" w:rsidRDefault="007359B0" w:rsidP="007359B0">
      <w:pPr>
        <w:jc w:val="both"/>
        <w:rPr>
          <w:rFonts w:ascii="Open Sans" w:hAnsi="Open Sans" w:cs="Open Sans"/>
          <w:sz w:val="20"/>
          <w:szCs w:val="20"/>
        </w:rPr>
      </w:pPr>
    </w:p>
    <w:p w14:paraId="293A6243"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En Delaware se han identificado un total de 49 sociedades dependientes, 16 de las cuales comparten el domicilio de “2711 Centreville Road, Suite 400, Wilmington, Delaware 19808. </w:t>
      </w:r>
      <w:proofErr w:type="gramStart"/>
      <w:r w:rsidRPr="00CA2F5C">
        <w:rPr>
          <w:rFonts w:ascii="Open Sans" w:hAnsi="Open Sans" w:cs="Open Sans"/>
          <w:sz w:val="20"/>
          <w:szCs w:val="20"/>
          <w:lang w:val="en-GB"/>
        </w:rPr>
        <w:t>(EEUU)” y 28 en la dirección postal “Corporation Trust Company, Corporation Trust Center, 1209 Orange Street.Wilmington New Castle.</w:t>
      </w:r>
      <w:proofErr w:type="gramEnd"/>
      <w:r w:rsidRPr="00CA2F5C">
        <w:rPr>
          <w:rFonts w:ascii="Open Sans" w:hAnsi="Open Sans" w:cs="Open Sans"/>
          <w:sz w:val="20"/>
          <w:szCs w:val="20"/>
          <w:lang w:val="en-GB"/>
        </w:rPr>
        <w:t xml:space="preserve"> </w:t>
      </w:r>
      <w:r w:rsidRPr="00CA2F5C">
        <w:rPr>
          <w:rFonts w:ascii="Open Sans" w:hAnsi="Open Sans" w:cs="Open Sans"/>
          <w:sz w:val="20"/>
          <w:szCs w:val="20"/>
        </w:rPr>
        <w:t>Delaware 19801. Estados Unidos”. En este último domicilio de acuerdo con el New York Times hay domiciliadas más de 285.000 empresas</w:t>
      </w:r>
      <w:r w:rsidRPr="00CA2F5C">
        <w:rPr>
          <w:rStyle w:val="Refdenotaalpie"/>
          <w:rFonts w:ascii="Open Sans" w:hAnsi="Open Sans" w:cs="Open Sans"/>
          <w:sz w:val="20"/>
          <w:szCs w:val="20"/>
        </w:rPr>
        <w:footnoteReference w:id="286"/>
      </w:r>
      <w:r w:rsidRPr="00CA2F5C">
        <w:rPr>
          <w:rFonts w:ascii="Open Sans" w:hAnsi="Open Sans" w:cs="Open Sans"/>
          <w:sz w:val="20"/>
          <w:szCs w:val="20"/>
        </w:rPr>
        <w:t xml:space="preserve"> entre ellas Cocacola, Apple, Google, Bank of America, Ford, BBVA, Santander o General Electric.</w:t>
      </w:r>
    </w:p>
    <w:p w14:paraId="3FD872CA" w14:textId="77777777" w:rsidR="007359B0" w:rsidRPr="00CA2F5C" w:rsidRDefault="007359B0" w:rsidP="007359B0">
      <w:pPr>
        <w:jc w:val="both"/>
        <w:rPr>
          <w:rFonts w:ascii="Open Sans" w:hAnsi="Open Sans" w:cs="Open Sans"/>
          <w:sz w:val="20"/>
          <w:szCs w:val="20"/>
        </w:rPr>
      </w:pPr>
    </w:p>
    <w:p w14:paraId="6DB8900A"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De la información facilitada por ACS no es posible conocer la titularidad y dependencia, en caso de que la participación sea indirecta o no posea el 100% del capital, de las sociedades dependientes localizadas en nichos y paraísos fiscales, tampoco se tiene acceso al número de empleados vinculados con las mismas, facturación, beneficios e impuestos pagados. La empresa no detalla el número de trabajadores, directos e indirectos, adscritos a cada país, ni siquiera por regiones,  y para cada una de las sociedades. En su memoria de responsabilidad social del grupo solamente facilita información de los empleados del grupo sin ningún tipo de desglose.</w:t>
      </w:r>
    </w:p>
    <w:p w14:paraId="5C7AB59C" w14:textId="77777777" w:rsidR="007359B0" w:rsidRPr="00CA2F5C" w:rsidRDefault="007359B0" w:rsidP="007359B0">
      <w:pPr>
        <w:jc w:val="both"/>
        <w:rPr>
          <w:rFonts w:ascii="Open Sans" w:hAnsi="Open Sans" w:cs="Open Sans"/>
          <w:sz w:val="20"/>
          <w:szCs w:val="20"/>
        </w:rPr>
      </w:pPr>
    </w:p>
    <w:p w14:paraId="6A9603C0"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ACS menciona en el artículo 5 del reglamento del Consejo de Administración que “la creación o adquisición de participaciones de sociedades en países o territorios que tengan la consideración de paraísos fiscales”, sin embargo no se posiciona con respecto a qué considera paraíso fiscal, ni nicho fiscal. El uso cada vez más frecuente de los nichos fiscales es puesta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CA2F5C">
        <w:rPr>
          <w:rStyle w:val="Refdenotaalpie"/>
          <w:rFonts w:ascii="Open Sans" w:hAnsi="Open Sans" w:cs="Open Sans"/>
          <w:sz w:val="20"/>
          <w:szCs w:val="20"/>
        </w:rPr>
        <w:footnoteReference w:id="287"/>
      </w:r>
      <w:r w:rsidRPr="00CA2F5C">
        <w:rPr>
          <w:rFonts w:ascii="Open Sans" w:hAnsi="Open Sans" w:cs="Open Sans"/>
          <w:sz w:val="20"/>
          <w:szCs w:val="20"/>
        </w:rPr>
        <w:t>.</w:t>
      </w:r>
    </w:p>
    <w:p w14:paraId="181AD40A" w14:textId="77777777" w:rsidR="007359B0" w:rsidRPr="00CA2F5C" w:rsidRDefault="007359B0" w:rsidP="007359B0">
      <w:pPr>
        <w:jc w:val="both"/>
        <w:rPr>
          <w:rFonts w:ascii="Open Sans" w:hAnsi="Open Sans" w:cs="Open Sans"/>
          <w:sz w:val="20"/>
          <w:szCs w:val="20"/>
        </w:rPr>
      </w:pPr>
    </w:p>
    <w:p w14:paraId="58453DB3"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En relación a la existencia de política o estrategia fiscal, ACS menciona en su informe de buen gobierno que “el Consejo de Administración de ACS acordó, en sesión de 24 de marzo de 2015, la aprobación de la Política Fiscal Corporativa del Grupo ACS, donde se define la estrategia fiscal de la Sociedad y las líneas básicas de la gestión de riesgos fiscales, estableciéndose pautas concretas para definir lo que deben ser las buenas prácticas tributarias a seguir. Asimismo, existen procedimientos de control interno específicos de naturaleza fiscal, tanto en el nivel del grupo, como en el nivel de las áreas de negocio, desarrollando en este caso las líneas establecidas por ACS”. Sin embargo no se ha tenido acceso a la política fiscal. A la fecha de realización del presente informe no es pública. Tampoco se ha encontrado  en la información analizada qué considera ACS riesgo fiscal,  el  sistema de identificación de riesgos y el proceso de monitorización y mejora continua de la efectividad de los controles establecidos, en caso de que éstos existiesen. </w:t>
      </w:r>
    </w:p>
    <w:p w14:paraId="735CF376" w14:textId="77777777" w:rsidR="007359B0" w:rsidRPr="00CA2F5C" w:rsidRDefault="007359B0" w:rsidP="007359B0">
      <w:pPr>
        <w:jc w:val="both"/>
        <w:rPr>
          <w:rFonts w:ascii="Open Sans" w:hAnsi="Open Sans" w:cs="Open Sans"/>
          <w:sz w:val="20"/>
          <w:szCs w:val="20"/>
        </w:rPr>
      </w:pPr>
    </w:p>
    <w:p w14:paraId="4FF4E43C"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ACS dice textualmente en  la memoria de responsabilidad social 2015, que tanto “el Código de Conducta como en la Política de Responsabilidad Social Corporativa del Grupo ACS se incide en la Responsabilidad fiscal del Grupo, por el cual ACS se compromete a cumplir la normativa fiscal vigente en cada país o territorio donde está presente, evitando la ocultación de información relevante, la elusión ilegal del pago de impuestos o la obtención de beneficios fiscales indebidos. Igualmente, los empleados del Grupo colaborarán con las Administraciones Tributarias para proveer la información fiscal requerida de acuerdo con la legislación vigente”. Sin embargo la fiscalidad no es considerada un tema material para ACS de acuerdo con el análisis de materialidad al que se ha tenido acceso y en el ACS afirma haber realizado de acuerdo con la guía Global Reporting Iniciative (versión G4),  afirma haber hecho uso de una firma externa independiente para identificar los aspectos relevantes de sus negocios para sus grupos de interés y cita textualmente a clientes, empleados, proveedores, accionistas y usuarios de infraestructuras. Deja de lado sociedad, generaciones futuras o Administración Pública más allá de su condición como cliente</w:t>
      </w:r>
      <w:r w:rsidRPr="00CA2F5C">
        <w:rPr>
          <w:rStyle w:val="Refdenotaalpie"/>
          <w:rFonts w:ascii="Open Sans" w:hAnsi="Open Sans" w:cs="Open Sans"/>
          <w:sz w:val="20"/>
          <w:szCs w:val="20"/>
        </w:rPr>
        <w:footnoteReference w:id="288"/>
      </w:r>
      <w:r w:rsidRPr="00CA2F5C">
        <w:rPr>
          <w:rFonts w:ascii="Open Sans" w:hAnsi="Open Sans" w:cs="Open Sans"/>
          <w:sz w:val="20"/>
          <w:szCs w:val="20"/>
        </w:rPr>
        <w:t xml:space="preserve">. </w:t>
      </w:r>
    </w:p>
    <w:p w14:paraId="00E4C112" w14:textId="77777777" w:rsidR="007359B0" w:rsidRPr="00CA2F5C" w:rsidRDefault="007359B0" w:rsidP="007359B0">
      <w:pPr>
        <w:jc w:val="both"/>
        <w:rPr>
          <w:rFonts w:ascii="Open Sans" w:hAnsi="Open Sans" w:cs="Open Sans"/>
          <w:sz w:val="20"/>
          <w:szCs w:val="20"/>
        </w:rPr>
      </w:pPr>
    </w:p>
    <w:p w14:paraId="62CF78E6"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El Comité de Seguimiento del Código de Conducta ha establecido la regulación del sistema de denuncias internas, implantado en el Grupo ACS a través del Canal Ético. El sistema, pese a que  ACS afirma que garantiza la confidencialidad, obliga a que en las denuncias aparezca identificado el denunciante, cuestión que puede llegar a ser muy comprometedora en los casos en que la conducta ilícita sea conocida y consentida por parte de los administradores de la sociedad. Además los denunciantes deberán mantener una relación contractual, de carácter laboral o mercantil, con la empresa. Se desconoce si alguna de las 94 comunicaciones que ha habido durante 2015 alguna responde a temas fiscales.</w:t>
      </w:r>
    </w:p>
    <w:p w14:paraId="4C5DF396"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 </w:t>
      </w:r>
    </w:p>
    <w:p w14:paraId="4B56933D"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El Consejo de Administración acordó en diciembre de 2010 la adhesión de ACS al Código de Buenas Prácticas Tributarias desarrollado por la agencia tributaria.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w:t>
      </w:r>
      <w:r w:rsidRPr="00CA2F5C">
        <w:rPr>
          <w:rFonts w:ascii="Open Sans" w:hAnsi="Open Sans" w:cs="Open Sans"/>
          <w:i/>
          <w:iCs/>
          <w:sz w:val="20"/>
          <w:szCs w:val="20"/>
        </w:rPr>
        <w:t>offshore</w:t>
      </w:r>
      <w:r w:rsidRPr="00CA2F5C">
        <w:rPr>
          <w:rFonts w:ascii="Open Sans" w:hAnsi="Open Sans" w:cs="Open Sans"/>
          <w:sz w:val="20"/>
          <w:szCs w:val="20"/>
        </w:rPr>
        <w:t>, que favorecen la evasión fiscal.</w:t>
      </w:r>
    </w:p>
    <w:p w14:paraId="535B6B84" w14:textId="77777777" w:rsidR="007359B0" w:rsidRPr="00CA2F5C" w:rsidRDefault="007359B0" w:rsidP="007359B0">
      <w:pPr>
        <w:jc w:val="both"/>
        <w:rPr>
          <w:rFonts w:ascii="Open Sans" w:hAnsi="Open Sans" w:cs="Open Sans"/>
          <w:sz w:val="20"/>
          <w:szCs w:val="20"/>
        </w:rPr>
      </w:pPr>
    </w:p>
    <w:p w14:paraId="7538976B"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ACS no detalla su estructura societaria a través de participaciones directas e indirectas en aquellas sociedades con una participación superior al 5% del capital. De la información que aparecen en los anexos de las cuentas anuales se extrae que el grupo está confirmado por más de 1.250 sociedades entre dependientes, asociadas y Unión Temporal de Empresas. ACS considera entidades dependientes “aquéllas sobre las que el Grupo ACS tiene capacidad para ejercer control, es decir, de acuerdo con la NIIF 10, cuando tiene poder para dirigir sus actividades relevantes, está expuesto a rendimientos variables como consecuencia de su participación en la participada y tiene la capacidad de ejercer dicho poder para influir en sus propios rendimientos, directamente o a través de otras sociedades controladas a su vez por ella”. En los anexos de las cuentas anuales, la empresa ACS estructura las sociedades dependientes  en Corporación, Construcción-Dragados, Construcción- Iridium (concesiones), Construcción Hochtief, Hochtief América, Hochtief Asia Pacífico, Hochtief Europa, Servicios Industriales, Medioambiente,  UTES y empresas asociadas. Sería deseable conocer la estructura societaria del grupo: A través de qué empresas ACS es accionista sobre el resto de entidades dependientes. </w:t>
      </w:r>
    </w:p>
    <w:p w14:paraId="1715D65D" w14:textId="77777777" w:rsidR="007359B0" w:rsidRPr="00CA2F5C" w:rsidRDefault="007359B0" w:rsidP="007359B0">
      <w:pPr>
        <w:jc w:val="both"/>
        <w:rPr>
          <w:rFonts w:ascii="Open Sans" w:eastAsia="Calibri" w:hAnsi="Open Sans" w:cs="Open Sans"/>
          <w:sz w:val="20"/>
          <w:szCs w:val="20"/>
        </w:rPr>
      </w:pPr>
    </w:p>
    <w:p w14:paraId="3BCD763E" w14:textId="77777777" w:rsidR="007359B0" w:rsidRPr="00CA2F5C" w:rsidRDefault="007359B0" w:rsidP="007359B0">
      <w:pPr>
        <w:jc w:val="both"/>
        <w:rPr>
          <w:rFonts w:ascii="Open Sans" w:eastAsia="Calibri" w:hAnsi="Open Sans" w:cs="Open Sans"/>
          <w:sz w:val="20"/>
          <w:szCs w:val="20"/>
        </w:rPr>
      </w:pPr>
      <w:r w:rsidRPr="00CA2F5C">
        <w:rPr>
          <w:rFonts w:ascii="Open Sans" w:eastAsia="Calibri" w:hAnsi="Open Sans" w:cs="Open Sans"/>
          <w:sz w:val="20"/>
          <w:szCs w:val="20"/>
        </w:rPr>
        <w:t xml:space="preserve">En relación a operaciones intragrupo,  la empresa no presenta información detallada sobre las compras intragrupo, desde qué sociedades gestiona los derechos de marca y propiedad intelectual y condiciones asignadas a las mismas. Tener conocimiento de estas operaciones es fundamental para poder deducir si la empresa está operando a través de su estructura societaria para implementar estrategias de optimización fiscal. </w:t>
      </w:r>
    </w:p>
    <w:p w14:paraId="543DF4CD" w14:textId="77777777" w:rsidR="007359B0" w:rsidRPr="00CA2F5C" w:rsidRDefault="007359B0" w:rsidP="007359B0">
      <w:pPr>
        <w:jc w:val="both"/>
        <w:rPr>
          <w:rFonts w:ascii="Open Sans" w:eastAsia="Calibri" w:hAnsi="Open Sans" w:cs="Open Sans"/>
          <w:sz w:val="20"/>
          <w:szCs w:val="20"/>
        </w:rPr>
      </w:pPr>
    </w:p>
    <w:p w14:paraId="67E532DD" w14:textId="77777777" w:rsidR="007359B0" w:rsidRPr="00CA2F5C" w:rsidRDefault="007359B0" w:rsidP="007359B0">
      <w:pPr>
        <w:jc w:val="both"/>
        <w:rPr>
          <w:rFonts w:ascii="Open Sans" w:eastAsia="Calibri" w:hAnsi="Open Sans" w:cs="Open Sans"/>
          <w:sz w:val="20"/>
          <w:szCs w:val="20"/>
        </w:rPr>
      </w:pPr>
      <w:r w:rsidRPr="00CA2F5C">
        <w:rPr>
          <w:rFonts w:ascii="Open Sans" w:eastAsia="Calibri" w:hAnsi="Open Sans" w:cs="Open Sans"/>
          <w:sz w:val="20"/>
          <w:szCs w:val="20"/>
        </w:rPr>
        <w:t>ACS afirma en el informe económico del grupo que “Las sociedades del Grupo realizan todas sus operaciones con vinculadas a valor de mercado. Adicionalmente, los precios de transferencia se encuentran adecuadamente soportados, por lo que los Administradores de la Sociedad Dominante consideran que no existen riesgos significativos por este aspecto de los que puedan derivarse pasivos de consideración en el futuro”. No obstante, una información publicada por el diario El Confidencial, ACS y su socio del proyecto Castor, que tuvo un coste 1.350 millones de euros para el Estado, reclamaron quisieron “inflar los costes del cierre del almacén de gas de Castor a través de operaciones intragrupo. ACS reclamaba por concepto de margen de operaciones y mantenimiento </w:t>
      </w:r>
      <w:r w:rsidRPr="00CA2F5C">
        <w:rPr>
          <w:rFonts w:ascii="Open Sans" w:eastAsia="Calibri" w:hAnsi="Open Sans" w:cs="Open Sans"/>
          <w:bCs/>
          <w:sz w:val="20"/>
          <w:szCs w:val="20"/>
        </w:rPr>
        <w:t>el 10%</w:t>
      </w:r>
      <w:r w:rsidRPr="00CA2F5C">
        <w:rPr>
          <w:rFonts w:ascii="Open Sans" w:eastAsia="Calibri" w:hAnsi="Open Sans" w:cs="Open Sans"/>
          <w:sz w:val="20"/>
          <w:szCs w:val="20"/>
        </w:rPr>
        <w:t>. Pero como apunta el Ministerio, “no cabe reconocer costes inexistentes como son los márgenes intragrupo”. ACS y Dundee Energy explicaron que solo en los costes de operación y mantenimiento, el “beneficio industrial” obtenido por su contratista era del 10% ¿Y quién era ese contratista? Pues la </w:t>
      </w:r>
      <w:r w:rsidRPr="00CA2F5C">
        <w:rPr>
          <w:rFonts w:ascii="Open Sans" w:eastAsia="Calibri" w:hAnsi="Open Sans" w:cs="Open Sans"/>
          <w:bCs/>
          <w:sz w:val="20"/>
          <w:szCs w:val="20"/>
        </w:rPr>
        <w:t>UTE ACS-Cobra</w:t>
      </w:r>
      <w:r w:rsidRPr="00CA2F5C">
        <w:rPr>
          <w:rFonts w:ascii="Open Sans" w:eastAsia="Calibri" w:hAnsi="Open Sans" w:cs="Open Sans"/>
          <w:sz w:val="20"/>
          <w:szCs w:val="20"/>
        </w:rPr>
        <w:t>, propiedad de la propia ACS. De manera que ACS, a través de Escal, donde tenía el 66%, se contrataba a sí misma, a la UTE ACS-Cobra, y </w:t>
      </w:r>
      <w:r w:rsidRPr="00CA2F5C">
        <w:rPr>
          <w:rFonts w:ascii="Open Sans" w:eastAsia="Calibri" w:hAnsi="Open Sans" w:cs="Open Sans"/>
          <w:bCs/>
          <w:sz w:val="20"/>
          <w:szCs w:val="20"/>
        </w:rPr>
        <w:t>ganaba el 10% hiciera lo que hiciese, de acuerdo con la información aparecida en el diario EL Confidencial</w:t>
      </w:r>
      <w:r w:rsidRPr="00CA2F5C">
        <w:rPr>
          <w:rStyle w:val="Refdenotaalpie"/>
          <w:rFonts w:ascii="Open Sans" w:eastAsia="Calibri" w:hAnsi="Open Sans" w:cs="Open Sans"/>
          <w:bCs/>
          <w:sz w:val="20"/>
          <w:szCs w:val="20"/>
        </w:rPr>
        <w:footnoteReference w:id="289"/>
      </w:r>
      <w:r w:rsidRPr="00CA2F5C">
        <w:rPr>
          <w:rFonts w:ascii="Open Sans" w:eastAsia="Calibri" w:hAnsi="Open Sans" w:cs="Open Sans"/>
          <w:sz w:val="20"/>
          <w:szCs w:val="20"/>
        </w:rPr>
        <w:t>.  El juzgado de Instrucción número 4 de Vinaròs (Castellón) ha abierto una causa por </w:t>
      </w:r>
      <w:r w:rsidRPr="00CA2F5C">
        <w:rPr>
          <w:rFonts w:ascii="Open Sans" w:eastAsia="Calibri" w:hAnsi="Open Sans" w:cs="Open Sans"/>
          <w:bCs/>
          <w:sz w:val="20"/>
          <w:szCs w:val="20"/>
        </w:rPr>
        <w:t>supuestas irregularidades en la tramitación de la concesión</w:t>
      </w:r>
      <w:r w:rsidRPr="00CA2F5C">
        <w:rPr>
          <w:rFonts w:ascii="Open Sans" w:eastAsia="Calibri" w:hAnsi="Open Sans" w:cs="Open Sans"/>
          <w:sz w:val="20"/>
          <w:szCs w:val="20"/>
        </w:rPr>
        <w:t> de explotación del </w:t>
      </w:r>
      <w:hyperlink r:id="rId68" w:history="1">
        <w:r w:rsidRPr="00CA2F5C">
          <w:rPr>
            <w:rFonts w:ascii="Open Sans" w:eastAsia="Calibri" w:hAnsi="Open Sans" w:cs="Open Sans"/>
            <w:sz w:val="20"/>
            <w:szCs w:val="20"/>
          </w:rPr>
          <w:t>proyecto Castor</w:t>
        </w:r>
      </w:hyperlink>
      <w:r w:rsidRPr="00CA2F5C">
        <w:rPr>
          <w:rFonts w:ascii="Open Sans" w:eastAsia="Calibri" w:hAnsi="Open Sans" w:cs="Open Sans"/>
          <w:sz w:val="20"/>
          <w:szCs w:val="20"/>
        </w:rPr>
        <w:t> y ha imputado a 18 personas por presunta prevaricación medioambiental y contra el medio ambiente y los recursos naturales</w:t>
      </w:r>
      <w:r w:rsidRPr="00CA2F5C">
        <w:rPr>
          <w:rStyle w:val="Refdenotaalpie"/>
          <w:rFonts w:ascii="Open Sans" w:eastAsia="Calibri" w:hAnsi="Open Sans" w:cs="Open Sans"/>
          <w:sz w:val="20"/>
          <w:szCs w:val="20"/>
        </w:rPr>
        <w:footnoteReference w:id="290"/>
      </w:r>
      <w:r w:rsidRPr="00CA2F5C">
        <w:rPr>
          <w:rFonts w:ascii="Open Sans" w:eastAsia="Calibri" w:hAnsi="Open Sans" w:cs="Open Sans"/>
          <w:sz w:val="20"/>
          <w:szCs w:val="20"/>
        </w:rPr>
        <w:t xml:space="preserve">. </w:t>
      </w:r>
    </w:p>
    <w:p w14:paraId="5EDD32AF" w14:textId="77777777" w:rsidR="007359B0" w:rsidRPr="00CA2F5C" w:rsidRDefault="007359B0" w:rsidP="007359B0">
      <w:pPr>
        <w:jc w:val="both"/>
        <w:rPr>
          <w:rFonts w:ascii="Open Sans" w:eastAsia="Calibri" w:hAnsi="Open Sans" w:cs="Open Sans"/>
          <w:sz w:val="20"/>
          <w:szCs w:val="20"/>
        </w:rPr>
      </w:pPr>
    </w:p>
    <w:p w14:paraId="66EE3AB7" w14:textId="77777777" w:rsidR="007359B0" w:rsidRPr="00CA2F5C" w:rsidRDefault="007359B0" w:rsidP="007359B0">
      <w:pPr>
        <w:jc w:val="both"/>
        <w:rPr>
          <w:rFonts w:ascii="Open Sans" w:eastAsia="Calibri" w:hAnsi="Open Sans" w:cs="Open Sans"/>
          <w:sz w:val="20"/>
          <w:szCs w:val="20"/>
        </w:rPr>
      </w:pPr>
      <w:r w:rsidRPr="00CA2F5C">
        <w:rPr>
          <w:rFonts w:ascii="Open Sans" w:eastAsia="Calibri" w:hAnsi="Open Sans" w:cs="Open Sans"/>
          <w:sz w:val="20"/>
          <w:szCs w:val="20"/>
        </w:rPr>
        <w:t>En relación a las operaciones de financiación entre sociedades del mismo grupo, ACS informa que mantiene a 31 de diciembre de 2015 créditos con empresas asociadas por importe de 1.131.008 miles de euros. Asimismo, a 31 de diciembre de 2015, dentro de los créditos con vencimiento a largo a plazo concedidos en euros (netos de las provisiones asociadas) destacan, por su importancia, el otorgado a Eix Diagonal por 157.490 miles de euros (150.843 miles de euros a 31 de diciembre de 2014), a Celtic Road Group (Waterford y Portlaoise) por 45.566 miles de euros (45.566 miles de euros a 31 de diciembre de 2014), a Autovía del Pirineo por 54.581 miles de euros (39.186 miles de euros a 31 de diciembre de 2014), a Circunvalación de Alicante, S.A. por 15.655 miles de euros (15.888 miles de euros a 31 de diciembre de 2014), así como a Infraestructuras y Radiales, S.A. por 29.538 miles de euros (29.629 miles de euros a 31 de diciembre de 2014). En relación a las condiciones impuestas a las operaciones, lo único que menciona es que los créditos devengan interés de mercado sin especificar qué entiende por éste.</w:t>
      </w:r>
    </w:p>
    <w:p w14:paraId="5C4F61D5" w14:textId="77777777" w:rsidR="007359B0" w:rsidRPr="00CA2F5C" w:rsidRDefault="007359B0" w:rsidP="007359B0">
      <w:pPr>
        <w:jc w:val="both"/>
        <w:rPr>
          <w:rFonts w:ascii="Open Sans" w:eastAsia="Calibri" w:hAnsi="Open Sans" w:cs="Open Sans"/>
          <w:sz w:val="20"/>
          <w:szCs w:val="20"/>
        </w:rPr>
      </w:pPr>
    </w:p>
    <w:p w14:paraId="6C692309" w14:textId="77777777" w:rsidR="007359B0" w:rsidRPr="00CA2F5C" w:rsidRDefault="007359B0" w:rsidP="007359B0">
      <w:pPr>
        <w:autoSpaceDE w:val="0"/>
        <w:autoSpaceDN w:val="0"/>
        <w:adjustRightInd w:val="0"/>
        <w:jc w:val="both"/>
        <w:rPr>
          <w:rFonts w:ascii="Open Sans" w:eastAsia="Calibri" w:hAnsi="Open Sans" w:cs="Open Sans"/>
          <w:sz w:val="20"/>
          <w:szCs w:val="20"/>
        </w:rPr>
      </w:pPr>
      <w:r w:rsidRPr="00CA2F5C">
        <w:rPr>
          <w:rFonts w:ascii="Open Sans" w:eastAsia="Calibri" w:hAnsi="Open Sans" w:cs="Open Sans"/>
          <w:sz w:val="20"/>
          <w:szCs w:val="20"/>
        </w:rPr>
        <w:t xml:space="preserve">Pese a los compromisos de ACS en materia fiscal y de responsabilidad social, la información de la compañía en relación a su contribución en los países en los que tiene presencia y a través de sus sociedades dependientes es nula.  No hay información del pago de impuestos desglosado por país. La única información financiera país a país es la relativa a la cifra de negocios por países siendo los que más aportan EEUU  (32,27%), Australia (18,27%), España (16,85%) y China con un 5,94%. </w:t>
      </w:r>
    </w:p>
    <w:p w14:paraId="1871F760" w14:textId="77777777" w:rsidR="007359B0" w:rsidRPr="00CA2F5C" w:rsidRDefault="007359B0" w:rsidP="007359B0">
      <w:pPr>
        <w:autoSpaceDE w:val="0"/>
        <w:autoSpaceDN w:val="0"/>
        <w:adjustRightInd w:val="0"/>
        <w:jc w:val="both"/>
        <w:rPr>
          <w:rFonts w:ascii="Open Sans" w:eastAsia="Calibri" w:hAnsi="Open Sans" w:cs="Open Sans"/>
          <w:sz w:val="20"/>
          <w:szCs w:val="20"/>
        </w:rPr>
      </w:pPr>
    </w:p>
    <w:p w14:paraId="672BCEF3" w14:textId="77777777" w:rsidR="007359B0" w:rsidRPr="00CA2F5C" w:rsidRDefault="007359B0" w:rsidP="007359B0">
      <w:pPr>
        <w:autoSpaceDE w:val="0"/>
        <w:autoSpaceDN w:val="0"/>
        <w:adjustRightInd w:val="0"/>
        <w:jc w:val="both"/>
        <w:rPr>
          <w:rFonts w:ascii="Open Sans" w:eastAsia="Calibri" w:hAnsi="Open Sans" w:cs="Open Sans"/>
          <w:sz w:val="20"/>
          <w:szCs w:val="20"/>
        </w:rPr>
      </w:pPr>
      <w:r w:rsidRPr="00CA2F5C">
        <w:rPr>
          <w:rFonts w:ascii="Open Sans" w:eastAsia="Calibri" w:hAnsi="Open Sans" w:cs="Open Sans"/>
          <w:sz w:val="20"/>
          <w:szCs w:val="20"/>
        </w:rPr>
        <w:t xml:space="preserve">En relación al impuesto de sociedades, en la cuentas anuales la empresa informa de  la tasa nominal (España) y efectiva del grupo consolidado. El tipo efectivo sin método de participación es de un 21%. No presenta el tipo nominal ni tipo efectivo por países y/o sociedades dependientes. Tampoco existe información sobre el cálculo de la base imponible en los distintos países en los que la empresa está obligada a presentar el impuesto de sociedades. </w:t>
      </w:r>
    </w:p>
    <w:p w14:paraId="16AF3F82" w14:textId="77777777" w:rsidR="007359B0" w:rsidRPr="00CA2F5C" w:rsidRDefault="007359B0" w:rsidP="007359B0">
      <w:pPr>
        <w:autoSpaceDE w:val="0"/>
        <w:autoSpaceDN w:val="0"/>
        <w:adjustRightInd w:val="0"/>
        <w:jc w:val="both"/>
        <w:rPr>
          <w:rFonts w:ascii="Open Sans" w:eastAsia="Calibri" w:hAnsi="Open Sans" w:cs="Open Sans"/>
          <w:sz w:val="20"/>
          <w:szCs w:val="20"/>
        </w:rPr>
      </w:pPr>
    </w:p>
    <w:p w14:paraId="5C242209" w14:textId="77777777" w:rsidR="007359B0" w:rsidRPr="00CA2F5C" w:rsidRDefault="007359B0" w:rsidP="007359B0">
      <w:pPr>
        <w:autoSpaceDE w:val="0"/>
        <w:autoSpaceDN w:val="0"/>
        <w:adjustRightInd w:val="0"/>
        <w:jc w:val="both"/>
        <w:rPr>
          <w:rFonts w:ascii="Open Sans" w:eastAsia="Calibri" w:hAnsi="Open Sans" w:cs="Open Sans"/>
          <w:sz w:val="20"/>
          <w:szCs w:val="20"/>
        </w:rPr>
      </w:pPr>
      <w:r w:rsidRPr="00CA2F5C">
        <w:rPr>
          <w:rFonts w:ascii="Open Sans" w:eastAsia="Calibri" w:hAnsi="Open Sans" w:cs="Open Sans"/>
          <w:sz w:val="20"/>
          <w:szCs w:val="20"/>
        </w:rPr>
        <w:t>No hay información acerca de la acusación del 'hedge fund' Bodenholm Capital a ACS por inflar sus beneficios y manipular sus cuentas</w:t>
      </w:r>
      <w:r w:rsidRPr="00CA2F5C">
        <w:rPr>
          <w:rStyle w:val="Refdenotaalpie"/>
          <w:rFonts w:ascii="Open Sans" w:eastAsia="Calibri" w:hAnsi="Open Sans" w:cs="Open Sans"/>
          <w:sz w:val="20"/>
          <w:szCs w:val="20"/>
        </w:rPr>
        <w:footnoteReference w:id="291"/>
      </w:r>
      <w:r w:rsidRPr="00CA2F5C">
        <w:rPr>
          <w:rFonts w:ascii="Open Sans" w:eastAsia="Calibri" w:hAnsi="Open Sans" w:cs="Open Sans"/>
          <w:sz w:val="20"/>
          <w:szCs w:val="20"/>
        </w:rPr>
        <w:t xml:space="preserve">. </w:t>
      </w:r>
    </w:p>
    <w:p w14:paraId="713A9BDE" w14:textId="77777777" w:rsidR="007359B0" w:rsidRPr="00CA2F5C" w:rsidRDefault="007359B0" w:rsidP="007359B0">
      <w:pPr>
        <w:autoSpaceDE w:val="0"/>
        <w:autoSpaceDN w:val="0"/>
        <w:adjustRightInd w:val="0"/>
        <w:jc w:val="both"/>
        <w:rPr>
          <w:rFonts w:ascii="Open Sans" w:eastAsia="Calibri" w:hAnsi="Open Sans" w:cs="Open Sans"/>
          <w:sz w:val="20"/>
          <w:szCs w:val="20"/>
        </w:rPr>
      </w:pPr>
    </w:p>
    <w:p w14:paraId="707A835D" w14:textId="77777777" w:rsidR="007359B0" w:rsidRPr="00CA2F5C" w:rsidRDefault="007359B0" w:rsidP="007359B0">
      <w:pPr>
        <w:autoSpaceDE w:val="0"/>
        <w:autoSpaceDN w:val="0"/>
        <w:adjustRightInd w:val="0"/>
        <w:jc w:val="both"/>
        <w:rPr>
          <w:rFonts w:ascii="Open Sans" w:eastAsia="Calibri" w:hAnsi="Open Sans" w:cs="Open Sans"/>
          <w:sz w:val="20"/>
          <w:szCs w:val="20"/>
        </w:rPr>
      </w:pPr>
      <w:r w:rsidRPr="00CA2F5C">
        <w:rPr>
          <w:rFonts w:ascii="Open Sans" w:eastAsia="Calibri" w:hAnsi="Open Sans" w:cs="Open Sans"/>
          <w:sz w:val="20"/>
          <w:szCs w:val="20"/>
        </w:rPr>
        <w:t>Tampoco se ha encontrado información sobre acuerdos fiscales con países (tax rulings), aunque una noticia del informativo The Sydney Morning Herald apunta a un posible acuerdo con el Gobierno australiano con la empresa Hochtief, filial alemana de ACS. De acuerdo con la noticia la empresa no habría pagado impuesto de sociedades en el país pese a la obtención de unos beneficios de 137 millones de dólares</w:t>
      </w:r>
      <w:r w:rsidRPr="00CA2F5C">
        <w:rPr>
          <w:rStyle w:val="Refdenotaalpie"/>
          <w:rFonts w:ascii="Open Sans" w:eastAsia="Calibri" w:hAnsi="Open Sans" w:cs="Open Sans"/>
          <w:sz w:val="20"/>
          <w:szCs w:val="20"/>
        </w:rPr>
        <w:footnoteReference w:id="292"/>
      </w:r>
      <w:r w:rsidRPr="00CA2F5C">
        <w:rPr>
          <w:rFonts w:ascii="Open Sans" w:eastAsia="Calibri" w:hAnsi="Open Sans" w:cs="Open Sans"/>
          <w:sz w:val="20"/>
          <w:szCs w:val="20"/>
        </w:rPr>
        <w:t>.</w:t>
      </w:r>
    </w:p>
    <w:p w14:paraId="270E8065" w14:textId="77777777" w:rsidR="007359B0" w:rsidRPr="00CA2F5C" w:rsidRDefault="007359B0" w:rsidP="007359B0">
      <w:pPr>
        <w:autoSpaceDE w:val="0"/>
        <w:autoSpaceDN w:val="0"/>
        <w:adjustRightInd w:val="0"/>
        <w:jc w:val="both"/>
        <w:rPr>
          <w:rFonts w:ascii="Open Sans" w:eastAsia="Calibri" w:hAnsi="Open Sans" w:cs="Open Sans"/>
          <w:sz w:val="20"/>
          <w:szCs w:val="20"/>
        </w:rPr>
      </w:pPr>
    </w:p>
    <w:p w14:paraId="72607509"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En cuanto a subvenciones recibidas en las cuentas anuales solamente menciona las subvenciones de capital</w:t>
      </w:r>
      <w:r w:rsidRPr="00CA2F5C">
        <w:rPr>
          <w:rStyle w:val="Refdenotaalpie"/>
          <w:rFonts w:ascii="Open Sans" w:hAnsi="Open Sans" w:cs="Open Sans"/>
          <w:sz w:val="20"/>
          <w:szCs w:val="20"/>
        </w:rPr>
        <w:footnoteReference w:id="293"/>
      </w:r>
      <w:r w:rsidRPr="00CA2F5C">
        <w:rPr>
          <w:rFonts w:ascii="Open Sans" w:hAnsi="Open Sans" w:cs="Open Sans"/>
          <w:sz w:val="20"/>
          <w:szCs w:val="20"/>
        </w:rPr>
        <w:t xml:space="preserve"> cuyo importe asciende a 31 de diciembre a la cantidad de 58.776 miles de euro. No hay información sobre la administración concesionaria, el destino de la subvención o el concepto por el cual se ha concedido. Tampoco existe en la información analizada un desglose de las subvenciones por país. En la medida en que están vinculadas a sufragar la compra de un bien afecto a la actividad, se declararán de manera diferida en la misma proporción en la que se amortiza el bien. La empresa no informa sobre la solicitud, de acuerdo con el d</w:t>
      </w:r>
      <w:r w:rsidRPr="00CA2F5C">
        <w:rPr>
          <w:rFonts w:ascii="Open Sans" w:eastAsia="Calibri" w:hAnsi="Open Sans" w:cs="Open Sans"/>
          <w:sz w:val="20"/>
          <w:szCs w:val="20"/>
        </w:rPr>
        <w:t>iario El Confidencial, de una subvención de 100 millones de euros a fondo perdido para el </w:t>
      </w:r>
      <w:r w:rsidRPr="00CA2F5C">
        <w:rPr>
          <w:rFonts w:ascii="Open Sans" w:eastAsia="Calibri" w:hAnsi="Open Sans" w:cs="Open Sans"/>
          <w:bCs/>
          <w:sz w:val="20"/>
          <w:szCs w:val="20"/>
        </w:rPr>
        <w:t>AVE entre Barcelona y París</w:t>
      </w:r>
      <w:r w:rsidRPr="00CA2F5C">
        <w:rPr>
          <w:rFonts w:ascii="Open Sans" w:eastAsia="Calibri" w:hAnsi="Open Sans" w:cs="Open Sans"/>
          <w:sz w:val="20"/>
          <w:szCs w:val="20"/>
        </w:rPr>
        <w:t>. ACS e Eifffage han decidido pedir el </w:t>
      </w:r>
      <w:r w:rsidRPr="00CA2F5C">
        <w:rPr>
          <w:rFonts w:ascii="Open Sans" w:eastAsia="Calibri" w:hAnsi="Open Sans" w:cs="Open Sans"/>
          <w:bCs/>
          <w:sz w:val="20"/>
          <w:szCs w:val="20"/>
        </w:rPr>
        <w:t>preconcurso de acreedores</w:t>
      </w:r>
      <w:r w:rsidRPr="00CA2F5C">
        <w:rPr>
          <w:rFonts w:ascii="Open Sans" w:eastAsia="Calibri" w:hAnsi="Open Sans" w:cs="Open Sans"/>
          <w:sz w:val="20"/>
          <w:szCs w:val="20"/>
        </w:rPr>
        <w:t> para </w:t>
      </w:r>
      <w:r w:rsidRPr="00CA2F5C">
        <w:rPr>
          <w:rFonts w:ascii="Open Sans" w:eastAsia="Calibri" w:hAnsi="Open Sans" w:cs="Open Sans"/>
          <w:bCs/>
          <w:sz w:val="20"/>
          <w:szCs w:val="20"/>
        </w:rPr>
        <w:t>TP Ferro,</w:t>
      </w:r>
      <w:r w:rsidRPr="00CA2F5C">
        <w:rPr>
          <w:rFonts w:ascii="Open Sans" w:eastAsia="Calibri" w:hAnsi="Open Sans" w:cs="Open Sans"/>
          <w:sz w:val="20"/>
          <w:szCs w:val="20"/>
        </w:rPr>
        <w:t xml:space="preserve"> la empresa a la que el PP y el PSOE le </w:t>
      </w:r>
      <w:r w:rsidRPr="00CA2F5C">
        <w:rPr>
          <w:rFonts w:ascii="Open Sans" w:hAnsi="Open Sans" w:cs="Open Sans"/>
          <w:sz w:val="20"/>
          <w:szCs w:val="20"/>
        </w:rPr>
        <w:t>dieron la concesión entre 2003 y 2004. De no alcanzar un acuerdo con sus acreedores, TP Ferro entrará definitivamente en concurso de acreedores y los bancos y fondos podrán exigir, de acuerdo con este mismo diario, la </w:t>
      </w:r>
      <w:r w:rsidRPr="00CA2F5C">
        <w:rPr>
          <w:rFonts w:ascii="Open Sans" w:hAnsi="Open Sans" w:cs="Open Sans"/>
          <w:bCs/>
          <w:sz w:val="20"/>
          <w:szCs w:val="20"/>
        </w:rPr>
        <w:t>Responsabilidad Patrimonial de la Administración (RPA)</w:t>
      </w:r>
      <w:r w:rsidRPr="00CA2F5C">
        <w:rPr>
          <w:rStyle w:val="Refdenotaalpie"/>
          <w:rFonts w:ascii="Open Sans" w:hAnsi="Open Sans" w:cs="Open Sans"/>
          <w:bCs/>
          <w:sz w:val="20"/>
          <w:szCs w:val="20"/>
        </w:rPr>
        <w:footnoteReference w:id="294"/>
      </w:r>
      <w:r w:rsidRPr="00CA2F5C">
        <w:rPr>
          <w:rFonts w:ascii="Open Sans" w:hAnsi="Open Sans" w:cs="Open Sans"/>
          <w:sz w:val="20"/>
          <w:szCs w:val="20"/>
        </w:rPr>
        <w:t>.Tampoco informa del rescate del almacén de gas del Castor, que tuvo que ser rescatado por el Estado con </w:t>
      </w:r>
      <w:hyperlink r:id="rId69" w:tgtFrame="_self" w:tooltip="Florentino Pérez carga 182 euros a la factura del gas de todos los españoles por el Castor" w:history="1">
        <w:r w:rsidRPr="00CA2F5C">
          <w:rPr>
            <w:rFonts w:ascii="Open Sans" w:hAnsi="Open Sans" w:cs="Open Sans"/>
            <w:sz w:val="20"/>
            <w:szCs w:val="20"/>
          </w:rPr>
          <w:t>un agujero de 1.350 millones</w:t>
        </w:r>
      </w:hyperlink>
      <w:r w:rsidRPr="00CA2F5C">
        <w:rPr>
          <w:rFonts w:ascii="Open Sans" w:hAnsi="Open Sans" w:cs="Open Sans"/>
          <w:sz w:val="20"/>
          <w:szCs w:val="20"/>
        </w:rPr>
        <w:t>. Pese a que este se produjo en 2014 la repercusión pública del mismo y el daño patrimonial al Estado, sería conveniente una mayor información por parte de la empresa en relación a los fondos recibidos por parte de los Estados. De acuerdo con el diario El Confidencial una resolución de la Dirección General de Política Energética y Minas, dependiente del Ministerio de Industria, Energía y Turismo, del pasado 12 de noviembre de 2015, en la que se otorgó a los promotores </w:t>
      </w:r>
      <w:r w:rsidRPr="00CA2F5C">
        <w:rPr>
          <w:rFonts w:ascii="Open Sans" w:hAnsi="Open Sans" w:cs="Open Sans"/>
          <w:bCs/>
          <w:sz w:val="20"/>
          <w:szCs w:val="20"/>
        </w:rPr>
        <w:t>un último pago de 295 millones</w:t>
      </w:r>
      <w:r w:rsidRPr="00CA2F5C">
        <w:rPr>
          <w:rFonts w:ascii="Open Sans" w:hAnsi="Open Sans" w:cs="Open Sans"/>
          <w:sz w:val="20"/>
          <w:szCs w:val="20"/>
        </w:rPr>
        <w:t>. Castor </w:t>
      </w:r>
      <w:hyperlink r:id="rId70" w:history="1">
        <w:r w:rsidRPr="00CA2F5C">
          <w:rPr>
            <w:rFonts w:ascii="Open Sans" w:hAnsi="Open Sans" w:cs="Open Sans"/>
            <w:sz w:val="20"/>
            <w:szCs w:val="20"/>
          </w:rPr>
          <w:t>tuvo que cerrarse</w:t>
        </w:r>
      </w:hyperlink>
      <w:r w:rsidRPr="00CA2F5C">
        <w:rPr>
          <w:rFonts w:ascii="Open Sans" w:hAnsi="Open Sans" w:cs="Open Sans"/>
          <w:sz w:val="20"/>
          <w:szCs w:val="20"/>
        </w:rPr>
        <w:t> en 2014, cuando la inyección de gas colchón provocó una serie de terremotos en Castellón y el sur de Cataluña</w:t>
      </w:r>
      <w:r w:rsidRPr="00CA2F5C">
        <w:rPr>
          <w:rStyle w:val="Refdenotaalpie"/>
          <w:rFonts w:ascii="Open Sans" w:hAnsi="Open Sans" w:cs="Open Sans"/>
          <w:sz w:val="20"/>
          <w:szCs w:val="20"/>
        </w:rPr>
        <w:footnoteReference w:id="295"/>
      </w:r>
      <w:r w:rsidRPr="00CA2F5C">
        <w:rPr>
          <w:rFonts w:ascii="Open Sans" w:hAnsi="Open Sans" w:cs="Open Sans"/>
          <w:sz w:val="20"/>
          <w:szCs w:val="20"/>
        </w:rPr>
        <w:t>.</w:t>
      </w:r>
    </w:p>
    <w:p w14:paraId="7976CC02" w14:textId="77777777" w:rsidR="007359B0" w:rsidRPr="00CA2F5C" w:rsidRDefault="007359B0" w:rsidP="007359B0">
      <w:pPr>
        <w:autoSpaceDE w:val="0"/>
        <w:autoSpaceDN w:val="0"/>
        <w:adjustRightInd w:val="0"/>
        <w:jc w:val="both"/>
        <w:rPr>
          <w:rFonts w:ascii="Open Sans" w:hAnsi="Open Sans" w:cs="Open Sans"/>
          <w:sz w:val="20"/>
          <w:szCs w:val="20"/>
        </w:rPr>
      </w:pPr>
    </w:p>
    <w:p w14:paraId="5D7D5EBD"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Tampoco presenta información sobre el pago comprometido de 600 millones en concepto de “lucro cesante” por la planta de escombreras en la región de  Murcia</w:t>
      </w:r>
      <w:r w:rsidRPr="00CA2F5C">
        <w:rPr>
          <w:rStyle w:val="Refdenotaalpie"/>
          <w:rFonts w:ascii="Open Sans" w:hAnsi="Open Sans" w:cs="Open Sans"/>
          <w:sz w:val="20"/>
          <w:szCs w:val="20"/>
        </w:rPr>
        <w:footnoteReference w:id="296"/>
      </w:r>
      <w:r w:rsidRPr="00CA2F5C">
        <w:rPr>
          <w:rFonts w:ascii="Open Sans" w:hAnsi="Open Sans" w:cs="Open Sans"/>
          <w:sz w:val="20"/>
          <w:szCs w:val="20"/>
        </w:rPr>
        <w:t xml:space="preserve">. </w:t>
      </w:r>
    </w:p>
    <w:p w14:paraId="2DA855CC" w14:textId="77777777" w:rsidR="007359B0" w:rsidRPr="00CA2F5C" w:rsidRDefault="007359B0" w:rsidP="007359B0">
      <w:pPr>
        <w:autoSpaceDE w:val="0"/>
        <w:autoSpaceDN w:val="0"/>
        <w:adjustRightInd w:val="0"/>
        <w:jc w:val="both"/>
        <w:rPr>
          <w:rFonts w:ascii="Open Sans" w:hAnsi="Open Sans" w:cs="Open Sans"/>
          <w:sz w:val="20"/>
          <w:szCs w:val="20"/>
        </w:rPr>
      </w:pPr>
    </w:p>
    <w:p w14:paraId="2DF0447C"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 xml:space="preserve">En el apartado de deducciones, exenciones y créditos fiscales la empresa no presenta información por país y en concepto de qué se le han otorgado las exenciones, deducciones o créditos fiscales. Esta información es relevante pues en algunos casos puede condicionar la imputación de beneficios en un país u en otro en base a este tipo de incentivos fiscales. </w:t>
      </w:r>
    </w:p>
    <w:p w14:paraId="7580068F" w14:textId="77777777" w:rsidR="007359B0" w:rsidRPr="00CA2F5C" w:rsidRDefault="007359B0" w:rsidP="007359B0">
      <w:pPr>
        <w:autoSpaceDE w:val="0"/>
        <w:autoSpaceDN w:val="0"/>
        <w:adjustRightInd w:val="0"/>
        <w:jc w:val="both"/>
        <w:rPr>
          <w:rFonts w:ascii="Open Sans" w:hAnsi="Open Sans" w:cs="Open Sans"/>
          <w:sz w:val="20"/>
          <w:szCs w:val="20"/>
        </w:rPr>
      </w:pPr>
    </w:p>
    <w:p w14:paraId="4B88A105"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En relación a las deducciones por incentivos fiscales, la empresa afirma que incluyen fundamentalmente los de la actividad de I+D, obtenidos tanto en España como en otros países.  En relación a las exenciones afirma que se deben fundamentalmente a la exención fiscal de las plusvalías obtenidas por la venta de sociedades participadas realizadas por Grupo Hochtief e Iridium Concesiones de Infraestructuras, S.A.</w:t>
      </w:r>
    </w:p>
    <w:p w14:paraId="53962D6F" w14:textId="77777777" w:rsidR="007359B0" w:rsidRPr="00CA2F5C" w:rsidRDefault="007359B0" w:rsidP="007359B0">
      <w:pPr>
        <w:autoSpaceDE w:val="0"/>
        <w:autoSpaceDN w:val="0"/>
        <w:adjustRightInd w:val="0"/>
        <w:jc w:val="both"/>
        <w:rPr>
          <w:rFonts w:ascii="Open Sans" w:hAnsi="Open Sans" w:cs="Open Sans"/>
          <w:sz w:val="20"/>
          <w:szCs w:val="20"/>
        </w:rPr>
      </w:pPr>
    </w:p>
    <w:p w14:paraId="4359D563"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En cuanto al crédito fiscal por bases imponibles negativas afirma que está ligado a la base imponible consolidada negativa de 2012 del Grupo Fiscal en España. ACS afirma en sus cuentas anuales que además de los importes reconocidos en el activo del estado de situación financiera consolidado, el Grupo dispone de otros impuestos diferidos deudores y créditos fiscales, no reconocidos en el activo del estado de situación financiera consolidado debido a la imposibilidad de predecir los correspondientes flujos futuros de beneficios, siendo significativos en las sociedades del Grupo residentes en Alemania, por las cuales no se registra el activo fiscal asociado a pérdidas fiscales y diferencias temporales de gastos financieros, compensables en la imposición sobre sociedades, por un importe de 860.672 miles de euros (1.018.050 miles de euros en 2014), y en la imposición municipal por un importe de 828.148 miles de euros (914.280 miles de euros en 2014).</w:t>
      </w:r>
    </w:p>
    <w:p w14:paraId="685C1D8A" w14:textId="77777777" w:rsidR="007359B0" w:rsidRPr="00CA2F5C" w:rsidRDefault="007359B0" w:rsidP="007359B0">
      <w:pPr>
        <w:autoSpaceDE w:val="0"/>
        <w:autoSpaceDN w:val="0"/>
        <w:adjustRightInd w:val="0"/>
        <w:jc w:val="both"/>
        <w:rPr>
          <w:rFonts w:ascii="Open Sans" w:hAnsi="Open Sans" w:cs="Open Sans"/>
          <w:sz w:val="20"/>
          <w:szCs w:val="20"/>
        </w:rPr>
      </w:pPr>
    </w:p>
    <w:p w14:paraId="30E62A86" w14:textId="77777777" w:rsidR="007359B0" w:rsidRPr="00CA2F5C" w:rsidRDefault="007359B0" w:rsidP="007359B0">
      <w:pPr>
        <w:autoSpaceDE w:val="0"/>
        <w:autoSpaceDN w:val="0"/>
        <w:adjustRightInd w:val="0"/>
        <w:jc w:val="both"/>
        <w:rPr>
          <w:rFonts w:ascii="Open Sans" w:hAnsi="Open Sans" w:cs="Open Sans"/>
          <w:sz w:val="20"/>
          <w:szCs w:val="20"/>
        </w:rPr>
      </w:pPr>
      <w:r w:rsidRPr="00CA2F5C">
        <w:rPr>
          <w:rFonts w:ascii="Open Sans" w:hAnsi="Open Sans" w:cs="Open Sans"/>
          <w:sz w:val="20"/>
          <w:szCs w:val="20"/>
        </w:rPr>
        <w:t>En relación a las contingencias y litigios con las diversas agencias tributarias, la única información que proporciona ACS es que ha firmado actas de conformidad en una inspección que tiene abierta en concepto del Impuesto sobre Sociedades consolidado del Grupo, y por el Impuesto sobre el Valor Añadido igualmente en régimen de Grupo, determinándose una deuda tributaria de 1.485 miles de euros y 393 miles de euros, respectivamente, incluyendo cuotas de impuesto, intereses de demora y sanciones. No presenta información de otros posibles litigios y/ o sanciones en los distintos países en los que opera. No se ha encontrado información acerca de la reclamación de 600 millones de euros por impago de impuestos por parte de la filial de ACS Hochtief por la gestión del aeropuerto de Atenas</w:t>
      </w:r>
      <w:r w:rsidRPr="00CA2F5C">
        <w:rPr>
          <w:rStyle w:val="Refdenotaalpie"/>
          <w:rFonts w:ascii="Open Sans" w:hAnsi="Open Sans" w:cs="Open Sans"/>
          <w:sz w:val="20"/>
          <w:szCs w:val="20"/>
        </w:rPr>
        <w:footnoteReference w:id="297"/>
      </w:r>
      <w:r w:rsidRPr="00CA2F5C">
        <w:rPr>
          <w:rFonts w:ascii="Open Sans" w:hAnsi="Open Sans" w:cs="Open Sans"/>
          <w:sz w:val="20"/>
          <w:szCs w:val="20"/>
        </w:rPr>
        <w:t>.</w:t>
      </w:r>
    </w:p>
    <w:p w14:paraId="08FA2608" w14:textId="77777777" w:rsidR="007359B0" w:rsidRPr="00CA2F5C" w:rsidRDefault="007359B0" w:rsidP="007359B0">
      <w:pPr>
        <w:rPr>
          <w:rFonts w:ascii="Open Sans" w:hAnsi="Open Sans" w:cs="Open Sans"/>
          <w:bCs/>
          <w:sz w:val="20"/>
          <w:szCs w:val="20"/>
        </w:rPr>
      </w:pPr>
    </w:p>
    <w:p w14:paraId="7F91C217" w14:textId="77777777" w:rsidR="007359B0" w:rsidRPr="00CA2F5C" w:rsidRDefault="007359B0" w:rsidP="007359B0">
      <w:pPr>
        <w:rPr>
          <w:rFonts w:ascii="Open Sans" w:hAnsi="Open Sans" w:cs="Open Sans"/>
          <w:bCs/>
          <w:sz w:val="20"/>
          <w:szCs w:val="20"/>
        </w:rPr>
      </w:pPr>
    </w:p>
    <w:p w14:paraId="15CFED9C" w14:textId="77777777" w:rsidR="007359B0" w:rsidRPr="00CA2F5C" w:rsidRDefault="007359B0" w:rsidP="007359B0">
      <w:pPr>
        <w:rPr>
          <w:rFonts w:ascii="Open Sans" w:hAnsi="Open Sans" w:cs="Open Sans"/>
          <w:bCs/>
          <w:sz w:val="22"/>
          <w:szCs w:val="22"/>
          <w:u w:val="single"/>
        </w:rPr>
      </w:pPr>
      <w:r w:rsidRPr="00CA2F5C">
        <w:rPr>
          <w:rFonts w:ascii="Open Sans" w:hAnsi="Open Sans" w:cs="Open Sans"/>
          <w:b/>
          <w:sz w:val="22"/>
          <w:szCs w:val="22"/>
          <w:u w:val="single"/>
        </w:rPr>
        <w:t>5. Conclusiones</w:t>
      </w:r>
    </w:p>
    <w:p w14:paraId="64DB39E2" w14:textId="77777777" w:rsidR="007359B0" w:rsidRPr="00CA2F5C" w:rsidRDefault="007359B0" w:rsidP="007359B0">
      <w:pPr>
        <w:rPr>
          <w:rFonts w:ascii="Open Sans" w:hAnsi="Open Sans" w:cs="Open Sans"/>
          <w:bCs/>
          <w:sz w:val="20"/>
          <w:szCs w:val="20"/>
        </w:rPr>
      </w:pPr>
    </w:p>
    <w:p w14:paraId="4948867E" w14:textId="77777777" w:rsidR="007359B0" w:rsidRPr="00CA2F5C" w:rsidRDefault="007359B0" w:rsidP="007359B0">
      <w:pPr>
        <w:pStyle w:val="Default"/>
        <w:jc w:val="both"/>
        <w:rPr>
          <w:rFonts w:ascii="Open Sans" w:hAnsi="Open Sans" w:cs="Open Sans"/>
          <w:color w:val="auto"/>
          <w:sz w:val="20"/>
          <w:szCs w:val="20"/>
        </w:rPr>
      </w:pPr>
      <w:r w:rsidRPr="00CA2F5C">
        <w:rPr>
          <w:rFonts w:ascii="Open Sans" w:hAnsi="Open Sans" w:cs="Open Sans"/>
          <w:color w:val="auto"/>
          <w:sz w:val="20"/>
          <w:szCs w:val="20"/>
        </w:rPr>
        <w:t xml:space="preserve">La valoración global de la transparencia de ACS en el ámbito fiscal es de </w:t>
      </w:r>
      <w:r w:rsidRPr="00CA2F5C">
        <w:rPr>
          <w:rFonts w:ascii="Open Sans" w:hAnsi="Open Sans" w:cs="Open Sans"/>
          <w:b/>
          <w:color w:val="auto"/>
          <w:sz w:val="20"/>
          <w:szCs w:val="20"/>
        </w:rPr>
        <w:t>0,33</w:t>
      </w:r>
      <w:r w:rsidRPr="00CA2F5C">
        <w:rPr>
          <w:rFonts w:ascii="Open Sans" w:hAnsi="Open Sans" w:cs="Open Sans"/>
          <w:color w:val="auto"/>
          <w:sz w:val="20"/>
          <w:szCs w:val="20"/>
        </w:rPr>
        <w:t xml:space="preserve"> sobre un máximo de 3. De las dimensiones analizadas, la máxima puntuación se obtiene en los aspectos relacionados con las “relaciones con Administraciones Tributarias” (0,40), seguidos por los relacionados con la “política y estrategia fiscal” (0,60), “impuestos e incentivos” (0,33) y “paraísos y nichos fiscales” (0). </w:t>
      </w:r>
    </w:p>
    <w:p w14:paraId="7E5C5F1E" w14:textId="77777777" w:rsidR="007359B0" w:rsidRPr="00CA2F5C" w:rsidRDefault="007359B0" w:rsidP="007359B0">
      <w:pPr>
        <w:jc w:val="both"/>
        <w:rPr>
          <w:rFonts w:ascii="Open Sans" w:hAnsi="Open Sans" w:cs="Open Sans"/>
          <w:sz w:val="20"/>
          <w:szCs w:val="20"/>
        </w:rPr>
      </w:pPr>
    </w:p>
    <w:p w14:paraId="38BA0FD0"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Pese a los compromisos de ACS en relación a un fiscalidad responsable y su adhesión al Código de buenas Prácticas Tributarias, y que sin lugar a dudas es un aspecto material para sus grupos de interés, aunque la empresa no lo identifique como tal, la información no es clara, ni es precisa, ni  cuenta con un desglose suficiente que permita evaluar el cumplimiento de los compromisos asumidos por la compañía. No hay un documento independiente de las cuentas anuales dedicado al reporte fiscal. La mayor parte de la información objeto de análisis hay que extraerla de las cuentas anuales que adoptan un lenguaje técnico y difícilmente comprensible para los no expertos en la materia. La información contenida en la memoria de RSC tiene carácter anecdótico y se limita a exponer un compromiso. Por otro lado, ACS no sigue los estándares internacionales del country by country que promueven que la empresa presente información país a país de una serie de partidas financieras y de la actividad que realiza en los territorios donde está presente. Tampoco presenta información relevante y material sobre su actividad en territorios considerados paraísos o nichos fiscales</w:t>
      </w:r>
    </w:p>
    <w:p w14:paraId="54FD7999" w14:textId="77777777" w:rsidR="007359B0" w:rsidRPr="00CA2F5C" w:rsidRDefault="007359B0" w:rsidP="007359B0">
      <w:pPr>
        <w:jc w:val="both"/>
        <w:rPr>
          <w:rFonts w:ascii="Open Sans" w:hAnsi="Open Sans" w:cs="Open Sans"/>
          <w:sz w:val="20"/>
          <w:szCs w:val="20"/>
        </w:rPr>
      </w:pPr>
    </w:p>
    <w:p w14:paraId="1B2ED706" w14:textId="00066DF5"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 xml:space="preserve">ACS afirma que promueve entre sus empleados el reconocimiento de los comportamientos acordes con la lealtad y la buena fe, y contra la corrupción y el soborno, evitando asimismo cualquier tipo de conducta y procedimiento contra </w:t>
      </w:r>
      <w:proofErr w:type="gramStart"/>
      <w:r w:rsidRPr="00CA2F5C">
        <w:rPr>
          <w:rFonts w:ascii="Open Sans" w:hAnsi="Open Sans" w:cs="Open Sans"/>
          <w:sz w:val="20"/>
          <w:szCs w:val="20"/>
        </w:rPr>
        <w:t>la competencia leal y comprometidos</w:t>
      </w:r>
      <w:proofErr w:type="gramEnd"/>
      <w:r w:rsidRPr="00CA2F5C">
        <w:rPr>
          <w:rFonts w:ascii="Open Sans" w:hAnsi="Open Sans" w:cs="Open Sans"/>
          <w:sz w:val="20"/>
          <w:szCs w:val="20"/>
        </w:rPr>
        <w:t xml:space="preserve"> con la responsabilidad fiscal. ACS identifica como Riesgo relevante aquellos derivados del soborno y corrupción. Afirma que “Compañías que representan un 18,8% del Grupo ACS desarrollan auditorías de forma periódica sobre el grado de implantación del Código de Conducta del Grupo ACS, que es la herramienta principal para la lucha contra esta amenaza. La empresa afirma en el índice GRI que “no se han detectado casos de corrupción”.  Sin embargo, no hay información sobre supuestos casos de corrupción en los que, de acuerdo con diversas fuentes, se ha visto</w:t>
      </w:r>
      <w:r w:rsidR="00B67076">
        <w:rPr>
          <w:rFonts w:ascii="Open Sans" w:hAnsi="Open Sans" w:cs="Open Sans"/>
          <w:sz w:val="20"/>
          <w:szCs w:val="20"/>
        </w:rPr>
        <w:t xml:space="preserve"> supuestamente</w:t>
      </w:r>
      <w:r w:rsidRPr="00CA2F5C">
        <w:rPr>
          <w:rFonts w:ascii="Open Sans" w:hAnsi="Open Sans" w:cs="Open Sans"/>
          <w:sz w:val="20"/>
          <w:szCs w:val="20"/>
        </w:rPr>
        <w:t xml:space="preserve"> envuelta la empresa en  los últimos ejercicios en su actividad  nacional e internacional</w:t>
      </w:r>
      <w:r w:rsidRPr="00CA2F5C">
        <w:rPr>
          <w:rStyle w:val="Refdenotaalpie"/>
          <w:rFonts w:ascii="Open Sans" w:hAnsi="Open Sans" w:cs="Open Sans"/>
          <w:sz w:val="20"/>
          <w:szCs w:val="20"/>
        </w:rPr>
        <w:footnoteReference w:id="298"/>
      </w:r>
      <w:r w:rsidRPr="00CA2F5C">
        <w:rPr>
          <w:rFonts w:ascii="Open Sans" w:hAnsi="Open Sans" w:cs="Open Sans"/>
          <w:sz w:val="20"/>
          <w:szCs w:val="20"/>
        </w:rPr>
        <w:t>. La corrupción convive con el blanqueo de capitales y el fraude fiscal.</w:t>
      </w:r>
    </w:p>
    <w:p w14:paraId="6EFBBEFE" w14:textId="77777777" w:rsidR="007359B0" w:rsidRPr="00CA2F5C" w:rsidRDefault="007359B0" w:rsidP="007359B0">
      <w:pPr>
        <w:jc w:val="both"/>
        <w:rPr>
          <w:rFonts w:ascii="Open Sans" w:hAnsi="Open Sans" w:cs="Open Sans"/>
          <w:sz w:val="20"/>
          <w:szCs w:val="20"/>
        </w:rPr>
      </w:pPr>
    </w:p>
    <w:p w14:paraId="4ADB10DB"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En la documentación analizada no se han encontrado evidencias de que ACS haya establecido un diálogo, más allá de con la agencia tributaria, con sus grupos de interés en relación a los aspectos fiscales.</w:t>
      </w:r>
    </w:p>
    <w:p w14:paraId="512281B1" w14:textId="77777777" w:rsidR="007359B0" w:rsidRPr="00CA2F5C" w:rsidRDefault="007359B0" w:rsidP="007359B0">
      <w:pPr>
        <w:jc w:val="both"/>
        <w:rPr>
          <w:rFonts w:ascii="Open Sans" w:hAnsi="Open Sans" w:cs="Open Sans"/>
          <w:sz w:val="20"/>
          <w:szCs w:val="20"/>
        </w:rPr>
      </w:pPr>
    </w:p>
    <w:p w14:paraId="33D63EDD" w14:textId="77777777" w:rsidR="007359B0" w:rsidRPr="00CA2F5C" w:rsidRDefault="007359B0" w:rsidP="007359B0">
      <w:pPr>
        <w:jc w:val="both"/>
        <w:rPr>
          <w:rFonts w:ascii="Open Sans" w:hAnsi="Open Sans" w:cs="Open Sans"/>
          <w:sz w:val="20"/>
          <w:szCs w:val="20"/>
        </w:rPr>
      </w:pPr>
      <w:r w:rsidRPr="00CA2F5C">
        <w:rPr>
          <w:rFonts w:ascii="Open Sans" w:hAnsi="Open Sans" w:cs="Open Sans"/>
          <w:sz w:val="20"/>
          <w:szCs w:val="20"/>
        </w:rPr>
        <w:t>Existe carencia informativa en cuanto a los incentivos fiscales de ACS (deducciones y exenciones fiscales concedidas), a la cooperación con las administraciones tributarias y a la operativa intragrupo (política de compras y fijación de precios, volumen de endeudamiento frente al total o estructura de la propiedad intelectual), todo ello desglosado por países.</w:t>
      </w:r>
    </w:p>
    <w:p w14:paraId="2704CD2B" w14:textId="141FEEA5" w:rsidR="00B60D9F" w:rsidRDefault="00B60D9F" w:rsidP="00B60D9F">
      <w:pPr>
        <w:jc w:val="both"/>
        <w:rPr>
          <w:rFonts w:ascii="Open Sans" w:hAnsi="Open Sans" w:cs="Open Sans"/>
          <w:sz w:val="20"/>
          <w:szCs w:val="20"/>
        </w:rPr>
      </w:pPr>
    </w:p>
    <w:p w14:paraId="7E3FBD7D" w14:textId="77777777" w:rsidR="00B60D9F" w:rsidRDefault="00B60D9F" w:rsidP="00B60D9F">
      <w:pPr>
        <w:ind w:left="708"/>
        <w:jc w:val="both"/>
        <w:rPr>
          <w:rFonts w:ascii="Open Sans" w:hAnsi="Open Sans" w:cs="Open Sans"/>
        </w:rPr>
      </w:pPr>
    </w:p>
    <w:p w14:paraId="22E4FD8B" w14:textId="1CB943AE" w:rsidR="00B60D9F" w:rsidRDefault="00B60D9F">
      <w:r>
        <w:br w:type="page"/>
      </w:r>
    </w:p>
    <w:p w14:paraId="6D82E75A" w14:textId="77777777" w:rsidR="00B60D9F" w:rsidRDefault="00B60D9F" w:rsidP="00B60D9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bCs/>
          <w:caps/>
          <w:color w:val="FFFFFF"/>
        </w:rPr>
      </w:pPr>
      <w:bookmarkStart w:id="74" w:name="Arcelor"/>
      <w:r>
        <w:rPr>
          <w:rFonts w:ascii="Open Sans" w:hAnsi="Open Sans" w:cs="Open Sans"/>
          <w:b/>
          <w:bCs/>
          <w:caps/>
          <w:color w:val="FFFFFF"/>
        </w:rPr>
        <w:t>ARCELORMITTAL</w:t>
      </w:r>
    </w:p>
    <w:bookmarkEnd w:id="74"/>
    <w:p w14:paraId="51F26C78" w14:textId="77777777" w:rsidR="00B60D9F" w:rsidRDefault="00B60D9F" w:rsidP="00B60D9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Pr>
          <w:rFonts w:ascii="Open Sans" w:hAnsi="Open Sans" w:cs="Open Sans"/>
          <w:b/>
          <w:bCs/>
          <w:i/>
          <w:color w:val="FFFFFF"/>
        </w:rPr>
        <w:t>(ArcelorMittal)</w:t>
      </w:r>
    </w:p>
    <w:p w14:paraId="5C380C56" w14:textId="77777777" w:rsidR="00B60D9F" w:rsidRDefault="00B60D9F" w:rsidP="00B60D9F">
      <w:pPr>
        <w:pStyle w:val="Titulo1-informe"/>
      </w:pPr>
    </w:p>
    <w:p w14:paraId="025B55B6" w14:textId="77777777" w:rsidR="006E3A41" w:rsidRPr="006529A9" w:rsidRDefault="006E3A41" w:rsidP="006E3A41">
      <w:pPr>
        <w:pStyle w:val="Titulo1-informe"/>
        <w:rPr>
          <w:sz w:val="26"/>
        </w:rPr>
      </w:pPr>
      <w:r w:rsidRPr="006529A9">
        <w:t>1. Datos generales</w:t>
      </w:r>
    </w:p>
    <w:p w14:paraId="04F3EB61" w14:textId="77777777" w:rsidR="006E3A41" w:rsidRPr="006529A9" w:rsidRDefault="006E3A41" w:rsidP="006E3A41">
      <w:pPr>
        <w:jc w:val="both"/>
        <w:rPr>
          <w:rFonts w:ascii="Open Sans" w:hAnsi="Open Sans" w:cs="Arial"/>
          <w:sz w:val="22"/>
          <w:szCs w:val="22"/>
          <w:u w:val="single"/>
        </w:rPr>
      </w:pPr>
    </w:p>
    <w:p w14:paraId="1C99ADED"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u w:val="single"/>
        </w:rPr>
        <w:t>Productos/servicios</w:t>
      </w:r>
    </w:p>
    <w:p w14:paraId="4EB224B8" w14:textId="77777777" w:rsidR="006E3A41" w:rsidRPr="006529A9" w:rsidRDefault="006E3A41" w:rsidP="006E3A41">
      <w:pPr>
        <w:jc w:val="both"/>
        <w:rPr>
          <w:rFonts w:ascii="Open Sans" w:hAnsi="Open Sans" w:cs="Arial"/>
          <w:sz w:val="20"/>
          <w:szCs w:val="20"/>
        </w:rPr>
      </w:pPr>
    </w:p>
    <w:p w14:paraId="23378A50"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ArcelorMittal  ofrece a sus clientes los siguientes productos/ servicios:</w:t>
      </w:r>
    </w:p>
    <w:p w14:paraId="24C1EA98" w14:textId="77777777" w:rsidR="006E3A41" w:rsidRPr="006529A9" w:rsidRDefault="006E3A41" w:rsidP="006E3A41">
      <w:pPr>
        <w:jc w:val="both"/>
        <w:rPr>
          <w:rFonts w:ascii="Open Sans" w:hAnsi="Open Sans" w:cs="Arial"/>
          <w:sz w:val="20"/>
          <w:szCs w:val="20"/>
        </w:rPr>
      </w:pPr>
    </w:p>
    <w:p w14:paraId="3E51804B" w14:textId="77777777" w:rsidR="006E3A41" w:rsidRPr="006529A9" w:rsidRDefault="006E3A41" w:rsidP="006E3A41">
      <w:pPr>
        <w:numPr>
          <w:ilvl w:val="0"/>
          <w:numId w:val="21"/>
        </w:numPr>
        <w:jc w:val="both"/>
        <w:rPr>
          <w:rFonts w:ascii="Open Sans" w:hAnsi="Open Sans" w:cs="Arial"/>
          <w:sz w:val="20"/>
          <w:szCs w:val="20"/>
        </w:rPr>
      </w:pPr>
      <w:r w:rsidRPr="006529A9">
        <w:rPr>
          <w:rFonts w:ascii="Open Sans" w:hAnsi="Open Sans" w:cs="Arial"/>
          <w:sz w:val="20"/>
          <w:szCs w:val="20"/>
        </w:rPr>
        <w:t>Acero, en distintos formatos, con un alto grado de integración vertical en los dos sentidos (minería y productos adaptados a las necesidades de los clientes).</w:t>
      </w:r>
    </w:p>
    <w:p w14:paraId="57B38421" w14:textId="77777777" w:rsidR="006E3A41" w:rsidRPr="006529A9" w:rsidRDefault="006E3A41" w:rsidP="006E3A41">
      <w:pPr>
        <w:jc w:val="both"/>
        <w:rPr>
          <w:rFonts w:ascii="Open Sans" w:hAnsi="Open Sans" w:cs="Arial"/>
          <w:sz w:val="20"/>
          <w:szCs w:val="20"/>
        </w:rPr>
      </w:pPr>
    </w:p>
    <w:p w14:paraId="1CE0B963"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u w:val="single"/>
        </w:rPr>
        <w:t xml:space="preserve">Alcance geográfico </w:t>
      </w:r>
    </w:p>
    <w:p w14:paraId="7434C4CE" w14:textId="77777777" w:rsidR="006E3A41" w:rsidRPr="006529A9" w:rsidRDefault="006E3A41" w:rsidP="006E3A41">
      <w:pPr>
        <w:jc w:val="both"/>
        <w:rPr>
          <w:rFonts w:ascii="Open Sans" w:hAnsi="Open Sans" w:cs="Arial"/>
          <w:sz w:val="20"/>
          <w:szCs w:val="20"/>
        </w:rPr>
      </w:pPr>
    </w:p>
    <w:p w14:paraId="276F1BBB" w14:textId="77777777" w:rsidR="006E3A41" w:rsidRPr="006529A9" w:rsidRDefault="006E3A41" w:rsidP="006E3A41">
      <w:pPr>
        <w:jc w:val="both"/>
        <w:rPr>
          <w:rFonts w:ascii="Open Sans" w:hAnsi="Open Sans" w:cs="Arial"/>
          <w:sz w:val="20"/>
          <w:szCs w:val="20"/>
          <w:u w:val="single"/>
        </w:rPr>
      </w:pPr>
      <w:r w:rsidRPr="006529A9">
        <w:rPr>
          <w:rFonts w:ascii="Open Sans" w:hAnsi="Open Sans" w:cs="Open Sans"/>
          <w:color w:val="000000"/>
          <w:sz w:val="20"/>
          <w:szCs w:val="20"/>
        </w:rPr>
        <w:t xml:space="preserve">África (7): </w:t>
      </w:r>
      <w:r w:rsidRPr="006529A9">
        <w:rPr>
          <w:rFonts w:ascii="Open Sans" w:hAnsi="Open Sans" w:cs="Open Sans"/>
          <w:color w:val="000000"/>
          <w:sz w:val="20"/>
          <w:szCs w:val="20"/>
          <w:u w:val="single"/>
        </w:rPr>
        <w:t>Argelia</w:t>
      </w:r>
      <w:r w:rsidRPr="006529A9">
        <w:rPr>
          <w:rFonts w:ascii="Open Sans" w:hAnsi="Open Sans" w:cs="Open Sans"/>
          <w:color w:val="000000"/>
          <w:sz w:val="20"/>
          <w:szCs w:val="20"/>
        </w:rPr>
        <w:t xml:space="preserve">, Egipto, </w:t>
      </w:r>
      <w:r w:rsidRPr="006529A9">
        <w:rPr>
          <w:rFonts w:ascii="Open Sans" w:hAnsi="Open Sans" w:cs="Open Sans"/>
          <w:color w:val="000000"/>
          <w:sz w:val="20"/>
          <w:szCs w:val="20"/>
          <w:u w:val="single"/>
        </w:rPr>
        <w:t>Liberia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Marruecos</w:t>
      </w:r>
      <w:r w:rsidRPr="006529A9">
        <w:rPr>
          <w:rFonts w:ascii="Open Sans" w:hAnsi="Open Sans" w:cs="Open Sans"/>
          <w:color w:val="000000"/>
          <w:sz w:val="20"/>
          <w:szCs w:val="20"/>
        </w:rPr>
        <w:t xml:space="preserve">, Nigeria, Senegal, </w:t>
      </w:r>
      <w:r w:rsidRPr="006529A9">
        <w:rPr>
          <w:rFonts w:ascii="Open Sans" w:hAnsi="Open Sans" w:cs="Open Sans"/>
          <w:color w:val="000000"/>
          <w:sz w:val="20"/>
          <w:szCs w:val="20"/>
          <w:u w:val="single"/>
        </w:rPr>
        <w:t>Sudáfrica</w:t>
      </w:r>
      <w:r w:rsidRPr="006529A9">
        <w:rPr>
          <w:rFonts w:ascii="Open Sans" w:hAnsi="Open Sans" w:cs="Open Sans"/>
          <w:color w:val="000000"/>
          <w:sz w:val="20"/>
          <w:szCs w:val="20"/>
        </w:rPr>
        <w:t xml:space="preserve">; Asia y Oceanía (13): </w:t>
      </w:r>
      <w:r w:rsidRPr="006529A9">
        <w:rPr>
          <w:rFonts w:ascii="Open Sans" w:hAnsi="Open Sans" w:cs="Open Sans"/>
          <w:color w:val="000000"/>
          <w:sz w:val="20"/>
          <w:szCs w:val="20"/>
          <w:u w:val="single"/>
        </w:rPr>
        <w:t>Arabia Saudí</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Australia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China</w:t>
      </w:r>
      <w:r w:rsidRPr="006529A9">
        <w:rPr>
          <w:rFonts w:ascii="Open Sans" w:hAnsi="Open Sans" w:cs="Open Sans"/>
          <w:color w:val="000000"/>
          <w:sz w:val="20"/>
          <w:szCs w:val="20"/>
        </w:rPr>
        <w:t xml:space="preserve">, Corea del Sur, Emiratos Árabes, India, Japón, Kazajistán, Líbano, Pakistán, Singapur, Taiwán, Vietnam; Europa(30): </w:t>
      </w:r>
      <w:r w:rsidRPr="006529A9">
        <w:rPr>
          <w:rFonts w:ascii="Open Sans" w:hAnsi="Open Sans" w:cs="Open Sans"/>
          <w:color w:val="000000"/>
          <w:sz w:val="20"/>
          <w:szCs w:val="20"/>
          <w:u w:val="single"/>
        </w:rPr>
        <w:t>Alemania</w:t>
      </w:r>
      <w:r w:rsidRPr="006529A9">
        <w:rPr>
          <w:rFonts w:ascii="Open Sans" w:hAnsi="Open Sans" w:cs="Open Sans"/>
          <w:color w:val="000000"/>
          <w:sz w:val="20"/>
          <w:szCs w:val="20"/>
        </w:rPr>
        <w:t xml:space="preserve">, Austria, </w:t>
      </w:r>
      <w:r w:rsidRPr="006529A9">
        <w:rPr>
          <w:rFonts w:ascii="Open Sans" w:hAnsi="Open Sans" w:cs="Open Sans"/>
          <w:color w:val="000000"/>
          <w:sz w:val="20"/>
          <w:szCs w:val="20"/>
          <w:u w:val="single"/>
        </w:rPr>
        <w:t>Bélgica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Bosnia-Herzegovina</w:t>
      </w:r>
      <w:r w:rsidRPr="006529A9">
        <w:rPr>
          <w:rFonts w:ascii="Open Sans" w:hAnsi="Open Sans" w:cs="Open Sans"/>
          <w:color w:val="000000"/>
          <w:sz w:val="20"/>
          <w:szCs w:val="20"/>
        </w:rPr>
        <w:t xml:space="preserve">, Bulgaria, Croacia, Dinamarca, Eslovaquia, </w:t>
      </w:r>
      <w:r w:rsidRPr="006529A9">
        <w:rPr>
          <w:rFonts w:ascii="Open Sans" w:hAnsi="Open Sans" w:cs="Open Sans"/>
          <w:color w:val="000000"/>
          <w:sz w:val="20"/>
          <w:szCs w:val="20"/>
          <w:u w:val="single"/>
        </w:rPr>
        <w:t>España</w:t>
      </w:r>
      <w:r w:rsidRPr="006529A9">
        <w:rPr>
          <w:rFonts w:ascii="Open Sans" w:hAnsi="Open Sans" w:cs="Open Sans"/>
          <w:color w:val="000000"/>
          <w:sz w:val="20"/>
          <w:szCs w:val="20"/>
        </w:rPr>
        <w:t xml:space="preserve">, Estonia, Finlandia, </w:t>
      </w:r>
      <w:r w:rsidRPr="006529A9">
        <w:rPr>
          <w:rFonts w:ascii="Open Sans" w:hAnsi="Open Sans" w:cs="Open Sans"/>
          <w:color w:val="000000"/>
          <w:sz w:val="20"/>
          <w:szCs w:val="20"/>
          <w:u w:val="single"/>
        </w:rPr>
        <w:t>Francia</w:t>
      </w:r>
      <w:r w:rsidRPr="006529A9">
        <w:rPr>
          <w:rFonts w:ascii="Open Sans" w:hAnsi="Open Sans" w:cs="Open Sans"/>
          <w:color w:val="000000"/>
          <w:sz w:val="20"/>
          <w:szCs w:val="20"/>
        </w:rPr>
        <w:t xml:space="preserve">, Grecia, Holanda, Hungría, </w:t>
      </w:r>
      <w:r w:rsidRPr="006529A9">
        <w:rPr>
          <w:rFonts w:ascii="Open Sans" w:hAnsi="Open Sans" w:cs="Open Sans"/>
          <w:color w:val="000000"/>
          <w:sz w:val="20"/>
          <w:szCs w:val="20"/>
          <w:u w:val="single"/>
        </w:rPr>
        <w:t>Italia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Luxemburgo</w:t>
      </w:r>
      <w:r w:rsidRPr="006529A9">
        <w:rPr>
          <w:rFonts w:ascii="Open Sans" w:hAnsi="Open Sans" w:cs="Open Sans"/>
          <w:color w:val="000000"/>
          <w:sz w:val="20"/>
          <w:szCs w:val="20"/>
        </w:rPr>
        <w:t xml:space="preserve">, Macedonia, Noruega,  </w:t>
      </w:r>
      <w:r w:rsidRPr="006529A9">
        <w:rPr>
          <w:rFonts w:ascii="Open Sans" w:hAnsi="Open Sans" w:cs="Open Sans"/>
          <w:color w:val="000000"/>
          <w:sz w:val="20"/>
          <w:szCs w:val="20"/>
          <w:u w:val="single"/>
        </w:rPr>
        <w:t>Polonia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Portugal</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Reino Unido</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Rep. Checa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Rumanía</w:t>
      </w:r>
      <w:r w:rsidRPr="006529A9">
        <w:rPr>
          <w:rFonts w:ascii="Open Sans" w:hAnsi="Open Sans" w:cs="Open Sans"/>
          <w:color w:val="000000"/>
          <w:sz w:val="20"/>
          <w:szCs w:val="20"/>
        </w:rPr>
        <w:t xml:space="preserve">, Rusia, Serbia, Suecia, Suiza, Turquía, </w:t>
      </w:r>
      <w:r w:rsidRPr="006529A9">
        <w:rPr>
          <w:rFonts w:ascii="Open Sans" w:hAnsi="Open Sans" w:cs="Open Sans"/>
          <w:color w:val="000000"/>
          <w:sz w:val="20"/>
          <w:szCs w:val="20"/>
          <w:u w:val="single"/>
        </w:rPr>
        <w:t>Ucrania</w:t>
      </w:r>
      <w:r w:rsidRPr="006529A9">
        <w:rPr>
          <w:rFonts w:ascii="Open Sans" w:hAnsi="Open Sans" w:cs="Open Sans"/>
          <w:color w:val="000000"/>
          <w:sz w:val="20"/>
          <w:szCs w:val="20"/>
        </w:rPr>
        <w:t xml:space="preserve">; Norteamérica (3): </w:t>
      </w:r>
      <w:r w:rsidRPr="006529A9">
        <w:rPr>
          <w:rFonts w:ascii="Open Sans" w:hAnsi="Open Sans" w:cs="Open Sans"/>
          <w:color w:val="000000"/>
          <w:sz w:val="20"/>
          <w:szCs w:val="20"/>
          <w:u w:val="single"/>
        </w:rPr>
        <w:t>Canadá</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EEUU</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México</w:t>
      </w:r>
      <w:r w:rsidRPr="006529A9">
        <w:rPr>
          <w:rFonts w:ascii="Open Sans" w:hAnsi="Open Sans" w:cs="Open Sans"/>
          <w:color w:val="000000"/>
          <w:sz w:val="20"/>
          <w:szCs w:val="20"/>
        </w:rPr>
        <w:t xml:space="preserve">; Sudamérica (8): </w:t>
      </w:r>
      <w:r w:rsidRPr="006529A9">
        <w:rPr>
          <w:rFonts w:ascii="Open Sans" w:hAnsi="Open Sans" w:cs="Open Sans"/>
          <w:color w:val="000000"/>
          <w:sz w:val="20"/>
          <w:szCs w:val="20"/>
          <w:u w:val="single"/>
        </w:rPr>
        <w:t>Argentina</w:t>
      </w:r>
      <w:r w:rsidRPr="006529A9">
        <w:rPr>
          <w:rFonts w:ascii="Open Sans" w:hAnsi="Open Sans" w:cs="Open Sans"/>
          <w:color w:val="000000"/>
          <w:sz w:val="20"/>
          <w:szCs w:val="20"/>
        </w:rPr>
        <w:t xml:space="preserve">, </w:t>
      </w:r>
      <w:r w:rsidRPr="006529A9">
        <w:rPr>
          <w:rFonts w:ascii="Open Sans" w:hAnsi="Open Sans" w:cs="Open Sans"/>
          <w:color w:val="000000"/>
          <w:sz w:val="20"/>
          <w:szCs w:val="20"/>
          <w:u w:val="single"/>
        </w:rPr>
        <w:t>Brasil</w:t>
      </w:r>
      <w:r w:rsidRPr="006529A9">
        <w:rPr>
          <w:rFonts w:ascii="Open Sans" w:hAnsi="Open Sans" w:cs="Open Sans"/>
          <w:color w:val="000000"/>
          <w:sz w:val="20"/>
          <w:szCs w:val="20"/>
        </w:rPr>
        <w:t xml:space="preserve">, Chile, Colombia, </w:t>
      </w:r>
      <w:r w:rsidRPr="006529A9">
        <w:rPr>
          <w:rFonts w:ascii="Open Sans" w:hAnsi="Open Sans" w:cs="Open Sans"/>
          <w:color w:val="000000"/>
          <w:sz w:val="20"/>
          <w:szCs w:val="20"/>
          <w:u w:val="single"/>
        </w:rPr>
        <w:t>Costa Rica</w:t>
      </w:r>
      <w:r w:rsidRPr="006529A9">
        <w:rPr>
          <w:rFonts w:ascii="Open Sans" w:hAnsi="Open Sans" w:cs="Open Sans"/>
          <w:color w:val="000000"/>
          <w:sz w:val="20"/>
          <w:szCs w:val="20"/>
        </w:rPr>
        <w:t xml:space="preserve">, Ecuador, Perú, </w:t>
      </w:r>
      <w:r w:rsidRPr="006529A9">
        <w:rPr>
          <w:rFonts w:ascii="Open Sans" w:hAnsi="Open Sans" w:cs="Open Sans"/>
          <w:color w:val="000000"/>
          <w:sz w:val="20"/>
          <w:szCs w:val="20"/>
          <w:u w:val="single"/>
        </w:rPr>
        <w:t>Venezuela.</w:t>
      </w:r>
      <w:r w:rsidRPr="006529A9">
        <w:rPr>
          <w:rFonts w:ascii="Open Sans" w:hAnsi="Open Sans" w:cs="Open Sans"/>
          <w:color w:val="000000"/>
          <w:sz w:val="20"/>
          <w:szCs w:val="20"/>
        </w:rPr>
        <w:t xml:space="preserve"> Subrayados los países donde tiene presencia industrial o explotación minera. Pueden tener presencia en más países</w:t>
      </w:r>
      <w:r w:rsidRPr="006529A9">
        <w:rPr>
          <w:rStyle w:val="Refdenotaalpie"/>
          <w:rFonts w:ascii="Open Sans" w:hAnsi="Open Sans" w:cs="Arial"/>
          <w:sz w:val="20"/>
        </w:rPr>
        <w:footnoteReference w:id="299"/>
      </w:r>
      <w:proofErr w:type="gramStart"/>
      <w:r w:rsidRPr="006529A9">
        <w:rPr>
          <w:rFonts w:ascii="Open Sans" w:hAnsi="Open Sans" w:cs="Open Sans"/>
          <w:color w:val="000000"/>
          <w:sz w:val="20"/>
          <w:szCs w:val="20"/>
          <w:vertAlign w:val="superscript"/>
        </w:rPr>
        <w:t>y</w:t>
      </w:r>
      <w:r w:rsidRPr="006529A9">
        <w:rPr>
          <w:rFonts w:ascii="Open Sans" w:hAnsi="Open Sans" w:cs="Open Sans"/>
          <w:color w:val="000000"/>
          <w:sz w:val="20"/>
          <w:szCs w:val="20"/>
        </w:rPr>
        <w:t xml:space="preserve"> </w:t>
      </w:r>
      <w:proofErr w:type="gramEnd"/>
      <w:r w:rsidRPr="006529A9">
        <w:rPr>
          <w:rStyle w:val="Refdenotaalpie"/>
          <w:rFonts w:ascii="Open Sans" w:hAnsi="Open Sans" w:cs="Open Sans"/>
          <w:color w:val="000000"/>
          <w:sz w:val="20"/>
        </w:rPr>
        <w:footnoteReference w:id="300"/>
      </w:r>
      <w:r w:rsidRPr="006529A9">
        <w:rPr>
          <w:rFonts w:ascii="Open Sans" w:hAnsi="Open Sans" w:cs="Open Sans"/>
          <w:color w:val="000000"/>
          <w:sz w:val="20"/>
          <w:szCs w:val="20"/>
        </w:rPr>
        <w:t>.</w:t>
      </w:r>
    </w:p>
    <w:p w14:paraId="6C87A960" w14:textId="77777777" w:rsidR="006E3A41" w:rsidRPr="006529A9" w:rsidRDefault="006E3A41" w:rsidP="006E3A41">
      <w:pPr>
        <w:jc w:val="both"/>
        <w:rPr>
          <w:rFonts w:ascii="Open Sans" w:hAnsi="Open Sans" w:cs="Arial"/>
          <w:sz w:val="20"/>
          <w:szCs w:val="20"/>
          <w:u w:val="single"/>
        </w:rPr>
      </w:pPr>
    </w:p>
    <w:p w14:paraId="2B79BCEA" w14:textId="77777777" w:rsidR="006E3A41" w:rsidRPr="006529A9" w:rsidRDefault="006E3A41" w:rsidP="006E3A41">
      <w:pPr>
        <w:jc w:val="both"/>
        <w:rPr>
          <w:rFonts w:ascii="Open Sans" w:hAnsi="Open Sans" w:cs="Arial"/>
          <w:sz w:val="20"/>
          <w:szCs w:val="20"/>
          <w:u w:val="single"/>
        </w:rPr>
      </w:pPr>
      <w:r w:rsidRPr="006529A9">
        <w:rPr>
          <w:rFonts w:ascii="Open Sans" w:hAnsi="Open Sans" w:cs="Arial"/>
          <w:sz w:val="20"/>
          <w:szCs w:val="20"/>
          <w:u w:val="single"/>
        </w:rPr>
        <w:t>Cifras relevantes de la empresa:</w:t>
      </w:r>
    </w:p>
    <w:p w14:paraId="78512C5B" w14:textId="77777777" w:rsidR="006E3A41" w:rsidRPr="006529A9" w:rsidRDefault="006E3A41" w:rsidP="006E3A41">
      <w:pPr>
        <w:jc w:val="both"/>
        <w:rPr>
          <w:rFonts w:ascii="Open Sans" w:hAnsi="Open Sans" w:cs="Arial"/>
          <w:sz w:val="20"/>
          <w:szCs w:val="20"/>
          <w:u w:val="single"/>
        </w:rPr>
      </w:pPr>
    </w:p>
    <w:p w14:paraId="5D1F869C" w14:textId="77777777" w:rsidR="006E3A41" w:rsidRPr="006529A9" w:rsidRDefault="006E3A41" w:rsidP="006E3A41">
      <w:pPr>
        <w:jc w:val="both"/>
        <w:rPr>
          <w:rFonts w:ascii="Open Sans" w:hAnsi="Open Sans" w:cs="Arial"/>
          <w:sz w:val="20"/>
          <w:szCs w:val="20"/>
          <w:u w:val="single"/>
        </w:rPr>
      </w:pPr>
    </w:p>
    <w:tbl>
      <w:tblPr>
        <w:tblW w:w="7780" w:type="dxa"/>
        <w:jc w:val="center"/>
        <w:tblInd w:w="65" w:type="dxa"/>
        <w:tblCellMar>
          <w:left w:w="70" w:type="dxa"/>
          <w:right w:w="70" w:type="dxa"/>
        </w:tblCellMar>
        <w:tblLook w:val="04A0" w:firstRow="1" w:lastRow="0" w:firstColumn="1" w:lastColumn="0" w:noHBand="0" w:noVBand="1"/>
      </w:tblPr>
      <w:tblGrid>
        <w:gridCol w:w="3549"/>
        <w:gridCol w:w="4231"/>
      </w:tblGrid>
      <w:tr w:rsidR="006E3A41" w:rsidRPr="006529A9" w14:paraId="63EA70FA" w14:textId="77777777" w:rsidTr="006E3A41">
        <w:trPr>
          <w:trHeight w:val="729"/>
          <w:jc w:val="center"/>
        </w:trPr>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1D7BE9B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xml:space="preserve">Cifra de negocios (€): </w:t>
            </w:r>
            <w:r w:rsidRPr="006529A9">
              <w:rPr>
                <w:rFonts w:ascii="Open Sans" w:hAnsi="Open Sans" w:cs="Calibri"/>
                <w:color w:val="000000"/>
                <w:sz w:val="20"/>
                <w:szCs w:val="20"/>
              </w:rPr>
              <w:br/>
              <w:t>(Indicar cifra seleccionada: facturación, etc.)</w:t>
            </w:r>
          </w:p>
        </w:tc>
        <w:tc>
          <w:tcPr>
            <w:tcW w:w="4231" w:type="dxa"/>
            <w:tcBorders>
              <w:top w:val="single" w:sz="4" w:space="0" w:color="auto"/>
              <w:left w:val="nil"/>
              <w:bottom w:val="single" w:sz="4" w:space="0" w:color="auto"/>
              <w:right w:val="single" w:sz="4" w:space="0" w:color="auto"/>
            </w:tcBorders>
            <w:shd w:val="clear" w:color="auto" w:fill="auto"/>
            <w:noWrap/>
            <w:vAlign w:val="center"/>
            <w:hideMark/>
          </w:tcPr>
          <w:p w14:paraId="35C1B932" w14:textId="77777777" w:rsidR="006E3A41" w:rsidRPr="006529A9" w:rsidRDefault="006E3A41" w:rsidP="006E3A41">
            <w:pPr>
              <w:jc w:val="both"/>
              <w:rPr>
                <w:rFonts w:ascii="Open Sans" w:hAnsi="Open Sans" w:cs="Open Sans"/>
                <w:color w:val="000000"/>
                <w:sz w:val="20"/>
                <w:szCs w:val="20"/>
              </w:rPr>
            </w:pPr>
            <w:r w:rsidRPr="006529A9">
              <w:rPr>
                <w:rFonts w:ascii="Open Sans" w:hAnsi="Open Sans" w:cs="Open Sans"/>
                <w:color w:val="000000"/>
                <w:sz w:val="20"/>
                <w:szCs w:val="20"/>
              </w:rPr>
              <w:t>Facturación 63.578 ( millones de $)</w:t>
            </w:r>
          </w:p>
        </w:tc>
      </w:tr>
      <w:tr w:rsidR="006E3A41" w:rsidRPr="006529A9" w14:paraId="7A4098C8" w14:textId="77777777" w:rsidTr="006E3A41">
        <w:trPr>
          <w:trHeight w:val="387"/>
          <w:jc w:val="center"/>
        </w:trPr>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33FD216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Activos Totales (€)</w:t>
            </w:r>
          </w:p>
        </w:tc>
        <w:tc>
          <w:tcPr>
            <w:tcW w:w="4231" w:type="dxa"/>
            <w:tcBorders>
              <w:top w:val="single" w:sz="4" w:space="0" w:color="auto"/>
              <w:left w:val="nil"/>
              <w:bottom w:val="single" w:sz="4" w:space="0" w:color="auto"/>
              <w:right w:val="single" w:sz="4" w:space="0" w:color="auto"/>
            </w:tcBorders>
            <w:shd w:val="clear" w:color="auto" w:fill="auto"/>
            <w:noWrap/>
            <w:vAlign w:val="center"/>
            <w:hideMark/>
          </w:tcPr>
          <w:p w14:paraId="10F74C8E" w14:textId="77777777" w:rsidR="006E3A41" w:rsidRPr="006529A9" w:rsidRDefault="006E3A41" w:rsidP="006E3A41">
            <w:pPr>
              <w:jc w:val="both"/>
              <w:rPr>
                <w:rFonts w:ascii="Open Sans" w:hAnsi="Open Sans" w:cs="Open Sans"/>
                <w:color w:val="000000"/>
                <w:sz w:val="20"/>
                <w:szCs w:val="20"/>
              </w:rPr>
            </w:pPr>
            <w:r w:rsidRPr="006529A9">
              <w:rPr>
                <w:rFonts w:ascii="Open Sans" w:hAnsi="Open Sans" w:cs="Open Sans"/>
                <w:color w:val="000000"/>
                <w:sz w:val="20"/>
                <w:szCs w:val="20"/>
              </w:rPr>
              <w:t xml:space="preserve"> ------ </w:t>
            </w:r>
          </w:p>
        </w:tc>
      </w:tr>
      <w:tr w:rsidR="006E3A41" w:rsidRPr="006529A9" w14:paraId="3D82C373" w14:textId="77777777" w:rsidTr="006E3A41">
        <w:trPr>
          <w:trHeight w:val="392"/>
          <w:jc w:val="center"/>
        </w:trPr>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1B322F8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Número de empleados (totales):</w:t>
            </w:r>
          </w:p>
        </w:tc>
        <w:tc>
          <w:tcPr>
            <w:tcW w:w="4231" w:type="dxa"/>
            <w:tcBorders>
              <w:top w:val="single" w:sz="4" w:space="0" w:color="auto"/>
              <w:left w:val="nil"/>
              <w:bottom w:val="single" w:sz="4" w:space="0" w:color="auto"/>
              <w:right w:val="single" w:sz="4" w:space="0" w:color="auto"/>
            </w:tcBorders>
            <w:shd w:val="clear" w:color="auto" w:fill="auto"/>
            <w:noWrap/>
            <w:vAlign w:val="center"/>
            <w:hideMark/>
          </w:tcPr>
          <w:p w14:paraId="6F557BFE" w14:textId="77777777" w:rsidR="006E3A41" w:rsidRPr="006529A9" w:rsidRDefault="006E3A41" w:rsidP="006E3A41">
            <w:pPr>
              <w:jc w:val="both"/>
              <w:rPr>
                <w:rFonts w:ascii="Open Sans" w:hAnsi="Open Sans" w:cs="Open Sans"/>
                <w:color w:val="000000"/>
                <w:sz w:val="20"/>
                <w:szCs w:val="20"/>
              </w:rPr>
            </w:pPr>
            <w:r w:rsidRPr="006529A9">
              <w:rPr>
                <w:rFonts w:ascii="Open Sans" w:hAnsi="Open Sans" w:cs="Open Sans"/>
                <w:color w:val="000000"/>
                <w:sz w:val="20"/>
                <w:szCs w:val="20"/>
              </w:rPr>
              <w:t xml:space="preserve">209.404 </w:t>
            </w:r>
          </w:p>
        </w:tc>
      </w:tr>
      <w:tr w:rsidR="006E3A41" w:rsidRPr="006529A9" w14:paraId="67ACE3BA" w14:textId="77777777" w:rsidTr="006E3A41">
        <w:trPr>
          <w:trHeight w:val="425"/>
          <w:jc w:val="center"/>
        </w:trPr>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5C90D62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Beneficio antes de impuestos (€)</w:t>
            </w:r>
          </w:p>
        </w:tc>
        <w:tc>
          <w:tcPr>
            <w:tcW w:w="4231" w:type="dxa"/>
            <w:tcBorders>
              <w:top w:val="single" w:sz="4" w:space="0" w:color="auto"/>
              <w:left w:val="nil"/>
              <w:bottom w:val="single" w:sz="4" w:space="0" w:color="auto"/>
              <w:right w:val="single" w:sz="4" w:space="0" w:color="auto"/>
            </w:tcBorders>
            <w:shd w:val="clear" w:color="auto" w:fill="auto"/>
            <w:noWrap/>
            <w:vAlign w:val="center"/>
            <w:hideMark/>
          </w:tcPr>
          <w:p w14:paraId="3B73E1DE" w14:textId="77777777" w:rsidR="006E3A41" w:rsidRPr="006529A9" w:rsidRDefault="006E3A41" w:rsidP="006E3A41">
            <w:pPr>
              <w:jc w:val="both"/>
              <w:rPr>
                <w:rFonts w:ascii="Open Sans" w:hAnsi="Open Sans" w:cs="Open Sans"/>
                <w:color w:val="000000"/>
                <w:sz w:val="20"/>
                <w:szCs w:val="20"/>
              </w:rPr>
            </w:pPr>
            <w:r w:rsidRPr="006529A9">
              <w:rPr>
                <w:rFonts w:ascii="Open Sans" w:hAnsi="Open Sans" w:cs="Open Sans"/>
                <w:color w:val="000000"/>
                <w:sz w:val="20"/>
                <w:szCs w:val="20"/>
              </w:rPr>
              <w:t>-8.423,00 millones de $</w:t>
            </w:r>
          </w:p>
        </w:tc>
      </w:tr>
      <w:tr w:rsidR="006E3A41" w:rsidRPr="006529A9" w14:paraId="16D8A36C" w14:textId="77777777" w:rsidTr="006E3A41">
        <w:trPr>
          <w:trHeight w:val="418"/>
          <w:jc w:val="center"/>
        </w:trPr>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6EA94DD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Impuesto sobre sociedades (€)</w:t>
            </w:r>
          </w:p>
        </w:tc>
        <w:tc>
          <w:tcPr>
            <w:tcW w:w="4231" w:type="dxa"/>
            <w:tcBorders>
              <w:top w:val="single" w:sz="4" w:space="0" w:color="auto"/>
              <w:left w:val="nil"/>
              <w:bottom w:val="single" w:sz="4" w:space="0" w:color="auto"/>
              <w:right w:val="single" w:sz="4" w:space="0" w:color="auto"/>
            </w:tcBorders>
            <w:shd w:val="clear" w:color="auto" w:fill="auto"/>
            <w:noWrap/>
            <w:vAlign w:val="center"/>
            <w:hideMark/>
          </w:tcPr>
          <w:p w14:paraId="701CAAFD" w14:textId="77777777" w:rsidR="006E3A41" w:rsidRPr="006529A9" w:rsidRDefault="006E3A41" w:rsidP="006E3A41">
            <w:pPr>
              <w:jc w:val="both"/>
              <w:rPr>
                <w:rFonts w:ascii="Open Sans" w:hAnsi="Open Sans" w:cs="Open Sans"/>
                <w:color w:val="000000"/>
                <w:sz w:val="20"/>
                <w:szCs w:val="20"/>
              </w:rPr>
            </w:pPr>
            <w:r w:rsidRPr="006529A9">
              <w:rPr>
                <w:rFonts w:ascii="Open Sans" w:hAnsi="Open Sans" w:cs="Open Sans"/>
                <w:color w:val="000000"/>
                <w:sz w:val="20"/>
                <w:szCs w:val="20"/>
              </w:rPr>
              <w:t xml:space="preserve">  902,00 millones de $</w:t>
            </w:r>
          </w:p>
        </w:tc>
      </w:tr>
      <w:tr w:rsidR="006E3A41" w:rsidRPr="006529A9" w14:paraId="3678528A" w14:textId="77777777" w:rsidTr="006E3A41">
        <w:trPr>
          <w:trHeight w:val="410"/>
          <w:jc w:val="center"/>
        </w:trPr>
        <w:tc>
          <w:tcPr>
            <w:tcW w:w="3549" w:type="dxa"/>
            <w:tcBorders>
              <w:top w:val="single" w:sz="4" w:space="0" w:color="auto"/>
              <w:left w:val="single" w:sz="4" w:space="0" w:color="auto"/>
              <w:bottom w:val="single" w:sz="4" w:space="0" w:color="auto"/>
              <w:right w:val="single" w:sz="4" w:space="0" w:color="auto"/>
            </w:tcBorders>
            <w:shd w:val="clear" w:color="auto" w:fill="auto"/>
            <w:hideMark/>
          </w:tcPr>
          <w:p w14:paraId="1002354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Tasa efectiva (Impuesto/Beneficio)</w:t>
            </w:r>
          </w:p>
        </w:tc>
        <w:tc>
          <w:tcPr>
            <w:tcW w:w="4231" w:type="dxa"/>
            <w:tcBorders>
              <w:top w:val="single" w:sz="4" w:space="0" w:color="auto"/>
              <w:left w:val="nil"/>
              <w:bottom w:val="single" w:sz="4" w:space="0" w:color="auto"/>
              <w:right w:val="single" w:sz="4" w:space="0" w:color="auto"/>
            </w:tcBorders>
            <w:shd w:val="clear" w:color="auto" w:fill="auto"/>
            <w:noWrap/>
            <w:vAlign w:val="center"/>
            <w:hideMark/>
          </w:tcPr>
          <w:p w14:paraId="3FC2FD33" w14:textId="77777777" w:rsidR="006E3A41" w:rsidRPr="006529A9" w:rsidRDefault="006E3A41" w:rsidP="006E3A41">
            <w:pPr>
              <w:jc w:val="both"/>
              <w:rPr>
                <w:rFonts w:ascii="Open Sans" w:hAnsi="Open Sans" w:cs="Open Sans"/>
                <w:color w:val="000000"/>
                <w:sz w:val="20"/>
                <w:szCs w:val="20"/>
              </w:rPr>
            </w:pPr>
            <w:r w:rsidRPr="006529A9">
              <w:rPr>
                <w:rFonts w:ascii="Open Sans" w:hAnsi="Open Sans" w:cs="Open Sans"/>
                <w:color w:val="000000"/>
                <w:sz w:val="20"/>
                <w:szCs w:val="20"/>
              </w:rPr>
              <w:t>-11%</w:t>
            </w:r>
          </w:p>
        </w:tc>
      </w:tr>
    </w:tbl>
    <w:p w14:paraId="410336C6" w14:textId="77777777" w:rsidR="006E3A41" w:rsidRPr="006529A9" w:rsidRDefault="006E3A41" w:rsidP="006E3A41">
      <w:pPr>
        <w:jc w:val="both"/>
        <w:rPr>
          <w:rFonts w:ascii="Open Sans" w:hAnsi="Open Sans" w:cs="Arial"/>
          <w:sz w:val="20"/>
          <w:szCs w:val="20"/>
        </w:rPr>
      </w:pPr>
    </w:p>
    <w:p w14:paraId="33591E13" w14:textId="77777777" w:rsidR="006E3A41" w:rsidRPr="006529A9" w:rsidRDefault="006E3A41" w:rsidP="006E3A41">
      <w:pPr>
        <w:jc w:val="both"/>
        <w:rPr>
          <w:rFonts w:ascii="Open Sans" w:hAnsi="Open Sans" w:cs="Arial"/>
          <w:sz w:val="20"/>
          <w:szCs w:val="20"/>
        </w:rPr>
      </w:pPr>
    </w:p>
    <w:p w14:paraId="7CE39810" w14:textId="77777777" w:rsidR="006E3A41" w:rsidRPr="006529A9" w:rsidRDefault="006E3A41" w:rsidP="006E3A41">
      <w:pPr>
        <w:jc w:val="both"/>
        <w:rPr>
          <w:rFonts w:ascii="Open Sans" w:hAnsi="Open Sans" w:cs="Arial"/>
          <w:sz w:val="20"/>
          <w:szCs w:val="20"/>
        </w:rPr>
      </w:pPr>
    </w:p>
    <w:p w14:paraId="424DA3DC"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br w:type="page"/>
      </w:r>
    </w:p>
    <w:p w14:paraId="3794071D" w14:textId="77777777" w:rsidR="006E3A41" w:rsidRPr="006529A9" w:rsidRDefault="006E3A41" w:rsidP="006E3A41">
      <w:pPr>
        <w:jc w:val="both"/>
        <w:rPr>
          <w:rFonts w:ascii="Open Sans" w:hAnsi="Open Sans" w:cs="Arial"/>
          <w:sz w:val="20"/>
          <w:szCs w:val="20"/>
          <w:u w:val="single"/>
        </w:rPr>
      </w:pPr>
      <w:r w:rsidRPr="006529A9">
        <w:rPr>
          <w:rFonts w:ascii="Open Sans" w:hAnsi="Open Sans" w:cs="Arial"/>
          <w:sz w:val="20"/>
          <w:szCs w:val="20"/>
          <w:u w:val="single"/>
        </w:rPr>
        <w:t>Estándares voluntarios relacionados con fiscalidad responsable</w:t>
      </w:r>
    </w:p>
    <w:p w14:paraId="44E1B55B" w14:textId="77777777" w:rsidR="006E3A41" w:rsidRPr="006529A9" w:rsidRDefault="006E3A41" w:rsidP="006E3A41">
      <w:pPr>
        <w:jc w:val="both"/>
        <w:rPr>
          <w:rFonts w:ascii="Open Sans" w:hAnsi="Open Sans" w:cs="Arial"/>
          <w:sz w:val="20"/>
          <w:szCs w:val="20"/>
          <w:u w:val="single"/>
        </w:rPr>
      </w:pPr>
    </w:p>
    <w:p w14:paraId="21F74B63" w14:textId="77777777" w:rsidR="006E3A41" w:rsidRPr="006529A9" w:rsidRDefault="006E3A41" w:rsidP="006E3A41">
      <w:pPr>
        <w:jc w:val="both"/>
        <w:rPr>
          <w:rFonts w:ascii="Open Sans" w:hAnsi="Open Sans" w:cs="Open Sans"/>
          <w:sz w:val="20"/>
          <w:szCs w:val="20"/>
        </w:rPr>
      </w:pPr>
      <w:r w:rsidRPr="006529A9">
        <w:rPr>
          <w:rFonts w:ascii="Open Sans" w:hAnsi="Open Sans" w:cs="Open Sans"/>
          <w:sz w:val="20"/>
          <w:szCs w:val="20"/>
        </w:rPr>
        <w:t>ArcelorMittal  informa que se ha adherido voluntariamente a los siguientes estándares relacionados con contenidos y sistemas de gestión de fiscalidad responsable:</w:t>
      </w:r>
    </w:p>
    <w:p w14:paraId="2713DAF3" w14:textId="77777777" w:rsidR="006E3A41" w:rsidRPr="006529A9" w:rsidRDefault="006E3A41" w:rsidP="006E3A41">
      <w:pPr>
        <w:jc w:val="both"/>
        <w:rPr>
          <w:rFonts w:ascii="Open Sans" w:hAnsi="Open Sans" w:cs="Open Sans"/>
          <w:sz w:val="20"/>
          <w:szCs w:val="20"/>
        </w:rPr>
      </w:pPr>
    </w:p>
    <w:p w14:paraId="3FC368C8" w14:textId="77777777" w:rsidR="006E3A41" w:rsidRPr="006529A9" w:rsidRDefault="006E3A41" w:rsidP="006E3A41">
      <w:pPr>
        <w:numPr>
          <w:ilvl w:val="0"/>
          <w:numId w:val="22"/>
        </w:numPr>
        <w:jc w:val="both"/>
        <w:rPr>
          <w:rFonts w:ascii="Open Sans" w:hAnsi="Open Sans" w:cs="Open Sans"/>
          <w:sz w:val="20"/>
          <w:szCs w:val="20"/>
        </w:rPr>
      </w:pPr>
      <w:r w:rsidRPr="006529A9">
        <w:rPr>
          <w:rFonts w:ascii="Open Sans" w:hAnsi="Open Sans" w:cs="Open Sans"/>
          <w:color w:val="000000"/>
          <w:sz w:val="20"/>
          <w:szCs w:val="20"/>
        </w:rPr>
        <w:t>EITI, Iniciativa para la Transparencia de Industrias Extractivas</w:t>
      </w:r>
    </w:p>
    <w:p w14:paraId="46978597" w14:textId="77777777" w:rsidR="006E3A41" w:rsidRPr="006529A9" w:rsidRDefault="006E3A41" w:rsidP="006E3A41">
      <w:pPr>
        <w:jc w:val="both"/>
        <w:rPr>
          <w:rFonts w:ascii="Open Sans" w:hAnsi="Open Sans" w:cs="Arial"/>
          <w:sz w:val="20"/>
          <w:szCs w:val="20"/>
        </w:rPr>
      </w:pPr>
    </w:p>
    <w:p w14:paraId="3DECCFE4" w14:textId="77777777" w:rsidR="006E3A41" w:rsidRPr="006529A9" w:rsidRDefault="006E3A41" w:rsidP="006E3A41">
      <w:pPr>
        <w:jc w:val="both"/>
        <w:rPr>
          <w:rFonts w:ascii="Open Sans" w:hAnsi="Open Sans" w:cs="Arial"/>
          <w:sz w:val="20"/>
          <w:szCs w:val="20"/>
          <w:u w:val="single"/>
        </w:rPr>
      </w:pPr>
    </w:p>
    <w:p w14:paraId="40F03618" w14:textId="77777777" w:rsidR="006E3A41" w:rsidRPr="006529A9" w:rsidRDefault="006E3A41" w:rsidP="006E3A41">
      <w:pPr>
        <w:jc w:val="both"/>
        <w:rPr>
          <w:rFonts w:ascii="Open Sans" w:hAnsi="Open Sans" w:cs="Arial"/>
          <w:sz w:val="20"/>
          <w:szCs w:val="20"/>
          <w:u w:val="single"/>
        </w:rPr>
      </w:pPr>
      <w:r w:rsidRPr="006529A9">
        <w:rPr>
          <w:rFonts w:ascii="Open Sans" w:hAnsi="Open Sans" w:cs="Arial"/>
          <w:sz w:val="20"/>
          <w:szCs w:val="20"/>
          <w:u w:val="single"/>
        </w:rPr>
        <w:t>Documentos incluidos en el análisis</w:t>
      </w:r>
    </w:p>
    <w:p w14:paraId="5A580F82" w14:textId="77777777" w:rsidR="006E3A41" w:rsidRPr="006529A9" w:rsidRDefault="006E3A41" w:rsidP="006E3A41">
      <w:pPr>
        <w:ind w:firstLine="709"/>
        <w:jc w:val="both"/>
        <w:rPr>
          <w:rFonts w:ascii="Open Sans" w:hAnsi="Open Sans" w:cs="Arial"/>
          <w:sz w:val="20"/>
          <w:szCs w:val="20"/>
        </w:rPr>
      </w:pPr>
    </w:p>
    <w:p w14:paraId="7F57D16E"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Para el análisis de la calidad de la información relacionada con RSC de la empresa, se ha tenido en cuenta la información contenida en la siguiente documentación:</w:t>
      </w:r>
    </w:p>
    <w:p w14:paraId="670A55AE" w14:textId="77777777" w:rsidR="006E3A41" w:rsidRPr="006529A9" w:rsidRDefault="006E3A41" w:rsidP="006E3A41">
      <w:pPr>
        <w:ind w:firstLine="709"/>
        <w:jc w:val="both"/>
        <w:rPr>
          <w:rFonts w:ascii="Open Sans" w:hAnsi="Open Sans" w:cs="Arial"/>
          <w:sz w:val="22"/>
          <w:szCs w:val="22"/>
        </w:rPr>
      </w:pPr>
    </w:p>
    <w:p w14:paraId="1285E3A2" w14:textId="77777777" w:rsidR="006E3A41" w:rsidRPr="006529A9" w:rsidRDefault="006E3A41" w:rsidP="006E3A41">
      <w:pPr>
        <w:jc w:val="both"/>
        <w:rPr>
          <w:rFonts w:ascii="Open Sans" w:hAnsi="Open Sans" w:cs="Arial"/>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270"/>
        <w:gridCol w:w="3238"/>
      </w:tblGrid>
      <w:tr w:rsidR="006E3A41" w:rsidRPr="006529A9" w14:paraId="6255A440" w14:textId="77777777" w:rsidTr="006E3A41">
        <w:trPr>
          <w:trHeight w:val="315"/>
          <w:tblHeader/>
        </w:trPr>
        <w:tc>
          <w:tcPr>
            <w:tcW w:w="3097" w:type="pct"/>
            <w:shd w:val="clear" w:color="000000" w:fill="333399"/>
            <w:hideMark/>
          </w:tcPr>
          <w:p w14:paraId="357A7526" w14:textId="77777777" w:rsidR="006E3A41" w:rsidRPr="006529A9" w:rsidRDefault="006E3A41" w:rsidP="006E3A41">
            <w:pPr>
              <w:jc w:val="center"/>
              <w:rPr>
                <w:rFonts w:ascii="Open Sans" w:hAnsi="Open Sans" w:cs="Arial"/>
                <w:b/>
                <w:bCs/>
                <w:color w:val="FFFFFF"/>
                <w:sz w:val="20"/>
                <w:szCs w:val="20"/>
              </w:rPr>
            </w:pPr>
            <w:r w:rsidRPr="006529A9">
              <w:rPr>
                <w:rFonts w:ascii="Open Sans" w:hAnsi="Open Sans" w:cs="Arial"/>
                <w:b/>
                <w:bCs/>
                <w:color w:val="FFFFFF"/>
                <w:sz w:val="20"/>
                <w:szCs w:val="20"/>
              </w:rPr>
              <w:t>DOCUMENTACIÓN</w:t>
            </w:r>
          </w:p>
        </w:tc>
        <w:tc>
          <w:tcPr>
            <w:tcW w:w="1903" w:type="pct"/>
            <w:shd w:val="clear" w:color="000000" w:fill="333399"/>
            <w:hideMark/>
          </w:tcPr>
          <w:p w14:paraId="35ED0E98" w14:textId="77777777" w:rsidR="006E3A41" w:rsidRPr="006529A9" w:rsidRDefault="006E3A41" w:rsidP="006E3A41">
            <w:pPr>
              <w:jc w:val="center"/>
              <w:rPr>
                <w:rFonts w:ascii="Open Sans" w:hAnsi="Open Sans" w:cs="Arial"/>
                <w:b/>
                <w:bCs/>
                <w:color w:val="FFFFFF"/>
                <w:sz w:val="20"/>
                <w:szCs w:val="20"/>
              </w:rPr>
            </w:pPr>
            <w:r w:rsidRPr="006529A9">
              <w:rPr>
                <w:rFonts w:ascii="Open Sans" w:hAnsi="Open Sans" w:cs="Arial"/>
                <w:b/>
                <w:bCs/>
                <w:color w:val="FFFFFF"/>
                <w:sz w:val="20"/>
                <w:szCs w:val="20"/>
              </w:rPr>
              <w:t>OBSERVACIONES</w:t>
            </w:r>
          </w:p>
        </w:tc>
      </w:tr>
      <w:tr w:rsidR="006E3A41" w:rsidRPr="006529A9" w14:paraId="1267E400" w14:textId="77777777" w:rsidTr="006E3A41">
        <w:trPr>
          <w:trHeight w:val="300"/>
        </w:trPr>
        <w:tc>
          <w:tcPr>
            <w:tcW w:w="3097" w:type="pct"/>
            <w:shd w:val="clear" w:color="auto" w:fill="auto"/>
            <w:vAlign w:val="bottom"/>
            <w:hideMark/>
          </w:tcPr>
          <w:p w14:paraId="0A8B0C96" w14:textId="77777777" w:rsidR="006E3A41" w:rsidRPr="006529A9" w:rsidRDefault="006E3A41" w:rsidP="006E3A41">
            <w:pPr>
              <w:rPr>
                <w:rFonts w:ascii="Open Sans" w:eastAsia="Arial Unicode MS" w:hAnsi="Open Sans" w:cs="Arial"/>
                <w:sz w:val="20"/>
                <w:szCs w:val="20"/>
              </w:rPr>
            </w:pPr>
            <w:r w:rsidRPr="006529A9">
              <w:rPr>
                <w:rFonts w:ascii="Open Sans" w:eastAsia="Arial Unicode MS" w:hAnsi="Open Sans" w:cs="Arial"/>
                <w:sz w:val="20"/>
                <w:szCs w:val="20"/>
              </w:rPr>
              <w:t xml:space="preserve">web </w:t>
            </w:r>
          </w:p>
        </w:tc>
        <w:tc>
          <w:tcPr>
            <w:tcW w:w="1903" w:type="pct"/>
            <w:shd w:val="clear" w:color="auto" w:fill="auto"/>
            <w:noWrap/>
            <w:vAlign w:val="bottom"/>
            <w:hideMark/>
          </w:tcPr>
          <w:p w14:paraId="136E8819" w14:textId="77777777" w:rsidR="006E3A41" w:rsidRPr="006529A9" w:rsidRDefault="007F55EB" w:rsidP="006E3A41">
            <w:pPr>
              <w:jc w:val="both"/>
              <w:rPr>
                <w:rFonts w:ascii="Open Sans" w:eastAsia="Arial Unicode MS" w:hAnsi="Open Sans" w:cs="Arial"/>
                <w:sz w:val="20"/>
                <w:szCs w:val="20"/>
              </w:rPr>
            </w:pPr>
            <w:hyperlink r:id="rId71" w:history="1">
              <w:r w:rsidR="006E3A41" w:rsidRPr="006529A9">
                <w:rPr>
                  <w:rStyle w:val="Hipervnculo"/>
                  <w:rFonts w:ascii="Open Sans" w:eastAsia="Arial Unicode MS" w:hAnsi="Open Sans"/>
                  <w:sz w:val="20"/>
                  <w:szCs w:val="20"/>
                </w:rPr>
                <w:t>http://corporate.ArcelorMittal.com</w:t>
              </w:r>
            </w:hyperlink>
          </w:p>
        </w:tc>
      </w:tr>
      <w:tr w:rsidR="006E3A41" w:rsidRPr="006529A9" w14:paraId="4C60B1F1" w14:textId="77777777" w:rsidTr="006E3A41">
        <w:trPr>
          <w:trHeight w:val="300"/>
        </w:trPr>
        <w:tc>
          <w:tcPr>
            <w:tcW w:w="3097" w:type="pct"/>
            <w:shd w:val="clear" w:color="auto" w:fill="auto"/>
            <w:vAlign w:val="bottom"/>
            <w:hideMark/>
          </w:tcPr>
          <w:p w14:paraId="36A2A154" w14:textId="77777777" w:rsidR="006E3A41" w:rsidRPr="006529A9" w:rsidRDefault="006E3A41" w:rsidP="006E3A41">
            <w:pPr>
              <w:rPr>
                <w:rFonts w:ascii="Open Sans" w:eastAsia="Arial Unicode MS" w:hAnsi="Open Sans" w:cs="Arial"/>
                <w:sz w:val="20"/>
                <w:szCs w:val="20"/>
              </w:rPr>
            </w:pPr>
            <w:r w:rsidRPr="006529A9">
              <w:rPr>
                <w:rFonts w:ascii="Open Sans" w:eastAsia="Arial Unicode MS" w:hAnsi="Open Sans" w:cs="Arial"/>
                <w:sz w:val="20"/>
                <w:szCs w:val="20"/>
              </w:rPr>
              <w:t>Annual_Review_2015.PDF</w:t>
            </w:r>
          </w:p>
        </w:tc>
        <w:tc>
          <w:tcPr>
            <w:tcW w:w="1903" w:type="pct"/>
            <w:shd w:val="clear" w:color="auto" w:fill="auto"/>
            <w:vAlign w:val="bottom"/>
          </w:tcPr>
          <w:p w14:paraId="1813D861" w14:textId="77777777" w:rsidR="006E3A41" w:rsidRPr="006529A9" w:rsidRDefault="006E3A41" w:rsidP="006E3A41">
            <w:pPr>
              <w:jc w:val="both"/>
              <w:rPr>
                <w:rFonts w:ascii="Open Sans" w:eastAsia="Arial Unicode MS" w:hAnsi="Open Sans" w:cs="Arial"/>
                <w:sz w:val="20"/>
                <w:szCs w:val="20"/>
              </w:rPr>
            </w:pPr>
            <w:r w:rsidRPr="006529A9">
              <w:rPr>
                <w:rFonts w:ascii="Open Sans" w:eastAsia="Arial Unicode MS" w:hAnsi="Open Sans" w:cs="Arial"/>
                <w:sz w:val="20"/>
                <w:szCs w:val="20"/>
              </w:rPr>
              <w:t>Inglés</w:t>
            </w:r>
          </w:p>
        </w:tc>
      </w:tr>
      <w:tr w:rsidR="006E3A41" w:rsidRPr="006529A9" w14:paraId="6E0D23AB" w14:textId="77777777" w:rsidTr="006E3A41">
        <w:trPr>
          <w:trHeight w:val="300"/>
        </w:trPr>
        <w:tc>
          <w:tcPr>
            <w:tcW w:w="3097" w:type="pct"/>
            <w:shd w:val="clear" w:color="auto" w:fill="auto"/>
            <w:vAlign w:val="bottom"/>
            <w:hideMark/>
          </w:tcPr>
          <w:p w14:paraId="349746F0" w14:textId="77777777" w:rsidR="006E3A41" w:rsidRPr="006529A9" w:rsidRDefault="006E3A41" w:rsidP="006E3A41">
            <w:pPr>
              <w:rPr>
                <w:rFonts w:ascii="Open Sans" w:eastAsia="Arial Unicode MS" w:hAnsi="Open Sans" w:cs="Arial"/>
                <w:sz w:val="20"/>
                <w:szCs w:val="20"/>
              </w:rPr>
            </w:pPr>
            <w:r w:rsidRPr="006529A9">
              <w:rPr>
                <w:rFonts w:ascii="Open Sans" w:eastAsia="Arial Unicode MS" w:hAnsi="Open Sans" w:cs="Arial"/>
                <w:sz w:val="20"/>
                <w:szCs w:val="20"/>
              </w:rPr>
              <w:t>Annual-Report-2015.PDF</w:t>
            </w:r>
          </w:p>
        </w:tc>
        <w:tc>
          <w:tcPr>
            <w:tcW w:w="1903" w:type="pct"/>
            <w:shd w:val="clear" w:color="auto" w:fill="auto"/>
            <w:vAlign w:val="bottom"/>
          </w:tcPr>
          <w:p w14:paraId="2A893D9B" w14:textId="77777777" w:rsidR="006E3A41" w:rsidRPr="006529A9" w:rsidRDefault="006E3A41" w:rsidP="006E3A41">
            <w:pPr>
              <w:jc w:val="both"/>
              <w:rPr>
                <w:rFonts w:ascii="Open Sans" w:eastAsia="Arial Unicode MS" w:hAnsi="Open Sans" w:cs="Arial"/>
                <w:sz w:val="20"/>
                <w:szCs w:val="20"/>
              </w:rPr>
            </w:pPr>
            <w:r w:rsidRPr="006529A9">
              <w:rPr>
                <w:rFonts w:ascii="Open Sans" w:eastAsia="Arial Unicode MS" w:hAnsi="Open Sans" w:cs="Arial"/>
                <w:sz w:val="20"/>
                <w:szCs w:val="20"/>
              </w:rPr>
              <w:t>Inglés</w:t>
            </w:r>
          </w:p>
        </w:tc>
      </w:tr>
      <w:tr w:rsidR="006E3A41" w:rsidRPr="006529A9" w14:paraId="21325825" w14:textId="77777777" w:rsidTr="006E3A41">
        <w:trPr>
          <w:trHeight w:val="300"/>
        </w:trPr>
        <w:tc>
          <w:tcPr>
            <w:tcW w:w="3097" w:type="pct"/>
            <w:shd w:val="clear" w:color="auto" w:fill="auto"/>
            <w:vAlign w:val="bottom"/>
            <w:hideMark/>
          </w:tcPr>
          <w:p w14:paraId="091E5873" w14:textId="77777777" w:rsidR="006E3A41" w:rsidRPr="006529A9" w:rsidRDefault="006E3A41" w:rsidP="006E3A41">
            <w:pPr>
              <w:rPr>
                <w:rFonts w:ascii="Open Sans" w:eastAsia="Arial Unicode MS" w:hAnsi="Open Sans" w:cs="Arial"/>
                <w:sz w:val="20"/>
                <w:szCs w:val="20"/>
              </w:rPr>
            </w:pPr>
            <w:r w:rsidRPr="006529A9">
              <w:rPr>
                <w:rFonts w:ascii="Open Sans" w:eastAsia="Arial Unicode MS" w:hAnsi="Open Sans" w:cs="Arial"/>
                <w:sz w:val="20"/>
                <w:szCs w:val="20"/>
              </w:rPr>
              <w:t>ArcelorMittal-20-F-2015.PDF</w:t>
            </w:r>
            <w:r w:rsidRPr="006529A9">
              <w:rPr>
                <w:rStyle w:val="Refdenotaalpie"/>
                <w:rFonts w:ascii="Open Sans" w:hAnsi="Open Sans" w:cs="Arial"/>
                <w:sz w:val="20"/>
                <w:lang w:eastAsia="zh-TW"/>
              </w:rPr>
              <w:footnoteReference w:id="301"/>
            </w:r>
            <w:r w:rsidRPr="006529A9">
              <w:rPr>
                <w:rFonts w:ascii="Open Sans" w:eastAsia="Calibri" w:hAnsi="Open Sans"/>
              </w:rPr>
              <w:t xml:space="preserve"> </w:t>
            </w:r>
          </w:p>
        </w:tc>
        <w:tc>
          <w:tcPr>
            <w:tcW w:w="1903" w:type="pct"/>
            <w:shd w:val="clear" w:color="auto" w:fill="auto"/>
            <w:vAlign w:val="bottom"/>
          </w:tcPr>
          <w:p w14:paraId="6C33FB08" w14:textId="77777777" w:rsidR="006E3A41" w:rsidRPr="006529A9" w:rsidRDefault="006E3A41" w:rsidP="006E3A41">
            <w:pPr>
              <w:jc w:val="both"/>
              <w:rPr>
                <w:rFonts w:ascii="Open Sans" w:eastAsia="Arial Unicode MS" w:hAnsi="Open Sans" w:cs="Arial"/>
                <w:sz w:val="20"/>
                <w:szCs w:val="20"/>
              </w:rPr>
            </w:pPr>
            <w:r w:rsidRPr="006529A9">
              <w:rPr>
                <w:rFonts w:ascii="Open Sans" w:eastAsia="Arial Unicode MS" w:hAnsi="Open Sans" w:cs="Arial"/>
                <w:sz w:val="20"/>
                <w:szCs w:val="20"/>
              </w:rPr>
              <w:t>Inglés</w:t>
            </w:r>
          </w:p>
        </w:tc>
      </w:tr>
      <w:tr w:rsidR="006E3A41" w:rsidRPr="006529A9" w14:paraId="2BCA2EF6" w14:textId="77777777" w:rsidTr="006E3A41">
        <w:trPr>
          <w:trHeight w:val="300"/>
        </w:trPr>
        <w:tc>
          <w:tcPr>
            <w:tcW w:w="3097" w:type="pct"/>
            <w:shd w:val="clear" w:color="auto" w:fill="auto"/>
            <w:vAlign w:val="bottom"/>
          </w:tcPr>
          <w:p w14:paraId="236C4F32" w14:textId="77777777" w:rsidR="006E3A41" w:rsidRPr="006529A9" w:rsidRDefault="006E3A41" w:rsidP="006E3A41">
            <w:pPr>
              <w:rPr>
                <w:rFonts w:ascii="Open Sans" w:hAnsi="Open Sans" w:cs="Arial"/>
                <w:sz w:val="20"/>
                <w:szCs w:val="20"/>
              </w:rPr>
            </w:pPr>
            <w:r w:rsidRPr="006529A9">
              <w:rPr>
                <w:rFonts w:ascii="Open Sans" w:hAnsi="Open Sans" w:cs="Arial"/>
                <w:sz w:val="20"/>
                <w:szCs w:val="20"/>
              </w:rPr>
              <w:t>Sudáfrica:</w:t>
            </w:r>
            <w:r w:rsidRPr="006529A9">
              <w:rPr>
                <w:rFonts w:ascii="Open Sans" w:hAnsi="Open Sans" w:cs="Arial"/>
                <w:sz w:val="20"/>
                <w:szCs w:val="20"/>
                <w:lang w:val="en-AU"/>
              </w:rPr>
              <w:t xml:space="preserve"> Integrated Annual Report</w:t>
            </w:r>
            <w:r w:rsidRPr="006529A9">
              <w:rPr>
                <w:rFonts w:ascii="Open Sans" w:hAnsi="Open Sans" w:cs="Arial"/>
                <w:sz w:val="20"/>
                <w:szCs w:val="20"/>
              </w:rPr>
              <w:t xml:space="preserve"> 2015</w:t>
            </w:r>
          </w:p>
        </w:tc>
        <w:tc>
          <w:tcPr>
            <w:tcW w:w="1903" w:type="pct"/>
            <w:shd w:val="clear" w:color="auto" w:fill="auto"/>
            <w:vAlign w:val="bottom"/>
          </w:tcPr>
          <w:p w14:paraId="0D26FD25" w14:textId="77777777" w:rsidR="006E3A41" w:rsidRPr="006529A9" w:rsidRDefault="006E3A41" w:rsidP="006E3A41">
            <w:pPr>
              <w:rPr>
                <w:rFonts w:ascii="Open Sans" w:hAnsi="Open Sans" w:cs="Arial"/>
                <w:sz w:val="20"/>
                <w:szCs w:val="20"/>
              </w:rPr>
            </w:pPr>
            <w:r w:rsidRPr="006529A9">
              <w:rPr>
                <w:rFonts w:ascii="Open Sans" w:hAnsi="Open Sans" w:cs="Arial"/>
                <w:sz w:val="20"/>
                <w:szCs w:val="20"/>
              </w:rPr>
              <w:t>Inglés</w:t>
            </w:r>
          </w:p>
        </w:tc>
      </w:tr>
      <w:tr w:rsidR="006E3A41" w:rsidRPr="006529A9" w14:paraId="41060E40" w14:textId="77777777" w:rsidTr="006E3A41">
        <w:trPr>
          <w:trHeight w:val="300"/>
        </w:trPr>
        <w:tc>
          <w:tcPr>
            <w:tcW w:w="3097" w:type="pct"/>
            <w:shd w:val="clear" w:color="auto" w:fill="auto"/>
            <w:vAlign w:val="bottom"/>
          </w:tcPr>
          <w:p w14:paraId="067867E4" w14:textId="77777777" w:rsidR="006E3A41" w:rsidRPr="006529A9" w:rsidRDefault="006E3A41" w:rsidP="006E3A41">
            <w:pPr>
              <w:rPr>
                <w:rFonts w:ascii="Open Sans" w:hAnsi="Open Sans" w:cs="Arial"/>
                <w:sz w:val="20"/>
                <w:szCs w:val="20"/>
              </w:rPr>
            </w:pPr>
            <w:r w:rsidRPr="006529A9">
              <w:rPr>
                <w:rFonts w:ascii="Open Sans" w:hAnsi="Open Sans" w:cs="Arial"/>
                <w:sz w:val="20"/>
                <w:szCs w:val="20"/>
              </w:rPr>
              <w:t>España : Informe de Sostenibilidad 2015</w:t>
            </w:r>
          </w:p>
        </w:tc>
        <w:tc>
          <w:tcPr>
            <w:tcW w:w="1903" w:type="pct"/>
            <w:shd w:val="clear" w:color="auto" w:fill="auto"/>
            <w:vAlign w:val="bottom"/>
          </w:tcPr>
          <w:p w14:paraId="5436451B" w14:textId="77777777" w:rsidR="006E3A41" w:rsidRPr="006529A9" w:rsidRDefault="006E3A41" w:rsidP="006E3A41">
            <w:pPr>
              <w:rPr>
                <w:rFonts w:ascii="Open Sans" w:hAnsi="Open Sans" w:cs="Arial"/>
                <w:sz w:val="20"/>
                <w:szCs w:val="20"/>
              </w:rPr>
            </w:pPr>
            <w:r w:rsidRPr="006529A9">
              <w:rPr>
                <w:rFonts w:ascii="Open Sans" w:hAnsi="Open Sans" w:cs="Arial"/>
                <w:sz w:val="20"/>
                <w:szCs w:val="20"/>
              </w:rPr>
              <w:t>Español</w:t>
            </w:r>
          </w:p>
        </w:tc>
      </w:tr>
      <w:tr w:rsidR="006E3A41" w:rsidRPr="006529A9" w14:paraId="65B56CB6" w14:textId="77777777" w:rsidTr="006E3A41">
        <w:trPr>
          <w:trHeight w:val="300"/>
        </w:trPr>
        <w:tc>
          <w:tcPr>
            <w:tcW w:w="3097" w:type="pct"/>
            <w:shd w:val="clear" w:color="auto" w:fill="auto"/>
            <w:vAlign w:val="bottom"/>
            <w:hideMark/>
          </w:tcPr>
          <w:p w14:paraId="205D873E" w14:textId="77777777" w:rsidR="006E3A41" w:rsidRPr="006529A9" w:rsidRDefault="006E3A41" w:rsidP="006E3A41">
            <w:pPr>
              <w:rPr>
                <w:rFonts w:ascii="Open Sans" w:eastAsia="Arial Unicode MS" w:hAnsi="Open Sans" w:cs="Arial"/>
                <w:sz w:val="20"/>
                <w:szCs w:val="20"/>
                <w:lang w:val="en-US"/>
              </w:rPr>
            </w:pPr>
            <w:r w:rsidRPr="006529A9">
              <w:rPr>
                <w:rFonts w:ascii="Open Sans" w:eastAsia="Arial Unicode MS" w:hAnsi="Open Sans" w:cs="Arial"/>
                <w:sz w:val="20"/>
                <w:szCs w:val="20"/>
                <w:lang w:val="en-US"/>
              </w:rPr>
              <w:t>Código de Conducta: code of business conduct_SP.pdf</w:t>
            </w:r>
          </w:p>
        </w:tc>
        <w:tc>
          <w:tcPr>
            <w:tcW w:w="1903" w:type="pct"/>
            <w:shd w:val="clear" w:color="auto" w:fill="auto"/>
            <w:vAlign w:val="bottom"/>
          </w:tcPr>
          <w:p w14:paraId="3F1A0EC5" w14:textId="77777777" w:rsidR="006E3A41" w:rsidRPr="006529A9" w:rsidRDefault="006E3A41" w:rsidP="006E3A41">
            <w:pPr>
              <w:jc w:val="both"/>
              <w:rPr>
                <w:rFonts w:ascii="Open Sans" w:eastAsia="Arial Unicode MS" w:hAnsi="Open Sans" w:cs="Arial"/>
                <w:sz w:val="20"/>
                <w:szCs w:val="20"/>
                <w:lang w:val="en-US"/>
              </w:rPr>
            </w:pPr>
            <w:r w:rsidRPr="006529A9">
              <w:rPr>
                <w:rFonts w:ascii="Open Sans" w:eastAsia="Arial Unicode MS" w:hAnsi="Open Sans" w:cs="Arial"/>
                <w:sz w:val="20"/>
                <w:szCs w:val="20"/>
                <w:lang w:val="en-US"/>
              </w:rPr>
              <w:t>Español</w:t>
            </w:r>
          </w:p>
        </w:tc>
      </w:tr>
      <w:tr w:rsidR="006E3A41" w:rsidRPr="006529A9" w14:paraId="3C956F30" w14:textId="77777777" w:rsidTr="006E3A41">
        <w:trPr>
          <w:trHeight w:val="300"/>
        </w:trPr>
        <w:tc>
          <w:tcPr>
            <w:tcW w:w="3097" w:type="pct"/>
            <w:shd w:val="clear" w:color="auto" w:fill="auto"/>
            <w:vAlign w:val="bottom"/>
            <w:hideMark/>
          </w:tcPr>
          <w:p w14:paraId="7C187774" w14:textId="77777777" w:rsidR="006E3A41" w:rsidRPr="006529A9" w:rsidRDefault="006E3A41" w:rsidP="006E3A41">
            <w:pPr>
              <w:rPr>
                <w:rFonts w:ascii="Open Sans" w:eastAsia="Arial Unicode MS" w:hAnsi="Open Sans" w:cs="Arial"/>
                <w:sz w:val="20"/>
                <w:szCs w:val="20"/>
                <w:lang w:val="en-US"/>
              </w:rPr>
            </w:pPr>
            <w:r w:rsidRPr="006529A9">
              <w:rPr>
                <w:rFonts w:ascii="Open Sans" w:eastAsia="Arial Unicode MS" w:hAnsi="Open Sans" w:cs="Arial"/>
                <w:sz w:val="20"/>
                <w:szCs w:val="20"/>
                <w:lang w:val="en-US"/>
              </w:rPr>
              <w:t>Code of Business Conduct: code-of-business-conduct_EN.pdf</w:t>
            </w:r>
          </w:p>
        </w:tc>
        <w:tc>
          <w:tcPr>
            <w:tcW w:w="1903" w:type="pct"/>
            <w:shd w:val="clear" w:color="auto" w:fill="auto"/>
            <w:vAlign w:val="bottom"/>
          </w:tcPr>
          <w:p w14:paraId="51AB8836" w14:textId="77777777" w:rsidR="006E3A41" w:rsidRPr="006529A9" w:rsidRDefault="006E3A41" w:rsidP="006E3A41">
            <w:pPr>
              <w:jc w:val="both"/>
              <w:rPr>
                <w:rFonts w:ascii="Open Sans" w:eastAsia="Arial Unicode MS" w:hAnsi="Open Sans" w:cs="Arial"/>
                <w:sz w:val="20"/>
                <w:szCs w:val="20"/>
              </w:rPr>
            </w:pPr>
            <w:r w:rsidRPr="006529A9">
              <w:rPr>
                <w:rFonts w:ascii="Open Sans" w:eastAsia="Arial Unicode MS" w:hAnsi="Open Sans" w:cs="Arial"/>
                <w:sz w:val="20"/>
                <w:szCs w:val="20"/>
              </w:rPr>
              <w:t>Inglés</w:t>
            </w:r>
          </w:p>
        </w:tc>
      </w:tr>
      <w:tr w:rsidR="006E3A41" w:rsidRPr="006529A9" w14:paraId="26DD3DB0" w14:textId="77777777" w:rsidTr="006E3A41">
        <w:trPr>
          <w:trHeight w:val="300"/>
        </w:trPr>
        <w:tc>
          <w:tcPr>
            <w:tcW w:w="3097" w:type="pct"/>
            <w:shd w:val="clear" w:color="auto" w:fill="auto"/>
            <w:vAlign w:val="bottom"/>
          </w:tcPr>
          <w:p w14:paraId="4BD749AC" w14:textId="77777777" w:rsidR="006E3A41" w:rsidRPr="006529A9" w:rsidRDefault="006E3A41" w:rsidP="006E3A41">
            <w:pPr>
              <w:rPr>
                <w:rFonts w:ascii="Open Sans" w:eastAsia="Arial Unicode MS" w:hAnsi="Open Sans" w:cs="Arial"/>
                <w:sz w:val="20"/>
                <w:szCs w:val="20"/>
                <w:lang w:val="en-US"/>
              </w:rPr>
            </w:pPr>
            <w:r w:rsidRPr="006529A9">
              <w:rPr>
                <w:rFonts w:ascii="Open Sans" w:eastAsia="Arial Unicode MS" w:hAnsi="Open Sans" w:cs="Arial"/>
                <w:sz w:val="20"/>
                <w:szCs w:val="20"/>
                <w:lang w:val="en-US"/>
              </w:rPr>
              <w:t>Anti Corruption procedures: Anti-Corruption-2014.PDF</w:t>
            </w:r>
          </w:p>
        </w:tc>
        <w:tc>
          <w:tcPr>
            <w:tcW w:w="1903" w:type="pct"/>
            <w:shd w:val="clear" w:color="auto" w:fill="auto"/>
            <w:vAlign w:val="bottom"/>
          </w:tcPr>
          <w:p w14:paraId="1D321F08" w14:textId="77777777" w:rsidR="006E3A41" w:rsidRPr="006529A9" w:rsidRDefault="006E3A41" w:rsidP="006E3A41">
            <w:pPr>
              <w:jc w:val="both"/>
              <w:rPr>
                <w:rFonts w:ascii="Open Sans" w:eastAsia="Arial Unicode MS" w:hAnsi="Open Sans" w:cs="Arial"/>
                <w:sz w:val="20"/>
                <w:szCs w:val="20"/>
              </w:rPr>
            </w:pPr>
            <w:r w:rsidRPr="006529A9">
              <w:rPr>
                <w:rFonts w:ascii="Open Sans" w:eastAsia="Arial Unicode MS" w:hAnsi="Open Sans" w:cs="Arial"/>
                <w:sz w:val="20"/>
                <w:szCs w:val="20"/>
              </w:rPr>
              <w:t>Inglés</w:t>
            </w:r>
          </w:p>
        </w:tc>
      </w:tr>
      <w:tr w:rsidR="006E3A41" w:rsidRPr="006529A9" w14:paraId="12628178" w14:textId="77777777" w:rsidTr="006E3A41">
        <w:trPr>
          <w:trHeight w:val="300"/>
        </w:trPr>
        <w:tc>
          <w:tcPr>
            <w:tcW w:w="3097" w:type="pct"/>
            <w:shd w:val="clear" w:color="auto" w:fill="auto"/>
            <w:vAlign w:val="bottom"/>
            <w:hideMark/>
          </w:tcPr>
          <w:p w14:paraId="1094633B" w14:textId="77777777" w:rsidR="006E3A41" w:rsidRPr="006529A9" w:rsidRDefault="006E3A41" w:rsidP="006E3A41">
            <w:pPr>
              <w:rPr>
                <w:rFonts w:ascii="Open Sans" w:eastAsia="Arial Unicode MS" w:hAnsi="Open Sans" w:cs="Arial"/>
                <w:sz w:val="20"/>
                <w:szCs w:val="20"/>
              </w:rPr>
            </w:pPr>
            <w:r w:rsidRPr="006529A9">
              <w:rPr>
                <w:rFonts w:ascii="Open Sans" w:eastAsia="Arial Unicode MS" w:hAnsi="Open Sans" w:cs="Arial"/>
                <w:sz w:val="20"/>
                <w:szCs w:val="20"/>
              </w:rPr>
              <w:t>Interactive Map – ArcelorMittal (impresión de la web)</w:t>
            </w:r>
          </w:p>
        </w:tc>
        <w:tc>
          <w:tcPr>
            <w:tcW w:w="1903" w:type="pct"/>
            <w:shd w:val="clear" w:color="auto" w:fill="auto"/>
            <w:vAlign w:val="bottom"/>
            <w:hideMark/>
          </w:tcPr>
          <w:p w14:paraId="27AF7D31" w14:textId="77777777" w:rsidR="006E3A41" w:rsidRPr="006529A9" w:rsidRDefault="006E3A41" w:rsidP="006E3A41">
            <w:pPr>
              <w:jc w:val="both"/>
              <w:rPr>
                <w:rFonts w:ascii="Open Sans" w:eastAsia="Arial Unicode MS" w:hAnsi="Open Sans" w:cs="Arial"/>
                <w:sz w:val="20"/>
                <w:szCs w:val="20"/>
              </w:rPr>
            </w:pPr>
            <w:r w:rsidRPr="006529A9">
              <w:rPr>
                <w:rFonts w:ascii="Open Sans" w:eastAsia="Arial Unicode MS" w:hAnsi="Open Sans" w:cs="Arial"/>
                <w:sz w:val="20"/>
                <w:szCs w:val="20"/>
              </w:rPr>
              <w:t>Inglés</w:t>
            </w:r>
          </w:p>
        </w:tc>
      </w:tr>
    </w:tbl>
    <w:p w14:paraId="680D82B4" w14:textId="77777777" w:rsidR="006E3A41" w:rsidRPr="006529A9" w:rsidRDefault="006E3A41" w:rsidP="006E3A41">
      <w:pPr>
        <w:jc w:val="both"/>
        <w:rPr>
          <w:rFonts w:ascii="Open Sans" w:hAnsi="Open Sans" w:cs="Arial"/>
          <w:b/>
        </w:rPr>
      </w:pPr>
    </w:p>
    <w:p w14:paraId="695C1060" w14:textId="77777777" w:rsidR="006E3A41" w:rsidRPr="006529A9" w:rsidRDefault="006E3A41" w:rsidP="006E3A41">
      <w:pPr>
        <w:jc w:val="both"/>
        <w:rPr>
          <w:rFonts w:ascii="Open Sans" w:hAnsi="Open Sans" w:cs="Arial"/>
          <w:b/>
        </w:rPr>
      </w:pPr>
    </w:p>
    <w:p w14:paraId="0BED1CAD" w14:textId="77777777" w:rsidR="006E3A41" w:rsidRPr="006529A9" w:rsidRDefault="006E3A41" w:rsidP="006E3A41">
      <w:pPr>
        <w:jc w:val="both"/>
        <w:rPr>
          <w:rFonts w:ascii="Open Sans" w:hAnsi="Open Sans" w:cs="Arial"/>
          <w:b/>
          <w:sz w:val="22"/>
          <w:szCs w:val="22"/>
          <w:u w:val="single"/>
        </w:rPr>
      </w:pPr>
      <w:r w:rsidRPr="006529A9">
        <w:rPr>
          <w:rFonts w:ascii="Open Sans" w:hAnsi="Open Sans" w:cs="Arial"/>
          <w:b/>
          <w:sz w:val="22"/>
          <w:szCs w:val="22"/>
          <w:u w:val="single"/>
        </w:rPr>
        <w:t>2. Tablas de resultados</w:t>
      </w:r>
    </w:p>
    <w:p w14:paraId="2271DE9C" w14:textId="77777777" w:rsidR="006E3A41" w:rsidRPr="006529A9" w:rsidRDefault="006E3A41" w:rsidP="006E3A41">
      <w:pPr>
        <w:jc w:val="center"/>
        <w:rPr>
          <w:rFonts w:ascii="Open Sans" w:hAnsi="Open Sans" w:cs="Open Sans"/>
          <w:b/>
          <w:sz w:val="20"/>
          <w:szCs w:val="20"/>
        </w:rPr>
      </w:pPr>
    </w:p>
    <w:p w14:paraId="0575BE46" w14:textId="77777777" w:rsidR="006E3A41" w:rsidRPr="006529A9" w:rsidRDefault="006E3A41" w:rsidP="006E3A41">
      <w:pPr>
        <w:jc w:val="center"/>
        <w:rPr>
          <w:rFonts w:ascii="Open Sans" w:hAnsi="Open Sans" w:cs="Open Sans"/>
          <w:b/>
          <w:sz w:val="20"/>
          <w:szCs w:val="20"/>
        </w:rPr>
      </w:pPr>
    </w:p>
    <w:p w14:paraId="11112E5E" w14:textId="77777777" w:rsidR="006E3A41" w:rsidRPr="006529A9" w:rsidRDefault="006E3A41" w:rsidP="006E3A41">
      <w:pPr>
        <w:suppressAutoHyphens/>
        <w:jc w:val="center"/>
        <w:rPr>
          <w:rFonts w:ascii="Open Sans" w:hAnsi="Open Sans" w:cs="Arial"/>
          <w:b/>
          <w:sz w:val="20"/>
          <w:szCs w:val="22"/>
          <w:u w:val="single"/>
          <w:lang w:eastAsia="ar-SA"/>
        </w:rPr>
      </w:pPr>
      <w:r w:rsidRPr="006529A9">
        <w:rPr>
          <w:rFonts w:ascii="Open Sans" w:hAnsi="Open Sans" w:cs="Arial"/>
          <w:b/>
          <w:sz w:val="20"/>
          <w:szCs w:val="22"/>
          <w:u w:val="single"/>
          <w:lang w:eastAsia="ar-SA"/>
        </w:rPr>
        <w:t>TABLA 1: Valoraciones por dimensión</w:t>
      </w:r>
    </w:p>
    <w:p w14:paraId="5B2C82B2" w14:textId="77777777" w:rsidR="006E3A41" w:rsidRPr="006529A9" w:rsidRDefault="006E3A41" w:rsidP="006E3A41">
      <w:pPr>
        <w:rPr>
          <w:rFonts w:ascii="Open Sans" w:hAnsi="Open Sans" w:cs="Arial"/>
          <w:b/>
        </w:rPr>
      </w:pPr>
    </w:p>
    <w:p w14:paraId="559EC97E" w14:textId="01B79538" w:rsidR="006E3A41" w:rsidRPr="006529A9" w:rsidRDefault="006E3A41" w:rsidP="006E3A41">
      <w:pPr>
        <w:jc w:val="center"/>
        <w:rPr>
          <w:rFonts w:ascii="Open Sans" w:hAnsi="Open Sans"/>
        </w:rPr>
      </w:pPr>
      <w:r>
        <w:rPr>
          <w:rFonts w:ascii="Open Sans" w:hAnsi="Open Sans"/>
          <w:noProof/>
          <w:lang w:val="es-ES"/>
        </w:rPr>
        <w:drawing>
          <wp:inline distT="0" distB="0" distL="0" distR="0" wp14:anchorId="4BFBE29C" wp14:editId="1799C8C3">
            <wp:extent cx="3688080" cy="1859280"/>
            <wp:effectExtent l="0" t="0" r="0" b="0"/>
            <wp:docPr id="16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47A4D704" w14:textId="77777777" w:rsidR="006E3A41" w:rsidRPr="006529A9" w:rsidRDefault="006E3A41" w:rsidP="006E3A41">
      <w:pPr>
        <w:jc w:val="center"/>
        <w:rPr>
          <w:rFonts w:ascii="Open Sans" w:hAnsi="Open Sans" w:cs="Open Sans"/>
          <w:b/>
          <w:sz w:val="20"/>
          <w:szCs w:val="20"/>
        </w:rPr>
      </w:pPr>
    </w:p>
    <w:p w14:paraId="19D9920B" w14:textId="77777777" w:rsidR="006E3A41" w:rsidRPr="006529A9" w:rsidRDefault="006E3A41" w:rsidP="006E3A41">
      <w:pPr>
        <w:jc w:val="center"/>
        <w:rPr>
          <w:rFonts w:ascii="Open Sans" w:hAnsi="Open Sans" w:cs="Open Sans"/>
          <w:b/>
          <w:color w:val="FF0000"/>
          <w:sz w:val="20"/>
          <w:szCs w:val="20"/>
        </w:rPr>
      </w:pPr>
    </w:p>
    <w:p w14:paraId="4AC45E74" w14:textId="77777777" w:rsidR="006E3A41" w:rsidRPr="006529A9" w:rsidRDefault="006E3A41" w:rsidP="006E3A41">
      <w:pPr>
        <w:jc w:val="both"/>
        <w:rPr>
          <w:rFonts w:ascii="Open Sans" w:hAnsi="Open Sans" w:cs="Arial"/>
          <w:b/>
        </w:rPr>
      </w:pPr>
    </w:p>
    <w:p w14:paraId="6A68534B" w14:textId="77777777" w:rsidR="006E3A41" w:rsidRPr="006529A9" w:rsidRDefault="006E3A41" w:rsidP="006E3A41">
      <w:pPr>
        <w:jc w:val="both"/>
        <w:rPr>
          <w:rFonts w:ascii="Open Sans" w:hAnsi="Open Sans" w:cs="Arial"/>
          <w:b/>
          <w:sz w:val="22"/>
          <w:szCs w:val="22"/>
          <w:u w:val="single"/>
        </w:rPr>
      </w:pPr>
      <w:r w:rsidRPr="006529A9">
        <w:rPr>
          <w:rFonts w:ascii="Open Sans" w:hAnsi="Open Sans" w:cs="Arial"/>
          <w:b/>
          <w:sz w:val="22"/>
          <w:szCs w:val="22"/>
          <w:u w:val="single"/>
        </w:rPr>
        <w:t>3. Contexto general</w:t>
      </w:r>
    </w:p>
    <w:p w14:paraId="3F504534" w14:textId="77777777" w:rsidR="006E3A41" w:rsidRPr="006529A9" w:rsidRDefault="006E3A41" w:rsidP="006E3A41">
      <w:pPr>
        <w:jc w:val="both"/>
        <w:rPr>
          <w:rFonts w:ascii="Open Sans" w:hAnsi="Open Sans" w:cs="Arial"/>
          <w:b/>
          <w:sz w:val="22"/>
          <w:szCs w:val="22"/>
          <w:u w:val="single"/>
        </w:rPr>
      </w:pPr>
    </w:p>
    <w:p w14:paraId="057BB762"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ArcelorMittal, es la mayor empresa siderúrgica del mundo y al estar integrada verticalmente es también una importante empresa minera. Tiene presencia en más de 60 países, de los cuales 31 cuentan con acererías y/o explotaciones mineras, en el resto de países dispone de oficinas comerciales y otras actividades ligadas con el negocio.</w:t>
      </w:r>
    </w:p>
    <w:p w14:paraId="7636D5C2" w14:textId="77777777" w:rsidR="006E3A41" w:rsidRPr="006529A9" w:rsidRDefault="006E3A41" w:rsidP="006E3A41">
      <w:pPr>
        <w:jc w:val="both"/>
        <w:rPr>
          <w:rFonts w:ascii="Open Sans" w:hAnsi="Open Sans" w:cs="Arial"/>
          <w:sz w:val="20"/>
          <w:szCs w:val="20"/>
        </w:rPr>
      </w:pPr>
    </w:p>
    <w:p w14:paraId="30B3654B"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En 2015 ha facturado más de 63.500 millones de dólares estadounidenses ($), con un EBITDA de 2,5 mil millones $, aunque en los últimos ejercicios incluido 2015 está generando pérdidas (7,9 mil millones $) derivadas en parte de la contracción del mercado del acero y de la competencia en el mercado de las empresas de China.</w:t>
      </w:r>
    </w:p>
    <w:p w14:paraId="6D41C4C9" w14:textId="77777777" w:rsidR="006E3A41" w:rsidRPr="006529A9" w:rsidRDefault="006E3A41" w:rsidP="006E3A41">
      <w:pPr>
        <w:jc w:val="both"/>
        <w:rPr>
          <w:rFonts w:ascii="Open Sans" w:hAnsi="Open Sans" w:cs="Arial"/>
          <w:sz w:val="20"/>
          <w:szCs w:val="20"/>
        </w:rPr>
      </w:pPr>
    </w:p>
    <w:p w14:paraId="0F274B5C"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Cuenta con 209.404 empleados, habiendo disminuido la plantilla en 2015 en unos 13.000 trabajadores.</w:t>
      </w:r>
    </w:p>
    <w:p w14:paraId="7182B11B" w14:textId="77777777" w:rsidR="006E3A41" w:rsidRPr="006529A9" w:rsidRDefault="006E3A41" w:rsidP="006E3A41">
      <w:pPr>
        <w:jc w:val="both"/>
        <w:rPr>
          <w:rFonts w:ascii="Open Sans" w:hAnsi="Open Sans" w:cs="Arial"/>
          <w:sz w:val="20"/>
          <w:szCs w:val="20"/>
        </w:rPr>
      </w:pPr>
    </w:p>
    <w:p w14:paraId="3DD14ADA"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En 2015 ha producido 92,5 millones de toneladas de acero líquido y los envíos han ascendido a  84,6 millones de toneladas. La extracción de mineral de hierro ha alcanzado las 62,8 millones de toneladas y la de carbón las 6,8 millones de toneladas.</w:t>
      </w:r>
    </w:p>
    <w:p w14:paraId="2131525B" w14:textId="77777777" w:rsidR="006E3A41" w:rsidRPr="006529A9" w:rsidRDefault="006E3A41" w:rsidP="006E3A41">
      <w:pPr>
        <w:jc w:val="both"/>
        <w:rPr>
          <w:rFonts w:ascii="Open Sans" w:hAnsi="Open Sans" w:cs="Arial"/>
          <w:sz w:val="20"/>
          <w:szCs w:val="20"/>
        </w:rPr>
      </w:pPr>
      <w:r w:rsidRPr="006529A9">
        <w:rPr>
          <w:rFonts w:ascii="Open Sans" w:eastAsia="Calibri" w:hAnsi="Open Sans" w:cs="f1kqzd6w-q0w-djt-1rm2lwrgwy56i"/>
          <w:color w:val="696969"/>
          <w:sz w:val="13"/>
          <w:szCs w:val="13"/>
        </w:rPr>
        <w:t xml:space="preserve"> </w:t>
      </w:r>
    </w:p>
    <w:p w14:paraId="7C3139A2"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Su estructura operativa está distribuida en 5 grandes  grupos: Países NAFTA, Brasil (incluye Costa Rica y Venezuela), Europa, África y países CEI</w:t>
      </w:r>
      <w:r w:rsidRPr="006529A9">
        <w:rPr>
          <w:rStyle w:val="Refdenotaalpie"/>
          <w:rFonts w:ascii="Open Sans" w:hAnsi="Open Sans" w:cs="Arial"/>
          <w:sz w:val="20"/>
        </w:rPr>
        <w:footnoteReference w:id="302"/>
      </w:r>
      <w:r w:rsidRPr="006529A9">
        <w:rPr>
          <w:rFonts w:ascii="Open Sans" w:hAnsi="Open Sans" w:cs="Arial"/>
          <w:sz w:val="20"/>
          <w:szCs w:val="20"/>
        </w:rPr>
        <w:t>, y Minería.</w:t>
      </w:r>
    </w:p>
    <w:p w14:paraId="077CEE1F" w14:textId="77777777" w:rsidR="006E3A41" w:rsidRPr="006529A9" w:rsidRDefault="006E3A41" w:rsidP="006E3A41">
      <w:pPr>
        <w:jc w:val="both"/>
        <w:rPr>
          <w:rFonts w:ascii="Open Sans" w:hAnsi="Open Sans" w:cs="Arial"/>
          <w:sz w:val="20"/>
          <w:szCs w:val="20"/>
        </w:rPr>
      </w:pPr>
    </w:p>
    <w:p w14:paraId="5EC7CEE3"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La distribución de las ventas para estos cinco grupos (considerando solo acero para las regiones geográficas) ha sido en 2015 la siguiente:</w:t>
      </w:r>
    </w:p>
    <w:p w14:paraId="3258BA13" w14:textId="77777777" w:rsidR="006E3A41" w:rsidRPr="006529A9" w:rsidRDefault="006E3A41" w:rsidP="006E3A41">
      <w:pPr>
        <w:jc w:val="both"/>
        <w:rPr>
          <w:rFonts w:ascii="Open Sans" w:hAnsi="Open Sans" w:cs="Arial"/>
          <w:sz w:val="20"/>
          <w:szCs w:val="20"/>
        </w:rPr>
      </w:pPr>
    </w:p>
    <w:p w14:paraId="10E73C0E" w14:textId="77777777" w:rsidR="006E3A41" w:rsidRPr="006529A9" w:rsidRDefault="006E3A41" w:rsidP="006E3A41">
      <w:pPr>
        <w:ind w:left="3540" w:firstLine="708"/>
        <w:jc w:val="both"/>
        <w:rPr>
          <w:rFonts w:ascii="Open Sans" w:hAnsi="Open Sans" w:cs="Arial"/>
          <w:sz w:val="20"/>
          <w:szCs w:val="20"/>
        </w:rPr>
      </w:pPr>
      <w:r w:rsidRPr="006529A9">
        <w:rPr>
          <w:rFonts w:ascii="Open Sans" w:hAnsi="Open Sans" w:cs="Arial"/>
          <w:sz w:val="20"/>
          <w:szCs w:val="20"/>
          <w:lang w:val="en-US"/>
        </w:rPr>
        <w:t>(</w:t>
      </w:r>
      <w:proofErr w:type="gramStart"/>
      <w:r w:rsidRPr="006529A9">
        <w:rPr>
          <w:rFonts w:ascii="Open Sans" w:hAnsi="Open Sans" w:cs="Arial"/>
          <w:sz w:val="20"/>
          <w:szCs w:val="20"/>
          <w:lang w:val="en-US"/>
        </w:rPr>
        <w:t>millones</w:t>
      </w:r>
      <w:proofErr w:type="gramEnd"/>
      <w:r w:rsidRPr="006529A9">
        <w:rPr>
          <w:rFonts w:ascii="Open Sans" w:hAnsi="Open Sans" w:cs="Arial"/>
          <w:sz w:val="20"/>
          <w:szCs w:val="20"/>
          <w:lang w:val="en-US"/>
        </w:rPr>
        <w:t xml:space="preserve"> de $)</w:t>
      </w:r>
    </w:p>
    <w:tbl>
      <w:tblPr>
        <w:tblW w:w="0" w:type="auto"/>
        <w:jc w:val="center"/>
        <w:tblInd w:w="16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3"/>
        <w:gridCol w:w="2088"/>
      </w:tblGrid>
      <w:tr w:rsidR="006E3A41" w:rsidRPr="006529A9" w14:paraId="6A6BABCA" w14:textId="77777777" w:rsidTr="00E32033">
        <w:trPr>
          <w:trHeight w:val="386"/>
          <w:jc w:val="center"/>
        </w:trPr>
        <w:tc>
          <w:tcPr>
            <w:tcW w:w="0" w:type="auto"/>
            <w:shd w:val="clear" w:color="auto" w:fill="auto"/>
          </w:tcPr>
          <w:p w14:paraId="11F78DB3"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lang w:val="en-US"/>
              </w:rPr>
              <w:t>NAFTA</w:t>
            </w:r>
          </w:p>
        </w:tc>
        <w:tc>
          <w:tcPr>
            <w:tcW w:w="2088" w:type="dxa"/>
            <w:shd w:val="clear" w:color="auto" w:fill="auto"/>
          </w:tcPr>
          <w:p w14:paraId="6103D0BC"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lang w:val="en-US"/>
              </w:rPr>
              <w:t>17,293</w:t>
            </w:r>
          </w:p>
        </w:tc>
      </w:tr>
      <w:tr w:rsidR="006E3A41" w:rsidRPr="006529A9" w14:paraId="13920CE3" w14:textId="77777777" w:rsidTr="00E32033">
        <w:trPr>
          <w:jc w:val="center"/>
        </w:trPr>
        <w:tc>
          <w:tcPr>
            <w:tcW w:w="0" w:type="auto"/>
            <w:shd w:val="clear" w:color="auto" w:fill="auto"/>
          </w:tcPr>
          <w:p w14:paraId="3FAA4903"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lang w:val="en-US"/>
              </w:rPr>
              <w:t>Brasil</w:t>
            </w:r>
          </w:p>
        </w:tc>
        <w:tc>
          <w:tcPr>
            <w:tcW w:w="2088" w:type="dxa"/>
            <w:shd w:val="clear" w:color="auto" w:fill="auto"/>
          </w:tcPr>
          <w:p w14:paraId="02BFCFC3"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lang w:val="en-US"/>
              </w:rPr>
              <w:t>8,503</w:t>
            </w:r>
          </w:p>
        </w:tc>
      </w:tr>
      <w:tr w:rsidR="006E3A41" w:rsidRPr="006529A9" w14:paraId="545F8699" w14:textId="77777777" w:rsidTr="00E32033">
        <w:trPr>
          <w:jc w:val="center"/>
        </w:trPr>
        <w:tc>
          <w:tcPr>
            <w:tcW w:w="0" w:type="auto"/>
            <w:shd w:val="clear" w:color="auto" w:fill="auto"/>
          </w:tcPr>
          <w:p w14:paraId="650517EA"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lang w:val="en-US"/>
              </w:rPr>
              <w:t>Europa</w:t>
            </w:r>
          </w:p>
        </w:tc>
        <w:tc>
          <w:tcPr>
            <w:tcW w:w="2088" w:type="dxa"/>
            <w:shd w:val="clear" w:color="auto" w:fill="auto"/>
          </w:tcPr>
          <w:p w14:paraId="0F734660"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lang w:val="en-US"/>
              </w:rPr>
              <w:t>31,893</w:t>
            </w:r>
          </w:p>
        </w:tc>
      </w:tr>
      <w:tr w:rsidR="006E3A41" w:rsidRPr="006529A9" w14:paraId="4C908784" w14:textId="77777777" w:rsidTr="00E32033">
        <w:trPr>
          <w:jc w:val="center"/>
        </w:trPr>
        <w:tc>
          <w:tcPr>
            <w:tcW w:w="0" w:type="auto"/>
            <w:shd w:val="clear" w:color="auto" w:fill="auto"/>
          </w:tcPr>
          <w:p w14:paraId="6FBB7E7C"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rPr>
              <w:t>ACEI</w:t>
            </w:r>
          </w:p>
        </w:tc>
        <w:tc>
          <w:tcPr>
            <w:tcW w:w="2088" w:type="dxa"/>
            <w:shd w:val="clear" w:color="auto" w:fill="auto"/>
          </w:tcPr>
          <w:p w14:paraId="06F05243"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rPr>
              <w:t>6,128</w:t>
            </w:r>
          </w:p>
        </w:tc>
      </w:tr>
      <w:tr w:rsidR="006E3A41" w:rsidRPr="006529A9" w14:paraId="6F2CE9DE" w14:textId="77777777" w:rsidTr="00E32033">
        <w:trPr>
          <w:jc w:val="center"/>
        </w:trPr>
        <w:tc>
          <w:tcPr>
            <w:tcW w:w="0" w:type="auto"/>
            <w:shd w:val="clear" w:color="auto" w:fill="auto"/>
          </w:tcPr>
          <w:p w14:paraId="5FABAF1D"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rPr>
              <w:t>Minas</w:t>
            </w:r>
          </w:p>
        </w:tc>
        <w:tc>
          <w:tcPr>
            <w:tcW w:w="2088" w:type="dxa"/>
            <w:shd w:val="clear" w:color="auto" w:fill="auto"/>
          </w:tcPr>
          <w:p w14:paraId="5869D568" w14:textId="77777777" w:rsidR="006E3A41" w:rsidRPr="006529A9" w:rsidRDefault="006E3A41" w:rsidP="006E3A41">
            <w:pPr>
              <w:jc w:val="center"/>
              <w:rPr>
                <w:rFonts w:ascii="Open Sans" w:hAnsi="Open Sans" w:cs="Arial"/>
                <w:sz w:val="20"/>
                <w:szCs w:val="20"/>
                <w:lang w:val="en-US"/>
              </w:rPr>
            </w:pPr>
            <w:r w:rsidRPr="006529A9">
              <w:rPr>
                <w:rFonts w:ascii="Open Sans" w:hAnsi="Open Sans" w:cs="Arial"/>
                <w:sz w:val="20"/>
                <w:szCs w:val="20"/>
              </w:rPr>
              <w:t>3,387</w:t>
            </w:r>
          </w:p>
        </w:tc>
      </w:tr>
      <w:tr w:rsidR="006E3A41" w:rsidRPr="006529A9" w14:paraId="5F3C86BF" w14:textId="77777777" w:rsidTr="00E32033">
        <w:trPr>
          <w:jc w:val="center"/>
        </w:trPr>
        <w:tc>
          <w:tcPr>
            <w:tcW w:w="0" w:type="auto"/>
            <w:shd w:val="clear" w:color="auto" w:fill="auto"/>
          </w:tcPr>
          <w:p w14:paraId="2914E9DA" w14:textId="77777777" w:rsidR="006E3A41" w:rsidRPr="006529A9" w:rsidRDefault="006E3A41" w:rsidP="006E3A41">
            <w:pPr>
              <w:jc w:val="center"/>
              <w:rPr>
                <w:rFonts w:ascii="Open Sans" w:hAnsi="Open Sans" w:cs="Arial"/>
                <w:sz w:val="20"/>
                <w:szCs w:val="20"/>
              </w:rPr>
            </w:pPr>
            <w:r w:rsidRPr="006529A9">
              <w:rPr>
                <w:rFonts w:ascii="Open Sans" w:hAnsi="Open Sans" w:cs="Arial"/>
                <w:sz w:val="20"/>
                <w:szCs w:val="20"/>
              </w:rPr>
              <w:t>Servicios intra-grupo</w:t>
            </w:r>
          </w:p>
        </w:tc>
        <w:tc>
          <w:tcPr>
            <w:tcW w:w="2088" w:type="dxa"/>
            <w:shd w:val="clear" w:color="auto" w:fill="auto"/>
          </w:tcPr>
          <w:p w14:paraId="225C21F2" w14:textId="77777777" w:rsidR="006E3A41" w:rsidRPr="006529A9" w:rsidRDefault="006E3A41" w:rsidP="006E3A41">
            <w:pPr>
              <w:jc w:val="center"/>
              <w:rPr>
                <w:rFonts w:ascii="Open Sans" w:hAnsi="Open Sans" w:cs="Arial"/>
                <w:sz w:val="20"/>
                <w:szCs w:val="20"/>
              </w:rPr>
            </w:pPr>
            <w:r w:rsidRPr="006529A9">
              <w:rPr>
                <w:rFonts w:ascii="Open Sans" w:hAnsi="Open Sans" w:cs="Arial"/>
                <w:sz w:val="20"/>
                <w:szCs w:val="20"/>
              </w:rPr>
              <w:t>(3,626)</w:t>
            </w:r>
          </w:p>
          <w:p w14:paraId="438EFAE9" w14:textId="77777777" w:rsidR="006E3A41" w:rsidRPr="006529A9" w:rsidRDefault="006E3A41" w:rsidP="006E3A41">
            <w:pPr>
              <w:jc w:val="center"/>
              <w:rPr>
                <w:rFonts w:ascii="Open Sans" w:hAnsi="Open Sans" w:cs="Arial"/>
                <w:sz w:val="20"/>
                <w:szCs w:val="20"/>
              </w:rPr>
            </w:pPr>
          </w:p>
        </w:tc>
      </w:tr>
      <w:tr w:rsidR="006E3A41" w:rsidRPr="006529A9" w14:paraId="2B874171" w14:textId="77777777" w:rsidTr="00E32033">
        <w:trPr>
          <w:jc w:val="center"/>
        </w:trPr>
        <w:tc>
          <w:tcPr>
            <w:tcW w:w="0" w:type="auto"/>
            <w:shd w:val="clear" w:color="auto" w:fill="auto"/>
          </w:tcPr>
          <w:p w14:paraId="300A3FE1" w14:textId="77777777" w:rsidR="006E3A41" w:rsidRPr="006529A9" w:rsidRDefault="006E3A41" w:rsidP="006E3A41">
            <w:pPr>
              <w:jc w:val="center"/>
              <w:rPr>
                <w:rFonts w:ascii="Open Sans" w:hAnsi="Open Sans" w:cs="Arial"/>
                <w:sz w:val="20"/>
                <w:szCs w:val="20"/>
              </w:rPr>
            </w:pPr>
            <w:r w:rsidRPr="006529A9">
              <w:rPr>
                <w:rFonts w:ascii="Open Sans" w:hAnsi="Open Sans" w:cs="Arial"/>
                <w:sz w:val="20"/>
                <w:szCs w:val="20"/>
              </w:rPr>
              <w:t>Total</w:t>
            </w:r>
          </w:p>
        </w:tc>
        <w:tc>
          <w:tcPr>
            <w:tcW w:w="2088" w:type="dxa"/>
            <w:shd w:val="clear" w:color="auto" w:fill="auto"/>
          </w:tcPr>
          <w:p w14:paraId="14416332" w14:textId="77777777" w:rsidR="006E3A41" w:rsidRPr="006529A9" w:rsidRDefault="006E3A41" w:rsidP="006E3A41">
            <w:pPr>
              <w:jc w:val="center"/>
              <w:rPr>
                <w:rFonts w:ascii="Open Sans" w:hAnsi="Open Sans" w:cs="Arial"/>
                <w:sz w:val="20"/>
                <w:szCs w:val="20"/>
              </w:rPr>
            </w:pPr>
            <w:r w:rsidRPr="006529A9">
              <w:rPr>
                <w:rFonts w:ascii="Open Sans" w:hAnsi="Open Sans" w:cs="Arial"/>
                <w:sz w:val="20"/>
                <w:szCs w:val="20"/>
              </w:rPr>
              <w:t>63,578</w:t>
            </w:r>
          </w:p>
        </w:tc>
      </w:tr>
    </w:tbl>
    <w:p w14:paraId="7EE66271" w14:textId="77777777" w:rsidR="006E3A41" w:rsidRPr="006529A9" w:rsidRDefault="006E3A41" w:rsidP="006E3A41">
      <w:pPr>
        <w:jc w:val="both"/>
        <w:rPr>
          <w:rFonts w:ascii="Open Sans" w:hAnsi="Open Sans" w:cs="Arial"/>
          <w:sz w:val="20"/>
          <w:szCs w:val="20"/>
          <w:lang w:val="en-US"/>
        </w:rPr>
      </w:pPr>
    </w:p>
    <w:p w14:paraId="675B7372" w14:textId="77777777" w:rsidR="006E3A41" w:rsidRPr="006529A9" w:rsidRDefault="006E3A41" w:rsidP="006E3A41">
      <w:pPr>
        <w:jc w:val="both"/>
        <w:rPr>
          <w:rFonts w:ascii="Open Sans" w:hAnsi="Open Sans" w:cs="Arial"/>
          <w:sz w:val="20"/>
          <w:szCs w:val="20"/>
          <w:lang w:val="en-US"/>
        </w:rPr>
      </w:pPr>
    </w:p>
    <w:p w14:paraId="3A68D9EB" w14:textId="77777777" w:rsidR="006E3A41" w:rsidRPr="006529A9" w:rsidRDefault="006E3A41" w:rsidP="006E3A41">
      <w:pPr>
        <w:jc w:val="both"/>
        <w:rPr>
          <w:rFonts w:ascii="Open Sans" w:hAnsi="Open Sans" w:cs="Arial"/>
          <w:sz w:val="20"/>
          <w:szCs w:val="20"/>
          <w:lang w:val="en-US"/>
        </w:rPr>
      </w:pPr>
      <w:r w:rsidRPr="006529A9">
        <w:rPr>
          <w:rFonts w:ascii="Open Sans" w:hAnsi="Open Sans" w:cs="Arial"/>
          <w:sz w:val="20"/>
          <w:szCs w:val="20"/>
          <w:lang w:val="en-US"/>
        </w:rPr>
        <w:br w:type="page"/>
      </w:r>
    </w:p>
    <w:p w14:paraId="637CEFB9" w14:textId="77777777" w:rsidR="006E3A41" w:rsidRPr="006529A9" w:rsidRDefault="006E3A41" w:rsidP="006E3A41">
      <w:pPr>
        <w:jc w:val="both"/>
        <w:rPr>
          <w:rFonts w:ascii="Open Sans" w:hAnsi="Open Sans" w:cs="Arial"/>
          <w:b/>
        </w:rPr>
      </w:pPr>
      <w:r w:rsidRPr="006529A9">
        <w:rPr>
          <w:rFonts w:ascii="Open Sans" w:hAnsi="Open Sans" w:cs="Arial"/>
          <w:b/>
          <w:sz w:val="22"/>
          <w:szCs w:val="22"/>
          <w:u w:val="single"/>
        </w:rPr>
        <w:t>4. Análisis</w:t>
      </w:r>
    </w:p>
    <w:p w14:paraId="4B0586DD" w14:textId="77777777" w:rsidR="006E3A41" w:rsidRPr="006529A9" w:rsidRDefault="006E3A41" w:rsidP="006E3A41">
      <w:pPr>
        <w:ind w:left="360"/>
        <w:jc w:val="both"/>
        <w:rPr>
          <w:rFonts w:ascii="Open Sans" w:hAnsi="Open Sans" w:cs="Arial"/>
          <w:b/>
          <w:u w:val="single"/>
        </w:rPr>
      </w:pPr>
    </w:p>
    <w:p w14:paraId="2E13B363"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A partir de la información contenida en sus cuentas anuales, y de la información disponible en la web, se ha identificado que posee filiales en países o nichos considerados paraísos o nichos fiscales</w:t>
      </w:r>
      <w:r w:rsidRPr="006529A9">
        <w:rPr>
          <w:rStyle w:val="Refdenotaalpie"/>
          <w:rFonts w:ascii="Open Sans" w:hAnsi="Open Sans" w:cs="Arial"/>
          <w:sz w:val="20"/>
        </w:rPr>
        <w:footnoteReference w:id="303"/>
      </w:r>
      <w:r w:rsidRPr="006529A9">
        <w:rPr>
          <w:rFonts w:ascii="Open Sans" w:hAnsi="Open Sans" w:cs="Arial"/>
          <w:sz w:val="20"/>
          <w:szCs w:val="20"/>
        </w:rPr>
        <w:t>. En concreto en Arabia Saudí, Emiratos Árabes, Bermudas (empresa participada),  Holanda, Luxemburgo, Singapur, Suiza y Sudáfrica. En Liberia tiene explotaciones mineras pero no aparece ninguna empresa, aparentemente presenta sus cuentas en Chipre. La mayoría de estas empresas tienen que ver con su actividad. Sin embargo la sede del Holding y una empresa financiera están en Luxemburgo y además cuenta con una empresa asociada (50% de su capital) que opera en China aunque está domiciliada en Bermudas.  Adicionalmente a esta información se ha localizado en la web, en concreto en Open Corporate</w:t>
      </w:r>
      <w:r w:rsidRPr="006529A9">
        <w:rPr>
          <w:rStyle w:val="Refdenotaalpie"/>
          <w:rFonts w:ascii="Open Sans" w:hAnsi="Open Sans" w:cs="Arial"/>
          <w:sz w:val="20"/>
        </w:rPr>
        <w:footnoteReference w:id="304"/>
      </w:r>
      <w:r w:rsidRPr="006529A9">
        <w:rPr>
          <w:rFonts w:ascii="Open Sans" w:hAnsi="Open Sans" w:cs="Arial"/>
          <w:sz w:val="20"/>
          <w:szCs w:val="20"/>
        </w:rPr>
        <w:t xml:space="preserve"> la existencia de otras empresas de las que no se tenía conocimiento, algunas de ellas en los países anteriormente mencionados y además en Isla San Mauricio considerado paraíso fiscal y en varios nichos fiscales como Panamá, Delaware (USA) donde aparecen más de 70 empresas, y Hong Kong.</w:t>
      </w:r>
    </w:p>
    <w:p w14:paraId="44D5B468" w14:textId="77777777" w:rsidR="006E3A41" w:rsidRPr="006529A9" w:rsidRDefault="006E3A41" w:rsidP="006E3A41">
      <w:pPr>
        <w:jc w:val="both"/>
        <w:rPr>
          <w:rFonts w:ascii="Open Sans" w:hAnsi="Open Sans"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004"/>
        <w:gridCol w:w="2158"/>
        <w:gridCol w:w="2476"/>
      </w:tblGrid>
      <w:tr w:rsidR="006E3A41" w:rsidRPr="006529A9" w14:paraId="0C008313" w14:textId="77777777" w:rsidTr="006E3A41">
        <w:trPr>
          <w:trHeight w:val="20"/>
          <w:tblHeader/>
        </w:trPr>
        <w:tc>
          <w:tcPr>
            <w:tcW w:w="2318" w:type="pct"/>
            <w:shd w:val="clear" w:color="000000" w:fill="D9D9D9"/>
            <w:noWrap/>
            <w:vAlign w:val="center"/>
            <w:hideMark/>
          </w:tcPr>
          <w:p w14:paraId="5576D2A5" w14:textId="77777777" w:rsidR="006E3A41" w:rsidRPr="006529A9" w:rsidRDefault="006E3A41" w:rsidP="006E3A41">
            <w:pPr>
              <w:jc w:val="center"/>
              <w:rPr>
                <w:rFonts w:ascii="Open Sans" w:hAnsi="Open Sans" w:cs="Calibri"/>
                <w:b/>
                <w:bCs/>
                <w:color w:val="000000"/>
                <w:sz w:val="20"/>
                <w:szCs w:val="20"/>
              </w:rPr>
            </w:pPr>
            <w:r w:rsidRPr="006529A9">
              <w:rPr>
                <w:rFonts w:ascii="Open Sans" w:hAnsi="Open Sans" w:cs="Calibri"/>
                <w:b/>
                <w:bCs/>
                <w:color w:val="000000"/>
                <w:sz w:val="20"/>
                <w:szCs w:val="20"/>
              </w:rPr>
              <w:t>Nombre de la Sociedad</w:t>
            </w:r>
          </w:p>
        </w:tc>
        <w:tc>
          <w:tcPr>
            <w:tcW w:w="1249" w:type="pct"/>
            <w:shd w:val="clear" w:color="000000" w:fill="D9D9D9"/>
            <w:noWrap/>
            <w:vAlign w:val="center"/>
            <w:hideMark/>
          </w:tcPr>
          <w:p w14:paraId="4A7BEE1D" w14:textId="77777777" w:rsidR="006E3A41" w:rsidRPr="006529A9" w:rsidRDefault="006E3A41" w:rsidP="006E3A41">
            <w:pPr>
              <w:jc w:val="center"/>
              <w:rPr>
                <w:rFonts w:ascii="Open Sans" w:hAnsi="Open Sans" w:cs="Calibri"/>
                <w:b/>
                <w:bCs/>
                <w:color w:val="000000"/>
                <w:sz w:val="20"/>
                <w:szCs w:val="20"/>
              </w:rPr>
            </w:pPr>
            <w:r w:rsidRPr="006529A9">
              <w:rPr>
                <w:rFonts w:ascii="Open Sans" w:hAnsi="Open Sans" w:cs="Calibri"/>
                <w:b/>
                <w:bCs/>
                <w:color w:val="000000"/>
                <w:sz w:val="20"/>
                <w:szCs w:val="20"/>
              </w:rPr>
              <w:t>Jurisdicción</w:t>
            </w:r>
          </w:p>
        </w:tc>
        <w:tc>
          <w:tcPr>
            <w:tcW w:w="1433" w:type="pct"/>
            <w:shd w:val="clear" w:color="000000" w:fill="D9D9D9"/>
            <w:noWrap/>
            <w:vAlign w:val="center"/>
            <w:hideMark/>
          </w:tcPr>
          <w:p w14:paraId="0F6AB723" w14:textId="77777777" w:rsidR="006E3A41" w:rsidRPr="006529A9" w:rsidRDefault="006E3A41" w:rsidP="006E3A41">
            <w:pPr>
              <w:jc w:val="center"/>
              <w:rPr>
                <w:rFonts w:ascii="Open Sans" w:hAnsi="Open Sans" w:cs="Calibri"/>
                <w:b/>
                <w:bCs/>
                <w:color w:val="000000"/>
                <w:sz w:val="20"/>
                <w:szCs w:val="20"/>
              </w:rPr>
            </w:pPr>
            <w:r w:rsidRPr="006529A9">
              <w:rPr>
                <w:rFonts w:ascii="Open Sans" w:hAnsi="Open Sans" w:cs="Calibri"/>
                <w:b/>
                <w:bCs/>
                <w:color w:val="000000"/>
                <w:sz w:val="20"/>
                <w:szCs w:val="20"/>
              </w:rPr>
              <w:t>Actividad</w:t>
            </w:r>
            <w:r w:rsidRPr="006529A9">
              <w:rPr>
                <w:rStyle w:val="Refdenotaalpie"/>
                <w:rFonts w:ascii="Open Sans" w:hAnsi="Open Sans" w:cs="Calibri"/>
                <w:b/>
                <w:bCs/>
                <w:color w:val="000000"/>
                <w:sz w:val="20"/>
              </w:rPr>
              <w:footnoteReference w:id="305"/>
            </w:r>
          </w:p>
        </w:tc>
      </w:tr>
      <w:tr w:rsidR="006E3A41" w:rsidRPr="006529A9" w14:paraId="7EB1D272" w14:textId="77777777" w:rsidTr="006E3A41">
        <w:trPr>
          <w:trHeight w:val="20"/>
        </w:trPr>
        <w:tc>
          <w:tcPr>
            <w:tcW w:w="2318" w:type="pct"/>
            <w:shd w:val="clear" w:color="auto" w:fill="auto"/>
            <w:vAlign w:val="center"/>
            <w:hideMark/>
          </w:tcPr>
          <w:p w14:paraId="0AB11CB7"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ARCELORMITTAL DISTRIBUTION SOLUTIONS SOUTH AFRICA </w:t>
            </w:r>
          </w:p>
        </w:tc>
        <w:tc>
          <w:tcPr>
            <w:tcW w:w="1249" w:type="pct"/>
            <w:shd w:val="clear" w:color="auto" w:fill="auto"/>
            <w:noWrap/>
            <w:vAlign w:val="bottom"/>
            <w:hideMark/>
          </w:tcPr>
          <w:p w14:paraId="47A73D6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África del Sur</w:t>
            </w:r>
          </w:p>
        </w:tc>
        <w:tc>
          <w:tcPr>
            <w:tcW w:w="1433" w:type="pct"/>
            <w:shd w:val="clear" w:color="auto" w:fill="auto"/>
            <w:noWrap/>
            <w:vAlign w:val="bottom"/>
            <w:hideMark/>
          </w:tcPr>
          <w:p w14:paraId="75EC20C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7029F4C" w14:textId="77777777" w:rsidTr="006E3A41">
        <w:trPr>
          <w:trHeight w:val="20"/>
        </w:trPr>
        <w:tc>
          <w:tcPr>
            <w:tcW w:w="2318" w:type="pct"/>
            <w:shd w:val="clear" w:color="auto" w:fill="auto"/>
            <w:vAlign w:val="center"/>
            <w:hideMark/>
          </w:tcPr>
          <w:p w14:paraId="06E3582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INTERNATIONAL SA </w:t>
            </w:r>
          </w:p>
        </w:tc>
        <w:tc>
          <w:tcPr>
            <w:tcW w:w="1249" w:type="pct"/>
            <w:shd w:val="clear" w:color="auto" w:fill="auto"/>
            <w:noWrap/>
            <w:hideMark/>
          </w:tcPr>
          <w:p w14:paraId="5AB88F14" w14:textId="77777777" w:rsidR="006E3A41" w:rsidRPr="006529A9" w:rsidRDefault="006E3A41" w:rsidP="006E3A41">
            <w:pPr>
              <w:rPr>
                <w:rFonts w:ascii="Open Sans" w:hAnsi="Open Sans"/>
                <w:sz w:val="20"/>
                <w:szCs w:val="20"/>
              </w:rPr>
            </w:pPr>
            <w:r w:rsidRPr="006529A9">
              <w:rPr>
                <w:rFonts w:ascii="Open Sans" w:hAnsi="Open Sans" w:cs="Calibri"/>
                <w:color w:val="000000"/>
                <w:sz w:val="20"/>
                <w:szCs w:val="20"/>
              </w:rPr>
              <w:t>África del Sur</w:t>
            </w:r>
          </w:p>
        </w:tc>
        <w:tc>
          <w:tcPr>
            <w:tcW w:w="1433" w:type="pct"/>
            <w:shd w:val="clear" w:color="auto" w:fill="auto"/>
            <w:noWrap/>
            <w:vAlign w:val="bottom"/>
            <w:hideMark/>
          </w:tcPr>
          <w:p w14:paraId="7555C8B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Comercialización de Acero</w:t>
            </w:r>
          </w:p>
        </w:tc>
      </w:tr>
      <w:tr w:rsidR="006E3A41" w:rsidRPr="006529A9" w14:paraId="4CA0B54E" w14:textId="77777777" w:rsidTr="006E3A41">
        <w:trPr>
          <w:trHeight w:val="20"/>
        </w:trPr>
        <w:tc>
          <w:tcPr>
            <w:tcW w:w="2318" w:type="pct"/>
            <w:shd w:val="clear" w:color="auto" w:fill="auto"/>
            <w:vAlign w:val="center"/>
            <w:hideMark/>
          </w:tcPr>
          <w:p w14:paraId="3AA6201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SOUTH AFRICA </w:t>
            </w:r>
          </w:p>
        </w:tc>
        <w:tc>
          <w:tcPr>
            <w:tcW w:w="1249" w:type="pct"/>
            <w:shd w:val="clear" w:color="auto" w:fill="auto"/>
            <w:noWrap/>
            <w:hideMark/>
          </w:tcPr>
          <w:p w14:paraId="122916F4" w14:textId="77777777" w:rsidR="006E3A41" w:rsidRPr="006529A9" w:rsidRDefault="006E3A41" w:rsidP="006E3A41">
            <w:pPr>
              <w:rPr>
                <w:rFonts w:ascii="Open Sans" w:hAnsi="Open Sans"/>
                <w:sz w:val="20"/>
                <w:szCs w:val="20"/>
              </w:rPr>
            </w:pPr>
            <w:r w:rsidRPr="006529A9">
              <w:rPr>
                <w:rFonts w:ascii="Open Sans" w:hAnsi="Open Sans" w:cs="Calibri"/>
                <w:color w:val="000000"/>
                <w:sz w:val="20"/>
                <w:szCs w:val="20"/>
              </w:rPr>
              <w:t>África del Sur</w:t>
            </w:r>
          </w:p>
        </w:tc>
        <w:tc>
          <w:tcPr>
            <w:tcW w:w="1433" w:type="pct"/>
            <w:shd w:val="clear" w:color="auto" w:fill="auto"/>
            <w:noWrap/>
            <w:vAlign w:val="bottom"/>
            <w:hideMark/>
          </w:tcPr>
          <w:p w14:paraId="4D623BE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3F1D818B" w14:textId="77777777" w:rsidTr="006E3A41">
        <w:trPr>
          <w:trHeight w:val="20"/>
        </w:trPr>
        <w:tc>
          <w:tcPr>
            <w:tcW w:w="2318" w:type="pct"/>
            <w:shd w:val="clear" w:color="auto" w:fill="auto"/>
            <w:vAlign w:val="center"/>
            <w:hideMark/>
          </w:tcPr>
          <w:p w14:paraId="4C58478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SOUTH AFRICA DISTRIBUTION </w:t>
            </w:r>
          </w:p>
        </w:tc>
        <w:tc>
          <w:tcPr>
            <w:tcW w:w="1249" w:type="pct"/>
            <w:shd w:val="clear" w:color="auto" w:fill="auto"/>
            <w:noWrap/>
            <w:hideMark/>
          </w:tcPr>
          <w:p w14:paraId="71BBF55B" w14:textId="77777777" w:rsidR="006E3A41" w:rsidRPr="006529A9" w:rsidRDefault="006E3A41" w:rsidP="006E3A41">
            <w:pPr>
              <w:rPr>
                <w:rFonts w:ascii="Open Sans" w:hAnsi="Open Sans"/>
                <w:sz w:val="20"/>
                <w:szCs w:val="20"/>
              </w:rPr>
            </w:pPr>
            <w:r w:rsidRPr="006529A9">
              <w:rPr>
                <w:rFonts w:ascii="Open Sans" w:hAnsi="Open Sans" w:cs="Calibri"/>
                <w:color w:val="000000"/>
                <w:sz w:val="20"/>
                <w:szCs w:val="20"/>
              </w:rPr>
              <w:t>África del Sur</w:t>
            </w:r>
          </w:p>
        </w:tc>
        <w:tc>
          <w:tcPr>
            <w:tcW w:w="1433" w:type="pct"/>
            <w:shd w:val="clear" w:color="auto" w:fill="auto"/>
            <w:noWrap/>
            <w:vAlign w:val="bottom"/>
            <w:hideMark/>
          </w:tcPr>
          <w:p w14:paraId="52C0879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9E121DD" w14:textId="77777777" w:rsidTr="006E3A41">
        <w:trPr>
          <w:trHeight w:val="20"/>
        </w:trPr>
        <w:tc>
          <w:tcPr>
            <w:tcW w:w="2318" w:type="pct"/>
            <w:shd w:val="clear" w:color="auto" w:fill="auto"/>
            <w:vAlign w:val="center"/>
            <w:hideMark/>
          </w:tcPr>
          <w:p w14:paraId="69FF905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SOUTH AFRICA OPERATIONS </w:t>
            </w:r>
          </w:p>
        </w:tc>
        <w:tc>
          <w:tcPr>
            <w:tcW w:w="1249" w:type="pct"/>
            <w:shd w:val="clear" w:color="auto" w:fill="auto"/>
            <w:noWrap/>
            <w:hideMark/>
          </w:tcPr>
          <w:p w14:paraId="0C51CB41" w14:textId="77777777" w:rsidR="006E3A41" w:rsidRPr="006529A9" w:rsidRDefault="006E3A41" w:rsidP="006E3A41">
            <w:pPr>
              <w:rPr>
                <w:rFonts w:ascii="Open Sans" w:hAnsi="Open Sans"/>
                <w:sz w:val="20"/>
                <w:szCs w:val="20"/>
              </w:rPr>
            </w:pPr>
            <w:r w:rsidRPr="006529A9">
              <w:rPr>
                <w:rFonts w:ascii="Open Sans" w:hAnsi="Open Sans" w:cs="Calibri"/>
                <w:color w:val="000000"/>
                <w:sz w:val="20"/>
                <w:szCs w:val="20"/>
              </w:rPr>
              <w:t>África del Sur</w:t>
            </w:r>
          </w:p>
        </w:tc>
        <w:tc>
          <w:tcPr>
            <w:tcW w:w="1433" w:type="pct"/>
            <w:shd w:val="clear" w:color="auto" w:fill="auto"/>
            <w:noWrap/>
            <w:vAlign w:val="bottom"/>
            <w:hideMark/>
          </w:tcPr>
          <w:p w14:paraId="38EF281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E00674E" w14:textId="77777777" w:rsidTr="006E3A41">
        <w:trPr>
          <w:trHeight w:val="20"/>
        </w:trPr>
        <w:tc>
          <w:tcPr>
            <w:tcW w:w="2318" w:type="pct"/>
            <w:shd w:val="clear" w:color="auto" w:fill="auto"/>
            <w:vAlign w:val="center"/>
            <w:hideMark/>
          </w:tcPr>
          <w:p w14:paraId="5CDD07A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Coke &amp; Chemicals</w:t>
            </w:r>
          </w:p>
        </w:tc>
        <w:tc>
          <w:tcPr>
            <w:tcW w:w="1249" w:type="pct"/>
            <w:shd w:val="clear" w:color="auto" w:fill="auto"/>
            <w:noWrap/>
            <w:hideMark/>
          </w:tcPr>
          <w:p w14:paraId="267A9E5B" w14:textId="77777777" w:rsidR="006E3A41" w:rsidRPr="006529A9" w:rsidRDefault="006E3A41" w:rsidP="006E3A41">
            <w:pPr>
              <w:rPr>
                <w:rFonts w:ascii="Open Sans" w:hAnsi="Open Sans"/>
                <w:sz w:val="20"/>
                <w:szCs w:val="20"/>
              </w:rPr>
            </w:pPr>
            <w:r w:rsidRPr="006529A9">
              <w:rPr>
                <w:rFonts w:ascii="Open Sans" w:hAnsi="Open Sans" w:cs="Calibri"/>
                <w:color w:val="000000"/>
                <w:sz w:val="20"/>
                <w:szCs w:val="20"/>
              </w:rPr>
              <w:t>África del Sur</w:t>
            </w:r>
          </w:p>
        </w:tc>
        <w:tc>
          <w:tcPr>
            <w:tcW w:w="1433" w:type="pct"/>
            <w:shd w:val="clear" w:color="auto" w:fill="auto"/>
            <w:noWrap/>
            <w:vAlign w:val="bottom"/>
            <w:hideMark/>
          </w:tcPr>
          <w:p w14:paraId="4919CDF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Coque</w:t>
            </w:r>
          </w:p>
        </w:tc>
      </w:tr>
      <w:tr w:rsidR="006E3A41" w:rsidRPr="006529A9" w14:paraId="2064B4B1" w14:textId="77777777" w:rsidTr="006E3A41">
        <w:trPr>
          <w:trHeight w:val="20"/>
        </w:trPr>
        <w:tc>
          <w:tcPr>
            <w:tcW w:w="2318" w:type="pct"/>
            <w:shd w:val="clear" w:color="auto" w:fill="auto"/>
            <w:vAlign w:val="center"/>
            <w:hideMark/>
          </w:tcPr>
          <w:p w14:paraId="708819F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International Saudi</w:t>
            </w:r>
          </w:p>
        </w:tc>
        <w:tc>
          <w:tcPr>
            <w:tcW w:w="1249" w:type="pct"/>
            <w:shd w:val="clear" w:color="auto" w:fill="auto"/>
            <w:noWrap/>
            <w:vAlign w:val="bottom"/>
            <w:hideMark/>
          </w:tcPr>
          <w:p w14:paraId="3058F1A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Arabia Saudí</w:t>
            </w:r>
          </w:p>
        </w:tc>
        <w:tc>
          <w:tcPr>
            <w:tcW w:w="1433" w:type="pct"/>
            <w:shd w:val="clear" w:color="auto" w:fill="auto"/>
            <w:noWrap/>
            <w:vAlign w:val="bottom"/>
            <w:hideMark/>
          </w:tcPr>
          <w:p w14:paraId="5F3C1E5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Comercialización de Acero</w:t>
            </w:r>
          </w:p>
        </w:tc>
      </w:tr>
      <w:tr w:rsidR="006E3A41" w:rsidRPr="006529A9" w14:paraId="0AE0998F" w14:textId="77777777" w:rsidTr="006E3A41">
        <w:trPr>
          <w:trHeight w:val="20"/>
        </w:trPr>
        <w:tc>
          <w:tcPr>
            <w:tcW w:w="2318" w:type="pct"/>
            <w:shd w:val="clear" w:color="auto" w:fill="auto"/>
            <w:vAlign w:val="center"/>
            <w:hideMark/>
          </w:tcPr>
          <w:p w14:paraId="5274AFE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CYPRUS HOLDING LIMITED </w:t>
            </w:r>
          </w:p>
        </w:tc>
        <w:tc>
          <w:tcPr>
            <w:tcW w:w="1249" w:type="pct"/>
            <w:shd w:val="clear" w:color="auto" w:fill="auto"/>
            <w:noWrap/>
            <w:vAlign w:val="bottom"/>
            <w:hideMark/>
          </w:tcPr>
          <w:p w14:paraId="618D4DA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Chipre</w:t>
            </w:r>
          </w:p>
        </w:tc>
        <w:tc>
          <w:tcPr>
            <w:tcW w:w="1433" w:type="pct"/>
            <w:shd w:val="clear" w:color="auto" w:fill="auto"/>
            <w:noWrap/>
            <w:vAlign w:val="bottom"/>
            <w:hideMark/>
          </w:tcPr>
          <w:p w14:paraId="04E972A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182FF1F" w14:textId="77777777" w:rsidTr="006E3A41">
        <w:trPr>
          <w:trHeight w:val="20"/>
        </w:trPr>
        <w:tc>
          <w:tcPr>
            <w:tcW w:w="2318" w:type="pct"/>
            <w:shd w:val="clear" w:color="auto" w:fill="auto"/>
            <w:vAlign w:val="center"/>
            <w:hideMark/>
          </w:tcPr>
          <w:p w14:paraId="656FC67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LIBERIA HOLDINGS LIMITED </w:t>
            </w:r>
          </w:p>
        </w:tc>
        <w:tc>
          <w:tcPr>
            <w:tcW w:w="1249" w:type="pct"/>
            <w:shd w:val="clear" w:color="auto" w:fill="auto"/>
            <w:noWrap/>
            <w:vAlign w:val="bottom"/>
            <w:hideMark/>
          </w:tcPr>
          <w:p w14:paraId="0C1D699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Chipre</w:t>
            </w:r>
          </w:p>
        </w:tc>
        <w:tc>
          <w:tcPr>
            <w:tcW w:w="1433" w:type="pct"/>
            <w:shd w:val="clear" w:color="auto" w:fill="auto"/>
            <w:noWrap/>
            <w:vAlign w:val="bottom"/>
            <w:hideMark/>
          </w:tcPr>
          <w:p w14:paraId="5F68C60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00054E5" w14:textId="77777777" w:rsidTr="006E3A41">
        <w:trPr>
          <w:trHeight w:val="20"/>
        </w:trPr>
        <w:tc>
          <w:tcPr>
            <w:tcW w:w="2318" w:type="pct"/>
            <w:shd w:val="clear" w:color="auto" w:fill="auto"/>
            <w:vAlign w:val="center"/>
            <w:hideMark/>
          </w:tcPr>
          <w:p w14:paraId="298221A7"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 STAINLESS SERVICE USA, LLC </w:t>
            </w:r>
          </w:p>
        </w:tc>
        <w:tc>
          <w:tcPr>
            <w:tcW w:w="1249" w:type="pct"/>
            <w:shd w:val="clear" w:color="auto" w:fill="auto"/>
            <w:noWrap/>
            <w:vAlign w:val="bottom"/>
            <w:hideMark/>
          </w:tcPr>
          <w:p w14:paraId="0051D1E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5DEE09F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8011901" w14:textId="77777777" w:rsidTr="006E3A41">
        <w:trPr>
          <w:trHeight w:val="20"/>
        </w:trPr>
        <w:tc>
          <w:tcPr>
            <w:tcW w:w="2318" w:type="pct"/>
            <w:shd w:val="clear" w:color="auto" w:fill="auto"/>
            <w:vAlign w:val="center"/>
            <w:hideMark/>
          </w:tcPr>
          <w:p w14:paraId="77C59E1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AMERICAS INC. </w:t>
            </w:r>
          </w:p>
        </w:tc>
        <w:tc>
          <w:tcPr>
            <w:tcW w:w="1249" w:type="pct"/>
            <w:shd w:val="clear" w:color="auto" w:fill="auto"/>
            <w:noWrap/>
            <w:vAlign w:val="bottom"/>
            <w:hideMark/>
          </w:tcPr>
          <w:p w14:paraId="734EF4C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71266D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CF52FCF" w14:textId="77777777" w:rsidTr="006E3A41">
        <w:trPr>
          <w:trHeight w:val="20"/>
        </w:trPr>
        <w:tc>
          <w:tcPr>
            <w:tcW w:w="2318" w:type="pct"/>
            <w:shd w:val="clear" w:color="auto" w:fill="auto"/>
            <w:vAlign w:val="center"/>
            <w:hideMark/>
          </w:tcPr>
          <w:p w14:paraId="3D292AB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BAYOU ACQUISITION LLC </w:t>
            </w:r>
          </w:p>
        </w:tc>
        <w:tc>
          <w:tcPr>
            <w:tcW w:w="1249" w:type="pct"/>
            <w:shd w:val="clear" w:color="auto" w:fill="auto"/>
            <w:noWrap/>
            <w:vAlign w:val="bottom"/>
            <w:hideMark/>
          </w:tcPr>
          <w:p w14:paraId="6F58387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67A4D5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06CD39B" w14:textId="77777777" w:rsidTr="006E3A41">
        <w:trPr>
          <w:trHeight w:val="20"/>
        </w:trPr>
        <w:tc>
          <w:tcPr>
            <w:tcW w:w="2318" w:type="pct"/>
            <w:shd w:val="clear" w:color="auto" w:fill="auto"/>
            <w:vAlign w:val="center"/>
            <w:hideMark/>
          </w:tcPr>
          <w:p w14:paraId="2537FD0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BURNS HARBOR LLC </w:t>
            </w:r>
          </w:p>
        </w:tc>
        <w:tc>
          <w:tcPr>
            <w:tcW w:w="1249" w:type="pct"/>
            <w:shd w:val="clear" w:color="auto" w:fill="auto"/>
            <w:noWrap/>
            <w:vAlign w:val="bottom"/>
            <w:hideMark/>
          </w:tcPr>
          <w:p w14:paraId="6FF3C84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7657C6A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784BA1F" w14:textId="77777777" w:rsidTr="006E3A41">
        <w:trPr>
          <w:trHeight w:val="20"/>
        </w:trPr>
        <w:tc>
          <w:tcPr>
            <w:tcW w:w="2318" w:type="pct"/>
            <w:shd w:val="clear" w:color="auto" w:fill="auto"/>
            <w:vAlign w:val="center"/>
            <w:hideMark/>
          </w:tcPr>
          <w:p w14:paraId="09FE9A2F"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CALAND ORE COMPANY LIMITED (</w:t>
            </w:r>
          </w:p>
        </w:tc>
        <w:tc>
          <w:tcPr>
            <w:tcW w:w="1249" w:type="pct"/>
            <w:shd w:val="clear" w:color="auto" w:fill="auto"/>
            <w:noWrap/>
            <w:vAlign w:val="bottom"/>
            <w:hideMark/>
          </w:tcPr>
          <w:p w14:paraId="076DAB6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5548BD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DA50B5B" w14:textId="77777777" w:rsidTr="006E3A41">
        <w:trPr>
          <w:trHeight w:val="20"/>
        </w:trPr>
        <w:tc>
          <w:tcPr>
            <w:tcW w:w="2318" w:type="pct"/>
            <w:shd w:val="clear" w:color="auto" w:fill="auto"/>
            <w:vAlign w:val="center"/>
            <w:hideMark/>
          </w:tcPr>
          <w:p w14:paraId="69E5385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CALVERT LLC </w:t>
            </w:r>
          </w:p>
        </w:tc>
        <w:tc>
          <w:tcPr>
            <w:tcW w:w="1249" w:type="pct"/>
            <w:shd w:val="clear" w:color="auto" w:fill="auto"/>
            <w:noWrap/>
            <w:vAlign w:val="bottom"/>
            <w:hideMark/>
          </w:tcPr>
          <w:p w14:paraId="19B0205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4D5EB00" w14:textId="77777777" w:rsidR="006E3A41" w:rsidRPr="006529A9" w:rsidRDefault="006E3A41" w:rsidP="006E3A41">
            <w:pPr>
              <w:rPr>
                <w:rFonts w:ascii="Open Sans" w:hAnsi="Open Sans" w:cs="Calibri"/>
                <w:color w:val="000000"/>
                <w:sz w:val="20"/>
                <w:szCs w:val="20"/>
                <w:lang w:val="pt-BR"/>
              </w:rPr>
            </w:pPr>
            <w:r w:rsidRPr="006529A9">
              <w:rPr>
                <w:rFonts w:ascii="Open Sans" w:hAnsi="Open Sans" w:cs="Calibri"/>
                <w:color w:val="000000"/>
                <w:sz w:val="20"/>
                <w:szCs w:val="20"/>
                <w:lang w:val="pt-BR"/>
              </w:rPr>
              <w:t>Acabados de Acero (Joint venture 50%)</w:t>
            </w:r>
          </w:p>
        </w:tc>
      </w:tr>
      <w:tr w:rsidR="006E3A41" w:rsidRPr="006529A9" w14:paraId="0360D803" w14:textId="77777777" w:rsidTr="006E3A41">
        <w:trPr>
          <w:trHeight w:val="20"/>
        </w:trPr>
        <w:tc>
          <w:tcPr>
            <w:tcW w:w="2318" w:type="pct"/>
            <w:shd w:val="clear" w:color="auto" w:fill="auto"/>
            <w:vAlign w:val="center"/>
            <w:hideMark/>
          </w:tcPr>
          <w:p w14:paraId="6FB19047"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rPr>
              <w:t> </w:t>
            </w:r>
            <w:r w:rsidRPr="006529A9">
              <w:rPr>
                <w:rFonts w:ascii="Open Sans" w:hAnsi="Open Sans" w:cs="Calibri"/>
                <w:color w:val="000000"/>
                <w:sz w:val="20"/>
                <w:szCs w:val="20"/>
                <w:lang w:val="en-GB"/>
              </w:rPr>
              <w:t>ARCELORMITTAL CEE TREASURY L.P. (</w:t>
            </w:r>
          </w:p>
        </w:tc>
        <w:tc>
          <w:tcPr>
            <w:tcW w:w="1249" w:type="pct"/>
            <w:shd w:val="clear" w:color="auto" w:fill="auto"/>
            <w:noWrap/>
            <w:vAlign w:val="bottom"/>
            <w:hideMark/>
          </w:tcPr>
          <w:p w14:paraId="09F8D52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A1504A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5DE0F6C" w14:textId="77777777" w:rsidTr="006E3A41">
        <w:trPr>
          <w:trHeight w:val="20"/>
        </w:trPr>
        <w:tc>
          <w:tcPr>
            <w:tcW w:w="2318" w:type="pct"/>
            <w:shd w:val="clear" w:color="auto" w:fill="auto"/>
            <w:vAlign w:val="center"/>
            <w:hideMark/>
          </w:tcPr>
          <w:p w14:paraId="354B8DEF"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CHICAGO COLD ROLLING LLC </w:t>
            </w:r>
          </w:p>
        </w:tc>
        <w:tc>
          <w:tcPr>
            <w:tcW w:w="1249" w:type="pct"/>
            <w:shd w:val="clear" w:color="auto" w:fill="auto"/>
            <w:noWrap/>
            <w:vAlign w:val="bottom"/>
            <w:hideMark/>
          </w:tcPr>
          <w:p w14:paraId="2E90CF0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464460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8FB105D" w14:textId="77777777" w:rsidTr="006E3A41">
        <w:trPr>
          <w:trHeight w:val="20"/>
        </w:trPr>
        <w:tc>
          <w:tcPr>
            <w:tcW w:w="2318" w:type="pct"/>
            <w:shd w:val="clear" w:color="auto" w:fill="auto"/>
            <w:vAlign w:val="center"/>
            <w:hideMark/>
          </w:tcPr>
          <w:p w14:paraId="0302562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CLEVELAND LLC </w:t>
            </w:r>
          </w:p>
        </w:tc>
        <w:tc>
          <w:tcPr>
            <w:tcW w:w="1249" w:type="pct"/>
            <w:shd w:val="clear" w:color="auto" w:fill="auto"/>
            <w:noWrap/>
            <w:vAlign w:val="bottom"/>
            <w:hideMark/>
          </w:tcPr>
          <w:p w14:paraId="0BB0380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261B21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33A61E7" w14:textId="77777777" w:rsidTr="006E3A41">
        <w:trPr>
          <w:trHeight w:val="20"/>
        </w:trPr>
        <w:tc>
          <w:tcPr>
            <w:tcW w:w="2318" w:type="pct"/>
            <w:shd w:val="clear" w:color="auto" w:fill="auto"/>
            <w:vAlign w:val="center"/>
            <w:hideMark/>
          </w:tcPr>
          <w:p w14:paraId="52AFAAD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CLEVELAND WEST INC. </w:t>
            </w:r>
          </w:p>
        </w:tc>
        <w:tc>
          <w:tcPr>
            <w:tcW w:w="1249" w:type="pct"/>
            <w:shd w:val="clear" w:color="auto" w:fill="auto"/>
            <w:noWrap/>
            <w:vAlign w:val="bottom"/>
            <w:hideMark/>
          </w:tcPr>
          <w:p w14:paraId="3838CE2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7649407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EC37973" w14:textId="77777777" w:rsidTr="006E3A41">
        <w:trPr>
          <w:trHeight w:val="20"/>
        </w:trPr>
        <w:tc>
          <w:tcPr>
            <w:tcW w:w="2318" w:type="pct"/>
            <w:shd w:val="clear" w:color="auto" w:fill="auto"/>
            <w:vAlign w:val="center"/>
            <w:hideMark/>
          </w:tcPr>
          <w:p w14:paraId="21CACAF0"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CLEVELAND WEST PROPERTIES INC. </w:t>
            </w:r>
          </w:p>
        </w:tc>
        <w:tc>
          <w:tcPr>
            <w:tcW w:w="1249" w:type="pct"/>
            <w:shd w:val="clear" w:color="auto" w:fill="auto"/>
            <w:noWrap/>
            <w:vAlign w:val="bottom"/>
            <w:hideMark/>
          </w:tcPr>
          <w:p w14:paraId="7BD821F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D9B02B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2CF3F73" w14:textId="77777777" w:rsidTr="006E3A41">
        <w:trPr>
          <w:trHeight w:val="20"/>
        </w:trPr>
        <w:tc>
          <w:tcPr>
            <w:tcW w:w="2318" w:type="pct"/>
            <w:shd w:val="clear" w:color="auto" w:fill="auto"/>
            <w:vAlign w:val="center"/>
            <w:hideMark/>
          </w:tcPr>
          <w:p w14:paraId="1C170440"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CLEVELAND WORKS RAILWAY INC. </w:t>
            </w:r>
          </w:p>
        </w:tc>
        <w:tc>
          <w:tcPr>
            <w:tcW w:w="1249" w:type="pct"/>
            <w:shd w:val="clear" w:color="auto" w:fill="auto"/>
            <w:noWrap/>
            <w:vAlign w:val="bottom"/>
            <w:hideMark/>
          </w:tcPr>
          <w:p w14:paraId="3A0ACC1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B43603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17337AF" w14:textId="77777777" w:rsidTr="006E3A41">
        <w:trPr>
          <w:trHeight w:val="20"/>
        </w:trPr>
        <w:tc>
          <w:tcPr>
            <w:tcW w:w="2318" w:type="pct"/>
            <w:shd w:val="clear" w:color="auto" w:fill="auto"/>
            <w:vAlign w:val="center"/>
            <w:hideMark/>
          </w:tcPr>
          <w:p w14:paraId="13C2095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COLUMBUS LLC </w:t>
            </w:r>
          </w:p>
        </w:tc>
        <w:tc>
          <w:tcPr>
            <w:tcW w:w="1249" w:type="pct"/>
            <w:shd w:val="clear" w:color="auto" w:fill="auto"/>
            <w:noWrap/>
            <w:vAlign w:val="bottom"/>
            <w:hideMark/>
          </w:tcPr>
          <w:p w14:paraId="15EC9A6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0EB644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A637687" w14:textId="77777777" w:rsidTr="006E3A41">
        <w:trPr>
          <w:trHeight w:val="20"/>
        </w:trPr>
        <w:tc>
          <w:tcPr>
            <w:tcW w:w="2318" w:type="pct"/>
            <w:shd w:val="clear" w:color="auto" w:fill="auto"/>
            <w:vAlign w:val="center"/>
            <w:hideMark/>
          </w:tcPr>
          <w:p w14:paraId="4C2C156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EGL HOLDING INC. </w:t>
            </w:r>
          </w:p>
        </w:tc>
        <w:tc>
          <w:tcPr>
            <w:tcW w:w="1249" w:type="pct"/>
            <w:shd w:val="clear" w:color="auto" w:fill="auto"/>
            <w:noWrap/>
            <w:vAlign w:val="bottom"/>
            <w:hideMark/>
          </w:tcPr>
          <w:p w14:paraId="523D1E2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DBA97E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5B1E3F4" w14:textId="77777777" w:rsidTr="006E3A41">
        <w:trPr>
          <w:trHeight w:val="20"/>
        </w:trPr>
        <w:tc>
          <w:tcPr>
            <w:tcW w:w="2318" w:type="pct"/>
            <w:shd w:val="clear" w:color="auto" w:fill="auto"/>
            <w:vAlign w:val="center"/>
            <w:hideMark/>
          </w:tcPr>
          <w:p w14:paraId="64C6F68D"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EGL HOLDINGS INC. II </w:t>
            </w:r>
          </w:p>
        </w:tc>
        <w:tc>
          <w:tcPr>
            <w:tcW w:w="1249" w:type="pct"/>
            <w:shd w:val="clear" w:color="auto" w:fill="auto"/>
            <w:noWrap/>
            <w:vAlign w:val="bottom"/>
            <w:hideMark/>
          </w:tcPr>
          <w:p w14:paraId="3FED737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3725EF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435F12E" w14:textId="77777777" w:rsidTr="006E3A41">
        <w:trPr>
          <w:trHeight w:val="20"/>
        </w:trPr>
        <w:tc>
          <w:tcPr>
            <w:tcW w:w="2318" w:type="pct"/>
            <w:shd w:val="clear" w:color="auto" w:fill="auto"/>
            <w:vAlign w:val="center"/>
            <w:hideMark/>
          </w:tcPr>
          <w:p w14:paraId="3482C04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EMPIRE INC. </w:t>
            </w:r>
          </w:p>
        </w:tc>
        <w:tc>
          <w:tcPr>
            <w:tcW w:w="1249" w:type="pct"/>
            <w:shd w:val="clear" w:color="auto" w:fill="auto"/>
            <w:noWrap/>
            <w:vAlign w:val="bottom"/>
            <w:hideMark/>
          </w:tcPr>
          <w:p w14:paraId="171796A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7EFB27E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BEDB4C4" w14:textId="77777777" w:rsidTr="006E3A41">
        <w:trPr>
          <w:trHeight w:val="20"/>
        </w:trPr>
        <w:tc>
          <w:tcPr>
            <w:tcW w:w="2318" w:type="pct"/>
            <w:shd w:val="clear" w:color="auto" w:fill="auto"/>
            <w:vAlign w:val="center"/>
            <w:hideMark/>
          </w:tcPr>
          <w:p w14:paraId="247230B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EMPLOYMENT SERVICE INC. </w:t>
            </w:r>
          </w:p>
        </w:tc>
        <w:tc>
          <w:tcPr>
            <w:tcW w:w="1249" w:type="pct"/>
            <w:shd w:val="clear" w:color="auto" w:fill="auto"/>
            <w:noWrap/>
            <w:vAlign w:val="bottom"/>
            <w:hideMark/>
          </w:tcPr>
          <w:p w14:paraId="4BC4203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E13E2B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0351095" w14:textId="77777777" w:rsidTr="006E3A41">
        <w:trPr>
          <w:trHeight w:val="20"/>
        </w:trPr>
        <w:tc>
          <w:tcPr>
            <w:tcW w:w="2318" w:type="pct"/>
            <w:shd w:val="clear" w:color="auto" w:fill="auto"/>
            <w:vAlign w:val="center"/>
            <w:hideMark/>
          </w:tcPr>
          <w:p w14:paraId="093C89B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FINANCE LLC (Delaware (US), 18 Mar 2008- )</w:t>
            </w:r>
          </w:p>
        </w:tc>
        <w:tc>
          <w:tcPr>
            <w:tcW w:w="1249" w:type="pct"/>
            <w:shd w:val="clear" w:color="auto" w:fill="auto"/>
            <w:noWrap/>
            <w:vAlign w:val="bottom"/>
            <w:hideMark/>
          </w:tcPr>
          <w:p w14:paraId="727BE20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59B41B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BDB34CF" w14:textId="77777777" w:rsidTr="006E3A41">
        <w:trPr>
          <w:trHeight w:val="20"/>
        </w:trPr>
        <w:tc>
          <w:tcPr>
            <w:tcW w:w="2318" w:type="pct"/>
            <w:shd w:val="clear" w:color="auto" w:fill="auto"/>
            <w:vAlign w:val="center"/>
            <w:hideMark/>
          </w:tcPr>
          <w:p w14:paraId="0EC9C45A"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FINANCE LLC (Delaware (US), 10 Jul 1998- )</w:t>
            </w:r>
          </w:p>
        </w:tc>
        <w:tc>
          <w:tcPr>
            <w:tcW w:w="1249" w:type="pct"/>
            <w:shd w:val="clear" w:color="auto" w:fill="auto"/>
            <w:noWrap/>
            <w:vAlign w:val="bottom"/>
            <w:hideMark/>
          </w:tcPr>
          <w:p w14:paraId="6D7E683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571050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2ACC367" w14:textId="77777777" w:rsidTr="006E3A41">
        <w:trPr>
          <w:trHeight w:val="20"/>
        </w:trPr>
        <w:tc>
          <w:tcPr>
            <w:tcW w:w="2318" w:type="pct"/>
            <w:shd w:val="clear" w:color="auto" w:fill="auto"/>
            <w:vAlign w:val="center"/>
            <w:hideMark/>
          </w:tcPr>
          <w:p w14:paraId="2385E3C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FINANCIAL SERVICES LLC </w:t>
            </w:r>
          </w:p>
        </w:tc>
        <w:tc>
          <w:tcPr>
            <w:tcW w:w="1249" w:type="pct"/>
            <w:shd w:val="clear" w:color="auto" w:fill="auto"/>
            <w:noWrap/>
            <w:vAlign w:val="bottom"/>
            <w:hideMark/>
          </w:tcPr>
          <w:p w14:paraId="62804FC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F81D3F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F27C2D3" w14:textId="77777777" w:rsidTr="006E3A41">
        <w:trPr>
          <w:trHeight w:val="20"/>
        </w:trPr>
        <w:tc>
          <w:tcPr>
            <w:tcW w:w="2318" w:type="pct"/>
            <w:shd w:val="clear" w:color="auto" w:fill="auto"/>
            <w:vAlign w:val="center"/>
            <w:hideMark/>
          </w:tcPr>
          <w:p w14:paraId="18D1343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GEORGETOWN INC. </w:t>
            </w:r>
          </w:p>
        </w:tc>
        <w:tc>
          <w:tcPr>
            <w:tcW w:w="1249" w:type="pct"/>
            <w:shd w:val="clear" w:color="auto" w:fill="auto"/>
            <w:noWrap/>
            <w:vAlign w:val="bottom"/>
            <w:hideMark/>
          </w:tcPr>
          <w:p w14:paraId="2CCBF34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73FA19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D55DE5E" w14:textId="77777777" w:rsidTr="006E3A41">
        <w:trPr>
          <w:trHeight w:val="20"/>
        </w:trPr>
        <w:tc>
          <w:tcPr>
            <w:tcW w:w="2318" w:type="pct"/>
            <w:shd w:val="clear" w:color="auto" w:fill="auto"/>
            <w:vAlign w:val="center"/>
            <w:hideMark/>
          </w:tcPr>
          <w:p w14:paraId="4369FAB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HENNEPIN LLC </w:t>
            </w:r>
          </w:p>
        </w:tc>
        <w:tc>
          <w:tcPr>
            <w:tcW w:w="1249" w:type="pct"/>
            <w:shd w:val="clear" w:color="auto" w:fill="auto"/>
            <w:noWrap/>
            <w:vAlign w:val="bottom"/>
            <w:hideMark/>
          </w:tcPr>
          <w:p w14:paraId="53C4CF3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04E77C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1325848" w14:textId="77777777" w:rsidTr="006E3A41">
        <w:trPr>
          <w:trHeight w:val="20"/>
        </w:trPr>
        <w:tc>
          <w:tcPr>
            <w:tcW w:w="2318" w:type="pct"/>
            <w:shd w:val="clear" w:color="auto" w:fill="auto"/>
            <w:vAlign w:val="center"/>
            <w:hideMark/>
          </w:tcPr>
          <w:p w14:paraId="0240842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HIBBING INC. (</w:t>
            </w:r>
          </w:p>
        </w:tc>
        <w:tc>
          <w:tcPr>
            <w:tcW w:w="1249" w:type="pct"/>
            <w:shd w:val="clear" w:color="auto" w:fill="auto"/>
            <w:noWrap/>
            <w:vAlign w:val="bottom"/>
            <w:hideMark/>
          </w:tcPr>
          <w:p w14:paraId="001ABB5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C92A78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104AD00" w14:textId="77777777" w:rsidTr="006E3A41">
        <w:trPr>
          <w:trHeight w:val="20"/>
        </w:trPr>
        <w:tc>
          <w:tcPr>
            <w:tcW w:w="2318" w:type="pct"/>
            <w:shd w:val="clear" w:color="auto" w:fill="auto"/>
            <w:vAlign w:val="center"/>
            <w:hideMark/>
          </w:tcPr>
          <w:p w14:paraId="4371951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HIBBING LAND CORPORATION </w:t>
            </w:r>
          </w:p>
        </w:tc>
        <w:tc>
          <w:tcPr>
            <w:tcW w:w="1249" w:type="pct"/>
            <w:shd w:val="clear" w:color="auto" w:fill="auto"/>
            <w:noWrap/>
            <w:vAlign w:val="bottom"/>
            <w:hideMark/>
          </w:tcPr>
          <w:p w14:paraId="7771E33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7263D2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4E73CB6" w14:textId="77777777" w:rsidTr="006E3A41">
        <w:trPr>
          <w:trHeight w:val="20"/>
        </w:trPr>
        <w:tc>
          <w:tcPr>
            <w:tcW w:w="2318" w:type="pct"/>
            <w:shd w:val="clear" w:color="auto" w:fill="auto"/>
            <w:vAlign w:val="center"/>
            <w:hideMark/>
          </w:tcPr>
          <w:p w14:paraId="6B6DBCC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HOLDINGS II LLC </w:t>
            </w:r>
          </w:p>
        </w:tc>
        <w:tc>
          <w:tcPr>
            <w:tcW w:w="1249" w:type="pct"/>
            <w:shd w:val="clear" w:color="auto" w:fill="auto"/>
            <w:noWrap/>
            <w:vAlign w:val="bottom"/>
            <w:hideMark/>
          </w:tcPr>
          <w:p w14:paraId="6BF1029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7FCB63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CCC2318" w14:textId="77777777" w:rsidTr="006E3A41">
        <w:trPr>
          <w:trHeight w:val="20"/>
        </w:trPr>
        <w:tc>
          <w:tcPr>
            <w:tcW w:w="2318" w:type="pct"/>
            <w:shd w:val="clear" w:color="auto" w:fill="auto"/>
            <w:vAlign w:val="center"/>
            <w:hideMark/>
          </w:tcPr>
          <w:p w14:paraId="4610FF1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HOLDINGS LLC </w:t>
            </w:r>
          </w:p>
        </w:tc>
        <w:tc>
          <w:tcPr>
            <w:tcW w:w="1249" w:type="pct"/>
            <w:shd w:val="clear" w:color="auto" w:fill="auto"/>
            <w:noWrap/>
            <w:vAlign w:val="bottom"/>
            <w:hideMark/>
          </w:tcPr>
          <w:p w14:paraId="1515E6B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4402B5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E4162E5" w14:textId="77777777" w:rsidTr="006E3A41">
        <w:trPr>
          <w:trHeight w:val="20"/>
        </w:trPr>
        <w:tc>
          <w:tcPr>
            <w:tcW w:w="2318" w:type="pct"/>
            <w:shd w:val="clear" w:color="auto" w:fill="auto"/>
            <w:vAlign w:val="center"/>
            <w:hideMark/>
          </w:tcPr>
          <w:p w14:paraId="2E6B0BD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INDIANA HARBOR LLC </w:t>
            </w:r>
          </w:p>
        </w:tc>
        <w:tc>
          <w:tcPr>
            <w:tcW w:w="1249" w:type="pct"/>
            <w:shd w:val="clear" w:color="auto" w:fill="auto"/>
            <w:noWrap/>
            <w:vAlign w:val="bottom"/>
            <w:hideMark/>
          </w:tcPr>
          <w:p w14:paraId="5BB0F7F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F258A8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1BE8CAB" w14:textId="77777777" w:rsidTr="006E3A41">
        <w:trPr>
          <w:trHeight w:val="20"/>
        </w:trPr>
        <w:tc>
          <w:tcPr>
            <w:tcW w:w="2318" w:type="pct"/>
            <w:shd w:val="clear" w:color="auto" w:fill="auto"/>
            <w:vAlign w:val="center"/>
            <w:hideMark/>
          </w:tcPr>
          <w:p w14:paraId="3D7BC7F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INTERNATIONAL AMERICA, LLC </w:t>
            </w:r>
          </w:p>
        </w:tc>
        <w:tc>
          <w:tcPr>
            <w:tcW w:w="1249" w:type="pct"/>
            <w:shd w:val="clear" w:color="auto" w:fill="auto"/>
            <w:noWrap/>
            <w:vAlign w:val="bottom"/>
            <w:hideMark/>
          </w:tcPr>
          <w:p w14:paraId="50B2B08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722B49E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9069396" w14:textId="77777777" w:rsidTr="006E3A41">
        <w:trPr>
          <w:trHeight w:val="20"/>
        </w:trPr>
        <w:tc>
          <w:tcPr>
            <w:tcW w:w="2318" w:type="pct"/>
            <w:shd w:val="clear" w:color="auto" w:fill="auto"/>
            <w:vAlign w:val="center"/>
            <w:hideMark/>
          </w:tcPr>
          <w:p w14:paraId="062731B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KOTE INC. </w:t>
            </w:r>
          </w:p>
        </w:tc>
        <w:tc>
          <w:tcPr>
            <w:tcW w:w="1249" w:type="pct"/>
            <w:shd w:val="clear" w:color="auto" w:fill="auto"/>
            <w:noWrap/>
            <w:vAlign w:val="bottom"/>
            <w:hideMark/>
          </w:tcPr>
          <w:p w14:paraId="28AA4EA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8978CF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7A0B953" w14:textId="77777777" w:rsidTr="006E3A41">
        <w:trPr>
          <w:trHeight w:val="20"/>
        </w:trPr>
        <w:tc>
          <w:tcPr>
            <w:tcW w:w="2318" w:type="pct"/>
            <w:shd w:val="clear" w:color="auto" w:fill="auto"/>
            <w:vAlign w:val="center"/>
            <w:hideMark/>
          </w:tcPr>
          <w:p w14:paraId="6C58D31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LACKAWANNA LLC </w:t>
            </w:r>
          </w:p>
        </w:tc>
        <w:tc>
          <w:tcPr>
            <w:tcW w:w="1249" w:type="pct"/>
            <w:shd w:val="clear" w:color="auto" w:fill="auto"/>
            <w:noWrap/>
            <w:vAlign w:val="bottom"/>
            <w:hideMark/>
          </w:tcPr>
          <w:p w14:paraId="26A8248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B8E27F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CCEA35B" w14:textId="77777777" w:rsidTr="006E3A41">
        <w:trPr>
          <w:trHeight w:val="20"/>
        </w:trPr>
        <w:tc>
          <w:tcPr>
            <w:tcW w:w="2318" w:type="pct"/>
            <w:shd w:val="clear" w:color="auto" w:fill="auto"/>
            <w:vAlign w:val="center"/>
            <w:hideMark/>
          </w:tcPr>
          <w:p w14:paraId="2BF289A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LSE HOLDING LLC </w:t>
            </w:r>
          </w:p>
        </w:tc>
        <w:tc>
          <w:tcPr>
            <w:tcW w:w="1249" w:type="pct"/>
            <w:shd w:val="clear" w:color="auto" w:fill="auto"/>
            <w:noWrap/>
            <w:vAlign w:val="bottom"/>
            <w:hideMark/>
          </w:tcPr>
          <w:p w14:paraId="1296D59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F8C84C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9B6E553" w14:textId="77777777" w:rsidTr="006E3A41">
        <w:trPr>
          <w:trHeight w:val="20"/>
        </w:trPr>
        <w:tc>
          <w:tcPr>
            <w:tcW w:w="2318" w:type="pct"/>
            <w:shd w:val="clear" w:color="auto" w:fill="auto"/>
            <w:vAlign w:val="center"/>
            <w:hideMark/>
          </w:tcPr>
          <w:p w14:paraId="6E5DA476"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MID VOL GROUP INC. </w:t>
            </w:r>
          </w:p>
        </w:tc>
        <w:tc>
          <w:tcPr>
            <w:tcW w:w="1249" w:type="pct"/>
            <w:shd w:val="clear" w:color="auto" w:fill="auto"/>
            <w:noWrap/>
            <w:vAlign w:val="bottom"/>
            <w:hideMark/>
          </w:tcPr>
          <w:p w14:paraId="197B2AD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52864F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486C31D" w14:textId="77777777" w:rsidTr="006E3A41">
        <w:trPr>
          <w:trHeight w:val="20"/>
        </w:trPr>
        <w:tc>
          <w:tcPr>
            <w:tcW w:w="2318" w:type="pct"/>
            <w:shd w:val="clear" w:color="auto" w:fill="auto"/>
            <w:vAlign w:val="center"/>
            <w:hideMark/>
          </w:tcPr>
          <w:p w14:paraId="1888697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MINING EQUIPMENT LLC </w:t>
            </w:r>
          </w:p>
        </w:tc>
        <w:tc>
          <w:tcPr>
            <w:tcW w:w="1249" w:type="pct"/>
            <w:shd w:val="clear" w:color="auto" w:fill="auto"/>
            <w:noWrap/>
            <w:vAlign w:val="bottom"/>
            <w:hideMark/>
          </w:tcPr>
          <w:p w14:paraId="4442923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8EFD9E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BC2963D" w14:textId="77777777" w:rsidTr="006E3A41">
        <w:trPr>
          <w:trHeight w:val="20"/>
        </w:trPr>
        <w:tc>
          <w:tcPr>
            <w:tcW w:w="2318" w:type="pct"/>
            <w:shd w:val="clear" w:color="auto" w:fill="auto"/>
            <w:vAlign w:val="center"/>
            <w:hideMark/>
          </w:tcPr>
          <w:p w14:paraId="30F80DB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MINORCA MINE INC. (</w:t>
            </w:r>
          </w:p>
        </w:tc>
        <w:tc>
          <w:tcPr>
            <w:tcW w:w="1249" w:type="pct"/>
            <w:shd w:val="clear" w:color="auto" w:fill="auto"/>
            <w:noWrap/>
            <w:vAlign w:val="bottom"/>
            <w:hideMark/>
          </w:tcPr>
          <w:p w14:paraId="3733320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213C6E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ABABFD2" w14:textId="77777777" w:rsidTr="006E3A41">
        <w:trPr>
          <w:trHeight w:val="20"/>
        </w:trPr>
        <w:tc>
          <w:tcPr>
            <w:tcW w:w="2318" w:type="pct"/>
            <w:shd w:val="clear" w:color="auto" w:fill="auto"/>
            <w:vAlign w:val="center"/>
            <w:hideMark/>
          </w:tcPr>
          <w:p w14:paraId="430A617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MONESSEN LLC </w:t>
            </w:r>
          </w:p>
        </w:tc>
        <w:tc>
          <w:tcPr>
            <w:tcW w:w="1249" w:type="pct"/>
            <w:shd w:val="clear" w:color="auto" w:fill="auto"/>
            <w:noWrap/>
            <w:vAlign w:val="bottom"/>
            <w:hideMark/>
          </w:tcPr>
          <w:p w14:paraId="004A4B7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D3D7B9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1E5CB73" w14:textId="77777777" w:rsidTr="006E3A41">
        <w:trPr>
          <w:trHeight w:val="20"/>
        </w:trPr>
        <w:tc>
          <w:tcPr>
            <w:tcW w:w="2318" w:type="pct"/>
            <w:shd w:val="clear" w:color="auto" w:fill="auto"/>
            <w:vAlign w:val="center"/>
            <w:hideMark/>
          </w:tcPr>
          <w:p w14:paraId="695DC87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MORTGAGE ACCEPTANCE LLC </w:t>
            </w:r>
          </w:p>
        </w:tc>
        <w:tc>
          <w:tcPr>
            <w:tcW w:w="1249" w:type="pct"/>
            <w:shd w:val="clear" w:color="auto" w:fill="auto"/>
            <w:noWrap/>
            <w:vAlign w:val="bottom"/>
            <w:hideMark/>
          </w:tcPr>
          <w:p w14:paraId="4DE0235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AB9B87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3E63E6D" w14:textId="77777777" w:rsidTr="006E3A41">
        <w:trPr>
          <w:trHeight w:val="20"/>
        </w:trPr>
        <w:tc>
          <w:tcPr>
            <w:tcW w:w="2318" w:type="pct"/>
            <w:shd w:val="clear" w:color="auto" w:fill="auto"/>
            <w:vAlign w:val="center"/>
            <w:hideMark/>
          </w:tcPr>
          <w:p w14:paraId="57BAD30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NMI CORP. </w:t>
            </w:r>
          </w:p>
        </w:tc>
        <w:tc>
          <w:tcPr>
            <w:tcW w:w="1249" w:type="pct"/>
            <w:shd w:val="clear" w:color="auto" w:fill="auto"/>
            <w:noWrap/>
            <w:vAlign w:val="bottom"/>
            <w:hideMark/>
          </w:tcPr>
          <w:p w14:paraId="353F25C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5299733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89730FC" w14:textId="77777777" w:rsidTr="006E3A41">
        <w:trPr>
          <w:trHeight w:val="20"/>
        </w:trPr>
        <w:tc>
          <w:tcPr>
            <w:tcW w:w="2318" w:type="pct"/>
            <w:shd w:val="clear" w:color="auto" w:fill="auto"/>
            <w:vAlign w:val="center"/>
            <w:hideMark/>
          </w:tcPr>
          <w:p w14:paraId="12F5CAF2"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NORTH AMERICA HOLDING INC. </w:t>
            </w:r>
          </w:p>
        </w:tc>
        <w:tc>
          <w:tcPr>
            <w:tcW w:w="1249" w:type="pct"/>
            <w:shd w:val="clear" w:color="auto" w:fill="auto"/>
            <w:noWrap/>
            <w:vAlign w:val="bottom"/>
            <w:hideMark/>
          </w:tcPr>
          <w:p w14:paraId="7A77563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F34686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9A87C87" w14:textId="77777777" w:rsidTr="006E3A41">
        <w:trPr>
          <w:trHeight w:val="20"/>
        </w:trPr>
        <w:tc>
          <w:tcPr>
            <w:tcW w:w="2318" w:type="pct"/>
            <w:shd w:val="clear" w:color="auto" w:fill="auto"/>
            <w:vAlign w:val="center"/>
            <w:hideMark/>
          </w:tcPr>
          <w:p w14:paraId="4B3EF209"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NORTH AMERICA HOLDINGS LLC </w:t>
            </w:r>
          </w:p>
        </w:tc>
        <w:tc>
          <w:tcPr>
            <w:tcW w:w="1249" w:type="pct"/>
            <w:shd w:val="clear" w:color="auto" w:fill="auto"/>
            <w:noWrap/>
            <w:vAlign w:val="bottom"/>
            <w:hideMark/>
          </w:tcPr>
          <w:p w14:paraId="48D82FD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8B02C8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2644699" w14:textId="77777777" w:rsidTr="006E3A41">
        <w:trPr>
          <w:trHeight w:val="20"/>
        </w:trPr>
        <w:tc>
          <w:tcPr>
            <w:tcW w:w="2318" w:type="pct"/>
            <w:shd w:val="clear" w:color="auto" w:fill="auto"/>
            <w:vAlign w:val="center"/>
            <w:hideMark/>
          </w:tcPr>
          <w:p w14:paraId="1FBDFFD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OBETZ LLC </w:t>
            </w:r>
          </w:p>
        </w:tc>
        <w:tc>
          <w:tcPr>
            <w:tcW w:w="1249" w:type="pct"/>
            <w:shd w:val="clear" w:color="auto" w:fill="auto"/>
            <w:noWrap/>
            <w:vAlign w:val="bottom"/>
            <w:hideMark/>
          </w:tcPr>
          <w:p w14:paraId="570CA8C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BB4CE8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9203326" w14:textId="77777777" w:rsidTr="006E3A41">
        <w:trPr>
          <w:trHeight w:val="20"/>
        </w:trPr>
        <w:tc>
          <w:tcPr>
            <w:tcW w:w="2318" w:type="pct"/>
            <w:shd w:val="clear" w:color="auto" w:fill="auto"/>
            <w:vAlign w:val="center"/>
            <w:hideMark/>
          </w:tcPr>
          <w:p w14:paraId="5BF5137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PARTNERSHIP </w:t>
            </w:r>
          </w:p>
        </w:tc>
        <w:tc>
          <w:tcPr>
            <w:tcW w:w="1249" w:type="pct"/>
            <w:shd w:val="clear" w:color="auto" w:fill="auto"/>
            <w:noWrap/>
            <w:vAlign w:val="bottom"/>
            <w:hideMark/>
          </w:tcPr>
          <w:p w14:paraId="63F91C7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6C6F13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0B58B46" w14:textId="77777777" w:rsidTr="006E3A41">
        <w:trPr>
          <w:trHeight w:val="20"/>
        </w:trPr>
        <w:tc>
          <w:tcPr>
            <w:tcW w:w="2318" w:type="pct"/>
            <w:shd w:val="clear" w:color="auto" w:fill="auto"/>
            <w:vAlign w:val="center"/>
            <w:hideMark/>
          </w:tcPr>
          <w:p w14:paraId="6357422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PCI INC</w:t>
            </w:r>
          </w:p>
        </w:tc>
        <w:tc>
          <w:tcPr>
            <w:tcW w:w="1249" w:type="pct"/>
            <w:shd w:val="clear" w:color="auto" w:fill="auto"/>
            <w:noWrap/>
            <w:vAlign w:val="bottom"/>
            <w:hideMark/>
          </w:tcPr>
          <w:p w14:paraId="259183B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5A761FF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FF46D8D" w14:textId="77777777" w:rsidTr="006E3A41">
        <w:trPr>
          <w:trHeight w:val="20"/>
        </w:trPr>
        <w:tc>
          <w:tcPr>
            <w:tcW w:w="2318" w:type="pct"/>
            <w:shd w:val="clear" w:color="auto" w:fill="auto"/>
            <w:vAlign w:val="center"/>
            <w:hideMark/>
          </w:tcPr>
          <w:p w14:paraId="4FAC9A8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PIEDMONT LLC </w:t>
            </w:r>
          </w:p>
        </w:tc>
        <w:tc>
          <w:tcPr>
            <w:tcW w:w="1249" w:type="pct"/>
            <w:shd w:val="clear" w:color="auto" w:fill="auto"/>
            <w:noWrap/>
            <w:vAlign w:val="bottom"/>
            <w:hideMark/>
          </w:tcPr>
          <w:p w14:paraId="2BB1EDD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3FD1AA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C5416ED" w14:textId="77777777" w:rsidTr="006E3A41">
        <w:trPr>
          <w:trHeight w:val="20"/>
        </w:trPr>
        <w:tc>
          <w:tcPr>
            <w:tcW w:w="2318" w:type="pct"/>
            <w:shd w:val="clear" w:color="auto" w:fill="auto"/>
            <w:vAlign w:val="center"/>
            <w:hideMark/>
          </w:tcPr>
          <w:p w14:paraId="5F1BC83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PLATE LLC </w:t>
            </w:r>
          </w:p>
        </w:tc>
        <w:tc>
          <w:tcPr>
            <w:tcW w:w="1249" w:type="pct"/>
            <w:shd w:val="clear" w:color="auto" w:fill="auto"/>
            <w:noWrap/>
            <w:vAlign w:val="bottom"/>
            <w:hideMark/>
          </w:tcPr>
          <w:p w14:paraId="47DCA18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762E613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12CBF51" w14:textId="77777777" w:rsidTr="006E3A41">
        <w:trPr>
          <w:trHeight w:val="20"/>
        </w:trPr>
        <w:tc>
          <w:tcPr>
            <w:tcW w:w="2318" w:type="pct"/>
            <w:shd w:val="clear" w:color="auto" w:fill="auto"/>
            <w:vAlign w:val="center"/>
            <w:hideMark/>
          </w:tcPr>
          <w:p w14:paraId="710078D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PRISTINE RESOURCES LLC </w:t>
            </w:r>
          </w:p>
        </w:tc>
        <w:tc>
          <w:tcPr>
            <w:tcW w:w="1249" w:type="pct"/>
            <w:shd w:val="clear" w:color="auto" w:fill="auto"/>
            <w:noWrap/>
            <w:vAlign w:val="bottom"/>
            <w:hideMark/>
          </w:tcPr>
          <w:p w14:paraId="3A29660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13B760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47A4737" w14:textId="77777777" w:rsidTr="006E3A41">
        <w:trPr>
          <w:trHeight w:val="20"/>
        </w:trPr>
        <w:tc>
          <w:tcPr>
            <w:tcW w:w="2318" w:type="pct"/>
            <w:shd w:val="clear" w:color="auto" w:fill="auto"/>
            <w:vAlign w:val="center"/>
            <w:hideMark/>
          </w:tcPr>
          <w:p w14:paraId="6CB4642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REAL ESTATE INC. </w:t>
            </w:r>
          </w:p>
        </w:tc>
        <w:tc>
          <w:tcPr>
            <w:tcW w:w="1249" w:type="pct"/>
            <w:shd w:val="clear" w:color="auto" w:fill="auto"/>
            <w:noWrap/>
            <w:vAlign w:val="bottom"/>
            <w:hideMark/>
          </w:tcPr>
          <w:p w14:paraId="5F735BA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78FD8B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46CB4CC" w14:textId="77777777" w:rsidTr="006E3A41">
        <w:trPr>
          <w:trHeight w:val="20"/>
        </w:trPr>
        <w:tc>
          <w:tcPr>
            <w:tcW w:w="2318" w:type="pct"/>
            <w:shd w:val="clear" w:color="auto" w:fill="auto"/>
            <w:vAlign w:val="center"/>
            <w:hideMark/>
          </w:tcPr>
          <w:p w14:paraId="320AD52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RIVERDALE LLC </w:t>
            </w:r>
          </w:p>
        </w:tc>
        <w:tc>
          <w:tcPr>
            <w:tcW w:w="1249" w:type="pct"/>
            <w:shd w:val="clear" w:color="auto" w:fill="auto"/>
            <w:noWrap/>
            <w:vAlign w:val="bottom"/>
            <w:hideMark/>
          </w:tcPr>
          <w:p w14:paraId="64A13B7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87465A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EAEA6A0" w14:textId="77777777" w:rsidTr="006E3A41">
        <w:trPr>
          <w:trHeight w:val="20"/>
        </w:trPr>
        <w:tc>
          <w:tcPr>
            <w:tcW w:w="2318" w:type="pct"/>
            <w:shd w:val="clear" w:color="auto" w:fill="auto"/>
            <w:vAlign w:val="center"/>
            <w:hideMark/>
          </w:tcPr>
          <w:p w14:paraId="1960DCF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SERVICE INC. </w:t>
            </w:r>
          </w:p>
        </w:tc>
        <w:tc>
          <w:tcPr>
            <w:tcW w:w="1249" w:type="pct"/>
            <w:shd w:val="clear" w:color="auto" w:fill="auto"/>
            <w:noWrap/>
            <w:vAlign w:val="bottom"/>
            <w:hideMark/>
          </w:tcPr>
          <w:p w14:paraId="340A987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58732A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67B2BDA" w14:textId="77777777" w:rsidTr="006E3A41">
        <w:trPr>
          <w:trHeight w:val="20"/>
        </w:trPr>
        <w:tc>
          <w:tcPr>
            <w:tcW w:w="2318" w:type="pct"/>
            <w:shd w:val="clear" w:color="auto" w:fill="auto"/>
            <w:vAlign w:val="center"/>
            <w:hideMark/>
          </w:tcPr>
          <w:p w14:paraId="0D3B3B4B"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SOUTH CHICAGO &amp; INDIANA HARBOR RAILWAY INC</w:t>
            </w:r>
          </w:p>
        </w:tc>
        <w:tc>
          <w:tcPr>
            <w:tcW w:w="1249" w:type="pct"/>
            <w:shd w:val="clear" w:color="auto" w:fill="auto"/>
            <w:noWrap/>
            <w:vAlign w:val="bottom"/>
            <w:hideMark/>
          </w:tcPr>
          <w:p w14:paraId="345E66C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49941B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F8C3FD5" w14:textId="77777777" w:rsidTr="006E3A41">
        <w:trPr>
          <w:trHeight w:val="20"/>
        </w:trPr>
        <w:tc>
          <w:tcPr>
            <w:tcW w:w="2318" w:type="pct"/>
            <w:shd w:val="clear" w:color="auto" w:fill="auto"/>
            <w:vAlign w:val="center"/>
            <w:hideMark/>
          </w:tcPr>
          <w:p w14:paraId="5E4E154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STEEL SOLUTION &amp; SERVICES USA LLC </w:t>
            </w:r>
          </w:p>
        </w:tc>
        <w:tc>
          <w:tcPr>
            <w:tcW w:w="1249" w:type="pct"/>
            <w:shd w:val="clear" w:color="auto" w:fill="auto"/>
            <w:noWrap/>
            <w:vAlign w:val="bottom"/>
            <w:hideMark/>
          </w:tcPr>
          <w:p w14:paraId="7492F86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551007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5E7D74A" w14:textId="77777777" w:rsidTr="006E3A41">
        <w:trPr>
          <w:trHeight w:val="20"/>
        </w:trPr>
        <w:tc>
          <w:tcPr>
            <w:tcW w:w="2318" w:type="pct"/>
            <w:shd w:val="clear" w:color="auto" w:fill="auto"/>
            <w:vAlign w:val="center"/>
            <w:hideMark/>
          </w:tcPr>
          <w:p w14:paraId="52799D5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STEELTON LLC </w:t>
            </w:r>
          </w:p>
        </w:tc>
        <w:tc>
          <w:tcPr>
            <w:tcW w:w="1249" w:type="pct"/>
            <w:shd w:val="clear" w:color="auto" w:fill="auto"/>
            <w:noWrap/>
            <w:vAlign w:val="bottom"/>
            <w:hideMark/>
          </w:tcPr>
          <w:p w14:paraId="1E9670C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C70FEB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8F35026" w14:textId="77777777" w:rsidTr="006E3A41">
        <w:trPr>
          <w:trHeight w:val="20"/>
        </w:trPr>
        <w:tc>
          <w:tcPr>
            <w:tcW w:w="2318" w:type="pct"/>
            <w:shd w:val="clear" w:color="auto" w:fill="auto"/>
            <w:vAlign w:val="center"/>
            <w:hideMark/>
          </w:tcPr>
          <w:p w14:paraId="0A3B2FE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SUB PLAN LLC </w:t>
            </w:r>
          </w:p>
        </w:tc>
        <w:tc>
          <w:tcPr>
            <w:tcW w:w="1249" w:type="pct"/>
            <w:shd w:val="clear" w:color="auto" w:fill="auto"/>
            <w:noWrap/>
            <w:vAlign w:val="bottom"/>
            <w:hideMark/>
          </w:tcPr>
          <w:p w14:paraId="1BA9EB6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0B91F5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5797C72" w14:textId="77777777" w:rsidTr="006E3A41">
        <w:trPr>
          <w:trHeight w:val="20"/>
        </w:trPr>
        <w:tc>
          <w:tcPr>
            <w:tcW w:w="2318" w:type="pct"/>
            <w:shd w:val="clear" w:color="auto" w:fill="auto"/>
            <w:vAlign w:val="center"/>
            <w:hideMark/>
          </w:tcPr>
          <w:p w14:paraId="6956A6F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TEK INC</w:t>
            </w:r>
          </w:p>
        </w:tc>
        <w:tc>
          <w:tcPr>
            <w:tcW w:w="1249" w:type="pct"/>
            <w:shd w:val="clear" w:color="auto" w:fill="auto"/>
            <w:noWrap/>
            <w:vAlign w:val="bottom"/>
            <w:hideMark/>
          </w:tcPr>
          <w:p w14:paraId="3C4FE71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06107E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DD1DC54" w14:textId="77777777" w:rsidTr="006E3A41">
        <w:trPr>
          <w:trHeight w:val="20"/>
        </w:trPr>
        <w:tc>
          <w:tcPr>
            <w:tcW w:w="2318" w:type="pct"/>
            <w:shd w:val="clear" w:color="auto" w:fill="auto"/>
            <w:vAlign w:val="center"/>
            <w:hideMark/>
          </w:tcPr>
          <w:p w14:paraId="20A7CC20"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TOW PATH VALLEY BUSINESS PARK DEVELOPMENT COMPANY </w:t>
            </w:r>
          </w:p>
        </w:tc>
        <w:tc>
          <w:tcPr>
            <w:tcW w:w="1249" w:type="pct"/>
            <w:shd w:val="clear" w:color="auto" w:fill="auto"/>
            <w:noWrap/>
            <w:vAlign w:val="bottom"/>
            <w:hideMark/>
          </w:tcPr>
          <w:p w14:paraId="604EAFA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5B4A2A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A3CF81A" w14:textId="77777777" w:rsidTr="006E3A41">
        <w:trPr>
          <w:trHeight w:val="20"/>
        </w:trPr>
        <w:tc>
          <w:tcPr>
            <w:tcW w:w="2318" w:type="pct"/>
            <w:shd w:val="clear" w:color="auto" w:fill="auto"/>
            <w:vAlign w:val="center"/>
            <w:hideMark/>
          </w:tcPr>
          <w:p w14:paraId="36FE6AA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TREASURY AMERICAS FINANCIAL SERVICES LLC </w:t>
            </w:r>
          </w:p>
        </w:tc>
        <w:tc>
          <w:tcPr>
            <w:tcW w:w="1249" w:type="pct"/>
            <w:shd w:val="clear" w:color="auto" w:fill="auto"/>
            <w:noWrap/>
            <w:vAlign w:val="bottom"/>
            <w:hideMark/>
          </w:tcPr>
          <w:p w14:paraId="594EE80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328407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90CAE1D" w14:textId="77777777" w:rsidTr="006E3A41">
        <w:trPr>
          <w:trHeight w:val="20"/>
        </w:trPr>
        <w:tc>
          <w:tcPr>
            <w:tcW w:w="2318" w:type="pct"/>
            <w:shd w:val="clear" w:color="auto" w:fill="auto"/>
            <w:vAlign w:val="center"/>
            <w:hideMark/>
          </w:tcPr>
          <w:p w14:paraId="1007017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TREASURY AMERICAS LLC </w:t>
            </w:r>
          </w:p>
        </w:tc>
        <w:tc>
          <w:tcPr>
            <w:tcW w:w="1249" w:type="pct"/>
            <w:shd w:val="clear" w:color="auto" w:fill="auto"/>
            <w:noWrap/>
            <w:vAlign w:val="bottom"/>
            <w:hideMark/>
          </w:tcPr>
          <w:p w14:paraId="77D0348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97C1A6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FE38BCE" w14:textId="77777777" w:rsidTr="006E3A41">
        <w:trPr>
          <w:trHeight w:val="20"/>
        </w:trPr>
        <w:tc>
          <w:tcPr>
            <w:tcW w:w="2318" w:type="pct"/>
            <w:shd w:val="clear" w:color="auto" w:fill="auto"/>
            <w:vAlign w:val="center"/>
            <w:hideMark/>
          </w:tcPr>
          <w:p w14:paraId="7680752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TUBULAR PRODUCTS MARION INC. </w:t>
            </w:r>
          </w:p>
        </w:tc>
        <w:tc>
          <w:tcPr>
            <w:tcW w:w="1249" w:type="pct"/>
            <w:shd w:val="clear" w:color="auto" w:fill="auto"/>
            <w:noWrap/>
            <w:vAlign w:val="bottom"/>
            <w:hideMark/>
          </w:tcPr>
          <w:p w14:paraId="391C869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663DB5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4B6A259" w14:textId="77777777" w:rsidTr="006E3A41">
        <w:trPr>
          <w:trHeight w:val="20"/>
        </w:trPr>
        <w:tc>
          <w:tcPr>
            <w:tcW w:w="2318" w:type="pct"/>
            <w:shd w:val="clear" w:color="auto" w:fill="auto"/>
            <w:vAlign w:val="center"/>
            <w:hideMark/>
          </w:tcPr>
          <w:p w14:paraId="27770B78"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TUBULAR PRODUCTS SHELBY LLC </w:t>
            </w:r>
          </w:p>
        </w:tc>
        <w:tc>
          <w:tcPr>
            <w:tcW w:w="1249" w:type="pct"/>
            <w:shd w:val="clear" w:color="auto" w:fill="auto"/>
            <w:noWrap/>
            <w:vAlign w:val="bottom"/>
            <w:hideMark/>
          </w:tcPr>
          <w:p w14:paraId="1CFFC5D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B54F13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E4598F7" w14:textId="77777777" w:rsidTr="006E3A41">
        <w:trPr>
          <w:trHeight w:val="20"/>
        </w:trPr>
        <w:tc>
          <w:tcPr>
            <w:tcW w:w="2318" w:type="pct"/>
            <w:shd w:val="clear" w:color="auto" w:fill="auto"/>
            <w:vAlign w:val="center"/>
            <w:hideMark/>
          </w:tcPr>
          <w:p w14:paraId="0D7F023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TUBULAR PRODUCTS USA LLC </w:t>
            </w:r>
          </w:p>
        </w:tc>
        <w:tc>
          <w:tcPr>
            <w:tcW w:w="1249" w:type="pct"/>
            <w:shd w:val="clear" w:color="auto" w:fill="auto"/>
            <w:noWrap/>
            <w:vAlign w:val="bottom"/>
            <w:hideMark/>
          </w:tcPr>
          <w:p w14:paraId="5C85595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2C22D0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575D978" w14:textId="77777777" w:rsidTr="006E3A41">
        <w:trPr>
          <w:trHeight w:val="20"/>
        </w:trPr>
        <w:tc>
          <w:tcPr>
            <w:tcW w:w="2318" w:type="pct"/>
            <w:shd w:val="clear" w:color="auto" w:fill="auto"/>
            <w:vAlign w:val="center"/>
            <w:hideMark/>
          </w:tcPr>
          <w:p w14:paraId="7F0A2381"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USA HOLDINGS II LLC (Delaware (US), 12 Dec 2012- )</w:t>
            </w:r>
          </w:p>
        </w:tc>
        <w:tc>
          <w:tcPr>
            <w:tcW w:w="1249" w:type="pct"/>
            <w:shd w:val="clear" w:color="auto" w:fill="auto"/>
            <w:noWrap/>
            <w:vAlign w:val="bottom"/>
            <w:hideMark/>
          </w:tcPr>
          <w:p w14:paraId="430112A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B35AE8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75EC04B" w14:textId="77777777" w:rsidTr="006E3A41">
        <w:trPr>
          <w:trHeight w:val="20"/>
        </w:trPr>
        <w:tc>
          <w:tcPr>
            <w:tcW w:w="2318" w:type="pct"/>
            <w:shd w:val="clear" w:color="auto" w:fill="auto"/>
            <w:vAlign w:val="center"/>
            <w:hideMark/>
          </w:tcPr>
          <w:p w14:paraId="4524BBAB"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USA HOLDINGS II LLC (Delaware (US), 22 Jul 2008- )</w:t>
            </w:r>
          </w:p>
        </w:tc>
        <w:tc>
          <w:tcPr>
            <w:tcW w:w="1249" w:type="pct"/>
            <w:shd w:val="clear" w:color="auto" w:fill="auto"/>
            <w:noWrap/>
            <w:vAlign w:val="bottom"/>
            <w:hideMark/>
          </w:tcPr>
          <w:p w14:paraId="2D40585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88953C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03485FB" w14:textId="77777777" w:rsidTr="006E3A41">
        <w:trPr>
          <w:trHeight w:val="20"/>
        </w:trPr>
        <w:tc>
          <w:tcPr>
            <w:tcW w:w="2318" w:type="pct"/>
            <w:shd w:val="clear" w:color="auto" w:fill="auto"/>
            <w:vAlign w:val="center"/>
            <w:hideMark/>
          </w:tcPr>
          <w:p w14:paraId="3903EB64"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USA HOLDINGS II LLC (Delaware (US), 19 Sep 2008- )</w:t>
            </w:r>
          </w:p>
        </w:tc>
        <w:tc>
          <w:tcPr>
            <w:tcW w:w="1249" w:type="pct"/>
            <w:shd w:val="clear" w:color="auto" w:fill="auto"/>
            <w:noWrap/>
            <w:vAlign w:val="bottom"/>
            <w:hideMark/>
          </w:tcPr>
          <w:p w14:paraId="666A359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397C38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D38AA5F" w14:textId="77777777" w:rsidTr="006E3A41">
        <w:trPr>
          <w:trHeight w:val="20"/>
        </w:trPr>
        <w:tc>
          <w:tcPr>
            <w:tcW w:w="2318" w:type="pct"/>
            <w:shd w:val="clear" w:color="auto" w:fill="auto"/>
            <w:vAlign w:val="center"/>
            <w:hideMark/>
          </w:tcPr>
          <w:p w14:paraId="3A04BEA8"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USA HOLDINGS LLC (Delaware (US), 17 Jun 2009- )</w:t>
            </w:r>
          </w:p>
        </w:tc>
        <w:tc>
          <w:tcPr>
            <w:tcW w:w="1249" w:type="pct"/>
            <w:shd w:val="clear" w:color="auto" w:fill="auto"/>
            <w:noWrap/>
            <w:vAlign w:val="bottom"/>
            <w:hideMark/>
          </w:tcPr>
          <w:p w14:paraId="6313100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D5A534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BB350B6" w14:textId="77777777" w:rsidTr="006E3A41">
        <w:trPr>
          <w:trHeight w:val="20"/>
        </w:trPr>
        <w:tc>
          <w:tcPr>
            <w:tcW w:w="2318" w:type="pct"/>
            <w:shd w:val="clear" w:color="auto" w:fill="auto"/>
            <w:vAlign w:val="center"/>
            <w:hideMark/>
          </w:tcPr>
          <w:p w14:paraId="41ECDC8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USA INCOAL INC. </w:t>
            </w:r>
          </w:p>
        </w:tc>
        <w:tc>
          <w:tcPr>
            <w:tcW w:w="1249" w:type="pct"/>
            <w:shd w:val="clear" w:color="auto" w:fill="auto"/>
            <w:noWrap/>
            <w:vAlign w:val="bottom"/>
            <w:hideMark/>
          </w:tcPr>
          <w:p w14:paraId="36D5BF2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4112076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9D5F05F" w14:textId="77777777" w:rsidTr="006E3A41">
        <w:trPr>
          <w:trHeight w:val="20"/>
        </w:trPr>
        <w:tc>
          <w:tcPr>
            <w:tcW w:w="2318" w:type="pct"/>
            <w:shd w:val="clear" w:color="auto" w:fill="auto"/>
            <w:vAlign w:val="center"/>
            <w:hideMark/>
          </w:tcPr>
          <w:p w14:paraId="592C42D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USA LLC </w:t>
            </w:r>
          </w:p>
        </w:tc>
        <w:tc>
          <w:tcPr>
            <w:tcW w:w="1249" w:type="pct"/>
            <w:shd w:val="clear" w:color="auto" w:fill="auto"/>
            <w:noWrap/>
            <w:vAlign w:val="bottom"/>
            <w:hideMark/>
          </w:tcPr>
          <w:p w14:paraId="120CFB2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70C318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35FB06E" w14:textId="77777777" w:rsidTr="006E3A41">
        <w:trPr>
          <w:trHeight w:val="20"/>
        </w:trPr>
        <w:tc>
          <w:tcPr>
            <w:tcW w:w="2318" w:type="pct"/>
            <w:shd w:val="clear" w:color="auto" w:fill="auto"/>
            <w:vAlign w:val="center"/>
            <w:hideMark/>
          </w:tcPr>
          <w:p w14:paraId="2F7359E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USA PARTNERSHIP </w:t>
            </w:r>
          </w:p>
        </w:tc>
        <w:tc>
          <w:tcPr>
            <w:tcW w:w="1249" w:type="pct"/>
            <w:shd w:val="clear" w:color="auto" w:fill="auto"/>
            <w:noWrap/>
            <w:vAlign w:val="bottom"/>
            <w:hideMark/>
          </w:tcPr>
          <w:p w14:paraId="774CFA9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5F37310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C57B474" w14:textId="77777777" w:rsidTr="006E3A41">
        <w:trPr>
          <w:trHeight w:val="20"/>
        </w:trPr>
        <w:tc>
          <w:tcPr>
            <w:tcW w:w="2318" w:type="pct"/>
            <w:shd w:val="clear" w:color="auto" w:fill="auto"/>
            <w:vAlign w:val="center"/>
            <w:hideMark/>
          </w:tcPr>
          <w:p w14:paraId="6900473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WARREN INC. </w:t>
            </w:r>
          </w:p>
        </w:tc>
        <w:tc>
          <w:tcPr>
            <w:tcW w:w="1249" w:type="pct"/>
            <w:shd w:val="clear" w:color="auto" w:fill="auto"/>
            <w:noWrap/>
            <w:vAlign w:val="bottom"/>
            <w:hideMark/>
          </w:tcPr>
          <w:p w14:paraId="4AB938B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EC08FC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6B6D38B" w14:textId="77777777" w:rsidTr="006E3A41">
        <w:trPr>
          <w:trHeight w:val="20"/>
        </w:trPr>
        <w:tc>
          <w:tcPr>
            <w:tcW w:w="2318" w:type="pct"/>
            <w:shd w:val="clear" w:color="auto" w:fill="auto"/>
            <w:vAlign w:val="center"/>
            <w:hideMark/>
          </w:tcPr>
          <w:p w14:paraId="4BB2C21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WEIRTON LLC </w:t>
            </w:r>
          </w:p>
        </w:tc>
        <w:tc>
          <w:tcPr>
            <w:tcW w:w="1249" w:type="pct"/>
            <w:shd w:val="clear" w:color="auto" w:fill="auto"/>
            <w:noWrap/>
            <w:vAlign w:val="bottom"/>
            <w:hideMark/>
          </w:tcPr>
          <w:p w14:paraId="23CC172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67A16BF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E7B9A51" w14:textId="77777777" w:rsidTr="006E3A41">
        <w:trPr>
          <w:trHeight w:val="20"/>
        </w:trPr>
        <w:tc>
          <w:tcPr>
            <w:tcW w:w="2318" w:type="pct"/>
            <w:shd w:val="clear" w:color="auto" w:fill="auto"/>
            <w:vAlign w:val="center"/>
            <w:hideMark/>
          </w:tcPr>
          <w:p w14:paraId="1EDE50EB"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CLEVELAND LLC </w:t>
            </w:r>
          </w:p>
        </w:tc>
        <w:tc>
          <w:tcPr>
            <w:tcW w:w="1249" w:type="pct"/>
            <w:shd w:val="clear" w:color="auto" w:fill="auto"/>
            <w:noWrap/>
            <w:hideMark/>
          </w:tcPr>
          <w:p w14:paraId="51D2FD8B"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655A3D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2E5DD00" w14:textId="77777777" w:rsidTr="006E3A41">
        <w:trPr>
          <w:trHeight w:val="20"/>
        </w:trPr>
        <w:tc>
          <w:tcPr>
            <w:tcW w:w="2318" w:type="pct"/>
            <w:shd w:val="clear" w:color="auto" w:fill="auto"/>
            <w:vAlign w:val="center"/>
            <w:hideMark/>
          </w:tcPr>
          <w:p w14:paraId="26DBF124"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CLEVELAND WORKS RAILWAY INC.</w:t>
            </w:r>
          </w:p>
        </w:tc>
        <w:tc>
          <w:tcPr>
            <w:tcW w:w="1249" w:type="pct"/>
            <w:shd w:val="clear" w:color="auto" w:fill="auto"/>
            <w:noWrap/>
            <w:hideMark/>
          </w:tcPr>
          <w:p w14:paraId="5EBEB224"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54C4F48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358AD10" w14:textId="77777777" w:rsidTr="006E3A41">
        <w:trPr>
          <w:trHeight w:val="20"/>
        </w:trPr>
        <w:tc>
          <w:tcPr>
            <w:tcW w:w="2318" w:type="pct"/>
            <w:shd w:val="clear" w:color="auto" w:fill="auto"/>
            <w:vAlign w:val="center"/>
            <w:hideMark/>
          </w:tcPr>
          <w:p w14:paraId="675C097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COLUMBUS LLC </w:t>
            </w:r>
          </w:p>
        </w:tc>
        <w:tc>
          <w:tcPr>
            <w:tcW w:w="1249" w:type="pct"/>
            <w:shd w:val="clear" w:color="auto" w:fill="auto"/>
            <w:noWrap/>
            <w:hideMark/>
          </w:tcPr>
          <w:p w14:paraId="50E2EF9E"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D0F69C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7FD651D" w14:textId="77777777" w:rsidTr="006E3A41">
        <w:trPr>
          <w:trHeight w:val="20"/>
        </w:trPr>
        <w:tc>
          <w:tcPr>
            <w:tcW w:w="2318" w:type="pct"/>
            <w:shd w:val="clear" w:color="auto" w:fill="auto"/>
            <w:vAlign w:val="center"/>
            <w:hideMark/>
          </w:tcPr>
          <w:p w14:paraId="3BF40F2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MORTGAGE ACCEPTANCE LLC </w:t>
            </w:r>
          </w:p>
        </w:tc>
        <w:tc>
          <w:tcPr>
            <w:tcW w:w="1249" w:type="pct"/>
            <w:shd w:val="clear" w:color="auto" w:fill="auto"/>
            <w:noWrap/>
            <w:hideMark/>
          </w:tcPr>
          <w:p w14:paraId="1CF580C4"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1159AAE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E4AF2DE" w14:textId="77777777" w:rsidTr="006E3A41">
        <w:trPr>
          <w:trHeight w:val="20"/>
        </w:trPr>
        <w:tc>
          <w:tcPr>
            <w:tcW w:w="2318" w:type="pct"/>
            <w:shd w:val="clear" w:color="auto" w:fill="auto"/>
            <w:vAlign w:val="center"/>
            <w:hideMark/>
          </w:tcPr>
          <w:p w14:paraId="0F1CC82E" w14:textId="77777777" w:rsidR="006E3A41" w:rsidRPr="00A1554D" w:rsidRDefault="006E3A41" w:rsidP="006E3A41">
            <w:pPr>
              <w:rPr>
                <w:rFonts w:ascii="Open Sans" w:hAnsi="Open Sans" w:cs="Calibri"/>
                <w:color w:val="000000"/>
                <w:sz w:val="20"/>
                <w:szCs w:val="20"/>
                <w:lang w:val="en-GB"/>
              </w:rPr>
            </w:pPr>
            <w:r w:rsidRPr="00A1554D">
              <w:rPr>
                <w:rFonts w:ascii="Open Sans" w:hAnsi="Open Sans" w:cs="Calibri"/>
                <w:color w:val="000000"/>
                <w:sz w:val="20"/>
                <w:szCs w:val="20"/>
                <w:lang w:val="en-GB"/>
              </w:rPr>
              <w:t> ARCELORMITTAL TAILORED BLANKS AMERICAS CORPORATION </w:t>
            </w:r>
          </w:p>
        </w:tc>
        <w:tc>
          <w:tcPr>
            <w:tcW w:w="1249" w:type="pct"/>
            <w:shd w:val="clear" w:color="auto" w:fill="auto"/>
            <w:noWrap/>
            <w:hideMark/>
          </w:tcPr>
          <w:p w14:paraId="5E383A7E"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E28CCF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23F4132" w14:textId="77777777" w:rsidTr="006E3A41">
        <w:trPr>
          <w:trHeight w:val="20"/>
        </w:trPr>
        <w:tc>
          <w:tcPr>
            <w:tcW w:w="2318" w:type="pct"/>
            <w:shd w:val="clear" w:color="auto" w:fill="auto"/>
            <w:vAlign w:val="center"/>
            <w:hideMark/>
          </w:tcPr>
          <w:p w14:paraId="4C542D2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TUBULAR PRODUCTS MARION INC. </w:t>
            </w:r>
          </w:p>
        </w:tc>
        <w:tc>
          <w:tcPr>
            <w:tcW w:w="1249" w:type="pct"/>
            <w:shd w:val="clear" w:color="auto" w:fill="auto"/>
            <w:noWrap/>
            <w:hideMark/>
          </w:tcPr>
          <w:p w14:paraId="545415D7"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8D6C48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FE7A1EE" w14:textId="77777777" w:rsidTr="006E3A41">
        <w:trPr>
          <w:trHeight w:val="20"/>
        </w:trPr>
        <w:tc>
          <w:tcPr>
            <w:tcW w:w="2318" w:type="pct"/>
            <w:shd w:val="clear" w:color="auto" w:fill="auto"/>
            <w:vAlign w:val="center"/>
            <w:hideMark/>
          </w:tcPr>
          <w:p w14:paraId="6FB4EB2F" w14:textId="77777777" w:rsidR="006E3A41" w:rsidRPr="00A1554D" w:rsidRDefault="006E3A41" w:rsidP="006E3A41">
            <w:pPr>
              <w:rPr>
                <w:rFonts w:ascii="Open Sans" w:hAnsi="Open Sans" w:cs="Calibri"/>
                <w:color w:val="000000"/>
                <w:sz w:val="20"/>
                <w:szCs w:val="20"/>
                <w:lang w:val="en-GB"/>
              </w:rPr>
            </w:pPr>
            <w:r w:rsidRPr="00A1554D">
              <w:rPr>
                <w:rFonts w:ascii="Open Sans" w:hAnsi="Open Sans" w:cs="Calibri"/>
                <w:color w:val="000000"/>
                <w:sz w:val="20"/>
                <w:szCs w:val="20"/>
                <w:lang w:val="en-GB"/>
              </w:rPr>
              <w:t> ARCELORMITTAL TUBULAR PRODUCTS SHELBY LLC </w:t>
            </w:r>
          </w:p>
        </w:tc>
        <w:tc>
          <w:tcPr>
            <w:tcW w:w="1249" w:type="pct"/>
            <w:shd w:val="clear" w:color="auto" w:fill="auto"/>
            <w:noWrap/>
            <w:hideMark/>
          </w:tcPr>
          <w:p w14:paraId="0AAF69FB"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681781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4445B77" w14:textId="77777777" w:rsidTr="006E3A41">
        <w:trPr>
          <w:trHeight w:val="20"/>
        </w:trPr>
        <w:tc>
          <w:tcPr>
            <w:tcW w:w="2318" w:type="pct"/>
            <w:shd w:val="clear" w:color="auto" w:fill="auto"/>
            <w:vAlign w:val="center"/>
            <w:hideMark/>
          </w:tcPr>
          <w:p w14:paraId="643BF01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USA HOLDINGS LLC </w:t>
            </w:r>
          </w:p>
        </w:tc>
        <w:tc>
          <w:tcPr>
            <w:tcW w:w="1249" w:type="pct"/>
            <w:shd w:val="clear" w:color="auto" w:fill="auto"/>
            <w:noWrap/>
            <w:hideMark/>
          </w:tcPr>
          <w:p w14:paraId="6A759663"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3C17487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2ADAF69" w14:textId="77777777" w:rsidTr="006E3A41">
        <w:trPr>
          <w:trHeight w:val="20"/>
        </w:trPr>
        <w:tc>
          <w:tcPr>
            <w:tcW w:w="2318" w:type="pct"/>
            <w:shd w:val="clear" w:color="auto" w:fill="auto"/>
            <w:vAlign w:val="center"/>
            <w:hideMark/>
          </w:tcPr>
          <w:p w14:paraId="2D75DAB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USA LLC </w:t>
            </w:r>
          </w:p>
        </w:tc>
        <w:tc>
          <w:tcPr>
            <w:tcW w:w="1249" w:type="pct"/>
            <w:shd w:val="clear" w:color="auto" w:fill="auto"/>
            <w:noWrap/>
            <w:hideMark/>
          </w:tcPr>
          <w:p w14:paraId="1D5398D0"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2B1A153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6A45B82" w14:textId="77777777" w:rsidTr="006E3A41">
        <w:trPr>
          <w:trHeight w:val="20"/>
        </w:trPr>
        <w:tc>
          <w:tcPr>
            <w:tcW w:w="2318" w:type="pct"/>
            <w:shd w:val="clear" w:color="auto" w:fill="auto"/>
            <w:vAlign w:val="center"/>
            <w:hideMark/>
          </w:tcPr>
          <w:p w14:paraId="7C2F1859"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MITTAL STEEL USA-RAILWAYS INC</w:t>
            </w:r>
          </w:p>
        </w:tc>
        <w:tc>
          <w:tcPr>
            <w:tcW w:w="1249" w:type="pct"/>
            <w:shd w:val="clear" w:color="auto" w:fill="auto"/>
            <w:noWrap/>
            <w:hideMark/>
          </w:tcPr>
          <w:p w14:paraId="35C5F9EE"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0711F30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9DC5926" w14:textId="77777777" w:rsidTr="006E3A41">
        <w:trPr>
          <w:trHeight w:val="20"/>
        </w:trPr>
        <w:tc>
          <w:tcPr>
            <w:tcW w:w="2318" w:type="pct"/>
            <w:shd w:val="clear" w:color="auto" w:fill="auto"/>
            <w:vAlign w:val="center"/>
            <w:hideMark/>
          </w:tcPr>
          <w:p w14:paraId="7A576483"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TECUMSEH REDEVELOPMENT INC. </w:t>
            </w:r>
          </w:p>
        </w:tc>
        <w:tc>
          <w:tcPr>
            <w:tcW w:w="1249" w:type="pct"/>
            <w:shd w:val="clear" w:color="auto" w:fill="auto"/>
            <w:noWrap/>
            <w:hideMark/>
          </w:tcPr>
          <w:p w14:paraId="05B7F113" w14:textId="77777777" w:rsidR="006E3A41" w:rsidRPr="006529A9" w:rsidRDefault="006E3A41" w:rsidP="006E3A41">
            <w:pPr>
              <w:rPr>
                <w:rFonts w:ascii="Open Sans" w:hAnsi="Open Sans"/>
              </w:rPr>
            </w:pPr>
            <w:r w:rsidRPr="006529A9">
              <w:rPr>
                <w:rFonts w:ascii="Open Sans" w:hAnsi="Open Sans" w:cs="Calibri"/>
                <w:color w:val="000000"/>
                <w:sz w:val="20"/>
                <w:szCs w:val="20"/>
              </w:rPr>
              <w:t>Delaware (USA)</w:t>
            </w:r>
          </w:p>
        </w:tc>
        <w:tc>
          <w:tcPr>
            <w:tcW w:w="1433" w:type="pct"/>
            <w:shd w:val="clear" w:color="auto" w:fill="auto"/>
            <w:noWrap/>
            <w:vAlign w:val="bottom"/>
            <w:hideMark/>
          </w:tcPr>
          <w:p w14:paraId="7CA8269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65790F7C" w14:textId="77777777" w:rsidTr="006E3A41">
        <w:trPr>
          <w:trHeight w:val="20"/>
        </w:trPr>
        <w:tc>
          <w:tcPr>
            <w:tcW w:w="2318" w:type="pct"/>
            <w:shd w:val="clear" w:color="auto" w:fill="auto"/>
            <w:vAlign w:val="center"/>
            <w:hideMark/>
          </w:tcPr>
          <w:p w14:paraId="7554E3F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FOUNDATION </w:t>
            </w:r>
          </w:p>
        </w:tc>
        <w:tc>
          <w:tcPr>
            <w:tcW w:w="1249" w:type="pct"/>
            <w:shd w:val="clear" w:color="auto" w:fill="auto"/>
            <w:noWrap/>
            <w:vAlign w:val="bottom"/>
            <w:hideMark/>
          </w:tcPr>
          <w:p w14:paraId="54B965E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6787F2C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Fundación sin ánimo de lucro</w:t>
            </w:r>
          </w:p>
        </w:tc>
      </w:tr>
      <w:tr w:rsidR="006E3A41" w:rsidRPr="006529A9" w14:paraId="6237C45E" w14:textId="77777777" w:rsidTr="006E3A41">
        <w:trPr>
          <w:trHeight w:val="20"/>
        </w:trPr>
        <w:tc>
          <w:tcPr>
            <w:tcW w:w="2318" w:type="pct"/>
            <w:shd w:val="clear" w:color="auto" w:fill="auto"/>
            <w:vAlign w:val="center"/>
            <w:hideMark/>
          </w:tcPr>
          <w:p w14:paraId="7053F06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(Luxembourg, 21 Jun 2001- , 24-26, Boulevard d'Avranches L - 1160 Luxembourg)</w:t>
            </w:r>
          </w:p>
        </w:tc>
        <w:tc>
          <w:tcPr>
            <w:tcW w:w="1249" w:type="pct"/>
            <w:shd w:val="clear" w:color="auto" w:fill="auto"/>
            <w:noWrap/>
            <w:vAlign w:val="bottom"/>
            <w:hideMark/>
          </w:tcPr>
          <w:p w14:paraId="5F3B3A0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E2EBDE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Matriz</w:t>
            </w:r>
          </w:p>
        </w:tc>
      </w:tr>
      <w:tr w:rsidR="006E3A41" w:rsidRPr="006529A9" w14:paraId="28806D97" w14:textId="77777777" w:rsidTr="006E3A41">
        <w:trPr>
          <w:trHeight w:val="20"/>
        </w:trPr>
        <w:tc>
          <w:tcPr>
            <w:tcW w:w="2318" w:type="pct"/>
            <w:shd w:val="clear" w:color="auto" w:fill="auto"/>
            <w:vAlign w:val="center"/>
            <w:hideMark/>
          </w:tcPr>
          <w:p w14:paraId="107543C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Belval &amp; Differdange </w:t>
            </w:r>
          </w:p>
        </w:tc>
        <w:tc>
          <w:tcPr>
            <w:tcW w:w="1249" w:type="pct"/>
            <w:shd w:val="clear" w:color="auto" w:fill="auto"/>
            <w:noWrap/>
            <w:vAlign w:val="bottom"/>
            <w:hideMark/>
          </w:tcPr>
          <w:p w14:paraId="7DB53BB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2CC1F92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35BE72ED" w14:textId="77777777" w:rsidTr="006E3A41">
        <w:trPr>
          <w:trHeight w:val="20"/>
        </w:trPr>
        <w:tc>
          <w:tcPr>
            <w:tcW w:w="2318" w:type="pct"/>
            <w:shd w:val="clear" w:color="auto" w:fill="auto"/>
            <w:vAlign w:val="center"/>
            <w:hideMark/>
          </w:tcPr>
          <w:p w14:paraId="61F90F9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Bissen &amp; Bettembourg </w:t>
            </w:r>
          </w:p>
        </w:tc>
        <w:tc>
          <w:tcPr>
            <w:tcW w:w="1249" w:type="pct"/>
            <w:shd w:val="clear" w:color="auto" w:fill="auto"/>
            <w:noWrap/>
            <w:vAlign w:val="bottom"/>
            <w:hideMark/>
          </w:tcPr>
          <w:p w14:paraId="2AD74C7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209CADA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7B14923C" w14:textId="77777777" w:rsidTr="006E3A41">
        <w:trPr>
          <w:trHeight w:val="20"/>
        </w:trPr>
        <w:tc>
          <w:tcPr>
            <w:tcW w:w="2318" w:type="pct"/>
            <w:shd w:val="clear" w:color="auto" w:fill="auto"/>
            <w:vAlign w:val="center"/>
            <w:hideMark/>
          </w:tcPr>
          <w:p w14:paraId="664BBBB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Centre Logistique Européen </w:t>
            </w:r>
          </w:p>
        </w:tc>
        <w:tc>
          <w:tcPr>
            <w:tcW w:w="1249" w:type="pct"/>
            <w:shd w:val="clear" w:color="auto" w:fill="auto"/>
            <w:noWrap/>
            <w:vAlign w:val="bottom"/>
            <w:hideMark/>
          </w:tcPr>
          <w:p w14:paraId="026D88F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3F2B4C2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Centro de Distribución</w:t>
            </w:r>
          </w:p>
        </w:tc>
      </w:tr>
      <w:tr w:rsidR="006E3A41" w:rsidRPr="006529A9" w14:paraId="20AA21EB" w14:textId="77777777" w:rsidTr="006E3A41">
        <w:trPr>
          <w:trHeight w:val="20"/>
        </w:trPr>
        <w:tc>
          <w:tcPr>
            <w:tcW w:w="2318" w:type="pct"/>
            <w:shd w:val="clear" w:color="auto" w:fill="auto"/>
            <w:vAlign w:val="center"/>
            <w:hideMark/>
          </w:tcPr>
          <w:p w14:paraId="5F3B0F7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xml:space="preserve"> ArcelorMittal China Holding </w:t>
            </w:r>
          </w:p>
        </w:tc>
        <w:tc>
          <w:tcPr>
            <w:tcW w:w="1249" w:type="pct"/>
            <w:shd w:val="clear" w:color="auto" w:fill="auto"/>
            <w:noWrap/>
            <w:vAlign w:val="bottom"/>
            <w:hideMark/>
          </w:tcPr>
          <w:p w14:paraId="77CE2CD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3B9A11D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BB5D09C" w14:textId="77777777" w:rsidTr="006E3A41">
        <w:trPr>
          <w:trHeight w:val="20"/>
        </w:trPr>
        <w:tc>
          <w:tcPr>
            <w:tcW w:w="2318" w:type="pct"/>
            <w:shd w:val="clear" w:color="auto" w:fill="auto"/>
            <w:vAlign w:val="center"/>
            <w:hideMark/>
          </w:tcPr>
          <w:p w14:paraId="39E4078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Commercial RPS S.à r.l. </w:t>
            </w:r>
          </w:p>
        </w:tc>
        <w:tc>
          <w:tcPr>
            <w:tcW w:w="1249" w:type="pct"/>
            <w:shd w:val="clear" w:color="auto" w:fill="auto"/>
            <w:noWrap/>
            <w:vAlign w:val="bottom"/>
            <w:hideMark/>
          </w:tcPr>
          <w:p w14:paraId="7C022AC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A30C30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5E133E2" w14:textId="77777777" w:rsidTr="006E3A41">
        <w:trPr>
          <w:trHeight w:val="20"/>
        </w:trPr>
        <w:tc>
          <w:tcPr>
            <w:tcW w:w="2318" w:type="pct"/>
            <w:shd w:val="clear" w:color="auto" w:fill="auto"/>
            <w:vAlign w:val="center"/>
            <w:hideMark/>
          </w:tcPr>
          <w:p w14:paraId="4910C30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Commercial Rebar S.A. </w:t>
            </w:r>
          </w:p>
        </w:tc>
        <w:tc>
          <w:tcPr>
            <w:tcW w:w="1249" w:type="pct"/>
            <w:shd w:val="clear" w:color="auto" w:fill="auto"/>
            <w:noWrap/>
            <w:vAlign w:val="bottom"/>
            <w:hideMark/>
          </w:tcPr>
          <w:p w14:paraId="2316623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2CC1E7A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12FAAEA" w14:textId="77777777" w:rsidTr="006E3A41">
        <w:trPr>
          <w:trHeight w:val="20"/>
        </w:trPr>
        <w:tc>
          <w:tcPr>
            <w:tcW w:w="2318" w:type="pct"/>
            <w:shd w:val="clear" w:color="auto" w:fill="auto"/>
            <w:vAlign w:val="center"/>
            <w:hideMark/>
          </w:tcPr>
          <w:p w14:paraId="4B9037BF"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ArcelorMittal Commercial Sections S.A.  </w:t>
            </w:r>
          </w:p>
        </w:tc>
        <w:tc>
          <w:tcPr>
            <w:tcW w:w="1249" w:type="pct"/>
            <w:shd w:val="clear" w:color="auto" w:fill="auto"/>
            <w:noWrap/>
            <w:vAlign w:val="bottom"/>
            <w:hideMark/>
          </w:tcPr>
          <w:p w14:paraId="76B781A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8F52F9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4046F05" w14:textId="77777777" w:rsidTr="006E3A41">
        <w:trPr>
          <w:trHeight w:val="20"/>
        </w:trPr>
        <w:tc>
          <w:tcPr>
            <w:tcW w:w="2318" w:type="pct"/>
            <w:shd w:val="clear" w:color="auto" w:fill="auto"/>
            <w:vAlign w:val="center"/>
            <w:hideMark/>
          </w:tcPr>
          <w:p w14:paraId="4CBCC4F9"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xml:space="preserve"> ArcelorMittal Distribution Solutions S.A.  </w:t>
            </w:r>
          </w:p>
        </w:tc>
        <w:tc>
          <w:tcPr>
            <w:tcW w:w="1249" w:type="pct"/>
            <w:shd w:val="clear" w:color="auto" w:fill="auto"/>
            <w:noWrap/>
            <w:vAlign w:val="bottom"/>
            <w:hideMark/>
          </w:tcPr>
          <w:p w14:paraId="00DD68F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490F88E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71291C" w14:paraId="57EFEC83" w14:textId="77777777" w:rsidTr="006E3A41">
        <w:trPr>
          <w:trHeight w:val="20"/>
        </w:trPr>
        <w:tc>
          <w:tcPr>
            <w:tcW w:w="2318" w:type="pct"/>
            <w:shd w:val="clear" w:color="auto" w:fill="auto"/>
            <w:vAlign w:val="center"/>
            <w:hideMark/>
          </w:tcPr>
          <w:p w14:paraId="6923FB57"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ArcelorMittal Dommeldange S.à.r.l. </w:t>
            </w:r>
          </w:p>
        </w:tc>
        <w:tc>
          <w:tcPr>
            <w:tcW w:w="1249" w:type="pct"/>
            <w:shd w:val="clear" w:color="auto" w:fill="auto"/>
            <w:noWrap/>
            <w:vAlign w:val="bottom"/>
            <w:hideMark/>
          </w:tcPr>
          <w:p w14:paraId="246E216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30055739" w14:textId="77777777" w:rsidR="006E3A41" w:rsidRPr="006529A9" w:rsidRDefault="006E3A41" w:rsidP="006E3A41">
            <w:pPr>
              <w:rPr>
                <w:rFonts w:ascii="Open Sans" w:hAnsi="Open Sans"/>
                <w:color w:val="000000"/>
                <w:sz w:val="20"/>
                <w:szCs w:val="20"/>
                <w:lang w:val="en-US"/>
              </w:rPr>
            </w:pPr>
            <w:proofErr w:type="gramStart"/>
            <w:r w:rsidRPr="006529A9">
              <w:rPr>
                <w:rFonts w:ascii="Open Sans" w:hAnsi="Open Sans"/>
                <w:color w:val="000000"/>
                <w:sz w:val="20"/>
                <w:szCs w:val="20"/>
                <w:lang w:val="en-GB"/>
              </w:rPr>
              <w:t>h</w:t>
            </w:r>
            <w:r w:rsidRPr="006529A9">
              <w:rPr>
                <w:rFonts w:ascii="Open Sans" w:hAnsi="Open Sans"/>
                <w:color w:val="000000"/>
                <w:sz w:val="20"/>
                <w:szCs w:val="20"/>
                <w:lang w:val="en-US"/>
              </w:rPr>
              <w:t>as</w:t>
            </w:r>
            <w:proofErr w:type="gramEnd"/>
            <w:r w:rsidRPr="006529A9">
              <w:rPr>
                <w:rFonts w:ascii="Open Sans" w:hAnsi="Open Sans"/>
                <w:color w:val="000000"/>
                <w:sz w:val="20"/>
                <w:szCs w:val="20"/>
                <w:lang w:val="en-US"/>
              </w:rPr>
              <w:t xml:space="preserve"> four competence centres that stand out for their unique know-how, engineering, welding, mechanical fabrication and assembly work.</w:t>
            </w:r>
          </w:p>
        </w:tc>
      </w:tr>
      <w:tr w:rsidR="006E3A41" w:rsidRPr="006529A9" w14:paraId="3EFF9445" w14:textId="77777777" w:rsidTr="006E3A41">
        <w:trPr>
          <w:trHeight w:val="20"/>
        </w:trPr>
        <w:tc>
          <w:tcPr>
            <w:tcW w:w="2318" w:type="pct"/>
            <w:shd w:val="clear" w:color="auto" w:fill="auto"/>
            <w:vAlign w:val="center"/>
            <w:hideMark/>
          </w:tcPr>
          <w:p w14:paraId="2A51506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Dudelange </w:t>
            </w:r>
          </w:p>
        </w:tc>
        <w:tc>
          <w:tcPr>
            <w:tcW w:w="1249" w:type="pct"/>
            <w:shd w:val="clear" w:color="auto" w:fill="auto"/>
            <w:noWrap/>
            <w:vAlign w:val="bottom"/>
            <w:hideMark/>
          </w:tcPr>
          <w:p w14:paraId="0C857D9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82F05D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5E64EB19" w14:textId="77777777" w:rsidTr="006E3A41">
        <w:trPr>
          <w:trHeight w:val="20"/>
        </w:trPr>
        <w:tc>
          <w:tcPr>
            <w:tcW w:w="2318" w:type="pct"/>
            <w:shd w:val="clear" w:color="auto" w:fill="auto"/>
            <w:vAlign w:val="center"/>
            <w:hideMark/>
          </w:tcPr>
          <w:p w14:paraId="6DE7F77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Energy S.C.A. (</w:t>
            </w:r>
          </w:p>
        </w:tc>
        <w:tc>
          <w:tcPr>
            <w:tcW w:w="1249" w:type="pct"/>
            <w:shd w:val="clear" w:color="auto" w:fill="auto"/>
            <w:noWrap/>
            <w:vAlign w:val="bottom"/>
            <w:hideMark/>
          </w:tcPr>
          <w:p w14:paraId="770CF58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47352F5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Comercializadora "Compra y Vende" electricidad para el grupo</w:t>
            </w:r>
          </w:p>
        </w:tc>
      </w:tr>
      <w:tr w:rsidR="006E3A41" w:rsidRPr="006529A9" w14:paraId="0D40AB32" w14:textId="77777777" w:rsidTr="006E3A41">
        <w:trPr>
          <w:trHeight w:val="20"/>
        </w:trPr>
        <w:tc>
          <w:tcPr>
            <w:tcW w:w="2318" w:type="pct"/>
            <w:shd w:val="clear" w:color="auto" w:fill="auto"/>
            <w:vAlign w:val="center"/>
            <w:hideMark/>
          </w:tcPr>
          <w:p w14:paraId="609C128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Europe </w:t>
            </w:r>
          </w:p>
        </w:tc>
        <w:tc>
          <w:tcPr>
            <w:tcW w:w="1249" w:type="pct"/>
            <w:shd w:val="clear" w:color="auto" w:fill="auto"/>
            <w:noWrap/>
            <w:vAlign w:val="bottom"/>
            <w:hideMark/>
          </w:tcPr>
          <w:p w14:paraId="5E7F5C7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570C485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Acero y comercial</w:t>
            </w:r>
          </w:p>
        </w:tc>
      </w:tr>
      <w:tr w:rsidR="006E3A41" w:rsidRPr="006529A9" w14:paraId="40FA2378" w14:textId="77777777" w:rsidTr="006E3A41">
        <w:trPr>
          <w:trHeight w:val="20"/>
        </w:trPr>
        <w:tc>
          <w:tcPr>
            <w:tcW w:w="2318" w:type="pct"/>
            <w:shd w:val="clear" w:color="auto" w:fill="auto"/>
            <w:vAlign w:val="center"/>
            <w:hideMark/>
          </w:tcPr>
          <w:p w14:paraId="04F4525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Finance </w:t>
            </w:r>
          </w:p>
        </w:tc>
        <w:tc>
          <w:tcPr>
            <w:tcW w:w="1249" w:type="pct"/>
            <w:shd w:val="clear" w:color="auto" w:fill="auto"/>
            <w:noWrap/>
            <w:vAlign w:val="bottom"/>
            <w:hideMark/>
          </w:tcPr>
          <w:p w14:paraId="2C08924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5FE0752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Finanzas</w:t>
            </w:r>
          </w:p>
        </w:tc>
      </w:tr>
      <w:tr w:rsidR="006E3A41" w:rsidRPr="006529A9" w14:paraId="7B45F016" w14:textId="77777777" w:rsidTr="006E3A41">
        <w:trPr>
          <w:trHeight w:val="20"/>
        </w:trPr>
        <w:tc>
          <w:tcPr>
            <w:tcW w:w="2318" w:type="pct"/>
            <w:shd w:val="clear" w:color="auto" w:fill="auto"/>
            <w:vAlign w:val="center"/>
            <w:hideMark/>
          </w:tcPr>
          <w:p w14:paraId="572F7A1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Flat Carbon Europe S.A. </w:t>
            </w:r>
          </w:p>
        </w:tc>
        <w:tc>
          <w:tcPr>
            <w:tcW w:w="1249" w:type="pct"/>
            <w:shd w:val="clear" w:color="auto" w:fill="auto"/>
            <w:noWrap/>
            <w:vAlign w:val="bottom"/>
            <w:hideMark/>
          </w:tcPr>
          <w:p w14:paraId="536B0FA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4D456BD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32394922" w14:textId="77777777" w:rsidTr="006E3A41">
        <w:trPr>
          <w:trHeight w:val="20"/>
        </w:trPr>
        <w:tc>
          <w:tcPr>
            <w:tcW w:w="2318" w:type="pct"/>
            <w:shd w:val="clear" w:color="auto" w:fill="auto"/>
            <w:vAlign w:val="center"/>
            <w:hideMark/>
          </w:tcPr>
          <w:p w14:paraId="451880EA"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Holdings, Schifflange facilities S.à r.l. </w:t>
            </w:r>
          </w:p>
        </w:tc>
        <w:tc>
          <w:tcPr>
            <w:tcW w:w="1249" w:type="pct"/>
            <w:shd w:val="clear" w:color="auto" w:fill="auto"/>
            <w:noWrap/>
            <w:vAlign w:val="bottom"/>
            <w:hideMark/>
          </w:tcPr>
          <w:p w14:paraId="581673D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066C8F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20972A2D" w14:textId="77777777" w:rsidTr="006E3A41">
        <w:trPr>
          <w:trHeight w:val="20"/>
        </w:trPr>
        <w:tc>
          <w:tcPr>
            <w:tcW w:w="2318" w:type="pct"/>
            <w:shd w:val="clear" w:color="auto" w:fill="auto"/>
            <w:vAlign w:val="center"/>
            <w:hideMark/>
          </w:tcPr>
          <w:p w14:paraId="5AB7723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Insurance Consultants </w:t>
            </w:r>
          </w:p>
        </w:tc>
        <w:tc>
          <w:tcPr>
            <w:tcW w:w="1249" w:type="pct"/>
            <w:shd w:val="clear" w:color="auto" w:fill="auto"/>
            <w:noWrap/>
            <w:vAlign w:val="bottom"/>
            <w:hideMark/>
          </w:tcPr>
          <w:p w14:paraId="4AA6AD0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748028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6D31EE9" w14:textId="77777777" w:rsidTr="006E3A41">
        <w:trPr>
          <w:trHeight w:val="20"/>
        </w:trPr>
        <w:tc>
          <w:tcPr>
            <w:tcW w:w="2318" w:type="pct"/>
            <w:shd w:val="clear" w:color="auto" w:fill="auto"/>
            <w:vAlign w:val="center"/>
            <w:hideMark/>
          </w:tcPr>
          <w:p w14:paraId="6239CE7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International (Luxembourg, 20 Sep 1920)</w:t>
            </w:r>
          </w:p>
        </w:tc>
        <w:tc>
          <w:tcPr>
            <w:tcW w:w="1249" w:type="pct"/>
            <w:shd w:val="clear" w:color="auto" w:fill="auto"/>
            <w:noWrap/>
            <w:vAlign w:val="bottom"/>
            <w:hideMark/>
          </w:tcPr>
          <w:p w14:paraId="5EB3C94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323DC59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D7C4314" w14:textId="77777777" w:rsidTr="006E3A41">
        <w:trPr>
          <w:trHeight w:val="20"/>
        </w:trPr>
        <w:tc>
          <w:tcPr>
            <w:tcW w:w="2318" w:type="pct"/>
            <w:shd w:val="clear" w:color="auto" w:fill="auto"/>
            <w:vAlign w:val="center"/>
            <w:hideMark/>
          </w:tcPr>
          <w:p w14:paraId="6C55825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International Luxembourg (Luxembourg, 29 Jun 1962-)</w:t>
            </w:r>
          </w:p>
        </w:tc>
        <w:tc>
          <w:tcPr>
            <w:tcW w:w="1249" w:type="pct"/>
            <w:shd w:val="clear" w:color="auto" w:fill="auto"/>
            <w:noWrap/>
            <w:vAlign w:val="bottom"/>
            <w:hideMark/>
          </w:tcPr>
          <w:p w14:paraId="27756E0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5F0B3EF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2E8DE49C" w14:textId="77777777" w:rsidTr="006E3A41">
        <w:trPr>
          <w:trHeight w:val="20"/>
        </w:trPr>
        <w:tc>
          <w:tcPr>
            <w:tcW w:w="2318" w:type="pct"/>
            <w:shd w:val="clear" w:color="auto" w:fill="auto"/>
            <w:vAlign w:val="center"/>
            <w:hideMark/>
          </w:tcPr>
          <w:p w14:paraId="332647E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Luxembourg (Luxembourg, 28 Apr 1910-)</w:t>
            </w:r>
          </w:p>
        </w:tc>
        <w:tc>
          <w:tcPr>
            <w:tcW w:w="1249" w:type="pct"/>
            <w:shd w:val="clear" w:color="auto" w:fill="auto"/>
            <w:noWrap/>
            <w:vAlign w:val="bottom"/>
            <w:hideMark/>
          </w:tcPr>
          <w:p w14:paraId="5EA2645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16F0CA4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72E3422A" w14:textId="77777777" w:rsidTr="006E3A41">
        <w:trPr>
          <w:trHeight w:val="20"/>
        </w:trPr>
        <w:tc>
          <w:tcPr>
            <w:tcW w:w="2318" w:type="pct"/>
            <w:shd w:val="clear" w:color="auto" w:fill="auto"/>
            <w:vAlign w:val="center"/>
            <w:hideMark/>
          </w:tcPr>
          <w:p w14:paraId="1487F91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Mondercange S.A. </w:t>
            </w:r>
          </w:p>
        </w:tc>
        <w:tc>
          <w:tcPr>
            <w:tcW w:w="1249" w:type="pct"/>
            <w:shd w:val="clear" w:color="auto" w:fill="auto"/>
            <w:noWrap/>
            <w:vAlign w:val="bottom"/>
            <w:hideMark/>
          </w:tcPr>
          <w:p w14:paraId="3F6B6E4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17715C0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4D70509" w14:textId="77777777" w:rsidTr="006E3A41">
        <w:trPr>
          <w:trHeight w:val="20"/>
        </w:trPr>
        <w:tc>
          <w:tcPr>
            <w:tcW w:w="2318" w:type="pct"/>
            <w:shd w:val="clear" w:color="auto" w:fill="auto"/>
            <w:vAlign w:val="center"/>
            <w:hideMark/>
          </w:tcPr>
          <w:p w14:paraId="136E411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REACH OR </w:t>
            </w:r>
          </w:p>
        </w:tc>
        <w:tc>
          <w:tcPr>
            <w:tcW w:w="1249" w:type="pct"/>
            <w:shd w:val="clear" w:color="auto" w:fill="auto"/>
            <w:noWrap/>
            <w:vAlign w:val="bottom"/>
            <w:hideMark/>
          </w:tcPr>
          <w:p w14:paraId="07C4D91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25CA16B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3F2DCB4" w14:textId="77777777" w:rsidTr="006E3A41">
        <w:trPr>
          <w:trHeight w:val="20"/>
        </w:trPr>
        <w:tc>
          <w:tcPr>
            <w:tcW w:w="2318" w:type="pct"/>
            <w:shd w:val="clear" w:color="auto" w:fill="auto"/>
            <w:vAlign w:val="center"/>
            <w:hideMark/>
          </w:tcPr>
          <w:p w14:paraId="57E902D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Research &amp; Development </w:t>
            </w:r>
          </w:p>
        </w:tc>
        <w:tc>
          <w:tcPr>
            <w:tcW w:w="1249" w:type="pct"/>
            <w:shd w:val="clear" w:color="auto" w:fill="auto"/>
            <w:noWrap/>
            <w:vAlign w:val="bottom"/>
            <w:hideMark/>
          </w:tcPr>
          <w:p w14:paraId="211E9A0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2E086AB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I+D</w:t>
            </w:r>
          </w:p>
        </w:tc>
      </w:tr>
      <w:tr w:rsidR="006E3A41" w:rsidRPr="006529A9" w14:paraId="0647AC04" w14:textId="77777777" w:rsidTr="006E3A41">
        <w:trPr>
          <w:trHeight w:val="20"/>
        </w:trPr>
        <w:tc>
          <w:tcPr>
            <w:tcW w:w="2318" w:type="pct"/>
            <w:shd w:val="clear" w:color="auto" w:fill="auto"/>
            <w:vAlign w:val="center"/>
            <w:hideMark/>
          </w:tcPr>
          <w:p w14:paraId="6709A04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Rodange et Schifflange </w:t>
            </w:r>
          </w:p>
        </w:tc>
        <w:tc>
          <w:tcPr>
            <w:tcW w:w="1249" w:type="pct"/>
            <w:shd w:val="clear" w:color="auto" w:fill="auto"/>
            <w:noWrap/>
            <w:vAlign w:val="bottom"/>
            <w:hideMark/>
          </w:tcPr>
          <w:p w14:paraId="7756E18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5B166C5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47F61901" w14:textId="77777777" w:rsidTr="006E3A41">
        <w:trPr>
          <w:trHeight w:val="20"/>
        </w:trPr>
        <w:tc>
          <w:tcPr>
            <w:tcW w:w="2318" w:type="pct"/>
            <w:shd w:val="clear" w:color="auto" w:fill="auto"/>
            <w:vAlign w:val="center"/>
            <w:hideMark/>
          </w:tcPr>
          <w:p w14:paraId="069EB77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Sourcing </w:t>
            </w:r>
          </w:p>
        </w:tc>
        <w:tc>
          <w:tcPr>
            <w:tcW w:w="1249" w:type="pct"/>
            <w:shd w:val="clear" w:color="auto" w:fill="auto"/>
            <w:noWrap/>
            <w:vAlign w:val="bottom"/>
            <w:hideMark/>
          </w:tcPr>
          <w:p w14:paraId="11F1624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7453A53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Compras</w:t>
            </w:r>
          </w:p>
        </w:tc>
      </w:tr>
      <w:tr w:rsidR="006E3A41" w:rsidRPr="006529A9" w14:paraId="2C00080D" w14:textId="77777777" w:rsidTr="006E3A41">
        <w:trPr>
          <w:trHeight w:val="20"/>
        </w:trPr>
        <w:tc>
          <w:tcPr>
            <w:tcW w:w="2318" w:type="pct"/>
            <w:shd w:val="clear" w:color="auto" w:fill="auto"/>
            <w:vAlign w:val="center"/>
            <w:hideMark/>
          </w:tcPr>
          <w:p w14:paraId="472A161A"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Treasury Financial Services S.à r.l. </w:t>
            </w:r>
          </w:p>
        </w:tc>
        <w:tc>
          <w:tcPr>
            <w:tcW w:w="1249" w:type="pct"/>
            <w:shd w:val="clear" w:color="auto" w:fill="auto"/>
            <w:noWrap/>
            <w:vAlign w:val="bottom"/>
            <w:hideMark/>
          </w:tcPr>
          <w:p w14:paraId="349EBC0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489F8D6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1FAB11C0" w14:textId="77777777" w:rsidTr="006E3A41">
        <w:trPr>
          <w:trHeight w:val="20"/>
        </w:trPr>
        <w:tc>
          <w:tcPr>
            <w:tcW w:w="2318" w:type="pct"/>
            <w:shd w:val="clear" w:color="auto" w:fill="auto"/>
            <w:vAlign w:val="center"/>
            <w:hideMark/>
          </w:tcPr>
          <w:p w14:paraId="1841A29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Tubular Products Luxembourg S.A. </w:t>
            </w:r>
          </w:p>
        </w:tc>
        <w:tc>
          <w:tcPr>
            <w:tcW w:w="1249" w:type="pct"/>
            <w:shd w:val="clear" w:color="auto" w:fill="auto"/>
            <w:noWrap/>
            <w:vAlign w:val="bottom"/>
            <w:hideMark/>
          </w:tcPr>
          <w:p w14:paraId="2906E90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09265C2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175A5B4A" w14:textId="77777777" w:rsidTr="006E3A41">
        <w:trPr>
          <w:trHeight w:val="20"/>
        </w:trPr>
        <w:tc>
          <w:tcPr>
            <w:tcW w:w="2318" w:type="pct"/>
            <w:shd w:val="clear" w:color="auto" w:fill="auto"/>
            <w:vAlign w:val="center"/>
            <w:hideMark/>
          </w:tcPr>
          <w:p w14:paraId="00D4BFB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Wire Drawing Asia</w:t>
            </w:r>
          </w:p>
        </w:tc>
        <w:tc>
          <w:tcPr>
            <w:tcW w:w="1249" w:type="pct"/>
            <w:shd w:val="clear" w:color="auto" w:fill="auto"/>
            <w:noWrap/>
            <w:vAlign w:val="bottom"/>
            <w:hideMark/>
          </w:tcPr>
          <w:p w14:paraId="7CCB24C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Luxemburgo</w:t>
            </w:r>
          </w:p>
        </w:tc>
        <w:tc>
          <w:tcPr>
            <w:tcW w:w="1433" w:type="pct"/>
            <w:shd w:val="clear" w:color="auto" w:fill="auto"/>
            <w:noWrap/>
            <w:vAlign w:val="bottom"/>
            <w:hideMark/>
          </w:tcPr>
          <w:p w14:paraId="184E853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matriz de las Wire solution</w:t>
            </w:r>
          </w:p>
        </w:tc>
      </w:tr>
      <w:tr w:rsidR="006E3A41" w:rsidRPr="006529A9" w14:paraId="25E1D1C1" w14:textId="77777777" w:rsidTr="006E3A41">
        <w:trPr>
          <w:trHeight w:val="20"/>
        </w:trPr>
        <w:tc>
          <w:tcPr>
            <w:tcW w:w="2318" w:type="pct"/>
            <w:shd w:val="clear" w:color="auto" w:fill="auto"/>
            <w:vAlign w:val="center"/>
            <w:hideMark/>
          </w:tcPr>
          <w:p w14:paraId="006CEF7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African Investments </w:t>
            </w:r>
          </w:p>
        </w:tc>
        <w:tc>
          <w:tcPr>
            <w:tcW w:w="1249" w:type="pct"/>
            <w:shd w:val="clear" w:color="auto" w:fill="auto"/>
            <w:noWrap/>
            <w:vAlign w:val="bottom"/>
            <w:hideMark/>
          </w:tcPr>
          <w:p w14:paraId="6E2B69F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Mauricio</w:t>
            </w:r>
          </w:p>
        </w:tc>
        <w:tc>
          <w:tcPr>
            <w:tcW w:w="1433" w:type="pct"/>
            <w:shd w:val="clear" w:color="auto" w:fill="auto"/>
            <w:noWrap/>
            <w:vAlign w:val="bottom"/>
            <w:hideMark/>
          </w:tcPr>
          <w:p w14:paraId="128C27D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FC33918" w14:textId="77777777" w:rsidTr="006E3A41">
        <w:trPr>
          <w:trHeight w:val="20"/>
        </w:trPr>
        <w:tc>
          <w:tcPr>
            <w:tcW w:w="2318" w:type="pct"/>
            <w:shd w:val="clear" w:color="auto" w:fill="auto"/>
            <w:vAlign w:val="center"/>
            <w:hideMark/>
          </w:tcPr>
          <w:p w14:paraId="6338A0B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Commercial Switzerland AG </w:t>
            </w:r>
          </w:p>
        </w:tc>
        <w:tc>
          <w:tcPr>
            <w:tcW w:w="1249" w:type="pct"/>
            <w:shd w:val="clear" w:color="auto" w:fill="auto"/>
            <w:noWrap/>
            <w:vAlign w:val="bottom"/>
            <w:hideMark/>
          </w:tcPr>
          <w:p w14:paraId="0E7B8BB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Suiza</w:t>
            </w:r>
          </w:p>
        </w:tc>
        <w:tc>
          <w:tcPr>
            <w:tcW w:w="1433" w:type="pct"/>
            <w:shd w:val="clear" w:color="auto" w:fill="auto"/>
            <w:noWrap/>
            <w:vAlign w:val="bottom"/>
            <w:hideMark/>
          </w:tcPr>
          <w:p w14:paraId="34ACAF0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4AEF031B" w14:textId="77777777" w:rsidTr="006E3A41">
        <w:trPr>
          <w:trHeight w:val="20"/>
        </w:trPr>
        <w:tc>
          <w:tcPr>
            <w:tcW w:w="2318" w:type="pct"/>
            <w:shd w:val="clear" w:color="auto" w:fill="auto"/>
            <w:vAlign w:val="center"/>
            <w:hideMark/>
          </w:tcPr>
          <w:p w14:paraId="5F72253C"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Construction Suisse SA </w:t>
            </w:r>
          </w:p>
        </w:tc>
        <w:tc>
          <w:tcPr>
            <w:tcW w:w="1249" w:type="pct"/>
            <w:shd w:val="clear" w:color="auto" w:fill="auto"/>
            <w:noWrap/>
            <w:vAlign w:val="bottom"/>
            <w:hideMark/>
          </w:tcPr>
          <w:p w14:paraId="390B4EA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Suiza</w:t>
            </w:r>
          </w:p>
        </w:tc>
        <w:tc>
          <w:tcPr>
            <w:tcW w:w="1433" w:type="pct"/>
            <w:shd w:val="clear" w:color="auto" w:fill="auto"/>
            <w:noWrap/>
            <w:vAlign w:val="bottom"/>
            <w:hideMark/>
          </w:tcPr>
          <w:p w14:paraId="01D45C8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Oficina Técnica</w:t>
            </w:r>
          </w:p>
        </w:tc>
      </w:tr>
      <w:tr w:rsidR="006E3A41" w:rsidRPr="006529A9" w14:paraId="3E8D9907" w14:textId="77777777" w:rsidTr="006E3A41">
        <w:trPr>
          <w:trHeight w:val="20"/>
        </w:trPr>
        <w:tc>
          <w:tcPr>
            <w:tcW w:w="2318" w:type="pct"/>
            <w:shd w:val="clear" w:color="auto" w:fill="auto"/>
            <w:vAlign w:val="center"/>
            <w:hideMark/>
          </w:tcPr>
          <w:p w14:paraId="4E570F0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Holdings AG </w:t>
            </w:r>
          </w:p>
        </w:tc>
        <w:tc>
          <w:tcPr>
            <w:tcW w:w="1249" w:type="pct"/>
            <w:shd w:val="clear" w:color="auto" w:fill="auto"/>
            <w:noWrap/>
            <w:vAlign w:val="bottom"/>
            <w:hideMark/>
          </w:tcPr>
          <w:p w14:paraId="7CE7954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Suiza</w:t>
            </w:r>
          </w:p>
        </w:tc>
        <w:tc>
          <w:tcPr>
            <w:tcW w:w="1433" w:type="pct"/>
            <w:shd w:val="clear" w:color="auto" w:fill="auto"/>
            <w:noWrap/>
            <w:vAlign w:val="bottom"/>
            <w:hideMark/>
          </w:tcPr>
          <w:p w14:paraId="5B5748B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7E8DE5F8" w14:textId="77777777" w:rsidTr="006E3A41">
        <w:trPr>
          <w:trHeight w:val="20"/>
        </w:trPr>
        <w:tc>
          <w:tcPr>
            <w:tcW w:w="2318" w:type="pct"/>
            <w:shd w:val="clear" w:color="auto" w:fill="auto"/>
            <w:vAlign w:val="center"/>
            <w:hideMark/>
          </w:tcPr>
          <w:p w14:paraId="593487B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SINGAPORE PRIVATE LIMITED </w:t>
            </w:r>
          </w:p>
        </w:tc>
        <w:tc>
          <w:tcPr>
            <w:tcW w:w="1249" w:type="pct"/>
            <w:shd w:val="clear" w:color="auto" w:fill="auto"/>
            <w:noWrap/>
            <w:vAlign w:val="bottom"/>
            <w:hideMark/>
          </w:tcPr>
          <w:p w14:paraId="4F487AE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Singapur</w:t>
            </w:r>
          </w:p>
        </w:tc>
        <w:tc>
          <w:tcPr>
            <w:tcW w:w="1433" w:type="pct"/>
            <w:shd w:val="clear" w:color="auto" w:fill="auto"/>
            <w:noWrap/>
            <w:vAlign w:val="bottom"/>
            <w:hideMark/>
          </w:tcPr>
          <w:p w14:paraId="2AA106C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16BFEC2" w14:textId="77777777" w:rsidTr="006E3A41">
        <w:trPr>
          <w:trHeight w:val="20"/>
        </w:trPr>
        <w:tc>
          <w:tcPr>
            <w:tcW w:w="2318" w:type="pct"/>
            <w:shd w:val="clear" w:color="auto" w:fill="auto"/>
            <w:vAlign w:val="center"/>
            <w:hideMark/>
          </w:tcPr>
          <w:p w14:paraId="24BC479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TEMIRTAU INSURANCE PTE. LTD</w:t>
            </w:r>
          </w:p>
        </w:tc>
        <w:tc>
          <w:tcPr>
            <w:tcW w:w="1249" w:type="pct"/>
            <w:shd w:val="clear" w:color="auto" w:fill="auto"/>
            <w:noWrap/>
            <w:vAlign w:val="bottom"/>
            <w:hideMark/>
          </w:tcPr>
          <w:p w14:paraId="6613464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Singapur</w:t>
            </w:r>
          </w:p>
        </w:tc>
        <w:tc>
          <w:tcPr>
            <w:tcW w:w="1433" w:type="pct"/>
            <w:shd w:val="clear" w:color="auto" w:fill="auto"/>
            <w:noWrap/>
            <w:vAlign w:val="bottom"/>
            <w:hideMark/>
          </w:tcPr>
          <w:p w14:paraId="0C7C8E4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27577DD" w14:textId="77777777" w:rsidTr="006E3A41">
        <w:trPr>
          <w:trHeight w:val="20"/>
        </w:trPr>
        <w:tc>
          <w:tcPr>
            <w:tcW w:w="2318" w:type="pct"/>
            <w:shd w:val="clear" w:color="auto" w:fill="auto"/>
            <w:vAlign w:val="center"/>
            <w:hideMark/>
          </w:tcPr>
          <w:p w14:paraId="471929B3"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TREASURY ASIA PRIVATE LIMITED </w:t>
            </w:r>
          </w:p>
        </w:tc>
        <w:tc>
          <w:tcPr>
            <w:tcW w:w="1249" w:type="pct"/>
            <w:shd w:val="clear" w:color="auto" w:fill="auto"/>
            <w:noWrap/>
            <w:vAlign w:val="bottom"/>
            <w:hideMark/>
          </w:tcPr>
          <w:p w14:paraId="2B618DF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Singapur</w:t>
            </w:r>
          </w:p>
        </w:tc>
        <w:tc>
          <w:tcPr>
            <w:tcW w:w="1433" w:type="pct"/>
            <w:shd w:val="clear" w:color="auto" w:fill="auto"/>
            <w:noWrap/>
            <w:vAlign w:val="bottom"/>
            <w:hideMark/>
          </w:tcPr>
          <w:p w14:paraId="58904A0B"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EFD9F0B" w14:textId="77777777" w:rsidTr="006E3A41">
        <w:trPr>
          <w:trHeight w:val="20"/>
        </w:trPr>
        <w:tc>
          <w:tcPr>
            <w:tcW w:w="2318" w:type="pct"/>
            <w:shd w:val="clear" w:color="auto" w:fill="auto"/>
            <w:vAlign w:val="center"/>
            <w:hideMark/>
          </w:tcPr>
          <w:p w14:paraId="5F843A64"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STEEL TRADE CO., LIMITED </w:t>
            </w:r>
          </w:p>
        </w:tc>
        <w:tc>
          <w:tcPr>
            <w:tcW w:w="1249" w:type="pct"/>
            <w:shd w:val="clear" w:color="auto" w:fill="auto"/>
            <w:noWrap/>
            <w:vAlign w:val="bottom"/>
            <w:hideMark/>
          </w:tcPr>
          <w:p w14:paraId="6EC0F7C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Hong Kong</w:t>
            </w:r>
          </w:p>
        </w:tc>
        <w:tc>
          <w:tcPr>
            <w:tcW w:w="1433" w:type="pct"/>
            <w:shd w:val="clear" w:color="auto" w:fill="auto"/>
            <w:noWrap/>
            <w:vAlign w:val="bottom"/>
            <w:hideMark/>
          </w:tcPr>
          <w:p w14:paraId="7BED706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D0DC384" w14:textId="77777777" w:rsidTr="006E3A41">
        <w:trPr>
          <w:trHeight w:val="20"/>
        </w:trPr>
        <w:tc>
          <w:tcPr>
            <w:tcW w:w="2318" w:type="pct"/>
            <w:shd w:val="clear" w:color="auto" w:fill="auto"/>
            <w:vAlign w:val="center"/>
            <w:hideMark/>
          </w:tcPr>
          <w:p w14:paraId="42CB466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xml:space="preserve"> ARCELORMITTAL PROJECTS PANAMA S.A.  </w:t>
            </w:r>
          </w:p>
        </w:tc>
        <w:tc>
          <w:tcPr>
            <w:tcW w:w="1249" w:type="pct"/>
            <w:shd w:val="clear" w:color="auto" w:fill="auto"/>
            <w:noWrap/>
            <w:vAlign w:val="bottom"/>
            <w:hideMark/>
          </w:tcPr>
          <w:p w14:paraId="0B59D73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Panamá</w:t>
            </w:r>
          </w:p>
        </w:tc>
        <w:tc>
          <w:tcPr>
            <w:tcW w:w="1433" w:type="pct"/>
            <w:shd w:val="clear" w:color="auto" w:fill="auto"/>
            <w:noWrap/>
            <w:vAlign w:val="bottom"/>
            <w:hideMark/>
          </w:tcPr>
          <w:p w14:paraId="10A1DFA7"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22D1F45" w14:textId="77777777" w:rsidTr="006E3A41">
        <w:trPr>
          <w:trHeight w:val="20"/>
        </w:trPr>
        <w:tc>
          <w:tcPr>
            <w:tcW w:w="2318" w:type="pct"/>
            <w:shd w:val="clear" w:color="auto" w:fill="auto"/>
            <w:noWrap/>
            <w:vAlign w:val="bottom"/>
            <w:hideMark/>
          </w:tcPr>
          <w:p w14:paraId="04125B2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Empresa Asociada: China Oriental</w:t>
            </w:r>
          </w:p>
        </w:tc>
        <w:tc>
          <w:tcPr>
            <w:tcW w:w="1249" w:type="pct"/>
            <w:shd w:val="clear" w:color="auto" w:fill="auto"/>
            <w:noWrap/>
            <w:vAlign w:val="bottom"/>
            <w:hideMark/>
          </w:tcPr>
          <w:p w14:paraId="4F3E88A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Bermuda</w:t>
            </w:r>
          </w:p>
        </w:tc>
        <w:tc>
          <w:tcPr>
            <w:tcW w:w="1433" w:type="pct"/>
            <w:shd w:val="clear" w:color="auto" w:fill="auto"/>
            <w:noWrap/>
            <w:vAlign w:val="bottom"/>
            <w:hideMark/>
          </w:tcPr>
          <w:p w14:paraId="2D0C768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2EFB3D83" w14:textId="77777777" w:rsidTr="006E3A41">
        <w:trPr>
          <w:trHeight w:val="20"/>
        </w:trPr>
        <w:tc>
          <w:tcPr>
            <w:tcW w:w="2318" w:type="pct"/>
            <w:shd w:val="clear" w:color="auto" w:fill="auto"/>
            <w:noWrap/>
            <w:vAlign w:val="bottom"/>
            <w:hideMark/>
          </w:tcPr>
          <w:p w14:paraId="2815734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Jubail</w:t>
            </w:r>
          </w:p>
        </w:tc>
        <w:tc>
          <w:tcPr>
            <w:tcW w:w="1249" w:type="pct"/>
            <w:shd w:val="clear" w:color="auto" w:fill="auto"/>
            <w:noWrap/>
            <w:vAlign w:val="bottom"/>
            <w:hideMark/>
          </w:tcPr>
          <w:p w14:paraId="59F55DF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Arabia Saudi</w:t>
            </w:r>
          </w:p>
        </w:tc>
        <w:tc>
          <w:tcPr>
            <w:tcW w:w="1433" w:type="pct"/>
            <w:shd w:val="clear" w:color="auto" w:fill="auto"/>
            <w:noWrap/>
            <w:vAlign w:val="bottom"/>
            <w:hideMark/>
          </w:tcPr>
          <w:p w14:paraId="352386E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Producción de Acero</w:t>
            </w:r>
          </w:p>
        </w:tc>
      </w:tr>
      <w:tr w:rsidR="006E3A41" w:rsidRPr="006529A9" w14:paraId="05FF9FCC" w14:textId="77777777" w:rsidTr="006E3A41">
        <w:trPr>
          <w:trHeight w:val="20"/>
        </w:trPr>
        <w:tc>
          <w:tcPr>
            <w:tcW w:w="2318" w:type="pct"/>
            <w:shd w:val="clear" w:color="auto" w:fill="auto"/>
            <w:noWrap/>
            <w:vAlign w:val="bottom"/>
            <w:hideMark/>
          </w:tcPr>
          <w:p w14:paraId="77738C26"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Macsteel International Holding B.V.</w:t>
            </w:r>
          </w:p>
        </w:tc>
        <w:tc>
          <w:tcPr>
            <w:tcW w:w="1249" w:type="pct"/>
            <w:shd w:val="clear" w:color="auto" w:fill="auto"/>
            <w:noWrap/>
            <w:vAlign w:val="bottom"/>
            <w:hideMark/>
          </w:tcPr>
          <w:p w14:paraId="26D48B8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shd w:val="clear" w:color="auto" w:fill="auto"/>
            <w:noWrap/>
            <w:vAlign w:val="bottom"/>
            <w:hideMark/>
          </w:tcPr>
          <w:p w14:paraId="42F9D8D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3C20473B"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20EBB"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Benelux Energy B.V. (Netherlands)</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1BE98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DBF3A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C8766C7"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59874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ArcelorMittal Commercial Sections Benelux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A7E81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7F9BC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75ED950B"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E992A"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Commercial Netherlands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6B4EE"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17CBA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31B23EC"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7BC819" w14:textId="77777777" w:rsidR="006E3A41" w:rsidRPr="006529A9" w:rsidRDefault="006E3A41" w:rsidP="006E3A41">
            <w:pPr>
              <w:rPr>
                <w:rFonts w:ascii="Open Sans" w:hAnsi="Open Sans" w:cs="Calibri"/>
                <w:color w:val="000000"/>
                <w:sz w:val="20"/>
                <w:szCs w:val="20"/>
                <w:lang w:val="en-GB"/>
              </w:rPr>
            </w:pPr>
            <w:r w:rsidRPr="006529A9">
              <w:rPr>
                <w:rFonts w:ascii="Open Sans" w:hAnsi="Open Sans" w:cs="Calibri"/>
                <w:color w:val="000000"/>
                <w:sz w:val="20"/>
                <w:szCs w:val="20"/>
                <w:lang w:val="en-GB"/>
              </w:rPr>
              <w:t> ArcelorMittal Construction Nederland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B83FB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71717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8E133E6"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3DDCF8"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 ArcelorMittal Holdings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2CD7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130F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2143942E"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0DE2B"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Holland III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A7C26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9DEC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6A1A90E"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987FDA"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Logistics Nederland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6DB18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414285"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5C0814BD"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DF5588"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Netherlands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0F4E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205274"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5BEEE94E"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108661"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Projects Europe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00A6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C2973"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Distribution Solutions</w:t>
            </w:r>
          </w:p>
        </w:tc>
      </w:tr>
      <w:tr w:rsidR="006E3A41" w:rsidRPr="006529A9" w14:paraId="4CE7E531"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794EF1"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Projects International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66C3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0131F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AB2DC4E"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075AB"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Staalhandel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BF1E6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E23D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01867355"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BA824F"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Tailored Blanks Holding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26191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9C917F"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42D86BE7"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032E37"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Tubular Products Holding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10BF82"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FC72A"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Sin información</w:t>
            </w:r>
          </w:p>
        </w:tc>
      </w:tr>
      <w:tr w:rsidR="006E3A41" w:rsidRPr="006529A9" w14:paraId="3C92C572"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B04800"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Tubular Products International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C6DBA1"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E468BD"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r w:rsidR="006E3A41" w:rsidRPr="006529A9" w14:paraId="421D1778"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AD7563"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ArcelorMittal Wire Solutions Sales Benelux B.V.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7D4209"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B42C3" w14:textId="77777777" w:rsidR="006E3A41" w:rsidRPr="006529A9" w:rsidRDefault="006E3A41" w:rsidP="006E3A41">
            <w:pPr>
              <w:rPr>
                <w:rFonts w:ascii="Open Sans" w:hAnsi="Open Sans" w:cs="Calibri"/>
                <w:color w:val="000000"/>
                <w:sz w:val="20"/>
                <w:szCs w:val="20"/>
              </w:rPr>
            </w:pPr>
          </w:p>
        </w:tc>
      </w:tr>
      <w:tr w:rsidR="006E3A41" w:rsidRPr="006529A9" w14:paraId="4161AFC2" w14:textId="77777777" w:rsidTr="006E3A41">
        <w:trPr>
          <w:trHeight w:val="20"/>
        </w:trPr>
        <w:tc>
          <w:tcPr>
            <w:tcW w:w="23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A2E42" w14:textId="77777777" w:rsidR="006E3A41" w:rsidRPr="006529A9" w:rsidRDefault="006E3A41" w:rsidP="006E3A41">
            <w:pPr>
              <w:rPr>
                <w:rFonts w:ascii="Open Sans" w:hAnsi="Open Sans" w:cs="Calibri"/>
                <w:color w:val="000000"/>
                <w:sz w:val="20"/>
                <w:szCs w:val="20"/>
                <w:lang w:val="en-US"/>
              </w:rPr>
            </w:pPr>
            <w:r w:rsidRPr="006529A9">
              <w:rPr>
                <w:rFonts w:ascii="Open Sans" w:hAnsi="Open Sans" w:cs="Calibri"/>
                <w:color w:val="000000"/>
                <w:sz w:val="20"/>
                <w:szCs w:val="20"/>
                <w:lang w:val="en-US"/>
              </w:rPr>
              <w:t xml:space="preserve">ArcelorMittal FCE Benelux B.V. - </w:t>
            </w:r>
          </w:p>
        </w:tc>
        <w:tc>
          <w:tcPr>
            <w:tcW w:w="124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6D87C0"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Holanda</w:t>
            </w:r>
          </w:p>
        </w:tc>
        <w:tc>
          <w:tcPr>
            <w:tcW w:w="143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FD8846" w14:textId="77777777" w:rsidR="006E3A41" w:rsidRPr="006529A9" w:rsidRDefault="006E3A41" w:rsidP="006E3A41">
            <w:pPr>
              <w:rPr>
                <w:rFonts w:ascii="Open Sans" w:hAnsi="Open Sans" w:cs="Calibri"/>
                <w:color w:val="000000"/>
                <w:sz w:val="20"/>
                <w:szCs w:val="20"/>
              </w:rPr>
            </w:pPr>
            <w:r w:rsidRPr="006529A9">
              <w:rPr>
                <w:rFonts w:ascii="Open Sans" w:hAnsi="Open Sans" w:cs="Calibri"/>
                <w:color w:val="000000"/>
                <w:sz w:val="20"/>
                <w:szCs w:val="20"/>
              </w:rPr>
              <w:t>Comercial</w:t>
            </w:r>
          </w:p>
        </w:tc>
      </w:tr>
    </w:tbl>
    <w:p w14:paraId="5BA08682" w14:textId="77777777" w:rsidR="006E3A41" w:rsidRPr="006529A9" w:rsidRDefault="006E3A41" w:rsidP="006E3A41">
      <w:pPr>
        <w:jc w:val="both"/>
        <w:rPr>
          <w:rFonts w:ascii="Open Sans" w:hAnsi="Open Sans" w:cs="Arial"/>
          <w:sz w:val="20"/>
          <w:szCs w:val="20"/>
        </w:rPr>
      </w:pPr>
    </w:p>
    <w:p w14:paraId="38550BAF" w14:textId="77777777" w:rsidR="006E3A41" w:rsidRPr="006529A9" w:rsidRDefault="006E3A41" w:rsidP="006E3A41">
      <w:pPr>
        <w:jc w:val="both"/>
        <w:rPr>
          <w:rFonts w:ascii="Open Sans" w:hAnsi="Open Sans" w:cs="Arial"/>
          <w:sz w:val="20"/>
          <w:szCs w:val="20"/>
        </w:rPr>
      </w:pPr>
    </w:p>
    <w:p w14:paraId="31AE05FA" w14:textId="77777777" w:rsidR="006E3A41" w:rsidRPr="006529A9" w:rsidRDefault="006E3A41" w:rsidP="006E3A41">
      <w:pPr>
        <w:jc w:val="both"/>
        <w:rPr>
          <w:rFonts w:ascii="Open Sans" w:hAnsi="Open Sans" w:cs="Arial"/>
          <w:bCs/>
          <w:sz w:val="20"/>
          <w:szCs w:val="20"/>
          <w:lang w:eastAsia="zh-TW"/>
        </w:rPr>
      </w:pPr>
      <w:r w:rsidRPr="006529A9">
        <w:rPr>
          <w:rFonts w:ascii="Open Sans" w:hAnsi="Open Sans" w:cs="Arial"/>
          <w:bCs/>
          <w:sz w:val="20"/>
          <w:szCs w:val="20"/>
          <w:lang w:eastAsia="zh-TW"/>
        </w:rPr>
        <w:t>Puede que existan más empresas en paraísos o nichos fiscales de las localizadas, pues no parece que estén obligados a dar la lista completa en el formato 20-F. ArcelorMittal no declara la gran mayoría de sociedades registradas en paraísos fiscales o nichos fiscales de acuerdo con la metodología utilizada por el Observatorio de RSC. Además, resulta llamativo el breve listado de sociedades dependientes que publica (42 sociedades) dada su presencia operativa en más de 60 países. Su manera de reportar difiere a la del resto de empresas del IBEX 35, al ser una empresa extranjera, pero como ya se ha repetido en distintos análisis y dado que cotiza en el IBEX35 sería deseable que cumplimentase al igual que el resto de empresa el Informe Anual de Gobierno Corporativo que solicita la Comisión Nacional del Mercado de Valores (CNMV), lo que aportaría transparencia frente a sus Grupos de Interés (GdI).</w:t>
      </w:r>
    </w:p>
    <w:p w14:paraId="7C2813A5" w14:textId="77777777" w:rsidR="006E3A41" w:rsidRPr="006529A9" w:rsidRDefault="006E3A41" w:rsidP="006E3A41">
      <w:pPr>
        <w:jc w:val="both"/>
        <w:rPr>
          <w:rFonts w:ascii="Open Sans" w:hAnsi="Open Sans" w:cs="Arial"/>
          <w:bCs/>
          <w:sz w:val="20"/>
          <w:szCs w:val="20"/>
          <w:highlight w:val="yellow"/>
          <w:lang w:eastAsia="zh-TW"/>
        </w:rPr>
      </w:pPr>
    </w:p>
    <w:p w14:paraId="28869A41" w14:textId="77777777" w:rsidR="006E3A41" w:rsidRPr="006529A9" w:rsidRDefault="006E3A41" w:rsidP="006E3A41">
      <w:pPr>
        <w:jc w:val="both"/>
        <w:rPr>
          <w:rFonts w:ascii="Open Sans" w:hAnsi="Open Sans" w:cs="Arial"/>
          <w:bCs/>
          <w:sz w:val="20"/>
          <w:szCs w:val="20"/>
          <w:lang w:eastAsia="zh-TW"/>
        </w:rPr>
      </w:pPr>
      <w:r w:rsidRPr="006529A9">
        <w:rPr>
          <w:rFonts w:ascii="Open Sans" w:hAnsi="Open Sans" w:cs="Arial"/>
          <w:bCs/>
          <w:sz w:val="20"/>
          <w:szCs w:val="20"/>
          <w:lang w:eastAsia="zh-TW"/>
        </w:rPr>
        <w:t xml:space="preserve">En la información que ofrece Open Corporate hay empresas duplicadas con distinta fecha de constitución, especialmente en Delaware, se desconoce a qué obedece. </w:t>
      </w:r>
    </w:p>
    <w:p w14:paraId="4ED86616" w14:textId="77777777" w:rsidR="006E3A41" w:rsidRPr="006529A9" w:rsidRDefault="006E3A41" w:rsidP="006E3A41">
      <w:pPr>
        <w:jc w:val="both"/>
        <w:rPr>
          <w:rFonts w:ascii="Open Sans" w:hAnsi="Open Sans" w:cs="Arial"/>
          <w:bCs/>
          <w:sz w:val="20"/>
          <w:szCs w:val="20"/>
          <w:lang w:eastAsia="zh-TW"/>
        </w:rPr>
      </w:pPr>
    </w:p>
    <w:p w14:paraId="5ED135DA" w14:textId="77777777" w:rsidR="006E3A41" w:rsidRPr="006529A9" w:rsidRDefault="006E3A41" w:rsidP="006E3A41">
      <w:pPr>
        <w:shd w:val="clear" w:color="auto" w:fill="FFFFFF"/>
        <w:jc w:val="both"/>
        <w:rPr>
          <w:rFonts w:ascii="Open Sans" w:hAnsi="Open Sans" w:cs="Open Sans"/>
          <w:color w:val="222222"/>
          <w:sz w:val="20"/>
          <w:szCs w:val="20"/>
        </w:rPr>
      </w:pPr>
      <w:r w:rsidRPr="006529A9">
        <w:rPr>
          <w:rFonts w:ascii="Open Sans" w:hAnsi="Open Sans" w:cs="Open Sans"/>
          <w:color w:val="222222"/>
          <w:sz w:val="20"/>
          <w:szCs w:val="20"/>
        </w:rPr>
        <w:t>Entre estas 145   sociedades</w:t>
      </w:r>
      <w:r w:rsidRPr="006529A9">
        <w:rPr>
          <w:rStyle w:val="apple-converted-space"/>
          <w:rFonts w:ascii="Open Sans" w:hAnsi="Open Sans" w:cs="Open Sans"/>
          <w:color w:val="222222"/>
          <w:sz w:val="20"/>
          <w:szCs w:val="20"/>
        </w:rPr>
        <w:t> </w:t>
      </w:r>
      <w:r w:rsidRPr="006529A9">
        <w:rPr>
          <w:rFonts w:ascii="Open Sans" w:hAnsi="Open Sans" w:cs="Open Sans"/>
          <w:color w:val="222222"/>
          <w:sz w:val="20"/>
          <w:szCs w:val="20"/>
        </w:rPr>
        <w:t>ubicadas en paraísos o nichos fiscales se considera que existe un grupo de 96   empresas que ofrecen dudas en cuanto a que su actividad tenga que ver con la operativa propia de negocio, puesto que tanto la declaración de la actividad (no operativa) como su ubicación generan dudas sobre su utilización posible dentro de una estrategia fiscal planificada y  que no son susceptibles de resolverse al no aportar la empresa mayor información.</w:t>
      </w:r>
    </w:p>
    <w:p w14:paraId="1B0BE090" w14:textId="77777777" w:rsidR="006E3A41" w:rsidRPr="006529A9" w:rsidRDefault="006E3A41" w:rsidP="006E3A41">
      <w:pPr>
        <w:shd w:val="clear" w:color="auto" w:fill="FFFFFF"/>
        <w:jc w:val="both"/>
        <w:rPr>
          <w:rFonts w:ascii="Open Sans" w:hAnsi="Open Sans" w:cs="Open Sans"/>
          <w:color w:val="222222"/>
          <w:sz w:val="20"/>
          <w:szCs w:val="20"/>
        </w:rPr>
      </w:pPr>
    </w:p>
    <w:p w14:paraId="31B2AB29" w14:textId="77777777" w:rsidR="006E3A41" w:rsidRPr="006529A9" w:rsidRDefault="006E3A41" w:rsidP="006E3A41">
      <w:pPr>
        <w:shd w:val="clear" w:color="auto" w:fill="FFFFFF"/>
        <w:jc w:val="both"/>
        <w:rPr>
          <w:rFonts w:ascii="Open Sans" w:hAnsi="Open Sans" w:cs="Arial"/>
          <w:color w:val="222222"/>
          <w:sz w:val="19"/>
          <w:szCs w:val="19"/>
        </w:rPr>
      </w:pPr>
      <w:r w:rsidRPr="006529A9">
        <w:rPr>
          <w:rFonts w:ascii="Open Sans" w:hAnsi="Open Sans" w:cs="Open Sans"/>
          <w:color w:val="222222"/>
          <w:sz w:val="20"/>
          <w:szCs w:val="20"/>
        </w:rPr>
        <w:t xml:space="preserve">La empresa no facilita un posicionamiento en relación a qué considera paraíso o nicho fiscal. Tampoco facilita información sobre su actividad a través de sociedades dependientes en estos territorios, datos de facturación, número de empleados, resultados contable, base imponible, pago en concepto de impuesto de sociedades y operaciones con  otras empresas del grupo.  </w:t>
      </w:r>
    </w:p>
    <w:p w14:paraId="2E5D1C3D" w14:textId="77777777" w:rsidR="006E3A41" w:rsidRPr="006529A9" w:rsidRDefault="006E3A41" w:rsidP="006E3A41">
      <w:pPr>
        <w:shd w:val="clear" w:color="auto" w:fill="FFFFFF"/>
        <w:rPr>
          <w:rFonts w:ascii="Open Sans" w:hAnsi="Open Sans" w:cs="Arial"/>
          <w:color w:val="222222"/>
          <w:sz w:val="19"/>
          <w:szCs w:val="19"/>
        </w:rPr>
      </w:pPr>
    </w:p>
    <w:p w14:paraId="4511098E" w14:textId="77777777" w:rsidR="006E3A41" w:rsidRPr="006529A9" w:rsidRDefault="006E3A41" w:rsidP="006E3A41">
      <w:pPr>
        <w:shd w:val="clear" w:color="auto" w:fill="FFFFFF"/>
        <w:jc w:val="both"/>
        <w:rPr>
          <w:rFonts w:ascii="Open Sans" w:hAnsi="Open Sans" w:cs="Arial"/>
          <w:color w:val="222222"/>
          <w:sz w:val="19"/>
          <w:szCs w:val="19"/>
        </w:rPr>
      </w:pPr>
    </w:p>
    <w:p w14:paraId="39A86BAC" w14:textId="77777777" w:rsidR="006E3A41" w:rsidRPr="006529A9" w:rsidRDefault="006E3A41" w:rsidP="006E3A41">
      <w:pPr>
        <w:shd w:val="clear" w:color="auto" w:fill="FFFFFF"/>
        <w:jc w:val="both"/>
        <w:rPr>
          <w:rFonts w:ascii="Open Sans" w:hAnsi="Open Sans" w:cs="Arial"/>
          <w:sz w:val="20"/>
          <w:szCs w:val="20"/>
        </w:rPr>
      </w:pPr>
      <w:r w:rsidRPr="006529A9">
        <w:rPr>
          <w:rFonts w:ascii="Open Sans" w:hAnsi="Open Sans" w:cs="Arial"/>
          <w:color w:val="222222"/>
          <w:sz w:val="20"/>
          <w:szCs w:val="20"/>
        </w:rPr>
        <w:t xml:space="preserve">En su análisis de materialidad, y en los 10 objetivos sostenibles definidos en 2014, no trata en ningún punto de fiscalidad. </w:t>
      </w:r>
      <w:r w:rsidRPr="006529A9">
        <w:rPr>
          <w:rFonts w:ascii="Open Sans" w:hAnsi="Open Sans" w:cs="Arial"/>
          <w:sz w:val="20"/>
          <w:szCs w:val="20"/>
        </w:rPr>
        <w:t xml:space="preserve">Informan que para definir dichos objetivos se han basado en los análisis de materialidad realizados conjuntamente con sus grupos de interés y considerando los efectos que tendrían en el negocio de la Empresa y las inversiones en la comunidad. </w:t>
      </w:r>
    </w:p>
    <w:p w14:paraId="0D376C38" w14:textId="77777777" w:rsidR="006E3A41" w:rsidRPr="006529A9" w:rsidRDefault="006E3A41" w:rsidP="006E3A41">
      <w:pPr>
        <w:shd w:val="clear" w:color="auto" w:fill="FFFFFF"/>
        <w:jc w:val="both"/>
        <w:rPr>
          <w:rFonts w:ascii="Open Sans" w:hAnsi="Open Sans" w:cs="Arial"/>
          <w:sz w:val="20"/>
          <w:szCs w:val="20"/>
        </w:rPr>
      </w:pPr>
    </w:p>
    <w:p w14:paraId="223F65CE" w14:textId="77777777" w:rsidR="006E3A41" w:rsidRPr="006529A9" w:rsidRDefault="006E3A41" w:rsidP="006E3A41">
      <w:pPr>
        <w:autoSpaceDE w:val="0"/>
        <w:autoSpaceDN w:val="0"/>
        <w:adjustRightInd w:val="0"/>
        <w:jc w:val="both"/>
        <w:rPr>
          <w:rFonts w:ascii="Open Sans" w:hAnsi="Open Sans" w:cs="Arial"/>
          <w:sz w:val="20"/>
          <w:szCs w:val="20"/>
        </w:rPr>
      </w:pPr>
      <w:r w:rsidRPr="006529A9">
        <w:rPr>
          <w:rFonts w:ascii="Open Sans" w:hAnsi="Open Sans" w:cs="Arial"/>
          <w:sz w:val="20"/>
          <w:szCs w:val="20"/>
        </w:rPr>
        <w:t>Sin embargo en 2015 hacen mención al creciente interés que están mostrado los grupos de interés por los aspectos fiscales de la empresa, y es por ello que para 2016 quieren empezar a abordar esta cuestión, existiendo  el compromiso de aprobar una política fiscal e informar según el estándar “Total Tax Contribution”</w:t>
      </w:r>
      <w:r w:rsidRPr="006529A9">
        <w:rPr>
          <w:rStyle w:val="Refdenotaalpie"/>
          <w:rFonts w:ascii="Open Sans" w:hAnsi="Open Sans" w:cs="Arial"/>
          <w:sz w:val="20"/>
        </w:rPr>
        <w:footnoteReference w:id="306"/>
      </w:r>
      <w:r w:rsidRPr="006529A9">
        <w:rPr>
          <w:rFonts w:ascii="Open Sans" w:hAnsi="Open Sans" w:cs="Arial"/>
          <w:sz w:val="20"/>
          <w:szCs w:val="20"/>
        </w:rPr>
        <w:t xml:space="preserve">, según consta en la Junta General de Accionistas del 4 de Mayo de 2016. </w:t>
      </w:r>
    </w:p>
    <w:p w14:paraId="753151EB" w14:textId="77777777" w:rsidR="006E3A41" w:rsidRPr="006529A9" w:rsidRDefault="006E3A41" w:rsidP="006E3A41">
      <w:pPr>
        <w:autoSpaceDE w:val="0"/>
        <w:autoSpaceDN w:val="0"/>
        <w:adjustRightInd w:val="0"/>
        <w:jc w:val="both"/>
        <w:rPr>
          <w:rFonts w:ascii="Open Sans" w:hAnsi="Open Sans" w:cs="Arial"/>
          <w:sz w:val="20"/>
          <w:szCs w:val="20"/>
        </w:rPr>
      </w:pPr>
    </w:p>
    <w:p w14:paraId="0020AC85" w14:textId="77777777" w:rsidR="006E3A41" w:rsidRPr="006529A9" w:rsidRDefault="006E3A41" w:rsidP="006E3A41">
      <w:pPr>
        <w:autoSpaceDE w:val="0"/>
        <w:autoSpaceDN w:val="0"/>
        <w:adjustRightInd w:val="0"/>
        <w:jc w:val="both"/>
        <w:rPr>
          <w:rFonts w:ascii="Open Sans" w:hAnsi="Open Sans" w:cs="Arial"/>
          <w:sz w:val="20"/>
          <w:szCs w:val="20"/>
        </w:rPr>
      </w:pPr>
      <w:r w:rsidRPr="006529A9">
        <w:rPr>
          <w:rFonts w:ascii="Open Sans" w:hAnsi="Open Sans" w:cs="Arial"/>
          <w:sz w:val="20"/>
          <w:szCs w:val="20"/>
        </w:rPr>
        <w:t xml:space="preserve">Las únicas referencias que pueden estar indirectamente relacionadas con el pago de impuestos es el Código de Conducta de la Empresa donde incluye un apartado de Cumplimiento de la Ley: </w:t>
      </w:r>
      <w:proofErr w:type="gramStart"/>
      <w:r w:rsidRPr="006529A9">
        <w:rPr>
          <w:rFonts w:ascii="Open Sans" w:hAnsi="Open Sans" w:cs="Arial"/>
          <w:i/>
          <w:sz w:val="20"/>
          <w:szCs w:val="20"/>
        </w:rPr>
        <w:t xml:space="preserve">“ </w:t>
      </w:r>
      <w:r w:rsidRPr="006529A9">
        <w:rPr>
          <w:rFonts w:ascii="Open Sans" w:eastAsia="Calibri" w:hAnsi="Open Sans" w:cs="Open Sans"/>
          <w:i/>
          <w:sz w:val="20"/>
          <w:szCs w:val="20"/>
        </w:rPr>
        <w:t>ArcelorMittal</w:t>
      </w:r>
      <w:proofErr w:type="gramEnd"/>
      <w:r w:rsidRPr="006529A9">
        <w:rPr>
          <w:rFonts w:ascii="Open Sans" w:eastAsia="Calibri" w:hAnsi="Open Sans" w:cs="Open Sans"/>
          <w:i/>
          <w:sz w:val="20"/>
          <w:szCs w:val="20"/>
        </w:rPr>
        <w:t xml:space="preserve"> y sus trabajadores en todo el mundo deben cumplir toda ley o reglamentación de carácter local, regional, federal, nacional, internacional o de países extranjeros aplicable a las actividades de la Compañía. Cuando no estemos seguros de si determinada disposición legal es o no aplicable, o de cómo debería interpretarse, deberemos consultarlo con nuestro superior o con el Departamento Jurídico. Muchas de las actividades de la Compañía están sujetas a la normativa, compleja y en permanente evolución, que rige el comercio nacional e internacional. En ninguna jurisdicción del mundo la ignorancia de la ley exime de su cumplimiento”</w:t>
      </w:r>
      <w:r w:rsidRPr="006529A9">
        <w:rPr>
          <w:rFonts w:ascii="Open Sans" w:hAnsi="Open Sans" w:cs="Open Sans"/>
          <w:sz w:val="20"/>
          <w:szCs w:val="20"/>
        </w:rPr>
        <w:t>.</w:t>
      </w:r>
      <w:r w:rsidRPr="006529A9">
        <w:rPr>
          <w:rFonts w:ascii="Open Sans" w:hAnsi="Open Sans" w:cs="Arial"/>
          <w:sz w:val="20"/>
          <w:szCs w:val="20"/>
        </w:rPr>
        <w:t xml:space="preserve"> En el procedimiento anti-corrupción, menciona que en el caso de que terceras partes (proveedores y otros suministradores) soliciten el pago en países extranjeros se analizará por parte de la empresa para asegurar que no se trata de evasión de impuestos.</w:t>
      </w:r>
    </w:p>
    <w:p w14:paraId="00871F72" w14:textId="77777777" w:rsidR="006E3A41" w:rsidRPr="006529A9" w:rsidRDefault="006E3A41" w:rsidP="006E3A41">
      <w:pPr>
        <w:autoSpaceDE w:val="0"/>
        <w:autoSpaceDN w:val="0"/>
        <w:adjustRightInd w:val="0"/>
        <w:jc w:val="both"/>
        <w:rPr>
          <w:rFonts w:ascii="Open Sans" w:hAnsi="Open Sans" w:cs="Arial"/>
          <w:sz w:val="20"/>
          <w:szCs w:val="20"/>
        </w:rPr>
      </w:pPr>
    </w:p>
    <w:p w14:paraId="5ACE0393" w14:textId="77777777" w:rsidR="006E3A41" w:rsidRPr="006529A9" w:rsidRDefault="006E3A41" w:rsidP="006E3A41">
      <w:pPr>
        <w:autoSpaceDE w:val="0"/>
        <w:autoSpaceDN w:val="0"/>
        <w:adjustRightInd w:val="0"/>
        <w:jc w:val="both"/>
        <w:rPr>
          <w:rFonts w:ascii="Open Sans" w:hAnsi="Open Sans" w:cs="Arial"/>
          <w:sz w:val="20"/>
          <w:szCs w:val="20"/>
        </w:rPr>
      </w:pPr>
      <w:r w:rsidRPr="006529A9">
        <w:rPr>
          <w:rFonts w:ascii="Open Sans" w:hAnsi="Open Sans" w:cs="Arial"/>
          <w:sz w:val="20"/>
          <w:szCs w:val="20"/>
        </w:rPr>
        <w:t xml:space="preserve">La empresa informa en el Formato 20-F de los riesgos </w:t>
      </w:r>
      <w:proofErr w:type="gramStart"/>
      <w:r w:rsidRPr="006529A9">
        <w:rPr>
          <w:rFonts w:ascii="Open Sans" w:hAnsi="Open Sans" w:cs="Arial"/>
          <w:sz w:val="20"/>
          <w:szCs w:val="20"/>
        </w:rPr>
        <w:t>fiscales :</w:t>
      </w:r>
      <w:proofErr w:type="gramEnd"/>
      <w:r w:rsidRPr="006529A9">
        <w:rPr>
          <w:rFonts w:ascii="Open Sans" w:hAnsi="Open Sans" w:cs="Arial"/>
          <w:sz w:val="20"/>
          <w:szCs w:val="20"/>
        </w:rPr>
        <w:t xml:space="preserve"> “</w:t>
      </w:r>
      <w:r w:rsidRPr="006529A9">
        <w:rPr>
          <w:rFonts w:ascii="Open Sans" w:eastAsia="Calibri" w:hAnsi="Open Sans" w:cs="Open Sans"/>
          <w:i/>
          <w:sz w:val="20"/>
          <w:szCs w:val="20"/>
        </w:rPr>
        <w:t>Las leyes y reglamentos tributarios en algunos de estos países pueden estar sujetos a cambios frecuentes, interpretaciones variadas y aplicación incoherente. Los sistemas ineficaces de recaudación de impuestos y los requisitos presupuestarios de los gobiernos nacionales o locales pueden aumentar la probabilidad de imponer impuestos y sanciones arbitrarios o onerosos…..Esta incertidumbre podría exponer a ArcelorMittal a multas y sanciones significativas y a medidas de ejecución a pesar de sus mejores esfuerzos de cumplimiento, y podría resultar en una carga impositiva mayor a la esperada….Además, muchas de las jurisdicciones en las que opera ArcelorMittal han adoptado una legislación sobre precios de transferencia. Si las autoridades fiscales imponen pasivos impositivos adicionales significativos como resultado de ajustes de precios de transferencia, podrían tener un efecto adverso sustancial sobre la situación financiera y los resultados de operaciones de ArcelorMittal…. ArcelorMittal puede enfrentar un aumento significativo en sus impuestos sobre la renta si las tasas de impuestos aumentan o las leyes o regulaciones tributarias en las jurisdicciones en las que opera, o los tratados entre esas jurisdicciones, se modifican de manera adversa.</w:t>
      </w:r>
    </w:p>
    <w:p w14:paraId="2C6BF83B" w14:textId="77777777" w:rsidR="006E3A41" w:rsidRPr="006529A9" w:rsidRDefault="006E3A41" w:rsidP="006E3A41">
      <w:pPr>
        <w:autoSpaceDE w:val="0"/>
        <w:autoSpaceDN w:val="0"/>
        <w:adjustRightInd w:val="0"/>
        <w:jc w:val="both"/>
        <w:rPr>
          <w:rFonts w:ascii="Open Sans" w:hAnsi="Open Sans" w:cs="Arial"/>
          <w:sz w:val="20"/>
          <w:szCs w:val="20"/>
        </w:rPr>
      </w:pPr>
    </w:p>
    <w:p w14:paraId="451EB5B7" w14:textId="77777777" w:rsidR="006E3A41" w:rsidRPr="006529A9" w:rsidRDefault="006E3A41" w:rsidP="006E3A41">
      <w:pPr>
        <w:autoSpaceDE w:val="0"/>
        <w:autoSpaceDN w:val="0"/>
        <w:adjustRightInd w:val="0"/>
        <w:jc w:val="both"/>
        <w:rPr>
          <w:rFonts w:ascii="Open Sans" w:hAnsi="Open Sans" w:cs="Open Sans"/>
          <w:sz w:val="20"/>
          <w:szCs w:val="20"/>
        </w:rPr>
      </w:pPr>
      <w:r w:rsidRPr="006529A9">
        <w:rPr>
          <w:rFonts w:ascii="Open Sans" w:hAnsi="Open Sans" w:cs="Open Sans"/>
          <w:sz w:val="20"/>
          <w:szCs w:val="20"/>
        </w:rPr>
        <w:t>ArcelorMittal España está adherida al Código de Buenas Prácticas Tributarias desarrollado por la agencia tributaria española.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offshore, que favorecen la evasión fiscal.</w:t>
      </w:r>
      <w:r w:rsidRPr="006529A9">
        <w:rPr>
          <w:rStyle w:val="Refdenotaalpie"/>
          <w:rFonts w:ascii="Open Sans" w:hAnsi="Open Sans" w:cs="Open Sans"/>
          <w:sz w:val="20"/>
        </w:rPr>
        <w:footnoteReference w:id="307"/>
      </w:r>
      <w:r w:rsidRPr="006529A9">
        <w:rPr>
          <w:rFonts w:ascii="Open Sans" w:hAnsi="Open Sans" w:cs="Open Sans"/>
          <w:sz w:val="20"/>
          <w:szCs w:val="20"/>
        </w:rPr>
        <w:t xml:space="preserve"> </w:t>
      </w:r>
    </w:p>
    <w:p w14:paraId="462E15DB" w14:textId="77777777" w:rsidR="006E3A41" w:rsidRPr="006529A9" w:rsidRDefault="006E3A41" w:rsidP="006E3A41">
      <w:pPr>
        <w:autoSpaceDE w:val="0"/>
        <w:autoSpaceDN w:val="0"/>
        <w:adjustRightInd w:val="0"/>
        <w:jc w:val="both"/>
        <w:rPr>
          <w:rFonts w:ascii="Open Sans" w:hAnsi="Open Sans" w:cs="Arial"/>
          <w:sz w:val="20"/>
          <w:szCs w:val="20"/>
        </w:rPr>
      </w:pPr>
    </w:p>
    <w:p w14:paraId="71094D5E" w14:textId="77777777" w:rsidR="006E3A41" w:rsidRPr="006529A9" w:rsidRDefault="006E3A41" w:rsidP="006E3A41">
      <w:pPr>
        <w:autoSpaceDE w:val="0"/>
        <w:autoSpaceDN w:val="0"/>
        <w:adjustRightInd w:val="0"/>
        <w:jc w:val="both"/>
        <w:rPr>
          <w:rFonts w:ascii="Open Sans" w:hAnsi="Open Sans" w:cs="Arial"/>
          <w:sz w:val="20"/>
          <w:szCs w:val="20"/>
        </w:rPr>
      </w:pPr>
      <w:r w:rsidRPr="006529A9">
        <w:rPr>
          <w:rFonts w:ascii="Open Sans" w:hAnsi="Open Sans" w:cs="Arial"/>
          <w:sz w:val="20"/>
          <w:szCs w:val="20"/>
        </w:rPr>
        <w:t>En la Memoria de la Empresa, y en concreto en la carta del Presidente, menciona el pago de impuestos locales como una de las formas de crear valor de la empresa para la sociedad. En la parte correspondiente a Sostenibilidad informan del total de impuestos pagados incluyendo impuesto de sociedades o tasas locales</w:t>
      </w:r>
    </w:p>
    <w:p w14:paraId="0CEA150C" w14:textId="77777777" w:rsidR="006E3A41" w:rsidRPr="006529A9" w:rsidRDefault="006E3A41" w:rsidP="006E3A41">
      <w:pPr>
        <w:autoSpaceDE w:val="0"/>
        <w:autoSpaceDN w:val="0"/>
        <w:adjustRightInd w:val="0"/>
        <w:jc w:val="both"/>
        <w:rPr>
          <w:rFonts w:ascii="Open Sans" w:hAnsi="Open Sans" w:cs="Arial"/>
          <w:sz w:val="20"/>
          <w:szCs w:val="20"/>
        </w:rPr>
      </w:pPr>
    </w:p>
    <w:p w14:paraId="0B36379E"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A pesar de estas declaraciones la presencia de ArcelorMittal en paraísos y nichos fiscales puede conllevar un riesgo de que esta presencia responda a una estrategia de elusión fiscal del grupo, probablemente no ilegal, pero evidentemente socialmente irresponsable, no comprometida con el desarrollo de los países donde genera sus beneficios, y éticamente reprochable. Por ello y para despejar las dudas que surgen, sería conveniente que la empresa facilitase información a este respecto en un futuro.</w:t>
      </w:r>
    </w:p>
    <w:p w14:paraId="3A005C1A" w14:textId="77777777" w:rsidR="006E3A41" w:rsidRPr="006529A9" w:rsidRDefault="006E3A41" w:rsidP="006E3A41">
      <w:pPr>
        <w:jc w:val="both"/>
        <w:rPr>
          <w:rFonts w:ascii="Open Sans" w:hAnsi="Open Sans" w:cs="Arial"/>
          <w:b/>
          <w:color w:val="FF0000"/>
          <w:sz w:val="22"/>
          <w:szCs w:val="22"/>
          <w:u w:val="single"/>
        </w:rPr>
      </w:pPr>
    </w:p>
    <w:p w14:paraId="3ADA11A9" w14:textId="77777777" w:rsidR="006E3A41" w:rsidRPr="006529A9" w:rsidRDefault="006E3A41" w:rsidP="006E3A41">
      <w:pPr>
        <w:jc w:val="both"/>
        <w:rPr>
          <w:rFonts w:ascii="Open Sans" w:hAnsi="Open Sans" w:cs="Arial"/>
          <w:sz w:val="20"/>
          <w:szCs w:val="20"/>
        </w:rPr>
      </w:pPr>
      <w:r w:rsidRPr="006529A9">
        <w:rPr>
          <w:rFonts w:ascii="Open Sans" w:hAnsi="Open Sans" w:cs="Arial"/>
          <w:bCs/>
          <w:sz w:val="20"/>
          <w:szCs w:val="20"/>
        </w:rPr>
        <w:t>En 2015 incluyen en el Informe Anual y en el Formato 20-F</w:t>
      </w:r>
      <w:r w:rsidRPr="006529A9">
        <w:rPr>
          <w:rStyle w:val="Refdenotaalpie"/>
          <w:rFonts w:ascii="Open Sans" w:hAnsi="Open Sans" w:cs="Arial"/>
          <w:bCs/>
          <w:sz w:val="20"/>
        </w:rPr>
        <w:footnoteReference w:id="308"/>
      </w:r>
      <w:r w:rsidRPr="006529A9">
        <w:rPr>
          <w:rFonts w:ascii="Open Sans" w:hAnsi="Open Sans" w:cs="Arial"/>
          <w:bCs/>
          <w:sz w:val="20"/>
          <w:szCs w:val="20"/>
        </w:rPr>
        <w:t xml:space="preserve"> una tabla con los impuestos legales a pagar, con detalle para los principales países. En concreto, incluye la tasa impositiva de 21 países, que indica son los "que más han afectado al gasto", y la cantidad que deberían haber pagado considerando solo el Impuesto de Sociedades del ejercicio. Ofrece datos de 2015 comparando con los dos ejercicios anteriores. Sin embargo la cifra que consta en las cuentas anuales de impuestos pagados no coincide con la suma de la tabla, y por lo tanto se desconoce los impuestos que finalmente se han pagado en cada país, después de aplicar los correspondientes importes por impuestos diferidos, exenciones, etc. Solo para los países en los que se publica memoria de RSC se incluye una cifra global de pago al gobierno, pero solo se cuenta con la información de 14 países de los más de 60. Por ejemplo en España asciende a 404,5 millones de euros la cifra pagada al Gobierno, sin conocer exactamente qué impuestos incluye, mientras que la cifra que aparece para España en el Formato 20-F es de 146 millones de dólares USA en negativo. Sería deseable que incrementasen su transparencia, facilitado la información completa de los impuestos efectivamente pagados en cada país, y los conceptos que explican las diferencias entre el impuesto de sociedades teórico y el impuesto final. Para los países </w:t>
      </w:r>
      <w:r w:rsidRPr="006529A9">
        <w:rPr>
          <w:rFonts w:ascii="Open Sans" w:hAnsi="Open Sans" w:cs="Arial"/>
          <w:sz w:val="20"/>
          <w:szCs w:val="20"/>
        </w:rPr>
        <w:t xml:space="preserve">como Liberia, Marruecos, Mozambique o Kazakstán,  con recursos públicos limitados para implantar políticas que aseguren los derechos de las personas, es más necesaria dicha información para poder conocer qué impacto efectivo tiene la empresa en la economía, en la sociedad y en definitiva en la contribución al desarrollo de los mismos. </w:t>
      </w:r>
    </w:p>
    <w:p w14:paraId="5AE44D6B" w14:textId="77777777" w:rsidR="006E3A41" w:rsidRPr="006529A9" w:rsidRDefault="006E3A41" w:rsidP="006E3A41">
      <w:pPr>
        <w:jc w:val="both"/>
        <w:rPr>
          <w:rFonts w:ascii="Open Sans" w:hAnsi="Open Sans" w:cs="Arial"/>
          <w:bCs/>
          <w:sz w:val="20"/>
          <w:szCs w:val="20"/>
          <w:highlight w:val="yellow"/>
          <w:lang w:eastAsia="zh-TW"/>
        </w:rPr>
      </w:pPr>
    </w:p>
    <w:p w14:paraId="037AF796" w14:textId="77777777" w:rsidR="006E3A41" w:rsidRPr="006529A9" w:rsidRDefault="006E3A41" w:rsidP="006E3A41">
      <w:pPr>
        <w:autoSpaceDE w:val="0"/>
        <w:autoSpaceDN w:val="0"/>
        <w:adjustRightInd w:val="0"/>
        <w:jc w:val="both"/>
        <w:rPr>
          <w:rFonts w:ascii="Open Sans" w:hAnsi="Open Sans" w:cs="Arial"/>
          <w:sz w:val="20"/>
          <w:szCs w:val="20"/>
        </w:rPr>
      </w:pPr>
      <w:r w:rsidRPr="006529A9">
        <w:rPr>
          <w:rFonts w:ascii="Open Sans" w:hAnsi="Open Sans" w:cs="Arial"/>
          <w:sz w:val="20"/>
          <w:szCs w:val="20"/>
        </w:rPr>
        <w:t xml:space="preserve">La empresa aclara en su memoria que los impuestos sobre beneficios de las cuentas consolidadas de </w:t>
      </w:r>
      <w:r w:rsidRPr="006529A9">
        <w:rPr>
          <w:rFonts w:ascii="Open Sans" w:hAnsi="Open Sans" w:cs="Arial"/>
          <w:bCs/>
          <w:sz w:val="20"/>
          <w:szCs w:val="20"/>
          <w:lang w:eastAsia="zh-TW"/>
        </w:rPr>
        <w:t>ArcelorMittal</w:t>
      </w:r>
      <w:r w:rsidRPr="006529A9">
        <w:rPr>
          <w:rFonts w:ascii="Open Sans" w:hAnsi="Open Sans" w:cs="Arial"/>
          <w:sz w:val="20"/>
          <w:szCs w:val="20"/>
        </w:rPr>
        <w:t xml:space="preserve"> responden a las regulaciones fiscales de cada país donde opera. Además especifica que en ciertas jurisdicciones (como Europa del Este) la presión fiscal es más baja que en otras, como Luxemburgo (29.22%) o Europa Occidental o el continente americano. Además, </w:t>
      </w:r>
      <w:r w:rsidRPr="006529A9">
        <w:rPr>
          <w:rFonts w:ascii="Open Sans" w:hAnsi="Open Sans" w:cs="Arial"/>
          <w:bCs/>
          <w:sz w:val="20"/>
          <w:szCs w:val="20"/>
          <w:lang w:eastAsia="zh-TW"/>
        </w:rPr>
        <w:t>ArcelorMittal</w:t>
      </w:r>
      <w:r w:rsidRPr="006529A9">
        <w:rPr>
          <w:rFonts w:ascii="Open Sans" w:hAnsi="Open Sans" w:cs="Arial"/>
          <w:sz w:val="20"/>
          <w:szCs w:val="20"/>
        </w:rPr>
        <w:t xml:space="preserve"> es explícita al declarar que estructura su planificación fiscal en función de sus activos por impuestos diferidos en las diferentes jurisdicciones donde opera. Sus estrategias de planificación fiscal tienen que ver con las ganancias fiscales previstas, los efectos de la regulación fiscal de cada país y la posibilidad de utilizar los activos de impuestos diferidos reconocidos, etc. </w:t>
      </w:r>
      <w:r w:rsidRPr="006529A9">
        <w:rPr>
          <w:rFonts w:ascii="Open Sans" w:eastAsia="Calibri" w:hAnsi="Open Sans" w:cs="Open Sans"/>
          <w:sz w:val="20"/>
          <w:szCs w:val="20"/>
        </w:rPr>
        <w:t xml:space="preserve">No obstante, </w:t>
      </w:r>
      <w:r w:rsidRPr="006529A9">
        <w:rPr>
          <w:rFonts w:ascii="Open Sans" w:hAnsi="Open Sans" w:cs="Open Sans"/>
          <w:sz w:val="20"/>
          <w:szCs w:val="20"/>
        </w:rPr>
        <w:t xml:space="preserve">no facilita información sobre la existencia, en su caso,  de Tax rulings. </w:t>
      </w:r>
    </w:p>
    <w:p w14:paraId="1F78F6AF" w14:textId="77777777" w:rsidR="006E3A41" w:rsidRPr="006529A9" w:rsidRDefault="006E3A41" w:rsidP="006E3A41">
      <w:pPr>
        <w:autoSpaceDE w:val="0"/>
        <w:autoSpaceDN w:val="0"/>
        <w:adjustRightInd w:val="0"/>
        <w:jc w:val="both"/>
        <w:rPr>
          <w:rFonts w:ascii="Open Sans" w:hAnsi="Open Sans" w:cs="Arial"/>
          <w:sz w:val="20"/>
          <w:szCs w:val="20"/>
        </w:rPr>
      </w:pPr>
    </w:p>
    <w:p w14:paraId="7E9C4C18" w14:textId="77777777" w:rsidR="006E3A41" w:rsidRPr="006529A9" w:rsidRDefault="006E3A41" w:rsidP="006E3A41">
      <w:pPr>
        <w:autoSpaceDE w:val="0"/>
        <w:autoSpaceDN w:val="0"/>
        <w:adjustRightInd w:val="0"/>
        <w:jc w:val="both"/>
        <w:rPr>
          <w:rFonts w:ascii="Open Sans" w:hAnsi="Open Sans" w:cs="Arial"/>
          <w:sz w:val="20"/>
          <w:szCs w:val="20"/>
        </w:rPr>
      </w:pPr>
      <w:r w:rsidRPr="006529A9">
        <w:rPr>
          <w:rFonts w:ascii="Open Sans" w:hAnsi="Open Sans" w:cs="Arial"/>
          <w:sz w:val="20"/>
          <w:szCs w:val="20"/>
        </w:rPr>
        <w:t xml:space="preserve">El hecho de que ArcelorMittal tenga presencia en varios paraísos y nichos fiscales, y no tener información sobre el pago de impuestos por países genera dudas sobre si está utilizando </w:t>
      </w:r>
      <w:r w:rsidRPr="006529A9">
        <w:rPr>
          <w:rFonts w:ascii="Open Sans" w:hAnsi="Open Sans"/>
          <w:sz w:val="20"/>
          <w:szCs w:val="20"/>
        </w:rPr>
        <w:t xml:space="preserve"> sistemas fiscales artificiales y transferencia de beneficios, registrando pérdidas en países con tipos impositivos elevados y beneficios en paraísos y nichos fiscales con tipos impositivos bajos. Existe además información en la web que podrían apuntar en esta dirección</w:t>
      </w:r>
      <w:r w:rsidRPr="006529A9">
        <w:rPr>
          <w:rStyle w:val="Refdenotaalpie"/>
          <w:rFonts w:ascii="Open Sans" w:hAnsi="Open Sans"/>
          <w:sz w:val="20"/>
        </w:rPr>
        <w:footnoteReference w:id="309"/>
      </w:r>
      <w:r w:rsidRPr="006529A9">
        <w:rPr>
          <w:rFonts w:ascii="Open Sans" w:hAnsi="Open Sans"/>
          <w:sz w:val="20"/>
          <w:szCs w:val="20"/>
        </w:rPr>
        <w:t>.</w:t>
      </w:r>
    </w:p>
    <w:p w14:paraId="4D204195" w14:textId="77777777" w:rsidR="006E3A41" w:rsidRPr="006529A9" w:rsidRDefault="006E3A41" w:rsidP="006E3A41">
      <w:pPr>
        <w:jc w:val="both"/>
        <w:rPr>
          <w:rFonts w:ascii="Open Sans" w:hAnsi="Open Sans" w:cs="Arial"/>
          <w:sz w:val="20"/>
          <w:szCs w:val="20"/>
          <w:highlight w:val="yellow"/>
        </w:rPr>
      </w:pPr>
    </w:p>
    <w:p w14:paraId="6980DD8C" w14:textId="77777777" w:rsidR="006E3A41" w:rsidRPr="006529A9" w:rsidRDefault="006E3A41" w:rsidP="006E3A41">
      <w:pPr>
        <w:jc w:val="both"/>
        <w:rPr>
          <w:rFonts w:ascii="Open Sans" w:hAnsi="Open Sans" w:cs="Arial"/>
          <w:bCs/>
          <w:sz w:val="20"/>
          <w:szCs w:val="20"/>
        </w:rPr>
      </w:pPr>
      <w:r w:rsidRPr="006529A9">
        <w:rPr>
          <w:rFonts w:ascii="Open Sans" w:hAnsi="Open Sans" w:cs="Arial"/>
          <w:bCs/>
          <w:sz w:val="20"/>
          <w:szCs w:val="20"/>
        </w:rPr>
        <w:t xml:space="preserve">Informa de que ha recibido algunas subvenciones pero sin indicar los montantes y solo de algunos países. No se sabe si están incluidas todas las subvenciones. </w:t>
      </w:r>
    </w:p>
    <w:p w14:paraId="0FC03DB2" w14:textId="77777777" w:rsidR="006E3A41" w:rsidRPr="006529A9" w:rsidRDefault="006E3A41" w:rsidP="006E3A41">
      <w:pPr>
        <w:jc w:val="both"/>
        <w:rPr>
          <w:rFonts w:ascii="Open Sans" w:hAnsi="Open Sans" w:cs="Arial"/>
          <w:bCs/>
          <w:sz w:val="20"/>
          <w:szCs w:val="20"/>
        </w:rPr>
      </w:pPr>
    </w:p>
    <w:p w14:paraId="5D0B967A" w14:textId="77777777" w:rsidR="006E3A41" w:rsidRPr="006529A9" w:rsidRDefault="006E3A41" w:rsidP="006E3A41">
      <w:pPr>
        <w:jc w:val="both"/>
        <w:rPr>
          <w:rFonts w:ascii="Open Sans" w:hAnsi="Open Sans" w:cs="Arial"/>
          <w:bCs/>
          <w:sz w:val="20"/>
          <w:szCs w:val="20"/>
        </w:rPr>
      </w:pPr>
      <w:r w:rsidRPr="006529A9">
        <w:rPr>
          <w:rFonts w:ascii="Open Sans" w:hAnsi="Open Sans" w:cs="Arial"/>
          <w:bCs/>
          <w:sz w:val="20"/>
          <w:szCs w:val="20"/>
        </w:rPr>
        <w:t>Informa de beneficios fiscales y exenciones de impuestos derivadas del cobro de dividendos de empresas participadas en Luxemburgo y de deducciones de impuestos relativos a acciones (artículos 115 y 166 de la Ley de Impuestos de Luxemburgo), pero se desconoce si existen más exenciones o deducciones de impuestos en otros países y por otras causas.</w:t>
      </w:r>
    </w:p>
    <w:p w14:paraId="2098A4BB" w14:textId="77777777" w:rsidR="006E3A41" w:rsidRPr="006529A9" w:rsidRDefault="006E3A41" w:rsidP="006E3A41">
      <w:pPr>
        <w:jc w:val="both"/>
        <w:rPr>
          <w:rFonts w:ascii="Open Sans" w:hAnsi="Open Sans" w:cs="Arial"/>
          <w:bCs/>
          <w:sz w:val="20"/>
          <w:szCs w:val="20"/>
        </w:rPr>
      </w:pPr>
    </w:p>
    <w:p w14:paraId="1AF46EAE" w14:textId="77777777" w:rsidR="006E3A41" w:rsidRPr="006529A9" w:rsidRDefault="006E3A41" w:rsidP="006E3A41">
      <w:pPr>
        <w:jc w:val="both"/>
        <w:rPr>
          <w:rFonts w:ascii="Open Sans" w:hAnsi="Open Sans"/>
          <w:sz w:val="20"/>
          <w:szCs w:val="20"/>
        </w:rPr>
      </w:pPr>
      <w:r w:rsidRPr="006529A9">
        <w:rPr>
          <w:rFonts w:ascii="Open Sans" w:hAnsi="Open Sans" w:cs="Arial"/>
          <w:bCs/>
          <w:sz w:val="20"/>
          <w:szCs w:val="20"/>
        </w:rPr>
        <w:t xml:space="preserve">La información que facilita de Créditos Fiscales indica los países y los diversos conceptos pero sin dejar claro que concepto/s afectan a cada país y su cifra pormenorizada. </w:t>
      </w:r>
    </w:p>
    <w:p w14:paraId="2E46CD66" w14:textId="77777777" w:rsidR="006E3A41" w:rsidRPr="006529A9" w:rsidRDefault="006E3A41" w:rsidP="006E3A41">
      <w:pPr>
        <w:pStyle w:val="Titulo2-Informe"/>
      </w:pPr>
    </w:p>
    <w:p w14:paraId="6D4280C4" w14:textId="77777777" w:rsidR="006E3A41" w:rsidRPr="006529A9" w:rsidRDefault="006E3A41" w:rsidP="006E3A41">
      <w:pPr>
        <w:jc w:val="both"/>
        <w:rPr>
          <w:rFonts w:ascii="Open Sans" w:hAnsi="Open Sans" w:cs="Courier"/>
          <w:sz w:val="20"/>
          <w:szCs w:val="20"/>
        </w:rPr>
      </w:pPr>
      <w:r w:rsidRPr="006529A9">
        <w:rPr>
          <w:rFonts w:ascii="Open Sans" w:hAnsi="Open Sans" w:cs="Arial"/>
          <w:sz w:val="20"/>
          <w:szCs w:val="20"/>
        </w:rPr>
        <w:t>En la página web, ArcelorMital informa sobre su actividad de lobby en Europa, los países de Norteamérica del Tratado de Libre Comercio, Sudáfrica, y menciona en genérico otros países.  Está registrada en el "Registro de Transparencia de la Unión Europea"</w:t>
      </w:r>
      <w:r w:rsidRPr="006529A9">
        <w:rPr>
          <w:rStyle w:val="Refdenotaalpie"/>
          <w:rFonts w:ascii="Open Sans" w:hAnsi="Open Sans" w:cs="Arial"/>
          <w:sz w:val="20"/>
        </w:rPr>
        <w:footnoteReference w:id="310"/>
      </w:r>
      <w:r w:rsidRPr="006529A9">
        <w:rPr>
          <w:rFonts w:ascii="Open Sans" w:hAnsi="Open Sans" w:cs="Arial"/>
          <w:sz w:val="20"/>
          <w:szCs w:val="20"/>
        </w:rPr>
        <w:t xml:space="preserve"> y en el Registro de Contribuciones del Senado de Estados Unidos</w:t>
      </w:r>
      <w:r w:rsidRPr="006529A9">
        <w:rPr>
          <w:rStyle w:val="Refdenotaalpie"/>
          <w:rFonts w:ascii="Open Sans" w:hAnsi="Open Sans" w:cs="Arial"/>
          <w:sz w:val="20"/>
        </w:rPr>
        <w:footnoteReference w:id="311"/>
      </w:r>
      <w:r w:rsidRPr="006529A9">
        <w:rPr>
          <w:rFonts w:ascii="Open Sans" w:hAnsi="Open Sans" w:cs="Arial"/>
          <w:sz w:val="20"/>
          <w:szCs w:val="20"/>
        </w:rPr>
        <w:t xml:space="preserve">, en los que se puede consultar las cantidades de dinero destinadas a tal fin durante el ejercicio 2015. </w:t>
      </w:r>
    </w:p>
    <w:p w14:paraId="2B52E0AE" w14:textId="77777777" w:rsidR="006E3A41" w:rsidRPr="006529A9" w:rsidRDefault="006E3A41" w:rsidP="006E3A41">
      <w:pPr>
        <w:jc w:val="both"/>
        <w:rPr>
          <w:rFonts w:ascii="Open Sans" w:hAnsi="Open Sans"/>
          <w:b/>
          <w:sz w:val="22"/>
        </w:rPr>
      </w:pPr>
    </w:p>
    <w:p w14:paraId="25824842" w14:textId="77777777" w:rsidR="006E3A41" w:rsidRPr="006529A9" w:rsidRDefault="006E3A41" w:rsidP="006E3A41">
      <w:pPr>
        <w:jc w:val="both"/>
        <w:rPr>
          <w:rFonts w:ascii="Open Sans" w:hAnsi="Open Sans" w:cs="Arial"/>
          <w:bCs/>
          <w:sz w:val="20"/>
          <w:szCs w:val="20"/>
        </w:rPr>
      </w:pPr>
      <w:r w:rsidRPr="006529A9">
        <w:rPr>
          <w:rFonts w:ascii="Open Sans" w:hAnsi="Open Sans" w:cs="Arial"/>
          <w:bCs/>
          <w:sz w:val="20"/>
          <w:szCs w:val="20"/>
        </w:rPr>
        <w:t>En el Formato 20-F hay detalle de los litigios que mantiene con las administraciones tributarias de distintos países, el estado en el que están, los recursos que presenta, etc, y en el balance de la compañía presenta la provisión que realiza para cubrir las reclamaciones por impuestos. En 2015, 189 millones de $, pero siempre como cifra global sin detalle por país. También da información de la deuda tributaria pero de nuevo, solo, a nivel global.</w:t>
      </w:r>
    </w:p>
    <w:p w14:paraId="121AC5AD" w14:textId="77777777" w:rsidR="006E3A41" w:rsidRPr="006529A9" w:rsidRDefault="006E3A41" w:rsidP="006E3A41">
      <w:pPr>
        <w:jc w:val="both"/>
        <w:rPr>
          <w:rFonts w:ascii="Open Sans" w:hAnsi="Open Sans" w:cs="Arial"/>
          <w:bCs/>
          <w:sz w:val="20"/>
          <w:szCs w:val="20"/>
        </w:rPr>
      </w:pPr>
    </w:p>
    <w:p w14:paraId="288DD7E1" w14:textId="77777777" w:rsidR="006E3A41" w:rsidRPr="006529A9" w:rsidRDefault="006E3A41" w:rsidP="006E3A41">
      <w:pPr>
        <w:jc w:val="both"/>
        <w:rPr>
          <w:rFonts w:ascii="Open Sans" w:hAnsi="Open Sans"/>
          <w:b/>
          <w:sz w:val="22"/>
        </w:rPr>
      </w:pPr>
    </w:p>
    <w:p w14:paraId="649F99B2" w14:textId="77777777" w:rsidR="006E3A41" w:rsidRPr="006529A9" w:rsidRDefault="006E3A41" w:rsidP="006E3A41">
      <w:pPr>
        <w:jc w:val="both"/>
        <w:rPr>
          <w:rFonts w:ascii="Open Sans" w:hAnsi="Open Sans" w:cs="Arial"/>
          <w:b/>
          <w:sz w:val="22"/>
          <w:szCs w:val="22"/>
          <w:u w:val="single"/>
        </w:rPr>
      </w:pPr>
      <w:r w:rsidRPr="006529A9">
        <w:rPr>
          <w:rFonts w:ascii="Open Sans" w:hAnsi="Open Sans" w:cs="Arial"/>
          <w:b/>
          <w:sz w:val="22"/>
          <w:szCs w:val="22"/>
          <w:u w:val="single"/>
        </w:rPr>
        <w:t>5. Conclusiones</w:t>
      </w:r>
    </w:p>
    <w:p w14:paraId="59D81C07" w14:textId="77777777" w:rsidR="006E3A41" w:rsidRPr="006529A9" w:rsidRDefault="006E3A41" w:rsidP="006E3A41">
      <w:pPr>
        <w:ind w:left="720"/>
        <w:jc w:val="both"/>
        <w:rPr>
          <w:rFonts w:ascii="Open Sans" w:hAnsi="Open Sans" w:cs="Arial"/>
          <w:b/>
        </w:rPr>
      </w:pPr>
    </w:p>
    <w:p w14:paraId="52B814A1" w14:textId="77777777" w:rsidR="006E3A41" w:rsidRPr="006529A9" w:rsidRDefault="006E3A41" w:rsidP="006E3A41">
      <w:pPr>
        <w:pStyle w:val="Default"/>
        <w:jc w:val="both"/>
        <w:rPr>
          <w:rFonts w:ascii="Open Sans" w:hAnsi="Open Sans" w:cs="Open Sans"/>
          <w:color w:val="auto"/>
          <w:sz w:val="20"/>
          <w:szCs w:val="20"/>
        </w:rPr>
      </w:pPr>
      <w:r w:rsidRPr="006529A9">
        <w:rPr>
          <w:rFonts w:ascii="Open Sans" w:hAnsi="Open Sans" w:cs="Open Sans"/>
          <w:color w:val="auto"/>
          <w:sz w:val="20"/>
          <w:szCs w:val="20"/>
        </w:rPr>
        <w:t xml:space="preserve">La valoración global de la transparencia de ArcelorMittal en el ámbito fiscal es de </w:t>
      </w:r>
      <w:r w:rsidRPr="006529A9">
        <w:rPr>
          <w:rFonts w:ascii="Open Sans" w:hAnsi="Open Sans" w:cs="Open Sans"/>
          <w:b/>
          <w:color w:val="auto"/>
          <w:sz w:val="20"/>
          <w:szCs w:val="20"/>
        </w:rPr>
        <w:t>0,48</w:t>
      </w:r>
      <w:r w:rsidRPr="006529A9">
        <w:rPr>
          <w:rFonts w:ascii="Open Sans" w:hAnsi="Open Sans" w:cs="Open Sans"/>
          <w:color w:val="auto"/>
          <w:sz w:val="20"/>
          <w:szCs w:val="20"/>
        </w:rPr>
        <w:t xml:space="preserve"> sobre un máximo de 3, lo que equivale a una </w:t>
      </w:r>
      <w:r w:rsidRPr="006529A9">
        <w:rPr>
          <w:rFonts w:ascii="Open Sans" w:hAnsi="Open Sans" w:cs="Open Sans"/>
          <w:i/>
          <w:color w:val="auto"/>
          <w:sz w:val="20"/>
          <w:szCs w:val="20"/>
        </w:rPr>
        <w:t>información escasa</w:t>
      </w:r>
      <w:r w:rsidRPr="006529A9">
        <w:rPr>
          <w:rFonts w:ascii="Open Sans" w:hAnsi="Open Sans" w:cs="Open Sans"/>
          <w:color w:val="auto"/>
          <w:sz w:val="20"/>
          <w:szCs w:val="20"/>
        </w:rPr>
        <w:t xml:space="preserve"> de acuerdo con la metodología utilizada.  De las dimensiones analizadas, la máxima puntuación se obtiene en los aspectos relacionados con las “relaciones con Administraciones Tributarias” (1,20), seguidos de la “política y estrategia fiscal” (0,40), “impuestos e incentivos” (0,17), y “paraísos y nichos fiscales” (0,14).</w:t>
      </w:r>
    </w:p>
    <w:p w14:paraId="7AFC4764" w14:textId="77777777" w:rsidR="006E3A41" w:rsidRPr="006529A9" w:rsidRDefault="006E3A41" w:rsidP="006E3A41">
      <w:pPr>
        <w:jc w:val="both"/>
        <w:rPr>
          <w:rFonts w:ascii="Open Sans" w:hAnsi="Open Sans" w:cs="Arial"/>
          <w:b/>
          <w:color w:val="4F6228"/>
          <w:sz w:val="20"/>
          <w:szCs w:val="20"/>
        </w:rPr>
      </w:pPr>
    </w:p>
    <w:p w14:paraId="3B4BBE8A" w14:textId="77777777" w:rsidR="006E3A41" w:rsidRPr="006529A9" w:rsidRDefault="006E3A41" w:rsidP="006E3A41">
      <w:pPr>
        <w:tabs>
          <w:tab w:val="left" w:pos="1440"/>
        </w:tabs>
        <w:jc w:val="both"/>
        <w:rPr>
          <w:rFonts w:ascii="Open Sans" w:hAnsi="Open Sans" w:cs="Arial"/>
          <w:sz w:val="20"/>
          <w:szCs w:val="20"/>
        </w:rPr>
      </w:pPr>
      <w:r w:rsidRPr="006529A9">
        <w:rPr>
          <w:rFonts w:ascii="Open Sans" w:hAnsi="Open Sans" w:cs="Arial"/>
          <w:sz w:val="20"/>
          <w:szCs w:val="20"/>
        </w:rPr>
        <w:t xml:space="preserve">El Informe de Sostenibilidad (incluido este ejercicio en la Memoria de la Empresa - Anual Review) junto con el Informe Anual y el Formato 20-F </w:t>
      </w:r>
      <w:r w:rsidRPr="006529A9">
        <w:rPr>
          <w:rFonts w:ascii="Open Sans" w:hAnsi="Open Sans" w:cs="Arial"/>
          <w:b/>
          <w:sz w:val="20"/>
          <w:szCs w:val="20"/>
        </w:rPr>
        <w:t xml:space="preserve"> </w:t>
      </w:r>
      <w:r w:rsidRPr="006529A9">
        <w:rPr>
          <w:rFonts w:ascii="Open Sans" w:hAnsi="Open Sans" w:cs="Arial"/>
          <w:sz w:val="20"/>
          <w:szCs w:val="20"/>
        </w:rPr>
        <w:t xml:space="preserve">queda restringido a las empresas en las que ArcelorMittal tiene control en la gestión y son operativas ( Producción de Acero, Explotación Minera, Comerciales, I+D, Técnicas, </w:t>
      </w:r>
      <w:proofErr w:type="gramStart"/>
      <w:r w:rsidRPr="006529A9">
        <w:rPr>
          <w:rFonts w:ascii="Open Sans" w:hAnsi="Open Sans" w:cs="Arial"/>
          <w:sz w:val="20"/>
          <w:szCs w:val="20"/>
        </w:rPr>
        <w:t>etc..</w:t>
      </w:r>
      <w:proofErr w:type="gramEnd"/>
      <w:r w:rsidRPr="006529A9">
        <w:rPr>
          <w:rFonts w:ascii="Open Sans" w:hAnsi="Open Sans" w:cs="Arial"/>
          <w:sz w:val="20"/>
          <w:szCs w:val="20"/>
        </w:rPr>
        <w:t xml:space="preserve">). Sigue echándose de menos la relación de empresas financieras. La única empresa que menciona es ArcelorMittal Finance SCA, porque cotiza en la bolsa de Luxemburgo y debe incluirla legalmente en el Informe Anual que presenta en el país, pero no hay mención de ella en el Formato 20-F. Se desconoce si existen más empresas y su correspondiente ubicación, a parte de la información localizada en Open Corporate. Esta información es especialmente sensible dada la problemática existente en el mundo empresarial de elusión y evasión de impuestos a través de los paraísos y nichos fiscales. También se ha detectado que alguna subsidiaria de las empresas del grupo no ha sido mencionada en las memorias de los últimos años, ni en 2015, como es la acerería ubicada en Maputo (Mozambique). Este hecho genera dudas  sobre la exhaustividad de la información que se suministra a los grupos de interés en los distintos documentos de rendición de cuentas. </w:t>
      </w:r>
    </w:p>
    <w:p w14:paraId="63D98DAC" w14:textId="77777777" w:rsidR="006E3A41" w:rsidRPr="006529A9" w:rsidRDefault="006E3A41" w:rsidP="006E3A41">
      <w:pPr>
        <w:tabs>
          <w:tab w:val="left" w:pos="1440"/>
        </w:tabs>
        <w:jc w:val="both"/>
        <w:rPr>
          <w:rFonts w:ascii="Open Sans" w:hAnsi="Open Sans" w:cs="Arial"/>
          <w:color w:val="4F6228"/>
          <w:sz w:val="20"/>
          <w:szCs w:val="20"/>
        </w:rPr>
      </w:pPr>
    </w:p>
    <w:p w14:paraId="2C1CDBA6"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A pesar de cotizar ArcelorMittal en el IBEX 35, ni los Informes Financieros Anuales ni los Informes sobre Gobierno Corporativo aparecen en la página web de la Comisión Nacional del Mercado de Valores (CNMV). Aunque no se lo exija la CNMV por ser una empresa extranjera, sería de utilidad para los Grupos de Interés españoles que ArcelorMittal publicase el informe de Gobierno Corporativo con el formato aprobado por la CNMV. Esto aportaría información sobre Gobierno Corporativo que no se incluye en los documentos emitidos actualmente por ArcelorMittal.</w:t>
      </w:r>
    </w:p>
    <w:p w14:paraId="6A2332D0" w14:textId="77777777" w:rsidR="006E3A41" w:rsidRPr="006529A9" w:rsidRDefault="006E3A41" w:rsidP="006E3A41">
      <w:pPr>
        <w:jc w:val="both"/>
        <w:rPr>
          <w:rFonts w:ascii="Open Sans" w:hAnsi="Open Sans" w:cs="Arial"/>
          <w:sz w:val="20"/>
          <w:szCs w:val="20"/>
        </w:rPr>
      </w:pPr>
    </w:p>
    <w:p w14:paraId="636148A7" w14:textId="77777777" w:rsidR="006E3A41" w:rsidRPr="006529A9" w:rsidRDefault="006E3A41" w:rsidP="006E3A41">
      <w:pPr>
        <w:jc w:val="both"/>
        <w:rPr>
          <w:rFonts w:ascii="Open Sans" w:hAnsi="Open Sans" w:cs="Arial"/>
          <w:sz w:val="20"/>
          <w:szCs w:val="20"/>
        </w:rPr>
      </w:pPr>
      <w:r w:rsidRPr="006529A9">
        <w:rPr>
          <w:rFonts w:ascii="Open Sans" w:hAnsi="Open Sans" w:cs="Arial"/>
          <w:sz w:val="20"/>
          <w:szCs w:val="20"/>
        </w:rPr>
        <w:t xml:space="preserve">La principal conclusión a la que se llega después de haber analizado la información suministrada por ArcelorMittal es la escasa transparencia que existe respecto al pago de impuestos. Facilitan exclusivamente la información que les solicita Luxemburgo donde tiene ubicada la matriz y  Estados Unidos país en el que cotizan en Bolsa, sin tener en cuenta los requisitos de información de otros países en los que cotiza, en los que puede no estar obligada a informar pero sería deseable como es España. </w:t>
      </w:r>
    </w:p>
    <w:p w14:paraId="262D0882" w14:textId="77777777" w:rsidR="006E3A41" w:rsidRPr="006529A9" w:rsidRDefault="006E3A41" w:rsidP="006E3A41">
      <w:pPr>
        <w:jc w:val="both"/>
        <w:rPr>
          <w:rFonts w:ascii="Open Sans" w:hAnsi="Open Sans" w:cs="Arial"/>
          <w:sz w:val="20"/>
          <w:szCs w:val="20"/>
        </w:rPr>
      </w:pPr>
    </w:p>
    <w:p w14:paraId="0629825D" w14:textId="28AC34E6" w:rsidR="00B60D9F" w:rsidRDefault="006E3A41" w:rsidP="006E3A41">
      <w:pPr>
        <w:jc w:val="both"/>
        <w:rPr>
          <w:rFonts w:ascii="Open Sans" w:hAnsi="Open Sans" w:cs="Arial"/>
          <w:sz w:val="20"/>
          <w:szCs w:val="20"/>
        </w:rPr>
      </w:pPr>
      <w:r w:rsidRPr="006529A9">
        <w:rPr>
          <w:rFonts w:ascii="Open Sans" w:hAnsi="Open Sans" w:cs="Arial"/>
          <w:sz w:val="20"/>
          <w:szCs w:val="20"/>
        </w:rPr>
        <w:t>Aunque facilite para 21 países los impuestos que teóricamente deberían pagar (statutory income tax), al no existir detalle de las deducciones, exenciones, impuestos diferidos y otros conceptos que acaban incidiendo en el pago final, no se conoce la contribución que aporta ArcelorMittal en cada uno de los países en los que opera.  Consideramos que debería incluir además, a todos los países independientemente del negocio que genere en cada uno de ellos,  puesto que dado el tamaño de ArcelorMittal en comparación con PIB el de algunos de ellos, es importante la aportación con la que pueda contribuir al desarrollo de los mismos.</w:t>
      </w:r>
    </w:p>
    <w:p w14:paraId="017AD326" w14:textId="77777777" w:rsidR="00B60D9F" w:rsidRDefault="00B60D9F" w:rsidP="00B60D9F">
      <w:pPr>
        <w:jc w:val="both"/>
        <w:rPr>
          <w:rFonts w:ascii="Open Sans" w:hAnsi="Open Sans" w:cs="Arial"/>
          <w:sz w:val="20"/>
          <w:szCs w:val="20"/>
        </w:rPr>
      </w:pPr>
    </w:p>
    <w:p w14:paraId="60031678" w14:textId="308E183D" w:rsidR="00B60D9F" w:rsidRDefault="00B60D9F">
      <w:pPr>
        <w:rPr>
          <w:rFonts w:ascii="Open Sans" w:hAnsi="Open Sans" w:cs="Arial"/>
          <w:sz w:val="20"/>
          <w:szCs w:val="20"/>
        </w:rPr>
      </w:pPr>
      <w:r>
        <w:rPr>
          <w:rFonts w:ascii="Open Sans" w:hAnsi="Open Sans" w:cs="Arial"/>
          <w:sz w:val="20"/>
          <w:szCs w:val="20"/>
        </w:rPr>
        <w:br w:type="page"/>
      </w:r>
    </w:p>
    <w:p w14:paraId="20A4B031" w14:textId="77777777" w:rsidR="004E35B6" w:rsidRPr="00E35BEC" w:rsidRDefault="004E35B6" w:rsidP="004E35B6">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aps/>
          <w:color w:val="FFFFFF"/>
        </w:rPr>
      </w:pPr>
      <w:bookmarkStart w:id="75" w:name="Ferrovial"/>
      <w:r w:rsidRPr="00E35BEC">
        <w:rPr>
          <w:rFonts w:ascii="Open Sans" w:hAnsi="Open Sans" w:cs="Open Sans"/>
          <w:b/>
          <w:caps/>
          <w:color w:val="FFFFFF"/>
        </w:rPr>
        <w:t xml:space="preserve">Ferrovial S.A. </w:t>
      </w:r>
    </w:p>
    <w:bookmarkEnd w:id="75"/>
    <w:p w14:paraId="690810B4" w14:textId="77777777" w:rsidR="004E35B6" w:rsidRPr="00DC2B68" w:rsidRDefault="004E35B6" w:rsidP="004E35B6">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sidRPr="00E35BEC">
        <w:rPr>
          <w:rFonts w:ascii="Open Sans" w:hAnsi="Open Sans" w:cs="Open Sans"/>
          <w:b/>
          <w:i/>
          <w:color w:val="FFFFFF"/>
        </w:rPr>
        <w:t>(Ferrovial)</w:t>
      </w:r>
    </w:p>
    <w:p w14:paraId="7575BF7A" w14:textId="77777777" w:rsidR="004E35B6" w:rsidRDefault="004E35B6" w:rsidP="004E35B6">
      <w:pPr>
        <w:jc w:val="both"/>
        <w:outlineLvl w:val="5"/>
        <w:rPr>
          <w:rFonts w:ascii="Open Sans" w:hAnsi="Open Sans" w:cs="Arial"/>
          <w:b/>
          <w:sz w:val="22"/>
          <w:szCs w:val="22"/>
          <w:u w:val="single"/>
        </w:rPr>
      </w:pPr>
    </w:p>
    <w:p w14:paraId="73E7FAF9" w14:textId="77777777" w:rsidR="00E32033" w:rsidRPr="00732FD5" w:rsidRDefault="00E32033" w:rsidP="00E32033">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25941579" w14:textId="77777777" w:rsidR="00E32033" w:rsidRPr="00732FD5" w:rsidRDefault="00E32033" w:rsidP="00E32033">
      <w:pPr>
        <w:jc w:val="both"/>
        <w:rPr>
          <w:rFonts w:ascii="Open Sans" w:hAnsi="Open Sans" w:cs="Arial"/>
          <w:sz w:val="22"/>
          <w:szCs w:val="22"/>
          <w:u w:val="single"/>
        </w:rPr>
      </w:pPr>
    </w:p>
    <w:p w14:paraId="3D0895E7" w14:textId="77777777" w:rsidR="00E32033" w:rsidRPr="00EE1EF7" w:rsidRDefault="00E32033" w:rsidP="00E32033">
      <w:pPr>
        <w:jc w:val="both"/>
        <w:rPr>
          <w:rFonts w:ascii="Open Sans" w:hAnsi="Open Sans" w:cs="Arial"/>
          <w:sz w:val="20"/>
          <w:szCs w:val="20"/>
        </w:rPr>
      </w:pPr>
      <w:r w:rsidRPr="00EE1EF7">
        <w:rPr>
          <w:rFonts w:ascii="Open Sans" w:hAnsi="Open Sans" w:cs="Arial"/>
          <w:sz w:val="20"/>
          <w:szCs w:val="20"/>
          <w:u w:val="single"/>
        </w:rPr>
        <w:t>Productos/servicios</w:t>
      </w:r>
    </w:p>
    <w:p w14:paraId="0D6B9BAF" w14:textId="77777777" w:rsidR="00E32033" w:rsidRPr="00EE1EF7" w:rsidRDefault="00E32033" w:rsidP="00E32033">
      <w:pPr>
        <w:jc w:val="both"/>
        <w:rPr>
          <w:rFonts w:ascii="Open Sans" w:hAnsi="Open Sans" w:cs="Arial"/>
          <w:sz w:val="20"/>
          <w:szCs w:val="20"/>
        </w:rPr>
      </w:pPr>
    </w:p>
    <w:p w14:paraId="7440371A" w14:textId="77777777" w:rsidR="00E32033" w:rsidRPr="006C71C2" w:rsidRDefault="00E32033" w:rsidP="00E32033">
      <w:pPr>
        <w:jc w:val="both"/>
        <w:rPr>
          <w:rFonts w:ascii="Open Sans" w:hAnsi="Open Sans" w:cs="Open Sans"/>
          <w:sz w:val="20"/>
          <w:szCs w:val="20"/>
        </w:rPr>
      </w:pPr>
      <w:r w:rsidRPr="006C71C2">
        <w:rPr>
          <w:rFonts w:ascii="Open Sans" w:hAnsi="Open Sans" w:cs="Open Sans"/>
          <w:sz w:val="20"/>
          <w:szCs w:val="20"/>
        </w:rPr>
        <w:t>Ferrovial ofrece a sus clientes los siguientes productos/ servicios:</w:t>
      </w:r>
    </w:p>
    <w:p w14:paraId="5E8ED8EE" w14:textId="77777777" w:rsidR="00E32033" w:rsidRPr="00914337" w:rsidRDefault="00E32033" w:rsidP="00E32033">
      <w:pPr>
        <w:jc w:val="both"/>
        <w:rPr>
          <w:rFonts w:ascii="Open Sans" w:hAnsi="Open Sans" w:cs="Arial"/>
          <w:sz w:val="20"/>
          <w:szCs w:val="20"/>
        </w:rPr>
      </w:pPr>
    </w:p>
    <w:p w14:paraId="2924FF4C" w14:textId="77777777" w:rsidR="00E32033" w:rsidRPr="00D047A1" w:rsidRDefault="00E32033" w:rsidP="000B70C9">
      <w:pPr>
        <w:numPr>
          <w:ilvl w:val="0"/>
          <w:numId w:val="30"/>
        </w:numPr>
        <w:ind w:left="714" w:hanging="357"/>
        <w:jc w:val="both"/>
        <w:rPr>
          <w:rFonts w:ascii="Open Sans" w:hAnsi="Open Sans" w:cs="Arial"/>
          <w:sz w:val="20"/>
          <w:szCs w:val="20"/>
        </w:rPr>
      </w:pPr>
      <w:r w:rsidRPr="00D047A1">
        <w:rPr>
          <w:rFonts w:ascii="Open Sans" w:hAnsi="Open Sans" w:cs="Arial"/>
          <w:sz w:val="20"/>
          <w:szCs w:val="20"/>
        </w:rPr>
        <w:t>Servicios: engloba la operación, mantenimiento y gestión de instalaciones e infraestructuras públicas y privadas. Lleva a cabo todas las actividades de la cadena de valor, desde consultoría, diseño y operación, hasta la gestión del ciclo de vida de los activos</w:t>
      </w:r>
      <w:r>
        <w:rPr>
          <w:rFonts w:ascii="Open Sans" w:hAnsi="Open Sans" w:cs="Arial"/>
          <w:sz w:val="20"/>
          <w:szCs w:val="20"/>
        </w:rPr>
        <w:t>.</w:t>
      </w:r>
    </w:p>
    <w:p w14:paraId="0B62E27A" w14:textId="77777777" w:rsidR="00E32033" w:rsidRDefault="00E32033" w:rsidP="000B70C9">
      <w:pPr>
        <w:numPr>
          <w:ilvl w:val="0"/>
          <w:numId w:val="30"/>
        </w:numPr>
        <w:ind w:left="714" w:hanging="357"/>
        <w:jc w:val="both"/>
        <w:rPr>
          <w:rFonts w:ascii="Open Sans" w:hAnsi="Open Sans" w:cs="Arial"/>
          <w:sz w:val="20"/>
          <w:szCs w:val="20"/>
        </w:rPr>
      </w:pPr>
      <w:r w:rsidRPr="00A8699C">
        <w:rPr>
          <w:rFonts w:ascii="Open Sans" w:hAnsi="Open Sans" w:cs="Arial"/>
          <w:sz w:val="20"/>
          <w:szCs w:val="20"/>
        </w:rPr>
        <w:t>Autopistas: promoción, inversión y operación de autopistas y otras infraestructuras.</w:t>
      </w:r>
    </w:p>
    <w:p w14:paraId="6B9709F4" w14:textId="77777777" w:rsidR="00E32033" w:rsidRPr="00DB7A87" w:rsidRDefault="00E32033" w:rsidP="000B70C9">
      <w:pPr>
        <w:numPr>
          <w:ilvl w:val="0"/>
          <w:numId w:val="30"/>
        </w:numPr>
        <w:ind w:left="714" w:hanging="357"/>
        <w:jc w:val="both"/>
        <w:rPr>
          <w:rFonts w:ascii="Open Sans" w:hAnsi="Open Sans" w:cs="Arial"/>
          <w:sz w:val="20"/>
          <w:szCs w:val="20"/>
        </w:rPr>
      </w:pPr>
      <w:r w:rsidRPr="00DB7A87">
        <w:rPr>
          <w:rFonts w:ascii="Open Sans" w:hAnsi="Open Sans" w:cs="Arial"/>
          <w:sz w:val="20"/>
          <w:szCs w:val="20"/>
        </w:rPr>
        <w:t>Construcción: es la división de Ferrovial que desarrolla las actividades de construcción de obra civil, edificación, agua y obra industrial.</w:t>
      </w:r>
    </w:p>
    <w:p w14:paraId="1C65D938" w14:textId="77777777" w:rsidR="00E32033" w:rsidRPr="00A8699C" w:rsidRDefault="00E32033" w:rsidP="000B70C9">
      <w:pPr>
        <w:numPr>
          <w:ilvl w:val="0"/>
          <w:numId w:val="30"/>
        </w:numPr>
        <w:ind w:left="714" w:hanging="357"/>
        <w:jc w:val="both"/>
        <w:rPr>
          <w:rFonts w:ascii="Open Sans" w:hAnsi="Open Sans" w:cs="Arial"/>
          <w:sz w:val="20"/>
          <w:szCs w:val="20"/>
        </w:rPr>
      </w:pPr>
      <w:r w:rsidRPr="00DB7A87">
        <w:rPr>
          <w:rFonts w:ascii="Open Sans" w:hAnsi="Open Sans" w:cs="Arial"/>
          <w:sz w:val="20"/>
          <w:szCs w:val="20"/>
        </w:rPr>
        <w:t>Aeropuertos: inversión y operación de aeropuertos.</w:t>
      </w:r>
    </w:p>
    <w:p w14:paraId="0A4AEB53" w14:textId="77777777" w:rsidR="00E32033" w:rsidRPr="00EE1EF7" w:rsidRDefault="00E32033" w:rsidP="00E32033">
      <w:pPr>
        <w:jc w:val="both"/>
        <w:rPr>
          <w:rFonts w:ascii="Open Sans" w:hAnsi="Open Sans" w:cs="Arial"/>
          <w:sz w:val="20"/>
          <w:szCs w:val="20"/>
        </w:rPr>
      </w:pPr>
    </w:p>
    <w:p w14:paraId="7732888B" w14:textId="77777777" w:rsidR="00E32033" w:rsidRPr="00EE1EF7" w:rsidRDefault="00E32033" w:rsidP="00E32033">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68AD41F1" w14:textId="77777777" w:rsidR="00E32033" w:rsidRPr="00EE1EF7" w:rsidRDefault="00E32033" w:rsidP="00E32033">
      <w:pPr>
        <w:jc w:val="both"/>
        <w:rPr>
          <w:rFonts w:ascii="Open Sans" w:hAnsi="Open Sans" w:cs="Arial"/>
          <w:sz w:val="20"/>
          <w:szCs w:val="20"/>
        </w:rPr>
      </w:pPr>
    </w:p>
    <w:p w14:paraId="59C7A7B8" w14:textId="77777777" w:rsidR="00E32033" w:rsidRDefault="00E32033" w:rsidP="00E32033">
      <w:pPr>
        <w:jc w:val="both"/>
        <w:rPr>
          <w:rFonts w:ascii="Open Sans" w:hAnsi="Open Sans" w:cs="Arial"/>
          <w:sz w:val="20"/>
          <w:szCs w:val="20"/>
        </w:rPr>
      </w:pPr>
      <w:r>
        <w:rPr>
          <w:rFonts w:ascii="Open Sans" w:hAnsi="Open Sans" w:cs="Open Sans"/>
          <w:sz w:val="20"/>
          <w:szCs w:val="20"/>
        </w:rPr>
        <w:t xml:space="preserve">A través de la información </w:t>
      </w:r>
      <w:r w:rsidRPr="00A65D8E">
        <w:rPr>
          <w:rFonts w:ascii="Open Sans" w:hAnsi="Open Sans" w:cs="Open Sans"/>
          <w:sz w:val="20"/>
          <w:szCs w:val="20"/>
        </w:rPr>
        <w:t>reflejada en el Informe Integrado se ha identificado que Ferrovial opera o tiene presencia en los siguientes 25 países:</w:t>
      </w:r>
      <w:r w:rsidRPr="006C71C2">
        <w:rPr>
          <w:rFonts w:ascii="Open Sans" w:hAnsi="Open Sans" w:cs="Open Sans"/>
          <w:sz w:val="20"/>
          <w:szCs w:val="20"/>
        </w:rPr>
        <w:t xml:space="preserve"> </w:t>
      </w:r>
    </w:p>
    <w:p w14:paraId="5B7A30A2" w14:textId="77777777" w:rsidR="00E32033" w:rsidRPr="00914337" w:rsidRDefault="00E32033" w:rsidP="00E32033">
      <w:pPr>
        <w:jc w:val="both"/>
        <w:rPr>
          <w:rFonts w:ascii="Open Sans" w:hAnsi="Open Sans" w:cs="Arial"/>
          <w:sz w:val="20"/>
          <w:szCs w:val="20"/>
        </w:rPr>
      </w:pPr>
    </w:p>
    <w:p w14:paraId="79A89B2D" w14:textId="77777777" w:rsidR="00E32033" w:rsidRDefault="00E32033" w:rsidP="00E32033">
      <w:pPr>
        <w:numPr>
          <w:ilvl w:val="0"/>
          <w:numId w:val="12"/>
        </w:numPr>
        <w:jc w:val="both"/>
        <w:rPr>
          <w:rFonts w:ascii="Open Sans" w:hAnsi="Open Sans" w:cs="Arial"/>
          <w:sz w:val="20"/>
          <w:szCs w:val="20"/>
        </w:rPr>
      </w:pPr>
      <w:r>
        <w:rPr>
          <w:rFonts w:ascii="Open Sans" w:hAnsi="Open Sans" w:cs="Arial"/>
          <w:sz w:val="20"/>
          <w:szCs w:val="20"/>
        </w:rPr>
        <w:t xml:space="preserve">Asia: Arabia Saudí, </w:t>
      </w:r>
      <w:r w:rsidRPr="00024FA4">
        <w:rPr>
          <w:rFonts w:ascii="Open Sans" w:hAnsi="Open Sans" w:cs="Arial"/>
          <w:sz w:val="20"/>
          <w:szCs w:val="20"/>
        </w:rPr>
        <w:t>India,</w:t>
      </w:r>
      <w:r>
        <w:rPr>
          <w:rFonts w:ascii="Open Sans" w:hAnsi="Open Sans" w:cs="Arial"/>
          <w:sz w:val="20"/>
          <w:szCs w:val="20"/>
        </w:rPr>
        <w:t xml:space="preserve"> Omán y Qatar.</w:t>
      </w:r>
    </w:p>
    <w:p w14:paraId="545615DE" w14:textId="77777777" w:rsidR="00E32033" w:rsidRPr="00695800" w:rsidRDefault="00E32033" w:rsidP="00E32033">
      <w:pPr>
        <w:numPr>
          <w:ilvl w:val="0"/>
          <w:numId w:val="12"/>
        </w:numPr>
        <w:jc w:val="both"/>
        <w:rPr>
          <w:rFonts w:ascii="Open Sans" w:hAnsi="Open Sans" w:cs="Arial"/>
          <w:strike/>
          <w:sz w:val="20"/>
          <w:szCs w:val="20"/>
        </w:rPr>
      </w:pPr>
      <w:r w:rsidRPr="00024FA4">
        <w:rPr>
          <w:rFonts w:ascii="Open Sans" w:hAnsi="Open Sans" w:cs="Arial"/>
          <w:sz w:val="20"/>
          <w:szCs w:val="20"/>
        </w:rPr>
        <w:t>África: Marruecos</w:t>
      </w:r>
      <w:r>
        <w:rPr>
          <w:rFonts w:ascii="Open Sans" w:hAnsi="Open Sans" w:cs="Arial"/>
          <w:sz w:val="20"/>
          <w:szCs w:val="20"/>
        </w:rPr>
        <w:t>.</w:t>
      </w:r>
    </w:p>
    <w:p w14:paraId="0591BDB1" w14:textId="77777777" w:rsidR="00E32033" w:rsidRPr="00695800" w:rsidRDefault="00E32033" w:rsidP="00E32033">
      <w:pPr>
        <w:numPr>
          <w:ilvl w:val="0"/>
          <w:numId w:val="12"/>
        </w:numPr>
        <w:jc w:val="both"/>
        <w:rPr>
          <w:rFonts w:ascii="Open Sans" w:hAnsi="Open Sans" w:cs="Arial"/>
          <w:strike/>
          <w:sz w:val="20"/>
          <w:szCs w:val="20"/>
        </w:rPr>
      </w:pPr>
      <w:r>
        <w:rPr>
          <w:rFonts w:ascii="Open Sans" w:hAnsi="Open Sans" w:cs="Arial"/>
          <w:sz w:val="20"/>
          <w:szCs w:val="20"/>
        </w:rPr>
        <w:t xml:space="preserve">América: Brasil, Canadá, Chile, Colombia, EEUU, México, Perú y </w:t>
      </w:r>
      <w:r w:rsidRPr="00024FA4">
        <w:rPr>
          <w:rFonts w:ascii="Open Sans" w:hAnsi="Open Sans" w:cs="Arial"/>
          <w:sz w:val="20"/>
          <w:szCs w:val="20"/>
        </w:rPr>
        <w:t xml:space="preserve">Puerto </w:t>
      </w:r>
      <w:r>
        <w:rPr>
          <w:rFonts w:ascii="Open Sans" w:hAnsi="Open Sans" w:cs="Arial"/>
          <w:sz w:val="20"/>
          <w:szCs w:val="20"/>
        </w:rPr>
        <w:t>Rico.</w:t>
      </w:r>
    </w:p>
    <w:p w14:paraId="4326F330" w14:textId="77777777" w:rsidR="00E32033" w:rsidRDefault="00E32033" w:rsidP="00E32033">
      <w:pPr>
        <w:numPr>
          <w:ilvl w:val="0"/>
          <w:numId w:val="12"/>
        </w:numPr>
        <w:jc w:val="both"/>
        <w:rPr>
          <w:rFonts w:ascii="Open Sans" w:hAnsi="Open Sans" w:cs="Arial"/>
          <w:sz w:val="20"/>
          <w:szCs w:val="20"/>
        </w:rPr>
      </w:pPr>
      <w:r>
        <w:rPr>
          <w:rFonts w:ascii="Open Sans" w:hAnsi="Open Sans" w:cs="Arial"/>
          <w:sz w:val="20"/>
          <w:szCs w:val="20"/>
        </w:rPr>
        <w:t>Europa</w:t>
      </w:r>
      <w:r w:rsidRPr="00024FA4">
        <w:rPr>
          <w:rFonts w:ascii="Open Sans" w:hAnsi="Open Sans" w:cs="Arial"/>
          <w:sz w:val="20"/>
          <w:szCs w:val="20"/>
        </w:rPr>
        <w:t>: Alemania, España</w:t>
      </w:r>
      <w:r>
        <w:rPr>
          <w:rFonts w:ascii="Open Sans" w:hAnsi="Open Sans" w:cs="Arial"/>
          <w:sz w:val="20"/>
          <w:szCs w:val="20"/>
        </w:rPr>
        <w:t xml:space="preserve">, Francia, Grecia, </w:t>
      </w:r>
      <w:r w:rsidRPr="00024FA4">
        <w:rPr>
          <w:rFonts w:ascii="Open Sans" w:hAnsi="Open Sans" w:cs="Arial"/>
          <w:sz w:val="20"/>
          <w:szCs w:val="20"/>
        </w:rPr>
        <w:t>Holanda, Irland</w:t>
      </w:r>
      <w:r>
        <w:rPr>
          <w:rFonts w:ascii="Open Sans" w:hAnsi="Open Sans" w:cs="Arial"/>
          <w:sz w:val="20"/>
          <w:szCs w:val="20"/>
        </w:rPr>
        <w:t>a,</w:t>
      </w:r>
      <w:r w:rsidRPr="00024FA4">
        <w:rPr>
          <w:rFonts w:ascii="Open Sans" w:hAnsi="Open Sans" w:cs="Arial"/>
          <w:sz w:val="20"/>
          <w:szCs w:val="20"/>
        </w:rPr>
        <w:t xml:space="preserve"> Irlanda del Nort</w:t>
      </w:r>
      <w:r>
        <w:rPr>
          <w:rFonts w:ascii="Open Sans" w:hAnsi="Open Sans" w:cs="Arial"/>
          <w:sz w:val="20"/>
          <w:szCs w:val="20"/>
        </w:rPr>
        <w:t xml:space="preserve">e, </w:t>
      </w:r>
      <w:r w:rsidRPr="00024FA4">
        <w:rPr>
          <w:rFonts w:ascii="Open Sans" w:hAnsi="Open Sans" w:cs="Arial"/>
          <w:sz w:val="20"/>
          <w:szCs w:val="20"/>
        </w:rPr>
        <w:t>L</w:t>
      </w:r>
      <w:r>
        <w:rPr>
          <w:rFonts w:ascii="Open Sans" w:hAnsi="Open Sans" w:cs="Arial"/>
          <w:sz w:val="20"/>
          <w:szCs w:val="20"/>
        </w:rPr>
        <w:t xml:space="preserve">uxemburgo, </w:t>
      </w:r>
      <w:r w:rsidRPr="00024FA4">
        <w:rPr>
          <w:rFonts w:ascii="Open Sans" w:hAnsi="Open Sans" w:cs="Arial"/>
          <w:sz w:val="20"/>
          <w:szCs w:val="20"/>
        </w:rPr>
        <w:t>Polonia, Portugal</w:t>
      </w:r>
      <w:r>
        <w:rPr>
          <w:rFonts w:ascii="Open Sans" w:hAnsi="Open Sans" w:cs="Arial"/>
          <w:sz w:val="20"/>
          <w:szCs w:val="20"/>
        </w:rPr>
        <w:t xml:space="preserve"> y Reino Unido.</w:t>
      </w:r>
    </w:p>
    <w:p w14:paraId="484C41A4" w14:textId="77777777" w:rsidR="00E32033" w:rsidRDefault="00E32033" w:rsidP="00E32033">
      <w:pPr>
        <w:numPr>
          <w:ilvl w:val="0"/>
          <w:numId w:val="12"/>
        </w:numPr>
        <w:jc w:val="both"/>
        <w:rPr>
          <w:rFonts w:ascii="Open Sans" w:hAnsi="Open Sans" w:cs="Arial"/>
          <w:sz w:val="20"/>
          <w:szCs w:val="20"/>
        </w:rPr>
      </w:pPr>
      <w:r>
        <w:rPr>
          <w:rFonts w:ascii="Open Sans" w:hAnsi="Open Sans" w:cs="Arial"/>
          <w:sz w:val="20"/>
          <w:szCs w:val="20"/>
        </w:rPr>
        <w:t>Oceanía: Australia.</w:t>
      </w:r>
    </w:p>
    <w:p w14:paraId="307F1C2D" w14:textId="77777777" w:rsidR="00E32033" w:rsidRPr="00EE1EF7" w:rsidRDefault="00E32033" w:rsidP="00E32033">
      <w:pPr>
        <w:tabs>
          <w:tab w:val="left" w:pos="6920"/>
        </w:tabs>
        <w:jc w:val="both"/>
        <w:rPr>
          <w:rFonts w:ascii="Open Sans" w:hAnsi="Open Sans" w:cs="Arial"/>
          <w:sz w:val="20"/>
          <w:szCs w:val="20"/>
        </w:rPr>
      </w:pPr>
      <w:r>
        <w:rPr>
          <w:rFonts w:ascii="Open Sans" w:hAnsi="Open Sans" w:cs="Arial"/>
          <w:sz w:val="20"/>
          <w:szCs w:val="20"/>
        </w:rPr>
        <w:tab/>
      </w:r>
    </w:p>
    <w:p w14:paraId="1768BDE5" w14:textId="77777777" w:rsidR="00E32033" w:rsidRDefault="00E32033" w:rsidP="00E32033">
      <w:pPr>
        <w:jc w:val="both"/>
        <w:rPr>
          <w:rFonts w:ascii="Open Sans" w:hAnsi="Open Sans" w:cs="Arial"/>
          <w:sz w:val="20"/>
          <w:szCs w:val="20"/>
          <w:u w:val="single"/>
        </w:rPr>
      </w:pPr>
      <w:r>
        <w:rPr>
          <w:rFonts w:ascii="Open Sans" w:hAnsi="Open Sans" w:cs="Arial"/>
          <w:sz w:val="20"/>
          <w:szCs w:val="20"/>
          <w:u w:val="single"/>
        </w:rPr>
        <w:t>Cifras relevantes de la empresa:</w:t>
      </w:r>
    </w:p>
    <w:p w14:paraId="2849C1F9" w14:textId="77777777" w:rsidR="00E32033" w:rsidRDefault="00E32033" w:rsidP="00E32033">
      <w:pPr>
        <w:jc w:val="both"/>
        <w:rPr>
          <w:rFonts w:ascii="Open Sans" w:hAnsi="Open Sans" w:cs="Arial"/>
          <w:sz w:val="20"/>
          <w:szCs w:val="20"/>
          <w:u w:val="single"/>
        </w:rPr>
      </w:pPr>
    </w:p>
    <w:p w14:paraId="30A347BF" w14:textId="77777777" w:rsidR="00E32033" w:rsidRDefault="00E32033" w:rsidP="00E32033">
      <w:pPr>
        <w:jc w:val="both"/>
        <w:rPr>
          <w:rFonts w:ascii="Open Sans" w:hAnsi="Open Sans" w:cs="Arial"/>
          <w:sz w:val="20"/>
          <w:szCs w:val="20"/>
        </w:rPr>
      </w:pPr>
      <w:r>
        <w:rPr>
          <w:rFonts w:ascii="Open Sans" w:hAnsi="Open Sans" w:cs="Arial"/>
          <w:sz w:val="20"/>
          <w:szCs w:val="20"/>
        </w:rPr>
        <w:t>El grupo Ferrovial</w:t>
      </w:r>
      <w:r w:rsidRPr="00B80586">
        <w:rPr>
          <w:rFonts w:ascii="Open Sans" w:hAnsi="Open Sans" w:cs="Arial"/>
          <w:sz w:val="20"/>
          <w:szCs w:val="20"/>
        </w:rPr>
        <w:t xml:space="preserve"> ha obtenido una facturación en 2015 de </w:t>
      </w:r>
      <w:r w:rsidRPr="00367ABA">
        <w:rPr>
          <w:rFonts w:ascii="Open Sans" w:hAnsi="Open Sans" w:cs="Arial"/>
          <w:color w:val="000000"/>
          <w:sz w:val="20"/>
          <w:szCs w:val="20"/>
        </w:rPr>
        <w:t>9.701 millones de €</w:t>
      </w:r>
      <w:r>
        <w:rPr>
          <w:rFonts w:ascii="Open Sans" w:hAnsi="Open Sans" w:cs="Arial"/>
          <w:sz w:val="20"/>
          <w:szCs w:val="20"/>
        </w:rPr>
        <w:t xml:space="preserve">. El resultado consolidado antes de impuestos fue de 577 millones de euros. El impuesto de sociedades le ha sido favorable con un ingreso de 55 millones, obteniendo un beneficio el grupo de 720 millones de €. </w:t>
      </w:r>
    </w:p>
    <w:p w14:paraId="03043F82" w14:textId="77777777" w:rsidR="00E32033" w:rsidRDefault="00E32033" w:rsidP="00E32033">
      <w:pPr>
        <w:jc w:val="both"/>
        <w:rPr>
          <w:rFonts w:ascii="Open Sans" w:hAnsi="Open Sans" w:cs="Arial"/>
          <w:sz w:val="20"/>
          <w:szCs w:val="20"/>
        </w:rPr>
      </w:pPr>
    </w:p>
    <w:p w14:paraId="55051EE4" w14:textId="77777777" w:rsidR="00E32033" w:rsidRPr="009E6F04" w:rsidRDefault="00E32033" w:rsidP="00E32033">
      <w:pPr>
        <w:jc w:val="both"/>
        <w:rPr>
          <w:rFonts w:ascii="Open Sans" w:hAnsi="Open Sans" w:cs="Arial"/>
          <w:sz w:val="20"/>
          <w:szCs w:val="20"/>
        </w:rPr>
      </w:pPr>
      <w:r>
        <w:rPr>
          <w:rFonts w:ascii="Open Sans" w:hAnsi="Open Sans" w:cs="Arial"/>
          <w:sz w:val="20"/>
          <w:szCs w:val="20"/>
        </w:rPr>
        <w:t xml:space="preserve">Durante el ejercicio 2015 ha contado con una plantilla de </w:t>
      </w:r>
      <w:r w:rsidRPr="00367ABA">
        <w:rPr>
          <w:rFonts w:ascii="Open Sans" w:hAnsi="Open Sans" w:cs="Arial"/>
          <w:color w:val="000000"/>
          <w:sz w:val="20"/>
          <w:szCs w:val="20"/>
        </w:rPr>
        <w:t>74.032</w:t>
      </w:r>
      <w:r>
        <w:rPr>
          <w:rFonts w:ascii="Open Sans" w:hAnsi="Open Sans" w:cs="Arial"/>
          <w:sz w:val="20"/>
          <w:szCs w:val="20"/>
        </w:rPr>
        <w:t xml:space="preserve"> </w:t>
      </w:r>
      <w:r w:rsidRPr="00B80586">
        <w:rPr>
          <w:rFonts w:ascii="Open Sans" w:hAnsi="Open Sans" w:cs="Arial"/>
          <w:sz w:val="20"/>
          <w:szCs w:val="20"/>
        </w:rPr>
        <w:t>empleados.</w:t>
      </w:r>
      <w:r>
        <w:rPr>
          <w:rFonts w:ascii="Open Sans" w:hAnsi="Open Sans" w:cs="Arial"/>
          <w:sz w:val="20"/>
          <w:szCs w:val="20"/>
        </w:rPr>
        <w:t xml:space="preserve"> </w:t>
      </w:r>
    </w:p>
    <w:p w14:paraId="407EE14E" w14:textId="77777777" w:rsidR="00E32033" w:rsidRDefault="00E32033" w:rsidP="00E32033">
      <w:pPr>
        <w:jc w:val="both"/>
        <w:rPr>
          <w:rFonts w:ascii="Open Sans" w:hAnsi="Open Sans" w:cs="Arial"/>
          <w:sz w:val="20"/>
          <w:szCs w:val="20"/>
          <w:u w:val="single"/>
        </w:rPr>
      </w:pPr>
    </w:p>
    <w:p w14:paraId="5E963AF6" w14:textId="77777777" w:rsidR="00E32033" w:rsidRDefault="00E32033" w:rsidP="00E32033">
      <w:pPr>
        <w:jc w:val="both"/>
        <w:rPr>
          <w:rFonts w:ascii="Open Sans" w:hAnsi="Open Sans" w:cs="Arial"/>
          <w:sz w:val="20"/>
          <w:szCs w:val="20"/>
          <w:u w:val="single"/>
        </w:rPr>
      </w:pPr>
    </w:p>
    <w:p w14:paraId="4460D01A" w14:textId="77777777" w:rsidR="00E32033" w:rsidRPr="00EE1EF7" w:rsidRDefault="00E32033" w:rsidP="00E32033">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511C3C07" w14:textId="77777777" w:rsidR="00E32033" w:rsidRPr="00EE1EF7" w:rsidRDefault="00E32033" w:rsidP="00E32033">
      <w:pPr>
        <w:jc w:val="both"/>
        <w:rPr>
          <w:rFonts w:ascii="Open Sans" w:hAnsi="Open Sans" w:cs="Arial"/>
          <w:sz w:val="20"/>
          <w:szCs w:val="20"/>
          <w:u w:val="single"/>
        </w:rPr>
      </w:pPr>
    </w:p>
    <w:p w14:paraId="4337B66E" w14:textId="77777777" w:rsidR="00E32033" w:rsidRPr="00EE1EF7" w:rsidRDefault="00E32033" w:rsidP="00E32033">
      <w:pPr>
        <w:jc w:val="both"/>
        <w:rPr>
          <w:rFonts w:ascii="Open Sans" w:hAnsi="Open Sans" w:cs="Arial"/>
          <w:sz w:val="20"/>
          <w:szCs w:val="20"/>
        </w:rPr>
      </w:pPr>
      <w:r>
        <w:rPr>
          <w:rFonts w:ascii="Open Sans" w:hAnsi="Open Sans" w:cs="Arial"/>
          <w:sz w:val="20"/>
          <w:szCs w:val="20"/>
        </w:rPr>
        <w:t xml:space="preserve">Ferrovial </w:t>
      </w:r>
      <w:r w:rsidRPr="00EE1EF7">
        <w:rPr>
          <w:rFonts w:ascii="Open Sans" w:hAnsi="Open Sans" w:cs="Arial"/>
          <w:sz w:val="20"/>
          <w:szCs w:val="20"/>
        </w:rPr>
        <w:t xml:space="preserve">informa que se ha adherido voluntariamente a los siguientes estándares relacionados con contenidos y sistemas de gestión de </w:t>
      </w:r>
      <w:r>
        <w:rPr>
          <w:rFonts w:ascii="Open Sans" w:hAnsi="Open Sans" w:cs="Arial"/>
          <w:sz w:val="20"/>
          <w:szCs w:val="20"/>
        </w:rPr>
        <w:t>fiscalidad responsable</w:t>
      </w:r>
      <w:r w:rsidRPr="00EE1EF7">
        <w:rPr>
          <w:rFonts w:ascii="Open Sans" w:hAnsi="Open Sans" w:cs="Arial"/>
          <w:sz w:val="20"/>
          <w:szCs w:val="20"/>
        </w:rPr>
        <w:t>:</w:t>
      </w:r>
    </w:p>
    <w:p w14:paraId="4B5E644A" w14:textId="77777777" w:rsidR="00E32033" w:rsidRPr="00EE1EF7" w:rsidRDefault="00E32033" w:rsidP="00E32033">
      <w:pPr>
        <w:jc w:val="both"/>
        <w:rPr>
          <w:rFonts w:ascii="Open Sans" w:hAnsi="Open Sans" w:cs="Arial"/>
          <w:sz w:val="20"/>
          <w:szCs w:val="20"/>
        </w:rPr>
      </w:pPr>
    </w:p>
    <w:p w14:paraId="7F3A4BE9" w14:textId="77777777" w:rsidR="00E32033" w:rsidRPr="00A932DB" w:rsidRDefault="00E32033" w:rsidP="00E32033">
      <w:pPr>
        <w:numPr>
          <w:ilvl w:val="0"/>
          <w:numId w:val="12"/>
        </w:numPr>
        <w:jc w:val="both"/>
        <w:rPr>
          <w:rFonts w:ascii="Open Sans" w:hAnsi="Open Sans" w:cs="Arial"/>
          <w:sz w:val="20"/>
          <w:szCs w:val="20"/>
        </w:rPr>
      </w:pPr>
      <w:r w:rsidRPr="00A932DB">
        <w:rPr>
          <w:rFonts w:ascii="Open Sans" w:hAnsi="Open Sans" w:cs="Arial"/>
          <w:sz w:val="20"/>
          <w:szCs w:val="20"/>
        </w:rPr>
        <w:t>Código de Buenas Prácticas Tributarias impulsado por la Agencia Tribu</w:t>
      </w:r>
      <w:r>
        <w:rPr>
          <w:rFonts w:ascii="Open Sans" w:hAnsi="Open Sans" w:cs="Arial"/>
          <w:sz w:val="20"/>
          <w:szCs w:val="20"/>
        </w:rPr>
        <w:t>taria española (desde noviembre 2010).</w:t>
      </w:r>
    </w:p>
    <w:p w14:paraId="7A7F3276" w14:textId="77777777" w:rsidR="00E32033" w:rsidRDefault="00E32033" w:rsidP="00E32033">
      <w:pPr>
        <w:jc w:val="both"/>
        <w:rPr>
          <w:rFonts w:ascii="Open Sans" w:hAnsi="Open Sans" w:cs="Arial"/>
          <w:sz w:val="20"/>
          <w:szCs w:val="20"/>
          <w:u w:val="single"/>
        </w:rPr>
      </w:pPr>
    </w:p>
    <w:p w14:paraId="7CBFCCC7" w14:textId="77777777" w:rsidR="00E32033" w:rsidRPr="00EE1EF7" w:rsidRDefault="00E32033" w:rsidP="00E32033">
      <w:pPr>
        <w:jc w:val="both"/>
        <w:rPr>
          <w:rFonts w:ascii="Open Sans" w:hAnsi="Open Sans" w:cs="Arial"/>
          <w:sz w:val="20"/>
          <w:szCs w:val="20"/>
          <w:u w:val="single"/>
        </w:rPr>
      </w:pPr>
    </w:p>
    <w:p w14:paraId="651FEE7E" w14:textId="77777777" w:rsidR="00E32033" w:rsidRPr="00EE1EF7" w:rsidRDefault="00E32033" w:rsidP="00E32033">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150D4FE3" w14:textId="77777777" w:rsidR="00E32033" w:rsidRPr="00EE1EF7" w:rsidRDefault="00E32033" w:rsidP="00E32033">
      <w:pPr>
        <w:ind w:firstLine="709"/>
        <w:jc w:val="both"/>
        <w:rPr>
          <w:rFonts w:ascii="Open Sans" w:hAnsi="Open Sans" w:cs="Arial"/>
          <w:sz w:val="20"/>
          <w:szCs w:val="20"/>
        </w:rPr>
      </w:pPr>
    </w:p>
    <w:p w14:paraId="3ABE7176" w14:textId="77777777" w:rsidR="00E32033" w:rsidRPr="00EE1EF7" w:rsidRDefault="00E32033" w:rsidP="00E32033">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371385F9" w14:textId="77777777" w:rsidR="00E32033" w:rsidRPr="00732FD5" w:rsidRDefault="00E32033" w:rsidP="00E32033">
      <w:pPr>
        <w:ind w:firstLine="709"/>
        <w:jc w:val="both"/>
        <w:rPr>
          <w:rFonts w:ascii="Open Sans" w:hAnsi="Open Sans" w:cs="Arial"/>
          <w:sz w:val="22"/>
          <w:szCs w:val="22"/>
        </w:rPr>
      </w:pPr>
    </w:p>
    <w:tbl>
      <w:tblPr>
        <w:tblW w:w="8660" w:type="dxa"/>
        <w:tblLayout w:type="fixed"/>
        <w:tblCellMar>
          <w:left w:w="0" w:type="dxa"/>
          <w:right w:w="0" w:type="dxa"/>
        </w:tblCellMar>
        <w:tblLook w:val="0000" w:firstRow="0" w:lastRow="0" w:firstColumn="0" w:lastColumn="0" w:noHBand="0" w:noVBand="0"/>
      </w:tblPr>
      <w:tblGrid>
        <w:gridCol w:w="4360"/>
        <w:gridCol w:w="4300"/>
      </w:tblGrid>
      <w:tr w:rsidR="00E32033" w:rsidRPr="007F4014" w14:paraId="6219C58E" w14:textId="77777777" w:rsidTr="00D639E4">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03076D97" w14:textId="77777777" w:rsidR="00E32033" w:rsidRPr="007F4014" w:rsidRDefault="00E32033" w:rsidP="00D639E4">
            <w:pPr>
              <w:jc w:val="center"/>
              <w:rPr>
                <w:rFonts w:ascii="Open Sans" w:hAnsi="Open Sans" w:cs="Arial"/>
                <w:b/>
                <w:sz w:val="20"/>
                <w:szCs w:val="20"/>
              </w:rPr>
            </w:pPr>
            <w:r w:rsidRPr="007F4014">
              <w:rPr>
                <w:rFonts w:ascii="Open Sans" w:hAnsi="Open Sans" w:cs="Arial"/>
                <w:b/>
                <w:sz w:val="20"/>
                <w:szCs w:val="20"/>
              </w:rPr>
              <w:t>DOCUMENTACIÓN</w:t>
            </w:r>
          </w:p>
        </w:tc>
        <w:tc>
          <w:tcPr>
            <w:tcW w:w="4300"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F03DBF2" w14:textId="77777777" w:rsidR="00E32033" w:rsidRPr="007F4014" w:rsidRDefault="00E32033" w:rsidP="00D639E4">
            <w:pPr>
              <w:jc w:val="center"/>
              <w:rPr>
                <w:rFonts w:ascii="Open Sans" w:hAnsi="Open Sans" w:cs="Arial"/>
                <w:b/>
                <w:sz w:val="20"/>
                <w:szCs w:val="20"/>
              </w:rPr>
            </w:pPr>
            <w:r w:rsidRPr="007F4014">
              <w:rPr>
                <w:rFonts w:ascii="Open Sans" w:hAnsi="Open Sans" w:cs="Arial"/>
                <w:b/>
                <w:sz w:val="20"/>
                <w:szCs w:val="20"/>
              </w:rPr>
              <w:t>OBSERVACIONES</w:t>
            </w:r>
          </w:p>
        </w:tc>
      </w:tr>
      <w:tr w:rsidR="00E32033" w:rsidRPr="007F4014" w14:paraId="40D412EB"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11BCC5FC"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Informe de Gestión y cuentas anuales consolidadas. INFORME ANUAL INTEGRADO</w:t>
            </w:r>
          </w:p>
        </w:tc>
        <w:tc>
          <w:tcPr>
            <w:tcW w:w="4300" w:type="dxa"/>
            <w:vMerge w:val="restart"/>
            <w:tcBorders>
              <w:top w:val="single" w:sz="4" w:space="0" w:color="auto"/>
              <w:left w:val="single" w:sz="4" w:space="0" w:color="auto"/>
              <w:right w:val="single" w:sz="4" w:space="0" w:color="auto"/>
            </w:tcBorders>
            <w:shd w:val="clear" w:color="auto" w:fill="auto"/>
            <w:tcMar>
              <w:top w:w="13" w:type="dxa"/>
              <w:left w:w="13" w:type="dxa"/>
              <w:bottom w:w="0" w:type="dxa"/>
              <w:right w:w="13" w:type="dxa"/>
            </w:tcMar>
            <w:vAlign w:val="center"/>
          </w:tcPr>
          <w:p w14:paraId="12040F85" w14:textId="77777777" w:rsidR="00E32033" w:rsidRPr="007F4014" w:rsidRDefault="00E32033" w:rsidP="00D639E4">
            <w:pPr>
              <w:rPr>
                <w:rFonts w:ascii="Open Sans" w:eastAsia="Arial Unicode MS" w:hAnsi="Open Sans" w:cs="Arial"/>
                <w:sz w:val="20"/>
                <w:szCs w:val="20"/>
              </w:rPr>
            </w:pPr>
          </w:p>
        </w:tc>
      </w:tr>
      <w:tr w:rsidR="00E32033" w:rsidRPr="007F4014" w14:paraId="1F6D6680"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22E6A4A7"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Informe de Gestión y cuentas anuales consolidadas. INFORME ANUAL INTEGRADO</w:t>
            </w:r>
          </w:p>
        </w:tc>
        <w:tc>
          <w:tcPr>
            <w:tcW w:w="4300" w:type="dxa"/>
            <w:vMerge/>
            <w:tcBorders>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054767FF" w14:textId="77777777" w:rsidR="00E32033" w:rsidRPr="007F4014" w:rsidRDefault="00E32033" w:rsidP="00D639E4">
            <w:pPr>
              <w:jc w:val="both"/>
              <w:rPr>
                <w:rFonts w:ascii="Open Sans" w:eastAsia="Arial Unicode MS" w:hAnsi="Open Sans" w:cs="Arial"/>
                <w:sz w:val="20"/>
                <w:szCs w:val="20"/>
              </w:rPr>
            </w:pPr>
          </w:p>
        </w:tc>
      </w:tr>
      <w:tr w:rsidR="00E32033" w:rsidRPr="007F4014" w14:paraId="5DDE3C35"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4301ED34"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Informe Anual de Gobierno Corporativo</w:t>
            </w:r>
          </w:p>
        </w:tc>
        <w:tc>
          <w:tcPr>
            <w:tcW w:w="430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3BF5C047" w14:textId="77777777" w:rsidR="00E32033" w:rsidRPr="007F4014" w:rsidRDefault="00E32033" w:rsidP="00D639E4">
            <w:pPr>
              <w:jc w:val="both"/>
              <w:rPr>
                <w:rFonts w:ascii="Open Sans" w:eastAsia="Arial Unicode MS" w:hAnsi="Open Sans" w:cs="Arial"/>
                <w:sz w:val="20"/>
                <w:szCs w:val="20"/>
              </w:rPr>
            </w:pPr>
          </w:p>
        </w:tc>
      </w:tr>
      <w:tr w:rsidR="00E32033" w:rsidRPr="007F4014" w14:paraId="71870BE9"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31B8A3FB"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Política de cumplimiento y buenas prácticas en materia tributaria de Ferrovial, S.A.</w:t>
            </w:r>
          </w:p>
        </w:tc>
        <w:tc>
          <w:tcPr>
            <w:tcW w:w="430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1377AF26" w14:textId="77777777" w:rsidR="00E32033" w:rsidRPr="007F4014" w:rsidRDefault="00E32033" w:rsidP="00D639E4">
            <w:pPr>
              <w:jc w:val="both"/>
              <w:rPr>
                <w:rFonts w:ascii="Open Sans" w:eastAsia="Arial Unicode MS" w:hAnsi="Open Sans" w:cs="Arial"/>
                <w:sz w:val="20"/>
                <w:szCs w:val="20"/>
              </w:rPr>
            </w:pPr>
          </w:p>
        </w:tc>
      </w:tr>
      <w:tr w:rsidR="00E32033" w:rsidRPr="007F4014" w14:paraId="633A6A21"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64E0D1F1"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Espacio web sobre Comisiones del Consejo de Administración</w:t>
            </w:r>
          </w:p>
        </w:tc>
        <w:tc>
          <w:tcPr>
            <w:tcW w:w="430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1FE304C3" w14:textId="77777777" w:rsidR="00E32033" w:rsidRPr="007F4014" w:rsidRDefault="00E32033" w:rsidP="00D639E4">
            <w:pPr>
              <w:jc w:val="both"/>
              <w:rPr>
                <w:rFonts w:ascii="Open Sans" w:eastAsia="Arial Unicode MS" w:hAnsi="Open Sans" w:cs="Arial"/>
                <w:sz w:val="20"/>
                <w:szCs w:val="20"/>
              </w:rPr>
            </w:pPr>
          </w:p>
        </w:tc>
      </w:tr>
      <w:tr w:rsidR="00E32033" w:rsidRPr="007F4014" w14:paraId="40606FBF"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53066428"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Política de RSC</w:t>
            </w:r>
          </w:p>
        </w:tc>
        <w:tc>
          <w:tcPr>
            <w:tcW w:w="430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373D2926" w14:textId="77777777" w:rsidR="00E32033" w:rsidRPr="007F4014" w:rsidRDefault="00E32033" w:rsidP="00D639E4">
            <w:pPr>
              <w:jc w:val="both"/>
              <w:rPr>
                <w:rFonts w:ascii="Open Sans" w:eastAsia="Arial Unicode MS" w:hAnsi="Open Sans" w:cs="Arial"/>
                <w:sz w:val="20"/>
                <w:szCs w:val="20"/>
              </w:rPr>
            </w:pPr>
          </w:p>
        </w:tc>
      </w:tr>
      <w:tr w:rsidR="00E32033" w:rsidRPr="007F4014" w14:paraId="5C7B9463"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4EABBD2A"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Comisión de auditoría y control informe de funcionamiento ejercicio 2015</w:t>
            </w:r>
          </w:p>
        </w:tc>
        <w:tc>
          <w:tcPr>
            <w:tcW w:w="430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2D84D8BD" w14:textId="77777777" w:rsidR="00E32033" w:rsidRPr="007F4014" w:rsidRDefault="00E32033" w:rsidP="00D639E4">
            <w:pPr>
              <w:jc w:val="both"/>
              <w:rPr>
                <w:rFonts w:ascii="Open Sans" w:eastAsia="Arial Unicode MS" w:hAnsi="Open Sans" w:cs="Arial"/>
                <w:sz w:val="20"/>
                <w:szCs w:val="20"/>
              </w:rPr>
            </w:pPr>
          </w:p>
        </w:tc>
      </w:tr>
      <w:tr w:rsidR="00E32033" w:rsidRPr="007F4014" w14:paraId="0D841682" w14:textId="77777777" w:rsidTr="00D639E4">
        <w:trPr>
          <w:trHeight w:val="315"/>
        </w:trPr>
        <w:tc>
          <w:tcPr>
            <w:tcW w:w="436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tcPr>
          <w:p w14:paraId="0BF88FFB" w14:textId="77777777" w:rsidR="00E32033" w:rsidRPr="007F4014" w:rsidRDefault="00E32033" w:rsidP="00D639E4">
            <w:pPr>
              <w:rPr>
                <w:rFonts w:ascii="Open Sans" w:eastAsia="Arial Unicode MS" w:hAnsi="Open Sans" w:cs="Arial"/>
                <w:sz w:val="20"/>
                <w:szCs w:val="20"/>
              </w:rPr>
            </w:pPr>
            <w:r w:rsidRPr="007F4014">
              <w:rPr>
                <w:rFonts w:ascii="Open Sans" w:eastAsia="Arial Unicode MS" w:hAnsi="Open Sans" w:cs="Arial"/>
                <w:sz w:val="20"/>
                <w:szCs w:val="20"/>
              </w:rPr>
              <w:t>Reglamento del Consejo de Administración</w:t>
            </w:r>
          </w:p>
        </w:tc>
        <w:tc>
          <w:tcPr>
            <w:tcW w:w="4300" w:type="dxa"/>
            <w:tcBorders>
              <w:top w:val="single" w:sz="4" w:space="0" w:color="auto"/>
              <w:left w:val="single" w:sz="4" w:space="0" w:color="auto"/>
              <w:bottom w:val="single" w:sz="4" w:space="0" w:color="auto"/>
              <w:right w:val="single" w:sz="4" w:space="0" w:color="auto"/>
            </w:tcBorders>
            <w:shd w:val="clear" w:color="auto" w:fill="auto"/>
            <w:tcMar>
              <w:top w:w="13" w:type="dxa"/>
              <w:left w:w="13" w:type="dxa"/>
              <w:bottom w:w="0" w:type="dxa"/>
              <w:right w:w="13" w:type="dxa"/>
            </w:tcMar>
            <w:vAlign w:val="center"/>
          </w:tcPr>
          <w:p w14:paraId="59B846E1" w14:textId="77777777" w:rsidR="00E32033" w:rsidRPr="007F4014" w:rsidRDefault="00E32033" w:rsidP="00D639E4">
            <w:pPr>
              <w:jc w:val="both"/>
              <w:rPr>
                <w:rFonts w:ascii="Open Sans" w:eastAsia="Arial Unicode MS" w:hAnsi="Open Sans" w:cs="Arial"/>
                <w:sz w:val="20"/>
                <w:szCs w:val="20"/>
              </w:rPr>
            </w:pPr>
          </w:p>
        </w:tc>
      </w:tr>
    </w:tbl>
    <w:p w14:paraId="1F603ADE" w14:textId="77777777" w:rsidR="00E32033" w:rsidRPr="00732FD5" w:rsidRDefault="00E32033" w:rsidP="00E32033">
      <w:pPr>
        <w:jc w:val="both"/>
        <w:rPr>
          <w:rFonts w:ascii="Open Sans" w:hAnsi="Open Sans" w:cs="Arial"/>
          <w:b/>
        </w:rPr>
      </w:pPr>
    </w:p>
    <w:p w14:paraId="41A0B78A" w14:textId="77777777" w:rsidR="00E32033" w:rsidRDefault="00E32033" w:rsidP="00E32033">
      <w:pPr>
        <w:rPr>
          <w:rFonts w:ascii="Open Sans" w:hAnsi="Open Sans" w:cs="Arial"/>
          <w:b/>
        </w:rPr>
      </w:pPr>
    </w:p>
    <w:p w14:paraId="4DADF170" w14:textId="77777777" w:rsidR="00E32033" w:rsidRPr="00732FD5" w:rsidRDefault="00E32033" w:rsidP="00E32033">
      <w:pPr>
        <w:jc w:val="both"/>
        <w:rPr>
          <w:rFonts w:ascii="Open Sans" w:hAnsi="Open Sans" w:cs="Arial"/>
          <w:b/>
        </w:rPr>
      </w:pPr>
    </w:p>
    <w:p w14:paraId="25143A65" w14:textId="77777777" w:rsidR="00E32033" w:rsidRPr="00EE1EF7" w:rsidRDefault="00E32033" w:rsidP="00E32033">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1410ECF7" w14:textId="77777777" w:rsidR="00E32033" w:rsidRDefault="00E32033" w:rsidP="00E32033">
      <w:pPr>
        <w:jc w:val="both"/>
        <w:rPr>
          <w:rFonts w:ascii="Open Sans" w:hAnsi="Open Sans" w:cs="Arial"/>
          <w:b/>
          <w:u w:val="single"/>
        </w:rPr>
      </w:pPr>
    </w:p>
    <w:p w14:paraId="685F8304" w14:textId="77777777" w:rsidR="00E32033" w:rsidRDefault="00E32033" w:rsidP="00E32033">
      <w:pPr>
        <w:jc w:val="both"/>
        <w:rPr>
          <w:rFonts w:ascii="Open Sans" w:hAnsi="Open Sans" w:cs="Arial"/>
          <w:b/>
          <w:u w:val="single"/>
        </w:rPr>
      </w:pPr>
    </w:p>
    <w:p w14:paraId="33320EA4" w14:textId="77777777" w:rsidR="00E32033" w:rsidRPr="007829A9" w:rsidRDefault="00E32033" w:rsidP="00E32033">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2268696B" w14:textId="77777777" w:rsidR="00E32033" w:rsidRPr="00732FD5" w:rsidRDefault="00E32033" w:rsidP="00E32033">
      <w:pPr>
        <w:rPr>
          <w:rFonts w:ascii="Open Sans" w:hAnsi="Open Sans" w:cs="Arial"/>
          <w:b/>
        </w:rPr>
      </w:pPr>
    </w:p>
    <w:p w14:paraId="1AA0FE6C" w14:textId="77777777" w:rsidR="00E32033" w:rsidRDefault="00E32033" w:rsidP="00E32033">
      <w:pPr>
        <w:jc w:val="center"/>
      </w:pPr>
      <w:r w:rsidRPr="00462693">
        <w:rPr>
          <w:noProof/>
          <w:lang w:val="es-ES"/>
        </w:rPr>
        <w:drawing>
          <wp:inline distT="0" distB="0" distL="0" distR="0" wp14:anchorId="3078F3EB" wp14:editId="2B3246FA">
            <wp:extent cx="3686175" cy="1828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2D4D32D4" w14:textId="77777777" w:rsidR="00E32033" w:rsidRDefault="00E32033" w:rsidP="00E32033">
      <w:pPr>
        <w:jc w:val="both"/>
      </w:pPr>
    </w:p>
    <w:p w14:paraId="05A3AE55" w14:textId="77777777" w:rsidR="00E32033" w:rsidRDefault="00E32033" w:rsidP="00E32033">
      <w:pPr>
        <w:jc w:val="both"/>
      </w:pPr>
    </w:p>
    <w:p w14:paraId="7363B902" w14:textId="77777777" w:rsidR="00E32033" w:rsidRDefault="00E32033" w:rsidP="00E32033">
      <w:pPr>
        <w:jc w:val="both"/>
        <w:rPr>
          <w:rFonts w:ascii="Open Sans" w:hAnsi="Open Sans" w:cs="Arial"/>
          <w:b/>
          <w:u w:val="single"/>
        </w:rPr>
      </w:pPr>
    </w:p>
    <w:p w14:paraId="53BD8287" w14:textId="77777777" w:rsidR="00E32033" w:rsidRDefault="00E32033" w:rsidP="00E32033">
      <w:pPr>
        <w:jc w:val="both"/>
        <w:rPr>
          <w:rFonts w:ascii="Open Sans" w:hAnsi="Open Sans" w:cs="Arial"/>
          <w:b/>
          <w:u w:val="single"/>
        </w:rPr>
      </w:pPr>
    </w:p>
    <w:p w14:paraId="2845582D" w14:textId="77777777" w:rsidR="00E32033" w:rsidRDefault="00E32033" w:rsidP="00E32033">
      <w:pPr>
        <w:rPr>
          <w:rFonts w:ascii="Open Sans" w:hAnsi="Open Sans" w:cs="Arial"/>
          <w:b/>
          <w:u w:val="single"/>
        </w:rPr>
      </w:pPr>
      <w:r>
        <w:rPr>
          <w:rFonts w:ascii="Open Sans" w:hAnsi="Open Sans" w:cs="Arial"/>
          <w:b/>
          <w:u w:val="single"/>
        </w:rPr>
        <w:br w:type="page"/>
      </w:r>
    </w:p>
    <w:p w14:paraId="075475BE" w14:textId="77777777" w:rsidR="00E32033" w:rsidRPr="00732FD5" w:rsidRDefault="00E32033" w:rsidP="00E32033">
      <w:pPr>
        <w:rPr>
          <w:rFonts w:ascii="Open Sans" w:hAnsi="Open Sans" w:cs="Arial"/>
          <w:b/>
        </w:rPr>
      </w:pPr>
    </w:p>
    <w:p w14:paraId="4E35A0C3" w14:textId="77777777" w:rsidR="00E32033" w:rsidRPr="00EE1EF7" w:rsidRDefault="00E32033" w:rsidP="00E32033">
      <w:pPr>
        <w:jc w:val="both"/>
        <w:rPr>
          <w:rFonts w:ascii="Open Sans" w:hAnsi="Open Sans" w:cs="Arial"/>
          <w:b/>
          <w:sz w:val="22"/>
          <w:szCs w:val="22"/>
        </w:rPr>
      </w:pPr>
      <w:r w:rsidRPr="00EE1EF7">
        <w:rPr>
          <w:rFonts w:ascii="Open Sans" w:hAnsi="Open Sans" w:cs="Arial"/>
          <w:b/>
          <w:sz w:val="22"/>
          <w:szCs w:val="22"/>
          <w:u w:val="single"/>
        </w:rPr>
        <w:t>3. Contexto general</w:t>
      </w:r>
    </w:p>
    <w:p w14:paraId="7A652F27" w14:textId="77777777" w:rsidR="00E32033" w:rsidRPr="00732FD5" w:rsidRDefault="00E32033" w:rsidP="00E32033">
      <w:pPr>
        <w:jc w:val="both"/>
        <w:rPr>
          <w:rFonts w:ascii="Open Sans" w:hAnsi="Open Sans" w:cs="Arial"/>
          <w:b/>
        </w:rPr>
      </w:pPr>
    </w:p>
    <w:p w14:paraId="16CEF4F7" w14:textId="77777777" w:rsidR="00E32033" w:rsidRDefault="00E32033" w:rsidP="00E32033">
      <w:pPr>
        <w:pStyle w:val="Texto-InformeIBEX"/>
      </w:pPr>
      <w:r w:rsidRPr="00EA3E57">
        <w:t xml:space="preserve">Ferrovial se presenta como uno de los principales grupos </w:t>
      </w:r>
      <w:r w:rsidRPr="005668F9">
        <w:t>mundiales en infraestructuras, con líneas de negocio en autopistas, construcción, aeropuertos y servicios. En 2015 registró un volumen de ventas de 9.701 millones de euros, el 95 % de las cuales se derivan de las actividades de construcción y servicios.</w:t>
      </w:r>
    </w:p>
    <w:p w14:paraId="1C985CB5" w14:textId="77777777" w:rsidR="00E32033" w:rsidRDefault="00E32033" w:rsidP="00E32033">
      <w:pPr>
        <w:pStyle w:val="Texto-InformeIBEX"/>
      </w:pPr>
    </w:p>
    <w:p w14:paraId="1C294F57" w14:textId="77777777" w:rsidR="00E32033" w:rsidRPr="00D46756" w:rsidRDefault="00E32033" w:rsidP="00E32033">
      <w:pPr>
        <w:pStyle w:val="Texto-InformeIBEX"/>
      </w:pPr>
      <w:r w:rsidRPr="00EA3E57">
        <w:t xml:space="preserve">Su alcance geográfico se </w:t>
      </w:r>
      <w:r w:rsidRPr="00A65D8E">
        <w:t>extiende a 25 países en todo el mundo, generando la mayor parte de sus ventas y flujo de operaciones en: España, Reino Unido, EEUU y Canadá y Polonia. Cabe recordar que con independencia de la relevancia</w:t>
      </w:r>
      <w:r w:rsidRPr="00EA3E57">
        <w:t xml:space="preserve"> de la actividad de un país en el conjunto del negocio de Ferrovial, la gestión de los riesgos asociados a la región es clave para garantizar no solo la sostenibilidad económica del negocio sino también para asegurar la sostenibilidad social </w:t>
      </w:r>
      <w:r w:rsidRPr="00D46756">
        <w:t>y ambiental donde actúa.</w:t>
      </w:r>
    </w:p>
    <w:p w14:paraId="77D5904C" w14:textId="77777777" w:rsidR="00E32033" w:rsidRPr="00D46756" w:rsidRDefault="00E32033" w:rsidP="00E32033">
      <w:pPr>
        <w:pStyle w:val="Texto-InformeIBEX"/>
      </w:pPr>
    </w:p>
    <w:p w14:paraId="570DAFB1" w14:textId="77777777" w:rsidR="00E32033" w:rsidRPr="00D46756" w:rsidRDefault="00E32033" w:rsidP="00E32033">
      <w:pPr>
        <w:jc w:val="both"/>
        <w:rPr>
          <w:rFonts w:ascii="Open Sans" w:hAnsi="Open Sans"/>
          <w:sz w:val="20"/>
        </w:rPr>
      </w:pPr>
      <w:r w:rsidRPr="00D46756">
        <w:rPr>
          <w:rFonts w:ascii="Open Sans" w:hAnsi="Open Sans"/>
          <w:sz w:val="20"/>
        </w:rPr>
        <w:t>Para la gestión de riesgos, Ferrovial informa que dispone de un proceso de identificación y valoración de riesgos, denominado Ferrovial Risk Management (FRM), supervisado por el Consejo de Administración y el Comité de dirección e implantado en todas las áreas de negocio. A partir de este proceso, presentan una matriz de riesgos dividida en cuatro áreas, los riesgos estratégicos, los operacionales, de cumplimiento y los financieros. En esta presentación de riesgos por línea de negocio se echa en falta tanto la inclusión explícita de los riesgos fiscales, como su consideración diferenciada a nivel país para cada uno de los territorios donde está presente, ya que el nivel de riesgo inherente a cada actividad varía en función de donde se desarrollen las operaciones.</w:t>
      </w:r>
    </w:p>
    <w:p w14:paraId="4319EB59" w14:textId="77777777" w:rsidR="00E32033" w:rsidRPr="007F4014" w:rsidRDefault="00E32033" w:rsidP="00E32033">
      <w:pPr>
        <w:jc w:val="both"/>
        <w:rPr>
          <w:rFonts w:ascii="Open Sans" w:hAnsi="Open Sans"/>
          <w:sz w:val="20"/>
          <w:szCs w:val="20"/>
        </w:rPr>
      </w:pPr>
    </w:p>
    <w:p w14:paraId="54668B33" w14:textId="77777777" w:rsidR="00E32033" w:rsidRPr="00DB3D89" w:rsidRDefault="00E32033" w:rsidP="00E32033">
      <w:pPr>
        <w:jc w:val="both"/>
        <w:rPr>
          <w:rFonts w:ascii="Open Sans" w:hAnsi="Open Sans"/>
          <w:sz w:val="20"/>
          <w:highlight w:val="yellow"/>
        </w:rPr>
      </w:pPr>
      <w:r w:rsidRPr="007F4014">
        <w:rPr>
          <w:rFonts w:ascii="Open Sans" w:hAnsi="Open Sans"/>
          <w:sz w:val="20"/>
        </w:rPr>
        <w:t xml:space="preserve">Desde la perspectiva de fiscalidad, cabe destacar la aprobación en </w:t>
      </w:r>
      <w:r w:rsidRPr="007F4014">
        <w:rPr>
          <w:rFonts w:ascii="Open Sans" w:hAnsi="Open Sans" w:cs="Arial"/>
          <w:bCs/>
          <w:sz w:val="20"/>
          <w:szCs w:val="20"/>
        </w:rPr>
        <w:t>junio de 2013 de un</w:t>
      </w:r>
      <w:r>
        <w:rPr>
          <w:rFonts w:ascii="Open Sans" w:hAnsi="Open Sans" w:cs="Arial"/>
          <w:bCs/>
          <w:sz w:val="20"/>
          <w:szCs w:val="20"/>
        </w:rPr>
        <w:t>a</w:t>
      </w:r>
      <w:r w:rsidRPr="007F4014">
        <w:rPr>
          <w:rFonts w:ascii="Open Sans" w:hAnsi="Open Sans" w:cs="Arial"/>
          <w:bCs/>
          <w:sz w:val="20"/>
          <w:szCs w:val="20"/>
        </w:rPr>
        <w:t xml:space="preserve"> Política de cumplimiento y buenas prácticas en materia tributaria</w:t>
      </w:r>
      <w:r w:rsidRPr="007F4014">
        <w:rPr>
          <w:rFonts w:ascii="Open Sans" w:hAnsi="Open Sans"/>
          <w:sz w:val="20"/>
        </w:rPr>
        <w:t>, así como por ser una de las empresas que participa en el Foro de Grandes Empresas</w:t>
      </w:r>
      <w:r>
        <w:rPr>
          <w:rFonts w:ascii="Open Sans" w:hAnsi="Open Sans"/>
          <w:sz w:val="20"/>
        </w:rPr>
        <w:t xml:space="preserve"> y que está adherida al </w:t>
      </w:r>
      <w:r w:rsidRPr="005668F9">
        <w:rPr>
          <w:rFonts w:ascii="Open Sans" w:hAnsi="Open Sans"/>
          <w:sz w:val="20"/>
        </w:rPr>
        <w:t>Código de Buenas Prácticas Tributarias</w:t>
      </w:r>
      <w:r>
        <w:rPr>
          <w:rFonts w:ascii="Open Sans" w:hAnsi="Open Sans"/>
          <w:sz w:val="20"/>
        </w:rPr>
        <w:t>,</w:t>
      </w:r>
      <w:r w:rsidRPr="005668F9">
        <w:rPr>
          <w:rFonts w:ascii="Open Sans" w:hAnsi="Open Sans"/>
          <w:sz w:val="20"/>
        </w:rPr>
        <w:t xml:space="preserve"> impulsado</w:t>
      </w:r>
      <w:r>
        <w:rPr>
          <w:rFonts w:ascii="Open Sans" w:hAnsi="Open Sans"/>
          <w:sz w:val="20"/>
        </w:rPr>
        <w:t xml:space="preserve">s ambos </w:t>
      </w:r>
      <w:r w:rsidRPr="005668F9">
        <w:rPr>
          <w:rFonts w:ascii="Open Sans" w:hAnsi="Open Sans"/>
          <w:sz w:val="20"/>
        </w:rPr>
        <w:t>por la Agencia Tri</w:t>
      </w:r>
      <w:r>
        <w:rPr>
          <w:rFonts w:ascii="Open Sans" w:hAnsi="Open Sans"/>
          <w:sz w:val="20"/>
        </w:rPr>
        <w:t>butaria española</w:t>
      </w:r>
      <w:r w:rsidRPr="005668F9">
        <w:rPr>
          <w:rFonts w:ascii="Open Sans" w:hAnsi="Open Sans"/>
          <w:sz w:val="20"/>
        </w:rPr>
        <w:t>.</w:t>
      </w:r>
      <w:r>
        <w:rPr>
          <w:rFonts w:ascii="Open Sans" w:hAnsi="Open Sans"/>
          <w:sz w:val="20"/>
        </w:rPr>
        <w:t xml:space="preserve"> A lo largo del ejercicio 2015 se aprobaron dos nuevas políticas en el ámbito fiscal, concretamente la </w:t>
      </w:r>
      <w:r w:rsidRPr="007F4014">
        <w:rPr>
          <w:rFonts w:ascii="Open Sans" w:hAnsi="Open Sans"/>
          <w:sz w:val="20"/>
        </w:rPr>
        <w:t xml:space="preserve">Política Fiscal y </w:t>
      </w:r>
      <w:r>
        <w:rPr>
          <w:rFonts w:ascii="Open Sans" w:hAnsi="Open Sans"/>
          <w:sz w:val="20"/>
        </w:rPr>
        <w:t xml:space="preserve">la </w:t>
      </w:r>
      <w:r w:rsidRPr="007F4014">
        <w:rPr>
          <w:rFonts w:ascii="Open Sans" w:hAnsi="Open Sans"/>
          <w:sz w:val="20"/>
        </w:rPr>
        <w:t>Política de Control y Gestión de Riesgos</w:t>
      </w:r>
      <w:r>
        <w:rPr>
          <w:rFonts w:ascii="Open Sans" w:hAnsi="Open Sans"/>
          <w:sz w:val="20"/>
        </w:rPr>
        <w:t xml:space="preserve"> </w:t>
      </w:r>
      <w:r w:rsidRPr="007F4014">
        <w:rPr>
          <w:rFonts w:ascii="Open Sans" w:hAnsi="Open Sans"/>
          <w:sz w:val="20"/>
        </w:rPr>
        <w:t>Fiscales.</w:t>
      </w:r>
      <w:r>
        <w:rPr>
          <w:rFonts w:ascii="Open Sans" w:hAnsi="Open Sans"/>
          <w:sz w:val="20"/>
        </w:rPr>
        <w:t xml:space="preserve"> Estas dos últimas no están disponibles en la web de la compañía, mientras que sí lo está la de </w:t>
      </w:r>
      <w:r w:rsidRPr="005D499B">
        <w:rPr>
          <w:rFonts w:ascii="Open Sans" w:hAnsi="Open Sans" w:cs="Arial"/>
          <w:bCs/>
          <w:sz w:val="20"/>
          <w:szCs w:val="20"/>
        </w:rPr>
        <w:t>de cumplimiento</w:t>
      </w:r>
      <w:r>
        <w:rPr>
          <w:rFonts w:ascii="Open Sans" w:hAnsi="Open Sans" w:cs="Arial"/>
          <w:bCs/>
          <w:sz w:val="20"/>
          <w:szCs w:val="20"/>
        </w:rPr>
        <w:t xml:space="preserve"> y buenas prácticas en materia tributaria.</w:t>
      </w:r>
    </w:p>
    <w:p w14:paraId="7CF70382" w14:textId="77777777" w:rsidR="00E32033" w:rsidRDefault="00E32033" w:rsidP="00E32033">
      <w:pPr>
        <w:jc w:val="both"/>
        <w:rPr>
          <w:rFonts w:ascii="Open Sans" w:hAnsi="Open Sans"/>
          <w:sz w:val="20"/>
          <w:szCs w:val="20"/>
          <w:highlight w:val="yellow"/>
        </w:rPr>
      </w:pPr>
    </w:p>
    <w:p w14:paraId="2B4E8638" w14:textId="77777777" w:rsidR="00E32033" w:rsidRDefault="00E32033" w:rsidP="00E32033">
      <w:pPr>
        <w:autoSpaceDE w:val="0"/>
        <w:autoSpaceDN w:val="0"/>
        <w:adjustRightInd w:val="0"/>
        <w:rPr>
          <w:rFonts w:ascii="Open Sans" w:hAnsi="Open Sans"/>
          <w:sz w:val="20"/>
        </w:rPr>
      </w:pPr>
      <w:r w:rsidRPr="005668F9">
        <w:rPr>
          <w:rFonts w:ascii="Open Sans" w:hAnsi="Open Sans"/>
          <w:sz w:val="20"/>
        </w:rPr>
        <w:t>Ferrovial se acogió en 2014 al régimen fiscal estable</w:t>
      </w:r>
      <w:r>
        <w:rPr>
          <w:rFonts w:ascii="Open Sans" w:hAnsi="Open Sans"/>
          <w:sz w:val="20"/>
        </w:rPr>
        <w:t>cido en los artículos 107 y 108 d</w:t>
      </w:r>
      <w:r w:rsidRPr="005668F9">
        <w:rPr>
          <w:rFonts w:ascii="Open Sans" w:hAnsi="Open Sans"/>
          <w:sz w:val="20"/>
        </w:rPr>
        <w:t>e la Ley 27/2014, de 27 de noviembre del Impuesto sobre Sociedades</w:t>
      </w:r>
      <w:r>
        <w:rPr>
          <w:rFonts w:ascii="Open Sans" w:hAnsi="Open Sans"/>
          <w:sz w:val="20"/>
        </w:rPr>
        <w:t>. Este hecho</w:t>
      </w:r>
      <w:r w:rsidRPr="005668F9">
        <w:rPr>
          <w:rFonts w:ascii="Open Sans" w:hAnsi="Open Sans"/>
          <w:sz w:val="20"/>
        </w:rPr>
        <w:t xml:space="preserve"> afecta tanto a los dividendos y ganancias de capital obtenidos como repartidos</w:t>
      </w:r>
      <w:r>
        <w:rPr>
          <w:rFonts w:ascii="Open Sans" w:hAnsi="Open Sans"/>
          <w:sz w:val="20"/>
        </w:rPr>
        <w:t xml:space="preserve"> de la siguiente forma:</w:t>
      </w:r>
    </w:p>
    <w:p w14:paraId="7E7FCCB6" w14:textId="77777777" w:rsidR="00E32033" w:rsidRPr="005668F9" w:rsidRDefault="00E32033" w:rsidP="00E32033">
      <w:pPr>
        <w:autoSpaceDE w:val="0"/>
        <w:autoSpaceDN w:val="0"/>
        <w:adjustRightInd w:val="0"/>
        <w:rPr>
          <w:rFonts w:ascii="Open Sans" w:hAnsi="Open Sans"/>
          <w:sz w:val="20"/>
        </w:rPr>
      </w:pPr>
    </w:p>
    <w:p w14:paraId="07DD4F11" w14:textId="77777777" w:rsidR="00E32033" w:rsidRPr="005668F9" w:rsidRDefault="00E32033" w:rsidP="000B70C9">
      <w:pPr>
        <w:numPr>
          <w:ilvl w:val="0"/>
          <w:numId w:val="31"/>
        </w:numPr>
        <w:autoSpaceDE w:val="0"/>
        <w:autoSpaceDN w:val="0"/>
        <w:adjustRightInd w:val="0"/>
        <w:jc w:val="both"/>
        <w:rPr>
          <w:rFonts w:ascii="Open Sans" w:hAnsi="Open Sans"/>
          <w:sz w:val="20"/>
        </w:rPr>
      </w:pPr>
      <w:r w:rsidRPr="005668F9">
        <w:rPr>
          <w:rFonts w:ascii="Open Sans" w:hAnsi="Open Sans"/>
          <w:sz w:val="20"/>
        </w:rPr>
        <w:t>Los dividendos y ganancias de capital obtenidos por Ferrovial procedentes de inversiones en fondos propios de sociedades operativas no residentes (que representen al menos el 5% del capital social de estas o cuyo valor de adquisición sea superior a 20 millones de euros) están exentos de tributación en el Impuesto sobre Sociedades si se dan las condiciones previstas en el art. 21 de la L</w:t>
      </w:r>
      <w:r>
        <w:rPr>
          <w:rFonts w:ascii="Open Sans" w:hAnsi="Open Sans"/>
          <w:sz w:val="20"/>
        </w:rPr>
        <w:t>ey</w:t>
      </w:r>
      <w:r w:rsidRPr="005668F9">
        <w:rPr>
          <w:rFonts w:ascii="Open Sans" w:hAnsi="Open Sans"/>
          <w:sz w:val="20"/>
        </w:rPr>
        <w:t xml:space="preserve"> (</w:t>
      </w:r>
      <w:r w:rsidRPr="005668F9">
        <w:rPr>
          <w:rFonts w:ascii="Open Sans" w:hAnsi="Open Sans" w:hint="eastAsia"/>
          <w:sz w:val="20"/>
        </w:rPr>
        <w:t>“</w:t>
      </w:r>
      <w:r w:rsidRPr="005668F9">
        <w:rPr>
          <w:rFonts w:ascii="Open Sans" w:hAnsi="Open Sans"/>
          <w:sz w:val="20"/>
        </w:rPr>
        <w:t>rentas sujetas pero exentas</w:t>
      </w:r>
      <w:r w:rsidRPr="005668F9">
        <w:rPr>
          <w:rFonts w:ascii="Open Sans" w:hAnsi="Open Sans" w:hint="eastAsia"/>
          <w:sz w:val="20"/>
        </w:rPr>
        <w:t>”</w:t>
      </w:r>
      <w:r w:rsidRPr="005668F9">
        <w:rPr>
          <w:rFonts w:ascii="Open Sans" w:hAnsi="Open Sans"/>
          <w:sz w:val="20"/>
        </w:rPr>
        <w:t>).</w:t>
      </w:r>
    </w:p>
    <w:p w14:paraId="502EF6D9" w14:textId="77777777" w:rsidR="00E32033" w:rsidRDefault="00E32033" w:rsidP="00E32033">
      <w:pPr>
        <w:autoSpaceDE w:val="0"/>
        <w:autoSpaceDN w:val="0"/>
        <w:adjustRightInd w:val="0"/>
        <w:ind w:left="720"/>
        <w:jc w:val="both"/>
        <w:rPr>
          <w:rFonts w:ascii="Open Sans" w:hAnsi="Open Sans"/>
          <w:sz w:val="20"/>
        </w:rPr>
      </w:pPr>
    </w:p>
    <w:p w14:paraId="34C0BB19" w14:textId="77777777" w:rsidR="00E32033" w:rsidRDefault="00E32033" w:rsidP="000B70C9">
      <w:pPr>
        <w:numPr>
          <w:ilvl w:val="0"/>
          <w:numId w:val="31"/>
        </w:numPr>
        <w:autoSpaceDE w:val="0"/>
        <w:autoSpaceDN w:val="0"/>
        <w:adjustRightInd w:val="0"/>
        <w:jc w:val="both"/>
        <w:rPr>
          <w:rFonts w:ascii="Open Sans" w:hAnsi="Open Sans"/>
          <w:sz w:val="20"/>
        </w:rPr>
      </w:pPr>
      <w:r w:rsidRPr="005668F9">
        <w:rPr>
          <w:rFonts w:ascii="Open Sans" w:hAnsi="Open Sans"/>
          <w:sz w:val="20"/>
        </w:rPr>
        <w:t xml:space="preserve">Los dividendos repartidos por Ferrovial con cargo a las referidas </w:t>
      </w:r>
      <w:r w:rsidRPr="005668F9">
        <w:rPr>
          <w:rFonts w:ascii="Open Sans" w:hAnsi="Open Sans" w:hint="eastAsia"/>
          <w:sz w:val="20"/>
        </w:rPr>
        <w:t>“</w:t>
      </w:r>
      <w:r w:rsidRPr="005668F9">
        <w:rPr>
          <w:rFonts w:ascii="Open Sans" w:hAnsi="Open Sans"/>
          <w:sz w:val="20"/>
        </w:rPr>
        <w:t>reservas sujetas pero exentas</w:t>
      </w:r>
      <w:r w:rsidRPr="005668F9">
        <w:rPr>
          <w:rFonts w:ascii="Open Sans" w:hAnsi="Open Sans" w:hint="eastAsia"/>
          <w:sz w:val="20"/>
        </w:rPr>
        <w:t>”</w:t>
      </w:r>
      <w:r w:rsidRPr="005668F9">
        <w:rPr>
          <w:rFonts w:ascii="Open Sans" w:hAnsi="Open Sans"/>
          <w:sz w:val="20"/>
        </w:rPr>
        <w:t>, o a rentas procedentes de establecimientos permanentes en el extranjero respeto de los que resulte aplicable la exención prevista en el art. 22 de la L</w:t>
      </w:r>
      <w:r>
        <w:rPr>
          <w:rFonts w:ascii="Open Sans" w:hAnsi="Open Sans"/>
          <w:sz w:val="20"/>
        </w:rPr>
        <w:t>ey</w:t>
      </w:r>
      <w:r w:rsidRPr="005668F9">
        <w:rPr>
          <w:rFonts w:ascii="Open Sans" w:hAnsi="Open Sans"/>
          <w:sz w:val="20"/>
        </w:rPr>
        <w:t>, tienen un tratamiento especial.</w:t>
      </w:r>
    </w:p>
    <w:p w14:paraId="60D686DF" w14:textId="77777777" w:rsidR="00E32033" w:rsidRPr="005668F9" w:rsidRDefault="00E32033" w:rsidP="00E32033">
      <w:pPr>
        <w:autoSpaceDE w:val="0"/>
        <w:autoSpaceDN w:val="0"/>
        <w:adjustRightInd w:val="0"/>
        <w:ind w:left="720"/>
        <w:jc w:val="both"/>
        <w:rPr>
          <w:rFonts w:ascii="Open Sans" w:hAnsi="Open Sans"/>
          <w:sz w:val="20"/>
        </w:rPr>
      </w:pPr>
    </w:p>
    <w:p w14:paraId="2100FC38" w14:textId="77777777" w:rsidR="00E32033" w:rsidRDefault="00E32033" w:rsidP="00E32033">
      <w:pPr>
        <w:jc w:val="both"/>
        <w:rPr>
          <w:rFonts w:ascii="Open Sans" w:hAnsi="Open Sans"/>
          <w:sz w:val="22"/>
        </w:rPr>
      </w:pPr>
    </w:p>
    <w:p w14:paraId="3DD8B6B4" w14:textId="77777777" w:rsidR="00E32033" w:rsidRPr="00EE1EF7" w:rsidRDefault="00E32033" w:rsidP="00E32033">
      <w:pPr>
        <w:jc w:val="both"/>
        <w:rPr>
          <w:rFonts w:ascii="Open Sans" w:hAnsi="Open Sans" w:cs="Arial"/>
          <w:b/>
          <w:sz w:val="22"/>
          <w:szCs w:val="22"/>
          <w:u w:val="single"/>
        </w:rPr>
      </w:pPr>
      <w:r w:rsidRPr="00EE1EF7">
        <w:rPr>
          <w:rFonts w:ascii="Open Sans" w:hAnsi="Open Sans" w:cs="Arial"/>
          <w:b/>
          <w:sz w:val="22"/>
          <w:szCs w:val="22"/>
          <w:u w:val="single"/>
        </w:rPr>
        <w:t>4. Análisis</w:t>
      </w:r>
    </w:p>
    <w:p w14:paraId="3DE5E05F" w14:textId="77777777" w:rsidR="00E32033" w:rsidRDefault="00E32033" w:rsidP="00E32033">
      <w:pPr>
        <w:jc w:val="both"/>
        <w:rPr>
          <w:rFonts w:ascii="Open Sans" w:hAnsi="Open Sans" w:cs="Arial"/>
          <w:bCs/>
          <w:sz w:val="20"/>
          <w:szCs w:val="20"/>
        </w:rPr>
      </w:pPr>
    </w:p>
    <w:p w14:paraId="36DD7334" w14:textId="77777777" w:rsidR="00E32033" w:rsidRDefault="00E32033" w:rsidP="00E32033">
      <w:pPr>
        <w:jc w:val="both"/>
        <w:rPr>
          <w:rFonts w:ascii="Open Sans" w:hAnsi="Open Sans" w:cs="Arial"/>
          <w:bCs/>
          <w:sz w:val="20"/>
          <w:szCs w:val="20"/>
        </w:rPr>
      </w:pPr>
      <w:r>
        <w:rPr>
          <w:rFonts w:ascii="Open Sans" w:hAnsi="Open Sans" w:cs="Arial"/>
          <w:bCs/>
          <w:sz w:val="20"/>
          <w:szCs w:val="20"/>
        </w:rPr>
        <w:t>La información publicada por Ferrovial sobre los aspectos relacionados con su operativa en paraísos y nichos fiscales puede calificarse como prácticamente inexistente ya que, fundamentalmente, solo se han encontrado menciones puntuales en su política de cumplimiento y buenas prácticas tributarias y en los compromisos de su política fiscal.</w:t>
      </w:r>
    </w:p>
    <w:p w14:paraId="689971CC" w14:textId="77777777" w:rsidR="00E32033" w:rsidRDefault="00E32033" w:rsidP="00E32033">
      <w:pPr>
        <w:jc w:val="both"/>
        <w:rPr>
          <w:rFonts w:ascii="Open Sans" w:hAnsi="Open Sans" w:cs="Arial"/>
          <w:bCs/>
          <w:sz w:val="20"/>
          <w:szCs w:val="20"/>
        </w:rPr>
      </w:pPr>
    </w:p>
    <w:p w14:paraId="61AF8C21" w14:textId="77777777" w:rsidR="00E32033" w:rsidRDefault="00E32033" w:rsidP="00E32033">
      <w:pPr>
        <w:jc w:val="both"/>
        <w:rPr>
          <w:rFonts w:ascii="Open Sans" w:hAnsi="Open Sans" w:cs="Arial"/>
          <w:bCs/>
          <w:sz w:val="20"/>
          <w:szCs w:val="20"/>
        </w:rPr>
      </w:pPr>
      <w:r>
        <w:rPr>
          <w:rFonts w:ascii="Open Sans" w:hAnsi="Open Sans" w:cs="Arial"/>
          <w:bCs/>
          <w:sz w:val="20"/>
          <w:szCs w:val="20"/>
        </w:rPr>
        <w:t>En ambos casos el concepto “paraíso fiscal” se relaciona con el ámbito de la transparencia, sin hacer mención alguna a la directa relación existente entre estas jurisdicciones y la posible puesta en práctica de prácticas elusivas o evasivas por parte de las empresas que en ellas operan.</w:t>
      </w:r>
    </w:p>
    <w:p w14:paraId="269FB2D8" w14:textId="77777777" w:rsidR="00E32033" w:rsidRDefault="00E32033" w:rsidP="00E32033">
      <w:pPr>
        <w:jc w:val="both"/>
        <w:rPr>
          <w:rFonts w:ascii="Open Sans" w:hAnsi="Open Sans" w:cs="Arial"/>
          <w:bCs/>
          <w:sz w:val="20"/>
          <w:szCs w:val="20"/>
        </w:rPr>
      </w:pPr>
    </w:p>
    <w:p w14:paraId="579CCEAD" w14:textId="77777777" w:rsidR="00E32033" w:rsidRDefault="00E32033" w:rsidP="00E32033">
      <w:pPr>
        <w:jc w:val="both"/>
        <w:rPr>
          <w:rFonts w:ascii="Open Sans" w:hAnsi="Open Sans" w:cs="Arial"/>
          <w:bCs/>
          <w:sz w:val="20"/>
          <w:szCs w:val="20"/>
        </w:rPr>
      </w:pPr>
      <w:r>
        <w:rPr>
          <w:rFonts w:ascii="Open Sans" w:hAnsi="Open Sans" w:cs="Arial"/>
          <w:bCs/>
          <w:sz w:val="20"/>
          <w:szCs w:val="20"/>
        </w:rPr>
        <w:t>El compromiso que recoge la política fiscal de Ferrovial sobre su presencia en este tipo de países se plasma en el Informe Anual Integrado indicando que: «</w:t>
      </w:r>
      <w:r w:rsidRPr="0030735A">
        <w:rPr>
          <w:rFonts w:ascii="Open Sans" w:hAnsi="Open Sans" w:cs="Arial"/>
          <w:bCs/>
          <w:i/>
          <w:sz w:val="20"/>
          <w:szCs w:val="20"/>
        </w:rPr>
        <w:t>la compañía no considera el uso de entidades domiciliadas en paraísos fiscales o en otras jurisdicciones no transparentes, salvo cuando la actividad a ejecutar –por ejemplo, un proyecto de Construcción- esté conectada de forma irremediable con el territorio de dichas jurisdicciones. En este caso la empresa ofrecerá información a las autoridades competentes sobre su existencia, su actividad, sus resultados financieros o empleados involucrados de acuerdo con la legislación en vigor</w:t>
      </w:r>
      <w:r>
        <w:rPr>
          <w:rFonts w:ascii="Open Sans" w:hAnsi="Open Sans" w:cs="Arial"/>
          <w:bCs/>
          <w:sz w:val="20"/>
          <w:szCs w:val="20"/>
        </w:rPr>
        <w:t>».</w:t>
      </w:r>
    </w:p>
    <w:p w14:paraId="35B1A441" w14:textId="77777777" w:rsidR="00E32033" w:rsidRDefault="00E32033" w:rsidP="00E32033">
      <w:pPr>
        <w:jc w:val="both"/>
        <w:rPr>
          <w:rFonts w:ascii="Open Sans" w:hAnsi="Open Sans" w:cs="Arial"/>
          <w:bCs/>
          <w:sz w:val="20"/>
          <w:szCs w:val="20"/>
        </w:rPr>
      </w:pPr>
    </w:p>
    <w:p w14:paraId="7AF7308B" w14:textId="77777777" w:rsidR="00E32033" w:rsidRDefault="00E32033" w:rsidP="00E32033">
      <w:pPr>
        <w:jc w:val="both"/>
        <w:rPr>
          <w:rFonts w:ascii="Open Sans" w:hAnsi="Open Sans" w:cs="Arial"/>
          <w:sz w:val="20"/>
          <w:szCs w:val="20"/>
        </w:rPr>
      </w:pPr>
      <w:r w:rsidRPr="001D079C">
        <w:rPr>
          <w:rFonts w:ascii="Open Sans" w:hAnsi="Open Sans" w:cs="Arial"/>
          <w:bCs/>
          <w:sz w:val="20"/>
          <w:szCs w:val="20"/>
        </w:rPr>
        <w:t>Tomando como referencia los listados contenidos en el Anexo II de las cuentas anuales y la información encontrada en búsquedas complementarias en bases de datos públicas como opencorporates.com, se ha identificado que</w:t>
      </w:r>
      <w:r w:rsidRPr="001D079C">
        <w:rPr>
          <w:rFonts w:ascii="Open Sans" w:hAnsi="Open Sans" w:cs="Arial"/>
          <w:sz w:val="20"/>
          <w:szCs w:val="20"/>
        </w:rPr>
        <w:t xml:space="preserve">, a 31 de diciembre de 2015 Ferrovial contaba con 65 empresas en jurisdicciones que son consideradas como paraísos (6 empresas) o nichos fiscales (59 empresas). Sin embargo la información que ofrece la empresa no es suficiente para identificar si la actividad desarrollada por cada una de ellas puede calificarse como operativa o meramente instrumental; únicamente hay evidencia de que 20 de estas empresas se orienten a actividades operativas, mientras que de las 45 restantes existen dudas sobre la actividad que desarrollan tanto por su ubicación en Delaware (30 empresas) </w:t>
      </w:r>
      <w:r>
        <w:rPr>
          <w:rFonts w:ascii="Open Sans" w:hAnsi="Open Sans" w:cs="Arial"/>
          <w:sz w:val="20"/>
          <w:szCs w:val="20"/>
        </w:rPr>
        <w:t>como por su denominación social. No se ha encontrado información que permita eliminar estas dudas.</w:t>
      </w:r>
    </w:p>
    <w:p w14:paraId="780E4A04" w14:textId="77777777" w:rsidR="00E32033" w:rsidRDefault="00E32033" w:rsidP="00E32033">
      <w:pPr>
        <w:jc w:val="both"/>
        <w:rPr>
          <w:rFonts w:ascii="Open Sans" w:hAnsi="Open Sans" w:cs="Arial"/>
          <w:sz w:val="20"/>
          <w:szCs w:val="20"/>
        </w:rPr>
      </w:pPr>
    </w:p>
    <w:p w14:paraId="573A6FAA" w14:textId="77777777" w:rsidR="00E32033" w:rsidRDefault="00E32033" w:rsidP="00E32033">
      <w:pPr>
        <w:jc w:val="both"/>
        <w:rPr>
          <w:rFonts w:ascii="Open Sans" w:hAnsi="Open Sans" w:cs="Arial"/>
          <w:sz w:val="20"/>
          <w:szCs w:val="20"/>
        </w:rPr>
      </w:pPr>
      <w:r w:rsidRPr="001D079C">
        <w:rPr>
          <w:rFonts w:ascii="Open Sans" w:hAnsi="Open Sans" w:cs="Arial"/>
          <w:sz w:val="20"/>
          <w:szCs w:val="20"/>
        </w:rPr>
        <w:t>En las cuentas anuales se publica el listado de empresas agrupadas por línea de actividad, sin embargo consideramos que esta información no es suficientemente transparente ya que, por ejemplo, entre las empresas de la línea servicios se incluye una empresa denominada Amey insurance company PCC LTD radicada en Guernesey y otra radicada en Irlanda denominada Alkes Reinsurance Limited cuya actividad parece orientarse a las actividades financieras y de seguros.</w:t>
      </w:r>
    </w:p>
    <w:p w14:paraId="36828A6C" w14:textId="49051605" w:rsidR="00E32033" w:rsidRDefault="00E32033">
      <w:pPr>
        <w:rPr>
          <w:rFonts w:ascii="Open Sans" w:hAnsi="Open Sans" w:cs="Arial"/>
          <w:sz w:val="20"/>
          <w:szCs w:val="20"/>
        </w:rPr>
      </w:pPr>
      <w:r>
        <w:rPr>
          <w:rFonts w:ascii="Open Sans" w:hAnsi="Open Sans" w:cs="Arial"/>
          <w:sz w:val="20"/>
          <w:szCs w:val="20"/>
        </w:rPr>
        <w:br w:type="page"/>
      </w:r>
    </w:p>
    <w:p w14:paraId="632A8DEA" w14:textId="77777777" w:rsidR="00E32033" w:rsidRDefault="00E32033" w:rsidP="00E32033">
      <w:pPr>
        <w:jc w:val="both"/>
        <w:rPr>
          <w:rFonts w:ascii="Open Sans" w:hAnsi="Open Sans" w:cs="Arial"/>
          <w:bCs/>
          <w:sz w:val="20"/>
          <w:szCs w:val="20"/>
        </w:rPr>
      </w:pPr>
    </w:p>
    <w:p w14:paraId="77DAC278" w14:textId="77777777" w:rsidR="00E32033" w:rsidRDefault="00E32033" w:rsidP="00E32033">
      <w:pPr>
        <w:ind w:left="720"/>
        <w:rPr>
          <w:rFonts w:ascii="Open Sans" w:hAnsi="Open Sans" w:cs="Arial"/>
          <w:bCs/>
          <w:sz w:val="22"/>
          <w:szCs w:val="22"/>
        </w:rPr>
      </w:pPr>
    </w:p>
    <w:tbl>
      <w:tblPr>
        <w:tblW w:w="8520" w:type="dxa"/>
        <w:tblInd w:w="55" w:type="dxa"/>
        <w:tblCellMar>
          <w:left w:w="70" w:type="dxa"/>
          <w:right w:w="70" w:type="dxa"/>
        </w:tblCellMar>
        <w:tblLook w:val="04A0" w:firstRow="1" w:lastRow="0" w:firstColumn="1" w:lastColumn="0" w:noHBand="0" w:noVBand="1"/>
      </w:tblPr>
      <w:tblGrid>
        <w:gridCol w:w="3798"/>
        <w:gridCol w:w="2269"/>
        <w:gridCol w:w="2453"/>
      </w:tblGrid>
      <w:tr w:rsidR="00E32033" w:rsidRPr="00B70E71" w14:paraId="68C3A9A7" w14:textId="77777777" w:rsidTr="00D639E4">
        <w:trPr>
          <w:trHeight w:val="495"/>
        </w:trPr>
        <w:tc>
          <w:tcPr>
            <w:tcW w:w="3798"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E635D26" w14:textId="77777777" w:rsidR="00E32033" w:rsidRPr="00B70E71" w:rsidRDefault="00E32033" w:rsidP="00D639E4">
            <w:pPr>
              <w:jc w:val="center"/>
              <w:rPr>
                <w:rFonts w:ascii="Calibri" w:hAnsi="Calibri"/>
                <w:b/>
                <w:bCs/>
                <w:color w:val="000000"/>
                <w:sz w:val="22"/>
                <w:szCs w:val="22"/>
              </w:rPr>
            </w:pPr>
            <w:r w:rsidRPr="00B70E71">
              <w:rPr>
                <w:rFonts w:ascii="Calibri" w:hAnsi="Calibri"/>
                <w:b/>
                <w:bCs/>
                <w:color w:val="000000"/>
                <w:sz w:val="22"/>
                <w:szCs w:val="22"/>
              </w:rPr>
              <w:t>Nombre de la Sociedad</w:t>
            </w:r>
          </w:p>
        </w:tc>
        <w:tc>
          <w:tcPr>
            <w:tcW w:w="2269" w:type="dxa"/>
            <w:tcBorders>
              <w:top w:val="single" w:sz="4" w:space="0" w:color="auto"/>
              <w:left w:val="nil"/>
              <w:bottom w:val="single" w:sz="4" w:space="0" w:color="auto"/>
              <w:right w:val="single" w:sz="4" w:space="0" w:color="auto"/>
            </w:tcBorders>
            <w:shd w:val="clear" w:color="000000" w:fill="D9D9D9"/>
            <w:noWrap/>
            <w:vAlign w:val="center"/>
            <w:hideMark/>
          </w:tcPr>
          <w:p w14:paraId="64F92F7A" w14:textId="77777777" w:rsidR="00E32033" w:rsidRPr="00B70E71" w:rsidRDefault="00E32033" w:rsidP="00D639E4">
            <w:pPr>
              <w:jc w:val="center"/>
              <w:rPr>
                <w:rFonts w:ascii="Calibri" w:hAnsi="Calibri"/>
                <w:b/>
                <w:bCs/>
                <w:color w:val="000000"/>
                <w:sz w:val="22"/>
                <w:szCs w:val="22"/>
              </w:rPr>
            </w:pPr>
            <w:r w:rsidRPr="00B70E71">
              <w:rPr>
                <w:rFonts w:ascii="Calibri" w:hAnsi="Calibri"/>
                <w:b/>
                <w:bCs/>
                <w:color w:val="000000"/>
                <w:sz w:val="22"/>
                <w:szCs w:val="22"/>
              </w:rPr>
              <w:t>Jurisdicción</w:t>
            </w:r>
          </w:p>
        </w:tc>
        <w:tc>
          <w:tcPr>
            <w:tcW w:w="2453" w:type="dxa"/>
            <w:tcBorders>
              <w:top w:val="single" w:sz="4" w:space="0" w:color="auto"/>
              <w:left w:val="nil"/>
              <w:bottom w:val="single" w:sz="4" w:space="0" w:color="auto"/>
              <w:right w:val="single" w:sz="4" w:space="0" w:color="auto"/>
            </w:tcBorders>
            <w:shd w:val="clear" w:color="000000" w:fill="D9D9D9"/>
            <w:vAlign w:val="center"/>
            <w:hideMark/>
          </w:tcPr>
          <w:p w14:paraId="469F4FC2" w14:textId="77777777" w:rsidR="00E32033" w:rsidRPr="00B70E71" w:rsidRDefault="00E32033" w:rsidP="00D639E4">
            <w:pPr>
              <w:jc w:val="center"/>
              <w:rPr>
                <w:rFonts w:ascii="Calibri" w:hAnsi="Calibri"/>
                <w:b/>
                <w:bCs/>
                <w:color w:val="000000"/>
                <w:sz w:val="22"/>
                <w:szCs w:val="22"/>
              </w:rPr>
            </w:pPr>
            <w:r w:rsidRPr="00B70E71">
              <w:rPr>
                <w:rFonts w:ascii="Calibri" w:hAnsi="Calibri"/>
                <w:b/>
                <w:bCs/>
                <w:color w:val="000000"/>
                <w:sz w:val="22"/>
                <w:szCs w:val="22"/>
              </w:rPr>
              <w:t>Actividad</w:t>
            </w:r>
          </w:p>
        </w:tc>
      </w:tr>
      <w:tr w:rsidR="00E32033" w:rsidRPr="00B70E71" w14:paraId="1A770FC0"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3550664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Sucursal en Bahamas</w:t>
            </w:r>
          </w:p>
        </w:tc>
        <w:tc>
          <w:tcPr>
            <w:tcW w:w="2269" w:type="dxa"/>
            <w:tcBorders>
              <w:top w:val="nil"/>
              <w:left w:val="nil"/>
              <w:bottom w:val="single" w:sz="4" w:space="0" w:color="auto"/>
              <w:right w:val="single" w:sz="4" w:space="0" w:color="auto"/>
            </w:tcBorders>
            <w:shd w:val="clear" w:color="auto" w:fill="auto"/>
            <w:noWrap/>
            <w:hideMark/>
          </w:tcPr>
          <w:p w14:paraId="686F856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Bahamas</w:t>
            </w:r>
          </w:p>
        </w:tc>
        <w:tc>
          <w:tcPr>
            <w:tcW w:w="2453" w:type="dxa"/>
            <w:tcBorders>
              <w:top w:val="nil"/>
              <w:left w:val="nil"/>
              <w:bottom w:val="single" w:sz="4" w:space="0" w:color="auto"/>
              <w:right w:val="single" w:sz="4" w:space="0" w:color="auto"/>
            </w:tcBorders>
            <w:shd w:val="clear" w:color="auto" w:fill="auto"/>
            <w:hideMark/>
          </w:tcPr>
          <w:p w14:paraId="195CDC2B"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33BB2E78"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64A40014" w14:textId="77777777" w:rsidR="00E32033" w:rsidRPr="00B70E71" w:rsidRDefault="00E32033" w:rsidP="00D639E4">
            <w:pPr>
              <w:rPr>
                <w:rFonts w:ascii="Open Sans" w:hAnsi="Open Sans" w:cs="Open Sans"/>
                <w:color w:val="000000"/>
                <w:sz w:val="20"/>
                <w:szCs w:val="20"/>
                <w:lang w:val="en-GB"/>
              </w:rPr>
            </w:pPr>
            <w:r w:rsidRPr="00B70E71">
              <w:rPr>
                <w:rFonts w:ascii="Open Sans" w:hAnsi="Open Sans" w:cs="Open Sans"/>
                <w:color w:val="000000"/>
                <w:sz w:val="20"/>
                <w:szCs w:val="20"/>
                <w:lang w:val="en-GB"/>
              </w:rPr>
              <w:t>Ferrovial Technical Services Middle East LLC</w:t>
            </w:r>
          </w:p>
        </w:tc>
        <w:tc>
          <w:tcPr>
            <w:tcW w:w="2269" w:type="dxa"/>
            <w:tcBorders>
              <w:top w:val="nil"/>
              <w:left w:val="nil"/>
              <w:bottom w:val="single" w:sz="4" w:space="0" w:color="auto"/>
              <w:right w:val="single" w:sz="4" w:space="0" w:color="auto"/>
            </w:tcBorders>
            <w:shd w:val="clear" w:color="auto" w:fill="auto"/>
            <w:noWrap/>
            <w:hideMark/>
          </w:tcPr>
          <w:p w14:paraId="02A3FC7A"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Dubai</w:t>
            </w:r>
          </w:p>
        </w:tc>
        <w:tc>
          <w:tcPr>
            <w:tcW w:w="2453" w:type="dxa"/>
            <w:tcBorders>
              <w:top w:val="nil"/>
              <w:left w:val="nil"/>
              <w:bottom w:val="single" w:sz="4" w:space="0" w:color="auto"/>
              <w:right w:val="single" w:sz="4" w:space="0" w:color="auto"/>
            </w:tcBorders>
            <w:shd w:val="clear" w:color="auto" w:fill="auto"/>
            <w:hideMark/>
          </w:tcPr>
          <w:p w14:paraId="6819757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4006A309"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2EF287D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Amey Consulting USA, Inc.</w:t>
            </w:r>
          </w:p>
        </w:tc>
        <w:tc>
          <w:tcPr>
            <w:tcW w:w="2269" w:type="dxa"/>
            <w:tcBorders>
              <w:top w:val="nil"/>
              <w:left w:val="nil"/>
              <w:bottom w:val="single" w:sz="4" w:space="0" w:color="auto"/>
              <w:right w:val="single" w:sz="4" w:space="0" w:color="auto"/>
            </w:tcBorders>
            <w:shd w:val="clear" w:color="auto" w:fill="auto"/>
            <w:noWrap/>
            <w:hideMark/>
          </w:tcPr>
          <w:p w14:paraId="2951F93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48D21F4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servicios</w:t>
            </w:r>
          </w:p>
        </w:tc>
      </w:tr>
      <w:tr w:rsidR="00E32033" w:rsidRPr="00B70E71" w14:paraId="786C7233"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59A96B9B"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AmeyWebber LLC</w:t>
            </w:r>
          </w:p>
        </w:tc>
        <w:tc>
          <w:tcPr>
            <w:tcW w:w="2269" w:type="dxa"/>
            <w:tcBorders>
              <w:top w:val="nil"/>
              <w:left w:val="nil"/>
              <w:bottom w:val="single" w:sz="4" w:space="0" w:color="auto"/>
              <w:right w:val="single" w:sz="4" w:space="0" w:color="auto"/>
            </w:tcBorders>
            <w:shd w:val="clear" w:color="auto" w:fill="auto"/>
            <w:noWrap/>
            <w:hideMark/>
          </w:tcPr>
          <w:p w14:paraId="53920342"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393CEAC"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Servicios)</w:t>
            </w:r>
          </w:p>
        </w:tc>
      </w:tr>
      <w:tr w:rsidR="00E32033" w:rsidRPr="00B70E71" w14:paraId="521751ED"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736606E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Cadagua US LLC</w:t>
            </w:r>
          </w:p>
        </w:tc>
        <w:tc>
          <w:tcPr>
            <w:tcW w:w="2269" w:type="dxa"/>
            <w:tcBorders>
              <w:top w:val="nil"/>
              <w:left w:val="nil"/>
              <w:bottom w:val="single" w:sz="4" w:space="0" w:color="auto"/>
              <w:right w:val="single" w:sz="4" w:space="0" w:color="auto"/>
            </w:tcBorders>
            <w:shd w:val="clear" w:color="auto" w:fill="auto"/>
            <w:noWrap/>
            <w:hideMark/>
          </w:tcPr>
          <w:p w14:paraId="2C24FB22"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1C3080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6577DACD"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63AECE15"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HOLDING US CORP.</w:t>
            </w:r>
          </w:p>
        </w:tc>
        <w:tc>
          <w:tcPr>
            <w:tcW w:w="2269" w:type="dxa"/>
            <w:tcBorders>
              <w:top w:val="nil"/>
              <w:left w:val="nil"/>
              <w:bottom w:val="single" w:sz="4" w:space="0" w:color="auto"/>
              <w:right w:val="single" w:sz="4" w:space="0" w:color="auto"/>
            </w:tcBorders>
            <w:shd w:val="clear" w:color="auto" w:fill="auto"/>
            <w:noWrap/>
            <w:hideMark/>
          </w:tcPr>
          <w:p w14:paraId="4424E56D"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568272B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307941DD"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4211E222"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I-77 Corp</w:t>
            </w:r>
          </w:p>
        </w:tc>
        <w:tc>
          <w:tcPr>
            <w:tcW w:w="2269" w:type="dxa"/>
            <w:tcBorders>
              <w:top w:val="nil"/>
              <w:left w:val="nil"/>
              <w:bottom w:val="single" w:sz="4" w:space="0" w:color="auto"/>
              <w:right w:val="single" w:sz="4" w:space="0" w:color="auto"/>
            </w:tcBorders>
            <w:shd w:val="clear" w:color="auto" w:fill="auto"/>
            <w:noWrap/>
            <w:hideMark/>
          </w:tcPr>
          <w:p w14:paraId="431D0F4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4CDF602B"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6B58CF5C"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36E098DF"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CINTRA I-77 MOBILITY PARTNERS LLC</w:t>
            </w:r>
          </w:p>
        </w:tc>
        <w:tc>
          <w:tcPr>
            <w:tcW w:w="2269" w:type="dxa"/>
            <w:tcBorders>
              <w:top w:val="nil"/>
              <w:left w:val="nil"/>
              <w:bottom w:val="single" w:sz="4" w:space="0" w:color="auto"/>
              <w:right w:val="single" w:sz="4" w:space="0" w:color="auto"/>
            </w:tcBorders>
            <w:shd w:val="clear" w:color="auto" w:fill="auto"/>
            <w:noWrap/>
            <w:hideMark/>
          </w:tcPr>
          <w:p w14:paraId="615577D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6E2F189"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6FB77913"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4917FE4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ITR LLC</w:t>
            </w:r>
          </w:p>
        </w:tc>
        <w:tc>
          <w:tcPr>
            <w:tcW w:w="2269" w:type="dxa"/>
            <w:tcBorders>
              <w:top w:val="nil"/>
              <w:left w:val="nil"/>
              <w:bottom w:val="single" w:sz="4" w:space="0" w:color="auto"/>
              <w:right w:val="single" w:sz="4" w:space="0" w:color="auto"/>
            </w:tcBorders>
            <w:shd w:val="clear" w:color="auto" w:fill="auto"/>
            <w:noWrap/>
            <w:hideMark/>
          </w:tcPr>
          <w:p w14:paraId="3882950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49BFFF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7ADA96A4"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6CACBFA4"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LBJ, LLC</w:t>
            </w:r>
          </w:p>
        </w:tc>
        <w:tc>
          <w:tcPr>
            <w:tcW w:w="2269" w:type="dxa"/>
            <w:tcBorders>
              <w:top w:val="nil"/>
              <w:left w:val="nil"/>
              <w:bottom w:val="single" w:sz="4" w:space="0" w:color="auto"/>
              <w:right w:val="single" w:sz="4" w:space="0" w:color="auto"/>
            </w:tcBorders>
            <w:shd w:val="clear" w:color="auto" w:fill="auto"/>
            <w:noWrap/>
            <w:hideMark/>
          </w:tcPr>
          <w:p w14:paraId="3A40EC9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67C139FD"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0E3C3992"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2ED21BD2"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CINTRA NTE MOBILITY PARTNERS SEGMENTS 3 LLC</w:t>
            </w:r>
          </w:p>
        </w:tc>
        <w:tc>
          <w:tcPr>
            <w:tcW w:w="2269" w:type="dxa"/>
            <w:tcBorders>
              <w:top w:val="nil"/>
              <w:left w:val="nil"/>
              <w:bottom w:val="single" w:sz="4" w:space="0" w:color="auto"/>
              <w:right w:val="single" w:sz="4" w:space="0" w:color="auto"/>
            </w:tcBorders>
            <w:shd w:val="clear" w:color="auto" w:fill="auto"/>
            <w:noWrap/>
            <w:hideMark/>
          </w:tcPr>
          <w:p w14:paraId="4D82261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14FB7821"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35F19EAA"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377956A1"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NTE, LLC</w:t>
            </w:r>
          </w:p>
        </w:tc>
        <w:tc>
          <w:tcPr>
            <w:tcW w:w="2269" w:type="dxa"/>
            <w:tcBorders>
              <w:top w:val="nil"/>
              <w:left w:val="nil"/>
              <w:bottom w:val="single" w:sz="4" w:space="0" w:color="auto"/>
              <w:right w:val="single" w:sz="4" w:space="0" w:color="auto"/>
            </w:tcBorders>
            <w:shd w:val="clear" w:color="auto" w:fill="auto"/>
            <w:noWrap/>
            <w:hideMark/>
          </w:tcPr>
          <w:p w14:paraId="44FD27FE"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3EF41C62"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0A4A26C8"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1160A90A"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SKYWAY LLC</w:t>
            </w:r>
          </w:p>
        </w:tc>
        <w:tc>
          <w:tcPr>
            <w:tcW w:w="2269" w:type="dxa"/>
            <w:tcBorders>
              <w:top w:val="nil"/>
              <w:left w:val="nil"/>
              <w:bottom w:val="single" w:sz="4" w:space="0" w:color="auto"/>
              <w:right w:val="single" w:sz="4" w:space="0" w:color="auto"/>
            </w:tcBorders>
            <w:shd w:val="clear" w:color="auto" w:fill="auto"/>
            <w:noWrap/>
            <w:hideMark/>
          </w:tcPr>
          <w:p w14:paraId="4441B0D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729D12B"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211D55F4"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59BE770F"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Texas 56, LLC</w:t>
            </w:r>
          </w:p>
        </w:tc>
        <w:tc>
          <w:tcPr>
            <w:tcW w:w="2269" w:type="dxa"/>
            <w:tcBorders>
              <w:top w:val="nil"/>
              <w:left w:val="nil"/>
              <w:bottom w:val="single" w:sz="4" w:space="0" w:color="auto"/>
              <w:right w:val="single" w:sz="4" w:space="0" w:color="auto"/>
            </w:tcBorders>
            <w:shd w:val="clear" w:color="auto" w:fill="auto"/>
            <w:noWrap/>
            <w:hideMark/>
          </w:tcPr>
          <w:p w14:paraId="7AEA615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CA4960E"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7BC0DE37"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7D773453"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TEXAS CORP.</w:t>
            </w:r>
          </w:p>
        </w:tc>
        <w:tc>
          <w:tcPr>
            <w:tcW w:w="2269" w:type="dxa"/>
            <w:tcBorders>
              <w:top w:val="nil"/>
              <w:left w:val="nil"/>
              <w:bottom w:val="single" w:sz="4" w:space="0" w:color="auto"/>
              <w:right w:val="single" w:sz="4" w:space="0" w:color="auto"/>
            </w:tcBorders>
            <w:shd w:val="clear" w:color="auto" w:fill="auto"/>
            <w:noWrap/>
            <w:hideMark/>
          </w:tcPr>
          <w:p w14:paraId="611F475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7FFCF50"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0245470F"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3119DFFD"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Cintra Toll Services, LLC</w:t>
            </w:r>
          </w:p>
        </w:tc>
        <w:tc>
          <w:tcPr>
            <w:tcW w:w="2269" w:type="dxa"/>
            <w:tcBorders>
              <w:top w:val="nil"/>
              <w:left w:val="nil"/>
              <w:bottom w:val="single" w:sz="4" w:space="0" w:color="auto"/>
              <w:right w:val="single" w:sz="4" w:space="0" w:color="auto"/>
            </w:tcBorders>
            <w:shd w:val="clear" w:color="auto" w:fill="auto"/>
            <w:noWrap/>
            <w:hideMark/>
          </w:tcPr>
          <w:p w14:paraId="48B2B81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B4C1EC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1013CB06"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36C3B59C"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Ferrovial Agroman US Corp</w:t>
            </w:r>
          </w:p>
        </w:tc>
        <w:tc>
          <w:tcPr>
            <w:tcW w:w="2269" w:type="dxa"/>
            <w:tcBorders>
              <w:top w:val="nil"/>
              <w:left w:val="nil"/>
              <w:bottom w:val="single" w:sz="4" w:space="0" w:color="auto"/>
              <w:right w:val="single" w:sz="4" w:space="0" w:color="auto"/>
            </w:tcBorders>
            <w:shd w:val="clear" w:color="auto" w:fill="auto"/>
            <w:noWrap/>
            <w:hideMark/>
          </w:tcPr>
          <w:p w14:paraId="0D1AED2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5D07D21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71F126A8"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626052A9"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FERROVIAL HOLDING US CORP.</w:t>
            </w:r>
          </w:p>
        </w:tc>
        <w:tc>
          <w:tcPr>
            <w:tcW w:w="2269" w:type="dxa"/>
            <w:tcBorders>
              <w:top w:val="nil"/>
              <w:left w:val="nil"/>
              <w:bottom w:val="single" w:sz="4" w:space="0" w:color="auto"/>
              <w:right w:val="single" w:sz="4" w:space="0" w:color="auto"/>
            </w:tcBorders>
            <w:shd w:val="clear" w:color="auto" w:fill="auto"/>
            <w:noWrap/>
            <w:hideMark/>
          </w:tcPr>
          <w:p w14:paraId="2450010D"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C451987"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Construcción-autopistas (En memoria: Línea autopistas)</w:t>
            </w:r>
          </w:p>
        </w:tc>
      </w:tr>
      <w:tr w:rsidR="00E32033" w:rsidRPr="00B70E71" w14:paraId="5C93AB61"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4B64FA5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FERROVIAL US CONSTRUCTION CORP.</w:t>
            </w:r>
          </w:p>
        </w:tc>
        <w:tc>
          <w:tcPr>
            <w:tcW w:w="2269" w:type="dxa"/>
            <w:tcBorders>
              <w:top w:val="nil"/>
              <w:left w:val="nil"/>
              <w:bottom w:val="single" w:sz="4" w:space="0" w:color="auto"/>
              <w:right w:val="single" w:sz="4" w:space="0" w:color="auto"/>
            </w:tcBorders>
            <w:shd w:val="clear" w:color="auto" w:fill="auto"/>
            <w:noWrap/>
            <w:hideMark/>
          </w:tcPr>
          <w:p w14:paraId="7BE4801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813042B"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705AA124"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28228633" w14:textId="77777777" w:rsidR="00E32033" w:rsidRPr="00B70E71" w:rsidRDefault="00E32033" w:rsidP="00D639E4">
            <w:pPr>
              <w:rPr>
                <w:rFonts w:ascii="Open Sans" w:hAnsi="Open Sans" w:cs="Open Sans"/>
                <w:color w:val="000000"/>
                <w:sz w:val="20"/>
                <w:szCs w:val="20"/>
                <w:lang w:val="en-GB"/>
              </w:rPr>
            </w:pPr>
            <w:r w:rsidRPr="00B70E71">
              <w:rPr>
                <w:rFonts w:ascii="Open Sans" w:hAnsi="Open Sans" w:cs="Open Sans"/>
                <w:color w:val="000000"/>
                <w:sz w:val="20"/>
                <w:szCs w:val="20"/>
                <w:lang w:val="en-GB"/>
              </w:rPr>
              <w:t>I-77 MOBILITY PARTNERS HOLDING LLC</w:t>
            </w:r>
          </w:p>
        </w:tc>
        <w:tc>
          <w:tcPr>
            <w:tcW w:w="2269" w:type="dxa"/>
            <w:tcBorders>
              <w:top w:val="nil"/>
              <w:left w:val="nil"/>
              <w:bottom w:val="single" w:sz="4" w:space="0" w:color="auto"/>
              <w:right w:val="single" w:sz="4" w:space="0" w:color="auto"/>
            </w:tcBorders>
            <w:shd w:val="clear" w:color="auto" w:fill="auto"/>
            <w:noWrap/>
            <w:hideMark/>
          </w:tcPr>
          <w:p w14:paraId="4F8323D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7502328F"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1AD9E5EA"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5FE4D26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I-77 MOBILITY PARTNERS LLC</w:t>
            </w:r>
          </w:p>
        </w:tc>
        <w:tc>
          <w:tcPr>
            <w:tcW w:w="2269" w:type="dxa"/>
            <w:tcBorders>
              <w:top w:val="nil"/>
              <w:left w:val="nil"/>
              <w:bottom w:val="single" w:sz="4" w:space="0" w:color="auto"/>
              <w:right w:val="single" w:sz="4" w:space="0" w:color="auto"/>
            </w:tcBorders>
            <w:shd w:val="clear" w:color="auto" w:fill="auto"/>
            <w:noWrap/>
            <w:hideMark/>
          </w:tcPr>
          <w:p w14:paraId="6868515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5048E7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57A481C4"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3455F975"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LBJ INFRASTRUCTURE GROUP HOLDING LLC</w:t>
            </w:r>
          </w:p>
        </w:tc>
        <w:tc>
          <w:tcPr>
            <w:tcW w:w="2269" w:type="dxa"/>
            <w:tcBorders>
              <w:top w:val="nil"/>
              <w:left w:val="nil"/>
              <w:bottom w:val="single" w:sz="4" w:space="0" w:color="auto"/>
              <w:right w:val="single" w:sz="4" w:space="0" w:color="auto"/>
            </w:tcBorders>
            <w:shd w:val="clear" w:color="auto" w:fill="auto"/>
            <w:noWrap/>
            <w:hideMark/>
          </w:tcPr>
          <w:p w14:paraId="614FC0DD"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4BA6C370"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4FFD6180"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5D13337D"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LBJ Infrastructure Group LLC</w:t>
            </w:r>
          </w:p>
        </w:tc>
        <w:tc>
          <w:tcPr>
            <w:tcW w:w="2269" w:type="dxa"/>
            <w:tcBorders>
              <w:top w:val="nil"/>
              <w:left w:val="nil"/>
              <w:bottom w:val="single" w:sz="4" w:space="0" w:color="auto"/>
              <w:right w:val="single" w:sz="4" w:space="0" w:color="auto"/>
            </w:tcBorders>
            <w:shd w:val="clear" w:color="auto" w:fill="auto"/>
            <w:noWrap/>
            <w:hideMark/>
          </w:tcPr>
          <w:p w14:paraId="44AB22D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7464898A"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672B285D"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46925AC5"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NTE MOBILITY PARTNERS HOLDING LLC</w:t>
            </w:r>
          </w:p>
        </w:tc>
        <w:tc>
          <w:tcPr>
            <w:tcW w:w="2269" w:type="dxa"/>
            <w:tcBorders>
              <w:top w:val="nil"/>
              <w:left w:val="nil"/>
              <w:bottom w:val="single" w:sz="4" w:space="0" w:color="auto"/>
              <w:right w:val="single" w:sz="4" w:space="0" w:color="auto"/>
            </w:tcBorders>
            <w:shd w:val="clear" w:color="auto" w:fill="auto"/>
            <w:noWrap/>
            <w:hideMark/>
          </w:tcPr>
          <w:p w14:paraId="77B10749"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5D7185E9"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43FC9DCA"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7DB86720"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NTE MOBILITY PARTNERS LLC</w:t>
            </w:r>
          </w:p>
        </w:tc>
        <w:tc>
          <w:tcPr>
            <w:tcW w:w="2269" w:type="dxa"/>
            <w:tcBorders>
              <w:top w:val="nil"/>
              <w:left w:val="nil"/>
              <w:bottom w:val="single" w:sz="4" w:space="0" w:color="auto"/>
              <w:right w:val="single" w:sz="4" w:space="0" w:color="auto"/>
            </w:tcBorders>
            <w:shd w:val="clear" w:color="auto" w:fill="auto"/>
            <w:noWrap/>
            <w:hideMark/>
          </w:tcPr>
          <w:p w14:paraId="265933A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47207A32"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6A385F5E"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4D3E2F1D"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NTE MOBILITY PARTNERS SEGMENTS 2-4 LLC</w:t>
            </w:r>
          </w:p>
        </w:tc>
        <w:tc>
          <w:tcPr>
            <w:tcW w:w="2269" w:type="dxa"/>
            <w:tcBorders>
              <w:top w:val="nil"/>
              <w:left w:val="nil"/>
              <w:bottom w:val="single" w:sz="4" w:space="0" w:color="auto"/>
              <w:right w:val="single" w:sz="4" w:space="0" w:color="auto"/>
            </w:tcBorders>
            <w:shd w:val="clear" w:color="auto" w:fill="auto"/>
            <w:noWrap/>
            <w:hideMark/>
          </w:tcPr>
          <w:p w14:paraId="65A2587B"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0294492"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15953603"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0FAF7A2F"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NTE MOBILITY PARTNERS SEGMENTS 3 HOLDING LLC</w:t>
            </w:r>
          </w:p>
        </w:tc>
        <w:tc>
          <w:tcPr>
            <w:tcW w:w="2269" w:type="dxa"/>
            <w:tcBorders>
              <w:top w:val="nil"/>
              <w:left w:val="nil"/>
              <w:bottom w:val="single" w:sz="4" w:space="0" w:color="auto"/>
              <w:right w:val="single" w:sz="4" w:space="0" w:color="auto"/>
            </w:tcBorders>
            <w:shd w:val="clear" w:color="auto" w:fill="auto"/>
            <w:noWrap/>
            <w:hideMark/>
          </w:tcPr>
          <w:p w14:paraId="59EF192A"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44A5540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713187C6"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1845BDAD"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NTE MOBILITY PARTNERS SEGMENTS 3 LLC</w:t>
            </w:r>
          </w:p>
        </w:tc>
        <w:tc>
          <w:tcPr>
            <w:tcW w:w="2269" w:type="dxa"/>
            <w:tcBorders>
              <w:top w:val="nil"/>
              <w:left w:val="nil"/>
              <w:bottom w:val="single" w:sz="4" w:space="0" w:color="auto"/>
              <w:right w:val="single" w:sz="4" w:space="0" w:color="auto"/>
            </w:tcBorders>
            <w:shd w:val="clear" w:color="auto" w:fill="auto"/>
            <w:noWrap/>
            <w:hideMark/>
          </w:tcPr>
          <w:p w14:paraId="468A4C3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429BE1C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5576516A"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1432BA22"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SH-130 Concession Company, LLC</w:t>
            </w:r>
          </w:p>
        </w:tc>
        <w:tc>
          <w:tcPr>
            <w:tcW w:w="2269" w:type="dxa"/>
            <w:tcBorders>
              <w:top w:val="nil"/>
              <w:left w:val="nil"/>
              <w:bottom w:val="single" w:sz="4" w:space="0" w:color="auto"/>
              <w:right w:val="single" w:sz="4" w:space="0" w:color="auto"/>
            </w:tcBorders>
            <w:shd w:val="clear" w:color="auto" w:fill="auto"/>
            <w:noWrap/>
            <w:hideMark/>
          </w:tcPr>
          <w:p w14:paraId="791B5FEC"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A3BDC11"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6E662502"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371E3629"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SKYWAY CONCESSION COMPANY LLC</w:t>
            </w:r>
          </w:p>
        </w:tc>
        <w:tc>
          <w:tcPr>
            <w:tcW w:w="2269" w:type="dxa"/>
            <w:tcBorders>
              <w:top w:val="nil"/>
              <w:left w:val="nil"/>
              <w:bottom w:val="single" w:sz="4" w:space="0" w:color="auto"/>
              <w:right w:val="single" w:sz="4" w:space="0" w:color="auto"/>
            </w:tcBorders>
            <w:shd w:val="clear" w:color="auto" w:fill="auto"/>
            <w:noWrap/>
            <w:hideMark/>
          </w:tcPr>
          <w:p w14:paraId="1D1096E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079740F"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autopistas</w:t>
            </w:r>
          </w:p>
        </w:tc>
      </w:tr>
      <w:tr w:rsidR="00E32033" w:rsidRPr="00B70E71" w14:paraId="1BB15E57"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5FA6BB74"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Sugar Creek Construction LLC</w:t>
            </w:r>
          </w:p>
        </w:tc>
        <w:tc>
          <w:tcPr>
            <w:tcW w:w="2269" w:type="dxa"/>
            <w:tcBorders>
              <w:top w:val="nil"/>
              <w:left w:val="nil"/>
              <w:bottom w:val="single" w:sz="4" w:space="0" w:color="auto"/>
              <w:right w:val="single" w:sz="4" w:space="0" w:color="auto"/>
            </w:tcBorders>
            <w:shd w:val="clear" w:color="auto" w:fill="auto"/>
            <w:noWrap/>
            <w:hideMark/>
          </w:tcPr>
          <w:p w14:paraId="1A72498E"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2D7C7C1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056149A6"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7E7CFD3A"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US 460 MOBILITY PARTNERS, LLC</w:t>
            </w:r>
          </w:p>
        </w:tc>
        <w:tc>
          <w:tcPr>
            <w:tcW w:w="2269" w:type="dxa"/>
            <w:tcBorders>
              <w:top w:val="nil"/>
              <w:left w:val="nil"/>
              <w:bottom w:val="single" w:sz="4" w:space="0" w:color="auto"/>
              <w:right w:val="single" w:sz="4" w:space="0" w:color="auto"/>
            </w:tcBorders>
            <w:shd w:val="clear" w:color="auto" w:fill="auto"/>
            <w:noWrap/>
            <w:hideMark/>
          </w:tcPr>
          <w:p w14:paraId="1C0BA12B"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EEUU Delaware</w:t>
            </w:r>
          </w:p>
        </w:tc>
        <w:tc>
          <w:tcPr>
            <w:tcW w:w="2453" w:type="dxa"/>
            <w:tcBorders>
              <w:top w:val="nil"/>
              <w:left w:val="nil"/>
              <w:bottom w:val="single" w:sz="4" w:space="0" w:color="auto"/>
              <w:right w:val="single" w:sz="4" w:space="0" w:color="auto"/>
            </w:tcBorders>
            <w:shd w:val="clear" w:color="auto" w:fill="auto"/>
            <w:hideMark/>
          </w:tcPr>
          <w:p w14:paraId="0532B54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48875891"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00532B84" w14:textId="77777777" w:rsidR="00E32033" w:rsidRPr="00B70E71" w:rsidRDefault="00E32033" w:rsidP="00D639E4">
            <w:pPr>
              <w:rPr>
                <w:rFonts w:ascii="Open Sans" w:hAnsi="Open Sans" w:cs="Open Sans"/>
                <w:color w:val="000000"/>
                <w:sz w:val="20"/>
                <w:szCs w:val="20"/>
                <w:lang w:val="en-GB"/>
              </w:rPr>
            </w:pPr>
            <w:r w:rsidRPr="00B70E71">
              <w:rPr>
                <w:rFonts w:ascii="Open Sans" w:hAnsi="Open Sans" w:cs="Open Sans"/>
                <w:color w:val="000000"/>
                <w:sz w:val="20"/>
                <w:szCs w:val="20"/>
                <w:lang w:val="en-GB"/>
              </w:rPr>
              <w:t>AMEY INSURANCE COMPANY PCC LTD</w:t>
            </w:r>
          </w:p>
        </w:tc>
        <w:tc>
          <w:tcPr>
            <w:tcW w:w="2269" w:type="dxa"/>
            <w:tcBorders>
              <w:top w:val="nil"/>
              <w:left w:val="nil"/>
              <w:bottom w:val="single" w:sz="4" w:space="0" w:color="auto"/>
              <w:right w:val="single" w:sz="4" w:space="0" w:color="auto"/>
            </w:tcBorders>
            <w:shd w:val="clear" w:color="auto" w:fill="auto"/>
            <w:noWrap/>
            <w:hideMark/>
          </w:tcPr>
          <w:p w14:paraId="11B92200"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Guernesey</w:t>
            </w:r>
          </w:p>
        </w:tc>
        <w:tc>
          <w:tcPr>
            <w:tcW w:w="2453" w:type="dxa"/>
            <w:tcBorders>
              <w:top w:val="nil"/>
              <w:left w:val="nil"/>
              <w:bottom w:val="single" w:sz="4" w:space="0" w:color="auto"/>
              <w:right w:val="single" w:sz="4" w:space="0" w:color="auto"/>
            </w:tcBorders>
            <w:shd w:val="clear" w:color="auto" w:fill="auto"/>
            <w:hideMark/>
          </w:tcPr>
          <w:p w14:paraId="065A1293"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(Linea Servicios)</w:t>
            </w:r>
          </w:p>
        </w:tc>
      </w:tr>
      <w:tr w:rsidR="00E32033" w:rsidRPr="00B70E71" w14:paraId="1140B812"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0B5D836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Alkes Reinsurance Limited</w:t>
            </w:r>
          </w:p>
        </w:tc>
        <w:tc>
          <w:tcPr>
            <w:tcW w:w="2269" w:type="dxa"/>
            <w:tcBorders>
              <w:top w:val="nil"/>
              <w:left w:val="nil"/>
              <w:bottom w:val="single" w:sz="4" w:space="0" w:color="auto"/>
              <w:right w:val="single" w:sz="4" w:space="0" w:color="auto"/>
            </w:tcBorders>
            <w:shd w:val="clear" w:color="auto" w:fill="auto"/>
            <w:noWrap/>
            <w:hideMark/>
          </w:tcPr>
          <w:p w14:paraId="1D87ED5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02A8653E"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Corporación</w:t>
            </w:r>
          </w:p>
        </w:tc>
      </w:tr>
      <w:tr w:rsidR="00E32033" w:rsidRPr="00B70E71" w14:paraId="7D05D5A6"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7AE2350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Cinsac, Ltd.</w:t>
            </w:r>
          </w:p>
        </w:tc>
        <w:tc>
          <w:tcPr>
            <w:tcW w:w="2269" w:type="dxa"/>
            <w:tcBorders>
              <w:top w:val="nil"/>
              <w:left w:val="nil"/>
              <w:bottom w:val="single" w:sz="4" w:space="0" w:color="auto"/>
              <w:right w:val="single" w:sz="4" w:space="0" w:color="auto"/>
            </w:tcBorders>
            <w:shd w:val="clear" w:color="auto" w:fill="auto"/>
            <w:noWrap/>
            <w:hideMark/>
          </w:tcPr>
          <w:p w14:paraId="531917A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04AD0783"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autopistas)</w:t>
            </w:r>
          </w:p>
        </w:tc>
      </w:tr>
      <w:tr w:rsidR="00E32033" w:rsidRPr="00B70E71" w14:paraId="06D88D55"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63E22FD2"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Financinfrastructures</w:t>
            </w:r>
          </w:p>
        </w:tc>
        <w:tc>
          <w:tcPr>
            <w:tcW w:w="2269" w:type="dxa"/>
            <w:tcBorders>
              <w:top w:val="nil"/>
              <w:left w:val="nil"/>
              <w:bottom w:val="single" w:sz="4" w:space="0" w:color="auto"/>
              <w:right w:val="single" w:sz="4" w:space="0" w:color="auto"/>
            </w:tcBorders>
            <w:shd w:val="clear" w:color="auto" w:fill="auto"/>
            <w:noWrap/>
            <w:hideMark/>
          </w:tcPr>
          <w:p w14:paraId="7751887E"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0DEE379F"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autopistas)</w:t>
            </w:r>
          </w:p>
        </w:tc>
      </w:tr>
      <w:tr w:rsidR="00E32033" w:rsidRPr="00B70E71" w14:paraId="4699B01C"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3CB29CB1"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 xml:space="preserve">Landmille, Ltd. </w:t>
            </w:r>
          </w:p>
        </w:tc>
        <w:tc>
          <w:tcPr>
            <w:tcW w:w="2269" w:type="dxa"/>
            <w:tcBorders>
              <w:top w:val="nil"/>
              <w:left w:val="nil"/>
              <w:bottom w:val="single" w:sz="4" w:space="0" w:color="auto"/>
              <w:right w:val="single" w:sz="4" w:space="0" w:color="auto"/>
            </w:tcBorders>
            <w:shd w:val="clear" w:color="auto" w:fill="auto"/>
            <w:noWrap/>
            <w:hideMark/>
          </w:tcPr>
          <w:p w14:paraId="2B320F9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3A8CCCCD"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Servicios)</w:t>
            </w:r>
          </w:p>
        </w:tc>
      </w:tr>
      <w:tr w:rsidR="00E32033" w:rsidRPr="00B70E71" w14:paraId="2A01FEDE"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110601A2"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Natan Developments Ltd.</w:t>
            </w:r>
          </w:p>
        </w:tc>
        <w:tc>
          <w:tcPr>
            <w:tcW w:w="2269" w:type="dxa"/>
            <w:tcBorders>
              <w:top w:val="nil"/>
              <w:left w:val="nil"/>
              <w:bottom w:val="single" w:sz="4" w:space="0" w:color="auto"/>
              <w:right w:val="single" w:sz="4" w:space="0" w:color="auto"/>
            </w:tcBorders>
            <w:shd w:val="clear" w:color="auto" w:fill="auto"/>
            <w:noWrap/>
            <w:hideMark/>
          </w:tcPr>
          <w:p w14:paraId="2E79671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0273A80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Desconocida</w:t>
            </w:r>
          </w:p>
        </w:tc>
      </w:tr>
      <w:tr w:rsidR="00E32033" w:rsidRPr="00B70E71" w14:paraId="50BB6C51"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299B5AD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Kripton Ra, S.A. (a)</w:t>
            </w:r>
          </w:p>
        </w:tc>
        <w:tc>
          <w:tcPr>
            <w:tcW w:w="2269" w:type="dxa"/>
            <w:tcBorders>
              <w:top w:val="nil"/>
              <w:left w:val="nil"/>
              <w:bottom w:val="single" w:sz="4" w:space="0" w:color="auto"/>
              <w:right w:val="single" w:sz="4" w:space="0" w:color="auto"/>
            </w:tcBorders>
            <w:shd w:val="clear" w:color="auto" w:fill="auto"/>
            <w:noWrap/>
            <w:hideMark/>
          </w:tcPr>
          <w:p w14:paraId="47F828C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Luxemburgo</w:t>
            </w:r>
          </w:p>
        </w:tc>
        <w:tc>
          <w:tcPr>
            <w:tcW w:w="2453" w:type="dxa"/>
            <w:tcBorders>
              <w:top w:val="nil"/>
              <w:left w:val="nil"/>
              <w:bottom w:val="single" w:sz="4" w:space="0" w:color="auto"/>
              <w:right w:val="single" w:sz="4" w:space="0" w:color="auto"/>
            </w:tcBorders>
            <w:shd w:val="clear" w:color="auto" w:fill="auto"/>
            <w:hideMark/>
          </w:tcPr>
          <w:p w14:paraId="1640D86C"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Corporación</w:t>
            </w:r>
          </w:p>
        </w:tc>
      </w:tr>
      <w:tr w:rsidR="00E32033" w:rsidRPr="00B70E71" w14:paraId="422E4B00"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41374B6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407 TORONTO HIGHWAY B.V</w:t>
            </w:r>
          </w:p>
        </w:tc>
        <w:tc>
          <w:tcPr>
            <w:tcW w:w="2269" w:type="dxa"/>
            <w:tcBorders>
              <w:top w:val="nil"/>
              <w:left w:val="nil"/>
              <w:bottom w:val="single" w:sz="4" w:space="0" w:color="auto"/>
              <w:right w:val="single" w:sz="4" w:space="0" w:color="auto"/>
            </w:tcBorders>
            <w:shd w:val="clear" w:color="auto" w:fill="auto"/>
            <w:hideMark/>
          </w:tcPr>
          <w:p w14:paraId="0154581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Países Bajos</w:t>
            </w:r>
          </w:p>
        </w:tc>
        <w:tc>
          <w:tcPr>
            <w:tcW w:w="2453" w:type="dxa"/>
            <w:tcBorders>
              <w:top w:val="nil"/>
              <w:left w:val="nil"/>
              <w:bottom w:val="single" w:sz="4" w:space="0" w:color="auto"/>
              <w:right w:val="single" w:sz="4" w:space="0" w:color="auto"/>
            </w:tcBorders>
            <w:shd w:val="clear" w:color="auto" w:fill="auto"/>
            <w:hideMark/>
          </w:tcPr>
          <w:p w14:paraId="1BC3D0CF"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autopistas)</w:t>
            </w:r>
          </w:p>
        </w:tc>
      </w:tr>
      <w:tr w:rsidR="00E32033" w:rsidRPr="00B70E71" w14:paraId="2A5A9F86"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05000E0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ALGARVE INTERNATIONAL B.V.</w:t>
            </w:r>
          </w:p>
        </w:tc>
        <w:tc>
          <w:tcPr>
            <w:tcW w:w="2269" w:type="dxa"/>
            <w:tcBorders>
              <w:top w:val="nil"/>
              <w:left w:val="nil"/>
              <w:bottom w:val="single" w:sz="4" w:space="0" w:color="auto"/>
              <w:right w:val="single" w:sz="4" w:space="0" w:color="auto"/>
            </w:tcBorders>
            <w:shd w:val="clear" w:color="auto" w:fill="auto"/>
            <w:noWrap/>
            <w:hideMark/>
          </w:tcPr>
          <w:p w14:paraId="6E26648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Países Bajos</w:t>
            </w:r>
          </w:p>
        </w:tc>
        <w:tc>
          <w:tcPr>
            <w:tcW w:w="2453" w:type="dxa"/>
            <w:tcBorders>
              <w:top w:val="nil"/>
              <w:left w:val="nil"/>
              <w:bottom w:val="single" w:sz="4" w:space="0" w:color="auto"/>
              <w:right w:val="single" w:sz="4" w:space="0" w:color="auto"/>
            </w:tcBorders>
            <w:shd w:val="clear" w:color="auto" w:fill="auto"/>
            <w:hideMark/>
          </w:tcPr>
          <w:p w14:paraId="51EA736B"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autopistas)</w:t>
            </w:r>
          </w:p>
        </w:tc>
      </w:tr>
      <w:tr w:rsidR="00E32033" w:rsidRPr="00B70E71" w14:paraId="4AF18BF8"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71A68E6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CONSTCO HOLDINGS B.V.</w:t>
            </w:r>
          </w:p>
        </w:tc>
        <w:tc>
          <w:tcPr>
            <w:tcW w:w="2269" w:type="dxa"/>
            <w:tcBorders>
              <w:top w:val="nil"/>
              <w:left w:val="nil"/>
              <w:bottom w:val="single" w:sz="4" w:space="0" w:color="auto"/>
              <w:right w:val="single" w:sz="4" w:space="0" w:color="auto"/>
            </w:tcBorders>
            <w:shd w:val="clear" w:color="auto" w:fill="auto"/>
            <w:noWrap/>
            <w:hideMark/>
          </w:tcPr>
          <w:p w14:paraId="1DB0E9A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Países Bajos</w:t>
            </w:r>
          </w:p>
        </w:tc>
        <w:tc>
          <w:tcPr>
            <w:tcW w:w="2453" w:type="dxa"/>
            <w:tcBorders>
              <w:top w:val="nil"/>
              <w:left w:val="nil"/>
              <w:bottom w:val="single" w:sz="4" w:space="0" w:color="auto"/>
              <w:right w:val="single" w:sz="4" w:space="0" w:color="auto"/>
            </w:tcBorders>
            <w:shd w:val="clear" w:color="auto" w:fill="auto"/>
            <w:hideMark/>
          </w:tcPr>
          <w:p w14:paraId="270020A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Actividad desconocida (Línea construcción)</w:t>
            </w:r>
          </w:p>
        </w:tc>
      </w:tr>
      <w:tr w:rsidR="00E32033" w:rsidRPr="00B70E71" w14:paraId="71933E49"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2F93991D"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Faero Latam B.V.</w:t>
            </w:r>
          </w:p>
        </w:tc>
        <w:tc>
          <w:tcPr>
            <w:tcW w:w="2269" w:type="dxa"/>
            <w:tcBorders>
              <w:top w:val="nil"/>
              <w:left w:val="nil"/>
              <w:bottom w:val="single" w:sz="4" w:space="0" w:color="auto"/>
              <w:right w:val="single" w:sz="4" w:space="0" w:color="auto"/>
            </w:tcBorders>
            <w:shd w:val="clear" w:color="auto" w:fill="auto"/>
            <w:noWrap/>
            <w:hideMark/>
          </w:tcPr>
          <w:p w14:paraId="4C65B63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Países Bajos</w:t>
            </w:r>
          </w:p>
        </w:tc>
        <w:tc>
          <w:tcPr>
            <w:tcW w:w="2453" w:type="dxa"/>
            <w:tcBorders>
              <w:top w:val="nil"/>
              <w:left w:val="nil"/>
              <w:bottom w:val="single" w:sz="4" w:space="0" w:color="auto"/>
              <w:right w:val="single" w:sz="4" w:space="0" w:color="auto"/>
            </w:tcBorders>
            <w:shd w:val="clear" w:color="auto" w:fill="auto"/>
            <w:hideMark/>
          </w:tcPr>
          <w:p w14:paraId="750C3D29"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aeropuertos</w:t>
            </w:r>
          </w:p>
        </w:tc>
      </w:tr>
      <w:tr w:rsidR="00E32033" w:rsidRPr="00B70E71" w14:paraId="3D580724"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38C9620B"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Hubco Netherlands B.V</w:t>
            </w:r>
          </w:p>
        </w:tc>
        <w:tc>
          <w:tcPr>
            <w:tcW w:w="2269" w:type="dxa"/>
            <w:tcBorders>
              <w:top w:val="nil"/>
              <w:left w:val="nil"/>
              <w:bottom w:val="single" w:sz="4" w:space="0" w:color="auto"/>
              <w:right w:val="single" w:sz="4" w:space="0" w:color="auto"/>
            </w:tcBorders>
            <w:shd w:val="clear" w:color="auto" w:fill="auto"/>
            <w:noWrap/>
            <w:hideMark/>
          </w:tcPr>
          <w:p w14:paraId="20C30CA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Países Bajos</w:t>
            </w:r>
          </w:p>
        </w:tc>
        <w:tc>
          <w:tcPr>
            <w:tcW w:w="2453" w:type="dxa"/>
            <w:tcBorders>
              <w:top w:val="nil"/>
              <w:left w:val="nil"/>
              <w:bottom w:val="single" w:sz="4" w:space="0" w:color="auto"/>
              <w:right w:val="single" w:sz="4" w:space="0" w:color="auto"/>
            </w:tcBorders>
            <w:shd w:val="clear" w:color="auto" w:fill="auto"/>
            <w:hideMark/>
          </w:tcPr>
          <w:p w14:paraId="75C90F2C"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aeropuertos</w:t>
            </w:r>
          </w:p>
        </w:tc>
      </w:tr>
      <w:tr w:rsidR="00E32033" w:rsidRPr="00B70E71" w14:paraId="3D14A32A"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7516C92A"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VALIVALA HOLDINGS B.V.</w:t>
            </w:r>
          </w:p>
        </w:tc>
        <w:tc>
          <w:tcPr>
            <w:tcW w:w="2269" w:type="dxa"/>
            <w:tcBorders>
              <w:top w:val="nil"/>
              <w:left w:val="nil"/>
              <w:bottom w:val="single" w:sz="4" w:space="0" w:color="auto"/>
              <w:right w:val="single" w:sz="4" w:space="0" w:color="auto"/>
            </w:tcBorders>
            <w:shd w:val="clear" w:color="auto" w:fill="auto"/>
            <w:noWrap/>
            <w:hideMark/>
          </w:tcPr>
          <w:p w14:paraId="06304F5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Países Bajos</w:t>
            </w:r>
          </w:p>
        </w:tc>
        <w:tc>
          <w:tcPr>
            <w:tcW w:w="2453" w:type="dxa"/>
            <w:tcBorders>
              <w:top w:val="nil"/>
              <w:left w:val="nil"/>
              <w:bottom w:val="single" w:sz="4" w:space="0" w:color="auto"/>
              <w:right w:val="single" w:sz="4" w:space="0" w:color="auto"/>
            </w:tcBorders>
            <w:shd w:val="clear" w:color="auto" w:fill="auto"/>
            <w:hideMark/>
          </w:tcPr>
          <w:p w14:paraId="0660727C"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27018174"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5BC44ADD"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Cadagua Sucursal en Arabia Saudí</w:t>
            </w:r>
          </w:p>
        </w:tc>
        <w:tc>
          <w:tcPr>
            <w:tcW w:w="2269" w:type="dxa"/>
            <w:tcBorders>
              <w:top w:val="nil"/>
              <w:left w:val="nil"/>
              <w:bottom w:val="single" w:sz="4" w:space="0" w:color="auto"/>
              <w:right w:val="single" w:sz="4" w:space="0" w:color="auto"/>
            </w:tcBorders>
            <w:shd w:val="clear" w:color="auto" w:fill="auto"/>
            <w:noWrap/>
            <w:hideMark/>
          </w:tcPr>
          <w:p w14:paraId="1478DA8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Arabia Saudi</w:t>
            </w:r>
          </w:p>
        </w:tc>
        <w:tc>
          <w:tcPr>
            <w:tcW w:w="2453" w:type="dxa"/>
            <w:tcBorders>
              <w:top w:val="nil"/>
              <w:left w:val="nil"/>
              <w:bottom w:val="single" w:sz="4" w:space="0" w:color="auto"/>
              <w:right w:val="single" w:sz="4" w:space="0" w:color="auto"/>
            </w:tcBorders>
            <w:shd w:val="clear" w:color="auto" w:fill="auto"/>
            <w:hideMark/>
          </w:tcPr>
          <w:p w14:paraId="7B632EA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1D80765E"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7FD00F63"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Ferrovial Agroman Company</w:t>
            </w:r>
          </w:p>
        </w:tc>
        <w:tc>
          <w:tcPr>
            <w:tcW w:w="2269" w:type="dxa"/>
            <w:tcBorders>
              <w:top w:val="nil"/>
              <w:left w:val="nil"/>
              <w:bottom w:val="single" w:sz="4" w:space="0" w:color="auto"/>
              <w:right w:val="single" w:sz="4" w:space="0" w:color="auto"/>
            </w:tcBorders>
            <w:shd w:val="clear" w:color="auto" w:fill="auto"/>
            <w:noWrap/>
            <w:hideMark/>
          </w:tcPr>
          <w:p w14:paraId="6BEB376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Arabia Saudi</w:t>
            </w:r>
          </w:p>
        </w:tc>
        <w:tc>
          <w:tcPr>
            <w:tcW w:w="2453" w:type="dxa"/>
            <w:tcBorders>
              <w:top w:val="nil"/>
              <w:left w:val="nil"/>
              <w:bottom w:val="single" w:sz="4" w:space="0" w:color="auto"/>
              <w:right w:val="single" w:sz="4" w:space="0" w:color="auto"/>
            </w:tcBorders>
            <w:shd w:val="clear" w:color="auto" w:fill="auto"/>
            <w:hideMark/>
          </w:tcPr>
          <w:p w14:paraId="39B98718"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 </w:t>
            </w:r>
          </w:p>
        </w:tc>
      </w:tr>
      <w:tr w:rsidR="00E32033" w:rsidRPr="00B70E71" w14:paraId="4DCE9605"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6449B509"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SA</w:t>
            </w:r>
          </w:p>
        </w:tc>
        <w:tc>
          <w:tcPr>
            <w:tcW w:w="2269" w:type="dxa"/>
            <w:tcBorders>
              <w:top w:val="nil"/>
              <w:left w:val="nil"/>
              <w:bottom w:val="single" w:sz="4" w:space="0" w:color="auto"/>
              <w:right w:val="single" w:sz="4" w:space="0" w:color="auto"/>
            </w:tcBorders>
            <w:shd w:val="clear" w:color="auto" w:fill="auto"/>
            <w:noWrap/>
            <w:hideMark/>
          </w:tcPr>
          <w:p w14:paraId="7AB2FFA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Arabia Saudi</w:t>
            </w:r>
          </w:p>
        </w:tc>
        <w:tc>
          <w:tcPr>
            <w:tcW w:w="2453" w:type="dxa"/>
            <w:tcBorders>
              <w:top w:val="nil"/>
              <w:left w:val="nil"/>
              <w:bottom w:val="single" w:sz="4" w:space="0" w:color="auto"/>
              <w:right w:val="single" w:sz="4" w:space="0" w:color="auto"/>
            </w:tcBorders>
            <w:shd w:val="clear" w:color="auto" w:fill="auto"/>
            <w:hideMark/>
          </w:tcPr>
          <w:p w14:paraId="400653EE"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3AAB36C4"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095E1F6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(Puerto Rico), LLC, Sucursal en Bahamas</w:t>
            </w:r>
          </w:p>
        </w:tc>
        <w:tc>
          <w:tcPr>
            <w:tcW w:w="2269" w:type="dxa"/>
            <w:tcBorders>
              <w:top w:val="nil"/>
              <w:left w:val="nil"/>
              <w:bottom w:val="single" w:sz="4" w:space="0" w:color="auto"/>
              <w:right w:val="single" w:sz="4" w:space="0" w:color="auto"/>
            </w:tcBorders>
            <w:shd w:val="clear" w:color="auto" w:fill="auto"/>
            <w:noWrap/>
            <w:hideMark/>
          </w:tcPr>
          <w:p w14:paraId="7AE66C6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Bahamas</w:t>
            </w:r>
          </w:p>
        </w:tc>
        <w:tc>
          <w:tcPr>
            <w:tcW w:w="2453" w:type="dxa"/>
            <w:tcBorders>
              <w:top w:val="nil"/>
              <w:left w:val="nil"/>
              <w:bottom w:val="single" w:sz="4" w:space="0" w:color="auto"/>
              <w:right w:val="single" w:sz="4" w:space="0" w:color="auto"/>
            </w:tcBorders>
            <w:shd w:val="clear" w:color="auto" w:fill="auto"/>
            <w:hideMark/>
          </w:tcPr>
          <w:p w14:paraId="74D8C28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1A8FD979"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5560DDE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Cadagua Sucursal en Dubai</w:t>
            </w:r>
          </w:p>
        </w:tc>
        <w:tc>
          <w:tcPr>
            <w:tcW w:w="2269" w:type="dxa"/>
            <w:tcBorders>
              <w:top w:val="nil"/>
              <w:left w:val="nil"/>
              <w:bottom w:val="single" w:sz="4" w:space="0" w:color="auto"/>
              <w:right w:val="single" w:sz="4" w:space="0" w:color="auto"/>
            </w:tcBorders>
            <w:shd w:val="clear" w:color="auto" w:fill="auto"/>
            <w:noWrap/>
            <w:hideMark/>
          </w:tcPr>
          <w:p w14:paraId="002F06C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Emiratos Árabes Unidos</w:t>
            </w:r>
          </w:p>
        </w:tc>
        <w:tc>
          <w:tcPr>
            <w:tcW w:w="2453" w:type="dxa"/>
            <w:tcBorders>
              <w:top w:val="nil"/>
              <w:left w:val="nil"/>
              <w:bottom w:val="single" w:sz="4" w:space="0" w:color="auto"/>
              <w:right w:val="single" w:sz="4" w:space="0" w:color="auto"/>
            </w:tcBorders>
            <w:shd w:val="clear" w:color="auto" w:fill="auto"/>
            <w:hideMark/>
          </w:tcPr>
          <w:p w14:paraId="27239174"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789C822A"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1B96C004"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Eurolink Motorway Operation (M3), Ltd.</w:t>
            </w:r>
          </w:p>
        </w:tc>
        <w:tc>
          <w:tcPr>
            <w:tcW w:w="2269" w:type="dxa"/>
            <w:tcBorders>
              <w:top w:val="nil"/>
              <w:left w:val="nil"/>
              <w:bottom w:val="single" w:sz="4" w:space="0" w:color="auto"/>
              <w:right w:val="single" w:sz="4" w:space="0" w:color="auto"/>
            </w:tcBorders>
            <w:shd w:val="clear" w:color="auto" w:fill="auto"/>
            <w:noWrap/>
            <w:hideMark/>
          </w:tcPr>
          <w:p w14:paraId="015110C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1DFC718A"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Línea autopistas</w:t>
            </w:r>
          </w:p>
        </w:tc>
      </w:tr>
      <w:tr w:rsidR="00E32033" w:rsidRPr="00B70E71" w14:paraId="6BB2A953" w14:textId="77777777" w:rsidTr="00D639E4">
        <w:trPr>
          <w:trHeight w:val="600"/>
        </w:trPr>
        <w:tc>
          <w:tcPr>
            <w:tcW w:w="3798" w:type="dxa"/>
            <w:tcBorders>
              <w:top w:val="nil"/>
              <w:left w:val="single" w:sz="4" w:space="0" w:color="auto"/>
              <w:bottom w:val="single" w:sz="4" w:space="0" w:color="auto"/>
              <w:right w:val="single" w:sz="4" w:space="0" w:color="auto"/>
            </w:tcBorders>
            <w:shd w:val="clear" w:color="000000" w:fill="FFFFFF"/>
            <w:hideMark/>
          </w:tcPr>
          <w:p w14:paraId="273A7218" w14:textId="77777777" w:rsidR="00E32033" w:rsidRPr="00B70E71" w:rsidRDefault="00E32033" w:rsidP="00D639E4">
            <w:pPr>
              <w:rPr>
                <w:rFonts w:ascii="Open Sans" w:hAnsi="Open Sans" w:cs="Open Sans"/>
                <w:sz w:val="20"/>
                <w:szCs w:val="20"/>
                <w:lang w:val="en-GB"/>
              </w:rPr>
            </w:pPr>
            <w:r w:rsidRPr="00B70E71">
              <w:rPr>
                <w:rFonts w:ascii="Open Sans" w:hAnsi="Open Sans" w:cs="Open Sans"/>
                <w:sz w:val="20"/>
                <w:szCs w:val="20"/>
                <w:lang w:val="en-GB"/>
              </w:rPr>
              <w:t>Eurolink Motorway Operation (M4-M6), Ltd.</w:t>
            </w:r>
          </w:p>
        </w:tc>
        <w:tc>
          <w:tcPr>
            <w:tcW w:w="2269" w:type="dxa"/>
            <w:tcBorders>
              <w:top w:val="nil"/>
              <w:left w:val="nil"/>
              <w:bottom w:val="single" w:sz="4" w:space="0" w:color="auto"/>
              <w:right w:val="single" w:sz="4" w:space="0" w:color="auto"/>
            </w:tcBorders>
            <w:shd w:val="clear" w:color="auto" w:fill="auto"/>
            <w:noWrap/>
            <w:hideMark/>
          </w:tcPr>
          <w:p w14:paraId="0837C31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5E43D797"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Línea autopistas</w:t>
            </w:r>
          </w:p>
        </w:tc>
      </w:tr>
      <w:tr w:rsidR="00E32033" w:rsidRPr="00B70E71" w14:paraId="6F378DB1" w14:textId="77777777" w:rsidTr="00D639E4">
        <w:trPr>
          <w:trHeight w:val="300"/>
        </w:trPr>
        <w:tc>
          <w:tcPr>
            <w:tcW w:w="3798" w:type="dxa"/>
            <w:tcBorders>
              <w:top w:val="nil"/>
              <w:left w:val="single" w:sz="4" w:space="0" w:color="auto"/>
              <w:bottom w:val="single" w:sz="4" w:space="0" w:color="auto"/>
              <w:right w:val="single" w:sz="4" w:space="0" w:color="auto"/>
            </w:tcBorders>
            <w:shd w:val="clear" w:color="auto" w:fill="auto"/>
            <w:hideMark/>
          </w:tcPr>
          <w:p w14:paraId="4016BD74"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Ferrovial Agroman Ireland, Ltda.</w:t>
            </w:r>
          </w:p>
        </w:tc>
        <w:tc>
          <w:tcPr>
            <w:tcW w:w="2269" w:type="dxa"/>
            <w:tcBorders>
              <w:top w:val="nil"/>
              <w:left w:val="nil"/>
              <w:bottom w:val="single" w:sz="4" w:space="0" w:color="auto"/>
              <w:right w:val="single" w:sz="4" w:space="0" w:color="auto"/>
            </w:tcBorders>
            <w:shd w:val="clear" w:color="auto" w:fill="auto"/>
            <w:noWrap/>
            <w:hideMark/>
          </w:tcPr>
          <w:p w14:paraId="436EDEFC"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0F6D4D34"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5F9E4866"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4143BC4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SA</w:t>
            </w:r>
          </w:p>
        </w:tc>
        <w:tc>
          <w:tcPr>
            <w:tcW w:w="2269" w:type="dxa"/>
            <w:tcBorders>
              <w:top w:val="nil"/>
              <w:left w:val="nil"/>
              <w:bottom w:val="single" w:sz="4" w:space="0" w:color="auto"/>
              <w:right w:val="single" w:sz="4" w:space="0" w:color="auto"/>
            </w:tcBorders>
            <w:shd w:val="clear" w:color="auto" w:fill="auto"/>
            <w:noWrap/>
            <w:hideMark/>
          </w:tcPr>
          <w:p w14:paraId="5E9AEF1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Irlanda</w:t>
            </w:r>
          </w:p>
        </w:tc>
        <w:tc>
          <w:tcPr>
            <w:tcW w:w="2453" w:type="dxa"/>
            <w:tcBorders>
              <w:top w:val="nil"/>
              <w:left w:val="nil"/>
              <w:bottom w:val="single" w:sz="4" w:space="0" w:color="auto"/>
              <w:right w:val="single" w:sz="4" w:space="0" w:color="auto"/>
            </w:tcBorders>
            <w:shd w:val="clear" w:color="auto" w:fill="auto"/>
            <w:hideMark/>
          </w:tcPr>
          <w:p w14:paraId="78D35CDB"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6DC1F67F"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564C6139"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Cadagua Sucursal en Omán</w:t>
            </w:r>
          </w:p>
        </w:tc>
        <w:tc>
          <w:tcPr>
            <w:tcW w:w="2269" w:type="dxa"/>
            <w:tcBorders>
              <w:top w:val="nil"/>
              <w:left w:val="nil"/>
              <w:bottom w:val="single" w:sz="4" w:space="0" w:color="auto"/>
              <w:right w:val="single" w:sz="4" w:space="0" w:color="auto"/>
            </w:tcBorders>
            <w:shd w:val="clear" w:color="auto" w:fill="auto"/>
            <w:noWrap/>
            <w:hideMark/>
          </w:tcPr>
          <w:p w14:paraId="4B3A9E5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Omán</w:t>
            </w:r>
          </w:p>
        </w:tc>
        <w:tc>
          <w:tcPr>
            <w:tcW w:w="2453" w:type="dxa"/>
            <w:tcBorders>
              <w:top w:val="nil"/>
              <w:left w:val="nil"/>
              <w:bottom w:val="single" w:sz="4" w:space="0" w:color="auto"/>
              <w:right w:val="single" w:sz="4" w:space="0" w:color="auto"/>
            </w:tcBorders>
            <w:shd w:val="clear" w:color="auto" w:fill="auto"/>
            <w:hideMark/>
          </w:tcPr>
          <w:p w14:paraId="22D8AF18"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6754B22A" w14:textId="77777777" w:rsidTr="00D639E4">
        <w:trPr>
          <w:trHeight w:val="600"/>
        </w:trPr>
        <w:tc>
          <w:tcPr>
            <w:tcW w:w="3798" w:type="dxa"/>
            <w:tcBorders>
              <w:top w:val="nil"/>
              <w:left w:val="single" w:sz="4" w:space="0" w:color="auto"/>
              <w:bottom w:val="single" w:sz="4" w:space="0" w:color="auto"/>
              <w:right w:val="single" w:sz="4" w:space="0" w:color="auto"/>
            </w:tcBorders>
            <w:shd w:val="clear" w:color="auto" w:fill="auto"/>
            <w:hideMark/>
          </w:tcPr>
          <w:p w14:paraId="451A4A9E"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Ltd, Sucursal en Oman</w:t>
            </w:r>
          </w:p>
        </w:tc>
        <w:tc>
          <w:tcPr>
            <w:tcW w:w="2269" w:type="dxa"/>
            <w:tcBorders>
              <w:top w:val="nil"/>
              <w:left w:val="nil"/>
              <w:bottom w:val="single" w:sz="4" w:space="0" w:color="auto"/>
              <w:right w:val="single" w:sz="4" w:space="0" w:color="auto"/>
            </w:tcBorders>
            <w:shd w:val="clear" w:color="auto" w:fill="auto"/>
            <w:noWrap/>
            <w:hideMark/>
          </w:tcPr>
          <w:p w14:paraId="1CAD593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Omán</w:t>
            </w:r>
          </w:p>
        </w:tc>
        <w:tc>
          <w:tcPr>
            <w:tcW w:w="2453" w:type="dxa"/>
            <w:tcBorders>
              <w:top w:val="nil"/>
              <w:left w:val="nil"/>
              <w:bottom w:val="single" w:sz="4" w:space="0" w:color="auto"/>
              <w:right w:val="single" w:sz="4" w:space="0" w:color="auto"/>
            </w:tcBorders>
            <w:shd w:val="clear" w:color="auto" w:fill="auto"/>
            <w:hideMark/>
          </w:tcPr>
          <w:p w14:paraId="4143F682"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439C3E26"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3743E66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International Water Treatment LLC</w:t>
            </w:r>
          </w:p>
        </w:tc>
        <w:tc>
          <w:tcPr>
            <w:tcW w:w="2269" w:type="dxa"/>
            <w:tcBorders>
              <w:top w:val="nil"/>
              <w:left w:val="nil"/>
              <w:bottom w:val="single" w:sz="4" w:space="0" w:color="auto"/>
              <w:right w:val="single" w:sz="4" w:space="0" w:color="auto"/>
            </w:tcBorders>
            <w:shd w:val="clear" w:color="auto" w:fill="auto"/>
            <w:noWrap/>
            <w:hideMark/>
          </w:tcPr>
          <w:p w14:paraId="42EABB89"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Omán</w:t>
            </w:r>
          </w:p>
        </w:tc>
        <w:tc>
          <w:tcPr>
            <w:tcW w:w="2453" w:type="dxa"/>
            <w:tcBorders>
              <w:top w:val="nil"/>
              <w:left w:val="nil"/>
              <w:bottom w:val="single" w:sz="4" w:space="0" w:color="auto"/>
              <w:right w:val="single" w:sz="4" w:space="0" w:color="auto"/>
            </w:tcBorders>
            <w:shd w:val="clear" w:color="auto" w:fill="auto"/>
            <w:hideMark/>
          </w:tcPr>
          <w:p w14:paraId="4229408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Construcción</w:t>
            </w:r>
          </w:p>
        </w:tc>
      </w:tr>
      <w:tr w:rsidR="00E32033" w:rsidRPr="00B70E71" w14:paraId="0CF3F48C"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5C0914DD" w14:textId="77777777" w:rsidR="00E32033" w:rsidRPr="00B70E71" w:rsidRDefault="00E32033" w:rsidP="00D639E4">
            <w:pPr>
              <w:rPr>
                <w:rFonts w:ascii="Open Sans" w:hAnsi="Open Sans" w:cs="Open Sans"/>
                <w:color w:val="000000"/>
                <w:sz w:val="20"/>
                <w:szCs w:val="20"/>
                <w:lang w:val="en-GB"/>
              </w:rPr>
            </w:pPr>
            <w:r w:rsidRPr="00B70E71">
              <w:rPr>
                <w:rFonts w:ascii="Open Sans" w:hAnsi="Open Sans" w:cs="Open Sans"/>
                <w:color w:val="000000"/>
                <w:sz w:val="20"/>
                <w:szCs w:val="20"/>
                <w:lang w:val="en-GB"/>
              </w:rPr>
              <w:t>Muscat City Desalination Company SAOC</w:t>
            </w:r>
          </w:p>
        </w:tc>
        <w:tc>
          <w:tcPr>
            <w:tcW w:w="2269" w:type="dxa"/>
            <w:tcBorders>
              <w:top w:val="nil"/>
              <w:left w:val="nil"/>
              <w:bottom w:val="single" w:sz="4" w:space="0" w:color="auto"/>
              <w:right w:val="single" w:sz="4" w:space="0" w:color="auto"/>
            </w:tcBorders>
            <w:shd w:val="clear" w:color="auto" w:fill="auto"/>
            <w:noWrap/>
            <w:hideMark/>
          </w:tcPr>
          <w:p w14:paraId="6372530D"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Omán</w:t>
            </w:r>
          </w:p>
        </w:tc>
        <w:tc>
          <w:tcPr>
            <w:tcW w:w="2453" w:type="dxa"/>
            <w:tcBorders>
              <w:top w:val="nil"/>
              <w:left w:val="nil"/>
              <w:bottom w:val="single" w:sz="4" w:space="0" w:color="auto"/>
              <w:right w:val="single" w:sz="4" w:space="0" w:color="auto"/>
            </w:tcBorders>
            <w:shd w:val="clear" w:color="auto" w:fill="auto"/>
            <w:hideMark/>
          </w:tcPr>
          <w:p w14:paraId="33E901B9"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Construcción</w:t>
            </w:r>
          </w:p>
        </w:tc>
      </w:tr>
      <w:tr w:rsidR="00E32033" w:rsidRPr="00B70E71" w14:paraId="0E4296A3" w14:textId="77777777" w:rsidTr="00D639E4">
        <w:trPr>
          <w:trHeight w:val="300"/>
        </w:trPr>
        <w:tc>
          <w:tcPr>
            <w:tcW w:w="3798" w:type="dxa"/>
            <w:tcBorders>
              <w:top w:val="nil"/>
              <w:left w:val="single" w:sz="4" w:space="0" w:color="auto"/>
              <w:bottom w:val="single" w:sz="4" w:space="0" w:color="auto"/>
              <w:right w:val="single" w:sz="4" w:space="0" w:color="auto"/>
            </w:tcBorders>
            <w:shd w:val="clear" w:color="000000" w:fill="FFFFFF"/>
            <w:hideMark/>
          </w:tcPr>
          <w:p w14:paraId="05F9464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Muscat City Desalination O&amp;M CO LLC</w:t>
            </w:r>
          </w:p>
        </w:tc>
        <w:tc>
          <w:tcPr>
            <w:tcW w:w="2269" w:type="dxa"/>
            <w:tcBorders>
              <w:top w:val="nil"/>
              <w:left w:val="nil"/>
              <w:bottom w:val="single" w:sz="4" w:space="0" w:color="auto"/>
              <w:right w:val="single" w:sz="4" w:space="0" w:color="auto"/>
            </w:tcBorders>
            <w:shd w:val="clear" w:color="auto" w:fill="auto"/>
            <w:noWrap/>
            <w:hideMark/>
          </w:tcPr>
          <w:p w14:paraId="4709B3BC"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Omán</w:t>
            </w:r>
          </w:p>
        </w:tc>
        <w:tc>
          <w:tcPr>
            <w:tcW w:w="2453" w:type="dxa"/>
            <w:tcBorders>
              <w:top w:val="nil"/>
              <w:left w:val="nil"/>
              <w:bottom w:val="single" w:sz="4" w:space="0" w:color="auto"/>
              <w:right w:val="single" w:sz="4" w:space="0" w:color="auto"/>
            </w:tcBorders>
            <w:shd w:val="clear" w:color="auto" w:fill="auto"/>
            <w:hideMark/>
          </w:tcPr>
          <w:p w14:paraId="5A411800"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Construcción</w:t>
            </w:r>
          </w:p>
        </w:tc>
      </w:tr>
      <w:tr w:rsidR="00E32033" w:rsidRPr="00B70E71" w14:paraId="03F0B7D8" w14:textId="77777777" w:rsidTr="00D639E4">
        <w:trPr>
          <w:trHeight w:val="315"/>
        </w:trPr>
        <w:tc>
          <w:tcPr>
            <w:tcW w:w="3798" w:type="dxa"/>
            <w:tcBorders>
              <w:top w:val="nil"/>
              <w:left w:val="single" w:sz="4" w:space="0" w:color="auto"/>
              <w:bottom w:val="single" w:sz="4" w:space="0" w:color="auto"/>
              <w:right w:val="single" w:sz="4" w:space="0" w:color="auto"/>
            </w:tcBorders>
            <w:shd w:val="clear" w:color="000000" w:fill="FFFFFF"/>
            <w:hideMark/>
          </w:tcPr>
          <w:p w14:paraId="2B99AE8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Cadagua, SA</w:t>
            </w:r>
          </w:p>
        </w:tc>
        <w:tc>
          <w:tcPr>
            <w:tcW w:w="2269" w:type="dxa"/>
            <w:tcBorders>
              <w:top w:val="nil"/>
              <w:left w:val="nil"/>
              <w:bottom w:val="single" w:sz="4" w:space="0" w:color="auto"/>
              <w:right w:val="single" w:sz="4" w:space="0" w:color="auto"/>
            </w:tcBorders>
            <w:shd w:val="clear" w:color="auto" w:fill="auto"/>
            <w:noWrap/>
            <w:hideMark/>
          </w:tcPr>
          <w:p w14:paraId="41C842A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Puerto Rico</w:t>
            </w:r>
          </w:p>
        </w:tc>
        <w:tc>
          <w:tcPr>
            <w:tcW w:w="2453" w:type="dxa"/>
            <w:tcBorders>
              <w:top w:val="nil"/>
              <w:left w:val="nil"/>
              <w:bottom w:val="single" w:sz="4" w:space="0" w:color="auto"/>
              <w:right w:val="single" w:sz="4" w:space="0" w:color="auto"/>
            </w:tcBorders>
            <w:shd w:val="clear" w:color="auto" w:fill="auto"/>
            <w:hideMark/>
          </w:tcPr>
          <w:p w14:paraId="3AB319C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64EE57B3"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44C9970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SA</w:t>
            </w:r>
          </w:p>
        </w:tc>
        <w:tc>
          <w:tcPr>
            <w:tcW w:w="2269" w:type="dxa"/>
            <w:tcBorders>
              <w:top w:val="nil"/>
              <w:left w:val="nil"/>
              <w:bottom w:val="single" w:sz="4" w:space="0" w:color="auto"/>
              <w:right w:val="single" w:sz="4" w:space="0" w:color="auto"/>
            </w:tcBorders>
            <w:shd w:val="clear" w:color="auto" w:fill="auto"/>
            <w:noWrap/>
            <w:hideMark/>
          </w:tcPr>
          <w:p w14:paraId="04B5002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Puerto Rico</w:t>
            </w:r>
          </w:p>
        </w:tc>
        <w:tc>
          <w:tcPr>
            <w:tcW w:w="2453" w:type="dxa"/>
            <w:tcBorders>
              <w:top w:val="nil"/>
              <w:left w:val="nil"/>
              <w:bottom w:val="single" w:sz="4" w:space="0" w:color="auto"/>
              <w:right w:val="single" w:sz="4" w:space="0" w:color="auto"/>
            </w:tcBorders>
            <w:shd w:val="clear" w:color="auto" w:fill="auto"/>
            <w:hideMark/>
          </w:tcPr>
          <w:p w14:paraId="2ED2B81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013B9BE1" w14:textId="77777777" w:rsidTr="00D639E4">
        <w:trPr>
          <w:trHeight w:val="300"/>
        </w:trPr>
        <w:tc>
          <w:tcPr>
            <w:tcW w:w="3798" w:type="dxa"/>
            <w:tcBorders>
              <w:top w:val="nil"/>
              <w:left w:val="single" w:sz="4" w:space="0" w:color="auto"/>
              <w:bottom w:val="single" w:sz="4" w:space="0" w:color="auto"/>
              <w:right w:val="single" w:sz="4" w:space="0" w:color="auto"/>
            </w:tcBorders>
            <w:shd w:val="clear" w:color="auto" w:fill="auto"/>
            <w:hideMark/>
          </w:tcPr>
          <w:p w14:paraId="26A75116"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Ferrovial Agroman, LLC</w:t>
            </w:r>
          </w:p>
        </w:tc>
        <w:tc>
          <w:tcPr>
            <w:tcW w:w="2269" w:type="dxa"/>
            <w:tcBorders>
              <w:top w:val="nil"/>
              <w:left w:val="nil"/>
              <w:bottom w:val="single" w:sz="4" w:space="0" w:color="auto"/>
              <w:right w:val="single" w:sz="4" w:space="0" w:color="auto"/>
            </w:tcBorders>
            <w:shd w:val="clear" w:color="auto" w:fill="auto"/>
            <w:noWrap/>
            <w:hideMark/>
          </w:tcPr>
          <w:p w14:paraId="7BDE7169"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Puerto Rico</w:t>
            </w:r>
          </w:p>
        </w:tc>
        <w:tc>
          <w:tcPr>
            <w:tcW w:w="2453" w:type="dxa"/>
            <w:tcBorders>
              <w:top w:val="nil"/>
              <w:left w:val="nil"/>
              <w:bottom w:val="single" w:sz="4" w:space="0" w:color="auto"/>
              <w:right w:val="single" w:sz="4" w:space="0" w:color="auto"/>
            </w:tcBorders>
            <w:shd w:val="clear" w:color="auto" w:fill="auto"/>
            <w:hideMark/>
          </w:tcPr>
          <w:p w14:paraId="1FB1C0BB" w14:textId="77777777" w:rsidR="00E32033" w:rsidRPr="00B70E71" w:rsidRDefault="00E32033" w:rsidP="00D639E4">
            <w:pPr>
              <w:rPr>
                <w:rFonts w:ascii="Open Sans" w:hAnsi="Open Sans" w:cs="Open Sans"/>
                <w:sz w:val="20"/>
                <w:szCs w:val="20"/>
              </w:rPr>
            </w:pPr>
            <w:r w:rsidRPr="00B70E71">
              <w:rPr>
                <w:rFonts w:ascii="Open Sans" w:hAnsi="Open Sans" w:cs="Open Sans"/>
                <w:sz w:val="20"/>
                <w:szCs w:val="20"/>
              </w:rPr>
              <w:t>Construcción</w:t>
            </w:r>
          </w:p>
        </w:tc>
      </w:tr>
      <w:tr w:rsidR="00E32033" w:rsidRPr="00B70E71" w14:paraId="34167673"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66D7C75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S.A.</w:t>
            </w:r>
          </w:p>
        </w:tc>
        <w:tc>
          <w:tcPr>
            <w:tcW w:w="2269" w:type="dxa"/>
            <w:tcBorders>
              <w:top w:val="nil"/>
              <w:left w:val="nil"/>
              <w:bottom w:val="single" w:sz="4" w:space="0" w:color="auto"/>
              <w:right w:val="single" w:sz="4" w:space="0" w:color="auto"/>
            </w:tcBorders>
            <w:shd w:val="clear" w:color="auto" w:fill="auto"/>
            <w:noWrap/>
            <w:hideMark/>
          </w:tcPr>
          <w:p w14:paraId="7F06AB05"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República Dominicana</w:t>
            </w:r>
          </w:p>
        </w:tc>
        <w:tc>
          <w:tcPr>
            <w:tcW w:w="2453" w:type="dxa"/>
            <w:tcBorders>
              <w:top w:val="nil"/>
              <w:left w:val="nil"/>
              <w:bottom w:val="single" w:sz="4" w:space="0" w:color="auto"/>
              <w:right w:val="single" w:sz="4" w:space="0" w:color="auto"/>
            </w:tcBorders>
            <w:shd w:val="clear" w:color="auto" w:fill="auto"/>
            <w:hideMark/>
          </w:tcPr>
          <w:p w14:paraId="3DDBCB63"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620F76AA"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5CCAD951"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SA</w:t>
            </w:r>
          </w:p>
        </w:tc>
        <w:tc>
          <w:tcPr>
            <w:tcW w:w="2269" w:type="dxa"/>
            <w:tcBorders>
              <w:top w:val="nil"/>
              <w:left w:val="nil"/>
              <w:bottom w:val="single" w:sz="4" w:space="0" w:color="auto"/>
              <w:right w:val="single" w:sz="4" w:space="0" w:color="auto"/>
            </w:tcBorders>
            <w:shd w:val="clear" w:color="auto" w:fill="auto"/>
            <w:noWrap/>
            <w:hideMark/>
          </w:tcPr>
          <w:p w14:paraId="6CFFD376"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Singapur</w:t>
            </w:r>
          </w:p>
        </w:tc>
        <w:tc>
          <w:tcPr>
            <w:tcW w:w="2453" w:type="dxa"/>
            <w:tcBorders>
              <w:top w:val="nil"/>
              <w:left w:val="nil"/>
              <w:bottom w:val="single" w:sz="4" w:space="0" w:color="auto"/>
              <w:right w:val="single" w:sz="4" w:space="0" w:color="auto"/>
            </w:tcBorders>
            <w:shd w:val="clear" w:color="auto" w:fill="auto"/>
            <w:hideMark/>
          </w:tcPr>
          <w:p w14:paraId="2D604A4F"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r w:rsidR="00E32033" w:rsidRPr="00B70E71" w14:paraId="57878218" w14:textId="77777777" w:rsidTr="00D639E4">
        <w:trPr>
          <w:trHeight w:val="315"/>
        </w:trPr>
        <w:tc>
          <w:tcPr>
            <w:tcW w:w="3798" w:type="dxa"/>
            <w:tcBorders>
              <w:top w:val="nil"/>
              <w:left w:val="single" w:sz="4" w:space="0" w:color="auto"/>
              <w:bottom w:val="single" w:sz="4" w:space="0" w:color="auto"/>
              <w:right w:val="single" w:sz="4" w:space="0" w:color="auto"/>
            </w:tcBorders>
            <w:shd w:val="clear" w:color="auto" w:fill="auto"/>
            <w:hideMark/>
          </w:tcPr>
          <w:p w14:paraId="064839EB"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Ferrovial Agroman, S.A.</w:t>
            </w:r>
          </w:p>
        </w:tc>
        <w:tc>
          <w:tcPr>
            <w:tcW w:w="2269" w:type="dxa"/>
            <w:tcBorders>
              <w:top w:val="nil"/>
              <w:left w:val="nil"/>
              <w:bottom w:val="single" w:sz="4" w:space="0" w:color="auto"/>
              <w:right w:val="single" w:sz="4" w:space="0" w:color="auto"/>
            </w:tcBorders>
            <w:shd w:val="clear" w:color="auto" w:fill="auto"/>
            <w:noWrap/>
            <w:hideMark/>
          </w:tcPr>
          <w:p w14:paraId="1BE29DE7"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Uruguay</w:t>
            </w:r>
          </w:p>
        </w:tc>
        <w:tc>
          <w:tcPr>
            <w:tcW w:w="2453" w:type="dxa"/>
            <w:tcBorders>
              <w:top w:val="nil"/>
              <w:left w:val="nil"/>
              <w:bottom w:val="single" w:sz="4" w:space="0" w:color="auto"/>
              <w:right w:val="single" w:sz="4" w:space="0" w:color="auto"/>
            </w:tcBorders>
            <w:shd w:val="clear" w:color="auto" w:fill="auto"/>
            <w:hideMark/>
          </w:tcPr>
          <w:p w14:paraId="5FD05CDD" w14:textId="77777777" w:rsidR="00E32033" w:rsidRPr="00B70E71" w:rsidRDefault="00E32033" w:rsidP="00D639E4">
            <w:pPr>
              <w:rPr>
                <w:rFonts w:ascii="Open Sans" w:hAnsi="Open Sans" w:cs="Open Sans"/>
                <w:color w:val="000000"/>
                <w:sz w:val="20"/>
                <w:szCs w:val="20"/>
              </w:rPr>
            </w:pPr>
            <w:r w:rsidRPr="00B70E71">
              <w:rPr>
                <w:rFonts w:ascii="Open Sans" w:hAnsi="Open Sans" w:cs="Open Sans"/>
                <w:color w:val="000000"/>
                <w:sz w:val="20"/>
                <w:szCs w:val="20"/>
              </w:rPr>
              <w:t> </w:t>
            </w:r>
          </w:p>
        </w:tc>
      </w:tr>
    </w:tbl>
    <w:p w14:paraId="0496BD92" w14:textId="77777777" w:rsidR="00E32033" w:rsidRDefault="00E32033" w:rsidP="00E32033">
      <w:pPr>
        <w:rPr>
          <w:rFonts w:ascii="Open Sans" w:hAnsi="Open Sans" w:cs="Arial"/>
          <w:bCs/>
          <w:sz w:val="22"/>
          <w:szCs w:val="22"/>
        </w:rPr>
      </w:pPr>
    </w:p>
    <w:p w14:paraId="25F33E44" w14:textId="77777777" w:rsidR="00E32033" w:rsidRDefault="00E32033" w:rsidP="00E32033">
      <w:pPr>
        <w:rPr>
          <w:rFonts w:ascii="Open Sans" w:hAnsi="Open Sans" w:cs="Arial"/>
          <w:bCs/>
          <w:sz w:val="22"/>
          <w:szCs w:val="22"/>
        </w:rPr>
      </w:pPr>
    </w:p>
    <w:p w14:paraId="7FA88154" w14:textId="77777777" w:rsidR="00E32033" w:rsidRPr="00ED3C4E" w:rsidRDefault="00E32033" w:rsidP="00E32033">
      <w:pPr>
        <w:jc w:val="both"/>
        <w:rPr>
          <w:rFonts w:ascii="Open Sans" w:hAnsi="Open Sans" w:cs="Arial"/>
          <w:bCs/>
          <w:sz w:val="20"/>
          <w:szCs w:val="20"/>
        </w:rPr>
      </w:pPr>
      <w:r w:rsidRPr="00803166">
        <w:rPr>
          <w:rFonts w:ascii="Open Sans" w:hAnsi="Open Sans" w:cs="Arial"/>
          <w:bCs/>
          <w:sz w:val="20"/>
          <w:szCs w:val="20"/>
        </w:rPr>
        <w:t xml:space="preserve">Cumpliendo con los requisitos de información exigidos en el Informe de Gobierno Corporativo de Ferrovial se citan operaciones intragrupo con entidades establecidas en países o territorios que tengan la consideración de paraísos fiscales, algunas de ellas vinculadas a las empresas que se muestran en la tabla </w:t>
      </w:r>
      <w:r w:rsidRPr="00ED3C4E">
        <w:rPr>
          <w:rFonts w:ascii="Open Sans" w:hAnsi="Open Sans" w:cs="Arial"/>
          <w:bCs/>
          <w:sz w:val="20"/>
          <w:szCs w:val="20"/>
        </w:rPr>
        <w:t>anterior, como las siguientes:</w:t>
      </w:r>
    </w:p>
    <w:p w14:paraId="7E76706B" w14:textId="77777777" w:rsidR="00E32033" w:rsidRPr="00ED3C4E" w:rsidRDefault="00E32033" w:rsidP="00E32033">
      <w:pPr>
        <w:jc w:val="both"/>
        <w:rPr>
          <w:rFonts w:ascii="Open Sans" w:hAnsi="Open Sans" w:cs="Arial"/>
          <w:bCs/>
          <w:sz w:val="20"/>
          <w:szCs w:val="20"/>
        </w:rPr>
      </w:pPr>
    </w:p>
    <w:p w14:paraId="20C3B148" w14:textId="77777777" w:rsidR="00E32033" w:rsidRPr="00ED3C4E" w:rsidRDefault="00E32033" w:rsidP="00E32033">
      <w:pPr>
        <w:pStyle w:val="Prrafodelista"/>
        <w:numPr>
          <w:ilvl w:val="0"/>
          <w:numId w:val="12"/>
        </w:numPr>
        <w:jc w:val="both"/>
        <w:rPr>
          <w:rFonts w:ascii="Open Sans" w:hAnsi="Open Sans" w:cs="Arial"/>
          <w:bCs/>
          <w:sz w:val="20"/>
          <w:szCs w:val="20"/>
        </w:rPr>
      </w:pPr>
      <w:r w:rsidRPr="00ED3C4E">
        <w:rPr>
          <w:rFonts w:ascii="Open Sans" w:hAnsi="Open Sans" w:cs="Arial"/>
          <w:bCs/>
          <w:sz w:val="20"/>
          <w:szCs w:val="20"/>
        </w:rPr>
        <w:t>La aportación de 2.332 miles de euros realizados por Amey PLC en concepto de «</w:t>
      </w:r>
      <w:r w:rsidRPr="00ED3C4E">
        <w:rPr>
          <w:rFonts w:ascii="Open Sans" w:hAnsi="Open Sans" w:cs="Arial"/>
          <w:bCs/>
          <w:i/>
          <w:sz w:val="20"/>
          <w:szCs w:val="20"/>
        </w:rPr>
        <w:t>préstamo a su filial Amey Insurance PCC Company Limited, (Guernsey</w:t>
      </w:r>
      <w:r w:rsidRPr="00ED3C4E">
        <w:rPr>
          <w:rFonts w:ascii="Open Sans" w:hAnsi="Open Sans" w:cs="Arial"/>
          <w:bCs/>
          <w:sz w:val="20"/>
          <w:szCs w:val="20"/>
        </w:rPr>
        <w:t>)». Operación que puede resultar difícil de explicar por motivos relacionados directamente con la actividad operativa del Grupo debido al importe, a que la empresa que lo recibe es, en función de su denominación social, una empresa del sector seguros y reaseguros radicada en un paraíso fiscal sobre la que no se ofrece ningún dato adicional como número de empleados, facturación, impuestos pagados, beneficios, etc.</w:t>
      </w:r>
    </w:p>
    <w:p w14:paraId="0E74ED1A" w14:textId="77777777" w:rsidR="00E32033" w:rsidRPr="00ED3C4E" w:rsidRDefault="00E32033" w:rsidP="00E32033">
      <w:pPr>
        <w:pStyle w:val="Prrafodelista"/>
        <w:numPr>
          <w:ilvl w:val="0"/>
          <w:numId w:val="12"/>
        </w:numPr>
        <w:jc w:val="both"/>
        <w:rPr>
          <w:rFonts w:ascii="Open Sans" w:hAnsi="Open Sans" w:cs="Arial"/>
          <w:bCs/>
          <w:sz w:val="20"/>
          <w:szCs w:val="20"/>
        </w:rPr>
      </w:pPr>
      <w:r w:rsidRPr="00ED3C4E">
        <w:rPr>
          <w:rFonts w:ascii="Open Sans" w:hAnsi="Open Sans" w:cs="Arial"/>
          <w:bCs/>
          <w:sz w:val="20"/>
          <w:szCs w:val="20"/>
        </w:rPr>
        <w:t>El pago de 76 miles de euros realizados por Amey LG Limited en concepto de «</w:t>
      </w:r>
      <w:r w:rsidRPr="00ED3C4E">
        <w:rPr>
          <w:rFonts w:ascii="Open Sans" w:hAnsi="Open Sans" w:cs="Arial"/>
          <w:bCs/>
          <w:i/>
          <w:sz w:val="20"/>
          <w:szCs w:val="20"/>
        </w:rPr>
        <w:t>primas a abonar a Amey Insurance PCC Company Limited, (Guernsey</w:t>
      </w:r>
      <w:r w:rsidRPr="00ED3C4E">
        <w:rPr>
          <w:rFonts w:ascii="Open Sans" w:hAnsi="Open Sans" w:cs="Arial"/>
          <w:bCs/>
          <w:sz w:val="20"/>
          <w:szCs w:val="20"/>
        </w:rPr>
        <w:t>)». Empresa, que como se acaba de mencionar, se asocia por su denominación social con en el sector seguros y reaseguros, que está radicada en un paraíso fiscal y sobre la que no se ofrece ningún dato adicional como número de empleados, facturación, impuestos pagados, beneficios, etc.</w:t>
      </w:r>
    </w:p>
    <w:p w14:paraId="36B8BF09" w14:textId="77777777" w:rsidR="00E32033" w:rsidRPr="00ED3C4E" w:rsidRDefault="00E32033" w:rsidP="00E32033">
      <w:pPr>
        <w:pStyle w:val="Prrafodelista"/>
        <w:numPr>
          <w:ilvl w:val="0"/>
          <w:numId w:val="12"/>
        </w:numPr>
        <w:jc w:val="both"/>
        <w:rPr>
          <w:rFonts w:ascii="Open Sans" w:hAnsi="Open Sans" w:cs="Arial"/>
          <w:bCs/>
          <w:sz w:val="20"/>
          <w:szCs w:val="20"/>
        </w:rPr>
      </w:pPr>
      <w:r w:rsidRPr="00ED3C4E">
        <w:rPr>
          <w:rFonts w:ascii="Open Sans" w:hAnsi="Open Sans" w:cs="Arial"/>
          <w:bCs/>
          <w:sz w:val="20"/>
          <w:szCs w:val="20"/>
        </w:rPr>
        <w:t>El pago de 22 miles de euros realizados por Amey OW Limited en concepto de «</w:t>
      </w:r>
      <w:r w:rsidRPr="00ED3C4E">
        <w:rPr>
          <w:rFonts w:ascii="Open Sans" w:hAnsi="Open Sans" w:cs="Arial"/>
          <w:bCs/>
          <w:i/>
          <w:sz w:val="20"/>
          <w:szCs w:val="20"/>
        </w:rPr>
        <w:t>primas a abonar a Amey Insurance PCC Company Limited, (Guernsey</w:t>
      </w:r>
      <w:r w:rsidRPr="00ED3C4E">
        <w:rPr>
          <w:rFonts w:ascii="Open Sans" w:hAnsi="Open Sans" w:cs="Arial"/>
          <w:bCs/>
          <w:sz w:val="20"/>
          <w:szCs w:val="20"/>
        </w:rPr>
        <w:t>)». Empresa, que como se acaba de mencionar, se asocia por su denominación social con en el sector seguros y reaseguros, que está radicada en un paraíso fiscal y sobre la que no se ofrece ningún dato adicional como número de empleados, facturación, impuestos pagados, beneficios, etc.</w:t>
      </w:r>
    </w:p>
    <w:p w14:paraId="688585C6" w14:textId="77777777" w:rsidR="00E32033" w:rsidRPr="00ED3C4E" w:rsidRDefault="00E32033" w:rsidP="00E32033">
      <w:pPr>
        <w:pStyle w:val="Prrafodelista"/>
        <w:numPr>
          <w:ilvl w:val="0"/>
          <w:numId w:val="12"/>
        </w:numPr>
        <w:jc w:val="both"/>
        <w:rPr>
          <w:rFonts w:ascii="Open Sans" w:hAnsi="Open Sans" w:cs="Arial"/>
          <w:bCs/>
          <w:sz w:val="20"/>
          <w:szCs w:val="20"/>
        </w:rPr>
      </w:pPr>
      <w:r w:rsidRPr="00ED3C4E">
        <w:rPr>
          <w:rFonts w:ascii="Open Sans" w:hAnsi="Open Sans" w:cs="Arial"/>
          <w:bCs/>
          <w:sz w:val="20"/>
          <w:szCs w:val="20"/>
        </w:rPr>
        <w:t>La aportación de 1.598 miles de euros realizada por Ferrovial Agroman Limited UK de la que únicamente se indica que se realiza para «</w:t>
      </w:r>
      <w:r w:rsidRPr="00ED3C4E">
        <w:rPr>
          <w:rFonts w:ascii="Open Sans" w:hAnsi="Open Sans" w:cs="Arial"/>
          <w:bCs/>
          <w:i/>
          <w:sz w:val="20"/>
          <w:szCs w:val="20"/>
        </w:rPr>
        <w:t>gastos de personal y otros de su sucursal en el Sultanato de Omán para el desarrollo de su actividad</w:t>
      </w:r>
      <w:r w:rsidRPr="00ED3C4E">
        <w:rPr>
          <w:rFonts w:ascii="Open Sans" w:hAnsi="Open Sans" w:cs="Arial"/>
          <w:bCs/>
          <w:sz w:val="20"/>
          <w:szCs w:val="20"/>
        </w:rPr>
        <w:t>». Información claramente insuficiente ya que en la documentación analizada no se han encontrado datos (número de empleados, facturación, impuestos pagados, beneficios, etc.) que permitan valorar si esta aportación es coherente con la actividad que la sucursal en Omán realiza o podría asociarse con algún tipo de práctica fiscal elusiva.</w:t>
      </w:r>
    </w:p>
    <w:p w14:paraId="6569DE09" w14:textId="77777777" w:rsidR="00E32033" w:rsidRPr="00ED3C4E" w:rsidRDefault="00E32033" w:rsidP="00E32033">
      <w:pPr>
        <w:pStyle w:val="Prrafodelista"/>
        <w:numPr>
          <w:ilvl w:val="0"/>
          <w:numId w:val="12"/>
        </w:numPr>
        <w:jc w:val="both"/>
        <w:rPr>
          <w:rFonts w:ascii="Open Sans" w:hAnsi="Open Sans" w:cs="Arial"/>
          <w:bCs/>
          <w:sz w:val="20"/>
          <w:szCs w:val="20"/>
        </w:rPr>
      </w:pPr>
      <w:r w:rsidRPr="00ED3C4E">
        <w:rPr>
          <w:rFonts w:ascii="Open Sans" w:hAnsi="Open Sans" w:cs="Arial"/>
          <w:bCs/>
          <w:sz w:val="20"/>
          <w:szCs w:val="20"/>
        </w:rPr>
        <w:t>La aportación de 959 miles de euros realizada por Cadagua, S.A. en concepto de capital operativo a su sucursal en el Sultanato de Omán para la ejecución de un proyecto relacionado con la desaladora de Al Ghubrah.</w:t>
      </w:r>
    </w:p>
    <w:p w14:paraId="2977E8B2" w14:textId="77777777" w:rsidR="00E32033" w:rsidRPr="00ED3C4E" w:rsidRDefault="00E32033" w:rsidP="00E32033">
      <w:pPr>
        <w:jc w:val="both"/>
        <w:rPr>
          <w:rFonts w:ascii="Open Sans" w:hAnsi="Open Sans" w:cs="Arial"/>
          <w:bCs/>
          <w:sz w:val="20"/>
          <w:szCs w:val="20"/>
        </w:rPr>
      </w:pPr>
    </w:p>
    <w:p w14:paraId="7826BDF1" w14:textId="77777777" w:rsidR="00E32033" w:rsidRPr="00803166" w:rsidRDefault="00E32033" w:rsidP="00E32033">
      <w:pPr>
        <w:jc w:val="both"/>
        <w:rPr>
          <w:rFonts w:ascii="Open Sans" w:hAnsi="Open Sans" w:cs="Arial"/>
          <w:bCs/>
          <w:sz w:val="20"/>
          <w:szCs w:val="20"/>
        </w:rPr>
      </w:pPr>
      <w:r w:rsidRPr="00ED3C4E">
        <w:rPr>
          <w:rFonts w:ascii="Open Sans" w:hAnsi="Open Sans" w:cs="Arial"/>
          <w:bCs/>
          <w:sz w:val="20"/>
          <w:szCs w:val="20"/>
        </w:rPr>
        <w:t>En la documentación analizada no se ha encontrado evidencia de que Ferrovial publique datos adicionales sobre las empresas del grupo que están radicadas en estas jurisdicciones, en base a los cuales pueda obtenerse una imagen de la actividad que realizan y su carácter operativo o meramente instrumental (número de empleados, facturación, impuestos pagados, beneficios, etc.)</w:t>
      </w:r>
    </w:p>
    <w:p w14:paraId="0151B91F" w14:textId="77777777" w:rsidR="00E32033" w:rsidRPr="005D499B" w:rsidRDefault="00E32033" w:rsidP="00E32033">
      <w:pPr>
        <w:jc w:val="both"/>
        <w:rPr>
          <w:rFonts w:ascii="Open Sans" w:hAnsi="Open Sans" w:cs="Arial"/>
          <w:bCs/>
          <w:sz w:val="20"/>
          <w:szCs w:val="20"/>
        </w:rPr>
      </w:pPr>
    </w:p>
    <w:p w14:paraId="37378366"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El 12 de junio de </w:t>
      </w:r>
      <w:r w:rsidRPr="005D499B">
        <w:rPr>
          <w:rFonts w:ascii="Open Sans" w:hAnsi="Open Sans" w:cs="Arial"/>
          <w:bCs/>
          <w:sz w:val="20"/>
          <w:szCs w:val="20"/>
        </w:rPr>
        <w:t>2013</w:t>
      </w:r>
      <w:r>
        <w:rPr>
          <w:rFonts w:ascii="Open Sans" w:hAnsi="Open Sans" w:cs="Arial"/>
          <w:bCs/>
          <w:sz w:val="20"/>
          <w:szCs w:val="20"/>
        </w:rPr>
        <w:t xml:space="preserve"> Ferrovial aprobó su </w:t>
      </w:r>
      <w:r w:rsidRPr="005D499B">
        <w:rPr>
          <w:rFonts w:ascii="Open Sans" w:hAnsi="Open Sans" w:cs="Arial"/>
          <w:bCs/>
          <w:sz w:val="20"/>
          <w:szCs w:val="20"/>
        </w:rPr>
        <w:t>Política de cumplimiento</w:t>
      </w:r>
      <w:r>
        <w:rPr>
          <w:rFonts w:ascii="Open Sans" w:hAnsi="Open Sans" w:cs="Arial"/>
          <w:bCs/>
          <w:sz w:val="20"/>
          <w:szCs w:val="20"/>
        </w:rPr>
        <w:t xml:space="preserve"> y buenas prácticas en materia tributaria. Se trata de un d</w:t>
      </w:r>
      <w:r w:rsidRPr="005D499B">
        <w:rPr>
          <w:rFonts w:ascii="Open Sans" w:hAnsi="Open Sans" w:cs="Arial"/>
          <w:bCs/>
          <w:sz w:val="20"/>
          <w:szCs w:val="20"/>
        </w:rPr>
        <w:t xml:space="preserve">ocumento de 3 </w:t>
      </w:r>
      <w:r>
        <w:rPr>
          <w:rFonts w:ascii="Open Sans" w:hAnsi="Open Sans" w:cs="Arial"/>
          <w:bCs/>
          <w:sz w:val="20"/>
          <w:szCs w:val="20"/>
        </w:rPr>
        <w:t xml:space="preserve">páginas accesible a través de la web corporativa en el que figura como departamento responsable asesoría fiscal y su autorización por parte del Director económico-financiero. Parte de una perspectiva de “respeto a la legalidad vigente” y se indica expresamente que sigue las recomendaciones del Código </w:t>
      </w:r>
      <w:r w:rsidRPr="00834A3E">
        <w:rPr>
          <w:rFonts w:ascii="Open Sans" w:hAnsi="Open Sans" w:cs="Arial"/>
          <w:bCs/>
          <w:sz w:val="20"/>
          <w:szCs w:val="20"/>
        </w:rPr>
        <w:t>de Buenas Prácticas Tributarias impulsado por</w:t>
      </w:r>
      <w:r>
        <w:rPr>
          <w:rFonts w:ascii="Open Sans" w:hAnsi="Open Sans" w:cs="Arial"/>
          <w:bCs/>
          <w:sz w:val="20"/>
          <w:szCs w:val="20"/>
        </w:rPr>
        <w:t xml:space="preserve"> la Agencia Tributaria española. En este documento se establecen compromisos relativos al cumplimiento de las normas tributarias; a buenas prácticas en el ámbito de la prevención de riesgos fiscales, de las buenas relaciones con las administraciones públicas, de la información al Consejo de Administración y de la comunicación del cumplimiento de la política a través del Informe de Gobierno Corporativo; así como a la difusión de la propia política de cumplimiento. </w:t>
      </w:r>
    </w:p>
    <w:p w14:paraId="67B8AF2E" w14:textId="77777777" w:rsidR="00E32033" w:rsidRDefault="00E32033" w:rsidP="00E32033">
      <w:pPr>
        <w:jc w:val="both"/>
        <w:rPr>
          <w:rFonts w:ascii="Open Sans" w:hAnsi="Open Sans" w:cs="Arial"/>
          <w:bCs/>
          <w:sz w:val="20"/>
          <w:szCs w:val="20"/>
        </w:rPr>
      </w:pPr>
    </w:p>
    <w:p w14:paraId="332555D2"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Adicionalmente, según se indica en la página 67 del Informe integrado, </w:t>
      </w:r>
      <w:r w:rsidRPr="005D499B">
        <w:rPr>
          <w:rFonts w:ascii="Open Sans" w:hAnsi="Open Sans" w:cs="Arial"/>
          <w:bCs/>
          <w:sz w:val="20"/>
          <w:szCs w:val="20"/>
        </w:rPr>
        <w:t xml:space="preserve">en febrero </w:t>
      </w:r>
      <w:r>
        <w:rPr>
          <w:rFonts w:ascii="Open Sans" w:hAnsi="Open Sans" w:cs="Arial"/>
          <w:bCs/>
          <w:sz w:val="20"/>
          <w:szCs w:val="20"/>
        </w:rPr>
        <w:t xml:space="preserve">de </w:t>
      </w:r>
      <w:r w:rsidRPr="005D499B">
        <w:rPr>
          <w:rFonts w:ascii="Open Sans" w:hAnsi="Open Sans" w:cs="Arial"/>
          <w:bCs/>
          <w:sz w:val="20"/>
          <w:szCs w:val="20"/>
        </w:rPr>
        <w:t>2015</w:t>
      </w:r>
      <w:r>
        <w:rPr>
          <w:rFonts w:ascii="Open Sans" w:hAnsi="Open Sans" w:cs="Arial"/>
          <w:bCs/>
          <w:sz w:val="20"/>
          <w:szCs w:val="20"/>
        </w:rPr>
        <w:t xml:space="preserve"> se aprobaron la</w:t>
      </w:r>
      <w:r w:rsidRPr="005D499B">
        <w:rPr>
          <w:rFonts w:ascii="Open Sans" w:hAnsi="Open Sans" w:cs="Arial"/>
          <w:bCs/>
          <w:sz w:val="20"/>
          <w:szCs w:val="20"/>
        </w:rPr>
        <w:t xml:space="preserve"> Política Fiscal y </w:t>
      </w:r>
      <w:r>
        <w:rPr>
          <w:rFonts w:ascii="Open Sans" w:hAnsi="Open Sans" w:cs="Arial"/>
          <w:bCs/>
          <w:sz w:val="20"/>
          <w:szCs w:val="20"/>
        </w:rPr>
        <w:t>la P</w:t>
      </w:r>
      <w:r w:rsidRPr="005D499B">
        <w:rPr>
          <w:rFonts w:ascii="Open Sans" w:hAnsi="Open Sans" w:cs="Arial"/>
          <w:bCs/>
          <w:sz w:val="20"/>
          <w:szCs w:val="20"/>
        </w:rPr>
        <w:t>olítica de Control y Gestión de Riesgos Fiscales</w:t>
      </w:r>
      <w:r>
        <w:rPr>
          <w:rFonts w:ascii="Open Sans" w:hAnsi="Open Sans" w:cs="Arial"/>
          <w:bCs/>
          <w:sz w:val="20"/>
          <w:szCs w:val="20"/>
        </w:rPr>
        <w:t xml:space="preserve"> de Ferrovial. Sin embargo no se ha podido acceder a las mismas a través de la web del grupo, como ocurre con otras políticas. En otra parte de este mismo documento también se indica que «</w:t>
      </w:r>
      <w:r w:rsidRPr="002248C4">
        <w:rPr>
          <w:rFonts w:ascii="Open Sans" w:hAnsi="Open Sans" w:cs="Arial"/>
          <w:bCs/>
          <w:i/>
          <w:sz w:val="20"/>
          <w:szCs w:val="20"/>
        </w:rPr>
        <w:t>en febrero de 2015, el Consejo de Administración de la compañía dio un nuevo paso al aprobar la estrategia recogida en la Política Fiscal de Ferrovial, documento que cumple con lo establecido en el Artículo 529 ter de la Ley de Sociedades de Capital</w:t>
      </w:r>
      <w:r>
        <w:rPr>
          <w:rFonts w:ascii="Open Sans" w:hAnsi="Open Sans" w:cs="Arial"/>
          <w:bCs/>
          <w:sz w:val="20"/>
          <w:szCs w:val="20"/>
        </w:rPr>
        <w:t>»</w:t>
      </w:r>
      <w:r w:rsidRPr="00FD3E97">
        <w:rPr>
          <w:rFonts w:ascii="Open Sans" w:hAnsi="Open Sans" w:cs="Arial"/>
          <w:bCs/>
          <w:sz w:val="20"/>
          <w:szCs w:val="20"/>
        </w:rPr>
        <w:t>.</w:t>
      </w:r>
      <w:r>
        <w:rPr>
          <w:rFonts w:ascii="Open Sans" w:hAnsi="Open Sans" w:cs="Arial"/>
          <w:bCs/>
          <w:sz w:val="20"/>
          <w:szCs w:val="20"/>
        </w:rPr>
        <w:t xml:space="preserve"> La escasa información dada y la falta de acceso público a estos documentos, impide saber si lo que se aprobó fue estrategia, política o ambas. Lo que sí evidencia es la importancia que ha tenido la modificación de Ley de Sociedades de Capital para que las empresas cotizadas aborden aspectos relacionados con la fiscalidad responsable.</w:t>
      </w:r>
    </w:p>
    <w:p w14:paraId="3A5A3886" w14:textId="77777777" w:rsidR="00E32033" w:rsidRDefault="00E32033" w:rsidP="00E32033">
      <w:pPr>
        <w:jc w:val="both"/>
        <w:rPr>
          <w:rFonts w:ascii="Open Sans" w:hAnsi="Open Sans" w:cs="Arial"/>
          <w:bCs/>
          <w:sz w:val="20"/>
          <w:szCs w:val="20"/>
        </w:rPr>
      </w:pPr>
    </w:p>
    <w:p w14:paraId="3237415A" w14:textId="77777777" w:rsidR="00E32033" w:rsidRDefault="00E32033" w:rsidP="00E32033">
      <w:pPr>
        <w:jc w:val="both"/>
        <w:rPr>
          <w:rFonts w:ascii="Open Sans" w:hAnsi="Open Sans" w:cs="Arial"/>
          <w:bCs/>
          <w:sz w:val="20"/>
          <w:szCs w:val="20"/>
        </w:rPr>
      </w:pPr>
      <w:r>
        <w:rPr>
          <w:rFonts w:ascii="Open Sans" w:hAnsi="Open Sans" w:cs="Arial"/>
          <w:bCs/>
          <w:sz w:val="20"/>
          <w:szCs w:val="20"/>
        </w:rPr>
        <w:t>La importancia de esta Ley también se evidencia en las responsabilidades asignadas al Consejo de Administración y a sus Comisiones. Así, en el Informe Integrado se refleja que «</w:t>
      </w:r>
      <w:r w:rsidRPr="0024322C">
        <w:rPr>
          <w:rFonts w:ascii="Open Sans" w:hAnsi="Open Sans" w:cs="Arial"/>
          <w:bCs/>
          <w:i/>
          <w:sz w:val="20"/>
          <w:szCs w:val="20"/>
        </w:rPr>
        <w:t>en cumplimiento del Artículo 529 ter de la Ley de Sociedades de Capital, el Consejo de Administración de Ferrovial desempeña las funciones atribuidas como facultades indelegables en materia fiscal. Entre ellas figura la aprobación de la política de control y gestión de riesgos fiscales, además de aquellas operaciones que conlleven un riesgo especial</w:t>
      </w:r>
      <w:r>
        <w:rPr>
          <w:rFonts w:ascii="Open Sans" w:hAnsi="Open Sans" w:cs="Arial"/>
          <w:bCs/>
          <w:sz w:val="20"/>
          <w:szCs w:val="20"/>
        </w:rPr>
        <w:t xml:space="preserve">». Así, en el Informe de Gobierno Corporativo se indica que en 2015 se adaptó el Reglamento del Consejo para incluir su responsabilidad en la aprobación de operaciones relacionadas con entidades de propósito especial o paraísos fiscales. Sin embargo, llama la atención que en la versión disponible en la web </w:t>
      </w:r>
      <w:r>
        <w:rPr>
          <w:rStyle w:val="Refdenotaalpie"/>
          <w:rFonts w:ascii="Open Sans" w:hAnsi="Open Sans" w:cs="Arial"/>
          <w:bCs/>
          <w:sz w:val="20"/>
          <w:szCs w:val="20"/>
        </w:rPr>
        <w:footnoteReference w:id="312"/>
      </w:r>
      <w:r>
        <w:rPr>
          <w:rFonts w:ascii="Open Sans" w:hAnsi="Open Sans" w:cs="Arial"/>
          <w:bCs/>
          <w:sz w:val="20"/>
          <w:szCs w:val="20"/>
        </w:rPr>
        <w:t xml:space="preserve"> no se haya encontrado menciones expresas a temas fiscales en las responsabilidades del Consejo ni de la Comisión de Auditoría.</w:t>
      </w:r>
    </w:p>
    <w:p w14:paraId="0CD2D6EA" w14:textId="77777777" w:rsidR="00E32033" w:rsidRDefault="00E32033" w:rsidP="00E32033">
      <w:pPr>
        <w:jc w:val="both"/>
        <w:rPr>
          <w:rFonts w:ascii="Open Sans" w:hAnsi="Open Sans" w:cs="Arial"/>
          <w:bCs/>
          <w:sz w:val="20"/>
          <w:szCs w:val="20"/>
        </w:rPr>
      </w:pPr>
    </w:p>
    <w:p w14:paraId="0F8B91D9" w14:textId="77777777" w:rsidR="00E32033" w:rsidRDefault="00E32033" w:rsidP="00E32033">
      <w:pPr>
        <w:jc w:val="both"/>
        <w:rPr>
          <w:rFonts w:ascii="Open Sans" w:hAnsi="Open Sans" w:cs="Arial"/>
          <w:bCs/>
          <w:sz w:val="20"/>
          <w:szCs w:val="20"/>
        </w:rPr>
      </w:pPr>
      <w:r>
        <w:rPr>
          <w:rFonts w:ascii="Open Sans" w:hAnsi="Open Sans" w:cs="Arial"/>
          <w:bCs/>
          <w:sz w:val="20"/>
          <w:szCs w:val="20"/>
        </w:rPr>
        <w:t>En la Política de cumplimiento y Buenas prácticas tributarias sí se establece la obligación para el responsable de asuntos fiscales de informar al Consejo o a la Comisión de estos temas. Concretamente se indica que «</w:t>
      </w:r>
      <w:r w:rsidRPr="00EC1B55">
        <w:rPr>
          <w:rFonts w:ascii="Open Sans" w:hAnsi="Open Sans" w:cs="Arial"/>
          <w:bCs/>
          <w:i/>
          <w:sz w:val="20"/>
          <w:szCs w:val="20"/>
        </w:rPr>
        <w:t xml:space="preserve">con anterioridad a la formulación de las cuentas anuales y a la presentación de la declaración del Impuesto sobre Sociedades, el responsable de los asuntos fiscales de Ferrovial informará al Consejo de Administración, directamente o a través de la Comisión de Auditoría y Control, sobre las políticas fiscales aplicados por la Sociedad durante el ejercicio y, en particular, sobre el grado de cumplimiento de la Política de Cumplimiento y Buenas Prácticas en Materia Tributaria» </w:t>
      </w:r>
      <w:r w:rsidRPr="00EC1B55">
        <w:rPr>
          <w:rFonts w:ascii="Open Sans" w:hAnsi="Open Sans" w:cs="Arial"/>
          <w:bCs/>
          <w:sz w:val="20"/>
          <w:szCs w:val="20"/>
        </w:rPr>
        <w:t>y que</w:t>
      </w:r>
      <w:r w:rsidRPr="00EC1B55">
        <w:rPr>
          <w:rFonts w:ascii="Open Sans" w:hAnsi="Open Sans" w:cs="Arial"/>
          <w:bCs/>
          <w:i/>
          <w:sz w:val="20"/>
          <w:szCs w:val="20"/>
        </w:rPr>
        <w:t xml:space="preserve"> «en el caso de operaciones o asuntos que deban someterse a la aprobación del Consejo de Administración, éste será informado de las consecuencias fiscales de las mismas cuando constituyan un factor relevante</w:t>
      </w:r>
      <w:r>
        <w:rPr>
          <w:rFonts w:ascii="Open Sans" w:hAnsi="Open Sans" w:cs="Arial"/>
          <w:bCs/>
          <w:sz w:val="20"/>
          <w:szCs w:val="20"/>
        </w:rPr>
        <w:t>»</w:t>
      </w:r>
      <w:r w:rsidRPr="00EC1B55">
        <w:rPr>
          <w:rFonts w:ascii="Open Sans" w:hAnsi="Open Sans" w:cs="Arial"/>
          <w:bCs/>
          <w:sz w:val="20"/>
          <w:szCs w:val="20"/>
        </w:rPr>
        <w:t>.</w:t>
      </w:r>
    </w:p>
    <w:p w14:paraId="7866E634" w14:textId="77777777" w:rsidR="00E32033" w:rsidRDefault="00E32033" w:rsidP="00E32033">
      <w:pPr>
        <w:jc w:val="both"/>
        <w:rPr>
          <w:rFonts w:ascii="Open Sans" w:hAnsi="Open Sans" w:cs="Arial"/>
          <w:bCs/>
          <w:sz w:val="20"/>
          <w:szCs w:val="20"/>
        </w:rPr>
      </w:pPr>
    </w:p>
    <w:p w14:paraId="1E9A57D2"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Las funciones asumidas por la Comisión de Auditoría y Control en materia fiscal se reflejan expresamente, según la información contenida en la web corporativa, en lo relacionado con </w:t>
      </w:r>
      <w:r w:rsidRPr="006D40DA">
        <w:rPr>
          <w:rFonts w:ascii="Open Sans" w:hAnsi="Open Sans" w:cs="Arial"/>
          <w:bCs/>
          <w:sz w:val="20"/>
          <w:szCs w:val="20"/>
        </w:rPr>
        <w:t xml:space="preserve">la creación o adquisición de participaciones en entidades de </w:t>
      </w:r>
      <w:proofErr w:type="gramStart"/>
      <w:r w:rsidRPr="006D40DA">
        <w:rPr>
          <w:rFonts w:ascii="Open Sans" w:hAnsi="Open Sans" w:cs="Arial"/>
          <w:bCs/>
          <w:sz w:val="20"/>
          <w:szCs w:val="20"/>
        </w:rPr>
        <w:t>propósito especial o domiciliadas</w:t>
      </w:r>
      <w:proofErr w:type="gramEnd"/>
      <w:r w:rsidRPr="006D40DA">
        <w:rPr>
          <w:rFonts w:ascii="Open Sans" w:hAnsi="Open Sans" w:cs="Arial"/>
          <w:bCs/>
          <w:sz w:val="20"/>
          <w:szCs w:val="20"/>
        </w:rPr>
        <w:t xml:space="preserve"> en países o territorios que tengan la consideración de paraísos fiscales.</w:t>
      </w:r>
      <w:r>
        <w:rPr>
          <w:rFonts w:ascii="Open Sans" w:hAnsi="Open Sans" w:cs="Arial"/>
          <w:bCs/>
          <w:sz w:val="20"/>
          <w:szCs w:val="20"/>
        </w:rPr>
        <w:t xml:space="preserve"> Por lo que se refiere a las actividades realizadas por la Comisión en este ámbito, en su memoria de actividades se indica que «</w:t>
      </w:r>
      <w:r w:rsidRPr="00E830E1">
        <w:rPr>
          <w:rFonts w:ascii="Open Sans" w:hAnsi="Open Sans" w:cs="Arial"/>
          <w:bCs/>
          <w:i/>
          <w:sz w:val="20"/>
          <w:szCs w:val="20"/>
        </w:rPr>
        <w:t>la Dirección de Asesoría Fiscal compareció para (i) dar cuenta de los sistemas de gestión de riesgos fiscales; y (ii) informar sobre la evaluación de dichos sistemas y las alternativas de su supervisión</w:t>
      </w:r>
      <w:r>
        <w:rPr>
          <w:rFonts w:ascii="Open Sans" w:hAnsi="Open Sans" w:cs="Arial"/>
          <w:bCs/>
          <w:sz w:val="20"/>
          <w:szCs w:val="20"/>
        </w:rPr>
        <w:t>»</w:t>
      </w:r>
      <w:r w:rsidRPr="00EE5527">
        <w:rPr>
          <w:rFonts w:ascii="Open Sans" w:hAnsi="Open Sans" w:cs="Arial"/>
          <w:bCs/>
          <w:sz w:val="20"/>
          <w:szCs w:val="20"/>
        </w:rPr>
        <w:t>.</w:t>
      </w:r>
    </w:p>
    <w:p w14:paraId="2227E1BE" w14:textId="77777777" w:rsidR="00E32033" w:rsidRDefault="00E32033" w:rsidP="00E32033">
      <w:pPr>
        <w:jc w:val="both"/>
        <w:rPr>
          <w:rFonts w:ascii="Open Sans" w:hAnsi="Open Sans" w:cs="Arial"/>
          <w:bCs/>
          <w:sz w:val="20"/>
          <w:szCs w:val="20"/>
        </w:rPr>
      </w:pPr>
    </w:p>
    <w:p w14:paraId="6F0BF051" w14:textId="77777777" w:rsidR="00E32033" w:rsidRDefault="00E32033" w:rsidP="00E32033">
      <w:pPr>
        <w:jc w:val="both"/>
        <w:rPr>
          <w:rFonts w:ascii="Open Sans" w:hAnsi="Open Sans" w:cs="Arial"/>
          <w:bCs/>
          <w:sz w:val="20"/>
          <w:szCs w:val="20"/>
        </w:rPr>
      </w:pPr>
      <w:r>
        <w:rPr>
          <w:rFonts w:ascii="Open Sans" w:hAnsi="Open Sans" w:cs="Arial"/>
          <w:bCs/>
          <w:sz w:val="20"/>
          <w:szCs w:val="20"/>
        </w:rPr>
        <w:t>En referencia con la gestión de riesgos fiscales, en la política fiscal se refleja un compromiso genérico de la empresa con su prevención que Ferrovial expresa de la siguiente forma: «</w:t>
      </w:r>
      <w:r w:rsidRPr="00917BD7">
        <w:rPr>
          <w:rFonts w:ascii="Open Sans" w:hAnsi="Open Sans" w:cs="Arial"/>
          <w:bCs/>
          <w:i/>
          <w:sz w:val="20"/>
          <w:szCs w:val="20"/>
        </w:rPr>
        <w:t>sin menoscabo de una buena gestión empresarial, el Grupo atenderá en el desarrollo de sus actividades a los principios de una ordenada y diligente política tributaria: (i) Fomentando prácticas encaminadas a la prevención y reducción de riesgos fiscales significativos….</w:t>
      </w:r>
      <w:r>
        <w:rPr>
          <w:rFonts w:ascii="Open Sans" w:hAnsi="Open Sans" w:cs="Arial"/>
          <w:bCs/>
          <w:sz w:val="20"/>
          <w:szCs w:val="20"/>
        </w:rPr>
        <w:t xml:space="preserve"> ».</w:t>
      </w:r>
    </w:p>
    <w:p w14:paraId="380F3967" w14:textId="77777777" w:rsidR="00E32033" w:rsidRPr="00917BD7" w:rsidRDefault="00E32033" w:rsidP="00E32033">
      <w:pPr>
        <w:jc w:val="both"/>
        <w:rPr>
          <w:rFonts w:ascii="Open Sans" w:hAnsi="Open Sans" w:cs="Arial"/>
          <w:bCs/>
          <w:sz w:val="20"/>
          <w:szCs w:val="20"/>
        </w:rPr>
      </w:pPr>
    </w:p>
    <w:p w14:paraId="3B1A0680" w14:textId="77777777" w:rsidR="00E32033" w:rsidRDefault="00E32033" w:rsidP="00E32033">
      <w:pPr>
        <w:jc w:val="both"/>
        <w:rPr>
          <w:rFonts w:ascii="Open Sans" w:hAnsi="Open Sans" w:cs="Arial"/>
          <w:bCs/>
          <w:i/>
          <w:sz w:val="20"/>
          <w:szCs w:val="20"/>
        </w:rPr>
      </w:pPr>
      <w:r w:rsidRPr="00917BD7">
        <w:rPr>
          <w:rFonts w:ascii="Open Sans" w:hAnsi="Open Sans" w:cs="Arial"/>
          <w:bCs/>
          <w:sz w:val="20"/>
          <w:szCs w:val="20"/>
        </w:rPr>
        <w:t xml:space="preserve">El informe de Gobierno Corporativo </w:t>
      </w:r>
      <w:r>
        <w:rPr>
          <w:rFonts w:ascii="Open Sans" w:hAnsi="Open Sans" w:cs="Arial"/>
          <w:bCs/>
          <w:sz w:val="20"/>
          <w:szCs w:val="20"/>
        </w:rPr>
        <w:t xml:space="preserve">y el mapa de riesgos del Informe Integrado </w:t>
      </w:r>
      <w:r w:rsidRPr="00917BD7">
        <w:rPr>
          <w:rFonts w:ascii="Open Sans" w:hAnsi="Open Sans" w:cs="Arial"/>
          <w:bCs/>
          <w:sz w:val="20"/>
          <w:szCs w:val="20"/>
        </w:rPr>
        <w:t>ofrece</w:t>
      </w:r>
      <w:r>
        <w:rPr>
          <w:rFonts w:ascii="Open Sans" w:hAnsi="Open Sans" w:cs="Arial"/>
          <w:bCs/>
          <w:sz w:val="20"/>
          <w:szCs w:val="20"/>
        </w:rPr>
        <w:t>n</w:t>
      </w:r>
      <w:r w:rsidRPr="00917BD7">
        <w:rPr>
          <w:rFonts w:ascii="Open Sans" w:hAnsi="Open Sans" w:cs="Arial"/>
          <w:bCs/>
          <w:sz w:val="20"/>
          <w:szCs w:val="20"/>
        </w:rPr>
        <w:t xml:space="preserve"> información</w:t>
      </w:r>
      <w:r>
        <w:rPr>
          <w:rFonts w:ascii="Open Sans" w:hAnsi="Open Sans" w:cs="Arial"/>
          <w:bCs/>
          <w:sz w:val="20"/>
          <w:szCs w:val="20"/>
        </w:rPr>
        <w:t xml:space="preserve"> adicional</w:t>
      </w:r>
      <w:r w:rsidRPr="00917BD7">
        <w:rPr>
          <w:rFonts w:ascii="Open Sans" w:hAnsi="Open Sans" w:cs="Arial"/>
          <w:bCs/>
          <w:sz w:val="20"/>
          <w:szCs w:val="20"/>
        </w:rPr>
        <w:t xml:space="preserve"> sobre el enfoque utilizado por el Grupo para su identificación, al reflejar que los riesgos fiscales se consideran desde la perspectiva de cómo pueden afectar al negocio de la empresa las políticas de consolidación fiscal de los países en los que opera ya que, fundamentalmente, «</w:t>
      </w:r>
      <w:r w:rsidRPr="00DD16E5">
        <w:rPr>
          <w:rFonts w:ascii="Open Sans" w:hAnsi="Open Sans" w:cs="Arial"/>
          <w:bCs/>
          <w:i/>
          <w:sz w:val="20"/>
          <w:szCs w:val="20"/>
        </w:rPr>
        <w:t xml:space="preserve">puede suponer una reducción de la demanda y de los márgenes». </w:t>
      </w:r>
    </w:p>
    <w:p w14:paraId="70782D6C" w14:textId="77777777" w:rsidR="00E32033" w:rsidRDefault="00E32033" w:rsidP="00E32033">
      <w:pPr>
        <w:jc w:val="both"/>
        <w:rPr>
          <w:rFonts w:ascii="Open Sans" w:hAnsi="Open Sans" w:cs="Arial"/>
          <w:bCs/>
          <w:i/>
          <w:sz w:val="20"/>
          <w:szCs w:val="20"/>
        </w:rPr>
      </w:pPr>
    </w:p>
    <w:p w14:paraId="4D7368AB" w14:textId="77777777" w:rsidR="00E32033" w:rsidRPr="00917BD7" w:rsidRDefault="00E32033" w:rsidP="00E32033">
      <w:pPr>
        <w:jc w:val="both"/>
        <w:rPr>
          <w:rFonts w:ascii="Open Sans" w:hAnsi="Open Sans" w:cs="Arial"/>
          <w:bCs/>
          <w:sz w:val="20"/>
          <w:szCs w:val="20"/>
        </w:rPr>
      </w:pPr>
      <w:r>
        <w:rPr>
          <w:rFonts w:ascii="Open Sans" w:hAnsi="Open Sans" w:cs="Arial"/>
          <w:bCs/>
          <w:sz w:val="20"/>
          <w:szCs w:val="20"/>
        </w:rPr>
        <w:t>En</w:t>
      </w:r>
      <w:r w:rsidRPr="00DD16E5">
        <w:rPr>
          <w:rFonts w:ascii="Open Sans" w:hAnsi="Open Sans" w:cs="Arial"/>
          <w:bCs/>
          <w:sz w:val="20"/>
          <w:szCs w:val="20"/>
        </w:rPr>
        <w:t xml:space="preserve"> el informe integrado se afirma poseer «</w:t>
      </w:r>
      <w:r w:rsidRPr="00DD16E5">
        <w:rPr>
          <w:rFonts w:ascii="Open Sans" w:hAnsi="Open Sans" w:cs="Arial"/>
          <w:bCs/>
          <w:i/>
          <w:sz w:val="20"/>
          <w:szCs w:val="20"/>
        </w:rPr>
        <w:t>procedimientos y políticas para gestionar los riesgos fiscales</w:t>
      </w:r>
      <w:r>
        <w:rPr>
          <w:rFonts w:ascii="Open Sans" w:hAnsi="Open Sans" w:cs="Arial"/>
          <w:bCs/>
          <w:i/>
          <w:sz w:val="20"/>
          <w:szCs w:val="20"/>
        </w:rPr>
        <w:t xml:space="preserve">» </w:t>
      </w:r>
      <w:r w:rsidRPr="00DD16E5">
        <w:rPr>
          <w:rFonts w:ascii="Open Sans" w:hAnsi="Open Sans" w:cs="Arial"/>
          <w:bCs/>
          <w:sz w:val="20"/>
          <w:szCs w:val="20"/>
        </w:rPr>
        <w:t>y que</w:t>
      </w:r>
      <w:r>
        <w:rPr>
          <w:rFonts w:ascii="Open Sans" w:hAnsi="Open Sans" w:cs="Arial"/>
          <w:bCs/>
          <w:i/>
          <w:sz w:val="20"/>
          <w:szCs w:val="20"/>
        </w:rPr>
        <w:t xml:space="preserve"> «l</w:t>
      </w:r>
      <w:r w:rsidRPr="00917BD7">
        <w:rPr>
          <w:rFonts w:ascii="Open Sans" w:hAnsi="Open Sans" w:cs="Arial"/>
          <w:bCs/>
          <w:i/>
          <w:sz w:val="20"/>
          <w:szCs w:val="20"/>
        </w:rPr>
        <w:t>a compañía efectúa una valoración fundamentada de estos últimos  antes de ejecutar cualquier transacción que conlleve una planificación fiscal</w:t>
      </w:r>
      <w:r w:rsidRPr="00917BD7">
        <w:rPr>
          <w:rFonts w:ascii="Open Sans" w:hAnsi="Open Sans" w:cs="Arial"/>
          <w:bCs/>
          <w:sz w:val="20"/>
          <w:szCs w:val="20"/>
        </w:rPr>
        <w:t>».</w:t>
      </w:r>
      <w:r>
        <w:rPr>
          <w:rFonts w:ascii="Open Sans" w:hAnsi="Open Sans" w:cs="Arial"/>
          <w:bCs/>
          <w:sz w:val="20"/>
          <w:szCs w:val="20"/>
        </w:rPr>
        <w:t xml:space="preserve"> Sin embargo, en los documentos analizados no se ha encontrado información adicional que permita evidenciar su existencia y aplicación.</w:t>
      </w:r>
    </w:p>
    <w:p w14:paraId="5F833944" w14:textId="77777777" w:rsidR="00E32033" w:rsidRPr="00F44C91" w:rsidRDefault="00E32033" w:rsidP="00E32033">
      <w:pPr>
        <w:rPr>
          <w:rFonts w:ascii="Open Sans" w:hAnsi="Open Sans" w:cs="Arial"/>
          <w:bCs/>
          <w:sz w:val="20"/>
          <w:szCs w:val="20"/>
        </w:rPr>
      </w:pPr>
    </w:p>
    <w:p w14:paraId="4838DB0A"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Cabe mencionar que, a pesar de que en la </w:t>
      </w:r>
      <w:r w:rsidRPr="005D499B">
        <w:rPr>
          <w:rFonts w:ascii="Open Sans" w:hAnsi="Open Sans" w:cs="Arial"/>
          <w:bCs/>
          <w:sz w:val="20"/>
          <w:szCs w:val="20"/>
        </w:rPr>
        <w:t>Política de cumplimiento</w:t>
      </w:r>
      <w:r>
        <w:rPr>
          <w:rFonts w:ascii="Open Sans" w:hAnsi="Open Sans" w:cs="Arial"/>
          <w:bCs/>
          <w:sz w:val="20"/>
          <w:szCs w:val="20"/>
        </w:rPr>
        <w:t xml:space="preserve"> y buenas prácticas en materia tributaria se refleja expresamente el compromiso de comunicar el cumplimiento de la política a través del Informe de Gobierno Corporativo, no se ha encontrado información suficiente que permita valorar este cumplimiento más allá de su inclusión formal en el marco de actuación de la compañía.</w:t>
      </w:r>
    </w:p>
    <w:p w14:paraId="4837F9B5" w14:textId="77777777" w:rsidR="00E32033" w:rsidRDefault="00E32033" w:rsidP="00E32033">
      <w:pPr>
        <w:rPr>
          <w:rFonts w:ascii="Open Sans" w:hAnsi="Open Sans" w:cs="Arial"/>
          <w:bCs/>
          <w:sz w:val="20"/>
          <w:szCs w:val="20"/>
        </w:rPr>
      </w:pPr>
    </w:p>
    <w:p w14:paraId="26735DE3" w14:textId="77777777" w:rsidR="00E32033" w:rsidRDefault="00E32033" w:rsidP="00E32033">
      <w:pPr>
        <w:jc w:val="both"/>
        <w:rPr>
          <w:rFonts w:ascii="Open Sans" w:hAnsi="Open Sans" w:cs="Arial"/>
          <w:bCs/>
          <w:sz w:val="20"/>
          <w:szCs w:val="20"/>
        </w:rPr>
      </w:pPr>
      <w:r>
        <w:rPr>
          <w:rFonts w:ascii="Open Sans" w:hAnsi="Open Sans" w:cs="Arial"/>
          <w:bCs/>
          <w:sz w:val="20"/>
          <w:szCs w:val="20"/>
        </w:rPr>
        <w:t>Ferrovial incluye entre sus compromisos públicos el</w:t>
      </w:r>
      <w:r w:rsidRPr="00B74154">
        <w:rPr>
          <w:rFonts w:ascii="Open Sans" w:hAnsi="Open Sans" w:cs="Arial"/>
          <w:bCs/>
          <w:sz w:val="20"/>
          <w:szCs w:val="20"/>
        </w:rPr>
        <w:t xml:space="preserve"> de </w:t>
      </w:r>
      <w:r>
        <w:rPr>
          <w:rFonts w:ascii="Open Sans" w:hAnsi="Open Sans" w:cs="Arial"/>
          <w:bCs/>
          <w:sz w:val="20"/>
          <w:szCs w:val="20"/>
        </w:rPr>
        <w:t>«</w:t>
      </w:r>
      <w:r w:rsidRPr="00435F5A">
        <w:rPr>
          <w:rFonts w:ascii="Open Sans" w:hAnsi="Open Sans" w:cs="Arial"/>
          <w:bCs/>
          <w:i/>
          <w:sz w:val="20"/>
          <w:szCs w:val="20"/>
        </w:rPr>
        <w:t>efectuar el pago correcto y en plazo de todos los impuestos debidos, cumpliendo lo que marca la ley en cada país en el que desarrolla su actividad</w:t>
      </w:r>
      <w:r>
        <w:rPr>
          <w:rFonts w:ascii="Open Sans" w:hAnsi="Open Sans" w:cs="Arial"/>
          <w:bCs/>
          <w:sz w:val="20"/>
          <w:szCs w:val="20"/>
        </w:rPr>
        <w:t xml:space="preserve">». Sin embargo, la información incluida en los documentos analizados no es suficiente para valorar si efectivamente cumple con dicho compromiso. </w:t>
      </w:r>
    </w:p>
    <w:p w14:paraId="32E58BBB" w14:textId="77777777" w:rsidR="00E32033" w:rsidRDefault="00E32033" w:rsidP="00E32033">
      <w:pPr>
        <w:jc w:val="both"/>
        <w:rPr>
          <w:rFonts w:ascii="Open Sans" w:hAnsi="Open Sans" w:cs="Arial"/>
          <w:bCs/>
          <w:sz w:val="20"/>
          <w:szCs w:val="20"/>
        </w:rPr>
      </w:pPr>
    </w:p>
    <w:p w14:paraId="2B2E5C9A"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La cuenta de pérdidas y ganancias refleja que en 2015 el impuesto sobre sociedades supuso para el Grupo un ingreso de 54 millones de euros. No obstante, Ferrovial indica que el impuesto sobre sociedades hubiese supuesto un gasto de 103 millones si se hubiese incluido el impacto de 157 millones de ingreso por el cambio en estimación de  </w:t>
      </w:r>
      <w:r w:rsidRPr="00A20E3A">
        <w:rPr>
          <w:rFonts w:ascii="Open Sans" w:hAnsi="Open Sans" w:cs="Arial"/>
          <w:bCs/>
          <w:sz w:val="20"/>
          <w:szCs w:val="20"/>
        </w:rPr>
        <w:t>impuestos de ejercicios anteriores</w:t>
      </w:r>
      <w:r>
        <w:rPr>
          <w:rFonts w:ascii="Open Sans" w:hAnsi="Open Sans" w:cs="Arial"/>
          <w:bCs/>
          <w:sz w:val="20"/>
          <w:szCs w:val="20"/>
        </w:rPr>
        <w:t xml:space="preserve">, </w:t>
      </w:r>
      <w:r w:rsidRPr="0061249C">
        <w:rPr>
          <w:rFonts w:ascii="Open Sans" w:hAnsi="Open Sans" w:cs="Arial"/>
          <w:bCs/>
          <w:sz w:val="20"/>
          <w:szCs w:val="20"/>
        </w:rPr>
        <w:t xml:space="preserve">fundamentalmente </w:t>
      </w:r>
      <w:r>
        <w:rPr>
          <w:rFonts w:ascii="Open Sans" w:hAnsi="Open Sans" w:cs="Arial"/>
          <w:bCs/>
          <w:sz w:val="20"/>
          <w:szCs w:val="20"/>
        </w:rPr>
        <w:t xml:space="preserve">derivado de </w:t>
      </w:r>
      <w:r w:rsidRPr="0061249C">
        <w:rPr>
          <w:rFonts w:ascii="Open Sans" w:hAnsi="Open Sans" w:cs="Arial"/>
          <w:bCs/>
          <w:sz w:val="20"/>
          <w:szCs w:val="20"/>
        </w:rPr>
        <w:t xml:space="preserve"> la activación de bases imponibles</w:t>
      </w:r>
      <w:r>
        <w:rPr>
          <w:rFonts w:ascii="Open Sans" w:hAnsi="Open Sans" w:cs="Arial"/>
          <w:bCs/>
          <w:sz w:val="20"/>
          <w:szCs w:val="20"/>
        </w:rPr>
        <w:t xml:space="preserve"> </w:t>
      </w:r>
      <w:r w:rsidRPr="0061249C">
        <w:rPr>
          <w:rFonts w:ascii="Open Sans" w:hAnsi="Open Sans" w:cs="Arial"/>
          <w:bCs/>
          <w:sz w:val="20"/>
          <w:szCs w:val="20"/>
        </w:rPr>
        <w:t>negativas en Estados Unidos</w:t>
      </w:r>
      <w:r>
        <w:rPr>
          <w:rFonts w:ascii="Open Sans" w:hAnsi="Open Sans" w:cs="Arial"/>
          <w:bCs/>
          <w:sz w:val="20"/>
          <w:szCs w:val="20"/>
        </w:rPr>
        <w:t xml:space="preserve">. </w:t>
      </w:r>
    </w:p>
    <w:p w14:paraId="2CA3475A" w14:textId="77777777" w:rsidR="00E32033" w:rsidRDefault="00E32033" w:rsidP="00E32033">
      <w:pPr>
        <w:jc w:val="both"/>
        <w:rPr>
          <w:rFonts w:ascii="Open Sans" w:hAnsi="Open Sans" w:cs="Arial"/>
          <w:bCs/>
          <w:sz w:val="20"/>
          <w:szCs w:val="20"/>
        </w:rPr>
      </w:pPr>
    </w:p>
    <w:p w14:paraId="0EF52582" w14:textId="77777777" w:rsidR="00E32033" w:rsidRPr="0061249C" w:rsidRDefault="00E32033" w:rsidP="00E32033">
      <w:pPr>
        <w:jc w:val="both"/>
        <w:rPr>
          <w:rFonts w:ascii="Open Sans" w:hAnsi="Open Sans" w:cs="Arial"/>
          <w:bCs/>
          <w:sz w:val="20"/>
          <w:szCs w:val="20"/>
        </w:rPr>
      </w:pPr>
      <w:r>
        <w:rPr>
          <w:rFonts w:ascii="Open Sans" w:hAnsi="Open Sans" w:cs="Arial"/>
          <w:bCs/>
          <w:sz w:val="20"/>
          <w:szCs w:val="20"/>
        </w:rPr>
        <w:t xml:space="preserve">En el apartado </w:t>
      </w:r>
      <w:r w:rsidRPr="009D7687">
        <w:rPr>
          <w:rFonts w:ascii="Open Sans" w:hAnsi="Open Sans" w:cs="Arial"/>
          <w:bCs/>
          <w:sz w:val="20"/>
          <w:szCs w:val="20"/>
        </w:rPr>
        <w:t>2.8.</w:t>
      </w:r>
      <w:r>
        <w:rPr>
          <w:rFonts w:ascii="Open Sans" w:hAnsi="Open Sans" w:cs="Arial"/>
          <w:bCs/>
          <w:sz w:val="20"/>
          <w:szCs w:val="20"/>
        </w:rPr>
        <w:t xml:space="preserve"> </w:t>
      </w:r>
      <w:proofErr w:type="gramStart"/>
      <w:r>
        <w:rPr>
          <w:rFonts w:ascii="Open Sans" w:hAnsi="Open Sans" w:cs="Arial"/>
          <w:bCs/>
          <w:sz w:val="20"/>
          <w:szCs w:val="20"/>
        </w:rPr>
        <w:t>del</w:t>
      </w:r>
      <w:proofErr w:type="gramEnd"/>
      <w:r>
        <w:rPr>
          <w:rFonts w:ascii="Open Sans" w:hAnsi="Open Sans" w:cs="Arial"/>
          <w:bCs/>
          <w:sz w:val="20"/>
          <w:szCs w:val="20"/>
        </w:rPr>
        <w:t xml:space="preserve"> Informe Integrado se concentran la mayor parte de información publicada por Ferrovial sobre el </w:t>
      </w:r>
      <w:r w:rsidRPr="009D7687">
        <w:rPr>
          <w:rFonts w:ascii="Open Sans" w:hAnsi="Open Sans" w:cs="Arial"/>
          <w:bCs/>
          <w:sz w:val="20"/>
          <w:szCs w:val="20"/>
        </w:rPr>
        <w:t>gasto por impuesto sobre sociedades</w:t>
      </w:r>
      <w:r>
        <w:rPr>
          <w:rFonts w:ascii="Open Sans" w:hAnsi="Open Sans" w:cs="Arial"/>
          <w:bCs/>
          <w:sz w:val="20"/>
          <w:szCs w:val="20"/>
        </w:rPr>
        <w:t xml:space="preserve"> </w:t>
      </w:r>
      <w:r w:rsidRPr="009D7687">
        <w:rPr>
          <w:rFonts w:ascii="Open Sans" w:hAnsi="Open Sans" w:cs="Arial"/>
          <w:bCs/>
          <w:sz w:val="20"/>
          <w:szCs w:val="20"/>
        </w:rPr>
        <w:t xml:space="preserve">e impuestos </w:t>
      </w:r>
      <w:r w:rsidRPr="0061249C">
        <w:rPr>
          <w:rFonts w:ascii="Open Sans" w:hAnsi="Open Sans" w:cs="Arial"/>
          <w:bCs/>
          <w:sz w:val="20"/>
          <w:szCs w:val="20"/>
        </w:rPr>
        <w:t>diferidos. Aunque se incluyen explicaciones sobre las principales magnitudes publicadas, su alcance e implicaciones pueden ser difíciles de entender para personas no familiarizadas con el ámbito fiscal. Además el grado de desagregación país a país puede considerarse como insuficiente ya que únicamente muestra información diferenciada para tres países (España, Reino Unido y EEUU), agrupando al resto de países bajo la categoría de “otros”</w:t>
      </w:r>
      <w:r>
        <w:rPr>
          <w:rFonts w:ascii="Open Sans" w:hAnsi="Open Sans" w:cs="Arial"/>
          <w:bCs/>
          <w:sz w:val="20"/>
          <w:szCs w:val="20"/>
        </w:rPr>
        <w:t>, y recordemos que Ferrovial opera en otros 23 países más.</w:t>
      </w:r>
    </w:p>
    <w:p w14:paraId="6DACAF96" w14:textId="77777777" w:rsidR="00E32033" w:rsidRDefault="00E32033" w:rsidP="00E32033">
      <w:pPr>
        <w:jc w:val="both"/>
        <w:rPr>
          <w:rFonts w:ascii="Open Sans" w:hAnsi="Open Sans" w:cs="Arial"/>
          <w:bCs/>
          <w:sz w:val="20"/>
          <w:szCs w:val="20"/>
          <w:highlight w:val="yellow"/>
        </w:rPr>
      </w:pPr>
    </w:p>
    <w:p w14:paraId="14D8F2A6" w14:textId="77777777" w:rsidR="00E32033" w:rsidRPr="0061249C" w:rsidRDefault="00E32033" w:rsidP="00E32033">
      <w:pPr>
        <w:jc w:val="both"/>
        <w:rPr>
          <w:rFonts w:ascii="Open Sans" w:hAnsi="Open Sans" w:cs="Arial"/>
          <w:bCs/>
          <w:sz w:val="20"/>
          <w:szCs w:val="20"/>
          <w:highlight w:val="yellow"/>
        </w:rPr>
      </w:pPr>
      <w:r>
        <w:rPr>
          <w:rFonts w:ascii="Open Sans" w:hAnsi="Open Sans" w:cs="Arial"/>
          <w:bCs/>
          <w:sz w:val="20"/>
          <w:szCs w:val="20"/>
        </w:rPr>
        <w:t xml:space="preserve">Esta agrupación resulta claramente insuficiente para poder analizar el gasto/ingreso por impuesto sobre sociedades y la diferencia que se produce entre la tasa efectiva y nominal. Otro de los </w:t>
      </w:r>
      <w:r w:rsidRPr="001D079C">
        <w:rPr>
          <w:rFonts w:ascii="Open Sans" w:hAnsi="Open Sans" w:cs="Arial"/>
          <w:bCs/>
          <w:sz w:val="20"/>
          <w:szCs w:val="20"/>
        </w:rPr>
        <w:t>motivos de que la explicación sobre la diferencia entre tasas impositivas tampoco sea suficiente es que se mencionan únicamente las causas para el total del</w:t>
      </w:r>
      <w:r>
        <w:rPr>
          <w:rFonts w:ascii="Open Sans" w:hAnsi="Open Sans" w:cs="Arial"/>
          <w:bCs/>
          <w:sz w:val="20"/>
          <w:szCs w:val="20"/>
        </w:rPr>
        <w:t xml:space="preserve"> Grupo (donde el tipo efectivo es claramente superior al nominal) pero no se indica nada sobre la situación país por país, ni siquiera sobre dos de los países sobre los que se incluye información desagregada y en los que el tipo efectivo pagado por la compañía es inferior al nominal del país. Estos dos países son: España, con una tipo efectivo de la empresa del 21% frente al nominal del 28%; y Reino Unido donde Ferrovial registra un ingreso por impuesto sobre sociedades de 5 millones de euros frente a la tasa nominal del país del 20%. La información que proporciona a nivel global se limita a indicar </w:t>
      </w:r>
      <w:r w:rsidRPr="00D743CA">
        <w:rPr>
          <w:rFonts w:ascii="Open Sans" w:hAnsi="Open Sans" w:cs="Arial"/>
          <w:bCs/>
          <w:sz w:val="20"/>
          <w:szCs w:val="20"/>
        </w:rPr>
        <w:t>que «</w:t>
      </w:r>
      <w:r>
        <w:rPr>
          <w:rFonts w:ascii="Open Sans" w:hAnsi="Open Sans" w:cs="Arial"/>
          <w:bCs/>
          <w:i/>
          <w:sz w:val="20"/>
          <w:szCs w:val="20"/>
        </w:rPr>
        <w:t>l</w:t>
      </w:r>
      <w:r w:rsidRPr="00D743CA">
        <w:rPr>
          <w:rFonts w:ascii="Open Sans" w:hAnsi="Open Sans" w:cs="Arial"/>
          <w:bCs/>
          <w:i/>
          <w:sz w:val="20"/>
          <w:szCs w:val="20"/>
        </w:rPr>
        <w:t>a diferencia entre la tasa efectiva real del 31% y la tasa teórica del 26% corresponde a la no deducibilidad fiscal de determinados conceptos, fundamentalmente pérdidas obtenidas en el extranjero por un importe de 64 millones de euros en base y 13 millones de euros en cuota</w:t>
      </w:r>
      <w:r w:rsidRPr="00D743CA">
        <w:rPr>
          <w:rFonts w:ascii="Open Sans" w:hAnsi="Open Sans" w:cs="Arial"/>
          <w:bCs/>
          <w:sz w:val="20"/>
          <w:szCs w:val="20"/>
        </w:rPr>
        <w:t>»</w:t>
      </w:r>
      <w:r>
        <w:rPr>
          <w:rFonts w:ascii="Open Sans" w:hAnsi="Open Sans" w:cs="Arial"/>
          <w:bCs/>
          <w:sz w:val="20"/>
          <w:szCs w:val="20"/>
        </w:rPr>
        <w:t>.</w:t>
      </w:r>
    </w:p>
    <w:p w14:paraId="61E1862C" w14:textId="77777777" w:rsidR="00E32033" w:rsidRDefault="00E32033" w:rsidP="00E32033">
      <w:pPr>
        <w:jc w:val="both"/>
        <w:rPr>
          <w:rFonts w:ascii="Open Sans" w:hAnsi="Open Sans" w:cs="Arial"/>
          <w:bCs/>
          <w:sz w:val="20"/>
          <w:szCs w:val="20"/>
          <w:highlight w:val="yellow"/>
        </w:rPr>
      </w:pPr>
    </w:p>
    <w:p w14:paraId="23E524D8"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Por lo que se refiere a las deducciones fiscales, únicamente se publican las que estaban pendientes de aplicar a 31 de diciembre de 2015, ofreciendo una cifra agregada para el conjunto del grupo. El Informe Integrado también ofrece información sobre las exenciones por dividendos y ganancias de capital obtenidas por Ferrovial derivadas de su acogimiento al </w:t>
      </w:r>
      <w:r w:rsidRPr="008A6FBA">
        <w:rPr>
          <w:rFonts w:ascii="Open Sans" w:hAnsi="Open Sans" w:cs="Arial"/>
          <w:bCs/>
          <w:sz w:val="20"/>
          <w:szCs w:val="20"/>
        </w:rPr>
        <w:t>régimen</w:t>
      </w:r>
      <w:r>
        <w:rPr>
          <w:rFonts w:ascii="Open Sans" w:hAnsi="Open Sans" w:cs="Arial"/>
          <w:bCs/>
          <w:sz w:val="20"/>
          <w:szCs w:val="20"/>
        </w:rPr>
        <w:t xml:space="preserve"> especial </w:t>
      </w:r>
      <w:r w:rsidRPr="008A6FBA">
        <w:rPr>
          <w:rFonts w:ascii="Open Sans" w:hAnsi="Open Sans" w:cs="Arial"/>
          <w:bCs/>
          <w:sz w:val="20"/>
          <w:szCs w:val="20"/>
        </w:rPr>
        <w:t>establecido en los artículos 107 y 108 de la Ley 27/2014,</w:t>
      </w:r>
      <w:r>
        <w:rPr>
          <w:rFonts w:ascii="Open Sans" w:hAnsi="Open Sans" w:cs="Arial"/>
          <w:bCs/>
          <w:sz w:val="20"/>
          <w:szCs w:val="20"/>
        </w:rPr>
        <w:t xml:space="preserve"> </w:t>
      </w:r>
      <w:r w:rsidRPr="008A6FBA">
        <w:rPr>
          <w:rFonts w:ascii="Open Sans" w:hAnsi="Open Sans" w:cs="Arial"/>
          <w:bCs/>
          <w:sz w:val="20"/>
          <w:szCs w:val="20"/>
        </w:rPr>
        <w:t>de 27 de noviembre del Im</w:t>
      </w:r>
      <w:r>
        <w:rPr>
          <w:rFonts w:ascii="Open Sans" w:hAnsi="Open Sans" w:cs="Arial"/>
          <w:bCs/>
          <w:sz w:val="20"/>
          <w:szCs w:val="20"/>
        </w:rPr>
        <w:t>puesto sobre Sociedades (“LIS”). No obstante, no se ha encontrado información suficiente que muestre que con esa información se muestre la imagen completa de las exenciones fiscales de las empresas del grupo en todos los países en los que están presentes. Respecto a los créditos fiscales reconocidos a las empresas que conforman el grupo, únicamente se publica información sobre los que Ferrovial, «</w:t>
      </w:r>
      <w:r w:rsidRPr="00C30A5F">
        <w:rPr>
          <w:rFonts w:ascii="Open Sans" w:hAnsi="Open Sans" w:cs="Arial"/>
          <w:bCs/>
          <w:i/>
          <w:sz w:val="20"/>
          <w:szCs w:val="20"/>
        </w:rPr>
        <w:t>conforme a las proyecciones del grupo se consideran que se van a poder utilizar antes de que venza el periodo de prescripción</w:t>
      </w:r>
      <w:r>
        <w:rPr>
          <w:rFonts w:ascii="Open Sans" w:hAnsi="Open Sans" w:cs="Arial"/>
          <w:bCs/>
          <w:sz w:val="20"/>
          <w:szCs w:val="20"/>
        </w:rPr>
        <w:t>». Concretamente se incluye información de las bases imponibles negativas asociadas, el periodo de prescripción, el crédito fiscal máximo y la cantidad activada del mismo. Adicionalmente se incluyen explicaciones para los dos con mayor importe que son los reconocidos al Grupo consolidado fiscal español y al grupo consolidado fiscal estadounidense. Sería recomendable que en próximos informes se incluyese adicionalmente información detallada sobre los créditos fiscales reconocidos en cada país indicando a qué empresas corresponden.</w:t>
      </w:r>
    </w:p>
    <w:p w14:paraId="28C34AA9" w14:textId="77777777" w:rsidR="00E32033" w:rsidRDefault="00E32033" w:rsidP="00E32033">
      <w:pPr>
        <w:jc w:val="both"/>
        <w:rPr>
          <w:rFonts w:ascii="Open Sans" w:hAnsi="Open Sans" w:cs="Arial"/>
          <w:bCs/>
          <w:sz w:val="20"/>
          <w:szCs w:val="20"/>
        </w:rPr>
      </w:pPr>
    </w:p>
    <w:p w14:paraId="67140737" w14:textId="77777777" w:rsidR="00E32033" w:rsidRDefault="00E32033" w:rsidP="00E32033">
      <w:pPr>
        <w:jc w:val="both"/>
        <w:rPr>
          <w:rFonts w:ascii="Open Sans" w:hAnsi="Open Sans" w:cs="Open Sans"/>
          <w:color w:val="000000"/>
          <w:sz w:val="20"/>
          <w:szCs w:val="20"/>
        </w:rPr>
      </w:pPr>
      <w:r>
        <w:rPr>
          <w:rFonts w:ascii="Open Sans" w:hAnsi="Open Sans" w:cs="Arial"/>
          <w:bCs/>
          <w:sz w:val="20"/>
          <w:szCs w:val="20"/>
        </w:rPr>
        <w:t>Ferrovial hace diversas menciones a su compromiso con la cooperación en el ámbito fiscal. En la memoria integrada puede encontrarse que esta relación cooperativa es entendida por la empresa como mantener</w:t>
      </w:r>
      <w:r w:rsidRPr="00101E59">
        <w:rPr>
          <w:rFonts w:ascii="Open Sans" w:hAnsi="Open Sans" w:cs="Arial"/>
          <w:bCs/>
          <w:sz w:val="20"/>
          <w:szCs w:val="20"/>
        </w:rPr>
        <w:t xml:space="preserve"> buenas relaciones con las autoridades</w:t>
      </w:r>
      <w:r>
        <w:rPr>
          <w:rFonts w:ascii="Open Sans" w:hAnsi="Open Sans" w:cs="Arial"/>
          <w:bCs/>
          <w:sz w:val="20"/>
          <w:szCs w:val="20"/>
        </w:rPr>
        <w:t xml:space="preserve"> </w:t>
      </w:r>
      <w:r w:rsidRPr="00101E59">
        <w:rPr>
          <w:rFonts w:ascii="Open Sans" w:hAnsi="Open Sans" w:cs="Arial"/>
          <w:bCs/>
          <w:sz w:val="20"/>
          <w:szCs w:val="20"/>
        </w:rPr>
        <w:t xml:space="preserve">fiscales y </w:t>
      </w:r>
      <w:r>
        <w:rPr>
          <w:rFonts w:ascii="Open Sans" w:hAnsi="Open Sans" w:cs="Arial"/>
          <w:bCs/>
          <w:sz w:val="20"/>
          <w:szCs w:val="20"/>
        </w:rPr>
        <w:t>gestionar</w:t>
      </w:r>
      <w:r w:rsidRPr="00101E59">
        <w:rPr>
          <w:rFonts w:ascii="Open Sans" w:hAnsi="Open Sans" w:cs="Arial"/>
          <w:bCs/>
          <w:sz w:val="20"/>
          <w:szCs w:val="20"/>
        </w:rPr>
        <w:t xml:space="preserve"> los impuestos de forma proactiva para</w:t>
      </w:r>
      <w:r>
        <w:rPr>
          <w:rFonts w:ascii="Open Sans" w:hAnsi="Open Sans" w:cs="Arial"/>
          <w:bCs/>
          <w:sz w:val="20"/>
          <w:szCs w:val="20"/>
        </w:rPr>
        <w:t xml:space="preserve"> </w:t>
      </w:r>
      <w:r w:rsidRPr="00101E59">
        <w:rPr>
          <w:rFonts w:ascii="Open Sans" w:hAnsi="Open Sans" w:cs="Arial"/>
          <w:bCs/>
          <w:sz w:val="20"/>
          <w:szCs w:val="20"/>
        </w:rPr>
        <w:t>evitar cualquier posibilidad de conflicto.</w:t>
      </w:r>
      <w:r>
        <w:rPr>
          <w:rFonts w:ascii="Open Sans" w:hAnsi="Open Sans" w:cs="Arial"/>
          <w:bCs/>
          <w:sz w:val="20"/>
          <w:szCs w:val="20"/>
        </w:rPr>
        <w:t xml:space="preserve"> En la Política se </w:t>
      </w:r>
      <w:r w:rsidRPr="004C1B47">
        <w:rPr>
          <w:rFonts w:ascii="Open Sans" w:hAnsi="Open Sans" w:cs="Open Sans"/>
          <w:color w:val="000000"/>
          <w:sz w:val="20"/>
          <w:szCs w:val="20"/>
        </w:rPr>
        <w:t>establece como compromiso "</w:t>
      </w:r>
      <w:r w:rsidRPr="004C61CF">
        <w:rPr>
          <w:rFonts w:ascii="Open Sans" w:hAnsi="Open Sans" w:cs="Open Sans"/>
          <w:i/>
          <w:color w:val="000000"/>
          <w:sz w:val="20"/>
          <w:szCs w:val="20"/>
        </w:rPr>
        <w:t>mantener una buena relación con las Administraciones Tributarias</w:t>
      </w:r>
      <w:r>
        <w:rPr>
          <w:rFonts w:ascii="Open Sans" w:hAnsi="Open Sans" w:cs="Open Sans"/>
          <w:color w:val="000000"/>
          <w:sz w:val="20"/>
          <w:szCs w:val="20"/>
        </w:rPr>
        <w:t xml:space="preserve">" y, además, incluye </w:t>
      </w:r>
      <w:r w:rsidRPr="004C1B47">
        <w:rPr>
          <w:rFonts w:ascii="Open Sans" w:hAnsi="Open Sans" w:cs="Open Sans"/>
          <w:color w:val="000000"/>
          <w:sz w:val="20"/>
          <w:szCs w:val="20"/>
        </w:rPr>
        <w:t>un apartado específico sobre "Relaci</w:t>
      </w:r>
      <w:r>
        <w:rPr>
          <w:rFonts w:ascii="Open Sans" w:hAnsi="Open Sans" w:cs="Open Sans"/>
          <w:color w:val="000000"/>
          <w:sz w:val="20"/>
          <w:szCs w:val="20"/>
        </w:rPr>
        <w:t>ones con las Administraciones Tributarias".</w:t>
      </w:r>
    </w:p>
    <w:p w14:paraId="0665B04F" w14:textId="77777777" w:rsidR="00E32033" w:rsidRDefault="00E32033" w:rsidP="00E32033">
      <w:pPr>
        <w:jc w:val="both"/>
        <w:rPr>
          <w:rFonts w:ascii="Open Sans" w:hAnsi="Open Sans" w:cs="Open Sans"/>
          <w:color w:val="000000"/>
          <w:sz w:val="20"/>
          <w:szCs w:val="20"/>
        </w:rPr>
      </w:pPr>
    </w:p>
    <w:p w14:paraId="06298CB0" w14:textId="77777777" w:rsidR="00E32033" w:rsidRDefault="00E32033" w:rsidP="00E32033">
      <w:pPr>
        <w:jc w:val="both"/>
        <w:rPr>
          <w:rFonts w:ascii="Open Sans" w:hAnsi="Open Sans" w:cs="Open Sans"/>
          <w:color w:val="000000"/>
          <w:sz w:val="20"/>
          <w:szCs w:val="20"/>
        </w:rPr>
      </w:pPr>
      <w:r>
        <w:rPr>
          <w:rFonts w:ascii="Open Sans" w:hAnsi="Open Sans" w:cs="Open Sans"/>
          <w:color w:val="000000"/>
          <w:sz w:val="20"/>
          <w:szCs w:val="20"/>
        </w:rPr>
        <w:t>En</w:t>
      </w:r>
      <w:r w:rsidRPr="00FD204E">
        <w:rPr>
          <w:rFonts w:ascii="Open Sans" w:hAnsi="Open Sans" w:cs="Open Sans"/>
          <w:color w:val="000000"/>
          <w:sz w:val="20"/>
          <w:szCs w:val="20"/>
        </w:rPr>
        <w:t xml:space="preserve"> diferentes puntos </w:t>
      </w:r>
      <w:r>
        <w:rPr>
          <w:rFonts w:ascii="Open Sans" w:hAnsi="Open Sans" w:cs="Open Sans"/>
          <w:color w:val="000000"/>
          <w:sz w:val="20"/>
          <w:szCs w:val="20"/>
        </w:rPr>
        <w:t xml:space="preserve">de los documentos analizados se cita </w:t>
      </w:r>
      <w:r w:rsidRPr="00FD204E">
        <w:rPr>
          <w:rFonts w:ascii="Open Sans" w:hAnsi="Open Sans" w:cs="Open Sans"/>
          <w:color w:val="000000"/>
          <w:sz w:val="20"/>
          <w:szCs w:val="20"/>
        </w:rPr>
        <w:t xml:space="preserve">su adhesión desde el 25 de noviembre de 2010 al Código de Buenas Prácticas Tributarias impulsado por la Agencia Tributarias española. En el Informe integrado </w:t>
      </w:r>
      <w:r>
        <w:rPr>
          <w:rFonts w:ascii="Open Sans" w:hAnsi="Open Sans" w:cs="Open Sans"/>
          <w:color w:val="000000"/>
          <w:sz w:val="20"/>
          <w:szCs w:val="20"/>
        </w:rPr>
        <w:t>se relaciona alguna de la</w:t>
      </w:r>
      <w:r w:rsidRPr="00FD204E">
        <w:rPr>
          <w:rFonts w:ascii="Open Sans" w:hAnsi="Open Sans" w:cs="Open Sans"/>
          <w:color w:val="000000"/>
          <w:sz w:val="20"/>
          <w:szCs w:val="20"/>
        </w:rPr>
        <w:t xml:space="preserve"> información </w:t>
      </w:r>
      <w:r>
        <w:rPr>
          <w:rFonts w:ascii="Open Sans" w:hAnsi="Open Sans" w:cs="Open Sans"/>
          <w:color w:val="000000"/>
          <w:sz w:val="20"/>
          <w:szCs w:val="20"/>
        </w:rPr>
        <w:t xml:space="preserve">proporcionada </w:t>
      </w:r>
      <w:r w:rsidRPr="00FD204E">
        <w:rPr>
          <w:rFonts w:ascii="Open Sans" w:hAnsi="Open Sans" w:cs="Open Sans"/>
          <w:color w:val="000000"/>
          <w:sz w:val="20"/>
          <w:szCs w:val="20"/>
        </w:rPr>
        <w:t xml:space="preserve">con el cumplimiento de este código. Sin embargo, </w:t>
      </w:r>
      <w:r>
        <w:rPr>
          <w:rFonts w:ascii="Open Sans" w:hAnsi="Open Sans" w:cs="Open Sans"/>
          <w:color w:val="000000"/>
          <w:sz w:val="20"/>
          <w:szCs w:val="20"/>
        </w:rPr>
        <w:t xml:space="preserve">se trata más bien de una serie de compromisos genéricos y </w:t>
      </w:r>
      <w:r w:rsidRPr="00FD204E">
        <w:rPr>
          <w:rFonts w:ascii="Open Sans" w:hAnsi="Open Sans" w:cs="Open Sans"/>
          <w:color w:val="000000"/>
          <w:sz w:val="20"/>
          <w:szCs w:val="20"/>
        </w:rPr>
        <w:t>no se indican acciones co</w:t>
      </w:r>
      <w:r>
        <w:rPr>
          <w:rFonts w:ascii="Open Sans" w:hAnsi="Open Sans" w:cs="Open Sans"/>
          <w:color w:val="000000"/>
          <w:sz w:val="20"/>
          <w:szCs w:val="20"/>
        </w:rPr>
        <w:t xml:space="preserve">ncretas que permitan valorar su cumplimiento con profundidad. Ferrovial afirma que, siguiendo las recomendaciones del Código: </w:t>
      </w:r>
    </w:p>
    <w:p w14:paraId="0306E214" w14:textId="77777777" w:rsidR="00E32033" w:rsidRDefault="00E32033" w:rsidP="00E32033">
      <w:pPr>
        <w:jc w:val="both"/>
        <w:rPr>
          <w:rFonts w:ascii="Open Sans" w:hAnsi="Open Sans" w:cs="Open Sans"/>
          <w:color w:val="000000"/>
          <w:sz w:val="20"/>
          <w:szCs w:val="20"/>
        </w:rPr>
      </w:pPr>
    </w:p>
    <w:p w14:paraId="3A1BDE33" w14:textId="77777777" w:rsidR="00E32033" w:rsidRPr="004C1B47" w:rsidRDefault="00E32033" w:rsidP="00E32033">
      <w:pPr>
        <w:autoSpaceDE w:val="0"/>
        <w:autoSpaceDN w:val="0"/>
        <w:adjustRightInd w:val="0"/>
        <w:ind w:left="708"/>
        <w:jc w:val="both"/>
        <w:rPr>
          <w:rFonts w:ascii="Open Sans" w:eastAsia="Ferrovial-Light" w:hAnsi="Open Sans" w:cs="Open Sans"/>
          <w:i/>
          <w:sz w:val="20"/>
          <w:szCs w:val="20"/>
        </w:rPr>
      </w:pPr>
      <w:r w:rsidRPr="004C1B47">
        <w:rPr>
          <w:rFonts w:ascii="Open Sans" w:eastAsia="Ferrovial-Light" w:hAnsi="Open Sans" w:cs="Open Sans"/>
          <w:i/>
          <w:sz w:val="20"/>
          <w:szCs w:val="20"/>
        </w:rPr>
        <w:t>«</w:t>
      </w:r>
      <w:proofErr w:type="gramStart"/>
      <w:r w:rsidRPr="004C1B47">
        <w:rPr>
          <w:rFonts w:ascii="Open Sans" w:eastAsia="Ferrovial-Light" w:hAnsi="Open Sans" w:cs="Open Sans"/>
          <w:i/>
          <w:sz w:val="20"/>
          <w:szCs w:val="20"/>
        </w:rPr>
        <w:t>i</w:t>
      </w:r>
      <w:proofErr w:type="gramEnd"/>
      <w:r w:rsidRPr="004C1B47">
        <w:rPr>
          <w:rFonts w:ascii="Open Sans" w:eastAsia="Ferrovial-Light" w:hAnsi="Open Sans" w:cs="Open Sans"/>
          <w:i/>
          <w:sz w:val="20"/>
          <w:szCs w:val="20"/>
        </w:rPr>
        <w:t>) Fomenta medidas para prevenir y reducir riesgos fiscales significativos.</w:t>
      </w:r>
    </w:p>
    <w:p w14:paraId="5A282890" w14:textId="77777777" w:rsidR="00E32033" w:rsidRPr="004C1B47" w:rsidRDefault="00E32033" w:rsidP="00E32033">
      <w:pPr>
        <w:autoSpaceDE w:val="0"/>
        <w:autoSpaceDN w:val="0"/>
        <w:adjustRightInd w:val="0"/>
        <w:ind w:left="708"/>
        <w:jc w:val="both"/>
        <w:rPr>
          <w:rFonts w:ascii="Open Sans" w:eastAsia="Ferrovial-Light" w:hAnsi="Open Sans" w:cs="Open Sans"/>
          <w:i/>
          <w:sz w:val="20"/>
          <w:szCs w:val="20"/>
        </w:rPr>
      </w:pPr>
      <w:r w:rsidRPr="004C1B47">
        <w:rPr>
          <w:rFonts w:ascii="Open Sans" w:eastAsia="Ferrovial-Light" w:hAnsi="Open Sans" w:cs="Open Sans"/>
          <w:i/>
          <w:sz w:val="20"/>
          <w:szCs w:val="20"/>
        </w:rPr>
        <w:t>ii) Busca minorar los conflictos derivados de la interpretación de la normativa aplicando instrumentos contemplados en los ordenamientos tributarios, como la consulta previa a las autoridades fiscales o los acuerdos previos de valoración.</w:t>
      </w:r>
    </w:p>
    <w:p w14:paraId="51A90B95" w14:textId="77777777" w:rsidR="00E32033" w:rsidRPr="004C1B47" w:rsidRDefault="00E32033" w:rsidP="00E32033">
      <w:pPr>
        <w:autoSpaceDE w:val="0"/>
        <w:autoSpaceDN w:val="0"/>
        <w:adjustRightInd w:val="0"/>
        <w:ind w:left="708"/>
        <w:jc w:val="both"/>
        <w:rPr>
          <w:rFonts w:ascii="Open Sans" w:eastAsia="Ferrovial-Light" w:hAnsi="Open Sans" w:cs="Open Sans"/>
          <w:i/>
          <w:sz w:val="20"/>
          <w:szCs w:val="20"/>
        </w:rPr>
      </w:pPr>
      <w:r w:rsidRPr="004C1B47">
        <w:rPr>
          <w:rFonts w:ascii="Open Sans" w:eastAsia="Ferrovial-Light" w:hAnsi="Open Sans" w:cs="Open Sans"/>
          <w:i/>
          <w:sz w:val="20"/>
          <w:szCs w:val="20"/>
        </w:rPr>
        <w:t>iii) Colabora con las Administraciones tributarias competentes en la detección de prácticas fiscales fraudulentas que puedan existir en los mercados en los que Ferrovial está presente, con el objetivo de prevenir su extensión y erradicarlas.</w:t>
      </w:r>
    </w:p>
    <w:p w14:paraId="5D2E22DA" w14:textId="77777777" w:rsidR="00E32033" w:rsidRPr="004C1B47" w:rsidRDefault="00E32033" w:rsidP="00E32033">
      <w:pPr>
        <w:autoSpaceDE w:val="0"/>
        <w:autoSpaceDN w:val="0"/>
        <w:adjustRightInd w:val="0"/>
        <w:ind w:left="708"/>
        <w:jc w:val="both"/>
        <w:rPr>
          <w:rFonts w:ascii="Open Sans" w:eastAsia="Ferrovial-Light" w:hAnsi="Open Sans" w:cs="Open Sans"/>
          <w:i/>
          <w:sz w:val="20"/>
          <w:szCs w:val="20"/>
        </w:rPr>
      </w:pPr>
      <w:r w:rsidRPr="004C1B47">
        <w:rPr>
          <w:rFonts w:ascii="Open Sans" w:eastAsia="Ferrovial-Light" w:hAnsi="Open Sans" w:cs="Open Sans"/>
          <w:i/>
          <w:sz w:val="20"/>
          <w:szCs w:val="20"/>
        </w:rPr>
        <w:t>iv) Facilita la información y documentación que soliciten las Administraciones tributarias en el plazo más corto y de la forma más completa posible.</w:t>
      </w:r>
    </w:p>
    <w:p w14:paraId="4DFBE939" w14:textId="77777777" w:rsidR="00E32033" w:rsidRPr="004C1B47" w:rsidRDefault="00E32033" w:rsidP="00E32033">
      <w:pPr>
        <w:autoSpaceDE w:val="0"/>
        <w:autoSpaceDN w:val="0"/>
        <w:adjustRightInd w:val="0"/>
        <w:ind w:left="708"/>
        <w:jc w:val="both"/>
        <w:rPr>
          <w:rFonts w:ascii="Open Sans" w:hAnsi="Open Sans" w:cs="Open Sans"/>
          <w:i/>
          <w:color w:val="000000"/>
          <w:sz w:val="20"/>
          <w:szCs w:val="20"/>
        </w:rPr>
      </w:pPr>
      <w:r w:rsidRPr="004C1B47">
        <w:rPr>
          <w:rFonts w:ascii="Open Sans" w:eastAsia="Ferrovial-Light" w:hAnsi="Open Sans" w:cs="Open Sans"/>
          <w:i/>
          <w:sz w:val="20"/>
          <w:szCs w:val="20"/>
        </w:rPr>
        <w:t>v) Recurre a todas las posibilidades que ofrece el carácter contradictorio del procedimiento inspector, potenciando el acuerdo con las Administraciones tributarias en todas las fases en las que sea factible».</w:t>
      </w:r>
    </w:p>
    <w:p w14:paraId="542F1C5A" w14:textId="77777777" w:rsidR="00E32033" w:rsidRDefault="00E32033" w:rsidP="00E32033">
      <w:pPr>
        <w:jc w:val="both"/>
        <w:rPr>
          <w:rFonts w:ascii="Arial" w:hAnsi="Arial" w:cs="Arial"/>
          <w:color w:val="000000"/>
          <w:sz w:val="22"/>
          <w:szCs w:val="22"/>
        </w:rPr>
      </w:pPr>
    </w:p>
    <w:p w14:paraId="2E5F9112" w14:textId="77777777" w:rsidR="00E32033" w:rsidRDefault="00E32033" w:rsidP="00E32033">
      <w:pPr>
        <w:jc w:val="both"/>
        <w:rPr>
          <w:rFonts w:ascii="Open Sans" w:hAnsi="Open Sans" w:cs="Arial"/>
          <w:bCs/>
          <w:sz w:val="20"/>
          <w:szCs w:val="20"/>
        </w:rPr>
      </w:pPr>
      <w:r>
        <w:rPr>
          <w:rFonts w:ascii="Open Sans" w:hAnsi="Open Sans" w:cs="Arial"/>
          <w:bCs/>
          <w:sz w:val="20"/>
          <w:szCs w:val="20"/>
        </w:rPr>
        <w:t>Por lo que se refiere a las actividades de lobby, en el Informe integrado</w:t>
      </w:r>
      <w:r w:rsidRPr="00101E59">
        <w:rPr>
          <w:rFonts w:ascii="Open Sans" w:hAnsi="Open Sans" w:cs="Arial"/>
          <w:bCs/>
          <w:sz w:val="20"/>
          <w:szCs w:val="20"/>
        </w:rPr>
        <w:t xml:space="preserve"> Ferrovial</w:t>
      </w:r>
      <w:r>
        <w:rPr>
          <w:rFonts w:ascii="Open Sans" w:hAnsi="Open Sans" w:cs="Arial"/>
          <w:bCs/>
          <w:sz w:val="20"/>
          <w:szCs w:val="20"/>
        </w:rPr>
        <w:t xml:space="preserve"> reconoce que</w:t>
      </w:r>
      <w:r w:rsidRPr="00101E59">
        <w:rPr>
          <w:rFonts w:ascii="Open Sans" w:hAnsi="Open Sans" w:cs="Arial"/>
          <w:bCs/>
          <w:sz w:val="20"/>
          <w:szCs w:val="20"/>
        </w:rPr>
        <w:t xml:space="preserve"> </w:t>
      </w:r>
      <w:r>
        <w:rPr>
          <w:rFonts w:ascii="Open Sans" w:hAnsi="Open Sans" w:cs="Arial"/>
          <w:bCs/>
          <w:sz w:val="20"/>
          <w:szCs w:val="20"/>
        </w:rPr>
        <w:t>«</w:t>
      </w:r>
      <w:r w:rsidRPr="004C1B47">
        <w:rPr>
          <w:rFonts w:ascii="Open Sans" w:hAnsi="Open Sans" w:cs="Arial"/>
          <w:bCs/>
          <w:i/>
          <w:sz w:val="20"/>
          <w:szCs w:val="20"/>
        </w:rPr>
        <w:t>participa indirectamente en los procesos legislativos, aportando su conocimiento internacional sobre lo que contienen otras jurisdicciones en materia tributaria</w:t>
      </w:r>
      <w:r>
        <w:rPr>
          <w:rFonts w:ascii="Open Sans" w:hAnsi="Open Sans" w:cs="Arial"/>
          <w:bCs/>
          <w:sz w:val="20"/>
          <w:szCs w:val="20"/>
        </w:rPr>
        <w:t>». Sin embargo, no se ha encontrado evidencia de que exista información pública sobre las actividades de lobby realizadas por las empresas que conforman el Grupo ni la cuantificación monetaria de las mismas.</w:t>
      </w:r>
    </w:p>
    <w:p w14:paraId="234D3A5B" w14:textId="77777777" w:rsidR="00E32033" w:rsidRDefault="00E32033" w:rsidP="00E32033">
      <w:pPr>
        <w:jc w:val="both"/>
        <w:rPr>
          <w:rFonts w:ascii="Open Sans" w:hAnsi="Open Sans" w:cs="Arial"/>
          <w:bCs/>
          <w:sz w:val="20"/>
          <w:szCs w:val="20"/>
        </w:rPr>
      </w:pPr>
    </w:p>
    <w:p w14:paraId="64C46E3A"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Respecto a los litigios fiscales abiertos la información que se aporta en el Informe Integrado es que no existen procesos de inspección abiertos y que </w:t>
      </w:r>
      <w:r w:rsidRPr="00B37C0C">
        <w:rPr>
          <w:rFonts w:ascii="Open Sans" w:hAnsi="Open Sans" w:cs="Arial"/>
          <w:bCs/>
          <w:i/>
          <w:sz w:val="20"/>
          <w:szCs w:val="20"/>
        </w:rPr>
        <w:t>«se ha comunicado el inicio de expediente sancionador por indebida acreditación de bases imponible negativas, del cual se estima puede derivarse una deuda tributaria a pagar en 2016 de 7 millones de euros».</w:t>
      </w:r>
      <w:r>
        <w:rPr>
          <w:rFonts w:ascii="Open Sans" w:hAnsi="Open Sans" w:cs="Arial"/>
          <w:bCs/>
          <w:sz w:val="20"/>
          <w:szCs w:val="20"/>
        </w:rPr>
        <w:t xml:space="preserve"> Sin embargo únicamente se cita la jurisdicción española y no se hace mención alguna a la existencia o no de litigios abiertos en otras de las muchas jurisdicciones en las que el Grupo está presente.</w:t>
      </w:r>
    </w:p>
    <w:p w14:paraId="5EC5979C" w14:textId="77777777" w:rsidR="00E32033" w:rsidRDefault="00E32033" w:rsidP="00E32033">
      <w:pPr>
        <w:jc w:val="both"/>
        <w:rPr>
          <w:rFonts w:ascii="Open Sans" w:hAnsi="Open Sans" w:cs="Arial"/>
          <w:bCs/>
          <w:sz w:val="20"/>
          <w:szCs w:val="20"/>
        </w:rPr>
      </w:pPr>
    </w:p>
    <w:p w14:paraId="5D563521" w14:textId="77777777" w:rsidR="00E32033" w:rsidRPr="002F4DBF" w:rsidRDefault="00E32033" w:rsidP="00E32033">
      <w:pPr>
        <w:jc w:val="both"/>
        <w:rPr>
          <w:rFonts w:ascii="Open Sans" w:hAnsi="Open Sans" w:cs="Arial"/>
          <w:bCs/>
          <w:sz w:val="20"/>
          <w:szCs w:val="20"/>
        </w:rPr>
      </w:pPr>
      <w:r>
        <w:rPr>
          <w:rFonts w:ascii="Open Sans" w:hAnsi="Open Sans" w:cs="Arial"/>
          <w:bCs/>
          <w:sz w:val="20"/>
          <w:szCs w:val="20"/>
        </w:rPr>
        <w:t xml:space="preserve">Puede cuestionarse que la información indicada en el párrafo sobre litigios abiertos en el ámbito fiscal que publica Ferrovial sea completa si la comparamos con la cifra de </w:t>
      </w:r>
      <w:r w:rsidRPr="002F4DBF">
        <w:rPr>
          <w:rFonts w:ascii="Open Sans" w:hAnsi="Open Sans" w:cs="Arial"/>
          <w:bCs/>
          <w:sz w:val="20"/>
          <w:szCs w:val="20"/>
        </w:rPr>
        <w:t>246</w:t>
      </w:r>
      <w:r>
        <w:rPr>
          <w:rFonts w:ascii="Open Sans" w:hAnsi="Open Sans" w:cs="Arial"/>
          <w:bCs/>
          <w:sz w:val="20"/>
          <w:szCs w:val="20"/>
        </w:rPr>
        <w:t xml:space="preserve"> </w:t>
      </w:r>
      <w:r w:rsidRPr="002F4DBF">
        <w:rPr>
          <w:rFonts w:ascii="Open Sans" w:hAnsi="Open Sans" w:cs="Arial"/>
          <w:bCs/>
          <w:sz w:val="20"/>
          <w:szCs w:val="20"/>
        </w:rPr>
        <w:t>millones de euros</w:t>
      </w:r>
      <w:r>
        <w:rPr>
          <w:rFonts w:ascii="Open Sans" w:hAnsi="Open Sans" w:cs="Arial"/>
          <w:bCs/>
          <w:sz w:val="20"/>
          <w:szCs w:val="20"/>
        </w:rPr>
        <w:t xml:space="preserve"> que se incluye en las cuentas anuales por “</w:t>
      </w:r>
      <w:r w:rsidRPr="004C61CF">
        <w:rPr>
          <w:rFonts w:ascii="Open Sans" w:hAnsi="Open Sans" w:cs="Arial"/>
          <w:bCs/>
          <w:i/>
          <w:sz w:val="20"/>
          <w:szCs w:val="20"/>
        </w:rPr>
        <w:t>provisiones por reclamaciones de carácter tributario</w:t>
      </w:r>
      <w:r>
        <w:rPr>
          <w:rFonts w:ascii="Open Sans" w:hAnsi="Open Sans" w:cs="Arial"/>
          <w:bCs/>
          <w:sz w:val="20"/>
          <w:szCs w:val="20"/>
        </w:rPr>
        <w:t>”. Sobre la existencia de contingencias la empresa indica que «</w:t>
      </w:r>
      <w:r w:rsidRPr="0052089E">
        <w:rPr>
          <w:rFonts w:ascii="Open Sans" w:hAnsi="Open Sans" w:cs="Arial"/>
          <w:bCs/>
          <w:i/>
          <w:sz w:val="20"/>
          <w:szCs w:val="20"/>
        </w:rPr>
        <w:t>considera que las posibles contingencias significativas de carácter tributario se encuentran adecuadamente provisionadas al cierre del ejercicio</w:t>
      </w:r>
      <w:r>
        <w:rPr>
          <w:rFonts w:ascii="Open Sans" w:hAnsi="Open Sans" w:cs="Arial"/>
          <w:bCs/>
          <w:sz w:val="20"/>
          <w:szCs w:val="20"/>
        </w:rPr>
        <w:t>» sin indicar cuáles son, su importe ni los motivos de su existencia</w:t>
      </w:r>
      <w:r w:rsidRPr="0052089E">
        <w:rPr>
          <w:rFonts w:ascii="Open Sans" w:hAnsi="Open Sans" w:cs="Arial"/>
          <w:bCs/>
          <w:sz w:val="20"/>
          <w:szCs w:val="20"/>
        </w:rPr>
        <w:t>.</w:t>
      </w:r>
    </w:p>
    <w:p w14:paraId="4F411DB0" w14:textId="77777777" w:rsidR="00E32033" w:rsidRDefault="00E32033" w:rsidP="00E32033">
      <w:pPr>
        <w:jc w:val="both"/>
        <w:rPr>
          <w:rFonts w:ascii="Open Sans" w:hAnsi="Open Sans" w:cs="Arial"/>
          <w:bCs/>
          <w:sz w:val="20"/>
          <w:szCs w:val="20"/>
        </w:rPr>
      </w:pPr>
    </w:p>
    <w:p w14:paraId="101CB598" w14:textId="77777777" w:rsidR="00E32033" w:rsidRDefault="00E32033" w:rsidP="00E32033">
      <w:pPr>
        <w:jc w:val="both"/>
        <w:rPr>
          <w:rFonts w:ascii="Open Sans" w:hAnsi="Open Sans" w:cs="Arial"/>
          <w:bCs/>
          <w:sz w:val="20"/>
          <w:szCs w:val="20"/>
        </w:rPr>
      </w:pPr>
      <w:r>
        <w:rPr>
          <w:rFonts w:ascii="Open Sans" w:hAnsi="Open Sans" w:cs="Arial"/>
          <w:bCs/>
          <w:sz w:val="20"/>
          <w:szCs w:val="20"/>
        </w:rPr>
        <w:t>Por lo que se refiere a litigios cerrados con las administraciones tributarias, la información puede calificarse también como insuficiente. En el informe integrado se refleja genéricamente que durante el ejercicio 2015 s</w:t>
      </w:r>
      <w:r w:rsidRPr="00B37C0C">
        <w:rPr>
          <w:rFonts w:ascii="Open Sans" w:hAnsi="Open Sans" w:cs="Arial"/>
          <w:bCs/>
          <w:sz w:val="20"/>
          <w:szCs w:val="20"/>
        </w:rPr>
        <w:t xml:space="preserve">e suscribieron Actas </w:t>
      </w:r>
      <w:r>
        <w:rPr>
          <w:rFonts w:ascii="Open Sans" w:hAnsi="Open Sans" w:cs="Arial"/>
          <w:bCs/>
          <w:sz w:val="20"/>
          <w:szCs w:val="20"/>
        </w:rPr>
        <w:t>con</w:t>
      </w:r>
      <w:r w:rsidRPr="00B37C0C">
        <w:rPr>
          <w:rFonts w:ascii="Open Sans" w:hAnsi="Open Sans" w:cs="Arial"/>
          <w:bCs/>
          <w:sz w:val="20"/>
          <w:szCs w:val="20"/>
        </w:rPr>
        <w:t xml:space="preserve"> Acuerdo y Actas en Conformidad con la Agencia Tributaria española que no han supuesto la liquidación de deuda tributaria </w:t>
      </w:r>
      <w:r>
        <w:rPr>
          <w:rFonts w:ascii="Open Sans" w:hAnsi="Open Sans" w:cs="Arial"/>
          <w:bCs/>
          <w:sz w:val="20"/>
          <w:szCs w:val="20"/>
        </w:rPr>
        <w:t xml:space="preserve">para Ferrovial pero que sí </w:t>
      </w:r>
      <w:r w:rsidRPr="00B37C0C">
        <w:rPr>
          <w:rFonts w:ascii="Open Sans" w:hAnsi="Open Sans" w:cs="Arial"/>
          <w:bCs/>
          <w:sz w:val="20"/>
          <w:szCs w:val="20"/>
        </w:rPr>
        <w:t>han disminuido el crédito de</w:t>
      </w:r>
      <w:r>
        <w:rPr>
          <w:rFonts w:ascii="Open Sans" w:hAnsi="Open Sans" w:cs="Arial"/>
          <w:bCs/>
          <w:sz w:val="20"/>
          <w:szCs w:val="20"/>
        </w:rPr>
        <w:t xml:space="preserve"> </w:t>
      </w:r>
      <w:r w:rsidRPr="00B37C0C">
        <w:rPr>
          <w:rFonts w:ascii="Open Sans" w:hAnsi="Open Sans" w:cs="Arial"/>
          <w:bCs/>
          <w:sz w:val="20"/>
          <w:szCs w:val="20"/>
        </w:rPr>
        <w:t>las bases imponibles pendientes de utilización</w:t>
      </w:r>
      <w:r>
        <w:rPr>
          <w:rFonts w:ascii="Open Sans" w:hAnsi="Open Sans" w:cs="Arial"/>
          <w:bCs/>
          <w:sz w:val="20"/>
          <w:szCs w:val="20"/>
        </w:rPr>
        <w:t xml:space="preserve">. Para un correcto ejercicio de transparencia sería necesario que la empresa publicase información adicional para cada jurisdicción sobre </w:t>
      </w:r>
      <w:r w:rsidRPr="00B37C0C">
        <w:rPr>
          <w:rFonts w:ascii="Open Sans" w:hAnsi="Open Sans" w:cs="Arial"/>
          <w:bCs/>
          <w:sz w:val="20"/>
          <w:szCs w:val="20"/>
        </w:rPr>
        <w:t xml:space="preserve">la cantidad en </w:t>
      </w:r>
      <w:r>
        <w:rPr>
          <w:rFonts w:ascii="Open Sans" w:hAnsi="Open Sans" w:cs="Arial"/>
          <w:bCs/>
          <w:sz w:val="20"/>
          <w:szCs w:val="20"/>
        </w:rPr>
        <w:t>dinero</w:t>
      </w:r>
      <w:r w:rsidRPr="00B37C0C">
        <w:rPr>
          <w:rFonts w:ascii="Open Sans" w:hAnsi="Open Sans" w:cs="Arial"/>
          <w:bCs/>
          <w:sz w:val="20"/>
          <w:szCs w:val="20"/>
        </w:rPr>
        <w:t xml:space="preserve"> en litigio,</w:t>
      </w:r>
      <w:r>
        <w:rPr>
          <w:rFonts w:ascii="Open Sans" w:hAnsi="Open Sans" w:cs="Arial"/>
          <w:bCs/>
          <w:sz w:val="20"/>
          <w:szCs w:val="20"/>
        </w:rPr>
        <w:t xml:space="preserve"> el</w:t>
      </w:r>
      <w:r w:rsidRPr="00B37C0C">
        <w:rPr>
          <w:rFonts w:ascii="Open Sans" w:hAnsi="Open Sans" w:cs="Arial"/>
          <w:bCs/>
          <w:sz w:val="20"/>
          <w:szCs w:val="20"/>
        </w:rPr>
        <w:t xml:space="preserve"> tipo de litigio (</w:t>
      </w:r>
      <w:r>
        <w:rPr>
          <w:rFonts w:ascii="Open Sans" w:hAnsi="Open Sans" w:cs="Arial"/>
          <w:bCs/>
          <w:sz w:val="20"/>
          <w:szCs w:val="20"/>
        </w:rPr>
        <w:t>judicial, administrativo, etc.), la</w:t>
      </w:r>
      <w:r w:rsidRPr="00B37C0C">
        <w:rPr>
          <w:rFonts w:ascii="Open Sans" w:hAnsi="Open Sans" w:cs="Arial"/>
          <w:bCs/>
          <w:sz w:val="20"/>
          <w:szCs w:val="20"/>
        </w:rPr>
        <w:t xml:space="preserve"> fecha de inicio</w:t>
      </w:r>
      <w:r>
        <w:rPr>
          <w:rFonts w:ascii="Open Sans" w:hAnsi="Open Sans" w:cs="Arial"/>
          <w:bCs/>
          <w:sz w:val="20"/>
          <w:szCs w:val="20"/>
        </w:rPr>
        <w:t xml:space="preserve"> del mismo y, sobre todo, su resultado final indicando la cantidad de dinero afectada (independientemente de que suponga o no un pago para la empresa).</w:t>
      </w:r>
    </w:p>
    <w:p w14:paraId="386F34BA" w14:textId="77777777" w:rsidR="00E32033" w:rsidRDefault="00E32033" w:rsidP="00E32033">
      <w:pPr>
        <w:jc w:val="both"/>
        <w:rPr>
          <w:rFonts w:ascii="Open Sans" w:hAnsi="Open Sans" w:cs="Arial"/>
          <w:bCs/>
          <w:sz w:val="20"/>
          <w:szCs w:val="20"/>
        </w:rPr>
      </w:pPr>
    </w:p>
    <w:p w14:paraId="1D46995E"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Finalmente, se puede considerar como claramente deficiente la </w:t>
      </w:r>
      <w:r w:rsidRPr="00EE772A">
        <w:rPr>
          <w:rFonts w:ascii="Open Sans" w:hAnsi="Open Sans" w:cs="Arial"/>
          <w:bCs/>
          <w:sz w:val="20"/>
          <w:szCs w:val="20"/>
        </w:rPr>
        <w:t xml:space="preserve">información </w:t>
      </w:r>
      <w:r>
        <w:rPr>
          <w:rFonts w:ascii="Open Sans" w:hAnsi="Open Sans" w:cs="Arial"/>
          <w:bCs/>
          <w:sz w:val="20"/>
          <w:szCs w:val="20"/>
        </w:rPr>
        <w:t xml:space="preserve">publicada por Ferrovial </w:t>
      </w:r>
      <w:r w:rsidRPr="00ED3C4E">
        <w:rPr>
          <w:rFonts w:ascii="Open Sans" w:hAnsi="Open Sans" w:cs="Arial"/>
          <w:bCs/>
          <w:sz w:val="20"/>
          <w:szCs w:val="20"/>
        </w:rPr>
        <w:t>sobre su operativa en el ámbito fiscal en aspectos como las compras intragrupo</w:t>
      </w:r>
      <w:proofErr w:type="gramStart"/>
      <w:r w:rsidRPr="00ED3C4E">
        <w:rPr>
          <w:rFonts w:ascii="Open Sans" w:hAnsi="Open Sans" w:cs="Arial"/>
          <w:bCs/>
          <w:sz w:val="20"/>
          <w:szCs w:val="20"/>
        </w:rPr>
        <w:t>,los</w:t>
      </w:r>
      <w:proofErr w:type="gramEnd"/>
      <w:r w:rsidRPr="00ED3C4E">
        <w:rPr>
          <w:rFonts w:ascii="Open Sans" w:hAnsi="Open Sans" w:cs="Arial"/>
          <w:bCs/>
          <w:sz w:val="20"/>
          <w:szCs w:val="20"/>
        </w:rPr>
        <w:t xml:space="preserve"> precios de transferencia, la financiación entre empresas del grupo, etc. Información que es especialmente relevante si tenemos en cuenta lo ya indicado previamente sobre las operaciones entre ciertas empresas del grupo con otras que están presentes en paraísos fiscales. </w:t>
      </w:r>
    </w:p>
    <w:p w14:paraId="38765DCD" w14:textId="77777777" w:rsidR="00E32033" w:rsidRDefault="00E32033" w:rsidP="00E32033">
      <w:pPr>
        <w:jc w:val="both"/>
        <w:rPr>
          <w:rFonts w:ascii="Open Sans" w:hAnsi="Open Sans" w:cs="Arial"/>
          <w:bCs/>
          <w:sz w:val="20"/>
          <w:szCs w:val="20"/>
        </w:rPr>
      </w:pPr>
    </w:p>
    <w:p w14:paraId="2FF95339" w14:textId="77777777" w:rsidR="00E32033" w:rsidRDefault="00E32033" w:rsidP="00E32033">
      <w:pPr>
        <w:jc w:val="both"/>
        <w:rPr>
          <w:rFonts w:ascii="Open Sans" w:hAnsi="Open Sans" w:cs="Arial"/>
          <w:bCs/>
          <w:sz w:val="20"/>
          <w:szCs w:val="20"/>
        </w:rPr>
      </w:pPr>
      <w:r>
        <w:rPr>
          <w:rFonts w:ascii="Open Sans" w:hAnsi="Open Sans" w:cs="Arial"/>
          <w:bCs/>
          <w:sz w:val="20"/>
          <w:szCs w:val="20"/>
        </w:rPr>
        <w:t>Únicamente cabe señalar el compromiso de que «</w:t>
      </w:r>
      <w:r w:rsidRPr="00CF259B">
        <w:rPr>
          <w:rFonts w:ascii="Open Sans" w:hAnsi="Open Sans" w:cs="Arial"/>
          <w:bCs/>
          <w:i/>
          <w:sz w:val="20"/>
          <w:szCs w:val="20"/>
        </w:rPr>
        <w:t>todas las transmisiones de bienes y prestaciones de servicio efectuadas entre las compañías de Ferrovial, se realizan en las condiciones de mercado fijadas entre partes independientes</w:t>
      </w:r>
      <w:r>
        <w:rPr>
          <w:rFonts w:ascii="Open Sans" w:hAnsi="Open Sans" w:cs="Arial"/>
          <w:bCs/>
          <w:sz w:val="20"/>
          <w:szCs w:val="20"/>
        </w:rPr>
        <w:t>» y de que «</w:t>
      </w:r>
      <w:r w:rsidRPr="00CF259B">
        <w:rPr>
          <w:rFonts w:ascii="Open Sans" w:hAnsi="Open Sans" w:cs="Arial"/>
          <w:bCs/>
          <w:i/>
          <w:sz w:val="20"/>
          <w:szCs w:val="20"/>
        </w:rPr>
        <w:t>los precios establecidos son los normales de mercado,</w:t>
      </w:r>
      <w:r>
        <w:rPr>
          <w:rFonts w:ascii="Open Sans" w:hAnsi="Open Sans" w:cs="Arial"/>
          <w:bCs/>
          <w:i/>
          <w:sz w:val="20"/>
          <w:szCs w:val="20"/>
        </w:rPr>
        <w:t xml:space="preserve"> </w:t>
      </w:r>
      <w:r w:rsidRPr="00CF259B">
        <w:rPr>
          <w:rFonts w:ascii="Open Sans" w:hAnsi="Open Sans" w:cs="Arial"/>
          <w:bCs/>
          <w:i/>
          <w:sz w:val="20"/>
          <w:szCs w:val="20"/>
        </w:rPr>
        <w:t>reflejando la verdadera naturaleza de las transacciones</w:t>
      </w:r>
      <w:r>
        <w:rPr>
          <w:rFonts w:ascii="Open Sans" w:hAnsi="Open Sans" w:cs="Arial"/>
          <w:bCs/>
          <w:sz w:val="20"/>
          <w:szCs w:val="20"/>
        </w:rPr>
        <w:t>»</w:t>
      </w:r>
      <w:r w:rsidRPr="00CF259B">
        <w:rPr>
          <w:rFonts w:ascii="Open Sans" w:hAnsi="Open Sans" w:cs="Arial"/>
          <w:bCs/>
          <w:sz w:val="20"/>
          <w:szCs w:val="20"/>
        </w:rPr>
        <w:t>.</w:t>
      </w:r>
      <w:r>
        <w:rPr>
          <w:rFonts w:ascii="Open Sans" w:hAnsi="Open Sans" w:cs="Arial"/>
          <w:bCs/>
          <w:sz w:val="20"/>
          <w:szCs w:val="20"/>
        </w:rPr>
        <w:t xml:space="preserve"> Sin embargo, en la documentación analizada no se ha hallado información suficiente que permita valorar si este compromiso efectivamente se cumple y los mecanismos existentes para la fijación de los precios de transferencia.</w:t>
      </w:r>
    </w:p>
    <w:p w14:paraId="0AFA6BB5" w14:textId="77777777" w:rsidR="00E32033" w:rsidRDefault="00E32033" w:rsidP="00E32033">
      <w:pPr>
        <w:jc w:val="both"/>
        <w:rPr>
          <w:rFonts w:ascii="Open Sans" w:hAnsi="Open Sans" w:cs="Arial"/>
          <w:bCs/>
          <w:sz w:val="20"/>
          <w:szCs w:val="20"/>
        </w:rPr>
      </w:pPr>
    </w:p>
    <w:p w14:paraId="4402A27F" w14:textId="77777777" w:rsidR="00E32033" w:rsidRDefault="00E32033" w:rsidP="00E32033">
      <w:pPr>
        <w:jc w:val="both"/>
        <w:rPr>
          <w:rFonts w:ascii="Open Sans" w:hAnsi="Open Sans" w:cs="Arial"/>
          <w:bCs/>
          <w:sz w:val="22"/>
          <w:szCs w:val="22"/>
        </w:rPr>
      </w:pPr>
      <w:r w:rsidRPr="00724C1E">
        <w:rPr>
          <w:rFonts w:ascii="Open Sans" w:eastAsia="Calibri" w:hAnsi="Open Sans" w:cs="Open Sans"/>
          <w:sz w:val="20"/>
          <w:szCs w:val="20"/>
        </w:rPr>
        <w:t>Tener conocimiento de estas operaciones es fundamental para poder deducir si la empresa está operando a través de su estructura societaria para implementar estrategias de optimización fiscal</w:t>
      </w:r>
      <w:r>
        <w:rPr>
          <w:rFonts w:ascii="Open Sans" w:eastAsia="Calibri" w:hAnsi="Open Sans" w:cs="Open Sans"/>
          <w:sz w:val="20"/>
          <w:szCs w:val="20"/>
        </w:rPr>
        <w:t xml:space="preserve">. </w:t>
      </w:r>
    </w:p>
    <w:p w14:paraId="3420AE44" w14:textId="77777777" w:rsidR="00E32033" w:rsidRDefault="00E32033" w:rsidP="00E32033">
      <w:pPr>
        <w:jc w:val="both"/>
        <w:rPr>
          <w:rFonts w:ascii="Open Sans" w:hAnsi="Open Sans" w:cs="Arial"/>
          <w:bCs/>
          <w:sz w:val="20"/>
          <w:szCs w:val="20"/>
        </w:rPr>
      </w:pPr>
    </w:p>
    <w:p w14:paraId="64CA2F28" w14:textId="77777777" w:rsidR="00E32033" w:rsidRPr="0024142E" w:rsidRDefault="00E32033" w:rsidP="00E32033">
      <w:pPr>
        <w:jc w:val="both"/>
        <w:rPr>
          <w:rFonts w:ascii="Open Sans" w:hAnsi="Open Sans" w:cs="Arial"/>
          <w:sz w:val="20"/>
          <w:szCs w:val="20"/>
        </w:rPr>
      </w:pPr>
    </w:p>
    <w:p w14:paraId="3B80042C" w14:textId="77777777" w:rsidR="00E32033" w:rsidRPr="0024142E" w:rsidRDefault="00E32033" w:rsidP="00E32033">
      <w:pPr>
        <w:rPr>
          <w:rFonts w:ascii="Open Sans" w:hAnsi="Open Sans" w:cs="Arial"/>
          <w:bCs/>
          <w:sz w:val="22"/>
          <w:szCs w:val="22"/>
          <w:u w:val="single"/>
        </w:rPr>
      </w:pPr>
      <w:r w:rsidRPr="0024142E">
        <w:rPr>
          <w:rFonts w:ascii="Open Sans" w:hAnsi="Open Sans" w:cs="Arial"/>
          <w:b/>
          <w:sz w:val="22"/>
          <w:szCs w:val="22"/>
          <w:u w:val="single"/>
        </w:rPr>
        <w:t>5. Conclusiones</w:t>
      </w:r>
    </w:p>
    <w:p w14:paraId="392CE261" w14:textId="77777777" w:rsidR="00E32033" w:rsidRDefault="00E32033" w:rsidP="00E32033">
      <w:pPr>
        <w:rPr>
          <w:rFonts w:ascii="Open Sans" w:hAnsi="Open Sans" w:cs="Arial"/>
          <w:bCs/>
          <w:sz w:val="22"/>
          <w:szCs w:val="22"/>
        </w:rPr>
      </w:pPr>
    </w:p>
    <w:p w14:paraId="09F56747" w14:textId="77777777" w:rsidR="00E32033" w:rsidRDefault="00E32033" w:rsidP="00E32033">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Ferrovial en el ámbito fiscal</w:t>
      </w:r>
      <w:r w:rsidRPr="005E6A4B">
        <w:rPr>
          <w:rFonts w:ascii="Open Sans" w:hAnsi="Open Sans" w:cs="Open Sans"/>
          <w:color w:val="auto"/>
          <w:sz w:val="20"/>
          <w:szCs w:val="20"/>
        </w:rPr>
        <w:t xml:space="preserve"> </w:t>
      </w:r>
      <w:r w:rsidRPr="001D079C">
        <w:rPr>
          <w:rFonts w:ascii="Open Sans" w:hAnsi="Open Sans" w:cs="Open Sans"/>
          <w:color w:val="auto"/>
          <w:sz w:val="20"/>
          <w:szCs w:val="20"/>
        </w:rPr>
        <w:t xml:space="preserve">es de </w:t>
      </w:r>
      <w:r w:rsidRPr="001D079C">
        <w:rPr>
          <w:rFonts w:ascii="Open Sans" w:hAnsi="Open Sans" w:cs="Open Sans"/>
          <w:b/>
          <w:color w:val="auto"/>
          <w:sz w:val="20"/>
          <w:szCs w:val="20"/>
        </w:rPr>
        <w:t xml:space="preserve"> 0,57</w:t>
      </w:r>
      <w:r>
        <w:rPr>
          <w:rFonts w:ascii="Open Sans" w:hAnsi="Open Sans" w:cs="Open Sans"/>
          <w:color w:val="auto"/>
          <w:sz w:val="20"/>
          <w:szCs w:val="20"/>
        </w:rPr>
        <w:t xml:space="preserve"> sobre un máximo de 3, </w:t>
      </w:r>
      <w:r>
        <w:rPr>
          <w:rFonts w:ascii="Open Sans" w:hAnsi="Open Sans" w:cs="Open Sans"/>
          <w:sz w:val="20"/>
          <w:szCs w:val="20"/>
        </w:rPr>
        <w:t xml:space="preserve">lo que equivale a una </w:t>
      </w:r>
      <w:r>
        <w:rPr>
          <w:rFonts w:ascii="Open Sans" w:hAnsi="Open Sans" w:cs="Open Sans"/>
          <w:i/>
          <w:sz w:val="20"/>
          <w:szCs w:val="20"/>
        </w:rPr>
        <w:t>información escasa</w:t>
      </w:r>
      <w:r>
        <w:rPr>
          <w:rFonts w:ascii="Open Sans" w:hAnsi="Open Sans" w:cs="Open Sans"/>
          <w:sz w:val="20"/>
          <w:szCs w:val="20"/>
        </w:rPr>
        <w:t xml:space="preserve"> de acuerdo con la metodología utilizada. </w:t>
      </w:r>
      <w:r w:rsidRPr="001D079C">
        <w:rPr>
          <w:rFonts w:ascii="Open Sans" w:hAnsi="Open Sans" w:cs="Open Sans"/>
          <w:color w:val="auto"/>
          <w:sz w:val="20"/>
          <w:szCs w:val="20"/>
        </w:rPr>
        <w:t>De las dimensiones analizadas, la máxima puntuación se obtiene en los aspectos relacionados con la “política y estrategia fiscal” (1,00), seguidos por los relacionados con “impuestos e incentivos” (0,67) y, finalmente, por aquellos que miden su comportamiento en las “relaciones con Administraciones Tributarias” (0,60</w:t>
      </w:r>
      <w:r>
        <w:rPr>
          <w:rFonts w:ascii="Open Sans" w:hAnsi="Open Sans" w:cs="Open Sans"/>
          <w:color w:val="auto"/>
          <w:sz w:val="20"/>
          <w:szCs w:val="20"/>
        </w:rPr>
        <w:t>. Pese</w:t>
      </w:r>
      <w:r w:rsidRPr="001D079C">
        <w:rPr>
          <w:rFonts w:ascii="Open Sans" w:hAnsi="Open Sans" w:cs="Open Sans"/>
          <w:color w:val="auto"/>
          <w:sz w:val="20"/>
          <w:szCs w:val="20"/>
        </w:rPr>
        <w:t xml:space="preserve"> a tener presencia en jurisdicciones consideradas como paraísos y nichos fiscales, la valoración de su transparencia en este ámbito es de cero.</w:t>
      </w:r>
    </w:p>
    <w:p w14:paraId="2687BF93" w14:textId="77777777" w:rsidR="00E32033" w:rsidRDefault="00E32033" w:rsidP="00E32033">
      <w:pPr>
        <w:jc w:val="both"/>
        <w:rPr>
          <w:rFonts w:ascii="Open Sans" w:hAnsi="Open Sans" w:cs="Arial"/>
          <w:bCs/>
          <w:sz w:val="20"/>
          <w:szCs w:val="20"/>
        </w:rPr>
      </w:pPr>
    </w:p>
    <w:p w14:paraId="40CD2765" w14:textId="77777777" w:rsidR="00E32033" w:rsidRPr="004D4345" w:rsidRDefault="00E32033" w:rsidP="00E32033">
      <w:pPr>
        <w:jc w:val="both"/>
        <w:rPr>
          <w:rFonts w:ascii="Open Sans" w:hAnsi="Open Sans" w:cs="Arial"/>
          <w:bCs/>
          <w:sz w:val="20"/>
          <w:szCs w:val="20"/>
        </w:rPr>
      </w:pPr>
      <w:r w:rsidRPr="004D4345">
        <w:rPr>
          <w:rFonts w:ascii="Open Sans" w:hAnsi="Open Sans" w:cs="Arial"/>
          <w:bCs/>
          <w:sz w:val="20"/>
          <w:szCs w:val="20"/>
        </w:rPr>
        <w:t>En el informe integrado del grupo hay un sub-apartado específico sobre fiscalidad responsable que forma parte del apartado “Capital social”. Se trata de una página en la que Ferrovial realiza, entre otras, la afirmación que «</w:t>
      </w:r>
      <w:r w:rsidRPr="00247D57">
        <w:rPr>
          <w:rFonts w:ascii="Open Sans" w:hAnsi="Open Sans" w:cs="Arial"/>
          <w:bCs/>
          <w:i/>
          <w:sz w:val="20"/>
          <w:szCs w:val="20"/>
        </w:rPr>
        <w:t>una gestión fiscal prudente y responsable, eficiente y transparente constituye un factor esencial para la creación de valor en Ferrovial</w:t>
      </w:r>
      <w:r w:rsidRPr="004D4345">
        <w:rPr>
          <w:rFonts w:ascii="Open Sans" w:hAnsi="Open Sans" w:cs="Arial"/>
          <w:bCs/>
          <w:sz w:val="20"/>
          <w:szCs w:val="20"/>
        </w:rPr>
        <w:t>».</w:t>
      </w:r>
      <w:r>
        <w:rPr>
          <w:rFonts w:ascii="Open Sans" w:hAnsi="Open Sans" w:cs="Arial"/>
          <w:bCs/>
          <w:sz w:val="20"/>
          <w:szCs w:val="20"/>
        </w:rPr>
        <w:t xml:space="preserve"> El informe integrado también incluye la información sobre fiscalidad de las cuentas anuales, fundamentalmente en el apartado denominado</w:t>
      </w:r>
      <w:r w:rsidRPr="004D4345">
        <w:rPr>
          <w:rFonts w:ascii="Open Sans" w:hAnsi="Open Sans" w:cs="Arial"/>
          <w:bCs/>
          <w:sz w:val="20"/>
          <w:szCs w:val="20"/>
        </w:rPr>
        <w:t xml:space="preserve"> “Gasto por impuesto sobre sociedades e impuestos diferidos”</w:t>
      </w:r>
      <w:r>
        <w:rPr>
          <w:rFonts w:ascii="Open Sans" w:hAnsi="Open Sans" w:cs="Arial"/>
          <w:bCs/>
          <w:sz w:val="20"/>
          <w:szCs w:val="20"/>
        </w:rPr>
        <w:t>.</w:t>
      </w:r>
    </w:p>
    <w:p w14:paraId="196D21FD" w14:textId="77777777" w:rsidR="00E32033" w:rsidRDefault="00E32033" w:rsidP="00E32033">
      <w:pPr>
        <w:jc w:val="both"/>
        <w:rPr>
          <w:rFonts w:ascii="Open Sans" w:hAnsi="Open Sans" w:cs="Arial"/>
          <w:bCs/>
          <w:sz w:val="20"/>
          <w:szCs w:val="20"/>
        </w:rPr>
      </w:pPr>
    </w:p>
    <w:p w14:paraId="0ABDA7A7" w14:textId="77777777" w:rsidR="00E32033" w:rsidRDefault="00E32033" w:rsidP="00E32033">
      <w:pPr>
        <w:jc w:val="both"/>
        <w:rPr>
          <w:rFonts w:ascii="Open Sans" w:hAnsi="Open Sans" w:cs="Open Sans"/>
          <w:sz w:val="20"/>
          <w:szCs w:val="20"/>
        </w:rPr>
      </w:pPr>
      <w:r>
        <w:rPr>
          <w:rFonts w:ascii="Open Sans" w:hAnsi="Open Sans" w:cs="Open Sans"/>
          <w:sz w:val="20"/>
          <w:szCs w:val="20"/>
        </w:rPr>
        <w:t>La información relacionada con la política y la estrategia fiscal es la que Ferrovial aborda en más ocasiones en los documentos analizados. Además de estar incluida en la Política de cumplimiento y buenas prácticas en materia tributaria, también se encuentran diversas menciones en el Informe Integrado sobre los compromisos de Ferrovial en este ámbito.</w:t>
      </w:r>
    </w:p>
    <w:p w14:paraId="28D562BF" w14:textId="77777777" w:rsidR="00E32033" w:rsidRDefault="00E32033" w:rsidP="00E32033">
      <w:pPr>
        <w:jc w:val="both"/>
        <w:rPr>
          <w:rFonts w:ascii="Open Sans" w:hAnsi="Open Sans" w:cs="Open Sans"/>
          <w:sz w:val="20"/>
          <w:szCs w:val="20"/>
        </w:rPr>
      </w:pPr>
    </w:p>
    <w:p w14:paraId="1D3A1241" w14:textId="77777777" w:rsidR="00E32033" w:rsidRDefault="00E32033" w:rsidP="00E32033">
      <w:pPr>
        <w:jc w:val="both"/>
        <w:rPr>
          <w:rFonts w:ascii="Open Sans" w:hAnsi="Open Sans" w:cs="Arial"/>
          <w:bCs/>
          <w:sz w:val="20"/>
          <w:szCs w:val="20"/>
        </w:rPr>
      </w:pPr>
      <w:r>
        <w:rPr>
          <w:rFonts w:ascii="Open Sans" w:hAnsi="Open Sans" w:cs="Arial"/>
          <w:bCs/>
          <w:sz w:val="20"/>
          <w:szCs w:val="20"/>
        </w:rPr>
        <w:t xml:space="preserve">Ferrovial indica poseer diversas políticas y una estrategia relacionadas específicamente con el ámbito fiscal además de haber suscrito el </w:t>
      </w:r>
      <w:r w:rsidRPr="00FD59EF">
        <w:rPr>
          <w:rFonts w:ascii="Open Sans" w:hAnsi="Open Sans" w:cs="Arial"/>
          <w:bCs/>
          <w:sz w:val="20"/>
          <w:szCs w:val="20"/>
        </w:rPr>
        <w:t>Código</w:t>
      </w:r>
      <w:r>
        <w:rPr>
          <w:rFonts w:ascii="Open Sans" w:hAnsi="Open Sans" w:cs="Arial"/>
          <w:bCs/>
          <w:sz w:val="20"/>
          <w:szCs w:val="20"/>
        </w:rPr>
        <w:t xml:space="preserve"> de</w:t>
      </w:r>
      <w:r w:rsidRPr="00FD59EF">
        <w:rPr>
          <w:rFonts w:ascii="Open Sans" w:hAnsi="Open Sans" w:cs="Arial"/>
          <w:bCs/>
          <w:sz w:val="20"/>
          <w:szCs w:val="20"/>
        </w:rPr>
        <w:t xml:space="preserve"> Buenas Prácticas Agencia Tributaria Española</w:t>
      </w:r>
      <w:r>
        <w:rPr>
          <w:rFonts w:ascii="Open Sans" w:hAnsi="Open Sans" w:cs="Arial"/>
          <w:bCs/>
          <w:sz w:val="20"/>
          <w:szCs w:val="20"/>
        </w:rPr>
        <w:t>. En ellos se muestra que su compromiso con la transparencia está orientado, fundamentalmente, a las autoridades fiscales. La empresa también indica expresamente como destinatarios de esta información a los accionistas y “el mercado”. Al resto de grupos de interés, como la sociedad civil, no los menciona.</w:t>
      </w:r>
    </w:p>
    <w:p w14:paraId="57DB0B6C" w14:textId="77777777" w:rsidR="00E32033" w:rsidRPr="004D4345" w:rsidRDefault="00E32033" w:rsidP="00E32033">
      <w:pPr>
        <w:jc w:val="both"/>
        <w:rPr>
          <w:rFonts w:ascii="Open Sans" w:hAnsi="Open Sans" w:cs="Arial"/>
          <w:bCs/>
          <w:sz w:val="20"/>
          <w:szCs w:val="20"/>
        </w:rPr>
      </w:pPr>
    </w:p>
    <w:p w14:paraId="095216D7" w14:textId="77777777" w:rsidR="00E32033" w:rsidRDefault="00E32033" w:rsidP="00E32033">
      <w:pPr>
        <w:jc w:val="both"/>
        <w:rPr>
          <w:rFonts w:ascii="Open Sans" w:hAnsi="Open Sans" w:cs="Arial"/>
          <w:bCs/>
          <w:sz w:val="20"/>
          <w:szCs w:val="20"/>
        </w:rPr>
      </w:pPr>
      <w:r w:rsidRPr="00C077E0">
        <w:rPr>
          <w:rFonts w:ascii="Open Sans" w:hAnsi="Open Sans" w:cs="Arial"/>
          <w:bCs/>
          <w:sz w:val="20"/>
          <w:szCs w:val="20"/>
        </w:rPr>
        <w:t>La valoración sobre la información proporcionada por el Grupo respecto a su contribución fiscal a las comunidades en la que está presente es insuficiente. S</w:t>
      </w:r>
      <w:r>
        <w:rPr>
          <w:rFonts w:ascii="Open Sans" w:hAnsi="Open Sans" w:cs="Arial"/>
          <w:bCs/>
          <w:sz w:val="20"/>
          <w:szCs w:val="20"/>
        </w:rPr>
        <w:t>ería deseable que ofreciese una información país por país, aportando un mayor número de cifras y explicaciones complementarias que permitiesen valorar su responsabilidad fiscal en este ámbito.</w:t>
      </w:r>
    </w:p>
    <w:p w14:paraId="2D42D919" w14:textId="77777777" w:rsidR="00E32033" w:rsidRDefault="00E32033" w:rsidP="00E32033">
      <w:pPr>
        <w:jc w:val="both"/>
        <w:rPr>
          <w:rFonts w:ascii="Open Sans" w:hAnsi="Open Sans" w:cs="Arial"/>
          <w:bCs/>
          <w:sz w:val="20"/>
          <w:szCs w:val="20"/>
        </w:rPr>
      </w:pPr>
    </w:p>
    <w:p w14:paraId="788F6740" w14:textId="77777777" w:rsidR="00E32033" w:rsidRPr="0024142E" w:rsidRDefault="00E32033" w:rsidP="00E32033">
      <w:pPr>
        <w:jc w:val="both"/>
        <w:rPr>
          <w:rFonts w:ascii="Open Sans" w:hAnsi="Open Sans"/>
          <w:sz w:val="20"/>
          <w:szCs w:val="20"/>
        </w:rPr>
      </w:pPr>
      <w:r>
        <w:rPr>
          <w:rFonts w:ascii="Open Sans" w:hAnsi="Open Sans" w:cs="Arial"/>
          <w:bCs/>
          <w:sz w:val="20"/>
          <w:szCs w:val="20"/>
        </w:rPr>
        <w:t>Debido a la importante presencia de las empresas del Grupo en paraísos y nichos fiscales, es de gran importancia que la empresa sea más transparente en su presencia en estas jurisdicciones. En la información analizada únicamente se reflejan compromisos genéricos pero no se muestran datos que permitan entender cómo se materializan. Desde una perspectiva de fiscalidad responsable no tiene justificación que Ferrovial siga sin publicar información detallada sobre las sociedades radicadas en paraísos/nichos fiscales, las actividades que desarrollan, los impuestos pagados, el volumen de negocio generado, número de empleados en cada una de ellas, etc.</w:t>
      </w:r>
    </w:p>
    <w:p w14:paraId="56449E65" w14:textId="77777777" w:rsidR="00B60D9F" w:rsidRDefault="00B60D9F" w:rsidP="00B60D9F">
      <w:pPr>
        <w:jc w:val="both"/>
        <w:rPr>
          <w:rFonts w:ascii="Open Sans" w:hAnsi="Open Sans" w:cs="Arial"/>
          <w:sz w:val="20"/>
          <w:szCs w:val="20"/>
        </w:rPr>
      </w:pPr>
    </w:p>
    <w:p w14:paraId="6181084B" w14:textId="3F1D646A" w:rsidR="004E35B6" w:rsidRDefault="004E35B6">
      <w:pPr>
        <w:rPr>
          <w:rFonts w:ascii="Open Sans" w:hAnsi="Open Sans" w:cs="Arial"/>
          <w:sz w:val="20"/>
          <w:szCs w:val="20"/>
        </w:rPr>
      </w:pPr>
      <w:r>
        <w:rPr>
          <w:rFonts w:ascii="Open Sans" w:hAnsi="Open Sans" w:cs="Arial"/>
          <w:sz w:val="20"/>
          <w:szCs w:val="20"/>
        </w:rPr>
        <w:br w:type="page"/>
      </w:r>
    </w:p>
    <w:p w14:paraId="43CEF05B" w14:textId="77777777" w:rsidR="001211AF" w:rsidRPr="009566A7" w:rsidRDefault="001211AF" w:rsidP="001211A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olor w:val="FFFFFF"/>
        </w:rPr>
      </w:pPr>
      <w:bookmarkStart w:id="76" w:name="FCC"/>
      <w:r w:rsidRPr="009566A7">
        <w:rPr>
          <w:rFonts w:ascii="Open Sans" w:eastAsia="Calibri" w:hAnsi="Open Sans" w:cs="Open Sans"/>
          <w:b/>
        </w:rPr>
        <w:t>FOMENTO DE CONSTRUCCIONES Y CONTRATAS, S.A.</w:t>
      </w:r>
      <w:bookmarkEnd w:id="76"/>
    </w:p>
    <w:p w14:paraId="74E79D16" w14:textId="77777777" w:rsidR="001211AF" w:rsidRPr="00DB7EF3" w:rsidRDefault="001211AF" w:rsidP="001211A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sidRPr="00875657">
        <w:rPr>
          <w:rFonts w:ascii="Open Sans" w:hAnsi="Open Sans" w:cs="Open Sans"/>
          <w:b/>
          <w:bCs/>
          <w:i/>
          <w:color w:val="FFFFFF"/>
        </w:rPr>
        <w:t>(Grupo FCC)</w:t>
      </w:r>
    </w:p>
    <w:p w14:paraId="74824083" w14:textId="77777777" w:rsidR="001211AF" w:rsidRDefault="001211AF" w:rsidP="001211AF">
      <w:pPr>
        <w:jc w:val="both"/>
        <w:outlineLvl w:val="5"/>
        <w:rPr>
          <w:rFonts w:ascii="Open Sans" w:hAnsi="Open Sans" w:cs="Arial"/>
          <w:b/>
          <w:sz w:val="22"/>
          <w:szCs w:val="22"/>
          <w:u w:val="single"/>
        </w:rPr>
      </w:pPr>
    </w:p>
    <w:p w14:paraId="180EDE31" w14:textId="77777777" w:rsidR="00E32033" w:rsidRPr="00BB767A" w:rsidRDefault="00E32033" w:rsidP="00E32033">
      <w:pPr>
        <w:jc w:val="both"/>
        <w:outlineLvl w:val="5"/>
        <w:rPr>
          <w:rFonts w:ascii="Open Sans" w:hAnsi="Open Sans" w:cs="Arial"/>
          <w:b/>
          <w:sz w:val="20"/>
          <w:szCs w:val="20"/>
          <w:u w:val="single"/>
        </w:rPr>
      </w:pPr>
      <w:r w:rsidRPr="00BB767A">
        <w:rPr>
          <w:rFonts w:ascii="Open Sans" w:hAnsi="Open Sans" w:cs="Arial"/>
          <w:b/>
          <w:sz w:val="20"/>
          <w:szCs w:val="20"/>
          <w:u w:val="single"/>
        </w:rPr>
        <w:t>1. Datos generales de la entidad</w:t>
      </w:r>
    </w:p>
    <w:p w14:paraId="0D6ECCDB" w14:textId="77777777" w:rsidR="00E32033" w:rsidRPr="00BB767A" w:rsidRDefault="00E32033" w:rsidP="00E32033">
      <w:pPr>
        <w:jc w:val="both"/>
        <w:outlineLvl w:val="5"/>
        <w:rPr>
          <w:rFonts w:ascii="Open Sans" w:hAnsi="Open Sans" w:cs="Arial"/>
          <w:b/>
          <w:sz w:val="20"/>
          <w:szCs w:val="20"/>
          <w:u w:val="single"/>
        </w:rPr>
      </w:pPr>
    </w:p>
    <w:p w14:paraId="6EB592DF" w14:textId="77777777" w:rsidR="00E32033" w:rsidRPr="00BB767A" w:rsidRDefault="00E32033" w:rsidP="00E32033">
      <w:pPr>
        <w:jc w:val="both"/>
        <w:rPr>
          <w:rFonts w:ascii="Open Sans" w:hAnsi="Open Sans" w:cs="Arial"/>
          <w:sz w:val="20"/>
          <w:szCs w:val="20"/>
        </w:rPr>
      </w:pPr>
      <w:r w:rsidRPr="00BB767A">
        <w:rPr>
          <w:rFonts w:ascii="Open Sans" w:hAnsi="Open Sans" w:cs="Arial"/>
          <w:sz w:val="20"/>
          <w:szCs w:val="20"/>
        </w:rPr>
        <w:t>FCC ofrece a sus clientes los siguientes productos/ servicios:</w:t>
      </w:r>
    </w:p>
    <w:p w14:paraId="46D06062" w14:textId="77777777" w:rsidR="00E32033" w:rsidRPr="00BB767A" w:rsidRDefault="00E32033" w:rsidP="00E32033">
      <w:pPr>
        <w:jc w:val="both"/>
        <w:rPr>
          <w:rFonts w:ascii="Open Sans" w:hAnsi="Open Sans" w:cs="Arial"/>
          <w:sz w:val="20"/>
          <w:szCs w:val="20"/>
          <w:u w:val="single"/>
        </w:rPr>
      </w:pPr>
    </w:p>
    <w:p w14:paraId="430E74AE" w14:textId="77777777" w:rsidR="00E32033" w:rsidRPr="00BB767A" w:rsidRDefault="00E32033" w:rsidP="00E32033">
      <w:pPr>
        <w:jc w:val="both"/>
        <w:rPr>
          <w:rFonts w:ascii="Open Sans" w:hAnsi="Open Sans" w:cs="Arial"/>
          <w:sz w:val="20"/>
          <w:szCs w:val="20"/>
          <w:u w:val="single"/>
        </w:rPr>
      </w:pPr>
      <w:r w:rsidRPr="00BB767A">
        <w:rPr>
          <w:rFonts w:ascii="Open Sans" w:hAnsi="Open Sans" w:cs="Arial"/>
          <w:sz w:val="20"/>
          <w:szCs w:val="20"/>
          <w:u w:val="single"/>
        </w:rPr>
        <w:t>Productos/servicios</w:t>
      </w:r>
    </w:p>
    <w:p w14:paraId="1C9F1254" w14:textId="77777777" w:rsidR="00E32033" w:rsidRPr="00BB767A" w:rsidRDefault="00E32033" w:rsidP="00E32033">
      <w:pPr>
        <w:spacing w:line="276" w:lineRule="auto"/>
        <w:jc w:val="both"/>
        <w:rPr>
          <w:rFonts w:ascii="Open Sans" w:hAnsi="Open Sans" w:cs="Open Sans"/>
          <w:b/>
          <w:sz w:val="20"/>
          <w:szCs w:val="20"/>
        </w:rPr>
      </w:pPr>
    </w:p>
    <w:p w14:paraId="1D8ECF33" w14:textId="77777777" w:rsidR="00E32033" w:rsidRPr="00BB767A" w:rsidRDefault="00E32033" w:rsidP="00E32033">
      <w:pPr>
        <w:spacing w:line="276" w:lineRule="auto"/>
        <w:jc w:val="both"/>
        <w:rPr>
          <w:rFonts w:ascii="Open Sans" w:hAnsi="Open Sans" w:cs="Open Sans"/>
          <w:b/>
          <w:sz w:val="20"/>
          <w:szCs w:val="20"/>
          <w:u w:val="single"/>
        </w:rPr>
      </w:pPr>
      <w:r w:rsidRPr="00BB767A">
        <w:rPr>
          <w:rFonts w:ascii="Open Sans" w:hAnsi="Open Sans" w:cs="Open Sans"/>
          <w:b/>
          <w:sz w:val="20"/>
          <w:szCs w:val="20"/>
          <w:u w:val="single"/>
        </w:rPr>
        <w:t>Infraestructuras:</w:t>
      </w:r>
    </w:p>
    <w:p w14:paraId="0AAF913A" w14:textId="77777777" w:rsidR="00E32033" w:rsidRPr="00BB767A" w:rsidRDefault="00E32033" w:rsidP="00E32033">
      <w:pPr>
        <w:spacing w:line="276" w:lineRule="auto"/>
        <w:jc w:val="both"/>
        <w:rPr>
          <w:rFonts w:ascii="Open Sans" w:hAnsi="Open Sans" w:cs="Open Sans"/>
          <w:b/>
          <w:sz w:val="20"/>
          <w:szCs w:val="20"/>
        </w:rPr>
      </w:pPr>
    </w:p>
    <w:p w14:paraId="0C630C4E"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 xml:space="preserve">Construcción: </w:t>
      </w:r>
      <w:r w:rsidRPr="00BB767A">
        <w:rPr>
          <w:rFonts w:ascii="Open Sans" w:hAnsi="Open Sans" w:cs="Open Sans"/>
          <w:sz w:val="20"/>
          <w:szCs w:val="20"/>
        </w:rPr>
        <w:t>infraestructuras ferroviarias, carreteras, autovías y autopistas, puentes, edificación residencial, túneles, obras marítimas, obras aeroportuarias, edificación no residencial, obras hidráulicas, rehabilitación.</w:t>
      </w:r>
    </w:p>
    <w:p w14:paraId="4EDBC295" w14:textId="77777777" w:rsidR="00E32033" w:rsidRPr="00BB767A" w:rsidRDefault="00E32033" w:rsidP="00E32033">
      <w:pPr>
        <w:jc w:val="both"/>
        <w:rPr>
          <w:rFonts w:ascii="Open Sans" w:hAnsi="Open Sans" w:cs="Open Sans"/>
          <w:sz w:val="20"/>
          <w:szCs w:val="20"/>
        </w:rPr>
      </w:pPr>
    </w:p>
    <w:p w14:paraId="5FC4BB73"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 xml:space="preserve">Industrial: </w:t>
      </w:r>
      <w:r w:rsidRPr="00BB767A">
        <w:rPr>
          <w:rFonts w:ascii="Open Sans" w:hAnsi="Open Sans" w:cs="Open Sans"/>
          <w:sz w:val="20"/>
          <w:szCs w:val="20"/>
        </w:rPr>
        <w:t>proyectos llave en mano, conducción de hidrocarburos, redes de distribución, instalaciones electromecánicas, mantenimiento y eficiencia, IT Systems, cuadros eléctricos, prefabricados de construcción, diseño de marcas, mantenimiento de infraestructuras.</w:t>
      </w:r>
    </w:p>
    <w:p w14:paraId="19580525" w14:textId="77777777" w:rsidR="00E32033" w:rsidRPr="00BB767A" w:rsidRDefault="00E32033" w:rsidP="00E32033">
      <w:pPr>
        <w:jc w:val="both"/>
        <w:rPr>
          <w:rFonts w:ascii="Open Sans" w:hAnsi="Open Sans" w:cs="Open Sans"/>
          <w:sz w:val="20"/>
          <w:szCs w:val="20"/>
        </w:rPr>
      </w:pPr>
    </w:p>
    <w:p w14:paraId="60CA122A"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 xml:space="preserve">Cementos: </w:t>
      </w:r>
      <w:r w:rsidRPr="00BB767A">
        <w:rPr>
          <w:rFonts w:ascii="Open Sans" w:hAnsi="Open Sans" w:cs="Open Sans"/>
          <w:sz w:val="20"/>
          <w:szCs w:val="20"/>
        </w:rPr>
        <w:t>producción de cemento, hormigón, áridos y mortero.</w:t>
      </w:r>
    </w:p>
    <w:p w14:paraId="4327B82A" w14:textId="77777777" w:rsidR="00E32033" w:rsidRPr="00BB767A" w:rsidRDefault="00E32033" w:rsidP="00E32033">
      <w:pPr>
        <w:jc w:val="both"/>
        <w:rPr>
          <w:rFonts w:ascii="Open Sans" w:hAnsi="Open Sans" w:cs="Open Sans"/>
          <w:sz w:val="20"/>
          <w:szCs w:val="20"/>
        </w:rPr>
      </w:pPr>
    </w:p>
    <w:p w14:paraId="65D0F41A"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 xml:space="preserve">Concesiones: </w:t>
      </w:r>
      <w:r w:rsidRPr="00BB767A">
        <w:rPr>
          <w:rFonts w:ascii="Open Sans" w:hAnsi="Open Sans" w:cs="Open Sans"/>
          <w:sz w:val="20"/>
          <w:szCs w:val="20"/>
        </w:rPr>
        <w:t>construcción y gestión de grandes infraestructuras.</w:t>
      </w:r>
    </w:p>
    <w:p w14:paraId="1C318947" w14:textId="77777777" w:rsidR="00E32033" w:rsidRPr="00BB767A" w:rsidRDefault="00E32033" w:rsidP="00E32033">
      <w:pPr>
        <w:jc w:val="both"/>
        <w:rPr>
          <w:rFonts w:ascii="Open Sans" w:hAnsi="Open Sans" w:cs="Open Sans"/>
          <w:sz w:val="20"/>
          <w:szCs w:val="20"/>
        </w:rPr>
      </w:pPr>
    </w:p>
    <w:p w14:paraId="336C17A0"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 xml:space="preserve">Inmobiliaria: </w:t>
      </w:r>
      <w:r w:rsidRPr="00BB767A">
        <w:rPr>
          <w:rFonts w:ascii="Open Sans" w:hAnsi="Open Sans" w:cs="Open Sans"/>
          <w:sz w:val="20"/>
          <w:szCs w:val="20"/>
        </w:rPr>
        <w:t>promover, gestionar y explotar toda clase de bienes inmuebles.</w:t>
      </w:r>
    </w:p>
    <w:p w14:paraId="54D31CC1" w14:textId="77777777" w:rsidR="00E32033" w:rsidRPr="00BB767A" w:rsidRDefault="00E32033" w:rsidP="00E32033">
      <w:pPr>
        <w:jc w:val="both"/>
        <w:rPr>
          <w:rFonts w:ascii="Open Sans" w:hAnsi="Open Sans" w:cs="Open Sans"/>
          <w:sz w:val="20"/>
          <w:szCs w:val="20"/>
        </w:rPr>
      </w:pPr>
    </w:p>
    <w:p w14:paraId="42030AD4" w14:textId="77777777" w:rsidR="00E32033" w:rsidRPr="00BB767A" w:rsidRDefault="00E32033" w:rsidP="00E32033">
      <w:pPr>
        <w:spacing w:line="276" w:lineRule="auto"/>
        <w:jc w:val="both"/>
        <w:rPr>
          <w:rFonts w:ascii="Open Sans" w:hAnsi="Open Sans" w:cs="Open Sans"/>
          <w:b/>
          <w:sz w:val="20"/>
          <w:szCs w:val="20"/>
          <w:u w:val="single"/>
        </w:rPr>
      </w:pPr>
      <w:r w:rsidRPr="00BB767A">
        <w:rPr>
          <w:rFonts w:ascii="Open Sans" w:hAnsi="Open Sans" w:cs="Open Sans"/>
          <w:b/>
          <w:sz w:val="20"/>
          <w:szCs w:val="20"/>
          <w:u w:val="single"/>
        </w:rPr>
        <w:t>Medioambiente:</w:t>
      </w:r>
    </w:p>
    <w:p w14:paraId="09C34461" w14:textId="77777777" w:rsidR="00E32033" w:rsidRPr="00BB767A" w:rsidRDefault="00E32033" w:rsidP="00E32033">
      <w:pPr>
        <w:spacing w:line="276" w:lineRule="auto"/>
        <w:jc w:val="both"/>
        <w:rPr>
          <w:rFonts w:ascii="Open Sans" w:hAnsi="Open Sans" w:cs="Open Sans"/>
          <w:b/>
          <w:sz w:val="20"/>
          <w:szCs w:val="20"/>
        </w:rPr>
      </w:pPr>
    </w:p>
    <w:p w14:paraId="2322FD27"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Servicios medioambientales:</w:t>
      </w:r>
      <w:r w:rsidRPr="00BB767A">
        <w:rPr>
          <w:rFonts w:ascii="Open Sans" w:hAnsi="Open Sans" w:cs="Open Sans"/>
          <w:sz w:val="20"/>
          <w:szCs w:val="20"/>
        </w:rPr>
        <w:t xml:space="preserve"> recogida de residuos, limpieza viaria, tratamiento de residuos urbanos, conservación de zonas verdes, mantenimiento del alcantarillado, gestión de residuos industriales.</w:t>
      </w:r>
    </w:p>
    <w:p w14:paraId="105698B0" w14:textId="77777777" w:rsidR="00E32033" w:rsidRPr="00BB767A" w:rsidRDefault="00E32033" w:rsidP="00E32033">
      <w:pPr>
        <w:jc w:val="both"/>
        <w:rPr>
          <w:rFonts w:ascii="Open Sans" w:hAnsi="Open Sans" w:cs="Open Sans"/>
          <w:sz w:val="20"/>
          <w:szCs w:val="20"/>
        </w:rPr>
      </w:pPr>
    </w:p>
    <w:p w14:paraId="652C5168" w14:textId="77777777" w:rsidR="00E32033" w:rsidRPr="00BB767A" w:rsidRDefault="00E32033" w:rsidP="00E32033">
      <w:pPr>
        <w:spacing w:line="276" w:lineRule="auto"/>
        <w:jc w:val="both"/>
        <w:rPr>
          <w:rFonts w:ascii="Open Sans" w:hAnsi="Open Sans" w:cs="Open Sans"/>
          <w:b/>
          <w:sz w:val="20"/>
          <w:szCs w:val="20"/>
        </w:rPr>
      </w:pPr>
      <w:r w:rsidRPr="00BB767A">
        <w:rPr>
          <w:rFonts w:ascii="Open Sans" w:hAnsi="Open Sans" w:cs="Open Sans"/>
          <w:b/>
          <w:sz w:val="20"/>
          <w:szCs w:val="20"/>
          <w:u w:val="single"/>
        </w:rPr>
        <w:t>Gestión integral del agua</w:t>
      </w:r>
      <w:r w:rsidRPr="00BB767A">
        <w:rPr>
          <w:rFonts w:ascii="Open Sans" w:hAnsi="Open Sans" w:cs="Open Sans"/>
          <w:b/>
          <w:sz w:val="20"/>
          <w:szCs w:val="20"/>
        </w:rPr>
        <w:t>:</w:t>
      </w:r>
    </w:p>
    <w:p w14:paraId="703BE8D5" w14:textId="77777777" w:rsidR="00E32033" w:rsidRPr="00BB767A" w:rsidRDefault="00E32033" w:rsidP="00E32033">
      <w:pPr>
        <w:spacing w:line="276" w:lineRule="auto"/>
        <w:jc w:val="both"/>
        <w:rPr>
          <w:rFonts w:ascii="Open Sans" w:hAnsi="Open Sans" w:cs="Open Sans"/>
          <w:b/>
          <w:sz w:val="20"/>
          <w:szCs w:val="20"/>
        </w:rPr>
      </w:pPr>
    </w:p>
    <w:p w14:paraId="45601C5A"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Gestión integral de servicios públicos</w:t>
      </w:r>
      <w:r w:rsidRPr="00BB767A">
        <w:rPr>
          <w:rFonts w:ascii="Open Sans" w:hAnsi="Open Sans" w:cs="Open Sans"/>
          <w:sz w:val="20"/>
          <w:szCs w:val="20"/>
        </w:rPr>
        <w:t>: captación, el tratamiento y la potabilización, la distribución y la recogida de las aguas usadas y su posterior depuración para su devolución al medio natural en condiciones óptimas.</w:t>
      </w:r>
    </w:p>
    <w:p w14:paraId="132C94F8" w14:textId="77777777" w:rsidR="00E32033" w:rsidRPr="00BB767A" w:rsidRDefault="00E32033" w:rsidP="00E32033">
      <w:pPr>
        <w:jc w:val="both"/>
        <w:rPr>
          <w:rFonts w:ascii="Open Sans" w:hAnsi="Open Sans" w:cs="Open Sans"/>
          <w:b/>
          <w:sz w:val="20"/>
          <w:szCs w:val="20"/>
        </w:rPr>
      </w:pPr>
    </w:p>
    <w:p w14:paraId="305BB3A1" w14:textId="77777777" w:rsidR="00E32033" w:rsidRPr="00BB767A" w:rsidRDefault="00E32033" w:rsidP="00E32033">
      <w:pPr>
        <w:jc w:val="both"/>
        <w:rPr>
          <w:rFonts w:ascii="Open Sans" w:hAnsi="Open Sans" w:cs="Open Sans"/>
          <w:sz w:val="20"/>
          <w:szCs w:val="20"/>
        </w:rPr>
      </w:pPr>
      <w:r w:rsidRPr="00BB767A">
        <w:rPr>
          <w:rFonts w:ascii="Open Sans" w:hAnsi="Open Sans" w:cs="Open Sans"/>
          <w:sz w:val="20"/>
          <w:szCs w:val="20"/>
        </w:rPr>
        <w:t xml:space="preserve">- </w:t>
      </w:r>
      <w:r w:rsidRPr="00BB767A">
        <w:rPr>
          <w:rFonts w:ascii="Open Sans" w:hAnsi="Open Sans" w:cs="Open Sans"/>
          <w:b/>
          <w:sz w:val="20"/>
          <w:szCs w:val="20"/>
        </w:rPr>
        <w:t xml:space="preserve">Infraestructuras hidráulicas: </w:t>
      </w:r>
      <w:r w:rsidRPr="00BB767A">
        <w:rPr>
          <w:rFonts w:ascii="Open Sans" w:hAnsi="Open Sans" w:cs="Open Sans"/>
          <w:sz w:val="20"/>
          <w:szCs w:val="20"/>
        </w:rPr>
        <w:t>diseño y construcción de todo tipo de infraestructuras hidráulicas.</w:t>
      </w:r>
    </w:p>
    <w:p w14:paraId="4906F08B" w14:textId="77777777" w:rsidR="00E32033" w:rsidRPr="00BB767A" w:rsidRDefault="00E32033" w:rsidP="00E32033">
      <w:pPr>
        <w:jc w:val="both"/>
        <w:rPr>
          <w:rFonts w:ascii="Open Sans" w:hAnsi="Open Sans" w:cs="Arial"/>
          <w:sz w:val="20"/>
          <w:szCs w:val="20"/>
        </w:rPr>
      </w:pPr>
    </w:p>
    <w:p w14:paraId="2A46E228" w14:textId="77777777" w:rsidR="00E32033" w:rsidRPr="00BB767A" w:rsidRDefault="00E32033" w:rsidP="00E32033">
      <w:pPr>
        <w:jc w:val="both"/>
        <w:rPr>
          <w:rFonts w:ascii="Open Sans" w:hAnsi="Open Sans" w:cs="Open Sans"/>
          <w:b/>
          <w:sz w:val="20"/>
          <w:szCs w:val="20"/>
          <w:u w:val="single"/>
        </w:rPr>
      </w:pPr>
      <w:r w:rsidRPr="00BB767A">
        <w:rPr>
          <w:rFonts w:ascii="Open Sans" w:hAnsi="Open Sans" w:cs="Arial"/>
          <w:sz w:val="20"/>
          <w:szCs w:val="20"/>
          <w:u w:val="single"/>
        </w:rPr>
        <w:t>Alcance geográfico</w:t>
      </w:r>
    </w:p>
    <w:p w14:paraId="7C5EF451" w14:textId="77777777" w:rsidR="00E32033" w:rsidRPr="00BB767A" w:rsidRDefault="00E32033" w:rsidP="00E32033">
      <w:pPr>
        <w:jc w:val="both"/>
        <w:rPr>
          <w:rFonts w:ascii="Open Sans" w:hAnsi="Open Sans" w:cs="Arial"/>
          <w:sz w:val="20"/>
          <w:szCs w:val="20"/>
        </w:rPr>
      </w:pPr>
    </w:p>
    <w:p w14:paraId="61CFB4D2" w14:textId="77777777" w:rsidR="00E32033" w:rsidRPr="00BB767A" w:rsidRDefault="00E32033" w:rsidP="00E32033">
      <w:pPr>
        <w:jc w:val="both"/>
        <w:rPr>
          <w:rFonts w:ascii="Open Sans" w:eastAsia="Calibri" w:hAnsi="Open Sans" w:cs="Open Sans"/>
          <w:color w:val="000000"/>
          <w:sz w:val="20"/>
          <w:szCs w:val="20"/>
        </w:rPr>
      </w:pPr>
      <w:r w:rsidRPr="00BB767A">
        <w:rPr>
          <w:rFonts w:ascii="Open Sans" w:eastAsia="Calibri" w:hAnsi="Open Sans" w:cs="Open Sans"/>
          <w:color w:val="000000"/>
          <w:sz w:val="20"/>
          <w:szCs w:val="20"/>
        </w:rPr>
        <w:t>FCC opera o tiene presencia en los siguientes países:</w:t>
      </w:r>
    </w:p>
    <w:p w14:paraId="7858BD9E" w14:textId="77777777" w:rsidR="00E32033" w:rsidRPr="00BB767A" w:rsidRDefault="00E32033" w:rsidP="00E32033">
      <w:pPr>
        <w:jc w:val="both"/>
        <w:rPr>
          <w:rFonts w:ascii="Open Sans" w:eastAsia="Calibri" w:hAnsi="Open Sans" w:cs="Open Sans"/>
          <w:color w:val="000000"/>
          <w:sz w:val="20"/>
          <w:szCs w:val="20"/>
        </w:rPr>
      </w:pPr>
    </w:p>
    <w:p w14:paraId="7F6F54B9" w14:textId="77777777" w:rsidR="00E32033" w:rsidRPr="00BB767A" w:rsidRDefault="00E32033" w:rsidP="00E32033">
      <w:pPr>
        <w:jc w:val="both"/>
        <w:rPr>
          <w:rFonts w:ascii="Open Sans" w:eastAsia="Calibri" w:hAnsi="Open Sans" w:cs="Open Sans"/>
          <w:color w:val="000000"/>
          <w:sz w:val="20"/>
          <w:szCs w:val="20"/>
        </w:rPr>
      </w:pPr>
      <w:r w:rsidRPr="00BB767A">
        <w:rPr>
          <w:rFonts w:ascii="Open Sans" w:eastAsia="Calibri" w:hAnsi="Open Sans" w:cs="Open Sans"/>
          <w:color w:val="000000"/>
          <w:sz w:val="20"/>
          <w:szCs w:val="20"/>
        </w:rPr>
        <w:t>No aparece en la información analizada ni en la web corporativa un listado de los países en los que opera o tiene presencia el Grupo FCC. La única información sobre presencia en el mundo viene dada por una imagen con los países del mundo destacados en color, si bien lo esquemático de la imagen no permite precisar el número exacto de países. Se comenta en la web</w:t>
      </w:r>
      <w:r w:rsidRPr="00BB767A">
        <w:rPr>
          <w:rStyle w:val="Refdenotaalpie"/>
          <w:rFonts w:ascii="Open Sans" w:eastAsia="Calibri" w:hAnsi="Open Sans" w:cs="Open Sans"/>
          <w:color w:val="000000"/>
          <w:sz w:val="20"/>
          <w:szCs w:val="20"/>
        </w:rPr>
        <w:footnoteReference w:id="313"/>
      </w:r>
      <w:r w:rsidRPr="00BB767A">
        <w:rPr>
          <w:rFonts w:ascii="Open Sans" w:eastAsia="Calibri" w:hAnsi="Open Sans" w:cs="Open Sans"/>
          <w:color w:val="000000"/>
          <w:sz w:val="20"/>
          <w:szCs w:val="20"/>
        </w:rPr>
        <w:t xml:space="preserve"> que el grupo está presente en más de 25 países. Con el fin de precisar la información, y siempre sujetos a lo publicado por FCC, se utiliza el listado de empresas del Anexo I. Sociedades Dependientes (consolidadas por integración global)</w:t>
      </w:r>
      <w:r w:rsidRPr="00BB767A">
        <w:rPr>
          <w:rStyle w:val="Refdenotaalpie"/>
          <w:rFonts w:ascii="Open Sans" w:eastAsia="Calibri" w:hAnsi="Open Sans" w:cs="Open Sans"/>
          <w:color w:val="000000"/>
          <w:sz w:val="20"/>
          <w:szCs w:val="20"/>
        </w:rPr>
        <w:footnoteReference w:id="314"/>
      </w:r>
      <w:r w:rsidRPr="00BB767A">
        <w:rPr>
          <w:rFonts w:ascii="Open Sans" w:eastAsia="Calibri" w:hAnsi="Open Sans" w:cs="Open Sans"/>
          <w:color w:val="000000"/>
          <w:sz w:val="20"/>
          <w:szCs w:val="20"/>
        </w:rPr>
        <w:t>, que arroja un total de 39 países en los que el Grupo FCC tiene presencia:</w:t>
      </w:r>
    </w:p>
    <w:p w14:paraId="6D1246FF" w14:textId="77777777" w:rsidR="00E32033" w:rsidRPr="00BB767A" w:rsidRDefault="00E32033" w:rsidP="00E32033">
      <w:pPr>
        <w:jc w:val="both"/>
        <w:rPr>
          <w:rFonts w:ascii="Open Sans" w:eastAsia="Calibri" w:hAnsi="Open Sans" w:cs="Tahoma"/>
          <w:color w:val="000000"/>
          <w:sz w:val="20"/>
          <w:szCs w:val="20"/>
        </w:rPr>
      </w:pPr>
    </w:p>
    <w:p w14:paraId="713AA656" w14:textId="77777777" w:rsidR="00E32033" w:rsidRPr="00BB767A" w:rsidRDefault="00E32033" w:rsidP="00E32033">
      <w:pPr>
        <w:jc w:val="both"/>
        <w:rPr>
          <w:rFonts w:ascii="Open Sans" w:eastAsia="Calibri" w:hAnsi="Open Sans" w:cs="Open Sans"/>
          <w:color w:val="000000"/>
          <w:sz w:val="20"/>
          <w:szCs w:val="20"/>
        </w:rPr>
      </w:pPr>
      <w:r w:rsidRPr="00BB767A">
        <w:rPr>
          <w:rFonts w:ascii="Open Sans" w:eastAsia="Calibri" w:hAnsi="Open Sans" w:cs="Open Sans"/>
          <w:color w:val="000000"/>
          <w:sz w:val="20"/>
          <w:szCs w:val="20"/>
        </w:rPr>
        <w:t xml:space="preserve">Alemania, Arabia Saudita, Austria, Belice, Bosnia-Herzegovina, Brasil, Bulgaria, Canadá, Chile, Colombia, Costa Rica, Croacia, EEUU, Egipto, El Salvador, Eslovaquia, Eslovenia, España, Grecia, Guinea Ecuatorial, Hungría, Irlanda, Italia, Kosovo, Macedonia, Marruecos, México, Montenegro, Nicaragua, Holanda, Panamá, Perú, Polonia, Portugal, Reino Unido, República Checa, Rumanía, Serbia, Túnez. </w:t>
      </w:r>
    </w:p>
    <w:p w14:paraId="720C1B43" w14:textId="77777777" w:rsidR="00E32033" w:rsidRPr="00BB767A" w:rsidRDefault="00E32033" w:rsidP="00E32033">
      <w:pPr>
        <w:jc w:val="both"/>
        <w:rPr>
          <w:rFonts w:ascii="Open Sans" w:eastAsia="Calibri" w:hAnsi="Open Sans" w:cs="Open Sans"/>
          <w:color w:val="000000"/>
          <w:sz w:val="20"/>
          <w:szCs w:val="20"/>
        </w:rPr>
      </w:pPr>
    </w:p>
    <w:p w14:paraId="557EDA71" w14:textId="77777777" w:rsidR="00E32033" w:rsidRPr="00BB767A" w:rsidRDefault="00E32033" w:rsidP="00E32033">
      <w:pPr>
        <w:jc w:val="both"/>
        <w:rPr>
          <w:rFonts w:ascii="Open Sans" w:eastAsia="Calibri" w:hAnsi="Open Sans" w:cs="Open Sans"/>
          <w:color w:val="000000"/>
          <w:sz w:val="20"/>
          <w:szCs w:val="20"/>
        </w:rPr>
      </w:pPr>
      <w:r w:rsidRPr="00BB767A">
        <w:rPr>
          <w:rFonts w:ascii="Open Sans" w:eastAsia="Calibri" w:hAnsi="Open Sans" w:cs="Open Sans"/>
          <w:color w:val="000000"/>
          <w:sz w:val="20"/>
          <w:szCs w:val="20"/>
        </w:rPr>
        <w:t>A estos países habría que añadir aquellos para los que se han encontrado proyectos, actividades y/o contratos descritos en el Informe Anual 2015, existan o no sociedades participadas en diferente grado: Abu Dhabi, Argelia, Bélgica, Emiratos Árabes Unidos, Finlandia, India, Uruguay y Qatar.</w:t>
      </w:r>
    </w:p>
    <w:p w14:paraId="7E8EF9B0" w14:textId="77777777" w:rsidR="00E32033" w:rsidRPr="00BB767A" w:rsidRDefault="00E32033" w:rsidP="00E32033">
      <w:pPr>
        <w:jc w:val="both"/>
        <w:rPr>
          <w:rFonts w:ascii="Open Sans" w:eastAsia="Calibri" w:hAnsi="Open Sans" w:cs="Tahoma"/>
          <w:color w:val="000000"/>
          <w:sz w:val="20"/>
          <w:szCs w:val="20"/>
        </w:rPr>
      </w:pPr>
    </w:p>
    <w:p w14:paraId="4E0DD092" w14:textId="77777777" w:rsidR="00E32033" w:rsidRPr="00BB767A" w:rsidRDefault="00E32033" w:rsidP="00E32033">
      <w:pPr>
        <w:jc w:val="both"/>
        <w:rPr>
          <w:rFonts w:ascii="Open Sans" w:eastAsia="Calibri" w:hAnsi="Open Sans" w:cs="Open Sans"/>
          <w:color w:val="000000"/>
          <w:sz w:val="20"/>
          <w:szCs w:val="20"/>
        </w:rPr>
      </w:pPr>
      <w:r w:rsidRPr="00BB767A">
        <w:rPr>
          <w:rFonts w:ascii="Open Sans" w:eastAsia="Calibri" w:hAnsi="Open Sans" w:cs="Open Sans"/>
          <w:color w:val="000000"/>
          <w:sz w:val="20"/>
          <w:szCs w:val="20"/>
        </w:rPr>
        <w:t>Así, el total de países en los que el Grupo FCC tiene presencia son 47.</w:t>
      </w:r>
    </w:p>
    <w:p w14:paraId="03073FCB" w14:textId="77777777" w:rsidR="00E32033" w:rsidRPr="00BB767A" w:rsidRDefault="00E32033" w:rsidP="00E32033">
      <w:pPr>
        <w:jc w:val="both"/>
        <w:rPr>
          <w:rFonts w:ascii="Open Sans" w:hAnsi="Open Sans" w:cs="Arial"/>
          <w:sz w:val="20"/>
          <w:szCs w:val="20"/>
        </w:rPr>
      </w:pPr>
    </w:p>
    <w:p w14:paraId="4826FE8D" w14:textId="77777777" w:rsidR="00E32033" w:rsidRPr="00BB767A" w:rsidRDefault="00E32033" w:rsidP="00E32033">
      <w:pPr>
        <w:jc w:val="both"/>
        <w:rPr>
          <w:rFonts w:ascii="Open Sans" w:hAnsi="Open Sans" w:cs="Arial"/>
          <w:sz w:val="20"/>
          <w:szCs w:val="20"/>
        </w:rPr>
      </w:pPr>
    </w:p>
    <w:p w14:paraId="1B003CB9" w14:textId="77777777" w:rsidR="00E32033" w:rsidRPr="00BB767A" w:rsidRDefault="00E32033" w:rsidP="00E32033">
      <w:pPr>
        <w:jc w:val="both"/>
        <w:rPr>
          <w:rFonts w:ascii="Open Sans" w:hAnsi="Open Sans" w:cs="Arial"/>
          <w:sz w:val="20"/>
          <w:szCs w:val="20"/>
          <w:u w:val="single"/>
        </w:rPr>
      </w:pPr>
      <w:r w:rsidRPr="00BB767A">
        <w:rPr>
          <w:rFonts w:ascii="Open Sans" w:hAnsi="Open Sans" w:cs="Arial"/>
          <w:sz w:val="20"/>
          <w:szCs w:val="20"/>
          <w:u w:val="single"/>
        </w:rPr>
        <w:t>Cifras relevantes de la empresa</w:t>
      </w:r>
    </w:p>
    <w:p w14:paraId="732632FC" w14:textId="77777777" w:rsidR="00E32033" w:rsidRPr="00BB767A" w:rsidRDefault="00E32033" w:rsidP="00E32033">
      <w:pPr>
        <w:jc w:val="center"/>
        <w:rPr>
          <w:rFonts w:ascii="Open Sans" w:hAnsi="Open Sans" w:cs="Arial"/>
          <w:sz w:val="20"/>
          <w:szCs w:val="20"/>
          <w:u w:val="single"/>
        </w:rPr>
      </w:pPr>
    </w:p>
    <w:tbl>
      <w:tblPr>
        <w:tblStyle w:val="Tablaconcuadrcula"/>
        <w:tblW w:w="0" w:type="auto"/>
        <w:tblInd w:w="108" w:type="dxa"/>
        <w:tblLook w:val="04A0" w:firstRow="1" w:lastRow="0" w:firstColumn="1" w:lastColumn="0" w:noHBand="0" w:noVBand="1"/>
      </w:tblPr>
      <w:tblGrid>
        <w:gridCol w:w="4214"/>
        <w:gridCol w:w="4008"/>
      </w:tblGrid>
      <w:tr w:rsidR="00E32033" w:rsidRPr="00BB767A" w14:paraId="63CFFF59" w14:textId="77777777" w:rsidTr="00D639E4">
        <w:tc>
          <w:tcPr>
            <w:tcW w:w="4214" w:type="dxa"/>
            <w:shd w:val="clear" w:color="auto" w:fill="002060"/>
          </w:tcPr>
          <w:p w14:paraId="1B7EED14" w14:textId="77777777" w:rsidR="00E32033" w:rsidRPr="00BB767A" w:rsidRDefault="00E32033" w:rsidP="00D639E4">
            <w:pPr>
              <w:jc w:val="center"/>
              <w:rPr>
                <w:rFonts w:ascii="Open Sans" w:hAnsi="Open Sans" w:cs="Arial"/>
                <w:b/>
                <w:color w:val="FFFFFF" w:themeColor="background1"/>
                <w:sz w:val="20"/>
                <w:szCs w:val="22"/>
              </w:rPr>
            </w:pPr>
            <w:r w:rsidRPr="00BB767A">
              <w:rPr>
                <w:rFonts w:ascii="Open Sans" w:hAnsi="Open Sans" w:cs="Arial"/>
                <w:b/>
                <w:color w:val="FFFFFF" w:themeColor="background1"/>
                <w:sz w:val="20"/>
                <w:szCs w:val="22"/>
              </w:rPr>
              <w:t>CONCEPTO</w:t>
            </w:r>
          </w:p>
        </w:tc>
        <w:tc>
          <w:tcPr>
            <w:tcW w:w="4008" w:type="dxa"/>
            <w:shd w:val="clear" w:color="auto" w:fill="002060"/>
          </w:tcPr>
          <w:p w14:paraId="6F59D1BC" w14:textId="77777777" w:rsidR="00E32033" w:rsidRPr="00BB767A" w:rsidRDefault="00E32033" w:rsidP="00D639E4">
            <w:pPr>
              <w:jc w:val="center"/>
              <w:rPr>
                <w:rFonts w:ascii="Open Sans" w:hAnsi="Open Sans" w:cs="Arial"/>
                <w:b/>
                <w:color w:val="FFFFFF" w:themeColor="background1"/>
                <w:sz w:val="20"/>
                <w:szCs w:val="22"/>
              </w:rPr>
            </w:pPr>
            <w:r w:rsidRPr="00BB767A">
              <w:rPr>
                <w:rFonts w:ascii="Open Sans" w:hAnsi="Open Sans" w:cs="Arial"/>
                <w:b/>
                <w:color w:val="FFFFFF" w:themeColor="background1"/>
                <w:sz w:val="20"/>
                <w:szCs w:val="22"/>
              </w:rPr>
              <w:t>VALORACIÓN</w:t>
            </w:r>
          </w:p>
        </w:tc>
      </w:tr>
      <w:tr w:rsidR="00E32033" w:rsidRPr="00BB767A" w14:paraId="3F2D381E" w14:textId="77777777" w:rsidTr="00D639E4">
        <w:tc>
          <w:tcPr>
            <w:tcW w:w="4214" w:type="dxa"/>
          </w:tcPr>
          <w:p w14:paraId="3D83E275"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Cifra de negocios</w:t>
            </w:r>
          </w:p>
        </w:tc>
        <w:tc>
          <w:tcPr>
            <w:tcW w:w="4008" w:type="dxa"/>
          </w:tcPr>
          <w:p w14:paraId="07937647"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6.476 Millones €</w:t>
            </w:r>
          </w:p>
        </w:tc>
      </w:tr>
      <w:tr w:rsidR="00E32033" w:rsidRPr="00BB767A" w14:paraId="04E015A8" w14:textId="77777777" w:rsidTr="00D639E4">
        <w:tc>
          <w:tcPr>
            <w:tcW w:w="4214" w:type="dxa"/>
          </w:tcPr>
          <w:p w14:paraId="44CEA4D3"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EBITDA</w:t>
            </w:r>
          </w:p>
        </w:tc>
        <w:tc>
          <w:tcPr>
            <w:tcW w:w="4008" w:type="dxa"/>
          </w:tcPr>
          <w:p w14:paraId="469608E5"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815 Millones de €</w:t>
            </w:r>
          </w:p>
        </w:tc>
      </w:tr>
      <w:tr w:rsidR="00E32033" w:rsidRPr="00BB767A" w14:paraId="0072D1DB" w14:textId="77777777" w:rsidTr="00D639E4">
        <w:tc>
          <w:tcPr>
            <w:tcW w:w="4214" w:type="dxa"/>
          </w:tcPr>
          <w:p w14:paraId="23AB870E"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Activos Totales</w:t>
            </w:r>
          </w:p>
        </w:tc>
        <w:tc>
          <w:tcPr>
            <w:tcW w:w="4008" w:type="dxa"/>
          </w:tcPr>
          <w:p w14:paraId="0668E055"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18.862 Millones de €</w:t>
            </w:r>
          </w:p>
        </w:tc>
      </w:tr>
      <w:tr w:rsidR="00E32033" w:rsidRPr="00BB767A" w14:paraId="4C29B4E5" w14:textId="77777777" w:rsidTr="00D639E4">
        <w:tc>
          <w:tcPr>
            <w:tcW w:w="4214" w:type="dxa"/>
          </w:tcPr>
          <w:p w14:paraId="4FE98225"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BAI</w:t>
            </w:r>
          </w:p>
        </w:tc>
        <w:tc>
          <w:tcPr>
            <w:tcW w:w="4008" w:type="dxa"/>
          </w:tcPr>
          <w:p w14:paraId="4C329923"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-6 Millones de €</w:t>
            </w:r>
          </w:p>
        </w:tc>
      </w:tr>
      <w:tr w:rsidR="00E32033" w:rsidRPr="00BB767A" w14:paraId="59D54352" w14:textId="77777777" w:rsidTr="00D639E4">
        <w:tc>
          <w:tcPr>
            <w:tcW w:w="4214" w:type="dxa"/>
          </w:tcPr>
          <w:p w14:paraId="770DA595"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Impuesto Sobre Beneficios</w:t>
            </w:r>
          </w:p>
        </w:tc>
        <w:tc>
          <w:tcPr>
            <w:tcW w:w="4008" w:type="dxa"/>
          </w:tcPr>
          <w:p w14:paraId="619630A6"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40,8 Millones de €</w:t>
            </w:r>
          </w:p>
        </w:tc>
      </w:tr>
      <w:tr w:rsidR="00E32033" w:rsidRPr="00BB767A" w14:paraId="6CEC3A73" w14:textId="77777777" w:rsidTr="00D639E4">
        <w:tc>
          <w:tcPr>
            <w:tcW w:w="4214" w:type="dxa"/>
          </w:tcPr>
          <w:p w14:paraId="658473A8"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Número Empleados</w:t>
            </w:r>
          </w:p>
        </w:tc>
        <w:tc>
          <w:tcPr>
            <w:tcW w:w="4008" w:type="dxa"/>
          </w:tcPr>
          <w:p w14:paraId="2555F030" w14:textId="77777777" w:rsidR="00E32033" w:rsidRPr="00BB767A" w:rsidRDefault="00E32033" w:rsidP="00D639E4">
            <w:pPr>
              <w:jc w:val="both"/>
              <w:rPr>
                <w:rFonts w:ascii="Open Sans" w:hAnsi="Open Sans" w:cs="Arial"/>
                <w:sz w:val="20"/>
                <w:szCs w:val="20"/>
              </w:rPr>
            </w:pPr>
            <w:r w:rsidRPr="00BB767A">
              <w:rPr>
                <w:rFonts w:ascii="Open Sans" w:hAnsi="Open Sans" w:cs="Arial"/>
                <w:sz w:val="20"/>
                <w:szCs w:val="20"/>
              </w:rPr>
              <w:t>55.145</w:t>
            </w:r>
          </w:p>
        </w:tc>
      </w:tr>
    </w:tbl>
    <w:p w14:paraId="3D8B45E3" w14:textId="77777777" w:rsidR="00E32033" w:rsidRPr="00BB767A" w:rsidRDefault="00E32033" w:rsidP="00E32033">
      <w:pPr>
        <w:jc w:val="both"/>
        <w:rPr>
          <w:rFonts w:ascii="Open Sans" w:hAnsi="Open Sans" w:cs="Arial"/>
          <w:sz w:val="20"/>
          <w:szCs w:val="20"/>
          <w:u w:val="single"/>
        </w:rPr>
      </w:pPr>
    </w:p>
    <w:p w14:paraId="2304F5E6" w14:textId="77777777" w:rsidR="00E32033" w:rsidRPr="00BB767A" w:rsidRDefault="00E32033" w:rsidP="00E32033">
      <w:pPr>
        <w:jc w:val="both"/>
        <w:rPr>
          <w:rFonts w:ascii="Open Sans" w:hAnsi="Open Sans" w:cs="Arial"/>
          <w:sz w:val="20"/>
          <w:szCs w:val="20"/>
          <w:u w:val="single"/>
        </w:rPr>
      </w:pPr>
    </w:p>
    <w:p w14:paraId="105A49A1" w14:textId="77777777" w:rsidR="00E32033" w:rsidRPr="00BB767A" w:rsidRDefault="00E32033" w:rsidP="00E32033">
      <w:pPr>
        <w:jc w:val="both"/>
        <w:rPr>
          <w:rFonts w:ascii="Open Sans" w:hAnsi="Open Sans" w:cs="Arial"/>
          <w:sz w:val="20"/>
          <w:szCs w:val="20"/>
          <w:u w:val="single"/>
        </w:rPr>
      </w:pPr>
      <w:r w:rsidRPr="00BB767A">
        <w:rPr>
          <w:rFonts w:ascii="Open Sans" w:hAnsi="Open Sans" w:cs="Arial"/>
          <w:sz w:val="20"/>
          <w:szCs w:val="20"/>
          <w:u w:val="single"/>
        </w:rPr>
        <w:t>Estándares voluntarios relacionados con fiscalidad responsable:</w:t>
      </w:r>
    </w:p>
    <w:p w14:paraId="72C76D7E" w14:textId="77777777" w:rsidR="00E32033" w:rsidRPr="00BB767A" w:rsidRDefault="00E32033" w:rsidP="00E32033">
      <w:pPr>
        <w:jc w:val="both"/>
        <w:rPr>
          <w:rFonts w:ascii="Open Sans" w:hAnsi="Open Sans" w:cs="Arial"/>
          <w:sz w:val="20"/>
          <w:szCs w:val="20"/>
          <w:u w:val="single"/>
        </w:rPr>
      </w:pPr>
    </w:p>
    <w:p w14:paraId="67C069F7" w14:textId="77777777" w:rsidR="00E32033" w:rsidRPr="00BB767A" w:rsidRDefault="00E32033" w:rsidP="00E32033">
      <w:pPr>
        <w:jc w:val="both"/>
        <w:rPr>
          <w:rFonts w:ascii="Open Sans" w:hAnsi="Open Sans" w:cs="Arial"/>
          <w:sz w:val="20"/>
          <w:szCs w:val="20"/>
        </w:rPr>
      </w:pPr>
      <w:r w:rsidRPr="00BB767A">
        <w:rPr>
          <w:rFonts w:ascii="Open Sans" w:hAnsi="Open Sans" w:cs="Arial"/>
          <w:sz w:val="20"/>
          <w:szCs w:val="20"/>
        </w:rPr>
        <w:t>FCC  informa que se ha adherido voluntariamente a los siguientes estándares relacionados con contenidos y sistemas de gestión de fiscalidad responsable:</w:t>
      </w:r>
    </w:p>
    <w:p w14:paraId="5BAE17D9" w14:textId="77777777" w:rsidR="00E32033" w:rsidRPr="00BB767A" w:rsidRDefault="00E32033" w:rsidP="00E32033">
      <w:pPr>
        <w:jc w:val="both"/>
        <w:rPr>
          <w:rFonts w:ascii="Open Sans" w:hAnsi="Open Sans" w:cs="Arial"/>
          <w:sz w:val="20"/>
          <w:szCs w:val="20"/>
        </w:rPr>
      </w:pPr>
    </w:p>
    <w:p w14:paraId="40D5C7FC" w14:textId="77777777" w:rsidR="00E32033" w:rsidRPr="00BB767A" w:rsidRDefault="00E32033" w:rsidP="00E32033">
      <w:pPr>
        <w:numPr>
          <w:ilvl w:val="0"/>
          <w:numId w:val="12"/>
        </w:numPr>
        <w:jc w:val="both"/>
        <w:rPr>
          <w:rFonts w:ascii="Open Sans" w:hAnsi="Open Sans" w:cs="Arial"/>
          <w:sz w:val="20"/>
          <w:szCs w:val="20"/>
        </w:rPr>
      </w:pPr>
      <w:r w:rsidRPr="00BB767A">
        <w:rPr>
          <w:rFonts w:ascii="Open Sans" w:hAnsi="Open Sans" w:cs="Arial"/>
          <w:sz w:val="20"/>
          <w:szCs w:val="20"/>
        </w:rPr>
        <w:t>Código de Buenas Prácticas Tributarias de la Agencia Tributaria.</w:t>
      </w:r>
    </w:p>
    <w:p w14:paraId="6465D474" w14:textId="77777777" w:rsidR="00E32033" w:rsidRPr="00BB767A" w:rsidRDefault="00E32033" w:rsidP="00E32033">
      <w:pPr>
        <w:ind w:left="720"/>
        <w:jc w:val="both"/>
        <w:rPr>
          <w:rFonts w:ascii="Open Sans" w:hAnsi="Open Sans" w:cs="Arial"/>
          <w:sz w:val="20"/>
          <w:szCs w:val="20"/>
        </w:rPr>
      </w:pPr>
    </w:p>
    <w:p w14:paraId="3194520A" w14:textId="77777777" w:rsidR="00E32033" w:rsidRPr="00BB767A" w:rsidRDefault="00E32033" w:rsidP="00E32033">
      <w:pPr>
        <w:rPr>
          <w:rFonts w:ascii="Open Sans" w:hAnsi="Open Sans" w:cs="Arial"/>
          <w:sz w:val="20"/>
          <w:szCs w:val="20"/>
          <w:u w:val="single"/>
        </w:rPr>
      </w:pPr>
      <w:r w:rsidRPr="00BB767A">
        <w:rPr>
          <w:rFonts w:ascii="Open Sans" w:hAnsi="Open Sans" w:cs="Arial"/>
          <w:sz w:val="20"/>
          <w:szCs w:val="20"/>
          <w:u w:val="single"/>
        </w:rPr>
        <w:br w:type="page"/>
      </w:r>
    </w:p>
    <w:p w14:paraId="221C12B1" w14:textId="77777777" w:rsidR="00E32033" w:rsidRPr="00BB767A" w:rsidRDefault="00E32033" w:rsidP="00E32033">
      <w:pPr>
        <w:jc w:val="both"/>
        <w:rPr>
          <w:rFonts w:ascii="Open Sans" w:hAnsi="Open Sans" w:cs="Arial"/>
          <w:sz w:val="20"/>
          <w:szCs w:val="20"/>
          <w:u w:val="single"/>
        </w:rPr>
      </w:pPr>
    </w:p>
    <w:p w14:paraId="2A05C799" w14:textId="77777777" w:rsidR="00E32033" w:rsidRPr="00BB767A" w:rsidRDefault="00E32033" w:rsidP="00E32033">
      <w:pPr>
        <w:jc w:val="both"/>
        <w:rPr>
          <w:rFonts w:ascii="Open Sans" w:hAnsi="Open Sans" w:cs="Arial"/>
          <w:sz w:val="20"/>
          <w:szCs w:val="20"/>
          <w:u w:val="single"/>
        </w:rPr>
      </w:pPr>
      <w:r w:rsidRPr="00BB767A">
        <w:rPr>
          <w:rFonts w:ascii="Open Sans" w:hAnsi="Open Sans" w:cs="Arial"/>
          <w:sz w:val="20"/>
          <w:szCs w:val="20"/>
          <w:u w:val="single"/>
        </w:rPr>
        <w:t>Documentos incluidos en el análisis</w:t>
      </w:r>
    </w:p>
    <w:p w14:paraId="3AC7145F" w14:textId="77777777" w:rsidR="00E32033" w:rsidRPr="00BB767A" w:rsidRDefault="00E32033" w:rsidP="00E32033">
      <w:pPr>
        <w:ind w:firstLine="709"/>
        <w:jc w:val="both"/>
        <w:rPr>
          <w:rFonts w:ascii="Open Sans" w:hAnsi="Open Sans" w:cs="Arial"/>
          <w:sz w:val="20"/>
          <w:szCs w:val="20"/>
        </w:rPr>
      </w:pPr>
    </w:p>
    <w:p w14:paraId="0265478C" w14:textId="77777777" w:rsidR="00E32033" w:rsidRPr="00BB767A" w:rsidRDefault="00E32033" w:rsidP="00E32033">
      <w:pPr>
        <w:jc w:val="both"/>
        <w:rPr>
          <w:rFonts w:ascii="Open Sans" w:hAnsi="Open Sans" w:cs="Arial"/>
          <w:sz w:val="20"/>
          <w:szCs w:val="20"/>
        </w:rPr>
      </w:pPr>
      <w:r w:rsidRPr="00BB767A">
        <w:rPr>
          <w:rFonts w:ascii="Open Sans" w:hAnsi="Open Sans" w:cs="Arial"/>
          <w:sz w:val="20"/>
          <w:szCs w:val="20"/>
        </w:rPr>
        <w:t>Para el análisis de la calidad de la información relacionada con fiscalidad de la empresa, se ha tenido en cuenta la información contenida en la siguiente documentación:</w:t>
      </w:r>
    </w:p>
    <w:p w14:paraId="027680D5" w14:textId="77777777" w:rsidR="00E32033" w:rsidRPr="00BB767A" w:rsidRDefault="00E32033" w:rsidP="00E32033">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549"/>
        <w:gridCol w:w="3969"/>
      </w:tblGrid>
      <w:tr w:rsidR="00E32033" w:rsidRPr="00BB767A" w14:paraId="486C68DE" w14:textId="77777777" w:rsidTr="00D639E4">
        <w:trPr>
          <w:trHeight w:val="327"/>
        </w:trPr>
        <w:tc>
          <w:tcPr>
            <w:tcW w:w="4549"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17391CFD" w14:textId="77777777" w:rsidR="00E32033" w:rsidRPr="00BB767A" w:rsidRDefault="00E32033" w:rsidP="00D639E4">
            <w:pPr>
              <w:jc w:val="center"/>
              <w:rPr>
                <w:rFonts w:ascii="Open Sans" w:hAnsi="Open Sans" w:cs="Arial"/>
                <w:b/>
                <w:sz w:val="20"/>
                <w:szCs w:val="22"/>
              </w:rPr>
            </w:pPr>
            <w:r w:rsidRPr="00BB767A">
              <w:rPr>
                <w:rFonts w:ascii="Open Sans" w:hAnsi="Open Sans" w:cs="Arial"/>
                <w:b/>
                <w:sz w:val="20"/>
                <w:szCs w:val="22"/>
              </w:rPr>
              <w:t>DOCUMENTACIÓN</w:t>
            </w:r>
          </w:p>
        </w:tc>
        <w:tc>
          <w:tcPr>
            <w:tcW w:w="3969"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0519C377" w14:textId="77777777" w:rsidR="00E32033" w:rsidRPr="00BB767A" w:rsidRDefault="00E32033" w:rsidP="00D639E4">
            <w:pPr>
              <w:jc w:val="center"/>
              <w:rPr>
                <w:rFonts w:ascii="Open Sans" w:hAnsi="Open Sans" w:cs="Arial"/>
                <w:b/>
                <w:sz w:val="20"/>
                <w:szCs w:val="22"/>
              </w:rPr>
            </w:pPr>
            <w:r w:rsidRPr="00BB767A">
              <w:rPr>
                <w:rFonts w:ascii="Open Sans" w:hAnsi="Open Sans" w:cs="Arial"/>
                <w:b/>
                <w:sz w:val="20"/>
                <w:szCs w:val="22"/>
              </w:rPr>
              <w:t>OBSERVACIONES</w:t>
            </w:r>
          </w:p>
        </w:tc>
      </w:tr>
      <w:tr w:rsidR="00E32033" w:rsidRPr="00BB767A" w14:paraId="7C7016F4" w14:textId="77777777" w:rsidTr="00D639E4">
        <w:trPr>
          <w:trHeight w:val="51"/>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01FFDC9F" w14:textId="77777777" w:rsidR="00E32033" w:rsidRPr="00BB767A" w:rsidRDefault="00E32033" w:rsidP="00D639E4">
            <w:pPr>
              <w:jc w:val="both"/>
              <w:rPr>
                <w:rFonts w:ascii="Open Sans" w:eastAsia="Arial Unicode MS" w:hAnsi="Open Sans" w:cs="Arial"/>
                <w:sz w:val="20"/>
                <w:szCs w:val="20"/>
              </w:rPr>
            </w:pPr>
            <w:r w:rsidRPr="00BB767A">
              <w:rPr>
                <w:rFonts w:ascii="Open Sans" w:eastAsia="Arial Unicode MS" w:hAnsi="Open Sans" w:cs="Arial"/>
                <w:sz w:val="20"/>
                <w:szCs w:val="20"/>
              </w:rPr>
              <w:t>Cuentas Anuales Grupo FCC Consolidado Fomento de Construcciones y Contratas, S.A.</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FBF641A" w14:textId="77777777" w:rsidR="00E32033" w:rsidRPr="00BB767A" w:rsidRDefault="00E32033" w:rsidP="00D639E4">
            <w:pPr>
              <w:jc w:val="both"/>
              <w:rPr>
                <w:rFonts w:ascii="Open Sans" w:eastAsia="Arial Unicode MS" w:hAnsi="Open Sans" w:cs="Arial"/>
                <w:sz w:val="20"/>
                <w:szCs w:val="20"/>
              </w:rPr>
            </w:pPr>
          </w:p>
        </w:tc>
      </w:tr>
      <w:tr w:rsidR="00E32033" w:rsidRPr="00BB767A" w14:paraId="04ABBA37" w14:textId="77777777" w:rsidTr="00D639E4">
        <w:trPr>
          <w:trHeight w:val="300"/>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32D99DB" w14:textId="77777777" w:rsidR="00E32033" w:rsidRPr="00BB767A" w:rsidRDefault="00E32033" w:rsidP="00D639E4">
            <w:pPr>
              <w:jc w:val="both"/>
              <w:rPr>
                <w:rFonts w:ascii="Open Sans" w:eastAsia="Arial Unicode MS" w:hAnsi="Open Sans" w:cs="Arial"/>
                <w:sz w:val="20"/>
                <w:szCs w:val="20"/>
              </w:rPr>
            </w:pPr>
            <w:r w:rsidRPr="00BB767A">
              <w:rPr>
                <w:rFonts w:ascii="Open Sans" w:eastAsia="Arial Unicode MS" w:hAnsi="Open Sans" w:cs="Arial"/>
                <w:sz w:val="20"/>
                <w:szCs w:val="20"/>
              </w:rPr>
              <w:t>Informe Anual de Gobierno Corporativo de las sociedades anónimas consolidadas</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7745348" w14:textId="77777777" w:rsidR="00E32033" w:rsidRPr="00BB767A" w:rsidRDefault="00E32033" w:rsidP="00D639E4">
            <w:pPr>
              <w:jc w:val="both"/>
              <w:rPr>
                <w:rFonts w:ascii="Open Sans" w:eastAsia="Arial Unicode MS" w:hAnsi="Open Sans" w:cs="Arial"/>
                <w:sz w:val="20"/>
                <w:szCs w:val="20"/>
              </w:rPr>
            </w:pPr>
          </w:p>
        </w:tc>
      </w:tr>
      <w:tr w:rsidR="00E32033" w:rsidRPr="00BB767A" w14:paraId="05863D2A" w14:textId="77777777" w:rsidTr="00D639E4">
        <w:trPr>
          <w:trHeight w:val="264"/>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B138747" w14:textId="77777777" w:rsidR="00E32033" w:rsidRPr="00BB767A" w:rsidRDefault="00E32033" w:rsidP="00D639E4">
            <w:pPr>
              <w:jc w:val="both"/>
              <w:rPr>
                <w:rFonts w:ascii="Open Sans" w:eastAsia="Arial Unicode MS" w:hAnsi="Open Sans" w:cs="Arial"/>
                <w:sz w:val="20"/>
                <w:szCs w:val="20"/>
              </w:rPr>
            </w:pPr>
            <w:r w:rsidRPr="00BB767A">
              <w:rPr>
                <w:rFonts w:ascii="Open Sans" w:eastAsia="Arial Unicode MS" w:hAnsi="Open Sans" w:cs="Arial"/>
                <w:sz w:val="20"/>
                <w:szCs w:val="20"/>
              </w:rPr>
              <w:t>Código Ético del Grupo FCC</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7398A94" w14:textId="77777777" w:rsidR="00E32033" w:rsidRPr="00BB767A" w:rsidRDefault="00E32033" w:rsidP="00D639E4">
            <w:pPr>
              <w:jc w:val="both"/>
              <w:rPr>
                <w:rFonts w:ascii="Open Sans" w:eastAsia="Arial Unicode MS" w:hAnsi="Open Sans" w:cs="Arial"/>
                <w:sz w:val="20"/>
                <w:szCs w:val="20"/>
              </w:rPr>
            </w:pPr>
          </w:p>
        </w:tc>
      </w:tr>
      <w:tr w:rsidR="00E32033" w:rsidRPr="00BB767A" w14:paraId="2DDBE88D" w14:textId="77777777" w:rsidTr="00D639E4">
        <w:trPr>
          <w:trHeight w:val="270"/>
        </w:trPr>
        <w:tc>
          <w:tcPr>
            <w:tcW w:w="4549"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9E52F3B" w14:textId="77777777" w:rsidR="00E32033" w:rsidRPr="00BB767A" w:rsidRDefault="00E32033" w:rsidP="00D639E4">
            <w:pPr>
              <w:jc w:val="both"/>
              <w:rPr>
                <w:rFonts w:ascii="Open Sans" w:hAnsi="Open Sans" w:cs="Tahoma"/>
                <w:sz w:val="20"/>
                <w:szCs w:val="20"/>
              </w:rPr>
            </w:pPr>
            <w:r w:rsidRPr="00BB767A">
              <w:rPr>
                <w:rFonts w:ascii="Open Sans" w:hAnsi="Open Sans" w:cs="Tahoma"/>
                <w:sz w:val="20"/>
                <w:szCs w:val="20"/>
              </w:rPr>
              <w:t>Código de Conducta Fiscal del Grupo FCC</w:t>
            </w:r>
          </w:p>
        </w:tc>
        <w:tc>
          <w:tcPr>
            <w:tcW w:w="3969"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8519C09" w14:textId="77777777" w:rsidR="00E32033" w:rsidRPr="00BB767A" w:rsidRDefault="00E32033" w:rsidP="00D639E4">
            <w:pPr>
              <w:jc w:val="both"/>
              <w:rPr>
                <w:rFonts w:ascii="Open Sans" w:eastAsia="Arial Unicode MS" w:hAnsi="Open Sans" w:cs="Arial"/>
                <w:sz w:val="20"/>
                <w:szCs w:val="20"/>
              </w:rPr>
            </w:pPr>
          </w:p>
        </w:tc>
      </w:tr>
      <w:tr w:rsidR="00E32033" w:rsidRPr="00BB767A" w14:paraId="5569F0B2" w14:textId="77777777" w:rsidTr="00D639E4">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875368C" w14:textId="77777777" w:rsidR="00E32033" w:rsidRPr="00BB767A" w:rsidRDefault="00E32033" w:rsidP="00D639E4">
            <w:pPr>
              <w:jc w:val="both"/>
              <w:rPr>
                <w:rFonts w:ascii="Open Sans" w:hAnsi="Open Sans" w:cs="Tahoma"/>
                <w:sz w:val="20"/>
                <w:szCs w:val="20"/>
              </w:rPr>
            </w:pPr>
            <w:r w:rsidRPr="00BB767A">
              <w:rPr>
                <w:rFonts w:ascii="Open Sans" w:hAnsi="Open Sans" w:cs="Tahoma"/>
                <w:sz w:val="20"/>
                <w:szCs w:val="20"/>
              </w:rPr>
              <w:t>Informe Anual 2015 (Completo)</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73BA8414" w14:textId="77777777" w:rsidR="00E32033" w:rsidRPr="00BB767A" w:rsidRDefault="00E32033" w:rsidP="00D639E4">
            <w:pPr>
              <w:jc w:val="both"/>
              <w:rPr>
                <w:rFonts w:ascii="Open Sans" w:eastAsia="Arial Unicode MS" w:hAnsi="Open Sans" w:cs="Arial"/>
                <w:sz w:val="20"/>
                <w:szCs w:val="20"/>
              </w:rPr>
            </w:pPr>
          </w:p>
        </w:tc>
      </w:tr>
      <w:tr w:rsidR="00E32033" w:rsidRPr="00BB767A" w14:paraId="75E1F938" w14:textId="77777777" w:rsidTr="00D639E4">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C43B933" w14:textId="77777777" w:rsidR="00E32033" w:rsidRPr="00BB767A" w:rsidRDefault="00E32033" w:rsidP="00D639E4">
            <w:pPr>
              <w:jc w:val="both"/>
              <w:rPr>
                <w:rFonts w:ascii="Open Sans" w:hAnsi="Open Sans" w:cs="Tahoma"/>
                <w:sz w:val="20"/>
                <w:szCs w:val="20"/>
              </w:rPr>
            </w:pPr>
            <w:r w:rsidRPr="00BB767A">
              <w:rPr>
                <w:rFonts w:ascii="Open Sans" w:hAnsi="Open Sans" w:cs="Tahoma"/>
                <w:sz w:val="20"/>
                <w:szCs w:val="20"/>
              </w:rPr>
              <w:t>Reglamento del Consejo de Administración de Fomento de Construcciones y Contratas, S.A. (FCC) (Texto consolidado tras las modificaciones del 7 de octubre de 2015)</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2D24BFE2" w14:textId="77777777" w:rsidR="00E32033" w:rsidRPr="00BB767A" w:rsidRDefault="00E32033" w:rsidP="00D639E4">
            <w:pPr>
              <w:jc w:val="both"/>
              <w:rPr>
                <w:rFonts w:ascii="Open Sans" w:eastAsia="Arial Unicode MS" w:hAnsi="Open Sans" w:cs="Arial"/>
                <w:sz w:val="20"/>
                <w:szCs w:val="20"/>
              </w:rPr>
            </w:pPr>
          </w:p>
        </w:tc>
      </w:tr>
    </w:tbl>
    <w:p w14:paraId="7922DB6B" w14:textId="77777777" w:rsidR="00E32033" w:rsidRPr="00BB767A" w:rsidRDefault="00E32033" w:rsidP="00E32033">
      <w:pPr>
        <w:jc w:val="both"/>
        <w:rPr>
          <w:rFonts w:ascii="Open Sans" w:hAnsi="Open Sans" w:cs="Arial"/>
          <w:b/>
        </w:rPr>
      </w:pPr>
    </w:p>
    <w:p w14:paraId="49487E4C" w14:textId="77777777" w:rsidR="00E32033" w:rsidRPr="00BB767A" w:rsidRDefault="00E32033" w:rsidP="00E32033">
      <w:pPr>
        <w:jc w:val="both"/>
        <w:rPr>
          <w:rFonts w:ascii="Open Sans" w:hAnsi="Open Sans" w:cs="Arial"/>
          <w:b/>
        </w:rPr>
      </w:pPr>
    </w:p>
    <w:p w14:paraId="7D220F22" w14:textId="77777777" w:rsidR="00E32033" w:rsidRPr="00BB767A" w:rsidRDefault="00E32033" w:rsidP="00E32033">
      <w:pPr>
        <w:jc w:val="both"/>
        <w:rPr>
          <w:rFonts w:ascii="Open Sans" w:hAnsi="Open Sans" w:cs="Arial"/>
          <w:b/>
          <w:sz w:val="22"/>
          <w:szCs w:val="22"/>
          <w:u w:val="single"/>
        </w:rPr>
      </w:pPr>
      <w:r w:rsidRPr="00BB767A">
        <w:rPr>
          <w:rFonts w:ascii="Open Sans" w:hAnsi="Open Sans" w:cs="Arial"/>
          <w:b/>
          <w:sz w:val="22"/>
          <w:szCs w:val="22"/>
          <w:u w:val="single"/>
        </w:rPr>
        <w:t>2. Tablas de resultados</w:t>
      </w:r>
    </w:p>
    <w:p w14:paraId="1EAB9047" w14:textId="77777777" w:rsidR="00E32033" w:rsidRPr="00BB767A" w:rsidRDefault="00E32033" w:rsidP="00E32033">
      <w:pPr>
        <w:jc w:val="both"/>
        <w:rPr>
          <w:rFonts w:ascii="Open Sans" w:hAnsi="Open Sans" w:cs="Arial"/>
          <w:b/>
          <w:sz w:val="22"/>
          <w:szCs w:val="22"/>
          <w:u w:val="single"/>
        </w:rPr>
      </w:pPr>
    </w:p>
    <w:p w14:paraId="36CAB043" w14:textId="77777777" w:rsidR="00E32033" w:rsidRPr="00BB767A" w:rsidRDefault="00E32033" w:rsidP="00E32033">
      <w:pPr>
        <w:rPr>
          <w:rFonts w:ascii="Open Sans" w:hAnsi="Open Sans" w:cs="Open Sans"/>
          <w:b/>
          <w:color w:val="FF0000"/>
          <w:sz w:val="20"/>
          <w:szCs w:val="20"/>
        </w:rPr>
      </w:pPr>
    </w:p>
    <w:p w14:paraId="18D8C439" w14:textId="77777777" w:rsidR="00E32033" w:rsidRPr="00BB767A" w:rsidRDefault="00E32033" w:rsidP="00E32033">
      <w:pPr>
        <w:jc w:val="center"/>
        <w:rPr>
          <w:rFonts w:ascii="Open Sans" w:hAnsi="Open Sans" w:cs="Open Sans"/>
          <w:b/>
          <w:color w:val="FF0000"/>
          <w:sz w:val="20"/>
          <w:szCs w:val="20"/>
        </w:rPr>
      </w:pPr>
    </w:p>
    <w:p w14:paraId="4EEC75EE" w14:textId="77777777" w:rsidR="00E32033" w:rsidRPr="00BB767A" w:rsidRDefault="00E32033" w:rsidP="00E32033">
      <w:pPr>
        <w:suppressAutoHyphens/>
        <w:jc w:val="center"/>
        <w:rPr>
          <w:rFonts w:ascii="Open Sans" w:hAnsi="Open Sans" w:cs="Arial"/>
          <w:b/>
          <w:sz w:val="20"/>
          <w:szCs w:val="22"/>
          <w:u w:val="single"/>
          <w:lang w:eastAsia="ar-SA"/>
        </w:rPr>
      </w:pPr>
      <w:r w:rsidRPr="00BB767A">
        <w:rPr>
          <w:rFonts w:ascii="Open Sans" w:hAnsi="Open Sans" w:cs="Arial"/>
          <w:b/>
          <w:sz w:val="20"/>
          <w:szCs w:val="22"/>
          <w:u w:val="single"/>
          <w:lang w:eastAsia="ar-SA"/>
        </w:rPr>
        <w:t>TABLA 1: Valoraciones por dimensión</w:t>
      </w:r>
    </w:p>
    <w:p w14:paraId="60750047" w14:textId="77777777" w:rsidR="00E32033" w:rsidRPr="00BB767A" w:rsidRDefault="00E32033" w:rsidP="00E32033">
      <w:pPr>
        <w:rPr>
          <w:rFonts w:ascii="Open Sans" w:hAnsi="Open Sans" w:cs="Arial"/>
          <w:b/>
        </w:rPr>
      </w:pPr>
    </w:p>
    <w:p w14:paraId="03989550" w14:textId="77777777" w:rsidR="00E32033" w:rsidRPr="00BB767A" w:rsidRDefault="00E32033" w:rsidP="00E32033">
      <w:pPr>
        <w:ind w:left="1416"/>
        <w:rPr>
          <w:rFonts w:ascii="Open Sans" w:hAnsi="Open Sans" w:cs="Arial"/>
          <w:b/>
        </w:rPr>
      </w:pPr>
      <w:r w:rsidRPr="00BB767A">
        <w:rPr>
          <w:rFonts w:ascii="Open Sans" w:hAnsi="Open Sans" w:cs="Arial"/>
          <w:b/>
          <w:noProof/>
          <w:lang w:val="es-ES"/>
        </w:rPr>
        <w:drawing>
          <wp:inline distT="0" distB="0" distL="0" distR="0" wp14:anchorId="5AB5D74E" wp14:editId="0D11B909">
            <wp:extent cx="3688080" cy="185928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0FA4D8A9" w14:textId="77777777" w:rsidR="00E32033" w:rsidRPr="00BB767A" w:rsidRDefault="00E32033" w:rsidP="00E32033">
      <w:pPr>
        <w:rPr>
          <w:rFonts w:ascii="Open Sans" w:hAnsi="Open Sans" w:cs="Arial"/>
          <w:b/>
        </w:rPr>
      </w:pPr>
    </w:p>
    <w:p w14:paraId="42188085" w14:textId="77777777" w:rsidR="00E32033" w:rsidRPr="00BB767A" w:rsidRDefault="00E32033" w:rsidP="00E32033">
      <w:pPr>
        <w:jc w:val="center"/>
        <w:rPr>
          <w:rFonts w:ascii="Open Sans" w:hAnsi="Open Sans"/>
        </w:rPr>
      </w:pPr>
    </w:p>
    <w:p w14:paraId="41073FD7" w14:textId="77777777" w:rsidR="00E32033" w:rsidRPr="00BB767A" w:rsidRDefault="00E32033" w:rsidP="00E32033">
      <w:pPr>
        <w:jc w:val="center"/>
        <w:rPr>
          <w:rFonts w:ascii="Open Sans" w:hAnsi="Open Sans" w:cs="Open Sans"/>
          <w:b/>
          <w:color w:val="FF0000"/>
          <w:sz w:val="20"/>
          <w:szCs w:val="20"/>
        </w:rPr>
      </w:pPr>
    </w:p>
    <w:p w14:paraId="4E28E68F" w14:textId="77777777" w:rsidR="00E32033" w:rsidRPr="00BB767A" w:rsidRDefault="00E32033" w:rsidP="00E32033">
      <w:pPr>
        <w:rPr>
          <w:rFonts w:ascii="Open Sans" w:hAnsi="Open Sans" w:cs="Arial"/>
          <w:b/>
          <w:color w:val="FF0000"/>
          <w:sz w:val="22"/>
          <w:szCs w:val="22"/>
        </w:rPr>
      </w:pPr>
      <w:r w:rsidRPr="00BB767A">
        <w:rPr>
          <w:rFonts w:ascii="Open Sans" w:hAnsi="Open Sans" w:cs="Arial"/>
          <w:b/>
          <w:color w:val="FF0000"/>
          <w:sz w:val="22"/>
          <w:szCs w:val="22"/>
        </w:rPr>
        <w:br w:type="page"/>
      </w:r>
    </w:p>
    <w:p w14:paraId="1221D26B" w14:textId="77777777" w:rsidR="00E32033" w:rsidRPr="00BB767A" w:rsidRDefault="00E32033" w:rsidP="00E32033">
      <w:pPr>
        <w:jc w:val="both"/>
        <w:rPr>
          <w:rFonts w:ascii="Open Sans" w:hAnsi="Open Sans" w:cs="Arial"/>
          <w:b/>
          <w:color w:val="FF0000"/>
          <w:sz w:val="22"/>
          <w:szCs w:val="22"/>
        </w:rPr>
      </w:pPr>
    </w:p>
    <w:p w14:paraId="36921DE0" w14:textId="77777777" w:rsidR="00E32033" w:rsidRPr="00BB767A" w:rsidRDefault="00E32033" w:rsidP="00E32033">
      <w:pPr>
        <w:jc w:val="both"/>
        <w:rPr>
          <w:rFonts w:ascii="Open Sans" w:hAnsi="Open Sans" w:cs="Arial"/>
          <w:b/>
        </w:rPr>
      </w:pPr>
    </w:p>
    <w:p w14:paraId="1E90ED66" w14:textId="77777777" w:rsidR="00E32033" w:rsidRPr="00BB767A" w:rsidRDefault="00E32033" w:rsidP="00E32033">
      <w:pPr>
        <w:jc w:val="both"/>
        <w:rPr>
          <w:rFonts w:ascii="Open Sans" w:hAnsi="Open Sans" w:cs="Arial"/>
          <w:b/>
          <w:sz w:val="22"/>
          <w:szCs w:val="22"/>
        </w:rPr>
      </w:pPr>
      <w:r w:rsidRPr="00BB767A">
        <w:rPr>
          <w:rFonts w:ascii="Open Sans" w:hAnsi="Open Sans" w:cs="Arial"/>
          <w:b/>
          <w:sz w:val="22"/>
          <w:szCs w:val="22"/>
          <w:u w:val="single"/>
        </w:rPr>
        <w:t>3. Contexto general</w:t>
      </w:r>
    </w:p>
    <w:p w14:paraId="38F01F6C" w14:textId="77777777" w:rsidR="00E32033" w:rsidRPr="00BB767A" w:rsidRDefault="00E32033" w:rsidP="00E32033">
      <w:pPr>
        <w:autoSpaceDE w:val="0"/>
        <w:autoSpaceDN w:val="0"/>
        <w:adjustRightInd w:val="0"/>
        <w:jc w:val="both"/>
        <w:rPr>
          <w:rFonts w:ascii="Open Sans" w:hAnsi="Open Sans" w:cs="Open Sans"/>
          <w:color w:val="FF0000"/>
          <w:sz w:val="20"/>
          <w:szCs w:val="20"/>
        </w:rPr>
      </w:pPr>
    </w:p>
    <w:p w14:paraId="6EF24301"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FCC cuenta con una capitalización bursátil en 2015 que asciende a los 1.824 millones de euros. El Grupo FCC mantiene para el 2015 la política de no distribuir dividendos, enmarcada en un proceso de reestructuración que tiene por finalidad incrementar la eficiencia operativa y el fortalecimiento del balance</w:t>
      </w:r>
      <w:r w:rsidRPr="00BB767A">
        <w:rPr>
          <w:rStyle w:val="Refdenotaalpie"/>
          <w:rFonts w:ascii="Open Sans" w:hAnsi="Open Sans"/>
          <w:sz w:val="20"/>
          <w:szCs w:val="20"/>
        </w:rPr>
        <w:footnoteReference w:id="315"/>
      </w:r>
      <w:r w:rsidRPr="00BB767A">
        <w:rPr>
          <w:rFonts w:ascii="Open Sans" w:hAnsi="Open Sans"/>
          <w:sz w:val="20"/>
          <w:szCs w:val="20"/>
        </w:rPr>
        <w:t xml:space="preserve">. El mayor aporte al EBITDA del Grupo lo realiza la división de Servicios Medioambientales con más del 50%, seguida de la división de gestión integral del agua con un 27,9%, cemento con el 11,6% y construcción, con el 9,3%. </w:t>
      </w:r>
    </w:p>
    <w:p w14:paraId="5F017639" w14:textId="77777777" w:rsidR="00E32033" w:rsidRPr="00BB767A" w:rsidRDefault="00E32033" w:rsidP="00E32033">
      <w:pPr>
        <w:jc w:val="both"/>
        <w:rPr>
          <w:rFonts w:ascii="Open Sans" w:hAnsi="Open Sans"/>
          <w:sz w:val="20"/>
          <w:szCs w:val="20"/>
        </w:rPr>
      </w:pPr>
    </w:p>
    <w:p w14:paraId="56214218"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El balance consolidado del Grupo refleja una disminución del activo del 8,3% con respecto al ejercicio precedente, lo que lo sitúa en los 12.862 millones de €. Tal disminución queda en parte circunscrita al objetivo estratégico para 2015 de reducción de gastos, deuda y venta de activos no estratégicos, que debe permitir a lo largo de los años venideros contribuir al crecimiento, de manera ordenada y prudente, y al proceso de internacionalización, incrementando el liderazgo del Grupo y la cuota de mercado. Los ingresos del Grupo han aumentado en 2015 un 2,2%, debido, sobre todo, a la mayor facturación en mercados internacionales. Así, durante 2015 destacan importantes proyectos conseguidos por el Grupo, como el mayor contrato de la historia liderado por FCC Aqualia en Egipto para la construcción  de la depuradora de Abu Rawash, situada en El Cairo, por valor de 2.400 millones de €; la construcción del túnel del Toyo en Colombia por importe de 392 millones de €; la adjudicación a un consorcio de empresas, liderado por FFC, de la construcción de la Línea 2 de Metro de la Ciudad de Panamá, o la construcción del metro de Riad en Arabia Saudí. A nivel agregado, y considerándose otros importantes proyectos y contratos adjudicados en años anteriores en el ámbito internacional, el importe total adjudicado arrojaría una cifra próxima a los 17.846 millones de €.</w:t>
      </w:r>
    </w:p>
    <w:p w14:paraId="54F1874E" w14:textId="77777777" w:rsidR="00E32033" w:rsidRPr="00BB767A" w:rsidRDefault="00E32033" w:rsidP="00E32033">
      <w:pPr>
        <w:jc w:val="both"/>
        <w:rPr>
          <w:rFonts w:ascii="Open Sans" w:hAnsi="Open Sans"/>
          <w:sz w:val="20"/>
          <w:szCs w:val="20"/>
        </w:rPr>
      </w:pPr>
    </w:p>
    <w:p w14:paraId="50E0AD73"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A pesar del gran crecimiento internacional, los ingresos por áreas geográficas muestran que el 52,6% procede de servicios, contratos y adjudicaciones en España, siendo Reino Unido el siguiente país de la órbita europea que aporta más ingresos con un 15,9% del total, mientras que el área de Oriente Medio y Norte de África originan un 9,4%.</w:t>
      </w:r>
    </w:p>
    <w:p w14:paraId="566B071E" w14:textId="77777777" w:rsidR="00E32033" w:rsidRPr="00BB767A" w:rsidRDefault="00E32033" w:rsidP="00E32033">
      <w:pPr>
        <w:jc w:val="both"/>
        <w:rPr>
          <w:rFonts w:ascii="Open Sans" w:hAnsi="Open Sans"/>
          <w:sz w:val="20"/>
          <w:szCs w:val="20"/>
        </w:rPr>
      </w:pPr>
    </w:p>
    <w:p w14:paraId="62FCEAC7"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Uno de los aspectos más relevantes en materia de fiscalidad responsable y contribución justa a los territorios donde operan compañías del sector de la construcción, de la gestión de servicios de gran alcance y adjudicaciones en la órbita de la gestión medioambiental y bienes públicos naturales, está relacionado con la contratación con administraciones públicas. Tales relaciones con la administración son susceptibles de comportar problemáticas relacionadas con la corrupción, máxime cuando las empresas operan en territorios que están clasificados como altamente corruptos o muy corruptos en lo concerniente a las relaciones con el sector público, según la clasificación aparecida en el Corruption Perceptions Index 2015 elaborado por Transparency International</w:t>
      </w:r>
      <w:r w:rsidRPr="00BB767A">
        <w:rPr>
          <w:rStyle w:val="Refdenotaalpie"/>
          <w:rFonts w:ascii="Open Sans" w:hAnsi="Open Sans"/>
          <w:sz w:val="20"/>
          <w:szCs w:val="20"/>
        </w:rPr>
        <w:footnoteReference w:id="316"/>
      </w:r>
      <w:r w:rsidRPr="00BB767A">
        <w:rPr>
          <w:rFonts w:ascii="Open Sans" w:hAnsi="Open Sans"/>
          <w:sz w:val="20"/>
          <w:szCs w:val="20"/>
        </w:rPr>
        <w:t>. Sin embargo, estos potenciales arreglos entre Gobiernos y organismos tributarios nacionales con EMN, conocidos como tax ruling</w:t>
      </w:r>
      <w:r w:rsidRPr="00BB767A">
        <w:rPr>
          <w:rStyle w:val="Refdenotaalpie"/>
          <w:rFonts w:ascii="Open Sans" w:hAnsi="Open Sans"/>
          <w:sz w:val="20"/>
          <w:szCs w:val="20"/>
        </w:rPr>
        <w:footnoteReference w:id="317"/>
      </w:r>
      <w:r w:rsidRPr="00BB767A">
        <w:rPr>
          <w:rFonts w:ascii="Open Sans" w:hAnsi="Open Sans"/>
          <w:sz w:val="20"/>
          <w:szCs w:val="20"/>
        </w:rPr>
        <w:t>, no son exclusivos de territorios de alto riesgo. A finales de 2014, filtraciones procedentes del entorno de grandes auditoras</w:t>
      </w:r>
      <w:r w:rsidRPr="00BB767A">
        <w:rPr>
          <w:rStyle w:val="Refdenotaalpie"/>
          <w:rFonts w:ascii="Open Sans" w:hAnsi="Open Sans"/>
          <w:sz w:val="20"/>
          <w:szCs w:val="20"/>
        </w:rPr>
        <w:footnoteReference w:id="318"/>
      </w:r>
      <w:r w:rsidRPr="00BB767A">
        <w:rPr>
          <w:rFonts w:ascii="Open Sans" w:hAnsi="Open Sans"/>
          <w:color w:val="FF0000"/>
          <w:sz w:val="20"/>
          <w:szCs w:val="20"/>
        </w:rPr>
        <w:t xml:space="preserve"> </w:t>
      </w:r>
      <w:r w:rsidRPr="00BB767A">
        <w:rPr>
          <w:rFonts w:ascii="Open Sans" w:hAnsi="Open Sans"/>
          <w:sz w:val="20"/>
          <w:szCs w:val="20"/>
        </w:rPr>
        <w:t xml:space="preserve">y divulgadas por el  Consorcio Internacional de Periodistas de Investigación, permitieron aflorar tratos de favor en materia fiscal acordados entre grandes EMN y autoridades Luxemburguesas, lo que dio en conocerse como </w:t>
      </w:r>
      <w:r w:rsidRPr="00BB767A">
        <w:rPr>
          <w:rFonts w:ascii="Open Sans" w:hAnsi="Open Sans"/>
          <w:i/>
          <w:sz w:val="20"/>
          <w:szCs w:val="20"/>
        </w:rPr>
        <w:t xml:space="preserve">Luxeleaks, </w:t>
      </w:r>
      <w:r w:rsidRPr="00BB767A">
        <w:rPr>
          <w:rFonts w:ascii="Open Sans" w:hAnsi="Open Sans"/>
          <w:sz w:val="20"/>
          <w:szCs w:val="20"/>
        </w:rPr>
        <w:t xml:space="preserve">un claro ejemplo de la aquiescencia y connivencia entre el poder político y empresarial para permitir el uso de instrumentos híbridos, acuerdos sobre precios de transferencia o directamente reducir la carga fiscal que realmente va a pagar determinada empresa en un territorio determinado. Seguidamente, se produjo la revelación de nuevos entramados, como el </w:t>
      </w:r>
      <w:r w:rsidRPr="00BB767A">
        <w:rPr>
          <w:rFonts w:ascii="Open Sans" w:hAnsi="Open Sans"/>
          <w:i/>
          <w:sz w:val="20"/>
          <w:szCs w:val="20"/>
        </w:rPr>
        <w:t>Swisleaks</w:t>
      </w:r>
      <w:r w:rsidRPr="00BB767A">
        <w:rPr>
          <w:rFonts w:ascii="Open Sans" w:hAnsi="Open Sans"/>
          <w:sz w:val="20"/>
          <w:szCs w:val="20"/>
        </w:rPr>
        <w:t xml:space="preserve"> en 2015 y </w:t>
      </w:r>
      <w:r w:rsidRPr="00BB767A">
        <w:rPr>
          <w:rFonts w:ascii="Open Sans" w:hAnsi="Open Sans"/>
          <w:i/>
          <w:sz w:val="20"/>
          <w:szCs w:val="20"/>
        </w:rPr>
        <w:t>Panamaleaks</w:t>
      </w:r>
      <w:r w:rsidRPr="00BB767A">
        <w:rPr>
          <w:rFonts w:ascii="Open Sans" w:hAnsi="Open Sans"/>
          <w:sz w:val="20"/>
          <w:szCs w:val="20"/>
        </w:rPr>
        <w:t xml:space="preserve"> en 2016, que confirmaron el alcance de estrategias fiscales agresivas con el fin de eludir el pago de impuestos, afectando la recaudación de los Estados y su capacidad para sostener políticas públicas que redundan en el bienestar de toda la sociedad y contribuyen positivamente en la competitividad.</w:t>
      </w:r>
    </w:p>
    <w:p w14:paraId="1BC7CF2E" w14:textId="77777777" w:rsidR="00E32033" w:rsidRPr="00BB767A" w:rsidRDefault="00E32033" w:rsidP="00E32033">
      <w:pPr>
        <w:jc w:val="both"/>
        <w:rPr>
          <w:rFonts w:ascii="Open Sans" w:hAnsi="Open Sans"/>
          <w:sz w:val="20"/>
          <w:szCs w:val="20"/>
        </w:rPr>
      </w:pPr>
    </w:p>
    <w:p w14:paraId="5B63C6FD"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Es por ello que el presente análisis trata de rastrear los compromisos, posicionamientos y la implementación de medidas y sistemas del Grupo FCC que permitan gestionar los riesgos asociados a la fiscalidad en entornos internacionales en los que parece estar produciéndose una guerra fiscal</w:t>
      </w:r>
      <w:r w:rsidRPr="00BB767A">
        <w:rPr>
          <w:rStyle w:val="Refdenotaalpie"/>
          <w:rFonts w:ascii="Open Sans" w:hAnsi="Open Sans"/>
          <w:sz w:val="20"/>
          <w:szCs w:val="20"/>
        </w:rPr>
        <w:footnoteReference w:id="319"/>
      </w:r>
      <w:r w:rsidRPr="00BB767A">
        <w:rPr>
          <w:rFonts w:ascii="Open Sans" w:hAnsi="Open Sans"/>
          <w:sz w:val="20"/>
          <w:szCs w:val="20"/>
        </w:rPr>
        <w:t xml:space="preserve"> que cercena el crecimiento y socaba la credibilidad de empresas y gobiernos.</w:t>
      </w:r>
    </w:p>
    <w:p w14:paraId="1DD5C95B" w14:textId="77777777" w:rsidR="00E32033" w:rsidRPr="00BB767A" w:rsidRDefault="00E32033" w:rsidP="00E32033">
      <w:pPr>
        <w:ind w:left="720"/>
        <w:jc w:val="both"/>
        <w:rPr>
          <w:rFonts w:ascii="Open Sans" w:hAnsi="Open Sans"/>
          <w:sz w:val="20"/>
          <w:szCs w:val="20"/>
        </w:rPr>
      </w:pPr>
    </w:p>
    <w:p w14:paraId="2D9A5BB0"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A nivel de compromisos específicos del Grupo FCC con la sociedad, se han encontrado los siguientes:</w:t>
      </w:r>
    </w:p>
    <w:p w14:paraId="15BC2830" w14:textId="77777777" w:rsidR="00E32033" w:rsidRPr="00BB767A" w:rsidRDefault="00E32033" w:rsidP="00E32033">
      <w:pPr>
        <w:jc w:val="both"/>
        <w:rPr>
          <w:rFonts w:ascii="Open Sans" w:hAnsi="Open Sans"/>
          <w:sz w:val="20"/>
          <w:szCs w:val="20"/>
        </w:rPr>
      </w:pPr>
    </w:p>
    <w:p w14:paraId="6E5E6438" w14:textId="77777777" w:rsidR="00E32033" w:rsidRPr="00BB767A" w:rsidRDefault="00E32033" w:rsidP="000B70C9">
      <w:pPr>
        <w:pStyle w:val="Prrafodelista"/>
        <w:numPr>
          <w:ilvl w:val="0"/>
          <w:numId w:val="83"/>
        </w:numPr>
        <w:jc w:val="both"/>
        <w:rPr>
          <w:rFonts w:ascii="Open Sans" w:hAnsi="Open Sans"/>
          <w:sz w:val="20"/>
          <w:szCs w:val="20"/>
        </w:rPr>
      </w:pPr>
      <w:r w:rsidRPr="00BB767A">
        <w:rPr>
          <w:rFonts w:ascii="Open Sans" w:hAnsi="Open Sans"/>
          <w:sz w:val="20"/>
          <w:szCs w:val="20"/>
        </w:rPr>
        <w:t>Paco Mundial de las Naciones Unidas</w:t>
      </w:r>
    </w:p>
    <w:p w14:paraId="3637ADAF" w14:textId="77777777" w:rsidR="00E32033" w:rsidRPr="00BB767A" w:rsidRDefault="00E32033" w:rsidP="000B70C9">
      <w:pPr>
        <w:pStyle w:val="Prrafodelista"/>
        <w:numPr>
          <w:ilvl w:val="0"/>
          <w:numId w:val="83"/>
        </w:numPr>
        <w:jc w:val="both"/>
        <w:rPr>
          <w:rFonts w:ascii="Open Sans" w:hAnsi="Open Sans"/>
          <w:sz w:val="20"/>
          <w:szCs w:val="20"/>
        </w:rPr>
      </w:pPr>
      <w:r w:rsidRPr="00BB767A">
        <w:rPr>
          <w:rFonts w:ascii="Open Sans" w:hAnsi="Open Sans"/>
          <w:sz w:val="20"/>
          <w:szCs w:val="20"/>
        </w:rPr>
        <w:t>Directrices de la OCDE para Empresas Multinacionales</w:t>
      </w:r>
    </w:p>
    <w:p w14:paraId="110ED770" w14:textId="77777777" w:rsidR="00E32033" w:rsidRPr="00BB767A" w:rsidRDefault="00E32033" w:rsidP="000B70C9">
      <w:pPr>
        <w:numPr>
          <w:ilvl w:val="0"/>
          <w:numId w:val="83"/>
        </w:numPr>
        <w:jc w:val="both"/>
        <w:rPr>
          <w:rFonts w:ascii="Open Sans" w:hAnsi="Open Sans" w:cs="Open Sans"/>
          <w:sz w:val="20"/>
          <w:szCs w:val="20"/>
        </w:rPr>
      </w:pPr>
      <w:r w:rsidRPr="00BB767A">
        <w:rPr>
          <w:rFonts w:ascii="Open Sans" w:hAnsi="Open Sans" w:cs="Open Sans"/>
          <w:sz w:val="20"/>
          <w:szCs w:val="20"/>
        </w:rPr>
        <w:t>Código Unificado de buen gobierno de las sociedades cotizadas</w:t>
      </w:r>
    </w:p>
    <w:p w14:paraId="016B9465" w14:textId="77777777" w:rsidR="00E32033" w:rsidRPr="00BB767A" w:rsidRDefault="00E32033" w:rsidP="000B70C9">
      <w:pPr>
        <w:numPr>
          <w:ilvl w:val="0"/>
          <w:numId w:val="83"/>
        </w:numPr>
        <w:jc w:val="both"/>
        <w:rPr>
          <w:rFonts w:ascii="Open Sans" w:hAnsi="Open Sans" w:cs="Open Sans"/>
          <w:sz w:val="20"/>
          <w:szCs w:val="20"/>
        </w:rPr>
      </w:pPr>
      <w:r w:rsidRPr="00BB767A">
        <w:rPr>
          <w:rFonts w:ascii="Open Sans" w:hAnsi="Open Sans" w:cs="Open Sans"/>
          <w:sz w:val="20"/>
          <w:szCs w:val="20"/>
        </w:rPr>
        <w:t>Global Reporting Initiative (GRI) Guia G4 (versión de marzo de 2013) + suplemento sectorial de GRI para el sector de la construcción</w:t>
      </w:r>
    </w:p>
    <w:p w14:paraId="17289CB8" w14:textId="77777777" w:rsidR="00E32033" w:rsidRPr="00BB767A" w:rsidRDefault="00E32033" w:rsidP="000B70C9">
      <w:pPr>
        <w:pStyle w:val="Prrafodelista"/>
        <w:numPr>
          <w:ilvl w:val="0"/>
          <w:numId w:val="83"/>
        </w:numPr>
        <w:jc w:val="both"/>
        <w:rPr>
          <w:rFonts w:ascii="Open Sans" w:hAnsi="Open Sans" w:cs="Open Sans"/>
          <w:sz w:val="20"/>
          <w:szCs w:val="20"/>
        </w:rPr>
      </w:pPr>
      <w:r w:rsidRPr="00BB767A">
        <w:rPr>
          <w:rFonts w:ascii="Open Sans" w:hAnsi="Open Sans" w:cs="Open Sans"/>
          <w:sz w:val="20"/>
          <w:szCs w:val="20"/>
        </w:rPr>
        <w:t>AA1000 APS de Accountability (versión de 2008)</w:t>
      </w:r>
    </w:p>
    <w:p w14:paraId="0C10F0E7" w14:textId="77777777" w:rsidR="00E32033" w:rsidRPr="00BB767A" w:rsidRDefault="00E32033" w:rsidP="00E32033">
      <w:pPr>
        <w:jc w:val="both"/>
        <w:rPr>
          <w:rFonts w:ascii="Open Sans" w:hAnsi="Open Sans" w:cs="Open Sans"/>
          <w:sz w:val="20"/>
          <w:szCs w:val="20"/>
        </w:rPr>
      </w:pPr>
    </w:p>
    <w:p w14:paraId="00F6736C"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El compromiso del Grupo FCC con una fiscalidad responsable se concreta en la adhesión al Código de Buenas Prácticas Tributarias, con el fin de minimizar y asegurar el control razonable y la adecuada información sobre riesgos fiscales</w:t>
      </w:r>
      <w:r w:rsidRPr="00BB767A">
        <w:rPr>
          <w:rStyle w:val="Refdenotaalpie"/>
          <w:rFonts w:ascii="Open Sans" w:hAnsi="Open Sans"/>
          <w:sz w:val="20"/>
          <w:szCs w:val="20"/>
        </w:rPr>
        <w:footnoteReference w:id="320"/>
      </w:r>
      <w:r w:rsidRPr="00BB767A">
        <w:rPr>
          <w:rFonts w:ascii="Open Sans" w:hAnsi="Open Sans"/>
          <w:sz w:val="20"/>
          <w:szCs w:val="20"/>
        </w:rPr>
        <w:t>.</w:t>
      </w:r>
    </w:p>
    <w:p w14:paraId="09B6B97C" w14:textId="77777777" w:rsidR="00E32033" w:rsidRPr="00BB767A" w:rsidRDefault="00E32033" w:rsidP="00E32033">
      <w:pPr>
        <w:jc w:val="both"/>
        <w:rPr>
          <w:rFonts w:ascii="Open Sans" w:hAnsi="Open Sans"/>
          <w:sz w:val="20"/>
          <w:szCs w:val="20"/>
        </w:rPr>
      </w:pPr>
    </w:p>
    <w:p w14:paraId="41F69191"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Asimismo, el Grupo FCC cotiza en los índices bursátiles Dow Jones Sustainability Index y FTSE4Good. Es importante señalar que varios de estos índices comienzan a contemplar los aspectos relativos a transparencia fiscal y fiscalidad responsable como criterios para la selección de empresas. Entre los índices que incluyen estos criterios se encuentran el FTSE4good y Dow Jones Sustainability, que desde 2014 incluyen la estrategia tributaria para determinar estructuras agresivas y no transparentes de optimización fiscal</w:t>
      </w:r>
      <w:r w:rsidRPr="00BB767A">
        <w:rPr>
          <w:rStyle w:val="Refdenotaalpie"/>
          <w:rFonts w:ascii="Open Sans" w:hAnsi="Open Sans"/>
          <w:sz w:val="20"/>
          <w:szCs w:val="20"/>
        </w:rPr>
        <w:footnoteReference w:id="321"/>
      </w:r>
      <w:r w:rsidRPr="00BB767A">
        <w:rPr>
          <w:rFonts w:ascii="Open Sans" w:hAnsi="Open Sans"/>
          <w:sz w:val="20"/>
          <w:szCs w:val="20"/>
        </w:rPr>
        <w:t>.</w:t>
      </w:r>
    </w:p>
    <w:p w14:paraId="2B3B4843" w14:textId="77777777" w:rsidR="00E32033" w:rsidRPr="00BB767A" w:rsidRDefault="00E32033" w:rsidP="00E32033">
      <w:pPr>
        <w:jc w:val="both"/>
        <w:rPr>
          <w:rFonts w:ascii="Open Sans" w:hAnsi="Open Sans"/>
          <w:sz w:val="22"/>
        </w:rPr>
      </w:pPr>
    </w:p>
    <w:p w14:paraId="1C4FEAFD" w14:textId="77777777" w:rsidR="00E32033" w:rsidRPr="00BB767A" w:rsidRDefault="00E32033" w:rsidP="00E32033">
      <w:pPr>
        <w:rPr>
          <w:rFonts w:ascii="Open Sans" w:hAnsi="Open Sans"/>
          <w:sz w:val="22"/>
        </w:rPr>
      </w:pPr>
      <w:r w:rsidRPr="00BB767A">
        <w:rPr>
          <w:rFonts w:ascii="Open Sans" w:hAnsi="Open Sans"/>
          <w:sz w:val="22"/>
        </w:rPr>
        <w:br w:type="page"/>
      </w:r>
    </w:p>
    <w:p w14:paraId="40F6ABAD" w14:textId="77777777" w:rsidR="00E32033" w:rsidRPr="00BB767A" w:rsidRDefault="00E32033" w:rsidP="00E32033">
      <w:pPr>
        <w:jc w:val="both"/>
        <w:rPr>
          <w:rFonts w:ascii="Open Sans" w:hAnsi="Open Sans"/>
          <w:sz w:val="22"/>
        </w:rPr>
      </w:pPr>
    </w:p>
    <w:p w14:paraId="5224D56D" w14:textId="77777777" w:rsidR="00E32033" w:rsidRPr="00BB767A" w:rsidRDefault="00E32033" w:rsidP="00E32033">
      <w:pPr>
        <w:jc w:val="both"/>
        <w:rPr>
          <w:rFonts w:ascii="Open Sans" w:hAnsi="Open Sans" w:cs="Arial"/>
          <w:b/>
          <w:sz w:val="22"/>
          <w:szCs w:val="22"/>
          <w:u w:val="single"/>
        </w:rPr>
      </w:pPr>
      <w:r w:rsidRPr="00BB767A">
        <w:rPr>
          <w:rFonts w:ascii="Open Sans" w:hAnsi="Open Sans" w:cs="Arial"/>
          <w:b/>
          <w:sz w:val="22"/>
          <w:szCs w:val="22"/>
          <w:u w:val="single"/>
        </w:rPr>
        <w:t>4. Análisis</w:t>
      </w:r>
    </w:p>
    <w:p w14:paraId="6A1C9EAC" w14:textId="77777777" w:rsidR="00E32033" w:rsidRPr="00BB767A" w:rsidRDefault="00E32033" w:rsidP="00E32033">
      <w:pPr>
        <w:jc w:val="both"/>
        <w:rPr>
          <w:rFonts w:ascii="Open Sans" w:hAnsi="Open Sans" w:cs="Arial"/>
          <w:b/>
        </w:rPr>
      </w:pPr>
    </w:p>
    <w:p w14:paraId="670011C9" w14:textId="77777777" w:rsidR="00E32033" w:rsidRPr="00BB767A" w:rsidRDefault="00E32033" w:rsidP="00E32033">
      <w:pPr>
        <w:jc w:val="both"/>
        <w:rPr>
          <w:rFonts w:ascii="Open Sans" w:hAnsi="Open Sans"/>
          <w:sz w:val="20"/>
          <w:szCs w:val="20"/>
        </w:rPr>
      </w:pPr>
      <w:r w:rsidRPr="00BB767A">
        <w:rPr>
          <w:rFonts w:ascii="Open Sans" w:hAnsi="Open Sans"/>
          <w:sz w:val="20"/>
          <w:szCs w:val="20"/>
        </w:rPr>
        <w:t xml:space="preserve">En el ámbito fiscal de una empresa, y bajo la óptica de la responsabilidad social, existen varios aspectos relevantes a tener en consideración para estructurar un análisis. En primer lugar estaría la presencia o no de la compañía o de sus filiales en paraísos o nichos fiscales. En segundo lugar el impacto económico y la contribución de la empresa en un país a través del pago de impuestos. Seguidamente deben investigarse la estrategia y la política fiscal así como la estructura societaria y las operaciones realizadas intragrupo. </w:t>
      </w:r>
    </w:p>
    <w:p w14:paraId="08B73C0B" w14:textId="77777777" w:rsidR="00E32033" w:rsidRPr="00BB767A" w:rsidRDefault="00E32033" w:rsidP="00E32033">
      <w:pPr>
        <w:jc w:val="both"/>
        <w:rPr>
          <w:rFonts w:ascii="Open Sans" w:hAnsi="Open Sans" w:cs="Arial"/>
          <w:bCs/>
          <w:sz w:val="20"/>
          <w:szCs w:val="20"/>
        </w:rPr>
      </w:pPr>
    </w:p>
    <w:p w14:paraId="7887144F"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 xml:space="preserve">La información de la tabla siguiente recoge todas aquellas sociedades incluidas en los Anexos I, II y III, cuyo domicilio está situado en alguno de los territorios que tienen consideración de paraíso o nicho fiscal siguiendo la metodología del Observatorio de Responsabilidad Social Corporativa (OBRSC). Se han documentado un total de 34 sociedades en territorios con nula o baja tributación, ya sean sociedades incluidas en el Anexo I Sociedades dependientes (consolidadas por integración global), Anexo II Sociedades controladas conjuntamente con terceros ajenos al grupo (consolidadas por el método de participación) y Anexo III Sociedades asociadas (consolidadas por el método de la participación). </w:t>
      </w:r>
    </w:p>
    <w:p w14:paraId="7123223E" w14:textId="77777777" w:rsidR="00E32033" w:rsidRPr="00BB767A" w:rsidRDefault="00E32033" w:rsidP="00E32033">
      <w:pPr>
        <w:jc w:val="both"/>
        <w:rPr>
          <w:rFonts w:ascii="Open Sans" w:hAnsi="Open Sans" w:cs="Arial"/>
          <w:bCs/>
          <w:sz w:val="20"/>
          <w:szCs w:val="20"/>
        </w:rPr>
      </w:pPr>
    </w:p>
    <w:p w14:paraId="6BE594FD" w14:textId="77777777" w:rsidR="00E32033" w:rsidRPr="00BB767A" w:rsidRDefault="00E32033" w:rsidP="00E32033">
      <w:pPr>
        <w:ind w:left="360"/>
        <w:jc w:val="both"/>
        <w:rPr>
          <w:rFonts w:ascii="Open Sans" w:hAnsi="Open Sans" w:cs="Arial"/>
          <w:bCs/>
          <w:sz w:val="20"/>
          <w:szCs w:val="20"/>
        </w:rPr>
      </w:pPr>
    </w:p>
    <w:tbl>
      <w:tblPr>
        <w:tblStyle w:val="Tablaconcuadrcula"/>
        <w:tblW w:w="0" w:type="auto"/>
        <w:tblInd w:w="108" w:type="dxa"/>
        <w:tblLook w:val="04A0" w:firstRow="1" w:lastRow="0" w:firstColumn="1" w:lastColumn="0" w:noHBand="0" w:noVBand="1"/>
      </w:tblPr>
      <w:tblGrid>
        <w:gridCol w:w="2773"/>
        <w:gridCol w:w="2881"/>
        <w:gridCol w:w="2882"/>
      </w:tblGrid>
      <w:tr w:rsidR="00E32033" w:rsidRPr="00BB767A" w14:paraId="01F8AF28" w14:textId="77777777" w:rsidTr="00D639E4">
        <w:tc>
          <w:tcPr>
            <w:tcW w:w="2773" w:type="dxa"/>
            <w:shd w:val="clear" w:color="auto" w:fill="595959" w:themeFill="text1" w:themeFillTint="A6"/>
          </w:tcPr>
          <w:p w14:paraId="6191A079" w14:textId="77777777" w:rsidR="00E32033" w:rsidRPr="00BB767A" w:rsidRDefault="00E32033" w:rsidP="00D639E4">
            <w:pPr>
              <w:jc w:val="center"/>
              <w:rPr>
                <w:rFonts w:ascii="Open Sans" w:hAnsi="Open Sans" w:cs="Arial"/>
                <w:b/>
                <w:bCs/>
                <w:color w:val="FFFFFF" w:themeColor="background1"/>
                <w:sz w:val="20"/>
                <w:szCs w:val="20"/>
              </w:rPr>
            </w:pPr>
            <w:r w:rsidRPr="00BB767A">
              <w:rPr>
                <w:rFonts w:ascii="Open Sans" w:hAnsi="Open Sans" w:cs="Arial"/>
                <w:b/>
                <w:bCs/>
                <w:color w:val="FFFFFF" w:themeColor="background1"/>
                <w:sz w:val="20"/>
                <w:szCs w:val="20"/>
              </w:rPr>
              <w:t>Nombre de la Sociedad</w:t>
            </w:r>
          </w:p>
        </w:tc>
        <w:tc>
          <w:tcPr>
            <w:tcW w:w="2881" w:type="dxa"/>
            <w:shd w:val="clear" w:color="auto" w:fill="595959" w:themeFill="text1" w:themeFillTint="A6"/>
          </w:tcPr>
          <w:p w14:paraId="2AC637D2" w14:textId="77777777" w:rsidR="00E32033" w:rsidRPr="00BB767A" w:rsidRDefault="00E32033" w:rsidP="00D639E4">
            <w:pPr>
              <w:jc w:val="center"/>
              <w:rPr>
                <w:rFonts w:ascii="Open Sans" w:hAnsi="Open Sans" w:cs="Arial"/>
                <w:b/>
                <w:bCs/>
                <w:color w:val="FFFFFF" w:themeColor="background1"/>
                <w:sz w:val="20"/>
                <w:szCs w:val="20"/>
              </w:rPr>
            </w:pPr>
            <w:r w:rsidRPr="00BB767A">
              <w:rPr>
                <w:rFonts w:ascii="Open Sans" w:hAnsi="Open Sans" w:cs="Arial"/>
                <w:b/>
                <w:bCs/>
                <w:color w:val="FFFFFF" w:themeColor="background1"/>
                <w:sz w:val="20"/>
                <w:szCs w:val="20"/>
              </w:rPr>
              <w:t>Jurisdicción</w:t>
            </w:r>
          </w:p>
        </w:tc>
        <w:tc>
          <w:tcPr>
            <w:tcW w:w="2882" w:type="dxa"/>
            <w:shd w:val="clear" w:color="auto" w:fill="595959" w:themeFill="text1" w:themeFillTint="A6"/>
          </w:tcPr>
          <w:p w14:paraId="1158426B" w14:textId="77777777" w:rsidR="00E32033" w:rsidRPr="00BB767A" w:rsidRDefault="00E32033" w:rsidP="00D639E4">
            <w:pPr>
              <w:jc w:val="center"/>
              <w:rPr>
                <w:rFonts w:ascii="Open Sans" w:hAnsi="Open Sans" w:cs="Arial"/>
                <w:b/>
                <w:bCs/>
                <w:color w:val="FFFFFF" w:themeColor="background1"/>
                <w:sz w:val="20"/>
                <w:szCs w:val="20"/>
              </w:rPr>
            </w:pPr>
            <w:r w:rsidRPr="00BB767A">
              <w:rPr>
                <w:rFonts w:ascii="Open Sans" w:hAnsi="Open Sans" w:cs="Arial"/>
                <w:b/>
                <w:bCs/>
                <w:color w:val="FFFFFF" w:themeColor="background1"/>
                <w:sz w:val="20"/>
                <w:szCs w:val="20"/>
              </w:rPr>
              <w:t>Actividad</w:t>
            </w:r>
          </w:p>
        </w:tc>
      </w:tr>
      <w:tr w:rsidR="00E32033" w:rsidRPr="00BB767A" w14:paraId="2480B14F" w14:textId="77777777" w:rsidTr="00D639E4">
        <w:tc>
          <w:tcPr>
            <w:tcW w:w="2773" w:type="dxa"/>
          </w:tcPr>
          <w:p w14:paraId="3C64526B" w14:textId="77777777" w:rsidR="00E32033" w:rsidRPr="00BB767A" w:rsidRDefault="00E32033" w:rsidP="00D639E4">
            <w:pPr>
              <w:rPr>
                <w:rFonts w:ascii="Open Sans" w:hAnsi="Open Sans" w:cs="Arial"/>
                <w:bCs/>
                <w:sz w:val="20"/>
                <w:szCs w:val="20"/>
              </w:rPr>
            </w:pPr>
            <w:r w:rsidRPr="00BB767A">
              <w:rPr>
                <w:rFonts w:ascii="Open Sans" w:hAnsi="Open Sans" w:cs="Arial"/>
                <w:bCs/>
                <w:sz w:val="20"/>
                <w:szCs w:val="20"/>
              </w:rPr>
              <w:t>FCC Environmental Services (USA) Llc.</w:t>
            </w:r>
          </w:p>
        </w:tc>
        <w:tc>
          <w:tcPr>
            <w:tcW w:w="2881" w:type="dxa"/>
          </w:tcPr>
          <w:p w14:paraId="6FBAB840"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EEUU Delaware</w:t>
            </w:r>
          </w:p>
        </w:tc>
        <w:tc>
          <w:tcPr>
            <w:tcW w:w="2882" w:type="dxa"/>
          </w:tcPr>
          <w:p w14:paraId="693B56E0"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No definida</w:t>
            </w:r>
          </w:p>
        </w:tc>
      </w:tr>
      <w:tr w:rsidR="00E32033" w:rsidRPr="00BB767A" w14:paraId="67B15152" w14:textId="77777777" w:rsidTr="00D639E4">
        <w:tc>
          <w:tcPr>
            <w:tcW w:w="2773" w:type="dxa"/>
          </w:tcPr>
          <w:p w14:paraId="781EE6AF" w14:textId="77777777" w:rsidR="00E32033" w:rsidRPr="00BB767A" w:rsidRDefault="00E32033" w:rsidP="00D639E4">
            <w:pPr>
              <w:rPr>
                <w:rFonts w:ascii="Open Sans" w:hAnsi="Open Sans" w:cs="Arial"/>
                <w:bCs/>
                <w:sz w:val="20"/>
                <w:szCs w:val="20"/>
              </w:rPr>
            </w:pPr>
            <w:r w:rsidRPr="00BB767A">
              <w:rPr>
                <w:rFonts w:ascii="Open Sans" w:hAnsi="Open Sans" w:cs="Arial"/>
                <w:bCs/>
                <w:sz w:val="20"/>
                <w:szCs w:val="20"/>
              </w:rPr>
              <w:t>.A.S.A. Mazedonia dooel</w:t>
            </w:r>
          </w:p>
        </w:tc>
        <w:tc>
          <w:tcPr>
            <w:tcW w:w="2881" w:type="dxa"/>
          </w:tcPr>
          <w:p w14:paraId="5484B040"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Macedonia</w:t>
            </w:r>
          </w:p>
        </w:tc>
        <w:tc>
          <w:tcPr>
            <w:tcW w:w="2882" w:type="dxa"/>
          </w:tcPr>
          <w:p w14:paraId="016A57A7"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No definida</w:t>
            </w:r>
          </w:p>
        </w:tc>
      </w:tr>
      <w:tr w:rsidR="00E32033" w:rsidRPr="00BB767A" w14:paraId="66871681" w14:textId="77777777" w:rsidTr="00D639E4">
        <w:tc>
          <w:tcPr>
            <w:tcW w:w="2773" w:type="dxa"/>
          </w:tcPr>
          <w:p w14:paraId="1889A4B6" w14:textId="77777777" w:rsidR="00E32033" w:rsidRPr="00BB767A" w:rsidRDefault="00E32033" w:rsidP="00D639E4">
            <w:pPr>
              <w:rPr>
                <w:rFonts w:ascii="Open Sans" w:hAnsi="Open Sans" w:cs="Arial"/>
                <w:bCs/>
                <w:sz w:val="20"/>
                <w:szCs w:val="20"/>
              </w:rPr>
            </w:pPr>
            <w:r w:rsidRPr="00BB767A">
              <w:rPr>
                <w:rFonts w:ascii="Open Sans" w:hAnsi="Open Sans" w:cs="Arial"/>
                <w:bCs/>
                <w:sz w:val="20"/>
                <w:szCs w:val="20"/>
              </w:rPr>
              <w:t>Aqualia Infraestructuras Montenegro (AIM) d.o.o. Niksic</w:t>
            </w:r>
          </w:p>
        </w:tc>
        <w:tc>
          <w:tcPr>
            <w:tcW w:w="2881" w:type="dxa"/>
          </w:tcPr>
          <w:p w14:paraId="7380AAF6"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Montenegro</w:t>
            </w:r>
          </w:p>
        </w:tc>
        <w:tc>
          <w:tcPr>
            <w:tcW w:w="2882" w:type="dxa"/>
          </w:tcPr>
          <w:p w14:paraId="2A2B9F32"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No definida</w:t>
            </w:r>
          </w:p>
        </w:tc>
      </w:tr>
      <w:tr w:rsidR="00E32033" w:rsidRPr="00BB767A" w14:paraId="1B6C4761" w14:textId="77777777" w:rsidTr="00D639E4">
        <w:tc>
          <w:tcPr>
            <w:tcW w:w="2773" w:type="dxa"/>
          </w:tcPr>
          <w:p w14:paraId="67774ECB" w14:textId="77777777" w:rsidR="00E32033" w:rsidRPr="00BB767A" w:rsidRDefault="00E32033" w:rsidP="00D639E4">
            <w:pPr>
              <w:rPr>
                <w:rFonts w:ascii="Open Sans" w:hAnsi="Open Sans" w:cs="Arial"/>
                <w:bCs/>
                <w:sz w:val="20"/>
                <w:szCs w:val="20"/>
              </w:rPr>
            </w:pPr>
            <w:r w:rsidRPr="00BB767A">
              <w:rPr>
                <w:rFonts w:ascii="Open Sans" w:hAnsi="Open Sans" w:cs="Arial"/>
                <w:bCs/>
                <w:sz w:val="20"/>
                <w:szCs w:val="20"/>
              </w:rPr>
              <w:t>Aqualia New Europe B.V.</w:t>
            </w:r>
          </w:p>
        </w:tc>
        <w:tc>
          <w:tcPr>
            <w:tcW w:w="2881" w:type="dxa"/>
          </w:tcPr>
          <w:p w14:paraId="6716AC38"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Holanda</w:t>
            </w:r>
          </w:p>
        </w:tc>
        <w:tc>
          <w:tcPr>
            <w:tcW w:w="2882" w:type="dxa"/>
          </w:tcPr>
          <w:p w14:paraId="6BD9BE74"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No definida</w:t>
            </w:r>
          </w:p>
        </w:tc>
      </w:tr>
      <w:tr w:rsidR="00E32033" w:rsidRPr="00BB767A" w14:paraId="37AB0C76" w14:textId="77777777" w:rsidTr="00D639E4">
        <w:tc>
          <w:tcPr>
            <w:tcW w:w="2773" w:type="dxa"/>
          </w:tcPr>
          <w:p w14:paraId="23FB029F" w14:textId="77777777" w:rsidR="00E32033" w:rsidRPr="00BB767A" w:rsidRDefault="00E32033" w:rsidP="00D639E4">
            <w:pPr>
              <w:rPr>
                <w:rFonts w:ascii="Open Sans" w:hAnsi="Open Sans" w:cs="Arial"/>
                <w:bCs/>
                <w:sz w:val="20"/>
                <w:szCs w:val="20"/>
                <w:lang w:val="en-US"/>
              </w:rPr>
            </w:pPr>
            <w:r w:rsidRPr="00BB767A">
              <w:rPr>
                <w:rFonts w:ascii="Open Sans" w:hAnsi="Open Sans" w:cs="Arial"/>
                <w:bCs/>
                <w:sz w:val="20"/>
                <w:szCs w:val="20"/>
                <w:lang w:val="en-US"/>
              </w:rPr>
              <w:t>Aqua Management Solutions B.V.</w:t>
            </w:r>
          </w:p>
        </w:tc>
        <w:tc>
          <w:tcPr>
            <w:tcW w:w="2881" w:type="dxa"/>
          </w:tcPr>
          <w:p w14:paraId="6FA051F2" w14:textId="77777777" w:rsidR="00E32033" w:rsidRPr="00BB767A" w:rsidRDefault="00E32033" w:rsidP="00D639E4">
            <w:pPr>
              <w:jc w:val="center"/>
              <w:rPr>
                <w:rFonts w:ascii="Open Sans" w:hAnsi="Open Sans" w:cs="Arial"/>
                <w:bCs/>
                <w:sz w:val="20"/>
                <w:szCs w:val="20"/>
                <w:lang w:val="en-US"/>
              </w:rPr>
            </w:pPr>
            <w:r w:rsidRPr="00BB767A">
              <w:rPr>
                <w:rFonts w:ascii="Open Sans" w:hAnsi="Open Sans" w:cs="Arial"/>
                <w:bCs/>
                <w:sz w:val="20"/>
                <w:szCs w:val="20"/>
                <w:lang w:val="en-US"/>
              </w:rPr>
              <w:t>Holanda</w:t>
            </w:r>
          </w:p>
        </w:tc>
        <w:tc>
          <w:tcPr>
            <w:tcW w:w="2882" w:type="dxa"/>
          </w:tcPr>
          <w:p w14:paraId="747495FD" w14:textId="77777777" w:rsidR="00E32033" w:rsidRPr="00BB767A" w:rsidRDefault="00E32033" w:rsidP="00D639E4">
            <w:pPr>
              <w:jc w:val="center"/>
              <w:rPr>
                <w:rFonts w:ascii="Open Sans" w:hAnsi="Open Sans" w:cs="Arial"/>
                <w:bCs/>
                <w:sz w:val="20"/>
                <w:szCs w:val="20"/>
                <w:lang w:val="en-US"/>
              </w:rPr>
            </w:pPr>
            <w:r w:rsidRPr="00BB767A">
              <w:rPr>
                <w:rFonts w:ascii="Open Sans" w:hAnsi="Open Sans" w:cs="Arial"/>
                <w:bCs/>
                <w:sz w:val="20"/>
                <w:szCs w:val="20"/>
              </w:rPr>
              <w:t>No definida</w:t>
            </w:r>
          </w:p>
        </w:tc>
      </w:tr>
      <w:tr w:rsidR="00E32033" w:rsidRPr="00BB767A" w14:paraId="092C814C" w14:textId="77777777" w:rsidTr="00D639E4">
        <w:tc>
          <w:tcPr>
            <w:tcW w:w="2773" w:type="dxa"/>
          </w:tcPr>
          <w:p w14:paraId="3809E6F4" w14:textId="77777777" w:rsidR="00E32033" w:rsidRPr="00BB767A" w:rsidRDefault="00E32033" w:rsidP="00D639E4">
            <w:pPr>
              <w:rPr>
                <w:rFonts w:ascii="Open Sans" w:hAnsi="Open Sans" w:cs="Arial"/>
                <w:bCs/>
                <w:sz w:val="20"/>
                <w:szCs w:val="20"/>
                <w:lang w:val="en-US"/>
              </w:rPr>
            </w:pPr>
            <w:r w:rsidRPr="00BB767A">
              <w:rPr>
                <w:rFonts w:ascii="Open Sans" w:hAnsi="Open Sans" w:cs="Arial"/>
                <w:bCs/>
                <w:sz w:val="20"/>
                <w:szCs w:val="20"/>
                <w:lang w:val="en-US"/>
              </w:rPr>
              <w:t>FCC Aqualia U.S.A. Corp</w:t>
            </w:r>
          </w:p>
        </w:tc>
        <w:tc>
          <w:tcPr>
            <w:tcW w:w="2881" w:type="dxa"/>
          </w:tcPr>
          <w:p w14:paraId="6EEE018B" w14:textId="77777777" w:rsidR="00E32033" w:rsidRPr="00BB767A" w:rsidRDefault="00E32033" w:rsidP="00D639E4">
            <w:pPr>
              <w:jc w:val="center"/>
              <w:rPr>
                <w:rFonts w:ascii="Open Sans" w:hAnsi="Open Sans" w:cs="Arial"/>
                <w:bCs/>
                <w:sz w:val="20"/>
                <w:szCs w:val="20"/>
                <w:lang w:val="en-US"/>
              </w:rPr>
            </w:pPr>
            <w:r w:rsidRPr="00BB767A">
              <w:rPr>
                <w:rFonts w:ascii="Open Sans" w:hAnsi="Open Sans" w:cs="Arial"/>
                <w:bCs/>
                <w:sz w:val="20"/>
                <w:szCs w:val="20"/>
                <w:lang w:val="en-US"/>
              </w:rPr>
              <w:t>EEUU Delaware</w:t>
            </w:r>
          </w:p>
        </w:tc>
        <w:tc>
          <w:tcPr>
            <w:tcW w:w="2882" w:type="dxa"/>
          </w:tcPr>
          <w:p w14:paraId="3BBE28B5" w14:textId="77777777" w:rsidR="00E32033" w:rsidRPr="00BB767A" w:rsidRDefault="00E32033" w:rsidP="00D639E4">
            <w:pPr>
              <w:jc w:val="center"/>
              <w:rPr>
                <w:rFonts w:ascii="Open Sans" w:hAnsi="Open Sans" w:cs="Arial"/>
                <w:bCs/>
                <w:sz w:val="20"/>
                <w:szCs w:val="20"/>
                <w:lang w:val="en-US"/>
              </w:rPr>
            </w:pPr>
            <w:r w:rsidRPr="00BB767A">
              <w:rPr>
                <w:rFonts w:ascii="Open Sans" w:hAnsi="Open Sans" w:cs="Arial"/>
                <w:bCs/>
                <w:sz w:val="20"/>
                <w:szCs w:val="20"/>
              </w:rPr>
              <w:t>No definida</w:t>
            </w:r>
          </w:p>
        </w:tc>
      </w:tr>
      <w:tr w:rsidR="00E32033" w:rsidRPr="00BB767A" w14:paraId="1672831A" w14:textId="77777777" w:rsidTr="00D639E4">
        <w:tc>
          <w:tcPr>
            <w:tcW w:w="2773" w:type="dxa"/>
          </w:tcPr>
          <w:p w14:paraId="0B68F669" w14:textId="77777777" w:rsidR="00E32033" w:rsidRPr="00BB767A" w:rsidRDefault="00E32033" w:rsidP="00D639E4">
            <w:pPr>
              <w:rPr>
                <w:rFonts w:ascii="Open Sans" w:hAnsi="Open Sans" w:cs="Arial"/>
                <w:bCs/>
                <w:sz w:val="20"/>
                <w:szCs w:val="20"/>
              </w:rPr>
            </w:pPr>
            <w:r w:rsidRPr="00BB767A">
              <w:rPr>
                <w:rFonts w:ascii="Open Sans" w:hAnsi="Open Sans" w:cs="Arial"/>
                <w:bCs/>
                <w:sz w:val="20"/>
                <w:szCs w:val="20"/>
              </w:rPr>
              <w:t xml:space="preserve">Agregados y Materiales de </w:t>
            </w:r>
          </w:p>
          <w:p w14:paraId="54C1DDA7" w14:textId="77777777" w:rsidR="00E32033" w:rsidRPr="00BB767A" w:rsidRDefault="00E32033" w:rsidP="00D639E4">
            <w:pPr>
              <w:rPr>
                <w:rFonts w:ascii="Open Sans" w:hAnsi="Open Sans" w:cs="Arial"/>
                <w:bCs/>
                <w:sz w:val="20"/>
                <w:szCs w:val="20"/>
              </w:rPr>
            </w:pPr>
            <w:r w:rsidRPr="00BB767A">
              <w:rPr>
                <w:rFonts w:ascii="Open Sans" w:hAnsi="Open Sans" w:cs="Arial"/>
                <w:bCs/>
                <w:sz w:val="20"/>
                <w:szCs w:val="20"/>
              </w:rPr>
              <w:t>Panamá, S.A.</w:t>
            </w:r>
          </w:p>
        </w:tc>
        <w:tc>
          <w:tcPr>
            <w:tcW w:w="2881" w:type="dxa"/>
          </w:tcPr>
          <w:p w14:paraId="2C6142C2"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Panamá</w:t>
            </w:r>
          </w:p>
        </w:tc>
        <w:tc>
          <w:tcPr>
            <w:tcW w:w="2882" w:type="dxa"/>
          </w:tcPr>
          <w:p w14:paraId="2A4AE651" w14:textId="77777777" w:rsidR="00E32033" w:rsidRPr="00BB767A" w:rsidRDefault="00E32033" w:rsidP="00D639E4">
            <w:pPr>
              <w:jc w:val="center"/>
              <w:rPr>
                <w:rFonts w:ascii="Open Sans" w:hAnsi="Open Sans" w:cs="Arial"/>
                <w:bCs/>
                <w:sz w:val="20"/>
                <w:szCs w:val="20"/>
              </w:rPr>
            </w:pPr>
            <w:r w:rsidRPr="00BB767A">
              <w:rPr>
                <w:rFonts w:ascii="Open Sans" w:hAnsi="Open Sans" w:cs="Arial"/>
                <w:bCs/>
                <w:sz w:val="20"/>
                <w:szCs w:val="20"/>
              </w:rPr>
              <w:t>No definida</w:t>
            </w:r>
          </w:p>
        </w:tc>
      </w:tr>
      <w:tr w:rsidR="00E32033" w:rsidRPr="00BB767A" w14:paraId="21E4A9FF" w14:textId="77777777" w:rsidTr="00D639E4">
        <w:tc>
          <w:tcPr>
            <w:tcW w:w="2773" w:type="dxa"/>
          </w:tcPr>
          <w:p w14:paraId="421C2F79"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Construcciones Hospitalarias, S.A.</w:t>
            </w:r>
          </w:p>
        </w:tc>
        <w:tc>
          <w:tcPr>
            <w:tcW w:w="2881" w:type="dxa"/>
          </w:tcPr>
          <w:p w14:paraId="4E56032E"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54C4EDD3"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78ABE239" w14:textId="77777777" w:rsidTr="00D639E4">
        <w:tc>
          <w:tcPr>
            <w:tcW w:w="2773" w:type="dxa"/>
          </w:tcPr>
          <w:p w14:paraId="5C5A5628"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Edificadora MSG, S.A.</w:t>
            </w:r>
          </w:p>
        </w:tc>
        <w:tc>
          <w:tcPr>
            <w:tcW w:w="2881" w:type="dxa"/>
          </w:tcPr>
          <w:p w14:paraId="10A8110E"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1AA2F55E"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7D4D6650" w14:textId="77777777" w:rsidTr="00D639E4">
        <w:tc>
          <w:tcPr>
            <w:tcW w:w="2773" w:type="dxa"/>
          </w:tcPr>
          <w:p w14:paraId="7512A50E"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 xml:space="preserve">FCC Construction International B.V. </w:t>
            </w:r>
          </w:p>
        </w:tc>
        <w:tc>
          <w:tcPr>
            <w:tcW w:w="2881" w:type="dxa"/>
          </w:tcPr>
          <w:p w14:paraId="67531021" w14:textId="77777777" w:rsidR="00E32033" w:rsidRPr="00BB767A" w:rsidRDefault="00E32033" w:rsidP="00D639E4">
            <w:pPr>
              <w:jc w:val="center"/>
              <w:rPr>
                <w:rFonts w:ascii="Open Sans" w:hAnsi="Open Sans" w:cs="Open Sans"/>
                <w:b/>
                <w:bCs/>
                <w:color w:val="FFFFFF" w:themeColor="background1"/>
                <w:sz w:val="20"/>
                <w:szCs w:val="20"/>
                <w:lang w:val="en-US"/>
              </w:rPr>
            </w:pPr>
            <w:r w:rsidRPr="00BB767A">
              <w:rPr>
                <w:rFonts w:ascii="Open Sans" w:hAnsi="Open Sans" w:cs="Open Sans"/>
                <w:bCs/>
                <w:sz w:val="20"/>
                <w:szCs w:val="20"/>
              </w:rPr>
              <w:t>Holanda</w:t>
            </w:r>
          </w:p>
        </w:tc>
        <w:tc>
          <w:tcPr>
            <w:tcW w:w="2882" w:type="dxa"/>
          </w:tcPr>
          <w:p w14:paraId="789EC08A" w14:textId="77777777" w:rsidR="00E32033" w:rsidRPr="00BB767A" w:rsidRDefault="00E32033" w:rsidP="00D639E4">
            <w:pPr>
              <w:jc w:val="center"/>
              <w:rPr>
                <w:rFonts w:ascii="Open Sans" w:hAnsi="Open Sans" w:cs="Open Sans"/>
                <w:b/>
                <w:bCs/>
                <w:color w:val="FFFFFF" w:themeColor="background1"/>
                <w:sz w:val="20"/>
                <w:szCs w:val="20"/>
                <w:lang w:val="en-US"/>
              </w:rPr>
            </w:pPr>
            <w:r w:rsidRPr="00BB767A">
              <w:rPr>
                <w:rFonts w:ascii="Open Sans" w:hAnsi="Open Sans" w:cs="Open Sans"/>
                <w:bCs/>
                <w:sz w:val="20"/>
                <w:szCs w:val="20"/>
              </w:rPr>
              <w:t>No definida</w:t>
            </w:r>
          </w:p>
        </w:tc>
      </w:tr>
      <w:tr w:rsidR="00E32033" w:rsidRPr="00BB767A" w14:paraId="42BC6251" w14:textId="77777777" w:rsidTr="00D639E4">
        <w:tc>
          <w:tcPr>
            <w:tcW w:w="2773" w:type="dxa"/>
          </w:tcPr>
          <w:p w14:paraId="1D5B18C1"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FCC Electromechanical Llc.</w:t>
            </w:r>
          </w:p>
        </w:tc>
        <w:tc>
          <w:tcPr>
            <w:tcW w:w="2881" w:type="dxa"/>
          </w:tcPr>
          <w:p w14:paraId="4AD16A2C"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Arabia Saudi</w:t>
            </w:r>
          </w:p>
        </w:tc>
        <w:tc>
          <w:tcPr>
            <w:tcW w:w="2882" w:type="dxa"/>
          </w:tcPr>
          <w:p w14:paraId="5EE2ED74"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22FC6C4D" w14:textId="77777777" w:rsidTr="00D639E4">
        <w:tc>
          <w:tcPr>
            <w:tcW w:w="2773" w:type="dxa"/>
          </w:tcPr>
          <w:p w14:paraId="50149BD6"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FCC Elliott Construction Limited</w:t>
            </w:r>
          </w:p>
        </w:tc>
        <w:tc>
          <w:tcPr>
            <w:tcW w:w="2881" w:type="dxa"/>
          </w:tcPr>
          <w:p w14:paraId="41AB357C"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Irlanda</w:t>
            </w:r>
          </w:p>
        </w:tc>
        <w:tc>
          <w:tcPr>
            <w:tcW w:w="2882" w:type="dxa"/>
          </w:tcPr>
          <w:p w14:paraId="602FC098"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2F0AC672" w14:textId="77777777" w:rsidTr="00D639E4">
        <w:tc>
          <w:tcPr>
            <w:tcW w:w="2773" w:type="dxa"/>
          </w:tcPr>
          <w:p w14:paraId="48D37AB9"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FCC Industrial de Panamá, S.A.</w:t>
            </w:r>
          </w:p>
        </w:tc>
        <w:tc>
          <w:tcPr>
            <w:tcW w:w="2881" w:type="dxa"/>
          </w:tcPr>
          <w:p w14:paraId="7417E03F"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5302D74F"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438FCB45" w14:textId="77777777" w:rsidTr="00D639E4">
        <w:tc>
          <w:tcPr>
            <w:tcW w:w="2773" w:type="dxa"/>
          </w:tcPr>
          <w:p w14:paraId="4B6BC799"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Fomento de Construcciones y Contratas Construction Ireland Limited</w:t>
            </w:r>
          </w:p>
        </w:tc>
        <w:tc>
          <w:tcPr>
            <w:tcW w:w="2881" w:type="dxa"/>
          </w:tcPr>
          <w:p w14:paraId="00D51DAA"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Irlanda</w:t>
            </w:r>
          </w:p>
        </w:tc>
        <w:tc>
          <w:tcPr>
            <w:tcW w:w="2882" w:type="dxa"/>
          </w:tcPr>
          <w:p w14:paraId="0ADFB783"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22FD0E24" w14:textId="77777777" w:rsidTr="00D639E4">
        <w:tc>
          <w:tcPr>
            <w:tcW w:w="2773" w:type="dxa"/>
          </w:tcPr>
          <w:p w14:paraId="7E76019F"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Meco Santa Fe Limited</w:t>
            </w:r>
          </w:p>
        </w:tc>
        <w:tc>
          <w:tcPr>
            <w:tcW w:w="2881" w:type="dxa"/>
          </w:tcPr>
          <w:p w14:paraId="10293A55"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Belice</w:t>
            </w:r>
          </w:p>
        </w:tc>
        <w:tc>
          <w:tcPr>
            <w:tcW w:w="2882" w:type="dxa"/>
          </w:tcPr>
          <w:p w14:paraId="18AF953D"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151653AD" w14:textId="77777777" w:rsidTr="00D639E4">
        <w:tc>
          <w:tcPr>
            <w:tcW w:w="2773" w:type="dxa"/>
          </w:tcPr>
          <w:p w14:paraId="611451C5"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Giant Cement Company</w:t>
            </w:r>
          </w:p>
        </w:tc>
        <w:tc>
          <w:tcPr>
            <w:tcW w:w="2881" w:type="dxa"/>
          </w:tcPr>
          <w:p w14:paraId="6391D279"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EEUU Delaware</w:t>
            </w:r>
          </w:p>
        </w:tc>
        <w:tc>
          <w:tcPr>
            <w:tcW w:w="2882" w:type="dxa"/>
          </w:tcPr>
          <w:p w14:paraId="6C4458FA"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6555EB51" w14:textId="77777777" w:rsidTr="00D639E4">
        <w:tc>
          <w:tcPr>
            <w:tcW w:w="2773" w:type="dxa"/>
          </w:tcPr>
          <w:p w14:paraId="1494DA35"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Giant Cement Holding Inc.</w:t>
            </w:r>
          </w:p>
        </w:tc>
        <w:tc>
          <w:tcPr>
            <w:tcW w:w="2881" w:type="dxa"/>
          </w:tcPr>
          <w:p w14:paraId="2D83EC3C"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EEUU Delaware</w:t>
            </w:r>
          </w:p>
        </w:tc>
        <w:tc>
          <w:tcPr>
            <w:tcW w:w="2882" w:type="dxa"/>
          </w:tcPr>
          <w:p w14:paraId="390A907D"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4B955CE9" w14:textId="77777777" w:rsidTr="00D639E4">
        <w:tc>
          <w:tcPr>
            <w:tcW w:w="2773" w:type="dxa"/>
          </w:tcPr>
          <w:p w14:paraId="2C316F73"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Giant Cement NC Inc.</w:t>
            </w:r>
          </w:p>
        </w:tc>
        <w:tc>
          <w:tcPr>
            <w:tcW w:w="2881" w:type="dxa"/>
          </w:tcPr>
          <w:p w14:paraId="7F8D4D44"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EEUU Delaware</w:t>
            </w:r>
          </w:p>
        </w:tc>
        <w:tc>
          <w:tcPr>
            <w:tcW w:w="2882" w:type="dxa"/>
          </w:tcPr>
          <w:p w14:paraId="6ADA1646"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550FCEDF" w14:textId="77777777" w:rsidTr="00D639E4">
        <w:tc>
          <w:tcPr>
            <w:tcW w:w="2773" w:type="dxa"/>
          </w:tcPr>
          <w:p w14:paraId="3C1A3C9F"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Giant Resource Recovery – Harleyville Inc.</w:t>
            </w:r>
          </w:p>
        </w:tc>
        <w:tc>
          <w:tcPr>
            <w:tcW w:w="2881" w:type="dxa"/>
          </w:tcPr>
          <w:p w14:paraId="559481C4"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EEUU Delaware</w:t>
            </w:r>
          </w:p>
        </w:tc>
        <w:tc>
          <w:tcPr>
            <w:tcW w:w="2882" w:type="dxa"/>
          </w:tcPr>
          <w:p w14:paraId="3D432C85"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76F7D931" w14:textId="77777777" w:rsidTr="00D639E4">
        <w:tc>
          <w:tcPr>
            <w:tcW w:w="2773" w:type="dxa"/>
          </w:tcPr>
          <w:p w14:paraId="5A8011B5"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Uniland Acquisition Corporation</w:t>
            </w:r>
          </w:p>
        </w:tc>
        <w:tc>
          <w:tcPr>
            <w:tcW w:w="2881" w:type="dxa"/>
          </w:tcPr>
          <w:p w14:paraId="7E343EA4"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EEUU Delaware</w:t>
            </w:r>
          </w:p>
        </w:tc>
        <w:tc>
          <w:tcPr>
            <w:tcW w:w="2882" w:type="dxa"/>
          </w:tcPr>
          <w:p w14:paraId="35541D61"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4370E9D2" w14:textId="77777777" w:rsidTr="00D639E4">
        <w:tc>
          <w:tcPr>
            <w:tcW w:w="2773" w:type="dxa"/>
          </w:tcPr>
          <w:p w14:paraId="1D542D88"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Uniland International B.V.</w:t>
            </w:r>
          </w:p>
        </w:tc>
        <w:tc>
          <w:tcPr>
            <w:tcW w:w="2881" w:type="dxa"/>
          </w:tcPr>
          <w:p w14:paraId="41637048"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Holanda</w:t>
            </w:r>
          </w:p>
        </w:tc>
        <w:tc>
          <w:tcPr>
            <w:tcW w:w="2882" w:type="dxa"/>
          </w:tcPr>
          <w:p w14:paraId="1ED744A3"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68D26842" w14:textId="77777777" w:rsidTr="00D639E4">
        <w:tc>
          <w:tcPr>
            <w:tcW w:w="2773" w:type="dxa"/>
          </w:tcPr>
          <w:p w14:paraId="5DC6F780"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Uniland Trading B.V.</w:t>
            </w:r>
          </w:p>
        </w:tc>
        <w:tc>
          <w:tcPr>
            <w:tcW w:w="2881" w:type="dxa"/>
          </w:tcPr>
          <w:p w14:paraId="3511DE04"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Holanda</w:t>
            </w:r>
          </w:p>
        </w:tc>
        <w:tc>
          <w:tcPr>
            <w:tcW w:w="2882" w:type="dxa"/>
          </w:tcPr>
          <w:p w14:paraId="097F043E"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4256E299" w14:textId="77777777" w:rsidTr="00D639E4">
        <w:tc>
          <w:tcPr>
            <w:tcW w:w="2773" w:type="dxa"/>
          </w:tcPr>
          <w:p w14:paraId="6AF68C7B"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PPP Infraestructure Investments B.V.</w:t>
            </w:r>
          </w:p>
        </w:tc>
        <w:tc>
          <w:tcPr>
            <w:tcW w:w="2881" w:type="dxa"/>
          </w:tcPr>
          <w:p w14:paraId="0F784917"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Holanda</w:t>
            </w:r>
          </w:p>
        </w:tc>
        <w:tc>
          <w:tcPr>
            <w:tcW w:w="2882" w:type="dxa"/>
          </w:tcPr>
          <w:p w14:paraId="1498BB52"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75CE079C" w14:textId="77777777" w:rsidTr="00D639E4">
        <w:tc>
          <w:tcPr>
            <w:tcW w:w="2773" w:type="dxa"/>
          </w:tcPr>
          <w:p w14:paraId="1A3FEF10"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FCC AQUALIA USA CORP.</w:t>
            </w:r>
          </w:p>
        </w:tc>
        <w:tc>
          <w:tcPr>
            <w:tcW w:w="2881" w:type="dxa"/>
          </w:tcPr>
          <w:p w14:paraId="21C2E65F"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EEUU Delaware</w:t>
            </w:r>
          </w:p>
        </w:tc>
        <w:tc>
          <w:tcPr>
            <w:tcW w:w="2882" w:type="dxa"/>
          </w:tcPr>
          <w:p w14:paraId="4D0C8EC5"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rPr>
              <w:t>No definida</w:t>
            </w:r>
          </w:p>
        </w:tc>
      </w:tr>
      <w:tr w:rsidR="00E32033" w:rsidRPr="00BB767A" w14:paraId="052C3909" w14:textId="77777777" w:rsidTr="00D639E4">
        <w:tc>
          <w:tcPr>
            <w:tcW w:w="2773" w:type="dxa"/>
          </w:tcPr>
          <w:p w14:paraId="7C06E906"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Altos del Javier, S.A.</w:t>
            </w:r>
          </w:p>
        </w:tc>
        <w:tc>
          <w:tcPr>
            <w:tcW w:w="2881" w:type="dxa"/>
          </w:tcPr>
          <w:p w14:paraId="3026870A"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511747D9"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1872FEC4" w14:textId="77777777" w:rsidTr="00D639E4">
        <w:tc>
          <w:tcPr>
            <w:tcW w:w="2773" w:type="dxa"/>
          </w:tcPr>
          <w:p w14:paraId="0C94C2A6"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MDM-Teide, S.A.</w:t>
            </w:r>
          </w:p>
        </w:tc>
        <w:tc>
          <w:tcPr>
            <w:tcW w:w="2881" w:type="dxa"/>
          </w:tcPr>
          <w:p w14:paraId="41FC0C82"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7D78A586"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452A1E27" w14:textId="77777777" w:rsidTr="00D639E4">
        <w:tc>
          <w:tcPr>
            <w:tcW w:w="2773" w:type="dxa"/>
          </w:tcPr>
          <w:p w14:paraId="0EA46D10"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Teide-MDM Quadrat, S.A.</w:t>
            </w:r>
          </w:p>
        </w:tc>
        <w:tc>
          <w:tcPr>
            <w:tcW w:w="2881" w:type="dxa"/>
          </w:tcPr>
          <w:p w14:paraId="54F8B9B5"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64F925C0"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3A76A095" w14:textId="77777777" w:rsidTr="00D639E4">
        <w:tc>
          <w:tcPr>
            <w:tcW w:w="2773" w:type="dxa"/>
          </w:tcPr>
          <w:p w14:paraId="7BD38B1E" w14:textId="77777777" w:rsidR="00E32033" w:rsidRPr="00BB767A" w:rsidRDefault="00E32033" w:rsidP="00D639E4">
            <w:pPr>
              <w:rPr>
                <w:rFonts w:ascii="Open Sans" w:hAnsi="Open Sans" w:cs="Open Sans"/>
                <w:bCs/>
                <w:sz w:val="20"/>
                <w:szCs w:val="20"/>
                <w:lang w:val="en-US"/>
              </w:rPr>
            </w:pPr>
            <w:r w:rsidRPr="00BB767A">
              <w:rPr>
                <w:rFonts w:ascii="Open Sans" w:hAnsi="Open Sans" w:cs="Open Sans"/>
                <w:bCs/>
                <w:sz w:val="20"/>
                <w:szCs w:val="20"/>
                <w:lang w:val="en-US"/>
              </w:rPr>
              <w:t>Aqualia Mace Operation &amp; General Maintenance Llc.</w:t>
            </w:r>
          </w:p>
        </w:tc>
        <w:tc>
          <w:tcPr>
            <w:tcW w:w="2881" w:type="dxa"/>
          </w:tcPr>
          <w:p w14:paraId="7D8CECA4"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Emiratos Árabes Unidos</w:t>
            </w:r>
          </w:p>
        </w:tc>
        <w:tc>
          <w:tcPr>
            <w:tcW w:w="2882" w:type="dxa"/>
          </w:tcPr>
          <w:p w14:paraId="225F3B67" w14:textId="77777777" w:rsidR="00E32033" w:rsidRPr="00BB767A" w:rsidRDefault="00E32033" w:rsidP="00D639E4">
            <w:pPr>
              <w:jc w:val="center"/>
              <w:rPr>
                <w:rFonts w:ascii="Open Sans" w:hAnsi="Open Sans" w:cs="Open Sans"/>
                <w:bCs/>
                <w:sz w:val="20"/>
                <w:szCs w:val="20"/>
                <w:lang w:val="en-US"/>
              </w:rPr>
            </w:pPr>
            <w:r w:rsidRPr="00BB767A">
              <w:rPr>
                <w:rFonts w:ascii="Open Sans" w:hAnsi="Open Sans" w:cs="Open Sans"/>
                <w:bCs/>
                <w:sz w:val="20"/>
                <w:szCs w:val="20"/>
                <w:lang w:val="en-US"/>
              </w:rPr>
              <w:t>No definida</w:t>
            </w:r>
          </w:p>
        </w:tc>
      </w:tr>
      <w:tr w:rsidR="00E32033" w:rsidRPr="00BB767A" w14:paraId="4A1C51D9" w14:textId="77777777" w:rsidTr="00D639E4">
        <w:tc>
          <w:tcPr>
            <w:tcW w:w="2773" w:type="dxa"/>
          </w:tcPr>
          <w:p w14:paraId="73FB3683"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Construcciones y Pavimentos, S.A.</w:t>
            </w:r>
          </w:p>
        </w:tc>
        <w:tc>
          <w:tcPr>
            <w:tcW w:w="2881" w:type="dxa"/>
          </w:tcPr>
          <w:p w14:paraId="07673D40"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1EA564E4"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20D8F0BA" w14:textId="77777777" w:rsidTr="00D639E4">
        <w:tc>
          <w:tcPr>
            <w:tcW w:w="2773" w:type="dxa"/>
          </w:tcPr>
          <w:p w14:paraId="3B7CD590"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Grupo Foment de Construccions i Consulting</w:t>
            </w:r>
          </w:p>
        </w:tc>
        <w:tc>
          <w:tcPr>
            <w:tcW w:w="2881" w:type="dxa"/>
          </w:tcPr>
          <w:p w14:paraId="3F19C616"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Andorra</w:t>
            </w:r>
          </w:p>
        </w:tc>
        <w:tc>
          <w:tcPr>
            <w:tcW w:w="2882" w:type="dxa"/>
          </w:tcPr>
          <w:p w14:paraId="5AD10C7D"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541C205D" w14:textId="77777777" w:rsidTr="00D639E4">
        <w:tc>
          <w:tcPr>
            <w:tcW w:w="2773" w:type="dxa"/>
          </w:tcPr>
          <w:p w14:paraId="3D97D6D4"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Horizontes de Vías y Señales Panamá, S.A.</w:t>
            </w:r>
          </w:p>
        </w:tc>
        <w:tc>
          <w:tcPr>
            <w:tcW w:w="2881" w:type="dxa"/>
          </w:tcPr>
          <w:p w14:paraId="051952E5"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Panamá</w:t>
            </w:r>
          </w:p>
        </w:tc>
        <w:tc>
          <w:tcPr>
            <w:tcW w:w="2882" w:type="dxa"/>
          </w:tcPr>
          <w:p w14:paraId="378DC06E"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16BE3518" w14:textId="77777777" w:rsidTr="00D639E4">
        <w:tc>
          <w:tcPr>
            <w:tcW w:w="2773" w:type="dxa"/>
          </w:tcPr>
          <w:p w14:paraId="561278E9"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M50 (D&amp;C) Limited</w:t>
            </w:r>
          </w:p>
        </w:tc>
        <w:tc>
          <w:tcPr>
            <w:tcW w:w="2881" w:type="dxa"/>
          </w:tcPr>
          <w:p w14:paraId="1DB5566B"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Irlanda</w:t>
            </w:r>
          </w:p>
        </w:tc>
        <w:tc>
          <w:tcPr>
            <w:tcW w:w="2882" w:type="dxa"/>
          </w:tcPr>
          <w:p w14:paraId="50C0FD32"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588903D8" w14:textId="77777777" w:rsidTr="00D639E4">
        <w:tc>
          <w:tcPr>
            <w:tcW w:w="2773" w:type="dxa"/>
          </w:tcPr>
          <w:p w14:paraId="1A07899A"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N6 (Construction) Limited</w:t>
            </w:r>
          </w:p>
        </w:tc>
        <w:tc>
          <w:tcPr>
            <w:tcW w:w="2881" w:type="dxa"/>
          </w:tcPr>
          <w:p w14:paraId="2E368F0C"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Irlanda</w:t>
            </w:r>
          </w:p>
        </w:tc>
        <w:tc>
          <w:tcPr>
            <w:tcW w:w="2882" w:type="dxa"/>
          </w:tcPr>
          <w:p w14:paraId="7E1A7860"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r w:rsidR="00E32033" w:rsidRPr="00BB767A" w14:paraId="5930C432" w14:textId="77777777" w:rsidTr="00D639E4">
        <w:tc>
          <w:tcPr>
            <w:tcW w:w="2773" w:type="dxa"/>
          </w:tcPr>
          <w:p w14:paraId="1B6550CF" w14:textId="77777777" w:rsidR="00E32033" w:rsidRPr="00BB767A" w:rsidRDefault="00E32033" w:rsidP="00D639E4">
            <w:pPr>
              <w:rPr>
                <w:rFonts w:ascii="Open Sans" w:hAnsi="Open Sans" w:cs="Open Sans"/>
                <w:bCs/>
                <w:sz w:val="20"/>
                <w:szCs w:val="20"/>
              </w:rPr>
            </w:pPr>
            <w:r w:rsidRPr="00BB767A">
              <w:rPr>
                <w:rFonts w:ascii="Open Sans" w:hAnsi="Open Sans" w:cs="Open Sans"/>
                <w:bCs/>
                <w:sz w:val="20"/>
                <w:szCs w:val="20"/>
              </w:rPr>
              <w:t>BBR VT International Ltd.</w:t>
            </w:r>
          </w:p>
        </w:tc>
        <w:tc>
          <w:tcPr>
            <w:tcW w:w="2881" w:type="dxa"/>
          </w:tcPr>
          <w:p w14:paraId="18D9D8CA"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Suiza</w:t>
            </w:r>
          </w:p>
        </w:tc>
        <w:tc>
          <w:tcPr>
            <w:tcW w:w="2882" w:type="dxa"/>
          </w:tcPr>
          <w:p w14:paraId="785E6AB6" w14:textId="77777777" w:rsidR="00E32033" w:rsidRPr="00BB767A" w:rsidRDefault="00E32033" w:rsidP="00D639E4">
            <w:pPr>
              <w:jc w:val="center"/>
              <w:rPr>
                <w:rFonts w:ascii="Open Sans" w:hAnsi="Open Sans" w:cs="Open Sans"/>
                <w:bCs/>
                <w:sz w:val="20"/>
                <w:szCs w:val="20"/>
              </w:rPr>
            </w:pPr>
            <w:r w:rsidRPr="00BB767A">
              <w:rPr>
                <w:rFonts w:ascii="Open Sans" w:hAnsi="Open Sans" w:cs="Open Sans"/>
                <w:bCs/>
                <w:sz w:val="20"/>
                <w:szCs w:val="20"/>
              </w:rPr>
              <w:t>No definida</w:t>
            </w:r>
          </w:p>
        </w:tc>
      </w:tr>
    </w:tbl>
    <w:p w14:paraId="3EE3AA93" w14:textId="77777777" w:rsidR="00E32033" w:rsidRPr="00BB767A" w:rsidRDefault="00E32033" w:rsidP="00E32033">
      <w:pPr>
        <w:jc w:val="both"/>
        <w:rPr>
          <w:rFonts w:ascii="Open Sans" w:hAnsi="Open Sans" w:cs="Arial"/>
          <w:bCs/>
          <w:sz w:val="20"/>
          <w:szCs w:val="20"/>
        </w:rPr>
      </w:pPr>
    </w:p>
    <w:p w14:paraId="3F139F45" w14:textId="77777777" w:rsidR="00E32033" w:rsidRPr="00BB767A" w:rsidRDefault="00E32033" w:rsidP="00E32033">
      <w:pPr>
        <w:jc w:val="both"/>
        <w:rPr>
          <w:rFonts w:ascii="Open Sans" w:hAnsi="Open Sans" w:cs="Arial"/>
          <w:bCs/>
          <w:sz w:val="20"/>
          <w:szCs w:val="20"/>
        </w:rPr>
      </w:pPr>
    </w:p>
    <w:p w14:paraId="6ED1FA0C" w14:textId="77777777" w:rsidR="00E32033" w:rsidRPr="00BB767A" w:rsidRDefault="00E32033" w:rsidP="00E32033">
      <w:pPr>
        <w:autoSpaceDE w:val="0"/>
        <w:autoSpaceDN w:val="0"/>
        <w:adjustRightInd w:val="0"/>
        <w:jc w:val="both"/>
        <w:rPr>
          <w:rFonts w:ascii="Open Sans" w:hAnsi="Open Sans" w:cs="Open Sans"/>
          <w:sz w:val="20"/>
          <w:szCs w:val="20"/>
        </w:rPr>
      </w:pPr>
      <w:r w:rsidRPr="00BB767A">
        <w:rPr>
          <w:rFonts w:ascii="Open Sans" w:hAnsi="Open Sans" w:cs="Arial"/>
          <w:bCs/>
          <w:sz w:val="20"/>
          <w:szCs w:val="20"/>
        </w:rPr>
        <w:t>Así, el total de estas sociedades son consideradas como nicho fiscal por parte del OBRSC, haciendo uso de la lista de países  recogida por la red internacional Tax Justice Network</w:t>
      </w:r>
      <w:r w:rsidRPr="00BB767A">
        <w:rPr>
          <w:rStyle w:val="Refdenotaalpie"/>
          <w:rFonts w:ascii="Open Sans" w:hAnsi="Open Sans" w:cs="Arial"/>
          <w:bCs/>
          <w:sz w:val="20"/>
          <w:szCs w:val="20"/>
        </w:rPr>
        <w:footnoteReference w:id="322"/>
      </w:r>
      <w:r w:rsidRPr="00BB767A">
        <w:rPr>
          <w:rFonts w:ascii="Open Sans" w:hAnsi="Open Sans" w:cs="Arial"/>
          <w:bCs/>
          <w:sz w:val="20"/>
          <w:szCs w:val="20"/>
        </w:rPr>
        <w:t xml:space="preserve"> y por la Lista de territorios del Parlamento Europeo, informe Hamon (marzo 2009). </w:t>
      </w:r>
      <w:r w:rsidRPr="00BB767A">
        <w:rPr>
          <w:rFonts w:ascii="Open Sans" w:hAnsi="Open Sans" w:cs="Open Sans"/>
          <w:sz w:val="20"/>
          <w:szCs w:val="20"/>
        </w:rPr>
        <w:t>El uso cada vez más frecuente de los nichos fiscales por parte de las empresas multinacionales es puesto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BB767A">
        <w:rPr>
          <w:rFonts w:ascii="Open Sans" w:hAnsi="Open Sans"/>
          <w:vertAlign w:val="superscript"/>
        </w:rPr>
        <w:footnoteReference w:id="323"/>
      </w:r>
      <w:r w:rsidRPr="00BB767A">
        <w:rPr>
          <w:rFonts w:ascii="Open Sans" w:hAnsi="Open Sans" w:cs="Open Sans"/>
          <w:sz w:val="20"/>
          <w:szCs w:val="20"/>
        </w:rPr>
        <w:t>.</w:t>
      </w:r>
    </w:p>
    <w:p w14:paraId="0872925A" w14:textId="77777777" w:rsidR="00E32033" w:rsidRPr="00BB767A" w:rsidRDefault="00E32033" w:rsidP="00E32033">
      <w:pPr>
        <w:jc w:val="both"/>
        <w:rPr>
          <w:rFonts w:ascii="Open Sans" w:hAnsi="Open Sans" w:cs="Arial"/>
          <w:bCs/>
          <w:sz w:val="20"/>
          <w:szCs w:val="20"/>
        </w:rPr>
      </w:pPr>
    </w:p>
    <w:p w14:paraId="2E654111" w14:textId="77777777" w:rsidR="00E32033" w:rsidRPr="00BB767A" w:rsidRDefault="00E32033" w:rsidP="00E32033">
      <w:pPr>
        <w:jc w:val="both"/>
        <w:rPr>
          <w:rFonts w:ascii="Open Sans" w:hAnsi="Open Sans" w:cs="Arial"/>
          <w:bCs/>
          <w:sz w:val="20"/>
          <w:szCs w:val="20"/>
        </w:rPr>
      </w:pPr>
    </w:p>
    <w:p w14:paraId="7D7DEFC1"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 xml:space="preserve">Previo a las consideraciones sobre la tabla superior, conviene hacer notar que el Grupo FCC no realiza distinción o establece diferenciación expresa entre paraíso fiscal y nicho fiscal. Tal distinción resulta significativa a tenor de la modificación, mediante el RD116/2003 de 31 de Enero, por la que se revisa el listado de paraísos fiscales que quedaron definidos en el previo RD 1080/91. La mencionada modificación implica la desaparición de determinados países o territorios de la lista inicial de paraísos fiscales en el supuesto de que los mismos firmen con España un acuerdo de intercambio de información en materia tributaria o un convenio para evitar la doble imposición. Este aspecto, a criterio del OBRSC, resulta inadecuado para evaluar la responsabilidad en la política fiscal de las empresas, puesto que el pilar fundamental no dimana de la inclusión o no en un listado, sino de la existencia de nula o baja presión fiscal que disfrutan las personas jurídicas no residentes, ya sea en cualquier actividad económica y sus rentas o en actividades concretas, como fuere que quedasen recogidas en la legislación de dichos territorios. La consideración de nicho fiscal, al que pertenecen las compañías de la tabla, permite realizar la evaluación que compete al presente informe de acuerdo al espíritu de la responsabilidad fiscal, esto es, dando cuenta de aquellas actividades que se desarrollan en territorios de nula o baja presión fiscal. </w:t>
      </w:r>
    </w:p>
    <w:p w14:paraId="6363C35C" w14:textId="77777777" w:rsidR="00E32033" w:rsidRPr="00BB767A" w:rsidRDefault="00E32033" w:rsidP="00E32033">
      <w:pPr>
        <w:jc w:val="both"/>
        <w:rPr>
          <w:rFonts w:ascii="Open Sans" w:hAnsi="Open Sans" w:cs="Arial"/>
          <w:bCs/>
          <w:sz w:val="20"/>
          <w:szCs w:val="20"/>
        </w:rPr>
      </w:pPr>
    </w:p>
    <w:p w14:paraId="054A9131"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Es perentorio remarcar que la presencia de sociedades en este tipo de jurisdicciones con escasa o nula tributación no constituye ningún tipo de irregularidad, si bien la capacidad de las empresas para dar cuenta del tipo de actividad que se desempeña en estos territorios, vehiculizada a través de las sociedades erradicadas en los mismos, es clave para despejar cualquier tipo de duda o susceptibilidad entorno a la estructura fiscal de las empresas que constituyen el Grupo. Dicho lo anterior, conviene resaltar algunos aspectos del análisis del Grupo societario de FCC.</w:t>
      </w:r>
    </w:p>
    <w:p w14:paraId="18B0C671" w14:textId="77777777" w:rsidR="00E32033" w:rsidRPr="00BB767A" w:rsidRDefault="00E32033" w:rsidP="00E32033">
      <w:pPr>
        <w:jc w:val="both"/>
        <w:rPr>
          <w:rFonts w:ascii="Open Sans" w:hAnsi="Open Sans" w:cs="Arial"/>
          <w:bCs/>
          <w:sz w:val="20"/>
          <w:szCs w:val="20"/>
        </w:rPr>
      </w:pPr>
    </w:p>
    <w:p w14:paraId="50B99506"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Es curioso constatar que en el mapa de la presencia geográfica de las actividades del Grupo en el mundo</w:t>
      </w:r>
      <w:r w:rsidRPr="00BB767A">
        <w:rPr>
          <w:rStyle w:val="Refdenotaalpie"/>
          <w:rFonts w:ascii="Open Sans" w:hAnsi="Open Sans" w:cs="Arial"/>
          <w:bCs/>
          <w:sz w:val="20"/>
          <w:szCs w:val="20"/>
        </w:rPr>
        <w:footnoteReference w:id="324"/>
      </w:r>
      <w:r w:rsidRPr="00BB767A">
        <w:rPr>
          <w:rFonts w:ascii="Open Sans" w:hAnsi="Open Sans" w:cs="Arial"/>
          <w:bCs/>
          <w:sz w:val="20"/>
          <w:szCs w:val="20"/>
        </w:rPr>
        <w:t>, no se indique Irlanda, país en el que tiene dos sociedades dentro del perímetro de consolidación: FCC Elliott Construction Limited y Fomento de Construcciones y Contratas Construction Ireland Limited. En Irlanda se han identificado proyectos, desde el diseño y construcción de un complejo de instalaciones educativas, comerciales, residenciales y sanitarias en la Universidad de Irlanda, pasando por proyectos de llave en mano en la remodelación de la instalación aeroportuaria del Aeropuerto de Dublín, lo que pareciera justificar la presencia de estas dos sociedades, si bien se necesitaría información sobre actividad, empleo, cifra de negocio, activos, operaciones intragrupo, etc., para valorar la imbricación o no de estas sociedades en una potencial estructura de elusión fiscal.</w:t>
      </w:r>
    </w:p>
    <w:p w14:paraId="7A96D4F4" w14:textId="77777777" w:rsidR="00E32033" w:rsidRPr="00BB767A" w:rsidRDefault="00E32033" w:rsidP="00E32033">
      <w:pPr>
        <w:jc w:val="both"/>
        <w:rPr>
          <w:rFonts w:ascii="Open Sans" w:hAnsi="Open Sans" w:cs="Arial"/>
          <w:bCs/>
          <w:sz w:val="20"/>
          <w:szCs w:val="20"/>
        </w:rPr>
      </w:pPr>
    </w:p>
    <w:p w14:paraId="07748350"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Otro país en el que no se reconoce presencia en el mapa del Informe Anual 2015, pero sí consta una sociedad erradicada en ese país es Belice, nicho fiscal. No se ha encontrado ningún tipo de información a lo largo de todo el Informe sobre la sociedad Meco Santa Fe Limited, domiciliada en dicho territorio, ni ninguna actividad, proyecto o licitación a la que pudiera estar optando la misma en dicho territorio.</w:t>
      </w:r>
    </w:p>
    <w:p w14:paraId="1BDE527B" w14:textId="77777777" w:rsidR="00E32033" w:rsidRPr="00BB767A" w:rsidRDefault="00E32033" w:rsidP="00E32033">
      <w:pPr>
        <w:jc w:val="both"/>
        <w:rPr>
          <w:rFonts w:ascii="Open Sans" w:hAnsi="Open Sans" w:cs="Arial"/>
          <w:bCs/>
          <w:sz w:val="20"/>
          <w:szCs w:val="20"/>
        </w:rPr>
      </w:pPr>
    </w:p>
    <w:p w14:paraId="3B0EF7EC"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En relación a las empresas que aparecen en los Anexos I, II y III y cuya sede está en EEUU, se ha procedido a realizar búsquedas en portales especializados en corporaciones para identificar la ubicación exacta de su domicilio, puesto que pese a tener el Grupo operaciones en diversos estados de EEUU, Delaware tiene la consideración de nicho fiscal. Mediante la mencionada búsqueda se ha podido comprobar que FCC Environmental Services, Llc está domiciliada en Delaware, teniendo a su vez 3 empresas subsidiarias en estados en los que tiene actividad, mientras que para Delaware no ha podido ser encontrada mención alguna a proyectos u operaciones en la documentación analizada. Importante es el hecho de la prelación temporal de inscripción de estas sociedades, siendo la primera FCC Environmental Services, Llc, domiciliada en Wilmington, Delaware, y el resto inscribiéndose con posterioridad a ésta de la que dependen.</w:t>
      </w:r>
    </w:p>
    <w:p w14:paraId="4849FE43" w14:textId="77777777" w:rsidR="00E32033" w:rsidRPr="00BB767A" w:rsidRDefault="00E32033" w:rsidP="00E32033">
      <w:pPr>
        <w:jc w:val="both"/>
        <w:rPr>
          <w:rFonts w:ascii="Open Sans" w:hAnsi="Open Sans" w:cs="Arial"/>
          <w:bCs/>
          <w:sz w:val="20"/>
          <w:szCs w:val="20"/>
        </w:rPr>
      </w:pPr>
    </w:p>
    <w:p w14:paraId="59AC2EE6"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 xml:space="preserve">Caso idéntico sucede con FCC AQUALIA USA CORP., domiciliada también en Wilmington, Delaware el 28 de enero de 2015, mientras que el día siguiente se registra la sociedad FCC AQUALIA USA CORP. </w:t>
      </w:r>
      <w:proofErr w:type="gramStart"/>
      <w:r w:rsidRPr="00BB767A">
        <w:rPr>
          <w:rFonts w:ascii="Open Sans" w:hAnsi="Open Sans" w:cs="Arial"/>
          <w:bCs/>
          <w:sz w:val="20"/>
          <w:szCs w:val="20"/>
        </w:rPr>
        <w:t>en</w:t>
      </w:r>
      <w:proofErr w:type="gramEnd"/>
      <w:r w:rsidRPr="00BB767A">
        <w:rPr>
          <w:rFonts w:ascii="Open Sans" w:hAnsi="Open Sans" w:cs="Arial"/>
          <w:bCs/>
          <w:sz w:val="20"/>
          <w:szCs w:val="20"/>
        </w:rPr>
        <w:t xml:space="preserve"> Florida, siendo subsidiaria de la primera. De nuevo sucede esta situación con GIANT CEMENT HOLDING, INC., domiciliada en 1994 en Dover, Delaware, de la que cuelgan 2 subsidiarias de idéntico nombre domiciliadas en Virginia y Carolina del Sud. Otro tanto de lo mismo con GIANT RESOURCE RECOVERY-HARLEYVILLE, INC., domiciliada en Dover, Delaware y teniendo una subsidiaria domiciliada días después con igual nombre en Carolina del Sud. </w:t>
      </w:r>
    </w:p>
    <w:p w14:paraId="3D90103C" w14:textId="77777777" w:rsidR="00E32033" w:rsidRPr="00BB767A" w:rsidRDefault="00E32033" w:rsidP="00E32033">
      <w:pPr>
        <w:jc w:val="both"/>
        <w:rPr>
          <w:rFonts w:ascii="Open Sans" w:hAnsi="Open Sans" w:cs="Arial"/>
          <w:bCs/>
          <w:sz w:val="20"/>
          <w:szCs w:val="20"/>
        </w:rPr>
      </w:pPr>
    </w:p>
    <w:p w14:paraId="5ACBB01A"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Tal procedimiento de previamente domiciliar sociedades en Delaware y luego a continuación registrar sociedades subsidiarias de la misma en otros estados podría responder a lo que se conoce como escapatoria Delaware o Delaware loophole</w:t>
      </w:r>
      <w:r w:rsidRPr="00BB767A">
        <w:rPr>
          <w:rStyle w:val="Refdenotaalpie"/>
          <w:rFonts w:ascii="Open Sans" w:hAnsi="Open Sans" w:cs="Arial"/>
          <w:bCs/>
          <w:sz w:val="20"/>
          <w:szCs w:val="20"/>
        </w:rPr>
        <w:footnoteReference w:id="325"/>
      </w:r>
      <w:r w:rsidRPr="00BB767A">
        <w:rPr>
          <w:rFonts w:ascii="Open Sans" w:hAnsi="Open Sans" w:cs="Arial"/>
          <w:bCs/>
          <w:sz w:val="20"/>
          <w:szCs w:val="20"/>
        </w:rPr>
        <w:t xml:space="preserve"> debido, principalmente a que: se puede crear una sociedad sin estar presente físicamente en Delaware; existe secreto de privacidad de los propietarios incluso en los registros públicos de EEUU; si la compañía no tiene actividad en Delaware no tiene que pagar impuestos.</w:t>
      </w:r>
    </w:p>
    <w:p w14:paraId="532FBB46" w14:textId="77777777" w:rsidR="00E32033" w:rsidRPr="00BB767A" w:rsidRDefault="00E32033" w:rsidP="00E32033">
      <w:pPr>
        <w:jc w:val="both"/>
        <w:rPr>
          <w:rFonts w:ascii="Open Sans" w:hAnsi="Open Sans" w:cs="Arial"/>
          <w:bCs/>
          <w:sz w:val="20"/>
          <w:szCs w:val="20"/>
        </w:rPr>
      </w:pPr>
    </w:p>
    <w:p w14:paraId="6930407F"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Es importante destacar que Holanda, país considerado nicho fiscal según la Metodología del OBRSC, y en el que el Grupo reconoce que, conjuntamente con Reino Unido, “las operaciones han experimentado una disminución de dos empleados, quedando un total de catorce trabajadores a finales de 2015”, no pareciera ser consistente con las hasta 6 empresas domiciliadas en Holanda que aparecen en los anexos:</w:t>
      </w:r>
    </w:p>
    <w:p w14:paraId="7B2740B1" w14:textId="77777777" w:rsidR="00E32033" w:rsidRPr="00BB767A" w:rsidRDefault="00E32033" w:rsidP="00E32033">
      <w:pPr>
        <w:jc w:val="both"/>
        <w:rPr>
          <w:rFonts w:ascii="Open Sans" w:hAnsi="Open Sans" w:cs="Arial"/>
          <w:bCs/>
          <w:sz w:val="20"/>
          <w:szCs w:val="20"/>
        </w:rPr>
      </w:pPr>
    </w:p>
    <w:p w14:paraId="2BE9D078" w14:textId="77777777" w:rsidR="00E32033" w:rsidRPr="00BB767A" w:rsidRDefault="00E32033" w:rsidP="000B70C9">
      <w:pPr>
        <w:pStyle w:val="Prrafodelista"/>
        <w:numPr>
          <w:ilvl w:val="0"/>
          <w:numId w:val="84"/>
        </w:numPr>
        <w:jc w:val="both"/>
        <w:rPr>
          <w:rFonts w:ascii="Open Sans" w:hAnsi="Open Sans" w:cs="Arial"/>
          <w:bCs/>
          <w:sz w:val="20"/>
          <w:szCs w:val="20"/>
        </w:rPr>
      </w:pPr>
      <w:r w:rsidRPr="00BB767A">
        <w:rPr>
          <w:rFonts w:ascii="Open Sans" w:hAnsi="Open Sans" w:cs="Arial"/>
          <w:bCs/>
          <w:sz w:val="20"/>
          <w:szCs w:val="20"/>
        </w:rPr>
        <w:t>Aqualia New Europe B.V.</w:t>
      </w:r>
    </w:p>
    <w:p w14:paraId="43EF6356" w14:textId="77777777" w:rsidR="00E32033" w:rsidRPr="00BB767A" w:rsidRDefault="00E32033" w:rsidP="000B70C9">
      <w:pPr>
        <w:pStyle w:val="Prrafodelista"/>
        <w:numPr>
          <w:ilvl w:val="0"/>
          <w:numId w:val="84"/>
        </w:numPr>
        <w:jc w:val="both"/>
        <w:rPr>
          <w:rFonts w:ascii="Open Sans" w:hAnsi="Open Sans" w:cs="Arial"/>
          <w:bCs/>
          <w:sz w:val="20"/>
          <w:szCs w:val="20"/>
          <w:lang w:val="en-US"/>
        </w:rPr>
      </w:pPr>
      <w:r w:rsidRPr="00BB767A">
        <w:rPr>
          <w:rFonts w:ascii="Open Sans" w:hAnsi="Open Sans" w:cs="Arial"/>
          <w:bCs/>
          <w:sz w:val="20"/>
          <w:szCs w:val="20"/>
          <w:lang w:val="en-US"/>
        </w:rPr>
        <w:t>Aqua Management Solutions B.V.</w:t>
      </w:r>
    </w:p>
    <w:p w14:paraId="51C2A89E" w14:textId="77777777" w:rsidR="00E32033" w:rsidRPr="00BB767A" w:rsidRDefault="00E32033" w:rsidP="000B70C9">
      <w:pPr>
        <w:pStyle w:val="Prrafodelista"/>
        <w:numPr>
          <w:ilvl w:val="0"/>
          <w:numId w:val="84"/>
        </w:numPr>
        <w:jc w:val="both"/>
        <w:rPr>
          <w:rFonts w:ascii="Open Sans" w:hAnsi="Open Sans" w:cs="Arial"/>
          <w:bCs/>
          <w:sz w:val="20"/>
          <w:szCs w:val="20"/>
          <w:lang w:val="en-US"/>
        </w:rPr>
      </w:pPr>
      <w:r w:rsidRPr="00BB767A">
        <w:rPr>
          <w:rFonts w:ascii="Open Sans" w:hAnsi="Open Sans" w:cs="Arial"/>
          <w:bCs/>
          <w:sz w:val="20"/>
          <w:szCs w:val="20"/>
          <w:lang w:val="en-US"/>
        </w:rPr>
        <w:t>FCC Construction International B.V.</w:t>
      </w:r>
    </w:p>
    <w:p w14:paraId="33CB8F17" w14:textId="77777777" w:rsidR="00E32033" w:rsidRPr="00BB767A" w:rsidRDefault="00E32033" w:rsidP="000B70C9">
      <w:pPr>
        <w:pStyle w:val="Prrafodelista"/>
        <w:numPr>
          <w:ilvl w:val="0"/>
          <w:numId w:val="84"/>
        </w:numPr>
        <w:jc w:val="both"/>
        <w:rPr>
          <w:rFonts w:ascii="Open Sans" w:hAnsi="Open Sans" w:cs="Arial"/>
          <w:bCs/>
          <w:sz w:val="20"/>
          <w:szCs w:val="20"/>
          <w:lang w:val="en-US"/>
        </w:rPr>
      </w:pPr>
      <w:r w:rsidRPr="00BB767A">
        <w:rPr>
          <w:rFonts w:ascii="Open Sans" w:hAnsi="Open Sans" w:cs="Arial"/>
          <w:bCs/>
          <w:sz w:val="20"/>
          <w:szCs w:val="20"/>
          <w:lang w:val="en-US"/>
        </w:rPr>
        <w:t>Uniland International B.V.</w:t>
      </w:r>
    </w:p>
    <w:p w14:paraId="233D2918" w14:textId="77777777" w:rsidR="00E32033" w:rsidRPr="00BB767A" w:rsidRDefault="00E32033" w:rsidP="000B70C9">
      <w:pPr>
        <w:pStyle w:val="Prrafodelista"/>
        <w:numPr>
          <w:ilvl w:val="0"/>
          <w:numId w:val="84"/>
        </w:numPr>
        <w:jc w:val="both"/>
        <w:rPr>
          <w:rFonts w:ascii="Open Sans" w:hAnsi="Open Sans" w:cs="Arial"/>
          <w:bCs/>
          <w:sz w:val="20"/>
          <w:szCs w:val="20"/>
          <w:lang w:val="en-US"/>
        </w:rPr>
      </w:pPr>
      <w:r w:rsidRPr="00BB767A">
        <w:rPr>
          <w:rFonts w:ascii="Open Sans" w:hAnsi="Open Sans" w:cs="Arial"/>
          <w:bCs/>
          <w:sz w:val="20"/>
          <w:szCs w:val="20"/>
          <w:lang w:val="en-US"/>
        </w:rPr>
        <w:t>Uniland Trading B.V.</w:t>
      </w:r>
    </w:p>
    <w:p w14:paraId="7C5E38FC" w14:textId="77777777" w:rsidR="00E32033" w:rsidRPr="00BB767A" w:rsidRDefault="00E32033" w:rsidP="000B70C9">
      <w:pPr>
        <w:pStyle w:val="Prrafodelista"/>
        <w:numPr>
          <w:ilvl w:val="0"/>
          <w:numId w:val="84"/>
        </w:numPr>
        <w:jc w:val="both"/>
        <w:rPr>
          <w:rFonts w:ascii="Open Sans" w:hAnsi="Open Sans" w:cs="Arial"/>
          <w:bCs/>
          <w:sz w:val="20"/>
          <w:szCs w:val="20"/>
          <w:lang w:val="en-US"/>
        </w:rPr>
      </w:pPr>
      <w:r w:rsidRPr="00BB767A">
        <w:rPr>
          <w:rFonts w:ascii="Open Sans" w:hAnsi="Open Sans" w:cs="Arial"/>
          <w:bCs/>
          <w:sz w:val="20"/>
          <w:szCs w:val="20"/>
          <w:lang w:val="en-US"/>
        </w:rPr>
        <w:t>PPP Infraestructure Investments B.V.</w:t>
      </w:r>
    </w:p>
    <w:p w14:paraId="45BD0F63" w14:textId="77777777" w:rsidR="00E32033" w:rsidRPr="00BB767A" w:rsidRDefault="00E32033" w:rsidP="00E32033">
      <w:pPr>
        <w:pStyle w:val="Prrafodelista"/>
        <w:jc w:val="both"/>
        <w:rPr>
          <w:rFonts w:ascii="Open Sans" w:hAnsi="Open Sans" w:cs="Arial"/>
          <w:bCs/>
          <w:sz w:val="20"/>
          <w:szCs w:val="20"/>
          <w:lang w:val="en-US"/>
        </w:rPr>
      </w:pPr>
    </w:p>
    <w:p w14:paraId="01041BEA"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Al no ofrecerse más información sobre la actividad de las citadas empresas, de nuevo planea la duda sobre la finalidad de las mismas dentro de un potencial entramado de elusión fiscal, como el que ha sido detectado para Delaware.</w:t>
      </w:r>
    </w:p>
    <w:p w14:paraId="15AF9669" w14:textId="77777777" w:rsidR="00E32033" w:rsidRPr="00BB767A" w:rsidRDefault="00E32033" w:rsidP="00E32033">
      <w:pPr>
        <w:jc w:val="both"/>
        <w:rPr>
          <w:rFonts w:ascii="Open Sans" w:hAnsi="Open Sans" w:cs="Arial"/>
          <w:bCs/>
          <w:sz w:val="20"/>
          <w:szCs w:val="20"/>
        </w:rPr>
      </w:pPr>
    </w:p>
    <w:p w14:paraId="0C29E8AE"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Para la sociedad BBR VT International Ltd., erradicada en Suiza, no se ha encontrado una descriptiva de su actividad, aspecto que, de nuevo, resulta muy necesario para conocer la finalidad operativa de dicha sociedad, puesto que en la documentación revisada no se han encontrado proyectos, operaciones u otros que pudieran justificar plenamente el registro de una sociedad en este nicho fiscal.</w:t>
      </w:r>
    </w:p>
    <w:p w14:paraId="3ED01279" w14:textId="77777777" w:rsidR="00E32033" w:rsidRPr="00BB767A" w:rsidRDefault="00E32033" w:rsidP="00E32033">
      <w:pPr>
        <w:jc w:val="both"/>
        <w:rPr>
          <w:rFonts w:ascii="Open Sans" w:hAnsi="Open Sans" w:cs="Arial"/>
          <w:bCs/>
          <w:sz w:val="20"/>
          <w:szCs w:val="20"/>
        </w:rPr>
      </w:pPr>
    </w:p>
    <w:p w14:paraId="4F617114"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El posicionamiento del Grupo FCC sobre paraísos fiscales queda recogido en el Código Ético del Grupo FCC</w:t>
      </w:r>
      <w:r w:rsidRPr="00BB767A">
        <w:rPr>
          <w:rStyle w:val="Refdenotaalpie"/>
          <w:rFonts w:ascii="Open Sans" w:hAnsi="Open Sans" w:cs="Arial"/>
          <w:bCs/>
          <w:sz w:val="20"/>
          <w:szCs w:val="20"/>
        </w:rPr>
        <w:footnoteReference w:id="326"/>
      </w:r>
      <w:r w:rsidRPr="00BB767A">
        <w:rPr>
          <w:rFonts w:ascii="Open Sans" w:hAnsi="Open Sans" w:cs="Arial"/>
          <w:bCs/>
          <w:sz w:val="20"/>
          <w:szCs w:val="20"/>
        </w:rPr>
        <w:t xml:space="preserve">, en el apartado de Blanqueo de capitales e irregularidades en los pagos, cuando se asevera que se prestará atención “a los pagos realizados a personas, compañías, entidades o cuentas abiertas en paraísos fiscales y a aquellos pagos realizados a entidades en las que no sea posible identificar al socio, propietario o beneficiario último”. Tal compromiso, si bien de gran valor, no recoge un pronunciamiento expreso respecto a la problemática recaudatoria, económica y social derivada de la existencia de dichos territorios, ni tampoco en relación a la propia estrategia fiscal del Grupo FCC y sus mecanismos para contribuir de manera responsable al desarrollo de la las sociedades en que opera mediante un comportamiento fiscal justo.  </w:t>
      </w:r>
    </w:p>
    <w:p w14:paraId="683BE893" w14:textId="77777777" w:rsidR="00E32033" w:rsidRPr="00BB767A" w:rsidRDefault="00E32033" w:rsidP="00E32033">
      <w:pPr>
        <w:jc w:val="both"/>
        <w:rPr>
          <w:rFonts w:ascii="Open Sans" w:hAnsi="Open Sans" w:cs="Arial"/>
          <w:bCs/>
          <w:sz w:val="20"/>
          <w:szCs w:val="20"/>
        </w:rPr>
      </w:pPr>
    </w:p>
    <w:p w14:paraId="5D564736"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Un compromiso más explícito sobre el particular se encuentra en el Informe de Gobierno Corporativo, cuando se reconoce que “En la medida en que la política fiscal del Grupo FCC debe encontrarse siempre alineada con los principios corporativos del Grupo, su misión y visión, y su política de responsabilidad social corporativa, el área Fiscal del Grupo FCC trabaja con las áreas de negocio y corporativas como un socio estratégico proporcionando el asesoramiento requerido de una manera clara, puntual y enfocada al mismo, respecto de cualquier cuestión de índole tributaria”. De la misma manera explícita se recoge el compromiso con un sistema tributario más justo, núcleo de la responsabilidad fiscal, cuando en el Código de Conducta Fiscal del Grupo FCC se dice que el Grupo FCC participará “activamente en los foros fiscales de aquellas asociaciones empresariales y organizaciones internacionales en los que el Grupo FCC forme parte, de cara a proponer medidas tributarias concretas orientadas a la consecución de un sistema tributario más justo y armonizado, tanto para los intereses del grupo como para los de la sociedad en su conjunto”.</w:t>
      </w:r>
    </w:p>
    <w:p w14:paraId="51F6CD77" w14:textId="77777777" w:rsidR="00E32033" w:rsidRPr="00BB767A" w:rsidRDefault="00E32033" w:rsidP="00E32033">
      <w:pPr>
        <w:jc w:val="both"/>
        <w:rPr>
          <w:rFonts w:ascii="Open Sans" w:hAnsi="Open Sans" w:cs="Arial"/>
          <w:bCs/>
          <w:sz w:val="20"/>
          <w:szCs w:val="20"/>
        </w:rPr>
      </w:pPr>
    </w:p>
    <w:p w14:paraId="043528D3"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No obstante lo anterior, si analizamos el Informe de Gobierno Corporativo, en la pregunta número 54 del mismo, que versa sobre los compromisos que de manera voluntaria se recogen en la política de Responsabilidad Social Corporativa para con sus grupos de interés</w:t>
      </w:r>
      <w:r w:rsidRPr="00BB767A">
        <w:rPr>
          <w:rStyle w:val="Refdenotaalpie"/>
          <w:rFonts w:ascii="Open Sans" w:hAnsi="Open Sans" w:cs="Arial"/>
          <w:bCs/>
          <w:sz w:val="20"/>
          <w:szCs w:val="20"/>
        </w:rPr>
        <w:footnoteReference w:id="327"/>
      </w:r>
      <w:r w:rsidRPr="00BB767A">
        <w:rPr>
          <w:rFonts w:ascii="Open Sans" w:hAnsi="Open Sans" w:cs="Arial"/>
          <w:bCs/>
          <w:sz w:val="20"/>
          <w:szCs w:val="20"/>
        </w:rPr>
        <w:t>, reconoce, entre otros la responsabilidad fiscal. Dicha pregunta dícese cumplir, pero no ha sido posible encontrar, en los diferentes documentos analizados, pormenores más precisos sobre la política fiscal y su implementación que permitan concretizar los anteriormente citados compromisos y manifestaciones.</w:t>
      </w:r>
    </w:p>
    <w:p w14:paraId="066BCAEC" w14:textId="77777777" w:rsidR="00E32033" w:rsidRPr="00BB767A" w:rsidRDefault="00E32033" w:rsidP="00E32033">
      <w:pPr>
        <w:jc w:val="both"/>
        <w:rPr>
          <w:rFonts w:ascii="Open Sans" w:hAnsi="Open Sans" w:cs="Arial"/>
          <w:bCs/>
          <w:sz w:val="20"/>
          <w:szCs w:val="20"/>
        </w:rPr>
      </w:pPr>
    </w:p>
    <w:p w14:paraId="70546FE9"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Si bien en líneas generales el Grupo FCC reconoce la importancia de la responsabilidad fiscal como mecanismo para beneficiar al conjunto de la sociedad, se encuentra a faltar, por ejemplo, la mención al informe presentado en 2013 por parte de la OCDE, conocido como Informe BEPS</w:t>
      </w:r>
      <w:r w:rsidRPr="00BB767A">
        <w:rPr>
          <w:rStyle w:val="Refdenotaalpie"/>
          <w:rFonts w:ascii="Open Sans" w:hAnsi="Open Sans" w:cs="Arial"/>
          <w:bCs/>
          <w:sz w:val="20"/>
          <w:szCs w:val="20"/>
        </w:rPr>
        <w:footnoteReference w:id="328"/>
      </w:r>
      <w:r w:rsidRPr="00BB767A">
        <w:rPr>
          <w:rFonts w:ascii="Open Sans" w:hAnsi="Open Sans" w:cs="Arial"/>
          <w:bCs/>
          <w:sz w:val="20"/>
          <w:szCs w:val="20"/>
        </w:rPr>
        <w:t xml:space="preserve"> (Base Erosion and Profit Shifting), que precisamente tiene por objeto desarrollar mecanismos y herramientas para combatir estrategias fiscales agresivas o de elusión fiscal que trasladen beneficios empresariales mediante estructuras empresariales offshore a territorios de baja o nula tributación.</w:t>
      </w:r>
    </w:p>
    <w:p w14:paraId="725635FA" w14:textId="77777777" w:rsidR="00E32033" w:rsidRPr="00BB767A" w:rsidRDefault="00E32033" w:rsidP="00E32033">
      <w:pPr>
        <w:jc w:val="both"/>
        <w:rPr>
          <w:rFonts w:ascii="Open Sans" w:hAnsi="Open Sans" w:cs="Arial"/>
          <w:bCs/>
          <w:sz w:val="20"/>
          <w:szCs w:val="20"/>
        </w:rPr>
      </w:pPr>
    </w:p>
    <w:p w14:paraId="7061AD3B"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 xml:space="preserve">De lo expuesto hasta el momento relativo al posicionamiento y a la política fiscal del grupo, queda pendiente validar qué tipo de información y el alcance que se hace respecto al análisis de los riesgos fiscales. De nuevo, al revisar el Informe de Gobierno Corporativo se lee, en su mención a la Norma Marco de Control Fiscal, que el objetivo de la misma es “la gestión del riesgo fiscal del Grupo FCC y, en particular, la política relativa a la gestión del denominado “riesgo fiscal técnico […] y la identificación y reporting de posiciones que supongan un riesgo fiscal técnico”. Sin embargo, de nuevo se valora como demasiado impreciso, puesto que no ha sido posible encontrar cuál es el proceso de identificación, </w:t>
      </w:r>
      <w:proofErr w:type="gramStart"/>
      <w:r w:rsidRPr="00BB767A">
        <w:rPr>
          <w:rFonts w:ascii="Open Sans" w:hAnsi="Open Sans" w:cs="Arial"/>
          <w:bCs/>
          <w:sz w:val="20"/>
          <w:szCs w:val="20"/>
        </w:rPr>
        <w:t>a</w:t>
      </w:r>
      <w:proofErr w:type="gramEnd"/>
      <w:r w:rsidRPr="00BB767A">
        <w:rPr>
          <w:rFonts w:ascii="Open Sans" w:hAnsi="Open Sans" w:cs="Arial"/>
          <w:bCs/>
          <w:sz w:val="20"/>
          <w:szCs w:val="20"/>
        </w:rPr>
        <w:t xml:space="preserve"> qué se refiere con “riesgo fiscal técnico”, cuál es el riesgo asociado a las diferentes posiciones ni qué otro tipo de riesgos pudieran existir sujetos a su actividad. De la misma manera, no se presenta información sobre el seguimiento y la potencial o real materialización de riesgos fiscales.</w:t>
      </w:r>
    </w:p>
    <w:p w14:paraId="6E3FA28C" w14:textId="77777777" w:rsidR="00E32033" w:rsidRPr="00BB767A" w:rsidRDefault="00E32033" w:rsidP="00E32033">
      <w:pPr>
        <w:jc w:val="both"/>
        <w:rPr>
          <w:rFonts w:ascii="Open Sans" w:hAnsi="Open Sans" w:cs="Arial"/>
          <w:b/>
          <w:bCs/>
          <w:color w:val="E36C0A" w:themeColor="accent6" w:themeShade="BF"/>
          <w:sz w:val="20"/>
          <w:szCs w:val="20"/>
        </w:rPr>
      </w:pPr>
    </w:p>
    <w:p w14:paraId="1A4BC747"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En relación a la responsabilidad y conocimiento del Consejo de Administración y de la alta dirección en materia de fiscalidad, según el Reglamento del Consejo de Administración de FCC, S.A</w:t>
      </w:r>
      <w:r w:rsidRPr="00BB767A">
        <w:rPr>
          <w:rStyle w:val="Refdenotaalpie"/>
          <w:rFonts w:ascii="Open Sans" w:hAnsi="Open Sans" w:cs="Arial"/>
          <w:bCs/>
          <w:sz w:val="20"/>
          <w:szCs w:val="20"/>
        </w:rPr>
        <w:footnoteReference w:id="329"/>
      </w:r>
      <w:r w:rsidRPr="00BB767A">
        <w:rPr>
          <w:rFonts w:ascii="Open Sans" w:hAnsi="Open Sans" w:cs="Arial"/>
          <w:bCs/>
          <w:sz w:val="20"/>
          <w:szCs w:val="20"/>
        </w:rPr>
        <w:t>, éste tiene la responsabilidad última de la aprobación de las políticas y estrategias generales de la Sociedad y, en particular, la política de control y gestión de riesgos, incluidos los fiscales", como también puede leerse en el Informe Anual de Gobierno Corporativo de las Sociedades Anónimas Cotizadas, haciendo alusión al mismo artículo 8 del Reglamento del Consejo. Asimismo, el Código de Conducta Fiscal del Grupo FCC, vigente desde septiembre de 2014, informa de que "las decisiones relevantes en materia tributaria son supervisadas por la alta dirección del Grupo y están debidamente soportadas, a partir de un enfoque global e integrador en el que se tengan en cuanto a las diferentes variables de negocio como los posibles riesgos asumidos". Como se ve, la responsabilidad última recae en el pleno del Consejo, si bien es la reestructurada Dirección General de Administración y Finanzas la que tiene, entre sus principales atribuciones, definir y publicar los criterios fiscales de aplicación general para el Grupo FCC, tanto en el ámbito individual, como en el consolidado, asesorar en temática fiscal y elaborar el Impuesto de Sociedades del Grupo Fiscal. Si bien lo anterior traza una idea de la estructura decisoria en materia fiscal y la validación de la misma, el Grupo FCC, además, está adherido al Código de Buenas Prácticas Tributarias, siendo de obligado cumplimiento el contenido del mismo. Entre las obligaciones del Código se encuentra la de que la mencionada Dirección General de Administración y Finanzas informe de las políticas fiscales seguidas por el Grupo</w:t>
      </w:r>
      <w:r w:rsidRPr="00BB767A">
        <w:rPr>
          <w:rStyle w:val="Refdenotaalpie"/>
          <w:rFonts w:ascii="Open Sans" w:hAnsi="Open Sans" w:cs="Arial"/>
          <w:bCs/>
          <w:sz w:val="20"/>
          <w:szCs w:val="20"/>
        </w:rPr>
        <w:footnoteReference w:id="330"/>
      </w:r>
      <w:r w:rsidRPr="00BB767A">
        <w:rPr>
          <w:rFonts w:ascii="Open Sans" w:hAnsi="Open Sans" w:cs="Arial"/>
          <w:bCs/>
          <w:sz w:val="20"/>
          <w:szCs w:val="20"/>
        </w:rPr>
        <w:t>.</w:t>
      </w:r>
    </w:p>
    <w:p w14:paraId="6828B05A" w14:textId="77777777" w:rsidR="00E32033" w:rsidRPr="00BB767A" w:rsidRDefault="00E32033" w:rsidP="00E32033">
      <w:pPr>
        <w:jc w:val="both"/>
        <w:rPr>
          <w:rFonts w:ascii="Open Sans" w:hAnsi="Open Sans" w:cs="Arial"/>
          <w:bCs/>
          <w:sz w:val="20"/>
          <w:szCs w:val="20"/>
        </w:rPr>
      </w:pPr>
    </w:p>
    <w:p w14:paraId="7C026A6C"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El Código de Buenas Prácticas Tributarias</w:t>
      </w:r>
      <w:r w:rsidRPr="00BB767A">
        <w:rPr>
          <w:rStyle w:val="Refdenotaalpie"/>
          <w:rFonts w:ascii="Open Sans" w:hAnsi="Open Sans" w:cs="Arial"/>
          <w:bCs/>
          <w:sz w:val="20"/>
          <w:szCs w:val="20"/>
        </w:rPr>
        <w:footnoteReference w:id="331"/>
      </w:r>
      <w:r w:rsidRPr="00BB767A">
        <w:rPr>
          <w:rFonts w:ascii="Open Sans" w:hAnsi="Open Sans" w:cs="Arial"/>
          <w:bCs/>
          <w:sz w:val="20"/>
          <w:szCs w:val="20"/>
        </w:rPr>
        <w:t>, en el que han participado grandes empresas y la administración tributaria, persigue la aplicación de políticas fiscales responsables por parte de las empresas y la cooperación recíproca entre las mismas y la AEAT. Pese a ello, el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offshore que puedan favorecer la evasión fiscal.</w:t>
      </w:r>
    </w:p>
    <w:p w14:paraId="03B9A980" w14:textId="77777777" w:rsidR="00E32033" w:rsidRPr="00BB767A" w:rsidRDefault="00E32033" w:rsidP="00E32033">
      <w:pPr>
        <w:jc w:val="both"/>
        <w:rPr>
          <w:rFonts w:ascii="Open Sans" w:hAnsi="Open Sans" w:cs="Arial"/>
          <w:bCs/>
          <w:sz w:val="20"/>
          <w:szCs w:val="20"/>
        </w:rPr>
      </w:pPr>
    </w:p>
    <w:p w14:paraId="04A83526" w14:textId="77777777" w:rsidR="00E32033" w:rsidRPr="00BB767A" w:rsidRDefault="00E32033" w:rsidP="00E32033">
      <w:pPr>
        <w:jc w:val="both"/>
        <w:rPr>
          <w:rFonts w:ascii="Open Sans" w:hAnsi="Open Sans" w:cs="Arial"/>
          <w:bCs/>
          <w:color w:val="FF0000"/>
          <w:sz w:val="20"/>
          <w:szCs w:val="20"/>
        </w:rPr>
      </w:pPr>
      <w:r w:rsidRPr="00BB767A">
        <w:rPr>
          <w:rFonts w:ascii="Open Sans" w:hAnsi="Open Sans" w:cs="Arial"/>
          <w:bCs/>
          <w:sz w:val="20"/>
          <w:szCs w:val="20"/>
        </w:rPr>
        <w:t>Sin embargo, a tenor de la información que ha sido analizada y expuesta hasta el momento, no puede concluirse que la adhesión y firma del código se haya visto reflejada en la implementación de medidas sujetas a una política fiscal responsable, puesto que la información que pudiera dar cuenta de ello es exigua en lo concreto y redundante en la dimensión declaratoria.</w:t>
      </w:r>
    </w:p>
    <w:p w14:paraId="440B9546" w14:textId="77777777" w:rsidR="00E32033" w:rsidRPr="00BB767A" w:rsidRDefault="00E32033" w:rsidP="00E32033">
      <w:pPr>
        <w:jc w:val="both"/>
        <w:rPr>
          <w:rFonts w:ascii="Open Sans" w:hAnsi="Open Sans" w:cs="Arial"/>
          <w:bCs/>
          <w:sz w:val="20"/>
          <w:szCs w:val="20"/>
        </w:rPr>
      </w:pPr>
    </w:p>
    <w:p w14:paraId="0B6A6730"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Si bien las sociedades que aparecen en la tabla quedan incluidas dentro de las unidades de negocio, según la propia clasificación de los mencionados Anexos, no se hace ninguna descripción de la actividad de dichas sociedades, por lo que se desconoce la finalidad de las mismas. La inclusión del tipo de actividad, ya sea productiva, interpuesta o instrumental, financiera o comercial, resulta de gran relevancia para conocer el propósito concreto para la creación o participación en las mismas, especialmente cuando se encuentran domiciliadas en territorios que tienen consideración de paraísos o nichos fiscales.</w:t>
      </w:r>
    </w:p>
    <w:p w14:paraId="0C055E3A" w14:textId="77777777" w:rsidR="00E32033" w:rsidRPr="00BB767A" w:rsidRDefault="00E32033" w:rsidP="00E32033">
      <w:pPr>
        <w:jc w:val="both"/>
        <w:rPr>
          <w:rFonts w:ascii="Open Sans" w:hAnsi="Open Sans" w:cs="Arial"/>
          <w:bCs/>
          <w:sz w:val="20"/>
          <w:szCs w:val="20"/>
        </w:rPr>
      </w:pPr>
    </w:p>
    <w:p w14:paraId="44FC9CFA"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Asimismo, no ha sido posible encontrar datos relativos al volumen de negocio, personal contratado, pago de impuestos, subvenciones, etc., que pudieran dar cuenta de la actividad de éstas sociedades dependientes en territorios offshore. Si bien no es posible colegir que la presencia de estas sociedades en los citados nichos fiscales tenga propósitos de elusión fiscal, sería de interés que el Grupo FCC aportase información que permita a los diferentes Stakeholders y grupos de interés tener una visión clara y cabal de su actividad fiscal. La pertinencia de tal aseveración puede verse validada si se atiende a la aprobación en septiembre de 2014 del Código de Conducta Fiscal del Grupo FCC, “que tiene</w:t>
      </w:r>
      <w:r w:rsidRPr="00BB767A">
        <w:rPr>
          <w:rFonts w:ascii="Open Sans" w:hAnsi="Open Sans"/>
        </w:rPr>
        <w:t xml:space="preserve"> </w:t>
      </w:r>
      <w:r w:rsidRPr="00BB767A">
        <w:rPr>
          <w:rFonts w:ascii="Open Sans" w:hAnsi="Open Sans" w:cs="Arial"/>
          <w:bCs/>
          <w:sz w:val="20"/>
          <w:szCs w:val="20"/>
        </w:rPr>
        <w:t>por objetivo establecer las políticas, principios y valores que deben guiar el comportamiento en materia tributaria dentro del Grupo FCC”, y que resulta de aplicación a todos los empleados del grupo. En el mencionado Código de Conducta Fiscal se obliga al cumplimiento de la “Norma Marco de Control del Área Fiscal” que, entre otros cometidos, tiene la definición de la política de riesgo fiscal dentro del Grupo, la política relativa a la gestión del denominado “riesgo fiscal técnico” y la identificación y Reporting de posiciones que supongan un riesgo fiscal técnico, como ya se ha visto anteriormente. Este documento, citado a lo largo del Informe Anual 2015 y del Informe Anual de Gobierno Corporativo de las Sociedades Anónimas Cotizadas, no se ha podido encontrar en la documentación analizada, ni siquiera una pequeña explicación que oriente sobre el contenido y alcance del mismo y, por ende, ayude en la valoración de la responsabilidad fiscal del Grupo FCC tanto a los analistas del OBRSC como a los diferentes grupos de interés.</w:t>
      </w:r>
    </w:p>
    <w:p w14:paraId="2A1F0EB8" w14:textId="77777777" w:rsidR="00E32033" w:rsidRPr="00BB767A" w:rsidRDefault="00E32033" w:rsidP="00E32033">
      <w:pPr>
        <w:jc w:val="both"/>
        <w:rPr>
          <w:rFonts w:ascii="Open Sans" w:hAnsi="Open Sans" w:cs="Arial"/>
          <w:bCs/>
          <w:sz w:val="20"/>
          <w:szCs w:val="20"/>
        </w:rPr>
      </w:pPr>
    </w:p>
    <w:p w14:paraId="048471E7"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El elemento clave para considerar extraño la falta de información relativa a la actividad de estas sociedades pertenecientes al perímetro de consolidación y erradicadas en paraísos o nichos fiscales, se encuentra al leer los cometidos de la Comisión de Auditoría y Control, entre los que figura el análisis en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 FCC"</w:t>
      </w:r>
      <w:r w:rsidRPr="00BB767A">
        <w:rPr>
          <w:rStyle w:val="Refdenotaalpie"/>
          <w:rFonts w:ascii="Open Sans" w:hAnsi="Open Sans" w:cs="Arial"/>
          <w:bCs/>
          <w:sz w:val="20"/>
          <w:szCs w:val="20"/>
        </w:rPr>
        <w:footnoteReference w:id="332"/>
      </w:r>
      <w:r w:rsidRPr="00BB767A">
        <w:rPr>
          <w:rFonts w:ascii="Open Sans" w:hAnsi="Open Sans" w:cs="Arial"/>
          <w:bCs/>
          <w:sz w:val="20"/>
          <w:szCs w:val="20"/>
        </w:rPr>
        <w:t>. Reconociéndose de forma expresa que la presencia en países o territorios con la consideración de paraísos fiscales puede dañar la transparencia del Grupo FCC ante la sociedad y sus diferentes Stakeholders, no se entiende entonces la falta de datos que ayude a disipar dudas sobre la función y actividad de determinadas compañías en dichos territorios.</w:t>
      </w:r>
    </w:p>
    <w:p w14:paraId="68126237" w14:textId="77777777" w:rsidR="00E32033" w:rsidRPr="00BB767A" w:rsidRDefault="00E32033" w:rsidP="00E32033">
      <w:pPr>
        <w:jc w:val="both"/>
        <w:rPr>
          <w:rFonts w:ascii="Open Sans" w:hAnsi="Open Sans" w:cs="Arial"/>
          <w:bCs/>
          <w:sz w:val="20"/>
          <w:szCs w:val="20"/>
        </w:rPr>
      </w:pPr>
    </w:p>
    <w:p w14:paraId="244EB3C5"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El párrafo anterior no debe hacer olvidar que el Grupo FCC, a través de sus unidades de negocio de infraestructuras, servicios medioambientales y de gestión integral del agua, tiene presencia y mantiene actividad y proyectos en los diferentes territorios que aparecen en la tabla anterior. Si bien esto es cierto, se aprecia que dentro del perímetro de consolidación hay una empresa erradicada en Belice, Meco Santa Fe Limited, país, como se ha indicado anteriormente, para el que no se han encontrado proyectos u actividades que pudieran fundamentar la presencia en este territorio considerado offshore y nicho fiscal según la metodología del OBRSC. El Grupo FCC tiene dentro de su perímetro de consolidación global una empresa domiciliada en Macedonia, .A.S.A. Mazedonia dooel, país considerado nicho fiscal según Tax Justice Network y  para el que no se ha encontrado más que una mención a una participación en un proceso de licitación en obras de infraestructuras de saneamiento y depuración</w:t>
      </w:r>
      <w:r w:rsidRPr="00BB767A">
        <w:rPr>
          <w:rStyle w:val="Refdenotaalpie"/>
          <w:rFonts w:ascii="Open Sans" w:hAnsi="Open Sans" w:cs="Arial"/>
          <w:bCs/>
          <w:sz w:val="20"/>
          <w:szCs w:val="20"/>
        </w:rPr>
        <w:footnoteReference w:id="333"/>
      </w:r>
      <w:r w:rsidRPr="00BB767A">
        <w:rPr>
          <w:rFonts w:ascii="Open Sans" w:hAnsi="Open Sans" w:cs="Arial"/>
          <w:bCs/>
          <w:sz w:val="20"/>
          <w:szCs w:val="20"/>
        </w:rPr>
        <w:t>.</w:t>
      </w:r>
    </w:p>
    <w:p w14:paraId="7A535398" w14:textId="77777777" w:rsidR="00E32033" w:rsidRPr="00BB767A" w:rsidRDefault="00E32033" w:rsidP="00E32033">
      <w:pPr>
        <w:jc w:val="both"/>
        <w:rPr>
          <w:rFonts w:ascii="Open Sans" w:hAnsi="Open Sans" w:cs="Arial"/>
          <w:bCs/>
          <w:sz w:val="20"/>
          <w:szCs w:val="20"/>
        </w:rPr>
      </w:pPr>
    </w:p>
    <w:p w14:paraId="69BAF5E9"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Cuando se analiza la información económica del grupo, el desglose resulta insuficiente para conocer cuál es la contribución que realizan las diferentes sociedades del grupo allí donde realizan su actividad, puesto que la información no aparece en ningún momento desglosada por países. Sí aparece información desagregada por regiones y las contribuciones de las diferentes  líneas de negocio al Grupo, pero no se ha encontrado la necesaria información sobre la cifra de negocio y los beneficios e impuestos pagados país a país, lo que debiera permitir evaluar, conjuntamente con otros datos relativos a empleo, activos, etc., la tributación efectiva y su contribución a las arcas públicas del país, a la vez que debiera permitir conocer la arquitectura societaria y cómo esta responde a propósitos de negocio o de reducción de carga fiscal. El Grupo FCC está acogido al régimen de declaración consolidada del Impuesto Sobre Sociedades, quedando integradas en dicho régimen las sociedades que cumplan con la legislación fiscal.</w:t>
      </w:r>
    </w:p>
    <w:p w14:paraId="4478EA0C" w14:textId="77777777" w:rsidR="00E32033" w:rsidRPr="00BB767A" w:rsidRDefault="00E32033" w:rsidP="00E32033">
      <w:pPr>
        <w:jc w:val="both"/>
        <w:rPr>
          <w:rFonts w:ascii="Open Sans" w:hAnsi="Open Sans" w:cs="Arial"/>
          <w:bCs/>
          <w:sz w:val="20"/>
          <w:szCs w:val="20"/>
        </w:rPr>
      </w:pPr>
    </w:p>
    <w:p w14:paraId="6DB7B89B"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En relación a las subvenciones concedidas, se lee en el Informe Anual 2015 que "en el balance adjunto figuran las subvenciones recibidas en su día por 6.879 miles de euros (mismo importe a 31 de diciembre de 2014), una vez considerado el efecto fiscal, habiéndose aplicado a la cuenta de pérdidas y ganancias 5.508 miles de euros (5.260 miles de euros a 31 de diciembre de 2014), de los cuales 248 miles de euros corresponden al ejercicio 2015 (147 miles de euros a 31 de diciembre de 2014).  Dicho importe corresponde en su mayor parte a subvenciones concedidas a uniones temporales de empresas a través de las cuales la sociedad ejecuta contratos de forma conjunta</w:t>
      </w:r>
      <w:r w:rsidRPr="00BB767A">
        <w:rPr>
          <w:rStyle w:val="Refdenotaalpie"/>
          <w:rFonts w:ascii="Open Sans" w:hAnsi="Open Sans" w:cs="Arial"/>
          <w:bCs/>
          <w:sz w:val="20"/>
          <w:szCs w:val="20"/>
        </w:rPr>
        <w:footnoteReference w:id="334"/>
      </w:r>
      <w:r w:rsidRPr="00BB767A">
        <w:rPr>
          <w:rFonts w:ascii="Open Sans" w:hAnsi="Open Sans" w:cs="Arial"/>
          <w:bCs/>
          <w:sz w:val="20"/>
          <w:szCs w:val="20"/>
        </w:rPr>
        <w:t xml:space="preserve">. De nuevo, la requerida información que permitiría ofrecer transparencia y detalle país a país no existe, lo que imposibilita conocer los motivos de concesión de las mismas y su duración. </w:t>
      </w:r>
    </w:p>
    <w:p w14:paraId="3C3201E1" w14:textId="77777777" w:rsidR="00E32033" w:rsidRPr="00BB767A" w:rsidRDefault="00E32033" w:rsidP="00E32033">
      <w:pPr>
        <w:jc w:val="both"/>
        <w:rPr>
          <w:rFonts w:ascii="Open Sans" w:hAnsi="Open Sans" w:cs="Arial"/>
          <w:bCs/>
          <w:sz w:val="20"/>
          <w:szCs w:val="20"/>
        </w:rPr>
      </w:pPr>
    </w:p>
    <w:p w14:paraId="657EDA0C"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En el Informe Anual 2015, en el apartado de Bases imponibles negativas y deducciones pendientes de aplicar, se menciona que el Grupo tiene bases imponibles negativas del ejercicio anterior por importe de 47.860 miles de Euros, manifestando que no ha reconocido el impuesto diferido de activo. Asimismo, también se comenta que existen deducciones pendientes de aplicar por importe de 7.203 miles de euros, de las que detalla tanto su motivación como el plazo de aplicación, aunque no se da información relativa a países.</w:t>
      </w:r>
    </w:p>
    <w:p w14:paraId="4E7FD8DF" w14:textId="77777777" w:rsidR="00E32033" w:rsidRPr="00BB767A" w:rsidRDefault="00E32033" w:rsidP="00E32033">
      <w:pPr>
        <w:jc w:val="both"/>
        <w:rPr>
          <w:rFonts w:ascii="Open Sans" w:hAnsi="Open Sans" w:cs="Arial"/>
          <w:bCs/>
          <w:sz w:val="20"/>
          <w:szCs w:val="20"/>
        </w:rPr>
      </w:pPr>
    </w:p>
    <w:p w14:paraId="19AFCD0A"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Con respecto a los créditos fiscales, se informa sobre deducciones fiscales acreditadas y pendientes de aplicación del Grupo FCC por un importe de 6,6 millones de euros, sin que se precise más información al respecto, ni ninguna mención ni desglose por países. Asimismo, también se hace mención a un crédito fiscal no activado, por importe de 325 millones de euros, “correspondiente al deterioro al deterioro realizado por Fomento de Construcciones, S.A. en ejercicios anteriores por su participación en la sociedad Azincourt, S.L., sociedad holding tenedora de las acciones de la sociedad británica FCC Environment (UK). El importe del deterioro realizado, que no fue considerado deducible en la base imponible del Impuesto sobre Sociedades, asciende a 1.300,1 millones de euros”</w:t>
      </w:r>
      <w:r w:rsidRPr="00BB767A">
        <w:rPr>
          <w:rStyle w:val="Refdenotaalpie"/>
          <w:rFonts w:ascii="Open Sans" w:hAnsi="Open Sans" w:cs="Arial"/>
          <w:bCs/>
          <w:sz w:val="20"/>
          <w:szCs w:val="20"/>
        </w:rPr>
        <w:footnoteReference w:id="335"/>
      </w:r>
    </w:p>
    <w:p w14:paraId="0859ACF0" w14:textId="77777777" w:rsidR="00E32033" w:rsidRPr="00BB767A" w:rsidRDefault="00E32033" w:rsidP="00E32033">
      <w:pPr>
        <w:jc w:val="both"/>
        <w:rPr>
          <w:rFonts w:ascii="Open Sans" w:hAnsi="Open Sans" w:cs="Arial"/>
          <w:bCs/>
          <w:sz w:val="20"/>
          <w:szCs w:val="20"/>
        </w:rPr>
      </w:pPr>
    </w:p>
    <w:p w14:paraId="734C1E6B"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No se encuentra información relativa a exenciones fiscales que pudiera disfrutar alguna de las sociedades del Grupo. Se hace mención a exenciones fiscales cuando se detalla la conciliación entre el resultado contable y la base imponible fiscal, aludiéndose al cambio legislativo por el que el tratamiento de la doble imposición de dividendos pasa de considerarse deducción a ser considerada exención.</w:t>
      </w:r>
    </w:p>
    <w:p w14:paraId="4A37E7A8" w14:textId="77777777" w:rsidR="00E32033" w:rsidRPr="00BB767A" w:rsidRDefault="00E32033" w:rsidP="00E32033">
      <w:pPr>
        <w:jc w:val="both"/>
        <w:rPr>
          <w:rFonts w:ascii="Open Sans" w:hAnsi="Open Sans" w:cs="Arial"/>
          <w:bCs/>
          <w:sz w:val="20"/>
          <w:szCs w:val="20"/>
        </w:rPr>
      </w:pPr>
    </w:p>
    <w:p w14:paraId="5DBEEA60"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En lo concerniente a las relaciones con las administraciones tributarias de los diferentes países en los que tiene presencia y/o operaciones y proyectos, cabe destacar la ya mencionada adhesión al Código de Buenas Prácticas Tributarias de la AEAT. Sin embargo, la transparencia, cooperación y confianza recíproca con las autoridades tributarias de cada país, mencionada en el Código de Conducta Fiscal, asimismo como la participación en foros de fiscalidad internacional, no parece haberse concretado en la firma de convenios y códigos y/o iniciativas de cooperación en los más de 47</w:t>
      </w:r>
      <w:r w:rsidRPr="00BB767A">
        <w:rPr>
          <w:rFonts w:ascii="Open Sans" w:hAnsi="Open Sans" w:cs="Arial"/>
          <w:bCs/>
          <w:color w:val="FF0000"/>
          <w:sz w:val="20"/>
          <w:szCs w:val="20"/>
        </w:rPr>
        <w:t xml:space="preserve"> </w:t>
      </w:r>
      <w:r w:rsidRPr="00BB767A">
        <w:rPr>
          <w:rFonts w:ascii="Open Sans" w:hAnsi="Open Sans" w:cs="Arial"/>
          <w:bCs/>
          <w:sz w:val="20"/>
          <w:szCs w:val="20"/>
        </w:rPr>
        <w:t>países en los que tiene presencia, o la información que así lo indicara no ha podido ser encontrada en la documentación analizada.</w:t>
      </w:r>
    </w:p>
    <w:p w14:paraId="0032569F" w14:textId="77777777" w:rsidR="00E32033" w:rsidRPr="00BB767A" w:rsidRDefault="00E32033" w:rsidP="00E32033">
      <w:pPr>
        <w:jc w:val="both"/>
        <w:rPr>
          <w:rFonts w:ascii="Open Sans" w:hAnsi="Open Sans" w:cs="Arial"/>
          <w:bCs/>
          <w:sz w:val="20"/>
          <w:szCs w:val="20"/>
        </w:rPr>
      </w:pPr>
    </w:p>
    <w:p w14:paraId="2631BAE6"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 xml:space="preserve">En lo concerniente a deudas tributarias que pudiera tener cualquiera de las sociedades integradas en el Grupo FFC con la administración tributaria pertinente, puede leerse que la Delegación Central de Grandes Contribuyentes de la Agencia Tributaria y la Tesorería de la Seguridad Social, autorizaron, para los ejercicios comprendidos entre 2011 y 2014, ambos inclusive, aplazamientos de pagos de determinados impuestos y cuotas, motivados principalmente por retrasos en el cobro de clientes de la administración pública. También puede leerse que no se han derivado actas de importe significativo por inspecciones tributarias, por lo que no se detalla, si hubiera de menor importe, los motivos por los que se produjeron las mismas ni los países afectados. </w:t>
      </w:r>
    </w:p>
    <w:p w14:paraId="5CDBD8AE" w14:textId="77777777" w:rsidR="00E32033" w:rsidRPr="00BB767A" w:rsidRDefault="00E32033" w:rsidP="00E32033">
      <w:pPr>
        <w:ind w:left="360"/>
        <w:jc w:val="both"/>
        <w:rPr>
          <w:rFonts w:ascii="Open Sans" w:hAnsi="Open Sans" w:cs="Arial"/>
          <w:bCs/>
          <w:sz w:val="20"/>
          <w:szCs w:val="20"/>
        </w:rPr>
      </w:pPr>
    </w:p>
    <w:p w14:paraId="79146C3D" w14:textId="77777777" w:rsidR="00E32033" w:rsidRPr="00BB767A" w:rsidRDefault="00E32033" w:rsidP="00E32033">
      <w:pPr>
        <w:autoSpaceDE w:val="0"/>
        <w:autoSpaceDN w:val="0"/>
        <w:adjustRightInd w:val="0"/>
        <w:jc w:val="both"/>
        <w:rPr>
          <w:rFonts w:ascii="Open Sans" w:hAnsi="Open Sans" w:cs="Arial"/>
          <w:bCs/>
          <w:sz w:val="20"/>
          <w:szCs w:val="20"/>
        </w:rPr>
      </w:pPr>
      <w:r w:rsidRPr="00BB767A">
        <w:rPr>
          <w:rFonts w:ascii="Open Sans" w:hAnsi="Open Sans" w:cs="Arial"/>
          <w:bCs/>
          <w:sz w:val="20"/>
          <w:szCs w:val="20"/>
        </w:rPr>
        <w:t>No se ha encontrado información relativa a litigios entre el Grupo FCC con Administraciones Tributarias. Se menciona que, pese a que el número de litigios puede ser significativo, no se espera que la resolución de los mismos pueda tener consecuencias sobre el patrimonio del Grupo. Sí se menciona no obstante que “la Sala de la Competencia de la Comisión Nacional de los Mercados y de la Competencia dictó resolución relativa al expediente S/0429/12, por una presunta infracción del artículo 1 de la Ley 15/2007 de Defensa de la Competencia”. La citada resolución afecta a varias empresas y asociaciones del sector de los residuos […] el importe de la sanción impuesta asciende a 16.880 miles de euros, la eventual salida de caja se estima se podría producir en un plazo mínimo de tres años y medio o cuatro y dadas las características del litigio, no producirá reembolsos en ningún caso. No obstante, el Grupo estima que no es probable que se produzca salida de recursos como consecuencia de la citada demanda”.</w:t>
      </w:r>
    </w:p>
    <w:p w14:paraId="1F8968FB" w14:textId="77777777" w:rsidR="00E32033" w:rsidRPr="00BB767A" w:rsidRDefault="00E32033" w:rsidP="00E32033">
      <w:pPr>
        <w:autoSpaceDE w:val="0"/>
        <w:autoSpaceDN w:val="0"/>
        <w:adjustRightInd w:val="0"/>
        <w:jc w:val="both"/>
        <w:rPr>
          <w:rFonts w:ascii="Open Sans" w:hAnsi="Open Sans" w:cs="Arial"/>
          <w:bCs/>
          <w:sz w:val="20"/>
          <w:szCs w:val="20"/>
        </w:rPr>
      </w:pPr>
    </w:p>
    <w:p w14:paraId="758D32BB" w14:textId="77777777" w:rsidR="00E32033" w:rsidRPr="00BB767A" w:rsidRDefault="00E32033" w:rsidP="00E32033">
      <w:pPr>
        <w:autoSpaceDE w:val="0"/>
        <w:autoSpaceDN w:val="0"/>
        <w:adjustRightInd w:val="0"/>
        <w:jc w:val="both"/>
        <w:rPr>
          <w:rFonts w:ascii="Open Sans" w:hAnsi="Open Sans" w:cs="Arial"/>
          <w:bCs/>
          <w:sz w:val="20"/>
          <w:szCs w:val="20"/>
        </w:rPr>
      </w:pPr>
      <w:r w:rsidRPr="00BB767A">
        <w:rPr>
          <w:rFonts w:ascii="Open Sans" w:hAnsi="Open Sans" w:cs="Arial"/>
          <w:bCs/>
          <w:sz w:val="20"/>
          <w:szCs w:val="20"/>
        </w:rPr>
        <w:t>A día de hoy, Fomento de Construcciones y Contratas, S.A. tiene abiertos a inspección por los impuestos que le son de aplicación, todos los ejercicios que legalmente no han prescrito, si bien es cierto que al desconocerse la interpretación que pudiera tener la autoridad tributaria sobre los particulares, no se ha incluido ninguna provisión al respecto, aunque se estima que de generarse pasivos contingentes éstos no afectarían significativamente al patrimonio del Grupo. No menciona en qué jurisdicciones fiscales tiene abiertos estos procesos, no aportándose mayor información explicativa de los casos.</w:t>
      </w:r>
    </w:p>
    <w:p w14:paraId="44E03010" w14:textId="77777777" w:rsidR="00E32033" w:rsidRPr="00BB767A" w:rsidRDefault="00E32033" w:rsidP="00E32033">
      <w:pPr>
        <w:autoSpaceDE w:val="0"/>
        <w:autoSpaceDN w:val="0"/>
        <w:adjustRightInd w:val="0"/>
        <w:jc w:val="both"/>
        <w:rPr>
          <w:rFonts w:ascii="Open Sans" w:hAnsi="Open Sans" w:cs="Arial"/>
          <w:bCs/>
          <w:sz w:val="20"/>
          <w:szCs w:val="20"/>
        </w:rPr>
      </w:pPr>
    </w:p>
    <w:p w14:paraId="67A0A0AA"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A lo largo de la documentación analizada no ha podido encontrase información relativa a la operativa de la empresa sobre cuestiones como las compras y la financiación intragrupo, ni sobre el tratamiento de patentes y propiedad intelectual. Tales aspectos tienen una importancia capital para conocer si estas operaciones responden a una planificación fiscal agresiva o ilusoria. Estas operaciones son utilizadas en ocasiones por empresas multinacionales para trasladar base imponible de territorios con tributación normal a territorios con nula o baja tributación. Así, puede leerse que, según las bases de presentación y principios de consolidación de las cuentas anuales consolidadas, entre las sociedades consolidadas se eliminan las operaciones internas, así como se eliminan también los créditos y débitos y los ingresos y gastos internos en el conjunto de sociedades del perímetro de consolidación</w:t>
      </w:r>
      <w:r w:rsidRPr="00BB767A">
        <w:rPr>
          <w:rStyle w:val="Refdenotaalpie"/>
          <w:rFonts w:ascii="Open Sans" w:hAnsi="Open Sans" w:cs="Arial"/>
          <w:bCs/>
          <w:sz w:val="20"/>
          <w:szCs w:val="20"/>
        </w:rPr>
        <w:footnoteReference w:id="336"/>
      </w:r>
      <w:r w:rsidRPr="00BB767A">
        <w:rPr>
          <w:rFonts w:ascii="Open Sans" w:hAnsi="Open Sans" w:cs="Arial"/>
          <w:bCs/>
          <w:sz w:val="20"/>
          <w:szCs w:val="20"/>
        </w:rPr>
        <w:t>. Si bien tal operativa en relación a la consolidación es correcta, hubiera sido deseable encontrar información adicional que pudiera despejar dudas con respecto a estos elementos cuya planificación se utiliza frecuentemente para estructurar prácticas de elusión fiscal. En este sentido, datos sobre el porcentaje de compras intragrupo con respecto al total de compras, coste financiero de la deuda intragrupo, estructura de propiedad que gobierna los activos de propiedad intelectual o sobre el posicionamiento del Grupo FCC en relación a la fijación y política de precios de transferencia, hubiera ayudado a evidenciar  claramente que no se esconde elusión fiscal dentro del Grupo. En el caso concreto de los precios de transferencia, por ejemplo, la Comisión Europea, en su propuesta para la reforma del impuesto de sociedades para la UE</w:t>
      </w:r>
      <w:r w:rsidRPr="00BB767A">
        <w:rPr>
          <w:rStyle w:val="Refdenotaalpie"/>
          <w:rFonts w:ascii="Open Sans" w:hAnsi="Open Sans" w:cs="Arial"/>
          <w:bCs/>
          <w:sz w:val="20"/>
          <w:szCs w:val="20"/>
        </w:rPr>
        <w:footnoteReference w:id="337"/>
      </w:r>
      <w:r w:rsidRPr="00BB767A">
        <w:rPr>
          <w:rFonts w:ascii="Open Sans" w:hAnsi="Open Sans" w:cs="Arial"/>
          <w:bCs/>
          <w:sz w:val="20"/>
          <w:szCs w:val="20"/>
        </w:rPr>
        <w:t>, reconoce que una “fiscalidad más equitativa depende sobre todo del sistema actual de precios de transferencia, que permanece al margen de estas propuestas y en espera de la base imponible consolidada común”</w:t>
      </w:r>
      <w:r w:rsidRPr="00BB767A">
        <w:rPr>
          <w:rStyle w:val="Refdenotaalpie"/>
          <w:rFonts w:ascii="Open Sans" w:hAnsi="Open Sans" w:cs="Arial"/>
          <w:bCs/>
          <w:sz w:val="20"/>
          <w:szCs w:val="20"/>
        </w:rPr>
        <w:footnoteReference w:id="338"/>
      </w:r>
      <w:r w:rsidRPr="00BB767A">
        <w:rPr>
          <w:rFonts w:ascii="Open Sans" w:hAnsi="Open Sans" w:cs="Arial"/>
          <w:bCs/>
          <w:sz w:val="20"/>
          <w:szCs w:val="20"/>
        </w:rPr>
        <w:t>.</w:t>
      </w:r>
    </w:p>
    <w:p w14:paraId="18408535" w14:textId="77777777" w:rsidR="00E32033" w:rsidRPr="00BB767A" w:rsidRDefault="00E32033" w:rsidP="00E32033">
      <w:pPr>
        <w:jc w:val="both"/>
        <w:rPr>
          <w:rFonts w:ascii="Open Sans" w:hAnsi="Open Sans" w:cs="Arial"/>
          <w:bCs/>
          <w:sz w:val="22"/>
          <w:szCs w:val="22"/>
        </w:rPr>
      </w:pPr>
    </w:p>
    <w:p w14:paraId="7E4307DC" w14:textId="77777777" w:rsidR="00E32033" w:rsidRPr="00BB767A" w:rsidRDefault="00E32033" w:rsidP="00E32033">
      <w:pPr>
        <w:jc w:val="both"/>
        <w:rPr>
          <w:rFonts w:ascii="Open Sans" w:hAnsi="Open Sans" w:cs="Arial"/>
          <w:sz w:val="20"/>
          <w:szCs w:val="20"/>
        </w:rPr>
      </w:pPr>
    </w:p>
    <w:p w14:paraId="6C91794E" w14:textId="709CF34A" w:rsidR="00E32033" w:rsidRDefault="00E32033">
      <w:pPr>
        <w:rPr>
          <w:rFonts w:ascii="Open Sans" w:hAnsi="Open Sans" w:cs="Arial"/>
          <w:sz w:val="20"/>
          <w:szCs w:val="20"/>
        </w:rPr>
      </w:pPr>
      <w:r>
        <w:rPr>
          <w:rFonts w:ascii="Open Sans" w:hAnsi="Open Sans" w:cs="Arial"/>
          <w:sz w:val="20"/>
          <w:szCs w:val="20"/>
        </w:rPr>
        <w:br w:type="page"/>
      </w:r>
    </w:p>
    <w:p w14:paraId="502E4D00" w14:textId="77777777" w:rsidR="00E32033" w:rsidRPr="00BB767A" w:rsidRDefault="00E32033" w:rsidP="00E32033">
      <w:pPr>
        <w:jc w:val="both"/>
        <w:rPr>
          <w:rFonts w:ascii="Open Sans" w:hAnsi="Open Sans" w:cs="Arial"/>
          <w:sz w:val="20"/>
          <w:szCs w:val="20"/>
        </w:rPr>
      </w:pPr>
    </w:p>
    <w:p w14:paraId="23E7A53E" w14:textId="77777777" w:rsidR="00E32033" w:rsidRPr="00BB767A" w:rsidRDefault="00E32033" w:rsidP="00E32033">
      <w:pPr>
        <w:jc w:val="both"/>
        <w:rPr>
          <w:rFonts w:ascii="Open Sans" w:hAnsi="Open Sans" w:cs="Arial"/>
          <w:bCs/>
          <w:sz w:val="22"/>
          <w:szCs w:val="22"/>
          <w:u w:val="single"/>
        </w:rPr>
      </w:pPr>
      <w:r w:rsidRPr="00BB767A">
        <w:rPr>
          <w:rFonts w:ascii="Open Sans" w:hAnsi="Open Sans" w:cs="Arial"/>
          <w:b/>
          <w:sz w:val="22"/>
          <w:szCs w:val="22"/>
          <w:u w:val="single"/>
        </w:rPr>
        <w:t>5. Conclusiones</w:t>
      </w:r>
    </w:p>
    <w:p w14:paraId="08BAF167" w14:textId="77777777" w:rsidR="00E32033" w:rsidRPr="00BB767A" w:rsidRDefault="00E32033" w:rsidP="00E32033">
      <w:pPr>
        <w:jc w:val="center"/>
        <w:rPr>
          <w:rFonts w:ascii="Open Sans" w:hAnsi="Open Sans"/>
          <w:sz w:val="20"/>
          <w:szCs w:val="20"/>
        </w:rPr>
      </w:pPr>
    </w:p>
    <w:p w14:paraId="06CBA08A" w14:textId="77777777" w:rsidR="00E32033" w:rsidRPr="00BB767A" w:rsidRDefault="00E32033" w:rsidP="00E32033">
      <w:pPr>
        <w:pStyle w:val="Default"/>
        <w:jc w:val="both"/>
        <w:rPr>
          <w:rFonts w:ascii="Open Sans" w:hAnsi="Open Sans" w:cs="Open Sans"/>
          <w:color w:val="auto"/>
          <w:sz w:val="20"/>
          <w:szCs w:val="20"/>
        </w:rPr>
      </w:pPr>
      <w:r w:rsidRPr="00BB767A">
        <w:rPr>
          <w:rFonts w:ascii="Open Sans" w:hAnsi="Open Sans" w:cs="Open Sans"/>
          <w:color w:val="auto"/>
          <w:sz w:val="20"/>
          <w:szCs w:val="20"/>
        </w:rPr>
        <w:t xml:space="preserve">La valoración global de la transparencia de FCC en el ámbito fiscal es de </w:t>
      </w:r>
      <w:r w:rsidRPr="00BB767A">
        <w:rPr>
          <w:rFonts w:ascii="Open Sans" w:hAnsi="Open Sans" w:cs="Open Sans"/>
          <w:b/>
          <w:color w:val="auto"/>
          <w:sz w:val="20"/>
          <w:szCs w:val="20"/>
        </w:rPr>
        <w:t>0,47</w:t>
      </w:r>
      <w:r w:rsidRPr="00BB767A">
        <w:rPr>
          <w:rFonts w:ascii="Open Sans" w:hAnsi="Open Sans" w:cs="Open Sans"/>
          <w:color w:val="auto"/>
          <w:sz w:val="20"/>
          <w:szCs w:val="20"/>
        </w:rPr>
        <w:t xml:space="preserve"> sobre un máximo de 3, lo que equivale a una </w:t>
      </w:r>
      <w:r w:rsidRPr="00BB767A">
        <w:rPr>
          <w:rFonts w:ascii="Open Sans" w:hAnsi="Open Sans" w:cs="Open Sans"/>
          <w:i/>
          <w:color w:val="auto"/>
          <w:sz w:val="20"/>
          <w:szCs w:val="20"/>
        </w:rPr>
        <w:t>información escasa</w:t>
      </w:r>
      <w:r w:rsidRPr="00BB767A">
        <w:rPr>
          <w:rFonts w:ascii="Open Sans" w:hAnsi="Open Sans" w:cs="Open Sans"/>
          <w:color w:val="auto"/>
          <w:sz w:val="20"/>
          <w:szCs w:val="20"/>
        </w:rPr>
        <w:t xml:space="preserve"> de acuerdo con la metodología utilizada. De las dimensiones analizadas, la máxima puntuación se obtiene en los aspectos relacionados con la “política y estrategia fiscal” (0,80), seguidos por “impuestos e incentivos” (0,67), “relaciones con Administraciones Tributarias” (0,40), y “paraísos y nichos fiscales” (0). </w:t>
      </w:r>
    </w:p>
    <w:p w14:paraId="4CDA7060" w14:textId="77777777" w:rsidR="00E32033" w:rsidRPr="00BB767A" w:rsidRDefault="00E32033" w:rsidP="00E32033">
      <w:pPr>
        <w:jc w:val="both"/>
        <w:rPr>
          <w:rFonts w:ascii="Open Sans" w:hAnsi="Open Sans" w:cs="Arial"/>
          <w:bCs/>
          <w:sz w:val="20"/>
          <w:szCs w:val="20"/>
        </w:rPr>
      </w:pPr>
    </w:p>
    <w:p w14:paraId="2B355982" w14:textId="77777777" w:rsidR="00E32033" w:rsidRPr="00BB767A" w:rsidRDefault="00E32033" w:rsidP="00E32033">
      <w:pPr>
        <w:jc w:val="both"/>
        <w:rPr>
          <w:rFonts w:ascii="Open Sans" w:hAnsi="Open Sans" w:cs="Arial"/>
          <w:b/>
          <w:sz w:val="20"/>
          <w:szCs w:val="20"/>
        </w:rPr>
      </w:pPr>
      <w:r w:rsidRPr="00BB767A">
        <w:rPr>
          <w:rFonts w:ascii="Open Sans" w:hAnsi="Open Sans" w:cs="Arial"/>
          <w:bCs/>
          <w:sz w:val="20"/>
          <w:szCs w:val="20"/>
        </w:rPr>
        <w:t>En lo que respecta al proceso de participación de los grupos de interés en la elaboración de la información extra financiera del Grupo FCC, se menciona que la materialidad se centra en aspectos de naturaleza social, medioambiental y/o económica que son relevantes para el Grupo y que son, a su vez, importantes en los procesos decisorios de los diferentes grupos de interés. En el presente informe de Responsabilidad Corporativa de 2015, se ha aportado visión externa mediante entrevistas y la participación de 4 inversores institucionales. Los diferentes aspectos de materialidad han sido clasificados en los 3 ejes en que se desglosa el Plan Director de Sostenibilidad, que ha expirado en 2015. A su vez, tales aspectos materiales se clasifican atendiendo a la madurez del aspecto en cuestión y la relevancia del mismo, cosa que permite su clasificación y priorización. No ha sido posible encontrar una referencia directa a aspectos de fiscalidad en ninguno de los 3 ejes, si bien pareciera razonable su inclusión en el eje “comportamiento ejemplar” bajo algunos de los atributos clasificados.</w:t>
      </w:r>
    </w:p>
    <w:p w14:paraId="38B79516" w14:textId="77777777" w:rsidR="00E32033" w:rsidRPr="00BB767A" w:rsidRDefault="00E32033" w:rsidP="00E32033">
      <w:pPr>
        <w:jc w:val="both"/>
        <w:rPr>
          <w:rFonts w:ascii="Open Sans" w:hAnsi="Open Sans" w:cs="Arial"/>
          <w:b/>
          <w:sz w:val="20"/>
          <w:szCs w:val="20"/>
        </w:rPr>
      </w:pPr>
    </w:p>
    <w:p w14:paraId="75DF440E"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Tanto para el presente análisis sobre la calidad de la información fiscal, como para cualquier otro análisis de cualquiera de las dimensiones que descansan bajo el paraguas de la RSC, se hace necesario disponer del mayor desglose posible de la información, preferiblemente por países, para calibrar el alcance de los compromisos, objetivos y desempeños. El desglose que se facilita en la documentación analizada no es suficiente para conocer cuál es la estrategia fiscal y presencia de determinadas empresas del Grupo FCC en territorios considerados paraísos o nichos fiscales. Al no existir un tratamiento informativo específico para aquellas actividades desempeñadas mediante sociedades erradicadas en estos territorios, y pese a reconocerse explícitamente que la participación en sociedades sitas en estos territorios, determinadas operaciones o transacciones pueden menoscabar la transparencia del Grupo, no ha sido posible encontrar información específica para estos territorios que, junto con una exposición clara  sobre la actividad de las compañías y datos sobre el volumen de negocio, activos, plantilla, etc. hubiera servido para disipar dudas con respecto a la finalidad de las mismas y su relación con entramados societarios facilitadores de prácticas de elusión fiscal.</w:t>
      </w:r>
    </w:p>
    <w:p w14:paraId="1142CFD7" w14:textId="77777777" w:rsidR="00E32033" w:rsidRPr="00BB767A" w:rsidRDefault="00E32033" w:rsidP="00E32033">
      <w:pPr>
        <w:jc w:val="both"/>
        <w:rPr>
          <w:rFonts w:ascii="Open Sans" w:hAnsi="Open Sans" w:cs="Arial"/>
          <w:bCs/>
          <w:sz w:val="20"/>
          <w:szCs w:val="20"/>
        </w:rPr>
      </w:pPr>
    </w:p>
    <w:p w14:paraId="4B2C1D3B"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Estando la información sobre fiscalidad principalmente dentro de las cuentas anuales, se echa en falta un documento específico o un desarrollo sobre el particular dentro del informe de Responsabilidad Social Corporativa. En el citado informe de Responsabilidad puede encontrarse, dentro del eje de comportamiento ejemplar, marco de integridad ética</w:t>
      </w:r>
      <w:r w:rsidRPr="00BB767A">
        <w:rPr>
          <w:rStyle w:val="Refdenotaalpie"/>
          <w:rFonts w:ascii="Open Sans" w:hAnsi="Open Sans" w:cs="Arial"/>
          <w:bCs/>
          <w:sz w:val="20"/>
          <w:szCs w:val="20"/>
        </w:rPr>
        <w:footnoteReference w:id="339"/>
      </w:r>
      <w:r w:rsidRPr="00BB767A">
        <w:rPr>
          <w:rFonts w:ascii="Open Sans" w:hAnsi="Open Sans" w:cs="Arial"/>
          <w:bCs/>
          <w:sz w:val="20"/>
          <w:szCs w:val="20"/>
        </w:rPr>
        <w:t>, una mención anecdótica y sin desarrollo del Código de Conducta Fiscal del Grupo, aprobado en 2014, que establece las políticas, principios y valores que deberán guiar el comportamiento  en materia tributaria dentro del Grupo. De nuevo, falta concreción sobre las medidas con las que se implementa la política y la definición de los principios, aspectos que hubieran servido para hacer comprensible y accesible  la información para grupos de interés no versados en aspectos fiscales/financieros. La única referencia al concepto de responsabilidad</w:t>
      </w:r>
      <w:r w:rsidRPr="00BB767A">
        <w:rPr>
          <w:rFonts w:ascii="Open Sans" w:hAnsi="Open Sans" w:cs="Arial"/>
          <w:bCs/>
          <w:i/>
          <w:sz w:val="20"/>
          <w:szCs w:val="20"/>
        </w:rPr>
        <w:t xml:space="preserve"> </w:t>
      </w:r>
      <w:r w:rsidRPr="00BB767A">
        <w:rPr>
          <w:rFonts w:ascii="Open Sans" w:hAnsi="Open Sans" w:cs="Arial"/>
          <w:bCs/>
          <w:sz w:val="20"/>
          <w:szCs w:val="20"/>
        </w:rPr>
        <w:t>fiscal aparece en el Informe de Gobierno Corporativo</w:t>
      </w:r>
      <w:r w:rsidRPr="00BB767A">
        <w:rPr>
          <w:rStyle w:val="Refdenotaalpie"/>
          <w:rFonts w:ascii="Open Sans" w:hAnsi="Open Sans" w:cs="Arial"/>
          <w:bCs/>
          <w:sz w:val="20"/>
          <w:szCs w:val="20"/>
        </w:rPr>
        <w:footnoteReference w:id="340"/>
      </w:r>
      <w:r w:rsidRPr="00BB767A">
        <w:rPr>
          <w:rFonts w:ascii="Open Sans" w:hAnsi="Open Sans" w:cs="Arial"/>
          <w:bCs/>
          <w:sz w:val="20"/>
          <w:szCs w:val="20"/>
        </w:rPr>
        <w:t>, cuando dícese cumplir con la inclusión de prácticas concretas relativas a la responsabilidad fiscal en la Política de Responsabilidad Social. Sin embrago, a tenor de lo expuesto a lo largo del presente análisis, no se ha encontrado concreción sobre cómo se implementa este compromiso.</w:t>
      </w:r>
    </w:p>
    <w:p w14:paraId="766A4E20" w14:textId="77777777" w:rsidR="00E32033" w:rsidRPr="00BB767A" w:rsidRDefault="00E32033" w:rsidP="00E32033">
      <w:pPr>
        <w:jc w:val="both"/>
        <w:rPr>
          <w:rFonts w:ascii="Open Sans" w:hAnsi="Open Sans" w:cs="Arial"/>
          <w:b/>
          <w:sz w:val="20"/>
          <w:szCs w:val="20"/>
        </w:rPr>
      </w:pPr>
    </w:p>
    <w:p w14:paraId="67441ED4"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No puede valorarse como relevante la información sobre la fiscalidad del Grupo FCC contenida en el Informe Anual 2015 ni en el resto de los documentos revisados para el presente análisis. La información no aparece desglosada convenientemente por países para que los grupos de interés puedan conocer el comportamiento y la implementación de principios de fiscalidad responsable por parte del grupo, fundamentalmente cuando existen numerosas sociedades erradicadas en países con nula o baja tributación, aspecto a los que no queda convenientemente desarrollado ni se aportan informaciones adicionales que permitieran demostrar, ni en un sentido ni en otro, que algunas de las sociedades registradas en dichos territorios no tengan funciones susceptibles de acomodar estrategias de elusión fiscal. Se echa en falta un documento o un apartado sobre temática fiscal en el propio informe de Responsabilidad Social Corporativa, puesto que se dice que la política fiscal del Grupo debe encontrarse alineada con los principios, misión, visión, valores y Responsabilidad Social Corporativa. Se entiende que el desarrollo de la fiscalidad en un informe aparte o en el propio de RSC, mejoraría la accesibilidad a esta información, que debiera exponerse con un lenguaje entendible y facilitador para comparaciones interanuales, con el fin de que aquellos stakeholders no versados en la lectura de la información financiera en las cuentas anuales pudieran calibrar el equilibrio entre compromiso y rendición de cuentas.</w:t>
      </w:r>
    </w:p>
    <w:p w14:paraId="3B5F98F0" w14:textId="77777777" w:rsidR="00E32033" w:rsidRPr="00BB767A" w:rsidRDefault="00E32033" w:rsidP="00E32033">
      <w:pPr>
        <w:jc w:val="both"/>
        <w:rPr>
          <w:rFonts w:ascii="Open Sans" w:hAnsi="Open Sans" w:cs="Arial"/>
          <w:b/>
          <w:sz w:val="20"/>
          <w:szCs w:val="20"/>
        </w:rPr>
      </w:pPr>
    </w:p>
    <w:p w14:paraId="5D7AF492"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Puede leerse en el informe de RSC que el Grupo FCC es firmante de estándares internacionales, como son el Pacto Mundial de las Naciones Unidas y  las Líneas Directrices de la OCDE para Empresas Multinacionales. En este último estándar se mencionan, en relación al comportamiento responsable en el ámbito de la fiscalidad, los precios de transferencia como factor determinante de las obligaciones fiscales de los grupos multinacionales. Este aspecto no desarrollado, así como tampoco lo relacionado con los derechos sobre patentes, propiedad intelectual o financiación intragrupo, no parece estar en sintonía con el espíritu de las líneas directrices. No se ha encontrado mención alguna al proyecto de la misma OCDE sobre la lucha contra la erosión de la base imponible y el traslado de beneficios, conocido como BEPS</w:t>
      </w:r>
      <w:r w:rsidRPr="00BB767A">
        <w:rPr>
          <w:rStyle w:val="Refdenotaalpie"/>
          <w:rFonts w:ascii="Open Sans" w:hAnsi="Open Sans" w:cs="Arial"/>
          <w:bCs/>
          <w:sz w:val="20"/>
          <w:szCs w:val="20"/>
        </w:rPr>
        <w:footnoteReference w:id="341"/>
      </w:r>
      <w:r w:rsidRPr="00BB767A">
        <w:rPr>
          <w:rFonts w:ascii="Open Sans" w:hAnsi="Open Sans" w:cs="Arial"/>
          <w:bCs/>
          <w:sz w:val="20"/>
          <w:szCs w:val="20"/>
        </w:rPr>
        <w:t>, ni sobre el reporte country by country</w:t>
      </w:r>
      <w:r w:rsidRPr="00BB767A">
        <w:rPr>
          <w:rStyle w:val="Refdenotaalpie"/>
          <w:rFonts w:ascii="Open Sans" w:hAnsi="Open Sans" w:cs="Arial"/>
          <w:bCs/>
          <w:sz w:val="20"/>
          <w:szCs w:val="20"/>
        </w:rPr>
        <w:footnoteReference w:id="342"/>
      </w:r>
      <w:r w:rsidRPr="00BB767A">
        <w:rPr>
          <w:rFonts w:ascii="Open Sans" w:hAnsi="Open Sans" w:cs="Arial"/>
          <w:bCs/>
          <w:sz w:val="20"/>
          <w:szCs w:val="20"/>
        </w:rPr>
        <w:t>, que queda encasillado como acción n”13 del proyecto BEPS.</w:t>
      </w:r>
    </w:p>
    <w:p w14:paraId="51056685" w14:textId="77777777" w:rsidR="00E32033" w:rsidRPr="00BB767A" w:rsidRDefault="00E32033" w:rsidP="00E32033">
      <w:pPr>
        <w:jc w:val="both"/>
        <w:rPr>
          <w:rFonts w:ascii="Open Sans" w:hAnsi="Open Sans" w:cs="Arial"/>
          <w:bCs/>
          <w:sz w:val="20"/>
          <w:szCs w:val="20"/>
        </w:rPr>
      </w:pPr>
    </w:p>
    <w:p w14:paraId="573AE238"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La mención que se hace a la relación entre RSC y fiscalidad responsable puede considerarse como algo anecdótica, cuando se explica en el informe de Gobierno Corporativo, pregunta 54, “Que la política de responsabilidad social corporativa incluya los principios o compromisos que la empresa asuma voluntariamente en su relación con los distintos grupos de interés”, entre los que se recogen, entre otros, prácticas de  responsabilidad fiscal, sin que se dé mayor detalle. Asimismo, en el mismo informe Gobierno Corporativo se recoge explícitamente que la tributación del Grupo FCC constituye un elemento clave a considerar en la consecución de los objetivos marcados en el seno del Grupo FCC, y la política fiscal del Grupo FCC debe encontrarse siempre alineada con los principios corporativos del Grupo, su misión y visión, y su política de responsabilidad social corporativa. No se ha encontrado mayor profundidad con respecto al alcance, medidas y principios de esta responsabilidad fiscal. No ha sido posible localizar la “Norma Marco de Control Fiscal del Grupo FCC”, mencionada en el Código de Conducta Fiscal del Grupo, y que recoge “los procedimientos relativos a la gestión del área tributarias”. Tal documento hubiera servido de gran orientación tanto para los diferentes grupos de interés como para  los analistas del OBRSC.</w:t>
      </w:r>
    </w:p>
    <w:p w14:paraId="09055963" w14:textId="77777777" w:rsidR="00E32033" w:rsidRPr="00BB767A" w:rsidRDefault="00E32033" w:rsidP="00E32033">
      <w:pPr>
        <w:jc w:val="both"/>
        <w:rPr>
          <w:rFonts w:ascii="Open Sans" w:hAnsi="Open Sans" w:cs="Arial"/>
          <w:bCs/>
          <w:sz w:val="20"/>
          <w:szCs w:val="20"/>
        </w:rPr>
      </w:pPr>
    </w:p>
    <w:p w14:paraId="2D42D2AE"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Sí se recoge en el Código de Conducta Fiscal del Grupo FCC, que FCC participará activamente en foros fiscales de ámbito internacional con el fin de proponer medidas tributarias concretas que coadyuven a la consecución de un sistema tributario más justo y armonizado, tanto para los intereses del grupo como para el conjunto de la sociedad.</w:t>
      </w:r>
    </w:p>
    <w:p w14:paraId="77991B06" w14:textId="77777777" w:rsidR="00E32033" w:rsidRPr="00BB767A" w:rsidRDefault="00E32033" w:rsidP="00E32033">
      <w:pPr>
        <w:jc w:val="both"/>
        <w:rPr>
          <w:rFonts w:ascii="Open Sans" w:hAnsi="Open Sans" w:cs="Arial"/>
          <w:bCs/>
          <w:sz w:val="20"/>
          <w:szCs w:val="20"/>
        </w:rPr>
      </w:pPr>
    </w:p>
    <w:p w14:paraId="47AEAFC3" w14:textId="77777777" w:rsidR="00E32033" w:rsidRPr="00BB767A" w:rsidRDefault="00E32033" w:rsidP="00E32033">
      <w:pPr>
        <w:jc w:val="both"/>
        <w:rPr>
          <w:rFonts w:ascii="Open Sans" w:hAnsi="Open Sans" w:cs="Arial"/>
          <w:bCs/>
          <w:sz w:val="20"/>
          <w:szCs w:val="20"/>
        </w:rPr>
      </w:pPr>
      <w:r w:rsidRPr="00BB767A">
        <w:rPr>
          <w:rFonts w:ascii="Open Sans" w:hAnsi="Open Sans" w:cs="Arial"/>
          <w:bCs/>
          <w:sz w:val="20"/>
          <w:szCs w:val="20"/>
        </w:rPr>
        <w:t>Pese a estas menciones y compromisos explícitos, la falta de información que oriente a los grupos de interés no permite conocer el alcance de posibles medidas y sistema de gestión de esta importante dimensión de la responsabilidad social.</w:t>
      </w:r>
    </w:p>
    <w:p w14:paraId="1399ABFA" w14:textId="77777777" w:rsidR="00E32033" w:rsidRPr="00BB767A" w:rsidRDefault="00E32033" w:rsidP="00E32033">
      <w:pPr>
        <w:jc w:val="both"/>
        <w:rPr>
          <w:rFonts w:ascii="Open Sans" w:hAnsi="Open Sans" w:cs="Arial"/>
          <w:bCs/>
          <w:sz w:val="20"/>
          <w:szCs w:val="20"/>
        </w:rPr>
      </w:pPr>
    </w:p>
    <w:p w14:paraId="5202903F" w14:textId="09674B06" w:rsidR="001211AF" w:rsidRDefault="00E32033" w:rsidP="00E32033">
      <w:pPr>
        <w:jc w:val="both"/>
        <w:rPr>
          <w:rFonts w:ascii="Open Sans" w:hAnsi="Open Sans" w:cs="Arial"/>
          <w:bCs/>
          <w:sz w:val="20"/>
          <w:szCs w:val="20"/>
        </w:rPr>
      </w:pPr>
      <w:r w:rsidRPr="00BB767A">
        <w:rPr>
          <w:rFonts w:ascii="Open Sans" w:hAnsi="Open Sans" w:cs="Arial"/>
          <w:bCs/>
          <w:sz w:val="20"/>
          <w:szCs w:val="20"/>
        </w:rPr>
        <w:t>La dimensión de fiscalidad en la documentación analizada del Grupo FCC dista mucho de ofrecer una imagen clara del compromiso en favor de una responsabilidad fiscal, cuestión básica cuando se han identificado sociedades operativas en paraísos o nichos fiscales. La falta de un reporte country by country impide conocer la contribución del grupo en cada jurisdicción, lo que no hace sino agrandar la distancia entre el compromiso nominal y la implementación efectiva de una responsabilidad fiscal que dice reconocer.</w:t>
      </w:r>
    </w:p>
    <w:p w14:paraId="4764A943" w14:textId="0EC810AA" w:rsidR="001211AF" w:rsidRDefault="001211AF">
      <w:pPr>
        <w:rPr>
          <w:rFonts w:ascii="Open Sans" w:hAnsi="Open Sans" w:cs="Arial"/>
          <w:bCs/>
          <w:sz w:val="20"/>
          <w:szCs w:val="20"/>
        </w:rPr>
      </w:pPr>
      <w:r>
        <w:rPr>
          <w:rFonts w:ascii="Open Sans" w:hAnsi="Open Sans" w:cs="Arial"/>
          <w:bCs/>
          <w:sz w:val="20"/>
          <w:szCs w:val="20"/>
        </w:rPr>
        <w:br w:type="page"/>
      </w:r>
    </w:p>
    <w:p w14:paraId="546E073E" w14:textId="77777777" w:rsidR="004E35B6" w:rsidRDefault="004E35B6" w:rsidP="00B60D9F">
      <w:pPr>
        <w:jc w:val="both"/>
        <w:rPr>
          <w:rFonts w:ascii="Open Sans" w:hAnsi="Open Sans" w:cs="Arial"/>
          <w:sz w:val="20"/>
          <w:szCs w:val="20"/>
        </w:rPr>
      </w:pPr>
    </w:p>
    <w:p w14:paraId="4BEAB95A" w14:textId="77777777" w:rsidR="00CD4BBD" w:rsidRPr="001B1BCA" w:rsidRDefault="00CD4BBD" w:rsidP="00CD4BBD">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b/>
          <w:bCs/>
          <w:i/>
          <w:color w:val="FFFFFF"/>
        </w:rPr>
      </w:pPr>
      <w:bookmarkStart w:id="77" w:name="OHL"/>
      <w:r w:rsidRPr="001B1BCA">
        <w:rPr>
          <w:rFonts w:ascii="Open Sans" w:hAnsi="Open Sans" w:cs="Open Sans"/>
          <w:b/>
          <w:bCs/>
          <w:caps/>
          <w:color w:val="FFFFFF"/>
        </w:rPr>
        <w:t>OBRASCÓN HUARTE LAIN S.A</w:t>
      </w:r>
    </w:p>
    <w:bookmarkEnd w:id="77"/>
    <w:p w14:paraId="06D583D2" w14:textId="77777777" w:rsidR="00CD4BBD" w:rsidRPr="001B1BCA" w:rsidRDefault="00CD4BBD" w:rsidP="00CD4BBD">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b/>
          <w:bCs/>
          <w:color w:val="002060"/>
        </w:rPr>
      </w:pPr>
      <w:r w:rsidRPr="001B1BCA">
        <w:rPr>
          <w:rFonts w:ascii="Open Sans" w:hAnsi="Open Sans" w:cs="Open Sans"/>
          <w:b/>
          <w:bCs/>
          <w:i/>
          <w:color w:val="FFFFFF"/>
        </w:rPr>
        <w:t>(OHL)</w:t>
      </w:r>
    </w:p>
    <w:p w14:paraId="482EC5C3" w14:textId="77777777" w:rsidR="00CD4BBD" w:rsidRPr="001B1BCA" w:rsidRDefault="00CD4BBD" w:rsidP="00CD4BBD">
      <w:pPr>
        <w:spacing w:before="120" w:after="120" w:line="360" w:lineRule="auto"/>
        <w:jc w:val="both"/>
        <w:rPr>
          <w:rFonts w:ascii="Open Sans" w:hAnsi="Open Sans" w:cs="Open Sans"/>
          <w:b/>
          <w:bCs/>
          <w:color w:val="002060"/>
          <w:sz w:val="20"/>
          <w:szCs w:val="20"/>
        </w:rPr>
      </w:pPr>
    </w:p>
    <w:p w14:paraId="5946B745" w14:textId="77777777" w:rsidR="00D639E4" w:rsidRPr="006B7230" w:rsidRDefault="00D639E4" w:rsidP="00D639E4">
      <w:pPr>
        <w:pStyle w:val="Titulo1-informe"/>
        <w:rPr>
          <w:rFonts w:cs="Open Sans"/>
        </w:rPr>
      </w:pPr>
      <w:r w:rsidRPr="006B7230">
        <w:rPr>
          <w:rFonts w:cs="Open Sans"/>
        </w:rPr>
        <w:t>1. Datos generales</w:t>
      </w:r>
    </w:p>
    <w:p w14:paraId="08F1C203" w14:textId="77777777" w:rsidR="00D639E4" w:rsidRPr="006B7230" w:rsidRDefault="00D639E4" w:rsidP="00D639E4">
      <w:pPr>
        <w:jc w:val="both"/>
        <w:rPr>
          <w:rFonts w:ascii="Open Sans" w:hAnsi="Open Sans"/>
          <w:sz w:val="20"/>
          <w:szCs w:val="20"/>
          <w:u w:val="single"/>
        </w:rPr>
      </w:pPr>
    </w:p>
    <w:p w14:paraId="3DACAECD" w14:textId="77777777" w:rsidR="00D639E4" w:rsidRPr="006B7230" w:rsidRDefault="00D639E4" w:rsidP="00D639E4">
      <w:pPr>
        <w:jc w:val="both"/>
        <w:rPr>
          <w:rFonts w:ascii="Open Sans" w:hAnsi="Open Sans"/>
          <w:sz w:val="20"/>
          <w:szCs w:val="20"/>
        </w:rPr>
      </w:pPr>
      <w:r w:rsidRPr="006B7230">
        <w:rPr>
          <w:rFonts w:ascii="Open Sans" w:hAnsi="Open Sans"/>
          <w:sz w:val="20"/>
          <w:szCs w:val="20"/>
          <w:u w:val="single"/>
        </w:rPr>
        <w:t>Productos/servicios</w:t>
      </w:r>
    </w:p>
    <w:p w14:paraId="24BAD3C7" w14:textId="77777777" w:rsidR="00D639E4" w:rsidRPr="006B7230" w:rsidRDefault="00D639E4" w:rsidP="00D639E4">
      <w:pPr>
        <w:jc w:val="both"/>
        <w:rPr>
          <w:rFonts w:ascii="Open Sans" w:hAnsi="Open Sans"/>
          <w:sz w:val="20"/>
          <w:szCs w:val="20"/>
        </w:rPr>
      </w:pPr>
    </w:p>
    <w:p w14:paraId="2E5B42F3" w14:textId="77777777" w:rsidR="00D639E4" w:rsidRPr="006B7230" w:rsidRDefault="00D639E4" w:rsidP="00D639E4">
      <w:pPr>
        <w:jc w:val="both"/>
        <w:rPr>
          <w:rFonts w:ascii="Open Sans" w:hAnsi="Open Sans"/>
          <w:color w:val="000000"/>
          <w:sz w:val="20"/>
          <w:szCs w:val="20"/>
        </w:rPr>
      </w:pPr>
      <w:r w:rsidRPr="006B7230">
        <w:rPr>
          <w:rFonts w:ascii="Open Sans" w:hAnsi="Open Sans"/>
          <w:color w:val="000000"/>
          <w:sz w:val="20"/>
          <w:szCs w:val="20"/>
        </w:rPr>
        <w:t xml:space="preserve">El Grupo OHL desarrolla su actividad a través de cinco divisiones operativas: </w:t>
      </w:r>
    </w:p>
    <w:p w14:paraId="7E242CF4" w14:textId="77777777" w:rsidR="00D639E4" w:rsidRPr="006B7230" w:rsidRDefault="00D639E4" w:rsidP="00D639E4">
      <w:pPr>
        <w:jc w:val="both"/>
        <w:rPr>
          <w:rFonts w:ascii="Open Sans" w:hAnsi="Open Sans"/>
          <w:color w:val="000000"/>
          <w:sz w:val="20"/>
          <w:szCs w:val="20"/>
        </w:rPr>
      </w:pPr>
    </w:p>
    <w:p w14:paraId="4CDD942F" w14:textId="77777777" w:rsidR="00D639E4" w:rsidRPr="006B7230" w:rsidRDefault="00D639E4" w:rsidP="00D639E4">
      <w:pPr>
        <w:numPr>
          <w:ilvl w:val="0"/>
          <w:numId w:val="23"/>
        </w:numPr>
        <w:tabs>
          <w:tab w:val="left" w:pos="284"/>
        </w:tabs>
        <w:suppressAutoHyphens/>
        <w:jc w:val="both"/>
        <w:rPr>
          <w:rFonts w:ascii="Open Sans" w:hAnsi="Open Sans"/>
          <w:color w:val="000000"/>
          <w:sz w:val="20"/>
          <w:szCs w:val="20"/>
        </w:rPr>
      </w:pPr>
      <w:r w:rsidRPr="006B7230">
        <w:rPr>
          <w:rFonts w:ascii="Open Sans" w:hAnsi="Open Sans"/>
          <w:color w:val="000000"/>
          <w:sz w:val="20"/>
          <w:szCs w:val="20"/>
        </w:rPr>
        <w:t>OHL Concesiones: Explotación de concesiones administrativas de infraestructuras, principalmente de transporte, aparcamientos, puertos y aeropuertos</w:t>
      </w:r>
    </w:p>
    <w:p w14:paraId="6B8ABF8A" w14:textId="77777777" w:rsidR="00D639E4" w:rsidRPr="006B7230" w:rsidRDefault="00D639E4" w:rsidP="00D639E4">
      <w:pPr>
        <w:numPr>
          <w:ilvl w:val="0"/>
          <w:numId w:val="23"/>
        </w:numPr>
        <w:tabs>
          <w:tab w:val="left" w:pos="284"/>
        </w:tabs>
        <w:suppressAutoHyphens/>
        <w:jc w:val="both"/>
        <w:rPr>
          <w:rFonts w:ascii="Open Sans" w:hAnsi="Open Sans"/>
          <w:color w:val="000000"/>
          <w:sz w:val="20"/>
          <w:szCs w:val="20"/>
        </w:rPr>
      </w:pPr>
      <w:r w:rsidRPr="006B7230">
        <w:rPr>
          <w:rFonts w:ascii="Open Sans" w:hAnsi="Open Sans"/>
          <w:color w:val="000000"/>
          <w:sz w:val="20"/>
          <w:szCs w:val="20"/>
        </w:rPr>
        <w:t>OHL Construcción: obra civil y edificación selectiva tanto para clientes públicos como para clientes privados.</w:t>
      </w:r>
    </w:p>
    <w:p w14:paraId="44E303A0" w14:textId="77777777" w:rsidR="00D639E4" w:rsidRPr="006B7230" w:rsidRDefault="00D639E4" w:rsidP="00D639E4">
      <w:pPr>
        <w:numPr>
          <w:ilvl w:val="0"/>
          <w:numId w:val="23"/>
        </w:numPr>
        <w:tabs>
          <w:tab w:val="left" w:pos="284"/>
        </w:tabs>
        <w:suppressAutoHyphens/>
        <w:jc w:val="both"/>
        <w:rPr>
          <w:rFonts w:ascii="Open Sans" w:hAnsi="Open Sans"/>
          <w:color w:val="000000"/>
          <w:sz w:val="20"/>
          <w:szCs w:val="20"/>
        </w:rPr>
      </w:pPr>
      <w:r w:rsidRPr="006B7230">
        <w:rPr>
          <w:rFonts w:ascii="Open Sans" w:hAnsi="Open Sans"/>
          <w:color w:val="000000"/>
          <w:sz w:val="20"/>
          <w:szCs w:val="20"/>
        </w:rPr>
        <w:t>OHL Servicios: Prestación de servicios a inmuebles y mantenimiento de infraestructuras de todo tipo de inmuebles, viviendas y oficinas y servicios asistenciales.</w:t>
      </w:r>
    </w:p>
    <w:p w14:paraId="540ED994" w14:textId="77777777" w:rsidR="00D639E4" w:rsidRPr="006B7230" w:rsidRDefault="00D639E4" w:rsidP="00D639E4">
      <w:pPr>
        <w:numPr>
          <w:ilvl w:val="0"/>
          <w:numId w:val="23"/>
        </w:numPr>
        <w:tabs>
          <w:tab w:val="left" w:pos="284"/>
        </w:tabs>
        <w:suppressAutoHyphens/>
        <w:jc w:val="both"/>
        <w:rPr>
          <w:rFonts w:ascii="Open Sans" w:hAnsi="Open Sans"/>
          <w:color w:val="000000"/>
          <w:sz w:val="20"/>
          <w:szCs w:val="20"/>
        </w:rPr>
      </w:pPr>
      <w:r w:rsidRPr="006B7230">
        <w:rPr>
          <w:rFonts w:ascii="Open Sans" w:hAnsi="Open Sans"/>
          <w:color w:val="000000"/>
          <w:sz w:val="20"/>
          <w:szCs w:val="20"/>
        </w:rPr>
        <w:t>OHL Industrial: ingeniería industrial, especialmente plantas y sistemas completos industriales, incluyendo diseño, construcción, mantenimiento y operación y cualquier otra actividad referida a oil&amp;gas, energía, ingeniería de sólidos y sistemas contra incendios</w:t>
      </w:r>
      <w:proofErr w:type="gramStart"/>
      <w:r w:rsidRPr="006B7230">
        <w:rPr>
          <w:rFonts w:ascii="Open Sans" w:hAnsi="Open Sans"/>
          <w:color w:val="000000"/>
          <w:sz w:val="20"/>
          <w:szCs w:val="20"/>
        </w:rPr>
        <w:t>..</w:t>
      </w:r>
      <w:proofErr w:type="gramEnd"/>
    </w:p>
    <w:p w14:paraId="58BDF568" w14:textId="77777777" w:rsidR="00D639E4" w:rsidRPr="006B7230" w:rsidRDefault="00D639E4" w:rsidP="00D639E4">
      <w:pPr>
        <w:numPr>
          <w:ilvl w:val="0"/>
          <w:numId w:val="23"/>
        </w:numPr>
        <w:tabs>
          <w:tab w:val="left" w:pos="284"/>
        </w:tabs>
        <w:suppressAutoHyphens/>
        <w:jc w:val="both"/>
        <w:rPr>
          <w:rFonts w:ascii="Open Sans" w:hAnsi="Open Sans"/>
          <w:color w:val="000000"/>
          <w:sz w:val="20"/>
          <w:szCs w:val="20"/>
        </w:rPr>
      </w:pPr>
      <w:r w:rsidRPr="006B7230">
        <w:rPr>
          <w:rFonts w:ascii="Open Sans" w:hAnsi="Open Sans"/>
          <w:color w:val="000000"/>
          <w:sz w:val="20"/>
          <w:szCs w:val="20"/>
        </w:rPr>
        <w:t>OHL Desarrollos: Explotación de complejos hoteleros y grandes superficies comerciales</w:t>
      </w:r>
      <w:r w:rsidRPr="006B7230">
        <w:rPr>
          <w:rFonts w:ascii="Open Sans" w:hAnsi="Open Sans"/>
          <w:sz w:val="20"/>
          <w:szCs w:val="20"/>
        </w:rPr>
        <w:t xml:space="preserve">. </w:t>
      </w:r>
    </w:p>
    <w:p w14:paraId="0A7C6D2D" w14:textId="77777777" w:rsidR="00D639E4" w:rsidRPr="006B7230" w:rsidRDefault="00D639E4" w:rsidP="00D639E4">
      <w:pPr>
        <w:jc w:val="both"/>
        <w:rPr>
          <w:rFonts w:ascii="Open Sans" w:hAnsi="Open Sans"/>
          <w:sz w:val="20"/>
          <w:szCs w:val="20"/>
        </w:rPr>
      </w:pPr>
    </w:p>
    <w:p w14:paraId="62751B61" w14:textId="77777777" w:rsidR="00D639E4" w:rsidRPr="006B7230" w:rsidRDefault="00D639E4" w:rsidP="00D639E4">
      <w:pPr>
        <w:jc w:val="both"/>
        <w:rPr>
          <w:rFonts w:ascii="Open Sans" w:hAnsi="Open Sans"/>
          <w:sz w:val="20"/>
          <w:szCs w:val="20"/>
        </w:rPr>
      </w:pPr>
    </w:p>
    <w:p w14:paraId="41A855BE" w14:textId="77777777" w:rsidR="00D639E4" w:rsidRPr="006B7230" w:rsidRDefault="00D639E4" w:rsidP="00D639E4">
      <w:pPr>
        <w:jc w:val="both"/>
        <w:rPr>
          <w:rFonts w:ascii="Open Sans" w:hAnsi="Open Sans"/>
          <w:sz w:val="20"/>
          <w:szCs w:val="20"/>
        </w:rPr>
      </w:pPr>
      <w:r w:rsidRPr="006B7230">
        <w:rPr>
          <w:rFonts w:ascii="Open Sans" w:hAnsi="Open Sans"/>
          <w:sz w:val="20"/>
          <w:szCs w:val="20"/>
          <w:u w:val="single"/>
        </w:rPr>
        <w:t>Alcance geográfico</w:t>
      </w:r>
    </w:p>
    <w:p w14:paraId="71EE3D60" w14:textId="77777777" w:rsidR="00D639E4" w:rsidRPr="006B7230" w:rsidRDefault="00D639E4" w:rsidP="00D639E4">
      <w:pPr>
        <w:jc w:val="both"/>
        <w:rPr>
          <w:rFonts w:ascii="Open Sans" w:hAnsi="Open Sans"/>
          <w:sz w:val="20"/>
          <w:szCs w:val="20"/>
        </w:rPr>
      </w:pPr>
    </w:p>
    <w:p w14:paraId="5BB58688"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 xml:space="preserve">OHL opera o tiene presencia en los siguientes países: </w:t>
      </w:r>
    </w:p>
    <w:p w14:paraId="5DF6F695" w14:textId="77777777" w:rsidR="00D639E4" w:rsidRPr="006B7230" w:rsidRDefault="00D639E4" w:rsidP="00D639E4">
      <w:pPr>
        <w:jc w:val="both"/>
        <w:rPr>
          <w:rFonts w:ascii="Open Sans" w:hAnsi="Open Sans"/>
          <w:sz w:val="20"/>
          <w:szCs w:val="20"/>
        </w:rPr>
      </w:pPr>
    </w:p>
    <w:p w14:paraId="665E9089" w14:textId="77777777" w:rsidR="00D639E4" w:rsidRPr="006B7230" w:rsidRDefault="00D639E4" w:rsidP="00D639E4">
      <w:pPr>
        <w:numPr>
          <w:ilvl w:val="0"/>
          <w:numId w:val="24"/>
        </w:numPr>
        <w:tabs>
          <w:tab w:val="left" w:pos="284"/>
        </w:tabs>
        <w:suppressAutoHyphens/>
        <w:jc w:val="both"/>
        <w:rPr>
          <w:rFonts w:ascii="Open Sans" w:hAnsi="Open Sans"/>
          <w:sz w:val="20"/>
          <w:szCs w:val="20"/>
        </w:rPr>
      </w:pPr>
      <w:r w:rsidRPr="006B7230">
        <w:rPr>
          <w:rFonts w:ascii="Open Sans" w:hAnsi="Open Sans"/>
          <w:sz w:val="20"/>
          <w:szCs w:val="20"/>
        </w:rPr>
        <w:t>América: Aruba, Canadá, Colombia, Chile, Estados Unidos, Guatemala,  Honduras,  EEUU, México, Perú y Uruguay.</w:t>
      </w:r>
    </w:p>
    <w:p w14:paraId="54DBD2E0" w14:textId="77777777" w:rsidR="00D639E4" w:rsidRPr="006B7230" w:rsidRDefault="00D639E4" w:rsidP="00D639E4">
      <w:pPr>
        <w:numPr>
          <w:ilvl w:val="0"/>
          <w:numId w:val="24"/>
        </w:numPr>
        <w:tabs>
          <w:tab w:val="left" w:pos="284"/>
        </w:tabs>
        <w:suppressAutoHyphens/>
        <w:jc w:val="both"/>
        <w:rPr>
          <w:rFonts w:ascii="Open Sans" w:hAnsi="Open Sans"/>
          <w:sz w:val="20"/>
          <w:szCs w:val="20"/>
        </w:rPr>
      </w:pPr>
      <w:r w:rsidRPr="006B7230">
        <w:rPr>
          <w:rFonts w:ascii="Open Sans" w:hAnsi="Open Sans"/>
          <w:sz w:val="20"/>
          <w:szCs w:val="20"/>
        </w:rPr>
        <w:t>Asia: Arabia Saudí, Jordania, Kazajistán, Omán, Turquía y Vietnam.</w:t>
      </w:r>
    </w:p>
    <w:p w14:paraId="1035C5ED" w14:textId="77777777" w:rsidR="00D639E4" w:rsidRPr="006B7230" w:rsidRDefault="00D639E4" w:rsidP="00D639E4">
      <w:pPr>
        <w:numPr>
          <w:ilvl w:val="0"/>
          <w:numId w:val="24"/>
        </w:numPr>
        <w:tabs>
          <w:tab w:val="left" w:pos="284"/>
        </w:tabs>
        <w:suppressAutoHyphens/>
        <w:jc w:val="both"/>
        <w:rPr>
          <w:rFonts w:ascii="Open Sans" w:hAnsi="Open Sans"/>
          <w:sz w:val="20"/>
          <w:szCs w:val="20"/>
        </w:rPr>
      </w:pPr>
      <w:r w:rsidRPr="006B7230">
        <w:rPr>
          <w:rFonts w:ascii="Open Sans" w:hAnsi="Open Sans"/>
          <w:sz w:val="20"/>
          <w:szCs w:val="20"/>
        </w:rPr>
        <w:t>África: Argelia</w:t>
      </w:r>
    </w:p>
    <w:p w14:paraId="79F6D3CF" w14:textId="77777777" w:rsidR="00D639E4" w:rsidRPr="006B7230" w:rsidRDefault="00D639E4" w:rsidP="00D639E4">
      <w:pPr>
        <w:numPr>
          <w:ilvl w:val="0"/>
          <w:numId w:val="24"/>
        </w:numPr>
        <w:tabs>
          <w:tab w:val="left" w:pos="284"/>
        </w:tabs>
        <w:suppressAutoHyphens/>
        <w:jc w:val="both"/>
        <w:rPr>
          <w:rFonts w:ascii="Open Sans" w:hAnsi="Open Sans"/>
          <w:sz w:val="20"/>
          <w:szCs w:val="20"/>
        </w:rPr>
      </w:pPr>
      <w:r w:rsidRPr="006B7230">
        <w:rPr>
          <w:rFonts w:ascii="Open Sans" w:hAnsi="Open Sans"/>
          <w:sz w:val="20"/>
          <w:szCs w:val="20"/>
        </w:rPr>
        <w:t>Europa: Bosnia y Herzegovina, Croacia, Eslovenia, España, Moldavia, Noruega, Polonia, Reino Unido, República Checa, Eslovaquia y Rumanía.</w:t>
      </w:r>
    </w:p>
    <w:p w14:paraId="0D28ADAE" w14:textId="77777777" w:rsidR="00D639E4" w:rsidRPr="006B7230" w:rsidRDefault="00D639E4" w:rsidP="00D639E4">
      <w:pPr>
        <w:numPr>
          <w:ilvl w:val="0"/>
          <w:numId w:val="24"/>
        </w:numPr>
        <w:tabs>
          <w:tab w:val="left" w:pos="284"/>
        </w:tabs>
        <w:suppressAutoHyphens/>
        <w:jc w:val="both"/>
        <w:rPr>
          <w:rFonts w:ascii="Open Sans" w:hAnsi="Open Sans"/>
          <w:sz w:val="20"/>
          <w:szCs w:val="20"/>
        </w:rPr>
      </w:pPr>
      <w:r w:rsidRPr="006B7230">
        <w:rPr>
          <w:rFonts w:ascii="Open Sans" w:hAnsi="Open Sans"/>
          <w:sz w:val="20"/>
          <w:szCs w:val="20"/>
        </w:rPr>
        <w:t>Oceanía: Australia.</w:t>
      </w:r>
    </w:p>
    <w:p w14:paraId="6C9B9AE4" w14:textId="77777777" w:rsidR="00D639E4" w:rsidRPr="006B7230" w:rsidRDefault="00D639E4" w:rsidP="00D639E4">
      <w:pPr>
        <w:jc w:val="both"/>
        <w:rPr>
          <w:rFonts w:ascii="Open Sans" w:hAnsi="Open Sans"/>
          <w:sz w:val="20"/>
          <w:szCs w:val="20"/>
        </w:rPr>
      </w:pPr>
    </w:p>
    <w:p w14:paraId="2891FCE3" w14:textId="77777777" w:rsidR="00D639E4" w:rsidRPr="006B7230" w:rsidRDefault="00D639E4" w:rsidP="00D639E4">
      <w:pPr>
        <w:jc w:val="both"/>
        <w:rPr>
          <w:rFonts w:ascii="Open Sans" w:hAnsi="Open Sans"/>
          <w:sz w:val="20"/>
          <w:szCs w:val="20"/>
        </w:rPr>
      </w:pPr>
    </w:p>
    <w:p w14:paraId="039F6536" w14:textId="77777777" w:rsidR="00D639E4" w:rsidRPr="006B7230" w:rsidRDefault="00D639E4" w:rsidP="00D639E4">
      <w:pPr>
        <w:jc w:val="both"/>
        <w:rPr>
          <w:rFonts w:ascii="Open Sans" w:hAnsi="Open Sans"/>
          <w:sz w:val="20"/>
          <w:szCs w:val="20"/>
          <w:u w:val="single"/>
        </w:rPr>
      </w:pPr>
      <w:r w:rsidRPr="006B7230">
        <w:rPr>
          <w:rFonts w:ascii="Open Sans" w:hAnsi="Open Sans"/>
          <w:sz w:val="20"/>
          <w:szCs w:val="20"/>
          <w:u w:val="single"/>
        </w:rPr>
        <w:t>Cifras relevantes de la empresa:</w:t>
      </w:r>
    </w:p>
    <w:p w14:paraId="14FA8CCE" w14:textId="77777777" w:rsidR="00D639E4" w:rsidRPr="006B7230" w:rsidRDefault="00D639E4" w:rsidP="00D639E4">
      <w:pPr>
        <w:jc w:val="both"/>
        <w:rPr>
          <w:rFonts w:ascii="Open Sans" w:hAnsi="Open Sans"/>
          <w:sz w:val="20"/>
          <w:szCs w:val="20"/>
        </w:rPr>
      </w:pPr>
    </w:p>
    <w:p w14:paraId="6AF8798C" w14:textId="77777777" w:rsidR="00D639E4" w:rsidRPr="006B7230" w:rsidRDefault="00D639E4" w:rsidP="00D639E4">
      <w:pPr>
        <w:jc w:val="both"/>
        <w:rPr>
          <w:rFonts w:ascii="Open Sans" w:hAnsi="Open Sans"/>
          <w:color w:val="000000"/>
          <w:sz w:val="20"/>
          <w:szCs w:val="20"/>
        </w:rPr>
      </w:pPr>
      <w:r w:rsidRPr="006B7230">
        <w:rPr>
          <w:rFonts w:ascii="Open Sans" w:hAnsi="Open Sans"/>
          <w:color w:val="000000"/>
          <w:sz w:val="20"/>
          <w:szCs w:val="20"/>
        </w:rPr>
        <w:t>OHL ha obtenido una facturación en 2015 de 4.368,9 millones de euros, un 20,2% superior a la registrada en el ejercicio de 2014, presentando crecimiento en todas sus divisiones. Ha generado unos beneficios antes de impuestos al grupo consolidado de 434 millones de euros. A 31 de diciembre de 2015 el grupo cuenta con un total de 25.978 empleados.</w:t>
      </w:r>
    </w:p>
    <w:p w14:paraId="595BF156" w14:textId="77777777" w:rsidR="00D639E4" w:rsidRPr="006B7230" w:rsidRDefault="00D639E4" w:rsidP="00D639E4">
      <w:pPr>
        <w:jc w:val="both"/>
        <w:rPr>
          <w:rFonts w:ascii="Open Sans" w:hAnsi="Open Sans"/>
          <w:sz w:val="20"/>
          <w:szCs w:val="20"/>
        </w:rPr>
      </w:pPr>
    </w:p>
    <w:p w14:paraId="37464549" w14:textId="054560A1" w:rsidR="00D639E4" w:rsidRDefault="00D639E4">
      <w:pPr>
        <w:rPr>
          <w:rFonts w:ascii="Open Sans" w:hAnsi="Open Sans"/>
          <w:sz w:val="20"/>
          <w:szCs w:val="20"/>
        </w:rPr>
      </w:pPr>
      <w:r>
        <w:rPr>
          <w:rFonts w:ascii="Open Sans" w:hAnsi="Open Sans"/>
          <w:sz w:val="20"/>
          <w:szCs w:val="20"/>
        </w:rPr>
        <w:br w:type="page"/>
      </w:r>
    </w:p>
    <w:p w14:paraId="5198BAC8" w14:textId="77777777" w:rsidR="00D639E4" w:rsidRPr="006B7230" w:rsidRDefault="00D639E4" w:rsidP="00D639E4">
      <w:pPr>
        <w:jc w:val="both"/>
        <w:rPr>
          <w:rFonts w:ascii="Open Sans" w:hAnsi="Open Sans"/>
          <w:sz w:val="20"/>
          <w:szCs w:val="20"/>
        </w:rPr>
      </w:pPr>
    </w:p>
    <w:p w14:paraId="1DDCE194" w14:textId="77777777" w:rsidR="00D639E4" w:rsidRPr="006B7230" w:rsidRDefault="00D639E4" w:rsidP="00D639E4">
      <w:pPr>
        <w:jc w:val="both"/>
        <w:rPr>
          <w:rFonts w:ascii="Open Sans" w:hAnsi="Open Sans"/>
          <w:color w:val="000000"/>
          <w:sz w:val="20"/>
          <w:szCs w:val="20"/>
          <w:u w:val="single"/>
        </w:rPr>
      </w:pPr>
      <w:r w:rsidRPr="006B7230">
        <w:rPr>
          <w:rFonts w:ascii="Open Sans" w:hAnsi="Open Sans"/>
          <w:color w:val="000000"/>
          <w:sz w:val="20"/>
          <w:szCs w:val="20"/>
          <w:u w:val="single"/>
        </w:rPr>
        <w:t>Estándares voluntarios relevantes con fiscalidad responsable</w:t>
      </w:r>
    </w:p>
    <w:p w14:paraId="3DC6BF5C" w14:textId="77777777" w:rsidR="00D639E4" w:rsidRPr="006B7230" w:rsidRDefault="00D639E4" w:rsidP="00D639E4">
      <w:pPr>
        <w:jc w:val="both"/>
        <w:rPr>
          <w:rFonts w:ascii="Open Sans" w:hAnsi="Open Sans"/>
          <w:color w:val="000000"/>
          <w:sz w:val="20"/>
          <w:szCs w:val="20"/>
          <w:u w:val="single"/>
        </w:rPr>
      </w:pPr>
    </w:p>
    <w:p w14:paraId="0CA80909" w14:textId="77777777" w:rsidR="00D639E4" w:rsidRPr="006B7230" w:rsidRDefault="00D639E4" w:rsidP="00D639E4">
      <w:pPr>
        <w:jc w:val="both"/>
        <w:rPr>
          <w:rFonts w:ascii="Open Sans" w:hAnsi="Open Sans"/>
          <w:sz w:val="20"/>
          <w:szCs w:val="20"/>
          <w:u w:val="single"/>
        </w:rPr>
      </w:pPr>
      <w:r w:rsidRPr="006B7230">
        <w:rPr>
          <w:rFonts w:ascii="Open Sans" w:hAnsi="Open Sans"/>
          <w:color w:val="000000"/>
          <w:sz w:val="20"/>
          <w:szCs w:val="20"/>
        </w:rPr>
        <w:t xml:space="preserve">El Grupo OHL durante el ejercicio 2015 no había suscrito estándares relativos con la fiscalidad responsable. </w:t>
      </w:r>
    </w:p>
    <w:p w14:paraId="256F653B" w14:textId="77777777" w:rsidR="00D639E4" w:rsidRPr="006B7230" w:rsidRDefault="00D639E4" w:rsidP="00D639E4">
      <w:pPr>
        <w:jc w:val="both"/>
        <w:rPr>
          <w:rFonts w:ascii="Open Sans" w:hAnsi="Open Sans"/>
          <w:sz w:val="20"/>
          <w:szCs w:val="20"/>
          <w:u w:val="single"/>
        </w:rPr>
      </w:pPr>
    </w:p>
    <w:p w14:paraId="3D8B3C6F" w14:textId="77777777" w:rsidR="00D639E4" w:rsidRPr="006B7230" w:rsidRDefault="00D639E4" w:rsidP="00D639E4">
      <w:pPr>
        <w:jc w:val="both"/>
        <w:rPr>
          <w:rFonts w:ascii="Open Sans" w:hAnsi="Open Sans"/>
          <w:sz w:val="20"/>
          <w:szCs w:val="20"/>
        </w:rPr>
      </w:pPr>
      <w:r w:rsidRPr="006B7230">
        <w:rPr>
          <w:rFonts w:ascii="Open Sans" w:hAnsi="Open Sans"/>
          <w:sz w:val="20"/>
          <w:szCs w:val="20"/>
          <w:u w:val="single"/>
        </w:rPr>
        <w:t>Documentos incluidos en el análisis</w:t>
      </w:r>
    </w:p>
    <w:p w14:paraId="219A4A6A" w14:textId="77777777" w:rsidR="00D639E4" w:rsidRPr="006B7230" w:rsidRDefault="00D639E4" w:rsidP="00D639E4">
      <w:pPr>
        <w:ind w:firstLine="709"/>
        <w:jc w:val="both"/>
        <w:rPr>
          <w:rFonts w:ascii="Open Sans" w:hAnsi="Open Sans"/>
          <w:sz w:val="20"/>
          <w:szCs w:val="20"/>
        </w:rPr>
      </w:pPr>
    </w:p>
    <w:p w14:paraId="3725810D"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Para el análisis de la calidad de la información relacionada con la fiscalidad de la empresa,  se ha tenido en cuenta la información contenida en la siguiente documentación:</w:t>
      </w:r>
    </w:p>
    <w:p w14:paraId="34D4A092" w14:textId="77777777" w:rsidR="00D639E4" w:rsidRPr="006B7230" w:rsidRDefault="00D639E4" w:rsidP="00D639E4">
      <w:pPr>
        <w:ind w:firstLine="709"/>
        <w:jc w:val="both"/>
        <w:rPr>
          <w:rFonts w:ascii="Open Sans" w:hAnsi="Open Sans"/>
          <w:sz w:val="20"/>
          <w:szCs w:val="20"/>
        </w:rPr>
      </w:pPr>
    </w:p>
    <w:tbl>
      <w:tblPr>
        <w:tblW w:w="8780" w:type="dxa"/>
        <w:tblInd w:w="-73" w:type="dxa"/>
        <w:tblLayout w:type="fixed"/>
        <w:tblCellMar>
          <w:left w:w="0" w:type="dxa"/>
          <w:right w:w="0" w:type="dxa"/>
        </w:tblCellMar>
        <w:tblLook w:val="0000" w:firstRow="0" w:lastRow="0" w:firstColumn="0" w:lastColumn="0" w:noHBand="0" w:noVBand="0"/>
      </w:tblPr>
      <w:tblGrid>
        <w:gridCol w:w="4002"/>
        <w:gridCol w:w="4758"/>
        <w:gridCol w:w="20"/>
      </w:tblGrid>
      <w:tr w:rsidR="00D639E4" w:rsidRPr="006B7230" w14:paraId="78B77314" w14:textId="77777777" w:rsidTr="00D639E4">
        <w:trPr>
          <w:trHeight w:val="327"/>
        </w:trPr>
        <w:tc>
          <w:tcPr>
            <w:tcW w:w="4002" w:type="dxa"/>
            <w:tcBorders>
              <w:top w:val="single" w:sz="8" w:space="0" w:color="000000"/>
              <w:left w:val="single" w:sz="8" w:space="0" w:color="000000"/>
              <w:bottom w:val="single" w:sz="4" w:space="0" w:color="000000"/>
            </w:tcBorders>
            <w:shd w:val="clear" w:color="auto" w:fill="000080"/>
            <w:vAlign w:val="center"/>
          </w:tcPr>
          <w:p w14:paraId="5C20DA81" w14:textId="77777777" w:rsidR="00D639E4" w:rsidRPr="006B7230" w:rsidRDefault="00D639E4" w:rsidP="00D639E4">
            <w:pPr>
              <w:jc w:val="center"/>
              <w:rPr>
                <w:rFonts w:ascii="Open Sans" w:hAnsi="Open Sans"/>
                <w:b/>
                <w:sz w:val="20"/>
                <w:szCs w:val="20"/>
              </w:rPr>
            </w:pPr>
            <w:r w:rsidRPr="006B7230">
              <w:rPr>
                <w:rFonts w:ascii="Open Sans" w:hAnsi="Open Sans"/>
                <w:b/>
                <w:sz w:val="20"/>
                <w:szCs w:val="20"/>
              </w:rPr>
              <w:t>DOCUMENTACIÓN</w:t>
            </w:r>
          </w:p>
        </w:tc>
        <w:tc>
          <w:tcPr>
            <w:tcW w:w="4778" w:type="dxa"/>
            <w:gridSpan w:val="2"/>
            <w:tcBorders>
              <w:top w:val="single" w:sz="8" w:space="0" w:color="000000"/>
              <w:left w:val="single" w:sz="8" w:space="0" w:color="000000"/>
              <w:bottom w:val="single" w:sz="4" w:space="0" w:color="000000"/>
              <w:right w:val="single" w:sz="8" w:space="0" w:color="000000"/>
            </w:tcBorders>
            <w:shd w:val="clear" w:color="auto" w:fill="000080"/>
            <w:vAlign w:val="center"/>
          </w:tcPr>
          <w:p w14:paraId="736B5C0E" w14:textId="77777777" w:rsidR="00D639E4" w:rsidRPr="006B7230" w:rsidRDefault="00D639E4" w:rsidP="00D639E4">
            <w:pPr>
              <w:jc w:val="center"/>
              <w:rPr>
                <w:rFonts w:ascii="Open Sans" w:hAnsi="Open Sans"/>
                <w:sz w:val="20"/>
                <w:szCs w:val="20"/>
              </w:rPr>
            </w:pPr>
            <w:r w:rsidRPr="006B7230">
              <w:rPr>
                <w:rFonts w:ascii="Open Sans" w:hAnsi="Open Sans"/>
                <w:b/>
                <w:sz w:val="20"/>
                <w:szCs w:val="20"/>
              </w:rPr>
              <w:t>OBSERVACIONES</w:t>
            </w:r>
          </w:p>
        </w:tc>
      </w:tr>
      <w:tr w:rsidR="00D639E4" w:rsidRPr="006B7230" w14:paraId="447564A5" w14:textId="77777777" w:rsidTr="00D639E4">
        <w:trPr>
          <w:gridAfter w:val="1"/>
          <w:wAfter w:w="20" w:type="dxa"/>
          <w:trHeight w:val="315"/>
        </w:trPr>
        <w:tc>
          <w:tcPr>
            <w:tcW w:w="4002" w:type="dxa"/>
            <w:tcBorders>
              <w:top w:val="single" w:sz="4" w:space="0" w:color="000000"/>
              <w:left w:val="single" w:sz="4" w:space="0" w:color="000000"/>
              <w:bottom w:val="single" w:sz="4" w:space="0" w:color="000000"/>
            </w:tcBorders>
            <w:shd w:val="clear" w:color="auto" w:fill="auto"/>
            <w:vAlign w:val="bottom"/>
          </w:tcPr>
          <w:p w14:paraId="30C6B8FB" w14:textId="77777777" w:rsidR="00D639E4" w:rsidRPr="006B7230" w:rsidRDefault="00D639E4" w:rsidP="00D639E4">
            <w:pPr>
              <w:snapToGrid w:val="0"/>
              <w:rPr>
                <w:rFonts w:ascii="Open Sans" w:hAnsi="Open Sans"/>
                <w:color w:val="000000"/>
                <w:sz w:val="20"/>
                <w:szCs w:val="20"/>
              </w:rPr>
            </w:pPr>
            <w:r w:rsidRPr="006B7230">
              <w:rPr>
                <w:rFonts w:ascii="Open Sans" w:hAnsi="Open Sans"/>
                <w:color w:val="000000"/>
                <w:sz w:val="20"/>
                <w:szCs w:val="20"/>
              </w:rPr>
              <w:t>Cuentas Anuales e Informe de Gestión Consolidados 2015</w:t>
            </w:r>
          </w:p>
        </w:tc>
        <w:tc>
          <w:tcPr>
            <w:tcW w:w="4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3529E" w14:textId="77777777" w:rsidR="00D639E4" w:rsidRPr="006B7230" w:rsidRDefault="00D639E4" w:rsidP="00D639E4">
            <w:pPr>
              <w:jc w:val="both"/>
              <w:rPr>
                <w:rFonts w:ascii="Open Sans" w:hAnsi="Open Sans"/>
                <w:sz w:val="20"/>
                <w:szCs w:val="20"/>
              </w:rPr>
            </w:pPr>
            <w:r w:rsidRPr="006B7230">
              <w:rPr>
                <w:rFonts w:ascii="Open Sans" w:hAnsi="Open Sans"/>
                <w:color w:val="000000"/>
                <w:sz w:val="20"/>
                <w:szCs w:val="20"/>
              </w:rPr>
              <w:t>En adelante, CA</w:t>
            </w:r>
          </w:p>
        </w:tc>
      </w:tr>
      <w:tr w:rsidR="00D639E4" w:rsidRPr="006B7230" w14:paraId="7B6B9E4E" w14:textId="77777777" w:rsidTr="00D639E4">
        <w:trPr>
          <w:gridAfter w:val="1"/>
          <w:wAfter w:w="20" w:type="dxa"/>
          <w:trHeight w:val="300"/>
        </w:trPr>
        <w:tc>
          <w:tcPr>
            <w:tcW w:w="4002" w:type="dxa"/>
            <w:tcBorders>
              <w:top w:val="single" w:sz="4" w:space="0" w:color="000000"/>
              <w:left w:val="single" w:sz="4" w:space="0" w:color="000000"/>
              <w:bottom w:val="single" w:sz="4" w:space="0" w:color="000000"/>
            </w:tcBorders>
            <w:shd w:val="clear" w:color="auto" w:fill="auto"/>
          </w:tcPr>
          <w:p w14:paraId="66A2E156"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Informe de Sostenibilidad 2015</w:t>
            </w:r>
          </w:p>
        </w:tc>
        <w:tc>
          <w:tcPr>
            <w:tcW w:w="4758"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1AB8074" w14:textId="77777777" w:rsidR="00D639E4" w:rsidRPr="006B7230" w:rsidRDefault="00D639E4" w:rsidP="00D639E4">
            <w:pPr>
              <w:jc w:val="both"/>
              <w:rPr>
                <w:rFonts w:ascii="Open Sans" w:hAnsi="Open Sans"/>
                <w:sz w:val="20"/>
                <w:szCs w:val="20"/>
              </w:rPr>
            </w:pPr>
            <w:r w:rsidRPr="006B7230">
              <w:rPr>
                <w:rFonts w:ascii="Open Sans" w:hAnsi="Open Sans"/>
                <w:color w:val="000000"/>
                <w:sz w:val="20"/>
                <w:szCs w:val="20"/>
              </w:rPr>
              <w:t>En adelante, IS</w:t>
            </w:r>
          </w:p>
        </w:tc>
      </w:tr>
      <w:tr w:rsidR="00D639E4" w:rsidRPr="006B7230" w14:paraId="03FEAEF4" w14:textId="77777777" w:rsidTr="00D639E4">
        <w:trPr>
          <w:gridAfter w:val="1"/>
          <w:wAfter w:w="20" w:type="dxa"/>
          <w:trHeight w:val="300"/>
        </w:trPr>
        <w:tc>
          <w:tcPr>
            <w:tcW w:w="4002" w:type="dxa"/>
            <w:tcBorders>
              <w:top w:val="single" w:sz="4" w:space="0" w:color="000000"/>
              <w:left w:val="single" w:sz="4" w:space="0" w:color="000000"/>
              <w:bottom w:val="single" w:sz="4" w:space="0" w:color="000000"/>
            </w:tcBorders>
            <w:shd w:val="clear" w:color="auto" w:fill="auto"/>
          </w:tcPr>
          <w:p w14:paraId="6AA51111"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Informe Anual de Gobierno Corporativo</w:t>
            </w:r>
          </w:p>
        </w:tc>
        <w:tc>
          <w:tcPr>
            <w:tcW w:w="4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CA765" w14:textId="77777777" w:rsidR="00D639E4" w:rsidRPr="006B7230" w:rsidRDefault="00D639E4" w:rsidP="00D639E4">
            <w:pPr>
              <w:jc w:val="both"/>
              <w:rPr>
                <w:rFonts w:ascii="Open Sans" w:hAnsi="Open Sans"/>
                <w:sz w:val="20"/>
                <w:szCs w:val="20"/>
              </w:rPr>
            </w:pPr>
            <w:r w:rsidRPr="006B7230">
              <w:rPr>
                <w:rFonts w:ascii="Open Sans" w:hAnsi="Open Sans"/>
                <w:color w:val="000000"/>
                <w:sz w:val="20"/>
                <w:szCs w:val="20"/>
              </w:rPr>
              <w:t>En adelante, IAGC</w:t>
            </w:r>
          </w:p>
        </w:tc>
      </w:tr>
      <w:tr w:rsidR="00D639E4" w:rsidRPr="006B7230" w14:paraId="18A3C555" w14:textId="77777777" w:rsidTr="00D639E4">
        <w:trPr>
          <w:gridAfter w:val="1"/>
          <w:wAfter w:w="20" w:type="dxa"/>
          <w:trHeight w:val="300"/>
        </w:trPr>
        <w:tc>
          <w:tcPr>
            <w:tcW w:w="4002" w:type="dxa"/>
            <w:tcBorders>
              <w:top w:val="single" w:sz="4" w:space="0" w:color="000000"/>
              <w:left w:val="single" w:sz="4" w:space="0" w:color="000000"/>
              <w:bottom w:val="single" w:sz="4" w:space="0" w:color="000000"/>
            </w:tcBorders>
            <w:shd w:val="clear" w:color="auto" w:fill="auto"/>
          </w:tcPr>
          <w:p w14:paraId="5C8A7146"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Código ético</w:t>
            </w:r>
          </w:p>
        </w:tc>
        <w:tc>
          <w:tcPr>
            <w:tcW w:w="475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2871D5" w14:textId="77777777" w:rsidR="00D639E4" w:rsidRPr="006B7230" w:rsidRDefault="00D639E4" w:rsidP="00D639E4">
            <w:pPr>
              <w:jc w:val="both"/>
              <w:rPr>
                <w:rFonts w:ascii="Open Sans" w:hAnsi="Open Sans"/>
                <w:color w:val="000000"/>
                <w:sz w:val="20"/>
                <w:szCs w:val="20"/>
              </w:rPr>
            </w:pPr>
            <w:r w:rsidRPr="006B7230">
              <w:rPr>
                <w:rFonts w:ascii="Open Sans" w:hAnsi="Open Sans"/>
                <w:color w:val="000000"/>
                <w:sz w:val="20"/>
                <w:szCs w:val="20"/>
              </w:rPr>
              <w:t>Enero 2015</w:t>
            </w:r>
          </w:p>
        </w:tc>
      </w:tr>
      <w:tr w:rsidR="00D639E4" w:rsidRPr="006B7230" w14:paraId="7A7E33D1" w14:textId="77777777" w:rsidTr="00D639E4">
        <w:trPr>
          <w:trHeight w:val="179"/>
        </w:trPr>
        <w:tc>
          <w:tcPr>
            <w:tcW w:w="4002" w:type="dxa"/>
            <w:tcBorders>
              <w:top w:val="single" w:sz="4" w:space="0" w:color="000000"/>
              <w:left w:val="single" w:sz="8" w:space="0" w:color="000000"/>
              <w:bottom w:val="single" w:sz="4" w:space="0" w:color="000000"/>
            </w:tcBorders>
            <w:shd w:val="clear" w:color="auto" w:fill="auto"/>
          </w:tcPr>
          <w:p w14:paraId="5DD6164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Web corporativa</w:t>
            </w:r>
          </w:p>
        </w:tc>
        <w:tc>
          <w:tcPr>
            <w:tcW w:w="4778" w:type="dxa"/>
            <w:gridSpan w:val="2"/>
            <w:tcBorders>
              <w:top w:val="single" w:sz="4" w:space="0" w:color="000000"/>
              <w:left w:val="single" w:sz="8" w:space="0" w:color="000000"/>
              <w:bottom w:val="single" w:sz="4" w:space="0" w:color="000000"/>
              <w:right w:val="single" w:sz="8" w:space="0" w:color="000000"/>
            </w:tcBorders>
            <w:shd w:val="clear" w:color="auto" w:fill="auto"/>
            <w:vAlign w:val="center"/>
          </w:tcPr>
          <w:p w14:paraId="7920CDA5" w14:textId="77777777" w:rsidR="00D639E4" w:rsidRPr="006B7230" w:rsidRDefault="00D639E4" w:rsidP="00D639E4">
            <w:pPr>
              <w:jc w:val="both"/>
              <w:rPr>
                <w:rFonts w:ascii="Open Sans" w:hAnsi="Open Sans"/>
                <w:sz w:val="20"/>
                <w:szCs w:val="20"/>
              </w:rPr>
            </w:pPr>
            <w:r w:rsidRPr="006B7230">
              <w:rPr>
                <w:rFonts w:ascii="Open Sans" w:hAnsi="Open Sans"/>
                <w:color w:val="000000"/>
                <w:sz w:val="20"/>
                <w:szCs w:val="20"/>
              </w:rPr>
              <w:t>www.OHL.es</w:t>
            </w:r>
          </w:p>
        </w:tc>
      </w:tr>
    </w:tbl>
    <w:p w14:paraId="5696C2F3" w14:textId="77777777" w:rsidR="00D639E4" w:rsidRPr="006B7230" w:rsidRDefault="00D639E4" w:rsidP="00D639E4">
      <w:pPr>
        <w:jc w:val="both"/>
        <w:rPr>
          <w:rFonts w:ascii="Open Sans" w:hAnsi="Open Sans"/>
          <w:b/>
          <w:sz w:val="20"/>
          <w:szCs w:val="20"/>
          <w:u w:val="single"/>
        </w:rPr>
      </w:pPr>
    </w:p>
    <w:p w14:paraId="70C1BF03" w14:textId="77777777" w:rsidR="00D639E4" w:rsidRPr="006B7230" w:rsidRDefault="00D639E4" w:rsidP="00D639E4">
      <w:pPr>
        <w:jc w:val="both"/>
        <w:rPr>
          <w:rFonts w:ascii="Open Sans" w:hAnsi="Open Sans"/>
          <w:b/>
          <w:sz w:val="20"/>
          <w:szCs w:val="20"/>
          <w:u w:val="single"/>
        </w:rPr>
      </w:pPr>
    </w:p>
    <w:p w14:paraId="53C9D504" w14:textId="77777777" w:rsidR="00D639E4" w:rsidRPr="006B7230" w:rsidRDefault="00D639E4" w:rsidP="00D639E4">
      <w:pPr>
        <w:jc w:val="both"/>
        <w:rPr>
          <w:rFonts w:ascii="Open Sans" w:hAnsi="Open Sans"/>
          <w:b/>
          <w:sz w:val="22"/>
          <w:szCs w:val="22"/>
          <w:u w:val="single"/>
        </w:rPr>
      </w:pPr>
      <w:r w:rsidRPr="006B7230">
        <w:rPr>
          <w:rFonts w:ascii="Open Sans" w:hAnsi="Open Sans"/>
          <w:b/>
          <w:sz w:val="22"/>
          <w:szCs w:val="22"/>
          <w:u w:val="single"/>
        </w:rPr>
        <w:t>2. Tabla de resultados</w:t>
      </w:r>
    </w:p>
    <w:p w14:paraId="00FDEF45" w14:textId="77777777" w:rsidR="00D639E4" w:rsidRPr="006B7230" w:rsidRDefault="00D639E4" w:rsidP="00D639E4">
      <w:pPr>
        <w:jc w:val="both"/>
        <w:rPr>
          <w:rFonts w:ascii="Open Sans" w:hAnsi="Open Sans"/>
          <w:b/>
          <w:sz w:val="22"/>
          <w:szCs w:val="22"/>
        </w:rPr>
      </w:pPr>
    </w:p>
    <w:p w14:paraId="28D0E45D" w14:textId="77777777" w:rsidR="00D639E4" w:rsidRPr="006B7230" w:rsidRDefault="00D639E4" w:rsidP="00D639E4">
      <w:pPr>
        <w:jc w:val="center"/>
        <w:rPr>
          <w:rFonts w:ascii="Open Sans" w:hAnsi="Open Sans"/>
          <w:b/>
          <w:sz w:val="22"/>
          <w:szCs w:val="22"/>
        </w:rPr>
      </w:pPr>
    </w:p>
    <w:p w14:paraId="70D58366" w14:textId="77777777" w:rsidR="00D639E4" w:rsidRPr="006B7230" w:rsidRDefault="00D639E4" w:rsidP="00D639E4">
      <w:pPr>
        <w:jc w:val="center"/>
        <w:rPr>
          <w:rFonts w:ascii="Open Sans" w:hAnsi="Open Sans" w:cs="Arial"/>
          <w:b/>
          <w:sz w:val="20"/>
          <w:szCs w:val="22"/>
          <w:u w:val="single"/>
        </w:rPr>
      </w:pPr>
      <w:r w:rsidRPr="006B7230">
        <w:rPr>
          <w:rFonts w:ascii="Open Sans" w:hAnsi="Open Sans" w:cs="Arial"/>
          <w:b/>
          <w:sz w:val="20"/>
          <w:szCs w:val="22"/>
          <w:u w:val="single"/>
        </w:rPr>
        <w:t>TABLA 1: Valoraciones por dimensión</w:t>
      </w:r>
    </w:p>
    <w:p w14:paraId="4A1ECD90" w14:textId="77777777" w:rsidR="00D639E4" w:rsidRPr="006B7230" w:rsidRDefault="00D639E4" w:rsidP="00D639E4">
      <w:pPr>
        <w:rPr>
          <w:rFonts w:ascii="Open Sans" w:hAnsi="Open Sans" w:cs="Arial"/>
          <w:b/>
        </w:rPr>
      </w:pPr>
    </w:p>
    <w:p w14:paraId="1AC0E5F5" w14:textId="0EE1BE12" w:rsidR="00D639E4" w:rsidRPr="006B7230" w:rsidRDefault="00D639E4" w:rsidP="00D639E4">
      <w:pPr>
        <w:jc w:val="center"/>
        <w:rPr>
          <w:rFonts w:ascii="Open Sans" w:hAnsi="Open Sans"/>
        </w:rPr>
      </w:pPr>
      <w:r>
        <w:rPr>
          <w:rFonts w:ascii="Open Sans" w:hAnsi="Open Sans"/>
          <w:noProof/>
          <w:lang w:val="es-ES"/>
        </w:rPr>
        <w:drawing>
          <wp:inline distT="0" distB="0" distL="0" distR="0" wp14:anchorId="21ADD962" wp14:editId="7D89146E">
            <wp:extent cx="3688080" cy="1859280"/>
            <wp:effectExtent l="0" t="0" r="0" b="0"/>
            <wp:docPr id="1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754296E8" w14:textId="77777777" w:rsidR="00D639E4" w:rsidRPr="006B7230" w:rsidRDefault="00D639E4" w:rsidP="00D639E4">
      <w:pPr>
        <w:jc w:val="both"/>
        <w:rPr>
          <w:rFonts w:ascii="Open Sans" w:hAnsi="Open Sans"/>
        </w:rPr>
      </w:pPr>
    </w:p>
    <w:p w14:paraId="16A4373F" w14:textId="77777777" w:rsidR="00D639E4" w:rsidRPr="006B7230" w:rsidRDefault="00D639E4" w:rsidP="00D639E4">
      <w:pPr>
        <w:jc w:val="both"/>
        <w:rPr>
          <w:rFonts w:ascii="Open Sans" w:hAnsi="Open Sans"/>
        </w:rPr>
      </w:pPr>
    </w:p>
    <w:p w14:paraId="34E83432" w14:textId="77777777" w:rsidR="00D639E4" w:rsidRPr="006B7230" w:rsidRDefault="00D639E4" w:rsidP="00D639E4">
      <w:pPr>
        <w:rPr>
          <w:rFonts w:ascii="Open Sans" w:hAnsi="Open Sans"/>
          <w:b/>
          <w:sz w:val="22"/>
          <w:szCs w:val="22"/>
        </w:rPr>
      </w:pPr>
      <w:r w:rsidRPr="006B7230">
        <w:rPr>
          <w:rFonts w:ascii="Open Sans" w:hAnsi="Open Sans" w:cs="Arial"/>
          <w:b/>
          <w:sz w:val="20"/>
          <w:szCs w:val="22"/>
          <w:u w:val="single"/>
        </w:rPr>
        <w:br w:type="page"/>
      </w:r>
    </w:p>
    <w:p w14:paraId="4B272081" w14:textId="77777777" w:rsidR="00D639E4" w:rsidRPr="006B7230" w:rsidRDefault="00D639E4" w:rsidP="00D639E4">
      <w:pPr>
        <w:jc w:val="both"/>
        <w:rPr>
          <w:rFonts w:ascii="Open Sans" w:hAnsi="Open Sans"/>
          <w:b/>
          <w:sz w:val="22"/>
          <w:szCs w:val="22"/>
        </w:rPr>
      </w:pPr>
      <w:r w:rsidRPr="006B7230">
        <w:rPr>
          <w:rFonts w:ascii="Open Sans" w:hAnsi="Open Sans"/>
          <w:b/>
          <w:sz w:val="22"/>
          <w:szCs w:val="22"/>
          <w:u w:val="single"/>
        </w:rPr>
        <w:t>3. Contexto general</w:t>
      </w:r>
    </w:p>
    <w:p w14:paraId="3716D380" w14:textId="77777777" w:rsidR="00D639E4" w:rsidRPr="006B7230" w:rsidRDefault="00D639E4" w:rsidP="00D639E4">
      <w:pPr>
        <w:jc w:val="both"/>
        <w:rPr>
          <w:rFonts w:ascii="Open Sans" w:hAnsi="Open Sans"/>
          <w:sz w:val="20"/>
          <w:szCs w:val="20"/>
        </w:rPr>
      </w:pPr>
    </w:p>
    <w:p w14:paraId="01BC98CA"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 xml:space="preserve">OHL cuenta con una capitalización a diciembre de 2015 de 1.574 millones de euros, obteniendo una desvalorización de las acciones de casi un 15%, respecto al año anterior. El importe neto de la cifra de negocios al cierre de 2015 fue de 4.368,9 millones de euros, un crecimiento de 20,2% respecto a 2014.  </w:t>
      </w:r>
    </w:p>
    <w:p w14:paraId="3B3E3534" w14:textId="77777777" w:rsidR="00D639E4" w:rsidRPr="006B7230" w:rsidRDefault="00D639E4" w:rsidP="00D639E4">
      <w:pPr>
        <w:jc w:val="both"/>
        <w:rPr>
          <w:rFonts w:ascii="Open Sans" w:hAnsi="Open Sans"/>
          <w:sz w:val="20"/>
          <w:szCs w:val="20"/>
        </w:rPr>
      </w:pPr>
    </w:p>
    <w:p w14:paraId="5C8BF218"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 xml:space="preserve">Por divisiones, la cifra de negocio se reparte de la siguiente manera: División de Ingeniaría y Construcción el 87,0%, la División de Concesiones el 10,2% y la División de Desarrollos el 2,8%. </w:t>
      </w:r>
    </w:p>
    <w:p w14:paraId="7FD36A44" w14:textId="77777777" w:rsidR="00D639E4" w:rsidRPr="006B7230" w:rsidRDefault="00D639E4" w:rsidP="00D639E4">
      <w:pPr>
        <w:jc w:val="both"/>
        <w:rPr>
          <w:rFonts w:ascii="Open Sans" w:hAnsi="Open Sans"/>
          <w:sz w:val="20"/>
          <w:szCs w:val="20"/>
        </w:rPr>
      </w:pPr>
    </w:p>
    <w:p w14:paraId="6CA0B3F4"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 xml:space="preserve">La División de Concesiones alcanzó un total de ventas de 445 millones de euros, haciéndose presente en México, España, Perú, Colombia y Chile. Por su parte, la división de Construcción albergó un total de ventas de 3.248 millones de euros en los proyectos ejecutados en Canadá, Estados Unidos, México, Colombia, Perú, Chile, España y República Checa. </w:t>
      </w:r>
    </w:p>
    <w:p w14:paraId="6C247E37" w14:textId="77777777" w:rsidR="00D639E4" w:rsidRPr="006B7230" w:rsidRDefault="00D639E4" w:rsidP="00D639E4">
      <w:pPr>
        <w:jc w:val="both"/>
        <w:rPr>
          <w:rFonts w:ascii="Open Sans" w:hAnsi="Open Sans"/>
          <w:sz w:val="20"/>
          <w:szCs w:val="20"/>
        </w:rPr>
      </w:pPr>
    </w:p>
    <w:p w14:paraId="4F0AF772"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La División Industrial logró un total de ventas en el valor de 352 millones de euros, logrando grandes contratos en 2015, sobre todos en México y Chile. Además se hace presente en Estados Unidos, Colombia, Perú, Chile, Honduras, Uruguay, España, Jordania, Omán, Emiratos Árabes, Arabia Saudí y Vietnam.</w:t>
      </w:r>
    </w:p>
    <w:p w14:paraId="72C3A6CE" w14:textId="77777777" w:rsidR="00D639E4" w:rsidRPr="006B7230" w:rsidRDefault="00D639E4" w:rsidP="00D639E4">
      <w:pPr>
        <w:jc w:val="both"/>
        <w:rPr>
          <w:rFonts w:ascii="Open Sans" w:hAnsi="Open Sans"/>
          <w:sz w:val="20"/>
          <w:szCs w:val="20"/>
        </w:rPr>
      </w:pPr>
    </w:p>
    <w:p w14:paraId="56E3173C" w14:textId="77777777" w:rsidR="00D639E4" w:rsidRPr="006B7230" w:rsidRDefault="00D639E4" w:rsidP="00D639E4">
      <w:pPr>
        <w:jc w:val="both"/>
        <w:rPr>
          <w:rFonts w:ascii="Open Sans" w:hAnsi="Open Sans"/>
          <w:sz w:val="20"/>
          <w:szCs w:val="20"/>
        </w:rPr>
      </w:pPr>
      <w:r w:rsidRPr="006B7230">
        <w:rPr>
          <w:rFonts w:ascii="Open Sans" w:hAnsi="Open Sans"/>
          <w:bCs/>
          <w:sz w:val="20"/>
          <w:szCs w:val="20"/>
        </w:rPr>
        <w:t>En el sector de ingeniería y construcción se destaca nuevas adjudicaciones en Estados Unidos, mayor actividad en México y la entrada en Noruega con un contrato por un importe de 290 millones de euros.</w:t>
      </w:r>
    </w:p>
    <w:p w14:paraId="60FF2FF0" w14:textId="77777777" w:rsidR="00D639E4" w:rsidRPr="006B7230" w:rsidRDefault="00D639E4" w:rsidP="00D639E4">
      <w:pPr>
        <w:jc w:val="both"/>
        <w:rPr>
          <w:rFonts w:ascii="Open Sans" w:hAnsi="Open Sans"/>
          <w:sz w:val="20"/>
          <w:szCs w:val="20"/>
        </w:rPr>
      </w:pPr>
    </w:p>
    <w:p w14:paraId="38DEED8B"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En Servicios se ha mantenido la tendencia de recuperación y se prevé para los siguientes años mejorías con el proyecto de internacionalización previsto en el Plan Estratégico 2015 – 2020. Las ventas de esta división alcanzaron un total de 199 millones de Euros en los mercados de España, México y Chile. En la División de Desarrollos se vislumbra crecimiento en el mercado internacional. En 2015 las ventas fueron de un total de 125 millones de euros dentro de los mercados mexicano, español y británico.</w:t>
      </w:r>
    </w:p>
    <w:p w14:paraId="5B4BC1CA" w14:textId="77777777" w:rsidR="00D639E4" w:rsidRPr="006B7230" w:rsidRDefault="00D639E4" w:rsidP="00D639E4">
      <w:pPr>
        <w:jc w:val="both"/>
        <w:rPr>
          <w:rFonts w:ascii="Open Sans" w:hAnsi="Open Sans"/>
          <w:sz w:val="20"/>
          <w:szCs w:val="20"/>
        </w:rPr>
      </w:pPr>
    </w:p>
    <w:p w14:paraId="0456497D"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 xml:space="preserve">Actualmente, su negocio se desarrolla en gran medida en un ámbito internacional como lo demuestran sus principales magnitudes. Así, su actividad fuera de España representa el 82,6 % de las ventas y el 98,4% del EBITDA. Además, con presencia en 30 países, un 65% de su plantilla, casi 17.000 empleados trabajan en el exterior. </w:t>
      </w:r>
    </w:p>
    <w:p w14:paraId="7D4DF17C" w14:textId="77777777" w:rsidR="00D639E4" w:rsidRPr="006B7230" w:rsidRDefault="00D639E4" w:rsidP="00D639E4">
      <w:pPr>
        <w:jc w:val="both"/>
        <w:rPr>
          <w:rFonts w:ascii="Open Sans" w:hAnsi="Open Sans"/>
          <w:sz w:val="20"/>
          <w:szCs w:val="20"/>
        </w:rPr>
      </w:pPr>
    </w:p>
    <w:p w14:paraId="32362147"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La deuda financiera neta de OHL alcanza los 379,4 millones de euros a 31 de diciembre de 2015.</w:t>
      </w:r>
    </w:p>
    <w:p w14:paraId="61A764C0" w14:textId="77777777" w:rsidR="00D639E4" w:rsidRPr="006B7230" w:rsidRDefault="00D639E4" w:rsidP="00D639E4">
      <w:pPr>
        <w:jc w:val="both"/>
        <w:rPr>
          <w:rFonts w:ascii="Open Sans" w:hAnsi="Open Sans"/>
          <w:sz w:val="20"/>
          <w:szCs w:val="20"/>
        </w:rPr>
      </w:pPr>
    </w:p>
    <w:p w14:paraId="6DD11049"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El grupo OHL, con importante presencia en el ámbito internacional, desarrolla su actividad en diferentes sectores, entornos socioeconómicos y marcos reguladores. En este contexto existen riesgos de diversa naturaleza, consustanciales a los negocios y sectores en los que la compañía opera, entre ellos los de carácter fiscal y los ligados con la corrupción.</w:t>
      </w:r>
    </w:p>
    <w:p w14:paraId="086AA800" w14:textId="77777777" w:rsidR="00D639E4" w:rsidRPr="006B7230" w:rsidRDefault="00D639E4" w:rsidP="00D639E4">
      <w:pPr>
        <w:jc w:val="both"/>
        <w:rPr>
          <w:rFonts w:ascii="Open Sans" w:hAnsi="Open Sans"/>
          <w:sz w:val="20"/>
          <w:szCs w:val="20"/>
        </w:rPr>
      </w:pPr>
    </w:p>
    <w:p w14:paraId="7EBBB5A1"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La evasión fiscal en la industria de la construcción se manifiesta como un problema significativo en diversos países</w:t>
      </w:r>
      <w:r w:rsidRPr="006B7230">
        <w:rPr>
          <w:rFonts w:ascii="Open Sans" w:hAnsi="Open Sans"/>
          <w:sz w:val="20"/>
          <w:szCs w:val="20"/>
          <w:vertAlign w:val="superscript"/>
        </w:rPr>
        <w:footnoteReference w:id="343"/>
      </w:r>
      <w:r w:rsidRPr="006B7230">
        <w:rPr>
          <w:rFonts w:ascii="Open Sans" w:hAnsi="Open Sans"/>
          <w:sz w:val="20"/>
          <w:szCs w:val="20"/>
        </w:rPr>
        <w:t>. La agencia tributaria española señala también  al sector de la construcción como uno de los sectores clave en el fraude y evasión fiscal transfronteriza</w:t>
      </w:r>
      <w:r w:rsidRPr="006B7230">
        <w:rPr>
          <w:rFonts w:ascii="Open Sans" w:hAnsi="Open Sans"/>
          <w:sz w:val="20"/>
          <w:szCs w:val="20"/>
          <w:vertAlign w:val="superscript"/>
        </w:rPr>
        <w:footnoteReference w:id="344"/>
      </w:r>
      <w:r w:rsidRPr="006B7230">
        <w:rPr>
          <w:rFonts w:ascii="Open Sans" w:hAnsi="Open Sans"/>
          <w:sz w:val="20"/>
          <w:szCs w:val="20"/>
        </w:rPr>
        <w:t xml:space="preserve">. </w:t>
      </w:r>
    </w:p>
    <w:p w14:paraId="0233D315" w14:textId="77777777" w:rsidR="00D639E4" w:rsidRPr="006B7230" w:rsidRDefault="00D639E4" w:rsidP="00D639E4">
      <w:pPr>
        <w:jc w:val="both"/>
        <w:rPr>
          <w:rFonts w:ascii="Open Sans" w:hAnsi="Open Sans"/>
          <w:sz w:val="20"/>
          <w:szCs w:val="20"/>
        </w:rPr>
      </w:pPr>
    </w:p>
    <w:p w14:paraId="19358E32"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Por otro lado el sector de la construcción ligado a la obra civil tiene una íntima relación con la Administración Pública lo que implica una exposición de riesgo elevado en materia de corrupción. El grupo OHL mantiene un  fuerte volumen de contratación con diversas Administraciones Públicas estando entre las cuatro primeras empresas por obra contratada en el conjunto de las administraciones españolas.</w:t>
      </w:r>
      <w:r w:rsidRPr="006B7230">
        <w:rPr>
          <w:rFonts w:ascii="Open Sans" w:hAnsi="Open Sans"/>
          <w:sz w:val="20"/>
          <w:szCs w:val="20"/>
          <w:vertAlign w:val="superscript"/>
        </w:rPr>
        <w:footnoteReference w:id="345"/>
      </w:r>
      <w:r w:rsidRPr="006B7230">
        <w:rPr>
          <w:rFonts w:ascii="Open Sans" w:hAnsi="Open Sans"/>
          <w:sz w:val="20"/>
          <w:szCs w:val="20"/>
          <w:vertAlign w:val="superscript"/>
        </w:rPr>
        <w:t xml:space="preserve"> </w:t>
      </w:r>
      <w:r w:rsidRPr="006B7230">
        <w:rPr>
          <w:rFonts w:ascii="Open Sans" w:hAnsi="Open Sans"/>
          <w:sz w:val="20"/>
          <w:szCs w:val="20"/>
        </w:rPr>
        <w:t>Además tiene operativa en países con riesgo extremo y alto de corrupción de acuerdo con el Índice de percepción de la corrupción de Transparencia Internacional</w:t>
      </w:r>
      <w:r w:rsidRPr="006B7230">
        <w:rPr>
          <w:rFonts w:ascii="Open Sans" w:hAnsi="Open Sans"/>
          <w:sz w:val="20"/>
          <w:szCs w:val="20"/>
          <w:vertAlign w:val="superscript"/>
        </w:rPr>
        <w:footnoteReference w:id="346"/>
      </w:r>
      <w:r w:rsidRPr="006B7230">
        <w:rPr>
          <w:rFonts w:ascii="Open Sans" w:hAnsi="Open Sans"/>
          <w:sz w:val="20"/>
          <w:szCs w:val="20"/>
        </w:rPr>
        <w:t>.</w:t>
      </w:r>
    </w:p>
    <w:p w14:paraId="369CC52C" w14:textId="77777777" w:rsidR="00D639E4" w:rsidRPr="006B7230" w:rsidRDefault="00D639E4" w:rsidP="00D639E4">
      <w:pPr>
        <w:jc w:val="both"/>
        <w:rPr>
          <w:rFonts w:ascii="Open Sans" w:hAnsi="Open Sans"/>
          <w:sz w:val="20"/>
          <w:szCs w:val="20"/>
        </w:rPr>
      </w:pPr>
    </w:p>
    <w:p w14:paraId="3744EB86"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También el sector inmobiliario agrupa un conjunto de actividades de promoción y explotación de bienes inmuebles en las que intervienen diversos agentes en distintas etapas.  De acuerdo con la agencia tributaria el fraude inmobiliario tiene carácter estructural</w:t>
      </w:r>
      <w:r w:rsidRPr="006B7230">
        <w:rPr>
          <w:rFonts w:ascii="Open Sans" w:hAnsi="Open Sans"/>
          <w:sz w:val="20"/>
          <w:szCs w:val="20"/>
          <w:vertAlign w:val="superscript"/>
        </w:rPr>
        <w:footnoteReference w:id="347"/>
      </w:r>
      <w:r w:rsidRPr="006B7230">
        <w:rPr>
          <w:rFonts w:ascii="Open Sans" w:hAnsi="Open Sans"/>
          <w:sz w:val="20"/>
          <w:szCs w:val="20"/>
        </w:rPr>
        <w:t xml:space="preserve">. En el sector inmobiliario las tipologías de fraude más habituales consisten en la ocultación de la titularidad de los bienes o de la intervención del operador económico en el proceso urbanístico, la declaración de transmisiones por valores inferiores a los reales. Se trata de un sector idóneo para blanquear dinero oculto a la hacienda pública y por otro lado es propicio a generar dinero negro por la ocultación de las ganancias reales. </w:t>
      </w:r>
    </w:p>
    <w:p w14:paraId="6A0C328B" w14:textId="77777777" w:rsidR="00D639E4" w:rsidRPr="006B7230" w:rsidRDefault="00D639E4" w:rsidP="00D639E4">
      <w:pPr>
        <w:jc w:val="both"/>
        <w:rPr>
          <w:rFonts w:ascii="Open Sans" w:hAnsi="Open Sans"/>
          <w:sz w:val="20"/>
          <w:szCs w:val="20"/>
        </w:rPr>
      </w:pPr>
    </w:p>
    <w:p w14:paraId="70FBE78B"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OHL en el ejercicio 2015 ha lanzado el Plan Estratégico 2015-2020 con dos objetivos:  asegurar la generación de caja  y  garantizar  la  sostenibilidad  de  cada  una  de  sus  divisiones. Entre las actuaciones se indica fortalecer los mecanismos de gestión y control de riesgos. También ha actualizado la política  de sostenibilidad y se ha aprobado una política fiscal y una política  anticorrupción.</w:t>
      </w:r>
    </w:p>
    <w:p w14:paraId="0AEEB2AA" w14:textId="77777777" w:rsidR="00D639E4" w:rsidRPr="006B7230" w:rsidRDefault="00D639E4" w:rsidP="00D639E4">
      <w:pPr>
        <w:jc w:val="both"/>
        <w:rPr>
          <w:rFonts w:ascii="Open Sans" w:hAnsi="Open Sans"/>
          <w:sz w:val="20"/>
          <w:szCs w:val="20"/>
        </w:rPr>
      </w:pPr>
    </w:p>
    <w:p w14:paraId="0248DE48"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OHL tiene un compromiso con una fiscalidad responsable a través de dicha política fiscal que ha sido aprobada por el Consejo de Administración en mayo de 2015. Por otro lado, también en relación con la fiscalidad responsable, el grupo OHL en el código ético indica que “</w:t>
      </w:r>
      <w:r w:rsidRPr="006B7230">
        <w:rPr>
          <w:rFonts w:ascii="Open Sans" w:eastAsia="Times New Roman" w:hAnsi="Open Sans"/>
          <w:i/>
          <w:color w:val="17100D"/>
          <w:sz w:val="20"/>
          <w:szCs w:val="20"/>
        </w:rPr>
        <w:t>Quedan expresamente prohibidas aquellas conductas tendentes a la elusión de obligaciones tributarias u obtención de beneficios en detrimento de la Hacienda Pública, Seguridad Social y organismos equivalentes.”.</w:t>
      </w:r>
    </w:p>
    <w:p w14:paraId="40841E50" w14:textId="77777777" w:rsidR="00D639E4" w:rsidRPr="006B7230" w:rsidRDefault="00D639E4" w:rsidP="00D639E4">
      <w:pPr>
        <w:jc w:val="both"/>
        <w:rPr>
          <w:rFonts w:ascii="Open Sans" w:eastAsia="Times New Roman" w:hAnsi="Open Sans"/>
          <w:i/>
          <w:color w:val="17100D"/>
          <w:sz w:val="20"/>
          <w:szCs w:val="20"/>
        </w:rPr>
      </w:pPr>
    </w:p>
    <w:p w14:paraId="278BB8B6" w14:textId="77777777" w:rsidR="00D639E4" w:rsidRPr="006B7230" w:rsidRDefault="00D639E4" w:rsidP="00D639E4">
      <w:pPr>
        <w:jc w:val="both"/>
        <w:rPr>
          <w:rFonts w:ascii="Open Sans" w:hAnsi="Open Sans"/>
          <w:sz w:val="20"/>
          <w:szCs w:val="20"/>
        </w:rPr>
      </w:pPr>
      <w:r w:rsidRPr="006B7230">
        <w:rPr>
          <w:rFonts w:ascii="Open Sans" w:hAnsi="Open Sans"/>
          <w:sz w:val="20"/>
          <w:szCs w:val="20"/>
        </w:rPr>
        <w:t xml:space="preserve">En 2015 OHL ha renovado su presencia en el índice de sostenibilidad FTSE4Good Ibex. </w:t>
      </w:r>
    </w:p>
    <w:p w14:paraId="3639D9D6" w14:textId="77777777" w:rsidR="00D639E4" w:rsidRPr="006B7230" w:rsidRDefault="00D639E4" w:rsidP="00D639E4">
      <w:pPr>
        <w:jc w:val="both"/>
        <w:rPr>
          <w:rFonts w:ascii="Open Sans" w:hAnsi="Open Sans"/>
          <w:sz w:val="20"/>
          <w:szCs w:val="20"/>
        </w:rPr>
      </w:pPr>
    </w:p>
    <w:p w14:paraId="6466B7AA" w14:textId="77777777" w:rsidR="00D639E4" w:rsidRPr="006B7230" w:rsidRDefault="00D639E4" w:rsidP="00D639E4">
      <w:pPr>
        <w:jc w:val="both"/>
        <w:rPr>
          <w:rFonts w:ascii="Open Sans" w:hAnsi="Open Sans"/>
          <w:b/>
          <w:sz w:val="20"/>
          <w:szCs w:val="20"/>
          <w:u w:val="single"/>
        </w:rPr>
      </w:pPr>
      <w:r w:rsidRPr="006B7230">
        <w:rPr>
          <w:rFonts w:ascii="Open Sans" w:hAnsi="Open Sans"/>
          <w:b/>
          <w:sz w:val="20"/>
          <w:szCs w:val="20"/>
          <w:u w:val="single"/>
        </w:rPr>
        <w:br w:type="page"/>
      </w:r>
    </w:p>
    <w:p w14:paraId="53A0D531" w14:textId="77777777" w:rsidR="00D639E4" w:rsidRPr="006B7230" w:rsidRDefault="00D639E4" w:rsidP="00D639E4">
      <w:pPr>
        <w:jc w:val="both"/>
        <w:rPr>
          <w:rFonts w:ascii="Open Sans" w:hAnsi="Open Sans"/>
          <w:b/>
          <w:sz w:val="22"/>
          <w:szCs w:val="22"/>
          <w:u w:val="single"/>
        </w:rPr>
      </w:pPr>
      <w:r w:rsidRPr="006B7230">
        <w:rPr>
          <w:rFonts w:ascii="Open Sans" w:hAnsi="Open Sans"/>
          <w:b/>
          <w:sz w:val="22"/>
          <w:szCs w:val="22"/>
          <w:u w:val="single"/>
        </w:rPr>
        <w:t>4. Análisis</w:t>
      </w:r>
    </w:p>
    <w:p w14:paraId="5C1F89DF" w14:textId="77777777" w:rsidR="00D639E4" w:rsidRPr="006B7230" w:rsidRDefault="00D639E4" w:rsidP="00D639E4">
      <w:pPr>
        <w:jc w:val="both"/>
        <w:rPr>
          <w:rFonts w:ascii="Open Sans" w:hAnsi="Open Sans"/>
          <w:b/>
          <w:sz w:val="22"/>
          <w:szCs w:val="22"/>
        </w:rPr>
      </w:pPr>
    </w:p>
    <w:p w14:paraId="40F91E62"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300F5E6F" w14:textId="77777777" w:rsidR="00D639E4" w:rsidRPr="006B7230" w:rsidRDefault="00D639E4" w:rsidP="00D639E4">
      <w:pPr>
        <w:jc w:val="both"/>
        <w:rPr>
          <w:rFonts w:ascii="Open Sans" w:hAnsi="Open Sans"/>
          <w:sz w:val="20"/>
          <w:szCs w:val="20"/>
        </w:rPr>
      </w:pPr>
    </w:p>
    <w:p w14:paraId="58A69114"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xml:space="preserve">No se ha encontrado en la información analizada ningún posicionamiento de OHL en relación a lo que entiende el grupo por paraíso y nicho fiscal ni tampoco en relación a su actividad en dichos territorios. </w:t>
      </w:r>
      <w:r w:rsidRPr="006B7230">
        <w:rPr>
          <w:rFonts w:ascii="Open Sans" w:hAnsi="Open Sans"/>
          <w:sz w:val="20"/>
          <w:szCs w:val="20"/>
        </w:rPr>
        <w:t xml:space="preserve">A través de la información del Anexo II de las cuentas anuales sobre sociedades dependientes se conoce que OHL </w:t>
      </w:r>
      <w:r w:rsidRPr="006B7230">
        <w:rPr>
          <w:rFonts w:ascii="Open Sans" w:hAnsi="Open Sans"/>
          <w:bCs/>
          <w:sz w:val="20"/>
          <w:szCs w:val="20"/>
        </w:rPr>
        <w:t xml:space="preserve">cuenta con un total de 17 sociedades domiciliadas en países y territorios considerados paraíso fiscal (2 sociedades) o nicho fiscal (15 sociedades), de acuerdo con la metodología del Observatorio de RSC. </w:t>
      </w:r>
    </w:p>
    <w:p w14:paraId="0918946B" w14:textId="77777777" w:rsidR="00D639E4" w:rsidRPr="006B7230" w:rsidRDefault="00D639E4" w:rsidP="00D639E4">
      <w:pPr>
        <w:jc w:val="both"/>
        <w:rPr>
          <w:rFonts w:ascii="Open Sans" w:hAnsi="Open Sans"/>
          <w:bCs/>
          <w:sz w:val="20"/>
          <w:szCs w:val="20"/>
        </w:rPr>
      </w:pPr>
    </w:p>
    <w:p w14:paraId="0F0292C8"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Un aspecto a destacar es que el Anexo II indica que se trata de una “</w:t>
      </w:r>
      <w:r w:rsidRPr="006B7230">
        <w:rPr>
          <w:rFonts w:ascii="Open Sans" w:hAnsi="Open Sans"/>
          <w:bCs/>
          <w:i/>
          <w:sz w:val="20"/>
          <w:szCs w:val="20"/>
        </w:rPr>
        <w:t>identificación de las sociedades más significativas comprendidas en el Grupo consolidado al 31 de diciembre de 2015</w:t>
      </w:r>
      <w:r w:rsidRPr="006B7230">
        <w:rPr>
          <w:rFonts w:ascii="Open Sans" w:hAnsi="Open Sans"/>
          <w:bCs/>
          <w:sz w:val="20"/>
          <w:szCs w:val="20"/>
        </w:rPr>
        <w:t xml:space="preserve">”. Este detalle nos hace pensar que no están comprendidas todas las filiales que conforman el grupo OHL con lo que el número de empresas ubicadas en estos territorios podría ser aún mayor. </w:t>
      </w:r>
    </w:p>
    <w:p w14:paraId="70C5C830" w14:textId="77777777" w:rsidR="00D639E4" w:rsidRPr="006B7230" w:rsidRDefault="00D639E4" w:rsidP="00D639E4">
      <w:pPr>
        <w:jc w:val="both"/>
        <w:rPr>
          <w:rFonts w:ascii="Open Sans" w:hAnsi="Open Sans"/>
          <w:bCs/>
          <w:sz w:val="20"/>
          <w:szCs w:val="20"/>
        </w:rPr>
      </w:pPr>
    </w:p>
    <w:p w14:paraId="6E9DC8DA"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Con la información disponible, OHL tiene filiales en los siguientes países considerados paraísos fiscales según el Real Decreto  1080/91 y sus posteriores modificaciones</w:t>
      </w:r>
      <w:r w:rsidRPr="006B7230">
        <w:rPr>
          <w:rStyle w:val="Refdenotaalpie"/>
          <w:rFonts w:ascii="Open Sans" w:hAnsi="Open Sans"/>
          <w:bCs/>
          <w:sz w:val="20"/>
          <w:szCs w:val="20"/>
        </w:rPr>
        <w:footnoteReference w:id="348"/>
      </w:r>
      <w:r w:rsidRPr="006B7230">
        <w:rPr>
          <w:rFonts w:ascii="Open Sans" w:hAnsi="Open Sans"/>
          <w:bCs/>
          <w:sz w:val="20"/>
          <w:szCs w:val="20"/>
        </w:rPr>
        <w:t xml:space="preserve"> y listado de la OCDE: </w:t>
      </w:r>
    </w:p>
    <w:p w14:paraId="362F574B" w14:textId="77777777" w:rsidR="00D639E4" w:rsidRPr="006B7230" w:rsidRDefault="00D639E4" w:rsidP="00D639E4">
      <w:pPr>
        <w:jc w:val="both"/>
        <w:rPr>
          <w:rFonts w:ascii="Open Sans" w:hAnsi="Open Sans"/>
          <w:bCs/>
          <w:sz w:val="20"/>
          <w:szCs w:val="20"/>
        </w:rPr>
      </w:pPr>
    </w:p>
    <w:p w14:paraId="5134BB13"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xml:space="preserve">- </w:t>
      </w:r>
      <w:r w:rsidRPr="006B7230">
        <w:rPr>
          <w:rFonts w:ascii="Open Sans" w:hAnsi="Open Sans"/>
          <w:sz w:val="20"/>
          <w:szCs w:val="20"/>
        </w:rPr>
        <w:t xml:space="preserve"> Omán, Guernsey (UK)</w:t>
      </w:r>
    </w:p>
    <w:p w14:paraId="6EF9B824" w14:textId="77777777" w:rsidR="00D639E4" w:rsidRPr="006B7230" w:rsidRDefault="00D639E4" w:rsidP="00D639E4">
      <w:pPr>
        <w:jc w:val="both"/>
        <w:rPr>
          <w:rFonts w:ascii="Open Sans" w:hAnsi="Open Sans"/>
          <w:bCs/>
          <w:sz w:val="20"/>
          <w:szCs w:val="20"/>
        </w:rPr>
      </w:pPr>
    </w:p>
    <w:p w14:paraId="7D1A4106"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OHL tiene filiales en los siguientes países considerados nichos/paraísos  fiscales según la organización Tax Justice Network</w:t>
      </w:r>
      <w:r w:rsidRPr="006B7230">
        <w:rPr>
          <w:rStyle w:val="Refdenotaalpie"/>
          <w:rFonts w:ascii="Open Sans" w:hAnsi="Open Sans"/>
          <w:bCs/>
          <w:sz w:val="20"/>
          <w:szCs w:val="20"/>
        </w:rPr>
        <w:footnoteReference w:id="349"/>
      </w:r>
      <w:r w:rsidRPr="006B7230">
        <w:rPr>
          <w:rFonts w:ascii="Open Sans" w:hAnsi="Open Sans"/>
          <w:bCs/>
          <w:sz w:val="20"/>
          <w:szCs w:val="20"/>
        </w:rPr>
        <w:t xml:space="preserve"> y Parlamento Europeo.</w:t>
      </w:r>
    </w:p>
    <w:p w14:paraId="733D7E6F" w14:textId="77777777" w:rsidR="00D639E4" w:rsidRPr="006B7230" w:rsidRDefault="00D639E4" w:rsidP="00D639E4">
      <w:pPr>
        <w:jc w:val="both"/>
        <w:rPr>
          <w:rFonts w:ascii="Open Sans" w:hAnsi="Open Sans"/>
          <w:bCs/>
          <w:sz w:val="20"/>
          <w:szCs w:val="20"/>
        </w:rPr>
      </w:pPr>
    </w:p>
    <w:p w14:paraId="192860E3"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Arabia Saudita, Aruba, Delaware (EEUU), Luxemburgo, Singapur, Guatemala y Uruguay.</w:t>
      </w:r>
    </w:p>
    <w:p w14:paraId="3D19A1FB" w14:textId="77777777" w:rsidR="00D639E4" w:rsidRDefault="00D639E4" w:rsidP="00D639E4">
      <w:pPr>
        <w:jc w:val="both"/>
        <w:rPr>
          <w:rFonts w:ascii="Open Sans" w:hAnsi="Open Sans"/>
          <w:sz w:val="20"/>
          <w:szCs w:val="20"/>
        </w:rPr>
      </w:pPr>
    </w:p>
    <w:p w14:paraId="6B4270A2" w14:textId="77777777" w:rsidR="00D639E4" w:rsidRPr="006B7230" w:rsidRDefault="00D639E4" w:rsidP="00D639E4">
      <w:pPr>
        <w:jc w:val="both"/>
        <w:rPr>
          <w:rFonts w:ascii="Open Sans" w:hAnsi="Open Sans"/>
          <w:sz w:val="20"/>
          <w:szCs w:val="20"/>
        </w:rPr>
      </w:pP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5"/>
        <w:gridCol w:w="1983"/>
        <w:gridCol w:w="3506"/>
      </w:tblGrid>
      <w:tr w:rsidR="00D639E4" w:rsidRPr="006B7230" w14:paraId="552C0D0C" w14:textId="77777777" w:rsidTr="00D639E4">
        <w:trPr>
          <w:jc w:val="center"/>
        </w:trPr>
        <w:tc>
          <w:tcPr>
            <w:tcW w:w="2977" w:type="dxa"/>
            <w:shd w:val="clear" w:color="auto" w:fill="D9D9D9"/>
          </w:tcPr>
          <w:p w14:paraId="1B67F8E5" w14:textId="77777777" w:rsidR="00D639E4" w:rsidRPr="006B7230" w:rsidRDefault="00D639E4" w:rsidP="00D639E4">
            <w:pPr>
              <w:jc w:val="center"/>
              <w:rPr>
                <w:rFonts w:ascii="Open Sans" w:hAnsi="Open Sans"/>
                <w:b/>
                <w:bCs/>
                <w:sz w:val="20"/>
                <w:szCs w:val="20"/>
              </w:rPr>
            </w:pPr>
            <w:r w:rsidRPr="006B7230">
              <w:rPr>
                <w:rFonts w:ascii="Open Sans" w:hAnsi="Open Sans"/>
                <w:b/>
                <w:bCs/>
                <w:sz w:val="20"/>
                <w:szCs w:val="20"/>
              </w:rPr>
              <w:t>Nombre de la Sociedad</w:t>
            </w:r>
          </w:p>
        </w:tc>
        <w:tc>
          <w:tcPr>
            <w:tcW w:w="1984" w:type="dxa"/>
            <w:shd w:val="clear" w:color="auto" w:fill="D9D9D9"/>
          </w:tcPr>
          <w:p w14:paraId="7EC43371" w14:textId="77777777" w:rsidR="00D639E4" w:rsidRPr="006B7230" w:rsidRDefault="00D639E4" w:rsidP="00D639E4">
            <w:pPr>
              <w:jc w:val="center"/>
              <w:rPr>
                <w:rFonts w:ascii="Open Sans" w:hAnsi="Open Sans"/>
                <w:b/>
                <w:bCs/>
                <w:sz w:val="20"/>
                <w:szCs w:val="20"/>
              </w:rPr>
            </w:pPr>
            <w:r w:rsidRPr="006B7230">
              <w:rPr>
                <w:rFonts w:ascii="Open Sans" w:hAnsi="Open Sans"/>
                <w:b/>
                <w:bCs/>
                <w:sz w:val="20"/>
                <w:szCs w:val="20"/>
              </w:rPr>
              <w:t>Jurisdicción</w:t>
            </w:r>
          </w:p>
        </w:tc>
        <w:tc>
          <w:tcPr>
            <w:tcW w:w="3509" w:type="dxa"/>
            <w:shd w:val="clear" w:color="auto" w:fill="D9D9D9"/>
          </w:tcPr>
          <w:p w14:paraId="47F6767A" w14:textId="77777777" w:rsidR="00D639E4" w:rsidRPr="006B7230" w:rsidRDefault="00D639E4" w:rsidP="00D639E4">
            <w:pPr>
              <w:jc w:val="center"/>
              <w:rPr>
                <w:rFonts w:ascii="Open Sans" w:hAnsi="Open Sans"/>
                <w:b/>
                <w:bCs/>
                <w:sz w:val="20"/>
                <w:szCs w:val="20"/>
              </w:rPr>
            </w:pPr>
            <w:r w:rsidRPr="006B7230">
              <w:rPr>
                <w:rFonts w:ascii="Open Sans" w:hAnsi="Open Sans"/>
                <w:b/>
                <w:bCs/>
                <w:sz w:val="20"/>
                <w:szCs w:val="20"/>
              </w:rPr>
              <w:t>Actividad</w:t>
            </w:r>
          </w:p>
        </w:tc>
      </w:tr>
      <w:tr w:rsidR="00D639E4" w:rsidRPr="006B7230" w14:paraId="4301A2A3" w14:textId="77777777" w:rsidTr="00D639E4">
        <w:trPr>
          <w:jc w:val="center"/>
        </w:trPr>
        <w:tc>
          <w:tcPr>
            <w:tcW w:w="2977" w:type="dxa"/>
            <w:vAlign w:val="bottom"/>
          </w:tcPr>
          <w:p w14:paraId="15FD6053"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Arellano Construction Company</w:t>
            </w:r>
          </w:p>
        </w:tc>
        <w:tc>
          <w:tcPr>
            <w:tcW w:w="1984" w:type="dxa"/>
            <w:vAlign w:val="bottom"/>
          </w:tcPr>
          <w:p w14:paraId="34651743"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Aruba</w:t>
            </w:r>
          </w:p>
        </w:tc>
        <w:tc>
          <w:tcPr>
            <w:tcW w:w="3509" w:type="dxa"/>
            <w:vAlign w:val="bottom"/>
          </w:tcPr>
          <w:p w14:paraId="253A2747"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0284DB71" w14:textId="77777777" w:rsidTr="00D639E4">
        <w:trPr>
          <w:jc w:val="center"/>
        </w:trPr>
        <w:tc>
          <w:tcPr>
            <w:tcW w:w="2977" w:type="dxa"/>
            <w:vAlign w:val="bottom"/>
          </w:tcPr>
          <w:p w14:paraId="30C92ADF"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BNS International, INC.</w:t>
            </w:r>
          </w:p>
        </w:tc>
        <w:tc>
          <w:tcPr>
            <w:tcW w:w="1984" w:type="dxa"/>
            <w:vAlign w:val="bottom"/>
          </w:tcPr>
          <w:p w14:paraId="307E76D1"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Delaware (EEUU)</w:t>
            </w:r>
          </w:p>
        </w:tc>
        <w:tc>
          <w:tcPr>
            <w:tcW w:w="3509" w:type="dxa"/>
            <w:vAlign w:val="bottom"/>
          </w:tcPr>
          <w:p w14:paraId="7EA1068A"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20677AFC" w14:textId="77777777" w:rsidTr="00D639E4">
        <w:trPr>
          <w:jc w:val="center"/>
        </w:trPr>
        <w:tc>
          <w:tcPr>
            <w:tcW w:w="2977" w:type="dxa"/>
            <w:vAlign w:val="bottom"/>
          </w:tcPr>
          <w:p w14:paraId="3DE3228B"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JUDLAU CONTRACTING LLC</w:t>
            </w:r>
          </w:p>
        </w:tc>
        <w:tc>
          <w:tcPr>
            <w:tcW w:w="1984" w:type="dxa"/>
            <w:vAlign w:val="bottom"/>
          </w:tcPr>
          <w:p w14:paraId="4DB0F395"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Delaware (EEUU)</w:t>
            </w:r>
          </w:p>
        </w:tc>
        <w:tc>
          <w:tcPr>
            <w:tcW w:w="3509" w:type="dxa"/>
            <w:vAlign w:val="bottom"/>
          </w:tcPr>
          <w:p w14:paraId="187D77BE"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1ABF0A24" w14:textId="77777777" w:rsidTr="00D639E4">
        <w:trPr>
          <w:jc w:val="center"/>
        </w:trPr>
        <w:tc>
          <w:tcPr>
            <w:tcW w:w="2977" w:type="dxa"/>
            <w:vAlign w:val="bottom"/>
          </w:tcPr>
          <w:p w14:paraId="3CE5C98C"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Industrial USA, INC</w:t>
            </w:r>
          </w:p>
        </w:tc>
        <w:tc>
          <w:tcPr>
            <w:tcW w:w="1984" w:type="dxa"/>
            <w:vAlign w:val="bottom"/>
          </w:tcPr>
          <w:p w14:paraId="5671DBF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Delaware (EEUU)</w:t>
            </w:r>
          </w:p>
        </w:tc>
        <w:tc>
          <w:tcPr>
            <w:tcW w:w="3509" w:type="dxa"/>
            <w:vAlign w:val="center"/>
          </w:tcPr>
          <w:p w14:paraId="690FB5D1" w14:textId="77777777" w:rsidR="00D639E4" w:rsidRPr="006B7230" w:rsidRDefault="00D639E4" w:rsidP="00D639E4">
            <w:pPr>
              <w:rPr>
                <w:rFonts w:ascii="Open Sans" w:hAnsi="Open Sans"/>
                <w:sz w:val="20"/>
                <w:szCs w:val="20"/>
              </w:rPr>
            </w:pPr>
            <w:r w:rsidRPr="006B7230">
              <w:rPr>
                <w:rFonts w:ascii="Open Sans" w:hAnsi="Open Sans"/>
                <w:sz w:val="20"/>
                <w:szCs w:val="20"/>
              </w:rPr>
              <w:t>Ingeniería industrial y mantenimiento en plantas industriales</w:t>
            </w:r>
          </w:p>
        </w:tc>
      </w:tr>
      <w:tr w:rsidR="00D639E4" w:rsidRPr="006B7230" w14:paraId="48403F5C" w14:textId="77777777" w:rsidTr="00D639E4">
        <w:trPr>
          <w:jc w:val="center"/>
        </w:trPr>
        <w:tc>
          <w:tcPr>
            <w:tcW w:w="2977" w:type="dxa"/>
            <w:vAlign w:val="bottom"/>
          </w:tcPr>
          <w:p w14:paraId="2DF4BA2E"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Infraestructures Inc</w:t>
            </w:r>
          </w:p>
        </w:tc>
        <w:tc>
          <w:tcPr>
            <w:tcW w:w="1984" w:type="dxa"/>
            <w:vAlign w:val="bottom"/>
          </w:tcPr>
          <w:p w14:paraId="20974BE8"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Delaware (EEUU)</w:t>
            </w:r>
          </w:p>
        </w:tc>
        <w:tc>
          <w:tcPr>
            <w:tcW w:w="3509" w:type="dxa"/>
            <w:vAlign w:val="bottom"/>
          </w:tcPr>
          <w:p w14:paraId="6747CAE9"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Estudios financieros</w:t>
            </w:r>
          </w:p>
        </w:tc>
      </w:tr>
      <w:tr w:rsidR="00D639E4" w:rsidRPr="006B7230" w14:paraId="3246EC71" w14:textId="77777777" w:rsidTr="00D639E4">
        <w:trPr>
          <w:jc w:val="center"/>
        </w:trPr>
        <w:tc>
          <w:tcPr>
            <w:tcW w:w="2977" w:type="dxa"/>
            <w:vAlign w:val="bottom"/>
          </w:tcPr>
          <w:p w14:paraId="63CB89C8"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USA, INC.</w:t>
            </w:r>
          </w:p>
        </w:tc>
        <w:tc>
          <w:tcPr>
            <w:tcW w:w="1984" w:type="dxa"/>
            <w:vAlign w:val="bottom"/>
          </w:tcPr>
          <w:p w14:paraId="1271A3F0"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Delaware (EEUU)</w:t>
            </w:r>
          </w:p>
        </w:tc>
        <w:tc>
          <w:tcPr>
            <w:tcW w:w="3509" w:type="dxa"/>
            <w:vAlign w:val="center"/>
          </w:tcPr>
          <w:p w14:paraId="2CAADF58" w14:textId="77777777" w:rsidR="00D639E4" w:rsidRPr="006B7230" w:rsidRDefault="00D639E4" w:rsidP="00D639E4">
            <w:pPr>
              <w:rPr>
                <w:rFonts w:ascii="Open Sans" w:hAnsi="Open Sans"/>
                <w:sz w:val="20"/>
                <w:szCs w:val="20"/>
              </w:rPr>
            </w:pPr>
            <w:r w:rsidRPr="006B7230">
              <w:rPr>
                <w:rFonts w:ascii="Open Sans" w:hAnsi="Open Sans"/>
                <w:sz w:val="20"/>
                <w:szCs w:val="20"/>
              </w:rPr>
              <w:t>Construcción</w:t>
            </w:r>
          </w:p>
        </w:tc>
      </w:tr>
      <w:tr w:rsidR="00D639E4" w:rsidRPr="006B7230" w14:paraId="7C719D49" w14:textId="77777777" w:rsidTr="00D639E4">
        <w:trPr>
          <w:jc w:val="center"/>
        </w:trPr>
        <w:tc>
          <w:tcPr>
            <w:tcW w:w="2977" w:type="dxa"/>
            <w:vAlign w:val="bottom"/>
          </w:tcPr>
          <w:p w14:paraId="65E96ABD"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SAWGRASS ROCK QUARRY, INC.</w:t>
            </w:r>
          </w:p>
        </w:tc>
        <w:tc>
          <w:tcPr>
            <w:tcW w:w="1984" w:type="dxa"/>
            <w:vAlign w:val="bottom"/>
          </w:tcPr>
          <w:p w14:paraId="46B0BDA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Delaware (EEUU)</w:t>
            </w:r>
          </w:p>
        </w:tc>
        <w:tc>
          <w:tcPr>
            <w:tcW w:w="3509" w:type="dxa"/>
            <w:vAlign w:val="bottom"/>
          </w:tcPr>
          <w:p w14:paraId="0567DC0D"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444885BA" w14:textId="77777777" w:rsidTr="00D639E4">
        <w:trPr>
          <w:jc w:val="center"/>
        </w:trPr>
        <w:tc>
          <w:tcPr>
            <w:tcW w:w="2977" w:type="dxa"/>
            <w:vAlign w:val="bottom"/>
          </w:tcPr>
          <w:p w14:paraId="2DABED0F"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57 Whitehall holdings Limited</w:t>
            </w:r>
          </w:p>
        </w:tc>
        <w:tc>
          <w:tcPr>
            <w:tcW w:w="1984" w:type="dxa"/>
            <w:vAlign w:val="bottom"/>
          </w:tcPr>
          <w:p w14:paraId="37B235E3" w14:textId="77777777" w:rsidR="00D639E4" w:rsidRPr="006B7230" w:rsidRDefault="00D639E4" w:rsidP="00D639E4">
            <w:pPr>
              <w:rPr>
                <w:rFonts w:ascii="Open Sans" w:hAnsi="Open Sans"/>
                <w:color w:val="000000"/>
                <w:sz w:val="20"/>
                <w:szCs w:val="20"/>
              </w:rPr>
            </w:pPr>
            <w:r w:rsidRPr="006B7230">
              <w:rPr>
                <w:rFonts w:ascii="Open Sans" w:hAnsi="Open Sans"/>
                <w:sz w:val="20"/>
                <w:szCs w:val="20"/>
              </w:rPr>
              <w:t>Guernesey</w:t>
            </w:r>
          </w:p>
        </w:tc>
        <w:tc>
          <w:tcPr>
            <w:tcW w:w="3509" w:type="dxa"/>
            <w:vAlign w:val="bottom"/>
          </w:tcPr>
          <w:p w14:paraId="4ACA0C59"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Holding tenedora de valores</w:t>
            </w:r>
          </w:p>
        </w:tc>
      </w:tr>
      <w:tr w:rsidR="00D639E4" w:rsidRPr="006B7230" w14:paraId="116C18E4" w14:textId="77777777" w:rsidTr="00D639E4">
        <w:trPr>
          <w:jc w:val="center"/>
        </w:trPr>
        <w:tc>
          <w:tcPr>
            <w:tcW w:w="2977" w:type="dxa"/>
            <w:vAlign w:val="bottom"/>
          </w:tcPr>
          <w:p w14:paraId="2D3F10C8" w14:textId="77777777" w:rsidR="00D639E4" w:rsidRPr="006B7230" w:rsidRDefault="00D639E4" w:rsidP="00D639E4">
            <w:pPr>
              <w:rPr>
                <w:rFonts w:ascii="Open Sans" w:hAnsi="Open Sans"/>
                <w:color w:val="000000"/>
                <w:sz w:val="20"/>
                <w:szCs w:val="20"/>
                <w:lang w:val="en-GB"/>
              </w:rPr>
            </w:pPr>
            <w:r w:rsidRPr="006B7230">
              <w:rPr>
                <w:rFonts w:ascii="Open Sans" w:hAnsi="Open Sans"/>
                <w:color w:val="000000"/>
                <w:sz w:val="20"/>
                <w:szCs w:val="20"/>
                <w:lang w:val="en-GB"/>
              </w:rPr>
              <w:t>OHL Finance S.à.r.l</w:t>
            </w:r>
          </w:p>
        </w:tc>
        <w:tc>
          <w:tcPr>
            <w:tcW w:w="1984" w:type="dxa"/>
            <w:vAlign w:val="bottom"/>
          </w:tcPr>
          <w:p w14:paraId="677384D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Luxemburgo</w:t>
            </w:r>
          </w:p>
        </w:tc>
        <w:tc>
          <w:tcPr>
            <w:tcW w:w="3509" w:type="dxa"/>
            <w:vAlign w:val="center"/>
          </w:tcPr>
          <w:p w14:paraId="55BB6705" w14:textId="77777777" w:rsidR="00D639E4" w:rsidRPr="006B7230" w:rsidRDefault="00D639E4" w:rsidP="00D639E4">
            <w:pPr>
              <w:rPr>
                <w:rFonts w:ascii="Open Sans" w:hAnsi="Open Sans"/>
                <w:sz w:val="20"/>
                <w:szCs w:val="20"/>
              </w:rPr>
            </w:pPr>
            <w:r w:rsidRPr="006B7230">
              <w:rPr>
                <w:rFonts w:ascii="Open Sans" w:hAnsi="Open Sans"/>
                <w:sz w:val="20"/>
                <w:szCs w:val="20"/>
              </w:rPr>
              <w:t>Gestión</w:t>
            </w:r>
          </w:p>
        </w:tc>
      </w:tr>
      <w:tr w:rsidR="00D639E4" w:rsidRPr="006B7230" w14:paraId="7609B95A" w14:textId="77777777" w:rsidTr="00D639E4">
        <w:trPr>
          <w:jc w:val="center"/>
        </w:trPr>
        <w:tc>
          <w:tcPr>
            <w:tcW w:w="2977" w:type="dxa"/>
            <w:vAlign w:val="bottom"/>
          </w:tcPr>
          <w:p w14:paraId="7B038FC8"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Investments 1407 S.A.</w:t>
            </w:r>
          </w:p>
        </w:tc>
        <w:tc>
          <w:tcPr>
            <w:tcW w:w="1984" w:type="dxa"/>
            <w:vAlign w:val="bottom"/>
          </w:tcPr>
          <w:p w14:paraId="52AFEB4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Luxemburgo</w:t>
            </w:r>
          </w:p>
        </w:tc>
        <w:tc>
          <w:tcPr>
            <w:tcW w:w="3509" w:type="dxa"/>
            <w:vAlign w:val="bottom"/>
          </w:tcPr>
          <w:p w14:paraId="41E129B4"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 </w:t>
            </w:r>
          </w:p>
        </w:tc>
      </w:tr>
      <w:tr w:rsidR="00D639E4" w:rsidRPr="006B7230" w14:paraId="65F95C29" w14:textId="77777777" w:rsidTr="00D639E4">
        <w:trPr>
          <w:jc w:val="center"/>
        </w:trPr>
        <w:tc>
          <w:tcPr>
            <w:tcW w:w="2977" w:type="dxa"/>
            <w:vAlign w:val="bottom"/>
          </w:tcPr>
          <w:p w14:paraId="6E189F2A"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Investments, S.A.</w:t>
            </w:r>
          </w:p>
        </w:tc>
        <w:tc>
          <w:tcPr>
            <w:tcW w:w="1984" w:type="dxa"/>
            <w:vAlign w:val="bottom"/>
          </w:tcPr>
          <w:p w14:paraId="419EF6A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Luxemburgo</w:t>
            </w:r>
          </w:p>
        </w:tc>
        <w:tc>
          <w:tcPr>
            <w:tcW w:w="3509" w:type="dxa"/>
            <w:vAlign w:val="center"/>
          </w:tcPr>
          <w:p w14:paraId="0A687FBE" w14:textId="77777777" w:rsidR="00D639E4" w:rsidRPr="006B7230" w:rsidRDefault="00D639E4" w:rsidP="00D639E4">
            <w:pPr>
              <w:rPr>
                <w:rFonts w:ascii="Open Sans" w:hAnsi="Open Sans"/>
                <w:sz w:val="20"/>
                <w:szCs w:val="20"/>
              </w:rPr>
            </w:pPr>
            <w:r w:rsidRPr="006B7230">
              <w:rPr>
                <w:rFonts w:ascii="Open Sans" w:hAnsi="Open Sans"/>
                <w:sz w:val="20"/>
                <w:szCs w:val="20"/>
              </w:rPr>
              <w:t>Emisión de participaciones y cualquier instrumento de deuda</w:t>
            </w:r>
          </w:p>
        </w:tc>
      </w:tr>
      <w:tr w:rsidR="00D639E4" w:rsidRPr="006B7230" w14:paraId="4008E38F" w14:textId="77777777" w:rsidTr="00D639E4">
        <w:trPr>
          <w:jc w:val="center"/>
        </w:trPr>
        <w:tc>
          <w:tcPr>
            <w:tcW w:w="2977" w:type="dxa"/>
            <w:vAlign w:val="bottom"/>
          </w:tcPr>
          <w:p w14:paraId="2A517D51"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E y M Arabia LLC</w:t>
            </w:r>
          </w:p>
        </w:tc>
        <w:tc>
          <w:tcPr>
            <w:tcW w:w="1984" w:type="dxa"/>
            <w:vAlign w:val="bottom"/>
          </w:tcPr>
          <w:p w14:paraId="13415FE6"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Arabia Saudita</w:t>
            </w:r>
          </w:p>
        </w:tc>
        <w:tc>
          <w:tcPr>
            <w:tcW w:w="3509" w:type="dxa"/>
            <w:vAlign w:val="bottom"/>
          </w:tcPr>
          <w:p w14:paraId="4E08BB5E"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23BD77C2" w14:textId="77777777" w:rsidTr="00D639E4">
        <w:trPr>
          <w:jc w:val="center"/>
        </w:trPr>
        <w:tc>
          <w:tcPr>
            <w:tcW w:w="2977" w:type="dxa"/>
            <w:vAlign w:val="bottom"/>
          </w:tcPr>
          <w:p w14:paraId="300EB9B2"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Arabia LLC</w:t>
            </w:r>
          </w:p>
        </w:tc>
        <w:tc>
          <w:tcPr>
            <w:tcW w:w="1984" w:type="dxa"/>
            <w:vAlign w:val="bottom"/>
          </w:tcPr>
          <w:p w14:paraId="3FF6A5D9"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Arabia Saudita</w:t>
            </w:r>
          </w:p>
        </w:tc>
        <w:tc>
          <w:tcPr>
            <w:tcW w:w="3509" w:type="dxa"/>
            <w:vAlign w:val="bottom"/>
          </w:tcPr>
          <w:p w14:paraId="74455AE8"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 y mantenimiento</w:t>
            </w:r>
          </w:p>
        </w:tc>
      </w:tr>
      <w:tr w:rsidR="00D639E4" w:rsidRPr="006B7230" w14:paraId="26DC3B48" w14:textId="77777777" w:rsidTr="00D639E4">
        <w:trPr>
          <w:jc w:val="center"/>
        </w:trPr>
        <w:tc>
          <w:tcPr>
            <w:tcW w:w="2977" w:type="dxa"/>
            <w:vAlign w:val="bottom"/>
          </w:tcPr>
          <w:p w14:paraId="36A82285"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Industrial Delegación Guatemala</w:t>
            </w:r>
          </w:p>
        </w:tc>
        <w:tc>
          <w:tcPr>
            <w:tcW w:w="1984" w:type="dxa"/>
            <w:vAlign w:val="bottom"/>
          </w:tcPr>
          <w:p w14:paraId="6B41285F"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Guatemala</w:t>
            </w:r>
          </w:p>
        </w:tc>
        <w:tc>
          <w:tcPr>
            <w:tcW w:w="3509" w:type="dxa"/>
            <w:vAlign w:val="bottom"/>
          </w:tcPr>
          <w:p w14:paraId="3DB6BF78"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1E130258" w14:textId="77777777" w:rsidTr="00D639E4">
        <w:trPr>
          <w:jc w:val="center"/>
        </w:trPr>
        <w:tc>
          <w:tcPr>
            <w:tcW w:w="2977" w:type="dxa"/>
            <w:vAlign w:val="bottom"/>
          </w:tcPr>
          <w:p w14:paraId="69DB0714" w14:textId="77777777" w:rsidR="00D639E4" w:rsidRPr="006B7230" w:rsidRDefault="00D639E4" w:rsidP="00D639E4">
            <w:pPr>
              <w:rPr>
                <w:rFonts w:ascii="Open Sans" w:hAnsi="Open Sans"/>
                <w:color w:val="000000"/>
                <w:sz w:val="20"/>
                <w:szCs w:val="20"/>
                <w:lang w:val="en-GB"/>
              </w:rPr>
            </w:pPr>
            <w:r w:rsidRPr="006B7230">
              <w:rPr>
                <w:rFonts w:ascii="Open Sans" w:hAnsi="Open Sans"/>
                <w:color w:val="000000"/>
                <w:sz w:val="20"/>
                <w:szCs w:val="20"/>
                <w:lang w:val="en-GB"/>
              </w:rPr>
              <w:t>OHL Industrial and Partner LLC</w:t>
            </w:r>
          </w:p>
        </w:tc>
        <w:tc>
          <w:tcPr>
            <w:tcW w:w="1984" w:type="dxa"/>
            <w:vAlign w:val="bottom"/>
          </w:tcPr>
          <w:p w14:paraId="12AB86E0"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Omán</w:t>
            </w:r>
          </w:p>
        </w:tc>
        <w:tc>
          <w:tcPr>
            <w:tcW w:w="3509" w:type="dxa"/>
            <w:vAlign w:val="bottom"/>
          </w:tcPr>
          <w:p w14:paraId="5961F579"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Ingeniería industrial y mantenimiento en plantas industriales</w:t>
            </w:r>
          </w:p>
        </w:tc>
      </w:tr>
      <w:tr w:rsidR="00D639E4" w:rsidRPr="006B7230" w14:paraId="5B8906B3" w14:textId="77777777" w:rsidTr="00D639E4">
        <w:trPr>
          <w:jc w:val="center"/>
        </w:trPr>
        <w:tc>
          <w:tcPr>
            <w:tcW w:w="2977" w:type="dxa"/>
            <w:vAlign w:val="bottom"/>
          </w:tcPr>
          <w:p w14:paraId="5A4DA636" w14:textId="77777777" w:rsidR="00D639E4" w:rsidRPr="006B7230" w:rsidRDefault="00D639E4" w:rsidP="00D639E4">
            <w:pPr>
              <w:rPr>
                <w:rFonts w:ascii="Open Sans" w:hAnsi="Open Sans"/>
                <w:color w:val="000000"/>
                <w:sz w:val="20"/>
                <w:szCs w:val="20"/>
                <w:lang w:val="en-GB"/>
              </w:rPr>
            </w:pPr>
            <w:r w:rsidRPr="006B7230">
              <w:rPr>
                <w:rFonts w:ascii="Open Sans" w:hAnsi="Open Sans"/>
                <w:color w:val="000000"/>
                <w:sz w:val="20"/>
                <w:szCs w:val="20"/>
                <w:lang w:val="en-GB"/>
              </w:rPr>
              <w:t>OHL CONSTRUCTION SINGAPORE PTE. LTD.</w:t>
            </w:r>
          </w:p>
        </w:tc>
        <w:tc>
          <w:tcPr>
            <w:tcW w:w="1984" w:type="dxa"/>
            <w:vAlign w:val="bottom"/>
          </w:tcPr>
          <w:p w14:paraId="6FEE40F4"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Singapure</w:t>
            </w:r>
          </w:p>
        </w:tc>
        <w:tc>
          <w:tcPr>
            <w:tcW w:w="3509" w:type="dxa"/>
            <w:vAlign w:val="bottom"/>
          </w:tcPr>
          <w:p w14:paraId="223EBA97"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r w:rsidR="00D639E4" w:rsidRPr="006B7230" w14:paraId="0C4FFC81" w14:textId="77777777" w:rsidTr="00D639E4">
        <w:trPr>
          <w:jc w:val="center"/>
        </w:trPr>
        <w:tc>
          <w:tcPr>
            <w:tcW w:w="2977" w:type="dxa"/>
            <w:vAlign w:val="bottom"/>
          </w:tcPr>
          <w:p w14:paraId="32D2E4AF"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OHL Uruguay</w:t>
            </w:r>
          </w:p>
        </w:tc>
        <w:tc>
          <w:tcPr>
            <w:tcW w:w="1984" w:type="dxa"/>
            <w:vAlign w:val="bottom"/>
          </w:tcPr>
          <w:p w14:paraId="5F9BD761"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Uruguay</w:t>
            </w:r>
          </w:p>
        </w:tc>
        <w:tc>
          <w:tcPr>
            <w:tcW w:w="3509" w:type="dxa"/>
            <w:vAlign w:val="bottom"/>
          </w:tcPr>
          <w:p w14:paraId="78A27ADA" w14:textId="77777777" w:rsidR="00D639E4" w:rsidRPr="006B7230" w:rsidRDefault="00D639E4" w:rsidP="00D639E4">
            <w:pPr>
              <w:rPr>
                <w:rFonts w:ascii="Open Sans" w:hAnsi="Open Sans"/>
                <w:color w:val="000000"/>
                <w:sz w:val="20"/>
                <w:szCs w:val="20"/>
              </w:rPr>
            </w:pPr>
            <w:r w:rsidRPr="006B7230">
              <w:rPr>
                <w:rFonts w:ascii="Open Sans" w:hAnsi="Open Sans"/>
                <w:color w:val="000000"/>
                <w:sz w:val="20"/>
                <w:szCs w:val="20"/>
              </w:rPr>
              <w:t>Construcción</w:t>
            </w:r>
          </w:p>
        </w:tc>
      </w:tr>
    </w:tbl>
    <w:p w14:paraId="7396855A" w14:textId="77777777" w:rsidR="00D639E4" w:rsidRPr="006B7230" w:rsidRDefault="00D639E4" w:rsidP="00D639E4">
      <w:pPr>
        <w:jc w:val="both"/>
        <w:rPr>
          <w:rFonts w:ascii="Open Sans" w:hAnsi="Open Sans"/>
          <w:bCs/>
          <w:sz w:val="20"/>
          <w:szCs w:val="20"/>
        </w:rPr>
      </w:pPr>
    </w:p>
    <w:p w14:paraId="7086B924" w14:textId="77777777" w:rsidR="00D639E4" w:rsidRPr="006B7230" w:rsidRDefault="00D639E4" w:rsidP="00D639E4">
      <w:pPr>
        <w:jc w:val="both"/>
        <w:rPr>
          <w:rFonts w:ascii="Open Sans" w:hAnsi="Open Sans"/>
          <w:sz w:val="20"/>
          <w:szCs w:val="20"/>
        </w:rPr>
      </w:pPr>
      <w:r w:rsidRPr="006B7230">
        <w:rPr>
          <w:rFonts w:ascii="Open Sans" w:hAnsi="Open Sans"/>
          <w:bCs/>
          <w:sz w:val="20"/>
          <w:szCs w:val="20"/>
        </w:rPr>
        <w:t xml:space="preserve">Entre estas 17 sociedades </w:t>
      </w:r>
      <w:r w:rsidRPr="006B7230">
        <w:rPr>
          <w:rFonts w:ascii="Open Sans" w:hAnsi="Open Sans"/>
          <w:sz w:val="20"/>
          <w:szCs w:val="20"/>
        </w:rPr>
        <w:t>ubicadas en paraísos o nichos fiscales se considera que existe un grupo de 11 empresas que ofrecen dudas en cuanto a que su actividad tenga que ver con la operativa propia de negocio, puesto que tanto la declaración de la actividad como su ubicación generan dudas sobre su utilización posible dentro de una estrategia fiscal planificada y que no son susceptibles de resolverse al no aportar la empresa mayor información.</w:t>
      </w:r>
    </w:p>
    <w:p w14:paraId="7B798632" w14:textId="77777777" w:rsidR="00D639E4" w:rsidRPr="006B7230" w:rsidRDefault="00D639E4" w:rsidP="00D639E4">
      <w:pPr>
        <w:jc w:val="both"/>
        <w:rPr>
          <w:rFonts w:ascii="Open Sans" w:hAnsi="Open Sans"/>
          <w:bCs/>
          <w:sz w:val="20"/>
          <w:szCs w:val="20"/>
        </w:rPr>
      </w:pPr>
    </w:p>
    <w:p w14:paraId="001E3091"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OHL cuenta con 6 filiales en Delaware (EEUU). Estas filiales figuran en el Anexo II de las cuentas anuales pero domiciliadas en otras jurisdicciones de EEUU. A través de fuentes externas</w:t>
      </w:r>
      <w:r w:rsidRPr="006B7230">
        <w:rPr>
          <w:rStyle w:val="Refdenotaalpie"/>
          <w:rFonts w:ascii="Open Sans" w:hAnsi="Open Sans"/>
          <w:bCs/>
          <w:sz w:val="20"/>
          <w:szCs w:val="20"/>
        </w:rPr>
        <w:footnoteReference w:id="350"/>
      </w:r>
      <w:r w:rsidRPr="006B7230">
        <w:rPr>
          <w:rFonts w:ascii="Open Sans" w:hAnsi="Open Sans"/>
          <w:bCs/>
          <w:sz w:val="20"/>
          <w:szCs w:val="20"/>
        </w:rPr>
        <w:t xml:space="preserve"> se han localizado estas mismas filiales domiciliadas también en Delaware. Estas empresas en EEUU están registradas en diferentes estados debido a que la legislación norteamericana les exige estar registradas en cada estado donde quieran tener actividad. Sin embargo no se ha identificado que OHL tenga actividad operativa en el estado de Delaware y sin embargo estas 6 filiales se encuentran registradas también en este estado. </w:t>
      </w:r>
    </w:p>
    <w:p w14:paraId="2139DCA8" w14:textId="77777777" w:rsidR="00D639E4" w:rsidRPr="006B7230" w:rsidRDefault="00D639E4" w:rsidP="00D639E4">
      <w:pPr>
        <w:jc w:val="both"/>
        <w:rPr>
          <w:rFonts w:ascii="Open Sans" w:hAnsi="Open Sans"/>
          <w:bCs/>
          <w:sz w:val="20"/>
          <w:szCs w:val="20"/>
        </w:rPr>
      </w:pPr>
    </w:p>
    <w:p w14:paraId="43D2D26E" w14:textId="77777777" w:rsidR="00D639E4" w:rsidRPr="006B7230" w:rsidRDefault="00D639E4" w:rsidP="00D639E4">
      <w:pPr>
        <w:jc w:val="both"/>
        <w:rPr>
          <w:rFonts w:ascii="Open Sans" w:hAnsi="Open Sans"/>
          <w:color w:val="000000"/>
          <w:sz w:val="20"/>
          <w:szCs w:val="20"/>
        </w:rPr>
      </w:pPr>
      <w:r w:rsidRPr="006B7230">
        <w:rPr>
          <w:rFonts w:ascii="Open Sans" w:hAnsi="Open Sans"/>
          <w:bCs/>
          <w:sz w:val="20"/>
          <w:szCs w:val="20"/>
        </w:rPr>
        <w:t>En Luxemburgo cuenta con 2 sociedades, una indica que su actividad es “gestión” (</w:t>
      </w:r>
      <w:r w:rsidRPr="006B7230">
        <w:rPr>
          <w:rFonts w:ascii="Open Sans" w:hAnsi="Open Sans"/>
          <w:color w:val="000000"/>
          <w:sz w:val="20"/>
          <w:szCs w:val="20"/>
        </w:rPr>
        <w:t>OHL Finance S.à.r.l) y la otra “</w:t>
      </w:r>
      <w:r w:rsidRPr="006B7230">
        <w:rPr>
          <w:rFonts w:ascii="Open Sans" w:hAnsi="Open Sans"/>
          <w:sz w:val="20"/>
          <w:szCs w:val="20"/>
        </w:rPr>
        <w:t>Emisión de participaciones y cualquier instrumento de deuda” (</w:t>
      </w:r>
      <w:r w:rsidRPr="006B7230">
        <w:rPr>
          <w:rFonts w:ascii="Open Sans" w:hAnsi="Open Sans"/>
          <w:color w:val="000000"/>
          <w:sz w:val="20"/>
          <w:szCs w:val="20"/>
        </w:rPr>
        <w:t xml:space="preserve">OHL Investments, S.A.). También a través de la misma fuente externa se ha identificado la empresa OHL Investments 1407 S.A. domiciliada en Luxemburgo desde el año 2014 pero se desconoce la actividad de esta filial. </w:t>
      </w:r>
    </w:p>
    <w:p w14:paraId="09DF8D12" w14:textId="77777777" w:rsidR="00D639E4" w:rsidRPr="006B7230" w:rsidRDefault="00D639E4" w:rsidP="00D639E4">
      <w:pPr>
        <w:jc w:val="both"/>
        <w:rPr>
          <w:rFonts w:ascii="Open Sans" w:hAnsi="Open Sans"/>
          <w:color w:val="000000"/>
          <w:sz w:val="20"/>
          <w:szCs w:val="20"/>
        </w:rPr>
      </w:pPr>
    </w:p>
    <w:p w14:paraId="6033AD79" w14:textId="77777777" w:rsidR="00D639E4" w:rsidRPr="006B7230" w:rsidRDefault="00D639E4" w:rsidP="00D639E4">
      <w:pPr>
        <w:jc w:val="both"/>
        <w:rPr>
          <w:rFonts w:ascii="Open Sans" w:hAnsi="Open Sans"/>
          <w:color w:val="000000"/>
          <w:sz w:val="20"/>
          <w:szCs w:val="20"/>
        </w:rPr>
      </w:pPr>
      <w:r w:rsidRPr="006B7230">
        <w:rPr>
          <w:rFonts w:ascii="Open Sans" w:hAnsi="Open Sans"/>
          <w:color w:val="000000"/>
          <w:sz w:val="20"/>
          <w:szCs w:val="20"/>
        </w:rPr>
        <w:t xml:space="preserve">OHL tiene otras dos filiales que también generan dudas por su ubicación. La empresa OHL Arellano Construction Company si bien en las cuentas anuales indica como domicilio Florida (EEUU) se ha encontrado una filial de esta misma en Aruba. OHL tiene una participación indirecta del 100% aunque se desconoce a través de que sociedad ostenta la participación. También cuenta con una participación indirecta del 49% de una sociedad holding en </w:t>
      </w:r>
      <w:r w:rsidRPr="006B7230">
        <w:rPr>
          <w:rFonts w:ascii="Open Sans" w:hAnsi="Open Sans"/>
          <w:sz w:val="20"/>
          <w:szCs w:val="20"/>
        </w:rPr>
        <w:t xml:space="preserve">Guernsey, </w:t>
      </w:r>
      <w:r w:rsidRPr="006B7230">
        <w:rPr>
          <w:rFonts w:ascii="Open Sans" w:hAnsi="Open Sans"/>
          <w:color w:val="000000"/>
          <w:sz w:val="20"/>
          <w:szCs w:val="20"/>
        </w:rPr>
        <w:t xml:space="preserve">57 Whitehall holdings Limited, pero se desconoce a través de quién ostenta la participación y tampoco se ofrece mayor información sobre esta sociedad. </w:t>
      </w:r>
    </w:p>
    <w:p w14:paraId="3992F52A" w14:textId="77777777" w:rsidR="00D639E4" w:rsidRPr="006B7230" w:rsidRDefault="00D639E4" w:rsidP="00D639E4">
      <w:pPr>
        <w:jc w:val="both"/>
        <w:rPr>
          <w:rFonts w:ascii="Open Sans" w:hAnsi="Open Sans"/>
          <w:color w:val="000000"/>
          <w:sz w:val="20"/>
          <w:szCs w:val="20"/>
        </w:rPr>
      </w:pPr>
    </w:p>
    <w:p w14:paraId="55D42FE9"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El mayor accionista de OHL es Inmobiliaria Espacio SA con el 50,40% de participación indirecta a través de Grupo Villar Mir, SAU, Espacio Activos Financieros SLU y GVM Debentures Lux1, SA. Esta última domiciliada en Luxemburgo y que junto a otras a 4 empresa más domiciliadas en esta jurisdicción cuenta con activos por valor de 1.100 millones de euros</w:t>
      </w:r>
      <w:r w:rsidRPr="006B7230">
        <w:rPr>
          <w:rStyle w:val="Refdenotaalpie"/>
          <w:rFonts w:ascii="Open Sans" w:hAnsi="Open Sans"/>
          <w:bCs/>
          <w:sz w:val="20"/>
          <w:szCs w:val="20"/>
        </w:rPr>
        <w:footnoteReference w:id="351"/>
      </w:r>
      <w:r w:rsidRPr="006B7230">
        <w:rPr>
          <w:rFonts w:ascii="Open Sans" w:hAnsi="Open Sans"/>
          <w:bCs/>
          <w:sz w:val="20"/>
          <w:szCs w:val="20"/>
        </w:rPr>
        <w:t>. También, a través de fuentes externas</w:t>
      </w:r>
      <w:r w:rsidRPr="006B7230">
        <w:rPr>
          <w:rStyle w:val="Refdenotaalpie"/>
          <w:rFonts w:ascii="Open Sans" w:hAnsi="Open Sans"/>
          <w:bCs/>
          <w:sz w:val="20"/>
          <w:szCs w:val="20"/>
        </w:rPr>
        <w:footnoteReference w:id="352"/>
      </w:r>
      <w:r w:rsidRPr="006B7230">
        <w:rPr>
          <w:rFonts w:ascii="Open Sans" w:hAnsi="Open Sans"/>
          <w:bCs/>
          <w:sz w:val="20"/>
          <w:szCs w:val="20"/>
        </w:rPr>
        <w:t xml:space="preserve">, se relaciona a la consejera independiente Silvia Villar Mir como administradora  </w:t>
      </w:r>
      <w:r w:rsidRPr="006B7230">
        <w:rPr>
          <w:rFonts w:ascii="Open Sans" w:hAnsi="Open Sans"/>
          <w:sz w:val="20"/>
          <w:szCs w:val="20"/>
        </w:rPr>
        <w:t>de la sociedad británica European Art Gallery LTD que tiene vínculos con el paraíso fiscal de Mauricio.</w:t>
      </w:r>
    </w:p>
    <w:p w14:paraId="483EEDD0" w14:textId="77777777" w:rsidR="00D639E4" w:rsidRPr="006B7230" w:rsidRDefault="00D639E4" w:rsidP="00D639E4">
      <w:pPr>
        <w:jc w:val="both"/>
        <w:rPr>
          <w:rFonts w:ascii="Open Sans" w:hAnsi="Open Sans"/>
          <w:sz w:val="20"/>
          <w:szCs w:val="20"/>
        </w:rPr>
      </w:pPr>
    </w:p>
    <w:p w14:paraId="31361B2E"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OHL indica solamente que es función de la Comisión de Auditoría y Cumplimiento el “</w:t>
      </w:r>
      <w:r w:rsidRPr="006B7230">
        <w:rPr>
          <w:rFonts w:ascii="Open Sans" w:hAnsi="Open Sans"/>
          <w:bCs/>
          <w:i/>
          <w:sz w:val="20"/>
          <w:szCs w:val="20"/>
        </w:rPr>
        <w:t xml:space="preserve">l) Informar al Consejo con carácter previo a la adopción de acuerdos relativos a la creación o adquisición de participaciones en entidades de propósito especial o domiciliadas en países o territorios que tengan la consideración de paraísos fiscales”. </w:t>
      </w:r>
      <w:r w:rsidRPr="006B7230">
        <w:rPr>
          <w:rFonts w:ascii="Open Sans" w:hAnsi="Open Sans"/>
          <w:bCs/>
          <w:sz w:val="20"/>
          <w:szCs w:val="20"/>
        </w:rPr>
        <w:t xml:space="preserve">Más allá de esta indicación genérica OHL no aporta mayor información sobre la constitución de empresas en estos territorios. </w:t>
      </w:r>
    </w:p>
    <w:p w14:paraId="03BD8CA8" w14:textId="77777777" w:rsidR="00D639E4" w:rsidRPr="006B7230" w:rsidRDefault="00D639E4" w:rsidP="00D639E4">
      <w:pPr>
        <w:jc w:val="both"/>
        <w:rPr>
          <w:rFonts w:ascii="Open Sans" w:hAnsi="Open Sans"/>
          <w:bCs/>
          <w:sz w:val="20"/>
          <w:szCs w:val="20"/>
        </w:rPr>
      </w:pPr>
    </w:p>
    <w:p w14:paraId="19C9AD73" w14:textId="77777777" w:rsidR="00D639E4" w:rsidRPr="006B7230" w:rsidRDefault="00D639E4" w:rsidP="00D639E4">
      <w:pPr>
        <w:jc w:val="both"/>
        <w:rPr>
          <w:rFonts w:ascii="Open Sans" w:hAnsi="Open Sans" w:cs="Arial"/>
          <w:bCs/>
          <w:sz w:val="20"/>
          <w:szCs w:val="20"/>
        </w:rPr>
      </w:pPr>
      <w:r w:rsidRPr="006B7230">
        <w:rPr>
          <w:rFonts w:ascii="Open Sans" w:hAnsi="Open Sans"/>
          <w:bCs/>
          <w:sz w:val="20"/>
          <w:szCs w:val="20"/>
        </w:rPr>
        <w:t>Si bien la presencia de filiales en</w:t>
      </w:r>
      <w:r w:rsidRPr="006B7230">
        <w:rPr>
          <w:rFonts w:ascii="Open Sans" w:hAnsi="Open Sans" w:cs="Arial"/>
          <w:bCs/>
          <w:sz w:val="20"/>
          <w:szCs w:val="20"/>
        </w:rPr>
        <w:t xml:space="preserve"> territorios considerados paraísos o nichos fiscales no es en sí misma ilegal,</w:t>
      </w:r>
      <w:r w:rsidRPr="006B7230">
        <w:rPr>
          <w:rFonts w:ascii="Open Sans" w:hAnsi="Open Sans"/>
          <w:bCs/>
          <w:sz w:val="20"/>
          <w:szCs w:val="20"/>
        </w:rPr>
        <w:t xml:space="preserve"> </w:t>
      </w:r>
      <w:r w:rsidRPr="006B7230">
        <w:rPr>
          <w:rFonts w:ascii="Open Sans" w:hAnsi="Open Sans" w:cs="Arial"/>
          <w:bCs/>
          <w:sz w:val="20"/>
          <w:szCs w:val="20"/>
        </w:rPr>
        <w:t xml:space="preserve">pero puede representar, si se utilizasen para desempeñar estrategias de elusión fiscal, </w:t>
      </w:r>
      <w:r w:rsidRPr="006B7230">
        <w:rPr>
          <w:rFonts w:ascii="Open Sans" w:hAnsi="Open Sans"/>
          <w:bCs/>
          <w:sz w:val="20"/>
          <w:szCs w:val="20"/>
        </w:rPr>
        <w:t xml:space="preserve">actividad considerada socialmente irresponsable y que denota una falta de compromiso ante los grupos de interés en aquellos países donde se obtienen beneficios y en los cuales no se contribuye adecuadamente al sostenimiento de las políticas públicas. Por ello </w:t>
      </w:r>
      <w:r w:rsidRPr="006B7230">
        <w:rPr>
          <w:rFonts w:ascii="Open Sans" w:hAnsi="Open Sans" w:cs="Arial"/>
          <w:bCs/>
          <w:sz w:val="20"/>
          <w:szCs w:val="20"/>
        </w:rPr>
        <w:t xml:space="preserve">y para despejar cualquier tipo de duda, sería deseable que OHL aportara su posicionamiento sobre la operativa en estas jurisdicciones, así como una explicación más clara sobre la actividad realizada a través de estas filiales además de otra información relevante como es la operativa a través de estas sociedades, facturación, empleados, resultado contable, conciliación con el impuesto de sociedades a pagar. </w:t>
      </w:r>
    </w:p>
    <w:p w14:paraId="690FD2E4" w14:textId="77777777" w:rsidR="00D639E4" w:rsidRPr="006B7230" w:rsidRDefault="00D639E4" w:rsidP="00D639E4">
      <w:pPr>
        <w:jc w:val="both"/>
        <w:rPr>
          <w:rFonts w:ascii="Open Sans" w:hAnsi="Open Sans"/>
          <w:bCs/>
          <w:sz w:val="20"/>
          <w:szCs w:val="20"/>
        </w:rPr>
      </w:pPr>
    </w:p>
    <w:p w14:paraId="1F1A64EC"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xml:space="preserve">El Consejo de Administración aprobó en mayo de 2015 la política fiscal del grupo. Este documento no es público y la única información que se tiene sobre su contenido es un resumen a través del informe de sostenibilidad en donde OHL destaca alguno de los objetivos: </w:t>
      </w:r>
    </w:p>
    <w:p w14:paraId="529E8162" w14:textId="77777777" w:rsidR="00D639E4" w:rsidRPr="006B7230" w:rsidRDefault="00D639E4" w:rsidP="00D639E4">
      <w:pPr>
        <w:jc w:val="both"/>
        <w:rPr>
          <w:rFonts w:ascii="Open Sans" w:hAnsi="Open Sans"/>
          <w:bCs/>
          <w:sz w:val="20"/>
          <w:szCs w:val="20"/>
        </w:rPr>
      </w:pPr>
    </w:p>
    <w:p w14:paraId="25D669AA" w14:textId="77777777" w:rsidR="00D639E4" w:rsidRPr="006B7230" w:rsidRDefault="00D639E4" w:rsidP="000B70C9">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firstLine="0"/>
        <w:jc w:val="both"/>
        <w:rPr>
          <w:rFonts w:ascii="Open Sans" w:hAnsi="Open Sans"/>
          <w:bCs/>
          <w:i/>
          <w:sz w:val="20"/>
          <w:szCs w:val="20"/>
        </w:rPr>
      </w:pPr>
      <w:r w:rsidRPr="006B7230">
        <w:rPr>
          <w:rFonts w:ascii="Open Sans" w:hAnsi="Open Sans"/>
          <w:bCs/>
          <w:i/>
          <w:sz w:val="20"/>
          <w:szCs w:val="20"/>
        </w:rPr>
        <w:t>Dar a conocer el compromiso del Grupo OHL con el respeto y pleno cumplimiento de todas las leyes y reglamentos que le son aplicables en el ámbito de su actividad, y en particular con las de carácter fiscal, en todos los territorios donde opera.</w:t>
      </w:r>
    </w:p>
    <w:p w14:paraId="2DA0692A" w14:textId="77777777" w:rsidR="00D639E4" w:rsidRPr="006B7230" w:rsidRDefault="00D639E4" w:rsidP="000B70C9">
      <w:pPr>
        <w:widowControl w:val="0"/>
        <w:numPr>
          <w:ilvl w:val="0"/>
          <w:numId w:val="2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284" w:firstLine="0"/>
        <w:jc w:val="both"/>
        <w:rPr>
          <w:rFonts w:ascii="Open Sans" w:hAnsi="Open Sans"/>
          <w:bCs/>
          <w:i/>
          <w:sz w:val="20"/>
          <w:szCs w:val="20"/>
        </w:rPr>
      </w:pPr>
      <w:r w:rsidRPr="006B7230">
        <w:rPr>
          <w:rFonts w:ascii="Open Sans" w:hAnsi="Open Sans"/>
          <w:bCs/>
          <w:i/>
          <w:sz w:val="20"/>
          <w:szCs w:val="20"/>
        </w:rPr>
        <w:t>Trasladar los valores del Código Ético del Grupo OHL a su política de actuación específica en el ámbito fiscal y tributario, reforzando y explicitando con ello su compromiso con dichos valores.</w:t>
      </w:r>
    </w:p>
    <w:p w14:paraId="7DEF31E4" w14:textId="77777777" w:rsidR="00D639E4" w:rsidRPr="006B7230" w:rsidRDefault="00D639E4" w:rsidP="000B70C9">
      <w:pPr>
        <w:numPr>
          <w:ilvl w:val="0"/>
          <w:numId w:val="25"/>
        </w:numPr>
        <w:suppressAutoHyphens/>
        <w:ind w:left="284" w:firstLine="0"/>
        <w:jc w:val="both"/>
        <w:rPr>
          <w:rFonts w:ascii="Open Sans" w:hAnsi="Open Sans"/>
          <w:bCs/>
          <w:i/>
          <w:sz w:val="20"/>
          <w:szCs w:val="20"/>
        </w:rPr>
      </w:pPr>
      <w:r w:rsidRPr="006B7230">
        <w:rPr>
          <w:rFonts w:ascii="Open Sans" w:hAnsi="Open Sans"/>
          <w:bCs/>
          <w:i/>
          <w:sz w:val="20"/>
          <w:szCs w:val="20"/>
        </w:rPr>
        <w:t>Fortalecer con ello la reputación del Grupo OHL promoviendo activamente la actuación responsable de todas las personas que le representan conforme a los más altos estándares éticos, lo que incluye el cumplimiento estricto de la normativa fiscal que les es de aplicación.</w:t>
      </w:r>
    </w:p>
    <w:p w14:paraId="5C59FC86" w14:textId="77777777" w:rsidR="00D639E4" w:rsidRPr="006B7230" w:rsidRDefault="00D639E4" w:rsidP="00D639E4">
      <w:pPr>
        <w:jc w:val="both"/>
        <w:rPr>
          <w:rFonts w:ascii="Open Sans" w:hAnsi="Open Sans"/>
          <w:bCs/>
          <w:sz w:val="20"/>
          <w:szCs w:val="20"/>
        </w:rPr>
      </w:pPr>
    </w:p>
    <w:p w14:paraId="033994E6" w14:textId="77777777" w:rsidR="00D639E4" w:rsidRPr="006B7230" w:rsidRDefault="00D639E4" w:rsidP="00D639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eastAsia="Times New Roman" w:hAnsi="Open Sans" w:cs="Helvetica"/>
          <w:color w:val="000000"/>
          <w:sz w:val="20"/>
          <w:szCs w:val="20"/>
        </w:rPr>
      </w:pPr>
      <w:r w:rsidRPr="006B7230">
        <w:rPr>
          <w:rFonts w:ascii="Open Sans" w:hAnsi="Open Sans" w:cs="Arial"/>
          <w:bCs/>
          <w:sz w:val="20"/>
          <w:szCs w:val="20"/>
        </w:rPr>
        <w:t xml:space="preserve">La empresa menciona que cuenta con una Política de Gestión de Riesgos del Grupo OHL aprobada en 2014, sin embargo dicha política tampoco es un documento público. En el informe de sostenibilidad aporta información más detallada sobre el sistema de gestión de riesgos pero más allá de una mención genérica a riesgos fiscales </w:t>
      </w:r>
      <w:r w:rsidRPr="006B7230">
        <w:rPr>
          <w:rFonts w:ascii="Open Sans" w:hAnsi="Open Sans" w:cs="Arial"/>
          <w:bCs/>
          <w:i/>
          <w:sz w:val="20"/>
          <w:szCs w:val="20"/>
        </w:rPr>
        <w:t>“</w:t>
      </w:r>
      <w:r w:rsidRPr="006B7230">
        <w:rPr>
          <w:rFonts w:ascii="Open Sans" w:eastAsia="Times New Roman" w:hAnsi="Open Sans" w:cs="Helvetica"/>
          <w:i/>
          <w:color w:val="000000"/>
          <w:sz w:val="20"/>
          <w:szCs w:val="20"/>
        </w:rPr>
        <w:t xml:space="preserve">Riesgos financieros: riesgos relacionados con el acceso a los mercados financieros, la gestión de la tesorería, la gestión de la fiscalidad, la fiabilidad de la información económico-financiera y la gestión de seguros”, </w:t>
      </w:r>
      <w:r w:rsidRPr="006B7230">
        <w:rPr>
          <w:rFonts w:ascii="Open Sans" w:eastAsia="Times New Roman" w:hAnsi="Open Sans" w:cs="Helvetica"/>
          <w:color w:val="000000"/>
          <w:sz w:val="20"/>
          <w:szCs w:val="20"/>
        </w:rPr>
        <w:t xml:space="preserve">no hay constancia de que la empresa identifique riesgos fiscales específicos. </w:t>
      </w:r>
    </w:p>
    <w:p w14:paraId="5311E477" w14:textId="77777777" w:rsidR="00D639E4" w:rsidRPr="006B7230" w:rsidRDefault="00D639E4" w:rsidP="00D639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eastAsia="Times New Roman" w:hAnsi="Open Sans" w:cs="Helvetica"/>
          <w:color w:val="000000"/>
          <w:sz w:val="20"/>
          <w:szCs w:val="20"/>
        </w:rPr>
      </w:pPr>
    </w:p>
    <w:p w14:paraId="707689D0" w14:textId="77777777" w:rsidR="00D639E4" w:rsidRPr="006B7230" w:rsidRDefault="00D639E4" w:rsidP="00D639E4">
      <w:pPr>
        <w:jc w:val="both"/>
        <w:rPr>
          <w:rFonts w:ascii="Open Sans" w:hAnsi="Open Sans" w:cs="Arial"/>
          <w:bCs/>
          <w:sz w:val="20"/>
          <w:szCs w:val="20"/>
        </w:rPr>
      </w:pPr>
      <w:r w:rsidRPr="006B7230">
        <w:rPr>
          <w:rFonts w:ascii="Open Sans" w:hAnsi="Open Sans" w:cs="Arial"/>
          <w:bCs/>
          <w:sz w:val="20"/>
          <w:szCs w:val="20"/>
        </w:rPr>
        <w:t>Es responsabilidad de la Comisión de Auditoría y Cumplimiento, entre otras, la supervisión de los sistemas de gestión de riesgos. Se informa que dicha comisión mantuvo 12 reuniones a lo largo del ejercicio 2015 pero no se informa con claridad cuales han sido las temáticas así como las decisiones tomadas en cada una de las reuniones, solo se indica que se “</w:t>
      </w:r>
      <w:r w:rsidRPr="006B7230">
        <w:rPr>
          <w:rFonts w:ascii="Open Sans" w:hAnsi="Open Sans" w:cs="Arial"/>
          <w:bCs/>
          <w:i/>
          <w:sz w:val="20"/>
          <w:szCs w:val="20"/>
        </w:rPr>
        <w:t>ha realizado el seguimiento del proceso de implantación y mejora del sistema de control interno sobre información financiera del Grupo y del mapa de riesgos de la Compañía. Durante el ejercicio 2015 la Comisión realizó el seguimiento y aprobó las respuestas dadas a los requerimientos de información formulados por la CNMV e informó favorablemente al consejo, entre otros acuerdos, de la Política fiscal del Grupo aprobada</w:t>
      </w:r>
      <w:r w:rsidRPr="006B7230">
        <w:rPr>
          <w:rFonts w:ascii="Open Sans" w:hAnsi="Open Sans" w:cs="Arial"/>
          <w:bCs/>
          <w:sz w:val="20"/>
          <w:szCs w:val="20"/>
        </w:rPr>
        <w:t>”.</w:t>
      </w:r>
    </w:p>
    <w:p w14:paraId="0E91E694" w14:textId="77777777" w:rsidR="00D639E4" w:rsidRPr="006B7230" w:rsidRDefault="00D639E4" w:rsidP="00D639E4">
      <w:pPr>
        <w:jc w:val="both"/>
        <w:rPr>
          <w:rFonts w:ascii="Open Sans" w:hAnsi="Open Sans" w:cs="Arial"/>
          <w:bCs/>
          <w:sz w:val="20"/>
          <w:szCs w:val="20"/>
        </w:rPr>
      </w:pPr>
    </w:p>
    <w:p w14:paraId="0E47728B"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xml:space="preserve">Durante el ejercicio 2015 OHL no estaba  adherida a ningún estándar de fiscalidad responsable informando que la adhesión al Código de Buenas Prácticas Tributarias de la Agencia Tributaria se realizó en febrero de 2016. </w:t>
      </w:r>
    </w:p>
    <w:p w14:paraId="6601E981" w14:textId="77777777" w:rsidR="00D639E4" w:rsidRPr="006B7230" w:rsidRDefault="00D639E4" w:rsidP="00D639E4">
      <w:pPr>
        <w:jc w:val="both"/>
        <w:rPr>
          <w:rFonts w:ascii="Open Sans" w:hAnsi="Open Sans"/>
          <w:bCs/>
          <w:sz w:val="20"/>
          <w:szCs w:val="20"/>
        </w:rPr>
      </w:pPr>
    </w:p>
    <w:p w14:paraId="7267DDBD"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xml:space="preserve">OHL apenas aporta información relativa a la estructura societaria del grupo, además en el anexo II sobre sociedades dependientes indica que se trata de un listado de las más significativas, generando por tanto dudas de si se informa de toda las filiales que conforman el grupo. La actividad que reporta sobre las filiales es genérica.  Aporta algunos datos económicos así como el porcentaje de participación directa e indirecta pero no se indica a través de qué sociedad se ostenta la participación. Este aspecto es fundamental desde una visión de transparencia ya que a través de estas estructuras pudiera favorecerse la ocultación de identidad, de activos y de beneficios. </w:t>
      </w:r>
    </w:p>
    <w:p w14:paraId="15B2A0BC" w14:textId="77777777" w:rsidR="00D639E4" w:rsidRPr="006B7230" w:rsidRDefault="00D639E4" w:rsidP="00D639E4">
      <w:pPr>
        <w:jc w:val="both"/>
        <w:rPr>
          <w:rFonts w:ascii="Open Sans" w:hAnsi="Open Sans"/>
          <w:bCs/>
          <w:sz w:val="20"/>
          <w:szCs w:val="20"/>
        </w:rPr>
      </w:pPr>
    </w:p>
    <w:p w14:paraId="00CD168E"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 xml:space="preserve">OHL no aporta información sobre los impuestos pagados de manera desglosada país a país. En el informe de sostenibilidad dedica un apartado a impuestos pagados, sin embargo la información se aporta de manera consolidada impidiendo conocer el aporte real por país a las diferentes agencias tributarias. A través de las cuentas anuales se informa que el grupo informa en régimen de consolidación fiscal para sus sociedades en España, EEUU y México, en todas las sociedades que cumplen los requisitos para hacerlo. El resto de sociedades lo hacen de forma individual. </w:t>
      </w:r>
    </w:p>
    <w:p w14:paraId="56E6F949" w14:textId="77777777" w:rsidR="00D639E4" w:rsidRPr="006B7230" w:rsidRDefault="00D639E4" w:rsidP="00D639E4">
      <w:pPr>
        <w:jc w:val="both"/>
        <w:rPr>
          <w:rFonts w:ascii="Open Sans" w:hAnsi="Open Sans"/>
          <w:bCs/>
          <w:sz w:val="20"/>
          <w:szCs w:val="20"/>
        </w:rPr>
      </w:pPr>
    </w:p>
    <w:p w14:paraId="75F64C18" w14:textId="77777777" w:rsidR="00D639E4" w:rsidRPr="006B7230" w:rsidRDefault="00D639E4" w:rsidP="00D639E4">
      <w:pPr>
        <w:jc w:val="both"/>
        <w:rPr>
          <w:rFonts w:ascii="Open Sans" w:hAnsi="Open Sans"/>
          <w:bCs/>
          <w:sz w:val="20"/>
          <w:szCs w:val="20"/>
        </w:rPr>
      </w:pPr>
      <w:r w:rsidRPr="006B7230">
        <w:rPr>
          <w:rFonts w:ascii="Open Sans" w:hAnsi="Open Sans"/>
          <w:bCs/>
          <w:sz w:val="20"/>
          <w:szCs w:val="20"/>
        </w:rPr>
        <w:t>En las cuentas anuales se aporta un listado de los tipos impositivos en 20 de los países en los que la empresa tiene actividad pero no aporta los tipos impositivos efectivos en cada uno de ellos. La empresa solo indica que en la consolidación del impuesto de sociedades del grupo la tasa impositiva ha sido del 28,10%.</w:t>
      </w:r>
    </w:p>
    <w:p w14:paraId="04D23394" w14:textId="77777777" w:rsidR="00D639E4" w:rsidRPr="006B7230" w:rsidRDefault="00D639E4" w:rsidP="00D639E4">
      <w:pPr>
        <w:jc w:val="both"/>
        <w:rPr>
          <w:rFonts w:ascii="Open Sans" w:hAnsi="Open Sans"/>
          <w:bCs/>
          <w:sz w:val="20"/>
          <w:szCs w:val="20"/>
        </w:rPr>
      </w:pPr>
    </w:p>
    <w:p w14:paraId="0F1155D0" w14:textId="77777777" w:rsidR="00D639E4" w:rsidRPr="006B7230" w:rsidRDefault="00D639E4" w:rsidP="00D639E4">
      <w:pPr>
        <w:jc w:val="both"/>
        <w:rPr>
          <w:rFonts w:ascii="Open Sans" w:hAnsi="Open Sans" w:cs="Arial"/>
          <w:bCs/>
          <w:sz w:val="20"/>
          <w:szCs w:val="20"/>
        </w:rPr>
      </w:pPr>
      <w:r w:rsidRPr="006B7230">
        <w:rPr>
          <w:rFonts w:ascii="Open Sans" w:hAnsi="Open Sans" w:cs="Arial"/>
          <w:bCs/>
          <w:sz w:val="20"/>
          <w:szCs w:val="20"/>
        </w:rPr>
        <w:t xml:space="preserve">En relación a deducciones aplicadas al resultado del ejercicio informa de un importe global de 2.650 miles de euros en concepto de deducciones y bonificaciones, sin embargo no aporta ninguna explicación que indique a qué han sido debidas. También indica que tiene deducciones por doble imposición pendientes de aplicación por 5.746 miles de euros y deducciones por inversión por 51.730 miles de euros. </w:t>
      </w:r>
    </w:p>
    <w:p w14:paraId="2715C403" w14:textId="77777777" w:rsidR="00D639E4" w:rsidRPr="006B7230" w:rsidRDefault="00D639E4" w:rsidP="00D639E4">
      <w:pPr>
        <w:jc w:val="both"/>
        <w:rPr>
          <w:rFonts w:ascii="Open Sans" w:hAnsi="Open Sans" w:cs="Arial"/>
          <w:bCs/>
          <w:sz w:val="20"/>
          <w:szCs w:val="20"/>
        </w:rPr>
      </w:pPr>
    </w:p>
    <w:p w14:paraId="090D6A74" w14:textId="77777777" w:rsidR="00D639E4" w:rsidRPr="006B7230" w:rsidRDefault="00D639E4" w:rsidP="00D639E4">
      <w:pPr>
        <w:jc w:val="both"/>
        <w:rPr>
          <w:rFonts w:ascii="Open Sans" w:hAnsi="Open Sans" w:cs="Arial"/>
          <w:bCs/>
          <w:sz w:val="20"/>
          <w:szCs w:val="20"/>
        </w:rPr>
      </w:pPr>
      <w:r w:rsidRPr="006B7230">
        <w:rPr>
          <w:rFonts w:ascii="Open Sans" w:hAnsi="Open Sans" w:cs="Arial"/>
          <w:bCs/>
          <w:sz w:val="20"/>
          <w:szCs w:val="20"/>
        </w:rPr>
        <w:t xml:space="preserve">Detalla los importes de créditos fiscales (activos por impuestos diferidos) derivados de pérdidas pendientes de compensar y deducciones por un total de 396.224 miles euros. También informa que tiene pendiente de compensar en futuras liquidaciones ante la administración tributaria bases imponibles negativas por 2.332.576 miles de euros. </w:t>
      </w:r>
    </w:p>
    <w:p w14:paraId="62B9A2EE" w14:textId="77777777" w:rsidR="00D639E4" w:rsidRPr="006B7230" w:rsidRDefault="00D639E4" w:rsidP="00D639E4">
      <w:pPr>
        <w:jc w:val="both"/>
        <w:rPr>
          <w:rFonts w:ascii="Open Sans" w:hAnsi="Open Sans" w:cs="Arial"/>
          <w:bCs/>
          <w:sz w:val="20"/>
          <w:szCs w:val="20"/>
        </w:rPr>
      </w:pPr>
    </w:p>
    <w:p w14:paraId="06AC668C" w14:textId="77777777" w:rsidR="00D639E4" w:rsidRPr="006B7230" w:rsidRDefault="00D639E4" w:rsidP="00D639E4">
      <w:pPr>
        <w:jc w:val="both"/>
        <w:rPr>
          <w:rFonts w:ascii="Open Sans" w:hAnsi="Open Sans"/>
          <w:sz w:val="20"/>
          <w:szCs w:val="20"/>
          <w:shd w:val="clear" w:color="auto" w:fill="FFFFFF"/>
        </w:rPr>
      </w:pPr>
      <w:r w:rsidRPr="006B7230">
        <w:rPr>
          <w:rFonts w:ascii="Open Sans" w:hAnsi="Open Sans"/>
          <w:sz w:val="20"/>
          <w:szCs w:val="20"/>
          <w:shd w:val="clear" w:color="auto" w:fill="FFFFFF"/>
        </w:rPr>
        <w:t xml:space="preserve">En relación a las subvenciones recibidas de administraciones públicas no se aporta ningún desglose por país o sociedades de las subvenciones públicas concedidas a OHL, solamente hay indicación de las subvenciones concedidas por los organismos españoles y por la Comisión Europea durante el año 2015 en un total de 291 miles de euros y presenta las subvenciones a nivel global que en 2015 el importe total fue de 52.675 miles de euros. </w:t>
      </w:r>
    </w:p>
    <w:p w14:paraId="1EE6B36C" w14:textId="77777777" w:rsidR="00D639E4" w:rsidRPr="006B7230" w:rsidRDefault="00D639E4" w:rsidP="00D639E4">
      <w:pPr>
        <w:jc w:val="both"/>
        <w:rPr>
          <w:rFonts w:ascii="Open Sans" w:hAnsi="Open Sans"/>
          <w:sz w:val="20"/>
          <w:szCs w:val="20"/>
          <w:shd w:val="clear" w:color="auto" w:fill="FFFFFF"/>
        </w:rPr>
      </w:pPr>
    </w:p>
    <w:p w14:paraId="137DF04F" w14:textId="77777777" w:rsidR="00D639E4" w:rsidRPr="006B7230" w:rsidRDefault="00D639E4" w:rsidP="00D639E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i/>
          <w:sz w:val="20"/>
          <w:szCs w:val="20"/>
          <w:shd w:val="clear" w:color="auto" w:fill="FFFFFF"/>
        </w:rPr>
      </w:pPr>
      <w:r w:rsidRPr="006B7230">
        <w:rPr>
          <w:rFonts w:ascii="Open Sans" w:hAnsi="Open Sans"/>
          <w:sz w:val="20"/>
          <w:szCs w:val="20"/>
          <w:shd w:val="clear" w:color="auto" w:fill="FFFFFF"/>
        </w:rPr>
        <w:t>OHL indica que “</w:t>
      </w:r>
      <w:r w:rsidRPr="006B7230">
        <w:rPr>
          <w:rFonts w:ascii="Open Sans" w:hAnsi="Open Sans"/>
          <w:i/>
          <w:sz w:val="20"/>
          <w:szCs w:val="20"/>
          <w:shd w:val="clear" w:color="auto" w:fill="FFFFFF"/>
        </w:rPr>
        <w:t>en su relación con las administraciones tributarias, el Grupo OHL promueve una relación basada en el principio de transparencia y confianza mutua, lo que favorece una relación conforme al principio de buena fe y lealtad entre las partes</w:t>
      </w:r>
      <w:r w:rsidRPr="006B7230">
        <w:rPr>
          <w:rFonts w:ascii="Open Sans" w:hAnsi="Open Sans"/>
          <w:sz w:val="20"/>
          <w:szCs w:val="20"/>
          <w:shd w:val="clear" w:color="auto" w:fill="FFFFFF"/>
        </w:rPr>
        <w:t>”. Este compromiso también se encuentra recogido en su código ético, “</w:t>
      </w:r>
      <w:r w:rsidRPr="006B7230">
        <w:rPr>
          <w:rFonts w:ascii="Open Sans" w:eastAsia="Times New Roman" w:hAnsi="Open Sans" w:cs="Helvetica"/>
          <w:i/>
          <w:color w:val="17100D"/>
          <w:sz w:val="20"/>
          <w:szCs w:val="20"/>
        </w:rPr>
        <w:t xml:space="preserve">se compromete a colaborar con los órganos o entidades supervisoras o inspectoras en todo </w:t>
      </w:r>
      <w:r w:rsidRPr="006B7230">
        <w:rPr>
          <w:rFonts w:ascii="Open Sans" w:hAnsi="Open Sans"/>
          <w:i/>
          <w:sz w:val="20"/>
          <w:szCs w:val="20"/>
          <w:shd w:val="clear" w:color="auto" w:fill="FFFFFF"/>
        </w:rPr>
        <w:t>cuanto le sea requerido a fin de facilitar la supervisión administrativa</w:t>
      </w:r>
      <w:proofErr w:type="gramStart"/>
      <w:r w:rsidRPr="006B7230">
        <w:rPr>
          <w:rFonts w:ascii="Open Sans" w:hAnsi="Open Sans"/>
          <w:i/>
          <w:sz w:val="20"/>
          <w:szCs w:val="20"/>
          <w:shd w:val="clear" w:color="auto" w:fill="FFFFFF"/>
        </w:rPr>
        <w:t>.</w:t>
      </w:r>
      <w:r w:rsidRPr="006B7230">
        <w:rPr>
          <w:rFonts w:ascii="Open Sans" w:hAnsi="Open Sans"/>
          <w:sz w:val="20"/>
          <w:szCs w:val="20"/>
          <w:shd w:val="clear" w:color="auto" w:fill="FFFFFF"/>
        </w:rPr>
        <w:t>“</w:t>
      </w:r>
      <w:proofErr w:type="gramEnd"/>
      <w:r w:rsidRPr="006B7230">
        <w:rPr>
          <w:rFonts w:ascii="Open Sans" w:hAnsi="Open Sans"/>
          <w:sz w:val="20"/>
          <w:szCs w:val="20"/>
          <w:shd w:val="clear" w:color="auto" w:fill="FFFFFF"/>
        </w:rPr>
        <w:t xml:space="preserve"> Sin embargo, más allá de estos compromisos no hay constancia de que la empresa cuente con mecanismos de cooperación con las administraciones públicas tributarias en ninguno de los países donde opera. Solo se conoce que en 2016 se ha adherido al Código de Buenas Practicas Tributarias impulsado por la Agencia Estatal de Administración Tributaria (AEAT).</w:t>
      </w:r>
    </w:p>
    <w:p w14:paraId="6178B168" w14:textId="77777777" w:rsidR="00D639E4" w:rsidRPr="006B7230" w:rsidRDefault="00D639E4" w:rsidP="00D639E4">
      <w:pPr>
        <w:jc w:val="both"/>
        <w:rPr>
          <w:rFonts w:ascii="Open Sans" w:hAnsi="Open Sans"/>
          <w:sz w:val="20"/>
          <w:szCs w:val="20"/>
          <w:shd w:val="clear" w:color="auto" w:fill="FFFFFF"/>
        </w:rPr>
      </w:pPr>
    </w:p>
    <w:p w14:paraId="6E3AD126" w14:textId="77777777" w:rsidR="00D639E4" w:rsidRPr="006B7230" w:rsidRDefault="00D639E4" w:rsidP="00D639E4">
      <w:pPr>
        <w:jc w:val="both"/>
        <w:rPr>
          <w:rFonts w:ascii="Open Sans" w:hAnsi="Open Sans"/>
          <w:sz w:val="20"/>
          <w:szCs w:val="20"/>
          <w:shd w:val="clear" w:color="auto" w:fill="FFFFFF"/>
        </w:rPr>
      </w:pPr>
      <w:r w:rsidRPr="006B7230">
        <w:rPr>
          <w:rFonts w:ascii="Open Sans" w:hAnsi="Open Sans"/>
          <w:sz w:val="20"/>
          <w:szCs w:val="20"/>
          <w:shd w:val="clear" w:color="auto" w:fill="FFFFFF"/>
        </w:rPr>
        <w:t xml:space="preserve">La empresa aporta información en las cuentas anuales sobre las diferentes provisiones que ha realizado durante el ejercicio, entre ellas provisiones por impuestos y litigios. Se informa de 7.549 miles de euros provisionados para impuestos y 24.985 miles de euros provisionados para litigios por procedimientos arbitrales en curso e indemnizaciones. A este respecto indica que tiene abiertos a inspección todos los impuestos que le son de aplicación pero no aporta información más detallada solo que se pueden derivar pasivos fiscales de carácter contingente y no susceptible de cuantificación objetiva. Pese a esta declaración, como ya se ha indicado, ha realizado una provisión al respecto. </w:t>
      </w:r>
    </w:p>
    <w:p w14:paraId="61768DFF" w14:textId="77777777" w:rsidR="00D639E4" w:rsidRPr="006B7230" w:rsidRDefault="00D639E4" w:rsidP="00D639E4">
      <w:pPr>
        <w:jc w:val="both"/>
        <w:rPr>
          <w:rFonts w:ascii="Open Sans" w:hAnsi="Open Sans"/>
          <w:sz w:val="20"/>
          <w:szCs w:val="20"/>
          <w:shd w:val="clear" w:color="auto" w:fill="FFFFFF"/>
        </w:rPr>
      </w:pPr>
    </w:p>
    <w:p w14:paraId="1C325EC2" w14:textId="77777777" w:rsidR="00D639E4" w:rsidRPr="006B7230" w:rsidRDefault="00D639E4" w:rsidP="00D639E4">
      <w:pPr>
        <w:jc w:val="both"/>
        <w:rPr>
          <w:rFonts w:ascii="Open Sans" w:hAnsi="Open Sans"/>
          <w:sz w:val="20"/>
          <w:szCs w:val="20"/>
          <w:shd w:val="clear" w:color="auto" w:fill="FFFFFF"/>
        </w:rPr>
      </w:pPr>
      <w:r w:rsidRPr="006B7230">
        <w:rPr>
          <w:rFonts w:ascii="Open Sans" w:hAnsi="Open Sans"/>
          <w:sz w:val="20"/>
          <w:szCs w:val="20"/>
          <w:shd w:val="clear" w:color="auto" w:fill="FFFFFF"/>
        </w:rPr>
        <w:t>Por otro lado aporta información amplia sobre los litigios más significativos pero que no relacionados con administraciones tributarias sino con aspectos comerciales, tanto en España como en otras jurisdicciones (Argelia, Canadá, Gibraltar, Qatar</w:t>
      </w:r>
      <w:proofErr w:type="gramStart"/>
      <w:r w:rsidRPr="006B7230">
        <w:rPr>
          <w:rFonts w:ascii="Open Sans" w:hAnsi="Open Sans"/>
          <w:sz w:val="20"/>
          <w:szCs w:val="20"/>
          <w:shd w:val="clear" w:color="auto" w:fill="FFFFFF"/>
        </w:rPr>
        <w:t>..)</w:t>
      </w:r>
      <w:proofErr w:type="gramEnd"/>
      <w:r w:rsidRPr="006B7230">
        <w:rPr>
          <w:rFonts w:ascii="Open Sans" w:hAnsi="Open Sans"/>
          <w:sz w:val="20"/>
          <w:szCs w:val="20"/>
          <w:shd w:val="clear" w:color="auto" w:fill="FFFFFF"/>
        </w:rPr>
        <w:t xml:space="preserve">. </w:t>
      </w:r>
    </w:p>
    <w:p w14:paraId="5369FA43" w14:textId="77777777" w:rsidR="00D639E4" w:rsidRPr="006B7230" w:rsidRDefault="00D639E4" w:rsidP="00D639E4">
      <w:pPr>
        <w:jc w:val="both"/>
        <w:rPr>
          <w:rFonts w:ascii="Open Sans" w:hAnsi="Open Sans"/>
          <w:sz w:val="20"/>
          <w:szCs w:val="20"/>
          <w:shd w:val="clear" w:color="auto" w:fill="FFFFFF"/>
        </w:rPr>
      </w:pPr>
    </w:p>
    <w:p w14:paraId="23B2C89D" w14:textId="77777777" w:rsidR="00D639E4" w:rsidRPr="006B7230" w:rsidRDefault="00D639E4" w:rsidP="00D639E4">
      <w:pPr>
        <w:jc w:val="both"/>
        <w:rPr>
          <w:rFonts w:ascii="Open Sans" w:hAnsi="Open Sans"/>
          <w:sz w:val="20"/>
          <w:szCs w:val="20"/>
          <w:shd w:val="clear" w:color="auto" w:fill="FFFFFF"/>
        </w:rPr>
      </w:pPr>
      <w:r w:rsidRPr="006B7230">
        <w:rPr>
          <w:rFonts w:ascii="Open Sans" w:hAnsi="Open Sans"/>
          <w:sz w:val="20"/>
          <w:szCs w:val="20"/>
          <w:shd w:val="clear" w:color="auto" w:fill="FFFFFF"/>
        </w:rPr>
        <w:t xml:space="preserve">No se ha podido constatar en los documentos externos analizados información sobre otras cuestiones operativas de la empresa como pueden ser la gestión de las compras y la financiación intragrupo. </w:t>
      </w:r>
    </w:p>
    <w:p w14:paraId="1CC6F492" w14:textId="77777777" w:rsidR="00D639E4" w:rsidRPr="006B7230" w:rsidRDefault="00D639E4" w:rsidP="00D639E4">
      <w:pPr>
        <w:jc w:val="both"/>
        <w:rPr>
          <w:rFonts w:ascii="Open Sans" w:hAnsi="Open Sans"/>
          <w:sz w:val="20"/>
          <w:szCs w:val="20"/>
          <w:shd w:val="clear" w:color="auto" w:fill="FFFFFF"/>
        </w:rPr>
      </w:pPr>
    </w:p>
    <w:p w14:paraId="223DCC62" w14:textId="77777777" w:rsidR="00D639E4" w:rsidRPr="006B7230" w:rsidRDefault="00D639E4" w:rsidP="00D639E4">
      <w:pPr>
        <w:jc w:val="both"/>
        <w:rPr>
          <w:rFonts w:ascii="Open Sans" w:hAnsi="Open Sans"/>
          <w:sz w:val="20"/>
          <w:szCs w:val="20"/>
          <w:shd w:val="clear" w:color="auto" w:fill="FFFFFF"/>
        </w:rPr>
      </w:pPr>
    </w:p>
    <w:p w14:paraId="37D68107" w14:textId="77777777" w:rsidR="00D639E4" w:rsidRPr="006B7230" w:rsidRDefault="00D639E4" w:rsidP="00D639E4">
      <w:pPr>
        <w:jc w:val="both"/>
        <w:rPr>
          <w:rFonts w:ascii="Open Sans" w:hAnsi="Open Sans"/>
          <w:b/>
          <w:sz w:val="20"/>
          <w:szCs w:val="20"/>
        </w:rPr>
      </w:pPr>
      <w:r w:rsidRPr="006B7230">
        <w:rPr>
          <w:rFonts w:ascii="Open Sans" w:hAnsi="Open Sans"/>
          <w:b/>
          <w:sz w:val="20"/>
          <w:szCs w:val="20"/>
          <w:u w:val="single"/>
        </w:rPr>
        <w:t>5. Conclusiones</w:t>
      </w:r>
    </w:p>
    <w:p w14:paraId="3B20B093" w14:textId="77777777" w:rsidR="00D639E4" w:rsidRPr="006B7230" w:rsidRDefault="00D639E4" w:rsidP="00D639E4">
      <w:pPr>
        <w:jc w:val="both"/>
        <w:rPr>
          <w:rFonts w:ascii="Open Sans" w:hAnsi="Open Sans"/>
          <w:b/>
          <w:sz w:val="20"/>
          <w:szCs w:val="20"/>
        </w:rPr>
      </w:pPr>
    </w:p>
    <w:p w14:paraId="7022D8BB" w14:textId="77777777" w:rsidR="00D639E4" w:rsidRPr="006B7230" w:rsidRDefault="00D639E4" w:rsidP="00D639E4">
      <w:pPr>
        <w:pStyle w:val="Default"/>
        <w:jc w:val="both"/>
        <w:rPr>
          <w:rFonts w:ascii="Open Sans" w:hAnsi="Open Sans" w:cs="Open Sans"/>
          <w:color w:val="auto"/>
          <w:sz w:val="20"/>
          <w:szCs w:val="20"/>
        </w:rPr>
      </w:pPr>
      <w:r w:rsidRPr="006B7230">
        <w:rPr>
          <w:rFonts w:ascii="Open Sans" w:hAnsi="Open Sans" w:cs="Open Sans"/>
          <w:color w:val="auto"/>
          <w:sz w:val="20"/>
          <w:szCs w:val="20"/>
        </w:rPr>
        <w:t xml:space="preserve">La valoración global de la transparencia de OHL en el ámbito fiscal es de </w:t>
      </w:r>
      <w:r w:rsidRPr="006B7230">
        <w:rPr>
          <w:rFonts w:ascii="Open Sans" w:hAnsi="Open Sans" w:cs="Open Sans"/>
          <w:b/>
          <w:color w:val="auto"/>
          <w:sz w:val="20"/>
          <w:szCs w:val="20"/>
        </w:rPr>
        <w:t>0,28</w:t>
      </w:r>
      <w:r w:rsidRPr="006B7230">
        <w:rPr>
          <w:rFonts w:ascii="Open Sans" w:hAnsi="Open Sans" w:cs="Open Sans"/>
          <w:color w:val="auto"/>
          <w:sz w:val="20"/>
          <w:szCs w:val="20"/>
        </w:rPr>
        <w:t xml:space="preserve"> sobre un máximo de 3, lo que equivale a una </w:t>
      </w:r>
      <w:r w:rsidRPr="006B7230">
        <w:rPr>
          <w:rFonts w:ascii="Open Sans" w:hAnsi="Open Sans" w:cs="Open Sans"/>
          <w:i/>
          <w:color w:val="auto"/>
          <w:sz w:val="20"/>
          <w:szCs w:val="20"/>
        </w:rPr>
        <w:t>información escasa</w:t>
      </w:r>
      <w:r w:rsidRPr="006B7230">
        <w:rPr>
          <w:rFonts w:ascii="Open Sans" w:hAnsi="Open Sans" w:cs="Open Sans"/>
          <w:color w:val="auto"/>
          <w:sz w:val="20"/>
          <w:szCs w:val="20"/>
        </w:rPr>
        <w:t xml:space="preserve"> de acuerdo con la metodología utilizada. De las dimensiones analizadas, la máxima puntuación se obtiene en los aspectos relacionados con “impuestos e incentivos” (0,50), seguidos por los relacionados con la “política y estrategia fiscal” (0,40), las “relaciones con Administraciones Tributarias” (0,20) y </w:t>
      </w:r>
    </w:p>
    <w:p w14:paraId="03E17C44" w14:textId="77777777" w:rsidR="00D639E4" w:rsidRPr="006B7230" w:rsidRDefault="00D639E4" w:rsidP="00D639E4">
      <w:pPr>
        <w:pStyle w:val="Default"/>
        <w:jc w:val="both"/>
        <w:rPr>
          <w:rFonts w:ascii="Open Sans" w:hAnsi="Open Sans" w:cs="Open Sans"/>
          <w:color w:val="auto"/>
          <w:sz w:val="20"/>
          <w:szCs w:val="20"/>
        </w:rPr>
      </w:pPr>
      <w:r w:rsidRPr="006B7230">
        <w:rPr>
          <w:rFonts w:ascii="Open Sans" w:hAnsi="Open Sans" w:cs="Open Sans"/>
          <w:color w:val="auto"/>
          <w:sz w:val="20"/>
          <w:szCs w:val="20"/>
        </w:rPr>
        <w:t xml:space="preserve"> “paraísos y nichos fiscales” (0). </w:t>
      </w:r>
    </w:p>
    <w:p w14:paraId="7C68F9C4" w14:textId="77777777" w:rsidR="00D639E4" w:rsidRPr="006B7230" w:rsidRDefault="00D639E4" w:rsidP="00D639E4">
      <w:pPr>
        <w:pStyle w:val="Default"/>
        <w:jc w:val="both"/>
        <w:rPr>
          <w:rFonts w:ascii="Open Sans" w:hAnsi="Open Sans" w:cs="Open Sans"/>
          <w:sz w:val="20"/>
          <w:szCs w:val="20"/>
        </w:rPr>
      </w:pPr>
    </w:p>
    <w:p w14:paraId="6242D5D4" w14:textId="77777777" w:rsidR="00D639E4" w:rsidRPr="006B7230" w:rsidRDefault="00D639E4" w:rsidP="00D639E4">
      <w:pPr>
        <w:pStyle w:val="Default"/>
        <w:jc w:val="both"/>
        <w:rPr>
          <w:rFonts w:ascii="Open Sans" w:hAnsi="Open Sans" w:cs="Open Sans"/>
          <w:sz w:val="20"/>
          <w:szCs w:val="20"/>
        </w:rPr>
      </w:pPr>
      <w:r w:rsidRPr="006B7230">
        <w:rPr>
          <w:rFonts w:ascii="Open Sans" w:hAnsi="Open Sans" w:cs="Open Sans"/>
          <w:sz w:val="20"/>
          <w:szCs w:val="20"/>
        </w:rPr>
        <w:t xml:space="preserve">OHL mantiene un compromiso con la fiscalidad responsable a través de la política fiscal que se ha aprobado en el ejercicio. A través de su código ético expresa un compromiso con la transparencia y la exactitud de la información. Sin embargo con la información aportada por OHL no es posible conocer como da cumplimiento a los compromisos adquiridos. Aspectos fundamentales para entender si los compromisos son coherentes con el desempeño, tales como posicionamiento y actividad en paraísos fiscales, información desglosada país a país sobre los impuestos de sociedades abonados y subvenciones recibidas y aspectos relacionados con la operativa de la empresa no son aportados por la empresa impidiendo conocer a sus grupos de interés el desempeño con una fiscalidad responsable. </w:t>
      </w:r>
    </w:p>
    <w:p w14:paraId="39120926" w14:textId="77777777" w:rsidR="00D639E4" w:rsidRPr="006B7230" w:rsidRDefault="00D639E4" w:rsidP="00D639E4">
      <w:pPr>
        <w:pStyle w:val="Default"/>
        <w:jc w:val="both"/>
        <w:rPr>
          <w:rFonts w:ascii="Open Sans" w:hAnsi="Open Sans" w:cs="Open Sans"/>
          <w:sz w:val="20"/>
          <w:szCs w:val="20"/>
        </w:rPr>
      </w:pPr>
    </w:p>
    <w:p w14:paraId="03F5B633" w14:textId="77777777" w:rsidR="00D639E4" w:rsidRPr="006B7230" w:rsidRDefault="00D639E4" w:rsidP="00D639E4">
      <w:pPr>
        <w:jc w:val="both"/>
        <w:rPr>
          <w:rFonts w:ascii="Open Sans" w:hAnsi="Open Sans" w:cs="Arial"/>
          <w:bCs/>
          <w:sz w:val="20"/>
          <w:szCs w:val="20"/>
        </w:rPr>
      </w:pPr>
      <w:r w:rsidRPr="006B7230">
        <w:rPr>
          <w:rFonts w:ascii="Open Sans" w:hAnsi="Open Sans" w:cs="Arial"/>
          <w:bCs/>
          <w:sz w:val="20"/>
          <w:szCs w:val="20"/>
        </w:rPr>
        <w:t xml:space="preserve">OHL no considera los aspectos fiscales como un asunto material para sus grupos de interés y la información sobre la materia apenas </w:t>
      </w:r>
      <w:r w:rsidRPr="006B7230">
        <w:rPr>
          <w:rFonts w:ascii="Open Sans" w:hAnsi="Open Sans"/>
          <w:sz w:val="20"/>
          <w:szCs w:val="20"/>
        </w:rPr>
        <w:t xml:space="preserve">aparece en el informe de sostenibilidad limitándose a mencionar con poco detalle la existencia y contenido de la política fiscal y presentación de datos económicos extraídos de las cuentas anuales sin mayor explicación de los mismos. </w:t>
      </w:r>
    </w:p>
    <w:p w14:paraId="045B6945" w14:textId="77777777" w:rsidR="00D639E4" w:rsidRPr="006B7230" w:rsidRDefault="00D639E4" w:rsidP="00D639E4">
      <w:pPr>
        <w:jc w:val="both"/>
        <w:rPr>
          <w:rFonts w:ascii="Open Sans" w:hAnsi="Open Sans"/>
          <w:sz w:val="20"/>
          <w:szCs w:val="20"/>
        </w:rPr>
      </w:pPr>
    </w:p>
    <w:p w14:paraId="41E22C05" w14:textId="77777777" w:rsidR="00D639E4" w:rsidRDefault="00D639E4" w:rsidP="00D639E4">
      <w:pPr>
        <w:jc w:val="both"/>
        <w:rPr>
          <w:rFonts w:ascii="Open Sans" w:hAnsi="Open Sans" w:cs="Arial"/>
          <w:sz w:val="20"/>
          <w:szCs w:val="20"/>
        </w:rPr>
      </w:pPr>
      <w:r w:rsidRPr="006B7230">
        <w:rPr>
          <w:rFonts w:ascii="Open Sans" w:hAnsi="Open Sans"/>
          <w:sz w:val="20"/>
          <w:szCs w:val="20"/>
        </w:rPr>
        <w:t>La</w:t>
      </w:r>
      <w:r w:rsidRPr="006B7230">
        <w:rPr>
          <w:rFonts w:ascii="Open Sans" w:hAnsi="Open Sans" w:cs="Arial"/>
          <w:sz w:val="20"/>
          <w:szCs w:val="20"/>
        </w:rPr>
        <w:t xml:space="preserve"> información en materia fiscal prácticamente se limita a la información legal de las cuentas anuales consolidadas. Esta información de carácter técnico y no accesible por su dificultad de entendimiento para el gran público, impide conocer muchos aspectos a sus grupos de interés como son la operativa que realiza a través de filiales domiciliadas en paraísos fiscales o cual es la contribución a las haciendas públicas en todos los países en los que tiene filiales, entre otros.</w:t>
      </w:r>
    </w:p>
    <w:p w14:paraId="6EE7D8DB" w14:textId="77777777" w:rsidR="00D639E4" w:rsidRPr="006B7230" w:rsidRDefault="00D639E4" w:rsidP="00D639E4">
      <w:pPr>
        <w:jc w:val="both"/>
        <w:rPr>
          <w:rFonts w:ascii="Open Sans" w:hAnsi="Open Sans" w:cs="Arial"/>
          <w:sz w:val="20"/>
          <w:szCs w:val="20"/>
        </w:rPr>
      </w:pPr>
    </w:p>
    <w:p w14:paraId="1CBF9F40" w14:textId="77777777" w:rsidR="00D639E4" w:rsidRPr="006B7230" w:rsidRDefault="00D639E4" w:rsidP="00D639E4">
      <w:pPr>
        <w:jc w:val="both"/>
        <w:rPr>
          <w:rFonts w:ascii="Open Sans" w:hAnsi="Open Sans" w:cs="Arial"/>
          <w:sz w:val="20"/>
          <w:szCs w:val="20"/>
        </w:rPr>
      </w:pPr>
      <w:r w:rsidRPr="006B7230">
        <w:rPr>
          <w:rFonts w:ascii="Open Sans" w:hAnsi="Open Sans" w:cs="Arial"/>
          <w:sz w:val="20"/>
          <w:szCs w:val="20"/>
        </w:rPr>
        <w:t xml:space="preserve">Un aspecto a subrayar es que la empresa destaca como hito en 2015 en materia de fiscalidad responsable, la adhesión al Código de Buenas Prácticas Tributarias de la Agencia Tributaria, cuando realmente lo que se aprobó fue la política fiscal y la recomendación de adhesión a dicho código que finalmente se produjo en febrero de 2016. La presentación de hechos futuros como si hubiesen ocurrido en el ejercicio denota no cumplir con los principios de precisión y neutralidad en la información, principios básicos para la rendición de cuentas del ejercicio. </w:t>
      </w:r>
    </w:p>
    <w:p w14:paraId="7E4D0F25" w14:textId="77777777" w:rsidR="00D639E4" w:rsidRPr="006B7230" w:rsidRDefault="00D639E4" w:rsidP="00D639E4">
      <w:pPr>
        <w:jc w:val="both"/>
        <w:rPr>
          <w:rFonts w:ascii="Open Sans" w:hAnsi="Open Sans" w:cs="Arial"/>
          <w:sz w:val="20"/>
          <w:szCs w:val="20"/>
        </w:rPr>
      </w:pPr>
    </w:p>
    <w:p w14:paraId="1F1430EB" w14:textId="6D4B07C8" w:rsidR="00CD4BBD" w:rsidRPr="001B1BCA" w:rsidRDefault="00D639E4" w:rsidP="00D639E4">
      <w:pPr>
        <w:suppressAutoHyphens/>
        <w:jc w:val="both"/>
        <w:rPr>
          <w:rFonts w:ascii="Open Sans" w:hAnsi="Open Sans" w:cs="Open Sans"/>
          <w:bCs/>
          <w:sz w:val="20"/>
          <w:szCs w:val="20"/>
        </w:rPr>
      </w:pPr>
      <w:r w:rsidRPr="006B7230">
        <w:rPr>
          <w:rFonts w:ascii="Open Sans" w:hAnsi="Open Sans" w:cs="Arial"/>
          <w:bCs/>
          <w:sz w:val="20"/>
          <w:szCs w:val="20"/>
        </w:rPr>
        <w:t xml:space="preserve">El </w:t>
      </w:r>
      <w:r w:rsidRPr="006B7230">
        <w:rPr>
          <w:rFonts w:ascii="Open Sans" w:hAnsi="Open Sans" w:cs="Arial"/>
          <w:sz w:val="20"/>
          <w:szCs w:val="20"/>
        </w:rPr>
        <w:t xml:space="preserve">grupo </w:t>
      </w:r>
      <w:r w:rsidRPr="006B7230">
        <w:rPr>
          <w:rFonts w:ascii="Open Sans" w:hAnsi="Open Sans" w:cs="Arial"/>
          <w:bCs/>
          <w:sz w:val="20"/>
          <w:szCs w:val="20"/>
        </w:rPr>
        <w:t>OHL tiene un margen amplio de mejora en la calidad de la información sobre aspectos fiscales y sobre la operativa del grupo hacia sus grupos de interés cada vez más interesados por estas cuestiones</w:t>
      </w:r>
    </w:p>
    <w:p w14:paraId="7181E63D" w14:textId="77777777" w:rsidR="00B60D9F" w:rsidRDefault="00B60D9F" w:rsidP="00CD4BBD">
      <w:pPr>
        <w:jc w:val="both"/>
        <w:rPr>
          <w:rFonts w:ascii="Open Sans" w:hAnsi="Open Sans" w:cs="Open Sans"/>
          <w:sz w:val="20"/>
          <w:szCs w:val="20"/>
        </w:rPr>
      </w:pPr>
    </w:p>
    <w:p w14:paraId="1F6AA600" w14:textId="1BFFDBEB" w:rsidR="001B1BCA" w:rsidRDefault="001B1BCA">
      <w:pPr>
        <w:rPr>
          <w:rFonts w:ascii="Open Sans" w:hAnsi="Open Sans" w:cs="Arial"/>
          <w:sz w:val="20"/>
          <w:szCs w:val="20"/>
        </w:rPr>
      </w:pPr>
      <w:r>
        <w:rPr>
          <w:rFonts w:ascii="Open Sans" w:hAnsi="Open Sans" w:cs="Arial"/>
          <w:sz w:val="20"/>
          <w:szCs w:val="20"/>
        </w:rPr>
        <w:br w:type="page"/>
      </w:r>
    </w:p>
    <w:p w14:paraId="2CCE959C" w14:textId="77777777" w:rsidR="001B1BCA" w:rsidRDefault="001B1BCA" w:rsidP="001B1BCA">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bCs/>
          <w:caps/>
          <w:color w:val="FFFFFF"/>
          <w:szCs w:val="22"/>
        </w:rPr>
      </w:pPr>
      <w:bookmarkStart w:id="78" w:name="Sacyr"/>
      <w:r>
        <w:rPr>
          <w:rFonts w:ascii="Open Sans" w:hAnsi="Open Sans" w:cs="Open Sans"/>
          <w:b/>
          <w:bCs/>
          <w:caps/>
          <w:color w:val="FFFFFF"/>
          <w:szCs w:val="22"/>
        </w:rPr>
        <w:t>SACYR S.A.</w:t>
      </w:r>
    </w:p>
    <w:bookmarkEnd w:id="78"/>
    <w:p w14:paraId="0C4E4A95" w14:textId="77777777" w:rsidR="001B1BCA" w:rsidRDefault="001B1BCA" w:rsidP="001B1BCA">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bCs/>
          <w:i/>
          <w:caps/>
          <w:color w:val="FFFFFF"/>
          <w:szCs w:val="22"/>
        </w:rPr>
      </w:pPr>
      <w:r>
        <w:rPr>
          <w:rFonts w:ascii="Open Sans" w:hAnsi="Open Sans" w:cs="Open Sans"/>
          <w:b/>
          <w:bCs/>
          <w:i/>
          <w:color w:val="FFFFFF"/>
          <w:szCs w:val="22"/>
        </w:rPr>
        <w:t>Sacyr</w:t>
      </w:r>
    </w:p>
    <w:p w14:paraId="328FDF7E" w14:textId="77777777" w:rsidR="001B1BCA" w:rsidRDefault="001B1BCA" w:rsidP="001B1BCA">
      <w:pPr>
        <w:spacing w:before="120" w:after="120" w:line="360" w:lineRule="auto"/>
        <w:jc w:val="both"/>
        <w:rPr>
          <w:rFonts w:ascii="Open Sans" w:hAnsi="Open Sans" w:cs="Tahoma"/>
          <w:b/>
          <w:bCs/>
          <w:color w:val="002060"/>
          <w:sz w:val="28"/>
          <w:szCs w:val="28"/>
        </w:rPr>
      </w:pPr>
    </w:p>
    <w:p w14:paraId="73BFFEEB" w14:textId="77777777" w:rsidR="004F7C2D" w:rsidRPr="00220CD7" w:rsidRDefault="004F7C2D" w:rsidP="004F7C2D">
      <w:pPr>
        <w:jc w:val="both"/>
        <w:outlineLvl w:val="5"/>
        <w:rPr>
          <w:rFonts w:ascii="Open Sans" w:hAnsi="Open Sans" w:cs="Arial"/>
          <w:b/>
          <w:sz w:val="26"/>
          <w:szCs w:val="22"/>
          <w:u w:val="single"/>
        </w:rPr>
      </w:pPr>
      <w:r w:rsidRPr="00220CD7">
        <w:rPr>
          <w:rFonts w:ascii="Open Sans" w:hAnsi="Open Sans" w:cs="Arial"/>
          <w:b/>
          <w:sz w:val="22"/>
          <w:szCs w:val="22"/>
          <w:u w:val="single"/>
        </w:rPr>
        <w:t>1. Datos generales de la entidad</w:t>
      </w:r>
    </w:p>
    <w:p w14:paraId="27A371D0" w14:textId="77777777" w:rsidR="004F7C2D" w:rsidRPr="00220CD7" w:rsidRDefault="004F7C2D" w:rsidP="004F7C2D">
      <w:pPr>
        <w:jc w:val="both"/>
        <w:rPr>
          <w:rFonts w:ascii="Open Sans" w:hAnsi="Open Sans" w:cs="Arial"/>
          <w:sz w:val="22"/>
          <w:szCs w:val="22"/>
          <w:u w:val="single"/>
        </w:rPr>
      </w:pPr>
    </w:p>
    <w:p w14:paraId="4451F687"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u w:val="single"/>
        </w:rPr>
        <w:t>Productos/servicios</w:t>
      </w:r>
    </w:p>
    <w:p w14:paraId="176B7B34" w14:textId="77777777" w:rsidR="004F7C2D" w:rsidRPr="00220CD7" w:rsidRDefault="004F7C2D" w:rsidP="004F7C2D">
      <w:pPr>
        <w:jc w:val="both"/>
        <w:rPr>
          <w:rFonts w:ascii="Open Sans" w:hAnsi="Open Sans" w:cs="Arial"/>
          <w:sz w:val="20"/>
          <w:szCs w:val="20"/>
        </w:rPr>
      </w:pPr>
    </w:p>
    <w:p w14:paraId="11622B6C"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El grupo Sacyr está estructurado en cuatro áreas de actividad. Ofrece a sus clientes los siguientes productos/ servicios:</w:t>
      </w:r>
    </w:p>
    <w:p w14:paraId="7E28842E" w14:textId="77777777" w:rsidR="004F7C2D" w:rsidRPr="00220CD7" w:rsidRDefault="004F7C2D" w:rsidP="004F7C2D">
      <w:pPr>
        <w:jc w:val="both"/>
        <w:rPr>
          <w:rFonts w:ascii="Open Sans" w:hAnsi="Open Sans" w:cs="Arial"/>
          <w:sz w:val="20"/>
          <w:szCs w:val="20"/>
        </w:rPr>
      </w:pPr>
    </w:p>
    <w:p w14:paraId="7363D085" w14:textId="77777777" w:rsidR="004F7C2D" w:rsidRPr="00220CD7" w:rsidRDefault="004F7C2D" w:rsidP="004F7C2D">
      <w:pPr>
        <w:numPr>
          <w:ilvl w:val="0"/>
          <w:numId w:val="21"/>
        </w:numPr>
        <w:jc w:val="both"/>
        <w:rPr>
          <w:rFonts w:ascii="Open Sans" w:hAnsi="Open Sans" w:cs="Arial"/>
          <w:sz w:val="20"/>
          <w:szCs w:val="20"/>
        </w:rPr>
      </w:pPr>
      <w:r w:rsidRPr="00220CD7">
        <w:rPr>
          <w:rFonts w:ascii="Open Sans" w:hAnsi="Open Sans" w:cs="Arial"/>
          <w:sz w:val="20"/>
          <w:szCs w:val="20"/>
          <w:u w:val="single"/>
        </w:rPr>
        <w:t>Construcción:</w:t>
      </w:r>
      <w:r w:rsidRPr="00220CD7">
        <w:rPr>
          <w:rFonts w:ascii="Open Sans" w:hAnsi="Open Sans" w:cs="Arial"/>
          <w:sz w:val="20"/>
          <w:szCs w:val="20"/>
        </w:rPr>
        <w:t xml:space="preserve"> Realización de todo tipo de infraestructuras de obra civil y edificación, residencial y no residencial. Desempeñada a través de las cabeceras de Sacyr Construcción en España y Chile, Somague en Portugal y SIS en Italia. </w:t>
      </w:r>
    </w:p>
    <w:p w14:paraId="5743693D" w14:textId="77777777" w:rsidR="004F7C2D" w:rsidRPr="00220CD7" w:rsidRDefault="004F7C2D" w:rsidP="004F7C2D">
      <w:pPr>
        <w:numPr>
          <w:ilvl w:val="0"/>
          <w:numId w:val="21"/>
        </w:numPr>
        <w:jc w:val="both"/>
        <w:rPr>
          <w:rFonts w:ascii="Open Sans" w:hAnsi="Open Sans" w:cs="Arial"/>
          <w:sz w:val="20"/>
          <w:szCs w:val="20"/>
        </w:rPr>
      </w:pPr>
      <w:r w:rsidRPr="00220CD7">
        <w:rPr>
          <w:rFonts w:ascii="Open Sans" w:hAnsi="Open Sans" w:cs="Arial"/>
          <w:sz w:val="20"/>
          <w:szCs w:val="20"/>
          <w:u w:val="single"/>
        </w:rPr>
        <w:t>Concesiones</w:t>
      </w:r>
      <w:r w:rsidRPr="00220CD7">
        <w:rPr>
          <w:rFonts w:ascii="Open Sans" w:hAnsi="Open Sans" w:cs="Arial"/>
          <w:sz w:val="20"/>
          <w:szCs w:val="20"/>
        </w:rPr>
        <w:t>: Gestión de infraestructuras como autopistas, hospitales, intercambiadores de transporte, aeropuertos, etc. Desempeñada por Sacyr Concesiones con presencia en España, Portugal, Italia, Irlanda, Chile, Perú y Uruguay.</w:t>
      </w:r>
    </w:p>
    <w:p w14:paraId="50292ACB" w14:textId="77777777" w:rsidR="004F7C2D" w:rsidRPr="00220CD7" w:rsidRDefault="004F7C2D" w:rsidP="004F7C2D">
      <w:pPr>
        <w:numPr>
          <w:ilvl w:val="0"/>
          <w:numId w:val="21"/>
        </w:numPr>
        <w:jc w:val="both"/>
        <w:rPr>
          <w:rFonts w:ascii="Open Sans" w:hAnsi="Open Sans" w:cs="Arial"/>
          <w:sz w:val="20"/>
          <w:szCs w:val="20"/>
        </w:rPr>
      </w:pPr>
      <w:r w:rsidRPr="00220CD7">
        <w:rPr>
          <w:rFonts w:ascii="Open Sans" w:hAnsi="Open Sans" w:cs="Arial"/>
          <w:sz w:val="20"/>
          <w:szCs w:val="20"/>
          <w:u w:val="single"/>
        </w:rPr>
        <w:t>Servicios</w:t>
      </w:r>
      <w:r w:rsidRPr="00220CD7">
        <w:rPr>
          <w:rFonts w:ascii="Open Sans" w:hAnsi="Open Sans" w:cs="Arial"/>
          <w:sz w:val="20"/>
          <w:szCs w:val="20"/>
        </w:rPr>
        <w:t xml:space="preserve">: Desarrollada a través del grupo Valoriza. </w:t>
      </w:r>
    </w:p>
    <w:p w14:paraId="565B7B39" w14:textId="77777777" w:rsidR="004F7C2D" w:rsidRPr="00220CD7" w:rsidRDefault="004F7C2D" w:rsidP="004F7C2D">
      <w:pPr>
        <w:numPr>
          <w:ilvl w:val="1"/>
          <w:numId w:val="21"/>
        </w:numPr>
        <w:jc w:val="both"/>
        <w:rPr>
          <w:rFonts w:ascii="Open Sans" w:hAnsi="Open Sans" w:cs="Arial"/>
          <w:sz w:val="20"/>
          <w:szCs w:val="20"/>
        </w:rPr>
      </w:pPr>
      <w:r w:rsidRPr="00220CD7">
        <w:rPr>
          <w:rFonts w:ascii="Open Sans" w:hAnsi="Open Sans" w:cs="Arial"/>
          <w:sz w:val="20"/>
          <w:szCs w:val="20"/>
        </w:rPr>
        <w:t xml:space="preserve">Gestión de servicios medioambientales </w:t>
      </w:r>
      <w:r w:rsidRPr="00220CD7">
        <w:rPr>
          <w:rFonts w:ascii="Open Sans" w:hAnsi="Open Sans" w:cs="Open Sans"/>
          <w:sz w:val="20"/>
          <w:szCs w:val="20"/>
        </w:rPr>
        <w:t>(servicios municipales, tratamiento de residuos, Obras y regeneraciones medioambientales)</w:t>
      </w:r>
      <w:r w:rsidRPr="00220CD7">
        <w:rPr>
          <w:rFonts w:ascii="Open Sans" w:hAnsi="Open Sans" w:cs="Arial"/>
          <w:sz w:val="20"/>
          <w:szCs w:val="20"/>
        </w:rPr>
        <w:t>.</w:t>
      </w:r>
    </w:p>
    <w:p w14:paraId="0E930C82" w14:textId="77777777" w:rsidR="004F7C2D" w:rsidRPr="00220CD7" w:rsidRDefault="004F7C2D" w:rsidP="004F7C2D">
      <w:pPr>
        <w:numPr>
          <w:ilvl w:val="1"/>
          <w:numId w:val="21"/>
        </w:numPr>
        <w:jc w:val="both"/>
        <w:rPr>
          <w:rFonts w:ascii="Open Sans" w:hAnsi="Open Sans" w:cs="Arial"/>
          <w:sz w:val="20"/>
          <w:szCs w:val="20"/>
        </w:rPr>
      </w:pPr>
      <w:r w:rsidRPr="00220CD7">
        <w:rPr>
          <w:rFonts w:ascii="Open Sans" w:hAnsi="Open Sans" w:cs="Arial"/>
          <w:sz w:val="20"/>
          <w:szCs w:val="20"/>
        </w:rPr>
        <w:t>Gestión de agua: actividades de ingeniería, desarrollo, ejecución, mantenimiento y explotación de todo tipo de plantas (potabilizadoras, depuradoras, desaladoras, tratamientos terciarios y reutilización, tratamiento) y la de gestión del ciclo integral, en régimen de concesión pública o iniciativa privada.</w:t>
      </w:r>
    </w:p>
    <w:p w14:paraId="3A537FB0" w14:textId="77777777" w:rsidR="004F7C2D" w:rsidRPr="00220CD7" w:rsidRDefault="004F7C2D" w:rsidP="004F7C2D">
      <w:pPr>
        <w:numPr>
          <w:ilvl w:val="1"/>
          <w:numId w:val="21"/>
        </w:numPr>
        <w:jc w:val="both"/>
        <w:rPr>
          <w:rFonts w:ascii="Open Sans" w:hAnsi="Open Sans" w:cs="Arial"/>
          <w:sz w:val="20"/>
          <w:szCs w:val="20"/>
        </w:rPr>
      </w:pPr>
      <w:r w:rsidRPr="00220CD7">
        <w:rPr>
          <w:rFonts w:ascii="Open Sans" w:hAnsi="Open Sans" w:cs="Arial"/>
          <w:sz w:val="20"/>
          <w:szCs w:val="20"/>
        </w:rPr>
        <w:t>Multiservicio. limpieza integral de edificios, servicios de facility management de inmuebles, servicios auxiliares (conserjería, jardinería, etc.), servicios energéticos y servicios socio-sanitarios. Mantenimiento  y  conservación  de  carreteras,  y  otras  infraestructuras  singulares: presas, canales de riego, etc. Explotación de áreas de servicio en autopistas y en la gestión de restaurantes y cafeterías en grandes instalaciones: hospitales, intercambiadores y edificios públicos y privados.</w:t>
      </w:r>
    </w:p>
    <w:p w14:paraId="30566013" w14:textId="77777777" w:rsidR="004F7C2D" w:rsidRPr="00220CD7" w:rsidRDefault="004F7C2D" w:rsidP="004F7C2D">
      <w:pPr>
        <w:numPr>
          <w:ilvl w:val="0"/>
          <w:numId w:val="21"/>
        </w:numPr>
        <w:jc w:val="both"/>
        <w:rPr>
          <w:rFonts w:ascii="Open Sans" w:hAnsi="Open Sans" w:cs="Arial"/>
          <w:sz w:val="20"/>
          <w:szCs w:val="20"/>
        </w:rPr>
      </w:pPr>
      <w:r w:rsidRPr="00220CD7">
        <w:rPr>
          <w:rFonts w:ascii="Open Sans" w:hAnsi="Open Sans" w:cs="Arial"/>
          <w:sz w:val="20"/>
          <w:szCs w:val="20"/>
          <w:u w:val="single"/>
        </w:rPr>
        <w:t>Industriales</w:t>
      </w:r>
      <w:r w:rsidRPr="00220CD7">
        <w:rPr>
          <w:rFonts w:ascii="Open Sans" w:hAnsi="Open Sans" w:cs="Arial"/>
          <w:sz w:val="20"/>
          <w:szCs w:val="20"/>
        </w:rPr>
        <w:t xml:space="preserve">: Desarrollada a través de Sacyr Industrial. Actividades de ingeniería y construcción industrial. Abarca la promoción, ejecución, puesta en marcha y operación de proyectos en las siguientes áreas de negocio: ingeniería y energía, medioambiente y minería, Oil&amp;Gas e infraestructuras eléctricas. </w:t>
      </w:r>
    </w:p>
    <w:p w14:paraId="7CB08A45" w14:textId="77777777" w:rsidR="004F7C2D" w:rsidRPr="00220CD7" w:rsidRDefault="004F7C2D" w:rsidP="004F7C2D">
      <w:pPr>
        <w:jc w:val="both"/>
        <w:rPr>
          <w:rFonts w:ascii="Open Sans" w:hAnsi="Open Sans" w:cs="Arial"/>
          <w:sz w:val="20"/>
          <w:szCs w:val="20"/>
        </w:rPr>
      </w:pPr>
    </w:p>
    <w:p w14:paraId="1BB58350"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u w:val="single"/>
        </w:rPr>
        <w:t xml:space="preserve">Alcance geográfico </w:t>
      </w:r>
    </w:p>
    <w:p w14:paraId="1D7B4C7C" w14:textId="77777777" w:rsidR="004F7C2D" w:rsidRPr="00220CD7" w:rsidRDefault="004F7C2D" w:rsidP="004F7C2D">
      <w:pPr>
        <w:jc w:val="both"/>
        <w:rPr>
          <w:rFonts w:ascii="Open Sans" w:hAnsi="Open Sans" w:cs="Arial"/>
          <w:sz w:val="20"/>
          <w:szCs w:val="20"/>
        </w:rPr>
      </w:pPr>
    </w:p>
    <w:p w14:paraId="1E320246"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 xml:space="preserve">Sacyr opera o tiene presencia en los siguientes países: </w:t>
      </w:r>
    </w:p>
    <w:p w14:paraId="7F8DE701" w14:textId="77777777" w:rsidR="004F7C2D" w:rsidRPr="00220CD7" w:rsidRDefault="004F7C2D" w:rsidP="004F7C2D">
      <w:pPr>
        <w:numPr>
          <w:ilvl w:val="0"/>
          <w:numId w:val="12"/>
        </w:numPr>
        <w:jc w:val="both"/>
        <w:rPr>
          <w:rFonts w:ascii="Open Sans" w:hAnsi="Open Sans" w:cs="Arial"/>
          <w:sz w:val="20"/>
          <w:szCs w:val="20"/>
        </w:rPr>
      </w:pPr>
      <w:r w:rsidRPr="00220CD7">
        <w:rPr>
          <w:rFonts w:ascii="Open Sans" w:hAnsi="Open Sans" w:cs="Arial"/>
          <w:sz w:val="20"/>
          <w:szCs w:val="20"/>
        </w:rPr>
        <w:t>Europa: España, Italia, Portugal, Irlanda, Gibraltar (UK), Reino Unido</w:t>
      </w:r>
    </w:p>
    <w:p w14:paraId="01E41EAF" w14:textId="77777777" w:rsidR="004F7C2D" w:rsidRPr="00220CD7" w:rsidRDefault="004F7C2D" w:rsidP="004F7C2D">
      <w:pPr>
        <w:numPr>
          <w:ilvl w:val="0"/>
          <w:numId w:val="12"/>
        </w:numPr>
        <w:jc w:val="both"/>
        <w:rPr>
          <w:rFonts w:ascii="Open Sans" w:hAnsi="Open Sans" w:cs="Arial"/>
          <w:sz w:val="20"/>
          <w:szCs w:val="20"/>
        </w:rPr>
      </w:pPr>
      <w:r w:rsidRPr="00220CD7">
        <w:rPr>
          <w:rFonts w:ascii="Open Sans" w:hAnsi="Open Sans" w:cs="Arial"/>
          <w:sz w:val="20"/>
          <w:szCs w:val="20"/>
        </w:rPr>
        <w:t>América: Chile, México, Costa Rica, Panamá, Perú, Colombia, EEUU, Uruguay, Bolivia, Brasil</w:t>
      </w:r>
    </w:p>
    <w:p w14:paraId="2779C2DE" w14:textId="77777777" w:rsidR="004F7C2D" w:rsidRPr="00220CD7" w:rsidRDefault="004F7C2D" w:rsidP="004F7C2D">
      <w:pPr>
        <w:numPr>
          <w:ilvl w:val="0"/>
          <w:numId w:val="12"/>
        </w:numPr>
        <w:jc w:val="both"/>
        <w:rPr>
          <w:rFonts w:ascii="Open Sans" w:hAnsi="Open Sans" w:cs="Arial"/>
          <w:sz w:val="20"/>
          <w:szCs w:val="20"/>
        </w:rPr>
      </w:pPr>
      <w:r w:rsidRPr="00220CD7">
        <w:rPr>
          <w:rFonts w:ascii="Open Sans" w:hAnsi="Open Sans" w:cs="Arial"/>
          <w:sz w:val="20"/>
          <w:szCs w:val="20"/>
        </w:rPr>
        <w:t>África: Libia, Angola, Israel, Argelia, Cabo Verde, Togo, Mozambique, Marruecos</w:t>
      </w:r>
    </w:p>
    <w:p w14:paraId="05358756" w14:textId="77777777" w:rsidR="004F7C2D" w:rsidRPr="00220CD7" w:rsidRDefault="004F7C2D" w:rsidP="004F7C2D">
      <w:pPr>
        <w:numPr>
          <w:ilvl w:val="0"/>
          <w:numId w:val="12"/>
        </w:numPr>
        <w:jc w:val="both"/>
        <w:rPr>
          <w:rFonts w:ascii="Open Sans" w:hAnsi="Open Sans" w:cs="Arial"/>
          <w:sz w:val="20"/>
          <w:szCs w:val="20"/>
        </w:rPr>
      </w:pPr>
      <w:r w:rsidRPr="00220CD7">
        <w:rPr>
          <w:rFonts w:ascii="Open Sans" w:hAnsi="Open Sans" w:cs="Arial"/>
          <w:sz w:val="20"/>
          <w:szCs w:val="20"/>
        </w:rPr>
        <w:t>Asia: India, Omán, Catar, Emiratos Árabes Unidos</w:t>
      </w:r>
    </w:p>
    <w:p w14:paraId="719599B3" w14:textId="77777777" w:rsidR="004F7C2D" w:rsidRPr="00220CD7" w:rsidRDefault="004F7C2D" w:rsidP="004F7C2D">
      <w:pPr>
        <w:numPr>
          <w:ilvl w:val="0"/>
          <w:numId w:val="12"/>
        </w:numPr>
        <w:jc w:val="both"/>
        <w:rPr>
          <w:rFonts w:ascii="Open Sans" w:hAnsi="Open Sans" w:cs="Arial"/>
          <w:sz w:val="20"/>
          <w:szCs w:val="20"/>
        </w:rPr>
      </w:pPr>
      <w:r w:rsidRPr="00220CD7">
        <w:rPr>
          <w:rFonts w:ascii="Open Sans" w:hAnsi="Open Sans" w:cs="Arial"/>
          <w:sz w:val="20"/>
          <w:szCs w:val="20"/>
        </w:rPr>
        <w:t>Oceanía: Australia</w:t>
      </w:r>
    </w:p>
    <w:p w14:paraId="13364F5B" w14:textId="77777777" w:rsidR="004F7C2D" w:rsidRPr="00220CD7" w:rsidRDefault="004F7C2D" w:rsidP="004F7C2D">
      <w:pPr>
        <w:jc w:val="both"/>
        <w:rPr>
          <w:rFonts w:ascii="Open Sans" w:hAnsi="Open Sans" w:cs="Arial"/>
          <w:sz w:val="20"/>
          <w:szCs w:val="20"/>
        </w:rPr>
      </w:pPr>
    </w:p>
    <w:p w14:paraId="258F1C1E" w14:textId="77777777" w:rsidR="004F7C2D" w:rsidRPr="00220CD7" w:rsidRDefault="004F7C2D" w:rsidP="004F7C2D">
      <w:pPr>
        <w:jc w:val="both"/>
        <w:rPr>
          <w:rFonts w:ascii="Open Sans" w:hAnsi="Open Sans" w:cs="Arial"/>
          <w:sz w:val="20"/>
          <w:szCs w:val="20"/>
          <w:u w:val="single"/>
        </w:rPr>
      </w:pPr>
      <w:r w:rsidRPr="00220CD7">
        <w:rPr>
          <w:rFonts w:ascii="Open Sans" w:hAnsi="Open Sans" w:cs="Arial"/>
          <w:sz w:val="20"/>
          <w:szCs w:val="20"/>
          <w:u w:val="single"/>
        </w:rPr>
        <w:t>Cifras relevantes de la empresa:</w:t>
      </w:r>
    </w:p>
    <w:p w14:paraId="7E367E5D" w14:textId="77777777" w:rsidR="004F7C2D" w:rsidRPr="00220CD7" w:rsidRDefault="004F7C2D" w:rsidP="004F7C2D">
      <w:pPr>
        <w:jc w:val="both"/>
        <w:rPr>
          <w:rFonts w:ascii="Open Sans" w:hAnsi="Open Sans" w:cs="Arial"/>
          <w:sz w:val="20"/>
          <w:szCs w:val="20"/>
          <w:u w:val="single"/>
        </w:rPr>
      </w:pPr>
    </w:p>
    <w:p w14:paraId="0B9AC354"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El grupo Sacyr ha obtenido una facturación en 2015 de 2.948 millones de euros. El resultado consolidado antes de impuestos es de unas pérdidas de 642 millones de euros. Sin embargo el resultado positivo del ejercicio de actividades interrumpidas (1.183 millones de euros) por activos no corrientes mantenidos para la venta (Vallehermoso División Promoción, S.A.) y la venta de Testa Inmuebles en Renta, Socimi, S.A) le ha originado un beneficio al grupo de 370 millones en el ejercicio.</w:t>
      </w:r>
    </w:p>
    <w:p w14:paraId="4B4425A3" w14:textId="77777777" w:rsidR="004F7C2D" w:rsidRPr="00220CD7" w:rsidRDefault="004F7C2D" w:rsidP="004F7C2D">
      <w:pPr>
        <w:jc w:val="both"/>
        <w:rPr>
          <w:rFonts w:ascii="Open Sans" w:hAnsi="Open Sans" w:cs="Arial"/>
          <w:sz w:val="20"/>
          <w:szCs w:val="20"/>
        </w:rPr>
      </w:pPr>
    </w:p>
    <w:p w14:paraId="1064B9EE"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Durante el ejercicio 2015 ha contado con una plantilla media de 22.423 empleados. Sacyr no aporta el dato exacto de empleados a 31 diciembre.</w:t>
      </w:r>
    </w:p>
    <w:p w14:paraId="033D9F87" w14:textId="77777777" w:rsidR="004F7C2D" w:rsidRPr="00220CD7" w:rsidRDefault="004F7C2D" w:rsidP="004F7C2D">
      <w:pPr>
        <w:jc w:val="both"/>
        <w:rPr>
          <w:rFonts w:ascii="Open Sans" w:hAnsi="Open Sans" w:cs="Arial"/>
          <w:sz w:val="20"/>
          <w:szCs w:val="20"/>
          <w:u w:val="single"/>
        </w:rPr>
      </w:pPr>
    </w:p>
    <w:p w14:paraId="6E1DBD21" w14:textId="77777777" w:rsidR="004F7C2D" w:rsidRPr="00220CD7" w:rsidRDefault="004F7C2D" w:rsidP="004F7C2D">
      <w:pPr>
        <w:jc w:val="both"/>
        <w:rPr>
          <w:rFonts w:ascii="Open Sans" w:hAnsi="Open Sans" w:cs="Arial"/>
          <w:sz w:val="20"/>
          <w:szCs w:val="20"/>
          <w:u w:val="single"/>
        </w:rPr>
      </w:pPr>
      <w:r w:rsidRPr="00220CD7">
        <w:rPr>
          <w:rFonts w:ascii="Open Sans" w:hAnsi="Open Sans" w:cs="Arial"/>
          <w:sz w:val="20"/>
          <w:szCs w:val="20"/>
          <w:u w:val="single"/>
        </w:rPr>
        <w:t>Estándares voluntarios relacionados con fiscalidad responsable</w:t>
      </w:r>
    </w:p>
    <w:p w14:paraId="05ED98F3" w14:textId="77777777" w:rsidR="004F7C2D" w:rsidRPr="00220CD7" w:rsidRDefault="004F7C2D" w:rsidP="004F7C2D">
      <w:pPr>
        <w:jc w:val="both"/>
        <w:rPr>
          <w:rFonts w:ascii="Open Sans" w:hAnsi="Open Sans" w:cs="Arial"/>
          <w:sz w:val="20"/>
          <w:szCs w:val="20"/>
          <w:u w:val="single"/>
        </w:rPr>
      </w:pPr>
    </w:p>
    <w:p w14:paraId="0711535C"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Sacyr no informa que se haya adherido voluntariamente a estándares relacionados con contenidos y sistemas de gestión de fiscalidad responsable.</w:t>
      </w:r>
    </w:p>
    <w:p w14:paraId="3EB7A2ED" w14:textId="77777777" w:rsidR="004F7C2D" w:rsidRPr="00220CD7" w:rsidRDefault="004F7C2D" w:rsidP="004F7C2D">
      <w:pPr>
        <w:jc w:val="both"/>
        <w:rPr>
          <w:rFonts w:ascii="Open Sans" w:hAnsi="Open Sans" w:cs="Arial"/>
          <w:sz w:val="20"/>
          <w:szCs w:val="20"/>
          <w:u w:val="single"/>
        </w:rPr>
      </w:pPr>
    </w:p>
    <w:p w14:paraId="25F221E9" w14:textId="77777777" w:rsidR="004F7C2D" w:rsidRPr="00220CD7" w:rsidRDefault="004F7C2D" w:rsidP="004F7C2D">
      <w:pPr>
        <w:jc w:val="both"/>
        <w:rPr>
          <w:rFonts w:ascii="Open Sans" w:hAnsi="Open Sans" w:cs="Arial"/>
          <w:sz w:val="20"/>
          <w:szCs w:val="20"/>
          <w:u w:val="single"/>
        </w:rPr>
      </w:pPr>
    </w:p>
    <w:p w14:paraId="550BA9E1" w14:textId="77777777" w:rsidR="004F7C2D" w:rsidRPr="00220CD7" w:rsidRDefault="004F7C2D" w:rsidP="004F7C2D">
      <w:pPr>
        <w:jc w:val="both"/>
        <w:rPr>
          <w:rFonts w:ascii="Open Sans" w:hAnsi="Open Sans" w:cs="Arial"/>
          <w:sz w:val="20"/>
          <w:szCs w:val="20"/>
          <w:u w:val="single"/>
        </w:rPr>
      </w:pPr>
      <w:r w:rsidRPr="00220CD7">
        <w:rPr>
          <w:rFonts w:ascii="Open Sans" w:hAnsi="Open Sans" w:cs="Arial"/>
          <w:sz w:val="20"/>
          <w:szCs w:val="20"/>
          <w:u w:val="single"/>
        </w:rPr>
        <w:t>Documentos incluidos en el análisis</w:t>
      </w:r>
    </w:p>
    <w:p w14:paraId="3B810C75" w14:textId="77777777" w:rsidR="004F7C2D" w:rsidRPr="00220CD7" w:rsidRDefault="004F7C2D" w:rsidP="004F7C2D">
      <w:pPr>
        <w:ind w:firstLine="709"/>
        <w:jc w:val="both"/>
        <w:rPr>
          <w:rFonts w:ascii="Open Sans" w:hAnsi="Open Sans" w:cs="Arial"/>
          <w:sz w:val="20"/>
          <w:szCs w:val="20"/>
        </w:rPr>
      </w:pPr>
    </w:p>
    <w:p w14:paraId="60C7B7AC"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Para el análisis de la calidad de la información relacionada con fiscalidad de la empresa, se ha tenido en cuenta la información contenida en la siguiente documentación:</w:t>
      </w:r>
    </w:p>
    <w:p w14:paraId="68DE3326" w14:textId="77777777" w:rsidR="004F7C2D" w:rsidRPr="00220CD7" w:rsidRDefault="004F7C2D" w:rsidP="004F7C2D">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4F7C2D" w:rsidRPr="00220CD7" w14:paraId="6A113CB3" w14:textId="77777777" w:rsidTr="00F32F9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2F5D27B3" w14:textId="77777777" w:rsidR="004F7C2D" w:rsidRPr="00220CD7" w:rsidRDefault="004F7C2D" w:rsidP="00F32F9C">
            <w:pPr>
              <w:jc w:val="center"/>
              <w:rPr>
                <w:rFonts w:ascii="Open Sans" w:hAnsi="Open Sans" w:cs="Arial"/>
                <w:b/>
                <w:sz w:val="20"/>
                <w:szCs w:val="22"/>
              </w:rPr>
            </w:pPr>
            <w:r w:rsidRPr="00220CD7">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23C8D146" w14:textId="77777777" w:rsidR="004F7C2D" w:rsidRPr="00220CD7" w:rsidRDefault="004F7C2D" w:rsidP="00F32F9C">
            <w:pPr>
              <w:jc w:val="center"/>
              <w:rPr>
                <w:rFonts w:ascii="Open Sans" w:hAnsi="Open Sans" w:cs="Arial"/>
                <w:b/>
                <w:sz w:val="20"/>
                <w:szCs w:val="22"/>
              </w:rPr>
            </w:pPr>
            <w:r w:rsidRPr="00220CD7">
              <w:rPr>
                <w:rFonts w:ascii="Open Sans" w:hAnsi="Open Sans" w:cs="Arial"/>
                <w:b/>
                <w:sz w:val="20"/>
                <w:szCs w:val="22"/>
              </w:rPr>
              <w:t>OBSERVACIONES</w:t>
            </w:r>
          </w:p>
        </w:tc>
      </w:tr>
      <w:tr w:rsidR="004F7C2D" w:rsidRPr="00220CD7" w14:paraId="199CD479" w14:textId="77777777" w:rsidTr="00F32F9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25289CD" w14:textId="77777777" w:rsidR="004F7C2D" w:rsidRPr="00220CD7" w:rsidRDefault="004F7C2D" w:rsidP="00F32F9C">
            <w:pPr>
              <w:jc w:val="both"/>
              <w:rPr>
                <w:rFonts w:ascii="Open Sans" w:eastAsia="Arial Unicode MS" w:hAnsi="Open Sans" w:cs="Arial"/>
                <w:sz w:val="20"/>
                <w:szCs w:val="20"/>
              </w:rPr>
            </w:pPr>
            <w:r w:rsidRPr="00220CD7">
              <w:rPr>
                <w:rFonts w:ascii="Open Sans" w:hAnsi="Open Sans" w:cs="Arial"/>
                <w:color w:val="000000"/>
                <w:sz w:val="20"/>
                <w:szCs w:val="20"/>
              </w:rPr>
              <w:t>Informe Económico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37D5118" w14:textId="77777777" w:rsidR="004F7C2D" w:rsidRPr="00220CD7" w:rsidRDefault="004F7C2D" w:rsidP="00F32F9C">
            <w:pPr>
              <w:jc w:val="both"/>
              <w:rPr>
                <w:rFonts w:ascii="Open Sans" w:eastAsia="Arial Unicode MS" w:hAnsi="Open Sans" w:cs="Arial"/>
                <w:sz w:val="22"/>
                <w:szCs w:val="22"/>
              </w:rPr>
            </w:pPr>
          </w:p>
        </w:tc>
      </w:tr>
      <w:tr w:rsidR="004F7C2D" w:rsidRPr="00220CD7" w14:paraId="73A3F361" w14:textId="77777777" w:rsidTr="00F32F9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08FD5C3" w14:textId="77777777" w:rsidR="004F7C2D" w:rsidRPr="00220CD7" w:rsidRDefault="004F7C2D" w:rsidP="00F32F9C">
            <w:pPr>
              <w:jc w:val="both"/>
              <w:rPr>
                <w:rFonts w:ascii="Open Sans" w:eastAsia="Arial Unicode MS" w:hAnsi="Open Sans" w:cs="Arial"/>
                <w:sz w:val="20"/>
                <w:szCs w:val="20"/>
              </w:rPr>
            </w:pPr>
            <w:r w:rsidRPr="00220CD7">
              <w:rPr>
                <w:rFonts w:ascii="Open Sans" w:hAnsi="Open Sans" w:cs="Arial"/>
                <w:color w:val="000000"/>
                <w:sz w:val="20"/>
                <w:szCs w:val="20"/>
              </w:rPr>
              <w:t>Informe Anual Integrado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9086F56" w14:textId="77777777" w:rsidR="004F7C2D" w:rsidRPr="00220CD7" w:rsidRDefault="004F7C2D" w:rsidP="00F32F9C">
            <w:pPr>
              <w:jc w:val="both"/>
              <w:rPr>
                <w:rFonts w:ascii="Open Sans" w:eastAsia="Arial Unicode MS" w:hAnsi="Open Sans" w:cs="Arial"/>
                <w:sz w:val="22"/>
                <w:szCs w:val="22"/>
              </w:rPr>
            </w:pPr>
          </w:p>
        </w:tc>
      </w:tr>
      <w:tr w:rsidR="004F7C2D" w:rsidRPr="00220CD7" w14:paraId="1317D64D" w14:textId="77777777" w:rsidTr="00F32F9C">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3BCD8D4" w14:textId="77777777" w:rsidR="004F7C2D" w:rsidRPr="00220CD7" w:rsidRDefault="004F7C2D" w:rsidP="00F32F9C">
            <w:pPr>
              <w:jc w:val="both"/>
              <w:rPr>
                <w:rFonts w:ascii="Open Sans" w:eastAsia="Arial Unicode MS" w:hAnsi="Open Sans" w:cs="Arial"/>
                <w:sz w:val="20"/>
                <w:szCs w:val="20"/>
              </w:rPr>
            </w:pPr>
            <w:r w:rsidRPr="00220CD7">
              <w:rPr>
                <w:rFonts w:ascii="Open Sans" w:hAnsi="Open Sans"/>
                <w:color w:val="000000"/>
                <w:sz w:val="20"/>
                <w:szCs w:val="20"/>
              </w:rPr>
              <w:t>Informe de Gobierno Corporativo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ED74250" w14:textId="77777777" w:rsidR="004F7C2D" w:rsidRPr="00220CD7" w:rsidRDefault="004F7C2D" w:rsidP="00F32F9C">
            <w:pPr>
              <w:jc w:val="both"/>
              <w:rPr>
                <w:rFonts w:ascii="Open Sans" w:eastAsia="Arial Unicode MS" w:hAnsi="Open Sans" w:cs="Arial"/>
                <w:sz w:val="22"/>
                <w:szCs w:val="22"/>
              </w:rPr>
            </w:pPr>
          </w:p>
        </w:tc>
      </w:tr>
      <w:tr w:rsidR="004F7C2D" w:rsidRPr="00220CD7" w14:paraId="40B456B6" w14:textId="77777777" w:rsidTr="00F32F9C">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484F648" w14:textId="77777777" w:rsidR="004F7C2D" w:rsidRPr="00220CD7" w:rsidRDefault="004F7C2D" w:rsidP="00F32F9C">
            <w:pPr>
              <w:jc w:val="both"/>
              <w:rPr>
                <w:rFonts w:ascii="Open Sans" w:hAnsi="Open Sans" w:cs="Tahoma"/>
                <w:sz w:val="20"/>
                <w:szCs w:val="20"/>
              </w:rPr>
            </w:pPr>
            <w:r w:rsidRPr="00220CD7">
              <w:rPr>
                <w:rFonts w:ascii="Open Sans" w:hAnsi="Open Sans"/>
                <w:color w:val="000000"/>
                <w:sz w:val="20"/>
                <w:szCs w:val="20"/>
              </w:rPr>
              <w:t>Código de Conducta</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4BE8E55F" w14:textId="77777777" w:rsidR="004F7C2D" w:rsidRPr="00220CD7" w:rsidRDefault="004F7C2D" w:rsidP="00F32F9C">
            <w:pPr>
              <w:jc w:val="both"/>
              <w:rPr>
                <w:rFonts w:ascii="Open Sans" w:eastAsia="Arial Unicode MS" w:hAnsi="Open Sans" w:cs="Arial"/>
                <w:sz w:val="20"/>
                <w:szCs w:val="20"/>
              </w:rPr>
            </w:pPr>
            <w:r w:rsidRPr="00220CD7">
              <w:rPr>
                <w:rFonts w:ascii="Open Sans" w:eastAsia="Arial Unicode MS" w:hAnsi="Open Sans" w:cs="Arial"/>
                <w:sz w:val="20"/>
                <w:szCs w:val="20"/>
              </w:rPr>
              <w:t>Actualizado en 2015</w:t>
            </w:r>
          </w:p>
        </w:tc>
      </w:tr>
    </w:tbl>
    <w:p w14:paraId="616F5EDB" w14:textId="77777777" w:rsidR="004F7C2D" w:rsidRPr="00220CD7" w:rsidRDefault="004F7C2D" w:rsidP="004F7C2D">
      <w:pPr>
        <w:jc w:val="both"/>
        <w:rPr>
          <w:rFonts w:ascii="Open Sans" w:hAnsi="Open Sans" w:cs="Arial"/>
          <w:b/>
        </w:rPr>
      </w:pPr>
    </w:p>
    <w:p w14:paraId="0896D021" w14:textId="77777777" w:rsidR="004F7C2D" w:rsidRPr="00220CD7" w:rsidRDefault="004F7C2D" w:rsidP="004F7C2D">
      <w:pPr>
        <w:jc w:val="both"/>
        <w:rPr>
          <w:rFonts w:ascii="Open Sans" w:hAnsi="Open Sans" w:cs="Arial"/>
          <w:b/>
        </w:rPr>
      </w:pPr>
    </w:p>
    <w:p w14:paraId="1CBB29ED" w14:textId="77777777" w:rsidR="004F7C2D" w:rsidRPr="00220CD7" w:rsidRDefault="004F7C2D" w:rsidP="004F7C2D">
      <w:pPr>
        <w:jc w:val="both"/>
        <w:rPr>
          <w:rFonts w:ascii="Open Sans" w:hAnsi="Open Sans" w:cs="Arial"/>
          <w:b/>
        </w:rPr>
      </w:pPr>
      <w:r w:rsidRPr="00220CD7">
        <w:rPr>
          <w:rFonts w:ascii="Open Sans" w:hAnsi="Open Sans" w:cs="Arial"/>
          <w:b/>
        </w:rPr>
        <w:br w:type="page"/>
      </w:r>
    </w:p>
    <w:p w14:paraId="53443BD1" w14:textId="77777777" w:rsidR="004F7C2D" w:rsidRPr="00220CD7" w:rsidRDefault="004F7C2D" w:rsidP="004F7C2D">
      <w:pPr>
        <w:jc w:val="both"/>
        <w:rPr>
          <w:rFonts w:ascii="Open Sans" w:hAnsi="Open Sans" w:cs="Arial"/>
          <w:b/>
          <w:sz w:val="22"/>
          <w:szCs w:val="22"/>
          <w:u w:val="single"/>
        </w:rPr>
      </w:pPr>
      <w:r w:rsidRPr="00220CD7">
        <w:rPr>
          <w:rFonts w:ascii="Open Sans" w:hAnsi="Open Sans" w:cs="Arial"/>
          <w:b/>
          <w:sz w:val="22"/>
          <w:szCs w:val="22"/>
          <w:u w:val="single"/>
        </w:rPr>
        <w:t>2. Tablas de resultados</w:t>
      </w:r>
    </w:p>
    <w:p w14:paraId="7BB7AF24" w14:textId="77777777" w:rsidR="004F7C2D" w:rsidRPr="00220CD7" w:rsidRDefault="004F7C2D" w:rsidP="004F7C2D">
      <w:pPr>
        <w:jc w:val="both"/>
        <w:rPr>
          <w:rFonts w:ascii="Open Sans" w:hAnsi="Open Sans" w:cs="Arial"/>
          <w:b/>
          <w:sz w:val="22"/>
          <w:szCs w:val="22"/>
          <w:u w:val="single"/>
        </w:rPr>
      </w:pPr>
    </w:p>
    <w:p w14:paraId="50C6FFB3" w14:textId="77777777" w:rsidR="004F7C2D" w:rsidRPr="00220CD7" w:rsidRDefault="004F7C2D" w:rsidP="004F7C2D">
      <w:pPr>
        <w:jc w:val="center"/>
        <w:rPr>
          <w:rFonts w:ascii="Open Sans" w:hAnsi="Open Sans" w:cs="Arial"/>
          <w:b/>
        </w:rPr>
      </w:pPr>
    </w:p>
    <w:p w14:paraId="7D4C472C" w14:textId="77777777" w:rsidR="004F7C2D" w:rsidRPr="00220CD7" w:rsidRDefault="004F7C2D" w:rsidP="004F7C2D">
      <w:pPr>
        <w:suppressAutoHyphens/>
        <w:jc w:val="center"/>
        <w:rPr>
          <w:rFonts w:ascii="Open Sans" w:hAnsi="Open Sans" w:cs="Arial"/>
          <w:b/>
          <w:sz w:val="20"/>
          <w:szCs w:val="22"/>
          <w:u w:val="single"/>
          <w:lang w:eastAsia="ar-SA"/>
        </w:rPr>
      </w:pPr>
      <w:r w:rsidRPr="00220CD7">
        <w:rPr>
          <w:rFonts w:ascii="Open Sans" w:hAnsi="Open Sans" w:cs="Arial"/>
          <w:b/>
          <w:sz w:val="20"/>
          <w:szCs w:val="22"/>
          <w:u w:val="single"/>
          <w:lang w:eastAsia="ar-SA"/>
        </w:rPr>
        <w:t>TABLA 1: Valoraciones por dimensión</w:t>
      </w:r>
    </w:p>
    <w:p w14:paraId="72535852" w14:textId="77777777" w:rsidR="004F7C2D" w:rsidRPr="00220CD7" w:rsidRDefault="004F7C2D" w:rsidP="004F7C2D">
      <w:pPr>
        <w:rPr>
          <w:rFonts w:ascii="Open Sans" w:hAnsi="Open Sans" w:cs="Arial"/>
          <w:b/>
        </w:rPr>
      </w:pPr>
    </w:p>
    <w:p w14:paraId="02702D04" w14:textId="71A1B233" w:rsidR="004F7C2D" w:rsidRPr="00220CD7" w:rsidRDefault="004F7C2D" w:rsidP="004F7C2D">
      <w:pPr>
        <w:jc w:val="center"/>
        <w:rPr>
          <w:rFonts w:ascii="Open Sans" w:hAnsi="Open Sans"/>
        </w:rPr>
      </w:pPr>
      <w:r>
        <w:rPr>
          <w:rFonts w:ascii="Open Sans" w:hAnsi="Open Sans"/>
          <w:noProof/>
          <w:lang w:val="es-ES"/>
        </w:rPr>
        <w:drawing>
          <wp:inline distT="0" distB="0" distL="0" distR="0" wp14:anchorId="590D714A" wp14:editId="3D0E88C5">
            <wp:extent cx="3688080" cy="1828800"/>
            <wp:effectExtent l="0" t="0" r="0" b="0"/>
            <wp:docPr id="16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3688080" cy="1828800"/>
                    </a:xfrm>
                    <a:prstGeom prst="rect">
                      <a:avLst/>
                    </a:prstGeom>
                    <a:noFill/>
                    <a:ln>
                      <a:noFill/>
                    </a:ln>
                  </pic:spPr>
                </pic:pic>
              </a:graphicData>
            </a:graphic>
          </wp:inline>
        </w:drawing>
      </w:r>
    </w:p>
    <w:p w14:paraId="247BA33C" w14:textId="77777777" w:rsidR="004F7C2D" w:rsidRPr="00220CD7" w:rsidRDefault="004F7C2D" w:rsidP="004F7C2D">
      <w:pPr>
        <w:jc w:val="both"/>
        <w:rPr>
          <w:rFonts w:ascii="Open Sans" w:hAnsi="Open Sans"/>
        </w:rPr>
      </w:pPr>
    </w:p>
    <w:p w14:paraId="3631F1CB" w14:textId="77777777" w:rsidR="004F7C2D" w:rsidRPr="00220CD7" w:rsidRDefault="004F7C2D" w:rsidP="004F7C2D">
      <w:pPr>
        <w:jc w:val="center"/>
        <w:rPr>
          <w:rFonts w:ascii="Open Sans" w:hAnsi="Open Sans"/>
        </w:rPr>
      </w:pPr>
    </w:p>
    <w:p w14:paraId="3515BDAE" w14:textId="77777777" w:rsidR="004F7C2D" w:rsidRPr="00220CD7" w:rsidRDefault="004F7C2D" w:rsidP="004F7C2D">
      <w:pPr>
        <w:jc w:val="center"/>
        <w:rPr>
          <w:rFonts w:ascii="Open Sans" w:hAnsi="Open Sans" w:cs="Arial"/>
          <w:b/>
        </w:rPr>
      </w:pPr>
    </w:p>
    <w:p w14:paraId="1E1A9A40" w14:textId="77777777" w:rsidR="004F7C2D" w:rsidRPr="00220CD7" w:rsidRDefault="004F7C2D" w:rsidP="004F7C2D">
      <w:pPr>
        <w:rPr>
          <w:rFonts w:ascii="Open Sans" w:hAnsi="Open Sans" w:cs="Arial"/>
          <w:b/>
        </w:rPr>
      </w:pPr>
    </w:p>
    <w:p w14:paraId="7D9C3B26" w14:textId="77777777" w:rsidR="004F7C2D" w:rsidRPr="00220CD7" w:rsidRDefault="004F7C2D" w:rsidP="004F7C2D">
      <w:pPr>
        <w:jc w:val="both"/>
        <w:rPr>
          <w:rFonts w:ascii="Open Sans" w:hAnsi="Open Sans" w:cs="Arial"/>
          <w:b/>
          <w:sz w:val="22"/>
          <w:szCs w:val="22"/>
        </w:rPr>
      </w:pPr>
      <w:r w:rsidRPr="00220CD7">
        <w:rPr>
          <w:rFonts w:ascii="Open Sans" w:hAnsi="Open Sans" w:cs="Arial"/>
          <w:b/>
          <w:sz w:val="22"/>
          <w:szCs w:val="22"/>
          <w:u w:val="single"/>
        </w:rPr>
        <w:t>3. Contexto general</w:t>
      </w:r>
    </w:p>
    <w:p w14:paraId="6D961FF5" w14:textId="77777777" w:rsidR="004F7C2D" w:rsidRPr="00220CD7" w:rsidRDefault="004F7C2D" w:rsidP="004F7C2D">
      <w:pPr>
        <w:jc w:val="both"/>
        <w:rPr>
          <w:rFonts w:ascii="Open Sans" w:hAnsi="Open Sans" w:cs="Arial"/>
          <w:b/>
        </w:rPr>
      </w:pPr>
    </w:p>
    <w:p w14:paraId="3354DD49" w14:textId="77777777" w:rsidR="004F7C2D" w:rsidRPr="00220CD7" w:rsidRDefault="004F7C2D" w:rsidP="004F7C2D">
      <w:pPr>
        <w:jc w:val="both"/>
        <w:rPr>
          <w:rFonts w:ascii="Open Sans" w:hAnsi="Open Sans" w:cs="Arial"/>
          <w:sz w:val="20"/>
          <w:szCs w:val="20"/>
        </w:rPr>
      </w:pPr>
      <w:r w:rsidRPr="00220CD7">
        <w:rPr>
          <w:rFonts w:ascii="Open Sans" w:hAnsi="Open Sans" w:cs="Arial"/>
          <w:sz w:val="20"/>
          <w:szCs w:val="20"/>
        </w:rPr>
        <w:t xml:space="preserve">Sacyr es un grupo diversificado con actividades englobadas en la construcción, concesiones de infraestructuras, servicios y construcción industrial. Tiene presencia internacional en 28 países.  </w:t>
      </w:r>
    </w:p>
    <w:p w14:paraId="59BA06EB" w14:textId="77777777" w:rsidR="004F7C2D" w:rsidRPr="00220CD7" w:rsidRDefault="004F7C2D" w:rsidP="004F7C2D">
      <w:pPr>
        <w:jc w:val="both"/>
        <w:rPr>
          <w:rFonts w:ascii="Open Sans" w:hAnsi="Open Sans" w:cs="Arial"/>
          <w:sz w:val="20"/>
          <w:szCs w:val="20"/>
        </w:rPr>
      </w:pPr>
    </w:p>
    <w:p w14:paraId="50A85790"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 xml:space="preserve">La cifra de negocios del Grupo ascendió a 2.949 millones de euros, un 8,5% más que en 2014, derivado principalmente de la actividad internacional que constituye el 54% de la cifra de negocio. El beneficio del ejercicio ha sido de 370 millones de euros.  Los segmentos de construcción y concesiones </w:t>
      </w:r>
      <w:proofErr w:type="gramStart"/>
      <w:r w:rsidRPr="00220CD7">
        <w:rPr>
          <w:rFonts w:ascii="Open Sans" w:hAnsi="Open Sans"/>
          <w:sz w:val="20"/>
          <w:szCs w:val="20"/>
        </w:rPr>
        <w:t>constituye</w:t>
      </w:r>
      <w:proofErr w:type="gramEnd"/>
      <w:r w:rsidRPr="00220CD7">
        <w:rPr>
          <w:rFonts w:ascii="Open Sans" w:hAnsi="Open Sans"/>
          <w:sz w:val="20"/>
          <w:szCs w:val="20"/>
        </w:rPr>
        <w:t xml:space="preserve"> las principales áreas de crecimiento del grupo pero el resto de segmentos han experimentado en 2015 crecimientos positivos con respecto a 2014.</w:t>
      </w:r>
    </w:p>
    <w:p w14:paraId="65340242" w14:textId="77777777" w:rsidR="004F7C2D" w:rsidRPr="00220CD7" w:rsidRDefault="004F7C2D" w:rsidP="004F7C2D">
      <w:pPr>
        <w:jc w:val="both"/>
        <w:rPr>
          <w:rFonts w:ascii="Open Sans" w:hAnsi="Open Sans"/>
          <w:sz w:val="20"/>
          <w:szCs w:val="20"/>
        </w:rPr>
      </w:pPr>
    </w:p>
    <w:p w14:paraId="17477ABE"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A efectos de gestión el grupo está organizado en los siguientes segmentos de explotación:</w:t>
      </w:r>
    </w:p>
    <w:p w14:paraId="2C3C798E"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Holding: estructura corporativa del Grupo, representada por su sociedad holding Sacyr, S.A.</w:t>
      </w:r>
    </w:p>
    <w:p w14:paraId="27100EB6"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Construcción (grupo Sacyr y grupo Somague): negocio de construcción de obra civil y edificación en España, Portugal, Italia, Angola, Panamá, Chile, Cabo Verde, Costa Rica, Perú, Colombia, México, Irlanda, India, Reino Unido, Brasil y Qatar.</w:t>
      </w:r>
    </w:p>
    <w:p w14:paraId="2E111297"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Concesiones (grupo Sacyr Concesiones): negocio concesional de autopistas, intercambiadores de transporte, aeropuertos y hospitales.</w:t>
      </w:r>
    </w:p>
    <w:p w14:paraId="600306B7"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Valoriza: negocio de multiservicios.</w:t>
      </w:r>
    </w:p>
    <w:p w14:paraId="6F258ED7"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Industrial: negocio de ingeniería y construcción industrial.</w:t>
      </w:r>
    </w:p>
    <w:p w14:paraId="0EE5D1AF"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Promoción (grupo Vallehermoso): negocio de promoción inmobiliaria.</w:t>
      </w:r>
    </w:p>
    <w:p w14:paraId="21A9D88E"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Patrimonio (grupo Testa): negocio de patrimonio en renta.</w:t>
      </w:r>
    </w:p>
    <w:p w14:paraId="0BE578FC" w14:textId="77777777" w:rsidR="004F7C2D" w:rsidRPr="00220CD7" w:rsidRDefault="004F7C2D" w:rsidP="000B70C9">
      <w:pPr>
        <w:numPr>
          <w:ilvl w:val="0"/>
          <w:numId w:val="26"/>
        </w:numPr>
        <w:jc w:val="both"/>
        <w:rPr>
          <w:rFonts w:ascii="Open Sans" w:hAnsi="Open Sans"/>
          <w:sz w:val="20"/>
          <w:szCs w:val="20"/>
        </w:rPr>
      </w:pPr>
      <w:r w:rsidRPr="00220CD7">
        <w:rPr>
          <w:rFonts w:ascii="Open Sans" w:hAnsi="Open Sans"/>
          <w:sz w:val="20"/>
          <w:szCs w:val="20"/>
        </w:rPr>
        <w:t>Repsol, S.A.: 8,58% de Repsol, S.A. y su matriz Sacyr Vallehermoso Participaciones Mobiliarias S.L.U.</w:t>
      </w:r>
    </w:p>
    <w:p w14:paraId="7D5F1444" w14:textId="77777777" w:rsidR="004F7C2D" w:rsidRPr="00220CD7" w:rsidRDefault="004F7C2D" w:rsidP="004F7C2D">
      <w:pPr>
        <w:jc w:val="both"/>
        <w:rPr>
          <w:rFonts w:ascii="Open Sans" w:hAnsi="Open Sans"/>
          <w:sz w:val="20"/>
          <w:szCs w:val="20"/>
        </w:rPr>
      </w:pPr>
    </w:p>
    <w:p w14:paraId="439961CC"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 xml:space="preserve">En el ejercicio 2015 se ha producido la venta de Testa Inmuebles en Renta, Socimi, S.A. a Merlin Properties. Esta operación le ha reportado 1.794 millones de euros, procedentes de la reducción de capital, del reparto del dividendo y de la posterior venta de acciones, de Testa, por un total de 1.555 millones de euros. También ha recibido, a través de su participada, Sacyr Vallehermoso Participaciones Mobiliarias, S.L., dividendos de Repsol, S.A. por un importe total de 116,83 millones de euros. </w:t>
      </w:r>
    </w:p>
    <w:p w14:paraId="6E49BAEE" w14:textId="77777777" w:rsidR="004F7C2D" w:rsidRPr="00220CD7" w:rsidRDefault="004F7C2D" w:rsidP="004F7C2D">
      <w:pPr>
        <w:jc w:val="both"/>
        <w:rPr>
          <w:rFonts w:ascii="Open Sans" w:hAnsi="Open Sans"/>
          <w:sz w:val="20"/>
          <w:szCs w:val="20"/>
        </w:rPr>
      </w:pPr>
    </w:p>
    <w:p w14:paraId="1D9524EA"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Por otra parte el contencioso entre Grupo Unidos por el Canal (GUPC, consorcio de empresas encargado del diseño y construcción del Tercer Juego de Esclusas del Canal de Panamá y del que Sacyr S.A tiene un 41,60%) y la Autoridad del Canal de Panamá por motivos relacionados con la mala calidad del basalto y el retraso en la ejecución de la obra, ha terminado con la resolución a favor GUPC por lo que la ACP deberá abonar un total de 243 millones de dólares.</w:t>
      </w:r>
      <w:r w:rsidRPr="00220CD7">
        <w:rPr>
          <w:rStyle w:val="Refdenotaalpie"/>
          <w:rFonts w:ascii="Open Sans" w:hAnsi="Open Sans"/>
          <w:sz w:val="20"/>
          <w:szCs w:val="20"/>
        </w:rPr>
        <w:footnoteReference w:id="353"/>
      </w:r>
    </w:p>
    <w:p w14:paraId="7DB5E093" w14:textId="77777777" w:rsidR="004F7C2D" w:rsidRPr="00220CD7" w:rsidRDefault="004F7C2D" w:rsidP="004F7C2D">
      <w:pPr>
        <w:jc w:val="both"/>
        <w:rPr>
          <w:rFonts w:ascii="Open Sans" w:hAnsi="Open Sans"/>
          <w:sz w:val="20"/>
          <w:szCs w:val="20"/>
        </w:rPr>
      </w:pPr>
    </w:p>
    <w:p w14:paraId="457550C0"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 xml:space="preserve">La estrategia del grupo para los próximos años apuesta por una fuerte expansión internacional, contención de gastos y costes estructurales, reducción de la deuda financiera y desarrollo de nuevas áreas de negocio complementarias a las actuales. </w:t>
      </w:r>
    </w:p>
    <w:p w14:paraId="40A7BE93" w14:textId="77777777" w:rsidR="004F7C2D" w:rsidRPr="00220CD7" w:rsidRDefault="004F7C2D" w:rsidP="004F7C2D">
      <w:pPr>
        <w:jc w:val="both"/>
        <w:rPr>
          <w:rFonts w:ascii="Open Sans" w:hAnsi="Open Sans"/>
          <w:sz w:val="20"/>
          <w:szCs w:val="20"/>
        </w:rPr>
      </w:pPr>
    </w:p>
    <w:p w14:paraId="7E46EBA9"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El grupo Sacyr, con importante presencia en el ámbito internacional, desarrolla su actividad en diferentes sectores, entornos socioeconómicos y marcos reguladores. En este contexto existen riesgos de diversa naturaleza, consustanciales a los negocios y sectores en los que la compañía opera, entre ellos los de carácter fiscal y los ligados con la corrupción.</w:t>
      </w:r>
    </w:p>
    <w:p w14:paraId="01CB9F92" w14:textId="77777777" w:rsidR="004F7C2D" w:rsidRPr="00220CD7" w:rsidRDefault="004F7C2D" w:rsidP="004F7C2D">
      <w:pPr>
        <w:jc w:val="both"/>
        <w:rPr>
          <w:rFonts w:ascii="Open Sans" w:hAnsi="Open Sans"/>
          <w:sz w:val="20"/>
          <w:szCs w:val="20"/>
        </w:rPr>
      </w:pPr>
    </w:p>
    <w:p w14:paraId="7BB54A2D"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La evasión fiscal en la industria de la construcción se manifiesta como un problema significativo en diversos países</w:t>
      </w:r>
      <w:r w:rsidRPr="00220CD7">
        <w:rPr>
          <w:rFonts w:ascii="Open Sans" w:hAnsi="Open Sans"/>
          <w:sz w:val="20"/>
          <w:szCs w:val="20"/>
          <w:vertAlign w:val="superscript"/>
        </w:rPr>
        <w:footnoteReference w:id="354"/>
      </w:r>
      <w:r w:rsidRPr="00220CD7">
        <w:rPr>
          <w:rFonts w:ascii="Open Sans" w:hAnsi="Open Sans"/>
          <w:sz w:val="20"/>
          <w:szCs w:val="20"/>
        </w:rPr>
        <w:t>. La agencia tributaria española señala también  al sector de la construcción como uno de los sectores clave en el fraude y evasión fiscal transfronteriza</w:t>
      </w:r>
      <w:r w:rsidRPr="00220CD7">
        <w:rPr>
          <w:rFonts w:ascii="Open Sans" w:hAnsi="Open Sans"/>
          <w:sz w:val="20"/>
          <w:szCs w:val="20"/>
          <w:vertAlign w:val="superscript"/>
        </w:rPr>
        <w:footnoteReference w:id="355"/>
      </w:r>
      <w:r w:rsidRPr="00220CD7">
        <w:rPr>
          <w:rFonts w:ascii="Open Sans" w:hAnsi="Open Sans"/>
          <w:sz w:val="20"/>
          <w:szCs w:val="20"/>
        </w:rPr>
        <w:t xml:space="preserve">. </w:t>
      </w:r>
    </w:p>
    <w:p w14:paraId="74EB8BA5" w14:textId="77777777" w:rsidR="004F7C2D" w:rsidRPr="00220CD7" w:rsidRDefault="004F7C2D" w:rsidP="004F7C2D">
      <w:pPr>
        <w:jc w:val="both"/>
        <w:rPr>
          <w:rFonts w:ascii="Open Sans" w:hAnsi="Open Sans"/>
          <w:sz w:val="20"/>
          <w:szCs w:val="20"/>
        </w:rPr>
      </w:pPr>
    </w:p>
    <w:p w14:paraId="0B592E0F"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Por otro lado el sector de la construcción ligado a la obra civil tiene una íntima relación con la Administración Pública lo que implica una exposición de riesgo elevado en materia de corrupción. Sacyr mantiene un  fuerte volumen de contratación con diversas Administraciones Públicas estando entre las cuatro primeras empresas por obra contratada en el conjunto de las administraciones españolas.</w:t>
      </w:r>
      <w:r w:rsidRPr="00220CD7">
        <w:rPr>
          <w:rFonts w:ascii="Open Sans" w:hAnsi="Open Sans"/>
          <w:sz w:val="20"/>
          <w:szCs w:val="20"/>
          <w:vertAlign w:val="superscript"/>
        </w:rPr>
        <w:footnoteReference w:id="356"/>
      </w:r>
      <w:r w:rsidRPr="00220CD7">
        <w:rPr>
          <w:rFonts w:ascii="Open Sans" w:hAnsi="Open Sans"/>
          <w:sz w:val="20"/>
          <w:szCs w:val="20"/>
          <w:vertAlign w:val="superscript"/>
        </w:rPr>
        <w:t xml:space="preserve"> </w:t>
      </w:r>
      <w:r w:rsidRPr="00220CD7">
        <w:rPr>
          <w:rFonts w:ascii="Open Sans" w:hAnsi="Open Sans"/>
          <w:sz w:val="20"/>
          <w:szCs w:val="20"/>
        </w:rPr>
        <w:t>Además tiene operativa en países con riesgo extremo de corrupción de acuerdo con el Índice de percepción de la corrupción de Transparencia Internacional como Libia, Angola y de riesgo alto como Colombia, México, Perú o Brasil, entre otros</w:t>
      </w:r>
      <w:r w:rsidRPr="00220CD7">
        <w:rPr>
          <w:rFonts w:ascii="Open Sans" w:hAnsi="Open Sans"/>
          <w:sz w:val="20"/>
          <w:szCs w:val="20"/>
          <w:vertAlign w:val="superscript"/>
        </w:rPr>
        <w:footnoteReference w:id="357"/>
      </w:r>
      <w:r w:rsidRPr="00220CD7">
        <w:rPr>
          <w:rFonts w:ascii="Open Sans" w:hAnsi="Open Sans"/>
          <w:sz w:val="20"/>
          <w:szCs w:val="20"/>
        </w:rPr>
        <w:t>.</w:t>
      </w:r>
    </w:p>
    <w:p w14:paraId="7748A553" w14:textId="77777777" w:rsidR="004F7C2D" w:rsidRPr="00220CD7" w:rsidRDefault="004F7C2D" w:rsidP="004F7C2D">
      <w:pPr>
        <w:jc w:val="both"/>
        <w:rPr>
          <w:rFonts w:ascii="Open Sans" w:hAnsi="Open Sans"/>
          <w:sz w:val="20"/>
          <w:szCs w:val="20"/>
        </w:rPr>
      </w:pPr>
    </w:p>
    <w:p w14:paraId="38FB63FA"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Por su parte el sector inmobiliario agrupa un conjunto de actividades de promoción y explotación de bienes inmuebles en las que intervienen diversos agentes en distintas etapas.  De acuerdo con la agencia tributaria el fraude inmobiliario tiene carácter estructural</w:t>
      </w:r>
      <w:r w:rsidRPr="00220CD7">
        <w:rPr>
          <w:rFonts w:ascii="Open Sans" w:hAnsi="Open Sans"/>
          <w:sz w:val="20"/>
          <w:szCs w:val="20"/>
          <w:vertAlign w:val="superscript"/>
        </w:rPr>
        <w:footnoteReference w:id="358"/>
      </w:r>
      <w:r w:rsidRPr="00220CD7">
        <w:rPr>
          <w:rFonts w:ascii="Open Sans" w:hAnsi="Open Sans"/>
          <w:sz w:val="20"/>
          <w:szCs w:val="20"/>
        </w:rPr>
        <w:t xml:space="preserve">. En el sector inmobiliario las tipologías de fraude más habituales consisten en la ocultación de la titularidad de los bienes o de la intervención del operador económico en el proceso urbanístico, la declaración de transmisiones por valores inferiores a los reales. Se trata de un sector idóneo para blanquear dinero oculto a la hacienda pública y por otro lado es propicio a generar dinero negro por la ocultación de las ganancias reales. </w:t>
      </w:r>
    </w:p>
    <w:p w14:paraId="1F374D5B" w14:textId="77777777" w:rsidR="004F7C2D" w:rsidRPr="00220CD7" w:rsidRDefault="004F7C2D" w:rsidP="004F7C2D">
      <w:pPr>
        <w:jc w:val="both"/>
        <w:rPr>
          <w:rFonts w:ascii="Open Sans" w:hAnsi="Open Sans"/>
          <w:sz w:val="20"/>
          <w:szCs w:val="20"/>
        </w:rPr>
      </w:pPr>
    </w:p>
    <w:p w14:paraId="279F663D" w14:textId="77777777" w:rsidR="004F7C2D" w:rsidRPr="00220CD7" w:rsidRDefault="004F7C2D" w:rsidP="004F7C2D">
      <w:pPr>
        <w:jc w:val="both"/>
        <w:rPr>
          <w:rFonts w:ascii="Open Sans" w:hAnsi="Open Sans" w:cs="Arial"/>
          <w:bCs/>
          <w:sz w:val="20"/>
          <w:szCs w:val="20"/>
        </w:rPr>
      </w:pPr>
      <w:r w:rsidRPr="00220CD7">
        <w:rPr>
          <w:rFonts w:ascii="Open Sans" w:hAnsi="Open Sans"/>
          <w:sz w:val="20"/>
          <w:szCs w:val="20"/>
        </w:rPr>
        <w:t xml:space="preserve">En la información analizada, no se han encontrado compromisos expresos en materia de fiscalidad responsable y en el ejercicio 2015 SACYR no cuenta con una política fiscal corporativa. </w:t>
      </w:r>
      <w:r w:rsidRPr="00220CD7">
        <w:rPr>
          <w:rFonts w:ascii="Open Sans" w:hAnsi="Open Sans" w:cs="Arial"/>
          <w:bCs/>
          <w:sz w:val="20"/>
          <w:szCs w:val="20"/>
        </w:rPr>
        <w:t xml:space="preserve">A fecha de redacción de este informe se conoce que el grupo ha aprobado en noviembre de 2016 una política fiscal corporativa que se encuentra accesible en la web. A efectos de este análisis no se ha tenido en cuenta pues el ámbito de estudio es el ejercicio 2015 periodo en el que no había sido aprobada. </w:t>
      </w:r>
    </w:p>
    <w:p w14:paraId="29220542" w14:textId="77777777" w:rsidR="004F7C2D" w:rsidRPr="00220CD7" w:rsidRDefault="004F7C2D" w:rsidP="004F7C2D">
      <w:pPr>
        <w:jc w:val="both"/>
        <w:rPr>
          <w:rFonts w:ascii="Open Sans" w:hAnsi="Open Sans"/>
          <w:sz w:val="20"/>
          <w:szCs w:val="20"/>
        </w:rPr>
      </w:pPr>
    </w:p>
    <w:p w14:paraId="19307950"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 xml:space="preserve">Informa que cuenta con una Política de control y gestión de riesgos y elabora mapas y perfiles de riesgos en los que se incluyen también los de naturaleza fiscal. </w:t>
      </w:r>
    </w:p>
    <w:p w14:paraId="73AABEB6" w14:textId="77777777" w:rsidR="004F7C2D" w:rsidRPr="00220CD7" w:rsidRDefault="004F7C2D" w:rsidP="004F7C2D">
      <w:pPr>
        <w:jc w:val="both"/>
        <w:rPr>
          <w:rFonts w:ascii="Open Sans" w:hAnsi="Open Sans"/>
          <w:sz w:val="20"/>
          <w:szCs w:val="20"/>
        </w:rPr>
      </w:pPr>
    </w:p>
    <w:p w14:paraId="78634559"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En el código de conducta se menciona que “</w:t>
      </w:r>
      <w:r w:rsidRPr="00220CD7">
        <w:rPr>
          <w:rFonts w:ascii="Open Sans" w:hAnsi="Open Sans"/>
          <w:i/>
          <w:sz w:val="20"/>
          <w:szCs w:val="20"/>
        </w:rPr>
        <w:t>queda terminantemente prohibida cualquier actuación, recogida o no en este Código, que pueda ser constitutiva de infracción penal, civil, mercantil, administrativa o tributaria, conforme a la normativa de los países y territorios en los que el Grupo actúe profesionalmente</w:t>
      </w:r>
      <w:r w:rsidRPr="00220CD7">
        <w:rPr>
          <w:rFonts w:ascii="Open Sans" w:hAnsi="Open Sans"/>
          <w:sz w:val="20"/>
          <w:szCs w:val="20"/>
        </w:rPr>
        <w:t xml:space="preserve">”. No se ha encontrado ninguna otra referencia en relación con el comportamiento en materia tributaria. </w:t>
      </w:r>
    </w:p>
    <w:p w14:paraId="136863A4" w14:textId="77777777" w:rsidR="004F7C2D" w:rsidRPr="00220CD7" w:rsidRDefault="004F7C2D" w:rsidP="004F7C2D">
      <w:pPr>
        <w:jc w:val="both"/>
        <w:rPr>
          <w:rFonts w:ascii="Open Sans" w:hAnsi="Open Sans"/>
          <w:sz w:val="20"/>
          <w:szCs w:val="20"/>
        </w:rPr>
      </w:pPr>
    </w:p>
    <w:p w14:paraId="26C34B3E" w14:textId="77777777" w:rsidR="004F7C2D" w:rsidRPr="00220CD7" w:rsidRDefault="004F7C2D" w:rsidP="004F7C2D">
      <w:pPr>
        <w:jc w:val="both"/>
        <w:rPr>
          <w:rFonts w:ascii="Open Sans" w:hAnsi="Open Sans"/>
          <w:sz w:val="20"/>
          <w:szCs w:val="20"/>
        </w:rPr>
      </w:pPr>
      <w:r w:rsidRPr="00220CD7">
        <w:rPr>
          <w:rFonts w:ascii="Open Sans" w:hAnsi="Open Sans"/>
          <w:sz w:val="20"/>
          <w:szCs w:val="20"/>
        </w:rPr>
        <w:t xml:space="preserve">En diciembre de 2015 Sacyr ha entrado a formar parte del índice de sostenibilidad FTSE4Good Ibex. La transparencia fiscal es un aspecto que cada vez más índices de sostenibilidad empiezan a contemplar como criterios de selección de empresas,  </w:t>
      </w:r>
    </w:p>
    <w:p w14:paraId="2D2A59FF" w14:textId="77777777" w:rsidR="004F7C2D" w:rsidRPr="00220CD7" w:rsidRDefault="004F7C2D" w:rsidP="004F7C2D">
      <w:pPr>
        <w:jc w:val="both"/>
        <w:rPr>
          <w:rFonts w:ascii="Open Sans" w:hAnsi="Open Sans"/>
          <w:sz w:val="20"/>
          <w:szCs w:val="20"/>
        </w:rPr>
      </w:pPr>
    </w:p>
    <w:p w14:paraId="4CCB689F" w14:textId="77777777" w:rsidR="004F7C2D" w:rsidRPr="00220CD7" w:rsidRDefault="004F7C2D" w:rsidP="004F7C2D">
      <w:pPr>
        <w:jc w:val="both"/>
        <w:rPr>
          <w:rFonts w:ascii="Open Sans" w:hAnsi="Open Sans"/>
          <w:sz w:val="20"/>
          <w:szCs w:val="20"/>
        </w:rPr>
      </w:pPr>
      <w:r w:rsidRPr="00220CD7">
        <w:rPr>
          <w:rFonts w:ascii="Open Sans" w:hAnsi="Open Sans" w:cs="Arial"/>
          <w:sz w:val="20"/>
          <w:szCs w:val="20"/>
        </w:rPr>
        <w:t>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220CD7">
        <w:rPr>
          <w:rFonts w:ascii="Open Sans" w:hAnsi="Open Sans" w:cs="Arial"/>
          <w:sz w:val="20"/>
          <w:szCs w:val="20"/>
          <w:vertAlign w:val="superscript"/>
        </w:rPr>
        <w:footnoteReference w:id="359"/>
      </w:r>
    </w:p>
    <w:p w14:paraId="32798590" w14:textId="77777777" w:rsidR="004F7C2D" w:rsidRPr="00220CD7" w:rsidRDefault="004F7C2D" w:rsidP="004F7C2D">
      <w:pPr>
        <w:jc w:val="both"/>
        <w:rPr>
          <w:rFonts w:ascii="Open Sans" w:hAnsi="Open Sans"/>
          <w:sz w:val="20"/>
          <w:szCs w:val="20"/>
        </w:rPr>
      </w:pPr>
    </w:p>
    <w:p w14:paraId="7B05AB11" w14:textId="77777777" w:rsidR="004F7C2D" w:rsidRPr="00220CD7" w:rsidRDefault="004F7C2D" w:rsidP="004F7C2D">
      <w:pPr>
        <w:jc w:val="both"/>
        <w:rPr>
          <w:rFonts w:ascii="Open Sans" w:hAnsi="Open Sans"/>
          <w:sz w:val="22"/>
        </w:rPr>
      </w:pPr>
    </w:p>
    <w:p w14:paraId="2380AF80" w14:textId="77777777" w:rsidR="004F7C2D" w:rsidRPr="00220CD7" w:rsidRDefault="004F7C2D" w:rsidP="004F7C2D">
      <w:pPr>
        <w:jc w:val="both"/>
        <w:rPr>
          <w:rFonts w:ascii="Open Sans" w:hAnsi="Open Sans" w:cs="Arial"/>
          <w:b/>
          <w:sz w:val="22"/>
          <w:szCs w:val="22"/>
          <w:u w:val="single"/>
        </w:rPr>
      </w:pPr>
      <w:r w:rsidRPr="00220CD7">
        <w:rPr>
          <w:rFonts w:ascii="Open Sans" w:hAnsi="Open Sans" w:cs="Arial"/>
          <w:b/>
          <w:sz w:val="22"/>
          <w:szCs w:val="22"/>
          <w:u w:val="single"/>
        </w:rPr>
        <w:t>4. Análisis</w:t>
      </w:r>
    </w:p>
    <w:p w14:paraId="1AD992F3" w14:textId="77777777" w:rsidR="004F7C2D" w:rsidRPr="00220CD7" w:rsidRDefault="004F7C2D" w:rsidP="004F7C2D">
      <w:pPr>
        <w:jc w:val="both"/>
        <w:rPr>
          <w:rFonts w:ascii="Open Sans" w:hAnsi="Open Sans" w:cs="Arial"/>
          <w:b/>
          <w:sz w:val="22"/>
          <w:szCs w:val="22"/>
        </w:rPr>
      </w:pPr>
    </w:p>
    <w:p w14:paraId="27E738C3"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6C796B6D" w14:textId="77777777" w:rsidR="004F7C2D" w:rsidRPr="00220CD7" w:rsidRDefault="004F7C2D" w:rsidP="004F7C2D">
      <w:pPr>
        <w:rPr>
          <w:rFonts w:ascii="Open Sans" w:hAnsi="Open Sans" w:cs="Arial"/>
          <w:bCs/>
          <w:sz w:val="20"/>
          <w:szCs w:val="20"/>
        </w:rPr>
      </w:pPr>
    </w:p>
    <w:p w14:paraId="091B2598"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No se ha encontrado ningún posicionamiento de Sacyr en relación a lo que entiende el grupo por paraíso y nicho fiscal ni tampoco en relación a su actividad en dichos territorios. </w:t>
      </w:r>
    </w:p>
    <w:p w14:paraId="717DE865" w14:textId="77777777" w:rsidR="004F7C2D" w:rsidRPr="00220CD7" w:rsidRDefault="004F7C2D" w:rsidP="004F7C2D">
      <w:pPr>
        <w:jc w:val="both"/>
        <w:rPr>
          <w:rFonts w:ascii="Open Sans" w:hAnsi="Open Sans" w:cs="Arial"/>
          <w:bCs/>
          <w:sz w:val="20"/>
          <w:szCs w:val="20"/>
        </w:rPr>
      </w:pPr>
    </w:p>
    <w:p w14:paraId="06496308" w14:textId="77777777" w:rsidR="004F7C2D" w:rsidRPr="00220CD7" w:rsidRDefault="004F7C2D" w:rsidP="004F7C2D">
      <w:pPr>
        <w:jc w:val="both"/>
        <w:rPr>
          <w:rFonts w:ascii="Open Sans" w:hAnsi="Open Sans" w:cs="Arial"/>
          <w:bCs/>
          <w:sz w:val="20"/>
          <w:szCs w:val="20"/>
        </w:rPr>
      </w:pPr>
      <w:r w:rsidRPr="00220CD7">
        <w:rPr>
          <w:rFonts w:ascii="Open Sans" w:hAnsi="Open Sans" w:cs="Open Sans"/>
          <w:sz w:val="20"/>
          <w:szCs w:val="20"/>
        </w:rPr>
        <w:t xml:space="preserve">A través de la información del Anexo II sobre el perímetro de consolidación del ejercicio 2015 de las cuentas anuales sobre la composición del grupo,  Sacyr </w:t>
      </w:r>
      <w:r w:rsidRPr="00220CD7">
        <w:rPr>
          <w:rFonts w:ascii="Open Sans" w:hAnsi="Open Sans" w:cs="Arial"/>
          <w:bCs/>
          <w:sz w:val="20"/>
          <w:szCs w:val="20"/>
        </w:rPr>
        <w:t xml:space="preserve">cuenta con un total de  15 sociedades domiciliadas en países y territorios considerados paraíso fiscal (1 sociedades) o nicho fiscal (14 sociedades), de acuerdo con la metodología del Observatorio de RSC. </w:t>
      </w:r>
    </w:p>
    <w:p w14:paraId="4868D298" w14:textId="77777777" w:rsidR="004F7C2D" w:rsidRPr="00220CD7" w:rsidRDefault="004F7C2D" w:rsidP="004F7C2D">
      <w:pPr>
        <w:jc w:val="both"/>
        <w:rPr>
          <w:rFonts w:ascii="Open Sans" w:hAnsi="Open Sans" w:cs="Arial"/>
          <w:bCs/>
          <w:sz w:val="20"/>
          <w:szCs w:val="20"/>
        </w:rPr>
      </w:pPr>
    </w:p>
    <w:p w14:paraId="7863DCE5"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Sacyr tiene filiales en los siguientes países considerados paraísos fiscales según el Real Decreto  1080/91 y sus posteriores modificaciones</w:t>
      </w:r>
      <w:r w:rsidRPr="00220CD7">
        <w:rPr>
          <w:rStyle w:val="Refdenotaalpie"/>
          <w:rFonts w:ascii="Open Sans" w:hAnsi="Open Sans"/>
          <w:bCs/>
          <w:sz w:val="20"/>
          <w:szCs w:val="20"/>
        </w:rPr>
        <w:footnoteReference w:id="360"/>
      </w:r>
      <w:r w:rsidRPr="00220CD7">
        <w:rPr>
          <w:rFonts w:ascii="Open Sans" w:hAnsi="Open Sans" w:cs="Arial"/>
          <w:bCs/>
          <w:sz w:val="20"/>
          <w:szCs w:val="20"/>
        </w:rPr>
        <w:t xml:space="preserve"> y listado de la OCDE: </w:t>
      </w:r>
    </w:p>
    <w:p w14:paraId="2A1E2891" w14:textId="77777777" w:rsidR="004F7C2D" w:rsidRPr="00220CD7" w:rsidRDefault="004F7C2D" w:rsidP="004F7C2D">
      <w:pPr>
        <w:jc w:val="both"/>
        <w:rPr>
          <w:rFonts w:ascii="Open Sans" w:hAnsi="Open Sans" w:cs="Arial"/>
          <w:bCs/>
          <w:sz w:val="20"/>
          <w:szCs w:val="20"/>
        </w:rPr>
      </w:pPr>
    </w:p>
    <w:p w14:paraId="62070164"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 </w:t>
      </w:r>
      <w:r w:rsidRPr="00220CD7">
        <w:rPr>
          <w:rFonts w:ascii="Open Sans" w:hAnsi="Open Sans" w:cs="Arial"/>
          <w:sz w:val="20"/>
          <w:szCs w:val="20"/>
        </w:rPr>
        <w:t>Gribaltar (UK)</w:t>
      </w:r>
    </w:p>
    <w:p w14:paraId="41CD3471" w14:textId="77777777" w:rsidR="004F7C2D" w:rsidRPr="00220CD7" w:rsidRDefault="004F7C2D" w:rsidP="004F7C2D">
      <w:pPr>
        <w:jc w:val="both"/>
        <w:rPr>
          <w:rFonts w:ascii="Open Sans" w:hAnsi="Open Sans" w:cs="Arial"/>
          <w:bCs/>
          <w:sz w:val="20"/>
          <w:szCs w:val="20"/>
        </w:rPr>
      </w:pPr>
    </w:p>
    <w:p w14:paraId="7861A817"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Sacyr tiene filiales en los siguientes países considerados nichos fiscales según la organización Tax Justice Network</w:t>
      </w:r>
      <w:r w:rsidRPr="00220CD7">
        <w:rPr>
          <w:rStyle w:val="Refdenotaalpie"/>
          <w:rFonts w:ascii="Open Sans" w:hAnsi="Open Sans"/>
          <w:bCs/>
          <w:sz w:val="20"/>
          <w:szCs w:val="20"/>
        </w:rPr>
        <w:footnoteReference w:id="361"/>
      </w:r>
      <w:r w:rsidRPr="00220CD7">
        <w:rPr>
          <w:rFonts w:ascii="Open Sans" w:hAnsi="Open Sans" w:cs="Arial"/>
          <w:bCs/>
          <w:sz w:val="20"/>
          <w:szCs w:val="20"/>
        </w:rPr>
        <w:t xml:space="preserve"> y Parlamento Europeo.</w:t>
      </w:r>
    </w:p>
    <w:p w14:paraId="557A80C7" w14:textId="77777777" w:rsidR="004F7C2D" w:rsidRPr="00220CD7" w:rsidRDefault="004F7C2D" w:rsidP="004F7C2D">
      <w:pPr>
        <w:jc w:val="both"/>
        <w:rPr>
          <w:rFonts w:ascii="Open Sans" w:hAnsi="Open Sans" w:cs="Arial"/>
          <w:bCs/>
          <w:sz w:val="20"/>
          <w:szCs w:val="20"/>
        </w:rPr>
      </w:pPr>
    </w:p>
    <w:p w14:paraId="57AB2709"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Delaware (EEUU), Irlanda, Omán y Panamá</w:t>
      </w:r>
    </w:p>
    <w:p w14:paraId="5C056ED1" w14:textId="77777777" w:rsidR="004F7C2D" w:rsidRPr="00220CD7" w:rsidRDefault="004F7C2D" w:rsidP="004F7C2D">
      <w:pPr>
        <w:jc w:val="both"/>
        <w:rPr>
          <w:rFonts w:ascii="Open Sans" w:hAnsi="Open Sans" w:cs="Arial"/>
          <w:bCs/>
          <w:sz w:val="20"/>
          <w:szCs w:val="20"/>
        </w:rPr>
      </w:pPr>
    </w:p>
    <w:p w14:paraId="57792D01" w14:textId="77777777" w:rsidR="004F7C2D" w:rsidRPr="00220CD7" w:rsidRDefault="004F7C2D" w:rsidP="004F7C2D">
      <w:pPr>
        <w:jc w:val="both"/>
        <w:rPr>
          <w:rFonts w:ascii="Open Sans" w:hAnsi="Open Sans" w:cs="Arial"/>
          <w:bCs/>
          <w:sz w:val="20"/>
          <w:szCs w:val="20"/>
        </w:rPr>
      </w:pPr>
    </w:p>
    <w:tbl>
      <w:tblPr>
        <w:tblW w:w="8163" w:type="dxa"/>
        <w:jc w:val="center"/>
        <w:tblInd w:w="55" w:type="dxa"/>
        <w:tblCellMar>
          <w:left w:w="70" w:type="dxa"/>
          <w:right w:w="70" w:type="dxa"/>
        </w:tblCellMar>
        <w:tblLook w:val="04A0" w:firstRow="1" w:lastRow="0" w:firstColumn="1" w:lastColumn="0" w:noHBand="0" w:noVBand="1"/>
      </w:tblPr>
      <w:tblGrid>
        <w:gridCol w:w="2823"/>
        <w:gridCol w:w="1780"/>
        <w:gridCol w:w="3560"/>
      </w:tblGrid>
      <w:tr w:rsidR="004F7C2D" w:rsidRPr="00220CD7" w14:paraId="238CED11" w14:textId="77777777" w:rsidTr="004F7C2D">
        <w:trPr>
          <w:trHeight w:val="254"/>
          <w:jc w:val="center"/>
        </w:trPr>
        <w:tc>
          <w:tcPr>
            <w:tcW w:w="2823"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EC05A79" w14:textId="77777777" w:rsidR="004F7C2D" w:rsidRPr="00220CD7" w:rsidRDefault="004F7C2D" w:rsidP="00F32F9C">
            <w:pPr>
              <w:jc w:val="center"/>
              <w:rPr>
                <w:rFonts w:ascii="Open Sans" w:hAnsi="Open Sans"/>
                <w:b/>
                <w:bCs/>
                <w:color w:val="000000"/>
                <w:sz w:val="20"/>
                <w:szCs w:val="20"/>
              </w:rPr>
            </w:pPr>
            <w:r w:rsidRPr="00220CD7">
              <w:rPr>
                <w:rFonts w:ascii="Open Sans" w:hAnsi="Open Sans"/>
                <w:b/>
                <w:bCs/>
                <w:color w:val="000000"/>
                <w:sz w:val="20"/>
                <w:szCs w:val="20"/>
              </w:rPr>
              <w:t>Nombre de la Sociedad</w:t>
            </w:r>
          </w:p>
        </w:tc>
        <w:tc>
          <w:tcPr>
            <w:tcW w:w="1780" w:type="dxa"/>
            <w:tcBorders>
              <w:top w:val="single" w:sz="4" w:space="0" w:color="auto"/>
              <w:left w:val="nil"/>
              <w:bottom w:val="single" w:sz="4" w:space="0" w:color="auto"/>
              <w:right w:val="single" w:sz="4" w:space="0" w:color="auto"/>
            </w:tcBorders>
            <w:shd w:val="clear" w:color="000000" w:fill="D9D9D9"/>
            <w:noWrap/>
            <w:vAlign w:val="center"/>
            <w:hideMark/>
          </w:tcPr>
          <w:p w14:paraId="145BCF5E" w14:textId="77777777" w:rsidR="004F7C2D" w:rsidRPr="00220CD7" w:rsidRDefault="004F7C2D" w:rsidP="00F32F9C">
            <w:pPr>
              <w:jc w:val="center"/>
              <w:rPr>
                <w:rFonts w:ascii="Open Sans" w:hAnsi="Open Sans"/>
                <w:b/>
                <w:bCs/>
                <w:color w:val="000000"/>
                <w:sz w:val="20"/>
                <w:szCs w:val="20"/>
              </w:rPr>
            </w:pPr>
            <w:r w:rsidRPr="00220CD7">
              <w:rPr>
                <w:rFonts w:ascii="Open Sans" w:hAnsi="Open Sans"/>
                <w:b/>
                <w:bCs/>
                <w:color w:val="000000"/>
                <w:sz w:val="20"/>
                <w:szCs w:val="20"/>
              </w:rPr>
              <w:t>Jurisdicción</w:t>
            </w:r>
          </w:p>
        </w:tc>
        <w:tc>
          <w:tcPr>
            <w:tcW w:w="3560" w:type="dxa"/>
            <w:tcBorders>
              <w:top w:val="single" w:sz="4" w:space="0" w:color="auto"/>
              <w:left w:val="nil"/>
              <w:bottom w:val="single" w:sz="4" w:space="0" w:color="auto"/>
              <w:right w:val="single" w:sz="4" w:space="0" w:color="auto"/>
            </w:tcBorders>
            <w:shd w:val="clear" w:color="000000" w:fill="D9D9D9"/>
            <w:noWrap/>
            <w:vAlign w:val="center"/>
            <w:hideMark/>
          </w:tcPr>
          <w:p w14:paraId="212F02D8" w14:textId="77777777" w:rsidR="004F7C2D" w:rsidRPr="00220CD7" w:rsidRDefault="004F7C2D" w:rsidP="00F32F9C">
            <w:pPr>
              <w:jc w:val="center"/>
              <w:rPr>
                <w:rFonts w:ascii="Open Sans" w:hAnsi="Open Sans"/>
                <w:b/>
                <w:bCs/>
                <w:color w:val="000000"/>
                <w:sz w:val="20"/>
                <w:szCs w:val="20"/>
              </w:rPr>
            </w:pPr>
            <w:r w:rsidRPr="00220CD7">
              <w:rPr>
                <w:rFonts w:ascii="Open Sans" w:hAnsi="Open Sans"/>
                <w:b/>
                <w:bCs/>
                <w:color w:val="000000"/>
                <w:sz w:val="20"/>
                <w:szCs w:val="20"/>
              </w:rPr>
              <w:t>Actividad</w:t>
            </w:r>
          </w:p>
        </w:tc>
      </w:tr>
      <w:tr w:rsidR="004F7C2D" w:rsidRPr="00220CD7" w14:paraId="654BE64F"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706F5B6C"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Construcción USA LLC</w:t>
            </w:r>
          </w:p>
        </w:tc>
        <w:tc>
          <w:tcPr>
            <w:tcW w:w="1780" w:type="dxa"/>
            <w:tcBorders>
              <w:top w:val="nil"/>
              <w:left w:val="nil"/>
              <w:bottom w:val="single" w:sz="4" w:space="0" w:color="auto"/>
              <w:right w:val="single" w:sz="4" w:space="0" w:color="auto"/>
            </w:tcBorders>
            <w:shd w:val="clear" w:color="auto" w:fill="auto"/>
            <w:noWrap/>
            <w:hideMark/>
          </w:tcPr>
          <w:p w14:paraId="7B132B8D"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Delaware (EEUU)</w:t>
            </w:r>
          </w:p>
        </w:tc>
        <w:tc>
          <w:tcPr>
            <w:tcW w:w="3560" w:type="dxa"/>
            <w:tcBorders>
              <w:top w:val="nil"/>
              <w:left w:val="nil"/>
              <w:bottom w:val="single" w:sz="4" w:space="0" w:color="auto"/>
              <w:right w:val="single" w:sz="4" w:space="0" w:color="auto"/>
            </w:tcBorders>
            <w:shd w:val="clear" w:color="auto" w:fill="auto"/>
            <w:hideMark/>
          </w:tcPr>
          <w:p w14:paraId="297AC107"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y montaje de obras</w:t>
            </w:r>
          </w:p>
        </w:tc>
      </w:tr>
      <w:tr w:rsidR="004F7C2D" w:rsidRPr="00220CD7" w14:paraId="2A391489"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auto" w:fill="auto"/>
            <w:noWrap/>
            <w:hideMark/>
          </w:tcPr>
          <w:p w14:paraId="2BCF4A74"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Environment USA LLC</w:t>
            </w:r>
          </w:p>
        </w:tc>
        <w:tc>
          <w:tcPr>
            <w:tcW w:w="1780" w:type="dxa"/>
            <w:tcBorders>
              <w:top w:val="nil"/>
              <w:left w:val="nil"/>
              <w:bottom w:val="single" w:sz="4" w:space="0" w:color="auto"/>
              <w:right w:val="single" w:sz="4" w:space="0" w:color="auto"/>
            </w:tcBorders>
            <w:shd w:val="clear" w:color="auto" w:fill="auto"/>
            <w:noWrap/>
            <w:hideMark/>
          </w:tcPr>
          <w:p w14:paraId="4A68113E"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Delaware (EEUU)</w:t>
            </w:r>
          </w:p>
        </w:tc>
        <w:tc>
          <w:tcPr>
            <w:tcW w:w="3560" w:type="dxa"/>
            <w:tcBorders>
              <w:top w:val="nil"/>
              <w:left w:val="nil"/>
              <w:bottom w:val="single" w:sz="4" w:space="0" w:color="auto"/>
              <w:right w:val="single" w:sz="4" w:space="0" w:color="auto"/>
            </w:tcBorders>
            <w:shd w:val="clear" w:color="auto" w:fill="auto"/>
            <w:hideMark/>
          </w:tcPr>
          <w:p w14:paraId="156A4DD8"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Desarrollo y explotación de proyectos medioambientales en USA</w:t>
            </w:r>
          </w:p>
        </w:tc>
      </w:tr>
      <w:tr w:rsidR="004F7C2D" w:rsidRPr="00220CD7" w14:paraId="63FC2B5E"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auto" w:fill="auto"/>
            <w:noWrap/>
            <w:hideMark/>
          </w:tcPr>
          <w:p w14:paraId="6AD5A708"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Industrial USA LLC</w:t>
            </w:r>
          </w:p>
        </w:tc>
        <w:tc>
          <w:tcPr>
            <w:tcW w:w="1780" w:type="dxa"/>
            <w:tcBorders>
              <w:top w:val="nil"/>
              <w:left w:val="nil"/>
              <w:bottom w:val="single" w:sz="4" w:space="0" w:color="auto"/>
              <w:right w:val="single" w:sz="4" w:space="0" w:color="auto"/>
            </w:tcBorders>
            <w:shd w:val="clear" w:color="auto" w:fill="auto"/>
            <w:noWrap/>
            <w:hideMark/>
          </w:tcPr>
          <w:p w14:paraId="2175C0E4"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Delaware (EEUU)</w:t>
            </w:r>
          </w:p>
        </w:tc>
        <w:tc>
          <w:tcPr>
            <w:tcW w:w="3560" w:type="dxa"/>
            <w:tcBorders>
              <w:top w:val="nil"/>
              <w:left w:val="nil"/>
              <w:bottom w:val="single" w:sz="4" w:space="0" w:color="auto"/>
              <w:right w:val="single" w:sz="4" w:space="0" w:color="auto"/>
            </w:tcBorders>
            <w:shd w:val="clear" w:color="auto" w:fill="auto"/>
            <w:hideMark/>
          </w:tcPr>
          <w:p w14:paraId="3D759C5B"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Proyectos de obras civiles e industriales</w:t>
            </w:r>
          </w:p>
        </w:tc>
      </w:tr>
      <w:tr w:rsidR="004F7C2D" w:rsidRPr="00220CD7" w14:paraId="3021FFA6"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auto" w:fill="auto"/>
            <w:noWrap/>
            <w:hideMark/>
          </w:tcPr>
          <w:p w14:paraId="5C18ACF5"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Infraestructure USA LLC</w:t>
            </w:r>
          </w:p>
        </w:tc>
        <w:tc>
          <w:tcPr>
            <w:tcW w:w="1780" w:type="dxa"/>
            <w:tcBorders>
              <w:top w:val="nil"/>
              <w:left w:val="nil"/>
              <w:bottom w:val="single" w:sz="4" w:space="0" w:color="auto"/>
              <w:right w:val="single" w:sz="4" w:space="0" w:color="auto"/>
            </w:tcBorders>
            <w:shd w:val="clear" w:color="auto" w:fill="auto"/>
            <w:noWrap/>
            <w:hideMark/>
          </w:tcPr>
          <w:p w14:paraId="39B01DDA"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Delaware (EEUU)</w:t>
            </w:r>
          </w:p>
        </w:tc>
        <w:tc>
          <w:tcPr>
            <w:tcW w:w="3560" w:type="dxa"/>
            <w:tcBorders>
              <w:top w:val="nil"/>
              <w:left w:val="nil"/>
              <w:bottom w:val="single" w:sz="4" w:space="0" w:color="auto"/>
              <w:right w:val="single" w:sz="4" w:space="0" w:color="auto"/>
            </w:tcBorders>
            <w:shd w:val="clear" w:color="auto" w:fill="auto"/>
            <w:hideMark/>
          </w:tcPr>
          <w:p w14:paraId="34760EC9"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y explotación de concesiones en USA</w:t>
            </w:r>
          </w:p>
        </w:tc>
      </w:tr>
      <w:tr w:rsidR="004F7C2D" w:rsidRPr="00220CD7" w14:paraId="48122C67"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235959D9"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B.F. Constructions Limited</w:t>
            </w:r>
          </w:p>
        </w:tc>
        <w:tc>
          <w:tcPr>
            <w:tcW w:w="1780" w:type="dxa"/>
            <w:tcBorders>
              <w:top w:val="nil"/>
              <w:left w:val="nil"/>
              <w:bottom w:val="single" w:sz="4" w:space="0" w:color="auto"/>
              <w:right w:val="single" w:sz="4" w:space="0" w:color="auto"/>
            </w:tcBorders>
            <w:shd w:val="clear" w:color="auto" w:fill="auto"/>
            <w:noWrap/>
            <w:hideMark/>
          </w:tcPr>
          <w:p w14:paraId="35D8ABCE"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Gibraltar (UK)</w:t>
            </w:r>
          </w:p>
        </w:tc>
        <w:tc>
          <w:tcPr>
            <w:tcW w:w="3560" w:type="dxa"/>
            <w:tcBorders>
              <w:top w:val="nil"/>
              <w:left w:val="nil"/>
              <w:bottom w:val="single" w:sz="4" w:space="0" w:color="auto"/>
              <w:right w:val="single" w:sz="4" w:space="0" w:color="auto"/>
            </w:tcBorders>
            <w:shd w:val="clear" w:color="auto" w:fill="auto"/>
            <w:hideMark/>
          </w:tcPr>
          <w:p w14:paraId="5443CCBC"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y explotación de concesiones en Reino Unido</w:t>
            </w:r>
          </w:p>
        </w:tc>
      </w:tr>
      <w:tr w:rsidR="004F7C2D" w:rsidRPr="00220CD7" w14:paraId="6CD743A3"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7C3E38AA"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GSJ Maintenance Limited</w:t>
            </w:r>
          </w:p>
        </w:tc>
        <w:tc>
          <w:tcPr>
            <w:tcW w:w="1780" w:type="dxa"/>
            <w:tcBorders>
              <w:top w:val="nil"/>
              <w:left w:val="nil"/>
              <w:bottom w:val="single" w:sz="4" w:space="0" w:color="auto"/>
              <w:right w:val="single" w:sz="4" w:space="0" w:color="auto"/>
            </w:tcBorders>
            <w:shd w:val="clear" w:color="auto" w:fill="auto"/>
            <w:noWrap/>
            <w:hideMark/>
          </w:tcPr>
          <w:p w14:paraId="7A10DC5F"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73E32A36"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Desarrollo de ingeniería, construcción y montaje de obras</w:t>
            </w:r>
          </w:p>
        </w:tc>
      </w:tr>
      <w:tr w:rsidR="004F7C2D" w:rsidRPr="00220CD7" w14:paraId="3C21D604"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194AC552"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M50  (D&amp;C) Limited</w:t>
            </w:r>
          </w:p>
        </w:tc>
        <w:tc>
          <w:tcPr>
            <w:tcW w:w="1780" w:type="dxa"/>
            <w:tcBorders>
              <w:top w:val="nil"/>
              <w:left w:val="nil"/>
              <w:bottom w:val="single" w:sz="4" w:space="0" w:color="auto"/>
              <w:right w:val="single" w:sz="4" w:space="0" w:color="auto"/>
            </w:tcBorders>
            <w:shd w:val="clear" w:color="auto" w:fill="auto"/>
            <w:noWrap/>
            <w:hideMark/>
          </w:tcPr>
          <w:p w14:paraId="64808D10"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32B09A72"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en Irlanda</w:t>
            </w:r>
          </w:p>
        </w:tc>
      </w:tr>
      <w:tr w:rsidR="004F7C2D" w:rsidRPr="00220CD7" w14:paraId="58030A49"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791C1FAE"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N6 Concession Holding Ltd</w:t>
            </w:r>
          </w:p>
        </w:tc>
        <w:tc>
          <w:tcPr>
            <w:tcW w:w="1780" w:type="dxa"/>
            <w:tcBorders>
              <w:top w:val="nil"/>
              <w:left w:val="nil"/>
              <w:bottom w:val="single" w:sz="4" w:space="0" w:color="auto"/>
              <w:right w:val="single" w:sz="4" w:space="0" w:color="auto"/>
            </w:tcBorders>
            <w:shd w:val="clear" w:color="auto" w:fill="auto"/>
            <w:noWrap/>
            <w:hideMark/>
          </w:tcPr>
          <w:p w14:paraId="46F85A4F"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40AD6B88"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Holding de concesiones</w:t>
            </w:r>
          </w:p>
        </w:tc>
      </w:tr>
      <w:tr w:rsidR="004F7C2D" w:rsidRPr="00220CD7" w14:paraId="05F8E38A"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07AE701C"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N6 Concession Ltd</w:t>
            </w:r>
          </w:p>
        </w:tc>
        <w:tc>
          <w:tcPr>
            <w:tcW w:w="1780" w:type="dxa"/>
            <w:tcBorders>
              <w:top w:val="nil"/>
              <w:left w:val="nil"/>
              <w:bottom w:val="single" w:sz="4" w:space="0" w:color="auto"/>
              <w:right w:val="single" w:sz="4" w:space="0" w:color="auto"/>
            </w:tcBorders>
            <w:shd w:val="clear" w:color="auto" w:fill="auto"/>
            <w:noWrap/>
            <w:hideMark/>
          </w:tcPr>
          <w:p w14:paraId="4A0F90A1"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522C3BA4"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Conservación y explotación de Tramo N6 Galway -Ballinasloe</w:t>
            </w:r>
          </w:p>
        </w:tc>
      </w:tr>
      <w:tr w:rsidR="004F7C2D" w:rsidRPr="00220CD7" w14:paraId="61BF3B1B"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383DDA42"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N6 Construction Limirted</w:t>
            </w:r>
          </w:p>
        </w:tc>
        <w:tc>
          <w:tcPr>
            <w:tcW w:w="1780" w:type="dxa"/>
            <w:tcBorders>
              <w:top w:val="nil"/>
              <w:left w:val="nil"/>
              <w:bottom w:val="single" w:sz="4" w:space="0" w:color="auto"/>
              <w:right w:val="single" w:sz="4" w:space="0" w:color="auto"/>
            </w:tcBorders>
            <w:shd w:val="clear" w:color="auto" w:fill="auto"/>
            <w:noWrap/>
            <w:hideMark/>
          </w:tcPr>
          <w:p w14:paraId="37EAE780"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49BFE4F4"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en Irlanda</w:t>
            </w:r>
          </w:p>
        </w:tc>
      </w:tr>
      <w:tr w:rsidR="004F7C2D" w:rsidRPr="00220CD7" w14:paraId="4A3400E6"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004B6C2E"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Concesions Limited</w:t>
            </w:r>
          </w:p>
        </w:tc>
        <w:tc>
          <w:tcPr>
            <w:tcW w:w="1780" w:type="dxa"/>
            <w:tcBorders>
              <w:top w:val="nil"/>
              <w:left w:val="nil"/>
              <w:bottom w:val="single" w:sz="4" w:space="0" w:color="auto"/>
              <w:right w:val="single" w:sz="4" w:space="0" w:color="auto"/>
            </w:tcBorders>
            <w:shd w:val="clear" w:color="auto" w:fill="auto"/>
            <w:noWrap/>
            <w:hideMark/>
          </w:tcPr>
          <w:p w14:paraId="6881CD5E"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56B072E1"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Holding de concesiones</w:t>
            </w:r>
          </w:p>
        </w:tc>
      </w:tr>
      <w:tr w:rsidR="004F7C2D" w:rsidRPr="00220CD7" w14:paraId="1218F9BA"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48134541"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Ireland Limited</w:t>
            </w:r>
          </w:p>
        </w:tc>
        <w:tc>
          <w:tcPr>
            <w:tcW w:w="1780" w:type="dxa"/>
            <w:tcBorders>
              <w:top w:val="nil"/>
              <w:left w:val="nil"/>
              <w:bottom w:val="single" w:sz="4" w:space="0" w:color="auto"/>
              <w:right w:val="single" w:sz="4" w:space="0" w:color="auto"/>
            </w:tcBorders>
            <w:shd w:val="clear" w:color="auto" w:fill="auto"/>
            <w:noWrap/>
            <w:hideMark/>
          </w:tcPr>
          <w:p w14:paraId="2654B651"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Irlanda</w:t>
            </w:r>
          </w:p>
        </w:tc>
        <w:tc>
          <w:tcPr>
            <w:tcW w:w="3560" w:type="dxa"/>
            <w:tcBorders>
              <w:top w:val="nil"/>
              <w:left w:val="nil"/>
              <w:bottom w:val="single" w:sz="4" w:space="0" w:color="auto"/>
              <w:right w:val="single" w:sz="4" w:space="0" w:color="auto"/>
            </w:tcBorders>
            <w:shd w:val="clear" w:color="auto" w:fill="auto"/>
            <w:hideMark/>
          </w:tcPr>
          <w:p w14:paraId="1AE303E4"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en Irlanda</w:t>
            </w:r>
          </w:p>
        </w:tc>
      </w:tr>
      <w:tr w:rsidR="004F7C2D" w:rsidRPr="00220CD7" w14:paraId="1938983A" w14:textId="77777777" w:rsidTr="004F7C2D">
        <w:trPr>
          <w:trHeight w:val="560"/>
          <w:jc w:val="center"/>
        </w:trPr>
        <w:tc>
          <w:tcPr>
            <w:tcW w:w="2823" w:type="dxa"/>
            <w:tcBorders>
              <w:top w:val="nil"/>
              <w:left w:val="single" w:sz="4" w:space="0" w:color="auto"/>
              <w:bottom w:val="single" w:sz="4" w:space="0" w:color="auto"/>
              <w:right w:val="single" w:sz="4" w:space="0" w:color="auto"/>
            </w:tcBorders>
            <w:shd w:val="clear" w:color="auto" w:fill="auto"/>
            <w:noWrap/>
            <w:hideMark/>
          </w:tcPr>
          <w:p w14:paraId="63311B60"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Industrial LLC</w:t>
            </w:r>
          </w:p>
        </w:tc>
        <w:tc>
          <w:tcPr>
            <w:tcW w:w="1780" w:type="dxa"/>
            <w:tcBorders>
              <w:top w:val="nil"/>
              <w:left w:val="nil"/>
              <w:bottom w:val="single" w:sz="4" w:space="0" w:color="auto"/>
              <w:right w:val="single" w:sz="4" w:space="0" w:color="auto"/>
            </w:tcBorders>
            <w:shd w:val="clear" w:color="auto" w:fill="auto"/>
            <w:noWrap/>
            <w:hideMark/>
          </w:tcPr>
          <w:p w14:paraId="6DF424AA"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Omán</w:t>
            </w:r>
          </w:p>
        </w:tc>
        <w:tc>
          <w:tcPr>
            <w:tcW w:w="3560" w:type="dxa"/>
            <w:tcBorders>
              <w:top w:val="nil"/>
              <w:left w:val="nil"/>
              <w:bottom w:val="single" w:sz="4" w:space="0" w:color="auto"/>
              <w:right w:val="single" w:sz="4" w:space="0" w:color="auto"/>
            </w:tcBorders>
            <w:shd w:val="clear" w:color="auto" w:fill="auto"/>
            <w:hideMark/>
          </w:tcPr>
          <w:p w14:paraId="4A2F7216"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Proyectos de obras civiles e industriales</w:t>
            </w:r>
          </w:p>
        </w:tc>
      </w:tr>
      <w:tr w:rsidR="004F7C2D" w:rsidRPr="00220CD7" w14:paraId="3CDEA7EC"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2B34A191"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Grupo Unidos por el Canal, S.A.</w:t>
            </w:r>
          </w:p>
        </w:tc>
        <w:tc>
          <w:tcPr>
            <w:tcW w:w="1780" w:type="dxa"/>
            <w:tcBorders>
              <w:top w:val="nil"/>
              <w:left w:val="nil"/>
              <w:bottom w:val="single" w:sz="4" w:space="0" w:color="auto"/>
              <w:right w:val="single" w:sz="4" w:space="0" w:color="auto"/>
            </w:tcBorders>
            <w:shd w:val="clear" w:color="auto" w:fill="auto"/>
            <w:noWrap/>
            <w:hideMark/>
          </w:tcPr>
          <w:p w14:paraId="1D270FDE"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Panamá</w:t>
            </w:r>
          </w:p>
        </w:tc>
        <w:tc>
          <w:tcPr>
            <w:tcW w:w="3560" w:type="dxa"/>
            <w:tcBorders>
              <w:top w:val="nil"/>
              <w:left w:val="nil"/>
              <w:bottom w:val="single" w:sz="4" w:space="0" w:color="auto"/>
              <w:right w:val="single" w:sz="4" w:space="0" w:color="auto"/>
            </w:tcBorders>
            <w:shd w:val="clear" w:color="auto" w:fill="auto"/>
            <w:hideMark/>
          </w:tcPr>
          <w:p w14:paraId="7E988977"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en Panamá</w:t>
            </w:r>
          </w:p>
        </w:tc>
      </w:tr>
      <w:tr w:rsidR="004F7C2D" w:rsidRPr="00220CD7" w14:paraId="7BF6CAF0" w14:textId="77777777" w:rsidTr="004F7C2D">
        <w:trPr>
          <w:trHeight w:val="280"/>
          <w:jc w:val="center"/>
        </w:trPr>
        <w:tc>
          <w:tcPr>
            <w:tcW w:w="2823" w:type="dxa"/>
            <w:tcBorders>
              <w:top w:val="nil"/>
              <w:left w:val="single" w:sz="4" w:space="0" w:color="auto"/>
              <w:bottom w:val="single" w:sz="4" w:space="0" w:color="auto"/>
              <w:right w:val="single" w:sz="4" w:space="0" w:color="auto"/>
            </w:tcBorders>
            <w:shd w:val="clear" w:color="000000" w:fill="FFFFFF"/>
            <w:noWrap/>
            <w:hideMark/>
          </w:tcPr>
          <w:p w14:paraId="44DCCECB"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Sacyr Panamá, S.A.</w:t>
            </w:r>
          </w:p>
        </w:tc>
        <w:tc>
          <w:tcPr>
            <w:tcW w:w="1780" w:type="dxa"/>
            <w:tcBorders>
              <w:top w:val="nil"/>
              <w:left w:val="nil"/>
              <w:bottom w:val="single" w:sz="4" w:space="0" w:color="auto"/>
              <w:right w:val="single" w:sz="4" w:space="0" w:color="auto"/>
            </w:tcBorders>
            <w:shd w:val="clear" w:color="auto" w:fill="auto"/>
            <w:noWrap/>
            <w:hideMark/>
          </w:tcPr>
          <w:p w14:paraId="65F61537"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Panamá</w:t>
            </w:r>
          </w:p>
        </w:tc>
        <w:tc>
          <w:tcPr>
            <w:tcW w:w="3560" w:type="dxa"/>
            <w:tcBorders>
              <w:top w:val="nil"/>
              <w:left w:val="nil"/>
              <w:bottom w:val="single" w:sz="4" w:space="0" w:color="auto"/>
              <w:right w:val="single" w:sz="4" w:space="0" w:color="auto"/>
            </w:tcBorders>
            <w:shd w:val="clear" w:color="auto" w:fill="auto"/>
            <w:hideMark/>
          </w:tcPr>
          <w:p w14:paraId="2C98C629" w14:textId="77777777" w:rsidR="004F7C2D" w:rsidRPr="00220CD7" w:rsidRDefault="004F7C2D" w:rsidP="00F32F9C">
            <w:pPr>
              <w:rPr>
                <w:rFonts w:ascii="Open Sans" w:hAnsi="Open Sans"/>
                <w:color w:val="000000"/>
                <w:sz w:val="20"/>
                <w:szCs w:val="20"/>
              </w:rPr>
            </w:pPr>
            <w:r w:rsidRPr="00220CD7">
              <w:rPr>
                <w:rFonts w:ascii="Open Sans" w:hAnsi="Open Sans"/>
                <w:color w:val="000000"/>
                <w:sz w:val="20"/>
                <w:szCs w:val="20"/>
              </w:rPr>
              <w:t>Construcción en Panamá</w:t>
            </w:r>
          </w:p>
        </w:tc>
      </w:tr>
    </w:tbl>
    <w:p w14:paraId="45D4544B" w14:textId="77777777" w:rsidR="004F7C2D" w:rsidRPr="00220CD7" w:rsidRDefault="004F7C2D" w:rsidP="004F7C2D">
      <w:pPr>
        <w:jc w:val="both"/>
        <w:rPr>
          <w:rFonts w:ascii="Open Sans" w:hAnsi="Open Sans" w:cs="Arial"/>
          <w:bCs/>
          <w:sz w:val="20"/>
          <w:szCs w:val="20"/>
        </w:rPr>
      </w:pPr>
    </w:p>
    <w:p w14:paraId="7DB2ABDE" w14:textId="77777777" w:rsidR="004F7C2D" w:rsidRPr="00220CD7" w:rsidRDefault="004F7C2D" w:rsidP="004F7C2D">
      <w:pPr>
        <w:jc w:val="both"/>
        <w:rPr>
          <w:rFonts w:ascii="Open Sans" w:hAnsi="Open Sans" w:cs="Arial"/>
          <w:bCs/>
          <w:sz w:val="20"/>
          <w:szCs w:val="20"/>
        </w:rPr>
      </w:pPr>
    </w:p>
    <w:p w14:paraId="4A784FB2"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Sacyr aporta información en este anexo sobre la actividad realizada y datos económicos relativos a inversión, capital social, reservas, resultado y dividendos a cuenta. </w:t>
      </w:r>
    </w:p>
    <w:p w14:paraId="049636CF" w14:textId="77777777" w:rsidR="004F7C2D" w:rsidRPr="00220CD7" w:rsidRDefault="004F7C2D" w:rsidP="004F7C2D">
      <w:pPr>
        <w:jc w:val="both"/>
        <w:rPr>
          <w:rFonts w:ascii="Open Sans" w:hAnsi="Open Sans" w:cs="Arial"/>
          <w:bCs/>
          <w:sz w:val="20"/>
          <w:szCs w:val="20"/>
        </w:rPr>
      </w:pPr>
    </w:p>
    <w:p w14:paraId="11C16032" w14:textId="77777777" w:rsidR="004F7C2D" w:rsidRPr="00220CD7" w:rsidRDefault="004F7C2D" w:rsidP="004F7C2D">
      <w:pPr>
        <w:jc w:val="both"/>
        <w:rPr>
          <w:rFonts w:ascii="Open Sans" w:hAnsi="Open Sans" w:cs="Open Sans"/>
          <w:sz w:val="20"/>
          <w:szCs w:val="20"/>
        </w:rPr>
      </w:pPr>
      <w:r w:rsidRPr="00220CD7">
        <w:rPr>
          <w:rFonts w:ascii="Open Sans" w:hAnsi="Open Sans" w:cs="Arial"/>
          <w:bCs/>
          <w:sz w:val="20"/>
          <w:szCs w:val="20"/>
        </w:rPr>
        <w:t xml:space="preserve">Entre estas 15 sociedades </w:t>
      </w:r>
      <w:r w:rsidRPr="00220CD7">
        <w:rPr>
          <w:rFonts w:ascii="Open Sans" w:hAnsi="Open Sans" w:cs="Open Sans"/>
          <w:sz w:val="20"/>
          <w:szCs w:val="20"/>
        </w:rPr>
        <w:t>ubicadas en paraísos o nichos fiscales se considera que existe un grupo de 7 empresas que ofrecen dudas en cuanto a que su actividad tenga que ver con la operativa propia de negocio, puesto que tanto la declaración de la actividad (holding) como su ubicación generan dudas sobre su utilización posible dentro de una estrategia fiscal planificada y que no son susceptibles de resolverse al no aportar la empresa mayor información.</w:t>
      </w:r>
    </w:p>
    <w:p w14:paraId="42940C18" w14:textId="77777777" w:rsidR="004F7C2D" w:rsidRPr="00220CD7" w:rsidRDefault="004F7C2D" w:rsidP="004F7C2D">
      <w:pPr>
        <w:jc w:val="both"/>
        <w:rPr>
          <w:rFonts w:ascii="Open Sans" w:hAnsi="Open Sans" w:cs="Open Sans"/>
          <w:sz w:val="20"/>
          <w:szCs w:val="20"/>
        </w:rPr>
      </w:pPr>
    </w:p>
    <w:p w14:paraId="44A0DBD2" w14:textId="77777777" w:rsidR="004F7C2D" w:rsidRPr="00220CD7" w:rsidRDefault="004F7C2D" w:rsidP="004F7C2D">
      <w:pPr>
        <w:jc w:val="both"/>
        <w:rPr>
          <w:rFonts w:ascii="Open Sans" w:hAnsi="Open Sans" w:cs="Open Sans"/>
          <w:sz w:val="20"/>
          <w:szCs w:val="20"/>
        </w:rPr>
      </w:pPr>
      <w:r w:rsidRPr="00220CD7">
        <w:rPr>
          <w:rFonts w:ascii="Open Sans" w:hAnsi="Open Sans" w:cs="Open Sans"/>
          <w:sz w:val="20"/>
          <w:szCs w:val="20"/>
        </w:rPr>
        <w:t>En el caso de la empresa B.F. Constructions Limited, si bien se indica que la actividad es Construcción y explotación de concesiones en Reino Unido, la empresa se encuentra domiciliada en Gibraltar, territorio offshore conocido por sus ventajas fiscales.</w:t>
      </w:r>
      <w:r w:rsidRPr="00220CD7">
        <w:rPr>
          <w:rStyle w:val="Refdenotaalpie"/>
          <w:rFonts w:ascii="Open Sans" w:hAnsi="Open Sans" w:cs="Open Sans"/>
          <w:sz w:val="20"/>
          <w:szCs w:val="20"/>
        </w:rPr>
        <w:footnoteReference w:id="362"/>
      </w:r>
      <w:r w:rsidRPr="00220CD7">
        <w:rPr>
          <w:rFonts w:ascii="Open Sans" w:hAnsi="Open Sans" w:cs="Open Sans"/>
          <w:sz w:val="20"/>
          <w:szCs w:val="20"/>
        </w:rPr>
        <w:t xml:space="preserve"> </w:t>
      </w:r>
    </w:p>
    <w:p w14:paraId="6A1DDEBA" w14:textId="77777777" w:rsidR="004F7C2D" w:rsidRPr="00220CD7" w:rsidRDefault="004F7C2D" w:rsidP="004F7C2D">
      <w:pPr>
        <w:jc w:val="both"/>
        <w:rPr>
          <w:rFonts w:ascii="Open Sans" w:hAnsi="Open Sans" w:cs="Open Sans"/>
          <w:sz w:val="20"/>
          <w:szCs w:val="20"/>
        </w:rPr>
      </w:pPr>
    </w:p>
    <w:p w14:paraId="16F684CD" w14:textId="77777777" w:rsidR="004F7C2D" w:rsidRPr="00220CD7" w:rsidRDefault="004F7C2D" w:rsidP="004F7C2D">
      <w:pPr>
        <w:jc w:val="both"/>
        <w:rPr>
          <w:rFonts w:ascii="Open Sans" w:hAnsi="Open Sans" w:cs="Open Sans"/>
          <w:sz w:val="20"/>
          <w:szCs w:val="20"/>
        </w:rPr>
      </w:pPr>
      <w:r w:rsidRPr="00220CD7">
        <w:rPr>
          <w:rFonts w:ascii="Open Sans" w:hAnsi="Open Sans" w:cs="Open Sans"/>
          <w:sz w:val="20"/>
          <w:szCs w:val="20"/>
        </w:rPr>
        <w:t>En el caso de las empresas Sacyr Concessions Limited, N6 Concession Holding Ltd, son sociedades holding</w:t>
      </w:r>
      <w:r w:rsidRPr="00220CD7">
        <w:rPr>
          <w:rFonts w:ascii="Open Sans" w:hAnsi="Open Sans" w:cs="Open Sans"/>
          <w:sz w:val="20"/>
          <w:szCs w:val="20"/>
          <w:vertAlign w:val="superscript"/>
        </w:rPr>
        <w:footnoteReference w:id="363"/>
      </w:r>
      <w:r w:rsidRPr="00220CD7">
        <w:rPr>
          <w:rFonts w:ascii="Open Sans" w:hAnsi="Open Sans" w:cs="Open Sans"/>
          <w:sz w:val="20"/>
          <w:szCs w:val="20"/>
        </w:rPr>
        <w:t xml:space="preserve"> ambas domiciliadas en Irlanda.</w:t>
      </w:r>
    </w:p>
    <w:p w14:paraId="0A517049" w14:textId="77777777" w:rsidR="004F7C2D" w:rsidRPr="00220CD7" w:rsidRDefault="004F7C2D" w:rsidP="004F7C2D">
      <w:pPr>
        <w:jc w:val="both"/>
        <w:rPr>
          <w:rFonts w:ascii="Open Sans" w:hAnsi="Open Sans" w:cs="Arial"/>
          <w:bCs/>
          <w:sz w:val="20"/>
          <w:szCs w:val="20"/>
        </w:rPr>
      </w:pPr>
    </w:p>
    <w:p w14:paraId="714D62C1"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Durante el ejercicio 2014 y 2015 se han creado 4 nuevas sociedades con domicilio en Delaware (EEUU). Estas son: Sacyr Construcción USA LLC, Sacyr Environment USA LLC, Sacyr Industrial USA LLC y Sacyr Infraestructure USA LLC. No se ha encontrado ninguna información sobre ellas a excepción de la contenida en el anexo de cuentas anuales y su fecha de creación</w:t>
      </w:r>
      <w:r w:rsidRPr="00220CD7">
        <w:rPr>
          <w:rStyle w:val="Refdenotaalpie"/>
          <w:rFonts w:ascii="Open Sans" w:hAnsi="Open Sans" w:cs="Arial"/>
          <w:bCs/>
          <w:sz w:val="20"/>
          <w:szCs w:val="20"/>
        </w:rPr>
        <w:footnoteReference w:id="364"/>
      </w:r>
      <w:r w:rsidRPr="00220CD7">
        <w:rPr>
          <w:rFonts w:ascii="Open Sans" w:hAnsi="Open Sans" w:cs="Arial"/>
          <w:bCs/>
          <w:sz w:val="20"/>
          <w:szCs w:val="20"/>
        </w:rPr>
        <w:t>. Como anuncia Sacyr en su Estrategia 2015-2020 la expansión internacional es uno de los objetivos y se marca para el 2020 tener un posicionamiento geográfico muy reforzado en Estados Unidos</w:t>
      </w:r>
      <w:r w:rsidRPr="00220CD7">
        <w:rPr>
          <w:rStyle w:val="Refdenotaalpie"/>
          <w:rFonts w:ascii="Open Sans" w:hAnsi="Open Sans" w:cs="Arial"/>
          <w:bCs/>
          <w:sz w:val="20"/>
          <w:szCs w:val="20"/>
        </w:rPr>
        <w:footnoteReference w:id="365"/>
      </w:r>
      <w:r w:rsidRPr="00220CD7">
        <w:rPr>
          <w:rFonts w:ascii="Open Sans" w:hAnsi="Open Sans" w:cs="Arial"/>
          <w:bCs/>
          <w:sz w:val="20"/>
          <w:szCs w:val="20"/>
        </w:rPr>
        <w:t>. En la documentación analizada no hay ninguna información sobre la decisión de la apertura de estas filiales en Delaware. Sería importante esta información  para despejar cualquier duda sobre el posible aprovechamiento de las ventajas fiscales que presenta este territorio para las sociedades no residentes.</w:t>
      </w:r>
      <w:r w:rsidRPr="00220CD7">
        <w:rPr>
          <w:rStyle w:val="Refdenotaalpie"/>
          <w:rFonts w:ascii="Open Sans" w:hAnsi="Open Sans" w:cs="Arial"/>
          <w:bCs/>
          <w:sz w:val="20"/>
          <w:szCs w:val="20"/>
        </w:rPr>
        <w:footnoteReference w:id="366"/>
      </w:r>
    </w:p>
    <w:p w14:paraId="40D275D5" w14:textId="77777777" w:rsidR="004F7C2D" w:rsidRPr="00220CD7" w:rsidRDefault="004F7C2D" w:rsidP="004F7C2D">
      <w:pPr>
        <w:jc w:val="both"/>
        <w:rPr>
          <w:rFonts w:ascii="Open Sans" w:hAnsi="Open Sans" w:cs="Arial"/>
          <w:bCs/>
          <w:sz w:val="20"/>
          <w:szCs w:val="20"/>
        </w:rPr>
      </w:pPr>
    </w:p>
    <w:p w14:paraId="64FF3F9F" w14:textId="77777777" w:rsidR="004F7C2D" w:rsidRPr="00220CD7" w:rsidRDefault="004F7C2D" w:rsidP="004F7C2D">
      <w:pPr>
        <w:jc w:val="both"/>
        <w:rPr>
          <w:rFonts w:ascii="Open Sans" w:hAnsi="Open Sans" w:cs="Open Sans"/>
          <w:sz w:val="20"/>
          <w:szCs w:val="22"/>
        </w:rPr>
      </w:pPr>
      <w:r w:rsidRPr="00220CD7">
        <w:rPr>
          <w:rFonts w:ascii="Open Sans" w:hAnsi="Open Sans" w:cs="Open Sans"/>
          <w:sz w:val="20"/>
          <w:szCs w:val="22"/>
        </w:rPr>
        <w:t>Sacyr facilita información del resultado del ejercicio, desagregado para todas las sociedades participadas, incluyendo las domiciliadas en paraísos y nichos fiscales. En el caso de N6 Concession Holding Ltd. (Irlanda), no hay información sobre resultado en los últimos tres ejercicios. En las 4 sociedades en Delaware declara resultados del ejercicio negativos cuando aparentemente no ha habido actividad operativa en el año 2015</w:t>
      </w:r>
      <w:r w:rsidRPr="00220CD7">
        <w:rPr>
          <w:rStyle w:val="Refdenotaalpie"/>
          <w:rFonts w:ascii="Open Sans" w:hAnsi="Open Sans" w:cs="Open Sans"/>
          <w:sz w:val="20"/>
          <w:szCs w:val="22"/>
        </w:rPr>
        <w:footnoteReference w:id="367"/>
      </w:r>
      <w:r w:rsidRPr="00220CD7">
        <w:rPr>
          <w:rFonts w:ascii="Open Sans" w:hAnsi="Open Sans" w:cs="Open Sans"/>
          <w:sz w:val="20"/>
          <w:szCs w:val="22"/>
        </w:rPr>
        <w:t xml:space="preserve">. Sería, por tanto deseable que la empresa facilitase información más detallada sobre la operativa de todas las filiales: facturación, operaciones intragrupo, número de empleados, base imponible, impuesto sobre beneficios...  </w:t>
      </w:r>
    </w:p>
    <w:p w14:paraId="2F38AF66" w14:textId="77777777" w:rsidR="004F7C2D" w:rsidRPr="00220CD7" w:rsidRDefault="004F7C2D" w:rsidP="004F7C2D">
      <w:pPr>
        <w:jc w:val="both"/>
        <w:rPr>
          <w:rFonts w:ascii="Open Sans" w:hAnsi="Open Sans" w:cs="Arial"/>
          <w:bCs/>
          <w:sz w:val="20"/>
          <w:szCs w:val="20"/>
        </w:rPr>
      </w:pPr>
    </w:p>
    <w:p w14:paraId="2CADA077"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Sacyr indica en el informe de gobierno corporativo que dentro de las funciones de la Comisión de Auditoría y Gobierno Corporativo se encuentra “i</w:t>
      </w:r>
      <w:r w:rsidRPr="00220CD7">
        <w:rPr>
          <w:rFonts w:ascii="Open Sans" w:hAnsi="Open Sans" w:cs="Arial"/>
          <w:bCs/>
          <w:i/>
          <w:sz w:val="20"/>
          <w:szCs w:val="20"/>
        </w:rPr>
        <w:t>nformar, con carácter previo, al consejo de administración sobre todas las materias previstas en la Ley, los Estatutos Sociales y en el Reglamento y en particular, sobre: ...</w:t>
      </w:r>
      <w:r w:rsidRPr="00220CD7">
        <w:rPr>
          <w:rFonts w:ascii="Open Sans" w:eastAsia="Calibri" w:hAnsi="Open Sans" w:cs="Open Sans Light"/>
          <w:color w:val="000000"/>
          <w:sz w:val="16"/>
          <w:szCs w:val="16"/>
        </w:rPr>
        <w:t xml:space="preserve"> </w:t>
      </w:r>
      <w:r w:rsidRPr="00220CD7">
        <w:rPr>
          <w:rFonts w:ascii="Open Sans" w:hAnsi="Open Sans" w:cs="Arial"/>
          <w:bCs/>
          <w:i/>
          <w:sz w:val="20"/>
          <w:szCs w:val="20"/>
        </w:rPr>
        <w:t>II.- la creación o adquisición de participaciones en entidades de propósito especial o domiciliadas en países o territorios que tengan la consideración de paraísos fiscales; y las operaciones con partes vinculadas.</w:t>
      </w:r>
      <w:r w:rsidRPr="00220CD7">
        <w:rPr>
          <w:rFonts w:ascii="Open Sans" w:hAnsi="Open Sans" w:cs="Arial"/>
          <w:bCs/>
          <w:sz w:val="20"/>
          <w:szCs w:val="20"/>
        </w:rPr>
        <w:t xml:space="preserve">” Sacyr no aporta más información al respecto. Indica que la comisión se ha reunido en 11 ocasiones a lo largo del ejercicio e informa de manera general sobre algunos aspectos vistos pero se desconoce con detalle los temas tratados, propuestas y decisiones adoptadas pues no hay evidencia de la existencia de un informe de actividad de dicha comisión, o que este sea público. </w:t>
      </w:r>
    </w:p>
    <w:p w14:paraId="1BF1C8DA" w14:textId="77777777" w:rsidR="004F7C2D" w:rsidRPr="00220CD7" w:rsidRDefault="004F7C2D" w:rsidP="004F7C2D">
      <w:pPr>
        <w:rPr>
          <w:rFonts w:ascii="Open Sans" w:hAnsi="Open Sans" w:cs="Arial"/>
          <w:bCs/>
          <w:sz w:val="20"/>
          <w:szCs w:val="20"/>
        </w:rPr>
      </w:pPr>
    </w:p>
    <w:p w14:paraId="25B321F2"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En el ejercicio 2015 Sacyr no dispone de una estrategia y política fiscal. Sacyr se encuentra adherida al código de buenas prácticas tributarias de la agencia española, aunque no informa sobre ello en los documentos analizados.</w:t>
      </w:r>
    </w:p>
    <w:p w14:paraId="642A1714" w14:textId="77777777" w:rsidR="004F7C2D" w:rsidRPr="00220CD7" w:rsidRDefault="004F7C2D" w:rsidP="004F7C2D">
      <w:pPr>
        <w:jc w:val="both"/>
        <w:rPr>
          <w:rFonts w:ascii="Open Sans" w:hAnsi="Open Sans" w:cs="Arial"/>
          <w:bCs/>
          <w:sz w:val="20"/>
          <w:szCs w:val="20"/>
        </w:rPr>
      </w:pPr>
    </w:p>
    <w:p w14:paraId="3DC4561F" w14:textId="77777777" w:rsidR="004F7C2D" w:rsidRPr="00220CD7" w:rsidRDefault="004F7C2D" w:rsidP="004F7C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bCs/>
          <w:sz w:val="20"/>
          <w:szCs w:val="20"/>
        </w:rPr>
      </w:pPr>
      <w:r w:rsidRPr="00220CD7">
        <w:rPr>
          <w:rFonts w:ascii="Open Sans" w:hAnsi="Open Sans" w:cs="Arial"/>
          <w:bCs/>
          <w:sz w:val="20"/>
          <w:szCs w:val="20"/>
        </w:rPr>
        <w:t xml:space="preserve">La empresa menciona que cuenta con una Política de Control y Gestión de Riesgos y que elabora mapas y perfiles de riesgos con los principales riesgos estratégicos fiscales y operativos. En la documentación analizada no hay evidencia alguna de que se contemplen riesgos fiscales específicos más allá de su mención genérica. Entre las actividades que ha realizado la comisión de auditoría y de gobierno corporativo ha sido la actualización de dichos mapas de riesgos pero no se hace mención a los de naturaleza fiscal.  Por tanto, de cara a una mejor información hacia sus grupos de interés y en coherencia con los compromisos en materia de transparencia que dice seguir, sería importante hacer accesibles estos documentos. </w:t>
      </w:r>
    </w:p>
    <w:p w14:paraId="3028C6C5" w14:textId="77777777" w:rsidR="004F7C2D" w:rsidRPr="00220CD7" w:rsidRDefault="004F7C2D" w:rsidP="004F7C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bCs/>
          <w:sz w:val="20"/>
          <w:szCs w:val="20"/>
        </w:rPr>
      </w:pPr>
    </w:p>
    <w:p w14:paraId="275E2F70" w14:textId="77777777" w:rsidR="004F7C2D" w:rsidRPr="00220CD7" w:rsidRDefault="004F7C2D" w:rsidP="004F7C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bCs/>
          <w:sz w:val="20"/>
          <w:szCs w:val="20"/>
        </w:rPr>
      </w:pPr>
      <w:r w:rsidRPr="00220CD7">
        <w:rPr>
          <w:rFonts w:ascii="Open Sans" w:hAnsi="Open Sans" w:cs="Arial"/>
          <w:bCs/>
          <w:sz w:val="20"/>
          <w:szCs w:val="20"/>
        </w:rPr>
        <w:t>Pese a no aportar mayor información sobre los riesgos fiscales a los que se enfrenta explica que se han realizado varios programas de formación a los departamentos implicados, relacionados entre otros con normas fiscales como por ejemplo “Cierre Fiscal 2015 y Novedades fiscales” y “Monográfico de la nueva ley del impuesto sobre sociedades”.</w:t>
      </w:r>
    </w:p>
    <w:p w14:paraId="634E942E" w14:textId="77777777" w:rsidR="004F7C2D" w:rsidRPr="00220CD7" w:rsidRDefault="004F7C2D" w:rsidP="004F7C2D">
      <w:pPr>
        <w:jc w:val="both"/>
        <w:rPr>
          <w:rFonts w:ascii="Open Sans" w:hAnsi="Open Sans" w:cs="Arial"/>
          <w:bCs/>
          <w:sz w:val="20"/>
          <w:szCs w:val="20"/>
        </w:rPr>
      </w:pPr>
    </w:p>
    <w:p w14:paraId="5897A743"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En relación con la estructura societaria, aporta de manera desglosada información amplia sobre las filiales: actividad desarrollada, porcentajes y titulares de las participaciones incluso para posiciones inferiores al 5%. También datos económicos como inversión, capital social, reservas, resultados y dividendos a cuenta. Si bien este grado de detalle se considera una buena práctica de transparencia, para una información aún más transparente sería necesario que aportase con el mismo nivel de detalle,  </w:t>
      </w:r>
      <w:r w:rsidRPr="00220CD7">
        <w:rPr>
          <w:rFonts w:ascii="Open Sans" w:hAnsi="Open Sans" w:cs="Open Sans"/>
          <w:sz w:val="20"/>
          <w:szCs w:val="22"/>
        </w:rPr>
        <w:t xml:space="preserve">número de empleados, facturación, beneficios antes de impuestos, impuesto de sociedades, operaciones intragrupales, entre otras partidas. </w:t>
      </w:r>
    </w:p>
    <w:p w14:paraId="4CF8AD86" w14:textId="77777777" w:rsidR="004F7C2D" w:rsidRPr="00220CD7" w:rsidRDefault="004F7C2D" w:rsidP="004F7C2D">
      <w:pPr>
        <w:rPr>
          <w:rFonts w:ascii="Open Sans" w:hAnsi="Open Sans" w:cs="Arial"/>
          <w:bCs/>
          <w:sz w:val="20"/>
          <w:szCs w:val="20"/>
        </w:rPr>
      </w:pPr>
    </w:p>
    <w:p w14:paraId="7B25D501"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Sacyr no aporta información desglosada de los impuestos pagados por país. En el informe anual integrado solo aporta la cantidad global de impuestos soportados e impuestos recaudados. Con la información así presentada no es posible conocer cuál es la contribución real del grupo en los diferentes países en los que realiza actividades. </w:t>
      </w:r>
    </w:p>
    <w:p w14:paraId="756973B5" w14:textId="77777777" w:rsidR="004F7C2D" w:rsidRPr="00220CD7" w:rsidRDefault="004F7C2D" w:rsidP="004F7C2D">
      <w:pPr>
        <w:jc w:val="both"/>
        <w:rPr>
          <w:rFonts w:ascii="Open Sans" w:hAnsi="Open Sans" w:cs="Arial"/>
          <w:bCs/>
          <w:sz w:val="20"/>
          <w:szCs w:val="20"/>
        </w:rPr>
      </w:pPr>
    </w:p>
    <w:p w14:paraId="6988D9C4"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Por el contrario Sacyr aporta información desglosada de una serie de partidas incluidos los resultados e impuestos sobre las ganancias de las principales empresas contabilizadas por el método de la participación</w:t>
      </w:r>
      <w:r w:rsidRPr="00220CD7">
        <w:rPr>
          <w:rFonts w:ascii="Open Sans" w:hAnsi="Open Sans"/>
          <w:sz w:val="20"/>
          <w:szCs w:val="20"/>
          <w:vertAlign w:val="superscript"/>
        </w:rPr>
        <w:footnoteReference w:id="368"/>
      </w:r>
      <w:r w:rsidRPr="00220CD7">
        <w:rPr>
          <w:rFonts w:ascii="Open Sans" w:hAnsi="Open Sans" w:cs="Arial"/>
          <w:bCs/>
          <w:sz w:val="20"/>
          <w:szCs w:val="20"/>
          <w:vertAlign w:val="superscript"/>
        </w:rPr>
        <w:t>.</w:t>
      </w:r>
      <w:r w:rsidRPr="00220CD7">
        <w:rPr>
          <w:rFonts w:ascii="Open Sans" w:hAnsi="Open Sans" w:cs="Arial"/>
          <w:bCs/>
          <w:sz w:val="20"/>
          <w:szCs w:val="20"/>
        </w:rPr>
        <w:t xml:space="preserve"> Sacyr considera sociedades asociadas aquellas en las que el Grupo ejerce una influencia significativa en su gestión, independientemente de que, en algún caso, no se alcance el 20% de porcentaje de participación. Sería deseable que este nivel de desagregación en la información fuese extensible al resto de sociedades dependientes, aquellas que la sociedad dominante tiene una participación directa o indirecta superior al 50% por disponer ésta de la mayoría de los derechos de voto en los correspondientes órganos de administración; (ii) aquellas otras en las que la participación es igual o inferior al 50% al existir acuerdos con accionistas que permiten al Grupo Sacyr controlar la gestión de la sociedad.</w:t>
      </w:r>
    </w:p>
    <w:p w14:paraId="42172D83" w14:textId="77777777" w:rsidR="004F7C2D" w:rsidRPr="00220CD7" w:rsidRDefault="004F7C2D" w:rsidP="004F7C2D">
      <w:pPr>
        <w:jc w:val="both"/>
        <w:rPr>
          <w:rFonts w:ascii="Open Sans" w:hAnsi="Open Sans" w:cs="Arial"/>
          <w:bCs/>
          <w:sz w:val="20"/>
          <w:szCs w:val="20"/>
        </w:rPr>
      </w:pPr>
    </w:p>
    <w:p w14:paraId="0E39D75B"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Sacyr aporta información de los tipos nominales de gravamen empleados para el cálculo del impuesto sobre las ganancias de las sociedades del grupo para 19 países, pero no informa cuál ha sido la tasa real efectiva igualmente desglosada por país. Esta información la aporta de manera global indicando que el gasto por impuesto sobre las ganancias de las actividades continuadas en el ejercicio 2015 ha sido de 157.252 miles de euros resultando una tasa impositiva efectiva del 24,48%.</w:t>
      </w:r>
    </w:p>
    <w:p w14:paraId="5C076C96" w14:textId="77777777" w:rsidR="004F7C2D" w:rsidRPr="00220CD7" w:rsidRDefault="004F7C2D" w:rsidP="004F7C2D">
      <w:pPr>
        <w:jc w:val="both"/>
        <w:rPr>
          <w:rFonts w:ascii="Open Sans" w:hAnsi="Open Sans" w:cs="Arial"/>
          <w:bCs/>
          <w:sz w:val="20"/>
          <w:szCs w:val="20"/>
        </w:rPr>
      </w:pPr>
    </w:p>
    <w:p w14:paraId="23DDAEFB"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En relación a deducciones aplicadas al resultado del ejercicio y después de aplicar diversos ajustes, informa de un importe global de 1.793 miles de euros en deducciones y bonificaciones. Indica que ha podido deducirse la totalidad de los gastos financieros generados en el propio ejercicio, aunque no indica cantidad y si está considerado dentro de esta partida. Sacyr no aporta mayor información sobre las deducciones y bonificaciones que se ha aplicado en el ejercicio. Por otro lado indica que tiene deducciones pendientes de aplicar por importe de 294.504 miles de euros debidas principalmente a deducción por doble imposición por dividendos de Repsol, S.A., deducción por reinversión del ejercicio 2009 y deducción de i+d+i. Sería deseable al menos la misma información para las aplicadas en el ejercicio. </w:t>
      </w:r>
    </w:p>
    <w:p w14:paraId="0A8E89A9" w14:textId="77777777" w:rsidR="004F7C2D" w:rsidRPr="00220CD7" w:rsidRDefault="004F7C2D" w:rsidP="004F7C2D">
      <w:pPr>
        <w:jc w:val="both"/>
        <w:rPr>
          <w:rFonts w:ascii="Open Sans" w:hAnsi="Open Sans" w:cs="Arial"/>
          <w:bCs/>
          <w:sz w:val="20"/>
          <w:szCs w:val="20"/>
        </w:rPr>
      </w:pPr>
    </w:p>
    <w:p w14:paraId="1943CDE5"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En la partida de activos por impuestos diferidos desglosa las deducciones y las bases imponibles negativas del grupo fiscal Sacyr SA en España, pero no así para el resto de sociedades no incluidas en el grupo fiscal. </w:t>
      </w:r>
    </w:p>
    <w:p w14:paraId="593E9831" w14:textId="77777777" w:rsidR="004F7C2D" w:rsidRPr="00220CD7" w:rsidRDefault="004F7C2D" w:rsidP="004F7C2D">
      <w:pPr>
        <w:jc w:val="both"/>
        <w:rPr>
          <w:rFonts w:ascii="Open Sans" w:hAnsi="Open Sans" w:cs="Arial"/>
          <w:bCs/>
          <w:sz w:val="20"/>
          <w:szCs w:val="20"/>
        </w:rPr>
      </w:pPr>
    </w:p>
    <w:p w14:paraId="51616D03"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Informa de las bases imponibles negativas por año de generación aunque no las sociedades que las han originado y que pueden compensar en futuros ejercicios. Tiene acumulados 745.623 miles de euros en bases imponibles negativas lo que le genera  créditos fiscales que no caducan según lo previsto en la Ley 27/2014 del Impuesto sobre Sociedades con lo que esperan compensarlas con beneficios futuros. </w:t>
      </w:r>
    </w:p>
    <w:p w14:paraId="219FE46F" w14:textId="77777777" w:rsidR="004F7C2D" w:rsidRPr="00220CD7" w:rsidRDefault="004F7C2D" w:rsidP="004F7C2D">
      <w:pPr>
        <w:jc w:val="both"/>
        <w:rPr>
          <w:rFonts w:ascii="Open Sans" w:hAnsi="Open Sans" w:cs="Arial"/>
          <w:bCs/>
          <w:sz w:val="20"/>
          <w:szCs w:val="20"/>
        </w:rPr>
      </w:pPr>
    </w:p>
    <w:p w14:paraId="0E0B2FB9"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En relación con las subvenciones oficiales que recibe el grupo Sacyr en el informe económico se indica que en 2015 “</w:t>
      </w:r>
      <w:r w:rsidRPr="00220CD7">
        <w:rPr>
          <w:rFonts w:ascii="Open Sans" w:hAnsi="Open Sans" w:cs="Arial"/>
          <w:bCs/>
          <w:i/>
          <w:sz w:val="20"/>
          <w:szCs w:val="20"/>
        </w:rPr>
        <w:t>consolidó una cartera de 27 nuevos proyectos de I+D+i con reconocimiento externo de esta actividad, mediante la obtención de subvenciones, créditos y/o deducciones fiscales por parte de distintos Organismos Oficiales</w:t>
      </w:r>
      <w:r w:rsidRPr="00220CD7">
        <w:rPr>
          <w:rFonts w:ascii="Open Sans" w:hAnsi="Open Sans" w:cs="Arial"/>
          <w:bCs/>
          <w:sz w:val="20"/>
          <w:szCs w:val="20"/>
        </w:rPr>
        <w:t>”. Añade que “</w:t>
      </w:r>
      <w:r w:rsidRPr="00220CD7">
        <w:rPr>
          <w:rFonts w:ascii="Open Sans" w:hAnsi="Open Sans" w:cs="Arial"/>
          <w:bCs/>
          <w:i/>
          <w:sz w:val="20"/>
          <w:szCs w:val="20"/>
        </w:rPr>
        <w:t>pese a que ninguno puede considerarse significativo, por su pequeño presupuesto respecto a nuestra facturación total, las actividades de I+D+i del Grupo abarcaron todas las áreas de negocio de la compañía: construcción, servicios, concesiones y patrimonio</w:t>
      </w:r>
      <w:r w:rsidRPr="00220CD7">
        <w:rPr>
          <w:rFonts w:ascii="Open Sans" w:hAnsi="Open Sans" w:cs="Arial"/>
          <w:bCs/>
          <w:sz w:val="20"/>
          <w:szCs w:val="20"/>
        </w:rPr>
        <w:t>”.</w:t>
      </w:r>
    </w:p>
    <w:p w14:paraId="5E3284ED" w14:textId="77777777" w:rsidR="004F7C2D" w:rsidRPr="00220CD7" w:rsidRDefault="004F7C2D" w:rsidP="004F7C2D">
      <w:pPr>
        <w:jc w:val="both"/>
        <w:rPr>
          <w:rFonts w:ascii="Open Sans" w:hAnsi="Open Sans" w:cs="Arial"/>
          <w:bCs/>
          <w:sz w:val="20"/>
          <w:szCs w:val="20"/>
        </w:rPr>
      </w:pPr>
    </w:p>
    <w:p w14:paraId="53226531"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Sacyr no informa de manera desglosada por país de las subvenciones oficiales recibidas ni de las cantidades recibidas, ni que organismos las han concedido y para que proyecto. Solo se conocen algunas subvenciones de manera aislada a través del informe anual integrado en País Vasco concedida por el Ente Vasco de Energía pero se desconoce la cantidad.  Por otro lado que la empresa Palma de Manacor, S.A.,  tiene otorgada una subvención no reintegrable por el Consell Insular de Mallorca, pero tampoco indica cantidad. En el informe de gestión Sacyr también indica que algunas sociedades chilenas han recibido subvenciones anuales del Ministerio de Obras Públicas de Chile establecidas en sus contratos de concesión. En el balance consolidado solo se indica subvenciones de capital por 3.151 miles de euros. </w:t>
      </w:r>
    </w:p>
    <w:p w14:paraId="6990F49F" w14:textId="77777777" w:rsidR="004F7C2D" w:rsidRPr="00220CD7" w:rsidRDefault="004F7C2D" w:rsidP="004F7C2D">
      <w:pPr>
        <w:jc w:val="both"/>
        <w:rPr>
          <w:rFonts w:ascii="Open Sans" w:hAnsi="Open Sans" w:cs="Arial"/>
          <w:bCs/>
          <w:sz w:val="20"/>
          <w:szCs w:val="20"/>
        </w:rPr>
      </w:pPr>
    </w:p>
    <w:p w14:paraId="79056035"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El sector en el que opera el grupo Sacyr con una fuerte vinculación con las administraciones públicas por la contratación pública se ha visto envuelto en diversos  casos de corrupción</w:t>
      </w:r>
      <w:r w:rsidRPr="00220CD7">
        <w:rPr>
          <w:rStyle w:val="Refdenotaalpie"/>
          <w:rFonts w:ascii="Open Sans" w:hAnsi="Open Sans" w:cs="Arial"/>
          <w:bCs/>
          <w:sz w:val="20"/>
          <w:szCs w:val="20"/>
        </w:rPr>
        <w:footnoteReference w:id="369"/>
      </w:r>
      <w:r w:rsidRPr="00220CD7">
        <w:rPr>
          <w:rFonts w:ascii="Open Sans" w:hAnsi="Open Sans" w:cs="Arial"/>
          <w:bCs/>
          <w:sz w:val="20"/>
          <w:szCs w:val="20"/>
        </w:rPr>
        <w:t xml:space="preserve"> y otros demostrados en el ámbito de la competencia</w:t>
      </w:r>
      <w:r w:rsidRPr="00220CD7">
        <w:rPr>
          <w:rStyle w:val="Refdenotaalpie"/>
          <w:rFonts w:ascii="Open Sans" w:hAnsi="Open Sans" w:cs="Arial"/>
          <w:bCs/>
          <w:sz w:val="20"/>
          <w:szCs w:val="20"/>
        </w:rPr>
        <w:footnoteReference w:id="370"/>
      </w:r>
      <w:r w:rsidRPr="00220CD7">
        <w:rPr>
          <w:rFonts w:ascii="Open Sans" w:hAnsi="Open Sans" w:cs="Arial"/>
          <w:bCs/>
          <w:sz w:val="20"/>
          <w:szCs w:val="20"/>
        </w:rPr>
        <w:t xml:space="preserve">, por lo que es imprescindible desde una visión de rendición de cuentas del ejercicio y de compromiso con la transparencia que Sacyr aportase información detallada por país sobre las subvenciones y otro tipo de ayudas oficiales que recibe y mecanismos para evitar la corrupción la contratación pública.  </w:t>
      </w:r>
    </w:p>
    <w:p w14:paraId="5E48D966" w14:textId="77777777" w:rsidR="004F7C2D" w:rsidRPr="00220CD7" w:rsidRDefault="004F7C2D" w:rsidP="004F7C2D">
      <w:pPr>
        <w:rPr>
          <w:rFonts w:ascii="Open Sans" w:hAnsi="Open Sans" w:cs="Arial"/>
          <w:bCs/>
          <w:sz w:val="20"/>
          <w:szCs w:val="20"/>
        </w:rPr>
      </w:pPr>
    </w:p>
    <w:p w14:paraId="2BC8F98B"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En la documentación analizada no se ha encontrado de manera expresa que Sacyr mantenga una relación cooperativa con la administración tributaria, más allá de su adhesión al código de buenas prácticas en materia tributaria, del que no informa en la documentación analizada. </w:t>
      </w:r>
    </w:p>
    <w:p w14:paraId="581A1B04" w14:textId="77777777" w:rsidR="004F7C2D" w:rsidRPr="00220CD7" w:rsidRDefault="004F7C2D" w:rsidP="004F7C2D">
      <w:pPr>
        <w:jc w:val="both"/>
        <w:rPr>
          <w:rFonts w:ascii="Open Sans" w:hAnsi="Open Sans" w:cs="Arial"/>
          <w:bCs/>
          <w:sz w:val="20"/>
          <w:szCs w:val="20"/>
        </w:rPr>
      </w:pPr>
    </w:p>
    <w:p w14:paraId="7C8B5A44"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Sacyr informa de varios ejercicios abiertos a inspección por la agencia tributaria en España referente a los ejercicios 2011 a 2014 para todos los impuestos que le son de aplicación e IVA e IRPF y además se les ha comunicado el inicio de actuaciones inspectoras de comprobación parcial de IVA de los periodos del 11/2011 a 12/2012. </w:t>
      </w:r>
    </w:p>
    <w:p w14:paraId="0912DF8A" w14:textId="77777777" w:rsidR="004F7C2D" w:rsidRPr="00220CD7" w:rsidRDefault="004F7C2D" w:rsidP="004F7C2D">
      <w:pPr>
        <w:jc w:val="both"/>
        <w:rPr>
          <w:rFonts w:ascii="Open Sans" w:hAnsi="Open Sans" w:cs="Arial"/>
          <w:bCs/>
          <w:sz w:val="20"/>
          <w:szCs w:val="20"/>
        </w:rPr>
      </w:pPr>
    </w:p>
    <w:p w14:paraId="341655EC"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Aporta información del estado de situación de las diferentes actas de actuación, teniendo impugnadas actas ante la audiencia nacional por el Impuesto sobre Sociedades para los periodos 2004 a 2007, por un importe total acumulado de 75.775.090,97 euros y para los periodos 2007 a 2010, por un importe total acumulado de 128.796.080,93 euros. También tiene impugnadas ante el Tribunal Económico Administrativo Central acta por el IVA para los periodos de mayo 2009 a diciembre 2010 por un importe total acumulado de 14.336.876,11 euros. Toda esta información es para el grupo fiscal Sacyr SA. La empresa no informa sobre actuaciones similares en empresas fuera del grupo fiscal. </w:t>
      </w:r>
    </w:p>
    <w:p w14:paraId="57EB1FB1" w14:textId="77777777" w:rsidR="004F7C2D" w:rsidRPr="00220CD7" w:rsidRDefault="004F7C2D" w:rsidP="004F7C2D">
      <w:pPr>
        <w:rPr>
          <w:rFonts w:ascii="Open Sans" w:hAnsi="Open Sans" w:cs="Arial"/>
          <w:bCs/>
          <w:sz w:val="20"/>
          <w:szCs w:val="20"/>
        </w:rPr>
      </w:pPr>
    </w:p>
    <w:p w14:paraId="722BA4C9"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Informa que en 2014 se han pagado 4,8 millones de euros por parte de la sociedad Sacyr Construcción S.A.U. de expedientes sancionadores levantados por la Agencia Tributaria, en la inspección de los ejercicios 2001 a 2003, que han llegado al final de sus recursos, de forma desfavorable para la Sociedad. </w:t>
      </w:r>
    </w:p>
    <w:p w14:paraId="0F5DAAE8" w14:textId="77777777" w:rsidR="004F7C2D" w:rsidRPr="00220CD7" w:rsidRDefault="004F7C2D" w:rsidP="004F7C2D">
      <w:pPr>
        <w:jc w:val="both"/>
        <w:rPr>
          <w:rFonts w:ascii="Open Sans" w:hAnsi="Open Sans" w:cs="Arial"/>
          <w:bCs/>
          <w:sz w:val="20"/>
          <w:szCs w:val="20"/>
        </w:rPr>
      </w:pPr>
    </w:p>
    <w:p w14:paraId="177251BD"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Durante el ejercicio 2015  ha realizado una adición de 5,9 millones de euros en concepto de provisión por reclamaciones de carácter tributario. </w:t>
      </w:r>
    </w:p>
    <w:p w14:paraId="17B66FC4" w14:textId="77777777" w:rsidR="004F7C2D" w:rsidRPr="00220CD7" w:rsidRDefault="004F7C2D" w:rsidP="004F7C2D">
      <w:pPr>
        <w:jc w:val="both"/>
        <w:rPr>
          <w:rFonts w:ascii="Open Sans" w:hAnsi="Open Sans" w:cs="Arial"/>
          <w:bCs/>
          <w:sz w:val="20"/>
          <w:szCs w:val="20"/>
        </w:rPr>
      </w:pPr>
    </w:p>
    <w:p w14:paraId="4CEA7D35"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Un aspecto no siempre visibilizado por las empresas son las actividades de lobby que realizan bien sea de manera directa o indirecta a través de asociaciones a las que pertenece. Si bien estas actividades son lícitas la máxima transparencia sobre las mismas es importante por la consecuencia que dichas relaciones pueden tener en las decisiones sobre </w:t>
      </w:r>
      <w:proofErr w:type="gramStart"/>
      <w:r w:rsidRPr="00220CD7">
        <w:rPr>
          <w:rFonts w:ascii="Open Sans" w:hAnsi="Open Sans" w:cs="Arial"/>
          <w:bCs/>
          <w:sz w:val="20"/>
          <w:szCs w:val="20"/>
        </w:rPr>
        <w:t>la políticas públicas</w:t>
      </w:r>
      <w:proofErr w:type="gramEnd"/>
      <w:r w:rsidRPr="00220CD7">
        <w:rPr>
          <w:rStyle w:val="Refdenotaalpie"/>
          <w:rFonts w:ascii="Open Sans" w:hAnsi="Open Sans" w:cs="Arial"/>
          <w:bCs/>
          <w:sz w:val="20"/>
          <w:szCs w:val="20"/>
        </w:rPr>
        <w:footnoteReference w:id="371"/>
      </w:r>
      <w:r w:rsidRPr="00220CD7">
        <w:rPr>
          <w:rFonts w:ascii="Open Sans" w:hAnsi="Open Sans" w:cs="Arial"/>
          <w:bCs/>
          <w:sz w:val="20"/>
          <w:szCs w:val="20"/>
        </w:rPr>
        <w:t>. Sacyr incluye en el código de conducta  el comportamiento con gobiernos y autoridades. En el informe anual integrado Sacyr menciona las asociaciones a las que pertenece en temáticas y algunas relaciones que ha mantenido con diferentes organismos pero solo en materia de I+d+i pero más allá de este listado no se explica ni marcos de relación ni temáticas en las que se realiza actividades de incidencia. A través del Registro de Transparencia de la Unión Europea se conoce que, por ejemplo, la Asociación de Empresas Constructoras de Ámbito Nacional (SEOPAN) a la que pertenece Sacyr, realiza actividades de lobby, entre otras temáticas, de carácter fiscal</w:t>
      </w:r>
      <w:r w:rsidRPr="00220CD7">
        <w:rPr>
          <w:rStyle w:val="Refdenotaalpie"/>
          <w:rFonts w:ascii="Open Sans" w:hAnsi="Open Sans" w:cs="Arial"/>
          <w:bCs/>
          <w:sz w:val="20"/>
          <w:szCs w:val="20"/>
        </w:rPr>
        <w:footnoteReference w:id="372"/>
      </w:r>
      <w:r w:rsidRPr="00220CD7">
        <w:rPr>
          <w:rFonts w:ascii="Open Sans" w:hAnsi="Open Sans" w:cs="Arial"/>
          <w:bCs/>
          <w:sz w:val="20"/>
          <w:szCs w:val="20"/>
        </w:rPr>
        <w:t xml:space="preserve">. </w:t>
      </w:r>
    </w:p>
    <w:p w14:paraId="5AD22D46" w14:textId="77777777" w:rsidR="004F7C2D" w:rsidRPr="00220CD7" w:rsidRDefault="004F7C2D" w:rsidP="004F7C2D">
      <w:pPr>
        <w:rPr>
          <w:rFonts w:ascii="Open Sans" w:hAnsi="Open Sans" w:cs="Arial"/>
          <w:bCs/>
          <w:sz w:val="20"/>
          <w:szCs w:val="20"/>
        </w:rPr>
      </w:pPr>
    </w:p>
    <w:p w14:paraId="4C1FBA29"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En relación con la operativa de la empresa Sacyr no aporta prácticamente explicación sobre la misma y solo a través del informe económico en “operaciones con partes vinculadas” se indica que a nivel consolidado el grupo ha tenido un ingreso de 10,2 millones de euros en 2015 como prestación de servicios a sociedades del grupo. Aporta los apuntes desglosados por filiales e importes. No queda claro si estas compras intragrupo son las únicas o solo son las que se han producido dentro del grupo fiscal Sacyr SA. Aparte de esta información Sacyr no indica como se realiza la fijación de precios de transferencia en las compras intragrupo y cuanto representan éstas respecto del total de compras. </w:t>
      </w:r>
    </w:p>
    <w:p w14:paraId="783587AA" w14:textId="77777777" w:rsidR="004F7C2D" w:rsidRPr="00220CD7" w:rsidRDefault="004F7C2D" w:rsidP="004F7C2D">
      <w:pPr>
        <w:jc w:val="both"/>
        <w:rPr>
          <w:rFonts w:ascii="Open Sans" w:hAnsi="Open Sans" w:cs="Arial"/>
          <w:bCs/>
          <w:sz w:val="20"/>
          <w:szCs w:val="20"/>
        </w:rPr>
      </w:pPr>
    </w:p>
    <w:p w14:paraId="38A27D9E"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En relación con la financiación intragrupo, en el informe económico se indica que se han concedido en el ejercicio 2015 créditos a sociedades contabilizadas por el método de participación por un importe de 198 mil euros y al final del ejercicio el acumulado era de 101,7 millones de euros.  No se ha encontrado información sobre filiales asociadas a las que se les ha concedido créditos, así como tampoco en qué condiciones.  No se ha encontrado  información sobre financiación a filiales dependientes y tampoco sobre el coste financiero de la deuda intragrupo.</w:t>
      </w:r>
    </w:p>
    <w:p w14:paraId="4CB9EFCA" w14:textId="77777777" w:rsidR="004F7C2D" w:rsidRPr="00220CD7" w:rsidRDefault="004F7C2D" w:rsidP="004F7C2D">
      <w:pPr>
        <w:jc w:val="both"/>
        <w:rPr>
          <w:rFonts w:ascii="Open Sans" w:hAnsi="Open Sans" w:cs="Arial"/>
          <w:bCs/>
          <w:sz w:val="20"/>
          <w:szCs w:val="20"/>
        </w:rPr>
      </w:pPr>
    </w:p>
    <w:p w14:paraId="1430E69C" w14:textId="77777777" w:rsidR="004F7C2D" w:rsidRPr="00220CD7" w:rsidRDefault="004F7C2D" w:rsidP="004F7C2D">
      <w:pPr>
        <w:jc w:val="both"/>
        <w:rPr>
          <w:rFonts w:ascii="Open Sans" w:hAnsi="Open Sans" w:cs="Arial"/>
          <w:sz w:val="20"/>
          <w:szCs w:val="20"/>
        </w:rPr>
      </w:pPr>
    </w:p>
    <w:p w14:paraId="330BBA6D" w14:textId="77777777" w:rsidR="004F7C2D" w:rsidRPr="00220CD7" w:rsidRDefault="004F7C2D" w:rsidP="004F7C2D">
      <w:pPr>
        <w:rPr>
          <w:rFonts w:ascii="Open Sans" w:hAnsi="Open Sans" w:cs="Arial"/>
          <w:bCs/>
          <w:sz w:val="22"/>
          <w:szCs w:val="22"/>
          <w:u w:val="single"/>
        </w:rPr>
      </w:pPr>
      <w:r w:rsidRPr="00220CD7">
        <w:rPr>
          <w:rFonts w:ascii="Open Sans" w:hAnsi="Open Sans" w:cs="Arial"/>
          <w:b/>
          <w:sz w:val="22"/>
          <w:szCs w:val="22"/>
          <w:u w:val="single"/>
        </w:rPr>
        <w:t>5. Conclusiones</w:t>
      </w:r>
    </w:p>
    <w:p w14:paraId="63FBB393" w14:textId="77777777" w:rsidR="004F7C2D" w:rsidRPr="00220CD7" w:rsidRDefault="004F7C2D" w:rsidP="004F7C2D">
      <w:pPr>
        <w:rPr>
          <w:rFonts w:ascii="Open Sans" w:hAnsi="Open Sans"/>
        </w:rPr>
      </w:pPr>
    </w:p>
    <w:p w14:paraId="4A24EF49" w14:textId="77777777" w:rsidR="004F7C2D" w:rsidRPr="00220CD7" w:rsidRDefault="004F7C2D" w:rsidP="004F7C2D">
      <w:pPr>
        <w:pStyle w:val="Default"/>
        <w:jc w:val="both"/>
        <w:rPr>
          <w:rFonts w:ascii="Open Sans" w:hAnsi="Open Sans" w:cs="Open Sans"/>
          <w:color w:val="auto"/>
          <w:sz w:val="20"/>
          <w:szCs w:val="20"/>
        </w:rPr>
      </w:pPr>
      <w:r w:rsidRPr="00220CD7">
        <w:rPr>
          <w:rFonts w:ascii="Open Sans" w:hAnsi="Open Sans" w:cs="Open Sans"/>
          <w:color w:val="auto"/>
          <w:sz w:val="20"/>
          <w:szCs w:val="20"/>
        </w:rPr>
        <w:t xml:space="preserve">La valoración global de la transparencia de Sacyr en el ámbito fiscal es de </w:t>
      </w:r>
      <w:r w:rsidRPr="00220CD7">
        <w:rPr>
          <w:rFonts w:ascii="Open Sans" w:hAnsi="Open Sans" w:cs="Open Sans"/>
          <w:b/>
          <w:color w:val="auto"/>
          <w:sz w:val="20"/>
          <w:szCs w:val="20"/>
        </w:rPr>
        <w:t>0,48</w:t>
      </w:r>
      <w:r w:rsidRPr="00220CD7">
        <w:rPr>
          <w:rFonts w:ascii="Open Sans" w:hAnsi="Open Sans" w:cs="Open Sans"/>
          <w:color w:val="auto"/>
          <w:sz w:val="20"/>
          <w:szCs w:val="20"/>
        </w:rPr>
        <w:t xml:space="preserve"> sobre un máximo de 3, lo que equivale a una </w:t>
      </w:r>
      <w:r w:rsidRPr="00220CD7">
        <w:rPr>
          <w:rFonts w:ascii="Open Sans" w:hAnsi="Open Sans" w:cs="Open Sans"/>
          <w:i/>
          <w:color w:val="auto"/>
          <w:sz w:val="20"/>
          <w:szCs w:val="20"/>
        </w:rPr>
        <w:t>información escasa</w:t>
      </w:r>
      <w:r w:rsidRPr="00220CD7">
        <w:rPr>
          <w:rFonts w:ascii="Open Sans" w:hAnsi="Open Sans" w:cs="Open Sans"/>
          <w:color w:val="auto"/>
          <w:sz w:val="20"/>
          <w:szCs w:val="20"/>
        </w:rPr>
        <w:t xml:space="preserve"> de acuerdo con la metodología utilizada. De las dimensiones analizadas, la máxima puntuación se obtiene en los aspectos relacionados con “relaciones con Administraciones Tributarias” (0,80) seguidos de “política y estrategia fiscal” (0,60), “impuestos e incentivos” (0,50) y “paraísos y nichos fiscales” (0).</w:t>
      </w:r>
    </w:p>
    <w:p w14:paraId="05FC980B" w14:textId="77777777" w:rsidR="004F7C2D" w:rsidRPr="00220CD7" w:rsidRDefault="004F7C2D" w:rsidP="004F7C2D">
      <w:pPr>
        <w:pStyle w:val="Default"/>
        <w:jc w:val="both"/>
        <w:rPr>
          <w:rFonts w:ascii="Open Sans" w:hAnsi="Open Sans"/>
        </w:rPr>
      </w:pPr>
    </w:p>
    <w:p w14:paraId="46618D47"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No se ha encontrado evidencia alguna en toda la información analizada que el grupo Sacyr tenga un compromiso con una fiscalidad responsable. En el ejercicio 2015 se ha actualizado el código de conducta del grupo pero no se hace referencia a esta cuestión. Sacyr indica en el informe de gobierno corporativo que cuenta con una política de responsabilidad social corporativa y en el informe anual integrado indica que el consejo de administración ha asumido la responsabilidad de definir, impulsar y supervisar la estrategia del grupo en esta materia. No se ha podido verificar, sin embargo, la existencia de una política de RSC aprobada por el consejo de administración, a lo sumo se hace mención a un plan director de responsabilidad corporativa, al cual tampoco se tiene acceso. Del mismo modo ocurre con la información en relación a la gestión de riesgos en materia fiscal. Tanto la </w:t>
      </w:r>
      <w:r w:rsidRPr="00220CD7">
        <w:rPr>
          <w:rFonts w:ascii="Open Sans" w:hAnsi="Open Sans"/>
          <w:sz w:val="20"/>
          <w:szCs w:val="20"/>
        </w:rPr>
        <w:t xml:space="preserve">política de control y gestión de riesgos como los mapas de riesgos no son accesibles al público por lo que tampoco se ha podido verificar que Sacyr los tenga en cuenta. La única referencia existente es a la mención de riesgos fiscales pero de manera genérica sin mayor grado de detalle. </w:t>
      </w:r>
      <w:r w:rsidRPr="00220CD7">
        <w:rPr>
          <w:rFonts w:ascii="Open Sans" w:hAnsi="Open Sans" w:cs="Arial"/>
          <w:bCs/>
          <w:sz w:val="20"/>
          <w:szCs w:val="20"/>
        </w:rPr>
        <w:t xml:space="preserve">Con estas restricciones no se ha podido por tanto verificar si estos documentos expresan compromisos con una fiscalidad responsable y si se tienen en cuenta riesgos fiscales específicos y se han implementado mecanismos de gestión. </w:t>
      </w:r>
    </w:p>
    <w:p w14:paraId="2775A7DF" w14:textId="77777777" w:rsidR="004F7C2D" w:rsidRPr="00220CD7" w:rsidRDefault="004F7C2D" w:rsidP="004F7C2D">
      <w:pPr>
        <w:jc w:val="both"/>
        <w:rPr>
          <w:rFonts w:ascii="Open Sans" w:hAnsi="Open Sans"/>
          <w:sz w:val="20"/>
          <w:szCs w:val="20"/>
        </w:rPr>
      </w:pPr>
    </w:p>
    <w:p w14:paraId="67B5F000"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Sacyr no considera los aspectos fiscales como un asunto material para sus grupos de interés y por tanto no informa de ellos en el informe anual integrado. </w:t>
      </w:r>
      <w:r w:rsidRPr="00220CD7">
        <w:rPr>
          <w:rFonts w:ascii="Open Sans" w:hAnsi="Open Sans" w:cs="Arial"/>
          <w:sz w:val="20"/>
          <w:szCs w:val="20"/>
        </w:rPr>
        <w:t>Sin embargo hay numerosas evidencias de que la fiscalidad responsable es un aspecto cada vez más material para las empresas y para sus grupos de interés, además este aspecto ha transcendido en los últimos años a las agendas públicas y desde la Comisión Europea</w:t>
      </w:r>
      <w:r w:rsidRPr="00220CD7">
        <w:rPr>
          <w:rStyle w:val="Refdenotaalpie"/>
          <w:rFonts w:ascii="Open Sans" w:hAnsi="Open Sans" w:cs="Arial"/>
          <w:sz w:val="20"/>
          <w:szCs w:val="20"/>
        </w:rPr>
        <w:footnoteReference w:id="373"/>
      </w:r>
      <w:r w:rsidRPr="00220CD7">
        <w:rPr>
          <w:rFonts w:ascii="Open Sans" w:hAnsi="Open Sans" w:cs="Arial"/>
          <w:sz w:val="20"/>
          <w:szCs w:val="20"/>
        </w:rPr>
        <w:t>, OCDE</w:t>
      </w:r>
      <w:r w:rsidRPr="00220CD7">
        <w:rPr>
          <w:rStyle w:val="Refdenotaalpie"/>
          <w:rFonts w:ascii="Open Sans" w:hAnsi="Open Sans" w:cs="Arial"/>
          <w:sz w:val="20"/>
          <w:szCs w:val="20"/>
        </w:rPr>
        <w:footnoteReference w:id="374"/>
      </w:r>
      <w:r w:rsidRPr="00220CD7">
        <w:rPr>
          <w:rFonts w:ascii="Open Sans" w:hAnsi="Open Sans" w:cs="Arial"/>
          <w:sz w:val="20"/>
          <w:szCs w:val="20"/>
        </w:rPr>
        <w:t xml:space="preserve"> y otras instituciones</w:t>
      </w:r>
      <w:r w:rsidRPr="00220CD7">
        <w:rPr>
          <w:rStyle w:val="Refdenotaalpie"/>
          <w:rFonts w:ascii="Open Sans" w:hAnsi="Open Sans" w:cs="Arial"/>
          <w:sz w:val="20"/>
          <w:szCs w:val="20"/>
        </w:rPr>
        <w:footnoteReference w:id="375"/>
      </w:r>
      <w:r w:rsidRPr="00220CD7">
        <w:rPr>
          <w:rFonts w:ascii="Open Sans" w:hAnsi="Open Sans" w:cs="Arial"/>
          <w:sz w:val="20"/>
          <w:szCs w:val="20"/>
        </w:rPr>
        <w:t xml:space="preserve"> se está trabajando para que las empresas estén obligadas a aportar mayor información. </w:t>
      </w:r>
    </w:p>
    <w:p w14:paraId="49C50F9C" w14:textId="77777777" w:rsidR="004F7C2D" w:rsidRPr="00220CD7" w:rsidRDefault="004F7C2D" w:rsidP="004F7C2D">
      <w:pPr>
        <w:jc w:val="both"/>
        <w:rPr>
          <w:rFonts w:ascii="Open Sans" w:hAnsi="Open Sans" w:cs="Arial"/>
          <w:sz w:val="20"/>
          <w:szCs w:val="20"/>
        </w:rPr>
      </w:pPr>
    </w:p>
    <w:p w14:paraId="27F4A4D2" w14:textId="77777777" w:rsidR="004F7C2D" w:rsidRPr="00220CD7" w:rsidRDefault="004F7C2D" w:rsidP="004F7C2D">
      <w:pPr>
        <w:jc w:val="both"/>
        <w:rPr>
          <w:rFonts w:ascii="Open Sans" w:hAnsi="Open Sans" w:cs="Open Sans"/>
          <w:sz w:val="20"/>
          <w:szCs w:val="20"/>
        </w:rPr>
      </w:pPr>
      <w:r w:rsidRPr="00220CD7">
        <w:rPr>
          <w:rFonts w:ascii="Open Sans" w:hAnsi="Open Sans" w:cs="Arial"/>
          <w:sz w:val="20"/>
          <w:szCs w:val="20"/>
        </w:rPr>
        <w:t xml:space="preserve">En el caso de Sacyr la única información que aporta a sus grupos de interés es el dato cuantitativo consolidado sobre contribución fiscal total sin ninguna información explicativa que enmarque este dato y sin ningún desglose por país. Sería de desear que en ejercicios futuros (con compromisos ya públicos en esta materia tras la aprobación de su política fiscal en noviembre de 2016), la información sobre este aspecto sea considerado como un aspecto material por Sacyr y haga un ejercicio de transparencia siguiendo </w:t>
      </w:r>
      <w:r w:rsidRPr="00220CD7">
        <w:rPr>
          <w:rFonts w:ascii="Open Sans" w:hAnsi="Open Sans" w:cs="Open Sans"/>
          <w:sz w:val="20"/>
          <w:szCs w:val="20"/>
        </w:rPr>
        <w:t xml:space="preserve">estándares internacionales en relación a la información país a país que promueven que la empresa presente información país a país de una serie de partidas financieras y de la actividad que realiza en los territorios donde está presente. </w:t>
      </w:r>
    </w:p>
    <w:p w14:paraId="6F63DB43" w14:textId="77777777" w:rsidR="004F7C2D" w:rsidRPr="00220CD7" w:rsidRDefault="004F7C2D" w:rsidP="004F7C2D">
      <w:pPr>
        <w:jc w:val="both"/>
        <w:rPr>
          <w:rFonts w:ascii="Open Sans" w:hAnsi="Open Sans" w:cs="Open Sans"/>
          <w:sz w:val="20"/>
          <w:szCs w:val="20"/>
        </w:rPr>
      </w:pPr>
    </w:p>
    <w:p w14:paraId="64DF8469" w14:textId="77777777" w:rsidR="004F7C2D" w:rsidRPr="00220CD7" w:rsidRDefault="004F7C2D" w:rsidP="004F7C2D">
      <w:pPr>
        <w:jc w:val="both"/>
        <w:rPr>
          <w:rFonts w:ascii="Open Sans" w:hAnsi="Open Sans" w:cs="Arial"/>
          <w:bCs/>
          <w:sz w:val="20"/>
          <w:szCs w:val="20"/>
        </w:rPr>
      </w:pPr>
      <w:r w:rsidRPr="00220CD7">
        <w:rPr>
          <w:rFonts w:ascii="Open Sans" w:hAnsi="Open Sans" w:cs="Arial"/>
          <w:bCs/>
          <w:sz w:val="20"/>
          <w:szCs w:val="20"/>
        </w:rPr>
        <w:t xml:space="preserve">Hay que destacar sin embargo buenas prácticas en otras áreas de información. Tal es el caso de la información relativa a su estructura societaria, que aunque el desglose de partidas de información tiene margen de mejora, se considera una buena práctica el aporte de datos completos sobre la propiedad de las filiales. </w:t>
      </w:r>
    </w:p>
    <w:p w14:paraId="6DE79FB6" w14:textId="77777777" w:rsidR="004F7C2D" w:rsidRPr="00220CD7" w:rsidRDefault="004F7C2D" w:rsidP="004F7C2D">
      <w:pPr>
        <w:jc w:val="both"/>
        <w:rPr>
          <w:rFonts w:ascii="Open Sans" w:hAnsi="Open Sans" w:cs="Arial"/>
          <w:bCs/>
          <w:sz w:val="20"/>
          <w:szCs w:val="20"/>
        </w:rPr>
      </w:pPr>
    </w:p>
    <w:p w14:paraId="69E6F4B6" w14:textId="77777777" w:rsidR="004F7C2D" w:rsidRPr="00220CD7" w:rsidRDefault="004F7C2D" w:rsidP="004F7C2D">
      <w:pPr>
        <w:jc w:val="both"/>
        <w:rPr>
          <w:rFonts w:ascii="Open Sans" w:hAnsi="Open Sans" w:cs="Arial"/>
          <w:sz w:val="20"/>
          <w:szCs w:val="20"/>
        </w:rPr>
      </w:pPr>
      <w:r w:rsidRPr="00220CD7">
        <w:rPr>
          <w:rFonts w:ascii="Open Sans" w:hAnsi="Open Sans" w:cs="Arial"/>
          <w:bCs/>
          <w:sz w:val="20"/>
          <w:szCs w:val="20"/>
        </w:rPr>
        <w:t>Por último es conveniente señalar que l</w:t>
      </w:r>
      <w:r w:rsidRPr="00220CD7">
        <w:rPr>
          <w:rFonts w:ascii="Open Sans" w:hAnsi="Open Sans" w:cs="Open Sans"/>
          <w:sz w:val="20"/>
          <w:szCs w:val="20"/>
        </w:rPr>
        <w:t>a</w:t>
      </w:r>
      <w:r w:rsidRPr="00220CD7">
        <w:rPr>
          <w:rFonts w:ascii="Open Sans" w:hAnsi="Open Sans" w:cs="Arial"/>
          <w:sz w:val="20"/>
          <w:szCs w:val="20"/>
        </w:rPr>
        <w:t xml:space="preserve"> información disponible en materia fiscal y otras cuestiones como son las subvenciones recibidas, relaciones con la administración tributaria u operaciones intragrupo, entre otros puntos objetos de este análisis, se encuentran únicamente en la información de las cuentas anuales consolidadas. Esta información de carácter técnico y no accesible por su dificultad de entendimiento para el gran público, impide conocer muchos aspectos que interesan a sus grupos de interés  y que deberían ser reflejados en el informe anual integrado con un lenguaje más accesible y claro. </w:t>
      </w:r>
    </w:p>
    <w:p w14:paraId="5C46E406" w14:textId="77777777" w:rsidR="004F7C2D" w:rsidRPr="00220CD7" w:rsidRDefault="004F7C2D" w:rsidP="004F7C2D">
      <w:pPr>
        <w:jc w:val="both"/>
        <w:rPr>
          <w:rFonts w:ascii="Open Sans" w:hAnsi="Open Sans" w:cs="Arial"/>
          <w:sz w:val="20"/>
          <w:szCs w:val="20"/>
        </w:rPr>
      </w:pPr>
    </w:p>
    <w:p w14:paraId="178949D0" w14:textId="633E4E0E" w:rsidR="001B1BCA" w:rsidRDefault="004F7C2D" w:rsidP="001B1BCA">
      <w:pPr>
        <w:jc w:val="both"/>
        <w:rPr>
          <w:rFonts w:ascii="Open Sans" w:hAnsi="Open Sans" w:cs="Arial"/>
          <w:bCs/>
          <w:sz w:val="20"/>
          <w:szCs w:val="20"/>
        </w:rPr>
      </w:pPr>
      <w:r w:rsidRPr="00220CD7">
        <w:rPr>
          <w:rFonts w:ascii="Open Sans" w:hAnsi="Open Sans" w:cs="Arial"/>
          <w:sz w:val="20"/>
          <w:szCs w:val="20"/>
        </w:rPr>
        <w:t xml:space="preserve">Por todo lo comentado, se considera que el grupo </w:t>
      </w:r>
      <w:r w:rsidRPr="00220CD7">
        <w:rPr>
          <w:rFonts w:ascii="Open Sans" w:hAnsi="Open Sans" w:cs="Arial"/>
          <w:bCs/>
          <w:sz w:val="20"/>
          <w:szCs w:val="20"/>
        </w:rPr>
        <w:t xml:space="preserve">Sacyr tiene un margen amplio de mejora en la calidad de la información sobre </w:t>
      </w:r>
      <w:proofErr w:type="gramStart"/>
      <w:r w:rsidRPr="00220CD7">
        <w:rPr>
          <w:rFonts w:ascii="Open Sans" w:hAnsi="Open Sans" w:cs="Arial"/>
          <w:bCs/>
          <w:sz w:val="20"/>
          <w:szCs w:val="20"/>
        </w:rPr>
        <w:t>aspectos fiscales y operativa</w:t>
      </w:r>
      <w:proofErr w:type="gramEnd"/>
      <w:r w:rsidRPr="00220CD7">
        <w:rPr>
          <w:rFonts w:ascii="Open Sans" w:hAnsi="Open Sans" w:cs="Arial"/>
          <w:bCs/>
          <w:sz w:val="20"/>
          <w:szCs w:val="20"/>
        </w:rPr>
        <w:t xml:space="preserve"> del grupo si quiere estar en consonancia con el compromiso de transparencia que dice seguir y de contribución al desarrollo de las sociedades. </w:t>
      </w:r>
    </w:p>
    <w:p w14:paraId="08E17CFE" w14:textId="5ED70E8A" w:rsidR="001B1BCA" w:rsidRDefault="001B1BCA">
      <w:pPr>
        <w:rPr>
          <w:rFonts w:ascii="Open Sans" w:hAnsi="Open Sans" w:cs="Arial"/>
          <w:bCs/>
          <w:sz w:val="20"/>
          <w:szCs w:val="20"/>
        </w:rPr>
      </w:pPr>
      <w:r>
        <w:rPr>
          <w:rFonts w:ascii="Open Sans" w:hAnsi="Open Sans" w:cs="Arial"/>
          <w:bCs/>
          <w:sz w:val="20"/>
          <w:szCs w:val="20"/>
        </w:rPr>
        <w:br w:type="page"/>
      </w:r>
    </w:p>
    <w:p w14:paraId="60987090" w14:textId="77777777" w:rsidR="00F1599C" w:rsidRDefault="00F1599C" w:rsidP="00F1599C">
      <w:pPr>
        <w:pStyle w:val="WW-Predeterminado"/>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b/>
          <w:i/>
          <w:color w:val="FFFFFF"/>
          <w:sz w:val="24"/>
          <w:szCs w:val="24"/>
        </w:rPr>
      </w:pPr>
      <w:bookmarkStart w:id="79" w:name="Tecnicas"/>
      <w:r>
        <w:rPr>
          <w:rFonts w:ascii="Open Sans" w:hAnsi="Open Sans" w:cs="Open Sans"/>
          <w:b/>
          <w:caps/>
          <w:color w:val="FFFFFF"/>
          <w:sz w:val="24"/>
          <w:szCs w:val="24"/>
        </w:rPr>
        <w:t>TÉCNICAS REUNIDAS, s.a.</w:t>
      </w:r>
      <w:bookmarkEnd w:id="79"/>
    </w:p>
    <w:p w14:paraId="53232678" w14:textId="77777777" w:rsidR="00F1599C" w:rsidRDefault="00F1599C" w:rsidP="00F1599C">
      <w:pPr>
        <w:pStyle w:val="WW-Predeterminado"/>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sz w:val="24"/>
          <w:szCs w:val="24"/>
        </w:rPr>
      </w:pPr>
      <w:r>
        <w:rPr>
          <w:rFonts w:ascii="Open Sans" w:hAnsi="Open Sans" w:cs="Open Sans"/>
          <w:b/>
          <w:i/>
          <w:color w:val="FFFFFF"/>
          <w:sz w:val="24"/>
          <w:szCs w:val="24"/>
        </w:rPr>
        <w:t>(Técnicas Reunidas)</w:t>
      </w:r>
    </w:p>
    <w:p w14:paraId="0687A17D" w14:textId="77777777" w:rsidR="00F1599C" w:rsidRDefault="00F1599C" w:rsidP="00F1599C">
      <w:pPr>
        <w:spacing w:before="120" w:after="120" w:line="360" w:lineRule="auto"/>
        <w:jc w:val="both"/>
        <w:rPr>
          <w:rFonts w:ascii="Open Sans" w:hAnsi="Open Sans" w:cs="Tahoma"/>
          <w:b/>
          <w:bCs/>
          <w:color w:val="002060"/>
          <w:sz w:val="28"/>
          <w:szCs w:val="28"/>
        </w:rPr>
      </w:pPr>
    </w:p>
    <w:p w14:paraId="1D2AB385" w14:textId="77777777" w:rsidR="004F7C2D" w:rsidRPr="00EF5CC5" w:rsidRDefault="004F7C2D" w:rsidP="004F7C2D">
      <w:pPr>
        <w:jc w:val="both"/>
        <w:outlineLvl w:val="5"/>
        <w:rPr>
          <w:rFonts w:ascii="Open Sans" w:hAnsi="Open Sans" w:cs="Arial"/>
          <w:b/>
          <w:sz w:val="26"/>
          <w:szCs w:val="22"/>
          <w:u w:val="single"/>
        </w:rPr>
      </w:pPr>
      <w:r w:rsidRPr="00EF5CC5">
        <w:rPr>
          <w:rFonts w:ascii="Open Sans" w:hAnsi="Open Sans" w:cs="Arial"/>
          <w:b/>
          <w:sz w:val="22"/>
          <w:szCs w:val="22"/>
          <w:u w:val="single"/>
        </w:rPr>
        <w:t>1. Datos generales de la entidad</w:t>
      </w:r>
    </w:p>
    <w:p w14:paraId="0A35A6D9" w14:textId="77777777" w:rsidR="004F7C2D" w:rsidRPr="00EF5CC5" w:rsidRDefault="004F7C2D" w:rsidP="004F7C2D">
      <w:pPr>
        <w:jc w:val="both"/>
        <w:rPr>
          <w:rFonts w:ascii="Open Sans" w:hAnsi="Open Sans" w:cs="Arial"/>
          <w:sz w:val="22"/>
          <w:szCs w:val="22"/>
          <w:u w:val="single"/>
        </w:rPr>
      </w:pPr>
    </w:p>
    <w:p w14:paraId="474E88C8"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u w:val="single"/>
        </w:rPr>
        <w:t>Productos/servicios</w:t>
      </w:r>
    </w:p>
    <w:p w14:paraId="2AE2321B" w14:textId="77777777" w:rsidR="004F7C2D" w:rsidRPr="00EF5CC5" w:rsidRDefault="004F7C2D" w:rsidP="004F7C2D">
      <w:pPr>
        <w:jc w:val="both"/>
        <w:rPr>
          <w:rFonts w:ascii="Open Sans" w:hAnsi="Open Sans" w:cs="Arial"/>
          <w:sz w:val="20"/>
          <w:szCs w:val="20"/>
        </w:rPr>
      </w:pPr>
    </w:p>
    <w:p w14:paraId="42A8FA4B"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Técnicas Reunidas (TR), ofrece a sus clientes los siguientes productos y servicios técnicos y de gestión en el área de la ingeniería y construcción de plantas industriales, diferenciando estas tres áreas de negocio con sus respectivos proyectos:</w:t>
      </w:r>
    </w:p>
    <w:p w14:paraId="6796E9D5" w14:textId="77777777" w:rsidR="004F7C2D" w:rsidRPr="00EF5CC5" w:rsidRDefault="004F7C2D" w:rsidP="004F7C2D">
      <w:pPr>
        <w:jc w:val="both"/>
        <w:rPr>
          <w:rFonts w:ascii="Open Sans" w:hAnsi="Open Sans" w:cs="Open Sans"/>
          <w:sz w:val="20"/>
          <w:szCs w:val="20"/>
        </w:rPr>
      </w:pPr>
    </w:p>
    <w:p w14:paraId="2395815F"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Petróleo y gas natural: Refino y petroquímica (downstream), petróleo y gas natural (upstream) y desarrollos propios.</w:t>
      </w:r>
    </w:p>
    <w:p w14:paraId="3990F00E"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Energía: Plantas de combustible fósil y otras plantas de energía.</w:t>
      </w:r>
    </w:p>
    <w:p w14:paraId="08561B10"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Infraestructuras e industrias: infraestructuras y medio ambiente y desarrollos propios.</w:t>
      </w:r>
    </w:p>
    <w:p w14:paraId="6A58DD59" w14:textId="77777777" w:rsidR="004F7C2D" w:rsidRPr="00EF5CC5" w:rsidRDefault="004F7C2D" w:rsidP="004F7C2D">
      <w:pPr>
        <w:jc w:val="both"/>
        <w:rPr>
          <w:rFonts w:ascii="Open Sans" w:hAnsi="Open Sans" w:cs="Arial"/>
          <w:sz w:val="20"/>
          <w:szCs w:val="20"/>
        </w:rPr>
      </w:pPr>
    </w:p>
    <w:p w14:paraId="6E30836F"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u w:val="single"/>
        </w:rPr>
        <w:t xml:space="preserve">Alcance geográfico </w:t>
      </w:r>
    </w:p>
    <w:p w14:paraId="562F2CF0" w14:textId="77777777" w:rsidR="004F7C2D" w:rsidRPr="00EF5CC5" w:rsidRDefault="004F7C2D" w:rsidP="004F7C2D">
      <w:pPr>
        <w:jc w:val="both"/>
        <w:rPr>
          <w:rFonts w:ascii="Open Sans" w:hAnsi="Open Sans" w:cs="Arial"/>
          <w:sz w:val="20"/>
          <w:szCs w:val="20"/>
        </w:rPr>
      </w:pPr>
    </w:p>
    <w:p w14:paraId="6ADBD784"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TR opera o tiene presencia en los siguientes 37 países:</w:t>
      </w:r>
    </w:p>
    <w:p w14:paraId="0EE7C51D" w14:textId="77777777" w:rsidR="004F7C2D" w:rsidRPr="00EF5CC5" w:rsidRDefault="004F7C2D" w:rsidP="004F7C2D">
      <w:pPr>
        <w:jc w:val="both"/>
        <w:rPr>
          <w:rFonts w:ascii="Open Sans" w:hAnsi="Open Sans" w:cs="Open Sans"/>
          <w:sz w:val="20"/>
          <w:szCs w:val="20"/>
        </w:rPr>
      </w:pPr>
    </w:p>
    <w:p w14:paraId="6C819B36"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Asia: Arabia Saudí, Bangladesh, China, Emiratos Árabes Unidos, India, Kuwait, Malasia, Omán y Vietnam.</w:t>
      </w:r>
    </w:p>
    <w:p w14:paraId="432C50DE"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África: Argelia, Egipto y Namibia.</w:t>
      </w:r>
    </w:p>
    <w:p w14:paraId="16271E02"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América: Argentina, Bolivia, Canadá, Chile, Estados Unidos, México, Panamá, Perú, República Dominicana y Venezuela.</w:t>
      </w:r>
    </w:p>
    <w:p w14:paraId="75B6DF88"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Europa: Bélgica, Bulgaria, Eslovaquia, España, Francia, Grecia, Holanda, Hungría, Noruega, Polonia, Portugal, Reino Unido, Rusia y Turquía.</w:t>
      </w:r>
    </w:p>
    <w:p w14:paraId="03AA5614" w14:textId="77777777" w:rsidR="004F7C2D" w:rsidRPr="00EF5CC5" w:rsidRDefault="004F7C2D" w:rsidP="000B70C9">
      <w:pPr>
        <w:numPr>
          <w:ilvl w:val="0"/>
          <w:numId w:val="27"/>
        </w:numPr>
        <w:jc w:val="both"/>
        <w:rPr>
          <w:rFonts w:ascii="Open Sans" w:hAnsi="Open Sans" w:cs="Open Sans"/>
          <w:sz w:val="20"/>
          <w:szCs w:val="20"/>
        </w:rPr>
      </w:pPr>
      <w:r w:rsidRPr="00EF5CC5">
        <w:rPr>
          <w:rFonts w:ascii="Open Sans" w:hAnsi="Open Sans" w:cs="Open Sans"/>
          <w:sz w:val="20"/>
          <w:szCs w:val="20"/>
        </w:rPr>
        <w:t>Oceanía: Australia.</w:t>
      </w:r>
    </w:p>
    <w:p w14:paraId="38B4DF82" w14:textId="77777777" w:rsidR="004F7C2D" w:rsidRPr="00EF5CC5" w:rsidRDefault="004F7C2D" w:rsidP="004F7C2D">
      <w:pPr>
        <w:jc w:val="both"/>
        <w:rPr>
          <w:rFonts w:ascii="Open Sans" w:hAnsi="Open Sans" w:cs="Arial"/>
          <w:sz w:val="20"/>
          <w:szCs w:val="20"/>
        </w:rPr>
      </w:pPr>
    </w:p>
    <w:p w14:paraId="0DEF5872" w14:textId="77777777" w:rsidR="004F7C2D" w:rsidRPr="00EF5CC5" w:rsidRDefault="004F7C2D" w:rsidP="004F7C2D">
      <w:pPr>
        <w:jc w:val="both"/>
        <w:rPr>
          <w:rFonts w:ascii="Open Sans" w:hAnsi="Open Sans" w:cs="Arial"/>
          <w:sz w:val="20"/>
          <w:szCs w:val="20"/>
          <w:u w:val="single"/>
        </w:rPr>
      </w:pPr>
    </w:p>
    <w:p w14:paraId="3220B534" w14:textId="77777777" w:rsidR="004F7C2D" w:rsidRPr="00EF5CC5" w:rsidRDefault="004F7C2D" w:rsidP="004F7C2D">
      <w:pPr>
        <w:jc w:val="both"/>
        <w:rPr>
          <w:rFonts w:ascii="Open Sans" w:hAnsi="Open Sans" w:cs="Arial"/>
          <w:sz w:val="20"/>
          <w:szCs w:val="20"/>
          <w:u w:val="single"/>
        </w:rPr>
      </w:pPr>
      <w:r w:rsidRPr="00EF5CC5">
        <w:rPr>
          <w:rFonts w:ascii="Open Sans" w:hAnsi="Open Sans" w:cs="Arial"/>
          <w:sz w:val="20"/>
          <w:szCs w:val="20"/>
          <w:u w:val="single"/>
        </w:rPr>
        <w:t>Cifras relevantes de la empresa:</w:t>
      </w:r>
    </w:p>
    <w:p w14:paraId="2BD450AD" w14:textId="77777777" w:rsidR="004F7C2D" w:rsidRPr="00EF5CC5" w:rsidRDefault="004F7C2D" w:rsidP="004F7C2D">
      <w:pPr>
        <w:jc w:val="both"/>
        <w:rPr>
          <w:rFonts w:ascii="Open Sans" w:hAnsi="Open Sans" w:cs="Arial"/>
          <w:sz w:val="20"/>
          <w:szCs w:val="20"/>
          <w:u w:val="single"/>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4F7C2D" w:rsidRPr="00EF5CC5" w14:paraId="1F2A4747" w14:textId="77777777" w:rsidTr="00F32F9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0B27CCF3" w14:textId="77777777" w:rsidR="004F7C2D" w:rsidRPr="00EF5CC5" w:rsidRDefault="004F7C2D" w:rsidP="00F32F9C">
            <w:pPr>
              <w:jc w:val="center"/>
              <w:rPr>
                <w:rFonts w:ascii="Open Sans" w:hAnsi="Open Sans" w:cs="Arial"/>
                <w:b/>
                <w:sz w:val="20"/>
                <w:szCs w:val="22"/>
              </w:rPr>
            </w:pPr>
            <w:r w:rsidRPr="00EF5CC5">
              <w:rPr>
                <w:rFonts w:ascii="Open Sans" w:hAnsi="Open Sans" w:cs="Arial"/>
                <w:b/>
                <w:sz w:val="20"/>
                <w:szCs w:val="22"/>
              </w:rPr>
              <w:t>CONCEPTO</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10EE406D" w14:textId="77777777" w:rsidR="004F7C2D" w:rsidRPr="00EF5CC5" w:rsidRDefault="004F7C2D" w:rsidP="00F32F9C">
            <w:pPr>
              <w:jc w:val="center"/>
              <w:rPr>
                <w:rFonts w:ascii="Open Sans" w:hAnsi="Open Sans" w:cs="Arial"/>
                <w:b/>
                <w:sz w:val="20"/>
                <w:szCs w:val="22"/>
              </w:rPr>
            </w:pPr>
            <w:r w:rsidRPr="00EF5CC5">
              <w:rPr>
                <w:rFonts w:ascii="Open Sans" w:hAnsi="Open Sans" w:cs="Arial"/>
                <w:b/>
                <w:sz w:val="20"/>
                <w:szCs w:val="22"/>
              </w:rPr>
              <w:t>VOLUMEN</w:t>
            </w:r>
          </w:p>
        </w:tc>
      </w:tr>
      <w:tr w:rsidR="004F7C2D" w:rsidRPr="00EF5CC5" w14:paraId="4A98FC1B" w14:textId="77777777" w:rsidTr="00F32F9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3FD32AE"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Beneficio antes de impuestos (€)</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38E066B" w14:textId="77777777" w:rsidR="004F7C2D" w:rsidRPr="00EF5CC5" w:rsidRDefault="004F7C2D" w:rsidP="00F32F9C">
            <w:pPr>
              <w:jc w:val="center"/>
              <w:rPr>
                <w:rFonts w:ascii="Open Sans" w:eastAsia="Arial Unicode MS" w:hAnsi="Open Sans" w:cs="Arial"/>
                <w:sz w:val="20"/>
                <w:szCs w:val="22"/>
              </w:rPr>
            </w:pPr>
            <w:r w:rsidRPr="00EF5CC5">
              <w:rPr>
                <w:rFonts w:ascii="Open Sans" w:eastAsia="Arial Unicode MS" w:hAnsi="Open Sans" w:cs="Arial"/>
                <w:sz w:val="20"/>
                <w:szCs w:val="22"/>
              </w:rPr>
              <w:t>82.347.000</w:t>
            </w:r>
          </w:p>
        </w:tc>
      </w:tr>
      <w:tr w:rsidR="004F7C2D" w:rsidRPr="00EF5CC5" w14:paraId="23409765" w14:textId="77777777" w:rsidTr="00F32F9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A0C6B5A"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Impuesto sobre sociedades (€)</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97F49D6" w14:textId="77777777" w:rsidR="004F7C2D" w:rsidRPr="00EF5CC5" w:rsidRDefault="004F7C2D" w:rsidP="00F32F9C">
            <w:pPr>
              <w:jc w:val="center"/>
              <w:rPr>
                <w:rFonts w:ascii="Open Sans" w:eastAsia="Arial Unicode MS" w:hAnsi="Open Sans" w:cs="Arial"/>
                <w:sz w:val="20"/>
                <w:szCs w:val="22"/>
              </w:rPr>
            </w:pPr>
            <w:r w:rsidRPr="00EF5CC5">
              <w:rPr>
                <w:rFonts w:ascii="Open Sans" w:eastAsia="Arial Unicode MS" w:hAnsi="Open Sans" w:cs="Arial"/>
                <w:sz w:val="20"/>
                <w:szCs w:val="22"/>
              </w:rPr>
              <w:t>23.058.000</w:t>
            </w:r>
          </w:p>
        </w:tc>
      </w:tr>
      <w:tr w:rsidR="004F7C2D" w:rsidRPr="00EF5CC5" w14:paraId="3FE3896F" w14:textId="77777777" w:rsidTr="00F32F9C">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FFCD2E2"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Tasa efectiva (impuesto / beneficio)</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1331619" w14:textId="77777777" w:rsidR="004F7C2D" w:rsidRPr="00EF5CC5" w:rsidRDefault="004F7C2D" w:rsidP="00F32F9C">
            <w:pPr>
              <w:jc w:val="center"/>
              <w:rPr>
                <w:rFonts w:ascii="Open Sans" w:eastAsia="Arial Unicode MS" w:hAnsi="Open Sans" w:cs="Arial"/>
                <w:sz w:val="20"/>
                <w:szCs w:val="22"/>
              </w:rPr>
            </w:pPr>
            <w:r w:rsidRPr="00EF5CC5">
              <w:rPr>
                <w:rFonts w:ascii="Open Sans" w:eastAsia="Arial Unicode MS" w:hAnsi="Open Sans" w:cs="Arial"/>
                <w:sz w:val="20"/>
                <w:szCs w:val="22"/>
              </w:rPr>
              <w:t>28%</w:t>
            </w:r>
          </w:p>
        </w:tc>
      </w:tr>
      <w:tr w:rsidR="004F7C2D" w:rsidRPr="00EF5CC5" w14:paraId="066329B7" w14:textId="77777777" w:rsidTr="00F32F9C">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71C44B0"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Inversiones (€)</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283D3DA" w14:textId="77777777" w:rsidR="004F7C2D" w:rsidRPr="00EF5CC5" w:rsidRDefault="004F7C2D" w:rsidP="00F32F9C">
            <w:pPr>
              <w:jc w:val="center"/>
              <w:rPr>
                <w:rFonts w:ascii="Open Sans" w:eastAsia="Arial Unicode MS" w:hAnsi="Open Sans" w:cs="Arial"/>
                <w:sz w:val="20"/>
                <w:szCs w:val="22"/>
              </w:rPr>
            </w:pPr>
          </w:p>
        </w:tc>
      </w:tr>
      <w:tr w:rsidR="004F7C2D" w:rsidRPr="00EF5CC5" w14:paraId="41B1697E" w14:textId="77777777" w:rsidTr="00F32F9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25440AF4" w14:textId="77777777" w:rsidR="004F7C2D" w:rsidRPr="00EF5CC5" w:rsidRDefault="004F7C2D" w:rsidP="00F32F9C">
            <w:pPr>
              <w:jc w:val="both"/>
              <w:rPr>
                <w:rFonts w:ascii="Open Sans" w:hAnsi="Open Sans" w:cs="Tahoma"/>
                <w:sz w:val="22"/>
                <w:szCs w:val="22"/>
              </w:rPr>
            </w:pPr>
            <w:r w:rsidRPr="00EF5CC5">
              <w:rPr>
                <w:rFonts w:ascii="Open Sans" w:hAnsi="Open Sans" w:cs="Tahoma"/>
                <w:sz w:val="20"/>
                <w:szCs w:val="22"/>
              </w:rPr>
              <w:t>Número de empleados/as</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E64F255" w14:textId="77777777" w:rsidR="004F7C2D" w:rsidRPr="00EF5CC5" w:rsidRDefault="004F7C2D" w:rsidP="00F32F9C">
            <w:pPr>
              <w:jc w:val="center"/>
              <w:rPr>
                <w:rFonts w:ascii="Open Sans" w:eastAsia="Arial Unicode MS" w:hAnsi="Open Sans" w:cs="Arial"/>
                <w:sz w:val="20"/>
                <w:szCs w:val="22"/>
              </w:rPr>
            </w:pPr>
            <w:r w:rsidRPr="00EF5CC5">
              <w:rPr>
                <w:rFonts w:ascii="Open Sans" w:eastAsia="Arial Unicode MS" w:hAnsi="Open Sans" w:cs="Arial"/>
                <w:sz w:val="20"/>
                <w:szCs w:val="22"/>
              </w:rPr>
              <w:t>9.215</w:t>
            </w:r>
          </w:p>
        </w:tc>
      </w:tr>
    </w:tbl>
    <w:p w14:paraId="4E28CC9B" w14:textId="77777777" w:rsidR="004F7C2D" w:rsidRPr="00EF5CC5" w:rsidRDefault="004F7C2D" w:rsidP="004F7C2D">
      <w:pPr>
        <w:jc w:val="both"/>
        <w:rPr>
          <w:rFonts w:ascii="Open Sans" w:hAnsi="Open Sans" w:cs="Arial"/>
          <w:sz w:val="20"/>
          <w:szCs w:val="20"/>
          <w:u w:val="single"/>
        </w:rPr>
      </w:pPr>
    </w:p>
    <w:p w14:paraId="0E3E3B3E" w14:textId="77777777" w:rsidR="004F7C2D" w:rsidRPr="00EF5CC5" w:rsidRDefault="004F7C2D" w:rsidP="004F7C2D">
      <w:pPr>
        <w:jc w:val="both"/>
        <w:rPr>
          <w:rFonts w:ascii="Open Sans" w:eastAsia="Calibri" w:hAnsi="Open Sans" w:cs="Bliss2-Light"/>
          <w:sz w:val="18"/>
          <w:szCs w:val="18"/>
        </w:rPr>
      </w:pPr>
    </w:p>
    <w:p w14:paraId="04736057" w14:textId="77777777" w:rsidR="004F7C2D" w:rsidRPr="00EF5CC5" w:rsidRDefault="004F7C2D" w:rsidP="004F7C2D">
      <w:pPr>
        <w:jc w:val="both"/>
        <w:rPr>
          <w:rFonts w:ascii="Open Sans" w:hAnsi="Open Sans" w:cs="Arial"/>
          <w:sz w:val="20"/>
          <w:szCs w:val="20"/>
          <w:u w:val="single"/>
        </w:rPr>
      </w:pPr>
      <w:r w:rsidRPr="00EF5CC5">
        <w:rPr>
          <w:rFonts w:ascii="Open Sans" w:hAnsi="Open Sans" w:cs="Arial"/>
          <w:sz w:val="20"/>
          <w:szCs w:val="20"/>
          <w:u w:val="single"/>
        </w:rPr>
        <w:t>Estándares voluntarios relacionados con fiscalidad responsable</w:t>
      </w:r>
    </w:p>
    <w:p w14:paraId="5943A087" w14:textId="77777777" w:rsidR="004F7C2D" w:rsidRPr="00EF5CC5" w:rsidRDefault="004F7C2D" w:rsidP="004F7C2D">
      <w:pPr>
        <w:jc w:val="both"/>
        <w:rPr>
          <w:rFonts w:ascii="Open Sans" w:hAnsi="Open Sans" w:cs="Arial"/>
          <w:sz w:val="20"/>
          <w:szCs w:val="20"/>
          <w:u w:val="single"/>
        </w:rPr>
      </w:pPr>
    </w:p>
    <w:p w14:paraId="12723A5B"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No se ha encontrado evidencia de que TR se haya adherido voluntariamente a ningún estándar relacionado con contenidos y sistemas de gestión de fiscalidad responsable.</w:t>
      </w:r>
    </w:p>
    <w:p w14:paraId="43356A55" w14:textId="77777777" w:rsidR="004F7C2D" w:rsidRPr="00EF5CC5" w:rsidRDefault="004F7C2D" w:rsidP="004F7C2D">
      <w:pPr>
        <w:jc w:val="both"/>
        <w:rPr>
          <w:rFonts w:ascii="Open Sans" w:hAnsi="Open Sans" w:cs="Arial"/>
          <w:sz w:val="20"/>
          <w:szCs w:val="20"/>
        </w:rPr>
      </w:pPr>
    </w:p>
    <w:p w14:paraId="733D1E56" w14:textId="77777777" w:rsidR="004F7C2D" w:rsidRPr="00EF5CC5" w:rsidRDefault="004F7C2D" w:rsidP="004F7C2D">
      <w:pPr>
        <w:jc w:val="both"/>
        <w:rPr>
          <w:rFonts w:ascii="Open Sans" w:hAnsi="Open Sans" w:cs="Arial"/>
          <w:sz w:val="20"/>
          <w:szCs w:val="20"/>
          <w:u w:val="single"/>
        </w:rPr>
      </w:pPr>
    </w:p>
    <w:p w14:paraId="0AC1B2D2" w14:textId="77777777" w:rsidR="004F7C2D" w:rsidRPr="00EF5CC5" w:rsidRDefault="004F7C2D" w:rsidP="004F7C2D">
      <w:pPr>
        <w:jc w:val="both"/>
        <w:rPr>
          <w:rFonts w:ascii="Open Sans" w:hAnsi="Open Sans" w:cs="Arial"/>
          <w:sz w:val="20"/>
          <w:szCs w:val="20"/>
          <w:u w:val="single"/>
        </w:rPr>
      </w:pPr>
    </w:p>
    <w:p w14:paraId="43F5D338" w14:textId="77777777" w:rsidR="004F7C2D" w:rsidRPr="00EF5CC5" w:rsidRDefault="004F7C2D" w:rsidP="004F7C2D">
      <w:pPr>
        <w:jc w:val="both"/>
        <w:rPr>
          <w:rFonts w:ascii="Open Sans" w:hAnsi="Open Sans" w:cs="Arial"/>
          <w:sz w:val="20"/>
          <w:szCs w:val="20"/>
          <w:u w:val="single"/>
        </w:rPr>
      </w:pPr>
      <w:r w:rsidRPr="00EF5CC5">
        <w:rPr>
          <w:rFonts w:ascii="Open Sans" w:hAnsi="Open Sans" w:cs="Arial"/>
          <w:sz w:val="20"/>
          <w:szCs w:val="20"/>
          <w:u w:val="single"/>
        </w:rPr>
        <w:t>Documentos incluidos en el análisis</w:t>
      </w:r>
    </w:p>
    <w:p w14:paraId="48B4D646" w14:textId="77777777" w:rsidR="004F7C2D" w:rsidRPr="00EF5CC5" w:rsidRDefault="004F7C2D" w:rsidP="004F7C2D">
      <w:pPr>
        <w:ind w:firstLine="709"/>
        <w:jc w:val="both"/>
        <w:rPr>
          <w:rFonts w:ascii="Open Sans" w:hAnsi="Open Sans" w:cs="Arial"/>
          <w:sz w:val="20"/>
          <w:szCs w:val="20"/>
        </w:rPr>
      </w:pPr>
    </w:p>
    <w:p w14:paraId="5C8D077B"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Para el análisis de la calidad de la información relacionada con fiscalidad de la empresa, se ha tenido en cuenta la información contenida en la siguiente documentación:</w:t>
      </w:r>
    </w:p>
    <w:p w14:paraId="2964E189" w14:textId="77777777" w:rsidR="004F7C2D" w:rsidRPr="00EF5CC5" w:rsidRDefault="004F7C2D" w:rsidP="004F7C2D">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4F7C2D" w:rsidRPr="00EF5CC5" w14:paraId="7296A322" w14:textId="77777777" w:rsidTr="00F32F9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1E2D152C" w14:textId="77777777" w:rsidR="004F7C2D" w:rsidRPr="00EF5CC5" w:rsidRDefault="004F7C2D" w:rsidP="00F32F9C">
            <w:pPr>
              <w:jc w:val="center"/>
              <w:rPr>
                <w:rFonts w:ascii="Open Sans" w:hAnsi="Open Sans" w:cs="Arial"/>
                <w:b/>
                <w:sz w:val="20"/>
                <w:szCs w:val="22"/>
              </w:rPr>
            </w:pPr>
            <w:r w:rsidRPr="00EF5CC5">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291E8A4" w14:textId="77777777" w:rsidR="004F7C2D" w:rsidRPr="00EF5CC5" w:rsidRDefault="004F7C2D" w:rsidP="00F32F9C">
            <w:pPr>
              <w:jc w:val="center"/>
              <w:rPr>
                <w:rFonts w:ascii="Open Sans" w:hAnsi="Open Sans" w:cs="Arial"/>
                <w:b/>
                <w:sz w:val="20"/>
                <w:szCs w:val="22"/>
              </w:rPr>
            </w:pPr>
            <w:r w:rsidRPr="00EF5CC5">
              <w:rPr>
                <w:rFonts w:ascii="Open Sans" w:hAnsi="Open Sans" w:cs="Arial"/>
                <w:b/>
                <w:sz w:val="20"/>
                <w:szCs w:val="22"/>
              </w:rPr>
              <w:t>OBSERVACIONES</w:t>
            </w:r>
          </w:p>
        </w:tc>
      </w:tr>
      <w:tr w:rsidR="004F7C2D" w:rsidRPr="00EF5CC5" w14:paraId="3754ACF5" w14:textId="77777777" w:rsidTr="00F32F9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7FD3B1A"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Informe de Progreso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8D10FB6" w14:textId="77777777" w:rsidR="004F7C2D" w:rsidRPr="00EF5CC5" w:rsidRDefault="004F7C2D" w:rsidP="00F32F9C">
            <w:pPr>
              <w:jc w:val="both"/>
              <w:rPr>
                <w:rFonts w:ascii="Open Sans" w:eastAsia="Arial Unicode MS" w:hAnsi="Open Sans" w:cs="Arial"/>
                <w:sz w:val="22"/>
                <w:szCs w:val="22"/>
              </w:rPr>
            </w:pPr>
          </w:p>
        </w:tc>
      </w:tr>
      <w:tr w:rsidR="004F7C2D" w:rsidRPr="00EF5CC5" w14:paraId="120338C0" w14:textId="77777777" w:rsidTr="00F32F9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67C05CD"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Informe anual de gobierno corporativo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EF7584D" w14:textId="77777777" w:rsidR="004F7C2D" w:rsidRPr="00EF5CC5" w:rsidRDefault="004F7C2D" w:rsidP="00F32F9C">
            <w:pPr>
              <w:jc w:val="both"/>
              <w:rPr>
                <w:rFonts w:ascii="Open Sans" w:eastAsia="Arial Unicode MS" w:hAnsi="Open Sans" w:cs="Arial"/>
                <w:sz w:val="22"/>
                <w:szCs w:val="22"/>
              </w:rPr>
            </w:pPr>
          </w:p>
        </w:tc>
      </w:tr>
      <w:tr w:rsidR="004F7C2D" w:rsidRPr="00EF5CC5" w14:paraId="34E5E7C5" w14:textId="77777777" w:rsidTr="00F32F9C">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0A4C8C3"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Cuentas Anuales consolidadas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CB69E5B" w14:textId="77777777" w:rsidR="004F7C2D" w:rsidRPr="00EF5CC5" w:rsidRDefault="004F7C2D" w:rsidP="00F32F9C">
            <w:pPr>
              <w:jc w:val="both"/>
              <w:rPr>
                <w:rFonts w:ascii="Open Sans" w:eastAsia="Arial Unicode MS" w:hAnsi="Open Sans" w:cs="Arial"/>
                <w:sz w:val="22"/>
                <w:szCs w:val="22"/>
              </w:rPr>
            </w:pPr>
          </w:p>
        </w:tc>
      </w:tr>
      <w:tr w:rsidR="004F7C2D" w:rsidRPr="00EF5CC5" w14:paraId="19E0B76D" w14:textId="77777777" w:rsidTr="00F32F9C">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72F93AD1" w14:textId="77777777" w:rsidR="004F7C2D" w:rsidRPr="00EF5CC5" w:rsidRDefault="004F7C2D" w:rsidP="00F32F9C">
            <w:pPr>
              <w:jc w:val="both"/>
              <w:rPr>
                <w:rFonts w:ascii="Open Sans" w:hAnsi="Open Sans" w:cs="Tahoma"/>
                <w:sz w:val="20"/>
                <w:szCs w:val="22"/>
              </w:rPr>
            </w:pPr>
            <w:r w:rsidRPr="00EF5CC5">
              <w:rPr>
                <w:rFonts w:ascii="Open Sans" w:hAnsi="Open Sans" w:cs="Tahoma"/>
                <w:sz w:val="20"/>
                <w:szCs w:val="22"/>
              </w:rPr>
              <w:t>Código de Conducta</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5E52645A" w14:textId="77777777" w:rsidR="004F7C2D" w:rsidRPr="00EF5CC5" w:rsidRDefault="004F7C2D" w:rsidP="00F32F9C">
            <w:pPr>
              <w:jc w:val="both"/>
              <w:rPr>
                <w:rFonts w:ascii="Open Sans" w:eastAsia="Arial Unicode MS" w:hAnsi="Open Sans" w:cs="Arial"/>
                <w:sz w:val="22"/>
                <w:szCs w:val="22"/>
              </w:rPr>
            </w:pPr>
          </w:p>
        </w:tc>
      </w:tr>
      <w:tr w:rsidR="004F7C2D" w:rsidRPr="00EF5CC5" w14:paraId="0EFC7B28" w14:textId="77777777" w:rsidTr="00F32F9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CE98532" w14:textId="77777777" w:rsidR="004F7C2D" w:rsidRPr="00EF5CC5" w:rsidRDefault="004F7C2D" w:rsidP="00F32F9C">
            <w:pPr>
              <w:jc w:val="both"/>
              <w:rPr>
                <w:rFonts w:ascii="Open Sans" w:hAnsi="Open Sans" w:cs="Tahoma"/>
                <w:sz w:val="22"/>
                <w:szCs w:val="22"/>
              </w:rPr>
            </w:pPr>
            <w:r w:rsidRPr="00EF5CC5">
              <w:rPr>
                <w:rFonts w:ascii="Open Sans" w:hAnsi="Open Sans" w:cs="Tahoma"/>
                <w:sz w:val="20"/>
                <w:szCs w:val="22"/>
              </w:rPr>
              <w:t>Resultados Anuales (2015)</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05A7BCA3" w14:textId="77777777" w:rsidR="004F7C2D" w:rsidRPr="00EF5CC5" w:rsidRDefault="004F7C2D" w:rsidP="00F32F9C">
            <w:pPr>
              <w:jc w:val="both"/>
              <w:rPr>
                <w:rFonts w:ascii="Open Sans" w:eastAsia="Arial Unicode MS" w:hAnsi="Open Sans" w:cs="Arial"/>
                <w:sz w:val="22"/>
                <w:szCs w:val="22"/>
              </w:rPr>
            </w:pPr>
          </w:p>
        </w:tc>
      </w:tr>
    </w:tbl>
    <w:p w14:paraId="070D5B04" w14:textId="77777777" w:rsidR="004F7C2D" w:rsidRPr="00EF5CC5" w:rsidRDefault="004F7C2D" w:rsidP="004F7C2D">
      <w:pPr>
        <w:jc w:val="both"/>
        <w:rPr>
          <w:rFonts w:ascii="Open Sans" w:hAnsi="Open Sans" w:cs="Arial"/>
          <w:b/>
        </w:rPr>
      </w:pPr>
    </w:p>
    <w:p w14:paraId="266965BF" w14:textId="77777777" w:rsidR="004F7C2D" w:rsidRPr="00EF5CC5" w:rsidRDefault="004F7C2D" w:rsidP="004F7C2D">
      <w:pPr>
        <w:jc w:val="both"/>
        <w:rPr>
          <w:rFonts w:ascii="Open Sans" w:hAnsi="Open Sans" w:cs="Arial"/>
          <w:b/>
        </w:rPr>
      </w:pPr>
    </w:p>
    <w:p w14:paraId="34711A31" w14:textId="77777777" w:rsidR="004F7C2D" w:rsidRPr="00EF5CC5" w:rsidRDefault="004F7C2D" w:rsidP="004F7C2D">
      <w:pPr>
        <w:jc w:val="both"/>
        <w:rPr>
          <w:rFonts w:ascii="Open Sans" w:hAnsi="Open Sans" w:cs="Arial"/>
          <w:b/>
          <w:sz w:val="22"/>
          <w:szCs w:val="22"/>
          <w:u w:val="single"/>
        </w:rPr>
      </w:pPr>
      <w:r w:rsidRPr="00EF5CC5">
        <w:rPr>
          <w:rFonts w:ascii="Open Sans" w:hAnsi="Open Sans" w:cs="Arial"/>
          <w:b/>
          <w:sz w:val="22"/>
          <w:szCs w:val="22"/>
          <w:u w:val="single"/>
        </w:rPr>
        <w:t>2. Tablas de resultados</w:t>
      </w:r>
    </w:p>
    <w:p w14:paraId="7206A06A" w14:textId="77777777" w:rsidR="004F7C2D" w:rsidRPr="00EF5CC5" w:rsidRDefault="004F7C2D" w:rsidP="004F7C2D">
      <w:pPr>
        <w:jc w:val="center"/>
        <w:rPr>
          <w:rFonts w:ascii="Open Sans" w:hAnsi="Open Sans" w:cs="Arial"/>
          <w:b/>
          <w:color w:val="FF0000"/>
          <w:sz w:val="22"/>
          <w:szCs w:val="22"/>
        </w:rPr>
      </w:pPr>
    </w:p>
    <w:p w14:paraId="034501D1" w14:textId="77777777" w:rsidR="004F7C2D" w:rsidRPr="00EF5CC5" w:rsidRDefault="004F7C2D" w:rsidP="004F7C2D">
      <w:pPr>
        <w:jc w:val="center"/>
        <w:rPr>
          <w:rFonts w:ascii="Open Sans" w:hAnsi="Open Sans" w:cs="Arial"/>
          <w:b/>
          <w:color w:val="FF0000"/>
          <w:sz w:val="22"/>
          <w:szCs w:val="22"/>
        </w:rPr>
      </w:pPr>
    </w:p>
    <w:p w14:paraId="0963536B" w14:textId="77777777" w:rsidR="004F7C2D" w:rsidRPr="00EF5CC5" w:rsidRDefault="004F7C2D" w:rsidP="004F7C2D">
      <w:pPr>
        <w:jc w:val="center"/>
        <w:rPr>
          <w:rFonts w:ascii="Open Sans" w:hAnsi="Open Sans" w:cs="Arial"/>
          <w:b/>
          <w:sz w:val="20"/>
          <w:szCs w:val="20"/>
          <w:u w:val="single"/>
        </w:rPr>
      </w:pPr>
      <w:r w:rsidRPr="00EF5CC5">
        <w:rPr>
          <w:rFonts w:ascii="Open Sans" w:hAnsi="Open Sans" w:cs="Arial"/>
          <w:b/>
          <w:sz w:val="20"/>
          <w:szCs w:val="20"/>
          <w:u w:val="single"/>
        </w:rPr>
        <w:t>TABLA 1: Valoraciones por dimensión</w:t>
      </w:r>
    </w:p>
    <w:p w14:paraId="4283F4F5" w14:textId="77777777" w:rsidR="004F7C2D" w:rsidRPr="00EF5CC5" w:rsidRDefault="004F7C2D" w:rsidP="004F7C2D">
      <w:pPr>
        <w:jc w:val="center"/>
        <w:rPr>
          <w:rFonts w:ascii="Open Sans" w:hAnsi="Open Sans" w:cs="Arial"/>
          <w:b/>
          <w:color w:val="FF0000"/>
          <w:sz w:val="22"/>
          <w:szCs w:val="22"/>
        </w:rPr>
      </w:pPr>
    </w:p>
    <w:p w14:paraId="5B59379B" w14:textId="77777777" w:rsidR="004F7C2D" w:rsidRPr="00EF5CC5" w:rsidRDefault="004F7C2D" w:rsidP="004F7C2D">
      <w:pPr>
        <w:jc w:val="center"/>
        <w:rPr>
          <w:rFonts w:ascii="Open Sans" w:hAnsi="Open Sans" w:cs="Arial"/>
          <w:b/>
        </w:rPr>
      </w:pPr>
      <w:r w:rsidRPr="00EF5CC5">
        <w:rPr>
          <w:rFonts w:ascii="Open Sans" w:hAnsi="Open Sans" w:cs="Arial"/>
          <w:b/>
          <w:noProof/>
          <w:lang w:val="es-ES"/>
        </w:rPr>
        <w:drawing>
          <wp:inline distT="0" distB="0" distL="0" distR="0" wp14:anchorId="34D71862" wp14:editId="3ACF341B">
            <wp:extent cx="3688080" cy="185928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08B71359" w14:textId="77777777" w:rsidR="004F7C2D" w:rsidRPr="00EF5CC5" w:rsidRDefault="004F7C2D" w:rsidP="004F7C2D">
      <w:pPr>
        <w:jc w:val="center"/>
        <w:rPr>
          <w:rFonts w:ascii="Open Sans" w:hAnsi="Open Sans" w:cs="Arial"/>
          <w:b/>
        </w:rPr>
      </w:pPr>
    </w:p>
    <w:p w14:paraId="726DEF3B" w14:textId="77777777" w:rsidR="004F7C2D" w:rsidRDefault="004F7C2D" w:rsidP="004F7C2D">
      <w:pPr>
        <w:jc w:val="center"/>
        <w:rPr>
          <w:rFonts w:ascii="Open Sans" w:hAnsi="Open Sans" w:cs="Arial"/>
          <w:b/>
        </w:rPr>
      </w:pPr>
    </w:p>
    <w:p w14:paraId="12F3343B" w14:textId="77777777" w:rsidR="004F7C2D" w:rsidRPr="00EF5CC5" w:rsidRDefault="004F7C2D" w:rsidP="004F7C2D">
      <w:pPr>
        <w:jc w:val="center"/>
        <w:rPr>
          <w:rFonts w:ascii="Open Sans" w:hAnsi="Open Sans" w:cs="Arial"/>
          <w:b/>
        </w:rPr>
      </w:pPr>
    </w:p>
    <w:p w14:paraId="7E7FA995" w14:textId="77777777" w:rsidR="004F7C2D" w:rsidRPr="00EF5CC5" w:rsidRDefault="004F7C2D" w:rsidP="004F7C2D">
      <w:pPr>
        <w:jc w:val="both"/>
        <w:rPr>
          <w:rFonts w:ascii="Open Sans" w:hAnsi="Open Sans" w:cs="Arial"/>
          <w:b/>
          <w:sz w:val="22"/>
          <w:szCs w:val="22"/>
        </w:rPr>
      </w:pPr>
      <w:r w:rsidRPr="00EF5CC5">
        <w:rPr>
          <w:rFonts w:ascii="Open Sans" w:hAnsi="Open Sans" w:cs="Arial"/>
          <w:b/>
          <w:sz w:val="22"/>
          <w:szCs w:val="22"/>
          <w:u w:val="single"/>
        </w:rPr>
        <w:t>3. Contexto general</w:t>
      </w:r>
    </w:p>
    <w:p w14:paraId="0299C2C7" w14:textId="77777777" w:rsidR="004F7C2D" w:rsidRPr="00EF5CC5" w:rsidRDefault="004F7C2D" w:rsidP="004F7C2D">
      <w:pPr>
        <w:jc w:val="both"/>
        <w:rPr>
          <w:rFonts w:ascii="Open Sans" w:hAnsi="Open Sans" w:cs="Arial"/>
          <w:b/>
        </w:rPr>
      </w:pPr>
    </w:p>
    <w:p w14:paraId="5FD1F354"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rPr>
        <w:t xml:space="preserve">Atendiendo al informe de progreso de TR, los resultados del ejercicio 2015 han estado marcados por el alcance de 6.662 millones de euros en adjudicaciones, contando con un aumento significativo de proyectos adjudicados en el área de gas, lo que le ha permitido elevar su cartera hasta los 12.136 millones de euros y mantener una cifra de ingresos ordinarios de 4.188 millones de euros. </w:t>
      </w:r>
    </w:p>
    <w:p w14:paraId="1470CFB6" w14:textId="77777777" w:rsidR="004F7C2D" w:rsidRPr="00EF5CC5" w:rsidRDefault="004F7C2D" w:rsidP="004F7C2D">
      <w:pPr>
        <w:autoSpaceDE w:val="0"/>
        <w:autoSpaceDN w:val="0"/>
        <w:adjustRightInd w:val="0"/>
        <w:jc w:val="both"/>
        <w:rPr>
          <w:rFonts w:ascii="Open Sans" w:eastAsia="OpenSans" w:hAnsi="Open Sans" w:cs="Open Sans"/>
          <w:sz w:val="20"/>
          <w:szCs w:val="20"/>
        </w:rPr>
      </w:pPr>
    </w:p>
    <w:p w14:paraId="46DD3CB4"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rPr>
        <w:t>Las líneas de negocio de TR se clasifican en Petróleo y gas, Energía e Infraestructuras, señalando de cada una de ellas los siguientes hitos:</w:t>
      </w:r>
    </w:p>
    <w:p w14:paraId="306E9916" w14:textId="77777777" w:rsidR="004F7C2D" w:rsidRPr="00EF5CC5" w:rsidRDefault="004F7C2D" w:rsidP="004F7C2D">
      <w:pPr>
        <w:autoSpaceDE w:val="0"/>
        <w:autoSpaceDN w:val="0"/>
        <w:adjustRightInd w:val="0"/>
        <w:jc w:val="both"/>
        <w:rPr>
          <w:rFonts w:ascii="Open Sans" w:eastAsia="OpenSans" w:hAnsi="Open Sans" w:cs="Open Sans"/>
          <w:sz w:val="20"/>
          <w:szCs w:val="20"/>
        </w:rPr>
      </w:pPr>
    </w:p>
    <w:p w14:paraId="1DF3B6B6"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u w:val="single"/>
        </w:rPr>
        <w:t>Petróleo y gas</w:t>
      </w:r>
      <w:r w:rsidRPr="00EF5CC5">
        <w:rPr>
          <w:rFonts w:ascii="Open Sans" w:eastAsia="OpenSans" w:hAnsi="Open Sans" w:cs="Open Sans"/>
          <w:sz w:val="20"/>
          <w:szCs w:val="20"/>
        </w:rPr>
        <w:t>: la caída de los precios del petróleo iniciada en 2014 ha tenido sus consecuencias en la cadena de valor de la empresa, repercutiendo con retrasos o cancelaciones de proyectos concretos, incluso en la desinversión en activos de algunos contratistas. Asimismo, los sobrecostes en los que incurrió en el proyecto de Canadá, provocaron un fuerte deterioro del beneficio del Grupo, situando al resultado operativo de éste en los 82 millones de euros. A ello se suma la entrada en vigor en enero de 2015 de la normativa fiscal que modificaba el tratamiento impositivo de las UTES a través de las cuales TR opera en el extranjero, lo que ha supuesto un incremento de costes fiscales para el grupo.</w:t>
      </w:r>
    </w:p>
    <w:p w14:paraId="29B5362A" w14:textId="77777777" w:rsidR="004F7C2D" w:rsidRPr="00EF5CC5" w:rsidRDefault="004F7C2D" w:rsidP="004F7C2D">
      <w:pPr>
        <w:autoSpaceDE w:val="0"/>
        <w:autoSpaceDN w:val="0"/>
        <w:adjustRightInd w:val="0"/>
        <w:jc w:val="both"/>
        <w:rPr>
          <w:rFonts w:ascii="Open Sans" w:eastAsia="OpenSans" w:hAnsi="Open Sans" w:cs="Open Sans"/>
          <w:sz w:val="20"/>
          <w:szCs w:val="20"/>
        </w:rPr>
      </w:pPr>
    </w:p>
    <w:p w14:paraId="27EBBF21"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rPr>
        <w:t>Por otro lado, el Grupo experimentó un crecimiento en Oriente Medio, consiguiendo importantes adjudicaciones en países como Emiratos Árabes Unidos, Kuwait y Arabia Saudí. También firmó su primer contrato de ingeniería de detalle y suministro de equipos en Estados Unidos.</w:t>
      </w:r>
    </w:p>
    <w:p w14:paraId="1A100E9C" w14:textId="77777777" w:rsidR="004F7C2D" w:rsidRPr="00EF5CC5" w:rsidRDefault="004F7C2D" w:rsidP="004F7C2D">
      <w:pPr>
        <w:autoSpaceDE w:val="0"/>
        <w:autoSpaceDN w:val="0"/>
        <w:adjustRightInd w:val="0"/>
        <w:jc w:val="both"/>
        <w:rPr>
          <w:rFonts w:ascii="Open Sans" w:eastAsia="OpenSans" w:hAnsi="Open Sans" w:cs="Open Sans"/>
          <w:sz w:val="20"/>
          <w:szCs w:val="20"/>
        </w:rPr>
      </w:pPr>
    </w:p>
    <w:p w14:paraId="750D444B"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rPr>
        <w:t>En el ejercicio 2015, los ingresos relativos a esta actividad fueron de 3.744 millones de euros, representando el 89% de las ventas totales.</w:t>
      </w:r>
    </w:p>
    <w:p w14:paraId="1901F858" w14:textId="77777777" w:rsidR="004F7C2D" w:rsidRPr="00EF5CC5" w:rsidRDefault="004F7C2D" w:rsidP="004F7C2D">
      <w:pPr>
        <w:autoSpaceDE w:val="0"/>
        <w:autoSpaceDN w:val="0"/>
        <w:adjustRightInd w:val="0"/>
        <w:rPr>
          <w:rFonts w:ascii="Open Sans" w:eastAsia="OpenSans" w:hAnsi="Open Sans" w:cs="Open Sans"/>
          <w:sz w:val="20"/>
          <w:szCs w:val="20"/>
        </w:rPr>
      </w:pPr>
    </w:p>
    <w:p w14:paraId="7BA10E9F" w14:textId="77777777" w:rsidR="004F7C2D" w:rsidRPr="00EF5CC5" w:rsidRDefault="004F7C2D" w:rsidP="004F7C2D">
      <w:pPr>
        <w:autoSpaceDE w:val="0"/>
        <w:autoSpaceDN w:val="0"/>
        <w:adjustRightInd w:val="0"/>
        <w:rPr>
          <w:rFonts w:ascii="Open Sans" w:eastAsia="OpenSans" w:hAnsi="Open Sans" w:cs="Open Sans"/>
          <w:sz w:val="20"/>
          <w:szCs w:val="20"/>
        </w:rPr>
      </w:pPr>
      <w:r w:rsidRPr="00EF5CC5">
        <w:rPr>
          <w:rFonts w:ascii="Open Sans" w:eastAsia="OpenSans" w:hAnsi="Open Sans" w:cs="Open Sans"/>
          <w:sz w:val="20"/>
          <w:szCs w:val="20"/>
          <w:u w:val="single"/>
        </w:rPr>
        <w:t>Energía</w:t>
      </w:r>
      <w:r w:rsidRPr="00EF5CC5">
        <w:rPr>
          <w:rFonts w:ascii="Open Sans" w:eastAsia="OpenSans" w:hAnsi="Open Sans" w:cs="Open Sans"/>
          <w:sz w:val="20"/>
          <w:szCs w:val="20"/>
        </w:rPr>
        <w:t>: Los ingresos de esta línea de negocio alcanzaron los 320 millones de euros, un 130% superior respecto al ejercicio 2014, debido a la elevada contratación conseguida en 2014. Esta actividad ha supuesto un 8% de las ventas totales del Grupo.</w:t>
      </w:r>
    </w:p>
    <w:p w14:paraId="6CBAF4FA" w14:textId="77777777" w:rsidR="004F7C2D" w:rsidRPr="00EF5CC5" w:rsidRDefault="004F7C2D" w:rsidP="004F7C2D">
      <w:pPr>
        <w:autoSpaceDE w:val="0"/>
        <w:autoSpaceDN w:val="0"/>
        <w:adjustRightInd w:val="0"/>
        <w:rPr>
          <w:rFonts w:ascii="Open Sans" w:eastAsia="OpenSans" w:hAnsi="Open Sans" w:cs="Open Sans"/>
          <w:sz w:val="20"/>
          <w:szCs w:val="20"/>
        </w:rPr>
      </w:pPr>
    </w:p>
    <w:p w14:paraId="5B55078A"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rPr>
        <w:t>Cabe señalar que TR ha continuado prestando servicios de ingeniería de apoyo a la explotación a las centrales nucleares en operación en España, así como en diversos proyectos nucleares fuera del país.</w:t>
      </w:r>
    </w:p>
    <w:p w14:paraId="680F288D" w14:textId="77777777" w:rsidR="004F7C2D" w:rsidRPr="00EF5CC5" w:rsidRDefault="004F7C2D" w:rsidP="004F7C2D">
      <w:pPr>
        <w:autoSpaceDE w:val="0"/>
        <w:autoSpaceDN w:val="0"/>
        <w:adjustRightInd w:val="0"/>
        <w:rPr>
          <w:rFonts w:ascii="Open Sans" w:eastAsia="OpenSans" w:hAnsi="Open Sans" w:cs="Open Sans"/>
          <w:sz w:val="20"/>
          <w:szCs w:val="20"/>
        </w:rPr>
      </w:pPr>
    </w:p>
    <w:p w14:paraId="289386E3"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u w:val="single"/>
        </w:rPr>
        <w:t>Infraestructuras</w:t>
      </w:r>
      <w:r w:rsidRPr="00EF5CC5">
        <w:rPr>
          <w:rFonts w:ascii="Open Sans" w:eastAsia="OpenSans" w:hAnsi="Open Sans" w:cs="Open Sans"/>
          <w:sz w:val="20"/>
          <w:szCs w:val="20"/>
        </w:rPr>
        <w:t>: Según afirma la empresa en sus cuentas anuales consolidadas, el crecimiento del sector de infraestructuras en España se encuentra limitado por la contención de los planes de inversión de las Administraciones Públicas. A pesar de dicho límite, TR desarrolla proyectos relacionados con aeropuertos, transportes, instalaciones industriales, comerciales y deportivas.</w:t>
      </w:r>
    </w:p>
    <w:p w14:paraId="3EAA67E4" w14:textId="77777777" w:rsidR="004F7C2D" w:rsidRPr="00EF5CC5" w:rsidRDefault="004F7C2D" w:rsidP="004F7C2D">
      <w:pPr>
        <w:autoSpaceDE w:val="0"/>
        <w:autoSpaceDN w:val="0"/>
        <w:adjustRightInd w:val="0"/>
        <w:rPr>
          <w:rFonts w:ascii="Open Sans" w:eastAsia="OpenSans" w:hAnsi="Open Sans" w:cs="Open Sans"/>
          <w:sz w:val="20"/>
          <w:szCs w:val="20"/>
        </w:rPr>
      </w:pPr>
    </w:p>
    <w:p w14:paraId="2A605CDD" w14:textId="77777777" w:rsidR="004F7C2D" w:rsidRPr="00EF5CC5" w:rsidRDefault="004F7C2D" w:rsidP="004F7C2D">
      <w:pPr>
        <w:autoSpaceDE w:val="0"/>
        <w:autoSpaceDN w:val="0"/>
        <w:adjustRightInd w:val="0"/>
        <w:jc w:val="both"/>
        <w:rPr>
          <w:rFonts w:ascii="Open Sans" w:eastAsia="OpenSans" w:hAnsi="Open Sans" w:cs="Open Sans"/>
          <w:sz w:val="20"/>
          <w:szCs w:val="20"/>
        </w:rPr>
      </w:pPr>
      <w:r w:rsidRPr="00EF5CC5">
        <w:rPr>
          <w:rFonts w:ascii="Open Sans" w:eastAsia="OpenSans" w:hAnsi="Open Sans" w:cs="Open Sans"/>
          <w:sz w:val="20"/>
          <w:szCs w:val="20"/>
        </w:rPr>
        <w:t>Si la diversificación en actividades del Grupo se hace presente en líneas anteriores, ésta también es reseñable en cuanto a la presencia por país, encontrándose operativo en 37 países algunos de ellos clasificados como de alto o extremo riesgo en relación a una serie de dimensiones fundamentales en relación a la gestión de la RSC, tales como el medio ambiente, los derechos humanos y laborales, gobernanza y fiscalidad. Algunos de ellos son Arabia Saudí, Bangladesh, China, Emiratos Árabes Unidos, India, Kuwait, Malasia, Omán, Vietnam, Argelia, Egipto, Bolivia, México, Perú, República Dominicana, Venezuela, Rusia y Turquía.</w:t>
      </w:r>
    </w:p>
    <w:p w14:paraId="4DD74541" w14:textId="77777777" w:rsidR="004F7C2D" w:rsidRPr="00EF5CC5" w:rsidRDefault="004F7C2D" w:rsidP="004F7C2D">
      <w:pPr>
        <w:autoSpaceDE w:val="0"/>
        <w:autoSpaceDN w:val="0"/>
        <w:adjustRightInd w:val="0"/>
        <w:rPr>
          <w:rFonts w:ascii="Open Sans" w:eastAsia="OpenSans" w:hAnsi="Open Sans" w:cs="Open Sans"/>
          <w:sz w:val="20"/>
          <w:szCs w:val="20"/>
        </w:rPr>
      </w:pPr>
    </w:p>
    <w:p w14:paraId="5688A694" w14:textId="77777777" w:rsidR="004F7C2D" w:rsidRPr="00EF5CC5" w:rsidRDefault="004F7C2D" w:rsidP="004F7C2D">
      <w:pPr>
        <w:pStyle w:val="WW-Predeterminado"/>
        <w:jc w:val="both"/>
        <w:rPr>
          <w:rFonts w:ascii="Open Sans" w:hAnsi="Open Sans" w:cs="Open Sans"/>
          <w:highlight w:val="yellow"/>
        </w:rPr>
      </w:pPr>
      <w:r w:rsidRPr="00EF5CC5">
        <w:rPr>
          <w:rFonts w:ascii="Open Sans" w:eastAsia="OpenSans" w:hAnsi="Open Sans" w:cs="Open Sans"/>
        </w:rPr>
        <w:t>Esta diversificación expone al grupo a diferentes legislaciones y niveles de riesgo, ya sea desde el punto de vista económico, social, medioambiental y/o fiscal.</w:t>
      </w:r>
    </w:p>
    <w:p w14:paraId="536B5F0B" w14:textId="77777777" w:rsidR="004F7C2D" w:rsidRPr="00EF5CC5" w:rsidRDefault="004F7C2D" w:rsidP="004F7C2D">
      <w:pPr>
        <w:pStyle w:val="WW-Predeterminado"/>
        <w:jc w:val="both"/>
        <w:rPr>
          <w:rFonts w:ascii="Open Sans" w:eastAsia="OpenSans" w:hAnsi="Open Sans" w:cs="Open Sans"/>
          <w:highlight w:val="yellow"/>
        </w:rPr>
      </w:pPr>
    </w:p>
    <w:p w14:paraId="592A1CAF" w14:textId="77777777" w:rsidR="004F7C2D" w:rsidRPr="00EF5CC5" w:rsidRDefault="004F7C2D" w:rsidP="004F7C2D">
      <w:pPr>
        <w:pStyle w:val="WW-Predeterminado"/>
        <w:jc w:val="both"/>
        <w:rPr>
          <w:rFonts w:ascii="Open Sans" w:eastAsia="OpenSans" w:hAnsi="Open Sans" w:cs="Open Sans"/>
        </w:rPr>
      </w:pPr>
      <w:r w:rsidRPr="00EF5CC5">
        <w:rPr>
          <w:rFonts w:ascii="Open Sans" w:eastAsia="OpenSans" w:hAnsi="Open Sans" w:cs="Open Sans"/>
        </w:rPr>
        <w:t>Según el Informe de progreso y las Cuentas anuales consolidadas, la plantilla del Grupo a 31 de diciembre de 2015 estaba formada por 9.215 empleados, de los cuales 5.403 son parte de la plantilla interna. De los 3.812 restantes no se dispone de información. Respecto a las 5.403 personas que componen la plantilla interna, el 34% (1.837) son mujeres. Se desconoce la distribución por actividad y país.</w:t>
      </w:r>
    </w:p>
    <w:p w14:paraId="3F9B50CC" w14:textId="77777777" w:rsidR="004F7C2D" w:rsidRPr="00EF5CC5" w:rsidRDefault="004F7C2D" w:rsidP="004F7C2D">
      <w:pPr>
        <w:pStyle w:val="WW-Predeterminado"/>
        <w:jc w:val="both"/>
        <w:rPr>
          <w:rFonts w:ascii="Open Sans" w:eastAsia="OpenSans" w:hAnsi="Open Sans" w:cs="Open Sans"/>
        </w:rPr>
      </w:pPr>
    </w:p>
    <w:p w14:paraId="4477792D" w14:textId="77777777" w:rsidR="004F7C2D" w:rsidRPr="00EF5CC5" w:rsidRDefault="004F7C2D" w:rsidP="004F7C2D">
      <w:pPr>
        <w:pStyle w:val="WW-Predeterminado"/>
        <w:jc w:val="both"/>
        <w:rPr>
          <w:rFonts w:ascii="Open Sans" w:eastAsia="OpenSans" w:hAnsi="Open Sans" w:cs="Open Sans"/>
        </w:rPr>
      </w:pPr>
      <w:r w:rsidRPr="00EF5CC5">
        <w:rPr>
          <w:rFonts w:ascii="Open Sans" w:eastAsia="OpenSans" w:hAnsi="Open Sans" w:cs="Open Sans"/>
        </w:rPr>
        <w:t>2015 ha sido el primer año en el que TR ha elaborado un Informe Integrado, a diferencia de las Memorias de Sostenibilidad publicadas en los tres años anteriores. El informe sigue las directrices del Marco Internacional del Reporte Integrado, así como los parámetros del “Global Reporting Initiative”, que ya venían siguiéndose en las anteriores Memorias de Sostenibilidad.</w:t>
      </w:r>
    </w:p>
    <w:p w14:paraId="36708FBC" w14:textId="77777777" w:rsidR="004F7C2D" w:rsidRPr="00EF5CC5" w:rsidRDefault="004F7C2D" w:rsidP="004F7C2D">
      <w:pPr>
        <w:pStyle w:val="WW-Predeterminado"/>
        <w:jc w:val="both"/>
        <w:rPr>
          <w:rFonts w:ascii="Open Sans" w:eastAsia="Calibri" w:hAnsi="Open Sans" w:cs="Roboto-Light"/>
          <w:color w:val="333E48"/>
          <w:sz w:val="18"/>
          <w:szCs w:val="18"/>
        </w:rPr>
      </w:pPr>
    </w:p>
    <w:p w14:paraId="1746F7B7"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 xml:space="preserve">El sector de la construcción ligado a obra civil tiene una íntima relación con la Administración Pública lo que implica una exposición de riesgo elevado en materia de corrupción.  </w:t>
      </w:r>
      <w:r w:rsidRPr="00EF5CC5">
        <w:rPr>
          <w:rFonts w:ascii="Open Sans" w:eastAsia="OpenSans" w:hAnsi="Open Sans" w:cs="Open Sans"/>
          <w:sz w:val="20"/>
          <w:szCs w:val="20"/>
        </w:rPr>
        <w:t>Además, en relación  a los riesgos en materia de corrupción, merece ser subrayado que la empresa opera en países en los que presenta un nivel alto de riesgo relativo a prácticas de corrupción, de inadecuado gobierno corporativo y de evasión fiscal, tales como Arabia Saudita, China, Omán, Argelia, Egipto, Bolivia, México, Panamá, Grecia, Rusia y Turquía</w:t>
      </w:r>
      <w:r w:rsidRPr="00EF5CC5">
        <w:rPr>
          <w:rStyle w:val="Refdenotaalpie"/>
          <w:rFonts w:ascii="Open Sans" w:eastAsia="OpenSans" w:hAnsi="Open Sans" w:cs="Open Sans"/>
          <w:sz w:val="20"/>
          <w:szCs w:val="20"/>
        </w:rPr>
        <w:footnoteReference w:id="376"/>
      </w:r>
      <w:r w:rsidRPr="00EF5CC5">
        <w:rPr>
          <w:rFonts w:ascii="Open Sans" w:eastAsia="OpenSans" w:hAnsi="Open Sans" w:cs="Open Sans"/>
          <w:sz w:val="20"/>
          <w:szCs w:val="20"/>
        </w:rPr>
        <w:t xml:space="preserve">. </w:t>
      </w:r>
    </w:p>
    <w:p w14:paraId="1899E7D9" w14:textId="77777777" w:rsidR="004F7C2D" w:rsidRPr="00EF5CC5" w:rsidRDefault="004F7C2D" w:rsidP="004F7C2D">
      <w:pPr>
        <w:pStyle w:val="WW-Predeterminado"/>
        <w:jc w:val="both"/>
        <w:rPr>
          <w:rFonts w:ascii="Open Sans" w:eastAsia="OpenSans" w:hAnsi="Open Sans" w:cs="Open Sans"/>
        </w:rPr>
      </w:pPr>
    </w:p>
    <w:p w14:paraId="6360246E" w14:textId="77777777" w:rsidR="004F7C2D" w:rsidRPr="00EF5CC5" w:rsidRDefault="004F7C2D" w:rsidP="004F7C2D">
      <w:pPr>
        <w:pStyle w:val="WW-Predeterminado"/>
        <w:jc w:val="both"/>
        <w:rPr>
          <w:rFonts w:ascii="Open Sans" w:eastAsia="OpenSans" w:hAnsi="Open Sans" w:cs="Open Sans"/>
        </w:rPr>
      </w:pPr>
      <w:r w:rsidRPr="00EF5CC5">
        <w:rPr>
          <w:rFonts w:ascii="Open Sans" w:eastAsia="OpenSans" w:hAnsi="Open Sans" w:cs="Open Sans"/>
        </w:rPr>
        <w:t>Respecto al análisis de materialidad, la empresa ha actualizado el realizado en 2014, identificando sus asuntos materiales, priorizando los asuntos relevantes y elaborando una matriz de materialidad y desarrollo de contenidos.</w:t>
      </w:r>
    </w:p>
    <w:p w14:paraId="7A627D6E" w14:textId="77777777" w:rsidR="004F7C2D" w:rsidRPr="00EF5CC5" w:rsidRDefault="004F7C2D" w:rsidP="004F7C2D">
      <w:pPr>
        <w:pStyle w:val="WW-Predeterminado"/>
        <w:jc w:val="both"/>
        <w:rPr>
          <w:rFonts w:ascii="Open Sans" w:eastAsia="OpenSans" w:hAnsi="Open Sans" w:cs="Open Sans"/>
        </w:rPr>
      </w:pPr>
    </w:p>
    <w:p w14:paraId="2F72CD43" w14:textId="77777777" w:rsidR="004F7C2D" w:rsidRPr="00EF5CC5" w:rsidRDefault="004F7C2D" w:rsidP="004F7C2D">
      <w:pPr>
        <w:pStyle w:val="WW-Predeterminado"/>
        <w:jc w:val="both"/>
        <w:rPr>
          <w:rFonts w:ascii="Open Sans" w:eastAsia="OpenSans" w:hAnsi="Open Sans" w:cs="Open Sans"/>
        </w:rPr>
      </w:pPr>
      <w:r w:rsidRPr="00EF5CC5">
        <w:rPr>
          <w:rFonts w:ascii="Open Sans" w:eastAsia="OpenSans" w:hAnsi="Open Sans" w:cs="Open Sans"/>
        </w:rPr>
        <w:t>Por otro lado, si bien en 2014 se aprobó el Código de Conducta, quedando a la espera de implantación en 2015, sigue pendiente de ser implantado por haberse pospuesto en los últimos meses para, según la empresa, “asegurar su adecuación a los cambios normativos habidos durante el ejercicio”. Asimismo, con objeto de permitir la denuncia de actividades opuestas al marco ético de la compañía, Técnicas Reunidas prevé la creación de un Canal de Denuncias cuya implantación definitiva quedará finalizada una vez se concrete la aprobación del Código de Conducta.</w:t>
      </w:r>
    </w:p>
    <w:p w14:paraId="6239572F" w14:textId="77777777" w:rsidR="004F7C2D" w:rsidRPr="00EF5CC5" w:rsidRDefault="004F7C2D" w:rsidP="004F7C2D">
      <w:pPr>
        <w:pStyle w:val="WW-Predeterminado"/>
        <w:jc w:val="both"/>
        <w:rPr>
          <w:rFonts w:ascii="Open Sans" w:hAnsi="Open Sans" w:cs="Open Sans"/>
          <w:highlight w:val="yellow"/>
        </w:rPr>
      </w:pPr>
    </w:p>
    <w:p w14:paraId="4CD289BA" w14:textId="77777777" w:rsidR="004F7C2D" w:rsidRPr="00EF5CC5" w:rsidRDefault="004F7C2D" w:rsidP="004F7C2D">
      <w:pPr>
        <w:pStyle w:val="WW-Predeterminado"/>
        <w:jc w:val="both"/>
        <w:rPr>
          <w:rFonts w:ascii="Open Sans" w:hAnsi="Open Sans" w:cs="Open Sans"/>
        </w:rPr>
      </w:pPr>
      <w:r w:rsidRPr="00EF5CC5">
        <w:rPr>
          <w:rFonts w:ascii="Open Sans" w:hAnsi="Open Sans" w:cs="Open Sans"/>
        </w:rPr>
        <w:t>En materia de fiscalidad, no se han encontrado evidencias de que TR esté adherida a ningún Código de buenas prácticas, ni de que haya cotizado en ningún índice bursátil de inversión socialmente responsable.</w:t>
      </w:r>
    </w:p>
    <w:p w14:paraId="43FA94BD" w14:textId="77777777" w:rsidR="004F7C2D" w:rsidRPr="00EF5CC5" w:rsidRDefault="004F7C2D" w:rsidP="004F7C2D">
      <w:pPr>
        <w:pStyle w:val="WW-Predeterminado"/>
        <w:jc w:val="both"/>
        <w:rPr>
          <w:rFonts w:ascii="Open Sans" w:hAnsi="Open Sans" w:cs="Open Sans"/>
        </w:rPr>
      </w:pPr>
    </w:p>
    <w:p w14:paraId="7F28ED46" w14:textId="77777777" w:rsidR="004F7C2D" w:rsidRPr="00EF5CC5" w:rsidRDefault="004F7C2D" w:rsidP="004F7C2D">
      <w:pPr>
        <w:jc w:val="both"/>
        <w:rPr>
          <w:rFonts w:ascii="Open Sans" w:hAnsi="Open Sans"/>
          <w:sz w:val="22"/>
        </w:rPr>
      </w:pPr>
    </w:p>
    <w:p w14:paraId="602395BB" w14:textId="77777777" w:rsidR="004F7C2D" w:rsidRPr="00EF5CC5" w:rsidRDefault="004F7C2D" w:rsidP="004F7C2D">
      <w:pPr>
        <w:jc w:val="both"/>
        <w:rPr>
          <w:rFonts w:ascii="Open Sans" w:hAnsi="Open Sans" w:cs="Arial"/>
          <w:b/>
          <w:sz w:val="22"/>
          <w:szCs w:val="22"/>
          <w:u w:val="single"/>
        </w:rPr>
      </w:pPr>
      <w:r w:rsidRPr="00EF5CC5">
        <w:rPr>
          <w:rFonts w:ascii="Open Sans" w:hAnsi="Open Sans" w:cs="Arial"/>
          <w:b/>
          <w:sz w:val="22"/>
          <w:szCs w:val="22"/>
          <w:u w:val="single"/>
        </w:rPr>
        <w:t>4. Análisis</w:t>
      </w:r>
    </w:p>
    <w:p w14:paraId="50341826" w14:textId="77777777" w:rsidR="004F7C2D" w:rsidRPr="00EF5CC5" w:rsidRDefault="004F7C2D" w:rsidP="004F7C2D">
      <w:pPr>
        <w:jc w:val="both"/>
        <w:rPr>
          <w:rFonts w:ascii="Open Sans" w:hAnsi="Open Sans" w:cs="Arial"/>
          <w:b/>
        </w:rPr>
      </w:pPr>
    </w:p>
    <w:p w14:paraId="798F5540"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Para el análisis de la fiscalidad de TR, desde el punto de vista de la responsabilidad social, no sólo es necesario detenerse en la existencia de una política fiscal propia o el cumplimiento de las obligaciones fiscales del grupo, sino que también se han considerado aspectos como la presencia territorial en paraísos y nichos fiscales tanto de la matriz, como de las filiales y empresas participadas. Carecería de rigor aplicar el apelativo de “empresa responsable” a aquella que practicara estrategias de elusión fiscal que, no siendo ilegales en sí mismas, pondría de manifiesto una incoherencia con el concepto de responsabilidad, al no estar contribuyendo a través del pago de impuestos, al país en el que desarrolla su actividad.</w:t>
      </w:r>
    </w:p>
    <w:p w14:paraId="0AC6643A"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 xml:space="preserve"> </w:t>
      </w:r>
    </w:p>
    <w:p w14:paraId="77FFAECD"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No se han encontrado evidencias de que exista una política fiscal por parte de TR. En su Informe anual de Gobierno Corporativo, la empresa se limita a enunciar que "</w:t>
      </w:r>
      <w:r w:rsidRPr="00EF5CC5">
        <w:rPr>
          <w:rFonts w:ascii="Open Sans" w:hAnsi="Open Sans" w:cs="Arial"/>
          <w:i/>
          <w:sz w:val="20"/>
          <w:szCs w:val="20"/>
        </w:rPr>
        <w:t>El Grupo dispone de procedimientos y controles sobre las actividades y procesos que cubren las principales transacciones que puedan afectar a sus estados financieros, incluyendo fiscalidad</w:t>
      </w:r>
      <w:r w:rsidRPr="00EF5CC5">
        <w:rPr>
          <w:rFonts w:ascii="Open Sans" w:hAnsi="Open Sans" w:cs="Arial"/>
          <w:sz w:val="20"/>
          <w:szCs w:val="20"/>
        </w:rPr>
        <w:t>”</w:t>
      </w:r>
      <w:r w:rsidRPr="00EF5CC5">
        <w:rPr>
          <w:rStyle w:val="Refdenotaalpie"/>
          <w:rFonts w:ascii="Open Sans" w:hAnsi="Open Sans" w:cs="Arial"/>
          <w:sz w:val="20"/>
          <w:szCs w:val="20"/>
        </w:rPr>
        <w:footnoteReference w:id="377"/>
      </w:r>
      <w:r w:rsidRPr="00EF5CC5">
        <w:rPr>
          <w:rFonts w:ascii="Open Sans" w:hAnsi="Open Sans" w:cs="Arial"/>
          <w:sz w:val="20"/>
          <w:szCs w:val="20"/>
        </w:rPr>
        <w:t xml:space="preserve">. Asimismo, </w:t>
      </w:r>
      <w:r w:rsidRPr="00EF5CC5">
        <w:rPr>
          <w:rFonts w:ascii="Open Sans" w:hAnsi="Open Sans" w:cs="Open Sans"/>
          <w:sz w:val="20"/>
          <w:szCs w:val="20"/>
        </w:rPr>
        <w:t>la empresa no se posiciona respecto a la presencia en paraísos y/o nichos fiscales, práctica en la que incurre.</w:t>
      </w:r>
    </w:p>
    <w:p w14:paraId="26E1F558" w14:textId="77777777" w:rsidR="004F7C2D" w:rsidRPr="00EF5CC5" w:rsidRDefault="004F7C2D" w:rsidP="004F7C2D">
      <w:pPr>
        <w:jc w:val="both"/>
        <w:rPr>
          <w:rFonts w:ascii="Open Sans" w:hAnsi="Open Sans" w:cs="Open Sans"/>
          <w:sz w:val="20"/>
          <w:szCs w:val="20"/>
        </w:rPr>
      </w:pPr>
    </w:p>
    <w:p w14:paraId="458E0902"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Según la información aportada en el Anexo I de las Cuentas Anuales sobre sociedades dependientes, se cuenta con que existe una sociedad activa ubicada en un nicho</w:t>
      </w:r>
      <w:r w:rsidRPr="00EF5CC5">
        <w:rPr>
          <w:rFonts w:ascii="Open Sans" w:hAnsi="Open Sans" w:cs="Open Sans"/>
          <w:b/>
          <w:sz w:val="20"/>
          <w:szCs w:val="20"/>
        </w:rPr>
        <w:t xml:space="preserve"> </w:t>
      </w:r>
      <w:r w:rsidRPr="00EF5CC5">
        <w:rPr>
          <w:rFonts w:ascii="Open Sans" w:hAnsi="Open Sans" w:cs="Open Sans"/>
          <w:sz w:val="20"/>
          <w:szCs w:val="20"/>
        </w:rPr>
        <w:t>fiscal y una más inactiva que, a pesar de encontrarse en dicho estado, sigue presente en las cuentas anuales del grupo, como ocurría en años anteriores. De la sociedad activa, TR cuenta con una participación del 100%, estando domiciliada en Delaware, no teniendo aparentemente actividad operativa en este emplazamiento. Asimismo no aporta dicha información en la documentación presentada por TR, sino que se limita a decir que está domiciliada en Estados Unidos y aparece como sociedad no auditada.</w:t>
      </w:r>
    </w:p>
    <w:p w14:paraId="74FC7BF9" w14:textId="77777777" w:rsidR="004F7C2D" w:rsidRPr="00EF5CC5" w:rsidRDefault="004F7C2D" w:rsidP="004F7C2D">
      <w:pPr>
        <w:jc w:val="both"/>
        <w:rPr>
          <w:rFonts w:ascii="Open Sans" w:hAnsi="Open Sans" w:cs="Open Sans"/>
          <w:sz w:val="20"/>
          <w:szCs w:val="20"/>
        </w:rPr>
      </w:pPr>
    </w:p>
    <w:p w14:paraId="152CEF07"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Existen otras empresas del grupo domiciliadas en países que según el Observatorio de RSC pueden ser considerados paraísos y/o nichos fiscales, pero donde la empresa presenta actividad, siendo el caso de República Dominicana y Arabia Saudí.</w:t>
      </w:r>
    </w:p>
    <w:p w14:paraId="77DAA4D9" w14:textId="77777777" w:rsidR="004F7C2D" w:rsidRPr="00EF5CC5" w:rsidRDefault="004F7C2D" w:rsidP="004F7C2D">
      <w:pPr>
        <w:jc w:val="both"/>
        <w:rPr>
          <w:rFonts w:ascii="Open Sans" w:hAnsi="Open Sans" w:cs="Open Sans"/>
          <w:sz w:val="20"/>
          <w:szCs w:val="20"/>
        </w:rPr>
      </w:pPr>
    </w:p>
    <w:p w14:paraId="19F319B6"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Surgen dudas en el análisis de compañías domiciliadas en Holanda, Ghana (en concreto la sociedad Técnicas Reunidas Ghana, que está participada al 100% por Técnicas Reunidas, Netherlands B.V.)</w:t>
      </w:r>
      <w:r w:rsidRPr="00EF5CC5">
        <w:rPr>
          <w:rFonts w:ascii="Open Sans" w:eastAsia="Calibri" w:hAnsi="Open Sans"/>
          <w:color w:val="000000"/>
        </w:rPr>
        <w:t xml:space="preserve"> </w:t>
      </w:r>
      <w:r w:rsidRPr="00EF5CC5">
        <w:rPr>
          <w:rFonts w:ascii="Open Sans" w:hAnsi="Open Sans" w:cs="Open Sans"/>
          <w:sz w:val="20"/>
          <w:szCs w:val="20"/>
        </w:rPr>
        <w:t>y Madeira.</w:t>
      </w:r>
    </w:p>
    <w:p w14:paraId="1E2E1EC8" w14:textId="77777777" w:rsidR="004F7C2D" w:rsidRPr="00EF5CC5" w:rsidRDefault="004F7C2D" w:rsidP="004F7C2D">
      <w:pPr>
        <w:jc w:val="both"/>
        <w:rPr>
          <w:rFonts w:ascii="Open Sans" w:hAnsi="Open Sans" w:cs="Open Sans"/>
          <w:sz w:val="20"/>
          <w:szCs w:val="20"/>
        </w:rPr>
      </w:pPr>
    </w:p>
    <w:p w14:paraId="6F959299" w14:textId="17278218"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De las empresas recogidas en la siguiente tabla, todas ellas están domiciliadas en nichos fiscales, al respecto de los cuales la Agencia Tributaria indica: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p>
    <w:p w14:paraId="5825F05E" w14:textId="77777777" w:rsidR="004F7C2D" w:rsidRPr="00EF5CC5" w:rsidRDefault="004F7C2D" w:rsidP="004F7C2D">
      <w:pPr>
        <w:jc w:val="both"/>
        <w:rPr>
          <w:rFonts w:ascii="Open Sans" w:hAnsi="Open Sans" w:cs="Open Sans"/>
          <w:sz w:val="20"/>
          <w:szCs w:val="20"/>
        </w:rPr>
      </w:pPr>
    </w:p>
    <w:tbl>
      <w:tblPr>
        <w:tblW w:w="8510" w:type="dxa"/>
        <w:tblInd w:w="65" w:type="dxa"/>
        <w:tblLayout w:type="fixed"/>
        <w:tblCellMar>
          <w:left w:w="70" w:type="dxa"/>
          <w:right w:w="70" w:type="dxa"/>
        </w:tblCellMar>
        <w:tblLook w:val="04A0" w:firstRow="1" w:lastRow="0" w:firstColumn="1" w:lastColumn="0" w:noHBand="0" w:noVBand="1"/>
      </w:tblPr>
      <w:tblGrid>
        <w:gridCol w:w="3833"/>
        <w:gridCol w:w="1984"/>
        <w:gridCol w:w="2693"/>
      </w:tblGrid>
      <w:tr w:rsidR="004F7C2D" w:rsidRPr="00EF5CC5" w14:paraId="03722F45" w14:textId="77777777" w:rsidTr="00F32F9C">
        <w:trPr>
          <w:trHeight w:val="298"/>
        </w:trPr>
        <w:tc>
          <w:tcPr>
            <w:tcW w:w="3833" w:type="dxa"/>
            <w:tcBorders>
              <w:top w:val="single" w:sz="4" w:space="0" w:color="auto"/>
              <w:left w:val="single" w:sz="4" w:space="0" w:color="auto"/>
              <w:bottom w:val="single" w:sz="4" w:space="0" w:color="auto"/>
              <w:right w:val="single" w:sz="4" w:space="0" w:color="auto"/>
            </w:tcBorders>
            <w:shd w:val="clear" w:color="000000" w:fill="C0C0C0"/>
            <w:noWrap/>
            <w:hideMark/>
          </w:tcPr>
          <w:p w14:paraId="4283187F" w14:textId="77777777" w:rsidR="004F7C2D" w:rsidRPr="00EF5CC5" w:rsidRDefault="004F7C2D" w:rsidP="00F32F9C">
            <w:pPr>
              <w:jc w:val="center"/>
              <w:rPr>
                <w:rFonts w:ascii="Open Sans" w:hAnsi="Open Sans" w:cs="Arial"/>
                <w:b/>
                <w:bCs/>
                <w:color w:val="000000"/>
                <w:sz w:val="20"/>
                <w:szCs w:val="20"/>
              </w:rPr>
            </w:pPr>
            <w:r w:rsidRPr="00EF5CC5">
              <w:rPr>
                <w:rFonts w:ascii="Open Sans" w:hAnsi="Open Sans" w:cs="Arial"/>
                <w:b/>
                <w:bCs/>
                <w:color w:val="000000"/>
                <w:sz w:val="20"/>
                <w:szCs w:val="20"/>
              </w:rPr>
              <w:t>Nombre de la Sociedad</w:t>
            </w:r>
          </w:p>
        </w:tc>
        <w:tc>
          <w:tcPr>
            <w:tcW w:w="1984" w:type="dxa"/>
            <w:tcBorders>
              <w:top w:val="single" w:sz="4" w:space="0" w:color="auto"/>
              <w:left w:val="nil"/>
              <w:bottom w:val="single" w:sz="4" w:space="0" w:color="auto"/>
              <w:right w:val="single" w:sz="4" w:space="0" w:color="auto"/>
            </w:tcBorders>
            <w:shd w:val="clear" w:color="000000" w:fill="C0C0C0"/>
            <w:noWrap/>
            <w:hideMark/>
          </w:tcPr>
          <w:p w14:paraId="3A4F8B84" w14:textId="77777777" w:rsidR="004F7C2D" w:rsidRPr="00EF5CC5" w:rsidRDefault="004F7C2D" w:rsidP="00F32F9C">
            <w:pPr>
              <w:jc w:val="center"/>
              <w:rPr>
                <w:rFonts w:ascii="Open Sans" w:hAnsi="Open Sans" w:cs="Arial"/>
                <w:b/>
                <w:bCs/>
                <w:color w:val="000000"/>
                <w:sz w:val="20"/>
                <w:szCs w:val="20"/>
              </w:rPr>
            </w:pPr>
            <w:r w:rsidRPr="00EF5CC5">
              <w:rPr>
                <w:rFonts w:ascii="Open Sans" w:hAnsi="Open Sans" w:cs="Arial"/>
                <w:b/>
                <w:bCs/>
                <w:color w:val="000000"/>
                <w:sz w:val="20"/>
                <w:szCs w:val="20"/>
              </w:rPr>
              <w:t>Jurisdicción</w:t>
            </w:r>
          </w:p>
        </w:tc>
        <w:tc>
          <w:tcPr>
            <w:tcW w:w="2693" w:type="dxa"/>
            <w:tcBorders>
              <w:top w:val="single" w:sz="4" w:space="0" w:color="auto"/>
              <w:left w:val="nil"/>
              <w:bottom w:val="single" w:sz="4" w:space="0" w:color="auto"/>
              <w:right w:val="single" w:sz="4" w:space="0" w:color="auto"/>
            </w:tcBorders>
            <w:shd w:val="clear" w:color="000000" w:fill="C0C0C0"/>
            <w:noWrap/>
            <w:hideMark/>
          </w:tcPr>
          <w:p w14:paraId="18A81674" w14:textId="77777777" w:rsidR="004F7C2D" w:rsidRPr="00EF5CC5" w:rsidRDefault="004F7C2D" w:rsidP="00F32F9C">
            <w:pPr>
              <w:jc w:val="center"/>
              <w:rPr>
                <w:rFonts w:ascii="Open Sans" w:hAnsi="Open Sans" w:cs="Arial"/>
                <w:b/>
                <w:bCs/>
                <w:color w:val="000000"/>
                <w:sz w:val="20"/>
                <w:szCs w:val="20"/>
              </w:rPr>
            </w:pPr>
            <w:r w:rsidRPr="00EF5CC5">
              <w:rPr>
                <w:rFonts w:ascii="Open Sans" w:hAnsi="Open Sans" w:cs="Arial"/>
                <w:b/>
                <w:bCs/>
                <w:color w:val="000000"/>
                <w:sz w:val="20"/>
                <w:szCs w:val="20"/>
              </w:rPr>
              <w:t>Actividad</w:t>
            </w:r>
          </w:p>
        </w:tc>
      </w:tr>
      <w:tr w:rsidR="004F7C2D" w:rsidRPr="00EF5CC5" w14:paraId="76F153EC"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hideMark/>
          </w:tcPr>
          <w:p w14:paraId="4E8C1659"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Trade Panamá, S.A.</w:t>
            </w:r>
          </w:p>
        </w:tc>
        <w:tc>
          <w:tcPr>
            <w:tcW w:w="1984" w:type="dxa"/>
            <w:tcBorders>
              <w:top w:val="nil"/>
              <w:left w:val="nil"/>
              <w:bottom w:val="single" w:sz="4" w:space="0" w:color="auto"/>
              <w:right w:val="single" w:sz="4" w:space="0" w:color="auto"/>
            </w:tcBorders>
            <w:shd w:val="clear" w:color="auto" w:fill="auto"/>
            <w:vAlign w:val="bottom"/>
          </w:tcPr>
          <w:p w14:paraId="6F423B95"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Panamá</w:t>
            </w:r>
          </w:p>
        </w:tc>
        <w:tc>
          <w:tcPr>
            <w:tcW w:w="2693" w:type="dxa"/>
            <w:tcBorders>
              <w:top w:val="nil"/>
              <w:left w:val="nil"/>
              <w:bottom w:val="single" w:sz="4" w:space="0" w:color="auto"/>
              <w:right w:val="single" w:sz="4" w:space="0" w:color="auto"/>
            </w:tcBorders>
            <w:shd w:val="clear" w:color="auto" w:fill="auto"/>
            <w:vAlign w:val="bottom"/>
          </w:tcPr>
          <w:p w14:paraId="5AF4A881"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Sociedad Inactiva</w:t>
            </w:r>
          </w:p>
        </w:tc>
      </w:tr>
      <w:tr w:rsidR="004F7C2D" w:rsidRPr="00EF5CC5" w14:paraId="71CC7D8E"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232D76A1"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Netherlands B.V.</w:t>
            </w:r>
          </w:p>
        </w:tc>
        <w:tc>
          <w:tcPr>
            <w:tcW w:w="1984" w:type="dxa"/>
            <w:tcBorders>
              <w:top w:val="nil"/>
              <w:left w:val="nil"/>
              <w:bottom w:val="single" w:sz="4" w:space="0" w:color="auto"/>
              <w:right w:val="single" w:sz="4" w:space="0" w:color="auto"/>
            </w:tcBorders>
            <w:shd w:val="clear" w:color="auto" w:fill="auto"/>
            <w:vAlign w:val="bottom"/>
          </w:tcPr>
          <w:p w14:paraId="222CB590"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Holanda</w:t>
            </w:r>
          </w:p>
        </w:tc>
        <w:tc>
          <w:tcPr>
            <w:tcW w:w="2693" w:type="dxa"/>
            <w:tcBorders>
              <w:top w:val="nil"/>
              <w:left w:val="nil"/>
              <w:bottom w:val="single" w:sz="4" w:space="0" w:color="auto"/>
              <w:right w:val="single" w:sz="4" w:space="0" w:color="auto"/>
            </w:tcBorders>
            <w:shd w:val="clear" w:color="auto" w:fill="auto"/>
            <w:vAlign w:val="bottom"/>
          </w:tcPr>
          <w:p w14:paraId="283E1C32"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300020C8"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4CF9B728"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Tecreun República Dominicana, S.R.L.</w:t>
            </w:r>
          </w:p>
        </w:tc>
        <w:tc>
          <w:tcPr>
            <w:tcW w:w="1984" w:type="dxa"/>
            <w:tcBorders>
              <w:top w:val="nil"/>
              <w:left w:val="nil"/>
              <w:bottom w:val="single" w:sz="4" w:space="0" w:color="auto"/>
              <w:right w:val="single" w:sz="4" w:space="0" w:color="auto"/>
            </w:tcBorders>
            <w:shd w:val="clear" w:color="auto" w:fill="auto"/>
            <w:vAlign w:val="bottom"/>
          </w:tcPr>
          <w:p w14:paraId="22F45C10"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República Dominicana</w:t>
            </w:r>
          </w:p>
        </w:tc>
        <w:tc>
          <w:tcPr>
            <w:tcW w:w="2693" w:type="dxa"/>
            <w:tcBorders>
              <w:top w:val="nil"/>
              <w:left w:val="nil"/>
              <w:bottom w:val="single" w:sz="4" w:space="0" w:color="auto"/>
              <w:right w:val="single" w:sz="4" w:space="0" w:color="auto"/>
            </w:tcBorders>
            <w:shd w:val="clear" w:color="auto" w:fill="auto"/>
            <w:vAlign w:val="bottom"/>
          </w:tcPr>
          <w:p w14:paraId="137CA62F"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632E6E97"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0FF66BFB"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USA L.L.C.</w:t>
            </w:r>
          </w:p>
        </w:tc>
        <w:tc>
          <w:tcPr>
            <w:tcW w:w="1984" w:type="dxa"/>
            <w:tcBorders>
              <w:top w:val="nil"/>
              <w:left w:val="nil"/>
              <w:bottom w:val="single" w:sz="4" w:space="0" w:color="auto"/>
              <w:right w:val="single" w:sz="4" w:space="0" w:color="auto"/>
            </w:tcBorders>
            <w:shd w:val="clear" w:color="auto" w:fill="auto"/>
            <w:vAlign w:val="bottom"/>
          </w:tcPr>
          <w:p w14:paraId="7B992F0E"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Delaware</w:t>
            </w:r>
          </w:p>
        </w:tc>
        <w:tc>
          <w:tcPr>
            <w:tcW w:w="2693" w:type="dxa"/>
            <w:tcBorders>
              <w:top w:val="nil"/>
              <w:left w:val="nil"/>
              <w:bottom w:val="single" w:sz="4" w:space="0" w:color="auto"/>
              <w:right w:val="single" w:sz="4" w:space="0" w:color="auto"/>
            </w:tcBorders>
            <w:shd w:val="clear" w:color="auto" w:fill="auto"/>
            <w:vAlign w:val="bottom"/>
          </w:tcPr>
          <w:p w14:paraId="3EAF391A"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259BA7A3" w14:textId="77777777" w:rsidTr="00F32F9C">
        <w:trPr>
          <w:trHeight w:val="231"/>
        </w:trPr>
        <w:tc>
          <w:tcPr>
            <w:tcW w:w="3833" w:type="dxa"/>
            <w:tcBorders>
              <w:top w:val="nil"/>
              <w:left w:val="single" w:sz="4" w:space="0" w:color="auto"/>
              <w:bottom w:val="single" w:sz="4" w:space="0" w:color="auto"/>
              <w:right w:val="single" w:sz="4" w:space="0" w:color="auto"/>
            </w:tcBorders>
            <w:shd w:val="clear" w:color="auto" w:fill="auto"/>
          </w:tcPr>
          <w:tbl>
            <w:tblPr>
              <w:tblW w:w="7032" w:type="dxa"/>
              <w:tblLayout w:type="fixed"/>
              <w:tblCellMar>
                <w:left w:w="70" w:type="dxa"/>
                <w:right w:w="70" w:type="dxa"/>
              </w:tblCellMar>
              <w:tblLook w:val="04A0" w:firstRow="1" w:lastRow="0" w:firstColumn="1" w:lastColumn="0" w:noHBand="0" w:noVBand="1"/>
            </w:tblPr>
            <w:tblGrid>
              <w:gridCol w:w="7032"/>
            </w:tblGrid>
            <w:tr w:rsidR="004F7C2D" w:rsidRPr="00EF5CC5" w14:paraId="73B74F7F" w14:textId="77777777" w:rsidTr="00F32F9C">
              <w:trPr>
                <w:trHeight w:val="315"/>
              </w:trPr>
              <w:tc>
                <w:tcPr>
                  <w:tcW w:w="7032" w:type="dxa"/>
                  <w:tcBorders>
                    <w:top w:val="nil"/>
                    <w:left w:val="nil"/>
                    <w:bottom w:val="nil"/>
                    <w:right w:val="nil"/>
                  </w:tcBorders>
                  <w:shd w:val="clear" w:color="auto" w:fill="auto"/>
                  <w:noWrap/>
                  <w:vAlign w:val="bottom"/>
                  <w:hideMark/>
                </w:tcPr>
                <w:p w14:paraId="07557006"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Gulf Ltd. - Arabia Saudí</w:t>
                  </w:r>
                </w:p>
              </w:tc>
            </w:tr>
          </w:tbl>
          <w:p w14:paraId="5A71B99D" w14:textId="77777777" w:rsidR="004F7C2D" w:rsidRPr="00EF5CC5" w:rsidRDefault="004F7C2D" w:rsidP="00F32F9C">
            <w:pPr>
              <w:rPr>
                <w:rFonts w:ascii="Open Sans" w:hAnsi="Open Sans" w:cs="Arial"/>
                <w:sz w:val="20"/>
                <w:szCs w:val="20"/>
              </w:rPr>
            </w:pPr>
          </w:p>
        </w:tc>
        <w:tc>
          <w:tcPr>
            <w:tcW w:w="1984" w:type="dxa"/>
            <w:tcBorders>
              <w:top w:val="nil"/>
              <w:left w:val="nil"/>
              <w:bottom w:val="single" w:sz="4" w:space="0" w:color="auto"/>
              <w:right w:val="single" w:sz="4" w:space="0" w:color="auto"/>
            </w:tcBorders>
            <w:shd w:val="clear" w:color="auto" w:fill="auto"/>
            <w:vAlign w:val="bottom"/>
          </w:tcPr>
          <w:p w14:paraId="57EAAD40"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Arabia Saudí</w:t>
            </w:r>
          </w:p>
        </w:tc>
        <w:tc>
          <w:tcPr>
            <w:tcW w:w="2693" w:type="dxa"/>
            <w:tcBorders>
              <w:top w:val="nil"/>
              <w:left w:val="nil"/>
              <w:bottom w:val="single" w:sz="4" w:space="0" w:color="auto"/>
              <w:right w:val="single" w:sz="4" w:space="0" w:color="auto"/>
            </w:tcBorders>
            <w:shd w:val="clear" w:color="auto" w:fill="auto"/>
            <w:vAlign w:val="bottom"/>
          </w:tcPr>
          <w:p w14:paraId="61055BB2"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3A2BDB50"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5F7AE83D"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TR Engineering LLC - Omán</w:t>
            </w:r>
          </w:p>
        </w:tc>
        <w:tc>
          <w:tcPr>
            <w:tcW w:w="1984" w:type="dxa"/>
            <w:tcBorders>
              <w:top w:val="nil"/>
              <w:left w:val="nil"/>
              <w:bottom w:val="single" w:sz="4" w:space="0" w:color="auto"/>
              <w:right w:val="single" w:sz="4" w:space="0" w:color="auto"/>
            </w:tcBorders>
            <w:shd w:val="clear" w:color="auto" w:fill="auto"/>
            <w:vAlign w:val="bottom"/>
          </w:tcPr>
          <w:p w14:paraId="092C45B4"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Omán</w:t>
            </w:r>
          </w:p>
        </w:tc>
        <w:tc>
          <w:tcPr>
            <w:tcW w:w="2693" w:type="dxa"/>
            <w:tcBorders>
              <w:top w:val="nil"/>
              <w:left w:val="nil"/>
              <w:bottom w:val="single" w:sz="4" w:space="0" w:color="auto"/>
              <w:right w:val="single" w:sz="4" w:space="0" w:color="auto"/>
            </w:tcBorders>
            <w:shd w:val="clear" w:color="auto" w:fill="auto"/>
            <w:vAlign w:val="bottom"/>
          </w:tcPr>
          <w:p w14:paraId="027AC031"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3A23DA10"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3F8958CB"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Omán LLC</w:t>
            </w:r>
          </w:p>
        </w:tc>
        <w:tc>
          <w:tcPr>
            <w:tcW w:w="1984" w:type="dxa"/>
            <w:tcBorders>
              <w:top w:val="nil"/>
              <w:left w:val="nil"/>
              <w:bottom w:val="single" w:sz="4" w:space="0" w:color="auto"/>
              <w:right w:val="single" w:sz="4" w:space="0" w:color="auto"/>
            </w:tcBorders>
            <w:shd w:val="clear" w:color="auto" w:fill="auto"/>
            <w:vAlign w:val="bottom"/>
          </w:tcPr>
          <w:p w14:paraId="13202E3A"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Omán</w:t>
            </w:r>
          </w:p>
        </w:tc>
        <w:tc>
          <w:tcPr>
            <w:tcW w:w="2693" w:type="dxa"/>
            <w:tcBorders>
              <w:top w:val="nil"/>
              <w:left w:val="nil"/>
              <w:bottom w:val="single" w:sz="4" w:space="0" w:color="auto"/>
              <w:right w:val="single" w:sz="4" w:space="0" w:color="auto"/>
            </w:tcBorders>
            <w:shd w:val="clear" w:color="auto" w:fill="auto"/>
            <w:vAlign w:val="bottom"/>
          </w:tcPr>
          <w:p w14:paraId="549A2FAD"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33530C4E"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0C7165F7"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TR Arabia Saudí LLC</w:t>
            </w:r>
          </w:p>
        </w:tc>
        <w:tc>
          <w:tcPr>
            <w:tcW w:w="1984" w:type="dxa"/>
            <w:tcBorders>
              <w:top w:val="nil"/>
              <w:left w:val="nil"/>
              <w:bottom w:val="single" w:sz="4" w:space="0" w:color="auto"/>
              <w:right w:val="single" w:sz="4" w:space="0" w:color="auto"/>
            </w:tcBorders>
            <w:shd w:val="clear" w:color="auto" w:fill="auto"/>
            <w:vAlign w:val="bottom"/>
          </w:tcPr>
          <w:p w14:paraId="75617983"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Arabia Saudí</w:t>
            </w:r>
          </w:p>
        </w:tc>
        <w:tc>
          <w:tcPr>
            <w:tcW w:w="2693" w:type="dxa"/>
            <w:tcBorders>
              <w:top w:val="nil"/>
              <w:left w:val="nil"/>
              <w:bottom w:val="single" w:sz="4" w:space="0" w:color="auto"/>
              <w:right w:val="single" w:sz="4" w:space="0" w:color="auto"/>
            </w:tcBorders>
            <w:shd w:val="clear" w:color="auto" w:fill="auto"/>
            <w:vAlign w:val="bottom"/>
          </w:tcPr>
          <w:p w14:paraId="377F8D0D"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3CE48078" w14:textId="77777777" w:rsidTr="00F32F9C">
        <w:trPr>
          <w:trHeight w:val="240"/>
        </w:trPr>
        <w:tc>
          <w:tcPr>
            <w:tcW w:w="3833" w:type="dxa"/>
            <w:tcBorders>
              <w:top w:val="nil"/>
              <w:left w:val="single" w:sz="4" w:space="0" w:color="auto"/>
              <w:bottom w:val="single" w:sz="4" w:space="0" w:color="auto"/>
              <w:right w:val="single" w:sz="4" w:space="0" w:color="auto"/>
            </w:tcBorders>
            <w:shd w:val="clear" w:color="auto" w:fill="auto"/>
          </w:tcPr>
          <w:p w14:paraId="140BEB59"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Saudia for Services and Contracting Company Limited</w:t>
            </w:r>
          </w:p>
        </w:tc>
        <w:tc>
          <w:tcPr>
            <w:tcW w:w="1984" w:type="dxa"/>
            <w:tcBorders>
              <w:top w:val="nil"/>
              <w:left w:val="nil"/>
              <w:bottom w:val="single" w:sz="4" w:space="0" w:color="auto"/>
              <w:right w:val="single" w:sz="4" w:space="0" w:color="auto"/>
            </w:tcBorders>
            <w:shd w:val="clear" w:color="auto" w:fill="auto"/>
            <w:vAlign w:val="bottom"/>
          </w:tcPr>
          <w:p w14:paraId="28507519"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Arabia Saudí</w:t>
            </w:r>
          </w:p>
        </w:tc>
        <w:tc>
          <w:tcPr>
            <w:tcW w:w="2693" w:type="dxa"/>
            <w:tcBorders>
              <w:top w:val="nil"/>
              <w:left w:val="nil"/>
              <w:bottom w:val="single" w:sz="4" w:space="0" w:color="auto"/>
              <w:right w:val="single" w:sz="4" w:space="0" w:color="auto"/>
            </w:tcBorders>
            <w:shd w:val="clear" w:color="auto" w:fill="auto"/>
            <w:vAlign w:val="bottom"/>
          </w:tcPr>
          <w:p w14:paraId="31A909AA"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31AB8DCB" w14:textId="77777777" w:rsidTr="00F32F9C">
        <w:trPr>
          <w:trHeight w:val="240"/>
        </w:trPr>
        <w:tc>
          <w:tcPr>
            <w:tcW w:w="3833" w:type="dxa"/>
            <w:tcBorders>
              <w:top w:val="single" w:sz="4" w:space="0" w:color="auto"/>
              <w:left w:val="single" w:sz="4" w:space="0" w:color="auto"/>
              <w:bottom w:val="single" w:sz="4" w:space="0" w:color="auto"/>
              <w:right w:val="single" w:sz="4" w:space="0" w:color="auto"/>
            </w:tcBorders>
            <w:shd w:val="clear" w:color="auto" w:fill="auto"/>
          </w:tcPr>
          <w:p w14:paraId="252160E6"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Técnicas Reunidas Ghana</w:t>
            </w:r>
          </w:p>
        </w:tc>
        <w:tc>
          <w:tcPr>
            <w:tcW w:w="1984" w:type="dxa"/>
            <w:tcBorders>
              <w:top w:val="single" w:sz="4" w:space="0" w:color="auto"/>
              <w:left w:val="nil"/>
              <w:bottom w:val="single" w:sz="4" w:space="0" w:color="auto"/>
              <w:right w:val="single" w:sz="4" w:space="0" w:color="auto"/>
            </w:tcBorders>
            <w:shd w:val="clear" w:color="auto" w:fill="auto"/>
            <w:vAlign w:val="bottom"/>
          </w:tcPr>
          <w:p w14:paraId="0C8F2136"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Ghana</w:t>
            </w:r>
          </w:p>
        </w:tc>
        <w:tc>
          <w:tcPr>
            <w:tcW w:w="2693" w:type="dxa"/>
            <w:tcBorders>
              <w:top w:val="single" w:sz="4" w:space="0" w:color="auto"/>
              <w:left w:val="nil"/>
              <w:bottom w:val="single" w:sz="4" w:space="0" w:color="auto"/>
              <w:right w:val="single" w:sz="4" w:space="0" w:color="auto"/>
            </w:tcBorders>
            <w:shd w:val="clear" w:color="auto" w:fill="auto"/>
            <w:vAlign w:val="bottom"/>
          </w:tcPr>
          <w:p w14:paraId="69F9DD4C"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r w:rsidR="004F7C2D" w:rsidRPr="00EF5CC5" w14:paraId="09E7C9C0" w14:textId="77777777" w:rsidTr="00F32F9C">
        <w:trPr>
          <w:trHeight w:val="240"/>
        </w:trPr>
        <w:tc>
          <w:tcPr>
            <w:tcW w:w="3833" w:type="dxa"/>
            <w:tcBorders>
              <w:top w:val="single" w:sz="4" w:space="0" w:color="auto"/>
              <w:left w:val="single" w:sz="4" w:space="0" w:color="auto"/>
              <w:bottom w:val="single" w:sz="4" w:space="0" w:color="auto"/>
              <w:right w:val="single" w:sz="4" w:space="0" w:color="auto"/>
            </w:tcBorders>
            <w:shd w:val="clear" w:color="auto" w:fill="auto"/>
          </w:tcPr>
          <w:p w14:paraId="1D6B6EC7" w14:textId="77777777" w:rsidR="004F7C2D" w:rsidRPr="00EF5CC5" w:rsidRDefault="004F7C2D" w:rsidP="00F32F9C">
            <w:pPr>
              <w:rPr>
                <w:rFonts w:ascii="Open Sans" w:hAnsi="Open Sans" w:cs="Arial"/>
                <w:sz w:val="20"/>
                <w:szCs w:val="20"/>
              </w:rPr>
            </w:pPr>
            <w:r w:rsidRPr="00EF5CC5">
              <w:rPr>
                <w:rFonts w:ascii="Open Sans" w:hAnsi="Open Sans" w:cs="Arial"/>
                <w:sz w:val="20"/>
                <w:szCs w:val="20"/>
              </w:rPr>
              <w:t>KJT Engeharia Materials</w:t>
            </w:r>
          </w:p>
        </w:tc>
        <w:tc>
          <w:tcPr>
            <w:tcW w:w="1984" w:type="dxa"/>
            <w:tcBorders>
              <w:top w:val="single" w:sz="4" w:space="0" w:color="auto"/>
              <w:left w:val="nil"/>
              <w:bottom w:val="single" w:sz="4" w:space="0" w:color="auto"/>
              <w:right w:val="single" w:sz="4" w:space="0" w:color="auto"/>
            </w:tcBorders>
            <w:shd w:val="clear" w:color="auto" w:fill="auto"/>
            <w:vAlign w:val="bottom"/>
          </w:tcPr>
          <w:p w14:paraId="3D858D74"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Madeira</w:t>
            </w:r>
          </w:p>
        </w:tc>
        <w:tc>
          <w:tcPr>
            <w:tcW w:w="2693" w:type="dxa"/>
            <w:tcBorders>
              <w:top w:val="single" w:sz="4" w:space="0" w:color="auto"/>
              <w:left w:val="nil"/>
              <w:bottom w:val="single" w:sz="4" w:space="0" w:color="auto"/>
              <w:right w:val="single" w:sz="4" w:space="0" w:color="auto"/>
            </w:tcBorders>
            <w:shd w:val="clear" w:color="auto" w:fill="auto"/>
            <w:vAlign w:val="bottom"/>
          </w:tcPr>
          <w:p w14:paraId="479067B8" w14:textId="77777777" w:rsidR="004F7C2D" w:rsidRPr="00EF5CC5" w:rsidRDefault="004F7C2D" w:rsidP="00F32F9C">
            <w:pPr>
              <w:jc w:val="center"/>
              <w:rPr>
                <w:rFonts w:ascii="Open Sans" w:hAnsi="Open Sans" w:cs="Arial"/>
                <w:sz w:val="20"/>
                <w:szCs w:val="20"/>
              </w:rPr>
            </w:pPr>
            <w:r w:rsidRPr="00EF5CC5">
              <w:rPr>
                <w:rFonts w:ascii="Open Sans" w:hAnsi="Open Sans" w:cs="Arial"/>
                <w:sz w:val="20"/>
                <w:szCs w:val="20"/>
              </w:rPr>
              <w:t>Servicios de ingeniería</w:t>
            </w:r>
          </w:p>
        </w:tc>
      </w:tr>
    </w:tbl>
    <w:p w14:paraId="1C337E4E" w14:textId="77777777" w:rsidR="004F7C2D" w:rsidRPr="00EF5CC5" w:rsidRDefault="004F7C2D" w:rsidP="004F7C2D">
      <w:pPr>
        <w:ind w:left="708"/>
        <w:jc w:val="both"/>
        <w:rPr>
          <w:rFonts w:ascii="Open Sans" w:hAnsi="Open Sans" w:cs="Open Sans"/>
          <w:sz w:val="20"/>
          <w:szCs w:val="20"/>
          <w:lang w:val="en-US"/>
        </w:rPr>
      </w:pPr>
    </w:p>
    <w:p w14:paraId="7E81289C"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 xml:space="preserve">Con la información facilitada por TR no se dispone de datos para realizar un análisis respecto al número de empleados vinculados a las empresas recogidas en la tabla, sus datos de facturación, beneficios e impuestos pagados. </w:t>
      </w:r>
    </w:p>
    <w:p w14:paraId="3BFFE44E" w14:textId="77777777" w:rsidR="004F7C2D" w:rsidRPr="00EF5CC5" w:rsidRDefault="004F7C2D" w:rsidP="004F7C2D">
      <w:pPr>
        <w:jc w:val="both"/>
        <w:rPr>
          <w:rFonts w:ascii="Open Sans" w:hAnsi="Open Sans" w:cs="Arial"/>
          <w:sz w:val="20"/>
          <w:szCs w:val="20"/>
        </w:rPr>
      </w:pPr>
    </w:p>
    <w:p w14:paraId="62E65315"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En cuanto a los riesgos fiscales, TR se limita a indicar en su informe de progreso que “</w:t>
      </w:r>
      <w:r w:rsidRPr="00EF5CC5">
        <w:rPr>
          <w:rFonts w:ascii="Open Sans" w:hAnsi="Open Sans" w:cs="Open Sans"/>
          <w:i/>
          <w:sz w:val="20"/>
          <w:szCs w:val="20"/>
        </w:rPr>
        <w:t>ha desarrollado una serie de Procedimientos relacionados con la gestión económica de los proyectos: gestión del riesgo de cambio, de liquidez, de riesgos fiscales y de contingencias técnicas. Políticas para la gestión de estos riesgos, tales como: Procedimientos relacionados con la gestión económica de los proyectos: gestión del riesgo de cambio, de liquidez, de riesgos fiscales y de contingencias técnicas</w:t>
      </w:r>
      <w:r w:rsidRPr="00EF5CC5">
        <w:rPr>
          <w:rFonts w:ascii="Open Sans" w:hAnsi="Open Sans" w:cs="Open Sans"/>
          <w:sz w:val="20"/>
          <w:szCs w:val="20"/>
        </w:rPr>
        <w:t>”</w:t>
      </w:r>
      <w:r w:rsidRPr="00EF5CC5">
        <w:rPr>
          <w:rStyle w:val="Refdenotaalpie"/>
          <w:rFonts w:ascii="Open Sans" w:hAnsi="Open Sans" w:cs="Open Sans"/>
          <w:sz w:val="20"/>
          <w:szCs w:val="20"/>
        </w:rPr>
        <w:footnoteReference w:id="378"/>
      </w:r>
      <w:r w:rsidRPr="00EF5CC5">
        <w:rPr>
          <w:rFonts w:ascii="Open Sans" w:hAnsi="Open Sans" w:cs="Open Sans"/>
          <w:sz w:val="20"/>
          <w:szCs w:val="20"/>
        </w:rPr>
        <w:t xml:space="preserve">. </w:t>
      </w:r>
      <w:r w:rsidRPr="00EF5CC5">
        <w:rPr>
          <w:rFonts w:ascii="Open Sans" w:hAnsi="Open Sans" w:cs="Arial"/>
          <w:sz w:val="20"/>
          <w:szCs w:val="20"/>
        </w:rPr>
        <w:t>Sin embargo, no se han encontrado evidencias de dichos procedimientos ni identificación alguna de los principales riesgos detectados por la empresa.</w:t>
      </w:r>
    </w:p>
    <w:p w14:paraId="390E4929" w14:textId="77777777" w:rsidR="004F7C2D" w:rsidRPr="00EF5CC5" w:rsidRDefault="004F7C2D" w:rsidP="004F7C2D">
      <w:pPr>
        <w:jc w:val="both"/>
        <w:rPr>
          <w:rFonts w:ascii="Open Sans" w:hAnsi="Open Sans" w:cs="Arial"/>
          <w:sz w:val="20"/>
          <w:szCs w:val="20"/>
        </w:rPr>
      </w:pPr>
    </w:p>
    <w:p w14:paraId="74197F63"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Con la información publicada por TR, se desconoce la manera en que el Consejo de Administración aborda el tema de la fiscalidad. En el informe de progreso únicamente recoge que: “</w:t>
      </w:r>
      <w:r w:rsidRPr="00EF5CC5">
        <w:rPr>
          <w:rFonts w:ascii="Open Sans" w:hAnsi="Open Sans" w:cs="Arial"/>
          <w:i/>
          <w:sz w:val="20"/>
          <w:szCs w:val="20"/>
        </w:rPr>
        <w:t>El Consejo de Administración y sus Comisiones Delegadas celebraron en 2015 un total de 20 reuniones que contaron con un 100% de asistencia. Entre otros, los principales temas que abordaron fueron los siguientes: (…) - Seguimiento de las inspecciones fiscales a las que se somete la compañía. - Análisis de riesgos que puedan afectar a Técnicas Reunidas (Estratégicos, Emergentes, Operativos, Financieros, Jurídicos o Fiscales)"</w:t>
      </w:r>
      <w:r w:rsidRPr="00EF5CC5">
        <w:rPr>
          <w:rStyle w:val="Refdenotaalpie"/>
          <w:rFonts w:ascii="Open Sans" w:hAnsi="Open Sans" w:cs="Arial"/>
          <w:i/>
          <w:sz w:val="20"/>
          <w:szCs w:val="20"/>
        </w:rPr>
        <w:footnoteReference w:id="379"/>
      </w:r>
      <w:r w:rsidRPr="00EF5CC5">
        <w:rPr>
          <w:rFonts w:ascii="Open Sans" w:hAnsi="Open Sans" w:cs="Arial"/>
          <w:i/>
          <w:sz w:val="20"/>
          <w:szCs w:val="20"/>
        </w:rPr>
        <w:t>.</w:t>
      </w:r>
    </w:p>
    <w:p w14:paraId="1138DC79" w14:textId="77777777" w:rsidR="004F7C2D" w:rsidRPr="00EF5CC5" w:rsidRDefault="004F7C2D" w:rsidP="004F7C2D">
      <w:pPr>
        <w:jc w:val="both"/>
        <w:rPr>
          <w:rFonts w:ascii="Open Sans" w:hAnsi="Open Sans" w:cs="Arial"/>
          <w:sz w:val="20"/>
          <w:szCs w:val="20"/>
        </w:rPr>
      </w:pPr>
    </w:p>
    <w:p w14:paraId="4D6EC9D3"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 xml:space="preserve">En lo concerniente a la estructura societaria del grupo, en los Anexos I y III de sus Cuentas Anuales Consolidadas, se detallan un total de 45 sociedades dependientes incluidas en el perímetro de consolidación 2015 (Anexo I) y 5 sociedades con las que se realizan operaciones conjuntas, incluidas en dicho perímetro de consolidación (Anexo III). De éstas, 11 están domiciliadas en territorios considerados nichos fiscales: una se encuentra inactiva y entre las otras diez, </w:t>
      </w:r>
      <w:r w:rsidRPr="00EF5CC5">
        <w:rPr>
          <w:rFonts w:ascii="Open Sans" w:hAnsi="Open Sans" w:cs="Open Sans"/>
          <w:sz w:val="20"/>
          <w:szCs w:val="20"/>
        </w:rPr>
        <w:t>tres presentan dudas al no contar con datos sobre las actividades desarrolladas en Holanda, Ghana y Madeira; finalmente, existe una empresa domiciliada en Delaware.</w:t>
      </w:r>
    </w:p>
    <w:p w14:paraId="2E418283" w14:textId="77777777" w:rsidR="004F7C2D" w:rsidRPr="00EF5CC5" w:rsidRDefault="004F7C2D" w:rsidP="004F7C2D">
      <w:pPr>
        <w:jc w:val="both"/>
        <w:rPr>
          <w:rFonts w:ascii="Open Sans" w:hAnsi="Open Sans" w:cs="Arial"/>
          <w:sz w:val="20"/>
          <w:szCs w:val="20"/>
        </w:rPr>
      </w:pPr>
    </w:p>
    <w:p w14:paraId="2238B3C8"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Este entramado dificulta la comprensión a los grupos de interés que deseen informarse de la situación fiscal y societaria de la compañía, quien además, no emite un posicionamiento expreso respecto a la presencia en paraísos y nichos fiscales. Asimismo, tampoco ofrece información sobre el volumen de operaciones generados en dichos países ni el número de personas trabajando en los mismos.</w:t>
      </w:r>
    </w:p>
    <w:p w14:paraId="7455D17A" w14:textId="77777777" w:rsidR="004F7C2D" w:rsidRPr="00EF5CC5" w:rsidRDefault="004F7C2D" w:rsidP="004F7C2D">
      <w:pPr>
        <w:jc w:val="both"/>
        <w:rPr>
          <w:rFonts w:ascii="Open Sans" w:hAnsi="Open Sans" w:cs="Arial"/>
          <w:sz w:val="20"/>
          <w:szCs w:val="20"/>
        </w:rPr>
      </w:pPr>
    </w:p>
    <w:p w14:paraId="1B521CA6"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 xml:space="preserve">Respecto a los impuestos soportados, la empresa facilita una información muy escasa, no informando sobre el impuesto de sociedades soportado por cada país en el que opera. </w:t>
      </w:r>
    </w:p>
    <w:p w14:paraId="3821D25D" w14:textId="77777777" w:rsidR="004F7C2D" w:rsidRPr="00EF5CC5" w:rsidRDefault="004F7C2D" w:rsidP="004F7C2D">
      <w:pPr>
        <w:jc w:val="both"/>
        <w:rPr>
          <w:rFonts w:ascii="Open Sans" w:hAnsi="Open Sans" w:cs="Arial"/>
          <w:sz w:val="20"/>
          <w:szCs w:val="20"/>
        </w:rPr>
      </w:pPr>
    </w:p>
    <w:p w14:paraId="04900D42" w14:textId="77777777" w:rsidR="004F7C2D" w:rsidRPr="00EF5CC5" w:rsidRDefault="004F7C2D" w:rsidP="004F7C2D">
      <w:pPr>
        <w:jc w:val="both"/>
        <w:rPr>
          <w:rFonts w:ascii="Open Sans" w:hAnsi="Open Sans" w:cs="Arial"/>
          <w:sz w:val="20"/>
          <w:szCs w:val="20"/>
        </w:rPr>
      </w:pPr>
      <w:r w:rsidRPr="00EF5CC5">
        <w:rPr>
          <w:rFonts w:ascii="Open Sans" w:hAnsi="Open Sans" w:cs="Arial"/>
          <w:sz w:val="20"/>
          <w:szCs w:val="20"/>
        </w:rPr>
        <w:t>Asimismo, se indica vagamente la información relativa a las subvenciones de explotación recibidas, que ascienden a un total de 1.945 miles de euros</w:t>
      </w:r>
      <w:r w:rsidRPr="00EF5CC5">
        <w:rPr>
          <w:rStyle w:val="Refdenotaalpie"/>
          <w:rFonts w:ascii="Open Sans" w:hAnsi="Open Sans" w:cs="Arial"/>
          <w:sz w:val="20"/>
          <w:szCs w:val="20"/>
        </w:rPr>
        <w:footnoteReference w:id="380"/>
      </w:r>
      <w:r w:rsidRPr="00EF5CC5">
        <w:rPr>
          <w:rFonts w:ascii="Open Sans" w:hAnsi="Open Sans" w:cs="Arial"/>
          <w:sz w:val="20"/>
          <w:szCs w:val="20"/>
        </w:rPr>
        <w:t xml:space="preserve"> y a las contingencias fiscales a nivel consolidado, que alcanzan el valor de 5.870 miles de euros</w:t>
      </w:r>
      <w:r w:rsidRPr="00EF5CC5">
        <w:rPr>
          <w:rStyle w:val="Refdenotaalpie"/>
          <w:rFonts w:ascii="Open Sans" w:hAnsi="Open Sans" w:cs="Arial"/>
          <w:sz w:val="20"/>
          <w:szCs w:val="20"/>
        </w:rPr>
        <w:footnoteReference w:id="381"/>
      </w:r>
      <w:r w:rsidRPr="00EF5CC5">
        <w:rPr>
          <w:rFonts w:ascii="Open Sans" w:hAnsi="Open Sans" w:cs="Arial"/>
          <w:sz w:val="20"/>
          <w:szCs w:val="20"/>
        </w:rPr>
        <w:t>.</w:t>
      </w:r>
    </w:p>
    <w:p w14:paraId="25595DCB" w14:textId="77777777" w:rsidR="004F7C2D" w:rsidRPr="00EF5CC5" w:rsidRDefault="004F7C2D" w:rsidP="004F7C2D">
      <w:pPr>
        <w:jc w:val="both"/>
        <w:rPr>
          <w:rFonts w:ascii="Open Sans" w:hAnsi="Open Sans" w:cs="Arial"/>
          <w:sz w:val="20"/>
          <w:szCs w:val="20"/>
        </w:rPr>
      </w:pPr>
    </w:p>
    <w:p w14:paraId="706FECCA" w14:textId="77777777" w:rsidR="004F7C2D" w:rsidRPr="00EF5CC5" w:rsidRDefault="004F7C2D" w:rsidP="004F7C2D">
      <w:pPr>
        <w:jc w:val="both"/>
        <w:rPr>
          <w:rFonts w:ascii="Open Sans" w:hAnsi="Open Sans" w:cs="Arial"/>
          <w:bCs/>
          <w:sz w:val="20"/>
          <w:szCs w:val="22"/>
        </w:rPr>
      </w:pPr>
      <w:r w:rsidRPr="00EF5CC5">
        <w:rPr>
          <w:rFonts w:ascii="Open Sans" w:hAnsi="Open Sans" w:cs="Arial"/>
          <w:bCs/>
          <w:sz w:val="20"/>
          <w:szCs w:val="22"/>
        </w:rPr>
        <w:t>Por otro lado, TR muestra en sus Cuentas Anuales</w:t>
      </w:r>
      <w:r w:rsidRPr="00EF5CC5">
        <w:rPr>
          <w:rStyle w:val="Refdenotaalpie"/>
          <w:rFonts w:ascii="Open Sans" w:hAnsi="Open Sans" w:cs="Arial"/>
          <w:bCs/>
          <w:sz w:val="20"/>
          <w:szCs w:val="22"/>
        </w:rPr>
        <w:footnoteReference w:id="382"/>
      </w:r>
      <w:r w:rsidRPr="00EF5CC5">
        <w:rPr>
          <w:rFonts w:ascii="Open Sans" w:hAnsi="Open Sans" w:cs="Arial"/>
          <w:bCs/>
          <w:sz w:val="20"/>
          <w:szCs w:val="22"/>
        </w:rPr>
        <w:t xml:space="preserve"> el detalle de bases imponibles negativas acumuladas procedentes de filiales extranjeras sobre las que no se han reconocido activos fiscales, en concreto, sobre Portugal, Malasia y Bolivia. Asimismo, aporta información sobre los créditos fiscales por bases imponibles negativas pendientes de compensación, desglosada por zona geográfica. Dichas regiones son España, Oriente Medio, América, Asia, Europa y Mediterráneo, alcanzando un importe total de 117.414 miles de euros en diciembre de 2015, significativamente superior a la cifra de 2014 (19.775 miles de €).</w:t>
      </w:r>
    </w:p>
    <w:p w14:paraId="10DBFC7E" w14:textId="77777777" w:rsidR="004F7C2D" w:rsidRPr="00EF5CC5" w:rsidRDefault="004F7C2D" w:rsidP="004F7C2D">
      <w:pPr>
        <w:jc w:val="both"/>
        <w:rPr>
          <w:rFonts w:ascii="Open Sans" w:hAnsi="Open Sans" w:cs="Arial"/>
          <w:bCs/>
          <w:sz w:val="20"/>
          <w:szCs w:val="22"/>
        </w:rPr>
      </w:pPr>
    </w:p>
    <w:p w14:paraId="62723208" w14:textId="77777777" w:rsidR="004F7C2D" w:rsidRPr="00EF5CC5" w:rsidRDefault="004F7C2D" w:rsidP="004F7C2D">
      <w:pPr>
        <w:jc w:val="both"/>
        <w:rPr>
          <w:rFonts w:ascii="Open Sans" w:hAnsi="Open Sans" w:cs="Arial"/>
          <w:bCs/>
          <w:sz w:val="20"/>
          <w:szCs w:val="22"/>
        </w:rPr>
      </w:pPr>
      <w:r w:rsidRPr="00EF5CC5">
        <w:rPr>
          <w:rFonts w:ascii="Open Sans" w:hAnsi="Open Sans" w:cs="Arial"/>
          <w:bCs/>
          <w:sz w:val="20"/>
          <w:szCs w:val="22"/>
        </w:rPr>
        <w:t xml:space="preserve">El Grupo no aporta información sobre su relación de cooperación con las administraciones tributarias de los distintos países en los que opera. </w:t>
      </w:r>
    </w:p>
    <w:p w14:paraId="51F648F4" w14:textId="77777777" w:rsidR="004F7C2D" w:rsidRPr="00EF5CC5" w:rsidRDefault="004F7C2D" w:rsidP="004F7C2D">
      <w:pPr>
        <w:jc w:val="both"/>
        <w:rPr>
          <w:rFonts w:ascii="Open Sans" w:hAnsi="Open Sans" w:cs="Arial"/>
          <w:bCs/>
          <w:sz w:val="20"/>
          <w:szCs w:val="22"/>
        </w:rPr>
      </w:pPr>
    </w:p>
    <w:p w14:paraId="70598FA1" w14:textId="77777777" w:rsidR="004F7C2D" w:rsidRPr="00EF5CC5" w:rsidRDefault="004F7C2D" w:rsidP="004F7C2D">
      <w:pPr>
        <w:jc w:val="both"/>
        <w:rPr>
          <w:rFonts w:ascii="Open Sans" w:hAnsi="Open Sans" w:cs="Arial"/>
          <w:bCs/>
          <w:sz w:val="20"/>
          <w:szCs w:val="22"/>
        </w:rPr>
      </w:pPr>
      <w:r w:rsidRPr="00EF5CC5">
        <w:rPr>
          <w:rFonts w:ascii="Open Sans" w:hAnsi="Open Sans" w:cs="Arial"/>
          <w:bCs/>
          <w:sz w:val="20"/>
          <w:szCs w:val="22"/>
        </w:rPr>
        <w:t>Respecto a litigios existentes, la empresa se encuentra en un proceso de inspección abierto por la Agencia Tributaria. La sociedad recibió una propuesta de liquidación el 15 de junio de 2015 por valor de 136,2 miles de euros, que fue recurrida con resultado desfavorable. El Acuerdo de Liquidación se fundamenta en las discrepancias de la Agencia Tributaria con los criterios que sustentan el estudio de precios de transferencia del Grupo. La sociedad presentará recurso en vía contencioso administrativa contra dicha resolución.</w:t>
      </w:r>
    </w:p>
    <w:p w14:paraId="36E80F45" w14:textId="77777777" w:rsidR="004F7C2D" w:rsidRPr="00EF5CC5" w:rsidRDefault="004F7C2D" w:rsidP="004F7C2D">
      <w:pPr>
        <w:jc w:val="both"/>
        <w:rPr>
          <w:rFonts w:ascii="Open Sans" w:hAnsi="Open Sans" w:cs="Arial"/>
          <w:bCs/>
          <w:sz w:val="20"/>
          <w:szCs w:val="22"/>
        </w:rPr>
      </w:pPr>
    </w:p>
    <w:p w14:paraId="7F9EA699" w14:textId="77777777" w:rsidR="004F7C2D" w:rsidRPr="00EF5CC5" w:rsidRDefault="004F7C2D" w:rsidP="004F7C2D">
      <w:pPr>
        <w:jc w:val="both"/>
        <w:rPr>
          <w:rFonts w:ascii="Open Sans" w:hAnsi="Open Sans" w:cs="Arial"/>
          <w:bCs/>
          <w:i/>
          <w:sz w:val="20"/>
          <w:szCs w:val="22"/>
        </w:rPr>
      </w:pPr>
      <w:r w:rsidRPr="00EF5CC5">
        <w:rPr>
          <w:rFonts w:ascii="Open Sans" w:hAnsi="Open Sans" w:cs="Arial"/>
          <w:bCs/>
          <w:sz w:val="20"/>
          <w:szCs w:val="22"/>
        </w:rPr>
        <w:t>Por último, la empresa no presenta información detallada sobre su operativa en lo concerniente a las compras intragrupo y las estrategias de fijación de precios entre las empresas, la gestión de la propiedad intelectual y la estructura de propiedad que gobierna los activos de propiedad intelectual o cuál es el volumen de endeudamiento intragrupo respecto al volumen de endeudamiento total. Únicamente indica que “</w:t>
      </w:r>
      <w:r w:rsidRPr="00EF5CC5">
        <w:rPr>
          <w:rFonts w:ascii="Open Sans" w:hAnsi="Open Sans" w:cs="Arial"/>
          <w:bCs/>
          <w:i/>
          <w:sz w:val="20"/>
          <w:szCs w:val="22"/>
        </w:rPr>
        <w:t>Se eliminan las transacciones inter-compañía, los saldos y los ingresos y gastos en transacciones entre entidades del Grupo. También se eliminan las pérdidas y ganancias que surjan de transacciones intragrupo que se reconozcan como activos. Las políticas contables de las dependientes se han modificado en los casos en que ha sido necesario para asegurar la uniformidad con las políticas adoptadas por el Grupo”</w:t>
      </w:r>
      <w:r w:rsidRPr="00EF5CC5">
        <w:rPr>
          <w:rStyle w:val="Refdenotaalpie"/>
          <w:rFonts w:ascii="Open Sans" w:hAnsi="Open Sans" w:cs="Arial"/>
          <w:bCs/>
          <w:i/>
          <w:sz w:val="20"/>
          <w:szCs w:val="22"/>
        </w:rPr>
        <w:footnoteReference w:id="383"/>
      </w:r>
    </w:p>
    <w:p w14:paraId="046A484D" w14:textId="77777777" w:rsidR="004F7C2D" w:rsidRPr="00EF5CC5" w:rsidRDefault="004F7C2D" w:rsidP="004F7C2D">
      <w:pPr>
        <w:jc w:val="both"/>
        <w:rPr>
          <w:rFonts w:ascii="Open Sans" w:hAnsi="Open Sans" w:cs="Arial"/>
          <w:bCs/>
          <w:sz w:val="20"/>
          <w:szCs w:val="22"/>
        </w:rPr>
      </w:pPr>
    </w:p>
    <w:p w14:paraId="7C646A3E" w14:textId="77777777" w:rsidR="004F7C2D" w:rsidRPr="00EF5CC5" w:rsidRDefault="004F7C2D" w:rsidP="004F7C2D">
      <w:pPr>
        <w:jc w:val="both"/>
        <w:rPr>
          <w:rFonts w:ascii="Open Sans" w:hAnsi="Open Sans" w:cs="Arial"/>
          <w:bCs/>
          <w:sz w:val="20"/>
          <w:szCs w:val="22"/>
        </w:rPr>
      </w:pPr>
      <w:r w:rsidRPr="00EF5CC5">
        <w:rPr>
          <w:rFonts w:ascii="Open Sans" w:hAnsi="Open Sans" w:cs="Arial"/>
          <w:bCs/>
          <w:sz w:val="20"/>
          <w:szCs w:val="22"/>
        </w:rPr>
        <w:t>Esto supone una carencia informativa relevante, puesto que la operativa en sí constituye una estructura determinada en sus operaciones de financiación, siendo potenciales vías para llevar a cabo estrategias de elusión fiscal.</w:t>
      </w:r>
    </w:p>
    <w:p w14:paraId="334CB62C" w14:textId="77777777" w:rsidR="004F7C2D" w:rsidRPr="00EF5CC5" w:rsidRDefault="004F7C2D" w:rsidP="004F7C2D">
      <w:pPr>
        <w:jc w:val="both"/>
        <w:rPr>
          <w:rFonts w:ascii="Open Sans" w:hAnsi="Open Sans" w:cs="Arial"/>
          <w:bCs/>
          <w:sz w:val="20"/>
          <w:szCs w:val="22"/>
        </w:rPr>
      </w:pPr>
    </w:p>
    <w:p w14:paraId="20F59452" w14:textId="77777777" w:rsidR="004F7C2D" w:rsidRPr="00EF5CC5" w:rsidRDefault="004F7C2D" w:rsidP="004F7C2D">
      <w:pPr>
        <w:jc w:val="both"/>
        <w:rPr>
          <w:rFonts w:ascii="Open Sans" w:hAnsi="Open Sans" w:cs="Arial"/>
          <w:sz w:val="18"/>
          <w:szCs w:val="20"/>
        </w:rPr>
      </w:pPr>
    </w:p>
    <w:p w14:paraId="0847DB91" w14:textId="77777777" w:rsidR="004F7C2D" w:rsidRPr="00EF5CC5" w:rsidRDefault="004F7C2D" w:rsidP="004F7C2D">
      <w:pPr>
        <w:rPr>
          <w:rFonts w:ascii="Open Sans" w:hAnsi="Open Sans" w:cs="Arial"/>
          <w:bCs/>
          <w:sz w:val="22"/>
          <w:szCs w:val="22"/>
          <w:u w:val="single"/>
        </w:rPr>
      </w:pPr>
      <w:r w:rsidRPr="00EF5CC5">
        <w:rPr>
          <w:rFonts w:ascii="Open Sans" w:hAnsi="Open Sans" w:cs="Arial"/>
          <w:b/>
          <w:sz w:val="22"/>
          <w:szCs w:val="22"/>
          <w:u w:val="single"/>
        </w:rPr>
        <w:t>5. Conclusiones</w:t>
      </w:r>
    </w:p>
    <w:p w14:paraId="47BF11FB" w14:textId="77777777" w:rsidR="004F7C2D" w:rsidRPr="00EF5CC5" w:rsidRDefault="004F7C2D" w:rsidP="004F7C2D">
      <w:pPr>
        <w:rPr>
          <w:rFonts w:ascii="Open Sans" w:hAnsi="Open Sans" w:cs="Arial"/>
          <w:bCs/>
          <w:sz w:val="22"/>
          <w:szCs w:val="22"/>
        </w:rPr>
      </w:pPr>
    </w:p>
    <w:p w14:paraId="0821AEE4" w14:textId="77777777" w:rsidR="004F7C2D" w:rsidRPr="00EF5CC5" w:rsidRDefault="004F7C2D" w:rsidP="004F7C2D">
      <w:pPr>
        <w:pStyle w:val="Default"/>
        <w:jc w:val="both"/>
        <w:rPr>
          <w:rFonts w:ascii="Open Sans" w:hAnsi="Open Sans" w:cs="Open Sans"/>
          <w:color w:val="auto"/>
          <w:sz w:val="20"/>
          <w:szCs w:val="20"/>
        </w:rPr>
      </w:pPr>
      <w:r w:rsidRPr="00EF5CC5">
        <w:rPr>
          <w:rFonts w:ascii="Open Sans" w:hAnsi="Open Sans" w:cs="Open Sans"/>
          <w:color w:val="auto"/>
          <w:sz w:val="20"/>
          <w:szCs w:val="20"/>
        </w:rPr>
        <w:t xml:space="preserve">La valoración global de la transparencia de Técnicas Reunidas en el ámbito fiscal es de </w:t>
      </w:r>
      <w:r w:rsidRPr="00EF5CC5">
        <w:rPr>
          <w:rFonts w:ascii="Open Sans" w:hAnsi="Open Sans" w:cs="Open Sans"/>
          <w:b/>
          <w:color w:val="auto"/>
          <w:sz w:val="20"/>
          <w:szCs w:val="20"/>
        </w:rPr>
        <w:t>0,38</w:t>
      </w:r>
      <w:r w:rsidRPr="00EF5CC5">
        <w:rPr>
          <w:rFonts w:ascii="Open Sans" w:hAnsi="Open Sans" w:cs="Open Sans"/>
          <w:color w:val="auto"/>
          <w:sz w:val="20"/>
          <w:szCs w:val="20"/>
        </w:rPr>
        <w:t xml:space="preserve"> sobre un máximo de 3, lo que sitúa a la información en un estadio de </w:t>
      </w:r>
      <w:r w:rsidRPr="00EF5CC5">
        <w:rPr>
          <w:rFonts w:ascii="Open Sans" w:hAnsi="Open Sans" w:cs="Open Sans"/>
          <w:i/>
          <w:color w:val="auto"/>
          <w:sz w:val="20"/>
          <w:szCs w:val="20"/>
        </w:rPr>
        <w:t>escasa</w:t>
      </w:r>
      <w:r w:rsidRPr="00EF5CC5">
        <w:rPr>
          <w:rFonts w:ascii="Open Sans" w:hAnsi="Open Sans" w:cs="Open Sans"/>
          <w:color w:val="auto"/>
          <w:sz w:val="20"/>
          <w:szCs w:val="20"/>
        </w:rPr>
        <w:t xml:space="preserve"> de acuerdo con la metodología empleada por el Observatorio de RSC. De las dimensiones analizadas, la máxima puntuación se obtiene en los aspectos relacionados con “política y estrategia fiscal” (0,60), seguidos por los relacionados con la, “impuestos e incentivos” (0,50), las “relaciones con Administraciones Tributarias” (0,40) y “paraísos y nichos fiscales” (0,00). </w:t>
      </w:r>
    </w:p>
    <w:p w14:paraId="0F3F191A" w14:textId="77777777" w:rsidR="004F7C2D" w:rsidRPr="00EF5CC5" w:rsidRDefault="004F7C2D" w:rsidP="004F7C2D">
      <w:pPr>
        <w:jc w:val="both"/>
        <w:rPr>
          <w:rFonts w:ascii="Open Sans" w:hAnsi="Open Sans" w:cs="Open Sans"/>
          <w:sz w:val="20"/>
          <w:szCs w:val="20"/>
        </w:rPr>
      </w:pPr>
    </w:p>
    <w:p w14:paraId="02B2BDBC"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Tras analizar la documentación publicada por Técnicas Reunidas en relación a su actividad fiscal en 2015 (Informe de progreso, Informe anual de Gobierno Corporativo, Cuentas Anuales consolidadas y Código de conducta, principalmente), se observa que la compañía cuenta con compromiso limitado en relación a la fiscalidad responsable, ya que, no cuenta con una política fiscal del Grupo ni cuenta con un desarrollo detallado de las iniciativas concretas que la empresa ha puesto en marcha para una mejora en su información sobre fiscalidad.</w:t>
      </w:r>
    </w:p>
    <w:p w14:paraId="1E258D1F" w14:textId="77777777" w:rsidR="004F7C2D" w:rsidRPr="00EF5CC5" w:rsidRDefault="004F7C2D" w:rsidP="004F7C2D">
      <w:pPr>
        <w:jc w:val="both"/>
        <w:rPr>
          <w:rFonts w:ascii="Open Sans" w:hAnsi="Open Sans" w:cs="Open Sans"/>
          <w:sz w:val="20"/>
          <w:szCs w:val="20"/>
        </w:rPr>
      </w:pPr>
    </w:p>
    <w:p w14:paraId="21A39E1B"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De otro lado, se facilita información agregada sobre facturación, beneficios alcanzados en el ejercicio, impuestos soportados, número de personas trabajadoras…, pero no para todas las empresas del grupo ni desglosado por países, lo que implica una falta de transparencia en la manera de exponer los datos, lo que afecta especialmente en el análisis de aquellas sociedades participadas que se encuentran en paraísos y nichos fiscales (11), desconociéndose el volumen de negocio real que suponen con respecto a la totalidad del grupo.</w:t>
      </w:r>
    </w:p>
    <w:p w14:paraId="1CF53300" w14:textId="77777777" w:rsidR="004F7C2D" w:rsidRPr="00EF5CC5" w:rsidRDefault="004F7C2D" w:rsidP="004F7C2D">
      <w:pPr>
        <w:jc w:val="both"/>
        <w:rPr>
          <w:rFonts w:ascii="Open Sans" w:hAnsi="Open Sans" w:cs="Open Sans"/>
          <w:sz w:val="20"/>
          <w:szCs w:val="20"/>
        </w:rPr>
      </w:pPr>
    </w:p>
    <w:p w14:paraId="05B23B87" w14:textId="77777777" w:rsidR="004F7C2D" w:rsidRPr="00EF5CC5" w:rsidRDefault="004F7C2D" w:rsidP="004F7C2D">
      <w:pPr>
        <w:jc w:val="both"/>
        <w:rPr>
          <w:rFonts w:ascii="Open Sans" w:hAnsi="Open Sans" w:cs="Open Sans"/>
          <w:sz w:val="20"/>
          <w:szCs w:val="20"/>
        </w:rPr>
      </w:pPr>
      <w:r w:rsidRPr="00EF5CC5">
        <w:rPr>
          <w:rFonts w:ascii="Open Sans" w:hAnsi="Open Sans" w:cs="Open Sans"/>
          <w:sz w:val="20"/>
          <w:szCs w:val="20"/>
        </w:rPr>
        <w:t>Existe carencia informativa en cuanto a los incentivos fiscales de Técnicas Reunidas (deducciones y exenciones fiscales concedidas por país), a la cooperación con las administraciones tributarias y a la operativa intragrupo (política de compras y fijación de precios, volumen de endeudamiento frente al total o estructura de la propiedad intelectual), todo ello desglosado por países.</w:t>
      </w:r>
    </w:p>
    <w:p w14:paraId="21A26A2F" w14:textId="77777777" w:rsidR="004F7C2D" w:rsidRPr="00EF5CC5" w:rsidRDefault="004F7C2D" w:rsidP="004F7C2D">
      <w:pPr>
        <w:jc w:val="both"/>
        <w:rPr>
          <w:rFonts w:ascii="Open Sans" w:hAnsi="Open Sans" w:cs="Open Sans"/>
          <w:sz w:val="20"/>
          <w:szCs w:val="20"/>
        </w:rPr>
      </w:pPr>
    </w:p>
    <w:p w14:paraId="6ED05321" w14:textId="77777777" w:rsidR="004F7C2D" w:rsidRPr="00EF5CC5" w:rsidRDefault="004F7C2D" w:rsidP="004F7C2D">
      <w:pPr>
        <w:jc w:val="both"/>
        <w:rPr>
          <w:rFonts w:ascii="Open Sans" w:hAnsi="Open Sans" w:cs="Arial"/>
          <w:sz w:val="20"/>
          <w:szCs w:val="20"/>
        </w:rPr>
      </w:pPr>
      <w:r w:rsidRPr="00EF5CC5">
        <w:rPr>
          <w:rFonts w:ascii="Open Sans" w:hAnsi="Open Sans" w:cs="Open Sans"/>
          <w:sz w:val="20"/>
          <w:szCs w:val="20"/>
        </w:rPr>
        <w:t>Estas circunstancias contribuyen a dificultar la comprensión de la información facilitada a los grupos de interés y reducen la cantidad y calidad de los datos facilitados por la empresa.</w:t>
      </w:r>
    </w:p>
    <w:p w14:paraId="491212D2" w14:textId="77777777" w:rsidR="004F7C2D" w:rsidRPr="00EF5CC5" w:rsidRDefault="004F7C2D" w:rsidP="004F7C2D">
      <w:pPr>
        <w:pStyle w:val="WW-Predeterminado"/>
        <w:jc w:val="both"/>
        <w:rPr>
          <w:rFonts w:ascii="Open Sans" w:hAnsi="Open Sans" w:cs="Open Sans"/>
          <w:bCs/>
        </w:rPr>
      </w:pPr>
    </w:p>
    <w:p w14:paraId="1A21C90D" w14:textId="5568E99D" w:rsidR="004F7C2D" w:rsidRPr="004F7C2D" w:rsidRDefault="004F7C2D" w:rsidP="004F7C2D">
      <w:pPr>
        <w:jc w:val="both"/>
        <w:rPr>
          <w:rFonts w:ascii="Open Sans" w:hAnsi="Open Sans" w:cs="Arial"/>
          <w:b/>
          <w:sz w:val="20"/>
          <w:szCs w:val="20"/>
        </w:rPr>
      </w:pPr>
      <w:r w:rsidRPr="004F7C2D">
        <w:rPr>
          <w:rFonts w:ascii="Open Sans" w:hAnsi="Open Sans" w:cs="Open Sans"/>
          <w:bCs/>
          <w:sz w:val="20"/>
          <w:szCs w:val="20"/>
        </w:rPr>
        <w:t>Con todo ello, se identifican como áreas de mejora para el próximo ejercicio: una mayor claridad en la información aportada; transparencia y desglose suficiente en los datos reflejados en las cuentas anuales y el informe de progreso; elaboración de una política fiscal del Grupo que recoja los compromisos adoptados; mención expresa de sus grupos de interés así como de los canales de participación y diálogo en materia de fiscalidad; traslado de la información fiscal mostrada en las cuentas anuales al informe de progreso, con el fin de hacerla más accesible a los grupos de interés; y exposición de la información de manera comprensible y comparable con años anteriores.</w:t>
      </w:r>
    </w:p>
    <w:p w14:paraId="15F408DC" w14:textId="25CA840D" w:rsidR="00F1599C" w:rsidRDefault="00F1599C">
      <w:pPr>
        <w:rPr>
          <w:rFonts w:ascii="Open Sans" w:hAnsi="Open Sans" w:cs="Arial"/>
          <w:b/>
          <w:sz w:val="20"/>
          <w:szCs w:val="20"/>
        </w:rPr>
      </w:pPr>
      <w:r>
        <w:rPr>
          <w:rFonts w:ascii="Open Sans" w:hAnsi="Open Sans" w:cs="Arial"/>
          <w:b/>
          <w:sz w:val="20"/>
          <w:szCs w:val="20"/>
        </w:rPr>
        <w:br w:type="page"/>
      </w:r>
    </w:p>
    <w:p w14:paraId="64744EBD" w14:textId="77777777" w:rsidR="00F1599C" w:rsidRDefault="00F1599C" w:rsidP="00F1599C">
      <w:pPr>
        <w:rPr>
          <w:rFonts w:ascii="Open Sans" w:hAnsi="Open Sans" w:cs="Times New Roman"/>
          <w:sz w:val="20"/>
          <w:szCs w:val="20"/>
        </w:rPr>
      </w:pPr>
    </w:p>
    <w:p w14:paraId="76D88377" w14:textId="77777777" w:rsidR="00CF7DF3" w:rsidRDefault="00CF7DF3"/>
    <w:p w14:paraId="6A91668F" w14:textId="1AC91368" w:rsidR="00A112C7" w:rsidRPr="004206F5" w:rsidRDefault="00841317" w:rsidP="009349A9">
      <w:pPr>
        <w:pStyle w:val="Titulo3-informefinal"/>
        <w:rPr>
          <w:i/>
        </w:rPr>
      </w:pPr>
      <w:bookmarkStart w:id="80" w:name="_Toc254282539"/>
      <w:bookmarkStart w:id="81" w:name="_Toc354061525"/>
      <w:r>
        <w:t>5</w:t>
      </w:r>
      <w:r w:rsidR="00A112C7" w:rsidRPr="004206F5">
        <w:t>.3. Empresas del sector Petróleo y Energía</w:t>
      </w:r>
      <w:bookmarkEnd w:id="80"/>
      <w:bookmarkEnd w:id="81"/>
    </w:p>
    <w:p w14:paraId="5370697E" w14:textId="77777777" w:rsidR="004C6977" w:rsidRPr="004206F5" w:rsidRDefault="004C6977" w:rsidP="004C6977">
      <w:pPr>
        <w:spacing w:line="360" w:lineRule="auto"/>
        <w:ind w:left="720"/>
        <w:outlineLvl w:val="4"/>
        <w:rPr>
          <w:rFonts w:ascii="Open Sans" w:hAnsi="Open Sans" w:cs="Arial"/>
          <w:b/>
          <w:caps/>
        </w:rPr>
      </w:pPr>
    </w:p>
    <w:p w14:paraId="6681EDAC" w14:textId="77777777" w:rsidR="00F8108C" w:rsidRDefault="00F8108C" w:rsidP="007A07D5">
      <w:pPr>
        <w:numPr>
          <w:ilvl w:val="1"/>
          <w:numId w:val="4"/>
        </w:numPr>
        <w:spacing w:line="360" w:lineRule="auto"/>
        <w:outlineLvl w:val="4"/>
        <w:rPr>
          <w:rFonts w:ascii="Open Sans" w:hAnsi="Open Sans" w:cs="Arial"/>
          <w:b/>
          <w:caps/>
        </w:rPr>
      </w:pPr>
      <w:r w:rsidRPr="004206F5">
        <w:rPr>
          <w:rFonts w:ascii="Open Sans" w:hAnsi="Open Sans" w:cs="Arial"/>
          <w:b/>
          <w:caps/>
        </w:rPr>
        <w:t>ENAGAS, S.A.</w:t>
      </w:r>
    </w:p>
    <w:p w14:paraId="1D4A11E3" w14:textId="534CB070" w:rsidR="00FA3E78" w:rsidRPr="004206F5" w:rsidRDefault="00FA3E78" w:rsidP="007A07D5">
      <w:pPr>
        <w:numPr>
          <w:ilvl w:val="1"/>
          <w:numId w:val="4"/>
        </w:numPr>
        <w:spacing w:line="360" w:lineRule="auto"/>
        <w:outlineLvl w:val="4"/>
        <w:rPr>
          <w:rFonts w:ascii="Open Sans" w:hAnsi="Open Sans" w:cs="Arial"/>
          <w:b/>
          <w:caps/>
        </w:rPr>
      </w:pPr>
      <w:r>
        <w:rPr>
          <w:rFonts w:ascii="Open Sans" w:hAnsi="Open Sans" w:cs="Arial"/>
          <w:b/>
          <w:caps/>
        </w:rPr>
        <w:t>ENDESA, S.A.</w:t>
      </w:r>
    </w:p>
    <w:p w14:paraId="7224D10F" w14:textId="77777777" w:rsidR="00F8108C" w:rsidRPr="004206F5" w:rsidRDefault="00F8108C" w:rsidP="007A07D5">
      <w:pPr>
        <w:numPr>
          <w:ilvl w:val="1"/>
          <w:numId w:val="4"/>
        </w:numPr>
        <w:spacing w:line="360" w:lineRule="auto"/>
        <w:outlineLvl w:val="4"/>
        <w:rPr>
          <w:rFonts w:ascii="Open Sans" w:hAnsi="Open Sans" w:cs="Arial"/>
          <w:b/>
          <w:caps/>
        </w:rPr>
      </w:pPr>
      <w:r w:rsidRPr="004206F5">
        <w:rPr>
          <w:rFonts w:ascii="Open Sans" w:hAnsi="Open Sans" w:cs="Arial"/>
          <w:b/>
          <w:caps/>
        </w:rPr>
        <w:t>GAMESA, CORPORACION TECNOLOGICA, S.A.</w:t>
      </w:r>
    </w:p>
    <w:p w14:paraId="09751E1E" w14:textId="50C6E891" w:rsidR="00F8108C" w:rsidRPr="004206F5" w:rsidRDefault="00F8108C" w:rsidP="007A07D5">
      <w:pPr>
        <w:numPr>
          <w:ilvl w:val="1"/>
          <w:numId w:val="4"/>
        </w:numPr>
        <w:spacing w:line="360" w:lineRule="auto"/>
        <w:outlineLvl w:val="4"/>
        <w:rPr>
          <w:rFonts w:ascii="Open Sans" w:hAnsi="Open Sans" w:cs="Arial"/>
          <w:b/>
          <w:caps/>
        </w:rPr>
      </w:pPr>
      <w:r w:rsidRPr="004206F5">
        <w:rPr>
          <w:rFonts w:ascii="Open Sans" w:hAnsi="Open Sans" w:cs="Arial"/>
          <w:b/>
          <w:caps/>
        </w:rPr>
        <w:t xml:space="preserve">GAS NATURAL </w:t>
      </w:r>
      <w:r w:rsidR="00F07C46">
        <w:rPr>
          <w:rFonts w:ascii="Open Sans" w:hAnsi="Open Sans" w:cs="Arial"/>
          <w:b/>
          <w:caps/>
        </w:rPr>
        <w:t>FENOSA</w:t>
      </w:r>
      <w:r w:rsidRPr="004206F5">
        <w:rPr>
          <w:rFonts w:ascii="Open Sans" w:hAnsi="Open Sans" w:cs="Arial"/>
          <w:b/>
          <w:caps/>
        </w:rPr>
        <w:t>, S.A.</w:t>
      </w:r>
    </w:p>
    <w:p w14:paraId="6D112D80" w14:textId="77777777" w:rsidR="00F8108C" w:rsidRPr="004206F5" w:rsidRDefault="00F8108C" w:rsidP="007A07D5">
      <w:pPr>
        <w:numPr>
          <w:ilvl w:val="1"/>
          <w:numId w:val="4"/>
        </w:numPr>
        <w:spacing w:line="360" w:lineRule="auto"/>
        <w:outlineLvl w:val="4"/>
        <w:rPr>
          <w:rFonts w:ascii="Open Sans" w:hAnsi="Open Sans" w:cs="Arial"/>
          <w:b/>
          <w:caps/>
        </w:rPr>
      </w:pPr>
      <w:r w:rsidRPr="004206F5">
        <w:rPr>
          <w:rFonts w:ascii="Open Sans" w:hAnsi="Open Sans" w:cs="Arial"/>
          <w:b/>
          <w:caps/>
        </w:rPr>
        <w:t>IBERDROLA, S.A.</w:t>
      </w:r>
    </w:p>
    <w:p w14:paraId="470B8814" w14:textId="77777777" w:rsidR="00F8108C" w:rsidRPr="004206F5" w:rsidRDefault="00F8108C" w:rsidP="007A07D5">
      <w:pPr>
        <w:numPr>
          <w:ilvl w:val="1"/>
          <w:numId w:val="4"/>
        </w:numPr>
        <w:spacing w:line="360" w:lineRule="auto"/>
        <w:outlineLvl w:val="4"/>
        <w:rPr>
          <w:rFonts w:ascii="Open Sans" w:hAnsi="Open Sans" w:cs="Arial"/>
          <w:b/>
          <w:caps/>
        </w:rPr>
      </w:pPr>
      <w:r w:rsidRPr="004206F5">
        <w:rPr>
          <w:rFonts w:ascii="Open Sans" w:hAnsi="Open Sans" w:cs="Arial"/>
          <w:b/>
          <w:caps/>
        </w:rPr>
        <w:t>RED ELÉCTRICA CORPORACIÓN, S.A. (REC)</w:t>
      </w:r>
    </w:p>
    <w:p w14:paraId="2070356B" w14:textId="3FFE2E5A" w:rsidR="00067D70" w:rsidRPr="004206F5" w:rsidRDefault="00594D7D" w:rsidP="007A07D5">
      <w:pPr>
        <w:numPr>
          <w:ilvl w:val="1"/>
          <w:numId w:val="4"/>
        </w:numPr>
        <w:spacing w:line="360" w:lineRule="auto"/>
        <w:outlineLvl w:val="4"/>
        <w:rPr>
          <w:rFonts w:ascii="Open Sans" w:hAnsi="Open Sans" w:cs="Arial"/>
          <w:b/>
          <w:caps/>
        </w:rPr>
      </w:pPr>
      <w:r w:rsidRPr="004206F5">
        <w:rPr>
          <w:rFonts w:ascii="Open Sans" w:hAnsi="Open Sans" w:cs="Arial"/>
          <w:b/>
          <w:caps/>
        </w:rPr>
        <w:t>REPSOL</w:t>
      </w:r>
      <w:r w:rsidR="00F8108C" w:rsidRPr="004206F5">
        <w:rPr>
          <w:rFonts w:ascii="Open Sans" w:hAnsi="Open Sans" w:cs="Arial"/>
          <w:b/>
          <w:caps/>
        </w:rPr>
        <w:t>, S.A.</w:t>
      </w:r>
    </w:p>
    <w:p w14:paraId="768FB474" w14:textId="01AC6554" w:rsidR="005B70B4" w:rsidRDefault="00067D70" w:rsidP="005B70B4">
      <w:pPr>
        <w:rPr>
          <w:rFonts w:ascii="Arial" w:hAnsi="Arial" w:cs="Arial"/>
          <w:b/>
          <w:caps/>
        </w:rPr>
      </w:pPr>
      <w:r>
        <w:rPr>
          <w:rFonts w:ascii="Arial" w:hAnsi="Arial" w:cs="Arial"/>
          <w:b/>
          <w:caps/>
        </w:rPr>
        <w:br w:type="page"/>
      </w:r>
    </w:p>
    <w:p w14:paraId="3FAEDDD6" w14:textId="77777777" w:rsidR="008068E0" w:rsidRDefault="008068E0">
      <w:pPr>
        <w:rPr>
          <w:rFonts w:ascii="Open Sans" w:hAnsi="Open Sans" w:cs="Open Sans"/>
          <w:sz w:val="20"/>
          <w:szCs w:val="20"/>
        </w:rPr>
      </w:pPr>
    </w:p>
    <w:p w14:paraId="2B08B521" w14:textId="77777777" w:rsidR="006458EC" w:rsidRDefault="006458EC" w:rsidP="006458EC">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82" w:name="Enagas"/>
      <w:r>
        <w:rPr>
          <w:rFonts w:ascii="Open Sans" w:hAnsi="Open Sans" w:cs="Open Sans"/>
          <w:b/>
          <w:bCs/>
          <w:caps/>
          <w:color w:val="FFFFFF"/>
        </w:rPr>
        <w:t>EnagAs S.A</w:t>
      </w:r>
      <w:r>
        <w:rPr>
          <w:rFonts w:ascii="Open Sans" w:hAnsi="Open Sans" w:cs="Arial"/>
          <w:b/>
          <w:caps/>
          <w:color w:val="FFFFFF"/>
        </w:rPr>
        <w:t>.</w:t>
      </w:r>
    </w:p>
    <w:bookmarkEnd w:id="82"/>
    <w:p w14:paraId="08196AED" w14:textId="77777777" w:rsidR="006458EC" w:rsidRDefault="006458EC" w:rsidP="006458EC">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olor w:val="FFFFFF"/>
        </w:rPr>
      </w:pPr>
      <w:r>
        <w:rPr>
          <w:rFonts w:ascii="Open Sans" w:hAnsi="Open Sans" w:cs="Arial"/>
          <w:b/>
          <w:i/>
          <w:color w:val="FFFFFF"/>
        </w:rPr>
        <w:t>(Enagás)</w:t>
      </w:r>
    </w:p>
    <w:p w14:paraId="599277CD" w14:textId="77777777" w:rsidR="006458EC" w:rsidRDefault="006458EC" w:rsidP="006458EC">
      <w:pPr>
        <w:jc w:val="both"/>
        <w:outlineLvl w:val="5"/>
        <w:rPr>
          <w:rFonts w:ascii="Open Sans" w:hAnsi="Open Sans" w:cs="Arial"/>
          <w:b/>
          <w:sz w:val="22"/>
          <w:szCs w:val="22"/>
          <w:u w:val="single"/>
        </w:rPr>
      </w:pPr>
    </w:p>
    <w:p w14:paraId="2E3B4287" w14:textId="77777777" w:rsidR="00F32F9C" w:rsidRPr="00F15896" w:rsidRDefault="00F32F9C" w:rsidP="00F32F9C">
      <w:pPr>
        <w:jc w:val="both"/>
        <w:outlineLvl w:val="5"/>
        <w:rPr>
          <w:rFonts w:ascii="Open Sans" w:hAnsi="Open Sans" w:cs="Arial"/>
          <w:b/>
          <w:sz w:val="26"/>
          <w:szCs w:val="22"/>
          <w:u w:val="single"/>
        </w:rPr>
      </w:pPr>
      <w:r w:rsidRPr="00F15896">
        <w:rPr>
          <w:rFonts w:ascii="Open Sans" w:hAnsi="Open Sans" w:cs="Arial"/>
          <w:b/>
          <w:sz w:val="22"/>
          <w:szCs w:val="22"/>
          <w:u w:val="single"/>
        </w:rPr>
        <w:t>1. Datos generales</w:t>
      </w:r>
    </w:p>
    <w:p w14:paraId="3273FD0D" w14:textId="77777777" w:rsidR="00F32F9C" w:rsidRPr="00F15896" w:rsidRDefault="00F32F9C" w:rsidP="00F32F9C">
      <w:pPr>
        <w:jc w:val="both"/>
        <w:rPr>
          <w:rFonts w:ascii="Open Sans" w:hAnsi="Open Sans" w:cs="Arial"/>
          <w:sz w:val="22"/>
          <w:szCs w:val="22"/>
          <w:u w:val="single"/>
        </w:rPr>
      </w:pPr>
    </w:p>
    <w:p w14:paraId="26BFA48E"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u w:val="single"/>
        </w:rPr>
        <w:t>Productos/servicios</w:t>
      </w:r>
    </w:p>
    <w:p w14:paraId="2118A458" w14:textId="77777777" w:rsidR="00F32F9C" w:rsidRPr="00F15896" w:rsidRDefault="00F32F9C" w:rsidP="00F32F9C">
      <w:pPr>
        <w:jc w:val="both"/>
        <w:rPr>
          <w:rFonts w:ascii="Open Sans" w:hAnsi="Open Sans" w:cs="Arial"/>
          <w:sz w:val="20"/>
          <w:szCs w:val="20"/>
        </w:rPr>
      </w:pPr>
    </w:p>
    <w:p w14:paraId="496585C1"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Enagás, S.A. opera en el sector energético, subsector gasista, y de acuerdo con su objeto social, sus actividades más relevantes son:</w:t>
      </w:r>
    </w:p>
    <w:p w14:paraId="56C92962" w14:textId="77777777" w:rsidR="00F32F9C" w:rsidRPr="00F15896" w:rsidRDefault="00F32F9C" w:rsidP="00F32F9C">
      <w:pPr>
        <w:jc w:val="both"/>
        <w:rPr>
          <w:rFonts w:ascii="Open Sans" w:hAnsi="Open Sans" w:cs="Arial"/>
          <w:sz w:val="20"/>
          <w:szCs w:val="20"/>
        </w:rPr>
      </w:pPr>
    </w:p>
    <w:p w14:paraId="7E45807F" w14:textId="77777777" w:rsidR="00F32F9C" w:rsidRPr="00F15896" w:rsidRDefault="00F32F9C" w:rsidP="000B70C9">
      <w:pPr>
        <w:numPr>
          <w:ilvl w:val="0"/>
          <w:numId w:val="28"/>
        </w:numPr>
        <w:spacing w:after="120"/>
        <w:ind w:left="714" w:hanging="357"/>
        <w:jc w:val="both"/>
        <w:rPr>
          <w:rFonts w:ascii="Open Sans" w:hAnsi="Open Sans" w:cs="Arial"/>
          <w:sz w:val="20"/>
          <w:szCs w:val="20"/>
        </w:rPr>
      </w:pPr>
      <w:r w:rsidRPr="00F15896">
        <w:rPr>
          <w:rFonts w:ascii="Open Sans" w:hAnsi="Open Sans" w:cs="Arial"/>
          <w:sz w:val="20"/>
          <w:szCs w:val="20"/>
        </w:rPr>
        <w:t>Las actividades de regasificación, transporte básico y secundario y almacenamiento de gas natural, mediante o a través de las infraestructuras o instalaciones gasistas correspondientes, propias o de terceros, así como la realización de actividades auxiliares o vinculadas a las anteriores.</w:t>
      </w:r>
    </w:p>
    <w:p w14:paraId="4B5F778E" w14:textId="77777777" w:rsidR="00F32F9C" w:rsidRPr="00F15896" w:rsidRDefault="00F32F9C" w:rsidP="000B70C9">
      <w:pPr>
        <w:numPr>
          <w:ilvl w:val="0"/>
          <w:numId w:val="28"/>
        </w:numPr>
        <w:spacing w:after="120"/>
        <w:ind w:left="714" w:hanging="357"/>
        <w:jc w:val="both"/>
        <w:rPr>
          <w:rFonts w:ascii="Open Sans" w:hAnsi="Open Sans" w:cs="Arial"/>
          <w:sz w:val="20"/>
          <w:szCs w:val="20"/>
        </w:rPr>
      </w:pPr>
      <w:r w:rsidRPr="00F15896">
        <w:rPr>
          <w:rFonts w:ascii="Open Sans" w:hAnsi="Open Sans" w:cs="Arial"/>
          <w:sz w:val="20"/>
          <w:szCs w:val="20"/>
        </w:rPr>
        <w:t>El diseño, construcción, puesta en marcha, explotación, operación y mantenimientos de todo tipo de infraestructuras gasistas e instalaciones complementarias, incluidas redes de telecomunicaciones, telemando y control de cualquier naturaleza y redes eléctricas, ya sean propias o propiedad de terceros.</w:t>
      </w:r>
    </w:p>
    <w:p w14:paraId="287A6053" w14:textId="77777777" w:rsidR="00F32F9C" w:rsidRPr="00F15896" w:rsidRDefault="00F32F9C" w:rsidP="000B70C9">
      <w:pPr>
        <w:numPr>
          <w:ilvl w:val="0"/>
          <w:numId w:val="28"/>
        </w:numPr>
        <w:spacing w:after="120"/>
        <w:ind w:left="714" w:hanging="357"/>
        <w:jc w:val="both"/>
        <w:rPr>
          <w:rFonts w:ascii="Open Sans" w:hAnsi="Open Sans" w:cs="Arial"/>
          <w:sz w:val="20"/>
          <w:szCs w:val="20"/>
        </w:rPr>
      </w:pPr>
      <w:r w:rsidRPr="00F15896">
        <w:rPr>
          <w:rFonts w:ascii="Open Sans" w:hAnsi="Open Sans" w:cs="Arial"/>
          <w:sz w:val="20"/>
          <w:szCs w:val="20"/>
        </w:rPr>
        <w:t>El desarrollo de todas las funciones relacionadas con la gestión técnica del sistema gasista.</w:t>
      </w:r>
    </w:p>
    <w:p w14:paraId="79CE0C8B" w14:textId="77777777" w:rsidR="00F32F9C" w:rsidRPr="00F15896" w:rsidRDefault="00F32F9C" w:rsidP="000B70C9">
      <w:pPr>
        <w:numPr>
          <w:ilvl w:val="0"/>
          <w:numId w:val="28"/>
        </w:numPr>
        <w:spacing w:after="120"/>
        <w:ind w:left="714" w:hanging="357"/>
        <w:jc w:val="both"/>
        <w:rPr>
          <w:rFonts w:ascii="Open Sans" w:hAnsi="Open Sans" w:cs="Arial"/>
          <w:sz w:val="20"/>
          <w:szCs w:val="20"/>
        </w:rPr>
      </w:pPr>
      <w:r w:rsidRPr="00F15896">
        <w:rPr>
          <w:rFonts w:ascii="Open Sans" w:hAnsi="Open Sans" w:cs="Arial"/>
          <w:sz w:val="20"/>
          <w:szCs w:val="20"/>
        </w:rPr>
        <w:t xml:space="preserve">Las actividades de transporte y almacenamiento de dióxido de carbono, hidrógeno, biogás y otros fluidos de carácter energético, mediante o a través de las instalaciones correspondientes, propias o de terceros, así como el diseño, construcción, puesta en marcha, explotación, operación y mantenimiento de todo tipo de infraestructuras e instalaciones complementarias, necesarias para dichas actividades. </w:t>
      </w:r>
    </w:p>
    <w:p w14:paraId="70C419C5" w14:textId="77777777" w:rsidR="00F32F9C" w:rsidRPr="00F15896" w:rsidRDefault="00F32F9C" w:rsidP="000B70C9">
      <w:pPr>
        <w:numPr>
          <w:ilvl w:val="0"/>
          <w:numId w:val="28"/>
        </w:numPr>
        <w:spacing w:after="120"/>
        <w:ind w:left="714" w:hanging="357"/>
        <w:jc w:val="both"/>
        <w:rPr>
          <w:rFonts w:ascii="Open Sans" w:hAnsi="Open Sans" w:cs="Arial"/>
          <w:sz w:val="20"/>
          <w:szCs w:val="20"/>
        </w:rPr>
      </w:pPr>
      <w:r w:rsidRPr="00F15896">
        <w:rPr>
          <w:rFonts w:ascii="Open Sans" w:hAnsi="Open Sans" w:cs="Arial"/>
          <w:sz w:val="20"/>
          <w:szCs w:val="20"/>
        </w:rPr>
        <w:t xml:space="preserve">Las actividades de aprovechamiento del calor, del frío y de energías asociadas a sus actividades principales o resultado de las mismas. </w:t>
      </w:r>
    </w:p>
    <w:p w14:paraId="2E1D7C59" w14:textId="77777777" w:rsidR="00F32F9C" w:rsidRPr="00F15896" w:rsidRDefault="00F32F9C" w:rsidP="000B70C9">
      <w:pPr>
        <w:numPr>
          <w:ilvl w:val="0"/>
          <w:numId w:val="28"/>
        </w:numPr>
        <w:spacing w:after="120"/>
        <w:ind w:left="714" w:hanging="357"/>
        <w:jc w:val="both"/>
        <w:rPr>
          <w:rFonts w:ascii="Open Sans" w:hAnsi="Open Sans" w:cs="Arial"/>
          <w:sz w:val="22"/>
          <w:szCs w:val="22"/>
        </w:rPr>
      </w:pPr>
      <w:r w:rsidRPr="00F15896">
        <w:rPr>
          <w:rFonts w:ascii="Open Sans" w:hAnsi="Open Sans" w:cs="Arial"/>
          <w:sz w:val="20"/>
          <w:szCs w:val="20"/>
        </w:rPr>
        <w:t>La prestación de servicios de diversa naturaleza, entre ellos, de ingeniería, construcción,  asesoría, consultoría, en relación con actividades que constituyen su objeto así como la participación en actividades de gestión de mercados de gas natural, en la medida en que sean compatibles con las actividades atribuidas por la ley a la Sociedad.</w:t>
      </w:r>
    </w:p>
    <w:p w14:paraId="3C383DD2" w14:textId="77777777" w:rsidR="00F32F9C" w:rsidRPr="00F15896" w:rsidRDefault="00F32F9C" w:rsidP="00F32F9C">
      <w:pPr>
        <w:jc w:val="both"/>
        <w:rPr>
          <w:rFonts w:ascii="Open Sans" w:hAnsi="Open Sans" w:cs="Arial"/>
          <w:sz w:val="20"/>
          <w:szCs w:val="20"/>
        </w:rPr>
      </w:pPr>
    </w:p>
    <w:p w14:paraId="54A872CF" w14:textId="77777777" w:rsidR="00F32F9C" w:rsidRPr="00F15896" w:rsidRDefault="00F32F9C" w:rsidP="00F32F9C">
      <w:pPr>
        <w:jc w:val="both"/>
        <w:rPr>
          <w:rFonts w:ascii="Open Sans" w:hAnsi="Open Sans" w:cs="Arial"/>
          <w:sz w:val="20"/>
          <w:szCs w:val="20"/>
          <w:u w:val="single"/>
        </w:rPr>
      </w:pPr>
      <w:r w:rsidRPr="00F15896">
        <w:rPr>
          <w:rFonts w:ascii="Open Sans" w:hAnsi="Open Sans" w:cs="Arial"/>
          <w:sz w:val="20"/>
          <w:szCs w:val="20"/>
          <w:u w:val="single"/>
        </w:rPr>
        <w:t>Alcance geográfico</w:t>
      </w:r>
    </w:p>
    <w:p w14:paraId="5D496104" w14:textId="77777777" w:rsidR="00F32F9C" w:rsidRPr="00F15896" w:rsidRDefault="00F32F9C" w:rsidP="00F32F9C">
      <w:pPr>
        <w:jc w:val="both"/>
        <w:rPr>
          <w:rFonts w:ascii="Open Sans" w:hAnsi="Open Sans" w:cs="Arial"/>
          <w:sz w:val="20"/>
          <w:szCs w:val="20"/>
        </w:rPr>
      </w:pPr>
    </w:p>
    <w:p w14:paraId="631BACEB"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Enagás opera principalmente en España, aunque tiene presencia y/o opera igualmente en Albania, Bélgica, Canadá, Chile, Holanda, Italia, Grecia, México, Perú, Suecia y Suiza, a través de sociedades dependientes, sociedades asociadas, operaciones conjuntas y negocios conjuntos. En Albania, Grecia e Italia la presencia es a través de la sociedad TAP en la que Enagas tiene una participación del 16%.</w:t>
      </w:r>
    </w:p>
    <w:p w14:paraId="37C5A4BD" w14:textId="77777777" w:rsidR="00F32F9C" w:rsidRPr="00F15896" w:rsidRDefault="00F32F9C" w:rsidP="00F32F9C">
      <w:pPr>
        <w:jc w:val="both"/>
        <w:rPr>
          <w:rFonts w:ascii="Open Sans" w:hAnsi="Open Sans" w:cs="Arial"/>
          <w:sz w:val="20"/>
          <w:szCs w:val="20"/>
        </w:rPr>
      </w:pPr>
    </w:p>
    <w:p w14:paraId="344DB9AF"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El Grupo dispone de sociedades dependientes en los siguientes países:</w:t>
      </w:r>
    </w:p>
    <w:p w14:paraId="24D92BF1" w14:textId="77777777" w:rsidR="00F32F9C" w:rsidRPr="00F15896" w:rsidRDefault="00F32F9C" w:rsidP="00F32F9C">
      <w:pPr>
        <w:jc w:val="both"/>
        <w:rPr>
          <w:rFonts w:ascii="Open Sans" w:hAnsi="Open Sans" w:cs="Arial"/>
          <w:sz w:val="20"/>
          <w:szCs w:val="20"/>
        </w:rPr>
      </w:pPr>
    </w:p>
    <w:p w14:paraId="3A778D53"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España: Enagás Transporte, S.A.U. (100%), Enagás GTS, S.A.U. (100%), Enagás Internacional, S.L.U. (100%), Enagás Financiaciones, S.A.U. (100%), Enagás Transporte del Norte S.L. (100%), Compañía Transportista de Gas Canarias, S.A. (100%).</w:t>
      </w:r>
    </w:p>
    <w:p w14:paraId="17757BA7" w14:textId="77777777" w:rsidR="00F32F9C" w:rsidRPr="00F15896" w:rsidRDefault="00F32F9C" w:rsidP="000B70C9">
      <w:pPr>
        <w:numPr>
          <w:ilvl w:val="0"/>
          <w:numId w:val="28"/>
        </w:numPr>
        <w:jc w:val="both"/>
        <w:rPr>
          <w:rFonts w:ascii="Open Sans" w:hAnsi="Open Sans" w:cs="Arial"/>
          <w:sz w:val="20"/>
          <w:szCs w:val="20"/>
          <w:lang w:val="en-US"/>
        </w:rPr>
      </w:pPr>
      <w:r w:rsidRPr="00F15896">
        <w:rPr>
          <w:rFonts w:ascii="Open Sans" w:hAnsi="Open Sans" w:cs="Arial"/>
          <w:sz w:val="20"/>
          <w:szCs w:val="20"/>
          <w:lang w:val="en-US"/>
        </w:rPr>
        <w:t>Chile: Holding Enagás Chile, S.P.A. (100%).</w:t>
      </w:r>
    </w:p>
    <w:p w14:paraId="1115689F"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México: Holding Enagás México, S.A. (100%).</w:t>
      </w:r>
    </w:p>
    <w:p w14:paraId="7D5B6304" w14:textId="77777777" w:rsidR="00F32F9C" w:rsidRPr="00F15896" w:rsidRDefault="00F32F9C" w:rsidP="000B70C9">
      <w:pPr>
        <w:numPr>
          <w:ilvl w:val="0"/>
          <w:numId w:val="28"/>
        </w:numPr>
        <w:jc w:val="both"/>
        <w:rPr>
          <w:rFonts w:ascii="Open Sans" w:hAnsi="Open Sans" w:cs="Arial"/>
          <w:sz w:val="20"/>
          <w:szCs w:val="20"/>
          <w:lang w:val="en-US"/>
        </w:rPr>
      </w:pPr>
      <w:r w:rsidRPr="00F15896">
        <w:rPr>
          <w:rFonts w:ascii="Open Sans" w:hAnsi="Open Sans" w:cs="Arial"/>
          <w:sz w:val="20"/>
          <w:szCs w:val="20"/>
          <w:lang w:val="en-US"/>
        </w:rPr>
        <w:t>Perú: Holding Enagás Perú, S.A.C. (100%).</w:t>
      </w:r>
    </w:p>
    <w:p w14:paraId="35F286B1"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EEUU: Holding Enagás USA, LLC (100%).</w:t>
      </w:r>
    </w:p>
    <w:p w14:paraId="3426000E" w14:textId="77777777" w:rsidR="00F32F9C" w:rsidRPr="00F15896" w:rsidRDefault="00F32F9C" w:rsidP="00F32F9C">
      <w:pPr>
        <w:jc w:val="both"/>
        <w:rPr>
          <w:rFonts w:ascii="Open Sans" w:hAnsi="Open Sans" w:cs="Arial"/>
          <w:sz w:val="20"/>
          <w:szCs w:val="20"/>
        </w:rPr>
      </w:pPr>
    </w:p>
    <w:p w14:paraId="30DCE511"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Además dispone de sociedades asociadas y negocios conjuntos en:</w:t>
      </w:r>
    </w:p>
    <w:p w14:paraId="254C77B2" w14:textId="77777777" w:rsidR="00F32F9C" w:rsidRPr="00F15896" w:rsidRDefault="00F32F9C" w:rsidP="00F32F9C">
      <w:pPr>
        <w:jc w:val="both"/>
        <w:rPr>
          <w:rFonts w:ascii="Open Sans" w:hAnsi="Open Sans" w:cs="Arial"/>
          <w:sz w:val="20"/>
          <w:szCs w:val="20"/>
        </w:rPr>
      </w:pPr>
    </w:p>
    <w:p w14:paraId="0198BC30"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Canadá: Holding Tecgas, Inc. (30%).</w:t>
      </w:r>
    </w:p>
    <w:p w14:paraId="5B782CB7"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Chile: Holding Terminal de Valparaiso S.A. (51%), GNL Quintero, S.A. (20,4%).</w:t>
      </w:r>
    </w:p>
    <w:p w14:paraId="2C5859ED"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España: Gasoducto Al-Andalus, S.A. (66,69%), Gasoducto de Extremadura (51%), Bahía de Bizkaia Gas, S.L. (50%), S.A.Holding Iniciativas de Gas, S.L. (60%),  Planta de Regasificación de Sagunto, S.A. (30%).</w:t>
      </w:r>
    </w:p>
    <w:p w14:paraId="547E9830"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Holanda: Holding Subgrupo Altamira LNG, C.V. (40%).</w:t>
      </w:r>
    </w:p>
    <w:p w14:paraId="17A14108"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México: Subgrupo Altamira LNG, C.V. (40%), Gasoducto de Morelos, S.A.P.I. de C.V. (50%), Morelos EPC, S.A.P.I. de C.V. (50%), EC Soto La Marina SAPI de CV (50%), EC Soto La Marina EPC SAPI de CV (50%), EC Soto la Marina O&amp;M SAPI de CV (50%), Morelos O&amp;M, S.A.P.I de CV (50%).</w:t>
      </w:r>
    </w:p>
    <w:p w14:paraId="20489059"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Perú: Transportadora de gas del Perú, S.A. (24,34%), Gasoducto del Sur Peruano, S.A. (25%), Compañía Operadora de Gas del Amazonas, S.A.C. (30%).</w:t>
      </w:r>
    </w:p>
    <w:p w14:paraId="1AD661E7" w14:textId="77777777" w:rsidR="00F32F9C" w:rsidRPr="00F15896" w:rsidRDefault="00F32F9C" w:rsidP="000B70C9">
      <w:pPr>
        <w:numPr>
          <w:ilvl w:val="0"/>
          <w:numId w:val="28"/>
        </w:numPr>
        <w:jc w:val="both"/>
        <w:rPr>
          <w:rFonts w:ascii="Open Sans" w:hAnsi="Open Sans" w:cs="Arial"/>
          <w:sz w:val="20"/>
          <w:szCs w:val="20"/>
          <w:lang w:val="en-US"/>
        </w:rPr>
      </w:pPr>
      <w:r w:rsidRPr="00F15896">
        <w:rPr>
          <w:rFonts w:ascii="Open Sans" w:hAnsi="Open Sans" w:cs="Arial"/>
          <w:sz w:val="20"/>
          <w:szCs w:val="20"/>
          <w:lang w:val="en-US"/>
        </w:rPr>
        <w:t>Suiza: Trans Adriatic Pipeline, A.G. (16%).</w:t>
      </w:r>
    </w:p>
    <w:p w14:paraId="2D769DE8" w14:textId="77777777" w:rsidR="00F32F9C" w:rsidRPr="00F15896" w:rsidRDefault="00F32F9C" w:rsidP="000B70C9">
      <w:pPr>
        <w:numPr>
          <w:ilvl w:val="0"/>
          <w:numId w:val="28"/>
        </w:numPr>
        <w:jc w:val="both"/>
        <w:rPr>
          <w:rFonts w:ascii="Open Sans" w:hAnsi="Open Sans" w:cs="Arial"/>
          <w:sz w:val="20"/>
          <w:szCs w:val="20"/>
        </w:rPr>
      </w:pPr>
      <w:r w:rsidRPr="00F15896">
        <w:rPr>
          <w:rFonts w:ascii="Open Sans" w:hAnsi="Open Sans" w:cs="Arial"/>
          <w:sz w:val="20"/>
          <w:szCs w:val="20"/>
        </w:rPr>
        <w:t>Suecia: Subgrupo Swedegas (50%).</w:t>
      </w:r>
    </w:p>
    <w:p w14:paraId="3A948F98" w14:textId="77777777" w:rsidR="00F32F9C" w:rsidRPr="00F15896" w:rsidRDefault="00F32F9C" w:rsidP="00F32F9C">
      <w:pPr>
        <w:jc w:val="both"/>
        <w:rPr>
          <w:rFonts w:ascii="Open Sans" w:hAnsi="Open Sans" w:cs="Arial"/>
          <w:sz w:val="20"/>
          <w:szCs w:val="20"/>
        </w:rPr>
      </w:pPr>
    </w:p>
    <w:p w14:paraId="70558A8A" w14:textId="77777777" w:rsidR="00F32F9C" w:rsidRPr="00F15896" w:rsidRDefault="00F32F9C" w:rsidP="00F32F9C">
      <w:pPr>
        <w:jc w:val="both"/>
        <w:rPr>
          <w:rFonts w:ascii="Open Sans" w:hAnsi="Open Sans" w:cs="Arial"/>
          <w:sz w:val="20"/>
          <w:szCs w:val="20"/>
        </w:rPr>
      </w:pPr>
    </w:p>
    <w:p w14:paraId="1CB0C58C" w14:textId="77777777" w:rsidR="00F32F9C" w:rsidRPr="00F15896" w:rsidRDefault="00F32F9C" w:rsidP="00F32F9C">
      <w:pPr>
        <w:jc w:val="both"/>
        <w:rPr>
          <w:rFonts w:ascii="Open Sans" w:hAnsi="Open Sans" w:cs="Arial"/>
          <w:sz w:val="20"/>
          <w:szCs w:val="20"/>
          <w:u w:val="single"/>
        </w:rPr>
      </w:pPr>
      <w:r w:rsidRPr="00F15896">
        <w:rPr>
          <w:rFonts w:ascii="Open Sans" w:hAnsi="Open Sans" w:cs="Arial"/>
          <w:sz w:val="20"/>
          <w:szCs w:val="20"/>
          <w:u w:val="single"/>
        </w:rPr>
        <w:t>Cifras relevantes de la empresa:</w:t>
      </w:r>
    </w:p>
    <w:p w14:paraId="4497579D" w14:textId="77777777" w:rsidR="00F32F9C" w:rsidRPr="00F15896" w:rsidRDefault="00F32F9C" w:rsidP="00F32F9C">
      <w:pPr>
        <w:jc w:val="both"/>
        <w:rPr>
          <w:rFonts w:ascii="Open Sans" w:hAnsi="Open Sans" w:cs="Arial"/>
          <w:sz w:val="20"/>
          <w:szCs w:val="20"/>
          <w:u w:val="single"/>
        </w:rPr>
      </w:pPr>
    </w:p>
    <w:p w14:paraId="7D08EE02" w14:textId="77777777" w:rsidR="00F32F9C" w:rsidRPr="00F15896" w:rsidRDefault="00F32F9C" w:rsidP="00F32F9C">
      <w:pPr>
        <w:jc w:val="both"/>
        <w:rPr>
          <w:rFonts w:ascii="Open Sans" w:hAnsi="Open Sans" w:cs="Open Sans"/>
          <w:sz w:val="20"/>
          <w:szCs w:val="20"/>
        </w:rPr>
      </w:pPr>
      <w:r w:rsidRPr="00F15896">
        <w:rPr>
          <w:rFonts w:ascii="Open Sans" w:hAnsi="Open Sans" w:cs="Open Sans"/>
          <w:sz w:val="20"/>
          <w:szCs w:val="20"/>
        </w:rPr>
        <w:t>Enagás ha obtenido una facturación en 2015 de 1.196,37 millones de euros, lo que le ha generado unos beneficios antes de impuestos al grupo consolidado de 412.662 miles de euros, con un impuesto de sociedades de 143.587 miles de euros. Al 31 de diciembre de 2015 el grupo cuenta con un total de 1.337 empleados.</w:t>
      </w:r>
    </w:p>
    <w:p w14:paraId="5A9FC9F9" w14:textId="77777777" w:rsidR="00F32F9C" w:rsidRPr="00F15896" w:rsidRDefault="00F32F9C" w:rsidP="00F32F9C">
      <w:pPr>
        <w:jc w:val="both"/>
        <w:rPr>
          <w:rFonts w:ascii="Open Sans" w:hAnsi="Open Sans" w:cs="Arial"/>
          <w:sz w:val="20"/>
          <w:szCs w:val="20"/>
          <w:u w:val="single"/>
        </w:rPr>
      </w:pPr>
    </w:p>
    <w:p w14:paraId="3F142A0D" w14:textId="77777777" w:rsidR="00F32F9C" w:rsidRPr="00F15896" w:rsidRDefault="00F32F9C" w:rsidP="00F32F9C">
      <w:pPr>
        <w:jc w:val="both"/>
        <w:rPr>
          <w:rFonts w:ascii="Open Sans" w:hAnsi="Open Sans" w:cs="Arial"/>
          <w:sz w:val="20"/>
          <w:szCs w:val="20"/>
          <w:u w:val="single"/>
        </w:rPr>
      </w:pPr>
    </w:p>
    <w:p w14:paraId="039E1157" w14:textId="77777777" w:rsidR="00F32F9C" w:rsidRPr="00F15896" w:rsidRDefault="00F32F9C" w:rsidP="00F32F9C">
      <w:pPr>
        <w:jc w:val="both"/>
        <w:rPr>
          <w:rFonts w:ascii="Open Sans" w:hAnsi="Open Sans" w:cs="Arial"/>
          <w:sz w:val="20"/>
          <w:szCs w:val="20"/>
          <w:u w:val="single"/>
        </w:rPr>
      </w:pPr>
      <w:r w:rsidRPr="00F15896">
        <w:rPr>
          <w:rFonts w:ascii="Open Sans" w:hAnsi="Open Sans" w:cs="Arial"/>
          <w:sz w:val="20"/>
          <w:szCs w:val="20"/>
          <w:u w:val="single"/>
        </w:rPr>
        <w:t>Estándares voluntarios relacionados con fiscalidad responsable</w:t>
      </w:r>
    </w:p>
    <w:p w14:paraId="620BD733" w14:textId="77777777" w:rsidR="00F32F9C" w:rsidRPr="00F15896" w:rsidRDefault="00F32F9C" w:rsidP="00F32F9C">
      <w:pPr>
        <w:jc w:val="both"/>
        <w:rPr>
          <w:rFonts w:ascii="Open Sans" w:hAnsi="Open Sans" w:cs="Arial"/>
          <w:sz w:val="20"/>
          <w:szCs w:val="20"/>
          <w:u w:val="single"/>
        </w:rPr>
      </w:pPr>
    </w:p>
    <w:p w14:paraId="7B4B99E3"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Enagás, en el ejercicio 2015, no informa que se haya adherido voluntariamente a ningún estándar relacionado con fiscalidad responsable</w:t>
      </w:r>
    </w:p>
    <w:p w14:paraId="1E5B9BEB" w14:textId="77777777" w:rsidR="00F32F9C" w:rsidRPr="00F15896" w:rsidRDefault="00F32F9C" w:rsidP="00F32F9C">
      <w:pPr>
        <w:jc w:val="both"/>
        <w:rPr>
          <w:rFonts w:ascii="Open Sans" w:hAnsi="Open Sans" w:cs="Arial"/>
          <w:sz w:val="20"/>
          <w:szCs w:val="20"/>
        </w:rPr>
      </w:pPr>
    </w:p>
    <w:p w14:paraId="3B7942FD" w14:textId="77777777" w:rsidR="00F32F9C" w:rsidRPr="00F15896" w:rsidRDefault="00F32F9C" w:rsidP="00F32F9C">
      <w:pPr>
        <w:jc w:val="both"/>
        <w:rPr>
          <w:rFonts w:ascii="Open Sans" w:hAnsi="Open Sans" w:cs="Arial"/>
          <w:sz w:val="20"/>
          <w:szCs w:val="20"/>
          <w:u w:val="single"/>
        </w:rPr>
      </w:pPr>
      <w:r w:rsidRPr="00F15896">
        <w:rPr>
          <w:rFonts w:ascii="Open Sans" w:hAnsi="Open Sans" w:cs="Arial"/>
          <w:sz w:val="20"/>
          <w:szCs w:val="20"/>
          <w:u w:val="single"/>
        </w:rPr>
        <w:br w:type="page"/>
      </w:r>
    </w:p>
    <w:p w14:paraId="360BBBBA" w14:textId="77777777" w:rsidR="00F32F9C" w:rsidRPr="00F15896" w:rsidRDefault="00F32F9C" w:rsidP="00F32F9C">
      <w:pPr>
        <w:jc w:val="both"/>
        <w:rPr>
          <w:rFonts w:ascii="Open Sans" w:hAnsi="Open Sans" w:cs="Arial"/>
          <w:sz w:val="20"/>
          <w:szCs w:val="20"/>
          <w:u w:val="single"/>
        </w:rPr>
      </w:pPr>
      <w:r w:rsidRPr="00F15896">
        <w:rPr>
          <w:rFonts w:ascii="Open Sans" w:hAnsi="Open Sans" w:cs="Arial"/>
          <w:sz w:val="20"/>
          <w:szCs w:val="20"/>
          <w:u w:val="single"/>
        </w:rPr>
        <w:t>Documentos incluidos en el análisis</w:t>
      </w:r>
    </w:p>
    <w:p w14:paraId="7B2DA3E9" w14:textId="77777777" w:rsidR="00F32F9C" w:rsidRPr="00F15896" w:rsidRDefault="00F32F9C" w:rsidP="00F32F9C">
      <w:pPr>
        <w:ind w:firstLine="709"/>
        <w:jc w:val="both"/>
        <w:rPr>
          <w:rFonts w:ascii="Open Sans" w:hAnsi="Open Sans" w:cs="Arial"/>
          <w:sz w:val="20"/>
          <w:szCs w:val="20"/>
        </w:rPr>
      </w:pPr>
    </w:p>
    <w:p w14:paraId="20F61D94"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Para el análisis de la calidad de la información relacionada con fiscalidad de la empresa, se ha tenido en cuenta la información contenida en la siguiente documentación:</w:t>
      </w:r>
    </w:p>
    <w:p w14:paraId="1CD97B07" w14:textId="77777777" w:rsidR="00F32F9C" w:rsidRPr="00F15896" w:rsidRDefault="00F32F9C" w:rsidP="00F32F9C">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549"/>
        <w:gridCol w:w="3969"/>
      </w:tblGrid>
      <w:tr w:rsidR="00F32F9C" w:rsidRPr="00F15896" w14:paraId="1D4CEC3C" w14:textId="77777777" w:rsidTr="00F32F9C">
        <w:trPr>
          <w:trHeight w:val="327"/>
        </w:trPr>
        <w:tc>
          <w:tcPr>
            <w:tcW w:w="4549"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5E51813A" w14:textId="77777777" w:rsidR="00F32F9C" w:rsidRPr="00F15896" w:rsidRDefault="00F32F9C" w:rsidP="00F32F9C">
            <w:pPr>
              <w:jc w:val="center"/>
              <w:rPr>
                <w:rFonts w:ascii="Open Sans" w:hAnsi="Open Sans" w:cs="Arial"/>
                <w:b/>
                <w:sz w:val="20"/>
                <w:szCs w:val="22"/>
              </w:rPr>
            </w:pPr>
            <w:r w:rsidRPr="00F15896">
              <w:rPr>
                <w:rFonts w:ascii="Open Sans" w:hAnsi="Open Sans" w:cs="Arial"/>
                <w:b/>
                <w:sz w:val="20"/>
                <w:szCs w:val="22"/>
              </w:rPr>
              <w:t>DOCUMENTACIÓN</w:t>
            </w:r>
          </w:p>
        </w:tc>
        <w:tc>
          <w:tcPr>
            <w:tcW w:w="3969"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77D7650F" w14:textId="77777777" w:rsidR="00F32F9C" w:rsidRPr="00F15896" w:rsidRDefault="00F32F9C" w:rsidP="00F32F9C">
            <w:pPr>
              <w:jc w:val="center"/>
              <w:rPr>
                <w:rFonts w:ascii="Open Sans" w:hAnsi="Open Sans" w:cs="Arial"/>
                <w:b/>
                <w:sz w:val="20"/>
                <w:szCs w:val="22"/>
              </w:rPr>
            </w:pPr>
            <w:r w:rsidRPr="00F15896">
              <w:rPr>
                <w:rFonts w:ascii="Open Sans" w:hAnsi="Open Sans" w:cs="Arial"/>
                <w:b/>
                <w:sz w:val="20"/>
                <w:szCs w:val="22"/>
              </w:rPr>
              <w:t>OBSERVACIONES</w:t>
            </w:r>
          </w:p>
        </w:tc>
      </w:tr>
      <w:tr w:rsidR="00F32F9C" w:rsidRPr="00F15896" w14:paraId="6FBEEAE5" w14:textId="77777777" w:rsidTr="00F32F9C">
        <w:trPr>
          <w:trHeight w:val="315"/>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2B0F6FF9" w14:textId="77777777" w:rsidR="00F32F9C" w:rsidRPr="00F15896" w:rsidRDefault="00F32F9C" w:rsidP="00F32F9C">
            <w:pPr>
              <w:rPr>
                <w:rFonts w:ascii="Open Sans" w:eastAsia="Arial Unicode MS" w:hAnsi="Open Sans" w:cs="Open Sans"/>
                <w:sz w:val="20"/>
                <w:szCs w:val="20"/>
              </w:rPr>
            </w:pPr>
            <w:r w:rsidRPr="00F15896">
              <w:rPr>
                <w:rFonts w:ascii="Open Sans" w:eastAsia="Arial Unicode MS" w:hAnsi="Open Sans" w:cs="Open Sans"/>
                <w:sz w:val="20"/>
                <w:szCs w:val="20"/>
              </w:rPr>
              <w:t>Cuentas anuales consolidadas 2015</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0A476373" w14:textId="77777777" w:rsidR="00F32F9C" w:rsidRPr="00F15896" w:rsidRDefault="00F32F9C" w:rsidP="00F32F9C">
            <w:pPr>
              <w:jc w:val="both"/>
              <w:rPr>
                <w:rFonts w:ascii="Open Sans" w:eastAsia="Arial Unicode MS" w:hAnsi="Open Sans" w:cs="Arial"/>
                <w:sz w:val="22"/>
                <w:szCs w:val="22"/>
              </w:rPr>
            </w:pPr>
          </w:p>
        </w:tc>
      </w:tr>
      <w:tr w:rsidR="00F32F9C" w:rsidRPr="00F15896" w14:paraId="48D8EF71" w14:textId="77777777" w:rsidTr="00F32F9C">
        <w:trPr>
          <w:trHeight w:val="300"/>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A465545" w14:textId="77777777" w:rsidR="00F32F9C" w:rsidRPr="00F15896" w:rsidRDefault="00F32F9C" w:rsidP="00F32F9C">
            <w:pPr>
              <w:rPr>
                <w:rFonts w:ascii="Open Sans" w:eastAsia="Arial Unicode MS" w:hAnsi="Open Sans" w:cs="Open Sans"/>
                <w:sz w:val="20"/>
                <w:szCs w:val="20"/>
              </w:rPr>
            </w:pPr>
            <w:r w:rsidRPr="00F15896">
              <w:rPr>
                <w:rFonts w:ascii="Open Sans" w:eastAsia="Arial Unicode MS" w:hAnsi="Open Sans" w:cs="Open Sans"/>
                <w:sz w:val="20"/>
                <w:szCs w:val="20"/>
              </w:rPr>
              <w:t>Informe anual 2015</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741F821" w14:textId="77777777" w:rsidR="00F32F9C" w:rsidRPr="00F15896" w:rsidRDefault="00F32F9C" w:rsidP="00F32F9C">
            <w:pPr>
              <w:jc w:val="both"/>
              <w:rPr>
                <w:rFonts w:ascii="Open Sans" w:eastAsia="Arial Unicode MS" w:hAnsi="Open Sans" w:cs="Arial"/>
                <w:sz w:val="22"/>
                <w:szCs w:val="22"/>
              </w:rPr>
            </w:pPr>
          </w:p>
        </w:tc>
      </w:tr>
      <w:tr w:rsidR="00F32F9C" w:rsidRPr="00F15896" w14:paraId="6B57DE2B" w14:textId="77777777" w:rsidTr="00F32F9C">
        <w:trPr>
          <w:trHeight w:val="264"/>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56699A4" w14:textId="77777777" w:rsidR="00F32F9C" w:rsidRPr="00F15896" w:rsidRDefault="00F32F9C" w:rsidP="00F32F9C">
            <w:pPr>
              <w:rPr>
                <w:rFonts w:ascii="Open Sans" w:eastAsia="Arial Unicode MS" w:hAnsi="Open Sans" w:cs="Open Sans"/>
                <w:sz w:val="20"/>
                <w:szCs w:val="20"/>
              </w:rPr>
            </w:pPr>
            <w:r w:rsidRPr="00F15896">
              <w:rPr>
                <w:rFonts w:ascii="Open Sans" w:hAnsi="Open Sans" w:cs="Open Sans"/>
                <w:sz w:val="20"/>
                <w:szCs w:val="20"/>
              </w:rPr>
              <w:t>Informe de Gobierno Corporativo 2015</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0C210F62" w14:textId="77777777" w:rsidR="00F32F9C" w:rsidRPr="00F15896" w:rsidRDefault="00F32F9C" w:rsidP="00F32F9C">
            <w:pPr>
              <w:jc w:val="both"/>
              <w:rPr>
                <w:rFonts w:ascii="Open Sans" w:eastAsia="Arial Unicode MS" w:hAnsi="Open Sans" w:cs="Arial"/>
                <w:sz w:val="22"/>
                <w:szCs w:val="22"/>
              </w:rPr>
            </w:pPr>
          </w:p>
        </w:tc>
      </w:tr>
      <w:tr w:rsidR="00F32F9C" w:rsidRPr="00F15896" w14:paraId="54D79FA1" w14:textId="77777777" w:rsidTr="00F32F9C">
        <w:trPr>
          <w:trHeight w:val="270"/>
        </w:trPr>
        <w:tc>
          <w:tcPr>
            <w:tcW w:w="4549"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24F300F9" w14:textId="77777777" w:rsidR="00F32F9C" w:rsidRPr="00F15896" w:rsidRDefault="00F32F9C" w:rsidP="00F32F9C">
            <w:pPr>
              <w:rPr>
                <w:rFonts w:ascii="Open Sans" w:hAnsi="Open Sans" w:cs="Open Sans"/>
                <w:sz w:val="20"/>
                <w:szCs w:val="20"/>
              </w:rPr>
            </w:pPr>
            <w:r w:rsidRPr="00F15896">
              <w:rPr>
                <w:rFonts w:ascii="Open Sans" w:hAnsi="Open Sans" w:cs="Open Sans"/>
                <w:sz w:val="20"/>
                <w:szCs w:val="20"/>
              </w:rPr>
              <w:t>Estrategia fiscal</w:t>
            </w:r>
          </w:p>
        </w:tc>
        <w:tc>
          <w:tcPr>
            <w:tcW w:w="3969"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197912EC" w14:textId="77777777" w:rsidR="00F32F9C" w:rsidRPr="00F15896" w:rsidRDefault="00F32F9C" w:rsidP="00F32F9C">
            <w:pPr>
              <w:jc w:val="both"/>
              <w:rPr>
                <w:rFonts w:ascii="Open Sans" w:eastAsia="Arial Unicode MS" w:hAnsi="Open Sans" w:cs="Arial"/>
                <w:sz w:val="22"/>
                <w:szCs w:val="22"/>
              </w:rPr>
            </w:pPr>
          </w:p>
        </w:tc>
      </w:tr>
      <w:tr w:rsidR="00F32F9C" w:rsidRPr="00F15896" w14:paraId="27BDEF9F" w14:textId="77777777" w:rsidTr="00F32F9C">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F13D0A8" w14:textId="77777777" w:rsidR="00F32F9C" w:rsidRPr="00F15896" w:rsidRDefault="00F32F9C" w:rsidP="00F32F9C">
            <w:pPr>
              <w:rPr>
                <w:rFonts w:ascii="Open Sans" w:hAnsi="Open Sans" w:cs="Open Sans"/>
                <w:sz w:val="20"/>
                <w:szCs w:val="20"/>
              </w:rPr>
            </w:pPr>
            <w:r w:rsidRPr="00F15896">
              <w:rPr>
                <w:rFonts w:ascii="Open Sans" w:hAnsi="Open Sans" w:cs="Open Sans"/>
                <w:sz w:val="20"/>
                <w:szCs w:val="20"/>
              </w:rPr>
              <w:t>Política contra el fraude, la corrupción y el soborno</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6638AFD2" w14:textId="77777777" w:rsidR="00F32F9C" w:rsidRPr="00F15896" w:rsidRDefault="00F32F9C" w:rsidP="00F32F9C">
            <w:pPr>
              <w:jc w:val="both"/>
              <w:rPr>
                <w:rFonts w:ascii="Open Sans" w:eastAsia="Arial Unicode MS" w:hAnsi="Open Sans" w:cs="Arial"/>
                <w:sz w:val="22"/>
                <w:szCs w:val="22"/>
              </w:rPr>
            </w:pPr>
          </w:p>
        </w:tc>
      </w:tr>
      <w:tr w:rsidR="00F32F9C" w:rsidRPr="00F15896" w14:paraId="66226D4C" w14:textId="77777777" w:rsidTr="00F32F9C">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3C9E628E" w14:textId="77777777" w:rsidR="00F32F9C" w:rsidRPr="00F15896" w:rsidRDefault="00F32F9C" w:rsidP="00F32F9C">
            <w:pPr>
              <w:rPr>
                <w:rFonts w:ascii="Open Sans" w:hAnsi="Open Sans" w:cs="Open Sans"/>
                <w:sz w:val="20"/>
                <w:szCs w:val="20"/>
              </w:rPr>
            </w:pPr>
            <w:r w:rsidRPr="00F15896">
              <w:rPr>
                <w:rFonts w:ascii="Open Sans" w:hAnsi="Open Sans" w:cs="Open Sans"/>
                <w:sz w:val="20"/>
                <w:szCs w:val="20"/>
              </w:rPr>
              <w:t>Política de sostenibilidad y buen</w:t>
            </w:r>
          </w:p>
          <w:p w14:paraId="2337B97B" w14:textId="77777777" w:rsidR="00F32F9C" w:rsidRPr="00F15896" w:rsidRDefault="00F32F9C" w:rsidP="00F32F9C">
            <w:pPr>
              <w:rPr>
                <w:rFonts w:ascii="Open Sans" w:hAnsi="Open Sans" w:cs="Open Sans"/>
                <w:sz w:val="20"/>
                <w:szCs w:val="20"/>
              </w:rPr>
            </w:pPr>
            <w:r w:rsidRPr="00F15896">
              <w:rPr>
                <w:rFonts w:ascii="Open Sans" w:hAnsi="Open Sans" w:cs="Open Sans"/>
                <w:sz w:val="20"/>
                <w:szCs w:val="20"/>
              </w:rPr>
              <w:t>Gobierno</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2BD359A2" w14:textId="77777777" w:rsidR="00F32F9C" w:rsidRPr="00F15896" w:rsidRDefault="00F32F9C" w:rsidP="00F32F9C">
            <w:pPr>
              <w:jc w:val="both"/>
              <w:rPr>
                <w:rFonts w:ascii="Open Sans" w:eastAsia="Arial Unicode MS" w:hAnsi="Open Sans" w:cs="Arial"/>
                <w:sz w:val="22"/>
                <w:szCs w:val="22"/>
              </w:rPr>
            </w:pPr>
          </w:p>
        </w:tc>
      </w:tr>
    </w:tbl>
    <w:p w14:paraId="51C7E775" w14:textId="77777777" w:rsidR="00F32F9C" w:rsidRPr="00F15896" w:rsidRDefault="00F32F9C" w:rsidP="00F32F9C">
      <w:pPr>
        <w:jc w:val="both"/>
        <w:rPr>
          <w:rFonts w:ascii="Open Sans" w:hAnsi="Open Sans" w:cs="Arial"/>
          <w:b/>
        </w:rPr>
      </w:pPr>
    </w:p>
    <w:p w14:paraId="7D074E17" w14:textId="77777777" w:rsidR="00F32F9C" w:rsidRPr="00F15896" w:rsidRDefault="00F32F9C" w:rsidP="00F32F9C">
      <w:pPr>
        <w:jc w:val="both"/>
        <w:rPr>
          <w:rFonts w:ascii="Open Sans" w:hAnsi="Open Sans" w:cs="Arial"/>
          <w:b/>
        </w:rPr>
      </w:pPr>
    </w:p>
    <w:p w14:paraId="1C4BB95A" w14:textId="77777777" w:rsidR="00F32F9C" w:rsidRPr="00F15896" w:rsidRDefault="00F32F9C" w:rsidP="00F32F9C">
      <w:pPr>
        <w:jc w:val="both"/>
        <w:rPr>
          <w:rFonts w:ascii="Open Sans" w:hAnsi="Open Sans" w:cs="Arial"/>
          <w:b/>
        </w:rPr>
      </w:pPr>
    </w:p>
    <w:p w14:paraId="201261E0" w14:textId="77777777" w:rsidR="00F32F9C" w:rsidRPr="00F15896" w:rsidRDefault="00F32F9C" w:rsidP="00F32F9C">
      <w:pPr>
        <w:jc w:val="both"/>
        <w:rPr>
          <w:rFonts w:ascii="Open Sans" w:hAnsi="Open Sans" w:cs="Arial"/>
          <w:b/>
          <w:sz w:val="22"/>
          <w:szCs w:val="22"/>
          <w:u w:val="single"/>
        </w:rPr>
      </w:pPr>
      <w:r w:rsidRPr="00F15896">
        <w:rPr>
          <w:rFonts w:ascii="Open Sans" w:hAnsi="Open Sans" w:cs="Arial"/>
          <w:b/>
          <w:sz w:val="22"/>
          <w:szCs w:val="22"/>
          <w:u w:val="single"/>
        </w:rPr>
        <w:t>2. Tablas de resultados</w:t>
      </w:r>
    </w:p>
    <w:p w14:paraId="7C41A058" w14:textId="77777777" w:rsidR="00F32F9C" w:rsidRPr="00F15896" w:rsidRDefault="00F32F9C" w:rsidP="00F32F9C">
      <w:pPr>
        <w:jc w:val="both"/>
        <w:rPr>
          <w:rFonts w:ascii="Open Sans" w:hAnsi="Open Sans" w:cs="Arial"/>
          <w:b/>
          <w:sz w:val="22"/>
          <w:szCs w:val="22"/>
          <w:u w:val="single"/>
        </w:rPr>
      </w:pPr>
    </w:p>
    <w:p w14:paraId="7CB1453A" w14:textId="77777777" w:rsidR="00F32F9C" w:rsidRPr="00F15896" w:rsidRDefault="00F32F9C" w:rsidP="00F32F9C">
      <w:pPr>
        <w:rPr>
          <w:rFonts w:ascii="Open Sans" w:hAnsi="Open Sans" w:cs="Arial"/>
          <w:b/>
        </w:rPr>
      </w:pPr>
    </w:p>
    <w:p w14:paraId="37B9CC9D" w14:textId="77777777" w:rsidR="00F32F9C" w:rsidRPr="00F15896" w:rsidRDefault="00F32F9C" w:rsidP="00F32F9C">
      <w:pPr>
        <w:suppressAutoHyphens/>
        <w:jc w:val="center"/>
        <w:rPr>
          <w:rFonts w:ascii="Open Sans" w:hAnsi="Open Sans" w:cs="Arial"/>
          <w:b/>
          <w:sz w:val="20"/>
          <w:szCs w:val="22"/>
          <w:u w:val="single"/>
          <w:lang w:eastAsia="ar-SA"/>
        </w:rPr>
      </w:pPr>
      <w:r w:rsidRPr="00F15896">
        <w:rPr>
          <w:rFonts w:ascii="Open Sans" w:hAnsi="Open Sans" w:cs="Arial"/>
          <w:b/>
          <w:sz w:val="20"/>
          <w:szCs w:val="22"/>
          <w:u w:val="single"/>
          <w:lang w:eastAsia="ar-SA"/>
        </w:rPr>
        <w:t>TABLA 1: Valoraciones por dimensión</w:t>
      </w:r>
    </w:p>
    <w:p w14:paraId="6DEB7754" w14:textId="77777777" w:rsidR="00F32F9C" w:rsidRPr="00F15896" w:rsidRDefault="00F32F9C" w:rsidP="00F32F9C">
      <w:pPr>
        <w:rPr>
          <w:rFonts w:ascii="Open Sans" w:hAnsi="Open Sans" w:cs="Arial"/>
          <w:b/>
        </w:rPr>
      </w:pPr>
    </w:p>
    <w:p w14:paraId="7D4DB89D" w14:textId="0168FE2C" w:rsidR="00F32F9C" w:rsidRPr="00F15896" w:rsidRDefault="00F32F9C" w:rsidP="00F32F9C">
      <w:pPr>
        <w:jc w:val="center"/>
        <w:rPr>
          <w:rFonts w:ascii="Open Sans" w:hAnsi="Open Sans"/>
        </w:rPr>
      </w:pPr>
      <w:r>
        <w:rPr>
          <w:rFonts w:ascii="Open Sans" w:hAnsi="Open Sans"/>
          <w:noProof/>
          <w:lang w:val="es-ES"/>
        </w:rPr>
        <w:drawing>
          <wp:inline distT="0" distB="0" distL="0" distR="0" wp14:anchorId="4657B804" wp14:editId="0C2EFB3D">
            <wp:extent cx="3688080" cy="1859280"/>
            <wp:effectExtent l="0" t="0" r="0" b="0"/>
            <wp:docPr id="16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29B05CD7" w14:textId="77777777" w:rsidR="00F32F9C" w:rsidRPr="00F15896" w:rsidRDefault="00F32F9C" w:rsidP="00F32F9C">
      <w:pPr>
        <w:jc w:val="both"/>
        <w:rPr>
          <w:rFonts w:ascii="Open Sans" w:hAnsi="Open Sans"/>
        </w:rPr>
      </w:pPr>
    </w:p>
    <w:p w14:paraId="6DE67D0B" w14:textId="77777777" w:rsidR="00F32F9C" w:rsidRPr="00F15896" w:rsidRDefault="00F32F9C" w:rsidP="00F32F9C">
      <w:pPr>
        <w:jc w:val="both"/>
        <w:rPr>
          <w:rFonts w:ascii="Open Sans" w:hAnsi="Open Sans"/>
        </w:rPr>
      </w:pPr>
    </w:p>
    <w:p w14:paraId="3E580023" w14:textId="77777777" w:rsidR="00F32F9C" w:rsidRPr="00F15896" w:rsidRDefault="00F32F9C" w:rsidP="00F32F9C">
      <w:pPr>
        <w:jc w:val="center"/>
        <w:rPr>
          <w:rFonts w:ascii="Open Sans" w:hAnsi="Open Sans"/>
        </w:rPr>
      </w:pPr>
    </w:p>
    <w:p w14:paraId="510A2358" w14:textId="77777777" w:rsidR="00F32F9C" w:rsidRPr="00F15896" w:rsidRDefault="00F32F9C" w:rsidP="00F32F9C">
      <w:pPr>
        <w:rPr>
          <w:rFonts w:ascii="Open Sans" w:hAnsi="Open Sans" w:cs="Arial"/>
          <w:b/>
        </w:rPr>
      </w:pPr>
    </w:p>
    <w:p w14:paraId="0CFABEA3" w14:textId="77777777" w:rsidR="00F32F9C" w:rsidRPr="00F15896" w:rsidRDefault="00F32F9C" w:rsidP="00F32F9C">
      <w:pPr>
        <w:rPr>
          <w:rFonts w:ascii="Open Sans" w:hAnsi="Open Sans" w:cs="Arial"/>
          <w:b/>
        </w:rPr>
      </w:pPr>
      <w:r w:rsidRPr="00F15896">
        <w:rPr>
          <w:rFonts w:ascii="Open Sans" w:hAnsi="Open Sans" w:cs="Arial"/>
          <w:b/>
        </w:rPr>
        <w:br w:type="page"/>
      </w:r>
    </w:p>
    <w:p w14:paraId="0A703AA0" w14:textId="77777777" w:rsidR="00F32F9C" w:rsidRPr="00F15896" w:rsidRDefault="00F32F9C" w:rsidP="00F32F9C">
      <w:pPr>
        <w:jc w:val="both"/>
        <w:rPr>
          <w:rFonts w:ascii="Open Sans" w:hAnsi="Open Sans" w:cs="Arial"/>
          <w:b/>
          <w:sz w:val="22"/>
          <w:szCs w:val="22"/>
        </w:rPr>
      </w:pPr>
      <w:r w:rsidRPr="00F15896">
        <w:rPr>
          <w:rFonts w:ascii="Open Sans" w:hAnsi="Open Sans" w:cs="Arial"/>
          <w:b/>
          <w:sz w:val="22"/>
          <w:szCs w:val="22"/>
          <w:u w:val="single"/>
        </w:rPr>
        <w:t>3. Contexto general</w:t>
      </w:r>
    </w:p>
    <w:p w14:paraId="0E85C393" w14:textId="77777777" w:rsidR="00F32F9C" w:rsidRPr="00F15896" w:rsidRDefault="00F32F9C" w:rsidP="00F32F9C">
      <w:pPr>
        <w:jc w:val="both"/>
        <w:rPr>
          <w:rFonts w:ascii="Open Sans" w:hAnsi="Open Sans" w:cs="Arial"/>
          <w:b/>
        </w:rPr>
      </w:pPr>
    </w:p>
    <w:p w14:paraId="3CACA1C3"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Enagás es la principal sociedad de transporte de gas es España, además es el Gestor Técnico del sistema gasista en el país. Su propiedad se divide entre el 5% perteneciente a la SEPI (Sociedad Estatal de Participaciones Industriales) y el 95% restante cotiza como capital flotante en las bolsas de Madrid, Barcelona, Bilbao y Valencia.</w:t>
      </w:r>
    </w:p>
    <w:p w14:paraId="45C69AFE" w14:textId="77777777" w:rsidR="00F32F9C" w:rsidRPr="00F15896" w:rsidRDefault="00F32F9C" w:rsidP="00F32F9C">
      <w:pPr>
        <w:jc w:val="both"/>
        <w:rPr>
          <w:rFonts w:ascii="Open Sans" w:hAnsi="Open Sans"/>
          <w:sz w:val="20"/>
          <w:szCs w:val="20"/>
        </w:rPr>
      </w:pPr>
    </w:p>
    <w:p w14:paraId="6F34E45A"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Las principales novedades en su entorno internacional respecto al ejercicio anterior son la adquisición del 50% del operador de gas sueco Swedegas, junto con el TSO belga Fluxys, que adquirió el otro 50%; la ampliación de la participación en TGP (Perú), hasta alcanzar el 24,34% de propiedad; y la constitución de la sociedad Enagás U.S.A., LLC en Estados Unidos.</w:t>
      </w:r>
    </w:p>
    <w:p w14:paraId="5B2947FB" w14:textId="77777777" w:rsidR="00F32F9C" w:rsidRPr="00F15896" w:rsidRDefault="00F32F9C" w:rsidP="00F32F9C">
      <w:pPr>
        <w:jc w:val="both"/>
        <w:rPr>
          <w:rFonts w:ascii="Open Sans" w:hAnsi="Open Sans"/>
          <w:sz w:val="20"/>
          <w:szCs w:val="20"/>
        </w:rPr>
      </w:pPr>
    </w:p>
    <w:p w14:paraId="59BB489D"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 xml:space="preserve">Cuenta con una capitalización a diciembre de 2015 de 6.207,1 millones de euros. Ha obtenido unos ingresos durante el periodo analizado de </w:t>
      </w:r>
      <w:r w:rsidRPr="00F15896">
        <w:rPr>
          <w:rFonts w:ascii="Open Sans" w:hAnsi="Open Sans" w:cs="Open Sans"/>
          <w:sz w:val="20"/>
          <w:szCs w:val="20"/>
        </w:rPr>
        <w:t>1.196,37</w:t>
      </w:r>
      <w:r w:rsidRPr="00F15896">
        <w:rPr>
          <w:rFonts w:ascii="Open Sans" w:hAnsi="Open Sans"/>
          <w:sz w:val="20"/>
          <w:szCs w:val="20"/>
        </w:rPr>
        <w:t xml:space="preserve"> millones de euros, de los que 1.159,49 corresponden a ingresos por actividades reguladas y 36.872 a ingresos por actividades no reguladas. El EBITDA se situó en los 900,5 millones a diciembre de 2015.</w:t>
      </w:r>
    </w:p>
    <w:p w14:paraId="00DDA67A" w14:textId="77777777" w:rsidR="00F32F9C" w:rsidRPr="00F15896" w:rsidRDefault="00F32F9C" w:rsidP="00F32F9C">
      <w:pPr>
        <w:jc w:val="both"/>
        <w:rPr>
          <w:rFonts w:ascii="Open Sans" w:hAnsi="Open Sans"/>
          <w:sz w:val="20"/>
          <w:szCs w:val="20"/>
        </w:rPr>
      </w:pPr>
    </w:p>
    <w:p w14:paraId="524837F6"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Enagás opera en el sector de la energía, además de ser el Gestor Técnico del sistema gasista en España, por lo que, además de otorgarle un monopolio, tiene relación con la Administración Pública para el resto de actividades e implica una exposición de riesgo elevado en materia de corrupción. Además, opera en países considerados de alto riesgo según el Índice de percepción de la corrupción de Transparencia Internacional, como México y Perú. Por otro lado, el Informe de Competitividad Global del Foro Económico Mundial señala a la corrupción como el principal problema para hacer negocios</w:t>
      </w:r>
      <w:r w:rsidRPr="00F15896">
        <w:rPr>
          <w:rStyle w:val="Refdenotaalpie"/>
          <w:rFonts w:ascii="Open Sans" w:hAnsi="Open Sans"/>
          <w:sz w:val="20"/>
          <w:szCs w:val="20"/>
        </w:rPr>
        <w:footnoteReference w:id="384"/>
      </w:r>
      <w:r w:rsidRPr="00F15896">
        <w:rPr>
          <w:rFonts w:ascii="Open Sans" w:hAnsi="Open Sans"/>
          <w:sz w:val="20"/>
          <w:szCs w:val="20"/>
        </w:rPr>
        <w:t>.</w:t>
      </w:r>
    </w:p>
    <w:p w14:paraId="3797C790" w14:textId="77777777" w:rsidR="00F32F9C" w:rsidRPr="00F15896" w:rsidRDefault="00F32F9C" w:rsidP="00F32F9C">
      <w:pPr>
        <w:jc w:val="both"/>
        <w:rPr>
          <w:rFonts w:ascii="Open Sans" w:hAnsi="Open Sans"/>
          <w:sz w:val="20"/>
          <w:szCs w:val="20"/>
        </w:rPr>
      </w:pPr>
    </w:p>
    <w:p w14:paraId="54CFB388" w14:textId="77777777" w:rsidR="00F32F9C" w:rsidRPr="00F15896" w:rsidRDefault="00F32F9C" w:rsidP="00F32F9C">
      <w:pPr>
        <w:jc w:val="both"/>
        <w:rPr>
          <w:rFonts w:ascii="Open Sans" w:hAnsi="Open Sans" w:cs="Arial"/>
          <w:sz w:val="20"/>
          <w:szCs w:val="20"/>
        </w:rPr>
      </w:pPr>
      <w:r w:rsidRPr="00F15896">
        <w:rPr>
          <w:rFonts w:ascii="Open Sans" w:hAnsi="Open Sans"/>
          <w:sz w:val="20"/>
          <w:szCs w:val="20"/>
        </w:rPr>
        <w:t xml:space="preserve">También debido a la presencia internacional del grupo la empresa se enfrenta a riesgos en materia fiscal </w:t>
      </w:r>
      <w:r w:rsidRPr="00F15896">
        <w:rPr>
          <w:rFonts w:ascii="Open Sans" w:hAnsi="Open Sans" w:cs="Arial"/>
          <w:sz w:val="20"/>
          <w:szCs w:val="20"/>
        </w:rPr>
        <w:t xml:space="preserve">derivados de la interpretación de las diferentes normativas tributarias de los países en los que opera, las operaciones intragrupo (precios de transferencia, operaciones de financiación y reaseguros, entre otros),  consolidación de la información fiscal o un mayor escrutinio público en relación a sus prácticas fiscales. </w:t>
      </w:r>
    </w:p>
    <w:p w14:paraId="3F27488A" w14:textId="77777777" w:rsidR="00F32F9C" w:rsidRPr="00F15896" w:rsidRDefault="00F32F9C" w:rsidP="00F32F9C">
      <w:pPr>
        <w:jc w:val="both"/>
        <w:rPr>
          <w:rFonts w:ascii="Open Sans" w:hAnsi="Open Sans"/>
          <w:sz w:val="20"/>
          <w:szCs w:val="20"/>
        </w:rPr>
      </w:pPr>
    </w:p>
    <w:p w14:paraId="6116B1B2"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Para controlar los riesgos, Enagás tiene un Código de Conducta del Gestor Técnico del Sistema Gasista Español que limita las funciones que la sociedad Enagás GTS o cualquier otra del grupo que se relacione con ella debe cumplir, con el objeto de cumplir con la Ley 34/1998, de 7 de octubre, del Sector de Hidrocarburos. Además, Enagás dispone de un Código Ético para regular las actuaciones del grupo.</w:t>
      </w:r>
    </w:p>
    <w:p w14:paraId="3EABD228" w14:textId="77777777" w:rsidR="00F32F9C" w:rsidRPr="00F15896" w:rsidRDefault="00F32F9C" w:rsidP="00F32F9C">
      <w:pPr>
        <w:jc w:val="both"/>
        <w:rPr>
          <w:rFonts w:ascii="Open Sans" w:hAnsi="Open Sans"/>
          <w:sz w:val="20"/>
          <w:szCs w:val="20"/>
        </w:rPr>
      </w:pPr>
    </w:p>
    <w:p w14:paraId="60AA0FDC"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Una de las principales novedades del ejercicio 2015 es la aprobación por parte del Consejo de Administración de la Estrategia Fiscal de Enagás, que recoge sustancialmente las políticas y pautas de actuación seguidas hasta la fecha mediante una serie de principios por los que se rige el grupo en este ámbito. Asimismo, cabe destacar la aprobación en 2015 del Modelo de Prevención de Delitos del Grupo Enagás y adaptación al Código Penal del Distrito Federal (México) y a la normativa anti-bribery de Estados Unidos.</w:t>
      </w:r>
    </w:p>
    <w:p w14:paraId="772F6820" w14:textId="77777777" w:rsidR="00F32F9C" w:rsidRPr="00F15896" w:rsidRDefault="00F32F9C" w:rsidP="00F32F9C">
      <w:pPr>
        <w:jc w:val="both"/>
        <w:rPr>
          <w:rFonts w:ascii="Open Sans" w:hAnsi="Open Sans"/>
          <w:sz w:val="20"/>
          <w:szCs w:val="20"/>
        </w:rPr>
      </w:pPr>
    </w:p>
    <w:p w14:paraId="70BA8178"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 xml:space="preserve">En su código ético, la empresa asume como pautas de comportamiento básicas los Principios para Empresas y Derechos Humanos de la ONU y las Líneas Directrices para Empresas Multinacionales de la OCDE. Asimismo, </w:t>
      </w:r>
    </w:p>
    <w:p w14:paraId="3E05BD86" w14:textId="77777777" w:rsidR="00F32F9C" w:rsidRPr="00F15896" w:rsidRDefault="00F32F9C" w:rsidP="00F32F9C">
      <w:pPr>
        <w:jc w:val="both"/>
        <w:rPr>
          <w:rFonts w:ascii="Open Sans" w:hAnsi="Open Sans"/>
          <w:sz w:val="20"/>
          <w:szCs w:val="20"/>
        </w:rPr>
      </w:pPr>
    </w:p>
    <w:p w14:paraId="7D448AED" w14:textId="77777777" w:rsidR="00F32F9C" w:rsidRPr="00F15896" w:rsidRDefault="00F32F9C" w:rsidP="00F32F9C">
      <w:pPr>
        <w:jc w:val="both"/>
        <w:rPr>
          <w:rFonts w:ascii="Open Sans" w:hAnsi="Open Sans"/>
          <w:sz w:val="20"/>
          <w:szCs w:val="20"/>
        </w:rPr>
      </w:pPr>
      <w:r w:rsidRPr="00F15896">
        <w:rPr>
          <w:rFonts w:ascii="Open Sans" w:hAnsi="Open Sans"/>
          <w:sz w:val="20"/>
          <w:szCs w:val="20"/>
        </w:rPr>
        <w:t>Por otro lado, Enagás cuenta con presencia en los principales índices de sostenibilidad: DJSI World, FTSE4Good, JSI World, FTSE4Good y STOXX ESG Leaders. 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p>
    <w:p w14:paraId="4992B0B7" w14:textId="77777777" w:rsidR="00F32F9C" w:rsidRPr="00F15896" w:rsidRDefault="00F32F9C" w:rsidP="00F32F9C">
      <w:pPr>
        <w:jc w:val="both"/>
        <w:rPr>
          <w:rFonts w:ascii="Open Sans" w:hAnsi="Open Sans"/>
          <w:sz w:val="20"/>
          <w:szCs w:val="20"/>
        </w:rPr>
      </w:pPr>
    </w:p>
    <w:p w14:paraId="1B9237D2" w14:textId="77777777" w:rsidR="00F32F9C" w:rsidRPr="00F15896" w:rsidRDefault="00F32F9C" w:rsidP="00F32F9C">
      <w:pPr>
        <w:jc w:val="both"/>
        <w:rPr>
          <w:rFonts w:ascii="Open Sans" w:hAnsi="Open Sans"/>
          <w:sz w:val="22"/>
        </w:rPr>
      </w:pPr>
    </w:p>
    <w:p w14:paraId="537436E0" w14:textId="77777777" w:rsidR="00F32F9C" w:rsidRPr="00F15896" w:rsidRDefault="00F32F9C" w:rsidP="00F32F9C">
      <w:pPr>
        <w:jc w:val="both"/>
        <w:rPr>
          <w:rFonts w:ascii="Open Sans" w:hAnsi="Open Sans" w:cs="Arial"/>
          <w:b/>
          <w:sz w:val="22"/>
          <w:szCs w:val="22"/>
          <w:u w:val="single"/>
        </w:rPr>
      </w:pPr>
      <w:r w:rsidRPr="00F15896">
        <w:rPr>
          <w:rFonts w:ascii="Open Sans" w:hAnsi="Open Sans" w:cs="Arial"/>
          <w:b/>
          <w:sz w:val="22"/>
          <w:szCs w:val="22"/>
          <w:u w:val="single"/>
        </w:rPr>
        <w:t>4. Análisis</w:t>
      </w:r>
    </w:p>
    <w:p w14:paraId="2C6A0312" w14:textId="77777777" w:rsidR="00F32F9C" w:rsidRPr="00F15896" w:rsidRDefault="00F32F9C" w:rsidP="00F32F9C">
      <w:pPr>
        <w:jc w:val="both"/>
        <w:rPr>
          <w:rFonts w:ascii="Open Sans" w:hAnsi="Open Sans" w:cs="Arial"/>
          <w:b/>
        </w:rPr>
      </w:pPr>
    </w:p>
    <w:p w14:paraId="7A049F41"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1E5E7907" w14:textId="77777777" w:rsidR="00F32F9C" w:rsidRPr="00F15896" w:rsidRDefault="00F32F9C" w:rsidP="00F32F9C">
      <w:pPr>
        <w:jc w:val="both"/>
        <w:rPr>
          <w:rFonts w:ascii="Open Sans" w:hAnsi="Open Sans" w:cs="Arial"/>
          <w:sz w:val="20"/>
          <w:szCs w:val="20"/>
        </w:rPr>
      </w:pPr>
    </w:p>
    <w:p w14:paraId="2955B120"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El Informe de Auditoría de Cuentas Anuales Consolidadas aporta casi todos los datos de forma agregada para la totalidad de las empresas del Grupo Enagás (matriz y filiales), de modo que en ocasiones no es posible hacer un seguimiento individualizado de cuestiones de interés y materiales desde una perspectiva de RSC. En relación a la información desagregada, se expone información sobre las filiales con un 100% de participación de la matriz y la participación de Enagás en los diferentes negocios conjuntos.</w:t>
      </w:r>
    </w:p>
    <w:p w14:paraId="5778D936" w14:textId="77777777" w:rsidR="00F32F9C" w:rsidRPr="00F15896" w:rsidRDefault="00F32F9C" w:rsidP="00F32F9C">
      <w:pPr>
        <w:jc w:val="both"/>
        <w:rPr>
          <w:rFonts w:ascii="Open Sans" w:hAnsi="Open Sans" w:cs="Arial"/>
          <w:sz w:val="20"/>
          <w:szCs w:val="20"/>
        </w:rPr>
      </w:pPr>
    </w:p>
    <w:p w14:paraId="5231DC7C"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Respecto a la presencia territorial de Enagás, el grupo cuenta con participación en dos sociedades ya presentes en años anteriores en territorios considerados nichos fiscales, como son Holanda y Suiza. Del Subgrupo Altamira LNG, CV (establecido en México) Enagás es copartícipe con la empresa Holandesa Vopak. Tal y como se mencionó en informes anteriores, Holanda está considerado nicho fiscal según la metodología del Observatorio de RSC. La empresa coparticipada (Altamira LNG, CV) aparece bajo el epígrafe de negocio conjunto y su actividad es Holding/regasificación, siendo Enagás propietaria del 40%. También participa en la sociedad Trans Adriatic Pipeline, A.G., domiciliada en Suiza,  con un 16% y con actividad de transporte de gas, pero que cuenta con tres establecimientos permanentes en Grecia, Italia y Albania.</w:t>
      </w:r>
    </w:p>
    <w:p w14:paraId="5DE46227" w14:textId="77777777" w:rsidR="00F32F9C" w:rsidRPr="00F15896" w:rsidRDefault="00F32F9C" w:rsidP="00F32F9C">
      <w:pPr>
        <w:jc w:val="both"/>
        <w:rPr>
          <w:rFonts w:ascii="Open Sans" w:hAnsi="Open Sans" w:cs="Arial"/>
          <w:sz w:val="20"/>
          <w:szCs w:val="20"/>
        </w:rPr>
      </w:pPr>
    </w:p>
    <w:p w14:paraId="1D965B98"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 xml:space="preserve">Como novedad, el informe señala la salida del accionariado de Oman Oil Company, propietaria hasta ese momento de un 5% de las acciones, y que provocó la dimisión del consejero dominical D. Sultan Hamed Khamis Al Burtamani. La otra principal novedad es la constitución de la sociedad Enagás U.S.A., LLC. </w:t>
      </w:r>
      <w:proofErr w:type="gramStart"/>
      <w:r w:rsidRPr="00F15896">
        <w:rPr>
          <w:rFonts w:ascii="Open Sans" w:hAnsi="Open Sans" w:cs="Arial"/>
          <w:sz w:val="20"/>
          <w:szCs w:val="20"/>
        </w:rPr>
        <w:t>por</w:t>
      </w:r>
      <w:proofErr w:type="gramEnd"/>
      <w:r w:rsidRPr="00F15896">
        <w:rPr>
          <w:rFonts w:ascii="Open Sans" w:hAnsi="Open Sans" w:cs="Arial"/>
          <w:sz w:val="20"/>
          <w:szCs w:val="20"/>
        </w:rPr>
        <w:t xml:space="preserve"> importe de 1.780 miles de euros. Esta sociedad, cuyo domicilio social se encuentra en Estados Unidos, es participada al 100% por Enagás Internacional, S.L.U. quien posee control directo sobre la sociedad. El informe anual no detalla en qué dirección exacta se encuentra esta nueva sociedad, sin embargo, una consulta a fuentes externas señala que dispone de dos domicilios en Estados Unidos</w:t>
      </w:r>
      <w:r w:rsidRPr="00F15896">
        <w:rPr>
          <w:rStyle w:val="Refdenotaalpie"/>
          <w:rFonts w:ascii="Open Sans" w:hAnsi="Open Sans" w:cs="Arial"/>
          <w:sz w:val="20"/>
          <w:szCs w:val="20"/>
        </w:rPr>
        <w:footnoteReference w:id="385"/>
      </w:r>
      <w:r w:rsidRPr="00F15896">
        <w:rPr>
          <w:rFonts w:ascii="Open Sans" w:hAnsi="Open Sans" w:cs="Arial"/>
          <w:sz w:val="20"/>
          <w:szCs w:val="20"/>
        </w:rPr>
        <w:t>, pero sólo uno de ellos se registró en la fecha que indican las cuentas anuales (16 de noviembre de 2015), por lo que se deduce que la ubicación está en Delaware (EEUU), considerada nicho fiscal según la metodología  del Observatorio de RSC.</w:t>
      </w:r>
    </w:p>
    <w:p w14:paraId="2C449F80" w14:textId="77777777" w:rsidR="00F32F9C" w:rsidRPr="00F15896" w:rsidRDefault="00F32F9C" w:rsidP="00F32F9C">
      <w:pPr>
        <w:jc w:val="both"/>
        <w:rPr>
          <w:rFonts w:ascii="Open Sans" w:hAnsi="Open Sans" w:cs="Arial"/>
          <w:sz w:val="20"/>
          <w:szCs w:val="20"/>
        </w:rPr>
      </w:pPr>
    </w:p>
    <w:p w14:paraId="5FA7BDB3" w14:textId="77777777" w:rsidR="00F32F9C" w:rsidRPr="00F15896" w:rsidRDefault="00F32F9C" w:rsidP="00F32F9C">
      <w:pPr>
        <w:jc w:val="both"/>
        <w:rPr>
          <w:rFonts w:ascii="Open Sans" w:hAnsi="Open Sans" w:cs="Arial"/>
          <w:sz w:val="20"/>
          <w:szCs w:val="20"/>
        </w:rPr>
      </w:pPr>
    </w:p>
    <w:tbl>
      <w:tblPr>
        <w:tblW w:w="8505" w:type="dxa"/>
        <w:tblInd w:w="70" w:type="dxa"/>
        <w:tblLayout w:type="fixed"/>
        <w:tblCellMar>
          <w:left w:w="70" w:type="dxa"/>
          <w:right w:w="70" w:type="dxa"/>
        </w:tblCellMar>
        <w:tblLook w:val="04A0" w:firstRow="1" w:lastRow="0" w:firstColumn="1" w:lastColumn="0" w:noHBand="0" w:noVBand="1"/>
      </w:tblPr>
      <w:tblGrid>
        <w:gridCol w:w="2835"/>
        <w:gridCol w:w="2410"/>
        <w:gridCol w:w="3260"/>
      </w:tblGrid>
      <w:tr w:rsidR="00F32F9C" w:rsidRPr="00F15896" w14:paraId="43283491" w14:textId="77777777" w:rsidTr="00F32F9C">
        <w:trPr>
          <w:trHeight w:val="370"/>
        </w:trPr>
        <w:tc>
          <w:tcPr>
            <w:tcW w:w="283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12571D1" w14:textId="77777777" w:rsidR="00F32F9C" w:rsidRPr="00F15896" w:rsidRDefault="00F32F9C" w:rsidP="00F32F9C">
            <w:pPr>
              <w:jc w:val="center"/>
              <w:rPr>
                <w:rFonts w:ascii="Open Sans" w:hAnsi="Open Sans" w:cs="Open Sans"/>
                <w:b/>
                <w:bCs/>
                <w:color w:val="000000"/>
                <w:sz w:val="20"/>
                <w:szCs w:val="20"/>
              </w:rPr>
            </w:pPr>
            <w:r w:rsidRPr="00F15896">
              <w:rPr>
                <w:rFonts w:ascii="Open Sans" w:hAnsi="Open Sans" w:cs="Open Sans"/>
                <w:b/>
                <w:bCs/>
                <w:color w:val="000000"/>
                <w:sz w:val="20"/>
                <w:szCs w:val="20"/>
              </w:rPr>
              <w:t>Nombre de la Sociedad</w:t>
            </w:r>
          </w:p>
        </w:tc>
        <w:tc>
          <w:tcPr>
            <w:tcW w:w="2410" w:type="dxa"/>
            <w:tcBorders>
              <w:top w:val="single" w:sz="4" w:space="0" w:color="auto"/>
              <w:left w:val="nil"/>
              <w:bottom w:val="single" w:sz="4" w:space="0" w:color="auto"/>
              <w:right w:val="single" w:sz="4" w:space="0" w:color="auto"/>
            </w:tcBorders>
            <w:shd w:val="clear" w:color="000000" w:fill="D9D9D9"/>
            <w:noWrap/>
            <w:vAlign w:val="center"/>
            <w:hideMark/>
          </w:tcPr>
          <w:p w14:paraId="548C2715" w14:textId="77777777" w:rsidR="00F32F9C" w:rsidRPr="00F15896" w:rsidRDefault="00F32F9C" w:rsidP="00F32F9C">
            <w:pPr>
              <w:jc w:val="center"/>
              <w:rPr>
                <w:rFonts w:ascii="Open Sans" w:hAnsi="Open Sans" w:cs="Open Sans"/>
                <w:b/>
                <w:bCs/>
                <w:color w:val="000000"/>
                <w:sz w:val="20"/>
                <w:szCs w:val="20"/>
              </w:rPr>
            </w:pPr>
            <w:r w:rsidRPr="00F15896">
              <w:rPr>
                <w:rFonts w:ascii="Open Sans" w:hAnsi="Open Sans" w:cs="Open Sans"/>
                <w:b/>
                <w:bCs/>
                <w:color w:val="000000"/>
                <w:sz w:val="20"/>
                <w:szCs w:val="20"/>
              </w:rPr>
              <w:t>Jurisdicción</w:t>
            </w:r>
          </w:p>
        </w:tc>
        <w:tc>
          <w:tcPr>
            <w:tcW w:w="3260" w:type="dxa"/>
            <w:tcBorders>
              <w:top w:val="single" w:sz="4" w:space="0" w:color="auto"/>
              <w:left w:val="nil"/>
              <w:bottom w:val="single" w:sz="4" w:space="0" w:color="auto"/>
              <w:right w:val="single" w:sz="4" w:space="0" w:color="auto"/>
            </w:tcBorders>
            <w:shd w:val="clear" w:color="000000" w:fill="D9D9D9"/>
            <w:noWrap/>
            <w:vAlign w:val="center"/>
            <w:hideMark/>
          </w:tcPr>
          <w:p w14:paraId="1FC42766" w14:textId="77777777" w:rsidR="00F32F9C" w:rsidRPr="00F15896" w:rsidRDefault="00F32F9C" w:rsidP="00F32F9C">
            <w:pPr>
              <w:jc w:val="center"/>
              <w:rPr>
                <w:rFonts w:ascii="Open Sans" w:hAnsi="Open Sans" w:cs="Open Sans"/>
                <w:b/>
                <w:bCs/>
                <w:color w:val="000000"/>
                <w:sz w:val="20"/>
                <w:szCs w:val="20"/>
              </w:rPr>
            </w:pPr>
            <w:r w:rsidRPr="00F15896">
              <w:rPr>
                <w:rFonts w:ascii="Open Sans" w:hAnsi="Open Sans" w:cs="Open Sans"/>
                <w:b/>
                <w:bCs/>
                <w:color w:val="000000"/>
                <w:sz w:val="20"/>
                <w:szCs w:val="20"/>
              </w:rPr>
              <w:t>Actividad</w:t>
            </w:r>
          </w:p>
        </w:tc>
      </w:tr>
      <w:tr w:rsidR="00F32F9C" w:rsidRPr="00F15896" w14:paraId="12598ECF" w14:textId="77777777" w:rsidTr="00F32F9C">
        <w:trPr>
          <w:trHeight w:val="525"/>
        </w:trPr>
        <w:tc>
          <w:tcPr>
            <w:tcW w:w="2835" w:type="dxa"/>
            <w:tcBorders>
              <w:top w:val="nil"/>
              <w:left w:val="single" w:sz="4" w:space="0" w:color="auto"/>
              <w:bottom w:val="single" w:sz="4" w:space="0" w:color="auto"/>
              <w:right w:val="single" w:sz="4" w:space="0" w:color="auto"/>
            </w:tcBorders>
            <w:shd w:val="clear" w:color="auto" w:fill="auto"/>
            <w:vAlign w:val="center"/>
            <w:hideMark/>
          </w:tcPr>
          <w:p w14:paraId="78758793" w14:textId="77777777" w:rsidR="00F32F9C" w:rsidRPr="00F15896" w:rsidRDefault="00F32F9C" w:rsidP="00F32F9C">
            <w:pPr>
              <w:rPr>
                <w:rFonts w:ascii="Open Sans" w:hAnsi="Open Sans" w:cs="Open Sans"/>
                <w:sz w:val="20"/>
                <w:szCs w:val="20"/>
              </w:rPr>
            </w:pPr>
            <w:r w:rsidRPr="00F15896">
              <w:rPr>
                <w:rFonts w:ascii="Open Sans" w:hAnsi="Open Sans" w:cs="Open Sans"/>
                <w:sz w:val="20"/>
                <w:szCs w:val="20"/>
              </w:rPr>
              <w:t>Subgrupo Altamira LNG, CV</w:t>
            </w:r>
          </w:p>
        </w:tc>
        <w:tc>
          <w:tcPr>
            <w:tcW w:w="2410" w:type="dxa"/>
            <w:tcBorders>
              <w:top w:val="nil"/>
              <w:left w:val="nil"/>
              <w:bottom w:val="single" w:sz="4" w:space="0" w:color="auto"/>
              <w:right w:val="single" w:sz="4" w:space="0" w:color="auto"/>
            </w:tcBorders>
            <w:shd w:val="clear" w:color="auto" w:fill="auto"/>
            <w:vAlign w:val="center"/>
            <w:hideMark/>
          </w:tcPr>
          <w:p w14:paraId="4FDEF7A1" w14:textId="77777777" w:rsidR="00F32F9C" w:rsidRPr="00F15896" w:rsidRDefault="00F32F9C" w:rsidP="00F32F9C">
            <w:pPr>
              <w:jc w:val="center"/>
              <w:rPr>
                <w:rFonts w:ascii="Open Sans" w:hAnsi="Open Sans" w:cs="Open Sans"/>
                <w:sz w:val="20"/>
                <w:szCs w:val="20"/>
              </w:rPr>
            </w:pPr>
            <w:r w:rsidRPr="00F15896">
              <w:rPr>
                <w:rFonts w:ascii="Open Sans" w:hAnsi="Open Sans" w:cs="Open Sans"/>
                <w:sz w:val="20"/>
                <w:szCs w:val="20"/>
              </w:rPr>
              <w:t>Holanda</w:t>
            </w:r>
          </w:p>
        </w:tc>
        <w:tc>
          <w:tcPr>
            <w:tcW w:w="3260" w:type="dxa"/>
            <w:tcBorders>
              <w:top w:val="nil"/>
              <w:left w:val="nil"/>
              <w:bottom w:val="single" w:sz="4" w:space="0" w:color="auto"/>
              <w:right w:val="single" w:sz="4" w:space="0" w:color="auto"/>
            </w:tcBorders>
            <w:shd w:val="clear" w:color="000000" w:fill="FFFFFF"/>
            <w:vAlign w:val="center"/>
            <w:hideMark/>
          </w:tcPr>
          <w:p w14:paraId="37CEC49D" w14:textId="77777777" w:rsidR="00F32F9C" w:rsidRPr="00F15896" w:rsidRDefault="00F32F9C" w:rsidP="00F32F9C">
            <w:pPr>
              <w:jc w:val="center"/>
              <w:rPr>
                <w:rFonts w:ascii="Open Sans" w:hAnsi="Open Sans" w:cs="Open Sans"/>
                <w:color w:val="000000"/>
                <w:sz w:val="20"/>
                <w:szCs w:val="20"/>
              </w:rPr>
            </w:pPr>
            <w:r w:rsidRPr="00F15896">
              <w:rPr>
                <w:rFonts w:ascii="Open Sans" w:hAnsi="Open Sans" w:cs="Open Sans"/>
                <w:color w:val="000000"/>
                <w:sz w:val="20"/>
                <w:szCs w:val="20"/>
              </w:rPr>
              <w:t>Holding / Regasificación</w:t>
            </w:r>
          </w:p>
        </w:tc>
      </w:tr>
      <w:tr w:rsidR="00F32F9C" w:rsidRPr="00F15896" w14:paraId="1978D4C3" w14:textId="77777777" w:rsidTr="00F32F9C">
        <w:trPr>
          <w:trHeight w:val="525"/>
        </w:trPr>
        <w:tc>
          <w:tcPr>
            <w:tcW w:w="2835" w:type="dxa"/>
            <w:tcBorders>
              <w:top w:val="nil"/>
              <w:left w:val="single" w:sz="4" w:space="0" w:color="auto"/>
              <w:bottom w:val="single" w:sz="4" w:space="0" w:color="auto"/>
              <w:right w:val="single" w:sz="4" w:space="0" w:color="auto"/>
            </w:tcBorders>
            <w:shd w:val="clear" w:color="000000" w:fill="FFFFFF"/>
            <w:vAlign w:val="center"/>
            <w:hideMark/>
          </w:tcPr>
          <w:p w14:paraId="10C85187" w14:textId="77777777" w:rsidR="00F32F9C" w:rsidRPr="00F15896" w:rsidRDefault="00F32F9C" w:rsidP="00F32F9C">
            <w:pPr>
              <w:rPr>
                <w:rFonts w:ascii="Open Sans" w:hAnsi="Open Sans" w:cs="Open Sans"/>
                <w:color w:val="000000"/>
                <w:sz w:val="20"/>
                <w:szCs w:val="20"/>
                <w:lang w:val="en-US"/>
              </w:rPr>
            </w:pPr>
            <w:r w:rsidRPr="00F15896">
              <w:rPr>
                <w:rFonts w:ascii="Open Sans" w:hAnsi="Open Sans" w:cs="Open Sans"/>
                <w:color w:val="000000"/>
                <w:sz w:val="20"/>
                <w:szCs w:val="20"/>
                <w:lang w:val="en-US"/>
              </w:rPr>
              <w:t>Trans Adriatic Pipeline, A.G.</w:t>
            </w:r>
          </w:p>
        </w:tc>
        <w:tc>
          <w:tcPr>
            <w:tcW w:w="2410" w:type="dxa"/>
            <w:tcBorders>
              <w:top w:val="nil"/>
              <w:left w:val="nil"/>
              <w:bottom w:val="single" w:sz="4" w:space="0" w:color="auto"/>
              <w:right w:val="single" w:sz="4" w:space="0" w:color="auto"/>
            </w:tcBorders>
            <w:shd w:val="clear" w:color="000000" w:fill="FFFFFF"/>
            <w:vAlign w:val="center"/>
            <w:hideMark/>
          </w:tcPr>
          <w:p w14:paraId="6FEC4F9A" w14:textId="77777777" w:rsidR="00F32F9C" w:rsidRPr="00F15896" w:rsidRDefault="00F32F9C" w:rsidP="00F32F9C">
            <w:pPr>
              <w:jc w:val="center"/>
              <w:rPr>
                <w:rFonts w:ascii="Open Sans" w:hAnsi="Open Sans" w:cs="Open Sans"/>
                <w:color w:val="000000"/>
                <w:sz w:val="20"/>
                <w:szCs w:val="20"/>
              </w:rPr>
            </w:pPr>
            <w:r w:rsidRPr="00F15896">
              <w:rPr>
                <w:rFonts w:ascii="Open Sans" w:hAnsi="Open Sans" w:cs="Open Sans"/>
                <w:color w:val="000000"/>
                <w:sz w:val="20"/>
                <w:szCs w:val="20"/>
              </w:rPr>
              <w:t>Suiza</w:t>
            </w:r>
          </w:p>
        </w:tc>
        <w:tc>
          <w:tcPr>
            <w:tcW w:w="3260" w:type="dxa"/>
            <w:tcBorders>
              <w:top w:val="nil"/>
              <w:left w:val="nil"/>
              <w:bottom w:val="single" w:sz="4" w:space="0" w:color="auto"/>
              <w:right w:val="single" w:sz="4" w:space="0" w:color="auto"/>
            </w:tcBorders>
            <w:shd w:val="clear" w:color="000000" w:fill="FFFFFF"/>
            <w:noWrap/>
            <w:vAlign w:val="center"/>
            <w:hideMark/>
          </w:tcPr>
          <w:p w14:paraId="57B6C38D" w14:textId="77777777" w:rsidR="00F32F9C" w:rsidRPr="00F15896" w:rsidRDefault="00F32F9C" w:rsidP="00F32F9C">
            <w:pPr>
              <w:jc w:val="center"/>
              <w:rPr>
                <w:rFonts w:ascii="Open Sans" w:hAnsi="Open Sans" w:cs="Open Sans"/>
                <w:color w:val="000000"/>
                <w:sz w:val="20"/>
                <w:szCs w:val="20"/>
              </w:rPr>
            </w:pPr>
            <w:r w:rsidRPr="00F15896">
              <w:rPr>
                <w:rFonts w:ascii="Open Sans" w:hAnsi="Open Sans" w:cs="Open Sans"/>
                <w:color w:val="000000"/>
                <w:sz w:val="20"/>
                <w:szCs w:val="20"/>
              </w:rPr>
              <w:t>Transporte de Gas en Grecia, Italia y Albania</w:t>
            </w:r>
          </w:p>
        </w:tc>
      </w:tr>
      <w:tr w:rsidR="00F32F9C" w:rsidRPr="00F15896" w14:paraId="411A870B" w14:textId="77777777" w:rsidTr="00F32F9C">
        <w:trPr>
          <w:trHeight w:val="620"/>
        </w:trPr>
        <w:tc>
          <w:tcPr>
            <w:tcW w:w="2835" w:type="dxa"/>
            <w:tcBorders>
              <w:top w:val="nil"/>
              <w:left w:val="single" w:sz="4" w:space="0" w:color="auto"/>
              <w:bottom w:val="single" w:sz="4" w:space="0" w:color="auto"/>
              <w:right w:val="single" w:sz="4" w:space="0" w:color="auto"/>
            </w:tcBorders>
            <w:shd w:val="clear" w:color="000000" w:fill="FFFFFF"/>
            <w:vAlign w:val="center"/>
            <w:hideMark/>
          </w:tcPr>
          <w:p w14:paraId="4B86FCD4" w14:textId="77777777" w:rsidR="00F32F9C" w:rsidRPr="00F15896" w:rsidRDefault="00F32F9C" w:rsidP="00F32F9C">
            <w:pPr>
              <w:rPr>
                <w:rFonts w:ascii="Open Sans" w:hAnsi="Open Sans" w:cs="Open Sans"/>
                <w:color w:val="000000"/>
                <w:sz w:val="20"/>
                <w:szCs w:val="20"/>
              </w:rPr>
            </w:pPr>
            <w:r w:rsidRPr="00F15896">
              <w:rPr>
                <w:rFonts w:ascii="Open Sans" w:hAnsi="Open Sans" w:cs="Open Sans"/>
                <w:color w:val="000000"/>
                <w:sz w:val="20"/>
                <w:szCs w:val="20"/>
              </w:rPr>
              <w:t>Enagás USA, LLC</w:t>
            </w:r>
          </w:p>
        </w:tc>
        <w:tc>
          <w:tcPr>
            <w:tcW w:w="2410" w:type="dxa"/>
            <w:tcBorders>
              <w:top w:val="nil"/>
              <w:left w:val="nil"/>
              <w:bottom w:val="single" w:sz="4" w:space="0" w:color="auto"/>
              <w:right w:val="single" w:sz="4" w:space="0" w:color="auto"/>
            </w:tcBorders>
            <w:shd w:val="clear" w:color="000000" w:fill="FFFFFF"/>
            <w:vAlign w:val="center"/>
            <w:hideMark/>
          </w:tcPr>
          <w:p w14:paraId="149E2F81" w14:textId="77777777" w:rsidR="00F32F9C" w:rsidRPr="00F15896" w:rsidRDefault="00F32F9C" w:rsidP="00F32F9C">
            <w:pPr>
              <w:jc w:val="center"/>
              <w:rPr>
                <w:rFonts w:ascii="Open Sans" w:hAnsi="Open Sans" w:cs="Open Sans"/>
                <w:color w:val="000000"/>
                <w:sz w:val="20"/>
                <w:szCs w:val="20"/>
              </w:rPr>
            </w:pPr>
            <w:r w:rsidRPr="00F15896">
              <w:rPr>
                <w:rFonts w:ascii="Open Sans" w:hAnsi="Open Sans" w:cs="Open Sans"/>
                <w:color w:val="000000"/>
                <w:sz w:val="20"/>
                <w:szCs w:val="20"/>
              </w:rPr>
              <w:t>Delaware (EEUU)</w:t>
            </w:r>
          </w:p>
        </w:tc>
        <w:tc>
          <w:tcPr>
            <w:tcW w:w="3260" w:type="dxa"/>
            <w:tcBorders>
              <w:top w:val="nil"/>
              <w:left w:val="nil"/>
              <w:bottom w:val="single" w:sz="4" w:space="0" w:color="auto"/>
              <w:right w:val="single" w:sz="4" w:space="0" w:color="auto"/>
            </w:tcBorders>
            <w:shd w:val="clear" w:color="000000" w:fill="FFFFFF"/>
            <w:noWrap/>
            <w:vAlign w:val="center"/>
            <w:hideMark/>
          </w:tcPr>
          <w:p w14:paraId="13911D37" w14:textId="77777777" w:rsidR="00F32F9C" w:rsidRPr="00F15896" w:rsidRDefault="00F32F9C" w:rsidP="00F32F9C">
            <w:pPr>
              <w:jc w:val="center"/>
              <w:rPr>
                <w:rFonts w:ascii="Open Sans" w:hAnsi="Open Sans" w:cs="Open Sans"/>
                <w:color w:val="000000"/>
                <w:sz w:val="20"/>
                <w:szCs w:val="20"/>
              </w:rPr>
            </w:pPr>
            <w:r w:rsidRPr="00F15896">
              <w:rPr>
                <w:rFonts w:ascii="Open Sans" w:hAnsi="Open Sans" w:cs="Open Sans"/>
                <w:color w:val="000000"/>
                <w:sz w:val="20"/>
                <w:szCs w:val="20"/>
              </w:rPr>
              <w:t>Holding</w:t>
            </w:r>
          </w:p>
        </w:tc>
      </w:tr>
    </w:tbl>
    <w:p w14:paraId="31BB9673" w14:textId="77777777" w:rsidR="00F32F9C" w:rsidRPr="00F15896" w:rsidRDefault="00F32F9C" w:rsidP="00F32F9C">
      <w:pPr>
        <w:jc w:val="both"/>
        <w:rPr>
          <w:rFonts w:ascii="Open Sans" w:hAnsi="Open Sans" w:cs="Arial"/>
          <w:sz w:val="20"/>
          <w:szCs w:val="20"/>
        </w:rPr>
      </w:pPr>
    </w:p>
    <w:p w14:paraId="0487915F" w14:textId="77777777" w:rsidR="00F32F9C" w:rsidRPr="00F15896" w:rsidRDefault="00F32F9C" w:rsidP="00F32F9C">
      <w:pPr>
        <w:jc w:val="both"/>
        <w:rPr>
          <w:rFonts w:ascii="Open Sans" w:hAnsi="Open Sans" w:cs="Arial"/>
          <w:sz w:val="20"/>
          <w:szCs w:val="20"/>
        </w:rPr>
      </w:pPr>
    </w:p>
    <w:p w14:paraId="5FE0A9F3"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 xml:space="preserve">Como en años anteriores, el informe señala que: </w:t>
      </w:r>
    </w:p>
    <w:p w14:paraId="48E4B135" w14:textId="77777777" w:rsidR="00F32F9C" w:rsidRPr="00F15896" w:rsidRDefault="00F32F9C" w:rsidP="00F32F9C">
      <w:pPr>
        <w:jc w:val="both"/>
        <w:rPr>
          <w:rFonts w:ascii="Open Sans" w:hAnsi="Open Sans" w:cs="Arial"/>
          <w:sz w:val="20"/>
          <w:szCs w:val="20"/>
        </w:rPr>
      </w:pPr>
    </w:p>
    <w:p w14:paraId="086F279B" w14:textId="77777777" w:rsidR="00F32F9C" w:rsidRPr="00F15896" w:rsidRDefault="00F32F9C" w:rsidP="000B70C9">
      <w:pPr>
        <w:numPr>
          <w:ilvl w:val="0"/>
          <w:numId w:val="29"/>
        </w:numPr>
        <w:ind w:right="52"/>
        <w:jc w:val="both"/>
        <w:rPr>
          <w:rFonts w:ascii="Open Sans" w:eastAsia="MS Mincho" w:hAnsi="Open Sans" w:cs="Open Sans"/>
          <w:sz w:val="20"/>
          <w:szCs w:val="20"/>
        </w:rPr>
      </w:pPr>
      <w:r w:rsidRPr="00F15896">
        <w:rPr>
          <w:rFonts w:ascii="Open Sans" w:eastAsia="MS Mincho" w:hAnsi="Open Sans" w:cs="Open Sans"/>
          <w:sz w:val="20"/>
          <w:szCs w:val="20"/>
        </w:rPr>
        <w:t>“La sociedad de Suiza, es una empresa asociada, cuenta con tres establecimientos permanentes en Grecia, Italia y Albania”.</w:t>
      </w:r>
    </w:p>
    <w:p w14:paraId="2B4F279F" w14:textId="77777777" w:rsidR="00F32F9C" w:rsidRPr="00F15896" w:rsidRDefault="00F32F9C" w:rsidP="000B70C9">
      <w:pPr>
        <w:numPr>
          <w:ilvl w:val="0"/>
          <w:numId w:val="29"/>
        </w:numPr>
        <w:ind w:right="52"/>
        <w:jc w:val="both"/>
        <w:rPr>
          <w:rFonts w:ascii="Open Sans" w:eastAsia="MS Mincho" w:hAnsi="Open Sans" w:cs="Open Sans"/>
          <w:sz w:val="20"/>
          <w:szCs w:val="20"/>
        </w:rPr>
      </w:pPr>
      <w:r w:rsidRPr="00F15896">
        <w:rPr>
          <w:rFonts w:ascii="Open Sans" w:eastAsia="MS Mincho" w:hAnsi="Open Sans" w:cs="Open Sans"/>
          <w:sz w:val="20"/>
          <w:szCs w:val="20"/>
        </w:rPr>
        <w:t>“Ambas sociedades están participadas junto con otros socios industriales internacionales. Su actividad consiste en el desarrollo y operación de proyectos de infraestructura, como son el caso de la planta de regasificación ya en operación de Altamira y el proyecto de gasoducto trans-adriático de TAP (declarado Project of Common Interest de la Unión Europea)".</w:t>
      </w:r>
    </w:p>
    <w:p w14:paraId="16AFCF16" w14:textId="77777777" w:rsidR="00F32F9C" w:rsidRPr="00F15896" w:rsidRDefault="00F32F9C" w:rsidP="00F32F9C">
      <w:pPr>
        <w:jc w:val="both"/>
        <w:rPr>
          <w:rFonts w:ascii="Open Sans" w:hAnsi="Open Sans" w:cs="Arial"/>
          <w:sz w:val="20"/>
          <w:szCs w:val="20"/>
        </w:rPr>
      </w:pPr>
    </w:p>
    <w:p w14:paraId="71A84E0A"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 xml:space="preserve">El proyecto de gasoducto del Adriático participa además de Enagás (16%), BP (20% - Reino Unido), SOCAR (20% - Compañía Estatal de Petroleo de Azerbayan, SNAM  (20% - Italia) y Fluxys (19% - Bélgica) y AXPO (5% - Suiza). Esta obra se llevará a cabo en Grecia, Albania e Italia, sin embargo se ha establecido la empresa que gestiona este proyecto en Suiza, donde tiene su domicilio social el socio con menor participación. </w:t>
      </w:r>
    </w:p>
    <w:p w14:paraId="60C6C7AC" w14:textId="77777777" w:rsidR="00F32F9C" w:rsidRPr="00F15896" w:rsidRDefault="00F32F9C" w:rsidP="00F32F9C">
      <w:pPr>
        <w:jc w:val="both"/>
        <w:rPr>
          <w:rFonts w:ascii="Open Sans" w:hAnsi="Open Sans" w:cs="Arial"/>
          <w:sz w:val="20"/>
          <w:szCs w:val="20"/>
        </w:rPr>
      </w:pPr>
    </w:p>
    <w:p w14:paraId="44E6FD02"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La sociedad en Holanda es un negocio conjunto con otro socio internacional, pero en este caso la planta de regasificación se encuentra en Altamira (México).</w:t>
      </w:r>
    </w:p>
    <w:p w14:paraId="6C85024D" w14:textId="77777777" w:rsidR="00F32F9C" w:rsidRPr="00F15896" w:rsidRDefault="00F32F9C" w:rsidP="00F32F9C">
      <w:pPr>
        <w:jc w:val="both"/>
        <w:rPr>
          <w:rFonts w:ascii="Open Sans" w:hAnsi="Open Sans" w:cs="Arial"/>
          <w:sz w:val="20"/>
          <w:szCs w:val="20"/>
        </w:rPr>
      </w:pPr>
    </w:p>
    <w:p w14:paraId="45B6363D"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Sobre la nueva sociedad creada en 2015, Enagás USA, LLC, no se da información del motivo de creación ni que sociedades son dependientes de la misma (sí se expone que su actividad es holding) , siendo uno de los principios de Enagás que: “</w:t>
      </w:r>
      <w:r w:rsidRPr="00F15896">
        <w:rPr>
          <w:rFonts w:ascii="Open Sans" w:hAnsi="Open Sans" w:cs="Arial"/>
          <w:i/>
          <w:sz w:val="20"/>
          <w:szCs w:val="20"/>
        </w:rPr>
        <w:t>sólo se realizarán estas inversiones o adquisiciones de entidades en paraísos fiscales para el desarrollo en dichos países de la actividad empresarial del grupo</w:t>
      </w:r>
      <w:r w:rsidRPr="00F15896">
        <w:rPr>
          <w:rFonts w:ascii="Open Sans" w:hAnsi="Open Sans" w:cs="Arial"/>
          <w:sz w:val="20"/>
          <w:szCs w:val="20"/>
        </w:rPr>
        <w:t>” En el mapa de actividades se muestra que cuenta con una oficina en Houston (Texas), donde también está registrada la sociedad</w:t>
      </w:r>
      <w:r w:rsidRPr="00F15896">
        <w:rPr>
          <w:rStyle w:val="Refdenotaalpie"/>
          <w:rFonts w:ascii="Open Sans" w:hAnsi="Open Sans" w:cs="Arial"/>
          <w:sz w:val="20"/>
          <w:szCs w:val="20"/>
        </w:rPr>
        <w:footnoteReference w:id="386"/>
      </w:r>
      <w:r w:rsidRPr="00F15896">
        <w:rPr>
          <w:rFonts w:ascii="Open Sans" w:hAnsi="Open Sans" w:cs="Arial"/>
          <w:sz w:val="20"/>
          <w:szCs w:val="20"/>
        </w:rPr>
        <w:t xml:space="preserve"> pero, como ya se ha expuesto, el registro en la fecha indicada en el informe 2015 coincide con el domicilio de Delaware.</w:t>
      </w:r>
    </w:p>
    <w:p w14:paraId="7A4B9C25" w14:textId="77777777" w:rsidR="00F32F9C" w:rsidRPr="00F15896" w:rsidRDefault="00F32F9C" w:rsidP="00F32F9C">
      <w:pPr>
        <w:jc w:val="both"/>
        <w:rPr>
          <w:rFonts w:ascii="Open Sans" w:hAnsi="Open Sans" w:cs="Arial"/>
          <w:sz w:val="20"/>
          <w:szCs w:val="20"/>
        </w:rPr>
      </w:pPr>
    </w:p>
    <w:p w14:paraId="41B23D6A"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Por tanto, con la información facilitada por Enagás es posible conocer el porcentaje correspondiente a Enagás de la titularidad de las sociedades dependientes localizadas en nichos fiscales pero no el resto de copartícipes en caso de haberlos, así como tampoco los motivos que han llevado a elegir esos territorios y no otros, cuando las actividades que se llevan a cabo lo hacen en lugares diferentes. Tampoco se tiene acceso al número de empleados vinculados con las mismas, sus datos de facturación, beneficios e impuestos pagados de forma desglosada.</w:t>
      </w:r>
    </w:p>
    <w:p w14:paraId="6DEADCA7" w14:textId="77777777" w:rsidR="00F32F9C" w:rsidRPr="00F15896" w:rsidRDefault="00F32F9C" w:rsidP="00F32F9C">
      <w:pPr>
        <w:jc w:val="both"/>
        <w:rPr>
          <w:rFonts w:ascii="Open Sans" w:hAnsi="Open Sans" w:cs="Arial"/>
          <w:sz w:val="20"/>
          <w:szCs w:val="20"/>
        </w:rPr>
      </w:pPr>
    </w:p>
    <w:p w14:paraId="661FE801"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Enagás informa en su estrategia fiscal sobre: “</w:t>
      </w:r>
      <w:r w:rsidRPr="00F15896">
        <w:rPr>
          <w:rFonts w:ascii="Open Sans" w:hAnsi="Open Sans" w:cs="Arial"/>
          <w:i/>
          <w:sz w:val="20"/>
          <w:szCs w:val="20"/>
        </w:rPr>
        <w:t>no utilizar, con la finalidad de minorar la carga impositiva, estructuras de carácter opaco o en las que la tributación no se adecúe a la ubicación de los medios materiales y humanos y al lugar de realización de las actividades de las entidades intervinientes, ni realizar, con igual fin, operaciones artificiosas no vinculadas a la actividad empresarial</w:t>
      </w:r>
      <w:r w:rsidRPr="00F15896">
        <w:rPr>
          <w:rFonts w:ascii="Open Sans" w:hAnsi="Open Sans" w:cs="Arial"/>
          <w:sz w:val="20"/>
          <w:szCs w:val="20"/>
        </w:rPr>
        <w:t>”</w:t>
      </w:r>
      <w:r w:rsidRPr="00F15896">
        <w:rPr>
          <w:rStyle w:val="Refdenotaalpie"/>
          <w:rFonts w:ascii="Open Sans" w:hAnsi="Open Sans" w:cs="Arial"/>
          <w:sz w:val="20"/>
          <w:szCs w:val="20"/>
        </w:rPr>
        <w:footnoteReference w:id="387"/>
      </w:r>
      <w:r w:rsidRPr="00F15896">
        <w:rPr>
          <w:rFonts w:ascii="Open Sans" w:hAnsi="Open Sans" w:cs="Arial"/>
          <w:sz w:val="20"/>
          <w:szCs w:val="20"/>
        </w:rPr>
        <w:t>, así como: “</w:t>
      </w:r>
      <w:r w:rsidRPr="00F15896">
        <w:rPr>
          <w:rFonts w:ascii="Open Sans" w:hAnsi="Open Sans" w:cs="Arial"/>
          <w:i/>
          <w:sz w:val="20"/>
          <w:szCs w:val="20"/>
        </w:rPr>
        <w:t>renunciar a la realización de inversiones en o a través de territorios calificados como paraísos fiscales con la finalidad de reducir la carga fiscal. Sólo se realizarán estas inversiones o adquisiciones de entidades en paraísos fiscales para el desarrollo en dichos países de la actividad empresarial del grupo</w:t>
      </w:r>
      <w:r w:rsidRPr="00F15896">
        <w:rPr>
          <w:rFonts w:ascii="Open Sans" w:hAnsi="Open Sans" w:cs="Arial"/>
          <w:sz w:val="20"/>
          <w:szCs w:val="20"/>
        </w:rPr>
        <w:t xml:space="preserve">”. </w:t>
      </w:r>
    </w:p>
    <w:p w14:paraId="71145995" w14:textId="77777777" w:rsidR="00F32F9C" w:rsidRPr="00F15896" w:rsidRDefault="00F32F9C" w:rsidP="00F32F9C">
      <w:pPr>
        <w:jc w:val="both"/>
        <w:rPr>
          <w:rFonts w:ascii="Open Sans" w:hAnsi="Open Sans" w:cs="Arial"/>
          <w:sz w:val="20"/>
          <w:szCs w:val="20"/>
        </w:rPr>
      </w:pPr>
    </w:p>
    <w:p w14:paraId="34BDA68F" w14:textId="77777777" w:rsidR="00F32F9C" w:rsidRPr="00F15896" w:rsidRDefault="00F32F9C" w:rsidP="00F32F9C">
      <w:pPr>
        <w:jc w:val="both"/>
        <w:rPr>
          <w:rFonts w:ascii="Open Sans" w:hAnsi="Open Sans" w:cs="Open Sans"/>
          <w:sz w:val="20"/>
          <w:szCs w:val="20"/>
        </w:rPr>
      </w:pPr>
      <w:r w:rsidRPr="00F15896">
        <w:rPr>
          <w:rFonts w:ascii="Open Sans" w:hAnsi="Open Sans" w:cs="Arial"/>
          <w:sz w:val="20"/>
          <w:szCs w:val="20"/>
        </w:rPr>
        <w:t xml:space="preserve">Esta posición deja muy claro el compromiso de la empresa al respecto, sin embargo, no se posiciona con respecto a qué considera paraíso fiscal ni nicho fiscal. </w:t>
      </w:r>
      <w:r w:rsidRPr="00F15896">
        <w:rPr>
          <w:rFonts w:ascii="Open Sans" w:hAnsi="Open Sans" w:cs="Open Sans"/>
          <w:sz w:val="20"/>
          <w:szCs w:val="20"/>
        </w:rPr>
        <w:t>El uso cada vez más frecuente de los nichos fiscales es puesta en evidencia por parte de la agencia tributaria: “</w:t>
      </w:r>
      <w:r w:rsidRPr="00F15896">
        <w:rPr>
          <w:rFonts w:ascii="Open Sans" w:hAnsi="Open Sans" w:cs="Open Sans"/>
          <w:i/>
          <w:sz w:val="20"/>
          <w:szCs w:val="20"/>
        </w:rPr>
        <w:t>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F15896">
        <w:rPr>
          <w:rFonts w:ascii="Open Sans" w:hAnsi="Open Sans" w:cs="Open Sans"/>
          <w:sz w:val="20"/>
          <w:szCs w:val="20"/>
        </w:rPr>
        <w:t>”</w:t>
      </w:r>
      <w:r w:rsidRPr="00F15896">
        <w:rPr>
          <w:rStyle w:val="Refdenotaalpie"/>
          <w:rFonts w:ascii="Open Sans" w:hAnsi="Open Sans" w:cs="Open Sans"/>
          <w:sz w:val="20"/>
          <w:szCs w:val="20"/>
        </w:rPr>
        <w:footnoteReference w:id="388"/>
      </w:r>
      <w:r w:rsidRPr="00F15896">
        <w:rPr>
          <w:rFonts w:ascii="Open Sans" w:hAnsi="Open Sans" w:cs="Open Sans"/>
          <w:sz w:val="20"/>
          <w:szCs w:val="20"/>
        </w:rPr>
        <w:t>.</w:t>
      </w:r>
    </w:p>
    <w:p w14:paraId="6AAB987C" w14:textId="77777777" w:rsidR="00F32F9C" w:rsidRPr="00F15896" w:rsidRDefault="00F32F9C" w:rsidP="00F32F9C">
      <w:pPr>
        <w:jc w:val="both"/>
        <w:rPr>
          <w:rFonts w:ascii="Open Sans" w:hAnsi="Open Sans" w:cs="Arial"/>
          <w:sz w:val="20"/>
          <w:szCs w:val="20"/>
        </w:rPr>
      </w:pPr>
    </w:p>
    <w:p w14:paraId="5405B366"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 el 2015, Enagás ha definido su política de gestión de riesgos y aprobada por el consejo de administración, en la que se incluyen los riesgos fiscales derivados de la exposición a posibles modificaciones de los marcos regulatorios fiscales y a incertidumbres por posibles diferencias interpretativas de la legislación tributaria vigente, con eventuales impactos negativos sobre sus resultados. Además de ello, el informe anual expone que el objetivo para el año 2016 es la adhesión al Código de Buenas Prácticas Tributarias, el cual incluye, entre otros compromisos, la prohibición de operar con estructuras instrumentales offshore, que favorecen la evasión fiscal.</w:t>
      </w:r>
    </w:p>
    <w:p w14:paraId="79C02E89" w14:textId="77777777" w:rsidR="00F32F9C" w:rsidRPr="00F15896" w:rsidRDefault="00F32F9C" w:rsidP="00F32F9C">
      <w:pPr>
        <w:jc w:val="both"/>
        <w:rPr>
          <w:rFonts w:ascii="Open Sans" w:hAnsi="Open Sans" w:cs="Arial"/>
          <w:sz w:val="20"/>
          <w:szCs w:val="20"/>
        </w:rPr>
      </w:pPr>
    </w:p>
    <w:p w14:paraId="5CC63FD8"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 relación a operaciones intragrupo, la empresa presenta información sobre algunas de ellas. Enagás informa de varias operaciones significativas que se han llevado a cabo entre empresas del grupo y que no forman parte del tráfico habitual de la sociedad en cuanto a su objeto y condiciones, además, se indica que: “</w:t>
      </w:r>
      <w:r w:rsidRPr="00F15896">
        <w:rPr>
          <w:rFonts w:ascii="Open Sans" w:hAnsi="Open Sans" w:cs="Arial"/>
          <w:i/>
          <w:sz w:val="20"/>
          <w:szCs w:val="20"/>
        </w:rPr>
        <w:t>en todo caso, se informará de cualquier operación intragrupo realizada con entidades establecidas en países o territorios que tengan la consideración de paraíso fiscal</w:t>
      </w:r>
      <w:r w:rsidRPr="00F15896">
        <w:rPr>
          <w:rFonts w:ascii="Open Sans" w:hAnsi="Open Sans" w:cs="Arial"/>
          <w:sz w:val="20"/>
          <w:szCs w:val="20"/>
        </w:rPr>
        <w:t>”</w:t>
      </w:r>
      <w:r w:rsidRPr="00F15896">
        <w:rPr>
          <w:rStyle w:val="Refdenotaalpie"/>
          <w:rFonts w:ascii="Open Sans" w:hAnsi="Open Sans" w:cs="Arial"/>
          <w:sz w:val="20"/>
          <w:szCs w:val="20"/>
        </w:rPr>
        <w:footnoteReference w:id="389"/>
      </w:r>
      <w:r w:rsidRPr="00F15896">
        <w:rPr>
          <w:rFonts w:ascii="Open Sans" w:hAnsi="Open Sans" w:cs="Arial"/>
          <w:sz w:val="20"/>
          <w:szCs w:val="20"/>
        </w:rPr>
        <w:t>. En el detalle de las operaciones, destacan dos llevadas a cabo por la sociedad Suiza “Trans Adriatic Pipeline AG”</w:t>
      </w:r>
      <w:r w:rsidRPr="00F15896">
        <w:rPr>
          <w:rStyle w:val="Refdenotaalpie"/>
          <w:rFonts w:ascii="Open Sans" w:hAnsi="Open Sans" w:cs="Arial"/>
          <w:sz w:val="20"/>
          <w:szCs w:val="20"/>
        </w:rPr>
        <w:footnoteReference w:id="390"/>
      </w:r>
      <w:r w:rsidRPr="00F15896">
        <w:rPr>
          <w:rFonts w:ascii="Open Sans" w:hAnsi="Open Sans" w:cs="Arial"/>
          <w:sz w:val="20"/>
          <w:szCs w:val="20"/>
        </w:rPr>
        <w:t>, una de las cuales corresponde a “préstamo e intereses financieros” por importe de 62.194 miles de euros y la otra a “compromisos de inversión adquiridos” por importe de 141.025 miles de euros, cantidades que son bastante elevadas y de las que no se aporta más explicación que la descrita, sin embargo, se hace necesario exponer más detalles sobre este tipo de operaciones en estos territorios, ya que tener conocimiento de estas operaciones es fundamental para poder deducir si la empresa está operando a través de su estructura societaria para implementar estrategias de optimización fiscal.</w:t>
      </w:r>
    </w:p>
    <w:p w14:paraId="3C8C27E5" w14:textId="77777777" w:rsidR="00F32F9C" w:rsidRPr="00F15896" w:rsidRDefault="00F32F9C" w:rsidP="00F32F9C">
      <w:pPr>
        <w:jc w:val="both"/>
        <w:rPr>
          <w:rFonts w:ascii="Open Sans" w:hAnsi="Open Sans" w:cs="Arial"/>
          <w:sz w:val="20"/>
          <w:szCs w:val="20"/>
        </w:rPr>
      </w:pPr>
    </w:p>
    <w:p w14:paraId="67E361A4"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Además de su posición respecto a los paraísos fiscales, en su estrategia fiscal Enagás dice que es un principio de la empresa el: “</w:t>
      </w:r>
      <w:r w:rsidRPr="00F15896">
        <w:rPr>
          <w:rFonts w:ascii="Open Sans" w:hAnsi="Open Sans" w:cs="Arial"/>
          <w:i/>
          <w:sz w:val="20"/>
          <w:szCs w:val="20"/>
        </w:rPr>
        <w:t>cumplir la normativa tributaria vigente en cada caso, satisfaciendo los impuestos que de acuerdo con el ordenamiento resulten exigibles y evitando ineficiencias en materia de costes fiscales</w:t>
      </w:r>
      <w:r w:rsidRPr="00F15896">
        <w:rPr>
          <w:rFonts w:ascii="Open Sans" w:hAnsi="Open Sans" w:cs="Arial"/>
          <w:sz w:val="20"/>
          <w:szCs w:val="20"/>
        </w:rPr>
        <w:t>”</w:t>
      </w:r>
      <w:r w:rsidRPr="00F15896">
        <w:rPr>
          <w:rStyle w:val="Refdenotaalpie"/>
          <w:rFonts w:ascii="Open Sans" w:hAnsi="Open Sans" w:cs="Arial"/>
          <w:sz w:val="20"/>
          <w:szCs w:val="20"/>
        </w:rPr>
        <w:footnoteReference w:id="391"/>
      </w:r>
      <w:r w:rsidRPr="00F15896">
        <w:rPr>
          <w:rFonts w:ascii="Open Sans" w:hAnsi="Open Sans" w:cs="Arial"/>
          <w:sz w:val="20"/>
          <w:szCs w:val="20"/>
        </w:rPr>
        <w:t>, además indica que: “</w:t>
      </w:r>
      <w:r w:rsidRPr="00F15896">
        <w:rPr>
          <w:rFonts w:ascii="Open Sans" w:hAnsi="Open Sans" w:cs="Arial"/>
          <w:i/>
          <w:sz w:val="20"/>
          <w:szCs w:val="20"/>
        </w:rPr>
        <w:t>por otra parte, los tributos son uno de los principales costes empresariales, así como un área en que las posibles distintas interpretaciones de la normativa aplicable son susceptibles de generar incertidumbres. En este contexto, la estrategia fiscal de Enagás también persigue evitar riesgos e ineficiencias fiscales</w:t>
      </w:r>
      <w:proofErr w:type="gramStart"/>
      <w:r w:rsidRPr="00F15896">
        <w:rPr>
          <w:rFonts w:ascii="Open Sans" w:hAnsi="Open Sans" w:cs="Arial"/>
          <w:sz w:val="20"/>
          <w:szCs w:val="20"/>
        </w:rPr>
        <w:t>” ,</w:t>
      </w:r>
      <w:proofErr w:type="gramEnd"/>
      <w:r w:rsidRPr="00F15896">
        <w:rPr>
          <w:rFonts w:ascii="Open Sans" w:hAnsi="Open Sans" w:cs="Arial"/>
          <w:sz w:val="20"/>
          <w:szCs w:val="20"/>
        </w:rPr>
        <w:t xml:space="preserve"> renunciando a “la realización de inversiones en o a través de territorios calificados como paraísos fiscales con la finalidad de reducir la carga fiscal”.  De este posicionamiento y el anterior puede entenderse que Enagás no utilizará sociedades en paraísos fiscales para reducir la carga fiscal, sin embargo, y a pesar de este claro compromiso, Enagás no considera paraíso fiscal a los 3 nichos fiscales en los que está presente, y en Holanda y Suiza tiene su actividad principal radicada en otro territorio, por lo que se hacen necesarias explicaciones más profundas de su presencia en los mismos.</w:t>
      </w:r>
    </w:p>
    <w:p w14:paraId="1925CE89" w14:textId="77777777" w:rsidR="00F32F9C" w:rsidRPr="00F15896" w:rsidRDefault="00F32F9C" w:rsidP="00F32F9C">
      <w:pPr>
        <w:jc w:val="both"/>
        <w:rPr>
          <w:rFonts w:ascii="Open Sans" w:hAnsi="Open Sans" w:cs="Arial"/>
          <w:sz w:val="20"/>
          <w:szCs w:val="20"/>
        </w:rPr>
      </w:pPr>
    </w:p>
    <w:p w14:paraId="5A711E35" w14:textId="77777777" w:rsidR="00F32F9C" w:rsidRPr="00F15896" w:rsidRDefault="00F32F9C" w:rsidP="00F32F9C">
      <w:pPr>
        <w:jc w:val="both"/>
        <w:rPr>
          <w:rFonts w:ascii="Open Sans" w:eastAsia="Calibri" w:hAnsi="Open Sans" w:cs="Open Sans"/>
          <w:sz w:val="20"/>
          <w:szCs w:val="20"/>
        </w:rPr>
      </w:pPr>
      <w:r w:rsidRPr="00F15896">
        <w:rPr>
          <w:rFonts w:ascii="Open Sans" w:hAnsi="Open Sans" w:cs="Arial"/>
          <w:sz w:val="20"/>
          <w:szCs w:val="20"/>
        </w:rPr>
        <w:t>En la misma estrategia, la empresa dice: “</w:t>
      </w:r>
      <w:r w:rsidRPr="00F15896">
        <w:rPr>
          <w:rFonts w:ascii="Open Sans" w:hAnsi="Open Sans" w:cs="Arial"/>
          <w:i/>
          <w:sz w:val="20"/>
          <w:szCs w:val="20"/>
        </w:rPr>
        <w:t>los tributos constituyen la principal aportación de Enagás y sus filiales al sostenimiento de las cargas públicas y al desarrollo de las comunidades donde operan</w:t>
      </w:r>
      <w:r w:rsidRPr="00F15896">
        <w:rPr>
          <w:rFonts w:ascii="Open Sans" w:hAnsi="Open Sans" w:cs="Arial"/>
          <w:sz w:val="20"/>
          <w:szCs w:val="20"/>
        </w:rPr>
        <w:t>”</w:t>
      </w:r>
      <w:r w:rsidRPr="00F15896">
        <w:rPr>
          <w:rStyle w:val="Refdenotaalpie"/>
          <w:rFonts w:ascii="Open Sans" w:hAnsi="Open Sans" w:cs="Arial"/>
          <w:sz w:val="20"/>
          <w:szCs w:val="20"/>
        </w:rPr>
        <w:footnoteReference w:id="392"/>
      </w:r>
      <w:r w:rsidRPr="00F15896">
        <w:rPr>
          <w:rFonts w:ascii="Open Sans" w:hAnsi="Open Sans" w:cs="Arial"/>
          <w:sz w:val="20"/>
          <w:szCs w:val="20"/>
        </w:rPr>
        <w:t>. Este reconocimiento sobre el papel de los impuestos en la sociedad viene acompañado, en los indicadores económicos, de la cifra de impuestos pagada por Enagás, alcanzando los 164.4 millones de euros</w:t>
      </w:r>
      <w:r w:rsidRPr="00F15896">
        <w:rPr>
          <w:rStyle w:val="Refdenotaalpie"/>
          <w:rFonts w:ascii="Open Sans" w:hAnsi="Open Sans" w:cs="Arial"/>
          <w:sz w:val="20"/>
          <w:szCs w:val="20"/>
        </w:rPr>
        <w:footnoteReference w:id="393"/>
      </w:r>
      <w:r w:rsidRPr="00F15896">
        <w:rPr>
          <w:rFonts w:ascii="Open Sans" w:hAnsi="Open Sans" w:cs="Arial"/>
          <w:sz w:val="20"/>
          <w:szCs w:val="20"/>
        </w:rPr>
        <w:t xml:space="preserve">. Sin embargo, el dato se da globalmente y no permite comprobar el grado de contribución en cada una de las comunidades donde opera, por lo que esta información es totalmente insuficiente para </w:t>
      </w:r>
      <w:r w:rsidRPr="00F15896">
        <w:rPr>
          <w:rFonts w:ascii="Open Sans" w:eastAsia="Calibri" w:hAnsi="Open Sans" w:cs="Open Sans"/>
          <w:sz w:val="20"/>
          <w:szCs w:val="20"/>
        </w:rPr>
        <w:t>conocer el comportamiento y contribución fiscal detallada de Enagás.</w:t>
      </w:r>
    </w:p>
    <w:p w14:paraId="40A0B92F" w14:textId="77777777" w:rsidR="00F32F9C" w:rsidRPr="00F15896" w:rsidRDefault="00F32F9C" w:rsidP="00F32F9C">
      <w:pPr>
        <w:jc w:val="both"/>
        <w:rPr>
          <w:rFonts w:ascii="Open Sans" w:eastAsia="Calibri" w:hAnsi="Open Sans" w:cs="Open Sans"/>
          <w:sz w:val="20"/>
          <w:szCs w:val="20"/>
        </w:rPr>
      </w:pPr>
    </w:p>
    <w:p w14:paraId="70ED296C" w14:textId="77777777" w:rsidR="00F32F9C" w:rsidRPr="00F15896" w:rsidRDefault="00F32F9C" w:rsidP="00F32F9C">
      <w:pPr>
        <w:jc w:val="both"/>
        <w:rPr>
          <w:rFonts w:ascii="Open Sans" w:eastAsia="Calibri" w:hAnsi="Open Sans" w:cs="Open Sans"/>
          <w:sz w:val="20"/>
          <w:szCs w:val="20"/>
        </w:rPr>
      </w:pPr>
      <w:r w:rsidRPr="00F15896">
        <w:rPr>
          <w:rFonts w:ascii="Open Sans" w:eastAsia="Calibri" w:hAnsi="Open Sans" w:cs="Open Sans"/>
          <w:sz w:val="20"/>
          <w:szCs w:val="20"/>
        </w:rPr>
        <w:t>En relación al desglose de impuesto, Enagás presenta el importe pagado en impuestos referente a infraestructuras, su labor de gestión técnica del sistema y de las actividades no reguladas. Además, presenta el desglose del impuesto de sociedades para los años 2015 y 2014, sin embargo, no se presenta el cuadro con el desglose por filial, que sí se presentaba en el informe anterior. Esto significa un empeoramiento en la información reportada de la que no se da ninguna explicación ni motivo. Desde luego supone una mala noticia que la única empresa del IBEX35 que aportaba esta información en el ejercicio 2014 haya sufrido un retroceso en su rendición de cuentas respecto a sus grupos de interés y comunidades donde está presente.</w:t>
      </w:r>
    </w:p>
    <w:p w14:paraId="555AFCE9" w14:textId="77777777" w:rsidR="00F32F9C" w:rsidRPr="00F15896" w:rsidRDefault="00F32F9C" w:rsidP="00F32F9C">
      <w:pPr>
        <w:jc w:val="both"/>
        <w:rPr>
          <w:rFonts w:ascii="Open Sans" w:eastAsia="Calibri" w:hAnsi="Open Sans" w:cs="Open Sans"/>
          <w:sz w:val="20"/>
          <w:szCs w:val="20"/>
        </w:rPr>
      </w:pPr>
    </w:p>
    <w:p w14:paraId="1EA5470C"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 relación a las subvenciones recibidas, aporta información referente a España y por naturaleza de la subvención (plantas de regasificación, infraestructuras de transporte de gas y almacenamientos subterráneos) y también por el organismo que los ha concedido (fondos estructurales de la Unión Europea, Organismos oficiales de las CCAA y Estado Español), siendo el importe de subvenciones recibidas en el año 2015 de 600.456 miles de euros. Sin embargo, no se hace referencia a si se han recibido otras subvenciones y por qué motivos en otros países.</w:t>
      </w:r>
    </w:p>
    <w:p w14:paraId="45A34704" w14:textId="77777777" w:rsidR="00F32F9C" w:rsidRPr="00F15896" w:rsidRDefault="00F32F9C" w:rsidP="00F32F9C">
      <w:pPr>
        <w:jc w:val="both"/>
        <w:rPr>
          <w:rFonts w:ascii="Open Sans" w:hAnsi="Open Sans" w:cs="Arial"/>
          <w:sz w:val="20"/>
          <w:szCs w:val="20"/>
        </w:rPr>
      </w:pPr>
    </w:p>
    <w:p w14:paraId="23E82C03" w14:textId="77777777" w:rsidR="00F32F9C" w:rsidRPr="00F15896" w:rsidRDefault="00F32F9C" w:rsidP="00F32F9C">
      <w:pPr>
        <w:pStyle w:val="Texto-InformeIBEX"/>
      </w:pPr>
      <w:r w:rsidRPr="00F15896">
        <w:t xml:space="preserve">En relación las exenciones y créditos fiscales por país Enagás no </w:t>
      </w:r>
      <w:proofErr w:type="gramStart"/>
      <w:r w:rsidRPr="00F15896">
        <w:t>aporta</w:t>
      </w:r>
      <w:proofErr w:type="gramEnd"/>
      <w:r w:rsidRPr="00F15896">
        <w:t xml:space="preserve"> información desglosada por país. Figura únicamente información sobre la conciliación del resultado contable y fiscal donde se aportan datos agregados de deducciones y exenciones, así como los importes de los impuestos diferidos (activos y pasivos fiscales).</w:t>
      </w:r>
    </w:p>
    <w:p w14:paraId="1CED347A" w14:textId="77777777" w:rsidR="00F32F9C" w:rsidRPr="00F15896" w:rsidRDefault="00F32F9C" w:rsidP="00F32F9C">
      <w:pPr>
        <w:pStyle w:val="Texto-InformeIBEX"/>
      </w:pPr>
    </w:p>
    <w:p w14:paraId="5302E770" w14:textId="77777777" w:rsidR="00F32F9C" w:rsidRPr="00F15896" w:rsidRDefault="00F32F9C" w:rsidP="00F32F9C">
      <w:pPr>
        <w:pStyle w:val="Texto-InformeIBEX"/>
        <w:rPr>
          <w:rFonts w:cs="Arial"/>
        </w:rPr>
      </w:pPr>
      <w:r w:rsidRPr="00F15896">
        <w:t>Respecto a su r</w:t>
      </w:r>
      <w:r w:rsidRPr="00F15896">
        <w:rPr>
          <w:rFonts w:cs="Arial"/>
          <w:bCs/>
        </w:rPr>
        <w:t>elación con la Administración Tributaria de los distintos países donde opera, Enagás publica en su estrategia fiscal: “</w:t>
      </w:r>
      <w:r w:rsidRPr="00F15896">
        <w:rPr>
          <w:rFonts w:cs="Arial"/>
          <w:bCs/>
          <w:i/>
        </w:rPr>
        <w:t>mantener y potenciar una relación con la Administración tributaria presidida por la colaboración, confianza, buena fe, reciprocidad y profesionalidad, sin perjuicio de las legítimas controversias que en defensa de sus intereses y de los de sus accionistas, puedan generarse con las autoridades fiscales en torno a la interpretación de las normas</w:t>
      </w:r>
      <w:r w:rsidRPr="00F15896">
        <w:rPr>
          <w:rFonts w:cs="Arial"/>
          <w:bCs/>
        </w:rPr>
        <w:t>”</w:t>
      </w:r>
      <w:r w:rsidRPr="00F15896">
        <w:rPr>
          <w:rStyle w:val="Refdenotaalpie"/>
          <w:rFonts w:cs="Arial"/>
          <w:bCs/>
        </w:rPr>
        <w:footnoteReference w:id="394"/>
      </w:r>
      <w:r w:rsidRPr="00F15896">
        <w:rPr>
          <w:rFonts w:cs="Arial"/>
          <w:bCs/>
        </w:rPr>
        <w:t>, así como “</w:t>
      </w:r>
      <w:r w:rsidRPr="00F15896">
        <w:rPr>
          <w:rFonts w:cs="Arial"/>
          <w:bCs/>
          <w:i/>
        </w:rPr>
        <w:t>Colaborar con las Administraciones tributarias competentes en sus funciones de comprobación relativas a ENAGÁS y a las participadas por ella controladas, facilitando la información que por aquéllas sea solicitada</w:t>
      </w:r>
      <w:r w:rsidRPr="00F15896">
        <w:rPr>
          <w:rFonts w:cs="Arial"/>
          <w:bCs/>
        </w:rPr>
        <w:t>”. A pesar de estas buenas intenciones, y de señalar en varias ocasiones que una acción para mitigar diversos riesgos es la “</w:t>
      </w:r>
      <w:r w:rsidRPr="00F15896">
        <w:rPr>
          <w:rFonts w:cs="Arial"/>
          <w:bCs/>
          <w:i/>
        </w:rPr>
        <w:t>relación continua de colaboración con organismos reguladores (nacionales y europeos) y con las administraciones públicas</w:t>
      </w:r>
      <w:r w:rsidRPr="00F15896">
        <w:rPr>
          <w:rFonts w:cs="Arial"/>
          <w:bCs/>
        </w:rPr>
        <w:t>”</w:t>
      </w:r>
      <w:r w:rsidRPr="00F15896">
        <w:rPr>
          <w:rStyle w:val="Refdenotaalpie"/>
          <w:rFonts w:cs="Arial"/>
          <w:bCs/>
        </w:rPr>
        <w:footnoteReference w:id="395"/>
      </w:r>
      <w:r w:rsidRPr="00F15896">
        <w:rPr>
          <w:rFonts w:cs="Arial"/>
          <w:bCs/>
        </w:rPr>
        <w:t xml:space="preserve">, no se indica en el informe anual ninguna acción concreta que haya llevado a cabo para tal fin, más allá del objetivo ya mencionado de adhesión al </w:t>
      </w:r>
      <w:r w:rsidRPr="00F15896">
        <w:rPr>
          <w:rFonts w:cs="Arial"/>
        </w:rPr>
        <w:t xml:space="preserve">Código de Buenas Prácticas Tributarias en 2016. A este respecto, tampoco se menciona los diferentes marcos de relación que debe adaptarse en los distintos países donde opera y fundamentalmente debido a sus operaciones reguladas. </w:t>
      </w:r>
    </w:p>
    <w:p w14:paraId="31759997" w14:textId="77777777" w:rsidR="00F32F9C" w:rsidRPr="00F15896" w:rsidRDefault="00F32F9C" w:rsidP="00F32F9C">
      <w:pPr>
        <w:pStyle w:val="Texto-InformeIBEX"/>
        <w:rPr>
          <w:rFonts w:cs="Arial"/>
        </w:rPr>
      </w:pPr>
    </w:p>
    <w:p w14:paraId="079210E6" w14:textId="77777777" w:rsidR="00F32F9C" w:rsidRPr="00F15896" w:rsidRDefault="00F32F9C" w:rsidP="00F32F9C">
      <w:pPr>
        <w:pStyle w:val="Texto-InformeIBEX"/>
        <w:rPr>
          <w:rFonts w:cs="Arial"/>
        </w:rPr>
      </w:pPr>
      <w:r w:rsidRPr="00F15896">
        <w:rPr>
          <w:rFonts w:cs="Arial"/>
        </w:rPr>
        <w:t>Respecto a las deudas tributarias, Enagás informa que de los saldos deudores a nivel global, alcanzando la cifra de 29.577 miles de euros, mientras que los saldos acreedores son 37.006 miles de euros a 31 de diciembre de 2015. El desglose ofrecido sin embargo, no permite comprobar el desempeño respecto a los distintos territorios donde actúa ya que el dato ofrecido corresponde al grupo en su totalidad. Respecto a posibles sanciones o litigios, se expone  un pasivo contingente que alcanza los 1.259 miles de euros en el litigio que mantiene el grupo con el Fondo Europeo de Desarrollo regional (FEDER) en relación a una subvención recibida. No se ha encontrado información referente a posibles litigios tributarios que tenga abiertos la empresa o a la ausencia de los mismos.</w:t>
      </w:r>
    </w:p>
    <w:p w14:paraId="099EEF45" w14:textId="77777777" w:rsidR="00F32F9C" w:rsidRPr="00F15896" w:rsidRDefault="00F32F9C" w:rsidP="00F32F9C">
      <w:pPr>
        <w:pStyle w:val="Texto-InformeIBEX"/>
        <w:rPr>
          <w:rFonts w:cs="Arial"/>
        </w:rPr>
      </w:pPr>
    </w:p>
    <w:p w14:paraId="314DE7E2" w14:textId="77777777" w:rsidR="00F32F9C" w:rsidRPr="00F15896" w:rsidRDefault="00F32F9C" w:rsidP="00F32F9C">
      <w:pPr>
        <w:pStyle w:val="Texto-InformeIBEX"/>
        <w:rPr>
          <w:rFonts w:cs="Arial"/>
        </w:rPr>
      </w:pPr>
    </w:p>
    <w:p w14:paraId="14C59D53" w14:textId="77777777" w:rsidR="00F32F9C" w:rsidRPr="00F15896" w:rsidRDefault="00F32F9C" w:rsidP="00F32F9C">
      <w:pPr>
        <w:rPr>
          <w:rFonts w:ascii="Open Sans" w:hAnsi="Open Sans" w:cs="Arial"/>
          <w:bCs/>
          <w:sz w:val="22"/>
          <w:szCs w:val="22"/>
          <w:u w:val="single"/>
        </w:rPr>
      </w:pPr>
      <w:r w:rsidRPr="00F15896">
        <w:rPr>
          <w:rFonts w:ascii="Open Sans" w:hAnsi="Open Sans" w:cs="Arial"/>
          <w:b/>
          <w:sz w:val="22"/>
          <w:szCs w:val="22"/>
          <w:u w:val="single"/>
        </w:rPr>
        <w:t>5. Conclusiones</w:t>
      </w:r>
    </w:p>
    <w:p w14:paraId="7C3132EB" w14:textId="77777777" w:rsidR="00F32F9C" w:rsidRPr="00F15896" w:rsidRDefault="00F32F9C" w:rsidP="00F32F9C">
      <w:pPr>
        <w:rPr>
          <w:rFonts w:ascii="Open Sans" w:hAnsi="Open Sans" w:cs="Arial"/>
          <w:bCs/>
          <w:sz w:val="22"/>
          <w:szCs w:val="22"/>
        </w:rPr>
      </w:pPr>
    </w:p>
    <w:p w14:paraId="067B634D" w14:textId="77777777" w:rsidR="00F32F9C" w:rsidRPr="00F15896" w:rsidRDefault="00F32F9C" w:rsidP="00F32F9C">
      <w:pPr>
        <w:pStyle w:val="Default"/>
        <w:jc w:val="both"/>
        <w:rPr>
          <w:rFonts w:ascii="Open Sans" w:hAnsi="Open Sans" w:cs="Open Sans"/>
          <w:color w:val="auto"/>
          <w:sz w:val="20"/>
          <w:szCs w:val="20"/>
        </w:rPr>
      </w:pPr>
      <w:r w:rsidRPr="00F15896">
        <w:rPr>
          <w:rFonts w:ascii="Open Sans" w:hAnsi="Open Sans" w:cs="Open Sans"/>
          <w:color w:val="auto"/>
          <w:sz w:val="20"/>
          <w:szCs w:val="20"/>
        </w:rPr>
        <w:t xml:space="preserve">La valoración global de la transparencia de Enagás en el ámbito fiscal es de </w:t>
      </w:r>
      <w:r w:rsidRPr="00F15896">
        <w:rPr>
          <w:rFonts w:ascii="Open Sans" w:hAnsi="Open Sans" w:cs="Open Sans"/>
          <w:b/>
          <w:color w:val="auto"/>
          <w:sz w:val="20"/>
          <w:szCs w:val="20"/>
        </w:rPr>
        <w:t>0,56</w:t>
      </w:r>
      <w:r w:rsidRPr="00F15896">
        <w:rPr>
          <w:rFonts w:ascii="Open Sans" w:hAnsi="Open Sans" w:cs="Open Sans"/>
          <w:color w:val="auto"/>
          <w:sz w:val="20"/>
          <w:szCs w:val="20"/>
        </w:rPr>
        <w:t xml:space="preserve"> sobre un máximo de 3, lo que equivale a una </w:t>
      </w:r>
      <w:r w:rsidRPr="00F15896">
        <w:rPr>
          <w:rFonts w:ascii="Open Sans" w:hAnsi="Open Sans" w:cs="Open Sans"/>
          <w:i/>
          <w:color w:val="auto"/>
          <w:sz w:val="20"/>
          <w:szCs w:val="20"/>
        </w:rPr>
        <w:t>información escasa</w:t>
      </w:r>
      <w:r w:rsidRPr="00F15896">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(1,00), seguidos de “paraísos y nichos fiscales” (0,50), “relaciones con Administraciones Tributarias” (0,40) e “impuestos e incentivos” (0,33). </w:t>
      </w:r>
    </w:p>
    <w:p w14:paraId="469D3340" w14:textId="77777777" w:rsidR="00F32F9C" w:rsidRPr="00F15896" w:rsidRDefault="00F32F9C" w:rsidP="00F32F9C">
      <w:pPr>
        <w:pStyle w:val="Default"/>
        <w:jc w:val="both"/>
        <w:rPr>
          <w:rFonts w:ascii="Open Sans" w:hAnsi="Open Sans" w:cs="Open Sans"/>
          <w:color w:val="auto"/>
          <w:sz w:val="20"/>
          <w:szCs w:val="20"/>
        </w:rPr>
      </w:pPr>
    </w:p>
    <w:p w14:paraId="17C3F385"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La principal novedad y mejora en las políticas de Enagás este 2015 es la aprobación de la estrategia fiscal del grupo por parte de su consejo de administración. Mediante este posicionamiento la empresa deja claro sus estrategias respecto a aspectos fiscales y su relación con las administraciones tributarias. A pesar de este buen paso, en el informe no se especifica la forma en la que el grupo relaciona e integra las expectativas de los grupos de interés, incluyendo la administración tributaria, por lo que la información disponible se refiere a unos principios sobre los que no se aclara cómo se materializan durante el ejercicio en curso.</w:t>
      </w:r>
    </w:p>
    <w:p w14:paraId="536203EA" w14:textId="77777777" w:rsidR="00F32F9C" w:rsidRPr="00F15896" w:rsidRDefault="00F32F9C" w:rsidP="00F32F9C">
      <w:pPr>
        <w:jc w:val="both"/>
        <w:rPr>
          <w:rFonts w:ascii="Open Sans" w:hAnsi="Open Sans" w:cs="Arial"/>
          <w:sz w:val="20"/>
          <w:szCs w:val="20"/>
        </w:rPr>
      </w:pPr>
    </w:p>
    <w:p w14:paraId="723D1699"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Por otro lado, solo una pequeña parte de la información económica y fiscal está mencionada fuera de las cuentas anuales, de forma resumida y sin desgloses que permitan comprobar el nivel de desempeño por país, lo que, a pesar del evidente peso que tienen las actividades en España para Enagás, no permite comprobar su comportamiento en cada uno de los países donde opera.</w:t>
      </w:r>
    </w:p>
    <w:p w14:paraId="2C98EFAF" w14:textId="77777777" w:rsidR="00F32F9C" w:rsidRPr="00F15896" w:rsidRDefault="00F32F9C" w:rsidP="00F32F9C">
      <w:pPr>
        <w:jc w:val="both"/>
        <w:rPr>
          <w:rFonts w:ascii="Open Sans" w:hAnsi="Open Sans" w:cs="Arial"/>
          <w:sz w:val="20"/>
          <w:szCs w:val="20"/>
        </w:rPr>
      </w:pPr>
    </w:p>
    <w:p w14:paraId="022FC90C"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En relación a la claridad y accesibilidad de la información, Enagás presenta indicadores económicos concretos</w:t>
      </w:r>
      <w:r w:rsidRPr="00F15896">
        <w:rPr>
          <w:rStyle w:val="Refdenotaalpie"/>
          <w:rFonts w:ascii="Open Sans" w:hAnsi="Open Sans" w:cs="Arial"/>
          <w:sz w:val="20"/>
          <w:szCs w:val="20"/>
        </w:rPr>
        <w:footnoteReference w:id="396"/>
      </w:r>
      <w:r w:rsidRPr="00F15896">
        <w:rPr>
          <w:rFonts w:ascii="Open Sans" w:hAnsi="Open Sans" w:cs="Arial"/>
          <w:sz w:val="20"/>
          <w:szCs w:val="20"/>
        </w:rPr>
        <w:t xml:space="preserve"> que ayudan a conocer su desempeño en diferentes aspectos. Esta información es muy útil tanto a nivel resumen como para grupos de interés que no tengan los conocimientos necesarios para entender los datos publicados en las cuentas anuales, además de presentar un histórico de datos lo suficientemente amplio como para evaluar su desempeño en los últimos años. A pesar de ello, la cantidad y profundidad de los mismos es mejorable, siendo necesario mostrar mayor cantidad de datos como, por ejemplo, los referentes a impuestos u otro tipo de valor económicos generado desglosado país a país, lo que permite comprobar en qué nivel Enagás está contribuyendo en cada una de las comunidades donde opera.</w:t>
      </w:r>
    </w:p>
    <w:p w14:paraId="7E4074DF" w14:textId="77777777" w:rsidR="00F32F9C" w:rsidRPr="00F15896" w:rsidRDefault="00F32F9C" w:rsidP="00F32F9C">
      <w:pPr>
        <w:jc w:val="both"/>
        <w:rPr>
          <w:rFonts w:ascii="Open Sans" w:hAnsi="Open Sans" w:cs="Arial"/>
          <w:sz w:val="20"/>
          <w:szCs w:val="20"/>
        </w:rPr>
      </w:pPr>
    </w:p>
    <w:p w14:paraId="09D092F7" w14:textId="77777777" w:rsidR="00F32F9C" w:rsidRPr="00F15896" w:rsidRDefault="00F32F9C" w:rsidP="00F32F9C">
      <w:pPr>
        <w:jc w:val="both"/>
        <w:rPr>
          <w:rFonts w:ascii="Open Sans" w:hAnsi="Open Sans" w:cs="Arial"/>
          <w:sz w:val="20"/>
          <w:szCs w:val="20"/>
        </w:rPr>
      </w:pPr>
      <w:r w:rsidRPr="00F15896">
        <w:rPr>
          <w:rFonts w:ascii="Open Sans" w:hAnsi="Open Sans" w:cs="Arial"/>
          <w:sz w:val="20"/>
          <w:szCs w:val="20"/>
        </w:rPr>
        <w:t>Por último, el posicionamiento de Enagás frente a los paraísos fiscales y las estructuras de ingeniería fiscal se expone claramente en su estrategia de fiscalidad, estando en contra y comprometiéndose a no generar estructuras opacas con el objetivo de minorar la carga tributaria. Este sin duda es un compromiso loable y que la sociedad en su conjunto demanda, cada vez con mayor intensidad, a las empresas. Por el contrario, la dificultad para establecer hoy en día los territorios considerados paraíso fiscal es elevada. Más allá de los reconocidos por el real decreto 1080/1991, con una lista cada vez más pequeña gracias a los acuerdos de intercambio de información, la lista de la OCDE en la que sólo figuran dos países, la Unión Europea está en proceso de elaborar una lista conjunta para todos los países de la unión de cara al año 2018</w:t>
      </w:r>
      <w:r w:rsidRPr="00F15896">
        <w:rPr>
          <w:rStyle w:val="Refdenotaalpie"/>
          <w:rFonts w:ascii="Open Sans" w:hAnsi="Open Sans" w:cs="Arial"/>
          <w:sz w:val="20"/>
          <w:szCs w:val="20"/>
        </w:rPr>
        <w:footnoteReference w:id="397"/>
      </w:r>
      <w:r w:rsidRPr="00F15896">
        <w:rPr>
          <w:rFonts w:ascii="Open Sans" w:hAnsi="Open Sans" w:cs="Arial"/>
          <w:sz w:val="20"/>
          <w:szCs w:val="20"/>
        </w:rPr>
        <w:t>. Debido a esto, Enagás no tiene presencia en ninguno de los países que contempla actualmente la legislación española o la OCDE, sin embargo, si dispone de presencia en 3 territorios considerados nicho fiscal según la metodología del observatorio de RSC. La situación y actividad de estas sociedades no se aclara en la información presentada por Enagás en su documentación pública, por lo que, aunque la empresa pueda considerarlos fuera del perímetro de la denominación de paraíso fiscal, se hace necesaria la explicación y presentación de datos de forma transparente, teniendo en cuenta además que la información conocida de las mismas es que realizan actividades fuera de dichos territorios.</w:t>
      </w:r>
    </w:p>
    <w:p w14:paraId="0DB867A9" w14:textId="77777777" w:rsidR="006458EC" w:rsidRDefault="006458EC" w:rsidP="006458EC">
      <w:pPr>
        <w:jc w:val="both"/>
        <w:rPr>
          <w:rFonts w:ascii="Open Sans" w:hAnsi="Open Sans" w:cs="Arial"/>
          <w:sz w:val="20"/>
          <w:szCs w:val="20"/>
        </w:rPr>
      </w:pPr>
    </w:p>
    <w:p w14:paraId="60AB50CC" w14:textId="77777777" w:rsidR="00382BDC" w:rsidRDefault="00382BDC">
      <w:pPr>
        <w:rPr>
          <w:rFonts w:ascii="Open Sans" w:hAnsi="Open Sans" w:cs="Open Sans"/>
          <w:sz w:val="20"/>
          <w:szCs w:val="20"/>
        </w:rPr>
      </w:pPr>
    </w:p>
    <w:p w14:paraId="1C17A1AF" w14:textId="2290762D" w:rsidR="007F61B3" w:rsidRDefault="007F61B3">
      <w:pPr>
        <w:rPr>
          <w:rFonts w:ascii="Open Sans" w:hAnsi="Open Sans" w:cs="Open Sans"/>
          <w:sz w:val="20"/>
          <w:szCs w:val="20"/>
        </w:rPr>
      </w:pPr>
      <w:r>
        <w:rPr>
          <w:rFonts w:ascii="Open Sans" w:hAnsi="Open Sans" w:cs="Open Sans"/>
          <w:sz w:val="20"/>
          <w:szCs w:val="20"/>
        </w:rPr>
        <w:br w:type="page"/>
      </w:r>
    </w:p>
    <w:p w14:paraId="77932001" w14:textId="77777777" w:rsidR="008D7155" w:rsidRPr="00E440AC" w:rsidRDefault="008D7155" w:rsidP="008D715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olor w:val="FFFFFF"/>
        </w:rPr>
      </w:pPr>
      <w:bookmarkStart w:id="83" w:name="Endesa"/>
      <w:r w:rsidRPr="00E440AC">
        <w:rPr>
          <w:rFonts w:ascii="Open Sans" w:hAnsi="Open Sans" w:cs="Open Sans"/>
          <w:b/>
          <w:color w:val="FFFFFF"/>
        </w:rPr>
        <w:t>ENDESA, S.A.</w:t>
      </w:r>
    </w:p>
    <w:bookmarkEnd w:id="83"/>
    <w:p w14:paraId="623FB64E" w14:textId="77777777" w:rsidR="008D7155" w:rsidRPr="00E440AC" w:rsidRDefault="008D7155" w:rsidP="008D715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sidRPr="00E440AC">
        <w:rPr>
          <w:rFonts w:ascii="Open Sans" w:hAnsi="Open Sans" w:cs="Open Sans"/>
          <w:b/>
          <w:i/>
          <w:color w:val="FFFFFF"/>
        </w:rPr>
        <w:t xml:space="preserve">(Endesa) </w:t>
      </w:r>
    </w:p>
    <w:p w14:paraId="4141B690" w14:textId="77777777" w:rsidR="008D7155" w:rsidRPr="00724C1E" w:rsidRDefault="008D7155" w:rsidP="008D7155">
      <w:pPr>
        <w:spacing w:before="120" w:after="120" w:line="360" w:lineRule="auto"/>
        <w:ind w:left="708"/>
        <w:jc w:val="both"/>
        <w:rPr>
          <w:rFonts w:ascii="Open Sans" w:hAnsi="Open Sans" w:cs="Open Sans"/>
          <w:b/>
          <w:bCs/>
          <w:color w:val="002060"/>
          <w:sz w:val="20"/>
          <w:szCs w:val="20"/>
        </w:rPr>
      </w:pPr>
    </w:p>
    <w:p w14:paraId="3F0D3370" w14:textId="77777777" w:rsidR="00F32F9C" w:rsidRPr="0052487D" w:rsidRDefault="00F32F9C" w:rsidP="0052487D">
      <w:pPr>
        <w:rPr>
          <w:rFonts w:ascii="Open Sans" w:hAnsi="Open Sans" w:cs="Arial"/>
          <w:b/>
          <w:sz w:val="22"/>
          <w:szCs w:val="22"/>
          <w:u w:val="single"/>
        </w:rPr>
      </w:pPr>
      <w:r w:rsidRPr="0052487D">
        <w:rPr>
          <w:rFonts w:ascii="Open Sans" w:hAnsi="Open Sans" w:cs="Arial"/>
          <w:b/>
          <w:sz w:val="22"/>
          <w:szCs w:val="22"/>
          <w:u w:val="single"/>
        </w:rPr>
        <w:t>1. Datos generales de la entidad</w:t>
      </w:r>
    </w:p>
    <w:p w14:paraId="787B2B2C" w14:textId="77777777" w:rsidR="00F32F9C" w:rsidRPr="0052487D" w:rsidRDefault="00F32F9C" w:rsidP="0052487D">
      <w:pPr>
        <w:rPr>
          <w:rFonts w:ascii="Open Sans" w:hAnsi="Open Sans" w:cs="Arial"/>
          <w:b/>
          <w:sz w:val="22"/>
          <w:szCs w:val="22"/>
          <w:u w:val="single"/>
        </w:rPr>
      </w:pPr>
    </w:p>
    <w:p w14:paraId="166E8482"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u w:val="single"/>
        </w:rPr>
        <w:t>Productos/servicios</w:t>
      </w:r>
    </w:p>
    <w:p w14:paraId="28DE1F2F" w14:textId="77777777" w:rsidR="00F737BF" w:rsidRPr="00AD646E" w:rsidRDefault="00F737BF" w:rsidP="00F737BF">
      <w:pPr>
        <w:ind w:left="708"/>
        <w:jc w:val="both"/>
        <w:rPr>
          <w:rFonts w:ascii="Open Sans" w:hAnsi="Open Sans" w:cs="Open Sans"/>
          <w:sz w:val="20"/>
          <w:szCs w:val="20"/>
        </w:rPr>
      </w:pPr>
    </w:p>
    <w:p w14:paraId="6C5F0B23"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 xml:space="preserve">Endesa forma parte del Grupo Enel, que tiene el 70,101% de su capital social. Ofrece a sus clientes los siguientes productos/servicios: </w:t>
      </w:r>
    </w:p>
    <w:p w14:paraId="153B3F58" w14:textId="77777777" w:rsidR="00F737BF" w:rsidRPr="00AD646E" w:rsidRDefault="00F737BF" w:rsidP="00F737BF">
      <w:pPr>
        <w:rPr>
          <w:rFonts w:ascii="Open Sans" w:hAnsi="Open Sans" w:cs="Open Sans"/>
          <w:sz w:val="20"/>
          <w:szCs w:val="20"/>
        </w:rPr>
      </w:pPr>
    </w:p>
    <w:p w14:paraId="1CF9CFBD"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El negocio principal de Endesa es la generación, distribución y comercialización de electricidad. La empresa es también un actor relevante en el sector del gas natural y desarrolla otros servicios relacionados con la energía.</w:t>
      </w:r>
    </w:p>
    <w:p w14:paraId="36A3450D" w14:textId="77777777" w:rsidR="00F737BF" w:rsidRPr="00AD646E" w:rsidRDefault="00F737BF" w:rsidP="00F737BF">
      <w:pPr>
        <w:jc w:val="both"/>
        <w:rPr>
          <w:rFonts w:ascii="Open Sans" w:hAnsi="Open Sans" w:cs="Open Sans"/>
          <w:sz w:val="20"/>
          <w:szCs w:val="20"/>
        </w:rPr>
      </w:pPr>
    </w:p>
    <w:p w14:paraId="309CD0D3"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Las actividades principales de Endesa durante el ejercicio 2015 han sido las siguientes:</w:t>
      </w:r>
    </w:p>
    <w:p w14:paraId="0B0404F9" w14:textId="77777777" w:rsidR="00F737BF" w:rsidRPr="00AD646E" w:rsidRDefault="00F737BF" w:rsidP="00F737BF">
      <w:pPr>
        <w:jc w:val="both"/>
        <w:rPr>
          <w:rFonts w:ascii="Open Sans" w:hAnsi="Open Sans" w:cs="Open Sans"/>
          <w:sz w:val="20"/>
          <w:szCs w:val="20"/>
        </w:rPr>
      </w:pPr>
    </w:p>
    <w:p w14:paraId="343F8186" w14:textId="77777777" w:rsidR="00F737BF" w:rsidRPr="00AD646E" w:rsidRDefault="00F737BF" w:rsidP="00F737BF">
      <w:pPr>
        <w:numPr>
          <w:ilvl w:val="0"/>
          <w:numId w:val="32"/>
        </w:numPr>
        <w:contextualSpacing/>
        <w:jc w:val="both"/>
        <w:rPr>
          <w:rFonts w:ascii="Open Sans" w:hAnsi="Open Sans" w:cs="Open Sans"/>
          <w:sz w:val="20"/>
          <w:szCs w:val="20"/>
        </w:rPr>
      </w:pPr>
      <w:r w:rsidRPr="00AD646E">
        <w:rPr>
          <w:rFonts w:ascii="Open Sans" w:hAnsi="Open Sans" w:cs="Open Sans"/>
          <w:sz w:val="20"/>
          <w:szCs w:val="20"/>
        </w:rPr>
        <w:t>Generación de electricidad (hidráulica, nuclear, carbón y ciclos combinados).</w:t>
      </w:r>
    </w:p>
    <w:p w14:paraId="0358CCF2" w14:textId="77777777" w:rsidR="00F737BF" w:rsidRPr="00AD646E" w:rsidRDefault="00F737BF" w:rsidP="00F737BF">
      <w:pPr>
        <w:numPr>
          <w:ilvl w:val="0"/>
          <w:numId w:val="32"/>
        </w:numPr>
        <w:contextualSpacing/>
        <w:jc w:val="both"/>
        <w:rPr>
          <w:rFonts w:ascii="Open Sans" w:hAnsi="Open Sans" w:cs="Open Sans"/>
          <w:sz w:val="20"/>
          <w:szCs w:val="20"/>
        </w:rPr>
      </w:pPr>
      <w:r w:rsidRPr="00AD646E">
        <w:rPr>
          <w:rFonts w:ascii="Open Sans" w:hAnsi="Open Sans" w:cs="Open Sans"/>
          <w:sz w:val="20"/>
          <w:szCs w:val="20"/>
        </w:rPr>
        <w:t>Construcción e instalación de infraestructuras eléctricas.</w:t>
      </w:r>
    </w:p>
    <w:p w14:paraId="00BB1C89" w14:textId="77777777" w:rsidR="00F737BF" w:rsidRPr="00AD646E" w:rsidRDefault="00F737BF" w:rsidP="00F737BF">
      <w:pPr>
        <w:numPr>
          <w:ilvl w:val="0"/>
          <w:numId w:val="32"/>
        </w:numPr>
        <w:contextualSpacing/>
        <w:jc w:val="both"/>
        <w:rPr>
          <w:rFonts w:ascii="Open Sans" w:hAnsi="Open Sans" w:cs="Open Sans"/>
          <w:sz w:val="20"/>
          <w:szCs w:val="20"/>
        </w:rPr>
      </w:pPr>
      <w:r w:rsidRPr="00AD646E">
        <w:rPr>
          <w:rFonts w:ascii="Open Sans" w:hAnsi="Open Sans" w:cs="Open Sans"/>
          <w:sz w:val="20"/>
          <w:szCs w:val="20"/>
        </w:rPr>
        <w:t>Producción minera.</w:t>
      </w:r>
    </w:p>
    <w:p w14:paraId="25426539" w14:textId="77777777" w:rsidR="00F737BF" w:rsidRPr="00AD646E" w:rsidRDefault="00F737BF" w:rsidP="00F737BF">
      <w:pPr>
        <w:numPr>
          <w:ilvl w:val="0"/>
          <w:numId w:val="32"/>
        </w:numPr>
        <w:contextualSpacing/>
        <w:jc w:val="both"/>
        <w:rPr>
          <w:rFonts w:ascii="Open Sans" w:hAnsi="Open Sans" w:cs="Open Sans"/>
          <w:sz w:val="20"/>
          <w:szCs w:val="20"/>
        </w:rPr>
      </w:pPr>
      <w:r w:rsidRPr="00AD646E">
        <w:rPr>
          <w:rFonts w:ascii="Open Sans" w:hAnsi="Open Sans" w:cs="Open Sans"/>
          <w:sz w:val="20"/>
          <w:szCs w:val="20"/>
        </w:rPr>
        <w:t>Distribución y suministro de electricidad.</w:t>
      </w:r>
    </w:p>
    <w:p w14:paraId="7F32110C" w14:textId="77777777" w:rsidR="00F737BF" w:rsidRPr="00AD646E" w:rsidRDefault="00F737BF" w:rsidP="00F737BF">
      <w:pPr>
        <w:numPr>
          <w:ilvl w:val="0"/>
          <w:numId w:val="32"/>
        </w:numPr>
        <w:contextualSpacing/>
        <w:jc w:val="both"/>
        <w:rPr>
          <w:rFonts w:ascii="Open Sans" w:hAnsi="Open Sans" w:cs="Open Sans"/>
          <w:sz w:val="20"/>
          <w:szCs w:val="20"/>
        </w:rPr>
      </w:pPr>
      <w:r w:rsidRPr="00AD646E">
        <w:rPr>
          <w:rFonts w:ascii="Open Sans" w:hAnsi="Open Sans" w:cs="Open Sans"/>
          <w:sz w:val="20"/>
          <w:szCs w:val="20"/>
        </w:rPr>
        <w:t>Recepción, almacenamiento, regasificación, transporte y comercialización de gas.</w:t>
      </w:r>
    </w:p>
    <w:p w14:paraId="3EC500CB" w14:textId="77777777" w:rsidR="00F737BF" w:rsidRPr="00AD646E" w:rsidRDefault="00F737BF" w:rsidP="00F737BF">
      <w:pPr>
        <w:jc w:val="both"/>
        <w:rPr>
          <w:rFonts w:ascii="Open Sans" w:hAnsi="Open Sans" w:cs="Open Sans"/>
          <w:sz w:val="20"/>
          <w:szCs w:val="20"/>
        </w:rPr>
      </w:pPr>
    </w:p>
    <w:p w14:paraId="26BC3E8B" w14:textId="77777777" w:rsidR="00F737BF" w:rsidRPr="00AD646E" w:rsidRDefault="00F737BF" w:rsidP="00F737BF">
      <w:pPr>
        <w:ind w:left="708"/>
        <w:jc w:val="both"/>
        <w:rPr>
          <w:rFonts w:ascii="Open Sans" w:hAnsi="Open Sans" w:cs="Open Sans"/>
          <w:sz w:val="20"/>
          <w:szCs w:val="20"/>
          <w:u w:val="single"/>
        </w:rPr>
      </w:pPr>
    </w:p>
    <w:p w14:paraId="1EB82953"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u w:val="single"/>
        </w:rPr>
        <w:t xml:space="preserve">Alcance geográfico </w:t>
      </w:r>
    </w:p>
    <w:p w14:paraId="1A160BED" w14:textId="77777777" w:rsidR="00F737BF" w:rsidRPr="00AD646E" w:rsidRDefault="00F737BF" w:rsidP="00F737BF">
      <w:pPr>
        <w:ind w:left="708"/>
        <w:jc w:val="both"/>
        <w:rPr>
          <w:rFonts w:ascii="Open Sans" w:hAnsi="Open Sans" w:cs="Open Sans"/>
          <w:sz w:val="20"/>
          <w:szCs w:val="20"/>
        </w:rPr>
      </w:pPr>
    </w:p>
    <w:p w14:paraId="5AD45478" w14:textId="77777777" w:rsidR="00F737BF" w:rsidRPr="00AD646E" w:rsidRDefault="00F737BF" w:rsidP="00F737BF">
      <w:pPr>
        <w:autoSpaceDE w:val="0"/>
        <w:autoSpaceDN w:val="0"/>
        <w:adjustRightInd w:val="0"/>
        <w:rPr>
          <w:rFonts w:ascii="Open Sans" w:hAnsi="Open Sans" w:cs="Open Sans"/>
          <w:sz w:val="20"/>
          <w:szCs w:val="20"/>
        </w:rPr>
      </w:pPr>
      <w:r w:rsidRPr="00AD646E">
        <w:rPr>
          <w:rFonts w:ascii="Open Sans" w:hAnsi="Open Sans" w:cs="Open Sans"/>
          <w:sz w:val="20"/>
          <w:szCs w:val="20"/>
        </w:rPr>
        <w:t>Conforme a sus informes de 2015, la empresa operó o tuvo presencia en los siguientes países:</w:t>
      </w:r>
    </w:p>
    <w:p w14:paraId="1EB9637A" w14:textId="77777777" w:rsidR="00F737BF" w:rsidRPr="00AD646E" w:rsidRDefault="00F737BF" w:rsidP="00F737BF">
      <w:pPr>
        <w:autoSpaceDE w:val="0"/>
        <w:autoSpaceDN w:val="0"/>
        <w:adjustRightInd w:val="0"/>
        <w:rPr>
          <w:rFonts w:ascii="Open Sans" w:hAnsi="Open Sans" w:cs="Open Sans"/>
          <w:sz w:val="20"/>
          <w:szCs w:val="20"/>
        </w:rPr>
      </w:pPr>
    </w:p>
    <w:p w14:paraId="4929F7AB" w14:textId="77777777" w:rsidR="00F737BF" w:rsidRPr="00AD646E" w:rsidRDefault="00F737BF" w:rsidP="00F737BF">
      <w:pPr>
        <w:numPr>
          <w:ilvl w:val="0"/>
          <w:numId w:val="34"/>
        </w:numPr>
        <w:autoSpaceDE w:val="0"/>
        <w:autoSpaceDN w:val="0"/>
        <w:adjustRightInd w:val="0"/>
        <w:rPr>
          <w:rFonts w:ascii="Open Sans" w:hAnsi="Open Sans" w:cs="Open Sans"/>
          <w:sz w:val="20"/>
          <w:szCs w:val="20"/>
        </w:rPr>
      </w:pPr>
      <w:r w:rsidRPr="00AD646E">
        <w:rPr>
          <w:rFonts w:ascii="Open Sans" w:hAnsi="Open Sans" w:cs="Open Sans"/>
          <w:sz w:val="20"/>
          <w:szCs w:val="20"/>
        </w:rPr>
        <w:t>Europa: Alemania, España, Francia, Holanda y Portugal.</w:t>
      </w:r>
    </w:p>
    <w:p w14:paraId="6A0F255F" w14:textId="77777777" w:rsidR="00F737BF" w:rsidRPr="00AD646E" w:rsidRDefault="00F737BF" w:rsidP="00F737BF">
      <w:pPr>
        <w:numPr>
          <w:ilvl w:val="0"/>
          <w:numId w:val="34"/>
        </w:numPr>
        <w:autoSpaceDE w:val="0"/>
        <w:autoSpaceDN w:val="0"/>
        <w:adjustRightInd w:val="0"/>
        <w:rPr>
          <w:rFonts w:ascii="Open Sans" w:hAnsi="Open Sans" w:cs="Open Sans"/>
          <w:sz w:val="20"/>
          <w:szCs w:val="20"/>
        </w:rPr>
      </w:pPr>
      <w:r w:rsidRPr="00AD646E">
        <w:rPr>
          <w:rFonts w:ascii="Open Sans" w:hAnsi="Open Sans" w:cs="Open Sans"/>
          <w:sz w:val="20"/>
          <w:szCs w:val="20"/>
        </w:rPr>
        <w:t>África: Marruecos.</w:t>
      </w:r>
    </w:p>
    <w:p w14:paraId="6219ADF0" w14:textId="77777777" w:rsidR="00F737BF" w:rsidRPr="00AD646E" w:rsidRDefault="00F737BF" w:rsidP="00F737BF">
      <w:pPr>
        <w:autoSpaceDE w:val="0"/>
        <w:autoSpaceDN w:val="0"/>
        <w:adjustRightInd w:val="0"/>
        <w:rPr>
          <w:rFonts w:ascii="Open Sans" w:hAnsi="Open Sans" w:cs="Open Sans"/>
          <w:sz w:val="20"/>
          <w:szCs w:val="20"/>
        </w:rPr>
      </w:pPr>
    </w:p>
    <w:p w14:paraId="0E32B6C5" w14:textId="77777777" w:rsidR="00F737BF" w:rsidRPr="00AD646E" w:rsidRDefault="00F737BF" w:rsidP="00F737BF">
      <w:pPr>
        <w:autoSpaceDE w:val="0"/>
        <w:autoSpaceDN w:val="0"/>
        <w:adjustRightInd w:val="0"/>
        <w:rPr>
          <w:rFonts w:ascii="Open Sans" w:eastAsia="Calibri" w:hAnsi="Open Sans" w:cs="Open Sans"/>
          <w:color w:val="000000"/>
          <w:sz w:val="20"/>
          <w:szCs w:val="20"/>
        </w:rPr>
      </w:pPr>
      <w:r w:rsidRPr="00AD646E">
        <w:rPr>
          <w:rFonts w:ascii="Open Sans" w:hAnsi="Open Sans" w:cs="Open Sans"/>
          <w:sz w:val="20"/>
          <w:szCs w:val="20"/>
        </w:rPr>
        <w:t xml:space="preserve">En octubre de 2014, Endesa vendió sus activos Latinoamericanos a Enel, su empresa matriz. </w:t>
      </w:r>
    </w:p>
    <w:p w14:paraId="4A9A4A3B" w14:textId="77777777" w:rsidR="00F737BF" w:rsidRPr="00AD646E" w:rsidRDefault="00F737BF" w:rsidP="00F737BF">
      <w:pPr>
        <w:ind w:left="708"/>
        <w:jc w:val="both"/>
        <w:rPr>
          <w:rFonts w:ascii="Open Sans" w:hAnsi="Open Sans" w:cs="Open Sans"/>
          <w:sz w:val="20"/>
          <w:szCs w:val="20"/>
        </w:rPr>
      </w:pPr>
    </w:p>
    <w:p w14:paraId="1C1E88C9" w14:textId="77777777" w:rsidR="00F737BF" w:rsidRPr="00AD646E" w:rsidRDefault="00F737BF" w:rsidP="00F737BF">
      <w:pPr>
        <w:jc w:val="both"/>
        <w:rPr>
          <w:rFonts w:ascii="Open Sans" w:hAnsi="Open Sans" w:cs="Open Sans"/>
          <w:sz w:val="20"/>
          <w:szCs w:val="20"/>
          <w:u w:val="single"/>
        </w:rPr>
      </w:pPr>
      <w:r w:rsidRPr="00AD646E">
        <w:rPr>
          <w:rFonts w:ascii="Open Sans" w:hAnsi="Open Sans" w:cs="Open Sans"/>
          <w:sz w:val="20"/>
          <w:szCs w:val="20"/>
          <w:u w:val="single"/>
        </w:rPr>
        <w:t>Cifras relevantes de la empresa:</w:t>
      </w:r>
    </w:p>
    <w:p w14:paraId="5A724835" w14:textId="77777777" w:rsidR="00F737BF" w:rsidRPr="00AD646E" w:rsidRDefault="00F737BF" w:rsidP="00F737BF">
      <w:pPr>
        <w:jc w:val="both"/>
        <w:rPr>
          <w:rFonts w:ascii="Open Sans" w:hAnsi="Open Sans" w:cs="Open Sans"/>
          <w:sz w:val="20"/>
          <w:szCs w:val="20"/>
          <w:u w:val="single"/>
        </w:rPr>
      </w:pPr>
    </w:p>
    <w:p w14:paraId="6D48F424" w14:textId="77777777" w:rsidR="00F737BF" w:rsidRPr="00AD646E" w:rsidRDefault="00F737BF" w:rsidP="00F737BF">
      <w:pPr>
        <w:numPr>
          <w:ilvl w:val="0"/>
          <w:numId w:val="114"/>
        </w:numPr>
        <w:jc w:val="both"/>
        <w:outlineLvl w:val="0"/>
        <w:rPr>
          <w:rFonts w:ascii="Open Sans" w:hAnsi="Open Sans" w:cs="Open Sans"/>
          <w:sz w:val="20"/>
          <w:szCs w:val="20"/>
        </w:rPr>
      </w:pPr>
      <w:r w:rsidRPr="00AD646E">
        <w:rPr>
          <w:rFonts w:ascii="Open Sans" w:hAnsi="Open Sans" w:cs="Open Sans"/>
          <w:sz w:val="20"/>
          <w:szCs w:val="20"/>
        </w:rPr>
        <w:t>Capital social: 1.271 millones de euros.</w:t>
      </w:r>
    </w:p>
    <w:p w14:paraId="22CAEF95" w14:textId="77777777" w:rsidR="00F737BF" w:rsidRPr="00AD646E" w:rsidRDefault="00F737BF" w:rsidP="00F737BF">
      <w:pPr>
        <w:numPr>
          <w:ilvl w:val="0"/>
          <w:numId w:val="114"/>
        </w:numPr>
        <w:jc w:val="both"/>
        <w:rPr>
          <w:rFonts w:ascii="Open Sans" w:hAnsi="Open Sans" w:cs="Open Sans"/>
          <w:sz w:val="20"/>
          <w:szCs w:val="20"/>
        </w:rPr>
      </w:pPr>
      <w:r w:rsidRPr="00AD646E">
        <w:rPr>
          <w:rFonts w:ascii="Open Sans" w:hAnsi="Open Sans" w:cs="Open Sans"/>
          <w:sz w:val="20"/>
          <w:szCs w:val="20"/>
        </w:rPr>
        <w:t>Patrimonio Neto: 8.575 millones de euros.</w:t>
      </w:r>
    </w:p>
    <w:p w14:paraId="5E55ED2F" w14:textId="77777777" w:rsidR="00F737BF" w:rsidRPr="00AD646E" w:rsidRDefault="00F737BF" w:rsidP="00F737BF">
      <w:pPr>
        <w:numPr>
          <w:ilvl w:val="0"/>
          <w:numId w:val="114"/>
        </w:numPr>
        <w:jc w:val="both"/>
        <w:rPr>
          <w:rFonts w:ascii="Open Sans" w:hAnsi="Open Sans" w:cs="Open Sans"/>
          <w:sz w:val="20"/>
          <w:szCs w:val="20"/>
        </w:rPr>
      </w:pPr>
      <w:r w:rsidRPr="00AD646E">
        <w:rPr>
          <w:rFonts w:ascii="Open Sans" w:hAnsi="Open Sans" w:cs="Open Sans"/>
          <w:sz w:val="20"/>
          <w:szCs w:val="20"/>
        </w:rPr>
        <w:t>Beneficio neto: 1.086 millones de euros (incremento del resultado neto en España y Portugal del 15,6%).</w:t>
      </w:r>
    </w:p>
    <w:p w14:paraId="21791DE9" w14:textId="77777777" w:rsidR="00F737BF" w:rsidRPr="00AD646E" w:rsidRDefault="00F737BF" w:rsidP="00F737BF">
      <w:pPr>
        <w:numPr>
          <w:ilvl w:val="0"/>
          <w:numId w:val="114"/>
        </w:numPr>
        <w:jc w:val="both"/>
        <w:rPr>
          <w:rFonts w:ascii="Open Sans" w:hAnsi="Open Sans" w:cs="Open Sans"/>
          <w:sz w:val="20"/>
          <w:szCs w:val="20"/>
        </w:rPr>
      </w:pPr>
      <w:r w:rsidRPr="00AD646E">
        <w:rPr>
          <w:rFonts w:ascii="Open Sans" w:hAnsi="Open Sans" w:cs="Open Sans"/>
          <w:sz w:val="20"/>
          <w:szCs w:val="20"/>
        </w:rPr>
        <w:t xml:space="preserve">Número de empleados: 10.000 en España y Portugal a 31 de diciembre de 2015 y tras la desinversión en Latinoamérica. </w:t>
      </w:r>
    </w:p>
    <w:p w14:paraId="3E7D3475" w14:textId="77777777" w:rsidR="00F737BF" w:rsidRPr="00AD646E" w:rsidRDefault="00F737BF" w:rsidP="00F737BF">
      <w:pPr>
        <w:numPr>
          <w:ilvl w:val="0"/>
          <w:numId w:val="114"/>
        </w:numPr>
        <w:jc w:val="both"/>
        <w:rPr>
          <w:rFonts w:ascii="Open Sans" w:hAnsi="Open Sans" w:cs="Open Sans"/>
          <w:sz w:val="20"/>
          <w:szCs w:val="20"/>
        </w:rPr>
      </w:pPr>
      <w:r w:rsidRPr="00AD646E">
        <w:rPr>
          <w:rFonts w:ascii="Open Sans" w:hAnsi="Open Sans" w:cs="Open Sans"/>
          <w:sz w:val="20"/>
          <w:szCs w:val="20"/>
        </w:rPr>
        <w:t>Tiene una capitalización bursátil a diciembre de 2015 de 19.613 millones de euros, el 6º valor que más capitaliza del Ibex-35.</w:t>
      </w:r>
    </w:p>
    <w:p w14:paraId="64524AE9"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br w:type="page"/>
      </w:r>
    </w:p>
    <w:p w14:paraId="4410C7C0" w14:textId="77777777" w:rsidR="00F737BF" w:rsidRPr="00AD646E" w:rsidRDefault="00F737BF" w:rsidP="00F737BF">
      <w:pPr>
        <w:jc w:val="both"/>
        <w:rPr>
          <w:rFonts w:ascii="Open Sans" w:hAnsi="Open Sans" w:cs="Open Sans"/>
          <w:sz w:val="20"/>
          <w:szCs w:val="20"/>
          <w:u w:val="single"/>
        </w:rPr>
      </w:pPr>
      <w:r w:rsidRPr="00AD646E">
        <w:rPr>
          <w:rFonts w:ascii="Open Sans" w:hAnsi="Open Sans" w:cs="Open Sans"/>
          <w:sz w:val="20"/>
          <w:szCs w:val="20"/>
          <w:u w:val="single"/>
        </w:rPr>
        <w:t>Estándares voluntarios relacionados con fiscalidad responsable</w:t>
      </w:r>
    </w:p>
    <w:p w14:paraId="52CBFB4C" w14:textId="77777777" w:rsidR="00F737BF" w:rsidRPr="00AD646E" w:rsidRDefault="00F737BF" w:rsidP="00F737BF">
      <w:pPr>
        <w:ind w:left="708"/>
        <w:jc w:val="both"/>
        <w:rPr>
          <w:rFonts w:ascii="Open Sans" w:hAnsi="Open Sans" w:cs="Open Sans"/>
          <w:sz w:val="20"/>
          <w:szCs w:val="20"/>
          <w:u w:val="single"/>
        </w:rPr>
      </w:pPr>
    </w:p>
    <w:p w14:paraId="767477AF"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Endesa informa que se ha adherido voluntariamente a los siguientes estándares relacionados con contenidos y sistemas de gestión de fiscalidad responsable:</w:t>
      </w:r>
    </w:p>
    <w:p w14:paraId="6D20760C" w14:textId="77777777" w:rsidR="00F737BF" w:rsidRPr="00AD646E" w:rsidRDefault="00F737BF" w:rsidP="00F737BF">
      <w:pPr>
        <w:ind w:left="708"/>
        <w:jc w:val="both"/>
        <w:rPr>
          <w:rFonts w:ascii="Open Sans" w:hAnsi="Open Sans" w:cs="Open Sans"/>
          <w:sz w:val="20"/>
          <w:szCs w:val="20"/>
        </w:rPr>
      </w:pPr>
    </w:p>
    <w:p w14:paraId="115DA5C5" w14:textId="77777777" w:rsidR="00F737BF" w:rsidRPr="00AD646E" w:rsidRDefault="00F737BF" w:rsidP="00F737BF">
      <w:pPr>
        <w:numPr>
          <w:ilvl w:val="0"/>
          <w:numId w:val="35"/>
        </w:numPr>
        <w:jc w:val="both"/>
        <w:rPr>
          <w:rFonts w:ascii="Open Sans" w:hAnsi="Open Sans" w:cs="Open Sans"/>
          <w:sz w:val="20"/>
          <w:szCs w:val="20"/>
        </w:rPr>
      </w:pPr>
      <w:r w:rsidRPr="00AD646E">
        <w:rPr>
          <w:rFonts w:ascii="Open Sans" w:hAnsi="Open Sans" w:cs="Open Sans"/>
          <w:sz w:val="20"/>
          <w:szCs w:val="20"/>
        </w:rPr>
        <w:t>Código de Buenas Prácticas Tributarias de la Agencia Tributaria.</w:t>
      </w:r>
    </w:p>
    <w:p w14:paraId="50AD3056" w14:textId="77777777" w:rsidR="00F737BF" w:rsidRPr="00AD646E" w:rsidRDefault="00F737BF" w:rsidP="00F737BF">
      <w:pPr>
        <w:jc w:val="both"/>
        <w:rPr>
          <w:rFonts w:ascii="Open Sans" w:hAnsi="Open Sans" w:cs="Open Sans"/>
          <w:sz w:val="20"/>
          <w:szCs w:val="20"/>
        </w:rPr>
      </w:pPr>
    </w:p>
    <w:p w14:paraId="1F242ECF"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Endesa informa sobre su compromiso en relación a la siguiente Normativa Internacional:</w:t>
      </w:r>
    </w:p>
    <w:p w14:paraId="4A246D53" w14:textId="77777777" w:rsidR="00F737BF" w:rsidRPr="00AD646E" w:rsidRDefault="00F737BF" w:rsidP="00F737BF">
      <w:pPr>
        <w:jc w:val="both"/>
        <w:rPr>
          <w:rFonts w:ascii="Open Sans" w:hAnsi="Open Sans" w:cs="Open Sans"/>
          <w:sz w:val="20"/>
          <w:szCs w:val="20"/>
          <w:u w:val="single"/>
        </w:rPr>
      </w:pPr>
    </w:p>
    <w:p w14:paraId="7282F6D8" w14:textId="77777777" w:rsidR="00F737BF" w:rsidRPr="00AD646E" w:rsidRDefault="00F737BF" w:rsidP="00F737BF">
      <w:pPr>
        <w:numPr>
          <w:ilvl w:val="0"/>
          <w:numId w:val="113"/>
        </w:numPr>
        <w:contextualSpacing/>
        <w:jc w:val="both"/>
        <w:outlineLvl w:val="0"/>
        <w:rPr>
          <w:rFonts w:ascii="Open Sans" w:hAnsi="Open Sans" w:cs="Open Sans"/>
          <w:sz w:val="20"/>
          <w:szCs w:val="20"/>
        </w:rPr>
      </w:pPr>
      <w:r w:rsidRPr="00AD646E">
        <w:rPr>
          <w:rFonts w:ascii="Open Sans" w:hAnsi="Open Sans" w:cs="Open Sans"/>
          <w:sz w:val="20"/>
          <w:szCs w:val="20"/>
        </w:rPr>
        <w:t>Declaración Universal de Derechos Humanos.</w:t>
      </w:r>
    </w:p>
    <w:p w14:paraId="2544B9AD" w14:textId="77777777" w:rsidR="00F737BF" w:rsidRPr="00AD646E" w:rsidRDefault="00F737BF" w:rsidP="00F737BF">
      <w:pPr>
        <w:numPr>
          <w:ilvl w:val="0"/>
          <w:numId w:val="113"/>
        </w:numPr>
        <w:contextualSpacing/>
        <w:jc w:val="both"/>
        <w:rPr>
          <w:rFonts w:ascii="Open Sans" w:hAnsi="Open Sans" w:cs="Open Sans"/>
          <w:sz w:val="20"/>
          <w:szCs w:val="20"/>
        </w:rPr>
      </w:pPr>
      <w:r w:rsidRPr="00AD646E">
        <w:rPr>
          <w:rFonts w:ascii="Open Sans" w:hAnsi="Open Sans" w:cs="Open Sans"/>
          <w:sz w:val="20"/>
          <w:szCs w:val="20"/>
        </w:rPr>
        <w:t>Principios Rectores sobre Empresa y Derechos Humanos.</w:t>
      </w:r>
    </w:p>
    <w:p w14:paraId="5893E967" w14:textId="77777777" w:rsidR="00F737BF" w:rsidRPr="00AD646E" w:rsidRDefault="00F737BF" w:rsidP="00F737BF">
      <w:pPr>
        <w:numPr>
          <w:ilvl w:val="0"/>
          <w:numId w:val="113"/>
        </w:numPr>
        <w:contextualSpacing/>
        <w:jc w:val="both"/>
        <w:rPr>
          <w:rFonts w:ascii="Open Sans" w:hAnsi="Open Sans" w:cs="Open Sans"/>
          <w:sz w:val="20"/>
          <w:szCs w:val="20"/>
        </w:rPr>
      </w:pPr>
      <w:r w:rsidRPr="00AD646E">
        <w:rPr>
          <w:rFonts w:ascii="Open Sans" w:hAnsi="Open Sans" w:cs="Open Sans"/>
          <w:sz w:val="20"/>
          <w:szCs w:val="20"/>
        </w:rPr>
        <w:t>Objetivos de Desarrollo Sostenible de Naciones Unidas</w:t>
      </w:r>
    </w:p>
    <w:p w14:paraId="3D6E002A" w14:textId="77777777" w:rsidR="00F737BF" w:rsidRPr="00AD646E" w:rsidRDefault="00F737BF" w:rsidP="00F737BF">
      <w:pPr>
        <w:jc w:val="both"/>
        <w:rPr>
          <w:rFonts w:ascii="Open Sans" w:hAnsi="Open Sans" w:cs="Open Sans"/>
          <w:sz w:val="20"/>
          <w:szCs w:val="20"/>
        </w:rPr>
      </w:pPr>
    </w:p>
    <w:p w14:paraId="40092CBD" w14:textId="77777777" w:rsidR="00F737BF" w:rsidRPr="00AD646E" w:rsidRDefault="00F737BF" w:rsidP="00F737BF">
      <w:pPr>
        <w:jc w:val="both"/>
        <w:rPr>
          <w:rFonts w:ascii="Open Sans" w:hAnsi="Open Sans" w:cs="Open Sans"/>
          <w:sz w:val="20"/>
          <w:szCs w:val="20"/>
        </w:rPr>
      </w:pPr>
    </w:p>
    <w:p w14:paraId="3B063490" w14:textId="77777777" w:rsidR="00F737BF" w:rsidRPr="00AD646E" w:rsidRDefault="00F737BF" w:rsidP="00F737BF">
      <w:pPr>
        <w:jc w:val="both"/>
        <w:rPr>
          <w:rFonts w:ascii="Open Sans" w:hAnsi="Open Sans" w:cs="Open Sans"/>
          <w:sz w:val="20"/>
          <w:szCs w:val="20"/>
          <w:u w:val="single"/>
        </w:rPr>
      </w:pPr>
      <w:r w:rsidRPr="00AD646E">
        <w:rPr>
          <w:rFonts w:ascii="Open Sans" w:hAnsi="Open Sans" w:cs="Open Sans"/>
          <w:sz w:val="20"/>
          <w:szCs w:val="20"/>
          <w:u w:val="single"/>
        </w:rPr>
        <w:t>Documentos incluidos en el análisis</w:t>
      </w:r>
    </w:p>
    <w:p w14:paraId="781B5359" w14:textId="77777777" w:rsidR="00F737BF" w:rsidRPr="00AD646E" w:rsidRDefault="00F737BF" w:rsidP="00F737BF">
      <w:pPr>
        <w:ind w:firstLine="709"/>
        <w:jc w:val="both"/>
        <w:rPr>
          <w:rFonts w:ascii="Open Sans" w:hAnsi="Open Sans" w:cs="Open Sans"/>
          <w:sz w:val="20"/>
          <w:szCs w:val="20"/>
        </w:rPr>
      </w:pPr>
    </w:p>
    <w:p w14:paraId="4B5971C5"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416E76E5" w14:textId="77777777" w:rsidR="00F737BF" w:rsidRPr="00AD646E" w:rsidRDefault="00F737BF" w:rsidP="00F737BF">
      <w:pPr>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691"/>
        <w:gridCol w:w="3827"/>
      </w:tblGrid>
      <w:tr w:rsidR="00F737BF" w:rsidRPr="00AD646E" w14:paraId="697A7604" w14:textId="77777777" w:rsidTr="00F737BF">
        <w:trPr>
          <w:cantSplit/>
          <w:trHeight w:val="327"/>
          <w:tblHeader/>
        </w:trPr>
        <w:tc>
          <w:tcPr>
            <w:tcW w:w="4691"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45D41159" w14:textId="77777777" w:rsidR="00F737BF" w:rsidRPr="00AD646E" w:rsidRDefault="00F737BF" w:rsidP="00F737BF">
            <w:pPr>
              <w:ind w:left="708"/>
              <w:jc w:val="center"/>
              <w:rPr>
                <w:rFonts w:ascii="Open Sans" w:hAnsi="Open Sans" w:cs="Open Sans"/>
                <w:b/>
                <w:sz w:val="20"/>
                <w:szCs w:val="20"/>
              </w:rPr>
            </w:pPr>
            <w:r w:rsidRPr="00AD646E">
              <w:rPr>
                <w:rFonts w:ascii="Open Sans" w:hAnsi="Open Sans" w:cs="Open Sans"/>
                <w:b/>
                <w:sz w:val="20"/>
                <w:szCs w:val="20"/>
              </w:rPr>
              <w:t>DOCUMENTACIÓN</w:t>
            </w:r>
          </w:p>
        </w:tc>
        <w:tc>
          <w:tcPr>
            <w:tcW w:w="3827"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73AA5B38" w14:textId="77777777" w:rsidR="00F737BF" w:rsidRPr="00AD646E" w:rsidRDefault="00F737BF" w:rsidP="00F737BF">
            <w:pPr>
              <w:ind w:left="708"/>
              <w:jc w:val="center"/>
              <w:rPr>
                <w:rFonts w:ascii="Open Sans" w:hAnsi="Open Sans" w:cs="Open Sans"/>
                <w:b/>
                <w:sz w:val="20"/>
                <w:szCs w:val="20"/>
              </w:rPr>
            </w:pPr>
            <w:r w:rsidRPr="00AD646E">
              <w:rPr>
                <w:rFonts w:ascii="Open Sans" w:hAnsi="Open Sans" w:cs="Open Sans"/>
                <w:b/>
                <w:sz w:val="20"/>
                <w:szCs w:val="20"/>
              </w:rPr>
              <w:t>OBSERVACIONES</w:t>
            </w:r>
          </w:p>
        </w:tc>
      </w:tr>
      <w:tr w:rsidR="00F737BF" w:rsidRPr="00AD646E" w14:paraId="49113407" w14:textId="77777777" w:rsidTr="00F737BF">
        <w:trPr>
          <w:cantSplit/>
          <w:trHeight w:val="315"/>
        </w:trPr>
        <w:tc>
          <w:tcPr>
            <w:tcW w:w="469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A0E6F44" w14:textId="77777777" w:rsidR="00F737BF" w:rsidRPr="00AD646E" w:rsidRDefault="00F737BF" w:rsidP="00F737BF">
            <w:pPr>
              <w:rPr>
                <w:rFonts w:ascii="Open Sans" w:eastAsia="Arial Unicode MS" w:hAnsi="Open Sans" w:cs="Open Sans"/>
                <w:sz w:val="20"/>
                <w:szCs w:val="20"/>
              </w:rPr>
            </w:pPr>
            <w:r w:rsidRPr="00AD646E">
              <w:rPr>
                <w:rFonts w:ascii="Open Sans" w:eastAsia="Arial Unicode MS" w:hAnsi="Open Sans" w:cs="Open Sans"/>
                <w:sz w:val="20"/>
                <w:szCs w:val="20"/>
              </w:rPr>
              <w:t>Cuentas anuales e Informe de Gestión de Endesa, S.A. correspondiente al ejercicio 2015</w:t>
            </w:r>
          </w:p>
        </w:tc>
        <w:tc>
          <w:tcPr>
            <w:tcW w:w="382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6CF4830" w14:textId="77777777" w:rsidR="00F737BF" w:rsidRPr="00AD646E" w:rsidRDefault="00F737BF" w:rsidP="00F737BF">
            <w:pPr>
              <w:jc w:val="both"/>
              <w:rPr>
                <w:rFonts w:ascii="Open Sans" w:eastAsia="Arial Unicode MS" w:hAnsi="Open Sans" w:cs="Open Sans"/>
                <w:sz w:val="20"/>
                <w:szCs w:val="20"/>
                <w:u w:val="single"/>
              </w:rPr>
            </w:pPr>
          </w:p>
        </w:tc>
      </w:tr>
      <w:tr w:rsidR="00F737BF" w:rsidRPr="00AD646E" w14:paraId="6C12D603" w14:textId="77777777" w:rsidTr="00F737BF">
        <w:trPr>
          <w:cantSplit/>
          <w:trHeight w:val="300"/>
        </w:trPr>
        <w:tc>
          <w:tcPr>
            <w:tcW w:w="469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405BB2C" w14:textId="77777777" w:rsidR="00F737BF" w:rsidRPr="00AD646E" w:rsidRDefault="00F737BF" w:rsidP="00F737BF">
            <w:pPr>
              <w:rPr>
                <w:rFonts w:ascii="Open Sans" w:eastAsia="Arial Unicode MS" w:hAnsi="Open Sans" w:cs="Open Sans"/>
                <w:sz w:val="20"/>
                <w:szCs w:val="20"/>
              </w:rPr>
            </w:pPr>
            <w:r w:rsidRPr="00AD646E">
              <w:rPr>
                <w:rFonts w:ascii="Open Sans" w:eastAsia="Arial Unicode MS" w:hAnsi="Open Sans" w:cs="Open Sans"/>
                <w:sz w:val="20"/>
                <w:szCs w:val="20"/>
              </w:rPr>
              <w:t>Informe de Sostenibilidad 2015</w:t>
            </w:r>
          </w:p>
        </w:tc>
        <w:tc>
          <w:tcPr>
            <w:tcW w:w="382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AEA5D86" w14:textId="77777777" w:rsidR="00F737BF" w:rsidRPr="00AD646E" w:rsidRDefault="00F737BF" w:rsidP="00F737BF">
            <w:pPr>
              <w:jc w:val="both"/>
              <w:rPr>
                <w:rFonts w:ascii="Open Sans" w:eastAsia="Arial Unicode MS" w:hAnsi="Open Sans" w:cs="Open Sans"/>
                <w:sz w:val="20"/>
                <w:szCs w:val="20"/>
                <w:u w:val="single"/>
              </w:rPr>
            </w:pPr>
          </w:p>
        </w:tc>
      </w:tr>
      <w:tr w:rsidR="00F737BF" w:rsidRPr="00AD646E" w14:paraId="4EE01B98" w14:textId="77777777" w:rsidTr="00F737BF">
        <w:trPr>
          <w:cantSplit/>
          <w:trHeight w:val="264"/>
        </w:trPr>
        <w:tc>
          <w:tcPr>
            <w:tcW w:w="469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9A9265B" w14:textId="77777777" w:rsidR="00F737BF" w:rsidRPr="00AD646E" w:rsidRDefault="00F737BF" w:rsidP="00F737BF">
            <w:pPr>
              <w:rPr>
                <w:rFonts w:ascii="Open Sans" w:eastAsia="Arial Unicode MS" w:hAnsi="Open Sans" w:cs="Open Sans"/>
                <w:sz w:val="20"/>
                <w:szCs w:val="20"/>
              </w:rPr>
            </w:pPr>
            <w:r w:rsidRPr="00AD646E">
              <w:rPr>
                <w:rFonts w:ascii="Open Sans" w:eastAsia="Arial Unicode MS" w:hAnsi="Open Sans" w:cs="Open Sans"/>
                <w:sz w:val="20"/>
                <w:szCs w:val="20"/>
              </w:rPr>
              <w:t>Informe Gobierno Corporativo 2015</w:t>
            </w:r>
          </w:p>
        </w:tc>
        <w:tc>
          <w:tcPr>
            <w:tcW w:w="382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9312EE0" w14:textId="77777777" w:rsidR="00F737BF" w:rsidRPr="00AD646E" w:rsidRDefault="00F737BF" w:rsidP="00F737BF">
            <w:pPr>
              <w:jc w:val="both"/>
              <w:rPr>
                <w:rFonts w:ascii="Open Sans" w:eastAsia="Arial Unicode MS" w:hAnsi="Open Sans" w:cs="Open Sans"/>
                <w:sz w:val="20"/>
                <w:szCs w:val="20"/>
              </w:rPr>
            </w:pPr>
          </w:p>
        </w:tc>
      </w:tr>
      <w:tr w:rsidR="00F737BF" w:rsidRPr="00AD646E" w14:paraId="777A5A77" w14:textId="77777777" w:rsidTr="00F737BF">
        <w:trPr>
          <w:cantSplit/>
          <w:trHeight w:val="270"/>
        </w:trPr>
        <w:tc>
          <w:tcPr>
            <w:tcW w:w="469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68F765B"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Cuentas anuales e Informe de Gestión del Grupo Consolidado Endesa correspondiente al ejercicio 2015</w:t>
            </w:r>
          </w:p>
        </w:tc>
        <w:tc>
          <w:tcPr>
            <w:tcW w:w="3827"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48BC3642" w14:textId="77777777" w:rsidR="00F737BF" w:rsidRPr="00AD646E" w:rsidRDefault="00F737BF" w:rsidP="00F737BF">
            <w:pPr>
              <w:jc w:val="both"/>
              <w:rPr>
                <w:rFonts w:ascii="Open Sans" w:eastAsia="Arial Unicode MS" w:hAnsi="Open Sans" w:cs="Open Sans"/>
                <w:sz w:val="20"/>
                <w:szCs w:val="20"/>
              </w:rPr>
            </w:pPr>
          </w:p>
        </w:tc>
      </w:tr>
      <w:tr w:rsidR="00F737BF" w:rsidRPr="00AD646E" w14:paraId="0131AB09" w14:textId="77777777" w:rsidTr="00F737BF">
        <w:trPr>
          <w:cantSplit/>
          <w:trHeight w:val="179"/>
        </w:trPr>
        <w:tc>
          <w:tcPr>
            <w:tcW w:w="4691"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2BED74ED" w14:textId="0E195089" w:rsidR="00F737BF" w:rsidRPr="00AD646E" w:rsidRDefault="00F737BF" w:rsidP="00F737BF">
            <w:pPr>
              <w:rPr>
                <w:rFonts w:ascii="Open Sans" w:hAnsi="Open Sans" w:cs="Open Sans"/>
                <w:sz w:val="20"/>
                <w:szCs w:val="20"/>
              </w:rPr>
            </w:pPr>
            <w:r w:rsidRPr="00AD646E">
              <w:rPr>
                <w:rFonts w:ascii="Open Sans" w:hAnsi="Open Sans" w:cs="Open Sans"/>
                <w:sz w:val="20"/>
                <w:szCs w:val="20"/>
              </w:rPr>
              <w:t xml:space="preserve">Estrategia Fiscal de </w:t>
            </w:r>
            <w:r>
              <w:rPr>
                <w:rFonts w:ascii="Open Sans" w:hAnsi="Open Sans" w:cs="Open Sans"/>
                <w:sz w:val="20"/>
                <w:szCs w:val="20"/>
              </w:rPr>
              <w:t>Endesa</w:t>
            </w:r>
          </w:p>
        </w:tc>
        <w:tc>
          <w:tcPr>
            <w:tcW w:w="3827"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4FAB7EF0" w14:textId="77777777" w:rsidR="00F737BF" w:rsidRPr="00AD646E" w:rsidRDefault="00F737BF" w:rsidP="00F737BF">
            <w:pPr>
              <w:jc w:val="both"/>
              <w:rPr>
                <w:rFonts w:ascii="Open Sans" w:eastAsia="Arial Unicode MS" w:hAnsi="Open Sans" w:cs="Open Sans"/>
                <w:sz w:val="20"/>
                <w:szCs w:val="20"/>
                <w:u w:val="single"/>
              </w:rPr>
            </w:pPr>
          </w:p>
        </w:tc>
      </w:tr>
      <w:tr w:rsidR="00F737BF" w:rsidRPr="00AD646E" w14:paraId="597F5857" w14:textId="77777777" w:rsidTr="00F737BF">
        <w:trPr>
          <w:cantSplit/>
          <w:trHeight w:val="179"/>
        </w:trPr>
        <w:tc>
          <w:tcPr>
            <w:tcW w:w="4691"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97B36AF"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Informe de Contribución Fiscal de Endesa 2015</w:t>
            </w:r>
          </w:p>
        </w:tc>
        <w:tc>
          <w:tcPr>
            <w:tcW w:w="3827"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6EDBD2E" w14:textId="77777777" w:rsidR="00F737BF" w:rsidRPr="00AD646E" w:rsidRDefault="00F737BF" w:rsidP="00F737BF">
            <w:pPr>
              <w:jc w:val="both"/>
              <w:rPr>
                <w:rFonts w:ascii="Open Sans" w:eastAsia="Arial Unicode MS" w:hAnsi="Open Sans" w:cs="Open Sans"/>
                <w:sz w:val="20"/>
                <w:szCs w:val="20"/>
                <w:u w:val="single"/>
              </w:rPr>
            </w:pPr>
          </w:p>
        </w:tc>
      </w:tr>
      <w:tr w:rsidR="00F737BF" w:rsidRPr="00AD646E" w14:paraId="7643D031" w14:textId="77777777" w:rsidTr="00F737BF">
        <w:trPr>
          <w:cantSplit/>
          <w:trHeight w:val="179"/>
        </w:trPr>
        <w:tc>
          <w:tcPr>
            <w:tcW w:w="4691"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056CD827"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Informe Anual 2015</w:t>
            </w:r>
          </w:p>
        </w:tc>
        <w:tc>
          <w:tcPr>
            <w:tcW w:w="3827"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BACFBC7" w14:textId="77777777" w:rsidR="00F737BF" w:rsidRPr="00AD646E" w:rsidRDefault="00F737BF" w:rsidP="00F737BF">
            <w:pPr>
              <w:jc w:val="both"/>
              <w:rPr>
                <w:rFonts w:ascii="Open Sans" w:eastAsia="Arial Unicode MS" w:hAnsi="Open Sans" w:cs="Open Sans"/>
                <w:sz w:val="20"/>
                <w:szCs w:val="20"/>
                <w:u w:val="single"/>
              </w:rPr>
            </w:pPr>
          </w:p>
        </w:tc>
      </w:tr>
    </w:tbl>
    <w:p w14:paraId="4EDA40FB" w14:textId="77777777" w:rsidR="00F32F9C" w:rsidRPr="006E23D9" w:rsidRDefault="00F32F9C" w:rsidP="00F32F9C">
      <w:pPr>
        <w:ind w:left="708"/>
        <w:jc w:val="both"/>
        <w:rPr>
          <w:rFonts w:ascii="Open Sans" w:hAnsi="Open Sans" w:cs="Open Sans"/>
          <w:b/>
          <w:sz w:val="20"/>
          <w:szCs w:val="20"/>
        </w:rPr>
      </w:pPr>
    </w:p>
    <w:p w14:paraId="25FBBA79" w14:textId="118BF04C" w:rsidR="0052487D" w:rsidRDefault="0052487D">
      <w:pPr>
        <w:rPr>
          <w:rFonts w:ascii="Open Sans" w:hAnsi="Open Sans" w:cs="Open Sans"/>
          <w:b/>
          <w:sz w:val="20"/>
          <w:szCs w:val="20"/>
        </w:rPr>
      </w:pPr>
      <w:r>
        <w:rPr>
          <w:rFonts w:ascii="Open Sans" w:hAnsi="Open Sans" w:cs="Open Sans"/>
          <w:b/>
          <w:sz w:val="20"/>
          <w:szCs w:val="20"/>
        </w:rPr>
        <w:br w:type="page"/>
      </w:r>
    </w:p>
    <w:p w14:paraId="452D83E8" w14:textId="77777777" w:rsidR="00F32F9C" w:rsidRPr="006E23D9" w:rsidRDefault="00F32F9C" w:rsidP="0052487D">
      <w:pPr>
        <w:jc w:val="both"/>
        <w:rPr>
          <w:rFonts w:ascii="Open Sans" w:hAnsi="Open Sans" w:cs="Open Sans"/>
          <w:b/>
          <w:sz w:val="20"/>
          <w:szCs w:val="20"/>
        </w:rPr>
      </w:pPr>
    </w:p>
    <w:p w14:paraId="7E2A2DD9" w14:textId="77777777" w:rsidR="00F32F9C" w:rsidRPr="0052487D" w:rsidRDefault="00F32F9C" w:rsidP="0052487D">
      <w:pPr>
        <w:rPr>
          <w:rFonts w:ascii="Open Sans" w:hAnsi="Open Sans" w:cs="Arial"/>
          <w:b/>
          <w:sz w:val="22"/>
          <w:szCs w:val="22"/>
          <w:u w:val="single"/>
        </w:rPr>
      </w:pPr>
      <w:r w:rsidRPr="0052487D">
        <w:rPr>
          <w:rFonts w:ascii="Open Sans" w:hAnsi="Open Sans" w:cs="Arial"/>
          <w:b/>
          <w:sz w:val="22"/>
          <w:szCs w:val="22"/>
          <w:u w:val="single"/>
        </w:rPr>
        <w:t>2. Tabla de resultados</w:t>
      </w:r>
    </w:p>
    <w:p w14:paraId="332DE47B" w14:textId="77777777" w:rsidR="00F32F9C" w:rsidRPr="006E23D9" w:rsidRDefault="00F32F9C" w:rsidP="00F32F9C">
      <w:pPr>
        <w:ind w:left="708"/>
        <w:jc w:val="center"/>
        <w:rPr>
          <w:rFonts w:ascii="Open Sans" w:hAnsi="Open Sans" w:cs="Open Sans"/>
          <w:b/>
          <w:color w:val="FF0000"/>
          <w:sz w:val="22"/>
          <w:szCs w:val="22"/>
        </w:rPr>
      </w:pPr>
    </w:p>
    <w:p w14:paraId="02A305E6" w14:textId="77777777" w:rsidR="00F32F9C" w:rsidRPr="006E23D9" w:rsidRDefault="00F32F9C" w:rsidP="00F32F9C">
      <w:pPr>
        <w:ind w:left="708"/>
        <w:jc w:val="center"/>
        <w:rPr>
          <w:rFonts w:ascii="Open Sans" w:hAnsi="Open Sans" w:cs="Open Sans"/>
          <w:b/>
          <w:color w:val="FF0000"/>
          <w:sz w:val="22"/>
          <w:szCs w:val="22"/>
        </w:rPr>
      </w:pPr>
    </w:p>
    <w:p w14:paraId="4325F968" w14:textId="77777777" w:rsidR="00F32F9C" w:rsidRPr="006E23D9" w:rsidRDefault="00F32F9C" w:rsidP="00F32F9C">
      <w:pPr>
        <w:suppressAutoHyphens/>
        <w:jc w:val="center"/>
        <w:rPr>
          <w:rFonts w:ascii="Open Sans" w:hAnsi="Open Sans" w:cs="Arial"/>
          <w:b/>
          <w:sz w:val="20"/>
          <w:szCs w:val="22"/>
          <w:u w:val="single"/>
          <w:lang w:eastAsia="ar-SA"/>
        </w:rPr>
      </w:pPr>
      <w:r w:rsidRPr="006E23D9">
        <w:rPr>
          <w:rFonts w:ascii="Open Sans" w:hAnsi="Open Sans" w:cs="Arial"/>
          <w:b/>
          <w:sz w:val="20"/>
          <w:szCs w:val="22"/>
          <w:u w:val="single"/>
          <w:lang w:eastAsia="ar-SA"/>
        </w:rPr>
        <w:t>TABLA 1: Valoraciones por dimensión</w:t>
      </w:r>
    </w:p>
    <w:p w14:paraId="22DDF51C" w14:textId="77777777" w:rsidR="00F32F9C" w:rsidRPr="006E23D9" w:rsidRDefault="00F32F9C" w:rsidP="00F32F9C">
      <w:pPr>
        <w:rPr>
          <w:rFonts w:ascii="Open Sans" w:hAnsi="Open Sans" w:cs="Arial"/>
          <w:b/>
        </w:rPr>
      </w:pPr>
    </w:p>
    <w:p w14:paraId="3810F3FC" w14:textId="407A95DC" w:rsidR="00F32F9C" w:rsidRPr="006E23D9" w:rsidRDefault="00F32F9C" w:rsidP="00F32F9C">
      <w:pPr>
        <w:jc w:val="center"/>
        <w:rPr>
          <w:rFonts w:ascii="Open Sans" w:hAnsi="Open Sans"/>
        </w:rPr>
      </w:pPr>
      <w:r>
        <w:rPr>
          <w:rFonts w:ascii="Open Sans" w:hAnsi="Open Sans"/>
          <w:noProof/>
          <w:lang w:val="es-ES"/>
        </w:rPr>
        <w:drawing>
          <wp:inline distT="0" distB="0" distL="0" distR="0" wp14:anchorId="00E52FB0" wp14:editId="1B30F6D9">
            <wp:extent cx="3688080" cy="1859280"/>
            <wp:effectExtent l="0" t="0" r="0" b="0"/>
            <wp:docPr id="16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7D6CE8F4" w14:textId="77777777" w:rsidR="00F32F9C" w:rsidRPr="006E23D9" w:rsidRDefault="00F32F9C" w:rsidP="00F32F9C">
      <w:pPr>
        <w:jc w:val="both"/>
        <w:rPr>
          <w:rFonts w:ascii="Open Sans" w:hAnsi="Open Sans"/>
        </w:rPr>
      </w:pPr>
    </w:p>
    <w:p w14:paraId="5631D3BF" w14:textId="77777777" w:rsidR="00F32F9C" w:rsidRPr="006E23D9" w:rsidRDefault="00F32F9C" w:rsidP="00F32F9C">
      <w:pPr>
        <w:jc w:val="both"/>
        <w:rPr>
          <w:rFonts w:ascii="Open Sans" w:hAnsi="Open Sans"/>
        </w:rPr>
      </w:pPr>
    </w:p>
    <w:p w14:paraId="50953102" w14:textId="2DABA445" w:rsidR="00F32F9C" w:rsidRPr="006E23D9" w:rsidRDefault="00F32F9C" w:rsidP="0052487D">
      <w:pPr>
        <w:rPr>
          <w:rFonts w:ascii="Open Sans" w:hAnsi="Open Sans" w:cs="Open Sans"/>
          <w:b/>
          <w:color w:val="FF0000"/>
          <w:sz w:val="20"/>
          <w:szCs w:val="20"/>
        </w:rPr>
      </w:pPr>
    </w:p>
    <w:p w14:paraId="068605C7" w14:textId="77777777" w:rsidR="00F32F9C" w:rsidRPr="0052487D" w:rsidRDefault="00F32F9C" w:rsidP="0052487D">
      <w:pPr>
        <w:rPr>
          <w:rFonts w:ascii="Open Sans" w:hAnsi="Open Sans" w:cs="Arial"/>
          <w:b/>
          <w:sz w:val="22"/>
          <w:szCs w:val="22"/>
          <w:u w:val="single"/>
        </w:rPr>
      </w:pPr>
      <w:r w:rsidRPr="0052487D">
        <w:rPr>
          <w:rFonts w:ascii="Open Sans" w:hAnsi="Open Sans" w:cs="Arial"/>
          <w:b/>
          <w:sz w:val="22"/>
          <w:szCs w:val="22"/>
          <w:u w:val="single"/>
        </w:rPr>
        <w:t>3. Contexto general</w:t>
      </w:r>
    </w:p>
    <w:p w14:paraId="5E9853EB" w14:textId="77777777" w:rsidR="00F32F9C" w:rsidRPr="006E23D9" w:rsidRDefault="00F32F9C" w:rsidP="00F32F9C">
      <w:pPr>
        <w:rPr>
          <w:rFonts w:ascii="Open Sans" w:hAnsi="Open Sans"/>
        </w:rPr>
      </w:pPr>
    </w:p>
    <w:p w14:paraId="40072B94"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Con la venta a ENEL en 2014 de sus activos en Latinoamérica Endesa ha centrado su negocio en España y Portugal. Algunos indicadores, como por ejemplo el número total de trabajadores de la compañía incluyen su plantilla en Marruecos.</w:t>
      </w:r>
    </w:p>
    <w:p w14:paraId="6E1FA481" w14:textId="77777777" w:rsidR="00F737BF" w:rsidRPr="00AD646E" w:rsidRDefault="00F737BF" w:rsidP="00F737BF">
      <w:pPr>
        <w:tabs>
          <w:tab w:val="left" w:pos="2175"/>
        </w:tabs>
        <w:jc w:val="both"/>
        <w:rPr>
          <w:rFonts w:ascii="Open Sans" w:hAnsi="Open Sans" w:cs="Open Sans"/>
          <w:sz w:val="20"/>
          <w:szCs w:val="20"/>
        </w:rPr>
      </w:pPr>
      <w:r w:rsidRPr="00AD646E">
        <w:rPr>
          <w:rFonts w:ascii="Open Sans" w:hAnsi="Open Sans" w:cs="Open Sans"/>
          <w:sz w:val="20"/>
          <w:szCs w:val="20"/>
        </w:rPr>
        <w:tab/>
      </w:r>
    </w:p>
    <w:p w14:paraId="4EF6DD9A"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En el informe de sostenibilidad de Endesa 2015, la empresa afirma que “La creación de valor económico es esencial para garantizar la perdurabilidad de la Compañía en el tiempo y, por tanto, su sostenibilidad. Por ello, el desempeño financiero de la Compañía ha sido identificado como el elemento más importante según las consultas internas y externas realizadas.”</w:t>
      </w:r>
      <w:r w:rsidRPr="00AD646E">
        <w:rPr>
          <w:rStyle w:val="Refdenotaalpie"/>
          <w:rFonts w:ascii="Open Sans" w:hAnsi="Open Sans" w:cs="Open Sans"/>
          <w:sz w:val="20"/>
          <w:szCs w:val="20"/>
        </w:rPr>
        <w:footnoteReference w:id="398"/>
      </w:r>
      <w:r w:rsidRPr="00AD646E">
        <w:rPr>
          <w:rFonts w:ascii="Open Sans" w:hAnsi="Open Sans" w:cs="Open Sans"/>
          <w:sz w:val="20"/>
          <w:szCs w:val="20"/>
        </w:rPr>
        <w:t>.</w:t>
      </w:r>
    </w:p>
    <w:p w14:paraId="6FA036C8" w14:textId="77777777" w:rsidR="00F737BF" w:rsidRPr="00AD646E" w:rsidRDefault="00F737BF" w:rsidP="00F737BF">
      <w:pPr>
        <w:jc w:val="both"/>
        <w:rPr>
          <w:rFonts w:ascii="Open Sans" w:hAnsi="Open Sans" w:cs="Open Sans"/>
          <w:sz w:val="20"/>
          <w:szCs w:val="20"/>
        </w:rPr>
      </w:pPr>
    </w:p>
    <w:p w14:paraId="70628EB0"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En materia de fiscalidad, el Consejo de Endesa aprobó el 15 de junio de 2015 tanto la Estrategia Fiscal de ENDESA como la Política de control y gestión de riesgos de ENDESA, incluyendo los fiscales. Asimismo, en su página web de Endesa se puede consultar la Política de Gestión y Control de Riesgos Fiscales por el Consejo de Administración de Endesa aprobada en enero de 2017</w:t>
      </w:r>
      <w:r w:rsidRPr="00AD646E">
        <w:rPr>
          <w:rStyle w:val="Refdenotaalpie"/>
          <w:rFonts w:ascii="Open Sans" w:hAnsi="Open Sans" w:cs="Open Sans"/>
          <w:sz w:val="20"/>
          <w:szCs w:val="20"/>
        </w:rPr>
        <w:footnoteReference w:id="399"/>
      </w:r>
      <w:r w:rsidRPr="00AD646E">
        <w:rPr>
          <w:rFonts w:ascii="Open Sans" w:hAnsi="Open Sans" w:cs="Open Sans"/>
          <w:sz w:val="20"/>
          <w:szCs w:val="20"/>
        </w:rPr>
        <w:t>.</w:t>
      </w:r>
    </w:p>
    <w:p w14:paraId="1008F5D8" w14:textId="77777777" w:rsidR="00F737BF" w:rsidRPr="00AD646E" w:rsidRDefault="00F737BF" w:rsidP="00F737BF">
      <w:pPr>
        <w:jc w:val="both"/>
        <w:rPr>
          <w:rFonts w:ascii="Open Sans" w:hAnsi="Open Sans" w:cs="Open Sans"/>
          <w:sz w:val="20"/>
          <w:szCs w:val="20"/>
        </w:rPr>
      </w:pPr>
    </w:p>
    <w:p w14:paraId="42CC1558" w14:textId="77777777" w:rsidR="00F737BF" w:rsidRPr="00AD646E" w:rsidRDefault="00F737BF" w:rsidP="00F737BF">
      <w:pPr>
        <w:jc w:val="both"/>
        <w:rPr>
          <w:rFonts w:ascii="Open Sans" w:hAnsi="Open Sans" w:cs="Open Sans"/>
          <w:b/>
          <w:sz w:val="20"/>
          <w:szCs w:val="20"/>
          <w:u w:val="single"/>
        </w:rPr>
      </w:pPr>
      <w:r w:rsidRPr="00AD646E">
        <w:rPr>
          <w:rFonts w:ascii="Open Sans" w:hAnsi="Open Sans" w:cs="Open Sans"/>
          <w:b/>
          <w:sz w:val="20"/>
          <w:szCs w:val="20"/>
          <w:u w:val="single"/>
        </w:rPr>
        <w:t>Índices de inversión socialmente responsable</w:t>
      </w:r>
    </w:p>
    <w:p w14:paraId="2A5B9B73" w14:textId="77777777" w:rsidR="00F737BF" w:rsidRPr="00AD646E" w:rsidRDefault="00F737BF" w:rsidP="00F737BF">
      <w:pPr>
        <w:jc w:val="both"/>
        <w:rPr>
          <w:rFonts w:ascii="Open Sans" w:hAnsi="Open Sans" w:cs="Open Sans"/>
          <w:sz w:val="20"/>
          <w:szCs w:val="20"/>
        </w:rPr>
      </w:pPr>
    </w:p>
    <w:p w14:paraId="17675363" w14:textId="77777777" w:rsidR="00F737BF" w:rsidRPr="00AD646E" w:rsidRDefault="00F737BF" w:rsidP="00F737BF">
      <w:pPr>
        <w:jc w:val="both"/>
        <w:outlineLvl w:val="0"/>
        <w:rPr>
          <w:rFonts w:ascii="Open Sans" w:hAnsi="Open Sans" w:cs="Open Sans"/>
          <w:sz w:val="20"/>
          <w:szCs w:val="20"/>
        </w:rPr>
      </w:pPr>
      <w:r w:rsidRPr="00AD646E">
        <w:rPr>
          <w:rFonts w:ascii="Open Sans" w:hAnsi="Open Sans" w:cs="Open Sans"/>
          <w:sz w:val="20"/>
          <w:szCs w:val="20"/>
        </w:rPr>
        <w:t>En el ejercicio 2014, Endesa informa que cotizó en los siguientes índices bursátiles de inversión socialmente responsable:</w:t>
      </w:r>
    </w:p>
    <w:p w14:paraId="71F6B0D0" w14:textId="77777777" w:rsidR="00F737BF" w:rsidRPr="00AD646E" w:rsidRDefault="00F737BF" w:rsidP="00F737BF">
      <w:pPr>
        <w:rPr>
          <w:rFonts w:ascii="Open Sans" w:hAnsi="Open Sans" w:cs="Open Sans"/>
        </w:rPr>
      </w:pPr>
    </w:p>
    <w:p w14:paraId="1FEA1014" w14:textId="77777777" w:rsidR="00F737BF" w:rsidRPr="00AD646E" w:rsidRDefault="00F737BF" w:rsidP="00F737BF">
      <w:pPr>
        <w:numPr>
          <w:ilvl w:val="0"/>
          <w:numId w:val="115"/>
        </w:numPr>
        <w:contextualSpacing/>
        <w:jc w:val="both"/>
        <w:outlineLvl w:val="0"/>
        <w:rPr>
          <w:rFonts w:ascii="Open Sans" w:hAnsi="Open Sans" w:cs="Open Sans"/>
          <w:sz w:val="20"/>
          <w:szCs w:val="20"/>
        </w:rPr>
      </w:pPr>
      <w:r w:rsidRPr="00AD646E">
        <w:rPr>
          <w:rFonts w:ascii="Open Sans" w:hAnsi="Open Sans" w:cs="Open Sans"/>
          <w:sz w:val="20"/>
          <w:szCs w:val="20"/>
        </w:rPr>
        <w:t>Dow Jones Sustainability</w:t>
      </w:r>
    </w:p>
    <w:p w14:paraId="7177941F" w14:textId="77777777" w:rsidR="00F737BF" w:rsidRPr="00AD646E" w:rsidRDefault="00F737BF" w:rsidP="00F737BF">
      <w:pPr>
        <w:numPr>
          <w:ilvl w:val="0"/>
          <w:numId w:val="115"/>
        </w:numPr>
        <w:contextualSpacing/>
        <w:jc w:val="both"/>
        <w:outlineLvl w:val="0"/>
        <w:rPr>
          <w:rFonts w:ascii="Open Sans" w:hAnsi="Open Sans" w:cs="Open Sans"/>
          <w:sz w:val="20"/>
          <w:szCs w:val="20"/>
        </w:rPr>
      </w:pPr>
      <w:r w:rsidRPr="00AD646E">
        <w:rPr>
          <w:rFonts w:ascii="Open Sans" w:hAnsi="Open Sans" w:cs="Open Sans"/>
          <w:sz w:val="20"/>
          <w:szCs w:val="20"/>
        </w:rPr>
        <w:t>Euronext Vigeo.</w:t>
      </w:r>
    </w:p>
    <w:p w14:paraId="137A66B2" w14:textId="77777777" w:rsidR="00F737BF" w:rsidRPr="00AD646E" w:rsidRDefault="00F737BF" w:rsidP="00F737BF">
      <w:pPr>
        <w:numPr>
          <w:ilvl w:val="0"/>
          <w:numId w:val="115"/>
        </w:numPr>
        <w:contextualSpacing/>
        <w:jc w:val="both"/>
        <w:outlineLvl w:val="0"/>
        <w:rPr>
          <w:rFonts w:ascii="Open Sans" w:hAnsi="Open Sans" w:cs="Open Sans"/>
          <w:sz w:val="20"/>
          <w:szCs w:val="20"/>
        </w:rPr>
      </w:pPr>
      <w:r w:rsidRPr="00AD646E">
        <w:rPr>
          <w:rFonts w:ascii="Open Sans" w:hAnsi="Open Sans" w:cs="Open Sans"/>
          <w:sz w:val="20"/>
          <w:szCs w:val="20"/>
        </w:rPr>
        <w:t>ECPI Global Carbon Equity Index</w:t>
      </w:r>
    </w:p>
    <w:p w14:paraId="59C270D6" w14:textId="77777777" w:rsidR="00F737BF" w:rsidRPr="00AD646E" w:rsidRDefault="00F737BF" w:rsidP="00F737BF">
      <w:pPr>
        <w:jc w:val="both"/>
        <w:rPr>
          <w:rFonts w:ascii="Open Sans" w:hAnsi="Open Sans" w:cs="Open Sans"/>
          <w:sz w:val="20"/>
          <w:szCs w:val="20"/>
        </w:rPr>
      </w:pPr>
    </w:p>
    <w:p w14:paraId="136FA819" w14:textId="77777777" w:rsidR="00F737BF" w:rsidRPr="00AD646E" w:rsidRDefault="00F737BF" w:rsidP="00F737BF">
      <w:pPr>
        <w:jc w:val="both"/>
        <w:rPr>
          <w:rFonts w:ascii="Open Sans" w:hAnsi="Open Sans" w:cs="Open Sans"/>
          <w:sz w:val="20"/>
          <w:szCs w:val="20"/>
        </w:rPr>
      </w:pPr>
    </w:p>
    <w:p w14:paraId="3D907F34" w14:textId="77777777" w:rsidR="00F737BF" w:rsidRPr="00AD646E" w:rsidRDefault="00F737BF" w:rsidP="00F737BF">
      <w:pPr>
        <w:jc w:val="both"/>
        <w:rPr>
          <w:rFonts w:ascii="Open Sans" w:hAnsi="Open Sans" w:cs="Open Sans"/>
          <w:b/>
          <w:sz w:val="20"/>
          <w:szCs w:val="20"/>
          <w:u w:val="single"/>
        </w:rPr>
      </w:pPr>
      <w:r w:rsidRPr="00AD646E">
        <w:rPr>
          <w:rFonts w:ascii="Open Sans" w:hAnsi="Open Sans" w:cs="Open Sans"/>
          <w:b/>
          <w:sz w:val="20"/>
          <w:szCs w:val="20"/>
          <w:u w:val="single"/>
        </w:rPr>
        <w:t xml:space="preserve">Estándares de contenido voluntario adheridos: </w:t>
      </w:r>
    </w:p>
    <w:p w14:paraId="6B6CC99A" w14:textId="77777777" w:rsidR="00F737BF" w:rsidRPr="00AD646E" w:rsidRDefault="00F737BF" w:rsidP="00F737BF">
      <w:pPr>
        <w:jc w:val="both"/>
        <w:rPr>
          <w:rFonts w:ascii="Open Sans" w:hAnsi="Open Sans" w:cs="Open Sans"/>
          <w:sz w:val="20"/>
          <w:szCs w:val="20"/>
        </w:rPr>
      </w:pPr>
    </w:p>
    <w:p w14:paraId="477EFF5F"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Endesa informa que se ha adherido voluntariamente a los siguientes estándares relacionados con contenidos y sistemas de gestión de RSC:</w:t>
      </w:r>
    </w:p>
    <w:p w14:paraId="6E17C509" w14:textId="77777777" w:rsidR="00F737BF" w:rsidRPr="00AD646E" w:rsidRDefault="00F737BF" w:rsidP="00F737BF">
      <w:pPr>
        <w:jc w:val="both"/>
        <w:rPr>
          <w:rFonts w:ascii="Open Sans" w:hAnsi="Open Sans" w:cs="Open Sans"/>
          <w:sz w:val="20"/>
          <w:szCs w:val="20"/>
        </w:rPr>
      </w:pPr>
    </w:p>
    <w:p w14:paraId="20EEEF32" w14:textId="77777777" w:rsidR="00F737BF" w:rsidRPr="00AD646E" w:rsidRDefault="00F737BF" w:rsidP="00F737BF">
      <w:pPr>
        <w:numPr>
          <w:ilvl w:val="0"/>
          <w:numId w:val="33"/>
        </w:numPr>
        <w:contextualSpacing/>
        <w:jc w:val="both"/>
        <w:outlineLvl w:val="0"/>
        <w:rPr>
          <w:rFonts w:ascii="Open Sans" w:hAnsi="Open Sans" w:cs="Open Sans"/>
          <w:sz w:val="20"/>
          <w:szCs w:val="20"/>
        </w:rPr>
      </w:pPr>
      <w:r w:rsidRPr="00AD646E">
        <w:rPr>
          <w:rFonts w:ascii="Open Sans" w:hAnsi="Open Sans" w:cs="Open Sans"/>
          <w:sz w:val="20"/>
          <w:szCs w:val="20"/>
        </w:rPr>
        <w:t>Pacto Mundial.</w:t>
      </w:r>
    </w:p>
    <w:p w14:paraId="095B0DA3" w14:textId="77777777" w:rsidR="00F737BF" w:rsidRPr="00AD646E" w:rsidRDefault="00F737BF" w:rsidP="00F737BF">
      <w:pPr>
        <w:numPr>
          <w:ilvl w:val="0"/>
          <w:numId w:val="33"/>
        </w:numPr>
        <w:contextualSpacing/>
        <w:jc w:val="both"/>
        <w:rPr>
          <w:rFonts w:ascii="Open Sans" w:hAnsi="Open Sans" w:cs="Open Sans"/>
          <w:sz w:val="20"/>
          <w:szCs w:val="20"/>
        </w:rPr>
      </w:pPr>
      <w:r w:rsidRPr="00AD646E">
        <w:rPr>
          <w:rFonts w:ascii="Open Sans" w:hAnsi="Open Sans" w:cs="Open Sans"/>
          <w:sz w:val="20"/>
          <w:szCs w:val="20"/>
        </w:rPr>
        <w:t>Líneas Directrices de la OCDE para Empresas Multinacionales.</w:t>
      </w:r>
    </w:p>
    <w:p w14:paraId="0526C9BC" w14:textId="77777777" w:rsidR="00F737BF" w:rsidRPr="00AD646E" w:rsidRDefault="00F737BF" w:rsidP="00F737BF">
      <w:pPr>
        <w:numPr>
          <w:ilvl w:val="0"/>
          <w:numId w:val="33"/>
        </w:numPr>
        <w:contextualSpacing/>
        <w:jc w:val="both"/>
        <w:rPr>
          <w:rFonts w:ascii="Open Sans" w:hAnsi="Open Sans" w:cs="Open Sans"/>
          <w:sz w:val="20"/>
          <w:szCs w:val="20"/>
        </w:rPr>
      </w:pPr>
      <w:r w:rsidRPr="00AD646E">
        <w:rPr>
          <w:rFonts w:ascii="Open Sans" w:hAnsi="Open Sans" w:cs="Open Sans"/>
          <w:sz w:val="20"/>
          <w:szCs w:val="20"/>
        </w:rPr>
        <w:t>Global Reporting Initiative.</w:t>
      </w:r>
    </w:p>
    <w:p w14:paraId="3C15E885" w14:textId="77777777" w:rsidR="00F737BF" w:rsidRPr="00AD646E" w:rsidRDefault="00F737BF" w:rsidP="00F737BF">
      <w:pPr>
        <w:numPr>
          <w:ilvl w:val="0"/>
          <w:numId w:val="33"/>
        </w:numPr>
        <w:contextualSpacing/>
        <w:jc w:val="both"/>
        <w:rPr>
          <w:rFonts w:ascii="Open Sans" w:hAnsi="Open Sans" w:cs="Open Sans"/>
          <w:sz w:val="20"/>
          <w:szCs w:val="20"/>
        </w:rPr>
      </w:pPr>
      <w:r w:rsidRPr="00AD646E">
        <w:rPr>
          <w:rFonts w:ascii="Open Sans" w:hAnsi="Open Sans" w:cs="Open Sans"/>
          <w:sz w:val="20"/>
          <w:szCs w:val="20"/>
        </w:rPr>
        <w:t>AA 1000 APS.</w:t>
      </w:r>
    </w:p>
    <w:p w14:paraId="2F860B23" w14:textId="77777777" w:rsidR="00F737BF" w:rsidRPr="00AD646E" w:rsidRDefault="00F737BF" w:rsidP="00F737BF">
      <w:pPr>
        <w:numPr>
          <w:ilvl w:val="0"/>
          <w:numId w:val="33"/>
        </w:numPr>
        <w:contextualSpacing/>
        <w:jc w:val="both"/>
        <w:rPr>
          <w:rFonts w:ascii="Open Sans" w:hAnsi="Open Sans" w:cs="Open Sans"/>
          <w:sz w:val="20"/>
          <w:szCs w:val="20"/>
        </w:rPr>
      </w:pPr>
      <w:r w:rsidRPr="00AD646E">
        <w:rPr>
          <w:rFonts w:ascii="Open Sans" w:hAnsi="Open Sans" w:cs="Open Sans"/>
          <w:sz w:val="20"/>
          <w:szCs w:val="20"/>
        </w:rPr>
        <w:t>ISO 14001.</w:t>
      </w:r>
    </w:p>
    <w:p w14:paraId="446608DE" w14:textId="77777777" w:rsidR="00F737BF" w:rsidRPr="00AD646E" w:rsidRDefault="00F737BF" w:rsidP="00F737BF">
      <w:pPr>
        <w:numPr>
          <w:ilvl w:val="0"/>
          <w:numId w:val="33"/>
        </w:numPr>
        <w:contextualSpacing/>
        <w:jc w:val="both"/>
        <w:rPr>
          <w:rFonts w:ascii="Open Sans" w:hAnsi="Open Sans" w:cs="Open Sans"/>
          <w:sz w:val="20"/>
          <w:szCs w:val="20"/>
        </w:rPr>
      </w:pPr>
      <w:r w:rsidRPr="00AD646E">
        <w:rPr>
          <w:rFonts w:ascii="Open Sans" w:hAnsi="Open Sans" w:cs="Open Sans"/>
          <w:sz w:val="20"/>
          <w:szCs w:val="20"/>
        </w:rPr>
        <w:t>Ecogestión y Ecoauditoría EMAS.</w:t>
      </w:r>
    </w:p>
    <w:p w14:paraId="196F0D9C" w14:textId="77777777" w:rsidR="00F737BF" w:rsidRPr="00AD646E" w:rsidRDefault="00F737BF" w:rsidP="00F737BF">
      <w:pPr>
        <w:numPr>
          <w:ilvl w:val="0"/>
          <w:numId w:val="33"/>
        </w:numPr>
        <w:contextualSpacing/>
        <w:jc w:val="both"/>
        <w:rPr>
          <w:rFonts w:ascii="Open Sans" w:hAnsi="Open Sans" w:cs="Open Sans"/>
          <w:sz w:val="20"/>
          <w:szCs w:val="20"/>
        </w:rPr>
      </w:pPr>
      <w:r w:rsidRPr="00AD646E">
        <w:rPr>
          <w:rFonts w:ascii="Open Sans" w:hAnsi="Open Sans" w:cs="Open Sans"/>
          <w:sz w:val="20"/>
          <w:szCs w:val="20"/>
        </w:rPr>
        <w:t>Carbon Disclosure Project.</w:t>
      </w:r>
    </w:p>
    <w:p w14:paraId="5469CECC" w14:textId="77777777" w:rsidR="00F737BF" w:rsidRPr="00AD646E" w:rsidRDefault="00F737BF" w:rsidP="00F737BF">
      <w:pPr>
        <w:jc w:val="both"/>
        <w:rPr>
          <w:rFonts w:ascii="Open Sans" w:hAnsi="Open Sans" w:cs="Open Sans"/>
          <w:sz w:val="20"/>
          <w:szCs w:val="20"/>
        </w:rPr>
      </w:pPr>
    </w:p>
    <w:p w14:paraId="7A2F39A1"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Su informe de sostenibilidad sigue los estándares de información contenidos en GRI 4.</w:t>
      </w:r>
    </w:p>
    <w:p w14:paraId="2C66B085" w14:textId="77777777" w:rsidR="00F32F9C" w:rsidRPr="006E23D9" w:rsidRDefault="00F32F9C" w:rsidP="00F32F9C">
      <w:pPr>
        <w:jc w:val="both"/>
        <w:rPr>
          <w:rFonts w:ascii="Open Sans" w:hAnsi="Open Sans" w:cs="Open Sans"/>
          <w:sz w:val="20"/>
          <w:szCs w:val="20"/>
        </w:rPr>
      </w:pPr>
    </w:p>
    <w:p w14:paraId="7A8E9BD4" w14:textId="21D0CF31" w:rsidR="00F32F9C" w:rsidRPr="006E23D9" w:rsidRDefault="00F32F9C" w:rsidP="00F32F9C">
      <w:pPr>
        <w:jc w:val="both"/>
        <w:rPr>
          <w:rFonts w:ascii="Open Sans" w:hAnsi="Open Sans" w:cs="Open Sans"/>
          <w:sz w:val="20"/>
          <w:szCs w:val="20"/>
        </w:rPr>
      </w:pPr>
    </w:p>
    <w:p w14:paraId="4BFD1916" w14:textId="77777777" w:rsidR="00F32F9C" w:rsidRPr="0052487D" w:rsidRDefault="00F32F9C" w:rsidP="0052487D">
      <w:pPr>
        <w:rPr>
          <w:rFonts w:ascii="Open Sans" w:hAnsi="Open Sans" w:cs="Arial"/>
          <w:b/>
          <w:sz w:val="22"/>
          <w:szCs w:val="22"/>
          <w:u w:val="single"/>
        </w:rPr>
      </w:pPr>
      <w:r w:rsidRPr="0052487D">
        <w:rPr>
          <w:rFonts w:ascii="Open Sans" w:hAnsi="Open Sans" w:cs="Arial"/>
          <w:b/>
          <w:sz w:val="22"/>
          <w:szCs w:val="22"/>
          <w:u w:val="single"/>
        </w:rPr>
        <w:t>4. Análisis</w:t>
      </w:r>
    </w:p>
    <w:p w14:paraId="47B8519C" w14:textId="77777777" w:rsidR="00F32F9C" w:rsidRPr="006E23D9" w:rsidRDefault="00F32F9C" w:rsidP="00F32F9C">
      <w:pPr>
        <w:ind w:left="708"/>
        <w:jc w:val="both"/>
        <w:rPr>
          <w:rFonts w:ascii="Open Sans" w:hAnsi="Open Sans" w:cs="Open Sans"/>
          <w:b/>
          <w:sz w:val="20"/>
          <w:szCs w:val="20"/>
        </w:rPr>
      </w:pPr>
    </w:p>
    <w:p w14:paraId="7E3CEBF4"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Los ingresos fiscales son fundamentales para el desarrollo de un país, máxime en el caso de las empresas productoras de energía, que al desenvolverse en un mercado (mal o bien) regulado incorporan en la factura eléctrica casi el 60 % en impuestos</w:t>
      </w:r>
      <w:r w:rsidRPr="00AD646E">
        <w:rPr>
          <w:rStyle w:val="Refdenotaalpie"/>
          <w:rFonts w:ascii="Open Sans" w:hAnsi="Open Sans" w:cs="Open Sans"/>
          <w:sz w:val="20"/>
          <w:szCs w:val="20"/>
        </w:rPr>
        <w:footnoteReference w:id="400"/>
      </w:r>
      <w:r w:rsidRPr="00AD646E">
        <w:rPr>
          <w:rFonts w:ascii="Open Sans" w:hAnsi="Open Sans" w:cs="Open Sans"/>
          <w:sz w:val="20"/>
          <w:szCs w:val="20"/>
        </w:rPr>
        <w:t>.</w:t>
      </w:r>
    </w:p>
    <w:p w14:paraId="0234F458" w14:textId="77777777" w:rsidR="00F737BF" w:rsidRPr="00AD646E" w:rsidRDefault="00F737BF" w:rsidP="00F737BF">
      <w:pPr>
        <w:jc w:val="both"/>
        <w:rPr>
          <w:rFonts w:ascii="Open Sans" w:hAnsi="Open Sans" w:cs="Open Sans"/>
          <w:sz w:val="20"/>
          <w:szCs w:val="20"/>
        </w:rPr>
      </w:pPr>
    </w:p>
    <w:p w14:paraId="448E7B75"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La presencia de Endesa en otras jurisdicciones distintas de España es residual. Presenta información parcial de su estructura societaria de manera no detallada sobre el nombre de las sociedades, su localización y actividad realizada; en su informe de sostenibilidad presenta información de las “principales” sociedades participadas y de las razones de su presencia en Holanda y Luxemburgo (nichos fiscales); en su página web</w:t>
      </w:r>
      <w:r w:rsidRPr="00AD646E">
        <w:rPr>
          <w:rStyle w:val="Refdenotaalpie"/>
          <w:rFonts w:ascii="Open Sans" w:hAnsi="Open Sans" w:cs="Open Sans"/>
          <w:sz w:val="20"/>
          <w:szCs w:val="20"/>
        </w:rPr>
        <w:footnoteReference w:id="401"/>
      </w:r>
      <w:r w:rsidRPr="00AD646E">
        <w:rPr>
          <w:rFonts w:ascii="Open Sans" w:hAnsi="Open Sans" w:cs="Open Sans"/>
          <w:sz w:val="20"/>
          <w:szCs w:val="20"/>
        </w:rPr>
        <w:t xml:space="preserve"> recoge un Cuadro de sociedades actualizado a 31/12/2015 (participación superior al 33%) o en la página 31 del informe de Gobierno corporativo incluye un detalle de las operaciones intragrupo sin especificar países o participación. Tampoco detalla todas las sociedades participadas de forma indirecta.  </w:t>
      </w:r>
    </w:p>
    <w:p w14:paraId="292306C8" w14:textId="77777777" w:rsidR="00F737BF" w:rsidRPr="00AD646E" w:rsidRDefault="00F737BF" w:rsidP="00F737BF">
      <w:pPr>
        <w:jc w:val="both"/>
        <w:rPr>
          <w:rFonts w:ascii="Open Sans" w:hAnsi="Open Sans" w:cs="Open Sans"/>
          <w:sz w:val="20"/>
          <w:szCs w:val="22"/>
        </w:rPr>
      </w:pPr>
    </w:p>
    <w:p w14:paraId="3FC7F7E1"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Endesa cuenta en el 2015 con las siguientes sociedades en territorios considerados nichos fiscales según la metodología del Observatorio de RSC:</w:t>
      </w:r>
    </w:p>
    <w:p w14:paraId="757D48AE" w14:textId="77777777" w:rsidR="00F737BF" w:rsidRPr="00AD646E" w:rsidRDefault="00F737BF" w:rsidP="00F737BF">
      <w:pPr>
        <w:jc w:val="both"/>
        <w:rPr>
          <w:rFonts w:ascii="Open Sans" w:hAnsi="Open Sans" w:cs="Open Sans"/>
          <w:sz w:val="20"/>
          <w:szCs w:val="22"/>
        </w:rPr>
      </w:pPr>
    </w:p>
    <w:tbl>
      <w:tblPr>
        <w:tblW w:w="0" w:type="auto"/>
        <w:jc w:val="center"/>
        <w:tblInd w:w="65" w:type="dxa"/>
        <w:tblCellMar>
          <w:left w:w="70" w:type="dxa"/>
          <w:right w:w="70" w:type="dxa"/>
        </w:tblCellMar>
        <w:tblLook w:val="04A0" w:firstRow="1" w:lastRow="0" w:firstColumn="1" w:lastColumn="0" w:noHBand="0" w:noVBand="1"/>
      </w:tblPr>
      <w:tblGrid>
        <w:gridCol w:w="2840"/>
        <w:gridCol w:w="2190"/>
        <w:gridCol w:w="2622"/>
      </w:tblGrid>
      <w:tr w:rsidR="00F737BF" w:rsidRPr="00AD646E" w14:paraId="35D0741F" w14:textId="77777777" w:rsidTr="00F737BF">
        <w:trPr>
          <w:trHeight w:val="278"/>
          <w:jc w:val="center"/>
        </w:trPr>
        <w:tc>
          <w:tcPr>
            <w:tcW w:w="0" w:type="auto"/>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625A2229" w14:textId="77777777" w:rsidR="00F737BF" w:rsidRPr="00AD646E" w:rsidRDefault="00F737BF" w:rsidP="00F737BF">
            <w:pPr>
              <w:jc w:val="center"/>
              <w:rPr>
                <w:rFonts w:ascii="Open Sans" w:hAnsi="Open Sans" w:cs="Open Sans"/>
                <w:b/>
                <w:bCs/>
                <w:color w:val="000000"/>
                <w:sz w:val="20"/>
                <w:szCs w:val="20"/>
              </w:rPr>
            </w:pPr>
            <w:r w:rsidRPr="00AD646E">
              <w:rPr>
                <w:rFonts w:ascii="Open Sans" w:hAnsi="Open Sans" w:cs="Open Sans"/>
                <w:b/>
                <w:bCs/>
                <w:color w:val="000000"/>
                <w:sz w:val="20"/>
                <w:szCs w:val="20"/>
              </w:rPr>
              <w:t>Nombre de la Sociedad</w:t>
            </w:r>
          </w:p>
        </w:tc>
        <w:tc>
          <w:tcPr>
            <w:tcW w:w="0" w:type="auto"/>
            <w:tcBorders>
              <w:top w:val="single" w:sz="4" w:space="0" w:color="auto"/>
              <w:left w:val="nil"/>
              <w:bottom w:val="single" w:sz="4" w:space="0" w:color="auto"/>
              <w:right w:val="single" w:sz="4" w:space="0" w:color="auto"/>
            </w:tcBorders>
            <w:shd w:val="clear" w:color="000000" w:fill="C0C0C0"/>
            <w:noWrap/>
            <w:vAlign w:val="center"/>
            <w:hideMark/>
          </w:tcPr>
          <w:p w14:paraId="36DD6EEA" w14:textId="77777777" w:rsidR="00F737BF" w:rsidRPr="00AD646E" w:rsidRDefault="00F737BF" w:rsidP="00F737BF">
            <w:pPr>
              <w:jc w:val="center"/>
              <w:rPr>
                <w:rFonts w:ascii="Open Sans" w:hAnsi="Open Sans" w:cs="Open Sans"/>
                <w:b/>
                <w:bCs/>
                <w:color w:val="000000"/>
                <w:sz w:val="20"/>
                <w:szCs w:val="20"/>
              </w:rPr>
            </w:pPr>
            <w:r w:rsidRPr="00AD646E">
              <w:rPr>
                <w:rFonts w:ascii="Open Sans" w:hAnsi="Open Sans" w:cs="Open Sans"/>
                <w:b/>
                <w:bCs/>
                <w:color w:val="000000"/>
                <w:sz w:val="20"/>
                <w:szCs w:val="20"/>
              </w:rPr>
              <w:t>Domicilio</w:t>
            </w:r>
          </w:p>
        </w:tc>
        <w:tc>
          <w:tcPr>
            <w:tcW w:w="2622" w:type="dxa"/>
            <w:tcBorders>
              <w:top w:val="single" w:sz="4" w:space="0" w:color="auto"/>
              <w:left w:val="nil"/>
              <w:bottom w:val="single" w:sz="4" w:space="0" w:color="auto"/>
              <w:right w:val="single" w:sz="4" w:space="0" w:color="auto"/>
            </w:tcBorders>
            <w:shd w:val="clear" w:color="000000" w:fill="C0C0C0"/>
            <w:noWrap/>
            <w:vAlign w:val="center"/>
            <w:hideMark/>
          </w:tcPr>
          <w:p w14:paraId="67F4CFB0" w14:textId="77777777" w:rsidR="00F737BF" w:rsidRPr="00AD646E" w:rsidRDefault="00F737BF" w:rsidP="00F737BF">
            <w:pPr>
              <w:jc w:val="center"/>
              <w:rPr>
                <w:rFonts w:ascii="Open Sans" w:hAnsi="Open Sans" w:cs="Open Sans"/>
                <w:b/>
                <w:bCs/>
                <w:color w:val="000000"/>
                <w:sz w:val="20"/>
                <w:szCs w:val="20"/>
              </w:rPr>
            </w:pPr>
            <w:r w:rsidRPr="00AD646E">
              <w:rPr>
                <w:rFonts w:ascii="Open Sans" w:hAnsi="Open Sans" w:cs="Open Sans"/>
                <w:b/>
                <w:bCs/>
                <w:color w:val="000000"/>
                <w:sz w:val="20"/>
                <w:szCs w:val="20"/>
              </w:rPr>
              <w:t>Actividad</w:t>
            </w:r>
          </w:p>
        </w:tc>
      </w:tr>
      <w:tr w:rsidR="00F737BF" w:rsidRPr="00AD646E" w14:paraId="1933A054" w14:textId="77777777" w:rsidTr="00F737BF">
        <w:trPr>
          <w:trHeight w:val="51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903934B"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Enel Insurance N.V.- Holanda</w:t>
            </w:r>
          </w:p>
        </w:tc>
        <w:tc>
          <w:tcPr>
            <w:tcW w:w="0" w:type="auto"/>
            <w:tcBorders>
              <w:top w:val="nil"/>
              <w:left w:val="nil"/>
              <w:bottom w:val="single" w:sz="4" w:space="0" w:color="auto"/>
              <w:right w:val="single" w:sz="4" w:space="0" w:color="auto"/>
            </w:tcBorders>
            <w:shd w:val="clear" w:color="000000" w:fill="FFFFFF"/>
            <w:vAlign w:val="center"/>
            <w:hideMark/>
          </w:tcPr>
          <w:p w14:paraId="39366968"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Amsterdam (Holanda)</w:t>
            </w:r>
          </w:p>
        </w:tc>
        <w:tc>
          <w:tcPr>
            <w:tcW w:w="2622" w:type="dxa"/>
            <w:tcBorders>
              <w:top w:val="nil"/>
              <w:left w:val="nil"/>
              <w:bottom w:val="single" w:sz="4" w:space="0" w:color="auto"/>
              <w:right w:val="single" w:sz="4" w:space="0" w:color="auto"/>
            </w:tcBorders>
            <w:shd w:val="clear" w:color="000000" w:fill="FFFFFF"/>
            <w:vAlign w:val="center"/>
            <w:hideMark/>
          </w:tcPr>
          <w:p w14:paraId="7776875B"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Operaciones de reaseguro</w:t>
            </w:r>
          </w:p>
        </w:tc>
      </w:tr>
      <w:tr w:rsidR="00F737BF" w:rsidRPr="00AD646E" w14:paraId="62F25E0A" w14:textId="77777777" w:rsidTr="00F737BF">
        <w:trPr>
          <w:trHeight w:val="51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C9A6A24"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International Endesa B.V.</w:t>
            </w:r>
          </w:p>
        </w:tc>
        <w:tc>
          <w:tcPr>
            <w:tcW w:w="0" w:type="auto"/>
            <w:tcBorders>
              <w:top w:val="nil"/>
              <w:left w:val="nil"/>
              <w:bottom w:val="single" w:sz="4" w:space="0" w:color="auto"/>
              <w:right w:val="single" w:sz="4" w:space="0" w:color="auto"/>
            </w:tcBorders>
            <w:shd w:val="clear" w:color="000000" w:fill="FFFFFF"/>
            <w:vAlign w:val="center"/>
            <w:hideMark/>
          </w:tcPr>
          <w:p w14:paraId="7AE6C6AF"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Amsterdam (Holanda)</w:t>
            </w:r>
          </w:p>
        </w:tc>
        <w:tc>
          <w:tcPr>
            <w:tcW w:w="2622" w:type="dxa"/>
            <w:tcBorders>
              <w:top w:val="nil"/>
              <w:left w:val="nil"/>
              <w:bottom w:val="single" w:sz="4" w:space="0" w:color="auto"/>
              <w:right w:val="single" w:sz="4" w:space="0" w:color="auto"/>
            </w:tcBorders>
            <w:shd w:val="clear" w:color="000000" w:fill="FFFFFF"/>
            <w:vAlign w:val="center"/>
            <w:hideMark/>
          </w:tcPr>
          <w:p w14:paraId="02611F17" w14:textId="77777777" w:rsidR="00F737BF" w:rsidRPr="00AD646E" w:rsidRDefault="00F737BF" w:rsidP="00F737BF">
            <w:pPr>
              <w:rPr>
                <w:rFonts w:ascii="Open Sans" w:hAnsi="Open Sans" w:cs="Open Sans"/>
                <w:sz w:val="20"/>
                <w:szCs w:val="20"/>
              </w:rPr>
            </w:pPr>
            <w:r w:rsidRPr="00AD646E">
              <w:rPr>
                <w:rFonts w:ascii="Open Sans" w:hAnsi="Open Sans" w:cs="Open Sans"/>
                <w:sz w:val="20"/>
                <w:szCs w:val="20"/>
              </w:rPr>
              <w:t>Sociedad de operaciones financieras internacionales</w:t>
            </w:r>
          </w:p>
        </w:tc>
      </w:tr>
      <w:tr w:rsidR="00F737BF" w:rsidRPr="00AD646E" w14:paraId="71816EE3" w14:textId="77777777" w:rsidTr="00F737BF">
        <w:trPr>
          <w:trHeight w:val="510"/>
          <w:jc w:val="center"/>
        </w:trPr>
        <w:tc>
          <w:tcPr>
            <w:tcW w:w="0" w:type="auto"/>
            <w:tcBorders>
              <w:top w:val="nil"/>
              <w:left w:val="single" w:sz="4" w:space="0" w:color="auto"/>
              <w:bottom w:val="single" w:sz="4" w:space="0" w:color="auto"/>
              <w:right w:val="single" w:sz="4" w:space="0" w:color="auto"/>
            </w:tcBorders>
            <w:shd w:val="clear" w:color="auto" w:fill="auto"/>
            <w:vAlign w:val="center"/>
          </w:tcPr>
          <w:p w14:paraId="070E97AE" w14:textId="77777777" w:rsidR="00F737BF" w:rsidRPr="00AD646E" w:rsidRDefault="00F737BF" w:rsidP="00F737BF">
            <w:pPr>
              <w:rPr>
                <w:rFonts w:ascii="Open Sans" w:hAnsi="Open Sans" w:cs="Open Sans"/>
                <w:sz w:val="20"/>
                <w:szCs w:val="20"/>
                <w:lang w:val="en-US"/>
              </w:rPr>
            </w:pPr>
            <w:r w:rsidRPr="00AD646E">
              <w:rPr>
                <w:rFonts w:ascii="Open Sans" w:hAnsi="Open Sans" w:cs="Open Sans"/>
                <w:sz w:val="20"/>
                <w:szCs w:val="20"/>
              </w:rPr>
              <w:t>Compostilla RE</w:t>
            </w:r>
          </w:p>
        </w:tc>
        <w:tc>
          <w:tcPr>
            <w:tcW w:w="0" w:type="auto"/>
            <w:tcBorders>
              <w:top w:val="nil"/>
              <w:left w:val="nil"/>
              <w:bottom w:val="single" w:sz="4" w:space="0" w:color="auto"/>
              <w:right w:val="single" w:sz="4" w:space="0" w:color="auto"/>
            </w:tcBorders>
            <w:shd w:val="clear" w:color="000000" w:fill="FFFFFF"/>
            <w:vAlign w:val="center"/>
          </w:tcPr>
          <w:p w14:paraId="55DDA3DC" w14:textId="77777777" w:rsidR="00F737BF" w:rsidRPr="00AD646E" w:rsidRDefault="00F737BF" w:rsidP="00F737BF">
            <w:pPr>
              <w:rPr>
                <w:rFonts w:ascii="Open Sans" w:hAnsi="Open Sans" w:cs="Open Sans"/>
                <w:sz w:val="20"/>
                <w:szCs w:val="20"/>
                <w:lang w:val="en-US"/>
              </w:rPr>
            </w:pPr>
            <w:r w:rsidRPr="00AD646E">
              <w:rPr>
                <w:rFonts w:ascii="Open Sans" w:hAnsi="Open Sans" w:cs="Open Sans"/>
                <w:sz w:val="20"/>
                <w:szCs w:val="20"/>
              </w:rPr>
              <w:t>Luxemburgo</w:t>
            </w:r>
          </w:p>
        </w:tc>
        <w:tc>
          <w:tcPr>
            <w:tcW w:w="2622" w:type="dxa"/>
            <w:tcBorders>
              <w:top w:val="nil"/>
              <w:left w:val="nil"/>
              <w:bottom w:val="single" w:sz="4" w:space="0" w:color="auto"/>
              <w:right w:val="single" w:sz="4" w:space="0" w:color="auto"/>
            </w:tcBorders>
            <w:shd w:val="clear" w:color="000000" w:fill="FFFFFF"/>
            <w:vAlign w:val="center"/>
          </w:tcPr>
          <w:p w14:paraId="32E40ADC" w14:textId="77777777" w:rsidR="00F737BF" w:rsidRPr="00AD646E" w:rsidRDefault="00F737BF" w:rsidP="00F737BF">
            <w:pPr>
              <w:rPr>
                <w:rFonts w:ascii="Open Sans" w:hAnsi="Open Sans" w:cs="Open Sans"/>
                <w:sz w:val="20"/>
                <w:szCs w:val="20"/>
                <w:lang w:val="en-US"/>
              </w:rPr>
            </w:pPr>
            <w:r w:rsidRPr="00AD646E">
              <w:rPr>
                <w:rFonts w:ascii="Open Sans" w:hAnsi="Open Sans" w:cs="Open Sans"/>
                <w:sz w:val="20"/>
                <w:szCs w:val="20"/>
              </w:rPr>
              <w:t>Operaciones de reaseguro</w:t>
            </w:r>
          </w:p>
        </w:tc>
      </w:tr>
    </w:tbl>
    <w:p w14:paraId="0D87F9EC" w14:textId="77777777" w:rsidR="00F737BF" w:rsidRPr="00AD646E" w:rsidRDefault="00F737BF" w:rsidP="00F737BF">
      <w:pPr>
        <w:jc w:val="both"/>
        <w:rPr>
          <w:rFonts w:ascii="Open Sans" w:hAnsi="Open Sans" w:cs="Open Sans"/>
          <w:sz w:val="20"/>
          <w:szCs w:val="22"/>
          <w:lang w:val="en-US"/>
        </w:rPr>
      </w:pPr>
    </w:p>
    <w:p w14:paraId="348B852A"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Endesa, S.A. y Enel Investment Holding BV, participan en el capital social de Enel Insurance NV, al 50%. Asimismo, informa de que “ENDESA posee el 100% de International ENDESA, B.V., sociedad holandesa, constituida en 1993, que capta fondos para el Grupo ENDESA a través de los programas de emisión de deuda Euro Medium Term Note (EMTN) y Euro Commercial Paper Programme (ECP). La actividad de la Compañía se ha reducido sustancialmente en los últimos años y desde 2005 las emisiones de deuda cotizada de ENDESA se realizan desde ENDESA Capital, S.A., entidad residente en España”. International Endesa B.V. obtuvo unos ingresos netos de 0,10 millones de euros, debido a sus actividades financieras</w:t>
      </w:r>
      <w:r w:rsidRPr="00AD646E">
        <w:rPr>
          <w:rStyle w:val="Refdenotaalpie"/>
          <w:rFonts w:ascii="Open Sans" w:hAnsi="Open Sans" w:cs="Open Sans"/>
          <w:sz w:val="20"/>
          <w:szCs w:val="22"/>
        </w:rPr>
        <w:footnoteReference w:id="402"/>
      </w:r>
      <w:r w:rsidRPr="00AD646E">
        <w:rPr>
          <w:rStyle w:val="Refdenotaalpie"/>
          <w:rFonts w:ascii="Open Sans" w:hAnsi="Open Sans" w:cs="Open Sans"/>
        </w:rPr>
        <w:t>,</w:t>
      </w:r>
      <w:r w:rsidRPr="00AD646E">
        <w:rPr>
          <w:rStyle w:val="Refdenotaalpie"/>
          <w:rFonts w:ascii="Open Sans" w:hAnsi="Open Sans" w:cs="Open Sans"/>
          <w:sz w:val="20"/>
          <w:szCs w:val="22"/>
        </w:rPr>
        <w:footnoteReference w:id="403"/>
      </w:r>
      <w:r w:rsidRPr="00AD646E">
        <w:rPr>
          <w:rFonts w:ascii="Open Sans" w:hAnsi="Open Sans" w:cs="Open Sans"/>
          <w:sz w:val="20"/>
          <w:szCs w:val="22"/>
        </w:rPr>
        <w:t xml:space="preserve">, incluyendo el programa ECP, programa MTN, préstamos intercompañía, líneas de crédito y derivados financieros. </w:t>
      </w:r>
    </w:p>
    <w:p w14:paraId="67805919" w14:textId="77777777" w:rsidR="00F737BF" w:rsidRPr="00AD646E" w:rsidRDefault="00F737BF" w:rsidP="00F737BF">
      <w:pPr>
        <w:jc w:val="both"/>
        <w:rPr>
          <w:rFonts w:ascii="Open Sans" w:hAnsi="Open Sans" w:cs="Open Sans"/>
          <w:sz w:val="20"/>
          <w:szCs w:val="22"/>
        </w:rPr>
      </w:pPr>
    </w:p>
    <w:p w14:paraId="41E700CE"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La compañía informa</w:t>
      </w:r>
      <w:r w:rsidRPr="00AD646E">
        <w:rPr>
          <w:rStyle w:val="Refdenotaalpie"/>
          <w:rFonts w:ascii="Open Sans" w:hAnsi="Open Sans" w:cs="Open Sans"/>
          <w:sz w:val="20"/>
          <w:szCs w:val="22"/>
        </w:rPr>
        <w:footnoteReference w:id="404"/>
      </w:r>
      <w:r w:rsidRPr="00AD646E">
        <w:rPr>
          <w:rFonts w:ascii="Open Sans" w:hAnsi="Open Sans" w:cs="Open Sans"/>
          <w:sz w:val="20"/>
          <w:szCs w:val="22"/>
        </w:rPr>
        <w:t xml:space="preserve"> de que durante el ejercicio 2014 se produjo la disolución de ENDESA Capital Finance, L.L.C. (entre otras), sociedad radicada en Delaware</w:t>
      </w:r>
      <w:r w:rsidRPr="00AD646E">
        <w:rPr>
          <w:rStyle w:val="Refdenotaalpie"/>
          <w:rFonts w:ascii="Open Sans" w:hAnsi="Open Sans" w:cs="Open Sans"/>
          <w:sz w:val="20"/>
          <w:szCs w:val="22"/>
        </w:rPr>
        <w:footnoteReference w:id="405"/>
      </w:r>
      <w:r w:rsidRPr="00AD646E">
        <w:rPr>
          <w:rFonts w:ascii="Open Sans" w:hAnsi="Open Sans" w:cs="Open Sans"/>
          <w:sz w:val="20"/>
          <w:szCs w:val="22"/>
        </w:rPr>
        <w:t xml:space="preserve"> y participada al 100% por la holandesa International Endesa, B.V.</w:t>
      </w:r>
    </w:p>
    <w:p w14:paraId="5616A7D1" w14:textId="77777777" w:rsidR="00F737BF" w:rsidRPr="00AD646E" w:rsidRDefault="00F737BF" w:rsidP="00F737BF">
      <w:pPr>
        <w:jc w:val="both"/>
        <w:rPr>
          <w:rFonts w:ascii="Open Sans" w:hAnsi="Open Sans" w:cs="Open Sans"/>
          <w:sz w:val="20"/>
          <w:szCs w:val="22"/>
        </w:rPr>
      </w:pPr>
    </w:p>
    <w:p w14:paraId="3E30D39E"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 xml:space="preserve">Aunque fuera del ejercicio de estudio del presente informe, también indica que el 50% de </w:t>
      </w:r>
      <w:r w:rsidRPr="00AD646E">
        <w:rPr>
          <w:rFonts w:ascii="Open Sans" w:hAnsi="Open Sans" w:cs="Open Sans"/>
          <w:sz w:val="20"/>
          <w:szCs w:val="20"/>
        </w:rPr>
        <w:t>Enel Insurance N.V.- Holanda</w:t>
      </w:r>
      <w:r w:rsidRPr="00AD646E">
        <w:rPr>
          <w:rFonts w:ascii="Open Sans" w:hAnsi="Open Sans" w:cs="Open Sans"/>
          <w:sz w:val="20"/>
          <w:szCs w:val="22"/>
        </w:rPr>
        <w:t xml:space="preserve"> se vendió en Febrero de 2016 y el 100% de Compostilla Re que era propiedad de Enel Insurance se había vendido parcialmente a terceros en 2015 y que con fecha 16 de febrero de 2016</w:t>
      </w:r>
      <w:r w:rsidRPr="00AD646E">
        <w:rPr>
          <w:rStyle w:val="Refdenotaalpie"/>
          <w:rFonts w:ascii="Open Sans" w:hAnsi="Open Sans" w:cs="Open Sans"/>
          <w:sz w:val="20"/>
          <w:szCs w:val="22"/>
        </w:rPr>
        <w:footnoteReference w:id="406"/>
      </w:r>
      <w:r w:rsidRPr="00AD646E">
        <w:rPr>
          <w:rFonts w:ascii="Open Sans" w:hAnsi="Open Sans" w:cs="Open Sans"/>
          <w:sz w:val="20"/>
          <w:szCs w:val="22"/>
        </w:rPr>
        <w:t xml:space="preserve"> se cerró su venta a CLT Holding AG de Compostilla Re, </w:t>
      </w:r>
      <w:proofErr w:type="gramStart"/>
      <w:r w:rsidRPr="00AD646E">
        <w:rPr>
          <w:rFonts w:ascii="Open Sans" w:hAnsi="Open Sans" w:cs="Open Sans"/>
          <w:sz w:val="20"/>
          <w:szCs w:val="22"/>
        </w:rPr>
        <w:t>S.A..</w:t>
      </w:r>
      <w:proofErr w:type="gramEnd"/>
      <w:r w:rsidRPr="00AD646E">
        <w:rPr>
          <w:rFonts w:ascii="Open Sans" w:hAnsi="Open Sans" w:cs="Open Sans"/>
          <w:sz w:val="20"/>
          <w:szCs w:val="22"/>
        </w:rPr>
        <w:t xml:space="preserve"> </w:t>
      </w:r>
    </w:p>
    <w:p w14:paraId="7233344E" w14:textId="77777777" w:rsidR="00F737BF" w:rsidRPr="00AD646E" w:rsidRDefault="00F737BF" w:rsidP="00F737BF">
      <w:pPr>
        <w:jc w:val="both"/>
        <w:rPr>
          <w:rFonts w:ascii="Open Sans" w:hAnsi="Open Sans" w:cs="Open Sans"/>
          <w:sz w:val="20"/>
          <w:szCs w:val="22"/>
        </w:rPr>
      </w:pPr>
    </w:p>
    <w:p w14:paraId="316A815C"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 xml:space="preserve">Endesa justifica la presencia de ambas filiales en Holanda porque "las características económicas y jurídicas holandesas permiten tener acceso directo a los mercados financieros más eficientes, adoptar sistemas jurídicos más ágiles capaces de proporcionar una mayor flexibilidad a las empresas establecidas en el mismo y resultan en una menor incidencia de los costes de cumplimiento y una mayor velocidad de acceso a fuentes de financiación. </w:t>
      </w:r>
    </w:p>
    <w:p w14:paraId="5DF164FC" w14:textId="77777777" w:rsidR="00F737BF" w:rsidRPr="00AD646E" w:rsidRDefault="00F737BF" w:rsidP="00F737BF">
      <w:pPr>
        <w:jc w:val="both"/>
        <w:rPr>
          <w:rFonts w:ascii="Open Sans" w:hAnsi="Open Sans" w:cs="Open Sans"/>
          <w:sz w:val="20"/>
          <w:szCs w:val="22"/>
        </w:rPr>
      </w:pPr>
    </w:p>
    <w:p w14:paraId="10BC0B17"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En cualquier caso, es importante mencionar que Holanda, aunque está incluida en el listado de Tax Justice Network (noviembre 2009), tiene firmado con España un convenio para evitar la Doble Imposición con cláusula de intercambio de información desde octubre de 1972 y mantiene un tipo de gravamen en el Impuesto sobre Sociedades muy similar al existente en España”.</w:t>
      </w:r>
    </w:p>
    <w:p w14:paraId="19022848" w14:textId="77777777" w:rsidR="00F737BF" w:rsidRPr="00AD646E" w:rsidRDefault="00F737BF" w:rsidP="00F737BF">
      <w:pPr>
        <w:jc w:val="both"/>
        <w:rPr>
          <w:rFonts w:ascii="Open Sans" w:hAnsi="Open Sans" w:cs="Open Sans"/>
          <w:sz w:val="20"/>
          <w:szCs w:val="22"/>
        </w:rPr>
      </w:pPr>
    </w:p>
    <w:p w14:paraId="02D00B1B"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Holanda es conocida por sus prácticas de tax rulings o estructuras empresariales de grandes corporaciones para reducir los impuestos que pagan. No es evasión fiscal (que es ilegal), sino “elusión fiscal”, aprovechar las deficiencias del sistema tributario para tributar menos. Además de los tratados de doble imposición, cuenta con el llamado “privilegio de filiación” para las sociedades holding que les permite no tributar por los dividendos y ganancias que les reporten sus filiales, siempre que se tenga una participación mínima en la filial del 5%. Para ejercer actividad con forma de holding simplemente hay que registrarlo y contar con una sede, que en muchas ocasiones responde simplemente al conocido “apartado de correos”</w:t>
      </w:r>
      <w:r w:rsidRPr="00AD646E">
        <w:rPr>
          <w:rStyle w:val="Refdenotaalpie"/>
          <w:rFonts w:ascii="Open Sans" w:hAnsi="Open Sans" w:cs="Open Sans"/>
          <w:sz w:val="20"/>
          <w:szCs w:val="22"/>
        </w:rPr>
        <w:footnoteReference w:id="407"/>
      </w:r>
      <w:r w:rsidRPr="00AD646E">
        <w:rPr>
          <w:rFonts w:ascii="Open Sans" w:hAnsi="Open Sans" w:cs="Open Sans"/>
          <w:sz w:val="20"/>
          <w:szCs w:val="22"/>
        </w:rPr>
        <w:t>.</w:t>
      </w:r>
    </w:p>
    <w:p w14:paraId="0246C016" w14:textId="77777777" w:rsidR="00F737BF" w:rsidRPr="00AD646E" w:rsidRDefault="00F737BF" w:rsidP="00F737BF">
      <w:pPr>
        <w:jc w:val="both"/>
        <w:rPr>
          <w:rFonts w:ascii="Open Sans" w:hAnsi="Open Sans" w:cs="Open Sans"/>
          <w:sz w:val="20"/>
          <w:szCs w:val="22"/>
        </w:rPr>
      </w:pPr>
    </w:p>
    <w:p w14:paraId="6F43C516"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Desde 2010 Holanda aplica el "Innovation Box" por el que se aplica una fiscalidad del 5% al ingreso obtenido por el desarrollo de patentes. Un hecho “particularmente relevante” para la Comisión Europea, que en su último informe específico sobre el país enumera varias medidas fiscales más como ésta que facilitan la ingeniería fiscal agresiva. El tipo de gravamen nominal del impuesto de sociedades holandés es del 20% para empresas con ingresos imponibles de hasta 200.000 euros y del 25% para ingresos imponibles superiores a 200.000 euros. En España, en el 2015 era del 28%</w:t>
      </w:r>
      <w:r w:rsidRPr="00AD646E">
        <w:rPr>
          <w:rStyle w:val="Refdenotaalpie"/>
          <w:rFonts w:ascii="Open Sans" w:hAnsi="Open Sans" w:cs="Open Sans"/>
          <w:sz w:val="20"/>
          <w:szCs w:val="22"/>
        </w:rPr>
        <w:footnoteReference w:id="408"/>
      </w:r>
      <w:r w:rsidRPr="00AD646E">
        <w:rPr>
          <w:rFonts w:ascii="Open Sans" w:hAnsi="Open Sans" w:cs="Open Sans"/>
          <w:sz w:val="20"/>
          <w:szCs w:val="22"/>
        </w:rPr>
        <w:t>.</w:t>
      </w:r>
    </w:p>
    <w:p w14:paraId="15ECDD91" w14:textId="77777777" w:rsidR="00F737BF" w:rsidRPr="00AD646E" w:rsidRDefault="00F737BF" w:rsidP="00F737BF">
      <w:pPr>
        <w:jc w:val="both"/>
        <w:rPr>
          <w:rFonts w:ascii="Open Sans" w:hAnsi="Open Sans" w:cs="Open Sans"/>
          <w:sz w:val="20"/>
          <w:szCs w:val="22"/>
        </w:rPr>
      </w:pPr>
    </w:p>
    <w:p w14:paraId="3AFCCA55" w14:textId="77777777" w:rsidR="00F737BF" w:rsidRPr="00AD646E" w:rsidRDefault="00F737BF" w:rsidP="00F737BF">
      <w:pPr>
        <w:autoSpaceDE w:val="0"/>
        <w:autoSpaceDN w:val="0"/>
        <w:adjustRightInd w:val="0"/>
        <w:jc w:val="both"/>
        <w:rPr>
          <w:rFonts w:ascii="Open Sans" w:hAnsi="Open Sans" w:cs="Open Sans"/>
          <w:sz w:val="20"/>
          <w:szCs w:val="20"/>
        </w:rPr>
      </w:pPr>
      <w:r w:rsidRPr="00AD646E">
        <w:rPr>
          <w:rFonts w:ascii="Open Sans" w:hAnsi="Open Sans" w:cs="Open Sans"/>
          <w:sz w:val="20"/>
          <w:szCs w:val="20"/>
        </w:rPr>
        <w:t xml:space="preserve">Según el artículo de Francis Weyzig </w:t>
      </w:r>
      <w:r w:rsidRPr="00AD646E">
        <w:rPr>
          <w:rFonts w:ascii="Open Sans" w:hAnsi="Open Sans" w:cs="Open Sans"/>
          <w:bCs/>
          <w:sz w:val="20"/>
          <w:szCs w:val="20"/>
        </w:rPr>
        <w:t>I</w:t>
      </w:r>
      <w:r w:rsidRPr="00AD646E">
        <w:rPr>
          <w:rFonts w:ascii="Open Sans" w:hAnsi="Open Sans" w:cs="Open Sans"/>
          <w:bCs/>
          <w:i/>
          <w:sz w:val="20"/>
          <w:szCs w:val="20"/>
        </w:rPr>
        <w:t>nternational finance and tax avoidance via Dutch SpecialPurpose Entities</w:t>
      </w:r>
      <w:r w:rsidRPr="00AD646E">
        <w:rPr>
          <w:rFonts w:ascii="Open Sans" w:hAnsi="Open Sans" w:cs="Open Sans"/>
          <w:i/>
          <w:sz w:val="20"/>
          <w:szCs w:val="20"/>
        </w:rPr>
        <w:t xml:space="preserve"> </w:t>
      </w:r>
      <w:r w:rsidRPr="00AD646E">
        <w:rPr>
          <w:rFonts w:ascii="Open Sans" w:hAnsi="Open Sans" w:cs="Open Sans"/>
          <w:sz w:val="20"/>
          <w:szCs w:val="20"/>
        </w:rPr>
        <w:t>muchas entidades no financieras de países de la UE utilizan conductos holandeses para emitir títulos de deuda. Esto elimina cualquier retención fiscal en los pagos de intereses a acreedores extranjeros, porque los pagos a un conducto holandés (Dutch conduit) están exentos bajo la Directiva de Intereses y Royalties y Holanda no hace retención fiscal sobre los intereses.</w:t>
      </w:r>
    </w:p>
    <w:p w14:paraId="0EEB03BC" w14:textId="77777777" w:rsidR="00F737BF" w:rsidRPr="00AD646E" w:rsidRDefault="00F737BF" w:rsidP="00F737BF">
      <w:pPr>
        <w:autoSpaceDE w:val="0"/>
        <w:autoSpaceDN w:val="0"/>
        <w:adjustRightInd w:val="0"/>
        <w:jc w:val="both"/>
        <w:rPr>
          <w:rFonts w:ascii="Open Sans" w:hAnsi="Open Sans" w:cs="Open Sans"/>
          <w:sz w:val="20"/>
          <w:szCs w:val="20"/>
        </w:rPr>
      </w:pPr>
    </w:p>
    <w:p w14:paraId="68FB0981"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Por otro lado, con la venta a Enel, matriz de Endesa, se traspasaron sociedades radicadas en paraísos fiscales como las Islas Caimán, Panamá o Delaware, que a 31 de diciembre de 2015, ya no pertenecen al perímetro de consolidación.</w:t>
      </w:r>
    </w:p>
    <w:p w14:paraId="01A87B46" w14:textId="77777777" w:rsidR="00F737BF" w:rsidRPr="00AD646E" w:rsidRDefault="00F737BF" w:rsidP="00F737BF">
      <w:pPr>
        <w:jc w:val="both"/>
        <w:rPr>
          <w:rFonts w:ascii="Open Sans" w:hAnsi="Open Sans" w:cs="Open Sans"/>
          <w:sz w:val="20"/>
          <w:szCs w:val="20"/>
          <w:u w:val="single"/>
        </w:rPr>
      </w:pPr>
    </w:p>
    <w:p w14:paraId="378DE500" w14:textId="77777777" w:rsidR="00F737BF" w:rsidRPr="00AD646E" w:rsidRDefault="00F737BF" w:rsidP="00F737BF">
      <w:pPr>
        <w:jc w:val="both"/>
        <w:rPr>
          <w:rFonts w:ascii="Open Sans" w:hAnsi="Open Sans" w:cs="Open Sans"/>
          <w:sz w:val="20"/>
          <w:szCs w:val="20"/>
          <w:lang w:val="es-CL"/>
        </w:rPr>
      </w:pPr>
      <w:r w:rsidRPr="00AD646E">
        <w:rPr>
          <w:rFonts w:ascii="Open Sans" w:hAnsi="Open Sans" w:cs="Open Sans"/>
          <w:sz w:val="20"/>
          <w:szCs w:val="22"/>
        </w:rPr>
        <w:t xml:space="preserve">Endesa ha aprobado un documento de estrategia fiscal en junio 2015. Informa de que </w:t>
      </w:r>
      <w:r w:rsidRPr="00AD646E">
        <w:rPr>
          <w:rFonts w:ascii="Open Sans" w:hAnsi="Open Sans" w:cs="Open Sans"/>
          <w:sz w:val="20"/>
          <w:szCs w:val="20"/>
        </w:rPr>
        <w:t>la Comisión de Auditoría es el órgano que informa al Consejo de Administración para las decisiones sobre la creación o adquisición “</w:t>
      </w:r>
      <w:r w:rsidRPr="00AD646E">
        <w:rPr>
          <w:rFonts w:ascii="Open Sans" w:hAnsi="Open Sans" w:cs="Open Sans"/>
          <w:sz w:val="20"/>
          <w:szCs w:val="20"/>
          <w:lang w:val="es-CL"/>
        </w:rPr>
        <w:t>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 Sin embargo, en ninguno de los documentos se posiciona respecto a los paraísos fiscales o indica que lista utiliza de referencia para considerar paraíso fiscal.</w:t>
      </w:r>
    </w:p>
    <w:p w14:paraId="59971029" w14:textId="77777777" w:rsidR="00F737BF" w:rsidRPr="00AD646E" w:rsidRDefault="00F737BF" w:rsidP="00F737BF">
      <w:pPr>
        <w:jc w:val="both"/>
        <w:rPr>
          <w:rFonts w:ascii="Open Sans" w:hAnsi="Open Sans" w:cs="Open Sans"/>
          <w:sz w:val="20"/>
          <w:szCs w:val="20"/>
          <w:lang w:val="es-CL"/>
        </w:rPr>
      </w:pPr>
    </w:p>
    <w:p w14:paraId="1353CE10" w14:textId="77777777" w:rsidR="00F737BF" w:rsidRPr="00AD646E" w:rsidRDefault="00F737BF" w:rsidP="00F737BF">
      <w:pPr>
        <w:jc w:val="both"/>
        <w:rPr>
          <w:rFonts w:ascii="Open Sans" w:hAnsi="Open Sans" w:cs="Open Sans"/>
          <w:bCs/>
          <w:sz w:val="20"/>
          <w:szCs w:val="20"/>
        </w:rPr>
      </w:pPr>
      <w:r w:rsidRPr="00AD646E">
        <w:rPr>
          <w:rFonts w:ascii="Open Sans" w:hAnsi="Open Sans" w:cs="Open Sans"/>
          <w:bCs/>
          <w:sz w:val="20"/>
          <w:szCs w:val="20"/>
        </w:rPr>
        <w:t>En su estrategia fiscal, Endesa renuncia a:</w:t>
      </w:r>
    </w:p>
    <w:p w14:paraId="1114F523" w14:textId="77777777" w:rsidR="00F737BF" w:rsidRPr="00AD646E" w:rsidRDefault="00F737BF" w:rsidP="00F737BF">
      <w:pPr>
        <w:jc w:val="both"/>
        <w:rPr>
          <w:rFonts w:ascii="Open Sans" w:hAnsi="Open Sans" w:cs="Open Sans"/>
          <w:bCs/>
          <w:sz w:val="20"/>
          <w:szCs w:val="20"/>
        </w:rPr>
      </w:pPr>
    </w:p>
    <w:p w14:paraId="6C0CF177" w14:textId="77777777" w:rsidR="00F737BF" w:rsidRPr="00AD646E" w:rsidRDefault="00F737BF" w:rsidP="00F737BF">
      <w:pPr>
        <w:numPr>
          <w:ilvl w:val="0"/>
          <w:numId w:val="33"/>
        </w:numPr>
        <w:jc w:val="both"/>
        <w:rPr>
          <w:rFonts w:ascii="Open Sans" w:hAnsi="Open Sans" w:cs="Open Sans"/>
          <w:bCs/>
          <w:sz w:val="20"/>
          <w:szCs w:val="20"/>
        </w:rPr>
      </w:pPr>
      <w:r w:rsidRPr="00AD646E">
        <w:rPr>
          <w:rFonts w:ascii="Open Sans" w:hAnsi="Open Sans" w:cs="Open Sans"/>
          <w:bCs/>
          <w:sz w:val="20"/>
          <w:szCs w:val="20"/>
        </w:rPr>
        <w:t>“Las operaciones o estructuras que únicamente persigan una ventaja fiscal y no respondan a motivos empresariales o no guarden relación con la localización de los recursos materiales y personales, de las actividades y de los riesgos empresariales de la Sociedad.</w:t>
      </w:r>
    </w:p>
    <w:p w14:paraId="47985372" w14:textId="77777777" w:rsidR="00F737BF" w:rsidRPr="00AD646E" w:rsidRDefault="00F737BF" w:rsidP="00F737BF">
      <w:pPr>
        <w:numPr>
          <w:ilvl w:val="0"/>
          <w:numId w:val="33"/>
        </w:numPr>
        <w:jc w:val="both"/>
        <w:rPr>
          <w:rFonts w:ascii="Open Sans" w:hAnsi="Open Sans" w:cs="Open Sans"/>
          <w:bCs/>
          <w:sz w:val="20"/>
          <w:szCs w:val="20"/>
        </w:rPr>
      </w:pPr>
      <w:r w:rsidRPr="00AD646E">
        <w:rPr>
          <w:rFonts w:ascii="Open Sans" w:hAnsi="Open Sans" w:cs="Open Sans"/>
          <w:bCs/>
          <w:sz w:val="20"/>
          <w:szCs w:val="20"/>
        </w:rPr>
        <w:t xml:space="preserve">La estructuración de operaciones de </w:t>
      </w:r>
      <w:proofErr w:type="gramStart"/>
      <w:r w:rsidRPr="00AD646E">
        <w:rPr>
          <w:rFonts w:ascii="Open Sans" w:hAnsi="Open Sans" w:cs="Open Sans"/>
          <w:bCs/>
          <w:sz w:val="20"/>
          <w:szCs w:val="20"/>
        </w:rPr>
        <w:t>carácter artificioso o ajenas</w:t>
      </w:r>
      <w:proofErr w:type="gramEnd"/>
      <w:r w:rsidRPr="00AD646E">
        <w:rPr>
          <w:rFonts w:ascii="Open Sans" w:hAnsi="Open Sans" w:cs="Open Sans"/>
          <w:bCs/>
          <w:sz w:val="20"/>
          <w:szCs w:val="20"/>
        </w:rPr>
        <w:t xml:space="preserve"> a la actividad propia de la Compañía, realizadas con la única finalidad de minorar la carga tributaria.</w:t>
      </w:r>
    </w:p>
    <w:p w14:paraId="39C627F0" w14:textId="77777777" w:rsidR="00F737BF" w:rsidRPr="00AD646E" w:rsidRDefault="00F737BF" w:rsidP="00F737BF">
      <w:pPr>
        <w:numPr>
          <w:ilvl w:val="0"/>
          <w:numId w:val="33"/>
        </w:numPr>
        <w:jc w:val="both"/>
        <w:rPr>
          <w:rFonts w:ascii="Open Sans" w:hAnsi="Open Sans" w:cs="Open Sans"/>
          <w:bCs/>
          <w:sz w:val="20"/>
          <w:szCs w:val="20"/>
        </w:rPr>
      </w:pPr>
      <w:r w:rsidRPr="00AD646E">
        <w:rPr>
          <w:rFonts w:ascii="Open Sans" w:hAnsi="Open Sans" w:cs="Open Sans"/>
          <w:bCs/>
          <w:sz w:val="20"/>
          <w:szCs w:val="20"/>
        </w:rPr>
        <w:t>La utilización de estructuras de carácter opaco con fines de reducir su carga impositiva.</w:t>
      </w:r>
    </w:p>
    <w:p w14:paraId="01F6EEC5" w14:textId="77777777" w:rsidR="00F737BF" w:rsidRPr="00AD646E" w:rsidRDefault="00F737BF" w:rsidP="00F737BF">
      <w:pPr>
        <w:numPr>
          <w:ilvl w:val="0"/>
          <w:numId w:val="33"/>
        </w:numPr>
        <w:jc w:val="both"/>
        <w:rPr>
          <w:rFonts w:ascii="Open Sans" w:hAnsi="Open Sans" w:cs="Open Sans"/>
          <w:bCs/>
          <w:sz w:val="20"/>
          <w:szCs w:val="20"/>
        </w:rPr>
      </w:pPr>
      <w:r w:rsidRPr="00AD646E">
        <w:rPr>
          <w:rFonts w:ascii="Open Sans" w:hAnsi="Open Sans" w:cs="Open Sans"/>
          <w:bCs/>
          <w:sz w:val="20"/>
          <w:szCs w:val="20"/>
        </w:rPr>
        <w:t>La realización de inversiones en o a través de territorios calificados como paraísos fiscales con la única finalidad de minorar la carga tributaria. Sólo se realizarán estas inversiones o adquisiciones de entidades en paraísos fiscales cuando la inversión responda a motivos empresariales y tenga como objeto el desarrollo de la actividad incluida en el objeto social de Endesa.</w:t>
      </w:r>
    </w:p>
    <w:p w14:paraId="7932A11A" w14:textId="77777777" w:rsidR="00F737BF" w:rsidRPr="00AD646E" w:rsidRDefault="00F737BF" w:rsidP="00F737BF">
      <w:pPr>
        <w:jc w:val="both"/>
        <w:rPr>
          <w:rFonts w:ascii="Open Sans" w:hAnsi="Open Sans" w:cs="Open Sans"/>
          <w:bCs/>
          <w:sz w:val="20"/>
          <w:szCs w:val="20"/>
        </w:rPr>
      </w:pPr>
    </w:p>
    <w:p w14:paraId="265B62BA" w14:textId="77777777" w:rsidR="00F737BF" w:rsidRPr="00AD646E" w:rsidRDefault="00F737BF" w:rsidP="00F737BF">
      <w:pPr>
        <w:jc w:val="both"/>
        <w:rPr>
          <w:rFonts w:ascii="Open Sans" w:hAnsi="Open Sans" w:cs="Open Sans"/>
          <w:bCs/>
          <w:sz w:val="20"/>
          <w:szCs w:val="20"/>
        </w:rPr>
      </w:pPr>
      <w:r w:rsidRPr="00AD646E">
        <w:rPr>
          <w:rFonts w:ascii="Open Sans" w:hAnsi="Open Sans" w:cs="Open Sans"/>
          <w:bCs/>
          <w:sz w:val="20"/>
          <w:szCs w:val="20"/>
        </w:rPr>
        <w:t>En los supuestos en que circunstancialmente (por ejemplo por una operación de compra de un grupo de sociedades) Endesa se encuentre con estructuras de este tipo que tengan como única finalidad minorar la carga impositiva o adquiera participación en entidades localizadas en territorios calificados como paraísos fiscales que no respondan a motivos empresariales, sino que únicamente persigan una reducción de la carga tributaria, se procederá a su disolución a la mayor brevedad posible”.</w:t>
      </w:r>
    </w:p>
    <w:p w14:paraId="1AE742ED" w14:textId="77777777" w:rsidR="00F737BF" w:rsidRPr="00AD646E" w:rsidRDefault="00F737BF" w:rsidP="00F737BF">
      <w:pPr>
        <w:jc w:val="both"/>
        <w:rPr>
          <w:rFonts w:ascii="Open Sans" w:hAnsi="Open Sans" w:cs="Open Sans"/>
          <w:bCs/>
          <w:sz w:val="20"/>
          <w:szCs w:val="20"/>
        </w:rPr>
      </w:pPr>
    </w:p>
    <w:p w14:paraId="34FF5145" w14:textId="77777777" w:rsidR="00F737BF" w:rsidRPr="00AD646E" w:rsidRDefault="00F737BF" w:rsidP="00F737BF">
      <w:pPr>
        <w:jc w:val="both"/>
        <w:rPr>
          <w:rFonts w:ascii="Open Sans" w:hAnsi="Open Sans" w:cs="Open Sans"/>
          <w:bCs/>
          <w:sz w:val="20"/>
          <w:szCs w:val="20"/>
        </w:rPr>
      </w:pPr>
      <w:r w:rsidRPr="00AD646E">
        <w:rPr>
          <w:rFonts w:ascii="Open Sans" w:hAnsi="Open Sans" w:cs="Open Sans"/>
          <w:bCs/>
          <w:sz w:val="20"/>
          <w:szCs w:val="20"/>
        </w:rPr>
        <w:t xml:space="preserve">Podemos resaltar que la compañía se ha ido desprendiendo o disolviendo de sociedades en paraísos o nichos fiscales durante 2015 y 2016, con la excepción de International Endesa BV, que es la única que hoy pervive, con actividad reducida. </w:t>
      </w:r>
    </w:p>
    <w:p w14:paraId="41DD8F5F" w14:textId="77777777" w:rsidR="00F737BF" w:rsidRPr="00AD646E" w:rsidRDefault="00F737BF" w:rsidP="00F737BF">
      <w:pPr>
        <w:autoSpaceDE w:val="0"/>
        <w:autoSpaceDN w:val="0"/>
        <w:adjustRightInd w:val="0"/>
        <w:jc w:val="both"/>
        <w:rPr>
          <w:rFonts w:ascii="Open Sans" w:hAnsi="Open Sans" w:cs="Open Sans"/>
          <w:sz w:val="20"/>
          <w:szCs w:val="20"/>
          <w:lang w:val="es-CL"/>
        </w:rPr>
      </w:pPr>
    </w:p>
    <w:p w14:paraId="6BD1F80A" w14:textId="77777777" w:rsidR="00F737BF" w:rsidRPr="00AD646E" w:rsidRDefault="00F737BF" w:rsidP="00F737BF">
      <w:pPr>
        <w:autoSpaceDE w:val="0"/>
        <w:autoSpaceDN w:val="0"/>
        <w:adjustRightInd w:val="0"/>
        <w:jc w:val="both"/>
        <w:rPr>
          <w:rFonts w:ascii="Open Sans" w:hAnsi="Open Sans" w:cs="Open Sans"/>
          <w:sz w:val="20"/>
          <w:szCs w:val="20"/>
          <w:lang w:val="es-CL"/>
        </w:rPr>
      </w:pPr>
      <w:r w:rsidRPr="00AD646E">
        <w:rPr>
          <w:rFonts w:ascii="Open Sans" w:hAnsi="Open Sans" w:cs="Open Sans"/>
          <w:sz w:val="20"/>
          <w:szCs w:val="20"/>
          <w:lang w:val="es-CL"/>
        </w:rPr>
        <w:t xml:space="preserve">Por otra parte, el Reglamento del Consejo en su artículo 5.2 “el Consejo de Administración en pleno se reserva la competencia de aprobar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 </w:t>
      </w:r>
    </w:p>
    <w:p w14:paraId="7125913D" w14:textId="77777777" w:rsidR="00F737BF" w:rsidRPr="00AD646E" w:rsidRDefault="00F737BF" w:rsidP="00F737BF">
      <w:pPr>
        <w:autoSpaceDE w:val="0"/>
        <w:autoSpaceDN w:val="0"/>
        <w:adjustRightInd w:val="0"/>
        <w:jc w:val="both"/>
        <w:rPr>
          <w:rFonts w:ascii="Open Sans" w:hAnsi="Open Sans" w:cs="Open Sans"/>
          <w:sz w:val="20"/>
          <w:szCs w:val="20"/>
          <w:lang w:val="es-CL"/>
        </w:rPr>
      </w:pPr>
    </w:p>
    <w:p w14:paraId="4941C9DF" w14:textId="77777777" w:rsidR="00F737BF" w:rsidRPr="00AD646E" w:rsidRDefault="00F737BF" w:rsidP="00F737BF">
      <w:pPr>
        <w:autoSpaceDE w:val="0"/>
        <w:autoSpaceDN w:val="0"/>
        <w:adjustRightInd w:val="0"/>
        <w:jc w:val="both"/>
        <w:rPr>
          <w:rFonts w:ascii="Open Sans" w:hAnsi="Open Sans" w:cs="Open Sans"/>
          <w:bCs/>
          <w:sz w:val="20"/>
          <w:szCs w:val="20"/>
        </w:rPr>
      </w:pPr>
      <w:r w:rsidRPr="00AD646E">
        <w:rPr>
          <w:rFonts w:ascii="Open Sans" w:hAnsi="Open Sans" w:cs="Open Sans"/>
          <w:bCs/>
          <w:sz w:val="20"/>
          <w:szCs w:val="20"/>
        </w:rPr>
        <w:t xml:space="preserve">En este sentido, es de destacar la casi desaparición de la compañía en paraísos fiscales (no así en nichos). </w:t>
      </w:r>
    </w:p>
    <w:p w14:paraId="7BEA3B76" w14:textId="77777777" w:rsidR="00F737BF" w:rsidRPr="00AD646E" w:rsidRDefault="00F737BF" w:rsidP="00F737BF">
      <w:pPr>
        <w:autoSpaceDE w:val="0"/>
        <w:autoSpaceDN w:val="0"/>
        <w:adjustRightInd w:val="0"/>
        <w:jc w:val="both"/>
        <w:rPr>
          <w:rFonts w:ascii="Open Sans" w:hAnsi="Open Sans" w:cs="Open Sans"/>
          <w:sz w:val="20"/>
          <w:szCs w:val="20"/>
          <w:lang w:val="es-CL"/>
        </w:rPr>
      </w:pPr>
    </w:p>
    <w:p w14:paraId="63F81AB2"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 xml:space="preserve">Dando continuidad al ejercicio 2014, Endesa informa de manera global de sus impuestos pagados y recaudados para España y Portugal de forma detallada agrupando en “Otros” (un 0,074% del total de impuestos soportados) los correspondientes a Endesa en Marruecos, Alemania, Francia y Holanda, siendo este último país considerado un nicho fiscal. Además, desglosa también en otro cuadro la contribución de Endesa desglosada por tipo de impuestos. Este año incorpora por primera vez los importes de Seguridad Social pagados. </w:t>
      </w:r>
    </w:p>
    <w:p w14:paraId="4025102E" w14:textId="77777777" w:rsidR="00F737BF" w:rsidRPr="00AD646E" w:rsidRDefault="00F737BF" w:rsidP="00F737BF">
      <w:pPr>
        <w:jc w:val="both"/>
        <w:rPr>
          <w:rFonts w:ascii="Open Sans" w:hAnsi="Open Sans" w:cs="Open Sans"/>
          <w:sz w:val="20"/>
          <w:szCs w:val="22"/>
        </w:rPr>
      </w:pPr>
    </w:p>
    <w:p w14:paraId="68EA95AA"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Conviene recordar que a efectos de contribución, determinadas partidas como las retenciones por IRPF o Seguridad Social no pueden considerarse contribución tributaria total, ya que son impuestos pagados por los trabajadores aunque recaudados por la empresa. Endesa hace esta distinción entre impuestos pagados e impuestos recaudados y explica las diferencias entre las tasas impositivas nominales y efectivas dentro del Informe de Contribución Fiscal 2015 destacando que “el elemento que más influye sobre la tasa nominal de Endesa son los incentivos fiscales, relativos a deducciones en cuota aplicadas por la Compañía, haciendo disminuir la tasa efectiva en 4,1 puntos porcentuales”.</w:t>
      </w:r>
    </w:p>
    <w:p w14:paraId="0A7C9C9D" w14:textId="77777777" w:rsidR="00F737BF" w:rsidRPr="00AD646E" w:rsidRDefault="00F737BF" w:rsidP="00F737BF">
      <w:pPr>
        <w:jc w:val="both"/>
        <w:rPr>
          <w:rFonts w:ascii="Open Sans" w:hAnsi="Open Sans" w:cs="Open Sans"/>
          <w:sz w:val="20"/>
          <w:szCs w:val="22"/>
        </w:rPr>
      </w:pPr>
    </w:p>
    <w:p w14:paraId="6990DE31" w14:textId="77777777" w:rsidR="00F737BF" w:rsidRPr="00AD646E" w:rsidRDefault="00F737BF" w:rsidP="00F737BF">
      <w:pPr>
        <w:jc w:val="both"/>
        <w:rPr>
          <w:rFonts w:ascii="Open Sans" w:hAnsi="Open Sans" w:cs="Open Sans"/>
          <w:sz w:val="20"/>
          <w:szCs w:val="22"/>
          <w:highlight w:val="yellow"/>
        </w:rPr>
      </w:pPr>
      <w:r w:rsidRPr="00AD646E">
        <w:rPr>
          <w:rFonts w:ascii="Open Sans" w:hAnsi="Open Sans" w:cs="Open Sans"/>
          <w:sz w:val="20"/>
          <w:szCs w:val="22"/>
        </w:rPr>
        <w:t>Este avance positivo puede mejorarse desglosando por país, compañía y tipo de impuesto. Así, la compañía señala que “de cada 100 Euros que ingresa Endesa en concepto de impuestos en el mundo, 96 euros son abonados en España” y recoge el porcentaje de los demás países sólo aportando en números absolutos los impuestos de España y Portugal.</w:t>
      </w:r>
    </w:p>
    <w:p w14:paraId="75A8EF9D" w14:textId="77777777" w:rsidR="00F737BF" w:rsidRPr="00AD646E" w:rsidRDefault="00F737BF" w:rsidP="00F737BF">
      <w:pPr>
        <w:jc w:val="both"/>
        <w:rPr>
          <w:rFonts w:ascii="Open Sans" w:hAnsi="Open Sans" w:cs="Open Sans"/>
          <w:sz w:val="20"/>
          <w:szCs w:val="22"/>
        </w:rPr>
      </w:pPr>
    </w:p>
    <w:p w14:paraId="6CFD56DD"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Endesa aporta información desagregada para las empresas del grupo y asociadas de las subvenciones en su informe de Sostenibilidad indicando que ha recibido ayudas del Ministerio de Industria Energía y Turismo para mejorar el tendido eléctrico, así como de varias comunidades autónomas. Sin embargo, no se facilita el desglose en los diferentes países en donde opera ni el resto de conceptos, aunque en otro cuadro de sus cuentas anuales si indica las subvenciones recibidas por cada Empresa del Grupo.</w:t>
      </w:r>
    </w:p>
    <w:p w14:paraId="4DFA4DCD" w14:textId="77777777" w:rsidR="00F737BF" w:rsidRPr="00AD646E" w:rsidRDefault="00F737BF" w:rsidP="00F737BF">
      <w:pPr>
        <w:jc w:val="both"/>
        <w:rPr>
          <w:rFonts w:ascii="Open Sans" w:hAnsi="Open Sans" w:cs="Open Sans"/>
          <w:sz w:val="20"/>
          <w:szCs w:val="22"/>
        </w:rPr>
      </w:pPr>
    </w:p>
    <w:p w14:paraId="16879282" w14:textId="77777777" w:rsidR="00F737BF" w:rsidRPr="00AD646E" w:rsidRDefault="00F737BF" w:rsidP="00F737BF">
      <w:pPr>
        <w:jc w:val="both"/>
        <w:rPr>
          <w:rFonts w:ascii="Open Sans" w:hAnsi="Open Sans" w:cs="Open Sans"/>
          <w:sz w:val="20"/>
          <w:szCs w:val="22"/>
        </w:rPr>
      </w:pPr>
      <w:r w:rsidRPr="00AD646E">
        <w:rPr>
          <w:rFonts w:ascii="Open Sans" w:hAnsi="Open Sans" w:cs="Open Sans"/>
          <w:sz w:val="20"/>
          <w:szCs w:val="22"/>
        </w:rPr>
        <w:t xml:space="preserve">No se ha encontrado información desagregada por países en la documentación analizada sobre exenciones o créditos fiscales. </w:t>
      </w:r>
    </w:p>
    <w:p w14:paraId="6A0C4151" w14:textId="77777777" w:rsidR="00F737BF" w:rsidRPr="00AD646E" w:rsidRDefault="00F737BF" w:rsidP="00F737BF">
      <w:pPr>
        <w:jc w:val="both"/>
        <w:rPr>
          <w:rFonts w:ascii="Open Sans" w:hAnsi="Open Sans" w:cs="Open Sans"/>
          <w:sz w:val="20"/>
          <w:szCs w:val="22"/>
        </w:rPr>
      </w:pPr>
    </w:p>
    <w:p w14:paraId="7332B430"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En su informe de sostenibilidad indica “ENDESA cumple con la normativa fiscal como parte de los principios que inspiran la responsabilidad corporativa de la empresa, aplicando políticas fiscales responsables y promoviendo relaciones cooperativas y transparentes con las Administraciones Tributarias.”. La empresa y sus sociedades controladas están acogidas al CBPT desde 2012, ratificado el 25 de enero de 2016 tras la incorporación de un nuevo Anexo al mismo, y desarrolla desde 2016 unas determinadas conductas de obligado cumplimiento para el administrado. Sin embargo, no detalla qué acciones o relaciones ha tenido con las administraciones tributarias, en qué han consistido y qué las ha motivado.</w:t>
      </w:r>
    </w:p>
    <w:p w14:paraId="7B3787A0" w14:textId="77777777" w:rsidR="00F737BF" w:rsidRPr="00AD646E" w:rsidRDefault="00F737BF" w:rsidP="00F737BF">
      <w:pPr>
        <w:jc w:val="both"/>
        <w:rPr>
          <w:rFonts w:ascii="Open Sans" w:hAnsi="Open Sans" w:cs="Open Sans"/>
          <w:sz w:val="20"/>
          <w:szCs w:val="20"/>
        </w:rPr>
      </w:pPr>
    </w:p>
    <w:p w14:paraId="1C5AFE70"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El Consejo de Administración acordó en 2010 la adhesión de Endesa al Código de Buenas Prácticas Tributarias. Este Código no es vinculante para sus firmantes, no establece un seguimiento de las actuaciones de las empresas firmantes y tampoco tiene previsto un sistema sancionador o de expulsión por incumplimiento. También informa de que “el 25 de enero de 2016 el Consejo de Administración de Endesa ratificó la adhesión de ENDESA, S.A. y sus filiales españolas controladas al Código tras la reciente incorporación al mismo de un Anexo con nuevas obligaciones de conducta tanto para la Empresa como para la Administración”.</w:t>
      </w:r>
    </w:p>
    <w:p w14:paraId="69DFC528" w14:textId="77777777" w:rsidR="00F737BF" w:rsidRPr="00AD646E" w:rsidRDefault="00F737BF" w:rsidP="00F737BF">
      <w:pPr>
        <w:jc w:val="both"/>
        <w:rPr>
          <w:rFonts w:ascii="Open Sans" w:hAnsi="Open Sans" w:cs="Open Sans"/>
          <w:sz w:val="20"/>
          <w:szCs w:val="20"/>
        </w:rPr>
      </w:pPr>
    </w:p>
    <w:p w14:paraId="489B91C2"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El Código invita, que no prohíbe, entre otros compromisos, evitar “la utilización de estructuras de carácter opaco con finalidades tributarias, entendiéndose por tales aquellas en las que, mediante la interposición de sociedades instrumentales a través de paraísos fiscales o territorios no cooperantes con las autoridades fiscales, estén diseñadas con el propósito de impedir el conocimiento, por parte de la Agencia Tributaria, del responsable final de las actividades”.</w:t>
      </w:r>
    </w:p>
    <w:p w14:paraId="13338D7B" w14:textId="77777777" w:rsidR="00F737BF" w:rsidRPr="00AD646E" w:rsidRDefault="00F737BF" w:rsidP="00F737BF">
      <w:pPr>
        <w:jc w:val="both"/>
        <w:rPr>
          <w:rFonts w:ascii="Open Sans" w:hAnsi="Open Sans" w:cs="Open Sans"/>
          <w:sz w:val="20"/>
          <w:szCs w:val="20"/>
        </w:rPr>
      </w:pPr>
    </w:p>
    <w:p w14:paraId="3BC75E88"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Asimismo, y dentro del citado CBPT, Endesa prevé presentar anualmente el Informe de Trasparencia Reforzada a la Administración Tributaria enmarcado en el ámbito de reforzamiento de las buenas prácticas de trasparencia fiscal de las empresas adheridas al CBPT, aplicable por primera vez en  2017 respecto del año 2016.</w:t>
      </w:r>
    </w:p>
    <w:p w14:paraId="6A825FBF" w14:textId="77777777" w:rsidR="00F737BF" w:rsidRPr="00AD646E" w:rsidRDefault="00F737BF" w:rsidP="00F737BF">
      <w:pPr>
        <w:jc w:val="both"/>
        <w:rPr>
          <w:rFonts w:ascii="Open Sans" w:hAnsi="Open Sans" w:cs="Open Sans"/>
          <w:sz w:val="20"/>
          <w:szCs w:val="20"/>
          <w:u w:val="single"/>
        </w:rPr>
      </w:pPr>
    </w:p>
    <w:p w14:paraId="26A00226" w14:textId="3F33FE19"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 xml:space="preserve">La empresa menciona su participación en foros activos de interés (AESPLA, UNESA, AENOR, AEC, etc.), pero no informa de otra relación cooperativa con la administración tributaria, su presencia o actuaciones con legisladores y políticos, o de que realice actividades de lobby, a pesar de su pertenencia a la </w:t>
      </w:r>
      <w:r w:rsidR="00893F59">
        <w:rPr>
          <w:rFonts w:ascii="Open Sans" w:hAnsi="Open Sans" w:cs="Open Sans"/>
          <w:sz w:val="20"/>
          <w:szCs w:val="20"/>
        </w:rPr>
        <w:t xml:space="preserve">Asociación Española de la Industria Eléctrica </w:t>
      </w:r>
      <w:r w:rsidRPr="00AD646E">
        <w:rPr>
          <w:rFonts w:ascii="Open Sans" w:hAnsi="Open Sans" w:cs="Open Sans"/>
          <w:sz w:val="20"/>
          <w:szCs w:val="20"/>
        </w:rPr>
        <w:t>(UNESA), entidad inscrita en el Registro de Grupos de Interés de la CNMC</w:t>
      </w:r>
      <w:r w:rsidRPr="00AD646E">
        <w:rPr>
          <w:rStyle w:val="Refdenotaalpie"/>
          <w:rFonts w:ascii="Open Sans" w:hAnsi="Open Sans" w:cs="Open Sans"/>
          <w:sz w:val="20"/>
          <w:szCs w:val="20"/>
        </w:rPr>
        <w:footnoteReference w:id="409"/>
      </w:r>
      <w:r w:rsidRPr="00AD646E">
        <w:rPr>
          <w:rFonts w:ascii="Open Sans" w:hAnsi="Open Sans" w:cs="Open Sans"/>
          <w:sz w:val="20"/>
          <w:szCs w:val="20"/>
        </w:rPr>
        <w:t>.</w:t>
      </w:r>
    </w:p>
    <w:p w14:paraId="637F2486" w14:textId="77777777" w:rsidR="00F737BF" w:rsidRPr="00AD646E" w:rsidRDefault="00F737BF" w:rsidP="00F737BF">
      <w:pPr>
        <w:jc w:val="both"/>
        <w:rPr>
          <w:rFonts w:ascii="Open Sans" w:hAnsi="Open Sans" w:cs="Open Sans"/>
          <w:sz w:val="20"/>
          <w:szCs w:val="20"/>
        </w:rPr>
      </w:pPr>
    </w:p>
    <w:p w14:paraId="1FA915C7" w14:textId="77777777" w:rsidR="00F737BF" w:rsidRPr="00AD646E" w:rsidRDefault="00F737BF" w:rsidP="00F737BF">
      <w:pPr>
        <w:jc w:val="both"/>
        <w:rPr>
          <w:rFonts w:ascii="Open Sans" w:hAnsi="Open Sans" w:cs="Open Sans"/>
          <w:sz w:val="20"/>
          <w:szCs w:val="20"/>
        </w:rPr>
      </w:pPr>
      <w:r w:rsidRPr="00AD646E">
        <w:rPr>
          <w:rFonts w:ascii="Open Sans" w:hAnsi="Open Sans" w:cs="Open Sans"/>
          <w:sz w:val="20"/>
          <w:szCs w:val="20"/>
        </w:rPr>
        <w:t xml:space="preserve">La entidad informa de los litigios abiertos, pero no aporta mayor información sobre reclamaciones en vía administrativa y judicial en curso en el ámbito fiscal para cada uno de los países en los que opera, importes reclamados o litigios resueltos con administraciones tributarias. </w:t>
      </w:r>
    </w:p>
    <w:p w14:paraId="34B538C1" w14:textId="77777777" w:rsidR="00F737BF" w:rsidRPr="00AD646E" w:rsidRDefault="00F737BF" w:rsidP="00F737BF">
      <w:pPr>
        <w:jc w:val="both"/>
        <w:rPr>
          <w:rFonts w:ascii="Open Sans" w:hAnsi="Open Sans" w:cs="Open Sans"/>
          <w:sz w:val="20"/>
          <w:szCs w:val="20"/>
        </w:rPr>
      </w:pPr>
    </w:p>
    <w:p w14:paraId="274F0634" w14:textId="77777777" w:rsidR="00F737BF" w:rsidRPr="00AD646E" w:rsidRDefault="00F737BF" w:rsidP="00F737BF">
      <w:pPr>
        <w:jc w:val="both"/>
        <w:rPr>
          <w:rFonts w:ascii="Open Sans" w:eastAsia="Calibri" w:hAnsi="Open Sans" w:cs="Open Sans"/>
          <w:sz w:val="20"/>
          <w:szCs w:val="20"/>
        </w:rPr>
      </w:pPr>
      <w:r w:rsidRPr="00AD646E">
        <w:rPr>
          <w:rFonts w:ascii="Open Sans" w:eastAsia="Calibri" w:hAnsi="Open Sans" w:cs="Open Sans"/>
          <w:sz w:val="20"/>
          <w:szCs w:val="20"/>
        </w:rPr>
        <w:t>Endesa detalla su estructura societaria a través de participaciones directas en todas las sociedades, y en algunos casos con participaciones indirectas. Informa asimismo que dispone de un Reglamento de Operaciones Vinculadas.</w:t>
      </w:r>
    </w:p>
    <w:p w14:paraId="1DADB450" w14:textId="77777777" w:rsidR="00F737BF" w:rsidRPr="00AD646E" w:rsidRDefault="00F737BF" w:rsidP="00F737BF">
      <w:pPr>
        <w:ind w:left="708"/>
        <w:jc w:val="both"/>
        <w:rPr>
          <w:rFonts w:ascii="Open Sans" w:eastAsia="Calibri" w:hAnsi="Open Sans" w:cs="Open Sans"/>
          <w:sz w:val="20"/>
          <w:szCs w:val="20"/>
        </w:rPr>
      </w:pPr>
    </w:p>
    <w:p w14:paraId="2BEB161D" w14:textId="77777777" w:rsidR="00F737BF" w:rsidRPr="00AD646E" w:rsidRDefault="00F737BF" w:rsidP="00F737BF">
      <w:pPr>
        <w:jc w:val="both"/>
        <w:rPr>
          <w:rFonts w:ascii="Open Sans" w:eastAsia="Calibri" w:hAnsi="Open Sans" w:cs="Open Sans"/>
          <w:color w:val="FF0000"/>
          <w:sz w:val="20"/>
          <w:szCs w:val="20"/>
        </w:rPr>
      </w:pPr>
      <w:r w:rsidRPr="00AD646E">
        <w:rPr>
          <w:rFonts w:ascii="Open Sans" w:eastAsia="Calibri" w:hAnsi="Open Sans" w:cs="Open Sans"/>
          <w:sz w:val="20"/>
          <w:szCs w:val="20"/>
        </w:rPr>
        <w:t>En relación a operaciones intragrupo la empresa presenta varios cuadros con operaciones y saldos realizados con partes vinculadas y señala que “La Sociedad realiza todas sus operaciones con partes vinculadas a valores de mercado”. Esta información es fundamental para poder deducir si la empresa está operando a través de su estructura societaria para implementar estrategias de optimización fiscal. También presenta información sobre la financiación intragrupo, indicando que la deuda con Accionistas Significativos (3.201 millones de euros) sobre el total de la deuda no corriente (4.680 millones de euros) es del 68%</w:t>
      </w:r>
      <w:r w:rsidRPr="00AD646E">
        <w:rPr>
          <w:rStyle w:val="Refdenotaalpie"/>
          <w:rFonts w:ascii="Open Sans" w:eastAsia="Calibri" w:hAnsi="Open Sans" w:cs="Open Sans"/>
          <w:sz w:val="20"/>
          <w:szCs w:val="20"/>
        </w:rPr>
        <w:footnoteReference w:id="410"/>
      </w:r>
      <w:r w:rsidRPr="00AD646E">
        <w:rPr>
          <w:rFonts w:ascii="Open Sans" w:eastAsia="Calibri" w:hAnsi="Open Sans" w:cs="Open Sans"/>
          <w:sz w:val="20"/>
          <w:szCs w:val="20"/>
        </w:rPr>
        <w:t>.</w:t>
      </w:r>
    </w:p>
    <w:p w14:paraId="74BC2116" w14:textId="77777777" w:rsidR="00F737BF" w:rsidRPr="00AD646E" w:rsidRDefault="00F737BF" w:rsidP="00F737BF">
      <w:pPr>
        <w:jc w:val="both"/>
        <w:rPr>
          <w:rFonts w:ascii="Open Sans" w:eastAsia="Calibri" w:hAnsi="Open Sans" w:cs="Open Sans"/>
          <w:sz w:val="20"/>
          <w:szCs w:val="20"/>
        </w:rPr>
      </w:pPr>
    </w:p>
    <w:p w14:paraId="704E3EED" w14:textId="77777777" w:rsidR="00F737BF" w:rsidRPr="00AD646E" w:rsidRDefault="00F737BF" w:rsidP="00F737BF">
      <w:pPr>
        <w:jc w:val="both"/>
        <w:rPr>
          <w:rFonts w:ascii="Open Sans" w:eastAsia="Calibri" w:hAnsi="Open Sans" w:cs="Open Sans"/>
          <w:sz w:val="20"/>
          <w:szCs w:val="20"/>
        </w:rPr>
      </w:pPr>
      <w:r w:rsidRPr="00AD646E">
        <w:rPr>
          <w:rFonts w:ascii="Open Sans" w:eastAsia="Calibri" w:hAnsi="Open Sans" w:cs="Open Sans"/>
          <w:sz w:val="20"/>
          <w:szCs w:val="20"/>
        </w:rPr>
        <w:t>Endesa informa del montante total de intereses a tipo fijo (3.002 Millones de Euros) y Variable (3.387 Millones de Euros) (En total, 6.389 Millones de Euros) así como de que el tipo de interés de referencia de la deuda contratada es “fundamentalmente”, Euribor, pero no informa sobre los diferenciales aplicados (que permitan contrastar si estos son o no de mercado) a las operaciones intragrupo, el porcentaje que representa el volumen de endeudamiento intragrupo respecto al volumen de endeudamiento total, el coste financiero de la deuda intragrupo o el coste financiero del total de la deuda.</w:t>
      </w:r>
    </w:p>
    <w:p w14:paraId="04D106B5" w14:textId="77777777" w:rsidR="00F737BF" w:rsidRPr="00AD646E" w:rsidRDefault="00F737BF" w:rsidP="00F737BF">
      <w:pPr>
        <w:jc w:val="both"/>
        <w:rPr>
          <w:rFonts w:ascii="Open Sans" w:eastAsia="Calibri" w:hAnsi="Open Sans" w:cs="Open Sans"/>
          <w:sz w:val="20"/>
          <w:szCs w:val="20"/>
        </w:rPr>
      </w:pPr>
    </w:p>
    <w:p w14:paraId="61FB03ED" w14:textId="77777777" w:rsidR="00F737BF" w:rsidRPr="00AD646E" w:rsidRDefault="00F737BF" w:rsidP="00F737BF">
      <w:pPr>
        <w:jc w:val="both"/>
        <w:rPr>
          <w:rFonts w:ascii="Open Sans" w:eastAsia="Calibri" w:hAnsi="Open Sans" w:cs="Open Sans"/>
          <w:sz w:val="20"/>
          <w:szCs w:val="20"/>
        </w:rPr>
      </w:pPr>
      <w:r w:rsidRPr="00AD646E">
        <w:rPr>
          <w:rFonts w:ascii="Open Sans" w:eastAsia="Calibri" w:hAnsi="Open Sans" w:cs="Open Sans"/>
          <w:sz w:val="20"/>
          <w:szCs w:val="20"/>
        </w:rPr>
        <w:t xml:space="preserve">No se ha encontrado información sobre qué sociedades gestionan los derechos de marca y propiedad intelectual, si bien la entidad indica a este Observatorio que no hay ninguna sociedad que gestione los derechos de marca o propiedad intelectual. </w:t>
      </w:r>
    </w:p>
    <w:p w14:paraId="4EBA1FB5" w14:textId="77777777" w:rsidR="00F32F9C" w:rsidRPr="006E23D9" w:rsidRDefault="00F32F9C" w:rsidP="00F32F9C">
      <w:pPr>
        <w:ind w:left="708"/>
        <w:jc w:val="both"/>
        <w:rPr>
          <w:rFonts w:ascii="Open Sans" w:eastAsia="Calibri" w:hAnsi="Open Sans" w:cs="Open Sans"/>
          <w:sz w:val="20"/>
          <w:szCs w:val="20"/>
        </w:rPr>
      </w:pPr>
    </w:p>
    <w:p w14:paraId="555F51B9" w14:textId="77777777" w:rsidR="00F32F9C" w:rsidRPr="006E23D9" w:rsidRDefault="00F32F9C" w:rsidP="00F32F9C">
      <w:pPr>
        <w:jc w:val="both"/>
        <w:rPr>
          <w:rFonts w:ascii="Open Sans" w:hAnsi="Open Sans" w:cs="Open Sans"/>
          <w:sz w:val="20"/>
          <w:szCs w:val="20"/>
        </w:rPr>
      </w:pPr>
    </w:p>
    <w:p w14:paraId="44CF006C" w14:textId="77777777" w:rsidR="00F32F9C" w:rsidRPr="0052487D" w:rsidRDefault="00F32F9C" w:rsidP="0052487D">
      <w:pPr>
        <w:rPr>
          <w:rFonts w:ascii="Open Sans" w:hAnsi="Open Sans" w:cs="Arial"/>
          <w:b/>
          <w:sz w:val="22"/>
          <w:szCs w:val="22"/>
          <w:u w:val="single"/>
        </w:rPr>
      </w:pPr>
      <w:r w:rsidRPr="0052487D">
        <w:rPr>
          <w:rFonts w:ascii="Open Sans" w:hAnsi="Open Sans" w:cs="Arial"/>
          <w:b/>
          <w:sz w:val="22"/>
          <w:szCs w:val="22"/>
          <w:u w:val="single"/>
        </w:rPr>
        <w:t>5. Conclusiones</w:t>
      </w:r>
    </w:p>
    <w:p w14:paraId="544FFD62" w14:textId="77777777" w:rsidR="00F32F9C" w:rsidRPr="006E23D9" w:rsidRDefault="00F32F9C" w:rsidP="00F32F9C">
      <w:pPr>
        <w:ind w:left="708"/>
        <w:rPr>
          <w:rFonts w:ascii="Open Sans" w:hAnsi="Open Sans" w:cs="Open Sans"/>
          <w:bCs/>
          <w:sz w:val="20"/>
          <w:szCs w:val="20"/>
        </w:rPr>
      </w:pPr>
    </w:p>
    <w:p w14:paraId="2EC70DB7" w14:textId="77777777" w:rsidR="00893F59" w:rsidRPr="00AD646E" w:rsidRDefault="00893F59" w:rsidP="00893F59">
      <w:pPr>
        <w:pStyle w:val="Default"/>
        <w:jc w:val="both"/>
        <w:rPr>
          <w:rFonts w:ascii="Open Sans" w:hAnsi="Open Sans" w:cs="Open Sans"/>
          <w:color w:val="auto"/>
          <w:sz w:val="20"/>
          <w:szCs w:val="20"/>
        </w:rPr>
      </w:pPr>
      <w:r w:rsidRPr="00AD646E">
        <w:rPr>
          <w:rFonts w:ascii="Open Sans" w:hAnsi="Open Sans" w:cs="Open Sans"/>
          <w:color w:val="auto"/>
          <w:sz w:val="20"/>
          <w:szCs w:val="20"/>
        </w:rPr>
        <w:t xml:space="preserve">La valoración global de la transparencia de Endesa en el ámbito fiscal es de </w:t>
      </w:r>
      <w:r w:rsidRPr="00AD646E">
        <w:rPr>
          <w:rFonts w:ascii="Open Sans" w:hAnsi="Open Sans" w:cs="Open Sans"/>
          <w:b/>
          <w:color w:val="auto"/>
          <w:sz w:val="20"/>
          <w:szCs w:val="20"/>
        </w:rPr>
        <w:t>0,93</w:t>
      </w:r>
      <w:r w:rsidRPr="00AD646E">
        <w:rPr>
          <w:rFonts w:ascii="Open Sans" w:hAnsi="Open Sans" w:cs="Open Sans"/>
          <w:color w:val="auto"/>
          <w:sz w:val="20"/>
          <w:szCs w:val="20"/>
        </w:rPr>
        <w:t xml:space="preserve"> sobre un máximo de 3, lo que equivale a una </w:t>
      </w:r>
      <w:r w:rsidRPr="00AD646E">
        <w:rPr>
          <w:rFonts w:ascii="Open Sans" w:hAnsi="Open Sans" w:cs="Open Sans"/>
          <w:i/>
          <w:color w:val="auto"/>
          <w:sz w:val="20"/>
          <w:szCs w:val="20"/>
        </w:rPr>
        <w:t>información escasa</w:t>
      </w:r>
      <w:r w:rsidRPr="00AD646E">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(1,20), seguidos de “relaciones con Administraciones Tributarias” (1,00), “paraísos y nichos fiscales” (1,17), e “impuestos e incentivos” (0,33). </w:t>
      </w:r>
    </w:p>
    <w:p w14:paraId="25660278" w14:textId="77777777" w:rsidR="00893F59" w:rsidRPr="00AD646E" w:rsidRDefault="00893F59" w:rsidP="00893F59">
      <w:pPr>
        <w:jc w:val="both"/>
        <w:rPr>
          <w:rFonts w:ascii="Open Sans" w:hAnsi="Open Sans" w:cs="Open Sans"/>
          <w:sz w:val="20"/>
          <w:szCs w:val="20"/>
        </w:rPr>
      </w:pPr>
    </w:p>
    <w:p w14:paraId="55797907" w14:textId="77777777" w:rsidR="00893F59" w:rsidRPr="00AD646E" w:rsidRDefault="00893F59" w:rsidP="00893F59">
      <w:pPr>
        <w:jc w:val="both"/>
        <w:rPr>
          <w:rFonts w:ascii="Open Sans" w:eastAsia="Calibri" w:hAnsi="Open Sans" w:cs="Open Sans"/>
          <w:sz w:val="20"/>
          <w:szCs w:val="20"/>
        </w:rPr>
      </w:pPr>
      <w:r w:rsidRPr="00AD646E">
        <w:rPr>
          <w:rFonts w:ascii="Open Sans" w:hAnsi="Open Sans" w:cs="Open Sans"/>
          <w:sz w:val="20"/>
          <w:szCs w:val="20"/>
        </w:rPr>
        <w:t>Tras analizar la documentación publicada por Endesa</w:t>
      </w:r>
      <w:r w:rsidRPr="00AD646E">
        <w:rPr>
          <w:rFonts w:ascii="Open Sans" w:eastAsia="Calibri" w:hAnsi="Open Sans" w:cs="Open Sans"/>
          <w:sz w:val="20"/>
          <w:szCs w:val="20"/>
        </w:rPr>
        <w:t xml:space="preserve"> en relación a su actividad fiscal en 2015, se observa que la Compañía ha realizado un esfuerzo en cuanto a trasparencia fiscal pudiendo profundizar en otros aspectos como incentivos fiscales, diferencias ente tasas impositivas o reorganizando la información de acuerdo al estándar </w:t>
      </w:r>
      <w:r w:rsidRPr="00AD646E">
        <w:rPr>
          <w:rFonts w:ascii="Open Sans" w:hAnsi="Open Sans" w:cs="Open Sans"/>
          <w:i/>
          <w:sz w:val="20"/>
          <w:szCs w:val="20"/>
        </w:rPr>
        <w:t>country by country</w:t>
      </w:r>
      <w:r w:rsidRPr="00AD646E">
        <w:rPr>
          <w:rFonts w:ascii="Open Sans" w:eastAsia="Calibri" w:hAnsi="Open Sans" w:cs="Open Sans"/>
          <w:sz w:val="20"/>
          <w:szCs w:val="20"/>
        </w:rPr>
        <w:t>, que como la propia empresa señala, será obligatorio a partir del 1/1/2016.</w:t>
      </w:r>
    </w:p>
    <w:p w14:paraId="3024EDAA" w14:textId="77777777" w:rsidR="00893F59" w:rsidRPr="00AD646E" w:rsidRDefault="00893F59" w:rsidP="00893F59">
      <w:pPr>
        <w:jc w:val="both"/>
        <w:rPr>
          <w:rFonts w:ascii="Open Sans" w:eastAsia="Calibri" w:hAnsi="Open Sans" w:cs="Open Sans"/>
          <w:sz w:val="20"/>
          <w:szCs w:val="20"/>
        </w:rPr>
      </w:pPr>
    </w:p>
    <w:p w14:paraId="13BE70B9" w14:textId="77777777" w:rsidR="00893F59" w:rsidRPr="00AD646E" w:rsidRDefault="00893F59" w:rsidP="00893F59">
      <w:pPr>
        <w:jc w:val="both"/>
        <w:rPr>
          <w:rFonts w:ascii="Open Sans" w:eastAsia="Calibri" w:hAnsi="Open Sans" w:cs="Open Sans"/>
          <w:sz w:val="20"/>
          <w:szCs w:val="20"/>
        </w:rPr>
      </w:pPr>
      <w:r w:rsidRPr="00AD646E">
        <w:rPr>
          <w:rFonts w:ascii="Open Sans" w:eastAsia="Calibri" w:hAnsi="Open Sans" w:cs="Open Sans"/>
          <w:sz w:val="20"/>
          <w:szCs w:val="20"/>
        </w:rPr>
        <w:t>No obstante es de destacar su escasa presencia en paraísos y nichos fiscales. Su</w:t>
      </w:r>
      <w:r w:rsidRPr="00AD646E">
        <w:rPr>
          <w:rFonts w:ascii="Open Sans" w:hAnsi="Open Sans" w:cs="Open Sans"/>
          <w:sz w:val="20"/>
          <w:szCs w:val="20"/>
        </w:rPr>
        <w:t xml:space="preserve"> </w:t>
      </w:r>
      <w:r w:rsidRPr="00AD646E">
        <w:rPr>
          <w:rFonts w:ascii="Open Sans" w:eastAsia="Calibri" w:hAnsi="Open Sans" w:cs="Open Sans"/>
          <w:sz w:val="20"/>
          <w:szCs w:val="20"/>
        </w:rPr>
        <w:t>estrategia fiscal deja constancia de su renuncia a las operaciones o estructuras que únicamente persigan una ventaja fiscal y no respondan a motivos empresariales o no guarden relación con la localización de los recursos materiales y personales, de las actividades y de los riesgos empresariales de la Sociedad.</w:t>
      </w:r>
    </w:p>
    <w:p w14:paraId="0BF71425" w14:textId="77777777" w:rsidR="00893F59" w:rsidRPr="00AD646E" w:rsidRDefault="00893F59" w:rsidP="00893F59">
      <w:pPr>
        <w:jc w:val="both"/>
        <w:rPr>
          <w:rFonts w:ascii="Open Sans" w:eastAsia="Calibri" w:hAnsi="Open Sans" w:cs="Open Sans"/>
          <w:sz w:val="20"/>
          <w:szCs w:val="20"/>
        </w:rPr>
      </w:pPr>
    </w:p>
    <w:p w14:paraId="20CC85FE" w14:textId="77777777" w:rsidR="00893F59" w:rsidRPr="00AD646E" w:rsidRDefault="00893F59" w:rsidP="00893F59">
      <w:pPr>
        <w:jc w:val="both"/>
        <w:rPr>
          <w:rFonts w:ascii="Open Sans" w:hAnsi="Open Sans" w:cs="Open Sans"/>
          <w:sz w:val="20"/>
          <w:szCs w:val="20"/>
        </w:rPr>
      </w:pPr>
      <w:r w:rsidRPr="00AD646E">
        <w:rPr>
          <w:rFonts w:ascii="Open Sans" w:hAnsi="Open Sans" w:cs="Open Sans"/>
          <w:sz w:val="20"/>
          <w:szCs w:val="20"/>
        </w:rPr>
        <w:t xml:space="preserve">De los países que más información se aporta es de aquellos expuestos a riesgo medio-bajo (España y Portugal), mientras que para aquellos expuestos a riesgo alto (Marruecos) o Nicho fiscal (Holanda y Luxemburgo) la cobertura informativa es deficiente. </w:t>
      </w:r>
    </w:p>
    <w:p w14:paraId="613D1DBD" w14:textId="77777777" w:rsidR="00893F59" w:rsidRPr="00AD646E" w:rsidRDefault="00893F59" w:rsidP="00893F59">
      <w:pPr>
        <w:jc w:val="both"/>
        <w:rPr>
          <w:rFonts w:ascii="Open Sans" w:hAnsi="Open Sans" w:cs="Open Sans"/>
          <w:sz w:val="20"/>
          <w:szCs w:val="20"/>
        </w:rPr>
      </w:pPr>
    </w:p>
    <w:p w14:paraId="00AACBE8" w14:textId="77777777" w:rsidR="00893F59" w:rsidRPr="00AD646E" w:rsidRDefault="00893F59" w:rsidP="00893F59">
      <w:pPr>
        <w:jc w:val="both"/>
        <w:rPr>
          <w:rFonts w:ascii="Open Sans" w:hAnsi="Open Sans" w:cs="Open Sans"/>
          <w:sz w:val="20"/>
          <w:szCs w:val="20"/>
        </w:rPr>
      </w:pPr>
      <w:r w:rsidRPr="00AD646E">
        <w:rPr>
          <w:rFonts w:ascii="Open Sans" w:hAnsi="Open Sans" w:cs="Open Sans"/>
          <w:sz w:val="20"/>
          <w:szCs w:val="20"/>
        </w:rPr>
        <w:t xml:space="preserve">Se observa una mejora de la calidad de la información proporcionada. Aunque hay una mejora susceptible en algunos aspectos –información más sintetizada y detallada país por país y compañía. </w:t>
      </w:r>
    </w:p>
    <w:p w14:paraId="335D3A81" w14:textId="77777777" w:rsidR="00893F59" w:rsidRPr="00AD646E" w:rsidRDefault="00893F59" w:rsidP="00893F59">
      <w:pPr>
        <w:jc w:val="both"/>
        <w:rPr>
          <w:rFonts w:ascii="Open Sans" w:hAnsi="Open Sans" w:cs="Open Sans"/>
          <w:sz w:val="20"/>
          <w:szCs w:val="20"/>
        </w:rPr>
      </w:pPr>
    </w:p>
    <w:p w14:paraId="1A9A3BB0" w14:textId="77777777" w:rsidR="00893F59" w:rsidRPr="00AD646E" w:rsidRDefault="00893F59" w:rsidP="00893F59">
      <w:pPr>
        <w:jc w:val="both"/>
        <w:rPr>
          <w:rFonts w:ascii="Open Sans" w:hAnsi="Open Sans" w:cs="Open Sans"/>
          <w:color w:val="141413"/>
          <w:sz w:val="20"/>
          <w:szCs w:val="20"/>
        </w:rPr>
      </w:pPr>
      <w:r w:rsidRPr="00AD646E">
        <w:rPr>
          <w:rFonts w:ascii="Open Sans" w:hAnsi="Open Sans" w:cs="Open Sans"/>
          <w:sz w:val="20"/>
          <w:szCs w:val="20"/>
        </w:rPr>
        <w:t>Endesa no indica de forma explícita los riesgos de las actividades que realiza en relación a la corrupción y al blanqueo de capitales. La empresa dispone de un Plan de Tolerancia Cero contra la Corrupción, pero no se aportan resultados suficientes que permitan evaluar la efectividad de dicho Plan. De acuerdo al Código Ético y al Plan de Tolerancia Cero con la Corrupción, Endesa no hace donaciones a partidos políticos. Sin embargo, la vinculación de Endesa con el mundo de la política es más que evidente, pues varios ex altos cargos del Gobierno trabajan o han trabajado para Endesa. Sería necesario contar con más información y con compromisos explícitos de independencia de estos cargos de la empresa con respecto al poder político y actividades de lobby.</w:t>
      </w:r>
    </w:p>
    <w:p w14:paraId="29F07F3B" w14:textId="77777777" w:rsidR="00893F59" w:rsidRPr="00AD646E" w:rsidRDefault="00893F59" w:rsidP="00893F59">
      <w:pPr>
        <w:jc w:val="both"/>
        <w:rPr>
          <w:rFonts w:ascii="Open Sans" w:hAnsi="Open Sans" w:cs="Open Sans"/>
          <w:color w:val="141413"/>
          <w:sz w:val="20"/>
          <w:szCs w:val="20"/>
        </w:rPr>
      </w:pPr>
    </w:p>
    <w:p w14:paraId="0A4DC3AE" w14:textId="77777777" w:rsidR="00893F59" w:rsidRPr="00AD646E" w:rsidRDefault="00893F59" w:rsidP="00893F59">
      <w:pPr>
        <w:shd w:val="clear" w:color="auto" w:fill="FFFFFF"/>
        <w:jc w:val="both"/>
        <w:rPr>
          <w:rFonts w:ascii="Open Sans" w:hAnsi="Open Sans" w:cs="Open Sans"/>
          <w:sz w:val="20"/>
          <w:szCs w:val="20"/>
        </w:rPr>
      </w:pPr>
      <w:r w:rsidRPr="00AD646E">
        <w:rPr>
          <w:rFonts w:ascii="Open Sans" w:hAnsi="Open Sans" w:cs="Open Sans"/>
          <w:color w:val="000000"/>
          <w:sz w:val="20"/>
          <w:szCs w:val="20"/>
        </w:rPr>
        <w:t>La información sobre los litigios es bastante completa. Con la pérdida de su carácter “multinacional” centrándose en el mercado ibérico, s</w:t>
      </w:r>
      <w:r w:rsidRPr="00AD646E">
        <w:rPr>
          <w:rFonts w:ascii="Open Sans" w:hAnsi="Open Sans" w:cs="Open Sans"/>
          <w:sz w:val="20"/>
          <w:szCs w:val="20"/>
        </w:rPr>
        <w:t>e aportan datos principalmente para España y Portugal, agrupando los datos para los demás países. Ha de subrayarse que la mayor parte de los riesgos en materia de fiscalidad de Endesa se producen precisamente en ese resto de países.</w:t>
      </w:r>
    </w:p>
    <w:p w14:paraId="64589FBF" w14:textId="77777777" w:rsidR="00893F59" w:rsidRPr="00AD646E" w:rsidRDefault="00893F59" w:rsidP="00893F59">
      <w:pPr>
        <w:jc w:val="both"/>
        <w:rPr>
          <w:rFonts w:ascii="Open Sans" w:hAnsi="Open Sans" w:cs="Open Sans"/>
          <w:sz w:val="20"/>
          <w:szCs w:val="20"/>
          <w:highlight w:val="yellow"/>
        </w:rPr>
      </w:pPr>
    </w:p>
    <w:p w14:paraId="36F5470E" w14:textId="77777777" w:rsidR="00893F59" w:rsidRPr="00AD646E" w:rsidRDefault="00893F59" w:rsidP="00893F59">
      <w:pPr>
        <w:jc w:val="both"/>
        <w:rPr>
          <w:rFonts w:ascii="Open Sans" w:hAnsi="Open Sans" w:cs="Open Sans"/>
          <w:bCs/>
          <w:sz w:val="20"/>
          <w:szCs w:val="20"/>
        </w:rPr>
      </w:pPr>
      <w:r w:rsidRPr="00AD646E">
        <w:rPr>
          <w:rFonts w:ascii="Open Sans" w:hAnsi="Open Sans" w:cs="Open Sans"/>
          <w:bCs/>
          <w:sz w:val="20"/>
          <w:szCs w:val="20"/>
        </w:rPr>
        <w:t xml:space="preserve">Ha de reconocerse el esfuerzo de transparencia y la creación de una estrategia fiscal, pero por la información proporcionada en este informe, </w:t>
      </w:r>
      <w:r w:rsidRPr="00AD646E">
        <w:rPr>
          <w:rFonts w:ascii="Open Sans" w:hAnsi="Open Sans" w:cs="Open Sans"/>
          <w:sz w:val="20"/>
          <w:szCs w:val="20"/>
        </w:rPr>
        <w:t>no hay evidencias en cuanto a la implementación o resultados de dicha estrategia probablemente por su breve recorrido.</w:t>
      </w:r>
    </w:p>
    <w:p w14:paraId="4F2D2205" w14:textId="77777777" w:rsidR="008D7155" w:rsidRPr="00F163EC" w:rsidRDefault="008D7155" w:rsidP="008D7155">
      <w:pPr>
        <w:autoSpaceDE w:val="0"/>
        <w:autoSpaceDN w:val="0"/>
        <w:adjustRightInd w:val="0"/>
        <w:jc w:val="both"/>
        <w:rPr>
          <w:rFonts w:ascii="Open Sans" w:hAnsi="Open Sans" w:cs="Open Sans"/>
          <w:bCs/>
          <w:sz w:val="20"/>
          <w:szCs w:val="20"/>
        </w:rPr>
      </w:pPr>
    </w:p>
    <w:p w14:paraId="117F0797" w14:textId="77777777" w:rsidR="008D7155" w:rsidRDefault="008D7155" w:rsidP="008D7155">
      <w:pPr>
        <w:jc w:val="both"/>
        <w:rPr>
          <w:rFonts w:ascii="Open Sans" w:eastAsia="Calibri" w:hAnsi="Open Sans" w:cs="Open Sans"/>
          <w:sz w:val="20"/>
          <w:szCs w:val="20"/>
        </w:rPr>
      </w:pPr>
    </w:p>
    <w:p w14:paraId="1B12506D" w14:textId="77777777" w:rsidR="00382BDC" w:rsidRDefault="00382BDC">
      <w:pPr>
        <w:rPr>
          <w:rFonts w:ascii="Open Sans" w:hAnsi="Open Sans" w:cs="Open Sans"/>
          <w:sz w:val="20"/>
          <w:szCs w:val="20"/>
        </w:rPr>
      </w:pPr>
    </w:p>
    <w:p w14:paraId="76FB9D2F" w14:textId="44A4C2FA" w:rsidR="008D7AFA" w:rsidRDefault="008D7AFA">
      <w:pPr>
        <w:rPr>
          <w:rFonts w:ascii="Open Sans" w:hAnsi="Open Sans" w:cs="Open Sans"/>
          <w:sz w:val="20"/>
          <w:szCs w:val="20"/>
        </w:rPr>
      </w:pPr>
      <w:r>
        <w:rPr>
          <w:rFonts w:ascii="Open Sans" w:hAnsi="Open Sans" w:cs="Open Sans"/>
          <w:sz w:val="20"/>
          <w:szCs w:val="20"/>
        </w:rPr>
        <w:br w:type="page"/>
      </w:r>
    </w:p>
    <w:p w14:paraId="07AA7633" w14:textId="77777777" w:rsidR="00C275FF" w:rsidRPr="00A84296" w:rsidRDefault="00C275FF" w:rsidP="00C275F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84" w:name="Gamesa"/>
      <w:r>
        <w:rPr>
          <w:rFonts w:ascii="Open Sans" w:hAnsi="Open Sans" w:cs="Arial"/>
          <w:b/>
          <w:caps/>
          <w:color w:val="FFFFFF"/>
        </w:rPr>
        <w:t>GAMESA CORPORACIÓN TECNOLÓGICA S.A.</w:t>
      </w:r>
      <w:bookmarkEnd w:id="84"/>
    </w:p>
    <w:p w14:paraId="318546CA" w14:textId="77777777" w:rsidR="00C275FF" w:rsidRPr="00914337" w:rsidRDefault="00C275FF" w:rsidP="00C275FF">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cs="Arial"/>
          <w:b/>
          <w:i/>
          <w:color w:val="FFFFFF"/>
        </w:rPr>
        <w:t>(Gamesa</w:t>
      </w:r>
      <w:r w:rsidRPr="00914337">
        <w:rPr>
          <w:rFonts w:ascii="Open Sans" w:hAnsi="Open Sans" w:cs="Arial"/>
          <w:b/>
          <w:i/>
          <w:color w:val="FFFFFF"/>
        </w:rPr>
        <w:t>)</w:t>
      </w:r>
    </w:p>
    <w:p w14:paraId="60F97910" w14:textId="77777777" w:rsidR="00C275FF" w:rsidRPr="00724C1E" w:rsidRDefault="00C275FF" w:rsidP="00C275FF">
      <w:pPr>
        <w:spacing w:before="120" w:after="120" w:line="360" w:lineRule="auto"/>
        <w:jc w:val="both"/>
        <w:rPr>
          <w:rFonts w:ascii="Open Sans" w:hAnsi="Open Sans" w:cs="Open Sans"/>
          <w:b/>
          <w:bCs/>
          <w:color w:val="002060"/>
          <w:sz w:val="20"/>
          <w:szCs w:val="20"/>
        </w:rPr>
      </w:pPr>
    </w:p>
    <w:p w14:paraId="69F06655" w14:textId="77777777" w:rsidR="0099187E" w:rsidRPr="00724C1E" w:rsidRDefault="0099187E" w:rsidP="0099187E">
      <w:pPr>
        <w:jc w:val="both"/>
        <w:outlineLvl w:val="5"/>
        <w:rPr>
          <w:rFonts w:ascii="Open Sans" w:hAnsi="Open Sans" w:cs="Open Sans"/>
          <w:b/>
          <w:sz w:val="20"/>
          <w:szCs w:val="20"/>
          <w:u w:val="single"/>
        </w:rPr>
      </w:pPr>
      <w:r w:rsidRPr="00724C1E">
        <w:rPr>
          <w:rFonts w:ascii="Open Sans" w:hAnsi="Open Sans" w:cs="Open Sans"/>
          <w:b/>
          <w:sz w:val="20"/>
          <w:szCs w:val="20"/>
          <w:u w:val="single"/>
        </w:rPr>
        <w:t>1. Datos generales de la entidad</w:t>
      </w:r>
    </w:p>
    <w:p w14:paraId="4692C5C3" w14:textId="77777777" w:rsidR="0099187E" w:rsidRPr="00724C1E" w:rsidRDefault="0099187E" w:rsidP="0099187E">
      <w:pPr>
        <w:jc w:val="both"/>
        <w:rPr>
          <w:rFonts w:ascii="Open Sans" w:hAnsi="Open Sans" w:cs="Open Sans"/>
          <w:sz w:val="20"/>
          <w:szCs w:val="20"/>
          <w:u w:val="single"/>
        </w:rPr>
      </w:pPr>
    </w:p>
    <w:p w14:paraId="07B99F7D" w14:textId="77777777" w:rsidR="0099187E" w:rsidRPr="00724C1E" w:rsidRDefault="0099187E" w:rsidP="0099187E">
      <w:pPr>
        <w:jc w:val="both"/>
        <w:rPr>
          <w:rFonts w:ascii="Open Sans" w:hAnsi="Open Sans" w:cs="Open Sans"/>
          <w:sz w:val="20"/>
          <w:szCs w:val="20"/>
        </w:rPr>
      </w:pPr>
      <w:r w:rsidRPr="00724C1E">
        <w:rPr>
          <w:rFonts w:ascii="Open Sans" w:hAnsi="Open Sans" w:cs="Open Sans"/>
          <w:sz w:val="20"/>
          <w:szCs w:val="20"/>
          <w:u w:val="single"/>
        </w:rPr>
        <w:t>Productos/servicios</w:t>
      </w:r>
    </w:p>
    <w:p w14:paraId="7728231F" w14:textId="77777777" w:rsidR="0099187E" w:rsidRPr="00724C1E" w:rsidRDefault="0099187E" w:rsidP="0099187E">
      <w:pPr>
        <w:jc w:val="both"/>
        <w:rPr>
          <w:rFonts w:ascii="Open Sans" w:hAnsi="Open Sans" w:cs="Open Sans"/>
          <w:sz w:val="20"/>
          <w:szCs w:val="20"/>
        </w:rPr>
      </w:pPr>
    </w:p>
    <w:p w14:paraId="59D85C9D" w14:textId="77777777" w:rsidR="0099187E" w:rsidRPr="00724C1E" w:rsidRDefault="0099187E" w:rsidP="0099187E">
      <w:pPr>
        <w:jc w:val="both"/>
        <w:rPr>
          <w:rFonts w:ascii="Open Sans" w:hAnsi="Open Sans" w:cs="Open Sans"/>
          <w:sz w:val="20"/>
          <w:szCs w:val="20"/>
        </w:rPr>
      </w:pPr>
      <w:r w:rsidRPr="00724C1E">
        <w:rPr>
          <w:rFonts w:ascii="Open Sans" w:hAnsi="Open Sans" w:cs="Open Sans"/>
          <w:sz w:val="20"/>
          <w:szCs w:val="20"/>
        </w:rPr>
        <w:t xml:space="preserve">De acuerdo con </w:t>
      </w:r>
      <w:r>
        <w:rPr>
          <w:rFonts w:ascii="Open Sans" w:hAnsi="Open Sans" w:cs="Open Sans"/>
          <w:sz w:val="20"/>
          <w:szCs w:val="20"/>
        </w:rPr>
        <w:t xml:space="preserve">los </w:t>
      </w:r>
      <w:r w:rsidRPr="00F06308">
        <w:rPr>
          <w:rFonts w:ascii="Open Sans" w:hAnsi="Open Sans" w:cs="Open Sans"/>
          <w:sz w:val="20"/>
          <w:szCs w:val="20"/>
        </w:rPr>
        <w:t>Estatutos de la Sociedad Gamesa Corporación Tecnológica, S.A</w:t>
      </w:r>
      <w:r w:rsidRPr="00724C1E">
        <w:rPr>
          <w:rFonts w:ascii="Open Sans" w:hAnsi="Open Sans" w:cs="Open Sans"/>
          <w:sz w:val="20"/>
          <w:szCs w:val="20"/>
        </w:rPr>
        <w:t xml:space="preserve"> (en adelante</w:t>
      </w:r>
      <w:r>
        <w:rPr>
          <w:rFonts w:ascii="Open Sans" w:hAnsi="Open Sans" w:cs="Open Sans"/>
          <w:sz w:val="20"/>
          <w:szCs w:val="20"/>
        </w:rPr>
        <w:t xml:space="preserve"> Gamesa),</w:t>
      </w:r>
      <w:r w:rsidRPr="00724C1E">
        <w:rPr>
          <w:rFonts w:ascii="Open Sans" w:hAnsi="Open Sans" w:cs="Open Sans"/>
          <w:sz w:val="20"/>
          <w:szCs w:val="20"/>
        </w:rPr>
        <w:t xml:space="preserve"> </w:t>
      </w:r>
      <w:r>
        <w:rPr>
          <w:rFonts w:ascii="Open Sans" w:hAnsi="Open Sans" w:cs="Open Sans"/>
          <w:sz w:val="20"/>
          <w:szCs w:val="20"/>
        </w:rPr>
        <w:t>Gamesa tiene por objeto social:</w:t>
      </w:r>
    </w:p>
    <w:p w14:paraId="5C65D2B8" w14:textId="77777777" w:rsidR="0099187E" w:rsidRPr="00724C1E" w:rsidRDefault="0099187E" w:rsidP="0099187E">
      <w:pPr>
        <w:jc w:val="both"/>
        <w:rPr>
          <w:rFonts w:ascii="Open Sans" w:hAnsi="Open Sans" w:cs="Open Sans"/>
          <w:sz w:val="20"/>
          <w:szCs w:val="20"/>
        </w:rPr>
      </w:pPr>
      <w:r w:rsidRPr="00724C1E">
        <w:rPr>
          <w:rFonts w:ascii="Open Sans" w:hAnsi="Open Sans" w:cs="Open Sans"/>
          <w:sz w:val="20"/>
          <w:szCs w:val="20"/>
        </w:rPr>
        <w:t xml:space="preserve"> </w:t>
      </w:r>
    </w:p>
    <w:p w14:paraId="4951B4F6" w14:textId="77777777" w:rsidR="0099187E" w:rsidRDefault="0099187E" w:rsidP="0099187E">
      <w:pPr>
        <w:jc w:val="both"/>
        <w:rPr>
          <w:rFonts w:ascii="Open Sans" w:hAnsi="Open Sans" w:cs="Open Sans"/>
          <w:sz w:val="20"/>
          <w:szCs w:val="20"/>
        </w:rPr>
      </w:pPr>
      <w:r w:rsidRPr="00F06308">
        <w:rPr>
          <w:rFonts w:ascii="Open Sans" w:hAnsi="Open Sans" w:cs="Open Sans"/>
          <w:sz w:val="20"/>
          <w:szCs w:val="20"/>
        </w:rPr>
        <w:t>1. La Sociedad tiene por objeto la promoción y el fomento de empresas, para lo cual podrá efectuar las siguientes operaciones:</w:t>
      </w:r>
    </w:p>
    <w:p w14:paraId="5E980C38" w14:textId="77777777" w:rsidR="0099187E" w:rsidRDefault="0099187E" w:rsidP="0099187E">
      <w:pPr>
        <w:jc w:val="both"/>
        <w:rPr>
          <w:rFonts w:ascii="Open Sans" w:hAnsi="Open Sans" w:cs="Open Sans"/>
          <w:sz w:val="20"/>
          <w:szCs w:val="20"/>
        </w:rPr>
      </w:pPr>
    </w:p>
    <w:p w14:paraId="0A19ABCB" w14:textId="77777777" w:rsidR="0099187E" w:rsidRPr="007725D0" w:rsidRDefault="0099187E" w:rsidP="000B70C9">
      <w:pPr>
        <w:numPr>
          <w:ilvl w:val="0"/>
          <w:numId w:val="102"/>
        </w:numPr>
        <w:jc w:val="both"/>
        <w:rPr>
          <w:rFonts w:ascii="Open Sans" w:hAnsi="Open Sans" w:cs="Open Sans"/>
          <w:sz w:val="20"/>
          <w:szCs w:val="20"/>
        </w:rPr>
      </w:pPr>
      <w:r w:rsidRPr="007725D0">
        <w:rPr>
          <w:rFonts w:ascii="Open Sans" w:hAnsi="Open Sans" w:cs="Open Sans"/>
          <w:sz w:val="20"/>
          <w:szCs w:val="20"/>
        </w:rPr>
        <w:t>Suscripción y adquisición de acciones o participaciones, o de valores convertibles en ellas o que otorguen derechos a su adquisición preferente, de sociedades cuyos títulos coticen o no en Bolsas de Valores nacionales o extranjeras.</w:t>
      </w:r>
    </w:p>
    <w:p w14:paraId="15E0505B" w14:textId="77777777" w:rsidR="0099187E" w:rsidRPr="007725D0" w:rsidRDefault="0099187E" w:rsidP="000B70C9">
      <w:pPr>
        <w:numPr>
          <w:ilvl w:val="0"/>
          <w:numId w:val="102"/>
        </w:numPr>
        <w:jc w:val="both"/>
        <w:rPr>
          <w:rFonts w:ascii="Open Sans" w:hAnsi="Open Sans" w:cs="Open Sans"/>
          <w:sz w:val="20"/>
          <w:szCs w:val="20"/>
        </w:rPr>
      </w:pPr>
      <w:r w:rsidRPr="007725D0">
        <w:rPr>
          <w:rFonts w:ascii="Open Sans" w:hAnsi="Open Sans" w:cs="Open Sans"/>
          <w:sz w:val="20"/>
          <w:szCs w:val="20"/>
        </w:rPr>
        <w:t>Suscripción y adquisición de títulos de renta fija o cualesquiera otros valores emitidos por las sociedades en las que participe así como la concesión de créditos participativos o garantías.</w:t>
      </w:r>
    </w:p>
    <w:p w14:paraId="59778315" w14:textId="77777777" w:rsidR="0099187E" w:rsidRPr="007725D0" w:rsidRDefault="0099187E" w:rsidP="000B70C9">
      <w:pPr>
        <w:numPr>
          <w:ilvl w:val="0"/>
          <w:numId w:val="102"/>
        </w:numPr>
        <w:jc w:val="both"/>
        <w:rPr>
          <w:rFonts w:ascii="Open Sans" w:hAnsi="Open Sans" w:cs="Open Sans"/>
          <w:sz w:val="20"/>
          <w:szCs w:val="20"/>
        </w:rPr>
      </w:pPr>
      <w:r w:rsidRPr="007725D0">
        <w:rPr>
          <w:rFonts w:ascii="Open Sans" w:hAnsi="Open Sans" w:cs="Open Sans"/>
          <w:sz w:val="20"/>
          <w:szCs w:val="20"/>
        </w:rPr>
        <w:t>Prestación, de forma directa, a las sociedades en las que participe, de servicios de asesoramiento, asistencia técnica y otros similares que guarden relación con la administración de sociedades participadas, con su estructura financiera o con sus procesos productivos o de comercialización.</w:t>
      </w:r>
    </w:p>
    <w:p w14:paraId="58EC962B" w14:textId="77777777" w:rsidR="0099187E" w:rsidRDefault="0099187E" w:rsidP="0099187E">
      <w:pPr>
        <w:jc w:val="both"/>
        <w:rPr>
          <w:rFonts w:ascii="Open Sans" w:hAnsi="Open Sans" w:cs="Open Sans"/>
          <w:sz w:val="20"/>
          <w:szCs w:val="20"/>
        </w:rPr>
      </w:pPr>
    </w:p>
    <w:p w14:paraId="0749CBC9" w14:textId="77777777" w:rsidR="0099187E" w:rsidRDefault="0099187E" w:rsidP="0099187E">
      <w:pPr>
        <w:jc w:val="both"/>
        <w:rPr>
          <w:rFonts w:ascii="Open Sans" w:hAnsi="Open Sans" w:cs="Open Sans"/>
          <w:sz w:val="20"/>
          <w:szCs w:val="20"/>
        </w:rPr>
      </w:pPr>
      <w:r w:rsidRPr="00F06308">
        <w:rPr>
          <w:rFonts w:ascii="Open Sans" w:hAnsi="Open Sans" w:cs="Open Sans"/>
          <w:sz w:val="20"/>
          <w:szCs w:val="20"/>
        </w:rPr>
        <w:t>2. Las actividades previstas en el apartado 1 se centrarán en la promoción, el diseño, desarrollo, fabricación y suministro de productos, instalaciones y servicios tecnológicamente avanzados en el sector de las energías renovables.</w:t>
      </w:r>
    </w:p>
    <w:p w14:paraId="351BA188" w14:textId="77777777" w:rsidR="0099187E" w:rsidRDefault="0099187E" w:rsidP="0099187E">
      <w:pPr>
        <w:jc w:val="both"/>
        <w:rPr>
          <w:rFonts w:ascii="Open Sans" w:hAnsi="Open Sans" w:cs="Open Sans"/>
          <w:sz w:val="20"/>
          <w:szCs w:val="20"/>
          <w:u w:val="single"/>
        </w:rPr>
      </w:pPr>
    </w:p>
    <w:p w14:paraId="1CEA3DEB" w14:textId="77777777" w:rsidR="0099187E" w:rsidRPr="00724C1E" w:rsidRDefault="0099187E" w:rsidP="0099187E">
      <w:pPr>
        <w:jc w:val="both"/>
        <w:rPr>
          <w:rFonts w:ascii="Open Sans" w:hAnsi="Open Sans" w:cs="Open Sans"/>
          <w:sz w:val="20"/>
          <w:szCs w:val="20"/>
          <w:u w:val="single"/>
        </w:rPr>
      </w:pPr>
    </w:p>
    <w:p w14:paraId="0010AB23" w14:textId="77777777" w:rsidR="0099187E" w:rsidRPr="00724C1E" w:rsidRDefault="0099187E" w:rsidP="0099187E">
      <w:pPr>
        <w:jc w:val="both"/>
        <w:rPr>
          <w:rFonts w:ascii="Open Sans" w:hAnsi="Open Sans" w:cs="Open Sans"/>
          <w:sz w:val="20"/>
          <w:szCs w:val="20"/>
        </w:rPr>
      </w:pPr>
      <w:r w:rsidRPr="00724C1E">
        <w:rPr>
          <w:rFonts w:ascii="Open Sans" w:hAnsi="Open Sans" w:cs="Open Sans"/>
          <w:sz w:val="20"/>
          <w:szCs w:val="20"/>
          <w:u w:val="single"/>
        </w:rPr>
        <w:t xml:space="preserve">Alcance geográfico </w:t>
      </w:r>
    </w:p>
    <w:p w14:paraId="1A821131" w14:textId="77777777" w:rsidR="0099187E" w:rsidRPr="00724C1E" w:rsidRDefault="0099187E" w:rsidP="0099187E">
      <w:pPr>
        <w:jc w:val="both"/>
        <w:rPr>
          <w:rFonts w:ascii="Open Sans" w:hAnsi="Open Sans" w:cs="Open Sans"/>
          <w:sz w:val="20"/>
          <w:szCs w:val="20"/>
        </w:rPr>
      </w:pPr>
    </w:p>
    <w:p w14:paraId="0ADA567A" w14:textId="77777777" w:rsidR="0099187E" w:rsidRPr="00724C1E" w:rsidRDefault="0099187E" w:rsidP="0099187E">
      <w:pPr>
        <w:jc w:val="both"/>
        <w:rPr>
          <w:rFonts w:ascii="Open Sans" w:hAnsi="Open Sans" w:cs="Open Sans"/>
          <w:sz w:val="20"/>
          <w:szCs w:val="20"/>
        </w:rPr>
      </w:pPr>
      <w:r>
        <w:rPr>
          <w:rFonts w:ascii="Open Sans" w:hAnsi="Open Sans" w:cs="Open Sans"/>
          <w:sz w:val="20"/>
          <w:szCs w:val="20"/>
        </w:rPr>
        <w:t>En el año 2015, Gamesa</w:t>
      </w:r>
      <w:r w:rsidRPr="00724C1E">
        <w:rPr>
          <w:rFonts w:ascii="Open Sans" w:hAnsi="Open Sans" w:cs="Open Sans"/>
          <w:sz w:val="20"/>
          <w:szCs w:val="20"/>
        </w:rPr>
        <w:t xml:space="preserve"> opera o tiene presencia en </w:t>
      </w:r>
      <w:r>
        <w:rPr>
          <w:rFonts w:ascii="Open Sans" w:hAnsi="Open Sans" w:cs="Open Sans"/>
          <w:sz w:val="20"/>
          <w:szCs w:val="20"/>
        </w:rPr>
        <w:t>54</w:t>
      </w:r>
      <w:r w:rsidRPr="00724C1E">
        <w:rPr>
          <w:rFonts w:ascii="Open Sans" w:hAnsi="Open Sans" w:cs="Open Sans"/>
          <w:sz w:val="20"/>
          <w:szCs w:val="20"/>
        </w:rPr>
        <w:t xml:space="preserve"> países: </w:t>
      </w:r>
      <w:r w:rsidRPr="00F06308">
        <w:rPr>
          <w:rFonts w:ascii="Open Sans" w:hAnsi="Open Sans" w:cs="Open Sans"/>
          <w:sz w:val="20"/>
          <w:szCs w:val="20"/>
        </w:rPr>
        <w:t>Alemania,</w:t>
      </w:r>
      <w:r>
        <w:rPr>
          <w:rFonts w:ascii="Open Sans" w:hAnsi="Open Sans" w:cs="Open Sans"/>
          <w:sz w:val="20"/>
          <w:szCs w:val="20"/>
        </w:rPr>
        <w:t xml:space="preserve"> </w:t>
      </w:r>
      <w:r w:rsidRPr="00F06308">
        <w:rPr>
          <w:rFonts w:ascii="Open Sans" w:hAnsi="Open Sans" w:cs="Open Sans"/>
          <w:sz w:val="20"/>
          <w:szCs w:val="20"/>
        </w:rPr>
        <w:t>Argelia,</w:t>
      </w:r>
      <w:r>
        <w:rPr>
          <w:rFonts w:ascii="Open Sans" w:hAnsi="Open Sans" w:cs="Open Sans"/>
          <w:sz w:val="20"/>
          <w:szCs w:val="20"/>
        </w:rPr>
        <w:t xml:space="preserve"> </w:t>
      </w:r>
      <w:r w:rsidRPr="00F06308">
        <w:rPr>
          <w:rFonts w:ascii="Open Sans" w:hAnsi="Open Sans" w:cs="Open Sans"/>
          <w:sz w:val="20"/>
          <w:szCs w:val="20"/>
        </w:rPr>
        <w:t>Argentina,</w:t>
      </w:r>
      <w:r>
        <w:rPr>
          <w:rFonts w:ascii="Open Sans" w:hAnsi="Open Sans" w:cs="Open Sans"/>
          <w:sz w:val="20"/>
          <w:szCs w:val="20"/>
        </w:rPr>
        <w:t xml:space="preserve"> </w:t>
      </w:r>
      <w:r w:rsidRPr="00F06308">
        <w:rPr>
          <w:rFonts w:ascii="Open Sans" w:hAnsi="Open Sans" w:cs="Open Sans"/>
          <w:sz w:val="20"/>
          <w:szCs w:val="20"/>
        </w:rPr>
        <w:t>Australia,</w:t>
      </w:r>
      <w:r>
        <w:rPr>
          <w:rFonts w:ascii="Open Sans" w:hAnsi="Open Sans" w:cs="Open Sans"/>
          <w:sz w:val="20"/>
          <w:szCs w:val="20"/>
        </w:rPr>
        <w:t xml:space="preserve"> </w:t>
      </w:r>
      <w:r w:rsidRPr="00F06308">
        <w:rPr>
          <w:rFonts w:ascii="Open Sans" w:hAnsi="Open Sans" w:cs="Open Sans"/>
          <w:sz w:val="20"/>
          <w:szCs w:val="20"/>
        </w:rPr>
        <w:t>Azerbaiyán,</w:t>
      </w:r>
      <w:r>
        <w:rPr>
          <w:rFonts w:ascii="Open Sans" w:hAnsi="Open Sans" w:cs="Open Sans"/>
          <w:sz w:val="20"/>
          <w:szCs w:val="20"/>
        </w:rPr>
        <w:t xml:space="preserve"> </w:t>
      </w:r>
      <w:r w:rsidRPr="00F06308">
        <w:rPr>
          <w:rFonts w:ascii="Open Sans" w:hAnsi="Open Sans" w:cs="Open Sans"/>
          <w:sz w:val="20"/>
          <w:szCs w:val="20"/>
        </w:rPr>
        <w:t>Bélgica,</w:t>
      </w:r>
      <w:r>
        <w:rPr>
          <w:rFonts w:ascii="Open Sans" w:hAnsi="Open Sans" w:cs="Open Sans"/>
          <w:sz w:val="20"/>
          <w:szCs w:val="20"/>
        </w:rPr>
        <w:t xml:space="preserve"> </w:t>
      </w:r>
      <w:r w:rsidRPr="00F06308">
        <w:rPr>
          <w:rFonts w:ascii="Open Sans" w:hAnsi="Open Sans" w:cs="Open Sans"/>
          <w:sz w:val="20"/>
          <w:szCs w:val="20"/>
        </w:rPr>
        <w:t>Brasil,</w:t>
      </w:r>
      <w:r>
        <w:rPr>
          <w:rFonts w:ascii="Open Sans" w:hAnsi="Open Sans" w:cs="Open Sans"/>
          <w:sz w:val="20"/>
          <w:szCs w:val="20"/>
        </w:rPr>
        <w:t xml:space="preserve"> </w:t>
      </w:r>
      <w:r w:rsidRPr="00F06308">
        <w:rPr>
          <w:rFonts w:ascii="Open Sans" w:hAnsi="Open Sans" w:cs="Open Sans"/>
          <w:sz w:val="20"/>
          <w:szCs w:val="20"/>
        </w:rPr>
        <w:t>Bulgaria,</w:t>
      </w:r>
      <w:r>
        <w:rPr>
          <w:rFonts w:ascii="Open Sans" w:hAnsi="Open Sans" w:cs="Open Sans"/>
          <w:sz w:val="20"/>
          <w:szCs w:val="20"/>
        </w:rPr>
        <w:t xml:space="preserve"> </w:t>
      </w:r>
      <w:r w:rsidRPr="00F06308">
        <w:rPr>
          <w:rFonts w:ascii="Open Sans" w:hAnsi="Open Sans" w:cs="Open Sans"/>
          <w:sz w:val="20"/>
          <w:szCs w:val="20"/>
        </w:rPr>
        <w:t>C</w:t>
      </w:r>
      <w:r>
        <w:rPr>
          <w:rFonts w:ascii="Open Sans" w:hAnsi="Open Sans" w:cs="Open Sans"/>
          <w:sz w:val="20"/>
          <w:szCs w:val="20"/>
        </w:rPr>
        <w:t xml:space="preserve">anadá, Chile, China, Chipre, Corea, </w:t>
      </w:r>
      <w:r w:rsidRPr="00F06308">
        <w:rPr>
          <w:rFonts w:ascii="Open Sans" w:hAnsi="Open Sans" w:cs="Open Sans"/>
          <w:sz w:val="20"/>
          <w:szCs w:val="20"/>
        </w:rPr>
        <w:t>Costa Rica,</w:t>
      </w:r>
      <w:r>
        <w:rPr>
          <w:rFonts w:ascii="Open Sans" w:hAnsi="Open Sans" w:cs="Open Sans"/>
          <w:sz w:val="20"/>
          <w:szCs w:val="20"/>
        </w:rPr>
        <w:t xml:space="preserve"> </w:t>
      </w:r>
      <w:r w:rsidRPr="00F06308">
        <w:rPr>
          <w:rFonts w:ascii="Open Sans" w:hAnsi="Open Sans" w:cs="Open Sans"/>
          <w:sz w:val="20"/>
          <w:szCs w:val="20"/>
        </w:rPr>
        <w:t>Cuba,</w:t>
      </w:r>
      <w:r>
        <w:rPr>
          <w:rFonts w:ascii="Open Sans" w:hAnsi="Open Sans" w:cs="Open Sans"/>
          <w:sz w:val="20"/>
          <w:szCs w:val="20"/>
        </w:rPr>
        <w:t xml:space="preserve"> </w:t>
      </w:r>
      <w:r w:rsidRPr="00F06308">
        <w:rPr>
          <w:rFonts w:ascii="Open Sans" w:hAnsi="Open Sans" w:cs="Open Sans"/>
          <w:sz w:val="20"/>
          <w:szCs w:val="20"/>
        </w:rPr>
        <w:t>Ecuador,</w:t>
      </w:r>
      <w:r>
        <w:rPr>
          <w:rFonts w:ascii="Open Sans" w:hAnsi="Open Sans" w:cs="Open Sans"/>
          <w:sz w:val="20"/>
          <w:szCs w:val="20"/>
        </w:rPr>
        <w:t xml:space="preserve"> </w:t>
      </w:r>
      <w:r w:rsidRPr="00F06308">
        <w:rPr>
          <w:rFonts w:ascii="Open Sans" w:hAnsi="Open Sans" w:cs="Open Sans"/>
          <w:sz w:val="20"/>
          <w:szCs w:val="20"/>
        </w:rPr>
        <w:t>Egipto,</w:t>
      </w:r>
      <w:r>
        <w:rPr>
          <w:rFonts w:ascii="Open Sans" w:hAnsi="Open Sans" w:cs="Open Sans"/>
          <w:sz w:val="20"/>
          <w:szCs w:val="20"/>
        </w:rPr>
        <w:t xml:space="preserve"> </w:t>
      </w:r>
      <w:r w:rsidRPr="00F06308">
        <w:rPr>
          <w:rFonts w:ascii="Open Sans" w:hAnsi="Open Sans" w:cs="Open Sans"/>
          <w:sz w:val="20"/>
          <w:szCs w:val="20"/>
        </w:rPr>
        <w:t>España,</w:t>
      </w:r>
      <w:r>
        <w:rPr>
          <w:rFonts w:ascii="Open Sans" w:hAnsi="Open Sans" w:cs="Open Sans"/>
          <w:sz w:val="20"/>
          <w:szCs w:val="20"/>
        </w:rPr>
        <w:t xml:space="preserve"> </w:t>
      </w:r>
      <w:r w:rsidRPr="00F06308">
        <w:rPr>
          <w:rFonts w:ascii="Open Sans" w:hAnsi="Open Sans" w:cs="Open Sans"/>
          <w:sz w:val="20"/>
          <w:szCs w:val="20"/>
        </w:rPr>
        <w:t>EEUU,</w:t>
      </w:r>
      <w:r>
        <w:rPr>
          <w:rFonts w:ascii="Open Sans" w:hAnsi="Open Sans" w:cs="Open Sans"/>
          <w:sz w:val="20"/>
          <w:szCs w:val="20"/>
        </w:rPr>
        <w:t xml:space="preserve"> </w:t>
      </w:r>
      <w:r w:rsidRPr="00F06308">
        <w:rPr>
          <w:rFonts w:ascii="Open Sans" w:hAnsi="Open Sans" w:cs="Open Sans"/>
          <w:sz w:val="20"/>
          <w:szCs w:val="20"/>
        </w:rPr>
        <w:t>Filipinas,</w:t>
      </w:r>
      <w:r>
        <w:rPr>
          <w:rFonts w:ascii="Open Sans" w:hAnsi="Open Sans" w:cs="Open Sans"/>
          <w:sz w:val="20"/>
          <w:szCs w:val="20"/>
        </w:rPr>
        <w:t xml:space="preserve"> </w:t>
      </w:r>
      <w:r w:rsidRPr="00F06308">
        <w:rPr>
          <w:rFonts w:ascii="Open Sans" w:hAnsi="Open Sans" w:cs="Open Sans"/>
          <w:sz w:val="20"/>
          <w:szCs w:val="20"/>
        </w:rPr>
        <w:t>Finlandia,</w:t>
      </w:r>
      <w:r>
        <w:rPr>
          <w:rFonts w:ascii="Open Sans" w:hAnsi="Open Sans" w:cs="Open Sans"/>
          <w:sz w:val="20"/>
          <w:szCs w:val="20"/>
        </w:rPr>
        <w:t xml:space="preserve"> </w:t>
      </w:r>
      <w:r w:rsidRPr="00F06308">
        <w:rPr>
          <w:rFonts w:ascii="Open Sans" w:hAnsi="Open Sans" w:cs="Open Sans"/>
          <w:sz w:val="20"/>
          <w:szCs w:val="20"/>
        </w:rPr>
        <w:t>Francia,</w:t>
      </w:r>
      <w:r>
        <w:rPr>
          <w:rFonts w:ascii="Open Sans" w:hAnsi="Open Sans" w:cs="Open Sans"/>
          <w:sz w:val="20"/>
          <w:szCs w:val="20"/>
        </w:rPr>
        <w:t xml:space="preserve"> </w:t>
      </w:r>
      <w:r w:rsidRPr="00F06308">
        <w:rPr>
          <w:rFonts w:ascii="Open Sans" w:hAnsi="Open Sans" w:cs="Open Sans"/>
          <w:sz w:val="20"/>
          <w:szCs w:val="20"/>
        </w:rPr>
        <w:t>Grecia,</w:t>
      </w:r>
      <w:r>
        <w:rPr>
          <w:rFonts w:ascii="Open Sans" w:hAnsi="Open Sans" w:cs="Open Sans"/>
          <w:sz w:val="20"/>
          <w:szCs w:val="20"/>
        </w:rPr>
        <w:t xml:space="preserve"> </w:t>
      </w:r>
      <w:r w:rsidRPr="00F06308">
        <w:rPr>
          <w:rFonts w:ascii="Open Sans" w:hAnsi="Open Sans" w:cs="Open Sans"/>
          <w:sz w:val="20"/>
          <w:szCs w:val="20"/>
        </w:rPr>
        <w:t>Honduras, Hungría,</w:t>
      </w:r>
      <w:r>
        <w:rPr>
          <w:rFonts w:ascii="Open Sans" w:hAnsi="Open Sans" w:cs="Open Sans"/>
          <w:sz w:val="20"/>
          <w:szCs w:val="20"/>
        </w:rPr>
        <w:t xml:space="preserve"> </w:t>
      </w:r>
      <w:r w:rsidRPr="00F06308">
        <w:rPr>
          <w:rFonts w:ascii="Open Sans" w:hAnsi="Open Sans" w:cs="Open Sans"/>
          <w:sz w:val="20"/>
          <w:szCs w:val="20"/>
        </w:rPr>
        <w:t>India,</w:t>
      </w:r>
      <w:r>
        <w:rPr>
          <w:rFonts w:ascii="Open Sans" w:hAnsi="Open Sans" w:cs="Open Sans"/>
          <w:sz w:val="20"/>
          <w:szCs w:val="20"/>
        </w:rPr>
        <w:t xml:space="preserve"> </w:t>
      </w:r>
      <w:r w:rsidRPr="00F06308">
        <w:rPr>
          <w:rFonts w:ascii="Open Sans" w:hAnsi="Open Sans" w:cs="Open Sans"/>
          <w:sz w:val="20"/>
          <w:szCs w:val="20"/>
        </w:rPr>
        <w:t>Irlanda,</w:t>
      </w:r>
      <w:r>
        <w:rPr>
          <w:rFonts w:ascii="Open Sans" w:hAnsi="Open Sans" w:cs="Open Sans"/>
          <w:sz w:val="20"/>
          <w:szCs w:val="20"/>
        </w:rPr>
        <w:t xml:space="preserve"> </w:t>
      </w:r>
      <w:r w:rsidRPr="00F06308">
        <w:rPr>
          <w:rFonts w:ascii="Open Sans" w:hAnsi="Open Sans" w:cs="Open Sans"/>
          <w:sz w:val="20"/>
          <w:szCs w:val="20"/>
        </w:rPr>
        <w:t>Isla Mauricio,</w:t>
      </w:r>
      <w:r>
        <w:rPr>
          <w:rFonts w:ascii="Open Sans" w:hAnsi="Open Sans" w:cs="Open Sans"/>
          <w:sz w:val="20"/>
          <w:szCs w:val="20"/>
        </w:rPr>
        <w:t xml:space="preserve"> </w:t>
      </w:r>
      <w:r w:rsidRPr="00F06308">
        <w:rPr>
          <w:rFonts w:ascii="Open Sans" w:hAnsi="Open Sans" w:cs="Open Sans"/>
          <w:sz w:val="20"/>
          <w:szCs w:val="20"/>
        </w:rPr>
        <w:t>Israel,</w:t>
      </w:r>
      <w:r>
        <w:rPr>
          <w:rFonts w:ascii="Open Sans" w:hAnsi="Open Sans" w:cs="Open Sans"/>
          <w:sz w:val="20"/>
          <w:szCs w:val="20"/>
        </w:rPr>
        <w:t xml:space="preserve"> </w:t>
      </w:r>
      <w:r w:rsidRPr="00F06308">
        <w:rPr>
          <w:rFonts w:ascii="Open Sans" w:hAnsi="Open Sans" w:cs="Open Sans"/>
          <w:sz w:val="20"/>
          <w:szCs w:val="20"/>
        </w:rPr>
        <w:t>Italia,</w:t>
      </w:r>
      <w:r>
        <w:rPr>
          <w:rFonts w:ascii="Open Sans" w:hAnsi="Open Sans" w:cs="Open Sans"/>
          <w:sz w:val="20"/>
          <w:szCs w:val="20"/>
        </w:rPr>
        <w:t xml:space="preserve"> </w:t>
      </w:r>
      <w:r w:rsidRPr="00F06308">
        <w:rPr>
          <w:rFonts w:ascii="Open Sans" w:hAnsi="Open Sans" w:cs="Open Sans"/>
          <w:sz w:val="20"/>
          <w:szCs w:val="20"/>
        </w:rPr>
        <w:t>Jamaica,</w:t>
      </w:r>
      <w:r>
        <w:rPr>
          <w:rFonts w:ascii="Open Sans" w:hAnsi="Open Sans" w:cs="Open Sans"/>
          <w:sz w:val="20"/>
          <w:szCs w:val="20"/>
        </w:rPr>
        <w:t xml:space="preserve"> </w:t>
      </w:r>
      <w:r w:rsidRPr="00F06308">
        <w:rPr>
          <w:rFonts w:ascii="Open Sans" w:hAnsi="Open Sans" w:cs="Open Sans"/>
          <w:sz w:val="20"/>
          <w:szCs w:val="20"/>
        </w:rPr>
        <w:t>Japón,</w:t>
      </w:r>
      <w:r>
        <w:rPr>
          <w:rFonts w:ascii="Open Sans" w:hAnsi="Open Sans" w:cs="Open Sans"/>
          <w:sz w:val="20"/>
          <w:szCs w:val="20"/>
        </w:rPr>
        <w:t xml:space="preserve"> </w:t>
      </w:r>
      <w:r w:rsidRPr="00F06308">
        <w:rPr>
          <w:rFonts w:ascii="Open Sans" w:hAnsi="Open Sans" w:cs="Open Sans"/>
          <w:sz w:val="20"/>
          <w:szCs w:val="20"/>
        </w:rPr>
        <w:t>Jordania,</w:t>
      </w:r>
      <w:r>
        <w:rPr>
          <w:rFonts w:ascii="Open Sans" w:hAnsi="Open Sans" w:cs="Open Sans"/>
          <w:sz w:val="20"/>
          <w:szCs w:val="20"/>
        </w:rPr>
        <w:t xml:space="preserve"> </w:t>
      </w:r>
      <w:r w:rsidRPr="00F06308">
        <w:rPr>
          <w:rFonts w:ascii="Open Sans" w:hAnsi="Open Sans" w:cs="Open Sans"/>
          <w:sz w:val="20"/>
          <w:szCs w:val="20"/>
        </w:rPr>
        <w:t>Kenia,</w:t>
      </w:r>
      <w:r>
        <w:rPr>
          <w:rFonts w:ascii="Open Sans" w:hAnsi="Open Sans" w:cs="Open Sans"/>
          <w:sz w:val="20"/>
          <w:szCs w:val="20"/>
        </w:rPr>
        <w:t xml:space="preserve"> </w:t>
      </w:r>
      <w:r w:rsidRPr="00F06308">
        <w:rPr>
          <w:rFonts w:ascii="Open Sans" w:hAnsi="Open Sans" w:cs="Open Sans"/>
          <w:sz w:val="20"/>
          <w:szCs w:val="20"/>
        </w:rPr>
        <w:t>Marruecos,</w:t>
      </w:r>
      <w:r>
        <w:rPr>
          <w:rFonts w:ascii="Open Sans" w:hAnsi="Open Sans" w:cs="Open Sans"/>
          <w:sz w:val="20"/>
          <w:szCs w:val="20"/>
        </w:rPr>
        <w:t xml:space="preserve"> </w:t>
      </w:r>
      <w:r w:rsidRPr="00F06308">
        <w:rPr>
          <w:rFonts w:ascii="Open Sans" w:hAnsi="Open Sans" w:cs="Open Sans"/>
          <w:sz w:val="20"/>
          <w:szCs w:val="20"/>
        </w:rPr>
        <w:t>Mauritania,</w:t>
      </w:r>
      <w:r>
        <w:rPr>
          <w:rFonts w:ascii="Open Sans" w:hAnsi="Open Sans" w:cs="Open Sans"/>
          <w:sz w:val="20"/>
          <w:szCs w:val="20"/>
        </w:rPr>
        <w:t xml:space="preserve"> </w:t>
      </w:r>
      <w:r w:rsidRPr="00F06308">
        <w:rPr>
          <w:rFonts w:ascii="Open Sans" w:hAnsi="Open Sans" w:cs="Open Sans"/>
          <w:sz w:val="20"/>
          <w:szCs w:val="20"/>
        </w:rPr>
        <w:t>México,</w:t>
      </w:r>
      <w:r>
        <w:rPr>
          <w:rFonts w:ascii="Open Sans" w:hAnsi="Open Sans" w:cs="Open Sans"/>
          <w:sz w:val="20"/>
          <w:szCs w:val="20"/>
        </w:rPr>
        <w:t xml:space="preserve"> </w:t>
      </w:r>
      <w:r w:rsidRPr="00F06308">
        <w:rPr>
          <w:rFonts w:ascii="Open Sans" w:hAnsi="Open Sans" w:cs="Open Sans"/>
          <w:sz w:val="20"/>
          <w:szCs w:val="20"/>
        </w:rPr>
        <w:t>Nicaragua,</w:t>
      </w:r>
      <w:r>
        <w:rPr>
          <w:rFonts w:ascii="Open Sans" w:hAnsi="Open Sans" w:cs="Open Sans"/>
          <w:sz w:val="20"/>
          <w:szCs w:val="20"/>
        </w:rPr>
        <w:t xml:space="preserve"> </w:t>
      </w:r>
      <w:r w:rsidRPr="00F06308">
        <w:rPr>
          <w:rFonts w:ascii="Open Sans" w:hAnsi="Open Sans" w:cs="Open Sans"/>
          <w:sz w:val="20"/>
          <w:szCs w:val="20"/>
        </w:rPr>
        <w:t>Nueva Zelanda,</w:t>
      </w:r>
      <w:r>
        <w:rPr>
          <w:rFonts w:ascii="Open Sans" w:hAnsi="Open Sans" w:cs="Open Sans"/>
          <w:sz w:val="20"/>
          <w:szCs w:val="20"/>
        </w:rPr>
        <w:t xml:space="preserve"> </w:t>
      </w:r>
      <w:r w:rsidRPr="00F06308">
        <w:rPr>
          <w:rFonts w:ascii="Open Sans" w:hAnsi="Open Sans" w:cs="Open Sans"/>
          <w:sz w:val="20"/>
          <w:szCs w:val="20"/>
        </w:rPr>
        <w:t>Polonia, Portugal,</w:t>
      </w:r>
      <w:r>
        <w:rPr>
          <w:rFonts w:ascii="Open Sans" w:hAnsi="Open Sans" w:cs="Open Sans"/>
          <w:sz w:val="20"/>
          <w:szCs w:val="20"/>
        </w:rPr>
        <w:t xml:space="preserve"> </w:t>
      </w:r>
      <w:r w:rsidRPr="00F06308">
        <w:rPr>
          <w:rFonts w:ascii="Open Sans" w:hAnsi="Open Sans" w:cs="Open Sans"/>
          <w:sz w:val="20"/>
          <w:szCs w:val="20"/>
        </w:rPr>
        <w:t>Puerto Rico,</w:t>
      </w:r>
      <w:r>
        <w:rPr>
          <w:rFonts w:ascii="Open Sans" w:hAnsi="Open Sans" w:cs="Open Sans"/>
          <w:sz w:val="20"/>
          <w:szCs w:val="20"/>
        </w:rPr>
        <w:t xml:space="preserve"> </w:t>
      </w:r>
      <w:r w:rsidRPr="00F06308">
        <w:rPr>
          <w:rFonts w:ascii="Open Sans" w:hAnsi="Open Sans" w:cs="Open Sans"/>
          <w:sz w:val="20"/>
          <w:szCs w:val="20"/>
        </w:rPr>
        <w:t>Reino Unido,</w:t>
      </w:r>
      <w:r>
        <w:rPr>
          <w:rFonts w:ascii="Open Sans" w:hAnsi="Open Sans" w:cs="Open Sans"/>
          <w:sz w:val="20"/>
          <w:szCs w:val="20"/>
        </w:rPr>
        <w:t xml:space="preserve"> </w:t>
      </w:r>
      <w:r w:rsidRPr="00F06308">
        <w:rPr>
          <w:rFonts w:ascii="Open Sans" w:hAnsi="Open Sans" w:cs="Open Sans"/>
          <w:sz w:val="20"/>
          <w:szCs w:val="20"/>
        </w:rPr>
        <w:t>República Dominicana,</w:t>
      </w:r>
      <w:r>
        <w:rPr>
          <w:rFonts w:ascii="Open Sans" w:hAnsi="Open Sans" w:cs="Open Sans"/>
          <w:sz w:val="20"/>
          <w:szCs w:val="20"/>
        </w:rPr>
        <w:t xml:space="preserve"> </w:t>
      </w:r>
      <w:r w:rsidRPr="00F06308">
        <w:rPr>
          <w:rFonts w:ascii="Open Sans" w:hAnsi="Open Sans" w:cs="Open Sans"/>
          <w:sz w:val="20"/>
          <w:szCs w:val="20"/>
        </w:rPr>
        <w:t>Rumania,</w:t>
      </w:r>
      <w:r>
        <w:rPr>
          <w:rFonts w:ascii="Open Sans" w:hAnsi="Open Sans" w:cs="Open Sans"/>
          <w:sz w:val="20"/>
          <w:szCs w:val="20"/>
        </w:rPr>
        <w:t xml:space="preserve"> </w:t>
      </w:r>
      <w:r w:rsidRPr="00F06308">
        <w:rPr>
          <w:rFonts w:ascii="Open Sans" w:hAnsi="Open Sans" w:cs="Open Sans"/>
          <w:sz w:val="20"/>
          <w:szCs w:val="20"/>
        </w:rPr>
        <w:t>Sri Lanka,</w:t>
      </w:r>
      <w:r>
        <w:rPr>
          <w:rFonts w:ascii="Open Sans" w:hAnsi="Open Sans" w:cs="Open Sans"/>
          <w:sz w:val="20"/>
          <w:szCs w:val="20"/>
        </w:rPr>
        <w:t xml:space="preserve"> </w:t>
      </w:r>
      <w:r w:rsidRPr="00F06308">
        <w:rPr>
          <w:rFonts w:ascii="Open Sans" w:hAnsi="Open Sans" w:cs="Open Sans"/>
          <w:sz w:val="20"/>
          <w:szCs w:val="20"/>
        </w:rPr>
        <w:t>Suecia,</w:t>
      </w:r>
      <w:r>
        <w:rPr>
          <w:rFonts w:ascii="Open Sans" w:hAnsi="Open Sans" w:cs="Open Sans"/>
          <w:sz w:val="20"/>
          <w:szCs w:val="20"/>
        </w:rPr>
        <w:t xml:space="preserve"> </w:t>
      </w:r>
      <w:r w:rsidRPr="00F06308">
        <w:rPr>
          <w:rFonts w:ascii="Open Sans" w:hAnsi="Open Sans" w:cs="Open Sans"/>
          <w:sz w:val="20"/>
          <w:szCs w:val="20"/>
        </w:rPr>
        <w:t>Tailandia, Taiwán,</w:t>
      </w:r>
      <w:r>
        <w:rPr>
          <w:rFonts w:ascii="Open Sans" w:hAnsi="Open Sans" w:cs="Open Sans"/>
          <w:sz w:val="20"/>
          <w:szCs w:val="20"/>
        </w:rPr>
        <w:t xml:space="preserve"> </w:t>
      </w:r>
      <w:r w:rsidRPr="00F06308">
        <w:rPr>
          <w:rFonts w:ascii="Open Sans" w:hAnsi="Open Sans" w:cs="Open Sans"/>
          <w:sz w:val="20"/>
          <w:szCs w:val="20"/>
        </w:rPr>
        <w:t>Túnez,</w:t>
      </w:r>
      <w:r>
        <w:rPr>
          <w:rFonts w:ascii="Open Sans" w:hAnsi="Open Sans" w:cs="Open Sans"/>
          <w:sz w:val="20"/>
          <w:szCs w:val="20"/>
        </w:rPr>
        <w:t xml:space="preserve"> </w:t>
      </w:r>
      <w:r w:rsidRPr="00F06308">
        <w:rPr>
          <w:rFonts w:ascii="Open Sans" w:hAnsi="Open Sans" w:cs="Open Sans"/>
          <w:sz w:val="20"/>
          <w:szCs w:val="20"/>
        </w:rPr>
        <w:t>Turquía,</w:t>
      </w:r>
      <w:r>
        <w:rPr>
          <w:rFonts w:ascii="Open Sans" w:hAnsi="Open Sans" w:cs="Open Sans"/>
          <w:sz w:val="20"/>
          <w:szCs w:val="20"/>
        </w:rPr>
        <w:t xml:space="preserve"> </w:t>
      </w:r>
      <w:r w:rsidRPr="00F06308">
        <w:rPr>
          <w:rFonts w:ascii="Open Sans" w:hAnsi="Open Sans" w:cs="Open Sans"/>
          <w:sz w:val="20"/>
          <w:szCs w:val="20"/>
        </w:rPr>
        <w:t>Uruguay,</w:t>
      </w:r>
      <w:r>
        <w:rPr>
          <w:rFonts w:ascii="Open Sans" w:hAnsi="Open Sans" w:cs="Open Sans"/>
          <w:sz w:val="20"/>
          <w:szCs w:val="20"/>
        </w:rPr>
        <w:t xml:space="preserve"> Venezuela y Vietnam.</w:t>
      </w:r>
    </w:p>
    <w:p w14:paraId="75344700" w14:textId="77777777" w:rsidR="0099187E" w:rsidRDefault="0099187E" w:rsidP="0099187E">
      <w:pPr>
        <w:jc w:val="both"/>
        <w:rPr>
          <w:rFonts w:ascii="Open Sans" w:hAnsi="Open Sans" w:cs="Open Sans"/>
          <w:sz w:val="20"/>
          <w:szCs w:val="20"/>
        </w:rPr>
      </w:pPr>
    </w:p>
    <w:p w14:paraId="61562886" w14:textId="77777777" w:rsidR="0099187E" w:rsidRPr="00724C1E" w:rsidRDefault="0099187E" w:rsidP="0099187E">
      <w:pPr>
        <w:jc w:val="both"/>
        <w:rPr>
          <w:rFonts w:ascii="Open Sans" w:hAnsi="Open Sans" w:cs="Open Sans"/>
          <w:sz w:val="20"/>
          <w:szCs w:val="20"/>
        </w:rPr>
      </w:pPr>
    </w:p>
    <w:p w14:paraId="7194B9FC" w14:textId="77777777" w:rsidR="0099187E" w:rsidRPr="00724C1E" w:rsidRDefault="0099187E" w:rsidP="0099187E">
      <w:pPr>
        <w:jc w:val="both"/>
        <w:rPr>
          <w:rFonts w:ascii="Open Sans" w:hAnsi="Open Sans" w:cs="Open Sans"/>
          <w:sz w:val="20"/>
          <w:szCs w:val="20"/>
          <w:u w:val="single"/>
        </w:rPr>
      </w:pPr>
      <w:r w:rsidRPr="00724C1E">
        <w:rPr>
          <w:rFonts w:ascii="Open Sans" w:hAnsi="Open Sans" w:cs="Open Sans"/>
          <w:sz w:val="20"/>
          <w:szCs w:val="20"/>
          <w:u w:val="single"/>
        </w:rPr>
        <w:t>Cifras relevantes de la empresa:</w:t>
      </w:r>
    </w:p>
    <w:p w14:paraId="71AFF141" w14:textId="77777777" w:rsidR="0099187E" w:rsidRPr="00724C1E" w:rsidRDefault="0099187E" w:rsidP="0099187E">
      <w:pPr>
        <w:jc w:val="both"/>
        <w:rPr>
          <w:rFonts w:ascii="Open Sans" w:hAnsi="Open Sans" w:cs="Open Sans"/>
          <w:sz w:val="20"/>
          <w:szCs w:val="20"/>
          <w:u w:val="single"/>
        </w:rPr>
      </w:pPr>
    </w:p>
    <w:p w14:paraId="05C73C6F" w14:textId="77777777" w:rsidR="0099187E" w:rsidRPr="00724C1E" w:rsidRDefault="0099187E" w:rsidP="0099187E">
      <w:pPr>
        <w:jc w:val="both"/>
        <w:rPr>
          <w:rFonts w:ascii="Open Sans" w:hAnsi="Open Sans" w:cs="Open Sans"/>
          <w:sz w:val="20"/>
          <w:szCs w:val="20"/>
        </w:rPr>
      </w:pPr>
      <w:r>
        <w:rPr>
          <w:rFonts w:ascii="Open Sans" w:hAnsi="Open Sans" w:cs="Open Sans"/>
          <w:sz w:val="20"/>
          <w:szCs w:val="20"/>
        </w:rPr>
        <w:t>Gamesa ha tenido</w:t>
      </w:r>
      <w:r w:rsidRPr="00724C1E">
        <w:rPr>
          <w:rFonts w:ascii="Open Sans" w:hAnsi="Open Sans" w:cs="Open Sans"/>
          <w:sz w:val="20"/>
          <w:szCs w:val="20"/>
        </w:rPr>
        <w:t xml:space="preserve"> una facturación en 2015 de </w:t>
      </w:r>
      <w:r>
        <w:rPr>
          <w:rFonts w:ascii="Open Sans" w:hAnsi="Open Sans" w:cs="Open Sans"/>
          <w:sz w:val="20"/>
          <w:szCs w:val="20"/>
        </w:rPr>
        <w:t>3.504</w:t>
      </w:r>
      <w:r w:rsidRPr="00724C1E">
        <w:rPr>
          <w:rFonts w:ascii="Open Sans" w:hAnsi="Open Sans" w:cs="Open Sans"/>
          <w:sz w:val="20"/>
          <w:szCs w:val="20"/>
        </w:rPr>
        <w:t xml:space="preserve"> millones de euros</w:t>
      </w:r>
      <w:r>
        <w:rPr>
          <w:rFonts w:ascii="Open Sans" w:hAnsi="Open Sans" w:cs="Open Sans"/>
          <w:sz w:val="20"/>
          <w:szCs w:val="20"/>
        </w:rPr>
        <w:t xml:space="preserve">. El </w:t>
      </w:r>
      <w:r w:rsidRPr="00724C1E">
        <w:rPr>
          <w:rFonts w:ascii="Open Sans" w:hAnsi="Open Sans" w:cs="Open Sans"/>
          <w:sz w:val="20"/>
          <w:szCs w:val="20"/>
        </w:rPr>
        <w:t xml:space="preserve">beneficio antes de impuestos </w:t>
      </w:r>
      <w:r>
        <w:rPr>
          <w:rFonts w:ascii="Open Sans" w:hAnsi="Open Sans" w:cs="Open Sans"/>
          <w:sz w:val="20"/>
          <w:szCs w:val="20"/>
        </w:rPr>
        <w:t>de grupo consolidado es de 253,59 millones</w:t>
      </w:r>
      <w:r w:rsidRPr="00724C1E">
        <w:rPr>
          <w:rFonts w:ascii="Open Sans" w:hAnsi="Open Sans" w:cs="Open Sans"/>
          <w:sz w:val="20"/>
          <w:szCs w:val="20"/>
        </w:rPr>
        <w:t xml:space="preserve"> de euros. Al 31 de diciembre de 2015 el grupo cuenta </w:t>
      </w:r>
      <w:r>
        <w:rPr>
          <w:rFonts w:ascii="Open Sans" w:hAnsi="Open Sans" w:cs="Open Sans"/>
          <w:sz w:val="20"/>
          <w:szCs w:val="20"/>
        </w:rPr>
        <w:t>con un total de 7</w:t>
      </w:r>
      <w:r w:rsidRPr="00724C1E">
        <w:rPr>
          <w:rFonts w:ascii="Open Sans" w:hAnsi="Open Sans" w:cs="Open Sans"/>
          <w:sz w:val="20"/>
          <w:szCs w:val="20"/>
        </w:rPr>
        <w:t>.</w:t>
      </w:r>
      <w:r>
        <w:rPr>
          <w:rFonts w:ascii="Open Sans" w:hAnsi="Open Sans" w:cs="Open Sans"/>
          <w:sz w:val="20"/>
          <w:szCs w:val="20"/>
        </w:rPr>
        <w:t>271</w:t>
      </w:r>
      <w:r w:rsidRPr="00724C1E">
        <w:rPr>
          <w:rFonts w:ascii="Open Sans" w:hAnsi="Open Sans" w:cs="Open Sans"/>
          <w:sz w:val="20"/>
          <w:szCs w:val="20"/>
        </w:rPr>
        <w:t xml:space="preserve"> empleados.</w:t>
      </w:r>
    </w:p>
    <w:p w14:paraId="47661E81" w14:textId="77777777" w:rsidR="0099187E" w:rsidRPr="00724C1E" w:rsidRDefault="0099187E" w:rsidP="0099187E">
      <w:pPr>
        <w:jc w:val="both"/>
        <w:rPr>
          <w:rFonts w:ascii="Open Sans" w:hAnsi="Open Sans" w:cs="Open Sans"/>
          <w:sz w:val="20"/>
          <w:szCs w:val="20"/>
          <w:u w:val="single"/>
        </w:rPr>
      </w:pPr>
    </w:p>
    <w:p w14:paraId="33AD0CD6" w14:textId="77777777" w:rsidR="0099187E" w:rsidRPr="00724C1E" w:rsidRDefault="0099187E" w:rsidP="0099187E">
      <w:pPr>
        <w:jc w:val="both"/>
        <w:rPr>
          <w:rFonts w:ascii="Open Sans" w:hAnsi="Open Sans" w:cs="Open Sans"/>
          <w:sz w:val="20"/>
          <w:szCs w:val="20"/>
          <w:u w:val="single"/>
        </w:rPr>
      </w:pPr>
      <w:r>
        <w:rPr>
          <w:rFonts w:ascii="Open Sans" w:hAnsi="Open Sans" w:cs="Open Sans"/>
          <w:sz w:val="20"/>
          <w:szCs w:val="20"/>
          <w:u w:val="single"/>
        </w:rPr>
        <w:br w:type="page"/>
      </w:r>
    </w:p>
    <w:p w14:paraId="10D23CA5" w14:textId="77777777" w:rsidR="0099187E" w:rsidRPr="00724C1E" w:rsidRDefault="0099187E" w:rsidP="0099187E">
      <w:pPr>
        <w:jc w:val="both"/>
        <w:rPr>
          <w:rFonts w:ascii="Open Sans" w:hAnsi="Open Sans" w:cs="Open Sans"/>
          <w:sz w:val="20"/>
          <w:szCs w:val="20"/>
          <w:u w:val="single"/>
        </w:rPr>
      </w:pPr>
      <w:r w:rsidRPr="00724C1E">
        <w:rPr>
          <w:rFonts w:ascii="Open Sans" w:hAnsi="Open Sans" w:cs="Open Sans"/>
          <w:sz w:val="20"/>
          <w:szCs w:val="20"/>
          <w:u w:val="single"/>
        </w:rPr>
        <w:t>Estándares voluntarios relacionados con fiscalidad responsable</w:t>
      </w:r>
    </w:p>
    <w:p w14:paraId="6C6D43AE" w14:textId="77777777" w:rsidR="0099187E" w:rsidRPr="00724C1E" w:rsidRDefault="0099187E" w:rsidP="0099187E">
      <w:pPr>
        <w:jc w:val="both"/>
        <w:rPr>
          <w:rFonts w:ascii="Open Sans" w:hAnsi="Open Sans" w:cs="Open Sans"/>
          <w:sz w:val="20"/>
          <w:szCs w:val="20"/>
          <w:u w:val="single"/>
        </w:rPr>
      </w:pPr>
    </w:p>
    <w:p w14:paraId="36CA5DD4" w14:textId="77777777" w:rsidR="0099187E" w:rsidRPr="00826F35" w:rsidRDefault="0099187E" w:rsidP="0099187E">
      <w:pPr>
        <w:jc w:val="both"/>
        <w:rPr>
          <w:rFonts w:ascii="Open Sans" w:hAnsi="Open Sans" w:cs="Open Sans"/>
          <w:sz w:val="20"/>
          <w:szCs w:val="20"/>
        </w:rPr>
      </w:pPr>
      <w:r>
        <w:rPr>
          <w:rFonts w:ascii="Open Sans" w:hAnsi="Open Sans" w:cs="Open Sans"/>
          <w:sz w:val="20"/>
          <w:szCs w:val="20"/>
        </w:rPr>
        <w:t>Gamesa</w:t>
      </w:r>
      <w:r w:rsidRPr="00826F35">
        <w:rPr>
          <w:rFonts w:ascii="Open Sans" w:hAnsi="Open Sans" w:cs="Open Sans"/>
          <w:sz w:val="20"/>
          <w:szCs w:val="20"/>
        </w:rPr>
        <w:t xml:space="preserve"> informa que se ha adherido voluntariamente a los siguientes estándares relacionados con contenidos y sistemas de gestión de fiscalidad responsable:</w:t>
      </w:r>
    </w:p>
    <w:p w14:paraId="0C7E4BFC" w14:textId="77777777" w:rsidR="0099187E" w:rsidRPr="00826F35" w:rsidRDefault="0099187E" w:rsidP="000B70C9">
      <w:pPr>
        <w:numPr>
          <w:ilvl w:val="0"/>
          <w:numId w:val="103"/>
        </w:numPr>
        <w:jc w:val="both"/>
        <w:rPr>
          <w:rFonts w:ascii="Open Sans" w:hAnsi="Open Sans" w:cs="Open Sans"/>
          <w:sz w:val="20"/>
          <w:szCs w:val="20"/>
          <w:u w:val="single"/>
        </w:rPr>
      </w:pPr>
      <w:r w:rsidRPr="00826F35">
        <w:rPr>
          <w:rFonts w:ascii="Open Sans" w:hAnsi="Open Sans" w:cs="Open Sans"/>
          <w:sz w:val="20"/>
          <w:szCs w:val="20"/>
        </w:rPr>
        <w:t>Convención de las Naciones Unidas contra la Corrupción</w:t>
      </w:r>
    </w:p>
    <w:p w14:paraId="6435BE56" w14:textId="77777777" w:rsidR="0099187E" w:rsidRPr="00826F35" w:rsidRDefault="0099187E" w:rsidP="000B70C9">
      <w:pPr>
        <w:numPr>
          <w:ilvl w:val="0"/>
          <w:numId w:val="103"/>
        </w:numPr>
        <w:jc w:val="both"/>
        <w:rPr>
          <w:rFonts w:ascii="Open Sans" w:hAnsi="Open Sans" w:cs="Open Sans"/>
          <w:sz w:val="20"/>
          <w:szCs w:val="20"/>
        </w:rPr>
      </w:pPr>
      <w:r w:rsidRPr="00826F35">
        <w:rPr>
          <w:rFonts w:ascii="Open Sans" w:hAnsi="Open Sans" w:cs="Open Sans"/>
          <w:sz w:val="20"/>
          <w:szCs w:val="20"/>
        </w:rPr>
        <w:t>Líneas Directrices de la OCDE para Empresas Multinacionales</w:t>
      </w:r>
    </w:p>
    <w:p w14:paraId="7CD3E77E" w14:textId="77777777" w:rsidR="0099187E" w:rsidRDefault="0099187E" w:rsidP="0099187E">
      <w:pPr>
        <w:jc w:val="both"/>
        <w:rPr>
          <w:rFonts w:ascii="Open Sans" w:hAnsi="Open Sans" w:cs="Open Sans"/>
          <w:sz w:val="20"/>
          <w:szCs w:val="20"/>
          <w:u w:val="single"/>
        </w:rPr>
      </w:pPr>
    </w:p>
    <w:p w14:paraId="415D99CF" w14:textId="77777777" w:rsidR="0099187E" w:rsidRPr="00724C1E" w:rsidRDefault="0099187E" w:rsidP="0099187E">
      <w:pPr>
        <w:jc w:val="both"/>
        <w:rPr>
          <w:rFonts w:ascii="Open Sans" w:hAnsi="Open Sans" w:cs="Open Sans"/>
          <w:sz w:val="20"/>
          <w:szCs w:val="20"/>
          <w:u w:val="single"/>
        </w:rPr>
      </w:pPr>
    </w:p>
    <w:p w14:paraId="6864CF72" w14:textId="77777777" w:rsidR="0099187E" w:rsidRPr="00724C1E" w:rsidRDefault="0099187E" w:rsidP="0099187E">
      <w:pPr>
        <w:jc w:val="both"/>
        <w:rPr>
          <w:rFonts w:ascii="Open Sans" w:hAnsi="Open Sans" w:cs="Open Sans"/>
          <w:sz w:val="20"/>
          <w:szCs w:val="20"/>
          <w:u w:val="single"/>
        </w:rPr>
      </w:pPr>
      <w:r w:rsidRPr="00724C1E">
        <w:rPr>
          <w:rFonts w:ascii="Open Sans" w:hAnsi="Open Sans" w:cs="Open Sans"/>
          <w:sz w:val="20"/>
          <w:szCs w:val="20"/>
          <w:u w:val="single"/>
        </w:rPr>
        <w:t>Documentos incluidos en el análisis</w:t>
      </w:r>
    </w:p>
    <w:p w14:paraId="7E774039" w14:textId="77777777" w:rsidR="0099187E" w:rsidRPr="00724C1E" w:rsidRDefault="0099187E" w:rsidP="0099187E">
      <w:pPr>
        <w:ind w:firstLine="709"/>
        <w:jc w:val="both"/>
        <w:rPr>
          <w:rFonts w:ascii="Open Sans" w:hAnsi="Open Sans" w:cs="Open Sans"/>
          <w:sz w:val="20"/>
          <w:szCs w:val="20"/>
        </w:rPr>
      </w:pPr>
    </w:p>
    <w:p w14:paraId="3FE7B58E" w14:textId="77777777" w:rsidR="0099187E" w:rsidRPr="00724C1E" w:rsidRDefault="0099187E" w:rsidP="0099187E">
      <w:pPr>
        <w:jc w:val="both"/>
        <w:rPr>
          <w:rFonts w:ascii="Open Sans" w:hAnsi="Open Sans" w:cs="Open Sans"/>
          <w:sz w:val="20"/>
          <w:szCs w:val="20"/>
        </w:rPr>
      </w:pPr>
      <w:r w:rsidRPr="00724C1E">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372CE32D" w14:textId="77777777" w:rsidR="0099187E" w:rsidRPr="00724C1E" w:rsidRDefault="0099187E" w:rsidP="0099187E">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6392"/>
        <w:gridCol w:w="2126"/>
      </w:tblGrid>
      <w:tr w:rsidR="0099187E" w:rsidRPr="00724C1E" w14:paraId="57C4F1C1" w14:textId="77777777" w:rsidTr="003E002C">
        <w:trPr>
          <w:trHeight w:val="327"/>
        </w:trPr>
        <w:tc>
          <w:tcPr>
            <w:tcW w:w="6392"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5013FFFA" w14:textId="77777777" w:rsidR="0099187E" w:rsidRPr="00724C1E" w:rsidRDefault="0099187E" w:rsidP="003E002C">
            <w:pPr>
              <w:jc w:val="center"/>
              <w:rPr>
                <w:rFonts w:ascii="Open Sans" w:hAnsi="Open Sans" w:cs="Open Sans"/>
                <w:b/>
                <w:sz w:val="20"/>
                <w:szCs w:val="20"/>
              </w:rPr>
            </w:pPr>
            <w:r w:rsidRPr="00724C1E">
              <w:rPr>
                <w:rFonts w:ascii="Open Sans" w:hAnsi="Open Sans" w:cs="Open Sans"/>
                <w:b/>
                <w:sz w:val="20"/>
                <w:szCs w:val="20"/>
              </w:rPr>
              <w:t>DOCUMENTACIÓN</w:t>
            </w:r>
          </w:p>
        </w:tc>
        <w:tc>
          <w:tcPr>
            <w:tcW w:w="2126"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2A4FF05D" w14:textId="77777777" w:rsidR="0099187E" w:rsidRPr="00724C1E" w:rsidRDefault="0099187E" w:rsidP="003E002C">
            <w:pPr>
              <w:jc w:val="center"/>
              <w:rPr>
                <w:rFonts w:ascii="Open Sans" w:hAnsi="Open Sans" w:cs="Open Sans"/>
                <w:b/>
                <w:sz w:val="20"/>
                <w:szCs w:val="20"/>
              </w:rPr>
            </w:pPr>
            <w:r w:rsidRPr="00724C1E">
              <w:rPr>
                <w:rFonts w:ascii="Open Sans" w:hAnsi="Open Sans" w:cs="Open Sans"/>
                <w:b/>
                <w:sz w:val="20"/>
                <w:szCs w:val="20"/>
              </w:rPr>
              <w:t>OBSERVACIONES</w:t>
            </w:r>
          </w:p>
        </w:tc>
      </w:tr>
      <w:tr w:rsidR="0099187E" w:rsidRPr="00724C1E" w14:paraId="549E366F" w14:textId="77777777" w:rsidTr="003E002C">
        <w:trPr>
          <w:trHeight w:val="291"/>
        </w:trPr>
        <w:tc>
          <w:tcPr>
            <w:tcW w:w="639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97B6E60" w14:textId="77777777" w:rsidR="0099187E" w:rsidRPr="002B0B0A" w:rsidRDefault="007F55EB" w:rsidP="003E002C">
            <w:pPr>
              <w:rPr>
                <w:rFonts w:ascii="Open Sans" w:hAnsi="Open Sans" w:cs="Open Sans"/>
                <w:color w:val="000000"/>
                <w:sz w:val="20"/>
                <w:szCs w:val="20"/>
                <w:lang w:eastAsia="en-US"/>
              </w:rPr>
            </w:pPr>
            <w:hyperlink r:id="rId80" w:history="1">
              <w:r w:rsidR="0099187E" w:rsidRPr="002B0B0A">
                <w:rPr>
                  <w:rStyle w:val="Hipervnculo"/>
                  <w:rFonts w:ascii="Open Sans" w:hAnsi="Open Sans" w:cs="Open Sans"/>
                  <w:sz w:val="20"/>
                  <w:szCs w:val="20"/>
                  <w:lang w:eastAsia="en-US"/>
                </w:rPr>
                <w:t>Cuentas anuales consolidadas e informe de gestión consolidado</w:t>
              </w:r>
            </w:hyperlink>
          </w:p>
        </w:tc>
        <w:tc>
          <w:tcPr>
            <w:tcW w:w="212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F463CFB" w14:textId="77777777" w:rsidR="0099187E" w:rsidRPr="00724C1E" w:rsidRDefault="0099187E" w:rsidP="003E002C">
            <w:pPr>
              <w:jc w:val="both"/>
              <w:rPr>
                <w:rFonts w:ascii="Open Sans" w:eastAsia="Arial Unicode MS" w:hAnsi="Open Sans" w:cs="Open Sans"/>
                <w:sz w:val="20"/>
                <w:szCs w:val="20"/>
              </w:rPr>
            </w:pPr>
          </w:p>
        </w:tc>
      </w:tr>
      <w:tr w:rsidR="0099187E" w:rsidRPr="00724C1E" w14:paraId="7D7E98A6" w14:textId="77777777" w:rsidTr="003E002C">
        <w:trPr>
          <w:trHeight w:val="291"/>
        </w:trPr>
        <w:tc>
          <w:tcPr>
            <w:tcW w:w="639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49B2494" w14:textId="77777777" w:rsidR="0099187E" w:rsidRPr="002B0B0A" w:rsidRDefault="007F55EB" w:rsidP="003E002C">
            <w:pPr>
              <w:rPr>
                <w:rFonts w:ascii="Open Sans" w:hAnsi="Open Sans" w:cs="Open Sans"/>
                <w:color w:val="000000"/>
                <w:sz w:val="20"/>
                <w:szCs w:val="20"/>
              </w:rPr>
            </w:pPr>
            <w:hyperlink r:id="rId81" w:history="1">
              <w:r w:rsidR="0099187E" w:rsidRPr="002B0B0A">
                <w:rPr>
                  <w:rStyle w:val="Hipervnculo"/>
                  <w:rFonts w:ascii="Open Sans" w:hAnsi="Open Sans" w:cs="Open Sans"/>
                  <w:sz w:val="20"/>
                  <w:szCs w:val="20"/>
                </w:rPr>
                <w:t>Informe Anual 2015</w:t>
              </w:r>
            </w:hyperlink>
          </w:p>
        </w:tc>
        <w:tc>
          <w:tcPr>
            <w:tcW w:w="212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ED71CF4" w14:textId="77777777" w:rsidR="0099187E" w:rsidRPr="00724C1E" w:rsidRDefault="0099187E" w:rsidP="003E002C">
            <w:pPr>
              <w:jc w:val="both"/>
              <w:rPr>
                <w:rFonts w:ascii="Open Sans" w:eastAsia="Arial Unicode MS" w:hAnsi="Open Sans" w:cs="Open Sans"/>
                <w:sz w:val="20"/>
                <w:szCs w:val="20"/>
              </w:rPr>
            </w:pPr>
          </w:p>
        </w:tc>
      </w:tr>
      <w:tr w:rsidR="0099187E" w:rsidRPr="00724C1E" w14:paraId="5A3F39D4" w14:textId="77777777" w:rsidTr="003E002C">
        <w:trPr>
          <w:trHeight w:val="291"/>
        </w:trPr>
        <w:tc>
          <w:tcPr>
            <w:tcW w:w="639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CB31A9A" w14:textId="77777777" w:rsidR="0099187E" w:rsidRPr="002B0B0A" w:rsidRDefault="007F55EB" w:rsidP="003E002C">
            <w:pPr>
              <w:rPr>
                <w:rFonts w:ascii="Open Sans" w:hAnsi="Open Sans" w:cs="Open Sans"/>
                <w:color w:val="000000"/>
                <w:sz w:val="20"/>
                <w:szCs w:val="20"/>
              </w:rPr>
            </w:pPr>
            <w:hyperlink r:id="rId82" w:history="1">
              <w:r w:rsidR="0099187E" w:rsidRPr="002B0B0A">
                <w:rPr>
                  <w:rStyle w:val="Hipervnculo"/>
                  <w:rFonts w:ascii="Open Sans" w:hAnsi="Open Sans" w:cs="Open Sans"/>
                  <w:sz w:val="20"/>
                  <w:szCs w:val="20"/>
                </w:rPr>
                <w:t>Informe de Responsabilidad Corporativa 2015</w:t>
              </w:r>
            </w:hyperlink>
          </w:p>
        </w:tc>
        <w:tc>
          <w:tcPr>
            <w:tcW w:w="212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E108159" w14:textId="77777777" w:rsidR="0099187E" w:rsidRPr="00724C1E" w:rsidRDefault="0099187E" w:rsidP="003E002C">
            <w:pPr>
              <w:jc w:val="both"/>
              <w:rPr>
                <w:rFonts w:ascii="Open Sans" w:eastAsia="Arial Unicode MS" w:hAnsi="Open Sans" w:cs="Open Sans"/>
                <w:sz w:val="20"/>
                <w:szCs w:val="20"/>
              </w:rPr>
            </w:pPr>
          </w:p>
        </w:tc>
      </w:tr>
      <w:tr w:rsidR="0099187E" w:rsidRPr="00724C1E" w14:paraId="62E80032" w14:textId="77777777" w:rsidTr="003E002C">
        <w:trPr>
          <w:trHeight w:val="291"/>
        </w:trPr>
        <w:tc>
          <w:tcPr>
            <w:tcW w:w="639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69A55A7" w14:textId="77777777" w:rsidR="0099187E" w:rsidRPr="002B0B0A" w:rsidRDefault="007F55EB" w:rsidP="003E002C">
            <w:pPr>
              <w:rPr>
                <w:rFonts w:ascii="Open Sans" w:hAnsi="Open Sans" w:cs="Open Sans"/>
                <w:color w:val="000000"/>
                <w:sz w:val="20"/>
                <w:szCs w:val="20"/>
              </w:rPr>
            </w:pPr>
            <w:hyperlink r:id="rId83" w:history="1">
              <w:r w:rsidR="0099187E" w:rsidRPr="002B0B0A">
                <w:rPr>
                  <w:rStyle w:val="Hipervnculo"/>
                  <w:rFonts w:ascii="Open Sans" w:hAnsi="Open Sans" w:cs="Open Sans"/>
                  <w:sz w:val="20"/>
                  <w:szCs w:val="20"/>
                </w:rPr>
                <w:t>Informe Anual de Gobierno Corporativo 2015</w:t>
              </w:r>
            </w:hyperlink>
          </w:p>
        </w:tc>
        <w:tc>
          <w:tcPr>
            <w:tcW w:w="212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9D4C721" w14:textId="77777777" w:rsidR="0099187E" w:rsidRPr="00724C1E" w:rsidRDefault="0099187E" w:rsidP="003E002C">
            <w:pPr>
              <w:jc w:val="both"/>
              <w:rPr>
                <w:rFonts w:ascii="Open Sans" w:eastAsia="Arial Unicode MS" w:hAnsi="Open Sans" w:cs="Open Sans"/>
                <w:sz w:val="20"/>
                <w:szCs w:val="20"/>
              </w:rPr>
            </w:pPr>
          </w:p>
        </w:tc>
      </w:tr>
      <w:tr w:rsidR="0099187E" w:rsidRPr="00724C1E" w14:paraId="7340B094" w14:textId="77777777" w:rsidTr="003E002C">
        <w:trPr>
          <w:trHeight w:val="291"/>
        </w:trPr>
        <w:tc>
          <w:tcPr>
            <w:tcW w:w="639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95C7BBE" w14:textId="77777777" w:rsidR="0099187E" w:rsidRPr="002B0B0A" w:rsidRDefault="007F55EB" w:rsidP="003E002C">
            <w:pPr>
              <w:rPr>
                <w:rFonts w:ascii="Open Sans" w:hAnsi="Open Sans" w:cs="Open Sans"/>
                <w:color w:val="000000"/>
                <w:sz w:val="20"/>
                <w:szCs w:val="20"/>
              </w:rPr>
            </w:pPr>
            <w:hyperlink r:id="rId84" w:history="1">
              <w:r w:rsidR="0099187E" w:rsidRPr="002B0B0A">
                <w:rPr>
                  <w:rStyle w:val="Hipervnculo"/>
                  <w:rFonts w:ascii="Open Sans" w:hAnsi="Open Sans" w:cs="Open Sans"/>
                  <w:sz w:val="20"/>
                  <w:szCs w:val="20"/>
                </w:rPr>
                <w:t>Código de conducta de Gamesa y de su grupo de sociedades</w:t>
              </w:r>
            </w:hyperlink>
          </w:p>
        </w:tc>
        <w:tc>
          <w:tcPr>
            <w:tcW w:w="212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C041258" w14:textId="77777777" w:rsidR="0099187E" w:rsidRPr="00724C1E" w:rsidRDefault="0099187E" w:rsidP="003E002C">
            <w:pPr>
              <w:jc w:val="both"/>
              <w:rPr>
                <w:rFonts w:ascii="Open Sans" w:eastAsia="Arial Unicode MS" w:hAnsi="Open Sans" w:cs="Open Sans"/>
                <w:sz w:val="20"/>
                <w:szCs w:val="20"/>
              </w:rPr>
            </w:pPr>
          </w:p>
        </w:tc>
      </w:tr>
      <w:tr w:rsidR="0099187E" w:rsidRPr="00724C1E" w14:paraId="72486E44" w14:textId="77777777" w:rsidTr="003E002C">
        <w:trPr>
          <w:trHeight w:val="291"/>
        </w:trPr>
        <w:tc>
          <w:tcPr>
            <w:tcW w:w="6392"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13C30C4A" w14:textId="725DB96A" w:rsidR="0099187E" w:rsidRPr="002B0B0A" w:rsidRDefault="007F55EB" w:rsidP="003E002C">
            <w:pPr>
              <w:rPr>
                <w:rFonts w:ascii="Open Sans" w:hAnsi="Open Sans" w:cs="Open Sans"/>
                <w:color w:val="000000"/>
                <w:sz w:val="20"/>
                <w:szCs w:val="20"/>
              </w:rPr>
            </w:pPr>
            <w:hyperlink r:id="rId85" w:history="1">
              <w:r w:rsidR="0099187E" w:rsidRPr="002B0B0A">
                <w:rPr>
                  <w:rStyle w:val="Hipervnculo"/>
                  <w:rFonts w:ascii="Open Sans" w:hAnsi="Open Sans" w:cs="Open Sans"/>
                  <w:sz w:val="20"/>
                  <w:szCs w:val="20"/>
                </w:rPr>
                <w:t>Estatutos de la sociedad Gamesa</w:t>
              </w:r>
            </w:hyperlink>
          </w:p>
        </w:tc>
        <w:tc>
          <w:tcPr>
            <w:tcW w:w="2126"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CBB235D" w14:textId="77777777" w:rsidR="0099187E" w:rsidRPr="00724C1E" w:rsidRDefault="0099187E" w:rsidP="003E002C">
            <w:pPr>
              <w:jc w:val="both"/>
              <w:rPr>
                <w:rFonts w:ascii="Open Sans" w:eastAsia="Arial Unicode MS" w:hAnsi="Open Sans" w:cs="Open Sans"/>
                <w:sz w:val="20"/>
                <w:szCs w:val="20"/>
              </w:rPr>
            </w:pPr>
          </w:p>
        </w:tc>
      </w:tr>
      <w:tr w:rsidR="0099187E" w:rsidRPr="00724C1E" w14:paraId="11EEDCEC" w14:textId="77777777" w:rsidTr="003E002C">
        <w:trPr>
          <w:trHeight w:val="291"/>
        </w:trPr>
        <w:tc>
          <w:tcPr>
            <w:tcW w:w="6392"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FBB0B7B" w14:textId="77777777" w:rsidR="0099187E" w:rsidRPr="002B0B0A" w:rsidRDefault="007F55EB" w:rsidP="003E002C">
            <w:pPr>
              <w:rPr>
                <w:rFonts w:ascii="Open Sans" w:hAnsi="Open Sans" w:cs="Open Sans"/>
                <w:color w:val="000000"/>
                <w:sz w:val="20"/>
                <w:szCs w:val="20"/>
              </w:rPr>
            </w:pPr>
            <w:hyperlink r:id="rId86" w:history="1">
              <w:r w:rsidR="0099187E" w:rsidRPr="002B0B0A">
                <w:rPr>
                  <w:rStyle w:val="Hipervnculo"/>
                  <w:rFonts w:ascii="Open Sans" w:hAnsi="Open Sans" w:cs="Open Sans"/>
                  <w:sz w:val="20"/>
                  <w:szCs w:val="20"/>
                </w:rPr>
                <w:t>Política fiscal corporativa de Gamesa</w:t>
              </w:r>
            </w:hyperlink>
          </w:p>
        </w:tc>
        <w:tc>
          <w:tcPr>
            <w:tcW w:w="2126"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25B4535D" w14:textId="77777777" w:rsidR="0099187E" w:rsidRPr="00724C1E" w:rsidRDefault="0099187E" w:rsidP="003E002C">
            <w:pPr>
              <w:jc w:val="both"/>
              <w:rPr>
                <w:rFonts w:ascii="Open Sans" w:eastAsia="Arial Unicode MS" w:hAnsi="Open Sans" w:cs="Open Sans"/>
                <w:sz w:val="20"/>
                <w:szCs w:val="20"/>
              </w:rPr>
            </w:pPr>
          </w:p>
        </w:tc>
      </w:tr>
    </w:tbl>
    <w:p w14:paraId="139DFDD0" w14:textId="77777777" w:rsidR="0099187E" w:rsidRPr="00724C1E" w:rsidRDefault="0099187E" w:rsidP="0099187E">
      <w:pPr>
        <w:jc w:val="both"/>
        <w:rPr>
          <w:rFonts w:ascii="Open Sans" w:hAnsi="Open Sans" w:cs="Open Sans"/>
          <w:b/>
          <w:sz w:val="20"/>
          <w:szCs w:val="20"/>
        </w:rPr>
      </w:pPr>
    </w:p>
    <w:p w14:paraId="2F1ED141" w14:textId="77777777" w:rsidR="0099187E" w:rsidRPr="00724C1E" w:rsidRDefault="0099187E" w:rsidP="0099187E">
      <w:pPr>
        <w:jc w:val="both"/>
        <w:rPr>
          <w:rFonts w:ascii="Open Sans" w:hAnsi="Open Sans" w:cs="Open Sans"/>
          <w:b/>
          <w:sz w:val="20"/>
          <w:szCs w:val="20"/>
        </w:rPr>
      </w:pPr>
    </w:p>
    <w:p w14:paraId="4C4E8966" w14:textId="77777777" w:rsidR="0099187E" w:rsidRPr="00724C1E" w:rsidRDefault="0099187E" w:rsidP="0099187E">
      <w:pPr>
        <w:jc w:val="both"/>
        <w:rPr>
          <w:rFonts w:ascii="Open Sans" w:hAnsi="Open Sans" w:cs="Open Sans"/>
          <w:b/>
          <w:sz w:val="20"/>
          <w:szCs w:val="20"/>
          <w:u w:val="single"/>
        </w:rPr>
      </w:pPr>
      <w:r>
        <w:rPr>
          <w:rFonts w:ascii="Open Sans" w:hAnsi="Open Sans" w:cs="Open Sans"/>
          <w:b/>
          <w:sz w:val="20"/>
          <w:szCs w:val="20"/>
          <w:u w:val="single"/>
        </w:rPr>
        <w:t>2. Tabla</w:t>
      </w:r>
      <w:r w:rsidRPr="00724C1E">
        <w:rPr>
          <w:rFonts w:ascii="Open Sans" w:hAnsi="Open Sans" w:cs="Open Sans"/>
          <w:b/>
          <w:sz w:val="20"/>
          <w:szCs w:val="20"/>
          <w:u w:val="single"/>
        </w:rPr>
        <w:t xml:space="preserve"> de resultados</w:t>
      </w:r>
    </w:p>
    <w:p w14:paraId="7BF9DF46" w14:textId="77777777" w:rsidR="0099187E" w:rsidRDefault="0099187E" w:rsidP="0099187E">
      <w:pPr>
        <w:jc w:val="both"/>
        <w:rPr>
          <w:rFonts w:ascii="Open Sans" w:hAnsi="Open Sans" w:cs="Open Sans"/>
          <w:b/>
          <w:color w:val="FF0000"/>
          <w:sz w:val="20"/>
          <w:szCs w:val="20"/>
        </w:rPr>
      </w:pPr>
    </w:p>
    <w:p w14:paraId="3BF77CBC" w14:textId="77777777" w:rsidR="0099187E" w:rsidRDefault="0099187E" w:rsidP="0099187E">
      <w:pPr>
        <w:jc w:val="both"/>
      </w:pPr>
    </w:p>
    <w:p w14:paraId="20791F53" w14:textId="77777777" w:rsidR="0099187E" w:rsidRPr="007829A9" w:rsidRDefault="0099187E" w:rsidP="0099187E">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61B383A0" w14:textId="77777777" w:rsidR="0099187E" w:rsidRPr="00732FD5" w:rsidRDefault="0099187E" w:rsidP="0099187E">
      <w:pPr>
        <w:rPr>
          <w:rFonts w:ascii="Open Sans" w:hAnsi="Open Sans" w:cs="Arial"/>
          <w:b/>
        </w:rPr>
      </w:pPr>
    </w:p>
    <w:p w14:paraId="3ECD6E1D" w14:textId="69150FC9" w:rsidR="0099187E" w:rsidRDefault="0099187E" w:rsidP="0099187E">
      <w:pPr>
        <w:jc w:val="center"/>
      </w:pPr>
      <w:r>
        <w:rPr>
          <w:noProof/>
          <w:lang w:val="es-ES"/>
        </w:rPr>
        <w:drawing>
          <wp:inline distT="0" distB="0" distL="0" distR="0" wp14:anchorId="7E48FB91" wp14:editId="710BB469">
            <wp:extent cx="3686175" cy="1857375"/>
            <wp:effectExtent l="0" t="0" r="9525"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3686175" cy="1857375"/>
                    </a:xfrm>
                    <a:prstGeom prst="rect">
                      <a:avLst/>
                    </a:prstGeom>
                    <a:noFill/>
                    <a:ln>
                      <a:noFill/>
                    </a:ln>
                  </pic:spPr>
                </pic:pic>
              </a:graphicData>
            </a:graphic>
          </wp:inline>
        </w:drawing>
      </w:r>
    </w:p>
    <w:p w14:paraId="6A0611F8" w14:textId="77777777" w:rsidR="0099187E" w:rsidRDefault="0099187E" w:rsidP="0099187E">
      <w:pPr>
        <w:jc w:val="both"/>
      </w:pPr>
    </w:p>
    <w:p w14:paraId="05EC4338" w14:textId="77777777" w:rsidR="0099187E" w:rsidRDefault="0099187E" w:rsidP="0099187E">
      <w:pPr>
        <w:jc w:val="both"/>
      </w:pPr>
    </w:p>
    <w:p w14:paraId="53DB72F1" w14:textId="77777777" w:rsidR="0099187E" w:rsidRDefault="0099187E" w:rsidP="0099187E">
      <w:pPr>
        <w:jc w:val="both"/>
        <w:rPr>
          <w:rFonts w:ascii="Open Sans" w:hAnsi="Open Sans" w:cs="Open Sans"/>
          <w:b/>
          <w:color w:val="FF0000"/>
          <w:sz w:val="20"/>
          <w:szCs w:val="20"/>
        </w:rPr>
      </w:pPr>
    </w:p>
    <w:p w14:paraId="24D558DA" w14:textId="77777777" w:rsidR="0099187E" w:rsidRPr="00724C1E" w:rsidRDefault="0099187E" w:rsidP="0099187E">
      <w:pPr>
        <w:jc w:val="both"/>
        <w:rPr>
          <w:rFonts w:ascii="Open Sans" w:hAnsi="Open Sans" w:cs="Open Sans"/>
          <w:b/>
          <w:color w:val="FF0000"/>
          <w:sz w:val="20"/>
          <w:szCs w:val="20"/>
        </w:rPr>
      </w:pPr>
    </w:p>
    <w:p w14:paraId="27BE59BF" w14:textId="77777777" w:rsidR="0099187E" w:rsidRPr="00724C1E" w:rsidRDefault="0099187E" w:rsidP="0099187E">
      <w:pPr>
        <w:jc w:val="both"/>
        <w:rPr>
          <w:rFonts w:ascii="Open Sans" w:hAnsi="Open Sans" w:cs="Open Sans"/>
          <w:b/>
          <w:sz w:val="20"/>
          <w:szCs w:val="20"/>
          <w:u w:val="single"/>
        </w:rPr>
      </w:pPr>
      <w:r>
        <w:rPr>
          <w:rFonts w:ascii="Open Sans" w:hAnsi="Open Sans" w:cs="Open Sans"/>
          <w:b/>
          <w:sz w:val="20"/>
          <w:szCs w:val="20"/>
          <w:u w:val="single"/>
        </w:rPr>
        <w:br w:type="page"/>
      </w:r>
    </w:p>
    <w:p w14:paraId="4C85B0DA" w14:textId="77777777" w:rsidR="0099187E" w:rsidRPr="00724C1E" w:rsidRDefault="0099187E" w:rsidP="0099187E">
      <w:pPr>
        <w:jc w:val="center"/>
        <w:rPr>
          <w:rFonts w:ascii="Open Sans" w:hAnsi="Open Sans" w:cs="Open Sans"/>
          <w:b/>
          <w:sz w:val="20"/>
          <w:szCs w:val="20"/>
        </w:rPr>
      </w:pPr>
    </w:p>
    <w:p w14:paraId="3FDE8B70" w14:textId="77777777" w:rsidR="0099187E" w:rsidRPr="00724C1E" w:rsidRDefault="0099187E" w:rsidP="0099187E">
      <w:pPr>
        <w:jc w:val="both"/>
        <w:rPr>
          <w:rFonts w:ascii="Open Sans" w:hAnsi="Open Sans" w:cs="Open Sans"/>
          <w:b/>
          <w:sz w:val="20"/>
          <w:szCs w:val="20"/>
        </w:rPr>
      </w:pPr>
      <w:r w:rsidRPr="00724C1E">
        <w:rPr>
          <w:rFonts w:ascii="Open Sans" w:hAnsi="Open Sans" w:cs="Open Sans"/>
          <w:b/>
          <w:sz w:val="20"/>
          <w:szCs w:val="20"/>
          <w:u w:val="single"/>
        </w:rPr>
        <w:t>3. Contexto general</w:t>
      </w:r>
    </w:p>
    <w:p w14:paraId="57982546" w14:textId="77777777" w:rsidR="0099187E" w:rsidRPr="00724C1E" w:rsidRDefault="0099187E" w:rsidP="0099187E">
      <w:pPr>
        <w:jc w:val="both"/>
        <w:rPr>
          <w:rFonts w:ascii="Open Sans" w:hAnsi="Open Sans" w:cs="Open Sans"/>
          <w:b/>
          <w:sz w:val="20"/>
          <w:szCs w:val="20"/>
        </w:rPr>
      </w:pPr>
    </w:p>
    <w:p w14:paraId="02DAC341" w14:textId="77777777" w:rsidR="0099187E" w:rsidRPr="00724C1E" w:rsidRDefault="0099187E" w:rsidP="0099187E">
      <w:pPr>
        <w:autoSpaceDE w:val="0"/>
        <w:autoSpaceDN w:val="0"/>
        <w:adjustRightInd w:val="0"/>
        <w:jc w:val="both"/>
        <w:rPr>
          <w:rFonts w:ascii="Open Sans" w:hAnsi="Open Sans" w:cs="Open Sans"/>
          <w:sz w:val="20"/>
          <w:szCs w:val="20"/>
        </w:rPr>
      </w:pPr>
      <w:r>
        <w:rPr>
          <w:rFonts w:ascii="Open Sans" w:hAnsi="Open Sans" w:cs="Open Sans"/>
          <w:sz w:val="20"/>
          <w:szCs w:val="20"/>
        </w:rPr>
        <w:t>La</w:t>
      </w:r>
      <w:r w:rsidRPr="00724C1E">
        <w:rPr>
          <w:rFonts w:ascii="Open Sans" w:hAnsi="Open Sans" w:cs="Open Sans"/>
          <w:sz w:val="20"/>
          <w:szCs w:val="20"/>
        </w:rPr>
        <w:t xml:space="preserve"> capitalización </w:t>
      </w:r>
      <w:r>
        <w:rPr>
          <w:rFonts w:ascii="Open Sans" w:hAnsi="Open Sans" w:cs="Open Sans"/>
          <w:sz w:val="20"/>
          <w:szCs w:val="20"/>
        </w:rPr>
        <w:t xml:space="preserve">bursátil de Gamesa </w:t>
      </w:r>
      <w:r w:rsidRPr="00724C1E">
        <w:rPr>
          <w:rFonts w:ascii="Open Sans" w:hAnsi="Open Sans" w:cs="Open Sans"/>
          <w:sz w:val="20"/>
          <w:szCs w:val="20"/>
        </w:rPr>
        <w:t xml:space="preserve">a diciembre de 2015 </w:t>
      </w:r>
      <w:r>
        <w:rPr>
          <w:rFonts w:ascii="Open Sans" w:hAnsi="Open Sans" w:cs="Open Sans"/>
          <w:sz w:val="20"/>
          <w:szCs w:val="20"/>
        </w:rPr>
        <w:t xml:space="preserve">era de 4.418 millones de euros. Por zonas geográficas, India aporta el 29% de las ventas de la compañía, Latinoamérica el 27%, Europa y resto de mundo el 18%, China el 13% y EE.UU el 11%. El importe neto de la cifra de negocio asciende a 3.504 millones de euros, no proporcionando explícitamente a cuánto asciende el EBITDA. </w:t>
      </w:r>
      <w:r w:rsidRPr="00724C1E">
        <w:rPr>
          <w:rFonts w:ascii="Open Sans" w:hAnsi="Open Sans" w:cs="Open Sans"/>
          <w:sz w:val="20"/>
          <w:szCs w:val="20"/>
        </w:rPr>
        <w:t xml:space="preserve">La deuda financiera neta de </w:t>
      </w:r>
      <w:r>
        <w:rPr>
          <w:rFonts w:ascii="Open Sans" w:hAnsi="Open Sans" w:cs="Open Sans"/>
          <w:sz w:val="20"/>
          <w:szCs w:val="20"/>
        </w:rPr>
        <w:t>Gamesa</w:t>
      </w:r>
      <w:r w:rsidRPr="00724C1E">
        <w:rPr>
          <w:rFonts w:ascii="Open Sans" w:hAnsi="Open Sans" w:cs="Open Sans"/>
          <w:sz w:val="20"/>
          <w:szCs w:val="20"/>
        </w:rPr>
        <w:t xml:space="preserve"> alcanza los </w:t>
      </w:r>
      <w:r>
        <w:rPr>
          <w:rFonts w:ascii="Open Sans" w:hAnsi="Open Sans" w:cs="Open Sans"/>
          <w:sz w:val="20"/>
          <w:szCs w:val="20"/>
        </w:rPr>
        <w:t>301</w:t>
      </w:r>
      <w:r w:rsidRPr="00724C1E">
        <w:rPr>
          <w:rFonts w:ascii="Open Sans" w:hAnsi="Open Sans" w:cs="Open Sans"/>
          <w:sz w:val="20"/>
          <w:szCs w:val="20"/>
        </w:rPr>
        <w:t xml:space="preserve"> millones de euros a 31 de diciembre de 2015.</w:t>
      </w:r>
    </w:p>
    <w:p w14:paraId="1D813968" w14:textId="77777777" w:rsidR="0099187E" w:rsidRPr="00724C1E" w:rsidRDefault="0099187E" w:rsidP="0099187E">
      <w:pPr>
        <w:autoSpaceDE w:val="0"/>
        <w:autoSpaceDN w:val="0"/>
        <w:adjustRightInd w:val="0"/>
        <w:rPr>
          <w:rFonts w:ascii="Open Sans" w:hAnsi="Open Sans" w:cs="Open Sans"/>
          <w:sz w:val="20"/>
          <w:szCs w:val="20"/>
        </w:rPr>
      </w:pPr>
    </w:p>
    <w:p w14:paraId="01840562" w14:textId="77777777" w:rsidR="0099187E" w:rsidRDefault="0099187E" w:rsidP="0099187E">
      <w:pPr>
        <w:autoSpaceDE w:val="0"/>
        <w:autoSpaceDN w:val="0"/>
        <w:adjustRightInd w:val="0"/>
        <w:jc w:val="both"/>
        <w:rPr>
          <w:rFonts w:ascii="Open Sans" w:hAnsi="Open Sans" w:cs="Open Sans"/>
          <w:sz w:val="20"/>
          <w:szCs w:val="20"/>
        </w:rPr>
      </w:pPr>
      <w:r w:rsidRPr="007725D0">
        <w:rPr>
          <w:rFonts w:ascii="Open Sans" w:hAnsi="Open Sans" w:cs="Open Sans"/>
          <w:sz w:val="20"/>
          <w:szCs w:val="20"/>
        </w:rPr>
        <w:t>En lo que respecta a los riesgos derivados del alcance geográfico de las operaciones y sector de actividad, pueden señalarse varios. El sector eléctrico está fuertemente regulado, ya que suele considerarse un sector estratégico clave para el desarrollo económico, así como para el mantenimiento de la soberanía nacional (reducción de la dependencia energética del exterior). Esta situación hace que la relación de las empresas del sector con la Administración Pública sea inevitable, lo que implica una exposición de riesgo elevado en materia de corrupción. En este aspecto, cabe subrayar que Gamesa opera o tiene presencia en países que, según la organización Transparencia Internacional, tienen un elevado riesgo de corrupción. Estos países son India, Vietnam, Tailandia, Argelia, Marruecos, Venezuela, República Dominicana y Honduras, entre otros</w:t>
      </w:r>
      <w:r w:rsidRPr="007725D0">
        <w:rPr>
          <w:rStyle w:val="Refdenotaalpie"/>
          <w:rFonts w:ascii="Open Sans" w:hAnsi="Open Sans" w:cs="Open Sans"/>
          <w:sz w:val="20"/>
          <w:szCs w:val="20"/>
        </w:rPr>
        <w:footnoteReference w:id="411"/>
      </w:r>
      <w:r w:rsidRPr="007725D0">
        <w:rPr>
          <w:rFonts w:ascii="Open Sans" w:hAnsi="Open Sans" w:cs="Open Sans"/>
          <w:sz w:val="20"/>
          <w:szCs w:val="20"/>
        </w:rPr>
        <w:t>.</w:t>
      </w:r>
      <w:r>
        <w:rPr>
          <w:rFonts w:ascii="Open Sans" w:hAnsi="Open Sans" w:cs="Open Sans"/>
          <w:sz w:val="20"/>
          <w:szCs w:val="20"/>
        </w:rPr>
        <w:t xml:space="preserve"> </w:t>
      </w:r>
    </w:p>
    <w:p w14:paraId="40CF265E" w14:textId="77777777" w:rsidR="0099187E" w:rsidRDefault="0099187E" w:rsidP="0099187E">
      <w:pPr>
        <w:autoSpaceDE w:val="0"/>
        <w:autoSpaceDN w:val="0"/>
        <w:adjustRightInd w:val="0"/>
        <w:jc w:val="both"/>
        <w:rPr>
          <w:rFonts w:ascii="Open Sans" w:hAnsi="Open Sans" w:cs="Open Sans"/>
          <w:sz w:val="20"/>
          <w:szCs w:val="20"/>
        </w:rPr>
      </w:pPr>
    </w:p>
    <w:p w14:paraId="65FFAC9A" w14:textId="77777777" w:rsidR="0099187E" w:rsidRDefault="0099187E" w:rsidP="0099187E">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Las energías renovables están en plena expansión. Muchos gobiernos han apostado por ellos para reducir su dependencia energética y diversificar su mix energético (variedad de fuentes de producción de energía: carbón, petróleo, gas, nuclear, renovables, etc.). Por tanto, las empresas dedicadas a las energías renovables reciben año a año importantes subvenciones. Puesto que esas fuentes de financiación son públicas, los ciudadanos de los países que conceden subvenciones a las energías renovables tienen derecho a reclamar a las compañías subvencionas transparencia al respecto, disponiendo de información sobre la cuantía de las subvenciones, su propósito, su duración y cómo se fiscalizan, entre otros. </w:t>
      </w:r>
    </w:p>
    <w:p w14:paraId="1C8D8E0D" w14:textId="77777777" w:rsidR="0099187E" w:rsidRDefault="0099187E" w:rsidP="0099187E">
      <w:pPr>
        <w:autoSpaceDE w:val="0"/>
        <w:autoSpaceDN w:val="0"/>
        <w:adjustRightInd w:val="0"/>
        <w:jc w:val="both"/>
        <w:rPr>
          <w:rFonts w:ascii="Open Sans" w:hAnsi="Open Sans" w:cs="Open Sans"/>
          <w:sz w:val="20"/>
          <w:szCs w:val="20"/>
        </w:rPr>
      </w:pPr>
    </w:p>
    <w:p w14:paraId="7D8F5718" w14:textId="77777777" w:rsidR="0099187E" w:rsidRPr="007725D0" w:rsidRDefault="0099187E" w:rsidP="0099187E">
      <w:pPr>
        <w:autoSpaceDE w:val="0"/>
        <w:autoSpaceDN w:val="0"/>
        <w:adjustRightInd w:val="0"/>
        <w:jc w:val="both"/>
        <w:rPr>
          <w:rFonts w:ascii="Open Sans" w:hAnsi="Open Sans" w:cs="Open Sans"/>
          <w:sz w:val="20"/>
          <w:szCs w:val="20"/>
        </w:rPr>
      </w:pPr>
      <w:r w:rsidRPr="007725D0">
        <w:rPr>
          <w:rFonts w:ascii="Open Sans" w:hAnsi="Open Sans" w:cs="Open Sans"/>
          <w:sz w:val="20"/>
          <w:szCs w:val="20"/>
        </w:rPr>
        <w:t xml:space="preserve">Además, el sector eléctrico presenta características propias de monopolios naturales (situaciones en las que, desde un punto de vista económico, es más eficiente que un bien o servicio sea provisto por una sola empresa). En estas circunstancias, los mercados no se rigen por las fuerzas de la competencia. Además, los consumidores tienen menos poder para negociar con la empresa, así como para dejar de ser clientes en el caso de que la compañía muestre conductas no responsables. </w:t>
      </w:r>
    </w:p>
    <w:p w14:paraId="7F0D33C5" w14:textId="77777777" w:rsidR="0099187E" w:rsidRPr="007725D0" w:rsidRDefault="0099187E" w:rsidP="0099187E">
      <w:pPr>
        <w:autoSpaceDE w:val="0"/>
        <w:autoSpaceDN w:val="0"/>
        <w:adjustRightInd w:val="0"/>
        <w:jc w:val="both"/>
        <w:rPr>
          <w:rFonts w:ascii="Open Sans" w:hAnsi="Open Sans" w:cs="Open Sans"/>
          <w:sz w:val="20"/>
          <w:szCs w:val="20"/>
        </w:rPr>
      </w:pPr>
    </w:p>
    <w:p w14:paraId="3887F6BE" w14:textId="77777777" w:rsidR="0099187E" w:rsidRDefault="0099187E" w:rsidP="0099187E">
      <w:pPr>
        <w:autoSpaceDE w:val="0"/>
        <w:autoSpaceDN w:val="0"/>
        <w:adjustRightInd w:val="0"/>
        <w:jc w:val="both"/>
        <w:rPr>
          <w:rFonts w:ascii="Open Sans" w:hAnsi="Open Sans" w:cs="Open Sans"/>
          <w:sz w:val="20"/>
          <w:szCs w:val="20"/>
        </w:rPr>
      </w:pPr>
      <w:r w:rsidRPr="007725D0">
        <w:rPr>
          <w:rFonts w:ascii="Open Sans" w:hAnsi="Open Sans" w:cs="Open Sans"/>
          <w:sz w:val="20"/>
          <w:szCs w:val="20"/>
        </w:rPr>
        <w:t xml:space="preserve">Otro riesgo importante deriva de uno de los objetos sociales de Gamesa. Además de dedicarse a las energías renovables, la compañía tiene como propósito actuar como sociedad holding, por lo que participa en el capital del resto de empresas del grupo, ya sea de forma directa o indirecta. Esta actividad, de eminente carácter financiero, corre el riesgo de llevarse a cabo a través de sociedades sitas en paraísos </w:t>
      </w:r>
      <w:r>
        <w:rPr>
          <w:rFonts w:ascii="Open Sans" w:hAnsi="Open Sans" w:cs="Open Sans"/>
          <w:sz w:val="20"/>
          <w:szCs w:val="20"/>
        </w:rPr>
        <w:t xml:space="preserve">o nichos </w:t>
      </w:r>
      <w:r w:rsidRPr="007725D0">
        <w:rPr>
          <w:rFonts w:ascii="Open Sans" w:hAnsi="Open Sans" w:cs="Open Sans"/>
          <w:sz w:val="20"/>
          <w:szCs w:val="20"/>
        </w:rPr>
        <w:t>fiscales, ya que estas jurisdicciones ofrecen ventajas a aquellas empresas dedicadas, entre otros propósitos, a la tenencia de acciones.</w:t>
      </w:r>
      <w:r>
        <w:rPr>
          <w:rFonts w:ascii="Open Sans" w:hAnsi="Open Sans" w:cs="Open Sans"/>
          <w:sz w:val="20"/>
          <w:szCs w:val="20"/>
        </w:rPr>
        <w:t xml:space="preserve"> </w:t>
      </w:r>
    </w:p>
    <w:p w14:paraId="53119956" w14:textId="77777777" w:rsidR="0099187E" w:rsidRDefault="0099187E" w:rsidP="0099187E">
      <w:pPr>
        <w:autoSpaceDE w:val="0"/>
        <w:autoSpaceDN w:val="0"/>
        <w:adjustRightInd w:val="0"/>
        <w:jc w:val="both"/>
        <w:rPr>
          <w:rFonts w:ascii="Open Sans" w:hAnsi="Open Sans" w:cs="Open Sans"/>
          <w:sz w:val="20"/>
          <w:szCs w:val="20"/>
        </w:rPr>
      </w:pPr>
    </w:p>
    <w:p w14:paraId="65344890" w14:textId="77777777" w:rsidR="0099187E" w:rsidRDefault="0099187E" w:rsidP="0099187E">
      <w:pPr>
        <w:autoSpaceDE w:val="0"/>
        <w:autoSpaceDN w:val="0"/>
        <w:adjustRightInd w:val="0"/>
        <w:jc w:val="both"/>
        <w:rPr>
          <w:rFonts w:ascii="Open Sans" w:hAnsi="Open Sans" w:cs="Open Sans"/>
          <w:sz w:val="20"/>
          <w:szCs w:val="20"/>
        </w:rPr>
      </w:pPr>
      <w:r>
        <w:rPr>
          <w:rFonts w:ascii="Open Sans" w:hAnsi="Open Sans" w:cs="Open Sans"/>
          <w:sz w:val="20"/>
          <w:szCs w:val="20"/>
        </w:rPr>
        <w:t>Los compromisos de Gamesa en sostenibilidad se ven rubricados en la participación en iniciativas como el Pacto Mundial de Naciones Unidas</w:t>
      </w:r>
      <w:r w:rsidRPr="00781264">
        <w:rPr>
          <w:rFonts w:ascii="Open Sans" w:hAnsi="Open Sans" w:cs="Open Sans"/>
          <w:sz w:val="20"/>
          <w:szCs w:val="20"/>
        </w:rPr>
        <w:t>, la Declaración</w:t>
      </w:r>
      <w:r>
        <w:rPr>
          <w:rFonts w:ascii="Open Sans" w:hAnsi="Open Sans" w:cs="Open Sans"/>
          <w:sz w:val="20"/>
          <w:szCs w:val="20"/>
        </w:rPr>
        <w:t xml:space="preserve"> Tripartita</w:t>
      </w:r>
      <w:r w:rsidRPr="00781264">
        <w:rPr>
          <w:rFonts w:ascii="Open Sans" w:hAnsi="Open Sans" w:cs="Open Sans"/>
          <w:sz w:val="20"/>
          <w:szCs w:val="20"/>
        </w:rPr>
        <w:t xml:space="preserve"> de principios sobre las empresas multinacionales y la política social de</w:t>
      </w:r>
      <w:r>
        <w:rPr>
          <w:rFonts w:ascii="Open Sans" w:hAnsi="Open Sans" w:cs="Open Sans"/>
          <w:sz w:val="20"/>
          <w:szCs w:val="20"/>
        </w:rPr>
        <w:t xml:space="preserve"> </w:t>
      </w:r>
      <w:r w:rsidRPr="00781264">
        <w:rPr>
          <w:rFonts w:ascii="Open Sans" w:hAnsi="Open Sans" w:cs="Open Sans"/>
          <w:sz w:val="20"/>
          <w:szCs w:val="20"/>
        </w:rPr>
        <w:t>la Organiz</w:t>
      </w:r>
      <w:r>
        <w:rPr>
          <w:rFonts w:ascii="Open Sans" w:hAnsi="Open Sans" w:cs="Open Sans"/>
          <w:sz w:val="20"/>
          <w:szCs w:val="20"/>
        </w:rPr>
        <w:t xml:space="preserve">ación Internacional del Trabajo y los </w:t>
      </w:r>
      <w:r w:rsidRPr="00781264">
        <w:rPr>
          <w:rFonts w:ascii="Open Sans" w:hAnsi="Open Sans" w:cs="Open Sans"/>
          <w:sz w:val="20"/>
          <w:szCs w:val="20"/>
        </w:rPr>
        <w:t>Principios para el Empoderamiento de la mujer</w:t>
      </w:r>
      <w:r>
        <w:rPr>
          <w:rFonts w:ascii="Open Sans" w:hAnsi="Open Sans" w:cs="Open Sans"/>
          <w:sz w:val="20"/>
          <w:szCs w:val="20"/>
        </w:rPr>
        <w:t xml:space="preserve"> </w:t>
      </w:r>
      <w:r w:rsidRPr="00781264">
        <w:rPr>
          <w:rFonts w:ascii="Open Sans" w:hAnsi="Open Sans" w:cs="Open Sans"/>
          <w:sz w:val="20"/>
          <w:szCs w:val="20"/>
        </w:rPr>
        <w:t>del Fondo de Desarrollo de las Naciones Unidas para l</w:t>
      </w:r>
      <w:r>
        <w:rPr>
          <w:rFonts w:ascii="Open Sans" w:hAnsi="Open Sans" w:cs="Open Sans"/>
          <w:sz w:val="20"/>
          <w:szCs w:val="20"/>
        </w:rPr>
        <w:t xml:space="preserve">a Mujer (UNIFEM).  Respecto a los compromisos en materia fiscal, Gamesa suscribe la </w:t>
      </w:r>
      <w:r w:rsidRPr="00781264">
        <w:rPr>
          <w:rFonts w:ascii="Open Sans" w:hAnsi="Open Sans" w:cs="Open Sans"/>
          <w:sz w:val="20"/>
          <w:szCs w:val="20"/>
        </w:rPr>
        <w:t>Convención de las Naciones</w:t>
      </w:r>
      <w:r>
        <w:rPr>
          <w:rFonts w:ascii="Open Sans" w:hAnsi="Open Sans" w:cs="Open Sans"/>
          <w:sz w:val="20"/>
          <w:szCs w:val="20"/>
        </w:rPr>
        <w:t xml:space="preserve"> </w:t>
      </w:r>
      <w:r w:rsidRPr="00781264">
        <w:rPr>
          <w:rFonts w:ascii="Open Sans" w:hAnsi="Open Sans" w:cs="Open Sans"/>
          <w:sz w:val="20"/>
          <w:szCs w:val="20"/>
        </w:rPr>
        <w:t>Unidas contra la Corrupción</w:t>
      </w:r>
      <w:r>
        <w:rPr>
          <w:rFonts w:ascii="Open Sans" w:hAnsi="Open Sans" w:cs="Open Sans"/>
          <w:sz w:val="20"/>
          <w:szCs w:val="20"/>
        </w:rPr>
        <w:t xml:space="preserve"> y las </w:t>
      </w:r>
      <w:r w:rsidRPr="00F363AB">
        <w:rPr>
          <w:rFonts w:ascii="Open Sans" w:hAnsi="Open Sans" w:cs="Open Sans"/>
          <w:sz w:val="20"/>
          <w:szCs w:val="20"/>
        </w:rPr>
        <w:t>Líneas Directrices de la OCDE para Empresas Multinacionales</w:t>
      </w:r>
      <w:r>
        <w:rPr>
          <w:rFonts w:ascii="Open Sans" w:hAnsi="Open Sans" w:cs="Open Sans"/>
          <w:sz w:val="20"/>
          <w:szCs w:val="20"/>
        </w:rPr>
        <w:t xml:space="preserve">. </w:t>
      </w:r>
    </w:p>
    <w:p w14:paraId="21D0B1BA" w14:textId="77777777" w:rsidR="0099187E" w:rsidRDefault="0099187E" w:rsidP="0099187E">
      <w:pPr>
        <w:autoSpaceDE w:val="0"/>
        <w:autoSpaceDN w:val="0"/>
        <w:adjustRightInd w:val="0"/>
        <w:jc w:val="both"/>
        <w:rPr>
          <w:rFonts w:ascii="Open Sans" w:hAnsi="Open Sans" w:cs="Open Sans"/>
          <w:sz w:val="20"/>
          <w:szCs w:val="20"/>
        </w:rPr>
      </w:pPr>
    </w:p>
    <w:p w14:paraId="5E3EF83F" w14:textId="77777777" w:rsidR="0099187E" w:rsidRPr="00724C1E" w:rsidRDefault="0099187E" w:rsidP="0099187E">
      <w:pPr>
        <w:autoSpaceDE w:val="0"/>
        <w:autoSpaceDN w:val="0"/>
        <w:adjustRightInd w:val="0"/>
        <w:jc w:val="both"/>
        <w:rPr>
          <w:rFonts w:ascii="Open Sans" w:hAnsi="Open Sans" w:cs="Open Sans"/>
          <w:sz w:val="20"/>
          <w:szCs w:val="20"/>
        </w:rPr>
      </w:pPr>
      <w:r>
        <w:rPr>
          <w:rFonts w:ascii="Open Sans" w:hAnsi="Open Sans" w:cs="Open Sans"/>
          <w:sz w:val="20"/>
          <w:szCs w:val="20"/>
        </w:rPr>
        <w:t>Por último, señalar que Gamesa está incluida</w:t>
      </w:r>
      <w:r w:rsidRPr="00724C1E">
        <w:rPr>
          <w:rFonts w:ascii="Open Sans" w:hAnsi="Open Sans" w:cs="Open Sans"/>
          <w:sz w:val="20"/>
          <w:szCs w:val="20"/>
        </w:rPr>
        <w:t xml:space="preserve"> en los principales índices</w:t>
      </w:r>
      <w:r>
        <w:rPr>
          <w:rFonts w:ascii="Open Sans" w:hAnsi="Open Sans" w:cs="Open Sans"/>
          <w:sz w:val="20"/>
          <w:szCs w:val="20"/>
        </w:rPr>
        <w:t xml:space="preserve"> de sostenibilidad: </w:t>
      </w:r>
      <w:r w:rsidRPr="00781264">
        <w:rPr>
          <w:rFonts w:ascii="Open Sans" w:hAnsi="Open Sans" w:cs="Open Sans"/>
          <w:sz w:val="20"/>
          <w:szCs w:val="20"/>
        </w:rPr>
        <w:t>FTSE4Good</w:t>
      </w:r>
      <w:r>
        <w:rPr>
          <w:rFonts w:ascii="Open Sans" w:hAnsi="Open Sans" w:cs="Open Sans"/>
          <w:sz w:val="20"/>
          <w:szCs w:val="20"/>
        </w:rPr>
        <w:t xml:space="preserve">, </w:t>
      </w:r>
      <w:r w:rsidRPr="00781264">
        <w:rPr>
          <w:rFonts w:ascii="Open Sans" w:hAnsi="Open Sans" w:cs="Open Sans"/>
          <w:sz w:val="20"/>
          <w:szCs w:val="20"/>
        </w:rPr>
        <w:t>Ethibel Excellence Europe, Global Challenges Index y CleanTech index (CTIUS)</w:t>
      </w:r>
      <w:r w:rsidRPr="00724C1E">
        <w:rPr>
          <w:rFonts w:ascii="Open Sans" w:hAnsi="Open Sans" w:cs="Open Sans"/>
          <w:sz w:val="20"/>
          <w:szCs w:val="20"/>
        </w:rPr>
        <w:t xml:space="preserve">. </w:t>
      </w:r>
      <w:r>
        <w:rPr>
          <w:rFonts w:ascii="Open Sans" w:hAnsi="Open Sans" w:cs="Open Sans"/>
          <w:sz w:val="20"/>
          <w:szCs w:val="20"/>
        </w:rPr>
        <w:t>E</w:t>
      </w:r>
      <w:r w:rsidRPr="00724C1E">
        <w:rPr>
          <w:rFonts w:ascii="Open Sans" w:hAnsi="Open Sans" w:cs="Open Sans"/>
          <w:sz w:val="20"/>
          <w:szCs w:val="20"/>
        </w:rPr>
        <w:t>stos índices comienzan a contemplar los aspectos relativos a transparencia fiscal y fiscalidad responsable como criterios para la selección de empresas. Entre los índices que incluyen estos criterios se encuentra el FTSE4good</w:t>
      </w:r>
      <w:r w:rsidRPr="00724C1E">
        <w:rPr>
          <w:rStyle w:val="Refdenotaalpie"/>
          <w:rFonts w:ascii="Open Sans" w:hAnsi="Open Sans" w:cs="Open Sans"/>
          <w:sz w:val="20"/>
          <w:szCs w:val="20"/>
        </w:rPr>
        <w:footnoteReference w:id="412"/>
      </w:r>
    </w:p>
    <w:p w14:paraId="30C67443" w14:textId="77777777" w:rsidR="0099187E" w:rsidRPr="00724C1E" w:rsidRDefault="0099187E" w:rsidP="0099187E">
      <w:pPr>
        <w:jc w:val="both"/>
        <w:rPr>
          <w:rFonts w:ascii="Open Sans" w:hAnsi="Open Sans" w:cs="Open Sans"/>
          <w:sz w:val="20"/>
          <w:szCs w:val="20"/>
        </w:rPr>
      </w:pPr>
    </w:p>
    <w:p w14:paraId="623DC8AE" w14:textId="77777777" w:rsidR="0099187E" w:rsidRPr="00724C1E" w:rsidRDefault="0099187E" w:rsidP="0099187E">
      <w:pPr>
        <w:jc w:val="both"/>
        <w:rPr>
          <w:rFonts w:ascii="Open Sans" w:hAnsi="Open Sans" w:cs="Open Sans"/>
          <w:sz w:val="20"/>
          <w:szCs w:val="20"/>
        </w:rPr>
      </w:pPr>
    </w:p>
    <w:p w14:paraId="77489AE4" w14:textId="77777777" w:rsidR="0099187E" w:rsidRPr="00724C1E" w:rsidRDefault="0099187E" w:rsidP="0099187E">
      <w:pPr>
        <w:jc w:val="both"/>
        <w:rPr>
          <w:rFonts w:ascii="Open Sans" w:hAnsi="Open Sans" w:cs="Open Sans"/>
          <w:b/>
          <w:sz w:val="20"/>
          <w:szCs w:val="20"/>
          <w:u w:val="single"/>
        </w:rPr>
      </w:pPr>
      <w:r w:rsidRPr="00724C1E">
        <w:rPr>
          <w:rFonts w:ascii="Open Sans" w:hAnsi="Open Sans" w:cs="Open Sans"/>
          <w:b/>
          <w:sz w:val="20"/>
          <w:szCs w:val="20"/>
          <w:u w:val="single"/>
        </w:rPr>
        <w:t>4. Análisis</w:t>
      </w:r>
    </w:p>
    <w:p w14:paraId="376B1B4F" w14:textId="77777777" w:rsidR="0099187E" w:rsidRPr="00724C1E" w:rsidRDefault="0099187E" w:rsidP="0099187E">
      <w:pPr>
        <w:jc w:val="both"/>
        <w:rPr>
          <w:rFonts w:ascii="Open Sans" w:hAnsi="Open Sans" w:cs="Open Sans"/>
          <w:b/>
          <w:sz w:val="20"/>
          <w:szCs w:val="20"/>
        </w:rPr>
      </w:pPr>
    </w:p>
    <w:p w14:paraId="2303708E" w14:textId="77777777" w:rsidR="0099187E" w:rsidRDefault="0099187E" w:rsidP="0099187E">
      <w:pPr>
        <w:jc w:val="both"/>
        <w:rPr>
          <w:rFonts w:ascii="Open Sans" w:hAnsi="Open Sans" w:cs="Open Sans"/>
          <w:sz w:val="20"/>
          <w:szCs w:val="20"/>
        </w:rPr>
      </w:pPr>
      <w:r w:rsidRPr="007725D0">
        <w:rPr>
          <w:rFonts w:ascii="Open Sans" w:hAnsi="Open Sans" w:cs="Open Sans"/>
          <w:sz w:val="20"/>
          <w:szCs w:val="20"/>
        </w:rPr>
        <w:t xml:space="preserve">En el ámbito fiscal de una empresa y bajo la óptica de la responsabilidad social, existen varios aspectos relevantes: </w:t>
      </w:r>
    </w:p>
    <w:p w14:paraId="5601BCAB" w14:textId="77777777" w:rsidR="0099187E" w:rsidRPr="007725D0" w:rsidRDefault="0099187E" w:rsidP="0099187E">
      <w:pPr>
        <w:jc w:val="both"/>
        <w:rPr>
          <w:rFonts w:ascii="Open Sans" w:hAnsi="Open Sans" w:cs="Open Sans"/>
          <w:sz w:val="20"/>
          <w:szCs w:val="20"/>
        </w:rPr>
      </w:pPr>
    </w:p>
    <w:p w14:paraId="1BAFD818" w14:textId="77777777" w:rsidR="0099187E" w:rsidRPr="007725D0" w:rsidRDefault="0099187E" w:rsidP="000B70C9">
      <w:pPr>
        <w:numPr>
          <w:ilvl w:val="0"/>
          <w:numId w:val="104"/>
        </w:numPr>
        <w:jc w:val="both"/>
        <w:rPr>
          <w:rFonts w:ascii="Open Sans" w:hAnsi="Open Sans" w:cs="Open Sans"/>
          <w:sz w:val="20"/>
          <w:szCs w:val="20"/>
        </w:rPr>
      </w:pPr>
      <w:r w:rsidRPr="007725D0">
        <w:rPr>
          <w:rFonts w:ascii="Open Sans" w:hAnsi="Open Sans" w:cs="Open Sans"/>
          <w:sz w:val="20"/>
          <w:szCs w:val="20"/>
        </w:rPr>
        <w:t xml:space="preserve">Posición fiscal. Observar si existe una política fiscal y cómo se gestiona la fiscalidad, así como cuál es exactamente el compromiso de la empresa con la fiscalidad responsable. </w:t>
      </w:r>
    </w:p>
    <w:p w14:paraId="4401E0BE" w14:textId="77777777" w:rsidR="0099187E" w:rsidRPr="007725D0" w:rsidRDefault="0099187E" w:rsidP="000B70C9">
      <w:pPr>
        <w:numPr>
          <w:ilvl w:val="0"/>
          <w:numId w:val="104"/>
        </w:numPr>
        <w:jc w:val="both"/>
        <w:rPr>
          <w:rFonts w:ascii="Open Sans" w:hAnsi="Open Sans" w:cs="Open Sans"/>
          <w:sz w:val="20"/>
          <w:szCs w:val="20"/>
        </w:rPr>
      </w:pPr>
      <w:r w:rsidRPr="007725D0">
        <w:rPr>
          <w:rFonts w:ascii="Open Sans" w:hAnsi="Open Sans" w:cs="Open Sans"/>
          <w:sz w:val="20"/>
          <w:szCs w:val="20"/>
        </w:rPr>
        <w:t xml:space="preserve">Paraísos fiscales. Conocer si la empresa tiene presencia en paraísos y nichos fiscales, así como cuáles son las actividades que realiza desde esas jurisdicciones. </w:t>
      </w:r>
    </w:p>
    <w:p w14:paraId="1717B291" w14:textId="77777777" w:rsidR="0099187E" w:rsidRPr="007725D0" w:rsidRDefault="0099187E" w:rsidP="000B70C9">
      <w:pPr>
        <w:numPr>
          <w:ilvl w:val="0"/>
          <w:numId w:val="104"/>
        </w:numPr>
        <w:jc w:val="both"/>
        <w:rPr>
          <w:rFonts w:ascii="Open Sans" w:hAnsi="Open Sans" w:cs="Open Sans"/>
          <w:sz w:val="20"/>
          <w:szCs w:val="20"/>
        </w:rPr>
      </w:pPr>
      <w:r w:rsidRPr="007725D0">
        <w:rPr>
          <w:rFonts w:ascii="Open Sans" w:hAnsi="Open Sans" w:cs="Open Sans"/>
          <w:sz w:val="20"/>
          <w:szCs w:val="20"/>
        </w:rPr>
        <w:t xml:space="preserve">Contribución fiscal. Poner de manifiesto la contribución fiscal de la empresa, así como la gestión de incentivos fiscales como deducciones y créditos fiscales, por ejemplo. </w:t>
      </w:r>
    </w:p>
    <w:p w14:paraId="032A1A7A" w14:textId="77777777" w:rsidR="0099187E" w:rsidRPr="007725D0" w:rsidRDefault="0099187E" w:rsidP="000B70C9">
      <w:pPr>
        <w:numPr>
          <w:ilvl w:val="0"/>
          <w:numId w:val="104"/>
        </w:numPr>
        <w:jc w:val="both"/>
        <w:rPr>
          <w:rFonts w:ascii="Open Sans" w:hAnsi="Open Sans" w:cs="Open Sans"/>
          <w:sz w:val="20"/>
          <w:szCs w:val="20"/>
        </w:rPr>
      </w:pPr>
      <w:r w:rsidRPr="007725D0">
        <w:rPr>
          <w:rFonts w:ascii="Open Sans" w:hAnsi="Open Sans" w:cs="Open Sans"/>
          <w:sz w:val="20"/>
          <w:szCs w:val="20"/>
        </w:rPr>
        <w:t xml:space="preserve">Relación con la Administración Pública. Evidenciar cuál es relación de la empresa con la Administración Pública en materia fiscal. </w:t>
      </w:r>
    </w:p>
    <w:p w14:paraId="01467DD6" w14:textId="77777777" w:rsidR="0099187E" w:rsidRPr="007725D0" w:rsidRDefault="0099187E" w:rsidP="000B70C9">
      <w:pPr>
        <w:numPr>
          <w:ilvl w:val="0"/>
          <w:numId w:val="104"/>
        </w:numPr>
        <w:jc w:val="both"/>
        <w:rPr>
          <w:rFonts w:ascii="Open Sans" w:hAnsi="Open Sans" w:cs="Open Sans"/>
          <w:sz w:val="20"/>
          <w:szCs w:val="20"/>
        </w:rPr>
      </w:pPr>
      <w:r w:rsidRPr="007725D0">
        <w:rPr>
          <w:rFonts w:ascii="Open Sans" w:hAnsi="Open Sans" w:cs="Open Sans"/>
          <w:sz w:val="20"/>
          <w:szCs w:val="20"/>
        </w:rPr>
        <w:t>Otras cuestiones fiscales</w:t>
      </w:r>
    </w:p>
    <w:p w14:paraId="0856211D" w14:textId="77777777" w:rsidR="0099187E" w:rsidRDefault="0099187E" w:rsidP="0099187E">
      <w:pPr>
        <w:jc w:val="both"/>
        <w:rPr>
          <w:rFonts w:ascii="Open Sans" w:hAnsi="Open Sans" w:cs="Open Sans"/>
          <w:sz w:val="20"/>
          <w:szCs w:val="20"/>
        </w:rPr>
      </w:pPr>
    </w:p>
    <w:p w14:paraId="6B40F9A4"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A continuación analizaremos cada uno de ellos. </w:t>
      </w:r>
    </w:p>
    <w:p w14:paraId="36B60AC9" w14:textId="77777777" w:rsidR="0099187E" w:rsidRDefault="0099187E" w:rsidP="0099187E">
      <w:pPr>
        <w:jc w:val="both"/>
        <w:rPr>
          <w:rFonts w:ascii="Open Sans" w:hAnsi="Open Sans" w:cs="Open Sans"/>
          <w:sz w:val="20"/>
          <w:szCs w:val="20"/>
        </w:rPr>
      </w:pPr>
    </w:p>
    <w:p w14:paraId="00C896D1" w14:textId="77777777" w:rsidR="0099187E" w:rsidRDefault="0099187E" w:rsidP="0099187E">
      <w:pPr>
        <w:jc w:val="both"/>
        <w:rPr>
          <w:rFonts w:ascii="Open Sans" w:hAnsi="Open Sans" w:cs="Open Sans"/>
          <w:sz w:val="20"/>
          <w:szCs w:val="20"/>
        </w:rPr>
      </w:pPr>
      <w:r>
        <w:rPr>
          <w:rFonts w:ascii="Open Sans" w:hAnsi="Open Sans" w:cs="Open Sans"/>
          <w:sz w:val="20"/>
          <w:szCs w:val="20"/>
        </w:rPr>
        <w:t>1. Posición fiscal</w:t>
      </w:r>
    </w:p>
    <w:p w14:paraId="2A4E8294" w14:textId="77777777" w:rsidR="0099187E" w:rsidRDefault="0099187E" w:rsidP="0099187E">
      <w:pPr>
        <w:jc w:val="both"/>
        <w:rPr>
          <w:rFonts w:ascii="Open Sans" w:hAnsi="Open Sans" w:cs="Open Sans"/>
          <w:sz w:val="20"/>
          <w:szCs w:val="20"/>
        </w:rPr>
      </w:pPr>
    </w:p>
    <w:p w14:paraId="20F43984" w14:textId="77777777" w:rsidR="0099187E" w:rsidRDefault="0099187E" w:rsidP="0099187E">
      <w:pPr>
        <w:jc w:val="both"/>
        <w:rPr>
          <w:rFonts w:ascii="Open Sans" w:hAnsi="Open Sans" w:cs="Open Sans"/>
          <w:sz w:val="20"/>
          <w:szCs w:val="20"/>
        </w:rPr>
      </w:pPr>
      <w:r>
        <w:rPr>
          <w:rFonts w:ascii="Open Sans" w:hAnsi="Open Sans" w:cs="Open Sans"/>
          <w:sz w:val="20"/>
          <w:szCs w:val="20"/>
        </w:rPr>
        <w:t>En el año 2015, el Consejo de Administración de Gamesa aprueba el documento “</w:t>
      </w:r>
      <w:r w:rsidRPr="00C81EBD">
        <w:rPr>
          <w:rFonts w:ascii="Open Sans" w:hAnsi="Open Sans" w:cs="Open Sans"/>
          <w:sz w:val="20"/>
          <w:szCs w:val="20"/>
        </w:rPr>
        <w:t>Política Fiscal Corporativa</w:t>
      </w:r>
      <w:r>
        <w:rPr>
          <w:rFonts w:ascii="Open Sans" w:hAnsi="Open Sans" w:cs="Open Sans"/>
          <w:sz w:val="20"/>
          <w:szCs w:val="20"/>
        </w:rPr>
        <w:t xml:space="preserve"> </w:t>
      </w:r>
      <w:r w:rsidRPr="00C81EBD">
        <w:rPr>
          <w:rFonts w:ascii="Open Sans" w:hAnsi="Open Sans" w:cs="Open Sans"/>
          <w:sz w:val="20"/>
          <w:szCs w:val="20"/>
        </w:rPr>
        <w:t>De Gamesa Corporación Tecnológica, S.A.</w:t>
      </w:r>
      <w:r>
        <w:rPr>
          <w:rFonts w:ascii="Open Sans" w:hAnsi="Open Sans" w:cs="Open Sans"/>
          <w:sz w:val="20"/>
          <w:szCs w:val="20"/>
        </w:rPr>
        <w:t xml:space="preserve">”, que define la estrategia fiscal de la compañía. El documento, que fija una serie compromisos con las buenas prácticas tributarias y la comunicación, no se basa en ningún estándar nacional o internacional en materia fiscal, tampoco alude a ninguno de ellos. </w:t>
      </w:r>
    </w:p>
    <w:p w14:paraId="544F4273" w14:textId="77777777" w:rsidR="0099187E" w:rsidRDefault="0099187E" w:rsidP="0099187E">
      <w:pPr>
        <w:jc w:val="both"/>
        <w:rPr>
          <w:rFonts w:ascii="Open Sans" w:hAnsi="Open Sans" w:cs="Open Sans"/>
          <w:sz w:val="20"/>
          <w:szCs w:val="20"/>
        </w:rPr>
      </w:pPr>
    </w:p>
    <w:p w14:paraId="7FB50E87" w14:textId="77777777" w:rsidR="0099187E" w:rsidRDefault="0099187E" w:rsidP="0099187E">
      <w:pPr>
        <w:jc w:val="both"/>
        <w:rPr>
          <w:rFonts w:ascii="Open Sans" w:hAnsi="Open Sans" w:cs="Open Sans"/>
          <w:sz w:val="20"/>
          <w:szCs w:val="20"/>
        </w:rPr>
      </w:pPr>
      <w:r>
        <w:rPr>
          <w:rFonts w:ascii="Open Sans" w:hAnsi="Open Sans" w:cs="Open Sans"/>
          <w:sz w:val="20"/>
          <w:szCs w:val="20"/>
        </w:rPr>
        <w:t>Gamesa define clara y explícitamente los aspectos fiscales que considera relevantes:</w:t>
      </w:r>
      <w:r w:rsidRPr="005D1B13">
        <w:rPr>
          <w:rFonts w:ascii="Open Sans" w:hAnsi="Open Sans" w:cs="Open Sans"/>
          <w:sz w:val="20"/>
          <w:szCs w:val="20"/>
        </w:rPr>
        <w:t xml:space="preserve"> </w:t>
      </w:r>
    </w:p>
    <w:p w14:paraId="5FFB43FB" w14:textId="77777777" w:rsidR="0099187E" w:rsidRDefault="0099187E" w:rsidP="0099187E">
      <w:pPr>
        <w:jc w:val="both"/>
        <w:rPr>
          <w:rFonts w:ascii="Open Sans" w:hAnsi="Open Sans" w:cs="Open Sans"/>
          <w:sz w:val="20"/>
          <w:szCs w:val="20"/>
        </w:rPr>
      </w:pPr>
    </w:p>
    <w:p w14:paraId="456BE673" w14:textId="77777777" w:rsidR="0099187E" w:rsidRPr="005D1B13" w:rsidRDefault="0099187E" w:rsidP="000B70C9">
      <w:pPr>
        <w:numPr>
          <w:ilvl w:val="0"/>
          <w:numId w:val="105"/>
        </w:numPr>
        <w:jc w:val="both"/>
        <w:rPr>
          <w:rFonts w:ascii="Open Sans" w:hAnsi="Open Sans" w:cs="Open Sans"/>
          <w:sz w:val="20"/>
          <w:szCs w:val="20"/>
        </w:rPr>
      </w:pPr>
      <w:r w:rsidRPr="005D1B13">
        <w:rPr>
          <w:rFonts w:ascii="Open Sans" w:hAnsi="Open Sans" w:cs="Open Sans"/>
          <w:sz w:val="20"/>
          <w:szCs w:val="20"/>
        </w:rPr>
        <w:t>Información periódica a los órganos de dirección y supervisión de la Sociedad sobre el cumplimiento de las buenas prácticas tributarias aplicadas en relación con la prevención del riesgo fiscal y la relación con las Administraciones Tributarias.</w:t>
      </w:r>
    </w:p>
    <w:p w14:paraId="5774A3B1" w14:textId="77777777" w:rsidR="0099187E" w:rsidRPr="00C81EBD" w:rsidRDefault="0099187E" w:rsidP="000B70C9">
      <w:pPr>
        <w:numPr>
          <w:ilvl w:val="0"/>
          <w:numId w:val="105"/>
        </w:numPr>
        <w:jc w:val="both"/>
        <w:rPr>
          <w:rFonts w:ascii="Open Sans" w:hAnsi="Open Sans" w:cs="Open Sans"/>
          <w:sz w:val="20"/>
          <w:szCs w:val="20"/>
        </w:rPr>
      </w:pPr>
      <w:r w:rsidRPr="00C81EBD">
        <w:rPr>
          <w:rFonts w:ascii="Open Sans" w:hAnsi="Open Sans" w:cs="Open Sans"/>
          <w:sz w:val="20"/>
          <w:szCs w:val="20"/>
        </w:rPr>
        <w:t>Formalización de la Política Fiscal Corporativa y mejora de la estructura</w:t>
      </w:r>
      <w:r>
        <w:rPr>
          <w:rFonts w:ascii="Open Sans" w:hAnsi="Open Sans" w:cs="Open Sans"/>
          <w:sz w:val="20"/>
          <w:szCs w:val="20"/>
        </w:rPr>
        <w:t xml:space="preserve"> </w:t>
      </w:r>
      <w:r w:rsidRPr="00C81EBD">
        <w:rPr>
          <w:rFonts w:ascii="Open Sans" w:hAnsi="Open Sans" w:cs="Open Sans"/>
          <w:sz w:val="20"/>
          <w:szCs w:val="20"/>
        </w:rPr>
        <w:t>organizativa y de los procesos y procedimientos de ejecución y control.</w:t>
      </w:r>
    </w:p>
    <w:p w14:paraId="30B895F1" w14:textId="77777777" w:rsidR="0099187E" w:rsidRPr="00C81EBD" w:rsidRDefault="0099187E" w:rsidP="000B70C9">
      <w:pPr>
        <w:numPr>
          <w:ilvl w:val="0"/>
          <w:numId w:val="105"/>
        </w:numPr>
        <w:jc w:val="both"/>
        <w:rPr>
          <w:rFonts w:ascii="Open Sans" w:hAnsi="Open Sans" w:cs="Open Sans"/>
          <w:sz w:val="20"/>
          <w:szCs w:val="20"/>
        </w:rPr>
      </w:pPr>
      <w:r w:rsidRPr="00C81EBD">
        <w:rPr>
          <w:rFonts w:ascii="Open Sans" w:hAnsi="Open Sans" w:cs="Open Sans"/>
          <w:sz w:val="20"/>
          <w:szCs w:val="20"/>
        </w:rPr>
        <w:t>Gestión riesgos fiscales: identificación de riesgos por región y definición y</w:t>
      </w:r>
      <w:r>
        <w:rPr>
          <w:rFonts w:ascii="Open Sans" w:hAnsi="Open Sans" w:cs="Open Sans"/>
          <w:sz w:val="20"/>
          <w:szCs w:val="20"/>
        </w:rPr>
        <w:t xml:space="preserve"> </w:t>
      </w:r>
      <w:r w:rsidRPr="00C81EBD">
        <w:rPr>
          <w:rFonts w:ascii="Open Sans" w:hAnsi="Open Sans" w:cs="Open Sans"/>
          <w:sz w:val="20"/>
          <w:szCs w:val="20"/>
        </w:rPr>
        <w:t>seguimiento de las acciones definidas para mitigar dichos riesgos.</w:t>
      </w:r>
    </w:p>
    <w:p w14:paraId="345D13D2" w14:textId="77777777" w:rsidR="0099187E" w:rsidRPr="005D1B13" w:rsidRDefault="0099187E" w:rsidP="000B70C9">
      <w:pPr>
        <w:numPr>
          <w:ilvl w:val="0"/>
          <w:numId w:val="105"/>
        </w:numPr>
        <w:jc w:val="both"/>
        <w:rPr>
          <w:rFonts w:ascii="Open Sans" w:hAnsi="Open Sans" w:cs="Open Sans"/>
          <w:sz w:val="20"/>
          <w:szCs w:val="20"/>
        </w:rPr>
      </w:pPr>
      <w:r w:rsidRPr="005D1B13">
        <w:rPr>
          <w:rFonts w:ascii="Open Sans" w:hAnsi="Open Sans" w:cs="Open Sans"/>
          <w:sz w:val="20"/>
          <w:szCs w:val="20"/>
        </w:rPr>
        <w:t>Implantación de una herramienta informática como instrumento de control entre las declaraciones fiscales y su registro contable (tributación directa).</w:t>
      </w:r>
    </w:p>
    <w:p w14:paraId="71CE2DE3" w14:textId="77777777" w:rsidR="0099187E" w:rsidRDefault="0099187E" w:rsidP="0099187E">
      <w:pPr>
        <w:jc w:val="both"/>
        <w:rPr>
          <w:rFonts w:ascii="Open Sans" w:hAnsi="Open Sans" w:cs="Open Sans"/>
          <w:sz w:val="20"/>
          <w:szCs w:val="20"/>
        </w:rPr>
      </w:pPr>
    </w:p>
    <w:p w14:paraId="0DC34C10" w14:textId="77777777" w:rsidR="0099187E" w:rsidRDefault="0099187E" w:rsidP="0099187E">
      <w:pPr>
        <w:jc w:val="both"/>
        <w:rPr>
          <w:rFonts w:ascii="Open Sans" w:hAnsi="Open Sans" w:cs="Open Sans"/>
          <w:sz w:val="20"/>
          <w:szCs w:val="20"/>
        </w:rPr>
      </w:pPr>
      <w:r w:rsidRPr="00C81EBD">
        <w:rPr>
          <w:rFonts w:ascii="Open Sans" w:hAnsi="Open Sans" w:cs="Open Sans"/>
          <w:sz w:val="20"/>
          <w:szCs w:val="20"/>
        </w:rPr>
        <w:t xml:space="preserve">La aprobación de la estrategia fiscal corresponde </w:t>
      </w:r>
      <w:r>
        <w:rPr>
          <w:rFonts w:ascii="Open Sans" w:hAnsi="Open Sans" w:cs="Open Sans"/>
          <w:sz w:val="20"/>
          <w:szCs w:val="20"/>
        </w:rPr>
        <w:t>al C</w:t>
      </w:r>
      <w:r w:rsidRPr="00C81EBD">
        <w:rPr>
          <w:rFonts w:ascii="Open Sans" w:hAnsi="Open Sans" w:cs="Open Sans"/>
          <w:sz w:val="20"/>
          <w:szCs w:val="20"/>
        </w:rPr>
        <w:t xml:space="preserve">onsejo de </w:t>
      </w:r>
      <w:r>
        <w:rPr>
          <w:rFonts w:ascii="Open Sans" w:hAnsi="Open Sans" w:cs="Open Sans"/>
          <w:sz w:val="20"/>
          <w:szCs w:val="20"/>
        </w:rPr>
        <w:t>A</w:t>
      </w:r>
      <w:r w:rsidRPr="00C81EBD">
        <w:rPr>
          <w:rFonts w:ascii="Open Sans" w:hAnsi="Open Sans" w:cs="Open Sans"/>
          <w:sz w:val="20"/>
          <w:szCs w:val="20"/>
        </w:rPr>
        <w:t>dministración</w:t>
      </w:r>
      <w:r>
        <w:rPr>
          <w:rFonts w:ascii="Open Sans" w:hAnsi="Open Sans" w:cs="Open Sans"/>
          <w:sz w:val="20"/>
          <w:szCs w:val="20"/>
        </w:rPr>
        <w:t xml:space="preserve">, siendo la </w:t>
      </w:r>
      <w:r w:rsidRPr="00C81EBD">
        <w:rPr>
          <w:rFonts w:ascii="Open Sans" w:hAnsi="Open Sans" w:cs="Open Sans"/>
          <w:sz w:val="20"/>
          <w:szCs w:val="20"/>
        </w:rPr>
        <w:t>Comisión de Auditoría y Cumplimiento del Grupo</w:t>
      </w:r>
      <w:r>
        <w:rPr>
          <w:rFonts w:ascii="Open Sans" w:hAnsi="Open Sans" w:cs="Open Sans"/>
          <w:sz w:val="20"/>
          <w:szCs w:val="20"/>
        </w:rPr>
        <w:t xml:space="preserve"> la que tiene el deber de proporcionarle la información sobre fiscalidad.  Se proporciona información sobre las c</w:t>
      </w:r>
      <w:r w:rsidRPr="00EE480A">
        <w:rPr>
          <w:rFonts w:ascii="Open Sans" w:hAnsi="Open Sans" w:cs="Open Sans"/>
          <w:sz w:val="20"/>
          <w:szCs w:val="20"/>
        </w:rPr>
        <w:t>omparecencias de altos directivos ante la Comisión de Auditoría y Cumplimiento</w:t>
      </w:r>
      <w:r>
        <w:rPr>
          <w:rFonts w:ascii="Open Sans" w:hAnsi="Open Sans" w:cs="Open Sans"/>
          <w:sz w:val="20"/>
          <w:szCs w:val="20"/>
        </w:rPr>
        <w:t xml:space="preserve">, y en concreto de las comparecencias de la Dirección de Fiscal, que tuvo 2 comparecencias en 2015 y 5 en 2014. No se proporciona información sobre qué aspectos exactamente se trataron en estas reuniones. </w:t>
      </w:r>
    </w:p>
    <w:p w14:paraId="1849B930" w14:textId="77777777" w:rsidR="0099187E" w:rsidRDefault="0099187E" w:rsidP="0099187E">
      <w:pPr>
        <w:jc w:val="both"/>
        <w:rPr>
          <w:rFonts w:ascii="Open Sans" w:hAnsi="Open Sans" w:cs="Open Sans"/>
          <w:sz w:val="20"/>
          <w:szCs w:val="20"/>
        </w:rPr>
      </w:pPr>
    </w:p>
    <w:p w14:paraId="5F5222D4" w14:textId="77777777" w:rsidR="0099187E" w:rsidRDefault="0099187E" w:rsidP="0099187E">
      <w:pPr>
        <w:jc w:val="both"/>
        <w:rPr>
          <w:rFonts w:ascii="Open Sans" w:hAnsi="Open Sans" w:cs="Open Sans"/>
          <w:sz w:val="20"/>
          <w:szCs w:val="20"/>
        </w:rPr>
      </w:pPr>
    </w:p>
    <w:p w14:paraId="6D0F084A" w14:textId="77777777" w:rsidR="0099187E" w:rsidRDefault="0099187E" w:rsidP="0099187E">
      <w:pPr>
        <w:jc w:val="both"/>
        <w:rPr>
          <w:rFonts w:ascii="Open Sans" w:hAnsi="Open Sans" w:cs="Open Sans"/>
          <w:sz w:val="20"/>
          <w:szCs w:val="20"/>
        </w:rPr>
      </w:pPr>
      <w:r>
        <w:rPr>
          <w:rFonts w:ascii="Open Sans" w:hAnsi="Open Sans" w:cs="Open Sans"/>
          <w:sz w:val="20"/>
          <w:szCs w:val="20"/>
        </w:rPr>
        <w:t>2. Paraísos fiscales</w:t>
      </w:r>
    </w:p>
    <w:p w14:paraId="74BDE096" w14:textId="77777777" w:rsidR="0099187E" w:rsidRDefault="0099187E" w:rsidP="0099187E">
      <w:pPr>
        <w:jc w:val="both"/>
        <w:rPr>
          <w:rFonts w:ascii="Open Sans" w:hAnsi="Open Sans" w:cs="Open Sans"/>
          <w:sz w:val="20"/>
          <w:szCs w:val="20"/>
        </w:rPr>
      </w:pPr>
    </w:p>
    <w:p w14:paraId="335DD54D" w14:textId="77777777" w:rsidR="0099187E" w:rsidRDefault="0099187E" w:rsidP="0099187E">
      <w:pPr>
        <w:jc w:val="both"/>
        <w:rPr>
          <w:rFonts w:ascii="Open Sans" w:hAnsi="Open Sans" w:cs="Open Sans"/>
          <w:sz w:val="20"/>
          <w:szCs w:val="20"/>
        </w:rPr>
      </w:pPr>
      <w:r>
        <w:rPr>
          <w:rFonts w:ascii="Open Sans" w:hAnsi="Open Sans" w:cs="Open Sans"/>
          <w:sz w:val="20"/>
          <w:szCs w:val="20"/>
        </w:rPr>
        <w:t>La posición de Gamesa respecto a la actividad en paraísos fiscales se fundamenta en dos puntos. El primer punto, incluido en el Informe Anual de Gobierno Corporativo (p. 113), se indica que “</w:t>
      </w:r>
      <w:r w:rsidRPr="00AD353B">
        <w:rPr>
          <w:rFonts w:ascii="Open Sans" w:hAnsi="Open Sans" w:cs="Open Sans"/>
          <w:i/>
          <w:sz w:val="20"/>
          <w:szCs w:val="20"/>
        </w:rPr>
        <w:t>las sociedades del Grupo Gamesa con domicilio social en países o territorios considerados como paraísos fiscales, de acuerdo a Decreto Ley 1080/1991, de 5 de julio, tienen el carácter de sociedades operativas y responden exclusivamente al giro o tráfico ordinario de los negocios</w:t>
      </w:r>
      <w:r w:rsidRPr="00AD353B">
        <w:rPr>
          <w:rFonts w:ascii="Open Sans" w:hAnsi="Open Sans" w:cs="Open Sans"/>
          <w:sz w:val="20"/>
          <w:szCs w:val="20"/>
        </w:rPr>
        <w:t>.</w:t>
      </w:r>
      <w:r>
        <w:rPr>
          <w:rFonts w:ascii="Open Sans" w:hAnsi="Open Sans" w:cs="Open Sans"/>
          <w:sz w:val="20"/>
          <w:szCs w:val="20"/>
        </w:rPr>
        <w:t>”</w:t>
      </w:r>
    </w:p>
    <w:p w14:paraId="31CCB9B9" w14:textId="77777777" w:rsidR="0099187E" w:rsidRDefault="0099187E" w:rsidP="0099187E">
      <w:pPr>
        <w:jc w:val="both"/>
        <w:rPr>
          <w:rFonts w:ascii="Open Sans" w:hAnsi="Open Sans" w:cs="Open Sans"/>
          <w:sz w:val="20"/>
          <w:szCs w:val="20"/>
        </w:rPr>
      </w:pPr>
    </w:p>
    <w:p w14:paraId="15FDC461" w14:textId="77777777" w:rsidR="0099187E" w:rsidRDefault="0099187E" w:rsidP="0099187E">
      <w:pPr>
        <w:jc w:val="both"/>
        <w:rPr>
          <w:rFonts w:ascii="Open Sans" w:hAnsi="Open Sans" w:cs="Open Sans"/>
          <w:sz w:val="20"/>
          <w:szCs w:val="20"/>
        </w:rPr>
      </w:pPr>
      <w:r>
        <w:rPr>
          <w:rFonts w:ascii="Open Sans" w:hAnsi="Open Sans" w:cs="Open Sans"/>
          <w:sz w:val="20"/>
          <w:szCs w:val="20"/>
        </w:rPr>
        <w:t>El segundo punto figura en su política fiscal y alude a la prevención del riesgo fiscal, indicándose que Gamesa se compromete a “</w:t>
      </w:r>
      <w:r w:rsidRPr="006874C0">
        <w:rPr>
          <w:rFonts w:ascii="Open Sans" w:hAnsi="Open Sans" w:cs="Open Sans"/>
          <w:i/>
          <w:sz w:val="20"/>
          <w:szCs w:val="20"/>
        </w:rPr>
        <w:t>No constituir ni adquirir sociedades residentes en paraísos fiscales con la finalidad</w:t>
      </w:r>
      <w:r>
        <w:rPr>
          <w:rFonts w:ascii="Open Sans" w:hAnsi="Open Sans" w:cs="Open Sans"/>
          <w:i/>
          <w:sz w:val="20"/>
          <w:szCs w:val="20"/>
        </w:rPr>
        <w:t xml:space="preserve"> </w:t>
      </w:r>
      <w:r w:rsidRPr="006874C0">
        <w:rPr>
          <w:rFonts w:ascii="Open Sans" w:hAnsi="Open Sans" w:cs="Open Sans"/>
          <w:i/>
          <w:sz w:val="20"/>
          <w:szCs w:val="20"/>
        </w:rPr>
        <w:t>de eludir obligaciones tributarias</w:t>
      </w:r>
      <w:r>
        <w:rPr>
          <w:rFonts w:ascii="Open Sans" w:hAnsi="Open Sans" w:cs="Open Sans"/>
          <w:sz w:val="20"/>
          <w:szCs w:val="20"/>
        </w:rPr>
        <w:t xml:space="preserve">”. No obstante, los paraísos fiscales no sólo proporcionan ventajas tributarias, por lo que podrían constituirse sociedades en paraísos fiscales con la finalidad de aprovechar ventajas financieras o comerciales, entre otras. </w:t>
      </w:r>
    </w:p>
    <w:p w14:paraId="43636C5E" w14:textId="77777777" w:rsidR="0099187E" w:rsidRDefault="0099187E" w:rsidP="0099187E">
      <w:pPr>
        <w:jc w:val="both"/>
        <w:rPr>
          <w:rFonts w:ascii="Open Sans" w:hAnsi="Open Sans" w:cs="Open Sans"/>
          <w:sz w:val="20"/>
          <w:szCs w:val="20"/>
        </w:rPr>
      </w:pPr>
    </w:p>
    <w:p w14:paraId="584135A7" w14:textId="77777777" w:rsidR="0099187E" w:rsidRDefault="0099187E" w:rsidP="0099187E">
      <w:pPr>
        <w:jc w:val="both"/>
        <w:rPr>
          <w:rFonts w:ascii="Open Sans" w:hAnsi="Open Sans" w:cs="Open Sans"/>
          <w:sz w:val="20"/>
          <w:szCs w:val="20"/>
        </w:rPr>
      </w:pPr>
      <w:r>
        <w:rPr>
          <w:rFonts w:ascii="Open Sans" w:hAnsi="Open Sans" w:cs="Open Sans"/>
          <w:sz w:val="20"/>
          <w:szCs w:val="20"/>
        </w:rPr>
        <w:t>Atendiendo a la lista de paraísos fiscales del OBRSC, el número de paraísos fiscales (1) o nichos fiscales (21) en los que Gamesa tiene presencia se sitúa en 22 sociedades. De las 22 sociedades, 17 de ellas ofrecen dudas sobre si su actividad tiene relación con la operativa de la empresa ya que o bien se trata de sociedades holding o no se ha localizado desarrollo de actividad en el domicilio de la empresa (caso de Delaware).</w:t>
      </w:r>
    </w:p>
    <w:p w14:paraId="58B429E6" w14:textId="77777777" w:rsidR="0099187E" w:rsidRDefault="0099187E" w:rsidP="0099187E">
      <w:pPr>
        <w:jc w:val="both"/>
        <w:rPr>
          <w:rFonts w:ascii="Open Sans" w:hAnsi="Open Sans" w:cs="Open Sans"/>
          <w:sz w:val="20"/>
          <w:szCs w:val="20"/>
        </w:rPr>
      </w:pPr>
    </w:p>
    <w:p w14:paraId="12B83B6B" w14:textId="77777777" w:rsidR="0099187E" w:rsidRDefault="0099187E" w:rsidP="0099187E">
      <w:pPr>
        <w:jc w:val="both"/>
        <w:rPr>
          <w:rFonts w:ascii="Open Sans" w:hAnsi="Open Sans" w:cs="Open Sans"/>
          <w:sz w:val="20"/>
          <w:szCs w:val="20"/>
        </w:rPr>
      </w:pPr>
      <w:r w:rsidRPr="007725D0">
        <w:rPr>
          <w:rFonts w:ascii="Open Sans" w:hAnsi="Open Sans" w:cs="Open Sans"/>
          <w:sz w:val="20"/>
          <w:szCs w:val="20"/>
        </w:rPr>
        <w:t>La presencia de empresas internacionales en territorios considerados paraísos o nichos fiscales 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w:t>
      </w:r>
      <w:r w:rsidRPr="00724C1E">
        <w:rPr>
          <w:rFonts w:ascii="Open Sans" w:hAnsi="Open Sans" w:cs="Open Sans"/>
          <w:sz w:val="20"/>
          <w:szCs w:val="20"/>
        </w:rPr>
        <w:t xml:space="preserve"> </w:t>
      </w:r>
      <w:r>
        <w:rPr>
          <w:rFonts w:ascii="Open Sans" w:hAnsi="Open Sans" w:cs="Open Sans"/>
          <w:sz w:val="20"/>
          <w:szCs w:val="20"/>
        </w:rPr>
        <w:t xml:space="preserve">La siguiente tabla informa sobre las sociedades de Gamesa en los 10 paraísos o nichos fiscales en los que tiene presencia. </w:t>
      </w:r>
    </w:p>
    <w:p w14:paraId="40CC29B3" w14:textId="77777777" w:rsidR="0099187E" w:rsidRDefault="0099187E" w:rsidP="0099187E">
      <w:pPr>
        <w:jc w:val="both"/>
        <w:rPr>
          <w:rFonts w:ascii="Open Sans" w:hAnsi="Open Sans" w:cs="Open Sans"/>
          <w:sz w:val="20"/>
          <w:szCs w:val="20"/>
        </w:rPr>
      </w:pPr>
      <w:r>
        <w:rPr>
          <w:rFonts w:ascii="Open Sans" w:hAnsi="Open Sans" w:cs="Open Sans"/>
          <w:sz w:val="20"/>
          <w:szCs w:val="20"/>
        </w:rPr>
        <w:br w:type="page"/>
      </w:r>
    </w:p>
    <w:p w14:paraId="736889D9" w14:textId="77777777" w:rsidR="0099187E" w:rsidRDefault="0099187E" w:rsidP="0099187E">
      <w:pPr>
        <w:jc w:val="both"/>
        <w:rPr>
          <w:rFonts w:ascii="Open Sans" w:hAnsi="Open Sans" w:cs="Open Sans"/>
          <w:sz w:val="20"/>
          <w:szCs w:val="20"/>
        </w:rPr>
      </w:pP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02"/>
        <w:gridCol w:w="2266"/>
        <w:gridCol w:w="2940"/>
      </w:tblGrid>
      <w:tr w:rsidR="0099187E" w:rsidRPr="007725D0" w14:paraId="0F301C5A" w14:textId="77777777" w:rsidTr="003E002C">
        <w:trPr>
          <w:trHeight w:val="315"/>
        </w:trPr>
        <w:tc>
          <w:tcPr>
            <w:tcW w:w="1976" w:type="pct"/>
            <w:shd w:val="clear" w:color="000000" w:fill="D9D9D9"/>
            <w:noWrap/>
            <w:vAlign w:val="center"/>
            <w:hideMark/>
          </w:tcPr>
          <w:p w14:paraId="0C7D3129" w14:textId="77777777" w:rsidR="0099187E" w:rsidRPr="007725D0" w:rsidRDefault="0099187E" w:rsidP="003E002C">
            <w:pPr>
              <w:jc w:val="center"/>
              <w:rPr>
                <w:rFonts w:ascii="Open Sans" w:hAnsi="Open Sans" w:cs="Open Sans"/>
                <w:b/>
                <w:bCs/>
                <w:color w:val="000000"/>
                <w:sz w:val="20"/>
                <w:szCs w:val="20"/>
                <w:lang w:val="en-US" w:eastAsia="en-US"/>
              </w:rPr>
            </w:pPr>
            <w:r w:rsidRPr="007725D0">
              <w:rPr>
                <w:rFonts w:ascii="Open Sans" w:hAnsi="Open Sans" w:cs="Open Sans"/>
                <w:b/>
                <w:bCs/>
                <w:color w:val="000000"/>
                <w:sz w:val="20"/>
                <w:szCs w:val="20"/>
                <w:lang w:val="en-US" w:eastAsia="en-US"/>
              </w:rPr>
              <w:t>Nombre de la Sociedad</w:t>
            </w:r>
          </w:p>
        </w:tc>
        <w:tc>
          <w:tcPr>
            <w:tcW w:w="1316" w:type="pct"/>
            <w:shd w:val="clear" w:color="000000" w:fill="D9D9D9"/>
            <w:noWrap/>
            <w:vAlign w:val="center"/>
            <w:hideMark/>
          </w:tcPr>
          <w:p w14:paraId="39D3B7F4" w14:textId="77777777" w:rsidR="0099187E" w:rsidRPr="007725D0" w:rsidRDefault="0099187E" w:rsidP="003E002C">
            <w:pPr>
              <w:jc w:val="center"/>
              <w:rPr>
                <w:rFonts w:ascii="Open Sans" w:hAnsi="Open Sans" w:cs="Open Sans"/>
                <w:b/>
                <w:bCs/>
                <w:color w:val="000000"/>
                <w:sz w:val="20"/>
                <w:szCs w:val="20"/>
                <w:lang w:val="en-US" w:eastAsia="en-US"/>
              </w:rPr>
            </w:pPr>
            <w:r w:rsidRPr="007725D0">
              <w:rPr>
                <w:rFonts w:ascii="Open Sans" w:hAnsi="Open Sans" w:cs="Open Sans"/>
                <w:b/>
                <w:bCs/>
                <w:color w:val="000000"/>
                <w:sz w:val="20"/>
                <w:szCs w:val="20"/>
                <w:lang w:val="en-US" w:eastAsia="en-US"/>
              </w:rPr>
              <w:t>Jurisdicción</w:t>
            </w:r>
          </w:p>
        </w:tc>
        <w:tc>
          <w:tcPr>
            <w:tcW w:w="1708" w:type="pct"/>
            <w:shd w:val="clear" w:color="000000" w:fill="D9D9D9"/>
            <w:noWrap/>
            <w:vAlign w:val="center"/>
            <w:hideMark/>
          </w:tcPr>
          <w:p w14:paraId="0A44DF1D" w14:textId="77777777" w:rsidR="0099187E" w:rsidRPr="007725D0" w:rsidRDefault="0099187E" w:rsidP="003E002C">
            <w:pPr>
              <w:jc w:val="center"/>
              <w:rPr>
                <w:rFonts w:ascii="Open Sans" w:hAnsi="Open Sans" w:cs="Open Sans"/>
                <w:b/>
                <w:bCs/>
                <w:color w:val="000000"/>
                <w:sz w:val="20"/>
                <w:szCs w:val="20"/>
                <w:lang w:val="en-US" w:eastAsia="en-US"/>
              </w:rPr>
            </w:pPr>
            <w:r w:rsidRPr="007725D0">
              <w:rPr>
                <w:rFonts w:ascii="Open Sans" w:hAnsi="Open Sans" w:cs="Open Sans"/>
                <w:b/>
                <w:bCs/>
                <w:color w:val="000000"/>
                <w:sz w:val="20"/>
                <w:szCs w:val="20"/>
                <w:lang w:val="en-US" w:eastAsia="en-US"/>
              </w:rPr>
              <w:t>Actividad</w:t>
            </w:r>
          </w:p>
        </w:tc>
      </w:tr>
      <w:tr w:rsidR="0099187E" w:rsidRPr="007725D0" w14:paraId="225084D5" w14:textId="77777777" w:rsidTr="003E002C">
        <w:trPr>
          <w:trHeight w:val="315"/>
        </w:trPr>
        <w:tc>
          <w:tcPr>
            <w:tcW w:w="1976" w:type="pct"/>
            <w:shd w:val="clear" w:color="auto" w:fill="auto"/>
            <w:noWrap/>
            <w:vAlign w:val="center"/>
            <w:hideMark/>
          </w:tcPr>
          <w:p w14:paraId="43BC60B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Cyprus Limited</w:t>
            </w:r>
          </w:p>
        </w:tc>
        <w:tc>
          <w:tcPr>
            <w:tcW w:w="1316" w:type="pct"/>
            <w:shd w:val="clear" w:color="auto" w:fill="auto"/>
            <w:noWrap/>
            <w:vAlign w:val="center"/>
            <w:hideMark/>
          </w:tcPr>
          <w:p w14:paraId="2CD82DC5"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Chipre</w:t>
            </w:r>
          </w:p>
        </w:tc>
        <w:tc>
          <w:tcPr>
            <w:tcW w:w="1708" w:type="pct"/>
            <w:shd w:val="clear" w:color="auto" w:fill="auto"/>
            <w:noWrap/>
            <w:vAlign w:val="center"/>
            <w:hideMark/>
          </w:tcPr>
          <w:p w14:paraId="7C60A2BF"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10DDD59B" w14:textId="77777777" w:rsidTr="003E002C">
        <w:trPr>
          <w:trHeight w:val="315"/>
        </w:trPr>
        <w:tc>
          <w:tcPr>
            <w:tcW w:w="1976" w:type="pct"/>
            <w:shd w:val="clear" w:color="auto" w:fill="auto"/>
            <w:noWrap/>
            <w:vAlign w:val="center"/>
            <w:hideMark/>
          </w:tcPr>
          <w:p w14:paraId="06049435"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Navitas Energy, Inc.</w:t>
            </w:r>
          </w:p>
        </w:tc>
        <w:tc>
          <w:tcPr>
            <w:tcW w:w="1316" w:type="pct"/>
            <w:shd w:val="clear" w:color="auto" w:fill="auto"/>
            <w:noWrap/>
            <w:vAlign w:val="center"/>
            <w:hideMark/>
          </w:tcPr>
          <w:p w14:paraId="78B66AE6"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092FFBDC"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Promoción de parques eólicos</w:t>
            </w:r>
          </w:p>
        </w:tc>
      </w:tr>
      <w:tr w:rsidR="0099187E" w:rsidRPr="007725D0" w14:paraId="0FDCCE5C" w14:textId="77777777" w:rsidTr="003E002C">
        <w:trPr>
          <w:trHeight w:val="315"/>
        </w:trPr>
        <w:tc>
          <w:tcPr>
            <w:tcW w:w="1976" w:type="pct"/>
            <w:shd w:val="clear" w:color="auto" w:fill="auto"/>
            <w:noWrap/>
            <w:vAlign w:val="center"/>
            <w:hideMark/>
          </w:tcPr>
          <w:p w14:paraId="29585501"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Wind Portfolio SponsorCo, LLC</w:t>
            </w:r>
          </w:p>
        </w:tc>
        <w:tc>
          <w:tcPr>
            <w:tcW w:w="1316" w:type="pct"/>
            <w:shd w:val="clear" w:color="auto" w:fill="auto"/>
            <w:noWrap/>
            <w:vAlign w:val="center"/>
            <w:hideMark/>
          </w:tcPr>
          <w:p w14:paraId="3CC1DBF5"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7420229D"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Promoción de parques eólicos</w:t>
            </w:r>
          </w:p>
        </w:tc>
      </w:tr>
      <w:tr w:rsidR="0099187E" w:rsidRPr="007725D0" w14:paraId="6D600BB6" w14:textId="77777777" w:rsidTr="003E002C">
        <w:trPr>
          <w:trHeight w:val="315"/>
        </w:trPr>
        <w:tc>
          <w:tcPr>
            <w:tcW w:w="1976" w:type="pct"/>
            <w:shd w:val="clear" w:color="auto" w:fill="auto"/>
            <w:noWrap/>
            <w:vAlign w:val="center"/>
            <w:hideMark/>
          </w:tcPr>
          <w:p w14:paraId="24E55380"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BaileyvilleWind Farm, LLC</w:t>
            </w:r>
          </w:p>
        </w:tc>
        <w:tc>
          <w:tcPr>
            <w:tcW w:w="1316" w:type="pct"/>
            <w:shd w:val="clear" w:color="auto" w:fill="auto"/>
            <w:noWrap/>
            <w:vAlign w:val="center"/>
            <w:hideMark/>
          </w:tcPr>
          <w:p w14:paraId="0CC11232"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65E3C095"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Explotación de parques eólicos</w:t>
            </w:r>
          </w:p>
        </w:tc>
      </w:tr>
      <w:tr w:rsidR="0099187E" w:rsidRPr="007725D0" w14:paraId="3518C58D" w14:textId="77777777" w:rsidTr="003E002C">
        <w:trPr>
          <w:trHeight w:val="315"/>
        </w:trPr>
        <w:tc>
          <w:tcPr>
            <w:tcW w:w="1976" w:type="pct"/>
            <w:shd w:val="clear" w:color="auto" w:fill="auto"/>
            <w:noWrap/>
            <w:vAlign w:val="center"/>
            <w:hideMark/>
          </w:tcPr>
          <w:p w14:paraId="18AE416D"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Technology Corporation, Inc</w:t>
            </w:r>
          </w:p>
        </w:tc>
        <w:tc>
          <w:tcPr>
            <w:tcW w:w="1316" w:type="pct"/>
            <w:shd w:val="clear" w:color="auto" w:fill="auto"/>
            <w:noWrap/>
            <w:vAlign w:val="center"/>
            <w:hideMark/>
          </w:tcPr>
          <w:p w14:paraId="7010B342"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4BB9E1D0"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Servicios de Gestión Administrativa</w:t>
            </w:r>
          </w:p>
        </w:tc>
      </w:tr>
      <w:tr w:rsidR="0099187E" w:rsidRPr="007725D0" w14:paraId="2E85CB49" w14:textId="77777777" w:rsidTr="003E002C">
        <w:trPr>
          <w:trHeight w:val="315"/>
        </w:trPr>
        <w:tc>
          <w:tcPr>
            <w:tcW w:w="1976" w:type="pct"/>
            <w:shd w:val="clear" w:color="auto" w:fill="auto"/>
            <w:noWrap/>
            <w:vAlign w:val="center"/>
            <w:hideMark/>
          </w:tcPr>
          <w:p w14:paraId="125F75A9"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GamesaWind US, LLC</w:t>
            </w:r>
          </w:p>
        </w:tc>
        <w:tc>
          <w:tcPr>
            <w:tcW w:w="1316" w:type="pct"/>
            <w:shd w:val="clear" w:color="auto" w:fill="auto"/>
            <w:noWrap/>
            <w:vAlign w:val="center"/>
            <w:hideMark/>
          </w:tcPr>
          <w:p w14:paraId="73319A26"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50F3A821" w14:textId="77777777" w:rsidR="0099187E" w:rsidRPr="007725D0" w:rsidRDefault="0099187E" w:rsidP="003E002C">
            <w:pPr>
              <w:rPr>
                <w:rFonts w:ascii="Open Sans" w:hAnsi="Open Sans" w:cs="Open Sans"/>
                <w:color w:val="000000"/>
                <w:sz w:val="20"/>
                <w:szCs w:val="20"/>
                <w:lang w:eastAsia="en-US"/>
              </w:rPr>
            </w:pPr>
            <w:r w:rsidRPr="007725D0">
              <w:rPr>
                <w:rFonts w:ascii="Open Sans" w:hAnsi="Open Sans" w:cs="Open Sans"/>
                <w:color w:val="000000"/>
                <w:sz w:val="20"/>
                <w:szCs w:val="20"/>
                <w:lang w:eastAsia="en-US"/>
              </w:rPr>
              <w:t>Servicios de mantenimiento de parques</w:t>
            </w:r>
          </w:p>
        </w:tc>
      </w:tr>
      <w:tr w:rsidR="0099187E" w:rsidRPr="007725D0" w14:paraId="44B0A2B6" w14:textId="77777777" w:rsidTr="003E002C">
        <w:trPr>
          <w:trHeight w:val="315"/>
        </w:trPr>
        <w:tc>
          <w:tcPr>
            <w:tcW w:w="1976" w:type="pct"/>
            <w:shd w:val="clear" w:color="auto" w:fill="auto"/>
            <w:noWrap/>
            <w:vAlign w:val="center"/>
            <w:hideMark/>
          </w:tcPr>
          <w:p w14:paraId="5DD48C6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GamesaWind, PA, LLC</w:t>
            </w:r>
          </w:p>
        </w:tc>
        <w:tc>
          <w:tcPr>
            <w:tcW w:w="1316" w:type="pct"/>
            <w:shd w:val="clear" w:color="auto" w:fill="auto"/>
            <w:noWrap/>
            <w:vAlign w:val="center"/>
            <w:hideMark/>
          </w:tcPr>
          <w:p w14:paraId="3E1C3ACB"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5C0847A0" w14:textId="77777777" w:rsidR="0099187E" w:rsidRPr="007725D0" w:rsidRDefault="0099187E" w:rsidP="003E002C">
            <w:pPr>
              <w:rPr>
                <w:rFonts w:ascii="Open Sans" w:hAnsi="Open Sans" w:cs="Open Sans"/>
                <w:color w:val="000000"/>
                <w:sz w:val="20"/>
                <w:szCs w:val="20"/>
                <w:lang w:eastAsia="en-US"/>
              </w:rPr>
            </w:pPr>
            <w:r w:rsidRPr="007725D0">
              <w:rPr>
                <w:rFonts w:ascii="Open Sans" w:hAnsi="Open Sans" w:cs="Open Sans"/>
                <w:color w:val="000000"/>
                <w:sz w:val="20"/>
                <w:szCs w:val="20"/>
                <w:lang w:eastAsia="en-US"/>
              </w:rPr>
              <w:t>Fabricación y montaje de aerogeneradores</w:t>
            </w:r>
          </w:p>
        </w:tc>
      </w:tr>
      <w:tr w:rsidR="0099187E" w:rsidRPr="007725D0" w14:paraId="124587CE" w14:textId="77777777" w:rsidTr="003E002C">
        <w:trPr>
          <w:trHeight w:val="315"/>
        </w:trPr>
        <w:tc>
          <w:tcPr>
            <w:tcW w:w="1976" w:type="pct"/>
            <w:shd w:val="clear" w:color="auto" w:fill="auto"/>
            <w:noWrap/>
            <w:vAlign w:val="center"/>
            <w:hideMark/>
          </w:tcPr>
          <w:p w14:paraId="475EF4F0"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Cedar CapWind, LLC</w:t>
            </w:r>
          </w:p>
        </w:tc>
        <w:tc>
          <w:tcPr>
            <w:tcW w:w="1316" w:type="pct"/>
            <w:shd w:val="clear" w:color="auto" w:fill="auto"/>
            <w:noWrap/>
            <w:vAlign w:val="center"/>
            <w:hideMark/>
          </w:tcPr>
          <w:p w14:paraId="20E76658"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684DF88F"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Explotación parques eólicos</w:t>
            </w:r>
          </w:p>
        </w:tc>
      </w:tr>
      <w:tr w:rsidR="0099187E" w:rsidRPr="007725D0" w14:paraId="164307A9" w14:textId="77777777" w:rsidTr="003E002C">
        <w:trPr>
          <w:trHeight w:val="315"/>
        </w:trPr>
        <w:tc>
          <w:tcPr>
            <w:tcW w:w="1976" w:type="pct"/>
            <w:shd w:val="clear" w:color="auto" w:fill="auto"/>
            <w:noWrap/>
            <w:vAlign w:val="center"/>
            <w:hideMark/>
          </w:tcPr>
          <w:p w14:paraId="107794FF"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Crescent Ridge II, LLC</w:t>
            </w:r>
          </w:p>
        </w:tc>
        <w:tc>
          <w:tcPr>
            <w:tcW w:w="1316" w:type="pct"/>
            <w:shd w:val="clear" w:color="auto" w:fill="auto"/>
            <w:noWrap/>
            <w:vAlign w:val="center"/>
            <w:hideMark/>
          </w:tcPr>
          <w:p w14:paraId="569BC617"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310B36D3"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Explotación parques eólicos</w:t>
            </w:r>
          </w:p>
        </w:tc>
      </w:tr>
      <w:tr w:rsidR="0099187E" w:rsidRPr="007725D0" w14:paraId="097FCA82" w14:textId="77777777" w:rsidTr="003E002C">
        <w:trPr>
          <w:trHeight w:val="315"/>
        </w:trPr>
        <w:tc>
          <w:tcPr>
            <w:tcW w:w="1976" w:type="pct"/>
            <w:shd w:val="clear" w:color="auto" w:fill="auto"/>
            <w:noWrap/>
            <w:vAlign w:val="center"/>
            <w:hideMark/>
          </w:tcPr>
          <w:p w14:paraId="24898B0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2Morrow Energy, LLC</w:t>
            </w:r>
          </w:p>
        </w:tc>
        <w:tc>
          <w:tcPr>
            <w:tcW w:w="1316" w:type="pct"/>
            <w:shd w:val="clear" w:color="auto" w:fill="auto"/>
            <w:noWrap/>
            <w:vAlign w:val="center"/>
            <w:hideMark/>
          </w:tcPr>
          <w:p w14:paraId="4BA85574"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13E313EB"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Explotación parques eólicos</w:t>
            </w:r>
          </w:p>
        </w:tc>
      </w:tr>
      <w:tr w:rsidR="0099187E" w:rsidRPr="007725D0" w14:paraId="452A7DB2" w14:textId="77777777" w:rsidTr="003E002C">
        <w:trPr>
          <w:trHeight w:val="315"/>
        </w:trPr>
        <w:tc>
          <w:tcPr>
            <w:tcW w:w="1976" w:type="pct"/>
            <w:shd w:val="clear" w:color="auto" w:fill="auto"/>
            <w:noWrap/>
            <w:vAlign w:val="center"/>
            <w:hideMark/>
          </w:tcPr>
          <w:p w14:paraId="0688902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Mahantango Wind, LLC</w:t>
            </w:r>
          </w:p>
        </w:tc>
        <w:tc>
          <w:tcPr>
            <w:tcW w:w="1316" w:type="pct"/>
            <w:shd w:val="clear" w:color="auto" w:fill="auto"/>
            <w:noWrap/>
            <w:vAlign w:val="center"/>
            <w:hideMark/>
          </w:tcPr>
          <w:p w14:paraId="400FFBF8"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404228F8"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Explotación parques eólicos</w:t>
            </w:r>
          </w:p>
        </w:tc>
      </w:tr>
      <w:tr w:rsidR="0099187E" w:rsidRPr="007725D0" w14:paraId="285DDDB6" w14:textId="77777777" w:rsidTr="003E002C">
        <w:trPr>
          <w:trHeight w:val="315"/>
        </w:trPr>
        <w:tc>
          <w:tcPr>
            <w:tcW w:w="1976" w:type="pct"/>
            <w:shd w:val="clear" w:color="auto" w:fill="auto"/>
            <w:noWrap/>
            <w:vAlign w:val="center"/>
            <w:hideMark/>
          </w:tcPr>
          <w:p w14:paraId="0A24FA12"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Pocahontas Prairie Wind, LLC</w:t>
            </w:r>
          </w:p>
        </w:tc>
        <w:tc>
          <w:tcPr>
            <w:tcW w:w="1316" w:type="pct"/>
            <w:shd w:val="clear" w:color="auto" w:fill="auto"/>
            <w:noWrap/>
            <w:vAlign w:val="center"/>
            <w:hideMark/>
          </w:tcPr>
          <w:p w14:paraId="479A474D"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04AE28BF"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Explotación parques eólicos</w:t>
            </w:r>
          </w:p>
        </w:tc>
      </w:tr>
      <w:tr w:rsidR="0099187E" w:rsidRPr="007725D0" w14:paraId="5602E025" w14:textId="77777777" w:rsidTr="003E002C">
        <w:trPr>
          <w:trHeight w:val="315"/>
        </w:trPr>
        <w:tc>
          <w:tcPr>
            <w:tcW w:w="1976" w:type="pct"/>
            <w:shd w:val="clear" w:color="auto" w:fill="auto"/>
            <w:noWrap/>
            <w:vAlign w:val="center"/>
            <w:hideMark/>
          </w:tcPr>
          <w:p w14:paraId="340F5D0B"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BajaWind Llc</w:t>
            </w:r>
          </w:p>
        </w:tc>
        <w:tc>
          <w:tcPr>
            <w:tcW w:w="1316" w:type="pct"/>
            <w:shd w:val="clear" w:color="auto" w:fill="auto"/>
            <w:noWrap/>
            <w:vAlign w:val="center"/>
            <w:hideMark/>
          </w:tcPr>
          <w:p w14:paraId="4C71453D"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EEUU (Delaware)</w:t>
            </w:r>
          </w:p>
        </w:tc>
        <w:tc>
          <w:tcPr>
            <w:tcW w:w="1708" w:type="pct"/>
            <w:shd w:val="clear" w:color="auto" w:fill="auto"/>
            <w:noWrap/>
            <w:vAlign w:val="center"/>
            <w:hideMark/>
          </w:tcPr>
          <w:p w14:paraId="307A119F"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795AFDBA" w14:textId="77777777" w:rsidTr="003E002C">
        <w:trPr>
          <w:trHeight w:val="315"/>
        </w:trPr>
        <w:tc>
          <w:tcPr>
            <w:tcW w:w="1976" w:type="pct"/>
            <w:shd w:val="clear" w:color="auto" w:fill="auto"/>
            <w:noWrap/>
            <w:vAlign w:val="center"/>
            <w:hideMark/>
          </w:tcPr>
          <w:p w14:paraId="475DCE0C"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Ireland Limited</w:t>
            </w:r>
          </w:p>
        </w:tc>
        <w:tc>
          <w:tcPr>
            <w:tcW w:w="1316" w:type="pct"/>
            <w:shd w:val="clear" w:color="auto" w:fill="auto"/>
            <w:noWrap/>
            <w:vAlign w:val="center"/>
            <w:hideMark/>
          </w:tcPr>
          <w:p w14:paraId="74B67DB2"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Irlanda</w:t>
            </w:r>
          </w:p>
        </w:tc>
        <w:tc>
          <w:tcPr>
            <w:tcW w:w="1708" w:type="pct"/>
            <w:shd w:val="clear" w:color="auto" w:fill="auto"/>
            <w:noWrap/>
            <w:vAlign w:val="center"/>
            <w:hideMark/>
          </w:tcPr>
          <w:p w14:paraId="1800FF9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1EAC9C51" w14:textId="77777777" w:rsidTr="003E002C">
        <w:trPr>
          <w:trHeight w:val="315"/>
        </w:trPr>
        <w:tc>
          <w:tcPr>
            <w:tcW w:w="1976" w:type="pct"/>
            <w:shd w:val="clear" w:color="auto" w:fill="auto"/>
            <w:noWrap/>
            <w:vAlign w:val="center"/>
            <w:hideMark/>
          </w:tcPr>
          <w:p w14:paraId="32C4C4A7"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Mauritius Ltd.</w:t>
            </w:r>
          </w:p>
        </w:tc>
        <w:tc>
          <w:tcPr>
            <w:tcW w:w="1316" w:type="pct"/>
            <w:shd w:val="clear" w:color="auto" w:fill="auto"/>
            <w:noWrap/>
            <w:vAlign w:val="center"/>
            <w:hideMark/>
          </w:tcPr>
          <w:p w14:paraId="41B90CB7"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Islas Mauricio</w:t>
            </w:r>
          </w:p>
        </w:tc>
        <w:tc>
          <w:tcPr>
            <w:tcW w:w="1708" w:type="pct"/>
            <w:shd w:val="clear" w:color="auto" w:fill="auto"/>
            <w:noWrap/>
            <w:vAlign w:val="center"/>
            <w:hideMark/>
          </w:tcPr>
          <w:p w14:paraId="73299E58"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Instalaciones eólicas</w:t>
            </w:r>
          </w:p>
        </w:tc>
      </w:tr>
      <w:tr w:rsidR="0099187E" w:rsidRPr="007725D0" w14:paraId="39F7E915" w14:textId="77777777" w:rsidTr="003E002C">
        <w:trPr>
          <w:trHeight w:val="315"/>
        </w:trPr>
        <w:tc>
          <w:tcPr>
            <w:tcW w:w="1976" w:type="pct"/>
            <w:shd w:val="clear" w:color="auto" w:fill="auto"/>
            <w:noWrap/>
            <w:vAlign w:val="center"/>
            <w:hideMark/>
          </w:tcPr>
          <w:p w14:paraId="5EF59D20" w14:textId="77777777" w:rsidR="0099187E" w:rsidRPr="007725D0" w:rsidRDefault="0099187E" w:rsidP="003E002C">
            <w:pPr>
              <w:rPr>
                <w:rFonts w:ascii="Open Sans" w:hAnsi="Open Sans" w:cs="Open Sans"/>
                <w:color w:val="000000"/>
                <w:sz w:val="20"/>
                <w:szCs w:val="20"/>
                <w:lang w:eastAsia="en-US"/>
              </w:rPr>
            </w:pPr>
            <w:r w:rsidRPr="007725D0">
              <w:rPr>
                <w:rFonts w:ascii="Open Sans" w:hAnsi="Open Sans" w:cs="Open Sans"/>
                <w:color w:val="000000"/>
                <w:sz w:val="20"/>
                <w:szCs w:val="20"/>
                <w:lang w:eastAsia="en-US"/>
              </w:rPr>
              <w:t>Gamesa Puerto Rico C.R.L.</w:t>
            </w:r>
          </w:p>
        </w:tc>
        <w:tc>
          <w:tcPr>
            <w:tcW w:w="1316" w:type="pct"/>
            <w:shd w:val="clear" w:color="auto" w:fill="auto"/>
            <w:noWrap/>
            <w:vAlign w:val="center"/>
            <w:hideMark/>
          </w:tcPr>
          <w:p w14:paraId="0F99BC54"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Puerto Rico</w:t>
            </w:r>
          </w:p>
        </w:tc>
        <w:tc>
          <w:tcPr>
            <w:tcW w:w="1708" w:type="pct"/>
            <w:shd w:val="clear" w:color="auto" w:fill="auto"/>
            <w:noWrap/>
            <w:vAlign w:val="center"/>
            <w:hideMark/>
          </w:tcPr>
          <w:p w14:paraId="17DAA4FB"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Instalaciones eólicas</w:t>
            </w:r>
          </w:p>
        </w:tc>
      </w:tr>
      <w:tr w:rsidR="0099187E" w:rsidRPr="007725D0" w14:paraId="79679E70" w14:textId="77777777" w:rsidTr="003E002C">
        <w:trPr>
          <w:trHeight w:val="315"/>
        </w:trPr>
        <w:tc>
          <w:tcPr>
            <w:tcW w:w="1976" w:type="pct"/>
            <w:shd w:val="clear" w:color="auto" w:fill="auto"/>
            <w:noWrap/>
            <w:vAlign w:val="center"/>
            <w:hideMark/>
          </w:tcPr>
          <w:p w14:paraId="76B5916F" w14:textId="77777777" w:rsidR="0099187E" w:rsidRPr="007725D0" w:rsidRDefault="0099187E" w:rsidP="003E002C">
            <w:pPr>
              <w:rPr>
                <w:rFonts w:ascii="Open Sans" w:hAnsi="Open Sans" w:cs="Open Sans"/>
                <w:color w:val="000000"/>
                <w:sz w:val="20"/>
                <w:szCs w:val="20"/>
                <w:lang w:eastAsia="en-US"/>
              </w:rPr>
            </w:pPr>
            <w:r w:rsidRPr="007725D0">
              <w:rPr>
                <w:rFonts w:ascii="Open Sans" w:hAnsi="Open Sans" w:cs="Open Sans"/>
                <w:color w:val="000000"/>
                <w:sz w:val="20"/>
                <w:szCs w:val="20"/>
                <w:lang w:eastAsia="en-US"/>
              </w:rPr>
              <w:t>Parques Eólicos del Caribe, S.A.</w:t>
            </w:r>
          </w:p>
        </w:tc>
        <w:tc>
          <w:tcPr>
            <w:tcW w:w="1316" w:type="pct"/>
            <w:shd w:val="clear" w:color="auto" w:fill="auto"/>
            <w:noWrap/>
            <w:vAlign w:val="center"/>
            <w:hideMark/>
          </w:tcPr>
          <w:p w14:paraId="2E99421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República Dominicana</w:t>
            </w:r>
          </w:p>
        </w:tc>
        <w:tc>
          <w:tcPr>
            <w:tcW w:w="1708" w:type="pct"/>
            <w:shd w:val="clear" w:color="auto" w:fill="auto"/>
            <w:noWrap/>
            <w:vAlign w:val="center"/>
            <w:hideMark/>
          </w:tcPr>
          <w:p w14:paraId="488A36DD"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Promoción de parques eólicos</w:t>
            </w:r>
          </w:p>
        </w:tc>
      </w:tr>
      <w:tr w:rsidR="0099187E" w:rsidRPr="007725D0" w14:paraId="0D508AAD" w14:textId="77777777" w:rsidTr="003E002C">
        <w:trPr>
          <w:trHeight w:val="315"/>
        </w:trPr>
        <w:tc>
          <w:tcPr>
            <w:tcW w:w="1976" w:type="pct"/>
            <w:shd w:val="clear" w:color="auto" w:fill="auto"/>
            <w:noWrap/>
            <w:vAlign w:val="center"/>
            <w:hideMark/>
          </w:tcPr>
          <w:p w14:paraId="17362CF2" w14:textId="77777777" w:rsidR="0099187E" w:rsidRPr="007725D0" w:rsidRDefault="0099187E" w:rsidP="003E002C">
            <w:pPr>
              <w:rPr>
                <w:rFonts w:ascii="Open Sans" w:hAnsi="Open Sans" w:cs="Open Sans"/>
                <w:color w:val="000000"/>
                <w:sz w:val="20"/>
                <w:szCs w:val="20"/>
                <w:lang w:eastAsia="en-US"/>
              </w:rPr>
            </w:pPr>
            <w:r w:rsidRPr="007725D0">
              <w:rPr>
                <w:rFonts w:ascii="Open Sans" w:hAnsi="Open Sans" w:cs="Open Sans"/>
                <w:color w:val="000000"/>
                <w:sz w:val="20"/>
                <w:szCs w:val="20"/>
                <w:lang w:eastAsia="en-US"/>
              </w:rPr>
              <w:t>Gamesa Dominicana, S.A.S.</w:t>
            </w:r>
          </w:p>
        </w:tc>
        <w:tc>
          <w:tcPr>
            <w:tcW w:w="1316" w:type="pct"/>
            <w:shd w:val="clear" w:color="auto" w:fill="auto"/>
            <w:noWrap/>
            <w:vAlign w:val="center"/>
            <w:hideMark/>
          </w:tcPr>
          <w:p w14:paraId="1466F5F1"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República Dominicana</w:t>
            </w:r>
          </w:p>
        </w:tc>
        <w:tc>
          <w:tcPr>
            <w:tcW w:w="1708" w:type="pct"/>
            <w:shd w:val="clear" w:color="auto" w:fill="auto"/>
            <w:noWrap/>
            <w:vAlign w:val="center"/>
            <w:hideMark/>
          </w:tcPr>
          <w:p w14:paraId="4CF5D09A"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4B579243" w14:textId="77777777" w:rsidTr="003E002C">
        <w:trPr>
          <w:trHeight w:val="315"/>
        </w:trPr>
        <w:tc>
          <w:tcPr>
            <w:tcW w:w="1976" w:type="pct"/>
            <w:shd w:val="clear" w:color="auto" w:fill="auto"/>
            <w:noWrap/>
            <w:vAlign w:val="center"/>
            <w:hideMark/>
          </w:tcPr>
          <w:p w14:paraId="65E4C372"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Singapore Private Limited</w:t>
            </w:r>
          </w:p>
        </w:tc>
        <w:tc>
          <w:tcPr>
            <w:tcW w:w="1316" w:type="pct"/>
            <w:shd w:val="clear" w:color="auto" w:fill="auto"/>
            <w:noWrap/>
            <w:vAlign w:val="center"/>
            <w:hideMark/>
          </w:tcPr>
          <w:p w14:paraId="142AD9E3"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Singapur</w:t>
            </w:r>
          </w:p>
        </w:tc>
        <w:tc>
          <w:tcPr>
            <w:tcW w:w="1708" w:type="pct"/>
            <w:shd w:val="clear" w:color="auto" w:fill="auto"/>
            <w:noWrap/>
            <w:vAlign w:val="center"/>
            <w:hideMark/>
          </w:tcPr>
          <w:p w14:paraId="4AF59B67"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2819BCEF" w14:textId="77777777" w:rsidTr="003E002C">
        <w:trPr>
          <w:trHeight w:val="315"/>
        </w:trPr>
        <w:tc>
          <w:tcPr>
            <w:tcW w:w="1976" w:type="pct"/>
            <w:shd w:val="clear" w:color="auto" w:fill="auto"/>
            <w:noWrap/>
            <w:vAlign w:val="center"/>
            <w:hideMark/>
          </w:tcPr>
          <w:p w14:paraId="7992F7F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Wind South Africa PTY Ltd.</w:t>
            </w:r>
          </w:p>
        </w:tc>
        <w:tc>
          <w:tcPr>
            <w:tcW w:w="1316" w:type="pct"/>
            <w:shd w:val="clear" w:color="auto" w:fill="auto"/>
            <w:noWrap/>
            <w:vAlign w:val="center"/>
            <w:hideMark/>
          </w:tcPr>
          <w:p w14:paraId="1640BB72"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Sudáfrica</w:t>
            </w:r>
          </w:p>
        </w:tc>
        <w:tc>
          <w:tcPr>
            <w:tcW w:w="1708" w:type="pct"/>
            <w:shd w:val="clear" w:color="auto" w:fill="auto"/>
            <w:noWrap/>
            <w:vAlign w:val="center"/>
            <w:hideMark/>
          </w:tcPr>
          <w:p w14:paraId="4C63B4BE"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50E9A916" w14:textId="77777777" w:rsidTr="003E002C">
        <w:trPr>
          <w:trHeight w:val="315"/>
        </w:trPr>
        <w:tc>
          <w:tcPr>
            <w:tcW w:w="1976" w:type="pct"/>
            <w:shd w:val="clear" w:color="auto" w:fill="auto"/>
            <w:noWrap/>
            <w:vAlign w:val="center"/>
            <w:hideMark/>
          </w:tcPr>
          <w:p w14:paraId="7E71E37A"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Taiwan Limited</w:t>
            </w:r>
          </w:p>
        </w:tc>
        <w:tc>
          <w:tcPr>
            <w:tcW w:w="1316" w:type="pct"/>
            <w:shd w:val="clear" w:color="auto" w:fill="auto"/>
            <w:noWrap/>
            <w:vAlign w:val="center"/>
            <w:hideMark/>
          </w:tcPr>
          <w:p w14:paraId="7230CA89"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Taiwan</w:t>
            </w:r>
          </w:p>
        </w:tc>
        <w:tc>
          <w:tcPr>
            <w:tcW w:w="1708" w:type="pct"/>
            <w:shd w:val="clear" w:color="auto" w:fill="auto"/>
            <w:noWrap/>
            <w:vAlign w:val="center"/>
            <w:hideMark/>
          </w:tcPr>
          <w:p w14:paraId="54D6D657"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Fabricación y holding</w:t>
            </w:r>
          </w:p>
        </w:tc>
      </w:tr>
      <w:tr w:rsidR="0099187E" w:rsidRPr="007725D0" w14:paraId="6A5BCA67" w14:textId="77777777" w:rsidTr="003E002C">
        <w:trPr>
          <w:trHeight w:val="315"/>
        </w:trPr>
        <w:tc>
          <w:tcPr>
            <w:tcW w:w="1976" w:type="pct"/>
            <w:shd w:val="clear" w:color="auto" w:fill="auto"/>
            <w:noWrap/>
            <w:vAlign w:val="center"/>
            <w:hideMark/>
          </w:tcPr>
          <w:p w14:paraId="2F0896E5"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Gamesa Uruguay S.R.L</w:t>
            </w:r>
          </w:p>
        </w:tc>
        <w:tc>
          <w:tcPr>
            <w:tcW w:w="1316" w:type="pct"/>
            <w:shd w:val="clear" w:color="auto" w:fill="auto"/>
            <w:noWrap/>
            <w:vAlign w:val="center"/>
            <w:hideMark/>
          </w:tcPr>
          <w:p w14:paraId="7791AA3A"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Uruguay</w:t>
            </w:r>
          </w:p>
        </w:tc>
        <w:tc>
          <w:tcPr>
            <w:tcW w:w="1708" w:type="pct"/>
            <w:shd w:val="clear" w:color="auto" w:fill="auto"/>
            <w:noWrap/>
            <w:vAlign w:val="center"/>
            <w:hideMark/>
          </w:tcPr>
          <w:p w14:paraId="2A3C6783" w14:textId="77777777" w:rsidR="0099187E" w:rsidRPr="007725D0" w:rsidRDefault="0099187E" w:rsidP="003E002C">
            <w:pPr>
              <w:rPr>
                <w:rFonts w:ascii="Open Sans" w:hAnsi="Open Sans" w:cs="Open Sans"/>
                <w:color w:val="000000"/>
                <w:sz w:val="20"/>
                <w:szCs w:val="20"/>
                <w:lang w:val="en-US" w:eastAsia="en-US"/>
              </w:rPr>
            </w:pPr>
            <w:r w:rsidRPr="007725D0">
              <w:rPr>
                <w:rFonts w:ascii="Open Sans" w:hAnsi="Open Sans" w:cs="Open Sans"/>
                <w:color w:val="000000"/>
                <w:sz w:val="20"/>
                <w:szCs w:val="20"/>
                <w:lang w:val="en-US" w:eastAsia="en-US"/>
              </w:rPr>
              <w:t>Instalaciones eólicas</w:t>
            </w:r>
          </w:p>
        </w:tc>
      </w:tr>
    </w:tbl>
    <w:p w14:paraId="5E70CC00" w14:textId="77777777" w:rsidR="0099187E" w:rsidRDefault="0099187E" w:rsidP="0099187E">
      <w:pPr>
        <w:jc w:val="both"/>
        <w:rPr>
          <w:rFonts w:ascii="Open Sans" w:hAnsi="Open Sans" w:cs="Open Sans"/>
          <w:sz w:val="20"/>
          <w:szCs w:val="20"/>
        </w:rPr>
      </w:pPr>
    </w:p>
    <w:p w14:paraId="284EFC23" w14:textId="77777777" w:rsidR="0099187E" w:rsidRDefault="0099187E" w:rsidP="0099187E">
      <w:pPr>
        <w:jc w:val="both"/>
        <w:rPr>
          <w:rFonts w:ascii="Open Sans" w:hAnsi="Open Sans" w:cs="Open Sans"/>
          <w:sz w:val="20"/>
          <w:szCs w:val="20"/>
        </w:rPr>
      </w:pPr>
    </w:p>
    <w:p w14:paraId="792B7FE9"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Gamesa desglosa su plantilla por países. Llama la atención que, a pesar de tener sociedades constituidas en paraísos y nichos fiscales como Islas Mauricio, Singapur o Taiwan, no hay empleados registrados en esas jurisdicciones. Tanto en Singapur como en Islas Mauricio se han llevado a cabo operaciones cuya descripción es “Intereses por operaciones intragrupo” que ascienden a 246.000€. La ausencia de trabajadores en estas jurisdicciones, así como la naturaleza de las actividades que se llevan a cabo en ellas, podrían ofrecer dudas sobre la motivación de estas sociedades. </w:t>
      </w:r>
    </w:p>
    <w:p w14:paraId="14D70C80" w14:textId="77777777" w:rsidR="0099187E" w:rsidRDefault="0099187E" w:rsidP="0099187E">
      <w:pPr>
        <w:jc w:val="both"/>
        <w:rPr>
          <w:rFonts w:ascii="Open Sans" w:hAnsi="Open Sans" w:cs="Open Sans"/>
          <w:sz w:val="20"/>
          <w:szCs w:val="20"/>
        </w:rPr>
      </w:pPr>
    </w:p>
    <w:p w14:paraId="190751E9" w14:textId="77777777" w:rsidR="0099187E" w:rsidRPr="007725D0" w:rsidRDefault="0099187E" w:rsidP="0099187E">
      <w:pPr>
        <w:jc w:val="both"/>
        <w:rPr>
          <w:rFonts w:ascii="Open Sans" w:hAnsi="Open Sans" w:cs="Open Sans"/>
          <w:sz w:val="20"/>
          <w:szCs w:val="20"/>
        </w:rPr>
      </w:pPr>
      <w:r w:rsidRPr="007725D0">
        <w:rPr>
          <w:rFonts w:ascii="Open Sans" w:hAnsi="Open Sans" w:cs="Open Sans"/>
          <w:sz w:val="20"/>
          <w:szCs w:val="20"/>
        </w:rPr>
        <w:t xml:space="preserve">En líneas generales, no es posible saber cuál es el volumen de la actividad de Gamesa en paraísos fiscales, ya que, salvo magnitudes para algunas operaciones intragrupo, no se proporcionan cifras sobre ingresos, gastos, o cualquier otra magnitud que permita obtener información sobre la dimensión de esa actividad. Por tanto, la información que aporta Gamesa sobre su actividad en paraísos fiscales es insuficiente. </w:t>
      </w:r>
    </w:p>
    <w:p w14:paraId="48DE0F17" w14:textId="77777777" w:rsidR="0099187E" w:rsidRPr="007725D0" w:rsidRDefault="0099187E" w:rsidP="0099187E">
      <w:pPr>
        <w:jc w:val="both"/>
        <w:rPr>
          <w:rFonts w:ascii="Open Sans" w:hAnsi="Open Sans" w:cs="Open Sans"/>
          <w:sz w:val="20"/>
          <w:szCs w:val="20"/>
        </w:rPr>
      </w:pPr>
    </w:p>
    <w:p w14:paraId="09F5CF15" w14:textId="77777777" w:rsidR="0099187E" w:rsidRDefault="0099187E" w:rsidP="0099187E">
      <w:pPr>
        <w:jc w:val="both"/>
        <w:rPr>
          <w:rFonts w:ascii="Open Sans" w:hAnsi="Open Sans" w:cs="Open Sans"/>
          <w:sz w:val="20"/>
          <w:szCs w:val="20"/>
        </w:rPr>
      </w:pPr>
      <w:r w:rsidRPr="007725D0">
        <w:rPr>
          <w:rFonts w:ascii="Open Sans" w:hAnsi="Open Sans" w:cs="Open Sans"/>
          <w:sz w:val="20"/>
          <w:szCs w:val="20"/>
        </w:rPr>
        <w:t>En el Anexo de las Cuentas Anuales Consolidadas figura una lista con las sociedades que pertenecen al grupo Gamesa, aportando información sobre el país de domicilio, la actividad, el método de consolidación y el porcentaje de participación de Gamesa en ellas. Esta información permite saber si la participación de Gamesa en las sociedades del grupo es mayoritaria o no, pero no permite obtener una imagen de la estructura societaria de Gamesa.</w:t>
      </w:r>
      <w:r>
        <w:rPr>
          <w:rFonts w:ascii="Open Sans" w:hAnsi="Open Sans" w:cs="Open Sans"/>
          <w:sz w:val="20"/>
          <w:szCs w:val="20"/>
        </w:rPr>
        <w:t xml:space="preserve"> </w:t>
      </w:r>
    </w:p>
    <w:p w14:paraId="3616176B" w14:textId="77777777" w:rsidR="0099187E" w:rsidRDefault="0099187E" w:rsidP="0099187E">
      <w:pPr>
        <w:jc w:val="both"/>
        <w:rPr>
          <w:rFonts w:ascii="Open Sans" w:hAnsi="Open Sans" w:cs="Open Sans"/>
          <w:sz w:val="20"/>
          <w:szCs w:val="20"/>
        </w:rPr>
      </w:pPr>
    </w:p>
    <w:p w14:paraId="088D45F5"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Entre los accionistas mayoritarios de Gamesa figura Iberdrola (19,6% de los derechos de voto). Esta sociedad también tiene numerosas sociedades en nichos  fiscales, y especialmente en EE.UU. (Delaware). </w:t>
      </w:r>
    </w:p>
    <w:p w14:paraId="2EC17291" w14:textId="77777777" w:rsidR="0099187E" w:rsidRDefault="0099187E" w:rsidP="0099187E">
      <w:pPr>
        <w:jc w:val="both"/>
        <w:rPr>
          <w:rFonts w:ascii="Open Sans" w:hAnsi="Open Sans" w:cs="Open Sans"/>
          <w:sz w:val="20"/>
          <w:szCs w:val="20"/>
        </w:rPr>
      </w:pPr>
    </w:p>
    <w:p w14:paraId="4E54DEBF" w14:textId="77777777" w:rsidR="0099187E" w:rsidRDefault="0099187E" w:rsidP="0099187E">
      <w:pPr>
        <w:jc w:val="both"/>
        <w:rPr>
          <w:rFonts w:ascii="Open Sans" w:hAnsi="Open Sans" w:cs="Open Sans"/>
          <w:sz w:val="20"/>
          <w:szCs w:val="20"/>
        </w:rPr>
      </w:pPr>
    </w:p>
    <w:p w14:paraId="28F21676"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3. </w:t>
      </w:r>
      <w:r w:rsidRPr="00E079F6">
        <w:rPr>
          <w:rFonts w:ascii="Open Sans" w:hAnsi="Open Sans" w:cs="Open Sans"/>
          <w:sz w:val="20"/>
          <w:szCs w:val="20"/>
        </w:rPr>
        <w:t>Contribución fiscal</w:t>
      </w:r>
    </w:p>
    <w:p w14:paraId="6A5474DF" w14:textId="77777777" w:rsidR="0099187E" w:rsidRDefault="0099187E" w:rsidP="0099187E">
      <w:pPr>
        <w:jc w:val="both"/>
        <w:rPr>
          <w:rFonts w:ascii="Open Sans" w:hAnsi="Open Sans" w:cs="Open Sans"/>
          <w:sz w:val="20"/>
          <w:szCs w:val="20"/>
        </w:rPr>
      </w:pPr>
    </w:p>
    <w:p w14:paraId="45147E35" w14:textId="77777777" w:rsidR="0099187E" w:rsidRDefault="0099187E" w:rsidP="0099187E">
      <w:pPr>
        <w:jc w:val="both"/>
        <w:rPr>
          <w:rFonts w:ascii="Open Sans" w:hAnsi="Open Sans" w:cs="Open Sans"/>
          <w:sz w:val="20"/>
          <w:szCs w:val="20"/>
        </w:rPr>
      </w:pPr>
      <w:r w:rsidRPr="007725D0">
        <w:rPr>
          <w:rFonts w:ascii="Open Sans" w:hAnsi="Open Sans" w:cs="Open Sans"/>
          <w:sz w:val="20"/>
          <w:szCs w:val="20"/>
        </w:rPr>
        <w:t>En la información consultada no figura cuál es la tasa impositiva, tanto nominal como efectiva, que soporta Gamesa en cada uno de los países en los que operan sus sociedades. Sí que se proporciona el total de impuestos pagados por países, pero sin desagregar importe correspondiente a la actividad en paraísos fiscales.</w:t>
      </w:r>
      <w:r>
        <w:rPr>
          <w:rFonts w:ascii="Open Sans" w:hAnsi="Open Sans" w:cs="Open Sans"/>
          <w:sz w:val="20"/>
          <w:szCs w:val="20"/>
        </w:rPr>
        <w:t xml:space="preserve">  </w:t>
      </w:r>
    </w:p>
    <w:p w14:paraId="3E3A8002" w14:textId="77777777" w:rsidR="0099187E" w:rsidRDefault="0099187E" w:rsidP="0099187E">
      <w:pPr>
        <w:jc w:val="both"/>
        <w:rPr>
          <w:rFonts w:ascii="Open Sans" w:hAnsi="Open Sans" w:cs="Open Sans"/>
          <w:sz w:val="20"/>
          <w:szCs w:val="20"/>
        </w:rPr>
      </w:pPr>
    </w:p>
    <w:p w14:paraId="654DB4E0" w14:textId="77777777" w:rsidR="0099187E" w:rsidRDefault="0099187E" w:rsidP="0099187E">
      <w:pPr>
        <w:jc w:val="both"/>
        <w:rPr>
          <w:rFonts w:ascii="Open Sans" w:hAnsi="Open Sans" w:cs="Open Sans"/>
          <w:sz w:val="20"/>
          <w:szCs w:val="20"/>
        </w:rPr>
      </w:pPr>
      <w:r>
        <w:rPr>
          <w:rFonts w:ascii="Open Sans" w:hAnsi="Open Sans" w:cs="Open Sans"/>
          <w:sz w:val="20"/>
          <w:szCs w:val="20"/>
        </w:rPr>
        <w:t>En lo que respecta a subvenciones, se indica la c</w:t>
      </w:r>
      <w:r w:rsidRPr="00493546">
        <w:rPr>
          <w:rFonts w:ascii="Open Sans" w:hAnsi="Open Sans" w:cs="Open Sans"/>
          <w:sz w:val="20"/>
          <w:szCs w:val="20"/>
        </w:rPr>
        <w:t>ifra agregada de subvenciones en el consolidado, si</w:t>
      </w:r>
      <w:r>
        <w:rPr>
          <w:rFonts w:ascii="Open Sans" w:hAnsi="Open Sans" w:cs="Open Sans"/>
          <w:sz w:val="20"/>
          <w:szCs w:val="20"/>
        </w:rPr>
        <w:t>n</w:t>
      </w:r>
      <w:r w:rsidRPr="00493546">
        <w:rPr>
          <w:rFonts w:ascii="Open Sans" w:hAnsi="Open Sans" w:cs="Open Sans"/>
          <w:sz w:val="20"/>
          <w:szCs w:val="20"/>
        </w:rPr>
        <w:t xml:space="preserve"> desagregar por países ni indicar el organismo que las concede</w:t>
      </w:r>
      <w:r>
        <w:rPr>
          <w:rFonts w:ascii="Open Sans" w:hAnsi="Open Sans" w:cs="Open Sans"/>
          <w:sz w:val="20"/>
          <w:szCs w:val="20"/>
        </w:rPr>
        <w:t xml:space="preserve">, la actividad para la que se concedieron o su duración. Las subvenciones a la explotación en la cuenta de pérdidas y ganancias consolidadas alcanzan los 664.000 euros. Dado el apoyo que reciben las energías renovables por parte de la Administración Pública en algunos países, se echa en falta información más concreta sobre subvenciones. </w:t>
      </w:r>
    </w:p>
    <w:p w14:paraId="7120E1A5" w14:textId="77777777" w:rsidR="0099187E" w:rsidRDefault="0099187E" w:rsidP="0099187E">
      <w:pPr>
        <w:jc w:val="both"/>
        <w:rPr>
          <w:rFonts w:ascii="Open Sans" w:hAnsi="Open Sans" w:cs="Open Sans"/>
          <w:sz w:val="20"/>
          <w:szCs w:val="20"/>
        </w:rPr>
      </w:pPr>
    </w:p>
    <w:p w14:paraId="157D62D7"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El importe de las deducciones fiscales es de 6,5 millones de euros. </w:t>
      </w:r>
      <w:r w:rsidRPr="00B43656">
        <w:rPr>
          <w:rFonts w:ascii="Open Sans" w:hAnsi="Open Sans" w:cs="Open Sans"/>
          <w:sz w:val="20"/>
          <w:szCs w:val="20"/>
        </w:rPr>
        <w:t xml:space="preserve">Aunque </w:t>
      </w:r>
      <w:r>
        <w:rPr>
          <w:rFonts w:ascii="Open Sans" w:hAnsi="Open Sans" w:cs="Open Sans"/>
          <w:sz w:val="20"/>
          <w:szCs w:val="20"/>
        </w:rPr>
        <w:t xml:space="preserve">se </w:t>
      </w:r>
      <w:r w:rsidRPr="00B43656">
        <w:rPr>
          <w:rFonts w:ascii="Open Sans" w:hAnsi="Open Sans" w:cs="Open Sans"/>
          <w:sz w:val="20"/>
          <w:szCs w:val="20"/>
        </w:rPr>
        <w:t xml:space="preserve">describe </w:t>
      </w:r>
      <w:r>
        <w:rPr>
          <w:rFonts w:ascii="Open Sans" w:hAnsi="Open Sans" w:cs="Open Sans"/>
          <w:sz w:val="20"/>
          <w:szCs w:val="20"/>
        </w:rPr>
        <w:t>brevemente su motivo</w:t>
      </w:r>
      <w:r w:rsidRPr="00B43656">
        <w:rPr>
          <w:rFonts w:ascii="Open Sans" w:hAnsi="Open Sans" w:cs="Open Sans"/>
          <w:sz w:val="20"/>
          <w:szCs w:val="20"/>
        </w:rPr>
        <w:t xml:space="preserve">, </w:t>
      </w:r>
      <w:r>
        <w:rPr>
          <w:rFonts w:ascii="Open Sans" w:hAnsi="Open Sans" w:cs="Open Sans"/>
          <w:sz w:val="20"/>
          <w:szCs w:val="20"/>
        </w:rPr>
        <w:t xml:space="preserve">que está relacionado con la actividad de Gamesa en España, </w:t>
      </w:r>
      <w:r w:rsidRPr="00B43656">
        <w:rPr>
          <w:rFonts w:ascii="Open Sans" w:hAnsi="Open Sans" w:cs="Open Sans"/>
          <w:sz w:val="20"/>
          <w:szCs w:val="20"/>
        </w:rPr>
        <w:t xml:space="preserve">no </w:t>
      </w:r>
      <w:r>
        <w:rPr>
          <w:rFonts w:ascii="Open Sans" w:hAnsi="Open Sans" w:cs="Open Sans"/>
          <w:sz w:val="20"/>
          <w:szCs w:val="20"/>
        </w:rPr>
        <w:t xml:space="preserve">se </w:t>
      </w:r>
      <w:r w:rsidRPr="00B43656">
        <w:rPr>
          <w:rFonts w:ascii="Open Sans" w:hAnsi="Open Sans" w:cs="Open Sans"/>
          <w:sz w:val="20"/>
          <w:szCs w:val="20"/>
        </w:rPr>
        <w:t>dej</w:t>
      </w:r>
      <w:r>
        <w:rPr>
          <w:rFonts w:ascii="Open Sans" w:hAnsi="Open Sans" w:cs="Open Sans"/>
          <w:sz w:val="20"/>
          <w:szCs w:val="20"/>
        </w:rPr>
        <w:t>a claro si hay deducciones fiscales derivadas de su actividad en el extranjero. Sobre exenciones fiscales, lo único que se indica es que hay</w:t>
      </w:r>
      <w:r w:rsidRPr="00B43656">
        <w:rPr>
          <w:rFonts w:ascii="Open Sans" w:hAnsi="Open Sans" w:cs="Open Sans"/>
          <w:sz w:val="20"/>
          <w:szCs w:val="20"/>
        </w:rPr>
        <w:t xml:space="preserve"> "</w:t>
      </w:r>
      <w:r w:rsidRPr="00B43656">
        <w:rPr>
          <w:rFonts w:ascii="Open Sans" w:hAnsi="Open Sans" w:cs="Open Sans"/>
          <w:i/>
          <w:sz w:val="20"/>
          <w:szCs w:val="20"/>
        </w:rPr>
        <w:t>Exención de plusvalías por venta de parques eólicos</w:t>
      </w:r>
      <w:r w:rsidRPr="00B43656">
        <w:rPr>
          <w:rFonts w:ascii="Open Sans" w:hAnsi="Open Sans" w:cs="Open Sans"/>
          <w:sz w:val="20"/>
          <w:szCs w:val="20"/>
        </w:rPr>
        <w:t>" por importe de 669</w:t>
      </w:r>
      <w:r>
        <w:rPr>
          <w:rFonts w:ascii="Open Sans" w:hAnsi="Open Sans" w:cs="Open Sans"/>
          <w:sz w:val="20"/>
          <w:szCs w:val="20"/>
        </w:rPr>
        <w:t>.</w:t>
      </w:r>
      <w:r w:rsidRPr="00B43656">
        <w:rPr>
          <w:rFonts w:ascii="Open Sans" w:hAnsi="Open Sans" w:cs="Open Sans"/>
          <w:sz w:val="20"/>
          <w:szCs w:val="20"/>
        </w:rPr>
        <w:t>000</w:t>
      </w:r>
      <w:r>
        <w:rPr>
          <w:rFonts w:ascii="Open Sans" w:hAnsi="Open Sans" w:cs="Open Sans"/>
          <w:sz w:val="20"/>
          <w:szCs w:val="20"/>
        </w:rPr>
        <w:t xml:space="preserve"> euros</w:t>
      </w:r>
      <w:r w:rsidRPr="00B43656">
        <w:rPr>
          <w:rFonts w:ascii="Open Sans" w:hAnsi="Open Sans" w:cs="Open Sans"/>
          <w:sz w:val="20"/>
          <w:szCs w:val="20"/>
        </w:rPr>
        <w:t xml:space="preserve">. </w:t>
      </w:r>
      <w:r w:rsidRPr="00F42B1D">
        <w:rPr>
          <w:rFonts w:ascii="Open Sans" w:hAnsi="Open Sans" w:cs="Open Sans"/>
          <w:sz w:val="20"/>
          <w:szCs w:val="20"/>
        </w:rPr>
        <w:t xml:space="preserve">También se hace una mención expresa al beneficio fiscal de la “Cesión por intangibles” que representa una reducción de la base imponible fiscal en el ejercicio 2015 por importe 72.460 miles de euros. </w:t>
      </w:r>
      <w:r>
        <w:rPr>
          <w:rFonts w:ascii="Open Sans" w:hAnsi="Open Sans" w:cs="Open Sans"/>
          <w:sz w:val="20"/>
          <w:szCs w:val="20"/>
        </w:rPr>
        <w:t xml:space="preserve">Por último, sobre créditos fiscales, el proceder es similar al de las subvenciones: breve descripción de los créditos fiscales de los que ha disfrutado la compañía en España, pero sin información concreta sobre si existen créditos fiscales derivados de la actividad en el extranjero. Los créditos fiscales ascienden a un total de 275,2 millones de euros. </w:t>
      </w:r>
    </w:p>
    <w:p w14:paraId="06459B2A" w14:textId="77777777" w:rsidR="0099187E" w:rsidRDefault="0099187E" w:rsidP="0099187E">
      <w:pPr>
        <w:jc w:val="both"/>
        <w:rPr>
          <w:rFonts w:ascii="Open Sans" w:hAnsi="Open Sans" w:cs="Open Sans"/>
          <w:sz w:val="20"/>
          <w:szCs w:val="20"/>
        </w:rPr>
      </w:pPr>
    </w:p>
    <w:p w14:paraId="375E518E" w14:textId="77777777" w:rsidR="0099187E" w:rsidRDefault="0099187E" w:rsidP="0099187E">
      <w:pPr>
        <w:jc w:val="both"/>
        <w:rPr>
          <w:rFonts w:ascii="Open Sans" w:hAnsi="Open Sans" w:cs="Open Sans"/>
          <w:sz w:val="20"/>
          <w:szCs w:val="20"/>
        </w:rPr>
      </w:pPr>
    </w:p>
    <w:p w14:paraId="386B9060" w14:textId="77777777" w:rsidR="0099187E" w:rsidRDefault="0099187E" w:rsidP="0099187E">
      <w:pPr>
        <w:jc w:val="both"/>
        <w:rPr>
          <w:rFonts w:ascii="Open Sans" w:hAnsi="Open Sans" w:cs="Open Sans"/>
          <w:sz w:val="20"/>
          <w:szCs w:val="20"/>
        </w:rPr>
      </w:pPr>
      <w:r>
        <w:rPr>
          <w:rFonts w:ascii="Open Sans" w:hAnsi="Open Sans" w:cs="Open Sans"/>
          <w:sz w:val="20"/>
          <w:szCs w:val="20"/>
        </w:rPr>
        <w:t>4. Relación con la Administración Pública</w:t>
      </w:r>
    </w:p>
    <w:p w14:paraId="118E79E9" w14:textId="77777777" w:rsidR="0099187E" w:rsidRDefault="0099187E" w:rsidP="0099187E">
      <w:pPr>
        <w:jc w:val="both"/>
        <w:rPr>
          <w:rFonts w:ascii="Open Sans" w:hAnsi="Open Sans" w:cs="Open Sans"/>
          <w:sz w:val="20"/>
          <w:szCs w:val="20"/>
        </w:rPr>
      </w:pPr>
    </w:p>
    <w:p w14:paraId="21E79A9E" w14:textId="77777777" w:rsidR="0099187E" w:rsidRDefault="0099187E" w:rsidP="0099187E">
      <w:pPr>
        <w:jc w:val="both"/>
        <w:rPr>
          <w:rFonts w:ascii="Open Sans" w:hAnsi="Open Sans" w:cs="Open Sans"/>
          <w:sz w:val="20"/>
          <w:szCs w:val="20"/>
        </w:rPr>
      </w:pPr>
      <w:r>
        <w:rPr>
          <w:rFonts w:ascii="Open Sans" w:hAnsi="Open Sans" w:cs="Open Sans"/>
          <w:sz w:val="20"/>
          <w:szCs w:val="20"/>
        </w:rPr>
        <w:t>Gamesa no está adherida al Código de Buenas Prácticas de la Agencia tributaria a la fecha de objeto de análisis de este informe, 2015,  pese a que se ha adherido recientemente y este hecho será tenido en cuenta en futuros análisis. En  su Código Ético sí que incluye un punto denominado “</w:t>
      </w:r>
      <w:r w:rsidRPr="00073A84">
        <w:rPr>
          <w:rFonts w:ascii="Open Sans" w:hAnsi="Open Sans" w:cs="Open Sans"/>
          <w:sz w:val="20"/>
          <w:szCs w:val="20"/>
        </w:rPr>
        <w:t>Transparencia y lealtad en la relación con las autoridades fiscales</w:t>
      </w:r>
      <w:r>
        <w:rPr>
          <w:rFonts w:ascii="Open Sans" w:hAnsi="Open Sans" w:cs="Open Sans"/>
          <w:sz w:val="20"/>
          <w:szCs w:val="20"/>
        </w:rPr>
        <w:t>”, en el que suscriben su compromiso con las buenas prácticas tributarias y prohíbe las siguientes conductas:</w:t>
      </w:r>
    </w:p>
    <w:p w14:paraId="4D235100" w14:textId="77777777" w:rsidR="0099187E" w:rsidRDefault="0099187E" w:rsidP="0099187E">
      <w:pPr>
        <w:ind w:left="708"/>
        <w:jc w:val="both"/>
        <w:rPr>
          <w:rFonts w:ascii="Open Sans" w:hAnsi="Open Sans" w:cs="Open Sans"/>
          <w:sz w:val="20"/>
          <w:szCs w:val="20"/>
        </w:rPr>
      </w:pPr>
    </w:p>
    <w:p w14:paraId="5EE75047" w14:textId="77777777" w:rsidR="0099187E" w:rsidRPr="00073A84" w:rsidRDefault="0099187E" w:rsidP="0099187E">
      <w:pPr>
        <w:ind w:left="708"/>
        <w:jc w:val="both"/>
        <w:rPr>
          <w:rFonts w:ascii="Open Sans" w:hAnsi="Open Sans" w:cs="Open Sans"/>
          <w:sz w:val="20"/>
          <w:szCs w:val="20"/>
        </w:rPr>
      </w:pPr>
      <w:r w:rsidRPr="00073A84">
        <w:rPr>
          <w:rFonts w:ascii="Open Sans" w:hAnsi="Open Sans" w:cs="Open Sans"/>
          <w:sz w:val="20"/>
          <w:szCs w:val="20"/>
        </w:rPr>
        <w:t>a) Llevar a cabo actuaciones tendentes a defraudar a las administraciones publicas</w:t>
      </w:r>
      <w:r>
        <w:rPr>
          <w:rFonts w:ascii="Open Sans" w:hAnsi="Open Sans" w:cs="Open Sans"/>
          <w:sz w:val="20"/>
          <w:szCs w:val="20"/>
        </w:rPr>
        <w:t xml:space="preserve"> </w:t>
      </w:r>
      <w:r w:rsidRPr="00073A84">
        <w:rPr>
          <w:rFonts w:ascii="Open Sans" w:hAnsi="Open Sans" w:cs="Open Sans"/>
          <w:sz w:val="20"/>
          <w:szCs w:val="20"/>
        </w:rPr>
        <w:t>de cualquier naturaleza o condición.</w:t>
      </w:r>
    </w:p>
    <w:p w14:paraId="6AFFA77B" w14:textId="77777777" w:rsidR="0099187E" w:rsidRPr="00073A84" w:rsidRDefault="0099187E" w:rsidP="0099187E">
      <w:pPr>
        <w:ind w:left="708"/>
        <w:jc w:val="both"/>
        <w:rPr>
          <w:rFonts w:ascii="Open Sans" w:hAnsi="Open Sans" w:cs="Open Sans"/>
          <w:sz w:val="20"/>
          <w:szCs w:val="20"/>
        </w:rPr>
      </w:pPr>
      <w:r w:rsidRPr="00073A84">
        <w:rPr>
          <w:rFonts w:ascii="Open Sans" w:hAnsi="Open Sans" w:cs="Open Sans"/>
          <w:sz w:val="20"/>
          <w:szCs w:val="20"/>
        </w:rPr>
        <w:t>b) Provocar el error mediante la simulación o tergiversación de hechos u ocultar</w:t>
      </w:r>
      <w:r>
        <w:rPr>
          <w:rFonts w:ascii="Open Sans" w:hAnsi="Open Sans" w:cs="Open Sans"/>
          <w:sz w:val="20"/>
          <w:szCs w:val="20"/>
        </w:rPr>
        <w:t xml:space="preserve"> </w:t>
      </w:r>
      <w:r w:rsidRPr="00073A84">
        <w:rPr>
          <w:rFonts w:ascii="Open Sans" w:hAnsi="Open Sans" w:cs="Open Sans"/>
          <w:sz w:val="20"/>
          <w:szCs w:val="20"/>
        </w:rPr>
        <w:t>conscientemente hechos de los que había deber de informar.</w:t>
      </w:r>
    </w:p>
    <w:p w14:paraId="6CC904E7" w14:textId="77777777" w:rsidR="0099187E" w:rsidRPr="00073A84" w:rsidRDefault="0099187E" w:rsidP="0099187E">
      <w:pPr>
        <w:ind w:left="708"/>
        <w:jc w:val="both"/>
        <w:rPr>
          <w:rFonts w:ascii="Open Sans" w:hAnsi="Open Sans" w:cs="Open Sans"/>
          <w:sz w:val="20"/>
          <w:szCs w:val="20"/>
        </w:rPr>
      </w:pPr>
      <w:r w:rsidRPr="00073A84">
        <w:rPr>
          <w:rFonts w:ascii="Open Sans" w:hAnsi="Open Sans" w:cs="Open Sans"/>
          <w:sz w:val="20"/>
          <w:szCs w:val="20"/>
        </w:rPr>
        <w:t xml:space="preserve">c) Disfrutar, de forma indebida, </w:t>
      </w:r>
      <w:r>
        <w:rPr>
          <w:rFonts w:ascii="Open Sans" w:hAnsi="Open Sans" w:cs="Open Sans"/>
          <w:sz w:val="20"/>
          <w:szCs w:val="20"/>
        </w:rPr>
        <w:t xml:space="preserve">de </w:t>
      </w:r>
      <w:r w:rsidRPr="00073A84">
        <w:rPr>
          <w:rFonts w:ascii="Open Sans" w:hAnsi="Open Sans" w:cs="Open Sans"/>
          <w:sz w:val="20"/>
          <w:szCs w:val="20"/>
        </w:rPr>
        <w:t>deducciones con la finalidad de obtener beneficios</w:t>
      </w:r>
      <w:r>
        <w:rPr>
          <w:rFonts w:ascii="Open Sans" w:hAnsi="Open Sans" w:cs="Open Sans"/>
          <w:sz w:val="20"/>
          <w:szCs w:val="20"/>
        </w:rPr>
        <w:t xml:space="preserve"> </w:t>
      </w:r>
      <w:r w:rsidRPr="00073A84">
        <w:rPr>
          <w:rFonts w:ascii="Open Sans" w:hAnsi="Open Sans" w:cs="Open Sans"/>
          <w:sz w:val="20"/>
          <w:szCs w:val="20"/>
        </w:rPr>
        <w:t>ilícitos.</w:t>
      </w:r>
    </w:p>
    <w:p w14:paraId="76CE0F6B" w14:textId="77777777" w:rsidR="0099187E" w:rsidRPr="00073A84" w:rsidRDefault="0099187E" w:rsidP="0099187E">
      <w:pPr>
        <w:ind w:left="708"/>
        <w:jc w:val="both"/>
        <w:rPr>
          <w:rFonts w:ascii="Open Sans" w:hAnsi="Open Sans" w:cs="Open Sans"/>
          <w:sz w:val="20"/>
          <w:szCs w:val="20"/>
        </w:rPr>
      </w:pPr>
      <w:r w:rsidRPr="00073A84">
        <w:rPr>
          <w:rFonts w:ascii="Open Sans" w:hAnsi="Open Sans" w:cs="Open Sans"/>
          <w:sz w:val="20"/>
          <w:szCs w:val="20"/>
        </w:rPr>
        <w:t>d) Cualquier elusión del pago de tributos, cantidades retenidas o que se hubieran</w:t>
      </w:r>
      <w:r>
        <w:rPr>
          <w:rFonts w:ascii="Open Sans" w:hAnsi="Open Sans" w:cs="Open Sans"/>
          <w:sz w:val="20"/>
          <w:szCs w:val="20"/>
        </w:rPr>
        <w:t xml:space="preserve"> </w:t>
      </w:r>
      <w:r w:rsidRPr="00073A84">
        <w:rPr>
          <w:rFonts w:ascii="Open Sans" w:hAnsi="Open Sans" w:cs="Open Sans"/>
          <w:sz w:val="20"/>
          <w:szCs w:val="20"/>
        </w:rPr>
        <w:t>debido retener, o cualquier ingreso a cuenta de retribuciones en especie por medio</w:t>
      </w:r>
      <w:r>
        <w:rPr>
          <w:rFonts w:ascii="Open Sans" w:hAnsi="Open Sans" w:cs="Open Sans"/>
          <w:sz w:val="20"/>
          <w:szCs w:val="20"/>
        </w:rPr>
        <w:t xml:space="preserve"> </w:t>
      </w:r>
      <w:r w:rsidRPr="00073A84">
        <w:rPr>
          <w:rFonts w:ascii="Open Sans" w:hAnsi="Open Sans" w:cs="Open Sans"/>
          <w:sz w:val="20"/>
          <w:szCs w:val="20"/>
        </w:rPr>
        <w:t>de los cuales se obtengan devoluciones indebidas.</w:t>
      </w:r>
    </w:p>
    <w:p w14:paraId="5A3285AA" w14:textId="77777777" w:rsidR="0099187E" w:rsidRDefault="0099187E" w:rsidP="0099187E">
      <w:pPr>
        <w:ind w:left="708"/>
        <w:jc w:val="both"/>
        <w:rPr>
          <w:rFonts w:ascii="Open Sans" w:hAnsi="Open Sans" w:cs="Open Sans"/>
          <w:sz w:val="20"/>
          <w:szCs w:val="20"/>
        </w:rPr>
      </w:pPr>
      <w:r w:rsidRPr="00073A84">
        <w:rPr>
          <w:rFonts w:ascii="Open Sans" w:hAnsi="Open Sans" w:cs="Open Sans"/>
          <w:sz w:val="20"/>
          <w:szCs w:val="20"/>
        </w:rPr>
        <w:t>e) Cualquier incumplimiento de obligaciones contables establecidas por las normas</w:t>
      </w:r>
      <w:r>
        <w:rPr>
          <w:rFonts w:ascii="Open Sans" w:hAnsi="Open Sans" w:cs="Open Sans"/>
          <w:sz w:val="20"/>
          <w:szCs w:val="20"/>
        </w:rPr>
        <w:t xml:space="preserve"> </w:t>
      </w:r>
      <w:r w:rsidRPr="00073A84">
        <w:rPr>
          <w:rFonts w:ascii="Open Sans" w:hAnsi="Open Sans" w:cs="Open Sans"/>
          <w:sz w:val="20"/>
          <w:szCs w:val="20"/>
        </w:rPr>
        <w:t>vigentes, en la llevanza de contabilidad, así como de libros o registros.</w:t>
      </w:r>
    </w:p>
    <w:p w14:paraId="5F3EA618" w14:textId="77777777" w:rsidR="0099187E" w:rsidRDefault="0099187E" w:rsidP="0099187E">
      <w:pPr>
        <w:jc w:val="both"/>
        <w:rPr>
          <w:rFonts w:ascii="Open Sans" w:hAnsi="Open Sans" w:cs="Open Sans"/>
          <w:sz w:val="20"/>
          <w:szCs w:val="20"/>
        </w:rPr>
      </w:pPr>
    </w:p>
    <w:p w14:paraId="0176D0AC" w14:textId="77777777" w:rsidR="0099187E" w:rsidRDefault="0099187E" w:rsidP="0099187E">
      <w:pPr>
        <w:jc w:val="both"/>
        <w:rPr>
          <w:rFonts w:ascii="Open Sans" w:hAnsi="Open Sans" w:cs="Open Sans"/>
          <w:sz w:val="20"/>
          <w:szCs w:val="20"/>
        </w:rPr>
      </w:pPr>
      <w:r>
        <w:rPr>
          <w:rFonts w:ascii="Open Sans" w:hAnsi="Open Sans" w:cs="Open Sans"/>
          <w:sz w:val="20"/>
          <w:szCs w:val="20"/>
        </w:rPr>
        <w:t>No se indican los procedimientos que se llevan cabo para evitar esas conductas. Tampoco se alude explícitamente a la existencia de una relación cooperativa con la Administración Tributaria, si bien en la política fiscal se aboga por “</w:t>
      </w:r>
      <w:r w:rsidRPr="000A74B6">
        <w:rPr>
          <w:rFonts w:ascii="Open Sans" w:hAnsi="Open Sans" w:cs="Open Sans"/>
          <w:i/>
          <w:sz w:val="20"/>
          <w:szCs w:val="20"/>
        </w:rPr>
        <w:t>mantener una relación adecuada con las Administraciones Tributarias correspondientes</w:t>
      </w:r>
      <w:r>
        <w:rPr>
          <w:rFonts w:ascii="Open Sans" w:hAnsi="Open Sans" w:cs="Open Sans"/>
          <w:sz w:val="20"/>
          <w:szCs w:val="20"/>
        </w:rPr>
        <w:t xml:space="preserve">”. No figura información sobre si existen deudas tributarias en periodo de ejecución. </w:t>
      </w:r>
    </w:p>
    <w:p w14:paraId="463003D1" w14:textId="77777777" w:rsidR="0099187E" w:rsidRPr="00073A84" w:rsidRDefault="0099187E" w:rsidP="0099187E">
      <w:pPr>
        <w:jc w:val="both"/>
        <w:rPr>
          <w:rFonts w:ascii="Open Sans" w:hAnsi="Open Sans" w:cs="Open Sans"/>
          <w:sz w:val="20"/>
          <w:szCs w:val="20"/>
        </w:rPr>
      </w:pPr>
    </w:p>
    <w:p w14:paraId="3B0F3EA5" w14:textId="77777777" w:rsidR="0099187E" w:rsidRDefault="0099187E" w:rsidP="0099187E">
      <w:pPr>
        <w:jc w:val="both"/>
        <w:rPr>
          <w:rFonts w:ascii="Open Sans" w:hAnsi="Open Sans" w:cs="Open Sans"/>
          <w:sz w:val="20"/>
          <w:szCs w:val="20"/>
        </w:rPr>
      </w:pPr>
      <w:r>
        <w:rPr>
          <w:rFonts w:ascii="Open Sans" w:hAnsi="Open Sans" w:cs="Open Sans"/>
          <w:sz w:val="20"/>
          <w:szCs w:val="20"/>
        </w:rPr>
        <w:t>Respecto a litigios en curso o sentencias en firma relacionadas con temas de fiscalidad, no se proporciona información al respecto. Las</w:t>
      </w:r>
      <w:r w:rsidRPr="00073A84">
        <w:rPr>
          <w:rFonts w:ascii="Open Sans" w:hAnsi="Open Sans" w:cs="Open Sans"/>
          <w:sz w:val="20"/>
          <w:szCs w:val="20"/>
        </w:rPr>
        <w:t xml:space="preserve"> provisiones para litigios </w:t>
      </w:r>
      <w:r>
        <w:rPr>
          <w:rFonts w:ascii="Open Sans" w:hAnsi="Open Sans" w:cs="Open Sans"/>
          <w:sz w:val="20"/>
          <w:szCs w:val="20"/>
        </w:rPr>
        <w:t xml:space="preserve">ascienden a </w:t>
      </w:r>
      <w:r w:rsidRPr="00073A84">
        <w:rPr>
          <w:rFonts w:ascii="Open Sans" w:hAnsi="Open Sans" w:cs="Open Sans"/>
          <w:sz w:val="20"/>
          <w:szCs w:val="20"/>
        </w:rPr>
        <w:t>19</w:t>
      </w:r>
      <w:r>
        <w:rPr>
          <w:rFonts w:ascii="Open Sans" w:hAnsi="Open Sans" w:cs="Open Sans"/>
          <w:sz w:val="20"/>
          <w:szCs w:val="20"/>
        </w:rPr>
        <w:t>.</w:t>
      </w:r>
      <w:r w:rsidRPr="00073A84">
        <w:rPr>
          <w:rFonts w:ascii="Open Sans" w:hAnsi="Open Sans" w:cs="Open Sans"/>
          <w:sz w:val="20"/>
          <w:szCs w:val="20"/>
        </w:rPr>
        <w:t>070</w:t>
      </w:r>
      <w:r>
        <w:rPr>
          <w:rFonts w:ascii="Open Sans" w:hAnsi="Open Sans" w:cs="Open Sans"/>
          <w:sz w:val="20"/>
          <w:szCs w:val="20"/>
        </w:rPr>
        <w:t>.</w:t>
      </w:r>
      <w:r w:rsidRPr="00073A84">
        <w:rPr>
          <w:rFonts w:ascii="Open Sans" w:hAnsi="Open Sans" w:cs="Open Sans"/>
          <w:sz w:val="20"/>
          <w:szCs w:val="20"/>
        </w:rPr>
        <w:t>0</w:t>
      </w:r>
      <w:r>
        <w:rPr>
          <w:rFonts w:ascii="Open Sans" w:hAnsi="Open Sans" w:cs="Open Sans"/>
          <w:sz w:val="20"/>
          <w:szCs w:val="20"/>
        </w:rPr>
        <w:t xml:space="preserve">00 euros, pero no se aporta </w:t>
      </w:r>
      <w:r w:rsidRPr="00073A84">
        <w:rPr>
          <w:rFonts w:ascii="Open Sans" w:hAnsi="Open Sans" w:cs="Open Sans"/>
          <w:sz w:val="20"/>
          <w:szCs w:val="20"/>
        </w:rPr>
        <w:t xml:space="preserve">información sobre qué litigios </w:t>
      </w:r>
      <w:r>
        <w:rPr>
          <w:rFonts w:ascii="Open Sans" w:hAnsi="Open Sans" w:cs="Open Sans"/>
          <w:sz w:val="20"/>
          <w:szCs w:val="20"/>
        </w:rPr>
        <w:t xml:space="preserve">las han originado. </w:t>
      </w:r>
    </w:p>
    <w:p w14:paraId="52E31D73" w14:textId="77777777" w:rsidR="0099187E" w:rsidRDefault="0099187E" w:rsidP="0099187E">
      <w:pPr>
        <w:jc w:val="both"/>
        <w:rPr>
          <w:rFonts w:ascii="Open Sans" w:hAnsi="Open Sans" w:cs="Open Sans"/>
          <w:sz w:val="20"/>
          <w:szCs w:val="20"/>
        </w:rPr>
      </w:pPr>
    </w:p>
    <w:p w14:paraId="6DEDB8FD" w14:textId="77777777" w:rsidR="0099187E" w:rsidRDefault="0099187E" w:rsidP="0099187E">
      <w:pPr>
        <w:jc w:val="both"/>
        <w:rPr>
          <w:rFonts w:ascii="Open Sans" w:hAnsi="Open Sans" w:cs="Open Sans"/>
          <w:sz w:val="20"/>
          <w:szCs w:val="20"/>
        </w:rPr>
      </w:pPr>
    </w:p>
    <w:p w14:paraId="53DEB78C" w14:textId="77777777" w:rsidR="0099187E" w:rsidRDefault="0099187E" w:rsidP="0099187E">
      <w:pPr>
        <w:jc w:val="both"/>
        <w:rPr>
          <w:rFonts w:ascii="Open Sans" w:hAnsi="Open Sans" w:cs="Open Sans"/>
          <w:sz w:val="20"/>
          <w:szCs w:val="20"/>
        </w:rPr>
      </w:pPr>
      <w:r>
        <w:rPr>
          <w:rFonts w:ascii="Open Sans" w:hAnsi="Open Sans" w:cs="Open Sans"/>
          <w:sz w:val="20"/>
          <w:szCs w:val="20"/>
        </w:rPr>
        <w:t>5. Otras cuestiones fiscales</w:t>
      </w:r>
    </w:p>
    <w:p w14:paraId="22345672" w14:textId="77777777" w:rsidR="0099187E" w:rsidRDefault="0099187E" w:rsidP="0099187E">
      <w:pPr>
        <w:jc w:val="both"/>
        <w:rPr>
          <w:rFonts w:ascii="Open Sans" w:hAnsi="Open Sans" w:cs="Open Sans"/>
          <w:sz w:val="20"/>
          <w:szCs w:val="20"/>
        </w:rPr>
      </w:pPr>
    </w:p>
    <w:p w14:paraId="4CE50C0F" w14:textId="77777777" w:rsidR="0099187E" w:rsidRPr="00AE40CF" w:rsidRDefault="0099187E" w:rsidP="0099187E">
      <w:pPr>
        <w:jc w:val="both"/>
        <w:rPr>
          <w:rFonts w:ascii="Open Sans" w:eastAsia="Calibri" w:hAnsi="Open Sans" w:cs="Open Sans"/>
          <w:sz w:val="20"/>
          <w:szCs w:val="20"/>
        </w:rPr>
      </w:pPr>
      <w:r w:rsidRPr="00AE40CF">
        <w:rPr>
          <w:rFonts w:ascii="Open Sans" w:eastAsia="Calibri" w:hAnsi="Open Sans" w:cs="Open Sans"/>
          <w:sz w:val="20"/>
          <w:szCs w:val="20"/>
        </w:rPr>
        <w:t xml:space="preserve">Algunos de los datos proporcionados por Gamesa ponen de manifiesto que existen al menos dos tipos de operaciones intragrupo: compra-ventas intragrupo y préstamos intragrupo. La información relativa a estas operaciones puede consultarse en la siguiente tabla. </w:t>
      </w:r>
    </w:p>
    <w:p w14:paraId="0A0C8195" w14:textId="77777777" w:rsidR="0099187E" w:rsidRDefault="0099187E" w:rsidP="0099187E">
      <w:pPr>
        <w:jc w:val="both"/>
        <w:rPr>
          <w:rFonts w:ascii="Open Sans" w:eastAsia="Calibri" w:hAnsi="Open Sans" w:cs="Open Sans"/>
          <w:sz w:val="20"/>
          <w:szCs w:val="20"/>
          <w:highlight w:val="yellow"/>
        </w:rPr>
      </w:pPr>
    </w:p>
    <w:p w14:paraId="1CD3D459" w14:textId="7D323261" w:rsidR="0099187E" w:rsidRDefault="0099187E" w:rsidP="0099187E">
      <w:pPr>
        <w:jc w:val="center"/>
        <w:rPr>
          <w:rFonts w:ascii="Open Sans" w:hAnsi="Open Sans" w:cs="Open Sans"/>
          <w:bCs/>
          <w:sz w:val="20"/>
          <w:szCs w:val="20"/>
        </w:rPr>
      </w:pPr>
      <w:r>
        <w:rPr>
          <w:rFonts w:ascii="Open Sans" w:hAnsi="Open Sans" w:cs="Open Sans"/>
          <w:bCs/>
          <w:noProof/>
          <w:sz w:val="20"/>
          <w:szCs w:val="20"/>
          <w:lang w:val="es-ES"/>
        </w:rPr>
        <w:drawing>
          <wp:inline distT="0" distB="0" distL="0" distR="0" wp14:anchorId="50E7DC04" wp14:editId="13AD5F6A">
            <wp:extent cx="3419475" cy="3048000"/>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419475" cy="3048000"/>
                    </a:xfrm>
                    <a:prstGeom prst="rect">
                      <a:avLst/>
                    </a:prstGeom>
                    <a:noFill/>
                    <a:ln>
                      <a:noFill/>
                    </a:ln>
                  </pic:spPr>
                </pic:pic>
              </a:graphicData>
            </a:graphic>
          </wp:inline>
        </w:drawing>
      </w:r>
    </w:p>
    <w:p w14:paraId="05861C0C" w14:textId="77777777" w:rsidR="0099187E" w:rsidRPr="00724C1E" w:rsidRDefault="0099187E" w:rsidP="0099187E">
      <w:pPr>
        <w:rPr>
          <w:rFonts w:ascii="Open Sans" w:hAnsi="Open Sans" w:cs="Open Sans"/>
          <w:bCs/>
          <w:sz w:val="20"/>
          <w:szCs w:val="20"/>
        </w:rPr>
      </w:pPr>
    </w:p>
    <w:p w14:paraId="04EEB74E" w14:textId="77777777" w:rsidR="0099187E" w:rsidRPr="007725D0" w:rsidRDefault="0099187E" w:rsidP="0099187E">
      <w:pPr>
        <w:jc w:val="center"/>
        <w:rPr>
          <w:rFonts w:ascii="Open Sans" w:hAnsi="Open Sans" w:cs="Open Sans"/>
          <w:sz w:val="18"/>
          <w:szCs w:val="18"/>
        </w:rPr>
      </w:pPr>
      <w:r w:rsidRPr="007725D0">
        <w:rPr>
          <w:rFonts w:ascii="Open Sans" w:hAnsi="Open Sans" w:cs="Open Sans"/>
          <w:sz w:val="18"/>
          <w:szCs w:val="18"/>
        </w:rPr>
        <w:t>Fuente: Informe Anual de Gobierno Corporativo 2015, p. 113</w:t>
      </w:r>
    </w:p>
    <w:p w14:paraId="54FACEA0" w14:textId="77777777" w:rsidR="0099187E" w:rsidRDefault="0099187E" w:rsidP="0099187E">
      <w:pPr>
        <w:jc w:val="both"/>
        <w:rPr>
          <w:rFonts w:ascii="Open Sans" w:eastAsia="Calibri" w:hAnsi="Open Sans" w:cs="Open Sans"/>
          <w:sz w:val="20"/>
          <w:szCs w:val="20"/>
          <w:highlight w:val="yellow"/>
        </w:rPr>
      </w:pPr>
    </w:p>
    <w:p w14:paraId="34D5BF2B" w14:textId="77777777" w:rsidR="0099187E" w:rsidRDefault="0099187E" w:rsidP="0099187E">
      <w:pPr>
        <w:jc w:val="both"/>
        <w:rPr>
          <w:rFonts w:ascii="Open Sans" w:eastAsia="Calibri" w:hAnsi="Open Sans" w:cs="Open Sans"/>
          <w:sz w:val="20"/>
          <w:szCs w:val="20"/>
        </w:rPr>
      </w:pPr>
      <w:r w:rsidRPr="00AE40CF">
        <w:rPr>
          <w:rFonts w:ascii="Open Sans" w:eastAsia="Calibri" w:hAnsi="Open Sans" w:cs="Open Sans"/>
          <w:sz w:val="20"/>
          <w:szCs w:val="20"/>
        </w:rPr>
        <w:t>Las operaciones por venta y prestación de servicios intragrupo, todas ellas llevadas a cabo desde paraísos</w:t>
      </w:r>
      <w:r>
        <w:rPr>
          <w:rFonts w:ascii="Open Sans" w:eastAsia="Calibri" w:hAnsi="Open Sans" w:cs="Open Sans"/>
          <w:sz w:val="20"/>
          <w:szCs w:val="20"/>
        </w:rPr>
        <w:t xml:space="preserve"> (Islas Mauricio) </w:t>
      </w:r>
      <w:r w:rsidRPr="00AE40CF">
        <w:rPr>
          <w:rFonts w:ascii="Open Sans" w:eastAsia="Calibri" w:hAnsi="Open Sans" w:cs="Open Sans"/>
          <w:sz w:val="20"/>
          <w:szCs w:val="20"/>
        </w:rPr>
        <w:t xml:space="preserve"> </w:t>
      </w:r>
      <w:r>
        <w:rPr>
          <w:rFonts w:ascii="Open Sans" w:eastAsia="Calibri" w:hAnsi="Open Sans" w:cs="Open Sans"/>
          <w:sz w:val="20"/>
          <w:szCs w:val="20"/>
        </w:rPr>
        <w:t xml:space="preserve">y nichos </w:t>
      </w:r>
      <w:r w:rsidRPr="00AE40CF">
        <w:rPr>
          <w:rFonts w:ascii="Open Sans" w:eastAsia="Calibri" w:hAnsi="Open Sans" w:cs="Open Sans"/>
          <w:sz w:val="20"/>
          <w:szCs w:val="20"/>
        </w:rPr>
        <w:t>fiscales, alcanzan los 2.355.000 euros. Gamesa no informa sobre cómo se fijan los precios de transferencia de las compras intragrupo, ni tampoco sobre cuál es el porcentaje que representan las compras intragrupo respecto</w:t>
      </w:r>
      <w:r>
        <w:rPr>
          <w:rFonts w:ascii="Open Sans" w:eastAsia="Calibri" w:hAnsi="Open Sans" w:cs="Open Sans"/>
          <w:sz w:val="20"/>
          <w:szCs w:val="20"/>
        </w:rPr>
        <w:t xml:space="preserve"> al total de compras realizadas. Las operaciones en concepto de intereses por financiación intragrupo ascienden a 838.000 euros, y también han sido llevadas a cabo siempre desde paraísos o nichos fiscales. </w:t>
      </w:r>
      <w:r w:rsidRPr="007725D0">
        <w:rPr>
          <w:rFonts w:ascii="Open Sans" w:eastAsia="Calibri" w:hAnsi="Open Sans" w:cs="Open Sans"/>
          <w:sz w:val="20"/>
          <w:szCs w:val="20"/>
        </w:rPr>
        <w:t>Tener un conocimiento más detallado de estas operaciones es fundamental para poder deducir si la empresa está operando a través de su estructura societaria para implementar estrategias de optimización fiscal.</w:t>
      </w:r>
      <w:r w:rsidRPr="00724C1E">
        <w:rPr>
          <w:rFonts w:ascii="Open Sans" w:eastAsia="Calibri" w:hAnsi="Open Sans" w:cs="Open Sans"/>
          <w:sz w:val="20"/>
          <w:szCs w:val="20"/>
        </w:rPr>
        <w:t xml:space="preserve"> </w:t>
      </w:r>
    </w:p>
    <w:p w14:paraId="0713B5CF" w14:textId="77777777" w:rsidR="0099187E" w:rsidRPr="00724C1E" w:rsidRDefault="0099187E" w:rsidP="0099187E">
      <w:pPr>
        <w:jc w:val="both"/>
        <w:rPr>
          <w:rFonts w:ascii="Open Sans" w:eastAsia="Calibri" w:hAnsi="Open Sans" w:cs="Open Sans"/>
          <w:sz w:val="20"/>
          <w:szCs w:val="20"/>
        </w:rPr>
      </w:pPr>
    </w:p>
    <w:p w14:paraId="1A3269DE" w14:textId="77777777" w:rsidR="0099187E" w:rsidRDefault="0099187E" w:rsidP="0099187E">
      <w:pPr>
        <w:jc w:val="both"/>
        <w:rPr>
          <w:rFonts w:ascii="Open Sans" w:eastAsia="Calibri" w:hAnsi="Open Sans" w:cs="Open Sans"/>
          <w:sz w:val="20"/>
          <w:szCs w:val="20"/>
          <w:highlight w:val="yellow"/>
        </w:rPr>
      </w:pPr>
    </w:p>
    <w:p w14:paraId="1B142ECF" w14:textId="77777777" w:rsidR="0099187E" w:rsidRPr="0099187E" w:rsidRDefault="0099187E" w:rsidP="0099187E">
      <w:pPr>
        <w:jc w:val="both"/>
        <w:rPr>
          <w:rFonts w:ascii="Open Sans" w:hAnsi="Open Sans" w:cs="Open Sans"/>
          <w:b/>
          <w:sz w:val="20"/>
          <w:szCs w:val="20"/>
          <w:u w:val="single"/>
        </w:rPr>
      </w:pPr>
      <w:r w:rsidRPr="0099187E">
        <w:rPr>
          <w:rFonts w:ascii="Open Sans" w:hAnsi="Open Sans" w:cs="Open Sans"/>
          <w:b/>
          <w:sz w:val="20"/>
          <w:szCs w:val="20"/>
          <w:u w:val="single"/>
        </w:rPr>
        <w:t>5. Conclusiones</w:t>
      </w:r>
    </w:p>
    <w:p w14:paraId="705487C6" w14:textId="77777777" w:rsidR="0099187E" w:rsidRPr="00724C1E" w:rsidRDefault="0099187E" w:rsidP="0099187E">
      <w:pPr>
        <w:rPr>
          <w:rFonts w:ascii="Open Sans" w:hAnsi="Open Sans" w:cs="Open Sans"/>
          <w:bCs/>
          <w:sz w:val="20"/>
          <w:szCs w:val="20"/>
        </w:rPr>
      </w:pPr>
    </w:p>
    <w:p w14:paraId="75E9A931" w14:textId="77777777" w:rsidR="0099187E" w:rsidRDefault="0099187E" w:rsidP="0099187E">
      <w:pPr>
        <w:pStyle w:val="Default"/>
        <w:jc w:val="both"/>
        <w:rPr>
          <w:rFonts w:ascii="Open Sans" w:hAnsi="Open Sans" w:cs="Open Sans"/>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Gamesa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0,44</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la “política y estrategia fiscal” (0,80), seguidos por “impuestos e incentivos” (0,67), “paraísos y nichos fiscales” (0,29), y “relaciones con Administraciones Tributarias” (0).</w:t>
      </w:r>
    </w:p>
    <w:p w14:paraId="200CBD28" w14:textId="77777777" w:rsidR="0099187E" w:rsidRDefault="0099187E" w:rsidP="0099187E">
      <w:pPr>
        <w:jc w:val="both"/>
        <w:rPr>
          <w:rFonts w:ascii="Open Sans" w:hAnsi="Open Sans" w:cs="Open Sans"/>
          <w:sz w:val="20"/>
          <w:szCs w:val="20"/>
        </w:rPr>
      </w:pPr>
    </w:p>
    <w:p w14:paraId="23C160DA" w14:textId="77777777" w:rsidR="0099187E" w:rsidRPr="00724C1E" w:rsidRDefault="0099187E" w:rsidP="0099187E">
      <w:pPr>
        <w:jc w:val="both"/>
        <w:rPr>
          <w:rFonts w:ascii="Open Sans" w:hAnsi="Open Sans" w:cs="Open Sans"/>
          <w:sz w:val="20"/>
          <w:szCs w:val="20"/>
        </w:rPr>
      </w:pPr>
      <w:r>
        <w:rPr>
          <w:rFonts w:ascii="Open Sans" w:hAnsi="Open Sans" w:cs="Open Sans"/>
          <w:sz w:val="20"/>
          <w:szCs w:val="20"/>
        </w:rPr>
        <w:t xml:space="preserve">Existe una política fiscal, y la empresa suscribe varios estándares internacionales relacionados indirectamente con temas fiscales. Se puede obtener una visión general de cuál es el posicionamiento de Gamesa en materia fiscal, así como de su gestión en líneas generales. Se echa en falta información sobre procedimientos concretos que permitan ejecutar esa política fiscal. No se observa que Gamesa suscriba iniciativas internacionales relacionadas con la fiscalidad como </w:t>
      </w:r>
      <w:r w:rsidRPr="009A21FE">
        <w:rPr>
          <w:rFonts w:ascii="Open Sans" w:hAnsi="Open Sans" w:cs="Open Sans"/>
          <w:sz w:val="20"/>
          <w:szCs w:val="20"/>
        </w:rPr>
        <w:t>Base erosion and profit shifting</w:t>
      </w:r>
      <w:r>
        <w:rPr>
          <w:rFonts w:ascii="Open Sans" w:hAnsi="Open Sans" w:cs="Open Sans"/>
          <w:sz w:val="20"/>
          <w:szCs w:val="20"/>
        </w:rPr>
        <w:t xml:space="preserve"> (BEPS) o Country by Country Reporting.  </w:t>
      </w:r>
    </w:p>
    <w:p w14:paraId="4CAD634F" w14:textId="77777777" w:rsidR="0099187E" w:rsidRDefault="0099187E" w:rsidP="0099187E">
      <w:pPr>
        <w:jc w:val="both"/>
        <w:rPr>
          <w:rFonts w:ascii="Open Sans" w:hAnsi="Open Sans" w:cs="Open Sans"/>
          <w:sz w:val="20"/>
          <w:szCs w:val="20"/>
        </w:rPr>
      </w:pPr>
    </w:p>
    <w:p w14:paraId="32C7BEEB"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Parte de la actividad que llevada a cabo por algunas sociedades en paraísos o nichos fiscales es actuar como  sociedad holding. En este sentido, sería interesante conocer cuál es el papel que desempeñan los paraísos o nichos fiscales que actúan como sociedad holding.  </w:t>
      </w:r>
    </w:p>
    <w:p w14:paraId="33F40275" w14:textId="77777777" w:rsidR="0099187E" w:rsidRDefault="0099187E" w:rsidP="0099187E">
      <w:pPr>
        <w:jc w:val="both"/>
        <w:rPr>
          <w:rFonts w:ascii="Open Sans" w:hAnsi="Open Sans" w:cs="Open Sans"/>
          <w:sz w:val="20"/>
          <w:szCs w:val="20"/>
        </w:rPr>
      </w:pPr>
    </w:p>
    <w:p w14:paraId="330F081D" w14:textId="77777777" w:rsidR="0099187E" w:rsidRDefault="0099187E" w:rsidP="0099187E">
      <w:pPr>
        <w:jc w:val="both"/>
        <w:rPr>
          <w:rFonts w:ascii="Open Sans" w:hAnsi="Open Sans" w:cs="Open Sans"/>
          <w:sz w:val="20"/>
          <w:szCs w:val="20"/>
        </w:rPr>
      </w:pPr>
      <w:r>
        <w:rPr>
          <w:rFonts w:ascii="Open Sans" w:hAnsi="Open Sans" w:cs="Open Sans"/>
          <w:sz w:val="20"/>
          <w:szCs w:val="20"/>
        </w:rPr>
        <w:t xml:space="preserve">La información sobre la contribución fiscal proporcionada por Gamesa es en líneas generales escasa. No se indican cuáles son los tipos impositivos, ni nominales ni efectivos, que han gravado los resultados de las sociedades en los diferentes países en los que operan. Tampoco figuran las cifras de impuestos pagados por países. La información sobre subvenciones, deducciones, exenciones y créditos fiscales, si la hay, es en líneas generales descriptiva y se centra en casos muy puntuales. </w:t>
      </w:r>
    </w:p>
    <w:p w14:paraId="62B7108F" w14:textId="77777777" w:rsidR="0099187E" w:rsidRDefault="0099187E" w:rsidP="0099187E">
      <w:pPr>
        <w:jc w:val="both"/>
        <w:rPr>
          <w:rFonts w:ascii="Open Sans" w:hAnsi="Open Sans" w:cs="Open Sans"/>
          <w:sz w:val="20"/>
          <w:szCs w:val="20"/>
        </w:rPr>
      </w:pPr>
    </w:p>
    <w:p w14:paraId="2403177E" w14:textId="77777777" w:rsidR="0099187E" w:rsidRPr="00724C1E" w:rsidRDefault="0099187E" w:rsidP="0099187E">
      <w:pPr>
        <w:jc w:val="both"/>
        <w:rPr>
          <w:rFonts w:ascii="Open Sans" w:hAnsi="Open Sans" w:cs="Open Sans"/>
          <w:sz w:val="20"/>
          <w:szCs w:val="20"/>
        </w:rPr>
      </w:pPr>
      <w:r>
        <w:rPr>
          <w:rFonts w:ascii="Open Sans" w:hAnsi="Open Sans" w:cs="Open Sans"/>
          <w:sz w:val="20"/>
          <w:szCs w:val="20"/>
        </w:rPr>
        <w:t xml:space="preserve">En el ámbito nacional, la relación de Gamesa con la Administración Pública se basa en los compromisos genéricos establecidos en el Código de Conducta y la política fiscal. En el ámbito internacional, no se proporciona información suficiente que permita saber cuál es la relación entre la compañía y las administraciones públicas de los países en los que opera. </w:t>
      </w:r>
    </w:p>
    <w:p w14:paraId="25A8F293" w14:textId="77777777" w:rsidR="0099187E" w:rsidRPr="00724C1E" w:rsidRDefault="0099187E" w:rsidP="0099187E">
      <w:pPr>
        <w:jc w:val="both"/>
        <w:rPr>
          <w:rFonts w:ascii="Open Sans" w:hAnsi="Open Sans" w:cs="Open Sans"/>
          <w:sz w:val="20"/>
          <w:szCs w:val="20"/>
        </w:rPr>
      </w:pPr>
    </w:p>
    <w:p w14:paraId="5D6EB4E9" w14:textId="77777777" w:rsidR="0099187E" w:rsidRDefault="0099187E" w:rsidP="0099187E">
      <w:pPr>
        <w:jc w:val="both"/>
        <w:rPr>
          <w:rFonts w:ascii="Open Sans" w:hAnsi="Open Sans" w:cs="Open Sans"/>
          <w:sz w:val="20"/>
          <w:szCs w:val="20"/>
        </w:rPr>
      </w:pPr>
      <w:r>
        <w:rPr>
          <w:rFonts w:ascii="Open Sans" w:hAnsi="Open Sans" w:cs="Open Sans"/>
          <w:sz w:val="20"/>
          <w:szCs w:val="20"/>
        </w:rPr>
        <w:t>N</w:t>
      </w:r>
      <w:r w:rsidRPr="00724C1E">
        <w:rPr>
          <w:rFonts w:ascii="Open Sans" w:hAnsi="Open Sans" w:cs="Open Sans"/>
          <w:sz w:val="20"/>
          <w:szCs w:val="20"/>
        </w:rPr>
        <w:t xml:space="preserve">o se han encontrado evidencias de que </w:t>
      </w:r>
      <w:r>
        <w:rPr>
          <w:rFonts w:ascii="Open Sans" w:hAnsi="Open Sans" w:cs="Open Sans"/>
          <w:sz w:val="20"/>
          <w:szCs w:val="20"/>
        </w:rPr>
        <w:t>Gamesa</w:t>
      </w:r>
      <w:r w:rsidRPr="00724C1E">
        <w:rPr>
          <w:rFonts w:ascii="Open Sans" w:hAnsi="Open Sans" w:cs="Open Sans"/>
          <w:sz w:val="20"/>
          <w:szCs w:val="20"/>
        </w:rPr>
        <w:t xml:space="preserve"> haya establecido un diálogo, más allá de con la agencia tributaria, con sus grupos de interés en relación a los aspectos fiscales.</w:t>
      </w:r>
    </w:p>
    <w:p w14:paraId="7B1F41BB" w14:textId="77777777" w:rsidR="0099187E" w:rsidRDefault="0099187E" w:rsidP="0099187E">
      <w:pPr>
        <w:jc w:val="both"/>
        <w:rPr>
          <w:rFonts w:ascii="Open Sans" w:hAnsi="Open Sans" w:cs="Open Sans"/>
          <w:sz w:val="20"/>
          <w:szCs w:val="20"/>
        </w:rPr>
      </w:pPr>
    </w:p>
    <w:p w14:paraId="06D456E7" w14:textId="680B8495" w:rsidR="00C275FF" w:rsidRPr="00724C1E" w:rsidRDefault="0099187E" w:rsidP="00C275FF">
      <w:pPr>
        <w:jc w:val="both"/>
        <w:rPr>
          <w:rFonts w:ascii="Open Sans" w:hAnsi="Open Sans" w:cs="Open Sans"/>
        </w:rPr>
      </w:pPr>
      <w:r w:rsidRPr="00724C1E">
        <w:rPr>
          <w:rFonts w:ascii="Open Sans" w:hAnsi="Open Sans" w:cs="Open Sans"/>
          <w:sz w:val="20"/>
          <w:szCs w:val="20"/>
        </w:rPr>
        <w:t xml:space="preserve">Tras analizar la documentación publicada por </w:t>
      </w:r>
      <w:r>
        <w:rPr>
          <w:rFonts w:ascii="Open Sans" w:hAnsi="Open Sans" w:cs="Open Sans"/>
          <w:sz w:val="20"/>
          <w:szCs w:val="20"/>
        </w:rPr>
        <w:t>Gamesa</w:t>
      </w:r>
      <w:r w:rsidRPr="00724C1E">
        <w:rPr>
          <w:rFonts w:ascii="Open Sans" w:hAnsi="Open Sans" w:cs="Open Sans"/>
          <w:sz w:val="20"/>
          <w:szCs w:val="20"/>
        </w:rPr>
        <w:t xml:space="preserve"> en relación a su actividad fiscal en 2015 (</w:t>
      </w:r>
      <w:r>
        <w:rPr>
          <w:rFonts w:ascii="Open Sans" w:hAnsi="Open Sans" w:cs="Open Sans"/>
          <w:sz w:val="20"/>
          <w:szCs w:val="20"/>
        </w:rPr>
        <w:t xml:space="preserve">Informe Anual Integrado, Informe de Responsabilidad Corporativa y </w:t>
      </w:r>
      <w:r w:rsidRPr="00724C1E">
        <w:rPr>
          <w:rFonts w:ascii="Open Sans" w:hAnsi="Open Sans" w:cs="Open Sans"/>
          <w:sz w:val="20"/>
          <w:szCs w:val="20"/>
        </w:rPr>
        <w:t>Cuentas Anuales, principalmente), se observa que la Compañía cuenta con compromiso</w:t>
      </w:r>
      <w:r>
        <w:rPr>
          <w:rFonts w:ascii="Open Sans" w:hAnsi="Open Sans" w:cs="Open Sans"/>
          <w:sz w:val="20"/>
          <w:szCs w:val="20"/>
        </w:rPr>
        <w:t xml:space="preserve"> general con</w:t>
      </w:r>
      <w:r w:rsidRPr="00724C1E">
        <w:rPr>
          <w:rFonts w:ascii="Open Sans" w:hAnsi="Open Sans" w:cs="Open Sans"/>
          <w:sz w:val="20"/>
          <w:szCs w:val="20"/>
        </w:rPr>
        <w:t xml:space="preserve"> la fiscalidad responsable</w:t>
      </w:r>
      <w:r>
        <w:rPr>
          <w:rFonts w:ascii="Open Sans" w:hAnsi="Open Sans" w:cs="Open Sans"/>
          <w:sz w:val="20"/>
          <w:szCs w:val="20"/>
        </w:rPr>
        <w:t xml:space="preserve">, pero no se observan de forma clara mecanismos que permitan llevarlo a cabo en la práctica, ni tampoco se proporciona información suficiente que evidencien que se ha llevado a cabo. </w:t>
      </w:r>
    </w:p>
    <w:p w14:paraId="3D832BEA" w14:textId="77777777" w:rsidR="00C275FF" w:rsidRDefault="00C275FF">
      <w:pPr>
        <w:rPr>
          <w:rFonts w:ascii="Open Sans" w:hAnsi="Open Sans" w:cs="Open Sans"/>
          <w:sz w:val="20"/>
          <w:szCs w:val="20"/>
        </w:rPr>
      </w:pPr>
    </w:p>
    <w:p w14:paraId="56763C1A" w14:textId="685FD0EB" w:rsidR="00C275FF" w:rsidRDefault="00C275FF">
      <w:pPr>
        <w:rPr>
          <w:rFonts w:ascii="Open Sans" w:hAnsi="Open Sans" w:cs="Open Sans"/>
          <w:sz w:val="20"/>
          <w:szCs w:val="20"/>
        </w:rPr>
      </w:pPr>
      <w:r>
        <w:rPr>
          <w:rFonts w:ascii="Open Sans" w:hAnsi="Open Sans" w:cs="Open Sans"/>
          <w:sz w:val="20"/>
          <w:szCs w:val="20"/>
        </w:rPr>
        <w:br w:type="page"/>
      </w:r>
    </w:p>
    <w:p w14:paraId="3717DB1A" w14:textId="77777777" w:rsidR="00F15B75" w:rsidRPr="00DD3371" w:rsidRDefault="00F15B75" w:rsidP="00F15B75">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Arial"/>
          <w:b/>
          <w:i/>
          <w:color w:val="FFFFFF"/>
          <w:lang w:val="pt-BR"/>
        </w:rPr>
      </w:pPr>
      <w:bookmarkStart w:id="85" w:name="GNF"/>
      <w:r w:rsidRPr="00DD3371">
        <w:rPr>
          <w:rFonts w:ascii="Open Sans" w:hAnsi="Open Sans" w:cs="Arial"/>
          <w:b/>
          <w:caps/>
          <w:color w:val="FFFFFF"/>
          <w:lang w:val="pt-BR"/>
        </w:rPr>
        <w:t xml:space="preserve">Gas natural sdg, </w:t>
      </w:r>
      <w:proofErr w:type="gramStart"/>
      <w:r w:rsidRPr="00DD3371">
        <w:rPr>
          <w:rFonts w:ascii="Open Sans" w:hAnsi="Open Sans" w:cs="Arial"/>
          <w:b/>
          <w:caps/>
          <w:color w:val="FFFFFF"/>
          <w:lang w:val="pt-BR"/>
        </w:rPr>
        <w:t>sa</w:t>
      </w:r>
      <w:bookmarkEnd w:id="85"/>
      <w:proofErr w:type="gramEnd"/>
    </w:p>
    <w:p w14:paraId="293D3303" w14:textId="77777777" w:rsidR="00F15B75" w:rsidRPr="00DD3371" w:rsidRDefault="00F15B75" w:rsidP="00F15B75">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Arial"/>
          <w:b/>
          <w:bCs/>
          <w:color w:val="002060"/>
          <w:lang w:val="pt-BR"/>
        </w:rPr>
      </w:pPr>
      <w:r w:rsidRPr="00DD3371">
        <w:rPr>
          <w:rFonts w:ascii="Open Sans" w:hAnsi="Open Sans" w:cs="Arial"/>
          <w:b/>
          <w:i/>
          <w:color w:val="FFFFFF"/>
          <w:lang w:val="pt-BR"/>
        </w:rPr>
        <w:t>(Gas Natural Fenosa)</w:t>
      </w:r>
    </w:p>
    <w:p w14:paraId="2BDAC744" w14:textId="77777777" w:rsidR="00F15B75" w:rsidRPr="00DD3371" w:rsidRDefault="00F15B75" w:rsidP="00F15B75">
      <w:pPr>
        <w:spacing w:before="120" w:after="120" w:line="360" w:lineRule="auto"/>
        <w:jc w:val="both"/>
        <w:rPr>
          <w:rFonts w:ascii="Open Sans" w:hAnsi="Open Sans" w:cs="Open Sans"/>
          <w:b/>
          <w:bCs/>
          <w:color w:val="002060"/>
          <w:sz w:val="20"/>
          <w:szCs w:val="20"/>
        </w:rPr>
      </w:pPr>
    </w:p>
    <w:p w14:paraId="40699BAB" w14:textId="77777777" w:rsidR="00A1554D" w:rsidRPr="00DD3371" w:rsidRDefault="00A1554D" w:rsidP="00A1554D">
      <w:pPr>
        <w:jc w:val="both"/>
        <w:outlineLvl w:val="5"/>
        <w:rPr>
          <w:rFonts w:ascii="Open Sans" w:hAnsi="Open Sans" w:cs="Open Sans"/>
          <w:b/>
          <w:sz w:val="20"/>
          <w:szCs w:val="20"/>
          <w:u w:val="single"/>
        </w:rPr>
      </w:pPr>
      <w:r w:rsidRPr="00DD3371">
        <w:rPr>
          <w:rFonts w:ascii="Open Sans" w:hAnsi="Open Sans" w:cs="Open Sans"/>
          <w:b/>
          <w:sz w:val="20"/>
          <w:szCs w:val="20"/>
          <w:u w:val="single"/>
        </w:rPr>
        <w:t>1. Datos generales de la entidad</w:t>
      </w:r>
    </w:p>
    <w:p w14:paraId="2E85C61D" w14:textId="77777777" w:rsidR="00A1554D" w:rsidRPr="00DD3371" w:rsidRDefault="00A1554D" w:rsidP="00A1554D">
      <w:pPr>
        <w:jc w:val="both"/>
        <w:rPr>
          <w:rFonts w:ascii="Open Sans" w:hAnsi="Open Sans" w:cs="Open Sans"/>
          <w:sz w:val="20"/>
          <w:szCs w:val="20"/>
          <w:u w:val="single"/>
        </w:rPr>
      </w:pPr>
    </w:p>
    <w:p w14:paraId="5D0E1BF4"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u w:val="single"/>
        </w:rPr>
        <w:t>Productos/servicios</w:t>
      </w:r>
    </w:p>
    <w:p w14:paraId="01533C2E" w14:textId="77777777" w:rsidR="00A1554D" w:rsidRPr="00DD3371" w:rsidRDefault="00A1554D" w:rsidP="00A1554D">
      <w:pPr>
        <w:jc w:val="both"/>
        <w:rPr>
          <w:rFonts w:ascii="Open Sans" w:hAnsi="Open Sans" w:cs="Open Sans"/>
          <w:sz w:val="20"/>
          <w:szCs w:val="20"/>
        </w:rPr>
      </w:pPr>
    </w:p>
    <w:p w14:paraId="713870B2"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De acuerdo con el documento de las Cuentas Anuales e Informe de Gestión de 2015 de Gas Natural SDG S.A. y sociedades dependientes (en adelante Gas Natural), Gas Natural tiene por objeto social, según sus estatutos:</w:t>
      </w:r>
    </w:p>
    <w:p w14:paraId="1D486184"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 </w:t>
      </w:r>
    </w:p>
    <w:p w14:paraId="7CD1C5C3"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El negocio del gas, de la electricidad y de cualquier otra fuente de energía, en sus diversas facetas, primaria, industrial y comercial y, en general, todo tipo de actividades relacionadas de forma directa, indirecta, complementaria o auxiliar con las distintas fuentes de energía existentes en cada momento.</w:t>
      </w:r>
    </w:p>
    <w:p w14:paraId="169CCE9E" w14:textId="77777777" w:rsidR="00A1554D" w:rsidRPr="00DD3371" w:rsidRDefault="00A1554D" w:rsidP="00A1554D">
      <w:pPr>
        <w:jc w:val="both"/>
        <w:rPr>
          <w:rFonts w:ascii="Open Sans" w:hAnsi="Open Sans" w:cs="Open Sans"/>
          <w:sz w:val="20"/>
          <w:szCs w:val="20"/>
        </w:rPr>
      </w:pPr>
    </w:p>
    <w:p w14:paraId="18AF31C8"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La actuación como Sociedad Holding, pudiendo al efecto constituir o participar, en concepto de socio o accionista, en otras Sociedades, cualesquiera que sea su naturaleza u objeto, mediante la suscripción o adquisición y tenencia de acciones, participaciones o cualquier otro título derivado de las mismas, sujeto todo ello al cumplimiento de los requisitos legales exigibles en cada caso.</w:t>
      </w:r>
    </w:p>
    <w:p w14:paraId="141589D8" w14:textId="77777777" w:rsidR="00A1554D" w:rsidRPr="00DD3371" w:rsidRDefault="00A1554D" w:rsidP="00A1554D">
      <w:pPr>
        <w:jc w:val="both"/>
        <w:rPr>
          <w:rFonts w:ascii="Open Sans" w:hAnsi="Open Sans" w:cs="Open Sans"/>
          <w:sz w:val="20"/>
          <w:szCs w:val="20"/>
          <w:u w:val="single"/>
        </w:rPr>
      </w:pPr>
    </w:p>
    <w:p w14:paraId="1955E230"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u w:val="single"/>
        </w:rPr>
        <w:t xml:space="preserve">Alcance geográfico </w:t>
      </w:r>
    </w:p>
    <w:p w14:paraId="0ED30031" w14:textId="77777777" w:rsidR="00A1554D" w:rsidRPr="00DD3371" w:rsidRDefault="00A1554D" w:rsidP="00A1554D">
      <w:pPr>
        <w:jc w:val="both"/>
        <w:rPr>
          <w:rFonts w:ascii="Open Sans" w:hAnsi="Open Sans" w:cs="Open Sans"/>
          <w:sz w:val="20"/>
          <w:szCs w:val="20"/>
        </w:rPr>
      </w:pPr>
    </w:p>
    <w:p w14:paraId="4FBB067B"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Gas Natural</w:t>
      </w:r>
      <w:r>
        <w:rPr>
          <w:rFonts w:ascii="Open Sans" w:hAnsi="Open Sans" w:cs="Open Sans"/>
          <w:sz w:val="20"/>
          <w:szCs w:val="20"/>
        </w:rPr>
        <w:t xml:space="preserve"> Fenosa</w:t>
      </w:r>
      <w:r w:rsidRPr="00DD3371">
        <w:rPr>
          <w:rFonts w:ascii="Open Sans" w:hAnsi="Open Sans" w:cs="Open Sans"/>
          <w:sz w:val="20"/>
          <w:szCs w:val="20"/>
        </w:rPr>
        <w:t xml:space="preserve"> opera o tiene presencia en 37 países: </w:t>
      </w:r>
    </w:p>
    <w:p w14:paraId="54F47CBE" w14:textId="77777777" w:rsidR="00A1554D" w:rsidRPr="00DD3371" w:rsidRDefault="00A1554D" w:rsidP="00A1554D">
      <w:pPr>
        <w:jc w:val="both"/>
        <w:rPr>
          <w:rFonts w:ascii="Open Sans" w:hAnsi="Open Sans" w:cs="Open Sans"/>
          <w:sz w:val="20"/>
          <w:szCs w:val="20"/>
        </w:rPr>
      </w:pPr>
    </w:p>
    <w:p w14:paraId="4262599E"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Europa (12 países): España, Portugal, Francia, Reino Unido, Bélgica, Alemania, Italia, Luxemburgo, Holanda, Noruega, Moldavia y Rusia.</w:t>
      </w:r>
    </w:p>
    <w:p w14:paraId="5214DF02" w14:textId="77777777" w:rsidR="00A1554D" w:rsidRPr="00DD3371" w:rsidRDefault="00A1554D" w:rsidP="00A1554D">
      <w:pPr>
        <w:jc w:val="both"/>
        <w:rPr>
          <w:rFonts w:ascii="Open Sans" w:hAnsi="Open Sans" w:cs="Open Sans"/>
          <w:sz w:val="20"/>
          <w:szCs w:val="20"/>
        </w:rPr>
      </w:pPr>
    </w:p>
    <w:p w14:paraId="05BC3D0D"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América (12 países): Brasil, Argentina, Chile, Perú, Colombia, Puerto Rico, República Dominicana, Panamá, México, Costa Rica, EE.UU. y Trinidad y Tobago.</w:t>
      </w:r>
    </w:p>
    <w:p w14:paraId="217ECFBA" w14:textId="77777777" w:rsidR="00A1554D" w:rsidRPr="00DD3371" w:rsidRDefault="00A1554D" w:rsidP="00A1554D">
      <w:pPr>
        <w:jc w:val="both"/>
        <w:rPr>
          <w:rFonts w:ascii="Open Sans" w:hAnsi="Open Sans" w:cs="Open Sans"/>
          <w:sz w:val="20"/>
          <w:szCs w:val="20"/>
        </w:rPr>
      </w:pPr>
    </w:p>
    <w:p w14:paraId="18F3C84C"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 Asia y Oceanía (7 países): Australia, Japón, Corea del Sur, India, Omán, Catar y Azerbaiyán. </w:t>
      </w:r>
    </w:p>
    <w:p w14:paraId="5B57C826" w14:textId="77777777" w:rsidR="00A1554D" w:rsidRPr="00DD3371" w:rsidRDefault="00A1554D" w:rsidP="00A1554D">
      <w:pPr>
        <w:jc w:val="both"/>
        <w:rPr>
          <w:rFonts w:ascii="Open Sans" w:hAnsi="Open Sans" w:cs="Open Sans"/>
          <w:sz w:val="20"/>
          <w:szCs w:val="20"/>
        </w:rPr>
      </w:pPr>
    </w:p>
    <w:p w14:paraId="51A65104"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África (6 países): Egipto, Argelia, Marruecos, Nigeria, Sudáfrica y Kenia.</w:t>
      </w:r>
    </w:p>
    <w:p w14:paraId="747EDFEA" w14:textId="77777777" w:rsidR="00A1554D" w:rsidRPr="00DD3371" w:rsidRDefault="00A1554D" w:rsidP="00A1554D">
      <w:pPr>
        <w:jc w:val="both"/>
        <w:rPr>
          <w:rFonts w:ascii="Open Sans" w:hAnsi="Open Sans" w:cs="Open Sans"/>
          <w:sz w:val="20"/>
          <w:szCs w:val="20"/>
        </w:rPr>
      </w:pPr>
    </w:p>
    <w:p w14:paraId="42610F91" w14:textId="77777777" w:rsidR="00A1554D" w:rsidRPr="00DD3371" w:rsidRDefault="00A1554D" w:rsidP="00A1554D">
      <w:pPr>
        <w:jc w:val="both"/>
        <w:rPr>
          <w:rFonts w:ascii="Open Sans" w:hAnsi="Open Sans" w:cs="Open Sans"/>
          <w:sz w:val="20"/>
          <w:szCs w:val="20"/>
        </w:rPr>
      </w:pPr>
    </w:p>
    <w:p w14:paraId="209EF562" w14:textId="77777777" w:rsidR="00A1554D" w:rsidRPr="00DD3371" w:rsidRDefault="00A1554D" w:rsidP="00A1554D">
      <w:pPr>
        <w:jc w:val="both"/>
        <w:rPr>
          <w:rFonts w:ascii="Open Sans" w:hAnsi="Open Sans" w:cs="Open Sans"/>
          <w:sz w:val="20"/>
          <w:szCs w:val="20"/>
          <w:u w:val="single"/>
        </w:rPr>
      </w:pPr>
      <w:r w:rsidRPr="00DD3371">
        <w:rPr>
          <w:rFonts w:ascii="Open Sans" w:hAnsi="Open Sans" w:cs="Open Sans"/>
          <w:sz w:val="20"/>
          <w:szCs w:val="20"/>
          <w:u w:val="single"/>
        </w:rPr>
        <w:t>Cifras relevantes de la empresa:</w:t>
      </w:r>
    </w:p>
    <w:p w14:paraId="0D3883ED" w14:textId="77777777" w:rsidR="00A1554D" w:rsidRPr="00DD3371" w:rsidRDefault="00A1554D" w:rsidP="00A1554D">
      <w:pPr>
        <w:jc w:val="both"/>
        <w:rPr>
          <w:rFonts w:ascii="Open Sans" w:hAnsi="Open Sans" w:cs="Open Sans"/>
          <w:sz w:val="20"/>
          <w:szCs w:val="20"/>
          <w:u w:val="single"/>
        </w:rPr>
      </w:pPr>
    </w:p>
    <w:p w14:paraId="4C29CDF9"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Gas Natural</w:t>
      </w:r>
      <w:r>
        <w:rPr>
          <w:rFonts w:ascii="Open Sans" w:hAnsi="Open Sans" w:cs="Open Sans"/>
          <w:sz w:val="20"/>
          <w:szCs w:val="20"/>
        </w:rPr>
        <w:t xml:space="preserve"> Fenosa</w:t>
      </w:r>
      <w:r w:rsidRPr="00DD3371">
        <w:rPr>
          <w:rFonts w:ascii="Open Sans" w:hAnsi="Open Sans" w:cs="Open Sans"/>
          <w:sz w:val="20"/>
          <w:szCs w:val="20"/>
        </w:rPr>
        <w:t xml:space="preserve"> ha tenido una facturación en 2015 de 26.015 millones de euros. El beneficio antes de impuestos de grupo consolidado es de 2.363 millones de euros. Al 31 de diciembre de 2015 el grupo cuenta con un total de 19.939 empleados.</w:t>
      </w:r>
    </w:p>
    <w:p w14:paraId="7ACFB01B" w14:textId="77777777" w:rsidR="00A1554D" w:rsidRPr="00DD3371" w:rsidRDefault="00A1554D" w:rsidP="00A1554D">
      <w:pPr>
        <w:jc w:val="both"/>
        <w:rPr>
          <w:rFonts w:ascii="Open Sans" w:hAnsi="Open Sans" w:cs="Open Sans"/>
          <w:sz w:val="20"/>
          <w:szCs w:val="20"/>
          <w:u w:val="single"/>
        </w:rPr>
      </w:pPr>
    </w:p>
    <w:p w14:paraId="0CA3F62C" w14:textId="77777777" w:rsidR="00A1554D" w:rsidRPr="00DD3371" w:rsidRDefault="00A1554D" w:rsidP="00A1554D">
      <w:pPr>
        <w:jc w:val="both"/>
        <w:rPr>
          <w:rFonts w:ascii="Open Sans" w:hAnsi="Open Sans" w:cs="Open Sans"/>
          <w:sz w:val="20"/>
          <w:szCs w:val="20"/>
          <w:u w:val="single"/>
        </w:rPr>
      </w:pPr>
    </w:p>
    <w:p w14:paraId="09279AED" w14:textId="77777777" w:rsidR="00A1554D" w:rsidRPr="00DD3371" w:rsidRDefault="00A1554D" w:rsidP="00A1554D">
      <w:pPr>
        <w:jc w:val="both"/>
        <w:rPr>
          <w:rFonts w:ascii="Open Sans" w:hAnsi="Open Sans" w:cs="Open Sans"/>
          <w:sz w:val="20"/>
          <w:szCs w:val="20"/>
          <w:u w:val="single"/>
        </w:rPr>
      </w:pPr>
      <w:r w:rsidRPr="00DD3371">
        <w:rPr>
          <w:rFonts w:ascii="Open Sans" w:hAnsi="Open Sans" w:cs="Open Sans"/>
          <w:sz w:val="20"/>
          <w:szCs w:val="20"/>
          <w:u w:val="single"/>
        </w:rPr>
        <w:t>Estándares voluntarios relacionados con fiscalidad responsable</w:t>
      </w:r>
    </w:p>
    <w:p w14:paraId="4F6F3EA1" w14:textId="77777777" w:rsidR="00A1554D" w:rsidRPr="00DD3371" w:rsidRDefault="00A1554D" w:rsidP="00A1554D">
      <w:pPr>
        <w:jc w:val="both"/>
        <w:rPr>
          <w:rFonts w:ascii="Open Sans" w:hAnsi="Open Sans" w:cs="Open Sans"/>
          <w:sz w:val="20"/>
          <w:szCs w:val="20"/>
          <w:u w:val="single"/>
        </w:rPr>
      </w:pPr>
    </w:p>
    <w:p w14:paraId="79C279BB"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Gas Natural</w:t>
      </w:r>
      <w:r>
        <w:rPr>
          <w:rFonts w:ascii="Open Sans" w:hAnsi="Open Sans" w:cs="Open Sans"/>
          <w:sz w:val="20"/>
          <w:szCs w:val="20"/>
        </w:rPr>
        <w:t xml:space="preserve"> Fenosa</w:t>
      </w:r>
      <w:r w:rsidRPr="00DD3371">
        <w:rPr>
          <w:rFonts w:ascii="Open Sans" w:hAnsi="Open Sans" w:cs="Open Sans"/>
          <w:sz w:val="20"/>
          <w:szCs w:val="20"/>
        </w:rPr>
        <w:t xml:space="preserve"> informa que se ha adherido voluntariamente a los siguientes estándares relacionados con contenidos y sistemas de gestión de fiscalidad responsable:</w:t>
      </w:r>
    </w:p>
    <w:p w14:paraId="34C4F392" w14:textId="77777777" w:rsidR="00A1554D" w:rsidRPr="00DD3371" w:rsidRDefault="00A1554D" w:rsidP="00A1554D">
      <w:pPr>
        <w:jc w:val="both"/>
        <w:rPr>
          <w:rFonts w:ascii="Open Sans" w:hAnsi="Open Sans" w:cs="Open Sans"/>
          <w:sz w:val="20"/>
          <w:szCs w:val="20"/>
        </w:rPr>
      </w:pPr>
    </w:p>
    <w:p w14:paraId="02C0EC74" w14:textId="77777777" w:rsidR="00A1554D" w:rsidRPr="00DD3371" w:rsidRDefault="00A1554D" w:rsidP="000B70C9">
      <w:pPr>
        <w:numPr>
          <w:ilvl w:val="0"/>
          <w:numId w:val="87"/>
        </w:numPr>
        <w:jc w:val="both"/>
        <w:rPr>
          <w:rFonts w:ascii="Open Sans" w:hAnsi="Open Sans" w:cs="Open Sans"/>
          <w:sz w:val="20"/>
          <w:szCs w:val="20"/>
        </w:rPr>
      </w:pPr>
      <w:r w:rsidRPr="00DD3371">
        <w:rPr>
          <w:rFonts w:ascii="Open Sans" w:hAnsi="Open Sans" w:cs="Open Sans"/>
          <w:sz w:val="20"/>
          <w:szCs w:val="20"/>
        </w:rPr>
        <w:t>Código de Buenas Prácticas Tributarias de la Agencia Tributaria.</w:t>
      </w:r>
    </w:p>
    <w:p w14:paraId="3E3BCB66" w14:textId="77777777" w:rsidR="00A1554D" w:rsidRPr="00DD3371" w:rsidRDefault="00A1554D" w:rsidP="00A1554D">
      <w:pPr>
        <w:jc w:val="both"/>
        <w:rPr>
          <w:rFonts w:ascii="Open Sans" w:hAnsi="Open Sans" w:cs="Open Sans"/>
          <w:sz w:val="20"/>
          <w:szCs w:val="20"/>
          <w:u w:val="single"/>
        </w:rPr>
      </w:pPr>
    </w:p>
    <w:p w14:paraId="169B8A02" w14:textId="77777777" w:rsidR="00A1554D" w:rsidRPr="00DD3371" w:rsidRDefault="00A1554D" w:rsidP="00A1554D">
      <w:pPr>
        <w:jc w:val="both"/>
        <w:rPr>
          <w:rFonts w:ascii="Open Sans" w:hAnsi="Open Sans" w:cs="Open Sans"/>
          <w:sz w:val="20"/>
          <w:szCs w:val="20"/>
          <w:u w:val="single"/>
        </w:rPr>
      </w:pPr>
    </w:p>
    <w:p w14:paraId="680A3B27" w14:textId="77777777" w:rsidR="00A1554D" w:rsidRPr="00DD3371" w:rsidRDefault="00A1554D" w:rsidP="00A1554D">
      <w:pPr>
        <w:jc w:val="both"/>
        <w:rPr>
          <w:rFonts w:ascii="Open Sans" w:hAnsi="Open Sans" w:cs="Open Sans"/>
          <w:sz w:val="20"/>
          <w:szCs w:val="20"/>
          <w:u w:val="single"/>
        </w:rPr>
      </w:pPr>
      <w:r w:rsidRPr="00DD3371">
        <w:rPr>
          <w:rFonts w:ascii="Open Sans" w:hAnsi="Open Sans" w:cs="Open Sans"/>
          <w:sz w:val="20"/>
          <w:szCs w:val="20"/>
          <w:u w:val="single"/>
        </w:rPr>
        <w:t>Documentos incluidos en el análisis</w:t>
      </w:r>
    </w:p>
    <w:p w14:paraId="6B8C2B7F" w14:textId="77777777" w:rsidR="00A1554D" w:rsidRPr="00DD3371" w:rsidRDefault="00A1554D" w:rsidP="00A1554D">
      <w:pPr>
        <w:ind w:firstLine="709"/>
        <w:jc w:val="both"/>
        <w:rPr>
          <w:rFonts w:ascii="Open Sans" w:hAnsi="Open Sans" w:cs="Open Sans"/>
          <w:sz w:val="20"/>
          <w:szCs w:val="20"/>
        </w:rPr>
      </w:pPr>
    </w:p>
    <w:p w14:paraId="7B6D894A"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3438DA23" w14:textId="77777777" w:rsidR="00A1554D" w:rsidRPr="00DD3371" w:rsidRDefault="00A1554D" w:rsidP="00A1554D">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5116"/>
        <w:gridCol w:w="3402"/>
      </w:tblGrid>
      <w:tr w:rsidR="00A1554D" w:rsidRPr="00DD3371" w14:paraId="4DE2FCA6" w14:textId="77777777" w:rsidTr="00903D51">
        <w:trPr>
          <w:trHeight w:val="327"/>
        </w:trPr>
        <w:tc>
          <w:tcPr>
            <w:tcW w:w="5116"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04154D1B" w14:textId="77777777" w:rsidR="00A1554D" w:rsidRPr="00DD3371" w:rsidRDefault="00A1554D" w:rsidP="00903D51">
            <w:pPr>
              <w:jc w:val="center"/>
              <w:rPr>
                <w:rFonts w:ascii="Open Sans" w:hAnsi="Open Sans" w:cs="Open Sans"/>
                <w:b/>
                <w:sz w:val="20"/>
                <w:szCs w:val="20"/>
              </w:rPr>
            </w:pPr>
            <w:r w:rsidRPr="00DD3371">
              <w:rPr>
                <w:rFonts w:ascii="Open Sans" w:hAnsi="Open Sans" w:cs="Open Sans"/>
                <w:b/>
                <w:sz w:val="20"/>
                <w:szCs w:val="20"/>
              </w:rPr>
              <w:t>DOCUMENTACIÓN</w:t>
            </w:r>
          </w:p>
        </w:tc>
        <w:tc>
          <w:tcPr>
            <w:tcW w:w="3402"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03BB6DC" w14:textId="77777777" w:rsidR="00A1554D" w:rsidRPr="00DD3371" w:rsidRDefault="00A1554D" w:rsidP="00903D51">
            <w:pPr>
              <w:jc w:val="center"/>
              <w:rPr>
                <w:rFonts w:ascii="Open Sans" w:hAnsi="Open Sans" w:cs="Open Sans"/>
                <w:b/>
                <w:sz w:val="20"/>
                <w:szCs w:val="20"/>
              </w:rPr>
            </w:pPr>
            <w:r w:rsidRPr="00DD3371">
              <w:rPr>
                <w:rFonts w:ascii="Open Sans" w:hAnsi="Open Sans" w:cs="Open Sans"/>
                <w:b/>
                <w:sz w:val="20"/>
                <w:szCs w:val="20"/>
              </w:rPr>
              <w:t>OBSERVACIONES</w:t>
            </w:r>
          </w:p>
        </w:tc>
      </w:tr>
      <w:tr w:rsidR="00A1554D" w:rsidRPr="00DD3371" w14:paraId="1FEB2549" w14:textId="77777777" w:rsidTr="00903D51">
        <w:trPr>
          <w:trHeight w:val="315"/>
        </w:trPr>
        <w:tc>
          <w:tcPr>
            <w:tcW w:w="511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8034745" w14:textId="77777777" w:rsidR="00A1554D" w:rsidRPr="00DD3371" w:rsidRDefault="007F55EB" w:rsidP="00903D51">
            <w:pPr>
              <w:rPr>
                <w:rFonts w:ascii="Open Sans" w:hAnsi="Open Sans" w:cs="Open Sans"/>
                <w:color w:val="000000"/>
                <w:sz w:val="20"/>
                <w:szCs w:val="20"/>
                <w:lang w:eastAsia="en-US"/>
              </w:rPr>
            </w:pPr>
            <w:hyperlink r:id="rId89" w:history="1">
              <w:r w:rsidR="00A1554D" w:rsidRPr="00DD3371">
                <w:rPr>
                  <w:rStyle w:val="Hipervnculo"/>
                  <w:rFonts w:ascii="Open Sans" w:hAnsi="Open Sans" w:cs="Open Sans"/>
                  <w:sz w:val="20"/>
                  <w:szCs w:val="20"/>
                </w:rPr>
                <w:t>Cuentas anuales e Informe de gestión</w:t>
              </w:r>
            </w:hyperlink>
          </w:p>
        </w:tc>
        <w:tc>
          <w:tcPr>
            <w:tcW w:w="340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0D1E92C" w14:textId="77777777" w:rsidR="00A1554D" w:rsidRPr="00DD3371" w:rsidRDefault="00A1554D" w:rsidP="00903D51">
            <w:pPr>
              <w:jc w:val="both"/>
              <w:rPr>
                <w:rFonts w:ascii="Open Sans" w:eastAsia="Arial Unicode MS" w:hAnsi="Open Sans" w:cs="Open Sans"/>
                <w:sz w:val="20"/>
                <w:szCs w:val="20"/>
              </w:rPr>
            </w:pPr>
          </w:p>
        </w:tc>
      </w:tr>
      <w:tr w:rsidR="00A1554D" w:rsidRPr="00DD3371" w14:paraId="500AFCDB" w14:textId="77777777" w:rsidTr="00903D51">
        <w:trPr>
          <w:trHeight w:val="315"/>
        </w:trPr>
        <w:tc>
          <w:tcPr>
            <w:tcW w:w="511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B02355E" w14:textId="77777777" w:rsidR="00A1554D" w:rsidRPr="00DD3371" w:rsidRDefault="007F55EB" w:rsidP="00903D51">
            <w:pPr>
              <w:rPr>
                <w:rFonts w:ascii="Open Sans" w:hAnsi="Open Sans" w:cs="Open Sans"/>
                <w:color w:val="000000"/>
                <w:sz w:val="20"/>
                <w:szCs w:val="20"/>
              </w:rPr>
            </w:pPr>
            <w:hyperlink r:id="rId90" w:history="1">
              <w:r w:rsidR="00A1554D" w:rsidRPr="00DD3371">
                <w:rPr>
                  <w:rStyle w:val="Hipervnculo"/>
                  <w:rFonts w:ascii="Open Sans" w:hAnsi="Open Sans" w:cs="Open Sans"/>
                  <w:sz w:val="20"/>
                  <w:szCs w:val="20"/>
                </w:rPr>
                <w:t>Informe Anual Integrado 2015</w:t>
              </w:r>
            </w:hyperlink>
          </w:p>
        </w:tc>
        <w:tc>
          <w:tcPr>
            <w:tcW w:w="340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EC61471" w14:textId="77777777" w:rsidR="00A1554D" w:rsidRPr="00DD3371" w:rsidRDefault="00A1554D" w:rsidP="00903D51">
            <w:pPr>
              <w:jc w:val="both"/>
              <w:rPr>
                <w:rFonts w:ascii="Open Sans" w:eastAsia="Arial Unicode MS" w:hAnsi="Open Sans" w:cs="Open Sans"/>
                <w:sz w:val="20"/>
                <w:szCs w:val="20"/>
              </w:rPr>
            </w:pPr>
          </w:p>
        </w:tc>
      </w:tr>
      <w:tr w:rsidR="00A1554D" w:rsidRPr="00DD3371" w14:paraId="169790AA" w14:textId="77777777" w:rsidTr="00903D51">
        <w:trPr>
          <w:trHeight w:val="315"/>
        </w:trPr>
        <w:tc>
          <w:tcPr>
            <w:tcW w:w="511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093342D" w14:textId="77777777" w:rsidR="00A1554D" w:rsidRPr="00DD3371" w:rsidRDefault="007F55EB" w:rsidP="00903D51">
            <w:pPr>
              <w:rPr>
                <w:rFonts w:ascii="Open Sans" w:hAnsi="Open Sans" w:cs="Open Sans"/>
                <w:color w:val="000000"/>
                <w:sz w:val="20"/>
                <w:szCs w:val="20"/>
              </w:rPr>
            </w:pPr>
            <w:hyperlink r:id="rId91" w:history="1">
              <w:r w:rsidR="00A1554D" w:rsidRPr="00DD3371">
                <w:rPr>
                  <w:rStyle w:val="Hipervnculo"/>
                  <w:rFonts w:ascii="Open Sans" w:hAnsi="Open Sans" w:cs="Open Sans"/>
                  <w:sz w:val="20"/>
                  <w:szCs w:val="20"/>
                </w:rPr>
                <w:t>Estatutos sociales</w:t>
              </w:r>
            </w:hyperlink>
          </w:p>
        </w:tc>
        <w:tc>
          <w:tcPr>
            <w:tcW w:w="340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A457B4A" w14:textId="77777777" w:rsidR="00A1554D" w:rsidRPr="00DD3371" w:rsidRDefault="00A1554D" w:rsidP="00903D51">
            <w:pPr>
              <w:jc w:val="both"/>
              <w:rPr>
                <w:rFonts w:ascii="Open Sans" w:eastAsia="Arial Unicode MS" w:hAnsi="Open Sans" w:cs="Open Sans"/>
                <w:sz w:val="20"/>
                <w:szCs w:val="20"/>
              </w:rPr>
            </w:pPr>
          </w:p>
        </w:tc>
      </w:tr>
      <w:tr w:rsidR="00A1554D" w:rsidRPr="00DD3371" w14:paraId="767BE974" w14:textId="77777777" w:rsidTr="00903D51">
        <w:trPr>
          <w:trHeight w:val="300"/>
        </w:trPr>
        <w:tc>
          <w:tcPr>
            <w:tcW w:w="511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F9587DF" w14:textId="77777777" w:rsidR="00A1554D" w:rsidRPr="00DD3371" w:rsidRDefault="007F55EB" w:rsidP="00903D51">
            <w:pPr>
              <w:rPr>
                <w:rFonts w:ascii="Open Sans" w:hAnsi="Open Sans" w:cs="Open Sans"/>
                <w:color w:val="000000"/>
                <w:sz w:val="20"/>
                <w:szCs w:val="20"/>
              </w:rPr>
            </w:pPr>
            <w:hyperlink r:id="rId92" w:history="1">
              <w:r w:rsidR="00A1554D" w:rsidRPr="00DD3371">
                <w:rPr>
                  <w:rStyle w:val="Hipervnculo"/>
                  <w:rFonts w:ascii="Open Sans" w:hAnsi="Open Sans" w:cs="Open Sans"/>
                  <w:sz w:val="20"/>
                  <w:szCs w:val="20"/>
                </w:rPr>
                <w:t>Informe de Responsabilidad Corporativa 2015</w:t>
              </w:r>
            </w:hyperlink>
          </w:p>
        </w:tc>
        <w:tc>
          <w:tcPr>
            <w:tcW w:w="340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68A661B" w14:textId="77777777" w:rsidR="00A1554D" w:rsidRPr="00DD3371" w:rsidRDefault="00A1554D" w:rsidP="00903D51">
            <w:pPr>
              <w:jc w:val="both"/>
              <w:rPr>
                <w:rFonts w:ascii="Open Sans" w:eastAsia="Arial Unicode MS" w:hAnsi="Open Sans" w:cs="Open Sans"/>
                <w:sz w:val="20"/>
                <w:szCs w:val="20"/>
              </w:rPr>
            </w:pPr>
          </w:p>
        </w:tc>
      </w:tr>
      <w:tr w:rsidR="00A1554D" w:rsidRPr="00DD3371" w14:paraId="563A1244" w14:textId="77777777" w:rsidTr="00903D51">
        <w:trPr>
          <w:trHeight w:val="264"/>
        </w:trPr>
        <w:tc>
          <w:tcPr>
            <w:tcW w:w="5116"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AB80A92" w14:textId="77777777" w:rsidR="00A1554D" w:rsidRPr="00DD3371" w:rsidRDefault="007F55EB" w:rsidP="00903D51">
            <w:pPr>
              <w:rPr>
                <w:rFonts w:ascii="Open Sans" w:hAnsi="Open Sans" w:cs="Open Sans"/>
                <w:color w:val="000000"/>
                <w:sz w:val="20"/>
                <w:szCs w:val="20"/>
              </w:rPr>
            </w:pPr>
            <w:hyperlink r:id="rId93" w:history="1">
              <w:r w:rsidR="00A1554D" w:rsidRPr="00DD3371">
                <w:rPr>
                  <w:rStyle w:val="Hipervnculo"/>
                  <w:rFonts w:ascii="Open Sans" w:hAnsi="Open Sans" w:cs="Open Sans"/>
                  <w:sz w:val="20"/>
                  <w:szCs w:val="20"/>
                </w:rPr>
                <w:t>Informe Anual de Gobierno Corporativo de las Sociedades Anónimas Cotizadas 2015</w:t>
              </w:r>
            </w:hyperlink>
          </w:p>
        </w:tc>
        <w:tc>
          <w:tcPr>
            <w:tcW w:w="3402"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17A2714" w14:textId="77777777" w:rsidR="00A1554D" w:rsidRPr="00DD3371" w:rsidRDefault="00A1554D" w:rsidP="00903D51">
            <w:pPr>
              <w:jc w:val="both"/>
              <w:rPr>
                <w:rFonts w:ascii="Open Sans" w:eastAsia="Arial Unicode MS" w:hAnsi="Open Sans" w:cs="Open Sans"/>
                <w:sz w:val="20"/>
                <w:szCs w:val="20"/>
              </w:rPr>
            </w:pPr>
          </w:p>
        </w:tc>
      </w:tr>
      <w:tr w:rsidR="00A1554D" w:rsidRPr="00DD3371" w14:paraId="6E1C9E73" w14:textId="77777777" w:rsidTr="00903D51">
        <w:trPr>
          <w:trHeight w:val="179"/>
        </w:trPr>
        <w:tc>
          <w:tcPr>
            <w:tcW w:w="5116"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0CDB990B" w14:textId="77777777" w:rsidR="00A1554D" w:rsidRPr="00DD3371" w:rsidRDefault="007F55EB" w:rsidP="00903D51">
            <w:pPr>
              <w:rPr>
                <w:rFonts w:ascii="Open Sans" w:hAnsi="Open Sans" w:cs="Open Sans"/>
                <w:color w:val="000000"/>
                <w:sz w:val="20"/>
                <w:szCs w:val="20"/>
              </w:rPr>
            </w:pPr>
            <w:hyperlink r:id="rId94" w:history="1">
              <w:r w:rsidR="00A1554D" w:rsidRPr="00DD3371">
                <w:rPr>
                  <w:rStyle w:val="Hipervnculo"/>
                  <w:rFonts w:ascii="Open Sans" w:hAnsi="Open Sans" w:cs="Open Sans"/>
                  <w:sz w:val="20"/>
                  <w:szCs w:val="20"/>
                </w:rPr>
                <w:t>Código ético</w:t>
              </w:r>
            </w:hyperlink>
          </w:p>
        </w:tc>
        <w:tc>
          <w:tcPr>
            <w:tcW w:w="3402"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5F8AE268" w14:textId="77777777" w:rsidR="00A1554D" w:rsidRPr="00DD3371" w:rsidRDefault="00A1554D" w:rsidP="00903D51">
            <w:pPr>
              <w:jc w:val="both"/>
              <w:rPr>
                <w:rFonts w:ascii="Open Sans" w:eastAsia="Arial Unicode MS" w:hAnsi="Open Sans" w:cs="Open Sans"/>
                <w:sz w:val="20"/>
                <w:szCs w:val="20"/>
              </w:rPr>
            </w:pPr>
          </w:p>
        </w:tc>
      </w:tr>
    </w:tbl>
    <w:p w14:paraId="5AF7867B" w14:textId="77777777" w:rsidR="00A1554D" w:rsidRPr="00DD3371" w:rsidRDefault="00A1554D" w:rsidP="00A1554D">
      <w:pPr>
        <w:jc w:val="both"/>
        <w:rPr>
          <w:rFonts w:ascii="Open Sans" w:hAnsi="Open Sans" w:cs="Open Sans"/>
          <w:b/>
          <w:sz w:val="20"/>
          <w:szCs w:val="20"/>
        </w:rPr>
      </w:pPr>
    </w:p>
    <w:p w14:paraId="64EEFB51" w14:textId="77777777" w:rsidR="00A1554D" w:rsidRPr="00DD3371" w:rsidRDefault="00A1554D" w:rsidP="00A1554D">
      <w:pPr>
        <w:jc w:val="both"/>
        <w:rPr>
          <w:rFonts w:ascii="Open Sans" w:hAnsi="Open Sans" w:cs="Open Sans"/>
          <w:b/>
          <w:sz w:val="20"/>
          <w:szCs w:val="20"/>
        </w:rPr>
      </w:pPr>
    </w:p>
    <w:p w14:paraId="3F2C3C13" w14:textId="77777777" w:rsidR="00A1554D" w:rsidRPr="00DD3371" w:rsidRDefault="00A1554D" w:rsidP="00A1554D">
      <w:pPr>
        <w:jc w:val="both"/>
        <w:rPr>
          <w:rFonts w:ascii="Open Sans" w:hAnsi="Open Sans" w:cs="Open Sans"/>
          <w:b/>
          <w:sz w:val="20"/>
          <w:szCs w:val="20"/>
        </w:rPr>
      </w:pPr>
    </w:p>
    <w:p w14:paraId="1F098317" w14:textId="77777777" w:rsidR="00A1554D" w:rsidRPr="00DD3371" w:rsidRDefault="00A1554D" w:rsidP="00A1554D">
      <w:pPr>
        <w:jc w:val="both"/>
        <w:rPr>
          <w:rFonts w:ascii="Open Sans" w:hAnsi="Open Sans" w:cs="Open Sans"/>
          <w:b/>
          <w:sz w:val="20"/>
          <w:szCs w:val="20"/>
          <w:u w:val="single"/>
        </w:rPr>
      </w:pPr>
      <w:r w:rsidRPr="00DD3371">
        <w:rPr>
          <w:rFonts w:ascii="Open Sans" w:hAnsi="Open Sans" w:cs="Open Sans"/>
          <w:b/>
          <w:sz w:val="20"/>
          <w:szCs w:val="20"/>
          <w:u w:val="single"/>
        </w:rPr>
        <w:t>2. Tabla de resultados</w:t>
      </w:r>
    </w:p>
    <w:p w14:paraId="4AF6C932" w14:textId="77777777" w:rsidR="00A1554D" w:rsidRPr="00DD3371" w:rsidRDefault="00A1554D" w:rsidP="00A1554D">
      <w:pPr>
        <w:jc w:val="both"/>
        <w:rPr>
          <w:rFonts w:ascii="Open Sans" w:hAnsi="Open Sans" w:cs="Open Sans"/>
          <w:b/>
          <w:sz w:val="20"/>
          <w:szCs w:val="20"/>
          <w:u w:val="single"/>
        </w:rPr>
      </w:pPr>
    </w:p>
    <w:p w14:paraId="789153B5" w14:textId="77777777" w:rsidR="00A1554D" w:rsidRPr="00DD3371" w:rsidRDefault="00A1554D" w:rsidP="00A1554D">
      <w:pPr>
        <w:jc w:val="both"/>
        <w:rPr>
          <w:rFonts w:ascii="Open Sans" w:hAnsi="Open Sans" w:cs="Open Sans"/>
          <w:b/>
          <w:sz w:val="20"/>
          <w:szCs w:val="20"/>
          <w:u w:val="single"/>
        </w:rPr>
      </w:pPr>
    </w:p>
    <w:p w14:paraId="7A455111" w14:textId="77777777" w:rsidR="00A1554D" w:rsidRPr="007829A9" w:rsidRDefault="00A1554D" w:rsidP="00A1554D">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50440537" w14:textId="77777777" w:rsidR="00A1554D" w:rsidRPr="00732FD5" w:rsidRDefault="00A1554D" w:rsidP="00A1554D">
      <w:pPr>
        <w:rPr>
          <w:rFonts w:ascii="Open Sans" w:hAnsi="Open Sans" w:cs="Arial"/>
          <w:b/>
        </w:rPr>
      </w:pPr>
    </w:p>
    <w:p w14:paraId="5C88FB8D" w14:textId="35E5EA02" w:rsidR="00A1554D" w:rsidRDefault="00A1554D" w:rsidP="00A1554D">
      <w:pPr>
        <w:jc w:val="center"/>
      </w:pPr>
      <w:r>
        <w:rPr>
          <w:noProof/>
          <w:lang w:val="es-ES"/>
        </w:rPr>
        <w:drawing>
          <wp:inline distT="0" distB="0" distL="0" distR="0" wp14:anchorId="3D34C8FD" wp14:editId="51E76A4D">
            <wp:extent cx="3686175" cy="1857375"/>
            <wp:effectExtent l="0" t="0" r="9525"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3686175" cy="1857375"/>
                    </a:xfrm>
                    <a:prstGeom prst="rect">
                      <a:avLst/>
                    </a:prstGeom>
                    <a:noFill/>
                    <a:ln>
                      <a:noFill/>
                    </a:ln>
                  </pic:spPr>
                </pic:pic>
              </a:graphicData>
            </a:graphic>
          </wp:inline>
        </w:drawing>
      </w:r>
    </w:p>
    <w:p w14:paraId="0E2731A2" w14:textId="77777777" w:rsidR="00A1554D" w:rsidRDefault="00A1554D" w:rsidP="00A1554D">
      <w:pPr>
        <w:jc w:val="both"/>
      </w:pPr>
    </w:p>
    <w:p w14:paraId="10A7CC6D" w14:textId="77777777" w:rsidR="00A1554D" w:rsidRPr="00DD3371" w:rsidRDefault="00A1554D" w:rsidP="00A1554D">
      <w:pPr>
        <w:jc w:val="center"/>
        <w:rPr>
          <w:rFonts w:ascii="Open Sans" w:hAnsi="Open Sans" w:cs="Open Sans"/>
          <w:b/>
          <w:sz w:val="20"/>
          <w:szCs w:val="20"/>
        </w:rPr>
      </w:pPr>
      <w:r>
        <w:rPr>
          <w:rFonts w:ascii="Open Sans" w:hAnsi="Open Sans" w:cs="Open Sans"/>
          <w:b/>
          <w:sz w:val="20"/>
          <w:szCs w:val="20"/>
        </w:rPr>
        <w:br w:type="page"/>
      </w:r>
    </w:p>
    <w:p w14:paraId="105A2A66" w14:textId="77777777" w:rsidR="00A1554D" w:rsidRPr="00DD3371" w:rsidRDefault="00A1554D" w:rsidP="00A1554D">
      <w:pPr>
        <w:jc w:val="both"/>
        <w:rPr>
          <w:rFonts w:ascii="Open Sans" w:hAnsi="Open Sans" w:cs="Open Sans"/>
          <w:b/>
          <w:sz w:val="20"/>
          <w:szCs w:val="20"/>
        </w:rPr>
      </w:pPr>
      <w:r w:rsidRPr="00DD3371">
        <w:rPr>
          <w:rFonts w:ascii="Open Sans" w:hAnsi="Open Sans" w:cs="Open Sans"/>
          <w:b/>
          <w:sz w:val="20"/>
          <w:szCs w:val="20"/>
          <w:u w:val="single"/>
        </w:rPr>
        <w:t>3. Contexto general</w:t>
      </w:r>
    </w:p>
    <w:p w14:paraId="6E193264" w14:textId="77777777" w:rsidR="00A1554D" w:rsidRPr="00DD3371" w:rsidRDefault="00A1554D" w:rsidP="00A1554D">
      <w:pPr>
        <w:jc w:val="both"/>
        <w:rPr>
          <w:rFonts w:ascii="Open Sans" w:hAnsi="Open Sans" w:cs="Open Sans"/>
          <w:b/>
          <w:sz w:val="20"/>
          <w:szCs w:val="20"/>
        </w:rPr>
      </w:pPr>
    </w:p>
    <w:p w14:paraId="57AF0E07"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La capitalización bursátil de Gas Natural</w:t>
      </w:r>
      <w:r>
        <w:rPr>
          <w:rFonts w:ascii="Open Sans" w:hAnsi="Open Sans" w:cs="Open Sans"/>
          <w:sz w:val="20"/>
          <w:szCs w:val="20"/>
        </w:rPr>
        <w:t xml:space="preserve"> Fenosa</w:t>
      </w:r>
      <w:r w:rsidRPr="00DD3371">
        <w:rPr>
          <w:rFonts w:ascii="Open Sans" w:hAnsi="Open Sans" w:cs="Open Sans"/>
          <w:sz w:val="20"/>
          <w:szCs w:val="20"/>
        </w:rPr>
        <w:t xml:space="preserve"> a diciembre de 2015 era de 18.828 millones de euros. El importe neto de la cifra de negocio asciende a 26.016 millones de euros. El EBITDA fue 5.264 millones de euros, de los cuales la distribución de gas aporta un 29,9%, el gas un 20,5%, la distribución de electricidad un 19,4%, la electricidad un 19% y el resto lo aportan otros conceptos. La deuda financiera neta de Gas Natural alcanza los 15.648 millones de euros a 31 de diciembre de 2015.</w:t>
      </w:r>
    </w:p>
    <w:p w14:paraId="71BA0B5D" w14:textId="77777777" w:rsidR="00A1554D" w:rsidRPr="00DD3371" w:rsidRDefault="00A1554D" w:rsidP="00A1554D">
      <w:pPr>
        <w:autoSpaceDE w:val="0"/>
        <w:autoSpaceDN w:val="0"/>
        <w:adjustRightInd w:val="0"/>
        <w:rPr>
          <w:rFonts w:ascii="Open Sans" w:hAnsi="Open Sans" w:cs="Open Sans"/>
          <w:sz w:val="20"/>
          <w:szCs w:val="20"/>
        </w:rPr>
      </w:pPr>
    </w:p>
    <w:p w14:paraId="0952F369"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En lo que respecta a los riesgos derivados del alcance geográfico de las operaciones y sector de actividad, pueden señalarse varios. Tanto el sector eléctrico como el sector gasístico están fuertemente regulados, ya que suelen considerarse sectores estratégicos claves para el desarrollo económico, así como para el mantenimiento de la soberanía nacional (reducción de la dependencia energética del exterior). Esta situación hace que la relación de las empresas del sector con la Administración Pública sea inevitable, lo que implica una exposición de riesgo elevado en materia de corrupción. En este aspecto, cabe subrayar que Gas Natural opera en países que, según la organización Transparencia Internacional, tienen un elevado riesgo de corrupción. Estos países son Argelia, Marruecos, Colombia, República Dominicana y Azerbaiyán, entre otros</w:t>
      </w:r>
      <w:r w:rsidRPr="00DD3371">
        <w:rPr>
          <w:rStyle w:val="Refdenotaalpie"/>
          <w:rFonts w:ascii="Open Sans" w:hAnsi="Open Sans" w:cs="Open Sans"/>
          <w:sz w:val="20"/>
          <w:szCs w:val="20"/>
        </w:rPr>
        <w:footnoteReference w:id="413"/>
      </w:r>
      <w:r w:rsidRPr="00DD3371">
        <w:rPr>
          <w:rFonts w:ascii="Open Sans" w:hAnsi="Open Sans" w:cs="Open Sans"/>
          <w:sz w:val="20"/>
          <w:szCs w:val="20"/>
        </w:rPr>
        <w:t xml:space="preserve">. </w:t>
      </w:r>
    </w:p>
    <w:p w14:paraId="4E50C9F4" w14:textId="77777777" w:rsidR="00A1554D" w:rsidRPr="00DD3371" w:rsidRDefault="00A1554D" w:rsidP="00A1554D">
      <w:pPr>
        <w:autoSpaceDE w:val="0"/>
        <w:autoSpaceDN w:val="0"/>
        <w:adjustRightInd w:val="0"/>
        <w:jc w:val="both"/>
        <w:rPr>
          <w:rFonts w:ascii="Open Sans" w:hAnsi="Open Sans" w:cs="Open Sans"/>
          <w:sz w:val="20"/>
          <w:szCs w:val="20"/>
        </w:rPr>
      </w:pPr>
    </w:p>
    <w:p w14:paraId="0C606212"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 xml:space="preserve">Además, ambos sectores presentan características propias de monopolios naturales (situaciones en las que, desde un punto de vista económico, es más eficiente que un bien o servicio sea provisto por una sola empresa). En estas circunstancias, los mercados no se rigen por las fuerzas de la competencia. Además, los consumidores tienen menos poder para negociar con la empresa, así como para dejar de ser clientes en el caso de que la compañía muestre conductas no responsables. </w:t>
      </w:r>
    </w:p>
    <w:p w14:paraId="689F0A81" w14:textId="77777777" w:rsidR="00A1554D" w:rsidRPr="00DD3371" w:rsidRDefault="00A1554D" w:rsidP="00A1554D">
      <w:pPr>
        <w:autoSpaceDE w:val="0"/>
        <w:autoSpaceDN w:val="0"/>
        <w:adjustRightInd w:val="0"/>
        <w:jc w:val="both"/>
        <w:rPr>
          <w:rFonts w:ascii="Open Sans" w:hAnsi="Open Sans" w:cs="Open Sans"/>
          <w:sz w:val="20"/>
          <w:szCs w:val="20"/>
        </w:rPr>
      </w:pPr>
    </w:p>
    <w:p w14:paraId="3862D905"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El gas natural se extrae en países en desarrollo. Estos países dependen sobremanera de la recaudación impositiva para financiera bienes públicos como la sanidad, la educación o infraestructuras. Gas Natural extrae gas en países en desarrollo como Argelia y Nigeria, entre otros. Además, este problema no afecta sólo a los países en desarrollo. En Australia, otro de los países en los que opera Gas natural, ha habido controversias sobre la evasión de impuestos por parte de compañías petroleras y gasísticas</w:t>
      </w:r>
      <w:r w:rsidRPr="00DD3371">
        <w:rPr>
          <w:rStyle w:val="Refdenotaalpie"/>
          <w:rFonts w:ascii="Open Sans" w:hAnsi="Open Sans" w:cs="Open Sans"/>
          <w:sz w:val="20"/>
          <w:szCs w:val="20"/>
        </w:rPr>
        <w:footnoteReference w:id="414"/>
      </w:r>
      <w:r w:rsidRPr="00DD3371">
        <w:rPr>
          <w:rFonts w:ascii="Open Sans" w:hAnsi="Open Sans" w:cs="Open Sans"/>
          <w:sz w:val="20"/>
          <w:szCs w:val="20"/>
        </w:rPr>
        <w:t xml:space="preserve">. </w:t>
      </w:r>
    </w:p>
    <w:p w14:paraId="432C6CB5" w14:textId="77777777" w:rsidR="00A1554D" w:rsidRPr="00DD3371" w:rsidRDefault="00A1554D" w:rsidP="00A1554D">
      <w:pPr>
        <w:autoSpaceDE w:val="0"/>
        <w:autoSpaceDN w:val="0"/>
        <w:adjustRightInd w:val="0"/>
        <w:jc w:val="both"/>
        <w:rPr>
          <w:rFonts w:ascii="Open Sans" w:hAnsi="Open Sans" w:cs="Open Sans"/>
          <w:sz w:val="20"/>
          <w:szCs w:val="20"/>
        </w:rPr>
      </w:pPr>
    </w:p>
    <w:p w14:paraId="1A533811"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 xml:space="preserve">Otro riesgo importante deriva de uno de los objetos sociales de Gas Natural. Además de dedicarse al gas y la electricidad, la compañía tiene como propósito actuar como sociedad holding, por lo que participa en el capital del resto de empresas del grupo, ya sea de forma directa o indirecta. Esta actividad, de eminente carácter financiero, corre el riesgo de llevarse a cabo a través de sociedades sitas en paraísos fiscales, ya que estas jurisdicciones ofrecen ventajas a aquellas empresas dedicadas, entre otros propósitos, a la tenencia de acciones. </w:t>
      </w:r>
    </w:p>
    <w:p w14:paraId="059AB5A0" w14:textId="77777777" w:rsidR="00A1554D" w:rsidRPr="00DD3371" w:rsidRDefault="00A1554D" w:rsidP="00A1554D">
      <w:pPr>
        <w:autoSpaceDE w:val="0"/>
        <w:autoSpaceDN w:val="0"/>
        <w:adjustRightInd w:val="0"/>
        <w:jc w:val="both"/>
        <w:rPr>
          <w:rFonts w:ascii="Open Sans" w:hAnsi="Open Sans" w:cs="Open Sans"/>
          <w:sz w:val="20"/>
          <w:szCs w:val="20"/>
        </w:rPr>
      </w:pPr>
    </w:p>
    <w:p w14:paraId="1B367F9D"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 xml:space="preserve">En lo que respecta a los compromisos de </w:t>
      </w:r>
      <w:r>
        <w:rPr>
          <w:rFonts w:ascii="Open Sans" w:hAnsi="Open Sans" w:cs="Open Sans"/>
          <w:sz w:val="20"/>
          <w:szCs w:val="20"/>
        </w:rPr>
        <w:t>GNF</w:t>
      </w:r>
      <w:r w:rsidRPr="00DD3371">
        <w:rPr>
          <w:rFonts w:ascii="Open Sans" w:hAnsi="Open Sans" w:cs="Open Sans"/>
          <w:sz w:val="20"/>
          <w:szCs w:val="20"/>
        </w:rPr>
        <w:t>, debido al objetivo de este informe, se distingue entre los de sostenibilidad y los de fiscalidad. Los compromisos en sostenibilidad se ven rubricados en la participación en iniciativas como MSCI Global Climate Index y The Climate “A” list del Carbon Disclosure Project entre otros. Respecto a los compromisos en materia fiscal, destaca sobremanera la adhesión al Código de Buenas Prácticas de la Agencia tributaria, si bien no se hace mención importantes iniciativas en la materia, como por ejemplo el reporte de información fiscal Country by Country.</w:t>
      </w:r>
    </w:p>
    <w:p w14:paraId="14CA5E43" w14:textId="77777777" w:rsidR="00A1554D" w:rsidRPr="00DD3371" w:rsidRDefault="00A1554D" w:rsidP="00A1554D">
      <w:pPr>
        <w:autoSpaceDE w:val="0"/>
        <w:autoSpaceDN w:val="0"/>
        <w:adjustRightInd w:val="0"/>
        <w:rPr>
          <w:rFonts w:ascii="Open Sans" w:hAnsi="Open Sans" w:cs="Open Sans"/>
          <w:sz w:val="20"/>
          <w:szCs w:val="20"/>
        </w:rPr>
      </w:pPr>
    </w:p>
    <w:p w14:paraId="328EFAF8"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 xml:space="preserve">Por último, señalar que </w:t>
      </w:r>
      <w:r>
        <w:rPr>
          <w:rFonts w:ascii="Open Sans" w:hAnsi="Open Sans" w:cs="Open Sans"/>
          <w:sz w:val="20"/>
          <w:szCs w:val="20"/>
        </w:rPr>
        <w:t>GNF e</w:t>
      </w:r>
      <w:r w:rsidRPr="00DD3371">
        <w:rPr>
          <w:rFonts w:ascii="Open Sans" w:hAnsi="Open Sans" w:cs="Open Sans"/>
          <w:sz w:val="20"/>
          <w:szCs w:val="20"/>
        </w:rPr>
        <w:t>stá incluido en los principales índices de sostenibilidad: Dow Jones Sustainability Index World y FTSE4Good. Estos índices comienzan a contemplar los aspectos relativos a transparencia fiscal y fiscalidad responsable como criterios para la selección de empresas. Entre los índices que incluyen estos criterios se encuentra el Dow Jones Sustainability y el FTSE4good</w:t>
      </w:r>
      <w:r w:rsidRPr="00DD3371">
        <w:rPr>
          <w:rStyle w:val="Refdenotaalpie"/>
          <w:rFonts w:ascii="Open Sans" w:hAnsi="Open Sans" w:cs="Open Sans"/>
          <w:sz w:val="20"/>
          <w:szCs w:val="20"/>
        </w:rPr>
        <w:footnoteReference w:id="415"/>
      </w:r>
    </w:p>
    <w:p w14:paraId="323ED2A3" w14:textId="77777777" w:rsidR="00A1554D" w:rsidRPr="00DD3371" w:rsidRDefault="00A1554D" w:rsidP="00A1554D">
      <w:pPr>
        <w:jc w:val="both"/>
        <w:rPr>
          <w:rFonts w:ascii="Open Sans" w:hAnsi="Open Sans" w:cs="Open Sans"/>
          <w:sz w:val="20"/>
          <w:szCs w:val="20"/>
        </w:rPr>
      </w:pPr>
    </w:p>
    <w:p w14:paraId="2F238930" w14:textId="77777777" w:rsidR="00A1554D" w:rsidRPr="00DD3371" w:rsidRDefault="00A1554D" w:rsidP="00A1554D">
      <w:pPr>
        <w:jc w:val="both"/>
        <w:rPr>
          <w:rFonts w:ascii="Open Sans" w:hAnsi="Open Sans" w:cs="Open Sans"/>
          <w:sz w:val="20"/>
          <w:szCs w:val="20"/>
        </w:rPr>
      </w:pPr>
    </w:p>
    <w:p w14:paraId="0152C557" w14:textId="77777777" w:rsidR="00A1554D" w:rsidRPr="00DD3371" w:rsidRDefault="00A1554D" w:rsidP="00A1554D">
      <w:pPr>
        <w:jc w:val="both"/>
        <w:rPr>
          <w:rFonts w:ascii="Open Sans" w:hAnsi="Open Sans" w:cs="Open Sans"/>
          <w:b/>
          <w:sz w:val="20"/>
          <w:szCs w:val="20"/>
          <w:u w:val="single"/>
        </w:rPr>
      </w:pPr>
      <w:r w:rsidRPr="00DD3371">
        <w:rPr>
          <w:rFonts w:ascii="Open Sans" w:hAnsi="Open Sans" w:cs="Open Sans"/>
          <w:b/>
          <w:sz w:val="20"/>
          <w:szCs w:val="20"/>
          <w:u w:val="single"/>
        </w:rPr>
        <w:t>4. Análisis</w:t>
      </w:r>
    </w:p>
    <w:p w14:paraId="5F695858" w14:textId="77777777" w:rsidR="00A1554D" w:rsidRPr="00DD3371" w:rsidRDefault="00A1554D" w:rsidP="00A1554D">
      <w:pPr>
        <w:jc w:val="both"/>
        <w:rPr>
          <w:rFonts w:ascii="Open Sans" w:hAnsi="Open Sans" w:cs="Open Sans"/>
          <w:b/>
          <w:sz w:val="20"/>
          <w:szCs w:val="20"/>
        </w:rPr>
      </w:pPr>
    </w:p>
    <w:p w14:paraId="676F1B95" w14:textId="77777777" w:rsidR="00A1554D" w:rsidRDefault="00A1554D" w:rsidP="00A1554D">
      <w:pPr>
        <w:jc w:val="both"/>
        <w:rPr>
          <w:rFonts w:ascii="Open Sans" w:hAnsi="Open Sans" w:cs="Open Sans"/>
          <w:sz w:val="20"/>
          <w:szCs w:val="20"/>
        </w:rPr>
      </w:pPr>
      <w:r w:rsidRPr="00DD3371">
        <w:rPr>
          <w:rFonts w:ascii="Open Sans" w:hAnsi="Open Sans" w:cs="Open Sans"/>
          <w:sz w:val="20"/>
          <w:szCs w:val="20"/>
        </w:rPr>
        <w:t xml:space="preserve">En el ámbito fiscal de una empresa y bajo la óptica de la responsabilidad social, existen varios aspectos relevantes: </w:t>
      </w:r>
    </w:p>
    <w:p w14:paraId="2C8212D9" w14:textId="77777777" w:rsidR="00A1554D" w:rsidRPr="00DD3371" w:rsidRDefault="00A1554D" w:rsidP="00A1554D">
      <w:pPr>
        <w:jc w:val="both"/>
        <w:rPr>
          <w:rFonts w:ascii="Open Sans" w:hAnsi="Open Sans" w:cs="Open Sans"/>
          <w:sz w:val="20"/>
          <w:szCs w:val="20"/>
        </w:rPr>
      </w:pPr>
    </w:p>
    <w:p w14:paraId="1519E201" w14:textId="77777777" w:rsidR="00A1554D" w:rsidRPr="00DD3371" w:rsidRDefault="00A1554D" w:rsidP="000B70C9">
      <w:pPr>
        <w:numPr>
          <w:ilvl w:val="0"/>
          <w:numId w:val="88"/>
        </w:numPr>
        <w:jc w:val="both"/>
        <w:rPr>
          <w:rFonts w:ascii="Open Sans" w:hAnsi="Open Sans" w:cs="Open Sans"/>
          <w:sz w:val="20"/>
          <w:szCs w:val="20"/>
        </w:rPr>
      </w:pPr>
      <w:r w:rsidRPr="00DD3371">
        <w:rPr>
          <w:rFonts w:ascii="Open Sans" w:hAnsi="Open Sans" w:cs="Open Sans"/>
          <w:sz w:val="20"/>
          <w:szCs w:val="20"/>
        </w:rPr>
        <w:t xml:space="preserve">Posición fiscal. Observar si existe una política fiscal y cómo se gestiona la fiscalidad, así como cuál es exactamente el compromiso de la empresa con la fiscalidad responsable. </w:t>
      </w:r>
    </w:p>
    <w:p w14:paraId="1D000BAB" w14:textId="77777777" w:rsidR="00A1554D" w:rsidRPr="00DD3371" w:rsidRDefault="00A1554D" w:rsidP="000B70C9">
      <w:pPr>
        <w:numPr>
          <w:ilvl w:val="0"/>
          <w:numId w:val="88"/>
        </w:numPr>
        <w:jc w:val="both"/>
        <w:rPr>
          <w:rFonts w:ascii="Open Sans" w:hAnsi="Open Sans" w:cs="Open Sans"/>
          <w:sz w:val="20"/>
          <w:szCs w:val="20"/>
        </w:rPr>
      </w:pPr>
      <w:r w:rsidRPr="00DD3371">
        <w:rPr>
          <w:rFonts w:ascii="Open Sans" w:hAnsi="Open Sans" w:cs="Open Sans"/>
          <w:sz w:val="20"/>
          <w:szCs w:val="20"/>
        </w:rPr>
        <w:t xml:space="preserve">Paraísos fiscales. Conocer si la empresa tiene presencia en paraísos y nichos fiscales, así como cuáles son las actividades que realiza desde esas jurisdicciones. </w:t>
      </w:r>
    </w:p>
    <w:p w14:paraId="25CC67A7" w14:textId="77777777" w:rsidR="00A1554D" w:rsidRPr="00DD3371" w:rsidRDefault="00A1554D" w:rsidP="000B70C9">
      <w:pPr>
        <w:numPr>
          <w:ilvl w:val="0"/>
          <w:numId w:val="88"/>
        </w:numPr>
        <w:jc w:val="both"/>
        <w:rPr>
          <w:rFonts w:ascii="Open Sans" w:hAnsi="Open Sans" w:cs="Open Sans"/>
          <w:sz w:val="20"/>
          <w:szCs w:val="20"/>
        </w:rPr>
      </w:pPr>
      <w:r w:rsidRPr="00DD3371">
        <w:rPr>
          <w:rFonts w:ascii="Open Sans" w:hAnsi="Open Sans" w:cs="Open Sans"/>
          <w:sz w:val="20"/>
          <w:szCs w:val="20"/>
        </w:rPr>
        <w:t xml:space="preserve">Contribución fiscal. Poner de manifiesto la contribución fiscal de la empresa, así como la gestión de incentivos fiscales como deducciones y créditos fiscales, por ejemplo. </w:t>
      </w:r>
    </w:p>
    <w:p w14:paraId="2DB144EA" w14:textId="77777777" w:rsidR="00A1554D" w:rsidRPr="00DD3371" w:rsidRDefault="00A1554D" w:rsidP="000B70C9">
      <w:pPr>
        <w:numPr>
          <w:ilvl w:val="0"/>
          <w:numId w:val="88"/>
        </w:numPr>
        <w:jc w:val="both"/>
        <w:rPr>
          <w:rFonts w:ascii="Open Sans" w:hAnsi="Open Sans" w:cs="Open Sans"/>
          <w:sz w:val="20"/>
          <w:szCs w:val="20"/>
        </w:rPr>
      </w:pPr>
      <w:r w:rsidRPr="00DD3371">
        <w:rPr>
          <w:rFonts w:ascii="Open Sans" w:hAnsi="Open Sans" w:cs="Open Sans"/>
          <w:sz w:val="20"/>
          <w:szCs w:val="20"/>
        </w:rPr>
        <w:t xml:space="preserve">Relación con la Administración Pública. Evidenciar cuál es relación de la empresa con la Administración Pública en materia fiscal. </w:t>
      </w:r>
    </w:p>
    <w:p w14:paraId="04AD9748" w14:textId="77777777" w:rsidR="00A1554D" w:rsidRPr="00DD3371" w:rsidRDefault="00A1554D" w:rsidP="000B70C9">
      <w:pPr>
        <w:numPr>
          <w:ilvl w:val="0"/>
          <w:numId w:val="88"/>
        </w:numPr>
        <w:jc w:val="both"/>
        <w:rPr>
          <w:rFonts w:ascii="Open Sans" w:hAnsi="Open Sans" w:cs="Open Sans"/>
          <w:sz w:val="20"/>
          <w:szCs w:val="20"/>
        </w:rPr>
      </w:pPr>
      <w:r w:rsidRPr="00DD3371">
        <w:rPr>
          <w:rFonts w:ascii="Open Sans" w:hAnsi="Open Sans" w:cs="Open Sans"/>
          <w:sz w:val="20"/>
          <w:szCs w:val="20"/>
        </w:rPr>
        <w:t>Otras cuestiones fiscales</w:t>
      </w:r>
    </w:p>
    <w:p w14:paraId="12916992" w14:textId="77777777" w:rsidR="00A1554D" w:rsidRPr="00DD3371" w:rsidRDefault="00A1554D" w:rsidP="00A1554D">
      <w:pPr>
        <w:jc w:val="both"/>
        <w:rPr>
          <w:rFonts w:ascii="Open Sans" w:hAnsi="Open Sans" w:cs="Open Sans"/>
          <w:sz w:val="20"/>
          <w:szCs w:val="20"/>
        </w:rPr>
      </w:pPr>
    </w:p>
    <w:p w14:paraId="6F8BB34B"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A continuación analizaremos cada uno de ellos. </w:t>
      </w:r>
    </w:p>
    <w:p w14:paraId="5D6A395C" w14:textId="77777777" w:rsidR="00A1554D" w:rsidRPr="00DD3371" w:rsidRDefault="00A1554D" w:rsidP="00A1554D">
      <w:pPr>
        <w:jc w:val="both"/>
        <w:rPr>
          <w:rFonts w:ascii="Open Sans" w:hAnsi="Open Sans" w:cs="Open Sans"/>
          <w:sz w:val="20"/>
          <w:szCs w:val="20"/>
        </w:rPr>
      </w:pPr>
    </w:p>
    <w:p w14:paraId="4F2754AA"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1. Posición fiscal</w:t>
      </w:r>
    </w:p>
    <w:p w14:paraId="32E7DA38" w14:textId="77777777" w:rsidR="00A1554D" w:rsidRPr="00DD3371" w:rsidRDefault="00A1554D" w:rsidP="00A1554D">
      <w:pPr>
        <w:jc w:val="both"/>
        <w:rPr>
          <w:rFonts w:ascii="Open Sans" w:hAnsi="Open Sans" w:cs="Open Sans"/>
          <w:sz w:val="20"/>
          <w:szCs w:val="20"/>
        </w:rPr>
      </w:pPr>
    </w:p>
    <w:p w14:paraId="03AB75BB"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Respecto a la política fiscal, no se observa que Gas Natural</w:t>
      </w:r>
      <w:r>
        <w:rPr>
          <w:rFonts w:ascii="Open Sans" w:hAnsi="Open Sans" w:cs="Open Sans"/>
          <w:sz w:val="20"/>
          <w:szCs w:val="20"/>
        </w:rPr>
        <w:t xml:space="preserve"> Fenosa</w:t>
      </w:r>
      <w:r w:rsidRPr="00DD3371">
        <w:rPr>
          <w:rFonts w:ascii="Open Sans" w:hAnsi="Open Sans" w:cs="Open Sans"/>
          <w:sz w:val="20"/>
          <w:szCs w:val="20"/>
        </w:rPr>
        <w:t xml:space="preserve"> disponga de una política explícita. Existe lo que se denomina un "Procedimiento General de Buenas Prácticas Tributarias" del que no se proporciona información. </w:t>
      </w:r>
      <w:r>
        <w:rPr>
          <w:rFonts w:ascii="Open Sans" w:hAnsi="Open Sans" w:cs="Open Sans"/>
          <w:sz w:val="20"/>
          <w:szCs w:val="20"/>
        </w:rPr>
        <w:t>GNF</w:t>
      </w:r>
      <w:r w:rsidRPr="00DD3371">
        <w:rPr>
          <w:rFonts w:ascii="Open Sans" w:hAnsi="Open Sans" w:cs="Open Sans"/>
          <w:sz w:val="20"/>
          <w:szCs w:val="20"/>
        </w:rPr>
        <w:t xml:space="preserve"> </w:t>
      </w:r>
      <w:r>
        <w:rPr>
          <w:rFonts w:ascii="Open Sans" w:hAnsi="Open Sans" w:cs="Open Sans"/>
          <w:sz w:val="20"/>
          <w:szCs w:val="20"/>
        </w:rPr>
        <w:t xml:space="preserve">informa </w:t>
      </w:r>
      <w:r w:rsidRPr="00DD3371">
        <w:rPr>
          <w:rFonts w:ascii="Open Sans" w:hAnsi="Open Sans" w:cs="Open Sans"/>
          <w:sz w:val="20"/>
          <w:szCs w:val="20"/>
        </w:rPr>
        <w:t xml:space="preserve">de su adhesión al Código de Buenas Prácticas de la Agencia Tributaria desde el año 2010, al cual dedica gran atención en sus Informe Anual Integrado, pero sin llegar a concretar </w:t>
      </w:r>
      <w:r>
        <w:rPr>
          <w:rFonts w:ascii="Open Sans" w:hAnsi="Open Sans" w:cs="Open Sans"/>
          <w:sz w:val="20"/>
          <w:szCs w:val="20"/>
        </w:rPr>
        <w:t>qué medidas y acciones ha emprendido para su correcta implementación</w:t>
      </w:r>
      <w:r w:rsidRPr="00DD3371">
        <w:rPr>
          <w:rFonts w:ascii="Open Sans" w:hAnsi="Open Sans" w:cs="Open Sans"/>
          <w:sz w:val="20"/>
          <w:szCs w:val="20"/>
        </w:rPr>
        <w:t>. Tampoco se concreta nada sobre la estrategia fiscal de la compañía, a pesar de que parece que existe, ya que es uno de los aspectos en los que ha obtenido una valoración más alta en el Dow Jones Sustainability Index (DJSI)</w:t>
      </w:r>
      <w:r w:rsidRPr="00DD3371">
        <w:rPr>
          <w:rStyle w:val="Refdenotaalpie"/>
          <w:rFonts w:ascii="Open Sans" w:hAnsi="Open Sans" w:cs="Open Sans"/>
          <w:sz w:val="20"/>
          <w:szCs w:val="20"/>
        </w:rPr>
        <w:footnoteReference w:id="416"/>
      </w:r>
      <w:r w:rsidRPr="00DD3371">
        <w:rPr>
          <w:rFonts w:ascii="Open Sans" w:hAnsi="Open Sans" w:cs="Open Sans"/>
          <w:sz w:val="20"/>
          <w:szCs w:val="20"/>
        </w:rPr>
        <w:t xml:space="preserve">. La aparente existencia de una estrategia fiscal contrasta con la </w:t>
      </w:r>
      <w:r>
        <w:rPr>
          <w:rFonts w:ascii="Open Sans" w:hAnsi="Open Sans" w:cs="Open Sans"/>
          <w:sz w:val="20"/>
          <w:szCs w:val="20"/>
        </w:rPr>
        <w:t xml:space="preserve">carencia de </w:t>
      </w:r>
      <w:r w:rsidRPr="00DD3371">
        <w:rPr>
          <w:rFonts w:ascii="Open Sans" w:hAnsi="Open Sans" w:cs="Open Sans"/>
          <w:sz w:val="20"/>
          <w:szCs w:val="20"/>
        </w:rPr>
        <w:t xml:space="preserve">información que se proporciona sobre ella. Así mismo, no se observa que Gas Natural suscriba iniciativas internacionales relacionadas con la fiscalidad como Base erosion and profit shifting (BEPS) o Country by Country Reporting.  </w:t>
      </w:r>
    </w:p>
    <w:p w14:paraId="63D0432D" w14:textId="77777777" w:rsidR="00A1554D" w:rsidRPr="00DD3371" w:rsidRDefault="00A1554D" w:rsidP="00A1554D">
      <w:pPr>
        <w:jc w:val="both"/>
        <w:rPr>
          <w:rFonts w:ascii="Open Sans" w:hAnsi="Open Sans" w:cs="Open Sans"/>
          <w:sz w:val="20"/>
          <w:szCs w:val="20"/>
        </w:rPr>
      </w:pPr>
    </w:p>
    <w:p w14:paraId="47ADF0AF"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A pesar de la importancia que </w:t>
      </w:r>
      <w:r>
        <w:rPr>
          <w:rFonts w:ascii="Open Sans" w:hAnsi="Open Sans" w:cs="Open Sans"/>
          <w:sz w:val="20"/>
          <w:szCs w:val="20"/>
        </w:rPr>
        <w:t>GNF</w:t>
      </w:r>
      <w:r w:rsidRPr="00DD3371">
        <w:rPr>
          <w:rFonts w:ascii="Open Sans" w:hAnsi="Open Sans" w:cs="Open Sans"/>
          <w:sz w:val="20"/>
          <w:szCs w:val="20"/>
        </w:rPr>
        <w:t xml:space="preserve"> afirma prestar a los asuntos fiscales, no se observa que se identifiquen clara y explícitamente los riesgos fiscales que pueden afectar a la compañía: o bien estos riesgos no se han identificado, o no son públicos. En cualquier caso, </w:t>
      </w:r>
      <w:r>
        <w:rPr>
          <w:rFonts w:ascii="Open Sans" w:hAnsi="Open Sans" w:cs="Open Sans"/>
          <w:sz w:val="20"/>
          <w:szCs w:val="20"/>
        </w:rPr>
        <w:t>GNF</w:t>
      </w:r>
      <w:r w:rsidRPr="00DD3371">
        <w:rPr>
          <w:rFonts w:ascii="Open Sans" w:hAnsi="Open Sans" w:cs="Open Sans"/>
          <w:sz w:val="20"/>
          <w:szCs w:val="20"/>
        </w:rPr>
        <w:t xml:space="preserve"> no les da relevancia en la documentación consultada, algo que contrasta con la importancia otorgada al Código de Buenas Prácticas de la Agencia Tributaria. La gestión de la situación fiscal queda reservada a la Comisión de Auditoría, mientras que la aprobación de la estrategia fiscal es competencia del Consejo de Administración.</w:t>
      </w:r>
    </w:p>
    <w:p w14:paraId="76F75385" w14:textId="77777777" w:rsidR="00A1554D" w:rsidRPr="00DD3371" w:rsidRDefault="00A1554D" w:rsidP="00A1554D">
      <w:pPr>
        <w:jc w:val="both"/>
        <w:rPr>
          <w:rFonts w:ascii="Open Sans" w:hAnsi="Open Sans" w:cs="Open Sans"/>
          <w:sz w:val="20"/>
          <w:szCs w:val="20"/>
        </w:rPr>
      </w:pPr>
    </w:p>
    <w:p w14:paraId="094C0F61"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2. Paraísos fiscales</w:t>
      </w:r>
    </w:p>
    <w:p w14:paraId="45F6ABAB" w14:textId="77777777" w:rsidR="00A1554D" w:rsidRPr="00DD3371" w:rsidRDefault="00A1554D" w:rsidP="00A1554D">
      <w:pPr>
        <w:jc w:val="both"/>
        <w:rPr>
          <w:rFonts w:ascii="Open Sans" w:hAnsi="Open Sans" w:cs="Open Sans"/>
          <w:sz w:val="20"/>
          <w:szCs w:val="20"/>
        </w:rPr>
      </w:pPr>
    </w:p>
    <w:p w14:paraId="23249823"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La postura de </w:t>
      </w:r>
      <w:r>
        <w:rPr>
          <w:rFonts w:ascii="Open Sans" w:hAnsi="Open Sans" w:cs="Open Sans"/>
          <w:sz w:val="20"/>
          <w:szCs w:val="20"/>
        </w:rPr>
        <w:t>GNF</w:t>
      </w:r>
      <w:r w:rsidRPr="00DD3371">
        <w:rPr>
          <w:rFonts w:ascii="Open Sans" w:hAnsi="Open Sans" w:cs="Open Sans"/>
          <w:sz w:val="20"/>
          <w:szCs w:val="20"/>
        </w:rPr>
        <w:t xml:space="preserve"> respecto a los paraísos o nichos fiscales se basa en la legislación española, y en concreto en Real Decreto 1080/1991, de 5 de julio y Real Decreto 116/2003, de 31 de enero. Atendiendo a la lista de paraísos fiscales del Observatorio de Responsabilidad Social Corporativa (OBRSC), el número de paraísos</w:t>
      </w:r>
      <w:r>
        <w:rPr>
          <w:rFonts w:ascii="Open Sans" w:hAnsi="Open Sans" w:cs="Open Sans"/>
          <w:sz w:val="20"/>
          <w:szCs w:val="20"/>
        </w:rPr>
        <w:t xml:space="preserve"> o nichos </w:t>
      </w:r>
      <w:r w:rsidRPr="00DD3371">
        <w:rPr>
          <w:rFonts w:ascii="Open Sans" w:hAnsi="Open Sans" w:cs="Open Sans"/>
          <w:sz w:val="20"/>
          <w:szCs w:val="20"/>
        </w:rPr>
        <w:t xml:space="preserve"> fiscales en los que Gas Natural tiene presencia </w:t>
      </w:r>
      <w:r>
        <w:rPr>
          <w:rFonts w:ascii="Open Sans" w:hAnsi="Open Sans" w:cs="Open Sans"/>
          <w:sz w:val="20"/>
          <w:szCs w:val="20"/>
        </w:rPr>
        <w:t xml:space="preserve">es de </w:t>
      </w:r>
      <w:r w:rsidRPr="00DD3371">
        <w:rPr>
          <w:rFonts w:ascii="Open Sans" w:hAnsi="Open Sans" w:cs="Open Sans"/>
          <w:sz w:val="20"/>
          <w:szCs w:val="20"/>
        </w:rPr>
        <w:t>31</w:t>
      </w:r>
      <w:r>
        <w:rPr>
          <w:rFonts w:ascii="Open Sans" w:hAnsi="Open Sans" w:cs="Open Sans"/>
          <w:sz w:val="20"/>
          <w:szCs w:val="20"/>
        </w:rPr>
        <w:t xml:space="preserve"> sociedades</w:t>
      </w:r>
      <w:r w:rsidRPr="00DD3371">
        <w:rPr>
          <w:rFonts w:ascii="Open Sans" w:hAnsi="Open Sans" w:cs="Open Sans"/>
          <w:sz w:val="20"/>
          <w:szCs w:val="20"/>
        </w:rPr>
        <w:t xml:space="preserve">. </w:t>
      </w:r>
      <w:r>
        <w:rPr>
          <w:rFonts w:ascii="Open Sans" w:hAnsi="Open Sans" w:cs="Open Sans"/>
          <w:sz w:val="20"/>
          <w:szCs w:val="20"/>
        </w:rPr>
        <w:t>L</w:t>
      </w:r>
      <w:r w:rsidRPr="00DD3371">
        <w:rPr>
          <w:rFonts w:ascii="Open Sans" w:hAnsi="Open Sans" w:cs="Open Sans"/>
          <w:sz w:val="20"/>
          <w:szCs w:val="20"/>
        </w:rPr>
        <w:t xml:space="preserve">a compañía ha dejado de estar presente </w:t>
      </w:r>
      <w:r>
        <w:rPr>
          <w:rFonts w:ascii="Open Sans" w:hAnsi="Open Sans" w:cs="Open Sans"/>
          <w:sz w:val="20"/>
          <w:szCs w:val="20"/>
        </w:rPr>
        <w:t xml:space="preserve">en 2015 </w:t>
      </w:r>
      <w:r w:rsidRPr="00DD3371">
        <w:rPr>
          <w:rFonts w:ascii="Open Sans" w:hAnsi="Open Sans" w:cs="Open Sans"/>
          <w:sz w:val="20"/>
          <w:szCs w:val="20"/>
        </w:rPr>
        <w:t xml:space="preserve">en Jersey y ha reducido su presencia en las islas Caimán. </w:t>
      </w:r>
    </w:p>
    <w:p w14:paraId="4DED4876" w14:textId="77777777" w:rsidR="00A1554D" w:rsidRPr="00DD3371" w:rsidRDefault="00A1554D" w:rsidP="00A1554D">
      <w:pPr>
        <w:jc w:val="both"/>
        <w:rPr>
          <w:rFonts w:ascii="Open Sans" w:hAnsi="Open Sans" w:cs="Open Sans"/>
          <w:sz w:val="20"/>
          <w:szCs w:val="20"/>
        </w:rPr>
      </w:pPr>
    </w:p>
    <w:p w14:paraId="2301B73A"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La presencia de empresas internacionales en territorios considerados paraísos </w:t>
      </w:r>
      <w:r>
        <w:rPr>
          <w:rFonts w:ascii="Open Sans" w:hAnsi="Open Sans" w:cs="Open Sans"/>
          <w:sz w:val="20"/>
          <w:szCs w:val="20"/>
        </w:rPr>
        <w:t xml:space="preserve">(5) </w:t>
      </w:r>
      <w:r w:rsidRPr="00DD3371">
        <w:rPr>
          <w:rFonts w:ascii="Open Sans" w:hAnsi="Open Sans" w:cs="Open Sans"/>
          <w:sz w:val="20"/>
          <w:szCs w:val="20"/>
        </w:rPr>
        <w:t xml:space="preserve">o nichos fiscales </w:t>
      </w:r>
      <w:r>
        <w:rPr>
          <w:rFonts w:ascii="Open Sans" w:hAnsi="Open Sans" w:cs="Open Sans"/>
          <w:sz w:val="20"/>
          <w:szCs w:val="20"/>
        </w:rPr>
        <w:t xml:space="preserve">(26) </w:t>
      </w:r>
      <w:r w:rsidRPr="00DD3371">
        <w:rPr>
          <w:rFonts w:ascii="Open Sans" w:hAnsi="Open Sans" w:cs="Open Sans"/>
          <w:sz w:val="20"/>
          <w:szCs w:val="20"/>
        </w:rPr>
        <w:t xml:space="preserve">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 La siguiente tabla informa sobre las sociedades de </w:t>
      </w:r>
      <w:r>
        <w:rPr>
          <w:rFonts w:ascii="Open Sans" w:hAnsi="Open Sans" w:cs="Open Sans"/>
          <w:sz w:val="20"/>
          <w:szCs w:val="20"/>
        </w:rPr>
        <w:t>GNF</w:t>
      </w:r>
      <w:r w:rsidRPr="00DD3371">
        <w:rPr>
          <w:rFonts w:ascii="Open Sans" w:hAnsi="Open Sans" w:cs="Open Sans"/>
          <w:sz w:val="20"/>
          <w:szCs w:val="20"/>
        </w:rPr>
        <w:t xml:space="preserve"> en los 12 paraísos </w:t>
      </w:r>
      <w:r>
        <w:rPr>
          <w:rFonts w:ascii="Open Sans" w:hAnsi="Open Sans" w:cs="Open Sans"/>
          <w:sz w:val="20"/>
          <w:szCs w:val="20"/>
        </w:rPr>
        <w:t xml:space="preserve">o nichos </w:t>
      </w:r>
      <w:r w:rsidRPr="00DD3371">
        <w:rPr>
          <w:rFonts w:ascii="Open Sans" w:hAnsi="Open Sans" w:cs="Open Sans"/>
          <w:sz w:val="20"/>
          <w:szCs w:val="20"/>
        </w:rPr>
        <w:t xml:space="preserve">fiscales en los que tiene presencia. </w:t>
      </w:r>
    </w:p>
    <w:p w14:paraId="6B96E879" w14:textId="77777777" w:rsidR="00A1554D" w:rsidRPr="00DD3371" w:rsidRDefault="00A1554D" w:rsidP="00A1554D">
      <w:pPr>
        <w:jc w:val="both"/>
        <w:rPr>
          <w:rFonts w:ascii="Open Sans" w:hAnsi="Open Sans" w:cs="Open Sans"/>
          <w:sz w:val="20"/>
          <w:szCs w:val="20"/>
        </w:rPr>
      </w:pPr>
    </w:p>
    <w:tbl>
      <w:tblPr>
        <w:tblW w:w="850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4"/>
        <w:gridCol w:w="2268"/>
        <w:gridCol w:w="2268"/>
      </w:tblGrid>
      <w:tr w:rsidR="00A1554D" w:rsidRPr="00DD3371" w14:paraId="42ED1140" w14:textId="77777777" w:rsidTr="00903D51">
        <w:trPr>
          <w:trHeight w:val="20"/>
        </w:trPr>
        <w:tc>
          <w:tcPr>
            <w:tcW w:w="3964" w:type="dxa"/>
            <w:shd w:val="clear" w:color="000000" w:fill="D9D9D9"/>
            <w:noWrap/>
            <w:vAlign w:val="center"/>
            <w:hideMark/>
          </w:tcPr>
          <w:p w14:paraId="176158C7" w14:textId="77777777" w:rsidR="00A1554D" w:rsidRPr="00DD3371" w:rsidRDefault="00A1554D" w:rsidP="00903D51">
            <w:pPr>
              <w:jc w:val="center"/>
              <w:rPr>
                <w:rFonts w:ascii="Open Sans" w:hAnsi="Open Sans" w:cs="Open Sans"/>
                <w:b/>
                <w:bCs/>
                <w:color w:val="000000"/>
                <w:sz w:val="20"/>
                <w:szCs w:val="20"/>
                <w:lang w:val="en-US" w:eastAsia="en-US"/>
              </w:rPr>
            </w:pPr>
            <w:r w:rsidRPr="00DD3371">
              <w:rPr>
                <w:rFonts w:ascii="Open Sans" w:hAnsi="Open Sans" w:cs="Open Sans"/>
                <w:b/>
                <w:bCs/>
                <w:color w:val="000000"/>
                <w:sz w:val="20"/>
                <w:szCs w:val="20"/>
                <w:lang w:val="en-US" w:eastAsia="en-US"/>
              </w:rPr>
              <w:t>Nombre de la Sociedad</w:t>
            </w:r>
          </w:p>
        </w:tc>
        <w:tc>
          <w:tcPr>
            <w:tcW w:w="2268" w:type="dxa"/>
            <w:shd w:val="clear" w:color="000000" w:fill="D9D9D9"/>
            <w:noWrap/>
            <w:vAlign w:val="center"/>
            <w:hideMark/>
          </w:tcPr>
          <w:p w14:paraId="0C9796A6" w14:textId="77777777" w:rsidR="00A1554D" w:rsidRPr="00DD3371" w:rsidRDefault="00A1554D" w:rsidP="00903D51">
            <w:pPr>
              <w:jc w:val="center"/>
              <w:rPr>
                <w:rFonts w:ascii="Open Sans" w:hAnsi="Open Sans" w:cs="Open Sans"/>
                <w:b/>
                <w:bCs/>
                <w:color w:val="000000"/>
                <w:sz w:val="20"/>
                <w:szCs w:val="20"/>
                <w:lang w:val="en-US" w:eastAsia="en-US"/>
              </w:rPr>
            </w:pPr>
            <w:r w:rsidRPr="00DD3371">
              <w:rPr>
                <w:rFonts w:ascii="Open Sans" w:hAnsi="Open Sans" w:cs="Open Sans"/>
                <w:b/>
                <w:bCs/>
                <w:color w:val="000000"/>
                <w:sz w:val="20"/>
                <w:szCs w:val="20"/>
                <w:lang w:val="en-US" w:eastAsia="en-US"/>
              </w:rPr>
              <w:t>Jurisdicción</w:t>
            </w:r>
          </w:p>
        </w:tc>
        <w:tc>
          <w:tcPr>
            <w:tcW w:w="2268" w:type="dxa"/>
            <w:shd w:val="clear" w:color="000000" w:fill="D9D9D9"/>
            <w:noWrap/>
            <w:vAlign w:val="center"/>
            <w:hideMark/>
          </w:tcPr>
          <w:p w14:paraId="2E7B154E" w14:textId="77777777" w:rsidR="00A1554D" w:rsidRPr="00DD3371" w:rsidRDefault="00A1554D" w:rsidP="00903D51">
            <w:pPr>
              <w:jc w:val="center"/>
              <w:rPr>
                <w:rFonts w:ascii="Open Sans" w:hAnsi="Open Sans" w:cs="Open Sans"/>
                <w:b/>
                <w:bCs/>
                <w:color w:val="000000"/>
                <w:sz w:val="20"/>
                <w:szCs w:val="20"/>
                <w:lang w:val="en-US" w:eastAsia="en-US"/>
              </w:rPr>
            </w:pPr>
            <w:r w:rsidRPr="00DD3371">
              <w:rPr>
                <w:rFonts w:ascii="Open Sans" w:hAnsi="Open Sans" w:cs="Open Sans"/>
                <w:b/>
                <w:bCs/>
                <w:color w:val="000000"/>
                <w:sz w:val="20"/>
                <w:szCs w:val="20"/>
                <w:lang w:val="en-US" w:eastAsia="en-US"/>
              </w:rPr>
              <w:t>Actividad</w:t>
            </w:r>
          </w:p>
        </w:tc>
      </w:tr>
      <w:tr w:rsidR="00A1554D" w:rsidRPr="00DD3371" w14:paraId="6F1093C3" w14:textId="77777777" w:rsidTr="00903D51">
        <w:trPr>
          <w:trHeight w:val="20"/>
        </w:trPr>
        <w:tc>
          <w:tcPr>
            <w:tcW w:w="3964" w:type="dxa"/>
            <w:shd w:val="clear" w:color="auto" w:fill="auto"/>
            <w:noWrap/>
            <w:vAlign w:val="center"/>
            <w:hideMark/>
          </w:tcPr>
          <w:p w14:paraId="1BBB9BC5"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United Saudi Spanish Power and Gas Services, LLC</w:t>
            </w:r>
          </w:p>
        </w:tc>
        <w:tc>
          <w:tcPr>
            <w:tcW w:w="2268" w:type="dxa"/>
            <w:shd w:val="clear" w:color="auto" w:fill="auto"/>
            <w:noWrap/>
            <w:vAlign w:val="center"/>
            <w:hideMark/>
          </w:tcPr>
          <w:p w14:paraId="07538E0A"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Arabia</w:t>
            </w:r>
            <w:r w:rsidRPr="00DD3371">
              <w:rPr>
                <w:rFonts w:ascii="Open Sans" w:hAnsi="Open Sans" w:cs="Open Sans"/>
                <w:color w:val="000000"/>
                <w:sz w:val="20"/>
                <w:szCs w:val="20"/>
                <w:lang w:eastAsia="en-US"/>
              </w:rPr>
              <w:t xml:space="preserve"> Saudí</w:t>
            </w:r>
          </w:p>
        </w:tc>
        <w:tc>
          <w:tcPr>
            <w:tcW w:w="2268" w:type="dxa"/>
            <w:shd w:val="clear" w:color="auto" w:fill="auto"/>
            <w:noWrap/>
            <w:vAlign w:val="center"/>
            <w:hideMark/>
          </w:tcPr>
          <w:p w14:paraId="2B7CD55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de ingeniería</w:t>
            </w:r>
          </w:p>
        </w:tc>
      </w:tr>
      <w:tr w:rsidR="00A1554D" w:rsidRPr="00DD3371" w14:paraId="29B74DAE" w14:textId="77777777" w:rsidTr="00903D51">
        <w:trPr>
          <w:trHeight w:val="20"/>
        </w:trPr>
        <w:tc>
          <w:tcPr>
            <w:tcW w:w="3964" w:type="dxa"/>
            <w:shd w:val="clear" w:color="auto" w:fill="auto"/>
            <w:noWrap/>
            <w:vAlign w:val="center"/>
            <w:hideMark/>
          </w:tcPr>
          <w:p w14:paraId="6A018C09"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Unión Fenosa Financial Services USA, Llc.</w:t>
            </w:r>
          </w:p>
        </w:tc>
        <w:tc>
          <w:tcPr>
            <w:tcW w:w="2268" w:type="dxa"/>
            <w:shd w:val="clear" w:color="auto" w:fill="auto"/>
            <w:noWrap/>
            <w:vAlign w:val="center"/>
            <w:hideMark/>
          </w:tcPr>
          <w:p w14:paraId="58661A3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EEUU (Delaware)</w:t>
            </w:r>
          </w:p>
        </w:tc>
        <w:tc>
          <w:tcPr>
            <w:tcW w:w="2268" w:type="dxa"/>
            <w:shd w:val="clear" w:color="auto" w:fill="auto"/>
            <w:noWrap/>
            <w:vAlign w:val="center"/>
            <w:hideMark/>
          </w:tcPr>
          <w:p w14:paraId="6007E3B4"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financieros</w:t>
            </w:r>
          </w:p>
        </w:tc>
      </w:tr>
      <w:tr w:rsidR="00A1554D" w:rsidRPr="00DD3371" w14:paraId="0B9F38B7" w14:textId="77777777" w:rsidTr="00903D51">
        <w:trPr>
          <w:trHeight w:val="20"/>
        </w:trPr>
        <w:tc>
          <w:tcPr>
            <w:tcW w:w="3964" w:type="dxa"/>
            <w:shd w:val="clear" w:color="auto" w:fill="auto"/>
            <w:vAlign w:val="center"/>
            <w:hideMark/>
          </w:tcPr>
          <w:p w14:paraId="782BC527"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 xml:space="preserve">Gas Natural Fenosa Ingeniería y Desarroll de Gen., S.A. </w:t>
            </w:r>
          </w:p>
        </w:tc>
        <w:tc>
          <w:tcPr>
            <w:tcW w:w="2268" w:type="dxa"/>
            <w:shd w:val="clear" w:color="auto" w:fill="auto"/>
            <w:noWrap/>
            <w:vAlign w:val="center"/>
            <w:hideMark/>
          </w:tcPr>
          <w:p w14:paraId="42376B2B"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Guatemala</w:t>
            </w:r>
          </w:p>
        </w:tc>
        <w:tc>
          <w:tcPr>
            <w:tcW w:w="2268" w:type="dxa"/>
            <w:shd w:val="clear" w:color="auto" w:fill="auto"/>
            <w:noWrap/>
            <w:vAlign w:val="center"/>
            <w:hideMark/>
          </w:tcPr>
          <w:p w14:paraId="63173027"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de ingeniería</w:t>
            </w:r>
          </w:p>
        </w:tc>
      </w:tr>
      <w:tr w:rsidR="00A1554D" w:rsidRPr="00DD3371" w14:paraId="6D8CC922" w14:textId="77777777" w:rsidTr="00903D51">
        <w:trPr>
          <w:trHeight w:val="20"/>
        </w:trPr>
        <w:tc>
          <w:tcPr>
            <w:tcW w:w="3964" w:type="dxa"/>
            <w:shd w:val="clear" w:color="auto" w:fill="auto"/>
            <w:noWrap/>
            <w:vAlign w:val="center"/>
            <w:hideMark/>
          </w:tcPr>
          <w:p w14:paraId="764F7136"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Clover Financial &amp; Treasury Services, Ltd.</w:t>
            </w:r>
          </w:p>
        </w:tc>
        <w:tc>
          <w:tcPr>
            <w:tcW w:w="2268" w:type="dxa"/>
            <w:shd w:val="clear" w:color="auto" w:fill="auto"/>
            <w:noWrap/>
            <w:vAlign w:val="center"/>
            <w:hideMark/>
          </w:tcPr>
          <w:p w14:paraId="60B70F50"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Irlanda</w:t>
            </w:r>
          </w:p>
        </w:tc>
        <w:tc>
          <w:tcPr>
            <w:tcW w:w="2268" w:type="dxa"/>
            <w:shd w:val="clear" w:color="auto" w:fill="auto"/>
            <w:noWrap/>
            <w:vAlign w:val="center"/>
            <w:hideMark/>
          </w:tcPr>
          <w:p w14:paraId="69D3631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financieros</w:t>
            </w:r>
          </w:p>
        </w:tc>
      </w:tr>
      <w:tr w:rsidR="00A1554D" w:rsidRPr="00DD3371" w14:paraId="56BD3E50" w14:textId="77777777" w:rsidTr="00903D51">
        <w:trPr>
          <w:trHeight w:val="20"/>
        </w:trPr>
        <w:tc>
          <w:tcPr>
            <w:tcW w:w="3964" w:type="dxa"/>
            <w:shd w:val="clear" w:color="auto" w:fill="auto"/>
            <w:noWrap/>
            <w:vAlign w:val="center"/>
            <w:hideMark/>
          </w:tcPr>
          <w:p w14:paraId="4D0D1982"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Gasoducto del Pacífico (Cayman) Ltd</w:t>
            </w:r>
          </w:p>
        </w:tc>
        <w:tc>
          <w:tcPr>
            <w:tcW w:w="2268" w:type="dxa"/>
            <w:shd w:val="clear" w:color="auto" w:fill="auto"/>
            <w:noWrap/>
            <w:vAlign w:val="center"/>
            <w:hideMark/>
          </w:tcPr>
          <w:p w14:paraId="0A98695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Islas Caimán</w:t>
            </w:r>
          </w:p>
        </w:tc>
        <w:tc>
          <w:tcPr>
            <w:tcW w:w="2268" w:type="dxa"/>
            <w:shd w:val="clear" w:color="auto" w:fill="auto"/>
            <w:noWrap/>
            <w:vAlign w:val="center"/>
            <w:hideMark/>
          </w:tcPr>
          <w:p w14:paraId="140D2125"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Infraestructrura de Gas</w:t>
            </w:r>
          </w:p>
        </w:tc>
      </w:tr>
      <w:tr w:rsidR="00A1554D" w:rsidRPr="00DD3371" w14:paraId="62E8B25C" w14:textId="77777777" w:rsidTr="00903D51">
        <w:trPr>
          <w:trHeight w:val="20"/>
        </w:trPr>
        <w:tc>
          <w:tcPr>
            <w:tcW w:w="3964" w:type="dxa"/>
            <w:shd w:val="clear" w:color="auto" w:fill="auto"/>
            <w:noWrap/>
            <w:vAlign w:val="center"/>
            <w:hideMark/>
          </w:tcPr>
          <w:p w14:paraId="350C73E8"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Buenergía Gas &amp; Power, Ltd.</w:t>
            </w:r>
          </w:p>
        </w:tc>
        <w:tc>
          <w:tcPr>
            <w:tcW w:w="2268" w:type="dxa"/>
            <w:shd w:val="clear" w:color="auto" w:fill="auto"/>
            <w:noWrap/>
            <w:vAlign w:val="center"/>
            <w:hideMark/>
          </w:tcPr>
          <w:p w14:paraId="39C753E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Islas Caimán</w:t>
            </w:r>
          </w:p>
        </w:tc>
        <w:tc>
          <w:tcPr>
            <w:tcW w:w="2268" w:type="dxa"/>
            <w:shd w:val="clear" w:color="auto" w:fill="auto"/>
            <w:noWrap/>
            <w:vAlign w:val="center"/>
            <w:hideMark/>
          </w:tcPr>
          <w:p w14:paraId="2EEA05AE"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7AEB74BF" w14:textId="77777777" w:rsidTr="00903D51">
        <w:trPr>
          <w:trHeight w:val="20"/>
        </w:trPr>
        <w:tc>
          <w:tcPr>
            <w:tcW w:w="3964" w:type="dxa"/>
            <w:shd w:val="clear" w:color="auto" w:fill="auto"/>
            <w:noWrap/>
            <w:vAlign w:val="center"/>
            <w:hideMark/>
          </w:tcPr>
          <w:p w14:paraId="140F5E9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EcoEléctrica Holding, Ltd.</w:t>
            </w:r>
          </w:p>
        </w:tc>
        <w:tc>
          <w:tcPr>
            <w:tcW w:w="2268" w:type="dxa"/>
            <w:shd w:val="clear" w:color="auto" w:fill="auto"/>
            <w:noWrap/>
            <w:vAlign w:val="center"/>
            <w:hideMark/>
          </w:tcPr>
          <w:p w14:paraId="2CABD724"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Islas Caimán</w:t>
            </w:r>
          </w:p>
        </w:tc>
        <w:tc>
          <w:tcPr>
            <w:tcW w:w="2268" w:type="dxa"/>
            <w:shd w:val="clear" w:color="auto" w:fill="auto"/>
            <w:noWrap/>
            <w:vAlign w:val="center"/>
            <w:hideMark/>
          </w:tcPr>
          <w:p w14:paraId="57693A39"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4FAE3A23" w14:textId="77777777" w:rsidTr="00903D51">
        <w:trPr>
          <w:trHeight w:val="20"/>
        </w:trPr>
        <w:tc>
          <w:tcPr>
            <w:tcW w:w="3964" w:type="dxa"/>
            <w:shd w:val="clear" w:color="auto" w:fill="auto"/>
            <w:noWrap/>
            <w:vAlign w:val="center"/>
            <w:hideMark/>
          </w:tcPr>
          <w:p w14:paraId="35EAADA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EcoEléctrica Limited</w:t>
            </w:r>
          </w:p>
        </w:tc>
        <w:tc>
          <w:tcPr>
            <w:tcW w:w="2268" w:type="dxa"/>
            <w:shd w:val="clear" w:color="auto" w:fill="auto"/>
            <w:noWrap/>
            <w:vAlign w:val="center"/>
            <w:hideMark/>
          </w:tcPr>
          <w:p w14:paraId="07140F6C"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Islas Caimán</w:t>
            </w:r>
          </w:p>
        </w:tc>
        <w:tc>
          <w:tcPr>
            <w:tcW w:w="2268" w:type="dxa"/>
            <w:shd w:val="clear" w:color="auto" w:fill="auto"/>
            <w:noWrap/>
            <w:vAlign w:val="center"/>
            <w:hideMark/>
          </w:tcPr>
          <w:p w14:paraId="27A06778"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4A1CE753" w14:textId="77777777" w:rsidTr="00903D51">
        <w:trPr>
          <w:trHeight w:val="20"/>
        </w:trPr>
        <w:tc>
          <w:tcPr>
            <w:tcW w:w="3964" w:type="dxa"/>
            <w:shd w:val="clear" w:color="auto" w:fill="auto"/>
            <w:noWrap/>
            <w:vAlign w:val="center"/>
            <w:hideMark/>
          </w:tcPr>
          <w:p w14:paraId="69F93EDB"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Natural Re, S.A.</w:t>
            </w:r>
          </w:p>
        </w:tc>
        <w:tc>
          <w:tcPr>
            <w:tcW w:w="2268" w:type="dxa"/>
            <w:shd w:val="clear" w:color="auto" w:fill="auto"/>
            <w:noWrap/>
            <w:vAlign w:val="center"/>
            <w:hideMark/>
          </w:tcPr>
          <w:p w14:paraId="19ED5837"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Luxemburgo</w:t>
            </w:r>
          </w:p>
        </w:tc>
        <w:tc>
          <w:tcPr>
            <w:tcW w:w="2268" w:type="dxa"/>
            <w:shd w:val="clear" w:color="auto" w:fill="auto"/>
            <w:noWrap/>
            <w:vAlign w:val="center"/>
            <w:hideMark/>
          </w:tcPr>
          <w:p w14:paraId="415DE4BC"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Seguros</w:t>
            </w:r>
          </w:p>
        </w:tc>
      </w:tr>
      <w:tr w:rsidR="00A1554D" w:rsidRPr="00DD3371" w14:paraId="6A1A8B37" w14:textId="77777777" w:rsidTr="00903D51">
        <w:trPr>
          <w:trHeight w:val="20"/>
        </w:trPr>
        <w:tc>
          <w:tcPr>
            <w:tcW w:w="3964" w:type="dxa"/>
            <w:shd w:val="clear" w:color="auto" w:fill="auto"/>
            <w:noWrap/>
            <w:vAlign w:val="center"/>
            <w:hideMark/>
          </w:tcPr>
          <w:p w14:paraId="51E32BA0"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Qalhat LNG S.A.O.C.</w:t>
            </w:r>
          </w:p>
        </w:tc>
        <w:tc>
          <w:tcPr>
            <w:tcW w:w="2268" w:type="dxa"/>
            <w:shd w:val="clear" w:color="auto" w:fill="auto"/>
            <w:noWrap/>
            <w:vAlign w:val="center"/>
            <w:hideMark/>
          </w:tcPr>
          <w:p w14:paraId="130D761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Omán</w:t>
            </w:r>
          </w:p>
        </w:tc>
        <w:tc>
          <w:tcPr>
            <w:tcW w:w="2268" w:type="dxa"/>
            <w:shd w:val="clear" w:color="auto" w:fill="auto"/>
            <w:noWrap/>
            <w:vAlign w:val="center"/>
            <w:hideMark/>
          </w:tcPr>
          <w:p w14:paraId="0678F9F9"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Infraestructuras de gas</w:t>
            </w:r>
          </w:p>
        </w:tc>
      </w:tr>
      <w:tr w:rsidR="00A1554D" w:rsidRPr="00DD3371" w14:paraId="354678DB" w14:textId="77777777" w:rsidTr="00903D51">
        <w:trPr>
          <w:trHeight w:val="20"/>
        </w:trPr>
        <w:tc>
          <w:tcPr>
            <w:tcW w:w="3964" w:type="dxa"/>
            <w:shd w:val="clear" w:color="auto" w:fill="auto"/>
            <w:noWrap/>
            <w:vAlign w:val="center"/>
            <w:hideMark/>
          </w:tcPr>
          <w:p w14:paraId="175B9AF1"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Gas Natural Fenosa Finance B.V.</w:t>
            </w:r>
          </w:p>
        </w:tc>
        <w:tc>
          <w:tcPr>
            <w:tcW w:w="2268" w:type="dxa"/>
            <w:shd w:val="clear" w:color="auto" w:fill="auto"/>
            <w:noWrap/>
            <w:vAlign w:val="center"/>
            <w:hideMark/>
          </w:tcPr>
          <w:p w14:paraId="3053E0D9"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Países Bajos (Holanda)</w:t>
            </w:r>
          </w:p>
        </w:tc>
        <w:tc>
          <w:tcPr>
            <w:tcW w:w="2268" w:type="dxa"/>
            <w:shd w:val="clear" w:color="auto" w:fill="auto"/>
            <w:noWrap/>
            <w:vAlign w:val="center"/>
            <w:hideMark/>
          </w:tcPr>
          <w:p w14:paraId="1CE5C1BF"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financieros</w:t>
            </w:r>
          </w:p>
        </w:tc>
      </w:tr>
      <w:tr w:rsidR="00A1554D" w:rsidRPr="00DD3371" w14:paraId="335F6146" w14:textId="77777777" w:rsidTr="00903D51">
        <w:trPr>
          <w:trHeight w:val="20"/>
        </w:trPr>
        <w:tc>
          <w:tcPr>
            <w:tcW w:w="3964" w:type="dxa"/>
            <w:shd w:val="clear" w:color="auto" w:fill="auto"/>
            <w:noWrap/>
            <w:vAlign w:val="center"/>
            <w:hideMark/>
          </w:tcPr>
          <w:p w14:paraId="6B973370"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Gas Natural Fenosa Minería, B.V.</w:t>
            </w:r>
          </w:p>
        </w:tc>
        <w:tc>
          <w:tcPr>
            <w:tcW w:w="2268" w:type="dxa"/>
            <w:shd w:val="clear" w:color="auto" w:fill="auto"/>
            <w:noWrap/>
            <w:vAlign w:val="center"/>
            <w:hideMark/>
          </w:tcPr>
          <w:p w14:paraId="229D2D46"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Países Bajos (Holanda)</w:t>
            </w:r>
          </w:p>
        </w:tc>
        <w:tc>
          <w:tcPr>
            <w:tcW w:w="2268" w:type="dxa"/>
            <w:shd w:val="clear" w:color="auto" w:fill="auto"/>
            <w:noWrap/>
            <w:vAlign w:val="center"/>
            <w:hideMark/>
          </w:tcPr>
          <w:p w14:paraId="02DEAB54"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76F46D5C" w14:textId="77777777" w:rsidTr="00903D51">
        <w:trPr>
          <w:trHeight w:val="20"/>
        </w:trPr>
        <w:tc>
          <w:tcPr>
            <w:tcW w:w="3964" w:type="dxa"/>
            <w:shd w:val="clear" w:color="auto" w:fill="auto"/>
            <w:noWrap/>
            <w:vAlign w:val="center"/>
            <w:hideMark/>
          </w:tcPr>
          <w:p w14:paraId="6D239744"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GPG México Wind, B.V.</w:t>
            </w:r>
          </w:p>
        </w:tc>
        <w:tc>
          <w:tcPr>
            <w:tcW w:w="2268" w:type="dxa"/>
            <w:shd w:val="clear" w:color="auto" w:fill="auto"/>
            <w:noWrap/>
            <w:vAlign w:val="center"/>
            <w:hideMark/>
          </w:tcPr>
          <w:p w14:paraId="096EFE9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Países Bajos (Holanda)</w:t>
            </w:r>
          </w:p>
        </w:tc>
        <w:tc>
          <w:tcPr>
            <w:tcW w:w="2268" w:type="dxa"/>
            <w:shd w:val="clear" w:color="auto" w:fill="auto"/>
            <w:noWrap/>
            <w:vAlign w:val="center"/>
            <w:hideMark/>
          </w:tcPr>
          <w:p w14:paraId="0228EC0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534955BF" w14:textId="77777777" w:rsidTr="00903D51">
        <w:trPr>
          <w:trHeight w:val="20"/>
        </w:trPr>
        <w:tc>
          <w:tcPr>
            <w:tcW w:w="3964" w:type="dxa"/>
            <w:shd w:val="clear" w:color="auto" w:fill="auto"/>
            <w:noWrap/>
            <w:vAlign w:val="center"/>
            <w:hideMark/>
          </w:tcPr>
          <w:p w14:paraId="1A145CEF"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GPG México, B.V.</w:t>
            </w:r>
          </w:p>
        </w:tc>
        <w:tc>
          <w:tcPr>
            <w:tcW w:w="2268" w:type="dxa"/>
            <w:shd w:val="clear" w:color="auto" w:fill="auto"/>
            <w:noWrap/>
            <w:vAlign w:val="center"/>
            <w:hideMark/>
          </w:tcPr>
          <w:p w14:paraId="1A3E06A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Países Bajos (Holanda)</w:t>
            </w:r>
          </w:p>
        </w:tc>
        <w:tc>
          <w:tcPr>
            <w:tcW w:w="2268" w:type="dxa"/>
            <w:shd w:val="clear" w:color="auto" w:fill="auto"/>
            <w:noWrap/>
            <w:vAlign w:val="center"/>
            <w:hideMark/>
          </w:tcPr>
          <w:p w14:paraId="5891251B"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0946BDCC" w14:textId="77777777" w:rsidTr="00903D51">
        <w:trPr>
          <w:trHeight w:val="20"/>
        </w:trPr>
        <w:tc>
          <w:tcPr>
            <w:tcW w:w="3964" w:type="dxa"/>
            <w:shd w:val="clear" w:color="auto" w:fill="auto"/>
            <w:noWrap/>
            <w:vAlign w:val="center"/>
            <w:hideMark/>
          </w:tcPr>
          <w:p w14:paraId="3F6B7187"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Unión Fenosa Gas Infraestructures B.V.</w:t>
            </w:r>
          </w:p>
        </w:tc>
        <w:tc>
          <w:tcPr>
            <w:tcW w:w="2268" w:type="dxa"/>
            <w:shd w:val="clear" w:color="auto" w:fill="auto"/>
            <w:noWrap/>
            <w:vAlign w:val="center"/>
            <w:hideMark/>
          </w:tcPr>
          <w:p w14:paraId="17EF2C86"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Países Bajos (Holanda)</w:t>
            </w:r>
          </w:p>
        </w:tc>
        <w:tc>
          <w:tcPr>
            <w:tcW w:w="2268" w:type="dxa"/>
            <w:shd w:val="clear" w:color="auto" w:fill="auto"/>
            <w:noWrap/>
            <w:vAlign w:val="center"/>
            <w:hideMark/>
          </w:tcPr>
          <w:p w14:paraId="4D8BDA69"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45A46D32" w14:textId="77777777" w:rsidTr="00903D51">
        <w:trPr>
          <w:trHeight w:val="20"/>
        </w:trPr>
        <w:tc>
          <w:tcPr>
            <w:tcW w:w="3964" w:type="dxa"/>
            <w:shd w:val="clear" w:color="auto" w:fill="auto"/>
            <w:vAlign w:val="center"/>
            <w:hideMark/>
          </w:tcPr>
          <w:p w14:paraId="79EBF1CE"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Empresa de Distribución Electrica Chiriqui, S.A.</w:t>
            </w:r>
          </w:p>
        </w:tc>
        <w:tc>
          <w:tcPr>
            <w:tcW w:w="2268" w:type="dxa"/>
            <w:shd w:val="clear" w:color="auto" w:fill="auto"/>
            <w:noWrap/>
            <w:vAlign w:val="center"/>
            <w:hideMark/>
          </w:tcPr>
          <w:p w14:paraId="6BA85C9A"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Panamá</w:t>
            </w:r>
          </w:p>
        </w:tc>
        <w:tc>
          <w:tcPr>
            <w:tcW w:w="2268" w:type="dxa"/>
            <w:shd w:val="clear" w:color="auto" w:fill="auto"/>
            <w:noWrap/>
            <w:vAlign w:val="center"/>
            <w:hideMark/>
          </w:tcPr>
          <w:p w14:paraId="34F56806"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Distribuidora de electricidad</w:t>
            </w:r>
          </w:p>
        </w:tc>
      </w:tr>
      <w:tr w:rsidR="00A1554D" w:rsidRPr="00DD3371" w14:paraId="64942FAD" w14:textId="77777777" w:rsidTr="00903D51">
        <w:trPr>
          <w:trHeight w:val="20"/>
        </w:trPr>
        <w:tc>
          <w:tcPr>
            <w:tcW w:w="3964" w:type="dxa"/>
            <w:shd w:val="clear" w:color="auto" w:fill="auto"/>
            <w:vAlign w:val="center"/>
            <w:hideMark/>
          </w:tcPr>
          <w:p w14:paraId="4FFDE7C9"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Empresa de Distribución Electrica Metro Oeste, S.A.</w:t>
            </w:r>
          </w:p>
        </w:tc>
        <w:tc>
          <w:tcPr>
            <w:tcW w:w="2268" w:type="dxa"/>
            <w:shd w:val="clear" w:color="auto" w:fill="auto"/>
            <w:noWrap/>
            <w:vAlign w:val="center"/>
            <w:hideMark/>
          </w:tcPr>
          <w:p w14:paraId="5AB1F4F1"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Panamá</w:t>
            </w:r>
          </w:p>
        </w:tc>
        <w:tc>
          <w:tcPr>
            <w:tcW w:w="2268" w:type="dxa"/>
            <w:shd w:val="clear" w:color="auto" w:fill="auto"/>
            <w:noWrap/>
            <w:vAlign w:val="center"/>
            <w:hideMark/>
          </w:tcPr>
          <w:p w14:paraId="780EA31B"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Distribuidora de electricidad</w:t>
            </w:r>
          </w:p>
        </w:tc>
      </w:tr>
      <w:tr w:rsidR="00A1554D" w:rsidRPr="00DD3371" w14:paraId="63687C26" w14:textId="77777777" w:rsidTr="00903D51">
        <w:trPr>
          <w:trHeight w:val="20"/>
        </w:trPr>
        <w:tc>
          <w:tcPr>
            <w:tcW w:w="3964" w:type="dxa"/>
            <w:shd w:val="clear" w:color="auto" w:fill="auto"/>
            <w:noWrap/>
            <w:vAlign w:val="center"/>
            <w:hideMark/>
          </w:tcPr>
          <w:p w14:paraId="23F5FD34"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Energía y Servicios de Panamá, S.A.</w:t>
            </w:r>
          </w:p>
        </w:tc>
        <w:tc>
          <w:tcPr>
            <w:tcW w:w="2268" w:type="dxa"/>
            <w:shd w:val="clear" w:color="auto" w:fill="auto"/>
            <w:noWrap/>
            <w:vAlign w:val="center"/>
            <w:hideMark/>
          </w:tcPr>
          <w:p w14:paraId="2EFF894F"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Panamá</w:t>
            </w:r>
          </w:p>
        </w:tc>
        <w:tc>
          <w:tcPr>
            <w:tcW w:w="2268" w:type="dxa"/>
            <w:shd w:val="clear" w:color="auto" w:fill="auto"/>
            <w:noWrap/>
            <w:vAlign w:val="center"/>
            <w:hideMark/>
          </w:tcPr>
          <w:p w14:paraId="1C43783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Generación de electricidad</w:t>
            </w:r>
          </w:p>
        </w:tc>
      </w:tr>
      <w:tr w:rsidR="00A1554D" w:rsidRPr="00DD3371" w14:paraId="2E4E8665" w14:textId="77777777" w:rsidTr="00903D51">
        <w:trPr>
          <w:trHeight w:val="20"/>
        </w:trPr>
        <w:tc>
          <w:tcPr>
            <w:tcW w:w="3964" w:type="dxa"/>
            <w:shd w:val="clear" w:color="auto" w:fill="auto"/>
            <w:noWrap/>
            <w:vAlign w:val="center"/>
            <w:hideMark/>
          </w:tcPr>
          <w:p w14:paraId="3A6F9C4A"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Gas Natural Fenosa Servicios Pan., S.A.</w:t>
            </w:r>
          </w:p>
        </w:tc>
        <w:tc>
          <w:tcPr>
            <w:tcW w:w="2268" w:type="dxa"/>
            <w:shd w:val="clear" w:color="auto" w:fill="auto"/>
            <w:noWrap/>
            <w:vAlign w:val="center"/>
            <w:hideMark/>
          </w:tcPr>
          <w:p w14:paraId="66CB9E98"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Panamá</w:t>
            </w:r>
          </w:p>
        </w:tc>
        <w:tc>
          <w:tcPr>
            <w:tcW w:w="2268" w:type="dxa"/>
            <w:shd w:val="clear" w:color="auto" w:fill="auto"/>
            <w:noWrap/>
            <w:vAlign w:val="center"/>
            <w:hideMark/>
          </w:tcPr>
          <w:p w14:paraId="2C9013A6"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w:t>
            </w:r>
          </w:p>
        </w:tc>
      </w:tr>
      <w:tr w:rsidR="00A1554D" w:rsidRPr="00DD3371" w14:paraId="022F6A2D" w14:textId="77777777" w:rsidTr="00903D51">
        <w:trPr>
          <w:trHeight w:val="20"/>
        </w:trPr>
        <w:tc>
          <w:tcPr>
            <w:tcW w:w="3964" w:type="dxa"/>
            <w:shd w:val="clear" w:color="auto" w:fill="auto"/>
            <w:noWrap/>
            <w:vAlign w:val="center"/>
            <w:hideMark/>
          </w:tcPr>
          <w:p w14:paraId="1586A849"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CER's Commercial Corp</w:t>
            </w:r>
          </w:p>
        </w:tc>
        <w:tc>
          <w:tcPr>
            <w:tcW w:w="2268" w:type="dxa"/>
            <w:shd w:val="clear" w:color="auto" w:fill="auto"/>
            <w:noWrap/>
            <w:vAlign w:val="center"/>
            <w:hideMark/>
          </w:tcPr>
          <w:p w14:paraId="69F2B8F5"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Panamá</w:t>
            </w:r>
          </w:p>
        </w:tc>
        <w:tc>
          <w:tcPr>
            <w:tcW w:w="2268" w:type="dxa"/>
            <w:shd w:val="clear" w:color="auto" w:fill="auto"/>
            <w:noWrap/>
            <w:vAlign w:val="center"/>
            <w:hideMark/>
          </w:tcPr>
          <w:p w14:paraId="1FAE70F0"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w:t>
            </w:r>
          </w:p>
        </w:tc>
      </w:tr>
      <w:tr w:rsidR="00A1554D" w:rsidRPr="00DD3371" w14:paraId="7035774B" w14:textId="77777777" w:rsidTr="00903D51">
        <w:trPr>
          <w:trHeight w:val="20"/>
        </w:trPr>
        <w:tc>
          <w:tcPr>
            <w:tcW w:w="3964" w:type="dxa"/>
            <w:shd w:val="clear" w:color="auto" w:fill="auto"/>
            <w:noWrap/>
            <w:vAlign w:val="center"/>
            <w:hideMark/>
          </w:tcPr>
          <w:p w14:paraId="700902A8"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Gas Natural Fenosa Engineering Pan. S.A.</w:t>
            </w:r>
          </w:p>
        </w:tc>
        <w:tc>
          <w:tcPr>
            <w:tcW w:w="2268" w:type="dxa"/>
            <w:shd w:val="clear" w:color="auto" w:fill="auto"/>
            <w:noWrap/>
            <w:vAlign w:val="center"/>
            <w:hideMark/>
          </w:tcPr>
          <w:p w14:paraId="24B7DDB9"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Panamá</w:t>
            </w:r>
          </w:p>
        </w:tc>
        <w:tc>
          <w:tcPr>
            <w:tcW w:w="2268" w:type="dxa"/>
            <w:shd w:val="clear" w:color="auto" w:fill="auto"/>
            <w:noWrap/>
            <w:vAlign w:val="center"/>
            <w:hideMark/>
          </w:tcPr>
          <w:p w14:paraId="3CC1C1D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de ingeniería</w:t>
            </w:r>
          </w:p>
        </w:tc>
      </w:tr>
      <w:tr w:rsidR="00A1554D" w:rsidRPr="00DD3371" w14:paraId="090C6CC1" w14:textId="77777777" w:rsidTr="00903D51">
        <w:trPr>
          <w:trHeight w:val="20"/>
        </w:trPr>
        <w:tc>
          <w:tcPr>
            <w:tcW w:w="3964" w:type="dxa"/>
            <w:shd w:val="clear" w:color="auto" w:fill="auto"/>
            <w:noWrap/>
            <w:vAlign w:val="center"/>
            <w:hideMark/>
          </w:tcPr>
          <w:p w14:paraId="4E2E6890"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Distribuidora Eléctrica de Caribe, S.A.</w:t>
            </w:r>
          </w:p>
        </w:tc>
        <w:tc>
          <w:tcPr>
            <w:tcW w:w="2268" w:type="dxa"/>
            <w:shd w:val="clear" w:color="auto" w:fill="auto"/>
            <w:noWrap/>
            <w:vAlign w:val="center"/>
            <w:hideMark/>
          </w:tcPr>
          <w:p w14:paraId="656E40F0"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Panamá</w:t>
            </w:r>
          </w:p>
        </w:tc>
        <w:tc>
          <w:tcPr>
            <w:tcW w:w="2268" w:type="dxa"/>
            <w:shd w:val="clear" w:color="auto" w:fill="auto"/>
            <w:noWrap/>
            <w:vAlign w:val="center"/>
            <w:hideMark/>
          </w:tcPr>
          <w:p w14:paraId="51BE3537"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1185184D" w14:textId="77777777" w:rsidTr="00903D51">
        <w:trPr>
          <w:trHeight w:val="20"/>
        </w:trPr>
        <w:tc>
          <w:tcPr>
            <w:tcW w:w="3964" w:type="dxa"/>
            <w:shd w:val="clear" w:color="auto" w:fill="auto"/>
            <w:noWrap/>
            <w:vAlign w:val="center"/>
            <w:hideMark/>
          </w:tcPr>
          <w:p w14:paraId="3CB4DF90"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Generación Eléctrica de Caribe, S.A.</w:t>
            </w:r>
          </w:p>
        </w:tc>
        <w:tc>
          <w:tcPr>
            <w:tcW w:w="2268" w:type="dxa"/>
            <w:shd w:val="clear" w:color="auto" w:fill="auto"/>
            <w:noWrap/>
            <w:vAlign w:val="center"/>
            <w:hideMark/>
          </w:tcPr>
          <w:p w14:paraId="01F15AA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Panamá</w:t>
            </w:r>
          </w:p>
        </w:tc>
        <w:tc>
          <w:tcPr>
            <w:tcW w:w="2268" w:type="dxa"/>
            <w:shd w:val="clear" w:color="auto" w:fill="auto"/>
            <w:noWrap/>
            <w:vAlign w:val="center"/>
            <w:hideMark/>
          </w:tcPr>
          <w:p w14:paraId="23305DA4"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1DCCC50B" w14:textId="77777777" w:rsidTr="00903D51">
        <w:trPr>
          <w:trHeight w:val="20"/>
        </w:trPr>
        <w:tc>
          <w:tcPr>
            <w:tcW w:w="3964" w:type="dxa"/>
            <w:shd w:val="clear" w:color="auto" w:fill="auto"/>
            <w:noWrap/>
            <w:vAlign w:val="center"/>
            <w:hideMark/>
          </w:tcPr>
          <w:p w14:paraId="3A020389"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Gas Natural Puerto Rico, Inc</w:t>
            </w:r>
          </w:p>
        </w:tc>
        <w:tc>
          <w:tcPr>
            <w:tcW w:w="2268" w:type="dxa"/>
            <w:shd w:val="clear" w:color="auto" w:fill="auto"/>
            <w:noWrap/>
            <w:vAlign w:val="center"/>
            <w:hideMark/>
          </w:tcPr>
          <w:p w14:paraId="7A4E762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Puerto Rico</w:t>
            </w:r>
          </w:p>
        </w:tc>
        <w:tc>
          <w:tcPr>
            <w:tcW w:w="2268" w:type="dxa"/>
            <w:shd w:val="clear" w:color="auto" w:fill="auto"/>
            <w:noWrap/>
            <w:vAlign w:val="center"/>
            <w:hideMark/>
          </w:tcPr>
          <w:p w14:paraId="2F16EE9D"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Aprovisionamiento y comercialización de gas</w:t>
            </w:r>
          </w:p>
        </w:tc>
      </w:tr>
      <w:tr w:rsidR="00A1554D" w:rsidRPr="00DD3371" w14:paraId="017BA1C2" w14:textId="77777777" w:rsidTr="00903D51">
        <w:trPr>
          <w:trHeight w:val="20"/>
        </w:trPr>
        <w:tc>
          <w:tcPr>
            <w:tcW w:w="3964" w:type="dxa"/>
            <w:shd w:val="clear" w:color="auto" w:fill="auto"/>
            <w:noWrap/>
            <w:vAlign w:val="center"/>
            <w:hideMark/>
          </w:tcPr>
          <w:p w14:paraId="53AFFFD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EcoEléctrica, L.P.</w:t>
            </w:r>
          </w:p>
        </w:tc>
        <w:tc>
          <w:tcPr>
            <w:tcW w:w="2268" w:type="dxa"/>
            <w:shd w:val="clear" w:color="auto" w:fill="auto"/>
            <w:noWrap/>
            <w:vAlign w:val="center"/>
            <w:hideMark/>
          </w:tcPr>
          <w:p w14:paraId="21F630C6"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Puerto Rico</w:t>
            </w:r>
          </w:p>
        </w:tc>
        <w:tc>
          <w:tcPr>
            <w:tcW w:w="2268" w:type="dxa"/>
            <w:shd w:val="clear" w:color="auto" w:fill="auto"/>
            <w:noWrap/>
            <w:vAlign w:val="center"/>
            <w:hideMark/>
          </w:tcPr>
          <w:p w14:paraId="7CB9DDB7"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Generación de electricidad</w:t>
            </w:r>
          </w:p>
        </w:tc>
      </w:tr>
      <w:tr w:rsidR="00A1554D" w:rsidRPr="00DD3371" w14:paraId="33B43FB4" w14:textId="77777777" w:rsidTr="00903D51">
        <w:trPr>
          <w:trHeight w:val="20"/>
        </w:trPr>
        <w:tc>
          <w:tcPr>
            <w:tcW w:w="3964" w:type="dxa"/>
            <w:shd w:val="clear" w:color="auto" w:fill="auto"/>
            <w:noWrap/>
            <w:vAlign w:val="center"/>
            <w:hideMark/>
          </w:tcPr>
          <w:p w14:paraId="7EF92EB8"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Gas Natural Fenosa Technology INC</w:t>
            </w:r>
          </w:p>
        </w:tc>
        <w:tc>
          <w:tcPr>
            <w:tcW w:w="2268" w:type="dxa"/>
            <w:shd w:val="clear" w:color="auto" w:fill="auto"/>
            <w:noWrap/>
            <w:vAlign w:val="center"/>
            <w:hideMark/>
          </w:tcPr>
          <w:p w14:paraId="38823F3B"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Puerto Rico</w:t>
            </w:r>
          </w:p>
        </w:tc>
        <w:tc>
          <w:tcPr>
            <w:tcW w:w="2268" w:type="dxa"/>
            <w:shd w:val="clear" w:color="auto" w:fill="auto"/>
            <w:noWrap/>
            <w:vAlign w:val="center"/>
            <w:hideMark/>
          </w:tcPr>
          <w:p w14:paraId="77C09F8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 de ingeniería</w:t>
            </w:r>
          </w:p>
        </w:tc>
      </w:tr>
      <w:tr w:rsidR="00A1554D" w:rsidRPr="00DD3371" w14:paraId="2107D5C7" w14:textId="77777777" w:rsidTr="00903D51">
        <w:trPr>
          <w:trHeight w:val="20"/>
        </w:trPr>
        <w:tc>
          <w:tcPr>
            <w:tcW w:w="3964" w:type="dxa"/>
            <w:shd w:val="clear" w:color="auto" w:fill="auto"/>
            <w:noWrap/>
            <w:vAlign w:val="center"/>
            <w:hideMark/>
          </w:tcPr>
          <w:p w14:paraId="24FCB170" w14:textId="77777777" w:rsidR="00A1554D" w:rsidRPr="00DD3371" w:rsidRDefault="00A1554D" w:rsidP="00903D51">
            <w:pPr>
              <w:rPr>
                <w:rFonts w:ascii="Open Sans" w:hAnsi="Open Sans" w:cs="Open Sans"/>
                <w:color w:val="000000"/>
                <w:sz w:val="20"/>
                <w:szCs w:val="20"/>
                <w:lang w:eastAsia="en-US"/>
              </w:rPr>
            </w:pPr>
            <w:r w:rsidRPr="00DD3371">
              <w:rPr>
                <w:rFonts w:ascii="Open Sans" w:hAnsi="Open Sans" w:cs="Open Sans"/>
                <w:color w:val="000000"/>
                <w:sz w:val="20"/>
                <w:szCs w:val="20"/>
                <w:lang w:eastAsia="en-US"/>
              </w:rPr>
              <w:t>Generadora Palamara La Vega, S.A.</w:t>
            </w:r>
          </w:p>
        </w:tc>
        <w:tc>
          <w:tcPr>
            <w:tcW w:w="2268" w:type="dxa"/>
            <w:shd w:val="clear" w:color="auto" w:fill="auto"/>
            <w:noWrap/>
            <w:vAlign w:val="center"/>
            <w:hideMark/>
          </w:tcPr>
          <w:p w14:paraId="0D2FCF63"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República Dominicana</w:t>
            </w:r>
          </w:p>
        </w:tc>
        <w:tc>
          <w:tcPr>
            <w:tcW w:w="2268" w:type="dxa"/>
            <w:shd w:val="clear" w:color="auto" w:fill="auto"/>
            <w:noWrap/>
            <w:vAlign w:val="center"/>
            <w:hideMark/>
          </w:tcPr>
          <w:p w14:paraId="7E33B731"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Generación de electricidad</w:t>
            </w:r>
          </w:p>
        </w:tc>
      </w:tr>
      <w:tr w:rsidR="00A1554D" w:rsidRPr="00DD3371" w14:paraId="2B7C1A3E" w14:textId="77777777" w:rsidTr="00903D51">
        <w:trPr>
          <w:trHeight w:val="20"/>
        </w:trPr>
        <w:tc>
          <w:tcPr>
            <w:tcW w:w="3964" w:type="dxa"/>
            <w:shd w:val="clear" w:color="auto" w:fill="auto"/>
            <w:noWrap/>
            <w:vAlign w:val="center"/>
            <w:hideMark/>
          </w:tcPr>
          <w:p w14:paraId="44A0FA40"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Inversiones Hermill, S.A.</w:t>
            </w:r>
          </w:p>
        </w:tc>
        <w:tc>
          <w:tcPr>
            <w:tcW w:w="2268" w:type="dxa"/>
            <w:shd w:val="clear" w:color="auto" w:fill="auto"/>
            <w:noWrap/>
            <w:vAlign w:val="center"/>
            <w:hideMark/>
          </w:tcPr>
          <w:p w14:paraId="6EAD439C"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República Dominicana</w:t>
            </w:r>
          </w:p>
        </w:tc>
        <w:tc>
          <w:tcPr>
            <w:tcW w:w="2268" w:type="dxa"/>
            <w:shd w:val="clear" w:color="auto" w:fill="auto"/>
            <w:noWrap/>
            <w:vAlign w:val="center"/>
            <w:hideMark/>
          </w:tcPr>
          <w:p w14:paraId="0807BA20"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Servicios</w:t>
            </w:r>
          </w:p>
        </w:tc>
      </w:tr>
      <w:tr w:rsidR="00A1554D" w:rsidRPr="00DD3371" w14:paraId="54665DF1" w14:textId="77777777" w:rsidTr="00903D51">
        <w:trPr>
          <w:trHeight w:val="20"/>
        </w:trPr>
        <w:tc>
          <w:tcPr>
            <w:tcW w:w="3964" w:type="dxa"/>
            <w:shd w:val="clear" w:color="auto" w:fill="auto"/>
            <w:noWrap/>
            <w:vAlign w:val="center"/>
          </w:tcPr>
          <w:p w14:paraId="53079457"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Unión Fenosa South Africa Coal (Proprietary), Ltd</w:t>
            </w:r>
          </w:p>
        </w:tc>
        <w:tc>
          <w:tcPr>
            <w:tcW w:w="2268" w:type="dxa"/>
            <w:shd w:val="clear" w:color="auto" w:fill="auto"/>
            <w:noWrap/>
            <w:vAlign w:val="center"/>
          </w:tcPr>
          <w:p w14:paraId="64D2A2F2"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Sudáfrica</w:t>
            </w:r>
          </w:p>
        </w:tc>
        <w:tc>
          <w:tcPr>
            <w:tcW w:w="2268" w:type="dxa"/>
            <w:shd w:val="clear" w:color="auto" w:fill="auto"/>
            <w:noWrap/>
            <w:vAlign w:val="center"/>
          </w:tcPr>
          <w:p w14:paraId="7FC219D8"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Sociedad de cartera</w:t>
            </w:r>
          </w:p>
        </w:tc>
      </w:tr>
      <w:tr w:rsidR="00A1554D" w:rsidRPr="00DD3371" w14:paraId="2D1B4964" w14:textId="77777777" w:rsidTr="00903D51">
        <w:trPr>
          <w:trHeight w:val="20"/>
        </w:trPr>
        <w:tc>
          <w:tcPr>
            <w:tcW w:w="3964" w:type="dxa"/>
            <w:shd w:val="clear" w:color="auto" w:fill="auto"/>
            <w:noWrap/>
            <w:vAlign w:val="center"/>
          </w:tcPr>
          <w:p w14:paraId="762EC4BC"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Kangra Coal (Proprietary), Ltd</w:t>
            </w:r>
          </w:p>
        </w:tc>
        <w:tc>
          <w:tcPr>
            <w:tcW w:w="2268" w:type="dxa"/>
            <w:shd w:val="clear" w:color="auto" w:fill="auto"/>
            <w:noWrap/>
            <w:vAlign w:val="center"/>
          </w:tcPr>
          <w:p w14:paraId="7B3E467F"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Sudáfrica</w:t>
            </w:r>
          </w:p>
        </w:tc>
        <w:tc>
          <w:tcPr>
            <w:tcW w:w="2268" w:type="dxa"/>
            <w:shd w:val="clear" w:color="auto" w:fill="auto"/>
            <w:noWrap/>
            <w:vAlign w:val="center"/>
          </w:tcPr>
          <w:p w14:paraId="1F236D0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Minería</w:t>
            </w:r>
          </w:p>
        </w:tc>
      </w:tr>
      <w:tr w:rsidR="00A1554D" w:rsidRPr="00DD3371" w14:paraId="3752D685" w14:textId="77777777" w:rsidTr="00903D51">
        <w:trPr>
          <w:trHeight w:val="20"/>
        </w:trPr>
        <w:tc>
          <w:tcPr>
            <w:tcW w:w="3964" w:type="dxa"/>
            <w:shd w:val="clear" w:color="auto" w:fill="auto"/>
            <w:noWrap/>
            <w:vAlign w:val="center"/>
          </w:tcPr>
          <w:p w14:paraId="0ADB479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Welgedacht Exploration Company, Ltd</w:t>
            </w:r>
          </w:p>
        </w:tc>
        <w:tc>
          <w:tcPr>
            <w:tcW w:w="2268" w:type="dxa"/>
            <w:shd w:val="clear" w:color="auto" w:fill="auto"/>
            <w:noWrap/>
            <w:vAlign w:val="center"/>
          </w:tcPr>
          <w:p w14:paraId="1957140D"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Sudáfrica</w:t>
            </w:r>
          </w:p>
        </w:tc>
        <w:tc>
          <w:tcPr>
            <w:tcW w:w="2268" w:type="dxa"/>
            <w:shd w:val="clear" w:color="auto" w:fill="auto"/>
            <w:noWrap/>
            <w:vAlign w:val="center"/>
          </w:tcPr>
          <w:p w14:paraId="3CA8EB2C" w14:textId="77777777" w:rsidR="00A1554D" w:rsidRPr="00DD3371" w:rsidRDefault="00A1554D" w:rsidP="00903D51">
            <w:pPr>
              <w:rPr>
                <w:rFonts w:ascii="Open Sans" w:hAnsi="Open Sans" w:cs="Open Sans"/>
                <w:color w:val="000000"/>
                <w:sz w:val="20"/>
                <w:szCs w:val="20"/>
                <w:lang w:val="en-US" w:eastAsia="en-US"/>
              </w:rPr>
            </w:pPr>
            <w:r w:rsidRPr="00DD3371">
              <w:rPr>
                <w:rFonts w:ascii="Open Sans" w:hAnsi="Open Sans" w:cs="Open Sans"/>
                <w:color w:val="000000"/>
                <w:sz w:val="20"/>
                <w:szCs w:val="20"/>
                <w:lang w:val="en-US" w:eastAsia="en-US"/>
              </w:rPr>
              <w:t>Minería</w:t>
            </w:r>
          </w:p>
        </w:tc>
      </w:tr>
    </w:tbl>
    <w:p w14:paraId="7FFC767E" w14:textId="77777777" w:rsidR="00A1554D" w:rsidRPr="00DD3371" w:rsidRDefault="00A1554D" w:rsidP="00A1554D">
      <w:pPr>
        <w:jc w:val="both"/>
        <w:rPr>
          <w:rFonts w:ascii="Open Sans" w:hAnsi="Open Sans" w:cs="Open Sans"/>
          <w:sz w:val="20"/>
          <w:szCs w:val="20"/>
        </w:rPr>
      </w:pPr>
    </w:p>
    <w:p w14:paraId="1A80F736" w14:textId="77777777" w:rsidR="00A1554D" w:rsidRPr="00DD3371" w:rsidRDefault="00A1554D" w:rsidP="00A1554D">
      <w:pPr>
        <w:jc w:val="both"/>
        <w:rPr>
          <w:rFonts w:ascii="Open Sans" w:hAnsi="Open Sans" w:cs="Open Sans"/>
          <w:sz w:val="20"/>
          <w:szCs w:val="20"/>
        </w:rPr>
      </w:pPr>
    </w:p>
    <w:p w14:paraId="60987FDF" w14:textId="77777777" w:rsidR="00A1554D" w:rsidRPr="00DD3371" w:rsidRDefault="00A1554D" w:rsidP="00A1554D">
      <w:pPr>
        <w:shd w:val="clear" w:color="auto" w:fill="FFFFFF"/>
        <w:jc w:val="both"/>
        <w:rPr>
          <w:rFonts w:ascii="Open Sans" w:hAnsi="Open Sans" w:cs="Arial"/>
          <w:color w:val="222222"/>
          <w:sz w:val="19"/>
          <w:szCs w:val="19"/>
        </w:rPr>
      </w:pPr>
      <w:r w:rsidRPr="00DD3371">
        <w:rPr>
          <w:rFonts w:ascii="Open Sans" w:hAnsi="Open Sans" w:cs="Open Sans"/>
          <w:color w:val="222222"/>
          <w:sz w:val="20"/>
          <w:szCs w:val="20"/>
        </w:rPr>
        <w:t>Entre estas 31 sociedades</w:t>
      </w:r>
      <w:r w:rsidRPr="00DD3371">
        <w:rPr>
          <w:rStyle w:val="apple-converted-space"/>
          <w:rFonts w:ascii="Open Sans" w:hAnsi="Open Sans" w:cs="Open Sans"/>
          <w:color w:val="222222"/>
          <w:sz w:val="20"/>
          <w:szCs w:val="20"/>
        </w:rPr>
        <w:t> </w:t>
      </w:r>
      <w:r w:rsidRPr="00DD3371">
        <w:rPr>
          <w:rFonts w:ascii="Open Sans" w:hAnsi="Open Sans" w:cs="Open Sans"/>
          <w:color w:val="222222"/>
          <w:sz w:val="20"/>
          <w:szCs w:val="20"/>
        </w:rPr>
        <w:t xml:space="preserve">ubicadas en paraísos o nichos fiscales se considera que existe un grupo de </w:t>
      </w:r>
      <w:r>
        <w:rPr>
          <w:rFonts w:ascii="Open Sans" w:hAnsi="Open Sans" w:cs="Open Sans"/>
          <w:color w:val="222222"/>
          <w:sz w:val="20"/>
          <w:szCs w:val="20"/>
        </w:rPr>
        <w:t>15</w:t>
      </w:r>
      <w:r w:rsidRPr="00DD3371">
        <w:rPr>
          <w:rFonts w:ascii="Open Sans" w:hAnsi="Open Sans" w:cs="Open Sans"/>
          <w:color w:val="222222"/>
          <w:sz w:val="20"/>
          <w:szCs w:val="20"/>
        </w:rPr>
        <w:t>  empresas que ofrecen dudas en cuanto a que su actividad tenga que ver con la operativa propia de negocio, puesto que tanto la declaración de la actividad (</w:t>
      </w:r>
      <w:r>
        <w:rPr>
          <w:rFonts w:ascii="Open Sans" w:hAnsi="Open Sans" w:cs="Open Sans"/>
          <w:color w:val="222222"/>
          <w:sz w:val="20"/>
          <w:szCs w:val="20"/>
        </w:rPr>
        <w:t>sociedad de cartera, seguro, servicios financieros…</w:t>
      </w:r>
      <w:r w:rsidRPr="00DD3371">
        <w:rPr>
          <w:rFonts w:ascii="Open Sans" w:hAnsi="Open Sans" w:cs="Open Sans"/>
          <w:color w:val="222222"/>
          <w:sz w:val="20"/>
          <w:szCs w:val="20"/>
        </w:rPr>
        <w:t xml:space="preserve">) como su ubicación generan dudas sobre su </w:t>
      </w:r>
      <w:r>
        <w:rPr>
          <w:rFonts w:ascii="Open Sans" w:hAnsi="Open Sans" w:cs="Open Sans"/>
          <w:color w:val="222222"/>
          <w:sz w:val="20"/>
          <w:szCs w:val="20"/>
        </w:rPr>
        <w:t xml:space="preserve">propósito. Sería deseable que para despejar cualquier tipo de dudas sobre su utilización, </w:t>
      </w:r>
      <w:r w:rsidRPr="00DD3371">
        <w:rPr>
          <w:rFonts w:ascii="Open Sans" w:hAnsi="Open Sans" w:cs="Open Sans"/>
          <w:color w:val="222222"/>
          <w:sz w:val="20"/>
          <w:szCs w:val="20"/>
        </w:rPr>
        <w:t xml:space="preserve">la empresa </w:t>
      </w:r>
      <w:r>
        <w:rPr>
          <w:rFonts w:ascii="Open Sans" w:hAnsi="Open Sans" w:cs="Open Sans"/>
          <w:color w:val="222222"/>
          <w:sz w:val="20"/>
          <w:szCs w:val="20"/>
        </w:rPr>
        <w:t xml:space="preserve">aportase </w:t>
      </w:r>
      <w:r w:rsidRPr="00DD3371">
        <w:rPr>
          <w:rFonts w:ascii="Open Sans" w:hAnsi="Open Sans" w:cs="Open Sans"/>
          <w:color w:val="222222"/>
          <w:sz w:val="20"/>
          <w:szCs w:val="20"/>
        </w:rPr>
        <w:t>mayor información</w:t>
      </w:r>
      <w:r>
        <w:rPr>
          <w:rFonts w:ascii="Open Sans" w:hAnsi="Open Sans" w:cs="Open Sans"/>
          <w:color w:val="222222"/>
          <w:sz w:val="20"/>
          <w:szCs w:val="20"/>
        </w:rPr>
        <w:t xml:space="preserve"> sobre actividades desarrolladas, operaciones intragrupo, facturación, volumen de operaciones, beneficios, impuestos y número de empleados</w:t>
      </w:r>
      <w:r w:rsidRPr="00DD3371">
        <w:rPr>
          <w:rFonts w:ascii="Open Sans" w:hAnsi="Open Sans" w:cs="Open Sans"/>
          <w:color w:val="222222"/>
          <w:sz w:val="20"/>
          <w:szCs w:val="20"/>
        </w:rPr>
        <w:t>.</w:t>
      </w:r>
    </w:p>
    <w:p w14:paraId="556E8320" w14:textId="77777777" w:rsidR="00A1554D" w:rsidRPr="00DD3371" w:rsidRDefault="00A1554D" w:rsidP="00A1554D">
      <w:pPr>
        <w:jc w:val="both"/>
        <w:rPr>
          <w:rFonts w:ascii="Open Sans" w:hAnsi="Open Sans" w:cs="Open Sans"/>
          <w:sz w:val="20"/>
          <w:szCs w:val="20"/>
        </w:rPr>
      </w:pPr>
    </w:p>
    <w:p w14:paraId="0BA938CC" w14:textId="77777777" w:rsidR="00A1554D" w:rsidRDefault="00A1554D" w:rsidP="00A1554D">
      <w:pPr>
        <w:jc w:val="both"/>
        <w:rPr>
          <w:rFonts w:ascii="Open Sans" w:hAnsi="Open Sans" w:cs="Open Sans"/>
          <w:sz w:val="20"/>
          <w:szCs w:val="20"/>
        </w:rPr>
      </w:pPr>
      <w:r w:rsidRPr="00DD3371">
        <w:rPr>
          <w:rFonts w:ascii="Open Sans" w:hAnsi="Open Sans" w:cs="Open Sans"/>
          <w:sz w:val="20"/>
          <w:szCs w:val="20"/>
        </w:rPr>
        <w:t xml:space="preserve">Llama la atención que </w:t>
      </w:r>
      <w:r>
        <w:rPr>
          <w:rFonts w:ascii="Open Sans" w:hAnsi="Open Sans" w:cs="Open Sans"/>
          <w:sz w:val="20"/>
          <w:szCs w:val="20"/>
        </w:rPr>
        <w:t>GNF</w:t>
      </w:r>
      <w:r w:rsidRPr="00DD3371">
        <w:rPr>
          <w:rFonts w:ascii="Open Sans" w:hAnsi="Open Sans" w:cs="Open Sans"/>
          <w:sz w:val="20"/>
          <w:szCs w:val="20"/>
        </w:rPr>
        <w:t xml:space="preserve"> no incluya explícitamente a las Islas Caimán entre los países en los que desarrolla actividades, si bien sí que aluda a las operaciones en esta jurisdicción cuando trata de explicar su posición en materia fiscal. </w:t>
      </w:r>
      <w:r>
        <w:rPr>
          <w:rFonts w:ascii="Open Sans" w:hAnsi="Open Sans" w:cs="Open Sans"/>
          <w:sz w:val="20"/>
          <w:szCs w:val="20"/>
        </w:rPr>
        <w:t>GNF</w:t>
      </w:r>
      <w:r w:rsidRPr="00DD3371">
        <w:rPr>
          <w:rFonts w:ascii="Open Sans" w:hAnsi="Open Sans" w:cs="Open Sans"/>
          <w:sz w:val="20"/>
          <w:szCs w:val="20"/>
        </w:rPr>
        <w:t xml:space="preserve"> explica brevemente por qué tiene sociedades en las Islas Caimán y a qué se dedican, subrayando que dichas sociedades “</w:t>
      </w:r>
      <w:r w:rsidRPr="00DD3371">
        <w:rPr>
          <w:rFonts w:ascii="Open Sans" w:hAnsi="Open Sans" w:cs="Open Sans"/>
          <w:i/>
          <w:sz w:val="20"/>
          <w:szCs w:val="20"/>
        </w:rPr>
        <w:t>no aportan ninguna ventaja fiscal para Gas Natural Fenosa</w:t>
      </w:r>
      <w:r w:rsidRPr="00DD3371">
        <w:rPr>
          <w:rFonts w:ascii="Open Sans" w:hAnsi="Open Sans" w:cs="Open Sans"/>
          <w:sz w:val="20"/>
          <w:szCs w:val="20"/>
        </w:rPr>
        <w:t>”</w:t>
      </w:r>
      <w:r w:rsidRPr="00DD3371">
        <w:rPr>
          <w:rStyle w:val="Refdenotaalpie"/>
          <w:rFonts w:ascii="Open Sans" w:hAnsi="Open Sans" w:cs="Open Sans"/>
          <w:sz w:val="20"/>
          <w:szCs w:val="20"/>
        </w:rPr>
        <w:footnoteReference w:id="417"/>
      </w:r>
      <w:r w:rsidRPr="00DD3371">
        <w:rPr>
          <w:rFonts w:ascii="Open Sans" w:hAnsi="Open Sans" w:cs="Open Sans"/>
          <w:sz w:val="20"/>
          <w:szCs w:val="20"/>
        </w:rPr>
        <w:t xml:space="preserve">. </w:t>
      </w:r>
      <w:r>
        <w:rPr>
          <w:rFonts w:ascii="Open Sans" w:hAnsi="Open Sans" w:cs="Open Sans"/>
          <w:sz w:val="20"/>
          <w:szCs w:val="20"/>
        </w:rPr>
        <w:t xml:space="preserve">En el informe de Gobierno Corporativo la </w:t>
      </w:r>
      <w:r w:rsidRPr="00DD3371">
        <w:rPr>
          <w:rFonts w:ascii="Open Sans" w:hAnsi="Open Sans" w:cs="Open Sans"/>
          <w:sz w:val="20"/>
          <w:szCs w:val="20"/>
        </w:rPr>
        <w:t xml:space="preserve"> </w:t>
      </w:r>
      <w:r>
        <w:rPr>
          <w:rFonts w:ascii="Open Sans" w:hAnsi="Open Sans" w:cs="Open Sans"/>
          <w:sz w:val="20"/>
          <w:szCs w:val="20"/>
        </w:rPr>
        <w:t xml:space="preserve">empresa presenta </w:t>
      </w:r>
      <w:r w:rsidRPr="00DD3371">
        <w:rPr>
          <w:rFonts w:ascii="Open Sans" w:hAnsi="Open Sans" w:cs="Open Sans"/>
          <w:sz w:val="20"/>
          <w:szCs w:val="20"/>
        </w:rPr>
        <w:t xml:space="preserve">información </w:t>
      </w:r>
      <w:r>
        <w:rPr>
          <w:rFonts w:ascii="Open Sans" w:hAnsi="Open Sans" w:cs="Open Sans"/>
          <w:sz w:val="20"/>
          <w:szCs w:val="20"/>
        </w:rPr>
        <w:t xml:space="preserve">sobre operaciones vinculadas con empresas sitas en paraísos fiscales. De acuerdo con esta información se observa </w:t>
      </w:r>
      <w:r w:rsidRPr="00DD3371">
        <w:rPr>
          <w:rFonts w:ascii="Open Sans" w:hAnsi="Open Sans" w:cs="Open Sans"/>
          <w:sz w:val="20"/>
          <w:szCs w:val="20"/>
        </w:rPr>
        <w:t xml:space="preserve">que cómo desde esas sociedades se han distribuido 143,59 millones de euros en dividendos, de los cuales 104,29 millones han ido a parar a sociedades también sitas en las Islas Caimán. Estas operaciones son intragrupo.  </w:t>
      </w:r>
    </w:p>
    <w:p w14:paraId="75F4993C" w14:textId="77777777" w:rsidR="00A1554D" w:rsidRPr="00DD3371" w:rsidRDefault="00A1554D" w:rsidP="00A1554D">
      <w:pPr>
        <w:jc w:val="both"/>
        <w:rPr>
          <w:rFonts w:ascii="Open Sans" w:hAnsi="Open Sans" w:cs="Open Sans"/>
          <w:sz w:val="20"/>
          <w:szCs w:val="20"/>
        </w:rPr>
      </w:pPr>
    </w:p>
    <w:p w14:paraId="43A79CAA" w14:textId="77777777" w:rsidR="00A1554D" w:rsidRPr="00DD3371" w:rsidRDefault="00A1554D" w:rsidP="00A1554D">
      <w:pPr>
        <w:jc w:val="both"/>
        <w:rPr>
          <w:rFonts w:ascii="Open Sans" w:hAnsi="Open Sans" w:cs="Open Sans"/>
          <w:sz w:val="20"/>
          <w:szCs w:val="20"/>
        </w:rPr>
      </w:pPr>
    </w:p>
    <w:p w14:paraId="103207FE" w14:textId="1AAC1232" w:rsidR="00A1554D" w:rsidRPr="00DD3371" w:rsidRDefault="00A1554D" w:rsidP="00A1554D">
      <w:pPr>
        <w:rPr>
          <w:rFonts w:ascii="Open Sans" w:hAnsi="Open Sans" w:cs="Open Sans"/>
          <w:sz w:val="20"/>
          <w:szCs w:val="20"/>
        </w:rPr>
      </w:pPr>
      <w:r>
        <w:rPr>
          <w:rFonts w:ascii="Open Sans" w:hAnsi="Open Sans" w:cs="Open Sans"/>
          <w:noProof/>
          <w:sz w:val="20"/>
          <w:szCs w:val="20"/>
          <w:lang w:val="es-ES"/>
        </w:rPr>
        <w:drawing>
          <wp:inline distT="0" distB="0" distL="0" distR="0" wp14:anchorId="2D0F562C" wp14:editId="7E799DEA">
            <wp:extent cx="5391150" cy="8572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5391150" cy="857250"/>
                    </a:xfrm>
                    <a:prstGeom prst="rect">
                      <a:avLst/>
                    </a:prstGeom>
                    <a:noFill/>
                    <a:ln>
                      <a:noFill/>
                    </a:ln>
                  </pic:spPr>
                </pic:pic>
              </a:graphicData>
            </a:graphic>
          </wp:inline>
        </w:drawing>
      </w:r>
    </w:p>
    <w:p w14:paraId="6A6953C4" w14:textId="77777777" w:rsidR="00A1554D" w:rsidRPr="00DD3371" w:rsidRDefault="00A1554D" w:rsidP="00A1554D">
      <w:pPr>
        <w:jc w:val="center"/>
        <w:rPr>
          <w:rFonts w:ascii="Open Sans" w:hAnsi="Open Sans" w:cs="Open Sans"/>
          <w:sz w:val="16"/>
          <w:szCs w:val="16"/>
        </w:rPr>
      </w:pPr>
      <w:r w:rsidRPr="00DD3371">
        <w:rPr>
          <w:rFonts w:ascii="Open Sans" w:hAnsi="Open Sans" w:cs="Open Sans"/>
          <w:sz w:val="16"/>
          <w:szCs w:val="16"/>
        </w:rPr>
        <w:t>Fuente: Informe Anual Integrado (2015), pg. 301</w:t>
      </w:r>
    </w:p>
    <w:p w14:paraId="65BF84C1" w14:textId="77777777" w:rsidR="00A1554D" w:rsidRPr="00DD3371" w:rsidRDefault="00A1554D" w:rsidP="00A1554D">
      <w:pPr>
        <w:jc w:val="both"/>
        <w:rPr>
          <w:rFonts w:ascii="Open Sans" w:hAnsi="Open Sans" w:cs="Open Sans"/>
          <w:sz w:val="20"/>
          <w:szCs w:val="20"/>
        </w:rPr>
      </w:pPr>
    </w:p>
    <w:p w14:paraId="7F54D84B" w14:textId="77777777" w:rsidR="00A1554D" w:rsidRPr="00DD3371" w:rsidRDefault="00A1554D" w:rsidP="00A1554D">
      <w:pPr>
        <w:jc w:val="both"/>
        <w:rPr>
          <w:rFonts w:ascii="Open Sans" w:hAnsi="Open Sans" w:cs="Open Sans"/>
          <w:sz w:val="20"/>
          <w:szCs w:val="20"/>
        </w:rPr>
      </w:pPr>
    </w:p>
    <w:p w14:paraId="74FAC2EF" w14:textId="77777777" w:rsidR="00A1554D" w:rsidRDefault="00A1554D" w:rsidP="00A1554D">
      <w:pPr>
        <w:jc w:val="both"/>
        <w:rPr>
          <w:rFonts w:ascii="Open Sans" w:hAnsi="Open Sans" w:cs="Open Sans"/>
          <w:sz w:val="20"/>
          <w:szCs w:val="20"/>
        </w:rPr>
      </w:pPr>
      <w:r w:rsidRPr="00DD3371">
        <w:rPr>
          <w:rFonts w:ascii="Open Sans" w:hAnsi="Open Sans" w:cs="Open Sans"/>
          <w:sz w:val="20"/>
          <w:szCs w:val="20"/>
        </w:rPr>
        <w:t xml:space="preserve">Además, hay dos sociedades radicadas en los Países Bajos (Holanda), GPG México Wind, B.V. y GPG México, B.V., cuya actividad es la tenencia de acciones de empresas sitas en México. No se explica el porqué de esta desconexión geográfica entre las empresas que realizan las actividades por un lado y las que detentan sus acciones por otro. Así mismo, no se indica explícitamente que la sociedad sita en EE.UU. </w:t>
      </w:r>
      <w:r>
        <w:rPr>
          <w:rFonts w:ascii="Open Sans" w:hAnsi="Open Sans" w:cs="Open Sans"/>
          <w:sz w:val="20"/>
          <w:szCs w:val="20"/>
        </w:rPr>
        <w:t>tiene domicilio</w:t>
      </w:r>
      <w:r w:rsidRPr="00DD3371">
        <w:rPr>
          <w:rFonts w:ascii="Open Sans" w:hAnsi="Open Sans" w:cs="Open Sans"/>
          <w:sz w:val="20"/>
          <w:szCs w:val="20"/>
        </w:rPr>
        <w:t xml:space="preserve"> en Delaware. </w:t>
      </w:r>
    </w:p>
    <w:p w14:paraId="5315373F" w14:textId="77777777" w:rsidR="00A1554D" w:rsidRDefault="00A1554D" w:rsidP="00A1554D">
      <w:pPr>
        <w:jc w:val="both"/>
        <w:rPr>
          <w:rFonts w:ascii="Open Sans" w:hAnsi="Open Sans" w:cs="Open Sans"/>
          <w:sz w:val="20"/>
          <w:szCs w:val="20"/>
        </w:rPr>
      </w:pPr>
    </w:p>
    <w:p w14:paraId="6FF53F6E" w14:textId="77777777" w:rsidR="00A1554D" w:rsidRPr="00DD3371" w:rsidRDefault="00A1554D" w:rsidP="00A1554D">
      <w:pPr>
        <w:jc w:val="both"/>
        <w:rPr>
          <w:rFonts w:ascii="Open Sans" w:hAnsi="Open Sans" w:cs="Open Sans"/>
          <w:sz w:val="20"/>
          <w:szCs w:val="20"/>
        </w:rPr>
      </w:pPr>
      <w:r>
        <w:rPr>
          <w:rFonts w:ascii="Open Sans" w:hAnsi="Open Sans" w:cs="Open Sans"/>
          <w:sz w:val="20"/>
          <w:szCs w:val="20"/>
        </w:rPr>
        <w:t>La empresa facilita información específica sobre su presencia en paraísos fiscales de acuerdo con la normativa española tanto en el informe anual como en el informe de responsabilidad social, sin embargo de esta información n</w:t>
      </w:r>
      <w:r w:rsidRPr="00DD3371">
        <w:rPr>
          <w:rFonts w:ascii="Open Sans" w:hAnsi="Open Sans" w:cs="Open Sans"/>
          <w:sz w:val="20"/>
          <w:szCs w:val="20"/>
        </w:rPr>
        <w:t xml:space="preserve">o es posible saber cuál es el volumen de la actividad de </w:t>
      </w:r>
      <w:r>
        <w:rPr>
          <w:rFonts w:ascii="Open Sans" w:hAnsi="Open Sans" w:cs="Open Sans"/>
          <w:sz w:val="20"/>
          <w:szCs w:val="20"/>
        </w:rPr>
        <w:t>GNF</w:t>
      </w:r>
      <w:r w:rsidRPr="00DD3371">
        <w:rPr>
          <w:rFonts w:ascii="Open Sans" w:hAnsi="Open Sans" w:cs="Open Sans"/>
          <w:sz w:val="20"/>
          <w:szCs w:val="20"/>
        </w:rPr>
        <w:t xml:space="preserve"> en paraísos </w:t>
      </w:r>
      <w:r>
        <w:rPr>
          <w:rFonts w:ascii="Open Sans" w:hAnsi="Open Sans" w:cs="Open Sans"/>
          <w:sz w:val="20"/>
          <w:szCs w:val="20"/>
        </w:rPr>
        <w:t xml:space="preserve">y/o nichos </w:t>
      </w:r>
      <w:r w:rsidRPr="00DD3371">
        <w:rPr>
          <w:rFonts w:ascii="Open Sans" w:hAnsi="Open Sans" w:cs="Open Sans"/>
          <w:sz w:val="20"/>
          <w:szCs w:val="20"/>
        </w:rPr>
        <w:t xml:space="preserve">fiscales, ya que no se proporcionan cifras sobre ingresos, gastos, número de trabajadores o cualquier otra magnitud que permita obtener información sobre la dimensión de esa actividad. Por tanto, la información que aporta </w:t>
      </w:r>
      <w:r>
        <w:rPr>
          <w:rFonts w:ascii="Open Sans" w:hAnsi="Open Sans" w:cs="Open Sans"/>
          <w:sz w:val="20"/>
          <w:szCs w:val="20"/>
        </w:rPr>
        <w:t>GNF</w:t>
      </w:r>
      <w:r w:rsidRPr="00DD3371">
        <w:rPr>
          <w:rFonts w:ascii="Open Sans" w:hAnsi="Open Sans" w:cs="Open Sans"/>
          <w:sz w:val="20"/>
          <w:szCs w:val="20"/>
        </w:rPr>
        <w:t xml:space="preserve"> sobre su actividad en paraísos </w:t>
      </w:r>
      <w:r>
        <w:rPr>
          <w:rFonts w:ascii="Open Sans" w:hAnsi="Open Sans" w:cs="Open Sans"/>
          <w:sz w:val="20"/>
          <w:szCs w:val="20"/>
        </w:rPr>
        <w:t xml:space="preserve">o nichos </w:t>
      </w:r>
      <w:r w:rsidRPr="00DD3371">
        <w:rPr>
          <w:rFonts w:ascii="Open Sans" w:hAnsi="Open Sans" w:cs="Open Sans"/>
          <w:sz w:val="20"/>
          <w:szCs w:val="20"/>
        </w:rPr>
        <w:t xml:space="preserve">fiscales </w:t>
      </w:r>
      <w:r>
        <w:rPr>
          <w:rFonts w:ascii="Open Sans" w:hAnsi="Open Sans" w:cs="Open Sans"/>
          <w:sz w:val="20"/>
          <w:szCs w:val="20"/>
        </w:rPr>
        <w:t xml:space="preserve">resulta </w:t>
      </w:r>
      <w:r w:rsidRPr="00DD3371">
        <w:rPr>
          <w:rFonts w:ascii="Open Sans" w:hAnsi="Open Sans" w:cs="Open Sans"/>
          <w:sz w:val="20"/>
          <w:szCs w:val="20"/>
        </w:rPr>
        <w:t xml:space="preserve"> insuficiente</w:t>
      </w:r>
      <w:r>
        <w:rPr>
          <w:rFonts w:ascii="Open Sans" w:hAnsi="Open Sans" w:cs="Open Sans"/>
          <w:sz w:val="20"/>
          <w:szCs w:val="20"/>
        </w:rPr>
        <w:t xml:space="preserve"> desde una perspectiva de fiscalidad responsable como elemento sustancial de la RSC y de un proceso de rendición de cuentas</w:t>
      </w:r>
      <w:r w:rsidRPr="00DD3371">
        <w:rPr>
          <w:rFonts w:ascii="Open Sans" w:hAnsi="Open Sans" w:cs="Open Sans"/>
          <w:sz w:val="20"/>
          <w:szCs w:val="20"/>
        </w:rPr>
        <w:t xml:space="preserve">. </w:t>
      </w:r>
    </w:p>
    <w:p w14:paraId="2E8F4D1B" w14:textId="77777777" w:rsidR="00A1554D" w:rsidRPr="00DD3371" w:rsidRDefault="00A1554D" w:rsidP="00A1554D">
      <w:pPr>
        <w:jc w:val="both"/>
        <w:rPr>
          <w:rFonts w:ascii="Open Sans" w:hAnsi="Open Sans" w:cs="Open Sans"/>
          <w:sz w:val="20"/>
          <w:szCs w:val="20"/>
        </w:rPr>
      </w:pPr>
    </w:p>
    <w:p w14:paraId="4A8DDF19"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En el Anexo del Informe Anual Integrado figura una lista con las sociedades que pertencen al grupo Gas Natural Fenosa, aportando información sobre el país de domicilio, la actividad, el método de consolidación y el porcentaje de participación de </w:t>
      </w:r>
      <w:r>
        <w:rPr>
          <w:rFonts w:ascii="Open Sans" w:hAnsi="Open Sans" w:cs="Open Sans"/>
          <w:sz w:val="20"/>
          <w:szCs w:val="20"/>
        </w:rPr>
        <w:t>GNF</w:t>
      </w:r>
      <w:r w:rsidRPr="00DD3371">
        <w:rPr>
          <w:rFonts w:ascii="Open Sans" w:hAnsi="Open Sans" w:cs="Open Sans"/>
          <w:sz w:val="20"/>
          <w:szCs w:val="20"/>
        </w:rPr>
        <w:t xml:space="preserve"> en ellas. Esta información permite saber si la participación de Gas Natural en las sociedades del grupo es mayoritaria o no, pero no permite obtener una imagen de la estructura societaria de Gas Natural</w:t>
      </w:r>
      <w:r>
        <w:rPr>
          <w:rFonts w:ascii="Open Sans" w:hAnsi="Open Sans" w:cs="Open Sans"/>
          <w:sz w:val="20"/>
          <w:szCs w:val="20"/>
        </w:rPr>
        <w:t xml:space="preserve"> Fenosa</w:t>
      </w:r>
      <w:r w:rsidRPr="00DD3371">
        <w:rPr>
          <w:rFonts w:ascii="Open Sans" w:hAnsi="Open Sans" w:cs="Open Sans"/>
          <w:sz w:val="20"/>
          <w:szCs w:val="20"/>
        </w:rPr>
        <w:t xml:space="preserve">. </w:t>
      </w:r>
    </w:p>
    <w:p w14:paraId="3FB49733" w14:textId="77777777" w:rsidR="00A1554D" w:rsidRPr="00DD3371" w:rsidRDefault="00A1554D" w:rsidP="00A1554D">
      <w:pPr>
        <w:jc w:val="both"/>
        <w:rPr>
          <w:rFonts w:ascii="Open Sans" w:hAnsi="Open Sans" w:cs="Open Sans"/>
          <w:sz w:val="20"/>
          <w:szCs w:val="20"/>
        </w:rPr>
      </w:pPr>
    </w:p>
    <w:p w14:paraId="0E19668F"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Entre los accionistas mayoritarios de </w:t>
      </w:r>
      <w:r>
        <w:rPr>
          <w:rFonts w:ascii="Open Sans" w:hAnsi="Open Sans" w:cs="Open Sans"/>
          <w:sz w:val="20"/>
          <w:szCs w:val="20"/>
        </w:rPr>
        <w:t>GNF</w:t>
      </w:r>
      <w:r w:rsidRPr="00DD3371">
        <w:rPr>
          <w:rFonts w:ascii="Open Sans" w:hAnsi="Open Sans" w:cs="Open Sans"/>
          <w:sz w:val="20"/>
          <w:szCs w:val="20"/>
        </w:rPr>
        <w:t xml:space="preserve"> figuran La Caixa (34,4% de los derechos de voto) y Repsol (30% de los derechos de voto). Repsol también tiene numerosas sociedades en paraísos o nichos fiscales. </w:t>
      </w:r>
    </w:p>
    <w:p w14:paraId="7F80260E" w14:textId="77777777" w:rsidR="00A1554D" w:rsidRPr="006B2BAF" w:rsidRDefault="00A1554D" w:rsidP="00A1554D">
      <w:pPr>
        <w:jc w:val="both"/>
        <w:rPr>
          <w:rFonts w:ascii="Open Sans" w:hAnsi="Open Sans" w:cs="Open Sans"/>
          <w:sz w:val="20"/>
          <w:szCs w:val="20"/>
          <w:lang w:val="es-ES"/>
        </w:rPr>
      </w:pPr>
    </w:p>
    <w:p w14:paraId="7240EA6F" w14:textId="77777777" w:rsidR="00A1554D" w:rsidRPr="006B2BAF" w:rsidRDefault="00A1554D" w:rsidP="00A1554D">
      <w:pPr>
        <w:jc w:val="both"/>
        <w:rPr>
          <w:rFonts w:ascii="Open Sans" w:hAnsi="Open Sans" w:cs="Open Sans"/>
          <w:sz w:val="20"/>
          <w:szCs w:val="20"/>
          <w:lang w:val="es-ES"/>
        </w:rPr>
      </w:pPr>
    </w:p>
    <w:p w14:paraId="3F6E8E33"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3. Contribución fiscal</w:t>
      </w:r>
    </w:p>
    <w:p w14:paraId="0F520755" w14:textId="77777777" w:rsidR="00A1554D" w:rsidRPr="00DD3371" w:rsidRDefault="00A1554D" w:rsidP="00A1554D">
      <w:pPr>
        <w:jc w:val="both"/>
        <w:rPr>
          <w:rFonts w:ascii="Open Sans" w:hAnsi="Open Sans" w:cs="Open Sans"/>
          <w:sz w:val="20"/>
          <w:szCs w:val="20"/>
        </w:rPr>
      </w:pPr>
    </w:p>
    <w:p w14:paraId="58F00252" w14:textId="77777777" w:rsidR="00A1554D" w:rsidRPr="00DD3371" w:rsidRDefault="00A1554D" w:rsidP="00A1554D">
      <w:pPr>
        <w:autoSpaceDE w:val="0"/>
        <w:autoSpaceDN w:val="0"/>
        <w:adjustRightInd w:val="0"/>
        <w:jc w:val="both"/>
        <w:rPr>
          <w:rFonts w:ascii="Open Sans" w:hAnsi="Open Sans" w:cs="Open Sans"/>
          <w:sz w:val="20"/>
          <w:szCs w:val="20"/>
        </w:rPr>
      </w:pPr>
      <w:r w:rsidRPr="00DD3371">
        <w:rPr>
          <w:rFonts w:ascii="Open Sans" w:hAnsi="Open Sans" w:cs="Open Sans"/>
          <w:sz w:val="20"/>
          <w:szCs w:val="20"/>
        </w:rPr>
        <w:t xml:space="preserve">En la información consultada no figura cuál es la tasa impositiva, tanto nominal como efectiva, que soporta </w:t>
      </w:r>
      <w:r>
        <w:rPr>
          <w:rFonts w:ascii="Open Sans" w:hAnsi="Open Sans" w:cs="Open Sans"/>
          <w:sz w:val="20"/>
          <w:szCs w:val="20"/>
        </w:rPr>
        <w:t>GNF</w:t>
      </w:r>
      <w:r w:rsidRPr="00DD3371">
        <w:rPr>
          <w:rFonts w:ascii="Open Sans" w:hAnsi="Open Sans" w:cs="Open Sans"/>
          <w:sz w:val="20"/>
          <w:szCs w:val="20"/>
        </w:rPr>
        <w:t xml:space="preserve"> en cada uno de los países en los que operan sus sociedades. Sí que se proporciona el total de impuestos pagados por </w:t>
      </w:r>
      <w:r w:rsidRPr="0042585B">
        <w:rPr>
          <w:rFonts w:ascii="Open Sans" w:eastAsia="Calibri" w:hAnsi="Open Sans" w:cs="Open Sans"/>
          <w:sz w:val="20"/>
          <w:szCs w:val="20"/>
        </w:rPr>
        <w:t>países, distinguiendo entre impuesto sobre beneficio y otros impuestos (IVA, Impuesto sobre Hidrocarburos y otros), pero</w:t>
      </w:r>
      <w:r w:rsidRPr="00DD3371">
        <w:rPr>
          <w:rFonts w:ascii="Open Sans" w:hAnsi="Open Sans" w:cs="Open Sans"/>
          <w:sz w:val="20"/>
          <w:szCs w:val="20"/>
        </w:rPr>
        <w:t xml:space="preserve"> sin desagregar importe correspondiente a la actividad en paraísos</w:t>
      </w:r>
      <w:r>
        <w:rPr>
          <w:rFonts w:ascii="Open Sans" w:hAnsi="Open Sans" w:cs="Open Sans"/>
          <w:sz w:val="20"/>
          <w:szCs w:val="20"/>
        </w:rPr>
        <w:t xml:space="preserve"> o nichos</w:t>
      </w:r>
      <w:r w:rsidRPr="00DD3371">
        <w:rPr>
          <w:rFonts w:ascii="Open Sans" w:hAnsi="Open Sans" w:cs="Open Sans"/>
          <w:sz w:val="20"/>
          <w:szCs w:val="20"/>
        </w:rPr>
        <w:t xml:space="preserve"> fiscales</w:t>
      </w:r>
      <w:r>
        <w:rPr>
          <w:rFonts w:ascii="Open Sans" w:hAnsi="Open Sans" w:cs="Open Sans"/>
          <w:sz w:val="20"/>
          <w:szCs w:val="20"/>
        </w:rPr>
        <w:t>, salvo para el caso de Panamá</w:t>
      </w:r>
      <w:r w:rsidRPr="00DD3371">
        <w:rPr>
          <w:rFonts w:ascii="Open Sans" w:hAnsi="Open Sans" w:cs="Open Sans"/>
          <w:sz w:val="20"/>
          <w:szCs w:val="20"/>
        </w:rPr>
        <w:t xml:space="preserve">.  </w:t>
      </w:r>
      <w:r w:rsidRPr="00DD3371">
        <w:rPr>
          <w:rFonts w:ascii="Open Sans" w:eastAsia="Calibri" w:hAnsi="Open Sans" w:cs="Open Sans"/>
          <w:sz w:val="20"/>
          <w:szCs w:val="20"/>
        </w:rPr>
        <w:t xml:space="preserve">No facilita información </w:t>
      </w:r>
      <w:r w:rsidRPr="00DD3371">
        <w:rPr>
          <w:rFonts w:ascii="Open Sans" w:hAnsi="Open Sans" w:cs="Open Sans"/>
          <w:sz w:val="20"/>
          <w:szCs w:val="20"/>
        </w:rPr>
        <w:t xml:space="preserve">sobre la existencia, en su caso,  de Tax rulings. </w:t>
      </w:r>
    </w:p>
    <w:p w14:paraId="0A95F7B5" w14:textId="77777777" w:rsidR="00A1554D" w:rsidRPr="00DD3371" w:rsidRDefault="00A1554D" w:rsidP="00A1554D">
      <w:pPr>
        <w:jc w:val="both"/>
        <w:rPr>
          <w:rFonts w:ascii="Open Sans" w:hAnsi="Open Sans" w:cs="Open Sans"/>
          <w:sz w:val="20"/>
          <w:szCs w:val="20"/>
        </w:rPr>
      </w:pPr>
    </w:p>
    <w:p w14:paraId="364C8E28"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Se proporciona información sobre los ingresos diferidos procedentes de subvenciones oficiales. En la cuenta de pérdidas y ganancias también se indica la cuantía correspondiente a subvenciones, pero de forma agregada. </w:t>
      </w:r>
    </w:p>
    <w:p w14:paraId="31F65F3C" w14:textId="77777777" w:rsidR="00A1554D" w:rsidRPr="00DD3371" w:rsidRDefault="00A1554D" w:rsidP="00A1554D">
      <w:pPr>
        <w:jc w:val="both"/>
        <w:rPr>
          <w:rFonts w:ascii="Open Sans" w:hAnsi="Open Sans" w:cs="Open Sans"/>
          <w:sz w:val="20"/>
          <w:szCs w:val="20"/>
        </w:rPr>
      </w:pPr>
    </w:p>
    <w:p w14:paraId="53B05E4E"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Se describen brevemente las deducciones fiscales, aportándose cifras sobre su importe. Sin embargo, no se indica explícitamente en qué países se han producido esas deducciones. La información sobre exenciones fiscales es prácticamente inexistente, mientras que la de créditos fiscales se proporciona de forma agregada. En el año 2015 el importe de los créditos fiscales ha ascendido a 93 millones de euros, con otros 27 millones pendientes de registrar.</w:t>
      </w:r>
      <w:r>
        <w:rPr>
          <w:rFonts w:ascii="Open Sans" w:hAnsi="Open Sans" w:cs="Open Sans"/>
          <w:sz w:val="20"/>
          <w:szCs w:val="20"/>
        </w:rPr>
        <w:t xml:space="preserve"> La empresa afirma que la mayor parte de los créditos fiscales se corresponden a bases imponibles negativas. </w:t>
      </w:r>
    </w:p>
    <w:p w14:paraId="301ECA8D" w14:textId="77777777" w:rsidR="00A1554D" w:rsidRPr="00DD3371" w:rsidRDefault="00A1554D" w:rsidP="00A1554D">
      <w:pPr>
        <w:jc w:val="both"/>
        <w:rPr>
          <w:rFonts w:ascii="Open Sans" w:hAnsi="Open Sans" w:cs="Open Sans"/>
          <w:sz w:val="20"/>
          <w:szCs w:val="20"/>
        </w:rPr>
      </w:pPr>
    </w:p>
    <w:p w14:paraId="284D5280" w14:textId="77777777" w:rsidR="00A1554D" w:rsidRPr="00DD3371" w:rsidRDefault="00A1554D" w:rsidP="00A1554D">
      <w:pPr>
        <w:jc w:val="both"/>
        <w:rPr>
          <w:rFonts w:ascii="Open Sans" w:hAnsi="Open Sans" w:cs="Open Sans"/>
          <w:sz w:val="20"/>
          <w:szCs w:val="20"/>
        </w:rPr>
      </w:pPr>
    </w:p>
    <w:p w14:paraId="3962B2B8"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4. Relación con la Administración Pública</w:t>
      </w:r>
    </w:p>
    <w:p w14:paraId="1A6F1BDB" w14:textId="77777777" w:rsidR="00A1554D" w:rsidRPr="00DD3371" w:rsidRDefault="00A1554D" w:rsidP="00A1554D">
      <w:pPr>
        <w:jc w:val="both"/>
        <w:rPr>
          <w:rFonts w:ascii="Open Sans" w:hAnsi="Open Sans" w:cs="Open Sans"/>
          <w:sz w:val="20"/>
          <w:szCs w:val="20"/>
        </w:rPr>
      </w:pPr>
    </w:p>
    <w:p w14:paraId="338C6053"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La información que aporta </w:t>
      </w:r>
      <w:r>
        <w:rPr>
          <w:rFonts w:ascii="Open Sans" w:hAnsi="Open Sans" w:cs="Open Sans"/>
          <w:sz w:val="20"/>
          <w:szCs w:val="20"/>
        </w:rPr>
        <w:t>GNF</w:t>
      </w:r>
      <w:r w:rsidRPr="00DD3371">
        <w:rPr>
          <w:rFonts w:ascii="Open Sans" w:hAnsi="Open Sans" w:cs="Open Sans"/>
          <w:sz w:val="20"/>
          <w:szCs w:val="20"/>
        </w:rPr>
        <w:t xml:space="preserve"> sobre su relación con la Administración Pública en materia fiscal se remite a lo descrito por la compañía en lo que respecta a su adhesión al Código de Buenas Prácticas de la Agencia Tributaria. Se establece un compromiso con la transparencia y la colaboración con la Agencia Tributaria, pero no se especifica cómo se va llevar a cabo. </w:t>
      </w:r>
    </w:p>
    <w:p w14:paraId="2B5819BC" w14:textId="77777777" w:rsidR="00A1554D" w:rsidRPr="00DD3371" w:rsidRDefault="00A1554D" w:rsidP="00A1554D">
      <w:pPr>
        <w:jc w:val="both"/>
        <w:rPr>
          <w:rFonts w:ascii="Open Sans" w:hAnsi="Open Sans" w:cs="Open Sans"/>
          <w:sz w:val="20"/>
          <w:szCs w:val="20"/>
        </w:rPr>
      </w:pPr>
    </w:p>
    <w:p w14:paraId="6DE00302" w14:textId="77777777" w:rsidR="00A1554D" w:rsidRDefault="00A1554D" w:rsidP="00A1554D">
      <w:pPr>
        <w:jc w:val="both"/>
        <w:rPr>
          <w:rFonts w:ascii="Open Sans" w:hAnsi="Open Sans" w:cs="Open Sans"/>
          <w:sz w:val="20"/>
          <w:szCs w:val="20"/>
        </w:rPr>
      </w:pPr>
      <w:r w:rsidRPr="00DD3371">
        <w:rPr>
          <w:rFonts w:ascii="Open Sans" w:hAnsi="Open Sans" w:cs="Open Sans"/>
          <w:sz w:val="20"/>
          <w:szCs w:val="20"/>
        </w:rPr>
        <w:t xml:space="preserve">Respecto a litigios en el ámbito fiscal, </w:t>
      </w:r>
      <w:r>
        <w:rPr>
          <w:rFonts w:ascii="Open Sans" w:hAnsi="Open Sans" w:cs="Open Sans"/>
          <w:sz w:val="20"/>
          <w:szCs w:val="20"/>
        </w:rPr>
        <w:t>GNF</w:t>
      </w:r>
      <w:r w:rsidRPr="00DD3371">
        <w:rPr>
          <w:rFonts w:ascii="Open Sans" w:hAnsi="Open Sans" w:cs="Open Sans"/>
          <w:sz w:val="20"/>
          <w:szCs w:val="20"/>
        </w:rPr>
        <w:t xml:space="preserve"> señala que "</w:t>
      </w:r>
      <w:r w:rsidRPr="00DD3371">
        <w:rPr>
          <w:rFonts w:ascii="Open Sans" w:hAnsi="Open Sans" w:cs="Open Sans"/>
          <w:i/>
          <w:sz w:val="20"/>
          <w:szCs w:val="20"/>
        </w:rPr>
        <w:t>Gas Natural Fenosa tiene constituidas provisiones para hacer frente a obligaciones derivadas de diversas reclamaciones fiscales.</w:t>
      </w:r>
      <w:r w:rsidRPr="00DD3371">
        <w:rPr>
          <w:rFonts w:ascii="Open Sans" w:hAnsi="Open Sans" w:cs="Open Sans"/>
          <w:sz w:val="20"/>
          <w:szCs w:val="20"/>
        </w:rPr>
        <w:t xml:space="preserve"> </w:t>
      </w:r>
      <w:r w:rsidRPr="00DD3371">
        <w:rPr>
          <w:rFonts w:ascii="Open Sans" w:hAnsi="Open Sans" w:cs="Open Sans"/>
          <w:i/>
          <w:sz w:val="20"/>
          <w:szCs w:val="20"/>
        </w:rPr>
        <w:t>A 31 de diciembre de 2015, el principal litigio de naturaleza fiscal que afecta al grupo corresponde a la deducción por actividades de exportación. […]El importe total de dichas actas a 31 de diciembre de 2015, incluyendo intereses, asciende a 93 millones de euros, importe íntegramente provisionado</w:t>
      </w:r>
      <w:r w:rsidRPr="00DD3371">
        <w:rPr>
          <w:rFonts w:ascii="Open Sans" w:hAnsi="Open Sans" w:cs="Open Sans"/>
          <w:sz w:val="20"/>
          <w:szCs w:val="20"/>
        </w:rPr>
        <w:t>"</w:t>
      </w:r>
      <w:r w:rsidRPr="00DD3371">
        <w:rPr>
          <w:rStyle w:val="Refdenotaalpie"/>
          <w:rFonts w:ascii="Open Sans" w:hAnsi="Open Sans" w:cs="Open Sans"/>
          <w:sz w:val="20"/>
          <w:szCs w:val="20"/>
        </w:rPr>
        <w:footnoteReference w:id="418"/>
      </w:r>
      <w:r w:rsidRPr="00DD3371">
        <w:rPr>
          <w:rFonts w:ascii="Open Sans" w:hAnsi="Open Sans" w:cs="Open Sans"/>
          <w:sz w:val="20"/>
          <w:szCs w:val="20"/>
        </w:rPr>
        <w:t xml:space="preserve">. La compañía menciona explícitamente "el principal litigio", así que podría haber otros litigios en curso de los que no se proporciona información. También se menciona la existencia de un litigio con la Administración Tributaria Brasileña. </w:t>
      </w:r>
    </w:p>
    <w:p w14:paraId="45E04908" w14:textId="77777777" w:rsidR="00A1554D" w:rsidRDefault="00A1554D" w:rsidP="00A1554D">
      <w:pPr>
        <w:jc w:val="both"/>
        <w:rPr>
          <w:rFonts w:ascii="Open Sans" w:hAnsi="Open Sans" w:cs="Open Sans"/>
          <w:sz w:val="20"/>
          <w:szCs w:val="20"/>
        </w:rPr>
      </w:pPr>
    </w:p>
    <w:p w14:paraId="35AABA2D" w14:textId="77777777" w:rsidR="00A1554D" w:rsidRPr="00DD3371" w:rsidRDefault="00A1554D" w:rsidP="00A1554D">
      <w:pPr>
        <w:jc w:val="both"/>
        <w:rPr>
          <w:rFonts w:ascii="Open Sans" w:hAnsi="Open Sans" w:cs="Open Sans"/>
          <w:sz w:val="20"/>
          <w:szCs w:val="20"/>
        </w:rPr>
      </w:pPr>
    </w:p>
    <w:p w14:paraId="485E8190"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5. Otras cuestiones fiscales</w:t>
      </w:r>
    </w:p>
    <w:p w14:paraId="6C9D39FE" w14:textId="77777777" w:rsidR="00A1554D" w:rsidRPr="00DD3371" w:rsidRDefault="00A1554D" w:rsidP="00A1554D">
      <w:pPr>
        <w:jc w:val="both"/>
        <w:rPr>
          <w:rFonts w:ascii="Open Sans" w:hAnsi="Open Sans" w:cs="Open Sans"/>
          <w:sz w:val="20"/>
          <w:szCs w:val="20"/>
        </w:rPr>
      </w:pPr>
    </w:p>
    <w:p w14:paraId="66C6A674" w14:textId="77777777" w:rsidR="00A1554D" w:rsidRPr="00DD3371" w:rsidRDefault="00A1554D" w:rsidP="00A1554D">
      <w:pPr>
        <w:jc w:val="both"/>
        <w:rPr>
          <w:rFonts w:ascii="Open Sans" w:eastAsia="Calibri" w:hAnsi="Open Sans" w:cs="Open Sans"/>
          <w:sz w:val="20"/>
          <w:szCs w:val="20"/>
        </w:rPr>
      </w:pPr>
      <w:r w:rsidRPr="00DD3371">
        <w:rPr>
          <w:rFonts w:ascii="Open Sans" w:eastAsia="Calibri" w:hAnsi="Open Sans" w:cs="Open Sans"/>
          <w:sz w:val="20"/>
          <w:szCs w:val="20"/>
        </w:rPr>
        <w:t xml:space="preserve">En relación a operaciones intragrupo, </w:t>
      </w:r>
      <w:r>
        <w:rPr>
          <w:rFonts w:ascii="Open Sans" w:eastAsia="Calibri" w:hAnsi="Open Sans" w:cs="Open Sans"/>
          <w:sz w:val="20"/>
          <w:szCs w:val="20"/>
        </w:rPr>
        <w:t xml:space="preserve">la empresa </w:t>
      </w:r>
      <w:r w:rsidRPr="002E3DF6">
        <w:rPr>
          <w:rFonts w:ascii="Open Sans" w:eastAsia="Calibri" w:hAnsi="Open Sans" w:cs="Open Sans"/>
          <w:sz w:val="20"/>
          <w:szCs w:val="20"/>
        </w:rPr>
        <w:t>hace mención a que, las operaciones realizadas entre sociedades del grupo forman parte del tráfico habitual y se han cerrado en condiciones de mercado, detallándose el importe de los saldos y transacciones con sociedades que se consolidan por el método de la participación</w:t>
      </w:r>
      <w:r>
        <w:rPr>
          <w:rFonts w:ascii="Open Sans" w:eastAsia="Calibri" w:hAnsi="Open Sans" w:cs="Open Sans"/>
          <w:sz w:val="20"/>
          <w:szCs w:val="20"/>
        </w:rPr>
        <w:t>, sin embargo no facilita información  detallada métodos para el cálculo de valor de mercado</w:t>
      </w:r>
      <w:r w:rsidRPr="00DD3371">
        <w:rPr>
          <w:rFonts w:ascii="Open Sans" w:eastAsia="Calibri" w:hAnsi="Open Sans" w:cs="Open Sans"/>
          <w:sz w:val="20"/>
          <w:szCs w:val="20"/>
        </w:rPr>
        <w:t xml:space="preserve">, desde qué sociedades gestiona los derechos de marca y propiedad intelectual, ni las operaciones de financiación realizadas entre sociedades del grupo y condiciones asignadas a las mismas. Tener conocimiento de estas operaciones es fundamental para poder deducir si la empresa está operando a través de su estructura societaria para implementar estrategias de optimización fiscal. </w:t>
      </w:r>
    </w:p>
    <w:p w14:paraId="6DECA09B" w14:textId="77777777" w:rsidR="00A1554D" w:rsidRPr="00DD3371" w:rsidRDefault="00A1554D" w:rsidP="00A1554D">
      <w:pPr>
        <w:jc w:val="both"/>
        <w:rPr>
          <w:rFonts w:ascii="Open Sans" w:hAnsi="Open Sans" w:cs="Open Sans"/>
          <w:sz w:val="20"/>
          <w:szCs w:val="20"/>
        </w:rPr>
      </w:pPr>
    </w:p>
    <w:p w14:paraId="29DA4CCD" w14:textId="77777777" w:rsidR="00A1554D" w:rsidRPr="00DD3371" w:rsidRDefault="00A1554D" w:rsidP="00A1554D">
      <w:pPr>
        <w:jc w:val="both"/>
        <w:rPr>
          <w:rFonts w:ascii="Open Sans" w:hAnsi="Open Sans" w:cs="Open Sans"/>
          <w:sz w:val="20"/>
          <w:szCs w:val="20"/>
        </w:rPr>
      </w:pPr>
      <w:r>
        <w:rPr>
          <w:rFonts w:ascii="Open Sans" w:hAnsi="Open Sans" w:cs="Open Sans"/>
          <w:sz w:val="20"/>
          <w:szCs w:val="20"/>
        </w:rPr>
        <w:br w:type="page"/>
      </w:r>
    </w:p>
    <w:p w14:paraId="36C11CEE" w14:textId="77777777" w:rsidR="00A1554D" w:rsidRPr="00DD3371" w:rsidRDefault="00A1554D" w:rsidP="00A1554D">
      <w:pPr>
        <w:rPr>
          <w:rFonts w:ascii="Open Sans" w:hAnsi="Open Sans" w:cs="Open Sans"/>
          <w:bCs/>
          <w:sz w:val="20"/>
          <w:szCs w:val="20"/>
          <w:u w:val="single"/>
        </w:rPr>
      </w:pPr>
      <w:r w:rsidRPr="00DD3371">
        <w:rPr>
          <w:rFonts w:ascii="Open Sans" w:hAnsi="Open Sans" w:cs="Open Sans"/>
          <w:b/>
          <w:sz w:val="20"/>
          <w:szCs w:val="20"/>
          <w:u w:val="single"/>
        </w:rPr>
        <w:t>5. Conclusiones</w:t>
      </w:r>
    </w:p>
    <w:p w14:paraId="297FA2BD" w14:textId="77777777" w:rsidR="00A1554D" w:rsidRPr="00DD3371" w:rsidRDefault="00A1554D" w:rsidP="00A1554D">
      <w:pPr>
        <w:rPr>
          <w:rFonts w:ascii="Open Sans" w:hAnsi="Open Sans" w:cs="Open Sans"/>
          <w:bCs/>
          <w:sz w:val="20"/>
          <w:szCs w:val="20"/>
        </w:rPr>
      </w:pPr>
    </w:p>
    <w:p w14:paraId="2093030E" w14:textId="77777777" w:rsidR="00A1554D" w:rsidRPr="00DD3371" w:rsidRDefault="00A1554D" w:rsidP="00A1554D">
      <w:pPr>
        <w:pStyle w:val="Default"/>
        <w:jc w:val="both"/>
        <w:rPr>
          <w:rFonts w:ascii="Open Sans" w:hAnsi="Open Sans" w:cs="Open Sans"/>
          <w:color w:val="auto"/>
          <w:sz w:val="20"/>
          <w:szCs w:val="20"/>
        </w:rPr>
      </w:pPr>
      <w:r w:rsidRPr="00DD3371">
        <w:rPr>
          <w:rFonts w:ascii="Open Sans" w:hAnsi="Open Sans" w:cs="Open Sans"/>
          <w:color w:val="auto"/>
          <w:sz w:val="20"/>
          <w:szCs w:val="20"/>
        </w:rPr>
        <w:t xml:space="preserve">La valoración global de la transparencia de Gas Natural Fenosa en el ámbito fiscal es de </w:t>
      </w:r>
      <w:r>
        <w:rPr>
          <w:rFonts w:ascii="Open Sans" w:hAnsi="Open Sans" w:cs="Open Sans"/>
          <w:b/>
          <w:color w:val="auto"/>
          <w:sz w:val="20"/>
          <w:szCs w:val="20"/>
        </w:rPr>
        <w:t>0,51</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w:t>
      </w:r>
      <w:r w:rsidRPr="00DD3371">
        <w:rPr>
          <w:rFonts w:ascii="Open Sans" w:hAnsi="Open Sans" w:cs="Open Sans"/>
          <w:color w:val="auto"/>
          <w:sz w:val="20"/>
          <w:szCs w:val="20"/>
        </w:rPr>
        <w:t xml:space="preserve"> De las dimensiones analizadas, la máxima puntuación se obtiene en los aspectos relacionados con “impuestos e incentivos” (0,67), seguidos por</w:t>
      </w:r>
      <w:r>
        <w:rPr>
          <w:rFonts w:ascii="Open Sans" w:hAnsi="Open Sans" w:cs="Open Sans"/>
          <w:color w:val="auto"/>
          <w:sz w:val="20"/>
          <w:szCs w:val="20"/>
        </w:rPr>
        <w:t xml:space="preserve"> </w:t>
      </w:r>
      <w:r w:rsidRPr="00DD3371">
        <w:rPr>
          <w:rFonts w:ascii="Open Sans" w:hAnsi="Open Sans" w:cs="Open Sans"/>
          <w:color w:val="auto"/>
          <w:sz w:val="20"/>
          <w:szCs w:val="20"/>
        </w:rPr>
        <w:t>“paraísos</w:t>
      </w:r>
      <w:r>
        <w:rPr>
          <w:rFonts w:ascii="Open Sans" w:hAnsi="Open Sans" w:cs="Open Sans"/>
          <w:color w:val="auto"/>
          <w:sz w:val="20"/>
          <w:szCs w:val="20"/>
        </w:rPr>
        <w:t xml:space="preserve"> y nichos fiscales” (0,57), </w:t>
      </w:r>
      <w:r w:rsidRPr="00DD3371">
        <w:rPr>
          <w:rFonts w:ascii="Open Sans" w:hAnsi="Open Sans" w:cs="Open Sans"/>
          <w:color w:val="auto"/>
          <w:sz w:val="20"/>
          <w:szCs w:val="20"/>
        </w:rPr>
        <w:t>la “pol</w:t>
      </w:r>
      <w:r>
        <w:rPr>
          <w:rFonts w:ascii="Open Sans" w:hAnsi="Open Sans" w:cs="Open Sans"/>
          <w:color w:val="auto"/>
          <w:sz w:val="20"/>
          <w:szCs w:val="20"/>
        </w:rPr>
        <w:t>ítica y estrategia fiscal” (0,40)</w:t>
      </w:r>
      <w:r w:rsidRPr="00DD3371">
        <w:rPr>
          <w:rFonts w:ascii="Open Sans" w:hAnsi="Open Sans" w:cs="Open Sans"/>
          <w:color w:val="auto"/>
          <w:sz w:val="20"/>
          <w:szCs w:val="20"/>
        </w:rPr>
        <w:t xml:space="preserve"> y “relaciones con Admin</w:t>
      </w:r>
      <w:r>
        <w:rPr>
          <w:rFonts w:ascii="Open Sans" w:hAnsi="Open Sans" w:cs="Open Sans"/>
          <w:color w:val="auto"/>
          <w:sz w:val="20"/>
          <w:szCs w:val="20"/>
        </w:rPr>
        <w:t>istraciones Tributarias” (0,40</w:t>
      </w:r>
      <w:r w:rsidRPr="00DD3371">
        <w:rPr>
          <w:rFonts w:ascii="Open Sans" w:hAnsi="Open Sans" w:cs="Open Sans"/>
          <w:color w:val="auto"/>
          <w:sz w:val="20"/>
          <w:szCs w:val="20"/>
        </w:rPr>
        <w:t xml:space="preserve">). </w:t>
      </w:r>
    </w:p>
    <w:p w14:paraId="42E8F41F" w14:textId="77777777" w:rsidR="00A1554D" w:rsidRPr="00DD3371" w:rsidRDefault="00A1554D" w:rsidP="00A1554D">
      <w:pPr>
        <w:jc w:val="both"/>
        <w:rPr>
          <w:rFonts w:ascii="Open Sans" w:hAnsi="Open Sans" w:cs="Open Sans"/>
          <w:sz w:val="20"/>
          <w:szCs w:val="20"/>
        </w:rPr>
      </w:pPr>
    </w:p>
    <w:p w14:paraId="7DEA2066"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Existe un "Procedimiento General de Buenas Prácticas Tributarias", y la empresa suscribe el Código de Buenas Prácticas de la Agencia Tributaria, pero no se</w:t>
      </w:r>
      <w:r>
        <w:rPr>
          <w:rFonts w:ascii="Open Sans" w:hAnsi="Open Sans" w:cs="Open Sans"/>
          <w:sz w:val="20"/>
          <w:szCs w:val="20"/>
        </w:rPr>
        <w:t xml:space="preserve"> ha encontrado información sobre el proceso de  identificación de </w:t>
      </w:r>
      <w:r w:rsidRPr="00DD3371">
        <w:rPr>
          <w:rFonts w:ascii="Open Sans" w:hAnsi="Open Sans" w:cs="Open Sans"/>
          <w:sz w:val="20"/>
          <w:szCs w:val="20"/>
        </w:rPr>
        <w:t xml:space="preserve"> riesgos fiscales ni tampoco se observa la existencia de una estrategia fiscal definida. No se observa que Gas Natural suscriba iniciativas internacionales relacionadas con la fiscalidad como Base erosion and profit shifting (BEPS) o Country by Country Reporting.  </w:t>
      </w:r>
    </w:p>
    <w:p w14:paraId="19E9F2C7" w14:textId="77777777" w:rsidR="00A1554D" w:rsidRPr="00DD3371" w:rsidRDefault="00A1554D" w:rsidP="00A1554D">
      <w:pPr>
        <w:jc w:val="both"/>
        <w:rPr>
          <w:rFonts w:ascii="Open Sans" w:hAnsi="Open Sans" w:cs="Open Sans"/>
          <w:sz w:val="20"/>
          <w:szCs w:val="20"/>
        </w:rPr>
      </w:pPr>
    </w:p>
    <w:p w14:paraId="3F136A39"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La actividad que lleva a cabo </w:t>
      </w:r>
      <w:r>
        <w:rPr>
          <w:rFonts w:ascii="Open Sans" w:hAnsi="Open Sans" w:cs="Open Sans"/>
          <w:sz w:val="20"/>
          <w:szCs w:val="20"/>
        </w:rPr>
        <w:t xml:space="preserve">la empresa en paraísos o nichos  fiscales es, en algunas sociedades y conforme lo declarado en el anexo de las cuentas anuales, </w:t>
      </w:r>
      <w:r w:rsidRPr="00DD3371">
        <w:rPr>
          <w:rFonts w:ascii="Open Sans" w:hAnsi="Open Sans" w:cs="Open Sans"/>
          <w:sz w:val="20"/>
          <w:szCs w:val="20"/>
        </w:rPr>
        <w:t>de carácter financiero</w:t>
      </w:r>
      <w:r>
        <w:rPr>
          <w:rFonts w:ascii="Open Sans" w:hAnsi="Open Sans" w:cs="Open Sans"/>
          <w:sz w:val="20"/>
          <w:szCs w:val="20"/>
        </w:rPr>
        <w:t xml:space="preserve"> (holding)</w:t>
      </w:r>
      <w:r w:rsidRPr="00DD3371">
        <w:rPr>
          <w:rFonts w:ascii="Open Sans" w:hAnsi="Open Sans" w:cs="Open Sans"/>
          <w:sz w:val="20"/>
          <w:szCs w:val="20"/>
        </w:rPr>
        <w:t xml:space="preserve">. En este sentido, la documentación analizada de </w:t>
      </w:r>
      <w:r>
        <w:rPr>
          <w:rFonts w:ascii="Open Sans" w:hAnsi="Open Sans" w:cs="Open Sans"/>
          <w:sz w:val="20"/>
          <w:szCs w:val="20"/>
        </w:rPr>
        <w:t>GNF</w:t>
      </w:r>
      <w:r w:rsidRPr="00DD3371">
        <w:rPr>
          <w:rFonts w:ascii="Open Sans" w:hAnsi="Open Sans" w:cs="Open Sans"/>
          <w:sz w:val="20"/>
          <w:szCs w:val="20"/>
        </w:rPr>
        <w:t xml:space="preserve"> se centra en las actividades relacionadas con el gas y la electricidad, pero no se especifica en ningún momento de forma clara y explícita ni cuál es la contribución de la actividad financiera a los resultados del grupo, ni cuál es el papel que desempeñan los paraísos </w:t>
      </w:r>
      <w:r>
        <w:rPr>
          <w:rFonts w:ascii="Open Sans" w:hAnsi="Open Sans" w:cs="Open Sans"/>
          <w:sz w:val="20"/>
          <w:szCs w:val="20"/>
        </w:rPr>
        <w:t xml:space="preserve">o nichos </w:t>
      </w:r>
      <w:r w:rsidRPr="00DD3371">
        <w:rPr>
          <w:rFonts w:ascii="Open Sans" w:hAnsi="Open Sans" w:cs="Open Sans"/>
          <w:sz w:val="20"/>
          <w:szCs w:val="20"/>
        </w:rPr>
        <w:t xml:space="preserve">fiscales en la actividad financiera.  </w:t>
      </w:r>
    </w:p>
    <w:p w14:paraId="66DEF3CE" w14:textId="77777777" w:rsidR="00A1554D" w:rsidRPr="00DD3371" w:rsidRDefault="00A1554D" w:rsidP="00A1554D">
      <w:pPr>
        <w:jc w:val="both"/>
        <w:rPr>
          <w:rFonts w:ascii="Open Sans" w:hAnsi="Open Sans" w:cs="Open Sans"/>
          <w:sz w:val="20"/>
          <w:szCs w:val="20"/>
        </w:rPr>
      </w:pPr>
    </w:p>
    <w:p w14:paraId="123C23A5"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La información sobre la contribución fiscal proporciona</w:t>
      </w:r>
      <w:r>
        <w:rPr>
          <w:rFonts w:ascii="Open Sans" w:hAnsi="Open Sans" w:cs="Open Sans"/>
          <w:sz w:val="20"/>
          <w:szCs w:val="20"/>
        </w:rPr>
        <w:t>da</w:t>
      </w:r>
      <w:r w:rsidRPr="00DD3371">
        <w:rPr>
          <w:rFonts w:ascii="Open Sans" w:hAnsi="Open Sans" w:cs="Open Sans"/>
          <w:sz w:val="20"/>
          <w:szCs w:val="20"/>
        </w:rPr>
        <w:t xml:space="preserve"> por </w:t>
      </w:r>
      <w:r>
        <w:rPr>
          <w:rFonts w:ascii="Open Sans" w:hAnsi="Open Sans" w:cs="Open Sans"/>
          <w:sz w:val="20"/>
          <w:szCs w:val="20"/>
        </w:rPr>
        <w:t>GNF</w:t>
      </w:r>
      <w:r w:rsidRPr="00DD3371">
        <w:rPr>
          <w:rFonts w:ascii="Open Sans" w:hAnsi="Open Sans" w:cs="Open Sans"/>
          <w:sz w:val="20"/>
          <w:szCs w:val="20"/>
        </w:rPr>
        <w:t xml:space="preserve"> es </w:t>
      </w:r>
      <w:r>
        <w:rPr>
          <w:rFonts w:ascii="Open Sans" w:hAnsi="Open Sans" w:cs="Open Sans"/>
          <w:sz w:val="20"/>
          <w:szCs w:val="20"/>
        </w:rPr>
        <w:t>incompleta</w:t>
      </w:r>
      <w:r w:rsidRPr="00DD3371">
        <w:rPr>
          <w:rFonts w:ascii="Open Sans" w:hAnsi="Open Sans" w:cs="Open Sans"/>
          <w:sz w:val="20"/>
          <w:szCs w:val="20"/>
        </w:rPr>
        <w:t>. No se indican cuáles son los tipos impositivos, ni nominales ni efectivos, que han gravado los resultados de las sociedades en los diferentes países en los que operan, si bien sí que figura</w:t>
      </w:r>
      <w:r>
        <w:rPr>
          <w:rFonts w:ascii="Open Sans" w:hAnsi="Open Sans" w:cs="Open Sans"/>
          <w:sz w:val="20"/>
          <w:szCs w:val="20"/>
        </w:rPr>
        <w:t>n las cifras de impuestos pagado</w:t>
      </w:r>
      <w:r w:rsidRPr="00DD3371">
        <w:rPr>
          <w:rFonts w:ascii="Open Sans" w:hAnsi="Open Sans" w:cs="Open Sans"/>
          <w:sz w:val="20"/>
          <w:szCs w:val="20"/>
        </w:rPr>
        <w:t xml:space="preserve">s por países. La información sobre subvenciones, deducciones, exenciones y créditos fiscales, si la hay, es en líneas generales descriptiva y </w:t>
      </w:r>
      <w:r>
        <w:rPr>
          <w:rFonts w:ascii="Open Sans" w:hAnsi="Open Sans" w:cs="Open Sans"/>
          <w:sz w:val="20"/>
          <w:szCs w:val="20"/>
        </w:rPr>
        <w:t>no se desagrega por países</w:t>
      </w:r>
      <w:r w:rsidRPr="00DD3371">
        <w:rPr>
          <w:rFonts w:ascii="Open Sans" w:hAnsi="Open Sans" w:cs="Open Sans"/>
          <w:sz w:val="20"/>
          <w:szCs w:val="20"/>
        </w:rPr>
        <w:t xml:space="preserve">. </w:t>
      </w:r>
    </w:p>
    <w:p w14:paraId="28302372" w14:textId="77777777" w:rsidR="00A1554D" w:rsidRPr="00DD3371" w:rsidRDefault="00A1554D" w:rsidP="00A1554D">
      <w:pPr>
        <w:jc w:val="both"/>
        <w:rPr>
          <w:rFonts w:ascii="Open Sans" w:hAnsi="Open Sans" w:cs="Open Sans"/>
          <w:sz w:val="20"/>
          <w:szCs w:val="20"/>
        </w:rPr>
      </w:pPr>
    </w:p>
    <w:p w14:paraId="59CC9039"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En el ámbito nacional, la relación de </w:t>
      </w:r>
      <w:r>
        <w:rPr>
          <w:rFonts w:ascii="Open Sans" w:hAnsi="Open Sans" w:cs="Open Sans"/>
          <w:sz w:val="20"/>
          <w:szCs w:val="20"/>
        </w:rPr>
        <w:t>GNF</w:t>
      </w:r>
      <w:r w:rsidRPr="00DD3371">
        <w:rPr>
          <w:rFonts w:ascii="Open Sans" w:hAnsi="Open Sans" w:cs="Open Sans"/>
          <w:sz w:val="20"/>
          <w:szCs w:val="20"/>
        </w:rPr>
        <w:t xml:space="preserve"> con la Administración Pública se rige por el Código de Buenas Prácticas de la Agencia Tributaria, lo que no ha impedido que surjan litigios fiscales entre ambas partes. En el ámbito internacional, no se proporciona información suficiente que permita saber cuál es la relación entre la compañía y las administraciones públicas de los países en los que opera. </w:t>
      </w:r>
    </w:p>
    <w:p w14:paraId="17C5C34F" w14:textId="77777777" w:rsidR="00A1554D" w:rsidRPr="00DD3371" w:rsidRDefault="00A1554D" w:rsidP="00A1554D">
      <w:pPr>
        <w:jc w:val="both"/>
        <w:rPr>
          <w:rFonts w:ascii="Open Sans" w:hAnsi="Open Sans" w:cs="Open Sans"/>
          <w:sz w:val="20"/>
          <w:szCs w:val="20"/>
        </w:rPr>
      </w:pPr>
    </w:p>
    <w:p w14:paraId="18E2770F" w14:textId="77777777" w:rsidR="00A1554D" w:rsidRPr="00DD3371" w:rsidRDefault="00A1554D" w:rsidP="00A1554D">
      <w:pPr>
        <w:jc w:val="both"/>
        <w:rPr>
          <w:rFonts w:ascii="Open Sans" w:hAnsi="Open Sans" w:cs="Open Sans"/>
          <w:sz w:val="20"/>
          <w:szCs w:val="20"/>
        </w:rPr>
      </w:pPr>
      <w:r w:rsidRPr="00DD3371">
        <w:rPr>
          <w:rFonts w:ascii="Open Sans" w:hAnsi="Open Sans" w:cs="Open Sans"/>
          <w:sz w:val="20"/>
          <w:szCs w:val="20"/>
        </w:rPr>
        <w:t xml:space="preserve">No se han encontrado evidencias de que </w:t>
      </w:r>
      <w:r>
        <w:rPr>
          <w:rFonts w:ascii="Open Sans" w:hAnsi="Open Sans" w:cs="Open Sans"/>
          <w:sz w:val="20"/>
          <w:szCs w:val="20"/>
        </w:rPr>
        <w:t>GNF</w:t>
      </w:r>
      <w:r w:rsidRPr="00DD3371">
        <w:rPr>
          <w:rFonts w:ascii="Open Sans" w:hAnsi="Open Sans" w:cs="Open Sans"/>
          <w:sz w:val="20"/>
          <w:szCs w:val="20"/>
        </w:rPr>
        <w:t xml:space="preserve"> haya establecido un diálogo, más allá de con la agencia tributaria, con sus grupos de interés en relación a los aspectos fiscales.</w:t>
      </w:r>
    </w:p>
    <w:p w14:paraId="42FE2742" w14:textId="77777777" w:rsidR="00A1554D" w:rsidRPr="00DD3371" w:rsidRDefault="00A1554D" w:rsidP="00A1554D">
      <w:pPr>
        <w:jc w:val="both"/>
        <w:rPr>
          <w:rFonts w:ascii="Open Sans" w:hAnsi="Open Sans" w:cs="Open Sans"/>
          <w:sz w:val="20"/>
          <w:szCs w:val="20"/>
        </w:rPr>
      </w:pPr>
    </w:p>
    <w:p w14:paraId="6301DF48" w14:textId="6256C404" w:rsidR="00F15B75" w:rsidRPr="00DD3371" w:rsidRDefault="00A1554D" w:rsidP="00F15B75">
      <w:pPr>
        <w:jc w:val="both"/>
        <w:rPr>
          <w:rFonts w:ascii="Open Sans" w:hAnsi="Open Sans" w:cs="Open Sans"/>
        </w:rPr>
      </w:pPr>
      <w:r w:rsidRPr="00DD3371">
        <w:rPr>
          <w:rFonts w:ascii="Open Sans" w:hAnsi="Open Sans" w:cs="Open Sans"/>
          <w:sz w:val="20"/>
          <w:szCs w:val="20"/>
        </w:rPr>
        <w:t xml:space="preserve">Tras analizar la documentación publicada por </w:t>
      </w:r>
      <w:r>
        <w:rPr>
          <w:rFonts w:ascii="Open Sans" w:hAnsi="Open Sans" w:cs="Open Sans"/>
          <w:sz w:val="20"/>
          <w:szCs w:val="20"/>
        </w:rPr>
        <w:t>GNF</w:t>
      </w:r>
      <w:r w:rsidRPr="00DD3371">
        <w:rPr>
          <w:rFonts w:ascii="Open Sans" w:hAnsi="Open Sans" w:cs="Open Sans"/>
          <w:sz w:val="20"/>
          <w:szCs w:val="20"/>
        </w:rPr>
        <w:t xml:space="preserve"> en relación a su actividad fiscal en 2015 (Informe Anual Integrado, Informe de Responsabilidad Corporativa y Cuentas Anuales, principalmente), se observa que la Compañía cuenta con compromiso general con la fiscalidad responsable, pero no se observan </w:t>
      </w:r>
      <w:r>
        <w:rPr>
          <w:rFonts w:ascii="Open Sans" w:hAnsi="Open Sans" w:cs="Open Sans"/>
          <w:sz w:val="20"/>
          <w:szCs w:val="20"/>
        </w:rPr>
        <w:t xml:space="preserve">con detalle los </w:t>
      </w:r>
      <w:r w:rsidRPr="00DD3371">
        <w:rPr>
          <w:rFonts w:ascii="Open Sans" w:hAnsi="Open Sans" w:cs="Open Sans"/>
          <w:sz w:val="20"/>
          <w:szCs w:val="20"/>
        </w:rPr>
        <w:t>mecanismos que permitan llevarlo a cabo en la práctica, ni tampoco se proporciona información suficiente que evide</w:t>
      </w:r>
      <w:r>
        <w:rPr>
          <w:rFonts w:ascii="Open Sans" w:hAnsi="Open Sans" w:cs="Open Sans"/>
          <w:sz w:val="20"/>
          <w:szCs w:val="20"/>
        </w:rPr>
        <w:t>ncien que se ha llevado a cabo.</w:t>
      </w:r>
      <w:r w:rsidR="00F15B75" w:rsidRPr="00DD3371">
        <w:rPr>
          <w:rFonts w:ascii="Open Sans" w:hAnsi="Open Sans" w:cs="Open Sans"/>
          <w:sz w:val="20"/>
          <w:szCs w:val="20"/>
        </w:rPr>
        <w:t xml:space="preserve"> </w:t>
      </w:r>
    </w:p>
    <w:p w14:paraId="15EC83CC" w14:textId="2F39B11F" w:rsidR="00F15B75" w:rsidRDefault="00F15B75">
      <w:pPr>
        <w:rPr>
          <w:rFonts w:ascii="Open Sans" w:hAnsi="Open Sans" w:cs="Open Sans"/>
          <w:sz w:val="20"/>
          <w:szCs w:val="20"/>
        </w:rPr>
      </w:pPr>
      <w:r>
        <w:rPr>
          <w:rFonts w:ascii="Open Sans" w:hAnsi="Open Sans" w:cs="Open Sans"/>
          <w:sz w:val="20"/>
          <w:szCs w:val="20"/>
        </w:rPr>
        <w:br w:type="page"/>
      </w:r>
    </w:p>
    <w:p w14:paraId="1223D1C0" w14:textId="77777777" w:rsidR="00F15B75" w:rsidRPr="00B82500" w:rsidRDefault="00F15B75" w:rsidP="00F15B75">
      <w:pPr>
        <w:pBdr>
          <w:top w:val="single" w:sz="4" w:space="1" w:color="000000"/>
          <w:left w:val="single" w:sz="4" w:space="4" w:color="000000"/>
          <w:bottom w:val="single" w:sz="4" w:space="1" w:color="000000"/>
          <w:right w:val="single" w:sz="4" w:space="4" w:color="000000"/>
        </w:pBdr>
        <w:shd w:val="clear" w:color="auto" w:fill="000080"/>
        <w:tabs>
          <w:tab w:val="left" w:pos="1134"/>
        </w:tabs>
        <w:jc w:val="center"/>
        <w:rPr>
          <w:rFonts w:ascii="Open Sans" w:hAnsi="Open Sans" w:cs="Arial"/>
          <w:b/>
          <w:i/>
          <w:color w:val="FFFFFF"/>
        </w:rPr>
      </w:pPr>
      <w:bookmarkStart w:id="86" w:name="Iberdrola"/>
      <w:r>
        <w:rPr>
          <w:rFonts w:ascii="Open Sans" w:hAnsi="Open Sans" w:cs="Arial"/>
          <w:b/>
          <w:caps/>
          <w:color w:val="FFFFFF"/>
        </w:rPr>
        <w:t>Iberdrola</w:t>
      </w:r>
      <w:r w:rsidRPr="00B82500">
        <w:rPr>
          <w:rFonts w:ascii="Open Sans" w:hAnsi="Open Sans" w:cs="Arial"/>
          <w:b/>
          <w:caps/>
          <w:color w:val="FFFFFF"/>
        </w:rPr>
        <w:t>, S.A.</w:t>
      </w:r>
    </w:p>
    <w:bookmarkEnd w:id="86"/>
    <w:p w14:paraId="03326328" w14:textId="77777777" w:rsidR="00F15B75" w:rsidRPr="00B82500" w:rsidRDefault="00F15B75" w:rsidP="00F15B75">
      <w:pPr>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Tahoma"/>
          <w:b/>
          <w:bCs/>
          <w:color w:val="002060"/>
          <w:sz w:val="20"/>
          <w:szCs w:val="20"/>
        </w:rPr>
      </w:pPr>
      <w:r w:rsidRPr="00B82500">
        <w:rPr>
          <w:rFonts w:ascii="Open Sans" w:hAnsi="Open Sans" w:cs="Arial"/>
          <w:b/>
          <w:i/>
          <w:color w:val="FFFFFF"/>
        </w:rPr>
        <w:t>(Iberdrola)</w:t>
      </w:r>
    </w:p>
    <w:p w14:paraId="3F12B60B" w14:textId="77777777" w:rsidR="00F15B75" w:rsidRPr="00724C1E" w:rsidRDefault="00F15B75" w:rsidP="00F15B75">
      <w:pPr>
        <w:spacing w:before="120" w:after="120" w:line="360" w:lineRule="auto"/>
        <w:jc w:val="both"/>
        <w:rPr>
          <w:rFonts w:ascii="Open Sans" w:hAnsi="Open Sans" w:cs="Open Sans"/>
          <w:b/>
          <w:bCs/>
          <w:color w:val="002060"/>
          <w:sz w:val="20"/>
          <w:szCs w:val="20"/>
        </w:rPr>
      </w:pPr>
    </w:p>
    <w:p w14:paraId="3316D8A3" w14:textId="77777777" w:rsidR="00B837E7" w:rsidRPr="00336C46" w:rsidRDefault="00B837E7" w:rsidP="00B837E7">
      <w:pPr>
        <w:jc w:val="both"/>
        <w:outlineLvl w:val="5"/>
        <w:rPr>
          <w:rFonts w:ascii="Open Sans" w:hAnsi="Open Sans" w:cs="Open Sans"/>
          <w:b/>
          <w:sz w:val="22"/>
          <w:szCs w:val="22"/>
          <w:u w:val="single"/>
        </w:rPr>
      </w:pPr>
      <w:r w:rsidRPr="00336C46">
        <w:rPr>
          <w:rFonts w:ascii="Open Sans" w:hAnsi="Open Sans" w:cs="Open Sans"/>
          <w:b/>
          <w:sz w:val="22"/>
          <w:szCs w:val="22"/>
          <w:u w:val="single"/>
        </w:rPr>
        <w:t>1. Datos generales de la entidad</w:t>
      </w:r>
    </w:p>
    <w:p w14:paraId="0E81AF2C" w14:textId="77777777" w:rsidR="00B837E7" w:rsidRPr="00724C1E" w:rsidRDefault="00B837E7" w:rsidP="00B837E7">
      <w:pPr>
        <w:jc w:val="both"/>
        <w:rPr>
          <w:rFonts w:ascii="Open Sans" w:hAnsi="Open Sans" w:cs="Open Sans"/>
          <w:sz w:val="20"/>
          <w:szCs w:val="20"/>
          <w:u w:val="single"/>
        </w:rPr>
      </w:pPr>
    </w:p>
    <w:p w14:paraId="2029E92D" w14:textId="77777777" w:rsidR="00B837E7" w:rsidRPr="00724C1E" w:rsidRDefault="00B837E7" w:rsidP="00B837E7">
      <w:pPr>
        <w:jc w:val="both"/>
        <w:rPr>
          <w:rFonts w:ascii="Open Sans" w:hAnsi="Open Sans" w:cs="Open Sans"/>
          <w:sz w:val="20"/>
          <w:szCs w:val="20"/>
        </w:rPr>
      </w:pPr>
      <w:r w:rsidRPr="00724C1E">
        <w:rPr>
          <w:rFonts w:ascii="Open Sans" w:hAnsi="Open Sans" w:cs="Open Sans"/>
          <w:sz w:val="20"/>
          <w:szCs w:val="20"/>
          <w:u w:val="single"/>
        </w:rPr>
        <w:t>Productos/servicios</w:t>
      </w:r>
    </w:p>
    <w:p w14:paraId="02E3340D" w14:textId="77777777" w:rsidR="00B837E7" w:rsidRPr="00724C1E" w:rsidRDefault="00B837E7" w:rsidP="00B837E7">
      <w:pPr>
        <w:jc w:val="both"/>
        <w:rPr>
          <w:rFonts w:ascii="Open Sans" w:hAnsi="Open Sans" w:cs="Open Sans"/>
          <w:sz w:val="20"/>
          <w:szCs w:val="20"/>
        </w:rPr>
      </w:pPr>
    </w:p>
    <w:p w14:paraId="61507BE3" w14:textId="77777777" w:rsidR="00B837E7" w:rsidRDefault="00B837E7" w:rsidP="00B837E7">
      <w:pPr>
        <w:jc w:val="both"/>
        <w:rPr>
          <w:rFonts w:ascii="Open Sans" w:hAnsi="Open Sans" w:cs="Open Sans"/>
          <w:sz w:val="20"/>
          <w:szCs w:val="20"/>
        </w:rPr>
      </w:pPr>
      <w:r w:rsidRPr="00724C1E">
        <w:rPr>
          <w:rFonts w:ascii="Open Sans" w:hAnsi="Open Sans" w:cs="Open Sans"/>
          <w:sz w:val="20"/>
          <w:szCs w:val="20"/>
        </w:rPr>
        <w:t xml:space="preserve">De acuerdo con </w:t>
      </w:r>
      <w:r>
        <w:rPr>
          <w:rFonts w:ascii="Open Sans" w:hAnsi="Open Sans" w:cs="Open Sans"/>
          <w:sz w:val="20"/>
          <w:szCs w:val="20"/>
        </w:rPr>
        <w:t xml:space="preserve">los </w:t>
      </w:r>
      <w:r w:rsidRPr="00F06308">
        <w:rPr>
          <w:rFonts w:ascii="Open Sans" w:hAnsi="Open Sans" w:cs="Open Sans"/>
          <w:sz w:val="20"/>
          <w:szCs w:val="20"/>
        </w:rPr>
        <w:t xml:space="preserve">Estatutos de la Sociedad </w:t>
      </w:r>
      <w:r>
        <w:rPr>
          <w:rFonts w:ascii="Open Sans" w:hAnsi="Open Sans" w:cs="Open Sans"/>
          <w:sz w:val="20"/>
          <w:szCs w:val="20"/>
        </w:rPr>
        <w:t>Iberdrola</w:t>
      </w:r>
      <w:r w:rsidRPr="00F06308">
        <w:rPr>
          <w:rFonts w:ascii="Open Sans" w:hAnsi="Open Sans" w:cs="Open Sans"/>
          <w:sz w:val="20"/>
          <w:szCs w:val="20"/>
        </w:rPr>
        <w:t xml:space="preserve"> S.A</w:t>
      </w:r>
      <w:r>
        <w:rPr>
          <w:rFonts w:ascii="Open Sans" w:hAnsi="Open Sans" w:cs="Open Sans"/>
          <w:sz w:val="20"/>
          <w:szCs w:val="20"/>
        </w:rPr>
        <w:t xml:space="preserve">, </w:t>
      </w:r>
      <w:r w:rsidRPr="00724C1E">
        <w:rPr>
          <w:rFonts w:ascii="Open Sans" w:hAnsi="Open Sans" w:cs="Open Sans"/>
          <w:sz w:val="20"/>
          <w:szCs w:val="20"/>
        </w:rPr>
        <w:t>(en adelante</w:t>
      </w:r>
      <w:r>
        <w:rPr>
          <w:rFonts w:ascii="Open Sans" w:hAnsi="Open Sans" w:cs="Open Sans"/>
          <w:sz w:val="20"/>
          <w:szCs w:val="20"/>
        </w:rPr>
        <w:t xml:space="preserve"> Iberdrola),</w:t>
      </w:r>
      <w:r w:rsidRPr="00724C1E">
        <w:rPr>
          <w:rFonts w:ascii="Open Sans" w:hAnsi="Open Sans" w:cs="Open Sans"/>
          <w:sz w:val="20"/>
          <w:szCs w:val="20"/>
        </w:rPr>
        <w:t xml:space="preserve"> </w:t>
      </w:r>
      <w:r>
        <w:rPr>
          <w:rFonts w:ascii="Open Sans" w:hAnsi="Open Sans" w:cs="Open Sans"/>
          <w:sz w:val="20"/>
          <w:szCs w:val="20"/>
        </w:rPr>
        <w:t>tiene por objeto social:</w:t>
      </w:r>
    </w:p>
    <w:p w14:paraId="67AD90E7" w14:textId="77777777" w:rsidR="00B837E7" w:rsidRPr="00724C1E" w:rsidRDefault="00B837E7" w:rsidP="00B837E7">
      <w:pPr>
        <w:jc w:val="both"/>
        <w:rPr>
          <w:rFonts w:ascii="Open Sans" w:hAnsi="Open Sans" w:cs="Open Sans"/>
          <w:sz w:val="20"/>
          <w:szCs w:val="20"/>
        </w:rPr>
      </w:pPr>
    </w:p>
    <w:p w14:paraId="089CCBCF" w14:textId="77777777" w:rsidR="00B837E7" w:rsidRDefault="00B837E7" w:rsidP="00B837E7">
      <w:pPr>
        <w:jc w:val="both"/>
        <w:rPr>
          <w:rFonts w:ascii="Open Sans" w:hAnsi="Open Sans" w:cs="Open Sans"/>
          <w:sz w:val="20"/>
          <w:szCs w:val="20"/>
        </w:rPr>
      </w:pPr>
      <w:r>
        <w:rPr>
          <w:rFonts w:ascii="Open Sans" w:hAnsi="Open Sans" w:cs="Open Sans"/>
          <w:sz w:val="20"/>
          <w:szCs w:val="20"/>
        </w:rPr>
        <w:t>a)</w:t>
      </w:r>
      <w:r w:rsidRPr="00724C1E">
        <w:rPr>
          <w:rFonts w:ascii="Open Sans" w:hAnsi="Open Sans" w:cs="Open Sans"/>
          <w:sz w:val="20"/>
          <w:szCs w:val="20"/>
        </w:rPr>
        <w:t xml:space="preserve"> </w:t>
      </w:r>
      <w:r w:rsidRPr="0059127B">
        <w:rPr>
          <w:rFonts w:ascii="Open Sans" w:hAnsi="Open Sans" w:cs="Open Sans"/>
          <w:sz w:val="20"/>
          <w:szCs w:val="20"/>
        </w:rPr>
        <w:t>La realización de toda clase de actividades, obras y servicios propios o relacionados con los negocios de producción,</w:t>
      </w:r>
      <w:r>
        <w:rPr>
          <w:rFonts w:ascii="Open Sans" w:hAnsi="Open Sans" w:cs="Open Sans"/>
          <w:sz w:val="20"/>
          <w:szCs w:val="20"/>
        </w:rPr>
        <w:t xml:space="preserve"> </w:t>
      </w:r>
      <w:r w:rsidRPr="0059127B">
        <w:rPr>
          <w:rFonts w:ascii="Open Sans" w:hAnsi="Open Sans" w:cs="Open Sans"/>
          <w:sz w:val="20"/>
          <w:szCs w:val="20"/>
        </w:rPr>
        <w:t>transporte, transformación y distribución o comercialización de energía eléctrica o derivados de la electricidad, de sus</w:t>
      </w:r>
      <w:r>
        <w:rPr>
          <w:rFonts w:ascii="Open Sans" w:hAnsi="Open Sans" w:cs="Open Sans"/>
          <w:sz w:val="20"/>
          <w:szCs w:val="20"/>
        </w:rPr>
        <w:t xml:space="preserve"> </w:t>
      </w:r>
      <w:r w:rsidRPr="0059127B">
        <w:rPr>
          <w:rFonts w:ascii="Open Sans" w:hAnsi="Open Sans" w:cs="Open Sans"/>
          <w:sz w:val="20"/>
          <w:szCs w:val="20"/>
        </w:rPr>
        <w:t>aplicaciones y de las materias o energías primarias necesarias para su generación, servicios energéticos, de ingeniería e</w:t>
      </w:r>
      <w:r>
        <w:rPr>
          <w:rFonts w:ascii="Open Sans" w:hAnsi="Open Sans" w:cs="Open Sans"/>
          <w:sz w:val="20"/>
          <w:szCs w:val="20"/>
        </w:rPr>
        <w:t xml:space="preserve"> </w:t>
      </w:r>
      <w:r w:rsidRPr="0059127B">
        <w:rPr>
          <w:rFonts w:ascii="Open Sans" w:hAnsi="Open Sans" w:cs="Open Sans"/>
          <w:sz w:val="20"/>
          <w:szCs w:val="20"/>
        </w:rPr>
        <w:t>informáticos, telecomunicaciones y servicios relacionados con Internet, tratamiento y distribución de aguas, prestación integral</w:t>
      </w:r>
      <w:r>
        <w:rPr>
          <w:rFonts w:ascii="Open Sans" w:hAnsi="Open Sans" w:cs="Open Sans"/>
          <w:sz w:val="20"/>
          <w:szCs w:val="20"/>
        </w:rPr>
        <w:t xml:space="preserve"> </w:t>
      </w:r>
      <w:r w:rsidRPr="0059127B">
        <w:rPr>
          <w:rFonts w:ascii="Open Sans" w:hAnsi="Open Sans" w:cs="Open Sans"/>
          <w:sz w:val="20"/>
          <w:szCs w:val="20"/>
        </w:rPr>
        <w:t>de servicios urbanos y comercialización de gas, así como otras actividades gasistas de almacenamiento, regasificación,</w:t>
      </w:r>
      <w:r>
        <w:rPr>
          <w:rFonts w:ascii="Open Sans" w:hAnsi="Open Sans" w:cs="Open Sans"/>
          <w:sz w:val="20"/>
          <w:szCs w:val="20"/>
        </w:rPr>
        <w:t xml:space="preserve"> </w:t>
      </w:r>
      <w:r w:rsidRPr="0059127B">
        <w:rPr>
          <w:rFonts w:ascii="Open Sans" w:hAnsi="Open Sans" w:cs="Open Sans"/>
          <w:sz w:val="20"/>
          <w:szCs w:val="20"/>
        </w:rPr>
        <w:t>transporte o distribución que se realizarán de forma indirecta mediante la titularidad de acciones o participaciones en otras</w:t>
      </w:r>
      <w:r>
        <w:rPr>
          <w:rFonts w:ascii="Open Sans" w:hAnsi="Open Sans" w:cs="Open Sans"/>
          <w:sz w:val="20"/>
          <w:szCs w:val="20"/>
        </w:rPr>
        <w:t xml:space="preserve"> </w:t>
      </w:r>
      <w:r w:rsidRPr="0059127B">
        <w:rPr>
          <w:rFonts w:ascii="Open Sans" w:hAnsi="Open Sans" w:cs="Open Sans"/>
          <w:sz w:val="20"/>
          <w:szCs w:val="20"/>
        </w:rPr>
        <w:t>sociedades que no desarrollarán la actividad de comercialización de gas.</w:t>
      </w:r>
    </w:p>
    <w:p w14:paraId="0243682B" w14:textId="77777777" w:rsidR="00B837E7" w:rsidRPr="0059127B" w:rsidRDefault="00B837E7" w:rsidP="00B837E7">
      <w:pPr>
        <w:jc w:val="both"/>
        <w:rPr>
          <w:rFonts w:ascii="Open Sans" w:hAnsi="Open Sans" w:cs="Open Sans"/>
          <w:sz w:val="20"/>
          <w:szCs w:val="20"/>
        </w:rPr>
      </w:pPr>
    </w:p>
    <w:p w14:paraId="6EFFF44A" w14:textId="77777777" w:rsidR="00B837E7" w:rsidRDefault="00B837E7" w:rsidP="00B837E7">
      <w:pPr>
        <w:jc w:val="both"/>
        <w:rPr>
          <w:rFonts w:ascii="Open Sans" w:hAnsi="Open Sans" w:cs="Open Sans"/>
          <w:sz w:val="20"/>
          <w:szCs w:val="20"/>
        </w:rPr>
      </w:pPr>
      <w:r w:rsidRPr="0059127B">
        <w:rPr>
          <w:rFonts w:ascii="Open Sans" w:hAnsi="Open Sans" w:cs="Open Sans"/>
          <w:sz w:val="20"/>
          <w:szCs w:val="20"/>
        </w:rPr>
        <w:t>b) La distribución, representación y comercialización de toda clase de bienes y servicios, productos, artículos, mercaderías,</w:t>
      </w:r>
      <w:r>
        <w:rPr>
          <w:rFonts w:ascii="Open Sans" w:hAnsi="Open Sans" w:cs="Open Sans"/>
          <w:sz w:val="20"/>
          <w:szCs w:val="20"/>
        </w:rPr>
        <w:t xml:space="preserve"> </w:t>
      </w:r>
      <w:r w:rsidRPr="0059127B">
        <w:rPr>
          <w:rFonts w:ascii="Open Sans" w:hAnsi="Open Sans" w:cs="Open Sans"/>
          <w:sz w:val="20"/>
          <w:szCs w:val="20"/>
        </w:rPr>
        <w:t>programas informáticos, equipos industriales y maquinaria, herramientas, utillaje, repuestos y accesorios.</w:t>
      </w:r>
    </w:p>
    <w:p w14:paraId="6C4B9D57" w14:textId="77777777" w:rsidR="00B837E7" w:rsidRPr="0059127B" w:rsidRDefault="00B837E7" w:rsidP="00B837E7">
      <w:pPr>
        <w:jc w:val="both"/>
        <w:rPr>
          <w:rFonts w:ascii="Open Sans" w:hAnsi="Open Sans" w:cs="Open Sans"/>
          <w:sz w:val="20"/>
          <w:szCs w:val="20"/>
        </w:rPr>
      </w:pPr>
    </w:p>
    <w:p w14:paraId="2BDFF6F0" w14:textId="77777777" w:rsidR="00B837E7" w:rsidRDefault="00B837E7" w:rsidP="00B837E7">
      <w:pPr>
        <w:jc w:val="both"/>
        <w:rPr>
          <w:rFonts w:ascii="Open Sans" w:hAnsi="Open Sans" w:cs="Open Sans"/>
          <w:sz w:val="20"/>
          <w:szCs w:val="20"/>
        </w:rPr>
      </w:pPr>
      <w:r w:rsidRPr="0059127B">
        <w:rPr>
          <w:rFonts w:ascii="Open Sans" w:hAnsi="Open Sans" w:cs="Open Sans"/>
          <w:sz w:val="20"/>
          <w:szCs w:val="20"/>
        </w:rPr>
        <w:t>c) La investigación, estudio y planeamiento de proyectos de inversión y de organización de empresas, así como la promoción,</w:t>
      </w:r>
      <w:r>
        <w:rPr>
          <w:rFonts w:ascii="Open Sans" w:hAnsi="Open Sans" w:cs="Open Sans"/>
          <w:sz w:val="20"/>
          <w:szCs w:val="20"/>
        </w:rPr>
        <w:t xml:space="preserve"> </w:t>
      </w:r>
      <w:r w:rsidRPr="0059127B">
        <w:rPr>
          <w:rFonts w:ascii="Open Sans" w:hAnsi="Open Sans" w:cs="Open Sans"/>
          <w:sz w:val="20"/>
          <w:szCs w:val="20"/>
        </w:rPr>
        <w:t>creación y desarrollo de empresas industriales, comerciales o de servicios.</w:t>
      </w:r>
    </w:p>
    <w:p w14:paraId="4A11110E" w14:textId="77777777" w:rsidR="00B837E7" w:rsidRPr="0059127B" w:rsidRDefault="00B837E7" w:rsidP="00B837E7">
      <w:pPr>
        <w:jc w:val="both"/>
        <w:rPr>
          <w:rFonts w:ascii="Open Sans" w:hAnsi="Open Sans" w:cs="Open Sans"/>
          <w:sz w:val="20"/>
          <w:szCs w:val="20"/>
        </w:rPr>
      </w:pPr>
    </w:p>
    <w:p w14:paraId="0BC824F3" w14:textId="77777777" w:rsidR="00B837E7" w:rsidRPr="00724C1E" w:rsidRDefault="00B837E7" w:rsidP="00B837E7">
      <w:pPr>
        <w:jc w:val="both"/>
        <w:rPr>
          <w:rFonts w:ascii="Open Sans" w:hAnsi="Open Sans" w:cs="Open Sans"/>
          <w:sz w:val="20"/>
          <w:szCs w:val="20"/>
        </w:rPr>
      </w:pPr>
      <w:r w:rsidRPr="0059127B">
        <w:rPr>
          <w:rFonts w:ascii="Open Sans" w:hAnsi="Open Sans" w:cs="Open Sans"/>
          <w:sz w:val="20"/>
          <w:szCs w:val="20"/>
        </w:rPr>
        <w:t>d) La prestación de servicios de asistencia o apoyo a las sociedades y empresas participadas o comprendidas en el ámbito de</w:t>
      </w:r>
      <w:r>
        <w:rPr>
          <w:rFonts w:ascii="Open Sans" w:hAnsi="Open Sans" w:cs="Open Sans"/>
          <w:sz w:val="20"/>
          <w:szCs w:val="20"/>
        </w:rPr>
        <w:t xml:space="preserve"> </w:t>
      </w:r>
      <w:r w:rsidRPr="0059127B">
        <w:rPr>
          <w:rFonts w:ascii="Open Sans" w:hAnsi="Open Sans" w:cs="Open Sans"/>
          <w:sz w:val="20"/>
          <w:szCs w:val="20"/>
        </w:rPr>
        <w:t>su grupo de sociedades, a cuyo fin podrá prestar, a favor de estas, las garantías y afianzamientos que resulten oportunos.</w:t>
      </w:r>
    </w:p>
    <w:p w14:paraId="183E301B" w14:textId="77777777" w:rsidR="00B837E7" w:rsidRDefault="00B837E7" w:rsidP="00B837E7">
      <w:pPr>
        <w:jc w:val="both"/>
        <w:rPr>
          <w:rFonts w:ascii="Open Sans" w:hAnsi="Open Sans" w:cs="Open Sans"/>
          <w:sz w:val="20"/>
          <w:szCs w:val="20"/>
          <w:u w:val="single"/>
        </w:rPr>
      </w:pPr>
    </w:p>
    <w:p w14:paraId="24C84DA2" w14:textId="77777777" w:rsidR="00B837E7" w:rsidRPr="00724C1E" w:rsidRDefault="00B837E7" w:rsidP="00B837E7">
      <w:pPr>
        <w:jc w:val="both"/>
        <w:rPr>
          <w:rFonts w:ascii="Open Sans" w:hAnsi="Open Sans" w:cs="Open Sans"/>
          <w:sz w:val="20"/>
          <w:szCs w:val="20"/>
          <w:u w:val="single"/>
        </w:rPr>
      </w:pPr>
    </w:p>
    <w:p w14:paraId="335700D1" w14:textId="77777777" w:rsidR="00B837E7" w:rsidRPr="00724C1E" w:rsidRDefault="00B837E7" w:rsidP="00B837E7">
      <w:pPr>
        <w:jc w:val="both"/>
        <w:rPr>
          <w:rFonts w:ascii="Open Sans" w:hAnsi="Open Sans" w:cs="Open Sans"/>
          <w:sz w:val="20"/>
          <w:szCs w:val="20"/>
        </w:rPr>
      </w:pPr>
      <w:r w:rsidRPr="00724C1E">
        <w:rPr>
          <w:rFonts w:ascii="Open Sans" w:hAnsi="Open Sans" w:cs="Open Sans"/>
          <w:sz w:val="20"/>
          <w:szCs w:val="20"/>
          <w:u w:val="single"/>
        </w:rPr>
        <w:t xml:space="preserve">Alcance geográfico </w:t>
      </w:r>
    </w:p>
    <w:p w14:paraId="2BC717E9" w14:textId="77777777" w:rsidR="00B837E7" w:rsidRPr="00724C1E" w:rsidRDefault="00B837E7" w:rsidP="00B837E7">
      <w:pPr>
        <w:jc w:val="both"/>
        <w:rPr>
          <w:rFonts w:ascii="Open Sans" w:hAnsi="Open Sans" w:cs="Open Sans"/>
          <w:sz w:val="20"/>
          <w:szCs w:val="20"/>
        </w:rPr>
      </w:pPr>
    </w:p>
    <w:p w14:paraId="0FED1226" w14:textId="77777777" w:rsidR="00B837E7" w:rsidRPr="00724C1E" w:rsidRDefault="00B837E7" w:rsidP="00B837E7">
      <w:pPr>
        <w:jc w:val="both"/>
        <w:rPr>
          <w:rFonts w:ascii="Open Sans" w:hAnsi="Open Sans" w:cs="Open Sans"/>
          <w:sz w:val="20"/>
          <w:szCs w:val="20"/>
        </w:rPr>
      </w:pPr>
      <w:r>
        <w:rPr>
          <w:rFonts w:ascii="Open Sans" w:hAnsi="Open Sans" w:cs="Open Sans"/>
          <w:sz w:val="20"/>
          <w:szCs w:val="20"/>
        </w:rPr>
        <w:t>En el año 2015, Iberdrola</w:t>
      </w:r>
      <w:r w:rsidRPr="00724C1E">
        <w:rPr>
          <w:rFonts w:ascii="Open Sans" w:hAnsi="Open Sans" w:cs="Open Sans"/>
          <w:sz w:val="20"/>
          <w:szCs w:val="20"/>
        </w:rPr>
        <w:t xml:space="preserve"> opera o tiene presencia en </w:t>
      </w:r>
      <w:r>
        <w:rPr>
          <w:rFonts w:ascii="Open Sans" w:hAnsi="Open Sans" w:cs="Open Sans"/>
          <w:sz w:val="20"/>
          <w:szCs w:val="20"/>
        </w:rPr>
        <w:t>17</w:t>
      </w:r>
      <w:r w:rsidRPr="00724C1E">
        <w:rPr>
          <w:rFonts w:ascii="Open Sans" w:hAnsi="Open Sans" w:cs="Open Sans"/>
          <w:sz w:val="20"/>
          <w:szCs w:val="20"/>
        </w:rPr>
        <w:t xml:space="preserve"> países: </w:t>
      </w:r>
      <w:r w:rsidRPr="00456AA2">
        <w:rPr>
          <w:rFonts w:ascii="Open Sans" w:hAnsi="Open Sans" w:cs="Open Sans"/>
          <w:sz w:val="20"/>
          <w:szCs w:val="20"/>
        </w:rPr>
        <w:t>España, Reino Unido, Alemania, Portugal, Francia, Grecia, Hungría, Rumania, Italia, Polonia, Brasil, México, Honduras, EE.UU, Canadá, Kenia y Sudáfrica</w:t>
      </w:r>
      <w:r>
        <w:rPr>
          <w:rFonts w:ascii="Open Sans" w:hAnsi="Open Sans" w:cs="Open Sans"/>
          <w:sz w:val="20"/>
          <w:szCs w:val="20"/>
        </w:rPr>
        <w:t xml:space="preserve">. Esta cifra es sustancialmente diferente al número de países identificados en la pasada edición del informe, que era de 34 países. En la documentación consultada, no se ha podido obtener imagen clara de cuál es el número de países en los que opera ni de qué actividades lleva a cabo en ellos. </w:t>
      </w:r>
    </w:p>
    <w:p w14:paraId="14DE00BE" w14:textId="77777777" w:rsidR="00B837E7" w:rsidRDefault="00B837E7" w:rsidP="00B837E7">
      <w:pPr>
        <w:jc w:val="both"/>
        <w:rPr>
          <w:rFonts w:ascii="Open Sans" w:hAnsi="Open Sans" w:cs="Open Sans"/>
          <w:sz w:val="20"/>
          <w:szCs w:val="20"/>
        </w:rPr>
      </w:pPr>
    </w:p>
    <w:p w14:paraId="23CF30B2" w14:textId="1129FE83" w:rsidR="00B837E7" w:rsidRDefault="00B837E7">
      <w:pPr>
        <w:rPr>
          <w:rFonts w:ascii="Open Sans" w:hAnsi="Open Sans" w:cs="Open Sans"/>
          <w:sz w:val="20"/>
          <w:szCs w:val="20"/>
        </w:rPr>
      </w:pPr>
      <w:r>
        <w:rPr>
          <w:rFonts w:ascii="Open Sans" w:hAnsi="Open Sans" w:cs="Open Sans"/>
          <w:sz w:val="20"/>
          <w:szCs w:val="20"/>
        </w:rPr>
        <w:br w:type="page"/>
      </w:r>
    </w:p>
    <w:p w14:paraId="13159B98" w14:textId="77777777" w:rsidR="00B837E7" w:rsidRPr="00724C1E" w:rsidRDefault="00B837E7" w:rsidP="00B837E7">
      <w:pPr>
        <w:jc w:val="both"/>
        <w:rPr>
          <w:rFonts w:ascii="Open Sans" w:hAnsi="Open Sans" w:cs="Open Sans"/>
          <w:sz w:val="20"/>
          <w:szCs w:val="20"/>
        </w:rPr>
      </w:pPr>
    </w:p>
    <w:p w14:paraId="5E8BF4EE" w14:textId="77777777" w:rsidR="00B837E7" w:rsidRPr="00724C1E" w:rsidRDefault="00B837E7" w:rsidP="00B837E7">
      <w:pPr>
        <w:jc w:val="both"/>
        <w:rPr>
          <w:rFonts w:ascii="Open Sans" w:hAnsi="Open Sans" w:cs="Open Sans"/>
          <w:sz w:val="20"/>
          <w:szCs w:val="20"/>
          <w:u w:val="single"/>
        </w:rPr>
      </w:pPr>
      <w:r w:rsidRPr="00724C1E">
        <w:rPr>
          <w:rFonts w:ascii="Open Sans" w:hAnsi="Open Sans" w:cs="Open Sans"/>
          <w:sz w:val="20"/>
          <w:szCs w:val="20"/>
          <w:u w:val="single"/>
        </w:rPr>
        <w:t>Cifras relevantes de la empresa:</w:t>
      </w:r>
    </w:p>
    <w:p w14:paraId="3A402740" w14:textId="77777777" w:rsidR="00B837E7" w:rsidRPr="00724C1E" w:rsidRDefault="00B837E7" w:rsidP="00B837E7">
      <w:pPr>
        <w:jc w:val="both"/>
        <w:rPr>
          <w:rFonts w:ascii="Open Sans" w:hAnsi="Open Sans" w:cs="Open Sans"/>
          <w:sz w:val="20"/>
          <w:szCs w:val="20"/>
          <w:u w:val="single"/>
        </w:rPr>
      </w:pPr>
    </w:p>
    <w:p w14:paraId="4A2EA574" w14:textId="77777777" w:rsidR="00B837E7" w:rsidRPr="00724C1E" w:rsidRDefault="00B837E7" w:rsidP="00B837E7">
      <w:pPr>
        <w:jc w:val="both"/>
        <w:rPr>
          <w:rFonts w:ascii="Open Sans" w:hAnsi="Open Sans" w:cs="Open Sans"/>
          <w:sz w:val="20"/>
          <w:szCs w:val="20"/>
        </w:rPr>
      </w:pPr>
      <w:r>
        <w:rPr>
          <w:rFonts w:ascii="Open Sans" w:hAnsi="Open Sans" w:cs="Open Sans"/>
          <w:sz w:val="20"/>
          <w:szCs w:val="20"/>
        </w:rPr>
        <w:t>Iberdrola ha tenido</w:t>
      </w:r>
      <w:r w:rsidRPr="00724C1E">
        <w:rPr>
          <w:rFonts w:ascii="Open Sans" w:hAnsi="Open Sans" w:cs="Open Sans"/>
          <w:sz w:val="20"/>
          <w:szCs w:val="20"/>
        </w:rPr>
        <w:t xml:space="preserve"> una facturación en 2015 de </w:t>
      </w:r>
      <w:r>
        <w:rPr>
          <w:rFonts w:ascii="Open Sans" w:hAnsi="Open Sans" w:cs="Open Sans"/>
          <w:sz w:val="20"/>
          <w:szCs w:val="20"/>
        </w:rPr>
        <w:t>31.418,7</w:t>
      </w:r>
      <w:r w:rsidRPr="00724C1E">
        <w:rPr>
          <w:rFonts w:ascii="Open Sans" w:hAnsi="Open Sans" w:cs="Open Sans"/>
          <w:sz w:val="20"/>
          <w:szCs w:val="20"/>
        </w:rPr>
        <w:t xml:space="preserve"> millones de euros</w:t>
      </w:r>
      <w:r>
        <w:rPr>
          <w:rFonts w:ascii="Open Sans" w:hAnsi="Open Sans" w:cs="Open Sans"/>
          <w:sz w:val="20"/>
          <w:szCs w:val="20"/>
        </w:rPr>
        <w:t xml:space="preserve">. El </w:t>
      </w:r>
      <w:r w:rsidRPr="00724C1E">
        <w:rPr>
          <w:rFonts w:ascii="Open Sans" w:hAnsi="Open Sans" w:cs="Open Sans"/>
          <w:sz w:val="20"/>
          <w:szCs w:val="20"/>
        </w:rPr>
        <w:t xml:space="preserve">beneficio antes de impuestos </w:t>
      </w:r>
      <w:r>
        <w:rPr>
          <w:rFonts w:ascii="Open Sans" w:hAnsi="Open Sans" w:cs="Open Sans"/>
          <w:sz w:val="20"/>
          <w:szCs w:val="20"/>
        </w:rPr>
        <w:t>de grupo consolidado es de 2.986,6 millones</w:t>
      </w:r>
      <w:r w:rsidRPr="00724C1E">
        <w:rPr>
          <w:rFonts w:ascii="Open Sans" w:hAnsi="Open Sans" w:cs="Open Sans"/>
          <w:sz w:val="20"/>
          <w:szCs w:val="20"/>
        </w:rPr>
        <w:t xml:space="preserve"> de euros. Al 31 de diciembre de 2015 el grupo cuenta </w:t>
      </w:r>
      <w:r>
        <w:rPr>
          <w:rFonts w:ascii="Open Sans" w:hAnsi="Open Sans" w:cs="Open Sans"/>
          <w:sz w:val="20"/>
          <w:szCs w:val="20"/>
        </w:rPr>
        <w:t>con un total de 30.938</w:t>
      </w:r>
      <w:r w:rsidRPr="00724C1E">
        <w:rPr>
          <w:rFonts w:ascii="Open Sans" w:hAnsi="Open Sans" w:cs="Open Sans"/>
          <w:sz w:val="20"/>
          <w:szCs w:val="20"/>
        </w:rPr>
        <w:t xml:space="preserve"> empleados.</w:t>
      </w:r>
    </w:p>
    <w:p w14:paraId="3E34CA44" w14:textId="77777777" w:rsidR="00B837E7" w:rsidRPr="00724C1E" w:rsidRDefault="00B837E7" w:rsidP="00B837E7">
      <w:pPr>
        <w:jc w:val="both"/>
        <w:rPr>
          <w:rFonts w:ascii="Open Sans" w:hAnsi="Open Sans" w:cs="Open Sans"/>
          <w:sz w:val="20"/>
          <w:szCs w:val="20"/>
          <w:u w:val="single"/>
        </w:rPr>
      </w:pPr>
    </w:p>
    <w:p w14:paraId="0A406966" w14:textId="77777777" w:rsidR="00B837E7" w:rsidRPr="00724C1E" w:rsidRDefault="00B837E7" w:rsidP="00B837E7">
      <w:pPr>
        <w:jc w:val="both"/>
        <w:rPr>
          <w:rFonts w:ascii="Open Sans" w:hAnsi="Open Sans" w:cs="Open Sans"/>
          <w:sz w:val="20"/>
          <w:szCs w:val="20"/>
          <w:u w:val="single"/>
        </w:rPr>
      </w:pPr>
      <w:r w:rsidRPr="00724C1E">
        <w:rPr>
          <w:rFonts w:ascii="Open Sans" w:hAnsi="Open Sans" w:cs="Open Sans"/>
          <w:sz w:val="20"/>
          <w:szCs w:val="20"/>
          <w:u w:val="single"/>
        </w:rPr>
        <w:t>Estándares voluntarios relacionados con fiscalidad responsable</w:t>
      </w:r>
    </w:p>
    <w:p w14:paraId="64182799" w14:textId="77777777" w:rsidR="00B837E7" w:rsidRPr="00724C1E" w:rsidRDefault="00B837E7" w:rsidP="00B837E7">
      <w:pPr>
        <w:jc w:val="both"/>
        <w:rPr>
          <w:rFonts w:ascii="Open Sans" w:hAnsi="Open Sans" w:cs="Open Sans"/>
          <w:sz w:val="20"/>
          <w:szCs w:val="20"/>
          <w:u w:val="single"/>
        </w:rPr>
      </w:pPr>
    </w:p>
    <w:p w14:paraId="0DB4059B" w14:textId="77777777" w:rsidR="00B837E7" w:rsidRDefault="00B837E7" w:rsidP="00B837E7">
      <w:pPr>
        <w:jc w:val="both"/>
        <w:rPr>
          <w:rFonts w:ascii="Open Sans" w:hAnsi="Open Sans" w:cs="Open Sans"/>
          <w:sz w:val="20"/>
          <w:szCs w:val="20"/>
        </w:rPr>
      </w:pPr>
      <w:r>
        <w:rPr>
          <w:rFonts w:ascii="Open Sans" w:hAnsi="Open Sans" w:cs="Open Sans"/>
          <w:sz w:val="20"/>
          <w:szCs w:val="20"/>
        </w:rPr>
        <w:t>Iberdrola</w:t>
      </w:r>
      <w:r w:rsidRPr="00826F35">
        <w:rPr>
          <w:rFonts w:ascii="Open Sans" w:hAnsi="Open Sans" w:cs="Open Sans"/>
          <w:sz w:val="20"/>
          <w:szCs w:val="20"/>
        </w:rPr>
        <w:t xml:space="preserve"> informa que se ha adherido voluntariamente a los siguientes estándares relacionados con contenidos y sistemas de gestión de fiscalidad responsable:</w:t>
      </w:r>
    </w:p>
    <w:p w14:paraId="4E47C9CC" w14:textId="77777777" w:rsidR="00B837E7" w:rsidRPr="00826F35" w:rsidRDefault="00B837E7" w:rsidP="00B837E7">
      <w:pPr>
        <w:jc w:val="both"/>
        <w:rPr>
          <w:rFonts w:ascii="Open Sans" w:hAnsi="Open Sans" w:cs="Open Sans"/>
          <w:sz w:val="20"/>
          <w:szCs w:val="20"/>
        </w:rPr>
      </w:pPr>
    </w:p>
    <w:p w14:paraId="331583AE" w14:textId="77777777" w:rsidR="00B837E7" w:rsidRDefault="00B837E7" w:rsidP="00B837E7">
      <w:pPr>
        <w:numPr>
          <w:ilvl w:val="0"/>
          <w:numId w:val="85"/>
        </w:numPr>
        <w:jc w:val="both"/>
        <w:rPr>
          <w:rFonts w:ascii="Open Sans" w:hAnsi="Open Sans" w:cs="Open Sans"/>
          <w:sz w:val="20"/>
          <w:szCs w:val="20"/>
        </w:rPr>
      </w:pPr>
      <w:r>
        <w:rPr>
          <w:rFonts w:ascii="Open Sans" w:hAnsi="Open Sans" w:cs="Open Sans"/>
          <w:sz w:val="20"/>
          <w:szCs w:val="20"/>
        </w:rPr>
        <w:t>Código de buenas prácticas de la Agencia Tributaria</w:t>
      </w:r>
    </w:p>
    <w:p w14:paraId="5B698B9E" w14:textId="77777777" w:rsidR="00B837E7" w:rsidRPr="00826F35" w:rsidRDefault="00B837E7" w:rsidP="00B837E7">
      <w:pPr>
        <w:numPr>
          <w:ilvl w:val="0"/>
          <w:numId w:val="85"/>
        </w:numPr>
        <w:jc w:val="both"/>
        <w:rPr>
          <w:rFonts w:ascii="Open Sans" w:hAnsi="Open Sans" w:cs="Open Sans"/>
          <w:sz w:val="20"/>
          <w:szCs w:val="20"/>
        </w:rPr>
      </w:pPr>
      <w:r w:rsidRPr="00826F35">
        <w:rPr>
          <w:rFonts w:ascii="Open Sans" w:hAnsi="Open Sans" w:cs="Open Sans"/>
          <w:sz w:val="20"/>
          <w:szCs w:val="20"/>
        </w:rPr>
        <w:t>Líneas Directrices de la OCDE para Empresas Multinacionales</w:t>
      </w:r>
    </w:p>
    <w:p w14:paraId="7B1E0B54" w14:textId="77777777" w:rsidR="00B837E7" w:rsidRPr="00724C1E" w:rsidRDefault="00B837E7" w:rsidP="00B837E7">
      <w:pPr>
        <w:jc w:val="both"/>
        <w:rPr>
          <w:rFonts w:ascii="Open Sans" w:hAnsi="Open Sans" w:cs="Open Sans"/>
          <w:sz w:val="20"/>
          <w:szCs w:val="20"/>
          <w:u w:val="single"/>
        </w:rPr>
      </w:pPr>
    </w:p>
    <w:p w14:paraId="4AA59B0A" w14:textId="77777777" w:rsidR="00B837E7" w:rsidRPr="00724C1E" w:rsidRDefault="00B837E7" w:rsidP="00B837E7">
      <w:pPr>
        <w:jc w:val="both"/>
        <w:rPr>
          <w:rFonts w:ascii="Open Sans" w:hAnsi="Open Sans" w:cs="Open Sans"/>
          <w:sz w:val="20"/>
          <w:szCs w:val="20"/>
          <w:u w:val="single"/>
        </w:rPr>
      </w:pPr>
      <w:r w:rsidRPr="00724C1E">
        <w:rPr>
          <w:rFonts w:ascii="Open Sans" w:hAnsi="Open Sans" w:cs="Open Sans"/>
          <w:sz w:val="20"/>
          <w:szCs w:val="20"/>
          <w:u w:val="single"/>
        </w:rPr>
        <w:t>Documentos incluidos en el análisis</w:t>
      </w:r>
    </w:p>
    <w:p w14:paraId="4E399C55" w14:textId="77777777" w:rsidR="00B837E7" w:rsidRPr="00724C1E" w:rsidRDefault="00B837E7" w:rsidP="00B837E7">
      <w:pPr>
        <w:ind w:firstLine="709"/>
        <w:jc w:val="both"/>
        <w:rPr>
          <w:rFonts w:ascii="Open Sans" w:hAnsi="Open Sans" w:cs="Open Sans"/>
          <w:sz w:val="20"/>
          <w:szCs w:val="20"/>
        </w:rPr>
      </w:pPr>
    </w:p>
    <w:p w14:paraId="132F5095" w14:textId="77777777" w:rsidR="00B837E7" w:rsidRPr="00724C1E" w:rsidRDefault="00B837E7" w:rsidP="00B837E7">
      <w:pPr>
        <w:jc w:val="both"/>
        <w:rPr>
          <w:rFonts w:ascii="Open Sans" w:hAnsi="Open Sans" w:cs="Open Sans"/>
          <w:sz w:val="20"/>
          <w:szCs w:val="20"/>
        </w:rPr>
      </w:pPr>
      <w:r w:rsidRPr="00724C1E">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19332698" w14:textId="77777777" w:rsidR="00B837E7" w:rsidRPr="00724C1E" w:rsidRDefault="00B837E7" w:rsidP="00B837E7">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6109"/>
        <w:gridCol w:w="2409"/>
      </w:tblGrid>
      <w:tr w:rsidR="00B837E7" w:rsidRPr="00724C1E" w14:paraId="0AFD722F" w14:textId="77777777" w:rsidTr="00CB41CD">
        <w:trPr>
          <w:trHeight w:val="327"/>
        </w:trPr>
        <w:tc>
          <w:tcPr>
            <w:tcW w:w="6109"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5A5C4D1D" w14:textId="77777777" w:rsidR="00B837E7" w:rsidRPr="00724C1E" w:rsidRDefault="00B837E7" w:rsidP="00CB41CD">
            <w:pPr>
              <w:jc w:val="center"/>
              <w:rPr>
                <w:rFonts w:ascii="Open Sans" w:hAnsi="Open Sans" w:cs="Open Sans"/>
                <w:b/>
                <w:sz w:val="20"/>
                <w:szCs w:val="20"/>
              </w:rPr>
            </w:pPr>
            <w:r w:rsidRPr="00724C1E">
              <w:rPr>
                <w:rFonts w:ascii="Open Sans" w:hAnsi="Open Sans" w:cs="Open Sans"/>
                <w:b/>
                <w:sz w:val="20"/>
                <w:szCs w:val="20"/>
              </w:rPr>
              <w:t>DOCUMENTACIÓN</w:t>
            </w:r>
          </w:p>
        </w:tc>
        <w:tc>
          <w:tcPr>
            <w:tcW w:w="2409"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22073EB5" w14:textId="77777777" w:rsidR="00B837E7" w:rsidRPr="00724C1E" w:rsidRDefault="00B837E7" w:rsidP="00CB41CD">
            <w:pPr>
              <w:jc w:val="center"/>
              <w:rPr>
                <w:rFonts w:ascii="Open Sans" w:hAnsi="Open Sans" w:cs="Open Sans"/>
                <w:b/>
                <w:sz w:val="20"/>
                <w:szCs w:val="20"/>
              </w:rPr>
            </w:pPr>
            <w:r w:rsidRPr="00724C1E">
              <w:rPr>
                <w:rFonts w:ascii="Open Sans" w:hAnsi="Open Sans" w:cs="Open Sans"/>
                <w:b/>
                <w:sz w:val="20"/>
                <w:szCs w:val="20"/>
              </w:rPr>
              <w:t>OBSERVACIONES</w:t>
            </w:r>
          </w:p>
        </w:tc>
      </w:tr>
      <w:tr w:rsidR="00B837E7" w:rsidRPr="00724C1E" w14:paraId="14BB6547" w14:textId="77777777" w:rsidTr="00CB41CD">
        <w:trPr>
          <w:trHeight w:val="291"/>
        </w:trPr>
        <w:tc>
          <w:tcPr>
            <w:tcW w:w="61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812330A" w14:textId="77777777" w:rsidR="00B837E7" w:rsidRPr="003B64DE" w:rsidRDefault="007F55EB" w:rsidP="00CB41CD">
            <w:pPr>
              <w:rPr>
                <w:rFonts w:ascii="Open Sans" w:hAnsi="Open Sans" w:cs="Open Sans"/>
                <w:color w:val="000000"/>
                <w:sz w:val="20"/>
                <w:szCs w:val="20"/>
                <w:lang w:eastAsia="en-US"/>
              </w:rPr>
            </w:pPr>
            <w:hyperlink r:id="rId97" w:history="1">
              <w:r w:rsidR="00B837E7" w:rsidRPr="003B64DE">
                <w:rPr>
                  <w:rStyle w:val="Hipervnculo"/>
                  <w:rFonts w:ascii="Open Sans" w:hAnsi="Open Sans" w:cs="Open Sans"/>
                  <w:sz w:val="20"/>
                  <w:szCs w:val="20"/>
                  <w:lang w:eastAsia="en-US"/>
                </w:rPr>
                <w:t>Cuentas anuales consolidadas e informe de gestión consolidado</w:t>
              </w:r>
            </w:hyperlink>
          </w:p>
        </w:tc>
        <w:tc>
          <w:tcPr>
            <w:tcW w:w="24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D3CE8CA"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10B5A285" w14:textId="77777777" w:rsidTr="00CB41CD">
        <w:trPr>
          <w:trHeight w:val="291"/>
        </w:trPr>
        <w:tc>
          <w:tcPr>
            <w:tcW w:w="61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4290ABD" w14:textId="77777777" w:rsidR="00B837E7" w:rsidRPr="003B64DE" w:rsidRDefault="007F55EB" w:rsidP="00CB41CD">
            <w:pPr>
              <w:rPr>
                <w:rFonts w:ascii="Open Sans" w:hAnsi="Open Sans" w:cs="Open Sans"/>
                <w:color w:val="000000"/>
                <w:sz w:val="20"/>
                <w:szCs w:val="20"/>
              </w:rPr>
            </w:pPr>
            <w:hyperlink r:id="rId98" w:history="1">
              <w:r w:rsidR="00B837E7" w:rsidRPr="003B64DE">
                <w:rPr>
                  <w:rStyle w:val="Hipervnculo"/>
                  <w:rFonts w:ascii="Open Sans" w:hAnsi="Open Sans" w:cs="Open Sans"/>
                  <w:sz w:val="20"/>
                  <w:szCs w:val="20"/>
                </w:rPr>
                <w:t>Informe integrado</w:t>
              </w:r>
            </w:hyperlink>
          </w:p>
        </w:tc>
        <w:tc>
          <w:tcPr>
            <w:tcW w:w="24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58DEC78"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05CC3901" w14:textId="77777777" w:rsidTr="00CB41CD">
        <w:trPr>
          <w:trHeight w:val="291"/>
        </w:trPr>
        <w:tc>
          <w:tcPr>
            <w:tcW w:w="61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3288383" w14:textId="77777777" w:rsidR="00B837E7" w:rsidRPr="003B64DE" w:rsidRDefault="007F55EB" w:rsidP="00CB41CD">
            <w:pPr>
              <w:rPr>
                <w:rFonts w:ascii="Open Sans" w:hAnsi="Open Sans" w:cs="Open Sans"/>
                <w:color w:val="000000"/>
                <w:sz w:val="20"/>
                <w:szCs w:val="20"/>
              </w:rPr>
            </w:pPr>
            <w:hyperlink r:id="rId99" w:history="1">
              <w:r w:rsidR="00B837E7" w:rsidRPr="003B64DE">
                <w:rPr>
                  <w:rStyle w:val="Hipervnculo"/>
                  <w:rFonts w:ascii="Open Sans" w:hAnsi="Open Sans" w:cs="Open Sans"/>
                  <w:sz w:val="20"/>
                  <w:szCs w:val="20"/>
                </w:rPr>
                <w:t>Informe de sostenibilidad 2015</w:t>
              </w:r>
            </w:hyperlink>
          </w:p>
        </w:tc>
        <w:tc>
          <w:tcPr>
            <w:tcW w:w="24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449FF18"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74DE8F4C" w14:textId="77777777" w:rsidTr="00CB41CD">
        <w:trPr>
          <w:trHeight w:val="291"/>
        </w:trPr>
        <w:tc>
          <w:tcPr>
            <w:tcW w:w="61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6B38374" w14:textId="77777777" w:rsidR="00B837E7" w:rsidRPr="003B64DE" w:rsidRDefault="007F55EB" w:rsidP="00CB41CD">
            <w:pPr>
              <w:rPr>
                <w:rFonts w:ascii="Open Sans" w:hAnsi="Open Sans" w:cs="Open Sans"/>
                <w:color w:val="000000"/>
                <w:sz w:val="20"/>
                <w:szCs w:val="20"/>
              </w:rPr>
            </w:pPr>
            <w:hyperlink r:id="rId100" w:history="1">
              <w:r w:rsidR="00B837E7" w:rsidRPr="003B64DE">
                <w:rPr>
                  <w:rStyle w:val="Hipervnculo"/>
                  <w:rFonts w:ascii="Open Sans" w:hAnsi="Open Sans" w:cs="Open Sans"/>
                  <w:sz w:val="20"/>
                  <w:szCs w:val="20"/>
                </w:rPr>
                <w:t>Informe Anual de Gobierno Corporativo 2015</w:t>
              </w:r>
            </w:hyperlink>
          </w:p>
        </w:tc>
        <w:tc>
          <w:tcPr>
            <w:tcW w:w="24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FC6B370"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1EE75C45" w14:textId="77777777" w:rsidTr="00CB41CD">
        <w:trPr>
          <w:trHeight w:val="291"/>
        </w:trPr>
        <w:tc>
          <w:tcPr>
            <w:tcW w:w="61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92C5EFB" w14:textId="77777777" w:rsidR="00B837E7" w:rsidRPr="003B64DE" w:rsidRDefault="00B837E7" w:rsidP="00CB41CD">
            <w:pPr>
              <w:rPr>
                <w:rFonts w:ascii="Open Sans" w:hAnsi="Open Sans" w:cs="Open Sans"/>
                <w:color w:val="000000"/>
                <w:sz w:val="20"/>
                <w:szCs w:val="20"/>
              </w:rPr>
            </w:pPr>
            <w:r w:rsidRPr="003B64DE">
              <w:rPr>
                <w:rFonts w:ascii="Open Sans" w:hAnsi="Open Sans" w:cs="Open Sans"/>
                <w:color w:val="000000"/>
                <w:sz w:val="20"/>
                <w:szCs w:val="20"/>
              </w:rPr>
              <w:t>Código ético 2015</w:t>
            </w:r>
          </w:p>
        </w:tc>
        <w:tc>
          <w:tcPr>
            <w:tcW w:w="240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6448D23"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6013905E" w14:textId="77777777" w:rsidTr="00CB41CD">
        <w:trPr>
          <w:trHeight w:val="291"/>
        </w:trPr>
        <w:tc>
          <w:tcPr>
            <w:tcW w:w="610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2CCB93C4" w14:textId="77777777" w:rsidR="00B837E7" w:rsidRPr="003B64DE" w:rsidRDefault="007F55EB" w:rsidP="00CB41CD">
            <w:pPr>
              <w:rPr>
                <w:rFonts w:ascii="Open Sans" w:hAnsi="Open Sans" w:cs="Open Sans"/>
                <w:color w:val="000000"/>
                <w:sz w:val="20"/>
                <w:szCs w:val="20"/>
              </w:rPr>
            </w:pPr>
            <w:hyperlink r:id="rId101" w:history="1">
              <w:r w:rsidR="00B837E7" w:rsidRPr="003B64DE">
                <w:rPr>
                  <w:rStyle w:val="Hipervnculo"/>
                  <w:rFonts w:ascii="Open Sans" w:hAnsi="Open Sans" w:cs="Open Sans"/>
                  <w:sz w:val="20"/>
                  <w:szCs w:val="20"/>
                </w:rPr>
                <w:t>Estatutos sociales</w:t>
              </w:r>
            </w:hyperlink>
          </w:p>
        </w:tc>
        <w:tc>
          <w:tcPr>
            <w:tcW w:w="240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18F091BC"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6A0AB533" w14:textId="77777777" w:rsidTr="00CB41CD">
        <w:trPr>
          <w:trHeight w:val="291"/>
        </w:trPr>
        <w:tc>
          <w:tcPr>
            <w:tcW w:w="610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9965364" w14:textId="77777777" w:rsidR="00B837E7" w:rsidRPr="003B64DE" w:rsidRDefault="007F55EB" w:rsidP="00CB41CD">
            <w:pPr>
              <w:rPr>
                <w:rFonts w:ascii="Open Sans" w:hAnsi="Open Sans" w:cs="Open Sans"/>
                <w:color w:val="000000"/>
                <w:sz w:val="20"/>
                <w:szCs w:val="20"/>
              </w:rPr>
            </w:pPr>
            <w:hyperlink r:id="rId102" w:history="1">
              <w:r w:rsidR="00B837E7" w:rsidRPr="003B64DE">
                <w:rPr>
                  <w:rStyle w:val="Hipervnculo"/>
                  <w:rFonts w:ascii="Open Sans" w:hAnsi="Open Sans" w:cs="Open Sans"/>
                  <w:sz w:val="20"/>
                  <w:szCs w:val="20"/>
                </w:rPr>
                <w:t>Memoria anual de las comisiones consultivas del Consejo de Administración de Iberdrola</w:t>
              </w:r>
            </w:hyperlink>
          </w:p>
        </w:tc>
        <w:tc>
          <w:tcPr>
            <w:tcW w:w="240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470A1D16" w14:textId="77777777" w:rsidR="00B837E7" w:rsidRPr="00724C1E" w:rsidRDefault="00B837E7" w:rsidP="00CB41CD">
            <w:pPr>
              <w:jc w:val="both"/>
              <w:rPr>
                <w:rFonts w:ascii="Open Sans" w:eastAsia="Arial Unicode MS" w:hAnsi="Open Sans" w:cs="Open Sans"/>
                <w:sz w:val="20"/>
                <w:szCs w:val="20"/>
              </w:rPr>
            </w:pPr>
          </w:p>
        </w:tc>
      </w:tr>
      <w:tr w:rsidR="00B837E7" w:rsidRPr="00724C1E" w14:paraId="6EDEAEFE" w14:textId="77777777" w:rsidTr="00CB41CD">
        <w:trPr>
          <w:trHeight w:val="291"/>
        </w:trPr>
        <w:tc>
          <w:tcPr>
            <w:tcW w:w="610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37D6480F" w14:textId="77777777" w:rsidR="00B837E7" w:rsidRPr="003B64DE" w:rsidRDefault="007F55EB" w:rsidP="00CB41CD">
            <w:pPr>
              <w:rPr>
                <w:rFonts w:ascii="Open Sans" w:hAnsi="Open Sans" w:cs="Open Sans"/>
                <w:color w:val="000000"/>
                <w:sz w:val="20"/>
                <w:szCs w:val="20"/>
              </w:rPr>
            </w:pPr>
            <w:hyperlink r:id="rId103" w:history="1">
              <w:r w:rsidR="00B837E7" w:rsidRPr="003B64DE">
                <w:rPr>
                  <w:rStyle w:val="Hipervnculo"/>
                  <w:rFonts w:ascii="Open Sans" w:hAnsi="Open Sans" w:cs="Open Sans"/>
                  <w:sz w:val="20"/>
                  <w:szCs w:val="20"/>
                </w:rPr>
                <w:t>Política fiscal corporativa</w:t>
              </w:r>
            </w:hyperlink>
            <w:r w:rsidR="00B837E7" w:rsidRPr="003B64DE">
              <w:rPr>
                <w:rFonts w:ascii="Open Sans" w:hAnsi="Open Sans" w:cs="Open Sans"/>
                <w:color w:val="000000"/>
                <w:sz w:val="20"/>
                <w:szCs w:val="20"/>
              </w:rPr>
              <w:t xml:space="preserve"> </w:t>
            </w:r>
          </w:p>
        </w:tc>
        <w:tc>
          <w:tcPr>
            <w:tcW w:w="240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2973BD2" w14:textId="77777777" w:rsidR="00B837E7" w:rsidRPr="00724C1E" w:rsidRDefault="00B837E7" w:rsidP="00CB41CD">
            <w:pPr>
              <w:jc w:val="both"/>
              <w:rPr>
                <w:rFonts w:ascii="Open Sans" w:eastAsia="Arial Unicode MS" w:hAnsi="Open Sans" w:cs="Open Sans"/>
                <w:sz w:val="20"/>
                <w:szCs w:val="20"/>
              </w:rPr>
            </w:pPr>
          </w:p>
        </w:tc>
      </w:tr>
    </w:tbl>
    <w:p w14:paraId="6FEC3FF4" w14:textId="77777777" w:rsidR="00B837E7" w:rsidRPr="00724C1E" w:rsidRDefault="00B837E7" w:rsidP="00B837E7">
      <w:pPr>
        <w:jc w:val="both"/>
        <w:rPr>
          <w:rFonts w:ascii="Open Sans" w:hAnsi="Open Sans" w:cs="Open Sans"/>
          <w:b/>
          <w:sz w:val="20"/>
          <w:szCs w:val="20"/>
        </w:rPr>
      </w:pPr>
    </w:p>
    <w:p w14:paraId="555E733E" w14:textId="77777777" w:rsidR="00B837E7" w:rsidRPr="00724C1E" w:rsidRDefault="00B837E7" w:rsidP="00B837E7">
      <w:pPr>
        <w:jc w:val="both"/>
        <w:rPr>
          <w:rFonts w:ascii="Open Sans" w:hAnsi="Open Sans" w:cs="Open Sans"/>
          <w:b/>
          <w:sz w:val="20"/>
          <w:szCs w:val="20"/>
        </w:rPr>
      </w:pPr>
    </w:p>
    <w:p w14:paraId="2377F841" w14:textId="77777777" w:rsidR="00B837E7" w:rsidRPr="00336C46" w:rsidRDefault="00B837E7" w:rsidP="00B837E7">
      <w:pPr>
        <w:jc w:val="both"/>
        <w:rPr>
          <w:rFonts w:ascii="Open Sans" w:hAnsi="Open Sans" w:cs="Open Sans"/>
          <w:b/>
          <w:sz w:val="22"/>
          <w:szCs w:val="22"/>
          <w:u w:val="single"/>
        </w:rPr>
      </w:pPr>
      <w:r w:rsidRPr="00336C46">
        <w:rPr>
          <w:rFonts w:ascii="Open Sans" w:hAnsi="Open Sans" w:cs="Open Sans"/>
          <w:b/>
          <w:sz w:val="22"/>
          <w:szCs w:val="22"/>
          <w:u w:val="single"/>
        </w:rPr>
        <w:t>2. Tabla de resultados</w:t>
      </w:r>
    </w:p>
    <w:p w14:paraId="4C7B8A36" w14:textId="77777777" w:rsidR="00B837E7" w:rsidRDefault="00B837E7" w:rsidP="00B837E7">
      <w:pPr>
        <w:jc w:val="center"/>
        <w:rPr>
          <w:rFonts w:ascii="Open Sans" w:hAnsi="Open Sans" w:cs="Open Sans"/>
          <w:b/>
          <w:color w:val="FF0000"/>
          <w:sz w:val="20"/>
          <w:szCs w:val="20"/>
        </w:rPr>
      </w:pPr>
    </w:p>
    <w:p w14:paraId="3A722717" w14:textId="77777777" w:rsidR="00B837E7" w:rsidRDefault="00B837E7" w:rsidP="00B837E7">
      <w:pPr>
        <w:jc w:val="center"/>
        <w:rPr>
          <w:rFonts w:ascii="Open Sans" w:hAnsi="Open Sans" w:cs="Open Sans"/>
          <w:b/>
          <w:color w:val="FF0000"/>
          <w:sz w:val="20"/>
          <w:szCs w:val="20"/>
        </w:rPr>
      </w:pPr>
    </w:p>
    <w:p w14:paraId="48525F4B" w14:textId="77777777" w:rsidR="00B837E7" w:rsidRPr="007829A9" w:rsidRDefault="00B837E7" w:rsidP="00B837E7">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1B1E9418" w14:textId="77777777" w:rsidR="00B837E7" w:rsidRPr="00732FD5" w:rsidRDefault="00B837E7" w:rsidP="00B837E7">
      <w:pPr>
        <w:rPr>
          <w:rFonts w:ascii="Open Sans" w:hAnsi="Open Sans" w:cs="Arial"/>
          <w:b/>
        </w:rPr>
      </w:pPr>
    </w:p>
    <w:p w14:paraId="46705DE2" w14:textId="3EFECBF1" w:rsidR="00B837E7" w:rsidRPr="00B837E7" w:rsidRDefault="00B837E7" w:rsidP="00B837E7">
      <w:pPr>
        <w:jc w:val="center"/>
      </w:pPr>
      <w:r>
        <w:rPr>
          <w:noProof/>
          <w:lang w:val="es-ES"/>
        </w:rPr>
        <w:drawing>
          <wp:inline distT="0" distB="0" distL="0" distR="0" wp14:anchorId="11F30516" wp14:editId="37979264">
            <wp:extent cx="3676650" cy="18478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3676650" cy="1847850"/>
                    </a:xfrm>
                    <a:prstGeom prst="rect">
                      <a:avLst/>
                    </a:prstGeom>
                    <a:noFill/>
                    <a:ln>
                      <a:noFill/>
                    </a:ln>
                  </pic:spPr>
                </pic:pic>
              </a:graphicData>
            </a:graphic>
          </wp:inline>
        </w:drawing>
      </w:r>
    </w:p>
    <w:p w14:paraId="5FCE8702" w14:textId="77777777" w:rsidR="00B837E7" w:rsidRDefault="00B837E7" w:rsidP="00B837E7">
      <w:pPr>
        <w:jc w:val="center"/>
        <w:rPr>
          <w:rFonts w:ascii="Open Sans" w:hAnsi="Open Sans" w:cs="Open Sans"/>
          <w:b/>
          <w:color w:val="FF0000"/>
          <w:sz w:val="20"/>
          <w:szCs w:val="20"/>
        </w:rPr>
      </w:pPr>
      <w:r>
        <w:rPr>
          <w:rFonts w:ascii="Open Sans" w:hAnsi="Open Sans" w:cs="Open Sans"/>
          <w:b/>
          <w:color w:val="FF0000"/>
          <w:sz w:val="20"/>
          <w:szCs w:val="20"/>
        </w:rPr>
        <w:br w:type="page"/>
      </w:r>
    </w:p>
    <w:p w14:paraId="111E44C0" w14:textId="77777777" w:rsidR="00B837E7" w:rsidRPr="00724C1E" w:rsidRDefault="00B837E7" w:rsidP="00B837E7">
      <w:pPr>
        <w:jc w:val="center"/>
        <w:rPr>
          <w:rFonts w:ascii="Open Sans" w:hAnsi="Open Sans" w:cs="Open Sans"/>
          <w:b/>
          <w:sz w:val="20"/>
          <w:szCs w:val="20"/>
        </w:rPr>
      </w:pPr>
    </w:p>
    <w:p w14:paraId="5140383D" w14:textId="77777777" w:rsidR="00B837E7" w:rsidRPr="00336C46" w:rsidRDefault="00B837E7" w:rsidP="00B837E7">
      <w:pPr>
        <w:jc w:val="both"/>
        <w:rPr>
          <w:rFonts w:ascii="Open Sans" w:hAnsi="Open Sans" w:cs="Open Sans"/>
          <w:b/>
          <w:sz w:val="22"/>
          <w:szCs w:val="22"/>
        </w:rPr>
      </w:pPr>
      <w:r w:rsidRPr="00336C46">
        <w:rPr>
          <w:rFonts w:ascii="Open Sans" w:hAnsi="Open Sans" w:cs="Open Sans"/>
          <w:b/>
          <w:sz w:val="22"/>
          <w:szCs w:val="22"/>
          <w:u w:val="single"/>
        </w:rPr>
        <w:t>3. Contexto general</w:t>
      </w:r>
    </w:p>
    <w:p w14:paraId="27BA68BC" w14:textId="77777777" w:rsidR="00B837E7" w:rsidRPr="00724C1E" w:rsidRDefault="00B837E7" w:rsidP="00B837E7">
      <w:pPr>
        <w:jc w:val="both"/>
        <w:rPr>
          <w:rFonts w:ascii="Open Sans" w:hAnsi="Open Sans" w:cs="Open Sans"/>
          <w:b/>
          <w:sz w:val="20"/>
          <w:szCs w:val="20"/>
        </w:rPr>
      </w:pPr>
    </w:p>
    <w:p w14:paraId="3550AF57" w14:textId="77777777" w:rsidR="00B837E7" w:rsidRPr="00724C1E" w:rsidRDefault="00B837E7" w:rsidP="00B837E7">
      <w:pPr>
        <w:autoSpaceDE w:val="0"/>
        <w:autoSpaceDN w:val="0"/>
        <w:adjustRightInd w:val="0"/>
        <w:jc w:val="both"/>
        <w:rPr>
          <w:rFonts w:ascii="Open Sans" w:hAnsi="Open Sans" w:cs="Open Sans"/>
          <w:sz w:val="20"/>
          <w:szCs w:val="20"/>
        </w:rPr>
      </w:pPr>
      <w:r>
        <w:rPr>
          <w:rFonts w:ascii="Open Sans" w:hAnsi="Open Sans" w:cs="Open Sans"/>
          <w:sz w:val="20"/>
          <w:szCs w:val="20"/>
        </w:rPr>
        <w:t>La</w:t>
      </w:r>
      <w:r w:rsidRPr="00724C1E">
        <w:rPr>
          <w:rFonts w:ascii="Open Sans" w:hAnsi="Open Sans" w:cs="Open Sans"/>
          <w:sz w:val="20"/>
          <w:szCs w:val="20"/>
        </w:rPr>
        <w:t xml:space="preserve"> capitalización </w:t>
      </w:r>
      <w:r>
        <w:rPr>
          <w:rFonts w:ascii="Open Sans" w:hAnsi="Open Sans" w:cs="Open Sans"/>
          <w:sz w:val="20"/>
          <w:szCs w:val="20"/>
        </w:rPr>
        <w:t xml:space="preserve">bursátil de Iberdrola </w:t>
      </w:r>
      <w:r w:rsidRPr="00724C1E">
        <w:rPr>
          <w:rFonts w:ascii="Open Sans" w:hAnsi="Open Sans" w:cs="Open Sans"/>
          <w:sz w:val="20"/>
          <w:szCs w:val="20"/>
        </w:rPr>
        <w:t xml:space="preserve">a diciembre de 2015 </w:t>
      </w:r>
      <w:r>
        <w:rPr>
          <w:rFonts w:ascii="Open Sans" w:hAnsi="Open Sans" w:cs="Open Sans"/>
          <w:sz w:val="20"/>
          <w:szCs w:val="20"/>
        </w:rPr>
        <w:t xml:space="preserve">era de 41.507 millones de euros. El volumen de operaciones de la compañía asciende a 31.418 millones de euros. Por zonas geográficas, España aporta el 49% de las ventas de la compañía, Reino Unido el 29%, Estados Unidos el 13%, México el 6%, Brasil el 6% y el resto de países en su conjunto un 1%.  El EBITDA Es de 7.306 millones de euros. </w:t>
      </w:r>
      <w:r w:rsidRPr="00724C1E">
        <w:rPr>
          <w:rFonts w:ascii="Open Sans" w:hAnsi="Open Sans" w:cs="Open Sans"/>
          <w:sz w:val="20"/>
          <w:szCs w:val="20"/>
        </w:rPr>
        <w:t xml:space="preserve">La deuda financiera neta de </w:t>
      </w:r>
      <w:r>
        <w:rPr>
          <w:rFonts w:ascii="Open Sans" w:hAnsi="Open Sans" w:cs="Open Sans"/>
          <w:sz w:val="20"/>
          <w:szCs w:val="20"/>
        </w:rPr>
        <w:t>Iberdrola</w:t>
      </w:r>
      <w:r w:rsidRPr="00724C1E">
        <w:rPr>
          <w:rFonts w:ascii="Open Sans" w:hAnsi="Open Sans" w:cs="Open Sans"/>
          <w:sz w:val="20"/>
          <w:szCs w:val="20"/>
        </w:rPr>
        <w:t xml:space="preserve"> </w:t>
      </w:r>
      <w:r>
        <w:rPr>
          <w:rFonts w:ascii="Open Sans" w:hAnsi="Open Sans" w:cs="Open Sans"/>
          <w:sz w:val="20"/>
          <w:szCs w:val="20"/>
        </w:rPr>
        <w:t>es de 28.067</w:t>
      </w:r>
      <w:r w:rsidRPr="00724C1E">
        <w:rPr>
          <w:rFonts w:ascii="Open Sans" w:hAnsi="Open Sans" w:cs="Open Sans"/>
          <w:sz w:val="20"/>
          <w:szCs w:val="20"/>
        </w:rPr>
        <w:t xml:space="preserve"> millones de euros a 31 de diciembre de 2015.</w:t>
      </w:r>
    </w:p>
    <w:p w14:paraId="73637B89" w14:textId="77777777" w:rsidR="00B837E7" w:rsidRPr="00724C1E" w:rsidRDefault="00B837E7" w:rsidP="00B837E7">
      <w:pPr>
        <w:autoSpaceDE w:val="0"/>
        <w:autoSpaceDN w:val="0"/>
        <w:adjustRightInd w:val="0"/>
        <w:rPr>
          <w:rFonts w:ascii="Open Sans" w:hAnsi="Open Sans" w:cs="Open Sans"/>
          <w:sz w:val="20"/>
          <w:szCs w:val="20"/>
        </w:rPr>
      </w:pPr>
    </w:p>
    <w:p w14:paraId="4A873C4B" w14:textId="77777777" w:rsidR="00B837E7" w:rsidRPr="0084699D" w:rsidRDefault="00B837E7" w:rsidP="00B837E7">
      <w:pPr>
        <w:autoSpaceDE w:val="0"/>
        <w:autoSpaceDN w:val="0"/>
        <w:adjustRightInd w:val="0"/>
        <w:jc w:val="both"/>
        <w:rPr>
          <w:rFonts w:ascii="Open Sans" w:hAnsi="Open Sans" w:cs="Open Sans"/>
          <w:sz w:val="20"/>
          <w:szCs w:val="20"/>
        </w:rPr>
      </w:pPr>
      <w:r w:rsidRPr="0084699D">
        <w:rPr>
          <w:rFonts w:ascii="Open Sans" w:hAnsi="Open Sans" w:cs="Open Sans"/>
          <w:sz w:val="20"/>
          <w:szCs w:val="20"/>
        </w:rPr>
        <w:t>En lo que respecta a los riesgos derivados del alcance geográfico de las operaciones y sector de actividad, pueden señalarse varios. El sector eléctrico está fuertemente regulado, ya que suele considerarse un sector estratégico clave para el desarrollo económico, así como para el mantenimiento de la soberanía nacional (reducción de la dependencia energética del exterior). Esta situación hace que la relación de las empresas del sector con la Administración Pública sea inevitable, lo que implica una exposición de riesgo elevado en materia de corrupción. En este aspecto, cabe subrayar que Iberdrola opera o tiene presencia en países que, según la organización Transparencia Internacional, tienen un elevado riesgo de corrupción. Estos países son Honduras, Kenia y Sudáfrica, entre otros</w:t>
      </w:r>
      <w:r w:rsidRPr="0084699D">
        <w:rPr>
          <w:rStyle w:val="Refdenotaalpie"/>
          <w:rFonts w:ascii="Open Sans" w:hAnsi="Open Sans" w:cs="Open Sans"/>
          <w:sz w:val="20"/>
          <w:szCs w:val="20"/>
        </w:rPr>
        <w:footnoteReference w:id="419"/>
      </w:r>
      <w:r w:rsidRPr="0084699D">
        <w:rPr>
          <w:rFonts w:ascii="Open Sans" w:hAnsi="Open Sans" w:cs="Open Sans"/>
          <w:sz w:val="20"/>
          <w:szCs w:val="20"/>
        </w:rPr>
        <w:t xml:space="preserve">. </w:t>
      </w:r>
    </w:p>
    <w:p w14:paraId="4120D6F2" w14:textId="77777777" w:rsidR="00B837E7" w:rsidRPr="0084699D" w:rsidRDefault="00B837E7" w:rsidP="00B837E7">
      <w:pPr>
        <w:autoSpaceDE w:val="0"/>
        <w:autoSpaceDN w:val="0"/>
        <w:adjustRightInd w:val="0"/>
        <w:jc w:val="both"/>
        <w:rPr>
          <w:rFonts w:ascii="Open Sans" w:hAnsi="Open Sans" w:cs="Open Sans"/>
          <w:sz w:val="20"/>
          <w:szCs w:val="20"/>
        </w:rPr>
      </w:pPr>
    </w:p>
    <w:p w14:paraId="23E2E99E" w14:textId="77777777" w:rsidR="00B837E7" w:rsidRPr="0084699D" w:rsidRDefault="00B837E7" w:rsidP="00B837E7">
      <w:pPr>
        <w:autoSpaceDE w:val="0"/>
        <w:autoSpaceDN w:val="0"/>
        <w:adjustRightInd w:val="0"/>
        <w:jc w:val="both"/>
        <w:rPr>
          <w:rFonts w:ascii="Open Sans" w:hAnsi="Open Sans" w:cs="Open Sans"/>
          <w:sz w:val="20"/>
          <w:szCs w:val="20"/>
        </w:rPr>
      </w:pPr>
      <w:r w:rsidRPr="0084699D">
        <w:rPr>
          <w:rFonts w:ascii="Open Sans" w:hAnsi="Open Sans" w:cs="Open Sans"/>
          <w:sz w:val="20"/>
          <w:szCs w:val="20"/>
        </w:rPr>
        <w:t xml:space="preserve">Las energías renovables están en plena expansión. Muchos gobiernos han apostado por ellos para reducir su dependencia energética y diversificar su mix energético (variedad de fuentes de producción de energía: carbón, petróleo, gas, nuclear, renovables, etc.). Por tanto, las empresas dedicadas a las energías renovables reciben año a año </w:t>
      </w:r>
      <w:r>
        <w:rPr>
          <w:rFonts w:ascii="Open Sans" w:hAnsi="Open Sans" w:cs="Open Sans"/>
          <w:sz w:val="20"/>
          <w:szCs w:val="20"/>
        </w:rPr>
        <w:t>importantes</w:t>
      </w:r>
      <w:r w:rsidRPr="0084699D">
        <w:rPr>
          <w:rFonts w:ascii="Open Sans" w:hAnsi="Open Sans" w:cs="Open Sans"/>
          <w:sz w:val="20"/>
          <w:szCs w:val="20"/>
        </w:rPr>
        <w:t xml:space="preserve"> subvenciones. Puesto que esas fuentes de financiación son públicas, los ciudadanos de los países que conceden subvenciones a las energías renovables tienen derecho a </w:t>
      </w:r>
      <w:r>
        <w:rPr>
          <w:rFonts w:ascii="Open Sans" w:hAnsi="Open Sans" w:cs="Open Sans"/>
          <w:sz w:val="20"/>
          <w:szCs w:val="20"/>
        </w:rPr>
        <w:t xml:space="preserve"> disponer de la </w:t>
      </w:r>
      <w:r w:rsidRPr="0084699D">
        <w:rPr>
          <w:rFonts w:ascii="Open Sans" w:hAnsi="Open Sans" w:cs="Open Sans"/>
          <w:sz w:val="20"/>
          <w:szCs w:val="20"/>
        </w:rPr>
        <w:t xml:space="preserve">información sobre la cuantía de las subvenciones, su propósito, su duración y cómo se fiscalizan, entre otros. </w:t>
      </w:r>
    </w:p>
    <w:p w14:paraId="532914DC" w14:textId="77777777" w:rsidR="00B837E7" w:rsidRPr="0084699D" w:rsidRDefault="00B837E7" w:rsidP="00B837E7">
      <w:pPr>
        <w:autoSpaceDE w:val="0"/>
        <w:autoSpaceDN w:val="0"/>
        <w:adjustRightInd w:val="0"/>
        <w:jc w:val="both"/>
        <w:rPr>
          <w:rFonts w:ascii="Open Sans" w:hAnsi="Open Sans" w:cs="Open Sans"/>
          <w:sz w:val="20"/>
          <w:szCs w:val="20"/>
        </w:rPr>
      </w:pPr>
    </w:p>
    <w:p w14:paraId="6A121A2E" w14:textId="77777777" w:rsidR="00B837E7" w:rsidRDefault="00B837E7" w:rsidP="00B837E7">
      <w:pPr>
        <w:autoSpaceDE w:val="0"/>
        <w:autoSpaceDN w:val="0"/>
        <w:adjustRightInd w:val="0"/>
        <w:jc w:val="both"/>
        <w:rPr>
          <w:rFonts w:ascii="Open Sans" w:hAnsi="Open Sans" w:cs="Open Sans"/>
          <w:sz w:val="20"/>
          <w:szCs w:val="20"/>
        </w:rPr>
      </w:pPr>
      <w:r w:rsidRPr="0084699D">
        <w:rPr>
          <w:rFonts w:ascii="Open Sans" w:hAnsi="Open Sans" w:cs="Open Sans"/>
          <w:sz w:val="20"/>
          <w:szCs w:val="20"/>
        </w:rPr>
        <w:t>Además, el sector presenta características propias de monopolios naturales (situaciones en las que, desde un punto de vista económico, es más eficiente que un bien o servicio sea provisto por una sola empresa). En estas circunstancias, los mercados no se rigen por las fuerzas de la competencia. Además, los consumidores tienen menos poder para negociar con la empresa, así como para dejar de ser clientes en el caso de que la compañía muestre conductas no responsables.</w:t>
      </w:r>
      <w:r>
        <w:rPr>
          <w:rFonts w:ascii="Open Sans" w:hAnsi="Open Sans" w:cs="Open Sans"/>
          <w:sz w:val="20"/>
          <w:szCs w:val="20"/>
        </w:rPr>
        <w:t xml:space="preserve"> </w:t>
      </w:r>
    </w:p>
    <w:p w14:paraId="538343E1" w14:textId="77777777" w:rsidR="00B837E7" w:rsidRDefault="00B837E7" w:rsidP="00B837E7">
      <w:pPr>
        <w:autoSpaceDE w:val="0"/>
        <w:autoSpaceDN w:val="0"/>
        <w:adjustRightInd w:val="0"/>
        <w:jc w:val="both"/>
        <w:rPr>
          <w:rFonts w:ascii="Open Sans" w:hAnsi="Open Sans" w:cs="Open Sans"/>
          <w:sz w:val="20"/>
          <w:szCs w:val="20"/>
        </w:rPr>
      </w:pPr>
    </w:p>
    <w:p w14:paraId="6DD00187" w14:textId="77777777" w:rsidR="00B837E7" w:rsidRDefault="00B837E7" w:rsidP="00B837E7">
      <w:pPr>
        <w:autoSpaceDE w:val="0"/>
        <w:autoSpaceDN w:val="0"/>
        <w:adjustRightInd w:val="0"/>
        <w:jc w:val="both"/>
        <w:rPr>
          <w:rFonts w:ascii="Open Sans" w:hAnsi="Open Sans" w:cs="Open Sans"/>
          <w:sz w:val="20"/>
          <w:szCs w:val="20"/>
        </w:rPr>
      </w:pPr>
      <w:r>
        <w:rPr>
          <w:rFonts w:ascii="Open Sans" w:hAnsi="Open Sans" w:cs="Open Sans"/>
          <w:sz w:val="20"/>
          <w:szCs w:val="20"/>
        </w:rPr>
        <w:t>Los compromisos de Iberdrola en sostenibilidad se ven rubricados en la participación en un gran número de iniciativas que son convenientemente listadas. Entre esas iniciativas destacan el Pacto Mundial de Naciones Unidas</w:t>
      </w:r>
      <w:r w:rsidRPr="00781264">
        <w:rPr>
          <w:rFonts w:ascii="Open Sans" w:hAnsi="Open Sans" w:cs="Open Sans"/>
          <w:sz w:val="20"/>
          <w:szCs w:val="20"/>
        </w:rPr>
        <w:t xml:space="preserve">, </w:t>
      </w:r>
      <w:r w:rsidRPr="000C64A0">
        <w:rPr>
          <w:rFonts w:ascii="Open Sans" w:hAnsi="Open Sans" w:cs="Open Sans"/>
          <w:sz w:val="20"/>
          <w:szCs w:val="20"/>
        </w:rPr>
        <w:t>los Principios Rectores sobre las empresas</w:t>
      </w:r>
      <w:r>
        <w:rPr>
          <w:rFonts w:ascii="Open Sans" w:hAnsi="Open Sans" w:cs="Open Sans"/>
          <w:sz w:val="20"/>
          <w:szCs w:val="20"/>
        </w:rPr>
        <w:t xml:space="preserve"> </w:t>
      </w:r>
      <w:r w:rsidRPr="000C64A0">
        <w:rPr>
          <w:rFonts w:ascii="Open Sans" w:hAnsi="Open Sans" w:cs="Open Sans"/>
          <w:sz w:val="20"/>
          <w:szCs w:val="20"/>
        </w:rPr>
        <w:t>y los derechos humanos: puesta en práctica del marco de las Naciones Unidas para “proteger, respetar y</w:t>
      </w:r>
      <w:r>
        <w:rPr>
          <w:rFonts w:ascii="Open Sans" w:hAnsi="Open Sans" w:cs="Open Sans"/>
          <w:sz w:val="20"/>
          <w:szCs w:val="20"/>
        </w:rPr>
        <w:t xml:space="preserve"> </w:t>
      </w:r>
      <w:r w:rsidRPr="000C64A0">
        <w:rPr>
          <w:rFonts w:ascii="Open Sans" w:hAnsi="Open Sans" w:cs="Open Sans"/>
          <w:sz w:val="20"/>
          <w:szCs w:val="20"/>
        </w:rPr>
        <w:t>remediar”, la Declaración tripartita de</w:t>
      </w:r>
      <w:r>
        <w:rPr>
          <w:rFonts w:ascii="Open Sans" w:hAnsi="Open Sans" w:cs="Open Sans"/>
          <w:sz w:val="20"/>
          <w:szCs w:val="20"/>
        </w:rPr>
        <w:t xml:space="preserve"> </w:t>
      </w:r>
      <w:r w:rsidRPr="000C64A0">
        <w:rPr>
          <w:rFonts w:ascii="Open Sans" w:hAnsi="Open Sans" w:cs="Open Sans"/>
          <w:sz w:val="20"/>
          <w:szCs w:val="20"/>
        </w:rPr>
        <w:t>principios sobre las empresas multinacionales y la política social, y la Política social de la Organización</w:t>
      </w:r>
      <w:r>
        <w:rPr>
          <w:rFonts w:ascii="Open Sans" w:hAnsi="Open Sans" w:cs="Open Sans"/>
          <w:sz w:val="20"/>
          <w:szCs w:val="20"/>
        </w:rPr>
        <w:t xml:space="preserve"> </w:t>
      </w:r>
      <w:r w:rsidRPr="000C64A0">
        <w:rPr>
          <w:rFonts w:ascii="Open Sans" w:hAnsi="Open Sans" w:cs="Open Sans"/>
          <w:sz w:val="20"/>
          <w:szCs w:val="20"/>
        </w:rPr>
        <w:t>Internacional del Trabajo</w:t>
      </w:r>
      <w:r>
        <w:rPr>
          <w:rFonts w:ascii="Open Sans" w:hAnsi="Open Sans" w:cs="Open Sans"/>
          <w:sz w:val="20"/>
          <w:szCs w:val="20"/>
        </w:rPr>
        <w:t xml:space="preserve">. Respecto a los compromisos en materia fiscal, Iberdrola suscribe el Código de buenas prácticas de la Agencia Tributaria y las </w:t>
      </w:r>
      <w:r w:rsidRPr="00F363AB">
        <w:rPr>
          <w:rFonts w:ascii="Open Sans" w:hAnsi="Open Sans" w:cs="Open Sans"/>
          <w:sz w:val="20"/>
          <w:szCs w:val="20"/>
        </w:rPr>
        <w:t>Líneas Directrices de la OCDE para Empresas Multinacionales</w:t>
      </w:r>
      <w:r>
        <w:rPr>
          <w:rFonts w:ascii="Open Sans" w:hAnsi="Open Sans" w:cs="Open Sans"/>
          <w:sz w:val="20"/>
          <w:szCs w:val="20"/>
        </w:rPr>
        <w:t xml:space="preserve">. </w:t>
      </w:r>
    </w:p>
    <w:p w14:paraId="5FD77C5F" w14:textId="77777777" w:rsidR="00B837E7" w:rsidRDefault="00B837E7" w:rsidP="00B837E7">
      <w:pPr>
        <w:autoSpaceDE w:val="0"/>
        <w:autoSpaceDN w:val="0"/>
        <w:adjustRightInd w:val="0"/>
        <w:jc w:val="both"/>
        <w:rPr>
          <w:rFonts w:ascii="Open Sans" w:hAnsi="Open Sans" w:cs="Open Sans"/>
          <w:sz w:val="20"/>
          <w:szCs w:val="20"/>
        </w:rPr>
      </w:pPr>
    </w:p>
    <w:p w14:paraId="68CB2ABE" w14:textId="77777777" w:rsidR="00B837E7" w:rsidRPr="00724C1E" w:rsidRDefault="00B837E7" w:rsidP="00B837E7">
      <w:pPr>
        <w:autoSpaceDE w:val="0"/>
        <w:autoSpaceDN w:val="0"/>
        <w:adjustRightInd w:val="0"/>
        <w:jc w:val="both"/>
        <w:rPr>
          <w:rFonts w:ascii="Open Sans" w:hAnsi="Open Sans" w:cs="Open Sans"/>
          <w:sz w:val="20"/>
          <w:szCs w:val="20"/>
        </w:rPr>
      </w:pPr>
      <w:r>
        <w:rPr>
          <w:rFonts w:ascii="Open Sans" w:hAnsi="Open Sans" w:cs="Open Sans"/>
          <w:sz w:val="20"/>
          <w:szCs w:val="20"/>
        </w:rPr>
        <w:t>Por último, señalar que Iberdrola está incluida</w:t>
      </w:r>
      <w:r w:rsidRPr="00724C1E">
        <w:rPr>
          <w:rFonts w:ascii="Open Sans" w:hAnsi="Open Sans" w:cs="Open Sans"/>
          <w:sz w:val="20"/>
          <w:szCs w:val="20"/>
        </w:rPr>
        <w:t xml:space="preserve"> en los principales índices</w:t>
      </w:r>
      <w:r>
        <w:rPr>
          <w:rFonts w:ascii="Open Sans" w:hAnsi="Open Sans" w:cs="Open Sans"/>
          <w:sz w:val="20"/>
          <w:szCs w:val="20"/>
        </w:rPr>
        <w:t xml:space="preserve"> de sostenibilidad: </w:t>
      </w:r>
      <w:r w:rsidRPr="00B7545E">
        <w:rPr>
          <w:rFonts w:ascii="Open Sans" w:hAnsi="Open Sans" w:cs="Open Sans"/>
          <w:sz w:val="20"/>
          <w:szCs w:val="20"/>
        </w:rPr>
        <w:t>Dow</w:t>
      </w:r>
      <w:r>
        <w:rPr>
          <w:rFonts w:ascii="Open Sans" w:hAnsi="Open Sans" w:cs="Open Sans"/>
          <w:sz w:val="20"/>
          <w:szCs w:val="20"/>
        </w:rPr>
        <w:t xml:space="preserve"> </w:t>
      </w:r>
      <w:r w:rsidRPr="00B7545E">
        <w:rPr>
          <w:rFonts w:ascii="Open Sans" w:hAnsi="Open Sans" w:cs="Open Sans"/>
          <w:sz w:val="20"/>
          <w:szCs w:val="20"/>
        </w:rPr>
        <w:t>Jones Sustainability Index, FTSE4Good</w:t>
      </w:r>
      <w:r>
        <w:rPr>
          <w:rFonts w:ascii="Open Sans" w:hAnsi="Open Sans" w:cs="Open Sans"/>
          <w:sz w:val="20"/>
          <w:szCs w:val="20"/>
        </w:rPr>
        <w:t xml:space="preserve"> y</w:t>
      </w:r>
      <w:r w:rsidRPr="00B7545E">
        <w:rPr>
          <w:rFonts w:ascii="Open Sans" w:hAnsi="Open Sans" w:cs="Open Sans"/>
          <w:sz w:val="20"/>
          <w:szCs w:val="20"/>
        </w:rPr>
        <w:t xml:space="preserve"> Climate Disclosure Leadership Index. </w:t>
      </w:r>
      <w:r>
        <w:rPr>
          <w:rFonts w:ascii="Open Sans" w:hAnsi="Open Sans" w:cs="Open Sans"/>
          <w:sz w:val="20"/>
          <w:szCs w:val="20"/>
        </w:rPr>
        <w:t>E</w:t>
      </w:r>
      <w:r w:rsidRPr="00724C1E">
        <w:rPr>
          <w:rFonts w:ascii="Open Sans" w:hAnsi="Open Sans" w:cs="Open Sans"/>
          <w:sz w:val="20"/>
          <w:szCs w:val="20"/>
        </w:rPr>
        <w:t>stos índices comienzan a contemplar los aspectos relativos a transparencia fiscal y fiscalidad responsable como criterios para la selección de empresas. Entre los índices que incluyen estos criterios se encuentra el FTSE4good</w:t>
      </w:r>
      <w:r w:rsidRPr="00724C1E">
        <w:rPr>
          <w:rStyle w:val="Refdenotaalpie"/>
          <w:rFonts w:ascii="Open Sans" w:hAnsi="Open Sans" w:cs="Open Sans"/>
          <w:sz w:val="20"/>
          <w:szCs w:val="20"/>
        </w:rPr>
        <w:footnoteReference w:id="420"/>
      </w:r>
    </w:p>
    <w:p w14:paraId="553399E2" w14:textId="77777777" w:rsidR="00B837E7" w:rsidRPr="00724C1E" w:rsidRDefault="00B837E7" w:rsidP="00B837E7">
      <w:pPr>
        <w:jc w:val="both"/>
        <w:rPr>
          <w:rFonts w:ascii="Open Sans" w:hAnsi="Open Sans" w:cs="Open Sans"/>
          <w:sz w:val="20"/>
          <w:szCs w:val="20"/>
        </w:rPr>
      </w:pPr>
    </w:p>
    <w:p w14:paraId="37A34B4B" w14:textId="77777777" w:rsidR="00B837E7" w:rsidRPr="00724C1E" w:rsidRDefault="00B837E7" w:rsidP="00B837E7">
      <w:pPr>
        <w:jc w:val="both"/>
        <w:rPr>
          <w:rFonts w:ascii="Open Sans" w:hAnsi="Open Sans" w:cs="Open Sans"/>
          <w:sz w:val="20"/>
          <w:szCs w:val="20"/>
        </w:rPr>
      </w:pPr>
    </w:p>
    <w:p w14:paraId="0E8C4E12" w14:textId="77777777" w:rsidR="00B837E7" w:rsidRPr="00336C46" w:rsidRDefault="00B837E7" w:rsidP="00B837E7">
      <w:pPr>
        <w:jc w:val="both"/>
        <w:rPr>
          <w:rFonts w:ascii="Open Sans" w:hAnsi="Open Sans" w:cs="Open Sans"/>
          <w:b/>
          <w:sz w:val="22"/>
          <w:szCs w:val="22"/>
          <w:u w:val="single"/>
        </w:rPr>
      </w:pPr>
      <w:r w:rsidRPr="00336C46">
        <w:rPr>
          <w:rFonts w:ascii="Open Sans" w:hAnsi="Open Sans" w:cs="Open Sans"/>
          <w:b/>
          <w:sz w:val="22"/>
          <w:szCs w:val="22"/>
          <w:u w:val="single"/>
        </w:rPr>
        <w:t>4. Análisis</w:t>
      </w:r>
    </w:p>
    <w:p w14:paraId="379BC981" w14:textId="77777777" w:rsidR="00B837E7" w:rsidRPr="00724C1E" w:rsidRDefault="00B837E7" w:rsidP="00B837E7">
      <w:pPr>
        <w:jc w:val="both"/>
        <w:rPr>
          <w:rFonts w:ascii="Open Sans" w:hAnsi="Open Sans" w:cs="Open Sans"/>
          <w:b/>
          <w:sz w:val="20"/>
          <w:szCs w:val="20"/>
        </w:rPr>
      </w:pPr>
    </w:p>
    <w:p w14:paraId="6E8E1FD8" w14:textId="77777777" w:rsidR="00B837E7" w:rsidRDefault="00B837E7" w:rsidP="00B837E7">
      <w:pPr>
        <w:jc w:val="both"/>
        <w:rPr>
          <w:rFonts w:ascii="Open Sans" w:hAnsi="Open Sans" w:cs="Open Sans"/>
          <w:sz w:val="20"/>
          <w:szCs w:val="20"/>
        </w:rPr>
      </w:pPr>
      <w:r w:rsidRPr="0084699D">
        <w:rPr>
          <w:rFonts w:ascii="Open Sans" w:hAnsi="Open Sans" w:cs="Open Sans"/>
          <w:sz w:val="20"/>
          <w:szCs w:val="20"/>
        </w:rPr>
        <w:t xml:space="preserve">En el ámbito fiscal de una empresa y bajo la óptica de la responsabilidad social, existen varios aspectos relevantes: </w:t>
      </w:r>
    </w:p>
    <w:p w14:paraId="5D689455" w14:textId="77777777" w:rsidR="00B837E7" w:rsidRPr="0084699D" w:rsidRDefault="00B837E7" w:rsidP="00B837E7">
      <w:pPr>
        <w:jc w:val="both"/>
        <w:rPr>
          <w:rFonts w:ascii="Open Sans" w:hAnsi="Open Sans" w:cs="Open Sans"/>
          <w:sz w:val="20"/>
          <w:szCs w:val="20"/>
        </w:rPr>
      </w:pPr>
    </w:p>
    <w:p w14:paraId="100F6C41" w14:textId="77777777" w:rsidR="00B837E7" w:rsidRPr="0084699D" w:rsidRDefault="00B837E7" w:rsidP="00B837E7">
      <w:pPr>
        <w:numPr>
          <w:ilvl w:val="0"/>
          <w:numId w:val="86"/>
        </w:numPr>
        <w:jc w:val="both"/>
        <w:rPr>
          <w:rFonts w:ascii="Open Sans" w:hAnsi="Open Sans" w:cs="Open Sans"/>
          <w:sz w:val="20"/>
          <w:szCs w:val="20"/>
        </w:rPr>
      </w:pPr>
      <w:r w:rsidRPr="0084699D">
        <w:rPr>
          <w:rFonts w:ascii="Open Sans" w:hAnsi="Open Sans" w:cs="Open Sans"/>
          <w:sz w:val="20"/>
          <w:szCs w:val="20"/>
        </w:rPr>
        <w:t xml:space="preserve">Posición fiscal. Observar si existe una política fiscal y cómo se gestiona la fiscalidad, así como cuál es exactamente el compromiso de la empresa con la fiscalidad responsable. </w:t>
      </w:r>
    </w:p>
    <w:p w14:paraId="3AB8B841" w14:textId="77777777" w:rsidR="00B837E7" w:rsidRPr="0084699D" w:rsidRDefault="00B837E7" w:rsidP="00B837E7">
      <w:pPr>
        <w:numPr>
          <w:ilvl w:val="0"/>
          <w:numId w:val="86"/>
        </w:numPr>
        <w:jc w:val="both"/>
        <w:rPr>
          <w:rFonts w:ascii="Open Sans" w:hAnsi="Open Sans" w:cs="Open Sans"/>
          <w:sz w:val="20"/>
          <w:szCs w:val="20"/>
        </w:rPr>
      </w:pPr>
      <w:r w:rsidRPr="0084699D">
        <w:rPr>
          <w:rFonts w:ascii="Open Sans" w:hAnsi="Open Sans" w:cs="Open Sans"/>
          <w:sz w:val="20"/>
          <w:szCs w:val="20"/>
        </w:rPr>
        <w:t xml:space="preserve">Paraísos fiscales. Conocer si la empresa tiene presencia en paraísos y nichos fiscales, así como cuáles son las actividades que realiza desde esas jurisdicciones. </w:t>
      </w:r>
    </w:p>
    <w:p w14:paraId="5B8169C2" w14:textId="77777777" w:rsidR="00B837E7" w:rsidRPr="0084699D" w:rsidRDefault="00B837E7" w:rsidP="00B837E7">
      <w:pPr>
        <w:numPr>
          <w:ilvl w:val="0"/>
          <w:numId w:val="86"/>
        </w:numPr>
        <w:jc w:val="both"/>
        <w:rPr>
          <w:rFonts w:ascii="Open Sans" w:hAnsi="Open Sans" w:cs="Open Sans"/>
          <w:sz w:val="20"/>
          <w:szCs w:val="20"/>
        </w:rPr>
      </w:pPr>
      <w:r w:rsidRPr="0084699D">
        <w:rPr>
          <w:rFonts w:ascii="Open Sans" w:hAnsi="Open Sans" w:cs="Open Sans"/>
          <w:sz w:val="20"/>
          <w:szCs w:val="20"/>
        </w:rPr>
        <w:t xml:space="preserve">Contribución fiscal. Poner de manifiesto la contribución fiscal de la empresa, así como la gestión de incentivos fiscales como deducciones y créditos fiscales, por ejemplo. </w:t>
      </w:r>
    </w:p>
    <w:p w14:paraId="0EC310A5" w14:textId="77777777" w:rsidR="00B837E7" w:rsidRPr="0084699D" w:rsidRDefault="00B837E7" w:rsidP="00B837E7">
      <w:pPr>
        <w:numPr>
          <w:ilvl w:val="0"/>
          <w:numId w:val="86"/>
        </w:numPr>
        <w:jc w:val="both"/>
        <w:rPr>
          <w:rFonts w:ascii="Open Sans" w:hAnsi="Open Sans" w:cs="Open Sans"/>
          <w:sz w:val="20"/>
          <w:szCs w:val="20"/>
        </w:rPr>
      </w:pPr>
      <w:r w:rsidRPr="0084699D">
        <w:rPr>
          <w:rFonts w:ascii="Open Sans" w:hAnsi="Open Sans" w:cs="Open Sans"/>
          <w:sz w:val="20"/>
          <w:szCs w:val="20"/>
        </w:rPr>
        <w:t xml:space="preserve">Relación con la Administración Pública. Evidenciar cuál es relación de la empresa con la Administración Pública en materia fiscal. </w:t>
      </w:r>
    </w:p>
    <w:p w14:paraId="6C624342" w14:textId="77777777" w:rsidR="00B837E7" w:rsidRPr="0084699D" w:rsidRDefault="00B837E7" w:rsidP="00B837E7">
      <w:pPr>
        <w:numPr>
          <w:ilvl w:val="0"/>
          <w:numId w:val="86"/>
        </w:numPr>
        <w:jc w:val="both"/>
        <w:rPr>
          <w:rFonts w:ascii="Open Sans" w:hAnsi="Open Sans" w:cs="Open Sans"/>
          <w:sz w:val="20"/>
          <w:szCs w:val="20"/>
        </w:rPr>
      </w:pPr>
      <w:r w:rsidRPr="0084699D">
        <w:rPr>
          <w:rFonts w:ascii="Open Sans" w:hAnsi="Open Sans" w:cs="Open Sans"/>
          <w:sz w:val="20"/>
          <w:szCs w:val="20"/>
        </w:rPr>
        <w:t>Otras cuestiones fiscales</w:t>
      </w:r>
    </w:p>
    <w:p w14:paraId="10BB3975" w14:textId="77777777" w:rsidR="00B837E7" w:rsidRDefault="00B837E7" w:rsidP="00B837E7">
      <w:pPr>
        <w:jc w:val="both"/>
        <w:rPr>
          <w:rFonts w:ascii="Open Sans" w:hAnsi="Open Sans" w:cs="Open Sans"/>
          <w:sz w:val="20"/>
          <w:szCs w:val="20"/>
        </w:rPr>
      </w:pPr>
    </w:p>
    <w:p w14:paraId="7998085B"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A continuación analizaremos cada uno de ellos. </w:t>
      </w:r>
    </w:p>
    <w:p w14:paraId="58857681" w14:textId="77777777" w:rsidR="00B837E7" w:rsidRDefault="00B837E7" w:rsidP="00B837E7">
      <w:pPr>
        <w:jc w:val="both"/>
        <w:rPr>
          <w:rFonts w:ascii="Open Sans" w:hAnsi="Open Sans" w:cs="Open Sans"/>
          <w:sz w:val="20"/>
          <w:szCs w:val="20"/>
        </w:rPr>
      </w:pPr>
    </w:p>
    <w:p w14:paraId="13201ED7" w14:textId="77777777" w:rsidR="00B837E7" w:rsidRDefault="00B837E7" w:rsidP="00B837E7">
      <w:pPr>
        <w:jc w:val="both"/>
        <w:rPr>
          <w:rFonts w:ascii="Open Sans" w:hAnsi="Open Sans" w:cs="Open Sans"/>
          <w:sz w:val="20"/>
          <w:szCs w:val="20"/>
        </w:rPr>
      </w:pPr>
      <w:r>
        <w:rPr>
          <w:rFonts w:ascii="Open Sans" w:hAnsi="Open Sans" w:cs="Open Sans"/>
          <w:sz w:val="20"/>
          <w:szCs w:val="20"/>
        </w:rPr>
        <w:t>1. Posición fiscal</w:t>
      </w:r>
    </w:p>
    <w:p w14:paraId="524BC7C4" w14:textId="77777777" w:rsidR="00B837E7" w:rsidRDefault="00B837E7" w:rsidP="00B837E7">
      <w:pPr>
        <w:jc w:val="both"/>
        <w:rPr>
          <w:rFonts w:ascii="Open Sans" w:hAnsi="Open Sans" w:cs="Open Sans"/>
          <w:sz w:val="20"/>
          <w:szCs w:val="20"/>
        </w:rPr>
      </w:pPr>
    </w:p>
    <w:p w14:paraId="403B83BE" w14:textId="77777777" w:rsidR="00B837E7" w:rsidRDefault="00B837E7" w:rsidP="00B837E7">
      <w:pPr>
        <w:jc w:val="both"/>
        <w:rPr>
          <w:rFonts w:ascii="Open Sans" w:hAnsi="Open Sans" w:cs="Open Sans"/>
          <w:sz w:val="20"/>
          <w:szCs w:val="20"/>
        </w:rPr>
      </w:pPr>
      <w:r>
        <w:rPr>
          <w:rFonts w:ascii="Open Sans" w:hAnsi="Open Sans" w:cs="Open Sans"/>
          <w:sz w:val="20"/>
          <w:szCs w:val="20"/>
        </w:rPr>
        <w:t>La compañía cuenta tanto con una estrategia como con una política fiscal. En el año 2015, el Consejo de Administración de Iberdrola aprueba el documento “</w:t>
      </w:r>
      <w:r w:rsidRPr="00C81EBD">
        <w:rPr>
          <w:rFonts w:ascii="Open Sans" w:hAnsi="Open Sans" w:cs="Open Sans"/>
          <w:sz w:val="20"/>
          <w:szCs w:val="20"/>
        </w:rPr>
        <w:t>Política Fiscal Corporativa</w:t>
      </w:r>
      <w:r>
        <w:rPr>
          <w:rFonts w:ascii="Open Sans" w:hAnsi="Open Sans" w:cs="Open Sans"/>
          <w:sz w:val="20"/>
          <w:szCs w:val="20"/>
        </w:rPr>
        <w:t>”, que define la estrategia fiscal de la compañía. El documento, que fija una serie de compromisos con las buenas prácticas tributarias y la comunicación, indica los principios por los que se rige, indicando expresamente que asumen como buena práctica tributaria “</w:t>
      </w:r>
      <w:r w:rsidRPr="00331149">
        <w:rPr>
          <w:rFonts w:ascii="Open Sans" w:hAnsi="Open Sans" w:cs="Open Sans"/>
          <w:i/>
          <w:sz w:val="20"/>
          <w:szCs w:val="20"/>
        </w:rPr>
        <w:t>seguir las recomendaciones de los códigos de buenas prácticas tributarias que se implementen en los países en los que las sociedades del Grupo desarrollan su actividad, tomando en consideración las necesidades y circunstancias específicas del Grupo</w:t>
      </w:r>
      <w:r w:rsidRPr="00331149">
        <w:rPr>
          <w:rFonts w:ascii="Open Sans" w:hAnsi="Open Sans" w:cs="Open Sans"/>
          <w:sz w:val="20"/>
          <w:szCs w:val="20"/>
        </w:rPr>
        <w:t>.”</w:t>
      </w:r>
      <w:r>
        <w:rPr>
          <w:rFonts w:ascii="Open Sans" w:hAnsi="Open Sans" w:cs="Open Sans"/>
          <w:sz w:val="20"/>
          <w:szCs w:val="20"/>
        </w:rPr>
        <w:t xml:space="preserve"> Sólo hace alusión al </w:t>
      </w:r>
      <w:r w:rsidRPr="00331149">
        <w:rPr>
          <w:rFonts w:ascii="Open Sans" w:hAnsi="Open Sans" w:cs="Open Sans"/>
          <w:sz w:val="20"/>
          <w:szCs w:val="20"/>
        </w:rPr>
        <w:t>Código de buenas prácticas tributarias</w:t>
      </w:r>
      <w:r>
        <w:rPr>
          <w:rFonts w:ascii="Open Sans" w:hAnsi="Open Sans" w:cs="Open Sans"/>
          <w:sz w:val="20"/>
          <w:szCs w:val="20"/>
        </w:rPr>
        <w:t xml:space="preserve"> en España, desconociéndose si está adherida a códigos similares en otros países en los que tributa.</w:t>
      </w:r>
    </w:p>
    <w:p w14:paraId="4639EC2F" w14:textId="77777777" w:rsidR="00B837E7" w:rsidRDefault="00B837E7" w:rsidP="00B837E7">
      <w:pPr>
        <w:jc w:val="both"/>
        <w:rPr>
          <w:rFonts w:ascii="Open Sans" w:hAnsi="Open Sans" w:cs="Open Sans"/>
          <w:sz w:val="20"/>
          <w:szCs w:val="20"/>
        </w:rPr>
      </w:pPr>
    </w:p>
    <w:p w14:paraId="3726B0F3"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En el informe de gobierno corporativo se informa de los tipos de riesgos a los que está sometida la empresa.  Solo se hace mención a riesgos fiscales por cambios normativos, aspecto contemplado dentro de la Política general de control y gestión de riesgos. No se mencionan otros tipos de riesgos relacionados con aspectos fiscales. Iberdrola indica también los riesgos de carácter fiscal que se han materializado en el ejercicio 2015. </w:t>
      </w:r>
    </w:p>
    <w:p w14:paraId="625F2701" w14:textId="77777777" w:rsidR="00B837E7" w:rsidRDefault="00B837E7" w:rsidP="00B837E7">
      <w:pPr>
        <w:jc w:val="both"/>
        <w:rPr>
          <w:rFonts w:ascii="Open Sans" w:hAnsi="Open Sans" w:cs="Open Sans"/>
          <w:sz w:val="20"/>
          <w:szCs w:val="20"/>
        </w:rPr>
      </w:pPr>
    </w:p>
    <w:p w14:paraId="77682B33" w14:textId="77777777" w:rsidR="00B837E7" w:rsidRDefault="00B837E7" w:rsidP="00B837E7">
      <w:pPr>
        <w:jc w:val="both"/>
        <w:rPr>
          <w:rFonts w:ascii="Open Sans" w:hAnsi="Open Sans" w:cs="Open Sans"/>
          <w:sz w:val="20"/>
          <w:szCs w:val="20"/>
        </w:rPr>
      </w:pPr>
      <w:r w:rsidRPr="00C81EBD">
        <w:rPr>
          <w:rFonts w:ascii="Open Sans" w:hAnsi="Open Sans" w:cs="Open Sans"/>
          <w:sz w:val="20"/>
          <w:szCs w:val="20"/>
        </w:rPr>
        <w:t xml:space="preserve">La aprobación de la estrategia fiscal corresponde </w:t>
      </w:r>
      <w:r>
        <w:rPr>
          <w:rFonts w:ascii="Open Sans" w:hAnsi="Open Sans" w:cs="Open Sans"/>
          <w:sz w:val="20"/>
          <w:szCs w:val="20"/>
        </w:rPr>
        <w:t>al C</w:t>
      </w:r>
      <w:r w:rsidRPr="00C81EBD">
        <w:rPr>
          <w:rFonts w:ascii="Open Sans" w:hAnsi="Open Sans" w:cs="Open Sans"/>
          <w:sz w:val="20"/>
          <w:szCs w:val="20"/>
        </w:rPr>
        <w:t xml:space="preserve">onsejo de </w:t>
      </w:r>
      <w:r>
        <w:rPr>
          <w:rFonts w:ascii="Open Sans" w:hAnsi="Open Sans" w:cs="Open Sans"/>
          <w:sz w:val="20"/>
          <w:szCs w:val="20"/>
        </w:rPr>
        <w:t>A</w:t>
      </w:r>
      <w:r w:rsidRPr="00C81EBD">
        <w:rPr>
          <w:rFonts w:ascii="Open Sans" w:hAnsi="Open Sans" w:cs="Open Sans"/>
          <w:sz w:val="20"/>
          <w:szCs w:val="20"/>
        </w:rPr>
        <w:t>dministración</w:t>
      </w:r>
      <w:r>
        <w:rPr>
          <w:rFonts w:ascii="Open Sans" w:hAnsi="Open Sans" w:cs="Open Sans"/>
          <w:sz w:val="20"/>
          <w:szCs w:val="20"/>
        </w:rPr>
        <w:t xml:space="preserve">, siendo la </w:t>
      </w:r>
      <w:r w:rsidRPr="00C81EBD">
        <w:rPr>
          <w:rFonts w:ascii="Open Sans" w:hAnsi="Open Sans" w:cs="Open Sans"/>
          <w:sz w:val="20"/>
          <w:szCs w:val="20"/>
        </w:rPr>
        <w:t xml:space="preserve">Comisión de Auditoría y </w:t>
      </w:r>
      <w:r>
        <w:rPr>
          <w:rFonts w:ascii="Open Sans" w:hAnsi="Open Sans" w:cs="Open Sans"/>
          <w:sz w:val="20"/>
          <w:szCs w:val="20"/>
        </w:rPr>
        <w:t xml:space="preserve">Supervisión de Riesgo la que tiene el deber de proporcionarle la información sobre fiscalidad. En la </w:t>
      </w:r>
      <w:r w:rsidRPr="00C6529B">
        <w:rPr>
          <w:rFonts w:ascii="Open Sans" w:hAnsi="Open Sans" w:cs="Open Sans"/>
          <w:sz w:val="20"/>
          <w:szCs w:val="20"/>
        </w:rPr>
        <w:t>Memoria anual de las comisiones consultivas del Consejo de Administración de Iberdrola</w:t>
      </w:r>
      <w:r>
        <w:rPr>
          <w:rFonts w:ascii="Open Sans" w:hAnsi="Open Sans" w:cs="Open Sans"/>
          <w:sz w:val="20"/>
          <w:szCs w:val="20"/>
        </w:rPr>
        <w:t xml:space="preserve"> se proporciona el número de informes sobre fiscalidad que ha emitido esta última comisión, así como del número de comparecencias de directivos del área fiscal ante ella. </w:t>
      </w:r>
    </w:p>
    <w:p w14:paraId="3E4FDCB4" w14:textId="77777777" w:rsidR="00B837E7" w:rsidRDefault="00B837E7" w:rsidP="00B837E7">
      <w:pPr>
        <w:jc w:val="both"/>
        <w:rPr>
          <w:rFonts w:ascii="Open Sans" w:hAnsi="Open Sans" w:cs="Open Sans"/>
          <w:sz w:val="20"/>
          <w:szCs w:val="20"/>
        </w:rPr>
      </w:pPr>
    </w:p>
    <w:p w14:paraId="18D2B3B2" w14:textId="77777777" w:rsidR="00B837E7" w:rsidRDefault="00B837E7" w:rsidP="00B837E7">
      <w:pPr>
        <w:jc w:val="both"/>
        <w:rPr>
          <w:rFonts w:ascii="Open Sans" w:hAnsi="Open Sans" w:cs="Open Sans"/>
          <w:sz w:val="20"/>
          <w:szCs w:val="20"/>
        </w:rPr>
      </w:pPr>
    </w:p>
    <w:p w14:paraId="66446005" w14:textId="77777777" w:rsidR="00B837E7" w:rsidRPr="0052545C" w:rsidRDefault="00B837E7" w:rsidP="00B837E7">
      <w:pPr>
        <w:jc w:val="both"/>
        <w:rPr>
          <w:rFonts w:ascii="Open Sans" w:hAnsi="Open Sans" w:cs="Open Sans"/>
          <w:sz w:val="20"/>
          <w:szCs w:val="20"/>
        </w:rPr>
      </w:pPr>
      <w:r>
        <w:rPr>
          <w:rFonts w:ascii="Open Sans" w:hAnsi="Open Sans" w:cs="Open Sans"/>
          <w:sz w:val="20"/>
          <w:szCs w:val="20"/>
        </w:rPr>
        <w:t xml:space="preserve">2. </w:t>
      </w:r>
      <w:r w:rsidRPr="0052545C">
        <w:rPr>
          <w:rFonts w:ascii="Open Sans" w:hAnsi="Open Sans" w:cs="Open Sans"/>
          <w:sz w:val="20"/>
          <w:szCs w:val="20"/>
        </w:rPr>
        <w:t>Paraísos fiscales</w:t>
      </w:r>
    </w:p>
    <w:p w14:paraId="68248E09" w14:textId="77777777" w:rsidR="00B837E7" w:rsidRDefault="00B837E7" w:rsidP="00B837E7">
      <w:pPr>
        <w:jc w:val="both"/>
        <w:rPr>
          <w:rFonts w:ascii="Open Sans" w:hAnsi="Open Sans" w:cs="Open Sans"/>
          <w:sz w:val="20"/>
          <w:szCs w:val="20"/>
        </w:rPr>
      </w:pPr>
    </w:p>
    <w:p w14:paraId="5D69D086" w14:textId="77777777" w:rsidR="00B837E7" w:rsidRDefault="00B837E7" w:rsidP="00B837E7">
      <w:pPr>
        <w:jc w:val="both"/>
        <w:rPr>
          <w:rFonts w:ascii="Open Sans" w:hAnsi="Open Sans" w:cs="Open Sans"/>
          <w:sz w:val="20"/>
          <w:szCs w:val="20"/>
        </w:rPr>
      </w:pPr>
      <w:r>
        <w:rPr>
          <w:rFonts w:ascii="Open Sans" w:hAnsi="Open Sans" w:cs="Open Sans"/>
          <w:sz w:val="20"/>
          <w:szCs w:val="20"/>
        </w:rPr>
        <w:t>La posición de Iberdrola respecto a los paraísos fiscales parte de lo establecido en el R</w:t>
      </w:r>
      <w:r w:rsidRPr="00597678">
        <w:rPr>
          <w:rFonts w:ascii="Open Sans" w:hAnsi="Open Sans" w:cs="Open Sans"/>
          <w:sz w:val="20"/>
          <w:szCs w:val="20"/>
        </w:rPr>
        <w:t>eal Decreto 1080/1991, de 5 de julio</w:t>
      </w:r>
      <w:r>
        <w:rPr>
          <w:rFonts w:ascii="Open Sans" w:hAnsi="Open Sans" w:cs="Open Sans"/>
          <w:sz w:val="20"/>
          <w:szCs w:val="20"/>
        </w:rPr>
        <w:t>. En la página 41 del Informe de Sostenibilidad de la compañía se indica que “</w:t>
      </w:r>
      <w:r w:rsidRPr="00597678">
        <w:rPr>
          <w:rFonts w:ascii="Open Sans" w:hAnsi="Open Sans" w:cs="Open Sans"/>
          <w:i/>
          <w:sz w:val="20"/>
          <w:szCs w:val="20"/>
        </w:rPr>
        <w:t>En la fecha de cierre de los estados financieros, el Grupo Iberdrola no incluye entre sus sociedades participadas controladas ninguna residente en paraísos fiscales, según la legislación de referencia (Real Decreto 1080/1991, de 5 de julio, y sus respectivas actualizaciones)</w:t>
      </w:r>
      <w:r w:rsidRPr="00597678">
        <w:rPr>
          <w:rFonts w:ascii="Open Sans" w:hAnsi="Open Sans" w:cs="Open Sans"/>
          <w:sz w:val="20"/>
          <w:szCs w:val="20"/>
        </w:rPr>
        <w:t>.</w:t>
      </w:r>
      <w:r>
        <w:rPr>
          <w:rFonts w:ascii="Open Sans" w:hAnsi="Open Sans" w:cs="Open Sans"/>
          <w:sz w:val="20"/>
          <w:szCs w:val="20"/>
        </w:rPr>
        <w:t>”. Sin embargo, Iberdrola sí que ostenta el control efectivo de sociedades sitas en nichos fiscales como Luxemburgo, Suiza o Panamá, entre otros, y que son objeto también de análisis según la metodología del Observatorio de RSC Estas jurisdicciones, a pesar de no ser consideradas como paraísos fiscales según el R</w:t>
      </w:r>
      <w:r w:rsidRPr="00597678">
        <w:rPr>
          <w:rFonts w:ascii="Open Sans" w:hAnsi="Open Sans" w:cs="Open Sans"/>
          <w:sz w:val="20"/>
          <w:szCs w:val="20"/>
        </w:rPr>
        <w:t>eal Decreto 1080/1991, de 5 de julio</w:t>
      </w:r>
      <w:r>
        <w:rPr>
          <w:rFonts w:ascii="Open Sans" w:hAnsi="Open Sans" w:cs="Open Sans"/>
          <w:sz w:val="20"/>
          <w:szCs w:val="20"/>
        </w:rPr>
        <w:t xml:space="preserve">, proporcionan ventajas fiscales y/o financieras equivalentes a las de los paraísos fiscales. </w:t>
      </w:r>
    </w:p>
    <w:p w14:paraId="3F719C0A" w14:textId="77777777" w:rsidR="00B837E7" w:rsidRDefault="00B837E7" w:rsidP="00B837E7">
      <w:pPr>
        <w:jc w:val="both"/>
        <w:rPr>
          <w:rFonts w:ascii="Open Sans" w:hAnsi="Open Sans" w:cs="Open Sans"/>
          <w:sz w:val="20"/>
          <w:szCs w:val="20"/>
        </w:rPr>
      </w:pPr>
    </w:p>
    <w:p w14:paraId="047C130A"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Atendiendo a la lista de paraísos y/o nichos fiscales del Observatorio de Responsabilidad Social Corporativa (OBRSC), el número de sociedades en paraísos fiscales de Iberdrola ha aumentado en el último año analizado. En el 2014 Iberdrola tenía 69 sociedades en paraísos y/o nichos fiscales, cifra que en 2015 ha alcanzado las 71. En ambos años, la cifra incluye tanto sociedades dedicadas a la actividad principal de la compañía como sociedades con propósitos financieros o fiscales. </w:t>
      </w:r>
      <w:r w:rsidRPr="0084699D">
        <w:rPr>
          <w:rFonts w:ascii="Open Sans" w:hAnsi="Open Sans" w:cs="Open Sans"/>
          <w:sz w:val="20"/>
          <w:szCs w:val="20"/>
        </w:rPr>
        <w:t xml:space="preserve">La presencia de empresas internacionales en territorios considerados paraísos </w:t>
      </w:r>
      <w:r>
        <w:rPr>
          <w:rFonts w:ascii="Open Sans" w:hAnsi="Open Sans" w:cs="Open Sans"/>
          <w:sz w:val="20"/>
          <w:szCs w:val="20"/>
        </w:rPr>
        <w:t>y/</w:t>
      </w:r>
      <w:r w:rsidRPr="0084699D">
        <w:rPr>
          <w:rFonts w:ascii="Open Sans" w:hAnsi="Open Sans" w:cs="Open Sans"/>
          <w:sz w:val="20"/>
          <w:szCs w:val="20"/>
        </w:rPr>
        <w:t>o nichos fiscales 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w:t>
      </w:r>
      <w:r w:rsidRPr="00724C1E">
        <w:rPr>
          <w:rFonts w:ascii="Open Sans" w:hAnsi="Open Sans" w:cs="Open Sans"/>
          <w:sz w:val="20"/>
          <w:szCs w:val="20"/>
        </w:rPr>
        <w:t xml:space="preserve"> </w:t>
      </w:r>
      <w:r>
        <w:rPr>
          <w:rFonts w:ascii="Open Sans" w:hAnsi="Open Sans" w:cs="Open Sans"/>
          <w:sz w:val="20"/>
          <w:szCs w:val="20"/>
        </w:rPr>
        <w:t xml:space="preserve">La siguiente tabla informa sobre las sociedades de Iberdrola en los 10 paraísos y/o nichos fiscales en los que tiene presencia. </w:t>
      </w:r>
    </w:p>
    <w:p w14:paraId="26F30D39" w14:textId="77777777" w:rsidR="00B837E7" w:rsidRDefault="00B837E7" w:rsidP="00B837E7">
      <w:pPr>
        <w:jc w:val="both"/>
        <w:rPr>
          <w:rFonts w:ascii="Open Sans" w:hAnsi="Open Sans" w:cs="Open Sans"/>
          <w:sz w:val="20"/>
          <w:szCs w:val="20"/>
        </w:rPr>
      </w:pPr>
    </w:p>
    <w:p w14:paraId="554F0C16" w14:textId="77777777" w:rsidR="00B837E7" w:rsidRDefault="00B837E7" w:rsidP="00B837E7">
      <w:pPr>
        <w:jc w:val="both"/>
        <w:rPr>
          <w:rFonts w:ascii="Open Sans" w:hAnsi="Open Sans" w:cs="Open Sans"/>
          <w:sz w:val="20"/>
          <w:szCs w:val="20"/>
        </w:rPr>
      </w:pPr>
    </w:p>
    <w:tbl>
      <w:tblPr>
        <w:tblW w:w="8494"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85"/>
        <w:gridCol w:w="2031"/>
        <w:gridCol w:w="2778"/>
      </w:tblGrid>
      <w:tr w:rsidR="00B837E7" w:rsidRPr="008D7CB4" w14:paraId="29EABD05" w14:textId="77777777" w:rsidTr="00CB41CD">
        <w:trPr>
          <w:trHeight w:val="20"/>
        </w:trPr>
        <w:tc>
          <w:tcPr>
            <w:tcW w:w="3685" w:type="dxa"/>
            <w:shd w:val="clear" w:color="000000" w:fill="D9D9D9"/>
            <w:noWrap/>
            <w:vAlign w:val="center"/>
            <w:hideMark/>
          </w:tcPr>
          <w:p w14:paraId="548F93AA" w14:textId="77777777" w:rsidR="00B837E7" w:rsidRPr="008D7CB4" w:rsidRDefault="00B837E7" w:rsidP="00CB41CD">
            <w:pPr>
              <w:jc w:val="center"/>
              <w:rPr>
                <w:rFonts w:ascii="Open Sans" w:hAnsi="Open Sans" w:cs="Open Sans"/>
                <w:b/>
                <w:bCs/>
                <w:color w:val="000000"/>
                <w:sz w:val="20"/>
                <w:szCs w:val="20"/>
              </w:rPr>
            </w:pPr>
            <w:r w:rsidRPr="008D7CB4">
              <w:rPr>
                <w:rFonts w:ascii="Open Sans" w:hAnsi="Open Sans" w:cs="Open Sans"/>
                <w:b/>
                <w:bCs/>
                <w:color w:val="000000"/>
                <w:sz w:val="20"/>
                <w:szCs w:val="20"/>
              </w:rPr>
              <w:t>Nombre de la Sociedad</w:t>
            </w:r>
          </w:p>
        </w:tc>
        <w:tc>
          <w:tcPr>
            <w:tcW w:w="2031" w:type="dxa"/>
            <w:shd w:val="clear" w:color="000000" w:fill="D9D9D9"/>
            <w:noWrap/>
            <w:vAlign w:val="center"/>
            <w:hideMark/>
          </w:tcPr>
          <w:p w14:paraId="2320BB46" w14:textId="77777777" w:rsidR="00B837E7" w:rsidRPr="008D7CB4" w:rsidRDefault="00B837E7" w:rsidP="00CB41CD">
            <w:pPr>
              <w:jc w:val="center"/>
              <w:rPr>
                <w:rFonts w:ascii="Open Sans" w:hAnsi="Open Sans" w:cs="Open Sans"/>
                <w:b/>
                <w:bCs/>
                <w:color w:val="000000"/>
                <w:sz w:val="20"/>
                <w:szCs w:val="20"/>
              </w:rPr>
            </w:pPr>
            <w:r w:rsidRPr="008D7CB4">
              <w:rPr>
                <w:rFonts w:ascii="Open Sans" w:hAnsi="Open Sans" w:cs="Open Sans"/>
                <w:b/>
                <w:bCs/>
                <w:color w:val="000000"/>
                <w:sz w:val="20"/>
                <w:szCs w:val="20"/>
              </w:rPr>
              <w:t>Jurisdicción</w:t>
            </w:r>
          </w:p>
        </w:tc>
        <w:tc>
          <w:tcPr>
            <w:tcW w:w="2778" w:type="dxa"/>
            <w:shd w:val="clear" w:color="000000" w:fill="D9D9D9"/>
            <w:noWrap/>
            <w:vAlign w:val="center"/>
            <w:hideMark/>
          </w:tcPr>
          <w:p w14:paraId="39BD3017" w14:textId="77777777" w:rsidR="00B837E7" w:rsidRPr="008D7CB4" w:rsidRDefault="00B837E7" w:rsidP="00CB41CD">
            <w:pPr>
              <w:jc w:val="center"/>
              <w:rPr>
                <w:rFonts w:ascii="Open Sans" w:hAnsi="Open Sans" w:cs="Open Sans"/>
                <w:b/>
                <w:bCs/>
                <w:color w:val="000000"/>
                <w:sz w:val="20"/>
                <w:szCs w:val="20"/>
              </w:rPr>
            </w:pPr>
            <w:r w:rsidRPr="008D7CB4">
              <w:rPr>
                <w:rFonts w:ascii="Open Sans" w:hAnsi="Open Sans" w:cs="Open Sans"/>
                <w:b/>
                <w:bCs/>
                <w:color w:val="000000"/>
                <w:sz w:val="20"/>
                <w:szCs w:val="20"/>
              </w:rPr>
              <w:t>Actividad</w:t>
            </w:r>
          </w:p>
        </w:tc>
      </w:tr>
      <w:tr w:rsidR="00B837E7" w:rsidRPr="008D7CB4" w14:paraId="62D95293" w14:textId="77777777" w:rsidTr="00CB41CD">
        <w:trPr>
          <w:trHeight w:val="20"/>
        </w:trPr>
        <w:tc>
          <w:tcPr>
            <w:tcW w:w="3685" w:type="dxa"/>
            <w:shd w:val="clear" w:color="auto" w:fill="auto"/>
            <w:vAlign w:val="center"/>
            <w:hideMark/>
          </w:tcPr>
          <w:p w14:paraId="2D623A6A" w14:textId="77777777" w:rsidR="00B837E7" w:rsidRPr="008D7CB4" w:rsidRDefault="00B837E7" w:rsidP="00CB41CD">
            <w:pPr>
              <w:rPr>
                <w:rFonts w:ascii="Open Sans" w:hAnsi="Open Sans" w:cs="Open Sans"/>
                <w:color w:val="000000"/>
                <w:sz w:val="20"/>
                <w:szCs w:val="20"/>
                <w:lang w:val="en-US"/>
              </w:rPr>
            </w:pPr>
            <w:r w:rsidRPr="008D7CB4">
              <w:rPr>
                <w:rFonts w:ascii="Open Sans" w:hAnsi="Open Sans" w:cs="Open Sans"/>
                <w:color w:val="000000"/>
                <w:sz w:val="20"/>
                <w:szCs w:val="20"/>
                <w:lang w:val="en-US"/>
              </w:rPr>
              <w:t>Iberdrola Engineering and Construction Saudi</w:t>
            </w:r>
            <w:r>
              <w:rPr>
                <w:rFonts w:ascii="Open Sans" w:hAnsi="Open Sans" w:cs="Open Sans"/>
                <w:color w:val="000000"/>
                <w:sz w:val="20"/>
                <w:szCs w:val="20"/>
                <w:lang w:val="en-US"/>
              </w:rPr>
              <w:t xml:space="preserve"> </w:t>
            </w:r>
            <w:r w:rsidRPr="008D7CB4">
              <w:rPr>
                <w:rFonts w:ascii="Open Sans" w:hAnsi="Open Sans" w:cs="Open Sans"/>
                <w:color w:val="000000"/>
                <w:sz w:val="20"/>
                <w:szCs w:val="20"/>
                <w:lang w:val="en-US"/>
              </w:rPr>
              <w:t>Arabia, LLC</w:t>
            </w:r>
          </w:p>
        </w:tc>
        <w:tc>
          <w:tcPr>
            <w:tcW w:w="2031" w:type="dxa"/>
            <w:shd w:val="clear" w:color="auto" w:fill="auto"/>
            <w:noWrap/>
            <w:vAlign w:val="center"/>
            <w:hideMark/>
          </w:tcPr>
          <w:p w14:paraId="2C67C6E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Arabia Saudí</w:t>
            </w:r>
          </w:p>
        </w:tc>
        <w:tc>
          <w:tcPr>
            <w:tcW w:w="2778" w:type="dxa"/>
            <w:shd w:val="clear" w:color="auto" w:fill="auto"/>
            <w:noWrap/>
            <w:vAlign w:val="center"/>
            <w:hideMark/>
          </w:tcPr>
          <w:p w14:paraId="24476AC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Ingeniería</w:t>
            </w:r>
          </w:p>
        </w:tc>
      </w:tr>
      <w:tr w:rsidR="00B837E7" w:rsidRPr="008D7CB4" w14:paraId="60D52FA5" w14:textId="77777777" w:rsidTr="00CB41CD">
        <w:trPr>
          <w:trHeight w:val="20"/>
        </w:trPr>
        <w:tc>
          <w:tcPr>
            <w:tcW w:w="3685" w:type="dxa"/>
            <w:shd w:val="clear" w:color="auto" w:fill="auto"/>
            <w:noWrap/>
            <w:vAlign w:val="center"/>
            <w:hideMark/>
          </w:tcPr>
          <w:p w14:paraId="4641C744"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Rokas Aeoliki Cyprus, Ltd.</w:t>
            </w:r>
          </w:p>
        </w:tc>
        <w:tc>
          <w:tcPr>
            <w:tcW w:w="2031" w:type="dxa"/>
            <w:shd w:val="clear" w:color="auto" w:fill="auto"/>
            <w:noWrap/>
            <w:vAlign w:val="center"/>
            <w:hideMark/>
          </w:tcPr>
          <w:p w14:paraId="64864AD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Chipre</w:t>
            </w:r>
          </w:p>
        </w:tc>
        <w:tc>
          <w:tcPr>
            <w:tcW w:w="2778" w:type="dxa"/>
            <w:shd w:val="clear" w:color="auto" w:fill="auto"/>
            <w:noWrap/>
            <w:vAlign w:val="center"/>
            <w:hideMark/>
          </w:tcPr>
          <w:p w14:paraId="0EF179A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1711FCBC" w14:textId="77777777" w:rsidTr="00CB41CD">
        <w:trPr>
          <w:trHeight w:val="20"/>
        </w:trPr>
        <w:tc>
          <w:tcPr>
            <w:tcW w:w="3685" w:type="dxa"/>
            <w:shd w:val="clear" w:color="auto" w:fill="auto"/>
            <w:vAlign w:val="center"/>
            <w:hideMark/>
          </w:tcPr>
          <w:p w14:paraId="6D91B251" w14:textId="77777777" w:rsidR="00B837E7" w:rsidRPr="008D7CB4" w:rsidRDefault="00B837E7" w:rsidP="00CB41CD">
            <w:pPr>
              <w:rPr>
                <w:rFonts w:ascii="Open Sans" w:hAnsi="Open Sans" w:cs="Open Sans"/>
                <w:color w:val="000000"/>
                <w:sz w:val="20"/>
                <w:szCs w:val="20"/>
                <w:lang w:val="en-US"/>
              </w:rPr>
            </w:pPr>
            <w:r w:rsidRPr="008D7CB4">
              <w:rPr>
                <w:rFonts w:ascii="Open Sans" w:hAnsi="Open Sans" w:cs="Open Sans"/>
                <w:color w:val="000000"/>
                <w:sz w:val="20"/>
                <w:szCs w:val="20"/>
                <w:lang w:val="en-US"/>
              </w:rPr>
              <w:t>Iberdrola Engineering and Construction</w:t>
            </w:r>
            <w:r w:rsidRPr="008D7CB4">
              <w:rPr>
                <w:rFonts w:ascii="Open Sans" w:hAnsi="Open Sans" w:cs="Open Sans"/>
                <w:color w:val="000000"/>
                <w:sz w:val="20"/>
                <w:szCs w:val="20"/>
                <w:lang w:val="en-US"/>
              </w:rPr>
              <w:br/>
              <w:t>Middle East, Ltd.</w:t>
            </w:r>
          </w:p>
        </w:tc>
        <w:tc>
          <w:tcPr>
            <w:tcW w:w="2031" w:type="dxa"/>
            <w:shd w:val="clear" w:color="auto" w:fill="auto"/>
            <w:noWrap/>
            <w:vAlign w:val="center"/>
            <w:hideMark/>
          </w:tcPr>
          <w:p w14:paraId="0972C46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Dubai</w:t>
            </w:r>
          </w:p>
        </w:tc>
        <w:tc>
          <w:tcPr>
            <w:tcW w:w="2778" w:type="dxa"/>
            <w:shd w:val="clear" w:color="auto" w:fill="auto"/>
            <w:noWrap/>
            <w:vAlign w:val="center"/>
            <w:hideMark/>
          </w:tcPr>
          <w:p w14:paraId="12E5DB12"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Inactiva</w:t>
            </w:r>
          </w:p>
        </w:tc>
      </w:tr>
      <w:tr w:rsidR="00B837E7" w:rsidRPr="008D7CB4" w14:paraId="5CC89A0B" w14:textId="77777777" w:rsidTr="00CB41CD">
        <w:trPr>
          <w:trHeight w:val="20"/>
        </w:trPr>
        <w:tc>
          <w:tcPr>
            <w:tcW w:w="3685" w:type="dxa"/>
            <w:shd w:val="clear" w:color="000000" w:fill="FFFFFF"/>
            <w:noWrap/>
            <w:vAlign w:val="center"/>
            <w:hideMark/>
          </w:tcPr>
          <w:p w14:paraId="28197ECE"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Aeolus Wind Power I, LLC</w:t>
            </w:r>
          </w:p>
        </w:tc>
        <w:tc>
          <w:tcPr>
            <w:tcW w:w="2031" w:type="dxa"/>
            <w:shd w:val="clear" w:color="auto" w:fill="auto"/>
            <w:noWrap/>
            <w:vAlign w:val="center"/>
            <w:hideMark/>
          </w:tcPr>
          <w:p w14:paraId="75227BC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6F2699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1576887D" w14:textId="77777777" w:rsidTr="00CB41CD">
        <w:trPr>
          <w:trHeight w:val="20"/>
        </w:trPr>
        <w:tc>
          <w:tcPr>
            <w:tcW w:w="3685" w:type="dxa"/>
            <w:shd w:val="clear" w:color="000000" w:fill="FFFFFF"/>
            <w:noWrap/>
            <w:vAlign w:val="center"/>
            <w:hideMark/>
          </w:tcPr>
          <w:p w14:paraId="16CA84F2"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Aeolus Wind Power II, LLC</w:t>
            </w:r>
          </w:p>
        </w:tc>
        <w:tc>
          <w:tcPr>
            <w:tcW w:w="2031" w:type="dxa"/>
            <w:shd w:val="clear" w:color="auto" w:fill="auto"/>
            <w:noWrap/>
            <w:vAlign w:val="center"/>
            <w:hideMark/>
          </w:tcPr>
          <w:p w14:paraId="725AEF6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5A0660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274CAD4D" w14:textId="77777777" w:rsidTr="00CB41CD">
        <w:trPr>
          <w:trHeight w:val="20"/>
        </w:trPr>
        <w:tc>
          <w:tcPr>
            <w:tcW w:w="3685" w:type="dxa"/>
            <w:shd w:val="clear" w:color="000000" w:fill="FFFFFF"/>
            <w:noWrap/>
            <w:vAlign w:val="center"/>
            <w:hideMark/>
          </w:tcPr>
          <w:p w14:paraId="7F5EDF80"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Aeolus Wind Power III, LLC</w:t>
            </w:r>
          </w:p>
        </w:tc>
        <w:tc>
          <w:tcPr>
            <w:tcW w:w="2031" w:type="dxa"/>
            <w:shd w:val="clear" w:color="auto" w:fill="auto"/>
            <w:noWrap/>
            <w:vAlign w:val="center"/>
            <w:hideMark/>
          </w:tcPr>
          <w:p w14:paraId="75B1254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7EF6D9B"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6499A375" w14:textId="77777777" w:rsidTr="00CB41CD">
        <w:trPr>
          <w:trHeight w:val="20"/>
        </w:trPr>
        <w:tc>
          <w:tcPr>
            <w:tcW w:w="3685" w:type="dxa"/>
            <w:shd w:val="clear" w:color="000000" w:fill="FFFFFF"/>
            <w:noWrap/>
            <w:vAlign w:val="center"/>
            <w:hideMark/>
          </w:tcPr>
          <w:p w14:paraId="43A11C38"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Aeolus Wind Power IV, LLC</w:t>
            </w:r>
          </w:p>
        </w:tc>
        <w:tc>
          <w:tcPr>
            <w:tcW w:w="2031" w:type="dxa"/>
            <w:shd w:val="clear" w:color="auto" w:fill="auto"/>
            <w:noWrap/>
            <w:vAlign w:val="center"/>
            <w:hideMark/>
          </w:tcPr>
          <w:p w14:paraId="16C4617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6DCEDC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544E64CA" w14:textId="77777777" w:rsidTr="00CB41CD">
        <w:trPr>
          <w:trHeight w:val="20"/>
        </w:trPr>
        <w:tc>
          <w:tcPr>
            <w:tcW w:w="3685" w:type="dxa"/>
            <w:shd w:val="clear" w:color="000000" w:fill="FFFFFF"/>
            <w:noWrap/>
            <w:vAlign w:val="center"/>
            <w:hideMark/>
          </w:tcPr>
          <w:p w14:paraId="7520AEFF"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Aeolus Wind Power V, LLC</w:t>
            </w:r>
          </w:p>
        </w:tc>
        <w:tc>
          <w:tcPr>
            <w:tcW w:w="2031" w:type="dxa"/>
            <w:shd w:val="clear" w:color="auto" w:fill="auto"/>
            <w:noWrap/>
            <w:vAlign w:val="center"/>
            <w:hideMark/>
          </w:tcPr>
          <w:p w14:paraId="01E6514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7BC8757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3F3F415B" w14:textId="77777777" w:rsidTr="00CB41CD">
        <w:trPr>
          <w:trHeight w:val="20"/>
        </w:trPr>
        <w:tc>
          <w:tcPr>
            <w:tcW w:w="3685" w:type="dxa"/>
            <w:shd w:val="clear" w:color="000000" w:fill="FFFFFF"/>
            <w:noWrap/>
            <w:vAlign w:val="center"/>
            <w:hideMark/>
          </w:tcPr>
          <w:p w14:paraId="5E7D8A00"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Aeolus Wind Power VI, LLC</w:t>
            </w:r>
          </w:p>
        </w:tc>
        <w:tc>
          <w:tcPr>
            <w:tcW w:w="2031" w:type="dxa"/>
            <w:shd w:val="clear" w:color="auto" w:fill="auto"/>
            <w:noWrap/>
            <w:vAlign w:val="center"/>
            <w:hideMark/>
          </w:tcPr>
          <w:p w14:paraId="1123FC1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C89D86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30E690B5" w14:textId="77777777" w:rsidTr="00CB41CD">
        <w:trPr>
          <w:trHeight w:val="20"/>
        </w:trPr>
        <w:tc>
          <w:tcPr>
            <w:tcW w:w="3685" w:type="dxa"/>
            <w:shd w:val="clear" w:color="000000" w:fill="FFFFFF"/>
            <w:vAlign w:val="center"/>
            <w:hideMark/>
          </w:tcPr>
          <w:p w14:paraId="78BB0F68"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Atlantic Renewable Energy Corporation</w:t>
            </w:r>
          </w:p>
        </w:tc>
        <w:tc>
          <w:tcPr>
            <w:tcW w:w="2031" w:type="dxa"/>
            <w:shd w:val="clear" w:color="auto" w:fill="auto"/>
            <w:noWrap/>
            <w:vAlign w:val="center"/>
            <w:hideMark/>
          </w:tcPr>
          <w:p w14:paraId="3B4AF05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4F2C7C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3AB4B61D" w14:textId="77777777" w:rsidTr="00CB41CD">
        <w:trPr>
          <w:trHeight w:val="20"/>
        </w:trPr>
        <w:tc>
          <w:tcPr>
            <w:tcW w:w="3685" w:type="dxa"/>
            <w:shd w:val="clear" w:color="000000" w:fill="FFFFFF"/>
            <w:vAlign w:val="center"/>
            <w:hideMark/>
          </w:tcPr>
          <w:p w14:paraId="184A35D1"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Atlantic Renewable Projects LLC</w:t>
            </w:r>
          </w:p>
        </w:tc>
        <w:tc>
          <w:tcPr>
            <w:tcW w:w="2031" w:type="dxa"/>
            <w:shd w:val="clear" w:color="auto" w:fill="auto"/>
            <w:noWrap/>
            <w:vAlign w:val="center"/>
            <w:hideMark/>
          </w:tcPr>
          <w:p w14:paraId="71FF400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68485A1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0734A28C" w14:textId="77777777" w:rsidTr="00CB41CD">
        <w:trPr>
          <w:trHeight w:val="20"/>
        </w:trPr>
        <w:tc>
          <w:tcPr>
            <w:tcW w:w="3685" w:type="dxa"/>
            <w:shd w:val="clear" w:color="000000" w:fill="FFFFFF"/>
            <w:noWrap/>
            <w:vAlign w:val="center"/>
            <w:hideMark/>
          </w:tcPr>
          <w:p w14:paraId="41BB523F"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Barton Windpower, LLC</w:t>
            </w:r>
          </w:p>
        </w:tc>
        <w:tc>
          <w:tcPr>
            <w:tcW w:w="2031" w:type="dxa"/>
            <w:shd w:val="clear" w:color="auto" w:fill="auto"/>
            <w:noWrap/>
            <w:vAlign w:val="center"/>
            <w:hideMark/>
          </w:tcPr>
          <w:p w14:paraId="4A4F215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8BDDF8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0A3485B" w14:textId="77777777" w:rsidTr="00CB41CD">
        <w:trPr>
          <w:trHeight w:val="20"/>
        </w:trPr>
        <w:tc>
          <w:tcPr>
            <w:tcW w:w="3685" w:type="dxa"/>
            <w:shd w:val="clear" w:color="000000" w:fill="FFFFFF"/>
            <w:noWrap/>
            <w:vAlign w:val="center"/>
            <w:hideMark/>
          </w:tcPr>
          <w:p w14:paraId="094C954D"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Buffalo Ridge III LLC</w:t>
            </w:r>
          </w:p>
        </w:tc>
        <w:tc>
          <w:tcPr>
            <w:tcW w:w="2031" w:type="dxa"/>
            <w:shd w:val="clear" w:color="auto" w:fill="auto"/>
            <w:noWrap/>
            <w:vAlign w:val="center"/>
            <w:hideMark/>
          </w:tcPr>
          <w:p w14:paraId="5A08668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F52A57C"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65E1C228" w14:textId="77777777" w:rsidTr="00CB41CD">
        <w:trPr>
          <w:trHeight w:val="20"/>
        </w:trPr>
        <w:tc>
          <w:tcPr>
            <w:tcW w:w="3685" w:type="dxa"/>
            <w:shd w:val="clear" w:color="000000" w:fill="FFFFFF"/>
            <w:vAlign w:val="center"/>
            <w:hideMark/>
          </w:tcPr>
          <w:p w14:paraId="431BC1BF"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Caledonia Energy Partners, LLC</w:t>
            </w:r>
          </w:p>
        </w:tc>
        <w:tc>
          <w:tcPr>
            <w:tcW w:w="2031" w:type="dxa"/>
            <w:shd w:val="clear" w:color="auto" w:fill="auto"/>
            <w:noWrap/>
            <w:vAlign w:val="center"/>
            <w:hideMark/>
          </w:tcPr>
          <w:p w14:paraId="1AE48B7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CC6135D"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0EAABDAC" w14:textId="77777777" w:rsidTr="00CB41CD">
        <w:trPr>
          <w:trHeight w:val="20"/>
        </w:trPr>
        <w:tc>
          <w:tcPr>
            <w:tcW w:w="3685" w:type="dxa"/>
            <w:shd w:val="clear" w:color="000000" w:fill="FFFFFF"/>
            <w:noWrap/>
            <w:vAlign w:val="center"/>
            <w:hideMark/>
          </w:tcPr>
          <w:p w14:paraId="20E25D89"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Casselman Wind Power LLC</w:t>
            </w:r>
          </w:p>
        </w:tc>
        <w:tc>
          <w:tcPr>
            <w:tcW w:w="2031" w:type="dxa"/>
            <w:shd w:val="clear" w:color="auto" w:fill="auto"/>
            <w:noWrap/>
            <w:vAlign w:val="center"/>
            <w:hideMark/>
          </w:tcPr>
          <w:p w14:paraId="272B24E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3D33FE2C"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A8BE5BD" w14:textId="77777777" w:rsidTr="00CB41CD">
        <w:trPr>
          <w:trHeight w:val="20"/>
        </w:trPr>
        <w:tc>
          <w:tcPr>
            <w:tcW w:w="3685" w:type="dxa"/>
            <w:shd w:val="clear" w:color="000000" w:fill="FFFFFF"/>
            <w:noWrap/>
            <w:vAlign w:val="center"/>
            <w:hideMark/>
          </w:tcPr>
          <w:p w14:paraId="473B213D"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Cayuga Energy, Inc.</w:t>
            </w:r>
          </w:p>
        </w:tc>
        <w:tc>
          <w:tcPr>
            <w:tcW w:w="2031" w:type="dxa"/>
            <w:shd w:val="clear" w:color="auto" w:fill="auto"/>
            <w:noWrap/>
            <w:vAlign w:val="center"/>
            <w:hideMark/>
          </w:tcPr>
          <w:p w14:paraId="4276EC0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67491A8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142B6C5B" w14:textId="77777777" w:rsidTr="00CB41CD">
        <w:trPr>
          <w:trHeight w:val="20"/>
        </w:trPr>
        <w:tc>
          <w:tcPr>
            <w:tcW w:w="3685" w:type="dxa"/>
            <w:shd w:val="clear" w:color="000000" w:fill="FFFFFF"/>
            <w:noWrap/>
            <w:vAlign w:val="center"/>
            <w:hideMark/>
          </w:tcPr>
          <w:p w14:paraId="63F97A0C"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CMP Group, Inc</w:t>
            </w:r>
          </w:p>
        </w:tc>
        <w:tc>
          <w:tcPr>
            <w:tcW w:w="2031" w:type="dxa"/>
            <w:shd w:val="clear" w:color="auto" w:fill="auto"/>
            <w:noWrap/>
            <w:vAlign w:val="center"/>
            <w:hideMark/>
          </w:tcPr>
          <w:p w14:paraId="74CBF7E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FF20EB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7793B49B" w14:textId="77777777" w:rsidTr="00CB41CD">
        <w:trPr>
          <w:trHeight w:val="20"/>
        </w:trPr>
        <w:tc>
          <w:tcPr>
            <w:tcW w:w="3685" w:type="dxa"/>
            <w:shd w:val="clear" w:color="000000" w:fill="FFFFFF"/>
            <w:noWrap/>
            <w:vAlign w:val="center"/>
            <w:hideMark/>
          </w:tcPr>
          <w:p w14:paraId="60E8ABC9"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CNE Energy Services Group, LLC</w:t>
            </w:r>
          </w:p>
        </w:tc>
        <w:tc>
          <w:tcPr>
            <w:tcW w:w="2031" w:type="dxa"/>
            <w:shd w:val="clear" w:color="auto" w:fill="auto"/>
            <w:noWrap/>
            <w:vAlign w:val="center"/>
            <w:hideMark/>
          </w:tcPr>
          <w:p w14:paraId="591317DB"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C87249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Servicios</w:t>
            </w:r>
          </w:p>
        </w:tc>
      </w:tr>
      <w:tr w:rsidR="00B837E7" w:rsidRPr="008D7CB4" w14:paraId="1761FC9A" w14:textId="77777777" w:rsidTr="00CB41CD">
        <w:trPr>
          <w:trHeight w:val="20"/>
        </w:trPr>
        <w:tc>
          <w:tcPr>
            <w:tcW w:w="3685" w:type="dxa"/>
            <w:shd w:val="clear" w:color="auto" w:fill="auto"/>
            <w:noWrap/>
            <w:vAlign w:val="center"/>
            <w:hideMark/>
          </w:tcPr>
          <w:p w14:paraId="788492E5"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CNE Peaking, LLC</w:t>
            </w:r>
          </w:p>
        </w:tc>
        <w:tc>
          <w:tcPr>
            <w:tcW w:w="2031" w:type="dxa"/>
            <w:shd w:val="clear" w:color="auto" w:fill="auto"/>
            <w:noWrap/>
            <w:vAlign w:val="center"/>
            <w:hideMark/>
          </w:tcPr>
          <w:p w14:paraId="11044D4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6D169BC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Servicios</w:t>
            </w:r>
          </w:p>
        </w:tc>
      </w:tr>
      <w:tr w:rsidR="00B837E7" w:rsidRPr="008D7CB4" w14:paraId="3C242AFB" w14:textId="77777777" w:rsidTr="00CB41CD">
        <w:trPr>
          <w:trHeight w:val="20"/>
        </w:trPr>
        <w:tc>
          <w:tcPr>
            <w:tcW w:w="3685" w:type="dxa"/>
            <w:shd w:val="clear" w:color="000000" w:fill="FFFFFF"/>
            <w:noWrap/>
            <w:vAlign w:val="center"/>
            <w:hideMark/>
          </w:tcPr>
          <w:p w14:paraId="25247058"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Colorado Green Holdings, LLC</w:t>
            </w:r>
          </w:p>
        </w:tc>
        <w:tc>
          <w:tcPr>
            <w:tcW w:w="2031" w:type="dxa"/>
            <w:shd w:val="clear" w:color="auto" w:fill="auto"/>
            <w:noWrap/>
            <w:vAlign w:val="center"/>
            <w:hideMark/>
          </w:tcPr>
          <w:p w14:paraId="01F6B5F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70B0727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3C83F3A1" w14:textId="77777777" w:rsidTr="00CB41CD">
        <w:trPr>
          <w:trHeight w:val="20"/>
        </w:trPr>
        <w:tc>
          <w:tcPr>
            <w:tcW w:w="3685" w:type="dxa"/>
            <w:shd w:val="clear" w:color="000000" w:fill="FFFFFF"/>
            <w:noWrap/>
            <w:vAlign w:val="center"/>
            <w:hideMark/>
          </w:tcPr>
          <w:p w14:paraId="5291B13B"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Colorado Wind Ventures, LLC</w:t>
            </w:r>
          </w:p>
        </w:tc>
        <w:tc>
          <w:tcPr>
            <w:tcW w:w="2031" w:type="dxa"/>
            <w:shd w:val="clear" w:color="auto" w:fill="auto"/>
            <w:noWrap/>
            <w:vAlign w:val="center"/>
            <w:hideMark/>
          </w:tcPr>
          <w:p w14:paraId="3A48FA4D"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1CB73BF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129EF4E6" w14:textId="77777777" w:rsidTr="00CB41CD">
        <w:trPr>
          <w:trHeight w:val="20"/>
        </w:trPr>
        <w:tc>
          <w:tcPr>
            <w:tcW w:w="3685" w:type="dxa"/>
            <w:shd w:val="clear" w:color="000000" w:fill="FFFFFF"/>
            <w:noWrap/>
            <w:vAlign w:val="center"/>
            <w:hideMark/>
          </w:tcPr>
          <w:p w14:paraId="2D264839"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Deerfield Wind, LLC</w:t>
            </w:r>
          </w:p>
        </w:tc>
        <w:tc>
          <w:tcPr>
            <w:tcW w:w="2031" w:type="dxa"/>
            <w:shd w:val="clear" w:color="auto" w:fill="auto"/>
            <w:noWrap/>
            <w:vAlign w:val="center"/>
            <w:hideMark/>
          </w:tcPr>
          <w:p w14:paraId="30AD794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A12E9C6"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3DE9A38" w14:textId="77777777" w:rsidTr="00CB41CD">
        <w:trPr>
          <w:trHeight w:val="20"/>
        </w:trPr>
        <w:tc>
          <w:tcPr>
            <w:tcW w:w="3685" w:type="dxa"/>
            <w:shd w:val="clear" w:color="auto" w:fill="auto"/>
            <w:noWrap/>
            <w:vAlign w:val="center"/>
            <w:hideMark/>
          </w:tcPr>
          <w:p w14:paraId="7725D638"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El Cabo Wind Holdings</w:t>
            </w:r>
          </w:p>
        </w:tc>
        <w:tc>
          <w:tcPr>
            <w:tcW w:w="2031" w:type="dxa"/>
            <w:shd w:val="clear" w:color="auto" w:fill="auto"/>
            <w:noWrap/>
            <w:vAlign w:val="center"/>
            <w:hideMark/>
          </w:tcPr>
          <w:p w14:paraId="01982B2B"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5BCB7A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356A68B4" w14:textId="77777777" w:rsidTr="00CB41CD">
        <w:trPr>
          <w:trHeight w:val="20"/>
        </w:trPr>
        <w:tc>
          <w:tcPr>
            <w:tcW w:w="3685" w:type="dxa"/>
            <w:shd w:val="clear" w:color="auto" w:fill="auto"/>
            <w:noWrap/>
            <w:vAlign w:val="center"/>
            <w:hideMark/>
          </w:tcPr>
          <w:p w14:paraId="3DCF5B1E"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El Cabo Wind, LLC</w:t>
            </w:r>
          </w:p>
        </w:tc>
        <w:tc>
          <w:tcPr>
            <w:tcW w:w="2031" w:type="dxa"/>
            <w:shd w:val="clear" w:color="auto" w:fill="auto"/>
            <w:noWrap/>
            <w:vAlign w:val="center"/>
            <w:hideMark/>
          </w:tcPr>
          <w:p w14:paraId="56E762A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5C0182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C63AF32" w14:textId="77777777" w:rsidTr="00CB41CD">
        <w:trPr>
          <w:trHeight w:val="20"/>
        </w:trPr>
        <w:tc>
          <w:tcPr>
            <w:tcW w:w="3685" w:type="dxa"/>
            <w:shd w:val="clear" w:color="000000" w:fill="FFFFFF"/>
            <w:noWrap/>
            <w:vAlign w:val="center"/>
            <w:hideMark/>
          </w:tcPr>
          <w:p w14:paraId="4E3F9C81"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Farmers City Wind, LLC</w:t>
            </w:r>
          </w:p>
        </w:tc>
        <w:tc>
          <w:tcPr>
            <w:tcW w:w="2031" w:type="dxa"/>
            <w:shd w:val="clear" w:color="auto" w:fill="auto"/>
            <w:noWrap/>
            <w:vAlign w:val="center"/>
            <w:hideMark/>
          </w:tcPr>
          <w:p w14:paraId="7963D5E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612055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29999F0" w14:textId="77777777" w:rsidTr="00CB41CD">
        <w:trPr>
          <w:trHeight w:val="20"/>
        </w:trPr>
        <w:tc>
          <w:tcPr>
            <w:tcW w:w="3685" w:type="dxa"/>
            <w:shd w:val="clear" w:color="000000" w:fill="FFFFFF"/>
            <w:noWrap/>
            <w:vAlign w:val="center"/>
            <w:hideMark/>
          </w:tcPr>
          <w:p w14:paraId="17451424"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Flat Rock Windpower II, LLC</w:t>
            </w:r>
          </w:p>
        </w:tc>
        <w:tc>
          <w:tcPr>
            <w:tcW w:w="2031" w:type="dxa"/>
            <w:shd w:val="clear" w:color="auto" w:fill="auto"/>
            <w:noWrap/>
            <w:vAlign w:val="center"/>
            <w:hideMark/>
          </w:tcPr>
          <w:p w14:paraId="5022700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430E3A2"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293A9A46" w14:textId="77777777" w:rsidTr="00CB41CD">
        <w:trPr>
          <w:trHeight w:val="20"/>
        </w:trPr>
        <w:tc>
          <w:tcPr>
            <w:tcW w:w="3685" w:type="dxa"/>
            <w:shd w:val="clear" w:color="000000" w:fill="FFFFFF"/>
            <w:noWrap/>
            <w:vAlign w:val="center"/>
            <w:hideMark/>
          </w:tcPr>
          <w:p w14:paraId="09B36F19"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Flat Rock Windpower, LLC</w:t>
            </w:r>
          </w:p>
        </w:tc>
        <w:tc>
          <w:tcPr>
            <w:tcW w:w="2031" w:type="dxa"/>
            <w:shd w:val="clear" w:color="auto" w:fill="auto"/>
            <w:noWrap/>
            <w:vAlign w:val="center"/>
            <w:hideMark/>
          </w:tcPr>
          <w:p w14:paraId="43B9BC9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783E02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1F0C70AE" w14:textId="77777777" w:rsidTr="00CB41CD">
        <w:trPr>
          <w:trHeight w:val="20"/>
        </w:trPr>
        <w:tc>
          <w:tcPr>
            <w:tcW w:w="3685" w:type="dxa"/>
            <w:shd w:val="clear" w:color="000000" w:fill="FFFFFF"/>
            <w:noWrap/>
            <w:vAlign w:val="center"/>
            <w:hideMark/>
          </w:tcPr>
          <w:p w14:paraId="483D3710"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Flying Cloud Power Partners, LLC</w:t>
            </w:r>
          </w:p>
        </w:tc>
        <w:tc>
          <w:tcPr>
            <w:tcW w:w="2031" w:type="dxa"/>
            <w:shd w:val="clear" w:color="auto" w:fill="auto"/>
            <w:noWrap/>
            <w:vAlign w:val="center"/>
            <w:hideMark/>
          </w:tcPr>
          <w:p w14:paraId="6F762D2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3AF819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203256C1" w14:textId="77777777" w:rsidTr="00CB41CD">
        <w:trPr>
          <w:trHeight w:val="20"/>
        </w:trPr>
        <w:tc>
          <w:tcPr>
            <w:tcW w:w="3685" w:type="dxa"/>
            <w:shd w:val="clear" w:color="000000" w:fill="FFFFFF"/>
            <w:vAlign w:val="center"/>
            <w:hideMark/>
          </w:tcPr>
          <w:p w14:paraId="3B4B745D"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Freebird Assets, Inc.</w:t>
            </w:r>
          </w:p>
        </w:tc>
        <w:tc>
          <w:tcPr>
            <w:tcW w:w="2031" w:type="dxa"/>
            <w:shd w:val="clear" w:color="auto" w:fill="auto"/>
            <w:noWrap/>
            <w:vAlign w:val="center"/>
            <w:hideMark/>
          </w:tcPr>
          <w:p w14:paraId="58BBF39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3D7DDA7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71DB4939" w14:textId="77777777" w:rsidTr="00CB41CD">
        <w:trPr>
          <w:trHeight w:val="20"/>
        </w:trPr>
        <w:tc>
          <w:tcPr>
            <w:tcW w:w="3685" w:type="dxa"/>
            <w:shd w:val="clear" w:color="000000" w:fill="FFFFFF"/>
            <w:vAlign w:val="center"/>
            <w:hideMark/>
          </w:tcPr>
          <w:p w14:paraId="4636EFF2"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Gemini Capital, LLC</w:t>
            </w:r>
          </w:p>
        </w:tc>
        <w:tc>
          <w:tcPr>
            <w:tcW w:w="2031" w:type="dxa"/>
            <w:shd w:val="clear" w:color="auto" w:fill="auto"/>
            <w:noWrap/>
            <w:vAlign w:val="center"/>
            <w:hideMark/>
          </w:tcPr>
          <w:p w14:paraId="449FFBD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88D5AA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5B5271F4" w14:textId="77777777" w:rsidTr="00CB41CD">
        <w:trPr>
          <w:trHeight w:val="20"/>
        </w:trPr>
        <w:tc>
          <w:tcPr>
            <w:tcW w:w="3685" w:type="dxa"/>
            <w:shd w:val="clear" w:color="000000" w:fill="FFFFFF"/>
            <w:noWrap/>
            <w:vAlign w:val="center"/>
            <w:hideMark/>
          </w:tcPr>
          <w:p w14:paraId="04951562"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Goodland Wind, LLC</w:t>
            </w:r>
          </w:p>
        </w:tc>
        <w:tc>
          <w:tcPr>
            <w:tcW w:w="2031" w:type="dxa"/>
            <w:shd w:val="clear" w:color="auto" w:fill="auto"/>
            <w:noWrap/>
            <w:vAlign w:val="center"/>
            <w:hideMark/>
          </w:tcPr>
          <w:p w14:paraId="666205E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98841D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670BB1E7" w14:textId="77777777" w:rsidTr="00CB41CD">
        <w:trPr>
          <w:trHeight w:val="20"/>
        </w:trPr>
        <w:tc>
          <w:tcPr>
            <w:tcW w:w="3685" w:type="dxa"/>
            <w:shd w:val="clear" w:color="000000" w:fill="FFFFFF"/>
            <w:noWrap/>
            <w:vAlign w:val="center"/>
            <w:hideMark/>
          </w:tcPr>
          <w:p w14:paraId="04EA74DC"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Groton Wind, LLC</w:t>
            </w:r>
          </w:p>
        </w:tc>
        <w:tc>
          <w:tcPr>
            <w:tcW w:w="2031" w:type="dxa"/>
            <w:shd w:val="clear" w:color="auto" w:fill="auto"/>
            <w:noWrap/>
            <w:vAlign w:val="center"/>
            <w:hideMark/>
          </w:tcPr>
          <w:p w14:paraId="3191DFE2"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446B146"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49664B30" w14:textId="77777777" w:rsidTr="00CB41CD">
        <w:trPr>
          <w:trHeight w:val="20"/>
        </w:trPr>
        <w:tc>
          <w:tcPr>
            <w:tcW w:w="3685" w:type="dxa"/>
            <w:shd w:val="clear" w:color="000000" w:fill="FFFFFF"/>
            <w:noWrap/>
            <w:vAlign w:val="center"/>
            <w:hideMark/>
          </w:tcPr>
          <w:p w14:paraId="46B4E533"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Heartland Wind LLC</w:t>
            </w:r>
          </w:p>
        </w:tc>
        <w:tc>
          <w:tcPr>
            <w:tcW w:w="2031" w:type="dxa"/>
            <w:shd w:val="clear" w:color="auto" w:fill="auto"/>
            <w:noWrap/>
            <w:vAlign w:val="center"/>
            <w:hideMark/>
          </w:tcPr>
          <w:p w14:paraId="24C9C02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6ADD5DD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5B4BFB3A" w14:textId="77777777" w:rsidTr="00CB41CD">
        <w:trPr>
          <w:trHeight w:val="20"/>
        </w:trPr>
        <w:tc>
          <w:tcPr>
            <w:tcW w:w="3685" w:type="dxa"/>
            <w:shd w:val="clear" w:color="000000" w:fill="FFFFFF"/>
            <w:noWrap/>
            <w:vAlign w:val="center"/>
            <w:hideMark/>
          </w:tcPr>
          <w:p w14:paraId="745F45EE"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Iberdrola Energy Holdings, LLC</w:t>
            </w:r>
          </w:p>
        </w:tc>
        <w:tc>
          <w:tcPr>
            <w:tcW w:w="2031" w:type="dxa"/>
            <w:shd w:val="clear" w:color="auto" w:fill="auto"/>
            <w:noWrap/>
            <w:vAlign w:val="center"/>
            <w:hideMark/>
          </w:tcPr>
          <w:p w14:paraId="060A9EF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60814BF6"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4EA000B1" w14:textId="77777777" w:rsidTr="00CB41CD">
        <w:trPr>
          <w:trHeight w:val="20"/>
        </w:trPr>
        <w:tc>
          <w:tcPr>
            <w:tcW w:w="3685" w:type="dxa"/>
            <w:shd w:val="clear" w:color="auto" w:fill="auto"/>
            <w:noWrap/>
            <w:vAlign w:val="center"/>
            <w:hideMark/>
          </w:tcPr>
          <w:p w14:paraId="0CF1B844"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Iberdrola Energy Project, Inc</w:t>
            </w:r>
          </w:p>
        </w:tc>
        <w:tc>
          <w:tcPr>
            <w:tcW w:w="2031" w:type="dxa"/>
            <w:shd w:val="clear" w:color="auto" w:fill="auto"/>
            <w:noWrap/>
            <w:vAlign w:val="center"/>
            <w:hideMark/>
          </w:tcPr>
          <w:p w14:paraId="3036B42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3DAA703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Ingeniería</w:t>
            </w:r>
          </w:p>
        </w:tc>
      </w:tr>
      <w:tr w:rsidR="00B837E7" w:rsidRPr="008D7CB4" w14:paraId="544A7836" w14:textId="77777777" w:rsidTr="00CB41CD">
        <w:trPr>
          <w:trHeight w:val="20"/>
        </w:trPr>
        <w:tc>
          <w:tcPr>
            <w:tcW w:w="3685" w:type="dxa"/>
            <w:shd w:val="clear" w:color="000000" w:fill="FFFFFF"/>
            <w:noWrap/>
            <w:vAlign w:val="center"/>
            <w:hideMark/>
          </w:tcPr>
          <w:p w14:paraId="6B4752CD"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Iberdrola Energy Services, LLC</w:t>
            </w:r>
          </w:p>
        </w:tc>
        <w:tc>
          <w:tcPr>
            <w:tcW w:w="2031" w:type="dxa"/>
            <w:shd w:val="clear" w:color="auto" w:fill="auto"/>
            <w:noWrap/>
            <w:vAlign w:val="center"/>
            <w:hideMark/>
          </w:tcPr>
          <w:p w14:paraId="2A406DC6"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4BFFC9B"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528FF00C" w14:textId="77777777" w:rsidTr="00CB41CD">
        <w:trPr>
          <w:trHeight w:val="20"/>
        </w:trPr>
        <w:tc>
          <w:tcPr>
            <w:tcW w:w="3685" w:type="dxa"/>
            <w:shd w:val="clear" w:color="000000" w:fill="FFFFFF"/>
            <w:noWrap/>
            <w:vAlign w:val="center"/>
            <w:hideMark/>
          </w:tcPr>
          <w:p w14:paraId="47F28868"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Iberdrola Renewables Holdings, Inc.</w:t>
            </w:r>
          </w:p>
        </w:tc>
        <w:tc>
          <w:tcPr>
            <w:tcW w:w="2031" w:type="dxa"/>
            <w:shd w:val="clear" w:color="auto" w:fill="auto"/>
            <w:noWrap/>
            <w:vAlign w:val="center"/>
            <w:hideMark/>
          </w:tcPr>
          <w:p w14:paraId="3E67E0FD"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322F104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75E51A14" w14:textId="77777777" w:rsidTr="00CB41CD">
        <w:trPr>
          <w:trHeight w:val="20"/>
        </w:trPr>
        <w:tc>
          <w:tcPr>
            <w:tcW w:w="3685" w:type="dxa"/>
            <w:shd w:val="clear" w:color="000000" w:fill="FFFFFF"/>
            <w:noWrap/>
            <w:vAlign w:val="center"/>
            <w:hideMark/>
          </w:tcPr>
          <w:p w14:paraId="76F8D30C"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Iberdrola USA Group, LLC</w:t>
            </w:r>
          </w:p>
        </w:tc>
        <w:tc>
          <w:tcPr>
            <w:tcW w:w="2031" w:type="dxa"/>
            <w:shd w:val="clear" w:color="auto" w:fill="auto"/>
            <w:noWrap/>
            <w:vAlign w:val="center"/>
            <w:hideMark/>
          </w:tcPr>
          <w:p w14:paraId="42C579A2"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CD8028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48AA6795" w14:textId="77777777" w:rsidTr="00CB41CD">
        <w:trPr>
          <w:trHeight w:val="20"/>
        </w:trPr>
        <w:tc>
          <w:tcPr>
            <w:tcW w:w="3685" w:type="dxa"/>
            <w:shd w:val="clear" w:color="000000" w:fill="FFFFFF"/>
            <w:noWrap/>
            <w:vAlign w:val="center"/>
            <w:hideMark/>
          </w:tcPr>
          <w:p w14:paraId="71265DD6"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Iberdrola USA Management Corporation</w:t>
            </w:r>
          </w:p>
        </w:tc>
        <w:tc>
          <w:tcPr>
            <w:tcW w:w="2031" w:type="dxa"/>
            <w:shd w:val="clear" w:color="auto" w:fill="auto"/>
            <w:noWrap/>
            <w:vAlign w:val="center"/>
            <w:hideMark/>
          </w:tcPr>
          <w:p w14:paraId="67EABC3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3343BCA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Servicios</w:t>
            </w:r>
          </w:p>
        </w:tc>
      </w:tr>
      <w:tr w:rsidR="00B837E7" w:rsidRPr="008D7CB4" w14:paraId="648B8D75" w14:textId="77777777" w:rsidTr="00CB41CD">
        <w:trPr>
          <w:trHeight w:val="20"/>
        </w:trPr>
        <w:tc>
          <w:tcPr>
            <w:tcW w:w="3685" w:type="dxa"/>
            <w:shd w:val="clear" w:color="000000" w:fill="FFFFFF"/>
            <w:noWrap/>
            <w:vAlign w:val="center"/>
            <w:hideMark/>
          </w:tcPr>
          <w:p w14:paraId="4C548915"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Iberdrola USA Solutions, Inc.</w:t>
            </w:r>
          </w:p>
        </w:tc>
        <w:tc>
          <w:tcPr>
            <w:tcW w:w="2031" w:type="dxa"/>
            <w:shd w:val="clear" w:color="auto" w:fill="auto"/>
            <w:noWrap/>
            <w:vAlign w:val="center"/>
            <w:hideMark/>
          </w:tcPr>
          <w:p w14:paraId="621BCF2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FE80EC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Marketing</w:t>
            </w:r>
          </w:p>
        </w:tc>
      </w:tr>
      <w:tr w:rsidR="00B837E7" w:rsidRPr="008D7CB4" w14:paraId="431A0E0D" w14:textId="77777777" w:rsidTr="00CB41CD">
        <w:trPr>
          <w:trHeight w:val="20"/>
        </w:trPr>
        <w:tc>
          <w:tcPr>
            <w:tcW w:w="3685" w:type="dxa"/>
            <w:shd w:val="clear" w:color="000000" w:fill="FFFFFF"/>
            <w:noWrap/>
            <w:vAlign w:val="center"/>
            <w:hideMark/>
          </w:tcPr>
          <w:p w14:paraId="58BE9EF0"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IEC California, Inc</w:t>
            </w:r>
          </w:p>
        </w:tc>
        <w:tc>
          <w:tcPr>
            <w:tcW w:w="2031" w:type="dxa"/>
            <w:shd w:val="clear" w:color="auto" w:fill="auto"/>
            <w:noWrap/>
            <w:vAlign w:val="center"/>
            <w:hideMark/>
          </w:tcPr>
          <w:p w14:paraId="23E44A6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80857B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Ingeniería</w:t>
            </w:r>
          </w:p>
        </w:tc>
      </w:tr>
      <w:tr w:rsidR="00B837E7" w:rsidRPr="008D7CB4" w14:paraId="4A737FEF" w14:textId="77777777" w:rsidTr="00CB41CD">
        <w:trPr>
          <w:trHeight w:val="20"/>
        </w:trPr>
        <w:tc>
          <w:tcPr>
            <w:tcW w:w="3685" w:type="dxa"/>
            <w:shd w:val="clear" w:color="000000" w:fill="FFFFFF"/>
            <w:noWrap/>
            <w:vAlign w:val="center"/>
            <w:hideMark/>
          </w:tcPr>
          <w:p w14:paraId="5999EB41"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Lakeview Cogeneration, LLC</w:t>
            </w:r>
          </w:p>
        </w:tc>
        <w:tc>
          <w:tcPr>
            <w:tcW w:w="2031" w:type="dxa"/>
            <w:shd w:val="clear" w:color="auto" w:fill="auto"/>
            <w:noWrap/>
            <w:vAlign w:val="center"/>
            <w:hideMark/>
          </w:tcPr>
          <w:p w14:paraId="00E2F0FD"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1D43BB4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CF9DA5D" w14:textId="77777777" w:rsidTr="00CB41CD">
        <w:trPr>
          <w:trHeight w:val="20"/>
        </w:trPr>
        <w:tc>
          <w:tcPr>
            <w:tcW w:w="3685" w:type="dxa"/>
            <w:shd w:val="clear" w:color="000000" w:fill="FFFFFF"/>
            <w:vAlign w:val="center"/>
            <w:hideMark/>
          </w:tcPr>
          <w:p w14:paraId="4BFFD891"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Lempter Wind LLC</w:t>
            </w:r>
          </w:p>
        </w:tc>
        <w:tc>
          <w:tcPr>
            <w:tcW w:w="2031" w:type="dxa"/>
            <w:shd w:val="clear" w:color="auto" w:fill="auto"/>
            <w:noWrap/>
            <w:vAlign w:val="center"/>
            <w:hideMark/>
          </w:tcPr>
          <w:p w14:paraId="312401A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D60286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Wind Power</w:t>
            </w:r>
          </w:p>
        </w:tc>
      </w:tr>
      <w:tr w:rsidR="00B837E7" w:rsidRPr="008D7CB4" w14:paraId="2A9D14A2" w14:textId="77777777" w:rsidTr="00CB41CD">
        <w:trPr>
          <w:trHeight w:val="20"/>
        </w:trPr>
        <w:tc>
          <w:tcPr>
            <w:tcW w:w="3685" w:type="dxa"/>
            <w:shd w:val="clear" w:color="000000" w:fill="FFFFFF"/>
            <w:noWrap/>
            <w:vAlign w:val="center"/>
            <w:hideMark/>
          </w:tcPr>
          <w:p w14:paraId="183B2CC8"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Locust Ridge II, LLC</w:t>
            </w:r>
          </w:p>
        </w:tc>
        <w:tc>
          <w:tcPr>
            <w:tcW w:w="2031" w:type="dxa"/>
            <w:shd w:val="clear" w:color="auto" w:fill="auto"/>
            <w:noWrap/>
            <w:vAlign w:val="center"/>
            <w:hideMark/>
          </w:tcPr>
          <w:p w14:paraId="3131A60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8BB75A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4DAD0F3E" w14:textId="77777777" w:rsidTr="00CB41CD">
        <w:trPr>
          <w:trHeight w:val="20"/>
        </w:trPr>
        <w:tc>
          <w:tcPr>
            <w:tcW w:w="3685" w:type="dxa"/>
            <w:shd w:val="clear" w:color="000000" w:fill="FFFFFF"/>
            <w:noWrap/>
            <w:vAlign w:val="center"/>
            <w:hideMark/>
          </w:tcPr>
          <w:p w14:paraId="672D4E96"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Locust Ridge Wind Farms, LLC</w:t>
            </w:r>
          </w:p>
        </w:tc>
        <w:tc>
          <w:tcPr>
            <w:tcW w:w="2031" w:type="dxa"/>
            <w:shd w:val="clear" w:color="auto" w:fill="auto"/>
            <w:noWrap/>
            <w:vAlign w:val="center"/>
            <w:hideMark/>
          </w:tcPr>
          <w:p w14:paraId="502CB22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DBA431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052BE19E" w14:textId="77777777" w:rsidTr="00CB41CD">
        <w:trPr>
          <w:trHeight w:val="20"/>
        </w:trPr>
        <w:tc>
          <w:tcPr>
            <w:tcW w:w="3685" w:type="dxa"/>
            <w:shd w:val="clear" w:color="000000" w:fill="FFFFFF"/>
            <w:noWrap/>
            <w:vAlign w:val="center"/>
            <w:hideMark/>
          </w:tcPr>
          <w:p w14:paraId="032E8C5A"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Loma Vista LLC</w:t>
            </w:r>
          </w:p>
        </w:tc>
        <w:tc>
          <w:tcPr>
            <w:tcW w:w="2031" w:type="dxa"/>
            <w:shd w:val="clear" w:color="auto" w:fill="auto"/>
            <w:noWrap/>
            <w:vAlign w:val="center"/>
            <w:hideMark/>
          </w:tcPr>
          <w:p w14:paraId="2BCB0F7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81D3FF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69DA459E" w14:textId="77777777" w:rsidTr="00CB41CD">
        <w:trPr>
          <w:trHeight w:val="20"/>
        </w:trPr>
        <w:tc>
          <w:tcPr>
            <w:tcW w:w="3685" w:type="dxa"/>
            <w:shd w:val="clear" w:color="000000" w:fill="FFFFFF"/>
            <w:noWrap/>
            <w:vAlign w:val="center"/>
            <w:hideMark/>
          </w:tcPr>
          <w:p w14:paraId="7F7B19AD"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Midland Wind, LLC</w:t>
            </w:r>
          </w:p>
        </w:tc>
        <w:tc>
          <w:tcPr>
            <w:tcW w:w="2031" w:type="dxa"/>
            <w:shd w:val="clear" w:color="auto" w:fill="auto"/>
            <w:noWrap/>
            <w:vAlign w:val="center"/>
            <w:hideMark/>
          </w:tcPr>
          <w:p w14:paraId="3094F34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5D4637D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31D3ED17" w14:textId="77777777" w:rsidTr="00CB41CD">
        <w:trPr>
          <w:trHeight w:val="20"/>
        </w:trPr>
        <w:tc>
          <w:tcPr>
            <w:tcW w:w="3685" w:type="dxa"/>
            <w:shd w:val="clear" w:color="000000" w:fill="FFFFFF"/>
            <w:noWrap/>
            <w:vAlign w:val="center"/>
            <w:hideMark/>
          </w:tcPr>
          <w:p w14:paraId="75ADB5E8"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Mount Pleasant Wind, LLC</w:t>
            </w:r>
          </w:p>
        </w:tc>
        <w:tc>
          <w:tcPr>
            <w:tcW w:w="2031" w:type="dxa"/>
            <w:shd w:val="clear" w:color="auto" w:fill="auto"/>
            <w:noWrap/>
            <w:vAlign w:val="center"/>
            <w:hideMark/>
          </w:tcPr>
          <w:p w14:paraId="24287A9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3FF4EA7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12E7FAF6" w14:textId="77777777" w:rsidTr="00CB41CD">
        <w:trPr>
          <w:trHeight w:val="20"/>
        </w:trPr>
        <w:tc>
          <w:tcPr>
            <w:tcW w:w="3685" w:type="dxa"/>
            <w:shd w:val="clear" w:color="000000" w:fill="FFFFFF"/>
            <w:noWrap/>
            <w:vAlign w:val="center"/>
            <w:hideMark/>
          </w:tcPr>
          <w:p w14:paraId="2A3B499F"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Mountain View Power Partners III, LLC</w:t>
            </w:r>
          </w:p>
        </w:tc>
        <w:tc>
          <w:tcPr>
            <w:tcW w:w="2031" w:type="dxa"/>
            <w:shd w:val="clear" w:color="auto" w:fill="auto"/>
            <w:noWrap/>
            <w:vAlign w:val="center"/>
            <w:hideMark/>
          </w:tcPr>
          <w:p w14:paraId="3F84306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D42B35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598154E1" w14:textId="77777777" w:rsidTr="00CB41CD">
        <w:trPr>
          <w:trHeight w:val="20"/>
        </w:trPr>
        <w:tc>
          <w:tcPr>
            <w:tcW w:w="3685" w:type="dxa"/>
            <w:shd w:val="clear" w:color="000000" w:fill="FFFFFF"/>
            <w:noWrap/>
            <w:vAlign w:val="center"/>
            <w:hideMark/>
          </w:tcPr>
          <w:p w14:paraId="689372BA"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New England Wind, LLC</w:t>
            </w:r>
          </w:p>
        </w:tc>
        <w:tc>
          <w:tcPr>
            <w:tcW w:w="2031" w:type="dxa"/>
            <w:shd w:val="clear" w:color="auto" w:fill="auto"/>
            <w:noWrap/>
            <w:vAlign w:val="center"/>
            <w:hideMark/>
          </w:tcPr>
          <w:p w14:paraId="7BA52EB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AFE514B"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1D23FC32" w14:textId="77777777" w:rsidTr="00CB41CD">
        <w:trPr>
          <w:trHeight w:val="20"/>
        </w:trPr>
        <w:tc>
          <w:tcPr>
            <w:tcW w:w="3685" w:type="dxa"/>
            <w:shd w:val="clear" w:color="000000" w:fill="FFFFFF"/>
            <w:noWrap/>
            <w:vAlign w:val="center"/>
            <w:hideMark/>
          </w:tcPr>
          <w:p w14:paraId="51A22323"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Northern Iowa WindPower II, LLC</w:t>
            </w:r>
          </w:p>
        </w:tc>
        <w:tc>
          <w:tcPr>
            <w:tcW w:w="2031" w:type="dxa"/>
            <w:shd w:val="clear" w:color="auto" w:fill="auto"/>
            <w:noWrap/>
            <w:vAlign w:val="center"/>
            <w:hideMark/>
          </w:tcPr>
          <w:p w14:paraId="542AE90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D3AA04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20F9E1A1" w14:textId="77777777" w:rsidTr="00CB41CD">
        <w:trPr>
          <w:trHeight w:val="20"/>
        </w:trPr>
        <w:tc>
          <w:tcPr>
            <w:tcW w:w="3685" w:type="dxa"/>
            <w:shd w:val="clear" w:color="000000" w:fill="FFFFFF"/>
            <w:noWrap/>
            <w:vAlign w:val="center"/>
            <w:hideMark/>
          </w:tcPr>
          <w:p w14:paraId="088EBE51"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Pacific Harbor Capital, Inc</w:t>
            </w:r>
          </w:p>
        </w:tc>
        <w:tc>
          <w:tcPr>
            <w:tcW w:w="2031" w:type="dxa"/>
            <w:shd w:val="clear" w:color="auto" w:fill="auto"/>
            <w:noWrap/>
            <w:vAlign w:val="center"/>
            <w:hideMark/>
          </w:tcPr>
          <w:p w14:paraId="6727ED1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1BF3FA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Otros</w:t>
            </w:r>
          </w:p>
        </w:tc>
      </w:tr>
      <w:tr w:rsidR="00B837E7" w:rsidRPr="008D7CB4" w14:paraId="1229689B" w14:textId="77777777" w:rsidTr="00CB41CD">
        <w:trPr>
          <w:trHeight w:val="20"/>
        </w:trPr>
        <w:tc>
          <w:tcPr>
            <w:tcW w:w="3685" w:type="dxa"/>
            <w:shd w:val="clear" w:color="000000" w:fill="FFFFFF"/>
            <w:noWrap/>
            <w:vAlign w:val="center"/>
            <w:hideMark/>
          </w:tcPr>
          <w:p w14:paraId="2D51AFEA"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Pacific Solar Investments, Inc</w:t>
            </w:r>
          </w:p>
        </w:tc>
        <w:tc>
          <w:tcPr>
            <w:tcW w:w="2031" w:type="dxa"/>
            <w:shd w:val="clear" w:color="auto" w:fill="auto"/>
            <w:noWrap/>
            <w:vAlign w:val="center"/>
            <w:hideMark/>
          </w:tcPr>
          <w:p w14:paraId="31D666F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93A06F4"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A09B353" w14:textId="77777777" w:rsidTr="00CB41CD">
        <w:trPr>
          <w:trHeight w:val="20"/>
        </w:trPr>
        <w:tc>
          <w:tcPr>
            <w:tcW w:w="3685" w:type="dxa"/>
            <w:shd w:val="clear" w:color="auto" w:fill="auto"/>
            <w:noWrap/>
            <w:vAlign w:val="center"/>
            <w:hideMark/>
          </w:tcPr>
          <w:p w14:paraId="599EAAFE"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PPM Technical Services, Inc.</w:t>
            </w:r>
          </w:p>
        </w:tc>
        <w:tc>
          <w:tcPr>
            <w:tcW w:w="2031" w:type="dxa"/>
            <w:shd w:val="clear" w:color="auto" w:fill="auto"/>
            <w:noWrap/>
            <w:vAlign w:val="center"/>
            <w:hideMark/>
          </w:tcPr>
          <w:p w14:paraId="3712C45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66021C6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Servicios</w:t>
            </w:r>
          </w:p>
        </w:tc>
      </w:tr>
      <w:tr w:rsidR="00B837E7" w:rsidRPr="008D7CB4" w14:paraId="790342DB" w14:textId="77777777" w:rsidTr="00CB41CD">
        <w:trPr>
          <w:trHeight w:val="20"/>
        </w:trPr>
        <w:tc>
          <w:tcPr>
            <w:tcW w:w="3685" w:type="dxa"/>
            <w:shd w:val="clear" w:color="000000" w:fill="FFFFFF"/>
            <w:noWrap/>
            <w:vAlign w:val="center"/>
            <w:hideMark/>
          </w:tcPr>
          <w:p w14:paraId="613171A9"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PPM Wind Energy, LLC</w:t>
            </w:r>
          </w:p>
        </w:tc>
        <w:tc>
          <w:tcPr>
            <w:tcW w:w="2031" w:type="dxa"/>
            <w:shd w:val="clear" w:color="auto" w:fill="auto"/>
            <w:noWrap/>
            <w:vAlign w:val="center"/>
            <w:hideMark/>
          </w:tcPr>
          <w:p w14:paraId="40E239A2"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41C9E28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09C176DF" w14:textId="77777777" w:rsidTr="00CB41CD">
        <w:trPr>
          <w:trHeight w:val="20"/>
        </w:trPr>
        <w:tc>
          <w:tcPr>
            <w:tcW w:w="3685" w:type="dxa"/>
            <w:shd w:val="clear" w:color="000000" w:fill="FFFFFF"/>
            <w:noWrap/>
            <w:vAlign w:val="center"/>
            <w:hideMark/>
          </w:tcPr>
          <w:p w14:paraId="0D28BD27"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Providence Heights Wind, LLC</w:t>
            </w:r>
          </w:p>
        </w:tc>
        <w:tc>
          <w:tcPr>
            <w:tcW w:w="2031" w:type="dxa"/>
            <w:shd w:val="clear" w:color="auto" w:fill="auto"/>
            <w:noWrap/>
            <w:vAlign w:val="center"/>
            <w:hideMark/>
          </w:tcPr>
          <w:p w14:paraId="6EED42B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1F25D74D"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74B95965" w14:textId="77777777" w:rsidTr="00CB41CD">
        <w:trPr>
          <w:trHeight w:val="20"/>
        </w:trPr>
        <w:tc>
          <w:tcPr>
            <w:tcW w:w="3685" w:type="dxa"/>
            <w:shd w:val="clear" w:color="000000" w:fill="FFFFFF"/>
            <w:vAlign w:val="center"/>
            <w:hideMark/>
          </w:tcPr>
          <w:p w14:paraId="5DFA10F1" w14:textId="77777777" w:rsidR="00B837E7" w:rsidRPr="008D7CB4" w:rsidRDefault="00B837E7" w:rsidP="00CB41CD">
            <w:pPr>
              <w:rPr>
                <w:rFonts w:ascii="Open Sans" w:hAnsi="Open Sans" w:cs="Open Sans"/>
                <w:sz w:val="20"/>
                <w:szCs w:val="20"/>
                <w:lang w:val="en-US"/>
              </w:rPr>
            </w:pPr>
            <w:r w:rsidRPr="008D7CB4">
              <w:rPr>
                <w:rFonts w:ascii="Open Sans" w:hAnsi="Open Sans" w:cs="Open Sans"/>
                <w:sz w:val="20"/>
                <w:szCs w:val="20"/>
                <w:lang w:val="en-US"/>
              </w:rPr>
              <w:t>Scottish Power Finance (US) Inc.</w:t>
            </w:r>
          </w:p>
        </w:tc>
        <w:tc>
          <w:tcPr>
            <w:tcW w:w="2031" w:type="dxa"/>
            <w:shd w:val="clear" w:color="auto" w:fill="auto"/>
            <w:noWrap/>
            <w:vAlign w:val="center"/>
            <w:hideMark/>
          </w:tcPr>
          <w:p w14:paraId="5D68D5C6"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19DE002C"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Intermediate Holding Company</w:t>
            </w:r>
          </w:p>
        </w:tc>
      </w:tr>
      <w:tr w:rsidR="00B837E7" w:rsidRPr="008D7CB4" w14:paraId="0393DEAC" w14:textId="77777777" w:rsidTr="00CB41CD">
        <w:trPr>
          <w:trHeight w:val="20"/>
        </w:trPr>
        <w:tc>
          <w:tcPr>
            <w:tcW w:w="3685" w:type="dxa"/>
            <w:shd w:val="clear" w:color="000000" w:fill="FFFFFF"/>
            <w:noWrap/>
            <w:vAlign w:val="center"/>
            <w:hideMark/>
          </w:tcPr>
          <w:p w14:paraId="05A7677D"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ScottishPower Group Holdings Company</w:t>
            </w:r>
          </w:p>
        </w:tc>
        <w:tc>
          <w:tcPr>
            <w:tcW w:w="2031" w:type="dxa"/>
            <w:shd w:val="clear" w:color="auto" w:fill="auto"/>
            <w:noWrap/>
            <w:vAlign w:val="center"/>
            <w:hideMark/>
          </w:tcPr>
          <w:p w14:paraId="0239DA3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00742AA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Intermediate Holding Company</w:t>
            </w:r>
          </w:p>
        </w:tc>
      </w:tr>
      <w:tr w:rsidR="00B837E7" w:rsidRPr="008D7CB4" w14:paraId="5BBFC9A3" w14:textId="77777777" w:rsidTr="00CB41CD">
        <w:trPr>
          <w:trHeight w:val="20"/>
        </w:trPr>
        <w:tc>
          <w:tcPr>
            <w:tcW w:w="3685" w:type="dxa"/>
            <w:shd w:val="clear" w:color="auto" w:fill="auto"/>
            <w:noWrap/>
            <w:vAlign w:val="center"/>
            <w:hideMark/>
          </w:tcPr>
          <w:p w14:paraId="5AD22CD7"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Total Peaking Services, LLC</w:t>
            </w:r>
          </w:p>
        </w:tc>
        <w:tc>
          <w:tcPr>
            <w:tcW w:w="2031" w:type="dxa"/>
            <w:shd w:val="clear" w:color="auto" w:fill="auto"/>
            <w:noWrap/>
            <w:vAlign w:val="center"/>
            <w:hideMark/>
          </w:tcPr>
          <w:p w14:paraId="4C0F224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7BA3F375"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Servicios</w:t>
            </w:r>
          </w:p>
        </w:tc>
      </w:tr>
      <w:tr w:rsidR="00B837E7" w:rsidRPr="008D7CB4" w14:paraId="64BA8F94" w14:textId="77777777" w:rsidTr="00CB41CD">
        <w:trPr>
          <w:trHeight w:val="20"/>
        </w:trPr>
        <w:tc>
          <w:tcPr>
            <w:tcW w:w="3685" w:type="dxa"/>
            <w:shd w:val="clear" w:color="auto" w:fill="auto"/>
            <w:noWrap/>
            <w:vAlign w:val="center"/>
            <w:hideMark/>
          </w:tcPr>
          <w:p w14:paraId="67A74EE6"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United Capital Investments</w:t>
            </w:r>
          </w:p>
        </w:tc>
        <w:tc>
          <w:tcPr>
            <w:tcW w:w="2031" w:type="dxa"/>
            <w:shd w:val="clear" w:color="auto" w:fill="auto"/>
            <w:noWrap/>
            <w:vAlign w:val="center"/>
            <w:hideMark/>
          </w:tcPr>
          <w:p w14:paraId="188AC1D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1E3B51B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Inactiva</w:t>
            </w:r>
          </w:p>
        </w:tc>
      </w:tr>
      <w:tr w:rsidR="00B837E7" w:rsidRPr="008D7CB4" w14:paraId="647567A1" w14:textId="77777777" w:rsidTr="00CB41CD">
        <w:trPr>
          <w:trHeight w:val="20"/>
        </w:trPr>
        <w:tc>
          <w:tcPr>
            <w:tcW w:w="3685" w:type="dxa"/>
            <w:shd w:val="clear" w:color="auto" w:fill="auto"/>
            <w:noWrap/>
            <w:vAlign w:val="center"/>
            <w:hideMark/>
          </w:tcPr>
          <w:p w14:paraId="64230026"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United Resources, Inc</w:t>
            </w:r>
          </w:p>
        </w:tc>
        <w:tc>
          <w:tcPr>
            <w:tcW w:w="2031" w:type="dxa"/>
            <w:shd w:val="clear" w:color="auto" w:fill="auto"/>
            <w:noWrap/>
            <w:vAlign w:val="center"/>
            <w:hideMark/>
          </w:tcPr>
          <w:p w14:paraId="2DC9946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94F5B7C"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Holding</w:t>
            </w:r>
          </w:p>
        </w:tc>
      </w:tr>
      <w:tr w:rsidR="00B837E7" w:rsidRPr="008D7CB4" w14:paraId="2F2C8D6F" w14:textId="77777777" w:rsidTr="00CB41CD">
        <w:trPr>
          <w:trHeight w:val="20"/>
        </w:trPr>
        <w:tc>
          <w:tcPr>
            <w:tcW w:w="3685" w:type="dxa"/>
            <w:shd w:val="clear" w:color="auto" w:fill="auto"/>
            <w:noWrap/>
            <w:vAlign w:val="center"/>
            <w:hideMark/>
          </w:tcPr>
          <w:p w14:paraId="0715858D"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WGP Acquisition, LLC</w:t>
            </w:r>
          </w:p>
        </w:tc>
        <w:tc>
          <w:tcPr>
            <w:tcW w:w="2031" w:type="dxa"/>
            <w:shd w:val="clear" w:color="auto" w:fill="auto"/>
            <w:noWrap/>
            <w:vAlign w:val="center"/>
            <w:hideMark/>
          </w:tcPr>
          <w:p w14:paraId="5FB1219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961FCD0"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Inactiva</w:t>
            </w:r>
          </w:p>
        </w:tc>
      </w:tr>
      <w:tr w:rsidR="00B837E7" w:rsidRPr="008D7CB4" w14:paraId="3B4ADE4E" w14:textId="77777777" w:rsidTr="00CB41CD">
        <w:trPr>
          <w:trHeight w:val="20"/>
        </w:trPr>
        <w:tc>
          <w:tcPr>
            <w:tcW w:w="3685" w:type="dxa"/>
            <w:shd w:val="clear" w:color="000000" w:fill="FFFFFF"/>
            <w:noWrap/>
            <w:vAlign w:val="center"/>
            <w:hideMark/>
          </w:tcPr>
          <w:p w14:paraId="5B3A94F1"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Winnebago Windpower, II, LLC</w:t>
            </w:r>
          </w:p>
        </w:tc>
        <w:tc>
          <w:tcPr>
            <w:tcW w:w="2031" w:type="dxa"/>
            <w:shd w:val="clear" w:color="auto" w:fill="auto"/>
            <w:noWrap/>
            <w:vAlign w:val="center"/>
            <w:hideMark/>
          </w:tcPr>
          <w:p w14:paraId="7170D58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10BCEFDE"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34F56249" w14:textId="77777777" w:rsidTr="00CB41CD">
        <w:trPr>
          <w:trHeight w:val="20"/>
        </w:trPr>
        <w:tc>
          <w:tcPr>
            <w:tcW w:w="3685" w:type="dxa"/>
            <w:shd w:val="clear" w:color="000000" w:fill="FFFFFF"/>
            <w:noWrap/>
            <w:vAlign w:val="center"/>
            <w:hideMark/>
          </w:tcPr>
          <w:p w14:paraId="423F3B31" w14:textId="77777777" w:rsidR="00B837E7" w:rsidRPr="008D7CB4" w:rsidRDefault="00B837E7" w:rsidP="00CB41CD">
            <w:pPr>
              <w:rPr>
                <w:rFonts w:ascii="Open Sans" w:hAnsi="Open Sans" w:cs="Open Sans"/>
                <w:sz w:val="20"/>
                <w:szCs w:val="20"/>
              </w:rPr>
            </w:pPr>
            <w:r w:rsidRPr="008D7CB4">
              <w:rPr>
                <w:rFonts w:ascii="Open Sans" w:hAnsi="Open Sans" w:cs="Open Sans"/>
                <w:sz w:val="20"/>
                <w:szCs w:val="20"/>
              </w:rPr>
              <w:t>Winnebago Windpower, LLC</w:t>
            </w:r>
          </w:p>
        </w:tc>
        <w:tc>
          <w:tcPr>
            <w:tcW w:w="2031" w:type="dxa"/>
            <w:shd w:val="clear" w:color="auto" w:fill="auto"/>
            <w:noWrap/>
            <w:vAlign w:val="center"/>
            <w:hideMark/>
          </w:tcPr>
          <w:p w14:paraId="0ECE8D0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EEUU (Delaware)</w:t>
            </w:r>
          </w:p>
        </w:tc>
        <w:tc>
          <w:tcPr>
            <w:tcW w:w="2778" w:type="dxa"/>
            <w:shd w:val="clear" w:color="auto" w:fill="auto"/>
            <w:noWrap/>
            <w:vAlign w:val="center"/>
            <w:hideMark/>
          </w:tcPr>
          <w:p w14:paraId="2504672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r w:rsidR="00B837E7" w:rsidRPr="008D7CB4" w14:paraId="2E7D4FCB" w14:textId="77777777" w:rsidTr="00CB41CD">
        <w:trPr>
          <w:trHeight w:val="20"/>
        </w:trPr>
        <w:tc>
          <w:tcPr>
            <w:tcW w:w="3685" w:type="dxa"/>
            <w:shd w:val="clear" w:color="auto" w:fill="auto"/>
            <w:noWrap/>
            <w:vAlign w:val="center"/>
            <w:hideMark/>
          </w:tcPr>
          <w:p w14:paraId="44C869AE"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Iberdrola International, B.V.</w:t>
            </w:r>
          </w:p>
        </w:tc>
        <w:tc>
          <w:tcPr>
            <w:tcW w:w="2031" w:type="dxa"/>
            <w:shd w:val="clear" w:color="auto" w:fill="auto"/>
            <w:noWrap/>
            <w:vAlign w:val="center"/>
            <w:hideMark/>
          </w:tcPr>
          <w:p w14:paraId="578B05E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Holanda</w:t>
            </w:r>
          </w:p>
        </w:tc>
        <w:tc>
          <w:tcPr>
            <w:tcW w:w="2778" w:type="dxa"/>
            <w:shd w:val="clear" w:color="auto" w:fill="auto"/>
            <w:noWrap/>
            <w:vAlign w:val="center"/>
            <w:hideMark/>
          </w:tcPr>
          <w:p w14:paraId="0B6EA35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Financiera</w:t>
            </w:r>
          </w:p>
        </w:tc>
      </w:tr>
      <w:tr w:rsidR="00B837E7" w:rsidRPr="008D7CB4" w14:paraId="10B1C27F" w14:textId="77777777" w:rsidTr="00CB41CD">
        <w:trPr>
          <w:trHeight w:val="20"/>
        </w:trPr>
        <w:tc>
          <w:tcPr>
            <w:tcW w:w="3685" w:type="dxa"/>
            <w:shd w:val="clear" w:color="auto" w:fill="auto"/>
            <w:noWrap/>
            <w:vAlign w:val="center"/>
            <w:hideMark/>
          </w:tcPr>
          <w:p w14:paraId="186AFD02"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Dornoch International Insurance, Ltd.</w:t>
            </w:r>
          </w:p>
        </w:tc>
        <w:tc>
          <w:tcPr>
            <w:tcW w:w="2031" w:type="dxa"/>
            <w:shd w:val="clear" w:color="auto" w:fill="auto"/>
            <w:noWrap/>
            <w:vAlign w:val="center"/>
            <w:hideMark/>
          </w:tcPr>
          <w:p w14:paraId="5B78FC88"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Irlanda</w:t>
            </w:r>
          </w:p>
        </w:tc>
        <w:tc>
          <w:tcPr>
            <w:tcW w:w="2778" w:type="dxa"/>
            <w:shd w:val="clear" w:color="auto" w:fill="auto"/>
            <w:noWrap/>
            <w:vAlign w:val="center"/>
            <w:hideMark/>
          </w:tcPr>
          <w:p w14:paraId="4B7CE032"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Seguros</w:t>
            </w:r>
          </w:p>
        </w:tc>
      </w:tr>
      <w:tr w:rsidR="00B837E7" w:rsidRPr="008D7CB4" w14:paraId="7B09B62C" w14:textId="77777777" w:rsidTr="00CB41CD">
        <w:trPr>
          <w:trHeight w:val="20"/>
        </w:trPr>
        <w:tc>
          <w:tcPr>
            <w:tcW w:w="3685" w:type="dxa"/>
            <w:shd w:val="clear" w:color="auto" w:fill="auto"/>
            <w:noWrap/>
            <w:vAlign w:val="center"/>
            <w:hideMark/>
          </w:tcPr>
          <w:p w14:paraId="0E7F3DEF"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Iberdrola Finance Ireland, Ltd.</w:t>
            </w:r>
          </w:p>
        </w:tc>
        <w:tc>
          <w:tcPr>
            <w:tcW w:w="2031" w:type="dxa"/>
            <w:shd w:val="clear" w:color="auto" w:fill="auto"/>
            <w:noWrap/>
            <w:vAlign w:val="center"/>
            <w:hideMark/>
          </w:tcPr>
          <w:p w14:paraId="4277AB5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Irlanda</w:t>
            </w:r>
          </w:p>
        </w:tc>
        <w:tc>
          <w:tcPr>
            <w:tcW w:w="2778" w:type="dxa"/>
            <w:shd w:val="clear" w:color="auto" w:fill="auto"/>
            <w:noWrap/>
            <w:vAlign w:val="center"/>
            <w:hideMark/>
          </w:tcPr>
          <w:p w14:paraId="03F57803"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Financiera</w:t>
            </w:r>
          </w:p>
        </w:tc>
      </w:tr>
      <w:tr w:rsidR="00B837E7" w:rsidRPr="008D7CB4" w14:paraId="4B3700C0" w14:textId="77777777" w:rsidTr="00CB41CD">
        <w:trPr>
          <w:trHeight w:val="20"/>
        </w:trPr>
        <w:tc>
          <w:tcPr>
            <w:tcW w:w="3685" w:type="dxa"/>
            <w:shd w:val="clear" w:color="auto" w:fill="auto"/>
            <w:noWrap/>
            <w:vAlign w:val="center"/>
            <w:hideMark/>
          </w:tcPr>
          <w:p w14:paraId="3E9EA0D5"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Garter Properties, Inc.</w:t>
            </w:r>
          </w:p>
        </w:tc>
        <w:tc>
          <w:tcPr>
            <w:tcW w:w="2031" w:type="dxa"/>
            <w:shd w:val="clear" w:color="auto" w:fill="auto"/>
            <w:noWrap/>
            <w:vAlign w:val="center"/>
            <w:hideMark/>
          </w:tcPr>
          <w:p w14:paraId="668CE5F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Islas Vírgenes Británicas</w:t>
            </w:r>
          </w:p>
        </w:tc>
        <w:tc>
          <w:tcPr>
            <w:tcW w:w="2778" w:type="dxa"/>
            <w:shd w:val="clear" w:color="auto" w:fill="auto"/>
            <w:noWrap/>
            <w:vAlign w:val="center"/>
            <w:hideMark/>
          </w:tcPr>
          <w:p w14:paraId="465F25B9"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Financiera</w:t>
            </w:r>
          </w:p>
        </w:tc>
      </w:tr>
      <w:tr w:rsidR="00B837E7" w:rsidRPr="008D7CB4" w14:paraId="2EBA6C43" w14:textId="77777777" w:rsidTr="00CB41CD">
        <w:trPr>
          <w:trHeight w:val="20"/>
        </w:trPr>
        <w:tc>
          <w:tcPr>
            <w:tcW w:w="3685" w:type="dxa"/>
            <w:shd w:val="clear" w:color="auto" w:fill="auto"/>
            <w:noWrap/>
            <w:vAlign w:val="center"/>
            <w:hideMark/>
          </w:tcPr>
          <w:p w14:paraId="182497B9" w14:textId="77777777"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Iberdrola RE, S.A.</w:t>
            </w:r>
          </w:p>
        </w:tc>
        <w:tc>
          <w:tcPr>
            <w:tcW w:w="2031" w:type="dxa"/>
            <w:shd w:val="clear" w:color="auto" w:fill="auto"/>
            <w:noWrap/>
            <w:vAlign w:val="center"/>
            <w:hideMark/>
          </w:tcPr>
          <w:p w14:paraId="4EDD631B"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Luxemburgo</w:t>
            </w:r>
          </w:p>
        </w:tc>
        <w:tc>
          <w:tcPr>
            <w:tcW w:w="2778" w:type="dxa"/>
            <w:shd w:val="clear" w:color="auto" w:fill="auto"/>
            <w:noWrap/>
            <w:vAlign w:val="center"/>
            <w:hideMark/>
          </w:tcPr>
          <w:p w14:paraId="1E2FE6EA"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Seguros</w:t>
            </w:r>
          </w:p>
        </w:tc>
      </w:tr>
      <w:tr w:rsidR="00B837E7" w:rsidRPr="008D7CB4" w14:paraId="5342F0DE" w14:textId="77777777" w:rsidTr="00CB41CD">
        <w:trPr>
          <w:trHeight w:val="20"/>
        </w:trPr>
        <w:tc>
          <w:tcPr>
            <w:tcW w:w="3685" w:type="dxa"/>
            <w:shd w:val="clear" w:color="auto" w:fill="auto"/>
            <w:vAlign w:val="center"/>
            <w:hideMark/>
          </w:tcPr>
          <w:p w14:paraId="40D8043B" w14:textId="1761A22A" w:rsidR="00B837E7" w:rsidRPr="008D7CB4" w:rsidRDefault="00B837E7" w:rsidP="00CB41CD">
            <w:pPr>
              <w:rPr>
                <w:rFonts w:ascii="Open Sans" w:hAnsi="Open Sans" w:cs="Open Sans"/>
                <w:color w:val="000000"/>
                <w:sz w:val="20"/>
                <w:szCs w:val="20"/>
              </w:rPr>
            </w:pPr>
            <w:r w:rsidRPr="008D7CB4">
              <w:rPr>
                <w:rFonts w:ascii="Open Sans" w:hAnsi="Open Sans" w:cs="Open Sans"/>
                <w:color w:val="000000"/>
                <w:sz w:val="20"/>
                <w:szCs w:val="20"/>
              </w:rPr>
              <w:t>Iberdrola In</w:t>
            </w:r>
            <w:r>
              <w:rPr>
                <w:rFonts w:ascii="Open Sans" w:hAnsi="Open Sans" w:cs="Open Sans"/>
                <w:color w:val="000000"/>
                <w:sz w:val="20"/>
                <w:szCs w:val="20"/>
              </w:rPr>
              <w:t xml:space="preserve">geniería y Construcción Panamá, </w:t>
            </w:r>
            <w:r w:rsidRPr="008D7CB4">
              <w:rPr>
                <w:rFonts w:ascii="Open Sans" w:hAnsi="Open Sans" w:cs="Open Sans"/>
                <w:color w:val="000000"/>
                <w:sz w:val="20"/>
                <w:szCs w:val="20"/>
              </w:rPr>
              <w:t>S.A.</w:t>
            </w:r>
          </w:p>
        </w:tc>
        <w:tc>
          <w:tcPr>
            <w:tcW w:w="2031" w:type="dxa"/>
            <w:shd w:val="clear" w:color="auto" w:fill="auto"/>
            <w:noWrap/>
            <w:vAlign w:val="center"/>
            <w:hideMark/>
          </w:tcPr>
          <w:p w14:paraId="3A27269F"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Panamá</w:t>
            </w:r>
          </w:p>
        </w:tc>
        <w:tc>
          <w:tcPr>
            <w:tcW w:w="2778" w:type="dxa"/>
            <w:shd w:val="clear" w:color="auto" w:fill="auto"/>
            <w:noWrap/>
            <w:vAlign w:val="center"/>
            <w:hideMark/>
          </w:tcPr>
          <w:p w14:paraId="0B017DC7"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Ingeniería</w:t>
            </w:r>
          </w:p>
        </w:tc>
      </w:tr>
      <w:tr w:rsidR="00B837E7" w:rsidRPr="008D7CB4" w14:paraId="74C20EDC" w14:textId="77777777" w:rsidTr="00CB41CD">
        <w:trPr>
          <w:trHeight w:val="20"/>
        </w:trPr>
        <w:tc>
          <w:tcPr>
            <w:tcW w:w="3685" w:type="dxa"/>
            <w:shd w:val="clear" w:color="auto" w:fill="auto"/>
            <w:noWrap/>
            <w:vAlign w:val="center"/>
            <w:hideMark/>
          </w:tcPr>
          <w:p w14:paraId="4A1F499E" w14:textId="77777777" w:rsidR="00B837E7" w:rsidRPr="008D7CB4" w:rsidRDefault="00B837E7" w:rsidP="00CB41CD">
            <w:pPr>
              <w:rPr>
                <w:rFonts w:ascii="Open Sans" w:hAnsi="Open Sans" w:cs="Open Sans"/>
                <w:color w:val="000000"/>
                <w:sz w:val="20"/>
                <w:szCs w:val="20"/>
                <w:lang w:val="en-US"/>
              </w:rPr>
            </w:pPr>
            <w:r w:rsidRPr="008D7CB4">
              <w:rPr>
                <w:rFonts w:ascii="Open Sans" w:hAnsi="Open Sans" w:cs="Open Sans"/>
                <w:color w:val="000000"/>
                <w:sz w:val="20"/>
                <w:szCs w:val="20"/>
                <w:lang w:val="en-US"/>
              </w:rPr>
              <w:t>Eolica Dobrogea (Schweiz) I, GmbH.</w:t>
            </w:r>
          </w:p>
        </w:tc>
        <w:tc>
          <w:tcPr>
            <w:tcW w:w="2031" w:type="dxa"/>
            <w:shd w:val="clear" w:color="auto" w:fill="auto"/>
            <w:noWrap/>
            <w:vAlign w:val="center"/>
            <w:hideMark/>
          </w:tcPr>
          <w:p w14:paraId="2D580B7D"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Suiza</w:t>
            </w:r>
          </w:p>
        </w:tc>
        <w:tc>
          <w:tcPr>
            <w:tcW w:w="2778" w:type="dxa"/>
            <w:shd w:val="clear" w:color="auto" w:fill="auto"/>
            <w:noWrap/>
            <w:vAlign w:val="center"/>
            <w:hideMark/>
          </w:tcPr>
          <w:p w14:paraId="25BD9321" w14:textId="77777777" w:rsidR="00B837E7" w:rsidRPr="008D7CB4" w:rsidRDefault="00B837E7" w:rsidP="00CB41CD">
            <w:pPr>
              <w:jc w:val="center"/>
              <w:rPr>
                <w:rFonts w:ascii="Open Sans" w:hAnsi="Open Sans" w:cs="Open Sans"/>
                <w:color w:val="000000"/>
                <w:sz w:val="20"/>
                <w:szCs w:val="20"/>
              </w:rPr>
            </w:pPr>
            <w:r w:rsidRPr="008D7CB4">
              <w:rPr>
                <w:rFonts w:ascii="Open Sans" w:hAnsi="Open Sans" w:cs="Open Sans"/>
                <w:color w:val="000000"/>
                <w:sz w:val="20"/>
                <w:szCs w:val="20"/>
              </w:rPr>
              <w:t>Energía</w:t>
            </w:r>
          </w:p>
        </w:tc>
      </w:tr>
    </w:tbl>
    <w:p w14:paraId="53C0FEC3" w14:textId="77777777" w:rsidR="00B837E7" w:rsidRDefault="00B837E7" w:rsidP="00B837E7">
      <w:pPr>
        <w:jc w:val="both"/>
        <w:rPr>
          <w:rFonts w:ascii="Open Sans" w:hAnsi="Open Sans" w:cs="Open Sans"/>
          <w:sz w:val="20"/>
          <w:szCs w:val="20"/>
        </w:rPr>
      </w:pPr>
    </w:p>
    <w:p w14:paraId="2DFA6DCF" w14:textId="77777777" w:rsidR="00B837E7" w:rsidRDefault="00B837E7" w:rsidP="00B837E7">
      <w:pPr>
        <w:jc w:val="both"/>
        <w:rPr>
          <w:rFonts w:ascii="Open Sans" w:hAnsi="Open Sans" w:cs="Open Sans"/>
          <w:sz w:val="20"/>
          <w:szCs w:val="20"/>
        </w:rPr>
      </w:pPr>
    </w:p>
    <w:p w14:paraId="7B537869" w14:textId="77777777" w:rsidR="00B837E7" w:rsidRDefault="00B837E7" w:rsidP="00B837E7">
      <w:pPr>
        <w:shd w:val="clear" w:color="auto" w:fill="FFFFFF"/>
        <w:jc w:val="both"/>
        <w:rPr>
          <w:rFonts w:ascii="Arial" w:hAnsi="Arial" w:cs="Arial"/>
          <w:color w:val="222222"/>
          <w:sz w:val="19"/>
          <w:szCs w:val="19"/>
        </w:rPr>
      </w:pPr>
      <w:r>
        <w:rPr>
          <w:rFonts w:ascii="Open Sans" w:hAnsi="Open Sans" w:cs="Open Sans"/>
          <w:color w:val="222222"/>
          <w:sz w:val="20"/>
          <w:szCs w:val="20"/>
        </w:rPr>
        <w:t>Entre estas 71  sociedades</w:t>
      </w:r>
      <w:r>
        <w:rPr>
          <w:rStyle w:val="apple-converted-space"/>
          <w:rFonts w:ascii="Open Sans" w:hAnsi="Open Sans" w:cs="Open Sans"/>
          <w:color w:val="222222"/>
          <w:sz w:val="20"/>
          <w:szCs w:val="20"/>
        </w:rPr>
        <w:t> </w:t>
      </w:r>
      <w:r>
        <w:rPr>
          <w:rFonts w:ascii="Open Sans" w:hAnsi="Open Sans" w:cs="Open Sans"/>
          <w:color w:val="222222"/>
          <w:sz w:val="20"/>
          <w:szCs w:val="20"/>
        </w:rPr>
        <w:t>ubicadas en paraísos y/o nichos fiscales se considera que existe un grupo de 68  empresas que pueden generar dudas por la declaración de su actividad holding, financiera o de seguros o por estar referida a una ubicación diferente a dónde está domiciliada y  que no son susceptibles de resolverse al no aportar la empresa mayor información.</w:t>
      </w:r>
    </w:p>
    <w:p w14:paraId="4C3F48A8" w14:textId="77777777" w:rsidR="00B837E7" w:rsidRDefault="00B837E7" w:rsidP="00B837E7">
      <w:pPr>
        <w:jc w:val="both"/>
        <w:rPr>
          <w:rFonts w:ascii="Open Sans" w:hAnsi="Open Sans" w:cs="Open Sans"/>
          <w:sz w:val="20"/>
          <w:szCs w:val="20"/>
        </w:rPr>
      </w:pPr>
    </w:p>
    <w:p w14:paraId="32D34041" w14:textId="77777777" w:rsidR="00B837E7" w:rsidRDefault="00B837E7" w:rsidP="00B837E7">
      <w:pPr>
        <w:jc w:val="both"/>
        <w:rPr>
          <w:rFonts w:ascii="Open Sans" w:hAnsi="Open Sans" w:cs="Open Sans"/>
          <w:sz w:val="20"/>
          <w:szCs w:val="20"/>
        </w:rPr>
      </w:pPr>
      <w:r w:rsidRPr="0084699D">
        <w:rPr>
          <w:rFonts w:ascii="Open Sans" w:hAnsi="Open Sans" w:cs="Open Sans"/>
          <w:sz w:val="20"/>
          <w:szCs w:val="20"/>
        </w:rPr>
        <w:t>PPM Energy, la filial estadounidense de ScottishPower competitiva, adquirió Atlantic Renewable Energy Corporation y su cartera de desarrollo de energía eólica. PPM Energy, Inc. forma  parte de IBERDROLA RENOVABLES, SA, y ha cambiado su nombre a Iberdrola Renovables, Inc</w:t>
      </w:r>
      <w:r>
        <w:rPr>
          <w:rStyle w:val="Refdenotaalpie"/>
          <w:rFonts w:ascii="Open Sans" w:hAnsi="Open Sans" w:cs="Open Sans"/>
          <w:sz w:val="20"/>
          <w:szCs w:val="20"/>
        </w:rPr>
        <w:footnoteReference w:id="421"/>
      </w:r>
      <w:r w:rsidRPr="0084699D">
        <w:rPr>
          <w:rFonts w:ascii="Open Sans" w:hAnsi="Open Sans" w:cs="Open Sans"/>
          <w:sz w:val="20"/>
          <w:szCs w:val="20"/>
        </w:rPr>
        <w:t xml:space="preserve">. </w:t>
      </w:r>
    </w:p>
    <w:p w14:paraId="6D54D4AD" w14:textId="77777777" w:rsidR="00B837E7" w:rsidRDefault="00B837E7" w:rsidP="00B837E7">
      <w:pPr>
        <w:jc w:val="both"/>
        <w:rPr>
          <w:rFonts w:ascii="Open Sans" w:hAnsi="Open Sans" w:cs="Open Sans"/>
          <w:sz w:val="20"/>
          <w:szCs w:val="20"/>
        </w:rPr>
      </w:pPr>
    </w:p>
    <w:p w14:paraId="6A6FF398"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Resulta llamativo que Iberdrola tenga hasta 61 sociedades registradas  en Delaware. A pesar de ello, Iberdrola no proporciona explicación alguna sobre a qué se debe esta numerosa presencia en una jurisdicción que proporciona según diversas fuentes ventajas mercantiles y en algunos casos fiscales a las sociedades inscritas en ella. </w:t>
      </w:r>
    </w:p>
    <w:p w14:paraId="63E10D12" w14:textId="77777777" w:rsidR="00B837E7" w:rsidRDefault="00B837E7" w:rsidP="00B837E7">
      <w:pPr>
        <w:jc w:val="both"/>
        <w:rPr>
          <w:rFonts w:ascii="Open Sans" w:hAnsi="Open Sans" w:cs="Open Sans"/>
          <w:sz w:val="20"/>
          <w:szCs w:val="20"/>
        </w:rPr>
      </w:pPr>
    </w:p>
    <w:p w14:paraId="4BBF593C"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En el caso de la sociedad </w:t>
      </w:r>
      <w:r w:rsidRPr="00231C5C">
        <w:rPr>
          <w:rFonts w:ascii="Open Sans" w:hAnsi="Open Sans" w:cs="Open Sans"/>
          <w:sz w:val="20"/>
          <w:szCs w:val="20"/>
        </w:rPr>
        <w:t>Eolica Dobrogea (Schweiz) I, GmbH.</w:t>
      </w:r>
      <w:r>
        <w:rPr>
          <w:rFonts w:ascii="Open Sans" w:hAnsi="Open Sans" w:cs="Open Sans"/>
          <w:sz w:val="20"/>
          <w:szCs w:val="20"/>
        </w:rPr>
        <w:t>, está domiciliada en Suiza y según fuentes externas</w:t>
      </w:r>
      <w:r>
        <w:rPr>
          <w:rStyle w:val="Refdenotaalpie"/>
          <w:rFonts w:ascii="Open Sans" w:hAnsi="Open Sans" w:cs="Open Sans"/>
          <w:sz w:val="20"/>
          <w:szCs w:val="20"/>
        </w:rPr>
        <w:footnoteReference w:id="422"/>
      </w:r>
      <w:r>
        <w:rPr>
          <w:rFonts w:ascii="Open Sans" w:hAnsi="Open Sans" w:cs="Open Sans"/>
          <w:sz w:val="20"/>
          <w:szCs w:val="20"/>
        </w:rPr>
        <w:t xml:space="preserve"> </w:t>
      </w:r>
      <w:r w:rsidRPr="00E26576">
        <w:rPr>
          <w:rFonts w:ascii="Open Sans" w:hAnsi="Open Sans" w:cs="Open Sans"/>
          <w:sz w:val="20"/>
          <w:szCs w:val="20"/>
        </w:rPr>
        <w:t>se dedica al desarrollo de grandes proyectos eólicos en Rumanía</w:t>
      </w:r>
      <w:r>
        <w:rPr>
          <w:rFonts w:ascii="Open Sans" w:hAnsi="Open Sans" w:cs="Open Sans"/>
          <w:sz w:val="20"/>
          <w:szCs w:val="20"/>
        </w:rPr>
        <w:t xml:space="preserve">. </w:t>
      </w:r>
    </w:p>
    <w:p w14:paraId="06CF29A5" w14:textId="77777777" w:rsidR="00B837E7" w:rsidRDefault="00B837E7" w:rsidP="00B837E7">
      <w:pPr>
        <w:jc w:val="both"/>
        <w:rPr>
          <w:rFonts w:ascii="Open Sans" w:hAnsi="Open Sans" w:cs="Open Sans"/>
          <w:sz w:val="20"/>
          <w:szCs w:val="20"/>
        </w:rPr>
      </w:pPr>
    </w:p>
    <w:p w14:paraId="547D400F"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Iberdrola proporciona </w:t>
      </w:r>
      <w:r w:rsidRPr="006917D2">
        <w:rPr>
          <w:rFonts w:ascii="Open Sans" w:hAnsi="Open Sans" w:cs="Open Sans"/>
          <w:sz w:val="20"/>
          <w:szCs w:val="20"/>
        </w:rPr>
        <w:t>dos cifras de empleados: las del perímetro consolidado base (28</w:t>
      </w:r>
      <w:r>
        <w:rPr>
          <w:rFonts w:ascii="Open Sans" w:hAnsi="Open Sans" w:cs="Open Sans"/>
          <w:sz w:val="20"/>
          <w:szCs w:val="20"/>
        </w:rPr>
        <w:t>.</w:t>
      </w:r>
      <w:r w:rsidRPr="006917D2">
        <w:rPr>
          <w:rFonts w:ascii="Open Sans" w:hAnsi="Open Sans" w:cs="Open Sans"/>
          <w:sz w:val="20"/>
          <w:szCs w:val="20"/>
        </w:rPr>
        <w:t>860) y las del perímetro consolidado ampliado (30</w:t>
      </w:r>
      <w:r>
        <w:rPr>
          <w:rFonts w:ascii="Open Sans" w:hAnsi="Open Sans" w:cs="Open Sans"/>
          <w:sz w:val="20"/>
          <w:szCs w:val="20"/>
        </w:rPr>
        <w:t>.</w:t>
      </w:r>
      <w:r w:rsidRPr="006917D2">
        <w:rPr>
          <w:rFonts w:ascii="Open Sans" w:hAnsi="Open Sans" w:cs="Open Sans"/>
          <w:sz w:val="20"/>
          <w:szCs w:val="20"/>
        </w:rPr>
        <w:t>938 empleados). Hay una diferencia de 2</w:t>
      </w:r>
      <w:r>
        <w:rPr>
          <w:rFonts w:ascii="Open Sans" w:hAnsi="Open Sans" w:cs="Open Sans"/>
          <w:sz w:val="20"/>
          <w:szCs w:val="20"/>
        </w:rPr>
        <w:t>.</w:t>
      </w:r>
      <w:r w:rsidRPr="006917D2">
        <w:rPr>
          <w:rFonts w:ascii="Open Sans" w:hAnsi="Open Sans" w:cs="Open Sans"/>
          <w:sz w:val="20"/>
          <w:szCs w:val="20"/>
        </w:rPr>
        <w:t>078 empleados entre ambas. No se indica en qué países trabajan esos 2</w:t>
      </w:r>
      <w:r>
        <w:rPr>
          <w:rFonts w:ascii="Open Sans" w:hAnsi="Open Sans" w:cs="Open Sans"/>
          <w:sz w:val="20"/>
          <w:szCs w:val="20"/>
        </w:rPr>
        <w:t>.</w:t>
      </w:r>
      <w:r w:rsidRPr="006917D2">
        <w:rPr>
          <w:rFonts w:ascii="Open Sans" w:hAnsi="Open Sans" w:cs="Open Sans"/>
          <w:sz w:val="20"/>
          <w:szCs w:val="20"/>
        </w:rPr>
        <w:t>078 empleados. En ningún caso se indica cuál es la cifra de empleados e</w:t>
      </w:r>
      <w:r>
        <w:rPr>
          <w:rFonts w:ascii="Open Sans" w:hAnsi="Open Sans" w:cs="Open Sans"/>
          <w:sz w:val="20"/>
          <w:szCs w:val="20"/>
        </w:rPr>
        <w:t xml:space="preserve">n paraísos o nichos fiscales. </w:t>
      </w:r>
    </w:p>
    <w:p w14:paraId="640F643A" w14:textId="77777777" w:rsidR="00B837E7" w:rsidRDefault="00B837E7" w:rsidP="00B837E7">
      <w:pPr>
        <w:jc w:val="both"/>
        <w:rPr>
          <w:rFonts w:ascii="Open Sans" w:hAnsi="Open Sans" w:cs="Open Sans"/>
          <w:sz w:val="20"/>
          <w:szCs w:val="20"/>
        </w:rPr>
      </w:pPr>
    </w:p>
    <w:p w14:paraId="3D84EAAC" w14:textId="77777777" w:rsidR="00B837E7" w:rsidRPr="0084699D" w:rsidRDefault="00B837E7" w:rsidP="00B837E7">
      <w:pPr>
        <w:jc w:val="both"/>
        <w:rPr>
          <w:rFonts w:ascii="Open Sans" w:hAnsi="Open Sans" w:cs="Open Sans"/>
          <w:sz w:val="20"/>
          <w:szCs w:val="20"/>
        </w:rPr>
      </w:pPr>
      <w:r w:rsidRPr="0084699D">
        <w:rPr>
          <w:rFonts w:ascii="Open Sans" w:hAnsi="Open Sans" w:cs="Open Sans"/>
          <w:sz w:val="20"/>
          <w:szCs w:val="20"/>
        </w:rPr>
        <w:t xml:space="preserve">En líneas generales, no es posible saber cuál es el volumen de la actividad de Iberdrola en paraísos o  nichos fiscales, ya que, salvo magnitudes para algunas operaciones intragrupo, no se proporcionan cifras sobre ingresos, gastos, o cualquier otra magnitud que permita obtener información sobre la dimensión de esa actividad. Por tanto, la información que aporta Iberdrola sobre su actividad en paraísos o nichos fiscales es insuficiente. </w:t>
      </w:r>
    </w:p>
    <w:p w14:paraId="2F2BAE03" w14:textId="77777777" w:rsidR="00B837E7" w:rsidRPr="0084699D" w:rsidRDefault="00B837E7" w:rsidP="00B837E7">
      <w:pPr>
        <w:jc w:val="both"/>
        <w:rPr>
          <w:rFonts w:ascii="Open Sans" w:hAnsi="Open Sans" w:cs="Open Sans"/>
          <w:sz w:val="20"/>
          <w:szCs w:val="20"/>
        </w:rPr>
      </w:pPr>
    </w:p>
    <w:p w14:paraId="39BF87A6" w14:textId="77777777" w:rsidR="00B837E7" w:rsidRDefault="00B837E7" w:rsidP="00B837E7">
      <w:pPr>
        <w:jc w:val="both"/>
        <w:rPr>
          <w:rFonts w:ascii="Open Sans" w:hAnsi="Open Sans" w:cs="Open Sans"/>
          <w:sz w:val="20"/>
          <w:szCs w:val="20"/>
        </w:rPr>
      </w:pPr>
      <w:r w:rsidRPr="0084699D">
        <w:rPr>
          <w:rFonts w:ascii="Open Sans" w:hAnsi="Open Sans" w:cs="Open Sans"/>
          <w:sz w:val="20"/>
          <w:szCs w:val="20"/>
        </w:rPr>
        <w:t>En el Anexo de las Cuentas Anuales Consolidadas figura una lista con las sociedades que pertenecen al grupo Iberdrola, aportando información sobre el país de domicilio, la actividad, el método de consolidación y el porcentaje de participación de Iberdrola en ellas. Esta información permite saber si la participación de Iberdrola en las sociedades del grupo es mayoritaria o no, pero no permite obtener una imagen de la estructura societaria de Iberdrola.</w:t>
      </w:r>
      <w:r>
        <w:rPr>
          <w:rFonts w:ascii="Open Sans" w:hAnsi="Open Sans" w:cs="Open Sans"/>
          <w:sz w:val="20"/>
          <w:szCs w:val="20"/>
        </w:rPr>
        <w:t xml:space="preserve"> La compañía provee un esquema en el que se observa la estructura societaria principal, pero el nivel de detalle es escaso y se limita a </w:t>
      </w:r>
      <w:proofErr w:type="gramStart"/>
      <w:r>
        <w:rPr>
          <w:rFonts w:ascii="Open Sans" w:hAnsi="Open Sans" w:cs="Open Sans"/>
          <w:sz w:val="20"/>
          <w:szCs w:val="20"/>
        </w:rPr>
        <w:t>las sociedades cabecera</w:t>
      </w:r>
      <w:proofErr w:type="gramEnd"/>
      <w:r>
        <w:rPr>
          <w:rFonts w:ascii="Open Sans" w:hAnsi="Open Sans" w:cs="Open Sans"/>
          <w:sz w:val="20"/>
          <w:szCs w:val="20"/>
        </w:rPr>
        <w:t xml:space="preserve"> de negocios. </w:t>
      </w:r>
    </w:p>
    <w:p w14:paraId="03C3CDFD" w14:textId="77777777" w:rsidR="00B837E7" w:rsidRDefault="00B837E7" w:rsidP="00B837E7">
      <w:pPr>
        <w:jc w:val="both"/>
        <w:rPr>
          <w:rFonts w:ascii="Open Sans" w:hAnsi="Open Sans" w:cs="Open Sans"/>
          <w:sz w:val="20"/>
          <w:szCs w:val="20"/>
        </w:rPr>
      </w:pPr>
    </w:p>
    <w:p w14:paraId="09C21EDB" w14:textId="77777777" w:rsidR="00B837E7" w:rsidRDefault="00B837E7" w:rsidP="00B837E7">
      <w:pPr>
        <w:jc w:val="both"/>
        <w:rPr>
          <w:rFonts w:ascii="Open Sans" w:hAnsi="Open Sans" w:cs="Open Sans"/>
          <w:sz w:val="20"/>
          <w:szCs w:val="20"/>
        </w:rPr>
      </w:pPr>
    </w:p>
    <w:p w14:paraId="77267705"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3. </w:t>
      </w:r>
      <w:r w:rsidRPr="00E079F6">
        <w:rPr>
          <w:rFonts w:ascii="Open Sans" w:hAnsi="Open Sans" w:cs="Open Sans"/>
          <w:sz w:val="20"/>
          <w:szCs w:val="20"/>
        </w:rPr>
        <w:t>Contribución fiscal</w:t>
      </w:r>
    </w:p>
    <w:p w14:paraId="19B0F540" w14:textId="77777777" w:rsidR="00B837E7" w:rsidRDefault="00B837E7" w:rsidP="00B837E7">
      <w:pPr>
        <w:jc w:val="both"/>
        <w:rPr>
          <w:rFonts w:ascii="Open Sans" w:hAnsi="Open Sans" w:cs="Open Sans"/>
          <w:sz w:val="20"/>
          <w:szCs w:val="20"/>
        </w:rPr>
      </w:pPr>
    </w:p>
    <w:p w14:paraId="34BD6A73" w14:textId="77777777" w:rsidR="00B837E7" w:rsidRDefault="00B837E7" w:rsidP="00B837E7">
      <w:pPr>
        <w:jc w:val="both"/>
        <w:rPr>
          <w:rFonts w:ascii="Open Sans" w:hAnsi="Open Sans" w:cs="Open Sans"/>
          <w:sz w:val="20"/>
          <w:szCs w:val="20"/>
        </w:rPr>
      </w:pPr>
      <w:r>
        <w:rPr>
          <w:rFonts w:ascii="Open Sans" w:hAnsi="Open Sans" w:cs="Open Sans"/>
          <w:sz w:val="20"/>
          <w:szCs w:val="20"/>
        </w:rPr>
        <w:t>En el anexo del I</w:t>
      </w:r>
      <w:r w:rsidRPr="00086D7F">
        <w:rPr>
          <w:rFonts w:ascii="Open Sans" w:hAnsi="Open Sans" w:cs="Open Sans"/>
          <w:sz w:val="20"/>
          <w:szCs w:val="20"/>
        </w:rPr>
        <w:t>nforme de sostenibilidad se indica la contribución fiscal que se ha hecho en cada uno de los principales país</w:t>
      </w:r>
      <w:r>
        <w:rPr>
          <w:rFonts w:ascii="Open Sans" w:hAnsi="Open Sans" w:cs="Open Sans"/>
          <w:sz w:val="20"/>
          <w:szCs w:val="20"/>
        </w:rPr>
        <w:t>es en los que opera la compañía</w:t>
      </w:r>
      <w:r w:rsidRPr="00086D7F">
        <w:rPr>
          <w:rFonts w:ascii="Open Sans" w:hAnsi="Open Sans" w:cs="Open Sans"/>
          <w:sz w:val="20"/>
          <w:szCs w:val="20"/>
        </w:rPr>
        <w:t>. En esa contribución no se especifica qué parte corresponde al impuesto de sociedades.</w:t>
      </w:r>
      <w:r>
        <w:rPr>
          <w:rFonts w:ascii="Open Sans" w:hAnsi="Open Sans" w:cs="Open Sans"/>
          <w:sz w:val="20"/>
          <w:szCs w:val="20"/>
        </w:rPr>
        <w:t xml:space="preserve"> Respecto a la tributación que se hace en cada uno de los países, en las Cuentas anuales consolidadas se indica explícitamente que </w:t>
      </w:r>
      <w:r w:rsidRPr="00086D7F">
        <w:rPr>
          <w:rFonts w:ascii="Open Sans" w:hAnsi="Open Sans" w:cs="Open Sans"/>
          <w:sz w:val="20"/>
          <w:szCs w:val="20"/>
        </w:rPr>
        <w:t>"</w:t>
      </w:r>
      <w:r w:rsidRPr="00086D7F">
        <w:rPr>
          <w:rFonts w:ascii="Open Sans" w:hAnsi="Open Sans" w:cs="Open Sans"/>
          <w:i/>
          <w:sz w:val="20"/>
          <w:szCs w:val="20"/>
        </w:rPr>
        <w:t>Las distintas sociedades extranjeras del Grupo Iberdrola calculan el gasto por Impuesto sobre Sociedades, así como las cuotas resultantes de los diferentes impuestos que les son de aplicación, de conformidad con sus correspondientes legislaciones, y de acuerdo con los tipos impositivos vigentes en cada país</w:t>
      </w:r>
      <w:r w:rsidRPr="00086D7F">
        <w:rPr>
          <w:rFonts w:ascii="Open Sans" w:hAnsi="Open Sans" w:cs="Open Sans"/>
          <w:sz w:val="20"/>
          <w:szCs w:val="20"/>
        </w:rPr>
        <w:t>"</w:t>
      </w:r>
      <w:r>
        <w:rPr>
          <w:rStyle w:val="Refdenotaalpie"/>
          <w:rFonts w:ascii="Open Sans" w:hAnsi="Open Sans" w:cs="Open Sans"/>
          <w:sz w:val="20"/>
          <w:szCs w:val="20"/>
        </w:rPr>
        <w:footnoteReference w:id="423"/>
      </w:r>
      <w:r w:rsidRPr="00086D7F">
        <w:rPr>
          <w:rFonts w:ascii="Open Sans" w:hAnsi="Open Sans" w:cs="Open Sans"/>
          <w:sz w:val="20"/>
          <w:szCs w:val="20"/>
        </w:rPr>
        <w:t xml:space="preserve">. </w:t>
      </w:r>
      <w:r w:rsidRPr="0084699D">
        <w:rPr>
          <w:rFonts w:ascii="Open Sans" w:hAnsi="Open Sans" w:cs="Open Sans"/>
          <w:sz w:val="20"/>
          <w:szCs w:val="20"/>
        </w:rPr>
        <w:t>En la información consultada no figura cuál es la tasa impositiva, tanto nominal como efectiva, que soporta Iberdrola en cada uno de los países en los que operan sus sociedades. Sí que se proporciona el total de impuestos pagadas por países, pero sin desagregar importe correspondiente a la</w:t>
      </w:r>
      <w:r>
        <w:rPr>
          <w:rFonts w:ascii="Open Sans" w:hAnsi="Open Sans" w:cs="Open Sans"/>
          <w:sz w:val="20"/>
          <w:szCs w:val="20"/>
        </w:rPr>
        <w:t>s sociedades con</w:t>
      </w:r>
      <w:r w:rsidRPr="0084699D">
        <w:rPr>
          <w:rFonts w:ascii="Open Sans" w:hAnsi="Open Sans" w:cs="Open Sans"/>
          <w:sz w:val="20"/>
          <w:szCs w:val="20"/>
        </w:rPr>
        <w:t xml:space="preserve"> actividad en paraísos</w:t>
      </w:r>
      <w:r>
        <w:rPr>
          <w:rFonts w:ascii="Open Sans" w:hAnsi="Open Sans" w:cs="Open Sans"/>
          <w:sz w:val="20"/>
          <w:szCs w:val="20"/>
        </w:rPr>
        <w:t xml:space="preserve"> o nichos</w:t>
      </w:r>
      <w:r w:rsidRPr="0084699D">
        <w:rPr>
          <w:rFonts w:ascii="Open Sans" w:hAnsi="Open Sans" w:cs="Open Sans"/>
          <w:sz w:val="20"/>
          <w:szCs w:val="20"/>
        </w:rPr>
        <w:t xml:space="preserve"> fiscales.</w:t>
      </w:r>
      <w:r>
        <w:rPr>
          <w:rFonts w:ascii="Open Sans" w:hAnsi="Open Sans" w:cs="Open Sans"/>
          <w:sz w:val="20"/>
          <w:szCs w:val="20"/>
        </w:rPr>
        <w:t xml:space="preserve">  </w:t>
      </w:r>
    </w:p>
    <w:p w14:paraId="61A97B38" w14:textId="77777777" w:rsidR="00B837E7" w:rsidRDefault="00B837E7" w:rsidP="00B837E7">
      <w:pPr>
        <w:jc w:val="both"/>
        <w:rPr>
          <w:rFonts w:ascii="Open Sans" w:hAnsi="Open Sans" w:cs="Open Sans"/>
          <w:sz w:val="20"/>
          <w:szCs w:val="20"/>
        </w:rPr>
      </w:pPr>
    </w:p>
    <w:p w14:paraId="3DE8EB16" w14:textId="77777777" w:rsidR="00B837E7" w:rsidRDefault="00B837E7" w:rsidP="00B837E7">
      <w:pPr>
        <w:jc w:val="both"/>
        <w:rPr>
          <w:rFonts w:ascii="Open Sans" w:hAnsi="Open Sans" w:cs="Open Sans"/>
          <w:sz w:val="20"/>
          <w:szCs w:val="20"/>
        </w:rPr>
      </w:pPr>
      <w:r>
        <w:rPr>
          <w:rFonts w:ascii="Open Sans" w:hAnsi="Open Sans" w:cs="Open Sans"/>
          <w:sz w:val="20"/>
          <w:szCs w:val="20"/>
        </w:rPr>
        <w:t>En lo que respecta a subvenciones, el Informe de sostenibilidad contiene una t</w:t>
      </w:r>
      <w:r w:rsidRPr="004C1003">
        <w:rPr>
          <w:rFonts w:ascii="Open Sans" w:hAnsi="Open Sans" w:cs="Open Sans"/>
          <w:sz w:val="20"/>
          <w:szCs w:val="20"/>
        </w:rPr>
        <w:t>abla que informa del importe de las subvenciones concedidas por país, pero sólo</w:t>
      </w:r>
      <w:r>
        <w:rPr>
          <w:rFonts w:ascii="Open Sans" w:hAnsi="Open Sans" w:cs="Open Sans"/>
          <w:sz w:val="20"/>
          <w:szCs w:val="20"/>
        </w:rPr>
        <w:t xml:space="preserve"> desglosa</w:t>
      </w:r>
      <w:r w:rsidRPr="004C1003">
        <w:rPr>
          <w:rFonts w:ascii="Open Sans" w:hAnsi="Open Sans" w:cs="Open Sans"/>
          <w:sz w:val="20"/>
          <w:szCs w:val="20"/>
        </w:rPr>
        <w:t xml:space="preserve"> para los principales países en los que la </w:t>
      </w:r>
      <w:r>
        <w:rPr>
          <w:rFonts w:ascii="Open Sans" w:hAnsi="Open Sans" w:cs="Open Sans"/>
          <w:sz w:val="20"/>
          <w:szCs w:val="20"/>
        </w:rPr>
        <w:t>compañía tiene actividad, englobando el resto de países en “otros”. Según los datos aportados ha recibido 1 millón de euros en España y 15 millones de euros en EEUU de subvenciones de capital”</w:t>
      </w:r>
      <w:r w:rsidRPr="004C1003">
        <w:rPr>
          <w:rFonts w:ascii="Open Sans" w:hAnsi="Open Sans" w:cs="Open Sans"/>
          <w:sz w:val="20"/>
          <w:szCs w:val="20"/>
        </w:rPr>
        <w:t xml:space="preserve">.  </w:t>
      </w:r>
      <w:r>
        <w:rPr>
          <w:rFonts w:ascii="Open Sans" w:hAnsi="Open Sans" w:cs="Open Sans"/>
          <w:sz w:val="20"/>
          <w:szCs w:val="20"/>
        </w:rPr>
        <w:t xml:space="preserve">No se aportan datos sobre </w:t>
      </w:r>
      <w:r w:rsidRPr="00493546">
        <w:rPr>
          <w:rFonts w:ascii="Open Sans" w:hAnsi="Open Sans" w:cs="Open Sans"/>
          <w:sz w:val="20"/>
          <w:szCs w:val="20"/>
        </w:rPr>
        <w:t>el organismo que las concede</w:t>
      </w:r>
      <w:r>
        <w:rPr>
          <w:rFonts w:ascii="Open Sans" w:hAnsi="Open Sans" w:cs="Open Sans"/>
          <w:sz w:val="20"/>
          <w:szCs w:val="20"/>
        </w:rPr>
        <w:t xml:space="preserve"> las subvenciones, la actividad para la que se concedieron o su duración. Las subvenciones a la explotación en la cuenta de pérdidas y ganancias consolidadas alcanzan los 16 millones de euros. </w:t>
      </w:r>
      <w:r w:rsidRPr="0084699D">
        <w:rPr>
          <w:rFonts w:ascii="Open Sans" w:hAnsi="Open Sans" w:cs="Open Sans"/>
          <w:sz w:val="20"/>
          <w:szCs w:val="20"/>
        </w:rPr>
        <w:t>Dado el apoyo que reciben las energías renovables por parte de la Administración Pública en algunos países, se echa en falta información más concreta sobre la fiscalidad de las subvenciones.</w:t>
      </w:r>
      <w:r>
        <w:rPr>
          <w:rFonts w:ascii="Open Sans" w:hAnsi="Open Sans" w:cs="Open Sans"/>
          <w:sz w:val="20"/>
          <w:szCs w:val="20"/>
        </w:rPr>
        <w:t xml:space="preserve"> </w:t>
      </w:r>
    </w:p>
    <w:p w14:paraId="2B8F795E" w14:textId="77777777" w:rsidR="00B837E7" w:rsidRDefault="00B837E7" w:rsidP="00B837E7">
      <w:pPr>
        <w:jc w:val="both"/>
        <w:rPr>
          <w:rFonts w:ascii="Open Sans" w:hAnsi="Open Sans" w:cs="Open Sans"/>
          <w:sz w:val="20"/>
          <w:szCs w:val="20"/>
        </w:rPr>
      </w:pPr>
    </w:p>
    <w:p w14:paraId="3A2FE4D7" w14:textId="77777777" w:rsidR="00B837E7" w:rsidRDefault="00B837E7" w:rsidP="00B837E7">
      <w:pPr>
        <w:jc w:val="both"/>
        <w:rPr>
          <w:rFonts w:ascii="Open Sans" w:hAnsi="Open Sans" w:cs="Open Sans"/>
          <w:sz w:val="20"/>
          <w:szCs w:val="20"/>
        </w:rPr>
      </w:pPr>
      <w:r w:rsidRPr="00601BD7">
        <w:rPr>
          <w:rFonts w:ascii="Open Sans" w:hAnsi="Open Sans" w:cs="Open Sans"/>
          <w:sz w:val="20"/>
          <w:szCs w:val="20"/>
        </w:rPr>
        <w:t>La cifra de deducciones se proporciona de forma conjunta a la de créditos fiscales. A lo largo de la Cuentas anuales se alude puntualmente a</w:t>
      </w:r>
      <w:r>
        <w:rPr>
          <w:rFonts w:ascii="Open Sans" w:hAnsi="Open Sans" w:cs="Open Sans"/>
          <w:sz w:val="20"/>
          <w:szCs w:val="20"/>
        </w:rPr>
        <w:t xml:space="preserve"> la existencia de deducciones, pero no</w:t>
      </w:r>
      <w:r w:rsidRPr="00601BD7">
        <w:rPr>
          <w:rFonts w:ascii="Open Sans" w:hAnsi="Open Sans" w:cs="Open Sans"/>
          <w:sz w:val="20"/>
          <w:szCs w:val="20"/>
        </w:rPr>
        <w:t xml:space="preserve"> se proporciona una visión integrada de las deducciones que permita saber a cuánto ascienden, por qué se aplican o dónde</w:t>
      </w:r>
      <w:r>
        <w:rPr>
          <w:rFonts w:ascii="Open Sans" w:hAnsi="Open Sans" w:cs="Open Sans"/>
          <w:sz w:val="20"/>
          <w:szCs w:val="20"/>
        </w:rPr>
        <w:t>. Así mismo, el Informe de sostenibilidad incluye una t</w:t>
      </w:r>
      <w:r w:rsidRPr="00601BD7">
        <w:rPr>
          <w:rFonts w:ascii="Open Sans" w:hAnsi="Open Sans" w:cs="Open Sans"/>
          <w:sz w:val="20"/>
          <w:szCs w:val="20"/>
        </w:rPr>
        <w:t xml:space="preserve">abla en la que informa del importe de los créditos fiscales a la inversión concedidos por país, pero sólo para los principales países en los que la compañía </w:t>
      </w:r>
      <w:r>
        <w:rPr>
          <w:rFonts w:ascii="Open Sans" w:hAnsi="Open Sans" w:cs="Open Sans"/>
          <w:sz w:val="20"/>
          <w:szCs w:val="20"/>
        </w:rPr>
        <w:t>tiene actividad</w:t>
      </w:r>
      <w:r w:rsidRPr="00601BD7">
        <w:rPr>
          <w:rFonts w:ascii="Open Sans" w:hAnsi="Open Sans" w:cs="Open Sans"/>
          <w:sz w:val="20"/>
          <w:szCs w:val="20"/>
        </w:rPr>
        <w:t xml:space="preserve">. En </w:t>
      </w:r>
      <w:r>
        <w:rPr>
          <w:rFonts w:ascii="Open Sans" w:hAnsi="Open Sans" w:cs="Open Sans"/>
          <w:sz w:val="20"/>
          <w:szCs w:val="20"/>
        </w:rPr>
        <w:t>2015 no se han recibido créditos fiscales a la inversión</w:t>
      </w:r>
      <w:r w:rsidRPr="00601BD7">
        <w:rPr>
          <w:rFonts w:ascii="Open Sans" w:hAnsi="Open Sans" w:cs="Open Sans"/>
          <w:sz w:val="20"/>
          <w:szCs w:val="20"/>
        </w:rPr>
        <w:t xml:space="preserve">. </w:t>
      </w:r>
    </w:p>
    <w:p w14:paraId="5A6ACFD7" w14:textId="77777777" w:rsidR="00B837E7" w:rsidRDefault="00B837E7" w:rsidP="00B837E7">
      <w:pPr>
        <w:jc w:val="both"/>
        <w:rPr>
          <w:rFonts w:ascii="Open Sans" w:hAnsi="Open Sans" w:cs="Open Sans"/>
          <w:sz w:val="20"/>
          <w:szCs w:val="20"/>
        </w:rPr>
      </w:pPr>
    </w:p>
    <w:p w14:paraId="4EB44CBD" w14:textId="77777777" w:rsidR="00B837E7" w:rsidRDefault="00B837E7" w:rsidP="00B837E7">
      <w:pPr>
        <w:jc w:val="both"/>
        <w:rPr>
          <w:rFonts w:ascii="Open Sans" w:hAnsi="Open Sans" w:cs="Open Sans"/>
          <w:sz w:val="20"/>
          <w:szCs w:val="20"/>
        </w:rPr>
      </w:pPr>
      <w:r>
        <w:rPr>
          <w:rFonts w:ascii="Open Sans" w:hAnsi="Open Sans" w:cs="Open Sans"/>
          <w:sz w:val="20"/>
          <w:szCs w:val="20"/>
        </w:rPr>
        <w:t>También se informa que el c</w:t>
      </w:r>
      <w:r w:rsidRPr="00601BD7">
        <w:rPr>
          <w:rFonts w:ascii="Open Sans" w:hAnsi="Open Sans" w:cs="Open Sans"/>
          <w:sz w:val="20"/>
          <w:szCs w:val="20"/>
        </w:rPr>
        <w:t>rédito fiscal por</w:t>
      </w:r>
      <w:r>
        <w:rPr>
          <w:rFonts w:ascii="Open Sans" w:hAnsi="Open Sans" w:cs="Open Sans"/>
          <w:sz w:val="20"/>
          <w:szCs w:val="20"/>
        </w:rPr>
        <w:t xml:space="preserve"> pérdidas y deducciones aumenta</w:t>
      </w:r>
      <w:r w:rsidRPr="00601BD7">
        <w:rPr>
          <w:rFonts w:ascii="Open Sans" w:hAnsi="Open Sans" w:cs="Open Sans"/>
          <w:sz w:val="20"/>
          <w:szCs w:val="20"/>
        </w:rPr>
        <w:t xml:space="preserve"> del 2014 al 2015, pasan</w:t>
      </w:r>
      <w:r>
        <w:rPr>
          <w:rFonts w:ascii="Open Sans" w:hAnsi="Open Sans" w:cs="Open Sans"/>
          <w:sz w:val="20"/>
          <w:szCs w:val="20"/>
        </w:rPr>
        <w:t>do</w:t>
      </w:r>
      <w:r w:rsidRPr="00601BD7">
        <w:rPr>
          <w:rFonts w:ascii="Open Sans" w:hAnsi="Open Sans" w:cs="Open Sans"/>
          <w:sz w:val="20"/>
          <w:szCs w:val="20"/>
        </w:rPr>
        <w:t xml:space="preserve"> de 1.460.229.000€ a 2.041.321.000€. </w:t>
      </w:r>
      <w:r>
        <w:rPr>
          <w:rFonts w:ascii="Open Sans" w:hAnsi="Open Sans" w:cs="Open Sans"/>
          <w:sz w:val="20"/>
          <w:szCs w:val="20"/>
        </w:rPr>
        <w:t xml:space="preserve">La empresa no informa a qué es debido este aumento de los créditos fiscales y que suelen estar relacionados con pérdidas fiscales y/o con créditos a la producción con energía renovable. </w:t>
      </w:r>
    </w:p>
    <w:p w14:paraId="75F0BC22" w14:textId="77777777" w:rsidR="00B837E7" w:rsidRDefault="00B837E7" w:rsidP="00B837E7">
      <w:pPr>
        <w:jc w:val="both"/>
        <w:rPr>
          <w:rFonts w:ascii="Open Sans" w:hAnsi="Open Sans" w:cs="Open Sans"/>
          <w:sz w:val="20"/>
          <w:szCs w:val="20"/>
        </w:rPr>
      </w:pPr>
    </w:p>
    <w:p w14:paraId="2F6E5D83"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La información sobre exenciones fiscales es prácticamente nula. </w:t>
      </w:r>
    </w:p>
    <w:p w14:paraId="3806397D" w14:textId="77777777" w:rsidR="00B837E7" w:rsidRDefault="00B837E7" w:rsidP="00B837E7">
      <w:pPr>
        <w:jc w:val="both"/>
        <w:rPr>
          <w:rFonts w:ascii="Open Sans" w:hAnsi="Open Sans" w:cs="Open Sans"/>
          <w:sz w:val="20"/>
          <w:szCs w:val="20"/>
        </w:rPr>
      </w:pPr>
    </w:p>
    <w:p w14:paraId="61D85483" w14:textId="77777777" w:rsidR="00B837E7" w:rsidRDefault="00B837E7" w:rsidP="00B837E7">
      <w:pPr>
        <w:jc w:val="both"/>
        <w:rPr>
          <w:rFonts w:ascii="Open Sans" w:hAnsi="Open Sans" w:cs="Open Sans"/>
          <w:sz w:val="20"/>
          <w:szCs w:val="20"/>
        </w:rPr>
      </w:pPr>
    </w:p>
    <w:p w14:paraId="432F1934" w14:textId="77777777" w:rsidR="00B837E7" w:rsidRDefault="00B837E7" w:rsidP="00B837E7">
      <w:pPr>
        <w:jc w:val="both"/>
        <w:rPr>
          <w:rFonts w:ascii="Open Sans" w:hAnsi="Open Sans" w:cs="Open Sans"/>
          <w:sz w:val="20"/>
          <w:szCs w:val="20"/>
        </w:rPr>
      </w:pPr>
      <w:r>
        <w:rPr>
          <w:rFonts w:ascii="Open Sans" w:hAnsi="Open Sans" w:cs="Open Sans"/>
          <w:sz w:val="20"/>
          <w:szCs w:val="20"/>
        </w:rPr>
        <w:t>4. Relación con la Administración Pública</w:t>
      </w:r>
    </w:p>
    <w:p w14:paraId="00E6C426" w14:textId="77777777" w:rsidR="00B837E7" w:rsidRDefault="00B837E7" w:rsidP="00B837E7">
      <w:pPr>
        <w:jc w:val="both"/>
        <w:rPr>
          <w:rFonts w:ascii="Open Sans" w:hAnsi="Open Sans" w:cs="Open Sans"/>
          <w:sz w:val="20"/>
          <w:szCs w:val="20"/>
        </w:rPr>
      </w:pPr>
    </w:p>
    <w:p w14:paraId="2FFF9AA1"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Iberdrola suscribe el Código de Buenas Prácticas de la Agencia Tributaria. </w:t>
      </w:r>
      <w:r w:rsidRPr="00AA74B7">
        <w:rPr>
          <w:rFonts w:ascii="Open Sans" w:hAnsi="Open Sans" w:cs="Open Sans"/>
          <w:sz w:val="20"/>
          <w:szCs w:val="20"/>
        </w:rPr>
        <w:t xml:space="preserve">La política fiscal corporativa </w:t>
      </w:r>
      <w:r>
        <w:rPr>
          <w:rFonts w:ascii="Open Sans" w:hAnsi="Open Sans" w:cs="Open Sans"/>
          <w:sz w:val="20"/>
          <w:szCs w:val="20"/>
        </w:rPr>
        <w:t>de la compañía alude explícitamente a la</w:t>
      </w:r>
      <w:r w:rsidRPr="00AA74B7">
        <w:rPr>
          <w:rFonts w:ascii="Open Sans" w:hAnsi="Open Sans" w:cs="Open Sans"/>
          <w:sz w:val="20"/>
          <w:szCs w:val="20"/>
        </w:rPr>
        <w:t xml:space="preserve"> colaboración</w:t>
      </w:r>
      <w:r>
        <w:rPr>
          <w:rFonts w:ascii="Open Sans" w:hAnsi="Open Sans" w:cs="Open Sans"/>
          <w:sz w:val="20"/>
          <w:szCs w:val="20"/>
        </w:rPr>
        <w:t xml:space="preserve"> con la Agencia Tributaria, no a la cooperación con ésta</w:t>
      </w:r>
      <w:r w:rsidRPr="00AA74B7">
        <w:rPr>
          <w:rFonts w:ascii="Open Sans" w:hAnsi="Open Sans" w:cs="Open Sans"/>
          <w:sz w:val="20"/>
          <w:szCs w:val="20"/>
        </w:rPr>
        <w:t xml:space="preserve">. </w:t>
      </w:r>
      <w:r>
        <w:rPr>
          <w:rFonts w:ascii="Open Sans" w:hAnsi="Open Sans" w:cs="Open Sans"/>
          <w:sz w:val="20"/>
          <w:szCs w:val="20"/>
        </w:rPr>
        <w:t xml:space="preserve">Más allá de la adhesión al Código de Buenas Prácticas de la Agencia Tributaria no se ha encontrado información sobre acciones colaborativas en los diferentes países donde la empresa está presente, temas abordados y reuniones mantenidas. </w:t>
      </w:r>
    </w:p>
    <w:p w14:paraId="7BDBEE80" w14:textId="77777777" w:rsidR="00B837E7" w:rsidRDefault="00B837E7" w:rsidP="00B837E7">
      <w:pPr>
        <w:jc w:val="both"/>
        <w:rPr>
          <w:rFonts w:ascii="Open Sans" w:hAnsi="Open Sans" w:cs="Open Sans"/>
          <w:sz w:val="20"/>
          <w:szCs w:val="20"/>
        </w:rPr>
      </w:pPr>
    </w:p>
    <w:p w14:paraId="3F598BF0" w14:textId="77777777" w:rsidR="00B837E7" w:rsidRDefault="00B837E7" w:rsidP="00B837E7">
      <w:pPr>
        <w:jc w:val="both"/>
        <w:rPr>
          <w:rFonts w:ascii="Open Sans" w:hAnsi="Open Sans" w:cs="Open Sans"/>
          <w:sz w:val="20"/>
          <w:szCs w:val="20"/>
        </w:rPr>
      </w:pPr>
      <w:r>
        <w:rPr>
          <w:rFonts w:ascii="Open Sans" w:hAnsi="Open Sans" w:cs="Open Sans"/>
          <w:sz w:val="20"/>
          <w:szCs w:val="20"/>
        </w:rPr>
        <w:t xml:space="preserve">Iberdrola indica que se encuentra inscrita en el registro de transparencia de la Unión Europea para actividades de lobby. También indica que en EEUU </w:t>
      </w:r>
      <w:r w:rsidRPr="001A7311">
        <w:rPr>
          <w:rFonts w:ascii="Open Sans" w:hAnsi="Open Sans" w:cs="Open Sans"/>
          <w:sz w:val="20"/>
          <w:szCs w:val="20"/>
        </w:rPr>
        <w:t>ha realizado contribuciones  económicas  indicadas  en  el  registro  norteamericano</w:t>
      </w:r>
      <w:r>
        <w:rPr>
          <w:rFonts w:ascii="Open Sans" w:hAnsi="Open Sans" w:cs="Open Sans"/>
          <w:sz w:val="20"/>
          <w:szCs w:val="20"/>
        </w:rPr>
        <w:t>. Para ambos aporta los links donde se puede consultar la información. Más allá de esta información, Iberdrola no explica cuáles son sus principales ámbitos de actividad de lobby tanto directa como a través de asociaciones a las que pertenezca o si entre estas actividades también se encuentran las relacionadas con ámbitos fiscales. Esta ausencia de información contrasta con noticias que apuntan a Iberdrola como una de las empresas del IBEX35 que más lobby hace</w:t>
      </w:r>
      <w:r>
        <w:rPr>
          <w:rStyle w:val="Refdenotaalpie"/>
          <w:rFonts w:ascii="Open Sans" w:hAnsi="Open Sans" w:cs="Open Sans"/>
          <w:sz w:val="20"/>
          <w:szCs w:val="20"/>
        </w:rPr>
        <w:footnoteReference w:id="424"/>
      </w:r>
      <w:r>
        <w:rPr>
          <w:rFonts w:ascii="Open Sans" w:hAnsi="Open Sans" w:cs="Open Sans"/>
          <w:sz w:val="20"/>
          <w:szCs w:val="20"/>
        </w:rPr>
        <w:t xml:space="preserve">  </w:t>
      </w:r>
      <w:r>
        <w:rPr>
          <w:rStyle w:val="Refdenotaalpie"/>
          <w:rFonts w:ascii="Open Sans" w:hAnsi="Open Sans" w:cs="Open Sans"/>
          <w:sz w:val="20"/>
          <w:szCs w:val="20"/>
        </w:rPr>
        <w:footnoteReference w:id="425"/>
      </w:r>
      <w:r>
        <w:rPr>
          <w:rFonts w:ascii="Open Sans" w:hAnsi="Open Sans" w:cs="Open Sans"/>
          <w:sz w:val="20"/>
          <w:szCs w:val="20"/>
        </w:rPr>
        <w:t>. Algunas de estas actividades de lobby pueden haber tenido según información consultada con un claro propósito fiscal</w:t>
      </w:r>
      <w:r>
        <w:rPr>
          <w:rStyle w:val="Refdenotaalpie"/>
          <w:rFonts w:ascii="Open Sans" w:hAnsi="Open Sans" w:cs="Open Sans"/>
          <w:sz w:val="20"/>
          <w:szCs w:val="20"/>
        </w:rPr>
        <w:footnoteReference w:id="426"/>
      </w:r>
      <w:r>
        <w:rPr>
          <w:rFonts w:ascii="Open Sans" w:hAnsi="Open Sans" w:cs="Open Sans"/>
          <w:sz w:val="20"/>
          <w:szCs w:val="20"/>
        </w:rPr>
        <w:t xml:space="preserve">.  </w:t>
      </w:r>
    </w:p>
    <w:p w14:paraId="695A59C4" w14:textId="77777777" w:rsidR="00B837E7" w:rsidRDefault="00B837E7" w:rsidP="00B837E7">
      <w:pPr>
        <w:jc w:val="both"/>
        <w:rPr>
          <w:rFonts w:ascii="Open Sans" w:hAnsi="Open Sans" w:cs="Open Sans"/>
          <w:sz w:val="20"/>
          <w:szCs w:val="20"/>
        </w:rPr>
      </w:pPr>
    </w:p>
    <w:p w14:paraId="4A329D67" w14:textId="77777777" w:rsidR="00B837E7" w:rsidRDefault="00B837E7" w:rsidP="00B837E7">
      <w:pPr>
        <w:jc w:val="both"/>
        <w:rPr>
          <w:rFonts w:ascii="Open Sans" w:hAnsi="Open Sans" w:cs="Open Sans"/>
          <w:sz w:val="20"/>
          <w:szCs w:val="20"/>
        </w:rPr>
      </w:pPr>
      <w:r>
        <w:rPr>
          <w:rFonts w:ascii="Open Sans" w:hAnsi="Open Sans" w:cs="Open Sans"/>
          <w:sz w:val="20"/>
          <w:szCs w:val="20"/>
        </w:rPr>
        <w:t>En la documentación consultada se observa información que apunta a la existencia de contingencias fiscales. Concretamente, la v</w:t>
      </w:r>
      <w:r w:rsidRPr="00293542">
        <w:rPr>
          <w:rFonts w:ascii="Open Sans" w:hAnsi="Open Sans" w:cs="Open Sans"/>
          <w:sz w:val="20"/>
          <w:szCs w:val="20"/>
        </w:rPr>
        <w:t>ariación neta provisiones para litigios,</w:t>
      </w:r>
      <w:r>
        <w:rPr>
          <w:rFonts w:ascii="Open Sans" w:hAnsi="Open Sans" w:cs="Open Sans"/>
          <w:sz w:val="20"/>
          <w:szCs w:val="20"/>
        </w:rPr>
        <w:t xml:space="preserve"> </w:t>
      </w:r>
      <w:r w:rsidRPr="00293542">
        <w:rPr>
          <w:rFonts w:ascii="Open Sans" w:hAnsi="Open Sans" w:cs="Open Sans"/>
          <w:sz w:val="20"/>
          <w:szCs w:val="20"/>
        </w:rPr>
        <w:t>indemnizaciones y similares y otras provisiones</w:t>
      </w:r>
      <w:r>
        <w:rPr>
          <w:rFonts w:ascii="Open Sans" w:hAnsi="Open Sans" w:cs="Open Sans"/>
          <w:sz w:val="20"/>
          <w:szCs w:val="20"/>
        </w:rPr>
        <w:t xml:space="preserve"> se debe a la existencia de contingencias fiscales, indicándose que "</w:t>
      </w:r>
      <w:r w:rsidRPr="00293542">
        <w:rPr>
          <w:rFonts w:ascii="Open Sans" w:hAnsi="Open Sans" w:cs="Open Sans"/>
          <w:i/>
          <w:sz w:val="20"/>
          <w:szCs w:val="20"/>
        </w:rPr>
        <w:t>e</w:t>
      </w:r>
      <w:r w:rsidRPr="001629BE">
        <w:rPr>
          <w:rFonts w:ascii="Open Sans" w:hAnsi="Open Sans" w:cs="Open Sans"/>
          <w:sz w:val="20"/>
          <w:szCs w:val="20"/>
        </w:rPr>
        <w:t xml:space="preserve">l </w:t>
      </w:r>
      <w:r w:rsidRPr="005202D3">
        <w:rPr>
          <w:rFonts w:ascii="Open Sans" w:hAnsi="Open Sans" w:cs="Open Sans"/>
          <w:i/>
          <w:sz w:val="20"/>
          <w:szCs w:val="20"/>
        </w:rPr>
        <w:t>importe registrado por este concepto en el ejercicio 2015 es debido, principalmente, a las reestimaciones realizadas por el Grupo IBERDROLA de la provisión necesaria para hacer frente al riesgo fiscal derivado de varias contingencias, tras las sentencias favorables recibidas en este periodo</w:t>
      </w:r>
      <w:r w:rsidRPr="001629BE">
        <w:rPr>
          <w:rFonts w:ascii="Open Sans" w:hAnsi="Open Sans" w:cs="Open Sans"/>
          <w:sz w:val="20"/>
          <w:szCs w:val="20"/>
        </w:rPr>
        <w:t>"</w:t>
      </w:r>
      <w:r>
        <w:rPr>
          <w:rStyle w:val="Refdenotaalpie"/>
          <w:rFonts w:ascii="Open Sans" w:hAnsi="Open Sans" w:cs="Open Sans"/>
          <w:sz w:val="20"/>
          <w:szCs w:val="20"/>
        </w:rPr>
        <w:footnoteReference w:id="427"/>
      </w:r>
      <w:r w:rsidRPr="001629BE">
        <w:rPr>
          <w:rFonts w:ascii="Open Sans" w:hAnsi="Open Sans" w:cs="Open Sans"/>
          <w:sz w:val="20"/>
          <w:szCs w:val="20"/>
        </w:rPr>
        <w:t xml:space="preserve">. </w:t>
      </w:r>
      <w:r>
        <w:rPr>
          <w:rFonts w:ascii="Open Sans" w:hAnsi="Open Sans" w:cs="Open Sans"/>
          <w:sz w:val="20"/>
          <w:szCs w:val="20"/>
        </w:rPr>
        <w:t xml:space="preserve">En las cuentas anuales consolidadas Iberdrola aporta información amplia sobre 6 </w:t>
      </w:r>
      <w:r w:rsidRPr="001C4CBD">
        <w:rPr>
          <w:rFonts w:ascii="Open Sans" w:hAnsi="Open Sans" w:cs="Open Sans"/>
          <w:sz w:val="20"/>
          <w:szCs w:val="20"/>
        </w:rPr>
        <w:t>proce</w:t>
      </w:r>
      <w:r>
        <w:rPr>
          <w:rFonts w:ascii="Open Sans" w:hAnsi="Open Sans" w:cs="Open Sans"/>
          <w:sz w:val="20"/>
          <w:szCs w:val="20"/>
        </w:rPr>
        <w:t xml:space="preserve">dimientos judiciales en materia fiscal, </w:t>
      </w:r>
      <w:r w:rsidRPr="001629BE">
        <w:rPr>
          <w:rFonts w:ascii="Open Sans" w:hAnsi="Open Sans" w:cs="Open Sans"/>
          <w:sz w:val="20"/>
          <w:szCs w:val="20"/>
        </w:rPr>
        <w:t xml:space="preserve">todo ellos en España. </w:t>
      </w:r>
      <w:r>
        <w:rPr>
          <w:rFonts w:ascii="Open Sans" w:hAnsi="Open Sans" w:cs="Open Sans"/>
          <w:sz w:val="20"/>
          <w:szCs w:val="20"/>
        </w:rPr>
        <w:t xml:space="preserve"> En relación a litigios por motivos fiscales fuera de España, la información se encuentra más dispersa. Se menciona en Brasil r</w:t>
      </w:r>
      <w:r w:rsidRPr="00F41CCA">
        <w:rPr>
          <w:rFonts w:ascii="Open Sans" w:hAnsi="Open Sans" w:cs="Open Sans"/>
          <w:sz w:val="20"/>
          <w:szCs w:val="20"/>
        </w:rPr>
        <w:t>eclamaciones laborales, civiles y fiscales interpuestas en Brasil a ELEKTRO y a diversas empresas del Grupo NEOENERGIA.</w:t>
      </w:r>
      <w:r w:rsidRPr="001629BE" w:rsidDel="001C4CBD">
        <w:rPr>
          <w:rFonts w:ascii="Open Sans" w:hAnsi="Open Sans" w:cs="Open Sans"/>
          <w:sz w:val="20"/>
          <w:szCs w:val="20"/>
        </w:rPr>
        <w:t xml:space="preserve"> </w:t>
      </w:r>
    </w:p>
    <w:p w14:paraId="12CD5329" w14:textId="77777777" w:rsidR="00B837E7" w:rsidRDefault="00B837E7" w:rsidP="00B837E7">
      <w:pPr>
        <w:jc w:val="both"/>
        <w:rPr>
          <w:rFonts w:ascii="Open Sans" w:hAnsi="Open Sans" w:cs="Open Sans"/>
          <w:sz w:val="20"/>
          <w:szCs w:val="20"/>
        </w:rPr>
      </w:pPr>
    </w:p>
    <w:p w14:paraId="69FBFE18" w14:textId="77777777" w:rsidR="00B837E7" w:rsidRDefault="00B837E7" w:rsidP="00B837E7">
      <w:pPr>
        <w:jc w:val="both"/>
        <w:rPr>
          <w:rFonts w:ascii="Open Sans" w:hAnsi="Open Sans" w:cs="Open Sans"/>
          <w:sz w:val="20"/>
          <w:szCs w:val="20"/>
        </w:rPr>
      </w:pPr>
      <w:r>
        <w:rPr>
          <w:rFonts w:ascii="Open Sans" w:hAnsi="Open Sans" w:cs="Open Sans"/>
          <w:sz w:val="20"/>
          <w:szCs w:val="20"/>
        </w:rPr>
        <w:t>Además el grupo tiene abiertos</w:t>
      </w:r>
      <w:r w:rsidRPr="001B5ED0">
        <w:rPr>
          <w:rFonts w:ascii="Open Sans" w:hAnsi="Open Sans" w:cs="Open Sans"/>
          <w:sz w:val="20"/>
          <w:szCs w:val="20"/>
        </w:rPr>
        <w:t xml:space="preserve"> a inspección fiscal varios ejercicios. </w:t>
      </w:r>
      <w:proofErr w:type="gramStart"/>
      <w:r w:rsidRPr="001B5ED0">
        <w:rPr>
          <w:rFonts w:ascii="Open Sans" w:hAnsi="Open Sans" w:cs="Open Sans"/>
          <w:sz w:val="20"/>
          <w:szCs w:val="20"/>
        </w:rPr>
        <w:t>en</w:t>
      </w:r>
      <w:proofErr w:type="gramEnd"/>
      <w:r w:rsidRPr="001B5ED0">
        <w:rPr>
          <w:rFonts w:ascii="Open Sans" w:hAnsi="Open Sans" w:cs="Open Sans"/>
          <w:sz w:val="20"/>
          <w:szCs w:val="20"/>
        </w:rPr>
        <w:t xml:space="preserve"> varias sociedades del Grupo Fiscal: el Impuesto sobre Sociedades de los ejercicios 2008 a 2011; el Impuesto sobre el Valor Añadido de los ejercicios 2010 y 2011; retenciones sobre rendimientos del trabajo de mayo de 2009 a diciembre de 2011 y retenciones sobre rendimientos del capital mobiliario y a cuenta de la imposición de no residentes de los ejercicios 2010 y 2011.</w:t>
      </w:r>
    </w:p>
    <w:p w14:paraId="034FD363" w14:textId="77777777" w:rsidR="00B837E7" w:rsidRDefault="00B837E7" w:rsidP="00B837E7">
      <w:pPr>
        <w:jc w:val="both"/>
        <w:rPr>
          <w:rFonts w:ascii="Open Sans" w:hAnsi="Open Sans" w:cs="Open Sans"/>
          <w:sz w:val="20"/>
          <w:szCs w:val="20"/>
        </w:rPr>
      </w:pPr>
    </w:p>
    <w:p w14:paraId="286D2953" w14:textId="77777777" w:rsidR="00B837E7" w:rsidRDefault="00B837E7" w:rsidP="00B837E7">
      <w:pPr>
        <w:jc w:val="both"/>
        <w:rPr>
          <w:rFonts w:ascii="Open Sans" w:hAnsi="Open Sans" w:cs="Open Sans"/>
          <w:sz w:val="20"/>
          <w:szCs w:val="20"/>
        </w:rPr>
      </w:pPr>
      <w:r>
        <w:rPr>
          <w:rFonts w:ascii="Open Sans" w:hAnsi="Open Sans" w:cs="Open Sans"/>
          <w:sz w:val="20"/>
          <w:szCs w:val="20"/>
        </w:rPr>
        <w:t>5. Otras cuestiones fiscales</w:t>
      </w:r>
    </w:p>
    <w:p w14:paraId="7ED71D02" w14:textId="77777777" w:rsidR="00B837E7" w:rsidRDefault="00B837E7" w:rsidP="00B837E7">
      <w:pPr>
        <w:jc w:val="both"/>
        <w:rPr>
          <w:rFonts w:ascii="Open Sans" w:hAnsi="Open Sans" w:cs="Open Sans"/>
          <w:sz w:val="20"/>
          <w:szCs w:val="20"/>
        </w:rPr>
      </w:pPr>
    </w:p>
    <w:p w14:paraId="1D80CDFD" w14:textId="77777777" w:rsidR="00B837E7" w:rsidRDefault="00B837E7" w:rsidP="00B837E7">
      <w:pPr>
        <w:jc w:val="both"/>
        <w:rPr>
          <w:rFonts w:ascii="Open Sans" w:hAnsi="Open Sans" w:cs="Open Sans"/>
          <w:sz w:val="20"/>
          <w:szCs w:val="20"/>
        </w:rPr>
      </w:pPr>
      <w:r>
        <w:rPr>
          <w:rFonts w:ascii="Open Sans" w:hAnsi="Open Sans" w:cs="Open Sans"/>
          <w:sz w:val="20"/>
          <w:szCs w:val="20"/>
        </w:rPr>
        <w:t>En relación con los precios de transferencia, Iberdrola indica expresamente en su política fiscal “</w:t>
      </w:r>
      <w:r w:rsidRPr="00CF2B68">
        <w:rPr>
          <w:rFonts w:ascii="Open Sans" w:hAnsi="Open Sans" w:cs="Open Sans"/>
          <w:i/>
          <w:sz w:val="20"/>
          <w:szCs w:val="20"/>
        </w:rPr>
        <w:t>No utilizar estructuras de carácter artificioso ajenas a las actividades propias de la Sociedad y con la única finalidad de reducir su carga tributaria ni, en particular, realizar transacciones con entidades vinculadas por motivaciones exclusivamente de erosión de las bases imponibles o de traslado de beneficios a territorios de baja tributación</w:t>
      </w:r>
      <w:r w:rsidRPr="00814868">
        <w:rPr>
          <w:rFonts w:ascii="Open Sans" w:hAnsi="Open Sans" w:cs="Open Sans"/>
          <w:sz w:val="20"/>
          <w:szCs w:val="20"/>
        </w:rPr>
        <w:t>.</w:t>
      </w:r>
      <w:r>
        <w:rPr>
          <w:rFonts w:ascii="Open Sans" w:hAnsi="Open Sans" w:cs="Open Sans"/>
          <w:sz w:val="20"/>
          <w:szCs w:val="20"/>
        </w:rPr>
        <w:t xml:space="preserve"> Más allá de este compromiso no hay mayor información sobre cómo se guía la empresa en la fijación de los precios de transferencia.</w:t>
      </w:r>
    </w:p>
    <w:p w14:paraId="716B2AEA" w14:textId="77777777" w:rsidR="00B837E7" w:rsidRDefault="00B837E7" w:rsidP="00B837E7">
      <w:pPr>
        <w:jc w:val="both"/>
        <w:rPr>
          <w:rFonts w:ascii="Open Sans" w:hAnsi="Open Sans" w:cs="Open Sans"/>
          <w:sz w:val="20"/>
          <w:szCs w:val="20"/>
        </w:rPr>
      </w:pPr>
    </w:p>
    <w:p w14:paraId="375A4234" w14:textId="77777777" w:rsidR="00B837E7" w:rsidRPr="00492D96" w:rsidRDefault="00B837E7" w:rsidP="00B837E7">
      <w:pPr>
        <w:jc w:val="both"/>
        <w:rPr>
          <w:rFonts w:ascii="Open Sans" w:hAnsi="Open Sans" w:cs="Open Sans"/>
          <w:sz w:val="20"/>
          <w:szCs w:val="20"/>
        </w:rPr>
      </w:pPr>
      <w:r>
        <w:rPr>
          <w:rFonts w:ascii="Open Sans" w:hAnsi="Open Sans" w:cs="Open Sans"/>
          <w:sz w:val="20"/>
          <w:szCs w:val="20"/>
        </w:rPr>
        <w:t>Además Iberdrola informa que todos</w:t>
      </w:r>
      <w:r w:rsidRPr="00663CD5">
        <w:rPr>
          <w:rFonts w:ascii="Open Sans" w:hAnsi="Open Sans" w:cs="Open Sans"/>
          <w:sz w:val="20"/>
          <w:szCs w:val="20"/>
        </w:rPr>
        <w:t xml:space="preserve"> los saldos y transacciones entre las sociedades consolidadas por integración global se han eliminado en el proceso de consolidación, por lo que se desconoce el detalle</w:t>
      </w:r>
      <w:r>
        <w:rPr>
          <w:rFonts w:ascii="Open Sans" w:hAnsi="Open Sans" w:cs="Open Sans"/>
          <w:sz w:val="20"/>
          <w:szCs w:val="20"/>
        </w:rPr>
        <w:t xml:space="preserve"> de cuáles han sido las operaciones que se han realizado entre empresas del grupo. En Informe de Gobierno de corporativo informa de las operaciones del ejercicio 2015 con Gamesa, que “</w:t>
      </w:r>
      <w:r w:rsidRPr="00663CD5">
        <w:rPr>
          <w:rFonts w:ascii="Open Sans" w:hAnsi="Open Sans" w:cs="Open Sans"/>
          <w:i/>
          <w:sz w:val="20"/>
          <w:szCs w:val="20"/>
        </w:rPr>
        <w:t>aunque tiene un porcentaje de participación inferior al 20%, IBERDROLA considera que dispone de influencia significativa sobre Gamesa Corporación Tecnológica, S.A. (en adelante, GAMESA), entre otros aspectos, por la condición de IBERDROLA como principal accionista así como por la presencia de tres de sus representantes en su Consejo de Administración, compuesto por doce miembros, y la realización de transacciones significativas con dicha sociedad</w:t>
      </w:r>
      <w:r>
        <w:rPr>
          <w:rFonts w:ascii="Open Sans" w:hAnsi="Open Sans" w:cs="Open Sans"/>
          <w:sz w:val="20"/>
          <w:szCs w:val="20"/>
        </w:rPr>
        <w:t>”. Aclara también que “</w:t>
      </w:r>
      <w:r w:rsidRPr="00492D96">
        <w:rPr>
          <w:rFonts w:ascii="Open Sans" w:hAnsi="Open Sans" w:cs="Open Sans"/>
          <w:i/>
          <w:sz w:val="20"/>
          <w:szCs w:val="20"/>
        </w:rPr>
        <w:t>las transacciones realizadas con sociedades filiales y participadas que no se han eliminado en el proceso de consolidación pertenecen al giro o tráfico ordinario de los negocios de la Sociedad, se efectúan en condiciones normales de mercado y son de escasa relevancia para reflejar la imagen fiel del patrimonio, de la situación financiera y de los resultados de la Sociedad</w:t>
      </w:r>
      <w:r>
        <w:rPr>
          <w:rFonts w:ascii="Open Sans" w:hAnsi="Open Sans" w:cs="Open Sans"/>
          <w:sz w:val="20"/>
          <w:szCs w:val="20"/>
        </w:rPr>
        <w:t>”</w:t>
      </w:r>
      <w:r w:rsidRPr="00492D96">
        <w:rPr>
          <w:rFonts w:ascii="Open Sans" w:hAnsi="Open Sans" w:cs="Open Sans"/>
          <w:sz w:val="20"/>
          <w:szCs w:val="20"/>
        </w:rPr>
        <w:t>.</w:t>
      </w:r>
    </w:p>
    <w:p w14:paraId="1CAA8DA6" w14:textId="77777777" w:rsidR="00B837E7" w:rsidRPr="00663CD5" w:rsidRDefault="00B837E7" w:rsidP="00B837E7">
      <w:pPr>
        <w:jc w:val="both"/>
        <w:rPr>
          <w:rFonts w:ascii="Open Sans" w:hAnsi="Open Sans" w:cs="Open Sans"/>
          <w:sz w:val="20"/>
          <w:szCs w:val="20"/>
        </w:rPr>
      </w:pPr>
    </w:p>
    <w:p w14:paraId="5608DB17" w14:textId="77777777" w:rsidR="00B837E7" w:rsidRDefault="00B837E7" w:rsidP="00B837E7">
      <w:pPr>
        <w:jc w:val="both"/>
        <w:rPr>
          <w:rFonts w:ascii="Open Sans" w:eastAsia="Calibri" w:hAnsi="Open Sans" w:cs="Open Sans"/>
          <w:sz w:val="20"/>
          <w:szCs w:val="20"/>
        </w:rPr>
      </w:pPr>
      <w:r>
        <w:rPr>
          <w:rFonts w:ascii="Open Sans" w:hAnsi="Open Sans" w:cs="Open Sans"/>
          <w:sz w:val="20"/>
          <w:szCs w:val="20"/>
        </w:rPr>
        <w:t xml:space="preserve">En las cuentas anuales consolidadas se informa que durante </w:t>
      </w:r>
      <w:r>
        <w:rPr>
          <w:rFonts w:ascii="Open Sans" w:eastAsia="Calibri" w:hAnsi="Open Sans" w:cs="Open Sans"/>
          <w:sz w:val="20"/>
          <w:szCs w:val="20"/>
        </w:rPr>
        <w:t xml:space="preserve">el 2015, Iberdrola ha tenido incidencias en la gestión de los precios de transferencias, </w:t>
      </w:r>
      <w:r w:rsidRPr="00684906">
        <w:rPr>
          <w:rFonts w:ascii="Open Sans" w:eastAsia="Calibri" w:hAnsi="Open Sans" w:cs="Open Sans"/>
          <w:sz w:val="20"/>
          <w:szCs w:val="20"/>
        </w:rPr>
        <w:t>"</w:t>
      </w:r>
      <w:r w:rsidRPr="00B7724B">
        <w:rPr>
          <w:rFonts w:ascii="Open Sans" w:eastAsia="Calibri" w:hAnsi="Open Sans" w:cs="Open Sans"/>
          <w:i/>
          <w:sz w:val="20"/>
          <w:szCs w:val="20"/>
        </w:rPr>
        <w:t>A fecha de formulación de estas Cuentas anuales consolidadas se han incoado actas de inspección en relación con el Impuesto sobre Sociedades (específicas de la materia de precios de transferencia)</w:t>
      </w:r>
      <w:r w:rsidRPr="00684906">
        <w:rPr>
          <w:rFonts w:ascii="Open Sans" w:eastAsia="Calibri" w:hAnsi="Open Sans" w:cs="Open Sans"/>
          <w:sz w:val="20"/>
          <w:szCs w:val="20"/>
        </w:rPr>
        <w:t>"</w:t>
      </w:r>
      <w:r>
        <w:rPr>
          <w:rStyle w:val="Refdenotaalpie"/>
          <w:rFonts w:ascii="Open Sans" w:eastAsia="Calibri" w:hAnsi="Open Sans" w:cs="Open Sans"/>
          <w:sz w:val="20"/>
          <w:szCs w:val="20"/>
        </w:rPr>
        <w:footnoteReference w:id="428"/>
      </w:r>
      <w:r>
        <w:rPr>
          <w:rFonts w:ascii="Open Sans" w:eastAsia="Calibri" w:hAnsi="Open Sans" w:cs="Open Sans"/>
          <w:sz w:val="20"/>
          <w:szCs w:val="20"/>
        </w:rPr>
        <w:t xml:space="preserve">. </w:t>
      </w:r>
      <w:r w:rsidRPr="0084699D">
        <w:rPr>
          <w:rFonts w:ascii="Open Sans" w:eastAsia="Calibri" w:hAnsi="Open Sans" w:cs="Open Sans"/>
          <w:sz w:val="20"/>
          <w:szCs w:val="20"/>
        </w:rPr>
        <w:t xml:space="preserve">Tener un conocimiento más detallado de estas operaciones es fundamental para poder </w:t>
      </w:r>
      <w:r>
        <w:rPr>
          <w:rFonts w:ascii="Open Sans" w:eastAsia="Calibri" w:hAnsi="Open Sans" w:cs="Open Sans"/>
          <w:sz w:val="20"/>
          <w:szCs w:val="20"/>
        </w:rPr>
        <w:t>conocer</w:t>
      </w:r>
      <w:r w:rsidRPr="0084699D">
        <w:rPr>
          <w:rFonts w:ascii="Open Sans" w:eastAsia="Calibri" w:hAnsi="Open Sans" w:cs="Open Sans"/>
          <w:sz w:val="20"/>
          <w:szCs w:val="20"/>
        </w:rPr>
        <w:t xml:space="preserve"> si la empresa está </w:t>
      </w:r>
      <w:r>
        <w:rPr>
          <w:rFonts w:ascii="Open Sans" w:eastAsia="Calibri" w:hAnsi="Open Sans" w:cs="Open Sans"/>
          <w:sz w:val="20"/>
          <w:szCs w:val="20"/>
        </w:rPr>
        <w:t>utilizando su</w:t>
      </w:r>
      <w:r w:rsidRPr="0084699D">
        <w:rPr>
          <w:rFonts w:ascii="Open Sans" w:eastAsia="Calibri" w:hAnsi="Open Sans" w:cs="Open Sans"/>
          <w:sz w:val="20"/>
          <w:szCs w:val="20"/>
        </w:rPr>
        <w:t xml:space="preserve"> estructura societaria para implementar estrategias de optimización fiscal.</w:t>
      </w:r>
      <w:r w:rsidRPr="00724C1E">
        <w:rPr>
          <w:rFonts w:ascii="Open Sans" w:eastAsia="Calibri" w:hAnsi="Open Sans" w:cs="Open Sans"/>
          <w:sz w:val="20"/>
          <w:szCs w:val="20"/>
        </w:rPr>
        <w:t xml:space="preserve"> </w:t>
      </w:r>
    </w:p>
    <w:p w14:paraId="2CC9EDA1" w14:textId="77777777" w:rsidR="00B837E7" w:rsidRPr="00724C1E" w:rsidRDefault="00B837E7" w:rsidP="00B837E7">
      <w:pPr>
        <w:jc w:val="both"/>
        <w:rPr>
          <w:rFonts w:ascii="Open Sans" w:eastAsia="Calibri" w:hAnsi="Open Sans" w:cs="Open Sans"/>
          <w:sz w:val="20"/>
          <w:szCs w:val="20"/>
        </w:rPr>
      </w:pPr>
    </w:p>
    <w:p w14:paraId="59ADFF05" w14:textId="77777777" w:rsidR="00B837E7" w:rsidRDefault="00B837E7" w:rsidP="00B837E7">
      <w:pPr>
        <w:jc w:val="both"/>
        <w:rPr>
          <w:rFonts w:ascii="Open Sans" w:eastAsia="Calibri" w:hAnsi="Open Sans" w:cs="Open Sans"/>
          <w:sz w:val="20"/>
          <w:szCs w:val="20"/>
          <w:highlight w:val="yellow"/>
        </w:rPr>
      </w:pPr>
    </w:p>
    <w:p w14:paraId="031D523D" w14:textId="77777777" w:rsidR="00B837E7" w:rsidRPr="0084699D" w:rsidRDefault="00B837E7" w:rsidP="00B837E7">
      <w:pPr>
        <w:rPr>
          <w:rFonts w:ascii="Open Sans" w:hAnsi="Open Sans" w:cs="Open Sans"/>
          <w:bCs/>
          <w:sz w:val="22"/>
          <w:szCs w:val="22"/>
          <w:u w:val="single"/>
        </w:rPr>
      </w:pPr>
      <w:r w:rsidRPr="0084699D">
        <w:rPr>
          <w:rFonts w:ascii="Open Sans" w:hAnsi="Open Sans" w:cs="Open Sans"/>
          <w:b/>
          <w:sz w:val="22"/>
          <w:szCs w:val="22"/>
          <w:u w:val="single"/>
        </w:rPr>
        <w:t>5. Conclusiones</w:t>
      </w:r>
    </w:p>
    <w:p w14:paraId="16E8A576" w14:textId="77777777" w:rsidR="00B837E7" w:rsidRPr="00724C1E" w:rsidRDefault="00B837E7" w:rsidP="00B837E7">
      <w:pPr>
        <w:rPr>
          <w:rFonts w:ascii="Open Sans" w:hAnsi="Open Sans" w:cs="Open Sans"/>
          <w:bCs/>
          <w:sz w:val="20"/>
          <w:szCs w:val="20"/>
        </w:rPr>
      </w:pPr>
    </w:p>
    <w:p w14:paraId="7620554A" w14:textId="77777777" w:rsidR="00B837E7" w:rsidRDefault="00B837E7" w:rsidP="00B837E7">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Iberdrola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0,94</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la “política y estrategia fiscal” (1,60), seguidos por “impuestos e incentivos” (1,00), las “relaciones con Administraciones Tributarias” (0,60) y “paraísos y nichos fiscales” (0,57). </w:t>
      </w:r>
    </w:p>
    <w:p w14:paraId="5174FC48" w14:textId="77777777" w:rsidR="00B837E7" w:rsidRDefault="00B837E7" w:rsidP="00B837E7">
      <w:pPr>
        <w:jc w:val="both"/>
        <w:rPr>
          <w:rFonts w:ascii="Open Sans" w:hAnsi="Open Sans" w:cs="Open Sans"/>
          <w:sz w:val="20"/>
          <w:szCs w:val="20"/>
        </w:rPr>
      </w:pPr>
    </w:p>
    <w:p w14:paraId="0FFF2E80" w14:textId="77777777" w:rsidR="00B837E7" w:rsidRDefault="00B837E7" w:rsidP="00B837E7">
      <w:pPr>
        <w:jc w:val="both"/>
        <w:rPr>
          <w:rFonts w:ascii="Open Sans" w:hAnsi="Open Sans" w:cs="Open Sans"/>
          <w:sz w:val="20"/>
          <w:szCs w:val="20"/>
        </w:rPr>
      </w:pPr>
      <w:r w:rsidRPr="0084699D">
        <w:rPr>
          <w:rFonts w:ascii="Open Sans" w:hAnsi="Open Sans" w:cs="Open Sans"/>
          <w:sz w:val="20"/>
          <w:szCs w:val="20"/>
        </w:rPr>
        <w:t xml:space="preserve">Existe una política fiscal, y la empresa suscribe el Código de buenas prácticas de la Agencia tributaria. Se puede obtener una visión general de cuál es el posicionamiento de Iberdrola en materia fiscal, así como de su gestión en líneas generales. Se echa en falta información sobre procedimientos concretos que permitan ejecutar esa política fiscal. </w:t>
      </w:r>
    </w:p>
    <w:p w14:paraId="4BA79DE5" w14:textId="77777777" w:rsidR="00B837E7" w:rsidRDefault="00B837E7" w:rsidP="00B837E7">
      <w:pPr>
        <w:jc w:val="both"/>
        <w:rPr>
          <w:rFonts w:ascii="Open Sans" w:hAnsi="Open Sans" w:cs="Open Sans"/>
          <w:sz w:val="20"/>
          <w:szCs w:val="20"/>
        </w:rPr>
      </w:pPr>
    </w:p>
    <w:p w14:paraId="78613946" w14:textId="77777777" w:rsidR="00B837E7" w:rsidRDefault="00B837E7" w:rsidP="00B837E7">
      <w:pPr>
        <w:jc w:val="both"/>
        <w:rPr>
          <w:rFonts w:ascii="Open Sans" w:hAnsi="Open Sans" w:cs="Arial"/>
          <w:sz w:val="20"/>
          <w:szCs w:val="20"/>
        </w:rPr>
      </w:pPr>
      <w:r>
        <w:rPr>
          <w:rFonts w:ascii="Open Sans" w:hAnsi="Open Sans" w:cs="Arial"/>
          <w:sz w:val="20"/>
          <w:szCs w:val="20"/>
        </w:rPr>
        <w:t>La fiscalidad responsable es un aspecto cada vez más material para todas las empresas y para sus grupos de interés, además este aspecto ha transcendido en los últimos años a las agendas públicas y desde la Comisión Europea</w:t>
      </w:r>
      <w:r>
        <w:rPr>
          <w:rStyle w:val="Refdenotaalpie"/>
          <w:rFonts w:ascii="Open Sans" w:hAnsi="Open Sans" w:cs="Arial"/>
          <w:sz w:val="20"/>
          <w:szCs w:val="20"/>
        </w:rPr>
        <w:footnoteReference w:id="429"/>
      </w:r>
      <w:r>
        <w:rPr>
          <w:rFonts w:ascii="Open Sans" w:hAnsi="Open Sans" w:cs="Arial"/>
          <w:sz w:val="20"/>
          <w:szCs w:val="20"/>
        </w:rPr>
        <w:t>, OCDE</w:t>
      </w:r>
      <w:r>
        <w:rPr>
          <w:rStyle w:val="Refdenotaalpie"/>
          <w:rFonts w:ascii="Open Sans" w:hAnsi="Open Sans" w:cs="Arial"/>
          <w:sz w:val="20"/>
          <w:szCs w:val="20"/>
        </w:rPr>
        <w:footnoteReference w:id="430"/>
      </w:r>
      <w:r>
        <w:rPr>
          <w:rFonts w:ascii="Open Sans" w:hAnsi="Open Sans" w:cs="Arial"/>
          <w:sz w:val="20"/>
          <w:szCs w:val="20"/>
        </w:rPr>
        <w:t xml:space="preserve"> y otras instituciones</w:t>
      </w:r>
      <w:r>
        <w:rPr>
          <w:rStyle w:val="Refdenotaalpie"/>
          <w:rFonts w:ascii="Open Sans" w:hAnsi="Open Sans" w:cs="Arial"/>
          <w:sz w:val="20"/>
          <w:szCs w:val="20"/>
        </w:rPr>
        <w:footnoteReference w:id="431"/>
      </w:r>
      <w:r>
        <w:rPr>
          <w:rFonts w:ascii="Open Sans" w:hAnsi="Open Sans" w:cs="Arial"/>
          <w:sz w:val="20"/>
          <w:szCs w:val="20"/>
        </w:rPr>
        <w:t xml:space="preserve"> se está trabajando para que las empresas estén obligadas a aportar mayor información. En el caso de Iberdrola, el grupo </w:t>
      </w:r>
      <w:r w:rsidRPr="00724C1E">
        <w:rPr>
          <w:rFonts w:ascii="Open Sans" w:hAnsi="Open Sans" w:cs="Open Sans"/>
          <w:sz w:val="20"/>
          <w:szCs w:val="20"/>
        </w:rPr>
        <w:t xml:space="preserve">no </w:t>
      </w:r>
      <w:r>
        <w:rPr>
          <w:rFonts w:ascii="Open Sans" w:hAnsi="Open Sans" w:cs="Open Sans"/>
          <w:sz w:val="20"/>
          <w:szCs w:val="20"/>
        </w:rPr>
        <w:t>informa que siga</w:t>
      </w:r>
      <w:r w:rsidRPr="00724C1E">
        <w:rPr>
          <w:rFonts w:ascii="Open Sans" w:hAnsi="Open Sans" w:cs="Open Sans"/>
          <w:sz w:val="20"/>
          <w:szCs w:val="20"/>
        </w:rPr>
        <w:t xml:space="preserve"> los estándares internacionales </w:t>
      </w:r>
      <w:r>
        <w:rPr>
          <w:rFonts w:ascii="Open Sans" w:hAnsi="Open Sans" w:cs="Open Sans"/>
          <w:sz w:val="20"/>
          <w:szCs w:val="20"/>
        </w:rPr>
        <w:t>en relación a la información país a país</w:t>
      </w:r>
      <w:r w:rsidRPr="00724C1E">
        <w:rPr>
          <w:rFonts w:ascii="Open Sans" w:hAnsi="Open Sans" w:cs="Open Sans"/>
          <w:sz w:val="20"/>
          <w:szCs w:val="20"/>
        </w:rPr>
        <w:t xml:space="preserve"> que promueven que la empresa presente infor</w:t>
      </w:r>
      <w:r>
        <w:rPr>
          <w:rFonts w:ascii="Open Sans" w:hAnsi="Open Sans" w:cs="Open Sans"/>
          <w:sz w:val="20"/>
          <w:szCs w:val="20"/>
        </w:rPr>
        <w:t xml:space="preserve">mación país a país de una serie </w:t>
      </w:r>
      <w:r w:rsidRPr="00724C1E">
        <w:rPr>
          <w:rFonts w:ascii="Open Sans" w:hAnsi="Open Sans" w:cs="Open Sans"/>
          <w:sz w:val="20"/>
          <w:szCs w:val="20"/>
        </w:rPr>
        <w:t>de partidas financieras y de la actividad que realiza en los territorios donde está presente.</w:t>
      </w:r>
      <w:r>
        <w:rPr>
          <w:rFonts w:ascii="Open Sans" w:hAnsi="Open Sans" w:cs="Open Sans"/>
          <w:sz w:val="20"/>
          <w:szCs w:val="20"/>
        </w:rPr>
        <w:t xml:space="preserve"> </w:t>
      </w:r>
    </w:p>
    <w:p w14:paraId="44DF1F86" w14:textId="77777777" w:rsidR="00B837E7" w:rsidRPr="00724C1E" w:rsidRDefault="00B837E7" w:rsidP="00B837E7">
      <w:pPr>
        <w:jc w:val="both"/>
        <w:rPr>
          <w:rFonts w:ascii="Open Sans" w:hAnsi="Open Sans" w:cs="Open Sans"/>
          <w:sz w:val="20"/>
          <w:szCs w:val="20"/>
        </w:rPr>
      </w:pPr>
    </w:p>
    <w:p w14:paraId="3EC94380" w14:textId="77777777" w:rsidR="00B837E7" w:rsidRDefault="00B837E7" w:rsidP="00B837E7">
      <w:pPr>
        <w:jc w:val="both"/>
        <w:rPr>
          <w:rFonts w:ascii="Open Sans" w:hAnsi="Open Sans" w:cs="Open Sans"/>
          <w:sz w:val="20"/>
          <w:szCs w:val="20"/>
        </w:rPr>
      </w:pPr>
      <w:r w:rsidRPr="0084699D">
        <w:rPr>
          <w:rFonts w:ascii="Open Sans" w:hAnsi="Open Sans" w:cs="Open Sans"/>
          <w:sz w:val="20"/>
          <w:szCs w:val="20"/>
        </w:rPr>
        <w:t>La información sobre la contribución fiscal proporcionada por Iberdrola es en líneas generales escasa. No se indican cuáles son los tipos impositivos, ni nominales ni efectivos, que han gravado los resultados de las sociedades en los diferentes países en los que operan</w:t>
      </w:r>
      <w:r>
        <w:rPr>
          <w:rFonts w:ascii="Open Sans" w:hAnsi="Open Sans" w:cs="Open Sans"/>
          <w:sz w:val="20"/>
          <w:szCs w:val="20"/>
        </w:rPr>
        <w:t>, así como número de empleados, volumen de facturación, operaciones intragrupo..</w:t>
      </w:r>
      <w:r w:rsidRPr="0084699D">
        <w:rPr>
          <w:rFonts w:ascii="Open Sans" w:hAnsi="Open Sans" w:cs="Open Sans"/>
          <w:sz w:val="20"/>
          <w:szCs w:val="20"/>
        </w:rPr>
        <w:t xml:space="preserve">. </w:t>
      </w:r>
      <w:r>
        <w:rPr>
          <w:rFonts w:ascii="Open Sans" w:hAnsi="Open Sans" w:cs="Open Sans"/>
          <w:sz w:val="20"/>
          <w:szCs w:val="20"/>
        </w:rPr>
        <w:t xml:space="preserve">Las cifras sobre subvenciones y créditos fiscales sí que se desagregan por países, aunque sólo para aquellos en los que el volumen de actividad es considerado como relevante.  </w:t>
      </w:r>
    </w:p>
    <w:p w14:paraId="4A2F6DF3" w14:textId="77777777" w:rsidR="00B837E7" w:rsidRDefault="00B837E7" w:rsidP="00B837E7">
      <w:pPr>
        <w:jc w:val="both"/>
        <w:rPr>
          <w:rFonts w:ascii="Open Sans" w:hAnsi="Open Sans" w:cs="Open Sans"/>
          <w:sz w:val="20"/>
          <w:szCs w:val="20"/>
        </w:rPr>
      </w:pPr>
    </w:p>
    <w:p w14:paraId="1899E510" w14:textId="77777777" w:rsidR="00B837E7" w:rsidRPr="00724C1E" w:rsidRDefault="00B837E7" w:rsidP="00B837E7">
      <w:pPr>
        <w:jc w:val="both"/>
        <w:rPr>
          <w:rFonts w:ascii="Open Sans" w:hAnsi="Open Sans" w:cs="Open Sans"/>
          <w:sz w:val="20"/>
          <w:szCs w:val="20"/>
        </w:rPr>
      </w:pPr>
      <w:r w:rsidRPr="0084699D">
        <w:rPr>
          <w:rFonts w:ascii="Open Sans" w:hAnsi="Open Sans" w:cs="Open Sans"/>
          <w:sz w:val="20"/>
          <w:szCs w:val="20"/>
        </w:rPr>
        <w:t>En el ámbito nacional, la relación de Iberdrola con la Administración Pública se basa en los compromisos genéricos establecidos la política fiscal y en el Código de buenas prácticas de la Agencia Tributaria. En el ámbito internacional, no se proporciona información suficiente que permita saber cuál es la relación entre la compañía y las administraciones públicas de los países en los que opera.</w:t>
      </w:r>
      <w:r>
        <w:rPr>
          <w:rFonts w:ascii="Open Sans" w:hAnsi="Open Sans" w:cs="Open Sans"/>
          <w:sz w:val="20"/>
          <w:szCs w:val="20"/>
        </w:rPr>
        <w:t xml:space="preserve"> </w:t>
      </w:r>
    </w:p>
    <w:p w14:paraId="62F54BDC" w14:textId="77777777" w:rsidR="00B837E7" w:rsidRPr="00724C1E" w:rsidRDefault="00B837E7" w:rsidP="00B837E7">
      <w:pPr>
        <w:jc w:val="both"/>
        <w:rPr>
          <w:rFonts w:ascii="Open Sans" w:hAnsi="Open Sans" w:cs="Open Sans"/>
          <w:sz w:val="20"/>
          <w:szCs w:val="20"/>
        </w:rPr>
      </w:pPr>
    </w:p>
    <w:p w14:paraId="776C27D6" w14:textId="77777777" w:rsidR="00B837E7" w:rsidRDefault="00B837E7" w:rsidP="00B837E7">
      <w:pPr>
        <w:jc w:val="both"/>
        <w:rPr>
          <w:rFonts w:ascii="Open Sans" w:hAnsi="Open Sans" w:cs="Open Sans"/>
          <w:sz w:val="20"/>
          <w:szCs w:val="20"/>
        </w:rPr>
      </w:pPr>
      <w:r>
        <w:rPr>
          <w:rFonts w:ascii="Open Sans" w:hAnsi="Open Sans" w:cs="Open Sans"/>
          <w:sz w:val="20"/>
          <w:szCs w:val="20"/>
        </w:rPr>
        <w:t>N</w:t>
      </w:r>
      <w:r w:rsidRPr="00724C1E">
        <w:rPr>
          <w:rFonts w:ascii="Open Sans" w:hAnsi="Open Sans" w:cs="Open Sans"/>
          <w:sz w:val="20"/>
          <w:szCs w:val="20"/>
        </w:rPr>
        <w:t xml:space="preserve">o se han encontrado evidencias de que </w:t>
      </w:r>
      <w:r>
        <w:rPr>
          <w:rFonts w:ascii="Open Sans" w:hAnsi="Open Sans" w:cs="Open Sans"/>
          <w:sz w:val="20"/>
          <w:szCs w:val="20"/>
        </w:rPr>
        <w:t>Iberdrola</w:t>
      </w:r>
      <w:r w:rsidRPr="00724C1E">
        <w:rPr>
          <w:rFonts w:ascii="Open Sans" w:hAnsi="Open Sans" w:cs="Open Sans"/>
          <w:sz w:val="20"/>
          <w:szCs w:val="20"/>
        </w:rPr>
        <w:t xml:space="preserve"> haya establecido un diálogo, más allá de con la agencia tributaria, con sus grupos de interés en relación a los aspectos fiscales.</w:t>
      </w:r>
    </w:p>
    <w:p w14:paraId="0B4132AF" w14:textId="77777777" w:rsidR="00B837E7" w:rsidRDefault="00B837E7" w:rsidP="00B837E7">
      <w:pPr>
        <w:jc w:val="both"/>
        <w:rPr>
          <w:rFonts w:ascii="Open Sans" w:hAnsi="Open Sans" w:cs="Open Sans"/>
          <w:sz w:val="20"/>
          <w:szCs w:val="20"/>
        </w:rPr>
      </w:pPr>
    </w:p>
    <w:p w14:paraId="5F42134D" w14:textId="77777777" w:rsidR="00B837E7" w:rsidRPr="00724C1E" w:rsidRDefault="00B837E7" w:rsidP="00B837E7">
      <w:pPr>
        <w:jc w:val="both"/>
        <w:rPr>
          <w:rFonts w:ascii="Open Sans" w:hAnsi="Open Sans" w:cs="Open Sans"/>
        </w:rPr>
      </w:pPr>
      <w:r w:rsidRPr="0084699D">
        <w:rPr>
          <w:rFonts w:ascii="Open Sans" w:hAnsi="Open Sans" w:cs="Open Sans"/>
          <w:sz w:val="20"/>
          <w:szCs w:val="20"/>
        </w:rPr>
        <w:t>Tras analizar la documentación publicada por Iberdrola en relación a su actividad fiscal en 2015 (Informe Anual Integrado, Informe de Responsabilidad Corporativa y Cuentas Anuales, principalmente), se observa que la Compañía cuenta con compromiso general con la fiscalidad responsable, pero no se observan mecanismos que permitan llevarlo a cabo en la práctica, ni tampoco se proporciona información suficiente que evidencien que se ha llevado a cabo.</w:t>
      </w:r>
      <w:r>
        <w:rPr>
          <w:rFonts w:ascii="Open Sans" w:hAnsi="Open Sans" w:cs="Open Sans"/>
          <w:sz w:val="20"/>
          <w:szCs w:val="20"/>
        </w:rPr>
        <w:t xml:space="preserve"> </w:t>
      </w:r>
    </w:p>
    <w:p w14:paraId="58F45D81" w14:textId="77777777" w:rsidR="00F15B75" w:rsidRDefault="00F15B75">
      <w:pPr>
        <w:rPr>
          <w:rFonts w:ascii="Open Sans" w:hAnsi="Open Sans" w:cs="Open Sans"/>
          <w:sz w:val="20"/>
          <w:szCs w:val="20"/>
        </w:rPr>
      </w:pPr>
    </w:p>
    <w:p w14:paraId="31B40E55" w14:textId="7576DD0C" w:rsidR="00F15B75" w:rsidRDefault="00F15B75">
      <w:pPr>
        <w:rPr>
          <w:rFonts w:ascii="Open Sans" w:hAnsi="Open Sans" w:cs="Open Sans"/>
          <w:sz w:val="20"/>
          <w:szCs w:val="20"/>
        </w:rPr>
      </w:pPr>
      <w:r>
        <w:rPr>
          <w:rFonts w:ascii="Open Sans" w:hAnsi="Open Sans" w:cs="Open Sans"/>
          <w:sz w:val="20"/>
          <w:szCs w:val="20"/>
        </w:rPr>
        <w:br w:type="page"/>
      </w:r>
    </w:p>
    <w:p w14:paraId="63969F01" w14:textId="77777777" w:rsidR="00F15B75" w:rsidRDefault="00F15B75">
      <w:pPr>
        <w:rPr>
          <w:rFonts w:ascii="Open Sans" w:hAnsi="Open Sans" w:cs="Open Sans"/>
          <w:sz w:val="20"/>
          <w:szCs w:val="20"/>
        </w:rPr>
      </w:pPr>
    </w:p>
    <w:p w14:paraId="6BDB0EDD" w14:textId="77777777" w:rsidR="001262A9" w:rsidRPr="006A703B" w:rsidRDefault="001262A9" w:rsidP="001262A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87" w:name="REC"/>
      <w:r>
        <w:rPr>
          <w:rFonts w:ascii="Open Sans" w:hAnsi="Open Sans" w:cs="Arial"/>
          <w:b/>
          <w:caps/>
          <w:color w:val="FFFFFF"/>
        </w:rPr>
        <w:t>RED ELÉCTRICA CORPORACIÓN, S.A.</w:t>
      </w:r>
    </w:p>
    <w:bookmarkEnd w:id="87"/>
    <w:p w14:paraId="4DD615FE" w14:textId="77777777" w:rsidR="001262A9" w:rsidRPr="006A703B" w:rsidRDefault="001262A9" w:rsidP="001262A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cs="Arial"/>
          <w:b/>
          <w:i/>
          <w:color w:val="FFFFFF"/>
        </w:rPr>
        <w:t xml:space="preserve"> (Red Eléctrica)</w:t>
      </w:r>
    </w:p>
    <w:p w14:paraId="291685B8" w14:textId="77777777" w:rsidR="001262A9" w:rsidRDefault="001262A9" w:rsidP="001262A9">
      <w:pPr>
        <w:spacing w:before="120" w:after="120" w:line="360" w:lineRule="auto"/>
        <w:jc w:val="both"/>
        <w:rPr>
          <w:rFonts w:ascii="Open Sans" w:hAnsi="Open Sans" w:cs="Tahoma"/>
          <w:b/>
          <w:bCs/>
          <w:color w:val="002060"/>
          <w:sz w:val="28"/>
          <w:szCs w:val="28"/>
        </w:rPr>
      </w:pPr>
    </w:p>
    <w:p w14:paraId="47284949" w14:textId="77777777" w:rsidR="00DA58FD" w:rsidRPr="00732FD5" w:rsidRDefault="00DA58FD" w:rsidP="00DA58FD">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6F9059FF" w14:textId="77777777" w:rsidR="00DA58FD" w:rsidRPr="00732FD5" w:rsidRDefault="00DA58FD" w:rsidP="00DA58FD">
      <w:pPr>
        <w:jc w:val="both"/>
        <w:rPr>
          <w:rFonts w:ascii="Open Sans" w:hAnsi="Open Sans" w:cs="Arial"/>
          <w:sz w:val="22"/>
          <w:szCs w:val="22"/>
          <w:u w:val="single"/>
        </w:rPr>
      </w:pPr>
    </w:p>
    <w:p w14:paraId="0FD97BBC" w14:textId="77777777" w:rsidR="00DA58FD" w:rsidRPr="00EE1EF7" w:rsidRDefault="00DA58FD" w:rsidP="00DA58FD">
      <w:pPr>
        <w:jc w:val="both"/>
        <w:rPr>
          <w:rFonts w:ascii="Open Sans" w:hAnsi="Open Sans" w:cs="Arial"/>
          <w:sz w:val="20"/>
          <w:szCs w:val="20"/>
        </w:rPr>
      </w:pPr>
      <w:r w:rsidRPr="00EE1EF7">
        <w:rPr>
          <w:rFonts w:ascii="Open Sans" w:hAnsi="Open Sans" w:cs="Arial"/>
          <w:sz w:val="20"/>
          <w:szCs w:val="20"/>
          <w:u w:val="single"/>
        </w:rPr>
        <w:t>Productos/servicios</w:t>
      </w:r>
    </w:p>
    <w:p w14:paraId="256C8496" w14:textId="77777777" w:rsidR="00DA58FD" w:rsidRPr="00EE1EF7" w:rsidRDefault="00DA58FD" w:rsidP="00DA58FD">
      <w:pPr>
        <w:jc w:val="both"/>
        <w:rPr>
          <w:rFonts w:ascii="Open Sans" w:hAnsi="Open Sans" w:cs="Arial"/>
          <w:sz w:val="20"/>
          <w:szCs w:val="20"/>
        </w:rPr>
      </w:pPr>
    </w:p>
    <w:p w14:paraId="4F272530" w14:textId="77777777" w:rsidR="00DA58FD" w:rsidRDefault="00DA58FD" w:rsidP="00DA58FD">
      <w:pPr>
        <w:jc w:val="both"/>
        <w:rPr>
          <w:rFonts w:ascii="Open Sans" w:hAnsi="Open Sans" w:cs="Arial"/>
          <w:sz w:val="20"/>
          <w:szCs w:val="20"/>
        </w:rPr>
      </w:pPr>
      <w:r>
        <w:rPr>
          <w:rFonts w:ascii="Open Sans" w:hAnsi="Open Sans" w:cs="Arial"/>
          <w:sz w:val="20"/>
          <w:szCs w:val="20"/>
        </w:rPr>
        <w:t>Red Eléctrica Corporación (REC) es una sociedad holding. El grupo Red Eléctrica realiza las siguientes actividades:</w:t>
      </w:r>
    </w:p>
    <w:p w14:paraId="2BCA9335" w14:textId="77777777" w:rsidR="00DA58FD" w:rsidRDefault="00DA58FD" w:rsidP="00DA58FD">
      <w:pPr>
        <w:jc w:val="both"/>
        <w:rPr>
          <w:rFonts w:ascii="Open Sans" w:hAnsi="Open Sans" w:cs="Arial"/>
          <w:sz w:val="20"/>
          <w:szCs w:val="20"/>
        </w:rPr>
      </w:pPr>
    </w:p>
    <w:p w14:paraId="157E19E5" w14:textId="77777777" w:rsidR="00DA58FD" w:rsidRDefault="00DA58FD" w:rsidP="00DA58FD">
      <w:pPr>
        <w:jc w:val="both"/>
        <w:rPr>
          <w:rFonts w:ascii="Open Sans" w:hAnsi="Open Sans" w:cs="Arial"/>
          <w:sz w:val="20"/>
          <w:szCs w:val="20"/>
        </w:rPr>
      </w:pPr>
      <w:r>
        <w:rPr>
          <w:rFonts w:ascii="Open Sans" w:hAnsi="Open Sans" w:cs="Arial"/>
          <w:sz w:val="20"/>
          <w:szCs w:val="20"/>
        </w:rPr>
        <w:t xml:space="preserve">- Es el transportista único y operador del sistema eléctrico español a través de Red Eléctrica de España (REE). </w:t>
      </w:r>
    </w:p>
    <w:p w14:paraId="21B41E2A" w14:textId="77777777" w:rsidR="00DA58FD" w:rsidRDefault="00DA58FD" w:rsidP="00DA58FD">
      <w:pPr>
        <w:jc w:val="both"/>
        <w:rPr>
          <w:rFonts w:ascii="Open Sans" w:hAnsi="Open Sans" w:cs="Arial"/>
          <w:sz w:val="20"/>
          <w:szCs w:val="20"/>
        </w:rPr>
      </w:pPr>
    </w:p>
    <w:p w14:paraId="15F5FF09" w14:textId="77777777" w:rsidR="00DA58FD" w:rsidRDefault="00DA58FD" w:rsidP="00DA58FD">
      <w:pPr>
        <w:jc w:val="both"/>
        <w:rPr>
          <w:rFonts w:ascii="Open Sans" w:hAnsi="Open Sans" w:cs="Arial"/>
          <w:sz w:val="20"/>
          <w:szCs w:val="20"/>
        </w:rPr>
      </w:pPr>
      <w:r>
        <w:rPr>
          <w:rFonts w:ascii="Open Sans" w:hAnsi="Open Sans" w:cs="Arial"/>
          <w:sz w:val="20"/>
          <w:szCs w:val="20"/>
        </w:rPr>
        <w:t>Además realiza otras actividades:</w:t>
      </w:r>
    </w:p>
    <w:p w14:paraId="1945C494" w14:textId="77777777" w:rsidR="00DA58FD" w:rsidRDefault="00DA58FD" w:rsidP="00DA58FD">
      <w:pPr>
        <w:jc w:val="both"/>
        <w:rPr>
          <w:rFonts w:ascii="Open Sans" w:hAnsi="Open Sans" w:cs="Arial"/>
          <w:sz w:val="20"/>
          <w:szCs w:val="20"/>
        </w:rPr>
      </w:pPr>
    </w:p>
    <w:p w14:paraId="2493201C" w14:textId="77777777" w:rsidR="00DA58FD" w:rsidRDefault="00DA58FD" w:rsidP="00DA58FD">
      <w:pPr>
        <w:jc w:val="both"/>
        <w:rPr>
          <w:rFonts w:ascii="Open Sans" w:hAnsi="Open Sans" w:cs="Arial"/>
          <w:sz w:val="20"/>
          <w:szCs w:val="20"/>
        </w:rPr>
      </w:pPr>
      <w:r>
        <w:rPr>
          <w:rFonts w:ascii="Open Sans" w:hAnsi="Open Sans" w:cs="Arial"/>
          <w:sz w:val="20"/>
          <w:szCs w:val="20"/>
        </w:rPr>
        <w:t xml:space="preserve">- Almacenamiento energético. </w:t>
      </w:r>
    </w:p>
    <w:p w14:paraId="3B438A72" w14:textId="77777777" w:rsidR="00DA58FD" w:rsidRDefault="00DA58FD" w:rsidP="00DA58FD">
      <w:pPr>
        <w:jc w:val="both"/>
        <w:rPr>
          <w:rFonts w:ascii="Open Sans" w:hAnsi="Open Sans" w:cs="Arial"/>
          <w:sz w:val="20"/>
          <w:szCs w:val="20"/>
        </w:rPr>
      </w:pPr>
      <w:r>
        <w:rPr>
          <w:rFonts w:ascii="Open Sans" w:hAnsi="Open Sans" w:cs="Arial"/>
          <w:sz w:val="20"/>
          <w:szCs w:val="20"/>
        </w:rPr>
        <w:t xml:space="preserve">- Actividad eléctrica internacional. Se basa principalmente </w:t>
      </w:r>
      <w:r w:rsidRPr="00576E89">
        <w:rPr>
          <w:rFonts w:ascii="Open Sans" w:hAnsi="Open Sans" w:cs="Arial"/>
          <w:sz w:val="20"/>
          <w:szCs w:val="20"/>
        </w:rPr>
        <w:t>en</w:t>
      </w:r>
      <w:r>
        <w:rPr>
          <w:rFonts w:ascii="Open Sans" w:hAnsi="Open Sans" w:cs="Arial"/>
          <w:sz w:val="20"/>
          <w:szCs w:val="20"/>
        </w:rPr>
        <w:t xml:space="preserve"> la construcción y explotación de redes de transmisión. Gestiona redes en Perú y Chile.</w:t>
      </w:r>
    </w:p>
    <w:p w14:paraId="2922FAB4" w14:textId="77777777" w:rsidR="00DA58FD" w:rsidRDefault="00DA58FD" w:rsidP="00DA58FD">
      <w:pPr>
        <w:jc w:val="both"/>
        <w:rPr>
          <w:rFonts w:ascii="Open Sans" w:hAnsi="Open Sans" w:cs="Arial"/>
          <w:sz w:val="20"/>
          <w:szCs w:val="20"/>
        </w:rPr>
      </w:pPr>
      <w:r>
        <w:rPr>
          <w:rFonts w:ascii="Open Sans" w:hAnsi="Open Sans" w:cs="Arial"/>
          <w:sz w:val="20"/>
          <w:szCs w:val="20"/>
        </w:rPr>
        <w:t xml:space="preserve">- Actividad de telecomunicaciones: explotación comercial de la capacidad </w:t>
      </w:r>
      <w:r w:rsidRPr="006D45C7">
        <w:rPr>
          <w:rFonts w:ascii="Open Sans" w:hAnsi="Open Sans" w:cs="Arial"/>
          <w:sz w:val="20"/>
          <w:szCs w:val="20"/>
        </w:rPr>
        <w:t>exce</w:t>
      </w:r>
      <w:r>
        <w:rPr>
          <w:rFonts w:ascii="Open Sans" w:hAnsi="Open Sans" w:cs="Arial"/>
          <w:sz w:val="20"/>
          <w:szCs w:val="20"/>
        </w:rPr>
        <w:t xml:space="preserve">dentaria de las redes de fibra </w:t>
      </w:r>
      <w:r w:rsidRPr="006D45C7">
        <w:rPr>
          <w:rFonts w:ascii="Open Sans" w:hAnsi="Open Sans" w:cs="Arial"/>
          <w:sz w:val="20"/>
          <w:szCs w:val="20"/>
        </w:rPr>
        <w:t>óptic</w:t>
      </w:r>
      <w:r>
        <w:rPr>
          <w:rFonts w:ascii="Open Sans" w:hAnsi="Open Sans" w:cs="Arial"/>
          <w:sz w:val="20"/>
          <w:szCs w:val="20"/>
        </w:rPr>
        <w:t xml:space="preserve">a e infraestructuras asociadas </w:t>
      </w:r>
      <w:r w:rsidRPr="006D45C7">
        <w:rPr>
          <w:rFonts w:ascii="Open Sans" w:hAnsi="Open Sans" w:cs="Arial"/>
          <w:sz w:val="20"/>
          <w:szCs w:val="20"/>
        </w:rPr>
        <w:t>de la red de transporte de en</w:t>
      </w:r>
      <w:r>
        <w:rPr>
          <w:rFonts w:ascii="Open Sans" w:hAnsi="Open Sans" w:cs="Arial"/>
          <w:sz w:val="20"/>
          <w:szCs w:val="20"/>
        </w:rPr>
        <w:t>ergía eléctrica y a la red ferroviaria.</w:t>
      </w:r>
    </w:p>
    <w:p w14:paraId="3DF88336" w14:textId="77777777" w:rsidR="00DA58FD" w:rsidRPr="00EE1EF7" w:rsidRDefault="00DA58FD" w:rsidP="00DA58FD">
      <w:pPr>
        <w:jc w:val="both"/>
        <w:rPr>
          <w:rFonts w:ascii="Open Sans" w:hAnsi="Open Sans" w:cs="Arial"/>
          <w:sz w:val="20"/>
          <w:szCs w:val="20"/>
        </w:rPr>
      </w:pPr>
    </w:p>
    <w:p w14:paraId="01CE94D3" w14:textId="77777777" w:rsidR="00DA58FD" w:rsidRPr="00EE1EF7" w:rsidRDefault="00DA58FD" w:rsidP="00DA58FD">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6D300CD6" w14:textId="77777777" w:rsidR="00DA58FD" w:rsidRPr="00EE1EF7" w:rsidRDefault="00DA58FD" w:rsidP="00DA58FD">
      <w:pPr>
        <w:jc w:val="both"/>
        <w:rPr>
          <w:rFonts w:ascii="Open Sans" w:hAnsi="Open Sans" w:cs="Arial"/>
          <w:sz w:val="20"/>
          <w:szCs w:val="20"/>
        </w:rPr>
      </w:pPr>
    </w:p>
    <w:p w14:paraId="676951B2" w14:textId="77777777" w:rsidR="00DA58FD" w:rsidRPr="00EE1EF7" w:rsidRDefault="00DA58FD" w:rsidP="00DA58FD">
      <w:pPr>
        <w:jc w:val="both"/>
        <w:rPr>
          <w:rFonts w:ascii="Open Sans" w:hAnsi="Open Sans" w:cs="Arial"/>
          <w:sz w:val="20"/>
          <w:szCs w:val="20"/>
        </w:rPr>
      </w:pPr>
      <w:r>
        <w:rPr>
          <w:rFonts w:ascii="Open Sans" w:hAnsi="Open Sans" w:cs="Arial"/>
          <w:sz w:val="20"/>
          <w:szCs w:val="20"/>
        </w:rPr>
        <w:t>REC</w:t>
      </w:r>
      <w:r w:rsidRPr="00EE1EF7">
        <w:rPr>
          <w:rFonts w:ascii="Open Sans" w:hAnsi="Open Sans" w:cs="Arial"/>
          <w:sz w:val="20"/>
          <w:szCs w:val="20"/>
        </w:rPr>
        <w:t xml:space="preserve"> opera en los siguientes países</w:t>
      </w:r>
      <w:r>
        <w:rPr>
          <w:rFonts w:ascii="Open Sans" w:hAnsi="Open Sans" w:cs="Arial"/>
          <w:sz w:val="20"/>
          <w:szCs w:val="20"/>
        </w:rPr>
        <w:t>:</w:t>
      </w:r>
    </w:p>
    <w:p w14:paraId="4E70166B" w14:textId="77777777" w:rsidR="00DA58FD" w:rsidRDefault="00DA58FD" w:rsidP="00DA58FD">
      <w:pPr>
        <w:jc w:val="both"/>
        <w:rPr>
          <w:rFonts w:ascii="Open Sans" w:hAnsi="Open Sans" w:cs="Arial"/>
          <w:sz w:val="20"/>
          <w:szCs w:val="20"/>
        </w:rPr>
      </w:pPr>
    </w:p>
    <w:p w14:paraId="3D18F145" w14:textId="77777777" w:rsidR="00DA58FD" w:rsidRPr="00EE1EF7" w:rsidRDefault="00DA58FD" w:rsidP="00DA58FD">
      <w:pPr>
        <w:jc w:val="both"/>
        <w:rPr>
          <w:rFonts w:ascii="Open Sans" w:hAnsi="Open Sans" w:cs="Arial"/>
          <w:sz w:val="20"/>
          <w:szCs w:val="20"/>
        </w:rPr>
      </w:pPr>
      <w:r>
        <w:rPr>
          <w:rFonts w:ascii="Open Sans" w:hAnsi="Open Sans" w:cs="Arial"/>
          <w:sz w:val="20"/>
          <w:szCs w:val="20"/>
        </w:rPr>
        <w:t>España, Francia, Perú, Chile, Holanda y Luxemburgo</w:t>
      </w:r>
    </w:p>
    <w:p w14:paraId="00ECBB36" w14:textId="77777777" w:rsidR="00DA58FD" w:rsidRPr="00EE1EF7" w:rsidRDefault="00DA58FD" w:rsidP="00DA58FD">
      <w:pPr>
        <w:jc w:val="both"/>
        <w:rPr>
          <w:rFonts w:ascii="Open Sans" w:hAnsi="Open Sans" w:cs="Arial"/>
          <w:sz w:val="20"/>
          <w:szCs w:val="20"/>
        </w:rPr>
      </w:pPr>
    </w:p>
    <w:p w14:paraId="14D6C39D" w14:textId="77777777" w:rsidR="00DA58FD" w:rsidRDefault="00DA58FD" w:rsidP="00DA58FD">
      <w:pPr>
        <w:jc w:val="both"/>
        <w:rPr>
          <w:rFonts w:ascii="Open Sans" w:hAnsi="Open Sans" w:cs="Arial"/>
          <w:sz w:val="20"/>
          <w:szCs w:val="20"/>
          <w:u w:val="single"/>
        </w:rPr>
      </w:pPr>
      <w:r>
        <w:rPr>
          <w:rFonts w:ascii="Open Sans" w:hAnsi="Open Sans" w:cs="Arial"/>
          <w:sz w:val="20"/>
          <w:szCs w:val="20"/>
          <w:u w:val="single"/>
        </w:rPr>
        <w:t>Cifras relevantes de la empresa:</w:t>
      </w:r>
    </w:p>
    <w:p w14:paraId="0E1B0BF9" w14:textId="77777777" w:rsidR="00DA58FD" w:rsidRDefault="00DA58FD" w:rsidP="00DA58FD">
      <w:pPr>
        <w:jc w:val="both"/>
        <w:rPr>
          <w:rFonts w:ascii="Open Sans" w:hAnsi="Open Sans" w:cs="Arial"/>
          <w:sz w:val="20"/>
          <w:szCs w:val="20"/>
          <w:u w:val="single"/>
        </w:rPr>
      </w:pPr>
    </w:p>
    <w:p w14:paraId="3EA6F555" w14:textId="77777777" w:rsidR="00DA58FD" w:rsidRDefault="00DA58FD" w:rsidP="00DA58FD">
      <w:pPr>
        <w:jc w:val="both"/>
        <w:rPr>
          <w:rFonts w:ascii="Open Sans" w:hAnsi="Open Sans" w:cs="Arial"/>
          <w:sz w:val="20"/>
          <w:szCs w:val="20"/>
        </w:rPr>
      </w:pPr>
      <w:r>
        <w:rPr>
          <w:rFonts w:ascii="Open Sans" w:hAnsi="Open Sans" w:cs="Arial"/>
          <w:sz w:val="20"/>
          <w:szCs w:val="20"/>
        </w:rPr>
        <w:t>El grupo Red Eléctrica</w:t>
      </w:r>
      <w:r w:rsidRPr="009E6F04">
        <w:rPr>
          <w:rFonts w:ascii="Open Sans" w:hAnsi="Open Sans" w:cs="Arial"/>
          <w:sz w:val="20"/>
          <w:szCs w:val="20"/>
        </w:rPr>
        <w:t xml:space="preserve"> ha obtenido una facturación en 2015 de </w:t>
      </w:r>
      <w:r>
        <w:rPr>
          <w:rFonts w:ascii="Open Sans" w:hAnsi="Open Sans" w:cs="Arial"/>
          <w:sz w:val="20"/>
          <w:szCs w:val="20"/>
        </w:rPr>
        <w:t>1.938,9 millones de euros lo que le ha generado un beneficio antes de impuestos al grupo consolidado de 829,7 millones de euros.</w:t>
      </w:r>
    </w:p>
    <w:p w14:paraId="261EA3F8" w14:textId="77777777" w:rsidR="00DA58FD" w:rsidRDefault="00DA58FD" w:rsidP="00DA58FD">
      <w:pPr>
        <w:jc w:val="both"/>
        <w:rPr>
          <w:rFonts w:ascii="Open Sans" w:hAnsi="Open Sans" w:cs="Arial"/>
          <w:sz w:val="20"/>
          <w:szCs w:val="20"/>
        </w:rPr>
      </w:pPr>
    </w:p>
    <w:p w14:paraId="00853A6A" w14:textId="77777777" w:rsidR="00DA58FD" w:rsidRPr="009E6F04" w:rsidRDefault="00DA58FD" w:rsidP="00DA58FD">
      <w:pPr>
        <w:jc w:val="both"/>
        <w:rPr>
          <w:rFonts w:ascii="Open Sans" w:hAnsi="Open Sans" w:cs="Arial"/>
          <w:sz w:val="20"/>
          <w:szCs w:val="20"/>
        </w:rPr>
      </w:pPr>
      <w:r w:rsidRPr="009E6F04">
        <w:rPr>
          <w:rFonts w:ascii="Open Sans" w:hAnsi="Open Sans" w:cs="Arial"/>
          <w:sz w:val="20"/>
          <w:szCs w:val="20"/>
        </w:rPr>
        <w:t xml:space="preserve">Al </w:t>
      </w:r>
      <w:r>
        <w:rPr>
          <w:rFonts w:ascii="Open Sans" w:hAnsi="Open Sans" w:cs="Arial"/>
          <w:sz w:val="20"/>
          <w:szCs w:val="20"/>
        </w:rPr>
        <w:t xml:space="preserve">cierre del ejercicio </w:t>
      </w:r>
      <w:r w:rsidRPr="009E6F04">
        <w:rPr>
          <w:rFonts w:ascii="Open Sans" w:hAnsi="Open Sans" w:cs="Arial"/>
          <w:sz w:val="20"/>
          <w:szCs w:val="20"/>
        </w:rPr>
        <w:t xml:space="preserve">el grupo cuenta con un total de </w:t>
      </w:r>
      <w:r w:rsidRPr="00016C41">
        <w:rPr>
          <w:rFonts w:ascii="Open Sans" w:hAnsi="Open Sans" w:cs="Arial"/>
          <w:sz w:val="20"/>
          <w:szCs w:val="20"/>
        </w:rPr>
        <w:t>1</w:t>
      </w:r>
      <w:r>
        <w:rPr>
          <w:rFonts w:ascii="Open Sans" w:hAnsi="Open Sans" w:cs="Arial"/>
          <w:sz w:val="20"/>
          <w:szCs w:val="20"/>
        </w:rPr>
        <w:t>.</w:t>
      </w:r>
      <w:r w:rsidRPr="00016C41">
        <w:rPr>
          <w:rFonts w:ascii="Open Sans" w:hAnsi="Open Sans" w:cs="Arial"/>
          <w:sz w:val="20"/>
          <w:szCs w:val="20"/>
        </w:rPr>
        <w:t>763</w:t>
      </w:r>
      <w:r>
        <w:rPr>
          <w:rFonts w:ascii="Open Sans" w:hAnsi="Open Sans" w:cs="Arial"/>
          <w:sz w:val="20"/>
          <w:szCs w:val="20"/>
        </w:rPr>
        <w:t xml:space="preserve"> </w:t>
      </w:r>
      <w:r w:rsidRPr="009E6F04">
        <w:rPr>
          <w:rFonts w:ascii="Open Sans" w:hAnsi="Open Sans" w:cs="Arial"/>
          <w:sz w:val="20"/>
          <w:szCs w:val="20"/>
        </w:rPr>
        <w:t>empleados.</w:t>
      </w:r>
    </w:p>
    <w:p w14:paraId="121E9568" w14:textId="77777777" w:rsidR="00DA58FD" w:rsidRDefault="00DA58FD" w:rsidP="00DA58FD">
      <w:pPr>
        <w:jc w:val="both"/>
        <w:rPr>
          <w:rFonts w:ascii="Open Sans" w:hAnsi="Open Sans" w:cs="Arial"/>
          <w:sz w:val="20"/>
          <w:szCs w:val="20"/>
          <w:u w:val="single"/>
        </w:rPr>
      </w:pPr>
    </w:p>
    <w:p w14:paraId="3A56604B" w14:textId="77777777" w:rsidR="00DA58FD" w:rsidRDefault="00DA58FD" w:rsidP="00DA58FD">
      <w:pPr>
        <w:jc w:val="both"/>
        <w:rPr>
          <w:rFonts w:ascii="Open Sans" w:hAnsi="Open Sans" w:cs="Arial"/>
          <w:sz w:val="20"/>
          <w:szCs w:val="20"/>
          <w:u w:val="single"/>
        </w:rPr>
      </w:pPr>
    </w:p>
    <w:p w14:paraId="1EB8F45A" w14:textId="77777777" w:rsidR="00DA58FD" w:rsidRPr="00EE1EF7" w:rsidRDefault="00DA58FD" w:rsidP="00DA58FD">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3882ED6C" w14:textId="77777777" w:rsidR="00DA58FD" w:rsidRPr="00EE1EF7" w:rsidRDefault="00DA58FD" w:rsidP="00DA58FD">
      <w:pPr>
        <w:jc w:val="both"/>
        <w:rPr>
          <w:rFonts w:ascii="Open Sans" w:hAnsi="Open Sans" w:cs="Arial"/>
          <w:sz w:val="20"/>
          <w:szCs w:val="20"/>
          <w:u w:val="single"/>
        </w:rPr>
      </w:pPr>
    </w:p>
    <w:p w14:paraId="11DB2214" w14:textId="77777777" w:rsidR="00DA58FD" w:rsidRPr="00EE1EF7" w:rsidRDefault="00DA58FD" w:rsidP="00DA58FD">
      <w:pPr>
        <w:jc w:val="both"/>
        <w:rPr>
          <w:rFonts w:ascii="Open Sans" w:hAnsi="Open Sans" w:cs="Arial"/>
          <w:sz w:val="20"/>
          <w:szCs w:val="20"/>
        </w:rPr>
      </w:pPr>
      <w:r>
        <w:rPr>
          <w:rFonts w:ascii="Open Sans" w:hAnsi="Open Sans" w:cs="Arial"/>
          <w:sz w:val="20"/>
          <w:szCs w:val="20"/>
        </w:rPr>
        <w:t>REC</w:t>
      </w:r>
      <w:r w:rsidRPr="00EE1EF7">
        <w:rPr>
          <w:rFonts w:ascii="Open Sans" w:hAnsi="Open Sans" w:cs="Arial"/>
          <w:sz w:val="20"/>
          <w:szCs w:val="20"/>
        </w:rPr>
        <w:t xml:space="preserve"> informa que se ha adherido voluntariamente a los siguientes estándares relacionados con contenidos y sistemas de gestión de </w:t>
      </w:r>
      <w:r>
        <w:rPr>
          <w:rFonts w:ascii="Open Sans" w:hAnsi="Open Sans" w:cs="Arial"/>
          <w:sz w:val="20"/>
          <w:szCs w:val="20"/>
        </w:rPr>
        <w:t>fiscalidad responsable</w:t>
      </w:r>
      <w:r w:rsidRPr="00EE1EF7">
        <w:rPr>
          <w:rFonts w:ascii="Open Sans" w:hAnsi="Open Sans" w:cs="Arial"/>
          <w:sz w:val="20"/>
          <w:szCs w:val="20"/>
        </w:rPr>
        <w:t>:</w:t>
      </w:r>
    </w:p>
    <w:p w14:paraId="1EB70494" w14:textId="77777777" w:rsidR="00DA58FD" w:rsidRPr="00EE1EF7" w:rsidRDefault="00DA58FD" w:rsidP="00DA58FD">
      <w:pPr>
        <w:jc w:val="both"/>
        <w:rPr>
          <w:rFonts w:ascii="Open Sans" w:hAnsi="Open Sans" w:cs="Arial"/>
          <w:sz w:val="20"/>
          <w:szCs w:val="20"/>
        </w:rPr>
      </w:pPr>
    </w:p>
    <w:p w14:paraId="6E3754CA" w14:textId="77777777" w:rsidR="00DA58FD" w:rsidRPr="00A86F35" w:rsidRDefault="00DA58FD" w:rsidP="00DA58FD">
      <w:pPr>
        <w:numPr>
          <w:ilvl w:val="0"/>
          <w:numId w:val="12"/>
        </w:numPr>
        <w:jc w:val="both"/>
        <w:rPr>
          <w:rFonts w:ascii="Open Sans" w:hAnsi="Open Sans" w:cs="Arial"/>
          <w:sz w:val="20"/>
          <w:szCs w:val="20"/>
        </w:rPr>
      </w:pPr>
      <w:r w:rsidRPr="007D58E3">
        <w:rPr>
          <w:rFonts w:ascii="Open Sans" w:hAnsi="Open Sans" w:cs="Arial"/>
          <w:sz w:val="20"/>
          <w:szCs w:val="20"/>
        </w:rPr>
        <w:t>Adhesión al Código de Buenas Prácticas Tributarias.</w:t>
      </w:r>
      <w:r>
        <w:rPr>
          <w:rFonts w:ascii="Open Sans" w:hAnsi="Open Sans" w:cs="Arial"/>
          <w:sz w:val="20"/>
          <w:szCs w:val="20"/>
        </w:rPr>
        <w:t xml:space="preserve"> O</w:t>
      </w:r>
      <w:r w:rsidRPr="00232711">
        <w:rPr>
          <w:rFonts w:ascii="Open Sans" w:hAnsi="Open Sans" w:cs="Arial"/>
          <w:sz w:val="20"/>
          <w:szCs w:val="20"/>
        </w:rPr>
        <w:t>ctubre de 2015</w:t>
      </w:r>
    </w:p>
    <w:p w14:paraId="5BBCBDF8" w14:textId="77777777" w:rsidR="00DA58FD" w:rsidRDefault="00DA58FD" w:rsidP="00DA58FD">
      <w:pPr>
        <w:jc w:val="both"/>
        <w:rPr>
          <w:rFonts w:ascii="Open Sans" w:hAnsi="Open Sans" w:cs="Arial"/>
          <w:sz w:val="20"/>
          <w:szCs w:val="20"/>
          <w:u w:val="single"/>
        </w:rPr>
      </w:pPr>
    </w:p>
    <w:p w14:paraId="72D0C535" w14:textId="77777777" w:rsidR="00DA58FD" w:rsidRDefault="00DA58FD" w:rsidP="00DA58FD">
      <w:pPr>
        <w:rPr>
          <w:rFonts w:ascii="Open Sans" w:hAnsi="Open Sans" w:cs="Arial"/>
          <w:sz w:val="20"/>
          <w:szCs w:val="20"/>
          <w:u w:val="single"/>
        </w:rPr>
      </w:pPr>
      <w:r>
        <w:rPr>
          <w:rFonts w:ascii="Open Sans" w:hAnsi="Open Sans" w:cs="Arial"/>
          <w:sz w:val="20"/>
          <w:szCs w:val="20"/>
          <w:u w:val="single"/>
        </w:rPr>
        <w:br w:type="page"/>
      </w:r>
    </w:p>
    <w:p w14:paraId="4E2A7498" w14:textId="77777777" w:rsidR="00DA58FD" w:rsidRPr="00EE1EF7" w:rsidRDefault="00DA58FD" w:rsidP="00DA58FD">
      <w:pPr>
        <w:jc w:val="both"/>
        <w:rPr>
          <w:rFonts w:ascii="Open Sans" w:hAnsi="Open Sans" w:cs="Arial"/>
          <w:sz w:val="20"/>
          <w:szCs w:val="20"/>
          <w:u w:val="single"/>
        </w:rPr>
      </w:pPr>
    </w:p>
    <w:p w14:paraId="4DC7CC40" w14:textId="77777777" w:rsidR="00DA58FD" w:rsidRPr="00EE1EF7" w:rsidRDefault="00DA58FD" w:rsidP="00DA58FD">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04F395B6" w14:textId="77777777" w:rsidR="00DA58FD" w:rsidRPr="00EE1EF7" w:rsidRDefault="00DA58FD" w:rsidP="00DA58FD">
      <w:pPr>
        <w:ind w:firstLine="709"/>
        <w:jc w:val="both"/>
        <w:rPr>
          <w:rFonts w:ascii="Open Sans" w:hAnsi="Open Sans" w:cs="Arial"/>
          <w:sz w:val="20"/>
          <w:szCs w:val="20"/>
        </w:rPr>
      </w:pPr>
    </w:p>
    <w:p w14:paraId="0FC30E28" w14:textId="77777777" w:rsidR="00DA58FD" w:rsidRPr="00EE1EF7" w:rsidRDefault="00DA58FD" w:rsidP="00DA58FD">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4902E05C" w14:textId="77777777" w:rsidR="00DA58FD" w:rsidRPr="00732FD5" w:rsidRDefault="00DA58FD" w:rsidP="00DA58FD">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975"/>
        <w:gridCol w:w="3543"/>
      </w:tblGrid>
      <w:tr w:rsidR="00DA58FD" w:rsidRPr="00732FD5" w14:paraId="1104858B" w14:textId="77777777" w:rsidTr="008E68EC">
        <w:trPr>
          <w:trHeight w:val="327"/>
        </w:trPr>
        <w:tc>
          <w:tcPr>
            <w:tcW w:w="4975"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0E65FC5F" w14:textId="77777777" w:rsidR="00DA58FD" w:rsidRPr="00732FD5" w:rsidRDefault="00DA58FD" w:rsidP="008E68EC">
            <w:pPr>
              <w:jc w:val="center"/>
              <w:rPr>
                <w:rFonts w:ascii="Open Sans" w:hAnsi="Open Sans" w:cs="Arial"/>
                <w:b/>
                <w:sz w:val="20"/>
                <w:szCs w:val="22"/>
              </w:rPr>
            </w:pPr>
            <w:r w:rsidRPr="00732FD5">
              <w:rPr>
                <w:rFonts w:ascii="Open Sans" w:hAnsi="Open Sans" w:cs="Arial"/>
                <w:b/>
                <w:sz w:val="20"/>
                <w:szCs w:val="22"/>
              </w:rPr>
              <w:t>DOCUMENTACIÓN</w:t>
            </w:r>
          </w:p>
        </w:tc>
        <w:tc>
          <w:tcPr>
            <w:tcW w:w="3543"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798F7EE8" w14:textId="77777777" w:rsidR="00DA58FD" w:rsidRPr="00732FD5" w:rsidRDefault="00DA58FD" w:rsidP="008E68EC">
            <w:pPr>
              <w:jc w:val="center"/>
              <w:rPr>
                <w:rFonts w:ascii="Open Sans" w:hAnsi="Open Sans" w:cs="Arial"/>
                <w:b/>
                <w:sz w:val="20"/>
                <w:szCs w:val="22"/>
              </w:rPr>
            </w:pPr>
            <w:r w:rsidRPr="00732FD5">
              <w:rPr>
                <w:rFonts w:ascii="Open Sans" w:hAnsi="Open Sans" w:cs="Arial"/>
                <w:b/>
                <w:sz w:val="20"/>
                <w:szCs w:val="22"/>
              </w:rPr>
              <w:t>OBSERVACIONES</w:t>
            </w:r>
          </w:p>
        </w:tc>
      </w:tr>
      <w:tr w:rsidR="00DA58FD" w:rsidRPr="00732FD5" w14:paraId="40428C88" w14:textId="77777777" w:rsidTr="008E68EC">
        <w:trPr>
          <w:trHeight w:val="315"/>
        </w:trPr>
        <w:tc>
          <w:tcPr>
            <w:tcW w:w="4975"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583D154" w14:textId="77777777" w:rsidR="00DA58FD" w:rsidRPr="00016C41" w:rsidRDefault="00DA58FD" w:rsidP="008E68EC">
            <w:pPr>
              <w:rPr>
                <w:rFonts w:ascii="Open Sans" w:eastAsia="Arial Unicode MS" w:hAnsi="Open Sans" w:cs="Arial"/>
                <w:sz w:val="20"/>
                <w:szCs w:val="20"/>
              </w:rPr>
            </w:pPr>
            <w:r w:rsidRPr="00016C41">
              <w:rPr>
                <w:rFonts w:ascii="Open Sans" w:hAnsi="Open Sans" w:cs="Arial"/>
                <w:color w:val="000000"/>
                <w:sz w:val="20"/>
                <w:szCs w:val="20"/>
              </w:rPr>
              <w:t>Cuentas Anuales Consolidadas 2015</w:t>
            </w:r>
          </w:p>
        </w:tc>
        <w:tc>
          <w:tcPr>
            <w:tcW w:w="3543"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D026752" w14:textId="77777777" w:rsidR="00DA58FD" w:rsidRPr="00016C41" w:rsidRDefault="00DA58FD" w:rsidP="008E68EC">
            <w:pPr>
              <w:jc w:val="both"/>
              <w:rPr>
                <w:rFonts w:ascii="Open Sans" w:eastAsia="Arial Unicode MS" w:hAnsi="Open Sans" w:cs="Arial"/>
                <w:sz w:val="20"/>
                <w:szCs w:val="20"/>
              </w:rPr>
            </w:pPr>
          </w:p>
        </w:tc>
      </w:tr>
      <w:tr w:rsidR="00DA58FD" w:rsidRPr="00732FD5" w14:paraId="55420711" w14:textId="77777777" w:rsidTr="008E68EC">
        <w:trPr>
          <w:trHeight w:val="300"/>
        </w:trPr>
        <w:tc>
          <w:tcPr>
            <w:tcW w:w="4975"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4160BC8" w14:textId="77777777" w:rsidR="00DA58FD" w:rsidRPr="00016C41" w:rsidRDefault="00DA58FD" w:rsidP="008E68EC">
            <w:pPr>
              <w:rPr>
                <w:rFonts w:ascii="Open Sans" w:eastAsia="Arial Unicode MS" w:hAnsi="Open Sans" w:cs="Arial"/>
                <w:sz w:val="20"/>
                <w:szCs w:val="20"/>
              </w:rPr>
            </w:pPr>
            <w:r w:rsidRPr="00016C41">
              <w:rPr>
                <w:rFonts w:ascii="Open Sans" w:hAnsi="Open Sans" w:cs="Arial"/>
                <w:color w:val="000000"/>
                <w:sz w:val="20"/>
                <w:szCs w:val="20"/>
              </w:rPr>
              <w:t>Informe de Responsabilidad Social Corporativa 2015</w:t>
            </w:r>
          </w:p>
        </w:tc>
        <w:tc>
          <w:tcPr>
            <w:tcW w:w="3543"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CCED158" w14:textId="77777777" w:rsidR="00DA58FD" w:rsidRPr="00016C41" w:rsidRDefault="00DA58FD" w:rsidP="008E68EC">
            <w:pPr>
              <w:jc w:val="both"/>
              <w:rPr>
                <w:rFonts w:ascii="Open Sans" w:eastAsia="Arial Unicode MS" w:hAnsi="Open Sans" w:cs="Arial"/>
                <w:sz w:val="20"/>
                <w:szCs w:val="20"/>
              </w:rPr>
            </w:pPr>
          </w:p>
        </w:tc>
      </w:tr>
      <w:tr w:rsidR="00DA58FD" w:rsidRPr="00732FD5" w14:paraId="7595C1A4" w14:textId="77777777" w:rsidTr="008E68EC">
        <w:trPr>
          <w:trHeight w:val="264"/>
        </w:trPr>
        <w:tc>
          <w:tcPr>
            <w:tcW w:w="4975"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115F8CE" w14:textId="77777777" w:rsidR="00DA58FD" w:rsidRPr="00016C41" w:rsidRDefault="00DA58FD" w:rsidP="008E68EC">
            <w:pPr>
              <w:rPr>
                <w:rFonts w:ascii="Open Sans" w:eastAsia="Arial Unicode MS" w:hAnsi="Open Sans" w:cs="Arial"/>
                <w:sz w:val="20"/>
                <w:szCs w:val="20"/>
              </w:rPr>
            </w:pPr>
            <w:r w:rsidRPr="00016C41">
              <w:rPr>
                <w:rFonts w:ascii="Open Sans" w:hAnsi="Open Sans" w:cs="Arial"/>
                <w:color w:val="000000"/>
                <w:sz w:val="20"/>
                <w:szCs w:val="20"/>
              </w:rPr>
              <w:t>Informe de Gobierno Corporativo 2015</w:t>
            </w:r>
          </w:p>
        </w:tc>
        <w:tc>
          <w:tcPr>
            <w:tcW w:w="3543"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2F6EAAD" w14:textId="77777777" w:rsidR="00DA58FD" w:rsidRPr="00016C41" w:rsidRDefault="00DA58FD" w:rsidP="008E68EC">
            <w:pPr>
              <w:jc w:val="both"/>
              <w:rPr>
                <w:rFonts w:ascii="Open Sans" w:eastAsia="Arial Unicode MS" w:hAnsi="Open Sans" w:cs="Arial"/>
                <w:sz w:val="20"/>
                <w:szCs w:val="20"/>
              </w:rPr>
            </w:pPr>
          </w:p>
        </w:tc>
      </w:tr>
      <w:tr w:rsidR="00DA58FD" w:rsidRPr="00732FD5" w14:paraId="19EE33FB" w14:textId="77777777" w:rsidTr="008E68EC">
        <w:trPr>
          <w:trHeight w:val="270"/>
        </w:trPr>
        <w:tc>
          <w:tcPr>
            <w:tcW w:w="4975"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D32A5C5" w14:textId="77777777" w:rsidR="00DA58FD" w:rsidRPr="00016C41" w:rsidRDefault="00DA58FD" w:rsidP="008E68EC">
            <w:pPr>
              <w:rPr>
                <w:rFonts w:ascii="Open Sans" w:hAnsi="Open Sans" w:cs="Tahoma"/>
                <w:sz w:val="20"/>
                <w:szCs w:val="20"/>
              </w:rPr>
            </w:pPr>
            <w:r w:rsidRPr="00016C41">
              <w:rPr>
                <w:rFonts w:ascii="Open Sans" w:hAnsi="Open Sans" w:cs="Arial"/>
                <w:color w:val="000000"/>
                <w:sz w:val="20"/>
                <w:szCs w:val="20"/>
              </w:rPr>
              <w:t>Estrategia Fiscal</w:t>
            </w:r>
          </w:p>
        </w:tc>
        <w:tc>
          <w:tcPr>
            <w:tcW w:w="354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B0E2D56" w14:textId="77777777" w:rsidR="00DA58FD" w:rsidRPr="00016C41" w:rsidRDefault="00DA58FD" w:rsidP="008E68EC">
            <w:pPr>
              <w:jc w:val="both"/>
              <w:rPr>
                <w:rFonts w:ascii="Open Sans" w:eastAsia="Arial Unicode MS" w:hAnsi="Open Sans" w:cs="Arial"/>
                <w:sz w:val="20"/>
                <w:szCs w:val="20"/>
              </w:rPr>
            </w:pPr>
            <w:r w:rsidRPr="00016C41">
              <w:rPr>
                <w:rFonts w:ascii="Open Sans" w:eastAsia="Arial Unicode MS" w:hAnsi="Open Sans" w:cs="Arial"/>
                <w:sz w:val="20"/>
                <w:szCs w:val="20"/>
              </w:rPr>
              <w:t>Aprobada en junio de 2015</w:t>
            </w:r>
          </w:p>
        </w:tc>
      </w:tr>
      <w:tr w:rsidR="00DA58FD" w:rsidRPr="00732FD5" w14:paraId="08E0E6B3" w14:textId="77777777" w:rsidTr="008E68EC">
        <w:trPr>
          <w:trHeight w:val="270"/>
        </w:trPr>
        <w:tc>
          <w:tcPr>
            <w:tcW w:w="4975"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624CE1D9" w14:textId="77777777" w:rsidR="00DA58FD" w:rsidRPr="00016C41" w:rsidRDefault="00DA58FD" w:rsidP="008E68EC">
            <w:pPr>
              <w:rPr>
                <w:rFonts w:ascii="Open Sans" w:hAnsi="Open Sans" w:cs="Tahoma"/>
                <w:sz w:val="20"/>
                <w:szCs w:val="20"/>
              </w:rPr>
            </w:pPr>
            <w:r w:rsidRPr="00016C41">
              <w:rPr>
                <w:rFonts w:ascii="Open Sans" w:hAnsi="Open Sans"/>
                <w:color w:val="000000"/>
                <w:sz w:val="20"/>
                <w:szCs w:val="20"/>
              </w:rPr>
              <w:t>Código Ético</w:t>
            </w:r>
          </w:p>
        </w:tc>
        <w:tc>
          <w:tcPr>
            <w:tcW w:w="354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A812E7B" w14:textId="77777777" w:rsidR="00DA58FD" w:rsidRPr="00016C41" w:rsidRDefault="00DA58FD" w:rsidP="008E68EC">
            <w:pPr>
              <w:jc w:val="both"/>
              <w:rPr>
                <w:rFonts w:ascii="Open Sans" w:eastAsia="Arial Unicode MS" w:hAnsi="Open Sans" w:cs="Arial"/>
                <w:sz w:val="20"/>
                <w:szCs w:val="20"/>
              </w:rPr>
            </w:pPr>
          </w:p>
        </w:tc>
      </w:tr>
      <w:tr w:rsidR="00DA58FD" w:rsidRPr="00732FD5" w14:paraId="411143BD" w14:textId="77777777" w:rsidTr="008E68EC">
        <w:trPr>
          <w:trHeight w:val="270"/>
        </w:trPr>
        <w:tc>
          <w:tcPr>
            <w:tcW w:w="4975"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36FF157A" w14:textId="77777777" w:rsidR="00DA58FD" w:rsidRPr="00016C41" w:rsidRDefault="00DA58FD" w:rsidP="008E68EC">
            <w:pPr>
              <w:rPr>
                <w:rFonts w:ascii="Open Sans" w:hAnsi="Open Sans" w:cs="Tahoma"/>
                <w:sz w:val="20"/>
                <w:szCs w:val="20"/>
              </w:rPr>
            </w:pPr>
            <w:r w:rsidRPr="00016C41">
              <w:rPr>
                <w:rFonts w:ascii="Open Sans" w:hAnsi="Open Sans"/>
                <w:color w:val="000000"/>
                <w:sz w:val="20"/>
                <w:szCs w:val="20"/>
              </w:rPr>
              <w:t>Política de Responsabilidad Social Corporativa</w:t>
            </w:r>
          </w:p>
        </w:tc>
        <w:tc>
          <w:tcPr>
            <w:tcW w:w="354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72E7C8DA" w14:textId="77777777" w:rsidR="00DA58FD" w:rsidRPr="00016C41" w:rsidRDefault="00DA58FD" w:rsidP="008E68EC">
            <w:pPr>
              <w:jc w:val="both"/>
              <w:rPr>
                <w:rFonts w:ascii="Open Sans" w:eastAsia="Arial Unicode MS" w:hAnsi="Open Sans" w:cs="Arial"/>
                <w:sz w:val="20"/>
                <w:szCs w:val="20"/>
              </w:rPr>
            </w:pPr>
            <w:r w:rsidRPr="00016C41">
              <w:rPr>
                <w:rFonts w:ascii="Open Sans" w:eastAsia="Arial Unicode MS" w:hAnsi="Open Sans" w:cs="Arial"/>
                <w:sz w:val="20"/>
                <w:szCs w:val="20"/>
              </w:rPr>
              <w:t>A</w:t>
            </w:r>
            <w:r>
              <w:rPr>
                <w:rFonts w:ascii="Open Sans" w:eastAsia="Arial Unicode MS" w:hAnsi="Open Sans" w:cs="Arial"/>
                <w:sz w:val="20"/>
                <w:szCs w:val="20"/>
              </w:rPr>
              <w:t>ctualizada</w:t>
            </w:r>
            <w:r w:rsidRPr="00016C41">
              <w:rPr>
                <w:rFonts w:ascii="Open Sans" w:eastAsia="Arial Unicode MS" w:hAnsi="Open Sans" w:cs="Arial"/>
                <w:sz w:val="20"/>
                <w:szCs w:val="20"/>
              </w:rPr>
              <w:t xml:space="preserve"> en 2015</w:t>
            </w:r>
          </w:p>
        </w:tc>
      </w:tr>
      <w:tr w:rsidR="00DA58FD" w:rsidRPr="00732FD5" w14:paraId="54FCE5FF" w14:textId="77777777" w:rsidTr="008E68EC">
        <w:trPr>
          <w:trHeight w:val="270"/>
        </w:trPr>
        <w:tc>
          <w:tcPr>
            <w:tcW w:w="4975"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4E607CE8" w14:textId="77777777" w:rsidR="00DA58FD" w:rsidRPr="00016C41" w:rsidRDefault="00DA58FD" w:rsidP="008E68EC">
            <w:pPr>
              <w:rPr>
                <w:rFonts w:ascii="Open Sans" w:hAnsi="Open Sans"/>
                <w:color w:val="000000"/>
                <w:sz w:val="20"/>
                <w:szCs w:val="20"/>
              </w:rPr>
            </w:pPr>
            <w:r>
              <w:rPr>
                <w:rFonts w:ascii="Open Sans" w:hAnsi="Open Sans"/>
                <w:color w:val="000000"/>
                <w:sz w:val="20"/>
                <w:szCs w:val="20"/>
              </w:rPr>
              <w:t>Política de Gestión Integral de Riesgos</w:t>
            </w:r>
          </w:p>
        </w:tc>
        <w:tc>
          <w:tcPr>
            <w:tcW w:w="354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6A4A28D" w14:textId="77777777" w:rsidR="00DA58FD" w:rsidRPr="00016C41" w:rsidRDefault="00DA58FD" w:rsidP="008E68EC">
            <w:pPr>
              <w:jc w:val="both"/>
              <w:rPr>
                <w:rFonts w:ascii="Open Sans" w:eastAsia="Arial Unicode MS" w:hAnsi="Open Sans" w:cs="Arial"/>
                <w:sz w:val="20"/>
                <w:szCs w:val="20"/>
              </w:rPr>
            </w:pPr>
          </w:p>
        </w:tc>
      </w:tr>
      <w:tr w:rsidR="00DA58FD" w:rsidRPr="00732FD5" w14:paraId="4B20B2BD" w14:textId="77777777" w:rsidTr="008E68EC">
        <w:trPr>
          <w:trHeight w:val="270"/>
        </w:trPr>
        <w:tc>
          <w:tcPr>
            <w:tcW w:w="4975"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5103B43" w14:textId="77777777" w:rsidR="00DA58FD" w:rsidRPr="00016C41" w:rsidRDefault="00DA58FD" w:rsidP="008E68EC">
            <w:pPr>
              <w:rPr>
                <w:rFonts w:ascii="Open Sans" w:hAnsi="Open Sans" w:cs="Tahoma"/>
                <w:sz w:val="20"/>
                <w:szCs w:val="20"/>
              </w:rPr>
            </w:pPr>
            <w:r w:rsidRPr="00016C41">
              <w:rPr>
                <w:rFonts w:ascii="Open Sans" w:hAnsi="Open Sans"/>
                <w:color w:val="000000"/>
                <w:sz w:val="20"/>
                <w:szCs w:val="20"/>
              </w:rPr>
              <w:t>Política económica financiera</w:t>
            </w:r>
          </w:p>
        </w:tc>
        <w:tc>
          <w:tcPr>
            <w:tcW w:w="354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5ABE21BA" w14:textId="77777777" w:rsidR="00DA58FD" w:rsidRPr="00016C41" w:rsidRDefault="00DA58FD" w:rsidP="008E68EC">
            <w:pPr>
              <w:jc w:val="both"/>
              <w:rPr>
                <w:rFonts w:ascii="Open Sans" w:eastAsia="Arial Unicode MS" w:hAnsi="Open Sans" w:cs="Arial"/>
                <w:sz w:val="20"/>
                <w:szCs w:val="20"/>
              </w:rPr>
            </w:pPr>
          </w:p>
        </w:tc>
      </w:tr>
    </w:tbl>
    <w:p w14:paraId="4075D227" w14:textId="77777777" w:rsidR="00DA58FD" w:rsidRPr="00732FD5" w:rsidRDefault="00DA58FD" w:rsidP="00DA58FD">
      <w:pPr>
        <w:jc w:val="both"/>
        <w:rPr>
          <w:rFonts w:ascii="Open Sans" w:hAnsi="Open Sans" w:cs="Arial"/>
          <w:b/>
        </w:rPr>
      </w:pPr>
    </w:p>
    <w:p w14:paraId="030C05AD" w14:textId="77777777" w:rsidR="00DA58FD" w:rsidRPr="00732FD5" w:rsidRDefault="00DA58FD" w:rsidP="00DA58FD">
      <w:pPr>
        <w:jc w:val="both"/>
        <w:rPr>
          <w:rFonts w:ascii="Open Sans" w:hAnsi="Open Sans" w:cs="Arial"/>
          <w:b/>
        </w:rPr>
      </w:pPr>
    </w:p>
    <w:p w14:paraId="7F4279B6" w14:textId="77777777" w:rsidR="00DA58FD" w:rsidRPr="00732FD5" w:rsidRDefault="00DA58FD" w:rsidP="00DA58FD">
      <w:pPr>
        <w:jc w:val="both"/>
        <w:rPr>
          <w:rFonts w:ascii="Open Sans" w:hAnsi="Open Sans" w:cs="Arial"/>
          <w:b/>
        </w:rPr>
      </w:pPr>
    </w:p>
    <w:p w14:paraId="34444058" w14:textId="77777777" w:rsidR="00DA58FD" w:rsidRPr="00EE1EF7" w:rsidRDefault="00DA58FD" w:rsidP="00DA58FD">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396538E0" w14:textId="77777777" w:rsidR="00DA58FD" w:rsidRDefault="00DA58FD" w:rsidP="00DA58FD">
      <w:pPr>
        <w:jc w:val="center"/>
        <w:rPr>
          <w:rFonts w:ascii="Open Sans" w:hAnsi="Open Sans" w:cs="Arial"/>
          <w:b/>
          <w:color w:val="FF0000"/>
          <w:sz w:val="22"/>
          <w:szCs w:val="22"/>
        </w:rPr>
      </w:pPr>
    </w:p>
    <w:p w14:paraId="7B43B918" w14:textId="77777777" w:rsidR="00DA58FD" w:rsidRDefault="00DA58FD" w:rsidP="00DA58FD">
      <w:pPr>
        <w:jc w:val="center"/>
        <w:rPr>
          <w:rFonts w:ascii="Open Sans" w:hAnsi="Open Sans" w:cs="Arial"/>
          <w:b/>
          <w:color w:val="FF0000"/>
          <w:sz w:val="22"/>
          <w:szCs w:val="22"/>
        </w:rPr>
      </w:pPr>
    </w:p>
    <w:p w14:paraId="7020D81C" w14:textId="77777777" w:rsidR="00DA58FD" w:rsidRPr="007829A9" w:rsidRDefault="00DA58FD" w:rsidP="00DA58FD">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370F96E5" w14:textId="77777777" w:rsidR="00DA58FD" w:rsidRPr="00732FD5" w:rsidRDefault="00DA58FD" w:rsidP="00DA58FD">
      <w:pPr>
        <w:rPr>
          <w:rFonts w:ascii="Open Sans" w:hAnsi="Open Sans" w:cs="Arial"/>
          <w:b/>
        </w:rPr>
      </w:pPr>
    </w:p>
    <w:p w14:paraId="6C1C983E" w14:textId="77777777" w:rsidR="00DA58FD" w:rsidRDefault="00DA58FD" w:rsidP="00DA58FD">
      <w:pPr>
        <w:jc w:val="center"/>
      </w:pPr>
      <w:r w:rsidRPr="0023410B">
        <w:rPr>
          <w:noProof/>
          <w:lang w:val="es-ES"/>
        </w:rPr>
        <w:drawing>
          <wp:inline distT="0" distB="0" distL="0" distR="0" wp14:anchorId="091FABAA" wp14:editId="1F095245">
            <wp:extent cx="3686175" cy="1828800"/>
            <wp:effectExtent l="0" t="0" r="9525"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2009868D" w14:textId="77777777" w:rsidR="00DA58FD" w:rsidRDefault="00DA58FD" w:rsidP="00DA58FD">
      <w:pPr>
        <w:jc w:val="both"/>
      </w:pPr>
    </w:p>
    <w:p w14:paraId="287B84CC" w14:textId="77777777" w:rsidR="00DA58FD" w:rsidRDefault="00DA58FD" w:rsidP="00DA58FD">
      <w:pPr>
        <w:jc w:val="both"/>
      </w:pPr>
    </w:p>
    <w:p w14:paraId="25A25B14" w14:textId="77777777" w:rsidR="00DA58FD" w:rsidRDefault="00DA58FD" w:rsidP="00DA58FD">
      <w:pPr>
        <w:rPr>
          <w:rFonts w:ascii="Open Sans" w:hAnsi="Open Sans" w:cs="Arial"/>
          <w:b/>
        </w:rPr>
      </w:pPr>
      <w:r>
        <w:rPr>
          <w:rFonts w:ascii="Open Sans" w:hAnsi="Open Sans" w:cs="Arial"/>
          <w:b/>
        </w:rPr>
        <w:br w:type="page"/>
      </w:r>
    </w:p>
    <w:p w14:paraId="608CE75B" w14:textId="77777777" w:rsidR="00DA58FD" w:rsidRPr="00732FD5" w:rsidRDefault="00DA58FD" w:rsidP="00DA58FD">
      <w:pPr>
        <w:rPr>
          <w:rFonts w:ascii="Open Sans" w:hAnsi="Open Sans" w:cs="Arial"/>
          <w:b/>
        </w:rPr>
      </w:pPr>
    </w:p>
    <w:p w14:paraId="189466C7" w14:textId="77777777" w:rsidR="00DA58FD" w:rsidRPr="00EE1EF7" w:rsidRDefault="00DA58FD" w:rsidP="00DA58FD">
      <w:pPr>
        <w:jc w:val="both"/>
        <w:rPr>
          <w:rFonts w:ascii="Open Sans" w:hAnsi="Open Sans" w:cs="Arial"/>
          <w:b/>
          <w:sz w:val="22"/>
          <w:szCs w:val="22"/>
        </w:rPr>
      </w:pPr>
      <w:r w:rsidRPr="00EE1EF7">
        <w:rPr>
          <w:rFonts w:ascii="Open Sans" w:hAnsi="Open Sans" w:cs="Arial"/>
          <w:b/>
          <w:sz w:val="22"/>
          <w:szCs w:val="22"/>
          <w:u w:val="single"/>
        </w:rPr>
        <w:t>3. Contexto general</w:t>
      </w:r>
      <w:r>
        <w:rPr>
          <w:rFonts w:ascii="Open Sans" w:hAnsi="Open Sans" w:cs="Arial"/>
          <w:b/>
          <w:sz w:val="22"/>
          <w:szCs w:val="22"/>
          <w:u w:val="single"/>
        </w:rPr>
        <w:t xml:space="preserve"> </w:t>
      </w:r>
    </w:p>
    <w:p w14:paraId="1037962B" w14:textId="77777777" w:rsidR="00DA58FD" w:rsidRPr="00732FD5" w:rsidRDefault="00DA58FD" w:rsidP="00DA58FD">
      <w:pPr>
        <w:jc w:val="both"/>
        <w:rPr>
          <w:rFonts w:ascii="Open Sans" w:hAnsi="Open Sans" w:cs="Arial"/>
          <w:b/>
        </w:rPr>
      </w:pPr>
    </w:p>
    <w:p w14:paraId="3F88BA1A" w14:textId="77777777" w:rsidR="00DA58FD" w:rsidRDefault="00DA58FD" w:rsidP="00DA58FD">
      <w:pPr>
        <w:jc w:val="both"/>
        <w:rPr>
          <w:rFonts w:ascii="Open Sans" w:hAnsi="Open Sans" w:cs="Arial"/>
          <w:sz w:val="20"/>
          <w:szCs w:val="20"/>
        </w:rPr>
      </w:pPr>
      <w:r>
        <w:rPr>
          <w:rFonts w:ascii="Open Sans" w:hAnsi="Open Sans" w:cs="Arial"/>
          <w:sz w:val="20"/>
          <w:szCs w:val="20"/>
        </w:rPr>
        <w:t xml:space="preserve">Red Eléctrica Corporación (REC) es una sociedad holding. </w:t>
      </w:r>
      <w:r w:rsidRPr="00F85712">
        <w:rPr>
          <w:rFonts w:ascii="Open Sans" w:hAnsi="Open Sans" w:cs="Arial"/>
          <w:sz w:val="20"/>
          <w:szCs w:val="20"/>
        </w:rPr>
        <w:t xml:space="preserve">Su principal actividad la desarrolla en España a través de </w:t>
      </w:r>
      <w:r>
        <w:rPr>
          <w:rFonts w:ascii="Open Sans" w:hAnsi="Open Sans" w:cs="Arial"/>
          <w:sz w:val="20"/>
          <w:szCs w:val="20"/>
        </w:rPr>
        <w:t>la</w:t>
      </w:r>
      <w:r w:rsidRPr="00F85712">
        <w:rPr>
          <w:rFonts w:ascii="Open Sans" w:hAnsi="Open Sans" w:cs="Arial"/>
          <w:sz w:val="20"/>
          <w:szCs w:val="20"/>
        </w:rPr>
        <w:t xml:space="preserve"> empresa </w:t>
      </w:r>
      <w:r w:rsidRPr="003E622C">
        <w:rPr>
          <w:rFonts w:ascii="Open Sans" w:hAnsi="Open Sans" w:cs="Arial"/>
          <w:sz w:val="20"/>
          <w:szCs w:val="20"/>
        </w:rPr>
        <w:t>Red Eléctrica de España, S.A.U</w:t>
      </w:r>
      <w:r>
        <w:rPr>
          <w:rFonts w:ascii="Open Sans" w:hAnsi="Open Sans" w:cs="Arial"/>
          <w:sz w:val="20"/>
          <w:szCs w:val="20"/>
        </w:rPr>
        <w:t xml:space="preserve"> (REE), siendo </w:t>
      </w:r>
      <w:r w:rsidRPr="00F85712">
        <w:rPr>
          <w:rFonts w:ascii="Open Sans" w:hAnsi="Open Sans" w:cs="Arial"/>
          <w:sz w:val="20"/>
          <w:szCs w:val="20"/>
        </w:rPr>
        <w:t>el transportista único y operador del sistema eléctrico español en régimen de exclusividad, ofreciendo también otros productos y servicios a nivel internacional.</w:t>
      </w:r>
    </w:p>
    <w:p w14:paraId="7B58400C" w14:textId="77777777" w:rsidR="00DA58FD" w:rsidRDefault="00DA58FD" w:rsidP="00DA58FD">
      <w:pPr>
        <w:jc w:val="both"/>
        <w:rPr>
          <w:rFonts w:ascii="Open Sans" w:hAnsi="Open Sans" w:cs="Arial"/>
          <w:sz w:val="20"/>
          <w:szCs w:val="20"/>
        </w:rPr>
      </w:pPr>
    </w:p>
    <w:p w14:paraId="039E0CF1" w14:textId="77777777" w:rsidR="00DA58FD" w:rsidRPr="00EC692D" w:rsidRDefault="00DA58FD" w:rsidP="00DA58FD">
      <w:pPr>
        <w:jc w:val="both"/>
        <w:rPr>
          <w:rFonts w:ascii="Open Sans" w:hAnsi="Open Sans"/>
          <w:sz w:val="20"/>
          <w:szCs w:val="20"/>
        </w:rPr>
      </w:pPr>
      <w:r w:rsidRPr="00F85712">
        <w:rPr>
          <w:rFonts w:ascii="Open Sans" w:hAnsi="Open Sans" w:cs="Arial"/>
          <w:sz w:val="20"/>
          <w:szCs w:val="20"/>
        </w:rPr>
        <w:t>REE (</w:t>
      </w:r>
      <w:r w:rsidRPr="003E622C">
        <w:rPr>
          <w:rFonts w:ascii="Open Sans" w:hAnsi="Open Sans" w:cs="Arial"/>
          <w:sz w:val="20"/>
          <w:szCs w:val="20"/>
        </w:rPr>
        <w:t xml:space="preserve">representa el </w:t>
      </w:r>
      <w:r>
        <w:rPr>
          <w:rFonts w:ascii="Open Sans" w:hAnsi="Open Sans" w:cs="Arial"/>
          <w:sz w:val="20"/>
          <w:szCs w:val="20"/>
        </w:rPr>
        <w:t>93</w:t>
      </w:r>
      <w:r w:rsidRPr="00F85712">
        <w:rPr>
          <w:rFonts w:ascii="Open Sans" w:hAnsi="Open Sans" w:cs="Arial"/>
          <w:sz w:val="20"/>
          <w:szCs w:val="20"/>
        </w:rPr>
        <w:t>%</w:t>
      </w:r>
      <w:r w:rsidRPr="003E622C">
        <w:rPr>
          <w:rFonts w:ascii="Open Sans" w:hAnsi="Open Sans" w:cs="Arial"/>
          <w:sz w:val="20"/>
          <w:szCs w:val="20"/>
        </w:rPr>
        <w:t xml:space="preserve"> de la cifra de negocio consolidada del Grupo</w:t>
      </w:r>
      <w:r w:rsidRPr="00F85712">
        <w:rPr>
          <w:rFonts w:ascii="Open Sans" w:hAnsi="Open Sans" w:cs="Arial"/>
          <w:sz w:val="20"/>
          <w:szCs w:val="20"/>
        </w:rPr>
        <w:t xml:space="preserve">), llevando a cabo el </w:t>
      </w:r>
      <w:r>
        <w:rPr>
          <w:rFonts w:ascii="Open Sans" w:hAnsi="Open Sans" w:cs="Arial"/>
          <w:sz w:val="20"/>
          <w:szCs w:val="20"/>
        </w:rPr>
        <w:t>7</w:t>
      </w:r>
      <w:r w:rsidRPr="00F85712">
        <w:rPr>
          <w:rFonts w:ascii="Open Sans" w:hAnsi="Open Sans" w:cs="Arial"/>
          <w:sz w:val="20"/>
          <w:szCs w:val="20"/>
        </w:rPr>
        <w:t xml:space="preserve">% restante </w:t>
      </w:r>
      <w:r>
        <w:rPr>
          <w:rFonts w:ascii="Open Sans" w:hAnsi="Open Sans" w:cs="Arial"/>
          <w:sz w:val="20"/>
          <w:szCs w:val="20"/>
        </w:rPr>
        <w:t xml:space="preserve">en otras actividades del grupo: actividad eléctrica internacional </w:t>
      </w:r>
      <w:r>
        <w:rPr>
          <w:rFonts w:ascii="Open Sans" w:hAnsi="Open Sans"/>
          <w:sz w:val="20"/>
          <w:szCs w:val="20"/>
        </w:rPr>
        <w:t>(Red Eléctrica internacional)</w:t>
      </w:r>
      <w:r>
        <w:rPr>
          <w:rFonts w:ascii="Open Sans" w:hAnsi="Open Sans" w:cs="Arial"/>
          <w:sz w:val="20"/>
          <w:szCs w:val="20"/>
        </w:rPr>
        <w:t xml:space="preserve">, </w:t>
      </w:r>
      <w:r>
        <w:rPr>
          <w:rFonts w:ascii="Open Sans" w:hAnsi="Open Sans"/>
          <w:sz w:val="20"/>
          <w:szCs w:val="20"/>
        </w:rPr>
        <w:t xml:space="preserve">actividad de almacenamiento energético </w:t>
      </w:r>
      <w:r w:rsidRPr="00573751">
        <w:rPr>
          <w:rFonts w:ascii="Open Sans" w:hAnsi="Open Sans"/>
          <w:sz w:val="20"/>
          <w:szCs w:val="20"/>
        </w:rPr>
        <w:t>en Canarias</w:t>
      </w:r>
      <w:r>
        <w:rPr>
          <w:rFonts w:ascii="Open Sans" w:hAnsi="Open Sans"/>
          <w:sz w:val="20"/>
          <w:szCs w:val="20"/>
        </w:rPr>
        <w:t xml:space="preserve"> (REINCAN), actividad de telecomunica</w:t>
      </w:r>
      <w:r w:rsidRPr="001C70E6">
        <w:rPr>
          <w:rFonts w:ascii="Open Sans" w:hAnsi="Open Sans"/>
          <w:sz w:val="20"/>
          <w:szCs w:val="20"/>
        </w:rPr>
        <w:t>ciones</w:t>
      </w:r>
      <w:r>
        <w:rPr>
          <w:rFonts w:ascii="Open Sans" w:hAnsi="Open Sans"/>
          <w:sz w:val="20"/>
          <w:szCs w:val="20"/>
        </w:rPr>
        <w:t xml:space="preserve"> (REINTEL), a</w:t>
      </w:r>
      <w:r w:rsidRPr="00EC692D">
        <w:rPr>
          <w:rFonts w:ascii="Open Sans" w:hAnsi="Open Sans"/>
          <w:sz w:val="20"/>
          <w:szCs w:val="20"/>
        </w:rPr>
        <w:t xml:space="preserve">ctividad de </w:t>
      </w:r>
      <w:r>
        <w:rPr>
          <w:rFonts w:ascii="Open Sans" w:hAnsi="Open Sans"/>
          <w:sz w:val="20"/>
          <w:szCs w:val="20"/>
        </w:rPr>
        <w:t xml:space="preserve"> </w:t>
      </w:r>
      <w:r w:rsidRPr="00EC692D">
        <w:rPr>
          <w:rFonts w:ascii="Open Sans" w:hAnsi="Open Sans"/>
          <w:sz w:val="20"/>
          <w:szCs w:val="20"/>
        </w:rPr>
        <w:t>financiación (R</w:t>
      </w:r>
      <w:r>
        <w:rPr>
          <w:rFonts w:ascii="Open Sans" w:hAnsi="Open Sans"/>
          <w:sz w:val="20"/>
          <w:szCs w:val="20"/>
        </w:rPr>
        <w:t xml:space="preserve">EE Finance y REE financiaciones) y actividad de </w:t>
      </w:r>
      <w:r w:rsidRPr="00EC692D">
        <w:rPr>
          <w:rFonts w:ascii="Open Sans" w:hAnsi="Open Sans"/>
          <w:sz w:val="20"/>
          <w:szCs w:val="20"/>
        </w:rPr>
        <w:t>reaseguramiento</w:t>
      </w:r>
      <w:r>
        <w:rPr>
          <w:rFonts w:ascii="Open Sans" w:hAnsi="Open Sans"/>
          <w:sz w:val="20"/>
          <w:szCs w:val="20"/>
        </w:rPr>
        <w:t xml:space="preserve"> (REDCOR).</w:t>
      </w:r>
    </w:p>
    <w:p w14:paraId="61632156" w14:textId="77777777" w:rsidR="00DA58FD" w:rsidRPr="00EC692D" w:rsidRDefault="00DA58FD" w:rsidP="00DA58FD">
      <w:pPr>
        <w:jc w:val="both"/>
        <w:rPr>
          <w:rFonts w:ascii="Open Sans" w:hAnsi="Open Sans"/>
          <w:sz w:val="20"/>
          <w:szCs w:val="20"/>
        </w:rPr>
      </w:pPr>
    </w:p>
    <w:p w14:paraId="3302CB64" w14:textId="77777777" w:rsidR="00DA58FD" w:rsidRDefault="00DA58FD" w:rsidP="00DA58FD">
      <w:pPr>
        <w:jc w:val="both"/>
        <w:rPr>
          <w:rFonts w:ascii="Open Sans" w:hAnsi="Open Sans"/>
          <w:sz w:val="20"/>
          <w:szCs w:val="20"/>
        </w:rPr>
      </w:pPr>
      <w:r>
        <w:rPr>
          <w:rFonts w:ascii="Open Sans" w:hAnsi="Open Sans"/>
          <w:sz w:val="20"/>
          <w:szCs w:val="20"/>
        </w:rPr>
        <w:t xml:space="preserve">En el ejercicio 2015 ha obtenido dos nuevas concesiones en Perú y ha entrado en el mercado de Chile. Ha creado dos nuevas filiales, REINTEL y REINCAN. </w:t>
      </w:r>
    </w:p>
    <w:p w14:paraId="0D418B6E" w14:textId="77777777" w:rsidR="00DA58FD" w:rsidRDefault="00DA58FD" w:rsidP="00DA58FD">
      <w:pPr>
        <w:jc w:val="both"/>
        <w:rPr>
          <w:rFonts w:ascii="Open Sans" w:hAnsi="Open Sans"/>
          <w:sz w:val="20"/>
          <w:szCs w:val="20"/>
        </w:rPr>
      </w:pPr>
    </w:p>
    <w:p w14:paraId="268EB51B" w14:textId="77777777" w:rsidR="00DA58FD" w:rsidRDefault="00DA58FD" w:rsidP="00DA58FD">
      <w:pPr>
        <w:jc w:val="both"/>
        <w:rPr>
          <w:rFonts w:ascii="Open Sans" w:hAnsi="Open Sans" w:cs="Arial"/>
          <w:sz w:val="20"/>
          <w:szCs w:val="20"/>
        </w:rPr>
      </w:pPr>
      <w:r>
        <w:rPr>
          <w:rFonts w:ascii="Open Sans" w:hAnsi="Open Sans"/>
          <w:sz w:val="20"/>
          <w:szCs w:val="20"/>
        </w:rPr>
        <w:t xml:space="preserve">Los resultados del ejercicio han sido muy positivos para el grupo, obteniendo una cifra de negocio </w:t>
      </w:r>
      <w:r w:rsidRPr="009E6F04">
        <w:rPr>
          <w:rFonts w:ascii="Open Sans" w:hAnsi="Open Sans" w:cs="Arial"/>
          <w:sz w:val="20"/>
          <w:szCs w:val="20"/>
        </w:rPr>
        <w:t xml:space="preserve">de </w:t>
      </w:r>
      <w:r>
        <w:rPr>
          <w:rFonts w:ascii="Open Sans" w:hAnsi="Open Sans" w:cs="Arial"/>
          <w:sz w:val="20"/>
          <w:szCs w:val="20"/>
        </w:rPr>
        <w:t>1.938,9 millones de euros lo que le ha generado un beneficio después de impuestos de 606,7 millones de euros. En relación a la contribución tributaria total el 99% se corresponde a lo ingresado en España.</w:t>
      </w:r>
    </w:p>
    <w:p w14:paraId="4BC6A4D9" w14:textId="77777777" w:rsidR="00DA58FD" w:rsidRDefault="00DA58FD" w:rsidP="00DA58FD">
      <w:pPr>
        <w:jc w:val="both"/>
        <w:rPr>
          <w:rFonts w:ascii="Open Sans" w:hAnsi="Open Sans"/>
          <w:sz w:val="20"/>
          <w:szCs w:val="20"/>
        </w:rPr>
      </w:pPr>
    </w:p>
    <w:p w14:paraId="1EAF0315" w14:textId="77777777" w:rsidR="00DA58FD" w:rsidRDefault="00DA58FD" w:rsidP="00DA58FD">
      <w:pPr>
        <w:jc w:val="both"/>
        <w:rPr>
          <w:rFonts w:ascii="Open Sans" w:hAnsi="Open Sans"/>
          <w:sz w:val="20"/>
          <w:szCs w:val="20"/>
        </w:rPr>
      </w:pPr>
      <w:r w:rsidRPr="0054277E">
        <w:rPr>
          <w:rFonts w:ascii="Open Sans" w:hAnsi="Open Sans"/>
          <w:sz w:val="20"/>
          <w:szCs w:val="20"/>
        </w:rPr>
        <w:t xml:space="preserve">En 2015, el accionariado de la Sociedad era un 20% titularidad de la </w:t>
      </w:r>
      <w:r>
        <w:rPr>
          <w:rFonts w:ascii="Open Sans" w:hAnsi="Open Sans"/>
          <w:sz w:val="20"/>
          <w:szCs w:val="20"/>
        </w:rPr>
        <w:t>Sociedad Estatal de Participaciones Industriales (</w:t>
      </w:r>
      <w:r w:rsidRPr="0054277E">
        <w:rPr>
          <w:rFonts w:ascii="Open Sans" w:hAnsi="Open Sans"/>
          <w:sz w:val="20"/>
          <w:szCs w:val="20"/>
        </w:rPr>
        <w:t>SEPI</w:t>
      </w:r>
      <w:r>
        <w:rPr>
          <w:rFonts w:ascii="Open Sans" w:hAnsi="Open Sans"/>
          <w:sz w:val="20"/>
          <w:szCs w:val="20"/>
        </w:rPr>
        <w:t>)</w:t>
      </w:r>
      <w:r w:rsidRPr="0054277E">
        <w:rPr>
          <w:rFonts w:ascii="Open Sans" w:hAnsi="Open Sans"/>
          <w:sz w:val="20"/>
          <w:szCs w:val="20"/>
        </w:rPr>
        <w:t xml:space="preserve"> y un 80% de cotización </w:t>
      </w:r>
      <w:r>
        <w:rPr>
          <w:rFonts w:ascii="Open Sans" w:hAnsi="Open Sans"/>
          <w:sz w:val="20"/>
          <w:szCs w:val="20"/>
        </w:rPr>
        <w:t xml:space="preserve">libre. </w:t>
      </w:r>
    </w:p>
    <w:p w14:paraId="3B1605D6" w14:textId="77777777" w:rsidR="00DA58FD" w:rsidRDefault="00DA58FD" w:rsidP="00DA58FD">
      <w:pPr>
        <w:jc w:val="both"/>
        <w:rPr>
          <w:rFonts w:ascii="Open Sans" w:hAnsi="Open Sans"/>
          <w:sz w:val="20"/>
          <w:szCs w:val="20"/>
        </w:rPr>
      </w:pPr>
    </w:p>
    <w:p w14:paraId="56EAA7FA" w14:textId="77777777" w:rsidR="00DA58FD" w:rsidRDefault="00DA58FD" w:rsidP="00DA58FD">
      <w:pPr>
        <w:jc w:val="both"/>
        <w:rPr>
          <w:rFonts w:ascii="Open Sans" w:hAnsi="Open Sans" w:cs="Arial"/>
          <w:sz w:val="20"/>
          <w:szCs w:val="20"/>
        </w:rPr>
      </w:pPr>
      <w:r w:rsidRPr="003D6F2E">
        <w:rPr>
          <w:rFonts w:ascii="Open Sans" w:hAnsi="Open Sans" w:cs="Arial"/>
          <w:sz w:val="20"/>
          <w:szCs w:val="20"/>
        </w:rPr>
        <w:t xml:space="preserve">En términos generales, dado el sector en el que desarrolla su actividad REC, su tamaño (más de 1.697 empleados) y la presencia internacional del Grupo, sus operaciones de negocio pueden llevar asociados riesgos de diferente índole, entre ellos los de carácter fiscal. </w:t>
      </w:r>
      <w:r>
        <w:rPr>
          <w:rFonts w:ascii="Open Sans" w:hAnsi="Open Sans" w:cs="Arial"/>
          <w:sz w:val="20"/>
          <w:szCs w:val="20"/>
        </w:rPr>
        <w:t xml:space="preserve">En este sentido los riegos derivados de la interpretación de las diferentes normativas tributarias de los países en los que opera, las operaciones intragrupo (precios de transferencia, operaciones de financiación y reaseguros, entre otros),  consolidación de la información fiscal o un mayor escrutinio público en relación a sus prácticas fiscales, son riesgos que la empresa debe afrontar. </w:t>
      </w:r>
    </w:p>
    <w:p w14:paraId="033AF55F" w14:textId="77777777" w:rsidR="00DA58FD" w:rsidRPr="003D6F2E" w:rsidRDefault="00DA58FD" w:rsidP="00DA58FD">
      <w:pPr>
        <w:jc w:val="both"/>
        <w:rPr>
          <w:rFonts w:ascii="Open Sans" w:hAnsi="Open Sans" w:cs="Arial"/>
          <w:sz w:val="20"/>
          <w:szCs w:val="20"/>
        </w:rPr>
      </w:pPr>
    </w:p>
    <w:p w14:paraId="07E3DEEF" w14:textId="77777777" w:rsidR="00DA58FD" w:rsidRPr="007A2903" w:rsidRDefault="00DA58FD" w:rsidP="00DA58FD">
      <w:pPr>
        <w:jc w:val="both"/>
        <w:rPr>
          <w:rFonts w:ascii="Open Sans" w:hAnsi="Open Sans" w:cs="Arial"/>
          <w:sz w:val="20"/>
          <w:szCs w:val="20"/>
        </w:rPr>
      </w:pPr>
      <w:r>
        <w:rPr>
          <w:rFonts w:ascii="Open Sans" w:hAnsi="Open Sans" w:cs="Arial"/>
          <w:sz w:val="20"/>
          <w:szCs w:val="20"/>
        </w:rPr>
        <w:t xml:space="preserve">REC tienen un </w:t>
      </w:r>
      <w:r w:rsidRPr="00E90E44">
        <w:rPr>
          <w:rFonts w:ascii="Open Sans" w:hAnsi="Open Sans" w:cs="Arial"/>
          <w:sz w:val="20"/>
          <w:szCs w:val="20"/>
        </w:rPr>
        <w:t>compromiso expreso</w:t>
      </w:r>
      <w:r>
        <w:rPr>
          <w:rFonts w:ascii="Open Sans" w:hAnsi="Open Sans" w:cs="Arial"/>
          <w:sz w:val="20"/>
          <w:szCs w:val="20"/>
        </w:rPr>
        <w:t xml:space="preserve"> con la fiscalidad responsable recogido dentro de su política de RSC que ha sido revisada en el ejercicio 2015. Indica expresamente “</w:t>
      </w:r>
      <w:r w:rsidRPr="00F519A5">
        <w:rPr>
          <w:rFonts w:ascii="Open Sans" w:hAnsi="Open Sans" w:cs="Arial"/>
          <w:i/>
          <w:sz w:val="20"/>
          <w:szCs w:val="20"/>
        </w:rPr>
        <w:t>asegurar la sostenibilidad económica de la compañía en el medio-largo plazo, asumiendo principios de fiscalidad responsable y garantizando la generación de valor económico tanto para el Grupo en general, como para los grupos de interés con los que se relaciona</w:t>
      </w:r>
      <w:r>
        <w:rPr>
          <w:rFonts w:ascii="Open Sans" w:hAnsi="Open Sans" w:cs="Arial"/>
          <w:i/>
          <w:sz w:val="20"/>
          <w:szCs w:val="20"/>
        </w:rPr>
        <w:t>.</w:t>
      </w:r>
      <w:r>
        <w:rPr>
          <w:rFonts w:ascii="Open Sans" w:hAnsi="Open Sans" w:cs="Arial"/>
          <w:sz w:val="20"/>
          <w:szCs w:val="20"/>
        </w:rPr>
        <w:t>”</w:t>
      </w:r>
    </w:p>
    <w:p w14:paraId="4BEC2AC0" w14:textId="77777777" w:rsidR="00DA58FD" w:rsidRDefault="00DA58FD" w:rsidP="00DA58FD">
      <w:pPr>
        <w:jc w:val="both"/>
        <w:rPr>
          <w:rFonts w:ascii="Open Sans" w:hAnsi="Open Sans" w:cs="Arial"/>
          <w:sz w:val="20"/>
          <w:szCs w:val="20"/>
        </w:rPr>
      </w:pPr>
    </w:p>
    <w:p w14:paraId="3E30F3DD" w14:textId="77777777" w:rsidR="00DA58FD" w:rsidRDefault="00DA58FD" w:rsidP="00DA58FD">
      <w:pPr>
        <w:jc w:val="both"/>
        <w:rPr>
          <w:rFonts w:ascii="Open Sans" w:hAnsi="Open Sans" w:cs="Arial"/>
          <w:sz w:val="20"/>
          <w:szCs w:val="20"/>
        </w:rPr>
      </w:pPr>
      <w:r w:rsidRPr="00E90E44">
        <w:rPr>
          <w:rFonts w:ascii="Open Sans" w:hAnsi="Open Sans" w:cs="Arial"/>
          <w:sz w:val="20"/>
          <w:szCs w:val="20"/>
        </w:rPr>
        <w:t xml:space="preserve">Durante el ejercicio 2015 ha aprobado la estrategia fiscal del Grupo </w:t>
      </w:r>
      <w:r>
        <w:rPr>
          <w:rFonts w:ascii="Open Sans" w:hAnsi="Open Sans" w:cs="Arial"/>
          <w:sz w:val="20"/>
          <w:szCs w:val="20"/>
        </w:rPr>
        <w:t xml:space="preserve">en donde recoge los principales compromisos en relación con una fiscalidad responsable </w:t>
      </w:r>
      <w:r w:rsidRPr="00E90E44">
        <w:rPr>
          <w:rFonts w:ascii="Open Sans" w:hAnsi="Open Sans" w:cs="Arial"/>
          <w:sz w:val="20"/>
          <w:szCs w:val="20"/>
        </w:rPr>
        <w:t xml:space="preserve">y ha incorporado los riesgos fiscales dentro de la política </w:t>
      </w:r>
      <w:r>
        <w:rPr>
          <w:rFonts w:ascii="Open Sans" w:hAnsi="Open Sans" w:cs="Arial"/>
          <w:sz w:val="20"/>
          <w:szCs w:val="20"/>
        </w:rPr>
        <w:t xml:space="preserve">de gestión integral de riesgos. </w:t>
      </w:r>
    </w:p>
    <w:p w14:paraId="770833F5" w14:textId="77777777" w:rsidR="00DA58FD" w:rsidRDefault="00DA58FD" w:rsidP="00DA58FD">
      <w:pPr>
        <w:jc w:val="both"/>
        <w:rPr>
          <w:rFonts w:ascii="Open Sans" w:hAnsi="Open Sans" w:cs="Arial"/>
          <w:sz w:val="20"/>
          <w:szCs w:val="20"/>
        </w:rPr>
      </w:pPr>
    </w:p>
    <w:p w14:paraId="10BE3392" w14:textId="77777777" w:rsidR="00DA58FD" w:rsidRDefault="00DA58FD" w:rsidP="00DA58FD">
      <w:pPr>
        <w:jc w:val="both"/>
        <w:rPr>
          <w:rFonts w:ascii="Open Sans" w:hAnsi="Open Sans"/>
          <w:sz w:val="20"/>
          <w:szCs w:val="20"/>
        </w:rPr>
      </w:pPr>
      <w:r>
        <w:rPr>
          <w:rFonts w:ascii="Open Sans" w:hAnsi="Open Sans" w:cs="Arial"/>
          <w:sz w:val="20"/>
          <w:szCs w:val="20"/>
        </w:rPr>
        <w:t>REC</w:t>
      </w:r>
      <w:r w:rsidRPr="00383DA3">
        <w:rPr>
          <w:rFonts w:ascii="Open Sans" w:hAnsi="Open Sans" w:cs="Arial"/>
          <w:sz w:val="20"/>
          <w:szCs w:val="20"/>
        </w:rPr>
        <w:t xml:space="preserve"> cuenta con presencia en los principales índices de sostenibilidad</w:t>
      </w:r>
      <w:r>
        <w:rPr>
          <w:rFonts w:ascii="Open Sans" w:hAnsi="Open Sans" w:cs="Arial"/>
          <w:sz w:val="20"/>
          <w:szCs w:val="20"/>
        </w:rPr>
        <w:t xml:space="preserve">. En 2015 se ha incorporado a </w:t>
      </w:r>
      <w:r w:rsidRPr="00654E51">
        <w:rPr>
          <w:rFonts w:ascii="Open Sans" w:hAnsi="Open Sans"/>
          <w:sz w:val="20"/>
          <w:szCs w:val="20"/>
        </w:rPr>
        <w:t xml:space="preserve">Dow Jones Sustainability World y Dow Jones Sustainability Europe. </w:t>
      </w:r>
      <w:r>
        <w:rPr>
          <w:rFonts w:ascii="Open Sans" w:hAnsi="Open Sans"/>
          <w:sz w:val="20"/>
          <w:szCs w:val="20"/>
        </w:rPr>
        <w:t xml:space="preserve">Además forma parte de otros índices de sostenibilidad: FTSE4Good, </w:t>
      </w:r>
      <w:r w:rsidRPr="00F95444">
        <w:rPr>
          <w:rFonts w:ascii="Open Sans" w:hAnsi="Open Sans"/>
          <w:sz w:val="20"/>
          <w:szCs w:val="20"/>
        </w:rPr>
        <w:t xml:space="preserve">MSCI Global Sustainability Indexes, MSCI Socially Responsible Indexes, MSCI Global Climate Index y MSCI Global Environmental Index, Euronext-Vigeo (Eurozone 120, Europe 120, World 120, STOXX Global ESG  Leaders, índices Ethibel e índices ECPI. </w:t>
      </w:r>
      <w:r w:rsidRPr="00383DA3">
        <w:rPr>
          <w:rFonts w:ascii="Open Sans" w:hAnsi="Open Sans" w:cs="Arial"/>
          <w:sz w:val="20"/>
          <w:szCs w:val="20"/>
        </w:rPr>
        <w:t>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Pr>
          <w:rFonts w:ascii="Open Sans" w:hAnsi="Open Sans" w:cs="Arial"/>
          <w:sz w:val="20"/>
          <w:szCs w:val="20"/>
        </w:rPr>
        <w:t>.</w:t>
      </w:r>
      <w:r w:rsidRPr="00383DA3">
        <w:rPr>
          <w:rFonts w:ascii="Open Sans" w:hAnsi="Open Sans" w:cs="Arial"/>
          <w:sz w:val="20"/>
          <w:szCs w:val="20"/>
          <w:vertAlign w:val="superscript"/>
        </w:rPr>
        <w:footnoteReference w:id="432"/>
      </w:r>
    </w:p>
    <w:p w14:paraId="6BCD1B5D" w14:textId="77777777" w:rsidR="00DA58FD" w:rsidRDefault="00DA58FD" w:rsidP="00DA58FD">
      <w:pPr>
        <w:jc w:val="both"/>
        <w:rPr>
          <w:rFonts w:ascii="Open Sans" w:hAnsi="Open Sans"/>
          <w:sz w:val="20"/>
          <w:szCs w:val="20"/>
        </w:rPr>
      </w:pPr>
    </w:p>
    <w:p w14:paraId="369FA8E2" w14:textId="77777777" w:rsidR="00DA58FD" w:rsidRPr="001C70E6" w:rsidRDefault="00DA58FD" w:rsidP="00DA58FD">
      <w:pPr>
        <w:jc w:val="both"/>
        <w:rPr>
          <w:rFonts w:ascii="Open Sans" w:hAnsi="Open Sans"/>
          <w:sz w:val="20"/>
          <w:szCs w:val="20"/>
        </w:rPr>
      </w:pPr>
    </w:p>
    <w:p w14:paraId="261EC7BC" w14:textId="77777777" w:rsidR="00DA58FD" w:rsidRPr="00EE1EF7" w:rsidRDefault="00DA58FD" w:rsidP="00DA58FD">
      <w:pPr>
        <w:jc w:val="both"/>
        <w:rPr>
          <w:rFonts w:ascii="Open Sans" w:hAnsi="Open Sans" w:cs="Arial"/>
          <w:b/>
          <w:sz w:val="22"/>
          <w:szCs w:val="22"/>
          <w:u w:val="single"/>
        </w:rPr>
      </w:pPr>
      <w:r w:rsidRPr="00EE1EF7">
        <w:rPr>
          <w:rFonts w:ascii="Open Sans" w:hAnsi="Open Sans" w:cs="Arial"/>
          <w:b/>
          <w:sz w:val="22"/>
          <w:szCs w:val="22"/>
          <w:u w:val="single"/>
        </w:rPr>
        <w:t>4. Análisis</w:t>
      </w:r>
    </w:p>
    <w:p w14:paraId="05E144C7" w14:textId="77777777" w:rsidR="00DA58FD" w:rsidRDefault="00DA58FD" w:rsidP="00DA58FD">
      <w:pPr>
        <w:rPr>
          <w:rFonts w:ascii="Open Sans" w:hAnsi="Open Sans" w:cs="Arial"/>
          <w:bCs/>
          <w:sz w:val="20"/>
          <w:szCs w:val="20"/>
        </w:rPr>
      </w:pPr>
    </w:p>
    <w:p w14:paraId="2E1832BA" w14:textId="77777777" w:rsidR="00DA58FD" w:rsidRPr="00BF6B92" w:rsidRDefault="00DA58FD" w:rsidP="00DA58FD">
      <w:pPr>
        <w:jc w:val="both"/>
        <w:rPr>
          <w:rFonts w:ascii="Open Sans" w:hAnsi="Open Sans" w:cs="Arial"/>
          <w:bCs/>
          <w:sz w:val="20"/>
          <w:szCs w:val="20"/>
        </w:rPr>
      </w:pPr>
      <w:r w:rsidRPr="00BF6B92">
        <w:rPr>
          <w:rFonts w:ascii="Open Sans" w:hAnsi="Open Sans" w:cs="Arial"/>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715ED864" w14:textId="77777777" w:rsidR="00DA58FD" w:rsidRDefault="00DA58FD" w:rsidP="00DA58FD">
      <w:pPr>
        <w:rPr>
          <w:rFonts w:ascii="Arial" w:hAnsi="Arial" w:cs="Arial"/>
          <w:color w:val="000000"/>
        </w:rPr>
      </w:pPr>
    </w:p>
    <w:p w14:paraId="5EA077D3" w14:textId="77777777" w:rsidR="00DA58FD" w:rsidRDefault="00DA58FD" w:rsidP="00DA58FD">
      <w:pPr>
        <w:jc w:val="both"/>
        <w:rPr>
          <w:rFonts w:ascii="Open Sans" w:hAnsi="Open Sans" w:cs="Arial"/>
          <w:bCs/>
          <w:sz w:val="20"/>
          <w:szCs w:val="20"/>
        </w:rPr>
      </w:pPr>
      <w:r>
        <w:rPr>
          <w:rFonts w:ascii="Open Sans" w:hAnsi="Open Sans" w:cs="Arial"/>
          <w:bCs/>
          <w:sz w:val="20"/>
          <w:szCs w:val="20"/>
        </w:rPr>
        <w:t>REC no indica si opera en paraísos y nichos fiscales, solo indica en el código ético y en la nueva estrategia fiscal aprobada en 2015 que “</w:t>
      </w:r>
      <w:r w:rsidRPr="00797895">
        <w:rPr>
          <w:rFonts w:ascii="Open Sans" w:hAnsi="Open Sans" w:cs="Arial"/>
          <w:bCs/>
          <w:i/>
          <w:sz w:val="20"/>
          <w:szCs w:val="20"/>
        </w:rPr>
        <w:t>el grupo se compromete a no crear empresas con el fin de evadir impuestos en territorios considerados paraísos fiscales por la Unión Europea</w:t>
      </w:r>
      <w:r>
        <w:rPr>
          <w:rFonts w:ascii="Open Sans" w:hAnsi="Open Sans" w:cs="Arial"/>
          <w:bCs/>
          <w:i/>
          <w:sz w:val="20"/>
          <w:szCs w:val="20"/>
        </w:rPr>
        <w:t>”</w:t>
      </w:r>
      <w:r w:rsidRPr="00797895">
        <w:rPr>
          <w:rFonts w:ascii="Open Sans" w:hAnsi="Open Sans" w:cs="Arial"/>
          <w:bCs/>
          <w:i/>
          <w:sz w:val="20"/>
          <w:szCs w:val="20"/>
        </w:rPr>
        <w:t xml:space="preserve">. </w:t>
      </w:r>
    </w:p>
    <w:p w14:paraId="4D21D176" w14:textId="77777777" w:rsidR="00DA58FD" w:rsidRDefault="00DA58FD" w:rsidP="00DA58FD">
      <w:pPr>
        <w:rPr>
          <w:rFonts w:ascii="Open Sans" w:hAnsi="Open Sans" w:cs="Arial"/>
          <w:bCs/>
          <w:sz w:val="20"/>
          <w:szCs w:val="20"/>
        </w:rPr>
      </w:pPr>
    </w:p>
    <w:p w14:paraId="256D86B8"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Pese a que la empresa indica que sigue la consideración de paraíso fiscal para la Unión Europea, a fecha de redacción de este informe (enero 2017) no existe una lista oficial por parte de la Unión Europea. </w:t>
      </w:r>
    </w:p>
    <w:p w14:paraId="75D5F511" w14:textId="77777777" w:rsidR="00DA58FD" w:rsidRDefault="00DA58FD" w:rsidP="00DA58FD">
      <w:pPr>
        <w:jc w:val="both"/>
        <w:rPr>
          <w:rFonts w:ascii="Open Sans" w:hAnsi="Open Sans" w:cs="Arial"/>
          <w:bCs/>
          <w:sz w:val="20"/>
          <w:szCs w:val="20"/>
        </w:rPr>
      </w:pPr>
    </w:p>
    <w:p w14:paraId="2C277E2B"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Según la metodología del Observatorio de RSC, que tiene en cuenta una definición más amplia de paraíso fiscal (incluyendo nichos fiscales), se han identificado 2  en el listado de sociedades dependientes de las cuentas anuales consolidadas, filiales domiciliadas en Holanda y Luxemburgo, países considerados como nichos fiscales </w:t>
      </w:r>
      <w:r w:rsidRPr="00D542ED">
        <w:rPr>
          <w:rFonts w:ascii="Open Sans" w:hAnsi="Open Sans" w:cs="Arial"/>
          <w:bCs/>
          <w:sz w:val="20"/>
          <w:szCs w:val="20"/>
        </w:rPr>
        <w:t>por la reducida fiscalidad que aplican a las compañías</w:t>
      </w:r>
      <w:r>
        <w:rPr>
          <w:rFonts w:ascii="Open Sans" w:hAnsi="Open Sans" w:cs="Arial"/>
          <w:bCs/>
          <w:sz w:val="20"/>
          <w:szCs w:val="20"/>
        </w:rPr>
        <w:t xml:space="preserve"> no residentes.</w:t>
      </w:r>
    </w:p>
    <w:p w14:paraId="02200E2B" w14:textId="77777777" w:rsidR="00DA58FD" w:rsidRDefault="00DA58FD" w:rsidP="00DA58FD">
      <w:pPr>
        <w:jc w:val="both"/>
        <w:rPr>
          <w:rFonts w:ascii="Open Sans" w:hAnsi="Open Sans" w:cs="Arial"/>
          <w:bCs/>
          <w:sz w:val="20"/>
          <w:szCs w:val="20"/>
        </w:rPr>
      </w:pPr>
    </w:p>
    <w:p w14:paraId="22CC333B" w14:textId="77777777" w:rsidR="00DA58FD" w:rsidRDefault="00DA58FD" w:rsidP="00DA58FD">
      <w:pPr>
        <w:rPr>
          <w:rFonts w:ascii="Open Sans" w:hAnsi="Open Sans" w:cs="Arial"/>
          <w:bCs/>
          <w:sz w:val="20"/>
          <w:szCs w:val="20"/>
        </w:rPr>
      </w:pPr>
    </w:p>
    <w:tbl>
      <w:tblPr>
        <w:tblW w:w="8510" w:type="dxa"/>
        <w:tblInd w:w="65" w:type="dxa"/>
        <w:tblLayout w:type="fixed"/>
        <w:tblCellMar>
          <w:left w:w="70" w:type="dxa"/>
          <w:right w:w="70" w:type="dxa"/>
        </w:tblCellMar>
        <w:tblLook w:val="00A0" w:firstRow="1" w:lastRow="0" w:firstColumn="1" w:lastColumn="0" w:noHBand="0" w:noVBand="0"/>
      </w:tblPr>
      <w:tblGrid>
        <w:gridCol w:w="3549"/>
        <w:gridCol w:w="2552"/>
        <w:gridCol w:w="2409"/>
      </w:tblGrid>
      <w:tr w:rsidR="00DA58FD" w:rsidRPr="00AA02EE" w14:paraId="02F043CD" w14:textId="77777777" w:rsidTr="008E68EC">
        <w:trPr>
          <w:trHeight w:val="370"/>
        </w:trPr>
        <w:tc>
          <w:tcPr>
            <w:tcW w:w="3549"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0ED62D57" w14:textId="77777777" w:rsidR="00DA58FD" w:rsidRPr="0009385A" w:rsidRDefault="00DA58FD" w:rsidP="008E68EC">
            <w:pPr>
              <w:jc w:val="center"/>
              <w:rPr>
                <w:rFonts w:ascii="Open Sans" w:hAnsi="Open Sans" w:cs="Arial"/>
                <w:b/>
                <w:bCs/>
                <w:color w:val="000000"/>
                <w:sz w:val="20"/>
                <w:szCs w:val="20"/>
              </w:rPr>
            </w:pPr>
            <w:r w:rsidRPr="0009385A">
              <w:rPr>
                <w:rFonts w:ascii="Open Sans" w:hAnsi="Open Sans" w:cs="Arial"/>
                <w:b/>
                <w:bCs/>
                <w:color w:val="000000"/>
                <w:sz w:val="20"/>
                <w:szCs w:val="20"/>
              </w:rPr>
              <w:t>Nombre de la Sociedad</w:t>
            </w:r>
          </w:p>
        </w:tc>
        <w:tc>
          <w:tcPr>
            <w:tcW w:w="2552" w:type="dxa"/>
            <w:tcBorders>
              <w:top w:val="single" w:sz="4" w:space="0" w:color="auto"/>
              <w:left w:val="nil"/>
              <w:bottom w:val="single" w:sz="4" w:space="0" w:color="auto"/>
              <w:right w:val="single" w:sz="4" w:space="0" w:color="auto"/>
            </w:tcBorders>
            <w:shd w:val="clear" w:color="000000" w:fill="C0C0C0"/>
            <w:noWrap/>
            <w:vAlign w:val="center"/>
          </w:tcPr>
          <w:p w14:paraId="499610FC" w14:textId="77777777" w:rsidR="00DA58FD" w:rsidRPr="0009385A" w:rsidRDefault="00DA58FD" w:rsidP="008E68EC">
            <w:pPr>
              <w:jc w:val="center"/>
              <w:rPr>
                <w:rFonts w:ascii="Open Sans" w:hAnsi="Open Sans" w:cs="Arial"/>
                <w:b/>
                <w:bCs/>
                <w:color w:val="000000"/>
                <w:sz w:val="20"/>
                <w:szCs w:val="20"/>
              </w:rPr>
            </w:pPr>
            <w:r w:rsidRPr="0009385A">
              <w:rPr>
                <w:rFonts w:ascii="Open Sans" w:hAnsi="Open Sans" w:cs="Arial"/>
                <w:b/>
                <w:bCs/>
                <w:color w:val="000000"/>
                <w:sz w:val="20"/>
                <w:szCs w:val="20"/>
              </w:rPr>
              <w:t>Domicilio</w:t>
            </w:r>
          </w:p>
        </w:tc>
        <w:tc>
          <w:tcPr>
            <w:tcW w:w="2409" w:type="dxa"/>
            <w:tcBorders>
              <w:top w:val="single" w:sz="4" w:space="0" w:color="auto"/>
              <w:left w:val="nil"/>
              <w:bottom w:val="single" w:sz="4" w:space="0" w:color="auto"/>
              <w:right w:val="single" w:sz="4" w:space="0" w:color="auto"/>
            </w:tcBorders>
            <w:shd w:val="clear" w:color="000000" w:fill="C0C0C0"/>
            <w:noWrap/>
            <w:vAlign w:val="center"/>
          </w:tcPr>
          <w:p w14:paraId="1D167E19" w14:textId="77777777" w:rsidR="00DA58FD" w:rsidRPr="0009385A" w:rsidRDefault="00DA58FD" w:rsidP="008E68EC">
            <w:pPr>
              <w:jc w:val="center"/>
              <w:rPr>
                <w:rFonts w:ascii="Open Sans" w:hAnsi="Open Sans" w:cs="Arial"/>
                <w:b/>
                <w:bCs/>
                <w:color w:val="000000"/>
                <w:sz w:val="20"/>
                <w:szCs w:val="20"/>
              </w:rPr>
            </w:pPr>
            <w:r w:rsidRPr="0009385A">
              <w:rPr>
                <w:rFonts w:ascii="Open Sans" w:hAnsi="Open Sans" w:cs="Arial"/>
                <w:b/>
                <w:bCs/>
                <w:color w:val="000000"/>
                <w:sz w:val="20"/>
                <w:szCs w:val="20"/>
              </w:rPr>
              <w:t>Actividad</w:t>
            </w:r>
          </w:p>
        </w:tc>
      </w:tr>
      <w:tr w:rsidR="00DA58FD" w:rsidRPr="00AA02EE" w14:paraId="5444AE17" w14:textId="77777777" w:rsidTr="008E68EC">
        <w:trPr>
          <w:trHeight w:val="480"/>
        </w:trPr>
        <w:tc>
          <w:tcPr>
            <w:tcW w:w="3549" w:type="dxa"/>
            <w:tcBorders>
              <w:top w:val="nil"/>
              <w:left w:val="single" w:sz="4" w:space="0" w:color="auto"/>
              <w:bottom w:val="single" w:sz="4" w:space="0" w:color="auto"/>
              <w:right w:val="single" w:sz="4" w:space="0" w:color="auto"/>
            </w:tcBorders>
            <w:noWrap/>
            <w:vAlign w:val="center"/>
          </w:tcPr>
          <w:p w14:paraId="5665C439" w14:textId="77777777" w:rsidR="00DA58FD" w:rsidRPr="0009385A" w:rsidRDefault="00DA58FD" w:rsidP="008E68EC">
            <w:pPr>
              <w:rPr>
                <w:rFonts w:ascii="Open Sans" w:hAnsi="Open Sans" w:cs="Arial"/>
                <w:sz w:val="20"/>
                <w:szCs w:val="20"/>
              </w:rPr>
            </w:pPr>
            <w:r w:rsidRPr="0009385A">
              <w:rPr>
                <w:rFonts w:ascii="Open Sans" w:hAnsi="Open Sans" w:cs="Arial"/>
                <w:sz w:val="20"/>
                <w:szCs w:val="20"/>
              </w:rPr>
              <w:t>Red Eléctrica de España Finance, B.V. (RBV)</w:t>
            </w:r>
          </w:p>
        </w:tc>
        <w:tc>
          <w:tcPr>
            <w:tcW w:w="2552" w:type="dxa"/>
            <w:tcBorders>
              <w:top w:val="nil"/>
              <w:left w:val="nil"/>
              <w:bottom w:val="single" w:sz="4" w:space="0" w:color="auto"/>
              <w:right w:val="single" w:sz="4" w:space="0" w:color="auto"/>
            </w:tcBorders>
            <w:vAlign w:val="center"/>
          </w:tcPr>
          <w:p w14:paraId="192593C1" w14:textId="77777777" w:rsidR="00DA58FD" w:rsidRPr="0009385A" w:rsidRDefault="00DA58FD" w:rsidP="008E68EC">
            <w:pPr>
              <w:rPr>
                <w:rFonts w:ascii="Open Sans" w:hAnsi="Open Sans" w:cs="Arial"/>
                <w:sz w:val="20"/>
                <w:szCs w:val="20"/>
              </w:rPr>
            </w:pPr>
            <w:r w:rsidRPr="0009385A">
              <w:rPr>
                <w:rFonts w:ascii="Open Sans" w:hAnsi="Open Sans" w:cs="Arial"/>
                <w:sz w:val="20"/>
                <w:szCs w:val="20"/>
              </w:rPr>
              <w:t>Hoogoorddreef 15. Amsterdam (Holanda)</w:t>
            </w:r>
          </w:p>
        </w:tc>
        <w:tc>
          <w:tcPr>
            <w:tcW w:w="2409" w:type="dxa"/>
            <w:tcBorders>
              <w:top w:val="nil"/>
              <w:left w:val="nil"/>
              <w:bottom w:val="single" w:sz="4" w:space="0" w:color="auto"/>
              <w:right w:val="single" w:sz="4" w:space="0" w:color="auto"/>
            </w:tcBorders>
            <w:vAlign w:val="center"/>
          </w:tcPr>
          <w:p w14:paraId="51A223CF" w14:textId="77777777" w:rsidR="00DA58FD" w:rsidRPr="0009385A" w:rsidRDefault="00DA58FD" w:rsidP="008E68EC">
            <w:pPr>
              <w:rPr>
                <w:rFonts w:ascii="Open Sans" w:hAnsi="Open Sans" w:cs="Arial"/>
                <w:sz w:val="20"/>
                <w:szCs w:val="20"/>
              </w:rPr>
            </w:pPr>
            <w:r w:rsidRPr="0009385A">
              <w:rPr>
                <w:rFonts w:ascii="Open Sans" w:hAnsi="Open Sans" w:cs="Arial"/>
                <w:sz w:val="20"/>
                <w:szCs w:val="20"/>
              </w:rPr>
              <w:t xml:space="preserve">Actividades de financiación </w:t>
            </w:r>
          </w:p>
        </w:tc>
      </w:tr>
      <w:tr w:rsidR="00DA58FD" w:rsidRPr="00AA02EE" w14:paraId="0A9EE050" w14:textId="77777777" w:rsidTr="008E68EC">
        <w:trPr>
          <w:trHeight w:val="480"/>
        </w:trPr>
        <w:tc>
          <w:tcPr>
            <w:tcW w:w="3549" w:type="dxa"/>
            <w:tcBorders>
              <w:top w:val="nil"/>
              <w:left w:val="single" w:sz="4" w:space="0" w:color="auto"/>
              <w:bottom w:val="single" w:sz="4" w:space="0" w:color="auto"/>
              <w:right w:val="single" w:sz="4" w:space="0" w:color="auto"/>
            </w:tcBorders>
            <w:vAlign w:val="center"/>
          </w:tcPr>
          <w:p w14:paraId="69D785CA" w14:textId="77777777" w:rsidR="00DA58FD" w:rsidRPr="0009385A" w:rsidRDefault="00DA58FD" w:rsidP="008E68EC">
            <w:pPr>
              <w:rPr>
                <w:rFonts w:ascii="Open Sans" w:hAnsi="Open Sans" w:cs="Arial"/>
                <w:sz w:val="20"/>
                <w:szCs w:val="20"/>
              </w:rPr>
            </w:pPr>
            <w:r w:rsidRPr="0009385A">
              <w:rPr>
                <w:rFonts w:ascii="Open Sans" w:hAnsi="Open Sans" w:cs="Arial"/>
                <w:sz w:val="20"/>
                <w:szCs w:val="20"/>
              </w:rPr>
              <w:t>Redcor Reaseguros, S.A (REDCOR)</w:t>
            </w:r>
          </w:p>
        </w:tc>
        <w:tc>
          <w:tcPr>
            <w:tcW w:w="2552" w:type="dxa"/>
            <w:tcBorders>
              <w:top w:val="nil"/>
              <w:left w:val="nil"/>
              <w:bottom w:val="single" w:sz="4" w:space="0" w:color="auto"/>
              <w:right w:val="single" w:sz="4" w:space="0" w:color="auto"/>
            </w:tcBorders>
            <w:vAlign w:val="center"/>
          </w:tcPr>
          <w:p w14:paraId="0C3483A2" w14:textId="77777777" w:rsidR="00DA58FD" w:rsidRPr="0009385A" w:rsidRDefault="00DA58FD" w:rsidP="008E68EC">
            <w:pPr>
              <w:rPr>
                <w:rFonts w:ascii="Open Sans" w:hAnsi="Open Sans" w:cs="Arial"/>
                <w:sz w:val="20"/>
                <w:szCs w:val="20"/>
              </w:rPr>
            </w:pPr>
            <w:r w:rsidRPr="0009385A">
              <w:rPr>
                <w:rFonts w:ascii="Open Sans" w:hAnsi="Open Sans" w:cs="Arial"/>
                <w:sz w:val="20"/>
                <w:szCs w:val="20"/>
              </w:rPr>
              <w:t>26, Rue Louvigny. (Luxembourg)</w:t>
            </w:r>
          </w:p>
        </w:tc>
        <w:tc>
          <w:tcPr>
            <w:tcW w:w="2409" w:type="dxa"/>
            <w:tcBorders>
              <w:top w:val="nil"/>
              <w:left w:val="nil"/>
              <w:bottom w:val="single" w:sz="4" w:space="0" w:color="auto"/>
              <w:right w:val="single" w:sz="4" w:space="0" w:color="auto"/>
            </w:tcBorders>
            <w:vAlign w:val="center"/>
          </w:tcPr>
          <w:p w14:paraId="55AA8AE2" w14:textId="77777777" w:rsidR="00DA58FD" w:rsidRPr="0009385A" w:rsidRDefault="00DA58FD" w:rsidP="008E68EC">
            <w:pPr>
              <w:rPr>
                <w:rFonts w:ascii="Open Sans" w:hAnsi="Open Sans" w:cs="Arial"/>
                <w:sz w:val="20"/>
                <w:szCs w:val="20"/>
              </w:rPr>
            </w:pPr>
            <w:r w:rsidRPr="0009385A">
              <w:rPr>
                <w:rFonts w:ascii="Open Sans" w:hAnsi="Open Sans" w:cs="Arial"/>
                <w:sz w:val="20"/>
                <w:szCs w:val="20"/>
              </w:rPr>
              <w:t>Actividades de reaseguro</w:t>
            </w:r>
          </w:p>
        </w:tc>
      </w:tr>
    </w:tbl>
    <w:p w14:paraId="0C10193C" w14:textId="77777777" w:rsidR="00DA58FD" w:rsidRDefault="00DA58FD" w:rsidP="00DA58FD">
      <w:pPr>
        <w:ind w:left="360"/>
        <w:rPr>
          <w:rFonts w:ascii="Open Sans" w:hAnsi="Open Sans" w:cs="Arial"/>
          <w:bCs/>
          <w:sz w:val="22"/>
          <w:szCs w:val="22"/>
        </w:rPr>
      </w:pPr>
    </w:p>
    <w:p w14:paraId="60A4C0CD" w14:textId="77777777" w:rsidR="00DA58FD" w:rsidRDefault="00DA58FD" w:rsidP="00DA58FD">
      <w:pPr>
        <w:jc w:val="both"/>
        <w:rPr>
          <w:rFonts w:ascii="Open Sans" w:hAnsi="Open Sans" w:cs="Arial"/>
          <w:sz w:val="20"/>
          <w:szCs w:val="20"/>
        </w:rPr>
      </w:pPr>
      <w:r w:rsidRPr="00010081">
        <w:rPr>
          <w:rFonts w:ascii="Open Sans" w:hAnsi="Open Sans" w:cs="Arial"/>
          <w:sz w:val="20"/>
          <w:szCs w:val="20"/>
        </w:rPr>
        <w:t>RBV fue constituida en 2003 en Holanda para poder realizar emisiones de deuda para</w:t>
      </w:r>
      <w:r>
        <w:rPr>
          <w:rFonts w:ascii="Open Sans" w:hAnsi="Open Sans" w:cs="Arial"/>
          <w:sz w:val="20"/>
          <w:szCs w:val="20"/>
        </w:rPr>
        <w:t xml:space="preserve"> la financiación</w:t>
      </w:r>
      <w:r w:rsidRPr="00010081">
        <w:rPr>
          <w:rFonts w:ascii="Open Sans" w:hAnsi="Open Sans" w:cs="Arial"/>
          <w:sz w:val="20"/>
          <w:szCs w:val="20"/>
        </w:rPr>
        <w:t xml:space="preserve"> </w:t>
      </w:r>
      <w:r>
        <w:rPr>
          <w:rFonts w:ascii="Open Sans" w:hAnsi="Open Sans" w:cs="Arial"/>
          <w:sz w:val="20"/>
          <w:szCs w:val="20"/>
        </w:rPr>
        <w:t xml:space="preserve">del Grupo Red Eléctrica. </w:t>
      </w:r>
      <w:r w:rsidRPr="00010081">
        <w:rPr>
          <w:rFonts w:ascii="Open Sans" w:hAnsi="Open Sans" w:cs="Arial"/>
          <w:sz w:val="20"/>
          <w:szCs w:val="20"/>
        </w:rPr>
        <w:t xml:space="preserve">Por otro lado, REDCOR fue constituida en 2010 en Luxemburgo para poder reasegurar los riesgos de las distintas sociedades del Grupo, garantizando un mejor acceso a los mercados </w:t>
      </w:r>
      <w:r>
        <w:rPr>
          <w:rFonts w:ascii="Open Sans" w:hAnsi="Open Sans" w:cs="Arial"/>
          <w:sz w:val="20"/>
          <w:szCs w:val="20"/>
        </w:rPr>
        <w:t xml:space="preserve">de reaseguro internacionales. </w:t>
      </w:r>
      <w:r w:rsidRPr="00CF0AC6">
        <w:rPr>
          <w:rFonts w:ascii="Open Sans" w:hAnsi="Open Sans" w:cs="Arial"/>
          <w:sz w:val="20"/>
          <w:szCs w:val="20"/>
        </w:rPr>
        <w:t xml:space="preserve">Cabe destacar que las actividades desarrolladas por las citadas compañías no están relacionadas con los productos y servicios que ofrece </w:t>
      </w:r>
      <w:r>
        <w:rPr>
          <w:rFonts w:ascii="Open Sans" w:hAnsi="Open Sans" w:cs="Arial"/>
          <w:sz w:val="20"/>
          <w:szCs w:val="20"/>
        </w:rPr>
        <w:t xml:space="preserve">REE a sus clientes. </w:t>
      </w:r>
    </w:p>
    <w:p w14:paraId="2B85668B" w14:textId="77777777" w:rsidR="00DA58FD" w:rsidRDefault="00DA58FD" w:rsidP="00DA58FD">
      <w:pPr>
        <w:jc w:val="both"/>
        <w:rPr>
          <w:rFonts w:ascii="Open Sans" w:hAnsi="Open Sans" w:cs="Arial"/>
          <w:sz w:val="20"/>
          <w:szCs w:val="20"/>
        </w:rPr>
      </w:pPr>
    </w:p>
    <w:p w14:paraId="37BBB5D1" w14:textId="77777777" w:rsidR="00DA58FD" w:rsidRPr="00E402B6" w:rsidRDefault="00DA58FD" w:rsidP="00DA58FD">
      <w:pPr>
        <w:jc w:val="both"/>
        <w:rPr>
          <w:rFonts w:ascii="Open Sans" w:hAnsi="Open Sans" w:cs="Arial"/>
          <w:sz w:val="20"/>
          <w:szCs w:val="20"/>
        </w:rPr>
      </w:pPr>
      <w:r>
        <w:rPr>
          <w:rFonts w:ascii="Open Sans" w:hAnsi="Open Sans" w:cs="Arial"/>
          <w:sz w:val="20"/>
          <w:szCs w:val="20"/>
        </w:rPr>
        <w:t>El grupo indica expresamente en su estrategia fiscal y en el código ético que “</w:t>
      </w:r>
      <w:r w:rsidRPr="00797895">
        <w:rPr>
          <w:rFonts w:ascii="Open Sans" w:hAnsi="Open Sans" w:cs="Arial"/>
          <w:bCs/>
          <w:i/>
          <w:sz w:val="20"/>
          <w:szCs w:val="20"/>
        </w:rPr>
        <w:t>La actividad desarrollada en dichos lugares estará́ relacionada con el desarrollo de las funciones del Grupo</w:t>
      </w:r>
      <w:r>
        <w:rPr>
          <w:rFonts w:ascii="Open Sans" w:hAnsi="Open Sans" w:cs="Arial"/>
          <w:bCs/>
          <w:sz w:val="20"/>
          <w:szCs w:val="20"/>
        </w:rPr>
        <w:t>”</w:t>
      </w:r>
      <w:r w:rsidRPr="00797895">
        <w:rPr>
          <w:rFonts w:ascii="Open Sans" w:hAnsi="Open Sans" w:cs="Arial"/>
          <w:bCs/>
          <w:sz w:val="20"/>
          <w:szCs w:val="20"/>
        </w:rPr>
        <w:t>.</w:t>
      </w:r>
      <w:r>
        <w:rPr>
          <w:rFonts w:ascii="Open Sans" w:hAnsi="Open Sans" w:cs="Arial"/>
          <w:bCs/>
          <w:sz w:val="20"/>
          <w:szCs w:val="20"/>
        </w:rPr>
        <w:t xml:space="preserve"> </w:t>
      </w:r>
      <w:r w:rsidRPr="00B9200E">
        <w:rPr>
          <w:rFonts w:ascii="Open Sans" w:hAnsi="Open Sans" w:cs="Arial"/>
          <w:sz w:val="20"/>
          <w:szCs w:val="20"/>
        </w:rPr>
        <w:t>Sin embargo, en la práctica siempre resulta más complejo aclarar cuál es el alcance de las funciones de un grupo dedicado en exclusiva a "la operación del sistema eléctrico y al transporte de electricidad", para esclarecer así por ejemplo si es función del grupo las actividades de reaseguro del riesgo en Luxemburgo, o las actividades de financiación del grupo mediante emisión de deuda en Holanda, como es el caso de</w:t>
      </w:r>
      <w:r>
        <w:rPr>
          <w:rFonts w:ascii="Open Sans" w:hAnsi="Open Sans" w:cs="Arial"/>
          <w:sz w:val="20"/>
          <w:szCs w:val="20"/>
        </w:rPr>
        <w:t xml:space="preserve"> éstas</w:t>
      </w:r>
      <w:r w:rsidRPr="00B9200E">
        <w:rPr>
          <w:rFonts w:ascii="Open Sans" w:hAnsi="Open Sans" w:cs="Arial"/>
          <w:sz w:val="20"/>
          <w:szCs w:val="20"/>
        </w:rPr>
        <w:t xml:space="preserve"> dos sociedades.</w:t>
      </w:r>
    </w:p>
    <w:p w14:paraId="373AEC2B" w14:textId="77777777" w:rsidR="00DA58FD" w:rsidRDefault="00DA58FD" w:rsidP="00DA58FD">
      <w:pPr>
        <w:jc w:val="both"/>
        <w:rPr>
          <w:rFonts w:ascii="Open Sans" w:hAnsi="Open Sans" w:cs="Arial"/>
          <w:sz w:val="20"/>
          <w:szCs w:val="20"/>
        </w:rPr>
      </w:pPr>
    </w:p>
    <w:p w14:paraId="6A82EDE8" w14:textId="77777777" w:rsidR="00DA58FD" w:rsidRPr="00852E2C" w:rsidRDefault="00DA58FD" w:rsidP="00DA58FD">
      <w:pPr>
        <w:jc w:val="both"/>
        <w:rPr>
          <w:rFonts w:ascii="Open Sans" w:hAnsi="Open Sans" w:cs="Open Sans"/>
          <w:b/>
          <w:bCs/>
          <w:sz w:val="20"/>
          <w:szCs w:val="20"/>
        </w:rPr>
      </w:pPr>
      <w:r w:rsidRPr="00852E2C">
        <w:rPr>
          <w:rFonts w:ascii="Open Sans" w:hAnsi="Open Sans" w:cs="Arial"/>
          <w:sz w:val="20"/>
          <w:szCs w:val="20"/>
        </w:rPr>
        <w:t>En 2015</w:t>
      </w:r>
      <w:r>
        <w:rPr>
          <w:rFonts w:ascii="Open Sans" w:hAnsi="Open Sans" w:cs="Arial"/>
          <w:sz w:val="20"/>
          <w:szCs w:val="20"/>
        </w:rPr>
        <w:t xml:space="preserve"> REC</w:t>
      </w:r>
      <w:r w:rsidRPr="00852E2C">
        <w:rPr>
          <w:rFonts w:ascii="Open Sans" w:hAnsi="Open Sans" w:cs="Arial"/>
          <w:sz w:val="20"/>
          <w:szCs w:val="20"/>
        </w:rPr>
        <w:t xml:space="preserve"> ha</w:t>
      </w:r>
      <w:r>
        <w:rPr>
          <w:rFonts w:ascii="Open Sans" w:hAnsi="Open Sans" w:cs="Arial"/>
          <w:sz w:val="20"/>
          <w:szCs w:val="20"/>
        </w:rPr>
        <w:t xml:space="preserve"> amortizado 70 millones  de dólares americanos correspondiente a la emisión privada de bonos realizada en 2005 a través de </w:t>
      </w:r>
      <w:r w:rsidRPr="00852E2C">
        <w:rPr>
          <w:rFonts w:ascii="Open Sans" w:hAnsi="Open Sans" w:cs="Arial"/>
          <w:sz w:val="20"/>
          <w:szCs w:val="20"/>
        </w:rPr>
        <w:t xml:space="preserve">la sociedad Red Eléctrica de España Finance, B.V. (RBV) </w:t>
      </w:r>
      <w:r>
        <w:rPr>
          <w:rFonts w:ascii="Open Sans" w:hAnsi="Open Sans" w:cs="Arial"/>
          <w:sz w:val="20"/>
          <w:szCs w:val="20"/>
        </w:rPr>
        <w:t xml:space="preserve">por </w:t>
      </w:r>
      <w:r w:rsidRPr="00852E2C">
        <w:rPr>
          <w:rFonts w:ascii="Open Sans" w:hAnsi="Open Sans" w:cs="Arial"/>
          <w:sz w:val="20"/>
          <w:szCs w:val="20"/>
        </w:rPr>
        <w:t xml:space="preserve">430 millones de dólares. </w:t>
      </w:r>
      <w:r w:rsidRPr="00852E2C">
        <w:rPr>
          <w:rFonts w:ascii="Open Sans" w:hAnsi="Open Sans" w:cs="Open Sans"/>
          <w:sz w:val="20"/>
          <w:szCs w:val="22"/>
        </w:rPr>
        <w:t xml:space="preserve"> </w:t>
      </w:r>
      <w:r w:rsidRPr="00852E2C">
        <w:rPr>
          <w:rFonts w:ascii="Open Sans" w:hAnsi="Open Sans" w:cs="Open Sans"/>
          <w:sz w:val="20"/>
          <w:szCs w:val="20"/>
        </w:rPr>
        <w:t xml:space="preserve">Según el artículo de Francis Weyzig </w:t>
      </w:r>
      <w:r w:rsidRPr="00852E2C">
        <w:rPr>
          <w:rFonts w:ascii="Open Sans" w:hAnsi="Open Sans" w:cs="Open Sans"/>
          <w:bCs/>
          <w:sz w:val="20"/>
          <w:szCs w:val="20"/>
        </w:rPr>
        <w:t>I</w:t>
      </w:r>
      <w:r w:rsidRPr="00852E2C">
        <w:rPr>
          <w:rFonts w:ascii="Open Sans" w:hAnsi="Open Sans" w:cs="Open Sans"/>
          <w:bCs/>
          <w:i/>
          <w:sz w:val="20"/>
          <w:szCs w:val="20"/>
        </w:rPr>
        <w:t>nternational finance and tax avoidance via Dutch SpecialPurpose Entities</w:t>
      </w:r>
      <w:r w:rsidRPr="00852E2C">
        <w:rPr>
          <w:rFonts w:ascii="Open Sans" w:hAnsi="Open Sans" w:cs="Open Sans"/>
          <w:i/>
          <w:sz w:val="20"/>
          <w:szCs w:val="20"/>
        </w:rPr>
        <w:t xml:space="preserve"> </w:t>
      </w:r>
      <w:r w:rsidRPr="00852E2C">
        <w:rPr>
          <w:rFonts w:ascii="Open Sans" w:hAnsi="Open Sans" w:cs="Open Sans"/>
          <w:sz w:val="20"/>
          <w:szCs w:val="20"/>
        </w:rPr>
        <w:t>muchas entidades no financieras de países de la UE utilizan conductos holandeses para emitir títulos de deuda. Esto elimina cualquier retención fiscal en los pagos de intereses a acreedores extranjeros, porque los pagos a un conducto holandés (Dutch conduit) están exentos bajo la Directiva de Intereses y Royalties y Holanda no hace retención fiscal sobre los intereses.</w:t>
      </w:r>
    </w:p>
    <w:p w14:paraId="3BEDD7A4" w14:textId="77777777" w:rsidR="00DA58FD" w:rsidRDefault="00DA58FD" w:rsidP="00DA58FD">
      <w:pPr>
        <w:jc w:val="both"/>
        <w:rPr>
          <w:rFonts w:ascii="Open Sans" w:hAnsi="Open Sans" w:cs="Arial"/>
          <w:sz w:val="20"/>
          <w:szCs w:val="20"/>
        </w:rPr>
      </w:pPr>
      <w:r>
        <w:rPr>
          <w:rFonts w:ascii="Open Sans" w:hAnsi="Open Sans" w:cs="Arial"/>
          <w:sz w:val="20"/>
          <w:szCs w:val="20"/>
        </w:rPr>
        <w:t xml:space="preserve"> </w:t>
      </w:r>
    </w:p>
    <w:p w14:paraId="2E7679CF" w14:textId="77777777" w:rsidR="00DA58FD" w:rsidRDefault="00DA58FD" w:rsidP="00DA58FD">
      <w:pPr>
        <w:jc w:val="both"/>
        <w:rPr>
          <w:rFonts w:ascii="Open Sans" w:hAnsi="Open Sans" w:cs="Arial"/>
          <w:sz w:val="20"/>
          <w:szCs w:val="20"/>
        </w:rPr>
      </w:pPr>
      <w:r w:rsidRPr="00B334FF">
        <w:rPr>
          <w:rFonts w:ascii="Open Sans" w:hAnsi="Open Sans" w:cs="Arial"/>
          <w:sz w:val="20"/>
          <w:szCs w:val="20"/>
        </w:rPr>
        <w:t xml:space="preserve">La empresa no facilita información desglosada sobre su actividad </w:t>
      </w:r>
      <w:r>
        <w:rPr>
          <w:rFonts w:ascii="Open Sans" w:hAnsi="Open Sans" w:cs="Arial"/>
          <w:sz w:val="20"/>
          <w:szCs w:val="20"/>
        </w:rPr>
        <w:t xml:space="preserve">en todos los países en los que está presente. </w:t>
      </w:r>
      <w:r w:rsidRPr="00B334FF">
        <w:rPr>
          <w:rFonts w:ascii="Open Sans" w:hAnsi="Open Sans" w:cs="Arial"/>
          <w:sz w:val="20"/>
          <w:szCs w:val="20"/>
        </w:rPr>
        <w:t xml:space="preserve">En este sentido, argumenta que al desarrollar su actividad principalmente en España, que representa el </w:t>
      </w:r>
      <w:r>
        <w:rPr>
          <w:rFonts w:ascii="Open Sans" w:hAnsi="Open Sans" w:cs="Arial"/>
          <w:sz w:val="20"/>
          <w:szCs w:val="20"/>
        </w:rPr>
        <w:t>93</w:t>
      </w:r>
      <w:r w:rsidRPr="00B334FF">
        <w:rPr>
          <w:rFonts w:ascii="Open Sans" w:hAnsi="Open Sans" w:cs="Arial"/>
          <w:sz w:val="20"/>
          <w:szCs w:val="20"/>
        </w:rPr>
        <w:t xml:space="preserve"> % de la cifra de negocio consolidada y el 94 % de los activos totales del Grupo, no se ha considerado relevante proporcionar información por segmentos de actividad ni geográficos</w:t>
      </w:r>
      <w:r>
        <w:rPr>
          <w:rFonts w:ascii="Open Sans" w:hAnsi="Open Sans" w:cs="Arial"/>
          <w:sz w:val="20"/>
          <w:szCs w:val="20"/>
        </w:rPr>
        <w:t xml:space="preserve"> del resto de actividades</w:t>
      </w:r>
      <w:r w:rsidRPr="00B334FF">
        <w:rPr>
          <w:rFonts w:ascii="Open Sans" w:hAnsi="Open Sans" w:cs="Arial"/>
          <w:sz w:val="20"/>
          <w:szCs w:val="20"/>
        </w:rPr>
        <w:t xml:space="preserve">. </w:t>
      </w:r>
      <w:r>
        <w:rPr>
          <w:rFonts w:ascii="Open Sans" w:hAnsi="Open Sans" w:cs="Arial"/>
          <w:sz w:val="20"/>
          <w:szCs w:val="20"/>
        </w:rPr>
        <w:t>Por tanto se desconoce el volumen de operaciones de estas filiales y la cifra de impuestos pagados en Holanda y Luxemburgo. Sin embargo REC informa de la plantilla en cada una de las filiales, estando una persona de la plantilla vinculada a REDCOR. La filial de Holanda no cuenta con personal.</w:t>
      </w:r>
    </w:p>
    <w:p w14:paraId="122BBBC4" w14:textId="77777777" w:rsidR="00DA58FD" w:rsidRDefault="00DA58FD" w:rsidP="00DA58FD">
      <w:pPr>
        <w:jc w:val="both"/>
        <w:rPr>
          <w:rFonts w:ascii="Open Sans" w:hAnsi="Open Sans" w:cs="Arial"/>
          <w:sz w:val="20"/>
          <w:szCs w:val="20"/>
        </w:rPr>
      </w:pPr>
    </w:p>
    <w:p w14:paraId="32CEFF35" w14:textId="77777777" w:rsidR="00DA58FD" w:rsidRDefault="00DA58FD" w:rsidP="00DA58FD">
      <w:pPr>
        <w:jc w:val="both"/>
        <w:rPr>
          <w:rFonts w:ascii="Open Sans" w:hAnsi="Open Sans" w:cs="Arial"/>
          <w:sz w:val="20"/>
          <w:szCs w:val="20"/>
        </w:rPr>
      </w:pPr>
      <w:r w:rsidRPr="00B334FF">
        <w:rPr>
          <w:rFonts w:ascii="Open Sans" w:hAnsi="Open Sans" w:cs="Arial"/>
          <w:sz w:val="20"/>
          <w:szCs w:val="20"/>
        </w:rPr>
        <w:t xml:space="preserve">El Grupo está presente en </w:t>
      </w:r>
      <w:r>
        <w:rPr>
          <w:rFonts w:ascii="Open Sans" w:hAnsi="Open Sans" w:cs="Arial"/>
          <w:sz w:val="20"/>
          <w:szCs w:val="20"/>
        </w:rPr>
        <w:t>seis</w:t>
      </w:r>
      <w:r w:rsidRPr="00B334FF">
        <w:rPr>
          <w:rFonts w:ascii="Open Sans" w:hAnsi="Open Sans" w:cs="Arial"/>
          <w:sz w:val="20"/>
          <w:szCs w:val="20"/>
        </w:rPr>
        <w:t xml:space="preserve"> países: </w:t>
      </w:r>
      <w:r>
        <w:rPr>
          <w:rFonts w:ascii="Open Sans" w:hAnsi="Open Sans" w:cs="Arial"/>
          <w:sz w:val="20"/>
          <w:szCs w:val="20"/>
        </w:rPr>
        <w:t>España, Francia, Perú, Chile, Holanda y Luxemburgo</w:t>
      </w:r>
      <w:r w:rsidRPr="00B334FF">
        <w:rPr>
          <w:rFonts w:ascii="Open Sans" w:hAnsi="Open Sans" w:cs="Arial"/>
          <w:sz w:val="20"/>
          <w:szCs w:val="20"/>
        </w:rPr>
        <w:t>. Precisamente sería de interés y una muestra de transparencia que la empresa argumentase el motivo de que si todo su negocio está en España, tenga una financiera y una reaseguradora en Holan</w:t>
      </w:r>
      <w:r>
        <w:rPr>
          <w:rFonts w:ascii="Open Sans" w:hAnsi="Open Sans" w:cs="Arial"/>
          <w:sz w:val="20"/>
          <w:szCs w:val="20"/>
        </w:rPr>
        <w:t>da y Luxemburgo respectivamente</w:t>
      </w:r>
      <w:r w:rsidRPr="00E402B6">
        <w:rPr>
          <w:rFonts w:ascii="Open Sans" w:hAnsi="Open Sans" w:cs="Arial"/>
          <w:sz w:val="20"/>
          <w:szCs w:val="20"/>
        </w:rPr>
        <w:t>. En base al compromiso con la sociedad y la comunidad definido por el Grupo, sería recomendable una mayor transparencia en la información que se facilita respecto al pago de impuestos en los diferentes países en los que opera.</w:t>
      </w:r>
    </w:p>
    <w:p w14:paraId="4A216626" w14:textId="77777777" w:rsidR="00DA58FD" w:rsidRDefault="00DA58FD" w:rsidP="00DA58FD">
      <w:pPr>
        <w:jc w:val="both"/>
        <w:rPr>
          <w:rFonts w:ascii="Open Sans" w:hAnsi="Open Sans" w:cs="Arial"/>
          <w:bCs/>
          <w:sz w:val="20"/>
          <w:szCs w:val="20"/>
        </w:rPr>
      </w:pPr>
    </w:p>
    <w:p w14:paraId="7E58AE18" w14:textId="77777777" w:rsidR="00DA58FD" w:rsidRDefault="00DA58FD" w:rsidP="00DA58FD">
      <w:pPr>
        <w:jc w:val="both"/>
        <w:rPr>
          <w:rFonts w:ascii="Open Sans" w:hAnsi="Open Sans" w:cs="Arial"/>
          <w:bCs/>
          <w:sz w:val="20"/>
          <w:szCs w:val="20"/>
        </w:rPr>
      </w:pPr>
      <w:r>
        <w:rPr>
          <w:rFonts w:ascii="Open Sans" w:hAnsi="Open Sans" w:cs="Arial"/>
          <w:bCs/>
          <w:sz w:val="20"/>
          <w:szCs w:val="20"/>
        </w:rPr>
        <w:t>REC cuenta con una política de gestión integral de riesgos y durante el ejercicio 2015 ha integrado los riesgos fiscales relevantes para el grupo. El mapa de riesgos que publica en el informe de RSC</w:t>
      </w:r>
      <w:r>
        <w:rPr>
          <w:rStyle w:val="Refdenotaalpie"/>
          <w:rFonts w:ascii="Open Sans" w:hAnsi="Open Sans"/>
          <w:bCs/>
          <w:sz w:val="20"/>
          <w:szCs w:val="20"/>
        </w:rPr>
        <w:footnoteReference w:id="433"/>
      </w:r>
      <w:r>
        <w:rPr>
          <w:rFonts w:ascii="Open Sans" w:hAnsi="Open Sans" w:cs="Arial"/>
          <w:bCs/>
          <w:sz w:val="20"/>
          <w:szCs w:val="20"/>
        </w:rPr>
        <w:t xml:space="preserve"> los incluye dentro de los riesgos regulatorios pero no identifica dentro de los riesgos fiscales los riesgos más concretos a los que está expuesto en material fiscal. Indica que para su gestión ha establecido la estrategia fiscal, ha incorporado los riesgos fiscales a la política de gestión integral de riesgos del grupo y se ha adherido </w:t>
      </w:r>
      <w:r w:rsidRPr="0030231E">
        <w:rPr>
          <w:rFonts w:ascii="Open Sans" w:hAnsi="Open Sans" w:cs="Arial"/>
          <w:bCs/>
          <w:sz w:val="20"/>
          <w:szCs w:val="20"/>
        </w:rPr>
        <w:t>al Código de Buenas Prácticas Tributarias</w:t>
      </w:r>
      <w:r>
        <w:rPr>
          <w:rFonts w:ascii="Open Sans" w:hAnsi="Open Sans" w:cs="Arial"/>
          <w:bCs/>
          <w:sz w:val="20"/>
          <w:szCs w:val="20"/>
        </w:rPr>
        <w:t xml:space="preserve"> en España. </w:t>
      </w:r>
    </w:p>
    <w:p w14:paraId="2B1BDD4F" w14:textId="77777777" w:rsidR="00DA58FD" w:rsidRDefault="00DA58FD" w:rsidP="00DA58FD">
      <w:pPr>
        <w:jc w:val="both"/>
        <w:rPr>
          <w:rFonts w:ascii="Open Sans" w:hAnsi="Open Sans" w:cs="Arial"/>
          <w:bCs/>
          <w:sz w:val="20"/>
          <w:szCs w:val="20"/>
        </w:rPr>
      </w:pPr>
    </w:p>
    <w:p w14:paraId="6705ECA6"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La aprobación por el consejo de administración de la incorporación de los riesgos fiscales a la </w:t>
      </w:r>
      <w:r w:rsidRPr="009B2622">
        <w:rPr>
          <w:rFonts w:ascii="Open Sans" w:hAnsi="Open Sans" w:cs="Arial"/>
          <w:bCs/>
          <w:sz w:val="20"/>
          <w:szCs w:val="20"/>
        </w:rPr>
        <w:t>Política de Gestión Integral de Riesgos</w:t>
      </w:r>
      <w:r>
        <w:rPr>
          <w:rFonts w:ascii="Open Sans" w:hAnsi="Open Sans" w:cs="Arial"/>
          <w:bCs/>
          <w:sz w:val="20"/>
          <w:szCs w:val="20"/>
        </w:rPr>
        <w:t xml:space="preserve"> se realizó en septiembre 2015. En diciembre de  2016 ha sido aprobada la actualización de la política por el consejo de administración. En la nueva actualización se especifica más concretamente que los riesgos fiscales son </w:t>
      </w:r>
      <w:r w:rsidRPr="000B71F2">
        <w:rPr>
          <w:rFonts w:ascii="Open Sans" w:hAnsi="Open Sans" w:cs="Arial"/>
          <w:bCs/>
          <w:sz w:val="20"/>
          <w:szCs w:val="20"/>
        </w:rPr>
        <w:t>los producidos po</w:t>
      </w:r>
      <w:r>
        <w:rPr>
          <w:rFonts w:ascii="Open Sans" w:hAnsi="Open Sans" w:cs="Arial"/>
          <w:bCs/>
          <w:sz w:val="20"/>
          <w:szCs w:val="20"/>
        </w:rPr>
        <w:t>r la aplica</w:t>
      </w:r>
      <w:r w:rsidRPr="000B71F2">
        <w:rPr>
          <w:rFonts w:ascii="Open Sans" w:hAnsi="Open Sans" w:cs="Arial"/>
          <w:bCs/>
          <w:sz w:val="20"/>
          <w:szCs w:val="20"/>
        </w:rPr>
        <w:t>ción de la norma tributaria, la complejidad interpretativa o las modificaciones en la citada normativa y los posibles impactos reputacionales de la gestión de los asuntos fiscales.</w:t>
      </w:r>
      <w:r>
        <w:rPr>
          <w:rFonts w:ascii="Open Sans" w:hAnsi="Open Sans" w:cs="Arial"/>
          <w:bCs/>
          <w:sz w:val="20"/>
          <w:szCs w:val="20"/>
        </w:rPr>
        <w:t xml:space="preserve"> Igualmente se indican directrices </w:t>
      </w:r>
      <w:r w:rsidRPr="00A10331">
        <w:rPr>
          <w:rFonts w:ascii="Open Sans" w:hAnsi="Open Sans" w:cs="Arial"/>
          <w:bCs/>
          <w:sz w:val="20"/>
          <w:szCs w:val="20"/>
        </w:rPr>
        <w:t>de actuación para la gestión de los riesgos</w:t>
      </w:r>
      <w:r>
        <w:rPr>
          <w:rFonts w:ascii="Open Sans" w:hAnsi="Open Sans" w:cs="Arial"/>
          <w:bCs/>
          <w:sz w:val="20"/>
          <w:szCs w:val="20"/>
        </w:rPr>
        <w:t xml:space="preserve">, que en el caso de los riesgos fiscales especifica que se enmarcan en los contenidos de la estrategia fiscal, además de una visión proactiva y responsable, un análisis específico de estos riesgos en el que se indica que “el </w:t>
      </w:r>
      <w:r w:rsidRPr="00A10331">
        <w:rPr>
          <w:rFonts w:ascii="Open Sans" w:hAnsi="Open Sans" w:cs="Arial"/>
          <w:bCs/>
          <w:i/>
          <w:sz w:val="20"/>
          <w:szCs w:val="20"/>
        </w:rPr>
        <w:t>análisis de los riesgos fiscales de las inversiones u operacion</w:t>
      </w:r>
      <w:r>
        <w:rPr>
          <w:rFonts w:ascii="Open Sans" w:hAnsi="Open Sans" w:cs="Arial"/>
          <w:bCs/>
          <w:i/>
          <w:sz w:val="20"/>
          <w:szCs w:val="20"/>
        </w:rPr>
        <w:t>es que tengan carácter estraté</w:t>
      </w:r>
      <w:r w:rsidRPr="00A10331">
        <w:rPr>
          <w:rFonts w:ascii="Open Sans" w:hAnsi="Open Sans" w:cs="Arial"/>
          <w:bCs/>
          <w:i/>
          <w:sz w:val="20"/>
          <w:szCs w:val="20"/>
        </w:rPr>
        <w:t>gico o especial riesgo fiscal por su elevada cuantía o especiales características, se informará para su aprobación por el Consejo de Administración</w:t>
      </w:r>
      <w:r>
        <w:rPr>
          <w:rFonts w:ascii="Open Sans" w:hAnsi="Open Sans" w:cs="Arial"/>
          <w:bCs/>
          <w:i/>
          <w:sz w:val="20"/>
          <w:szCs w:val="20"/>
        </w:rPr>
        <w:t>”</w:t>
      </w:r>
      <w:r w:rsidRPr="00A10331">
        <w:rPr>
          <w:rFonts w:ascii="Open Sans" w:hAnsi="Open Sans" w:cs="Arial"/>
          <w:bCs/>
          <w:i/>
          <w:sz w:val="20"/>
          <w:szCs w:val="20"/>
        </w:rPr>
        <w:t>.</w:t>
      </w:r>
      <w:r>
        <w:rPr>
          <w:rFonts w:ascii="Open Sans" w:hAnsi="Open Sans" w:cs="Arial"/>
          <w:bCs/>
          <w:i/>
          <w:sz w:val="20"/>
          <w:szCs w:val="20"/>
        </w:rPr>
        <w:t xml:space="preserve"> </w:t>
      </w:r>
      <w:r w:rsidRPr="00C776CF">
        <w:rPr>
          <w:rFonts w:ascii="Open Sans" w:hAnsi="Open Sans" w:cs="Arial"/>
          <w:bCs/>
          <w:sz w:val="20"/>
          <w:szCs w:val="20"/>
        </w:rPr>
        <w:t xml:space="preserve">Por último se fomentarán la relaciones con </w:t>
      </w:r>
      <w:proofErr w:type="gramStart"/>
      <w:r w:rsidRPr="00C776CF">
        <w:rPr>
          <w:rFonts w:ascii="Open Sans" w:hAnsi="Open Sans" w:cs="Arial"/>
          <w:bCs/>
          <w:sz w:val="20"/>
          <w:szCs w:val="20"/>
        </w:rPr>
        <w:t>los</w:t>
      </w:r>
      <w:proofErr w:type="gramEnd"/>
      <w:r w:rsidRPr="00C776CF">
        <w:rPr>
          <w:rFonts w:ascii="Open Sans" w:hAnsi="Open Sans" w:cs="Arial"/>
          <w:bCs/>
          <w:sz w:val="20"/>
          <w:szCs w:val="20"/>
        </w:rPr>
        <w:t xml:space="preserve"> administraciones tributarias.</w:t>
      </w:r>
    </w:p>
    <w:p w14:paraId="69548B0C" w14:textId="77777777" w:rsidR="00DA58FD" w:rsidRDefault="00DA58FD" w:rsidP="00DA58FD">
      <w:pPr>
        <w:jc w:val="both"/>
        <w:rPr>
          <w:rFonts w:ascii="Open Sans" w:hAnsi="Open Sans" w:cs="Arial"/>
          <w:bCs/>
          <w:sz w:val="20"/>
          <w:szCs w:val="20"/>
        </w:rPr>
      </w:pPr>
    </w:p>
    <w:p w14:paraId="6B673707" w14:textId="77777777" w:rsidR="00DA58FD" w:rsidRPr="00C776CF" w:rsidRDefault="00DA58FD" w:rsidP="00DA58FD">
      <w:pPr>
        <w:jc w:val="both"/>
        <w:rPr>
          <w:rFonts w:ascii="Open Sans" w:hAnsi="Open Sans" w:cs="Arial"/>
          <w:bCs/>
          <w:sz w:val="20"/>
          <w:szCs w:val="20"/>
        </w:rPr>
      </w:pPr>
      <w:r>
        <w:rPr>
          <w:rFonts w:ascii="Open Sans" w:hAnsi="Open Sans" w:cs="Arial"/>
          <w:bCs/>
          <w:sz w:val="20"/>
          <w:szCs w:val="20"/>
        </w:rPr>
        <w:t xml:space="preserve">Entre los riesgos materializados en el ejercicio no se menciona ninguno de carácter fiscal. </w:t>
      </w:r>
    </w:p>
    <w:p w14:paraId="71B7086B" w14:textId="77777777" w:rsidR="00DA58FD" w:rsidRDefault="00DA58FD" w:rsidP="00DA58FD">
      <w:pPr>
        <w:jc w:val="both"/>
        <w:rPr>
          <w:rFonts w:ascii="Open Sans" w:hAnsi="Open Sans" w:cs="Arial"/>
          <w:bCs/>
          <w:sz w:val="20"/>
          <w:szCs w:val="20"/>
        </w:rPr>
      </w:pPr>
    </w:p>
    <w:p w14:paraId="15CADAE6"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Durante el ejercicio 2015 REC ha aprobado la estrategia fiscal del grupo, la cual se encuentra disponible en su web. Dicha estrategia se fundamenta en valores de </w:t>
      </w:r>
      <w:r w:rsidRPr="007A26A3">
        <w:rPr>
          <w:rFonts w:ascii="Open Sans" w:hAnsi="Open Sans" w:cs="Arial"/>
          <w:bCs/>
          <w:sz w:val="20"/>
          <w:szCs w:val="20"/>
        </w:rPr>
        <w:t>transparencia, buen gobierno y responsabilidad.</w:t>
      </w:r>
      <w:r>
        <w:rPr>
          <w:rFonts w:ascii="Open Sans" w:hAnsi="Open Sans" w:cs="Arial"/>
          <w:bCs/>
          <w:sz w:val="20"/>
          <w:szCs w:val="20"/>
        </w:rPr>
        <w:t xml:space="preserve"> No se indica en la estrategia que se encuentre alineada con iniciativas internacionales en materia de fiscalidad responsable. </w:t>
      </w:r>
    </w:p>
    <w:p w14:paraId="223C5DEF" w14:textId="77777777" w:rsidR="00DA58FD" w:rsidRDefault="00DA58FD" w:rsidP="00DA58FD">
      <w:pPr>
        <w:jc w:val="both"/>
        <w:rPr>
          <w:rFonts w:ascii="Open Sans" w:hAnsi="Open Sans" w:cs="Arial"/>
          <w:bCs/>
          <w:sz w:val="20"/>
          <w:szCs w:val="20"/>
        </w:rPr>
      </w:pPr>
    </w:p>
    <w:p w14:paraId="00EC4C08"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El grupo se ha adherido en 2015 al código de buenas prácticas tributarias en España, pero se desconoce si se encuentra adherida a iniciativas similares en otros países en los que opera. El código de buenas prácticas tributarias es de carácter voluntario y conlleva la obligación </w:t>
      </w:r>
      <w:r w:rsidRPr="000A74F4">
        <w:rPr>
          <w:rFonts w:ascii="Open Sans" w:hAnsi="Open Sans" w:cs="Arial"/>
          <w:bCs/>
          <w:sz w:val="20"/>
          <w:szCs w:val="20"/>
        </w:rPr>
        <w:t>de reflejar en el informe anual de gobierno corporativo su efectivo cumplimiento.</w:t>
      </w:r>
      <w:r>
        <w:rPr>
          <w:rFonts w:ascii="Open Sans" w:hAnsi="Open Sans" w:cs="Arial"/>
          <w:bCs/>
          <w:sz w:val="20"/>
          <w:szCs w:val="20"/>
        </w:rPr>
        <w:t xml:space="preserve"> </w:t>
      </w:r>
      <w:r w:rsidRPr="0009385A">
        <w:rPr>
          <w:rFonts w:ascii="Open Sans" w:hAnsi="Open Sans" w:cs="Arial"/>
          <w:bCs/>
          <w:sz w:val="20"/>
          <w:szCs w:val="20"/>
        </w:rPr>
        <w:t>REE indica que durante el ejercicio 2015 ha cumpl</w:t>
      </w:r>
      <w:r>
        <w:rPr>
          <w:rFonts w:ascii="Open Sans" w:hAnsi="Open Sans" w:cs="Arial"/>
          <w:bCs/>
          <w:sz w:val="20"/>
          <w:szCs w:val="20"/>
        </w:rPr>
        <w:t xml:space="preserve">ido con el contenido del mismo. </w:t>
      </w:r>
    </w:p>
    <w:p w14:paraId="042D76D9" w14:textId="77777777" w:rsidR="00DA58FD" w:rsidRDefault="00DA58FD" w:rsidP="00DA58FD">
      <w:pPr>
        <w:jc w:val="both"/>
        <w:rPr>
          <w:rFonts w:ascii="Open Sans" w:hAnsi="Open Sans" w:cs="Arial"/>
          <w:bCs/>
          <w:sz w:val="20"/>
          <w:szCs w:val="20"/>
        </w:rPr>
      </w:pPr>
    </w:p>
    <w:p w14:paraId="5F350F30" w14:textId="77777777" w:rsidR="00DA58FD" w:rsidRDefault="00DA58FD" w:rsidP="00DA58FD">
      <w:pPr>
        <w:jc w:val="both"/>
        <w:rPr>
          <w:rFonts w:ascii="Open Sans" w:hAnsi="Open Sans" w:cs="Arial"/>
          <w:bCs/>
          <w:sz w:val="20"/>
          <w:szCs w:val="20"/>
        </w:rPr>
      </w:pPr>
      <w:r>
        <w:rPr>
          <w:rFonts w:ascii="Open Sans" w:hAnsi="Open Sans" w:cs="Arial"/>
          <w:bCs/>
          <w:sz w:val="20"/>
          <w:szCs w:val="20"/>
        </w:rPr>
        <w:t>La comisión de auditoría es la responsable de la supervisión de los aspectos en materia fiscal, dicha función ha sido incorporada al reglamento del consejo de administración. Durante el ejercicio 2015  la comisión se ha reunido en once ocasiones y entre otros asuntos se ha encargado del a</w:t>
      </w:r>
      <w:r w:rsidRPr="00254C2C">
        <w:rPr>
          <w:rFonts w:ascii="Open Sans" w:hAnsi="Open Sans" w:cs="Arial"/>
          <w:bCs/>
          <w:sz w:val="20"/>
          <w:szCs w:val="20"/>
        </w:rPr>
        <w:t>nálisis del informe sobre la integración de los Riesgos Fiscales en la Política de Gestión Integral de Riesgos y elevación de info</w:t>
      </w:r>
      <w:r>
        <w:rPr>
          <w:rFonts w:ascii="Open Sans" w:hAnsi="Open Sans" w:cs="Arial"/>
          <w:bCs/>
          <w:sz w:val="20"/>
          <w:szCs w:val="20"/>
        </w:rPr>
        <w:t>rme favorable  al Consejo, a</w:t>
      </w:r>
      <w:r w:rsidRPr="00254C2C">
        <w:rPr>
          <w:rFonts w:ascii="Open Sans" w:hAnsi="Open Sans" w:cs="Arial"/>
          <w:bCs/>
          <w:sz w:val="20"/>
          <w:szCs w:val="20"/>
        </w:rPr>
        <w:t>nálisis de las implicaciones fiscales derivadas de la reforma  de la Ley</w:t>
      </w:r>
      <w:r>
        <w:rPr>
          <w:rFonts w:ascii="Open Sans" w:hAnsi="Open Sans" w:cs="Arial"/>
          <w:bCs/>
          <w:sz w:val="20"/>
          <w:szCs w:val="20"/>
        </w:rPr>
        <w:t xml:space="preserve"> de Sociedades de Capital, a</w:t>
      </w:r>
      <w:r w:rsidRPr="00254C2C">
        <w:rPr>
          <w:rFonts w:ascii="Open Sans" w:hAnsi="Open Sans" w:cs="Arial"/>
          <w:bCs/>
          <w:sz w:val="20"/>
          <w:szCs w:val="20"/>
        </w:rPr>
        <w:t>nálisis de la propuesta sobre la estrategia fiscal del Grupo y emisión de informe favorable</w:t>
      </w:r>
      <w:r>
        <w:rPr>
          <w:rFonts w:ascii="Open Sans" w:hAnsi="Open Sans" w:cs="Arial"/>
          <w:bCs/>
          <w:sz w:val="20"/>
          <w:szCs w:val="20"/>
        </w:rPr>
        <w:t xml:space="preserve"> al Consejo y el a</w:t>
      </w:r>
      <w:r w:rsidRPr="00254C2C">
        <w:rPr>
          <w:rFonts w:ascii="Open Sans" w:hAnsi="Open Sans" w:cs="Arial"/>
          <w:bCs/>
          <w:sz w:val="20"/>
          <w:szCs w:val="20"/>
        </w:rPr>
        <w:t>nálisis de la propuesta sobre adhesión al Código de Buenas  Prácticas Fiscales y emisión de informe favorable.</w:t>
      </w:r>
    </w:p>
    <w:p w14:paraId="11949E28" w14:textId="77777777" w:rsidR="00DA58FD" w:rsidRDefault="00DA58FD" w:rsidP="00DA58FD">
      <w:pPr>
        <w:jc w:val="both"/>
        <w:rPr>
          <w:rFonts w:ascii="Open Sans" w:hAnsi="Open Sans" w:cs="Arial"/>
          <w:bCs/>
          <w:sz w:val="20"/>
          <w:szCs w:val="20"/>
        </w:rPr>
      </w:pPr>
    </w:p>
    <w:p w14:paraId="0D842679" w14:textId="77777777" w:rsidR="00DA58FD" w:rsidRDefault="00DA58FD" w:rsidP="00DA58FD">
      <w:pPr>
        <w:jc w:val="both"/>
        <w:rPr>
          <w:rFonts w:ascii="Open Sans" w:hAnsi="Open Sans" w:cs="Arial"/>
          <w:bCs/>
          <w:sz w:val="20"/>
          <w:szCs w:val="20"/>
        </w:rPr>
      </w:pPr>
      <w:r>
        <w:rPr>
          <w:rFonts w:ascii="Open Sans" w:hAnsi="Open Sans" w:cs="Arial"/>
          <w:bCs/>
          <w:sz w:val="20"/>
          <w:szCs w:val="20"/>
        </w:rPr>
        <w:t>REC publica cual es su estructura societaria de manera accesible tanto en el Informe de RSC</w:t>
      </w:r>
      <w:r>
        <w:rPr>
          <w:rStyle w:val="Refdenotaalpie"/>
          <w:rFonts w:ascii="Open Sans" w:hAnsi="Open Sans"/>
          <w:bCs/>
          <w:sz w:val="20"/>
          <w:szCs w:val="20"/>
        </w:rPr>
        <w:footnoteReference w:id="434"/>
      </w:r>
      <w:r>
        <w:rPr>
          <w:rFonts w:ascii="Open Sans" w:hAnsi="Open Sans" w:cs="Arial"/>
          <w:bCs/>
          <w:sz w:val="20"/>
          <w:szCs w:val="20"/>
        </w:rPr>
        <w:t xml:space="preserve"> como en las cuentas anuales. No solo indica el porcentaje de participación sino a través de que empresa ostenta la participación. </w:t>
      </w:r>
    </w:p>
    <w:p w14:paraId="21C49D71" w14:textId="77777777" w:rsidR="00DA58FD" w:rsidRDefault="00DA58FD" w:rsidP="00DA58FD">
      <w:pPr>
        <w:rPr>
          <w:rFonts w:ascii="Open Sans" w:hAnsi="Open Sans" w:cs="Arial"/>
          <w:bCs/>
          <w:sz w:val="20"/>
          <w:szCs w:val="20"/>
        </w:rPr>
      </w:pPr>
    </w:p>
    <w:p w14:paraId="0ED8B558"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REC dedica un apartado amplio en el Informe de RSC sobre la responsabilidad fiscal y sobre la transparencia tributaria.  Este aspecto es valorado de manera muy positiva pues hace accesible a todos sus grupos de interés información relevante para conocer como los grandes grupos empresariales contribuyen a las economías en los países en los que operan. </w:t>
      </w:r>
    </w:p>
    <w:p w14:paraId="2AB1BAC6" w14:textId="77777777" w:rsidR="00DA58FD" w:rsidRDefault="00DA58FD" w:rsidP="00DA58FD">
      <w:pPr>
        <w:jc w:val="both"/>
        <w:rPr>
          <w:rFonts w:ascii="Open Sans" w:hAnsi="Open Sans" w:cs="Arial"/>
          <w:bCs/>
          <w:sz w:val="20"/>
          <w:szCs w:val="20"/>
        </w:rPr>
      </w:pPr>
    </w:p>
    <w:p w14:paraId="7F57148B"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La información que aporta, explica REC, que está basada en la metodología </w:t>
      </w:r>
      <w:r w:rsidRPr="00C671C7">
        <w:rPr>
          <w:rFonts w:ascii="Open Sans" w:hAnsi="Open Sans" w:cs="Arial"/>
          <w:bCs/>
          <w:sz w:val="20"/>
          <w:szCs w:val="20"/>
        </w:rPr>
        <w:t>Total Tax Contribution (TTC) de PwC</w:t>
      </w:r>
      <w:r>
        <w:rPr>
          <w:rFonts w:ascii="Open Sans" w:hAnsi="Open Sans" w:cs="Arial"/>
          <w:bCs/>
          <w:sz w:val="20"/>
          <w:szCs w:val="20"/>
        </w:rPr>
        <w:t>, una herramienta para la divulgación de información fiscal. Esta metodología se asienta en que el impuesto sobre sociedades es solo una parte de todos los impuestos que paga una empresa y que es más adecuado informar sobre la contribución total de la compañía a las arcas públicas, diferenciando entre impuestos soportados e impuestos recaudados en nombre de terceros. Sin embargo, es conveniente destacar que, esta metodología se aleja de un gran número de iniciativas internacionales</w:t>
      </w:r>
      <w:r>
        <w:rPr>
          <w:rStyle w:val="Refdenotaalpie"/>
          <w:rFonts w:ascii="Open Sans" w:hAnsi="Open Sans"/>
          <w:bCs/>
          <w:sz w:val="20"/>
          <w:szCs w:val="20"/>
        </w:rPr>
        <w:footnoteReference w:id="435"/>
      </w:r>
      <w:r>
        <w:rPr>
          <w:rFonts w:ascii="Open Sans" w:hAnsi="Open Sans" w:cs="Arial"/>
          <w:bCs/>
          <w:sz w:val="20"/>
          <w:szCs w:val="20"/>
        </w:rPr>
        <w:t xml:space="preserve"> que apuestan por una información país a país en relación a estas cuestiones y que exigen mayor grado de desglose de los datos por filiales en relación a resultado del ejercicio, impuestos sobre los beneficios, número de plantilla, entre otros. Si bien este nivel de desglose es voluntario, aportar esta información demuestra un compromiso real con la transparencia fiscal. </w:t>
      </w:r>
    </w:p>
    <w:p w14:paraId="4ABC17CD" w14:textId="77777777" w:rsidR="00DA58FD" w:rsidRDefault="00DA58FD" w:rsidP="00DA58FD">
      <w:pPr>
        <w:jc w:val="both"/>
        <w:rPr>
          <w:rFonts w:ascii="Open Sans" w:hAnsi="Open Sans" w:cs="Arial"/>
          <w:bCs/>
          <w:sz w:val="20"/>
          <w:szCs w:val="20"/>
        </w:rPr>
      </w:pPr>
    </w:p>
    <w:p w14:paraId="2CE9DE54" w14:textId="77777777" w:rsidR="00DA58FD" w:rsidRPr="005029FE" w:rsidRDefault="00DA58FD" w:rsidP="00DA58FD">
      <w:pPr>
        <w:jc w:val="both"/>
        <w:rPr>
          <w:rFonts w:ascii="Open Sans" w:hAnsi="Open Sans" w:cs="Arial"/>
          <w:sz w:val="20"/>
          <w:szCs w:val="20"/>
        </w:rPr>
      </w:pPr>
      <w:r>
        <w:rPr>
          <w:rFonts w:ascii="Open Sans" w:hAnsi="Open Sans" w:cs="Arial"/>
          <w:bCs/>
          <w:sz w:val="20"/>
          <w:szCs w:val="20"/>
        </w:rPr>
        <w:t xml:space="preserve">Por tanto, en el caso de REC, no aporta información desglosada por país. El máximo nivel de desglose que aporta es España, Latinoamérica y UE. Facilita los importes sobre </w:t>
      </w:r>
      <w:r>
        <w:rPr>
          <w:rFonts w:ascii="Open Sans" w:hAnsi="Open Sans" w:cs="Arial"/>
          <w:sz w:val="20"/>
          <w:szCs w:val="20"/>
        </w:rPr>
        <w:t xml:space="preserve">impuestos soportados e impuestos recaudados.  Dentro de los impuestos soportados se indica que se encuentra el impuesto sobre sociedades y que representa el 82% del total de impuestos soportados </w:t>
      </w:r>
      <w:r w:rsidRPr="005029FE">
        <w:rPr>
          <w:rFonts w:ascii="Open Sans" w:hAnsi="Open Sans" w:cs="Arial"/>
          <w:sz w:val="20"/>
          <w:szCs w:val="20"/>
        </w:rPr>
        <w:t>satisfechos a las distintas Administraciones Públicas, mayoritariamente a la española.</w:t>
      </w:r>
      <w:r>
        <w:rPr>
          <w:rFonts w:ascii="Open Sans" w:hAnsi="Open Sans" w:cs="Arial"/>
          <w:sz w:val="20"/>
          <w:szCs w:val="20"/>
        </w:rPr>
        <w:t xml:space="preserve"> Esta aclaración no permite</w:t>
      </w:r>
      <w:r w:rsidRPr="00B334FF">
        <w:rPr>
          <w:rFonts w:ascii="Open Sans" w:hAnsi="Open Sans" w:cs="Arial"/>
          <w:sz w:val="20"/>
          <w:szCs w:val="20"/>
        </w:rPr>
        <w:t xml:space="preserve"> deducir qué parte corresponde a cada uno de </w:t>
      </w:r>
      <w:r>
        <w:rPr>
          <w:rFonts w:ascii="Open Sans" w:hAnsi="Open Sans" w:cs="Arial"/>
          <w:sz w:val="20"/>
          <w:szCs w:val="20"/>
        </w:rPr>
        <w:t>los otros países en los que opera, Perú y Chile. Además indica que en EU (Holanda, Luxemburgo y Francia) no se han pagado impuestos soportados</w:t>
      </w:r>
      <w:r>
        <w:rPr>
          <w:rStyle w:val="Refdenotaalpie"/>
          <w:rFonts w:ascii="Open Sans" w:hAnsi="Open Sans"/>
          <w:sz w:val="20"/>
          <w:szCs w:val="20"/>
        </w:rPr>
        <w:footnoteReference w:id="436"/>
      </w:r>
      <w:r>
        <w:rPr>
          <w:rFonts w:ascii="Open Sans" w:hAnsi="Open Sans" w:cs="Arial"/>
          <w:sz w:val="20"/>
          <w:szCs w:val="20"/>
        </w:rPr>
        <w:t xml:space="preserve">. </w:t>
      </w:r>
    </w:p>
    <w:p w14:paraId="2303019A" w14:textId="77777777" w:rsidR="00DA58FD" w:rsidRDefault="00DA58FD" w:rsidP="00DA58FD">
      <w:pPr>
        <w:jc w:val="both"/>
        <w:rPr>
          <w:rFonts w:ascii="Open Sans" w:hAnsi="Open Sans" w:cs="Arial"/>
          <w:sz w:val="20"/>
          <w:szCs w:val="20"/>
        </w:rPr>
      </w:pPr>
    </w:p>
    <w:p w14:paraId="4561368E" w14:textId="77777777" w:rsidR="00DA58FD" w:rsidRDefault="00DA58FD" w:rsidP="00DA58FD">
      <w:pPr>
        <w:jc w:val="both"/>
        <w:rPr>
          <w:rFonts w:ascii="Open Sans" w:hAnsi="Open Sans" w:cs="Arial"/>
          <w:sz w:val="20"/>
          <w:szCs w:val="20"/>
        </w:rPr>
      </w:pPr>
      <w:r w:rsidRPr="00B334FF">
        <w:rPr>
          <w:rFonts w:ascii="Open Sans" w:hAnsi="Open Sans" w:cs="Arial"/>
          <w:sz w:val="20"/>
          <w:szCs w:val="20"/>
        </w:rPr>
        <w:t xml:space="preserve">Esta forma de informar sobre impuestos no responde </w:t>
      </w:r>
      <w:r w:rsidRPr="00E402B6">
        <w:rPr>
          <w:rFonts w:ascii="Open Sans" w:hAnsi="Open Sans" w:cs="Arial"/>
          <w:sz w:val="20"/>
          <w:szCs w:val="20"/>
        </w:rPr>
        <w:t xml:space="preserve">al compromiso con la sociedad y la comunidad definido por el Grupo, </w:t>
      </w:r>
      <w:r>
        <w:rPr>
          <w:rFonts w:ascii="Open Sans" w:hAnsi="Open Sans" w:cs="Arial"/>
          <w:sz w:val="20"/>
          <w:szCs w:val="20"/>
        </w:rPr>
        <w:t xml:space="preserve">por lo que </w:t>
      </w:r>
      <w:r w:rsidRPr="00E402B6">
        <w:rPr>
          <w:rFonts w:ascii="Open Sans" w:hAnsi="Open Sans" w:cs="Arial"/>
          <w:sz w:val="20"/>
          <w:szCs w:val="20"/>
        </w:rPr>
        <w:t>sería recomendable una mayor transparencia en la información que se facilita respecto al pago de impuestos en los diferentes países en los que opera.</w:t>
      </w:r>
    </w:p>
    <w:p w14:paraId="3D76B59C" w14:textId="77777777" w:rsidR="00DA58FD" w:rsidRDefault="00DA58FD" w:rsidP="00DA58FD">
      <w:pPr>
        <w:jc w:val="both"/>
        <w:rPr>
          <w:rFonts w:ascii="Open Sans" w:hAnsi="Open Sans" w:cs="Arial"/>
          <w:sz w:val="20"/>
          <w:szCs w:val="20"/>
        </w:rPr>
      </w:pPr>
    </w:p>
    <w:p w14:paraId="0E21FB37" w14:textId="77777777" w:rsidR="00DA58FD" w:rsidRDefault="00DA58FD" w:rsidP="00DA58FD">
      <w:pPr>
        <w:jc w:val="both"/>
        <w:rPr>
          <w:rFonts w:ascii="Open Sans" w:hAnsi="Open Sans" w:cs="Arial"/>
          <w:sz w:val="20"/>
          <w:szCs w:val="20"/>
        </w:rPr>
      </w:pPr>
      <w:r w:rsidRPr="003152EA">
        <w:rPr>
          <w:rFonts w:ascii="Open Sans" w:hAnsi="Open Sans" w:cs="Arial"/>
          <w:sz w:val="20"/>
          <w:szCs w:val="20"/>
        </w:rPr>
        <w:t>Tampoco REC aporta información desglosada</w:t>
      </w:r>
      <w:r>
        <w:rPr>
          <w:rFonts w:ascii="Open Sans" w:hAnsi="Open Sans" w:cs="Arial"/>
          <w:sz w:val="20"/>
          <w:szCs w:val="20"/>
        </w:rPr>
        <w:t xml:space="preserve"> por país</w:t>
      </w:r>
      <w:r w:rsidRPr="003152EA">
        <w:rPr>
          <w:rFonts w:ascii="Open Sans" w:hAnsi="Open Sans" w:cs="Arial"/>
          <w:sz w:val="20"/>
          <w:szCs w:val="20"/>
        </w:rPr>
        <w:t xml:space="preserve"> relativa las subvenciones recibidas</w:t>
      </w:r>
      <w:r>
        <w:rPr>
          <w:rFonts w:ascii="Open Sans" w:hAnsi="Open Sans" w:cs="Arial"/>
          <w:sz w:val="20"/>
          <w:szCs w:val="20"/>
        </w:rPr>
        <w:t xml:space="preserve">, </w:t>
      </w:r>
      <w:r w:rsidRPr="006553D4">
        <w:rPr>
          <w:rFonts w:ascii="Open Sans" w:hAnsi="Open Sans" w:cs="Arial"/>
          <w:sz w:val="20"/>
          <w:szCs w:val="20"/>
        </w:rPr>
        <w:t>solamente facilita el dato consolidado de subvenciones que se imputan en la cuenta de resultados.</w:t>
      </w:r>
      <w:r>
        <w:rPr>
          <w:rFonts w:ascii="Open Sans" w:hAnsi="Open Sans" w:cs="Arial"/>
          <w:sz w:val="20"/>
          <w:szCs w:val="20"/>
        </w:rPr>
        <w:t xml:space="preserve"> </w:t>
      </w:r>
      <w:r w:rsidRPr="006553D4">
        <w:rPr>
          <w:rFonts w:ascii="Open Sans" w:hAnsi="Open Sans" w:cs="Arial"/>
          <w:sz w:val="20"/>
          <w:szCs w:val="20"/>
        </w:rPr>
        <w:t>La única información desagregada que facili</w:t>
      </w:r>
      <w:r>
        <w:rPr>
          <w:rFonts w:ascii="Open Sans" w:hAnsi="Open Sans" w:cs="Arial"/>
          <w:sz w:val="20"/>
          <w:szCs w:val="20"/>
        </w:rPr>
        <w:t>ta es la incluida en la "Nota 11</w:t>
      </w:r>
      <w:r w:rsidRPr="006553D4">
        <w:rPr>
          <w:rFonts w:ascii="Open Sans" w:hAnsi="Open Sans" w:cs="Arial"/>
          <w:sz w:val="20"/>
          <w:szCs w:val="20"/>
        </w:rPr>
        <w:t xml:space="preserve">" de las </w:t>
      </w:r>
      <w:r>
        <w:rPr>
          <w:rFonts w:ascii="Open Sans" w:hAnsi="Open Sans" w:cs="Arial"/>
          <w:sz w:val="20"/>
          <w:szCs w:val="20"/>
        </w:rPr>
        <w:t xml:space="preserve">cuentas anuales. Se indica que </w:t>
      </w:r>
      <w:r w:rsidRPr="003152EA">
        <w:rPr>
          <w:rFonts w:ascii="Open Sans" w:hAnsi="Open Sans" w:cs="Arial"/>
          <w:sz w:val="20"/>
          <w:szCs w:val="20"/>
        </w:rPr>
        <w:t xml:space="preserve">recibe subvenciones de capital por diferentes organismos oficiales cuya finalidad es la financiación de bienes de </w:t>
      </w:r>
      <w:proofErr w:type="gramStart"/>
      <w:r w:rsidRPr="003152EA">
        <w:rPr>
          <w:rFonts w:ascii="Open Sans" w:hAnsi="Open Sans" w:cs="Arial"/>
          <w:sz w:val="20"/>
          <w:szCs w:val="20"/>
        </w:rPr>
        <w:t>i</w:t>
      </w:r>
      <w:r>
        <w:rPr>
          <w:rFonts w:ascii="Open Sans" w:hAnsi="Open Sans" w:cs="Arial"/>
          <w:sz w:val="20"/>
          <w:szCs w:val="20"/>
        </w:rPr>
        <w:t>nmovilizado</w:t>
      </w:r>
      <w:proofErr w:type="gramEnd"/>
      <w:r>
        <w:rPr>
          <w:rFonts w:ascii="Open Sans" w:hAnsi="Open Sans" w:cs="Arial"/>
          <w:sz w:val="20"/>
          <w:szCs w:val="20"/>
        </w:rPr>
        <w:t xml:space="preserve"> propiedad del Grupo, pero no se aporta mayor grado de detalle. Solo indica que en 2010 la Comisión Europea le concedió una subvención para el proyecto de </w:t>
      </w:r>
      <w:r w:rsidRPr="00871E86">
        <w:rPr>
          <w:rFonts w:ascii="Open Sans" w:hAnsi="Open Sans" w:cs="Arial"/>
          <w:sz w:val="20"/>
          <w:szCs w:val="20"/>
        </w:rPr>
        <w:t>interconexión eléctrica entre España y Francia</w:t>
      </w:r>
      <w:r>
        <w:rPr>
          <w:rFonts w:ascii="Open Sans" w:hAnsi="Open Sans" w:cs="Arial"/>
          <w:sz w:val="20"/>
          <w:szCs w:val="20"/>
        </w:rPr>
        <w:t xml:space="preserve"> por 112,5 millones de euros y que en 2015 se </w:t>
      </w:r>
      <w:r w:rsidRPr="003152EA">
        <w:rPr>
          <w:rFonts w:ascii="Open Sans" w:hAnsi="Open Sans" w:cs="Arial"/>
          <w:sz w:val="20"/>
          <w:szCs w:val="20"/>
        </w:rPr>
        <w:t xml:space="preserve">ha ingresado el último tramo </w:t>
      </w:r>
      <w:r>
        <w:rPr>
          <w:rFonts w:ascii="Open Sans" w:hAnsi="Open Sans" w:cs="Arial"/>
          <w:sz w:val="20"/>
          <w:szCs w:val="20"/>
        </w:rPr>
        <w:t xml:space="preserve">de la subvención </w:t>
      </w:r>
      <w:r w:rsidRPr="003152EA">
        <w:rPr>
          <w:rFonts w:ascii="Open Sans" w:hAnsi="Open Sans" w:cs="Arial"/>
          <w:sz w:val="20"/>
          <w:szCs w:val="20"/>
        </w:rPr>
        <w:t xml:space="preserve">por 59.297 miles de euros. </w:t>
      </w:r>
      <w:r>
        <w:rPr>
          <w:rFonts w:ascii="Open Sans" w:hAnsi="Open Sans" w:cs="Arial"/>
          <w:sz w:val="20"/>
          <w:szCs w:val="20"/>
        </w:rPr>
        <w:t xml:space="preserve">Por otro lado indica que las </w:t>
      </w:r>
      <w:r w:rsidRPr="00871E86">
        <w:rPr>
          <w:rFonts w:ascii="Open Sans" w:hAnsi="Open Sans" w:cs="Arial"/>
          <w:sz w:val="20"/>
          <w:szCs w:val="20"/>
        </w:rPr>
        <w:t xml:space="preserve">deducciones del impuesto sobre las ganancias concedidas por Administraciones Públicas como una minoración de la cuota de dicho impuesto </w:t>
      </w:r>
      <w:r>
        <w:rPr>
          <w:rFonts w:ascii="Open Sans" w:hAnsi="Open Sans" w:cs="Arial"/>
          <w:sz w:val="20"/>
          <w:szCs w:val="20"/>
        </w:rPr>
        <w:t>tienen la</w:t>
      </w:r>
      <w:r w:rsidRPr="00871E86">
        <w:rPr>
          <w:rFonts w:ascii="Open Sans" w:hAnsi="Open Sans" w:cs="Arial"/>
          <w:sz w:val="20"/>
          <w:szCs w:val="20"/>
        </w:rPr>
        <w:t xml:space="preserve"> consideración de subvenciones oficiales de capital</w:t>
      </w:r>
      <w:r>
        <w:rPr>
          <w:rFonts w:ascii="Open Sans" w:hAnsi="Open Sans" w:cs="Arial"/>
          <w:sz w:val="20"/>
          <w:szCs w:val="20"/>
        </w:rPr>
        <w:t>. Informa que e</w:t>
      </w:r>
      <w:r w:rsidRPr="007A71B6">
        <w:rPr>
          <w:rFonts w:ascii="Open Sans" w:hAnsi="Open Sans" w:cs="Arial"/>
          <w:sz w:val="20"/>
          <w:szCs w:val="20"/>
        </w:rPr>
        <w:t xml:space="preserve">l importe de las deducciones tratadas como subvenciones imputado al ejercicio 2015 asciende a 2.863 miles de euros </w:t>
      </w:r>
    </w:p>
    <w:p w14:paraId="48AF22C7" w14:textId="77777777" w:rsidR="00DA58FD" w:rsidRPr="007A71B6" w:rsidRDefault="00DA58FD" w:rsidP="00DA58FD">
      <w:pPr>
        <w:jc w:val="both"/>
        <w:rPr>
          <w:rFonts w:ascii="Open Sans" w:hAnsi="Open Sans" w:cs="Arial"/>
          <w:sz w:val="20"/>
          <w:szCs w:val="20"/>
        </w:rPr>
      </w:pPr>
    </w:p>
    <w:p w14:paraId="01D6162C" w14:textId="77777777" w:rsidR="00DA58FD" w:rsidRPr="007E5330" w:rsidRDefault="00DA58FD" w:rsidP="00DA58FD">
      <w:pPr>
        <w:jc w:val="both"/>
        <w:rPr>
          <w:rFonts w:ascii="Open Sans" w:hAnsi="Open Sans" w:cs="Arial"/>
          <w:bCs/>
          <w:sz w:val="20"/>
          <w:szCs w:val="20"/>
        </w:rPr>
      </w:pPr>
      <w:r>
        <w:rPr>
          <w:rFonts w:ascii="Open Sans" w:hAnsi="Open Sans" w:cs="Arial"/>
          <w:sz w:val="20"/>
          <w:szCs w:val="20"/>
        </w:rPr>
        <w:t xml:space="preserve">El grupo fiscal de REC está compuesto por </w:t>
      </w:r>
      <w:r w:rsidRPr="00CD0309">
        <w:rPr>
          <w:rFonts w:ascii="Open Sans" w:hAnsi="Open Sans" w:cs="Arial"/>
          <w:bCs/>
          <w:sz w:val="20"/>
          <w:szCs w:val="20"/>
        </w:rPr>
        <w:t xml:space="preserve">las sociedades Red Eléctrica Corporación, S.A., Red Eléctrica de España, S.A.U., Red Eléctrica Financiaciones, S.A.U. Red Eléctrica Internacional, S.A.U., Red Eléctrica de Infraestructuras de Telecomunicación, S.A.U. y Red Eléctrica de Infraestructuras en Canarias, S.A.U. </w:t>
      </w:r>
      <w:r>
        <w:rPr>
          <w:rFonts w:ascii="Open Sans" w:hAnsi="Open Sans" w:cs="Arial"/>
          <w:bCs/>
          <w:sz w:val="20"/>
          <w:szCs w:val="20"/>
        </w:rPr>
        <w:t xml:space="preserve">que </w:t>
      </w:r>
      <w:r w:rsidRPr="00CD0309">
        <w:rPr>
          <w:rFonts w:ascii="Open Sans" w:hAnsi="Open Sans" w:cs="Arial"/>
          <w:bCs/>
          <w:sz w:val="20"/>
          <w:szCs w:val="20"/>
        </w:rPr>
        <w:t>tributan en España en régimen de declaración consolidada.</w:t>
      </w:r>
      <w:r>
        <w:rPr>
          <w:rFonts w:ascii="Open Sans" w:hAnsi="Open Sans" w:cs="Arial"/>
          <w:bCs/>
          <w:sz w:val="20"/>
          <w:szCs w:val="20"/>
        </w:rPr>
        <w:t xml:space="preserve">  El resto de sociedades que no pertenecen al grupo fiscal se </w:t>
      </w:r>
      <w:r w:rsidRPr="007E5330">
        <w:rPr>
          <w:rFonts w:ascii="Open Sans" w:hAnsi="Open Sans" w:cs="Arial"/>
          <w:bCs/>
          <w:sz w:val="20"/>
          <w:szCs w:val="20"/>
        </w:rPr>
        <w:t>aplica la normativa correspondiente de la legislación del país de origen.</w:t>
      </w:r>
    </w:p>
    <w:p w14:paraId="0D1D3C5A" w14:textId="77777777" w:rsidR="00DA58FD" w:rsidRDefault="00DA58FD" w:rsidP="00DA58FD">
      <w:pPr>
        <w:rPr>
          <w:rFonts w:ascii="Open Sans" w:hAnsi="Open Sans" w:cs="Arial"/>
          <w:bCs/>
          <w:sz w:val="20"/>
          <w:szCs w:val="20"/>
        </w:rPr>
      </w:pPr>
    </w:p>
    <w:p w14:paraId="35A0FC2D"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En las cuentas anuales REC indica que la tasa impositiva efectiva del grupo ha sido del </w:t>
      </w:r>
      <w:r w:rsidRPr="007E5330">
        <w:rPr>
          <w:rFonts w:ascii="Open Sans" w:hAnsi="Open Sans" w:cs="Arial"/>
          <w:bCs/>
          <w:sz w:val="20"/>
          <w:szCs w:val="20"/>
        </w:rPr>
        <w:t>26,87 %</w:t>
      </w:r>
      <w:r>
        <w:rPr>
          <w:rFonts w:ascii="Open Sans" w:hAnsi="Open Sans" w:cs="Arial"/>
          <w:bCs/>
          <w:sz w:val="20"/>
          <w:szCs w:val="20"/>
        </w:rPr>
        <w:t>. Esta</w:t>
      </w:r>
      <w:r w:rsidRPr="00911680">
        <w:rPr>
          <w:rFonts w:ascii="Open Sans" w:hAnsi="Open Sans" w:cs="Arial"/>
          <w:bCs/>
          <w:sz w:val="20"/>
          <w:szCs w:val="20"/>
        </w:rPr>
        <w:t xml:space="preserve"> tasa está influida principalmente por las diferencias permanentes</w:t>
      </w:r>
      <w:r>
        <w:rPr>
          <w:rFonts w:ascii="Open Sans" w:hAnsi="Open Sans" w:cs="Arial"/>
          <w:bCs/>
          <w:sz w:val="20"/>
          <w:szCs w:val="20"/>
        </w:rPr>
        <w:t xml:space="preserve"> y ajustes de consolidación</w:t>
      </w:r>
      <w:r w:rsidRPr="00911680">
        <w:rPr>
          <w:rFonts w:ascii="Open Sans" w:hAnsi="Open Sans" w:cs="Arial"/>
          <w:bCs/>
          <w:sz w:val="20"/>
          <w:szCs w:val="20"/>
        </w:rPr>
        <w:t>, por las deducciones de la cuota así</w:t>
      </w:r>
      <w:r>
        <w:rPr>
          <w:rFonts w:ascii="Open Sans" w:hAnsi="Open Sans" w:cs="Arial"/>
          <w:bCs/>
          <w:sz w:val="20"/>
          <w:szCs w:val="20"/>
        </w:rPr>
        <w:t xml:space="preserve"> </w:t>
      </w:r>
      <w:r w:rsidRPr="00911680">
        <w:rPr>
          <w:rFonts w:ascii="Open Sans" w:hAnsi="Open Sans" w:cs="Arial"/>
          <w:bCs/>
          <w:sz w:val="20"/>
          <w:szCs w:val="20"/>
        </w:rPr>
        <w:t>como por e</w:t>
      </w:r>
      <w:r>
        <w:rPr>
          <w:rFonts w:ascii="Open Sans" w:hAnsi="Open Sans" w:cs="Arial"/>
          <w:bCs/>
          <w:sz w:val="20"/>
          <w:szCs w:val="20"/>
        </w:rPr>
        <w:t xml:space="preserve">l cambio en el tipo impositivo, explica REC. Se ha deducido 26,9 millones de euros por efecto de las diferencias permanentes y ajustes de consolidación, 2,4 millones de euros por deducciones que corresponden a </w:t>
      </w:r>
      <w:r w:rsidRPr="00911680">
        <w:rPr>
          <w:rFonts w:ascii="Open Sans" w:hAnsi="Open Sans" w:cs="Arial"/>
          <w:bCs/>
          <w:sz w:val="20"/>
          <w:szCs w:val="20"/>
        </w:rPr>
        <w:t>gastos de investigación, desarrollo e innovación tecnológica, y por doble imposición</w:t>
      </w:r>
      <w:r>
        <w:rPr>
          <w:rFonts w:ascii="Open Sans" w:hAnsi="Open Sans" w:cs="Arial"/>
          <w:bCs/>
          <w:sz w:val="20"/>
          <w:szCs w:val="20"/>
        </w:rPr>
        <w:t xml:space="preserve"> internacional y 3 millones de euros debido al </w:t>
      </w:r>
      <w:r w:rsidRPr="00911680">
        <w:rPr>
          <w:rFonts w:ascii="Open Sans" w:hAnsi="Open Sans" w:cs="Arial"/>
          <w:bCs/>
          <w:sz w:val="20"/>
          <w:szCs w:val="20"/>
        </w:rPr>
        <w:t>reconocimiento del efecto por variación</w:t>
      </w:r>
      <w:r>
        <w:rPr>
          <w:rFonts w:ascii="Open Sans" w:hAnsi="Open Sans" w:cs="Arial"/>
          <w:bCs/>
          <w:sz w:val="20"/>
          <w:szCs w:val="20"/>
        </w:rPr>
        <w:t xml:space="preserve"> tipo impositivo (Ley 27/2014). </w:t>
      </w:r>
    </w:p>
    <w:p w14:paraId="7BF70CA6" w14:textId="77777777" w:rsidR="00DA58FD" w:rsidRDefault="00DA58FD" w:rsidP="00DA58FD">
      <w:pPr>
        <w:jc w:val="both"/>
        <w:rPr>
          <w:rFonts w:ascii="Open Sans" w:hAnsi="Open Sans" w:cs="Arial"/>
          <w:bCs/>
          <w:sz w:val="20"/>
          <w:szCs w:val="20"/>
        </w:rPr>
      </w:pPr>
    </w:p>
    <w:p w14:paraId="4FAD23B5"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Por otro lado informa de incentivos fiscales por la inversión en </w:t>
      </w:r>
      <w:r w:rsidRPr="00BD12A4">
        <w:rPr>
          <w:rFonts w:ascii="Open Sans" w:hAnsi="Open Sans" w:cs="Arial"/>
          <w:bCs/>
          <w:sz w:val="20"/>
          <w:szCs w:val="20"/>
        </w:rPr>
        <w:t>Agrupaciones de Interés Económico (AIE)</w:t>
      </w:r>
      <w:r>
        <w:rPr>
          <w:rFonts w:ascii="Open Sans" w:hAnsi="Open Sans" w:cs="Arial"/>
          <w:bCs/>
          <w:sz w:val="20"/>
          <w:szCs w:val="20"/>
        </w:rPr>
        <w:t xml:space="preserve"> </w:t>
      </w:r>
      <w:r w:rsidRPr="00BD12A4">
        <w:rPr>
          <w:rFonts w:ascii="Open Sans" w:hAnsi="Open Sans" w:cs="Arial"/>
          <w:bCs/>
          <w:sz w:val="20"/>
          <w:szCs w:val="20"/>
        </w:rPr>
        <w:t>cuya actividad es el arrendamiento de activos dirigidos por otra entidad no vinculada al Grupo, que es la que retiene tanto la mayoría de los beneficios c</w:t>
      </w:r>
      <w:r>
        <w:rPr>
          <w:rFonts w:ascii="Open Sans" w:hAnsi="Open Sans" w:cs="Arial"/>
          <w:bCs/>
          <w:sz w:val="20"/>
          <w:szCs w:val="20"/>
        </w:rPr>
        <w:t xml:space="preserve">omo los riesgos de la actividad. En 2015 REC ha imputado las </w:t>
      </w:r>
      <w:r w:rsidRPr="00BD12A4">
        <w:rPr>
          <w:rFonts w:ascii="Open Sans" w:hAnsi="Open Sans" w:cs="Arial"/>
          <w:bCs/>
          <w:sz w:val="20"/>
          <w:szCs w:val="20"/>
        </w:rPr>
        <w:t>bases imponibles negativas</w:t>
      </w:r>
      <w:r>
        <w:rPr>
          <w:rFonts w:ascii="Open Sans" w:hAnsi="Open Sans" w:cs="Arial"/>
          <w:bCs/>
          <w:sz w:val="20"/>
          <w:szCs w:val="20"/>
        </w:rPr>
        <w:t xml:space="preserve"> que han ido generando las AIE y que ha ascendido a 34,8 millones de euros. También ha aplicado 994 miles de euros por bases imponibles negativas a compensar en activos por impuesto diferidos. </w:t>
      </w:r>
    </w:p>
    <w:p w14:paraId="403FA3B5" w14:textId="77777777" w:rsidR="00DA58FD" w:rsidRDefault="00DA58FD" w:rsidP="00DA58FD">
      <w:pPr>
        <w:rPr>
          <w:rFonts w:ascii="Open Sans" w:hAnsi="Open Sans" w:cs="Arial"/>
          <w:bCs/>
          <w:sz w:val="20"/>
          <w:szCs w:val="20"/>
        </w:rPr>
      </w:pPr>
    </w:p>
    <w:p w14:paraId="64781F22" w14:textId="77777777" w:rsidR="00DA58FD" w:rsidRDefault="00DA58FD" w:rsidP="00DA58FD">
      <w:pPr>
        <w:jc w:val="both"/>
        <w:rPr>
          <w:rFonts w:ascii="Open Sans" w:hAnsi="Open Sans" w:cs="Arial"/>
          <w:bCs/>
          <w:sz w:val="20"/>
          <w:szCs w:val="20"/>
        </w:rPr>
      </w:pPr>
      <w:r>
        <w:rPr>
          <w:rFonts w:ascii="Open Sans" w:hAnsi="Open Sans" w:cs="Arial"/>
          <w:bCs/>
          <w:sz w:val="20"/>
          <w:szCs w:val="20"/>
        </w:rPr>
        <w:t>REC expresa su compromiso de fomentar las relaciones con las administraciones tributarias en su estrategia fiscal bajo los principios de</w:t>
      </w:r>
      <w:r w:rsidRPr="00F04E77">
        <w:rPr>
          <w:rFonts w:ascii="Open Sans" w:hAnsi="Open Sans" w:cs="Arial"/>
          <w:bCs/>
          <w:sz w:val="20"/>
          <w:szCs w:val="20"/>
        </w:rPr>
        <w:t xml:space="preserve"> transparencia, cooperación, confianza, buena fe y lealtad mutuas</w:t>
      </w:r>
      <w:r>
        <w:rPr>
          <w:rFonts w:ascii="Open Sans" w:hAnsi="Open Sans" w:cs="Arial"/>
          <w:bCs/>
          <w:sz w:val="20"/>
          <w:szCs w:val="20"/>
        </w:rPr>
        <w:t xml:space="preserve">. </w:t>
      </w:r>
    </w:p>
    <w:p w14:paraId="6F4F4705" w14:textId="77777777" w:rsidR="00DA58FD" w:rsidRDefault="00DA58FD" w:rsidP="00DA58FD">
      <w:pPr>
        <w:jc w:val="both"/>
        <w:rPr>
          <w:rFonts w:ascii="Open Sans" w:hAnsi="Open Sans" w:cs="Arial"/>
          <w:bCs/>
          <w:sz w:val="20"/>
          <w:szCs w:val="20"/>
        </w:rPr>
      </w:pPr>
    </w:p>
    <w:p w14:paraId="4F648BB1"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Informa de las actuaciones de investigación abiertas por la administración tributaria en España. Tiene abiertos a inspección los ejercicios 2012 </w:t>
      </w:r>
      <w:r w:rsidRPr="00283B6D">
        <w:rPr>
          <w:rFonts w:ascii="Open Sans" w:hAnsi="Open Sans" w:cs="Arial"/>
          <w:bCs/>
          <w:sz w:val="20"/>
          <w:szCs w:val="20"/>
        </w:rPr>
        <w:t xml:space="preserve">y siguientes para los impuestos que le son aplicables, excepto el Impuesto sobre Sociedades que se encuentra abierto a inspección para los ejercicios 2011 y siguientes. </w:t>
      </w:r>
      <w:r>
        <w:rPr>
          <w:rFonts w:ascii="Open Sans" w:hAnsi="Open Sans" w:cs="Arial"/>
          <w:bCs/>
          <w:sz w:val="20"/>
          <w:szCs w:val="20"/>
        </w:rPr>
        <w:t>No aporta mayor información sobre los motivos pero añade que d</w:t>
      </w:r>
      <w:r w:rsidRPr="008606E2">
        <w:rPr>
          <w:rFonts w:ascii="Open Sans" w:hAnsi="Open Sans" w:cs="Arial"/>
          <w:bCs/>
          <w:sz w:val="20"/>
          <w:szCs w:val="20"/>
        </w:rPr>
        <w:t>ebido a las posibles diferentes interpretaciones que pueden darse a las normas fiscales, los resultados de las inspecciones que en el futuro pudieran llevar a cabo las Autoridades Fiscales para los años sujetos a verificación, pueden dar lugar a pasivos fiscales, cuyo importe no es posible cuantificar en la actualidad de una manera objetiva</w:t>
      </w:r>
      <w:r>
        <w:rPr>
          <w:rFonts w:ascii="Open Sans" w:hAnsi="Open Sans" w:cs="Arial"/>
          <w:bCs/>
          <w:sz w:val="20"/>
          <w:szCs w:val="20"/>
        </w:rPr>
        <w:t xml:space="preserve">. También informa que tiene actas de inspección en Perú pero que se encuentran recurridas. No informa de impuestos ni de años. </w:t>
      </w:r>
    </w:p>
    <w:p w14:paraId="5F4FEF53" w14:textId="77777777" w:rsidR="00DA58FD" w:rsidRDefault="00DA58FD" w:rsidP="00DA58FD">
      <w:pPr>
        <w:jc w:val="both"/>
        <w:rPr>
          <w:rFonts w:ascii="Open Sans" w:hAnsi="Open Sans" w:cs="Arial"/>
          <w:bCs/>
          <w:sz w:val="20"/>
          <w:szCs w:val="20"/>
        </w:rPr>
      </w:pPr>
    </w:p>
    <w:p w14:paraId="189D1DD1" w14:textId="77777777" w:rsidR="00DA58FD" w:rsidRPr="00292584" w:rsidRDefault="00DA58FD" w:rsidP="00DA58FD">
      <w:pPr>
        <w:jc w:val="both"/>
        <w:rPr>
          <w:rFonts w:ascii="Open Sans" w:hAnsi="Open Sans" w:cs="Arial"/>
          <w:bCs/>
          <w:sz w:val="20"/>
          <w:szCs w:val="20"/>
        </w:rPr>
      </w:pPr>
      <w:r>
        <w:rPr>
          <w:rFonts w:ascii="Open Sans" w:hAnsi="Open Sans" w:cs="Arial"/>
          <w:bCs/>
          <w:sz w:val="20"/>
          <w:szCs w:val="20"/>
        </w:rPr>
        <w:t xml:space="preserve">Durante el ejercicio 2015 indica que tiene 27,6 millones de euros provisionados </w:t>
      </w:r>
      <w:r w:rsidRPr="00292584">
        <w:rPr>
          <w:rFonts w:ascii="Open Sans" w:hAnsi="Open Sans" w:cs="Arial"/>
          <w:bCs/>
          <w:sz w:val="20"/>
          <w:szCs w:val="20"/>
        </w:rPr>
        <w:t xml:space="preserve">para cubrir eventuales resultados desfavorables principalmente relativos a procedimientos administrativos, expedientes administrativos sancionadores, procedimientos contencioso-administrativos concernientes a procedimientos expropiatorios, y reclamaciones extrajudiciales. </w:t>
      </w:r>
    </w:p>
    <w:p w14:paraId="5E8DAC85" w14:textId="77777777" w:rsidR="00DA58FD" w:rsidRDefault="00DA58FD" w:rsidP="00DA58FD">
      <w:pPr>
        <w:jc w:val="both"/>
        <w:rPr>
          <w:rFonts w:ascii="Arial" w:hAnsi="Arial" w:cs="Arial"/>
          <w:color w:val="000000"/>
        </w:rPr>
      </w:pPr>
    </w:p>
    <w:p w14:paraId="7C206319"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REC informa del cierre de actas de comprobación de impuestos de los años 2008, 2009 y 2010 habiéndose firmado la totalidad de las actas en conformidad y que reflejaron la declaración correcta de la inspección de la totalidad de los impuestos. </w:t>
      </w:r>
    </w:p>
    <w:p w14:paraId="0186AECC" w14:textId="77777777" w:rsidR="00DA58FD" w:rsidRPr="00A72929" w:rsidRDefault="00DA58FD" w:rsidP="00DA58FD">
      <w:pPr>
        <w:jc w:val="both"/>
        <w:rPr>
          <w:rFonts w:ascii="Open Sans" w:hAnsi="Open Sans" w:cs="Arial"/>
          <w:bCs/>
          <w:sz w:val="20"/>
          <w:szCs w:val="20"/>
        </w:rPr>
      </w:pPr>
      <w:r>
        <w:rPr>
          <w:rFonts w:ascii="Open Sans" w:hAnsi="Open Sans" w:cs="Arial"/>
          <w:bCs/>
          <w:sz w:val="20"/>
          <w:szCs w:val="20"/>
        </w:rPr>
        <w:t xml:space="preserve">Un aspecto no siempre visibilizado por las empresas son las actividades de lobby que realizan bien sea de manera directa o indirecta a través de asociaciones a las que pertenece. REC aporta información de asociaciones nacionales e internacionales de las cuales es miembro, explica a qué se dedican y de manera general indica que el objetivo de la participación en entidades internacionales es </w:t>
      </w:r>
      <w:r w:rsidRPr="00454EFD">
        <w:rPr>
          <w:rFonts w:ascii="Open Sans" w:hAnsi="Open Sans" w:cs="Arial"/>
          <w:bCs/>
          <w:sz w:val="20"/>
          <w:szCs w:val="20"/>
        </w:rPr>
        <w:t xml:space="preserve">elaborar propuestas sobre sostenibilidad, legislación, regulación y criterios operativos de redes y sistemas eléctricos en el ámbito  europeo. </w:t>
      </w:r>
      <w:r>
        <w:rPr>
          <w:rFonts w:ascii="Open Sans" w:hAnsi="Open Sans" w:cs="Arial"/>
          <w:bCs/>
          <w:sz w:val="20"/>
          <w:szCs w:val="20"/>
        </w:rPr>
        <w:t xml:space="preserve">No hay constancia de que estos organismos participen en propuestas relacionadas con aspectos fiscales. </w:t>
      </w:r>
    </w:p>
    <w:p w14:paraId="26EC6D33" w14:textId="77777777" w:rsidR="00DA58FD" w:rsidRDefault="00DA58FD" w:rsidP="00DA58FD">
      <w:pPr>
        <w:rPr>
          <w:rFonts w:ascii="Open Sans" w:hAnsi="Open Sans" w:cs="Arial"/>
          <w:bCs/>
          <w:sz w:val="20"/>
          <w:szCs w:val="20"/>
        </w:rPr>
      </w:pPr>
    </w:p>
    <w:p w14:paraId="572613FF" w14:textId="77777777" w:rsidR="00DA58FD" w:rsidRDefault="00DA58FD" w:rsidP="00DA58FD">
      <w:pPr>
        <w:jc w:val="both"/>
        <w:rPr>
          <w:rFonts w:ascii="Open Sans" w:hAnsi="Open Sans" w:cs="Arial"/>
          <w:bCs/>
          <w:sz w:val="20"/>
          <w:szCs w:val="20"/>
        </w:rPr>
      </w:pPr>
      <w:r>
        <w:rPr>
          <w:rFonts w:ascii="Open Sans" w:hAnsi="Open Sans" w:cs="Arial"/>
          <w:bCs/>
          <w:sz w:val="20"/>
          <w:szCs w:val="20"/>
        </w:rPr>
        <w:t>REC indica que en el proceso de consolidación de las cuentas anuales l</w:t>
      </w:r>
      <w:r w:rsidRPr="008462D6">
        <w:rPr>
          <w:rFonts w:ascii="Open Sans" w:hAnsi="Open Sans" w:cs="Arial"/>
          <w:bCs/>
          <w:sz w:val="20"/>
          <w:szCs w:val="20"/>
        </w:rPr>
        <w:t xml:space="preserve">as transacciones y saldos mantenidos con empresas del Grupo y los beneficios o pérdidas no realizados </w:t>
      </w:r>
      <w:r>
        <w:rPr>
          <w:rFonts w:ascii="Open Sans" w:hAnsi="Open Sans" w:cs="Arial"/>
          <w:bCs/>
          <w:sz w:val="20"/>
          <w:szCs w:val="20"/>
        </w:rPr>
        <w:t xml:space="preserve">se han eliminado. </w:t>
      </w:r>
      <w:r w:rsidRPr="008462D6">
        <w:rPr>
          <w:rFonts w:ascii="Open Sans" w:hAnsi="Open Sans" w:cs="Arial"/>
          <w:bCs/>
          <w:sz w:val="20"/>
          <w:szCs w:val="20"/>
        </w:rPr>
        <w:t xml:space="preserve"> </w:t>
      </w:r>
    </w:p>
    <w:p w14:paraId="6AD9F424" w14:textId="77777777" w:rsidR="00DA58FD" w:rsidRDefault="00DA58FD" w:rsidP="00DA58FD">
      <w:pPr>
        <w:jc w:val="both"/>
        <w:rPr>
          <w:rFonts w:ascii="Open Sans" w:hAnsi="Open Sans" w:cs="Arial"/>
          <w:bCs/>
          <w:sz w:val="20"/>
          <w:szCs w:val="20"/>
        </w:rPr>
      </w:pPr>
    </w:p>
    <w:p w14:paraId="4677EAC9"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Explica lo que considera entidades dependientes, asociadas y acuerdos conjuntos e indica que durante el ejercicio 2015 el grupo no cuenta con empresas asociadas. </w:t>
      </w:r>
    </w:p>
    <w:p w14:paraId="0176F578" w14:textId="77777777" w:rsidR="00DA58FD" w:rsidRDefault="00DA58FD" w:rsidP="00DA58FD">
      <w:pPr>
        <w:jc w:val="both"/>
        <w:rPr>
          <w:rFonts w:ascii="Open Sans" w:hAnsi="Open Sans" w:cs="Arial"/>
          <w:bCs/>
          <w:sz w:val="20"/>
          <w:szCs w:val="20"/>
        </w:rPr>
      </w:pPr>
    </w:p>
    <w:p w14:paraId="4BB3A4E8"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Aporta información de manera consolidada sobre operaciones con otras partes vinculadas por un importe de 11 mil euros. En el informe anual de la Comisión de Auditoría sobre operaciones vinculadas aporta información sobre el detalle de las operaciones.  </w:t>
      </w:r>
    </w:p>
    <w:p w14:paraId="45CA277B" w14:textId="77777777" w:rsidR="00DA58FD" w:rsidRDefault="00DA58FD" w:rsidP="00DA58FD">
      <w:pPr>
        <w:jc w:val="both"/>
        <w:rPr>
          <w:rFonts w:ascii="Open Sans" w:hAnsi="Open Sans" w:cs="Arial"/>
          <w:bCs/>
          <w:sz w:val="20"/>
          <w:szCs w:val="20"/>
        </w:rPr>
      </w:pPr>
    </w:p>
    <w:p w14:paraId="77597EC2" w14:textId="77777777" w:rsidR="00DA58FD" w:rsidRDefault="00DA58FD" w:rsidP="00DA58FD">
      <w:pPr>
        <w:jc w:val="both"/>
        <w:rPr>
          <w:rFonts w:ascii="Open Sans" w:hAnsi="Open Sans" w:cs="Arial"/>
          <w:bCs/>
          <w:sz w:val="20"/>
          <w:szCs w:val="20"/>
        </w:rPr>
      </w:pPr>
      <w:r>
        <w:rPr>
          <w:rFonts w:ascii="Open Sans" w:hAnsi="Open Sans" w:cs="Arial"/>
          <w:bCs/>
          <w:sz w:val="20"/>
          <w:szCs w:val="20"/>
        </w:rPr>
        <w:t xml:space="preserve">REC indica que en materia de precios de transferencia se actúa conforme al principio de plena competencia. </w:t>
      </w:r>
    </w:p>
    <w:p w14:paraId="01963AB0" w14:textId="555766F4" w:rsidR="00DA58FD" w:rsidRDefault="00DA58FD" w:rsidP="00DA58FD">
      <w:pPr>
        <w:rPr>
          <w:rFonts w:ascii="Open Sans" w:hAnsi="Open Sans" w:cs="Arial"/>
          <w:sz w:val="20"/>
          <w:szCs w:val="20"/>
        </w:rPr>
      </w:pPr>
    </w:p>
    <w:p w14:paraId="7B562BA1" w14:textId="77777777" w:rsidR="00DA58FD" w:rsidRPr="0024142E" w:rsidRDefault="00DA58FD" w:rsidP="00DA58FD">
      <w:pPr>
        <w:jc w:val="both"/>
        <w:rPr>
          <w:rFonts w:ascii="Open Sans" w:hAnsi="Open Sans" w:cs="Arial"/>
          <w:sz w:val="20"/>
          <w:szCs w:val="20"/>
        </w:rPr>
      </w:pPr>
    </w:p>
    <w:p w14:paraId="33D4BA73" w14:textId="77777777" w:rsidR="00DA58FD" w:rsidRPr="0024142E" w:rsidRDefault="00DA58FD" w:rsidP="00DA58FD">
      <w:pPr>
        <w:rPr>
          <w:rFonts w:ascii="Open Sans" w:hAnsi="Open Sans" w:cs="Arial"/>
          <w:bCs/>
          <w:sz w:val="22"/>
          <w:szCs w:val="22"/>
          <w:u w:val="single"/>
        </w:rPr>
      </w:pPr>
      <w:r w:rsidRPr="0024142E">
        <w:rPr>
          <w:rFonts w:ascii="Open Sans" w:hAnsi="Open Sans" w:cs="Arial"/>
          <w:b/>
          <w:sz w:val="22"/>
          <w:szCs w:val="22"/>
          <w:u w:val="single"/>
        </w:rPr>
        <w:t>5. Conclusiones</w:t>
      </w:r>
    </w:p>
    <w:p w14:paraId="03018FA5" w14:textId="77777777" w:rsidR="00DA58FD" w:rsidRDefault="00DA58FD" w:rsidP="00DA58FD">
      <w:pPr>
        <w:rPr>
          <w:rFonts w:ascii="Open Sans" w:hAnsi="Open Sans"/>
        </w:rPr>
      </w:pPr>
    </w:p>
    <w:p w14:paraId="6DF05374" w14:textId="77777777" w:rsidR="00DA58FD" w:rsidRDefault="00DA58FD" w:rsidP="00DA58FD">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REC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0,96</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(2,20), seguidos de “relaciones con Administraciones Tributarias” (0,80), “impuestos e incentivos” (0,50) y “paraísos y nichos fiscales” (0,33). </w:t>
      </w:r>
    </w:p>
    <w:p w14:paraId="37BE70EB" w14:textId="77777777" w:rsidR="00DA58FD" w:rsidRDefault="00DA58FD" w:rsidP="00DA58FD">
      <w:pPr>
        <w:jc w:val="both"/>
        <w:rPr>
          <w:rFonts w:ascii="Open Sans" w:hAnsi="Open Sans"/>
          <w:sz w:val="20"/>
          <w:szCs w:val="20"/>
        </w:rPr>
      </w:pPr>
    </w:p>
    <w:p w14:paraId="1FFEC7CE" w14:textId="77777777" w:rsidR="00DA58FD" w:rsidRDefault="00DA58FD" w:rsidP="00DA58FD">
      <w:pPr>
        <w:jc w:val="both"/>
        <w:rPr>
          <w:rFonts w:ascii="Open Sans" w:hAnsi="Open Sans"/>
          <w:sz w:val="20"/>
          <w:szCs w:val="20"/>
        </w:rPr>
      </w:pPr>
      <w:r>
        <w:rPr>
          <w:rFonts w:ascii="Open Sans" w:hAnsi="Open Sans"/>
          <w:sz w:val="20"/>
          <w:szCs w:val="20"/>
        </w:rPr>
        <w:t xml:space="preserve">Es el segundo año que REC incorpora dentro de su informe de RSC información sobre su compromiso en materia fiscal y la contribución tributaria del grupo. Es preciso destacar que este aspecto es considerado muy positivo pues se traslada información relevante sobre  la actuación en materia fiscal así como datos sobre la tributación del grupo en un documento no técnico y con un formato sencillo y un lenguaje claro y accesible para personas no familiarizadas en este ámbito. También hay que destacar como buena práctica la dedicación en su web a un apartado sobre “transparencia tributaria” con información sobre estrategia fiscal, contribución, gestión riesgos fiscales y buenas prácticas tributarias, haciendo accesible de manera rápida información de materia fiscal.  La empresa considera este aspecto dentro de los asuntos materiales sobre los que debe informar a sus grupos de interés y como tal dedica un espacio amplio en el informe de RSC a estas cuestiones. </w:t>
      </w:r>
    </w:p>
    <w:p w14:paraId="0C43FAE9" w14:textId="77777777" w:rsidR="00DA58FD" w:rsidRDefault="00DA58FD" w:rsidP="00DA58FD">
      <w:pPr>
        <w:jc w:val="both"/>
        <w:rPr>
          <w:rFonts w:ascii="Open Sans" w:hAnsi="Open Sans"/>
          <w:sz w:val="20"/>
          <w:szCs w:val="20"/>
        </w:rPr>
      </w:pPr>
    </w:p>
    <w:p w14:paraId="26FD84A7" w14:textId="77777777" w:rsidR="00DA58FD" w:rsidRDefault="00DA58FD" w:rsidP="00DA58FD">
      <w:pPr>
        <w:jc w:val="both"/>
        <w:rPr>
          <w:rFonts w:ascii="Open Sans" w:hAnsi="Open Sans"/>
          <w:sz w:val="20"/>
          <w:szCs w:val="20"/>
        </w:rPr>
      </w:pPr>
      <w:r>
        <w:rPr>
          <w:rFonts w:ascii="Open Sans" w:hAnsi="Open Sans"/>
          <w:sz w:val="20"/>
          <w:szCs w:val="20"/>
        </w:rPr>
        <w:t xml:space="preserve">Mientras que la calidad de la información que aporta REC relativa a la estrategia y riesgos fiscales es considerable, en otras áreas del análisis ésta se encuentra disminuida porque o bien no aporta información o porque la información no cuenta con el desglose requerido, por lo que se considera que aún tiene un amplio margen de mejora.   </w:t>
      </w:r>
    </w:p>
    <w:p w14:paraId="66D6C37F" w14:textId="77777777" w:rsidR="00DA58FD" w:rsidRDefault="00DA58FD" w:rsidP="00DA58FD">
      <w:pPr>
        <w:jc w:val="both"/>
        <w:rPr>
          <w:rFonts w:ascii="Open Sans" w:hAnsi="Open Sans"/>
          <w:sz w:val="20"/>
          <w:szCs w:val="20"/>
        </w:rPr>
      </w:pPr>
    </w:p>
    <w:p w14:paraId="5816CE41" w14:textId="77777777" w:rsidR="00DA58FD" w:rsidRDefault="00DA58FD" w:rsidP="00DA58FD">
      <w:pPr>
        <w:jc w:val="both"/>
        <w:rPr>
          <w:rFonts w:ascii="Open Sans" w:hAnsi="Open Sans"/>
          <w:sz w:val="20"/>
          <w:szCs w:val="20"/>
        </w:rPr>
      </w:pPr>
      <w:r>
        <w:rPr>
          <w:rFonts w:ascii="Open Sans" w:hAnsi="Open Sans"/>
          <w:sz w:val="20"/>
          <w:szCs w:val="20"/>
        </w:rPr>
        <w:t xml:space="preserve">Como se ha comentado previamente la totalidad de la información en materia tributaria se aporta sin un desglose completo por país en donde el grupo tiene actividades operativas (Perú, Chile y Francia) y no operativas (Holanda y Luxemburgo). Desde un punto de vista de transparencia no se considera coherente esta manera de informar con los compromisos públicamente adquiridos por el grupo. REC tampoco menciona el porqué de la decisión de aportar la información por áreas geográficas (Latinoamérica y UE) en lugar de por país pues, quitando la información aportada para España, no es posible conocer la aportación real del grupo a las arcas públicas en cada uno de los  países en los que tiene actividad y por tanto limitando la transparencia sobre estas cuestiones. Este condicionante justifica según la metodología de este análisis que la calidad de la información sea baja. </w:t>
      </w:r>
    </w:p>
    <w:p w14:paraId="7DF37BC3" w14:textId="77777777" w:rsidR="00DA58FD" w:rsidRDefault="00DA58FD" w:rsidP="00DA58FD">
      <w:pPr>
        <w:jc w:val="both"/>
        <w:rPr>
          <w:rFonts w:ascii="Open Sans" w:hAnsi="Open Sans"/>
          <w:sz w:val="20"/>
          <w:szCs w:val="20"/>
        </w:rPr>
      </w:pPr>
    </w:p>
    <w:p w14:paraId="00DFD41E" w14:textId="77777777" w:rsidR="00DA58FD" w:rsidRDefault="00DA58FD" w:rsidP="00DA58FD">
      <w:pPr>
        <w:jc w:val="both"/>
        <w:rPr>
          <w:rFonts w:ascii="Open Sans" w:hAnsi="Open Sans"/>
          <w:sz w:val="20"/>
          <w:szCs w:val="20"/>
        </w:rPr>
      </w:pPr>
      <w:r>
        <w:rPr>
          <w:rFonts w:ascii="Open Sans" w:hAnsi="Open Sans"/>
          <w:sz w:val="20"/>
          <w:szCs w:val="20"/>
        </w:rPr>
        <w:t xml:space="preserve">Se considera un compromiso coherente con la transparencia en fiscalidad el alineamiento con </w:t>
      </w:r>
      <w:proofErr w:type="gramStart"/>
      <w:r>
        <w:rPr>
          <w:rFonts w:ascii="Open Sans" w:hAnsi="Open Sans"/>
          <w:sz w:val="20"/>
          <w:szCs w:val="20"/>
        </w:rPr>
        <w:t>la mejores prácticas</w:t>
      </w:r>
      <w:proofErr w:type="gramEnd"/>
      <w:r>
        <w:rPr>
          <w:rFonts w:ascii="Open Sans" w:hAnsi="Open Sans"/>
          <w:sz w:val="20"/>
          <w:szCs w:val="20"/>
        </w:rPr>
        <w:t xml:space="preserve"> y estándares internacionales de divulgación país a país que promueven que la empresa presente información de una serie de partidas financieras y de la actividad que realiza en los territorios en los que está presente.  </w:t>
      </w:r>
    </w:p>
    <w:p w14:paraId="25D92225" w14:textId="77777777" w:rsidR="00DA58FD" w:rsidRDefault="00DA58FD" w:rsidP="00DA58FD">
      <w:pPr>
        <w:jc w:val="both"/>
        <w:rPr>
          <w:rFonts w:ascii="Open Sans" w:hAnsi="Open Sans"/>
          <w:sz w:val="20"/>
          <w:szCs w:val="20"/>
        </w:rPr>
      </w:pPr>
    </w:p>
    <w:p w14:paraId="15FFB578" w14:textId="77777777" w:rsidR="00DA58FD" w:rsidRDefault="00DA58FD" w:rsidP="00DA58FD">
      <w:pPr>
        <w:jc w:val="both"/>
        <w:rPr>
          <w:rFonts w:ascii="Open Sans" w:hAnsi="Open Sans"/>
          <w:sz w:val="20"/>
          <w:szCs w:val="20"/>
        </w:rPr>
      </w:pPr>
      <w:r>
        <w:rPr>
          <w:rFonts w:ascii="Open Sans" w:hAnsi="Open Sans"/>
          <w:sz w:val="20"/>
          <w:szCs w:val="20"/>
        </w:rPr>
        <w:t xml:space="preserve">El  grupo tampoco aporta información sobre su presencia ni actividad en nichos fiscales, limitándose la información a los compromisos adquiridos y a los datos extraídos del anexo de sociedades de las cuentas anuales consolidadas. </w:t>
      </w:r>
    </w:p>
    <w:p w14:paraId="0DE17B46" w14:textId="77777777" w:rsidR="00DA58FD" w:rsidRDefault="00DA58FD" w:rsidP="00DA58FD">
      <w:pPr>
        <w:jc w:val="both"/>
        <w:rPr>
          <w:rFonts w:ascii="Open Sans" w:hAnsi="Open Sans"/>
          <w:sz w:val="20"/>
          <w:szCs w:val="20"/>
        </w:rPr>
      </w:pPr>
    </w:p>
    <w:p w14:paraId="68D34CF6" w14:textId="1E42F0E1" w:rsidR="001262A9" w:rsidRDefault="00DA58FD" w:rsidP="00DA58FD">
      <w:pPr>
        <w:jc w:val="both"/>
        <w:rPr>
          <w:rFonts w:ascii="Open Sans" w:hAnsi="Open Sans"/>
          <w:sz w:val="20"/>
          <w:szCs w:val="20"/>
        </w:rPr>
      </w:pPr>
      <w:r>
        <w:rPr>
          <w:rFonts w:ascii="Open Sans" w:hAnsi="Open Sans"/>
          <w:sz w:val="20"/>
          <w:szCs w:val="20"/>
        </w:rPr>
        <w:t>Por último e</w:t>
      </w:r>
      <w:r w:rsidRPr="00D748E6">
        <w:rPr>
          <w:rFonts w:ascii="Open Sans" w:hAnsi="Open Sans"/>
          <w:sz w:val="20"/>
          <w:szCs w:val="20"/>
        </w:rPr>
        <w:t xml:space="preserve">n la documentación analizada no se han encontrado evidencias de que </w:t>
      </w:r>
      <w:r>
        <w:rPr>
          <w:rFonts w:ascii="Open Sans" w:hAnsi="Open Sans"/>
          <w:sz w:val="20"/>
          <w:szCs w:val="20"/>
        </w:rPr>
        <w:t>REC</w:t>
      </w:r>
      <w:r w:rsidRPr="00D748E6">
        <w:rPr>
          <w:rFonts w:ascii="Open Sans" w:hAnsi="Open Sans"/>
          <w:sz w:val="20"/>
          <w:szCs w:val="20"/>
        </w:rPr>
        <w:t xml:space="preserve"> haya establecido un diálogo, más allá de con la agencia tributaria, con sus grupos de interés en relación a los aspectos fiscales.</w:t>
      </w:r>
    </w:p>
    <w:p w14:paraId="0D3C5FCC" w14:textId="296D4893" w:rsidR="001262A9" w:rsidRDefault="001262A9">
      <w:pPr>
        <w:rPr>
          <w:rFonts w:ascii="Open Sans" w:hAnsi="Open Sans"/>
          <w:sz w:val="20"/>
          <w:szCs w:val="20"/>
        </w:rPr>
      </w:pPr>
      <w:r>
        <w:rPr>
          <w:rFonts w:ascii="Open Sans" w:hAnsi="Open Sans"/>
          <w:sz w:val="20"/>
          <w:szCs w:val="20"/>
        </w:rPr>
        <w:br w:type="page"/>
      </w:r>
    </w:p>
    <w:p w14:paraId="30A8ED62" w14:textId="77777777" w:rsidR="001262A9" w:rsidRPr="00C12CAD" w:rsidRDefault="001262A9" w:rsidP="001262A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aps/>
          <w:color w:val="FFFFFF"/>
        </w:rPr>
      </w:pPr>
      <w:bookmarkStart w:id="88" w:name="Repsol"/>
      <w:r>
        <w:rPr>
          <w:rFonts w:ascii="Open Sans" w:hAnsi="Open Sans" w:cs="Open Sans"/>
          <w:b/>
          <w:caps/>
          <w:color w:val="FFFFFF"/>
        </w:rPr>
        <w:t>Repsol</w:t>
      </w:r>
      <w:r w:rsidRPr="00C12CAD">
        <w:rPr>
          <w:rFonts w:ascii="Open Sans" w:hAnsi="Open Sans" w:cs="Open Sans"/>
          <w:b/>
          <w:caps/>
          <w:color w:val="FFFFFF"/>
        </w:rPr>
        <w:t>, s.a.</w:t>
      </w:r>
      <w:bookmarkEnd w:id="88"/>
    </w:p>
    <w:p w14:paraId="5BA7A908" w14:textId="77777777" w:rsidR="001262A9" w:rsidRPr="00C12CAD" w:rsidRDefault="001262A9" w:rsidP="001262A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sidRPr="00C12CAD">
        <w:rPr>
          <w:rFonts w:ascii="Open Sans" w:hAnsi="Open Sans" w:cs="Open Sans"/>
          <w:b/>
          <w:i/>
          <w:color w:val="FFFFFF"/>
        </w:rPr>
        <w:t>(</w:t>
      </w:r>
      <w:r>
        <w:rPr>
          <w:rFonts w:ascii="Open Sans" w:hAnsi="Open Sans" w:cs="Open Sans"/>
          <w:b/>
          <w:i/>
          <w:color w:val="FFFFFF"/>
        </w:rPr>
        <w:t>Repsol</w:t>
      </w:r>
      <w:r w:rsidRPr="00C12CAD">
        <w:rPr>
          <w:rFonts w:ascii="Open Sans" w:hAnsi="Open Sans" w:cs="Open Sans"/>
          <w:b/>
          <w:i/>
          <w:color w:val="FFFFFF"/>
        </w:rPr>
        <w:t>)</w:t>
      </w:r>
    </w:p>
    <w:p w14:paraId="4A0C8F57" w14:textId="77777777" w:rsidR="001262A9" w:rsidRDefault="001262A9" w:rsidP="001262A9">
      <w:pPr>
        <w:jc w:val="both"/>
        <w:outlineLvl w:val="5"/>
        <w:rPr>
          <w:rFonts w:ascii="Open Sans" w:hAnsi="Open Sans" w:cs="Arial"/>
          <w:b/>
          <w:sz w:val="22"/>
          <w:szCs w:val="22"/>
          <w:u w:val="single"/>
        </w:rPr>
      </w:pPr>
    </w:p>
    <w:p w14:paraId="3C21F0B9" w14:textId="77777777" w:rsidR="00903D51" w:rsidRDefault="00903D51" w:rsidP="001262A9">
      <w:pPr>
        <w:jc w:val="both"/>
        <w:outlineLvl w:val="5"/>
        <w:rPr>
          <w:rFonts w:ascii="Open Sans" w:hAnsi="Open Sans" w:cs="Arial"/>
          <w:b/>
          <w:sz w:val="22"/>
          <w:szCs w:val="22"/>
          <w:u w:val="single"/>
        </w:rPr>
      </w:pPr>
    </w:p>
    <w:p w14:paraId="58B36FCF" w14:textId="77777777" w:rsidR="00903D51" w:rsidRPr="00732FD5" w:rsidRDefault="00903D51" w:rsidP="00903D51">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76D545F7" w14:textId="77777777" w:rsidR="00903D51" w:rsidRPr="00732FD5" w:rsidRDefault="00903D51" w:rsidP="00903D51">
      <w:pPr>
        <w:jc w:val="both"/>
        <w:rPr>
          <w:rFonts w:ascii="Open Sans" w:hAnsi="Open Sans" w:cs="Arial"/>
          <w:sz w:val="22"/>
          <w:szCs w:val="22"/>
          <w:u w:val="single"/>
        </w:rPr>
      </w:pPr>
    </w:p>
    <w:p w14:paraId="6EEA18E7" w14:textId="77777777" w:rsidR="00903D51" w:rsidRPr="00EE1EF7" w:rsidRDefault="00903D51" w:rsidP="00903D51">
      <w:pPr>
        <w:jc w:val="both"/>
        <w:rPr>
          <w:rFonts w:ascii="Open Sans" w:hAnsi="Open Sans" w:cs="Arial"/>
          <w:sz w:val="20"/>
          <w:szCs w:val="20"/>
        </w:rPr>
      </w:pPr>
      <w:r w:rsidRPr="00EE1EF7">
        <w:rPr>
          <w:rFonts w:ascii="Open Sans" w:hAnsi="Open Sans" w:cs="Arial"/>
          <w:sz w:val="20"/>
          <w:szCs w:val="20"/>
          <w:u w:val="single"/>
        </w:rPr>
        <w:t>Productos/servicios</w:t>
      </w:r>
    </w:p>
    <w:p w14:paraId="25CA3FA5" w14:textId="77777777" w:rsidR="00903D51" w:rsidRDefault="00903D51" w:rsidP="00903D51">
      <w:pPr>
        <w:jc w:val="both"/>
        <w:rPr>
          <w:rFonts w:ascii="Open Sans" w:hAnsi="Open Sans" w:cs="Arial"/>
          <w:sz w:val="20"/>
          <w:szCs w:val="20"/>
        </w:rPr>
      </w:pPr>
    </w:p>
    <w:p w14:paraId="5AF85BCE" w14:textId="77777777" w:rsidR="00903D51" w:rsidRPr="00C12CAD" w:rsidRDefault="00903D51" w:rsidP="00903D51">
      <w:pPr>
        <w:jc w:val="both"/>
        <w:rPr>
          <w:rFonts w:ascii="Open Sans" w:hAnsi="Open Sans" w:cs="Open Sans"/>
          <w:sz w:val="20"/>
          <w:szCs w:val="20"/>
        </w:rPr>
      </w:pPr>
      <w:r>
        <w:rPr>
          <w:rFonts w:ascii="Open Sans" w:hAnsi="Open Sans" w:cs="Open Sans"/>
          <w:sz w:val="20"/>
          <w:szCs w:val="20"/>
        </w:rPr>
        <w:t>Repsol</w:t>
      </w:r>
      <w:r w:rsidRPr="00C12CAD">
        <w:rPr>
          <w:rFonts w:ascii="Open Sans" w:hAnsi="Open Sans" w:cs="Open Sans"/>
          <w:sz w:val="20"/>
          <w:szCs w:val="20"/>
        </w:rPr>
        <w:t xml:space="preserve"> ofrece a sus clientes los siguientes productos/servicios que tal y como señala en su Informe de Gestión, se desarrollan en dos áreas de negocio:</w:t>
      </w:r>
    </w:p>
    <w:p w14:paraId="04E6D6E4" w14:textId="77777777" w:rsidR="00903D51" w:rsidRPr="00C12CAD" w:rsidRDefault="00903D51" w:rsidP="00903D51">
      <w:pPr>
        <w:autoSpaceDE w:val="0"/>
        <w:autoSpaceDN w:val="0"/>
        <w:adjustRightInd w:val="0"/>
        <w:jc w:val="both"/>
        <w:rPr>
          <w:rFonts w:ascii="Open Sans" w:hAnsi="Open Sans" w:cs="Open Sans"/>
          <w:sz w:val="20"/>
          <w:szCs w:val="20"/>
        </w:rPr>
      </w:pPr>
    </w:p>
    <w:p w14:paraId="26CE8F45" w14:textId="77777777" w:rsidR="00903D51" w:rsidRPr="00C12CAD" w:rsidRDefault="00903D51" w:rsidP="000B70C9">
      <w:pPr>
        <w:pStyle w:val="Prrafodelista"/>
        <w:numPr>
          <w:ilvl w:val="0"/>
          <w:numId w:val="36"/>
        </w:numPr>
        <w:autoSpaceDE w:val="0"/>
        <w:autoSpaceDN w:val="0"/>
        <w:adjustRightInd w:val="0"/>
        <w:jc w:val="both"/>
        <w:rPr>
          <w:rFonts w:ascii="Open Sans" w:hAnsi="Open Sans" w:cs="Open Sans"/>
          <w:sz w:val="20"/>
          <w:szCs w:val="20"/>
        </w:rPr>
      </w:pPr>
      <w:r w:rsidRPr="00E50E93">
        <w:rPr>
          <w:rFonts w:ascii="Open Sans" w:hAnsi="Open Sans" w:cs="Open Sans"/>
          <w:i/>
          <w:sz w:val="20"/>
          <w:szCs w:val="20"/>
        </w:rPr>
        <w:t>Upstream</w:t>
      </w:r>
      <w:r w:rsidRPr="00C12CAD">
        <w:rPr>
          <w:rFonts w:ascii="Open Sans" w:hAnsi="Open Sans" w:cs="Open Sans"/>
          <w:sz w:val="20"/>
          <w:szCs w:val="20"/>
        </w:rPr>
        <w:t>, correspondiente a las operaciones de exploración y desarrollo de las reservas de crudo y gas natural.</w:t>
      </w:r>
    </w:p>
    <w:p w14:paraId="5D5B0482" w14:textId="77777777" w:rsidR="00903D51" w:rsidRPr="00C12CAD" w:rsidRDefault="00903D51" w:rsidP="00903D51">
      <w:pPr>
        <w:pStyle w:val="Prrafodelista"/>
        <w:autoSpaceDE w:val="0"/>
        <w:autoSpaceDN w:val="0"/>
        <w:adjustRightInd w:val="0"/>
        <w:ind w:left="405"/>
        <w:jc w:val="both"/>
        <w:rPr>
          <w:rFonts w:ascii="Open Sans" w:hAnsi="Open Sans" w:cs="Open Sans"/>
          <w:sz w:val="20"/>
          <w:szCs w:val="20"/>
        </w:rPr>
      </w:pPr>
    </w:p>
    <w:p w14:paraId="07C8E325" w14:textId="77777777" w:rsidR="00903D51" w:rsidRPr="00C12CAD" w:rsidRDefault="00903D51" w:rsidP="000B70C9">
      <w:pPr>
        <w:pStyle w:val="Prrafodelista"/>
        <w:numPr>
          <w:ilvl w:val="0"/>
          <w:numId w:val="36"/>
        </w:numPr>
        <w:autoSpaceDE w:val="0"/>
        <w:autoSpaceDN w:val="0"/>
        <w:adjustRightInd w:val="0"/>
        <w:jc w:val="both"/>
        <w:rPr>
          <w:rFonts w:ascii="Open Sans" w:hAnsi="Open Sans" w:cs="Open Sans"/>
          <w:sz w:val="20"/>
          <w:szCs w:val="20"/>
        </w:rPr>
      </w:pPr>
      <w:r w:rsidRPr="00E50E93">
        <w:rPr>
          <w:rFonts w:ascii="Open Sans" w:hAnsi="Open Sans" w:cs="Open Sans"/>
          <w:i/>
          <w:sz w:val="20"/>
          <w:szCs w:val="20"/>
        </w:rPr>
        <w:t>Downstream</w:t>
      </w:r>
      <w:r w:rsidRPr="00C12CAD">
        <w:rPr>
          <w:rFonts w:ascii="Open Sans" w:hAnsi="Open Sans" w:cs="Open Sans"/>
          <w:sz w:val="20"/>
          <w:szCs w:val="20"/>
        </w:rPr>
        <w:t xml:space="preserve">, correspondiente a (i) las actividades de refino, trading y transporte de crudo y productos, así como la comercialización de productos petrolíferos, productos químicos y gases licuados del petróleo </w:t>
      </w:r>
      <w:r w:rsidRPr="00D11102">
        <w:rPr>
          <w:rFonts w:ascii="Open Sans" w:hAnsi="Open Sans" w:cs="Open Sans"/>
          <w:sz w:val="20"/>
          <w:szCs w:val="20"/>
        </w:rPr>
        <w:t xml:space="preserve">(GLP) </w:t>
      </w:r>
      <w:r w:rsidRPr="00C12CAD">
        <w:rPr>
          <w:rFonts w:ascii="Open Sans" w:hAnsi="Open Sans" w:cs="Open Sans"/>
          <w:sz w:val="20"/>
          <w:szCs w:val="20"/>
        </w:rPr>
        <w:t>(ii) la comercialización, transporte y regasificación de gas natural y gas natural licuado (GNL) y (iii) los proyectos de generación renovable.</w:t>
      </w:r>
    </w:p>
    <w:p w14:paraId="40BEB5D8" w14:textId="77777777" w:rsidR="00903D51" w:rsidRPr="00C12CAD" w:rsidRDefault="00903D51" w:rsidP="00903D51">
      <w:pPr>
        <w:autoSpaceDE w:val="0"/>
        <w:autoSpaceDN w:val="0"/>
        <w:adjustRightInd w:val="0"/>
        <w:jc w:val="both"/>
        <w:rPr>
          <w:rFonts w:ascii="Open Sans" w:hAnsi="Open Sans" w:cs="Open Sans"/>
          <w:sz w:val="20"/>
          <w:szCs w:val="20"/>
        </w:rPr>
      </w:pPr>
    </w:p>
    <w:p w14:paraId="6F52EA2B" w14:textId="77777777" w:rsidR="00903D51" w:rsidRDefault="00903D51" w:rsidP="00903D51">
      <w:pPr>
        <w:autoSpaceDE w:val="0"/>
        <w:autoSpaceDN w:val="0"/>
        <w:adjustRightInd w:val="0"/>
        <w:jc w:val="both"/>
        <w:rPr>
          <w:rFonts w:ascii="Open Sans" w:hAnsi="Open Sans" w:cs="Open Sans"/>
          <w:sz w:val="20"/>
          <w:szCs w:val="20"/>
        </w:rPr>
      </w:pPr>
      <w:r w:rsidRPr="00C12CAD">
        <w:rPr>
          <w:rFonts w:ascii="Open Sans" w:hAnsi="Open Sans" w:cs="Open Sans"/>
          <w:sz w:val="20"/>
          <w:szCs w:val="20"/>
        </w:rPr>
        <w:t xml:space="preserve">Adicionalmente, </w:t>
      </w:r>
      <w:r>
        <w:rPr>
          <w:rFonts w:ascii="Open Sans" w:hAnsi="Open Sans" w:cs="Open Sans"/>
          <w:sz w:val="20"/>
          <w:szCs w:val="20"/>
        </w:rPr>
        <w:t>Repsol</w:t>
      </w:r>
      <w:r w:rsidRPr="00C12CAD">
        <w:rPr>
          <w:rFonts w:ascii="Open Sans" w:hAnsi="Open Sans" w:cs="Open Sans"/>
          <w:sz w:val="20"/>
          <w:szCs w:val="20"/>
        </w:rPr>
        <w:t xml:space="preserve"> tiene una participación del 30% en el grupo Gas Natural Fenosa, cuyas actividades principales son la distribución y comercialización de gas natural y la generación, distribución y comercialización de electricidad.</w:t>
      </w:r>
    </w:p>
    <w:p w14:paraId="5AEE777E" w14:textId="77777777" w:rsidR="00903D51" w:rsidRPr="00C12CAD" w:rsidRDefault="00903D51" w:rsidP="00903D51">
      <w:pPr>
        <w:autoSpaceDE w:val="0"/>
        <w:autoSpaceDN w:val="0"/>
        <w:adjustRightInd w:val="0"/>
        <w:jc w:val="both"/>
        <w:rPr>
          <w:rFonts w:ascii="Open Sans" w:hAnsi="Open Sans" w:cs="Open Sans"/>
          <w:sz w:val="20"/>
          <w:szCs w:val="20"/>
        </w:rPr>
      </w:pPr>
    </w:p>
    <w:p w14:paraId="096B10FE" w14:textId="77777777" w:rsidR="00903D51" w:rsidRPr="00EE1EF7" w:rsidRDefault="00903D51" w:rsidP="00903D51">
      <w:pPr>
        <w:jc w:val="both"/>
        <w:rPr>
          <w:rFonts w:ascii="Open Sans" w:hAnsi="Open Sans" w:cs="Arial"/>
          <w:sz w:val="20"/>
          <w:szCs w:val="20"/>
        </w:rPr>
      </w:pPr>
    </w:p>
    <w:p w14:paraId="6B77892F" w14:textId="77777777" w:rsidR="00903D51" w:rsidRPr="00EE1EF7" w:rsidRDefault="00903D51" w:rsidP="00903D51">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63D6B0A8" w14:textId="77777777" w:rsidR="00903D51" w:rsidRPr="00EE1EF7" w:rsidRDefault="00903D51" w:rsidP="00903D51">
      <w:pPr>
        <w:jc w:val="both"/>
        <w:rPr>
          <w:rFonts w:ascii="Open Sans" w:hAnsi="Open Sans" w:cs="Arial"/>
          <w:sz w:val="20"/>
          <w:szCs w:val="20"/>
        </w:rPr>
      </w:pPr>
    </w:p>
    <w:p w14:paraId="3E43FC1E" w14:textId="77777777" w:rsidR="00903D51" w:rsidRDefault="00903D51" w:rsidP="00903D51">
      <w:pPr>
        <w:jc w:val="both"/>
        <w:rPr>
          <w:rFonts w:ascii="Open Sans" w:hAnsi="Open Sans" w:cs="Open Sans"/>
          <w:sz w:val="20"/>
          <w:szCs w:val="20"/>
        </w:rPr>
      </w:pPr>
      <w:r>
        <w:rPr>
          <w:rFonts w:ascii="Open Sans" w:hAnsi="Open Sans" w:cs="Open Sans"/>
          <w:sz w:val="20"/>
          <w:szCs w:val="20"/>
        </w:rPr>
        <w:t xml:space="preserve">Tomando como referencia los países incluidos en diferentes secciones de </w:t>
      </w:r>
      <w:r w:rsidRPr="00E02AC0">
        <w:rPr>
          <w:rFonts w:ascii="Open Sans" w:hAnsi="Open Sans" w:cs="Open Sans"/>
          <w:sz w:val="20"/>
          <w:szCs w:val="20"/>
        </w:rPr>
        <w:t>las cuentas anuales</w:t>
      </w:r>
      <w:r>
        <w:rPr>
          <w:rFonts w:ascii="Open Sans" w:hAnsi="Open Sans" w:cs="Open Sans"/>
          <w:sz w:val="20"/>
          <w:szCs w:val="20"/>
        </w:rPr>
        <w:t xml:space="preserve">, fundamentalmente en el desglose de impuestos pagado por el Grupo y en el Anexo </w:t>
      </w:r>
      <w:r w:rsidRPr="00E02AC0">
        <w:rPr>
          <w:rFonts w:ascii="Open Sans" w:hAnsi="Open Sans" w:cs="Open Sans"/>
          <w:sz w:val="20"/>
          <w:szCs w:val="20"/>
        </w:rPr>
        <w:t>I de</w:t>
      </w:r>
      <w:r>
        <w:rPr>
          <w:rFonts w:ascii="Open Sans" w:hAnsi="Open Sans" w:cs="Open Sans"/>
          <w:sz w:val="20"/>
          <w:szCs w:val="20"/>
        </w:rPr>
        <w:t xml:space="preserve"> las cuentas anuales consolidadas</w:t>
      </w:r>
      <w:r w:rsidRPr="00E02AC0">
        <w:rPr>
          <w:rFonts w:ascii="Open Sans" w:hAnsi="Open Sans" w:cs="Open Sans"/>
          <w:sz w:val="20"/>
          <w:szCs w:val="20"/>
        </w:rPr>
        <w:t>, se ha identificado que Repsol opera o tiene presencia en 51 países.</w:t>
      </w:r>
      <w:r>
        <w:rPr>
          <w:rFonts w:ascii="Open Sans" w:hAnsi="Open Sans" w:cs="Open Sans"/>
          <w:sz w:val="20"/>
          <w:szCs w:val="20"/>
        </w:rPr>
        <w:t xml:space="preserve"> Concretamente se refleja su presencia en:</w:t>
      </w:r>
    </w:p>
    <w:p w14:paraId="512BD1A1" w14:textId="77777777" w:rsidR="00903D51" w:rsidRPr="00C12CAD" w:rsidRDefault="00903D51" w:rsidP="00903D51">
      <w:pPr>
        <w:jc w:val="both"/>
        <w:rPr>
          <w:rFonts w:ascii="Open Sans" w:hAnsi="Open Sans" w:cs="Open Sans"/>
          <w:sz w:val="20"/>
          <w:szCs w:val="20"/>
        </w:rPr>
      </w:pPr>
    </w:p>
    <w:p w14:paraId="1915F950" w14:textId="77777777" w:rsidR="00903D51" w:rsidRPr="00AC694D" w:rsidRDefault="00903D51" w:rsidP="000B70C9">
      <w:pPr>
        <w:pStyle w:val="Prrafodelista"/>
        <w:numPr>
          <w:ilvl w:val="0"/>
          <w:numId w:val="36"/>
        </w:numPr>
        <w:jc w:val="both"/>
        <w:rPr>
          <w:rFonts w:ascii="Open Sans" w:hAnsi="Open Sans" w:cs="Open Sans"/>
          <w:sz w:val="20"/>
          <w:szCs w:val="20"/>
        </w:rPr>
      </w:pPr>
      <w:r w:rsidRPr="00AC694D">
        <w:rPr>
          <w:rFonts w:ascii="Open Sans" w:hAnsi="Open Sans" w:cs="Open Sans"/>
          <w:sz w:val="20"/>
          <w:szCs w:val="20"/>
        </w:rPr>
        <w:t>África: Angola</w:t>
      </w:r>
      <w:r>
        <w:rPr>
          <w:rFonts w:ascii="Open Sans" w:hAnsi="Open Sans" w:cs="Open Sans"/>
          <w:sz w:val="20"/>
          <w:szCs w:val="20"/>
        </w:rPr>
        <w:t>,</w:t>
      </w:r>
      <w:r w:rsidRPr="00AC694D">
        <w:rPr>
          <w:rFonts w:ascii="Open Sans" w:hAnsi="Open Sans" w:cs="Open Sans"/>
          <w:sz w:val="20"/>
          <w:szCs w:val="20"/>
        </w:rPr>
        <w:t xml:space="preserve"> A</w:t>
      </w:r>
      <w:r>
        <w:rPr>
          <w:rFonts w:ascii="Open Sans" w:hAnsi="Open Sans" w:cs="Open Sans"/>
          <w:sz w:val="20"/>
          <w:szCs w:val="20"/>
        </w:rPr>
        <w:t>rgelia,</w:t>
      </w:r>
      <w:r w:rsidRPr="00AC694D">
        <w:rPr>
          <w:rFonts w:ascii="Open Sans" w:hAnsi="Open Sans" w:cs="Open Sans"/>
          <w:sz w:val="20"/>
          <w:szCs w:val="20"/>
        </w:rPr>
        <w:t xml:space="preserve"> Gabón, Liberia, Libia, Marruecos</w:t>
      </w:r>
      <w:r>
        <w:rPr>
          <w:rFonts w:ascii="Open Sans" w:hAnsi="Open Sans" w:cs="Open Sans"/>
          <w:sz w:val="20"/>
          <w:szCs w:val="20"/>
        </w:rPr>
        <w:t>, Mauritania,</w:t>
      </w:r>
      <w:r w:rsidRPr="00AC694D">
        <w:rPr>
          <w:rFonts w:ascii="Open Sans" w:hAnsi="Open Sans" w:cs="Open Sans"/>
          <w:sz w:val="20"/>
          <w:szCs w:val="20"/>
        </w:rPr>
        <w:t xml:space="preserve"> Namibia</w:t>
      </w:r>
      <w:r>
        <w:rPr>
          <w:rFonts w:ascii="Open Sans" w:hAnsi="Open Sans" w:cs="Open Sans"/>
          <w:sz w:val="20"/>
          <w:szCs w:val="20"/>
        </w:rPr>
        <w:t>, Sierra Leona</w:t>
      </w:r>
      <w:r w:rsidRPr="00AC694D">
        <w:rPr>
          <w:rFonts w:ascii="Open Sans" w:hAnsi="Open Sans" w:cs="Open Sans"/>
          <w:sz w:val="20"/>
          <w:szCs w:val="20"/>
        </w:rPr>
        <w:t>.</w:t>
      </w:r>
    </w:p>
    <w:p w14:paraId="7B0A3425" w14:textId="77777777" w:rsidR="00903D51" w:rsidRPr="00AC694D" w:rsidRDefault="00903D51" w:rsidP="000B70C9">
      <w:pPr>
        <w:pStyle w:val="Prrafodelista"/>
        <w:numPr>
          <w:ilvl w:val="0"/>
          <w:numId w:val="36"/>
        </w:numPr>
        <w:jc w:val="both"/>
        <w:rPr>
          <w:rFonts w:ascii="Open Sans" w:hAnsi="Open Sans" w:cs="Open Sans"/>
          <w:sz w:val="20"/>
          <w:szCs w:val="20"/>
        </w:rPr>
      </w:pPr>
      <w:r w:rsidRPr="00AC694D">
        <w:rPr>
          <w:rFonts w:ascii="Open Sans" w:hAnsi="Open Sans" w:cs="Open Sans"/>
          <w:sz w:val="20"/>
          <w:szCs w:val="20"/>
        </w:rPr>
        <w:t>Asia: Arabia Saudí</w:t>
      </w:r>
      <w:r>
        <w:rPr>
          <w:rFonts w:ascii="Open Sans" w:hAnsi="Open Sans" w:cs="Open Sans"/>
          <w:sz w:val="20"/>
          <w:szCs w:val="20"/>
        </w:rPr>
        <w:t>,</w:t>
      </w:r>
      <w:r w:rsidRPr="00AC694D">
        <w:rPr>
          <w:rFonts w:ascii="Open Sans" w:hAnsi="Open Sans" w:cs="Open Sans"/>
          <w:sz w:val="20"/>
          <w:szCs w:val="20"/>
        </w:rPr>
        <w:t xml:space="preserve"> Indonesia, </w:t>
      </w:r>
      <w:r>
        <w:rPr>
          <w:rFonts w:ascii="Open Sans" w:hAnsi="Open Sans" w:cs="Open Sans"/>
          <w:sz w:val="20"/>
          <w:szCs w:val="20"/>
        </w:rPr>
        <w:t xml:space="preserve">Irán, </w:t>
      </w:r>
      <w:r w:rsidRPr="00AC694D">
        <w:rPr>
          <w:rFonts w:ascii="Open Sans" w:hAnsi="Open Sans" w:cs="Open Sans"/>
          <w:sz w:val="20"/>
          <w:szCs w:val="20"/>
        </w:rPr>
        <w:t xml:space="preserve">Irak, Malasia, </w:t>
      </w:r>
      <w:r>
        <w:rPr>
          <w:rFonts w:ascii="Open Sans" w:hAnsi="Open Sans" w:cs="Open Sans"/>
          <w:sz w:val="20"/>
          <w:szCs w:val="20"/>
        </w:rPr>
        <w:t xml:space="preserve">Omán, </w:t>
      </w:r>
      <w:r w:rsidRPr="00AC694D">
        <w:rPr>
          <w:rFonts w:ascii="Open Sans" w:hAnsi="Open Sans" w:cs="Open Sans"/>
          <w:sz w:val="20"/>
          <w:szCs w:val="20"/>
        </w:rPr>
        <w:t xml:space="preserve">Papúa Nueva Guinea, Rusia, Singapur, Vietnam, </w:t>
      </w:r>
    </w:p>
    <w:p w14:paraId="517F7796" w14:textId="77777777" w:rsidR="00903D51" w:rsidRPr="00AC694D" w:rsidRDefault="00903D51" w:rsidP="000B70C9">
      <w:pPr>
        <w:pStyle w:val="Prrafodelista"/>
        <w:numPr>
          <w:ilvl w:val="0"/>
          <w:numId w:val="36"/>
        </w:numPr>
        <w:jc w:val="both"/>
        <w:rPr>
          <w:rFonts w:ascii="Open Sans" w:hAnsi="Open Sans" w:cs="Open Sans"/>
          <w:sz w:val="20"/>
          <w:szCs w:val="20"/>
        </w:rPr>
      </w:pPr>
      <w:r w:rsidRPr="00AC694D">
        <w:rPr>
          <w:rFonts w:ascii="Open Sans" w:hAnsi="Open Sans" w:cs="Open Sans"/>
          <w:sz w:val="20"/>
          <w:szCs w:val="20"/>
        </w:rPr>
        <w:t>Europa: Alemania</w:t>
      </w:r>
      <w:r>
        <w:rPr>
          <w:rFonts w:ascii="Open Sans" w:hAnsi="Open Sans" w:cs="Open Sans"/>
          <w:sz w:val="20"/>
          <w:szCs w:val="20"/>
        </w:rPr>
        <w:t>,</w:t>
      </w:r>
      <w:r w:rsidRPr="00AC694D">
        <w:rPr>
          <w:rFonts w:ascii="Open Sans" w:hAnsi="Open Sans" w:cs="Open Sans"/>
          <w:sz w:val="20"/>
          <w:szCs w:val="20"/>
        </w:rPr>
        <w:t xml:space="preserve"> Andorra</w:t>
      </w:r>
      <w:r>
        <w:rPr>
          <w:rFonts w:ascii="Open Sans" w:hAnsi="Open Sans" w:cs="Open Sans"/>
          <w:sz w:val="20"/>
          <w:szCs w:val="20"/>
        </w:rPr>
        <w:t>, Bulgaria,</w:t>
      </w:r>
      <w:r w:rsidRPr="00AC694D">
        <w:rPr>
          <w:rFonts w:ascii="Open Sans" w:hAnsi="Open Sans" w:cs="Open Sans"/>
          <w:sz w:val="20"/>
          <w:szCs w:val="20"/>
        </w:rPr>
        <w:t xml:space="preserve"> España, Francia, </w:t>
      </w:r>
      <w:r>
        <w:rPr>
          <w:rFonts w:ascii="Open Sans" w:hAnsi="Open Sans" w:cs="Open Sans"/>
          <w:sz w:val="20"/>
          <w:szCs w:val="20"/>
        </w:rPr>
        <w:t xml:space="preserve">Irlanda, </w:t>
      </w:r>
      <w:r w:rsidRPr="00AC694D">
        <w:rPr>
          <w:rFonts w:ascii="Open Sans" w:hAnsi="Open Sans" w:cs="Open Sans"/>
          <w:sz w:val="20"/>
          <w:szCs w:val="20"/>
        </w:rPr>
        <w:t>Italia, Luxemburgo</w:t>
      </w:r>
      <w:r>
        <w:rPr>
          <w:rFonts w:ascii="Open Sans" w:hAnsi="Open Sans" w:cs="Open Sans"/>
          <w:sz w:val="20"/>
          <w:szCs w:val="20"/>
        </w:rPr>
        <w:t>,</w:t>
      </w:r>
      <w:r w:rsidRPr="00AC694D">
        <w:rPr>
          <w:rFonts w:ascii="Open Sans" w:hAnsi="Open Sans" w:cs="Open Sans"/>
          <w:sz w:val="20"/>
          <w:szCs w:val="20"/>
        </w:rPr>
        <w:t xml:space="preserve"> Noruega, Países Bajos, Portugal, Reino Unido, Rumanía,</w:t>
      </w:r>
      <w:r w:rsidRPr="002049F6">
        <w:rPr>
          <w:rFonts w:ascii="Open Sans" w:hAnsi="Open Sans" w:cs="Open Sans"/>
          <w:sz w:val="20"/>
          <w:szCs w:val="20"/>
        </w:rPr>
        <w:t xml:space="preserve"> y </w:t>
      </w:r>
      <w:r w:rsidRPr="00AC694D">
        <w:rPr>
          <w:rFonts w:ascii="Open Sans" w:hAnsi="Open Sans" w:cs="Open Sans"/>
          <w:sz w:val="20"/>
          <w:szCs w:val="20"/>
        </w:rPr>
        <w:t>Suiza</w:t>
      </w:r>
      <w:r>
        <w:rPr>
          <w:rFonts w:ascii="Open Sans" w:hAnsi="Open Sans" w:cs="Open Sans"/>
          <w:sz w:val="20"/>
          <w:szCs w:val="20"/>
        </w:rPr>
        <w:t>.</w:t>
      </w:r>
    </w:p>
    <w:p w14:paraId="221B90FB" w14:textId="77777777" w:rsidR="00903D51" w:rsidRPr="00AC694D" w:rsidRDefault="00903D51" w:rsidP="000B70C9">
      <w:pPr>
        <w:pStyle w:val="Prrafodelista"/>
        <w:numPr>
          <w:ilvl w:val="0"/>
          <w:numId w:val="36"/>
        </w:numPr>
        <w:jc w:val="both"/>
        <w:rPr>
          <w:rFonts w:ascii="Open Sans" w:hAnsi="Open Sans" w:cs="Open Sans"/>
          <w:sz w:val="20"/>
          <w:szCs w:val="20"/>
        </w:rPr>
      </w:pPr>
      <w:r w:rsidRPr="00AC694D">
        <w:rPr>
          <w:rFonts w:ascii="Open Sans" w:hAnsi="Open Sans" w:cs="Open Sans"/>
          <w:sz w:val="20"/>
          <w:szCs w:val="20"/>
        </w:rPr>
        <w:t>Latinoamérica:</w:t>
      </w:r>
      <w:r>
        <w:rPr>
          <w:rFonts w:ascii="Open Sans" w:hAnsi="Open Sans" w:cs="Open Sans"/>
          <w:sz w:val="20"/>
          <w:szCs w:val="20"/>
        </w:rPr>
        <w:t xml:space="preserve">Aruba, </w:t>
      </w:r>
      <w:r w:rsidRPr="00AC694D">
        <w:rPr>
          <w:rFonts w:ascii="Open Sans" w:hAnsi="Open Sans" w:cs="Open Sans"/>
          <w:sz w:val="20"/>
          <w:szCs w:val="20"/>
        </w:rPr>
        <w:t>Brasil, Bolivia, Chile</w:t>
      </w:r>
      <w:r>
        <w:rPr>
          <w:rFonts w:ascii="Open Sans" w:hAnsi="Open Sans" w:cs="Open Sans"/>
          <w:sz w:val="20"/>
          <w:szCs w:val="20"/>
        </w:rPr>
        <w:t>,</w:t>
      </w:r>
      <w:r w:rsidRPr="00AC694D">
        <w:rPr>
          <w:rFonts w:ascii="Open Sans" w:hAnsi="Open Sans" w:cs="Open Sans"/>
          <w:sz w:val="20"/>
          <w:szCs w:val="20"/>
        </w:rPr>
        <w:t xml:space="preserve"> Colombia,</w:t>
      </w:r>
      <w:r>
        <w:rPr>
          <w:rFonts w:ascii="Open Sans" w:hAnsi="Open Sans" w:cs="Open Sans"/>
          <w:sz w:val="20"/>
          <w:szCs w:val="20"/>
        </w:rPr>
        <w:t xml:space="preserve"> Cuba, </w:t>
      </w:r>
      <w:r w:rsidRPr="00AC694D">
        <w:rPr>
          <w:rFonts w:ascii="Open Sans" w:hAnsi="Open Sans" w:cs="Open Sans"/>
          <w:sz w:val="20"/>
          <w:szCs w:val="20"/>
        </w:rPr>
        <w:t>Ecuador</w:t>
      </w:r>
      <w:r>
        <w:rPr>
          <w:rFonts w:ascii="Open Sans" w:hAnsi="Open Sans" w:cs="Open Sans"/>
          <w:sz w:val="20"/>
          <w:szCs w:val="20"/>
        </w:rPr>
        <w:t>,</w:t>
      </w:r>
      <w:r w:rsidRPr="00AC694D">
        <w:rPr>
          <w:rFonts w:ascii="Open Sans" w:hAnsi="Open Sans" w:cs="Open Sans"/>
          <w:sz w:val="20"/>
          <w:szCs w:val="20"/>
        </w:rPr>
        <w:t xml:space="preserve"> Islas Bermudas, Islas Caimán, </w:t>
      </w:r>
      <w:r>
        <w:rPr>
          <w:rFonts w:ascii="Open Sans" w:hAnsi="Open Sans" w:cs="Open Sans"/>
          <w:sz w:val="20"/>
          <w:szCs w:val="20"/>
        </w:rPr>
        <w:t>Guyana,</w:t>
      </w:r>
      <w:r w:rsidRPr="00AC694D">
        <w:rPr>
          <w:rFonts w:ascii="Open Sans" w:hAnsi="Open Sans" w:cs="Open Sans"/>
          <w:sz w:val="20"/>
          <w:szCs w:val="20"/>
        </w:rPr>
        <w:t xml:space="preserve"> México</w:t>
      </w:r>
      <w:r>
        <w:rPr>
          <w:rFonts w:ascii="Open Sans" w:hAnsi="Open Sans" w:cs="Open Sans"/>
          <w:sz w:val="20"/>
          <w:szCs w:val="20"/>
        </w:rPr>
        <w:t>,</w:t>
      </w:r>
      <w:r w:rsidRPr="00AC694D">
        <w:rPr>
          <w:rFonts w:ascii="Open Sans" w:hAnsi="Open Sans" w:cs="Open Sans"/>
          <w:sz w:val="20"/>
          <w:szCs w:val="20"/>
        </w:rPr>
        <w:t xml:space="preserve"> </w:t>
      </w:r>
      <w:r>
        <w:rPr>
          <w:rFonts w:ascii="Open Sans" w:hAnsi="Open Sans" w:cs="Open Sans"/>
          <w:sz w:val="20"/>
          <w:szCs w:val="20"/>
        </w:rPr>
        <w:t xml:space="preserve">Nicaragua, </w:t>
      </w:r>
      <w:r w:rsidRPr="00AC694D">
        <w:rPr>
          <w:rFonts w:ascii="Open Sans" w:hAnsi="Open Sans" w:cs="Open Sans"/>
          <w:sz w:val="20"/>
          <w:szCs w:val="20"/>
        </w:rPr>
        <w:t xml:space="preserve">Perú, Trinidad y Tobago, Venezuela, </w:t>
      </w:r>
    </w:p>
    <w:p w14:paraId="1695BEB5" w14:textId="77777777" w:rsidR="00903D51" w:rsidRPr="00AC694D" w:rsidRDefault="00903D51" w:rsidP="000B70C9">
      <w:pPr>
        <w:pStyle w:val="Prrafodelista"/>
        <w:numPr>
          <w:ilvl w:val="0"/>
          <w:numId w:val="36"/>
        </w:numPr>
        <w:jc w:val="both"/>
        <w:rPr>
          <w:rFonts w:ascii="Open Sans" w:hAnsi="Open Sans" w:cs="Open Sans"/>
          <w:sz w:val="20"/>
          <w:szCs w:val="20"/>
        </w:rPr>
      </w:pPr>
      <w:r w:rsidRPr="00AC694D">
        <w:rPr>
          <w:rFonts w:ascii="Open Sans" w:hAnsi="Open Sans" w:cs="Open Sans"/>
          <w:sz w:val="20"/>
          <w:szCs w:val="20"/>
        </w:rPr>
        <w:t>Norteamérica: Canadá, EEUU.</w:t>
      </w:r>
    </w:p>
    <w:p w14:paraId="09C1F136" w14:textId="77777777" w:rsidR="00903D51" w:rsidRPr="00AC694D" w:rsidRDefault="00903D51" w:rsidP="000B70C9">
      <w:pPr>
        <w:pStyle w:val="Prrafodelista"/>
        <w:numPr>
          <w:ilvl w:val="0"/>
          <w:numId w:val="36"/>
        </w:numPr>
        <w:jc w:val="both"/>
        <w:rPr>
          <w:rFonts w:ascii="Open Sans" w:hAnsi="Open Sans" w:cs="Open Sans"/>
          <w:sz w:val="20"/>
          <w:szCs w:val="20"/>
        </w:rPr>
      </w:pPr>
      <w:r w:rsidRPr="00AC694D">
        <w:rPr>
          <w:rFonts w:ascii="Open Sans" w:hAnsi="Open Sans" w:cs="Open Sans"/>
          <w:sz w:val="20"/>
          <w:szCs w:val="20"/>
        </w:rPr>
        <w:t>Oceanía: Australia</w:t>
      </w:r>
    </w:p>
    <w:p w14:paraId="704F54B8" w14:textId="77777777" w:rsidR="00903D51" w:rsidRDefault="00903D51" w:rsidP="00903D51">
      <w:pPr>
        <w:jc w:val="both"/>
        <w:rPr>
          <w:rFonts w:ascii="Open Sans" w:hAnsi="Open Sans" w:cs="Open Sans"/>
          <w:sz w:val="20"/>
          <w:szCs w:val="20"/>
        </w:rPr>
      </w:pPr>
    </w:p>
    <w:p w14:paraId="2E720836" w14:textId="77777777" w:rsidR="00903D51" w:rsidRPr="00C12CAD" w:rsidRDefault="00903D51" w:rsidP="00903D51">
      <w:pPr>
        <w:jc w:val="both"/>
        <w:rPr>
          <w:rFonts w:ascii="Open Sans" w:hAnsi="Open Sans" w:cs="Open Sans"/>
          <w:sz w:val="20"/>
          <w:szCs w:val="20"/>
        </w:rPr>
      </w:pPr>
    </w:p>
    <w:p w14:paraId="67B1D2B6" w14:textId="77777777" w:rsidR="00903D51" w:rsidRDefault="00903D51" w:rsidP="00903D51">
      <w:pPr>
        <w:jc w:val="both"/>
        <w:rPr>
          <w:rFonts w:ascii="Open Sans" w:hAnsi="Open Sans" w:cs="Arial"/>
          <w:sz w:val="20"/>
          <w:szCs w:val="20"/>
          <w:u w:val="single"/>
        </w:rPr>
      </w:pPr>
      <w:r>
        <w:rPr>
          <w:rFonts w:ascii="Open Sans" w:hAnsi="Open Sans" w:cs="Arial"/>
          <w:sz w:val="20"/>
          <w:szCs w:val="20"/>
          <w:u w:val="single"/>
        </w:rPr>
        <w:t>Cifras relevantes de la empresa:</w:t>
      </w:r>
    </w:p>
    <w:p w14:paraId="2BED7AD1" w14:textId="77777777" w:rsidR="00903D51" w:rsidRDefault="00903D51" w:rsidP="00903D51">
      <w:pPr>
        <w:jc w:val="both"/>
        <w:rPr>
          <w:rFonts w:ascii="Open Sans" w:hAnsi="Open Sans" w:cs="Arial"/>
          <w:sz w:val="20"/>
          <w:szCs w:val="20"/>
          <w:u w:val="single"/>
        </w:rPr>
      </w:pPr>
    </w:p>
    <w:p w14:paraId="508D7094" w14:textId="77777777" w:rsidR="00903D51" w:rsidRDefault="00903D51" w:rsidP="00903D51">
      <w:pPr>
        <w:jc w:val="both"/>
        <w:rPr>
          <w:rFonts w:ascii="Open Sans" w:hAnsi="Open Sans" w:cs="Arial"/>
          <w:sz w:val="20"/>
          <w:szCs w:val="20"/>
          <w:u w:val="single"/>
        </w:rPr>
      </w:pPr>
      <w:r>
        <w:rPr>
          <w:rFonts w:ascii="Open Sans" w:hAnsi="Open Sans" w:cs="Arial"/>
          <w:sz w:val="20"/>
          <w:szCs w:val="20"/>
        </w:rPr>
        <w:t xml:space="preserve">A 31 de diciembre Repsol contaba con una plantilla de 29.494 empleados, de los cuales </w:t>
      </w:r>
      <w:r w:rsidRPr="00720D42">
        <w:rPr>
          <w:rFonts w:ascii="Open Sans" w:hAnsi="Open Sans" w:cs="Open Sans"/>
          <w:color w:val="000000"/>
          <w:sz w:val="20"/>
          <w:szCs w:val="20"/>
        </w:rPr>
        <w:t>27.166</w:t>
      </w:r>
      <w:r>
        <w:rPr>
          <w:rFonts w:ascii="Open Sans" w:hAnsi="Open Sans" w:cs="Open Sans"/>
          <w:color w:val="000000"/>
          <w:sz w:val="20"/>
          <w:szCs w:val="20"/>
        </w:rPr>
        <w:t xml:space="preserve"> </w:t>
      </w:r>
      <w:r>
        <w:rPr>
          <w:rFonts w:ascii="Open Sans" w:hAnsi="Open Sans" w:cs="Arial"/>
          <w:sz w:val="20"/>
          <w:szCs w:val="20"/>
        </w:rPr>
        <w:t xml:space="preserve">empleados estaban gestionados directamente por el Grupo. </w:t>
      </w:r>
    </w:p>
    <w:p w14:paraId="5D24B0A3" w14:textId="77777777" w:rsidR="00903D51" w:rsidRDefault="00903D51" w:rsidP="00903D51">
      <w:pPr>
        <w:jc w:val="both"/>
        <w:rPr>
          <w:rFonts w:ascii="Open Sans" w:hAnsi="Open Sans" w:cs="Arial"/>
          <w:sz w:val="20"/>
          <w:szCs w:val="20"/>
        </w:rPr>
      </w:pPr>
    </w:p>
    <w:p w14:paraId="63993302" w14:textId="77777777" w:rsidR="00903D51" w:rsidRDefault="00903D51" w:rsidP="00903D51">
      <w:pPr>
        <w:jc w:val="both"/>
        <w:rPr>
          <w:rFonts w:ascii="Open Sans" w:hAnsi="Open Sans" w:cs="Arial"/>
          <w:sz w:val="20"/>
          <w:szCs w:val="20"/>
        </w:rPr>
      </w:pPr>
      <w:r>
        <w:rPr>
          <w:rFonts w:ascii="Open Sans" w:hAnsi="Open Sans" w:cs="Arial"/>
          <w:sz w:val="20"/>
          <w:szCs w:val="20"/>
        </w:rPr>
        <w:t>El grupo Repsol</w:t>
      </w:r>
      <w:r w:rsidRPr="00B80586">
        <w:rPr>
          <w:rFonts w:ascii="Open Sans" w:hAnsi="Open Sans" w:cs="Arial"/>
          <w:sz w:val="20"/>
          <w:szCs w:val="20"/>
        </w:rPr>
        <w:t xml:space="preserve"> </w:t>
      </w:r>
      <w:r>
        <w:rPr>
          <w:rFonts w:ascii="Open Sans" w:hAnsi="Open Sans" w:cs="Arial"/>
          <w:sz w:val="20"/>
          <w:szCs w:val="20"/>
        </w:rPr>
        <w:t xml:space="preserve">registró en el año 2015 un importe neto de la cifra de negocios de </w:t>
      </w:r>
      <w:r w:rsidRPr="00720D42">
        <w:rPr>
          <w:rFonts w:ascii="Open Sans" w:hAnsi="Open Sans" w:cs="Open Sans"/>
          <w:color w:val="000000"/>
          <w:sz w:val="20"/>
          <w:szCs w:val="20"/>
        </w:rPr>
        <w:t>41.460 millones de €</w:t>
      </w:r>
      <w:r>
        <w:rPr>
          <w:rFonts w:ascii="Open Sans" w:hAnsi="Open Sans" w:cs="Open Sans"/>
          <w:color w:val="000000"/>
          <w:sz w:val="20"/>
          <w:szCs w:val="20"/>
        </w:rPr>
        <w:t xml:space="preserve">, </w:t>
      </w:r>
      <w:r>
        <w:rPr>
          <w:rFonts w:ascii="Open Sans" w:hAnsi="Open Sans" w:cs="Arial"/>
          <w:sz w:val="20"/>
          <w:szCs w:val="20"/>
        </w:rPr>
        <w:t>un</w:t>
      </w:r>
      <w:r w:rsidRPr="00646218">
        <w:rPr>
          <w:rFonts w:ascii="Open Sans" w:hAnsi="Open Sans" w:cs="Arial"/>
          <w:sz w:val="20"/>
          <w:szCs w:val="20"/>
        </w:rPr>
        <w:t xml:space="preserve"> EBITDA </w:t>
      </w:r>
      <w:r>
        <w:rPr>
          <w:rFonts w:ascii="Open Sans" w:hAnsi="Open Sans" w:cs="Arial"/>
          <w:sz w:val="20"/>
          <w:szCs w:val="20"/>
        </w:rPr>
        <w:t>de</w:t>
      </w:r>
      <w:r w:rsidRPr="00646218">
        <w:rPr>
          <w:rFonts w:ascii="Open Sans" w:hAnsi="Open Sans" w:cs="Arial"/>
          <w:sz w:val="20"/>
          <w:szCs w:val="20"/>
        </w:rPr>
        <w:t xml:space="preserve"> 4.317 millones de euros</w:t>
      </w:r>
      <w:r>
        <w:rPr>
          <w:rFonts w:ascii="Open Sans" w:hAnsi="Open Sans" w:cs="Arial"/>
          <w:sz w:val="20"/>
          <w:szCs w:val="20"/>
        </w:rPr>
        <w:t xml:space="preserve"> y unas pérdidas contables antes de impuestos de 2.084 millones de euros. El saldo consolidado del impuesto sobre beneficios fue favorable para el Grupo, suponiendo </w:t>
      </w:r>
      <w:r w:rsidRPr="00A529DF">
        <w:rPr>
          <w:rFonts w:ascii="Open Sans" w:hAnsi="Open Sans" w:cs="Arial"/>
          <w:sz w:val="20"/>
          <w:szCs w:val="20"/>
        </w:rPr>
        <w:t>un ingreso de 899 millones de euros.</w:t>
      </w:r>
      <w:r>
        <w:rPr>
          <w:rFonts w:ascii="Open Sans" w:hAnsi="Open Sans" w:cs="Arial"/>
          <w:sz w:val="20"/>
          <w:szCs w:val="20"/>
        </w:rPr>
        <w:t xml:space="preserve"> </w:t>
      </w:r>
    </w:p>
    <w:p w14:paraId="0746ACBF" w14:textId="77777777" w:rsidR="00903D51" w:rsidRDefault="00903D51" w:rsidP="00903D51">
      <w:pPr>
        <w:jc w:val="both"/>
        <w:rPr>
          <w:rFonts w:ascii="Open Sans" w:hAnsi="Open Sans" w:cs="Arial"/>
          <w:sz w:val="20"/>
          <w:szCs w:val="20"/>
          <w:u w:val="single"/>
        </w:rPr>
      </w:pPr>
    </w:p>
    <w:p w14:paraId="3D5DC6C5" w14:textId="77777777" w:rsidR="00903D51" w:rsidRDefault="00903D51" w:rsidP="00903D51">
      <w:pPr>
        <w:jc w:val="both"/>
        <w:rPr>
          <w:rFonts w:ascii="Open Sans" w:hAnsi="Open Sans" w:cs="Arial"/>
          <w:sz w:val="20"/>
          <w:szCs w:val="20"/>
          <w:u w:val="single"/>
        </w:rPr>
      </w:pPr>
    </w:p>
    <w:p w14:paraId="519F53EC" w14:textId="77777777" w:rsidR="00903D51" w:rsidRPr="00EE1EF7" w:rsidRDefault="00903D51" w:rsidP="00903D51">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68637533" w14:textId="77777777" w:rsidR="00903D51" w:rsidRPr="00EE1EF7" w:rsidRDefault="00903D51" w:rsidP="00903D51">
      <w:pPr>
        <w:jc w:val="both"/>
        <w:rPr>
          <w:rFonts w:ascii="Open Sans" w:hAnsi="Open Sans" w:cs="Arial"/>
          <w:sz w:val="20"/>
          <w:szCs w:val="20"/>
          <w:u w:val="single"/>
        </w:rPr>
      </w:pPr>
    </w:p>
    <w:p w14:paraId="4A941804" w14:textId="77777777" w:rsidR="00903D51" w:rsidRPr="00EE1EF7" w:rsidRDefault="00903D51" w:rsidP="00903D51">
      <w:pPr>
        <w:jc w:val="both"/>
        <w:rPr>
          <w:rFonts w:ascii="Open Sans" w:hAnsi="Open Sans" w:cs="Arial"/>
          <w:sz w:val="20"/>
          <w:szCs w:val="20"/>
        </w:rPr>
      </w:pPr>
      <w:r>
        <w:rPr>
          <w:rFonts w:ascii="Open Sans" w:hAnsi="Open Sans" w:cs="Arial"/>
          <w:sz w:val="20"/>
          <w:szCs w:val="20"/>
        </w:rPr>
        <w:t>Repsol</w:t>
      </w:r>
      <w:r w:rsidRPr="00EE1EF7">
        <w:rPr>
          <w:rFonts w:ascii="Open Sans" w:hAnsi="Open Sans" w:cs="Arial"/>
          <w:sz w:val="20"/>
          <w:szCs w:val="20"/>
        </w:rPr>
        <w:t xml:space="preserve"> </w:t>
      </w:r>
      <w:r>
        <w:rPr>
          <w:rFonts w:ascii="Open Sans" w:hAnsi="Open Sans" w:cs="Arial"/>
          <w:sz w:val="20"/>
          <w:szCs w:val="20"/>
        </w:rPr>
        <w:t>publica su compromiso con</w:t>
      </w:r>
      <w:r w:rsidRPr="00EE1EF7">
        <w:rPr>
          <w:rFonts w:ascii="Open Sans" w:hAnsi="Open Sans" w:cs="Arial"/>
          <w:sz w:val="20"/>
          <w:szCs w:val="20"/>
        </w:rPr>
        <w:t xml:space="preserve"> los siguientes estándares relacionados con </w:t>
      </w:r>
      <w:r>
        <w:rPr>
          <w:rFonts w:ascii="Open Sans" w:hAnsi="Open Sans" w:cs="Arial"/>
          <w:sz w:val="20"/>
          <w:szCs w:val="20"/>
        </w:rPr>
        <w:t>la transparencia</w:t>
      </w:r>
      <w:r w:rsidRPr="00EE1EF7">
        <w:rPr>
          <w:rFonts w:ascii="Open Sans" w:hAnsi="Open Sans" w:cs="Arial"/>
          <w:sz w:val="20"/>
          <w:szCs w:val="20"/>
        </w:rPr>
        <w:t xml:space="preserve"> y </w:t>
      </w:r>
      <w:r>
        <w:rPr>
          <w:rFonts w:ascii="Open Sans" w:hAnsi="Open Sans" w:cs="Arial"/>
          <w:sz w:val="20"/>
          <w:szCs w:val="20"/>
        </w:rPr>
        <w:t xml:space="preserve">la </w:t>
      </w:r>
      <w:r w:rsidRPr="00EE1EF7">
        <w:rPr>
          <w:rFonts w:ascii="Open Sans" w:hAnsi="Open Sans" w:cs="Arial"/>
          <w:sz w:val="20"/>
          <w:szCs w:val="20"/>
        </w:rPr>
        <w:t xml:space="preserve">gestión de </w:t>
      </w:r>
      <w:r>
        <w:rPr>
          <w:rFonts w:ascii="Open Sans" w:hAnsi="Open Sans" w:cs="Arial"/>
          <w:sz w:val="20"/>
          <w:szCs w:val="20"/>
        </w:rPr>
        <w:t>una fiscalidad responsable</w:t>
      </w:r>
      <w:r w:rsidRPr="00EE1EF7">
        <w:rPr>
          <w:rFonts w:ascii="Open Sans" w:hAnsi="Open Sans" w:cs="Arial"/>
          <w:sz w:val="20"/>
          <w:szCs w:val="20"/>
        </w:rPr>
        <w:t>:</w:t>
      </w:r>
    </w:p>
    <w:p w14:paraId="2E6A4046" w14:textId="77777777" w:rsidR="00903D51" w:rsidRPr="00EE1EF7" w:rsidRDefault="00903D51" w:rsidP="00903D51">
      <w:pPr>
        <w:jc w:val="both"/>
        <w:rPr>
          <w:rFonts w:ascii="Open Sans" w:hAnsi="Open Sans" w:cs="Arial"/>
          <w:sz w:val="20"/>
          <w:szCs w:val="20"/>
        </w:rPr>
      </w:pPr>
    </w:p>
    <w:p w14:paraId="3D3089B5" w14:textId="77777777" w:rsidR="00903D51" w:rsidRDefault="00903D51" w:rsidP="00903D51">
      <w:pPr>
        <w:numPr>
          <w:ilvl w:val="0"/>
          <w:numId w:val="12"/>
        </w:numPr>
        <w:jc w:val="both"/>
        <w:rPr>
          <w:rFonts w:ascii="Open Sans" w:hAnsi="Open Sans" w:cs="Arial"/>
          <w:sz w:val="20"/>
          <w:szCs w:val="20"/>
        </w:rPr>
      </w:pPr>
      <w:r w:rsidRPr="00CC2A9A">
        <w:rPr>
          <w:rFonts w:ascii="Open Sans" w:hAnsi="Open Sans" w:cs="Arial"/>
          <w:sz w:val="20"/>
          <w:szCs w:val="20"/>
        </w:rPr>
        <w:t>Código de Buenas Prácticas Tributarias promovido por el Foro de Grandes Empresas y la Agencia Tributaria</w:t>
      </w:r>
      <w:r>
        <w:rPr>
          <w:rFonts w:ascii="Open Sans" w:hAnsi="Open Sans" w:cs="Arial"/>
          <w:sz w:val="20"/>
          <w:szCs w:val="20"/>
        </w:rPr>
        <w:t xml:space="preserve"> (adherida desde e</w:t>
      </w:r>
      <w:r w:rsidRPr="00CC2A9A">
        <w:rPr>
          <w:rFonts w:ascii="Open Sans" w:hAnsi="Open Sans" w:cs="Arial"/>
          <w:sz w:val="20"/>
          <w:szCs w:val="20"/>
        </w:rPr>
        <w:t>l 23 de</w:t>
      </w:r>
      <w:r>
        <w:rPr>
          <w:rFonts w:ascii="Open Sans" w:hAnsi="Open Sans" w:cs="Arial"/>
          <w:sz w:val="20"/>
          <w:szCs w:val="20"/>
        </w:rPr>
        <w:t xml:space="preserve"> septiembre de 2010).</w:t>
      </w:r>
    </w:p>
    <w:p w14:paraId="0A1FBB26" w14:textId="77777777" w:rsidR="00903D51" w:rsidRDefault="00903D51" w:rsidP="00903D51">
      <w:pPr>
        <w:numPr>
          <w:ilvl w:val="0"/>
          <w:numId w:val="12"/>
        </w:numPr>
        <w:jc w:val="both"/>
        <w:rPr>
          <w:rFonts w:ascii="Open Sans" w:hAnsi="Open Sans" w:cs="Arial"/>
          <w:sz w:val="20"/>
          <w:szCs w:val="20"/>
        </w:rPr>
      </w:pPr>
      <w:r>
        <w:rPr>
          <w:rFonts w:ascii="Open Sans" w:hAnsi="Open Sans" w:cs="Arial"/>
          <w:sz w:val="20"/>
          <w:szCs w:val="20"/>
        </w:rPr>
        <w:t xml:space="preserve">Principios contenidos en el </w:t>
      </w:r>
      <w:r w:rsidRPr="00007837">
        <w:rPr>
          <w:rFonts w:ascii="Open Sans" w:hAnsi="Open Sans" w:cs="Arial"/>
          <w:sz w:val="20"/>
          <w:szCs w:val="20"/>
        </w:rPr>
        <w:t>BIAC Statement of Tax Principles for International Business</w:t>
      </w:r>
      <w:r>
        <w:rPr>
          <w:rFonts w:ascii="Open Sans" w:hAnsi="Open Sans" w:cs="Arial"/>
          <w:sz w:val="20"/>
          <w:szCs w:val="20"/>
        </w:rPr>
        <w:t>).</w:t>
      </w:r>
    </w:p>
    <w:p w14:paraId="7E5B64D6" w14:textId="77777777" w:rsidR="00903D51" w:rsidRDefault="00903D51" w:rsidP="00903D51">
      <w:pPr>
        <w:jc w:val="both"/>
        <w:rPr>
          <w:rFonts w:ascii="Open Sans" w:hAnsi="Open Sans" w:cs="Arial"/>
          <w:sz w:val="20"/>
          <w:szCs w:val="20"/>
          <w:u w:val="single"/>
        </w:rPr>
      </w:pPr>
    </w:p>
    <w:p w14:paraId="13386340" w14:textId="77777777" w:rsidR="00903D51" w:rsidRPr="00EE1EF7" w:rsidRDefault="00903D51" w:rsidP="00903D51">
      <w:pPr>
        <w:jc w:val="both"/>
        <w:rPr>
          <w:rFonts w:ascii="Open Sans" w:hAnsi="Open Sans" w:cs="Arial"/>
          <w:sz w:val="20"/>
          <w:szCs w:val="20"/>
          <w:u w:val="single"/>
        </w:rPr>
      </w:pPr>
    </w:p>
    <w:p w14:paraId="75444B50" w14:textId="77777777" w:rsidR="00903D51" w:rsidRPr="00EE1EF7" w:rsidRDefault="00903D51" w:rsidP="00903D51">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580A3DB0" w14:textId="77777777" w:rsidR="00903D51" w:rsidRPr="00EE1EF7" w:rsidRDefault="00903D51" w:rsidP="00903D51">
      <w:pPr>
        <w:ind w:firstLine="709"/>
        <w:jc w:val="both"/>
        <w:rPr>
          <w:rFonts w:ascii="Open Sans" w:hAnsi="Open Sans" w:cs="Arial"/>
          <w:sz w:val="20"/>
          <w:szCs w:val="20"/>
        </w:rPr>
      </w:pPr>
    </w:p>
    <w:p w14:paraId="1BED6BEC" w14:textId="77777777" w:rsidR="00903D51" w:rsidRPr="00EE1EF7" w:rsidRDefault="00903D51" w:rsidP="00903D51">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7E51EE2F" w14:textId="77777777" w:rsidR="00903D51" w:rsidRPr="00732FD5" w:rsidRDefault="00903D51" w:rsidP="00903D51">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3982"/>
        <w:gridCol w:w="4536"/>
      </w:tblGrid>
      <w:tr w:rsidR="00903D51" w:rsidRPr="006760BD" w14:paraId="7CE9870C" w14:textId="77777777" w:rsidTr="00903D51">
        <w:trPr>
          <w:trHeight w:val="327"/>
        </w:trPr>
        <w:tc>
          <w:tcPr>
            <w:tcW w:w="3982"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282B7CC8" w14:textId="77777777" w:rsidR="00903D51" w:rsidRPr="00A33975" w:rsidRDefault="00903D51" w:rsidP="00903D51">
            <w:pPr>
              <w:jc w:val="center"/>
              <w:rPr>
                <w:rFonts w:ascii="Open Sans" w:hAnsi="Open Sans" w:cs="Arial"/>
                <w:b/>
                <w:sz w:val="20"/>
                <w:szCs w:val="20"/>
              </w:rPr>
            </w:pPr>
            <w:r w:rsidRPr="00A33975">
              <w:rPr>
                <w:rFonts w:ascii="Open Sans" w:hAnsi="Open Sans" w:cs="Arial"/>
                <w:b/>
                <w:sz w:val="20"/>
                <w:szCs w:val="20"/>
              </w:rPr>
              <w:t>DOCUMENTACIÓN</w:t>
            </w:r>
          </w:p>
        </w:tc>
        <w:tc>
          <w:tcPr>
            <w:tcW w:w="4536"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275EDA4D" w14:textId="77777777" w:rsidR="00903D51" w:rsidRPr="00A33975" w:rsidRDefault="00903D51" w:rsidP="00903D51">
            <w:pPr>
              <w:jc w:val="center"/>
              <w:rPr>
                <w:rFonts w:ascii="Open Sans" w:hAnsi="Open Sans" w:cs="Arial"/>
                <w:b/>
                <w:sz w:val="20"/>
                <w:szCs w:val="20"/>
              </w:rPr>
            </w:pPr>
            <w:r w:rsidRPr="00A33975">
              <w:rPr>
                <w:rFonts w:ascii="Open Sans" w:hAnsi="Open Sans" w:cs="Arial"/>
                <w:b/>
                <w:sz w:val="20"/>
                <w:szCs w:val="20"/>
              </w:rPr>
              <w:t>OBSERVACIONES</w:t>
            </w:r>
          </w:p>
        </w:tc>
      </w:tr>
      <w:tr w:rsidR="00903D51" w:rsidRPr="006760BD" w14:paraId="7480D096"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25EED7B7"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Cuentas anuales e informe de auditoría consolidados</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56D640CD" w14:textId="77777777" w:rsidR="00903D51" w:rsidRPr="006760BD" w:rsidRDefault="00903D51" w:rsidP="00903D51">
            <w:pPr>
              <w:jc w:val="both"/>
              <w:rPr>
                <w:rFonts w:ascii="Open Sans" w:eastAsia="Arial Unicode MS" w:hAnsi="Open Sans" w:cs="Arial"/>
                <w:sz w:val="16"/>
                <w:szCs w:val="16"/>
              </w:rPr>
            </w:pPr>
          </w:p>
        </w:tc>
      </w:tr>
      <w:tr w:rsidR="00903D51" w:rsidRPr="006760BD" w14:paraId="0D178260"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0CCEFBB6"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Informe de Sostenibilidad</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7B9B3A46" w14:textId="77777777" w:rsidR="00903D51" w:rsidRPr="006760BD" w:rsidRDefault="00903D51" w:rsidP="00903D51">
            <w:pPr>
              <w:jc w:val="both"/>
              <w:rPr>
                <w:rFonts w:ascii="Open Sans" w:eastAsia="Arial Unicode MS" w:hAnsi="Open Sans" w:cs="Arial"/>
                <w:sz w:val="16"/>
                <w:szCs w:val="16"/>
              </w:rPr>
            </w:pPr>
          </w:p>
        </w:tc>
      </w:tr>
      <w:tr w:rsidR="00903D51" w:rsidRPr="006760BD" w14:paraId="329C25E0"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59F1426A"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Informe Anual de Gobierno Corporativo</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178DB66D" w14:textId="77777777" w:rsidR="00903D51" w:rsidRPr="006760BD" w:rsidRDefault="00903D51" w:rsidP="00903D51">
            <w:pPr>
              <w:jc w:val="both"/>
              <w:rPr>
                <w:rFonts w:ascii="Open Sans" w:eastAsia="Arial Unicode MS" w:hAnsi="Open Sans" w:cs="Arial"/>
                <w:sz w:val="16"/>
                <w:szCs w:val="16"/>
              </w:rPr>
            </w:pPr>
          </w:p>
        </w:tc>
      </w:tr>
      <w:tr w:rsidR="00903D51" w:rsidRPr="006760BD" w14:paraId="35A4D3BA"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2B65D7A5"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Memoria de actividades de la Comisión de Auditoría y Control</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7D0EA38A" w14:textId="77777777" w:rsidR="00903D51" w:rsidRPr="006760BD" w:rsidRDefault="00903D51" w:rsidP="00903D51">
            <w:pPr>
              <w:jc w:val="both"/>
              <w:rPr>
                <w:rFonts w:ascii="Open Sans" w:eastAsia="Arial Unicode MS" w:hAnsi="Open Sans" w:cs="Arial"/>
                <w:sz w:val="16"/>
                <w:szCs w:val="16"/>
              </w:rPr>
            </w:pPr>
          </w:p>
        </w:tc>
      </w:tr>
      <w:tr w:rsidR="00903D51" w:rsidRPr="006760BD" w14:paraId="3C6546A1"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0F5B644F"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Informe de Gestión Consolidado</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4023E717" w14:textId="77777777" w:rsidR="00903D51" w:rsidRPr="006760BD" w:rsidRDefault="00903D51" w:rsidP="00903D51">
            <w:pPr>
              <w:jc w:val="both"/>
              <w:rPr>
                <w:rFonts w:ascii="Open Sans" w:eastAsia="Arial Unicode MS" w:hAnsi="Open Sans" w:cs="Arial"/>
                <w:sz w:val="16"/>
                <w:szCs w:val="16"/>
              </w:rPr>
            </w:pPr>
          </w:p>
        </w:tc>
      </w:tr>
      <w:tr w:rsidR="00903D51" w:rsidRPr="006760BD" w14:paraId="14E4E959"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14537033"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Web corporativa - Apartado sobre Fiscalidad</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6004029B" w14:textId="77777777" w:rsidR="00903D51" w:rsidRPr="006760BD" w:rsidRDefault="00903D51" w:rsidP="00903D51">
            <w:pPr>
              <w:jc w:val="both"/>
              <w:rPr>
                <w:rFonts w:ascii="Open Sans" w:eastAsia="Arial Unicode MS" w:hAnsi="Open Sans" w:cs="Arial"/>
                <w:sz w:val="16"/>
                <w:szCs w:val="16"/>
              </w:rPr>
            </w:pPr>
          </w:p>
        </w:tc>
      </w:tr>
      <w:tr w:rsidR="00903D51" w:rsidRPr="006760BD" w14:paraId="5E3AABF2" w14:textId="77777777" w:rsidTr="00903D51">
        <w:trPr>
          <w:trHeight w:val="179"/>
        </w:trPr>
        <w:tc>
          <w:tcPr>
            <w:tcW w:w="3982"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2CD8CA88" w14:textId="77777777" w:rsidR="00903D51" w:rsidRPr="00A33975" w:rsidRDefault="00903D51" w:rsidP="00903D51">
            <w:pPr>
              <w:rPr>
                <w:rFonts w:ascii="Open Sans" w:hAnsi="Open Sans" w:cs="Tahoma"/>
                <w:sz w:val="20"/>
                <w:szCs w:val="20"/>
              </w:rPr>
            </w:pPr>
            <w:r w:rsidRPr="00A33975">
              <w:rPr>
                <w:rFonts w:ascii="Open Sans" w:hAnsi="Open Sans" w:cs="Tahoma"/>
                <w:sz w:val="20"/>
                <w:szCs w:val="20"/>
              </w:rPr>
              <w:t>Reglamento del Consejo de Administración</w:t>
            </w:r>
            <w:r w:rsidRPr="00A33975">
              <w:rPr>
                <w:rFonts w:ascii="Open Sans" w:hAnsi="Open Sans" w:cs="Tahoma"/>
                <w:sz w:val="20"/>
                <w:szCs w:val="20"/>
              </w:rPr>
              <w:br/>
              <w:t>(última modificación 27 julio 2016)</w:t>
            </w:r>
          </w:p>
        </w:tc>
        <w:tc>
          <w:tcPr>
            <w:tcW w:w="4536"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13DE9D06" w14:textId="77777777" w:rsidR="00903D51" w:rsidRPr="006760BD" w:rsidRDefault="00903D51" w:rsidP="00903D51">
            <w:pPr>
              <w:jc w:val="both"/>
              <w:rPr>
                <w:rFonts w:ascii="Open Sans" w:eastAsia="Arial Unicode MS" w:hAnsi="Open Sans" w:cs="Arial"/>
                <w:sz w:val="16"/>
                <w:szCs w:val="16"/>
              </w:rPr>
            </w:pPr>
          </w:p>
        </w:tc>
      </w:tr>
    </w:tbl>
    <w:p w14:paraId="0BE348AC" w14:textId="77777777" w:rsidR="00903D51" w:rsidRDefault="00903D51" w:rsidP="00903D51">
      <w:pPr>
        <w:jc w:val="both"/>
        <w:rPr>
          <w:rFonts w:ascii="Open Sans" w:hAnsi="Open Sans" w:cs="Arial"/>
          <w:b/>
        </w:rPr>
      </w:pPr>
    </w:p>
    <w:p w14:paraId="29679539" w14:textId="77777777" w:rsidR="00903D51" w:rsidRDefault="00903D51" w:rsidP="00903D51">
      <w:pPr>
        <w:rPr>
          <w:rFonts w:ascii="Open Sans" w:hAnsi="Open Sans" w:cs="Arial"/>
          <w:b/>
        </w:rPr>
      </w:pPr>
      <w:r>
        <w:rPr>
          <w:rFonts w:ascii="Open Sans" w:hAnsi="Open Sans" w:cs="Arial"/>
          <w:b/>
        </w:rPr>
        <w:br w:type="page"/>
      </w:r>
    </w:p>
    <w:p w14:paraId="05D48207" w14:textId="77777777" w:rsidR="00903D51" w:rsidRPr="00732FD5" w:rsidRDefault="00903D51" w:rsidP="00903D51">
      <w:pPr>
        <w:jc w:val="both"/>
        <w:rPr>
          <w:rFonts w:ascii="Open Sans" w:hAnsi="Open Sans" w:cs="Arial"/>
          <w:b/>
        </w:rPr>
      </w:pPr>
    </w:p>
    <w:p w14:paraId="448D039C" w14:textId="77777777" w:rsidR="00903D51" w:rsidRPr="00EE1EF7" w:rsidRDefault="00903D51" w:rsidP="00903D51">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70D052EF" w14:textId="77777777" w:rsidR="00903D51" w:rsidRDefault="00903D51" w:rsidP="00903D51">
      <w:pPr>
        <w:jc w:val="center"/>
        <w:rPr>
          <w:rFonts w:ascii="Open Sans" w:hAnsi="Open Sans" w:cs="Arial"/>
          <w:b/>
          <w:color w:val="FF0000"/>
          <w:sz w:val="22"/>
          <w:szCs w:val="22"/>
        </w:rPr>
      </w:pPr>
    </w:p>
    <w:p w14:paraId="030A7DCF" w14:textId="77777777" w:rsidR="00903D51" w:rsidRDefault="00903D51" w:rsidP="00903D51">
      <w:pPr>
        <w:jc w:val="center"/>
        <w:rPr>
          <w:rFonts w:ascii="Open Sans" w:hAnsi="Open Sans" w:cs="Arial"/>
          <w:b/>
          <w:color w:val="FF0000"/>
          <w:sz w:val="22"/>
          <w:szCs w:val="22"/>
        </w:rPr>
      </w:pPr>
    </w:p>
    <w:p w14:paraId="44891FBA" w14:textId="77777777" w:rsidR="00903D51" w:rsidRPr="007829A9" w:rsidRDefault="00903D51" w:rsidP="00903D51">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5B92FEE2" w14:textId="77777777" w:rsidR="00903D51" w:rsidRPr="00732FD5" w:rsidRDefault="00903D51" w:rsidP="00903D51">
      <w:pPr>
        <w:rPr>
          <w:rFonts w:ascii="Open Sans" w:hAnsi="Open Sans" w:cs="Arial"/>
          <w:b/>
        </w:rPr>
      </w:pPr>
    </w:p>
    <w:p w14:paraId="31490C8E" w14:textId="77777777" w:rsidR="00903D51" w:rsidRDefault="00903D51" w:rsidP="00903D51">
      <w:pPr>
        <w:jc w:val="center"/>
      </w:pPr>
      <w:r w:rsidRPr="00267783">
        <w:rPr>
          <w:noProof/>
          <w:lang w:val="es-ES"/>
        </w:rPr>
        <w:drawing>
          <wp:inline distT="0" distB="0" distL="0" distR="0" wp14:anchorId="01124F96" wp14:editId="3683DD99">
            <wp:extent cx="3686810" cy="177038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a:ext>
                      </a:extLst>
                    </a:blip>
                    <a:srcRect/>
                    <a:stretch>
                      <a:fillRect/>
                    </a:stretch>
                  </pic:blipFill>
                  <pic:spPr bwMode="auto">
                    <a:xfrm>
                      <a:off x="0" y="0"/>
                      <a:ext cx="3686810" cy="1770380"/>
                    </a:xfrm>
                    <a:prstGeom prst="rect">
                      <a:avLst/>
                    </a:prstGeom>
                    <a:noFill/>
                    <a:ln>
                      <a:noFill/>
                    </a:ln>
                  </pic:spPr>
                </pic:pic>
              </a:graphicData>
            </a:graphic>
          </wp:inline>
        </w:drawing>
      </w:r>
    </w:p>
    <w:p w14:paraId="5A735F01" w14:textId="77777777" w:rsidR="00903D51" w:rsidRDefault="00903D51" w:rsidP="00903D51">
      <w:pPr>
        <w:jc w:val="both"/>
      </w:pPr>
    </w:p>
    <w:p w14:paraId="171084C7" w14:textId="77777777" w:rsidR="00903D51" w:rsidRDefault="00903D51" w:rsidP="00903D51">
      <w:pPr>
        <w:rPr>
          <w:rFonts w:ascii="Open Sans" w:hAnsi="Open Sans" w:cs="Arial"/>
          <w:b/>
        </w:rPr>
      </w:pPr>
    </w:p>
    <w:p w14:paraId="6FC290D8" w14:textId="77777777" w:rsidR="00903D51" w:rsidRPr="00732FD5" w:rsidRDefault="00903D51" w:rsidP="00903D51">
      <w:pPr>
        <w:rPr>
          <w:rFonts w:ascii="Open Sans" w:hAnsi="Open Sans" w:cs="Arial"/>
          <w:b/>
        </w:rPr>
      </w:pPr>
    </w:p>
    <w:p w14:paraId="163BA469" w14:textId="77777777" w:rsidR="00903D51" w:rsidRPr="00EE1EF7" w:rsidRDefault="00903D51" w:rsidP="00903D51">
      <w:pPr>
        <w:jc w:val="both"/>
        <w:rPr>
          <w:rFonts w:ascii="Open Sans" w:hAnsi="Open Sans" w:cs="Arial"/>
          <w:b/>
          <w:sz w:val="22"/>
          <w:szCs w:val="22"/>
        </w:rPr>
      </w:pPr>
      <w:r w:rsidRPr="00EE1EF7">
        <w:rPr>
          <w:rFonts w:ascii="Open Sans" w:hAnsi="Open Sans" w:cs="Arial"/>
          <w:b/>
          <w:sz w:val="22"/>
          <w:szCs w:val="22"/>
          <w:u w:val="single"/>
        </w:rPr>
        <w:t>3. Contexto general</w:t>
      </w:r>
    </w:p>
    <w:p w14:paraId="091EFFE1" w14:textId="77777777" w:rsidR="00903D51" w:rsidRPr="00732FD5" w:rsidRDefault="00903D51" w:rsidP="00903D51">
      <w:pPr>
        <w:jc w:val="both"/>
        <w:rPr>
          <w:rFonts w:ascii="Open Sans" w:hAnsi="Open Sans" w:cs="Arial"/>
          <w:b/>
        </w:rPr>
      </w:pPr>
    </w:p>
    <w:p w14:paraId="054B02E7" w14:textId="77777777" w:rsidR="00903D51" w:rsidRDefault="00903D51" w:rsidP="00903D51">
      <w:pPr>
        <w:autoSpaceDE w:val="0"/>
        <w:autoSpaceDN w:val="0"/>
        <w:adjustRightInd w:val="0"/>
        <w:jc w:val="both"/>
        <w:rPr>
          <w:rFonts w:ascii="Open Sans" w:hAnsi="Open Sans"/>
          <w:sz w:val="20"/>
          <w:szCs w:val="20"/>
        </w:rPr>
      </w:pPr>
      <w:r w:rsidRPr="006F6D72">
        <w:rPr>
          <w:rFonts w:ascii="Open Sans" w:hAnsi="Open Sans"/>
          <w:sz w:val="20"/>
          <w:szCs w:val="20"/>
        </w:rPr>
        <w:t>El Grupo Repsol está formado por un elevado número de empresas presentes en más de 50 países que se dedican, fundamentalmente</w:t>
      </w:r>
      <w:r>
        <w:rPr>
          <w:rFonts w:ascii="Open Sans" w:hAnsi="Open Sans"/>
          <w:sz w:val="20"/>
          <w:szCs w:val="20"/>
        </w:rPr>
        <w:t>,</w:t>
      </w:r>
      <w:r w:rsidRPr="006F6D72">
        <w:rPr>
          <w:rFonts w:ascii="Open Sans" w:hAnsi="Open Sans"/>
          <w:sz w:val="20"/>
          <w:szCs w:val="20"/>
        </w:rPr>
        <w:t xml:space="preserve"> a actividades </w:t>
      </w:r>
      <w:r>
        <w:rPr>
          <w:rFonts w:ascii="Open Sans" w:hAnsi="Open Sans"/>
          <w:sz w:val="20"/>
          <w:szCs w:val="20"/>
        </w:rPr>
        <w:t xml:space="preserve">relacionadas con la exploración, producción, distribución y comercialización de hidrocarburos. Tanto el tipo de actividad llevada a cabo como los países en los que están presentes las empresas del grupo, requieren una gestión especialmente responsable de su fiscalidad y un alto grado de transparencia. </w:t>
      </w:r>
    </w:p>
    <w:p w14:paraId="29BB192F" w14:textId="77777777" w:rsidR="00903D51" w:rsidRDefault="00903D51" w:rsidP="00903D51">
      <w:pPr>
        <w:autoSpaceDE w:val="0"/>
        <w:autoSpaceDN w:val="0"/>
        <w:adjustRightInd w:val="0"/>
        <w:jc w:val="both"/>
        <w:rPr>
          <w:rFonts w:ascii="Open Sans" w:hAnsi="Open Sans" w:cs="Open Sans"/>
          <w:sz w:val="20"/>
          <w:szCs w:val="20"/>
        </w:rPr>
      </w:pPr>
    </w:p>
    <w:p w14:paraId="09C1DB92" w14:textId="77777777" w:rsidR="00903D51" w:rsidRPr="002A464E" w:rsidRDefault="00903D51" w:rsidP="00903D51">
      <w:pPr>
        <w:jc w:val="both"/>
        <w:rPr>
          <w:rFonts w:ascii="Open Sans" w:hAnsi="Open Sans" w:cs="Open Sans"/>
          <w:sz w:val="20"/>
          <w:szCs w:val="20"/>
        </w:rPr>
      </w:pPr>
      <w:r w:rsidRPr="002A464E">
        <w:rPr>
          <w:rFonts w:ascii="Open Sans" w:hAnsi="Open Sans" w:cs="Open Sans"/>
          <w:sz w:val="20"/>
          <w:szCs w:val="20"/>
        </w:rPr>
        <w:t>Repsol reconoce una parte de los altos riesgos e impactos fiscales a los que se enfrenta. Concretamente, los relaciona con el hecho de  estar sometida a diversas jurisdicciones y que, como se indica en el Informe de Gestión, además pertenece a unos sectores (el de la energía y el la industria del petróleo) que, «</w:t>
      </w:r>
      <w:r w:rsidRPr="002A464E">
        <w:rPr>
          <w:rFonts w:ascii="Open Sans" w:hAnsi="Open Sans" w:cs="Open Sans"/>
          <w:i/>
          <w:sz w:val="20"/>
          <w:szCs w:val="20"/>
        </w:rPr>
        <w:t>están sometidos a un marco fiscal singular</w:t>
      </w:r>
      <w:r w:rsidRPr="002A464E">
        <w:rPr>
          <w:rFonts w:ascii="Open Sans" w:hAnsi="Open Sans" w:cs="Open Sans"/>
          <w:sz w:val="20"/>
          <w:szCs w:val="20"/>
        </w:rPr>
        <w:t>» ya que «</w:t>
      </w:r>
      <w:r w:rsidRPr="002A464E">
        <w:rPr>
          <w:rFonts w:ascii="Open Sans" w:hAnsi="Open Sans" w:cs="Open Sans"/>
          <w:i/>
          <w:sz w:val="20"/>
          <w:szCs w:val="20"/>
        </w:rPr>
        <w:t>en las actividades de Upstream es frecuente que existan gravámenes específicos sobre el beneficio y la producción, y en lo que se refiere a las actividades de Downstream, también es habitual la existencia de gravámenes sobre el consumo de los productos</w:t>
      </w:r>
      <w:r w:rsidRPr="002A464E">
        <w:rPr>
          <w:rFonts w:ascii="Open Sans" w:hAnsi="Open Sans" w:cs="Open Sans"/>
          <w:sz w:val="20"/>
          <w:szCs w:val="20"/>
        </w:rPr>
        <w:t>».</w:t>
      </w:r>
    </w:p>
    <w:p w14:paraId="6D112C0E" w14:textId="77777777" w:rsidR="00903D51" w:rsidRPr="002A464E" w:rsidRDefault="00903D51" w:rsidP="00903D51">
      <w:pPr>
        <w:autoSpaceDE w:val="0"/>
        <w:autoSpaceDN w:val="0"/>
        <w:adjustRightInd w:val="0"/>
        <w:jc w:val="both"/>
        <w:rPr>
          <w:rFonts w:ascii="Open Sans" w:hAnsi="Open Sans" w:cs="Open Sans"/>
          <w:sz w:val="20"/>
          <w:szCs w:val="20"/>
        </w:rPr>
      </w:pPr>
    </w:p>
    <w:p w14:paraId="46D401E2" w14:textId="77777777" w:rsidR="00903D51" w:rsidRPr="009D1515" w:rsidRDefault="00903D51" w:rsidP="00903D51">
      <w:pPr>
        <w:autoSpaceDE w:val="0"/>
        <w:autoSpaceDN w:val="0"/>
        <w:adjustRightInd w:val="0"/>
        <w:jc w:val="both"/>
        <w:rPr>
          <w:rFonts w:ascii="Open Sans" w:hAnsi="Open Sans" w:cs="Open Sans"/>
          <w:sz w:val="20"/>
          <w:szCs w:val="20"/>
        </w:rPr>
      </w:pPr>
      <w:r w:rsidRPr="002A464E">
        <w:rPr>
          <w:rFonts w:ascii="Open Sans" w:hAnsi="Open Sans" w:cs="Open Sans"/>
          <w:sz w:val="20"/>
          <w:szCs w:val="20"/>
        </w:rPr>
        <w:t xml:space="preserve">No obstante, los riesgos fiscales relacionados con la ubicación de las empresas del grupo y con sus actividades van más allá de los cambios legislativos en materia fiscal y de la complejidad y diversidad de los marcos fiscales a los que están sujetas. La extracción de petróleo y gas suele realizarse en países en vías de desarrollo que no solo dependen de la recaudación impositiva para financiar sanidad, educación e infraestructuras, sino que también son países con altos grados </w:t>
      </w:r>
      <w:r>
        <w:rPr>
          <w:rFonts w:ascii="Open Sans" w:hAnsi="Open Sans" w:cs="Open Sans"/>
          <w:sz w:val="20"/>
          <w:szCs w:val="20"/>
        </w:rPr>
        <w:t xml:space="preserve">de </w:t>
      </w:r>
      <w:r w:rsidRPr="002A464E">
        <w:rPr>
          <w:rFonts w:ascii="Open Sans" w:hAnsi="Open Sans" w:cs="Open Sans"/>
          <w:sz w:val="20"/>
          <w:szCs w:val="20"/>
        </w:rPr>
        <w:t>corrupción.</w:t>
      </w:r>
    </w:p>
    <w:p w14:paraId="4E590B0D" w14:textId="77777777" w:rsidR="00903D51" w:rsidRDefault="00903D51" w:rsidP="00903D51">
      <w:pPr>
        <w:autoSpaceDE w:val="0"/>
        <w:autoSpaceDN w:val="0"/>
        <w:adjustRightInd w:val="0"/>
        <w:jc w:val="both"/>
        <w:rPr>
          <w:rFonts w:ascii="Open Sans" w:hAnsi="Open Sans" w:cs="Open Sans"/>
          <w:sz w:val="20"/>
          <w:szCs w:val="20"/>
        </w:rPr>
      </w:pPr>
    </w:p>
    <w:p w14:paraId="4909C44B" w14:textId="77777777" w:rsidR="00903D51" w:rsidRPr="001A49FA" w:rsidRDefault="00903D51" w:rsidP="00903D51">
      <w:pPr>
        <w:autoSpaceDE w:val="0"/>
        <w:autoSpaceDN w:val="0"/>
        <w:adjustRightInd w:val="0"/>
        <w:jc w:val="both"/>
        <w:rPr>
          <w:rFonts w:ascii="Open Sans" w:hAnsi="Open Sans" w:cs="Open Sans"/>
          <w:sz w:val="20"/>
          <w:szCs w:val="20"/>
        </w:rPr>
      </w:pPr>
      <w:r>
        <w:rPr>
          <w:rFonts w:ascii="Open Sans" w:hAnsi="Open Sans" w:cs="Open Sans"/>
          <w:sz w:val="20"/>
          <w:szCs w:val="20"/>
        </w:rPr>
        <w:t>Por su impacto en las cifras y operativa del grupo uno de los aspectos más relevante que tuvo lugar en el ejercicio analizado fue la compra, completada e</w:t>
      </w:r>
      <w:r w:rsidRPr="001A49FA">
        <w:rPr>
          <w:rFonts w:ascii="Open Sans" w:hAnsi="Open Sans" w:cs="Open Sans"/>
          <w:sz w:val="20"/>
          <w:szCs w:val="20"/>
        </w:rPr>
        <w:t>l 8 de mayo</w:t>
      </w:r>
      <w:r>
        <w:rPr>
          <w:rFonts w:ascii="Open Sans" w:hAnsi="Open Sans" w:cs="Open Sans"/>
          <w:sz w:val="20"/>
          <w:szCs w:val="20"/>
        </w:rPr>
        <w:t xml:space="preserve">, </w:t>
      </w:r>
      <w:r w:rsidRPr="001A49FA">
        <w:rPr>
          <w:rFonts w:ascii="Open Sans" w:hAnsi="Open Sans" w:cs="Open Sans"/>
          <w:sz w:val="20"/>
          <w:szCs w:val="20"/>
        </w:rPr>
        <w:t>de la compañ</w:t>
      </w:r>
      <w:r>
        <w:rPr>
          <w:rFonts w:ascii="Open Sans" w:hAnsi="Open Sans" w:cs="Open Sans"/>
          <w:sz w:val="20"/>
          <w:szCs w:val="20"/>
        </w:rPr>
        <w:t xml:space="preserve">ía canadiense Talisman Energy. Asimismo, también destaca la presentación en </w:t>
      </w:r>
      <w:r w:rsidRPr="001A49FA">
        <w:rPr>
          <w:rFonts w:ascii="Open Sans" w:hAnsi="Open Sans" w:cs="Open Sans"/>
          <w:sz w:val="20"/>
          <w:szCs w:val="20"/>
        </w:rPr>
        <w:t xml:space="preserve">octubre de 2015 </w:t>
      </w:r>
      <w:r>
        <w:rPr>
          <w:rFonts w:ascii="Open Sans" w:hAnsi="Open Sans" w:cs="Open Sans"/>
          <w:sz w:val="20"/>
          <w:szCs w:val="20"/>
        </w:rPr>
        <w:t xml:space="preserve">de un nuevo </w:t>
      </w:r>
      <w:r w:rsidRPr="001A49FA">
        <w:rPr>
          <w:rFonts w:ascii="Open Sans" w:hAnsi="Open Sans" w:cs="Open Sans"/>
          <w:sz w:val="20"/>
          <w:szCs w:val="20"/>
        </w:rPr>
        <w:t>plan estrat</w:t>
      </w:r>
      <w:r>
        <w:rPr>
          <w:rFonts w:ascii="Open Sans" w:hAnsi="Open Sans" w:cs="Open Sans"/>
          <w:sz w:val="20"/>
          <w:szCs w:val="20"/>
        </w:rPr>
        <w:t>égico para el periodo 2016-2020 que según afirma Repsol «</w:t>
      </w:r>
      <w:r w:rsidRPr="001A49FA">
        <w:rPr>
          <w:rFonts w:ascii="Open Sans" w:hAnsi="Open Sans" w:cs="Open Sans"/>
          <w:i/>
          <w:sz w:val="20"/>
          <w:szCs w:val="20"/>
        </w:rPr>
        <w:t>tiene como objetivos fundamentales, incluso en un entorno de bajos precios del crudo y del gas, la creación de valor y el aumento de la resiliencia, definida como la unión de la fortaleza y la capacidad de adaptación a un entorno cada vez más cambiante y complejo</w:t>
      </w:r>
      <w:r>
        <w:rPr>
          <w:rFonts w:ascii="Open Sans" w:hAnsi="Open Sans" w:cs="Open Sans"/>
          <w:sz w:val="20"/>
          <w:szCs w:val="20"/>
        </w:rPr>
        <w:t>».</w:t>
      </w:r>
    </w:p>
    <w:p w14:paraId="16BC5188" w14:textId="77777777" w:rsidR="00903D51" w:rsidRDefault="00903D51" w:rsidP="00903D51">
      <w:pPr>
        <w:autoSpaceDE w:val="0"/>
        <w:autoSpaceDN w:val="0"/>
        <w:adjustRightInd w:val="0"/>
        <w:jc w:val="both"/>
        <w:rPr>
          <w:rFonts w:ascii="Open Sans" w:hAnsi="Open Sans" w:cs="Open Sans"/>
          <w:sz w:val="20"/>
          <w:szCs w:val="20"/>
        </w:rPr>
      </w:pPr>
    </w:p>
    <w:p w14:paraId="5190918B" w14:textId="77777777" w:rsidR="00903D51" w:rsidRPr="001E0292" w:rsidRDefault="00903D51" w:rsidP="00903D51">
      <w:pPr>
        <w:autoSpaceDE w:val="0"/>
        <w:autoSpaceDN w:val="0"/>
        <w:adjustRightInd w:val="0"/>
        <w:jc w:val="both"/>
        <w:rPr>
          <w:rFonts w:ascii="Open Sans" w:hAnsi="Open Sans" w:cs="Open Sans"/>
          <w:sz w:val="20"/>
          <w:szCs w:val="20"/>
        </w:rPr>
      </w:pPr>
      <w:r>
        <w:rPr>
          <w:rFonts w:ascii="Open Sans" w:hAnsi="Open Sans" w:cs="Open Sans"/>
          <w:sz w:val="20"/>
          <w:szCs w:val="20"/>
        </w:rPr>
        <w:t>Por lo que se refiere al ámbito fiscal, Repsol cuenta con una estrategia y política fiscal aprobadas el 25 de noviembre de 2015 en las que se abordan aspectos relacionados con el c</w:t>
      </w:r>
      <w:r w:rsidRPr="009F1D8B">
        <w:rPr>
          <w:rFonts w:ascii="Open Sans" w:hAnsi="Open Sans" w:cs="Open Sans"/>
          <w:bCs/>
          <w:sz w:val="20"/>
          <w:szCs w:val="20"/>
        </w:rPr>
        <w:t xml:space="preserve">umplimiento normativo y pago responsable de los impuestos, </w:t>
      </w:r>
      <w:r>
        <w:rPr>
          <w:rFonts w:ascii="Open Sans" w:hAnsi="Open Sans" w:cs="Open Sans"/>
          <w:bCs/>
          <w:sz w:val="20"/>
          <w:szCs w:val="20"/>
        </w:rPr>
        <w:t>la e</w:t>
      </w:r>
      <w:r w:rsidRPr="009F1D8B">
        <w:rPr>
          <w:rFonts w:ascii="Open Sans" w:hAnsi="Open Sans" w:cs="Open Sans"/>
          <w:bCs/>
          <w:sz w:val="20"/>
          <w:szCs w:val="20"/>
        </w:rPr>
        <w:t xml:space="preserve">ficiencia fiscal y defensa del interés social en los conflictos fiscales, </w:t>
      </w:r>
      <w:r>
        <w:rPr>
          <w:rFonts w:ascii="Open Sans" w:hAnsi="Open Sans" w:cs="Open Sans"/>
          <w:bCs/>
          <w:sz w:val="20"/>
          <w:szCs w:val="20"/>
        </w:rPr>
        <w:t>las r</w:t>
      </w:r>
      <w:r w:rsidRPr="009F1D8B">
        <w:rPr>
          <w:rFonts w:ascii="Open Sans" w:hAnsi="Open Sans" w:cs="Open Sans"/>
          <w:bCs/>
          <w:sz w:val="20"/>
          <w:szCs w:val="20"/>
        </w:rPr>
        <w:t xml:space="preserve">elaciones cooperativas con las administraciones tributarias, evitando conflictos innecesarios, </w:t>
      </w:r>
      <w:r>
        <w:rPr>
          <w:rFonts w:ascii="Open Sans" w:hAnsi="Open Sans" w:cs="Open Sans"/>
          <w:bCs/>
          <w:sz w:val="20"/>
          <w:szCs w:val="20"/>
        </w:rPr>
        <w:t>la p</w:t>
      </w:r>
      <w:r w:rsidRPr="009F1D8B">
        <w:rPr>
          <w:rFonts w:ascii="Open Sans" w:hAnsi="Open Sans" w:cs="Open Sans"/>
          <w:bCs/>
          <w:sz w:val="20"/>
          <w:szCs w:val="20"/>
        </w:rPr>
        <w:t>revención de riesgos fiscales significativos mediante un adecuado sistema de gestión  y control</w:t>
      </w:r>
      <w:r>
        <w:rPr>
          <w:rFonts w:ascii="Open Sans" w:hAnsi="Open Sans" w:cs="Open Sans"/>
          <w:bCs/>
          <w:sz w:val="20"/>
          <w:szCs w:val="20"/>
        </w:rPr>
        <w:t xml:space="preserve"> y la t</w:t>
      </w:r>
      <w:r w:rsidRPr="009F1D8B">
        <w:rPr>
          <w:rFonts w:ascii="Open Sans" w:hAnsi="Open Sans" w:cs="Open Sans"/>
          <w:bCs/>
          <w:sz w:val="20"/>
          <w:szCs w:val="20"/>
        </w:rPr>
        <w:t>ransparencia</w:t>
      </w:r>
      <w:r>
        <w:rPr>
          <w:rFonts w:ascii="Open Sans" w:hAnsi="Open Sans" w:cs="Open Sans"/>
          <w:bCs/>
          <w:sz w:val="20"/>
          <w:szCs w:val="20"/>
        </w:rPr>
        <w:t>. A</w:t>
      </w:r>
      <w:r w:rsidRPr="001E0292">
        <w:rPr>
          <w:rFonts w:ascii="Open Sans" w:hAnsi="Open Sans" w:cs="Open Sans"/>
          <w:sz w:val="20"/>
          <w:szCs w:val="20"/>
        </w:rPr>
        <w:t xml:space="preserve">demás, según </w:t>
      </w:r>
      <w:r>
        <w:rPr>
          <w:rFonts w:ascii="Open Sans" w:hAnsi="Open Sans" w:cs="Open Sans"/>
          <w:sz w:val="20"/>
          <w:szCs w:val="20"/>
        </w:rPr>
        <w:t>refleja</w:t>
      </w:r>
      <w:r w:rsidRPr="001E0292">
        <w:rPr>
          <w:rFonts w:ascii="Open Sans" w:hAnsi="Open Sans" w:cs="Open Sans"/>
          <w:sz w:val="20"/>
          <w:szCs w:val="20"/>
        </w:rPr>
        <w:t xml:space="preserve"> en su Informe de Sostenibilidad, Repsol participa en los siguientes foros e iniciativas </w:t>
      </w:r>
      <w:r>
        <w:rPr>
          <w:rFonts w:ascii="Open Sans" w:hAnsi="Open Sans" w:cs="Open Sans"/>
          <w:sz w:val="20"/>
          <w:szCs w:val="20"/>
        </w:rPr>
        <w:t>relacionados con</w:t>
      </w:r>
      <w:r w:rsidRPr="001E0292">
        <w:rPr>
          <w:rFonts w:ascii="Open Sans" w:hAnsi="Open Sans" w:cs="Open Sans"/>
          <w:sz w:val="20"/>
          <w:szCs w:val="20"/>
        </w:rPr>
        <w:t xml:space="preserve"> la fiscalidad:</w:t>
      </w:r>
    </w:p>
    <w:p w14:paraId="322C51BF" w14:textId="77777777" w:rsidR="00903D51" w:rsidRPr="00BB6394" w:rsidRDefault="00903D51" w:rsidP="00903D51">
      <w:pPr>
        <w:jc w:val="both"/>
        <w:rPr>
          <w:rFonts w:ascii="Open Sans" w:hAnsi="Open Sans" w:cs="Open Sans"/>
          <w:sz w:val="20"/>
          <w:szCs w:val="20"/>
        </w:rPr>
      </w:pPr>
    </w:p>
    <w:p w14:paraId="6948D477" w14:textId="77777777" w:rsidR="00903D51" w:rsidRPr="00BB6394" w:rsidRDefault="00903D51" w:rsidP="00903D51">
      <w:pPr>
        <w:numPr>
          <w:ilvl w:val="0"/>
          <w:numId w:val="12"/>
        </w:numPr>
        <w:autoSpaceDE w:val="0"/>
        <w:autoSpaceDN w:val="0"/>
        <w:adjustRightInd w:val="0"/>
        <w:jc w:val="both"/>
        <w:rPr>
          <w:rFonts w:ascii="Open Sans" w:hAnsi="Open Sans" w:cs="Open Sans"/>
          <w:sz w:val="20"/>
          <w:szCs w:val="20"/>
        </w:rPr>
      </w:pPr>
      <w:r w:rsidRPr="00BB6394">
        <w:rPr>
          <w:rFonts w:ascii="Open Sans" w:eastAsia="Calibri" w:hAnsi="Open Sans" w:cs="Open Sans"/>
          <w:bCs/>
          <w:sz w:val="20"/>
          <w:szCs w:val="20"/>
        </w:rPr>
        <w:t>Foro Tributario de Grandes Empresas (España)</w:t>
      </w:r>
      <w:r w:rsidRPr="00BB6394">
        <w:rPr>
          <w:rFonts w:ascii="Open Sans" w:eastAsia="Calibri" w:hAnsi="Open Sans" w:cs="Open Sans"/>
          <w:sz w:val="20"/>
          <w:szCs w:val="20"/>
        </w:rPr>
        <w:t>, que tiene por misión reforzar la transparencia y confianza en la relación entre la Administración Tributaria y las entidades con el fin de</w:t>
      </w:r>
      <w:r w:rsidRPr="00BB6394">
        <w:rPr>
          <w:rFonts w:ascii="Open Sans" w:hAnsi="Open Sans" w:cs="Open Sans"/>
          <w:sz w:val="20"/>
          <w:szCs w:val="20"/>
        </w:rPr>
        <w:t xml:space="preserve"> </w:t>
      </w:r>
      <w:r w:rsidRPr="00BB6394">
        <w:rPr>
          <w:rFonts w:ascii="Open Sans" w:eastAsia="Calibri" w:hAnsi="Open Sans" w:cs="Open Sans"/>
          <w:sz w:val="20"/>
          <w:szCs w:val="20"/>
        </w:rPr>
        <w:t>cooperar en la mejor gestión del sistema tributario.</w:t>
      </w:r>
    </w:p>
    <w:p w14:paraId="2A0BCF65" w14:textId="77777777" w:rsidR="00903D51" w:rsidRPr="00BB6394" w:rsidRDefault="00903D51" w:rsidP="00903D51">
      <w:pPr>
        <w:numPr>
          <w:ilvl w:val="0"/>
          <w:numId w:val="12"/>
        </w:numPr>
        <w:autoSpaceDE w:val="0"/>
        <w:autoSpaceDN w:val="0"/>
        <w:adjustRightInd w:val="0"/>
        <w:jc w:val="both"/>
        <w:rPr>
          <w:rFonts w:ascii="Open Sans" w:hAnsi="Open Sans" w:cs="Open Sans"/>
          <w:sz w:val="20"/>
          <w:szCs w:val="20"/>
        </w:rPr>
      </w:pPr>
      <w:r w:rsidRPr="00BB6394">
        <w:rPr>
          <w:rFonts w:ascii="Open Sans" w:eastAsia="Calibri" w:hAnsi="Open Sans" w:cs="Open Sans"/>
          <w:bCs/>
          <w:sz w:val="20"/>
          <w:szCs w:val="20"/>
        </w:rPr>
        <w:t>Red de Estandarización Noruega (NORSOK)</w:t>
      </w:r>
      <w:r w:rsidRPr="00BB6394">
        <w:rPr>
          <w:rFonts w:ascii="Open Sans" w:eastAsia="Calibri" w:hAnsi="Open Sans" w:cs="Open Sans"/>
          <w:sz w:val="20"/>
          <w:szCs w:val="20"/>
        </w:rPr>
        <w:t xml:space="preserve"> (Noruega) en la que Repsol forma parte de sus procesos fiscales y de riesgos, uso seguro de herramientas, diseño de procesos, sistemas eléctricos, válvulas y canalización.</w:t>
      </w:r>
    </w:p>
    <w:p w14:paraId="22201A54" w14:textId="77777777" w:rsidR="00903D51" w:rsidRPr="00BB6394" w:rsidRDefault="00903D51" w:rsidP="00903D51">
      <w:pPr>
        <w:numPr>
          <w:ilvl w:val="0"/>
          <w:numId w:val="12"/>
        </w:numPr>
        <w:autoSpaceDE w:val="0"/>
        <w:autoSpaceDN w:val="0"/>
        <w:adjustRightInd w:val="0"/>
        <w:jc w:val="both"/>
        <w:rPr>
          <w:rFonts w:ascii="Open Sans" w:eastAsia="Calibri" w:hAnsi="Open Sans" w:cs="Open Sans"/>
          <w:sz w:val="20"/>
          <w:szCs w:val="20"/>
        </w:rPr>
      </w:pPr>
      <w:r w:rsidRPr="00BB6394">
        <w:rPr>
          <w:rFonts w:ascii="Open Sans" w:eastAsia="Calibri" w:hAnsi="Open Sans" w:cs="Open Sans"/>
          <w:sz w:val="20"/>
          <w:szCs w:val="20"/>
        </w:rPr>
        <w:t>Iniciativa de Transparencia en la Industria Extractiva (</w:t>
      </w:r>
      <w:r w:rsidRPr="00BB6394">
        <w:rPr>
          <w:rFonts w:ascii="Open Sans" w:eastAsia="Calibri" w:hAnsi="Open Sans" w:cs="Open Sans"/>
          <w:bCs/>
          <w:i/>
          <w:iCs/>
          <w:sz w:val="20"/>
          <w:szCs w:val="20"/>
        </w:rPr>
        <w:t xml:space="preserve">Extractive Industries Transparency Initiative </w:t>
      </w:r>
      <w:r w:rsidRPr="00BB6394">
        <w:rPr>
          <w:rFonts w:ascii="Open Sans" w:eastAsia="Calibri" w:hAnsi="Open Sans" w:cs="Open Sans"/>
          <w:bCs/>
          <w:sz w:val="20"/>
          <w:szCs w:val="20"/>
        </w:rPr>
        <w:t>- EITI</w:t>
      </w:r>
      <w:r w:rsidRPr="00BB6394">
        <w:rPr>
          <w:rFonts w:ascii="Open Sans" w:eastAsia="Calibri" w:hAnsi="Open Sans" w:cs="Open Sans"/>
          <w:sz w:val="20"/>
          <w:szCs w:val="20"/>
        </w:rPr>
        <w:t xml:space="preserve">) que tiene el objetivo de impulsar un marco de transparencia en los ingresos que perciben los gobiernos anfitriones de las compañías del sector extractivo que desarrollan actividades en sus territorios. Repsol reporta la información sobre los pagos que ha realizado a los gobiernos de los países que cumplen los requisitos de EITI. </w:t>
      </w:r>
    </w:p>
    <w:p w14:paraId="449ECAAD" w14:textId="77777777" w:rsidR="00903D51" w:rsidRPr="00BB6394" w:rsidRDefault="00903D51" w:rsidP="00903D51">
      <w:pPr>
        <w:numPr>
          <w:ilvl w:val="0"/>
          <w:numId w:val="12"/>
        </w:numPr>
        <w:jc w:val="both"/>
        <w:rPr>
          <w:rFonts w:ascii="Open Sans" w:hAnsi="Open Sans" w:cs="Open Sans"/>
          <w:sz w:val="20"/>
          <w:szCs w:val="20"/>
        </w:rPr>
      </w:pPr>
      <w:r w:rsidRPr="00BB6394">
        <w:rPr>
          <w:rFonts w:ascii="Open Sans" w:hAnsi="Open Sans" w:cs="Open Sans"/>
          <w:sz w:val="20"/>
          <w:szCs w:val="20"/>
        </w:rPr>
        <w:t>ITIC’s Oil and Gas Taxation and Regulatory Dialogue, plataforma para debatir sobre los principios que deberían regir la política fiscal y regulatoria del sector de hidrocarburos en países emergentes. En 2015 organizó en Washington la primera reunión con representantes del Fondo Monetario Internacional, la ONU, y el Banco Mundial.</w:t>
      </w:r>
    </w:p>
    <w:p w14:paraId="1AD2379A" w14:textId="77777777" w:rsidR="00903D51" w:rsidRPr="00BB6394" w:rsidRDefault="00903D51" w:rsidP="00903D51">
      <w:pPr>
        <w:numPr>
          <w:ilvl w:val="0"/>
          <w:numId w:val="12"/>
        </w:numPr>
        <w:jc w:val="both"/>
        <w:rPr>
          <w:rFonts w:ascii="Open Sans" w:hAnsi="Open Sans" w:cs="Open Sans"/>
          <w:sz w:val="20"/>
          <w:szCs w:val="20"/>
        </w:rPr>
      </w:pPr>
      <w:r w:rsidRPr="00BB6394">
        <w:rPr>
          <w:rFonts w:ascii="Open Sans" w:hAnsi="Open Sans" w:cs="Open Sans"/>
          <w:sz w:val="20"/>
          <w:szCs w:val="20"/>
        </w:rPr>
        <w:t>Business and Industry Advisory Committee (BIAC), organización de la comunidad empresarial de los países de la OCDE para contribuir a que la perspectiva de las empresas se tenga en cuenta en los procesos de toma de decisiones de la OCDE. Repsol forma parte del Comité de Inversión y del Comité fiscal, con el que</w:t>
      </w:r>
      <w:r>
        <w:rPr>
          <w:rFonts w:ascii="Open Sans" w:hAnsi="Open Sans" w:cs="Open Sans"/>
          <w:sz w:val="20"/>
          <w:szCs w:val="20"/>
        </w:rPr>
        <w:t xml:space="preserve"> ha</w:t>
      </w:r>
      <w:r w:rsidRPr="00BB6394">
        <w:rPr>
          <w:rFonts w:ascii="Open Sans" w:hAnsi="Open Sans" w:cs="Open Sans"/>
          <w:sz w:val="20"/>
          <w:szCs w:val="20"/>
        </w:rPr>
        <w:t xml:space="preserve"> participado en la consulta pública en materia de precios de transferencia en la sede de la OCDE en París.</w:t>
      </w:r>
    </w:p>
    <w:p w14:paraId="0DABBFE0" w14:textId="77777777" w:rsidR="00903D51" w:rsidRPr="00BB6394" w:rsidRDefault="00903D51" w:rsidP="00903D51">
      <w:pPr>
        <w:numPr>
          <w:ilvl w:val="0"/>
          <w:numId w:val="12"/>
        </w:numPr>
        <w:jc w:val="both"/>
        <w:rPr>
          <w:rFonts w:ascii="Open Sans" w:hAnsi="Open Sans" w:cs="Open Sans"/>
          <w:sz w:val="20"/>
          <w:szCs w:val="20"/>
        </w:rPr>
      </w:pPr>
      <w:r w:rsidRPr="00BB6394">
        <w:rPr>
          <w:rFonts w:ascii="Open Sans" w:hAnsi="Open Sans" w:cs="Open Sans"/>
          <w:sz w:val="20"/>
          <w:szCs w:val="20"/>
        </w:rPr>
        <w:t>Fuels Europe, asociación sectorial en la que Repsol participa en el grupo de trabajo de Tax Issue Group (TIG). Dicho grupo se reúne con carácter bimensual. Se han tratado cuestiones de impuestos especiales que afectan a toda la industria del petróleo, así como la aplicación de los derechos de arancel en determinados residuos atmosféricos de las refinerías.</w:t>
      </w:r>
    </w:p>
    <w:p w14:paraId="10ECBF4E" w14:textId="77777777" w:rsidR="00903D51" w:rsidRPr="00BB6394" w:rsidRDefault="00903D51" w:rsidP="00903D51">
      <w:pPr>
        <w:numPr>
          <w:ilvl w:val="0"/>
          <w:numId w:val="12"/>
        </w:numPr>
        <w:jc w:val="both"/>
        <w:rPr>
          <w:rFonts w:ascii="Open Sans" w:hAnsi="Open Sans" w:cs="Open Sans"/>
          <w:sz w:val="20"/>
          <w:szCs w:val="20"/>
        </w:rPr>
      </w:pPr>
      <w:r w:rsidRPr="00BB6394">
        <w:rPr>
          <w:rFonts w:ascii="Open Sans" w:hAnsi="Open Sans" w:cs="Open Sans"/>
          <w:sz w:val="20"/>
          <w:szCs w:val="20"/>
        </w:rPr>
        <w:t>Subcomité Fiscal de la Industria Extractiva creado por el Comité multistakeholder de Expertos en Cooperación Internacional en Materia Fiscal de Naciones Unidas. Su función es considerar, informar y proponer una guía sobre la tributación de la industria extractiva, principalmente dirigida a los países en desarrollo.</w:t>
      </w:r>
    </w:p>
    <w:p w14:paraId="6573DF63" w14:textId="77777777" w:rsidR="00903D51" w:rsidRPr="00DC5576" w:rsidRDefault="00903D51" w:rsidP="00903D51">
      <w:pPr>
        <w:numPr>
          <w:ilvl w:val="0"/>
          <w:numId w:val="12"/>
        </w:numPr>
        <w:autoSpaceDE w:val="0"/>
        <w:autoSpaceDN w:val="0"/>
        <w:adjustRightInd w:val="0"/>
        <w:jc w:val="both"/>
        <w:rPr>
          <w:rFonts w:ascii="Open Sans" w:hAnsi="Open Sans" w:cs="Open Sans"/>
          <w:sz w:val="20"/>
          <w:szCs w:val="20"/>
          <w:lang w:val="en-GB"/>
        </w:rPr>
      </w:pPr>
      <w:r w:rsidRPr="00BB6394">
        <w:rPr>
          <w:rFonts w:ascii="Open Sans" w:eastAsia="Calibri" w:hAnsi="Open Sans" w:cs="Open Sans"/>
          <w:bCs/>
          <w:i/>
          <w:iCs/>
          <w:sz w:val="20"/>
          <w:szCs w:val="20"/>
        </w:rPr>
        <w:t>Business Europe</w:t>
      </w:r>
      <w:r w:rsidRPr="00BB6394">
        <w:rPr>
          <w:rFonts w:ascii="Open Sans" w:eastAsia="Calibri" w:hAnsi="Open Sans" w:cs="Open Sans"/>
          <w:sz w:val="20"/>
          <w:szCs w:val="20"/>
        </w:rPr>
        <w:t xml:space="preserve">, patronal de empresas de la UE que tiene como propósito impulsar el crecimiento y la competitividad e interactúa con regularidad con el Parlamento Europeo, la Comisión y el Consejo, así como otros actores de la comunidad política. </w:t>
      </w:r>
      <w:r w:rsidRPr="00DC5576">
        <w:rPr>
          <w:rFonts w:ascii="Open Sans" w:eastAsia="Calibri" w:hAnsi="Open Sans" w:cs="Open Sans"/>
          <w:sz w:val="20"/>
          <w:szCs w:val="20"/>
          <w:lang w:val="en-GB"/>
        </w:rPr>
        <w:t xml:space="preserve">Participamos en los grupos: </w:t>
      </w:r>
      <w:r w:rsidRPr="00DC5576">
        <w:rPr>
          <w:rFonts w:ascii="Open Sans" w:eastAsia="Calibri" w:hAnsi="Open Sans" w:cs="Open Sans"/>
          <w:i/>
          <w:iCs/>
          <w:sz w:val="20"/>
          <w:szCs w:val="20"/>
          <w:lang w:val="en-GB"/>
        </w:rPr>
        <w:t xml:space="preserve">Energy Climate, Business Europe Advisory Environment, Tax Policy, Green Taxation </w:t>
      </w:r>
      <w:r w:rsidRPr="00DC5576">
        <w:rPr>
          <w:rFonts w:ascii="Open Sans" w:eastAsia="Calibri" w:hAnsi="Open Sans" w:cs="Open Sans"/>
          <w:sz w:val="20"/>
          <w:szCs w:val="20"/>
          <w:lang w:val="en-GB"/>
        </w:rPr>
        <w:t xml:space="preserve">y </w:t>
      </w:r>
      <w:r w:rsidRPr="00DC5576">
        <w:rPr>
          <w:rFonts w:ascii="Open Sans" w:eastAsia="Calibri" w:hAnsi="Open Sans" w:cs="Open Sans"/>
          <w:i/>
          <w:iCs/>
          <w:sz w:val="20"/>
          <w:szCs w:val="20"/>
          <w:lang w:val="en-GB"/>
        </w:rPr>
        <w:t>Research and Technological Innovation</w:t>
      </w:r>
      <w:r w:rsidRPr="00DC5576">
        <w:rPr>
          <w:rFonts w:ascii="Open Sans" w:eastAsia="Calibri" w:hAnsi="Open Sans" w:cs="Open Sans"/>
          <w:sz w:val="20"/>
          <w:szCs w:val="20"/>
          <w:lang w:val="en-GB"/>
        </w:rPr>
        <w:t>.</w:t>
      </w:r>
    </w:p>
    <w:p w14:paraId="294DC0D1" w14:textId="77777777" w:rsidR="00903D51" w:rsidRPr="00BB6394" w:rsidRDefault="00903D51" w:rsidP="00903D51">
      <w:pPr>
        <w:numPr>
          <w:ilvl w:val="0"/>
          <w:numId w:val="12"/>
        </w:numPr>
        <w:autoSpaceDE w:val="0"/>
        <w:autoSpaceDN w:val="0"/>
        <w:adjustRightInd w:val="0"/>
        <w:jc w:val="both"/>
        <w:rPr>
          <w:rFonts w:ascii="Open Sans" w:hAnsi="Open Sans" w:cs="Open Sans"/>
          <w:sz w:val="20"/>
          <w:szCs w:val="20"/>
        </w:rPr>
      </w:pPr>
      <w:r w:rsidRPr="00BB6394">
        <w:rPr>
          <w:rFonts w:ascii="Open Sans" w:hAnsi="Open Sans" w:cs="Open Sans"/>
          <w:sz w:val="20"/>
          <w:szCs w:val="20"/>
        </w:rPr>
        <w:t>Foro Conjunto de la Unión Europea en materia de Precios de Transferencia Repsol es miembro no gubernamental. Es el único foro de trabajo multi-stakeholder bajo la supervisión de la Comisión Europea. Repsol asistió a las reuniones celebradas en junio y en octubre de 2015.</w:t>
      </w:r>
    </w:p>
    <w:p w14:paraId="26EAE253" w14:textId="77777777" w:rsidR="00903D51" w:rsidRDefault="00903D51" w:rsidP="00903D51">
      <w:pPr>
        <w:jc w:val="both"/>
        <w:rPr>
          <w:rFonts w:ascii="Open Sans" w:hAnsi="Open Sans" w:cs="Arial"/>
          <w:b/>
          <w:sz w:val="22"/>
          <w:szCs w:val="22"/>
        </w:rPr>
      </w:pPr>
    </w:p>
    <w:p w14:paraId="1BF9602C" w14:textId="77777777" w:rsidR="00903D51" w:rsidRDefault="00903D51" w:rsidP="00903D51">
      <w:pPr>
        <w:jc w:val="both"/>
        <w:rPr>
          <w:rFonts w:ascii="Open Sans" w:hAnsi="Open Sans" w:cs="Arial"/>
          <w:b/>
          <w:sz w:val="22"/>
          <w:szCs w:val="22"/>
        </w:rPr>
      </w:pPr>
    </w:p>
    <w:p w14:paraId="48EB3F8A" w14:textId="77777777" w:rsidR="00903D51" w:rsidRPr="00EE1EF7" w:rsidRDefault="00903D51" w:rsidP="00903D51">
      <w:pPr>
        <w:jc w:val="both"/>
        <w:rPr>
          <w:rFonts w:ascii="Open Sans" w:hAnsi="Open Sans" w:cs="Arial"/>
          <w:b/>
          <w:sz w:val="22"/>
          <w:szCs w:val="22"/>
          <w:u w:val="single"/>
        </w:rPr>
      </w:pPr>
      <w:r w:rsidRPr="00EE1EF7">
        <w:rPr>
          <w:rFonts w:ascii="Open Sans" w:hAnsi="Open Sans" w:cs="Arial"/>
          <w:b/>
          <w:sz w:val="22"/>
          <w:szCs w:val="22"/>
          <w:u w:val="single"/>
        </w:rPr>
        <w:t>4. Análisis</w:t>
      </w:r>
    </w:p>
    <w:p w14:paraId="03F17CE2" w14:textId="77777777" w:rsidR="00903D51" w:rsidRDefault="00903D51" w:rsidP="00903D51">
      <w:pPr>
        <w:jc w:val="both"/>
        <w:rPr>
          <w:rFonts w:ascii="Open Sans" w:hAnsi="Open Sans" w:cs="Arial"/>
          <w:b/>
          <w:sz w:val="22"/>
          <w:szCs w:val="22"/>
        </w:rPr>
      </w:pPr>
    </w:p>
    <w:p w14:paraId="6250A538" w14:textId="77777777" w:rsidR="00903D51" w:rsidRPr="00C22EC0" w:rsidRDefault="00903D51" w:rsidP="00903D51">
      <w:pPr>
        <w:jc w:val="both"/>
        <w:rPr>
          <w:rFonts w:ascii="Open Sans" w:hAnsi="Open Sans" w:cs="Arial"/>
          <w:sz w:val="20"/>
          <w:szCs w:val="20"/>
        </w:rPr>
      </w:pPr>
      <w:r w:rsidRPr="00C22EC0">
        <w:rPr>
          <w:rFonts w:ascii="Open Sans" w:hAnsi="Open Sans" w:cs="Arial"/>
          <w:sz w:val="20"/>
          <w:szCs w:val="20"/>
        </w:rPr>
        <w:t xml:space="preserve">Repsol aborda los paraísos fiscales desde la perspectiva de la transparencia </w:t>
      </w:r>
      <w:r>
        <w:rPr>
          <w:rFonts w:ascii="Open Sans" w:hAnsi="Open Sans" w:cs="Arial"/>
          <w:sz w:val="20"/>
          <w:szCs w:val="20"/>
        </w:rPr>
        <w:t>que ofrecen</w:t>
      </w:r>
      <w:r w:rsidRPr="00C22EC0">
        <w:rPr>
          <w:rFonts w:ascii="Open Sans" w:hAnsi="Open Sans" w:cs="Arial"/>
          <w:sz w:val="20"/>
          <w:szCs w:val="20"/>
        </w:rPr>
        <w:t xml:space="preserve"> estas jurisdicciones en el ámbito fiscal. Esto se evidencia en la mayor parte de referencias que se hace sobre paraísos fiscales en la documentación analizada como, por ejemplo, en la política fiscal del Grupo, donde se establecen como compromisos: «</w:t>
      </w:r>
      <w:r w:rsidRPr="00C22EC0">
        <w:rPr>
          <w:rFonts w:ascii="Open Sans" w:hAnsi="Open Sans" w:cs="Arial"/>
          <w:i/>
          <w:sz w:val="20"/>
          <w:szCs w:val="20"/>
        </w:rPr>
        <w:t>no hacer uso de estructuras societarias opacas o artificiosas con la finalidad de ocultar o reducir la transparencia de sus actividades y no tener presencia en paraísos fiscales, salvo que ésta sea necesaria por motivos de negocio</w:t>
      </w:r>
      <w:r w:rsidRPr="00C22EC0">
        <w:rPr>
          <w:rFonts w:ascii="Open Sans" w:hAnsi="Open Sans" w:cs="Arial"/>
          <w:sz w:val="20"/>
          <w:szCs w:val="20"/>
        </w:rPr>
        <w:t>».</w:t>
      </w:r>
      <w:r>
        <w:rPr>
          <w:rFonts w:ascii="Open Sans" w:hAnsi="Open Sans" w:cs="Arial"/>
          <w:sz w:val="20"/>
          <w:szCs w:val="20"/>
        </w:rPr>
        <w:t xml:space="preserve"> </w:t>
      </w:r>
    </w:p>
    <w:p w14:paraId="4ADF3B3F" w14:textId="77777777" w:rsidR="00903D51" w:rsidRDefault="00903D51" w:rsidP="00903D51">
      <w:pPr>
        <w:jc w:val="both"/>
        <w:rPr>
          <w:rFonts w:ascii="Open Sans" w:hAnsi="Open Sans" w:cs="Arial"/>
          <w:sz w:val="20"/>
          <w:szCs w:val="20"/>
        </w:rPr>
      </w:pPr>
    </w:p>
    <w:p w14:paraId="70F0BAEC" w14:textId="77777777" w:rsidR="00903D51" w:rsidRDefault="00903D51" w:rsidP="00903D51">
      <w:pPr>
        <w:jc w:val="both"/>
        <w:rPr>
          <w:rFonts w:ascii="Open Sans" w:hAnsi="Open Sans" w:cs="Arial"/>
          <w:sz w:val="20"/>
          <w:szCs w:val="20"/>
        </w:rPr>
      </w:pPr>
      <w:r>
        <w:rPr>
          <w:rFonts w:ascii="Open Sans" w:hAnsi="Open Sans" w:cs="Arial"/>
          <w:sz w:val="20"/>
          <w:szCs w:val="20"/>
        </w:rPr>
        <w:t>En la documentación analizada se incluyen líneas de actuación concretas en lo que se refiere a paraísos fiscales. En el Informe de sostenibilidad se citan estas directrices como “política respecto a paraísos fiscales”, sin embargo no se ha hallado que se citase como tal en el resto de documentos analizados. La información publicada al respecto consiste, fundamentalmente, en el compromiso de que «</w:t>
      </w:r>
      <w:r w:rsidRPr="000D1F4F">
        <w:rPr>
          <w:rFonts w:ascii="Open Sans" w:hAnsi="Open Sans" w:cs="Arial"/>
          <w:i/>
          <w:sz w:val="20"/>
          <w:szCs w:val="20"/>
        </w:rPr>
        <w:t>en caso de tener presencia o actividad en un paraíso fiscal, se garantiza: (i) la autorización por el Consejo de Administración de la constitución o adquisición de la sociedad, así como la información periódica sobre su actividad; (ii) el estricto cumplimiento de la normativa relativa al ejercicio de las actividades empresariales desarrolladas; (iii) la aplicación de los criterios y procedimientos generales de administración y control de la gestión del Grupo; y (iv) la plena transparencia y cooperación con las administraciones afectadas para facilitar la información que estimen necesaria en relación con las actividades desarrolladas</w:t>
      </w:r>
      <w:r>
        <w:rPr>
          <w:rFonts w:ascii="Open Sans" w:hAnsi="Open Sans" w:cs="Arial"/>
          <w:sz w:val="20"/>
          <w:szCs w:val="20"/>
        </w:rPr>
        <w:t>».</w:t>
      </w:r>
    </w:p>
    <w:p w14:paraId="5E3FE42C" w14:textId="77777777" w:rsidR="00903D51" w:rsidRPr="00964025" w:rsidRDefault="00903D51" w:rsidP="00903D51">
      <w:pPr>
        <w:jc w:val="both"/>
        <w:rPr>
          <w:rFonts w:ascii="Open Sans" w:hAnsi="Open Sans" w:cs="Arial"/>
          <w:sz w:val="20"/>
          <w:szCs w:val="20"/>
        </w:rPr>
      </w:pPr>
    </w:p>
    <w:p w14:paraId="5421502A" w14:textId="77777777" w:rsidR="00903D51" w:rsidRDefault="00903D51" w:rsidP="00903D51">
      <w:pPr>
        <w:jc w:val="both"/>
        <w:rPr>
          <w:rFonts w:ascii="Open Sans" w:hAnsi="Open Sans" w:cs="Arial"/>
          <w:sz w:val="20"/>
          <w:szCs w:val="20"/>
        </w:rPr>
      </w:pPr>
      <w:r>
        <w:rPr>
          <w:rFonts w:ascii="Open Sans" w:hAnsi="Open Sans" w:cs="Arial"/>
          <w:sz w:val="20"/>
          <w:szCs w:val="20"/>
        </w:rPr>
        <w:t>Más allá de estas directrices, en el Informe de Sostenibilidad se afirma</w:t>
      </w:r>
      <w:r w:rsidRPr="00964025">
        <w:rPr>
          <w:rFonts w:ascii="Open Sans" w:hAnsi="Open Sans" w:cs="Arial"/>
          <w:sz w:val="20"/>
          <w:szCs w:val="20"/>
        </w:rPr>
        <w:t xml:space="preserve"> </w:t>
      </w:r>
      <w:r>
        <w:rPr>
          <w:rFonts w:ascii="Open Sans" w:hAnsi="Open Sans" w:cs="Arial"/>
          <w:sz w:val="20"/>
          <w:szCs w:val="20"/>
        </w:rPr>
        <w:t>«</w:t>
      </w:r>
      <w:r w:rsidRPr="000D1F4F">
        <w:rPr>
          <w:rFonts w:ascii="Open Sans" w:hAnsi="Open Sans" w:cs="Arial"/>
          <w:i/>
          <w:sz w:val="20"/>
          <w:szCs w:val="20"/>
        </w:rPr>
        <w:t>realizar una gestión activa que busca reducir su ya limitada presencia en territorios calificados como paraísos fiscales o que se consideran no cooperantes con las autoridades fiscales</w:t>
      </w:r>
      <w:r>
        <w:rPr>
          <w:rFonts w:ascii="Open Sans" w:hAnsi="Open Sans" w:cs="Arial"/>
          <w:sz w:val="20"/>
          <w:szCs w:val="20"/>
        </w:rPr>
        <w:t>» y que «</w:t>
      </w:r>
      <w:r w:rsidRPr="000D1F4F">
        <w:rPr>
          <w:rFonts w:ascii="Open Sans" w:hAnsi="Open Sans" w:cs="Arial"/>
          <w:i/>
          <w:sz w:val="20"/>
          <w:szCs w:val="20"/>
        </w:rPr>
        <w:t>en los últimos diez años, Repsol ha reducido significativamente su presencia en estos territorios, pasando de contar con más de 40 sociedades a tener una presencia mínima, tal y como se describe a continuación</w:t>
      </w:r>
      <w:r>
        <w:rPr>
          <w:rFonts w:ascii="Open Sans" w:hAnsi="Open Sans" w:cs="Arial"/>
          <w:sz w:val="20"/>
          <w:szCs w:val="20"/>
        </w:rPr>
        <w:t>»</w:t>
      </w:r>
      <w:r w:rsidRPr="00964025">
        <w:rPr>
          <w:rFonts w:ascii="Open Sans" w:hAnsi="Open Sans" w:cs="Arial"/>
          <w:sz w:val="20"/>
          <w:szCs w:val="20"/>
        </w:rPr>
        <w:t>.</w:t>
      </w:r>
    </w:p>
    <w:p w14:paraId="1D0D2F7B" w14:textId="77777777" w:rsidR="00903D51" w:rsidRDefault="00903D51" w:rsidP="00903D51">
      <w:pPr>
        <w:jc w:val="both"/>
        <w:rPr>
          <w:rFonts w:ascii="Open Sans" w:hAnsi="Open Sans" w:cs="Arial"/>
          <w:sz w:val="20"/>
          <w:szCs w:val="20"/>
        </w:rPr>
      </w:pPr>
    </w:p>
    <w:p w14:paraId="1DE33B75" w14:textId="77777777" w:rsidR="00903D51" w:rsidRDefault="00903D51" w:rsidP="00903D51">
      <w:pPr>
        <w:jc w:val="both"/>
        <w:rPr>
          <w:rFonts w:ascii="Open Sans" w:hAnsi="Open Sans" w:cs="Arial"/>
          <w:sz w:val="20"/>
          <w:szCs w:val="20"/>
        </w:rPr>
      </w:pPr>
      <w:r>
        <w:rPr>
          <w:rFonts w:ascii="Open Sans" w:hAnsi="Open Sans" w:cs="Arial"/>
          <w:sz w:val="20"/>
          <w:szCs w:val="20"/>
        </w:rPr>
        <w:t xml:space="preserve">Repsol considera como referencia para la categorización de una jurisdicción como paraíso fiscal </w:t>
      </w:r>
      <w:r w:rsidRPr="00C22EC0">
        <w:rPr>
          <w:rFonts w:ascii="Open Sans" w:hAnsi="Open Sans" w:cs="Arial"/>
          <w:sz w:val="20"/>
          <w:szCs w:val="20"/>
        </w:rPr>
        <w:t>los listados elaborados por la OCDE y por España</w:t>
      </w:r>
      <w:r>
        <w:rPr>
          <w:rFonts w:ascii="Open Sans" w:hAnsi="Open Sans" w:cs="Arial"/>
          <w:sz w:val="20"/>
          <w:szCs w:val="20"/>
        </w:rPr>
        <w:t xml:space="preserve"> (</w:t>
      </w:r>
      <w:r w:rsidRPr="000D1F4F">
        <w:rPr>
          <w:rFonts w:ascii="Open Sans" w:hAnsi="Open Sans" w:cs="Arial"/>
          <w:sz w:val="20"/>
          <w:szCs w:val="20"/>
        </w:rPr>
        <w:t>RD 1080/1991</w:t>
      </w:r>
      <w:r>
        <w:rPr>
          <w:rFonts w:ascii="Open Sans" w:hAnsi="Open Sans" w:cs="Arial"/>
          <w:sz w:val="20"/>
          <w:szCs w:val="20"/>
        </w:rPr>
        <w:t>)</w:t>
      </w:r>
      <w:r w:rsidRPr="00C22EC0">
        <w:rPr>
          <w:rFonts w:ascii="Open Sans" w:hAnsi="Open Sans" w:cs="Arial"/>
          <w:sz w:val="20"/>
          <w:szCs w:val="20"/>
        </w:rPr>
        <w:t>.</w:t>
      </w:r>
      <w:r>
        <w:rPr>
          <w:rFonts w:ascii="Open Sans" w:hAnsi="Open Sans" w:cs="Arial"/>
          <w:sz w:val="20"/>
          <w:szCs w:val="20"/>
        </w:rPr>
        <w:t xml:space="preserve"> Tomando como base estos listados, Repsol incluye en el Informe de Gestión información detallada sobre 4 sociedades activas que posee en </w:t>
      </w:r>
      <w:r w:rsidRPr="006F4E8D">
        <w:rPr>
          <w:rFonts w:ascii="Open Sans" w:hAnsi="Open Sans" w:cs="Arial"/>
          <w:sz w:val="20"/>
          <w:szCs w:val="20"/>
        </w:rPr>
        <w:t>Islas Bermudas, Islas Caimán e Islas Mauricio</w:t>
      </w:r>
      <w:r>
        <w:rPr>
          <w:rFonts w:ascii="Open Sans" w:hAnsi="Open Sans" w:cs="Arial"/>
          <w:sz w:val="20"/>
          <w:szCs w:val="20"/>
        </w:rPr>
        <w:t xml:space="preserve"> y en las que indica tener una participación minoritaria.</w:t>
      </w:r>
      <w:r w:rsidRPr="006F4E8D">
        <w:rPr>
          <w:rFonts w:ascii="Open Sans" w:hAnsi="Open Sans" w:cs="Arial"/>
          <w:sz w:val="20"/>
          <w:szCs w:val="20"/>
        </w:rPr>
        <w:t xml:space="preserve"> </w:t>
      </w:r>
      <w:r>
        <w:rPr>
          <w:rFonts w:ascii="Open Sans" w:hAnsi="Open Sans" w:cs="Arial"/>
          <w:sz w:val="20"/>
          <w:szCs w:val="20"/>
        </w:rPr>
        <w:t xml:space="preserve">Para cada una de ellas ofrece datos sobre las actividades desarrolladas y el porcentaje de </w:t>
      </w:r>
      <w:r w:rsidRPr="006F4E8D">
        <w:rPr>
          <w:rFonts w:ascii="Open Sans" w:hAnsi="Open Sans" w:cs="Arial"/>
          <w:sz w:val="20"/>
          <w:szCs w:val="20"/>
        </w:rPr>
        <w:t xml:space="preserve">participación </w:t>
      </w:r>
      <w:r>
        <w:rPr>
          <w:rFonts w:ascii="Open Sans" w:hAnsi="Open Sans" w:cs="Arial"/>
          <w:sz w:val="20"/>
          <w:szCs w:val="20"/>
        </w:rPr>
        <w:t>en las mismas</w:t>
      </w:r>
      <w:r w:rsidRPr="006F4E8D">
        <w:rPr>
          <w:rFonts w:ascii="Open Sans" w:hAnsi="Open Sans" w:cs="Arial"/>
          <w:sz w:val="20"/>
          <w:szCs w:val="20"/>
        </w:rPr>
        <w:t xml:space="preserve">. </w:t>
      </w:r>
      <w:r>
        <w:rPr>
          <w:rFonts w:ascii="Open Sans" w:hAnsi="Open Sans" w:cs="Arial"/>
          <w:sz w:val="20"/>
          <w:szCs w:val="20"/>
        </w:rPr>
        <w:t>Las empresas en concreto son:</w:t>
      </w:r>
    </w:p>
    <w:p w14:paraId="316CACB4" w14:textId="77777777" w:rsidR="00903D51" w:rsidRDefault="00903D51" w:rsidP="00903D51">
      <w:pPr>
        <w:jc w:val="both"/>
        <w:rPr>
          <w:rFonts w:ascii="Open Sans" w:hAnsi="Open Sans" w:cs="Arial"/>
          <w:sz w:val="20"/>
          <w:szCs w:val="20"/>
        </w:rPr>
      </w:pPr>
    </w:p>
    <w:p w14:paraId="312A4DE2" w14:textId="77777777" w:rsidR="00903D51" w:rsidRPr="007A0304" w:rsidRDefault="00903D51" w:rsidP="000B70C9">
      <w:pPr>
        <w:numPr>
          <w:ilvl w:val="0"/>
          <w:numId w:val="37"/>
        </w:numPr>
        <w:autoSpaceDE w:val="0"/>
        <w:autoSpaceDN w:val="0"/>
        <w:adjustRightInd w:val="0"/>
        <w:spacing w:after="171"/>
        <w:jc w:val="both"/>
        <w:rPr>
          <w:rFonts w:ascii="Open Sans" w:hAnsi="Open Sans" w:cs="Arial"/>
          <w:i/>
          <w:sz w:val="20"/>
          <w:szCs w:val="20"/>
        </w:rPr>
      </w:pPr>
      <w:r w:rsidRPr="00DC5576">
        <w:rPr>
          <w:rFonts w:ascii="Open Sans" w:hAnsi="Open Sans" w:cs="Arial"/>
          <w:i/>
          <w:sz w:val="20"/>
          <w:szCs w:val="20"/>
          <w:lang w:val="en-GB"/>
        </w:rPr>
        <w:t xml:space="preserve">Oil Insurance, Ltd. (5,86%; Islas Bermudas) y Oil Casualty Insurance, Ltd. </w:t>
      </w:r>
      <w:r w:rsidRPr="007A0304">
        <w:rPr>
          <w:rFonts w:ascii="Open Sans" w:hAnsi="Open Sans" w:cs="Arial"/>
          <w:i/>
          <w:sz w:val="20"/>
          <w:szCs w:val="20"/>
        </w:rPr>
        <w:t xml:space="preserve">(1,80%; Islas Bermudas) : compañías mutuas de seguros del sector Oil &amp; Gas, que cubren riesgos del Grupo desde Bermuda, jurisdicción típica para la realización de la actividad reaseguradora de activos del negocio del Upstream; </w:t>
      </w:r>
    </w:p>
    <w:p w14:paraId="3EFA9E6F" w14:textId="77777777" w:rsidR="00903D51" w:rsidRDefault="00903D51" w:rsidP="000B70C9">
      <w:pPr>
        <w:numPr>
          <w:ilvl w:val="0"/>
          <w:numId w:val="37"/>
        </w:numPr>
        <w:autoSpaceDE w:val="0"/>
        <w:autoSpaceDN w:val="0"/>
        <w:adjustRightInd w:val="0"/>
        <w:jc w:val="both"/>
        <w:rPr>
          <w:rFonts w:ascii="Open Sans" w:hAnsi="Open Sans" w:cs="Arial"/>
          <w:i/>
          <w:sz w:val="20"/>
          <w:szCs w:val="20"/>
        </w:rPr>
      </w:pPr>
      <w:r w:rsidRPr="007A0304">
        <w:rPr>
          <w:rFonts w:ascii="Open Sans" w:hAnsi="Open Sans" w:cs="Arial"/>
          <w:i/>
          <w:sz w:val="20"/>
          <w:szCs w:val="20"/>
        </w:rPr>
        <w:t xml:space="preserve">OCP, Ltd. (29,66%, Islas Caimán): compañía que incorpora un convenio de asociación internacional (joint venture) para canalizar la participación en una sociedad operativa ecuatoriana que gestiona infraestructuras para la actividad petrolera (oleoducto de crudos pesados). </w:t>
      </w:r>
    </w:p>
    <w:p w14:paraId="2F9CDF2B" w14:textId="77777777" w:rsidR="00903D51" w:rsidRPr="007A0304" w:rsidRDefault="00903D51" w:rsidP="00903D51">
      <w:pPr>
        <w:autoSpaceDE w:val="0"/>
        <w:autoSpaceDN w:val="0"/>
        <w:adjustRightInd w:val="0"/>
        <w:ind w:left="720"/>
        <w:jc w:val="both"/>
        <w:rPr>
          <w:rFonts w:ascii="Open Sans" w:hAnsi="Open Sans" w:cs="Arial"/>
          <w:i/>
          <w:sz w:val="20"/>
          <w:szCs w:val="20"/>
        </w:rPr>
      </w:pPr>
    </w:p>
    <w:p w14:paraId="302A3C1B" w14:textId="77777777" w:rsidR="00903D51" w:rsidRPr="00D4248E" w:rsidRDefault="00903D51" w:rsidP="000B70C9">
      <w:pPr>
        <w:numPr>
          <w:ilvl w:val="0"/>
          <w:numId w:val="37"/>
        </w:numPr>
        <w:jc w:val="both"/>
        <w:rPr>
          <w:rFonts w:ascii="Open Sans" w:hAnsi="Open Sans" w:cs="Arial"/>
          <w:i/>
          <w:sz w:val="20"/>
          <w:szCs w:val="20"/>
        </w:rPr>
      </w:pPr>
      <w:r w:rsidRPr="00D4248E">
        <w:rPr>
          <w:rFonts w:ascii="Open Sans" w:hAnsi="Open Sans" w:cs="Arial"/>
          <w:i/>
          <w:sz w:val="20"/>
          <w:szCs w:val="20"/>
        </w:rPr>
        <w:t>Transasia Pipeline Company (15%, Islas Mauricio), joint venture para canalizar la participación en una sociedad operativa de Indonesia que gestiona infraestructuras para la actividad petrolera (PT Perusahaan Transportasi Gas Indonesia).</w:t>
      </w:r>
    </w:p>
    <w:p w14:paraId="5F509639" w14:textId="77777777" w:rsidR="00903D51" w:rsidRDefault="00903D51" w:rsidP="00903D51">
      <w:pPr>
        <w:jc w:val="both"/>
        <w:rPr>
          <w:rFonts w:ascii="Open Sans" w:hAnsi="Open Sans" w:cs="Arial"/>
          <w:sz w:val="20"/>
          <w:szCs w:val="20"/>
        </w:rPr>
      </w:pPr>
    </w:p>
    <w:p w14:paraId="319FEE50" w14:textId="77777777" w:rsidR="00903D51" w:rsidRDefault="00903D51" w:rsidP="00903D51">
      <w:pPr>
        <w:jc w:val="both"/>
        <w:rPr>
          <w:rFonts w:ascii="Open Sans" w:hAnsi="Open Sans" w:cs="Arial"/>
          <w:sz w:val="20"/>
          <w:szCs w:val="20"/>
        </w:rPr>
      </w:pPr>
      <w:r w:rsidRPr="002A464E">
        <w:rPr>
          <w:rFonts w:ascii="Open Sans" w:hAnsi="Open Sans" w:cs="Arial"/>
          <w:sz w:val="20"/>
          <w:szCs w:val="20"/>
        </w:rPr>
        <w:t>En el mismo apartado del Informe de Gestión también se da información, aunque más limitada, de las empresas domiciliadas en paraísos fiscales que sí son controladas por el Grupo. Únicamente se indica la existencia de tres sociedades inactivas y/o en proceso de liquidación y otras cuatro «</w:t>
      </w:r>
      <w:r w:rsidRPr="002A464E">
        <w:rPr>
          <w:rFonts w:ascii="Open Sans" w:hAnsi="Open Sans" w:cs="Arial"/>
          <w:i/>
          <w:sz w:val="20"/>
          <w:szCs w:val="20"/>
        </w:rPr>
        <w:t>cuya residencia fiscal ha sido efectivamente trasladada a países de la Unión Europea</w:t>
      </w:r>
      <w:r w:rsidRPr="002A464E">
        <w:rPr>
          <w:i/>
        </w:rPr>
        <w:t xml:space="preserve"> </w:t>
      </w:r>
      <w:r w:rsidRPr="002A464E">
        <w:rPr>
          <w:rFonts w:ascii="Open Sans" w:hAnsi="Open Sans" w:cs="Arial"/>
          <w:i/>
          <w:sz w:val="20"/>
          <w:szCs w:val="20"/>
        </w:rPr>
        <w:t>o a otros países participantes en las iniciativas del G-20, que no tienen la consideración de paraísos fiscales</w:t>
      </w:r>
      <w:r w:rsidRPr="002A464E">
        <w:rPr>
          <w:rFonts w:ascii="Open Sans" w:hAnsi="Open Sans" w:cs="Arial"/>
          <w:sz w:val="20"/>
          <w:szCs w:val="20"/>
        </w:rPr>
        <w:t>». En ambos casos la información que se proporciona es escasa, teniendo que consultar las notas a pié de página para poder identificar las compañías a las que se refiere el texto. Las empresas en proceso de liquidación son: Greenstone Assurance Ltd., (Bermudas; en situación de “run off”), Repsol Exploration Services, Ltd., (Islas Caimán) y un establecimiento permanente en Liberia, del que únicamente se indica que estaba «</w:t>
      </w:r>
      <w:r w:rsidRPr="002A464E">
        <w:rPr>
          <w:rFonts w:ascii="Open Sans" w:hAnsi="Open Sans" w:cs="Arial"/>
          <w:i/>
          <w:sz w:val="20"/>
          <w:szCs w:val="20"/>
        </w:rPr>
        <w:t>inicialmente dedicado a actividades de exploración y producción de hidrocarburos, actualmente en proceso de de-registro</w:t>
      </w:r>
      <w:r w:rsidRPr="002A464E">
        <w:rPr>
          <w:rFonts w:ascii="Open Sans" w:hAnsi="Open Sans" w:cs="Arial"/>
          <w:sz w:val="20"/>
          <w:szCs w:val="20"/>
        </w:rPr>
        <w:t xml:space="preserve">». Llama la atención que no se dé </w:t>
      </w:r>
      <w:r w:rsidRPr="00F76D47">
        <w:rPr>
          <w:rFonts w:ascii="Open Sans" w:hAnsi="Open Sans" w:cs="Arial"/>
          <w:sz w:val="20"/>
          <w:szCs w:val="20"/>
        </w:rPr>
        <w:t>más información que permita identificarlo adecuadamente ya que en el Anexo I únicamente se cita la sociedad Repsol Exploración Liberia, B.V. domiciliada en Países Bajos de la que, a su vez, se indica que cuenta con «una sucursal domiciliada en Liberia» pero no se indica si se trata de la misma sociedad o de dos sociedades diferentes con presencia en Liberia. Las empresas que han cambiado su jurisdicción lo han hecho a Colombia, Reino Unido (no se indica dónde) y Países Bajos (consid</w:t>
      </w:r>
      <w:r w:rsidRPr="002A464E">
        <w:rPr>
          <w:rFonts w:ascii="Open Sans" w:hAnsi="Open Sans" w:cs="Arial"/>
          <w:sz w:val="20"/>
          <w:szCs w:val="20"/>
        </w:rPr>
        <w:t>erado nicho fiscal). Estos cambios de jurisdicción han sido los realizados en Foreland Oil Limited y Fortuna Resources (Sunda) Limited que han pasado de ser residentes fiscales en Islas Vírgenes Británicas a serlo en Reino Unido, Talisman Wiriagar Overseas Limited que cambió su residencia fiscal de las Islas Vírgenes Británicas a Países Bajos y Santiago Oil Company que la cambió a Colombia. Valoramos muy positivamente el ejercicio de transparencia realizado por Repsol incluyendo esta información, sin embargo consideramos necesario que se incluya mayor grado de profundidad en la referida a las sociedades activas.</w:t>
      </w:r>
    </w:p>
    <w:p w14:paraId="5F86323A" w14:textId="77777777" w:rsidR="00903D51" w:rsidRDefault="00903D51" w:rsidP="00903D51">
      <w:pPr>
        <w:jc w:val="both"/>
        <w:rPr>
          <w:rFonts w:ascii="Open Sans" w:hAnsi="Open Sans" w:cs="Arial"/>
          <w:sz w:val="20"/>
          <w:szCs w:val="20"/>
        </w:rPr>
      </w:pPr>
    </w:p>
    <w:p w14:paraId="3A41B9A1" w14:textId="77777777" w:rsidR="00903D51" w:rsidRDefault="00903D51" w:rsidP="00903D51">
      <w:pPr>
        <w:jc w:val="both"/>
        <w:rPr>
          <w:rFonts w:ascii="Open Sans" w:hAnsi="Open Sans" w:cs="Arial"/>
          <w:sz w:val="20"/>
          <w:szCs w:val="20"/>
        </w:rPr>
      </w:pPr>
      <w:r>
        <w:rPr>
          <w:rFonts w:ascii="Open Sans" w:hAnsi="Open Sans" w:cs="Arial"/>
          <w:sz w:val="20"/>
          <w:szCs w:val="20"/>
        </w:rPr>
        <w:t>En cuanto a su presencia en paraísos fiscales, la empresa afirma que «</w:t>
      </w:r>
      <w:r w:rsidRPr="00EA0A43">
        <w:rPr>
          <w:rFonts w:ascii="Open Sans" w:hAnsi="Open Sans" w:cs="Arial"/>
          <w:i/>
          <w:sz w:val="20"/>
          <w:szCs w:val="20"/>
        </w:rPr>
        <w:t>no obedece a un propósito de limitar la transparencia de sus actividades o de aplicar prácticas indeseables –mucho menos ilegales-, sino que responde a finalidades apropiadas y se acomoda a estándares habituales en el sector</w:t>
      </w:r>
      <w:r>
        <w:rPr>
          <w:rFonts w:ascii="Open Sans" w:hAnsi="Open Sans" w:cs="Arial"/>
          <w:sz w:val="20"/>
          <w:szCs w:val="20"/>
        </w:rPr>
        <w:t>»</w:t>
      </w:r>
      <w:r w:rsidRPr="00EA0A43">
        <w:rPr>
          <w:rFonts w:ascii="Open Sans" w:hAnsi="Open Sans" w:cs="Arial"/>
          <w:sz w:val="20"/>
          <w:szCs w:val="20"/>
        </w:rPr>
        <w:t>.</w:t>
      </w:r>
      <w:r>
        <w:rPr>
          <w:rFonts w:ascii="Open Sans" w:hAnsi="Open Sans" w:cs="Arial"/>
          <w:sz w:val="20"/>
          <w:szCs w:val="20"/>
        </w:rPr>
        <w:t xml:space="preserve"> </w:t>
      </w:r>
    </w:p>
    <w:p w14:paraId="067B382C" w14:textId="77777777" w:rsidR="00903D51" w:rsidRDefault="00903D51" w:rsidP="00903D51">
      <w:pPr>
        <w:jc w:val="both"/>
        <w:rPr>
          <w:rFonts w:ascii="Open Sans" w:hAnsi="Open Sans" w:cs="Arial"/>
          <w:sz w:val="20"/>
          <w:szCs w:val="20"/>
        </w:rPr>
      </w:pPr>
    </w:p>
    <w:p w14:paraId="4026ABED" w14:textId="77777777" w:rsidR="00903D51" w:rsidRDefault="00903D51" w:rsidP="00903D51">
      <w:pPr>
        <w:jc w:val="both"/>
        <w:rPr>
          <w:rFonts w:ascii="Open Sans" w:hAnsi="Open Sans" w:cs="Arial"/>
          <w:sz w:val="20"/>
          <w:szCs w:val="20"/>
        </w:rPr>
      </w:pPr>
      <w:r>
        <w:rPr>
          <w:rFonts w:ascii="Open Sans" w:hAnsi="Open Sans" w:cs="Arial"/>
          <w:sz w:val="20"/>
          <w:szCs w:val="20"/>
        </w:rPr>
        <w:t>La información que Repsol publica sobre paraísos fiscales, además de estar incluida en varios de los documentos analizados (fundamentalmente: Informe de Gestión e Informe de sostenibilidad), también se incluye en un apartado específico de la web denominado “Presencia en paraísos fiscales”</w:t>
      </w:r>
      <w:r>
        <w:rPr>
          <w:rStyle w:val="Refdenotaalpie"/>
          <w:szCs w:val="20"/>
        </w:rPr>
        <w:footnoteReference w:id="437"/>
      </w:r>
      <w:r>
        <w:rPr>
          <w:rFonts w:ascii="Open Sans" w:hAnsi="Open Sans" w:cs="Arial"/>
          <w:sz w:val="20"/>
          <w:szCs w:val="20"/>
        </w:rPr>
        <w:t>.</w:t>
      </w:r>
    </w:p>
    <w:p w14:paraId="269E88ED" w14:textId="77777777" w:rsidR="00903D51" w:rsidRDefault="00903D51" w:rsidP="00903D51">
      <w:pPr>
        <w:jc w:val="both"/>
        <w:rPr>
          <w:rFonts w:ascii="Open Sans" w:hAnsi="Open Sans" w:cs="Arial"/>
          <w:sz w:val="20"/>
          <w:szCs w:val="20"/>
        </w:rPr>
      </w:pPr>
    </w:p>
    <w:p w14:paraId="2AF7C02B" w14:textId="77777777" w:rsidR="00903D51" w:rsidRPr="004B702B" w:rsidRDefault="00903D51" w:rsidP="00903D51">
      <w:pPr>
        <w:jc w:val="both"/>
        <w:rPr>
          <w:rFonts w:ascii="Open Sans" w:hAnsi="Open Sans" w:cs="Arial"/>
          <w:sz w:val="20"/>
          <w:szCs w:val="20"/>
        </w:rPr>
      </w:pPr>
      <w:r w:rsidRPr="00AE6053">
        <w:rPr>
          <w:rFonts w:ascii="Open Sans" w:hAnsi="Open Sans" w:cs="Arial"/>
          <w:sz w:val="20"/>
          <w:szCs w:val="20"/>
        </w:rPr>
        <w:t>Tomando como base las empresas que se incluyen a 31 de diciembre como parte del Grupo en las cuentas anuales, Repsol contaba con 9 empresas en paraísos fiscales y 111 empresas en jurisdicciones</w:t>
      </w:r>
      <w:r w:rsidRPr="008A17CC">
        <w:rPr>
          <w:rFonts w:ascii="Open Sans" w:hAnsi="Open Sans" w:cs="Arial"/>
          <w:sz w:val="20"/>
          <w:szCs w:val="20"/>
        </w:rPr>
        <w:t xml:space="preserve"> que, pese a no estar incluidas en los listados tomados en consideración por la empresa, sí forman parte del análisis realizado en el presente estudio debido a que ofrecen ventajas fiscales especiales a las empresas que en ellos radican (nichos fiscales). Las empresas radicadas </w:t>
      </w:r>
      <w:r w:rsidRPr="005C711E">
        <w:rPr>
          <w:rFonts w:ascii="Open Sans" w:hAnsi="Open Sans" w:cs="Arial"/>
          <w:sz w:val="20"/>
          <w:szCs w:val="20"/>
        </w:rPr>
        <w:t>o con presencia</w:t>
      </w:r>
      <w:r>
        <w:rPr>
          <w:rFonts w:ascii="Open Sans" w:hAnsi="Open Sans" w:cs="Arial"/>
          <w:sz w:val="20"/>
          <w:szCs w:val="20"/>
        </w:rPr>
        <w:t xml:space="preserve"> </w:t>
      </w:r>
      <w:r w:rsidRPr="008A17CC">
        <w:rPr>
          <w:rFonts w:ascii="Open Sans" w:hAnsi="Open Sans" w:cs="Arial"/>
          <w:sz w:val="20"/>
          <w:szCs w:val="20"/>
        </w:rPr>
        <w:t xml:space="preserve">en paraísos fiscales son las 9 mencionadas en los párrafos anteriores presentes en Islas Caimán, Islas Vírgenes Británicas, Islas Bermudas y Liberia, </w:t>
      </w:r>
      <w:r w:rsidRPr="00BF4BD6">
        <w:rPr>
          <w:rFonts w:ascii="Open Sans" w:hAnsi="Open Sans" w:cs="Arial"/>
          <w:sz w:val="20"/>
          <w:szCs w:val="20"/>
        </w:rPr>
        <w:t>además de la filial con residencia fiscal en las Islas Caimán que, según las cuentas anuales, posee</w:t>
      </w:r>
      <w:r>
        <w:rPr>
          <w:rFonts w:ascii="Open Sans" w:hAnsi="Open Sans" w:cs="Arial"/>
          <w:sz w:val="20"/>
          <w:szCs w:val="20"/>
        </w:rPr>
        <w:t xml:space="preserve"> la empresa Equion Energia Ltd. </w:t>
      </w:r>
      <w:r w:rsidRPr="008A17CC">
        <w:rPr>
          <w:rFonts w:ascii="Open Sans" w:hAnsi="Open Sans" w:cs="Arial"/>
          <w:sz w:val="20"/>
          <w:szCs w:val="20"/>
        </w:rPr>
        <w:t xml:space="preserve">Dentro de la categoría de nicho fiscal, </w:t>
      </w:r>
      <w:r w:rsidRPr="004B702B">
        <w:rPr>
          <w:rFonts w:ascii="Open Sans" w:hAnsi="Open Sans" w:cs="Arial"/>
          <w:sz w:val="20"/>
          <w:szCs w:val="20"/>
        </w:rPr>
        <w:t xml:space="preserve">Repsol cuenta con empresas en: </w:t>
      </w:r>
      <w:r>
        <w:rPr>
          <w:rFonts w:ascii="Open Sans" w:hAnsi="Open Sans" w:cs="Arial"/>
          <w:sz w:val="20"/>
          <w:szCs w:val="20"/>
        </w:rPr>
        <w:t xml:space="preserve">Andorra, </w:t>
      </w:r>
      <w:r w:rsidRPr="004B702B">
        <w:rPr>
          <w:rFonts w:ascii="Open Sans" w:hAnsi="Open Sans" w:cs="Arial"/>
          <w:sz w:val="20"/>
          <w:szCs w:val="20"/>
        </w:rPr>
        <w:t>Bahamas, Barbados, Delaware (EEUU), Luxemburgo, Países Bajos, Singapur y Suiza.</w:t>
      </w:r>
      <w:r>
        <w:rPr>
          <w:rFonts w:ascii="Open Sans" w:hAnsi="Open Sans" w:cs="Arial"/>
          <w:sz w:val="20"/>
          <w:szCs w:val="20"/>
        </w:rPr>
        <w:t xml:space="preserve"> </w:t>
      </w:r>
    </w:p>
    <w:p w14:paraId="7D9403D0" w14:textId="77777777" w:rsidR="00903D51" w:rsidRPr="002A464E" w:rsidRDefault="00903D51" w:rsidP="00903D51">
      <w:pPr>
        <w:jc w:val="both"/>
        <w:rPr>
          <w:rFonts w:ascii="Open Sans" w:hAnsi="Open Sans" w:cs="Arial"/>
          <w:sz w:val="20"/>
          <w:szCs w:val="20"/>
        </w:rPr>
      </w:pPr>
    </w:p>
    <w:p w14:paraId="32634CBB" w14:textId="77777777" w:rsidR="00903D51" w:rsidRPr="006E24A7" w:rsidRDefault="00903D51" w:rsidP="00903D51">
      <w:pPr>
        <w:jc w:val="both"/>
        <w:rPr>
          <w:rFonts w:ascii="Open Sans" w:hAnsi="Open Sans" w:cs="Open Sans"/>
          <w:sz w:val="20"/>
          <w:szCs w:val="20"/>
        </w:rPr>
      </w:pPr>
      <w:r w:rsidRPr="001C7D4E">
        <w:rPr>
          <w:rFonts w:ascii="Open Sans" w:hAnsi="Open Sans" w:cs="Arial"/>
          <w:bCs/>
          <w:sz w:val="20"/>
          <w:szCs w:val="20"/>
        </w:rPr>
        <w:t xml:space="preserve">Entre estas </w:t>
      </w:r>
      <w:r w:rsidRPr="00AE6053">
        <w:rPr>
          <w:rFonts w:ascii="Open Sans" w:hAnsi="Open Sans" w:cs="Arial"/>
          <w:bCs/>
          <w:sz w:val="20"/>
          <w:szCs w:val="20"/>
        </w:rPr>
        <w:t xml:space="preserve">120 sociedades </w:t>
      </w:r>
      <w:r w:rsidRPr="00AE6053">
        <w:rPr>
          <w:rFonts w:ascii="Open Sans" w:hAnsi="Open Sans" w:cs="Open Sans"/>
          <w:sz w:val="20"/>
          <w:szCs w:val="20"/>
        </w:rPr>
        <w:t>ubicadas en paraísos y nichos fiscales de acuerdo con la metodología del Observatorio de RSC, se considera que existe un grupo de  116 empresas</w:t>
      </w:r>
      <w:r w:rsidRPr="001C7D4E">
        <w:rPr>
          <w:rFonts w:ascii="Open Sans" w:hAnsi="Open Sans" w:cs="Open Sans"/>
          <w:sz w:val="20"/>
          <w:szCs w:val="20"/>
        </w:rPr>
        <w:t xml:space="preserve"> que ofrecen dudas en cuanto a que su actividad tenga que ver con la operativa propia de negocio,</w:t>
      </w:r>
      <w:r w:rsidRPr="002A464E">
        <w:rPr>
          <w:rFonts w:ascii="Open Sans" w:hAnsi="Open Sans" w:cs="Open Sans"/>
          <w:sz w:val="20"/>
          <w:szCs w:val="20"/>
        </w:rPr>
        <w:t xml:space="preserve"> puesto que tanto la declaración de la actividad (sociedades de cartera, financieras, seguros y reaseguros, sociedades de servicios compartidos) como su ubicación generan dudas sobre su posible utilización dentro de una estrategia fiscal planificada. Dudas  que no son susceptibles de resolverse al no aportar la empresa mayor información.</w:t>
      </w:r>
    </w:p>
    <w:p w14:paraId="268379AD" w14:textId="77777777" w:rsidR="00903D51" w:rsidRDefault="00903D51" w:rsidP="00903D51">
      <w:pPr>
        <w:jc w:val="both"/>
        <w:rPr>
          <w:rFonts w:ascii="Open Sans" w:hAnsi="Open Sans" w:cs="Arial"/>
          <w:sz w:val="20"/>
          <w:szCs w:val="20"/>
        </w:rPr>
      </w:pPr>
    </w:p>
    <w:p w14:paraId="1CDFB03A" w14:textId="77777777" w:rsidR="00903D51" w:rsidRDefault="00903D51" w:rsidP="00903D51">
      <w:pPr>
        <w:jc w:val="both"/>
        <w:rPr>
          <w:rFonts w:ascii="Open Sans" w:hAnsi="Open Sans" w:cs="Arial"/>
          <w:sz w:val="20"/>
          <w:szCs w:val="20"/>
        </w:rPr>
      </w:pPr>
      <w:r>
        <w:rPr>
          <w:rFonts w:ascii="Open Sans" w:hAnsi="Open Sans" w:cs="Arial"/>
          <w:sz w:val="20"/>
          <w:szCs w:val="20"/>
        </w:rPr>
        <w:t xml:space="preserve">Debido a la numerosa presencia de empresas del Grupo en este tipo de jurisdicciones sería recomendable que en futuros informes la compañía incluyese también las empresas domiciliadas en estos países bajo una nueva denominación que refleje esta característica diferencial (por ejemplo: nichos fiscales, jurisdicciones con ventajas fiscales especiales, etc.), explicando cómo afecta fiscalmente este hecho al Grupo. </w:t>
      </w:r>
    </w:p>
    <w:p w14:paraId="4C785465" w14:textId="77777777" w:rsidR="00903D51" w:rsidRDefault="00903D51" w:rsidP="00903D51">
      <w:pPr>
        <w:jc w:val="both"/>
        <w:rPr>
          <w:rFonts w:ascii="Open Sans" w:hAnsi="Open Sans" w:cs="Arial"/>
          <w:sz w:val="20"/>
          <w:szCs w:val="20"/>
        </w:rPr>
      </w:pPr>
    </w:p>
    <w:p w14:paraId="3F4A90CA" w14:textId="77777777" w:rsidR="00903D51" w:rsidRDefault="00903D51" w:rsidP="00903D51">
      <w:pPr>
        <w:jc w:val="both"/>
        <w:rPr>
          <w:rFonts w:ascii="Open Sans" w:hAnsi="Open Sans" w:cs="Arial"/>
          <w:sz w:val="20"/>
          <w:szCs w:val="20"/>
        </w:rPr>
      </w:pPr>
    </w:p>
    <w:tbl>
      <w:tblPr>
        <w:tblW w:w="8804" w:type="dxa"/>
        <w:tblInd w:w="55" w:type="dxa"/>
        <w:tblCellMar>
          <w:left w:w="70" w:type="dxa"/>
          <w:right w:w="70" w:type="dxa"/>
        </w:tblCellMar>
        <w:tblLook w:val="04A0" w:firstRow="1" w:lastRow="0" w:firstColumn="1" w:lastColumn="0" w:noHBand="0" w:noVBand="1"/>
      </w:tblPr>
      <w:tblGrid>
        <w:gridCol w:w="3417"/>
        <w:gridCol w:w="1843"/>
        <w:gridCol w:w="3544"/>
      </w:tblGrid>
      <w:tr w:rsidR="00903D51" w:rsidRPr="00F76D47" w14:paraId="793484CC" w14:textId="77777777" w:rsidTr="00903D51">
        <w:trPr>
          <w:trHeight w:val="323"/>
        </w:trPr>
        <w:tc>
          <w:tcPr>
            <w:tcW w:w="3417" w:type="dxa"/>
            <w:tcBorders>
              <w:top w:val="single" w:sz="4" w:space="0" w:color="auto"/>
              <w:left w:val="single" w:sz="4" w:space="0" w:color="auto"/>
              <w:bottom w:val="single" w:sz="4" w:space="0" w:color="auto"/>
              <w:right w:val="single" w:sz="4" w:space="0" w:color="auto"/>
            </w:tcBorders>
            <w:shd w:val="clear" w:color="000000" w:fill="D9D9D9"/>
            <w:hideMark/>
          </w:tcPr>
          <w:p w14:paraId="2AA17704" w14:textId="77777777" w:rsidR="00903D51" w:rsidRPr="00F76D47" w:rsidRDefault="00903D51" w:rsidP="00903D51">
            <w:pPr>
              <w:jc w:val="center"/>
              <w:rPr>
                <w:rFonts w:ascii="Open Sans" w:hAnsi="Open Sans" w:cs="Open Sans"/>
                <w:b/>
                <w:bCs/>
                <w:color w:val="000000"/>
                <w:sz w:val="20"/>
                <w:szCs w:val="20"/>
              </w:rPr>
            </w:pPr>
            <w:r w:rsidRPr="00F76D47">
              <w:rPr>
                <w:rFonts w:ascii="Open Sans" w:hAnsi="Open Sans" w:cs="Open Sans"/>
                <w:b/>
                <w:bCs/>
                <w:color w:val="000000"/>
                <w:sz w:val="20"/>
                <w:szCs w:val="20"/>
              </w:rPr>
              <w:t>Nombre de la Sociedad</w:t>
            </w:r>
          </w:p>
        </w:tc>
        <w:tc>
          <w:tcPr>
            <w:tcW w:w="1843" w:type="dxa"/>
            <w:tcBorders>
              <w:top w:val="single" w:sz="4" w:space="0" w:color="auto"/>
              <w:left w:val="nil"/>
              <w:bottom w:val="single" w:sz="4" w:space="0" w:color="auto"/>
              <w:right w:val="single" w:sz="4" w:space="0" w:color="auto"/>
            </w:tcBorders>
            <w:shd w:val="clear" w:color="000000" w:fill="D9D9D9"/>
            <w:hideMark/>
          </w:tcPr>
          <w:p w14:paraId="0F5FA1EF" w14:textId="77777777" w:rsidR="00903D51" w:rsidRPr="00F76D47" w:rsidRDefault="00903D51" w:rsidP="00903D51">
            <w:pPr>
              <w:jc w:val="center"/>
              <w:rPr>
                <w:rFonts w:ascii="Open Sans" w:hAnsi="Open Sans" w:cs="Open Sans"/>
                <w:b/>
                <w:bCs/>
                <w:color w:val="000000"/>
                <w:sz w:val="20"/>
                <w:szCs w:val="20"/>
              </w:rPr>
            </w:pPr>
            <w:r w:rsidRPr="00F76D47">
              <w:rPr>
                <w:rFonts w:ascii="Open Sans" w:hAnsi="Open Sans" w:cs="Open Sans"/>
                <w:b/>
                <w:bCs/>
                <w:color w:val="000000"/>
                <w:sz w:val="20"/>
                <w:szCs w:val="20"/>
              </w:rPr>
              <w:t>Jurisdicción</w:t>
            </w:r>
          </w:p>
        </w:tc>
        <w:tc>
          <w:tcPr>
            <w:tcW w:w="3544" w:type="dxa"/>
            <w:tcBorders>
              <w:top w:val="single" w:sz="4" w:space="0" w:color="auto"/>
              <w:left w:val="nil"/>
              <w:bottom w:val="single" w:sz="4" w:space="0" w:color="auto"/>
              <w:right w:val="single" w:sz="4" w:space="0" w:color="auto"/>
            </w:tcBorders>
            <w:shd w:val="clear" w:color="000000" w:fill="D9D9D9"/>
            <w:hideMark/>
          </w:tcPr>
          <w:p w14:paraId="62D3FA41" w14:textId="77777777" w:rsidR="00903D51" w:rsidRPr="00F76D47" w:rsidRDefault="00903D51" w:rsidP="00903D51">
            <w:pPr>
              <w:jc w:val="center"/>
              <w:rPr>
                <w:rFonts w:ascii="Open Sans" w:hAnsi="Open Sans" w:cs="Open Sans"/>
                <w:b/>
                <w:bCs/>
                <w:color w:val="000000"/>
                <w:sz w:val="20"/>
                <w:szCs w:val="20"/>
              </w:rPr>
            </w:pPr>
            <w:r w:rsidRPr="00F76D47">
              <w:rPr>
                <w:rFonts w:ascii="Open Sans" w:hAnsi="Open Sans" w:cs="Open Sans"/>
                <w:b/>
                <w:bCs/>
                <w:color w:val="000000"/>
                <w:sz w:val="20"/>
                <w:szCs w:val="20"/>
              </w:rPr>
              <w:t>Actividad</w:t>
            </w:r>
          </w:p>
        </w:tc>
      </w:tr>
      <w:tr w:rsidR="00903D51" w:rsidRPr="00F76D47" w14:paraId="54A86DD8" w14:textId="77777777" w:rsidTr="00903D51">
        <w:trPr>
          <w:trHeight w:val="1200"/>
        </w:trPr>
        <w:tc>
          <w:tcPr>
            <w:tcW w:w="3417" w:type="dxa"/>
            <w:tcBorders>
              <w:top w:val="nil"/>
              <w:left w:val="single" w:sz="4" w:space="0" w:color="auto"/>
              <w:bottom w:val="single" w:sz="4" w:space="0" w:color="auto"/>
              <w:right w:val="single" w:sz="4" w:space="0" w:color="auto"/>
            </w:tcBorders>
            <w:shd w:val="clear" w:color="auto" w:fill="auto"/>
            <w:hideMark/>
          </w:tcPr>
          <w:p w14:paraId="6ED7899B"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Resources (Bahamas) Ltd.</w:t>
            </w:r>
          </w:p>
        </w:tc>
        <w:tc>
          <w:tcPr>
            <w:tcW w:w="1843" w:type="dxa"/>
            <w:tcBorders>
              <w:top w:val="nil"/>
              <w:left w:val="nil"/>
              <w:bottom w:val="single" w:sz="4" w:space="0" w:color="auto"/>
              <w:right w:val="single" w:sz="4" w:space="0" w:color="auto"/>
            </w:tcBorders>
            <w:shd w:val="clear" w:color="auto" w:fill="auto"/>
            <w:hideMark/>
          </w:tcPr>
          <w:p w14:paraId="5DC6F71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Bahamas</w:t>
            </w:r>
          </w:p>
        </w:tc>
        <w:tc>
          <w:tcPr>
            <w:tcW w:w="3544" w:type="dxa"/>
            <w:tcBorders>
              <w:top w:val="nil"/>
              <w:left w:val="nil"/>
              <w:bottom w:val="single" w:sz="4" w:space="0" w:color="auto"/>
              <w:right w:val="single" w:sz="4" w:space="0" w:color="auto"/>
            </w:tcBorders>
            <w:shd w:val="clear" w:color="auto" w:fill="auto"/>
            <w:hideMark/>
          </w:tcPr>
          <w:p w14:paraId="350324D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 (domiciliada fiscalmente en Reino Unido)</w:t>
            </w:r>
          </w:p>
        </w:tc>
      </w:tr>
      <w:tr w:rsidR="00903D51" w:rsidRPr="00F76D47" w14:paraId="163D9DA6"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5C8AE45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Fortuna International (Barbados) Inc.</w:t>
            </w:r>
          </w:p>
        </w:tc>
        <w:tc>
          <w:tcPr>
            <w:tcW w:w="1843" w:type="dxa"/>
            <w:tcBorders>
              <w:top w:val="nil"/>
              <w:left w:val="nil"/>
              <w:bottom w:val="single" w:sz="4" w:space="0" w:color="auto"/>
              <w:right w:val="single" w:sz="4" w:space="0" w:color="auto"/>
            </w:tcBorders>
            <w:shd w:val="clear" w:color="auto" w:fill="auto"/>
            <w:hideMark/>
          </w:tcPr>
          <w:p w14:paraId="5766B48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1A28472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0FF84C5C"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4D5A8E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Fortuna International Petroleum Corporation</w:t>
            </w:r>
          </w:p>
        </w:tc>
        <w:tc>
          <w:tcPr>
            <w:tcW w:w="1843" w:type="dxa"/>
            <w:tcBorders>
              <w:top w:val="nil"/>
              <w:left w:val="nil"/>
              <w:bottom w:val="single" w:sz="4" w:space="0" w:color="auto"/>
              <w:right w:val="single" w:sz="4" w:space="0" w:color="auto"/>
            </w:tcBorders>
            <w:shd w:val="clear" w:color="auto" w:fill="auto"/>
            <w:hideMark/>
          </w:tcPr>
          <w:p w14:paraId="23BE216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5013503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26C32F6E"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3960FC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Oleum Insurance Company Ltd.</w:t>
            </w:r>
          </w:p>
        </w:tc>
        <w:tc>
          <w:tcPr>
            <w:tcW w:w="1843" w:type="dxa"/>
            <w:tcBorders>
              <w:top w:val="nil"/>
              <w:left w:val="nil"/>
              <w:bottom w:val="single" w:sz="4" w:space="0" w:color="auto"/>
              <w:right w:val="single" w:sz="4" w:space="0" w:color="auto"/>
            </w:tcBorders>
            <w:shd w:val="clear" w:color="auto" w:fill="auto"/>
            <w:hideMark/>
          </w:tcPr>
          <w:p w14:paraId="6EE7510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3B1B70C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4117A106"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8FF6954"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(Corridor) Ltd.</w:t>
            </w:r>
          </w:p>
        </w:tc>
        <w:tc>
          <w:tcPr>
            <w:tcW w:w="1843" w:type="dxa"/>
            <w:tcBorders>
              <w:top w:val="nil"/>
              <w:left w:val="nil"/>
              <w:bottom w:val="single" w:sz="4" w:space="0" w:color="auto"/>
              <w:right w:val="single" w:sz="4" w:space="0" w:color="auto"/>
            </w:tcBorders>
            <w:shd w:val="clear" w:color="auto" w:fill="auto"/>
            <w:hideMark/>
          </w:tcPr>
          <w:p w14:paraId="6978713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4C9D141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128C3AF"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2893CA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International (Barbados) Inc.</w:t>
            </w:r>
          </w:p>
        </w:tc>
        <w:tc>
          <w:tcPr>
            <w:tcW w:w="1843" w:type="dxa"/>
            <w:tcBorders>
              <w:top w:val="nil"/>
              <w:left w:val="nil"/>
              <w:bottom w:val="single" w:sz="4" w:space="0" w:color="auto"/>
              <w:right w:val="single" w:sz="4" w:space="0" w:color="auto"/>
            </w:tcBorders>
            <w:shd w:val="clear" w:color="auto" w:fill="auto"/>
            <w:hideMark/>
          </w:tcPr>
          <w:p w14:paraId="25E85B2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5DFD155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0138593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3E7EDF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International Business Corporation</w:t>
            </w:r>
          </w:p>
        </w:tc>
        <w:tc>
          <w:tcPr>
            <w:tcW w:w="1843" w:type="dxa"/>
            <w:tcBorders>
              <w:top w:val="nil"/>
              <w:left w:val="nil"/>
              <w:bottom w:val="single" w:sz="4" w:space="0" w:color="auto"/>
              <w:right w:val="single" w:sz="4" w:space="0" w:color="auto"/>
            </w:tcBorders>
            <w:shd w:val="clear" w:color="auto" w:fill="auto"/>
            <w:hideMark/>
          </w:tcPr>
          <w:p w14:paraId="139FD01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74FF4CF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 (sociedad inactiva y en proceso de liquidación)</w:t>
            </w:r>
          </w:p>
        </w:tc>
      </w:tr>
      <w:tr w:rsidR="00903D51" w:rsidRPr="00F76D47" w14:paraId="5931F9E7"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9C2DFA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Malaysia (PM3) Ltd.</w:t>
            </w:r>
          </w:p>
        </w:tc>
        <w:tc>
          <w:tcPr>
            <w:tcW w:w="1843" w:type="dxa"/>
            <w:tcBorders>
              <w:top w:val="nil"/>
              <w:left w:val="nil"/>
              <w:bottom w:val="single" w:sz="4" w:space="0" w:color="auto"/>
              <w:right w:val="single" w:sz="4" w:space="0" w:color="auto"/>
            </w:tcBorders>
            <w:shd w:val="clear" w:color="auto" w:fill="auto"/>
            <w:hideMark/>
          </w:tcPr>
          <w:p w14:paraId="740AF99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6416C93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3E512A10"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D4CF23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Malaysia Holdings Ltd.</w:t>
            </w:r>
          </w:p>
        </w:tc>
        <w:tc>
          <w:tcPr>
            <w:tcW w:w="1843" w:type="dxa"/>
            <w:tcBorders>
              <w:top w:val="nil"/>
              <w:left w:val="nil"/>
              <w:bottom w:val="single" w:sz="4" w:space="0" w:color="auto"/>
              <w:right w:val="single" w:sz="4" w:space="0" w:color="auto"/>
            </w:tcBorders>
            <w:shd w:val="clear" w:color="auto" w:fill="auto"/>
            <w:hideMark/>
          </w:tcPr>
          <w:p w14:paraId="3BF576B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52D7DD4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312E099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AC77AE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Malaysia Ltd.</w:t>
            </w:r>
          </w:p>
        </w:tc>
        <w:tc>
          <w:tcPr>
            <w:tcW w:w="1843" w:type="dxa"/>
            <w:tcBorders>
              <w:top w:val="nil"/>
              <w:left w:val="nil"/>
              <w:bottom w:val="single" w:sz="4" w:space="0" w:color="auto"/>
              <w:right w:val="single" w:sz="4" w:space="0" w:color="auto"/>
            </w:tcBorders>
            <w:shd w:val="clear" w:color="auto" w:fill="auto"/>
            <w:hideMark/>
          </w:tcPr>
          <w:p w14:paraId="61C300F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110969D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3C4D8E07" w14:textId="77777777" w:rsidTr="00903D51">
        <w:trPr>
          <w:trHeight w:val="653"/>
        </w:trPr>
        <w:tc>
          <w:tcPr>
            <w:tcW w:w="3417" w:type="dxa"/>
            <w:tcBorders>
              <w:top w:val="nil"/>
              <w:left w:val="single" w:sz="4" w:space="0" w:color="auto"/>
              <w:bottom w:val="single" w:sz="4" w:space="0" w:color="auto"/>
              <w:right w:val="single" w:sz="4" w:space="0" w:color="auto"/>
            </w:tcBorders>
            <w:shd w:val="clear" w:color="auto" w:fill="auto"/>
            <w:hideMark/>
          </w:tcPr>
          <w:p w14:paraId="4E33A1D4"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Ltd.</w:t>
            </w:r>
          </w:p>
        </w:tc>
        <w:tc>
          <w:tcPr>
            <w:tcW w:w="1843" w:type="dxa"/>
            <w:tcBorders>
              <w:top w:val="nil"/>
              <w:left w:val="nil"/>
              <w:bottom w:val="single" w:sz="4" w:space="0" w:color="auto"/>
              <w:right w:val="single" w:sz="4" w:space="0" w:color="auto"/>
            </w:tcBorders>
            <w:shd w:val="clear" w:color="auto" w:fill="auto"/>
            <w:hideMark/>
          </w:tcPr>
          <w:p w14:paraId="2DD41B0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3D1DD3A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2F0E6EEF"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64E6CA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BP Trinidad &amp; Tobago, LLC</w:t>
            </w:r>
          </w:p>
        </w:tc>
        <w:tc>
          <w:tcPr>
            <w:tcW w:w="1843" w:type="dxa"/>
            <w:tcBorders>
              <w:top w:val="nil"/>
              <w:left w:val="nil"/>
              <w:bottom w:val="single" w:sz="4" w:space="0" w:color="auto"/>
              <w:right w:val="single" w:sz="4" w:space="0" w:color="auto"/>
            </w:tcBorders>
            <w:shd w:val="clear" w:color="auto" w:fill="auto"/>
            <w:hideMark/>
          </w:tcPr>
          <w:p w14:paraId="09AAE86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7CA3B2C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66E6C597"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57C29D3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BPRY Caribbean Ventures LLC</w:t>
            </w:r>
          </w:p>
        </w:tc>
        <w:tc>
          <w:tcPr>
            <w:tcW w:w="1843" w:type="dxa"/>
            <w:tcBorders>
              <w:top w:val="nil"/>
              <w:left w:val="nil"/>
              <w:bottom w:val="single" w:sz="4" w:space="0" w:color="auto"/>
              <w:right w:val="single" w:sz="4" w:space="0" w:color="auto"/>
            </w:tcBorders>
            <w:shd w:val="clear" w:color="auto" w:fill="auto"/>
            <w:hideMark/>
          </w:tcPr>
          <w:p w14:paraId="6016316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4E712D6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2EAABEE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E372C8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Dynasol, Llc.</w:t>
            </w:r>
          </w:p>
        </w:tc>
        <w:tc>
          <w:tcPr>
            <w:tcW w:w="1843" w:type="dxa"/>
            <w:tcBorders>
              <w:top w:val="nil"/>
              <w:left w:val="nil"/>
              <w:bottom w:val="single" w:sz="4" w:space="0" w:color="auto"/>
              <w:right w:val="single" w:sz="4" w:space="0" w:color="auto"/>
            </w:tcBorders>
            <w:shd w:val="clear" w:color="auto" w:fill="auto"/>
            <w:hideMark/>
          </w:tcPr>
          <w:p w14:paraId="65B384B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32F651B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Comercialización de productos petroquímicos</w:t>
            </w:r>
          </w:p>
        </w:tc>
      </w:tr>
      <w:tr w:rsidR="00903D51" w:rsidRPr="00F76D47" w14:paraId="38E1ED54"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769F4A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 xml:space="preserve">Edwards Gas Services LLC </w:t>
            </w:r>
          </w:p>
        </w:tc>
        <w:tc>
          <w:tcPr>
            <w:tcW w:w="1843" w:type="dxa"/>
            <w:tcBorders>
              <w:top w:val="nil"/>
              <w:left w:val="nil"/>
              <w:bottom w:val="single" w:sz="4" w:space="0" w:color="auto"/>
              <w:right w:val="single" w:sz="4" w:space="0" w:color="auto"/>
            </w:tcBorders>
            <w:shd w:val="clear" w:color="auto" w:fill="auto"/>
            <w:hideMark/>
          </w:tcPr>
          <w:p w14:paraId="66DAF9D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79AE904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36D3B0C"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E5A7AD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FEX GP Inc.</w:t>
            </w:r>
          </w:p>
        </w:tc>
        <w:tc>
          <w:tcPr>
            <w:tcW w:w="1843" w:type="dxa"/>
            <w:tcBorders>
              <w:top w:val="nil"/>
              <w:left w:val="nil"/>
              <w:bottom w:val="single" w:sz="4" w:space="0" w:color="auto"/>
              <w:right w:val="single" w:sz="4" w:space="0" w:color="auto"/>
            </w:tcBorders>
            <w:shd w:val="clear" w:color="auto" w:fill="auto"/>
            <w:hideMark/>
          </w:tcPr>
          <w:p w14:paraId="002692D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62DB558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 (sociedad inactiva)</w:t>
            </w:r>
          </w:p>
        </w:tc>
      </w:tr>
      <w:tr w:rsidR="00903D51" w:rsidRPr="00F76D47" w14:paraId="0F9BA2CC"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07EE7C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Fortuna Energy Holding Inc.</w:t>
            </w:r>
          </w:p>
        </w:tc>
        <w:tc>
          <w:tcPr>
            <w:tcW w:w="1843" w:type="dxa"/>
            <w:tcBorders>
              <w:top w:val="nil"/>
              <w:left w:val="nil"/>
              <w:bottom w:val="single" w:sz="4" w:space="0" w:color="auto"/>
              <w:right w:val="single" w:sz="4" w:space="0" w:color="auto"/>
            </w:tcBorders>
            <w:shd w:val="clear" w:color="auto" w:fill="auto"/>
            <w:hideMark/>
          </w:tcPr>
          <w:p w14:paraId="7F8F259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31A12F2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7ED2790"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0C1309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FUSI GP Llc.</w:t>
            </w:r>
          </w:p>
        </w:tc>
        <w:tc>
          <w:tcPr>
            <w:tcW w:w="1843" w:type="dxa"/>
            <w:tcBorders>
              <w:top w:val="nil"/>
              <w:left w:val="nil"/>
              <w:bottom w:val="single" w:sz="4" w:space="0" w:color="auto"/>
              <w:right w:val="single" w:sz="4" w:space="0" w:color="auto"/>
            </w:tcBorders>
            <w:shd w:val="clear" w:color="auto" w:fill="auto"/>
            <w:hideMark/>
          </w:tcPr>
          <w:p w14:paraId="6E7211C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2921FCD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 (sociedad inactiva)</w:t>
            </w:r>
          </w:p>
        </w:tc>
      </w:tr>
      <w:tr w:rsidR="00903D51" w:rsidRPr="00F76D47" w14:paraId="426D71E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0136AE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Insa, Llc.</w:t>
            </w:r>
          </w:p>
        </w:tc>
        <w:tc>
          <w:tcPr>
            <w:tcW w:w="1843" w:type="dxa"/>
            <w:tcBorders>
              <w:top w:val="nil"/>
              <w:left w:val="nil"/>
              <w:bottom w:val="single" w:sz="4" w:space="0" w:color="auto"/>
              <w:right w:val="single" w:sz="4" w:space="0" w:color="auto"/>
            </w:tcBorders>
            <w:shd w:val="clear" w:color="auto" w:fill="auto"/>
            <w:hideMark/>
          </w:tcPr>
          <w:p w14:paraId="03F9AEA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1CAD60F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Comercialización de productos NBR de caucho</w:t>
            </w:r>
          </w:p>
        </w:tc>
      </w:tr>
      <w:tr w:rsidR="00903D51" w:rsidRPr="00F76D47" w14:paraId="21817CEB"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7BB7D65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Occidental de Colombia, LLC</w:t>
            </w:r>
          </w:p>
        </w:tc>
        <w:tc>
          <w:tcPr>
            <w:tcW w:w="1843" w:type="dxa"/>
            <w:tcBorders>
              <w:top w:val="nil"/>
              <w:left w:val="nil"/>
              <w:bottom w:val="single" w:sz="4" w:space="0" w:color="auto"/>
              <w:right w:val="single" w:sz="4" w:space="0" w:color="auto"/>
            </w:tcBorders>
            <w:shd w:val="clear" w:color="auto" w:fill="auto"/>
            <w:hideMark/>
          </w:tcPr>
          <w:p w14:paraId="56A5BB6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2F13B13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030D551B" w14:textId="77777777" w:rsidTr="00903D51">
        <w:trPr>
          <w:trHeight w:val="1152"/>
        </w:trPr>
        <w:tc>
          <w:tcPr>
            <w:tcW w:w="3417" w:type="dxa"/>
            <w:tcBorders>
              <w:top w:val="nil"/>
              <w:left w:val="single" w:sz="4" w:space="0" w:color="auto"/>
              <w:bottom w:val="single" w:sz="4" w:space="0" w:color="auto"/>
              <w:right w:val="single" w:sz="4" w:space="0" w:color="auto"/>
            </w:tcBorders>
            <w:shd w:val="clear" w:color="auto" w:fill="auto"/>
            <w:hideMark/>
          </w:tcPr>
          <w:p w14:paraId="7FA20E3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Principle Power Inc.</w:t>
            </w:r>
          </w:p>
        </w:tc>
        <w:tc>
          <w:tcPr>
            <w:tcW w:w="1843" w:type="dxa"/>
            <w:tcBorders>
              <w:top w:val="nil"/>
              <w:left w:val="nil"/>
              <w:bottom w:val="single" w:sz="4" w:space="0" w:color="auto"/>
              <w:right w:val="single" w:sz="4" w:space="0" w:color="auto"/>
            </w:tcBorders>
            <w:shd w:val="clear" w:color="auto" w:fill="auto"/>
            <w:hideMark/>
          </w:tcPr>
          <w:p w14:paraId="07088C2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6DF5A023" w14:textId="5FB11EA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Holding de g</w:t>
            </w:r>
            <w:r>
              <w:rPr>
                <w:rFonts w:ascii="Open Sans" w:hAnsi="Open Sans" w:cs="Open Sans"/>
                <w:color w:val="000000"/>
                <w:sz w:val="20"/>
                <w:szCs w:val="20"/>
              </w:rPr>
              <w:t xml:space="preserve">rupo de empresas. Desarrollador </w:t>
            </w:r>
            <w:r w:rsidRPr="00F76D47">
              <w:rPr>
                <w:rFonts w:ascii="Open Sans" w:hAnsi="Open Sans" w:cs="Open Sans"/>
                <w:color w:val="000000"/>
                <w:sz w:val="20"/>
                <w:szCs w:val="20"/>
              </w:rPr>
              <w:t>de tecnolo</w:t>
            </w:r>
            <w:r>
              <w:rPr>
                <w:rFonts w:ascii="Open Sans" w:hAnsi="Open Sans" w:cs="Open Sans"/>
                <w:color w:val="000000"/>
                <w:sz w:val="20"/>
                <w:szCs w:val="20"/>
              </w:rPr>
              <w:t xml:space="preserve">gía eólica offshore de aguas de </w:t>
            </w:r>
            <w:r w:rsidRPr="00F76D47">
              <w:rPr>
                <w:rFonts w:ascii="Open Sans" w:hAnsi="Open Sans" w:cs="Open Sans"/>
                <w:color w:val="000000"/>
                <w:sz w:val="20"/>
                <w:szCs w:val="20"/>
              </w:rPr>
              <w:t>media y alta profundidad</w:t>
            </w:r>
          </w:p>
        </w:tc>
      </w:tr>
      <w:tr w:rsidR="00903D51" w:rsidRPr="006A3DA3" w14:paraId="79739C82"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1869FF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E &amp; P USA, Inc.</w:t>
            </w:r>
          </w:p>
        </w:tc>
        <w:tc>
          <w:tcPr>
            <w:tcW w:w="1843" w:type="dxa"/>
            <w:tcBorders>
              <w:top w:val="nil"/>
              <w:left w:val="nil"/>
              <w:bottom w:val="single" w:sz="4" w:space="0" w:color="auto"/>
              <w:right w:val="single" w:sz="4" w:space="0" w:color="auto"/>
            </w:tcBorders>
            <w:shd w:val="clear" w:color="auto" w:fill="auto"/>
            <w:hideMark/>
          </w:tcPr>
          <w:p w14:paraId="14B462B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673BBAA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715562FA"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3482840"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Repsol Energy North America Corporation</w:t>
            </w:r>
          </w:p>
        </w:tc>
        <w:tc>
          <w:tcPr>
            <w:tcW w:w="1843" w:type="dxa"/>
            <w:tcBorders>
              <w:top w:val="nil"/>
              <w:left w:val="nil"/>
              <w:bottom w:val="single" w:sz="4" w:space="0" w:color="auto"/>
              <w:right w:val="single" w:sz="4" w:space="0" w:color="auto"/>
            </w:tcBorders>
            <w:shd w:val="clear" w:color="auto" w:fill="auto"/>
            <w:hideMark/>
          </w:tcPr>
          <w:p w14:paraId="623D173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5CB0450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Comercialización de GNL</w:t>
            </w:r>
          </w:p>
        </w:tc>
      </w:tr>
      <w:tr w:rsidR="00903D51" w:rsidRPr="00F76D47" w14:paraId="51B5A97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73C3028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Offshore E &amp; P USA, Inc.</w:t>
            </w:r>
          </w:p>
        </w:tc>
        <w:tc>
          <w:tcPr>
            <w:tcW w:w="1843" w:type="dxa"/>
            <w:tcBorders>
              <w:top w:val="nil"/>
              <w:left w:val="nil"/>
              <w:bottom w:val="single" w:sz="4" w:space="0" w:color="auto"/>
              <w:right w:val="single" w:sz="4" w:space="0" w:color="auto"/>
            </w:tcBorders>
            <w:shd w:val="clear" w:color="auto" w:fill="auto"/>
            <w:hideMark/>
          </w:tcPr>
          <w:p w14:paraId="1B461DD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6BF283C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35C651A5"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132AA4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Services Company</w:t>
            </w:r>
          </w:p>
        </w:tc>
        <w:tc>
          <w:tcPr>
            <w:tcW w:w="1843" w:type="dxa"/>
            <w:tcBorders>
              <w:top w:val="nil"/>
              <w:left w:val="nil"/>
              <w:bottom w:val="single" w:sz="4" w:space="0" w:color="auto"/>
              <w:right w:val="single" w:sz="4" w:space="0" w:color="auto"/>
            </w:tcBorders>
            <w:shd w:val="clear" w:color="auto" w:fill="auto"/>
            <w:hideMark/>
          </w:tcPr>
          <w:p w14:paraId="4FBAFED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53CE8B6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EDC9975"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14370A6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Trading USA Corporation</w:t>
            </w:r>
          </w:p>
        </w:tc>
        <w:tc>
          <w:tcPr>
            <w:tcW w:w="1843" w:type="dxa"/>
            <w:tcBorders>
              <w:top w:val="nil"/>
              <w:left w:val="nil"/>
              <w:bottom w:val="single" w:sz="4" w:space="0" w:color="auto"/>
              <w:right w:val="single" w:sz="4" w:space="0" w:color="auto"/>
            </w:tcBorders>
            <w:shd w:val="clear" w:color="auto" w:fill="auto"/>
            <w:hideMark/>
          </w:tcPr>
          <w:p w14:paraId="1E95B9C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7104C3E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Trading y transporte</w:t>
            </w:r>
          </w:p>
        </w:tc>
      </w:tr>
      <w:tr w:rsidR="00903D51" w:rsidRPr="00F76D47" w14:paraId="6F876C0B"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FF8193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USA Holdings Corporation</w:t>
            </w:r>
          </w:p>
        </w:tc>
        <w:tc>
          <w:tcPr>
            <w:tcW w:w="1843" w:type="dxa"/>
            <w:tcBorders>
              <w:top w:val="nil"/>
              <w:left w:val="nil"/>
              <w:bottom w:val="single" w:sz="4" w:space="0" w:color="auto"/>
              <w:right w:val="single" w:sz="4" w:space="0" w:color="auto"/>
            </w:tcBorders>
            <w:shd w:val="clear" w:color="auto" w:fill="auto"/>
            <w:hideMark/>
          </w:tcPr>
          <w:p w14:paraId="7BEC022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281CAF8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40E9C83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948C833"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Rock Solid Images US Group, Inc.</w:t>
            </w:r>
          </w:p>
        </w:tc>
        <w:tc>
          <w:tcPr>
            <w:tcW w:w="1843" w:type="dxa"/>
            <w:tcBorders>
              <w:top w:val="nil"/>
              <w:left w:val="nil"/>
              <w:bottom w:val="single" w:sz="4" w:space="0" w:color="auto"/>
              <w:right w:val="single" w:sz="4" w:space="0" w:color="auto"/>
            </w:tcBorders>
            <w:shd w:val="clear" w:color="auto" w:fill="auto"/>
            <w:hideMark/>
          </w:tcPr>
          <w:p w14:paraId="38351D1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68A945D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Desarrollo de aplicaciones en el campo de la geofísica</w:t>
            </w:r>
          </w:p>
        </w:tc>
      </w:tr>
      <w:tr w:rsidR="00903D51" w:rsidRPr="00F76D47" w14:paraId="10F91447" w14:textId="77777777" w:rsidTr="00903D51">
        <w:trPr>
          <w:trHeight w:val="900"/>
        </w:trPr>
        <w:tc>
          <w:tcPr>
            <w:tcW w:w="3417" w:type="dxa"/>
            <w:tcBorders>
              <w:top w:val="nil"/>
              <w:left w:val="single" w:sz="4" w:space="0" w:color="auto"/>
              <w:bottom w:val="single" w:sz="4" w:space="0" w:color="auto"/>
              <w:right w:val="single" w:sz="4" w:space="0" w:color="auto"/>
            </w:tcBorders>
            <w:shd w:val="clear" w:color="auto" w:fill="auto"/>
            <w:hideMark/>
          </w:tcPr>
          <w:p w14:paraId="63B3924B"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Saint John Gas Marketing Company</w:t>
            </w:r>
          </w:p>
        </w:tc>
        <w:tc>
          <w:tcPr>
            <w:tcW w:w="1843" w:type="dxa"/>
            <w:tcBorders>
              <w:top w:val="nil"/>
              <w:left w:val="nil"/>
              <w:bottom w:val="single" w:sz="4" w:space="0" w:color="auto"/>
              <w:right w:val="single" w:sz="4" w:space="0" w:color="auto"/>
            </w:tcBorders>
            <w:shd w:val="clear" w:color="auto" w:fill="auto"/>
            <w:hideMark/>
          </w:tcPr>
          <w:p w14:paraId="7B0021A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4F1919A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Apoyo y/o participación para realizar una inversión en una planta de licuefacción en</w:t>
            </w:r>
            <w:r>
              <w:rPr>
                <w:rFonts w:ascii="Open Sans" w:hAnsi="Open Sans" w:cs="Open Sans"/>
                <w:color w:val="000000"/>
                <w:sz w:val="20"/>
                <w:szCs w:val="20"/>
              </w:rPr>
              <w:t xml:space="preserve"> </w:t>
            </w:r>
            <w:r w:rsidRPr="00F76D47">
              <w:rPr>
                <w:rFonts w:ascii="Open Sans" w:hAnsi="Open Sans" w:cs="Open Sans"/>
                <w:color w:val="000000"/>
                <w:sz w:val="20"/>
                <w:szCs w:val="20"/>
              </w:rPr>
              <w:t>Canadá.</w:t>
            </w:r>
          </w:p>
        </w:tc>
      </w:tr>
      <w:tr w:rsidR="00903D51" w:rsidRPr="00F76D47" w14:paraId="5ACC24A1"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3E8B92A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Energy Services Inc.</w:t>
            </w:r>
          </w:p>
        </w:tc>
        <w:tc>
          <w:tcPr>
            <w:tcW w:w="1843" w:type="dxa"/>
            <w:tcBorders>
              <w:top w:val="nil"/>
              <w:left w:val="nil"/>
              <w:bottom w:val="single" w:sz="4" w:space="0" w:color="auto"/>
              <w:right w:val="single" w:sz="4" w:space="0" w:color="auto"/>
            </w:tcBorders>
            <w:shd w:val="clear" w:color="auto" w:fill="auto"/>
            <w:hideMark/>
          </w:tcPr>
          <w:p w14:paraId="0B85E69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2AECD5A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servicios compartidos</w:t>
            </w:r>
          </w:p>
        </w:tc>
      </w:tr>
      <w:tr w:rsidR="00903D51" w:rsidRPr="00F76D47" w14:paraId="07C386EA"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4A6159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Energy USA Inc.</w:t>
            </w:r>
          </w:p>
        </w:tc>
        <w:tc>
          <w:tcPr>
            <w:tcW w:w="1843" w:type="dxa"/>
            <w:tcBorders>
              <w:top w:val="nil"/>
              <w:left w:val="nil"/>
              <w:bottom w:val="single" w:sz="4" w:space="0" w:color="auto"/>
              <w:right w:val="single" w:sz="4" w:space="0" w:color="auto"/>
            </w:tcBorders>
            <w:shd w:val="clear" w:color="auto" w:fill="auto"/>
            <w:hideMark/>
          </w:tcPr>
          <w:p w14:paraId="529751A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1223F03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68EEABC8" w14:textId="77777777" w:rsidTr="00903D51">
        <w:trPr>
          <w:trHeight w:val="630"/>
        </w:trPr>
        <w:tc>
          <w:tcPr>
            <w:tcW w:w="3417" w:type="dxa"/>
            <w:tcBorders>
              <w:top w:val="nil"/>
              <w:left w:val="single" w:sz="4" w:space="0" w:color="auto"/>
              <w:bottom w:val="single" w:sz="4" w:space="0" w:color="auto"/>
              <w:right w:val="single" w:sz="4" w:space="0" w:color="auto"/>
            </w:tcBorders>
            <w:shd w:val="clear" w:color="auto" w:fill="auto"/>
            <w:hideMark/>
          </w:tcPr>
          <w:p w14:paraId="731B6811"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Vietnam 07/03-CRD Corporation LLC - NUEVA</w:t>
            </w:r>
          </w:p>
        </w:tc>
        <w:tc>
          <w:tcPr>
            <w:tcW w:w="1843" w:type="dxa"/>
            <w:tcBorders>
              <w:top w:val="nil"/>
              <w:left w:val="nil"/>
              <w:bottom w:val="single" w:sz="4" w:space="0" w:color="auto"/>
              <w:right w:val="single" w:sz="4" w:space="0" w:color="auto"/>
            </w:tcBorders>
            <w:shd w:val="clear" w:color="auto" w:fill="auto"/>
            <w:hideMark/>
          </w:tcPr>
          <w:p w14:paraId="7D7442B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EEUU. Delaware</w:t>
            </w:r>
          </w:p>
        </w:tc>
        <w:tc>
          <w:tcPr>
            <w:tcW w:w="3544" w:type="dxa"/>
            <w:tcBorders>
              <w:top w:val="nil"/>
              <w:left w:val="nil"/>
              <w:bottom w:val="single" w:sz="4" w:space="0" w:color="auto"/>
              <w:right w:val="single" w:sz="4" w:space="0" w:color="auto"/>
            </w:tcBorders>
            <w:shd w:val="clear" w:color="auto" w:fill="auto"/>
            <w:hideMark/>
          </w:tcPr>
          <w:p w14:paraId="702F7D8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6E555BBE"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741037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Greenstone Assurance, Ltd.</w:t>
            </w:r>
          </w:p>
        </w:tc>
        <w:tc>
          <w:tcPr>
            <w:tcW w:w="1843" w:type="dxa"/>
            <w:tcBorders>
              <w:top w:val="nil"/>
              <w:left w:val="nil"/>
              <w:bottom w:val="single" w:sz="4" w:space="0" w:color="auto"/>
              <w:right w:val="single" w:sz="4" w:space="0" w:color="auto"/>
            </w:tcBorders>
            <w:shd w:val="clear" w:color="auto" w:fill="auto"/>
            <w:hideMark/>
          </w:tcPr>
          <w:p w14:paraId="042F47C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Bermudas</w:t>
            </w:r>
          </w:p>
        </w:tc>
        <w:tc>
          <w:tcPr>
            <w:tcW w:w="3544" w:type="dxa"/>
            <w:tcBorders>
              <w:top w:val="nil"/>
              <w:left w:val="nil"/>
              <w:bottom w:val="single" w:sz="4" w:space="0" w:color="auto"/>
              <w:right w:val="single" w:sz="4" w:space="0" w:color="auto"/>
            </w:tcBorders>
            <w:shd w:val="clear" w:color="auto" w:fill="auto"/>
            <w:hideMark/>
          </w:tcPr>
          <w:p w14:paraId="24E1325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Seguros y reaseguros (sociedad en situación de "run-off")</w:t>
            </w:r>
          </w:p>
        </w:tc>
      </w:tr>
      <w:tr w:rsidR="00903D51" w:rsidRPr="00F76D47" w14:paraId="0042B543"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5BAD78F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Oil Casualty Insurance, Ltd</w:t>
            </w:r>
          </w:p>
        </w:tc>
        <w:tc>
          <w:tcPr>
            <w:tcW w:w="1843" w:type="dxa"/>
            <w:tcBorders>
              <w:top w:val="nil"/>
              <w:left w:val="nil"/>
              <w:bottom w:val="single" w:sz="4" w:space="0" w:color="auto"/>
              <w:right w:val="single" w:sz="4" w:space="0" w:color="auto"/>
            </w:tcBorders>
            <w:shd w:val="clear" w:color="auto" w:fill="auto"/>
            <w:hideMark/>
          </w:tcPr>
          <w:p w14:paraId="2905853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Bermudas</w:t>
            </w:r>
          </w:p>
        </w:tc>
        <w:tc>
          <w:tcPr>
            <w:tcW w:w="3544" w:type="dxa"/>
            <w:tcBorders>
              <w:top w:val="nil"/>
              <w:left w:val="nil"/>
              <w:bottom w:val="single" w:sz="4" w:space="0" w:color="auto"/>
              <w:right w:val="single" w:sz="4" w:space="0" w:color="auto"/>
            </w:tcBorders>
            <w:shd w:val="clear" w:color="auto" w:fill="auto"/>
            <w:hideMark/>
          </w:tcPr>
          <w:p w14:paraId="53D3D29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mutuas de reaseguro</w:t>
            </w:r>
          </w:p>
        </w:tc>
      </w:tr>
      <w:tr w:rsidR="00903D51" w:rsidRPr="00F76D47" w14:paraId="7FF46339"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1A308CF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Oil Insurance, Ltd</w:t>
            </w:r>
          </w:p>
        </w:tc>
        <w:tc>
          <w:tcPr>
            <w:tcW w:w="1843" w:type="dxa"/>
            <w:tcBorders>
              <w:top w:val="nil"/>
              <w:left w:val="nil"/>
              <w:bottom w:val="single" w:sz="4" w:space="0" w:color="auto"/>
              <w:right w:val="single" w:sz="4" w:space="0" w:color="auto"/>
            </w:tcBorders>
            <w:shd w:val="clear" w:color="auto" w:fill="auto"/>
            <w:hideMark/>
          </w:tcPr>
          <w:p w14:paraId="539D312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Bermudas</w:t>
            </w:r>
          </w:p>
        </w:tc>
        <w:tc>
          <w:tcPr>
            <w:tcW w:w="3544" w:type="dxa"/>
            <w:tcBorders>
              <w:top w:val="nil"/>
              <w:left w:val="nil"/>
              <w:bottom w:val="single" w:sz="4" w:space="0" w:color="auto"/>
              <w:right w:val="single" w:sz="4" w:space="0" w:color="auto"/>
            </w:tcBorders>
            <w:shd w:val="clear" w:color="auto" w:fill="auto"/>
            <w:hideMark/>
          </w:tcPr>
          <w:p w14:paraId="5073A7A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mutuas de reaseguro</w:t>
            </w:r>
          </w:p>
        </w:tc>
      </w:tr>
      <w:tr w:rsidR="00903D51" w:rsidRPr="00F76D47" w14:paraId="6DA6FB0F"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5D8F779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Oleoducto de Crudos Pesados, Ltd.</w:t>
            </w:r>
          </w:p>
        </w:tc>
        <w:tc>
          <w:tcPr>
            <w:tcW w:w="1843" w:type="dxa"/>
            <w:tcBorders>
              <w:top w:val="nil"/>
              <w:left w:val="nil"/>
              <w:bottom w:val="single" w:sz="4" w:space="0" w:color="auto"/>
              <w:right w:val="single" w:sz="4" w:space="0" w:color="auto"/>
            </w:tcBorders>
            <w:shd w:val="clear" w:color="auto" w:fill="auto"/>
            <w:hideMark/>
          </w:tcPr>
          <w:p w14:paraId="63EAEB3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Caimán</w:t>
            </w:r>
          </w:p>
        </w:tc>
        <w:tc>
          <w:tcPr>
            <w:tcW w:w="3544" w:type="dxa"/>
            <w:tcBorders>
              <w:top w:val="nil"/>
              <w:left w:val="nil"/>
              <w:bottom w:val="single" w:sz="4" w:space="0" w:color="auto"/>
              <w:right w:val="single" w:sz="4" w:space="0" w:color="auto"/>
            </w:tcBorders>
            <w:shd w:val="clear" w:color="auto" w:fill="auto"/>
            <w:hideMark/>
          </w:tcPr>
          <w:p w14:paraId="464F5CC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9EE454A"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9FA543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Exploration Services, Ltd.</w:t>
            </w:r>
          </w:p>
        </w:tc>
        <w:tc>
          <w:tcPr>
            <w:tcW w:w="1843" w:type="dxa"/>
            <w:tcBorders>
              <w:top w:val="nil"/>
              <w:left w:val="nil"/>
              <w:bottom w:val="single" w:sz="4" w:space="0" w:color="auto"/>
              <w:right w:val="single" w:sz="4" w:space="0" w:color="auto"/>
            </w:tcBorders>
            <w:shd w:val="clear" w:color="auto" w:fill="auto"/>
            <w:hideMark/>
          </w:tcPr>
          <w:p w14:paraId="537D1BF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Caimán</w:t>
            </w:r>
          </w:p>
        </w:tc>
        <w:tc>
          <w:tcPr>
            <w:tcW w:w="3544" w:type="dxa"/>
            <w:tcBorders>
              <w:top w:val="nil"/>
              <w:left w:val="nil"/>
              <w:bottom w:val="single" w:sz="4" w:space="0" w:color="auto"/>
              <w:right w:val="single" w:sz="4" w:space="0" w:color="auto"/>
            </w:tcBorders>
            <w:shd w:val="clear" w:color="auto" w:fill="auto"/>
            <w:hideMark/>
          </w:tcPr>
          <w:p w14:paraId="01A7B59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4BD4668" w14:textId="77777777" w:rsidTr="00903D51">
        <w:trPr>
          <w:trHeight w:val="609"/>
        </w:trPr>
        <w:tc>
          <w:tcPr>
            <w:tcW w:w="3417" w:type="dxa"/>
            <w:tcBorders>
              <w:top w:val="nil"/>
              <w:left w:val="single" w:sz="4" w:space="0" w:color="auto"/>
              <w:bottom w:val="single" w:sz="4" w:space="0" w:color="auto"/>
              <w:right w:val="single" w:sz="4" w:space="0" w:color="auto"/>
            </w:tcBorders>
            <w:shd w:val="clear" w:color="000000" w:fill="FFFFFF"/>
            <w:hideMark/>
          </w:tcPr>
          <w:p w14:paraId="64E4DCC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Foreland Oil Ltd.</w:t>
            </w:r>
          </w:p>
        </w:tc>
        <w:tc>
          <w:tcPr>
            <w:tcW w:w="1843" w:type="dxa"/>
            <w:tcBorders>
              <w:top w:val="nil"/>
              <w:left w:val="nil"/>
              <w:bottom w:val="single" w:sz="4" w:space="0" w:color="auto"/>
              <w:right w:val="single" w:sz="4" w:space="0" w:color="auto"/>
            </w:tcBorders>
            <w:shd w:val="clear" w:color="000000" w:fill="FFFFFF"/>
            <w:hideMark/>
          </w:tcPr>
          <w:p w14:paraId="3AF6D32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Vírgenes</w:t>
            </w:r>
            <w:r>
              <w:rPr>
                <w:rFonts w:ascii="Open Sans" w:hAnsi="Open Sans" w:cs="Open Sans"/>
                <w:color w:val="000000"/>
                <w:sz w:val="20"/>
                <w:szCs w:val="20"/>
              </w:rPr>
              <w:t xml:space="preserve"> Británicas</w:t>
            </w:r>
          </w:p>
        </w:tc>
        <w:tc>
          <w:tcPr>
            <w:tcW w:w="3544" w:type="dxa"/>
            <w:tcBorders>
              <w:top w:val="nil"/>
              <w:left w:val="nil"/>
              <w:bottom w:val="single" w:sz="4" w:space="0" w:color="auto"/>
              <w:right w:val="single" w:sz="4" w:space="0" w:color="auto"/>
            </w:tcBorders>
            <w:shd w:val="clear" w:color="000000" w:fill="FFFFFF"/>
            <w:hideMark/>
          </w:tcPr>
          <w:p w14:paraId="2A0ECC3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2DB5BEA8" w14:textId="77777777" w:rsidTr="00903D51">
        <w:trPr>
          <w:trHeight w:val="548"/>
        </w:trPr>
        <w:tc>
          <w:tcPr>
            <w:tcW w:w="3417" w:type="dxa"/>
            <w:tcBorders>
              <w:top w:val="nil"/>
              <w:left w:val="single" w:sz="4" w:space="0" w:color="auto"/>
              <w:bottom w:val="single" w:sz="4" w:space="0" w:color="auto"/>
              <w:right w:val="single" w:sz="4" w:space="0" w:color="auto"/>
            </w:tcBorders>
            <w:shd w:val="clear" w:color="000000" w:fill="FFFFFF"/>
            <w:hideMark/>
          </w:tcPr>
          <w:p w14:paraId="3C42B0E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Wiriagar Overseas Ltd.</w:t>
            </w:r>
          </w:p>
        </w:tc>
        <w:tc>
          <w:tcPr>
            <w:tcW w:w="1843" w:type="dxa"/>
            <w:tcBorders>
              <w:top w:val="nil"/>
              <w:left w:val="nil"/>
              <w:bottom w:val="single" w:sz="4" w:space="0" w:color="auto"/>
              <w:right w:val="single" w:sz="4" w:space="0" w:color="auto"/>
            </w:tcBorders>
            <w:shd w:val="clear" w:color="000000" w:fill="FFFFFF"/>
            <w:hideMark/>
          </w:tcPr>
          <w:p w14:paraId="6588DBA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Vírgenes Británi</w:t>
            </w:r>
            <w:r>
              <w:rPr>
                <w:rFonts w:ascii="Open Sans" w:hAnsi="Open Sans" w:cs="Open Sans"/>
                <w:color w:val="000000"/>
                <w:sz w:val="20"/>
                <w:szCs w:val="20"/>
              </w:rPr>
              <w:t>cas</w:t>
            </w:r>
          </w:p>
        </w:tc>
        <w:tc>
          <w:tcPr>
            <w:tcW w:w="3544" w:type="dxa"/>
            <w:tcBorders>
              <w:top w:val="nil"/>
              <w:left w:val="nil"/>
              <w:bottom w:val="single" w:sz="4" w:space="0" w:color="auto"/>
              <w:right w:val="single" w:sz="4" w:space="0" w:color="auto"/>
            </w:tcBorders>
            <w:shd w:val="clear" w:color="000000" w:fill="FFFFFF"/>
            <w:hideMark/>
          </w:tcPr>
          <w:p w14:paraId="4E5F00F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28C2295C" w14:textId="77777777" w:rsidTr="00903D51">
        <w:trPr>
          <w:trHeight w:val="555"/>
        </w:trPr>
        <w:tc>
          <w:tcPr>
            <w:tcW w:w="3417" w:type="dxa"/>
            <w:tcBorders>
              <w:top w:val="nil"/>
              <w:left w:val="single" w:sz="4" w:space="0" w:color="auto"/>
              <w:bottom w:val="single" w:sz="4" w:space="0" w:color="auto"/>
              <w:right w:val="single" w:sz="4" w:space="0" w:color="auto"/>
            </w:tcBorders>
            <w:shd w:val="clear" w:color="000000" w:fill="FFFFFF"/>
            <w:hideMark/>
          </w:tcPr>
          <w:p w14:paraId="305FF73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Fortuna Resources (Sunda) Ltd.</w:t>
            </w:r>
          </w:p>
        </w:tc>
        <w:tc>
          <w:tcPr>
            <w:tcW w:w="1843" w:type="dxa"/>
            <w:tcBorders>
              <w:top w:val="nil"/>
              <w:left w:val="nil"/>
              <w:bottom w:val="single" w:sz="4" w:space="0" w:color="auto"/>
              <w:right w:val="single" w:sz="4" w:space="0" w:color="auto"/>
            </w:tcBorders>
            <w:shd w:val="clear" w:color="000000" w:fill="FFFFFF"/>
            <w:hideMark/>
          </w:tcPr>
          <w:p w14:paraId="6C9BDE0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Islas Vírgenes</w:t>
            </w:r>
            <w:r>
              <w:rPr>
                <w:rFonts w:ascii="Open Sans" w:hAnsi="Open Sans" w:cs="Open Sans"/>
                <w:color w:val="000000"/>
                <w:sz w:val="20"/>
                <w:szCs w:val="20"/>
              </w:rPr>
              <w:t xml:space="preserve"> Británicas</w:t>
            </w:r>
          </w:p>
        </w:tc>
        <w:tc>
          <w:tcPr>
            <w:tcW w:w="3544" w:type="dxa"/>
            <w:tcBorders>
              <w:top w:val="nil"/>
              <w:left w:val="nil"/>
              <w:bottom w:val="single" w:sz="4" w:space="0" w:color="auto"/>
              <w:right w:val="single" w:sz="4" w:space="0" w:color="auto"/>
            </w:tcBorders>
            <w:shd w:val="clear" w:color="000000" w:fill="FFFFFF"/>
            <w:hideMark/>
          </w:tcPr>
          <w:p w14:paraId="32A2C09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5F97D5EC"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3BB9681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Albatros, S.à.r.L.</w:t>
            </w:r>
          </w:p>
        </w:tc>
        <w:tc>
          <w:tcPr>
            <w:tcW w:w="1843" w:type="dxa"/>
            <w:tcBorders>
              <w:top w:val="nil"/>
              <w:left w:val="nil"/>
              <w:bottom w:val="single" w:sz="4" w:space="0" w:color="auto"/>
              <w:right w:val="single" w:sz="4" w:space="0" w:color="auto"/>
            </w:tcBorders>
            <w:shd w:val="clear" w:color="auto" w:fill="auto"/>
            <w:hideMark/>
          </w:tcPr>
          <w:p w14:paraId="52DC1B7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61178D6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4703FE5"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5EF69919"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FEHI Holding S.ar.l.</w:t>
            </w:r>
          </w:p>
        </w:tc>
        <w:tc>
          <w:tcPr>
            <w:tcW w:w="1843" w:type="dxa"/>
            <w:tcBorders>
              <w:top w:val="nil"/>
              <w:left w:val="nil"/>
              <w:bottom w:val="single" w:sz="4" w:space="0" w:color="auto"/>
              <w:right w:val="single" w:sz="4" w:space="0" w:color="auto"/>
            </w:tcBorders>
            <w:shd w:val="clear" w:color="auto" w:fill="auto"/>
            <w:hideMark/>
          </w:tcPr>
          <w:p w14:paraId="355C302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2CB0C48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F2DC8EE"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314FE74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Fortuna Finance Corporation S.ar.l.</w:t>
            </w:r>
          </w:p>
        </w:tc>
        <w:tc>
          <w:tcPr>
            <w:tcW w:w="1843" w:type="dxa"/>
            <w:tcBorders>
              <w:top w:val="nil"/>
              <w:left w:val="nil"/>
              <w:bottom w:val="single" w:sz="4" w:space="0" w:color="auto"/>
              <w:right w:val="single" w:sz="4" w:space="0" w:color="auto"/>
            </w:tcBorders>
            <w:shd w:val="clear" w:color="auto" w:fill="auto"/>
            <w:hideMark/>
          </w:tcPr>
          <w:p w14:paraId="6168FD7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13CF9FA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w:t>
            </w:r>
          </w:p>
        </w:tc>
      </w:tr>
      <w:tr w:rsidR="00903D51" w:rsidRPr="00F76D47" w14:paraId="4F2D92D1"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3A82097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Gaviota RE, S.A.</w:t>
            </w:r>
          </w:p>
        </w:tc>
        <w:tc>
          <w:tcPr>
            <w:tcW w:w="1843" w:type="dxa"/>
            <w:tcBorders>
              <w:top w:val="nil"/>
              <w:left w:val="nil"/>
              <w:bottom w:val="single" w:sz="4" w:space="0" w:color="auto"/>
              <w:right w:val="single" w:sz="4" w:space="0" w:color="auto"/>
            </w:tcBorders>
            <w:shd w:val="clear" w:color="auto" w:fill="auto"/>
            <w:hideMark/>
          </w:tcPr>
          <w:p w14:paraId="29B1B3C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214AD72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Seguros y reaseguros</w:t>
            </w:r>
          </w:p>
        </w:tc>
      </w:tr>
      <w:tr w:rsidR="00903D51" w:rsidRPr="00F76D47" w14:paraId="7650797A"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26641FB"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Holding International S.ar.l</w:t>
            </w:r>
          </w:p>
        </w:tc>
        <w:tc>
          <w:tcPr>
            <w:tcW w:w="1843" w:type="dxa"/>
            <w:tcBorders>
              <w:top w:val="nil"/>
              <w:left w:val="nil"/>
              <w:bottom w:val="single" w:sz="4" w:space="0" w:color="auto"/>
              <w:right w:val="single" w:sz="4" w:space="0" w:color="auto"/>
            </w:tcBorders>
            <w:shd w:val="clear" w:color="auto" w:fill="auto"/>
            <w:hideMark/>
          </w:tcPr>
          <w:p w14:paraId="47FDFCC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75D7E3F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 (sociedad inactiva)</w:t>
            </w:r>
          </w:p>
        </w:tc>
      </w:tr>
      <w:tr w:rsidR="00903D51" w:rsidRPr="00F76D47" w14:paraId="3977E70B"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085130F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TE Capital S.ar.l.</w:t>
            </w:r>
          </w:p>
        </w:tc>
        <w:tc>
          <w:tcPr>
            <w:tcW w:w="1843" w:type="dxa"/>
            <w:tcBorders>
              <w:top w:val="nil"/>
              <w:left w:val="nil"/>
              <w:bottom w:val="single" w:sz="4" w:space="0" w:color="auto"/>
              <w:right w:val="single" w:sz="4" w:space="0" w:color="auto"/>
            </w:tcBorders>
            <w:shd w:val="clear" w:color="auto" w:fill="auto"/>
            <w:hideMark/>
          </w:tcPr>
          <w:p w14:paraId="2DCF252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7ED12B5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w:t>
            </w:r>
          </w:p>
        </w:tc>
      </w:tr>
      <w:tr w:rsidR="00903D51" w:rsidRPr="00F76D47" w14:paraId="0FAE28AD"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7E76D6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TE Colombia Holding S.ar.l</w:t>
            </w:r>
          </w:p>
        </w:tc>
        <w:tc>
          <w:tcPr>
            <w:tcW w:w="1843" w:type="dxa"/>
            <w:tcBorders>
              <w:top w:val="nil"/>
              <w:left w:val="nil"/>
              <w:bottom w:val="single" w:sz="4" w:space="0" w:color="auto"/>
              <w:right w:val="single" w:sz="4" w:space="0" w:color="auto"/>
            </w:tcBorders>
            <w:shd w:val="clear" w:color="auto" w:fill="auto"/>
            <w:hideMark/>
          </w:tcPr>
          <w:p w14:paraId="145C210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2D6B7D2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52F8F26C"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275B3BF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TE Finance S.ar.l.</w:t>
            </w:r>
          </w:p>
        </w:tc>
        <w:tc>
          <w:tcPr>
            <w:tcW w:w="1843" w:type="dxa"/>
            <w:tcBorders>
              <w:top w:val="nil"/>
              <w:left w:val="nil"/>
              <w:bottom w:val="single" w:sz="4" w:space="0" w:color="auto"/>
              <w:right w:val="single" w:sz="4" w:space="0" w:color="auto"/>
            </w:tcBorders>
            <w:shd w:val="clear" w:color="auto" w:fill="auto"/>
            <w:hideMark/>
          </w:tcPr>
          <w:p w14:paraId="7217E7F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1A29DC6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w:t>
            </w:r>
          </w:p>
        </w:tc>
      </w:tr>
      <w:tr w:rsidR="00903D51" w:rsidRPr="00F76D47" w14:paraId="0307EA71"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378EA02"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TE Global Holding S.ar.l</w:t>
            </w:r>
          </w:p>
        </w:tc>
        <w:tc>
          <w:tcPr>
            <w:tcW w:w="1843" w:type="dxa"/>
            <w:tcBorders>
              <w:top w:val="nil"/>
              <w:left w:val="nil"/>
              <w:bottom w:val="single" w:sz="4" w:space="0" w:color="auto"/>
              <w:right w:val="single" w:sz="4" w:space="0" w:color="auto"/>
            </w:tcBorders>
            <w:shd w:val="clear" w:color="auto" w:fill="auto"/>
            <w:hideMark/>
          </w:tcPr>
          <w:p w14:paraId="40B6213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2625610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 (sociedad inactiva)</w:t>
            </w:r>
          </w:p>
        </w:tc>
      </w:tr>
      <w:tr w:rsidR="00903D51" w:rsidRPr="00F76D47" w14:paraId="0368B792"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1B99A8F"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TE Holding S.ar.l.</w:t>
            </w:r>
          </w:p>
        </w:tc>
        <w:tc>
          <w:tcPr>
            <w:tcW w:w="1843" w:type="dxa"/>
            <w:tcBorders>
              <w:top w:val="nil"/>
              <w:left w:val="nil"/>
              <w:bottom w:val="single" w:sz="4" w:space="0" w:color="auto"/>
              <w:right w:val="single" w:sz="4" w:space="0" w:color="auto"/>
            </w:tcBorders>
            <w:shd w:val="clear" w:color="auto" w:fill="auto"/>
            <w:hideMark/>
          </w:tcPr>
          <w:p w14:paraId="286B51E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3832796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5DEDBAFC"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3570A4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TE NOK S.ar.l.</w:t>
            </w:r>
            <w:r>
              <w:rPr>
                <w:rStyle w:val="Refdenotaalpie"/>
                <w:color w:val="000000"/>
                <w:szCs w:val="20"/>
              </w:rPr>
              <w:t xml:space="preserve"> </w:t>
            </w:r>
          </w:p>
        </w:tc>
        <w:tc>
          <w:tcPr>
            <w:tcW w:w="1843" w:type="dxa"/>
            <w:tcBorders>
              <w:top w:val="nil"/>
              <w:left w:val="nil"/>
              <w:bottom w:val="single" w:sz="4" w:space="0" w:color="auto"/>
              <w:right w:val="single" w:sz="4" w:space="0" w:color="auto"/>
            </w:tcBorders>
            <w:shd w:val="clear" w:color="auto" w:fill="auto"/>
            <w:hideMark/>
          </w:tcPr>
          <w:p w14:paraId="1D31D5A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1BDF3B2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 (sociedad inactiva)</w:t>
            </w:r>
          </w:p>
        </w:tc>
      </w:tr>
      <w:tr w:rsidR="00903D51" w:rsidRPr="00F76D47" w14:paraId="3D94E69E"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042B31A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TE Resources S.ar.l.</w:t>
            </w:r>
            <w:r>
              <w:rPr>
                <w:rStyle w:val="Refdenotaalpie"/>
                <w:color w:val="000000"/>
                <w:szCs w:val="20"/>
              </w:rPr>
              <w:t xml:space="preserve"> </w:t>
            </w:r>
          </w:p>
        </w:tc>
        <w:tc>
          <w:tcPr>
            <w:tcW w:w="1843" w:type="dxa"/>
            <w:tcBorders>
              <w:top w:val="nil"/>
              <w:left w:val="nil"/>
              <w:bottom w:val="single" w:sz="4" w:space="0" w:color="auto"/>
              <w:right w:val="single" w:sz="4" w:space="0" w:color="auto"/>
            </w:tcBorders>
            <w:shd w:val="clear" w:color="auto" w:fill="auto"/>
            <w:hideMark/>
          </w:tcPr>
          <w:p w14:paraId="081BF6C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Luxemburgo</w:t>
            </w:r>
          </w:p>
        </w:tc>
        <w:tc>
          <w:tcPr>
            <w:tcW w:w="3544" w:type="dxa"/>
            <w:tcBorders>
              <w:top w:val="nil"/>
              <w:left w:val="nil"/>
              <w:bottom w:val="single" w:sz="4" w:space="0" w:color="auto"/>
              <w:right w:val="single" w:sz="4" w:space="0" w:color="auto"/>
            </w:tcBorders>
            <w:shd w:val="clear" w:color="auto" w:fill="auto"/>
            <w:hideMark/>
          </w:tcPr>
          <w:p w14:paraId="33D6415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 (sociedad inactiva)</w:t>
            </w:r>
          </w:p>
        </w:tc>
      </w:tr>
      <w:tr w:rsidR="00903D51" w:rsidRPr="00F76D47" w14:paraId="5D70E138"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1460109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Agri Development, B.V.</w:t>
            </w:r>
          </w:p>
        </w:tc>
        <w:tc>
          <w:tcPr>
            <w:tcW w:w="1843" w:type="dxa"/>
            <w:tcBorders>
              <w:top w:val="nil"/>
              <w:left w:val="nil"/>
              <w:bottom w:val="single" w:sz="4" w:space="0" w:color="auto"/>
              <w:right w:val="single" w:sz="4" w:space="0" w:color="auto"/>
            </w:tcBorders>
            <w:shd w:val="clear" w:color="auto" w:fill="auto"/>
            <w:hideMark/>
          </w:tcPr>
          <w:p w14:paraId="44695ED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9689D8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Construcción para la producción de crudo y gas natural offshore</w:t>
            </w:r>
          </w:p>
        </w:tc>
      </w:tr>
      <w:tr w:rsidR="00903D51" w:rsidRPr="00F76D47" w14:paraId="6213DD2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E7D079F"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Akakus Oil Operations, B.V.</w:t>
            </w:r>
          </w:p>
        </w:tc>
        <w:tc>
          <w:tcPr>
            <w:tcW w:w="1843" w:type="dxa"/>
            <w:tcBorders>
              <w:top w:val="nil"/>
              <w:left w:val="nil"/>
              <w:bottom w:val="single" w:sz="4" w:space="0" w:color="auto"/>
              <w:right w:val="single" w:sz="4" w:space="0" w:color="auto"/>
            </w:tcBorders>
            <w:shd w:val="clear" w:color="auto" w:fill="auto"/>
            <w:hideMark/>
          </w:tcPr>
          <w:p w14:paraId="2D9A364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02121A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265E6A93"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2F18F053"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AR Oil &amp; Gaz, B.V.</w:t>
            </w:r>
          </w:p>
        </w:tc>
        <w:tc>
          <w:tcPr>
            <w:tcW w:w="1843" w:type="dxa"/>
            <w:tcBorders>
              <w:top w:val="nil"/>
              <w:left w:val="nil"/>
              <w:bottom w:val="single" w:sz="4" w:space="0" w:color="auto"/>
              <w:right w:val="single" w:sz="4" w:space="0" w:color="auto"/>
            </w:tcBorders>
            <w:shd w:val="clear" w:color="auto" w:fill="auto"/>
            <w:hideMark/>
          </w:tcPr>
          <w:p w14:paraId="6AC865F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4FD597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6D77C02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F2B474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Guará, B.V.</w:t>
            </w:r>
          </w:p>
        </w:tc>
        <w:tc>
          <w:tcPr>
            <w:tcW w:w="1843" w:type="dxa"/>
            <w:tcBorders>
              <w:top w:val="nil"/>
              <w:left w:val="nil"/>
              <w:bottom w:val="single" w:sz="4" w:space="0" w:color="auto"/>
              <w:right w:val="single" w:sz="4" w:space="0" w:color="auto"/>
            </w:tcBorders>
            <w:shd w:val="clear" w:color="auto" w:fill="auto"/>
            <w:hideMark/>
          </w:tcPr>
          <w:p w14:paraId="0A5AE37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5BD3F55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Construcción para la producción de crudo y gas natural</w:t>
            </w:r>
          </w:p>
        </w:tc>
      </w:tr>
      <w:tr w:rsidR="00903D51" w:rsidRPr="00F76D47" w14:paraId="2B487F2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61479A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Angola 22, B.V.</w:t>
            </w:r>
          </w:p>
        </w:tc>
        <w:tc>
          <w:tcPr>
            <w:tcW w:w="1843" w:type="dxa"/>
            <w:tcBorders>
              <w:top w:val="nil"/>
              <w:left w:val="nil"/>
              <w:bottom w:val="single" w:sz="4" w:space="0" w:color="auto"/>
              <w:right w:val="single" w:sz="4" w:space="0" w:color="auto"/>
            </w:tcBorders>
            <w:shd w:val="clear" w:color="auto" w:fill="auto"/>
            <w:hideMark/>
          </w:tcPr>
          <w:p w14:paraId="7A8CE14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9AC1FB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93129F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1743ABD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Angola 35, B.V.</w:t>
            </w:r>
          </w:p>
        </w:tc>
        <w:tc>
          <w:tcPr>
            <w:tcW w:w="1843" w:type="dxa"/>
            <w:tcBorders>
              <w:top w:val="nil"/>
              <w:left w:val="nil"/>
              <w:bottom w:val="single" w:sz="4" w:space="0" w:color="auto"/>
              <w:right w:val="single" w:sz="4" w:space="0" w:color="auto"/>
            </w:tcBorders>
            <w:shd w:val="clear" w:color="auto" w:fill="auto"/>
            <w:hideMark/>
          </w:tcPr>
          <w:p w14:paraId="1A23ACA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65A229F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5B4DF1B"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E23FA3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Angola 37, B.V.</w:t>
            </w:r>
          </w:p>
        </w:tc>
        <w:tc>
          <w:tcPr>
            <w:tcW w:w="1843" w:type="dxa"/>
            <w:tcBorders>
              <w:top w:val="nil"/>
              <w:left w:val="nil"/>
              <w:bottom w:val="single" w:sz="4" w:space="0" w:color="auto"/>
              <w:right w:val="single" w:sz="4" w:space="0" w:color="auto"/>
            </w:tcBorders>
            <w:shd w:val="clear" w:color="auto" w:fill="auto"/>
            <w:hideMark/>
          </w:tcPr>
          <w:p w14:paraId="1543ECA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69D9704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1691340"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16DFF90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Aruba, B.V.</w:t>
            </w:r>
          </w:p>
        </w:tc>
        <w:tc>
          <w:tcPr>
            <w:tcW w:w="1843" w:type="dxa"/>
            <w:tcBorders>
              <w:top w:val="nil"/>
              <w:left w:val="nil"/>
              <w:bottom w:val="single" w:sz="4" w:space="0" w:color="auto"/>
              <w:right w:val="single" w:sz="4" w:space="0" w:color="auto"/>
            </w:tcBorders>
            <w:shd w:val="clear" w:color="auto" w:fill="auto"/>
            <w:hideMark/>
          </w:tcPr>
          <w:p w14:paraId="29627DA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27B5B4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72826B2E"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714460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Bulgaria, B.V.</w:t>
            </w:r>
          </w:p>
        </w:tc>
        <w:tc>
          <w:tcPr>
            <w:tcW w:w="1843" w:type="dxa"/>
            <w:tcBorders>
              <w:top w:val="nil"/>
              <w:left w:val="nil"/>
              <w:bottom w:val="single" w:sz="4" w:space="0" w:color="auto"/>
              <w:right w:val="single" w:sz="4" w:space="0" w:color="auto"/>
            </w:tcBorders>
            <w:shd w:val="clear" w:color="auto" w:fill="auto"/>
            <w:hideMark/>
          </w:tcPr>
          <w:p w14:paraId="2FCF7B3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5B6024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4688B5D3" w14:textId="77777777" w:rsidTr="00903D51">
        <w:trPr>
          <w:trHeight w:val="630"/>
        </w:trPr>
        <w:tc>
          <w:tcPr>
            <w:tcW w:w="3417" w:type="dxa"/>
            <w:tcBorders>
              <w:top w:val="nil"/>
              <w:left w:val="single" w:sz="4" w:space="0" w:color="auto"/>
              <w:bottom w:val="single" w:sz="4" w:space="0" w:color="auto"/>
              <w:right w:val="single" w:sz="4" w:space="0" w:color="auto"/>
            </w:tcBorders>
            <w:shd w:val="clear" w:color="auto" w:fill="auto"/>
            <w:hideMark/>
          </w:tcPr>
          <w:p w14:paraId="1056BA8D"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Cendrawasih I, B.V.</w:t>
            </w:r>
          </w:p>
        </w:tc>
        <w:tc>
          <w:tcPr>
            <w:tcW w:w="1843" w:type="dxa"/>
            <w:tcBorders>
              <w:top w:val="nil"/>
              <w:left w:val="nil"/>
              <w:bottom w:val="single" w:sz="4" w:space="0" w:color="auto"/>
              <w:right w:val="single" w:sz="4" w:space="0" w:color="auto"/>
            </w:tcBorders>
            <w:shd w:val="clear" w:color="auto" w:fill="auto"/>
            <w:hideMark/>
          </w:tcPr>
          <w:p w14:paraId="6A3F69D8"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DCC6D45"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Exploración y producción de hidrocarburos</w:t>
            </w:r>
          </w:p>
        </w:tc>
      </w:tr>
      <w:tr w:rsidR="00903D51" w:rsidRPr="00F76D47" w14:paraId="3FDC0637" w14:textId="77777777" w:rsidTr="00903D51">
        <w:trPr>
          <w:trHeight w:val="630"/>
        </w:trPr>
        <w:tc>
          <w:tcPr>
            <w:tcW w:w="3417" w:type="dxa"/>
            <w:tcBorders>
              <w:top w:val="nil"/>
              <w:left w:val="single" w:sz="4" w:space="0" w:color="auto"/>
              <w:bottom w:val="single" w:sz="4" w:space="0" w:color="auto"/>
              <w:right w:val="single" w:sz="4" w:space="0" w:color="auto"/>
            </w:tcBorders>
            <w:shd w:val="clear" w:color="auto" w:fill="auto"/>
            <w:hideMark/>
          </w:tcPr>
          <w:p w14:paraId="05B43D9E"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Cendrawasih II, B.V.</w:t>
            </w:r>
          </w:p>
        </w:tc>
        <w:tc>
          <w:tcPr>
            <w:tcW w:w="1843" w:type="dxa"/>
            <w:tcBorders>
              <w:top w:val="nil"/>
              <w:left w:val="nil"/>
              <w:bottom w:val="single" w:sz="4" w:space="0" w:color="auto"/>
              <w:right w:val="single" w:sz="4" w:space="0" w:color="auto"/>
            </w:tcBorders>
            <w:shd w:val="clear" w:color="auto" w:fill="auto"/>
            <w:hideMark/>
          </w:tcPr>
          <w:p w14:paraId="6EAC8154"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6AEA76CA"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Exploración y producción de hidrocarburos</w:t>
            </w:r>
          </w:p>
        </w:tc>
      </w:tr>
      <w:tr w:rsidR="00903D51" w:rsidRPr="00F76D47" w14:paraId="00213DB8" w14:textId="77777777" w:rsidTr="00903D51">
        <w:trPr>
          <w:trHeight w:val="630"/>
        </w:trPr>
        <w:tc>
          <w:tcPr>
            <w:tcW w:w="3417" w:type="dxa"/>
            <w:tcBorders>
              <w:top w:val="nil"/>
              <w:left w:val="single" w:sz="4" w:space="0" w:color="auto"/>
              <w:bottom w:val="single" w:sz="4" w:space="0" w:color="auto"/>
              <w:right w:val="single" w:sz="4" w:space="0" w:color="auto"/>
            </w:tcBorders>
            <w:shd w:val="clear" w:color="auto" w:fill="auto"/>
            <w:hideMark/>
          </w:tcPr>
          <w:p w14:paraId="76E735EF"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Cendrawasih III, B.V.</w:t>
            </w:r>
          </w:p>
        </w:tc>
        <w:tc>
          <w:tcPr>
            <w:tcW w:w="1843" w:type="dxa"/>
            <w:tcBorders>
              <w:top w:val="nil"/>
              <w:left w:val="nil"/>
              <w:bottom w:val="single" w:sz="4" w:space="0" w:color="auto"/>
              <w:right w:val="single" w:sz="4" w:space="0" w:color="auto"/>
            </w:tcBorders>
            <w:shd w:val="clear" w:color="auto" w:fill="auto"/>
            <w:hideMark/>
          </w:tcPr>
          <w:p w14:paraId="1F0CF661"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F54B7EF"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Exploración y producción de hidrocarburos</w:t>
            </w:r>
          </w:p>
        </w:tc>
      </w:tr>
      <w:tr w:rsidR="00903D51" w:rsidRPr="00F76D47" w14:paraId="5DA0B127" w14:textId="77777777" w:rsidTr="00903D51">
        <w:trPr>
          <w:trHeight w:val="630"/>
        </w:trPr>
        <w:tc>
          <w:tcPr>
            <w:tcW w:w="3417" w:type="dxa"/>
            <w:tcBorders>
              <w:top w:val="nil"/>
              <w:left w:val="single" w:sz="4" w:space="0" w:color="auto"/>
              <w:bottom w:val="single" w:sz="4" w:space="0" w:color="auto"/>
              <w:right w:val="single" w:sz="4" w:space="0" w:color="auto"/>
            </w:tcBorders>
            <w:shd w:val="clear" w:color="auto" w:fill="auto"/>
            <w:hideMark/>
          </w:tcPr>
          <w:p w14:paraId="164972EB"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Cendrawasih IV, B.V.</w:t>
            </w:r>
          </w:p>
        </w:tc>
        <w:tc>
          <w:tcPr>
            <w:tcW w:w="1843" w:type="dxa"/>
            <w:tcBorders>
              <w:top w:val="nil"/>
              <w:left w:val="nil"/>
              <w:bottom w:val="single" w:sz="4" w:space="0" w:color="auto"/>
              <w:right w:val="single" w:sz="4" w:space="0" w:color="auto"/>
            </w:tcBorders>
            <w:shd w:val="clear" w:color="auto" w:fill="auto"/>
            <w:hideMark/>
          </w:tcPr>
          <w:p w14:paraId="1ACA6842"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620E6760"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Exploración y producción de hidrocarburos</w:t>
            </w:r>
          </w:p>
        </w:tc>
      </w:tr>
      <w:tr w:rsidR="00903D51" w:rsidRPr="00F76D47" w14:paraId="7184BC8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78B918DB"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East Bula, B.V.</w:t>
            </w:r>
          </w:p>
        </w:tc>
        <w:tc>
          <w:tcPr>
            <w:tcW w:w="1843" w:type="dxa"/>
            <w:tcBorders>
              <w:top w:val="nil"/>
              <w:left w:val="nil"/>
              <w:bottom w:val="single" w:sz="4" w:space="0" w:color="auto"/>
              <w:right w:val="single" w:sz="4" w:space="0" w:color="auto"/>
            </w:tcBorders>
            <w:shd w:val="clear" w:color="auto" w:fill="auto"/>
            <w:hideMark/>
          </w:tcPr>
          <w:p w14:paraId="6FFB74C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CBBF3C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21F5DB51" w14:textId="77777777" w:rsidTr="00903D51">
        <w:trPr>
          <w:trHeight w:val="900"/>
        </w:trPr>
        <w:tc>
          <w:tcPr>
            <w:tcW w:w="3417" w:type="dxa"/>
            <w:tcBorders>
              <w:top w:val="nil"/>
              <w:left w:val="single" w:sz="4" w:space="0" w:color="auto"/>
              <w:bottom w:val="single" w:sz="4" w:space="0" w:color="auto"/>
              <w:right w:val="single" w:sz="4" w:space="0" w:color="auto"/>
            </w:tcBorders>
            <w:shd w:val="clear" w:color="auto" w:fill="auto"/>
            <w:hideMark/>
          </w:tcPr>
          <w:p w14:paraId="0C41D566"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Gorontalo, B.V.</w:t>
            </w:r>
          </w:p>
        </w:tc>
        <w:tc>
          <w:tcPr>
            <w:tcW w:w="1843" w:type="dxa"/>
            <w:tcBorders>
              <w:top w:val="nil"/>
              <w:left w:val="nil"/>
              <w:bottom w:val="single" w:sz="4" w:space="0" w:color="auto"/>
              <w:right w:val="single" w:sz="4" w:space="0" w:color="auto"/>
            </w:tcBorders>
            <w:shd w:val="clear" w:color="auto" w:fill="auto"/>
            <w:hideMark/>
          </w:tcPr>
          <w:p w14:paraId="54A466A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203AC4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 y en proceso de liquidación)</w:t>
            </w:r>
          </w:p>
        </w:tc>
      </w:tr>
      <w:tr w:rsidR="00903D51" w:rsidRPr="00F76D47" w14:paraId="1B6D1D3E"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FEB87FE"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Karabashsky, B.V.</w:t>
            </w:r>
          </w:p>
        </w:tc>
        <w:tc>
          <w:tcPr>
            <w:tcW w:w="1843" w:type="dxa"/>
            <w:tcBorders>
              <w:top w:val="nil"/>
              <w:left w:val="nil"/>
              <w:bottom w:val="single" w:sz="4" w:space="0" w:color="auto"/>
              <w:right w:val="single" w:sz="4" w:space="0" w:color="auto"/>
            </w:tcBorders>
            <w:shd w:val="clear" w:color="auto" w:fill="auto"/>
            <w:hideMark/>
          </w:tcPr>
          <w:p w14:paraId="39CD05B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9624E9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0746D5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407A412"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Liberia, B.V.</w:t>
            </w:r>
          </w:p>
        </w:tc>
        <w:tc>
          <w:tcPr>
            <w:tcW w:w="1843" w:type="dxa"/>
            <w:tcBorders>
              <w:top w:val="nil"/>
              <w:left w:val="nil"/>
              <w:bottom w:val="single" w:sz="4" w:space="0" w:color="auto"/>
              <w:right w:val="single" w:sz="4" w:space="0" w:color="auto"/>
            </w:tcBorders>
            <w:shd w:val="clear" w:color="auto" w:fill="auto"/>
            <w:hideMark/>
          </w:tcPr>
          <w:p w14:paraId="742E2A7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A21097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0B9A2DF1" w14:textId="77777777" w:rsidTr="00903D51">
        <w:trPr>
          <w:trHeight w:val="900"/>
        </w:trPr>
        <w:tc>
          <w:tcPr>
            <w:tcW w:w="3417" w:type="dxa"/>
            <w:tcBorders>
              <w:top w:val="nil"/>
              <w:left w:val="single" w:sz="4" w:space="0" w:color="auto"/>
              <w:bottom w:val="single" w:sz="4" w:space="0" w:color="auto"/>
              <w:right w:val="single" w:sz="4" w:space="0" w:color="auto"/>
            </w:tcBorders>
            <w:shd w:val="clear" w:color="auto" w:fill="auto"/>
            <w:hideMark/>
          </w:tcPr>
          <w:p w14:paraId="1D93D0B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Exploración Numfor, B.V.</w:t>
            </w:r>
            <w:r>
              <w:rPr>
                <w:rStyle w:val="Refdenotaalpie"/>
                <w:color w:val="000000"/>
                <w:szCs w:val="20"/>
              </w:rPr>
              <w:t xml:space="preserve"> </w:t>
            </w:r>
          </w:p>
        </w:tc>
        <w:tc>
          <w:tcPr>
            <w:tcW w:w="1843" w:type="dxa"/>
            <w:tcBorders>
              <w:top w:val="nil"/>
              <w:left w:val="nil"/>
              <w:bottom w:val="single" w:sz="4" w:space="0" w:color="auto"/>
              <w:right w:val="single" w:sz="4" w:space="0" w:color="auto"/>
            </w:tcBorders>
            <w:shd w:val="clear" w:color="auto" w:fill="auto"/>
            <w:hideMark/>
          </w:tcPr>
          <w:p w14:paraId="4ABBC19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FFEC36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 y en proceso de liquidación)</w:t>
            </w:r>
          </w:p>
        </w:tc>
      </w:tr>
      <w:tr w:rsidR="00903D51" w:rsidRPr="00F76D47" w14:paraId="21537B40"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4E137E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Exploración Seram, B.V.</w:t>
            </w:r>
          </w:p>
        </w:tc>
        <w:tc>
          <w:tcPr>
            <w:tcW w:w="1843" w:type="dxa"/>
            <w:tcBorders>
              <w:top w:val="nil"/>
              <w:left w:val="nil"/>
              <w:bottom w:val="single" w:sz="4" w:space="0" w:color="auto"/>
              <w:right w:val="single" w:sz="4" w:space="0" w:color="auto"/>
            </w:tcBorders>
            <w:shd w:val="clear" w:color="auto" w:fill="auto"/>
            <w:hideMark/>
          </w:tcPr>
          <w:p w14:paraId="3F29E84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5C13D2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0D34BFC2" w14:textId="77777777" w:rsidTr="00903D51">
        <w:trPr>
          <w:trHeight w:val="315"/>
        </w:trPr>
        <w:tc>
          <w:tcPr>
            <w:tcW w:w="3417" w:type="dxa"/>
            <w:tcBorders>
              <w:top w:val="nil"/>
              <w:left w:val="single" w:sz="4" w:space="0" w:color="auto"/>
              <w:bottom w:val="single" w:sz="4" w:space="0" w:color="auto"/>
              <w:right w:val="single" w:sz="4" w:space="0" w:color="auto"/>
            </w:tcBorders>
            <w:shd w:val="clear" w:color="auto" w:fill="auto"/>
            <w:hideMark/>
          </w:tcPr>
          <w:p w14:paraId="1AAC12AE"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Repsol Exploración Venezuela, B.V.</w:t>
            </w:r>
          </w:p>
        </w:tc>
        <w:tc>
          <w:tcPr>
            <w:tcW w:w="1843" w:type="dxa"/>
            <w:tcBorders>
              <w:top w:val="nil"/>
              <w:left w:val="nil"/>
              <w:bottom w:val="single" w:sz="4" w:space="0" w:color="auto"/>
              <w:right w:val="single" w:sz="4" w:space="0" w:color="auto"/>
            </w:tcBorders>
            <w:shd w:val="clear" w:color="auto" w:fill="auto"/>
            <w:hideMark/>
          </w:tcPr>
          <w:p w14:paraId="56555B2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397AF8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667FFF0E"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BAD2B6D"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Repsol International Finance, B.V.</w:t>
            </w:r>
          </w:p>
        </w:tc>
        <w:tc>
          <w:tcPr>
            <w:tcW w:w="1843" w:type="dxa"/>
            <w:tcBorders>
              <w:top w:val="nil"/>
              <w:left w:val="nil"/>
              <w:bottom w:val="single" w:sz="4" w:space="0" w:color="auto"/>
              <w:right w:val="single" w:sz="4" w:space="0" w:color="auto"/>
            </w:tcBorders>
            <w:shd w:val="clear" w:color="auto" w:fill="auto"/>
            <w:hideMark/>
          </w:tcPr>
          <w:p w14:paraId="7D67C60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1257ED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 y tenencia de participaciones</w:t>
            </w:r>
          </w:p>
        </w:tc>
      </w:tr>
      <w:tr w:rsidR="00903D51" w:rsidRPr="00F76D47" w14:paraId="69CD1FE2" w14:textId="77777777" w:rsidTr="00903D51">
        <w:trPr>
          <w:trHeight w:val="1200"/>
        </w:trPr>
        <w:tc>
          <w:tcPr>
            <w:tcW w:w="3417" w:type="dxa"/>
            <w:tcBorders>
              <w:top w:val="nil"/>
              <w:left w:val="single" w:sz="4" w:space="0" w:color="auto"/>
              <w:bottom w:val="single" w:sz="4" w:space="0" w:color="auto"/>
              <w:right w:val="single" w:sz="4" w:space="0" w:color="auto"/>
            </w:tcBorders>
            <w:shd w:val="clear" w:color="auto" w:fill="auto"/>
            <w:hideMark/>
          </w:tcPr>
          <w:p w14:paraId="5768AD14"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Repsol LNG Offshore, B.V.</w:t>
            </w:r>
            <w:r w:rsidRPr="00BF4BD6">
              <w:rPr>
                <w:rStyle w:val="Refdenotaalpie"/>
                <w:color w:val="000000"/>
                <w:szCs w:val="20"/>
                <w:lang w:val="en-GB"/>
              </w:rPr>
              <w:t xml:space="preserve"> </w:t>
            </w:r>
          </w:p>
        </w:tc>
        <w:tc>
          <w:tcPr>
            <w:tcW w:w="1843" w:type="dxa"/>
            <w:tcBorders>
              <w:top w:val="nil"/>
              <w:left w:val="nil"/>
              <w:bottom w:val="single" w:sz="4" w:space="0" w:color="auto"/>
              <w:right w:val="single" w:sz="4" w:space="0" w:color="auto"/>
            </w:tcBorders>
            <w:shd w:val="clear" w:color="auto" w:fill="auto"/>
            <w:hideMark/>
          </w:tcPr>
          <w:p w14:paraId="65C4AEC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5730D2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Construcción para la producción de crudo y gas natural offshore (sociedad inactiva y en proceso de liquidación)</w:t>
            </w:r>
          </w:p>
        </w:tc>
      </w:tr>
      <w:tr w:rsidR="00903D51" w:rsidRPr="00F76D47" w14:paraId="513735F5"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7D4D053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Netherlands Finance, BV</w:t>
            </w:r>
          </w:p>
        </w:tc>
        <w:tc>
          <w:tcPr>
            <w:tcW w:w="1843" w:type="dxa"/>
            <w:tcBorders>
              <w:top w:val="nil"/>
              <w:left w:val="nil"/>
              <w:bottom w:val="single" w:sz="4" w:space="0" w:color="auto"/>
              <w:right w:val="single" w:sz="4" w:space="0" w:color="auto"/>
            </w:tcBorders>
            <w:shd w:val="clear" w:color="auto" w:fill="auto"/>
            <w:hideMark/>
          </w:tcPr>
          <w:p w14:paraId="0ECD8F8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7F072C3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Financiera</w:t>
            </w:r>
          </w:p>
        </w:tc>
      </w:tr>
      <w:tr w:rsidR="00903D51" w:rsidRPr="00F76D47" w14:paraId="67FAEF8B"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E1DCFE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Sinopec Brasil, B.V.</w:t>
            </w:r>
          </w:p>
        </w:tc>
        <w:tc>
          <w:tcPr>
            <w:tcW w:w="1843" w:type="dxa"/>
            <w:tcBorders>
              <w:top w:val="nil"/>
              <w:left w:val="nil"/>
              <w:bottom w:val="single" w:sz="4" w:space="0" w:color="auto"/>
              <w:right w:val="single" w:sz="4" w:space="0" w:color="auto"/>
            </w:tcBorders>
            <w:shd w:val="clear" w:color="auto" w:fill="auto"/>
            <w:hideMark/>
          </w:tcPr>
          <w:p w14:paraId="68BD608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42C064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5A8C7C1F"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0C4A87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(Algeria) B.V.</w:t>
            </w:r>
          </w:p>
        </w:tc>
        <w:tc>
          <w:tcPr>
            <w:tcW w:w="1843" w:type="dxa"/>
            <w:tcBorders>
              <w:top w:val="nil"/>
              <w:left w:val="nil"/>
              <w:bottom w:val="single" w:sz="4" w:space="0" w:color="auto"/>
              <w:right w:val="single" w:sz="4" w:space="0" w:color="auto"/>
            </w:tcBorders>
            <w:shd w:val="clear" w:color="auto" w:fill="auto"/>
            <w:hideMark/>
          </w:tcPr>
          <w:p w14:paraId="337F0E6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C58825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2CEEED52"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A82A686"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(Block K 39) B.V.</w:t>
            </w:r>
          </w:p>
        </w:tc>
        <w:tc>
          <w:tcPr>
            <w:tcW w:w="1843" w:type="dxa"/>
            <w:tcBorders>
              <w:top w:val="nil"/>
              <w:left w:val="nil"/>
              <w:bottom w:val="single" w:sz="4" w:space="0" w:color="auto"/>
              <w:right w:val="single" w:sz="4" w:space="0" w:color="auto"/>
            </w:tcBorders>
            <w:shd w:val="clear" w:color="auto" w:fill="auto"/>
            <w:hideMark/>
          </w:tcPr>
          <w:p w14:paraId="613B46C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3A175A4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6FBD666"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5133DFA"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(Block K 44) B.V.</w:t>
            </w:r>
          </w:p>
        </w:tc>
        <w:tc>
          <w:tcPr>
            <w:tcW w:w="1843" w:type="dxa"/>
            <w:tcBorders>
              <w:top w:val="nil"/>
              <w:left w:val="nil"/>
              <w:bottom w:val="single" w:sz="4" w:space="0" w:color="auto"/>
              <w:right w:val="single" w:sz="4" w:space="0" w:color="auto"/>
            </w:tcBorders>
            <w:shd w:val="clear" w:color="auto" w:fill="auto"/>
            <w:hideMark/>
          </w:tcPr>
          <w:p w14:paraId="2E3D7BD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7C4765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74D3FE3A" w14:textId="77777777" w:rsidTr="00903D51">
        <w:trPr>
          <w:trHeight w:val="900"/>
        </w:trPr>
        <w:tc>
          <w:tcPr>
            <w:tcW w:w="3417" w:type="dxa"/>
            <w:tcBorders>
              <w:top w:val="nil"/>
              <w:left w:val="single" w:sz="4" w:space="0" w:color="auto"/>
              <w:bottom w:val="single" w:sz="4" w:space="0" w:color="auto"/>
              <w:right w:val="single" w:sz="4" w:space="0" w:color="auto"/>
            </w:tcBorders>
            <w:shd w:val="clear" w:color="auto" w:fill="auto"/>
            <w:hideMark/>
          </w:tcPr>
          <w:p w14:paraId="565CB9C8"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(Block K 9) B.V.</w:t>
            </w:r>
          </w:p>
        </w:tc>
        <w:tc>
          <w:tcPr>
            <w:tcW w:w="1843" w:type="dxa"/>
            <w:tcBorders>
              <w:top w:val="nil"/>
              <w:left w:val="nil"/>
              <w:bottom w:val="single" w:sz="4" w:space="0" w:color="auto"/>
              <w:right w:val="single" w:sz="4" w:space="0" w:color="auto"/>
            </w:tcBorders>
            <w:shd w:val="clear" w:color="auto" w:fill="auto"/>
            <w:hideMark/>
          </w:tcPr>
          <w:p w14:paraId="3E50065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F1146C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 y en proceso de liquidación)</w:t>
            </w:r>
          </w:p>
        </w:tc>
      </w:tr>
      <w:tr w:rsidR="00903D51" w:rsidRPr="00F76D47" w14:paraId="18C51B3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3CCE60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Andaman B.V.</w:t>
            </w:r>
          </w:p>
        </w:tc>
        <w:tc>
          <w:tcPr>
            <w:tcW w:w="1843" w:type="dxa"/>
            <w:tcBorders>
              <w:top w:val="nil"/>
              <w:left w:val="nil"/>
              <w:bottom w:val="single" w:sz="4" w:space="0" w:color="auto"/>
              <w:right w:val="single" w:sz="4" w:space="0" w:color="auto"/>
            </w:tcBorders>
            <w:shd w:val="clear" w:color="auto" w:fill="auto"/>
            <w:hideMark/>
          </w:tcPr>
          <w:p w14:paraId="66A1E7E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6C4B1DD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15AC431"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CB22A4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Banyumas B.V.</w:t>
            </w:r>
          </w:p>
        </w:tc>
        <w:tc>
          <w:tcPr>
            <w:tcW w:w="1843" w:type="dxa"/>
            <w:tcBorders>
              <w:top w:val="nil"/>
              <w:left w:val="nil"/>
              <w:bottom w:val="single" w:sz="4" w:space="0" w:color="auto"/>
              <w:right w:val="single" w:sz="4" w:space="0" w:color="auto"/>
            </w:tcBorders>
            <w:shd w:val="clear" w:color="auto" w:fill="auto"/>
            <w:hideMark/>
          </w:tcPr>
          <w:p w14:paraId="3A0BE39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7526175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48DED96D"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2225663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Colombia B.V.</w:t>
            </w:r>
          </w:p>
        </w:tc>
        <w:tc>
          <w:tcPr>
            <w:tcW w:w="1843" w:type="dxa"/>
            <w:tcBorders>
              <w:top w:val="nil"/>
              <w:left w:val="nil"/>
              <w:bottom w:val="single" w:sz="4" w:space="0" w:color="auto"/>
              <w:right w:val="single" w:sz="4" w:space="0" w:color="auto"/>
            </w:tcBorders>
            <w:shd w:val="clear" w:color="auto" w:fill="auto"/>
            <w:hideMark/>
          </w:tcPr>
          <w:p w14:paraId="0FD0153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3CCABDC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FDC8752"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848008B"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East Jabung B.V</w:t>
            </w:r>
          </w:p>
        </w:tc>
        <w:tc>
          <w:tcPr>
            <w:tcW w:w="1843" w:type="dxa"/>
            <w:tcBorders>
              <w:top w:val="nil"/>
              <w:left w:val="nil"/>
              <w:bottom w:val="single" w:sz="4" w:space="0" w:color="auto"/>
              <w:right w:val="single" w:sz="4" w:space="0" w:color="auto"/>
            </w:tcBorders>
            <w:shd w:val="clear" w:color="auto" w:fill="auto"/>
            <w:hideMark/>
          </w:tcPr>
          <w:p w14:paraId="6D49951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3AE9367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0A8D1F6"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A401ED1"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East Tanjung B.V.</w:t>
            </w:r>
          </w:p>
        </w:tc>
        <w:tc>
          <w:tcPr>
            <w:tcW w:w="1843" w:type="dxa"/>
            <w:tcBorders>
              <w:top w:val="nil"/>
              <w:left w:val="nil"/>
              <w:bottom w:val="single" w:sz="4" w:space="0" w:color="auto"/>
              <w:right w:val="single" w:sz="4" w:space="0" w:color="auto"/>
            </w:tcBorders>
            <w:shd w:val="clear" w:color="auto" w:fill="auto"/>
            <w:hideMark/>
          </w:tcPr>
          <w:p w14:paraId="38EB237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FBBBF5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B2F08B6"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778BA44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Energy (Sahara) B.V.</w:t>
            </w:r>
          </w:p>
        </w:tc>
        <w:tc>
          <w:tcPr>
            <w:tcW w:w="1843" w:type="dxa"/>
            <w:tcBorders>
              <w:top w:val="nil"/>
              <w:left w:val="nil"/>
              <w:bottom w:val="single" w:sz="4" w:space="0" w:color="auto"/>
              <w:right w:val="single" w:sz="4" w:space="0" w:color="auto"/>
            </w:tcBorders>
            <w:shd w:val="clear" w:color="auto" w:fill="auto"/>
            <w:hideMark/>
          </w:tcPr>
          <w:p w14:paraId="432A36C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585057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6B06F0A8"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766DF23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Energy Tangguh B.V.</w:t>
            </w:r>
          </w:p>
        </w:tc>
        <w:tc>
          <w:tcPr>
            <w:tcW w:w="1843" w:type="dxa"/>
            <w:tcBorders>
              <w:top w:val="nil"/>
              <w:left w:val="nil"/>
              <w:bottom w:val="single" w:sz="4" w:space="0" w:color="auto"/>
              <w:right w:val="single" w:sz="4" w:space="0" w:color="auto"/>
            </w:tcBorders>
            <w:shd w:val="clear" w:color="auto" w:fill="auto"/>
            <w:hideMark/>
          </w:tcPr>
          <w:p w14:paraId="72F2792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5B1FB8F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3BCA632C"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044B4795"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Global Holdings B.V.</w:t>
            </w:r>
          </w:p>
        </w:tc>
        <w:tc>
          <w:tcPr>
            <w:tcW w:w="1843" w:type="dxa"/>
            <w:tcBorders>
              <w:top w:val="nil"/>
              <w:left w:val="nil"/>
              <w:bottom w:val="single" w:sz="4" w:space="0" w:color="auto"/>
              <w:right w:val="single" w:sz="4" w:space="0" w:color="auto"/>
            </w:tcBorders>
            <w:shd w:val="clear" w:color="auto" w:fill="auto"/>
            <w:hideMark/>
          </w:tcPr>
          <w:p w14:paraId="5705DDD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71C829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7332208C"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5E4B6F0A"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International Holdings B.V.</w:t>
            </w:r>
          </w:p>
        </w:tc>
        <w:tc>
          <w:tcPr>
            <w:tcW w:w="1843" w:type="dxa"/>
            <w:tcBorders>
              <w:top w:val="nil"/>
              <w:left w:val="nil"/>
              <w:bottom w:val="single" w:sz="4" w:space="0" w:color="auto"/>
              <w:right w:val="single" w:sz="4" w:space="0" w:color="auto"/>
            </w:tcBorders>
            <w:shd w:val="clear" w:color="auto" w:fill="auto"/>
            <w:hideMark/>
          </w:tcPr>
          <w:p w14:paraId="0EEFCD9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0AEF67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660DF45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5179B9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Talisman Java B.V.</w:t>
            </w:r>
          </w:p>
        </w:tc>
        <w:tc>
          <w:tcPr>
            <w:tcW w:w="1843" w:type="dxa"/>
            <w:tcBorders>
              <w:top w:val="nil"/>
              <w:left w:val="nil"/>
              <w:bottom w:val="single" w:sz="4" w:space="0" w:color="auto"/>
              <w:right w:val="single" w:sz="4" w:space="0" w:color="auto"/>
            </w:tcBorders>
            <w:shd w:val="clear" w:color="auto" w:fill="auto"/>
            <w:hideMark/>
          </w:tcPr>
          <w:p w14:paraId="55B8A59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7B501A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1327902F"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0633A58"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K Holdings B.V.</w:t>
            </w:r>
          </w:p>
        </w:tc>
        <w:tc>
          <w:tcPr>
            <w:tcW w:w="1843" w:type="dxa"/>
            <w:tcBorders>
              <w:top w:val="nil"/>
              <w:left w:val="nil"/>
              <w:bottom w:val="single" w:sz="4" w:space="0" w:color="auto"/>
              <w:right w:val="single" w:sz="4" w:space="0" w:color="auto"/>
            </w:tcBorders>
            <w:shd w:val="clear" w:color="auto" w:fill="auto"/>
            <w:hideMark/>
          </w:tcPr>
          <w:p w14:paraId="39C2172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65FF6DE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DE745C2"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FD31212"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Middle East B.V.</w:t>
            </w:r>
          </w:p>
        </w:tc>
        <w:tc>
          <w:tcPr>
            <w:tcW w:w="1843" w:type="dxa"/>
            <w:tcBorders>
              <w:top w:val="nil"/>
              <w:left w:val="nil"/>
              <w:bottom w:val="single" w:sz="4" w:space="0" w:color="auto"/>
              <w:right w:val="single" w:sz="4" w:space="0" w:color="auto"/>
            </w:tcBorders>
            <w:shd w:val="clear" w:color="auto" w:fill="auto"/>
            <w:hideMark/>
          </w:tcPr>
          <w:p w14:paraId="0F6922D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F69838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384E44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C6BDF0B"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Peru B.V.</w:t>
            </w:r>
          </w:p>
        </w:tc>
        <w:tc>
          <w:tcPr>
            <w:tcW w:w="1843" w:type="dxa"/>
            <w:tcBorders>
              <w:top w:val="nil"/>
              <w:left w:val="nil"/>
              <w:bottom w:val="single" w:sz="4" w:space="0" w:color="auto"/>
              <w:right w:val="single" w:sz="4" w:space="0" w:color="auto"/>
            </w:tcBorders>
            <w:shd w:val="clear" w:color="auto" w:fill="auto"/>
            <w:hideMark/>
          </w:tcPr>
          <w:p w14:paraId="6158925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DF322A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EBB0F1E" w14:textId="77777777" w:rsidTr="00903D51">
        <w:trPr>
          <w:trHeight w:val="900"/>
        </w:trPr>
        <w:tc>
          <w:tcPr>
            <w:tcW w:w="3417" w:type="dxa"/>
            <w:tcBorders>
              <w:top w:val="nil"/>
              <w:left w:val="single" w:sz="4" w:space="0" w:color="auto"/>
              <w:bottom w:val="single" w:sz="4" w:space="0" w:color="auto"/>
              <w:right w:val="single" w:sz="4" w:space="0" w:color="auto"/>
            </w:tcBorders>
            <w:shd w:val="clear" w:color="auto" w:fill="auto"/>
            <w:hideMark/>
          </w:tcPr>
          <w:p w14:paraId="6C35D3C0"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Sadang B.V.</w:t>
            </w:r>
          </w:p>
        </w:tc>
        <w:tc>
          <w:tcPr>
            <w:tcW w:w="1843" w:type="dxa"/>
            <w:tcBorders>
              <w:top w:val="nil"/>
              <w:left w:val="nil"/>
              <w:bottom w:val="single" w:sz="4" w:space="0" w:color="auto"/>
              <w:right w:val="single" w:sz="4" w:space="0" w:color="auto"/>
            </w:tcBorders>
            <w:shd w:val="clear" w:color="auto" w:fill="auto"/>
            <w:hideMark/>
          </w:tcPr>
          <w:p w14:paraId="68095EC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4A8656C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 y en proceso de liquidación)</w:t>
            </w:r>
          </w:p>
        </w:tc>
      </w:tr>
      <w:tr w:rsidR="00903D51" w:rsidRPr="00F76D47" w14:paraId="29B70EF5"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093FC60C"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Sakakemang B.V.</w:t>
            </w:r>
          </w:p>
        </w:tc>
        <w:tc>
          <w:tcPr>
            <w:tcW w:w="1843" w:type="dxa"/>
            <w:tcBorders>
              <w:top w:val="nil"/>
              <w:left w:val="nil"/>
              <w:bottom w:val="single" w:sz="4" w:space="0" w:color="auto"/>
              <w:right w:val="single" w:sz="4" w:space="0" w:color="auto"/>
            </w:tcBorders>
            <w:shd w:val="clear" w:color="auto" w:fill="auto"/>
            <w:hideMark/>
          </w:tcPr>
          <w:p w14:paraId="6E9D6D2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8719D9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2D8797FF"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EC59ED3"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Sierra Leone B.V.</w:t>
            </w:r>
          </w:p>
        </w:tc>
        <w:tc>
          <w:tcPr>
            <w:tcW w:w="1843" w:type="dxa"/>
            <w:tcBorders>
              <w:top w:val="nil"/>
              <w:left w:val="nil"/>
              <w:bottom w:val="single" w:sz="4" w:space="0" w:color="auto"/>
              <w:right w:val="single" w:sz="4" w:space="0" w:color="auto"/>
            </w:tcBorders>
            <w:shd w:val="clear" w:color="auto" w:fill="auto"/>
            <w:hideMark/>
          </w:tcPr>
          <w:p w14:paraId="2E6AEBF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56EBC23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5B7C8142"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5DED273"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South Mandar B.V.</w:t>
            </w:r>
          </w:p>
        </w:tc>
        <w:tc>
          <w:tcPr>
            <w:tcW w:w="1843" w:type="dxa"/>
            <w:tcBorders>
              <w:top w:val="nil"/>
              <w:left w:val="nil"/>
              <w:bottom w:val="single" w:sz="4" w:space="0" w:color="auto"/>
              <w:right w:val="single" w:sz="4" w:space="0" w:color="auto"/>
            </w:tcBorders>
            <w:shd w:val="clear" w:color="auto" w:fill="auto"/>
            <w:hideMark/>
          </w:tcPr>
          <w:p w14:paraId="103C6431"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77DC5A2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3870881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277A60E"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South Sageri B.V.</w:t>
            </w:r>
          </w:p>
        </w:tc>
        <w:tc>
          <w:tcPr>
            <w:tcW w:w="1843" w:type="dxa"/>
            <w:tcBorders>
              <w:top w:val="nil"/>
              <w:left w:val="nil"/>
              <w:bottom w:val="single" w:sz="4" w:space="0" w:color="auto"/>
              <w:right w:val="single" w:sz="4" w:space="0" w:color="auto"/>
            </w:tcBorders>
            <w:shd w:val="clear" w:color="auto" w:fill="auto"/>
            <w:hideMark/>
          </w:tcPr>
          <w:p w14:paraId="532A423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173A739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6335B20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021FBAD"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Sumatra B.V.</w:t>
            </w:r>
          </w:p>
        </w:tc>
        <w:tc>
          <w:tcPr>
            <w:tcW w:w="1843" w:type="dxa"/>
            <w:tcBorders>
              <w:top w:val="nil"/>
              <w:left w:val="nil"/>
              <w:bottom w:val="single" w:sz="4" w:space="0" w:color="auto"/>
              <w:right w:val="single" w:sz="4" w:space="0" w:color="auto"/>
            </w:tcBorders>
            <w:shd w:val="clear" w:color="auto" w:fill="auto"/>
            <w:hideMark/>
          </w:tcPr>
          <w:p w14:paraId="42C0F87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0088DD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0CC91441"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1DFB1F8B"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05-2/10 B.V.</w:t>
            </w:r>
          </w:p>
        </w:tc>
        <w:tc>
          <w:tcPr>
            <w:tcW w:w="1843" w:type="dxa"/>
            <w:tcBorders>
              <w:top w:val="nil"/>
              <w:left w:val="nil"/>
              <w:bottom w:val="single" w:sz="4" w:space="0" w:color="auto"/>
              <w:right w:val="single" w:sz="4" w:space="0" w:color="auto"/>
            </w:tcBorders>
            <w:shd w:val="clear" w:color="auto" w:fill="auto"/>
            <w:hideMark/>
          </w:tcPr>
          <w:p w14:paraId="45F5E1A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4DF7CF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42AA995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191AA7E8"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07/03 B.V.</w:t>
            </w:r>
          </w:p>
        </w:tc>
        <w:tc>
          <w:tcPr>
            <w:tcW w:w="1843" w:type="dxa"/>
            <w:tcBorders>
              <w:top w:val="nil"/>
              <w:left w:val="nil"/>
              <w:bottom w:val="single" w:sz="4" w:space="0" w:color="auto"/>
              <w:right w:val="single" w:sz="4" w:space="0" w:color="auto"/>
            </w:tcBorders>
            <w:shd w:val="clear" w:color="auto" w:fill="auto"/>
            <w:hideMark/>
          </w:tcPr>
          <w:p w14:paraId="2EA81BC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23EEA2E"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052D3B44"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5CA5689"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135-136 B.V.</w:t>
            </w:r>
          </w:p>
        </w:tc>
        <w:tc>
          <w:tcPr>
            <w:tcW w:w="1843" w:type="dxa"/>
            <w:tcBorders>
              <w:top w:val="nil"/>
              <w:left w:val="nil"/>
              <w:bottom w:val="single" w:sz="4" w:space="0" w:color="auto"/>
              <w:right w:val="single" w:sz="4" w:space="0" w:color="auto"/>
            </w:tcBorders>
            <w:shd w:val="clear" w:color="auto" w:fill="auto"/>
            <w:hideMark/>
          </w:tcPr>
          <w:p w14:paraId="5E6696C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20B2C49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4602CC41"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334741B9"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146-147 B.V.</w:t>
            </w:r>
          </w:p>
        </w:tc>
        <w:tc>
          <w:tcPr>
            <w:tcW w:w="1843" w:type="dxa"/>
            <w:tcBorders>
              <w:top w:val="nil"/>
              <w:left w:val="nil"/>
              <w:bottom w:val="single" w:sz="4" w:space="0" w:color="auto"/>
              <w:right w:val="single" w:sz="4" w:space="0" w:color="auto"/>
            </w:tcBorders>
            <w:shd w:val="clear" w:color="auto" w:fill="auto"/>
            <w:hideMark/>
          </w:tcPr>
          <w:p w14:paraId="4FB11B8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5879717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3533AEF8"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7462B446"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45 B.V.</w:t>
            </w:r>
          </w:p>
        </w:tc>
        <w:tc>
          <w:tcPr>
            <w:tcW w:w="1843" w:type="dxa"/>
            <w:tcBorders>
              <w:top w:val="nil"/>
              <w:left w:val="nil"/>
              <w:bottom w:val="single" w:sz="4" w:space="0" w:color="auto"/>
              <w:right w:val="single" w:sz="4" w:space="0" w:color="auto"/>
            </w:tcBorders>
            <w:shd w:val="clear" w:color="auto" w:fill="auto"/>
            <w:hideMark/>
          </w:tcPr>
          <w:p w14:paraId="09AAD96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7A62A3D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2B7C62FC"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1ACC275A"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Vietnam 46-07 B.V.</w:t>
            </w:r>
          </w:p>
        </w:tc>
        <w:tc>
          <w:tcPr>
            <w:tcW w:w="1843" w:type="dxa"/>
            <w:tcBorders>
              <w:top w:val="nil"/>
              <w:left w:val="nil"/>
              <w:bottom w:val="single" w:sz="4" w:space="0" w:color="auto"/>
              <w:right w:val="single" w:sz="4" w:space="0" w:color="auto"/>
            </w:tcBorders>
            <w:shd w:val="clear" w:color="auto" w:fill="auto"/>
            <w:hideMark/>
          </w:tcPr>
          <w:p w14:paraId="250E779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370DE7A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19E22A16"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DEE204E" w14:textId="77777777" w:rsidR="00903D51" w:rsidRPr="00F76D47" w:rsidRDefault="00903D51" w:rsidP="00903D51">
            <w:pPr>
              <w:rPr>
                <w:rFonts w:ascii="Open Sans" w:hAnsi="Open Sans" w:cs="Open Sans"/>
                <w:sz w:val="20"/>
                <w:szCs w:val="20"/>
                <w:lang w:val="en-GB"/>
              </w:rPr>
            </w:pPr>
            <w:r w:rsidRPr="00F76D47">
              <w:rPr>
                <w:rFonts w:ascii="Open Sans" w:hAnsi="Open Sans" w:cs="Open Sans"/>
                <w:sz w:val="20"/>
                <w:szCs w:val="20"/>
                <w:lang w:val="en-GB"/>
              </w:rPr>
              <w:t>Talisman West Bengara B.V.</w:t>
            </w:r>
          </w:p>
        </w:tc>
        <w:tc>
          <w:tcPr>
            <w:tcW w:w="1843" w:type="dxa"/>
            <w:tcBorders>
              <w:top w:val="nil"/>
              <w:left w:val="nil"/>
              <w:bottom w:val="single" w:sz="4" w:space="0" w:color="auto"/>
              <w:right w:val="single" w:sz="4" w:space="0" w:color="auto"/>
            </w:tcBorders>
            <w:shd w:val="clear" w:color="auto" w:fill="auto"/>
            <w:hideMark/>
          </w:tcPr>
          <w:p w14:paraId="135A4A7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09E7BA4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r w:rsidR="00903D51" w:rsidRPr="00F76D47" w14:paraId="4F363949"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14753DE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TV 05-2/10 Holding B.V.</w:t>
            </w:r>
          </w:p>
        </w:tc>
        <w:tc>
          <w:tcPr>
            <w:tcW w:w="1843" w:type="dxa"/>
            <w:tcBorders>
              <w:top w:val="nil"/>
              <w:left w:val="nil"/>
              <w:bottom w:val="single" w:sz="4" w:space="0" w:color="auto"/>
              <w:right w:val="single" w:sz="4" w:space="0" w:color="auto"/>
            </w:tcBorders>
            <w:shd w:val="clear" w:color="auto" w:fill="auto"/>
            <w:hideMark/>
          </w:tcPr>
          <w:p w14:paraId="70D3707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7A8EB15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21BF4F84"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E4087E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TV 135-136 Holding B.V.</w:t>
            </w:r>
          </w:p>
        </w:tc>
        <w:tc>
          <w:tcPr>
            <w:tcW w:w="1843" w:type="dxa"/>
            <w:tcBorders>
              <w:top w:val="nil"/>
              <w:left w:val="nil"/>
              <w:bottom w:val="single" w:sz="4" w:space="0" w:color="auto"/>
              <w:right w:val="single" w:sz="4" w:space="0" w:color="auto"/>
            </w:tcBorders>
            <w:shd w:val="clear" w:color="auto" w:fill="auto"/>
            <w:hideMark/>
          </w:tcPr>
          <w:p w14:paraId="3CAA6F5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Países Bajos</w:t>
            </w:r>
          </w:p>
        </w:tc>
        <w:tc>
          <w:tcPr>
            <w:tcW w:w="3544" w:type="dxa"/>
            <w:tcBorders>
              <w:top w:val="nil"/>
              <w:left w:val="nil"/>
              <w:bottom w:val="single" w:sz="4" w:space="0" w:color="auto"/>
              <w:right w:val="single" w:sz="4" w:space="0" w:color="auto"/>
            </w:tcBorders>
            <w:shd w:val="clear" w:color="auto" w:fill="auto"/>
            <w:hideMark/>
          </w:tcPr>
          <w:p w14:paraId="717E9FA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23830543"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35A34DF"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Repsol Trading Singapore Pte., Ltd.</w:t>
            </w:r>
          </w:p>
        </w:tc>
        <w:tc>
          <w:tcPr>
            <w:tcW w:w="1843" w:type="dxa"/>
            <w:tcBorders>
              <w:top w:val="nil"/>
              <w:left w:val="nil"/>
              <w:bottom w:val="single" w:sz="4" w:space="0" w:color="auto"/>
              <w:right w:val="single" w:sz="4" w:space="0" w:color="auto"/>
            </w:tcBorders>
            <w:shd w:val="clear" w:color="auto" w:fill="auto"/>
            <w:hideMark/>
          </w:tcPr>
          <w:p w14:paraId="76AB388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Singapur</w:t>
            </w:r>
          </w:p>
        </w:tc>
        <w:tc>
          <w:tcPr>
            <w:tcW w:w="3544" w:type="dxa"/>
            <w:tcBorders>
              <w:top w:val="nil"/>
              <w:left w:val="nil"/>
              <w:bottom w:val="single" w:sz="4" w:space="0" w:color="auto"/>
              <w:right w:val="single" w:sz="4" w:space="0" w:color="auto"/>
            </w:tcBorders>
            <w:shd w:val="clear" w:color="auto" w:fill="auto"/>
            <w:hideMark/>
          </w:tcPr>
          <w:p w14:paraId="21A3C9D7"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Trading y transporte</w:t>
            </w:r>
          </w:p>
        </w:tc>
      </w:tr>
      <w:tr w:rsidR="00903D51" w:rsidRPr="00F76D47" w14:paraId="4791BD0E" w14:textId="77777777" w:rsidTr="00903D51">
        <w:trPr>
          <w:trHeight w:val="315"/>
        </w:trPr>
        <w:tc>
          <w:tcPr>
            <w:tcW w:w="3417" w:type="dxa"/>
            <w:tcBorders>
              <w:top w:val="nil"/>
              <w:left w:val="single" w:sz="4" w:space="0" w:color="auto"/>
              <w:bottom w:val="single" w:sz="4" w:space="0" w:color="auto"/>
              <w:right w:val="single" w:sz="4" w:space="0" w:color="auto"/>
            </w:tcBorders>
            <w:shd w:val="clear" w:color="auto" w:fill="auto"/>
            <w:hideMark/>
          </w:tcPr>
          <w:p w14:paraId="746DB21B"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SEA Pte. Ltd.</w:t>
            </w:r>
          </w:p>
        </w:tc>
        <w:tc>
          <w:tcPr>
            <w:tcW w:w="1843" w:type="dxa"/>
            <w:tcBorders>
              <w:top w:val="nil"/>
              <w:left w:val="nil"/>
              <w:bottom w:val="single" w:sz="4" w:space="0" w:color="auto"/>
              <w:right w:val="single" w:sz="4" w:space="0" w:color="auto"/>
            </w:tcBorders>
            <w:shd w:val="clear" w:color="auto" w:fill="auto"/>
            <w:hideMark/>
          </w:tcPr>
          <w:p w14:paraId="2F569CB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Singapur</w:t>
            </w:r>
          </w:p>
        </w:tc>
        <w:tc>
          <w:tcPr>
            <w:tcW w:w="3544" w:type="dxa"/>
            <w:tcBorders>
              <w:top w:val="nil"/>
              <w:left w:val="nil"/>
              <w:bottom w:val="single" w:sz="4" w:space="0" w:color="auto"/>
              <w:right w:val="single" w:sz="4" w:space="0" w:color="auto"/>
            </w:tcBorders>
            <w:shd w:val="clear" w:color="auto" w:fill="auto"/>
            <w:hideMark/>
          </w:tcPr>
          <w:p w14:paraId="28C5CE8D"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servicios compartidos</w:t>
            </w:r>
          </w:p>
        </w:tc>
      </w:tr>
      <w:tr w:rsidR="00903D51" w:rsidRPr="00F76D47" w14:paraId="79BCCD4F"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3D0EA70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New Santiago Pipelines AG</w:t>
            </w:r>
          </w:p>
        </w:tc>
        <w:tc>
          <w:tcPr>
            <w:tcW w:w="1843" w:type="dxa"/>
            <w:tcBorders>
              <w:top w:val="nil"/>
              <w:left w:val="nil"/>
              <w:bottom w:val="single" w:sz="4" w:space="0" w:color="auto"/>
              <w:right w:val="single" w:sz="4" w:space="0" w:color="auto"/>
            </w:tcBorders>
            <w:shd w:val="clear" w:color="auto" w:fill="auto"/>
            <w:hideMark/>
          </w:tcPr>
          <w:p w14:paraId="762A11A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Suiza</w:t>
            </w:r>
          </w:p>
        </w:tc>
        <w:tc>
          <w:tcPr>
            <w:tcW w:w="3544" w:type="dxa"/>
            <w:tcBorders>
              <w:top w:val="nil"/>
              <w:left w:val="nil"/>
              <w:bottom w:val="single" w:sz="4" w:space="0" w:color="auto"/>
              <w:right w:val="single" w:sz="4" w:space="0" w:color="auto"/>
            </w:tcBorders>
            <w:shd w:val="clear" w:color="auto" w:fill="auto"/>
            <w:hideMark/>
          </w:tcPr>
          <w:p w14:paraId="46F32AC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3571EAD6"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5B1D58AB"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Repsol Exploration Advanced Services, AG</w:t>
            </w:r>
          </w:p>
        </w:tc>
        <w:tc>
          <w:tcPr>
            <w:tcW w:w="1843" w:type="dxa"/>
            <w:tcBorders>
              <w:top w:val="nil"/>
              <w:left w:val="nil"/>
              <w:bottom w:val="single" w:sz="4" w:space="0" w:color="auto"/>
              <w:right w:val="single" w:sz="4" w:space="0" w:color="auto"/>
            </w:tcBorders>
            <w:shd w:val="clear" w:color="auto" w:fill="auto"/>
            <w:hideMark/>
          </w:tcPr>
          <w:p w14:paraId="0FDF737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Suiza</w:t>
            </w:r>
          </w:p>
        </w:tc>
        <w:tc>
          <w:tcPr>
            <w:tcW w:w="3544" w:type="dxa"/>
            <w:tcBorders>
              <w:top w:val="nil"/>
              <w:left w:val="nil"/>
              <w:bottom w:val="single" w:sz="4" w:space="0" w:color="auto"/>
              <w:right w:val="single" w:sz="4" w:space="0" w:color="auto"/>
            </w:tcBorders>
            <w:shd w:val="clear" w:color="auto" w:fill="auto"/>
            <w:hideMark/>
          </w:tcPr>
          <w:p w14:paraId="0A5D397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prestadora de servicios de recursos humanos</w:t>
            </w:r>
          </w:p>
        </w:tc>
      </w:tr>
      <w:tr w:rsidR="00903D51" w:rsidRPr="00F76D47" w14:paraId="1FACEC3B"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6E4AE97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Santiago Pipelines AG</w:t>
            </w:r>
          </w:p>
        </w:tc>
        <w:tc>
          <w:tcPr>
            <w:tcW w:w="1843" w:type="dxa"/>
            <w:tcBorders>
              <w:top w:val="nil"/>
              <w:left w:val="nil"/>
              <w:bottom w:val="single" w:sz="4" w:space="0" w:color="auto"/>
              <w:right w:val="single" w:sz="4" w:space="0" w:color="auto"/>
            </w:tcBorders>
            <w:shd w:val="clear" w:color="auto" w:fill="auto"/>
            <w:hideMark/>
          </w:tcPr>
          <w:p w14:paraId="4AEB25E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Suiza</w:t>
            </w:r>
          </w:p>
        </w:tc>
        <w:tc>
          <w:tcPr>
            <w:tcW w:w="3544" w:type="dxa"/>
            <w:tcBorders>
              <w:top w:val="nil"/>
              <w:left w:val="nil"/>
              <w:bottom w:val="single" w:sz="4" w:space="0" w:color="auto"/>
              <w:right w:val="single" w:sz="4" w:space="0" w:color="auto"/>
            </w:tcBorders>
            <w:shd w:val="clear" w:color="auto" w:fill="auto"/>
            <w:hideMark/>
          </w:tcPr>
          <w:p w14:paraId="3A1A57F4"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54EEC1C3" w14:textId="77777777" w:rsidTr="00903D51">
        <w:trPr>
          <w:trHeight w:val="300"/>
        </w:trPr>
        <w:tc>
          <w:tcPr>
            <w:tcW w:w="3417" w:type="dxa"/>
            <w:tcBorders>
              <w:top w:val="nil"/>
              <w:left w:val="single" w:sz="4" w:space="0" w:color="auto"/>
              <w:bottom w:val="single" w:sz="4" w:space="0" w:color="auto"/>
              <w:right w:val="single" w:sz="4" w:space="0" w:color="auto"/>
            </w:tcBorders>
            <w:shd w:val="clear" w:color="auto" w:fill="auto"/>
            <w:hideMark/>
          </w:tcPr>
          <w:p w14:paraId="47EF5CF0"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Talisman Ocensa Pipelines Holdings AG</w:t>
            </w:r>
          </w:p>
        </w:tc>
        <w:tc>
          <w:tcPr>
            <w:tcW w:w="1843" w:type="dxa"/>
            <w:tcBorders>
              <w:top w:val="nil"/>
              <w:left w:val="nil"/>
              <w:bottom w:val="single" w:sz="4" w:space="0" w:color="auto"/>
              <w:right w:val="single" w:sz="4" w:space="0" w:color="auto"/>
            </w:tcBorders>
            <w:shd w:val="clear" w:color="auto" w:fill="auto"/>
            <w:hideMark/>
          </w:tcPr>
          <w:p w14:paraId="44CD444B"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Suiza</w:t>
            </w:r>
          </w:p>
        </w:tc>
        <w:tc>
          <w:tcPr>
            <w:tcW w:w="3544" w:type="dxa"/>
            <w:tcBorders>
              <w:top w:val="nil"/>
              <w:left w:val="nil"/>
              <w:bottom w:val="single" w:sz="4" w:space="0" w:color="auto"/>
              <w:right w:val="single" w:sz="4" w:space="0" w:color="auto"/>
            </w:tcBorders>
            <w:shd w:val="clear" w:color="auto" w:fill="auto"/>
            <w:hideMark/>
          </w:tcPr>
          <w:p w14:paraId="11C1DAA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Sociedad de cartera</w:t>
            </w:r>
          </w:p>
        </w:tc>
      </w:tr>
      <w:tr w:rsidR="00903D51" w:rsidRPr="00F76D47" w14:paraId="10F37CEA"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68C4867"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Santiago AG</w:t>
            </w:r>
          </w:p>
        </w:tc>
        <w:tc>
          <w:tcPr>
            <w:tcW w:w="1843" w:type="dxa"/>
            <w:tcBorders>
              <w:top w:val="nil"/>
              <w:left w:val="nil"/>
              <w:bottom w:val="single" w:sz="4" w:space="0" w:color="auto"/>
              <w:right w:val="single" w:sz="4" w:space="0" w:color="auto"/>
            </w:tcBorders>
            <w:shd w:val="clear" w:color="auto" w:fill="auto"/>
            <w:hideMark/>
          </w:tcPr>
          <w:p w14:paraId="2EC28D35"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Suiza</w:t>
            </w:r>
          </w:p>
        </w:tc>
        <w:tc>
          <w:tcPr>
            <w:tcW w:w="3544" w:type="dxa"/>
            <w:tcBorders>
              <w:top w:val="nil"/>
              <w:left w:val="nil"/>
              <w:bottom w:val="single" w:sz="4" w:space="0" w:color="auto"/>
              <w:right w:val="single" w:sz="4" w:space="0" w:color="auto"/>
            </w:tcBorders>
            <w:shd w:val="clear" w:color="auto" w:fill="auto"/>
            <w:hideMark/>
          </w:tcPr>
          <w:p w14:paraId="78AFF26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Gestión capacidad de transporte en oleoducto</w:t>
            </w:r>
          </w:p>
        </w:tc>
      </w:tr>
      <w:tr w:rsidR="00903D51" w:rsidRPr="00F76D47" w14:paraId="7D5BB14D"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80BDD85"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SO AG</w:t>
            </w:r>
          </w:p>
        </w:tc>
        <w:tc>
          <w:tcPr>
            <w:tcW w:w="1843" w:type="dxa"/>
            <w:tcBorders>
              <w:top w:val="nil"/>
              <w:left w:val="nil"/>
              <w:bottom w:val="single" w:sz="4" w:space="0" w:color="auto"/>
              <w:right w:val="single" w:sz="4" w:space="0" w:color="auto"/>
            </w:tcBorders>
            <w:shd w:val="clear" w:color="auto" w:fill="auto"/>
            <w:hideMark/>
          </w:tcPr>
          <w:p w14:paraId="2A3E2038"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Suiza</w:t>
            </w:r>
          </w:p>
        </w:tc>
        <w:tc>
          <w:tcPr>
            <w:tcW w:w="3544" w:type="dxa"/>
            <w:tcBorders>
              <w:top w:val="nil"/>
              <w:left w:val="nil"/>
              <w:bottom w:val="single" w:sz="4" w:space="0" w:color="auto"/>
              <w:right w:val="single" w:sz="4" w:space="0" w:color="auto"/>
            </w:tcBorders>
            <w:shd w:val="clear" w:color="auto" w:fill="auto"/>
            <w:hideMark/>
          </w:tcPr>
          <w:p w14:paraId="2C66C336"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Gestión capacidad de transporte en oleoducto</w:t>
            </w:r>
          </w:p>
        </w:tc>
      </w:tr>
      <w:tr w:rsidR="00903D51" w:rsidRPr="00F76D47" w14:paraId="152C7E17"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41ADCA23" w14:textId="77777777" w:rsidR="00903D51" w:rsidRPr="00F76D47" w:rsidRDefault="00903D51" w:rsidP="00903D51">
            <w:pPr>
              <w:rPr>
                <w:rFonts w:ascii="Open Sans" w:hAnsi="Open Sans" w:cs="Open Sans"/>
                <w:color w:val="000000"/>
                <w:sz w:val="20"/>
                <w:szCs w:val="20"/>
                <w:lang w:val="en-GB"/>
              </w:rPr>
            </w:pPr>
            <w:r w:rsidRPr="00F76D47">
              <w:rPr>
                <w:rFonts w:ascii="Open Sans" w:hAnsi="Open Sans" w:cs="Open Sans"/>
                <w:color w:val="000000"/>
                <w:sz w:val="20"/>
                <w:szCs w:val="20"/>
                <w:lang w:val="en-GB"/>
              </w:rPr>
              <w:t>Carburants i Derivats, S.A.</w:t>
            </w:r>
            <w:r>
              <w:rPr>
                <w:rStyle w:val="Refdenotaalpie"/>
                <w:color w:val="000000"/>
                <w:szCs w:val="20"/>
                <w:lang w:val="en-GB"/>
              </w:rPr>
              <w:footnoteReference w:id="438"/>
            </w:r>
          </w:p>
        </w:tc>
        <w:tc>
          <w:tcPr>
            <w:tcW w:w="1843" w:type="dxa"/>
            <w:tcBorders>
              <w:top w:val="nil"/>
              <w:left w:val="nil"/>
              <w:bottom w:val="single" w:sz="4" w:space="0" w:color="auto"/>
              <w:right w:val="single" w:sz="4" w:space="0" w:color="auto"/>
            </w:tcBorders>
            <w:shd w:val="clear" w:color="auto" w:fill="auto"/>
            <w:hideMark/>
          </w:tcPr>
          <w:p w14:paraId="4330819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Andorra</w:t>
            </w:r>
          </w:p>
        </w:tc>
        <w:tc>
          <w:tcPr>
            <w:tcW w:w="3544" w:type="dxa"/>
            <w:tcBorders>
              <w:top w:val="nil"/>
              <w:left w:val="nil"/>
              <w:bottom w:val="single" w:sz="4" w:space="0" w:color="auto"/>
              <w:right w:val="single" w:sz="4" w:space="0" w:color="auto"/>
            </w:tcBorders>
            <w:shd w:val="clear" w:color="auto" w:fill="auto"/>
            <w:hideMark/>
          </w:tcPr>
          <w:p w14:paraId="36E89F1A"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Distribución de productos derivados del petróleo</w:t>
            </w:r>
          </w:p>
        </w:tc>
      </w:tr>
      <w:tr w:rsidR="00903D51" w:rsidRPr="00F76D47" w14:paraId="2486EEA2"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6EE036E"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Oil Ltd.</w:t>
            </w:r>
          </w:p>
        </w:tc>
        <w:tc>
          <w:tcPr>
            <w:tcW w:w="1843" w:type="dxa"/>
            <w:tcBorders>
              <w:top w:val="nil"/>
              <w:left w:val="nil"/>
              <w:bottom w:val="single" w:sz="4" w:space="0" w:color="auto"/>
              <w:right w:val="single" w:sz="4" w:space="0" w:color="auto"/>
            </w:tcBorders>
            <w:shd w:val="clear" w:color="auto" w:fill="auto"/>
            <w:hideMark/>
          </w:tcPr>
          <w:p w14:paraId="54069350"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1B4E43AC"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1B0507A9"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677D8BD3" w14:textId="77777777" w:rsidR="00903D51" w:rsidRPr="00F76D47" w:rsidRDefault="00903D51" w:rsidP="00903D51">
            <w:pPr>
              <w:rPr>
                <w:rFonts w:ascii="Open Sans" w:hAnsi="Open Sans" w:cs="Open Sans"/>
                <w:sz w:val="20"/>
                <w:szCs w:val="20"/>
              </w:rPr>
            </w:pPr>
            <w:r w:rsidRPr="00F76D47">
              <w:rPr>
                <w:rFonts w:ascii="Open Sans" w:hAnsi="Open Sans" w:cs="Open Sans"/>
                <w:sz w:val="20"/>
                <w:szCs w:val="20"/>
              </w:rPr>
              <w:t>Talisman Transgasindo Ltd.</w:t>
            </w:r>
          </w:p>
        </w:tc>
        <w:tc>
          <w:tcPr>
            <w:tcW w:w="1843" w:type="dxa"/>
            <w:tcBorders>
              <w:top w:val="nil"/>
              <w:left w:val="nil"/>
              <w:bottom w:val="single" w:sz="4" w:space="0" w:color="auto"/>
              <w:right w:val="single" w:sz="4" w:space="0" w:color="auto"/>
            </w:tcBorders>
            <w:shd w:val="clear" w:color="auto" w:fill="auto"/>
            <w:hideMark/>
          </w:tcPr>
          <w:p w14:paraId="566A08B9"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Barbados</w:t>
            </w:r>
          </w:p>
        </w:tc>
        <w:tc>
          <w:tcPr>
            <w:tcW w:w="3544" w:type="dxa"/>
            <w:tcBorders>
              <w:top w:val="nil"/>
              <w:left w:val="nil"/>
              <w:bottom w:val="single" w:sz="4" w:space="0" w:color="auto"/>
              <w:right w:val="single" w:sz="4" w:space="0" w:color="auto"/>
            </w:tcBorders>
            <w:shd w:val="clear" w:color="auto" w:fill="auto"/>
            <w:hideMark/>
          </w:tcPr>
          <w:p w14:paraId="3CDD90B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w:t>
            </w:r>
          </w:p>
        </w:tc>
      </w:tr>
      <w:tr w:rsidR="00903D51" w:rsidRPr="00F76D47" w14:paraId="465D3713" w14:textId="77777777" w:rsidTr="00903D51">
        <w:trPr>
          <w:trHeight w:val="600"/>
        </w:trPr>
        <w:tc>
          <w:tcPr>
            <w:tcW w:w="3417" w:type="dxa"/>
            <w:tcBorders>
              <w:top w:val="nil"/>
              <w:left w:val="single" w:sz="4" w:space="0" w:color="auto"/>
              <w:bottom w:val="single" w:sz="4" w:space="0" w:color="auto"/>
              <w:right w:val="single" w:sz="4" w:space="0" w:color="auto"/>
            </w:tcBorders>
            <w:shd w:val="clear" w:color="auto" w:fill="auto"/>
            <w:hideMark/>
          </w:tcPr>
          <w:p w14:paraId="2B038FB3"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Repsol Exploración Liberia, B.V.</w:t>
            </w:r>
          </w:p>
        </w:tc>
        <w:tc>
          <w:tcPr>
            <w:tcW w:w="1843" w:type="dxa"/>
            <w:tcBorders>
              <w:top w:val="nil"/>
              <w:left w:val="nil"/>
              <w:bottom w:val="single" w:sz="4" w:space="0" w:color="auto"/>
              <w:right w:val="single" w:sz="4" w:space="0" w:color="auto"/>
            </w:tcBorders>
            <w:shd w:val="clear" w:color="auto" w:fill="auto"/>
            <w:hideMark/>
          </w:tcPr>
          <w:p w14:paraId="42AC8D6F"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Liberia</w:t>
            </w:r>
          </w:p>
        </w:tc>
        <w:tc>
          <w:tcPr>
            <w:tcW w:w="3544" w:type="dxa"/>
            <w:tcBorders>
              <w:top w:val="nil"/>
              <w:left w:val="nil"/>
              <w:bottom w:val="single" w:sz="4" w:space="0" w:color="auto"/>
              <w:right w:val="single" w:sz="4" w:space="0" w:color="auto"/>
            </w:tcBorders>
            <w:shd w:val="clear" w:color="auto" w:fill="auto"/>
            <w:hideMark/>
          </w:tcPr>
          <w:p w14:paraId="70BAB922" w14:textId="77777777" w:rsidR="00903D51" w:rsidRPr="00F76D47" w:rsidRDefault="00903D51" w:rsidP="00903D51">
            <w:pPr>
              <w:rPr>
                <w:rFonts w:ascii="Open Sans" w:hAnsi="Open Sans" w:cs="Open Sans"/>
                <w:color w:val="000000"/>
                <w:sz w:val="20"/>
                <w:szCs w:val="20"/>
              </w:rPr>
            </w:pPr>
            <w:r w:rsidRPr="00F76D47">
              <w:rPr>
                <w:rFonts w:ascii="Open Sans" w:hAnsi="Open Sans" w:cs="Open Sans"/>
                <w:color w:val="000000"/>
                <w:sz w:val="20"/>
                <w:szCs w:val="20"/>
              </w:rPr>
              <w:t>Exploración y producción de hidrocarburos (sociedad inactiva)</w:t>
            </w:r>
          </w:p>
        </w:tc>
      </w:tr>
    </w:tbl>
    <w:p w14:paraId="0116B922" w14:textId="77777777" w:rsidR="00903D51" w:rsidRDefault="00903D51" w:rsidP="00903D51">
      <w:pPr>
        <w:jc w:val="both"/>
        <w:rPr>
          <w:rFonts w:ascii="Open Sans" w:hAnsi="Open Sans" w:cs="Arial"/>
          <w:bCs/>
          <w:sz w:val="20"/>
          <w:szCs w:val="20"/>
        </w:rPr>
      </w:pPr>
    </w:p>
    <w:p w14:paraId="5FC91009" w14:textId="77777777" w:rsidR="00903D51" w:rsidRDefault="00903D51" w:rsidP="00903D51">
      <w:pPr>
        <w:jc w:val="both"/>
        <w:rPr>
          <w:rFonts w:ascii="Open Sans" w:hAnsi="Open Sans" w:cs="Arial"/>
          <w:bCs/>
          <w:sz w:val="20"/>
          <w:szCs w:val="20"/>
        </w:rPr>
      </w:pPr>
    </w:p>
    <w:p w14:paraId="3F791C70" w14:textId="77777777" w:rsidR="00903D51" w:rsidRDefault="00903D51" w:rsidP="00903D51">
      <w:pPr>
        <w:jc w:val="both"/>
        <w:rPr>
          <w:rFonts w:ascii="Open Sans" w:hAnsi="Open Sans"/>
          <w:sz w:val="20"/>
          <w:szCs w:val="20"/>
        </w:rPr>
      </w:pPr>
      <w:r>
        <w:rPr>
          <w:rFonts w:ascii="Open Sans" w:hAnsi="Open Sans" w:cs="Arial"/>
          <w:sz w:val="20"/>
          <w:szCs w:val="20"/>
        </w:rPr>
        <w:t>La información sobre las cifras de impuestos pagados en estas jurisdicciones con carácter fiscal especial se publica de forma individualizada, siempre que se supere los 4 mill</w:t>
      </w:r>
      <w:r w:rsidRPr="00656156">
        <w:rPr>
          <w:rFonts w:ascii="Open Sans" w:hAnsi="Open Sans" w:cs="Arial"/>
          <w:sz w:val="20"/>
          <w:szCs w:val="20"/>
        </w:rPr>
        <w:t xml:space="preserve">ones de </w:t>
      </w:r>
      <w:r>
        <w:rPr>
          <w:rFonts w:ascii="Open Sans" w:hAnsi="Open Sans" w:cs="Arial"/>
          <w:sz w:val="20"/>
          <w:szCs w:val="20"/>
        </w:rPr>
        <w:t>euros</w:t>
      </w:r>
      <w:r w:rsidRPr="00656156">
        <w:rPr>
          <w:rFonts w:ascii="Open Sans" w:hAnsi="Open Sans" w:cs="Arial"/>
          <w:sz w:val="20"/>
          <w:szCs w:val="20"/>
        </w:rPr>
        <w:t xml:space="preserve"> por país</w:t>
      </w:r>
      <w:r>
        <w:rPr>
          <w:rFonts w:ascii="Open Sans" w:hAnsi="Open Sans" w:cs="Arial"/>
          <w:sz w:val="20"/>
          <w:szCs w:val="20"/>
        </w:rPr>
        <w:t>, en el Informe de Gestión y en la web corporativa. Esta limitación de importe hace que únicamente se refleje la información de 2 de las 8 jurisdicciones que se han mencionado en este apartado: Países Bajos, Singapur. Los datos que se publican son los relativos a los impuestos</w:t>
      </w:r>
      <w:r w:rsidRPr="00656156">
        <w:rPr>
          <w:rFonts w:ascii="Open Sans" w:hAnsi="Open Sans" w:cs="Arial"/>
          <w:sz w:val="20"/>
          <w:szCs w:val="20"/>
        </w:rPr>
        <w:t xml:space="preserve"> soportados por la empresa (diferenciando, a su vez, entre impuesto de sociedades y otros) y los recaudados por la empresa (diferenciando en este caso entre IVA, impuesto sobre hidrocarburos y otros). </w:t>
      </w:r>
      <w:r w:rsidRPr="00CF3B1E">
        <w:rPr>
          <w:rFonts w:ascii="Open Sans" w:hAnsi="Open Sans"/>
          <w:sz w:val="20"/>
          <w:szCs w:val="20"/>
        </w:rPr>
        <w:t>Sin embargo, no se ha encontrado evidencia de la existencia de información pública</w:t>
      </w:r>
      <w:r w:rsidRPr="009753D4">
        <w:rPr>
          <w:rFonts w:ascii="Open Sans" w:hAnsi="Open Sans"/>
          <w:sz w:val="20"/>
          <w:szCs w:val="20"/>
        </w:rPr>
        <w:t xml:space="preserve"> específica </w:t>
      </w:r>
      <w:r>
        <w:rPr>
          <w:rFonts w:ascii="Open Sans" w:hAnsi="Open Sans"/>
          <w:sz w:val="20"/>
          <w:szCs w:val="20"/>
        </w:rPr>
        <w:t>en relación a los</w:t>
      </w:r>
      <w:r w:rsidRPr="009753D4">
        <w:rPr>
          <w:rFonts w:ascii="Open Sans" w:hAnsi="Open Sans"/>
          <w:sz w:val="20"/>
          <w:szCs w:val="20"/>
        </w:rPr>
        <w:t xml:space="preserve"> ingresos, gastos de personal, volumen d</w:t>
      </w:r>
      <w:r>
        <w:rPr>
          <w:rFonts w:ascii="Open Sans" w:hAnsi="Open Sans"/>
          <w:sz w:val="20"/>
          <w:szCs w:val="20"/>
        </w:rPr>
        <w:t xml:space="preserve">e negocio generado, operaciones con otras empresas del grupo y beneficios en estas jurisdicciones con carácter fiscal especial. </w:t>
      </w:r>
    </w:p>
    <w:p w14:paraId="2444BA99" w14:textId="77777777" w:rsidR="00903D51" w:rsidRDefault="00903D51" w:rsidP="00903D51">
      <w:pPr>
        <w:jc w:val="both"/>
        <w:rPr>
          <w:rFonts w:ascii="Open Sans" w:hAnsi="Open Sans" w:cs="Arial"/>
          <w:sz w:val="20"/>
          <w:szCs w:val="20"/>
        </w:rPr>
      </w:pPr>
    </w:p>
    <w:p w14:paraId="7BB7451D" w14:textId="77777777" w:rsidR="00903D51" w:rsidRDefault="00903D51" w:rsidP="00903D51">
      <w:pPr>
        <w:jc w:val="both"/>
        <w:rPr>
          <w:rFonts w:ascii="Open Sans" w:hAnsi="Open Sans" w:cs="Arial"/>
          <w:sz w:val="20"/>
          <w:szCs w:val="20"/>
        </w:rPr>
      </w:pPr>
      <w:r>
        <w:rPr>
          <w:rFonts w:ascii="Open Sans" w:hAnsi="Open Sans" w:cs="Arial"/>
          <w:sz w:val="20"/>
          <w:szCs w:val="20"/>
        </w:rPr>
        <w:t>Teniendo en cuenta que una de las características que tienen asociados los paraísos y nichos fiscales suele ser la baja o nula tributación de las empresas no residentes en ellos domiciliadas, sería recomendable que en próximos ejercicios se incluyese información desagregada de los impuestos pagados en cada una de las jurisdicciones consideradas como paraíso o nicho fiscal, indicando además el resultado contable antes de impuestos en cada una de ellas, así como el número de empleados.</w:t>
      </w:r>
    </w:p>
    <w:p w14:paraId="40E358F4" w14:textId="77777777" w:rsidR="00903D51" w:rsidRPr="009F1D8B" w:rsidRDefault="00903D51" w:rsidP="00903D51">
      <w:pPr>
        <w:rPr>
          <w:rFonts w:ascii="Open Sans" w:hAnsi="Open Sans" w:cs="Open Sans"/>
          <w:bCs/>
          <w:sz w:val="20"/>
          <w:szCs w:val="20"/>
        </w:rPr>
      </w:pPr>
    </w:p>
    <w:p w14:paraId="6CD86660"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 xml:space="preserve">El Consejo de Administración de Repsol aprobó el 25 de noviembre de 2015 la estrategia y la política fiscal de la compañía, estableciendo que es de obligado cumplimiento para todas las sociedades del Grupo y sus empleados. Se indica expresamente que la estrategia y política fiscal están alineadas no solo con aspectos tan genéricos como son la misión y valores de la compañía, sino que también lo vincula con su estrategia de negocio a largo plazo. </w:t>
      </w:r>
    </w:p>
    <w:p w14:paraId="44DC53A1" w14:textId="77777777" w:rsidR="00903D51" w:rsidRPr="009F1D8B" w:rsidRDefault="00903D51" w:rsidP="00903D51">
      <w:pPr>
        <w:jc w:val="both"/>
        <w:rPr>
          <w:rFonts w:ascii="Open Sans" w:hAnsi="Open Sans" w:cs="Open Sans"/>
          <w:bCs/>
          <w:sz w:val="20"/>
          <w:szCs w:val="20"/>
        </w:rPr>
      </w:pPr>
    </w:p>
    <w:p w14:paraId="538130C3"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En la mayor parte de los documentos analizados se mencionan ambas de forma conjunta (estrategia y política). Su contenido es público a través de la sección de fiscalidad de su web corporativa</w:t>
      </w:r>
      <w:r w:rsidRPr="009F1D8B">
        <w:rPr>
          <w:rStyle w:val="Refdenotaalpie"/>
          <w:rFonts w:ascii="Open Sans" w:hAnsi="Open Sans" w:cs="Open Sans"/>
          <w:bCs/>
          <w:sz w:val="20"/>
          <w:szCs w:val="20"/>
        </w:rPr>
        <w:footnoteReference w:id="439"/>
      </w:r>
      <w:r>
        <w:rPr>
          <w:rFonts w:ascii="Open Sans" w:hAnsi="Open Sans" w:cs="Open Sans"/>
          <w:bCs/>
          <w:sz w:val="20"/>
          <w:szCs w:val="20"/>
        </w:rPr>
        <w:t xml:space="preserve"> y, adicionalmente, se publica</w:t>
      </w:r>
      <w:r w:rsidRPr="009F1D8B">
        <w:rPr>
          <w:rFonts w:ascii="Open Sans" w:hAnsi="Open Sans" w:cs="Open Sans"/>
          <w:bCs/>
          <w:sz w:val="20"/>
          <w:szCs w:val="20"/>
        </w:rPr>
        <w:t xml:space="preserve"> en varios de los documentos analizados como el Informe de Sostenibilidad y el Informe de Gestión.</w:t>
      </w:r>
    </w:p>
    <w:p w14:paraId="1E388A8C" w14:textId="77777777" w:rsidR="00903D51" w:rsidRPr="009F1D8B" w:rsidRDefault="00903D51" w:rsidP="00903D51">
      <w:pPr>
        <w:jc w:val="both"/>
        <w:rPr>
          <w:rFonts w:ascii="Open Sans" w:hAnsi="Open Sans" w:cs="Open Sans"/>
          <w:bCs/>
          <w:sz w:val="20"/>
          <w:szCs w:val="20"/>
        </w:rPr>
      </w:pPr>
    </w:p>
    <w:p w14:paraId="7A27F14D"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Para diferenciar estrategia de política, tomando como base la información publicada por Repsol, puede deducirse que la estrategia de la compañía consiste en el compromiso «</w:t>
      </w:r>
      <w:r w:rsidRPr="009F1D8B">
        <w:rPr>
          <w:rFonts w:ascii="Open Sans" w:hAnsi="Open Sans" w:cs="Open Sans"/>
          <w:bCs/>
          <w:i/>
          <w:sz w:val="20"/>
          <w:szCs w:val="20"/>
        </w:rPr>
        <w:t>a gestionar sus asuntos fiscales aplicando buenas prácticas tributarias y actuando con transparencia, a pagar sus impuestos de manera responsable y eficiente y a promover relaciones cooperativas con los gobiernos, tratando de evitar riesgos significativos y conflictos innecesarios</w:t>
      </w:r>
      <w:r w:rsidRPr="009F1D8B">
        <w:rPr>
          <w:rFonts w:ascii="Open Sans" w:hAnsi="Open Sans" w:cs="Open Sans"/>
          <w:bCs/>
          <w:sz w:val="20"/>
          <w:szCs w:val="20"/>
        </w:rPr>
        <w:t xml:space="preserve">». </w:t>
      </w:r>
    </w:p>
    <w:p w14:paraId="69610C02" w14:textId="77777777" w:rsidR="00903D51" w:rsidRPr="009F1D8B" w:rsidRDefault="00903D51" w:rsidP="00903D51">
      <w:pPr>
        <w:jc w:val="both"/>
        <w:rPr>
          <w:rFonts w:ascii="Open Sans" w:hAnsi="Open Sans" w:cs="Open Sans"/>
          <w:bCs/>
          <w:sz w:val="20"/>
          <w:szCs w:val="20"/>
        </w:rPr>
      </w:pPr>
    </w:p>
    <w:p w14:paraId="4B169E4A"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 xml:space="preserve">Este compromiso genérico sirve como marco para una serie de compromisos más concretos que se reflejan en la política fiscal del Grupo. Política que se desarrolla basándose en los siguientes principios de actuación: </w:t>
      </w:r>
    </w:p>
    <w:p w14:paraId="3DC3567F" w14:textId="77777777" w:rsidR="00903D51" w:rsidRPr="009F1D8B" w:rsidRDefault="00903D51" w:rsidP="00903D51">
      <w:pPr>
        <w:numPr>
          <w:ilvl w:val="0"/>
          <w:numId w:val="12"/>
        </w:numPr>
        <w:jc w:val="both"/>
        <w:rPr>
          <w:rFonts w:ascii="Open Sans" w:hAnsi="Open Sans" w:cs="Open Sans"/>
          <w:bCs/>
          <w:sz w:val="20"/>
          <w:szCs w:val="20"/>
        </w:rPr>
      </w:pPr>
      <w:r w:rsidRPr="009F1D8B">
        <w:rPr>
          <w:rFonts w:ascii="Open Sans" w:hAnsi="Open Sans" w:cs="Open Sans"/>
          <w:bCs/>
          <w:sz w:val="20"/>
          <w:szCs w:val="20"/>
        </w:rPr>
        <w:t xml:space="preserve">Cumplimiento normativo y pago responsable de los impuestos, </w:t>
      </w:r>
    </w:p>
    <w:p w14:paraId="09DA2945"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Cumplimiento de la ley, respetando tanto su letra como su espíritu.</w:t>
      </w:r>
    </w:p>
    <w:p w14:paraId="116DFB75"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Aplicación del principio de libre concurrencia (“</w:t>
      </w:r>
      <w:r w:rsidRPr="009F1D8B">
        <w:rPr>
          <w:rFonts w:ascii="Open Sans" w:hAnsi="Open Sans" w:cs="Open Sans"/>
          <w:bCs/>
          <w:i/>
          <w:sz w:val="20"/>
          <w:szCs w:val="20"/>
        </w:rPr>
        <w:t>arm’s length</w:t>
      </w:r>
      <w:r w:rsidRPr="009F1D8B">
        <w:rPr>
          <w:rFonts w:ascii="Open Sans" w:hAnsi="Open Sans" w:cs="Open Sans"/>
          <w:bCs/>
          <w:sz w:val="20"/>
          <w:szCs w:val="20"/>
        </w:rPr>
        <w:t>”) en sus operaciones intragrupo.</w:t>
      </w:r>
    </w:p>
    <w:p w14:paraId="4354849B"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Adopción de sus posiciones fiscales sobre la base de motivos económicos y empresariales sólidos o de prácticas comúnmente aceptadas, evitando esquemas o prácticas de planificación fiscal abusiva.</w:t>
      </w:r>
    </w:p>
    <w:p w14:paraId="1C7004A1"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Suministro de información veraz y completa sobre sus operaciones.</w:t>
      </w:r>
    </w:p>
    <w:p w14:paraId="106E518F"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Priorización de las vías no litigiosas para la resolución de conflictos, cuando sea factible, y uso de las posibilidades que ofrecen los procedimientos legales para potenciar los acuerdos con las administraciones.</w:t>
      </w:r>
    </w:p>
    <w:p w14:paraId="733B8FD9" w14:textId="77777777" w:rsidR="00903D51" w:rsidRPr="009F1D8B" w:rsidRDefault="00903D51" w:rsidP="00903D51">
      <w:pPr>
        <w:numPr>
          <w:ilvl w:val="0"/>
          <w:numId w:val="12"/>
        </w:numPr>
        <w:jc w:val="both"/>
        <w:rPr>
          <w:rFonts w:ascii="Open Sans" w:hAnsi="Open Sans" w:cs="Open Sans"/>
          <w:bCs/>
          <w:sz w:val="20"/>
          <w:szCs w:val="20"/>
        </w:rPr>
      </w:pPr>
      <w:r w:rsidRPr="009F1D8B">
        <w:rPr>
          <w:rFonts w:ascii="Open Sans" w:hAnsi="Open Sans" w:cs="Open Sans"/>
          <w:bCs/>
          <w:sz w:val="20"/>
          <w:szCs w:val="20"/>
        </w:rPr>
        <w:t xml:space="preserve">Eficiencia fiscal y defensa del interés social en los conflictos fiscales, </w:t>
      </w:r>
    </w:p>
    <w:p w14:paraId="4F0A5AD0" w14:textId="77777777" w:rsidR="00903D51" w:rsidRPr="009F1D8B" w:rsidRDefault="00903D51" w:rsidP="00903D51">
      <w:pPr>
        <w:numPr>
          <w:ilvl w:val="0"/>
          <w:numId w:val="12"/>
        </w:numPr>
        <w:jc w:val="both"/>
        <w:rPr>
          <w:rFonts w:ascii="Open Sans" w:hAnsi="Open Sans" w:cs="Open Sans"/>
          <w:bCs/>
          <w:sz w:val="20"/>
          <w:szCs w:val="20"/>
        </w:rPr>
      </w:pPr>
      <w:r w:rsidRPr="009F1D8B">
        <w:rPr>
          <w:rFonts w:ascii="Open Sans" w:hAnsi="Open Sans" w:cs="Open Sans"/>
          <w:bCs/>
          <w:sz w:val="20"/>
          <w:szCs w:val="20"/>
        </w:rPr>
        <w:t xml:space="preserve">Relaciones cooperativas con las administraciones tributarias, evitando conflictos innecesarios, </w:t>
      </w:r>
    </w:p>
    <w:p w14:paraId="5B4AB574" w14:textId="77777777" w:rsidR="00903D51" w:rsidRPr="009F1D8B" w:rsidRDefault="00903D51" w:rsidP="00903D51">
      <w:pPr>
        <w:numPr>
          <w:ilvl w:val="0"/>
          <w:numId w:val="12"/>
        </w:numPr>
        <w:jc w:val="both"/>
        <w:rPr>
          <w:rFonts w:ascii="Open Sans" w:hAnsi="Open Sans" w:cs="Open Sans"/>
          <w:bCs/>
          <w:sz w:val="20"/>
          <w:szCs w:val="20"/>
        </w:rPr>
      </w:pPr>
      <w:r w:rsidRPr="009F1D8B">
        <w:rPr>
          <w:rFonts w:ascii="Open Sans" w:hAnsi="Open Sans" w:cs="Open Sans"/>
          <w:bCs/>
          <w:sz w:val="20"/>
          <w:szCs w:val="20"/>
        </w:rPr>
        <w:t>Prevención de riesgos fiscales significativos mediante un adecuado sistema de gestión  y control,</w:t>
      </w:r>
    </w:p>
    <w:p w14:paraId="5C1FFF73" w14:textId="77777777" w:rsidR="00903D51" w:rsidRPr="009F1D8B" w:rsidRDefault="00903D51" w:rsidP="00903D51">
      <w:pPr>
        <w:numPr>
          <w:ilvl w:val="0"/>
          <w:numId w:val="12"/>
        </w:numPr>
        <w:jc w:val="both"/>
        <w:rPr>
          <w:rFonts w:ascii="Open Sans" w:hAnsi="Open Sans" w:cs="Open Sans"/>
          <w:bCs/>
          <w:sz w:val="20"/>
          <w:szCs w:val="20"/>
        </w:rPr>
      </w:pPr>
      <w:r w:rsidRPr="009F1D8B">
        <w:rPr>
          <w:rFonts w:ascii="Open Sans" w:hAnsi="Open Sans" w:cs="Open Sans"/>
          <w:bCs/>
          <w:sz w:val="20"/>
          <w:szCs w:val="20"/>
        </w:rPr>
        <w:t>Transparencia:</w:t>
      </w:r>
    </w:p>
    <w:p w14:paraId="5297D696"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No hacer uso de estructuras societarias opacas o artificiosas con la finalidad de ocultar o reducir la transparencia de sus actividades.</w:t>
      </w:r>
    </w:p>
    <w:p w14:paraId="26102358"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No tener presencia en paraísos fiscales, salvo que ésta sea necesaria por motivos de negocio.</w:t>
      </w:r>
    </w:p>
    <w:p w14:paraId="54289B31" w14:textId="77777777" w:rsidR="00903D51" w:rsidRPr="009F1D8B" w:rsidRDefault="00903D51" w:rsidP="00903D51">
      <w:pPr>
        <w:numPr>
          <w:ilvl w:val="1"/>
          <w:numId w:val="12"/>
        </w:numPr>
        <w:jc w:val="both"/>
        <w:rPr>
          <w:rFonts w:ascii="Open Sans" w:hAnsi="Open Sans" w:cs="Open Sans"/>
          <w:bCs/>
          <w:sz w:val="20"/>
          <w:szCs w:val="20"/>
        </w:rPr>
      </w:pPr>
      <w:r w:rsidRPr="009F1D8B">
        <w:rPr>
          <w:rFonts w:ascii="Open Sans" w:hAnsi="Open Sans" w:cs="Open Sans"/>
          <w:bCs/>
          <w:sz w:val="20"/>
          <w:szCs w:val="20"/>
        </w:rPr>
        <w:t>Cumplir con los mejores estándares existentes en el </w:t>
      </w:r>
      <w:r w:rsidRPr="009F1D8B">
        <w:rPr>
          <w:rFonts w:ascii="Open Sans" w:hAnsi="Open Sans" w:cs="Open Sans"/>
          <w:bCs/>
          <w:i/>
          <w:iCs/>
          <w:sz w:val="20"/>
          <w:szCs w:val="20"/>
        </w:rPr>
        <w:t>reporting</w:t>
      </w:r>
      <w:r w:rsidRPr="009F1D8B">
        <w:rPr>
          <w:rFonts w:ascii="Open Sans" w:hAnsi="Open Sans" w:cs="Open Sans"/>
          <w:bCs/>
          <w:sz w:val="20"/>
          <w:szCs w:val="20"/>
        </w:rPr>
        <w:t> externo sobre fiscalidad, para facilitar la comprensión de su contribución fiscal y de las políticas fiscales aplicadas.</w:t>
      </w:r>
    </w:p>
    <w:p w14:paraId="34D697CB" w14:textId="77777777" w:rsidR="00903D51" w:rsidRPr="009F1D8B" w:rsidRDefault="00903D51" w:rsidP="00903D51">
      <w:pPr>
        <w:jc w:val="both"/>
        <w:rPr>
          <w:rFonts w:ascii="Open Sans" w:hAnsi="Open Sans" w:cs="Open Sans"/>
          <w:bCs/>
          <w:sz w:val="20"/>
          <w:szCs w:val="20"/>
        </w:rPr>
      </w:pPr>
    </w:p>
    <w:p w14:paraId="278A1D4A" w14:textId="77777777" w:rsidR="00903D51" w:rsidRPr="009F1D8B" w:rsidRDefault="00903D51" w:rsidP="00903D51">
      <w:pPr>
        <w:jc w:val="both"/>
        <w:rPr>
          <w:rFonts w:ascii="Open Sans" w:eastAsia="Calibri" w:hAnsi="Open Sans" w:cs="Open Sans"/>
          <w:sz w:val="20"/>
          <w:szCs w:val="20"/>
        </w:rPr>
      </w:pPr>
      <w:r w:rsidRPr="009F1D8B">
        <w:rPr>
          <w:rFonts w:ascii="Open Sans" w:hAnsi="Open Sans" w:cs="Open Sans"/>
          <w:bCs/>
          <w:sz w:val="20"/>
          <w:szCs w:val="20"/>
        </w:rPr>
        <w:t xml:space="preserve">En la información analizada se ha identificado que el Consejo de Administración ha asumido </w:t>
      </w:r>
      <w:r w:rsidRPr="009F1D8B">
        <w:rPr>
          <w:rFonts w:ascii="Open Sans" w:eastAsia="Calibri" w:hAnsi="Open Sans" w:cs="Open Sans"/>
          <w:sz w:val="20"/>
          <w:szCs w:val="20"/>
        </w:rPr>
        <w:t>dentro de sus competencias indelegables en el área fiscal la aprobación de la política de gestión de riesgos fiscales, la verificación anual de la correcta aplicación de las políticas fiscales. Todo ello, como indica la propia compañía, de conformidad con la Ley 31/2014 de reforma de la Ley de Sociedades de Capital para la mejora del gobierno corporativo y con el Código de Buenas Prácticas Tributarias de la Agencia Tributaria Española suscrito por Repsol.</w:t>
      </w:r>
    </w:p>
    <w:p w14:paraId="789271DA" w14:textId="77777777" w:rsidR="00903D51" w:rsidRPr="009F1D8B" w:rsidRDefault="00903D51" w:rsidP="00903D51">
      <w:pPr>
        <w:jc w:val="both"/>
        <w:rPr>
          <w:rFonts w:ascii="Open Sans" w:eastAsia="Calibri" w:hAnsi="Open Sans" w:cs="Open Sans"/>
          <w:sz w:val="20"/>
          <w:szCs w:val="20"/>
        </w:rPr>
      </w:pPr>
    </w:p>
    <w:p w14:paraId="2526AD76" w14:textId="77777777" w:rsidR="00903D51" w:rsidRPr="009F1D8B" w:rsidRDefault="00903D51" w:rsidP="00903D51">
      <w:pPr>
        <w:jc w:val="both"/>
        <w:rPr>
          <w:rFonts w:ascii="Open Sans" w:eastAsia="Calibri" w:hAnsi="Open Sans" w:cs="Open Sans"/>
          <w:sz w:val="20"/>
          <w:szCs w:val="20"/>
        </w:rPr>
      </w:pPr>
      <w:r w:rsidRPr="009F1D8B">
        <w:rPr>
          <w:rFonts w:ascii="Open Sans" w:eastAsia="Calibri" w:hAnsi="Open Sans" w:cs="Open Sans"/>
          <w:sz w:val="20"/>
          <w:szCs w:val="20"/>
        </w:rPr>
        <w:t xml:space="preserve">En el Reglamento del Consejo de Administración se reflejan textualmente las facultades establecidas por Ley de Sociedad de Capital y, con carácter general, en el resto de documentos analizados también se reflejan entre las responsabilidades y actividades del </w:t>
      </w:r>
      <w:r>
        <w:rPr>
          <w:rFonts w:ascii="Open Sans" w:eastAsia="Calibri" w:hAnsi="Open Sans" w:cs="Open Sans"/>
          <w:sz w:val="20"/>
          <w:szCs w:val="20"/>
        </w:rPr>
        <w:t>Consejo aunque no necesariamente citadas de forma textual.</w:t>
      </w:r>
    </w:p>
    <w:p w14:paraId="57D945AF" w14:textId="77777777" w:rsidR="00903D51" w:rsidRPr="009F1D8B" w:rsidRDefault="00903D51" w:rsidP="00903D51">
      <w:pPr>
        <w:jc w:val="both"/>
        <w:rPr>
          <w:rFonts w:ascii="Open Sans" w:eastAsia="Calibri" w:hAnsi="Open Sans" w:cs="Open Sans"/>
          <w:sz w:val="20"/>
          <w:szCs w:val="20"/>
        </w:rPr>
      </w:pPr>
    </w:p>
    <w:p w14:paraId="45531ECB" w14:textId="77777777" w:rsidR="00903D51" w:rsidRPr="009F1D8B" w:rsidRDefault="00903D51" w:rsidP="00903D51">
      <w:pPr>
        <w:jc w:val="both"/>
        <w:rPr>
          <w:rFonts w:ascii="Open Sans" w:eastAsia="Calibri" w:hAnsi="Open Sans" w:cs="Open Sans"/>
          <w:sz w:val="20"/>
          <w:szCs w:val="20"/>
        </w:rPr>
      </w:pPr>
      <w:r>
        <w:rPr>
          <w:rFonts w:ascii="Open Sans" w:eastAsia="Calibri" w:hAnsi="Open Sans" w:cs="Open Sans"/>
          <w:sz w:val="20"/>
          <w:szCs w:val="20"/>
        </w:rPr>
        <w:t>El Consejo se apoya para el cumplimiento de estas obligaciones en l</w:t>
      </w:r>
      <w:r w:rsidRPr="009F1D8B">
        <w:rPr>
          <w:rFonts w:ascii="Open Sans" w:eastAsia="Calibri" w:hAnsi="Open Sans" w:cs="Open Sans"/>
          <w:sz w:val="20"/>
          <w:szCs w:val="20"/>
        </w:rPr>
        <w:t xml:space="preserve">a Comisión de Auditoría y Control </w:t>
      </w:r>
      <w:r>
        <w:rPr>
          <w:rFonts w:ascii="Open Sans" w:eastAsia="Calibri" w:hAnsi="Open Sans" w:cs="Open Sans"/>
          <w:sz w:val="20"/>
          <w:szCs w:val="20"/>
        </w:rPr>
        <w:t xml:space="preserve">que, según se refleja en la documentación analizada, incluye entre sus funciones </w:t>
      </w:r>
      <w:r w:rsidRPr="009F1D8B">
        <w:rPr>
          <w:rFonts w:ascii="Open Sans" w:eastAsia="Calibri" w:hAnsi="Open Sans" w:cs="Open Sans"/>
          <w:sz w:val="20"/>
          <w:szCs w:val="20"/>
        </w:rPr>
        <w:t>las de «</w:t>
      </w:r>
      <w:r w:rsidRPr="00E50E93">
        <w:rPr>
          <w:rFonts w:ascii="Open Sans" w:eastAsia="Calibri" w:hAnsi="Open Sans" w:cs="Open Sans"/>
          <w:i/>
          <w:sz w:val="20"/>
          <w:szCs w:val="20"/>
        </w:rPr>
        <w:t>revisar periódicamente los sistemas de control interno, la auditoría interna y los sistemas de gestión de riesgos, incluidos los fiscales, para que los principales riesgos se identifiquen, gestionen y den a conocer adecuadamente</w:t>
      </w:r>
      <w:r w:rsidRPr="009F1D8B">
        <w:rPr>
          <w:rFonts w:ascii="Open Sans" w:eastAsia="Calibri" w:hAnsi="Open Sans" w:cs="Open Sans"/>
          <w:sz w:val="20"/>
          <w:szCs w:val="20"/>
        </w:rPr>
        <w:t>»</w:t>
      </w:r>
      <w:r>
        <w:rPr>
          <w:rFonts w:ascii="Open Sans" w:eastAsia="Calibri" w:hAnsi="Open Sans" w:cs="Open Sans"/>
          <w:sz w:val="20"/>
          <w:szCs w:val="20"/>
        </w:rPr>
        <w:t xml:space="preserve"> y de </w:t>
      </w:r>
      <w:r w:rsidRPr="009F1D8B">
        <w:rPr>
          <w:rFonts w:ascii="Open Sans" w:eastAsia="Calibri" w:hAnsi="Open Sans" w:cs="Open Sans"/>
          <w:sz w:val="20"/>
          <w:szCs w:val="20"/>
        </w:rPr>
        <w:t>«</w:t>
      </w:r>
      <w:r w:rsidRPr="00E50E93">
        <w:rPr>
          <w:rFonts w:ascii="Open Sans" w:hAnsi="Open Sans" w:cs="Open Sans"/>
          <w:i/>
          <w:sz w:val="20"/>
          <w:szCs w:val="20"/>
        </w:rPr>
        <w:t>i</w:t>
      </w:r>
      <w:r w:rsidRPr="00E50E93">
        <w:rPr>
          <w:rFonts w:ascii="Open Sans" w:eastAsia="Calibri" w:hAnsi="Open Sans" w:cs="Open Sans"/>
          <w:i/>
          <w:sz w:val="20"/>
          <w:szCs w:val="20"/>
        </w:rPr>
        <w:t>nformar al Consejo, con carácter previo, sobre todas las materias previstas en la Ley, los Estatutos Sociales y en este Reglamento y en particular sobre: (i)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w:t>
      </w:r>
      <w:r w:rsidRPr="009F1D8B">
        <w:rPr>
          <w:rFonts w:ascii="Open Sans" w:eastAsia="Calibri" w:hAnsi="Open Sans" w:cs="Open Sans"/>
          <w:sz w:val="20"/>
          <w:szCs w:val="20"/>
        </w:rPr>
        <w:t>».</w:t>
      </w:r>
    </w:p>
    <w:p w14:paraId="20D131E2" w14:textId="77777777" w:rsidR="00903D51" w:rsidRPr="009F1D8B" w:rsidRDefault="00903D51" w:rsidP="00903D51">
      <w:pPr>
        <w:jc w:val="both"/>
        <w:rPr>
          <w:rFonts w:ascii="Open Sans" w:eastAsia="Calibri" w:hAnsi="Open Sans" w:cs="Open Sans"/>
          <w:sz w:val="20"/>
          <w:szCs w:val="20"/>
        </w:rPr>
      </w:pPr>
    </w:p>
    <w:p w14:paraId="1473604E" w14:textId="77777777" w:rsidR="00903D51" w:rsidRPr="009F1D8B" w:rsidRDefault="00903D51" w:rsidP="00903D51">
      <w:pPr>
        <w:jc w:val="both"/>
        <w:rPr>
          <w:rFonts w:ascii="Open Sans" w:eastAsia="Calibri" w:hAnsi="Open Sans" w:cs="Open Sans"/>
          <w:sz w:val="20"/>
          <w:szCs w:val="20"/>
        </w:rPr>
      </w:pPr>
      <w:r w:rsidRPr="009F1D8B">
        <w:rPr>
          <w:rFonts w:ascii="Open Sans" w:eastAsia="Calibri" w:hAnsi="Open Sans" w:cs="Open Sans"/>
          <w:sz w:val="20"/>
          <w:szCs w:val="20"/>
        </w:rPr>
        <w:t xml:space="preserve">En la información ofrecida para la Junta de Accionistas, Repsol incluye la memoria de actividad de la Comisión de Auditoría y </w:t>
      </w:r>
      <w:r w:rsidRPr="00B02132">
        <w:rPr>
          <w:rFonts w:ascii="Open Sans" w:eastAsia="Calibri" w:hAnsi="Open Sans" w:cs="Open Sans"/>
          <w:sz w:val="20"/>
          <w:szCs w:val="20"/>
        </w:rPr>
        <w:t>Control. Aunque desde el apartado de la web corporativa dedicado a las Comisiones del Consejo no se accede a las memorias de actividad de las diferentes comisiones, en el informe de sostenibilidad sí se incluye un enlace que permite acceder al mismo.</w:t>
      </w:r>
    </w:p>
    <w:p w14:paraId="29424277" w14:textId="77777777" w:rsidR="00903D51" w:rsidRPr="009F1D8B" w:rsidRDefault="00903D51" w:rsidP="00903D51">
      <w:pPr>
        <w:jc w:val="both"/>
        <w:rPr>
          <w:rFonts w:ascii="Open Sans" w:eastAsia="Calibri" w:hAnsi="Open Sans" w:cs="Open Sans"/>
          <w:sz w:val="20"/>
          <w:szCs w:val="20"/>
        </w:rPr>
      </w:pPr>
    </w:p>
    <w:p w14:paraId="6DFC968F" w14:textId="77777777" w:rsidR="00903D51" w:rsidRPr="009F1D8B" w:rsidRDefault="00903D51" w:rsidP="00903D51">
      <w:pPr>
        <w:jc w:val="both"/>
        <w:rPr>
          <w:rFonts w:ascii="Open Sans" w:eastAsia="Calibri" w:hAnsi="Open Sans" w:cs="Open Sans"/>
          <w:sz w:val="20"/>
          <w:szCs w:val="20"/>
        </w:rPr>
      </w:pPr>
      <w:r>
        <w:rPr>
          <w:rFonts w:ascii="Open Sans" w:eastAsia="Calibri" w:hAnsi="Open Sans" w:cs="Open Sans"/>
          <w:sz w:val="20"/>
          <w:szCs w:val="20"/>
        </w:rPr>
        <w:t>Se valora positivamente que e</w:t>
      </w:r>
      <w:r w:rsidRPr="009F1D8B">
        <w:rPr>
          <w:rFonts w:ascii="Open Sans" w:eastAsia="Calibri" w:hAnsi="Open Sans" w:cs="Open Sans"/>
          <w:sz w:val="20"/>
          <w:szCs w:val="20"/>
        </w:rPr>
        <w:t>n el informe de actividades de la Comisión de Auditoría y Control correspondiente a</w:t>
      </w:r>
      <w:r>
        <w:rPr>
          <w:rFonts w:ascii="Open Sans" w:eastAsia="Calibri" w:hAnsi="Open Sans" w:cs="Open Sans"/>
          <w:sz w:val="20"/>
          <w:szCs w:val="20"/>
        </w:rPr>
        <w:t>l ejercicio 2015, Repsol refleje</w:t>
      </w:r>
      <w:r w:rsidRPr="009F1D8B">
        <w:rPr>
          <w:rFonts w:ascii="Open Sans" w:eastAsia="Calibri" w:hAnsi="Open Sans" w:cs="Open Sans"/>
          <w:sz w:val="20"/>
          <w:szCs w:val="20"/>
        </w:rPr>
        <w:t xml:space="preserve"> información concreta sobre las reuniones realizadas por dicha Comisión y </w:t>
      </w:r>
      <w:r>
        <w:rPr>
          <w:rFonts w:ascii="Open Sans" w:eastAsia="Calibri" w:hAnsi="Open Sans" w:cs="Open Sans"/>
          <w:sz w:val="20"/>
          <w:szCs w:val="20"/>
        </w:rPr>
        <w:t>que enumere</w:t>
      </w:r>
      <w:r w:rsidRPr="009F1D8B">
        <w:rPr>
          <w:rFonts w:ascii="Open Sans" w:eastAsia="Calibri" w:hAnsi="Open Sans" w:cs="Open Sans"/>
          <w:sz w:val="20"/>
          <w:szCs w:val="20"/>
        </w:rPr>
        <w:t xml:space="preserve"> los temas tratados en cada una de ellas. Desde </w:t>
      </w:r>
      <w:r>
        <w:rPr>
          <w:rFonts w:ascii="Open Sans" w:eastAsia="Calibri" w:hAnsi="Open Sans" w:cs="Open Sans"/>
          <w:sz w:val="20"/>
          <w:szCs w:val="20"/>
        </w:rPr>
        <w:t>el objeto de análisis del p</w:t>
      </w:r>
      <w:r w:rsidRPr="009F1D8B">
        <w:rPr>
          <w:rFonts w:ascii="Open Sans" w:eastAsia="Calibri" w:hAnsi="Open Sans" w:cs="Open Sans"/>
          <w:sz w:val="20"/>
          <w:szCs w:val="20"/>
        </w:rPr>
        <w:t xml:space="preserve">resente estudio es de destacar que durante el año 2015 </w:t>
      </w:r>
      <w:r>
        <w:rPr>
          <w:rFonts w:ascii="Open Sans" w:eastAsia="Calibri" w:hAnsi="Open Sans" w:cs="Open Sans"/>
          <w:sz w:val="20"/>
          <w:szCs w:val="20"/>
        </w:rPr>
        <w:t>esta Comisión abordó diversos</w:t>
      </w:r>
      <w:r w:rsidRPr="009F1D8B">
        <w:rPr>
          <w:rFonts w:ascii="Open Sans" w:eastAsia="Calibri" w:hAnsi="Open Sans" w:cs="Open Sans"/>
          <w:sz w:val="20"/>
          <w:szCs w:val="20"/>
        </w:rPr>
        <w:t xml:space="preserve"> temas relacionados con la fiscalidad que </w:t>
      </w:r>
      <w:r>
        <w:rPr>
          <w:rFonts w:ascii="Open Sans" w:eastAsia="Calibri" w:hAnsi="Open Sans" w:cs="Open Sans"/>
          <w:sz w:val="20"/>
          <w:szCs w:val="20"/>
        </w:rPr>
        <w:t>incluyen</w:t>
      </w:r>
      <w:r w:rsidRPr="009F1D8B">
        <w:rPr>
          <w:rFonts w:ascii="Open Sans" w:eastAsia="Calibri" w:hAnsi="Open Sans" w:cs="Open Sans"/>
          <w:sz w:val="20"/>
          <w:szCs w:val="20"/>
        </w:rPr>
        <w:t xml:space="preserve"> </w:t>
      </w:r>
      <w:r>
        <w:rPr>
          <w:rFonts w:ascii="Open Sans" w:eastAsia="Calibri" w:hAnsi="Open Sans" w:cs="Open Sans"/>
          <w:sz w:val="20"/>
          <w:szCs w:val="20"/>
        </w:rPr>
        <w:t xml:space="preserve">aspectos como </w:t>
      </w:r>
      <w:r w:rsidRPr="009F1D8B">
        <w:rPr>
          <w:rFonts w:ascii="Open Sans" w:eastAsia="Calibri" w:hAnsi="Open Sans" w:cs="Open Sans"/>
          <w:sz w:val="20"/>
          <w:szCs w:val="20"/>
        </w:rPr>
        <w:t>las responsabilidades del Consejo, las políticas fiscales de la compañía, la puesta en práctica de códigos de conducta firmados por la empresa en el ámbito fiscal, la gestión de riesgos fiscales, así como, la aplicación de sus compromisos y políticas en los relacionado con la presencia de las empresas del Grupo en paraísos fiscales. Concretamente los temas relacionados con la fiscalidad que, según la memoria de actividades de la Comisión de Auditoría y Control</w:t>
      </w:r>
      <w:r>
        <w:rPr>
          <w:rFonts w:ascii="Open Sans" w:eastAsia="Calibri" w:hAnsi="Open Sans" w:cs="Open Sans"/>
          <w:sz w:val="20"/>
          <w:szCs w:val="20"/>
        </w:rPr>
        <w:t>,</w:t>
      </w:r>
      <w:r w:rsidRPr="009F1D8B">
        <w:rPr>
          <w:rFonts w:ascii="Open Sans" w:eastAsia="Calibri" w:hAnsi="Open Sans" w:cs="Open Sans"/>
          <w:sz w:val="20"/>
          <w:szCs w:val="20"/>
        </w:rPr>
        <w:t xml:space="preserve"> se trataron en el ejercicio 2015 fueron:</w:t>
      </w:r>
    </w:p>
    <w:p w14:paraId="0E28E928" w14:textId="77777777" w:rsidR="00903D51" w:rsidRPr="009F1D8B" w:rsidRDefault="00903D51" w:rsidP="00903D51">
      <w:pPr>
        <w:autoSpaceDE w:val="0"/>
        <w:autoSpaceDN w:val="0"/>
        <w:adjustRightInd w:val="0"/>
        <w:jc w:val="both"/>
        <w:rPr>
          <w:rFonts w:ascii="Open Sans" w:eastAsia="Calibri" w:hAnsi="Open Sans" w:cs="Open Sans"/>
          <w:sz w:val="20"/>
          <w:szCs w:val="20"/>
        </w:rPr>
      </w:pPr>
    </w:p>
    <w:p w14:paraId="52856B16" w14:textId="77777777" w:rsidR="00903D51" w:rsidRPr="009F1D8B" w:rsidRDefault="00903D51" w:rsidP="00903D51">
      <w:pPr>
        <w:pStyle w:val="Default"/>
        <w:numPr>
          <w:ilvl w:val="0"/>
          <w:numId w:val="12"/>
        </w:numPr>
        <w:jc w:val="both"/>
        <w:rPr>
          <w:rFonts w:ascii="Open Sans" w:eastAsia="Calibri" w:hAnsi="Open Sans" w:cs="Open Sans"/>
          <w:sz w:val="20"/>
          <w:szCs w:val="20"/>
        </w:rPr>
      </w:pPr>
      <w:r w:rsidRPr="009F1D8B">
        <w:rPr>
          <w:rFonts w:ascii="Open Sans" w:eastAsia="Calibri" w:hAnsi="Open Sans" w:cs="Open Sans"/>
          <w:sz w:val="20"/>
          <w:szCs w:val="20"/>
        </w:rPr>
        <w:t>Información sobre las principales novedades del Anteproyecto de Ley de Auditoría de Cuentas por parte de los auditores externos y de la Dirección Corporativa Económico y Fiscal y sobre las novedades de la Ley de Sociedades de Capital relacionadas con la intervención del Consejo en cuestiones fiscales. (Reunión del 21 de enero de 2015).</w:t>
      </w:r>
    </w:p>
    <w:p w14:paraId="636A16BD" w14:textId="77777777" w:rsidR="00903D51" w:rsidRPr="009F1D8B" w:rsidRDefault="00903D51" w:rsidP="00903D51">
      <w:pPr>
        <w:numPr>
          <w:ilvl w:val="0"/>
          <w:numId w:val="12"/>
        </w:numPr>
        <w:autoSpaceDE w:val="0"/>
        <w:autoSpaceDN w:val="0"/>
        <w:adjustRightInd w:val="0"/>
        <w:jc w:val="both"/>
        <w:rPr>
          <w:rFonts w:ascii="Open Sans" w:eastAsia="Calibri" w:hAnsi="Open Sans" w:cs="Open Sans"/>
          <w:sz w:val="20"/>
          <w:szCs w:val="20"/>
        </w:rPr>
      </w:pPr>
      <w:r w:rsidRPr="009F1D8B">
        <w:rPr>
          <w:rFonts w:ascii="Open Sans" w:eastAsia="Calibri" w:hAnsi="Open Sans" w:cs="Open Sans"/>
          <w:color w:val="000000"/>
          <w:sz w:val="20"/>
          <w:szCs w:val="20"/>
        </w:rPr>
        <w:t xml:space="preserve">Información sobre las políticas fiscales aplicadas por la compañía (Código de Buenas Prácticas Tributarias). (Reunión del </w:t>
      </w:r>
      <w:r w:rsidRPr="009F1D8B">
        <w:rPr>
          <w:rFonts w:ascii="Open Sans" w:eastAsia="Calibri" w:hAnsi="Open Sans" w:cs="Open Sans"/>
          <w:sz w:val="20"/>
          <w:szCs w:val="20"/>
        </w:rPr>
        <w:t>24 de febrero de 2015).</w:t>
      </w:r>
    </w:p>
    <w:p w14:paraId="77F73224" w14:textId="77777777" w:rsidR="00903D51" w:rsidRPr="009F1D8B" w:rsidRDefault="00903D51" w:rsidP="00903D51">
      <w:pPr>
        <w:numPr>
          <w:ilvl w:val="0"/>
          <w:numId w:val="12"/>
        </w:numPr>
        <w:autoSpaceDE w:val="0"/>
        <w:autoSpaceDN w:val="0"/>
        <w:adjustRightInd w:val="0"/>
        <w:jc w:val="both"/>
        <w:rPr>
          <w:rFonts w:ascii="Open Sans" w:eastAsia="Calibri" w:hAnsi="Open Sans" w:cs="Open Sans"/>
          <w:color w:val="000000"/>
          <w:sz w:val="20"/>
          <w:szCs w:val="20"/>
        </w:rPr>
      </w:pPr>
      <w:r w:rsidRPr="009F1D8B">
        <w:rPr>
          <w:rFonts w:ascii="Open Sans" w:eastAsia="Calibri" w:hAnsi="Open Sans" w:cs="Open Sans"/>
          <w:color w:val="000000"/>
          <w:sz w:val="20"/>
          <w:szCs w:val="20"/>
        </w:rPr>
        <w:t xml:space="preserve">Informe de la Dirección Corporativa Económico y Fiscal sobre Venezuela y el posible impacto contable y fiscal que podría ocasionar la devaluación del bolívar venezolano. (Reunión del </w:t>
      </w:r>
      <w:r w:rsidRPr="009F1D8B">
        <w:rPr>
          <w:rFonts w:ascii="Open Sans" w:eastAsia="Calibri" w:hAnsi="Open Sans" w:cs="Open Sans"/>
          <w:sz w:val="20"/>
          <w:szCs w:val="20"/>
        </w:rPr>
        <w:t>24 de febrero de 2015).</w:t>
      </w:r>
    </w:p>
    <w:p w14:paraId="614B74FB" w14:textId="77777777" w:rsidR="00903D51" w:rsidRPr="00B02132" w:rsidRDefault="00903D51" w:rsidP="00903D51">
      <w:pPr>
        <w:numPr>
          <w:ilvl w:val="0"/>
          <w:numId w:val="12"/>
        </w:numPr>
        <w:autoSpaceDE w:val="0"/>
        <w:autoSpaceDN w:val="0"/>
        <w:adjustRightInd w:val="0"/>
        <w:jc w:val="both"/>
        <w:rPr>
          <w:rFonts w:ascii="Open Sans" w:eastAsia="Calibri" w:hAnsi="Open Sans" w:cs="Open Sans"/>
          <w:sz w:val="20"/>
          <w:szCs w:val="20"/>
        </w:rPr>
      </w:pPr>
      <w:r w:rsidRPr="009F1D8B">
        <w:rPr>
          <w:rFonts w:ascii="Open Sans" w:eastAsia="Calibri" w:hAnsi="Open Sans" w:cs="Open Sans"/>
          <w:color w:val="000000"/>
          <w:sz w:val="20"/>
          <w:szCs w:val="20"/>
        </w:rPr>
        <w:t xml:space="preserve">Informes de la Dirección Corporativa Económico y Fiscal: (i) </w:t>
      </w:r>
      <w:r w:rsidRPr="00B02132">
        <w:rPr>
          <w:rFonts w:ascii="Open Sans" w:eastAsia="Calibri" w:hAnsi="Open Sans" w:cs="Open Sans"/>
          <w:color w:val="000000"/>
          <w:sz w:val="20"/>
          <w:szCs w:val="20"/>
        </w:rPr>
        <w:t xml:space="preserve">propuesta de honorarios de auditoría para el ejercicio 2015; (ii) auditoría del balance de entrada de Talisman Energy; (iii) plan de reducción de presencia en paraísos fiscales y otras jurisdicciones discutidas; y (iv) impuestos en Indonesia. (Reunión del </w:t>
      </w:r>
      <w:r w:rsidRPr="00B02132">
        <w:rPr>
          <w:rFonts w:ascii="Open Sans" w:eastAsia="Calibri" w:hAnsi="Open Sans" w:cs="Open Sans"/>
          <w:sz w:val="20"/>
          <w:szCs w:val="20"/>
        </w:rPr>
        <w:t>24 de junio de 2015).</w:t>
      </w:r>
    </w:p>
    <w:p w14:paraId="26D39C39" w14:textId="77777777" w:rsidR="00903D51" w:rsidRPr="00B02132" w:rsidRDefault="00903D51" w:rsidP="00903D51">
      <w:pPr>
        <w:numPr>
          <w:ilvl w:val="0"/>
          <w:numId w:val="12"/>
        </w:numPr>
        <w:autoSpaceDE w:val="0"/>
        <w:autoSpaceDN w:val="0"/>
        <w:adjustRightInd w:val="0"/>
        <w:jc w:val="both"/>
        <w:rPr>
          <w:rFonts w:ascii="Open Sans" w:eastAsia="Calibri" w:hAnsi="Open Sans" w:cs="Open Sans"/>
          <w:sz w:val="20"/>
          <w:szCs w:val="20"/>
        </w:rPr>
      </w:pPr>
      <w:r w:rsidRPr="00B02132">
        <w:rPr>
          <w:rFonts w:ascii="Open Sans" w:eastAsia="Calibri" w:hAnsi="Open Sans" w:cs="Open Sans"/>
          <w:color w:val="000000"/>
          <w:sz w:val="20"/>
          <w:szCs w:val="20"/>
        </w:rPr>
        <w:t>Informes de la Dirección Corporativa Económico y Fiscal: (i) nueva Ley de Auditoría de Cuentas; (ii) revisión del proceso de aprobación de honorarios de auditoría; y (iii) propuesta de revisión y simplificación de la estructura corporativa de Talisman. (Reunión del 28 de julio de 2015).</w:t>
      </w:r>
    </w:p>
    <w:p w14:paraId="1F1D04C9" w14:textId="77777777" w:rsidR="00903D51" w:rsidRPr="00B02132" w:rsidRDefault="00903D51" w:rsidP="00903D51">
      <w:pPr>
        <w:jc w:val="both"/>
        <w:rPr>
          <w:rFonts w:ascii="Open Sans" w:hAnsi="Open Sans" w:cs="Open Sans"/>
          <w:bCs/>
          <w:sz w:val="20"/>
          <w:szCs w:val="20"/>
        </w:rPr>
      </w:pPr>
    </w:p>
    <w:p w14:paraId="374D50D6" w14:textId="77777777" w:rsidR="00903D51" w:rsidRDefault="00903D51" w:rsidP="00903D51">
      <w:pPr>
        <w:jc w:val="both"/>
        <w:rPr>
          <w:rFonts w:ascii="Open Sans" w:hAnsi="Open Sans" w:cs="Open Sans"/>
          <w:bCs/>
          <w:sz w:val="20"/>
          <w:szCs w:val="20"/>
        </w:rPr>
      </w:pPr>
      <w:r w:rsidRPr="00B02132">
        <w:rPr>
          <w:rFonts w:ascii="Open Sans" w:hAnsi="Open Sans" w:cs="Open Sans"/>
          <w:bCs/>
          <w:sz w:val="20"/>
          <w:szCs w:val="20"/>
        </w:rPr>
        <w:t>Por lo que se refiere a la gestión de riesgos fiscales, más allá de las obligaciones</w:t>
      </w:r>
      <w:r w:rsidRPr="009F1D8B">
        <w:rPr>
          <w:rFonts w:ascii="Open Sans" w:hAnsi="Open Sans" w:cs="Open Sans"/>
          <w:bCs/>
          <w:sz w:val="20"/>
          <w:szCs w:val="20"/>
        </w:rPr>
        <w:t xml:space="preserve"> legales establecidas por la Ley de Sociedades de Capital, Repsol parte de incluirlos expresamente en los principios que sustentan la política fiscal del grupo. En ella se compromete a </w:t>
      </w:r>
      <w:r w:rsidRPr="009F1D8B">
        <w:rPr>
          <w:rFonts w:ascii="Open Sans" w:eastAsia="Calibri" w:hAnsi="Open Sans" w:cs="Open Sans"/>
          <w:sz w:val="20"/>
          <w:szCs w:val="20"/>
        </w:rPr>
        <w:t>aplicar políticas fiscales responsables que permitan la prevención de conductas susceptibles de generar riesgos fiscales significativos. Se</w:t>
      </w:r>
      <w:r w:rsidRPr="009F1D8B">
        <w:rPr>
          <w:rFonts w:ascii="Open Sans" w:hAnsi="Open Sans" w:cs="Open Sans"/>
          <w:bCs/>
          <w:sz w:val="20"/>
          <w:szCs w:val="20"/>
        </w:rPr>
        <w:t xml:space="preserve"> indica que el riesgo fiscal forma parte de política global de gestión de riesgos del Grupo. </w:t>
      </w:r>
    </w:p>
    <w:p w14:paraId="2C22F5F7" w14:textId="77777777" w:rsidR="00903D51" w:rsidRDefault="00903D51" w:rsidP="00903D51">
      <w:pPr>
        <w:jc w:val="both"/>
        <w:rPr>
          <w:rFonts w:ascii="Open Sans" w:hAnsi="Open Sans" w:cs="Open Sans"/>
          <w:bCs/>
          <w:sz w:val="20"/>
          <w:szCs w:val="20"/>
        </w:rPr>
      </w:pPr>
    </w:p>
    <w:p w14:paraId="5442BE80"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 xml:space="preserve">La política </w:t>
      </w:r>
      <w:r>
        <w:rPr>
          <w:rFonts w:ascii="Open Sans" w:hAnsi="Open Sans" w:cs="Open Sans"/>
          <w:bCs/>
          <w:sz w:val="20"/>
          <w:szCs w:val="20"/>
        </w:rPr>
        <w:t xml:space="preserve">fiscal </w:t>
      </w:r>
      <w:r w:rsidRPr="009F1D8B">
        <w:rPr>
          <w:rFonts w:ascii="Open Sans" w:hAnsi="Open Sans" w:cs="Open Sans"/>
          <w:bCs/>
          <w:sz w:val="20"/>
          <w:szCs w:val="20"/>
        </w:rPr>
        <w:t xml:space="preserve">refleja expresamente que la gestión de </w:t>
      </w:r>
      <w:r>
        <w:rPr>
          <w:rFonts w:ascii="Open Sans" w:hAnsi="Open Sans" w:cs="Open Sans"/>
          <w:bCs/>
          <w:sz w:val="20"/>
          <w:szCs w:val="20"/>
        </w:rPr>
        <w:t>este tipo de</w:t>
      </w:r>
      <w:r w:rsidRPr="009F1D8B">
        <w:rPr>
          <w:rFonts w:ascii="Open Sans" w:hAnsi="Open Sans" w:cs="Open Sans"/>
          <w:bCs/>
          <w:sz w:val="20"/>
          <w:szCs w:val="20"/>
        </w:rPr>
        <w:t xml:space="preserve"> riesgos se realiza buscando su mitigación o eliminación y que, en el caso de que tengan que ser asumidos por no haber sido posible un común entendimiento con la administración tributaria, </w:t>
      </w:r>
      <w:r>
        <w:rPr>
          <w:rFonts w:ascii="Open Sans" w:hAnsi="Open Sans" w:cs="Open Sans"/>
          <w:bCs/>
          <w:sz w:val="20"/>
          <w:szCs w:val="20"/>
        </w:rPr>
        <w:t>se asegurará</w:t>
      </w:r>
      <w:r w:rsidRPr="009F1D8B">
        <w:rPr>
          <w:rFonts w:ascii="Open Sans" w:hAnsi="Open Sans" w:cs="Open Sans"/>
          <w:bCs/>
          <w:sz w:val="20"/>
          <w:szCs w:val="20"/>
        </w:rPr>
        <w:t xml:space="preserve"> la defensa de los intereses legítimos del Grupo.</w:t>
      </w:r>
    </w:p>
    <w:p w14:paraId="1F931011" w14:textId="77777777" w:rsidR="00903D51" w:rsidRPr="009F1D8B" w:rsidRDefault="00903D51" w:rsidP="00903D51">
      <w:pPr>
        <w:jc w:val="both"/>
        <w:rPr>
          <w:rFonts w:ascii="Open Sans" w:hAnsi="Open Sans" w:cs="Open Sans"/>
          <w:bCs/>
          <w:sz w:val="20"/>
          <w:szCs w:val="20"/>
        </w:rPr>
      </w:pPr>
    </w:p>
    <w:p w14:paraId="67DC0E4D"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En el apartado E del Informe Anual de Gobierno Corporativo, Repsol aporta información global sobre su Sistemas de control y de gestión de riesgos indicando no solo los órganos de la sociedad responsables</w:t>
      </w:r>
      <w:r>
        <w:rPr>
          <w:rFonts w:ascii="Open Sans" w:hAnsi="Open Sans" w:cs="Open Sans"/>
          <w:bCs/>
          <w:sz w:val="20"/>
          <w:szCs w:val="20"/>
        </w:rPr>
        <w:t xml:space="preserve"> de los mismos</w:t>
      </w:r>
      <w:r w:rsidRPr="009F1D8B">
        <w:rPr>
          <w:rFonts w:ascii="Open Sans" w:hAnsi="Open Sans" w:cs="Open Sans"/>
          <w:bCs/>
          <w:sz w:val="20"/>
          <w:szCs w:val="20"/>
        </w:rPr>
        <w:t xml:space="preserve">, sino también las responsabilidades de cada uno de ellos. </w:t>
      </w:r>
      <w:r>
        <w:rPr>
          <w:rFonts w:ascii="Open Sans" w:hAnsi="Open Sans" w:cs="Open Sans"/>
          <w:bCs/>
          <w:sz w:val="20"/>
          <w:szCs w:val="20"/>
        </w:rPr>
        <w:t>L</w:t>
      </w:r>
      <w:r w:rsidRPr="009F1D8B">
        <w:rPr>
          <w:rFonts w:ascii="Open Sans" w:hAnsi="Open Sans" w:cs="Open Sans"/>
          <w:bCs/>
          <w:sz w:val="20"/>
          <w:szCs w:val="20"/>
        </w:rPr>
        <w:t xml:space="preserve">os riesgos fiscales </w:t>
      </w:r>
      <w:r>
        <w:rPr>
          <w:rFonts w:ascii="Open Sans" w:hAnsi="Open Sans" w:cs="Open Sans"/>
          <w:bCs/>
          <w:sz w:val="20"/>
          <w:szCs w:val="20"/>
        </w:rPr>
        <w:t xml:space="preserve">se citan </w:t>
      </w:r>
      <w:r w:rsidRPr="009F1D8B">
        <w:rPr>
          <w:rFonts w:ascii="Open Sans" w:hAnsi="Open Sans" w:cs="Open Sans"/>
          <w:bCs/>
          <w:sz w:val="20"/>
          <w:szCs w:val="20"/>
        </w:rPr>
        <w:t xml:space="preserve">como parte de los Riesgos Estratégicos y Operacionales, concretamente los engloba junto con otros riesgos legales bajo la denominación “Marco regulatorio y fiscal de las actividades de Repsol”. </w:t>
      </w:r>
      <w:r>
        <w:rPr>
          <w:rFonts w:ascii="Open Sans" w:hAnsi="Open Sans" w:cs="Open Sans"/>
          <w:bCs/>
          <w:sz w:val="20"/>
          <w:szCs w:val="20"/>
        </w:rPr>
        <w:t>Sin embargo, e</w:t>
      </w:r>
      <w:r w:rsidRPr="009F1D8B">
        <w:rPr>
          <w:rFonts w:ascii="Open Sans" w:hAnsi="Open Sans" w:cs="Open Sans"/>
          <w:bCs/>
          <w:sz w:val="20"/>
          <w:szCs w:val="20"/>
        </w:rPr>
        <w:t xml:space="preserve">n la web corporativa </w:t>
      </w:r>
      <w:r>
        <w:rPr>
          <w:rFonts w:ascii="Open Sans" w:hAnsi="Open Sans" w:cs="Open Sans"/>
          <w:bCs/>
          <w:sz w:val="20"/>
          <w:szCs w:val="20"/>
        </w:rPr>
        <w:t>se</w:t>
      </w:r>
      <w:r w:rsidRPr="009F1D8B">
        <w:rPr>
          <w:rFonts w:ascii="Open Sans" w:hAnsi="Open Sans" w:cs="Open Sans"/>
          <w:bCs/>
          <w:sz w:val="20"/>
          <w:szCs w:val="20"/>
        </w:rPr>
        <w:t xml:space="preserve"> aporta información resumida sobre su Sistema de Gestión Integrado de Riesgos de Repsol (SGIR) pero </w:t>
      </w:r>
      <w:r>
        <w:rPr>
          <w:rFonts w:ascii="Open Sans" w:hAnsi="Open Sans" w:cs="Open Sans"/>
          <w:bCs/>
          <w:sz w:val="20"/>
          <w:szCs w:val="20"/>
        </w:rPr>
        <w:t>sin citar</w:t>
      </w:r>
      <w:r w:rsidRPr="009F1D8B">
        <w:rPr>
          <w:rFonts w:ascii="Open Sans" w:hAnsi="Open Sans" w:cs="Open Sans"/>
          <w:bCs/>
          <w:sz w:val="20"/>
          <w:szCs w:val="20"/>
        </w:rPr>
        <w:t xml:space="preserve"> expresamente los riesgos fiscales.</w:t>
      </w:r>
    </w:p>
    <w:p w14:paraId="001D8DAC" w14:textId="77777777" w:rsidR="00903D51" w:rsidRPr="009F1D8B" w:rsidRDefault="00903D51" w:rsidP="00903D51">
      <w:pPr>
        <w:jc w:val="both"/>
        <w:rPr>
          <w:rFonts w:ascii="Open Sans" w:hAnsi="Open Sans" w:cs="Open Sans"/>
          <w:bCs/>
          <w:sz w:val="20"/>
          <w:szCs w:val="20"/>
        </w:rPr>
      </w:pPr>
    </w:p>
    <w:p w14:paraId="08D0AFF7" w14:textId="77777777" w:rsidR="00903D51" w:rsidRPr="009F1D8B" w:rsidRDefault="00903D51" w:rsidP="00903D51">
      <w:pPr>
        <w:jc w:val="both"/>
        <w:rPr>
          <w:rFonts w:ascii="Open Sans" w:hAnsi="Open Sans" w:cs="Open Sans"/>
          <w:bCs/>
          <w:sz w:val="20"/>
          <w:szCs w:val="20"/>
        </w:rPr>
      </w:pPr>
      <w:r w:rsidRPr="009F1D8B">
        <w:rPr>
          <w:rFonts w:ascii="Open Sans" w:hAnsi="Open Sans" w:cs="Open Sans"/>
          <w:bCs/>
          <w:sz w:val="20"/>
          <w:szCs w:val="20"/>
        </w:rPr>
        <w:t>Aunque ni en el Informe de Gobierno Corporativo ni en la sección de la web que se centra en el sistema de control de riesgos se detallan riesgos concretos en el ámbito fiscal con un mayor grado de desagregación, en el informe de gestión</w:t>
      </w:r>
      <w:r>
        <w:rPr>
          <w:rFonts w:ascii="Open Sans" w:hAnsi="Open Sans" w:cs="Open Sans"/>
          <w:bCs/>
          <w:sz w:val="20"/>
          <w:szCs w:val="20"/>
        </w:rPr>
        <w:t xml:space="preserve"> sí se</w:t>
      </w:r>
      <w:r w:rsidRPr="009F1D8B">
        <w:rPr>
          <w:rFonts w:ascii="Open Sans" w:hAnsi="Open Sans" w:cs="Open Sans"/>
          <w:bCs/>
          <w:sz w:val="20"/>
          <w:szCs w:val="20"/>
        </w:rPr>
        <w:t xml:space="preserve"> incluye un apartado específico en el que </w:t>
      </w:r>
      <w:r>
        <w:rPr>
          <w:rFonts w:ascii="Open Sans" w:hAnsi="Open Sans" w:cs="Open Sans"/>
          <w:bCs/>
          <w:sz w:val="20"/>
          <w:szCs w:val="20"/>
        </w:rPr>
        <w:t>Repsol</w:t>
      </w:r>
      <w:r w:rsidRPr="009F1D8B">
        <w:rPr>
          <w:rFonts w:ascii="Open Sans" w:hAnsi="Open Sans" w:cs="Open Sans"/>
          <w:bCs/>
          <w:sz w:val="20"/>
          <w:szCs w:val="20"/>
        </w:rPr>
        <w:t xml:space="preserve"> detalla cuáles son los principales riesgos fiscales a los que se ve expuesta la compañía. Concretamente se indica que: «</w:t>
      </w:r>
      <w:r w:rsidRPr="009F1D8B">
        <w:rPr>
          <w:rFonts w:ascii="Open Sans" w:hAnsi="Open Sans" w:cs="Open Sans"/>
          <w:bCs/>
          <w:i/>
          <w:sz w:val="20"/>
          <w:szCs w:val="20"/>
        </w:rPr>
        <w:t>el sector de la energía, y en particular la industria del petróleo, están sometidos a un marco fiscal singular. En las actividades de Upstream es frecuente que existan gravámenes específicos sobre el beneficio y la producción, y en lo que se refiere a las actividades de Downstream, también es habitual la existencia de gravámenes sobre el consumo de los productos</w:t>
      </w:r>
      <w:r w:rsidRPr="009F1D8B">
        <w:rPr>
          <w:rFonts w:ascii="Open Sans" w:hAnsi="Open Sans" w:cs="Open Sans"/>
          <w:bCs/>
          <w:sz w:val="20"/>
          <w:szCs w:val="20"/>
        </w:rPr>
        <w:t>».</w:t>
      </w:r>
    </w:p>
    <w:p w14:paraId="48FB5E37" w14:textId="77777777" w:rsidR="00903D51" w:rsidRPr="009F1D8B" w:rsidRDefault="00903D51" w:rsidP="00903D51">
      <w:pPr>
        <w:jc w:val="both"/>
        <w:rPr>
          <w:rFonts w:ascii="Open Sans" w:hAnsi="Open Sans" w:cs="Open Sans"/>
          <w:bCs/>
          <w:sz w:val="20"/>
          <w:szCs w:val="20"/>
        </w:rPr>
      </w:pPr>
    </w:p>
    <w:p w14:paraId="6E5A30C5" w14:textId="77777777" w:rsidR="00903D51" w:rsidRPr="009F1D8B" w:rsidRDefault="00903D51" w:rsidP="00903D51">
      <w:pPr>
        <w:jc w:val="both"/>
        <w:rPr>
          <w:rFonts w:ascii="Open Sans" w:hAnsi="Open Sans" w:cs="Open Sans"/>
          <w:bCs/>
          <w:sz w:val="20"/>
          <w:szCs w:val="20"/>
        </w:rPr>
      </w:pPr>
      <w:r>
        <w:rPr>
          <w:rFonts w:ascii="Open Sans" w:hAnsi="Open Sans" w:cs="Open Sans"/>
          <w:bCs/>
          <w:sz w:val="20"/>
          <w:szCs w:val="20"/>
        </w:rPr>
        <w:t>Por lo que se refiere a la gestión de los riesgos fiscales, e</w:t>
      </w:r>
      <w:r w:rsidRPr="009F1D8B">
        <w:rPr>
          <w:rFonts w:ascii="Open Sans" w:hAnsi="Open Sans" w:cs="Open Sans"/>
          <w:bCs/>
          <w:sz w:val="20"/>
          <w:szCs w:val="20"/>
        </w:rPr>
        <w:t>n el informe de Gobierno Corporativo se indica la existencia de una unidad de análisis, supervisión y control independiente y de respuesta, especializada en la gestión de</w:t>
      </w:r>
      <w:r>
        <w:rPr>
          <w:rFonts w:ascii="Open Sans" w:hAnsi="Open Sans" w:cs="Open Sans"/>
          <w:bCs/>
          <w:sz w:val="20"/>
          <w:szCs w:val="20"/>
        </w:rPr>
        <w:t xml:space="preserve"> aquellos</w:t>
      </w:r>
      <w:r w:rsidRPr="009F1D8B">
        <w:rPr>
          <w:rFonts w:ascii="Open Sans" w:hAnsi="Open Sans" w:cs="Open Sans"/>
          <w:bCs/>
          <w:sz w:val="20"/>
          <w:szCs w:val="20"/>
        </w:rPr>
        <w:t xml:space="preserve"> riesgos</w:t>
      </w:r>
      <w:r>
        <w:rPr>
          <w:rFonts w:ascii="Open Sans" w:hAnsi="Open Sans" w:cs="Open Sans"/>
          <w:bCs/>
          <w:sz w:val="20"/>
          <w:szCs w:val="20"/>
        </w:rPr>
        <w:t xml:space="preserve"> que estén</w:t>
      </w:r>
      <w:r w:rsidRPr="009F1D8B">
        <w:rPr>
          <w:rFonts w:ascii="Open Sans" w:hAnsi="Open Sans" w:cs="Open Sans"/>
          <w:bCs/>
          <w:sz w:val="20"/>
          <w:szCs w:val="20"/>
        </w:rPr>
        <w:t xml:space="preserve"> relacionados con “Políticas Fiscales, Entorno y Control de Riesgos fiscales Control de Reservas”. Repsol califica como “unidad especialmente relevante en el desarrollo, mantenimiento y funcionamiento del Sistema de Control Interno sobre la Información Financiera (SCIIF)</w:t>
      </w:r>
      <w:r>
        <w:rPr>
          <w:rFonts w:ascii="Open Sans" w:hAnsi="Open Sans" w:cs="Open Sans"/>
          <w:bCs/>
          <w:sz w:val="20"/>
          <w:szCs w:val="20"/>
        </w:rPr>
        <w:t>”</w:t>
      </w:r>
      <w:r w:rsidRPr="009F1D8B">
        <w:rPr>
          <w:rFonts w:ascii="Open Sans" w:hAnsi="Open Sans" w:cs="Open Sans"/>
          <w:bCs/>
          <w:sz w:val="20"/>
          <w:szCs w:val="20"/>
        </w:rPr>
        <w:t>. Esta unidad es la responsable de «</w:t>
      </w:r>
      <w:r w:rsidRPr="009F1D8B">
        <w:rPr>
          <w:rFonts w:ascii="Open Sans" w:eastAsia="Calibri" w:hAnsi="Open Sans" w:cs="Open Sans"/>
          <w:i/>
          <w:sz w:val="20"/>
          <w:szCs w:val="20"/>
        </w:rPr>
        <w:t>asegurar el cumplimiento de las obligaciones fiscales, el asesoramiento de carácter tributario, el seguimiento, evaluación e implantación de los cambios normativos, la identificación, control, seguimiento, evaluación y gestión de los riesgos fiscales, y de la elaboración de la información fiscal para los estados financieros</w:t>
      </w:r>
      <w:r w:rsidRPr="009F1D8B">
        <w:rPr>
          <w:rFonts w:ascii="Open Sans" w:eastAsia="Calibri" w:hAnsi="Open Sans" w:cs="Open Sans"/>
          <w:sz w:val="20"/>
          <w:szCs w:val="20"/>
        </w:rPr>
        <w:t>».</w:t>
      </w:r>
    </w:p>
    <w:p w14:paraId="150DED74" w14:textId="77777777" w:rsidR="00903D51" w:rsidRPr="009F1D8B" w:rsidRDefault="00903D51" w:rsidP="00903D51">
      <w:pPr>
        <w:jc w:val="both"/>
        <w:rPr>
          <w:rFonts w:ascii="Open Sans" w:hAnsi="Open Sans" w:cs="Open Sans"/>
          <w:bCs/>
          <w:sz w:val="20"/>
          <w:szCs w:val="20"/>
        </w:rPr>
      </w:pPr>
    </w:p>
    <w:p w14:paraId="525B4698" w14:textId="77777777" w:rsidR="00903D51" w:rsidRDefault="00903D51" w:rsidP="00903D51">
      <w:pPr>
        <w:jc w:val="both"/>
        <w:rPr>
          <w:rFonts w:ascii="Open Sans" w:hAnsi="Open Sans" w:cs="Open Sans"/>
          <w:bCs/>
          <w:sz w:val="20"/>
          <w:szCs w:val="20"/>
        </w:rPr>
      </w:pPr>
      <w:r w:rsidRPr="009F1D8B">
        <w:rPr>
          <w:rFonts w:ascii="Open Sans" w:hAnsi="Open Sans" w:cs="Open Sans"/>
          <w:bCs/>
          <w:sz w:val="20"/>
          <w:szCs w:val="20"/>
        </w:rPr>
        <w:t xml:space="preserve">En cuanto a la materialización de los riesgos fiscales, la </w:t>
      </w:r>
      <w:r>
        <w:rPr>
          <w:rFonts w:ascii="Open Sans" w:hAnsi="Open Sans" w:cs="Open Sans"/>
          <w:bCs/>
          <w:sz w:val="20"/>
          <w:szCs w:val="20"/>
        </w:rPr>
        <w:t>información identificada</w:t>
      </w:r>
      <w:r w:rsidRPr="009F1D8B">
        <w:rPr>
          <w:rFonts w:ascii="Open Sans" w:hAnsi="Open Sans" w:cs="Open Sans"/>
          <w:bCs/>
          <w:sz w:val="20"/>
          <w:szCs w:val="20"/>
        </w:rPr>
        <w:t xml:space="preserve"> no permite saber si se han materializado o no,</w:t>
      </w:r>
      <w:r>
        <w:rPr>
          <w:rFonts w:ascii="Open Sans" w:hAnsi="Open Sans" w:cs="Open Sans"/>
          <w:bCs/>
          <w:sz w:val="20"/>
          <w:szCs w:val="20"/>
        </w:rPr>
        <w:t xml:space="preserve"> ni</w:t>
      </w:r>
      <w:r w:rsidRPr="009F1D8B">
        <w:rPr>
          <w:rFonts w:ascii="Open Sans" w:hAnsi="Open Sans" w:cs="Open Sans"/>
          <w:bCs/>
          <w:sz w:val="20"/>
          <w:szCs w:val="20"/>
        </w:rPr>
        <w:t xml:space="preserve"> de cómo ha podido afectar a la compañía esta posible materialización </w:t>
      </w:r>
      <w:r>
        <w:rPr>
          <w:rFonts w:ascii="Open Sans" w:hAnsi="Open Sans" w:cs="Open Sans"/>
          <w:bCs/>
          <w:sz w:val="20"/>
          <w:szCs w:val="20"/>
        </w:rPr>
        <w:t>ni</w:t>
      </w:r>
      <w:r w:rsidRPr="009F1D8B">
        <w:rPr>
          <w:rFonts w:ascii="Open Sans" w:hAnsi="Open Sans" w:cs="Open Sans"/>
          <w:bCs/>
          <w:sz w:val="20"/>
          <w:szCs w:val="20"/>
        </w:rPr>
        <w:t>, en su caso,</w:t>
      </w:r>
      <w:r>
        <w:rPr>
          <w:rFonts w:ascii="Open Sans" w:hAnsi="Open Sans" w:cs="Open Sans"/>
          <w:bCs/>
          <w:sz w:val="20"/>
          <w:szCs w:val="20"/>
        </w:rPr>
        <w:t xml:space="preserve"> de</w:t>
      </w:r>
      <w:r w:rsidRPr="009F1D8B">
        <w:rPr>
          <w:rFonts w:ascii="Open Sans" w:hAnsi="Open Sans" w:cs="Open Sans"/>
          <w:bCs/>
          <w:sz w:val="20"/>
          <w:szCs w:val="20"/>
        </w:rPr>
        <w:t xml:space="preserve"> qué actuaciones ha tomado al respecto. En l</w:t>
      </w:r>
      <w:r>
        <w:rPr>
          <w:rFonts w:ascii="Open Sans" w:hAnsi="Open Sans" w:cs="Open Sans"/>
          <w:bCs/>
          <w:sz w:val="20"/>
          <w:szCs w:val="20"/>
        </w:rPr>
        <w:t>a</w:t>
      </w:r>
      <w:r w:rsidRPr="009F1D8B">
        <w:rPr>
          <w:rFonts w:ascii="Open Sans" w:hAnsi="Open Sans" w:cs="Open Sans"/>
          <w:bCs/>
          <w:sz w:val="20"/>
          <w:szCs w:val="20"/>
        </w:rPr>
        <w:t xml:space="preserve"> documentación analizada únicamente se ha encontrado la siguiente afirmación genérica en el Informe de Gobierno Corporativo: “</w:t>
      </w:r>
      <w:r w:rsidRPr="00530836">
        <w:rPr>
          <w:rFonts w:ascii="Open Sans" w:hAnsi="Open Sans" w:cs="Open Sans"/>
          <w:bCs/>
          <w:i/>
          <w:sz w:val="20"/>
          <w:szCs w:val="20"/>
        </w:rPr>
        <w:t>Durante el ejercicio se han materializado riesgos propios de la actividad de la Sociedad, habiendo funcionado correctamente los sistemas de control establecidos por la Compañía, lo que ha permitido gestionar tales riesgos de forma adecuada</w:t>
      </w:r>
      <w:r w:rsidRPr="009F1D8B">
        <w:rPr>
          <w:rFonts w:ascii="Open Sans" w:hAnsi="Open Sans" w:cs="Open Sans"/>
          <w:bCs/>
          <w:sz w:val="20"/>
          <w:szCs w:val="20"/>
        </w:rPr>
        <w:t>”.</w:t>
      </w:r>
    </w:p>
    <w:p w14:paraId="12B00BB0" w14:textId="77777777" w:rsidR="00903D51" w:rsidRDefault="00903D51" w:rsidP="00903D51">
      <w:pPr>
        <w:rPr>
          <w:rFonts w:ascii="Open Sans" w:hAnsi="Open Sans" w:cs="Arial"/>
          <w:bCs/>
          <w:sz w:val="20"/>
          <w:szCs w:val="20"/>
        </w:rPr>
      </w:pPr>
    </w:p>
    <w:p w14:paraId="06BD29F2" w14:textId="77777777" w:rsidR="00903D51" w:rsidRDefault="00903D51" w:rsidP="00903D51">
      <w:pPr>
        <w:jc w:val="both"/>
        <w:rPr>
          <w:rFonts w:ascii="Open Sans" w:hAnsi="Open Sans" w:cs="Arial"/>
          <w:bCs/>
          <w:sz w:val="20"/>
          <w:szCs w:val="20"/>
        </w:rPr>
      </w:pPr>
      <w:r>
        <w:rPr>
          <w:rFonts w:ascii="Open Sans" w:hAnsi="Open Sans" w:cs="Arial"/>
          <w:bCs/>
          <w:sz w:val="20"/>
          <w:szCs w:val="20"/>
        </w:rPr>
        <w:t xml:space="preserve">Se valora positivamente que Repsol </w:t>
      </w:r>
      <w:r w:rsidRPr="002A464E">
        <w:rPr>
          <w:rFonts w:ascii="Open Sans" w:hAnsi="Open Sans" w:cs="Arial"/>
          <w:bCs/>
          <w:sz w:val="20"/>
          <w:szCs w:val="20"/>
        </w:rPr>
        <w:t>sea una de las pocas compañías analizadas</w:t>
      </w:r>
      <w:r>
        <w:rPr>
          <w:rFonts w:ascii="Open Sans" w:hAnsi="Open Sans" w:cs="Arial"/>
          <w:bCs/>
          <w:sz w:val="20"/>
          <w:szCs w:val="20"/>
        </w:rPr>
        <w:t xml:space="preserve"> que incluye en su informe de sostenibilidad datos concretos sobre los pagos de impuestos que realiza y las ayudas recibidas de los gobiernos. Además cuenta con un espacio específico en su web corporativa en el que también se publica esta información de forma fácilmente accesible. Información que, como es habitual en todas las empresas, también se incluye en el informe de gestión y en las cuentas anuales. El informe de cuentas anuales es el que recoge más información y con mayor grado de detalle. En él muestra información detallada agrupada bajo las siguientes temáticas: </w:t>
      </w:r>
      <w:r w:rsidRPr="00065B18">
        <w:rPr>
          <w:rFonts w:ascii="Open Sans" w:hAnsi="Open Sans" w:cs="Arial"/>
          <w:bCs/>
          <w:sz w:val="20"/>
          <w:szCs w:val="20"/>
        </w:rPr>
        <w:t>Impuesto sobre beneficios</w:t>
      </w:r>
      <w:r>
        <w:rPr>
          <w:rFonts w:ascii="Open Sans" w:hAnsi="Open Sans" w:cs="Arial"/>
          <w:bCs/>
          <w:sz w:val="20"/>
          <w:szCs w:val="20"/>
        </w:rPr>
        <w:t xml:space="preserve">, </w:t>
      </w:r>
      <w:r w:rsidRPr="00137098">
        <w:rPr>
          <w:rFonts w:ascii="Open Sans" w:hAnsi="Open Sans" w:cs="Arial"/>
          <w:bCs/>
          <w:sz w:val="20"/>
          <w:szCs w:val="20"/>
        </w:rPr>
        <w:t>Gasto devengado contablemente por Impuesto sobre beneficios</w:t>
      </w:r>
      <w:r>
        <w:rPr>
          <w:rFonts w:ascii="Open Sans" w:hAnsi="Open Sans" w:cs="Arial"/>
          <w:bCs/>
          <w:sz w:val="20"/>
          <w:szCs w:val="20"/>
        </w:rPr>
        <w:t xml:space="preserve">, </w:t>
      </w:r>
      <w:r w:rsidRPr="00137098">
        <w:rPr>
          <w:rFonts w:ascii="Open Sans" w:hAnsi="Open Sans" w:cs="Arial"/>
          <w:bCs/>
          <w:sz w:val="20"/>
          <w:szCs w:val="20"/>
        </w:rPr>
        <w:t>Impuestos diferidos</w:t>
      </w:r>
      <w:r>
        <w:rPr>
          <w:rFonts w:ascii="Open Sans" w:hAnsi="Open Sans" w:cs="Arial"/>
          <w:bCs/>
          <w:sz w:val="20"/>
          <w:szCs w:val="20"/>
        </w:rPr>
        <w:t xml:space="preserve">, </w:t>
      </w:r>
      <w:r w:rsidRPr="00137098">
        <w:rPr>
          <w:rFonts w:ascii="Open Sans" w:hAnsi="Open Sans" w:cs="Arial"/>
          <w:bCs/>
          <w:sz w:val="20"/>
          <w:szCs w:val="20"/>
        </w:rPr>
        <w:t>Actuaciones administrativas y judiciales con trascendencia fiscal</w:t>
      </w:r>
      <w:r>
        <w:rPr>
          <w:rFonts w:ascii="Open Sans" w:hAnsi="Open Sans" w:cs="Arial"/>
          <w:bCs/>
          <w:sz w:val="20"/>
          <w:szCs w:val="20"/>
        </w:rPr>
        <w:t>.</w:t>
      </w:r>
    </w:p>
    <w:p w14:paraId="21FED593" w14:textId="77777777" w:rsidR="00903D51" w:rsidRDefault="00903D51" w:rsidP="00903D51">
      <w:pPr>
        <w:rPr>
          <w:rFonts w:ascii="Open Sans" w:hAnsi="Open Sans" w:cs="Arial"/>
          <w:bCs/>
          <w:sz w:val="20"/>
          <w:szCs w:val="20"/>
        </w:rPr>
      </w:pPr>
    </w:p>
    <w:p w14:paraId="485425C5" w14:textId="77777777" w:rsidR="00903D51" w:rsidRDefault="00903D51" w:rsidP="00903D51">
      <w:pPr>
        <w:jc w:val="both"/>
        <w:rPr>
          <w:rFonts w:ascii="Open Sans" w:hAnsi="Open Sans" w:cs="Arial"/>
          <w:bCs/>
          <w:sz w:val="20"/>
          <w:szCs w:val="20"/>
        </w:rPr>
      </w:pPr>
      <w:r w:rsidRPr="001E38B0">
        <w:rPr>
          <w:rFonts w:ascii="ScalaSansPro-Light" w:eastAsia="Calibri" w:hAnsi="ScalaSansPro-Light" w:cs="ScalaSansPro-Light"/>
          <w:sz w:val="20"/>
          <w:szCs w:val="20"/>
        </w:rPr>
        <w:t>En todos estos documentados se reflejan las tablas de la contribución fiscal por países del Grupo diferenciando entre distintos tipos de impuestos. Los</w:t>
      </w:r>
      <w:r w:rsidRPr="001E38B0">
        <w:rPr>
          <w:rFonts w:ascii="Open Sans" w:hAnsi="Open Sans" w:cs="Arial"/>
          <w:bCs/>
          <w:sz w:val="20"/>
          <w:szCs w:val="20"/>
        </w:rPr>
        <w:t xml:space="preserve"> países que se incluyen son aquellos en los que la cifra de impuestos pagada supera los 4 millones de </w:t>
      </w:r>
      <w:r>
        <w:rPr>
          <w:rFonts w:ascii="Open Sans" w:hAnsi="Open Sans" w:cs="Arial"/>
          <w:bCs/>
          <w:sz w:val="20"/>
          <w:szCs w:val="20"/>
        </w:rPr>
        <w:t>euros</w:t>
      </w:r>
      <w:r w:rsidRPr="001E38B0">
        <w:rPr>
          <w:rFonts w:ascii="Open Sans" w:hAnsi="Open Sans" w:cs="Arial"/>
          <w:bCs/>
          <w:sz w:val="20"/>
          <w:szCs w:val="20"/>
        </w:rPr>
        <w:t>. Concretamente en el ejercicio 2015 se publicó información para 25 de los países en los</w:t>
      </w:r>
      <w:r>
        <w:rPr>
          <w:rFonts w:ascii="Open Sans" w:hAnsi="Open Sans" w:cs="Arial"/>
          <w:bCs/>
          <w:sz w:val="20"/>
          <w:szCs w:val="20"/>
        </w:rPr>
        <w:t xml:space="preserve"> 51 países en los</w:t>
      </w:r>
      <w:r w:rsidRPr="001E38B0">
        <w:rPr>
          <w:rFonts w:ascii="Open Sans" w:hAnsi="Open Sans" w:cs="Arial"/>
          <w:bCs/>
          <w:sz w:val="20"/>
          <w:szCs w:val="20"/>
        </w:rPr>
        <w:t xml:space="preserve"> que está presente el grupo: España, Francia, Italia, Noruega, Países Bajos, Portugal, Argentina, Brasil, Bolivia, Colombia, Perú, Trinidad y Tobago, Venezuela, Ecuador, Canadá, EEUU, Argelia, Angola, Libia, Australia, Indonesia, Malasia, Rusia, Singapur y Vietnam. La desagregación por tipo de impuestos se realiza diferenciando entre aquellos que suponen una carga fiscal para la empresa y los tributos recaudados</w:t>
      </w:r>
      <w:r>
        <w:rPr>
          <w:rFonts w:ascii="Open Sans" w:hAnsi="Open Sans" w:cs="Arial"/>
          <w:bCs/>
          <w:sz w:val="20"/>
          <w:szCs w:val="20"/>
        </w:rPr>
        <w:t>, individualizando las cifras correspondientes a Impuesto sobre sociedades, IVA e Impuesto sobre Hidrocarburos. En el informe de sostenibilidad se incluye junto con las cifras una breve explicación fácilmente entendible de a qué corresponden estas categorías. Así, Repsol indica que «</w:t>
      </w:r>
      <w:r>
        <w:rPr>
          <w:rFonts w:ascii="Open Sans" w:hAnsi="Open Sans" w:cs="Arial"/>
          <w:bCs/>
          <w:i/>
          <w:sz w:val="20"/>
          <w:szCs w:val="20"/>
        </w:rPr>
        <w:t>p</w:t>
      </w:r>
      <w:r w:rsidRPr="00677A49">
        <w:rPr>
          <w:rFonts w:ascii="Open Sans" w:hAnsi="Open Sans" w:cs="Arial"/>
          <w:bCs/>
          <w:i/>
          <w:sz w:val="20"/>
          <w:szCs w:val="20"/>
        </w:rPr>
        <w:t>ara el seguimiento y análisis de la contribución fiscal del grupo: (a) Se segmentan los tributos pagados entre aquellos que suponen un gasto efectivo para la empresa, minorando su resultado (por ejemplo, impuesto sobre sociedades, impuesto a la producción, cuotas sociales a cargo de la empresa, etc.), y aquellos que no minoran el resultado porque se retienen o repercuten al contribuyente final (por ejemplo, impuesto al valor agregado, impuesto sobre ventas de hidrocarburos, retenciones, etc.). A los primeros se les denomina “Carga Fiscal” y a los segundos “Tributos Recaudados”; (b) Se computan sólo los tributos efectivamente pagados en el ejercicio, por lo que no se incluyen, por ejemplo, los impuestos sobre beneficios devengados en el período, que se pagarán en el futuro</w:t>
      </w:r>
      <w:r>
        <w:rPr>
          <w:rFonts w:ascii="Open Sans" w:hAnsi="Open Sans" w:cs="Arial"/>
          <w:bCs/>
          <w:sz w:val="20"/>
          <w:szCs w:val="20"/>
        </w:rPr>
        <w:t xml:space="preserve">». En cada caso se incluye el dato correspondiente al año </w:t>
      </w:r>
      <w:r w:rsidRPr="007833E4">
        <w:rPr>
          <w:rFonts w:ascii="Open Sans" w:hAnsi="Open Sans" w:cs="Arial"/>
          <w:bCs/>
          <w:sz w:val="20"/>
          <w:szCs w:val="20"/>
        </w:rPr>
        <w:t>anterior, lo</w:t>
      </w:r>
      <w:r>
        <w:rPr>
          <w:rFonts w:ascii="Open Sans" w:hAnsi="Open Sans" w:cs="Arial"/>
          <w:bCs/>
          <w:sz w:val="20"/>
          <w:szCs w:val="20"/>
        </w:rPr>
        <w:t xml:space="preserve"> que facilita la comparación entre ambos. Sin embargo, el hecho de que la cifra de negocios y el resultado neto ajustado no se publiquen desagregados por país, sino por áreas geográficas y por segmento de negocio, imposibilita comparar los impuestos pagados por la compañía con el negocio que genera en cada uno de los países en los que opera.</w:t>
      </w:r>
    </w:p>
    <w:p w14:paraId="5F39C756" w14:textId="77777777" w:rsidR="00903D51" w:rsidRDefault="00903D51" w:rsidP="00903D51">
      <w:pPr>
        <w:jc w:val="both"/>
        <w:rPr>
          <w:rFonts w:ascii="ScalaSansPro-Light" w:eastAsia="Calibri" w:hAnsi="ScalaSansPro-Light" w:cs="ScalaSansPro-Light"/>
          <w:sz w:val="20"/>
          <w:szCs w:val="20"/>
          <w:highlight w:val="yellow"/>
        </w:rPr>
      </w:pPr>
    </w:p>
    <w:p w14:paraId="46A1271A" w14:textId="77777777" w:rsidR="00903D51" w:rsidRDefault="00903D51" w:rsidP="00903D51">
      <w:pPr>
        <w:jc w:val="both"/>
        <w:rPr>
          <w:rFonts w:ascii="Open Sans" w:hAnsi="Open Sans" w:cs="Arial"/>
          <w:bCs/>
          <w:sz w:val="20"/>
          <w:szCs w:val="20"/>
        </w:rPr>
      </w:pPr>
      <w:r>
        <w:rPr>
          <w:rFonts w:ascii="Open Sans" w:hAnsi="Open Sans" w:cs="Arial"/>
          <w:bCs/>
          <w:sz w:val="20"/>
          <w:szCs w:val="20"/>
        </w:rPr>
        <w:t xml:space="preserve">En las cuentas anuales del Grupo </w:t>
      </w:r>
      <w:r w:rsidRPr="00964025">
        <w:rPr>
          <w:rFonts w:ascii="Open Sans" w:hAnsi="Open Sans" w:cs="Arial"/>
          <w:bCs/>
          <w:sz w:val="20"/>
          <w:szCs w:val="20"/>
        </w:rPr>
        <w:t>se indican l</w:t>
      </w:r>
      <w:r>
        <w:rPr>
          <w:rFonts w:ascii="Open Sans" w:hAnsi="Open Sans" w:cs="Arial"/>
          <w:bCs/>
          <w:sz w:val="20"/>
          <w:szCs w:val="20"/>
        </w:rPr>
        <w:t>os tipos de gravamen nominales de los i</w:t>
      </w:r>
      <w:r w:rsidRPr="00964025">
        <w:rPr>
          <w:rFonts w:ascii="Open Sans" w:hAnsi="Open Sans" w:cs="Arial"/>
          <w:bCs/>
          <w:sz w:val="20"/>
          <w:szCs w:val="20"/>
        </w:rPr>
        <w:t>mpuestos sob</w:t>
      </w:r>
      <w:r>
        <w:rPr>
          <w:rFonts w:ascii="Open Sans" w:hAnsi="Open Sans" w:cs="Arial"/>
          <w:bCs/>
          <w:sz w:val="20"/>
          <w:szCs w:val="20"/>
        </w:rPr>
        <w:t xml:space="preserve">re beneficios aplicables en las, según Repsol, </w:t>
      </w:r>
      <w:r w:rsidRPr="00964025">
        <w:rPr>
          <w:rFonts w:ascii="Open Sans" w:hAnsi="Open Sans" w:cs="Arial"/>
          <w:bCs/>
          <w:sz w:val="20"/>
          <w:szCs w:val="20"/>
        </w:rPr>
        <w:t>principales juris</w:t>
      </w:r>
      <w:r>
        <w:rPr>
          <w:rFonts w:ascii="Open Sans" w:hAnsi="Open Sans" w:cs="Arial"/>
          <w:bCs/>
          <w:sz w:val="20"/>
          <w:szCs w:val="20"/>
        </w:rPr>
        <w:t xml:space="preserve">dicciones en las que opera. Sin embargo no se ha encontrado evidencia de que Repsol haga pública la tasa efectiva pagada en cada una de ellas ni de que aporte datos suficientes para calcularla tomando como base la información incluida en los documentos analizados. </w:t>
      </w:r>
      <w:r w:rsidRPr="00FA3367">
        <w:rPr>
          <w:rFonts w:ascii="Open Sans" w:hAnsi="Open Sans" w:cs="Arial"/>
          <w:bCs/>
          <w:sz w:val="20"/>
          <w:szCs w:val="20"/>
        </w:rPr>
        <w:t>Sí</w:t>
      </w:r>
      <w:r>
        <w:rPr>
          <w:rFonts w:ascii="Open Sans" w:hAnsi="Open Sans" w:cs="Arial"/>
          <w:bCs/>
          <w:sz w:val="20"/>
          <w:szCs w:val="20"/>
        </w:rPr>
        <w:t xml:space="preserve"> se</w:t>
      </w:r>
      <w:r w:rsidRPr="00FA3367">
        <w:rPr>
          <w:rFonts w:ascii="Open Sans" w:hAnsi="Open Sans" w:cs="Arial"/>
          <w:bCs/>
          <w:sz w:val="20"/>
          <w:szCs w:val="20"/>
        </w:rPr>
        <w:t xml:space="preserve"> publica información </w:t>
      </w:r>
      <w:r>
        <w:rPr>
          <w:rFonts w:ascii="Open Sans" w:hAnsi="Open Sans" w:cs="Arial"/>
          <w:bCs/>
          <w:sz w:val="20"/>
          <w:szCs w:val="20"/>
        </w:rPr>
        <w:t xml:space="preserve">sobre la </w:t>
      </w:r>
      <w:r w:rsidRPr="00FA3367">
        <w:rPr>
          <w:rFonts w:ascii="Open Sans" w:hAnsi="Open Sans" w:cs="Arial"/>
          <w:bCs/>
          <w:sz w:val="20"/>
          <w:szCs w:val="20"/>
        </w:rPr>
        <w:t xml:space="preserve">conciliación del </w:t>
      </w:r>
      <w:r>
        <w:rPr>
          <w:rFonts w:ascii="Open Sans" w:hAnsi="Open Sans" w:cs="Arial"/>
          <w:bCs/>
          <w:sz w:val="20"/>
          <w:szCs w:val="20"/>
        </w:rPr>
        <w:t xml:space="preserve">importe por impuesto sobre beneficios </w:t>
      </w:r>
      <w:r w:rsidRPr="00FA3367">
        <w:rPr>
          <w:rFonts w:ascii="Open Sans" w:hAnsi="Open Sans" w:cs="Arial"/>
          <w:bCs/>
          <w:sz w:val="20"/>
          <w:szCs w:val="20"/>
        </w:rPr>
        <w:t>registrado y el que resultaría de aplicar el tipo nominal del Impuesto sobre Sociedades vigente en el país de la casa matriz (España) sobre el resultado neto an</w:t>
      </w:r>
      <w:r>
        <w:rPr>
          <w:rFonts w:ascii="Open Sans" w:hAnsi="Open Sans" w:cs="Arial"/>
          <w:bCs/>
          <w:sz w:val="20"/>
          <w:szCs w:val="20"/>
        </w:rPr>
        <w:t>tes de impuestos.</w:t>
      </w:r>
    </w:p>
    <w:p w14:paraId="2F65E9C3" w14:textId="77777777" w:rsidR="00903D51" w:rsidRDefault="00903D51" w:rsidP="00903D51">
      <w:pPr>
        <w:jc w:val="both"/>
        <w:rPr>
          <w:rFonts w:ascii="Open Sans" w:hAnsi="Open Sans" w:cs="Arial"/>
          <w:bCs/>
          <w:sz w:val="20"/>
          <w:szCs w:val="20"/>
        </w:rPr>
      </w:pPr>
    </w:p>
    <w:p w14:paraId="73C5A518" w14:textId="77777777" w:rsidR="00903D51" w:rsidRDefault="00903D51" w:rsidP="00903D51">
      <w:pPr>
        <w:jc w:val="both"/>
        <w:rPr>
          <w:rFonts w:ascii="Open Sans" w:hAnsi="Open Sans" w:cs="Arial"/>
          <w:bCs/>
          <w:sz w:val="20"/>
          <w:szCs w:val="20"/>
        </w:rPr>
      </w:pPr>
      <w:r>
        <w:rPr>
          <w:rFonts w:ascii="Open Sans" w:hAnsi="Open Sans" w:cs="Arial"/>
          <w:bCs/>
          <w:sz w:val="20"/>
          <w:szCs w:val="20"/>
        </w:rPr>
        <w:t>Entre la información proporcionada por Repsol para la conciliación del gasto por impuesto sobre beneficios se incluyen los importes correspondiente a “deducciones fiscales” y a “resultados exentos para evitar la doble imposición”. Por lo que se refiere a las deducciones, en el año 2015 se refleja una cifra de 39 millones de euros frente a los 27 millones de 2014. Las exenciones asociadas a motivos de doble imposición ascendieron a 117 millones de euros en el ejercicio 2015 (0 € en el año 2014). De forma complementaria en el Informe de Sostenibilidad, como parte del desglose de ayudas económicas recibidas del gobierno, se refleja una cifra global de 19 millones de euros entre los que se i</w:t>
      </w:r>
      <w:r w:rsidRPr="00D616D2">
        <w:rPr>
          <w:rFonts w:ascii="Open Sans" w:hAnsi="Open Sans" w:cs="Arial"/>
          <w:bCs/>
          <w:sz w:val="20"/>
          <w:szCs w:val="20"/>
        </w:rPr>
        <w:t>ncluye</w:t>
      </w:r>
      <w:r>
        <w:rPr>
          <w:rFonts w:ascii="Open Sans" w:hAnsi="Open Sans" w:cs="Arial"/>
          <w:bCs/>
          <w:sz w:val="20"/>
          <w:szCs w:val="20"/>
        </w:rPr>
        <w:t>n</w:t>
      </w:r>
      <w:r w:rsidRPr="00D616D2">
        <w:rPr>
          <w:rFonts w:ascii="Open Sans" w:hAnsi="Open Sans" w:cs="Arial"/>
          <w:bCs/>
          <w:sz w:val="20"/>
          <w:szCs w:val="20"/>
        </w:rPr>
        <w:t xml:space="preserve"> estimaciones de deducciones devengadas en el período por actividades de I+D+i, acontecimientos de excepcional interés y</w:t>
      </w:r>
      <w:r>
        <w:rPr>
          <w:rFonts w:ascii="Open Sans" w:hAnsi="Open Sans" w:cs="Arial"/>
          <w:bCs/>
          <w:sz w:val="20"/>
          <w:szCs w:val="20"/>
        </w:rPr>
        <w:t xml:space="preserve"> </w:t>
      </w:r>
      <w:r w:rsidRPr="00D616D2">
        <w:rPr>
          <w:rFonts w:ascii="Open Sans" w:hAnsi="Open Sans" w:cs="Arial"/>
          <w:bCs/>
          <w:sz w:val="20"/>
          <w:szCs w:val="20"/>
        </w:rPr>
        <w:t>actividades de mecenazgo.</w:t>
      </w:r>
      <w:r>
        <w:rPr>
          <w:rFonts w:ascii="Open Sans" w:hAnsi="Open Sans" w:cs="Arial"/>
          <w:bCs/>
          <w:sz w:val="20"/>
          <w:szCs w:val="20"/>
        </w:rPr>
        <w:t xml:space="preserve"> Sin embargo, no se ha encontrado evidencia de que exista información pública suficiente para entender los detalles que originan los importes de deducciones y exenciones de los que se benefician las empresas del Grupo.</w:t>
      </w:r>
    </w:p>
    <w:p w14:paraId="005B7FF6" w14:textId="77777777" w:rsidR="00903D51" w:rsidRDefault="00903D51" w:rsidP="00903D51">
      <w:pPr>
        <w:jc w:val="both"/>
        <w:rPr>
          <w:rFonts w:ascii="Open Sans" w:hAnsi="Open Sans" w:cs="Arial"/>
          <w:bCs/>
          <w:sz w:val="20"/>
          <w:szCs w:val="20"/>
        </w:rPr>
      </w:pPr>
    </w:p>
    <w:p w14:paraId="5148A59B" w14:textId="77777777" w:rsidR="00903D51" w:rsidRDefault="00903D51" w:rsidP="00903D51">
      <w:pPr>
        <w:jc w:val="both"/>
        <w:rPr>
          <w:rFonts w:ascii="Open Sans" w:hAnsi="Open Sans" w:cs="Arial"/>
          <w:bCs/>
          <w:sz w:val="20"/>
          <w:szCs w:val="20"/>
        </w:rPr>
      </w:pPr>
      <w:r>
        <w:rPr>
          <w:rFonts w:ascii="Open Sans" w:hAnsi="Open Sans" w:cs="Arial"/>
          <w:bCs/>
          <w:sz w:val="20"/>
          <w:szCs w:val="20"/>
        </w:rPr>
        <w:t xml:space="preserve">En las cuentas anuales también se indica la cifra global de 4.152 millones de euros correspondientes a </w:t>
      </w:r>
      <w:r w:rsidRPr="006D0CF1">
        <w:rPr>
          <w:rFonts w:ascii="Open Sans" w:hAnsi="Open Sans" w:cs="Arial"/>
          <w:bCs/>
          <w:sz w:val="20"/>
          <w:szCs w:val="20"/>
        </w:rPr>
        <w:t>bases imponibles negativas y a deducciones pendientes de aplicar</w:t>
      </w:r>
      <w:r>
        <w:rPr>
          <w:rFonts w:ascii="Open Sans" w:hAnsi="Open Sans" w:cs="Arial"/>
          <w:bCs/>
          <w:sz w:val="20"/>
          <w:szCs w:val="20"/>
        </w:rPr>
        <w:t xml:space="preserve">. Además se incluye información de los créditos fiscales reconocidos en tres países (España, EEUU y Noruega), </w:t>
      </w:r>
      <w:r w:rsidRPr="001E38B0">
        <w:rPr>
          <w:rFonts w:ascii="Open Sans" w:hAnsi="Open Sans" w:cs="Arial"/>
          <w:bCs/>
          <w:sz w:val="20"/>
          <w:szCs w:val="20"/>
        </w:rPr>
        <w:t>que suponen el 86% (3.588 millones de €) de la cantidad global indicada. Para cada uno de estos países se indica: el importe total reconocido y su plazo de recuperación. No obstante no se ha encontrado información suficiente que evidencie si estos créditos son los únicos que tiene</w:t>
      </w:r>
      <w:r>
        <w:rPr>
          <w:rFonts w:ascii="Open Sans" w:hAnsi="Open Sans" w:cs="Arial"/>
          <w:bCs/>
          <w:sz w:val="20"/>
          <w:szCs w:val="20"/>
        </w:rPr>
        <w:t>n</w:t>
      </w:r>
      <w:r w:rsidRPr="001E38B0">
        <w:rPr>
          <w:rFonts w:ascii="Open Sans" w:hAnsi="Open Sans" w:cs="Arial"/>
          <w:bCs/>
          <w:sz w:val="20"/>
          <w:szCs w:val="20"/>
        </w:rPr>
        <w:t xml:space="preserve"> reconocidos</w:t>
      </w:r>
      <w:r>
        <w:rPr>
          <w:rFonts w:ascii="Open Sans" w:hAnsi="Open Sans" w:cs="Arial"/>
          <w:bCs/>
          <w:sz w:val="20"/>
          <w:szCs w:val="20"/>
        </w:rPr>
        <w:t xml:space="preserve"> las empresas que conforman el Grupo. Sería recomendable que en próximos informes se incluya información adicional sobre los créditos fiscales reconocidos en cada país, indicando a qué empresas corresponden y datos que permitan entender el motivo de su generación, el importe total reconocido y su grado de activación.</w:t>
      </w:r>
    </w:p>
    <w:p w14:paraId="6B060FB6" w14:textId="77777777" w:rsidR="00903D51" w:rsidRDefault="00903D51" w:rsidP="00903D51">
      <w:pPr>
        <w:jc w:val="both"/>
        <w:rPr>
          <w:rFonts w:ascii="Open Sans" w:hAnsi="Open Sans" w:cs="Arial"/>
          <w:bCs/>
          <w:sz w:val="20"/>
          <w:szCs w:val="20"/>
        </w:rPr>
      </w:pPr>
    </w:p>
    <w:p w14:paraId="6295B0A0" w14:textId="77777777" w:rsidR="00903D51" w:rsidRDefault="00903D51" w:rsidP="00903D51">
      <w:pPr>
        <w:jc w:val="both"/>
        <w:rPr>
          <w:rFonts w:ascii="Open Sans" w:hAnsi="Open Sans" w:cs="Arial"/>
          <w:bCs/>
          <w:sz w:val="20"/>
          <w:szCs w:val="20"/>
        </w:rPr>
      </w:pPr>
      <w:r w:rsidRPr="00FB6CEF">
        <w:rPr>
          <w:rFonts w:ascii="Open Sans" w:hAnsi="Open Sans" w:cs="Arial"/>
          <w:bCs/>
          <w:sz w:val="20"/>
          <w:szCs w:val="20"/>
        </w:rPr>
        <w:t>Por lo que se refiere a la información sobre subvenciones públicas recibidas durante el año 2015 únicamente se ha hallado mención a las mismas en el Informe de Sostenibilidad, donde se indica de forma agregada que durante el ejercicio se imputaron a la cuenta de resultados 29 millones de euros en conceptos de subvenciones de capital y de explotación. Tampoco se ha encontrado evidencia de que exista información pública en la que se desagregue esta cifra país a país ni se explique el uso que la empresa ha realizado de ese dinero.</w:t>
      </w:r>
      <w:r>
        <w:rPr>
          <w:rFonts w:ascii="Open Sans" w:hAnsi="Open Sans" w:cs="Arial"/>
          <w:bCs/>
          <w:sz w:val="20"/>
          <w:szCs w:val="20"/>
        </w:rPr>
        <w:t xml:space="preserve"> </w:t>
      </w:r>
    </w:p>
    <w:p w14:paraId="23A5DF8A" w14:textId="77777777" w:rsidR="00903D51" w:rsidRPr="00004403" w:rsidRDefault="00903D51" w:rsidP="00903D51">
      <w:pPr>
        <w:autoSpaceDE w:val="0"/>
        <w:autoSpaceDN w:val="0"/>
        <w:adjustRightInd w:val="0"/>
        <w:jc w:val="both"/>
        <w:rPr>
          <w:rFonts w:ascii="Open Sans" w:eastAsia="Calibri" w:hAnsi="Open Sans" w:cs="Open Sans"/>
          <w:sz w:val="20"/>
          <w:szCs w:val="20"/>
        </w:rPr>
      </w:pPr>
    </w:p>
    <w:p w14:paraId="2D7D7CD0" w14:textId="77777777" w:rsidR="00903D51" w:rsidRPr="00004403" w:rsidRDefault="00903D51" w:rsidP="00903D51">
      <w:pPr>
        <w:autoSpaceDE w:val="0"/>
        <w:autoSpaceDN w:val="0"/>
        <w:adjustRightInd w:val="0"/>
        <w:jc w:val="both"/>
        <w:rPr>
          <w:rFonts w:ascii="Open Sans" w:hAnsi="Open Sans" w:cs="Open Sans"/>
          <w:bCs/>
          <w:sz w:val="20"/>
          <w:szCs w:val="20"/>
        </w:rPr>
      </w:pPr>
      <w:r w:rsidRPr="00004403">
        <w:rPr>
          <w:rFonts w:ascii="Open Sans" w:hAnsi="Open Sans" w:cs="Open Sans"/>
          <w:bCs/>
          <w:sz w:val="20"/>
          <w:szCs w:val="20"/>
        </w:rPr>
        <w:t>En la política fiscal de Repsol se refleja su posicionamiento a favor de la relación de cumplimiento cooperativo con las administraciones tributarias al comprometerse en el tercer principio de dicha política a «</w:t>
      </w:r>
      <w:r w:rsidRPr="00004403">
        <w:rPr>
          <w:rFonts w:ascii="Open Sans" w:hAnsi="Open Sans" w:cs="Open Sans"/>
          <w:bCs/>
          <w:i/>
          <w:sz w:val="20"/>
          <w:szCs w:val="20"/>
        </w:rPr>
        <w:t>potenciar una relación con las administraciones tributarias inspirada en los principios de confianza, buena fe, profesionalidad, colaboración, lealtad y búsqueda del entendimiento mutuo sobre una base de reciprocidad, todo ello con la finalidad de facilitar la aplicación del sistema tributario, incrementar la seguridad jurídica y reducir la litigiosidad</w:t>
      </w:r>
      <w:r w:rsidRPr="00004403">
        <w:rPr>
          <w:rFonts w:ascii="Open Sans" w:hAnsi="Open Sans" w:cs="Open Sans"/>
          <w:bCs/>
          <w:sz w:val="20"/>
          <w:szCs w:val="20"/>
        </w:rPr>
        <w:t>». Compromiso que también se plasma en las cuenta anuales cuando afirma que «</w:t>
      </w:r>
      <w:r w:rsidRPr="00004403">
        <w:rPr>
          <w:rFonts w:ascii="Open Sans" w:hAnsi="Open Sans" w:cs="Open Sans"/>
          <w:bCs/>
          <w:i/>
          <w:sz w:val="20"/>
          <w:szCs w:val="20"/>
        </w:rPr>
        <w:t>cuando se plantean diferentes interpretaciones de la normativa fiscal aplicable a determinadas operaciones entre Repsol y las autoridades fiscales, el Grupo actúa con las autoridades de forma transparente y cooperativa para resolver las controversias mediante las fórmulas jurídicas disponibles con el objeto de llegar a una solución no litigiosa</w:t>
      </w:r>
      <w:r w:rsidRPr="00004403">
        <w:rPr>
          <w:rFonts w:ascii="Open Sans" w:hAnsi="Open Sans" w:cs="Open Sans"/>
          <w:bCs/>
          <w:sz w:val="20"/>
          <w:szCs w:val="20"/>
        </w:rPr>
        <w:t>».</w:t>
      </w:r>
    </w:p>
    <w:p w14:paraId="4229FC92" w14:textId="77777777" w:rsidR="00903D51" w:rsidRPr="00004403" w:rsidRDefault="00903D51" w:rsidP="00903D51">
      <w:pPr>
        <w:autoSpaceDE w:val="0"/>
        <w:autoSpaceDN w:val="0"/>
        <w:adjustRightInd w:val="0"/>
        <w:jc w:val="both"/>
        <w:rPr>
          <w:rFonts w:ascii="Open Sans" w:hAnsi="Open Sans" w:cs="Open Sans"/>
          <w:bCs/>
          <w:sz w:val="20"/>
          <w:szCs w:val="20"/>
        </w:rPr>
      </w:pPr>
    </w:p>
    <w:p w14:paraId="5FCB520A" w14:textId="77777777" w:rsidR="00903D51" w:rsidRDefault="00903D51" w:rsidP="00903D51">
      <w:pPr>
        <w:autoSpaceDE w:val="0"/>
        <w:autoSpaceDN w:val="0"/>
        <w:adjustRightInd w:val="0"/>
        <w:jc w:val="both"/>
        <w:rPr>
          <w:rFonts w:ascii="Open Sans" w:hAnsi="Open Sans" w:cs="Open Sans"/>
          <w:bCs/>
          <w:sz w:val="20"/>
          <w:szCs w:val="20"/>
        </w:rPr>
      </w:pPr>
      <w:r w:rsidRPr="00004403">
        <w:rPr>
          <w:rFonts w:ascii="Open Sans" w:hAnsi="Open Sans" w:cs="Open Sans"/>
          <w:bCs/>
          <w:sz w:val="20"/>
          <w:szCs w:val="20"/>
        </w:rPr>
        <w:t xml:space="preserve">En los documentos analizados Repsol cita diversas iniciativas y foros de diálogo </w:t>
      </w:r>
      <w:r>
        <w:rPr>
          <w:rFonts w:ascii="Open Sans" w:hAnsi="Open Sans" w:cs="Open Sans"/>
          <w:bCs/>
          <w:sz w:val="20"/>
          <w:szCs w:val="20"/>
        </w:rPr>
        <w:t>(mencionados al principio del presente informe) de</w:t>
      </w:r>
      <w:r w:rsidRPr="00004403">
        <w:rPr>
          <w:rFonts w:ascii="Open Sans" w:hAnsi="Open Sans" w:cs="Open Sans"/>
          <w:bCs/>
          <w:sz w:val="20"/>
          <w:szCs w:val="20"/>
        </w:rPr>
        <w:t xml:space="preserve"> los que </w:t>
      </w:r>
      <w:r>
        <w:rPr>
          <w:rFonts w:ascii="Open Sans" w:hAnsi="Open Sans" w:cs="Open Sans"/>
          <w:bCs/>
          <w:sz w:val="20"/>
          <w:szCs w:val="20"/>
        </w:rPr>
        <w:t xml:space="preserve">forma parte. Por su vinculación directa con la relación de cumplimiento cooperativo cabe destacar la participación de Repsol en el </w:t>
      </w:r>
      <w:r w:rsidRPr="006C765D">
        <w:rPr>
          <w:rFonts w:ascii="Open Sans" w:hAnsi="Open Sans" w:cs="Open Sans"/>
          <w:bCs/>
          <w:sz w:val="20"/>
          <w:szCs w:val="20"/>
        </w:rPr>
        <w:t>Foro</w:t>
      </w:r>
      <w:r>
        <w:rPr>
          <w:rFonts w:ascii="Open Sans" w:hAnsi="Open Sans" w:cs="Open Sans"/>
          <w:bCs/>
          <w:sz w:val="20"/>
          <w:szCs w:val="20"/>
        </w:rPr>
        <w:t xml:space="preserve"> Tributario de Grandes Empresas</w:t>
      </w:r>
      <w:r w:rsidRPr="006C765D">
        <w:rPr>
          <w:rFonts w:ascii="Open Sans" w:hAnsi="Open Sans" w:cs="Open Sans"/>
          <w:bCs/>
          <w:sz w:val="20"/>
          <w:szCs w:val="20"/>
        </w:rPr>
        <w:t xml:space="preserve"> que</w:t>
      </w:r>
      <w:r>
        <w:rPr>
          <w:rFonts w:ascii="Open Sans" w:hAnsi="Open Sans" w:cs="Open Sans"/>
          <w:bCs/>
          <w:sz w:val="20"/>
          <w:szCs w:val="20"/>
        </w:rPr>
        <w:t>, como se indica en el Informe de Sostenibilidad,</w:t>
      </w:r>
      <w:r w:rsidRPr="006C765D">
        <w:rPr>
          <w:rFonts w:ascii="Open Sans" w:hAnsi="Open Sans" w:cs="Open Sans"/>
          <w:bCs/>
          <w:sz w:val="20"/>
          <w:szCs w:val="20"/>
        </w:rPr>
        <w:t xml:space="preserve"> </w:t>
      </w:r>
      <w:r>
        <w:rPr>
          <w:rFonts w:ascii="Open Sans" w:hAnsi="Open Sans" w:cs="Open Sans"/>
          <w:bCs/>
          <w:sz w:val="20"/>
          <w:szCs w:val="20"/>
        </w:rPr>
        <w:t>«</w:t>
      </w:r>
      <w:r w:rsidRPr="006C765D">
        <w:rPr>
          <w:rFonts w:ascii="Open Sans" w:hAnsi="Open Sans" w:cs="Open Sans"/>
          <w:bCs/>
          <w:i/>
          <w:sz w:val="20"/>
          <w:szCs w:val="20"/>
        </w:rPr>
        <w:t>tiene por misión reforzar la transparencia y confianza en la relación entre la Administración Tributaria y las entidades con el fin de cooperar en la mejor gestión del sistema tributario</w:t>
      </w:r>
      <w:r>
        <w:rPr>
          <w:rFonts w:ascii="Open Sans" w:hAnsi="Open Sans" w:cs="Open Sans"/>
          <w:bCs/>
          <w:sz w:val="20"/>
          <w:szCs w:val="20"/>
        </w:rPr>
        <w:t>»</w:t>
      </w:r>
      <w:r w:rsidRPr="006C765D">
        <w:rPr>
          <w:rFonts w:ascii="Open Sans" w:hAnsi="Open Sans" w:cs="Open Sans"/>
          <w:bCs/>
          <w:sz w:val="20"/>
          <w:szCs w:val="20"/>
        </w:rPr>
        <w:t>.</w:t>
      </w:r>
    </w:p>
    <w:p w14:paraId="16174425" w14:textId="77777777" w:rsidR="00903D51" w:rsidRPr="00004403" w:rsidRDefault="00903D51" w:rsidP="00903D51">
      <w:pPr>
        <w:autoSpaceDE w:val="0"/>
        <w:autoSpaceDN w:val="0"/>
        <w:adjustRightInd w:val="0"/>
        <w:jc w:val="both"/>
        <w:rPr>
          <w:rFonts w:ascii="Open Sans" w:hAnsi="Open Sans" w:cs="Open Sans"/>
          <w:bCs/>
          <w:sz w:val="20"/>
          <w:szCs w:val="20"/>
        </w:rPr>
      </w:pPr>
    </w:p>
    <w:p w14:paraId="159DF23F" w14:textId="77777777" w:rsidR="00903D51" w:rsidRPr="002563B0" w:rsidRDefault="00903D51" w:rsidP="00903D51">
      <w:pPr>
        <w:autoSpaceDE w:val="0"/>
        <w:autoSpaceDN w:val="0"/>
        <w:adjustRightInd w:val="0"/>
        <w:jc w:val="both"/>
        <w:rPr>
          <w:rFonts w:ascii="Open Sans" w:eastAsia="Calibri" w:hAnsi="Open Sans" w:cs="Open Sans"/>
          <w:sz w:val="20"/>
          <w:szCs w:val="20"/>
        </w:rPr>
      </w:pPr>
      <w:r>
        <w:rPr>
          <w:rFonts w:ascii="Open Sans" w:hAnsi="Open Sans" w:cs="Open Sans"/>
          <w:bCs/>
          <w:sz w:val="20"/>
          <w:szCs w:val="20"/>
        </w:rPr>
        <w:t xml:space="preserve">En 2010 Repsol se adhirió al </w:t>
      </w:r>
      <w:r w:rsidRPr="00004403">
        <w:rPr>
          <w:rFonts w:ascii="Open Sans" w:hAnsi="Open Sans" w:cs="Open Sans"/>
          <w:bCs/>
          <w:sz w:val="20"/>
          <w:szCs w:val="20"/>
        </w:rPr>
        <w:t xml:space="preserve">Código </w:t>
      </w:r>
      <w:r>
        <w:rPr>
          <w:rFonts w:ascii="Open Sans" w:hAnsi="Open Sans" w:cs="Open Sans"/>
          <w:bCs/>
          <w:sz w:val="20"/>
          <w:szCs w:val="20"/>
        </w:rPr>
        <w:t xml:space="preserve">de Buenas Prácticas </w:t>
      </w:r>
      <w:r w:rsidRPr="00004403">
        <w:rPr>
          <w:rFonts w:ascii="Open Sans" w:hAnsi="Open Sans" w:cs="Open Sans"/>
          <w:bCs/>
          <w:sz w:val="20"/>
          <w:szCs w:val="20"/>
        </w:rPr>
        <w:t>promovido por el Foro de Grandes Empresas y la Agencia Tributaria Española</w:t>
      </w:r>
      <w:r>
        <w:rPr>
          <w:rFonts w:ascii="Open Sans" w:hAnsi="Open Sans" w:cs="Open Sans"/>
          <w:bCs/>
          <w:sz w:val="20"/>
          <w:szCs w:val="20"/>
        </w:rPr>
        <w:t>, algo que se indica en diversos apartados de los documentos analizados.</w:t>
      </w:r>
      <w:r w:rsidRPr="00004403">
        <w:rPr>
          <w:rFonts w:ascii="Open Sans" w:hAnsi="Open Sans" w:cs="Open Sans"/>
          <w:bCs/>
          <w:sz w:val="20"/>
          <w:szCs w:val="20"/>
        </w:rPr>
        <w:t xml:space="preserve"> En el Informe de Gobierno Corporativo Repsol afirma </w:t>
      </w:r>
      <w:r>
        <w:rPr>
          <w:rFonts w:ascii="Open Sans" w:hAnsi="Open Sans" w:cs="Open Sans"/>
          <w:bCs/>
          <w:sz w:val="20"/>
          <w:szCs w:val="20"/>
        </w:rPr>
        <w:t xml:space="preserve">de forma escueta </w:t>
      </w:r>
      <w:r w:rsidRPr="00004403">
        <w:rPr>
          <w:rFonts w:ascii="Open Sans" w:hAnsi="Open Sans" w:cs="Open Sans"/>
          <w:bCs/>
          <w:sz w:val="20"/>
          <w:szCs w:val="20"/>
        </w:rPr>
        <w:t xml:space="preserve">cumplir con las disposiciones contenidas en el mismo, aunque </w:t>
      </w:r>
      <w:r>
        <w:rPr>
          <w:rFonts w:ascii="Open Sans" w:eastAsia="Calibri" w:hAnsi="Open Sans" w:cs="Open Sans"/>
          <w:sz w:val="20"/>
          <w:szCs w:val="20"/>
        </w:rPr>
        <w:t>en los documentos analizados</w:t>
      </w:r>
      <w:r w:rsidRPr="00004403">
        <w:rPr>
          <w:rFonts w:ascii="Open Sans" w:eastAsia="Calibri" w:hAnsi="Open Sans" w:cs="Open Sans"/>
          <w:sz w:val="20"/>
          <w:szCs w:val="20"/>
        </w:rPr>
        <w:t xml:space="preserve"> no se ha encontrado información suficiente </w:t>
      </w:r>
      <w:r>
        <w:rPr>
          <w:rFonts w:ascii="Open Sans" w:eastAsia="Calibri" w:hAnsi="Open Sans" w:cs="Open Sans"/>
          <w:sz w:val="20"/>
          <w:szCs w:val="20"/>
        </w:rPr>
        <w:t>que permita</w:t>
      </w:r>
      <w:r w:rsidRPr="00004403">
        <w:rPr>
          <w:rFonts w:ascii="Open Sans" w:eastAsia="Calibri" w:hAnsi="Open Sans" w:cs="Open Sans"/>
          <w:sz w:val="20"/>
          <w:szCs w:val="20"/>
        </w:rPr>
        <w:t xml:space="preserve"> respaldar o rechazar esta afirmación.</w:t>
      </w:r>
      <w:r>
        <w:rPr>
          <w:rFonts w:ascii="Open Sans" w:eastAsia="Calibri" w:hAnsi="Open Sans" w:cs="Open Sans"/>
          <w:sz w:val="20"/>
          <w:szCs w:val="20"/>
        </w:rPr>
        <w:t xml:space="preserve"> </w:t>
      </w:r>
      <w:r w:rsidRPr="00004403">
        <w:rPr>
          <w:rFonts w:ascii="Open Sans" w:eastAsia="Calibri" w:hAnsi="Open Sans" w:cs="Open Sans"/>
          <w:sz w:val="20"/>
          <w:szCs w:val="20"/>
        </w:rPr>
        <w:t>No obstante,</w:t>
      </w:r>
      <w:r>
        <w:rPr>
          <w:rFonts w:ascii="Open Sans" w:eastAsia="Calibri" w:hAnsi="Open Sans" w:cs="Open Sans"/>
          <w:sz w:val="20"/>
          <w:szCs w:val="20"/>
        </w:rPr>
        <w:t xml:space="preserve"> cabe destacar </w:t>
      </w:r>
      <w:r w:rsidRPr="00004403">
        <w:rPr>
          <w:rFonts w:ascii="Open Sans" w:eastAsia="Calibri" w:hAnsi="Open Sans" w:cs="Open Sans"/>
          <w:sz w:val="20"/>
          <w:szCs w:val="20"/>
        </w:rPr>
        <w:t xml:space="preserve">la inclusión en la Comisión de Auditoría y Control del 24 de febrero de 2015 del punto sobre información </w:t>
      </w:r>
      <w:r>
        <w:rPr>
          <w:rFonts w:ascii="Open Sans" w:eastAsia="Calibri" w:hAnsi="Open Sans" w:cs="Open Sans"/>
          <w:sz w:val="20"/>
          <w:szCs w:val="20"/>
        </w:rPr>
        <w:t>de</w:t>
      </w:r>
      <w:r w:rsidRPr="00004403">
        <w:rPr>
          <w:rFonts w:ascii="Open Sans" w:eastAsia="Calibri" w:hAnsi="Open Sans" w:cs="Open Sans"/>
          <w:sz w:val="20"/>
          <w:szCs w:val="20"/>
        </w:rPr>
        <w:t xml:space="preserve"> las políticas fiscales aplicadas por la compañía, relacionándolo expresamente con el Código de Buenas Prácticas Tributarias. Para poder poner adecuadamente en valor los esfuerzos de Repsol </w:t>
      </w:r>
      <w:r>
        <w:rPr>
          <w:rFonts w:ascii="Open Sans" w:eastAsia="Calibri" w:hAnsi="Open Sans" w:cs="Open Sans"/>
          <w:sz w:val="20"/>
          <w:szCs w:val="20"/>
        </w:rPr>
        <w:t>en</w:t>
      </w:r>
      <w:r w:rsidRPr="00004403">
        <w:rPr>
          <w:rFonts w:ascii="Open Sans" w:eastAsia="Calibri" w:hAnsi="Open Sans" w:cs="Open Sans"/>
          <w:sz w:val="20"/>
          <w:szCs w:val="20"/>
        </w:rPr>
        <w:t xml:space="preserve"> el cumplimiento del Código, sería recomendable disponer de una sección específica en la que se publiquen de forma agregada todas estas medidas.</w:t>
      </w:r>
    </w:p>
    <w:p w14:paraId="67631434" w14:textId="77777777" w:rsidR="00903D51" w:rsidRPr="00004403" w:rsidRDefault="00903D51" w:rsidP="00903D51">
      <w:pPr>
        <w:jc w:val="both"/>
        <w:rPr>
          <w:rFonts w:ascii="Open Sans" w:hAnsi="Open Sans" w:cs="Open Sans"/>
          <w:bCs/>
          <w:sz w:val="20"/>
          <w:szCs w:val="20"/>
        </w:rPr>
      </w:pPr>
    </w:p>
    <w:p w14:paraId="5F0B0D5E" w14:textId="77777777" w:rsidR="00903D51" w:rsidRPr="00004403" w:rsidRDefault="00903D51" w:rsidP="00903D51">
      <w:pPr>
        <w:jc w:val="both"/>
        <w:rPr>
          <w:rFonts w:ascii="Open Sans" w:hAnsi="Open Sans" w:cs="Open Sans"/>
          <w:bCs/>
          <w:sz w:val="20"/>
          <w:szCs w:val="20"/>
        </w:rPr>
      </w:pPr>
      <w:r w:rsidRPr="00004403">
        <w:rPr>
          <w:rFonts w:ascii="Open Sans" w:hAnsi="Open Sans" w:cs="Open Sans"/>
          <w:bCs/>
          <w:sz w:val="20"/>
          <w:szCs w:val="20"/>
        </w:rPr>
        <w:t xml:space="preserve">En cuanto a actividades de lobby, Repsol reconoce abiertamente su participación en los debates sobre el desarrollo de políticas públicas. En su página web corporativa hay un apartado específico para las actividades de lobby englobado bajo “Ética y transparencia” en la que se indica que el Grupo apoya que la actividad de lobby se haga de forma transparente. También refleja en su informe de sostenibilidad las demandas de información formuladas por parte de sus inversores sobre </w:t>
      </w:r>
      <w:r w:rsidRPr="00004403">
        <w:rPr>
          <w:rFonts w:ascii="Open Sans" w:eastAsia="Calibri" w:hAnsi="Open Sans" w:cs="Open Sans"/>
          <w:sz w:val="20"/>
          <w:szCs w:val="20"/>
        </w:rPr>
        <w:t>las actividades de lobby llevadas a cabo y las contribuciones a partidos políticos.</w:t>
      </w:r>
      <w:r>
        <w:rPr>
          <w:rFonts w:ascii="Open Sans" w:eastAsia="Calibri" w:hAnsi="Open Sans" w:cs="Open Sans"/>
          <w:sz w:val="20"/>
          <w:szCs w:val="20"/>
        </w:rPr>
        <w:t xml:space="preserve"> </w:t>
      </w:r>
    </w:p>
    <w:p w14:paraId="460CC05D" w14:textId="77777777" w:rsidR="00903D51" w:rsidRPr="00004403" w:rsidRDefault="00903D51" w:rsidP="00903D51">
      <w:pPr>
        <w:jc w:val="both"/>
        <w:rPr>
          <w:rFonts w:ascii="Open Sans" w:hAnsi="Open Sans" w:cs="Open Sans"/>
          <w:bCs/>
          <w:sz w:val="20"/>
          <w:szCs w:val="20"/>
        </w:rPr>
      </w:pPr>
    </w:p>
    <w:p w14:paraId="723C9B3B" w14:textId="77777777" w:rsidR="00903D51" w:rsidRPr="00004403" w:rsidRDefault="00903D51" w:rsidP="00903D51">
      <w:pPr>
        <w:jc w:val="both"/>
        <w:rPr>
          <w:rFonts w:ascii="Open Sans" w:hAnsi="Open Sans" w:cs="Open Sans"/>
          <w:bCs/>
          <w:sz w:val="20"/>
          <w:szCs w:val="20"/>
        </w:rPr>
      </w:pPr>
      <w:r w:rsidRPr="00004403">
        <w:rPr>
          <w:rFonts w:ascii="Open Sans" w:hAnsi="Open Sans" w:cs="Open Sans"/>
          <w:bCs/>
          <w:sz w:val="20"/>
          <w:szCs w:val="20"/>
        </w:rPr>
        <w:t xml:space="preserve">Según se indica en la información </w:t>
      </w:r>
      <w:r>
        <w:rPr>
          <w:rFonts w:ascii="Open Sans" w:hAnsi="Open Sans" w:cs="Open Sans"/>
          <w:bCs/>
          <w:sz w:val="20"/>
          <w:szCs w:val="20"/>
        </w:rPr>
        <w:t>analizada</w:t>
      </w:r>
      <w:r w:rsidRPr="00004403">
        <w:rPr>
          <w:rFonts w:ascii="Open Sans" w:hAnsi="Open Sans" w:cs="Open Sans"/>
          <w:bCs/>
          <w:sz w:val="20"/>
          <w:szCs w:val="20"/>
        </w:rPr>
        <w:t xml:space="preserve"> Repsol facilita información sobre sus actividades de lobby al Registro de Transparencia de la Unión Europea y al Registro de Lobbies de Estados Unidos. Al primero de ellos les remite información correspondiente a asociaciones y redes a las que pertenece la compañía, así como datos económicos que incluyen la estimación de los costes vinculados a las actividades directas realizadas en representación de intereses ante las Instituciones Europeas y las actividades de representación de intereses. Al Registro de Lobbies de Estados Unidos le proporciona información trimestral de las actividades de este tipo realizada por la compañía en Estados Unidos y cada seis meses debemos declarar sobre posibles pagos directos o indirectos que realizan las compañías a los empleados públicos del gobierno americano. En el apartado de la web sobre lobby se incluye un enlace directo a ambos registros.</w:t>
      </w:r>
    </w:p>
    <w:p w14:paraId="1A1C1268" w14:textId="77777777" w:rsidR="00903D51" w:rsidRPr="00004403" w:rsidRDefault="00903D51" w:rsidP="00903D51">
      <w:pPr>
        <w:jc w:val="both"/>
        <w:rPr>
          <w:rFonts w:ascii="Open Sans" w:hAnsi="Open Sans" w:cs="Open Sans"/>
          <w:bCs/>
          <w:sz w:val="20"/>
          <w:szCs w:val="20"/>
        </w:rPr>
      </w:pPr>
    </w:p>
    <w:p w14:paraId="41FAEFE1" w14:textId="77777777" w:rsidR="00903D51" w:rsidRPr="00004403" w:rsidRDefault="00903D51" w:rsidP="00903D51">
      <w:pPr>
        <w:jc w:val="both"/>
        <w:rPr>
          <w:rFonts w:ascii="Open Sans" w:hAnsi="Open Sans" w:cs="Open Sans"/>
          <w:bCs/>
          <w:sz w:val="20"/>
          <w:szCs w:val="20"/>
        </w:rPr>
      </w:pPr>
      <w:r w:rsidRPr="00004403">
        <w:rPr>
          <w:rFonts w:ascii="Open Sans" w:hAnsi="Open Sans" w:cs="Open Sans"/>
          <w:bCs/>
          <w:sz w:val="20"/>
          <w:szCs w:val="20"/>
        </w:rPr>
        <w:t>En los documentos analizados no se han hallado cifras concretas sobre la cuantificación monetaria de los costes derivados de estas acciones</w:t>
      </w:r>
      <w:r>
        <w:rPr>
          <w:rFonts w:ascii="Open Sans" w:hAnsi="Open Sans" w:cs="Open Sans"/>
          <w:bCs/>
          <w:sz w:val="20"/>
          <w:szCs w:val="20"/>
        </w:rPr>
        <w:t>, pese a que debe proporcionar información sobre ellos a los registros mencionados</w:t>
      </w:r>
      <w:r w:rsidRPr="00004403">
        <w:rPr>
          <w:rFonts w:ascii="Open Sans" w:hAnsi="Open Sans" w:cs="Open Sans"/>
          <w:bCs/>
          <w:sz w:val="20"/>
          <w:szCs w:val="20"/>
        </w:rPr>
        <w:t>. No obstante en el informe de sostenibilidad se menciona que es información pública a la que se puede acceder a través de las páginas webs de esos organismos. También se indica que</w:t>
      </w:r>
      <w:r w:rsidRPr="00004403">
        <w:rPr>
          <w:rFonts w:ascii="Open Sans" w:eastAsia="Calibri" w:hAnsi="Open Sans" w:cs="Open Sans"/>
          <w:sz w:val="20"/>
          <w:szCs w:val="20"/>
        </w:rPr>
        <w:t xml:space="preserve"> las cifras de las actividades de lobby en EEUU y Canadá asociadas a Talisman no pudieron reflejarse en el informe por no estar disponibles debido a que todavía se estaba produciendo la integración de datos y procesos derivados de la compra; Repsol se compromete a incorporarlas en futuros informes. </w:t>
      </w:r>
      <w:r w:rsidRPr="00004403">
        <w:rPr>
          <w:rFonts w:ascii="Open Sans" w:hAnsi="Open Sans" w:cs="Open Sans"/>
          <w:bCs/>
          <w:sz w:val="20"/>
          <w:szCs w:val="20"/>
        </w:rPr>
        <w:t>En la fecha de elaboración del presente estudio se refleja en la página web del grupo que «</w:t>
      </w:r>
      <w:r w:rsidRPr="00004403">
        <w:rPr>
          <w:rFonts w:ascii="Open Sans" w:hAnsi="Open Sans" w:cs="Open Sans"/>
          <w:bCs/>
          <w:i/>
          <w:sz w:val="20"/>
          <w:szCs w:val="20"/>
        </w:rPr>
        <w:t>tanto Repsol como los empleados que realizan actividades de lobby para la compañía han declarado no haber realizado ninguna contribución a empleados públicos del gobierno americano</w:t>
      </w:r>
      <w:r w:rsidRPr="00004403">
        <w:rPr>
          <w:rFonts w:ascii="Open Sans" w:hAnsi="Open Sans" w:cs="Open Sans"/>
          <w:bCs/>
          <w:sz w:val="20"/>
          <w:szCs w:val="20"/>
        </w:rPr>
        <w:t>».</w:t>
      </w:r>
    </w:p>
    <w:p w14:paraId="52D16B3F" w14:textId="77777777" w:rsidR="00903D51" w:rsidRPr="00004403" w:rsidRDefault="00903D51" w:rsidP="00903D51">
      <w:pPr>
        <w:jc w:val="both"/>
        <w:rPr>
          <w:rFonts w:ascii="Open Sans" w:hAnsi="Open Sans" w:cs="Open Sans"/>
          <w:bCs/>
          <w:sz w:val="20"/>
          <w:szCs w:val="20"/>
        </w:rPr>
      </w:pPr>
    </w:p>
    <w:p w14:paraId="470C27ED" w14:textId="77777777" w:rsidR="00903D51" w:rsidRPr="00004403" w:rsidRDefault="00903D51" w:rsidP="00903D51">
      <w:pPr>
        <w:jc w:val="both"/>
        <w:rPr>
          <w:rFonts w:ascii="Open Sans" w:hAnsi="Open Sans" w:cs="Open Sans"/>
          <w:bCs/>
          <w:sz w:val="20"/>
          <w:szCs w:val="20"/>
        </w:rPr>
      </w:pPr>
      <w:r w:rsidRPr="00004403">
        <w:rPr>
          <w:rFonts w:ascii="Open Sans" w:hAnsi="Open Sans" w:cs="Open Sans"/>
          <w:bCs/>
          <w:sz w:val="20"/>
          <w:szCs w:val="20"/>
        </w:rPr>
        <w:t>Por lo que se refiere a litigios</w:t>
      </w:r>
      <w:r>
        <w:rPr>
          <w:rFonts w:ascii="Open Sans" w:hAnsi="Open Sans" w:cs="Open Sans"/>
          <w:bCs/>
          <w:sz w:val="20"/>
          <w:szCs w:val="20"/>
        </w:rPr>
        <w:t xml:space="preserve"> con las administraciones tributarias</w:t>
      </w:r>
      <w:r w:rsidRPr="00004403">
        <w:rPr>
          <w:rFonts w:ascii="Open Sans" w:hAnsi="Open Sans" w:cs="Open Sans"/>
          <w:bCs/>
          <w:sz w:val="20"/>
          <w:szCs w:val="20"/>
        </w:rPr>
        <w:t>, como ya se ha mencionado a lo largo del presente informe, en la política fiscal de Repsol se incluye la «</w:t>
      </w:r>
      <w:r w:rsidRPr="00004403">
        <w:rPr>
          <w:rFonts w:ascii="Open Sans" w:hAnsi="Open Sans" w:cs="Open Sans"/>
          <w:bCs/>
          <w:i/>
          <w:sz w:val="20"/>
          <w:szCs w:val="20"/>
        </w:rPr>
        <w:t>priorización de las vías no litigiosas para la resolución de conflictos, cuando sea factible, y uso de las posibilidades que ofrecen los procedimientos legales para potenciar los acuerdos con las administraciones</w:t>
      </w:r>
      <w:r w:rsidRPr="00004403">
        <w:rPr>
          <w:rFonts w:ascii="Open Sans" w:hAnsi="Open Sans" w:cs="Open Sans"/>
          <w:bCs/>
          <w:sz w:val="20"/>
          <w:szCs w:val="20"/>
        </w:rPr>
        <w:t>».</w:t>
      </w:r>
    </w:p>
    <w:p w14:paraId="38649959" w14:textId="77777777" w:rsidR="00903D51" w:rsidRPr="00004403" w:rsidRDefault="00903D51" w:rsidP="00903D51">
      <w:pPr>
        <w:jc w:val="both"/>
        <w:rPr>
          <w:rFonts w:ascii="Open Sans" w:hAnsi="Open Sans" w:cs="Open Sans"/>
          <w:bCs/>
          <w:sz w:val="20"/>
          <w:szCs w:val="20"/>
        </w:rPr>
      </w:pPr>
    </w:p>
    <w:p w14:paraId="065BB48A" w14:textId="77777777" w:rsidR="00903D51" w:rsidRDefault="00903D51" w:rsidP="00903D51">
      <w:pPr>
        <w:jc w:val="both"/>
        <w:rPr>
          <w:rFonts w:ascii="Open Sans" w:hAnsi="Open Sans" w:cs="Open Sans"/>
          <w:bCs/>
          <w:sz w:val="20"/>
          <w:szCs w:val="20"/>
        </w:rPr>
      </w:pPr>
      <w:r w:rsidRPr="00004403">
        <w:rPr>
          <w:rFonts w:ascii="Open Sans" w:hAnsi="Open Sans" w:cs="Open Sans"/>
          <w:bCs/>
          <w:sz w:val="20"/>
          <w:szCs w:val="20"/>
        </w:rPr>
        <w:t>En la nota 20 de las cuentas anuales se incluye un apartado específico sobre “Actuaciones administrativas y judiciales con trascendencia fiscal” en el que Repsol detalla los principales litigios que mantenía abiertos a 31 de diciembre con las Administraciones Tributarias de los países en los que tiene presencia. En dicho apartado se ofrece información agrupada por país, explicando los motivos que los ocasionan, su evolución y las empresas del Grupo relacionadas con ellos. Concretamente en las cuentas anuales de 2015 se indica la existencia de litigios abiertos en las siguientes jurisdicciones: Bolivia, Brasil, Canadá, Ecuador, España, Indonesia, Malasia, Timor Oriental y Trinidad y Tobago. El importe registrado para todos ellos se publica de forma agregada, suponiendo un total para el Grupo de 1.524 millones de euros a 31 de diciembre de 2015 (frente a los 649 millones de euros de diciembre 2014). Sería deseable que en próximos años se incluyesen adicionalmente cifras concretas con la cuantificación económica de las provisiones realizadas por el Grupo para cada uno de los litigios, así como información detallada tanto explicativa como monetaria sobre los litigios cerrados en el ejercicio sobre el que se reporte.</w:t>
      </w:r>
    </w:p>
    <w:p w14:paraId="0729D75F" w14:textId="77777777" w:rsidR="00903D51" w:rsidRDefault="00903D51" w:rsidP="00903D51">
      <w:pPr>
        <w:jc w:val="both"/>
        <w:rPr>
          <w:rFonts w:ascii="Open Sans" w:hAnsi="Open Sans" w:cs="Arial"/>
          <w:bCs/>
          <w:sz w:val="20"/>
          <w:szCs w:val="20"/>
        </w:rPr>
      </w:pPr>
    </w:p>
    <w:p w14:paraId="6B3804B1" w14:textId="77777777" w:rsidR="00903D51" w:rsidRPr="00EE772A" w:rsidRDefault="00903D51" w:rsidP="00903D51">
      <w:pPr>
        <w:jc w:val="both"/>
        <w:rPr>
          <w:rFonts w:ascii="Open Sans" w:hAnsi="Open Sans" w:cs="Arial"/>
          <w:bCs/>
          <w:sz w:val="20"/>
          <w:szCs w:val="20"/>
        </w:rPr>
      </w:pPr>
      <w:r w:rsidRPr="00EE772A">
        <w:rPr>
          <w:rFonts w:ascii="Open Sans" w:hAnsi="Open Sans" w:cs="Arial"/>
          <w:bCs/>
          <w:sz w:val="20"/>
          <w:szCs w:val="20"/>
        </w:rPr>
        <w:t xml:space="preserve">Por lo que se refiere a información presente en la información pública de la empresa relacionada con su operativa en el ámbito fiscal, destaca positivamente el tratamiento que da Repsol a las operaciones intragrupo. Así, como parte del principio reflejado en su política fiscal sobre el cumplimiento normativo y pago responsable de los impuestos, Repsol se compromete a aplicar el principio de libre concurrencia en este tipo de operaciones. </w:t>
      </w:r>
    </w:p>
    <w:p w14:paraId="5F18E872" w14:textId="77777777" w:rsidR="00903D51" w:rsidRPr="00EE772A" w:rsidRDefault="00903D51" w:rsidP="00903D51">
      <w:pPr>
        <w:jc w:val="both"/>
        <w:rPr>
          <w:rFonts w:ascii="Open Sans" w:hAnsi="Open Sans" w:cs="Arial"/>
          <w:bCs/>
          <w:sz w:val="20"/>
          <w:szCs w:val="20"/>
        </w:rPr>
      </w:pPr>
    </w:p>
    <w:p w14:paraId="599A37B4" w14:textId="77777777" w:rsidR="00903D51" w:rsidRDefault="00903D51" w:rsidP="00903D51">
      <w:pPr>
        <w:autoSpaceDE w:val="0"/>
        <w:autoSpaceDN w:val="0"/>
        <w:adjustRightInd w:val="0"/>
        <w:jc w:val="both"/>
        <w:rPr>
          <w:rFonts w:ascii="Open Sans" w:hAnsi="Open Sans" w:cs="Arial"/>
          <w:sz w:val="20"/>
          <w:szCs w:val="20"/>
        </w:rPr>
      </w:pPr>
      <w:r w:rsidRPr="00EE772A">
        <w:rPr>
          <w:rFonts w:ascii="Open Sans" w:hAnsi="Open Sans" w:cs="Arial"/>
          <w:bCs/>
          <w:sz w:val="20"/>
          <w:szCs w:val="20"/>
        </w:rPr>
        <w:t>En las cuentas anuales, se indica que «</w:t>
      </w:r>
      <w:r w:rsidRPr="00EE772A">
        <w:rPr>
          <w:rFonts w:ascii="Open Sans" w:hAnsi="Open Sans" w:cs="Arial"/>
          <w:bCs/>
          <w:i/>
          <w:sz w:val="20"/>
          <w:szCs w:val="20"/>
        </w:rPr>
        <w:t>Repsol realiza transacciones con partes vinculadas dentro de las condiciones generales de mercado</w:t>
      </w:r>
      <w:r w:rsidRPr="00EE772A">
        <w:rPr>
          <w:rFonts w:ascii="Open Sans" w:hAnsi="Open Sans" w:cs="Arial"/>
          <w:bCs/>
          <w:sz w:val="20"/>
          <w:szCs w:val="20"/>
        </w:rPr>
        <w:t>» y que estas operaciones «</w:t>
      </w:r>
      <w:r w:rsidRPr="00EE772A">
        <w:rPr>
          <w:rFonts w:ascii="Open Sans" w:hAnsi="Open Sans" w:cs="Arial"/>
          <w:bCs/>
          <w:i/>
          <w:sz w:val="20"/>
          <w:szCs w:val="20"/>
        </w:rPr>
        <w:t>forman parte del tráfico habitual de la sociedad en cuanto a su objeto y condiciones</w:t>
      </w:r>
      <w:r w:rsidRPr="00EE772A">
        <w:rPr>
          <w:rFonts w:ascii="Open Sans" w:hAnsi="Open Sans" w:cs="Arial"/>
          <w:bCs/>
          <w:sz w:val="20"/>
          <w:szCs w:val="20"/>
        </w:rPr>
        <w:t xml:space="preserve">». Además, proporciona una tabla detallada en la que se recogen cifras concretas de ingresos, gastos y otras transacciones registradas a 31 de diciembre por las operaciones con partes vinculadas que no se eliminan en el proceso de consolidación. </w:t>
      </w:r>
      <w:r>
        <w:rPr>
          <w:rFonts w:ascii="Open Sans" w:hAnsi="Open Sans" w:cs="Arial"/>
          <w:bCs/>
          <w:sz w:val="20"/>
          <w:szCs w:val="20"/>
        </w:rPr>
        <w:t>L</w:t>
      </w:r>
      <w:r w:rsidRPr="00EE772A">
        <w:rPr>
          <w:rFonts w:ascii="Open Sans" w:hAnsi="Open Sans" w:cs="Arial"/>
          <w:bCs/>
          <w:sz w:val="20"/>
          <w:szCs w:val="20"/>
        </w:rPr>
        <w:t>a propia compañía</w:t>
      </w:r>
      <w:r>
        <w:rPr>
          <w:rFonts w:ascii="Open Sans" w:hAnsi="Open Sans" w:cs="Arial"/>
          <w:bCs/>
          <w:sz w:val="20"/>
          <w:szCs w:val="20"/>
        </w:rPr>
        <w:t xml:space="preserve"> indica que</w:t>
      </w:r>
      <w:r w:rsidRPr="00EE772A">
        <w:rPr>
          <w:rFonts w:ascii="Open Sans" w:hAnsi="Open Sans" w:cs="Arial"/>
          <w:bCs/>
          <w:sz w:val="20"/>
          <w:szCs w:val="20"/>
        </w:rPr>
        <w:t xml:space="preserve">, fundamentalmente </w:t>
      </w:r>
      <w:r>
        <w:rPr>
          <w:rFonts w:ascii="Open Sans" w:hAnsi="Open Sans" w:cs="Arial"/>
          <w:bCs/>
          <w:sz w:val="20"/>
          <w:szCs w:val="20"/>
        </w:rPr>
        <w:t>se trata de</w:t>
      </w:r>
      <w:r w:rsidRPr="00EE772A">
        <w:rPr>
          <w:rFonts w:ascii="Open Sans" w:hAnsi="Open Sans" w:cs="Arial"/>
          <w:bCs/>
          <w:sz w:val="20"/>
          <w:szCs w:val="20"/>
        </w:rPr>
        <w:t xml:space="preserve"> las transacciones realizadas con sociedades integradas por el método de la participación. </w:t>
      </w:r>
    </w:p>
    <w:p w14:paraId="0C57C983" w14:textId="77777777" w:rsidR="00903D51" w:rsidRDefault="00903D51" w:rsidP="00903D51">
      <w:pPr>
        <w:jc w:val="both"/>
        <w:rPr>
          <w:rFonts w:ascii="Open Sans" w:hAnsi="Open Sans" w:cs="Arial"/>
          <w:sz w:val="20"/>
          <w:szCs w:val="20"/>
        </w:rPr>
      </w:pPr>
    </w:p>
    <w:p w14:paraId="1EDA6741" w14:textId="77777777" w:rsidR="00903D51" w:rsidRDefault="00903D51" w:rsidP="00903D51">
      <w:pPr>
        <w:jc w:val="both"/>
        <w:rPr>
          <w:rFonts w:ascii="Open Sans" w:hAnsi="Open Sans" w:cs="Arial"/>
          <w:sz w:val="20"/>
          <w:szCs w:val="20"/>
        </w:rPr>
      </w:pPr>
      <w:r>
        <w:rPr>
          <w:rFonts w:ascii="Open Sans" w:hAnsi="Open Sans" w:cs="Arial"/>
          <w:sz w:val="20"/>
          <w:szCs w:val="20"/>
        </w:rPr>
        <w:t>Dentro de los conceptos incluidos en esta tabla se encuentran los acuerdos de financiación con empresas del grupo. No se ha encontrado información complementaria que permita realizar un análisis completo de las condiciones de estas operaciones de financiación intragrupo ni de cómo afectan a las cuentas de la empresa. Llama la atención la existencia de empresas del grupo en jurisdicciones consideradas como nichos o paraísos fiscales cuyas actividades principales son financieras, de seguros y reaseguros.</w:t>
      </w:r>
    </w:p>
    <w:p w14:paraId="3BB7F916" w14:textId="77777777" w:rsidR="00903D51" w:rsidRDefault="00903D51" w:rsidP="00903D51">
      <w:pPr>
        <w:jc w:val="both"/>
        <w:rPr>
          <w:rFonts w:ascii="Open Sans" w:hAnsi="Open Sans" w:cs="Arial"/>
          <w:sz w:val="20"/>
          <w:szCs w:val="20"/>
        </w:rPr>
      </w:pPr>
    </w:p>
    <w:p w14:paraId="1BDB9DFB" w14:textId="77777777" w:rsidR="00903D51" w:rsidRDefault="00903D51" w:rsidP="00903D51">
      <w:pPr>
        <w:jc w:val="both"/>
        <w:rPr>
          <w:rFonts w:ascii="Open Sans" w:hAnsi="Open Sans" w:cs="Arial"/>
          <w:sz w:val="20"/>
          <w:szCs w:val="20"/>
        </w:rPr>
      </w:pPr>
      <w:r>
        <w:rPr>
          <w:rFonts w:ascii="Open Sans" w:hAnsi="Open Sans" w:cs="Arial"/>
          <w:sz w:val="20"/>
          <w:szCs w:val="20"/>
        </w:rPr>
        <w:t>También se incluyen los gastos e ingresos derivados de “</w:t>
      </w:r>
      <w:r w:rsidRPr="006704B1">
        <w:rPr>
          <w:rFonts w:ascii="Open Sans" w:hAnsi="Open Sans" w:cs="Arial"/>
          <w:sz w:val="20"/>
          <w:szCs w:val="20"/>
        </w:rPr>
        <w:t>Transferencia de I+D y acuerdos sobre licencias</w:t>
      </w:r>
      <w:r>
        <w:rPr>
          <w:rFonts w:ascii="Open Sans" w:hAnsi="Open Sans" w:cs="Arial"/>
          <w:sz w:val="20"/>
          <w:szCs w:val="20"/>
        </w:rPr>
        <w:t xml:space="preserve">” entre las empresas del grupo. En las cuentas anuales del 2015 solo se reflejan gastos por 1 millón de euros por este concepto. En el informe de gestión se incluye información detallada sobre las actividades de </w:t>
      </w:r>
      <w:r w:rsidRPr="006704B1">
        <w:rPr>
          <w:rFonts w:ascii="Open Sans" w:hAnsi="Open Sans" w:cs="Arial"/>
          <w:sz w:val="20"/>
          <w:szCs w:val="20"/>
        </w:rPr>
        <w:t>investigación, desarrollo e innovación</w:t>
      </w:r>
      <w:r>
        <w:rPr>
          <w:rFonts w:ascii="Open Sans" w:hAnsi="Open Sans" w:cs="Arial"/>
          <w:sz w:val="20"/>
          <w:szCs w:val="20"/>
        </w:rPr>
        <w:t xml:space="preserve"> llevadas a cabo por las empresas del grupo. Sin embargo, no se ha encontrado información suficiente para valorar </w:t>
      </w:r>
      <w:r w:rsidRPr="006704B1">
        <w:rPr>
          <w:rFonts w:ascii="Open Sans" w:hAnsi="Open Sans" w:cs="Arial"/>
          <w:sz w:val="20"/>
          <w:szCs w:val="20"/>
        </w:rPr>
        <w:t>la estructura de propiedad que gobierna los activos de propiedad intelectual</w:t>
      </w:r>
      <w:r>
        <w:rPr>
          <w:rFonts w:ascii="Open Sans" w:hAnsi="Open Sans" w:cs="Arial"/>
          <w:sz w:val="20"/>
          <w:szCs w:val="20"/>
        </w:rPr>
        <w:t xml:space="preserve"> ni</w:t>
      </w:r>
      <w:r w:rsidRPr="006704B1">
        <w:rPr>
          <w:rFonts w:ascii="Open Sans" w:hAnsi="Open Sans" w:cs="Arial"/>
          <w:sz w:val="20"/>
          <w:szCs w:val="20"/>
        </w:rPr>
        <w:t xml:space="preserve"> los </w:t>
      </w:r>
      <w:r>
        <w:rPr>
          <w:rFonts w:ascii="Open Sans" w:hAnsi="Open Sans" w:cs="Arial"/>
          <w:sz w:val="20"/>
          <w:szCs w:val="20"/>
        </w:rPr>
        <w:t>beneficios atribuidos a la misma.</w:t>
      </w:r>
    </w:p>
    <w:p w14:paraId="5348699E" w14:textId="77777777" w:rsidR="00903D51" w:rsidRDefault="00903D51" w:rsidP="00903D51">
      <w:pPr>
        <w:jc w:val="both"/>
        <w:rPr>
          <w:rFonts w:ascii="Open Sans" w:hAnsi="Open Sans" w:cs="Arial"/>
          <w:sz w:val="20"/>
          <w:szCs w:val="20"/>
        </w:rPr>
      </w:pPr>
    </w:p>
    <w:p w14:paraId="1C08BE86" w14:textId="77777777" w:rsidR="00903D51" w:rsidRDefault="00903D51" w:rsidP="00903D51">
      <w:pPr>
        <w:jc w:val="both"/>
        <w:rPr>
          <w:rFonts w:ascii="Open Sans" w:hAnsi="Open Sans" w:cs="Arial"/>
          <w:sz w:val="20"/>
          <w:szCs w:val="20"/>
        </w:rPr>
      </w:pPr>
    </w:p>
    <w:p w14:paraId="1681D248" w14:textId="77777777" w:rsidR="00903D51" w:rsidRPr="0024142E" w:rsidRDefault="00903D51" w:rsidP="00903D51">
      <w:pPr>
        <w:rPr>
          <w:rFonts w:ascii="Open Sans" w:hAnsi="Open Sans" w:cs="Arial"/>
          <w:bCs/>
          <w:sz w:val="22"/>
          <w:szCs w:val="22"/>
          <w:u w:val="single"/>
        </w:rPr>
      </w:pPr>
      <w:r w:rsidRPr="0024142E">
        <w:rPr>
          <w:rFonts w:ascii="Open Sans" w:hAnsi="Open Sans" w:cs="Arial"/>
          <w:b/>
          <w:sz w:val="22"/>
          <w:szCs w:val="22"/>
          <w:u w:val="single"/>
        </w:rPr>
        <w:t>5. Conclusiones</w:t>
      </w:r>
    </w:p>
    <w:p w14:paraId="0D6CBF18" w14:textId="77777777" w:rsidR="00903D51" w:rsidRPr="00732FD5" w:rsidRDefault="00903D51" w:rsidP="00903D51">
      <w:pPr>
        <w:rPr>
          <w:rFonts w:ascii="Open Sans" w:hAnsi="Open Sans" w:cs="Arial"/>
          <w:bCs/>
          <w:sz w:val="22"/>
          <w:szCs w:val="22"/>
        </w:rPr>
      </w:pPr>
    </w:p>
    <w:p w14:paraId="1FEBB245" w14:textId="77777777" w:rsidR="00903D51" w:rsidRDefault="00903D51" w:rsidP="00903D51">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Repsol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1,12</w:t>
      </w:r>
      <w:r>
        <w:rPr>
          <w:rFonts w:ascii="Open Sans" w:hAnsi="Open Sans" w:cs="Open Sans"/>
          <w:color w:val="auto"/>
          <w:sz w:val="20"/>
          <w:szCs w:val="20"/>
        </w:rPr>
        <w:t xml:space="preserve"> sobre un máximo de 3, </w:t>
      </w:r>
      <w:r>
        <w:rPr>
          <w:rFonts w:ascii="Open Sans" w:hAnsi="Open Sans" w:cs="Open Sans"/>
          <w:sz w:val="20"/>
          <w:szCs w:val="20"/>
        </w:rPr>
        <w:t xml:space="preserve">lo que equivale a una </w:t>
      </w:r>
      <w:r>
        <w:rPr>
          <w:rFonts w:ascii="Open Sans" w:hAnsi="Open Sans" w:cs="Open Sans"/>
          <w:i/>
          <w:sz w:val="20"/>
          <w:szCs w:val="20"/>
        </w:rPr>
        <w:t>información incompleta</w:t>
      </w:r>
      <w:r>
        <w:rPr>
          <w:rFonts w:ascii="Open Sans" w:hAnsi="Open Sans" w:cs="Open Sans"/>
          <w:sz w:val="20"/>
          <w:szCs w:val="20"/>
        </w:rPr>
        <w:t xml:space="preserve"> de acuerdo con la metodología utilizada. </w:t>
      </w:r>
      <w:r>
        <w:rPr>
          <w:rFonts w:ascii="Open Sans" w:hAnsi="Open Sans" w:cs="Open Sans"/>
          <w:color w:val="auto"/>
          <w:sz w:val="20"/>
          <w:szCs w:val="20"/>
        </w:rPr>
        <w:t>De las dimensiones analizadas, la máxima puntuación se obtiene en los aspectos relacionados con la “política y estrategia fiscal” (2,00), seguidos por los relativos a “impuestos e incentivos” (0,83) los relacionados con “paraísos y nichos fiscales” (0,83), las “relaciones con Administraciones Tributarias” (0,80)</w:t>
      </w:r>
    </w:p>
    <w:p w14:paraId="3022BD89" w14:textId="77777777" w:rsidR="00903D51" w:rsidRDefault="00903D51" w:rsidP="00903D51">
      <w:pPr>
        <w:pStyle w:val="Default"/>
        <w:jc w:val="both"/>
        <w:rPr>
          <w:rFonts w:ascii="Open Sans" w:hAnsi="Open Sans" w:cs="Open Sans"/>
          <w:color w:val="auto"/>
          <w:sz w:val="20"/>
          <w:szCs w:val="20"/>
        </w:rPr>
      </w:pPr>
    </w:p>
    <w:p w14:paraId="3FCDFAA6" w14:textId="77777777" w:rsidR="00903D51" w:rsidRDefault="00903D51" w:rsidP="00903D51">
      <w:pPr>
        <w:jc w:val="both"/>
        <w:rPr>
          <w:rFonts w:ascii="Open Sans" w:hAnsi="Open Sans" w:cs="Arial"/>
          <w:bCs/>
          <w:sz w:val="20"/>
          <w:szCs w:val="20"/>
        </w:rPr>
      </w:pPr>
      <w:r>
        <w:rPr>
          <w:rFonts w:ascii="Open Sans" w:hAnsi="Open Sans" w:cs="Arial"/>
          <w:bCs/>
          <w:sz w:val="20"/>
          <w:szCs w:val="20"/>
        </w:rPr>
        <w:t>En todos los documentos analizados (Cuentas anuales consolidadas, Informe de gestión c</w:t>
      </w:r>
      <w:r w:rsidRPr="00181214">
        <w:rPr>
          <w:rFonts w:ascii="Open Sans" w:hAnsi="Open Sans" w:cs="Arial"/>
          <w:bCs/>
          <w:sz w:val="20"/>
          <w:szCs w:val="20"/>
        </w:rPr>
        <w:t>onsolidado</w:t>
      </w:r>
      <w:r>
        <w:rPr>
          <w:rFonts w:ascii="Open Sans" w:hAnsi="Open Sans" w:cs="Arial"/>
          <w:bCs/>
          <w:sz w:val="20"/>
          <w:szCs w:val="20"/>
        </w:rPr>
        <w:t xml:space="preserve">, </w:t>
      </w:r>
      <w:r w:rsidRPr="00181214">
        <w:rPr>
          <w:rFonts w:ascii="Open Sans" w:hAnsi="Open Sans" w:cs="Arial"/>
          <w:bCs/>
          <w:sz w:val="20"/>
          <w:szCs w:val="20"/>
        </w:rPr>
        <w:t>Informe de Sostenibilidad</w:t>
      </w:r>
      <w:r>
        <w:rPr>
          <w:rFonts w:ascii="Open Sans" w:hAnsi="Open Sans" w:cs="Arial"/>
          <w:bCs/>
          <w:sz w:val="20"/>
          <w:szCs w:val="20"/>
        </w:rPr>
        <w:t xml:space="preserve">, </w:t>
      </w:r>
      <w:r w:rsidRPr="00181214">
        <w:rPr>
          <w:rFonts w:ascii="Open Sans" w:hAnsi="Open Sans" w:cs="Arial"/>
          <w:bCs/>
          <w:sz w:val="20"/>
          <w:szCs w:val="20"/>
        </w:rPr>
        <w:t>Informe Anual de Gobierno Corporativo</w:t>
      </w:r>
      <w:r>
        <w:rPr>
          <w:rFonts w:ascii="Open Sans" w:hAnsi="Open Sans" w:cs="Arial"/>
          <w:bCs/>
          <w:sz w:val="20"/>
          <w:szCs w:val="20"/>
        </w:rPr>
        <w:t xml:space="preserve">, </w:t>
      </w:r>
      <w:r w:rsidRPr="00181214">
        <w:rPr>
          <w:rFonts w:ascii="Open Sans" w:hAnsi="Open Sans" w:cs="Arial"/>
          <w:bCs/>
          <w:sz w:val="20"/>
          <w:szCs w:val="20"/>
        </w:rPr>
        <w:t>Memoria de actividades de la Comisión de Auditoría y Control</w:t>
      </w:r>
      <w:r>
        <w:rPr>
          <w:rFonts w:ascii="Open Sans" w:hAnsi="Open Sans" w:cs="Arial"/>
          <w:bCs/>
          <w:sz w:val="20"/>
          <w:szCs w:val="20"/>
        </w:rPr>
        <w:t xml:space="preserve">, Reglamento </w:t>
      </w:r>
      <w:r w:rsidRPr="00181214">
        <w:rPr>
          <w:rFonts w:ascii="Open Sans" w:hAnsi="Open Sans" w:cs="Arial"/>
          <w:bCs/>
          <w:sz w:val="20"/>
          <w:szCs w:val="20"/>
        </w:rPr>
        <w:t>del Consejo de Administración</w:t>
      </w:r>
      <w:r>
        <w:rPr>
          <w:rFonts w:ascii="Open Sans" w:hAnsi="Open Sans" w:cs="Arial"/>
          <w:bCs/>
          <w:sz w:val="20"/>
          <w:szCs w:val="20"/>
        </w:rPr>
        <w:t>) se incluye información sobre los aspectos fiscales de la compañía. Repsol también dedica secciones específicas en su página web centradas en esta temática en las que se puede consultar información relacionada, fundamentalmente, con la política y estrategia fiscal, los paraísos fiscales, las actividades de lobby y su contribución fiscal en los países que opera. Destaca positivamente que en el Informe de sostenibilidad se incluyan cifras concretas de impuestos pagados por país y que, además, se acompañen de una explicación sencilla que facilita su comprensión por personas ajenas al mundo de la contabilidad y las finanzas.</w:t>
      </w:r>
    </w:p>
    <w:p w14:paraId="5C158FE4" w14:textId="77777777" w:rsidR="00903D51" w:rsidRDefault="00903D51" w:rsidP="00903D51">
      <w:pPr>
        <w:jc w:val="both"/>
        <w:rPr>
          <w:rFonts w:ascii="Open Sans" w:hAnsi="Open Sans" w:cs="Arial"/>
          <w:bCs/>
          <w:sz w:val="20"/>
          <w:szCs w:val="20"/>
        </w:rPr>
      </w:pPr>
    </w:p>
    <w:p w14:paraId="423DF2A6" w14:textId="77777777" w:rsidR="00903D51" w:rsidRDefault="00903D51" w:rsidP="00903D51">
      <w:pPr>
        <w:jc w:val="both"/>
        <w:rPr>
          <w:rFonts w:ascii="Open Sans" w:hAnsi="Open Sans" w:cs="Arial"/>
          <w:bCs/>
          <w:sz w:val="20"/>
          <w:szCs w:val="20"/>
        </w:rPr>
      </w:pPr>
      <w:r>
        <w:rPr>
          <w:rFonts w:ascii="Open Sans" w:hAnsi="Open Sans" w:cs="Arial"/>
          <w:bCs/>
          <w:sz w:val="20"/>
          <w:szCs w:val="20"/>
        </w:rPr>
        <w:t>En ellos Repsol reconoce expresamente la creciente preocupación social por la fiscalidad responsable y el interés que muestran sus inversores por la transparencia en este ámbito, reflejando en diversas ocasiones su compromiso para lograrlo. Compromiso que adquiere expresamente en el resumen de su estrategia y política fiscal de la siguiente manera: «</w:t>
      </w:r>
      <w:r w:rsidRPr="00844567">
        <w:rPr>
          <w:rFonts w:ascii="Open Sans" w:hAnsi="Open Sans" w:cs="Arial"/>
          <w:bCs/>
          <w:i/>
          <w:sz w:val="20"/>
          <w:szCs w:val="20"/>
        </w:rPr>
        <w:t>La compañía se compromete a gestionar sus asuntos fiscales aplicando buenas prácticas tributarias y actuando con transparencia, a pagar sus impuestos de manera responsable y eficiente y a promover relaciones cooperativas con los gobiernos, tratando de evitar riesgos significativos y conflictos innecesarios</w:t>
      </w:r>
      <w:r>
        <w:rPr>
          <w:rFonts w:ascii="Open Sans" w:hAnsi="Open Sans" w:cs="Arial"/>
          <w:bCs/>
          <w:sz w:val="20"/>
          <w:szCs w:val="20"/>
        </w:rPr>
        <w:t xml:space="preserve">». </w:t>
      </w:r>
    </w:p>
    <w:p w14:paraId="5D929575" w14:textId="77777777" w:rsidR="00903D51" w:rsidRDefault="00903D51" w:rsidP="00903D51">
      <w:pPr>
        <w:pStyle w:val="Default"/>
        <w:jc w:val="both"/>
        <w:rPr>
          <w:rFonts w:ascii="Open Sans" w:hAnsi="Open Sans" w:cs="Open Sans"/>
          <w:color w:val="auto"/>
          <w:sz w:val="20"/>
          <w:szCs w:val="20"/>
        </w:rPr>
      </w:pPr>
    </w:p>
    <w:p w14:paraId="5B7C8A76" w14:textId="77777777" w:rsidR="00903D51" w:rsidRPr="00123E6B" w:rsidRDefault="00903D51" w:rsidP="00903D51">
      <w:pPr>
        <w:jc w:val="both"/>
        <w:rPr>
          <w:rFonts w:ascii="Open Sans" w:hAnsi="Open Sans" w:cs="Arial"/>
          <w:sz w:val="20"/>
          <w:szCs w:val="20"/>
        </w:rPr>
      </w:pPr>
      <w:r>
        <w:rPr>
          <w:rFonts w:ascii="Open Sans" w:hAnsi="Open Sans" w:cs="Arial"/>
          <w:sz w:val="20"/>
          <w:szCs w:val="20"/>
        </w:rPr>
        <w:t xml:space="preserve">La información sobre su presencia en nichos y paraísos fiscales se limita a aquellas empresas que están incluidas en los listados publicados por la OCDE y por la normativa de España. Al respecto Repsol informa sobre las empresas que posee en estas jurisdicciones, así como su porcentaje de participación y, en la mayor parte de los casos, tipo de actividades desarrolladas. La mayor parte de la información ofrecida y a la que se le otorga más visibilidad es a la de cuatro compañías. No obstante, es necesario que la empresa aumente su transparencia en este ámbito, incluyendo cifras concretas sobre la actividad de dichas compañías y que la amplíe a las </w:t>
      </w:r>
      <w:r w:rsidRPr="00123E6B">
        <w:rPr>
          <w:rFonts w:ascii="Open Sans" w:hAnsi="Open Sans" w:cs="Arial"/>
          <w:sz w:val="20"/>
          <w:szCs w:val="20"/>
        </w:rPr>
        <w:t xml:space="preserve">123 </w:t>
      </w:r>
      <w:r w:rsidRPr="003D7745">
        <w:rPr>
          <w:rFonts w:ascii="Open Sans" w:hAnsi="Open Sans" w:cs="Arial"/>
          <w:sz w:val="20"/>
          <w:szCs w:val="20"/>
        </w:rPr>
        <w:t>empresas radicadas en</w:t>
      </w:r>
      <w:r w:rsidRPr="00123E6B">
        <w:rPr>
          <w:rFonts w:ascii="Open Sans" w:hAnsi="Open Sans" w:cs="Arial"/>
          <w:sz w:val="20"/>
          <w:szCs w:val="20"/>
        </w:rPr>
        <w:t xml:space="preserve"> jurisdicciones que pueden considerarse nichos fiscales.</w:t>
      </w:r>
    </w:p>
    <w:p w14:paraId="53D8AC5B" w14:textId="77777777" w:rsidR="00903D51" w:rsidRPr="00123E6B" w:rsidRDefault="00903D51" w:rsidP="00903D51">
      <w:pPr>
        <w:pStyle w:val="Default"/>
        <w:jc w:val="both"/>
        <w:rPr>
          <w:rFonts w:ascii="Open Sans" w:hAnsi="Open Sans" w:cs="Open Sans"/>
          <w:color w:val="auto"/>
          <w:sz w:val="20"/>
          <w:szCs w:val="20"/>
        </w:rPr>
      </w:pPr>
    </w:p>
    <w:p w14:paraId="05D63FE5" w14:textId="3A58F095" w:rsidR="001262A9" w:rsidRPr="007534AC" w:rsidRDefault="00903D51" w:rsidP="00903D51">
      <w:pPr>
        <w:jc w:val="both"/>
        <w:rPr>
          <w:rFonts w:ascii="ScalaSansPro-Light" w:eastAsia="Calibri" w:hAnsi="ScalaSansPro-Light" w:cs="ScalaSansPro-Light"/>
          <w:sz w:val="20"/>
          <w:szCs w:val="20"/>
          <w:highlight w:val="yellow"/>
        </w:rPr>
      </w:pPr>
      <w:r>
        <w:rPr>
          <w:rFonts w:ascii="ScalaSansPro-Light" w:eastAsia="Calibri" w:hAnsi="ScalaSansPro-Light" w:cs="ScalaSansPro-Light"/>
          <w:sz w:val="20"/>
          <w:szCs w:val="20"/>
        </w:rPr>
        <w:t>Se valora</w:t>
      </w:r>
      <w:r w:rsidRPr="00123E6B">
        <w:rPr>
          <w:rFonts w:ascii="ScalaSansPro-Light" w:eastAsia="Calibri" w:hAnsi="ScalaSansPro-Light" w:cs="ScalaSansPro-Light"/>
          <w:sz w:val="20"/>
          <w:szCs w:val="20"/>
        </w:rPr>
        <w:t xml:space="preserve"> positivamente las acciones realizadas por Repsol para aumentar su transparencia en un ámbito tan importante como el fiscal debido a los altos riesgos asociados al Grupo y derivados tanto de su amplia presencia internacional (está presente en 51 países) como el sector en el que centra sus actividades (energía e hidrocarburos). No obstante, consideramos necesario que Repsol siga avanzando en diversos aspectos. Entre todos ellos cabría destacar la necesidad de que Repsol amplíe la información sobre su impacto fiscal, desagregando las cifras de impuestos pagadas en cada uno de los países en los que opera y aportando información complementaria a nivel país que permita relacionarla con la operativa de las empresas del grupo en cada uno de ellos (volumen de negocios, resultado antes de impuestos, número de empleados, etc.)</w:t>
      </w:r>
    </w:p>
    <w:p w14:paraId="608606FE" w14:textId="09447118" w:rsidR="00A73C1F" w:rsidRDefault="00A73C1F">
      <w:pPr>
        <w:rPr>
          <w:rFonts w:ascii="Open Sans" w:hAnsi="Open Sans"/>
          <w:sz w:val="20"/>
          <w:szCs w:val="20"/>
        </w:rPr>
      </w:pPr>
      <w:r>
        <w:rPr>
          <w:rFonts w:ascii="Open Sans" w:hAnsi="Open Sans"/>
          <w:sz w:val="20"/>
          <w:szCs w:val="20"/>
        </w:rPr>
        <w:br w:type="page"/>
      </w:r>
    </w:p>
    <w:p w14:paraId="21B367BC" w14:textId="77777777" w:rsidR="001262A9" w:rsidRPr="0024142E" w:rsidRDefault="001262A9" w:rsidP="001262A9">
      <w:pPr>
        <w:rPr>
          <w:rFonts w:ascii="Open Sans" w:hAnsi="Open Sans"/>
          <w:sz w:val="20"/>
          <w:szCs w:val="20"/>
        </w:rPr>
      </w:pPr>
    </w:p>
    <w:p w14:paraId="7FD8B8D3" w14:textId="77777777" w:rsidR="00123793" w:rsidRPr="002D1232" w:rsidRDefault="00123793" w:rsidP="005B70B4">
      <w:pPr>
        <w:rPr>
          <w:rFonts w:ascii="Open Sans" w:hAnsi="Open Sans" w:cs="Open Sans"/>
          <w:sz w:val="20"/>
          <w:szCs w:val="20"/>
        </w:rPr>
      </w:pPr>
    </w:p>
    <w:p w14:paraId="67187674" w14:textId="4F9E5FB3" w:rsidR="00A112C7" w:rsidRPr="002C6AB3" w:rsidRDefault="00FD6FFD" w:rsidP="009349A9">
      <w:pPr>
        <w:pStyle w:val="Titulo3-informefinal"/>
        <w:rPr>
          <w:i/>
        </w:rPr>
      </w:pPr>
      <w:bookmarkStart w:id="89" w:name="_Toc254282540"/>
      <w:bookmarkStart w:id="90" w:name="_Toc354061526"/>
      <w:r>
        <w:t>5</w:t>
      </w:r>
      <w:r w:rsidR="00A112C7" w:rsidRPr="002C6AB3">
        <w:t>.4. Empresas del sector Servicios Financieros e Inmobiliarias</w:t>
      </w:r>
      <w:bookmarkEnd w:id="89"/>
      <w:bookmarkEnd w:id="90"/>
    </w:p>
    <w:p w14:paraId="0C19C392" w14:textId="77777777" w:rsidR="004C6977" w:rsidRPr="002C6AB3" w:rsidRDefault="004C6977" w:rsidP="004C6977">
      <w:pPr>
        <w:spacing w:line="360" w:lineRule="auto"/>
        <w:ind w:left="720"/>
        <w:outlineLvl w:val="4"/>
        <w:rPr>
          <w:rFonts w:ascii="Open Sans" w:hAnsi="Open Sans" w:cs="Arial"/>
          <w:b/>
          <w:caps/>
        </w:rPr>
      </w:pPr>
    </w:p>
    <w:p w14:paraId="03376C59" w14:textId="77777777" w:rsidR="00F64216" w:rsidRDefault="00F64216" w:rsidP="007A07D5">
      <w:pPr>
        <w:numPr>
          <w:ilvl w:val="1"/>
          <w:numId w:val="5"/>
        </w:numPr>
        <w:spacing w:line="360" w:lineRule="auto"/>
        <w:outlineLvl w:val="4"/>
        <w:rPr>
          <w:rFonts w:ascii="Open Sans" w:hAnsi="Open Sans" w:cs="Arial"/>
          <w:b/>
          <w:caps/>
        </w:rPr>
      </w:pPr>
      <w:r w:rsidRPr="00F64216">
        <w:rPr>
          <w:rFonts w:ascii="Open Sans" w:hAnsi="Open Sans" w:cs="Arial"/>
          <w:b/>
          <w:caps/>
        </w:rPr>
        <w:t>bankia, S.A.</w:t>
      </w:r>
    </w:p>
    <w:p w14:paraId="3BC91D90" w14:textId="41BC1941" w:rsidR="00F64216" w:rsidRPr="00F64216" w:rsidRDefault="00F64216" w:rsidP="007A07D5">
      <w:pPr>
        <w:numPr>
          <w:ilvl w:val="1"/>
          <w:numId w:val="5"/>
        </w:numPr>
        <w:spacing w:line="360" w:lineRule="auto"/>
        <w:outlineLvl w:val="4"/>
        <w:rPr>
          <w:rFonts w:ascii="Open Sans" w:hAnsi="Open Sans" w:cs="Arial"/>
          <w:b/>
          <w:caps/>
        </w:rPr>
      </w:pPr>
      <w:r w:rsidRPr="002C6AB3">
        <w:rPr>
          <w:rFonts w:ascii="Open Sans" w:hAnsi="Open Sans" w:cs="Arial"/>
          <w:b/>
          <w:caps/>
        </w:rPr>
        <w:t xml:space="preserve">BANKINTER, S.A. </w:t>
      </w:r>
    </w:p>
    <w:p w14:paraId="3309B067" w14:textId="77777777" w:rsidR="00F8108C" w:rsidRPr="002C6AB3" w:rsidRDefault="00F8108C" w:rsidP="007A07D5">
      <w:pPr>
        <w:numPr>
          <w:ilvl w:val="1"/>
          <w:numId w:val="5"/>
        </w:numPr>
        <w:spacing w:line="360" w:lineRule="auto"/>
        <w:outlineLvl w:val="4"/>
        <w:rPr>
          <w:rFonts w:ascii="Open Sans" w:hAnsi="Open Sans" w:cs="Arial"/>
          <w:b/>
          <w:caps/>
        </w:rPr>
      </w:pPr>
      <w:r w:rsidRPr="002C6AB3">
        <w:rPr>
          <w:rFonts w:ascii="Open Sans" w:hAnsi="Open Sans" w:cs="Arial"/>
          <w:b/>
          <w:caps/>
        </w:rPr>
        <w:t>BANCO BILBAO VIZCAYA ARGENTARIA, S.A. (BBVA)</w:t>
      </w:r>
    </w:p>
    <w:p w14:paraId="15C135F7" w14:textId="77777777" w:rsidR="00F8108C" w:rsidRPr="002C6AB3" w:rsidRDefault="00F8108C" w:rsidP="007A07D5">
      <w:pPr>
        <w:numPr>
          <w:ilvl w:val="1"/>
          <w:numId w:val="5"/>
        </w:numPr>
        <w:spacing w:line="360" w:lineRule="auto"/>
        <w:outlineLvl w:val="4"/>
        <w:rPr>
          <w:rFonts w:ascii="Open Sans" w:hAnsi="Open Sans" w:cs="Arial"/>
          <w:b/>
          <w:caps/>
        </w:rPr>
      </w:pPr>
      <w:r w:rsidRPr="002C6AB3">
        <w:rPr>
          <w:rFonts w:ascii="Open Sans" w:hAnsi="Open Sans" w:cs="Arial"/>
          <w:b/>
          <w:caps/>
        </w:rPr>
        <w:t>BANCO POPULAR ESPAÑOL, S.A.</w:t>
      </w:r>
    </w:p>
    <w:p w14:paraId="1E6DE9B7" w14:textId="59DFBD01" w:rsidR="008A66F5" w:rsidRPr="002C6AB3" w:rsidRDefault="008A66F5" w:rsidP="007A07D5">
      <w:pPr>
        <w:numPr>
          <w:ilvl w:val="1"/>
          <w:numId w:val="5"/>
        </w:numPr>
        <w:spacing w:line="360" w:lineRule="auto"/>
        <w:outlineLvl w:val="4"/>
        <w:rPr>
          <w:rFonts w:ascii="Open Sans" w:hAnsi="Open Sans" w:cs="Arial"/>
          <w:b/>
          <w:caps/>
        </w:rPr>
      </w:pPr>
      <w:r w:rsidRPr="002C6AB3">
        <w:rPr>
          <w:rFonts w:ascii="Open Sans" w:hAnsi="Open Sans" w:cs="Arial"/>
          <w:b/>
          <w:caps/>
        </w:rPr>
        <w:t>BANCO SANTANDER</w:t>
      </w:r>
    </w:p>
    <w:p w14:paraId="7ED1C08A" w14:textId="0AB357E3" w:rsidR="008A66F5" w:rsidRPr="002C6AB3" w:rsidRDefault="008A66F5" w:rsidP="007A07D5">
      <w:pPr>
        <w:numPr>
          <w:ilvl w:val="1"/>
          <w:numId w:val="5"/>
        </w:numPr>
        <w:spacing w:line="360" w:lineRule="auto"/>
        <w:outlineLvl w:val="4"/>
        <w:rPr>
          <w:rFonts w:ascii="Open Sans" w:hAnsi="Open Sans" w:cs="Arial"/>
          <w:b/>
          <w:caps/>
        </w:rPr>
      </w:pPr>
      <w:r w:rsidRPr="002C6AB3">
        <w:rPr>
          <w:rFonts w:ascii="Open Sans" w:hAnsi="Open Sans" w:cs="Arial"/>
          <w:b/>
          <w:caps/>
        </w:rPr>
        <w:t>caixabank</w:t>
      </w:r>
    </w:p>
    <w:p w14:paraId="653735DF" w14:textId="77777777" w:rsidR="00F8108C" w:rsidRPr="002C6AB3" w:rsidRDefault="00F8108C" w:rsidP="007A07D5">
      <w:pPr>
        <w:numPr>
          <w:ilvl w:val="1"/>
          <w:numId w:val="5"/>
        </w:numPr>
        <w:spacing w:line="360" w:lineRule="auto"/>
        <w:outlineLvl w:val="4"/>
        <w:rPr>
          <w:rFonts w:ascii="Open Sans" w:hAnsi="Open Sans" w:cs="Arial"/>
          <w:b/>
          <w:caps/>
        </w:rPr>
      </w:pPr>
      <w:r w:rsidRPr="002C6AB3">
        <w:rPr>
          <w:rFonts w:ascii="Open Sans" w:hAnsi="Open Sans" w:cs="Arial"/>
          <w:b/>
          <w:caps/>
        </w:rPr>
        <w:t>GRUPO SABADELL, S.A.</w:t>
      </w:r>
    </w:p>
    <w:p w14:paraId="76B89758" w14:textId="77777777" w:rsidR="00F8108C" w:rsidRDefault="00F8108C" w:rsidP="007A07D5">
      <w:pPr>
        <w:numPr>
          <w:ilvl w:val="1"/>
          <w:numId w:val="5"/>
        </w:numPr>
        <w:spacing w:line="360" w:lineRule="auto"/>
        <w:outlineLvl w:val="4"/>
        <w:rPr>
          <w:rFonts w:ascii="Open Sans" w:hAnsi="Open Sans" w:cs="Arial"/>
          <w:b/>
          <w:caps/>
        </w:rPr>
      </w:pPr>
      <w:r w:rsidRPr="002C6AB3">
        <w:rPr>
          <w:rFonts w:ascii="Open Sans" w:hAnsi="Open Sans" w:cs="Arial"/>
          <w:b/>
          <w:caps/>
        </w:rPr>
        <w:t>MAPFRE, S.A.</w:t>
      </w:r>
    </w:p>
    <w:p w14:paraId="589860F3" w14:textId="5C5E108A" w:rsidR="008C45A4" w:rsidRPr="002C6AB3" w:rsidRDefault="008C45A4" w:rsidP="007A07D5">
      <w:pPr>
        <w:numPr>
          <w:ilvl w:val="1"/>
          <w:numId w:val="5"/>
        </w:numPr>
        <w:spacing w:line="360" w:lineRule="auto"/>
        <w:outlineLvl w:val="4"/>
        <w:rPr>
          <w:rFonts w:ascii="Open Sans" w:hAnsi="Open Sans" w:cs="Arial"/>
          <w:b/>
          <w:caps/>
        </w:rPr>
      </w:pPr>
      <w:r>
        <w:rPr>
          <w:rFonts w:ascii="Open Sans" w:hAnsi="Open Sans" w:cs="Arial"/>
          <w:b/>
          <w:caps/>
        </w:rPr>
        <w:t>merlin properties, socimi</w:t>
      </w:r>
    </w:p>
    <w:p w14:paraId="2130BD06" w14:textId="65D04E44" w:rsidR="00F8108C" w:rsidRDefault="001D4A43" w:rsidP="00F8108C">
      <w:pPr>
        <w:rPr>
          <w:rFonts w:ascii="Arial" w:hAnsi="Arial" w:cs="Arial"/>
        </w:rPr>
      </w:pPr>
      <w:r>
        <w:rPr>
          <w:rFonts w:ascii="Arial" w:hAnsi="Arial" w:cs="Arial"/>
        </w:rPr>
        <w:br w:type="page"/>
      </w:r>
    </w:p>
    <w:p w14:paraId="0E0FCD91" w14:textId="3E94084B" w:rsidR="005E516B" w:rsidRDefault="005E516B" w:rsidP="005E516B">
      <w:pPr>
        <w:pStyle w:val="Default"/>
        <w:jc w:val="both"/>
        <w:rPr>
          <w:rFonts w:ascii="Open Sans" w:eastAsia="Calibri" w:hAnsi="Open Sans" w:cs="Open Sans"/>
          <w:color w:val="auto"/>
          <w:sz w:val="20"/>
          <w:szCs w:val="20"/>
        </w:rPr>
      </w:pPr>
    </w:p>
    <w:p w14:paraId="4C83963A" w14:textId="77777777" w:rsidR="004E732C" w:rsidRDefault="004E732C" w:rsidP="004E732C">
      <w:pPr>
        <w:pBdr>
          <w:top w:val="single" w:sz="4" w:space="1" w:color="000000"/>
          <w:left w:val="single" w:sz="4" w:space="4" w:color="000000"/>
          <w:bottom w:val="single" w:sz="4" w:space="1" w:color="000000"/>
          <w:right w:val="single" w:sz="4" w:space="4" w:color="000000"/>
        </w:pBdr>
        <w:shd w:val="clear" w:color="auto" w:fill="000080"/>
        <w:jc w:val="center"/>
      </w:pPr>
      <w:bookmarkStart w:id="91" w:name="Bankia"/>
      <w:r>
        <w:rPr>
          <w:rFonts w:ascii="Open Sans" w:hAnsi="Open Sans" w:cs="Arial"/>
          <w:b/>
          <w:caps/>
          <w:color w:val="FFFFFF"/>
        </w:rPr>
        <w:t>GRUPO BFA - BANKIA</w:t>
      </w:r>
    </w:p>
    <w:bookmarkEnd w:id="91"/>
    <w:p w14:paraId="6F27010A" w14:textId="77777777" w:rsidR="004E732C" w:rsidRDefault="004E732C" w:rsidP="004E732C">
      <w:pPr>
        <w:pBdr>
          <w:top w:val="single" w:sz="4" w:space="1" w:color="000000"/>
          <w:left w:val="single" w:sz="4" w:space="4" w:color="000000"/>
          <w:bottom w:val="single" w:sz="4" w:space="1" w:color="000000"/>
          <w:right w:val="single" w:sz="4" w:space="4" w:color="000000"/>
        </w:pBdr>
        <w:shd w:val="clear" w:color="auto" w:fill="000080"/>
        <w:jc w:val="center"/>
      </w:pPr>
      <w:r>
        <w:rPr>
          <w:rFonts w:ascii="Open Sans" w:hAnsi="Open Sans" w:cs="Arial"/>
          <w:b/>
          <w:i/>
          <w:color w:val="FFFFFF"/>
        </w:rPr>
        <w:t>(Bankia)</w:t>
      </w:r>
    </w:p>
    <w:p w14:paraId="465FD1E5" w14:textId="77777777" w:rsidR="004E732C" w:rsidRDefault="004E732C" w:rsidP="004E732C">
      <w:pPr>
        <w:jc w:val="both"/>
        <w:outlineLvl w:val="5"/>
        <w:rPr>
          <w:rFonts w:ascii="Open Sans" w:hAnsi="Open Sans" w:cs="Open Sans"/>
          <w:b/>
          <w:sz w:val="20"/>
          <w:szCs w:val="20"/>
          <w:u w:val="single"/>
        </w:rPr>
      </w:pPr>
    </w:p>
    <w:p w14:paraId="552F4499" w14:textId="77777777" w:rsidR="004E732C" w:rsidRPr="00724C1E" w:rsidRDefault="004E732C" w:rsidP="004E732C">
      <w:pPr>
        <w:jc w:val="both"/>
        <w:rPr>
          <w:rFonts w:ascii="Open Sans" w:hAnsi="Open Sans" w:cs="Open Sans"/>
        </w:rPr>
      </w:pPr>
    </w:p>
    <w:p w14:paraId="5D218B11" w14:textId="77777777" w:rsidR="008E68EC" w:rsidRPr="006B3DFF" w:rsidRDefault="008E68EC" w:rsidP="008E68EC">
      <w:pPr>
        <w:jc w:val="both"/>
        <w:outlineLvl w:val="5"/>
        <w:rPr>
          <w:rFonts w:ascii="Open Sans" w:hAnsi="Open Sans" w:cs="Open Sans"/>
          <w:b/>
          <w:sz w:val="22"/>
          <w:szCs w:val="22"/>
          <w:u w:val="single"/>
        </w:rPr>
      </w:pPr>
      <w:r w:rsidRPr="006B3DFF">
        <w:rPr>
          <w:rFonts w:ascii="Open Sans" w:hAnsi="Open Sans" w:cs="Open Sans"/>
          <w:b/>
          <w:sz w:val="22"/>
          <w:szCs w:val="22"/>
          <w:u w:val="single"/>
        </w:rPr>
        <w:t>1. Datos generales de la entidad</w:t>
      </w:r>
    </w:p>
    <w:p w14:paraId="6AE0F7AB" w14:textId="77777777" w:rsidR="008E68EC" w:rsidRPr="006B3DFF" w:rsidRDefault="008E68EC" w:rsidP="008E68EC">
      <w:pPr>
        <w:jc w:val="both"/>
        <w:rPr>
          <w:rFonts w:ascii="Open Sans" w:hAnsi="Open Sans" w:cs="Open Sans"/>
          <w:sz w:val="20"/>
          <w:szCs w:val="20"/>
          <w:u w:val="single"/>
        </w:rPr>
      </w:pPr>
    </w:p>
    <w:p w14:paraId="538A5BEC"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Bankia es una entidad dependiente y perteneciente al Grupo BFA, Tenedora de Acciones (entidad pública) y, a su vez, es la entidad cabecera de un grupo económico, que al 31 de diciembre de 2015, cuenta con un perímetro de consolidación en el que se incluyen 72 sociedades entre entidades dependientes, asociadas y multigrupo, que se dedican a actividades diversas, entre las que se encuentran, entre otras, las de seguros, gestión de activos, prestación de financiación, servicios y gestión de activos inmobiliarios.</w:t>
      </w:r>
    </w:p>
    <w:p w14:paraId="7DF54FDC" w14:textId="77777777" w:rsidR="008E68EC" w:rsidRPr="006B3DFF" w:rsidRDefault="008E68EC" w:rsidP="008E68EC">
      <w:pPr>
        <w:jc w:val="both"/>
        <w:rPr>
          <w:rFonts w:ascii="Open Sans" w:hAnsi="Open Sans" w:cs="Open Sans"/>
          <w:sz w:val="20"/>
          <w:szCs w:val="20"/>
        </w:rPr>
      </w:pPr>
    </w:p>
    <w:p w14:paraId="4705B70A"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El principal accionista de Bankia es BFA, Tenedora de Acciones, S.A.U  que a 31 de diciembre de 2015 mantiene una participación del 64,23% (64,46% considerando el efecto de autocartera) de su capital social.</w:t>
      </w:r>
    </w:p>
    <w:p w14:paraId="414BC7E2" w14:textId="77777777" w:rsidR="008E68EC" w:rsidRPr="006B3DFF" w:rsidRDefault="008E68EC" w:rsidP="008E68EC">
      <w:pPr>
        <w:jc w:val="both"/>
        <w:rPr>
          <w:rFonts w:ascii="Open Sans" w:hAnsi="Open Sans" w:cs="Open Sans"/>
          <w:sz w:val="20"/>
          <w:szCs w:val="20"/>
        </w:rPr>
      </w:pPr>
    </w:p>
    <w:p w14:paraId="13400D5C" w14:textId="77777777" w:rsidR="008E68EC" w:rsidRPr="006B3DFF" w:rsidRDefault="008E68EC" w:rsidP="008E68EC">
      <w:pPr>
        <w:jc w:val="both"/>
        <w:rPr>
          <w:rFonts w:ascii="Open Sans" w:hAnsi="Open Sans"/>
        </w:rPr>
      </w:pPr>
      <w:r w:rsidRPr="006B3DFF">
        <w:rPr>
          <w:rFonts w:ascii="Open Sans" w:hAnsi="Open Sans" w:cs="Arial"/>
          <w:sz w:val="20"/>
          <w:szCs w:val="20"/>
        </w:rPr>
        <w:t>Bankia ofrece a sus clientes los siguientes productos/ servicios:</w:t>
      </w:r>
    </w:p>
    <w:p w14:paraId="1B4D3740" w14:textId="77777777" w:rsidR="008E68EC" w:rsidRPr="008E68EC" w:rsidRDefault="008E68EC" w:rsidP="008E68EC">
      <w:pPr>
        <w:jc w:val="both"/>
        <w:rPr>
          <w:rFonts w:ascii="Open Sans" w:hAnsi="Open Sans" w:cs="Arial"/>
          <w:sz w:val="20"/>
          <w:szCs w:val="20"/>
        </w:rPr>
      </w:pPr>
    </w:p>
    <w:p w14:paraId="7C4D47E5" w14:textId="77777777" w:rsidR="008E68EC" w:rsidRPr="008E68EC" w:rsidRDefault="008E68EC" w:rsidP="000B70C9">
      <w:pPr>
        <w:pStyle w:val="Cuadrculamedia1-nfasis21"/>
        <w:widowControl w:val="0"/>
        <w:numPr>
          <w:ilvl w:val="0"/>
          <w:numId w:val="38"/>
        </w:numPr>
        <w:shd w:val="clear" w:color="auto" w:fill="FFFFFF"/>
        <w:autoSpaceDE w:val="0"/>
        <w:autoSpaceDN w:val="0"/>
        <w:adjustRightInd w:val="0"/>
        <w:ind w:right="120"/>
        <w:jc w:val="both"/>
        <w:rPr>
          <w:rFonts w:ascii="Open Sans" w:hAnsi="Open Sans"/>
          <w:sz w:val="20"/>
          <w:szCs w:val="20"/>
        </w:rPr>
      </w:pPr>
      <w:r w:rsidRPr="008E68EC">
        <w:rPr>
          <w:rFonts w:ascii="Open Sans" w:hAnsi="Open Sans"/>
          <w:sz w:val="20"/>
          <w:szCs w:val="20"/>
          <w:lang w:val="es-ES_tradnl"/>
        </w:rPr>
        <w:t xml:space="preserve">Banca de Particulares, Banca de Empresas, Banca Privada, Gestión de Activos, Banca de Seguros, Mercado de Capitales y Gestión Empresas Participadas </w:t>
      </w:r>
    </w:p>
    <w:p w14:paraId="3BCC1E7E" w14:textId="77777777" w:rsidR="008E68EC" w:rsidRPr="008E68EC" w:rsidRDefault="008E68EC" w:rsidP="000B70C9">
      <w:pPr>
        <w:pStyle w:val="Cuadrculamedia1-nfasis21"/>
        <w:widowControl w:val="0"/>
        <w:numPr>
          <w:ilvl w:val="0"/>
          <w:numId w:val="38"/>
        </w:numPr>
        <w:shd w:val="clear" w:color="auto" w:fill="FFFFFF"/>
        <w:autoSpaceDE w:val="0"/>
        <w:autoSpaceDN w:val="0"/>
        <w:adjustRightInd w:val="0"/>
        <w:ind w:right="120"/>
        <w:jc w:val="both"/>
        <w:rPr>
          <w:rFonts w:ascii="Open Sans" w:hAnsi="Open Sans"/>
          <w:sz w:val="20"/>
          <w:szCs w:val="20"/>
        </w:rPr>
      </w:pPr>
      <w:r w:rsidRPr="008E68EC">
        <w:rPr>
          <w:rFonts w:ascii="Open Sans" w:hAnsi="Open Sans"/>
          <w:sz w:val="20"/>
          <w:szCs w:val="20"/>
          <w:lang w:val="es-ES_tradnl"/>
        </w:rPr>
        <w:t xml:space="preserve">Otros (según listado de participadas): </w:t>
      </w:r>
      <w:r w:rsidRPr="008E68EC">
        <w:rPr>
          <w:rFonts w:ascii="Open Sans" w:hAnsi="Open Sans"/>
          <w:sz w:val="20"/>
          <w:szCs w:val="20"/>
        </w:rPr>
        <w:t>Actividades anexas al transporte terrestre;</w:t>
      </w:r>
      <w:r w:rsidRPr="008E68EC">
        <w:rPr>
          <w:rFonts w:ascii="Open Sans" w:hAnsi="Open Sans"/>
          <w:sz w:val="20"/>
          <w:szCs w:val="20"/>
          <w:lang w:val="es-ES_tradnl"/>
        </w:rPr>
        <w:t xml:space="preserve"> Actividades inmobiliarias; A</w:t>
      </w:r>
      <w:r w:rsidRPr="008E68EC">
        <w:rPr>
          <w:rFonts w:ascii="Open Sans" w:hAnsi="Open Sans"/>
          <w:sz w:val="20"/>
          <w:szCs w:val="20"/>
        </w:rPr>
        <w:t>limentación</w:t>
      </w:r>
      <w:r w:rsidRPr="008E68EC">
        <w:rPr>
          <w:rFonts w:ascii="Open Sans" w:hAnsi="Open Sans"/>
          <w:sz w:val="20"/>
          <w:szCs w:val="20"/>
          <w:lang w:val="es-ES_tradnl"/>
        </w:rPr>
        <w:t>; Asesoramiento dirección empresarial;</w:t>
      </w:r>
      <w:r w:rsidRPr="008E68EC">
        <w:rPr>
          <w:rFonts w:ascii="Open Sans" w:hAnsi="Open Sans"/>
          <w:sz w:val="20"/>
          <w:szCs w:val="20"/>
        </w:rPr>
        <w:t xml:space="preserve"> Compra y Arrendamiento de aeronaves, trenes y material ferroviario; </w:t>
      </w:r>
      <w:r w:rsidRPr="008E68EC">
        <w:rPr>
          <w:rFonts w:ascii="Open Sans" w:hAnsi="Open Sans"/>
          <w:sz w:val="20"/>
          <w:szCs w:val="20"/>
          <w:lang w:val="es-ES_tradnl"/>
        </w:rPr>
        <w:t xml:space="preserve">Compra, </w:t>
      </w:r>
      <w:r w:rsidRPr="008E68EC">
        <w:rPr>
          <w:rFonts w:ascii="Open Sans" w:hAnsi="Open Sans"/>
          <w:sz w:val="20"/>
          <w:szCs w:val="20"/>
        </w:rPr>
        <w:t>arrendamiento y explotación de buques; Elaboración de vinos; Energía fotovoltaica; Participación en empresas; Producción de energía eléctrica; Promoción y explotación de infraestructuras públicas; Otros servicios independientes.</w:t>
      </w:r>
    </w:p>
    <w:p w14:paraId="321EDDFC" w14:textId="77777777" w:rsidR="008E68EC" w:rsidRPr="006B3DFF" w:rsidRDefault="008E68EC" w:rsidP="008E68EC">
      <w:pPr>
        <w:jc w:val="both"/>
        <w:rPr>
          <w:rFonts w:ascii="Open Sans" w:hAnsi="Open Sans" w:cs="Open Sans"/>
          <w:sz w:val="20"/>
          <w:szCs w:val="20"/>
        </w:rPr>
      </w:pPr>
    </w:p>
    <w:p w14:paraId="6536E124"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u w:val="single"/>
        </w:rPr>
        <w:t xml:space="preserve">Alcance geográfico </w:t>
      </w:r>
    </w:p>
    <w:p w14:paraId="0567FEB2" w14:textId="77777777" w:rsidR="008E68EC" w:rsidRPr="006B3DFF" w:rsidRDefault="008E68EC" w:rsidP="008E68EC">
      <w:pPr>
        <w:jc w:val="both"/>
        <w:rPr>
          <w:rFonts w:ascii="Open Sans" w:hAnsi="Open Sans" w:cs="Open Sans"/>
          <w:sz w:val="20"/>
          <w:szCs w:val="20"/>
        </w:rPr>
      </w:pPr>
    </w:p>
    <w:p w14:paraId="01A29343" w14:textId="77777777" w:rsidR="008E68EC" w:rsidRPr="006B3DFF" w:rsidRDefault="008E68EC" w:rsidP="008E68EC">
      <w:pPr>
        <w:jc w:val="both"/>
        <w:rPr>
          <w:rFonts w:ascii="Open Sans" w:hAnsi="Open Sans" w:cs="Arial"/>
          <w:sz w:val="20"/>
          <w:szCs w:val="20"/>
        </w:rPr>
      </w:pPr>
      <w:r w:rsidRPr="006B3DFF">
        <w:rPr>
          <w:rFonts w:ascii="Open Sans" w:hAnsi="Open Sans" w:cs="Arial"/>
          <w:sz w:val="20"/>
          <w:szCs w:val="20"/>
        </w:rPr>
        <w:t xml:space="preserve">Bankia opera o tiene presencia en los siguientes países: </w:t>
      </w:r>
    </w:p>
    <w:p w14:paraId="54F82557" w14:textId="77777777" w:rsidR="008E68EC" w:rsidRPr="006B3DFF" w:rsidRDefault="008E68EC" w:rsidP="008E68EC">
      <w:pPr>
        <w:jc w:val="both"/>
        <w:rPr>
          <w:rFonts w:ascii="Open Sans" w:hAnsi="Open Sans" w:cs="Arial"/>
          <w:sz w:val="20"/>
          <w:szCs w:val="20"/>
        </w:rPr>
      </w:pPr>
    </w:p>
    <w:p w14:paraId="4EBD56B1" w14:textId="77777777" w:rsidR="008E68EC" w:rsidRPr="006B3DFF" w:rsidRDefault="008E68EC" w:rsidP="000B70C9">
      <w:pPr>
        <w:numPr>
          <w:ilvl w:val="0"/>
          <w:numId w:val="117"/>
        </w:numPr>
        <w:suppressAutoHyphens/>
        <w:jc w:val="both"/>
        <w:rPr>
          <w:rFonts w:ascii="Open Sans" w:hAnsi="Open Sans" w:cs="Arial"/>
          <w:sz w:val="20"/>
          <w:szCs w:val="20"/>
        </w:rPr>
      </w:pPr>
      <w:r w:rsidRPr="006B3DFF">
        <w:rPr>
          <w:rFonts w:ascii="Open Sans" w:hAnsi="Open Sans" w:cs="Arial"/>
          <w:sz w:val="20"/>
          <w:szCs w:val="20"/>
        </w:rPr>
        <w:t xml:space="preserve">Alemania, Cuba, China, EEUU, España, Holanda, Islas Caimán, Marruecos y Portugal. </w:t>
      </w:r>
    </w:p>
    <w:p w14:paraId="18DA3951" w14:textId="77777777" w:rsidR="008E68EC" w:rsidRPr="006B3DFF" w:rsidRDefault="008E68EC" w:rsidP="008E68EC">
      <w:pPr>
        <w:jc w:val="both"/>
        <w:rPr>
          <w:rFonts w:ascii="Open Sans" w:hAnsi="Open Sans" w:cs="Open Sans"/>
          <w:sz w:val="20"/>
          <w:szCs w:val="20"/>
        </w:rPr>
      </w:pPr>
    </w:p>
    <w:p w14:paraId="06D5A12F" w14:textId="77777777" w:rsidR="008E68EC" w:rsidRPr="006B3DFF" w:rsidRDefault="008E68EC" w:rsidP="008E68EC">
      <w:pPr>
        <w:jc w:val="both"/>
        <w:rPr>
          <w:rFonts w:ascii="Open Sans" w:hAnsi="Open Sans" w:cs="Open Sans"/>
          <w:sz w:val="20"/>
          <w:szCs w:val="20"/>
          <w:u w:val="single"/>
        </w:rPr>
      </w:pPr>
      <w:r w:rsidRPr="006B3DFF">
        <w:rPr>
          <w:rFonts w:ascii="Open Sans" w:hAnsi="Open Sans" w:cs="Open Sans"/>
          <w:sz w:val="20"/>
          <w:szCs w:val="20"/>
          <w:u w:val="single"/>
        </w:rPr>
        <w:t>Cifras relevantes de la empresa:</w:t>
      </w:r>
    </w:p>
    <w:p w14:paraId="4C9549DC" w14:textId="77777777" w:rsidR="008E68EC" w:rsidRPr="006B3DFF" w:rsidRDefault="008E68EC" w:rsidP="008E68EC">
      <w:pPr>
        <w:jc w:val="both"/>
        <w:rPr>
          <w:rFonts w:ascii="Open Sans" w:hAnsi="Open Sans" w:cs="Open Sans"/>
          <w:sz w:val="20"/>
          <w:szCs w:val="20"/>
          <w:u w:val="single"/>
        </w:rPr>
      </w:pPr>
    </w:p>
    <w:p w14:paraId="163F6932"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 xml:space="preserve">Bankia es una sociedad anónima cuyas acciones se encuentran admitidas a cotización en el mercado continuo, formando parte del IBEX-35. Por todo ello, la Entidad está sujeta a la supervisión de la Comisión Nacional del Mercado de Valores.  </w:t>
      </w:r>
      <w:r w:rsidRPr="006B3DFF">
        <w:rPr>
          <w:rFonts w:ascii="Open Sans" w:hAnsi="Open Sans" w:cs="Arial"/>
          <w:sz w:val="20"/>
          <w:szCs w:val="20"/>
        </w:rPr>
        <w:t>Cuenta con una red de 1.941 oficinas y 13.318 empleados.</w:t>
      </w:r>
    </w:p>
    <w:p w14:paraId="12C46416" w14:textId="77777777" w:rsidR="008E68EC" w:rsidRPr="006B3DFF" w:rsidRDefault="008E68EC" w:rsidP="008E68EC">
      <w:pPr>
        <w:jc w:val="both"/>
        <w:rPr>
          <w:rFonts w:ascii="Open Sans" w:hAnsi="Open Sans" w:cs="Open Sans"/>
          <w:sz w:val="20"/>
          <w:szCs w:val="20"/>
        </w:rPr>
      </w:pPr>
    </w:p>
    <w:p w14:paraId="1340574B" w14:textId="77777777" w:rsidR="008E68EC" w:rsidRPr="006B3DFF" w:rsidRDefault="008E68EC" w:rsidP="008E68EC">
      <w:pPr>
        <w:jc w:val="both"/>
        <w:rPr>
          <w:rFonts w:ascii="Open Sans" w:hAnsi="Open Sans" w:cs="Open Sans"/>
          <w:sz w:val="20"/>
          <w:szCs w:val="20"/>
          <w:u w:val="single"/>
        </w:rPr>
      </w:pPr>
      <w:r w:rsidRPr="006B3DFF">
        <w:rPr>
          <w:rFonts w:ascii="Open Sans" w:hAnsi="Open Sans" w:cs="Open Sans"/>
          <w:sz w:val="20"/>
          <w:szCs w:val="20"/>
          <w:u w:val="single"/>
        </w:rPr>
        <w:t>Estándares voluntarios relacionados con fiscalidad responsable</w:t>
      </w:r>
    </w:p>
    <w:p w14:paraId="26618DAC" w14:textId="77777777" w:rsidR="008E68EC" w:rsidRPr="006B3DFF" w:rsidRDefault="008E68EC" w:rsidP="008E68EC">
      <w:pPr>
        <w:jc w:val="both"/>
        <w:rPr>
          <w:rFonts w:ascii="Open Sans" w:hAnsi="Open Sans" w:cs="Open Sans"/>
          <w:sz w:val="20"/>
          <w:szCs w:val="20"/>
          <w:u w:val="single"/>
        </w:rPr>
      </w:pPr>
    </w:p>
    <w:p w14:paraId="0784C685"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Bankia se ha adherido voluntariamente a los siguientes estándares relacionados con contenidos y sistemas de gestión de fiscalidad responsable:</w:t>
      </w:r>
    </w:p>
    <w:p w14:paraId="0BC0974A" w14:textId="77777777" w:rsidR="008E68EC" w:rsidRPr="006B3DFF" w:rsidRDefault="008E68EC" w:rsidP="008E68EC">
      <w:pPr>
        <w:jc w:val="both"/>
        <w:rPr>
          <w:rFonts w:ascii="Open Sans" w:hAnsi="Open Sans" w:cs="Open Sans"/>
          <w:sz w:val="20"/>
          <w:szCs w:val="20"/>
        </w:rPr>
      </w:pPr>
    </w:p>
    <w:p w14:paraId="7678A37B" w14:textId="77777777" w:rsidR="008E68EC" w:rsidRPr="006B3DFF" w:rsidRDefault="008E68EC" w:rsidP="000B70C9">
      <w:pPr>
        <w:numPr>
          <w:ilvl w:val="0"/>
          <w:numId w:val="116"/>
        </w:numPr>
        <w:jc w:val="both"/>
        <w:rPr>
          <w:rFonts w:ascii="Open Sans" w:hAnsi="Open Sans" w:cs="Open Sans"/>
          <w:sz w:val="20"/>
          <w:szCs w:val="20"/>
        </w:rPr>
      </w:pPr>
      <w:r w:rsidRPr="006B3DFF">
        <w:rPr>
          <w:rFonts w:ascii="Open Sans" w:hAnsi="Open Sans" w:cs="Open Sans"/>
          <w:sz w:val="20"/>
          <w:szCs w:val="20"/>
        </w:rPr>
        <w:t>Código de Buenas Prácticas Tributarias de la Agencia Tributaria.</w:t>
      </w:r>
    </w:p>
    <w:p w14:paraId="0D24AF55" w14:textId="77777777" w:rsidR="008E68EC" w:rsidRPr="006B3DFF" w:rsidRDefault="008E68EC" w:rsidP="008E68EC">
      <w:pPr>
        <w:jc w:val="both"/>
        <w:rPr>
          <w:rFonts w:ascii="Open Sans" w:hAnsi="Open Sans" w:cs="Open Sans"/>
          <w:sz w:val="20"/>
          <w:szCs w:val="20"/>
          <w:u w:val="single"/>
        </w:rPr>
      </w:pPr>
    </w:p>
    <w:p w14:paraId="5366F6EA"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Adicionalmente y en materia de responsabilidad social, Bankia está adherida o se compromete con:</w:t>
      </w:r>
    </w:p>
    <w:p w14:paraId="301B6133" w14:textId="77777777" w:rsidR="008E68EC" w:rsidRPr="006B3DFF" w:rsidRDefault="008E68EC" w:rsidP="008E68EC">
      <w:pPr>
        <w:jc w:val="both"/>
        <w:rPr>
          <w:rFonts w:ascii="Open Sans" w:hAnsi="Open Sans" w:cs="Open Sans"/>
          <w:sz w:val="20"/>
          <w:szCs w:val="20"/>
        </w:rPr>
      </w:pPr>
    </w:p>
    <w:p w14:paraId="256CB47A"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Declaración Universal de Derechos Humanos de las Naciones Unidas.</w:t>
      </w:r>
    </w:p>
    <w:p w14:paraId="565462B8"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Convenio Internacional sobre Derechos Civiles y Políticos</w:t>
      </w:r>
    </w:p>
    <w:p w14:paraId="7E5C01BC"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Convenio Internacional sobre Derechos Económicos, Sociales y Culturales</w:t>
      </w:r>
    </w:p>
    <w:p w14:paraId="2ABB81C8"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Convenio para la Protección de los Derechos Humanos y Libertades Fundamentales</w:t>
      </w:r>
    </w:p>
    <w:p w14:paraId="766EB27D"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Declaración Tripartita de Principios de Empresas Multinacionales y Política Social de la OIT (así como el principio de representación sindical de sus empleados/as).</w:t>
      </w:r>
    </w:p>
    <w:p w14:paraId="0FC267A4"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Pacto Mundial de las Naciones Unidas</w:t>
      </w:r>
    </w:p>
    <w:p w14:paraId="300EA65E" w14:textId="77777777" w:rsidR="008E68EC" w:rsidRPr="006B3DFF" w:rsidRDefault="008E68EC" w:rsidP="000B70C9">
      <w:pPr>
        <w:numPr>
          <w:ilvl w:val="0"/>
          <w:numId w:val="39"/>
        </w:numPr>
        <w:jc w:val="both"/>
        <w:rPr>
          <w:rFonts w:ascii="Open Sans" w:hAnsi="Open Sans" w:cs="Arial"/>
          <w:sz w:val="20"/>
          <w:szCs w:val="20"/>
          <w:lang w:val="en-GB"/>
        </w:rPr>
      </w:pPr>
      <w:r w:rsidRPr="006B3DFF">
        <w:rPr>
          <w:rFonts w:ascii="Open Sans" w:hAnsi="Open Sans" w:cs="Arial"/>
          <w:sz w:val="20"/>
          <w:szCs w:val="20"/>
          <w:lang w:val="en-GB"/>
        </w:rPr>
        <w:t>Global Reporting Initiative (GRI)</w:t>
      </w:r>
    </w:p>
    <w:p w14:paraId="3D1128EF" w14:textId="77777777" w:rsidR="008E68EC" w:rsidRPr="006B3DFF" w:rsidRDefault="008E68EC" w:rsidP="000B70C9">
      <w:pPr>
        <w:numPr>
          <w:ilvl w:val="0"/>
          <w:numId w:val="39"/>
        </w:numPr>
        <w:jc w:val="both"/>
        <w:rPr>
          <w:rFonts w:ascii="Open Sans" w:hAnsi="Open Sans" w:cs="Arial"/>
          <w:sz w:val="20"/>
          <w:szCs w:val="20"/>
          <w:lang w:val="en-GB"/>
        </w:rPr>
      </w:pPr>
      <w:r w:rsidRPr="006B3DFF">
        <w:rPr>
          <w:rFonts w:ascii="Open Sans" w:hAnsi="Open Sans" w:cs="Arial"/>
          <w:sz w:val="20"/>
          <w:szCs w:val="20"/>
          <w:lang w:val="en-GB"/>
        </w:rPr>
        <w:t>AA1000</w:t>
      </w:r>
    </w:p>
    <w:p w14:paraId="565C28EC" w14:textId="77777777" w:rsidR="008E68EC" w:rsidRPr="006B3DFF" w:rsidRDefault="008E68EC" w:rsidP="000B70C9">
      <w:pPr>
        <w:numPr>
          <w:ilvl w:val="0"/>
          <w:numId w:val="39"/>
        </w:numPr>
        <w:jc w:val="both"/>
        <w:rPr>
          <w:rFonts w:ascii="Open Sans" w:hAnsi="Open Sans" w:cs="Arial"/>
          <w:sz w:val="20"/>
          <w:szCs w:val="20"/>
          <w:lang w:val="en-GB"/>
        </w:rPr>
      </w:pPr>
      <w:r w:rsidRPr="006B3DFF">
        <w:rPr>
          <w:rFonts w:ascii="Open Sans" w:hAnsi="Open Sans" w:cs="Arial"/>
          <w:sz w:val="20"/>
          <w:szCs w:val="20"/>
          <w:lang w:val="en-GB"/>
        </w:rPr>
        <w:t>Código de Buenas Prácticas</w:t>
      </w:r>
    </w:p>
    <w:p w14:paraId="289AC63E" w14:textId="77777777" w:rsidR="008E68EC" w:rsidRPr="006B3DFF" w:rsidRDefault="008E68EC" w:rsidP="000B70C9">
      <w:pPr>
        <w:numPr>
          <w:ilvl w:val="0"/>
          <w:numId w:val="39"/>
        </w:numPr>
        <w:jc w:val="both"/>
        <w:rPr>
          <w:rFonts w:ascii="Open Sans" w:hAnsi="Open Sans" w:cs="Arial"/>
          <w:sz w:val="20"/>
          <w:szCs w:val="20"/>
        </w:rPr>
      </w:pPr>
      <w:r w:rsidRPr="006B3DFF">
        <w:rPr>
          <w:rFonts w:ascii="Open Sans" w:hAnsi="Open Sans" w:cs="Arial"/>
          <w:sz w:val="20"/>
          <w:szCs w:val="20"/>
        </w:rPr>
        <w:t>Objetivos de Desarrollo Sostenible (Naciones Unidas)</w:t>
      </w:r>
    </w:p>
    <w:p w14:paraId="54B41090" w14:textId="77777777" w:rsidR="008E68EC" w:rsidRPr="006B3DFF" w:rsidRDefault="008E68EC" w:rsidP="008E68EC">
      <w:pPr>
        <w:jc w:val="both"/>
        <w:rPr>
          <w:rFonts w:ascii="Open Sans" w:hAnsi="Open Sans" w:cs="Open Sans"/>
          <w:sz w:val="20"/>
          <w:szCs w:val="20"/>
        </w:rPr>
      </w:pPr>
    </w:p>
    <w:p w14:paraId="1AEC4E90" w14:textId="77777777" w:rsidR="008E68EC" w:rsidRPr="006B3DFF" w:rsidRDefault="008E68EC" w:rsidP="008E68EC">
      <w:pPr>
        <w:jc w:val="both"/>
        <w:rPr>
          <w:rFonts w:ascii="Open Sans" w:hAnsi="Open Sans" w:cs="Open Sans"/>
          <w:sz w:val="20"/>
          <w:szCs w:val="20"/>
          <w:u w:val="single"/>
        </w:rPr>
      </w:pPr>
    </w:p>
    <w:p w14:paraId="768EB384" w14:textId="77777777" w:rsidR="008E68EC" w:rsidRPr="006B3DFF" w:rsidRDefault="008E68EC" w:rsidP="008E68EC">
      <w:pPr>
        <w:jc w:val="both"/>
        <w:rPr>
          <w:rFonts w:ascii="Open Sans" w:hAnsi="Open Sans" w:cs="Open Sans"/>
          <w:sz w:val="20"/>
          <w:szCs w:val="20"/>
          <w:u w:val="single"/>
        </w:rPr>
      </w:pPr>
      <w:r w:rsidRPr="006B3DFF">
        <w:rPr>
          <w:rFonts w:ascii="Open Sans" w:hAnsi="Open Sans" w:cs="Open Sans"/>
          <w:sz w:val="20"/>
          <w:szCs w:val="20"/>
          <w:u w:val="single"/>
        </w:rPr>
        <w:t>Documentos incluidos en el análisis</w:t>
      </w:r>
    </w:p>
    <w:p w14:paraId="5B89BA8C" w14:textId="77777777" w:rsidR="008E68EC" w:rsidRPr="006B3DFF" w:rsidRDefault="008E68EC" w:rsidP="008E68EC">
      <w:pPr>
        <w:ind w:firstLine="709"/>
        <w:jc w:val="both"/>
        <w:rPr>
          <w:rFonts w:ascii="Open Sans" w:hAnsi="Open Sans" w:cs="Open Sans"/>
          <w:sz w:val="20"/>
          <w:szCs w:val="20"/>
        </w:rPr>
      </w:pPr>
    </w:p>
    <w:p w14:paraId="4DC686C4"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542CFB59" w14:textId="77777777" w:rsidR="008E68EC" w:rsidRPr="006B3DFF" w:rsidRDefault="008E68EC" w:rsidP="008E68EC">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8E68EC" w:rsidRPr="006B3DFF" w14:paraId="7F683DC3" w14:textId="77777777" w:rsidTr="008E68E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5CB35F9F" w14:textId="77777777" w:rsidR="008E68EC" w:rsidRPr="006B3DFF" w:rsidRDefault="008E68EC" w:rsidP="008E68EC">
            <w:pPr>
              <w:jc w:val="center"/>
              <w:rPr>
                <w:rFonts w:ascii="Open Sans" w:hAnsi="Open Sans"/>
              </w:rPr>
            </w:pPr>
            <w:r w:rsidRPr="006B3DFF">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68682BE1" w14:textId="77777777" w:rsidR="008E68EC" w:rsidRPr="006B3DFF" w:rsidRDefault="008E68EC" w:rsidP="008E68EC">
            <w:pPr>
              <w:jc w:val="center"/>
              <w:rPr>
                <w:rFonts w:ascii="Open Sans" w:hAnsi="Open Sans"/>
              </w:rPr>
            </w:pPr>
            <w:r w:rsidRPr="006B3DFF">
              <w:rPr>
                <w:rFonts w:ascii="Open Sans" w:hAnsi="Open Sans" w:cs="Arial"/>
                <w:b/>
                <w:sz w:val="20"/>
                <w:szCs w:val="22"/>
              </w:rPr>
              <w:t>OBSERVACIONES</w:t>
            </w:r>
          </w:p>
        </w:tc>
      </w:tr>
      <w:tr w:rsidR="008E68EC" w:rsidRPr="006B3DFF" w14:paraId="77A2B1EA" w14:textId="77777777" w:rsidTr="008E68E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5D1658AD"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Código Ético y de Conducta</w:t>
            </w:r>
            <w:r w:rsidRPr="006B3DFF">
              <w:rPr>
                <w:rFonts w:ascii="Open Sans" w:eastAsia="Arial Unicode MS" w:hAnsi="Open Sans" w:cs="Arial"/>
                <w:sz w:val="20"/>
                <w:szCs w:val="20"/>
              </w:rPr>
              <w:tab/>
            </w:r>
            <w:r w:rsidRPr="006B3DFF">
              <w:rPr>
                <w:rFonts w:ascii="Open Sans" w:eastAsia="Arial Unicode MS" w:hAnsi="Open Sans" w:cs="Arial"/>
                <w:sz w:val="20"/>
                <w:szCs w:val="20"/>
              </w:rPr>
              <w:tab/>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D54C1FC"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 CEYC</w:t>
            </w:r>
          </w:p>
        </w:tc>
      </w:tr>
      <w:tr w:rsidR="008E68EC" w:rsidRPr="006B3DFF" w14:paraId="1CE4B07F" w14:textId="77777777" w:rsidTr="008E68E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7906840"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Informe Anual de Bankia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9FC3E09"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 IAB2015</w:t>
            </w:r>
          </w:p>
        </w:tc>
      </w:tr>
      <w:tr w:rsidR="008E68EC" w:rsidRPr="006B3DFF" w14:paraId="7E0EB1D3" w14:textId="77777777" w:rsidTr="008E68E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0C53A7B8"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Política de Gestión Responsable</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0055FE70"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 PGR</w:t>
            </w:r>
          </w:p>
        </w:tc>
      </w:tr>
      <w:tr w:rsidR="008E68EC" w:rsidRPr="006B3DFF" w14:paraId="07F17164" w14:textId="77777777" w:rsidTr="008E68E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14C8F321"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 xml:space="preserve">Informe bancario Anual </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7C23E412"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 IBA</w:t>
            </w:r>
          </w:p>
        </w:tc>
      </w:tr>
      <w:tr w:rsidR="008E68EC" w:rsidRPr="006B3DFF" w14:paraId="565AD74E" w14:textId="77777777" w:rsidTr="008E68E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497BDB4" w14:textId="77777777" w:rsidR="008E68EC" w:rsidRPr="006B3DFF" w:rsidRDefault="008E68EC" w:rsidP="008E68EC">
            <w:pPr>
              <w:snapToGrid w:val="0"/>
              <w:ind w:right="170"/>
              <w:jc w:val="both"/>
              <w:rPr>
                <w:rFonts w:ascii="Open Sans" w:eastAsia="Arial Unicode MS" w:hAnsi="Open Sans" w:cs="Tahoma"/>
                <w:sz w:val="20"/>
                <w:szCs w:val="20"/>
              </w:rPr>
            </w:pPr>
            <w:r w:rsidRPr="006B3DFF">
              <w:rPr>
                <w:rFonts w:ascii="Open Sans" w:eastAsia="Arial Unicode MS" w:hAnsi="Open Sans" w:cs="Arial"/>
                <w:sz w:val="20"/>
                <w:szCs w:val="20"/>
              </w:rPr>
              <w:t>Cuentas anuales consolidadas e informe de gestión</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bottom"/>
          </w:tcPr>
          <w:p w14:paraId="5C557AF4"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Siglas:CAC</w:t>
            </w:r>
          </w:p>
        </w:tc>
      </w:tr>
      <w:tr w:rsidR="008E68EC" w:rsidRPr="006B3DFF" w14:paraId="3C0DBA16" w14:textId="77777777" w:rsidTr="008E68E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76029E0E" w14:textId="77777777" w:rsidR="008E68EC" w:rsidRPr="006B3DFF" w:rsidRDefault="008E68EC" w:rsidP="008E68EC">
            <w:pPr>
              <w:snapToGrid w:val="0"/>
              <w:ind w:right="170"/>
              <w:jc w:val="both"/>
              <w:rPr>
                <w:rFonts w:ascii="Open Sans" w:eastAsia="Arial Unicode MS" w:hAnsi="Open Sans" w:cs="Tahoma"/>
                <w:sz w:val="20"/>
                <w:szCs w:val="20"/>
              </w:rPr>
            </w:pPr>
            <w:r w:rsidRPr="006B3DFF">
              <w:rPr>
                <w:rFonts w:ascii="Open Sans" w:eastAsia="Arial Unicode MS" w:hAnsi="Open Sans" w:cs="Arial"/>
                <w:sz w:val="20"/>
                <w:szCs w:val="20"/>
              </w:rPr>
              <w:t>Política Fiscal</w:t>
            </w:r>
            <w:r w:rsidRPr="006B3DFF">
              <w:rPr>
                <w:rFonts w:ascii="Open Sans" w:eastAsia="Arial Unicode MS" w:hAnsi="Open Sans" w:cs="Arial"/>
                <w:sz w:val="20"/>
                <w:szCs w:val="20"/>
              </w:rPr>
              <w:tab/>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bottom"/>
          </w:tcPr>
          <w:p w14:paraId="5D766D4E"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 xml:space="preserve">Sólo se ha tenido acceso a un resumen de la política fiscal. </w:t>
            </w:r>
          </w:p>
          <w:p w14:paraId="234C2AAB"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 PF</w:t>
            </w:r>
          </w:p>
        </w:tc>
      </w:tr>
      <w:tr w:rsidR="008E68EC" w:rsidRPr="006B3DFF" w14:paraId="5E984256" w14:textId="77777777" w:rsidTr="008E68E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vAlign w:val="bottom"/>
          </w:tcPr>
          <w:p w14:paraId="75A8C145"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Código Ético y de Conducta</w:t>
            </w:r>
            <w:r w:rsidRPr="006B3DFF">
              <w:rPr>
                <w:rFonts w:ascii="Open Sans" w:eastAsia="Arial Unicode MS" w:hAnsi="Open Sans" w:cs="Arial"/>
                <w:sz w:val="20"/>
                <w:szCs w:val="20"/>
              </w:rPr>
              <w:tab/>
            </w:r>
            <w:r w:rsidRPr="006B3DFF">
              <w:rPr>
                <w:rFonts w:ascii="Open Sans" w:eastAsia="Arial Unicode MS" w:hAnsi="Open Sans" w:cs="Arial"/>
                <w:sz w:val="20"/>
                <w:szCs w:val="20"/>
              </w:rPr>
              <w:tab/>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660B67C1" w14:textId="77777777" w:rsidR="008E68EC" w:rsidRPr="006B3DFF" w:rsidRDefault="008E68EC" w:rsidP="008E68EC">
            <w:pPr>
              <w:snapToGrid w:val="0"/>
              <w:ind w:right="170"/>
              <w:jc w:val="both"/>
              <w:rPr>
                <w:rFonts w:ascii="Open Sans" w:eastAsia="Arial Unicode MS" w:hAnsi="Open Sans" w:cs="Arial"/>
                <w:sz w:val="20"/>
                <w:szCs w:val="20"/>
              </w:rPr>
            </w:pPr>
            <w:r w:rsidRPr="006B3DFF">
              <w:rPr>
                <w:rFonts w:ascii="Open Sans" w:eastAsia="Arial Unicode MS" w:hAnsi="Open Sans" w:cs="Arial"/>
                <w:sz w:val="20"/>
                <w:szCs w:val="20"/>
              </w:rPr>
              <w:t>Siglas: CEYC</w:t>
            </w:r>
          </w:p>
        </w:tc>
      </w:tr>
    </w:tbl>
    <w:p w14:paraId="1235B450" w14:textId="77777777" w:rsidR="008E68EC" w:rsidRPr="006B3DFF" w:rsidRDefault="008E68EC" w:rsidP="008E68EC">
      <w:pPr>
        <w:jc w:val="both"/>
        <w:rPr>
          <w:rFonts w:ascii="Open Sans" w:hAnsi="Open Sans" w:cs="Open Sans"/>
          <w:b/>
          <w:sz w:val="20"/>
          <w:szCs w:val="20"/>
        </w:rPr>
      </w:pPr>
    </w:p>
    <w:p w14:paraId="31531716" w14:textId="77777777" w:rsidR="008E68EC" w:rsidRPr="006B3DFF" w:rsidRDefault="008E68EC" w:rsidP="008E68EC">
      <w:pPr>
        <w:jc w:val="both"/>
        <w:rPr>
          <w:rFonts w:ascii="Open Sans" w:hAnsi="Open Sans" w:cs="Open Sans"/>
          <w:b/>
          <w:sz w:val="20"/>
          <w:szCs w:val="20"/>
        </w:rPr>
      </w:pPr>
      <w:r w:rsidRPr="006B3DFF">
        <w:rPr>
          <w:rFonts w:ascii="Open Sans" w:hAnsi="Open Sans" w:cs="Open Sans"/>
          <w:b/>
          <w:sz w:val="20"/>
          <w:szCs w:val="20"/>
        </w:rPr>
        <w:br w:type="page"/>
      </w:r>
    </w:p>
    <w:p w14:paraId="5BA97F68" w14:textId="77777777" w:rsidR="008E68EC" w:rsidRPr="006B3DFF" w:rsidRDefault="008E68EC" w:rsidP="008E68EC">
      <w:pPr>
        <w:jc w:val="both"/>
        <w:rPr>
          <w:rFonts w:ascii="Open Sans" w:hAnsi="Open Sans" w:cs="Open Sans"/>
          <w:b/>
          <w:sz w:val="22"/>
          <w:szCs w:val="22"/>
          <w:u w:val="single"/>
        </w:rPr>
      </w:pPr>
      <w:r w:rsidRPr="006B3DFF">
        <w:rPr>
          <w:rFonts w:ascii="Open Sans" w:hAnsi="Open Sans" w:cs="Open Sans"/>
          <w:b/>
          <w:sz w:val="22"/>
          <w:szCs w:val="22"/>
          <w:u w:val="single"/>
        </w:rPr>
        <w:t>2. Tabla de resultados</w:t>
      </w:r>
    </w:p>
    <w:p w14:paraId="10899F83" w14:textId="77777777" w:rsidR="008E68EC" w:rsidRPr="006B3DFF" w:rsidRDefault="008E68EC" w:rsidP="008E68EC">
      <w:pPr>
        <w:jc w:val="center"/>
        <w:rPr>
          <w:rFonts w:ascii="Open Sans" w:hAnsi="Open Sans" w:cs="Open Sans"/>
          <w:b/>
          <w:color w:val="FF0000"/>
          <w:sz w:val="20"/>
          <w:szCs w:val="20"/>
        </w:rPr>
      </w:pPr>
    </w:p>
    <w:p w14:paraId="0AB91931" w14:textId="77777777" w:rsidR="008E68EC" w:rsidRPr="006B3DFF" w:rsidRDefault="008E68EC" w:rsidP="008E68EC">
      <w:pPr>
        <w:jc w:val="center"/>
        <w:rPr>
          <w:rFonts w:ascii="Open Sans" w:hAnsi="Open Sans" w:cs="Open Sans"/>
          <w:b/>
          <w:color w:val="FF0000"/>
          <w:sz w:val="20"/>
          <w:szCs w:val="20"/>
        </w:rPr>
      </w:pPr>
    </w:p>
    <w:p w14:paraId="7A0833E8" w14:textId="77777777" w:rsidR="008E68EC" w:rsidRPr="006B3DFF" w:rsidRDefault="008E68EC" w:rsidP="008E68EC">
      <w:pPr>
        <w:suppressAutoHyphens/>
        <w:jc w:val="center"/>
        <w:rPr>
          <w:rFonts w:ascii="Open Sans" w:hAnsi="Open Sans" w:cs="Arial"/>
          <w:b/>
          <w:sz w:val="20"/>
          <w:szCs w:val="22"/>
          <w:u w:val="single"/>
          <w:lang w:eastAsia="ar-SA"/>
        </w:rPr>
      </w:pPr>
      <w:r w:rsidRPr="006B3DFF">
        <w:rPr>
          <w:rFonts w:ascii="Open Sans" w:hAnsi="Open Sans" w:cs="Arial"/>
          <w:b/>
          <w:sz w:val="20"/>
          <w:szCs w:val="22"/>
          <w:u w:val="single"/>
          <w:lang w:eastAsia="ar-SA"/>
        </w:rPr>
        <w:t>TABLA 1: Valoraciones por dimensión</w:t>
      </w:r>
    </w:p>
    <w:p w14:paraId="27BC3395" w14:textId="77777777" w:rsidR="008E68EC" w:rsidRPr="006B3DFF" w:rsidRDefault="008E68EC" w:rsidP="008E68EC">
      <w:pPr>
        <w:rPr>
          <w:rFonts w:ascii="Open Sans" w:hAnsi="Open Sans" w:cs="Arial"/>
          <w:b/>
        </w:rPr>
      </w:pPr>
    </w:p>
    <w:p w14:paraId="7A13AEF8" w14:textId="52722269" w:rsidR="008E68EC" w:rsidRPr="006B3DFF" w:rsidRDefault="008E68EC" w:rsidP="008E68EC">
      <w:pPr>
        <w:jc w:val="center"/>
        <w:rPr>
          <w:rFonts w:ascii="Open Sans" w:hAnsi="Open Sans"/>
        </w:rPr>
      </w:pPr>
      <w:r>
        <w:rPr>
          <w:rFonts w:ascii="Open Sans" w:hAnsi="Open Sans"/>
          <w:noProof/>
          <w:lang w:val="es-ES"/>
        </w:rPr>
        <w:drawing>
          <wp:inline distT="0" distB="0" distL="0" distR="0" wp14:anchorId="596D9CB4" wp14:editId="42B5C5CD">
            <wp:extent cx="3688080" cy="1828800"/>
            <wp:effectExtent l="0" t="0" r="0" b="0"/>
            <wp:docPr id="16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3688080" cy="1828800"/>
                    </a:xfrm>
                    <a:prstGeom prst="rect">
                      <a:avLst/>
                    </a:prstGeom>
                    <a:noFill/>
                    <a:ln>
                      <a:noFill/>
                    </a:ln>
                  </pic:spPr>
                </pic:pic>
              </a:graphicData>
            </a:graphic>
          </wp:inline>
        </w:drawing>
      </w:r>
    </w:p>
    <w:p w14:paraId="602C6A1C" w14:textId="77777777" w:rsidR="008E68EC" w:rsidRPr="006B3DFF" w:rsidRDefault="008E68EC" w:rsidP="008E68EC">
      <w:pPr>
        <w:jc w:val="center"/>
        <w:rPr>
          <w:rFonts w:ascii="Open Sans" w:hAnsi="Open Sans" w:cs="Open Sans"/>
          <w:b/>
          <w:color w:val="FF0000"/>
          <w:sz w:val="20"/>
          <w:szCs w:val="20"/>
        </w:rPr>
      </w:pPr>
    </w:p>
    <w:p w14:paraId="22EFA47E" w14:textId="77777777" w:rsidR="008E68EC" w:rsidRPr="006B3DFF" w:rsidRDefault="008E68EC" w:rsidP="008E68EC">
      <w:pPr>
        <w:jc w:val="center"/>
        <w:rPr>
          <w:rFonts w:ascii="Open Sans" w:hAnsi="Open Sans" w:cs="Open Sans"/>
          <w:b/>
          <w:color w:val="FF0000"/>
          <w:sz w:val="20"/>
          <w:szCs w:val="20"/>
        </w:rPr>
      </w:pPr>
    </w:p>
    <w:p w14:paraId="5E8633F6" w14:textId="77777777" w:rsidR="008E68EC" w:rsidRPr="006B3DFF" w:rsidRDefault="008E68EC" w:rsidP="008E68EC">
      <w:pPr>
        <w:jc w:val="center"/>
        <w:rPr>
          <w:rFonts w:ascii="Open Sans" w:hAnsi="Open Sans" w:cs="Open Sans"/>
          <w:b/>
          <w:color w:val="FF0000"/>
          <w:sz w:val="20"/>
          <w:szCs w:val="20"/>
        </w:rPr>
      </w:pPr>
    </w:p>
    <w:p w14:paraId="5D845B6D" w14:textId="77777777" w:rsidR="008E68EC" w:rsidRPr="006B3DFF" w:rsidRDefault="008E68EC" w:rsidP="008E68EC">
      <w:pPr>
        <w:rPr>
          <w:rFonts w:ascii="Open Sans" w:hAnsi="Open Sans" w:cs="Open Sans"/>
          <w:b/>
          <w:sz w:val="20"/>
          <w:szCs w:val="20"/>
        </w:rPr>
      </w:pPr>
    </w:p>
    <w:p w14:paraId="39B4567D" w14:textId="77777777" w:rsidR="008E68EC" w:rsidRPr="006B3DFF" w:rsidRDefault="008E68EC" w:rsidP="008E68EC">
      <w:pPr>
        <w:jc w:val="center"/>
        <w:rPr>
          <w:rFonts w:ascii="Open Sans" w:hAnsi="Open Sans" w:cs="Open Sans"/>
          <w:b/>
          <w:sz w:val="20"/>
          <w:szCs w:val="20"/>
        </w:rPr>
      </w:pPr>
    </w:p>
    <w:p w14:paraId="5666D6D8" w14:textId="77777777" w:rsidR="008E68EC" w:rsidRPr="006B3DFF" w:rsidRDefault="008E68EC" w:rsidP="008E68EC">
      <w:pPr>
        <w:jc w:val="both"/>
        <w:rPr>
          <w:rFonts w:ascii="Open Sans" w:hAnsi="Open Sans" w:cs="Open Sans"/>
          <w:b/>
          <w:sz w:val="22"/>
          <w:szCs w:val="22"/>
        </w:rPr>
      </w:pPr>
      <w:r w:rsidRPr="006B3DFF">
        <w:rPr>
          <w:rFonts w:ascii="Open Sans" w:hAnsi="Open Sans" w:cs="Open Sans"/>
          <w:b/>
          <w:sz w:val="22"/>
          <w:szCs w:val="22"/>
          <w:u w:val="single"/>
        </w:rPr>
        <w:t>3. Contexto general</w:t>
      </w:r>
    </w:p>
    <w:p w14:paraId="424D09B7" w14:textId="77777777" w:rsidR="008E68EC" w:rsidRPr="006B3DFF" w:rsidRDefault="008E68EC" w:rsidP="008E68EC">
      <w:pPr>
        <w:autoSpaceDE w:val="0"/>
        <w:autoSpaceDN w:val="0"/>
        <w:adjustRightInd w:val="0"/>
        <w:jc w:val="both"/>
        <w:rPr>
          <w:rFonts w:ascii="Open Sans" w:hAnsi="Open Sans" w:cs="Open Sans"/>
          <w:sz w:val="20"/>
          <w:szCs w:val="20"/>
        </w:rPr>
      </w:pPr>
    </w:p>
    <w:p w14:paraId="207A84E1" w14:textId="77777777" w:rsidR="008E68EC" w:rsidRPr="006B3DFF" w:rsidRDefault="008E68EC" w:rsidP="008E68EC">
      <w:pPr>
        <w:jc w:val="both"/>
        <w:rPr>
          <w:rFonts w:ascii="Open Sans" w:hAnsi="Open Sans" w:cs="Arial"/>
          <w:sz w:val="20"/>
          <w:szCs w:val="20"/>
        </w:rPr>
      </w:pPr>
      <w:r w:rsidRPr="006B3DFF">
        <w:rPr>
          <w:rFonts w:ascii="Open Sans" w:hAnsi="Open Sans" w:cs="Arial"/>
          <w:sz w:val="20"/>
          <w:szCs w:val="20"/>
        </w:rPr>
        <w:t>En 2015 ha finalizado el primer plan estratégico de Bankia. La entidad afirma haber cumplido con sus objetivos y con todos aquellos establecidos por la Comisión Europea en el Plan de Reestructuración del Grupo BFA-Bankia para 2017. BFA- Bankia ha recibió una inyección de capital por un total de 22.424 millones de euros por parte del Estado a través del FROB, que en un primer momento se convierte en el único accionista de Bankia siendo en la actualidad el accionista mayoritario con un total del 64,23% del capital.</w:t>
      </w:r>
    </w:p>
    <w:p w14:paraId="17486596" w14:textId="77777777" w:rsidR="008E68EC" w:rsidRPr="006B3DFF" w:rsidRDefault="008E68EC" w:rsidP="008E68EC">
      <w:pPr>
        <w:jc w:val="both"/>
        <w:rPr>
          <w:rFonts w:ascii="Open Sans" w:hAnsi="Open Sans" w:cs="Arial"/>
          <w:sz w:val="20"/>
          <w:szCs w:val="20"/>
        </w:rPr>
      </w:pPr>
    </w:p>
    <w:p w14:paraId="4F6DE7A9" w14:textId="77777777" w:rsidR="008E68EC" w:rsidRPr="006B3DFF" w:rsidRDefault="008E68EC" w:rsidP="008E68EC">
      <w:pPr>
        <w:jc w:val="both"/>
        <w:rPr>
          <w:rFonts w:ascii="Open Sans" w:hAnsi="Open Sans" w:cs="Arial"/>
          <w:sz w:val="20"/>
          <w:szCs w:val="20"/>
        </w:rPr>
      </w:pPr>
      <w:r w:rsidRPr="006B3DFF">
        <w:rPr>
          <w:rFonts w:ascii="Open Sans" w:hAnsi="Open Sans" w:cs="Arial"/>
          <w:sz w:val="20"/>
          <w:szCs w:val="20"/>
        </w:rPr>
        <w:t>El grupo Bankia cuenta con unos activos totales a final de ejercicio de 206.970 millones de euros, gestiona 155.402 millones de euros de clientes y tiene concedidos créditos por valor de 110.570 millones de euros. Tiene un coeficiente de solvencia de 13,89 y cuenta con una capitalización de 12.370 millones de euros. Al 31 de diciembre de 2105 la acción cotiza en el mercado continuo a 1,074 euros, un 13,2% menos que en  diciembre de 2014. Cuenta con una red de 1.941 oficinas y 13.318 empleados.</w:t>
      </w:r>
    </w:p>
    <w:p w14:paraId="465D12C4" w14:textId="77777777" w:rsidR="008E68EC" w:rsidRPr="006B3DFF" w:rsidRDefault="008E68EC" w:rsidP="008E68EC">
      <w:pPr>
        <w:jc w:val="both"/>
        <w:rPr>
          <w:rFonts w:ascii="Open Sans" w:hAnsi="Open Sans" w:cs="Arial"/>
          <w:sz w:val="20"/>
          <w:szCs w:val="20"/>
        </w:rPr>
      </w:pPr>
    </w:p>
    <w:p w14:paraId="7BA5B0E8" w14:textId="77777777" w:rsidR="008E68EC" w:rsidRPr="006B3DFF" w:rsidRDefault="008E68EC" w:rsidP="008E68EC">
      <w:pPr>
        <w:jc w:val="both"/>
        <w:rPr>
          <w:rFonts w:ascii="Open Sans" w:hAnsi="Open Sans" w:cs="Arial"/>
          <w:sz w:val="20"/>
          <w:szCs w:val="20"/>
        </w:rPr>
      </w:pPr>
      <w:r w:rsidRPr="006B3DFF">
        <w:rPr>
          <w:rFonts w:ascii="Open Sans" w:hAnsi="Open Sans" w:cs="Arial"/>
          <w:sz w:val="20"/>
          <w:szCs w:val="20"/>
        </w:rPr>
        <w:t>En mayo de 2013 el Consejo de Administración de Bankia autorizó la venta de City National Bank of Florida, mediante la transmisión por parte de la sociedad participada Bankia Inversiones Financieras, S.A.U. del 100% de las acciones de la compañía CM Florida Holdings Inc, a la entidad chilena Banco de Crédito e Inversiones (BCI). El 21 de septiembre de 2015 la Reserva Federal de los Estados Unidos (Federal Reserve Board) autorizó la adquisición de las acciones por parte del BCI, de manera que la operación de venta se ejecutó el 16 de octubre de 2015, generando para el Grupo Bankia una plusvalía neta de 117 millones de euros.</w:t>
      </w:r>
    </w:p>
    <w:p w14:paraId="1E80ADF8" w14:textId="77777777" w:rsidR="008E68EC" w:rsidRPr="006B3DFF" w:rsidRDefault="008E68EC" w:rsidP="008E68EC">
      <w:pPr>
        <w:jc w:val="both"/>
        <w:rPr>
          <w:rFonts w:ascii="Open Sans" w:hAnsi="Open Sans" w:cs="Arial"/>
          <w:sz w:val="20"/>
          <w:szCs w:val="20"/>
        </w:rPr>
      </w:pPr>
    </w:p>
    <w:p w14:paraId="499EB5F8" w14:textId="77777777" w:rsidR="008E68EC" w:rsidRPr="006B3DFF" w:rsidRDefault="008E68EC" w:rsidP="008E68EC">
      <w:pPr>
        <w:shd w:val="clear" w:color="auto" w:fill="FFFFFF"/>
        <w:jc w:val="both"/>
        <w:rPr>
          <w:rFonts w:ascii="Open Sans" w:hAnsi="Open Sans" w:cs="Arial"/>
          <w:spacing w:val="-1"/>
          <w:sz w:val="20"/>
          <w:szCs w:val="20"/>
        </w:rPr>
      </w:pPr>
      <w:r w:rsidRPr="006B3DFF">
        <w:rPr>
          <w:rFonts w:ascii="Open Sans" w:hAnsi="Open Sans" w:cs="Arial"/>
          <w:spacing w:val="-1"/>
          <w:sz w:val="20"/>
          <w:szCs w:val="20"/>
        </w:rPr>
        <w:t xml:space="preserve">La entidad presenta un </w:t>
      </w:r>
      <w:r w:rsidRPr="006B3DFF">
        <w:rPr>
          <w:rFonts w:ascii="Open Sans" w:hAnsi="Open Sans" w:cs="Arial"/>
          <w:sz w:val="20"/>
          <w:szCs w:val="20"/>
        </w:rPr>
        <w:t xml:space="preserve">Beneficio atribuido de 1.040 millones de €.  Para este año, se nuevo se ha </w:t>
      </w:r>
      <w:r w:rsidRPr="006B3DFF">
        <w:rPr>
          <w:rFonts w:ascii="Open Sans" w:hAnsi="Open Sans" w:cs="Arial"/>
          <w:spacing w:val="-1"/>
          <w:sz w:val="20"/>
          <w:szCs w:val="20"/>
        </w:rPr>
        <w:t xml:space="preserve">reforzado la eficiencia (43,6%) y rentabilidad sobre recursos propios (10,65), reduciendo particularmente la morosidad (al 10,8%) y saneando el balance a través del plan de desinversión en negocios no estratégicos, compromiso contemplado en el plan de restructuración acordado con la Comisión Europea, el Banco de España y el Fondo de Reestructuración Ordenada Bancaria (FROB). </w:t>
      </w:r>
    </w:p>
    <w:p w14:paraId="68B7D1BE" w14:textId="77777777" w:rsidR="008E68EC" w:rsidRPr="006B3DFF" w:rsidRDefault="008E68EC" w:rsidP="008E68EC">
      <w:pPr>
        <w:jc w:val="both"/>
        <w:rPr>
          <w:rFonts w:ascii="Open Sans" w:hAnsi="Open Sans" w:cs="Open Sans"/>
          <w:sz w:val="20"/>
          <w:szCs w:val="20"/>
        </w:rPr>
      </w:pPr>
    </w:p>
    <w:p w14:paraId="6EF66061"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Bankia no cuenta con presencia en los índices de sostenibilidad. Es importante señalar que varios de estos índices, como el  Dow Jones Sustainability y FTSE4Good, comienzan a contemplar los aspectos relativos a transparencia fiscal y fiscalidad responsable como criterios para la selección de empresas</w:t>
      </w:r>
      <w:r w:rsidRPr="006B3DFF">
        <w:rPr>
          <w:rStyle w:val="Refdenotaalpie"/>
          <w:rFonts w:ascii="Open Sans" w:hAnsi="Open Sans" w:cs="Open Sans"/>
          <w:sz w:val="20"/>
          <w:szCs w:val="20"/>
        </w:rPr>
        <w:footnoteReference w:id="440"/>
      </w:r>
      <w:r w:rsidRPr="006B3DFF">
        <w:rPr>
          <w:rFonts w:ascii="Open Sans" w:hAnsi="Open Sans" w:cs="Open Sans"/>
          <w:sz w:val="20"/>
          <w:szCs w:val="20"/>
        </w:rPr>
        <w:t>.</w:t>
      </w:r>
    </w:p>
    <w:p w14:paraId="7CDC5AD4" w14:textId="77777777" w:rsidR="008E68EC" w:rsidRPr="006B3DFF" w:rsidRDefault="008E68EC" w:rsidP="008E68EC">
      <w:pPr>
        <w:jc w:val="both"/>
        <w:rPr>
          <w:rFonts w:ascii="Open Sans" w:hAnsi="Open Sans" w:cs="Open Sans"/>
          <w:sz w:val="20"/>
          <w:szCs w:val="20"/>
        </w:rPr>
      </w:pPr>
    </w:p>
    <w:p w14:paraId="2C955EF1" w14:textId="77777777" w:rsidR="008E68EC" w:rsidRPr="006B3DFF" w:rsidRDefault="008E68EC" w:rsidP="008E68EC">
      <w:pPr>
        <w:jc w:val="both"/>
        <w:rPr>
          <w:rFonts w:ascii="Open Sans" w:hAnsi="Open Sans" w:cs="Open Sans"/>
          <w:sz w:val="20"/>
          <w:szCs w:val="20"/>
        </w:rPr>
      </w:pPr>
    </w:p>
    <w:p w14:paraId="79681AFD" w14:textId="77777777" w:rsidR="008E68EC" w:rsidRPr="006B3DFF" w:rsidRDefault="008E68EC" w:rsidP="008E68EC">
      <w:pPr>
        <w:jc w:val="both"/>
        <w:rPr>
          <w:rFonts w:ascii="Open Sans" w:hAnsi="Open Sans" w:cs="Open Sans"/>
          <w:sz w:val="20"/>
          <w:szCs w:val="20"/>
        </w:rPr>
      </w:pPr>
    </w:p>
    <w:p w14:paraId="29E05B24" w14:textId="77777777" w:rsidR="008E68EC" w:rsidRPr="006B3DFF" w:rsidRDefault="008E68EC" w:rsidP="008E68EC">
      <w:pPr>
        <w:jc w:val="both"/>
        <w:rPr>
          <w:rFonts w:ascii="Open Sans" w:hAnsi="Open Sans" w:cs="Open Sans"/>
          <w:b/>
          <w:sz w:val="22"/>
          <w:szCs w:val="22"/>
          <w:u w:val="single"/>
        </w:rPr>
      </w:pPr>
      <w:r w:rsidRPr="006B3DFF">
        <w:rPr>
          <w:rFonts w:ascii="Open Sans" w:hAnsi="Open Sans" w:cs="Open Sans"/>
          <w:b/>
          <w:sz w:val="22"/>
          <w:szCs w:val="22"/>
          <w:u w:val="single"/>
        </w:rPr>
        <w:t>4. Análisis</w:t>
      </w:r>
    </w:p>
    <w:p w14:paraId="1F15380A" w14:textId="77777777" w:rsidR="008E68EC" w:rsidRPr="006B3DFF" w:rsidRDefault="008E68EC" w:rsidP="008E68EC">
      <w:pPr>
        <w:jc w:val="both"/>
        <w:rPr>
          <w:rFonts w:ascii="Open Sans" w:hAnsi="Open Sans" w:cs="Open Sans"/>
          <w:b/>
          <w:sz w:val="20"/>
          <w:szCs w:val="20"/>
        </w:rPr>
      </w:pPr>
    </w:p>
    <w:p w14:paraId="0C13A7CF"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6919714F" w14:textId="77777777" w:rsidR="008E68EC" w:rsidRPr="006B3DFF" w:rsidRDefault="008E68EC" w:rsidP="008E68EC">
      <w:pPr>
        <w:jc w:val="both"/>
        <w:rPr>
          <w:rFonts w:ascii="Open Sans" w:hAnsi="Open Sans" w:cs="Open Sans"/>
          <w:sz w:val="20"/>
          <w:szCs w:val="20"/>
        </w:rPr>
      </w:pPr>
    </w:p>
    <w:p w14:paraId="101CDDFC"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Con respecto a la presencia territorial de Bankia, a diciembre de 2015 el Grupo Bankia comprendía 5 empresas domiciliadas en paraísos (1) o nichos fiscales (4)</w:t>
      </w:r>
      <w:r w:rsidRPr="006B3DFF">
        <w:rPr>
          <w:rFonts w:ascii="Open Sans" w:hAnsi="Open Sans" w:cs="Open Sans"/>
          <w:i/>
          <w:sz w:val="20"/>
          <w:szCs w:val="20"/>
        </w:rPr>
        <w:t xml:space="preserve"> </w:t>
      </w:r>
      <w:r w:rsidRPr="006B3DFF">
        <w:rPr>
          <w:rFonts w:ascii="Open Sans" w:hAnsi="Open Sans" w:cs="Open Sans"/>
          <w:sz w:val="20"/>
          <w:szCs w:val="20"/>
        </w:rPr>
        <w:t xml:space="preserve">de acuerdo con  la metodología utilizada por el Observatorio de Responsabilidad Social Corporativa para el presente análisis. Esto supone dos sociedades menos que al término del ejercicio 2014. Han salido del perímetro de consolidación, se desconoce si producto de liquidación o de venta, las sociedades Caja Madrid, S.D. Finance BV y Orchid Investment B.V. </w:t>
      </w:r>
    </w:p>
    <w:p w14:paraId="3E7CD0CF" w14:textId="77777777" w:rsidR="008E68EC" w:rsidRPr="006B3DFF" w:rsidRDefault="008E68EC" w:rsidP="008E68EC">
      <w:pPr>
        <w:jc w:val="both"/>
        <w:rPr>
          <w:rFonts w:ascii="Open Sans" w:hAnsi="Open Sans" w:cs="Open Sans"/>
          <w:sz w:val="20"/>
          <w:szCs w:val="20"/>
        </w:rPr>
      </w:pPr>
    </w:p>
    <w:p w14:paraId="55635AE2" w14:textId="77777777" w:rsidR="008E68EC" w:rsidRPr="006B3DFF" w:rsidRDefault="008E68EC" w:rsidP="008E68EC">
      <w:pPr>
        <w:jc w:val="both"/>
        <w:rPr>
          <w:rFonts w:ascii="Open Sans" w:hAnsi="Open Sans" w:cs="Open Sans"/>
          <w:sz w:val="20"/>
          <w:szCs w:val="20"/>
        </w:rPr>
      </w:pPr>
    </w:p>
    <w:tbl>
      <w:tblPr>
        <w:tblW w:w="7814" w:type="dxa"/>
        <w:jc w:val="center"/>
        <w:tblInd w:w="-124" w:type="dxa"/>
        <w:tblLayout w:type="fixed"/>
        <w:tblCellMar>
          <w:left w:w="70" w:type="dxa"/>
          <w:right w:w="70" w:type="dxa"/>
        </w:tblCellMar>
        <w:tblLook w:val="04A0" w:firstRow="1" w:lastRow="0" w:firstColumn="1" w:lastColumn="0" w:noHBand="0" w:noVBand="1"/>
      </w:tblPr>
      <w:tblGrid>
        <w:gridCol w:w="3166"/>
        <w:gridCol w:w="2273"/>
        <w:gridCol w:w="2375"/>
      </w:tblGrid>
      <w:tr w:rsidR="008E68EC" w:rsidRPr="006B3DFF" w14:paraId="376CADAE" w14:textId="77777777" w:rsidTr="008E68EC">
        <w:trPr>
          <w:trHeight w:val="272"/>
          <w:jc w:val="center"/>
        </w:trPr>
        <w:tc>
          <w:tcPr>
            <w:tcW w:w="3166" w:type="dxa"/>
            <w:tcBorders>
              <w:top w:val="single" w:sz="4" w:space="0" w:color="auto"/>
              <w:left w:val="single" w:sz="4" w:space="0" w:color="auto"/>
              <w:bottom w:val="single" w:sz="4" w:space="0" w:color="auto"/>
              <w:right w:val="single" w:sz="4" w:space="0" w:color="auto"/>
            </w:tcBorders>
            <w:shd w:val="clear" w:color="000000" w:fill="BFBFBF"/>
            <w:noWrap/>
            <w:hideMark/>
          </w:tcPr>
          <w:p w14:paraId="5FA26717" w14:textId="77777777" w:rsidR="008E68EC" w:rsidRPr="006B3DFF" w:rsidRDefault="008E68EC" w:rsidP="008E68EC">
            <w:pPr>
              <w:jc w:val="center"/>
              <w:rPr>
                <w:rFonts w:ascii="Open Sans" w:hAnsi="Open Sans" w:cs="Open Sans"/>
                <w:b/>
                <w:bCs/>
                <w:color w:val="000000"/>
                <w:sz w:val="20"/>
                <w:szCs w:val="20"/>
              </w:rPr>
            </w:pPr>
            <w:r w:rsidRPr="006B3DFF">
              <w:rPr>
                <w:rFonts w:ascii="Open Sans" w:hAnsi="Open Sans" w:cs="Open Sans"/>
                <w:b/>
                <w:bCs/>
                <w:color w:val="000000"/>
                <w:sz w:val="20"/>
                <w:szCs w:val="20"/>
              </w:rPr>
              <w:t>Nombre de la Sociedad</w:t>
            </w:r>
          </w:p>
        </w:tc>
        <w:tc>
          <w:tcPr>
            <w:tcW w:w="2273" w:type="dxa"/>
            <w:tcBorders>
              <w:top w:val="single" w:sz="4" w:space="0" w:color="auto"/>
              <w:left w:val="nil"/>
              <w:bottom w:val="single" w:sz="4" w:space="0" w:color="auto"/>
              <w:right w:val="single" w:sz="4" w:space="0" w:color="auto"/>
            </w:tcBorders>
            <w:shd w:val="clear" w:color="000000" w:fill="BFBFBF"/>
            <w:noWrap/>
            <w:hideMark/>
          </w:tcPr>
          <w:p w14:paraId="7459D922" w14:textId="77777777" w:rsidR="008E68EC" w:rsidRPr="006B3DFF" w:rsidRDefault="008E68EC" w:rsidP="008E68EC">
            <w:pPr>
              <w:jc w:val="center"/>
              <w:rPr>
                <w:rFonts w:ascii="Open Sans" w:hAnsi="Open Sans" w:cs="Open Sans"/>
                <w:b/>
                <w:bCs/>
                <w:color w:val="000000"/>
                <w:sz w:val="20"/>
                <w:szCs w:val="20"/>
              </w:rPr>
            </w:pPr>
            <w:r w:rsidRPr="006B3DFF">
              <w:rPr>
                <w:rFonts w:ascii="Open Sans" w:hAnsi="Open Sans" w:cs="Open Sans"/>
                <w:b/>
                <w:bCs/>
                <w:color w:val="000000"/>
                <w:sz w:val="20"/>
                <w:szCs w:val="20"/>
              </w:rPr>
              <w:t>Domicilio</w:t>
            </w:r>
          </w:p>
        </w:tc>
        <w:tc>
          <w:tcPr>
            <w:tcW w:w="2375" w:type="dxa"/>
            <w:tcBorders>
              <w:top w:val="single" w:sz="4" w:space="0" w:color="auto"/>
              <w:left w:val="nil"/>
              <w:bottom w:val="single" w:sz="4" w:space="0" w:color="auto"/>
              <w:right w:val="single" w:sz="4" w:space="0" w:color="auto"/>
            </w:tcBorders>
            <w:shd w:val="clear" w:color="000000" w:fill="BFBFBF"/>
            <w:noWrap/>
            <w:hideMark/>
          </w:tcPr>
          <w:p w14:paraId="35EBF041" w14:textId="77777777" w:rsidR="008E68EC" w:rsidRPr="006B3DFF" w:rsidRDefault="008E68EC" w:rsidP="008E68EC">
            <w:pPr>
              <w:jc w:val="center"/>
              <w:rPr>
                <w:rFonts w:ascii="Open Sans" w:hAnsi="Open Sans" w:cs="Open Sans"/>
                <w:b/>
                <w:bCs/>
                <w:color w:val="000000"/>
                <w:sz w:val="20"/>
                <w:szCs w:val="20"/>
              </w:rPr>
            </w:pPr>
            <w:r w:rsidRPr="006B3DFF">
              <w:rPr>
                <w:rFonts w:ascii="Open Sans" w:hAnsi="Open Sans" w:cs="Open Sans"/>
                <w:b/>
                <w:bCs/>
                <w:color w:val="000000"/>
                <w:sz w:val="20"/>
                <w:szCs w:val="20"/>
              </w:rPr>
              <w:t>Actividad</w:t>
            </w:r>
          </w:p>
        </w:tc>
      </w:tr>
      <w:tr w:rsidR="008E68EC" w:rsidRPr="006B3DFF" w14:paraId="44C16977" w14:textId="77777777" w:rsidTr="008E68EC">
        <w:trPr>
          <w:trHeight w:val="410"/>
          <w:jc w:val="center"/>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5F4FAB4D"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Caymadrid Internacional, Ltd</w:t>
            </w:r>
          </w:p>
        </w:tc>
        <w:tc>
          <w:tcPr>
            <w:tcW w:w="2273" w:type="dxa"/>
            <w:tcBorders>
              <w:top w:val="nil"/>
              <w:left w:val="nil"/>
              <w:bottom w:val="single" w:sz="4" w:space="0" w:color="auto"/>
              <w:right w:val="single" w:sz="4" w:space="0" w:color="auto"/>
            </w:tcBorders>
            <w:shd w:val="clear" w:color="auto" w:fill="auto"/>
            <w:vAlign w:val="center"/>
            <w:hideMark/>
          </w:tcPr>
          <w:p w14:paraId="0E6B8091"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Gran Caimán ISLAS CAIMÁN</w:t>
            </w:r>
          </w:p>
        </w:tc>
        <w:tc>
          <w:tcPr>
            <w:tcW w:w="2375" w:type="dxa"/>
            <w:tcBorders>
              <w:top w:val="nil"/>
              <w:left w:val="nil"/>
              <w:bottom w:val="single" w:sz="4" w:space="0" w:color="auto"/>
              <w:right w:val="single" w:sz="4" w:space="0" w:color="auto"/>
            </w:tcBorders>
            <w:shd w:val="clear" w:color="auto" w:fill="auto"/>
            <w:vAlign w:val="center"/>
            <w:hideMark/>
          </w:tcPr>
          <w:p w14:paraId="4D2FFB1D"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Intermediación financiera</w:t>
            </w:r>
          </w:p>
        </w:tc>
      </w:tr>
      <w:tr w:rsidR="008E68EC" w:rsidRPr="006B3DFF" w14:paraId="383D49ED" w14:textId="77777777" w:rsidTr="008E68EC">
        <w:trPr>
          <w:trHeight w:val="453"/>
          <w:jc w:val="center"/>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4AF7E394"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Portuna Investment, B.V.</w:t>
            </w:r>
          </w:p>
        </w:tc>
        <w:tc>
          <w:tcPr>
            <w:tcW w:w="2273" w:type="dxa"/>
            <w:tcBorders>
              <w:top w:val="nil"/>
              <w:left w:val="nil"/>
              <w:bottom w:val="single" w:sz="4" w:space="0" w:color="auto"/>
              <w:right w:val="single" w:sz="4" w:space="0" w:color="auto"/>
            </w:tcBorders>
            <w:shd w:val="clear" w:color="auto" w:fill="auto"/>
            <w:vAlign w:val="center"/>
            <w:hideMark/>
          </w:tcPr>
          <w:p w14:paraId="22E28D71"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Holanda PAISES BAJOS</w:t>
            </w:r>
          </w:p>
        </w:tc>
        <w:tc>
          <w:tcPr>
            <w:tcW w:w="2375" w:type="dxa"/>
            <w:tcBorders>
              <w:top w:val="nil"/>
              <w:left w:val="nil"/>
              <w:bottom w:val="single" w:sz="4" w:space="0" w:color="auto"/>
              <w:right w:val="single" w:sz="4" w:space="0" w:color="auto"/>
            </w:tcBorders>
            <w:shd w:val="clear" w:color="auto" w:fill="auto"/>
            <w:vAlign w:val="center"/>
            <w:hideMark/>
          </w:tcPr>
          <w:p w14:paraId="6858F85F"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Inmobiliaria</w:t>
            </w:r>
          </w:p>
        </w:tc>
      </w:tr>
      <w:tr w:rsidR="008E68EC" w:rsidRPr="006B3DFF" w14:paraId="1762F3F8" w14:textId="77777777" w:rsidTr="008E68EC">
        <w:trPr>
          <w:trHeight w:val="432"/>
          <w:jc w:val="center"/>
        </w:trPr>
        <w:tc>
          <w:tcPr>
            <w:tcW w:w="3166" w:type="dxa"/>
            <w:tcBorders>
              <w:top w:val="nil"/>
              <w:left w:val="single" w:sz="4" w:space="0" w:color="auto"/>
              <w:bottom w:val="single" w:sz="4" w:space="0" w:color="auto"/>
              <w:right w:val="single" w:sz="4" w:space="0" w:color="auto"/>
            </w:tcBorders>
            <w:shd w:val="clear" w:color="auto" w:fill="auto"/>
            <w:vAlign w:val="center"/>
            <w:hideMark/>
          </w:tcPr>
          <w:p w14:paraId="2249D4C7"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Riviera Maya Investment, B.V.</w:t>
            </w:r>
          </w:p>
        </w:tc>
        <w:tc>
          <w:tcPr>
            <w:tcW w:w="2273" w:type="dxa"/>
            <w:tcBorders>
              <w:top w:val="nil"/>
              <w:left w:val="nil"/>
              <w:bottom w:val="single" w:sz="4" w:space="0" w:color="auto"/>
              <w:right w:val="single" w:sz="4" w:space="0" w:color="auto"/>
            </w:tcBorders>
            <w:shd w:val="clear" w:color="auto" w:fill="auto"/>
            <w:vAlign w:val="center"/>
            <w:hideMark/>
          </w:tcPr>
          <w:p w14:paraId="05749B4E"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Holanda  PAISES BAJOS</w:t>
            </w:r>
          </w:p>
        </w:tc>
        <w:tc>
          <w:tcPr>
            <w:tcW w:w="2375" w:type="dxa"/>
            <w:tcBorders>
              <w:top w:val="nil"/>
              <w:left w:val="nil"/>
              <w:bottom w:val="single" w:sz="4" w:space="0" w:color="auto"/>
              <w:right w:val="single" w:sz="4" w:space="0" w:color="auto"/>
            </w:tcBorders>
            <w:shd w:val="clear" w:color="auto" w:fill="auto"/>
            <w:vAlign w:val="center"/>
            <w:hideMark/>
          </w:tcPr>
          <w:p w14:paraId="6576BDF9"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Inmobiliaria</w:t>
            </w:r>
          </w:p>
        </w:tc>
      </w:tr>
      <w:tr w:rsidR="008E68EC" w:rsidRPr="006B3DFF" w14:paraId="747530A0" w14:textId="77777777" w:rsidTr="008E68EC">
        <w:trPr>
          <w:trHeight w:val="410"/>
          <w:jc w:val="center"/>
        </w:trPr>
        <w:tc>
          <w:tcPr>
            <w:tcW w:w="3166" w:type="dxa"/>
            <w:tcBorders>
              <w:top w:val="nil"/>
              <w:left w:val="single" w:sz="4" w:space="0" w:color="auto"/>
              <w:bottom w:val="nil"/>
              <w:right w:val="single" w:sz="4" w:space="0" w:color="auto"/>
            </w:tcBorders>
            <w:shd w:val="clear" w:color="auto" w:fill="auto"/>
            <w:vAlign w:val="center"/>
            <w:hideMark/>
          </w:tcPr>
          <w:p w14:paraId="4A3623E5"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Varamitra Real Estates, B.V.</w:t>
            </w:r>
          </w:p>
        </w:tc>
        <w:tc>
          <w:tcPr>
            <w:tcW w:w="2273" w:type="dxa"/>
            <w:tcBorders>
              <w:top w:val="nil"/>
              <w:left w:val="nil"/>
              <w:bottom w:val="nil"/>
              <w:right w:val="single" w:sz="4" w:space="0" w:color="auto"/>
            </w:tcBorders>
            <w:shd w:val="clear" w:color="auto" w:fill="auto"/>
            <w:vAlign w:val="center"/>
            <w:hideMark/>
          </w:tcPr>
          <w:p w14:paraId="1A0BE7E1"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Holanda  PAISES BAJOS</w:t>
            </w:r>
          </w:p>
        </w:tc>
        <w:tc>
          <w:tcPr>
            <w:tcW w:w="2375" w:type="dxa"/>
            <w:tcBorders>
              <w:top w:val="nil"/>
              <w:left w:val="nil"/>
              <w:bottom w:val="nil"/>
              <w:right w:val="single" w:sz="4" w:space="0" w:color="auto"/>
            </w:tcBorders>
            <w:shd w:val="clear" w:color="auto" w:fill="auto"/>
            <w:vAlign w:val="center"/>
            <w:hideMark/>
          </w:tcPr>
          <w:p w14:paraId="55CB547D"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Inmobiliaria</w:t>
            </w:r>
          </w:p>
        </w:tc>
      </w:tr>
      <w:tr w:rsidR="008E68EC" w:rsidRPr="006B3DFF" w14:paraId="09A9FADC" w14:textId="77777777" w:rsidTr="008E68EC">
        <w:trPr>
          <w:trHeight w:val="618"/>
          <w:jc w:val="center"/>
        </w:trPr>
        <w:tc>
          <w:tcPr>
            <w:tcW w:w="316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D75592"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Baja California Investments, B.V.</w:t>
            </w:r>
          </w:p>
        </w:tc>
        <w:tc>
          <w:tcPr>
            <w:tcW w:w="2273" w:type="dxa"/>
            <w:tcBorders>
              <w:top w:val="single" w:sz="4" w:space="0" w:color="auto"/>
              <w:left w:val="nil"/>
              <w:bottom w:val="single" w:sz="4" w:space="0" w:color="auto"/>
              <w:right w:val="single" w:sz="4" w:space="0" w:color="auto"/>
            </w:tcBorders>
            <w:shd w:val="clear" w:color="auto" w:fill="auto"/>
            <w:vAlign w:val="center"/>
            <w:hideMark/>
          </w:tcPr>
          <w:p w14:paraId="35FAAE29" w14:textId="77777777" w:rsidR="008E68EC" w:rsidRPr="006B3DFF" w:rsidRDefault="008E68EC" w:rsidP="008E68EC">
            <w:pPr>
              <w:rPr>
                <w:rFonts w:ascii="Open Sans" w:hAnsi="Open Sans" w:cs="Open Sans"/>
                <w:sz w:val="20"/>
                <w:szCs w:val="20"/>
              </w:rPr>
            </w:pPr>
            <w:r w:rsidRPr="006B3DFF">
              <w:rPr>
                <w:rFonts w:ascii="Open Sans" w:hAnsi="Open Sans" w:cs="Open Sans"/>
                <w:sz w:val="20"/>
                <w:szCs w:val="20"/>
              </w:rPr>
              <w:t>Holanda - PAISES BAJOS</w:t>
            </w:r>
          </w:p>
        </w:tc>
        <w:tc>
          <w:tcPr>
            <w:tcW w:w="2375" w:type="dxa"/>
            <w:tcBorders>
              <w:top w:val="single" w:sz="4" w:space="0" w:color="auto"/>
              <w:left w:val="nil"/>
              <w:bottom w:val="single" w:sz="4" w:space="0" w:color="auto"/>
              <w:right w:val="single" w:sz="4" w:space="0" w:color="auto"/>
            </w:tcBorders>
            <w:shd w:val="clear" w:color="auto" w:fill="auto"/>
            <w:vAlign w:val="center"/>
            <w:hideMark/>
          </w:tcPr>
          <w:p w14:paraId="6CF838DA" w14:textId="77777777" w:rsidR="008E68EC" w:rsidRPr="006B3DFF" w:rsidRDefault="008E68EC" w:rsidP="008E68EC">
            <w:pPr>
              <w:rPr>
                <w:rFonts w:ascii="Open Sans" w:hAnsi="Open Sans" w:cs="Arial"/>
                <w:color w:val="000000"/>
                <w:sz w:val="20"/>
                <w:szCs w:val="20"/>
              </w:rPr>
            </w:pPr>
            <w:r w:rsidRPr="006B3DFF">
              <w:rPr>
                <w:rFonts w:ascii="Open Sans" w:hAnsi="Open Sans" w:cs="Arial"/>
                <w:color w:val="000000"/>
                <w:sz w:val="20"/>
                <w:szCs w:val="20"/>
              </w:rPr>
              <w:t>Inmobiliaria</w:t>
            </w:r>
          </w:p>
        </w:tc>
      </w:tr>
    </w:tbl>
    <w:p w14:paraId="5909808B" w14:textId="77777777" w:rsidR="008E68EC" w:rsidRPr="006B3DFF" w:rsidRDefault="008E68EC" w:rsidP="008E68EC">
      <w:pPr>
        <w:jc w:val="right"/>
        <w:rPr>
          <w:rFonts w:ascii="Open Sans" w:hAnsi="Open Sans" w:cs="Open Sans"/>
          <w:sz w:val="20"/>
          <w:szCs w:val="20"/>
        </w:rPr>
      </w:pPr>
    </w:p>
    <w:p w14:paraId="5C953E4B" w14:textId="77777777" w:rsidR="008E68EC" w:rsidRPr="006B3DFF" w:rsidRDefault="008E68EC" w:rsidP="008E68EC">
      <w:pPr>
        <w:jc w:val="both"/>
        <w:rPr>
          <w:rFonts w:ascii="Open Sans" w:hAnsi="Open Sans" w:cs="Open Sans"/>
          <w:sz w:val="20"/>
          <w:szCs w:val="20"/>
        </w:rPr>
      </w:pPr>
    </w:p>
    <w:p w14:paraId="6483AF5E"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En 2015 al igual que en 2014 la entidad sigue presente en los Países Bajos y las Islas Caimán. En las restricciones impuestas en el memorando de Entendimiento (MoU)</w:t>
      </w:r>
      <w:r w:rsidRPr="006B3DFF">
        <w:rPr>
          <w:rStyle w:val="Refdenotaalpie"/>
          <w:rFonts w:ascii="Open Sans" w:hAnsi="Open Sans" w:cs="Open Sans"/>
          <w:sz w:val="20"/>
          <w:szCs w:val="20"/>
        </w:rPr>
        <w:footnoteReference w:id="441"/>
      </w:r>
      <w:r w:rsidRPr="006B3DFF">
        <w:rPr>
          <w:rFonts w:ascii="Open Sans" w:hAnsi="Open Sans" w:cs="Open Sans"/>
          <w:sz w:val="20"/>
          <w:szCs w:val="20"/>
        </w:rPr>
        <w:t xml:space="preserve"> en 2012, se establece que la entidad debe desinvertir de manera continua y progresiva  todo el negocio en el ámbito internacional. De acuerdo con la información facilitada por Bankia la entidad no tiene actividad financiera internacional. Bankia ha continuado durante 2015 su estrategia de saneamiento a través de venta de empresas participadas, y la reducción del número de empresas en territorios offshore parece ser un resultado consecuente. Conviene resaltar que  la presencia de empresas internacionales en territorios considerados paraísos o nichos fiscales no es en sí misma ilegal, pero podría representar, si se utilizan para desempeñar estrategias de elusión fiscal, una contradicción con los valores y compromisos asumidos por la empresa en materia de RSC, en especial en lo relativo a la contribución económica y social a los países donde opera y obtiene sus beneficios. </w:t>
      </w:r>
    </w:p>
    <w:p w14:paraId="2AEB871C" w14:textId="77777777" w:rsidR="008E68EC" w:rsidRPr="006B3DFF" w:rsidRDefault="008E68EC" w:rsidP="008E68EC">
      <w:pPr>
        <w:jc w:val="both"/>
        <w:rPr>
          <w:rFonts w:ascii="Open Sans" w:hAnsi="Open Sans" w:cs="Open Sans"/>
          <w:sz w:val="20"/>
          <w:szCs w:val="20"/>
        </w:rPr>
      </w:pPr>
    </w:p>
    <w:p w14:paraId="28AB0E79"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Bankia afirma que “no opera en paraísos fiscales con la finalidad de eludir sus obligaciones fiscales. Y también que Bankia no utiliza estructuras fiscales artificiosas destinadas a la evasión fiscal, que no cumplan con el espíritu de la normativa local o internacional”. Sin embargo no se encontrado información sobre qué considera Bankia paraíso o nicho fiscal. En la documentación analizada no hace referencia ni a la normativa española ni a los Convenios Internacionales aplicables a este respecto. Bankia tampoco se posiciona con respecto a qué considera nicho fiscal. El uso cada vez más frecuente de los nichos fiscales es puesta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6B3DFF">
        <w:rPr>
          <w:rStyle w:val="Refdenotaalpie"/>
          <w:rFonts w:ascii="Open Sans" w:hAnsi="Open Sans" w:cs="Open Sans"/>
          <w:sz w:val="20"/>
          <w:szCs w:val="20"/>
        </w:rPr>
        <w:footnoteReference w:id="442"/>
      </w:r>
      <w:r w:rsidRPr="006B3DFF">
        <w:rPr>
          <w:rFonts w:ascii="Open Sans" w:hAnsi="Open Sans" w:cs="Open Sans"/>
          <w:sz w:val="20"/>
          <w:szCs w:val="20"/>
        </w:rPr>
        <w:t>.</w:t>
      </w:r>
    </w:p>
    <w:p w14:paraId="4556EE81" w14:textId="77777777" w:rsidR="008E68EC" w:rsidRPr="006B3DFF" w:rsidRDefault="008E68EC" w:rsidP="008E68EC">
      <w:pPr>
        <w:jc w:val="both"/>
        <w:rPr>
          <w:rFonts w:ascii="Open Sans" w:hAnsi="Open Sans" w:cs="Open Sans"/>
          <w:sz w:val="20"/>
          <w:szCs w:val="20"/>
        </w:rPr>
      </w:pPr>
    </w:p>
    <w:p w14:paraId="3308ADB2"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 xml:space="preserve">Bankia no facilita información sobre las actividades de compañía  en nichos o paraísos fiscales ni en la Memoria de Sostenibilidad ni en ningún otro documento de los analizados. La única información encontrada a través de la memoria anual del grupo se refiere a la entidad Caymadrid Internacional, Ltd, con razón social en Islas Caimán. La entidad  presenta  las cifras referidas a los activos totales. </w:t>
      </w:r>
    </w:p>
    <w:p w14:paraId="6EFC4F8A" w14:textId="77777777" w:rsidR="008E68EC" w:rsidRPr="006B3DFF" w:rsidRDefault="008E68EC" w:rsidP="008E68EC">
      <w:pPr>
        <w:jc w:val="both"/>
        <w:rPr>
          <w:rFonts w:ascii="Open Sans" w:hAnsi="Open Sans" w:cs="Open Sans"/>
          <w:sz w:val="20"/>
          <w:szCs w:val="20"/>
        </w:rPr>
      </w:pPr>
    </w:p>
    <w:p w14:paraId="60846514"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De la información facilitada por Bankia no es posible conocer el número de empleados vinculados con las sociedades sitas en nichos o paraísos fiscales, actividades realizadas, beneficios e impuestos pagados. La empresa no detalla el número de trabajadores, directos e indirectos, adscritos a cada país y a cada una de las sociedades. En el informe bancario anual facilita la información de los empleados a jornadas completa en España, Estados Unidos, Portugal y resto de países. Para los países o territorios con sociedades sitas en paraísos o nichos fiscales, junto con los adscritos a Cuba y Alemania, aporta la cifra global de 14 empleados.</w:t>
      </w:r>
    </w:p>
    <w:p w14:paraId="5226AB86" w14:textId="77777777" w:rsidR="008E68EC" w:rsidRPr="006B3DFF" w:rsidRDefault="008E68EC" w:rsidP="008E68EC">
      <w:pPr>
        <w:autoSpaceDE w:val="0"/>
        <w:autoSpaceDN w:val="0"/>
        <w:adjustRightInd w:val="0"/>
        <w:jc w:val="both"/>
        <w:rPr>
          <w:rFonts w:ascii="Open Sans" w:hAnsi="Open Sans" w:cs="Open Sans"/>
          <w:sz w:val="20"/>
          <w:szCs w:val="20"/>
        </w:rPr>
      </w:pPr>
    </w:p>
    <w:p w14:paraId="308F05CD"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En el informe de gobierno corporativo menciona que el Consejo de Administración es quien determina la estrategia fiscal, aprueba la política de riesgos, incluidos los fiscales, supervisa los sistemas internos de información y control, aprueba las inversiones que presentan especial riesgo fiscal y la creación o adquisición de participaciones domiciliadas en paraísos fiscales. Por su parte, la Comisión de Auditoría y Cumplimiento supervisa el sistema de gestión de riesgos fiscales e informa al Consejo sobre la creación o compra de participaciones domiciliadas en países o territorios que tengan la con sideración de paraíso fiscal.</w:t>
      </w:r>
    </w:p>
    <w:p w14:paraId="79DE664E" w14:textId="77777777" w:rsidR="008E68EC" w:rsidRPr="006B3DFF" w:rsidRDefault="008E68EC" w:rsidP="008E68EC">
      <w:pPr>
        <w:autoSpaceDE w:val="0"/>
        <w:autoSpaceDN w:val="0"/>
        <w:adjustRightInd w:val="0"/>
        <w:jc w:val="both"/>
        <w:rPr>
          <w:rFonts w:ascii="Open Sans" w:hAnsi="Open Sans" w:cs="Open Sans"/>
          <w:sz w:val="20"/>
          <w:szCs w:val="20"/>
        </w:rPr>
      </w:pPr>
    </w:p>
    <w:p w14:paraId="6407C08F"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Bankia tiene una política fiscal, a la que solamente se tiene acceso a la síntesis no al documento completo, en la que se compromete con “El fomento de la fiscalidad responsable, el impulso de la prevención y el combate contra el fraude y el desarrollo de programas de transparencia son principios que garantizan un desarrollo sostenible y eficaz y se convierten en elementos clave para fomentar la confianza de los diferentes grupos de interés. Los principios fiscales por los que se rige la actividad de Bankia en materia fiscal son: Transparencia, Cumplimiento de obligaciones fiscales y exposición al riesgo. Bankia afirma que a la hora de analizar las operaciones con especial riesgo fiscal, tiene en cuenta el impacto a corto y largo plazo en la reputación corporativa, para los accionistas y clientes, en la relación con los gobiernos y autoridades fiscales, y en otras áreas de la organización. En la política fiscal delega en el Consejo una serie de competencias como la aprobación de operaciones entre entidades vinculadas, operaciones en paraísos fiscales y desinversiones en sociedades, entre otros aspectos. Bankia afirma que la entidad decidió primar a los proveedores respetuosos con sus empleados, con la calidad, con el medioambiente y con los derechos humanos, y evitar la contratación con quienes hayan incurrido en algún incumplimiento legal, fiscal, laboral, ambiental, en materia de seguridad y salud o de derechos humanos. Bankia afirma que dispone un sistema de homologación, no obstante en la documentación facilitada no queda claro cómo la empresa verifica los aspectos relacionados con la fiscalidad.</w:t>
      </w:r>
    </w:p>
    <w:p w14:paraId="18732277" w14:textId="77777777" w:rsidR="008E68EC" w:rsidRPr="006B3DFF" w:rsidRDefault="008E68EC" w:rsidP="008E68EC">
      <w:pPr>
        <w:autoSpaceDE w:val="0"/>
        <w:autoSpaceDN w:val="0"/>
        <w:adjustRightInd w:val="0"/>
        <w:jc w:val="both"/>
        <w:rPr>
          <w:rFonts w:ascii="Open Sans" w:hAnsi="Open Sans" w:cs="Open Sans"/>
          <w:sz w:val="20"/>
          <w:szCs w:val="20"/>
        </w:rPr>
      </w:pPr>
    </w:p>
    <w:p w14:paraId="13FDF405"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 xml:space="preserve">Dentro de la política de gestión responsable también dedica un párrafo a la fiscalidad responsable: Afirma que Bankia asume el compromiso de “Actuar con responsabilidad en la gestión de los negocios y cumplir con las obligaciones fiscales allí donde la compañía tenga actividad, asumiendo el compromiso de transparencia y colaboración con las administraciones tributarias correspondientes.” </w:t>
      </w:r>
    </w:p>
    <w:p w14:paraId="10870D8E" w14:textId="77777777" w:rsidR="008E68EC" w:rsidRPr="006B3DFF" w:rsidRDefault="008E68EC" w:rsidP="008E68EC">
      <w:pPr>
        <w:autoSpaceDE w:val="0"/>
        <w:autoSpaceDN w:val="0"/>
        <w:adjustRightInd w:val="0"/>
        <w:jc w:val="both"/>
        <w:rPr>
          <w:rFonts w:ascii="Open Sans" w:hAnsi="Open Sans" w:cs="Open Sans"/>
          <w:sz w:val="20"/>
          <w:szCs w:val="20"/>
        </w:rPr>
      </w:pPr>
    </w:p>
    <w:p w14:paraId="281FBABB"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Continuando con la gestión de riesgos en materia fiscal, Bankia afirma que  ha desarrollado un sistema de control y gestión de riesgos fiscales, con el asesoramiento de Deloitte, que afecta a todos los departamentos y niveles de la entidad que persigue el correcto cumplimiento de sus obligaciones con la Hacienda Pública. No obstante la entidad no presenta una relación de los riesgos fiscales identificados. Por otra parte sería interesante una explicación de la razón por la que se ha seleccionado a Deloitte. Esta empresa es una de las consultoras implicadas en el  caso de desvío de beneficios a Luxemburgo para evitar el pago de impuestos en los países donde las empresas generan su negocio</w:t>
      </w:r>
      <w:r w:rsidRPr="006B3DFF">
        <w:rPr>
          <w:rStyle w:val="Refdenotaalpie"/>
          <w:rFonts w:ascii="Open Sans" w:hAnsi="Open Sans" w:cs="Open Sans"/>
          <w:sz w:val="20"/>
          <w:szCs w:val="20"/>
        </w:rPr>
        <w:footnoteReference w:id="443"/>
      </w:r>
      <w:r w:rsidRPr="006B3DFF">
        <w:rPr>
          <w:rFonts w:ascii="Open Sans" w:hAnsi="Open Sans" w:cs="Open Sans"/>
          <w:sz w:val="20"/>
          <w:szCs w:val="20"/>
        </w:rPr>
        <w:t xml:space="preserve">. Además </w:t>
      </w:r>
      <w:r w:rsidRPr="006B3DFF">
        <w:rPr>
          <w:rFonts w:ascii="Open Sans" w:hAnsi="Open Sans" w:cs="Open Sans"/>
          <w:bCs/>
          <w:sz w:val="20"/>
          <w:szCs w:val="20"/>
        </w:rPr>
        <w:t xml:space="preserve">Deloitte </w:t>
      </w:r>
      <w:r w:rsidRPr="006B3DFF">
        <w:rPr>
          <w:rFonts w:ascii="Open Sans" w:hAnsi="Open Sans" w:cs="Open Sans"/>
          <w:sz w:val="20"/>
          <w:szCs w:val="20"/>
        </w:rPr>
        <w:t xml:space="preserve">ha sido sancionada con una multa de 12 millones de euros </w:t>
      </w:r>
      <w:r w:rsidRPr="006B3DFF">
        <w:rPr>
          <w:rFonts w:ascii="Open Sans" w:hAnsi="Open Sans" w:cs="Open Sans"/>
          <w:bCs/>
          <w:sz w:val="20"/>
          <w:szCs w:val="20"/>
        </w:rPr>
        <w:t>por "infracciones continuadas muy graves"</w:t>
      </w:r>
      <w:r w:rsidRPr="006B3DFF">
        <w:rPr>
          <w:rFonts w:ascii="Open Sans" w:hAnsi="Open Sans" w:cs="Open Sans"/>
          <w:sz w:val="20"/>
          <w:szCs w:val="20"/>
        </w:rPr>
        <w:t>. También es conveniente recodar que El juez de la Audiencia Nacional Fernando Andreu </w:t>
      </w:r>
      <w:r w:rsidRPr="006B3DFF">
        <w:rPr>
          <w:rFonts w:ascii="Open Sans" w:hAnsi="Open Sans" w:cs="Open Sans"/>
          <w:bCs/>
          <w:sz w:val="20"/>
          <w:szCs w:val="20"/>
        </w:rPr>
        <w:t xml:space="preserve">ha citado a declarar como investigados </w:t>
      </w:r>
      <w:r w:rsidRPr="006B3DFF">
        <w:rPr>
          <w:rFonts w:ascii="Open Sans" w:hAnsi="Open Sans" w:cs="Open Sans"/>
          <w:sz w:val="20"/>
          <w:szCs w:val="20"/>
        </w:rPr>
        <w:t>al representante legal de la auditora Deloitte y a su socio y auditor de Bankia y su matriz Banco Financiero y de Ahorros (BFA), Francisco Celma, en la causa en la que se investiga la fusión y salida a Bolsa de la entidad en julio de 2011</w:t>
      </w:r>
      <w:r w:rsidRPr="006B3DFF">
        <w:rPr>
          <w:rStyle w:val="Refdenotaalpie"/>
          <w:rFonts w:ascii="Open Sans" w:hAnsi="Open Sans" w:cs="Open Sans"/>
          <w:sz w:val="20"/>
          <w:szCs w:val="20"/>
        </w:rPr>
        <w:footnoteReference w:id="444"/>
      </w:r>
      <w:r w:rsidRPr="006B3DFF">
        <w:rPr>
          <w:rFonts w:ascii="Open Sans" w:hAnsi="Open Sans" w:cs="Open Sans"/>
          <w:sz w:val="20"/>
          <w:szCs w:val="20"/>
        </w:rPr>
        <w:t xml:space="preserve">. </w:t>
      </w:r>
    </w:p>
    <w:p w14:paraId="644B6FF9" w14:textId="77777777" w:rsidR="008E68EC" w:rsidRPr="006B3DFF" w:rsidRDefault="008E68EC" w:rsidP="008E68EC">
      <w:pPr>
        <w:autoSpaceDE w:val="0"/>
        <w:autoSpaceDN w:val="0"/>
        <w:adjustRightInd w:val="0"/>
        <w:jc w:val="both"/>
        <w:rPr>
          <w:rFonts w:ascii="Open Sans" w:hAnsi="Open Sans" w:cs="Open Sans"/>
          <w:sz w:val="20"/>
          <w:szCs w:val="20"/>
        </w:rPr>
      </w:pPr>
    </w:p>
    <w:p w14:paraId="3D138DB5"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 xml:space="preserve">En relación a la gestión de los  Riesgos de clientes,  Bankia afirma que  obliga a rechazar la financiación de operaciones con empresas que se haya acreditado que vulneran los derechos humanos en aspectos tales como las condiciones laborales, la libertad de asociación, la seguridad en el trabajo o la igualdad. La existencia de hechos aislados no constituye prueba suficiente de falta de respeto a los derechos fundamentales. Similares restricciones se adoptarán en el caso de actividades ilegales, como el blanqueo de capitales, la financiación del terrorismo, la evasión fiscal, el fraude o la corrupción. La Dirección de Control Interno de Riesgos es la responsable de llevar a cabo un control trimestral para comprobar que no se formalizan operaciones con clientes que desarrollan estas actividades. No obstante, y pese a que la iniciativa es interesante,  no hay información sobre nivel de incumplimiento de acreditados, operaciones rechazadas, procedimientos de supervisión y evaluación realizados por la entidad.  </w:t>
      </w:r>
    </w:p>
    <w:p w14:paraId="323021F6" w14:textId="77777777" w:rsidR="008E68EC" w:rsidRPr="006B3DFF" w:rsidRDefault="008E68EC" w:rsidP="008E68EC">
      <w:pPr>
        <w:autoSpaceDE w:val="0"/>
        <w:autoSpaceDN w:val="0"/>
        <w:adjustRightInd w:val="0"/>
        <w:jc w:val="both"/>
        <w:rPr>
          <w:rFonts w:ascii="Open Sans" w:hAnsi="Open Sans" w:cs="Open Sans"/>
          <w:sz w:val="20"/>
          <w:szCs w:val="20"/>
        </w:rPr>
      </w:pPr>
    </w:p>
    <w:p w14:paraId="7B939F99" w14:textId="77777777" w:rsidR="008E68EC" w:rsidRPr="006B3DFF" w:rsidRDefault="008E68EC" w:rsidP="008E68EC">
      <w:pPr>
        <w:autoSpaceDE w:val="0"/>
        <w:autoSpaceDN w:val="0"/>
        <w:adjustRightInd w:val="0"/>
        <w:jc w:val="both"/>
        <w:rPr>
          <w:rFonts w:ascii="Open Sans" w:hAnsi="Open Sans" w:cs="Open Sans"/>
          <w:sz w:val="20"/>
          <w:szCs w:val="20"/>
        </w:rPr>
      </w:pPr>
      <w:r w:rsidRPr="006B3DFF">
        <w:rPr>
          <w:rFonts w:ascii="Open Sans" w:hAnsi="Open Sans" w:cs="Open Sans"/>
          <w:sz w:val="20"/>
          <w:szCs w:val="20"/>
        </w:rPr>
        <w:t>Bankia está adherida al Código de Buenas Prácticas Tributarias desarrollado por la agencia tributaria.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offshore, que favorecen la evasión fiscal.</w:t>
      </w:r>
    </w:p>
    <w:p w14:paraId="695EAA7D" w14:textId="77777777" w:rsidR="008E68EC" w:rsidRPr="006B3DFF" w:rsidRDefault="008E68EC" w:rsidP="008E68EC">
      <w:pPr>
        <w:jc w:val="both"/>
        <w:rPr>
          <w:rFonts w:ascii="Open Sans" w:hAnsi="Open Sans" w:cs="Open Sans"/>
          <w:sz w:val="20"/>
          <w:szCs w:val="20"/>
        </w:rPr>
      </w:pPr>
    </w:p>
    <w:p w14:paraId="6FBF6BA1"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 xml:space="preserve">Bankia no detalla su estructura societaria a través de participaciones directas e indirectas en aquellas sociedades con una participación superior al 20% del capital. De la información que aparecen en los anexos de las cuentas anuales se extrae que el grupo está confirmado por más de 70 sociedades entre dependientes, asociadas y Sociedades Multigrupo. Sería deseable conocer la estructura societaria del grupo: A través de qué empresas Bankia es accionista, cuando la participación es indirecta, sobre el resto de entidades dependientes. </w:t>
      </w:r>
    </w:p>
    <w:p w14:paraId="1D90E0BF" w14:textId="77777777" w:rsidR="008E68EC" w:rsidRPr="006B3DFF" w:rsidRDefault="008E68EC" w:rsidP="008E68EC">
      <w:pPr>
        <w:jc w:val="both"/>
        <w:rPr>
          <w:rFonts w:ascii="Open Sans" w:eastAsia="Calibri" w:hAnsi="Open Sans" w:cs="Open Sans"/>
          <w:sz w:val="20"/>
          <w:szCs w:val="20"/>
        </w:rPr>
      </w:pPr>
    </w:p>
    <w:p w14:paraId="5A0AD088" w14:textId="77777777" w:rsidR="008E68EC" w:rsidRPr="006B3DFF" w:rsidRDefault="008E68EC" w:rsidP="008E68EC">
      <w:pPr>
        <w:jc w:val="both"/>
        <w:rPr>
          <w:rFonts w:ascii="Open Sans" w:eastAsia="Calibri" w:hAnsi="Open Sans" w:cs="Open Sans"/>
          <w:sz w:val="20"/>
          <w:szCs w:val="20"/>
        </w:rPr>
      </w:pPr>
      <w:r w:rsidRPr="006B3DFF">
        <w:rPr>
          <w:rFonts w:ascii="Open Sans" w:hAnsi="Open Sans" w:cs="Open Sans"/>
          <w:sz w:val="20"/>
          <w:szCs w:val="20"/>
        </w:rPr>
        <w:t xml:space="preserve">En relación a las operaciones intragrupo o vinculadas con sociedades dependientes, Bankia solamente informa de las operaciones de crédito y los débitos de clientes con entidades asociadas, entidades multigrupo y accionistas significativos. No facilita información sobre aspectos como contraparte, salvo el caso de BFA, y condiciones de las operaciones. Tampoco se ha encontrado información sobre la existencia o no de otro tipo de operaciones, más allá de las financieras, entre empresas del grupo. Tampoco informa </w:t>
      </w:r>
      <w:r w:rsidRPr="006B3DFF">
        <w:rPr>
          <w:rFonts w:ascii="Open Sans" w:eastAsia="Calibri" w:hAnsi="Open Sans" w:cs="Open Sans"/>
          <w:sz w:val="20"/>
          <w:szCs w:val="20"/>
        </w:rPr>
        <w:t xml:space="preserve"> desde qué sociedades gestiona los derechos de marca y propiedad intelectual y condiciones asignadas a las mismas. Tener conocimiento en detalle de estas operaciones es fundamental para poder deducir si la empresa está operando a través de su estructura societaria para implementar estrategias de optimización fiscal.  Bankia afirma que las operaciones entre entidades vinculadas se realizan siempre a valor de mercado, aunque no explica los mecanismos existentes para fijar los precios bajo criterios de “mercado”.</w:t>
      </w:r>
    </w:p>
    <w:p w14:paraId="6BEEE6BE" w14:textId="77777777" w:rsidR="008E68EC" w:rsidRPr="006B3DFF" w:rsidRDefault="008E68EC" w:rsidP="008E68EC">
      <w:pPr>
        <w:autoSpaceDE w:val="0"/>
        <w:autoSpaceDN w:val="0"/>
        <w:adjustRightInd w:val="0"/>
        <w:jc w:val="both"/>
        <w:rPr>
          <w:rFonts w:ascii="Open Sans" w:eastAsia="Calibri" w:hAnsi="Open Sans" w:cs="Open Sans"/>
          <w:sz w:val="20"/>
          <w:szCs w:val="20"/>
        </w:rPr>
      </w:pPr>
    </w:p>
    <w:p w14:paraId="4716F219"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Pese a los compromisos de Bankia  en materia fiscal y de responsabilidad social, y en materia de transparencia: “</w:t>
      </w:r>
      <w:r w:rsidRPr="006B3DFF">
        <w:rPr>
          <w:rFonts w:ascii="Open Sans" w:hAnsi="Open Sans" w:cs="Open Sans"/>
          <w:i/>
          <w:sz w:val="20"/>
          <w:szCs w:val="20"/>
        </w:rPr>
        <w:t>Bankia mantiene una política transparente sobre su gestión fiscal y el pago de sus impuestos, cumpliendo así con las exigencias normativas relativas al acceso a la actividad de las entidades de crédito y a la supervisión prudencial de las entidades de crédito y las empresas de inversión</w:t>
      </w:r>
      <w:r w:rsidRPr="006B3DFF">
        <w:rPr>
          <w:rFonts w:ascii="Open Sans" w:hAnsi="Open Sans" w:cs="Open Sans"/>
          <w:sz w:val="20"/>
          <w:szCs w:val="20"/>
        </w:rPr>
        <w:t>.”, la información de la compañía en relación a su contribución en los países en los que tiene presencia y a través de sus sociedades dependientes es poco significativa.  No hay información del pago de impuestos desglosado por país. En el informe bancario anual presenta la siguiente información Denominación, naturaleza y ubicación geográfica de la actividad, volumen de negocio, número de empleados a tiempo completo y resultado bruto antes de impuestos e Impuestos sobre resultados para EEUU, España, Portugal y resto de países. En el resto de países se encuentran agrupados, entre otros, Holanda e Islas Caimán.</w:t>
      </w:r>
    </w:p>
    <w:p w14:paraId="56527249" w14:textId="77777777" w:rsidR="008E68EC" w:rsidRPr="006B3DFF" w:rsidRDefault="008E68EC" w:rsidP="008E68EC">
      <w:pPr>
        <w:autoSpaceDE w:val="0"/>
        <w:autoSpaceDN w:val="0"/>
        <w:adjustRightInd w:val="0"/>
        <w:jc w:val="both"/>
        <w:rPr>
          <w:rFonts w:ascii="Open Sans" w:eastAsia="Calibri" w:hAnsi="Open Sans" w:cs="Open Sans"/>
          <w:sz w:val="20"/>
          <w:szCs w:val="20"/>
        </w:rPr>
      </w:pPr>
    </w:p>
    <w:p w14:paraId="33F7461E"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 xml:space="preserve">En relación al impuesto de sociedades, en las cuentas anuales Bankia  facilita la conciliación entre resultado contable y fiscal. Afirma que el tipo efectivo es de 27,64%. En relación a las deducciones, créditos fiscales, deducciones  la información, aunque no se presenta desglosada por país, es bastante amplia. En el apartado de deducciones  aporta información  sobre cuantías  pendientes de aplicación o compensación por parte del Banco incluyendo su año de origen, concepto e importe. También informa de las bases imponibles negativas del Banco incluyendo su año de origen. La cuantía de la base imponible pendiente de compensación asciende a la cantidad de 10.666.255 y el importe del impuesto diferido deudor contabilizado (crédito fiscal) a la cantidad de 2.249.838. </w:t>
      </w:r>
    </w:p>
    <w:p w14:paraId="3049C072" w14:textId="77777777" w:rsidR="008E68EC" w:rsidRPr="006B3DFF" w:rsidRDefault="008E68EC" w:rsidP="008E68EC">
      <w:pPr>
        <w:jc w:val="both"/>
        <w:rPr>
          <w:rFonts w:ascii="Open Sans" w:hAnsi="Open Sans" w:cs="Open Sans"/>
          <w:sz w:val="20"/>
          <w:szCs w:val="20"/>
        </w:rPr>
      </w:pPr>
    </w:p>
    <w:p w14:paraId="18689D33"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 xml:space="preserve"> En relación a las ayudas subvenciones recibidas, Bankia sólo cuantifica las subvenciones a la formación dentro del indicador GRI EC4 de ayudas significativas recibidas de gobiernos (1.995.600,15 €). Ciertamente, las ayudas a la recapitalización de la entidad por el FROB se formalizaron hasta el mes de diciembre de 2012, pero tampoco en la información referente a dicho ejercicio se consideraban estas ayudas, pues la inyección de capital realizada por el FROB y el MEDE, al ser recuperable, no es considerada ayuda por la entidad. Sí lo es a criterio del Banco de España</w:t>
      </w:r>
      <w:r w:rsidRPr="006B3DFF">
        <w:rPr>
          <w:rFonts w:ascii="Open Sans" w:hAnsi="Open Sans"/>
          <w:sz w:val="20"/>
          <w:szCs w:val="20"/>
          <w:vertAlign w:val="superscript"/>
        </w:rPr>
        <w:footnoteReference w:id="445"/>
      </w:r>
      <w:r w:rsidRPr="006B3DFF">
        <w:rPr>
          <w:rFonts w:ascii="Open Sans" w:hAnsi="Open Sans" w:cs="Open Sans"/>
          <w:sz w:val="20"/>
          <w:szCs w:val="20"/>
        </w:rPr>
        <w:t>. También se considera ayuda parte de los 24.268 millones de euros vivos en garantías EPA y unos 12.000 millones por la adquisición de activos tóxicos a través de la Sareb, según criterio de la Comisión Europea</w:t>
      </w:r>
      <w:r w:rsidRPr="006B3DFF">
        <w:rPr>
          <w:rFonts w:ascii="Open Sans" w:hAnsi="Open Sans" w:cs="Open Sans"/>
          <w:sz w:val="20"/>
          <w:szCs w:val="20"/>
          <w:vertAlign w:val="superscript"/>
        </w:rPr>
        <w:t>18</w:t>
      </w:r>
      <w:r w:rsidRPr="006B3DFF">
        <w:rPr>
          <w:rFonts w:ascii="Open Sans" w:hAnsi="Open Sans" w:cs="Open Sans"/>
          <w:sz w:val="20"/>
          <w:szCs w:val="20"/>
        </w:rPr>
        <w:t xml:space="preserve">. Hay que irse a las cuentas anuales para obtener información más detallada y al margen del apartado de subvenciones. En las cuentas anuales consolidadas, la entidad pública los fondos procedentes de la reestructuración bancaria a través del Frob y las operaciones realizas por la SAREB. En total se transmitieron al SAREB entre operaciones de financiación y activos inmobiliarios 36.644.770 miles de euros en valor bruto a los que se aplicó un descuento de 17.177.373 miles de euros, lo que equivale a un 46,87%. </w:t>
      </w:r>
      <w:r w:rsidRPr="006B3DFF">
        <w:rPr>
          <w:rFonts w:ascii="Open Sans" w:hAnsi="Open Sans" w:cs="Open Sans"/>
          <w:sz w:val="20"/>
          <w:szCs w:val="22"/>
        </w:rPr>
        <w:t xml:space="preserve">Según una información del diario digital el confidencial “Bruselas considera que las ayudas públicas vienen porque el precio pagado por Sareb a los bancos por sus activos (el precio de transferencia) es superior al de mercado. Y como ese sobreprecio no lo habrían conseguido vendiendo los activos en el mercado, es ayuda de Estado. Dicho de otra forma, los descuentos con los que se han traspasado los créditos y los inmuebles al SAREB deberían haber sido mayores (Bruselas lo cifra en el 72% como media y el 75% para los pisos terminados), lo que habría obligado a más provisiones, más pérdidas y más inyecciones de capital público. En vez de eso, se ha pagado un sobreprecio, lo que ha evitado esas inyecciones, pero el impacto es el mismo. Por eso es una ayuda pública”. </w:t>
      </w:r>
    </w:p>
    <w:p w14:paraId="00636175" w14:textId="77777777" w:rsidR="008E68EC" w:rsidRPr="006B3DFF" w:rsidRDefault="008E68EC" w:rsidP="008E68EC">
      <w:pPr>
        <w:jc w:val="both"/>
        <w:rPr>
          <w:rFonts w:ascii="Open Sans" w:hAnsi="Open Sans" w:cs="Open Sans"/>
          <w:sz w:val="20"/>
          <w:szCs w:val="22"/>
        </w:rPr>
      </w:pPr>
    </w:p>
    <w:p w14:paraId="7F9E7441"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Por último en cuanto la relación cooperativa de Bankia con las administraciones tributarias, la entidad afirma que “utiliza canales de comunicación transparentes y éticos tanto con las administraciones tributarias como con otras instituciones y organismos públicos. Las relaciones que Bankia mantiene con los organismos públicos siempre están presididas por los principios de transparencia, confianza mutua, buena fe y lealtad entre las partes.” Pese a esta afirmación la empresa no informa sobre cuáles son esos canales de comunicación y en qué han consistido las acciones de ámbito colaborativo de la entidad con la Administración Pública.</w:t>
      </w:r>
    </w:p>
    <w:p w14:paraId="7CDEEF00" w14:textId="77777777" w:rsidR="008E68EC" w:rsidRPr="006B3DFF" w:rsidRDefault="008E68EC" w:rsidP="008E68EC">
      <w:pPr>
        <w:jc w:val="both"/>
        <w:rPr>
          <w:rFonts w:ascii="Open Sans" w:hAnsi="Open Sans" w:cs="Open Sans"/>
          <w:sz w:val="20"/>
          <w:szCs w:val="20"/>
        </w:rPr>
      </w:pPr>
    </w:p>
    <w:p w14:paraId="0F83D84D"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Al 31 de diciembre de 2015, el Bankia informa que tenía abiertos a inspección por parte de las autoridades fiscales, las declaraciones de los impuestos que le son de aplicación por su actividad correspondientes a los últimos cuatro ejercicios. Con fecha 13 de octubre y 20 de octubre de 2014 se iniciaron las actuaciones inspectoras al Banco al objeto de verificar el cumplimiento de las obligaciones y deberes tributarios. La entidad  detalla en sus cuentas anuales los conceptos y períodos.</w:t>
      </w:r>
    </w:p>
    <w:p w14:paraId="500DBAD8" w14:textId="77777777" w:rsidR="008E68EC" w:rsidRPr="006B3DFF" w:rsidRDefault="008E68EC" w:rsidP="008E68EC">
      <w:pPr>
        <w:jc w:val="both"/>
        <w:rPr>
          <w:rFonts w:ascii="Open Sans" w:hAnsi="Open Sans" w:cs="Open Sans"/>
          <w:sz w:val="20"/>
          <w:szCs w:val="20"/>
        </w:rPr>
      </w:pPr>
    </w:p>
    <w:p w14:paraId="39C5C523" w14:textId="77777777" w:rsidR="008E68EC" w:rsidRPr="006B3DFF" w:rsidRDefault="008E68EC" w:rsidP="008E68EC">
      <w:pPr>
        <w:rPr>
          <w:rFonts w:ascii="Open Sans" w:hAnsi="Open Sans" w:cs="Open Sans"/>
          <w:bCs/>
          <w:sz w:val="20"/>
          <w:szCs w:val="20"/>
        </w:rPr>
      </w:pPr>
    </w:p>
    <w:p w14:paraId="7328B34B" w14:textId="77777777" w:rsidR="008E68EC" w:rsidRPr="006B3DFF" w:rsidRDefault="008E68EC" w:rsidP="008E68EC">
      <w:pPr>
        <w:rPr>
          <w:rFonts w:ascii="Open Sans" w:hAnsi="Open Sans" w:cs="Open Sans"/>
          <w:bCs/>
          <w:sz w:val="22"/>
          <w:szCs w:val="22"/>
          <w:u w:val="single"/>
        </w:rPr>
      </w:pPr>
      <w:r w:rsidRPr="006B3DFF">
        <w:rPr>
          <w:rFonts w:ascii="Open Sans" w:hAnsi="Open Sans" w:cs="Open Sans"/>
          <w:b/>
          <w:sz w:val="22"/>
          <w:szCs w:val="22"/>
          <w:u w:val="single"/>
        </w:rPr>
        <w:t>5. Conclusiones</w:t>
      </w:r>
    </w:p>
    <w:p w14:paraId="7B732D71" w14:textId="77777777" w:rsidR="008E68EC" w:rsidRPr="006B3DFF" w:rsidRDefault="008E68EC" w:rsidP="008E68EC">
      <w:pPr>
        <w:rPr>
          <w:rFonts w:ascii="Open Sans" w:hAnsi="Open Sans" w:cs="Open Sans"/>
          <w:bCs/>
          <w:sz w:val="20"/>
          <w:szCs w:val="20"/>
        </w:rPr>
      </w:pPr>
    </w:p>
    <w:p w14:paraId="0CA34928" w14:textId="77777777" w:rsidR="008E68EC" w:rsidRPr="006B3DFF" w:rsidRDefault="008E68EC" w:rsidP="008E68EC">
      <w:pPr>
        <w:pStyle w:val="Default"/>
        <w:jc w:val="both"/>
        <w:rPr>
          <w:rFonts w:ascii="Open Sans" w:hAnsi="Open Sans" w:cs="Open Sans"/>
          <w:color w:val="auto"/>
          <w:sz w:val="20"/>
          <w:szCs w:val="20"/>
        </w:rPr>
      </w:pPr>
      <w:r w:rsidRPr="006B3DFF">
        <w:rPr>
          <w:rFonts w:ascii="Open Sans" w:hAnsi="Open Sans" w:cs="Open Sans"/>
          <w:color w:val="auto"/>
          <w:sz w:val="20"/>
          <w:szCs w:val="20"/>
        </w:rPr>
        <w:t xml:space="preserve">La valoración global de la transparencia de Bankia en el ámbito fiscal es de </w:t>
      </w:r>
      <w:r w:rsidRPr="006B3DFF">
        <w:rPr>
          <w:rFonts w:ascii="Open Sans" w:hAnsi="Open Sans" w:cs="Open Sans"/>
          <w:b/>
          <w:color w:val="auto"/>
          <w:sz w:val="20"/>
          <w:szCs w:val="20"/>
        </w:rPr>
        <w:t>0,74</w:t>
      </w:r>
      <w:r w:rsidRPr="006B3DFF">
        <w:rPr>
          <w:rFonts w:ascii="Open Sans" w:hAnsi="Open Sans" w:cs="Open Sans"/>
          <w:color w:val="auto"/>
          <w:sz w:val="20"/>
          <w:szCs w:val="20"/>
        </w:rPr>
        <w:t xml:space="preserve"> sobre un máximo de 3. De las dimensiones analizadas, la máxima puntuación se obtiene en los aspectos relacionados con la “política y estrategia fiscal” (1,20), seguidos por “impuestos e incentivos” (0,83), “relaciones con Administraciones Tributarias” (0,60), y “paraísos y nichos fiscales” (0,33). </w:t>
      </w:r>
    </w:p>
    <w:p w14:paraId="6F3A35CE" w14:textId="77777777" w:rsidR="008E68EC" w:rsidRPr="006B3DFF" w:rsidRDefault="008E68EC" w:rsidP="008E68EC">
      <w:pPr>
        <w:jc w:val="both"/>
        <w:rPr>
          <w:rFonts w:ascii="Open Sans" w:hAnsi="Open Sans" w:cs="Open Sans"/>
          <w:sz w:val="20"/>
          <w:szCs w:val="20"/>
        </w:rPr>
      </w:pPr>
    </w:p>
    <w:p w14:paraId="272F1B78"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Tras analizar la documentación publicada por Bankia en relación a su actividad fiscal en 2015 (Informe BFA- Bankia (año 3), Informe de Gobierno Corporativo, Política de gestión responsable, política fiscal, e Informe de Cuentas Anuales, principalmente), se observa que la Compañía cuenta con compromiso en relación a la fiscalidad responsable concretado en una política.</w:t>
      </w:r>
    </w:p>
    <w:p w14:paraId="553D9958" w14:textId="77777777" w:rsidR="008E68EC" w:rsidRPr="006B3DFF" w:rsidRDefault="008E68EC" w:rsidP="008E68EC">
      <w:pPr>
        <w:jc w:val="both"/>
        <w:rPr>
          <w:rFonts w:ascii="Open Sans" w:hAnsi="Open Sans" w:cs="Open Sans"/>
          <w:sz w:val="20"/>
          <w:szCs w:val="20"/>
        </w:rPr>
      </w:pPr>
    </w:p>
    <w:p w14:paraId="37309B23" w14:textId="77777777" w:rsidR="008E68EC" w:rsidRPr="006B3DFF" w:rsidRDefault="008E68EC" w:rsidP="008E68EC">
      <w:pPr>
        <w:jc w:val="both"/>
        <w:rPr>
          <w:rFonts w:ascii="Open Sans" w:hAnsi="Open Sans" w:cs="Open Sans"/>
          <w:sz w:val="20"/>
          <w:szCs w:val="20"/>
        </w:rPr>
      </w:pPr>
      <w:r w:rsidRPr="006B3DFF">
        <w:rPr>
          <w:rFonts w:ascii="Open Sans" w:hAnsi="Open Sans" w:cs="Open Sans"/>
          <w:sz w:val="20"/>
          <w:szCs w:val="20"/>
        </w:rPr>
        <w:t xml:space="preserve">Pese a los compromisos de Bankia en relación a </w:t>
      </w:r>
      <w:proofErr w:type="gramStart"/>
      <w:r w:rsidRPr="006B3DFF">
        <w:rPr>
          <w:rFonts w:ascii="Open Sans" w:hAnsi="Open Sans" w:cs="Open Sans"/>
          <w:sz w:val="20"/>
          <w:szCs w:val="20"/>
        </w:rPr>
        <w:t>un</w:t>
      </w:r>
      <w:proofErr w:type="gramEnd"/>
      <w:r w:rsidRPr="006B3DFF">
        <w:rPr>
          <w:rFonts w:ascii="Open Sans" w:hAnsi="Open Sans" w:cs="Open Sans"/>
          <w:sz w:val="20"/>
          <w:szCs w:val="20"/>
        </w:rPr>
        <w:t xml:space="preserve"> fiscalidad responsable y su adhesión al Código de buenas Prácticas Tributarias, la empresa no lo identifique como un aspecto material. La información suministrada en ocasiones no es clara, ni precisa, ni  cuenta con un desglose suficiente que permita evaluar de manera completa el cumplimiento de los compromisos asumidos por la compañía. No existe un documento independiente de las cuentas anuales dedicado al reporte fiscal con datos concretos e información accesible que evidencien la responsabilidad fiscal del grupo. La mayor parte de la información objeto de análisis hay que extraerla de las cuentas anuales que adoptan un lenguaje técnico y difícilmente comprensible para los no expertos en la materia. La información contenida en la memoria de RSC tiene carácter anecdótico y se limita a exponer un compromiso. </w:t>
      </w:r>
    </w:p>
    <w:p w14:paraId="5EBC6335" w14:textId="77777777" w:rsidR="008E68EC" w:rsidRPr="006B3DFF" w:rsidRDefault="008E68EC" w:rsidP="008E68EC">
      <w:pPr>
        <w:jc w:val="both"/>
        <w:rPr>
          <w:rFonts w:ascii="Open Sans" w:hAnsi="Open Sans" w:cs="Open Sans"/>
          <w:sz w:val="20"/>
          <w:szCs w:val="20"/>
        </w:rPr>
      </w:pPr>
    </w:p>
    <w:p w14:paraId="188E6BCF" w14:textId="7C36CBC1" w:rsidR="00151EF5" w:rsidRDefault="008E68EC" w:rsidP="008E68EC">
      <w:pPr>
        <w:pStyle w:val="Default"/>
        <w:jc w:val="both"/>
        <w:rPr>
          <w:rFonts w:ascii="Open Sans" w:eastAsia="Calibri" w:hAnsi="Open Sans" w:cs="Open Sans"/>
          <w:color w:val="auto"/>
          <w:sz w:val="20"/>
          <w:szCs w:val="20"/>
        </w:rPr>
      </w:pPr>
      <w:r w:rsidRPr="006B3DFF">
        <w:rPr>
          <w:rFonts w:ascii="Open Sans" w:hAnsi="Open Sans" w:cs="Open Sans"/>
          <w:sz w:val="20"/>
          <w:szCs w:val="20"/>
        </w:rPr>
        <w:t>En la documentación analizada no se han encontrado evidencias de que Bankia haya establecido un diálogo, más allá de con la agencia tributaria, con sus grupos de interés en relación a los aspectos fiscales.  No obstante es importante resaltar los avances en la información presentada por la empresa en materia de fiscalidad responsable.</w:t>
      </w:r>
    </w:p>
    <w:p w14:paraId="2ACA9009" w14:textId="77777777" w:rsidR="00151EF5" w:rsidRPr="00B15B38" w:rsidRDefault="00151EF5" w:rsidP="00151EF5">
      <w:pPr>
        <w:pStyle w:val="Default"/>
        <w:jc w:val="both"/>
        <w:rPr>
          <w:rFonts w:ascii="Open Sans" w:eastAsia="Calibri" w:hAnsi="Open Sans" w:cs="Open Sans"/>
          <w:color w:val="auto"/>
          <w:sz w:val="20"/>
          <w:szCs w:val="20"/>
        </w:rPr>
      </w:pPr>
    </w:p>
    <w:p w14:paraId="7BC2A81D" w14:textId="77777777" w:rsidR="00560E9C" w:rsidRDefault="00560E9C">
      <w:pPr>
        <w:rPr>
          <w:rFonts w:ascii="Arial" w:hAnsi="Arial" w:cs="Arial"/>
        </w:rPr>
      </w:pPr>
    </w:p>
    <w:p w14:paraId="357EE0F6" w14:textId="7369F760" w:rsidR="00C53601" w:rsidRDefault="00C53601">
      <w:pPr>
        <w:rPr>
          <w:rFonts w:ascii="Arial" w:hAnsi="Arial" w:cs="Arial"/>
        </w:rPr>
      </w:pPr>
      <w:r>
        <w:rPr>
          <w:rFonts w:ascii="Arial" w:hAnsi="Arial" w:cs="Arial"/>
        </w:rPr>
        <w:br w:type="page"/>
      </w:r>
    </w:p>
    <w:p w14:paraId="4B4B62CD" w14:textId="77777777" w:rsidR="004E732C" w:rsidRDefault="004E732C" w:rsidP="004E732C">
      <w:pPr>
        <w:pBdr>
          <w:top w:val="single" w:sz="4" w:space="1" w:color="000001"/>
          <w:left w:val="single" w:sz="4" w:space="4" w:color="000001"/>
          <w:bottom w:val="single" w:sz="4" w:space="1" w:color="000001"/>
          <w:right w:val="single" w:sz="4" w:space="4" w:color="000001"/>
        </w:pBdr>
        <w:shd w:val="clear" w:color="auto" w:fill="000080"/>
        <w:jc w:val="center"/>
        <w:rPr>
          <w:rFonts w:ascii="Open Sans" w:hAnsi="Open Sans" w:cs="Open Sans"/>
          <w:b/>
          <w:i/>
          <w:color w:val="FFFFFF"/>
          <w:szCs w:val="20"/>
        </w:rPr>
      </w:pPr>
      <w:bookmarkStart w:id="92" w:name="Bankinter"/>
      <w:r>
        <w:rPr>
          <w:rFonts w:ascii="Open Sans" w:hAnsi="Open Sans" w:cs="Open Sans"/>
          <w:b/>
          <w:caps/>
          <w:color w:val="FFFFFF"/>
          <w:szCs w:val="20"/>
        </w:rPr>
        <w:t>Bankinter, S.A.</w:t>
      </w:r>
    </w:p>
    <w:bookmarkEnd w:id="92"/>
    <w:p w14:paraId="261A2306" w14:textId="77777777" w:rsidR="004E732C" w:rsidRDefault="004E732C" w:rsidP="004E732C">
      <w:pPr>
        <w:pBdr>
          <w:top w:val="single" w:sz="4" w:space="1" w:color="000001"/>
          <w:left w:val="single" w:sz="4" w:space="4" w:color="000001"/>
          <w:bottom w:val="single" w:sz="4" w:space="1" w:color="000001"/>
          <w:right w:val="single" w:sz="4" w:space="4" w:color="000001"/>
        </w:pBdr>
        <w:shd w:val="clear" w:color="auto" w:fill="000080"/>
        <w:jc w:val="center"/>
        <w:rPr>
          <w:rFonts w:ascii="Open Sans" w:hAnsi="Open Sans" w:cs="Open Sans"/>
          <w:b/>
          <w:bCs/>
          <w:color w:val="002060"/>
          <w:szCs w:val="20"/>
        </w:rPr>
      </w:pPr>
      <w:r>
        <w:rPr>
          <w:rFonts w:ascii="Open Sans" w:hAnsi="Open Sans" w:cs="Open Sans"/>
          <w:b/>
          <w:i/>
          <w:color w:val="FFFFFF"/>
          <w:szCs w:val="20"/>
        </w:rPr>
        <w:t>(Bankinter)</w:t>
      </w:r>
    </w:p>
    <w:p w14:paraId="53BE5AC5" w14:textId="77777777" w:rsidR="004E732C" w:rsidRDefault="004E732C" w:rsidP="004E732C">
      <w:pPr>
        <w:jc w:val="both"/>
        <w:rPr>
          <w:rFonts w:ascii="Open Sans" w:hAnsi="Open Sans" w:cs="Open Sans"/>
          <w:b/>
          <w:sz w:val="22"/>
          <w:szCs w:val="22"/>
        </w:rPr>
      </w:pPr>
    </w:p>
    <w:p w14:paraId="43440294" w14:textId="77777777" w:rsidR="00F71488" w:rsidRDefault="00F71488" w:rsidP="00F8108C">
      <w:pPr>
        <w:rPr>
          <w:rFonts w:ascii="Arial" w:hAnsi="Arial" w:cs="Arial"/>
        </w:rPr>
      </w:pPr>
    </w:p>
    <w:p w14:paraId="7843287F" w14:textId="77777777" w:rsidR="008E68EC" w:rsidRDefault="008E68EC" w:rsidP="008E68EC">
      <w:pPr>
        <w:jc w:val="both"/>
      </w:pPr>
      <w:r>
        <w:rPr>
          <w:rFonts w:ascii="Open Sans" w:hAnsi="Open Sans" w:cs="Open Sans"/>
          <w:b/>
          <w:sz w:val="22"/>
          <w:szCs w:val="22"/>
          <w:u w:val="single"/>
        </w:rPr>
        <w:t>1. Datos generales de la entidad</w:t>
      </w:r>
    </w:p>
    <w:p w14:paraId="4375804E" w14:textId="77777777" w:rsidR="008E68EC" w:rsidRDefault="008E68EC" w:rsidP="008E68EC">
      <w:pPr>
        <w:jc w:val="both"/>
        <w:rPr>
          <w:rFonts w:ascii="Open Sans" w:hAnsi="Open Sans" w:cs="Open Sans"/>
          <w:b/>
          <w:sz w:val="22"/>
          <w:szCs w:val="22"/>
          <w:u w:val="single"/>
        </w:rPr>
      </w:pPr>
    </w:p>
    <w:p w14:paraId="0DC80708" w14:textId="77777777" w:rsidR="008E68EC" w:rsidRDefault="008E68EC" w:rsidP="008E68EC">
      <w:pPr>
        <w:jc w:val="both"/>
      </w:pPr>
      <w:r>
        <w:rPr>
          <w:rFonts w:ascii="Open Sans" w:eastAsia="Open Sans" w:hAnsi="Open Sans" w:cs="Open Sans"/>
          <w:sz w:val="20"/>
          <w:szCs w:val="20"/>
        </w:rPr>
        <w:t>Bankinter, S.A. sociedad matriz del Grupo Bankinter, tiene por objeto social el desarrollo de la actividad bancaria</w:t>
      </w:r>
      <w:r>
        <w:rPr>
          <w:rStyle w:val="Refdenotaalpie"/>
          <w:rFonts w:ascii="Open Sans" w:eastAsia="Open Sans" w:hAnsi="Open Sans" w:cs="Open Sans"/>
          <w:sz w:val="20"/>
          <w:szCs w:val="20"/>
        </w:rPr>
        <w:footnoteReference w:id="446"/>
      </w:r>
      <w:r>
        <w:rPr>
          <w:rFonts w:ascii="Open Sans" w:eastAsia="Open Sans" w:hAnsi="Open Sans" w:cs="Open Sans"/>
          <w:sz w:val="20"/>
          <w:szCs w:val="20"/>
        </w:rPr>
        <w:t xml:space="preserve"> y aseguradora</w:t>
      </w:r>
      <w:r>
        <w:rPr>
          <w:rStyle w:val="Refdenotaalpie"/>
          <w:rFonts w:ascii="Open Sans" w:eastAsia="Open Sans" w:hAnsi="Open Sans" w:cs="Open Sans"/>
          <w:sz w:val="20"/>
          <w:szCs w:val="20"/>
        </w:rPr>
        <w:footnoteReference w:id="447"/>
      </w:r>
      <w:r>
        <w:rPr>
          <w:rFonts w:ascii="Open Sans" w:eastAsia="Open Sans" w:hAnsi="Open Sans" w:cs="Open Sans"/>
          <w:sz w:val="20"/>
          <w:szCs w:val="20"/>
        </w:rPr>
        <w:t>.</w:t>
      </w:r>
    </w:p>
    <w:p w14:paraId="4DC27773" w14:textId="77777777" w:rsidR="008E68EC" w:rsidRDefault="008E68EC" w:rsidP="008E68EC">
      <w:pPr>
        <w:jc w:val="both"/>
        <w:rPr>
          <w:rFonts w:ascii="Open Sans" w:hAnsi="Open Sans" w:cs="Open Sans"/>
        </w:rPr>
      </w:pPr>
    </w:p>
    <w:p w14:paraId="386D63CC" w14:textId="77777777" w:rsidR="008E68EC" w:rsidRDefault="008E68EC" w:rsidP="008E68EC">
      <w:pPr>
        <w:jc w:val="both"/>
      </w:pPr>
      <w:r>
        <w:rPr>
          <w:rFonts w:ascii="Open Sans" w:eastAsia="Open Sans" w:hAnsi="Open Sans" w:cs="Open Sans"/>
          <w:sz w:val="20"/>
          <w:szCs w:val="20"/>
        </w:rPr>
        <w:t>Adicionalmente a las operaciones que lleva a cabo directamente, el Banco es cabecera de un grupo de entidades dependientes, que se dedican a actividades diversas, fundamentalmente, financiación, gestión de activos, tarjetas de crédito y negocio asegurador, y que constituyen, junto con él, el Grupo Bankinter</w:t>
      </w:r>
      <w:r>
        <w:rPr>
          <w:rStyle w:val="Refdenotaalpie"/>
          <w:rFonts w:ascii="Open Sans" w:eastAsia="Open Sans" w:hAnsi="Open Sans" w:cs="Open Sans"/>
          <w:sz w:val="20"/>
          <w:szCs w:val="20"/>
        </w:rPr>
        <w:footnoteReference w:id="448"/>
      </w:r>
      <w:r>
        <w:rPr>
          <w:rFonts w:ascii="Open Sans" w:eastAsia="Open Sans" w:hAnsi="Open Sans" w:cs="Open Sans"/>
          <w:sz w:val="20"/>
          <w:szCs w:val="20"/>
        </w:rPr>
        <w:t>. Dentro del grupo también se incorpora Bankinter Global Services S. A</w:t>
      </w:r>
      <w:r>
        <w:rPr>
          <w:rStyle w:val="Refdenotaalpie"/>
          <w:rFonts w:ascii="Open Sans" w:eastAsia="Open Sans" w:hAnsi="Open Sans" w:cs="Open Sans"/>
          <w:sz w:val="20"/>
          <w:szCs w:val="20"/>
        </w:rPr>
        <w:footnoteReference w:id="449"/>
      </w:r>
      <w:r>
        <w:rPr>
          <w:rFonts w:ascii="Open Sans" w:eastAsia="Open Sans" w:hAnsi="Open Sans" w:cs="Open Sans"/>
          <w:sz w:val="20"/>
          <w:szCs w:val="20"/>
        </w:rPr>
        <w:t>, empresa que ofrece soluciones informáticas al sector bancario.</w:t>
      </w:r>
    </w:p>
    <w:p w14:paraId="579A6DF6" w14:textId="77777777" w:rsidR="008E68EC" w:rsidRDefault="008E68EC" w:rsidP="008E68EC">
      <w:pPr>
        <w:jc w:val="both"/>
        <w:rPr>
          <w:rFonts w:ascii="Open Sans" w:hAnsi="Open Sans" w:cs="Open Sans"/>
        </w:rPr>
      </w:pPr>
    </w:p>
    <w:p w14:paraId="5A7962F0" w14:textId="77777777" w:rsidR="008E68EC" w:rsidRDefault="008E68EC" w:rsidP="008E68EC">
      <w:pPr>
        <w:jc w:val="both"/>
      </w:pPr>
      <w:r>
        <w:rPr>
          <w:rFonts w:ascii="Open Sans" w:eastAsia="Open Sans" w:hAnsi="Open Sans" w:cs="Open Sans"/>
          <w:sz w:val="20"/>
          <w:szCs w:val="20"/>
        </w:rPr>
        <w:t xml:space="preserve">Bankinter, S.A. ofrece a sus productos / servicios a través de las siguientes áreas y segmentos de negocio: </w:t>
      </w:r>
    </w:p>
    <w:p w14:paraId="7DD57297" w14:textId="77777777" w:rsidR="008E68EC" w:rsidRDefault="008E68EC" w:rsidP="008E68EC">
      <w:pPr>
        <w:jc w:val="both"/>
        <w:rPr>
          <w:rFonts w:ascii="Open Sans" w:hAnsi="Open Sans" w:cs="Open Sans"/>
        </w:rPr>
      </w:pPr>
    </w:p>
    <w:p w14:paraId="009A1028"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Particulares y Extranjeros</w:t>
      </w:r>
    </w:p>
    <w:p w14:paraId="316A8767"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Banca de Empresas</w:t>
      </w:r>
    </w:p>
    <w:p w14:paraId="5ED94F16"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Banca Personal</w:t>
      </w:r>
    </w:p>
    <w:p w14:paraId="51BBEE13"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Banca Privada</w:t>
      </w:r>
    </w:p>
    <w:p w14:paraId="31A9206D"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Banca de Inversión</w:t>
      </w:r>
    </w:p>
    <w:p w14:paraId="404DC10D"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Negocio internacional</w:t>
      </w:r>
    </w:p>
    <w:p w14:paraId="01F3E632" w14:textId="77777777" w:rsidR="008E68EC" w:rsidRDefault="008E68EC" w:rsidP="000B70C9">
      <w:pPr>
        <w:numPr>
          <w:ilvl w:val="0"/>
          <w:numId w:val="41"/>
        </w:numPr>
        <w:tabs>
          <w:tab w:val="clear" w:pos="720"/>
          <w:tab w:val="num" w:pos="0"/>
        </w:tabs>
        <w:suppressAutoHyphens/>
        <w:jc w:val="both"/>
      </w:pPr>
      <w:r>
        <w:rPr>
          <w:rFonts w:ascii="Open Sans" w:eastAsia="Open Sans" w:hAnsi="Open Sans" w:cs="Open Sans"/>
          <w:sz w:val="20"/>
          <w:szCs w:val="20"/>
        </w:rPr>
        <w:t>Mercado de Capitales</w:t>
      </w:r>
    </w:p>
    <w:p w14:paraId="04D2B0CF" w14:textId="77777777" w:rsidR="008E68EC" w:rsidRDefault="008E68EC" w:rsidP="008E68EC">
      <w:pPr>
        <w:ind w:left="1080"/>
        <w:jc w:val="both"/>
        <w:rPr>
          <w:rFonts w:ascii="Open Sans" w:hAnsi="Open Sans" w:cs="Open Sans"/>
          <w:sz w:val="20"/>
          <w:szCs w:val="20"/>
        </w:rPr>
      </w:pPr>
    </w:p>
    <w:p w14:paraId="21D5A1DC" w14:textId="77777777" w:rsidR="008E68EC" w:rsidRDefault="008E68EC" w:rsidP="008E68EC">
      <w:pPr>
        <w:jc w:val="both"/>
      </w:pPr>
      <w:r>
        <w:rPr>
          <w:rFonts w:ascii="Open Sans" w:hAnsi="Open Sans" w:cs="Open Sans"/>
          <w:sz w:val="20"/>
          <w:szCs w:val="20"/>
          <w:u w:val="single"/>
        </w:rPr>
        <w:t xml:space="preserve">Alcance geográfico </w:t>
      </w:r>
    </w:p>
    <w:p w14:paraId="1BAF4949" w14:textId="77777777" w:rsidR="008E68EC" w:rsidRDefault="008E68EC" w:rsidP="008E68EC">
      <w:pPr>
        <w:jc w:val="both"/>
        <w:rPr>
          <w:rFonts w:ascii="Open Sans" w:hAnsi="Open Sans" w:cs="Open Sans"/>
          <w:sz w:val="20"/>
          <w:szCs w:val="20"/>
        </w:rPr>
      </w:pPr>
    </w:p>
    <w:p w14:paraId="2E9B2DFB" w14:textId="77777777" w:rsidR="008E68EC" w:rsidRDefault="008E68EC" w:rsidP="008E68EC">
      <w:pPr>
        <w:jc w:val="both"/>
      </w:pPr>
      <w:r>
        <w:rPr>
          <w:rFonts w:ascii="Open Sans" w:hAnsi="Open Sans" w:cs="Open Sans"/>
          <w:sz w:val="20"/>
          <w:szCs w:val="20"/>
        </w:rPr>
        <w:t xml:space="preserve">Bankinter opera o tiene presencia en los siguientes países: </w:t>
      </w:r>
    </w:p>
    <w:p w14:paraId="123FB7B6" w14:textId="77777777" w:rsidR="008E68EC" w:rsidRDefault="008E68EC" w:rsidP="000B70C9">
      <w:pPr>
        <w:numPr>
          <w:ilvl w:val="0"/>
          <w:numId w:val="40"/>
        </w:numPr>
        <w:suppressAutoHyphens/>
        <w:jc w:val="both"/>
      </w:pPr>
      <w:r>
        <w:rPr>
          <w:rFonts w:ascii="Open Sans" w:eastAsia="Open Sans" w:hAnsi="Open Sans" w:cs="Open Sans"/>
          <w:sz w:val="20"/>
          <w:szCs w:val="20"/>
        </w:rPr>
        <w:t>España</w:t>
      </w:r>
    </w:p>
    <w:p w14:paraId="317781D2" w14:textId="77777777" w:rsidR="008E68EC" w:rsidRDefault="008E68EC" w:rsidP="000B70C9">
      <w:pPr>
        <w:numPr>
          <w:ilvl w:val="0"/>
          <w:numId w:val="40"/>
        </w:numPr>
        <w:suppressAutoHyphens/>
        <w:jc w:val="both"/>
        <w:rPr>
          <w:rFonts w:ascii="Open Sans" w:eastAsia="Open Sans" w:hAnsi="Open Sans" w:cs="Open Sans"/>
          <w:sz w:val="20"/>
          <w:szCs w:val="20"/>
        </w:rPr>
      </w:pPr>
      <w:r>
        <w:rPr>
          <w:rFonts w:ascii="Open Sans" w:eastAsia="Open Sans" w:hAnsi="Open Sans" w:cs="Open Sans"/>
          <w:sz w:val="20"/>
          <w:szCs w:val="20"/>
        </w:rPr>
        <w:t>Irlanda</w:t>
      </w:r>
      <w:r>
        <w:rPr>
          <w:rStyle w:val="Refdenotaalpie"/>
          <w:rFonts w:ascii="Open Sans" w:eastAsia="Open Sans" w:hAnsi="Open Sans" w:cs="Open Sans"/>
          <w:sz w:val="20"/>
          <w:szCs w:val="20"/>
        </w:rPr>
        <w:footnoteReference w:id="450"/>
      </w:r>
    </w:p>
    <w:p w14:paraId="50BC1610" w14:textId="77777777" w:rsidR="008E68EC" w:rsidRDefault="008E68EC" w:rsidP="000B70C9">
      <w:pPr>
        <w:numPr>
          <w:ilvl w:val="0"/>
          <w:numId w:val="40"/>
        </w:numPr>
        <w:suppressAutoHyphens/>
        <w:jc w:val="both"/>
        <w:rPr>
          <w:rFonts w:ascii="Open Sans" w:eastAsia="Open Sans" w:hAnsi="Open Sans" w:cs="Open Sans"/>
          <w:sz w:val="20"/>
          <w:szCs w:val="20"/>
        </w:rPr>
      </w:pPr>
      <w:r>
        <w:rPr>
          <w:rFonts w:ascii="Open Sans" w:eastAsia="Open Sans" w:hAnsi="Open Sans" w:cs="Open Sans"/>
          <w:sz w:val="20"/>
          <w:szCs w:val="20"/>
        </w:rPr>
        <w:t>Luxemburgo</w:t>
      </w:r>
      <w:r>
        <w:rPr>
          <w:rStyle w:val="Refdenotaalpie"/>
          <w:rFonts w:ascii="Open Sans" w:eastAsia="Open Sans" w:hAnsi="Open Sans" w:cs="Open Sans"/>
          <w:sz w:val="20"/>
          <w:szCs w:val="20"/>
        </w:rPr>
        <w:footnoteReference w:id="451"/>
      </w:r>
    </w:p>
    <w:p w14:paraId="5AA751EB" w14:textId="77777777" w:rsidR="008E68EC" w:rsidRPr="00186AFD" w:rsidRDefault="008E68EC" w:rsidP="000B70C9">
      <w:pPr>
        <w:numPr>
          <w:ilvl w:val="0"/>
          <w:numId w:val="40"/>
        </w:numPr>
        <w:suppressAutoHyphens/>
        <w:jc w:val="both"/>
        <w:rPr>
          <w:rFonts w:ascii="Open Sans" w:hAnsi="Open Sans" w:cs="Open Sans"/>
          <w:sz w:val="20"/>
          <w:szCs w:val="20"/>
        </w:rPr>
      </w:pPr>
      <w:r>
        <w:rPr>
          <w:rFonts w:ascii="Open Sans" w:eastAsia="Open Sans" w:hAnsi="Open Sans" w:cs="Open Sans"/>
          <w:sz w:val="20"/>
          <w:szCs w:val="20"/>
        </w:rPr>
        <w:t>Portugal</w:t>
      </w:r>
      <w:r>
        <w:rPr>
          <w:rStyle w:val="Refdenotaalpie"/>
          <w:rFonts w:ascii="Open Sans" w:eastAsia="Open Sans" w:hAnsi="Open Sans" w:cs="Open Sans"/>
          <w:sz w:val="20"/>
          <w:szCs w:val="20"/>
        </w:rPr>
        <w:footnoteReference w:id="452"/>
      </w:r>
    </w:p>
    <w:p w14:paraId="5FFE8E51" w14:textId="77777777" w:rsidR="008E68EC" w:rsidRDefault="008E68EC" w:rsidP="008E68EC">
      <w:pPr>
        <w:jc w:val="both"/>
      </w:pPr>
      <w:r>
        <w:rPr>
          <w:rFonts w:ascii="Open Sans" w:hAnsi="Open Sans" w:cs="Open Sans"/>
          <w:sz w:val="20"/>
          <w:szCs w:val="20"/>
          <w:u w:val="single"/>
        </w:rPr>
        <w:t>Cifras relevantes de la empresa:</w:t>
      </w:r>
    </w:p>
    <w:p w14:paraId="43A6B37C" w14:textId="77777777" w:rsidR="008E68EC" w:rsidRDefault="008E68EC" w:rsidP="008E68EC">
      <w:pPr>
        <w:jc w:val="both"/>
        <w:rPr>
          <w:rFonts w:ascii="Open Sans" w:hAnsi="Open Sans" w:cs="Open Sans"/>
          <w:sz w:val="20"/>
          <w:szCs w:val="20"/>
          <w:u w:val="single"/>
        </w:rPr>
      </w:pPr>
    </w:p>
    <w:p w14:paraId="6D4071C3" w14:textId="77777777" w:rsidR="008E68EC" w:rsidRDefault="008E68EC" w:rsidP="008E68EC">
      <w:pPr>
        <w:jc w:val="both"/>
        <w:rPr>
          <w:rFonts w:ascii="Open Sans" w:hAnsi="Open Sans" w:cs="Open Sans"/>
          <w:sz w:val="20"/>
          <w:szCs w:val="20"/>
          <w:u w:val="single"/>
        </w:rPr>
      </w:pPr>
    </w:p>
    <w:tbl>
      <w:tblPr>
        <w:tblW w:w="0" w:type="auto"/>
        <w:tblInd w:w="1047" w:type="dxa"/>
        <w:tblLayout w:type="fixed"/>
        <w:tblCellMar>
          <w:top w:w="55" w:type="dxa"/>
          <w:left w:w="55" w:type="dxa"/>
          <w:bottom w:w="55" w:type="dxa"/>
          <w:right w:w="55" w:type="dxa"/>
        </w:tblCellMar>
        <w:tblLook w:val="0000" w:firstRow="0" w:lastRow="0" w:firstColumn="0" w:lastColumn="0" w:noHBand="0" w:noVBand="0"/>
      </w:tblPr>
      <w:tblGrid>
        <w:gridCol w:w="3910"/>
        <w:gridCol w:w="2439"/>
      </w:tblGrid>
      <w:tr w:rsidR="008E68EC" w14:paraId="6D3F85C0" w14:textId="77777777" w:rsidTr="008E68EC">
        <w:tc>
          <w:tcPr>
            <w:tcW w:w="3910" w:type="dxa"/>
            <w:tcBorders>
              <w:top w:val="single" w:sz="1" w:space="0" w:color="000000"/>
              <w:left w:val="single" w:sz="1" w:space="0" w:color="000000"/>
              <w:bottom w:val="single" w:sz="1" w:space="0" w:color="000000"/>
            </w:tcBorders>
            <w:shd w:val="clear" w:color="auto" w:fill="auto"/>
          </w:tcPr>
          <w:p w14:paraId="5C593E40" w14:textId="77777777" w:rsidR="008E68EC" w:rsidRDefault="008E68EC" w:rsidP="008E68EC">
            <w:pPr>
              <w:pStyle w:val="Contenidodelatabla"/>
              <w:jc w:val="center"/>
            </w:pPr>
            <w:r>
              <w:rPr>
                <w:rFonts w:ascii="Open Sans" w:hAnsi="Open Sans" w:cs="Open Sans"/>
                <w:b/>
                <w:bCs/>
                <w:i/>
                <w:iCs/>
                <w:sz w:val="20"/>
                <w:szCs w:val="20"/>
              </w:rPr>
              <w:t>Concepto</w:t>
            </w:r>
          </w:p>
        </w:tc>
        <w:tc>
          <w:tcPr>
            <w:tcW w:w="2439" w:type="dxa"/>
            <w:tcBorders>
              <w:top w:val="single" w:sz="1" w:space="0" w:color="000000"/>
              <w:left w:val="single" w:sz="1" w:space="0" w:color="000000"/>
              <w:bottom w:val="single" w:sz="1" w:space="0" w:color="000000"/>
              <w:right w:val="single" w:sz="1" w:space="0" w:color="000000"/>
            </w:tcBorders>
            <w:shd w:val="clear" w:color="auto" w:fill="auto"/>
          </w:tcPr>
          <w:p w14:paraId="66B5F331" w14:textId="77777777" w:rsidR="008E68EC" w:rsidRDefault="008E68EC" w:rsidP="008E68EC">
            <w:pPr>
              <w:pStyle w:val="Contenidodelatabla"/>
              <w:jc w:val="center"/>
            </w:pPr>
            <w:r>
              <w:rPr>
                <w:rFonts w:ascii="Open Sans" w:hAnsi="Open Sans" w:cs="Open Sans"/>
                <w:b/>
                <w:bCs/>
                <w:i/>
                <w:iCs/>
                <w:sz w:val="20"/>
                <w:szCs w:val="20"/>
              </w:rPr>
              <w:t>Importe en miles € (m€)</w:t>
            </w:r>
          </w:p>
        </w:tc>
      </w:tr>
      <w:tr w:rsidR="008E68EC" w14:paraId="6F046A28" w14:textId="77777777" w:rsidTr="008E68EC">
        <w:tc>
          <w:tcPr>
            <w:tcW w:w="3910" w:type="dxa"/>
            <w:tcBorders>
              <w:left w:val="single" w:sz="1" w:space="0" w:color="000000"/>
              <w:bottom w:val="single" w:sz="1" w:space="0" w:color="000000"/>
            </w:tcBorders>
            <w:shd w:val="clear" w:color="auto" w:fill="auto"/>
          </w:tcPr>
          <w:p w14:paraId="38FB069E" w14:textId="77777777" w:rsidR="008E68EC" w:rsidRDefault="008E68EC" w:rsidP="008E68EC">
            <w:pPr>
              <w:jc w:val="both"/>
            </w:pPr>
            <w:r>
              <w:rPr>
                <w:rFonts w:ascii="Open Sans" w:hAnsi="Open Sans" w:cs="Open Sans"/>
                <w:sz w:val="20"/>
                <w:szCs w:val="20"/>
              </w:rPr>
              <w:t>Patrimonio Neto</w:t>
            </w:r>
          </w:p>
        </w:tc>
        <w:tc>
          <w:tcPr>
            <w:tcW w:w="2439" w:type="dxa"/>
            <w:tcBorders>
              <w:left w:val="single" w:sz="1" w:space="0" w:color="000000"/>
              <w:bottom w:val="single" w:sz="1" w:space="0" w:color="000000"/>
              <w:right w:val="single" w:sz="1" w:space="0" w:color="000000"/>
            </w:tcBorders>
            <w:shd w:val="clear" w:color="auto" w:fill="auto"/>
          </w:tcPr>
          <w:p w14:paraId="1139BC95" w14:textId="77777777" w:rsidR="008E68EC" w:rsidRDefault="008E68EC" w:rsidP="008E68EC">
            <w:pPr>
              <w:pStyle w:val="Contenidodelatabla"/>
              <w:ind w:right="227"/>
              <w:jc w:val="center"/>
            </w:pPr>
            <w:r>
              <w:rPr>
                <w:rFonts w:ascii="Open Sans" w:hAnsi="Open Sans" w:cs="Open Sans"/>
                <w:sz w:val="20"/>
                <w:szCs w:val="20"/>
              </w:rPr>
              <w:t>3.798.177</w:t>
            </w:r>
          </w:p>
        </w:tc>
      </w:tr>
      <w:tr w:rsidR="008E68EC" w14:paraId="70122287" w14:textId="77777777" w:rsidTr="008E68EC">
        <w:tc>
          <w:tcPr>
            <w:tcW w:w="3910" w:type="dxa"/>
            <w:tcBorders>
              <w:left w:val="single" w:sz="1" w:space="0" w:color="000000"/>
              <w:bottom w:val="single" w:sz="1" w:space="0" w:color="000000"/>
            </w:tcBorders>
            <w:shd w:val="clear" w:color="auto" w:fill="auto"/>
          </w:tcPr>
          <w:p w14:paraId="17696C0E" w14:textId="77777777" w:rsidR="008E68EC" w:rsidRDefault="008E68EC" w:rsidP="008E68EC">
            <w:pPr>
              <w:jc w:val="both"/>
            </w:pPr>
            <w:r>
              <w:rPr>
                <w:rFonts w:ascii="Open Sans" w:hAnsi="Open Sans" w:cs="Open Sans"/>
                <w:sz w:val="20"/>
                <w:szCs w:val="20"/>
              </w:rPr>
              <w:t>Fondos Propios</w:t>
            </w:r>
          </w:p>
        </w:tc>
        <w:tc>
          <w:tcPr>
            <w:tcW w:w="2439" w:type="dxa"/>
            <w:tcBorders>
              <w:left w:val="single" w:sz="1" w:space="0" w:color="000000"/>
              <w:bottom w:val="single" w:sz="1" w:space="0" w:color="000000"/>
              <w:right w:val="single" w:sz="1" w:space="0" w:color="000000"/>
            </w:tcBorders>
            <w:shd w:val="clear" w:color="auto" w:fill="auto"/>
          </w:tcPr>
          <w:p w14:paraId="426321BD" w14:textId="77777777" w:rsidR="008E68EC" w:rsidRDefault="008E68EC" w:rsidP="008E68EC">
            <w:pPr>
              <w:pStyle w:val="Contenidodelatabla"/>
              <w:ind w:right="227"/>
              <w:jc w:val="center"/>
            </w:pPr>
            <w:r>
              <w:rPr>
                <w:rFonts w:ascii="Open Sans" w:hAnsi="Open Sans" w:cs="Open Sans"/>
                <w:sz w:val="20"/>
                <w:szCs w:val="20"/>
              </w:rPr>
              <w:t>3.689.436</w:t>
            </w:r>
          </w:p>
        </w:tc>
      </w:tr>
      <w:tr w:rsidR="008E68EC" w:rsidRPr="0008228D" w14:paraId="38BDC81E" w14:textId="77777777" w:rsidTr="008E68EC">
        <w:tc>
          <w:tcPr>
            <w:tcW w:w="3910" w:type="dxa"/>
            <w:tcBorders>
              <w:left w:val="single" w:sz="1" w:space="0" w:color="000000"/>
              <w:bottom w:val="single" w:sz="1" w:space="0" w:color="000000"/>
            </w:tcBorders>
            <w:shd w:val="clear" w:color="auto" w:fill="auto"/>
          </w:tcPr>
          <w:p w14:paraId="02C39134" w14:textId="77777777" w:rsidR="008E68EC" w:rsidRPr="006F07C8" w:rsidRDefault="008E68EC" w:rsidP="008E68EC">
            <w:pPr>
              <w:jc w:val="both"/>
              <w:rPr>
                <w:rFonts w:ascii="Open Sans" w:hAnsi="Open Sans" w:cs="Open Sans"/>
                <w:sz w:val="20"/>
                <w:szCs w:val="20"/>
              </w:rPr>
            </w:pPr>
            <w:r w:rsidRPr="006F07C8">
              <w:rPr>
                <w:rFonts w:ascii="Open Sans" w:hAnsi="Open Sans" w:cs="Open Sans"/>
                <w:sz w:val="20"/>
                <w:szCs w:val="20"/>
              </w:rPr>
              <w:t>Pasivos Financieros</w:t>
            </w:r>
          </w:p>
        </w:tc>
        <w:tc>
          <w:tcPr>
            <w:tcW w:w="2439" w:type="dxa"/>
            <w:tcBorders>
              <w:left w:val="single" w:sz="1" w:space="0" w:color="000000"/>
              <w:bottom w:val="single" w:sz="1" w:space="0" w:color="000000"/>
              <w:right w:val="single" w:sz="1" w:space="0" w:color="000000"/>
            </w:tcBorders>
            <w:shd w:val="clear" w:color="auto" w:fill="auto"/>
          </w:tcPr>
          <w:p w14:paraId="23A62A9E" w14:textId="77777777" w:rsidR="008E68EC" w:rsidRPr="006F07C8" w:rsidRDefault="008E68EC" w:rsidP="008E68EC">
            <w:pPr>
              <w:pStyle w:val="Contenidodelatabla"/>
              <w:ind w:right="227"/>
              <w:jc w:val="center"/>
              <w:rPr>
                <w:rFonts w:ascii="Open Sans" w:hAnsi="Open Sans" w:cs="Open Sans"/>
                <w:sz w:val="20"/>
                <w:szCs w:val="20"/>
              </w:rPr>
            </w:pPr>
            <w:r w:rsidRPr="006F07C8">
              <w:rPr>
                <w:rFonts w:ascii="Open Sans" w:hAnsi="Open Sans" w:cs="Open Sans"/>
                <w:sz w:val="20"/>
                <w:szCs w:val="20"/>
              </w:rPr>
              <w:t>49.836.994</w:t>
            </w:r>
          </w:p>
        </w:tc>
      </w:tr>
      <w:tr w:rsidR="008E68EC" w14:paraId="7D591B2E" w14:textId="77777777" w:rsidTr="008E68EC">
        <w:tc>
          <w:tcPr>
            <w:tcW w:w="3910" w:type="dxa"/>
            <w:tcBorders>
              <w:left w:val="single" w:sz="1" w:space="0" w:color="000000"/>
              <w:bottom w:val="single" w:sz="1" w:space="0" w:color="000000"/>
            </w:tcBorders>
            <w:shd w:val="clear" w:color="auto" w:fill="auto"/>
          </w:tcPr>
          <w:p w14:paraId="63B2F3C6" w14:textId="77777777" w:rsidR="008E68EC" w:rsidRDefault="008E68EC" w:rsidP="008E68EC">
            <w:pPr>
              <w:jc w:val="both"/>
            </w:pPr>
            <w:r>
              <w:rPr>
                <w:rFonts w:ascii="Open Sans" w:hAnsi="Open Sans" w:cs="Open Sans"/>
                <w:sz w:val="20"/>
                <w:szCs w:val="20"/>
              </w:rPr>
              <w:t>Inversiones Crediticias</w:t>
            </w:r>
          </w:p>
        </w:tc>
        <w:tc>
          <w:tcPr>
            <w:tcW w:w="2439" w:type="dxa"/>
            <w:tcBorders>
              <w:left w:val="single" w:sz="1" w:space="0" w:color="000000"/>
              <w:bottom w:val="single" w:sz="1" w:space="0" w:color="000000"/>
              <w:right w:val="single" w:sz="1" w:space="0" w:color="000000"/>
            </w:tcBorders>
            <w:shd w:val="clear" w:color="auto" w:fill="auto"/>
          </w:tcPr>
          <w:p w14:paraId="633EDAB4" w14:textId="77777777" w:rsidR="008E68EC" w:rsidRDefault="008E68EC" w:rsidP="008E68EC">
            <w:pPr>
              <w:pStyle w:val="Contenidodelatabla"/>
              <w:ind w:right="227"/>
              <w:jc w:val="center"/>
            </w:pPr>
            <w:r>
              <w:rPr>
                <w:rFonts w:ascii="Open Sans" w:hAnsi="Open Sans" w:cs="Open Sans"/>
                <w:sz w:val="20"/>
                <w:szCs w:val="20"/>
              </w:rPr>
              <w:t>45.479.314</w:t>
            </w:r>
          </w:p>
        </w:tc>
      </w:tr>
      <w:tr w:rsidR="008E68EC" w14:paraId="2EFC1909" w14:textId="77777777" w:rsidTr="008E68EC">
        <w:tc>
          <w:tcPr>
            <w:tcW w:w="3910" w:type="dxa"/>
            <w:tcBorders>
              <w:left w:val="single" w:sz="1" w:space="0" w:color="000000"/>
              <w:bottom w:val="single" w:sz="1" w:space="0" w:color="000000"/>
            </w:tcBorders>
            <w:shd w:val="clear" w:color="auto" w:fill="auto"/>
          </w:tcPr>
          <w:p w14:paraId="5E74B436" w14:textId="77777777" w:rsidR="008E68EC" w:rsidRPr="006F07C8" w:rsidRDefault="008E68EC" w:rsidP="008E68EC">
            <w:pPr>
              <w:jc w:val="both"/>
              <w:rPr>
                <w:rFonts w:ascii="Open Sans" w:hAnsi="Open Sans" w:cs="Open Sans"/>
                <w:sz w:val="20"/>
                <w:szCs w:val="20"/>
              </w:rPr>
            </w:pPr>
            <w:r w:rsidRPr="006F07C8">
              <w:rPr>
                <w:rFonts w:ascii="Open Sans" w:hAnsi="Open Sans" w:cs="Open Sans"/>
                <w:sz w:val="20"/>
                <w:szCs w:val="20"/>
              </w:rPr>
              <w:t>Activos Totales</w:t>
            </w:r>
          </w:p>
        </w:tc>
        <w:tc>
          <w:tcPr>
            <w:tcW w:w="2439" w:type="dxa"/>
            <w:tcBorders>
              <w:left w:val="single" w:sz="1" w:space="0" w:color="000000"/>
              <w:bottom w:val="single" w:sz="1" w:space="0" w:color="000000"/>
              <w:right w:val="single" w:sz="1" w:space="0" w:color="000000"/>
            </w:tcBorders>
            <w:shd w:val="clear" w:color="auto" w:fill="auto"/>
          </w:tcPr>
          <w:p w14:paraId="3E32693D" w14:textId="77777777" w:rsidR="008E68EC" w:rsidRPr="006F07C8" w:rsidRDefault="008E68EC" w:rsidP="008E68EC">
            <w:pPr>
              <w:pStyle w:val="Contenidodelatabla"/>
              <w:ind w:right="227"/>
              <w:jc w:val="center"/>
              <w:rPr>
                <w:rFonts w:ascii="Open Sans" w:hAnsi="Open Sans" w:cs="Open Sans"/>
                <w:sz w:val="20"/>
                <w:szCs w:val="20"/>
              </w:rPr>
            </w:pPr>
            <w:r w:rsidRPr="006F07C8">
              <w:rPr>
                <w:rFonts w:ascii="Open Sans" w:hAnsi="Open Sans" w:cs="Open Sans"/>
                <w:sz w:val="20"/>
                <w:szCs w:val="20"/>
              </w:rPr>
              <w:t>58.659.810</w:t>
            </w:r>
          </w:p>
        </w:tc>
      </w:tr>
      <w:tr w:rsidR="008E68EC" w14:paraId="5ECC3FA1" w14:textId="77777777" w:rsidTr="008E68EC">
        <w:tc>
          <w:tcPr>
            <w:tcW w:w="3910" w:type="dxa"/>
            <w:tcBorders>
              <w:left w:val="single" w:sz="1" w:space="0" w:color="000000"/>
              <w:bottom w:val="single" w:sz="1" w:space="0" w:color="000000"/>
            </w:tcBorders>
            <w:shd w:val="clear" w:color="auto" w:fill="auto"/>
          </w:tcPr>
          <w:p w14:paraId="185939E0" w14:textId="77777777" w:rsidR="008E68EC" w:rsidRPr="006F07C8" w:rsidRDefault="008E68EC" w:rsidP="008E68EC">
            <w:pPr>
              <w:jc w:val="both"/>
            </w:pPr>
            <w:r w:rsidRPr="006F07C8">
              <w:rPr>
                <w:rFonts w:ascii="Open Sans" w:hAnsi="Open Sans" w:cs="Open Sans"/>
                <w:sz w:val="20"/>
                <w:szCs w:val="20"/>
              </w:rPr>
              <w:t>Margen de Intereses</w:t>
            </w:r>
          </w:p>
        </w:tc>
        <w:tc>
          <w:tcPr>
            <w:tcW w:w="2439" w:type="dxa"/>
            <w:tcBorders>
              <w:left w:val="single" w:sz="1" w:space="0" w:color="000000"/>
              <w:bottom w:val="single" w:sz="1" w:space="0" w:color="000000"/>
              <w:right w:val="single" w:sz="1" w:space="0" w:color="000000"/>
            </w:tcBorders>
            <w:shd w:val="clear" w:color="auto" w:fill="auto"/>
          </w:tcPr>
          <w:p w14:paraId="320E046B" w14:textId="77777777" w:rsidR="008E68EC" w:rsidRPr="006F07C8" w:rsidRDefault="008E68EC" w:rsidP="008E68EC">
            <w:pPr>
              <w:pStyle w:val="Contenidodelatabla"/>
              <w:ind w:right="227"/>
              <w:jc w:val="center"/>
            </w:pPr>
            <w:r w:rsidRPr="006F07C8">
              <w:rPr>
                <w:rFonts w:ascii="Open Sans" w:hAnsi="Open Sans" w:cs="Open Sans"/>
                <w:sz w:val="20"/>
                <w:szCs w:val="20"/>
              </w:rPr>
              <w:t>869.454</w:t>
            </w:r>
          </w:p>
        </w:tc>
      </w:tr>
      <w:tr w:rsidR="008E68EC" w14:paraId="5C1A9EB4" w14:textId="77777777" w:rsidTr="008E68EC">
        <w:tc>
          <w:tcPr>
            <w:tcW w:w="3910" w:type="dxa"/>
            <w:tcBorders>
              <w:left w:val="single" w:sz="1" w:space="0" w:color="000000"/>
              <w:bottom w:val="single" w:sz="1" w:space="0" w:color="000000"/>
            </w:tcBorders>
            <w:shd w:val="clear" w:color="auto" w:fill="auto"/>
          </w:tcPr>
          <w:p w14:paraId="5CB1FD9F" w14:textId="77777777" w:rsidR="008E68EC" w:rsidRPr="006F07C8" w:rsidRDefault="008E68EC" w:rsidP="008E68EC">
            <w:pPr>
              <w:jc w:val="both"/>
            </w:pPr>
            <w:r w:rsidRPr="006F07C8">
              <w:rPr>
                <w:rFonts w:ascii="Open Sans" w:hAnsi="Open Sans" w:cs="Open Sans"/>
                <w:sz w:val="20"/>
                <w:szCs w:val="20"/>
              </w:rPr>
              <w:t>Margen Bruto</w:t>
            </w:r>
          </w:p>
        </w:tc>
        <w:tc>
          <w:tcPr>
            <w:tcW w:w="2439" w:type="dxa"/>
            <w:tcBorders>
              <w:left w:val="single" w:sz="1" w:space="0" w:color="000000"/>
              <w:bottom w:val="single" w:sz="1" w:space="0" w:color="000000"/>
              <w:right w:val="single" w:sz="1" w:space="0" w:color="000000"/>
            </w:tcBorders>
            <w:shd w:val="clear" w:color="auto" w:fill="auto"/>
          </w:tcPr>
          <w:p w14:paraId="335B9973" w14:textId="77777777" w:rsidR="008E68EC" w:rsidRPr="006F07C8" w:rsidRDefault="008E68EC" w:rsidP="008E68EC">
            <w:pPr>
              <w:pStyle w:val="Contenidodelatabla"/>
              <w:ind w:right="227"/>
              <w:jc w:val="center"/>
            </w:pPr>
            <w:r w:rsidRPr="006F07C8">
              <w:rPr>
                <w:rFonts w:ascii="Open Sans" w:hAnsi="Open Sans" w:cs="Open Sans"/>
                <w:sz w:val="20"/>
                <w:szCs w:val="20"/>
              </w:rPr>
              <w:t>1.568.815</w:t>
            </w:r>
          </w:p>
        </w:tc>
      </w:tr>
      <w:tr w:rsidR="008E68EC" w14:paraId="73D23072" w14:textId="77777777" w:rsidTr="008E68EC">
        <w:tc>
          <w:tcPr>
            <w:tcW w:w="3910" w:type="dxa"/>
            <w:tcBorders>
              <w:left w:val="single" w:sz="1" w:space="0" w:color="000000"/>
              <w:bottom w:val="single" w:sz="1" w:space="0" w:color="000000"/>
            </w:tcBorders>
            <w:shd w:val="clear" w:color="auto" w:fill="auto"/>
          </w:tcPr>
          <w:p w14:paraId="044735A3" w14:textId="77777777" w:rsidR="008E68EC" w:rsidRPr="006F07C8" w:rsidRDefault="008E68EC" w:rsidP="008E68EC">
            <w:pPr>
              <w:jc w:val="both"/>
            </w:pPr>
            <w:r w:rsidRPr="006F07C8">
              <w:rPr>
                <w:rFonts w:ascii="Open Sans" w:hAnsi="Open Sans" w:cs="Open Sans"/>
                <w:sz w:val="20"/>
                <w:szCs w:val="20"/>
              </w:rPr>
              <w:t>Resultado de la Actividad de Explotación</w:t>
            </w:r>
          </w:p>
        </w:tc>
        <w:tc>
          <w:tcPr>
            <w:tcW w:w="2439" w:type="dxa"/>
            <w:tcBorders>
              <w:left w:val="single" w:sz="1" w:space="0" w:color="000000"/>
              <w:bottom w:val="single" w:sz="1" w:space="0" w:color="000000"/>
              <w:right w:val="single" w:sz="1" w:space="0" w:color="000000"/>
            </w:tcBorders>
            <w:shd w:val="clear" w:color="auto" w:fill="auto"/>
          </w:tcPr>
          <w:p w14:paraId="3AE16450" w14:textId="77777777" w:rsidR="008E68EC" w:rsidRPr="006F07C8" w:rsidRDefault="008E68EC" w:rsidP="008E68EC">
            <w:pPr>
              <w:pStyle w:val="Contenidodelatabla"/>
              <w:ind w:right="227"/>
              <w:jc w:val="center"/>
            </w:pPr>
            <w:r w:rsidRPr="006F07C8">
              <w:rPr>
                <w:rFonts w:ascii="Open Sans" w:hAnsi="Open Sans" w:cs="Open Sans"/>
                <w:sz w:val="20"/>
                <w:szCs w:val="20"/>
              </w:rPr>
              <w:t>593.206</w:t>
            </w:r>
          </w:p>
        </w:tc>
      </w:tr>
      <w:tr w:rsidR="008E68EC" w14:paraId="6F40B91D" w14:textId="77777777" w:rsidTr="008E68EC">
        <w:tc>
          <w:tcPr>
            <w:tcW w:w="3910" w:type="dxa"/>
            <w:tcBorders>
              <w:left w:val="single" w:sz="1" w:space="0" w:color="000000"/>
              <w:bottom w:val="single" w:sz="1" w:space="0" w:color="000000"/>
            </w:tcBorders>
            <w:shd w:val="clear" w:color="auto" w:fill="auto"/>
          </w:tcPr>
          <w:p w14:paraId="61996805" w14:textId="77777777" w:rsidR="008E68EC" w:rsidRPr="006F07C8" w:rsidRDefault="008E68EC" w:rsidP="008E68EC">
            <w:pPr>
              <w:jc w:val="both"/>
            </w:pPr>
            <w:r w:rsidRPr="006F07C8">
              <w:rPr>
                <w:rFonts w:ascii="Open Sans" w:hAnsi="Open Sans" w:cs="Open Sans"/>
                <w:sz w:val="20"/>
                <w:szCs w:val="20"/>
              </w:rPr>
              <w:t>Beneficios antes de Impuestos</w:t>
            </w:r>
          </w:p>
        </w:tc>
        <w:tc>
          <w:tcPr>
            <w:tcW w:w="2439" w:type="dxa"/>
            <w:tcBorders>
              <w:left w:val="single" w:sz="1" w:space="0" w:color="000000"/>
              <w:bottom w:val="single" w:sz="1" w:space="0" w:color="000000"/>
              <w:right w:val="single" w:sz="1" w:space="0" w:color="000000"/>
            </w:tcBorders>
            <w:shd w:val="clear" w:color="auto" w:fill="auto"/>
          </w:tcPr>
          <w:p w14:paraId="55386327" w14:textId="77777777" w:rsidR="008E68EC" w:rsidRPr="006F07C8" w:rsidRDefault="008E68EC" w:rsidP="008E68EC">
            <w:pPr>
              <w:pStyle w:val="Contenidodelatabla"/>
              <w:ind w:right="227"/>
              <w:jc w:val="center"/>
            </w:pPr>
            <w:r w:rsidRPr="006F07C8">
              <w:rPr>
                <w:rFonts w:ascii="Open Sans" w:hAnsi="Open Sans" w:cs="Open Sans"/>
                <w:sz w:val="20"/>
                <w:szCs w:val="20"/>
              </w:rPr>
              <w:t>520.330</w:t>
            </w:r>
          </w:p>
        </w:tc>
      </w:tr>
      <w:tr w:rsidR="008E68EC" w14:paraId="303A541B" w14:textId="77777777" w:rsidTr="008E68EC">
        <w:tc>
          <w:tcPr>
            <w:tcW w:w="3910" w:type="dxa"/>
            <w:tcBorders>
              <w:left w:val="single" w:sz="1" w:space="0" w:color="000000"/>
              <w:bottom w:val="single" w:sz="1" w:space="0" w:color="000000"/>
            </w:tcBorders>
            <w:shd w:val="clear" w:color="auto" w:fill="auto"/>
          </w:tcPr>
          <w:p w14:paraId="210A8798" w14:textId="77777777" w:rsidR="008E68EC" w:rsidRPr="006F07C8" w:rsidRDefault="008E68EC" w:rsidP="008E68EC">
            <w:pPr>
              <w:jc w:val="both"/>
            </w:pPr>
            <w:r w:rsidRPr="006F07C8">
              <w:rPr>
                <w:rFonts w:ascii="Open Sans" w:hAnsi="Open Sans" w:cs="Open Sans"/>
                <w:sz w:val="20"/>
                <w:szCs w:val="20"/>
              </w:rPr>
              <w:t>Impuesto de Sociedades</w:t>
            </w:r>
          </w:p>
        </w:tc>
        <w:tc>
          <w:tcPr>
            <w:tcW w:w="2439" w:type="dxa"/>
            <w:tcBorders>
              <w:left w:val="single" w:sz="1" w:space="0" w:color="000000"/>
              <w:bottom w:val="single" w:sz="1" w:space="0" w:color="000000"/>
              <w:right w:val="single" w:sz="1" w:space="0" w:color="000000"/>
            </w:tcBorders>
            <w:shd w:val="clear" w:color="auto" w:fill="auto"/>
          </w:tcPr>
          <w:p w14:paraId="2C00A803" w14:textId="77777777" w:rsidR="008E68EC" w:rsidRPr="006F07C8" w:rsidRDefault="008E68EC" w:rsidP="008E68EC">
            <w:pPr>
              <w:pStyle w:val="Contenidodelatabla"/>
              <w:ind w:right="227"/>
              <w:jc w:val="center"/>
            </w:pPr>
            <w:r w:rsidRPr="006F07C8">
              <w:rPr>
                <w:rFonts w:ascii="Open Sans" w:hAnsi="Open Sans" w:cs="Open Sans"/>
                <w:sz w:val="20"/>
                <w:szCs w:val="20"/>
              </w:rPr>
              <w:t>144.410</w:t>
            </w:r>
          </w:p>
        </w:tc>
      </w:tr>
      <w:tr w:rsidR="008E68EC" w14:paraId="5D8D6204" w14:textId="77777777" w:rsidTr="008E68EC">
        <w:tc>
          <w:tcPr>
            <w:tcW w:w="3910" w:type="dxa"/>
            <w:tcBorders>
              <w:left w:val="single" w:sz="1" w:space="0" w:color="000000"/>
              <w:bottom w:val="single" w:sz="1" w:space="0" w:color="000000"/>
            </w:tcBorders>
            <w:shd w:val="clear" w:color="auto" w:fill="auto"/>
          </w:tcPr>
          <w:p w14:paraId="48B9618E" w14:textId="77777777" w:rsidR="008E68EC" w:rsidRPr="006F07C8" w:rsidRDefault="008E68EC" w:rsidP="008E68EC">
            <w:pPr>
              <w:jc w:val="both"/>
              <w:rPr>
                <w:rFonts w:ascii="Open Sans" w:hAnsi="Open Sans" w:cs="Open Sans"/>
                <w:sz w:val="20"/>
                <w:szCs w:val="20"/>
              </w:rPr>
            </w:pPr>
            <w:r w:rsidRPr="006F07C8">
              <w:rPr>
                <w:rFonts w:ascii="Open Sans" w:hAnsi="Open Sans" w:cs="Open Sans"/>
                <w:sz w:val="20"/>
                <w:szCs w:val="20"/>
              </w:rPr>
              <w:t xml:space="preserve">Tasa Efectiva </w:t>
            </w:r>
          </w:p>
        </w:tc>
        <w:tc>
          <w:tcPr>
            <w:tcW w:w="2439" w:type="dxa"/>
            <w:tcBorders>
              <w:left w:val="single" w:sz="1" w:space="0" w:color="000000"/>
              <w:bottom w:val="single" w:sz="1" w:space="0" w:color="000000"/>
              <w:right w:val="single" w:sz="1" w:space="0" w:color="000000"/>
            </w:tcBorders>
            <w:shd w:val="clear" w:color="auto" w:fill="auto"/>
          </w:tcPr>
          <w:p w14:paraId="0AE064F3" w14:textId="77777777" w:rsidR="008E68EC" w:rsidRPr="006F07C8" w:rsidRDefault="008E68EC" w:rsidP="008E68EC">
            <w:pPr>
              <w:pStyle w:val="Contenidodelatabla"/>
              <w:ind w:right="227"/>
              <w:jc w:val="center"/>
              <w:rPr>
                <w:rFonts w:ascii="Open Sans" w:hAnsi="Open Sans" w:cs="Open Sans"/>
                <w:sz w:val="20"/>
                <w:szCs w:val="20"/>
              </w:rPr>
            </w:pPr>
            <w:r w:rsidRPr="006F07C8">
              <w:rPr>
                <w:rFonts w:ascii="Open Sans" w:hAnsi="Open Sans" w:cs="Open Sans"/>
                <w:sz w:val="20"/>
                <w:szCs w:val="20"/>
              </w:rPr>
              <w:t>27,76%</w:t>
            </w:r>
          </w:p>
        </w:tc>
      </w:tr>
      <w:tr w:rsidR="008E68EC" w14:paraId="651A7D5E" w14:textId="77777777" w:rsidTr="008E68EC">
        <w:trPr>
          <w:trHeight w:val="165"/>
        </w:trPr>
        <w:tc>
          <w:tcPr>
            <w:tcW w:w="6349" w:type="dxa"/>
            <w:gridSpan w:val="2"/>
            <w:tcBorders>
              <w:left w:val="single" w:sz="1" w:space="0" w:color="000000"/>
              <w:bottom w:val="single" w:sz="1" w:space="0" w:color="000000"/>
              <w:right w:val="single" w:sz="1" w:space="0" w:color="000000"/>
            </w:tcBorders>
            <w:shd w:val="clear" w:color="auto" w:fill="auto"/>
          </w:tcPr>
          <w:p w14:paraId="13F625F2" w14:textId="77777777" w:rsidR="008E68EC" w:rsidRPr="006F07C8" w:rsidRDefault="008E68EC" w:rsidP="008E68EC">
            <w:pPr>
              <w:snapToGrid w:val="0"/>
              <w:jc w:val="center"/>
              <w:rPr>
                <w:rFonts w:ascii="Open Sans" w:hAnsi="Open Sans" w:cs="Open Sans"/>
                <w:sz w:val="4"/>
                <w:szCs w:val="4"/>
              </w:rPr>
            </w:pPr>
          </w:p>
        </w:tc>
      </w:tr>
      <w:tr w:rsidR="008E68EC" w14:paraId="47231E54" w14:textId="77777777" w:rsidTr="008E68EC">
        <w:tc>
          <w:tcPr>
            <w:tcW w:w="3910" w:type="dxa"/>
            <w:tcBorders>
              <w:left w:val="single" w:sz="1" w:space="0" w:color="000000"/>
              <w:bottom w:val="single" w:sz="1" w:space="0" w:color="000000"/>
            </w:tcBorders>
            <w:shd w:val="clear" w:color="auto" w:fill="auto"/>
          </w:tcPr>
          <w:p w14:paraId="444871CA" w14:textId="77777777" w:rsidR="008E68EC" w:rsidRDefault="008E68EC" w:rsidP="008E68EC">
            <w:pPr>
              <w:jc w:val="both"/>
            </w:pPr>
            <w:r>
              <w:rPr>
                <w:rFonts w:ascii="Open Sans" w:hAnsi="Open Sans" w:cs="Open Sans"/>
                <w:sz w:val="20"/>
                <w:szCs w:val="20"/>
              </w:rPr>
              <w:t>Beneficio por Acción</w:t>
            </w:r>
          </w:p>
        </w:tc>
        <w:tc>
          <w:tcPr>
            <w:tcW w:w="2439" w:type="dxa"/>
            <w:tcBorders>
              <w:left w:val="single" w:sz="1" w:space="0" w:color="000000"/>
              <w:bottom w:val="single" w:sz="1" w:space="0" w:color="000000"/>
              <w:right w:val="single" w:sz="1" w:space="0" w:color="000000"/>
            </w:tcBorders>
            <w:shd w:val="clear" w:color="auto" w:fill="auto"/>
          </w:tcPr>
          <w:p w14:paraId="2A4228C7" w14:textId="77777777" w:rsidR="008E68EC" w:rsidRDefault="008E68EC" w:rsidP="008E68EC">
            <w:pPr>
              <w:pStyle w:val="Contenidodelatabla"/>
              <w:ind w:right="227"/>
              <w:jc w:val="center"/>
            </w:pPr>
            <w:r>
              <w:rPr>
                <w:rFonts w:ascii="Open Sans" w:hAnsi="Open Sans" w:cs="Open Sans"/>
                <w:sz w:val="20"/>
                <w:szCs w:val="20"/>
              </w:rPr>
              <w:t>0,42</w:t>
            </w:r>
          </w:p>
        </w:tc>
      </w:tr>
      <w:tr w:rsidR="008E68EC" w14:paraId="0ADEA543" w14:textId="77777777" w:rsidTr="008E68EC">
        <w:tc>
          <w:tcPr>
            <w:tcW w:w="3910" w:type="dxa"/>
            <w:tcBorders>
              <w:left w:val="single" w:sz="1" w:space="0" w:color="000000"/>
              <w:bottom w:val="single" w:sz="1" w:space="0" w:color="000000"/>
            </w:tcBorders>
            <w:shd w:val="clear" w:color="auto" w:fill="auto"/>
          </w:tcPr>
          <w:p w14:paraId="294F53A9" w14:textId="77777777" w:rsidR="008E68EC" w:rsidRDefault="008E68EC" w:rsidP="008E68EC">
            <w:pPr>
              <w:jc w:val="both"/>
            </w:pPr>
            <w:r>
              <w:rPr>
                <w:rFonts w:ascii="Open Sans" w:hAnsi="Open Sans" w:cs="Open Sans"/>
                <w:sz w:val="20"/>
                <w:szCs w:val="20"/>
              </w:rPr>
              <w:t>Nº de empleados</w:t>
            </w:r>
          </w:p>
        </w:tc>
        <w:tc>
          <w:tcPr>
            <w:tcW w:w="2439" w:type="dxa"/>
            <w:tcBorders>
              <w:left w:val="single" w:sz="1" w:space="0" w:color="000000"/>
              <w:bottom w:val="single" w:sz="1" w:space="0" w:color="000000"/>
              <w:right w:val="single" w:sz="1" w:space="0" w:color="000000"/>
            </w:tcBorders>
            <w:shd w:val="clear" w:color="auto" w:fill="auto"/>
          </w:tcPr>
          <w:p w14:paraId="63493762" w14:textId="77777777" w:rsidR="008E68EC" w:rsidRDefault="008E68EC" w:rsidP="008E68EC">
            <w:pPr>
              <w:pStyle w:val="Contenidodelatabla"/>
              <w:ind w:right="227"/>
              <w:jc w:val="center"/>
            </w:pPr>
            <w:r>
              <w:rPr>
                <w:rFonts w:ascii="Open Sans" w:hAnsi="Open Sans" w:cs="Open Sans"/>
                <w:sz w:val="20"/>
                <w:szCs w:val="20"/>
              </w:rPr>
              <w:t>4.405</w:t>
            </w:r>
          </w:p>
        </w:tc>
      </w:tr>
    </w:tbl>
    <w:p w14:paraId="1A76BC15" w14:textId="77777777" w:rsidR="008E68EC" w:rsidRDefault="008E68EC" w:rsidP="008E68EC">
      <w:pPr>
        <w:jc w:val="both"/>
        <w:rPr>
          <w:rFonts w:ascii="Open Sans" w:hAnsi="Open Sans" w:cs="Open Sans"/>
          <w:sz w:val="20"/>
          <w:szCs w:val="20"/>
          <w:u w:val="single"/>
        </w:rPr>
      </w:pPr>
    </w:p>
    <w:p w14:paraId="581A22B5" w14:textId="77777777" w:rsidR="008E68EC" w:rsidRDefault="008E68EC" w:rsidP="008E68EC">
      <w:pPr>
        <w:jc w:val="both"/>
        <w:rPr>
          <w:rFonts w:ascii="Open Sans" w:hAnsi="Open Sans" w:cs="Open Sans"/>
          <w:sz w:val="20"/>
          <w:szCs w:val="20"/>
          <w:u w:val="single"/>
        </w:rPr>
      </w:pPr>
    </w:p>
    <w:p w14:paraId="7DB2529E" w14:textId="77777777" w:rsidR="008E68EC" w:rsidRDefault="008E68EC" w:rsidP="008E68EC">
      <w:pPr>
        <w:jc w:val="both"/>
      </w:pPr>
      <w:r>
        <w:rPr>
          <w:rFonts w:ascii="Open Sans" w:hAnsi="Open Sans" w:cs="Open Sans"/>
          <w:sz w:val="20"/>
          <w:szCs w:val="20"/>
          <w:u w:val="single"/>
        </w:rPr>
        <w:t>Estándares voluntarios relacionados con fiscalidad responsable</w:t>
      </w:r>
    </w:p>
    <w:p w14:paraId="3D186193" w14:textId="77777777" w:rsidR="008E68EC" w:rsidRDefault="008E68EC" w:rsidP="008E68EC">
      <w:pPr>
        <w:jc w:val="both"/>
        <w:rPr>
          <w:rFonts w:ascii="Open Sans" w:hAnsi="Open Sans" w:cs="Open Sans"/>
          <w:sz w:val="20"/>
          <w:szCs w:val="20"/>
          <w:u w:val="single"/>
        </w:rPr>
      </w:pPr>
    </w:p>
    <w:p w14:paraId="6B6406B6" w14:textId="77777777" w:rsidR="008E68EC" w:rsidRDefault="008E68EC" w:rsidP="008E68EC">
      <w:pPr>
        <w:jc w:val="both"/>
      </w:pPr>
      <w:r>
        <w:rPr>
          <w:rFonts w:ascii="Open Sans" w:hAnsi="Open Sans" w:cs="Open Sans"/>
          <w:sz w:val="20"/>
          <w:szCs w:val="20"/>
        </w:rPr>
        <w:t>Bankinter informa que se ha adherido voluntariamente a los siguientes estándares relacionados con contenidos y sistemas de gestión de fiscalidad responsable:</w:t>
      </w:r>
    </w:p>
    <w:p w14:paraId="77626ACD" w14:textId="77777777" w:rsidR="008E68EC" w:rsidRDefault="008E68EC" w:rsidP="008E68EC">
      <w:pPr>
        <w:jc w:val="both"/>
        <w:rPr>
          <w:rFonts w:ascii="Open Sans" w:hAnsi="Open Sans" w:cs="Open Sans"/>
          <w:sz w:val="20"/>
          <w:szCs w:val="20"/>
        </w:rPr>
      </w:pPr>
    </w:p>
    <w:p w14:paraId="15A82FE3" w14:textId="77777777" w:rsidR="008E68EC" w:rsidRDefault="008E68EC" w:rsidP="000B70C9">
      <w:pPr>
        <w:numPr>
          <w:ilvl w:val="0"/>
          <w:numId w:val="40"/>
        </w:numPr>
        <w:suppressAutoHyphens/>
        <w:jc w:val="both"/>
      </w:pPr>
      <w:r>
        <w:rPr>
          <w:rFonts w:ascii="Open Sans" w:hAnsi="Open Sans" w:cs="Open Sans"/>
          <w:sz w:val="20"/>
          <w:szCs w:val="20"/>
        </w:rPr>
        <w:t>Código de Buenas Prácticas Tributarias de la Agencia Tributaria</w:t>
      </w:r>
    </w:p>
    <w:p w14:paraId="7041E337" w14:textId="77777777" w:rsidR="008E68EC" w:rsidRDefault="008E68EC" w:rsidP="008E68EC">
      <w:pPr>
        <w:jc w:val="both"/>
        <w:rPr>
          <w:rFonts w:ascii="Open Sans" w:hAnsi="Open Sans" w:cs="Open Sans"/>
          <w:sz w:val="20"/>
          <w:szCs w:val="20"/>
        </w:rPr>
      </w:pPr>
    </w:p>
    <w:p w14:paraId="2AB6A753" w14:textId="77777777" w:rsidR="008E68EC" w:rsidRDefault="008E68EC" w:rsidP="008E68EC">
      <w:pPr>
        <w:rPr>
          <w:rFonts w:ascii="Open Sans" w:hAnsi="Open Sans" w:cs="Open Sans"/>
          <w:sz w:val="20"/>
          <w:szCs w:val="20"/>
          <w:u w:val="single"/>
        </w:rPr>
      </w:pPr>
      <w:r>
        <w:rPr>
          <w:rFonts w:ascii="Open Sans" w:hAnsi="Open Sans" w:cs="Open Sans"/>
          <w:sz w:val="20"/>
          <w:szCs w:val="20"/>
          <w:u w:val="single"/>
        </w:rPr>
        <w:br w:type="page"/>
      </w:r>
    </w:p>
    <w:p w14:paraId="3C3DD5D2" w14:textId="77777777" w:rsidR="008E68EC" w:rsidRDefault="008E68EC" w:rsidP="008E68EC">
      <w:pPr>
        <w:jc w:val="both"/>
        <w:rPr>
          <w:rFonts w:ascii="Open Sans" w:hAnsi="Open Sans" w:cs="Open Sans"/>
          <w:sz w:val="20"/>
          <w:szCs w:val="20"/>
          <w:u w:val="single"/>
        </w:rPr>
      </w:pPr>
    </w:p>
    <w:p w14:paraId="2B40BBBF" w14:textId="77777777" w:rsidR="008E68EC" w:rsidRDefault="008E68EC" w:rsidP="008E68EC">
      <w:pPr>
        <w:jc w:val="both"/>
      </w:pPr>
      <w:r>
        <w:rPr>
          <w:rFonts w:ascii="Open Sans" w:hAnsi="Open Sans" w:cs="Open Sans"/>
          <w:sz w:val="20"/>
          <w:szCs w:val="20"/>
          <w:u w:val="single"/>
        </w:rPr>
        <w:t>Documentos incluidos en el análisis</w:t>
      </w:r>
    </w:p>
    <w:p w14:paraId="6D6F5BC9" w14:textId="77777777" w:rsidR="008E68EC" w:rsidRDefault="008E68EC" w:rsidP="008E68EC">
      <w:pPr>
        <w:ind w:firstLine="709"/>
        <w:jc w:val="both"/>
        <w:rPr>
          <w:rFonts w:ascii="Open Sans" w:hAnsi="Open Sans" w:cs="Open Sans"/>
          <w:sz w:val="20"/>
          <w:szCs w:val="20"/>
          <w:u w:val="single"/>
        </w:rPr>
      </w:pPr>
    </w:p>
    <w:p w14:paraId="64212035" w14:textId="77777777" w:rsidR="008E68EC" w:rsidRDefault="008E68EC" w:rsidP="008E68EC">
      <w:pPr>
        <w:jc w:val="both"/>
      </w:pPr>
      <w:r>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65DD8A90" w14:textId="77777777" w:rsidR="008E68EC" w:rsidRDefault="008E68EC" w:rsidP="008E68EC">
      <w:pPr>
        <w:ind w:firstLine="709"/>
        <w:jc w:val="both"/>
        <w:rPr>
          <w:rFonts w:ascii="Open Sans" w:hAnsi="Open Sans" w:cs="Open Sans"/>
          <w:sz w:val="22"/>
          <w:szCs w:val="22"/>
        </w:rPr>
      </w:pPr>
    </w:p>
    <w:tbl>
      <w:tblPr>
        <w:tblW w:w="860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55"/>
        <w:gridCol w:w="4248"/>
      </w:tblGrid>
      <w:tr w:rsidR="008E68EC" w:rsidRPr="00EC3C02" w14:paraId="1D26A84F" w14:textId="77777777" w:rsidTr="008E68EC">
        <w:trPr>
          <w:trHeight w:val="327"/>
        </w:trPr>
        <w:tc>
          <w:tcPr>
            <w:tcW w:w="4355" w:type="dxa"/>
            <w:shd w:val="clear" w:color="auto" w:fill="000080"/>
            <w:vAlign w:val="center"/>
          </w:tcPr>
          <w:p w14:paraId="7F199312" w14:textId="77777777" w:rsidR="008E68EC" w:rsidRPr="00EC3C02" w:rsidRDefault="008E68EC" w:rsidP="008E68EC">
            <w:pPr>
              <w:jc w:val="center"/>
            </w:pPr>
            <w:r w:rsidRPr="00EC3C02">
              <w:rPr>
                <w:rFonts w:ascii="Open Sans" w:hAnsi="Open Sans" w:cs="Open Sans"/>
                <w:b/>
                <w:sz w:val="20"/>
                <w:szCs w:val="22"/>
              </w:rPr>
              <w:t>DOCUMENTACIÓN</w:t>
            </w:r>
          </w:p>
        </w:tc>
        <w:tc>
          <w:tcPr>
            <w:tcW w:w="4248" w:type="dxa"/>
            <w:shd w:val="clear" w:color="auto" w:fill="000080"/>
            <w:vAlign w:val="center"/>
          </w:tcPr>
          <w:p w14:paraId="132C14CD" w14:textId="77777777" w:rsidR="008E68EC" w:rsidRPr="00EC3C02" w:rsidRDefault="008E68EC" w:rsidP="008E68EC">
            <w:pPr>
              <w:jc w:val="center"/>
            </w:pPr>
            <w:r w:rsidRPr="00EC3C02">
              <w:rPr>
                <w:rFonts w:ascii="Open Sans" w:hAnsi="Open Sans" w:cs="Open Sans"/>
                <w:b/>
                <w:sz w:val="20"/>
                <w:szCs w:val="22"/>
              </w:rPr>
              <w:t>OBSERVACIONES</w:t>
            </w:r>
          </w:p>
        </w:tc>
      </w:tr>
      <w:tr w:rsidR="008E68EC" w:rsidRPr="00EC3C02" w14:paraId="3A458EBD" w14:textId="77777777" w:rsidTr="008E68EC">
        <w:trPr>
          <w:trHeight w:val="315"/>
        </w:trPr>
        <w:tc>
          <w:tcPr>
            <w:tcW w:w="4355" w:type="dxa"/>
            <w:shd w:val="clear" w:color="auto" w:fill="auto"/>
            <w:vAlign w:val="bottom"/>
          </w:tcPr>
          <w:p w14:paraId="6F139C23" w14:textId="77777777" w:rsidR="008E68EC" w:rsidRPr="00EC3C02" w:rsidRDefault="008E68EC" w:rsidP="008E68EC">
            <w:pPr>
              <w:ind w:left="113"/>
            </w:pPr>
            <w:r w:rsidRPr="00EC3C02">
              <w:rPr>
                <w:rFonts w:ascii="Open Sans" w:eastAsia="Open Sans" w:hAnsi="Open Sans" w:cs="Open Sans"/>
                <w:sz w:val="20"/>
                <w:szCs w:val="20"/>
              </w:rPr>
              <w:t xml:space="preserve">Informe Anual Integrado 2015 </w:t>
            </w:r>
          </w:p>
        </w:tc>
        <w:tc>
          <w:tcPr>
            <w:tcW w:w="4248" w:type="dxa"/>
            <w:shd w:val="clear" w:color="auto" w:fill="auto"/>
            <w:vAlign w:val="center"/>
          </w:tcPr>
          <w:p w14:paraId="5E59E8D1" w14:textId="77777777" w:rsidR="008E68EC" w:rsidRPr="00EC3C02" w:rsidRDefault="008E68EC" w:rsidP="008E68EC">
            <w:pPr>
              <w:ind w:left="113"/>
            </w:pPr>
            <w:r w:rsidRPr="00EC3C02">
              <w:rPr>
                <w:rFonts w:ascii="Open Sans" w:eastAsia="Open Sans" w:hAnsi="Open Sans" w:cs="Open Sans"/>
                <w:sz w:val="20"/>
                <w:szCs w:val="20"/>
              </w:rPr>
              <w:t>Siglas: IAI 2015</w:t>
            </w:r>
          </w:p>
        </w:tc>
      </w:tr>
      <w:tr w:rsidR="008E68EC" w:rsidRPr="00EC3C02" w14:paraId="314A8A8E" w14:textId="77777777" w:rsidTr="008E68EC">
        <w:trPr>
          <w:trHeight w:val="315"/>
        </w:trPr>
        <w:tc>
          <w:tcPr>
            <w:tcW w:w="4355" w:type="dxa"/>
            <w:shd w:val="clear" w:color="auto" w:fill="auto"/>
            <w:vAlign w:val="bottom"/>
          </w:tcPr>
          <w:p w14:paraId="1981C952" w14:textId="77777777" w:rsidR="008E68EC" w:rsidRPr="00EC3C02" w:rsidRDefault="008E68EC" w:rsidP="008E68EC">
            <w:pPr>
              <w:ind w:left="113"/>
            </w:pPr>
            <w:r w:rsidRPr="00EC3C02">
              <w:rPr>
                <w:rFonts w:ascii="Open Sans" w:eastAsia="Open Sans" w:hAnsi="Open Sans" w:cs="Open Sans"/>
                <w:sz w:val="20"/>
                <w:szCs w:val="20"/>
              </w:rPr>
              <w:t>Cuentas Anuales Consolidadas 2014</w:t>
            </w:r>
          </w:p>
        </w:tc>
        <w:tc>
          <w:tcPr>
            <w:tcW w:w="4248" w:type="dxa"/>
            <w:shd w:val="clear" w:color="auto" w:fill="auto"/>
            <w:vAlign w:val="center"/>
          </w:tcPr>
          <w:p w14:paraId="23150E68" w14:textId="77777777" w:rsidR="008E68EC" w:rsidRPr="00EC3C02" w:rsidRDefault="008E68EC" w:rsidP="008E68EC">
            <w:pPr>
              <w:ind w:left="113"/>
            </w:pPr>
            <w:r w:rsidRPr="00EC3C02">
              <w:rPr>
                <w:rFonts w:ascii="Open Sans" w:eastAsia="Open Sans" w:hAnsi="Open Sans" w:cs="Open Sans"/>
                <w:sz w:val="20"/>
                <w:szCs w:val="20"/>
              </w:rPr>
              <w:t>Informe Legal Consolidado del Grupo Bankinter</w:t>
            </w:r>
          </w:p>
          <w:p w14:paraId="79D6676C" w14:textId="77777777" w:rsidR="008E68EC" w:rsidRPr="00EC3C02" w:rsidRDefault="008E68EC" w:rsidP="008E68EC">
            <w:pPr>
              <w:ind w:left="113"/>
            </w:pPr>
            <w:r w:rsidRPr="00EC3C02">
              <w:rPr>
                <w:rFonts w:ascii="Open Sans" w:eastAsia="Open Sans" w:hAnsi="Open Sans" w:cs="Open Sans"/>
                <w:sz w:val="20"/>
                <w:szCs w:val="20"/>
              </w:rPr>
              <w:t>Siglas: CCAA Consolidadas 2015</w:t>
            </w:r>
          </w:p>
        </w:tc>
      </w:tr>
      <w:tr w:rsidR="008E68EC" w:rsidRPr="00EC3C02" w14:paraId="52ADBEB1" w14:textId="77777777" w:rsidTr="008E68EC">
        <w:trPr>
          <w:trHeight w:val="315"/>
        </w:trPr>
        <w:tc>
          <w:tcPr>
            <w:tcW w:w="4355" w:type="dxa"/>
            <w:shd w:val="clear" w:color="auto" w:fill="auto"/>
            <w:vAlign w:val="bottom"/>
          </w:tcPr>
          <w:p w14:paraId="13B227DB" w14:textId="77777777" w:rsidR="008E68EC" w:rsidRPr="00EC3C02" w:rsidRDefault="008E68EC" w:rsidP="008E68EC">
            <w:pPr>
              <w:ind w:left="113"/>
            </w:pPr>
            <w:r w:rsidRPr="00EC3C02">
              <w:rPr>
                <w:rFonts w:ascii="Open Sans" w:eastAsia="Open Sans" w:hAnsi="Open Sans" w:cs="Open Sans"/>
                <w:sz w:val="20"/>
                <w:szCs w:val="20"/>
              </w:rPr>
              <w:t>Informe Anual de Gobierno Corporativo 2015</w:t>
            </w:r>
          </w:p>
        </w:tc>
        <w:tc>
          <w:tcPr>
            <w:tcW w:w="4248" w:type="dxa"/>
            <w:shd w:val="clear" w:color="auto" w:fill="auto"/>
            <w:vAlign w:val="center"/>
          </w:tcPr>
          <w:p w14:paraId="34AFADDD" w14:textId="77777777" w:rsidR="008E68EC" w:rsidRPr="00EC3C02" w:rsidRDefault="008E68EC" w:rsidP="008E68EC">
            <w:pPr>
              <w:ind w:left="113"/>
            </w:pPr>
            <w:r w:rsidRPr="00EC3C02">
              <w:rPr>
                <w:rFonts w:ascii="Open Sans" w:eastAsia="Open Sans" w:hAnsi="Open Sans" w:cs="Open Sans"/>
                <w:sz w:val="20"/>
                <w:szCs w:val="20"/>
              </w:rPr>
              <w:t>Siglas: IAGC 2015</w:t>
            </w:r>
          </w:p>
        </w:tc>
      </w:tr>
      <w:tr w:rsidR="008E68EC" w:rsidRPr="00EC3C02" w14:paraId="70FE3F6B" w14:textId="77777777" w:rsidTr="008E68EC">
        <w:trPr>
          <w:trHeight w:val="315"/>
        </w:trPr>
        <w:tc>
          <w:tcPr>
            <w:tcW w:w="4355" w:type="dxa"/>
            <w:shd w:val="clear" w:color="auto" w:fill="auto"/>
            <w:vAlign w:val="bottom"/>
          </w:tcPr>
          <w:p w14:paraId="6E796A1C" w14:textId="77777777" w:rsidR="008E68EC" w:rsidRPr="00EC3C02" w:rsidRDefault="008E68EC" w:rsidP="008E68EC">
            <w:pPr>
              <w:ind w:left="113"/>
            </w:pPr>
            <w:r w:rsidRPr="00EC3C02">
              <w:rPr>
                <w:rFonts w:ascii="Open Sans" w:eastAsia="Open Sans" w:hAnsi="Open Sans" w:cs="Open Sans"/>
                <w:sz w:val="20"/>
                <w:szCs w:val="20"/>
              </w:rPr>
              <w:t>Cuentas Anuales del Ejercicio Anual Terminado el 31/12/2014 e Informe de Gestión, junto con el Informe de Auditoría</w:t>
            </w:r>
          </w:p>
        </w:tc>
        <w:tc>
          <w:tcPr>
            <w:tcW w:w="4248" w:type="dxa"/>
            <w:shd w:val="clear" w:color="auto" w:fill="auto"/>
            <w:vAlign w:val="center"/>
          </w:tcPr>
          <w:p w14:paraId="42E89DE5" w14:textId="77777777" w:rsidR="008E68EC" w:rsidRPr="00EC3C02" w:rsidRDefault="008E68EC" w:rsidP="008E68EC">
            <w:pPr>
              <w:ind w:left="113"/>
            </w:pPr>
            <w:r w:rsidRPr="00EC3C02">
              <w:rPr>
                <w:rFonts w:ascii="Open Sans" w:eastAsia="Open Sans" w:hAnsi="Open Sans" w:cs="Open Sans"/>
                <w:sz w:val="20"/>
                <w:szCs w:val="20"/>
              </w:rPr>
              <w:t>Informe Legal de Bankinter</w:t>
            </w:r>
          </w:p>
        </w:tc>
      </w:tr>
      <w:tr w:rsidR="008E68EC" w:rsidRPr="00EC3C02" w14:paraId="5BB7DE51" w14:textId="77777777" w:rsidTr="008E68EC">
        <w:trPr>
          <w:trHeight w:val="315"/>
        </w:trPr>
        <w:tc>
          <w:tcPr>
            <w:tcW w:w="4355" w:type="dxa"/>
            <w:shd w:val="clear" w:color="auto" w:fill="auto"/>
            <w:vAlign w:val="bottom"/>
          </w:tcPr>
          <w:p w14:paraId="64D3D4EB" w14:textId="77777777" w:rsidR="008E68EC" w:rsidRPr="00EC3C02" w:rsidRDefault="008E68EC" w:rsidP="008E68EC">
            <w:pPr>
              <w:ind w:left="113"/>
            </w:pPr>
            <w:r w:rsidRPr="00EC3C02">
              <w:rPr>
                <w:rFonts w:ascii="Open Sans" w:eastAsia="Open Sans" w:hAnsi="Open Sans" w:cs="Open Sans"/>
                <w:sz w:val="20"/>
                <w:szCs w:val="20"/>
              </w:rPr>
              <w:t>Texto Refundido del Reglamento del Consejo de Administración de Bankinter, S.A.</w:t>
            </w:r>
          </w:p>
        </w:tc>
        <w:tc>
          <w:tcPr>
            <w:tcW w:w="4248" w:type="dxa"/>
            <w:shd w:val="clear" w:color="auto" w:fill="auto"/>
            <w:vAlign w:val="center"/>
          </w:tcPr>
          <w:p w14:paraId="2D9C2EB0" w14:textId="77777777" w:rsidR="008E68EC" w:rsidRPr="00EC3C02" w:rsidRDefault="008E68EC" w:rsidP="008E68EC">
            <w:pPr>
              <w:ind w:left="113"/>
            </w:pPr>
            <w:r w:rsidRPr="00EC3C02">
              <w:rPr>
                <w:rFonts w:ascii="Open Sans" w:eastAsia="Open Sans" w:hAnsi="Open Sans" w:cs="Open Sans"/>
                <w:sz w:val="20"/>
                <w:szCs w:val="20"/>
              </w:rPr>
              <w:t>Reglamento del Consejo</w:t>
            </w:r>
          </w:p>
        </w:tc>
      </w:tr>
      <w:tr w:rsidR="008E68EC" w:rsidRPr="00EC3C02" w14:paraId="48A8633E" w14:textId="77777777" w:rsidTr="008E68EC">
        <w:trPr>
          <w:trHeight w:val="300"/>
        </w:trPr>
        <w:tc>
          <w:tcPr>
            <w:tcW w:w="4355" w:type="dxa"/>
            <w:shd w:val="clear" w:color="auto" w:fill="auto"/>
          </w:tcPr>
          <w:p w14:paraId="37D8B519" w14:textId="77777777" w:rsidR="008E68EC" w:rsidRPr="00EC3C02" w:rsidRDefault="008E68EC" w:rsidP="008E68EC">
            <w:pPr>
              <w:ind w:left="113"/>
              <w:rPr>
                <w:rFonts w:ascii="Open Sans" w:hAnsi="Open Sans" w:cs="Open Sans"/>
              </w:rPr>
            </w:pPr>
            <w:r w:rsidRPr="00EC3C02">
              <w:rPr>
                <w:rFonts w:ascii="Open Sans" w:eastAsia="Open Sans" w:hAnsi="Open Sans" w:cs="Open Sans"/>
                <w:sz w:val="20"/>
                <w:szCs w:val="20"/>
              </w:rPr>
              <w:t>Código de Ética Profesional del Grupo Bankinter 2013</w:t>
            </w:r>
          </w:p>
        </w:tc>
        <w:tc>
          <w:tcPr>
            <w:tcW w:w="4248" w:type="dxa"/>
            <w:shd w:val="clear" w:color="auto" w:fill="auto"/>
            <w:vAlign w:val="center"/>
          </w:tcPr>
          <w:p w14:paraId="0FA85A99" w14:textId="77777777" w:rsidR="008E68EC" w:rsidRPr="00EC3C02" w:rsidRDefault="008E68EC" w:rsidP="008E68EC">
            <w:pPr>
              <w:snapToGrid w:val="0"/>
              <w:rPr>
                <w:rFonts w:ascii="Open Sans" w:hAnsi="Open Sans" w:cs="Open Sans"/>
              </w:rPr>
            </w:pPr>
          </w:p>
        </w:tc>
      </w:tr>
      <w:tr w:rsidR="008E68EC" w:rsidRPr="00EC3C02" w14:paraId="341B3EC4" w14:textId="77777777" w:rsidTr="008E68EC">
        <w:trPr>
          <w:trHeight w:val="70"/>
        </w:trPr>
        <w:tc>
          <w:tcPr>
            <w:tcW w:w="4355" w:type="dxa"/>
            <w:shd w:val="clear" w:color="auto" w:fill="auto"/>
          </w:tcPr>
          <w:p w14:paraId="7EF41C2F" w14:textId="77777777" w:rsidR="008E68EC" w:rsidRPr="00EC3C02" w:rsidRDefault="008E68EC" w:rsidP="008E68EC">
            <w:pPr>
              <w:snapToGrid w:val="0"/>
              <w:ind w:left="113"/>
              <w:jc w:val="both"/>
              <w:rPr>
                <w:rFonts w:ascii="Open Sans" w:hAnsi="Open Sans" w:cs="Open Sans"/>
              </w:rPr>
            </w:pPr>
            <w:r w:rsidRPr="00EC3C02">
              <w:rPr>
                <w:rFonts w:ascii="Open Sans" w:eastAsia="Arial Unicode MS" w:hAnsi="Open Sans" w:cs="Open Sans"/>
                <w:color w:val="000000"/>
                <w:sz w:val="20"/>
                <w:szCs w:val="22"/>
              </w:rPr>
              <w:t>Informe con Relevancia Prudencial</w:t>
            </w:r>
          </w:p>
        </w:tc>
        <w:tc>
          <w:tcPr>
            <w:tcW w:w="4248" w:type="dxa"/>
            <w:shd w:val="clear" w:color="auto" w:fill="auto"/>
            <w:vAlign w:val="center"/>
          </w:tcPr>
          <w:p w14:paraId="75EA2F08" w14:textId="77777777" w:rsidR="008E68EC" w:rsidRPr="00EC3C02" w:rsidRDefault="008E68EC" w:rsidP="008E68EC">
            <w:pPr>
              <w:snapToGrid w:val="0"/>
              <w:jc w:val="both"/>
              <w:rPr>
                <w:rFonts w:ascii="Open Sans" w:eastAsia="Arial Unicode MS" w:hAnsi="Open Sans" w:cs="Open Sans"/>
                <w:sz w:val="22"/>
                <w:szCs w:val="22"/>
              </w:rPr>
            </w:pPr>
          </w:p>
        </w:tc>
      </w:tr>
    </w:tbl>
    <w:p w14:paraId="1443BE98" w14:textId="77777777" w:rsidR="008E68EC" w:rsidRDefault="008E68EC" w:rsidP="008E68EC">
      <w:pPr>
        <w:jc w:val="both"/>
        <w:rPr>
          <w:rFonts w:ascii="Open Sans" w:hAnsi="Open Sans" w:cs="Open Sans"/>
          <w:b/>
        </w:rPr>
      </w:pPr>
    </w:p>
    <w:p w14:paraId="05F39B73" w14:textId="77777777" w:rsidR="008E68EC" w:rsidRDefault="008E68EC" w:rsidP="008E68EC">
      <w:pPr>
        <w:jc w:val="both"/>
        <w:rPr>
          <w:rFonts w:ascii="Open Sans" w:hAnsi="Open Sans" w:cs="Open Sans"/>
          <w:b/>
        </w:rPr>
      </w:pPr>
    </w:p>
    <w:p w14:paraId="6D9F302A" w14:textId="77777777" w:rsidR="008E68EC" w:rsidRDefault="008E68EC" w:rsidP="008E68EC">
      <w:pPr>
        <w:jc w:val="both"/>
        <w:rPr>
          <w:rFonts w:ascii="Open Sans" w:hAnsi="Open Sans" w:cs="Open Sans"/>
          <w:b/>
        </w:rPr>
      </w:pPr>
    </w:p>
    <w:p w14:paraId="0F07AD9A" w14:textId="77777777" w:rsidR="008E68EC" w:rsidRDefault="008E68EC" w:rsidP="008E68EC">
      <w:pPr>
        <w:jc w:val="both"/>
      </w:pPr>
      <w:r>
        <w:rPr>
          <w:rFonts w:ascii="Open Sans" w:hAnsi="Open Sans" w:cs="Open Sans"/>
          <w:b/>
          <w:sz w:val="22"/>
          <w:szCs w:val="22"/>
          <w:u w:val="single"/>
        </w:rPr>
        <w:t>2. Tabla de resultados</w:t>
      </w:r>
    </w:p>
    <w:p w14:paraId="349BA79D" w14:textId="77777777" w:rsidR="008E68EC" w:rsidRDefault="008E68EC" w:rsidP="008E68EC">
      <w:pPr>
        <w:jc w:val="center"/>
        <w:rPr>
          <w:rFonts w:ascii="Open Sans" w:hAnsi="Open Sans" w:cs="Open Sans"/>
          <w:b/>
          <w:color w:val="FF0000"/>
          <w:sz w:val="22"/>
          <w:szCs w:val="22"/>
        </w:rPr>
      </w:pPr>
    </w:p>
    <w:p w14:paraId="527A147D" w14:textId="77777777" w:rsidR="008E68EC" w:rsidRDefault="008E68EC" w:rsidP="008E68EC">
      <w:pPr>
        <w:jc w:val="center"/>
        <w:rPr>
          <w:rFonts w:ascii="Open Sans" w:hAnsi="Open Sans" w:cs="Open Sans"/>
          <w:b/>
          <w:color w:val="FF0000"/>
          <w:sz w:val="22"/>
          <w:szCs w:val="22"/>
        </w:rPr>
      </w:pPr>
    </w:p>
    <w:p w14:paraId="3070F32D" w14:textId="77777777" w:rsidR="008E68EC" w:rsidRPr="007829A9" w:rsidRDefault="008E68EC" w:rsidP="008E68EC">
      <w:pPr>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782DD12C" w14:textId="77777777" w:rsidR="008E68EC" w:rsidRPr="00732FD5" w:rsidRDefault="008E68EC" w:rsidP="008E68EC">
      <w:pPr>
        <w:rPr>
          <w:rFonts w:ascii="Open Sans" w:hAnsi="Open Sans" w:cs="Arial"/>
          <w:b/>
        </w:rPr>
      </w:pPr>
    </w:p>
    <w:p w14:paraId="10BE7E4C" w14:textId="77777777" w:rsidR="008E68EC" w:rsidRDefault="008E68EC" w:rsidP="008E68EC">
      <w:pPr>
        <w:jc w:val="center"/>
      </w:pPr>
      <w:r>
        <w:rPr>
          <w:noProof/>
          <w:lang w:val="es-ES"/>
        </w:rPr>
        <w:drawing>
          <wp:inline distT="0" distB="0" distL="0" distR="0" wp14:anchorId="367678E9" wp14:editId="7A095C08">
            <wp:extent cx="3688080" cy="1859280"/>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76FFE014" w14:textId="77777777" w:rsidR="008E68EC" w:rsidRDefault="008E68EC" w:rsidP="008E68EC">
      <w:pPr>
        <w:jc w:val="center"/>
        <w:rPr>
          <w:rFonts w:ascii="Open Sans" w:hAnsi="Open Sans" w:cs="Open Sans"/>
          <w:b/>
          <w:color w:val="FF0000"/>
          <w:sz w:val="22"/>
          <w:szCs w:val="22"/>
        </w:rPr>
      </w:pPr>
    </w:p>
    <w:p w14:paraId="5144617E" w14:textId="77777777" w:rsidR="008E68EC" w:rsidRDefault="008E68EC" w:rsidP="008E68EC">
      <w:pPr>
        <w:rPr>
          <w:rFonts w:ascii="Open Sans" w:hAnsi="Open Sans" w:cs="Open Sans"/>
          <w:b/>
          <w:color w:val="FF0000"/>
          <w:sz w:val="22"/>
          <w:szCs w:val="22"/>
          <w:u w:val="single"/>
        </w:rPr>
      </w:pPr>
      <w:r>
        <w:rPr>
          <w:rFonts w:ascii="Open Sans" w:hAnsi="Open Sans" w:cs="Open Sans"/>
          <w:b/>
          <w:color w:val="FF0000"/>
          <w:sz w:val="22"/>
          <w:szCs w:val="22"/>
          <w:u w:val="single"/>
        </w:rPr>
        <w:br w:type="page"/>
      </w:r>
    </w:p>
    <w:p w14:paraId="475CECEC" w14:textId="77777777" w:rsidR="008E68EC" w:rsidRDefault="008E68EC" w:rsidP="008E68EC">
      <w:pPr>
        <w:jc w:val="center"/>
        <w:rPr>
          <w:rFonts w:ascii="Open Sans" w:hAnsi="Open Sans" w:cs="Open Sans"/>
          <w:b/>
          <w:color w:val="FF0000"/>
          <w:sz w:val="22"/>
          <w:szCs w:val="22"/>
          <w:u w:val="single"/>
        </w:rPr>
      </w:pPr>
    </w:p>
    <w:p w14:paraId="52FA04E2" w14:textId="77777777" w:rsidR="008E68EC" w:rsidRDefault="008E68EC" w:rsidP="008E68EC">
      <w:pPr>
        <w:jc w:val="both"/>
      </w:pPr>
      <w:r>
        <w:rPr>
          <w:rFonts w:ascii="Open Sans" w:hAnsi="Open Sans" w:cs="Open Sans"/>
          <w:b/>
          <w:sz w:val="22"/>
          <w:szCs w:val="22"/>
          <w:u w:val="single"/>
        </w:rPr>
        <w:t>3. Contexto general</w:t>
      </w:r>
    </w:p>
    <w:p w14:paraId="5C9A2233" w14:textId="77777777" w:rsidR="008E68EC" w:rsidRDefault="008E68EC" w:rsidP="008E68EC">
      <w:pPr>
        <w:jc w:val="both"/>
        <w:rPr>
          <w:rFonts w:ascii="Open Sans" w:hAnsi="Open Sans" w:cs="Open Sans"/>
          <w:sz w:val="20"/>
          <w:szCs w:val="20"/>
          <w:highlight w:val="white"/>
        </w:rPr>
      </w:pPr>
    </w:p>
    <w:p w14:paraId="201EDF0A" w14:textId="77777777" w:rsidR="008E68EC" w:rsidRDefault="008E68EC" w:rsidP="008E68EC">
      <w:pPr>
        <w:jc w:val="both"/>
      </w:pPr>
      <w:r>
        <w:rPr>
          <w:rFonts w:ascii="Open Sans" w:hAnsi="Open Sans" w:cs="Open Sans"/>
          <w:sz w:val="20"/>
          <w:szCs w:val="20"/>
          <w:highlight w:val="white"/>
        </w:rPr>
        <w:t>El Grupo Bankinter realiza principalmente actividades bancarias y negocio asegurador. Sus activos totales as</w:t>
      </w:r>
      <w:r>
        <w:rPr>
          <w:rFonts w:ascii="Open Sans" w:hAnsi="Open Sans" w:cs="Open Sans"/>
          <w:color w:val="000000"/>
          <w:sz w:val="20"/>
          <w:szCs w:val="20"/>
          <w:highlight w:val="white"/>
        </w:rPr>
        <w:t xml:space="preserve">cienden a más de </w:t>
      </w:r>
      <w:r>
        <w:rPr>
          <w:rFonts w:ascii="Open Sans" w:hAnsi="Open Sans" w:cs="Open Sans"/>
          <w:color w:val="000000"/>
          <w:sz w:val="20"/>
          <w:szCs w:val="20"/>
        </w:rPr>
        <w:t xml:space="preserve">58.659,8 </w:t>
      </w:r>
      <w:r>
        <w:rPr>
          <w:rFonts w:ascii="Open Sans" w:hAnsi="Open Sans" w:cs="Open Sans"/>
          <w:color w:val="000000"/>
          <w:sz w:val="20"/>
          <w:szCs w:val="20"/>
          <w:highlight w:val="white"/>
        </w:rPr>
        <w:t>millones de</w:t>
      </w:r>
      <w:r>
        <w:rPr>
          <w:rFonts w:ascii="Open Sans" w:hAnsi="Open Sans" w:cs="Open Sans"/>
          <w:sz w:val="20"/>
          <w:szCs w:val="20"/>
          <w:highlight w:val="white"/>
        </w:rPr>
        <w:t xml:space="preserve"> €, principalmente (un 75,3%) atribuidos a lnversiones Crediticias por Créditos a la Clientela. </w:t>
      </w:r>
    </w:p>
    <w:p w14:paraId="5B5F344F" w14:textId="77777777" w:rsidR="008E68EC" w:rsidRDefault="008E68EC" w:rsidP="008E68EC">
      <w:pPr>
        <w:jc w:val="both"/>
        <w:rPr>
          <w:rFonts w:ascii="Open Sans" w:hAnsi="Open Sans" w:cs="Open Sans"/>
          <w:sz w:val="20"/>
          <w:szCs w:val="20"/>
          <w:highlight w:val="white"/>
        </w:rPr>
      </w:pPr>
    </w:p>
    <w:p w14:paraId="6E66A4F2" w14:textId="77777777" w:rsidR="008E68EC" w:rsidRDefault="008E68EC" w:rsidP="008E68EC">
      <w:pPr>
        <w:jc w:val="both"/>
      </w:pPr>
      <w:r>
        <w:rPr>
          <w:rFonts w:ascii="Open Sans" w:hAnsi="Open Sans" w:cs="Open Sans"/>
          <w:sz w:val="20"/>
          <w:szCs w:val="20"/>
          <w:highlight w:val="white"/>
        </w:rPr>
        <w:t>El grupo opera exclusivamente en España a excepción de la filial que tiene en Luxemburgo que entró en funcionamiento en 2014. Para futuros ejercicios se incorporará en Portugal, gracias la compra de la red minorista de Barclays y a la adquisición por Bankinter Seguros de Vida (compañía conjunta de Mapfre con Bankinter) del negocio asegurador de Barclays en ese país aprobada en 2015 a formalizar en 2016.</w:t>
      </w:r>
    </w:p>
    <w:p w14:paraId="72D2C77B" w14:textId="77777777" w:rsidR="008E68EC" w:rsidRDefault="008E68EC" w:rsidP="008E68EC">
      <w:pPr>
        <w:jc w:val="both"/>
        <w:rPr>
          <w:rFonts w:ascii="Open Sans" w:hAnsi="Open Sans" w:cs="Open Sans"/>
          <w:sz w:val="20"/>
          <w:szCs w:val="20"/>
          <w:highlight w:val="white"/>
        </w:rPr>
      </w:pPr>
    </w:p>
    <w:p w14:paraId="1B3BA55C" w14:textId="77777777" w:rsidR="008E68EC" w:rsidRDefault="008E68EC" w:rsidP="008E68EC">
      <w:pPr>
        <w:jc w:val="both"/>
      </w:pPr>
      <w:r>
        <w:rPr>
          <w:rFonts w:ascii="Open Sans" w:hAnsi="Open Sans" w:cs="Open Sans"/>
          <w:sz w:val="20"/>
          <w:szCs w:val="20"/>
          <w:highlight w:val="white"/>
        </w:rPr>
        <w:t>Las Cuentas Anuales Consolidadas del grupo reflejan mejores resultados en la Cuenta de Pérdidas y Ganancias. El Margen de Intereses ha aumentado un 15% y el Margen Bruto un 8,28%. Los Resu</w:t>
      </w:r>
      <w:r>
        <w:rPr>
          <w:rFonts w:ascii="Open Sans" w:hAnsi="Open Sans" w:cs="Open Sans"/>
          <w:color w:val="000000"/>
          <w:sz w:val="20"/>
          <w:szCs w:val="20"/>
          <w:highlight w:val="white"/>
        </w:rPr>
        <w:t>ltados de la Actividad de Explotación (</w:t>
      </w:r>
      <w:r>
        <w:rPr>
          <w:rFonts w:ascii="Open Sans" w:hAnsi="Open Sans" w:cs="Open Sans"/>
          <w:color w:val="000000"/>
          <w:sz w:val="20"/>
          <w:szCs w:val="20"/>
        </w:rPr>
        <w:t>negocio ordinario con clientes)</w:t>
      </w:r>
      <w:r>
        <w:rPr>
          <w:rFonts w:ascii="Open Sans" w:hAnsi="Open Sans" w:cs="Open Sans"/>
          <w:color w:val="000000"/>
          <w:sz w:val="20"/>
          <w:szCs w:val="20"/>
          <w:highlight w:val="white"/>
        </w:rPr>
        <w:t xml:space="preserve"> </w:t>
      </w:r>
      <w:r>
        <w:rPr>
          <w:rFonts w:ascii="Open Sans" w:hAnsi="Open Sans" w:cs="Open Sans"/>
          <w:sz w:val="20"/>
          <w:szCs w:val="20"/>
          <w:highlight w:val="white"/>
        </w:rPr>
        <w:t xml:space="preserve">han incrementado cerca de un 32%, igual que los BAI principalmente debido a la disminución de costes imputados en las partidas de “Pérdidas por deterioro de activos financieros”, “Inversiones Crediticias” y “Otros instrumentos financieros no valorados a valor razonable con cambios en pérdidas y ganancias”. Sin embargo, la tasa impositiva efectiva ha sido dos puntos porcentuales inferior al 2014 (del 29,77% ha pasado al 27,77%) debido a la aplicación de diversos beneficios fiscales detallados más adelante y a la rebaja del tipo de gravamen en actividades no de crédito. Esta rebaja impositiva efectiva ha supuesto un ahorro de 10 millones de € respecto al tipo impositivo efectivo de 2014 y de 11,6 millones de € con respecto al tipo de gravamen establecido para las entidades de crédito. Como </w:t>
      </w:r>
      <w:r>
        <w:rPr>
          <w:rFonts w:ascii="Open Sans" w:hAnsi="Open Sans" w:cs="Open Sans"/>
          <w:color w:val="000000"/>
          <w:sz w:val="20"/>
          <w:szCs w:val="20"/>
        </w:rPr>
        <w:t>consecuencia el Resultado Neto ha aumentado un 36%, hecho que se reflejado en un incremento del beneficio por acción (básico y diluido) del 35%.</w:t>
      </w:r>
    </w:p>
    <w:p w14:paraId="5A436EA5" w14:textId="77777777" w:rsidR="008E68EC" w:rsidRDefault="008E68EC" w:rsidP="008E68EC">
      <w:pPr>
        <w:jc w:val="both"/>
        <w:rPr>
          <w:rFonts w:ascii="Open Sans" w:hAnsi="Open Sans" w:cs="Open Sans"/>
          <w:color w:val="000000"/>
          <w:sz w:val="20"/>
          <w:szCs w:val="20"/>
        </w:rPr>
      </w:pPr>
    </w:p>
    <w:p w14:paraId="67F8A0EE" w14:textId="77777777" w:rsidR="008E68EC" w:rsidRDefault="008E68EC" w:rsidP="008E68EC">
      <w:pPr>
        <w:jc w:val="both"/>
      </w:pPr>
      <w:r>
        <w:rPr>
          <w:rFonts w:ascii="Open Sans" w:hAnsi="Open Sans" w:cs="Open Sans"/>
          <w:color w:val="000000"/>
          <w:sz w:val="20"/>
          <w:szCs w:val="20"/>
        </w:rPr>
        <w:t xml:space="preserve">En las entrevistas al Presidente y a la Consejera Delegada que se incorporan a modo de introducción al Informe Integrado Anual se valora el ejercicio muy positivamente, no sólo por los resultados sino por el crecimiento en activos totales, depósitos, crédito y volumen neto de empleados.  Según apunta la Consejera Delegada, ha sido en gran parte debido al crecimiento de Bankinter Consumer Finance (71% en cifras de inversión) y al segmento de Banca Personal (crecimiento de margen bruto superior al 50%). Así mismo se destaca la reducción de la tasa de morosidad hasta el 4,1% (muy inferior al 10,3% de la media del sector). </w:t>
      </w:r>
    </w:p>
    <w:p w14:paraId="4842C75E" w14:textId="77777777" w:rsidR="008E68EC" w:rsidRDefault="008E68EC" w:rsidP="008E68EC">
      <w:pPr>
        <w:jc w:val="both"/>
        <w:rPr>
          <w:rFonts w:ascii="Open Sans" w:hAnsi="Open Sans" w:cs="Open Sans"/>
          <w:color w:val="000000"/>
          <w:sz w:val="20"/>
          <w:szCs w:val="20"/>
        </w:rPr>
      </w:pPr>
    </w:p>
    <w:p w14:paraId="44E7331F" w14:textId="77777777" w:rsidR="008E68EC" w:rsidRDefault="008E68EC" w:rsidP="008E68EC">
      <w:pPr>
        <w:jc w:val="both"/>
      </w:pPr>
      <w:r>
        <w:rPr>
          <w:rFonts w:ascii="Open Sans" w:hAnsi="Open Sans" w:cs="Open Sans"/>
          <w:color w:val="000000"/>
          <w:sz w:val="20"/>
          <w:szCs w:val="20"/>
        </w:rPr>
        <w:t xml:space="preserve">Respecto a su política de RSC, el primer periodo del Plan ‘Tres en Raya’ ha finalizado con el ejercicio 2015. La entidad ha diseñado uno nuevo Plan para el periodo 2016-20, con el mismo nombre, que se articula igualmente en tres ejes. </w:t>
      </w:r>
    </w:p>
    <w:p w14:paraId="74A0FB29" w14:textId="77777777" w:rsidR="008E68EC" w:rsidRDefault="008E68EC" w:rsidP="008E68EC">
      <w:pPr>
        <w:jc w:val="both"/>
      </w:pPr>
    </w:p>
    <w:p w14:paraId="5ED037FF" w14:textId="77777777" w:rsidR="008E68EC" w:rsidRDefault="008E68EC" w:rsidP="008E68EC">
      <w:pPr>
        <w:jc w:val="both"/>
      </w:pPr>
      <w:r>
        <w:rPr>
          <w:noProof/>
          <w:lang w:val="es-ES"/>
        </w:rPr>
        <w:drawing>
          <wp:anchor distT="0" distB="0" distL="0" distR="0" simplePos="0" relativeHeight="251683840" behindDoc="0" locked="0" layoutInCell="1" allowOverlap="1" wp14:anchorId="541C937E" wp14:editId="67533AE3">
            <wp:simplePos x="0" y="0"/>
            <wp:positionH relativeFrom="column">
              <wp:align>center</wp:align>
            </wp:positionH>
            <wp:positionV relativeFrom="paragraph">
              <wp:posOffset>12700</wp:posOffset>
            </wp:positionV>
            <wp:extent cx="5215890" cy="2393315"/>
            <wp:effectExtent l="25400" t="25400" r="16510" b="19685"/>
            <wp:wrapSquare wrapText="largest"/>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a:ext>
                      </a:extLst>
                    </a:blip>
                    <a:srcRect/>
                    <a:stretch>
                      <a:fillRect/>
                    </a:stretch>
                  </pic:blipFill>
                  <pic:spPr bwMode="auto">
                    <a:xfrm>
                      <a:off x="0" y="0"/>
                      <a:ext cx="5215890" cy="2393724"/>
                    </a:xfrm>
                    <a:prstGeom prst="rect">
                      <a:avLst/>
                    </a:prstGeom>
                    <a:solidFill>
                      <a:srgbClr val="FFFFFF"/>
                    </a:solid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5012540" w14:textId="77777777" w:rsidR="008E68EC" w:rsidRDefault="008E68EC" w:rsidP="008E68EC">
      <w:pPr>
        <w:jc w:val="both"/>
      </w:pPr>
      <w:r>
        <w:rPr>
          <w:rFonts w:ascii="Open Sans" w:eastAsia="Open Sans" w:hAnsi="Open Sans" w:cs="Open Sans"/>
          <w:color w:val="000000"/>
          <w:sz w:val="20"/>
          <w:szCs w:val="20"/>
        </w:rPr>
        <w:t xml:space="preserve">El Plan y la Política de Sostenibilidad están disponibles en la web corporativa de la entidad. </w:t>
      </w:r>
    </w:p>
    <w:p w14:paraId="47FEEC81" w14:textId="77777777" w:rsidR="008E68EC" w:rsidRDefault="008E68EC" w:rsidP="008E68EC">
      <w:pPr>
        <w:jc w:val="both"/>
        <w:rPr>
          <w:color w:val="000000"/>
        </w:rPr>
      </w:pPr>
    </w:p>
    <w:p w14:paraId="19C3EC34" w14:textId="77777777" w:rsidR="008E68EC" w:rsidRDefault="008E68EC" w:rsidP="008E68EC">
      <w:pPr>
        <w:jc w:val="both"/>
        <w:rPr>
          <w:rFonts w:ascii="Open Sans" w:hAnsi="Open Sans" w:cs="Open Sans"/>
          <w:color w:val="FF0000"/>
          <w:sz w:val="20"/>
          <w:szCs w:val="20"/>
        </w:rPr>
      </w:pPr>
      <w:r>
        <w:rPr>
          <w:rFonts w:ascii="Open Sans" w:eastAsia="Open Sans" w:hAnsi="Open Sans" w:cs="Open Sans"/>
          <w:color w:val="000000"/>
          <w:sz w:val="20"/>
          <w:szCs w:val="20"/>
        </w:rPr>
        <w:t xml:space="preserve">Bankinter mantiene su cotización en el índice bursátil FTSE4Good de inversión socialmente responsable y sigue adherido a la Red Española de Pacto Mundial de Naciones Unidas, Carbon Disclosure Project, Global Reporting Initiative y Empresa Familiarmente Responsable. Este año ha adoptado el Código de Buenas Prácticas Tributarias del Agencia Tributaria, incorporando un compromiso específico de la empresa con la fiscalidad responsable. A pesar de que la misma entidad declara que </w:t>
      </w:r>
      <w:proofErr w:type="gramStart"/>
      <w:r>
        <w:rPr>
          <w:rFonts w:ascii="Open Sans" w:eastAsia="Open Sans" w:hAnsi="Open Sans" w:cs="Open Sans"/>
          <w:color w:val="000000"/>
          <w:sz w:val="20"/>
          <w:szCs w:val="20"/>
        </w:rPr>
        <w:t>“</w:t>
      </w:r>
      <w:r>
        <w:rPr>
          <w:rFonts w:ascii="Open Sans" w:eastAsia="Open Sans" w:hAnsi="Open Sans" w:cs="Open Sans"/>
          <w:bCs/>
          <w:i/>
          <w:iCs/>
          <w:color w:val="000000"/>
          <w:sz w:val="20"/>
          <w:szCs w:val="20"/>
        </w:rPr>
        <w:t xml:space="preserve"> A</w:t>
      </w:r>
      <w:proofErr w:type="gramEnd"/>
      <w:r>
        <w:rPr>
          <w:rFonts w:ascii="Open Sans" w:eastAsia="Open Sans" w:hAnsi="Open Sans" w:cs="Open Sans"/>
          <w:bCs/>
          <w:i/>
          <w:iCs/>
          <w:color w:val="000000"/>
          <w:sz w:val="20"/>
          <w:szCs w:val="20"/>
        </w:rPr>
        <w:t xml:space="preserve"> estos efectos, en el marco de su responsabilidad social y corporativa, BANKINTER reconoce la función social del sistema tributario y, por ello, pretende que el desarrollo de la función tributaria en el Grupo atienda igualmente al interés social y al de sus grupos de interés, así como el valor que otorga a la confianza de la comunidad en la que opera.”</w:t>
      </w:r>
      <w:r>
        <w:rPr>
          <w:rStyle w:val="Refdenotaalpie"/>
          <w:rFonts w:ascii="Open Sans" w:eastAsia="Open Sans" w:hAnsi="Open Sans" w:cs="Open Sans"/>
          <w:bCs/>
          <w:i/>
          <w:iCs/>
          <w:color w:val="000000"/>
          <w:sz w:val="20"/>
          <w:szCs w:val="20"/>
        </w:rPr>
        <w:footnoteReference w:id="453"/>
      </w:r>
      <w:r>
        <w:rPr>
          <w:rStyle w:val="Refdenotaalpie"/>
          <w:rFonts w:ascii="Open Sans" w:eastAsia="Open Sans" w:hAnsi="Open Sans" w:cs="Open Sans"/>
          <w:bCs/>
          <w:i/>
          <w:iCs/>
          <w:color w:val="000000"/>
          <w:sz w:val="20"/>
          <w:szCs w:val="20"/>
        </w:rPr>
        <w:t xml:space="preserve">, </w:t>
      </w:r>
      <w:proofErr w:type="gramStart"/>
      <w:r>
        <w:rPr>
          <w:rFonts w:ascii="Open Sans" w:eastAsia="Open Sans" w:hAnsi="Open Sans" w:cs="Open Sans"/>
          <w:color w:val="000000"/>
          <w:sz w:val="20"/>
          <w:szCs w:val="20"/>
        </w:rPr>
        <w:t>n</w:t>
      </w:r>
      <w:r>
        <w:rPr>
          <w:rFonts w:ascii="Open Sans" w:hAnsi="Open Sans" w:cs="Open Sans"/>
          <w:color w:val="000000"/>
          <w:sz w:val="20"/>
          <w:szCs w:val="20"/>
        </w:rPr>
        <w:t>i</w:t>
      </w:r>
      <w:proofErr w:type="gramEnd"/>
      <w:r>
        <w:rPr>
          <w:rFonts w:ascii="Open Sans" w:hAnsi="Open Sans" w:cs="Open Sans"/>
          <w:color w:val="000000"/>
          <w:sz w:val="20"/>
          <w:szCs w:val="20"/>
        </w:rPr>
        <w:t xml:space="preserve"> en la Política de Sostenibilidad, ni en el Plan de Sostenibilidad, ni el Informe Integrado Anual se ha encontrado referencia a aspectos relacionados con fiscalidad responsable. Las referencias al respecto las encontramos en los Informes Legales, en el Informe de Gobierno Corporativo y en el Texto Refundido sobre el Reglamento del Consejo de Administración, como se verá más adelante son insuficientes y no proporcionan toda la información necesaria para poder valorar el comportamiento de la entidad al respecto. </w:t>
      </w:r>
    </w:p>
    <w:p w14:paraId="0C494A7B" w14:textId="77777777" w:rsidR="008E68EC" w:rsidRDefault="008E68EC" w:rsidP="008E68EC">
      <w:pPr>
        <w:jc w:val="both"/>
        <w:rPr>
          <w:rFonts w:ascii="Open Sans" w:hAnsi="Open Sans" w:cs="Open Sans"/>
          <w:color w:val="FF0000"/>
          <w:sz w:val="20"/>
          <w:szCs w:val="20"/>
        </w:rPr>
      </w:pPr>
    </w:p>
    <w:p w14:paraId="72BAFE03" w14:textId="77777777" w:rsidR="008E68EC" w:rsidRPr="002D2EC2" w:rsidRDefault="008E68EC" w:rsidP="008E68EC">
      <w:pPr>
        <w:jc w:val="both"/>
        <w:rPr>
          <w:rFonts w:ascii="Open Sans" w:hAnsi="Open Sans" w:cs="Open Sans"/>
          <w:sz w:val="20"/>
          <w:szCs w:val="20"/>
        </w:rPr>
      </w:pPr>
      <w:r w:rsidRPr="002D2EC2">
        <w:rPr>
          <w:rFonts w:ascii="Open Sans" w:hAnsi="Open Sans" w:cs="Open Sans"/>
          <w:sz w:val="20"/>
          <w:szCs w:val="20"/>
        </w:rPr>
        <w:t>Uno de los riesgos a los que están sujetas las entidades es al riesgo fiscal. Este riesgo se puede derivar de las propias actividades por incumplimiento directo de la norma tributaria o bien porqué se actuó en la creencia del cumplimiento correcto de sus obligaciones tributarias, pero puede surgir discrepancias por cambios interpretativos de consultas tributarias, doctrina administrativa o jurisprudencia.</w:t>
      </w:r>
    </w:p>
    <w:p w14:paraId="0AAFB52D" w14:textId="77777777" w:rsidR="008E68EC" w:rsidRPr="002D2EC2" w:rsidRDefault="008E68EC" w:rsidP="008E68EC">
      <w:pPr>
        <w:jc w:val="both"/>
        <w:rPr>
          <w:rFonts w:ascii="Open Sans" w:hAnsi="Open Sans" w:cs="Open Sans"/>
          <w:sz w:val="20"/>
          <w:szCs w:val="20"/>
        </w:rPr>
      </w:pPr>
    </w:p>
    <w:p w14:paraId="11C62B09" w14:textId="77777777" w:rsidR="008E68EC" w:rsidRPr="002D2EC2" w:rsidRDefault="008E68EC" w:rsidP="008E68EC">
      <w:pPr>
        <w:jc w:val="both"/>
        <w:rPr>
          <w:rFonts w:ascii="Open Sans" w:hAnsi="Open Sans" w:cs="Open Sans"/>
          <w:sz w:val="20"/>
          <w:szCs w:val="20"/>
        </w:rPr>
      </w:pPr>
      <w:r w:rsidRPr="002D2EC2">
        <w:rPr>
          <w:rFonts w:ascii="Open Sans" w:hAnsi="Open Sans" w:cs="Open Sans"/>
          <w:sz w:val="20"/>
          <w:szCs w:val="20"/>
        </w:rPr>
        <w:t>Como ya se comentó en el análisis del ejercicio 2014, el informe de la OCDE de 2009 “Building Transparent Tax Compliance by Banks”</w:t>
      </w:r>
      <w:r w:rsidRPr="002D2EC2">
        <w:rPr>
          <w:rStyle w:val="Refdenotaalpie"/>
          <w:rFonts w:ascii="Open Sans" w:hAnsi="Open Sans" w:cs="Open Sans"/>
          <w:sz w:val="20"/>
          <w:szCs w:val="20"/>
        </w:rPr>
        <w:t xml:space="preserve"> </w:t>
      </w:r>
      <w:r w:rsidRPr="002D2EC2">
        <w:rPr>
          <w:rStyle w:val="Refdenotaalpie"/>
          <w:rFonts w:ascii="Open Sans" w:hAnsi="Open Sans" w:cs="Open Sans"/>
          <w:sz w:val="20"/>
          <w:szCs w:val="20"/>
        </w:rPr>
        <w:footnoteReference w:id="454"/>
      </w:r>
      <w:r w:rsidRPr="002D2EC2">
        <w:rPr>
          <w:rFonts w:ascii="Open Sans" w:hAnsi="Open Sans" w:cs="Open Sans"/>
          <w:sz w:val="20"/>
          <w:szCs w:val="20"/>
        </w:rPr>
        <w:t xml:space="preserve"> sostiene que, el conocimiento sobre el sistema fiscal y su interacción con los clientes, sitúa al sector bancario en una posición de responsabilidad única. Los bancos deben ser alentados a ofrecer un grado de transparencia "por encima del mínimo legal requerido". Asimismo, dada la complejidad de los sistemas fiscales de los países en vías de desarrollo, es importante que los bancos que operan en esos países lo hagan de forma transparente y que tengan relaciones constructivas y de colaboración con las autoridades fiscales. Del mismo modo, es importante resaltar el doble riesgo que entraña la presencia de entidades financieras en paraísos fiscales tanto por el riesgo de elusión fiscal por parte de la propia empresa, como por el riesgo de elusión fiscal por parte de los clientes. Así, la presencia de sociedades del Grupo en territorios con baja o nula fiscalidad para no residentes, puede facilitar también la operativa de sus clientes en tales territorios, clientes que a su vez presentan también un incremento del riesgo de elusión fiscal. A diferencia de otras empresas, los bancos tienen acceso a una inmensa cantidad de capital. Este capital puede ser utilizado como base para facilitar los mecanismos de evasión diseñados e implementados por otros de los que los bancos pueden beneficiarse, por ejemplo, a través de la participación en los beneficios fiscales directamente o por condiciones de los préstamos más rentables</w:t>
      </w:r>
    </w:p>
    <w:p w14:paraId="7A6DA7C5" w14:textId="77777777" w:rsidR="008E68EC" w:rsidRPr="002D2EC2" w:rsidRDefault="008E68EC" w:rsidP="008E68EC">
      <w:pPr>
        <w:jc w:val="both"/>
        <w:rPr>
          <w:rFonts w:ascii="Open Sans" w:hAnsi="Open Sans" w:cs="Open Sans"/>
          <w:sz w:val="20"/>
          <w:szCs w:val="20"/>
        </w:rPr>
      </w:pPr>
    </w:p>
    <w:p w14:paraId="5BCA36E9" w14:textId="77777777" w:rsidR="008E68EC" w:rsidRPr="002D2EC2" w:rsidRDefault="008E68EC" w:rsidP="008E68EC">
      <w:pPr>
        <w:jc w:val="both"/>
        <w:rPr>
          <w:rFonts w:ascii="Open Sans" w:hAnsi="Open Sans" w:cs="Open Sans"/>
          <w:sz w:val="20"/>
          <w:szCs w:val="20"/>
        </w:rPr>
      </w:pPr>
      <w:r w:rsidRPr="002D2EC2">
        <w:rPr>
          <w:rFonts w:ascii="Open Sans" w:hAnsi="Open Sans" w:cs="Open Sans"/>
          <w:sz w:val="20"/>
          <w:szCs w:val="20"/>
        </w:rPr>
        <w:t>Por otro lado, la responsabilidad fiscal va más allá del estricto cumplimiento de la norma. Un comportamiento fiscal responsable tiene en cuenta las consecuencias sociales que se derivan puesto que cada vez es mayor el número de investigaciones que establecen una relación entre fiscalidad y derechos humanos, y más concretamente que consideran el impacto de la política fiscal y tributaria en el disfrute de los derechos humanos de las sociedades que viven en la pobreza. Las investigaciones apuntan a que bajos niveles de ingreso fiscales nacionales podrían ser un obstáculo importante para el cumplimiento de la obligación del Estado de garantizar los derechos humanos.</w:t>
      </w:r>
    </w:p>
    <w:p w14:paraId="77A97CB5" w14:textId="77777777" w:rsidR="008E68EC" w:rsidRDefault="008E68EC" w:rsidP="008E68EC">
      <w:pPr>
        <w:jc w:val="both"/>
        <w:rPr>
          <w:rFonts w:ascii="Open Sans" w:hAnsi="Open Sans" w:cs="Open Sans"/>
          <w:color w:val="FF0000"/>
          <w:sz w:val="20"/>
          <w:szCs w:val="20"/>
        </w:rPr>
      </w:pPr>
    </w:p>
    <w:p w14:paraId="3C221375" w14:textId="77777777" w:rsidR="008E68EC" w:rsidRDefault="008E68EC" w:rsidP="008E68EC">
      <w:pPr>
        <w:jc w:val="both"/>
        <w:rPr>
          <w:rFonts w:ascii="Open Sans" w:hAnsi="Open Sans" w:cs="Open Sans"/>
          <w:color w:val="000000"/>
          <w:sz w:val="20"/>
          <w:szCs w:val="20"/>
          <w:highlight w:val="yellow"/>
        </w:rPr>
      </w:pPr>
    </w:p>
    <w:p w14:paraId="025131F8" w14:textId="77777777" w:rsidR="008E68EC" w:rsidRDefault="008E68EC" w:rsidP="008E68EC">
      <w:pPr>
        <w:jc w:val="both"/>
      </w:pPr>
      <w:r>
        <w:rPr>
          <w:rFonts w:ascii="Open Sans" w:hAnsi="Open Sans" w:cs="Open Sans"/>
          <w:b/>
          <w:sz w:val="22"/>
          <w:szCs w:val="22"/>
          <w:u w:val="single"/>
        </w:rPr>
        <w:t>4. Análisis</w:t>
      </w:r>
    </w:p>
    <w:p w14:paraId="7FF6AEFD" w14:textId="77777777" w:rsidR="008E68EC" w:rsidRDefault="008E68EC" w:rsidP="008E68EC">
      <w:pPr>
        <w:jc w:val="both"/>
      </w:pPr>
    </w:p>
    <w:p w14:paraId="35A40D15" w14:textId="77777777" w:rsidR="008E68EC" w:rsidRDefault="008E68EC" w:rsidP="008E68EC">
      <w:pPr>
        <w:jc w:val="both"/>
        <w:rPr>
          <w:rFonts w:ascii="Open Sans" w:eastAsia="Open Sans" w:hAnsi="Open Sans" w:cs="Open Sans"/>
          <w:sz w:val="20"/>
          <w:szCs w:val="20"/>
        </w:rPr>
      </w:pPr>
      <w:r>
        <w:rPr>
          <w:rFonts w:ascii="Open Sans" w:eastAsia="Open Sans" w:hAnsi="Open Sans" w:cs="Open Sans"/>
          <w:sz w:val="20"/>
          <w:szCs w:val="20"/>
        </w:rPr>
        <w:t xml:space="preserve">Durante el 2015 Bankinter informa de dos empresas participadas domiciliadas en </w:t>
      </w:r>
      <w:r w:rsidRPr="00186AFD">
        <w:rPr>
          <w:rFonts w:ascii="Open Sans" w:eastAsia="Open Sans" w:hAnsi="Open Sans" w:cs="Open Sans"/>
          <w:bCs/>
          <w:i/>
          <w:iCs/>
          <w:sz w:val="20"/>
          <w:szCs w:val="20"/>
        </w:rPr>
        <w:t>territorios off-shore</w:t>
      </w:r>
      <w:r>
        <w:rPr>
          <w:rFonts w:ascii="Open Sans" w:eastAsia="Open Sans" w:hAnsi="Open Sans" w:cs="Open Sans"/>
          <w:sz w:val="20"/>
          <w:szCs w:val="20"/>
        </w:rPr>
        <w:t xml:space="preserve"> (paraísos o nichos fiscales) de acuerdo con la metodología utilizada por el Observatorio de Responsabilidad Social Corporativa para el presente análisis. </w:t>
      </w:r>
    </w:p>
    <w:p w14:paraId="7196C20E" w14:textId="77777777" w:rsidR="008E68EC" w:rsidRDefault="008E68EC" w:rsidP="008E68EC">
      <w:pPr>
        <w:jc w:val="both"/>
      </w:pPr>
    </w:p>
    <w:p w14:paraId="3F9F94B6" w14:textId="77777777" w:rsidR="008E68EC" w:rsidRDefault="008E68EC" w:rsidP="008E68EC">
      <w:pPr>
        <w:jc w:val="both"/>
        <w:rPr>
          <w:rFonts w:ascii="Open Sans" w:hAnsi="Open Sans" w:cs="Open Sans"/>
        </w:rPr>
      </w:pPr>
    </w:p>
    <w:tbl>
      <w:tblPr>
        <w:tblW w:w="0" w:type="auto"/>
        <w:tblInd w:w="263" w:type="dxa"/>
        <w:tblLayout w:type="fixed"/>
        <w:tblLook w:val="0000" w:firstRow="0" w:lastRow="0" w:firstColumn="0" w:lastColumn="0" w:noHBand="0" w:noVBand="0"/>
      </w:tblPr>
      <w:tblGrid>
        <w:gridCol w:w="2720"/>
        <w:gridCol w:w="2610"/>
        <w:gridCol w:w="2850"/>
      </w:tblGrid>
      <w:tr w:rsidR="008E68EC" w:rsidRPr="00186AFD" w14:paraId="48A6F087" w14:textId="77777777" w:rsidTr="008E68EC">
        <w:trPr>
          <w:trHeight w:val="400"/>
        </w:trPr>
        <w:tc>
          <w:tcPr>
            <w:tcW w:w="2720" w:type="dxa"/>
            <w:tcBorders>
              <w:top w:val="single" w:sz="4" w:space="0" w:color="000001"/>
              <w:left w:val="single" w:sz="4" w:space="0" w:color="000001"/>
              <w:bottom w:val="single" w:sz="4" w:space="0" w:color="000001"/>
            </w:tcBorders>
            <w:shd w:val="clear" w:color="auto" w:fill="BFBFBF"/>
            <w:vAlign w:val="center"/>
          </w:tcPr>
          <w:p w14:paraId="6818ED3F" w14:textId="77777777" w:rsidR="008E68EC" w:rsidRPr="00186AFD" w:rsidRDefault="008E68EC" w:rsidP="008E68EC">
            <w:pPr>
              <w:jc w:val="center"/>
              <w:rPr>
                <w:sz w:val="20"/>
                <w:szCs w:val="20"/>
              </w:rPr>
            </w:pPr>
            <w:r w:rsidRPr="00186AFD">
              <w:rPr>
                <w:rFonts w:ascii="Open Sans" w:hAnsi="Open Sans" w:cs="Open Sans"/>
                <w:b/>
                <w:bCs/>
                <w:color w:val="000000"/>
                <w:sz w:val="20"/>
                <w:szCs w:val="20"/>
              </w:rPr>
              <w:t>Nombre de la Sociedad</w:t>
            </w:r>
          </w:p>
        </w:tc>
        <w:tc>
          <w:tcPr>
            <w:tcW w:w="2610" w:type="dxa"/>
            <w:tcBorders>
              <w:top w:val="single" w:sz="4" w:space="0" w:color="000001"/>
              <w:left w:val="single" w:sz="4" w:space="0" w:color="000001"/>
              <w:bottom w:val="single" w:sz="4" w:space="0" w:color="000001"/>
            </w:tcBorders>
            <w:shd w:val="clear" w:color="auto" w:fill="BFBFBF"/>
            <w:vAlign w:val="center"/>
          </w:tcPr>
          <w:p w14:paraId="1F526FA4" w14:textId="77777777" w:rsidR="008E68EC" w:rsidRPr="00186AFD" w:rsidRDefault="008E68EC" w:rsidP="008E68EC">
            <w:pPr>
              <w:jc w:val="center"/>
              <w:rPr>
                <w:sz w:val="20"/>
                <w:szCs w:val="20"/>
              </w:rPr>
            </w:pPr>
            <w:r w:rsidRPr="00186AFD">
              <w:rPr>
                <w:rFonts w:ascii="Open Sans" w:hAnsi="Open Sans" w:cs="Open Sans"/>
                <w:b/>
                <w:bCs/>
                <w:color w:val="000000"/>
                <w:sz w:val="20"/>
                <w:szCs w:val="20"/>
              </w:rPr>
              <w:t>Jurisdicción</w:t>
            </w:r>
          </w:p>
        </w:tc>
        <w:tc>
          <w:tcPr>
            <w:tcW w:w="2850" w:type="dxa"/>
            <w:tcBorders>
              <w:top w:val="single" w:sz="4" w:space="0" w:color="000001"/>
              <w:left w:val="single" w:sz="4" w:space="0" w:color="000001"/>
              <w:bottom w:val="single" w:sz="4" w:space="0" w:color="000001"/>
              <w:right w:val="single" w:sz="4" w:space="0" w:color="000001"/>
            </w:tcBorders>
            <w:shd w:val="clear" w:color="auto" w:fill="BFBFBF"/>
            <w:vAlign w:val="center"/>
          </w:tcPr>
          <w:p w14:paraId="3891B3AE" w14:textId="77777777" w:rsidR="008E68EC" w:rsidRPr="00186AFD" w:rsidRDefault="008E68EC" w:rsidP="008E68EC">
            <w:pPr>
              <w:jc w:val="center"/>
              <w:rPr>
                <w:sz w:val="20"/>
                <w:szCs w:val="20"/>
              </w:rPr>
            </w:pPr>
            <w:r w:rsidRPr="00186AFD">
              <w:rPr>
                <w:rFonts w:ascii="Open Sans" w:hAnsi="Open Sans" w:cs="Open Sans"/>
                <w:b/>
                <w:bCs/>
                <w:color w:val="000000"/>
                <w:sz w:val="20"/>
                <w:szCs w:val="20"/>
              </w:rPr>
              <w:t>Actividad</w:t>
            </w:r>
          </w:p>
        </w:tc>
      </w:tr>
      <w:tr w:rsidR="008E68EC" w:rsidRPr="00186AFD" w14:paraId="256B3DF8" w14:textId="77777777" w:rsidTr="008E68EC">
        <w:tc>
          <w:tcPr>
            <w:tcW w:w="2720" w:type="dxa"/>
            <w:tcBorders>
              <w:top w:val="single" w:sz="4" w:space="0" w:color="000001"/>
              <w:left w:val="single" w:sz="4" w:space="0" w:color="000001"/>
              <w:bottom w:val="single" w:sz="4" w:space="0" w:color="000001"/>
            </w:tcBorders>
            <w:shd w:val="clear" w:color="auto" w:fill="auto"/>
            <w:vAlign w:val="center"/>
          </w:tcPr>
          <w:p w14:paraId="47664E79" w14:textId="77777777" w:rsidR="008E68EC" w:rsidRPr="00186AFD" w:rsidRDefault="008E68EC" w:rsidP="008E68EC">
            <w:pPr>
              <w:rPr>
                <w:sz w:val="20"/>
                <w:szCs w:val="20"/>
              </w:rPr>
            </w:pPr>
            <w:r w:rsidRPr="00186AFD">
              <w:rPr>
                <w:rFonts w:ascii="Open Sans" w:eastAsia="Open Sans" w:hAnsi="Open Sans" w:cs="Open Sans"/>
                <w:sz w:val="20"/>
                <w:szCs w:val="20"/>
              </w:rPr>
              <w:t>Castellana Finance Limited</w:t>
            </w:r>
          </w:p>
        </w:tc>
        <w:tc>
          <w:tcPr>
            <w:tcW w:w="2610" w:type="dxa"/>
            <w:tcBorders>
              <w:top w:val="single" w:sz="4" w:space="0" w:color="000001"/>
              <w:left w:val="single" w:sz="4" w:space="0" w:color="000001"/>
              <w:bottom w:val="single" w:sz="4" w:space="0" w:color="000001"/>
            </w:tcBorders>
            <w:shd w:val="clear" w:color="auto" w:fill="auto"/>
            <w:vAlign w:val="center"/>
          </w:tcPr>
          <w:p w14:paraId="3ADD5338" w14:textId="77777777" w:rsidR="008E68EC" w:rsidRPr="00186AFD" w:rsidRDefault="008E68EC" w:rsidP="008E68EC">
            <w:pPr>
              <w:rPr>
                <w:sz w:val="20"/>
                <w:szCs w:val="20"/>
              </w:rPr>
            </w:pPr>
            <w:r w:rsidRPr="00186AFD">
              <w:rPr>
                <w:rFonts w:ascii="Open Sans" w:eastAsia="Open Sans" w:hAnsi="Open Sans" w:cs="Open Sans"/>
                <w:sz w:val="20"/>
                <w:szCs w:val="20"/>
                <w:lang w:val="en-US"/>
              </w:rPr>
              <w:t>Dublin (Irlanda)</w:t>
            </w:r>
          </w:p>
        </w:tc>
        <w:tc>
          <w:tcPr>
            <w:tcW w:w="2850" w:type="dxa"/>
            <w:tcBorders>
              <w:top w:val="single" w:sz="4" w:space="0" w:color="000001"/>
              <w:left w:val="single" w:sz="4" w:space="0" w:color="000001"/>
              <w:bottom w:val="single" w:sz="4" w:space="0" w:color="000001"/>
              <w:right w:val="single" w:sz="4" w:space="0" w:color="000001"/>
            </w:tcBorders>
            <w:shd w:val="clear" w:color="auto" w:fill="auto"/>
            <w:vAlign w:val="center"/>
          </w:tcPr>
          <w:p w14:paraId="57CE6E53" w14:textId="77777777" w:rsidR="008E68EC" w:rsidRPr="00186AFD" w:rsidRDefault="008E68EC" w:rsidP="008E68EC">
            <w:pPr>
              <w:rPr>
                <w:sz w:val="20"/>
                <w:szCs w:val="20"/>
              </w:rPr>
            </w:pPr>
            <w:r w:rsidRPr="00186AFD">
              <w:rPr>
                <w:rFonts w:ascii="Open Sans" w:eastAsia="Open Sans" w:hAnsi="Open Sans" w:cs="Open Sans"/>
                <w:sz w:val="20"/>
                <w:szCs w:val="20"/>
              </w:rPr>
              <w:t>Vehículo de propósito especial. Empresa de servicios financieros.</w:t>
            </w:r>
          </w:p>
        </w:tc>
      </w:tr>
      <w:tr w:rsidR="008E68EC" w:rsidRPr="00186AFD" w14:paraId="6F6C082D" w14:textId="77777777" w:rsidTr="008E68EC">
        <w:tc>
          <w:tcPr>
            <w:tcW w:w="2720" w:type="dxa"/>
            <w:tcBorders>
              <w:left w:val="single" w:sz="4" w:space="0" w:color="000001"/>
              <w:bottom w:val="single" w:sz="4" w:space="0" w:color="000001"/>
            </w:tcBorders>
            <w:shd w:val="clear" w:color="auto" w:fill="auto"/>
            <w:vAlign w:val="center"/>
          </w:tcPr>
          <w:p w14:paraId="1E352871" w14:textId="77777777" w:rsidR="008E68EC" w:rsidRPr="00186AFD" w:rsidRDefault="008E68EC" w:rsidP="008E68EC">
            <w:pPr>
              <w:rPr>
                <w:sz w:val="20"/>
                <w:szCs w:val="20"/>
              </w:rPr>
            </w:pPr>
            <w:r w:rsidRPr="00186AFD">
              <w:rPr>
                <w:rFonts w:ascii="Open Sans" w:eastAsia="Open Sans" w:hAnsi="Open Sans" w:cs="Open Sans"/>
                <w:sz w:val="20"/>
                <w:szCs w:val="20"/>
              </w:rPr>
              <w:t>Bankinter Luxemburgo, S.A.</w:t>
            </w:r>
          </w:p>
        </w:tc>
        <w:tc>
          <w:tcPr>
            <w:tcW w:w="2610" w:type="dxa"/>
            <w:tcBorders>
              <w:left w:val="single" w:sz="4" w:space="0" w:color="000001"/>
              <w:bottom w:val="single" w:sz="4" w:space="0" w:color="000001"/>
            </w:tcBorders>
            <w:shd w:val="clear" w:color="auto" w:fill="auto"/>
            <w:vAlign w:val="center"/>
          </w:tcPr>
          <w:p w14:paraId="785D2641" w14:textId="77777777" w:rsidR="008E68EC" w:rsidRPr="00186AFD" w:rsidRDefault="008E68EC" w:rsidP="008E68EC">
            <w:pPr>
              <w:rPr>
                <w:sz w:val="20"/>
                <w:szCs w:val="20"/>
              </w:rPr>
            </w:pPr>
            <w:r w:rsidRPr="00186AFD">
              <w:rPr>
                <w:rFonts w:ascii="Open Sans" w:eastAsia="Open Sans" w:hAnsi="Open Sans" w:cs="Open Sans"/>
                <w:sz w:val="20"/>
                <w:szCs w:val="20"/>
                <w:lang w:val="en-US"/>
              </w:rPr>
              <w:t>Luxemburgo (Luxemburgo)</w:t>
            </w:r>
          </w:p>
        </w:tc>
        <w:tc>
          <w:tcPr>
            <w:tcW w:w="2850" w:type="dxa"/>
            <w:tcBorders>
              <w:left w:val="single" w:sz="4" w:space="0" w:color="000001"/>
              <w:bottom w:val="single" w:sz="4" w:space="0" w:color="000001"/>
              <w:right w:val="single" w:sz="4" w:space="0" w:color="000001"/>
            </w:tcBorders>
            <w:shd w:val="clear" w:color="auto" w:fill="auto"/>
            <w:vAlign w:val="center"/>
          </w:tcPr>
          <w:p w14:paraId="28917617" w14:textId="77777777" w:rsidR="008E68EC" w:rsidRPr="00186AFD" w:rsidRDefault="008E68EC" w:rsidP="008E68EC">
            <w:pPr>
              <w:rPr>
                <w:sz w:val="20"/>
                <w:szCs w:val="20"/>
              </w:rPr>
            </w:pPr>
            <w:r w:rsidRPr="00186AFD">
              <w:rPr>
                <w:rFonts w:ascii="Open Sans" w:eastAsia="Open Sans" w:hAnsi="Open Sans" w:cs="Open Sans"/>
                <w:sz w:val="20"/>
                <w:szCs w:val="20"/>
              </w:rPr>
              <w:t>Banca Privada</w:t>
            </w:r>
          </w:p>
        </w:tc>
      </w:tr>
    </w:tbl>
    <w:p w14:paraId="1E828C8D" w14:textId="77777777" w:rsidR="008E68EC" w:rsidRDefault="008E68EC" w:rsidP="008E68EC">
      <w:pPr>
        <w:jc w:val="both"/>
        <w:rPr>
          <w:rFonts w:ascii="Open Sans" w:hAnsi="Open Sans" w:cs="Open Sans"/>
          <w:sz w:val="20"/>
          <w:szCs w:val="20"/>
        </w:rPr>
      </w:pPr>
    </w:p>
    <w:p w14:paraId="1156CDC6" w14:textId="77777777" w:rsidR="008E68EC" w:rsidRPr="00186AFD" w:rsidRDefault="008E68EC" w:rsidP="008E68EC">
      <w:pPr>
        <w:jc w:val="both"/>
        <w:rPr>
          <w:rFonts w:ascii="Open Sans" w:hAnsi="Open Sans" w:cs="Open Sans"/>
          <w:sz w:val="20"/>
          <w:szCs w:val="20"/>
        </w:rPr>
      </w:pPr>
    </w:p>
    <w:p w14:paraId="4A20E285" w14:textId="77777777" w:rsidR="008E68EC" w:rsidRDefault="008E68EC" w:rsidP="008E68EC">
      <w:pPr>
        <w:jc w:val="both"/>
      </w:pPr>
      <w:r>
        <w:rPr>
          <w:rFonts w:ascii="Open Sans" w:eastAsia="Open Sans" w:hAnsi="Open Sans" w:cs="Open Sans"/>
          <w:sz w:val="20"/>
          <w:szCs w:val="20"/>
        </w:rPr>
        <w:t>Por lo que respecta a Castellana Finance Ltd, se trata de una empresa de servicios financieros creada en 2007 para la comercialización de bonos hipotecarios de alto riesgo (RMBS) de Bankinter</w:t>
      </w:r>
      <w:r>
        <w:rPr>
          <w:rStyle w:val="Refdenotaalpie"/>
          <w:rFonts w:ascii="Open Sans" w:eastAsia="Open Sans" w:hAnsi="Open Sans" w:cs="Open Sans"/>
          <w:sz w:val="20"/>
          <w:szCs w:val="20"/>
        </w:rPr>
        <w:footnoteReference w:id="455"/>
      </w:r>
      <w:r>
        <w:rPr>
          <w:rFonts w:ascii="Open Sans" w:eastAsia="Open Sans" w:hAnsi="Open Sans" w:cs="Open Sans"/>
          <w:sz w:val="20"/>
          <w:szCs w:val="20"/>
        </w:rPr>
        <w:t>. Tras sucesivas recompras por parte de Bankinter, S.A. de bonos emitidos por esta empresa, así como tras la reestructuración de balance del mismo, el banco decidió incorporarla al grupo el 30/06/2013</w:t>
      </w:r>
      <w:r>
        <w:rPr>
          <w:rStyle w:val="Refdenotaalpie"/>
          <w:rFonts w:ascii="Open Sans" w:eastAsia="Open Sans" w:hAnsi="Open Sans" w:cs="Open Sans"/>
          <w:sz w:val="20"/>
          <w:szCs w:val="20"/>
        </w:rPr>
        <w:footnoteReference w:id="456"/>
      </w:r>
      <w:r>
        <w:rPr>
          <w:rFonts w:ascii="Open Sans" w:eastAsia="Open Sans" w:hAnsi="Open Sans" w:cs="Open Sans"/>
          <w:sz w:val="20"/>
          <w:szCs w:val="20"/>
        </w:rPr>
        <w:t>. No se proporciona información sobre la actividad que desarrolla actualmente esta empresa, únicamente que es un vehículo de propósito especial. Sería necesario aclarar este punto, puesto que a pesar de que tiene estructura patrimonial</w:t>
      </w:r>
      <w:r>
        <w:rPr>
          <w:rStyle w:val="Refdenotaalpie"/>
          <w:rFonts w:ascii="Open Sans" w:eastAsia="Open Sans" w:hAnsi="Open Sans" w:cs="Open Sans"/>
          <w:sz w:val="20"/>
          <w:szCs w:val="20"/>
        </w:rPr>
        <w:footnoteReference w:id="457"/>
      </w:r>
      <w:r>
        <w:rPr>
          <w:rFonts w:ascii="Open Sans" w:eastAsia="Open Sans" w:hAnsi="Open Sans" w:cs="Open Sans"/>
          <w:sz w:val="20"/>
          <w:szCs w:val="20"/>
        </w:rPr>
        <w:t>, no se informa de que haya tenido actividad ni resultados</w:t>
      </w:r>
      <w:r>
        <w:rPr>
          <w:rStyle w:val="Refdenotaalpie"/>
          <w:rFonts w:ascii="Open Sans" w:eastAsia="Open Sans" w:hAnsi="Open Sans" w:cs="Open Sans"/>
          <w:sz w:val="20"/>
          <w:szCs w:val="20"/>
        </w:rPr>
        <w:footnoteReference w:id="458"/>
      </w:r>
      <w:r>
        <w:rPr>
          <w:rFonts w:ascii="Open Sans" w:eastAsia="Open Sans" w:hAnsi="Open Sans" w:cs="Open Sans"/>
          <w:sz w:val="20"/>
          <w:szCs w:val="20"/>
        </w:rPr>
        <w:t>.</w:t>
      </w:r>
    </w:p>
    <w:p w14:paraId="6A9EEDFE" w14:textId="77777777" w:rsidR="008E68EC" w:rsidRDefault="008E68EC" w:rsidP="008E68EC">
      <w:pPr>
        <w:jc w:val="both"/>
        <w:rPr>
          <w:rFonts w:ascii="Open Sans" w:hAnsi="Open Sans" w:cs="Open Sans"/>
        </w:rPr>
      </w:pPr>
    </w:p>
    <w:p w14:paraId="6E1D15C4" w14:textId="77777777" w:rsidR="008E68EC" w:rsidRDefault="008E68EC" w:rsidP="008E68EC">
      <w:pPr>
        <w:jc w:val="both"/>
      </w:pPr>
      <w:r>
        <w:rPr>
          <w:rFonts w:ascii="Open Sans" w:eastAsia="Open Sans" w:hAnsi="Open Sans" w:cs="Open Sans"/>
          <w:sz w:val="20"/>
          <w:szCs w:val="20"/>
        </w:rPr>
        <w:t>En ejercicios anteriores, Bankinter reflejaba en las CCAA Consolidadas las provisiones por pasivos fiscales que pudieran derivarse como resultado de las reclamaciones interpuestas contra las sanciones por las retenciones correspondientes a los depósitos contratados en aquella sucursal</w:t>
      </w:r>
      <w:r>
        <w:rPr>
          <w:rStyle w:val="Refdenotaalpie"/>
          <w:rFonts w:ascii="Open Sans" w:eastAsia="Open Sans" w:hAnsi="Open Sans" w:cs="Open Sans"/>
          <w:sz w:val="20"/>
          <w:szCs w:val="20"/>
        </w:rPr>
        <w:footnoteReference w:id="459"/>
      </w:r>
      <w:r>
        <w:rPr>
          <w:rFonts w:ascii="Open Sans" w:eastAsia="Open Sans" w:hAnsi="Open Sans" w:cs="Open Sans"/>
          <w:sz w:val="20"/>
          <w:szCs w:val="20"/>
        </w:rPr>
        <w:t>. En los informes de 2015, igual que en 2014, no se ha encontrado información sobre el estado de situación de este procedimiento.</w:t>
      </w:r>
    </w:p>
    <w:p w14:paraId="6CD90101" w14:textId="77777777" w:rsidR="008E68EC" w:rsidRDefault="008E68EC" w:rsidP="008E68EC">
      <w:pPr>
        <w:jc w:val="both"/>
        <w:rPr>
          <w:rFonts w:ascii="Open Sans" w:hAnsi="Open Sans" w:cs="Open Sans"/>
        </w:rPr>
      </w:pPr>
    </w:p>
    <w:p w14:paraId="5C08667E" w14:textId="77777777" w:rsidR="008E68EC" w:rsidRDefault="008E68EC" w:rsidP="008E68EC">
      <w:pPr>
        <w:jc w:val="both"/>
      </w:pPr>
      <w:r>
        <w:rPr>
          <w:rFonts w:ascii="Open Sans" w:eastAsia="Open Sans" w:hAnsi="Open Sans" w:cs="Open Sans"/>
          <w:sz w:val="20"/>
          <w:szCs w:val="20"/>
        </w:rPr>
        <w:t>La filial luxemburguesa, Bankinter Luxemburgo, S.A., está destinada a proporcionar servicios y productos a los clientes de Banca Privada e internacionales. A cierre de 2015 los recursos de Bankinter en Luxemburgo y su SICAV experimentaron un crecimiento del 68% (alcanzando la cifra de 1.312 millones de euros) y  la gestión discrecional de sus activos  un crecimiento del 107% respecto a 2014</w:t>
      </w:r>
      <w:r>
        <w:rPr>
          <w:rStyle w:val="Refdenotaalpie"/>
          <w:rFonts w:ascii="Open Sans" w:eastAsia="Open Sans" w:hAnsi="Open Sans" w:cs="Open Sans"/>
          <w:sz w:val="20"/>
          <w:szCs w:val="20"/>
        </w:rPr>
        <w:footnoteReference w:id="460"/>
      </w:r>
      <w:r>
        <w:rPr>
          <w:rFonts w:ascii="Open Sans" w:eastAsia="Open Sans" w:hAnsi="Open Sans" w:cs="Open Sans"/>
          <w:sz w:val="20"/>
          <w:szCs w:val="20"/>
        </w:rPr>
        <w:t>.  Sin embargo, Bankinter no proporciona información detallada del tipo de operaciones que se están llevando a cabo, ni el tipo de clientes que operan con esta entidad (sólo menciona que son clientes de Banca Privada que buscan una diversificación geográfica de su patrimonio financiero), de modo que no es posible valorar las implicaciones fiscales que se puedan derivar de la operativa a través de esta filial. Por lo tanto, sería bien recibida más información dados los antecedentes de lo acontecido con la sucursal que la entidad mantenía en Irlanda y los escándalos entorno a la fiscalidad para no residentes del gobierno luxemburgués.</w:t>
      </w:r>
    </w:p>
    <w:p w14:paraId="4950D59A" w14:textId="77777777" w:rsidR="008E68EC" w:rsidRDefault="008E68EC" w:rsidP="008E68EC">
      <w:pPr>
        <w:rPr>
          <w:rFonts w:ascii="Open Sans" w:hAnsi="Open Sans" w:cs="Open Sans"/>
          <w:b/>
          <w:bCs/>
          <w:sz w:val="20"/>
          <w:szCs w:val="20"/>
        </w:rPr>
      </w:pPr>
    </w:p>
    <w:p w14:paraId="3D1F4904" w14:textId="77777777" w:rsidR="008E68EC" w:rsidRDefault="008E68EC" w:rsidP="008E68EC">
      <w:pPr>
        <w:jc w:val="both"/>
      </w:pPr>
      <w:r>
        <w:rPr>
          <w:rFonts w:ascii="Open Sans" w:hAnsi="Open Sans" w:cs="Open Sans"/>
          <w:bCs/>
          <w:sz w:val="20"/>
          <w:szCs w:val="20"/>
        </w:rPr>
        <w:t xml:space="preserve">Bankinter no manifiesta de forma explícita cuál es su postura con respecto a los paraísos o nichos fiscales, sólo afirma poner especial atención en las operaciones que impliquen participaciones en empresas o entidades domiciliadas en países o territorios que tengan la consideración de paraíso fiscal. </w:t>
      </w:r>
    </w:p>
    <w:p w14:paraId="7440F0A6" w14:textId="77777777" w:rsidR="008E68EC" w:rsidRDefault="008E68EC" w:rsidP="008E68EC">
      <w:pPr>
        <w:jc w:val="both"/>
        <w:rPr>
          <w:rFonts w:ascii="Open Sans" w:hAnsi="Open Sans" w:cs="Open Sans"/>
          <w:bCs/>
          <w:sz w:val="20"/>
          <w:szCs w:val="20"/>
        </w:rPr>
      </w:pPr>
    </w:p>
    <w:p w14:paraId="7A5CF41B" w14:textId="77777777" w:rsidR="008E68EC" w:rsidRDefault="008E68EC" w:rsidP="008E68EC">
      <w:pPr>
        <w:jc w:val="both"/>
        <w:rPr>
          <w:rFonts w:ascii="Open Sans" w:hAnsi="Open Sans" w:cs="Open Sans"/>
          <w:bCs/>
          <w:sz w:val="20"/>
          <w:szCs w:val="20"/>
        </w:rPr>
      </w:pPr>
      <w:r>
        <w:rPr>
          <w:rFonts w:ascii="Open Sans" w:hAnsi="Open Sans" w:cs="Open Sans"/>
          <w:bCs/>
          <w:sz w:val="20"/>
          <w:szCs w:val="20"/>
        </w:rPr>
        <w:t xml:space="preserve">En ningún momento se trata a Luxemburgo con la denominación de paraíso o nicho fiscal. De hecho, informa que no realiza operaciones intragrupo con entidades establecidas en países o territorios que tengan la consideración de paraíso fiscal. Sin embargo, como se ha apuntado, </w:t>
      </w:r>
      <w:r>
        <w:rPr>
          <w:rFonts w:ascii="Open Sans" w:eastAsia="Open Sans" w:hAnsi="Open Sans" w:cs="Open Sans"/>
          <w:bCs/>
          <w:sz w:val="20"/>
          <w:szCs w:val="20"/>
        </w:rPr>
        <w:t>de acuerdo con la metodología utilizada por el Observatorio de Responsabilidad Social Corporativa, la entidad tiene p</w:t>
      </w:r>
      <w:r>
        <w:rPr>
          <w:rFonts w:ascii="Open Sans" w:hAnsi="Open Sans" w:cs="Open Sans"/>
          <w:bCs/>
          <w:sz w:val="20"/>
          <w:szCs w:val="20"/>
        </w:rPr>
        <w:t xml:space="preserve">resencia en dos nichos fiscales: Irlanda a través de Castellana Finance Ltd (100% de participación) y Luxemburgo mediante </w:t>
      </w:r>
      <w:r>
        <w:rPr>
          <w:rFonts w:ascii="Open Sans" w:eastAsia="Open Sans" w:hAnsi="Open Sans" w:cs="Open Sans"/>
          <w:bCs/>
          <w:sz w:val="20"/>
          <w:szCs w:val="20"/>
        </w:rPr>
        <w:t xml:space="preserve">Bankinter Luxemburgo, S.A. </w:t>
      </w:r>
      <w:r>
        <w:rPr>
          <w:rFonts w:ascii="Open Sans" w:hAnsi="Open Sans" w:cs="Open Sans"/>
          <w:bCs/>
          <w:sz w:val="20"/>
          <w:szCs w:val="20"/>
        </w:rPr>
        <w:t>(99,98%, se desconoce a quien pertenece el 0,02% restante).</w:t>
      </w:r>
    </w:p>
    <w:p w14:paraId="5B0DADE9" w14:textId="77777777" w:rsidR="008E68EC" w:rsidRDefault="008E68EC" w:rsidP="008E68EC">
      <w:pPr>
        <w:jc w:val="both"/>
        <w:rPr>
          <w:rFonts w:ascii="Open Sans" w:hAnsi="Open Sans" w:cs="Open Sans"/>
          <w:bCs/>
          <w:sz w:val="20"/>
          <w:szCs w:val="20"/>
        </w:rPr>
      </w:pPr>
    </w:p>
    <w:p w14:paraId="36D5B875" w14:textId="77777777" w:rsidR="008E68EC" w:rsidRDefault="008E68EC" w:rsidP="008E68EC">
      <w:pPr>
        <w:jc w:val="both"/>
      </w:pPr>
      <w:r>
        <w:rPr>
          <w:rFonts w:ascii="Open Sans" w:eastAsia="Open Sans" w:hAnsi="Open Sans" w:cs="Open Sans"/>
          <w:bCs/>
          <w:sz w:val="20"/>
          <w:szCs w:val="20"/>
        </w:rPr>
        <w:t>Respecto a los datos sobre el vo</w:t>
      </w:r>
      <w:r>
        <w:rPr>
          <w:rFonts w:ascii="Open Sans" w:hAnsi="Open Sans" w:cs="Open Sans"/>
          <w:bCs/>
          <w:sz w:val="20"/>
          <w:szCs w:val="20"/>
        </w:rPr>
        <w:t>lumen de negocio desarrollado en estos territorios, la entidad sólo proporciona información sobre la filial de Luxemburgo en el Informa Bancario Anual</w:t>
      </w:r>
      <w:r>
        <w:rPr>
          <w:rStyle w:val="Refdenotaalpie"/>
          <w:rFonts w:ascii="Open Sans" w:hAnsi="Open Sans" w:cs="Open Sans"/>
          <w:bCs/>
          <w:sz w:val="20"/>
          <w:szCs w:val="20"/>
        </w:rPr>
        <w:footnoteReference w:id="461"/>
      </w:r>
      <w:r>
        <w:rPr>
          <w:rFonts w:ascii="Open Sans" w:hAnsi="Open Sans" w:cs="Open Sans"/>
          <w:bCs/>
          <w:sz w:val="20"/>
          <w:szCs w:val="20"/>
        </w:rPr>
        <w:t>, ninguna referencia a Irlanda, ya que la entidad considera que “</w:t>
      </w:r>
      <w:r>
        <w:rPr>
          <w:rFonts w:ascii="Open Sans" w:hAnsi="Open Sans" w:cs="Open Sans"/>
          <w:bCs/>
          <w:i/>
          <w:iCs/>
          <w:sz w:val="20"/>
          <w:szCs w:val="20"/>
        </w:rPr>
        <w:t>el</w:t>
      </w:r>
      <w:r>
        <w:rPr>
          <w:rFonts w:ascii="Open Sans" w:hAnsi="Open Sans" w:cs="Open Sans"/>
          <w:i/>
          <w:iCs/>
          <w:sz w:val="20"/>
          <w:szCs w:val="20"/>
        </w:rPr>
        <w:t xml:space="preserve"> grupo consolidado desarrolla su actividad en España, salvo en el caso de la filial Bankinter Luxembourg S.A. que desarrolla su actividad en otro país miembro de la Unión Europea, Luxemburgo</w:t>
      </w:r>
      <w:r>
        <w:rPr>
          <w:rFonts w:ascii="Open Sans" w:hAnsi="Open Sans" w:cs="Open Sans"/>
          <w:sz w:val="20"/>
          <w:szCs w:val="20"/>
        </w:rPr>
        <w:t>”.</w:t>
      </w:r>
      <w:r>
        <w:rPr>
          <w:rFonts w:ascii="Open Sans" w:hAnsi="Open Sans" w:cs="Open Sans"/>
          <w:bCs/>
          <w:sz w:val="20"/>
          <w:szCs w:val="20"/>
        </w:rPr>
        <w:t xml:space="preserve"> El volumen de negocio es de 4.617m€ (0,29% del total), con un total de 19 empleados (0,43% del total). Para el ejercicio 2015 han obtenido un resultado bruto antes impuestos de -1.644m€. Por lo tanto, el importe de impuesto de sociedades liquidado por esta participada es cero</w:t>
      </w:r>
      <w:r>
        <w:rPr>
          <w:rFonts w:ascii="Open Sans" w:hAnsi="Open Sans" w:cs="Open Sans"/>
          <w:bCs/>
          <w:color w:val="000000"/>
          <w:sz w:val="20"/>
          <w:szCs w:val="20"/>
        </w:rPr>
        <w:t xml:space="preserve"> y no se ofrece información sobre el tipo impositivo. </w:t>
      </w:r>
    </w:p>
    <w:p w14:paraId="40124129" w14:textId="77777777" w:rsidR="008E68EC" w:rsidRDefault="008E68EC" w:rsidP="008E68EC">
      <w:pPr>
        <w:ind w:left="360"/>
        <w:rPr>
          <w:rFonts w:ascii="Open Sans" w:hAnsi="Open Sans" w:cs="Open Sans"/>
          <w:bCs/>
          <w:sz w:val="20"/>
          <w:szCs w:val="20"/>
        </w:rPr>
      </w:pPr>
    </w:p>
    <w:p w14:paraId="175AA7E0" w14:textId="77777777" w:rsidR="008E68EC" w:rsidRDefault="008E68EC" w:rsidP="008E68EC">
      <w:pPr>
        <w:jc w:val="both"/>
        <w:rPr>
          <w:rFonts w:ascii="Open Sans" w:hAnsi="Open Sans" w:cs="Open Sans"/>
          <w:bCs/>
          <w:sz w:val="20"/>
          <w:szCs w:val="20"/>
        </w:rPr>
      </w:pPr>
      <w:r>
        <w:rPr>
          <w:rFonts w:ascii="Open Sans" w:hAnsi="Open Sans" w:cs="Open Sans"/>
          <w:bCs/>
          <w:sz w:val="20"/>
          <w:szCs w:val="20"/>
        </w:rPr>
        <w:t>En cuanto a la</w:t>
      </w:r>
      <w:r>
        <w:rPr>
          <w:rFonts w:ascii="Open Sans" w:hAnsi="Open Sans" w:cs="Open Sans"/>
          <w:b/>
          <w:bCs/>
          <w:i/>
          <w:iCs/>
          <w:sz w:val="20"/>
          <w:szCs w:val="20"/>
        </w:rPr>
        <w:t xml:space="preserve"> </w:t>
      </w:r>
      <w:r w:rsidRPr="00385F65">
        <w:rPr>
          <w:rFonts w:ascii="Open Sans" w:hAnsi="Open Sans" w:cs="Open Sans"/>
          <w:bCs/>
          <w:iCs/>
          <w:sz w:val="20"/>
          <w:szCs w:val="20"/>
        </w:rPr>
        <w:t>estrategia fiscal</w:t>
      </w:r>
      <w:r>
        <w:rPr>
          <w:rFonts w:ascii="Open Sans" w:hAnsi="Open Sans" w:cs="Open Sans"/>
          <w:i/>
          <w:iCs/>
          <w:sz w:val="20"/>
          <w:szCs w:val="20"/>
        </w:rPr>
        <w:t>,</w:t>
      </w:r>
      <w:r>
        <w:rPr>
          <w:rFonts w:ascii="Open Sans" w:hAnsi="Open Sans" w:cs="Open Sans"/>
          <w:bCs/>
          <w:sz w:val="20"/>
          <w:szCs w:val="20"/>
        </w:rPr>
        <w:t xml:space="preserve"> Bankiter únicamente indica de forma genérica que dispone de una estrategia o política fiscal “</w:t>
      </w:r>
      <w:r>
        <w:rPr>
          <w:rFonts w:ascii="Open Sans" w:hAnsi="Open Sans" w:cs="Open Sans"/>
          <w:bCs/>
          <w:i/>
          <w:iCs/>
          <w:sz w:val="20"/>
          <w:szCs w:val="20"/>
        </w:rPr>
        <w:t>El Consejo de Administración de la entidad aprobó mediante Acuerdo de 20 de mayo de 2015, la definición de la estrategia fiscal del Grupo Bankinter, estableciendo que aquella se orienta esencialmente a asegurar el cumplimiento responsable de la normativa tributaria atendiendo al interés social y apoyando las estrategias empresariales del Grupo. A estos efectos, en el marco de su responsabilidad social y corporativa, BANKINTER reconoce la función social del sistema tributario y, por ello, pretende que el desarrollo de la función tributaria en el Grupo atienda igualmente al interés social y al de sus grupos de interés, así como el valor que otorga a la confianza de la comunidad en la que opera.”</w:t>
      </w:r>
      <w:r>
        <w:rPr>
          <w:rStyle w:val="Refdenotaalpie"/>
          <w:rFonts w:ascii="Open Sans" w:hAnsi="Open Sans" w:cs="Open Sans"/>
          <w:bCs/>
          <w:i/>
          <w:iCs/>
          <w:sz w:val="20"/>
          <w:szCs w:val="20"/>
        </w:rPr>
        <w:footnoteReference w:id="462"/>
      </w:r>
      <w:r>
        <w:rPr>
          <w:rFonts w:ascii="Open Sans" w:hAnsi="Open Sans" w:cs="Open Sans"/>
          <w:bCs/>
          <w:i/>
          <w:iCs/>
          <w:sz w:val="20"/>
          <w:szCs w:val="20"/>
        </w:rPr>
        <w:t xml:space="preserve"> </w:t>
      </w:r>
      <w:r>
        <w:rPr>
          <w:rFonts w:ascii="Open Sans" w:hAnsi="Open Sans" w:cs="Open Sans"/>
          <w:bCs/>
          <w:sz w:val="20"/>
          <w:szCs w:val="20"/>
        </w:rPr>
        <w:t>No se ha encontrado documento específico sobre dicha estrategia que permita valorar su alcance y aporte al cumplimiento fiscal de la organización. Así mismo, en la Nota 45. Política y Gestión de Riesgos tampoco se incorpora de forma explícita los riesgos fiscales.</w:t>
      </w:r>
    </w:p>
    <w:p w14:paraId="0BE6F805" w14:textId="77777777" w:rsidR="008E68EC" w:rsidRDefault="008E68EC" w:rsidP="008E68EC">
      <w:pPr>
        <w:jc w:val="both"/>
        <w:rPr>
          <w:rFonts w:ascii="Open Sans" w:hAnsi="Open Sans" w:cs="Open Sans"/>
          <w:bCs/>
          <w:sz w:val="20"/>
          <w:szCs w:val="20"/>
        </w:rPr>
      </w:pPr>
    </w:p>
    <w:p w14:paraId="36C5A1C6" w14:textId="77777777" w:rsidR="008E68EC" w:rsidRDefault="008E68EC" w:rsidP="008E68EC">
      <w:pPr>
        <w:jc w:val="both"/>
        <w:rPr>
          <w:rFonts w:ascii="Open Sans" w:hAnsi="Open Sans" w:cs="Open Sans"/>
          <w:bCs/>
          <w:sz w:val="20"/>
          <w:szCs w:val="20"/>
        </w:rPr>
      </w:pPr>
      <w:r w:rsidRPr="006F07C8">
        <w:rPr>
          <w:rFonts w:ascii="Open Sans" w:hAnsi="Open Sans" w:cs="Open Sans"/>
          <w:bCs/>
          <w:sz w:val="20"/>
          <w:szCs w:val="20"/>
        </w:rPr>
        <w:t>Este compromiso del cumplimiento responsable de la normativa tributaria contrasta con las noticias aparecidas en prensa en años anteriores a este. Nos referimos a la noticia aparecida en septiembre de 2014, en la que se publica que la Audiencia Nacional ha confirmado una multa de 1,2 millones € a Bankinter por no vigilar con suficiente celo operaciones sospechosas de blanqueo de capitales que realizaban clientes marroquíes y mauritanos en una de sus sucursales en Las Palmas de Gran Canaria. En diciembre del mismo año, otra noticia recoge que la Unidad Central Operativa (UCO) de la Guardia Civil ha constatado que parte del dinero negro que la empresa Fitonovo, epicentro de la trama Enredadera, manejaba para el pago de sobornos de funcionarios era 'blanqueado' mediante su inversión en fondos de renta variable, comercializados en España por banco Bankinter, entidad que aparece de manera recurrente en los informes de los investigadores ya que también fue el agente financiero a través del cual adquirieron participaciones en un producto financiero de JP Morgan y para la adquisición de acciones del Banco Popular</w:t>
      </w:r>
      <w:r w:rsidRPr="006F07C8">
        <w:rPr>
          <w:rStyle w:val="Refdenotaalpie"/>
          <w:rFonts w:ascii="Open Sans" w:hAnsi="Open Sans" w:cs="Open Sans"/>
          <w:bCs/>
          <w:sz w:val="20"/>
          <w:szCs w:val="20"/>
        </w:rPr>
        <w:footnoteReference w:id="463"/>
      </w:r>
      <w:r w:rsidRPr="006F07C8">
        <w:rPr>
          <w:rFonts w:ascii="Open Sans" w:hAnsi="Open Sans" w:cs="Open Sans"/>
          <w:bCs/>
          <w:sz w:val="20"/>
          <w:szCs w:val="20"/>
        </w:rPr>
        <w:t>. En junio de 2016, se supo que, a finales de 2013, funcionarios miembros de la Agencia Tributaria y agentes de la Unidad de Delincuencia Económica y Fiscal (UDEF) de la Policía registraban una oficina de Bankinter, en la provincia de Madrid, buscando determinar el verdadero origen de 1,6 millones de € que acabaron siendo transferidos en 2008 a una cuenta que poseía uno de los imputados en el caso Gürtel, Alberto López-Viejo, exconsejero de los Gobiernos de Esperanza Aguirre</w:t>
      </w:r>
      <w:r w:rsidRPr="006F07C8">
        <w:rPr>
          <w:rStyle w:val="Refdenotaalpie"/>
          <w:rFonts w:ascii="Open Sans" w:hAnsi="Open Sans" w:cs="Open Sans"/>
          <w:bCs/>
          <w:sz w:val="20"/>
          <w:szCs w:val="20"/>
        </w:rPr>
        <w:footnoteReference w:id="464"/>
      </w:r>
      <w:r w:rsidRPr="006F07C8">
        <w:rPr>
          <w:rFonts w:ascii="Open Sans" w:hAnsi="Open Sans" w:cs="Open Sans"/>
          <w:bCs/>
          <w:sz w:val="20"/>
          <w:szCs w:val="20"/>
        </w:rPr>
        <w:t>. Sería recomendable que la entidad proporcionara más información sobre la identificación de potenciales riesgos fiscales a los que está expuesta para evidenciar las medidas que está llevando a cabo para evitar que se repitan situaciones como las aparecidas en prensa.</w:t>
      </w:r>
      <w:r>
        <w:rPr>
          <w:rFonts w:ascii="Open Sans" w:hAnsi="Open Sans" w:cs="Open Sans"/>
          <w:bCs/>
          <w:sz w:val="20"/>
          <w:szCs w:val="20"/>
        </w:rPr>
        <w:t xml:space="preserve">  </w:t>
      </w:r>
    </w:p>
    <w:p w14:paraId="56DBE71E" w14:textId="77777777" w:rsidR="008E68EC" w:rsidRDefault="008E68EC" w:rsidP="008E68EC">
      <w:pPr>
        <w:jc w:val="both"/>
        <w:rPr>
          <w:rFonts w:ascii="Open Sans" w:hAnsi="Open Sans" w:cs="Open Sans"/>
          <w:bCs/>
          <w:sz w:val="20"/>
          <w:szCs w:val="20"/>
        </w:rPr>
      </w:pPr>
    </w:p>
    <w:p w14:paraId="4D3E60F6" w14:textId="77777777" w:rsidR="008E68EC" w:rsidRDefault="008E68EC" w:rsidP="008E68EC">
      <w:pPr>
        <w:jc w:val="both"/>
      </w:pPr>
      <w:r>
        <w:rPr>
          <w:rFonts w:ascii="Open Sans" w:hAnsi="Open Sans" w:cs="Open Sans"/>
          <w:bCs/>
          <w:color w:val="000000"/>
          <w:sz w:val="20"/>
          <w:szCs w:val="20"/>
        </w:rPr>
        <w:t xml:space="preserve">Por lo que se refiere a los </w:t>
      </w:r>
      <w:r w:rsidRPr="00385F65">
        <w:rPr>
          <w:rFonts w:ascii="Open Sans" w:hAnsi="Open Sans" w:cs="Open Sans"/>
          <w:bCs/>
          <w:iCs/>
          <w:color w:val="000000"/>
          <w:sz w:val="20"/>
          <w:szCs w:val="20"/>
        </w:rPr>
        <w:t>riesgos fiscales</w:t>
      </w:r>
      <w:r>
        <w:rPr>
          <w:rFonts w:ascii="Open Sans" w:hAnsi="Open Sans" w:cs="Open Sans"/>
          <w:bCs/>
          <w:color w:val="000000"/>
          <w:sz w:val="20"/>
          <w:szCs w:val="20"/>
        </w:rPr>
        <w:t>, Bankinter apunta que no se han detectado fallos relevantes en el área fiscal. Esta afirmación proviene de las conclusiones extraídas de un informe encargado a KPMG con la finalidad de efectuar un diagnóstico acerca de las políticas de control del riesgo fiscal existentes en el Grupo Bankinter</w:t>
      </w:r>
      <w:r>
        <w:rPr>
          <w:rStyle w:val="Refdenotaalpie"/>
          <w:rFonts w:ascii="Open Sans" w:hAnsi="Open Sans" w:cs="Open Sans"/>
          <w:bCs/>
          <w:color w:val="000000"/>
          <w:sz w:val="20"/>
          <w:szCs w:val="20"/>
        </w:rPr>
        <w:footnoteReference w:id="465"/>
      </w:r>
      <w:r>
        <w:rPr>
          <w:rFonts w:ascii="Open Sans" w:hAnsi="Open Sans" w:cs="Open Sans"/>
          <w:bCs/>
          <w:color w:val="000000"/>
          <w:sz w:val="20"/>
          <w:szCs w:val="20"/>
        </w:rPr>
        <w:t xml:space="preserve">. </w:t>
      </w:r>
      <w:r>
        <w:rPr>
          <w:rFonts w:ascii="Open Sans" w:hAnsi="Open Sans" w:cs="Open Sans"/>
          <w:bCs/>
          <w:sz w:val="20"/>
          <w:szCs w:val="20"/>
        </w:rPr>
        <w:t>Como resultado de ese análisis se emitieron un Informe de recomendaciones y el Resumen Ejecutivo del Informe de recomendaciones junto con un informe de “Diagnóstico de los procesos y sistemas existentes de control interno en el Grupo BANKINTER”, acompañado de una carta con las conclusiones fundamentales conforme a las cuales y como resultado del análisis. El resultado final fue que “</w:t>
      </w:r>
      <w:r>
        <w:rPr>
          <w:rFonts w:ascii="Open Sans" w:hAnsi="Open Sans" w:cs="Open Sans"/>
          <w:bCs/>
          <w:i/>
          <w:iCs/>
          <w:sz w:val="20"/>
          <w:szCs w:val="20"/>
        </w:rPr>
        <w:t>la entidad KPMG considera que no se han detectado cuestiones significativas que puedan implicar la existencia de fallos relevantes en el área de la función fiscal, limitándose las recomendaciones efectuadas a mejoras de funcionamiento operativo de la actividad fiscal del grupo, no siendo detectados por tanto riesgos materiales en el ámbito de la función fiscal de la entidad</w:t>
      </w:r>
      <w:r>
        <w:rPr>
          <w:rFonts w:ascii="Open Sans" w:hAnsi="Open Sans" w:cs="Open Sans"/>
          <w:bCs/>
          <w:sz w:val="20"/>
          <w:szCs w:val="20"/>
        </w:rPr>
        <w:t xml:space="preserve">”.  No se ha encontrado disponible en la web corporativa ninguno de estos documentos. </w:t>
      </w:r>
    </w:p>
    <w:p w14:paraId="6D1A88E4" w14:textId="77777777" w:rsidR="008E68EC" w:rsidRDefault="008E68EC" w:rsidP="008E68EC">
      <w:pPr>
        <w:jc w:val="both"/>
      </w:pPr>
    </w:p>
    <w:p w14:paraId="2E0296A1" w14:textId="77777777" w:rsidR="008E68EC" w:rsidRDefault="008E68EC" w:rsidP="008E68EC">
      <w:pPr>
        <w:jc w:val="both"/>
      </w:pPr>
      <w:r>
        <w:rPr>
          <w:rFonts w:ascii="Open Sans" w:hAnsi="Open Sans" w:cs="Open Sans"/>
          <w:bCs/>
          <w:sz w:val="20"/>
          <w:szCs w:val="20"/>
        </w:rPr>
        <w:t xml:space="preserve">Las competencias esenciales del </w:t>
      </w:r>
      <w:r w:rsidRPr="00385F65">
        <w:rPr>
          <w:rFonts w:ascii="Open Sans" w:hAnsi="Open Sans" w:cs="Open Sans"/>
          <w:bCs/>
          <w:iCs/>
          <w:sz w:val="20"/>
          <w:szCs w:val="20"/>
        </w:rPr>
        <w:t>Consejo de Administración</w:t>
      </w:r>
      <w:r>
        <w:rPr>
          <w:rFonts w:ascii="Open Sans" w:hAnsi="Open Sans" w:cs="Open Sans"/>
          <w:bCs/>
          <w:sz w:val="20"/>
          <w:szCs w:val="20"/>
        </w:rPr>
        <w:t xml:space="preserve"> en cuestiones fiscales se encuentran recogida en el Texto Refundido del Reglamento del Consejo de Administración. En este documento se especifica que entre las responsabilidades que ejercita directamente y con carácter indelegable se encuentra la determinación de la política de control y gestión de riesgos, incluidos los fiscales; la determinación de la estrategia fiscal de la sociedad; la aprobación de las inversiones u operaciones de todo tipo que por su elevada cuantía o especiales características, tengan carácter estratégico o especial riesgo fiscal, salvo que su aprobación corresponda a la junta general; y la aprobación de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 la sociedad y su grupo.</w:t>
      </w:r>
    </w:p>
    <w:p w14:paraId="34596572" w14:textId="77777777" w:rsidR="008E68EC" w:rsidRDefault="008E68EC" w:rsidP="008E68EC">
      <w:pPr>
        <w:jc w:val="both"/>
      </w:pPr>
    </w:p>
    <w:p w14:paraId="6495A0C7" w14:textId="77777777" w:rsidR="008E68EC" w:rsidRDefault="008E68EC" w:rsidP="008E68EC">
      <w:pPr>
        <w:jc w:val="both"/>
      </w:pPr>
      <w:r>
        <w:rPr>
          <w:rFonts w:ascii="Open Sans" w:hAnsi="Open Sans" w:cs="Open Sans"/>
          <w:bCs/>
          <w:sz w:val="20"/>
          <w:szCs w:val="20"/>
        </w:rPr>
        <w:t>En ejecución de sus competencias, éste</w:t>
      </w:r>
      <w:r>
        <w:rPr>
          <w:rFonts w:ascii="Open Sans" w:hAnsi="Open Sans" w:cs="Open Sans"/>
          <w:bCs/>
          <w:color w:val="000000"/>
          <w:sz w:val="20"/>
          <w:szCs w:val="20"/>
        </w:rPr>
        <w:t xml:space="preserve"> Consejo adoptó en abril de 2014, entre otros, el Acuerdo de Adhesión de la Entidad a la totalidad del Código de Buenas Prácticas Tributarias patrocinado por la Agencia Estatal de la Administración Tributaria, en su propio nombre y en su condición de entidad dominante del Grupo Fiscal 13/01 compuesto por </w:t>
      </w:r>
      <w:r>
        <w:rPr>
          <w:rFonts w:ascii="Open Sans" w:hAnsi="Open Sans" w:cs="Open Sans"/>
          <w:sz w:val="20"/>
          <w:szCs w:val="20"/>
        </w:rPr>
        <w:t>Bankinter S.A., Bankinter Consumer Finance E.F.C., S.A. e Intermobiliaria S.A.</w:t>
      </w:r>
      <w:r>
        <w:rPr>
          <w:rStyle w:val="Refdenotaalpie"/>
          <w:rFonts w:ascii="Open Sans" w:hAnsi="Open Sans" w:cs="Open Sans"/>
          <w:sz w:val="20"/>
          <w:szCs w:val="20"/>
        </w:rPr>
        <w:footnoteReference w:id="466"/>
      </w:r>
      <w:r>
        <w:rPr>
          <w:rFonts w:ascii="Open Sans" w:hAnsi="Open Sans" w:cs="Open Sans"/>
          <w:bCs/>
          <w:color w:val="000000"/>
          <w:sz w:val="20"/>
          <w:szCs w:val="20"/>
        </w:rPr>
        <w:t xml:space="preserve"> a efectos de su tributación en régimen de consolidación fiscal en el Impuesto sobre Sociedades, y 128/09 a efectos del régimen </w:t>
      </w:r>
      <w:r>
        <w:rPr>
          <w:rFonts w:ascii="Open Sans" w:hAnsi="Open Sans" w:cs="Open Sans"/>
          <w:bCs/>
          <w:sz w:val="20"/>
          <w:szCs w:val="20"/>
        </w:rPr>
        <w:t>fiscal especial de grupo de entidades del Impuesto sobre el Valor Añadido.</w:t>
      </w:r>
    </w:p>
    <w:p w14:paraId="5B45CE61" w14:textId="77777777" w:rsidR="008E68EC" w:rsidRDefault="008E68EC" w:rsidP="008E68EC">
      <w:pPr>
        <w:jc w:val="both"/>
        <w:rPr>
          <w:rFonts w:ascii="Open Sans" w:hAnsi="Open Sans" w:cs="Open Sans"/>
          <w:bCs/>
          <w:sz w:val="20"/>
          <w:szCs w:val="20"/>
        </w:rPr>
      </w:pPr>
    </w:p>
    <w:p w14:paraId="200B4225" w14:textId="77777777" w:rsidR="008E68EC" w:rsidRDefault="008E68EC" w:rsidP="008E68EC">
      <w:pPr>
        <w:jc w:val="both"/>
      </w:pPr>
      <w:r>
        <w:rPr>
          <w:rFonts w:ascii="Open Sans" w:hAnsi="Open Sans" w:cs="Open Sans"/>
          <w:bCs/>
          <w:sz w:val="20"/>
          <w:szCs w:val="20"/>
        </w:rPr>
        <w:t xml:space="preserve">Por su parte, la </w:t>
      </w:r>
      <w:r w:rsidRPr="00385F65">
        <w:rPr>
          <w:rFonts w:ascii="Open Sans" w:hAnsi="Open Sans" w:cs="Open Sans"/>
          <w:bCs/>
          <w:iCs/>
          <w:sz w:val="20"/>
          <w:szCs w:val="20"/>
        </w:rPr>
        <w:t>Comisión Ejecutiva</w:t>
      </w:r>
      <w:r>
        <w:rPr>
          <w:rFonts w:ascii="Open Sans" w:hAnsi="Open Sans" w:cs="Open Sans"/>
          <w:bCs/>
          <w:sz w:val="20"/>
          <w:szCs w:val="20"/>
        </w:rPr>
        <w:t>, de forma expresa y permanente, tiene delegadas entre sus facultades aprobar nuevos negocios y operaciones puntuales siempre que no tengan carácter estratégico ni supongan un especial riesgo fiscal para la Entidad o su Grupo.</w:t>
      </w:r>
    </w:p>
    <w:p w14:paraId="6AF55649" w14:textId="77777777" w:rsidR="008E68EC" w:rsidRDefault="008E68EC" w:rsidP="008E68EC">
      <w:pPr>
        <w:jc w:val="both"/>
        <w:rPr>
          <w:rFonts w:ascii="Open Sans" w:hAnsi="Open Sans" w:cs="Open Sans"/>
          <w:bCs/>
          <w:sz w:val="20"/>
          <w:szCs w:val="20"/>
        </w:rPr>
      </w:pPr>
    </w:p>
    <w:p w14:paraId="60FC2E58" w14:textId="77777777" w:rsidR="008E68EC" w:rsidRDefault="008E68EC" w:rsidP="008E68EC">
      <w:pPr>
        <w:jc w:val="both"/>
      </w:pPr>
      <w:r>
        <w:rPr>
          <w:rFonts w:ascii="Open Sans" w:hAnsi="Open Sans" w:cs="Open Sans"/>
          <w:bCs/>
          <w:sz w:val="20"/>
          <w:szCs w:val="20"/>
        </w:rPr>
        <w:t xml:space="preserve">Finalmente, la </w:t>
      </w:r>
      <w:r w:rsidRPr="00385F65">
        <w:rPr>
          <w:rFonts w:ascii="Open Sans" w:hAnsi="Open Sans" w:cs="Open Sans"/>
          <w:bCs/>
          <w:iCs/>
          <w:sz w:val="20"/>
          <w:szCs w:val="20"/>
        </w:rPr>
        <w:t>Comisión de Auditoría y Cumplimiento Normativo</w:t>
      </w:r>
      <w:r>
        <w:rPr>
          <w:rFonts w:ascii="Open Sans" w:hAnsi="Open Sans" w:cs="Open Sans"/>
          <w:bCs/>
          <w:sz w:val="20"/>
          <w:szCs w:val="20"/>
        </w:rPr>
        <w:t xml:space="preserve"> supervisa, entre otros,  los sistemas de control de riesgos, incluidos los fiscales  y  vela por la independencia y eficacia de dicha función así como discutir con los auditores de cuentas las debilidades significativas del sistema de control interno detectadas en el desarrollo de la auditoría. Adicionalmente, informa al Consejo de Administración sobre la creación o adquisición de participaciones en entidades de </w:t>
      </w:r>
      <w:proofErr w:type="gramStart"/>
      <w:r>
        <w:rPr>
          <w:rFonts w:ascii="Open Sans" w:hAnsi="Open Sans" w:cs="Open Sans"/>
          <w:bCs/>
          <w:sz w:val="20"/>
          <w:szCs w:val="20"/>
        </w:rPr>
        <w:t>propósito especial o domiciliadas</w:t>
      </w:r>
      <w:proofErr w:type="gramEnd"/>
      <w:r>
        <w:rPr>
          <w:rFonts w:ascii="Open Sans" w:hAnsi="Open Sans" w:cs="Open Sans"/>
          <w:bCs/>
          <w:sz w:val="20"/>
          <w:szCs w:val="20"/>
        </w:rPr>
        <w:t xml:space="preserve"> en países o territorios que tengan la consideración de paraísos fiscales.</w:t>
      </w:r>
    </w:p>
    <w:p w14:paraId="458AE1AD" w14:textId="77777777" w:rsidR="008E68EC" w:rsidRDefault="008E68EC" w:rsidP="008E68EC">
      <w:pPr>
        <w:jc w:val="both"/>
        <w:rPr>
          <w:rFonts w:ascii="Open Sans" w:hAnsi="Open Sans" w:cs="Open Sans"/>
          <w:bCs/>
          <w:sz w:val="20"/>
          <w:szCs w:val="20"/>
        </w:rPr>
      </w:pPr>
    </w:p>
    <w:p w14:paraId="7C007F6A" w14:textId="77777777" w:rsidR="008E68EC" w:rsidRDefault="008E68EC" w:rsidP="008E68EC">
      <w:pPr>
        <w:jc w:val="both"/>
      </w:pPr>
      <w:r>
        <w:rPr>
          <w:rFonts w:ascii="Open Sans" w:hAnsi="Open Sans" w:cs="Open Sans"/>
          <w:sz w:val="20"/>
          <w:szCs w:val="20"/>
        </w:rPr>
        <w:t xml:space="preserve">Durante el ejercicio 2015 no se ha modificado significativamente la </w:t>
      </w:r>
      <w:r w:rsidRPr="00385F65">
        <w:rPr>
          <w:rFonts w:ascii="Open Sans" w:hAnsi="Open Sans" w:cs="Open Sans"/>
          <w:bCs/>
          <w:iCs/>
          <w:sz w:val="20"/>
          <w:szCs w:val="20"/>
        </w:rPr>
        <w:t>estructura societaria</w:t>
      </w:r>
      <w:r>
        <w:rPr>
          <w:rFonts w:ascii="Open Sans" w:hAnsi="Open Sans" w:cs="Open Sans"/>
          <w:sz w:val="20"/>
          <w:szCs w:val="20"/>
        </w:rPr>
        <w:t xml:space="preserve"> del grupo, las únicas operaciones que se hacen constar es la modificación de la participación en la sociedad Eurobits Technologies SL (del 71,98% en 2014 a 49,95% en 2015), y el cambio de nombre de las sociedades Gneis Global Services, S.A y MercavalorS.A, que han pasado a denominarse Bankinter Global Services S.A y Bankinter Securities</w:t>
      </w:r>
      <w:proofErr w:type="gramStart"/>
      <w:r>
        <w:rPr>
          <w:rFonts w:ascii="Open Sans" w:hAnsi="Open Sans" w:cs="Open Sans"/>
          <w:sz w:val="20"/>
          <w:szCs w:val="20"/>
        </w:rPr>
        <w:t>,S.A</w:t>
      </w:r>
      <w:proofErr w:type="gramEnd"/>
      <w:r>
        <w:rPr>
          <w:rFonts w:ascii="Open Sans" w:hAnsi="Open Sans" w:cs="Open Sans"/>
          <w:sz w:val="20"/>
          <w:szCs w:val="20"/>
        </w:rPr>
        <w:t xml:space="preserve">., respectivamente. </w:t>
      </w:r>
    </w:p>
    <w:p w14:paraId="3A24EFFB" w14:textId="77777777" w:rsidR="008E68EC" w:rsidRDefault="008E68EC" w:rsidP="008E68EC">
      <w:pPr>
        <w:jc w:val="both"/>
        <w:rPr>
          <w:rFonts w:ascii="Open Sans" w:hAnsi="Open Sans" w:cs="Open Sans"/>
          <w:sz w:val="20"/>
          <w:szCs w:val="20"/>
        </w:rPr>
      </w:pPr>
    </w:p>
    <w:p w14:paraId="36174E5F" w14:textId="77777777" w:rsidR="008E68EC" w:rsidRPr="002D2EC2" w:rsidRDefault="008E68EC" w:rsidP="008E68EC">
      <w:pPr>
        <w:jc w:val="both"/>
      </w:pPr>
      <w:r w:rsidRPr="002D2EC2">
        <w:rPr>
          <w:rFonts w:ascii="Open Sans" w:hAnsi="Open Sans" w:cs="Open Sans"/>
          <w:sz w:val="20"/>
          <w:szCs w:val="20"/>
        </w:rPr>
        <w:t xml:space="preserve">En el Nota 13 de las CCAA 2015 se detallan la estructura societaria, incluyendo el nombre de las sociedades en las tiene participación, su actividad, su localización y el porcentaje de participación directa e indirecta (incluidas participaciones inferiores al 5% del capital). Sin embargo, no proporciona información de las sociedades a través de las que ejerce su </w:t>
      </w:r>
      <w:r w:rsidRPr="002D2EC2">
        <w:rPr>
          <w:rFonts w:ascii="Open Sans" w:hAnsi="Open Sans" w:cs="Open Sans"/>
          <w:color w:val="000000"/>
          <w:sz w:val="20"/>
          <w:szCs w:val="20"/>
        </w:rPr>
        <w:t>participación indirecta (como es el caso de Relanza Gestión SA, Línea Directa Asistencia L.D.U, Moto Club LDA L.D.U</w:t>
      </w:r>
      <w:proofErr w:type="gramStart"/>
      <w:r w:rsidRPr="002D2EC2">
        <w:rPr>
          <w:rFonts w:ascii="Open Sans" w:hAnsi="Open Sans" w:cs="Open Sans"/>
          <w:color w:val="000000"/>
          <w:sz w:val="20"/>
          <w:szCs w:val="20"/>
        </w:rPr>
        <w:t>, …</w:t>
      </w:r>
      <w:proofErr w:type="gramEnd"/>
      <w:r w:rsidRPr="002D2EC2">
        <w:rPr>
          <w:rFonts w:ascii="Open Sans" w:hAnsi="Open Sans" w:cs="Open Sans"/>
          <w:color w:val="000000"/>
          <w:sz w:val="20"/>
          <w:szCs w:val="20"/>
        </w:rPr>
        <w:t>). Por lo que se refiere al propio Bankinter S.A. su estructura del capital social está representada por 61.386 accionistas (55,80% de ellos residentes). Los accionistas con una participación superior al 5% son: Cartival, S.A. (22,86%), Standard Life Investment (Holdings) Limited (5,28%)</w:t>
      </w:r>
      <w:r w:rsidRPr="002D2EC2">
        <w:rPr>
          <w:rStyle w:val="Refdenotaalpie"/>
          <w:rFonts w:ascii="Open Sans" w:hAnsi="Open Sans" w:cs="Open Sans"/>
          <w:color w:val="000000"/>
          <w:sz w:val="20"/>
          <w:szCs w:val="20"/>
        </w:rPr>
        <w:footnoteReference w:id="467"/>
      </w:r>
      <w:r w:rsidRPr="002D2EC2">
        <w:rPr>
          <w:rFonts w:ascii="Open Sans" w:hAnsi="Open Sans" w:cs="Open Sans"/>
          <w:color w:val="000000"/>
          <w:sz w:val="20"/>
          <w:szCs w:val="20"/>
        </w:rPr>
        <w:t xml:space="preserve"> y Corporación Masaveu, S.A. (5,00%). </w:t>
      </w:r>
    </w:p>
    <w:p w14:paraId="3726525A" w14:textId="77777777" w:rsidR="008E68EC" w:rsidRPr="002D2EC2" w:rsidRDefault="008E68EC" w:rsidP="008E68EC">
      <w:pPr>
        <w:ind w:left="2520"/>
        <w:jc w:val="both"/>
        <w:rPr>
          <w:rFonts w:ascii="Open Sans" w:hAnsi="Open Sans" w:cs="Open Sans"/>
          <w:color w:val="000000"/>
          <w:sz w:val="20"/>
          <w:szCs w:val="20"/>
        </w:rPr>
      </w:pPr>
    </w:p>
    <w:p w14:paraId="5432173E" w14:textId="77777777" w:rsidR="008E68EC" w:rsidRPr="002D2EC2" w:rsidRDefault="008E68EC" w:rsidP="008E68EC">
      <w:pPr>
        <w:jc w:val="both"/>
        <w:rPr>
          <w:rFonts w:ascii="Open Sans" w:hAnsi="Open Sans" w:cs="Open Sans"/>
          <w:color w:val="000000"/>
          <w:sz w:val="20"/>
          <w:szCs w:val="20"/>
        </w:rPr>
      </w:pPr>
      <w:r w:rsidRPr="002D2EC2">
        <w:rPr>
          <w:rFonts w:ascii="Open Sans" w:hAnsi="Open Sans" w:cs="Open Sans"/>
          <w:color w:val="000000"/>
          <w:sz w:val="20"/>
          <w:szCs w:val="20"/>
        </w:rPr>
        <w:t>Bankinter sigue sin ofrecer información sobre contingencias relacionadas con aspectos fiscales de sus accionistas a pesar de que en los últimos años han salido diversas noticias relacionas con su principal accionista, Jaime Botín, y otras personas vinculadas al gobierno de la empresa. En 2013, Jaime Botín, expresidente y principal accionista de Bankinter, fue descubierto, junto a su hermano y los hijos de ambos, con cerca de 2.000 millones €, en total, ocultos en Suiza a raíz del escándalo del HSBC, que la familia resolvió pagando unos 200 millones € a Hacienda para evitar ir a la cárcel. Esta investigación reveló que dentro de ese patrimonio opaco había un 8% de Bankinter no declarado en incumplimiento de la Ley del Mercado de Valores</w:t>
      </w:r>
      <w:r w:rsidRPr="002D2EC2">
        <w:rPr>
          <w:rStyle w:val="Refdenotaalpie"/>
          <w:rFonts w:ascii="Open Sans" w:hAnsi="Open Sans" w:cs="Open Sans"/>
          <w:color w:val="000000"/>
          <w:sz w:val="20"/>
          <w:szCs w:val="20"/>
        </w:rPr>
        <w:footnoteReference w:id="468"/>
      </w:r>
      <w:r w:rsidRPr="002D2EC2">
        <w:rPr>
          <w:rFonts w:ascii="Open Sans" w:hAnsi="Open Sans" w:cs="Open Sans"/>
          <w:color w:val="000000"/>
          <w:sz w:val="20"/>
          <w:szCs w:val="20"/>
        </w:rPr>
        <w:t xml:space="preserve">. En febrero de 2016, la Comisión Nacional del Mercado de Valores (CNMV) ha sancionado con 500.000 € a Jaime Botín por el incumplimiento del deber de comunicación y difusión de participaciones significativas en Bankinter. </w:t>
      </w:r>
    </w:p>
    <w:p w14:paraId="20B2897B" w14:textId="77777777" w:rsidR="008E68EC" w:rsidRPr="002D2EC2" w:rsidRDefault="008E68EC" w:rsidP="008E68EC">
      <w:pPr>
        <w:jc w:val="both"/>
        <w:rPr>
          <w:rFonts w:ascii="Open Sans" w:hAnsi="Open Sans" w:cs="Open Sans"/>
          <w:color w:val="000000"/>
          <w:sz w:val="20"/>
          <w:szCs w:val="20"/>
        </w:rPr>
      </w:pPr>
    </w:p>
    <w:p w14:paraId="7C50F2FF" w14:textId="77777777" w:rsidR="008E68EC" w:rsidRPr="00E429F9" w:rsidRDefault="008E68EC" w:rsidP="008E68EC">
      <w:pPr>
        <w:jc w:val="both"/>
        <w:rPr>
          <w:rFonts w:ascii="Open Sans" w:hAnsi="Open Sans" w:cs="Open Sans"/>
          <w:color w:val="000000"/>
          <w:sz w:val="20"/>
          <w:szCs w:val="20"/>
        </w:rPr>
      </w:pPr>
      <w:r w:rsidRPr="002D2EC2">
        <w:rPr>
          <w:rFonts w:ascii="Open Sans" w:hAnsi="Open Sans" w:cs="Open Sans"/>
          <w:color w:val="000000"/>
          <w:sz w:val="20"/>
          <w:szCs w:val="20"/>
        </w:rPr>
        <w:t xml:space="preserve">A finales de 2014, </w:t>
      </w:r>
      <w:r>
        <w:rPr>
          <w:rFonts w:ascii="Open Sans" w:hAnsi="Open Sans" w:cs="Open Sans"/>
          <w:color w:val="000000"/>
          <w:sz w:val="20"/>
          <w:szCs w:val="20"/>
        </w:rPr>
        <w:t xml:space="preserve">de acuerdo con diversas fuentes, </w:t>
      </w:r>
      <w:r w:rsidRPr="002D2EC2">
        <w:rPr>
          <w:rFonts w:ascii="Open Sans" w:hAnsi="Open Sans" w:cs="Open Sans"/>
          <w:color w:val="000000"/>
          <w:sz w:val="20"/>
          <w:szCs w:val="20"/>
        </w:rPr>
        <w:t>la Agencia Tributaria presentó una denuncia contra Jaime Botín, por fraude fiscal de más de 1,3 millones € mediante la utilización de una red de empresas pantalla diseñada para ahorrarse el pago del impuesto de matriculación de dos aviones privados dedicados prácticamente en exclusiva a sus desplazamientos. En el proceso</w:t>
      </w:r>
      <w:r>
        <w:rPr>
          <w:rFonts w:ascii="Open Sans" w:hAnsi="Open Sans" w:cs="Open Sans"/>
          <w:color w:val="000000"/>
          <w:sz w:val="20"/>
          <w:szCs w:val="20"/>
        </w:rPr>
        <w:t>, de acuerdo con eldiarrio.es,</w:t>
      </w:r>
      <w:r w:rsidRPr="002D2EC2">
        <w:rPr>
          <w:rFonts w:ascii="Open Sans" w:hAnsi="Open Sans" w:cs="Open Sans"/>
          <w:color w:val="000000"/>
          <w:sz w:val="20"/>
          <w:szCs w:val="20"/>
        </w:rPr>
        <w:t xml:space="preserve"> se ha implicado a Ricardo Luis Egea Marcos, que ha estado cuatro décadas en puestos de alta responsabilidad en Bankinter, por su participación en la constitución de la filial lusa de Worldtour, WT Portugal LDA, empresa controlada por Jaime Botín, que adquirió los aviones. Egea, todavía aparecía en el registro como apoderado de Cartival, sociedad a través de la cual Botín vehicula su participación (cerca del 23%) en Bankinter, y presidente de Bankinter Capital Riesgo. Otra de las personas implicadas es Rocío Utrera Gómez, administradora única de Worldtour SA y apoderada solidaria de Cartival, la patrimonial de Jaime Botín. También ha estado vinculada en el pasado (como consejera y secretaria del consejo) a Aleph Inversiones, empresa de capital riesgo controlada por la propia Cartival</w:t>
      </w:r>
      <w:r w:rsidRPr="002D2EC2">
        <w:rPr>
          <w:rStyle w:val="Refdenotaalpie"/>
          <w:rFonts w:ascii="Open Sans" w:hAnsi="Open Sans" w:cs="Open Sans"/>
          <w:color w:val="000000"/>
          <w:sz w:val="20"/>
          <w:szCs w:val="20"/>
        </w:rPr>
        <w:footnoteReference w:id="469"/>
      </w:r>
      <w:r w:rsidRPr="002D2EC2">
        <w:rPr>
          <w:rFonts w:ascii="Open Sans" w:hAnsi="Open Sans" w:cs="Open Sans"/>
          <w:color w:val="000000"/>
          <w:sz w:val="20"/>
          <w:szCs w:val="20"/>
        </w:rPr>
        <w:t>.</w:t>
      </w:r>
    </w:p>
    <w:p w14:paraId="48870D22" w14:textId="77777777" w:rsidR="008E68EC" w:rsidRDefault="008E68EC" w:rsidP="008E68EC">
      <w:pPr>
        <w:ind w:left="2520"/>
        <w:jc w:val="both"/>
        <w:rPr>
          <w:rFonts w:ascii="Open Sans" w:hAnsi="Open Sans" w:cs="Open Sans"/>
          <w:color w:val="000000"/>
          <w:sz w:val="20"/>
          <w:szCs w:val="20"/>
        </w:rPr>
      </w:pPr>
    </w:p>
    <w:p w14:paraId="000FABCB" w14:textId="77777777" w:rsidR="008E68EC" w:rsidRDefault="008E68EC" w:rsidP="008E68EC">
      <w:pPr>
        <w:jc w:val="both"/>
      </w:pPr>
      <w:r>
        <w:rPr>
          <w:rFonts w:ascii="Open Sans" w:hAnsi="Open Sans" w:cs="Open Sans"/>
          <w:bCs/>
          <w:sz w:val="20"/>
          <w:szCs w:val="20"/>
        </w:rPr>
        <w:t>Bankinter comunica que durante este ejercicio 2015 ha obtenido</w:t>
      </w:r>
      <w:r>
        <w:rPr>
          <w:rFonts w:ascii="Open Sans" w:hAnsi="Open Sans" w:cs="Open Sans"/>
          <w:b/>
          <w:bCs/>
          <w:i/>
          <w:iCs/>
          <w:sz w:val="20"/>
          <w:szCs w:val="20"/>
        </w:rPr>
        <w:t xml:space="preserve"> </w:t>
      </w:r>
      <w:r w:rsidRPr="00385F65">
        <w:rPr>
          <w:rFonts w:ascii="Open Sans" w:hAnsi="Open Sans" w:cs="Open Sans"/>
          <w:bCs/>
          <w:iCs/>
          <w:sz w:val="20"/>
          <w:szCs w:val="20"/>
        </w:rPr>
        <w:t>plusvalías</w:t>
      </w:r>
      <w:r>
        <w:rPr>
          <w:rFonts w:ascii="Open Sans" w:hAnsi="Open Sans" w:cs="Open Sans"/>
          <w:b/>
          <w:bCs/>
          <w:i/>
          <w:iCs/>
          <w:sz w:val="20"/>
          <w:szCs w:val="20"/>
        </w:rPr>
        <w:t xml:space="preserve"> </w:t>
      </w:r>
      <w:r>
        <w:rPr>
          <w:rFonts w:ascii="Open Sans" w:hAnsi="Open Sans" w:cs="Open Sans"/>
          <w:bCs/>
          <w:sz w:val="20"/>
          <w:szCs w:val="20"/>
        </w:rPr>
        <w:t>por importe de 4.732 m€ y dividendos por importe de 1.834m€, lo que supuesto un importe de 275 miles de euros en impuestos pagados en el extranjero correspondientes a dichos dividendos. Se considera necesario que amplíe la información sobre los países en los que se ha generado estas plusvalías y dividendos, en que países ha liquidado estos impuestos y la tasa efectiva aplicada.</w:t>
      </w:r>
    </w:p>
    <w:p w14:paraId="743E476F" w14:textId="77777777" w:rsidR="008E68EC" w:rsidRDefault="008E68EC" w:rsidP="008E68EC">
      <w:pPr>
        <w:jc w:val="both"/>
        <w:rPr>
          <w:rFonts w:ascii="Open Sans" w:hAnsi="Open Sans" w:cs="Open Sans"/>
          <w:bCs/>
          <w:sz w:val="20"/>
          <w:szCs w:val="20"/>
        </w:rPr>
      </w:pPr>
    </w:p>
    <w:p w14:paraId="1447727A" w14:textId="77777777" w:rsidR="008E68EC" w:rsidRDefault="008E68EC" w:rsidP="008E68EC">
      <w:pPr>
        <w:jc w:val="both"/>
      </w:pPr>
      <w:r>
        <w:rPr>
          <w:rFonts w:ascii="Open Sans" w:hAnsi="Open Sans" w:cs="Open Sans"/>
          <w:bCs/>
          <w:sz w:val="20"/>
          <w:szCs w:val="20"/>
        </w:rPr>
        <w:t xml:space="preserve">En lo referente al </w:t>
      </w:r>
      <w:r w:rsidRPr="00385F65">
        <w:rPr>
          <w:rFonts w:ascii="Open Sans" w:hAnsi="Open Sans" w:cs="Open Sans"/>
          <w:bCs/>
          <w:iCs/>
          <w:sz w:val="20"/>
          <w:szCs w:val="20"/>
        </w:rPr>
        <w:t>Impuesto de Sociedades y a los beneficios fiscales</w:t>
      </w:r>
      <w:r>
        <w:rPr>
          <w:rFonts w:ascii="Open Sans" w:hAnsi="Open Sans" w:cs="Open Sans"/>
          <w:bCs/>
          <w:sz w:val="20"/>
          <w:szCs w:val="20"/>
        </w:rPr>
        <w:t xml:space="preserve"> aplicados mediante exenciones, deducciones, créditos fiscales</w:t>
      </w:r>
      <w:proofErr w:type="gramStart"/>
      <w:r>
        <w:rPr>
          <w:rFonts w:ascii="Open Sans" w:hAnsi="Open Sans" w:cs="Open Sans"/>
          <w:bCs/>
          <w:sz w:val="20"/>
          <w:szCs w:val="20"/>
        </w:rPr>
        <w:t>, …</w:t>
      </w:r>
      <w:proofErr w:type="gramEnd"/>
      <w:r>
        <w:rPr>
          <w:rFonts w:ascii="Open Sans" w:hAnsi="Open Sans" w:cs="Open Sans"/>
          <w:bCs/>
          <w:sz w:val="20"/>
          <w:szCs w:val="20"/>
        </w:rPr>
        <w:t xml:space="preserve"> la información proporcionada es a nivel global, sin detallar por países.</w:t>
      </w:r>
    </w:p>
    <w:p w14:paraId="13FF6AE5" w14:textId="77777777" w:rsidR="008E68EC" w:rsidRDefault="008E68EC" w:rsidP="008E68EC">
      <w:pPr>
        <w:jc w:val="both"/>
        <w:rPr>
          <w:rFonts w:ascii="Open Sans" w:hAnsi="Open Sans" w:cs="Open Sans"/>
          <w:bCs/>
          <w:sz w:val="20"/>
          <w:szCs w:val="20"/>
        </w:rPr>
      </w:pPr>
    </w:p>
    <w:p w14:paraId="48B48BFD" w14:textId="77777777" w:rsidR="008E68EC" w:rsidRDefault="008E68EC" w:rsidP="008E68EC">
      <w:pPr>
        <w:jc w:val="both"/>
      </w:pPr>
      <w:r>
        <w:rPr>
          <w:rFonts w:ascii="Open Sans" w:hAnsi="Open Sans" w:cs="Open Sans"/>
          <w:bCs/>
          <w:sz w:val="20"/>
          <w:szCs w:val="20"/>
        </w:rPr>
        <w:t xml:space="preserve">Bankinter declara que no ha recibido subvenciones o ayudas públicas por parte de </w:t>
      </w:r>
      <w:r>
        <w:rPr>
          <w:rFonts w:ascii="Open Sans" w:hAnsi="Open Sans" w:cs="Open Sans"/>
          <w:bCs/>
          <w:color w:val="000000"/>
          <w:sz w:val="20"/>
          <w:szCs w:val="20"/>
        </w:rPr>
        <w:t>ninguna entidad del grupo.</w:t>
      </w:r>
    </w:p>
    <w:p w14:paraId="516B369C" w14:textId="77777777" w:rsidR="008E68EC" w:rsidRDefault="008E68EC" w:rsidP="008E68EC">
      <w:pPr>
        <w:jc w:val="both"/>
        <w:rPr>
          <w:rFonts w:ascii="Open Sans" w:hAnsi="Open Sans" w:cs="Open Sans"/>
          <w:bCs/>
          <w:sz w:val="20"/>
          <w:szCs w:val="20"/>
        </w:rPr>
      </w:pPr>
    </w:p>
    <w:p w14:paraId="191AE660" w14:textId="77777777" w:rsidR="008E68EC" w:rsidRDefault="008E68EC" w:rsidP="008E68EC">
      <w:pPr>
        <w:jc w:val="both"/>
      </w:pPr>
      <w:r>
        <w:rPr>
          <w:rFonts w:ascii="Open Sans" w:hAnsi="Open Sans" w:cs="Open Sans"/>
          <w:bCs/>
          <w:color w:val="000000"/>
          <w:sz w:val="20"/>
          <w:szCs w:val="20"/>
        </w:rPr>
        <w:t xml:space="preserve">La información proporcionada sobre los </w:t>
      </w:r>
      <w:r>
        <w:rPr>
          <w:rFonts w:ascii="Open Sans" w:hAnsi="Open Sans" w:cs="Open Sans"/>
          <w:color w:val="000000"/>
          <w:sz w:val="20"/>
          <w:szCs w:val="20"/>
        </w:rPr>
        <w:t xml:space="preserve">beneficios </w:t>
      </w:r>
      <w:r>
        <w:rPr>
          <w:rFonts w:ascii="Open Sans" w:hAnsi="Open Sans" w:cs="Open Sans"/>
          <w:sz w:val="20"/>
          <w:szCs w:val="20"/>
        </w:rPr>
        <w:t>fiscales</w:t>
      </w:r>
      <w:r>
        <w:rPr>
          <w:rFonts w:ascii="Open Sans" w:hAnsi="Open Sans" w:cs="Open Sans"/>
          <w:bCs/>
          <w:sz w:val="20"/>
          <w:szCs w:val="20"/>
        </w:rPr>
        <w:t xml:space="preserve"> aplicados es a nivel de grupo fiscal, por lo tanto, sólo hace referencia a tres sociedades ubicadas en España. Se desconoce cuáles son los beneficios fiscales aplicados en la filial de Luxemburgo.  En el Impuesto sobre Sociedades del Banco 2015 se han aplicado: </w:t>
      </w:r>
    </w:p>
    <w:p w14:paraId="3804B356" w14:textId="77777777" w:rsidR="008E68EC" w:rsidRDefault="008E68EC" w:rsidP="000B70C9">
      <w:pPr>
        <w:numPr>
          <w:ilvl w:val="0"/>
          <w:numId w:val="42"/>
        </w:numPr>
        <w:tabs>
          <w:tab w:val="clear" w:pos="436"/>
          <w:tab w:val="num" w:pos="720"/>
        </w:tabs>
        <w:suppressAutoHyphens/>
        <w:ind w:left="720"/>
        <w:jc w:val="both"/>
      </w:pPr>
      <w:r>
        <w:rPr>
          <w:rFonts w:ascii="Open Sans" w:hAnsi="Open Sans" w:cs="Open Sans"/>
          <w:bCs/>
          <w:sz w:val="20"/>
          <w:szCs w:val="20"/>
        </w:rPr>
        <w:t>reducciones sobre la base imponible</w:t>
      </w:r>
      <w:r>
        <w:rPr>
          <w:rStyle w:val="Refdenotaalpie"/>
          <w:rFonts w:ascii="Open Sans" w:hAnsi="Open Sans" w:cs="Open Sans"/>
          <w:bCs/>
          <w:sz w:val="20"/>
          <w:szCs w:val="20"/>
        </w:rPr>
        <w:footnoteReference w:id="470"/>
      </w:r>
      <w:r>
        <w:rPr>
          <w:rStyle w:val="Refdenotaalpie"/>
          <w:rFonts w:ascii="Open Sans" w:hAnsi="Open Sans" w:cs="Open Sans"/>
          <w:bCs/>
          <w:sz w:val="20"/>
          <w:szCs w:val="20"/>
        </w:rPr>
        <w:t xml:space="preserve"> </w:t>
      </w:r>
      <w:r>
        <w:rPr>
          <w:rFonts w:ascii="Open Sans" w:hAnsi="Open Sans" w:cs="Open Sans"/>
          <w:bCs/>
          <w:sz w:val="20"/>
          <w:szCs w:val="20"/>
        </w:rPr>
        <w:t>por un total de 30.380m€, procedentes de la aplicación a Reservas de Capitalización, Exención por doble imposición interna</w:t>
      </w:r>
      <w:r>
        <w:rPr>
          <w:rStyle w:val="Refdenotaalpie"/>
          <w:rFonts w:ascii="Open Sans" w:hAnsi="Open Sans" w:cs="Open Sans"/>
          <w:bCs/>
          <w:sz w:val="20"/>
          <w:szCs w:val="20"/>
        </w:rPr>
        <w:footnoteReference w:id="471"/>
      </w:r>
      <w:r>
        <w:rPr>
          <w:rFonts w:ascii="Open Sans" w:hAnsi="Open Sans" w:cs="Open Sans"/>
          <w:bCs/>
          <w:sz w:val="20"/>
          <w:szCs w:val="20"/>
        </w:rPr>
        <w:t>, Imputación de Bases Imponibles Negativas de Ejercicios anteriores y de Exenciones por acogerse al Régimen de ETVE’s.</w:t>
      </w:r>
    </w:p>
    <w:p w14:paraId="2760C881" w14:textId="77777777" w:rsidR="008E68EC" w:rsidRDefault="008E68EC" w:rsidP="000B70C9">
      <w:pPr>
        <w:numPr>
          <w:ilvl w:val="0"/>
          <w:numId w:val="42"/>
        </w:numPr>
        <w:tabs>
          <w:tab w:val="clear" w:pos="436"/>
          <w:tab w:val="num" w:pos="720"/>
        </w:tabs>
        <w:suppressAutoHyphens/>
        <w:ind w:left="720"/>
        <w:jc w:val="both"/>
      </w:pPr>
      <w:r>
        <w:rPr>
          <w:rFonts w:ascii="Open Sans" w:hAnsi="Open Sans" w:cs="Open Sans"/>
          <w:bCs/>
          <w:sz w:val="20"/>
          <w:szCs w:val="20"/>
        </w:rPr>
        <w:t>Reducciones en Cuota Impositiva procedente de diversas deducciones: por doble imposición, por ID/IT, por donativos a entidades y por amortización no deducible. En total 2361m€</w:t>
      </w:r>
    </w:p>
    <w:p w14:paraId="46F8C3AC" w14:textId="77777777" w:rsidR="008E68EC" w:rsidRDefault="008E68EC" w:rsidP="008E68EC">
      <w:pPr>
        <w:jc w:val="both"/>
        <w:rPr>
          <w:rFonts w:ascii="Open Sans" w:hAnsi="Open Sans"/>
          <w:sz w:val="20"/>
          <w:szCs w:val="20"/>
        </w:rPr>
      </w:pPr>
    </w:p>
    <w:p w14:paraId="507769E9" w14:textId="77777777" w:rsidR="008E68EC" w:rsidRDefault="008E68EC" w:rsidP="008E68EC">
      <w:pPr>
        <w:jc w:val="both"/>
      </w:pPr>
      <w:r>
        <w:rPr>
          <w:rFonts w:ascii="Open Sans" w:hAnsi="Open Sans" w:cs="Open Sans"/>
          <w:bCs/>
          <w:sz w:val="20"/>
          <w:szCs w:val="20"/>
        </w:rPr>
        <w:t xml:space="preserve">De este modo, el tipo impositivo efectivo del ejercicio del grupo se reduce al 27,75% menor que el </w:t>
      </w:r>
      <w:r>
        <w:rPr>
          <w:rFonts w:ascii="Open Sans" w:hAnsi="Open Sans" w:cs="Open Sans"/>
          <w:sz w:val="20"/>
          <w:szCs w:val="20"/>
        </w:rPr>
        <w:t>29,77% que liquidó en 2014.</w:t>
      </w:r>
    </w:p>
    <w:p w14:paraId="1026F3FA" w14:textId="77777777" w:rsidR="008E68EC" w:rsidRDefault="008E68EC" w:rsidP="008E68EC">
      <w:pPr>
        <w:ind w:left="1800"/>
        <w:rPr>
          <w:rFonts w:ascii="Open Sans" w:hAnsi="Open Sans" w:cs="Open Sans"/>
          <w:bCs/>
          <w:sz w:val="20"/>
          <w:szCs w:val="20"/>
        </w:rPr>
      </w:pPr>
    </w:p>
    <w:p w14:paraId="416A799D" w14:textId="77777777" w:rsidR="008E68EC" w:rsidRDefault="008E68EC" w:rsidP="008E68EC">
      <w:pPr>
        <w:jc w:val="both"/>
      </w:pPr>
      <w:r>
        <w:rPr>
          <w:rFonts w:ascii="Open Sans" w:hAnsi="Open Sans" w:cs="Open Sans"/>
          <w:bCs/>
          <w:sz w:val="20"/>
          <w:szCs w:val="20"/>
        </w:rPr>
        <w:t xml:space="preserve">En cuanto a </w:t>
      </w:r>
      <w:r w:rsidRPr="00385F65">
        <w:rPr>
          <w:rFonts w:ascii="Open Sans" w:hAnsi="Open Sans" w:cs="Open Sans"/>
          <w:bCs/>
          <w:iCs/>
          <w:sz w:val="20"/>
          <w:szCs w:val="20"/>
        </w:rPr>
        <w:t>sanciones, litigios y deuda tributaria</w:t>
      </w:r>
      <w:r>
        <w:rPr>
          <w:rFonts w:ascii="Open Sans" w:hAnsi="Open Sans" w:cs="Open Sans"/>
          <w:bCs/>
          <w:sz w:val="20"/>
          <w:szCs w:val="20"/>
        </w:rPr>
        <w:t>, Bankinter apunta que ha provisionado en Pasivos Fiscales las posibles deudas tributarias resultado de las reclamaciones interpuestas con Hacienda. Además “</w:t>
      </w:r>
      <w:r>
        <w:rPr>
          <w:rFonts w:ascii="Open Sans" w:hAnsi="Open Sans" w:cs="Open Sans"/>
          <w:bCs/>
          <w:i/>
          <w:iCs/>
          <w:sz w:val="20"/>
          <w:szCs w:val="20"/>
        </w:rPr>
        <w:t>debido a las posibles interpretaciones que pueden hacerse de la normativa fiscal aplicable a algunas operaciones realizadas en el sector bancario, podrían existir determinados pasivos fiscales de carácter contingente. En opinión del Banco, la posibilidad de que se materialicen estos pasivos es remota y, en cualquier caso, la deuda tributaria que de ellos pudiera derivarse no afectaría significativamente a las cuentas anuales”</w:t>
      </w:r>
      <w:r>
        <w:rPr>
          <w:rStyle w:val="Refdenotaalpie"/>
          <w:rFonts w:ascii="Open Sans" w:hAnsi="Open Sans" w:cs="Open Sans"/>
          <w:bCs/>
          <w:i/>
          <w:iCs/>
          <w:sz w:val="20"/>
          <w:szCs w:val="20"/>
        </w:rPr>
        <w:footnoteReference w:id="472"/>
      </w:r>
      <w:r>
        <w:rPr>
          <w:rFonts w:ascii="Open Sans" w:hAnsi="Open Sans" w:cs="Open Sans"/>
          <w:bCs/>
          <w:i/>
          <w:iCs/>
          <w:sz w:val="20"/>
          <w:szCs w:val="20"/>
        </w:rPr>
        <w:t xml:space="preserve">. </w:t>
      </w:r>
      <w:r>
        <w:rPr>
          <w:rFonts w:ascii="Open Sans" w:hAnsi="Open Sans" w:cs="Open Sans"/>
          <w:bCs/>
          <w:sz w:val="20"/>
          <w:szCs w:val="20"/>
        </w:rPr>
        <w:t>No se proporciona información de dichas provisiones ni del volumen de los pasivos fiscales de carácter contingente, ni de cuáles son los aspectos sujetos a interpretación, por lo que no es posible valorar el grado de afectación que tendrían sobre las cuentas anuales.</w:t>
      </w:r>
      <w:r>
        <w:rPr>
          <w:rFonts w:ascii="Open Sans" w:hAnsi="Open Sans" w:cs="Open Sans"/>
          <w:bCs/>
          <w:i/>
          <w:iCs/>
          <w:sz w:val="20"/>
          <w:szCs w:val="20"/>
        </w:rPr>
        <w:t xml:space="preserve"> </w:t>
      </w:r>
    </w:p>
    <w:p w14:paraId="2CC853ED" w14:textId="77777777" w:rsidR="008E68EC" w:rsidRDefault="008E68EC" w:rsidP="008E68EC">
      <w:pPr>
        <w:rPr>
          <w:rFonts w:ascii="Open Sans" w:hAnsi="Open Sans" w:cs="Open Sans"/>
          <w:bCs/>
          <w:sz w:val="20"/>
          <w:szCs w:val="20"/>
        </w:rPr>
      </w:pPr>
    </w:p>
    <w:p w14:paraId="1C488769" w14:textId="77777777" w:rsidR="008E68EC" w:rsidRDefault="008E68EC" w:rsidP="008E68EC">
      <w:pPr>
        <w:jc w:val="both"/>
      </w:pPr>
      <w:r>
        <w:rPr>
          <w:rFonts w:ascii="Open Sans" w:hAnsi="Open Sans" w:cs="Open Sans"/>
          <w:bCs/>
          <w:sz w:val="20"/>
          <w:szCs w:val="20"/>
        </w:rPr>
        <w:t xml:space="preserve">Si bien es cierto que la entidad hace constar los litigios que están actualmente interpuestos por Inspecciones de Hacienda mencionando ejercicios a los que corresponde, fecha sentencia, motivo, situación en la que se encuentra,… No informa del tipo de litigio ni importe de los procedimientos iniciados en ejercicios anteriores al 2015. Únicamente detalla información del recibido en el ejercicio en curso </w:t>
      </w:r>
      <w:r>
        <w:rPr>
          <w:rFonts w:ascii="Open Sans" w:hAnsi="Open Sans" w:cs="Open Sans"/>
          <w:bCs/>
          <w:i/>
          <w:iCs/>
          <w:sz w:val="20"/>
          <w:szCs w:val="20"/>
        </w:rPr>
        <w:t>“con el resultado de firma de acta en disconformidad con fecha 13 de noviembre de 2014. Con fecha 9 de marzo de 2015 se recibe el acuerdo de liquidación correspondiente por importe de 11.578 miles de euros que ha sido recurrido ante el TEAC con fecha 27 de marzo de 2015</w:t>
      </w:r>
      <w:r>
        <w:rPr>
          <w:rFonts w:ascii="Open Sans" w:hAnsi="Open Sans" w:cs="Open Sans"/>
          <w:bCs/>
          <w:sz w:val="20"/>
          <w:szCs w:val="20"/>
        </w:rPr>
        <w:t xml:space="preserve"> “. Sería recomendable que proporcionase información sobre motivos e importe para poder valorar el alcance y significancia del total de procedimientos en los que la entidad está inmersa, sobre todo teniendo en cuenta que todos los relacionados por la entidad han sido recurridos por disconformidad con la sentencia. </w:t>
      </w:r>
    </w:p>
    <w:p w14:paraId="257F9898" w14:textId="77777777" w:rsidR="008E68EC" w:rsidRDefault="008E68EC" w:rsidP="008E68EC">
      <w:pPr>
        <w:rPr>
          <w:rFonts w:ascii="Open Sans" w:hAnsi="Open Sans" w:cs="Open Sans"/>
          <w:bCs/>
          <w:sz w:val="20"/>
          <w:szCs w:val="20"/>
        </w:rPr>
      </w:pPr>
    </w:p>
    <w:p w14:paraId="2B0DC3B4" w14:textId="77777777" w:rsidR="008E68EC" w:rsidRDefault="008E68EC" w:rsidP="008E68EC">
      <w:pPr>
        <w:jc w:val="both"/>
      </w:pPr>
      <w:r>
        <w:rPr>
          <w:rFonts w:ascii="Open Sans" w:hAnsi="Open Sans" w:cs="Open Sans"/>
          <w:bCs/>
          <w:sz w:val="20"/>
          <w:szCs w:val="20"/>
        </w:rPr>
        <w:t>En referencia a la operativa de la empresa, como se ha indicado al inicio Bankinter tiene por objeto social el desarrollo de la actividad bancaria, y está sujeto a la normativa y regulaciones de las entidades bancarias operantes en España. Adicionalmente es cabecera de un Grupo de entidades dependientes, que se dedican a actividades de servicios de inversión, gestión de activos, tarjetas de crédito y negocio asegurador, constituyendo el Grupo Bankinter.</w:t>
      </w:r>
    </w:p>
    <w:p w14:paraId="4A19AAFB" w14:textId="77777777" w:rsidR="008E68EC" w:rsidRDefault="008E68EC" w:rsidP="008E68EC">
      <w:pPr>
        <w:jc w:val="both"/>
        <w:rPr>
          <w:rFonts w:ascii="Open Sans" w:hAnsi="Open Sans" w:cs="Open Sans"/>
          <w:bCs/>
          <w:sz w:val="20"/>
          <w:szCs w:val="20"/>
        </w:rPr>
      </w:pPr>
    </w:p>
    <w:p w14:paraId="55C129D0" w14:textId="77777777" w:rsidR="008E68EC" w:rsidRDefault="008E68EC" w:rsidP="008E68EC">
      <w:pPr>
        <w:jc w:val="both"/>
      </w:pPr>
      <w:r>
        <w:rPr>
          <w:rFonts w:ascii="Open Sans" w:hAnsi="Open Sans" w:cs="Open Sans"/>
          <w:bCs/>
          <w:sz w:val="20"/>
          <w:szCs w:val="20"/>
        </w:rPr>
        <w:t xml:space="preserve">En el informe anual de Bankinter SA se hace constar que se realizan operaciones de diversa naturaleza </w:t>
      </w:r>
      <w:r w:rsidRPr="00385F65">
        <w:rPr>
          <w:rFonts w:ascii="Open Sans" w:hAnsi="Open Sans" w:cs="Open Sans"/>
          <w:bCs/>
          <w:iCs/>
          <w:sz w:val="20"/>
          <w:szCs w:val="20"/>
        </w:rPr>
        <w:t>partes vinculadas al grupo,</w:t>
      </w:r>
      <w:r>
        <w:rPr>
          <w:rFonts w:ascii="Open Sans" w:hAnsi="Open Sans" w:cs="Open Sans"/>
          <w:sz w:val="20"/>
          <w:szCs w:val="20"/>
        </w:rPr>
        <w:t xml:space="preserve"> fundamentalmente con Personas, Sociedades o Entidades del Grupo. </w:t>
      </w:r>
      <w:r>
        <w:rPr>
          <w:rFonts w:ascii="Open Sans" w:hAnsi="Open Sans" w:cs="Open Sans"/>
          <w:bCs/>
          <w:sz w:val="20"/>
          <w:szCs w:val="20"/>
        </w:rPr>
        <w:t xml:space="preserve"> En cuanto a operaciones que generan gastos se corresponde con el pago por Recepción de Servicios, y en el caso de ingresos con Ingresos Financieros y Dividendos Recibidos. Tanto en Gastos como en Ingresos aparece relacionada una partida de Otros que asciende cada una de ellas a 60.000m€.  Sería recomendable ofrecer un mayor grado de detalle de los conceptos incorporados e indicar los precios que se han aplicado en el pago de los servicios y otros gastos para valorar los precios de transferencia de las operaciones intragrupo. </w:t>
      </w:r>
    </w:p>
    <w:p w14:paraId="6E6DE71A" w14:textId="77777777" w:rsidR="008E68EC" w:rsidRDefault="008E68EC" w:rsidP="008E68EC">
      <w:pPr>
        <w:jc w:val="both"/>
      </w:pPr>
    </w:p>
    <w:p w14:paraId="0947C8C9" w14:textId="77777777" w:rsidR="008E68EC" w:rsidRDefault="008E68EC" w:rsidP="008E68EC">
      <w:pPr>
        <w:jc w:val="both"/>
      </w:pPr>
      <w:r>
        <w:rPr>
          <w:rFonts w:ascii="Open Sans" w:hAnsi="Open Sans" w:cs="Open Sans"/>
          <w:bCs/>
          <w:sz w:val="20"/>
          <w:szCs w:val="20"/>
        </w:rPr>
        <w:t xml:space="preserve">El volumen total de las operaciones con partes vinculadas asciende a 2.608.377m€, concentrándose principalmente en Acuerdos de Financiación (créditos y aportaciones de capital) como prestamista (79%) y como prestatario (14%). No sé ha encontrado información sobre las condiciones económicas de estos acuerdos de financiación para poder valorar los precios de transferencia de las operaciones intragrupo. </w:t>
      </w:r>
    </w:p>
    <w:p w14:paraId="21EE6FB5" w14:textId="77777777" w:rsidR="008E68EC" w:rsidRDefault="008E68EC" w:rsidP="008E68EC">
      <w:pPr>
        <w:jc w:val="both"/>
        <w:rPr>
          <w:rFonts w:ascii="Open Sans" w:hAnsi="Open Sans" w:cs="Open Sans"/>
          <w:bCs/>
          <w:sz w:val="20"/>
          <w:szCs w:val="20"/>
        </w:rPr>
      </w:pPr>
    </w:p>
    <w:p w14:paraId="53403E6E" w14:textId="77777777" w:rsidR="008E68EC" w:rsidRDefault="008E68EC" w:rsidP="008E68EC">
      <w:pPr>
        <w:jc w:val="both"/>
      </w:pPr>
      <w:r>
        <w:rPr>
          <w:rFonts w:ascii="Open Sans" w:hAnsi="Open Sans" w:cs="Open Sans"/>
          <w:bCs/>
          <w:sz w:val="20"/>
          <w:szCs w:val="20"/>
        </w:rPr>
        <w:t>Adicionalmente, se detall</w:t>
      </w:r>
      <w:r>
        <w:rPr>
          <w:rFonts w:ascii="Open Sans" w:hAnsi="Open Sans" w:cs="Open Sans"/>
          <w:sz w:val="20"/>
          <w:szCs w:val="20"/>
        </w:rPr>
        <w:t>a la financiación concedida a la socie</w:t>
      </w:r>
      <w:r>
        <w:rPr>
          <w:rFonts w:ascii="Open Sans" w:hAnsi="Open Sans" w:cs="Open Sans"/>
          <w:bCs/>
          <w:sz w:val="20"/>
          <w:szCs w:val="20"/>
        </w:rPr>
        <w:t xml:space="preserve">dad del grupo Intermobiliaria </w:t>
      </w:r>
      <w:proofErr w:type="gramStart"/>
      <w:r>
        <w:rPr>
          <w:rFonts w:ascii="Open Sans" w:hAnsi="Open Sans" w:cs="Open Sans"/>
          <w:bCs/>
          <w:sz w:val="20"/>
          <w:szCs w:val="20"/>
        </w:rPr>
        <w:t>S.A..</w:t>
      </w:r>
      <w:proofErr w:type="gramEnd"/>
      <w:r>
        <w:rPr>
          <w:rFonts w:ascii="Open Sans" w:hAnsi="Open Sans" w:cs="Open Sans"/>
          <w:bCs/>
          <w:sz w:val="20"/>
          <w:szCs w:val="20"/>
          <w:highlight w:val="white"/>
        </w:rPr>
        <w:t xml:space="preserve"> La política general del grupo es que todos los activos procedentes de riesgos problemáticos se registren en esta filial; la adquisición de estos activos es financiada por la socied</w:t>
      </w:r>
      <w:r>
        <w:rPr>
          <w:rFonts w:ascii="Open Sans" w:hAnsi="Open Sans" w:cs="Open Sans"/>
          <w:bCs/>
          <w:sz w:val="20"/>
          <w:szCs w:val="20"/>
        </w:rPr>
        <w:t>ad matriz en condiciones de mercado. Los recursos aportados por la sociedad matriz a Intermobiliaria S.A. ascienden a 895.319m€ a 31/12/2015, principalmente mediante una cuenta de crédito (328.000m€) y un crédito participativo (560.000m€).  La Sociedad Intermobiliaria S.A. se encontraba en situación de desequilibrio patrimonial, para corregir esta situación se concedió un préstamo participativo que ha pasado de los 100.000m€ del año 2010, hasta llegar a los 560.000m€ en 2015. Según indica Bankinter, la sociedad ha restablecido su equilibrio patrimonial. Dicho préstamo participativo se encuentra registrado en el epígrafe ‘’Deudas con empresa del grupo y asociadas a largo plazo’’ del pasivo del balance de la filial”. No se indica en qué epígrafe del Balance de Bankinter SA se registra, ni tampoco de cuáles son las condiciones de mercado que se toman de referencia para establecer las condiciones económicas de la financiación, plazo de devolución</w:t>
      </w:r>
      <w:proofErr w:type="gramStart"/>
      <w:r>
        <w:rPr>
          <w:rFonts w:ascii="Open Sans" w:hAnsi="Open Sans" w:cs="Open Sans"/>
          <w:bCs/>
          <w:sz w:val="20"/>
          <w:szCs w:val="20"/>
        </w:rPr>
        <w:t>, ...</w:t>
      </w:r>
      <w:proofErr w:type="gramEnd"/>
    </w:p>
    <w:p w14:paraId="62A7ED55" w14:textId="77777777" w:rsidR="008E68EC" w:rsidRDefault="008E68EC" w:rsidP="008E68EC">
      <w:pPr>
        <w:jc w:val="both"/>
      </w:pPr>
    </w:p>
    <w:p w14:paraId="5F48BAE1" w14:textId="77777777" w:rsidR="008E68EC" w:rsidRDefault="008E68EC" w:rsidP="008E68EC">
      <w:pPr>
        <w:jc w:val="both"/>
        <w:rPr>
          <w:rFonts w:ascii="Open Sans" w:hAnsi="Open Sans" w:cs="Open Sans"/>
          <w:bCs/>
          <w:sz w:val="20"/>
          <w:szCs w:val="20"/>
          <w:highlight w:val="yellow"/>
        </w:rPr>
      </w:pPr>
    </w:p>
    <w:p w14:paraId="04364440" w14:textId="77777777" w:rsidR="008E68EC" w:rsidRDefault="008E68EC" w:rsidP="008E68EC">
      <w:r>
        <w:rPr>
          <w:rFonts w:ascii="Open Sans" w:hAnsi="Open Sans" w:cs="Open Sans"/>
          <w:b/>
          <w:sz w:val="22"/>
          <w:szCs w:val="22"/>
          <w:u w:val="single"/>
        </w:rPr>
        <w:t>5. Conclusiones</w:t>
      </w:r>
    </w:p>
    <w:p w14:paraId="30E4FE0D" w14:textId="77777777" w:rsidR="008E68EC" w:rsidRDefault="008E68EC" w:rsidP="008E68EC">
      <w:pPr>
        <w:rPr>
          <w:rFonts w:ascii="Open Sans" w:hAnsi="Open Sans" w:cs="Open Sans"/>
          <w:bCs/>
          <w:sz w:val="22"/>
          <w:szCs w:val="22"/>
          <w:u w:val="single"/>
        </w:rPr>
      </w:pPr>
    </w:p>
    <w:p w14:paraId="5BF31868" w14:textId="77777777" w:rsidR="008E68EC" w:rsidRDefault="008E68EC" w:rsidP="008E68EC">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Bankinter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0,68</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“impuestos e incentivos” (0,83), seguidos de “política y estrategia fiscal” (0,80),  “paraísos y nichos fiscales” (0,67) y “relaciones con Administraciones Tributarias” (0,40). </w:t>
      </w:r>
    </w:p>
    <w:p w14:paraId="17FC25E6" w14:textId="77777777" w:rsidR="008E68EC" w:rsidRDefault="008E68EC" w:rsidP="008E68EC">
      <w:pPr>
        <w:pStyle w:val="Default"/>
        <w:jc w:val="both"/>
      </w:pPr>
    </w:p>
    <w:p w14:paraId="3F46B369" w14:textId="77777777" w:rsidR="008E68EC" w:rsidRDefault="008E68EC" w:rsidP="008E68EC">
      <w:pPr>
        <w:pStyle w:val="Default"/>
        <w:jc w:val="both"/>
      </w:pPr>
      <w:r>
        <w:rPr>
          <w:rFonts w:ascii="Open Sans" w:hAnsi="Open Sans" w:cs="Open Sans"/>
          <w:color w:val="auto"/>
          <w:sz w:val="20"/>
          <w:szCs w:val="20"/>
        </w:rPr>
        <w:t xml:space="preserve">El análisis de la documentación publicada por la entidad refleja que, a pesar de manifestar su compromiso con la fiscalidad responsable, no se proporciona información suficiente para poder valorar en su globalidad su implementación. Remarcar que el Código Buenas Prácticas Tributarias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w:t>
      </w:r>
      <w:r>
        <w:rPr>
          <w:rFonts w:ascii="Open Sans" w:hAnsi="Open Sans" w:cs="Open Sans"/>
          <w:i/>
          <w:iCs/>
          <w:color w:val="auto"/>
          <w:sz w:val="20"/>
          <w:szCs w:val="20"/>
        </w:rPr>
        <w:t>offshore</w:t>
      </w:r>
      <w:r>
        <w:rPr>
          <w:rFonts w:ascii="Open Sans" w:hAnsi="Open Sans" w:cs="Open Sans"/>
          <w:color w:val="auto"/>
          <w:sz w:val="20"/>
          <w:szCs w:val="20"/>
        </w:rPr>
        <w:t xml:space="preserve">, que favorecen la evasión fiscal. </w:t>
      </w:r>
    </w:p>
    <w:p w14:paraId="165D883B" w14:textId="77777777" w:rsidR="008E68EC" w:rsidRDefault="008E68EC" w:rsidP="008E68EC">
      <w:pPr>
        <w:pStyle w:val="Default"/>
        <w:jc w:val="both"/>
      </w:pPr>
    </w:p>
    <w:p w14:paraId="1D40050B" w14:textId="77777777" w:rsidR="008E68EC" w:rsidRDefault="008E68EC" w:rsidP="008E68EC">
      <w:pPr>
        <w:pStyle w:val="Default"/>
        <w:jc w:val="both"/>
      </w:pPr>
      <w:r>
        <w:rPr>
          <w:rFonts w:ascii="Open Sans" w:hAnsi="Open Sans" w:cs="Open Sans"/>
          <w:color w:val="auto"/>
          <w:sz w:val="20"/>
          <w:szCs w:val="20"/>
        </w:rPr>
        <w:t>La entidad afirma disponer de una estrategia fiscal, pero no ha sido posible encontrar documentación relativa a dicha estrategia que permita valorar los puntos que abarca, la implicación, alcance de compromiso</w:t>
      </w:r>
      <w:proofErr w:type="gramStart"/>
      <w:r>
        <w:rPr>
          <w:rFonts w:ascii="Open Sans" w:hAnsi="Open Sans" w:cs="Open Sans"/>
          <w:color w:val="auto"/>
          <w:sz w:val="20"/>
          <w:szCs w:val="20"/>
        </w:rPr>
        <w:t>, …</w:t>
      </w:r>
      <w:proofErr w:type="gramEnd"/>
      <w:r>
        <w:rPr>
          <w:rFonts w:ascii="Open Sans" w:hAnsi="Open Sans" w:cs="Open Sans"/>
          <w:color w:val="auto"/>
          <w:sz w:val="20"/>
          <w:szCs w:val="20"/>
        </w:rPr>
        <w:t xml:space="preserve">  de Bankinter con la fiscalidad.  Así mismo menciona que KPMG realizó un informe sobre riesgos fiscales que se materializó en diferentes documentos, los cuales tampoco están disponibles en la web corporativa de la entidad.  De modo, que no se tiene acceso a los riesgos identificados, alcance, participación de </w:t>
      </w:r>
      <w:r>
        <w:rPr>
          <w:rFonts w:ascii="Open Sans" w:hAnsi="Open Sans" w:cs="Open Sans"/>
          <w:sz w:val="20"/>
          <w:szCs w:val="20"/>
        </w:rPr>
        <w:t>grupos de interés…No hay un documento aparte de las cuentas anuales dedicado al reporte fiscal.</w:t>
      </w:r>
    </w:p>
    <w:p w14:paraId="3C0E4705" w14:textId="77777777" w:rsidR="008E68EC" w:rsidRDefault="008E68EC" w:rsidP="008E68EC">
      <w:pPr>
        <w:pStyle w:val="Default"/>
        <w:jc w:val="both"/>
      </w:pPr>
    </w:p>
    <w:p w14:paraId="0AC7645C" w14:textId="77777777" w:rsidR="008E68EC" w:rsidRDefault="008E68EC" w:rsidP="008E68EC">
      <w:pPr>
        <w:jc w:val="both"/>
      </w:pPr>
      <w:r>
        <w:rPr>
          <w:rFonts w:ascii="Open Sans" w:hAnsi="Open Sans" w:cs="Open Sans"/>
          <w:sz w:val="20"/>
          <w:szCs w:val="20"/>
        </w:rPr>
        <w:t xml:space="preserve">La información facilitada por la entidad sólo se refiere a sus operaciones en el ámbito español y en Luxemburgo, obviando un año más proporcionar datos sobre la participada ubicada en Irlanda. Así mismo, la mayor parte de la información objeto de análisis hay que extraerla de información proporcionada en los Informes Legales, es de difícil comprensión para público no experto, está disgregada en diferentes apartados y documentos (CCAA Consolidadas, Informe Legal de Bankinter SA, Informe Bancario Anual, Informe de Gobierno Corporativo…) y no contiene explicaciones suficientes para ser comprensible por todos sus grupos de interés. </w:t>
      </w:r>
    </w:p>
    <w:p w14:paraId="1E61D339" w14:textId="77777777" w:rsidR="008E68EC" w:rsidRDefault="008E68EC" w:rsidP="008E68EC">
      <w:pPr>
        <w:jc w:val="both"/>
        <w:rPr>
          <w:rFonts w:ascii="Open Sans" w:hAnsi="Open Sans" w:cs="Open Sans"/>
          <w:sz w:val="20"/>
          <w:szCs w:val="20"/>
        </w:rPr>
      </w:pPr>
    </w:p>
    <w:p w14:paraId="29F0F538" w14:textId="77777777" w:rsidR="008E68EC" w:rsidRDefault="008E68EC" w:rsidP="008E68EC">
      <w:pPr>
        <w:jc w:val="both"/>
      </w:pPr>
      <w:r>
        <w:rPr>
          <w:rFonts w:ascii="Open Sans" w:hAnsi="Open Sans" w:cs="Open Sans"/>
          <w:sz w:val="20"/>
          <w:szCs w:val="20"/>
        </w:rPr>
        <w:t>En la documentación analizada no se han encontrado evidencias de que Bankinter haya establecido un diálogo, más allá de con la agencia tributaria, con sus grupos de interés en relación a los aspectos fiscales.</w:t>
      </w:r>
    </w:p>
    <w:p w14:paraId="1BFC3213" w14:textId="77777777" w:rsidR="008E68EC" w:rsidRDefault="008E68EC" w:rsidP="008E68EC">
      <w:pPr>
        <w:jc w:val="both"/>
        <w:rPr>
          <w:rFonts w:ascii="Open Sans" w:hAnsi="Open Sans" w:cs="Open Sans"/>
          <w:sz w:val="20"/>
          <w:szCs w:val="20"/>
        </w:rPr>
      </w:pPr>
    </w:p>
    <w:p w14:paraId="3519B661" w14:textId="77777777" w:rsidR="008E68EC" w:rsidRDefault="008E68EC" w:rsidP="008E68EC">
      <w:pPr>
        <w:jc w:val="both"/>
      </w:pPr>
      <w:r>
        <w:rPr>
          <w:rFonts w:ascii="Open Sans" w:hAnsi="Open Sans" w:cs="Open Sans"/>
          <w:sz w:val="20"/>
          <w:szCs w:val="20"/>
        </w:rPr>
        <w:t>BANKINTER reconoce explícitamente la función social del sistema tributario y, por ello, pretende que el desarrollo de la función tributaria en el Grupo atienda igualmente al interés social y al de sus grupos de interés. Sin embargo, no se ha incluido en el análisis de materialidad, ni en la Política de Sostenibilidad, ni en el Plan de Sostenibilidad, ni el Informe Integrado Anual referencia a aspectos relacionados con fiscalidad responsable.</w:t>
      </w:r>
    </w:p>
    <w:p w14:paraId="18365AB9" w14:textId="77777777" w:rsidR="008E68EC" w:rsidRDefault="008E68EC" w:rsidP="00F8108C">
      <w:pPr>
        <w:rPr>
          <w:rFonts w:ascii="Arial" w:hAnsi="Arial" w:cs="Arial"/>
        </w:rPr>
      </w:pPr>
    </w:p>
    <w:p w14:paraId="2984F3D3" w14:textId="021174B2" w:rsidR="004E732C" w:rsidRDefault="004E732C">
      <w:pPr>
        <w:rPr>
          <w:rFonts w:ascii="Arial" w:hAnsi="Arial" w:cs="Arial"/>
        </w:rPr>
      </w:pPr>
      <w:r>
        <w:rPr>
          <w:rFonts w:ascii="Arial" w:hAnsi="Arial" w:cs="Arial"/>
        </w:rPr>
        <w:br w:type="page"/>
      </w:r>
    </w:p>
    <w:p w14:paraId="084A3E43" w14:textId="77777777" w:rsidR="00A64F90" w:rsidRDefault="00A64F90" w:rsidP="00A64F90">
      <w:pPr>
        <w:pageBreakBefore/>
        <w:pBdr>
          <w:top w:val="single" w:sz="4" w:space="1" w:color="000000"/>
          <w:left w:val="single" w:sz="4" w:space="4" w:color="000000"/>
          <w:bottom w:val="single" w:sz="4" w:space="1" w:color="000000"/>
          <w:right w:val="single" w:sz="4" w:space="4" w:color="000000"/>
        </w:pBdr>
        <w:shd w:val="clear" w:color="auto" w:fill="000080"/>
        <w:jc w:val="center"/>
      </w:pPr>
      <w:bookmarkStart w:id="93" w:name="BBVA"/>
      <w:r>
        <w:rPr>
          <w:rFonts w:ascii="Open Sans" w:hAnsi="Open Sans" w:cs="Arial"/>
          <w:b/>
          <w:caps/>
          <w:color w:val="FFFFFF"/>
        </w:rPr>
        <w:t xml:space="preserve">GRUPO BBVA </w:t>
      </w:r>
    </w:p>
    <w:bookmarkEnd w:id="93"/>
    <w:p w14:paraId="23433D86" w14:textId="77777777" w:rsidR="00A64F90" w:rsidRDefault="00A64F90" w:rsidP="00A64F90">
      <w:pPr>
        <w:pBdr>
          <w:top w:val="single" w:sz="4" w:space="1" w:color="000000"/>
          <w:left w:val="single" w:sz="4" w:space="4" w:color="000000"/>
          <w:bottom w:val="single" w:sz="4" w:space="1" w:color="000000"/>
          <w:right w:val="single" w:sz="4" w:space="4" w:color="000000"/>
        </w:pBdr>
        <w:shd w:val="clear" w:color="auto" w:fill="000080"/>
        <w:jc w:val="center"/>
      </w:pPr>
      <w:r>
        <w:rPr>
          <w:rFonts w:ascii="Open Sans" w:hAnsi="Open Sans" w:cs="Arial"/>
          <w:b/>
          <w:i/>
          <w:color w:val="FFFFFF"/>
        </w:rPr>
        <w:t>(BBVA)</w:t>
      </w:r>
    </w:p>
    <w:p w14:paraId="659C0576" w14:textId="77777777" w:rsidR="00A64F90" w:rsidRDefault="00A64F90" w:rsidP="00A64F90">
      <w:pPr>
        <w:spacing w:before="120" w:after="120" w:line="360" w:lineRule="auto"/>
        <w:jc w:val="both"/>
        <w:rPr>
          <w:rFonts w:ascii="Open Sans" w:hAnsi="Open Sans" w:cs="Tahoma"/>
          <w:b/>
          <w:bCs/>
          <w:i/>
          <w:caps/>
          <w:color w:val="002060"/>
          <w:sz w:val="28"/>
          <w:szCs w:val="28"/>
        </w:rPr>
      </w:pPr>
    </w:p>
    <w:p w14:paraId="5E6CDB30" w14:textId="77777777" w:rsidR="00C86459" w:rsidRDefault="00C86459" w:rsidP="00C86459">
      <w:pPr>
        <w:jc w:val="both"/>
      </w:pPr>
      <w:r>
        <w:rPr>
          <w:rFonts w:ascii="Open Sans" w:hAnsi="Open Sans" w:cs="Arial"/>
          <w:b/>
          <w:sz w:val="22"/>
          <w:szCs w:val="22"/>
          <w:u w:val="single"/>
        </w:rPr>
        <w:t>1. Datos generales de la entidad</w:t>
      </w:r>
    </w:p>
    <w:p w14:paraId="1121A512" w14:textId="77777777" w:rsidR="00C86459" w:rsidRDefault="00C86459" w:rsidP="00C86459">
      <w:pPr>
        <w:jc w:val="both"/>
        <w:rPr>
          <w:rFonts w:ascii="Open Sans" w:hAnsi="Open Sans" w:cs="Arial"/>
          <w:b/>
          <w:sz w:val="22"/>
          <w:szCs w:val="22"/>
          <w:u w:val="single"/>
        </w:rPr>
      </w:pPr>
    </w:p>
    <w:p w14:paraId="52C654D7" w14:textId="77777777" w:rsidR="00C86459" w:rsidRDefault="00C86459" w:rsidP="00C86459">
      <w:pPr>
        <w:jc w:val="both"/>
      </w:pPr>
      <w:r>
        <w:rPr>
          <w:rFonts w:ascii="Open Sans" w:hAnsi="Open Sans" w:cs="Arial"/>
          <w:sz w:val="20"/>
          <w:szCs w:val="20"/>
          <w:u w:val="single"/>
        </w:rPr>
        <w:t>Productos/servicios</w:t>
      </w:r>
    </w:p>
    <w:p w14:paraId="1DB1A9E1" w14:textId="77777777" w:rsidR="00C86459" w:rsidRDefault="00C86459" w:rsidP="00C86459">
      <w:pPr>
        <w:jc w:val="both"/>
        <w:rPr>
          <w:rFonts w:ascii="Open Sans" w:hAnsi="Open Sans" w:cs="Arial"/>
          <w:sz w:val="20"/>
          <w:szCs w:val="20"/>
        </w:rPr>
      </w:pPr>
    </w:p>
    <w:p w14:paraId="43CED42F" w14:textId="77777777" w:rsidR="00C86459" w:rsidRDefault="00C86459" w:rsidP="00C86459">
      <w:pPr>
        <w:jc w:val="both"/>
        <w:rPr>
          <w:rFonts w:ascii="Open Sans" w:eastAsia="Open Sans" w:hAnsi="Open Sans" w:cs="Open Sans"/>
          <w:sz w:val="20"/>
          <w:szCs w:val="20"/>
        </w:rPr>
      </w:pPr>
      <w:r>
        <w:rPr>
          <w:rFonts w:ascii="Open Sans" w:hAnsi="Open Sans" w:cs="Arial"/>
          <w:sz w:val="20"/>
          <w:szCs w:val="20"/>
        </w:rPr>
        <w:t>BBVA S.A. es la sociedad matriz del Grupo BBVA que desarrolla fundamentalmente actividades del negocio tradicional de banca. Adicionalmente</w:t>
      </w:r>
      <w:r>
        <w:rPr>
          <w:rFonts w:ascii="Open Sans" w:eastAsia="Open Sans" w:hAnsi="Open Sans" w:cs="Open Sans"/>
          <w:sz w:val="20"/>
          <w:szCs w:val="20"/>
        </w:rPr>
        <w:t xml:space="preserve">, las otras entidades dependientes del Grupo se dedican a actividades diversas tales como servicios, servicios financieros, </w:t>
      </w:r>
      <w:proofErr w:type="gramStart"/>
      <w:r>
        <w:rPr>
          <w:rFonts w:ascii="Open Sans" w:eastAsia="Open Sans" w:hAnsi="Open Sans" w:cs="Open Sans"/>
          <w:sz w:val="20"/>
          <w:szCs w:val="20"/>
        </w:rPr>
        <w:t>negocio asegurados</w:t>
      </w:r>
      <w:proofErr w:type="gramEnd"/>
      <w:r>
        <w:rPr>
          <w:rFonts w:ascii="Open Sans" w:eastAsia="Open Sans" w:hAnsi="Open Sans" w:cs="Open Sans"/>
          <w:sz w:val="20"/>
          <w:szCs w:val="20"/>
        </w:rPr>
        <w:t>, actividades inmobiliarias, cartera, banca, sociedades de valores y gestoras de fondos de pensiones.</w:t>
      </w:r>
    </w:p>
    <w:p w14:paraId="70AEF8CC" w14:textId="77777777" w:rsidR="00C86459" w:rsidRDefault="00C86459" w:rsidP="00C86459">
      <w:pPr>
        <w:jc w:val="both"/>
        <w:rPr>
          <w:rFonts w:ascii="Open Sans" w:eastAsia="Open Sans" w:hAnsi="Open Sans" w:cs="Open Sans"/>
          <w:sz w:val="20"/>
          <w:szCs w:val="20"/>
        </w:rPr>
      </w:pPr>
    </w:p>
    <w:p w14:paraId="038B8F44" w14:textId="77777777" w:rsidR="00C86459" w:rsidRDefault="00C86459" w:rsidP="00C86459">
      <w:pPr>
        <w:jc w:val="both"/>
        <w:rPr>
          <w:rFonts w:ascii="Open Sans" w:eastAsia="Open Sans" w:hAnsi="Open Sans" w:cs="Open Sans"/>
          <w:sz w:val="20"/>
          <w:szCs w:val="20"/>
        </w:rPr>
      </w:pPr>
      <w:r>
        <w:rPr>
          <w:rFonts w:ascii="Open Sans" w:eastAsia="Open Sans" w:hAnsi="Open Sans" w:cs="Open Sans"/>
          <w:sz w:val="20"/>
          <w:szCs w:val="20"/>
        </w:rPr>
        <w:t>BBVA S.A. ofrece sus productos / servicios principalmente a los segmentos:</w:t>
      </w:r>
    </w:p>
    <w:p w14:paraId="1C03DF93" w14:textId="77777777" w:rsidR="00C86459" w:rsidRDefault="00C86459" w:rsidP="00C86459">
      <w:pPr>
        <w:jc w:val="both"/>
        <w:rPr>
          <w:rFonts w:ascii="Open Sans" w:hAnsi="Open Sans" w:cs="Arial"/>
          <w:sz w:val="20"/>
          <w:szCs w:val="20"/>
        </w:rPr>
      </w:pPr>
    </w:p>
    <w:p w14:paraId="5BA4C2E6" w14:textId="77777777" w:rsidR="00C86459" w:rsidRPr="009C7771" w:rsidRDefault="00C86459" w:rsidP="000B70C9">
      <w:pPr>
        <w:numPr>
          <w:ilvl w:val="0"/>
          <w:numId w:val="40"/>
        </w:numPr>
        <w:suppressAutoHyphens/>
        <w:jc w:val="both"/>
      </w:pPr>
      <w:r>
        <w:rPr>
          <w:rFonts w:ascii="Open Sans" w:hAnsi="Open Sans" w:cs="Arial"/>
          <w:sz w:val="20"/>
          <w:szCs w:val="20"/>
        </w:rPr>
        <w:t>Banca al por menor</w:t>
      </w:r>
    </w:p>
    <w:p w14:paraId="5AD5C9BE" w14:textId="77777777" w:rsidR="00C86459" w:rsidRPr="009C7771" w:rsidRDefault="00C86459" w:rsidP="000B70C9">
      <w:pPr>
        <w:numPr>
          <w:ilvl w:val="0"/>
          <w:numId w:val="40"/>
        </w:numPr>
        <w:suppressAutoHyphens/>
        <w:jc w:val="both"/>
      </w:pPr>
      <w:r>
        <w:rPr>
          <w:rFonts w:ascii="Open Sans" w:hAnsi="Open Sans" w:cs="Arial"/>
          <w:sz w:val="20"/>
          <w:szCs w:val="20"/>
        </w:rPr>
        <w:t>Banca Privada</w:t>
      </w:r>
    </w:p>
    <w:p w14:paraId="56A97635" w14:textId="77777777" w:rsidR="00C86459" w:rsidRPr="009C7771" w:rsidRDefault="00C86459" w:rsidP="000B70C9">
      <w:pPr>
        <w:numPr>
          <w:ilvl w:val="0"/>
          <w:numId w:val="40"/>
        </w:numPr>
        <w:suppressAutoHyphens/>
        <w:jc w:val="both"/>
      </w:pPr>
      <w:r>
        <w:rPr>
          <w:rFonts w:ascii="Open Sans" w:hAnsi="Open Sans" w:cs="Arial"/>
          <w:sz w:val="20"/>
          <w:szCs w:val="20"/>
        </w:rPr>
        <w:t>Banca Mayorista</w:t>
      </w:r>
    </w:p>
    <w:p w14:paraId="3E28B695" w14:textId="77777777" w:rsidR="00C86459" w:rsidRDefault="00C86459" w:rsidP="000B70C9">
      <w:pPr>
        <w:numPr>
          <w:ilvl w:val="0"/>
          <w:numId w:val="40"/>
        </w:numPr>
        <w:suppressAutoHyphens/>
        <w:jc w:val="both"/>
        <w:rPr>
          <w:rFonts w:ascii="Open Sans" w:hAnsi="Open Sans" w:cs="Arial"/>
          <w:sz w:val="20"/>
          <w:szCs w:val="20"/>
        </w:rPr>
      </w:pPr>
      <w:r>
        <w:rPr>
          <w:rFonts w:ascii="Open Sans" w:hAnsi="Open Sans" w:cs="Arial"/>
          <w:sz w:val="20"/>
          <w:szCs w:val="20"/>
        </w:rPr>
        <w:t>Administración de Activos</w:t>
      </w:r>
    </w:p>
    <w:p w14:paraId="3AF1381D" w14:textId="77777777" w:rsidR="00C86459" w:rsidRDefault="00C86459" w:rsidP="00C86459">
      <w:pPr>
        <w:jc w:val="both"/>
        <w:rPr>
          <w:rFonts w:ascii="Open Sans" w:hAnsi="Open Sans" w:cs="Arial"/>
          <w:sz w:val="20"/>
          <w:szCs w:val="20"/>
        </w:rPr>
      </w:pPr>
    </w:p>
    <w:p w14:paraId="53027D09" w14:textId="77777777" w:rsidR="00C86459" w:rsidRDefault="00C86459" w:rsidP="00C86459">
      <w:pPr>
        <w:jc w:val="both"/>
        <w:rPr>
          <w:rFonts w:ascii="Open Sans" w:hAnsi="Open Sans" w:cs="Arial"/>
          <w:sz w:val="20"/>
          <w:szCs w:val="20"/>
        </w:rPr>
      </w:pPr>
    </w:p>
    <w:p w14:paraId="2183AD92" w14:textId="77777777" w:rsidR="00C86459" w:rsidRDefault="00C86459" w:rsidP="00C86459">
      <w:pPr>
        <w:jc w:val="both"/>
      </w:pPr>
      <w:r>
        <w:rPr>
          <w:rFonts w:ascii="Open Sans" w:hAnsi="Open Sans" w:cs="Arial"/>
          <w:sz w:val="20"/>
          <w:szCs w:val="20"/>
          <w:u w:val="single"/>
        </w:rPr>
        <w:t xml:space="preserve">Alcance geográfico </w:t>
      </w:r>
    </w:p>
    <w:p w14:paraId="53A671B6" w14:textId="77777777" w:rsidR="00C86459" w:rsidRDefault="00C86459" w:rsidP="00C86459">
      <w:pPr>
        <w:jc w:val="both"/>
        <w:rPr>
          <w:rFonts w:ascii="Open Sans" w:hAnsi="Open Sans" w:cs="Arial"/>
          <w:sz w:val="20"/>
          <w:szCs w:val="20"/>
        </w:rPr>
      </w:pPr>
    </w:p>
    <w:p w14:paraId="33652B62" w14:textId="77777777" w:rsidR="00C86459" w:rsidRDefault="00C86459" w:rsidP="00C86459">
      <w:pPr>
        <w:jc w:val="both"/>
      </w:pPr>
      <w:r>
        <w:rPr>
          <w:rFonts w:ascii="Open Sans" w:hAnsi="Open Sans" w:cs="Arial"/>
          <w:sz w:val="20"/>
          <w:szCs w:val="20"/>
        </w:rPr>
        <w:t xml:space="preserve">BBVA opera o tiene presencia en los siguientes países: </w:t>
      </w:r>
    </w:p>
    <w:p w14:paraId="4B3E2764" w14:textId="77777777" w:rsidR="00C86459" w:rsidRDefault="00C86459" w:rsidP="00C86459">
      <w:pPr>
        <w:jc w:val="both"/>
        <w:rPr>
          <w:rFonts w:ascii="Open Sans" w:hAnsi="Open Sans" w:cs="Arial"/>
          <w:sz w:val="20"/>
          <w:szCs w:val="20"/>
        </w:rPr>
      </w:pPr>
    </w:p>
    <w:p w14:paraId="2A7A0A89" w14:textId="77777777" w:rsidR="00C86459" w:rsidRDefault="00C86459" w:rsidP="000B70C9">
      <w:pPr>
        <w:numPr>
          <w:ilvl w:val="0"/>
          <w:numId w:val="42"/>
        </w:numPr>
        <w:tabs>
          <w:tab w:val="clear" w:pos="436"/>
          <w:tab w:val="num" w:pos="720"/>
        </w:tabs>
        <w:suppressAutoHyphens/>
        <w:ind w:left="720"/>
        <w:jc w:val="both"/>
        <w:rPr>
          <w:rFonts w:ascii="Open Sans" w:hAnsi="Open Sans" w:cs="Arial"/>
          <w:sz w:val="20"/>
          <w:szCs w:val="20"/>
        </w:rPr>
      </w:pPr>
      <w:r w:rsidRPr="00264FB3">
        <w:rPr>
          <w:rFonts w:ascii="Open Sans" w:hAnsi="Open Sans" w:cs="Arial"/>
          <w:sz w:val="20"/>
          <w:szCs w:val="20"/>
        </w:rPr>
        <w:t>España</w:t>
      </w:r>
      <w:r>
        <w:rPr>
          <w:rFonts w:ascii="Open Sans" w:hAnsi="Open Sans" w:cs="Arial"/>
          <w:sz w:val="20"/>
          <w:szCs w:val="20"/>
        </w:rPr>
        <w:t xml:space="preserve">, </w:t>
      </w:r>
      <w:r w:rsidRPr="00264FB3">
        <w:rPr>
          <w:rFonts w:ascii="Open Sans" w:hAnsi="Open Sans" w:cs="Arial"/>
          <w:sz w:val="20"/>
          <w:szCs w:val="20"/>
        </w:rPr>
        <w:t>México, Argentina, Chile, Colombia, Paraguay, Perú, Uruguay, Venezuela, Brasil, Estados Unidos</w:t>
      </w:r>
      <w:r>
        <w:rPr>
          <w:rFonts w:ascii="Open Sans" w:hAnsi="Open Sans" w:cs="Arial"/>
          <w:sz w:val="20"/>
          <w:szCs w:val="20"/>
        </w:rPr>
        <w:t xml:space="preserve">, </w:t>
      </w:r>
      <w:r w:rsidRPr="00264FB3">
        <w:rPr>
          <w:rFonts w:ascii="Open Sans" w:hAnsi="Open Sans" w:cs="Arial"/>
          <w:sz w:val="20"/>
          <w:szCs w:val="20"/>
        </w:rPr>
        <w:t>Turquía, Irlanda, Suiza, Italia, Portugal, Alemania, Bélgica,</w:t>
      </w:r>
      <w:r>
        <w:rPr>
          <w:rFonts w:ascii="Open Sans" w:hAnsi="Open Sans" w:cs="Arial"/>
          <w:sz w:val="20"/>
          <w:szCs w:val="20"/>
        </w:rPr>
        <w:t xml:space="preserve"> </w:t>
      </w:r>
      <w:r w:rsidRPr="00264FB3">
        <w:rPr>
          <w:rFonts w:ascii="Open Sans" w:hAnsi="Open Sans" w:cs="Arial"/>
          <w:sz w:val="20"/>
          <w:szCs w:val="20"/>
        </w:rPr>
        <w:t>Francia, Italia, Reino Unido, Rusia</w:t>
      </w:r>
      <w:r>
        <w:rPr>
          <w:rFonts w:ascii="Open Sans" w:hAnsi="Open Sans" w:cs="Arial"/>
          <w:sz w:val="20"/>
          <w:szCs w:val="20"/>
        </w:rPr>
        <w:t xml:space="preserve">, </w:t>
      </w:r>
      <w:r w:rsidRPr="00264FB3">
        <w:rPr>
          <w:rFonts w:ascii="Open Sans" w:hAnsi="Open Sans" w:cs="Arial"/>
          <w:sz w:val="20"/>
          <w:szCs w:val="20"/>
        </w:rPr>
        <w:t xml:space="preserve">China, Corea </w:t>
      </w:r>
      <w:r>
        <w:rPr>
          <w:rFonts w:ascii="Open Sans" w:hAnsi="Open Sans" w:cs="Arial"/>
          <w:sz w:val="20"/>
          <w:szCs w:val="20"/>
        </w:rPr>
        <w:t>del Sur, Japón, India, Singapur</w:t>
      </w:r>
      <w:r w:rsidRPr="00264FB3">
        <w:rPr>
          <w:rFonts w:ascii="Open Sans" w:hAnsi="Open Sans" w:cs="Arial"/>
          <w:sz w:val="20"/>
          <w:szCs w:val="20"/>
        </w:rPr>
        <w:t>, Emiratos Árabes Unidos, Indonesia</w:t>
      </w:r>
      <w:r>
        <w:rPr>
          <w:rFonts w:ascii="Open Sans" w:hAnsi="Open Sans" w:cs="Arial"/>
          <w:sz w:val="20"/>
          <w:szCs w:val="20"/>
        </w:rPr>
        <w:t xml:space="preserve"> y</w:t>
      </w:r>
      <w:r w:rsidRPr="00264FB3">
        <w:rPr>
          <w:rFonts w:ascii="Open Sans" w:hAnsi="Open Sans" w:cs="Arial"/>
          <w:sz w:val="20"/>
          <w:szCs w:val="20"/>
        </w:rPr>
        <w:t xml:space="preserve"> Australia. </w:t>
      </w:r>
    </w:p>
    <w:p w14:paraId="26F2F021" w14:textId="77777777" w:rsidR="00C86459" w:rsidRDefault="00C86459" w:rsidP="000B70C9">
      <w:pPr>
        <w:numPr>
          <w:ilvl w:val="0"/>
          <w:numId w:val="42"/>
        </w:numPr>
        <w:tabs>
          <w:tab w:val="clear" w:pos="436"/>
          <w:tab w:val="num" w:pos="720"/>
        </w:tabs>
        <w:suppressAutoHyphens/>
        <w:ind w:left="720"/>
        <w:jc w:val="both"/>
        <w:rPr>
          <w:rFonts w:ascii="Open Sans" w:hAnsi="Open Sans" w:cs="Arial"/>
          <w:sz w:val="20"/>
          <w:szCs w:val="20"/>
        </w:rPr>
      </w:pPr>
      <w:r w:rsidRPr="00264FB3">
        <w:rPr>
          <w:rFonts w:ascii="Open Sans" w:hAnsi="Open Sans" w:cs="Arial"/>
          <w:sz w:val="20"/>
          <w:szCs w:val="20"/>
        </w:rPr>
        <w:t xml:space="preserve">A través de sus participadas también tiene presencia en: Islas Caimán, </w:t>
      </w:r>
      <w:r>
        <w:rPr>
          <w:rFonts w:ascii="Open Sans" w:hAnsi="Open Sans" w:cs="Arial"/>
          <w:sz w:val="20"/>
          <w:szCs w:val="20"/>
        </w:rPr>
        <w:t xml:space="preserve">Holanda, </w:t>
      </w:r>
      <w:r w:rsidRPr="00264FB3">
        <w:rPr>
          <w:rFonts w:ascii="Open Sans" w:hAnsi="Open Sans" w:cs="Arial"/>
          <w:sz w:val="20"/>
          <w:szCs w:val="20"/>
        </w:rPr>
        <w:t>Luxemburgo, Bolivia, Suiza, Rumania, Polonia, Curaçao y Cuba</w:t>
      </w:r>
      <w:r>
        <w:rPr>
          <w:rFonts w:ascii="Open Sans" w:hAnsi="Open Sans" w:cs="Arial"/>
          <w:sz w:val="20"/>
          <w:szCs w:val="20"/>
        </w:rPr>
        <w:t xml:space="preserve"> </w:t>
      </w:r>
    </w:p>
    <w:p w14:paraId="50F2EAF8" w14:textId="77777777" w:rsidR="00C86459" w:rsidRDefault="00C86459" w:rsidP="00C86459">
      <w:pPr>
        <w:jc w:val="both"/>
        <w:rPr>
          <w:rFonts w:ascii="Open Sans" w:hAnsi="Open Sans" w:cs="Arial"/>
          <w:sz w:val="20"/>
          <w:szCs w:val="20"/>
        </w:rPr>
      </w:pPr>
    </w:p>
    <w:p w14:paraId="122D02CA" w14:textId="77777777" w:rsidR="00C86459" w:rsidRDefault="00C86459" w:rsidP="00C86459">
      <w:pPr>
        <w:jc w:val="both"/>
        <w:rPr>
          <w:rFonts w:ascii="Open Sans" w:hAnsi="Open Sans" w:cs="Arial"/>
          <w:sz w:val="20"/>
          <w:szCs w:val="20"/>
        </w:rPr>
      </w:pPr>
      <w:r>
        <w:rPr>
          <w:rFonts w:ascii="Open Sans" w:hAnsi="Open Sans" w:cs="Arial"/>
          <w:sz w:val="20"/>
          <w:szCs w:val="20"/>
        </w:rPr>
        <w:t>La actividad del Grupo BBVA se desarrolla principalmente en España, México, América del Sur y Estados Unidos. Además, tiene una presencia activa en otros países.</w:t>
      </w:r>
    </w:p>
    <w:p w14:paraId="63D0B8ED" w14:textId="77777777" w:rsidR="00C86459" w:rsidRDefault="00C86459" w:rsidP="00C86459">
      <w:pPr>
        <w:jc w:val="both"/>
        <w:rPr>
          <w:rFonts w:ascii="Open Sans" w:hAnsi="Open Sans" w:cs="Arial"/>
          <w:sz w:val="20"/>
          <w:szCs w:val="20"/>
        </w:rPr>
      </w:pPr>
    </w:p>
    <w:p w14:paraId="5953491E" w14:textId="77777777" w:rsidR="00C86459" w:rsidRDefault="00C86459" w:rsidP="00C86459">
      <w:pPr>
        <w:jc w:val="both"/>
        <w:rPr>
          <w:rFonts w:ascii="Open Sans" w:hAnsi="Open Sans" w:cs="Arial"/>
          <w:sz w:val="20"/>
          <w:szCs w:val="20"/>
        </w:rPr>
      </w:pPr>
      <w:r>
        <w:rPr>
          <w:rFonts w:ascii="Open Sans" w:hAnsi="Open Sans" w:cs="Arial"/>
          <w:sz w:val="20"/>
          <w:szCs w:val="20"/>
        </w:rPr>
        <w:t>En lo que respecta a España, la actividad del grupo se realiza a través del BBVA, sociedad matriz del grupo. Adicionalmente, existen otras sociedades del Grupo en España que operan en el sector bancario, asegurador, inmobiliario, de servicios y de arrendamiento operativo.</w:t>
      </w:r>
    </w:p>
    <w:p w14:paraId="6B28E8C0" w14:textId="77777777" w:rsidR="00C86459" w:rsidRDefault="00C86459" w:rsidP="00C86459">
      <w:pPr>
        <w:jc w:val="both"/>
        <w:rPr>
          <w:rFonts w:ascii="Open Sans" w:hAnsi="Open Sans" w:cs="Arial"/>
          <w:sz w:val="20"/>
          <w:szCs w:val="20"/>
        </w:rPr>
      </w:pPr>
    </w:p>
    <w:p w14:paraId="1B75FA53" w14:textId="77777777" w:rsidR="00C86459" w:rsidRDefault="00C86459" w:rsidP="00C86459">
      <w:pPr>
        <w:jc w:val="both"/>
        <w:rPr>
          <w:rFonts w:ascii="Open Sans" w:hAnsi="Open Sans" w:cs="Arial"/>
          <w:sz w:val="20"/>
          <w:szCs w:val="20"/>
        </w:rPr>
      </w:pPr>
      <w:r>
        <w:rPr>
          <w:rFonts w:ascii="Open Sans" w:hAnsi="Open Sans" w:cs="Arial"/>
          <w:sz w:val="20"/>
          <w:szCs w:val="20"/>
        </w:rPr>
        <w:t>En el caso de México, la actividad del banco se centra en el sector bancario y el de seguros, a través del Grupo Financiero Bancomer.</w:t>
      </w:r>
    </w:p>
    <w:p w14:paraId="1810FD46" w14:textId="77777777" w:rsidR="00C86459" w:rsidRDefault="00C86459" w:rsidP="00C86459">
      <w:pPr>
        <w:jc w:val="both"/>
        <w:rPr>
          <w:rFonts w:ascii="Open Sans" w:hAnsi="Open Sans" w:cs="Arial"/>
          <w:sz w:val="20"/>
          <w:szCs w:val="20"/>
        </w:rPr>
      </w:pPr>
    </w:p>
    <w:p w14:paraId="5ED125F8" w14:textId="77777777" w:rsidR="00C86459" w:rsidRDefault="00C86459" w:rsidP="00C86459">
      <w:pPr>
        <w:jc w:val="both"/>
        <w:rPr>
          <w:rFonts w:ascii="Open Sans" w:hAnsi="Open Sans" w:cs="Arial"/>
          <w:sz w:val="20"/>
          <w:szCs w:val="20"/>
        </w:rPr>
      </w:pPr>
      <w:r>
        <w:rPr>
          <w:rFonts w:ascii="Open Sans" w:hAnsi="Open Sans" w:cs="Arial"/>
          <w:sz w:val="20"/>
          <w:szCs w:val="20"/>
        </w:rPr>
        <w:t>Por lo que respecta a América del Sur, la actividad desarrollada por el Grupo BBVA se centra en el sector bancario y asegurador en Argentina, Chile, Colombia, Paraguay, Perú, Uruguay y Venezuela. También tiene una oficina de representación en Sao Paulo (Brasil). Cabe destacar que en la mayoría de las sociedades participadas radicadas en estos países el grupo posee un porcentaje de participación superior al 50%, lo que le confiere el control de estas sociedades.</w:t>
      </w:r>
    </w:p>
    <w:p w14:paraId="18AA7622" w14:textId="77777777" w:rsidR="00C86459" w:rsidRDefault="00C86459" w:rsidP="00C86459">
      <w:pPr>
        <w:jc w:val="both"/>
        <w:rPr>
          <w:rFonts w:ascii="Open Sans" w:hAnsi="Open Sans" w:cs="Arial"/>
          <w:sz w:val="20"/>
          <w:szCs w:val="20"/>
        </w:rPr>
      </w:pPr>
    </w:p>
    <w:p w14:paraId="5E82C46D" w14:textId="77777777" w:rsidR="00C86459" w:rsidRDefault="00C86459" w:rsidP="00C86459">
      <w:pPr>
        <w:jc w:val="both"/>
        <w:rPr>
          <w:rFonts w:ascii="Open Sans" w:hAnsi="Open Sans" w:cs="Arial"/>
          <w:sz w:val="20"/>
          <w:szCs w:val="20"/>
        </w:rPr>
      </w:pPr>
      <w:r>
        <w:rPr>
          <w:rFonts w:ascii="Open Sans" w:hAnsi="Open Sans" w:cs="Arial"/>
          <w:sz w:val="20"/>
          <w:szCs w:val="20"/>
        </w:rPr>
        <w:t>En Estados Unidos, la actividad del Grupo se desarrolla, principalmente, a través de un conjunto de sociedades cuya cabecera es BBVA Compass Bancshares, Inc.; de la sucursal de Nueva York y de una oficina de representación en Silicon Valley (California).</w:t>
      </w:r>
    </w:p>
    <w:p w14:paraId="59B66DC7" w14:textId="77777777" w:rsidR="00C86459" w:rsidRDefault="00C86459" w:rsidP="00C86459">
      <w:pPr>
        <w:jc w:val="both"/>
        <w:rPr>
          <w:rFonts w:ascii="Open Sans" w:hAnsi="Open Sans" w:cs="Arial"/>
          <w:sz w:val="20"/>
          <w:szCs w:val="20"/>
        </w:rPr>
      </w:pPr>
    </w:p>
    <w:p w14:paraId="469E3F83" w14:textId="77777777" w:rsidR="00C86459" w:rsidRDefault="00C86459" w:rsidP="00C86459">
      <w:pPr>
        <w:jc w:val="both"/>
        <w:rPr>
          <w:rFonts w:ascii="Open Sans" w:hAnsi="Open Sans" w:cs="Arial"/>
          <w:sz w:val="20"/>
          <w:szCs w:val="20"/>
        </w:rPr>
      </w:pPr>
      <w:r>
        <w:rPr>
          <w:rFonts w:ascii="Open Sans" w:hAnsi="Open Sans" w:cs="Arial"/>
          <w:sz w:val="20"/>
          <w:szCs w:val="20"/>
        </w:rPr>
        <w:t xml:space="preserve">En Turquía, BBVA controla el 39,9% del capital social de la entidad Turkiye Garanti Bankasi, AS que es cabecera de un grupo de entidades bancarias y financieras que operan en Turquía, Holanda y algunos países del este de Europa. Adicionalmente, el Banco cuenta con una oficina de representación en Estambul. </w:t>
      </w:r>
    </w:p>
    <w:p w14:paraId="3FF764B9" w14:textId="77777777" w:rsidR="00C86459" w:rsidRDefault="00C86459" w:rsidP="00C86459">
      <w:pPr>
        <w:jc w:val="both"/>
        <w:rPr>
          <w:rFonts w:ascii="Open Sans" w:hAnsi="Open Sans" w:cs="Arial"/>
          <w:sz w:val="20"/>
          <w:szCs w:val="20"/>
        </w:rPr>
      </w:pPr>
    </w:p>
    <w:p w14:paraId="10DFE8C6" w14:textId="77777777" w:rsidR="00C86459" w:rsidRDefault="00C86459" w:rsidP="00C86459">
      <w:pPr>
        <w:jc w:val="both"/>
        <w:rPr>
          <w:rFonts w:ascii="Open Sans" w:hAnsi="Open Sans" w:cs="Arial"/>
          <w:sz w:val="20"/>
          <w:szCs w:val="20"/>
        </w:rPr>
      </w:pPr>
      <w:r>
        <w:rPr>
          <w:rFonts w:ascii="Open Sans" w:hAnsi="Open Sans" w:cs="Arial"/>
          <w:sz w:val="20"/>
          <w:szCs w:val="20"/>
        </w:rPr>
        <w:t>En el resto de Europa la actividad del Grupo se desarrolla a través de entidades bancarias y financieras en Irlanda, Suiza, Italia y Portugal; sucursales operativas en Alemania, Bélgica, Francia, Italia y Reino Unido y una oficina de representación en Moscú.</w:t>
      </w:r>
    </w:p>
    <w:p w14:paraId="78F1A60E" w14:textId="77777777" w:rsidR="00C86459" w:rsidRDefault="00C86459" w:rsidP="00C86459">
      <w:pPr>
        <w:jc w:val="both"/>
        <w:rPr>
          <w:rFonts w:ascii="Open Sans" w:hAnsi="Open Sans" w:cs="Arial"/>
          <w:sz w:val="20"/>
          <w:szCs w:val="20"/>
        </w:rPr>
      </w:pPr>
    </w:p>
    <w:p w14:paraId="697C54C7" w14:textId="77777777" w:rsidR="00C86459" w:rsidRDefault="00C86459" w:rsidP="00C86459">
      <w:pPr>
        <w:jc w:val="both"/>
        <w:rPr>
          <w:rFonts w:ascii="Open Sans" w:hAnsi="Open Sans" w:cs="Arial"/>
          <w:sz w:val="20"/>
          <w:szCs w:val="20"/>
        </w:rPr>
      </w:pPr>
      <w:r>
        <w:rPr>
          <w:rFonts w:ascii="Open Sans" w:hAnsi="Open Sans" w:cs="Arial"/>
          <w:sz w:val="20"/>
          <w:szCs w:val="20"/>
        </w:rPr>
        <w:t>Por lo que respecta a Asia, l</w:t>
      </w:r>
      <w:r w:rsidRPr="007F1812">
        <w:rPr>
          <w:rFonts w:ascii="Open Sans" w:hAnsi="Open Sans" w:cs="Arial"/>
          <w:sz w:val="20"/>
          <w:szCs w:val="20"/>
        </w:rPr>
        <w:t>a act</w:t>
      </w:r>
      <w:r>
        <w:rPr>
          <w:rFonts w:ascii="Open Sans" w:hAnsi="Open Sans" w:cs="Arial"/>
          <w:sz w:val="20"/>
          <w:szCs w:val="20"/>
        </w:rPr>
        <w:t xml:space="preserve">ividad del Grupo </w:t>
      </w:r>
      <w:r w:rsidRPr="007F1812">
        <w:rPr>
          <w:rFonts w:ascii="Open Sans" w:hAnsi="Open Sans" w:cs="Arial"/>
          <w:sz w:val="20"/>
          <w:szCs w:val="20"/>
        </w:rPr>
        <w:t>se desarrolla a través de sucursales del Banco (Taipei, Seúl, Tokio,</w:t>
      </w:r>
      <w:r>
        <w:rPr>
          <w:rFonts w:ascii="Open Sans" w:hAnsi="Open Sans" w:cs="Arial"/>
          <w:sz w:val="20"/>
          <w:szCs w:val="20"/>
        </w:rPr>
        <w:t xml:space="preserve"> </w:t>
      </w:r>
      <w:r w:rsidRPr="007F1812">
        <w:rPr>
          <w:rFonts w:ascii="Open Sans" w:hAnsi="Open Sans" w:cs="Arial"/>
          <w:sz w:val="20"/>
          <w:szCs w:val="20"/>
        </w:rPr>
        <w:t>Hong Kong, Singapur y Shanghai) y de oficinas de representación (Beijing, Mumbai, Abu Dhabi, Sidney y</w:t>
      </w:r>
      <w:r>
        <w:rPr>
          <w:rFonts w:ascii="Open Sans" w:hAnsi="Open Sans" w:cs="Arial"/>
          <w:sz w:val="20"/>
          <w:szCs w:val="20"/>
        </w:rPr>
        <w:t xml:space="preserve"> </w:t>
      </w:r>
      <w:r w:rsidRPr="007F1812">
        <w:rPr>
          <w:rFonts w:ascii="Open Sans" w:hAnsi="Open Sans" w:cs="Arial"/>
          <w:sz w:val="20"/>
          <w:szCs w:val="20"/>
        </w:rPr>
        <w:t>Yakarta).</w:t>
      </w:r>
    </w:p>
    <w:p w14:paraId="61CD537F" w14:textId="77777777" w:rsidR="00C86459" w:rsidRDefault="00C86459" w:rsidP="00C86459">
      <w:pPr>
        <w:jc w:val="both"/>
        <w:rPr>
          <w:rFonts w:ascii="Open Sans" w:hAnsi="Open Sans" w:cs="Arial"/>
          <w:sz w:val="20"/>
          <w:szCs w:val="20"/>
        </w:rPr>
      </w:pPr>
    </w:p>
    <w:p w14:paraId="1D091CFC" w14:textId="77777777" w:rsidR="00C86459" w:rsidRDefault="00C86459" w:rsidP="00C86459">
      <w:pPr>
        <w:jc w:val="both"/>
        <w:rPr>
          <w:rFonts w:ascii="Open Sans" w:hAnsi="Open Sans" w:cs="Arial"/>
          <w:sz w:val="20"/>
          <w:szCs w:val="20"/>
        </w:rPr>
      </w:pPr>
    </w:p>
    <w:p w14:paraId="01A9ADF7" w14:textId="77777777" w:rsidR="00C86459" w:rsidRDefault="00C86459" w:rsidP="00C86459">
      <w:pPr>
        <w:jc w:val="both"/>
      </w:pPr>
      <w:r>
        <w:rPr>
          <w:rFonts w:ascii="Open Sans" w:hAnsi="Open Sans" w:cs="Arial"/>
          <w:sz w:val="20"/>
          <w:szCs w:val="20"/>
          <w:u w:val="single"/>
        </w:rPr>
        <w:t>Cifras relevantes de la empresa:</w:t>
      </w:r>
    </w:p>
    <w:p w14:paraId="65839BF8" w14:textId="77777777" w:rsidR="00C86459" w:rsidRDefault="00C86459" w:rsidP="00C86459">
      <w:pPr>
        <w:jc w:val="both"/>
        <w:rPr>
          <w:rFonts w:ascii="Open Sans" w:hAnsi="Open Sans" w:cs="Arial"/>
          <w:sz w:val="20"/>
          <w:szCs w:val="20"/>
          <w:u w:val="single"/>
        </w:rPr>
      </w:pPr>
    </w:p>
    <w:p w14:paraId="05035EA0" w14:textId="77777777" w:rsidR="00C86459" w:rsidRDefault="00C86459" w:rsidP="00C86459">
      <w:pPr>
        <w:jc w:val="both"/>
      </w:pPr>
      <w:r>
        <w:rPr>
          <w:rFonts w:ascii="Open Sans" w:hAnsi="Open Sans" w:cs="Arial"/>
          <w:sz w:val="20"/>
          <w:szCs w:val="20"/>
        </w:rPr>
        <w:t>Exponer en un cuadro las cifras más relevantes en 2015: Facturación, activos totales, número de empleados, beneficio antes de impuesto, impuesto de sociedades…</w:t>
      </w:r>
      <w:r>
        <w:rPr>
          <w:rFonts w:ascii="Open Sans" w:hAnsi="Open Sans" w:cs="Arial"/>
          <w:sz w:val="20"/>
          <w:szCs w:val="20"/>
          <w:u w:val="single"/>
        </w:rPr>
        <w:t xml:space="preserve"> </w:t>
      </w:r>
    </w:p>
    <w:p w14:paraId="6D51E3C8" w14:textId="77777777" w:rsidR="00C86459" w:rsidRDefault="00C86459" w:rsidP="00C86459">
      <w:pPr>
        <w:jc w:val="both"/>
        <w:rPr>
          <w:rFonts w:ascii="Open Sans" w:hAnsi="Open Sans" w:cs="Arial"/>
          <w:sz w:val="20"/>
          <w:szCs w:val="20"/>
          <w:u w:val="single"/>
        </w:rPr>
      </w:pPr>
    </w:p>
    <w:p w14:paraId="799C70AE" w14:textId="77777777" w:rsidR="00C86459" w:rsidRDefault="00C86459" w:rsidP="00C86459">
      <w:pPr>
        <w:jc w:val="both"/>
        <w:rPr>
          <w:rFonts w:ascii="Open Sans" w:hAnsi="Open Sans" w:cs="Open Sans"/>
          <w:sz w:val="20"/>
          <w:szCs w:val="20"/>
          <w:u w:val="single"/>
        </w:rPr>
      </w:pPr>
    </w:p>
    <w:tbl>
      <w:tblPr>
        <w:tblW w:w="0" w:type="auto"/>
        <w:tblInd w:w="1046" w:type="dxa"/>
        <w:tblLayout w:type="fixed"/>
        <w:tblCellMar>
          <w:top w:w="55" w:type="dxa"/>
          <w:left w:w="55" w:type="dxa"/>
          <w:bottom w:w="55" w:type="dxa"/>
          <w:right w:w="55" w:type="dxa"/>
        </w:tblCellMar>
        <w:tblLook w:val="0000" w:firstRow="0" w:lastRow="0" w:firstColumn="0" w:lastColumn="0" w:noHBand="0" w:noVBand="0"/>
      </w:tblPr>
      <w:tblGrid>
        <w:gridCol w:w="3910"/>
        <w:gridCol w:w="2441"/>
      </w:tblGrid>
      <w:tr w:rsidR="00C86459" w:rsidRPr="00C90A49" w14:paraId="70CA70C7" w14:textId="77777777" w:rsidTr="00C86459">
        <w:tc>
          <w:tcPr>
            <w:tcW w:w="3910" w:type="dxa"/>
            <w:tcBorders>
              <w:top w:val="single" w:sz="1" w:space="0" w:color="000000"/>
              <w:left w:val="single" w:sz="1" w:space="0" w:color="000000"/>
              <w:bottom w:val="single" w:sz="1" w:space="0" w:color="000000"/>
            </w:tcBorders>
            <w:shd w:val="clear" w:color="auto" w:fill="auto"/>
          </w:tcPr>
          <w:p w14:paraId="019BBB53" w14:textId="77777777" w:rsidR="00C86459" w:rsidRPr="00C90A49" w:rsidRDefault="00C86459" w:rsidP="00C86459">
            <w:pPr>
              <w:pStyle w:val="Contenidodelatabla"/>
              <w:jc w:val="center"/>
              <w:rPr>
                <w:rFonts w:ascii="Open Sans" w:hAnsi="Open Sans"/>
                <w:sz w:val="20"/>
                <w:szCs w:val="20"/>
              </w:rPr>
            </w:pPr>
            <w:r w:rsidRPr="00C90A49">
              <w:rPr>
                <w:rFonts w:ascii="Open Sans" w:hAnsi="Open Sans" w:cs="Open Sans"/>
                <w:b/>
                <w:bCs/>
                <w:i/>
                <w:iCs/>
                <w:sz w:val="20"/>
                <w:szCs w:val="20"/>
              </w:rPr>
              <w:t>Concepto</w:t>
            </w:r>
          </w:p>
        </w:tc>
        <w:tc>
          <w:tcPr>
            <w:tcW w:w="2441" w:type="dxa"/>
            <w:tcBorders>
              <w:top w:val="single" w:sz="1" w:space="0" w:color="000000"/>
              <w:left w:val="single" w:sz="1" w:space="0" w:color="000000"/>
              <w:bottom w:val="single" w:sz="1" w:space="0" w:color="000000"/>
              <w:right w:val="single" w:sz="1" w:space="0" w:color="000000"/>
            </w:tcBorders>
            <w:shd w:val="clear" w:color="auto" w:fill="auto"/>
          </w:tcPr>
          <w:p w14:paraId="4E6E1939" w14:textId="77777777" w:rsidR="00C86459" w:rsidRPr="00C90A49" w:rsidRDefault="00C86459" w:rsidP="00C86459">
            <w:pPr>
              <w:pStyle w:val="Contenidodelatabla"/>
              <w:jc w:val="center"/>
              <w:rPr>
                <w:rFonts w:ascii="Open Sans" w:hAnsi="Open Sans"/>
                <w:sz w:val="20"/>
                <w:szCs w:val="20"/>
              </w:rPr>
            </w:pPr>
            <w:r w:rsidRPr="00C90A49">
              <w:rPr>
                <w:rFonts w:ascii="Open Sans" w:hAnsi="Open Sans" w:cs="Open Sans"/>
                <w:b/>
                <w:bCs/>
                <w:i/>
                <w:iCs/>
                <w:sz w:val="20"/>
                <w:szCs w:val="20"/>
              </w:rPr>
              <w:t>Importe en millones de € (Mn €)</w:t>
            </w:r>
          </w:p>
        </w:tc>
      </w:tr>
      <w:tr w:rsidR="00C86459" w:rsidRPr="00C90A49" w14:paraId="5DB55C9F" w14:textId="77777777" w:rsidTr="00C86459">
        <w:tc>
          <w:tcPr>
            <w:tcW w:w="3910" w:type="dxa"/>
            <w:tcBorders>
              <w:left w:val="single" w:sz="1" w:space="0" w:color="000000"/>
              <w:bottom w:val="single" w:sz="1" w:space="0" w:color="000000"/>
            </w:tcBorders>
            <w:shd w:val="clear" w:color="auto" w:fill="auto"/>
          </w:tcPr>
          <w:p w14:paraId="21557C21"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Patrimonio Neto</w:t>
            </w:r>
          </w:p>
        </w:tc>
        <w:tc>
          <w:tcPr>
            <w:tcW w:w="2441" w:type="dxa"/>
            <w:tcBorders>
              <w:left w:val="single" w:sz="1" w:space="0" w:color="000000"/>
              <w:bottom w:val="single" w:sz="1" w:space="0" w:color="000000"/>
              <w:right w:val="single" w:sz="1" w:space="0" w:color="000000"/>
            </w:tcBorders>
            <w:shd w:val="clear" w:color="auto" w:fill="auto"/>
          </w:tcPr>
          <w:p w14:paraId="6787BEF3"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55.439</w:t>
            </w:r>
          </w:p>
        </w:tc>
      </w:tr>
      <w:tr w:rsidR="00C86459" w:rsidRPr="00C90A49" w14:paraId="79FA8044" w14:textId="77777777" w:rsidTr="00C86459">
        <w:tc>
          <w:tcPr>
            <w:tcW w:w="3910" w:type="dxa"/>
            <w:tcBorders>
              <w:left w:val="single" w:sz="1" w:space="0" w:color="000000"/>
              <w:bottom w:val="single" w:sz="1" w:space="0" w:color="000000"/>
            </w:tcBorders>
            <w:shd w:val="clear" w:color="auto" w:fill="auto"/>
          </w:tcPr>
          <w:p w14:paraId="11AF32A1" w14:textId="77777777" w:rsidR="00C86459" w:rsidRPr="00C90A49" w:rsidRDefault="00C86459" w:rsidP="00C86459">
            <w:pPr>
              <w:jc w:val="both"/>
              <w:rPr>
                <w:rFonts w:ascii="Open Sans" w:hAnsi="Open Sans" w:cs="Open Sans"/>
                <w:sz w:val="20"/>
                <w:szCs w:val="20"/>
              </w:rPr>
            </w:pPr>
            <w:r>
              <w:rPr>
                <w:rFonts w:ascii="Open Sans" w:hAnsi="Open Sans" w:cs="Open Sans"/>
                <w:sz w:val="20"/>
                <w:szCs w:val="20"/>
              </w:rPr>
              <w:t>Activos Totales</w:t>
            </w:r>
          </w:p>
        </w:tc>
        <w:tc>
          <w:tcPr>
            <w:tcW w:w="2441" w:type="dxa"/>
            <w:tcBorders>
              <w:left w:val="single" w:sz="1" w:space="0" w:color="000000"/>
              <w:bottom w:val="single" w:sz="1" w:space="0" w:color="000000"/>
              <w:right w:val="single" w:sz="1" w:space="0" w:color="000000"/>
            </w:tcBorders>
            <w:shd w:val="clear" w:color="auto" w:fill="auto"/>
          </w:tcPr>
          <w:p w14:paraId="09360F6D" w14:textId="77777777" w:rsidR="00C86459" w:rsidRPr="00C90A49" w:rsidRDefault="00C86459" w:rsidP="00C86459">
            <w:pPr>
              <w:pStyle w:val="Contenidodelatabla"/>
              <w:ind w:right="227"/>
              <w:jc w:val="right"/>
              <w:rPr>
                <w:rFonts w:ascii="Open Sans" w:hAnsi="Open Sans"/>
                <w:sz w:val="20"/>
                <w:szCs w:val="20"/>
              </w:rPr>
            </w:pPr>
            <w:r w:rsidRPr="004544F6">
              <w:rPr>
                <w:rFonts w:ascii="Open Sans" w:hAnsi="Open Sans"/>
                <w:sz w:val="20"/>
                <w:szCs w:val="20"/>
              </w:rPr>
              <w:t>750.078</w:t>
            </w:r>
          </w:p>
        </w:tc>
      </w:tr>
      <w:tr w:rsidR="00C86459" w:rsidRPr="00C90A49" w14:paraId="4960CB11" w14:textId="77777777" w:rsidTr="00C86459">
        <w:tc>
          <w:tcPr>
            <w:tcW w:w="3910" w:type="dxa"/>
            <w:tcBorders>
              <w:left w:val="single" w:sz="1" w:space="0" w:color="000000"/>
              <w:bottom w:val="single" w:sz="1" w:space="0" w:color="000000"/>
            </w:tcBorders>
            <w:shd w:val="clear" w:color="auto" w:fill="auto"/>
          </w:tcPr>
          <w:p w14:paraId="1A17AF56"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Fondos Propios</w:t>
            </w:r>
          </w:p>
        </w:tc>
        <w:tc>
          <w:tcPr>
            <w:tcW w:w="2441" w:type="dxa"/>
            <w:tcBorders>
              <w:left w:val="single" w:sz="1" w:space="0" w:color="000000"/>
              <w:bottom w:val="single" w:sz="1" w:space="0" w:color="000000"/>
              <w:right w:val="single" w:sz="1" w:space="0" w:color="000000"/>
            </w:tcBorders>
            <w:shd w:val="clear" w:color="auto" w:fill="auto"/>
          </w:tcPr>
          <w:p w14:paraId="19AE28D2"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50.639</w:t>
            </w:r>
          </w:p>
        </w:tc>
      </w:tr>
      <w:tr w:rsidR="00C86459" w:rsidRPr="00C90A49" w14:paraId="2DC34D7D" w14:textId="77777777" w:rsidTr="00C86459">
        <w:tc>
          <w:tcPr>
            <w:tcW w:w="3910" w:type="dxa"/>
            <w:tcBorders>
              <w:left w:val="single" w:sz="1" w:space="0" w:color="000000"/>
              <w:bottom w:val="single" w:sz="1" w:space="0" w:color="000000"/>
            </w:tcBorders>
            <w:shd w:val="clear" w:color="auto" w:fill="auto"/>
          </w:tcPr>
          <w:p w14:paraId="215B2FA8" w14:textId="77777777" w:rsidR="00C86459" w:rsidRPr="00C90A49" w:rsidRDefault="00C86459" w:rsidP="00C86459">
            <w:pPr>
              <w:jc w:val="both"/>
              <w:rPr>
                <w:rFonts w:ascii="Open Sans" w:hAnsi="Open Sans" w:cs="Open Sans"/>
                <w:sz w:val="20"/>
                <w:szCs w:val="20"/>
              </w:rPr>
            </w:pPr>
            <w:r w:rsidRPr="00C90A49">
              <w:rPr>
                <w:rFonts w:ascii="Open Sans" w:hAnsi="Open Sans" w:cs="Open Sans"/>
                <w:sz w:val="20"/>
                <w:szCs w:val="20"/>
              </w:rPr>
              <w:t>Pasivos Financieros</w:t>
            </w:r>
          </w:p>
        </w:tc>
        <w:tc>
          <w:tcPr>
            <w:tcW w:w="2441" w:type="dxa"/>
            <w:tcBorders>
              <w:left w:val="single" w:sz="1" w:space="0" w:color="000000"/>
              <w:bottom w:val="single" w:sz="1" w:space="0" w:color="000000"/>
              <w:right w:val="single" w:sz="1" w:space="0" w:color="000000"/>
            </w:tcBorders>
            <w:shd w:val="clear" w:color="auto" w:fill="auto"/>
          </w:tcPr>
          <w:p w14:paraId="424009C3"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606.113</w:t>
            </w:r>
          </w:p>
        </w:tc>
      </w:tr>
      <w:tr w:rsidR="00C86459" w:rsidRPr="00C90A49" w14:paraId="035D466D" w14:textId="77777777" w:rsidTr="00C86459">
        <w:tc>
          <w:tcPr>
            <w:tcW w:w="3910" w:type="dxa"/>
            <w:tcBorders>
              <w:left w:val="single" w:sz="1" w:space="0" w:color="000000"/>
              <w:bottom w:val="single" w:sz="1" w:space="0" w:color="000000"/>
            </w:tcBorders>
            <w:shd w:val="clear" w:color="auto" w:fill="auto"/>
          </w:tcPr>
          <w:p w14:paraId="38809179"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Inversiones Crediticias</w:t>
            </w:r>
          </w:p>
        </w:tc>
        <w:tc>
          <w:tcPr>
            <w:tcW w:w="2441" w:type="dxa"/>
            <w:tcBorders>
              <w:left w:val="single" w:sz="1" w:space="0" w:color="000000"/>
              <w:bottom w:val="single" w:sz="1" w:space="0" w:color="000000"/>
              <w:right w:val="single" w:sz="1" w:space="0" w:color="000000"/>
            </w:tcBorders>
            <w:shd w:val="clear" w:color="auto" w:fill="auto"/>
          </w:tcPr>
          <w:p w14:paraId="3759995D"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457.644</w:t>
            </w:r>
          </w:p>
        </w:tc>
      </w:tr>
      <w:tr w:rsidR="00C86459" w:rsidRPr="00C90A49" w14:paraId="2D83E33C" w14:textId="77777777" w:rsidTr="00C86459">
        <w:tc>
          <w:tcPr>
            <w:tcW w:w="3910" w:type="dxa"/>
            <w:tcBorders>
              <w:left w:val="single" w:sz="1" w:space="0" w:color="000000"/>
              <w:bottom w:val="single" w:sz="1" w:space="0" w:color="000000"/>
            </w:tcBorders>
            <w:shd w:val="clear" w:color="auto" w:fill="auto"/>
          </w:tcPr>
          <w:p w14:paraId="2C637B92"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Margen de Intereses</w:t>
            </w:r>
          </w:p>
        </w:tc>
        <w:tc>
          <w:tcPr>
            <w:tcW w:w="2441" w:type="dxa"/>
            <w:tcBorders>
              <w:left w:val="single" w:sz="1" w:space="0" w:color="000000"/>
              <w:bottom w:val="single" w:sz="1" w:space="0" w:color="000000"/>
              <w:right w:val="single" w:sz="1" w:space="0" w:color="000000"/>
            </w:tcBorders>
            <w:shd w:val="clear" w:color="auto" w:fill="auto"/>
          </w:tcPr>
          <w:p w14:paraId="7F885DD0"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16.022</w:t>
            </w:r>
          </w:p>
        </w:tc>
      </w:tr>
      <w:tr w:rsidR="00C86459" w:rsidRPr="00C90A49" w14:paraId="290B3DE0" w14:textId="77777777" w:rsidTr="00C86459">
        <w:tc>
          <w:tcPr>
            <w:tcW w:w="3910" w:type="dxa"/>
            <w:tcBorders>
              <w:left w:val="single" w:sz="1" w:space="0" w:color="000000"/>
              <w:bottom w:val="single" w:sz="1" w:space="0" w:color="000000"/>
            </w:tcBorders>
            <w:shd w:val="clear" w:color="auto" w:fill="auto"/>
          </w:tcPr>
          <w:p w14:paraId="37B13337"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Margen Bruto</w:t>
            </w:r>
          </w:p>
        </w:tc>
        <w:tc>
          <w:tcPr>
            <w:tcW w:w="2441" w:type="dxa"/>
            <w:tcBorders>
              <w:left w:val="single" w:sz="1" w:space="0" w:color="000000"/>
              <w:bottom w:val="single" w:sz="1" w:space="0" w:color="000000"/>
              <w:right w:val="single" w:sz="1" w:space="0" w:color="000000"/>
            </w:tcBorders>
            <w:shd w:val="clear" w:color="auto" w:fill="auto"/>
          </w:tcPr>
          <w:p w14:paraId="24068439"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23.362</w:t>
            </w:r>
          </w:p>
        </w:tc>
      </w:tr>
      <w:tr w:rsidR="00C86459" w:rsidRPr="00C90A49" w14:paraId="75D7CE26" w14:textId="77777777" w:rsidTr="00C86459">
        <w:tc>
          <w:tcPr>
            <w:tcW w:w="3910" w:type="dxa"/>
            <w:tcBorders>
              <w:left w:val="single" w:sz="1" w:space="0" w:color="000000"/>
              <w:bottom w:val="single" w:sz="1" w:space="0" w:color="000000"/>
            </w:tcBorders>
            <w:shd w:val="clear" w:color="auto" w:fill="auto"/>
          </w:tcPr>
          <w:p w14:paraId="2F517293"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Resultado de la Actividad de Explotación</w:t>
            </w:r>
          </w:p>
        </w:tc>
        <w:tc>
          <w:tcPr>
            <w:tcW w:w="2441" w:type="dxa"/>
            <w:tcBorders>
              <w:left w:val="single" w:sz="1" w:space="0" w:color="000000"/>
              <w:bottom w:val="single" w:sz="1" w:space="0" w:color="000000"/>
              <w:right w:val="single" w:sz="1" w:space="0" w:color="000000"/>
            </w:tcBorders>
            <w:shd w:val="clear" w:color="auto" w:fill="auto"/>
          </w:tcPr>
          <w:p w14:paraId="62A52DB8"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6.251</w:t>
            </w:r>
          </w:p>
        </w:tc>
      </w:tr>
      <w:tr w:rsidR="00C86459" w:rsidRPr="00C90A49" w14:paraId="4DC416E0" w14:textId="77777777" w:rsidTr="00C86459">
        <w:tc>
          <w:tcPr>
            <w:tcW w:w="3910" w:type="dxa"/>
            <w:tcBorders>
              <w:left w:val="single" w:sz="1" w:space="0" w:color="000000"/>
              <w:bottom w:val="single" w:sz="1" w:space="0" w:color="000000"/>
            </w:tcBorders>
            <w:shd w:val="clear" w:color="auto" w:fill="auto"/>
          </w:tcPr>
          <w:p w14:paraId="730C6DA1"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Beneficios antes de Impuestos</w:t>
            </w:r>
          </w:p>
        </w:tc>
        <w:tc>
          <w:tcPr>
            <w:tcW w:w="2441" w:type="dxa"/>
            <w:tcBorders>
              <w:left w:val="single" w:sz="1" w:space="0" w:color="000000"/>
              <w:bottom w:val="single" w:sz="1" w:space="0" w:color="000000"/>
              <w:right w:val="single" w:sz="1" w:space="0" w:color="000000"/>
            </w:tcBorders>
            <w:shd w:val="clear" w:color="auto" w:fill="auto"/>
          </w:tcPr>
          <w:p w14:paraId="3ED6B3FF"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4.603</w:t>
            </w:r>
          </w:p>
        </w:tc>
      </w:tr>
      <w:tr w:rsidR="00C86459" w:rsidRPr="00C90A49" w14:paraId="04847F71" w14:textId="77777777" w:rsidTr="00C86459">
        <w:tc>
          <w:tcPr>
            <w:tcW w:w="3910" w:type="dxa"/>
            <w:tcBorders>
              <w:left w:val="single" w:sz="1" w:space="0" w:color="000000"/>
              <w:bottom w:val="single" w:sz="1" w:space="0" w:color="000000"/>
            </w:tcBorders>
            <w:shd w:val="clear" w:color="auto" w:fill="auto"/>
          </w:tcPr>
          <w:p w14:paraId="76AE7606"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Impuesto de Sociedades</w:t>
            </w:r>
          </w:p>
        </w:tc>
        <w:tc>
          <w:tcPr>
            <w:tcW w:w="2441" w:type="dxa"/>
            <w:tcBorders>
              <w:left w:val="single" w:sz="1" w:space="0" w:color="000000"/>
              <w:bottom w:val="single" w:sz="1" w:space="0" w:color="000000"/>
              <w:right w:val="single" w:sz="1" w:space="0" w:color="000000"/>
            </w:tcBorders>
            <w:shd w:val="clear" w:color="auto" w:fill="auto"/>
          </w:tcPr>
          <w:p w14:paraId="1DF2BE8A"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1.274</w:t>
            </w:r>
          </w:p>
        </w:tc>
      </w:tr>
      <w:tr w:rsidR="00C86459" w:rsidRPr="00C90A49" w14:paraId="2C14C221" w14:textId="77777777" w:rsidTr="00C86459">
        <w:tc>
          <w:tcPr>
            <w:tcW w:w="3910" w:type="dxa"/>
            <w:tcBorders>
              <w:left w:val="single" w:sz="1" w:space="0" w:color="000000"/>
              <w:bottom w:val="single" w:sz="1" w:space="0" w:color="000000"/>
            </w:tcBorders>
            <w:shd w:val="clear" w:color="auto" w:fill="auto"/>
          </w:tcPr>
          <w:p w14:paraId="6A19B437" w14:textId="77777777" w:rsidR="00C86459" w:rsidRPr="00C90A49" w:rsidRDefault="00C86459" w:rsidP="00C86459">
            <w:pPr>
              <w:jc w:val="both"/>
              <w:rPr>
                <w:rFonts w:ascii="Open Sans" w:hAnsi="Open Sans" w:cs="Open Sans"/>
                <w:sz w:val="20"/>
                <w:szCs w:val="20"/>
              </w:rPr>
            </w:pPr>
            <w:r>
              <w:rPr>
                <w:rFonts w:ascii="Open Sans" w:hAnsi="Open Sans" w:cs="Open Sans"/>
                <w:sz w:val="20"/>
                <w:szCs w:val="20"/>
              </w:rPr>
              <w:t xml:space="preserve">Tasa efectiva </w:t>
            </w:r>
          </w:p>
        </w:tc>
        <w:tc>
          <w:tcPr>
            <w:tcW w:w="2441" w:type="dxa"/>
            <w:tcBorders>
              <w:left w:val="single" w:sz="1" w:space="0" w:color="000000"/>
              <w:bottom w:val="single" w:sz="1" w:space="0" w:color="000000"/>
              <w:right w:val="single" w:sz="1" w:space="0" w:color="000000"/>
            </w:tcBorders>
            <w:shd w:val="clear" w:color="auto" w:fill="auto"/>
          </w:tcPr>
          <w:p w14:paraId="77239B96" w14:textId="77777777" w:rsidR="00C86459" w:rsidRPr="00C90A49" w:rsidRDefault="00C86459" w:rsidP="00C86459">
            <w:pPr>
              <w:pStyle w:val="Contenidodelatabla"/>
              <w:ind w:right="227"/>
              <w:jc w:val="right"/>
              <w:rPr>
                <w:rFonts w:ascii="Open Sans" w:hAnsi="Open Sans"/>
                <w:sz w:val="20"/>
                <w:szCs w:val="20"/>
              </w:rPr>
            </w:pPr>
            <w:r>
              <w:rPr>
                <w:rFonts w:ascii="Open Sans" w:hAnsi="Open Sans"/>
                <w:sz w:val="20"/>
                <w:szCs w:val="20"/>
              </w:rPr>
              <w:t>27,68%</w:t>
            </w:r>
          </w:p>
        </w:tc>
      </w:tr>
      <w:tr w:rsidR="00C86459" w:rsidRPr="00C90A49" w14:paraId="3F1B4C6B" w14:textId="77777777" w:rsidTr="00C86459">
        <w:trPr>
          <w:trHeight w:val="165"/>
        </w:trPr>
        <w:tc>
          <w:tcPr>
            <w:tcW w:w="6351" w:type="dxa"/>
            <w:gridSpan w:val="2"/>
            <w:tcBorders>
              <w:left w:val="single" w:sz="1" w:space="0" w:color="000000"/>
              <w:bottom w:val="single" w:sz="1" w:space="0" w:color="000000"/>
              <w:right w:val="single" w:sz="1" w:space="0" w:color="000000"/>
            </w:tcBorders>
            <w:shd w:val="clear" w:color="auto" w:fill="999999"/>
          </w:tcPr>
          <w:p w14:paraId="3368308C" w14:textId="77777777" w:rsidR="00C86459" w:rsidRPr="00C90A49" w:rsidRDefault="00C86459" w:rsidP="00C86459">
            <w:pPr>
              <w:snapToGrid w:val="0"/>
              <w:jc w:val="right"/>
              <w:rPr>
                <w:rFonts w:ascii="Open Sans" w:hAnsi="Open Sans" w:cs="Open Sans"/>
                <w:sz w:val="20"/>
                <w:szCs w:val="20"/>
              </w:rPr>
            </w:pPr>
          </w:p>
        </w:tc>
      </w:tr>
      <w:tr w:rsidR="00C86459" w:rsidRPr="00C90A49" w14:paraId="369EAFFB" w14:textId="77777777" w:rsidTr="00C86459">
        <w:tc>
          <w:tcPr>
            <w:tcW w:w="3910" w:type="dxa"/>
            <w:tcBorders>
              <w:left w:val="single" w:sz="1" w:space="0" w:color="000000"/>
              <w:bottom w:val="single" w:sz="1" w:space="0" w:color="000000"/>
            </w:tcBorders>
            <w:shd w:val="clear" w:color="auto" w:fill="auto"/>
          </w:tcPr>
          <w:p w14:paraId="154F6B62"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Beneficio por Acción</w:t>
            </w:r>
          </w:p>
        </w:tc>
        <w:tc>
          <w:tcPr>
            <w:tcW w:w="2441" w:type="dxa"/>
            <w:tcBorders>
              <w:left w:val="single" w:sz="1" w:space="0" w:color="000000"/>
              <w:bottom w:val="single" w:sz="1" w:space="0" w:color="000000"/>
              <w:right w:val="single" w:sz="1" w:space="0" w:color="000000"/>
            </w:tcBorders>
            <w:shd w:val="clear" w:color="auto" w:fill="auto"/>
          </w:tcPr>
          <w:p w14:paraId="22D73F28"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0,39</w:t>
            </w:r>
          </w:p>
        </w:tc>
      </w:tr>
      <w:tr w:rsidR="00C86459" w:rsidRPr="00C90A49" w14:paraId="57A67DA3" w14:textId="77777777" w:rsidTr="00C86459">
        <w:tc>
          <w:tcPr>
            <w:tcW w:w="3910" w:type="dxa"/>
            <w:tcBorders>
              <w:left w:val="single" w:sz="1" w:space="0" w:color="000000"/>
              <w:bottom w:val="single" w:sz="1" w:space="0" w:color="000000"/>
            </w:tcBorders>
            <w:shd w:val="clear" w:color="auto" w:fill="auto"/>
          </w:tcPr>
          <w:p w14:paraId="00D210D8" w14:textId="77777777" w:rsidR="00C86459" w:rsidRPr="00C90A49" w:rsidRDefault="00C86459" w:rsidP="00C86459">
            <w:pPr>
              <w:jc w:val="both"/>
              <w:rPr>
                <w:rFonts w:ascii="Open Sans" w:hAnsi="Open Sans"/>
                <w:sz w:val="20"/>
                <w:szCs w:val="20"/>
              </w:rPr>
            </w:pPr>
            <w:r w:rsidRPr="00C90A49">
              <w:rPr>
                <w:rFonts w:ascii="Open Sans" w:hAnsi="Open Sans" w:cs="Open Sans"/>
                <w:sz w:val="20"/>
                <w:szCs w:val="20"/>
              </w:rPr>
              <w:t>Nº de empleados</w:t>
            </w:r>
          </w:p>
        </w:tc>
        <w:tc>
          <w:tcPr>
            <w:tcW w:w="2441" w:type="dxa"/>
            <w:tcBorders>
              <w:left w:val="single" w:sz="1" w:space="0" w:color="000000"/>
              <w:bottom w:val="single" w:sz="1" w:space="0" w:color="000000"/>
              <w:right w:val="single" w:sz="1" w:space="0" w:color="000000"/>
            </w:tcBorders>
            <w:shd w:val="clear" w:color="auto" w:fill="auto"/>
          </w:tcPr>
          <w:p w14:paraId="15DCEE16" w14:textId="77777777" w:rsidR="00C86459" w:rsidRPr="00C90A49" w:rsidRDefault="00C86459" w:rsidP="00C86459">
            <w:pPr>
              <w:pStyle w:val="Contenidodelatabla"/>
              <w:ind w:right="227"/>
              <w:jc w:val="right"/>
              <w:rPr>
                <w:rFonts w:ascii="Open Sans" w:hAnsi="Open Sans"/>
                <w:sz w:val="20"/>
                <w:szCs w:val="20"/>
              </w:rPr>
            </w:pPr>
            <w:r w:rsidRPr="00C90A49">
              <w:rPr>
                <w:rFonts w:ascii="Open Sans" w:hAnsi="Open Sans"/>
                <w:sz w:val="20"/>
                <w:szCs w:val="20"/>
              </w:rPr>
              <w:t>137.968</w:t>
            </w:r>
          </w:p>
        </w:tc>
      </w:tr>
    </w:tbl>
    <w:p w14:paraId="292EABAC" w14:textId="77777777" w:rsidR="00C86459" w:rsidRPr="00C90A49" w:rsidRDefault="00C86459" w:rsidP="00C86459">
      <w:pPr>
        <w:jc w:val="both"/>
        <w:rPr>
          <w:rFonts w:ascii="Open Sans" w:hAnsi="Open Sans" w:cs="Open Sans"/>
          <w:sz w:val="20"/>
          <w:szCs w:val="20"/>
          <w:u w:val="single"/>
        </w:rPr>
      </w:pPr>
    </w:p>
    <w:p w14:paraId="10D35B33" w14:textId="77777777" w:rsidR="00C86459" w:rsidRDefault="00C86459" w:rsidP="00C86459">
      <w:pPr>
        <w:jc w:val="both"/>
        <w:rPr>
          <w:rFonts w:ascii="Open Sans" w:hAnsi="Open Sans" w:cs="Arial"/>
          <w:sz w:val="20"/>
          <w:szCs w:val="20"/>
          <w:u w:val="single"/>
        </w:rPr>
      </w:pPr>
    </w:p>
    <w:p w14:paraId="175E7D09" w14:textId="77777777" w:rsidR="00C86459" w:rsidRDefault="00C86459" w:rsidP="00C86459">
      <w:pPr>
        <w:jc w:val="both"/>
      </w:pPr>
      <w:r>
        <w:rPr>
          <w:rFonts w:ascii="Open Sans" w:hAnsi="Open Sans" w:cs="Arial"/>
          <w:sz w:val="20"/>
          <w:szCs w:val="20"/>
          <w:u w:val="single"/>
        </w:rPr>
        <w:t>Estándares voluntarios relacionados con fiscalidad responsable</w:t>
      </w:r>
    </w:p>
    <w:p w14:paraId="1EEF7D04" w14:textId="77777777" w:rsidR="00C86459" w:rsidRDefault="00C86459" w:rsidP="00C86459">
      <w:pPr>
        <w:jc w:val="both"/>
        <w:rPr>
          <w:rFonts w:ascii="Open Sans" w:hAnsi="Open Sans" w:cs="Arial"/>
          <w:sz w:val="20"/>
          <w:szCs w:val="20"/>
          <w:u w:val="single"/>
        </w:rPr>
      </w:pPr>
    </w:p>
    <w:p w14:paraId="649BC583" w14:textId="77777777" w:rsidR="00C86459" w:rsidRDefault="00C86459" w:rsidP="00C86459">
      <w:pPr>
        <w:jc w:val="both"/>
      </w:pPr>
      <w:r>
        <w:rPr>
          <w:rFonts w:ascii="Open Sans" w:hAnsi="Open Sans" w:cs="Arial"/>
          <w:sz w:val="20"/>
          <w:szCs w:val="20"/>
        </w:rPr>
        <w:t>BBVA informa que se ha adherido voluntariamente a los siguientes estándares relacionados con contenidos y sistemas de gestión de fiscalidad responsable:</w:t>
      </w:r>
    </w:p>
    <w:p w14:paraId="46F5223C" w14:textId="77777777" w:rsidR="00C86459" w:rsidRDefault="00C86459" w:rsidP="00C86459">
      <w:pPr>
        <w:jc w:val="both"/>
        <w:rPr>
          <w:rFonts w:ascii="Open Sans" w:hAnsi="Open Sans" w:cs="Arial"/>
          <w:sz w:val="20"/>
          <w:szCs w:val="20"/>
        </w:rPr>
      </w:pPr>
    </w:p>
    <w:p w14:paraId="452F2400" w14:textId="77777777" w:rsidR="00C86459" w:rsidRDefault="00C86459" w:rsidP="000B70C9">
      <w:pPr>
        <w:numPr>
          <w:ilvl w:val="0"/>
          <w:numId w:val="42"/>
        </w:numPr>
        <w:tabs>
          <w:tab w:val="clear" w:pos="436"/>
          <w:tab w:val="num" w:pos="720"/>
        </w:tabs>
        <w:suppressAutoHyphens/>
        <w:ind w:left="720"/>
        <w:jc w:val="both"/>
        <w:rPr>
          <w:rFonts w:ascii="Open Sans" w:hAnsi="Open Sans" w:cs="Arial"/>
          <w:sz w:val="20"/>
          <w:szCs w:val="20"/>
          <w:u w:val="single"/>
        </w:rPr>
      </w:pPr>
      <w:r>
        <w:rPr>
          <w:rFonts w:ascii="Open Sans" w:hAnsi="Open Sans" w:cs="Arial"/>
          <w:sz w:val="20"/>
          <w:szCs w:val="20"/>
        </w:rPr>
        <w:t>Código de Buenas Prácticas Tributarias</w:t>
      </w:r>
    </w:p>
    <w:p w14:paraId="3C84E36D" w14:textId="77777777" w:rsidR="00C86459" w:rsidRDefault="00C86459" w:rsidP="00C86459">
      <w:pPr>
        <w:jc w:val="both"/>
        <w:rPr>
          <w:rFonts w:ascii="Open Sans" w:hAnsi="Open Sans" w:cs="Arial"/>
          <w:sz w:val="20"/>
          <w:szCs w:val="20"/>
          <w:u w:val="single"/>
        </w:rPr>
      </w:pPr>
    </w:p>
    <w:p w14:paraId="511594C1" w14:textId="77777777" w:rsidR="00C86459" w:rsidRPr="004544F6" w:rsidRDefault="00C86459" w:rsidP="00C86459">
      <w:pPr>
        <w:jc w:val="both"/>
        <w:rPr>
          <w:rFonts w:ascii="Open Sans" w:hAnsi="Open Sans" w:cs="Arial"/>
          <w:sz w:val="20"/>
          <w:szCs w:val="20"/>
        </w:rPr>
      </w:pPr>
      <w:r w:rsidRPr="004544F6">
        <w:rPr>
          <w:rFonts w:ascii="Open Sans" w:hAnsi="Open Sans" w:cs="Arial"/>
          <w:sz w:val="20"/>
          <w:szCs w:val="20"/>
        </w:rPr>
        <w:t xml:space="preserve">La entidad publica desde el año </w:t>
      </w:r>
      <w:r w:rsidRPr="004544F6">
        <w:rPr>
          <w:rFonts w:ascii="Open Sans" w:hAnsi="Open Sans" w:cs="Open Sans"/>
          <w:sz w:val="20"/>
          <w:szCs w:val="20"/>
        </w:rPr>
        <w:t>2013 el informe Total Tax Contribution, siguiendo la metodología desarrollada por PwC, donde se refleja la contribución tributaria de la entidad, tanto de los impuestos directos como de terceros recaudados</w:t>
      </w:r>
      <w:r>
        <w:rPr>
          <w:rFonts w:ascii="Open Sans" w:hAnsi="Open Sans" w:cs="Open Sans"/>
          <w:sz w:val="20"/>
          <w:szCs w:val="20"/>
        </w:rPr>
        <w:t xml:space="preserve"> en los diferentes países en los que opera.</w:t>
      </w:r>
    </w:p>
    <w:p w14:paraId="43F886E1" w14:textId="77777777" w:rsidR="00C86459" w:rsidRDefault="00C86459" w:rsidP="00C86459">
      <w:pPr>
        <w:jc w:val="both"/>
        <w:rPr>
          <w:rFonts w:ascii="Open Sans" w:hAnsi="Open Sans" w:cs="Arial"/>
          <w:sz w:val="20"/>
          <w:szCs w:val="20"/>
          <w:u w:val="single"/>
        </w:rPr>
      </w:pPr>
    </w:p>
    <w:p w14:paraId="305B4C9E" w14:textId="77777777" w:rsidR="00C86459" w:rsidRPr="00C90A49" w:rsidRDefault="00C86459" w:rsidP="00C86459">
      <w:pPr>
        <w:jc w:val="both"/>
        <w:rPr>
          <w:rFonts w:ascii="Open Sans" w:hAnsi="Open Sans" w:cs="Arial"/>
          <w:sz w:val="20"/>
          <w:szCs w:val="20"/>
          <w:u w:val="single"/>
        </w:rPr>
      </w:pPr>
    </w:p>
    <w:p w14:paraId="39970BEF" w14:textId="77777777" w:rsidR="00C86459" w:rsidRDefault="00C86459" w:rsidP="00C86459">
      <w:pPr>
        <w:jc w:val="both"/>
      </w:pPr>
      <w:r>
        <w:rPr>
          <w:rFonts w:ascii="Open Sans" w:hAnsi="Open Sans" w:cs="Arial"/>
          <w:sz w:val="20"/>
          <w:szCs w:val="20"/>
          <w:u w:val="single"/>
        </w:rPr>
        <w:t>Documentos incluidos en el análisis</w:t>
      </w:r>
    </w:p>
    <w:p w14:paraId="72B1B50D" w14:textId="77777777" w:rsidR="00C86459" w:rsidRDefault="00C86459" w:rsidP="00C86459">
      <w:pPr>
        <w:ind w:firstLine="709"/>
        <w:jc w:val="both"/>
        <w:rPr>
          <w:rFonts w:ascii="Open Sans" w:hAnsi="Open Sans" w:cs="Arial"/>
          <w:sz w:val="20"/>
          <w:szCs w:val="20"/>
          <w:u w:val="single"/>
        </w:rPr>
      </w:pPr>
    </w:p>
    <w:p w14:paraId="267B9CC6" w14:textId="77777777" w:rsidR="00C86459" w:rsidRDefault="00C86459" w:rsidP="00C86459">
      <w:pPr>
        <w:jc w:val="both"/>
      </w:pPr>
      <w:r>
        <w:rPr>
          <w:rFonts w:ascii="Open Sans" w:hAnsi="Open Sans" w:cs="Arial"/>
          <w:sz w:val="20"/>
          <w:szCs w:val="20"/>
        </w:rPr>
        <w:t>Para el análisis de la calidad de la información relacionada con fiscalidad de la empresa, se ha tenido en cuenta la información contenida en la siguiente documentación:</w:t>
      </w:r>
    </w:p>
    <w:p w14:paraId="6F3A24E1" w14:textId="77777777" w:rsidR="00C86459" w:rsidRDefault="00C86459" w:rsidP="00C86459">
      <w:pPr>
        <w:ind w:firstLine="709"/>
        <w:jc w:val="both"/>
        <w:rPr>
          <w:rFonts w:ascii="Open Sans" w:hAnsi="Open Sans" w:cs="Arial"/>
          <w:sz w:val="22"/>
          <w:szCs w:val="22"/>
        </w:rPr>
      </w:pPr>
    </w:p>
    <w:tbl>
      <w:tblPr>
        <w:tblW w:w="8528" w:type="dxa"/>
        <w:tblInd w:w="-13" w:type="dxa"/>
        <w:tblLayout w:type="fixed"/>
        <w:tblCellMar>
          <w:left w:w="0" w:type="dxa"/>
          <w:right w:w="0" w:type="dxa"/>
        </w:tblCellMar>
        <w:tblLook w:val="0000" w:firstRow="0" w:lastRow="0" w:firstColumn="0" w:lastColumn="0" w:noHBand="0" w:noVBand="0"/>
      </w:tblPr>
      <w:tblGrid>
        <w:gridCol w:w="23"/>
        <w:gridCol w:w="4536"/>
        <w:gridCol w:w="3969"/>
      </w:tblGrid>
      <w:tr w:rsidR="00C86459" w14:paraId="0350F951" w14:textId="77777777" w:rsidTr="00C86459">
        <w:trPr>
          <w:trHeight w:val="327"/>
        </w:trPr>
        <w:tc>
          <w:tcPr>
            <w:tcW w:w="4559" w:type="dxa"/>
            <w:gridSpan w:val="2"/>
            <w:tcBorders>
              <w:top w:val="single" w:sz="8" w:space="0" w:color="000000"/>
              <w:left w:val="single" w:sz="8" w:space="0" w:color="000000"/>
              <w:bottom w:val="single" w:sz="4" w:space="0" w:color="000000"/>
            </w:tcBorders>
            <w:shd w:val="clear" w:color="auto" w:fill="000080"/>
            <w:vAlign w:val="center"/>
          </w:tcPr>
          <w:p w14:paraId="24A5BA7C" w14:textId="77777777" w:rsidR="00C86459" w:rsidRDefault="00C86459" w:rsidP="00C86459">
            <w:pPr>
              <w:jc w:val="center"/>
            </w:pPr>
            <w:r>
              <w:rPr>
                <w:rFonts w:ascii="Open Sans" w:hAnsi="Open Sans" w:cs="Arial"/>
                <w:b/>
                <w:sz w:val="20"/>
                <w:szCs w:val="22"/>
              </w:rPr>
              <w:t>DOCUMENTACIÓN</w:t>
            </w:r>
          </w:p>
        </w:tc>
        <w:tc>
          <w:tcPr>
            <w:tcW w:w="3969" w:type="dxa"/>
            <w:tcBorders>
              <w:top w:val="single" w:sz="8" w:space="0" w:color="000000"/>
              <w:left w:val="single" w:sz="8" w:space="0" w:color="000000"/>
              <w:bottom w:val="single" w:sz="4" w:space="0" w:color="000000"/>
              <w:right w:val="single" w:sz="8" w:space="0" w:color="000000"/>
            </w:tcBorders>
            <w:shd w:val="clear" w:color="auto" w:fill="000080"/>
            <w:vAlign w:val="center"/>
          </w:tcPr>
          <w:p w14:paraId="04EFEC82" w14:textId="77777777" w:rsidR="00C86459" w:rsidRDefault="00C86459" w:rsidP="00C86459">
            <w:pPr>
              <w:jc w:val="center"/>
            </w:pPr>
            <w:r>
              <w:rPr>
                <w:rFonts w:ascii="Open Sans" w:hAnsi="Open Sans" w:cs="Arial"/>
                <w:b/>
                <w:sz w:val="20"/>
                <w:szCs w:val="22"/>
              </w:rPr>
              <w:t>OBSERVACIONES</w:t>
            </w:r>
          </w:p>
        </w:tc>
      </w:tr>
      <w:tr w:rsidR="00C86459" w:rsidRPr="009332B2" w14:paraId="039B9FAA" w14:textId="77777777" w:rsidTr="00C86459">
        <w:trPr>
          <w:gridBefore w:val="1"/>
          <w:wBefore w:w="23" w:type="dxa"/>
          <w:trHeight w:val="315"/>
        </w:trPr>
        <w:tc>
          <w:tcPr>
            <w:tcW w:w="4536" w:type="dxa"/>
            <w:tcBorders>
              <w:top w:val="single" w:sz="4" w:space="0" w:color="000000"/>
              <w:left w:val="single" w:sz="4" w:space="0" w:color="000000"/>
              <w:bottom w:val="single" w:sz="4" w:space="0" w:color="000000"/>
            </w:tcBorders>
            <w:shd w:val="clear" w:color="auto" w:fill="auto"/>
            <w:vAlign w:val="bottom"/>
          </w:tcPr>
          <w:p w14:paraId="547953D8" w14:textId="77777777" w:rsidR="00C86459" w:rsidRPr="009332B2" w:rsidRDefault="00C86459" w:rsidP="00C86459">
            <w:pPr>
              <w:snapToGrid w:val="0"/>
              <w:ind w:left="170" w:right="170"/>
              <w:rPr>
                <w:rFonts w:ascii="Open Sans" w:eastAsia="Arial Unicode MS" w:hAnsi="Open Sans" w:cs="Arial"/>
                <w:sz w:val="20"/>
                <w:szCs w:val="20"/>
              </w:rPr>
            </w:pPr>
            <w:r w:rsidRPr="009332B2">
              <w:rPr>
                <w:rFonts w:ascii="Open Sans" w:eastAsia="Arial Unicode MS" w:hAnsi="Open Sans" w:cs="Arial"/>
                <w:sz w:val="20"/>
                <w:szCs w:val="20"/>
              </w:rPr>
              <w:t>Cuentas Anuales Consolidadas, informe de gestión e informe de auditoría</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260E2" w14:textId="77777777" w:rsidR="00C86459" w:rsidRPr="009332B2" w:rsidRDefault="00C86459" w:rsidP="00C86459">
            <w:pPr>
              <w:snapToGrid w:val="0"/>
              <w:ind w:left="170" w:right="170"/>
              <w:jc w:val="both"/>
              <w:rPr>
                <w:rFonts w:ascii="Open Sans" w:eastAsia="Arial Unicode MS" w:hAnsi="Open Sans" w:cs="Arial"/>
                <w:sz w:val="20"/>
                <w:szCs w:val="20"/>
              </w:rPr>
            </w:pPr>
            <w:r w:rsidRPr="009332B2">
              <w:rPr>
                <w:rFonts w:ascii="Open Sans" w:eastAsia="Arial Unicode MS" w:hAnsi="Open Sans" w:cs="Arial"/>
                <w:sz w:val="20"/>
                <w:szCs w:val="20"/>
              </w:rPr>
              <w:t xml:space="preserve"> Siglas: CCAA Consolidadas 2015</w:t>
            </w:r>
          </w:p>
        </w:tc>
      </w:tr>
      <w:tr w:rsidR="00C86459" w:rsidRPr="009332B2" w14:paraId="5242C031" w14:textId="77777777" w:rsidTr="00C86459">
        <w:trPr>
          <w:gridBefore w:val="1"/>
          <w:wBefore w:w="23" w:type="dxa"/>
          <w:trHeight w:val="300"/>
        </w:trPr>
        <w:tc>
          <w:tcPr>
            <w:tcW w:w="4536" w:type="dxa"/>
            <w:tcBorders>
              <w:top w:val="single" w:sz="4" w:space="0" w:color="000000"/>
              <w:left w:val="single" w:sz="4" w:space="0" w:color="000000"/>
              <w:bottom w:val="single" w:sz="4" w:space="0" w:color="000000"/>
            </w:tcBorders>
            <w:shd w:val="clear" w:color="auto" w:fill="auto"/>
          </w:tcPr>
          <w:p w14:paraId="0448DCE8" w14:textId="77777777" w:rsidR="00C86459" w:rsidRPr="009332B2" w:rsidRDefault="00C86459" w:rsidP="00C86459">
            <w:pPr>
              <w:snapToGrid w:val="0"/>
              <w:ind w:left="170" w:right="170"/>
              <w:rPr>
                <w:rFonts w:ascii="Open Sans" w:eastAsia="Arial Unicode MS" w:hAnsi="Open Sans" w:cs="Arial"/>
                <w:sz w:val="20"/>
                <w:szCs w:val="20"/>
              </w:rPr>
            </w:pPr>
            <w:r w:rsidRPr="009332B2">
              <w:rPr>
                <w:rFonts w:ascii="Open Sans" w:eastAsia="Arial Unicode MS" w:hAnsi="Open Sans" w:cs="Arial"/>
                <w:sz w:val="20"/>
                <w:szCs w:val="20"/>
              </w:rPr>
              <w:t>BBVA EN 2015</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F60D5" w14:textId="77777777" w:rsidR="00C86459" w:rsidRPr="009332B2" w:rsidRDefault="00C86459" w:rsidP="00C86459">
            <w:pPr>
              <w:snapToGrid w:val="0"/>
              <w:ind w:left="170" w:right="170"/>
              <w:jc w:val="both"/>
              <w:rPr>
                <w:rFonts w:ascii="Open Sans" w:eastAsia="Arial Unicode MS" w:hAnsi="Open Sans" w:cs="Arial"/>
                <w:sz w:val="20"/>
                <w:szCs w:val="20"/>
              </w:rPr>
            </w:pPr>
            <w:r w:rsidRPr="009332B2">
              <w:rPr>
                <w:rFonts w:ascii="Open Sans" w:eastAsia="Arial Unicode MS" w:hAnsi="Open Sans" w:cs="Arial"/>
                <w:sz w:val="20"/>
                <w:szCs w:val="20"/>
              </w:rPr>
              <w:t>Siglas: IABBVA2015</w:t>
            </w:r>
          </w:p>
        </w:tc>
      </w:tr>
      <w:tr w:rsidR="00C86459" w:rsidRPr="009332B2" w14:paraId="614D6894" w14:textId="77777777" w:rsidTr="00C86459">
        <w:trPr>
          <w:gridBefore w:val="1"/>
          <w:wBefore w:w="23" w:type="dxa"/>
          <w:trHeight w:val="300"/>
        </w:trPr>
        <w:tc>
          <w:tcPr>
            <w:tcW w:w="4536" w:type="dxa"/>
            <w:tcBorders>
              <w:top w:val="single" w:sz="4" w:space="0" w:color="000000"/>
              <w:left w:val="single" w:sz="4" w:space="0" w:color="000000"/>
              <w:bottom w:val="single" w:sz="4" w:space="0" w:color="000000"/>
            </w:tcBorders>
            <w:shd w:val="clear" w:color="auto" w:fill="auto"/>
          </w:tcPr>
          <w:p w14:paraId="65D3F888" w14:textId="77777777" w:rsidR="00C86459" w:rsidRPr="009332B2" w:rsidRDefault="00C86459" w:rsidP="00C86459">
            <w:pPr>
              <w:snapToGrid w:val="0"/>
              <w:ind w:left="170" w:right="170"/>
              <w:rPr>
                <w:rFonts w:ascii="Open Sans" w:eastAsia="Arial Unicode MS" w:hAnsi="Open Sans" w:cs="Arial"/>
                <w:sz w:val="20"/>
                <w:szCs w:val="20"/>
              </w:rPr>
            </w:pPr>
            <w:r w:rsidRPr="009332B2">
              <w:rPr>
                <w:rFonts w:ascii="Open Sans" w:eastAsia="Arial Unicode MS" w:hAnsi="Open Sans" w:cs="Arial"/>
                <w:sz w:val="20"/>
                <w:szCs w:val="20"/>
              </w:rPr>
              <w:t>Informe Anual de Gobierno Corporativo</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F2665B" w14:textId="77777777" w:rsidR="00C86459" w:rsidRPr="009332B2" w:rsidRDefault="00C86459" w:rsidP="00C86459">
            <w:pPr>
              <w:snapToGrid w:val="0"/>
              <w:ind w:left="170" w:right="170"/>
              <w:jc w:val="both"/>
              <w:rPr>
                <w:rFonts w:ascii="Open Sans" w:eastAsia="Arial Unicode MS" w:hAnsi="Open Sans" w:cs="Arial"/>
                <w:sz w:val="20"/>
                <w:szCs w:val="20"/>
              </w:rPr>
            </w:pPr>
            <w:r w:rsidRPr="009332B2">
              <w:rPr>
                <w:rFonts w:ascii="Open Sans" w:eastAsia="Arial Unicode MS" w:hAnsi="Open Sans" w:cs="Arial"/>
                <w:sz w:val="20"/>
                <w:szCs w:val="20"/>
              </w:rPr>
              <w:t>Siglas: IAGC2015</w:t>
            </w:r>
          </w:p>
        </w:tc>
      </w:tr>
      <w:tr w:rsidR="00C86459" w:rsidRPr="009332B2" w14:paraId="2E3F254D" w14:textId="77777777" w:rsidTr="00C86459">
        <w:trPr>
          <w:gridBefore w:val="1"/>
          <w:wBefore w:w="23" w:type="dxa"/>
          <w:trHeight w:val="300"/>
        </w:trPr>
        <w:tc>
          <w:tcPr>
            <w:tcW w:w="4536" w:type="dxa"/>
            <w:tcBorders>
              <w:top w:val="single" w:sz="4" w:space="0" w:color="000000"/>
              <w:left w:val="single" w:sz="4" w:space="0" w:color="000000"/>
              <w:bottom w:val="single" w:sz="4" w:space="0" w:color="000000"/>
            </w:tcBorders>
            <w:shd w:val="clear" w:color="auto" w:fill="auto"/>
          </w:tcPr>
          <w:p w14:paraId="71B1E674" w14:textId="77777777" w:rsidR="00C86459" w:rsidRPr="009332B2" w:rsidRDefault="00C86459" w:rsidP="00C86459">
            <w:pPr>
              <w:snapToGrid w:val="0"/>
              <w:ind w:left="170" w:right="170"/>
              <w:rPr>
                <w:rFonts w:ascii="Open Sans" w:eastAsia="Arial Unicode MS" w:hAnsi="Open Sans" w:cs="Arial"/>
                <w:sz w:val="20"/>
                <w:szCs w:val="20"/>
              </w:rPr>
            </w:pPr>
            <w:r w:rsidRPr="009332B2">
              <w:rPr>
                <w:rFonts w:ascii="Open Sans" w:eastAsia="Arial Unicode MS" w:hAnsi="Open Sans" w:cs="Arial"/>
                <w:sz w:val="20"/>
                <w:szCs w:val="20"/>
              </w:rPr>
              <w:t>Estrategia Fiscal BBVA</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E2F789" w14:textId="77777777" w:rsidR="00C86459" w:rsidRPr="009332B2" w:rsidRDefault="00C86459" w:rsidP="00C86459">
            <w:pPr>
              <w:snapToGrid w:val="0"/>
              <w:ind w:left="170" w:right="170"/>
              <w:jc w:val="both"/>
              <w:rPr>
                <w:rFonts w:ascii="Open Sans" w:eastAsia="Arial Unicode MS" w:hAnsi="Open Sans" w:cs="Arial"/>
                <w:sz w:val="20"/>
                <w:szCs w:val="20"/>
              </w:rPr>
            </w:pPr>
          </w:p>
        </w:tc>
      </w:tr>
      <w:tr w:rsidR="00C86459" w:rsidRPr="009332B2" w14:paraId="6EEB022A" w14:textId="77777777" w:rsidTr="00C86459">
        <w:trPr>
          <w:gridBefore w:val="1"/>
          <w:wBefore w:w="23" w:type="dxa"/>
          <w:trHeight w:val="300"/>
        </w:trPr>
        <w:tc>
          <w:tcPr>
            <w:tcW w:w="4536" w:type="dxa"/>
            <w:tcBorders>
              <w:top w:val="single" w:sz="4" w:space="0" w:color="000000"/>
              <w:left w:val="single" w:sz="4" w:space="0" w:color="000000"/>
              <w:bottom w:val="single" w:sz="4" w:space="0" w:color="000000"/>
            </w:tcBorders>
            <w:shd w:val="clear" w:color="auto" w:fill="auto"/>
          </w:tcPr>
          <w:p w14:paraId="4786CF57" w14:textId="77777777" w:rsidR="00C86459" w:rsidRPr="009332B2" w:rsidRDefault="00C86459" w:rsidP="00C86459">
            <w:pPr>
              <w:snapToGrid w:val="0"/>
              <w:ind w:left="170" w:right="170"/>
              <w:rPr>
                <w:rFonts w:ascii="Open Sans" w:eastAsia="Arial Unicode MS" w:hAnsi="Open Sans" w:cs="Arial"/>
                <w:sz w:val="20"/>
                <w:szCs w:val="20"/>
              </w:rPr>
            </w:pPr>
            <w:r>
              <w:rPr>
                <w:rFonts w:ascii="Open Sans" w:eastAsia="Arial Unicode MS" w:hAnsi="Open Sans" w:cs="Arial"/>
                <w:sz w:val="20"/>
                <w:szCs w:val="20"/>
              </w:rPr>
              <w:t>Política de Responsabilidad Social Corporativa</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D2AAE" w14:textId="77777777" w:rsidR="00C86459" w:rsidRPr="009332B2" w:rsidRDefault="00C86459" w:rsidP="00C86459">
            <w:pPr>
              <w:snapToGrid w:val="0"/>
              <w:ind w:left="170" w:right="170"/>
              <w:jc w:val="both"/>
              <w:rPr>
                <w:rFonts w:ascii="Open Sans" w:eastAsia="Arial Unicode MS" w:hAnsi="Open Sans" w:cs="Arial"/>
                <w:sz w:val="20"/>
                <w:szCs w:val="20"/>
              </w:rPr>
            </w:pPr>
            <w:r>
              <w:rPr>
                <w:rFonts w:ascii="Open Sans" w:eastAsia="Arial Unicode MS" w:hAnsi="Open Sans" w:cs="Arial"/>
                <w:sz w:val="20"/>
                <w:szCs w:val="20"/>
              </w:rPr>
              <w:t>Siglas: Política de RSC</w:t>
            </w:r>
          </w:p>
        </w:tc>
      </w:tr>
      <w:tr w:rsidR="00C86459" w:rsidRPr="009332B2" w14:paraId="69B18544" w14:textId="77777777" w:rsidTr="00C86459">
        <w:trPr>
          <w:gridBefore w:val="1"/>
          <w:wBefore w:w="23" w:type="dxa"/>
          <w:trHeight w:val="264"/>
        </w:trPr>
        <w:tc>
          <w:tcPr>
            <w:tcW w:w="4536" w:type="dxa"/>
            <w:tcBorders>
              <w:top w:val="single" w:sz="4" w:space="0" w:color="000000"/>
              <w:left w:val="single" w:sz="4" w:space="0" w:color="000000"/>
              <w:bottom w:val="single" w:sz="4" w:space="0" w:color="000000"/>
            </w:tcBorders>
            <w:shd w:val="clear" w:color="auto" w:fill="auto"/>
          </w:tcPr>
          <w:p w14:paraId="48BF04DC" w14:textId="77777777" w:rsidR="00C86459" w:rsidRPr="009332B2" w:rsidRDefault="00C86459" w:rsidP="00C86459">
            <w:pPr>
              <w:snapToGrid w:val="0"/>
              <w:ind w:left="170" w:right="170"/>
              <w:rPr>
                <w:rFonts w:ascii="Open Sans" w:eastAsia="Arial Unicode MS" w:hAnsi="Open Sans" w:cs="Arial"/>
                <w:sz w:val="20"/>
                <w:szCs w:val="20"/>
              </w:rPr>
            </w:pPr>
            <w:r w:rsidRPr="009332B2">
              <w:rPr>
                <w:rFonts w:ascii="Open Sans" w:eastAsia="Arial Unicode MS" w:hAnsi="Open Sans" w:cs="Arial"/>
                <w:sz w:val="20"/>
                <w:szCs w:val="20"/>
              </w:rPr>
              <w:t>Contribución fiscal global 2015 (TTC)</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2A52A6" w14:textId="77777777" w:rsidR="00C86459" w:rsidRPr="009332B2" w:rsidRDefault="00C86459" w:rsidP="00C86459">
            <w:pPr>
              <w:snapToGrid w:val="0"/>
              <w:ind w:left="170" w:right="170"/>
              <w:jc w:val="both"/>
              <w:rPr>
                <w:rFonts w:ascii="Open Sans" w:eastAsia="Arial Unicode MS" w:hAnsi="Open Sans" w:cs="Arial"/>
                <w:sz w:val="20"/>
                <w:szCs w:val="20"/>
              </w:rPr>
            </w:pPr>
            <w:r w:rsidRPr="009332B2">
              <w:rPr>
                <w:rFonts w:ascii="Open Sans" w:eastAsia="Arial Unicode MS" w:hAnsi="Open Sans" w:cs="Arial"/>
                <w:sz w:val="20"/>
                <w:szCs w:val="20"/>
              </w:rPr>
              <w:t>Siglas: TTC2015</w:t>
            </w:r>
          </w:p>
        </w:tc>
      </w:tr>
      <w:tr w:rsidR="00C86459" w:rsidRPr="009332B2" w14:paraId="6DD96B5D" w14:textId="77777777" w:rsidTr="00C86459">
        <w:trPr>
          <w:gridBefore w:val="1"/>
          <w:wBefore w:w="23" w:type="dxa"/>
          <w:trHeight w:val="270"/>
        </w:trPr>
        <w:tc>
          <w:tcPr>
            <w:tcW w:w="4536" w:type="dxa"/>
            <w:tcBorders>
              <w:top w:val="single" w:sz="4" w:space="0" w:color="000000"/>
              <w:left w:val="single" w:sz="4" w:space="0" w:color="000000"/>
              <w:bottom w:val="single" w:sz="4" w:space="0" w:color="000000"/>
            </w:tcBorders>
            <w:shd w:val="clear" w:color="auto" w:fill="auto"/>
          </w:tcPr>
          <w:p w14:paraId="5A526F2C" w14:textId="77777777" w:rsidR="00C86459" w:rsidRPr="009332B2" w:rsidRDefault="00C86459" w:rsidP="00C86459">
            <w:pPr>
              <w:snapToGrid w:val="0"/>
              <w:ind w:left="170" w:right="170"/>
              <w:rPr>
                <w:rFonts w:ascii="Open Sans" w:eastAsia="Arial Unicode MS" w:hAnsi="Open Sans" w:cs="Tahoma"/>
                <w:sz w:val="20"/>
                <w:szCs w:val="20"/>
              </w:rPr>
            </w:pPr>
            <w:r w:rsidRPr="009332B2">
              <w:rPr>
                <w:rFonts w:ascii="Open Sans" w:eastAsia="Arial Unicode MS" w:hAnsi="Open Sans" w:cs="Arial"/>
                <w:sz w:val="20"/>
                <w:szCs w:val="20"/>
              </w:rPr>
              <w:t>Cuentas Anuales BBVA 2015</w:t>
            </w:r>
          </w:p>
        </w:tc>
        <w:tc>
          <w:tcPr>
            <w:tcW w:w="3969"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77FD349" w14:textId="77777777" w:rsidR="00C86459" w:rsidRPr="009332B2" w:rsidRDefault="00C86459" w:rsidP="00C86459">
            <w:pPr>
              <w:snapToGrid w:val="0"/>
              <w:ind w:left="170" w:right="170"/>
              <w:jc w:val="both"/>
              <w:rPr>
                <w:rFonts w:ascii="Open Sans" w:eastAsia="Arial Unicode MS" w:hAnsi="Open Sans" w:cs="Arial"/>
                <w:sz w:val="20"/>
                <w:szCs w:val="20"/>
              </w:rPr>
            </w:pPr>
            <w:r w:rsidRPr="009332B2">
              <w:rPr>
                <w:rFonts w:ascii="Open Sans" w:eastAsia="Arial Unicode MS" w:hAnsi="Open Sans" w:cs="Arial"/>
                <w:sz w:val="20"/>
                <w:szCs w:val="20"/>
              </w:rPr>
              <w:t>Siglas: CCAABBVA2015</w:t>
            </w:r>
          </w:p>
        </w:tc>
      </w:tr>
      <w:tr w:rsidR="00C86459" w14:paraId="12FD01EC" w14:textId="77777777" w:rsidTr="00C86459">
        <w:trPr>
          <w:gridBefore w:val="1"/>
          <w:wBefore w:w="23" w:type="dxa"/>
          <w:trHeight w:val="179"/>
        </w:trPr>
        <w:tc>
          <w:tcPr>
            <w:tcW w:w="4536" w:type="dxa"/>
            <w:tcBorders>
              <w:top w:val="single" w:sz="4" w:space="0" w:color="000000"/>
              <w:left w:val="single" w:sz="8" w:space="0" w:color="000000"/>
              <w:bottom w:val="single" w:sz="4" w:space="0" w:color="000000"/>
            </w:tcBorders>
            <w:shd w:val="clear" w:color="auto" w:fill="auto"/>
          </w:tcPr>
          <w:p w14:paraId="48F8B271" w14:textId="77777777" w:rsidR="00C86459" w:rsidRPr="009332B2" w:rsidRDefault="00C86459" w:rsidP="00C86459">
            <w:pPr>
              <w:snapToGrid w:val="0"/>
              <w:ind w:left="170" w:right="170"/>
              <w:rPr>
                <w:rFonts w:ascii="Open Sans" w:eastAsia="Arial Unicode MS" w:hAnsi="Open Sans" w:cs="Tahoma"/>
                <w:sz w:val="20"/>
                <w:szCs w:val="20"/>
              </w:rPr>
            </w:pPr>
            <w:r w:rsidRPr="009332B2">
              <w:rPr>
                <w:rFonts w:ascii="Open Sans" w:eastAsia="Arial Unicode MS" w:hAnsi="Open Sans" w:cs="Tahoma"/>
                <w:sz w:val="20"/>
                <w:szCs w:val="20"/>
              </w:rPr>
              <w:t>Informe con Relevancia Prudencial</w:t>
            </w:r>
          </w:p>
        </w:tc>
        <w:tc>
          <w:tcPr>
            <w:tcW w:w="3969" w:type="dxa"/>
            <w:tcBorders>
              <w:top w:val="single" w:sz="4" w:space="0" w:color="000000"/>
              <w:left w:val="single" w:sz="8" w:space="0" w:color="000000"/>
              <w:bottom w:val="single" w:sz="4" w:space="0" w:color="000000"/>
              <w:right w:val="single" w:sz="8" w:space="0" w:color="000000"/>
            </w:tcBorders>
            <w:shd w:val="clear" w:color="auto" w:fill="auto"/>
            <w:vAlign w:val="center"/>
          </w:tcPr>
          <w:p w14:paraId="07E26302" w14:textId="77777777" w:rsidR="00C86459" w:rsidRPr="009332B2" w:rsidRDefault="00C86459" w:rsidP="00C86459">
            <w:pPr>
              <w:snapToGrid w:val="0"/>
              <w:ind w:left="170" w:right="170"/>
              <w:jc w:val="both"/>
              <w:rPr>
                <w:rFonts w:ascii="Open Sans" w:eastAsia="Arial Unicode MS" w:hAnsi="Open Sans" w:cs="Arial"/>
                <w:sz w:val="20"/>
                <w:szCs w:val="20"/>
              </w:rPr>
            </w:pPr>
            <w:r>
              <w:rPr>
                <w:rFonts w:ascii="Open Sans" w:eastAsia="Arial Unicode MS" w:hAnsi="Open Sans" w:cs="Arial"/>
                <w:sz w:val="20"/>
                <w:szCs w:val="20"/>
              </w:rPr>
              <w:t>Siglas: IRP2015</w:t>
            </w:r>
          </w:p>
        </w:tc>
      </w:tr>
    </w:tbl>
    <w:p w14:paraId="0F3F6512" w14:textId="77777777" w:rsidR="00C86459" w:rsidRDefault="00C86459" w:rsidP="00C86459">
      <w:pPr>
        <w:jc w:val="both"/>
        <w:rPr>
          <w:rFonts w:ascii="Open Sans" w:hAnsi="Open Sans" w:cs="Arial"/>
          <w:b/>
        </w:rPr>
      </w:pPr>
    </w:p>
    <w:p w14:paraId="0E152F12" w14:textId="77777777" w:rsidR="00C86459" w:rsidRDefault="00C86459" w:rsidP="00C86459">
      <w:pPr>
        <w:jc w:val="both"/>
        <w:rPr>
          <w:rFonts w:ascii="Open Sans" w:hAnsi="Open Sans" w:cs="Arial"/>
          <w:b/>
        </w:rPr>
      </w:pPr>
    </w:p>
    <w:p w14:paraId="5DBB7C9C" w14:textId="77777777" w:rsidR="00C86459" w:rsidRDefault="00C86459" w:rsidP="00C86459">
      <w:pPr>
        <w:jc w:val="both"/>
      </w:pPr>
      <w:r>
        <w:rPr>
          <w:rFonts w:ascii="Open Sans" w:hAnsi="Open Sans" w:cs="Arial"/>
          <w:b/>
          <w:sz w:val="22"/>
          <w:szCs w:val="22"/>
          <w:u w:val="single"/>
        </w:rPr>
        <w:t>2. Tabla de resultados</w:t>
      </w:r>
    </w:p>
    <w:p w14:paraId="7CA859EA" w14:textId="77777777" w:rsidR="00C86459" w:rsidRDefault="00C86459" w:rsidP="00C86459">
      <w:pPr>
        <w:jc w:val="center"/>
        <w:rPr>
          <w:rFonts w:ascii="Open Sans" w:hAnsi="Open Sans" w:cs="Arial"/>
          <w:b/>
        </w:rPr>
      </w:pPr>
    </w:p>
    <w:p w14:paraId="618E5FC4" w14:textId="77777777" w:rsidR="00C86459" w:rsidRPr="007829A9" w:rsidRDefault="00C86459" w:rsidP="00C86459">
      <w:pPr>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2DFCC27D" w14:textId="77777777" w:rsidR="00C86459" w:rsidRPr="00732FD5" w:rsidRDefault="00C86459" w:rsidP="00C86459">
      <w:pPr>
        <w:rPr>
          <w:rFonts w:ascii="Open Sans" w:hAnsi="Open Sans" w:cs="Arial"/>
          <w:b/>
        </w:rPr>
      </w:pPr>
    </w:p>
    <w:p w14:paraId="54BDF88C" w14:textId="77777777" w:rsidR="00C86459" w:rsidRDefault="00C86459" w:rsidP="00C86459">
      <w:pPr>
        <w:jc w:val="center"/>
      </w:pPr>
      <w:r>
        <w:rPr>
          <w:noProof/>
          <w:lang w:val="es-ES"/>
        </w:rPr>
        <w:drawing>
          <wp:inline distT="0" distB="0" distL="0" distR="0" wp14:anchorId="56C12282" wp14:editId="4A55AA7F">
            <wp:extent cx="3688080" cy="1859280"/>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16F4E31C" w14:textId="77777777" w:rsidR="00C86459" w:rsidRDefault="00C86459" w:rsidP="00C86459">
      <w:pPr>
        <w:jc w:val="center"/>
        <w:rPr>
          <w:rFonts w:ascii="Open Sans" w:hAnsi="Open Sans" w:cs="Arial"/>
          <w:b/>
        </w:rPr>
      </w:pPr>
    </w:p>
    <w:p w14:paraId="4BB97141" w14:textId="77777777" w:rsidR="00C86459" w:rsidRDefault="00C86459" w:rsidP="00C86459">
      <w:pPr>
        <w:jc w:val="center"/>
        <w:rPr>
          <w:rFonts w:ascii="Open Sans" w:hAnsi="Open Sans" w:cs="Arial"/>
          <w:b/>
        </w:rPr>
      </w:pPr>
    </w:p>
    <w:p w14:paraId="243A9A6A" w14:textId="77777777" w:rsidR="00C86459" w:rsidRDefault="00C86459" w:rsidP="00C86459">
      <w:pPr>
        <w:jc w:val="center"/>
        <w:rPr>
          <w:rFonts w:ascii="Open Sans" w:hAnsi="Open Sans" w:cs="Arial"/>
          <w:b/>
        </w:rPr>
      </w:pPr>
    </w:p>
    <w:p w14:paraId="77429924" w14:textId="77777777" w:rsidR="00C86459" w:rsidRDefault="00C86459" w:rsidP="00C86459">
      <w:pPr>
        <w:jc w:val="both"/>
      </w:pPr>
      <w:r>
        <w:rPr>
          <w:rFonts w:ascii="Open Sans" w:hAnsi="Open Sans" w:cs="Arial"/>
          <w:b/>
          <w:sz w:val="22"/>
          <w:szCs w:val="22"/>
          <w:u w:val="single"/>
        </w:rPr>
        <w:t>3. Contexto general</w:t>
      </w:r>
    </w:p>
    <w:p w14:paraId="50F9E29A" w14:textId="77777777" w:rsidR="00C86459" w:rsidRDefault="00C86459" w:rsidP="00C86459">
      <w:pPr>
        <w:jc w:val="both"/>
        <w:rPr>
          <w:rFonts w:ascii="Open Sans" w:hAnsi="Open Sans" w:cs="Open Sans"/>
          <w:sz w:val="20"/>
          <w:szCs w:val="20"/>
        </w:rPr>
      </w:pPr>
    </w:p>
    <w:p w14:paraId="1D7716C6" w14:textId="77777777" w:rsidR="00C86459" w:rsidRPr="00042D85" w:rsidRDefault="00C86459" w:rsidP="00C86459">
      <w:pPr>
        <w:jc w:val="both"/>
        <w:rPr>
          <w:rFonts w:ascii="Open Sans" w:hAnsi="Open Sans" w:cs="Open Sans"/>
          <w:sz w:val="20"/>
          <w:szCs w:val="20"/>
        </w:rPr>
      </w:pPr>
      <w:r w:rsidRPr="00042D85">
        <w:rPr>
          <w:rFonts w:ascii="Open Sans" w:hAnsi="Open Sans" w:cs="Open Sans"/>
          <w:sz w:val="20"/>
          <w:szCs w:val="20"/>
        </w:rPr>
        <w:t>BBVA opera en 3</w:t>
      </w:r>
      <w:r>
        <w:rPr>
          <w:rFonts w:ascii="Open Sans" w:hAnsi="Open Sans" w:cs="Open Sans"/>
          <w:sz w:val="20"/>
          <w:szCs w:val="20"/>
        </w:rPr>
        <w:t xml:space="preserve">5 países con 66 </w:t>
      </w:r>
      <w:r w:rsidRPr="00042D85">
        <w:rPr>
          <w:rFonts w:ascii="Open Sans" w:hAnsi="Open Sans" w:cs="Open Sans"/>
          <w:sz w:val="20"/>
          <w:szCs w:val="20"/>
        </w:rPr>
        <w:t>millones de clientes</w:t>
      </w:r>
      <w:r>
        <w:rPr>
          <w:rFonts w:ascii="Open Sans" w:hAnsi="Open Sans" w:cs="Open Sans"/>
          <w:sz w:val="20"/>
          <w:szCs w:val="20"/>
        </w:rPr>
        <w:t xml:space="preserve"> (un 29% más que en 2014). Cuenta con</w:t>
      </w:r>
      <w:r w:rsidRPr="00042D85">
        <w:rPr>
          <w:rFonts w:ascii="Open Sans" w:hAnsi="Open Sans" w:cs="Open Sans"/>
          <w:sz w:val="20"/>
          <w:szCs w:val="20"/>
        </w:rPr>
        <w:t xml:space="preserve"> 1</w:t>
      </w:r>
      <w:r>
        <w:rPr>
          <w:rFonts w:ascii="Open Sans" w:hAnsi="Open Sans" w:cs="Open Sans"/>
          <w:sz w:val="20"/>
          <w:szCs w:val="20"/>
        </w:rPr>
        <w:t>37.968</w:t>
      </w:r>
      <w:r w:rsidRPr="00042D85">
        <w:rPr>
          <w:rFonts w:ascii="Open Sans" w:hAnsi="Open Sans" w:cs="Open Sans"/>
          <w:sz w:val="20"/>
          <w:szCs w:val="20"/>
        </w:rPr>
        <w:t xml:space="preserve"> empleados en todo el mundo</w:t>
      </w:r>
      <w:r>
        <w:rPr>
          <w:rStyle w:val="Refdenotaalpie"/>
          <w:rFonts w:ascii="Open Sans" w:hAnsi="Open Sans" w:cs="Open Sans"/>
          <w:sz w:val="20"/>
          <w:szCs w:val="20"/>
        </w:rPr>
        <w:footnoteReference w:id="473"/>
      </w:r>
      <w:r w:rsidRPr="00042D85">
        <w:rPr>
          <w:rFonts w:ascii="Open Sans" w:hAnsi="Open Sans" w:cs="Open Sans"/>
          <w:sz w:val="20"/>
          <w:szCs w:val="20"/>
        </w:rPr>
        <w:t xml:space="preserve"> y </w:t>
      </w:r>
      <w:r>
        <w:rPr>
          <w:rFonts w:ascii="Open Sans" w:hAnsi="Open Sans" w:cs="Open Sans"/>
          <w:sz w:val="20"/>
          <w:szCs w:val="20"/>
        </w:rPr>
        <w:t>casi</w:t>
      </w:r>
      <w:r w:rsidRPr="004852C9">
        <w:rPr>
          <w:rFonts w:ascii="Open Sans" w:hAnsi="Open Sans" w:cs="Open Sans"/>
          <w:sz w:val="20"/>
          <w:szCs w:val="20"/>
        </w:rPr>
        <w:t xml:space="preserve"> 4.</w:t>
      </w:r>
      <w:r>
        <w:rPr>
          <w:rFonts w:ascii="Open Sans" w:hAnsi="Open Sans" w:cs="Open Sans"/>
          <w:sz w:val="20"/>
          <w:szCs w:val="20"/>
        </w:rPr>
        <w:t>6</w:t>
      </w:r>
      <w:r w:rsidRPr="004852C9">
        <w:rPr>
          <w:rFonts w:ascii="Open Sans" w:hAnsi="Open Sans" w:cs="Open Sans"/>
          <w:sz w:val="20"/>
          <w:szCs w:val="20"/>
        </w:rPr>
        <w:t>00 proveedores que</w:t>
      </w:r>
      <w:r>
        <w:rPr>
          <w:rFonts w:ascii="Open Sans" w:hAnsi="Open Sans" w:cs="Open Sans"/>
          <w:sz w:val="20"/>
          <w:szCs w:val="20"/>
        </w:rPr>
        <w:t xml:space="preserve"> facturan al banco cerca de 8.5</w:t>
      </w:r>
      <w:r w:rsidRPr="00042D85">
        <w:rPr>
          <w:rFonts w:ascii="Open Sans" w:hAnsi="Open Sans" w:cs="Open Sans"/>
          <w:sz w:val="20"/>
          <w:szCs w:val="20"/>
        </w:rPr>
        <w:t>00 millones de euros</w:t>
      </w:r>
      <w:r>
        <w:rPr>
          <w:rFonts w:ascii="Open Sans" w:hAnsi="Open Sans" w:cs="Open Sans"/>
          <w:sz w:val="20"/>
          <w:szCs w:val="20"/>
        </w:rPr>
        <w:t xml:space="preserve"> (Mn€)</w:t>
      </w:r>
      <w:r w:rsidRPr="00042D85">
        <w:rPr>
          <w:rFonts w:ascii="Open Sans" w:hAnsi="Open Sans" w:cs="Open Sans"/>
          <w:sz w:val="20"/>
          <w:szCs w:val="20"/>
        </w:rPr>
        <w:t xml:space="preserve">. </w:t>
      </w:r>
    </w:p>
    <w:p w14:paraId="7CB161D3" w14:textId="77777777" w:rsidR="00C86459" w:rsidRDefault="00C86459" w:rsidP="00C86459">
      <w:pPr>
        <w:jc w:val="both"/>
        <w:rPr>
          <w:rFonts w:ascii="Open Sans" w:hAnsi="Open Sans" w:cs="Open Sans"/>
          <w:sz w:val="20"/>
          <w:szCs w:val="20"/>
        </w:rPr>
      </w:pPr>
    </w:p>
    <w:p w14:paraId="3C02C8D3" w14:textId="77777777" w:rsidR="00C86459" w:rsidRPr="00BD1C22" w:rsidRDefault="00C86459" w:rsidP="00C86459">
      <w:pPr>
        <w:jc w:val="both"/>
        <w:rPr>
          <w:rFonts w:ascii="Open Sans" w:hAnsi="Open Sans" w:cs="Open Sans"/>
          <w:sz w:val="20"/>
          <w:szCs w:val="20"/>
        </w:rPr>
      </w:pPr>
      <w:r w:rsidRPr="00CA37FF">
        <w:rPr>
          <w:rFonts w:ascii="Open Sans" w:hAnsi="Open Sans" w:cs="Open Sans"/>
          <w:sz w:val="20"/>
          <w:szCs w:val="20"/>
        </w:rPr>
        <w:t xml:space="preserve">En este marco, BBVA logró en 2015 un beneficio </w:t>
      </w:r>
      <w:r>
        <w:rPr>
          <w:rFonts w:ascii="Open Sans" w:hAnsi="Open Sans" w:cs="Open Sans"/>
          <w:sz w:val="20"/>
          <w:szCs w:val="20"/>
        </w:rPr>
        <w:t xml:space="preserve">global </w:t>
      </w:r>
      <w:r w:rsidRPr="00317AD1">
        <w:rPr>
          <w:rFonts w:ascii="Open Sans" w:hAnsi="Open Sans" w:cs="Open Sans"/>
          <w:sz w:val="20"/>
          <w:szCs w:val="20"/>
        </w:rPr>
        <w:t xml:space="preserve">de </w:t>
      </w:r>
      <w:r w:rsidRPr="00317AD1">
        <w:rPr>
          <w:rFonts w:ascii="Open Sans" w:hAnsi="Open Sans" w:cs="Helvetica-Bold"/>
          <w:bCs/>
          <w:sz w:val="20"/>
          <w:szCs w:val="20"/>
        </w:rPr>
        <w:t>3.328 Mn€ de los cuales se</w:t>
      </w:r>
      <w:r>
        <w:rPr>
          <w:rFonts w:ascii="Helvetica-Bold" w:hAnsi="Helvetica-Bold" w:cs="Helvetica-Bold"/>
          <w:b/>
          <w:bCs/>
          <w:color w:val="000080"/>
          <w:sz w:val="16"/>
          <w:szCs w:val="16"/>
        </w:rPr>
        <w:t xml:space="preserve"> </w:t>
      </w:r>
      <w:r>
        <w:rPr>
          <w:rFonts w:ascii="Open Sans" w:hAnsi="Open Sans" w:cs="Open Sans"/>
          <w:sz w:val="20"/>
          <w:szCs w:val="20"/>
        </w:rPr>
        <w:t xml:space="preserve">atribuyen a la matriz </w:t>
      </w:r>
      <w:r w:rsidRPr="00CA37FF">
        <w:rPr>
          <w:rFonts w:ascii="Open Sans" w:hAnsi="Open Sans" w:cs="Open Sans"/>
          <w:sz w:val="20"/>
          <w:szCs w:val="20"/>
        </w:rPr>
        <w:t xml:space="preserve">2.642 </w:t>
      </w:r>
      <w:r>
        <w:rPr>
          <w:rFonts w:ascii="Open Sans" w:hAnsi="Open Sans" w:cs="Open Sans"/>
          <w:sz w:val="20"/>
          <w:szCs w:val="20"/>
        </w:rPr>
        <w:t>Mn€</w:t>
      </w:r>
      <w:r w:rsidRPr="00CA37FF">
        <w:rPr>
          <w:rFonts w:ascii="Open Sans" w:hAnsi="Open Sans" w:cs="Open Sans"/>
          <w:sz w:val="20"/>
          <w:szCs w:val="20"/>
        </w:rPr>
        <w:t xml:space="preserve">, lo que supone un crecimiento del 0,9% con respecto a 2014. Estos resultados se han caracterizado por el crecimiento de los ingresos recurrentes en un 8,5%, un margen de intereses que se ha incrementado en un 10,5% hasta alcanzar los 16.022Mn€, un margen bruto que ha alcanzado los 23.680 </w:t>
      </w:r>
      <w:r>
        <w:rPr>
          <w:rFonts w:ascii="Open Sans" w:hAnsi="Open Sans" w:cs="Open Sans"/>
          <w:sz w:val="20"/>
          <w:szCs w:val="20"/>
        </w:rPr>
        <w:t xml:space="preserve">Mn € </w:t>
      </w:r>
      <w:r w:rsidRPr="00CA37FF">
        <w:rPr>
          <w:rFonts w:ascii="Open Sans" w:hAnsi="Open Sans" w:cs="Open Sans"/>
          <w:sz w:val="20"/>
          <w:szCs w:val="20"/>
        </w:rPr>
        <w:t xml:space="preserve">(10,9% más que en 2014) y un incremento de los gastos de </w:t>
      </w:r>
      <w:r w:rsidRPr="00BD1C22">
        <w:rPr>
          <w:rFonts w:ascii="Open Sans" w:hAnsi="Open Sans" w:cs="Open Sans"/>
          <w:sz w:val="20"/>
          <w:szCs w:val="20"/>
        </w:rPr>
        <w:t xml:space="preserve">explotación del 12,5%. </w:t>
      </w:r>
    </w:p>
    <w:p w14:paraId="51DF1327" w14:textId="77777777" w:rsidR="00C86459" w:rsidRPr="00BD1C22" w:rsidRDefault="00C86459" w:rsidP="00C86459">
      <w:pPr>
        <w:jc w:val="both"/>
        <w:rPr>
          <w:rFonts w:ascii="Open Sans" w:hAnsi="Open Sans" w:cs="Open Sans"/>
          <w:sz w:val="20"/>
          <w:szCs w:val="20"/>
        </w:rPr>
      </w:pPr>
    </w:p>
    <w:p w14:paraId="75EEAA76" w14:textId="77777777" w:rsidR="00C86459" w:rsidRDefault="00C86459" w:rsidP="00C86459">
      <w:pPr>
        <w:jc w:val="both"/>
        <w:rPr>
          <w:rFonts w:ascii="Open Sans" w:hAnsi="Open Sans" w:cs="Open Sans"/>
          <w:sz w:val="20"/>
          <w:szCs w:val="20"/>
        </w:rPr>
      </w:pPr>
      <w:r w:rsidRPr="00BD1C22">
        <w:rPr>
          <w:rFonts w:ascii="Open Sans" w:hAnsi="Open Sans" w:cs="Open Sans"/>
          <w:sz w:val="20"/>
          <w:szCs w:val="20"/>
        </w:rPr>
        <w:t>La tasa de mora ha descendido hasta el 5,4%, la cobertura ha mejorado hasta el 74 con</w:t>
      </w:r>
      <w:r w:rsidRPr="00BD1C22">
        <w:t xml:space="preserve"> </w:t>
      </w:r>
      <w:r w:rsidRPr="00BD1C22">
        <w:rPr>
          <w:rFonts w:ascii="Open Sans" w:hAnsi="Open Sans" w:cs="Open Sans"/>
          <w:sz w:val="20"/>
          <w:szCs w:val="20"/>
        </w:rPr>
        <w:t>una disminución interanual de los saneamientos crediticios y las provisiones inmobiliarias del 6,4%, con un coste de riesgo que ha bajado hasta el 1,06%.</w:t>
      </w:r>
    </w:p>
    <w:p w14:paraId="600E7544" w14:textId="77777777" w:rsidR="00C86459" w:rsidRDefault="00C86459" w:rsidP="00C86459">
      <w:pPr>
        <w:jc w:val="both"/>
        <w:rPr>
          <w:rFonts w:ascii="Open Sans" w:hAnsi="Open Sans" w:cs="Open Sans"/>
          <w:sz w:val="20"/>
          <w:szCs w:val="20"/>
        </w:rPr>
      </w:pPr>
    </w:p>
    <w:p w14:paraId="25B58A0C" w14:textId="77777777" w:rsidR="00C86459" w:rsidRDefault="00C86459" w:rsidP="00C86459">
      <w:pPr>
        <w:jc w:val="both"/>
        <w:rPr>
          <w:rFonts w:ascii="Open Sans" w:hAnsi="Open Sans" w:cs="Open Sans"/>
          <w:sz w:val="20"/>
          <w:szCs w:val="20"/>
        </w:rPr>
      </w:pPr>
      <w:r>
        <w:rPr>
          <w:rFonts w:ascii="Open Sans" w:hAnsi="Open Sans" w:cs="Open Sans"/>
          <w:sz w:val="20"/>
          <w:szCs w:val="20"/>
        </w:rPr>
        <w:t>En cuanto al patrimonio de la entidad, ha alcanzado los 750.078Mn€, un 18,7% más que en 2014. Según su ac</w:t>
      </w:r>
      <w:r w:rsidRPr="00196F51">
        <w:rPr>
          <w:rFonts w:ascii="Open Sans" w:hAnsi="Open Sans" w:cs="Open Sans"/>
          <w:sz w:val="20"/>
          <w:szCs w:val="20"/>
        </w:rPr>
        <w:t>tividad principal</w:t>
      </w:r>
      <w:r>
        <w:rPr>
          <w:rFonts w:ascii="Open Sans" w:hAnsi="Open Sans" w:cs="Open Sans"/>
          <w:sz w:val="20"/>
          <w:szCs w:val="20"/>
        </w:rPr>
        <w:t xml:space="preserve"> en 2015, aportan al patrimonio (en paréntesis el incremento respecto a 2014): </w:t>
      </w:r>
    </w:p>
    <w:p w14:paraId="407DA7C1" w14:textId="77777777" w:rsidR="00C86459" w:rsidRDefault="00C86459" w:rsidP="00C86459">
      <w:pPr>
        <w:jc w:val="both"/>
        <w:rPr>
          <w:rFonts w:ascii="Open Sans" w:hAnsi="Open Sans" w:cs="Open Sans"/>
          <w:sz w:val="20"/>
          <w:szCs w:val="20"/>
        </w:rPr>
      </w:pPr>
    </w:p>
    <w:p w14:paraId="2F997633"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196F51">
        <w:rPr>
          <w:rFonts w:ascii="Open Sans" w:hAnsi="Open Sans" w:cs="Open Sans"/>
          <w:sz w:val="20"/>
          <w:szCs w:val="20"/>
        </w:rPr>
        <w:t>Banca y otros servicios financieros 718.204</w:t>
      </w:r>
      <w:r>
        <w:rPr>
          <w:rFonts w:ascii="Open Sans" w:hAnsi="Open Sans" w:cs="Open Sans"/>
          <w:sz w:val="20"/>
          <w:szCs w:val="20"/>
        </w:rPr>
        <w:t xml:space="preserve"> Mn€</w:t>
      </w:r>
      <w:r w:rsidRPr="00196F51">
        <w:rPr>
          <w:rFonts w:ascii="Open Sans" w:hAnsi="Open Sans" w:cs="Open Sans"/>
          <w:sz w:val="20"/>
          <w:szCs w:val="20"/>
        </w:rPr>
        <w:t xml:space="preserve"> </w:t>
      </w:r>
      <w:r>
        <w:rPr>
          <w:rFonts w:ascii="Open Sans" w:hAnsi="Open Sans" w:cs="Open Sans"/>
          <w:sz w:val="20"/>
          <w:szCs w:val="20"/>
        </w:rPr>
        <w:t>(+19,34%)</w:t>
      </w:r>
    </w:p>
    <w:p w14:paraId="2D584943"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196F51">
        <w:rPr>
          <w:rFonts w:ascii="Open Sans" w:hAnsi="Open Sans" w:cs="Open Sans"/>
          <w:sz w:val="20"/>
          <w:szCs w:val="20"/>
        </w:rPr>
        <w:t>Seguros y sociedades gestoras de fondos de pensiones 25.741</w:t>
      </w:r>
      <w:r>
        <w:rPr>
          <w:rFonts w:ascii="Open Sans" w:hAnsi="Open Sans" w:cs="Open Sans"/>
          <w:sz w:val="20"/>
          <w:szCs w:val="20"/>
        </w:rPr>
        <w:t xml:space="preserve"> Mn€</w:t>
      </w:r>
      <w:r w:rsidRPr="00196F51">
        <w:rPr>
          <w:rFonts w:ascii="Open Sans" w:hAnsi="Open Sans" w:cs="Open Sans"/>
          <w:sz w:val="20"/>
          <w:szCs w:val="20"/>
        </w:rPr>
        <w:t xml:space="preserve"> </w:t>
      </w:r>
      <w:r>
        <w:rPr>
          <w:rFonts w:ascii="Open Sans" w:hAnsi="Open Sans" w:cs="Open Sans"/>
          <w:sz w:val="20"/>
          <w:szCs w:val="20"/>
        </w:rPr>
        <w:t>(+ 10,18%)</w:t>
      </w:r>
    </w:p>
    <w:p w14:paraId="2EFF54CD" w14:textId="77777777" w:rsidR="00C86459" w:rsidRPr="00D11A2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D11A29">
        <w:rPr>
          <w:rFonts w:ascii="Open Sans" w:hAnsi="Open Sans" w:cs="Open Sans"/>
          <w:sz w:val="20"/>
          <w:szCs w:val="20"/>
        </w:rPr>
        <w:t>Otros servicios no financieros 6.133</w:t>
      </w:r>
      <w:r>
        <w:rPr>
          <w:rFonts w:ascii="Open Sans" w:hAnsi="Open Sans" w:cs="Open Sans"/>
          <w:sz w:val="20"/>
          <w:szCs w:val="20"/>
        </w:rPr>
        <w:t xml:space="preserve"> Mn€</w:t>
      </w:r>
      <w:r w:rsidRPr="00D11A29">
        <w:rPr>
          <w:rFonts w:ascii="Open Sans" w:hAnsi="Open Sans" w:cs="Open Sans"/>
          <w:sz w:val="20"/>
          <w:szCs w:val="20"/>
        </w:rPr>
        <w:t xml:space="preserve"> </w:t>
      </w:r>
      <w:r>
        <w:rPr>
          <w:rFonts w:ascii="Open Sans" w:hAnsi="Open Sans" w:cs="Open Sans"/>
          <w:sz w:val="20"/>
          <w:szCs w:val="20"/>
        </w:rPr>
        <w:t>(-9,5%)</w:t>
      </w:r>
    </w:p>
    <w:p w14:paraId="1464FE90" w14:textId="77777777" w:rsidR="00C86459" w:rsidRDefault="00C86459" w:rsidP="00C86459">
      <w:pPr>
        <w:jc w:val="both"/>
        <w:rPr>
          <w:rFonts w:ascii="Open Sans" w:hAnsi="Open Sans" w:cs="Open Sans"/>
          <w:sz w:val="20"/>
          <w:szCs w:val="20"/>
        </w:rPr>
      </w:pPr>
    </w:p>
    <w:p w14:paraId="018695BC" w14:textId="77777777" w:rsidR="00C86459" w:rsidRDefault="00C86459" w:rsidP="00C86459">
      <w:pPr>
        <w:jc w:val="both"/>
        <w:rPr>
          <w:rFonts w:ascii="Open Sans" w:hAnsi="Open Sans" w:cs="Open Sans"/>
          <w:sz w:val="20"/>
          <w:szCs w:val="20"/>
        </w:rPr>
      </w:pPr>
      <w:r>
        <w:rPr>
          <w:rFonts w:ascii="Open Sans" w:hAnsi="Open Sans" w:cs="Open Sans"/>
          <w:sz w:val="20"/>
          <w:szCs w:val="20"/>
        </w:rPr>
        <w:t xml:space="preserve">Según consta en el informe de Contribución Fiscal Global 2015, a resaltar que los beneficios obtenidos por la entidad, BAI de 4.603 Mn€, proceden principalmente de fuera del territorio español, donde se ha registrado un resultado negativo por importe de 1.576 Mn€. Los países que más beneficio (antes de impuestos) han aportado son: México (2.750 Mn€), EEUU (699 Mn€), Turquía (647 Mn€), Perú (543 Mn€) y Argentina (515 Mn€). </w:t>
      </w:r>
    </w:p>
    <w:p w14:paraId="232B0259" w14:textId="77777777" w:rsidR="00C86459" w:rsidRDefault="00C86459" w:rsidP="00C86459">
      <w:pPr>
        <w:jc w:val="both"/>
        <w:rPr>
          <w:rFonts w:ascii="Open Sans" w:hAnsi="Open Sans" w:cs="Open Sans"/>
          <w:sz w:val="20"/>
          <w:szCs w:val="20"/>
        </w:rPr>
      </w:pPr>
    </w:p>
    <w:p w14:paraId="4405DAE3" w14:textId="77777777" w:rsidR="00C86459" w:rsidRDefault="00C86459" w:rsidP="00C86459">
      <w:pPr>
        <w:jc w:val="both"/>
        <w:rPr>
          <w:rFonts w:ascii="Open Sans" w:hAnsi="Open Sans" w:cs="Open Sans"/>
          <w:sz w:val="20"/>
          <w:szCs w:val="20"/>
        </w:rPr>
      </w:pPr>
      <w:r>
        <w:rPr>
          <w:rFonts w:ascii="Open Sans" w:hAnsi="Open Sans" w:cs="Open Sans"/>
          <w:sz w:val="20"/>
          <w:szCs w:val="20"/>
        </w:rPr>
        <w:t>En la carta del Presidente de la entidad, Sr. Francisco González, que se adjunta en el informe BBVA en 2015, se des</w:t>
      </w:r>
      <w:r w:rsidRPr="00042D85">
        <w:rPr>
          <w:rFonts w:ascii="Open Sans" w:hAnsi="Open Sans" w:cs="Open Sans"/>
          <w:sz w:val="20"/>
          <w:szCs w:val="20"/>
        </w:rPr>
        <w:t>tacan como principales hitos del año el cambio de estructura organizativa, para</w:t>
      </w:r>
      <w:r>
        <w:rPr>
          <w:rFonts w:ascii="Open Sans" w:hAnsi="Open Sans" w:cs="Open Sans"/>
          <w:sz w:val="20"/>
          <w:szCs w:val="20"/>
        </w:rPr>
        <w:t xml:space="preserve"> </w:t>
      </w:r>
      <w:r w:rsidRPr="00042D85">
        <w:rPr>
          <w:rFonts w:ascii="Open Sans" w:hAnsi="Open Sans" w:cs="Open Sans"/>
          <w:sz w:val="20"/>
          <w:szCs w:val="20"/>
        </w:rPr>
        <w:t>acelerar la transformación e impulsar los resultados; la adquisición de un porcentaje</w:t>
      </w:r>
      <w:r>
        <w:rPr>
          <w:rFonts w:ascii="Open Sans" w:hAnsi="Open Sans" w:cs="Open Sans"/>
          <w:sz w:val="20"/>
          <w:szCs w:val="20"/>
        </w:rPr>
        <w:t xml:space="preserve"> </w:t>
      </w:r>
      <w:r w:rsidRPr="00042D85">
        <w:rPr>
          <w:rFonts w:ascii="Open Sans" w:hAnsi="Open Sans" w:cs="Open Sans"/>
          <w:sz w:val="20"/>
          <w:szCs w:val="20"/>
        </w:rPr>
        <w:t xml:space="preserve">adicional en Garanti, </w:t>
      </w:r>
      <w:r>
        <w:rPr>
          <w:rFonts w:ascii="Open Sans" w:hAnsi="Open Sans" w:cs="Open Sans"/>
          <w:sz w:val="20"/>
          <w:szCs w:val="20"/>
        </w:rPr>
        <w:t>convirtiéndose en su principal accionista, y</w:t>
      </w:r>
      <w:r w:rsidRPr="00042D85">
        <w:rPr>
          <w:rFonts w:ascii="Open Sans" w:hAnsi="Open Sans" w:cs="Open Sans"/>
          <w:sz w:val="20"/>
          <w:szCs w:val="20"/>
        </w:rPr>
        <w:t xml:space="preserve"> la adhesión del Grupo al CSR Europe, convirtiéndose en la primera entidad</w:t>
      </w:r>
      <w:r>
        <w:rPr>
          <w:rFonts w:ascii="Open Sans" w:hAnsi="Open Sans" w:cs="Open Sans"/>
          <w:sz w:val="20"/>
          <w:szCs w:val="20"/>
        </w:rPr>
        <w:t xml:space="preserve"> </w:t>
      </w:r>
      <w:r w:rsidRPr="00042D85">
        <w:rPr>
          <w:rFonts w:ascii="Open Sans" w:hAnsi="Open Sans" w:cs="Open Sans"/>
          <w:sz w:val="20"/>
          <w:szCs w:val="20"/>
        </w:rPr>
        <w:t>financiera española en unirse.</w:t>
      </w:r>
    </w:p>
    <w:p w14:paraId="2FAB118B" w14:textId="77777777" w:rsidR="00C86459" w:rsidRDefault="00C86459" w:rsidP="00C86459">
      <w:pPr>
        <w:jc w:val="both"/>
        <w:rPr>
          <w:rFonts w:ascii="Open Sans" w:hAnsi="Open Sans" w:cs="Open Sans"/>
          <w:sz w:val="20"/>
          <w:szCs w:val="20"/>
        </w:rPr>
      </w:pPr>
    </w:p>
    <w:p w14:paraId="50CCBFD6" w14:textId="77777777" w:rsidR="00C86459" w:rsidRPr="006E589E" w:rsidRDefault="00C86459" w:rsidP="00C86459">
      <w:pPr>
        <w:autoSpaceDE w:val="0"/>
        <w:autoSpaceDN w:val="0"/>
        <w:adjustRightInd w:val="0"/>
        <w:jc w:val="both"/>
        <w:rPr>
          <w:rFonts w:ascii="Open Sans" w:hAnsi="Open Sans" w:cs="BBVAWebBook"/>
          <w:sz w:val="20"/>
          <w:szCs w:val="20"/>
        </w:rPr>
      </w:pPr>
      <w:r w:rsidRPr="006E589E">
        <w:rPr>
          <w:rFonts w:ascii="Open Sans" w:hAnsi="Open Sans" w:cs="TT1D0t00"/>
          <w:sz w:val="20"/>
          <w:szCs w:val="20"/>
        </w:rPr>
        <w:t>Durante el ejercicio 2015, el Grupo BBVA ha finalizado diversas operaciones que han tenido un impacto significativo en las cuentas de la entidad</w:t>
      </w:r>
      <w:r w:rsidRPr="006E589E">
        <w:rPr>
          <w:rFonts w:ascii="Open Sans" w:hAnsi="Open Sans" w:cs="BBVAWebBook"/>
          <w:sz w:val="20"/>
          <w:szCs w:val="20"/>
        </w:rPr>
        <w:t>. En primer lugar, en el segundo trimestre se produjo</w:t>
      </w:r>
      <w:r w:rsidRPr="006E589E">
        <w:rPr>
          <w:rFonts w:ascii="Open Sans" w:hAnsi="Open Sans" w:cs="TT1D0t00"/>
          <w:sz w:val="20"/>
          <w:szCs w:val="20"/>
        </w:rPr>
        <w:t xml:space="preserve"> la adquisición del Grupo Catalunya Banc. En segundo lugar, durante el tercer trimestre se </w:t>
      </w:r>
      <w:r w:rsidRPr="006E589E">
        <w:rPr>
          <w:rFonts w:ascii="Open Sans" w:hAnsi="Open Sans" w:cs="BBVAWebBook"/>
          <w:sz w:val="20"/>
          <w:szCs w:val="20"/>
        </w:rPr>
        <w:t>incrementó la participación en el Grupo Garanti (del 25% al 39,9%</w:t>
      </w:r>
      <w:r w:rsidRPr="006E589E">
        <w:rPr>
          <w:rFonts w:ascii="Open Sans" w:hAnsi="Open Sans" w:cs="TT1D0t00"/>
          <w:sz w:val="20"/>
          <w:szCs w:val="20"/>
        </w:rPr>
        <w:t>), con presencia en Turquía u otros países de Europa. En tercer lugar, se real</w:t>
      </w:r>
      <w:r>
        <w:rPr>
          <w:rFonts w:ascii="Open Sans" w:hAnsi="Open Sans" w:cs="TT1D0t00"/>
          <w:sz w:val="20"/>
          <w:szCs w:val="20"/>
        </w:rPr>
        <w:t>i</w:t>
      </w:r>
      <w:r w:rsidRPr="006E589E">
        <w:rPr>
          <w:rFonts w:ascii="Open Sans" w:hAnsi="Open Sans" w:cs="TT1D0t00"/>
          <w:sz w:val="20"/>
          <w:szCs w:val="20"/>
        </w:rPr>
        <w:t xml:space="preserve">zó la </w:t>
      </w:r>
      <w:r w:rsidRPr="006E589E">
        <w:rPr>
          <w:rFonts w:ascii="Open Sans" w:hAnsi="Open Sans" w:cs="BBVAWebBook"/>
          <w:sz w:val="20"/>
          <w:szCs w:val="20"/>
        </w:rPr>
        <w:t xml:space="preserve">venta parcial de la inversión en </w:t>
      </w:r>
      <w:r w:rsidRPr="00DE0B94">
        <w:rPr>
          <w:rFonts w:ascii="Open Sans" w:hAnsi="Open Sans" w:cs="BBVAWebBook"/>
          <w:sz w:val="20"/>
          <w:szCs w:val="20"/>
        </w:rPr>
        <w:t>China CITIC Bank Corporation Limited (CNCB)</w:t>
      </w:r>
      <w:r>
        <w:rPr>
          <w:rFonts w:ascii="Open Sans" w:hAnsi="Open Sans" w:cs="BBVAWebBook"/>
          <w:sz w:val="20"/>
          <w:szCs w:val="20"/>
        </w:rPr>
        <w:t xml:space="preserve"> y la v</w:t>
      </w:r>
      <w:r w:rsidRPr="00DE0B94">
        <w:rPr>
          <w:rFonts w:ascii="Open Sans" w:hAnsi="Open Sans" w:cs="BBVAWebBook"/>
          <w:sz w:val="20"/>
          <w:szCs w:val="20"/>
        </w:rPr>
        <w:t>enta de la participación en Citic International Financial Holdings Limited (CIFH)</w:t>
      </w:r>
      <w:r w:rsidRPr="006E589E">
        <w:rPr>
          <w:rFonts w:ascii="Open Sans" w:hAnsi="Open Sans" w:cs="BBVAWebBook"/>
          <w:sz w:val="20"/>
          <w:szCs w:val="20"/>
        </w:rPr>
        <w:t xml:space="preserve">. Finalmente, se abrieron nuevas sedes en Madrid y en la Ciudad de México y se han terminado de habilitar en Santiago de Chile, Buenos Aires y Lima. </w:t>
      </w:r>
    </w:p>
    <w:p w14:paraId="59E85360" w14:textId="77777777" w:rsidR="00C86459" w:rsidRPr="00DE0B94" w:rsidRDefault="00C86459" w:rsidP="00C86459">
      <w:pPr>
        <w:jc w:val="both"/>
        <w:rPr>
          <w:rFonts w:ascii="Open Sans" w:hAnsi="Open Sans" w:cs="Open Sans"/>
          <w:sz w:val="20"/>
          <w:szCs w:val="20"/>
        </w:rPr>
      </w:pPr>
    </w:p>
    <w:p w14:paraId="40D37386" w14:textId="77777777" w:rsidR="00C86459" w:rsidRDefault="00C86459" w:rsidP="00C86459">
      <w:pPr>
        <w:jc w:val="both"/>
        <w:rPr>
          <w:rFonts w:ascii="Open Sans" w:hAnsi="Open Sans" w:cs="Open Sans"/>
          <w:b/>
          <w:sz w:val="20"/>
          <w:szCs w:val="20"/>
        </w:rPr>
      </w:pPr>
      <w:r>
        <w:rPr>
          <w:rFonts w:ascii="Open Sans" w:hAnsi="Open Sans" w:cs="Open Sans"/>
          <w:sz w:val="20"/>
          <w:szCs w:val="20"/>
        </w:rPr>
        <w:t>Como se comentó en el informe de 2014, l</w:t>
      </w:r>
      <w:r w:rsidRPr="00042D85">
        <w:rPr>
          <w:rFonts w:ascii="Open Sans" w:hAnsi="Open Sans" w:cs="Open Sans"/>
          <w:sz w:val="20"/>
          <w:szCs w:val="20"/>
        </w:rPr>
        <w:t xml:space="preserve">a gran expansión de BBVA hace que tenga una gran fortaleza a nivel internacional, pero precisamente esta expansión </w:t>
      </w:r>
      <w:r>
        <w:rPr>
          <w:rFonts w:ascii="Open Sans" w:hAnsi="Open Sans" w:cs="Open Sans"/>
          <w:sz w:val="20"/>
          <w:szCs w:val="20"/>
        </w:rPr>
        <w:t>implica</w:t>
      </w:r>
      <w:r w:rsidRPr="00042D85">
        <w:rPr>
          <w:rFonts w:ascii="Open Sans" w:hAnsi="Open Sans" w:cs="Open Sans"/>
          <w:sz w:val="20"/>
          <w:szCs w:val="20"/>
        </w:rPr>
        <w:t xml:space="preserve"> que el banco tenga que afrontar una serie de riesgos derivados de la situación que se vive en alguno de los países en los que opera.</w:t>
      </w:r>
    </w:p>
    <w:p w14:paraId="0B03B9DE" w14:textId="77777777" w:rsidR="00C86459" w:rsidRPr="00D5426F" w:rsidRDefault="00C86459" w:rsidP="00C86459">
      <w:pPr>
        <w:jc w:val="both"/>
        <w:rPr>
          <w:rFonts w:ascii="Open Sans" w:hAnsi="Open Sans"/>
          <w:sz w:val="20"/>
          <w:szCs w:val="20"/>
        </w:rPr>
      </w:pPr>
    </w:p>
    <w:p w14:paraId="28FE397D" w14:textId="77777777" w:rsidR="00C86459" w:rsidRDefault="00C86459" w:rsidP="00C86459">
      <w:pPr>
        <w:jc w:val="both"/>
        <w:rPr>
          <w:rFonts w:ascii="Open Sans" w:hAnsi="Open Sans"/>
          <w:sz w:val="20"/>
          <w:szCs w:val="20"/>
        </w:rPr>
      </w:pPr>
      <w:r w:rsidRPr="00D5426F">
        <w:rPr>
          <w:rFonts w:ascii="Open Sans" w:hAnsi="Open Sans"/>
          <w:sz w:val="20"/>
          <w:szCs w:val="20"/>
        </w:rPr>
        <w:t xml:space="preserve">Uno de los riesgos a los que están sujetas las entidades es al riesgo fiscal. Este riesgo se puede derivar de las propias actividades por incumplimiento directo de la norma tributaria o </w:t>
      </w:r>
      <w:r>
        <w:rPr>
          <w:rFonts w:ascii="Open Sans" w:hAnsi="Open Sans"/>
          <w:sz w:val="20"/>
          <w:szCs w:val="20"/>
        </w:rPr>
        <w:t>bien</w:t>
      </w:r>
      <w:r w:rsidRPr="00D5426F">
        <w:rPr>
          <w:rFonts w:ascii="Open Sans" w:hAnsi="Open Sans"/>
          <w:sz w:val="20"/>
          <w:szCs w:val="20"/>
        </w:rPr>
        <w:t xml:space="preserve"> porqué se actuó en la creencia del cumplimiento correcto de sus obligaciones tributarias, pero puede surgir discrepancias por cambios interpretativos de consultas tributarias, doctrina administrativa o jurisprudencia. También puede derivarse de las operaciones de la propia entidad </w:t>
      </w:r>
      <w:r>
        <w:rPr>
          <w:rFonts w:ascii="Open Sans" w:hAnsi="Open Sans"/>
          <w:sz w:val="20"/>
          <w:szCs w:val="20"/>
        </w:rPr>
        <w:t xml:space="preserve">a través de </w:t>
      </w:r>
      <w:r w:rsidRPr="00D5426F">
        <w:rPr>
          <w:rFonts w:ascii="Open Sans" w:hAnsi="Open Sans"/>
          <w:sz w:val="20"/>
          <w:szCs w:val="20"/>
        </w:rPr>
        <w:t xml:space="preserve">territorios con un tratamiento fiscal favorable (paraísos </w:t>
      </w:r>
      <w:r>
        <w:rPr>
          <w:rFonts w:ascii="Open Sans" w:hAnsi="Open Sans"/>
          <w:sz w:val="20"/>
          <w:szCs w:val="20"/>
        </w:rPr>
        <w:t xml:space="preserve">y nichos fiscales), mediante la constitución de sociedades propias en estos territorios. </w:t>
      </w:r>
    </w:p>
    <w:p w14:paraId="3BF040F5" w14:textId="77777777" w:rsidR="00C86459" w:rsidRDefault="00C86459" w:rsidP="00C86459">
      <w:pPr>
        <w:jc w:val="both"/>
        <w:rPr>
          <w:rFonts w:ascii="Open Sans" w:hAnsi="Open Sans"/>
          <w:sz w:val="20"/>
          <w:szCs w:val="20"/>
        </w:rPr>
      </w:pPr>
    </w:p>
    <w:p w14:paraId="0AF8DAF6" w14:textId="77777777" w:rsidR="00C86459" w:rsidRPr="00075216" w:rsidRDefault="00C86459" w:rsidP="00C86459">
      <w:pPr>
        <w:jc w:val="both"/>
        <w:rPr>
          <w:rFonts w:ascii="Open Sans" w:hAnsi="Open Sans"/>
          <w:sz w:val="20"/>
          <w:szCs w:val="20"/>
        </w:rPr>
      </w:pPr>
      <w:r>
        <w:rPr>
          <w:rFonts w:ascii="Open Sans" w:hAnsi="Open Sans"/>
          <w:sz w:val="20"/>
          <w:szCs w:val="20"/>
        </w:rPr>
        <w:t xml:space="preserve">Así mismo, existe el riego fiscal derivado de su </w:t>
      </w:r>
      <w:r w:rsidRPr="00D5426F">
        <w:rPr>
          <w:rFonts w:ascii="Open Sans" w:hAnsi="Open Sans"/>
          <w:sz w:val="20"/>
          <w:szCs w:val="20"/>
        </w:rPr>
        <w:t xml:space="preserve"> actividad intermediadora</w:t>
      </w:r>
      <w:r>
        <w:rPr>
          <w:rFonts w:ascii="Open Sans" w:hAnsi="Open Sans"/>
          <w:sz w:val="20"/>
          <w:szCs w:val="20"/>
        </w:rPr>
        <w:t>,</w:t>
      </w:r>
      <w:r w:rsidRPr="00D5426F">
        <w:rPr>
          <w:rFonts w:ascii="Open Sans" w:hAnsi="Open Sans"/>
          <w:sz w:val="20"/>
          <w:szCs w:val="20"/>
        </w:rPr>
        <w:t xml:space="preserve"> facilitando la constitución de sociedad</w:t>
      </w:r>
      <w:r>
        <w:rPr>
          <w:rFonts w:ascii="Open Sans" w:hAnsi="Open Sans"/>
          <w:sz w:val="20"/>
          <w:szCs w:val="20"/>
        </w:rPr>
        <w:t>es</w:t>
      </w:r>
      <w:r w:rsidRPr="00D5426F">
        <w:rPr>
          <w:rFonts w:ascii="Open Sans" w:hAnsi="Open Sans"/>
          <w:sz w:val="20"/>
          <w:szCs w:val="20"/>
        </w:rPr>
        <w:t xml:space="preserve"> o instrumentos financieros para sus clientes en países fiscalmente favorables de modo que se facilita la evasión o elusión fiscal. </w:t>
      </w:r>
      <w:r>
        <w:rPr>
          <w:rFonts w:ascii="Open Sans" w:hAnsi="Open Sans"/>
          <w:sz w:val="20"/>
          <w:szCs w:val="20"/>
        </w:rPr>
        <w:t xml:space="preserve">Como queda reflejado en algunas de las recientes noticias que han aparecido en los medios de comunicación en referencia a la </w:t>
      </w:r>
      <w:r w:rsidRPr="008A0B45">
        <w:rPr>
          <w:rFonts w:ascii="Open Sans" w:hAnsi="Open Sans"/>
          <w:sz w:val="20"/>
          <w:szCs w:val="20"/>
        </w:rPr>
        <w:t>investigación liderada por el Consorcio Internacional de Periodistas de Investigación (ICIJ) y el dia</w:t>
      </w:r>
      <w:r>
        <w:rPr>
          <w:rFonts w:ascii="Open Sans" w:hAnsi="Open Sans"/>
          <w:sz w:val="20"/>
          <w:szCs w:val="20"/>
        </w:rPr>
        <w:t xml:space="preserve">rio alemán “Süddeutsche Zeitung” más conocida como los “Papeles de Panamá”. </w:t>
      </w:r>
      <w:r w:rsidRPr="00E0783F">
        <w:rPr>
          <w:rFonts w:ascii="Open Sans" w:hAnsi="Open Sans"/>
          <w:sz w:val="20"/>
          <w:szCs w:val="20"/>
        </w:rPr>
        <w:t>En esta investigación se ha desvelado que BBVA</w:t>
      </w:r>
      <w:r>
        <w:rPr>
          <w:rFonts w:ascii="Open Sans" w:hAnsi="Open Sans"/>
          <w:sz w:val="20"/>
          <w:szCs w:val="20"/>
        </w:rPr>
        <w:t xml:space="preserve"> </w:t>
      </w:r>
      <w:r w:rsidRPr="00E0783F">
        <w:rPr>
          <w:rFonts w:ascii="Open Sans" w:hAnsi="Open Sans"/>
          <w:sz w:val="20"/>
          <w:szCs w:val="20"/>
        </w:rPr>
        <w:t>actuó como intermediario para la creación de 19 sociedades en Panamá en beneficio de sus clientes de alto patrimonio de los distintos países en los que operan (inc</w:t>
      </w:r>
      <w:r>
        <w:rPr>
          <w:rFonts w:ascii="Open Sans" w:hAnsi="Open Sans"/>
          <w:sz w:val="20"/>
          <w:szCs w:val="20"/>
        </w:rPr>
        <w:t>luido España). Estas sociedades</w:t>
      </w:r>
      <w:r w:rsidRPr="00E0783F">
        <w:rPr>
          <w:rFonts w:ascii="Open Sans" w:hAnsi="Open Sans"/>
          <w:sz w:val="20"/>
          <w:szCs w:val="20"/>
        </w:rPr>
        <w:t xml:space="preserve"> se crearon también desde Suiza (filial que cerró en 2011), Jersey y Miami, que vendió al Grupo Banco Sabadell en 2007</w:t>
      </w:r>
      <w:r>
        <w:rPr>
          <w:rStyle w:val="Refdenotaalpie"/>
          <w:rFonts w:ascii="Open Sans" w:hAnsi="Open Sans"/>
          <w:sz w:val="20"/>
          <w:szCs w:val="20"/>
        </w:rPr>
        <w:footnoteReference w:id="474"/>
      </w:r>
      <w:r>
        <w:rPr>
          <w:rFonts w:ascii="Open Sans" w:hAnsi="Open Sans"/>
          <w:sz w:val="20"/>
          <w:szCs w:val="20"/>
        </w:rPr>
        <w:t xml:space="preserve">. </w:t>
      </w:r>
      <w:r w:rsidRPr="00E0783F">
        <w:rPr>
          <w:rFonts w:ascii="Open Sans" w:hAnsi="Open Sans"/>
          <w:sz w:val="20"/>
          <w:szCs w:val="20"/>
        </w:rPr>
        <w:t>El nombre de BBVA también se menciona en relación a Canal Trust Company,</w:t>
      </w:r>
      <w:r>
        <w:rPr>
          <w:rFonts w:ascii="Open Sans" w:hAnsi="Open Sans"/>
          <w:sz w:val="20"/>
          <w:szCs w:val="20"/>
        </w:rPr>
        <w:t xml:space="preserve"> s</w:t>
      </w:r>
      <w:r w:rsidRPr="00E0783F">
        <w:rPr>
          <w:rFonts w:ascii="Open Sans" w:hAnsi="Open Sans"/>
          <w:sz w:val="20"/>
          <w:szCs w:val="20"/>
        </w:rPr>
        <w:t>ociedad dep</w:t>
      </w:r>
      <w:r>
        <w:rPr>
          <w:rFonts w:ascii="Open Sans" w:hAnsi="Open Sans"/>
          <w:sz w:val="20"/>
          <w:szCs w:val="20"/>
        </w:rPr>
        <w:t xml:space="preserve">endiente de BBVA Privanza Jersey, utilizada </w:t>
      </w:r>
      <w:r w:rsidRPr="00E0783F">
        <w:rPr>
          <w:rFonts w:ascii="Open Sans" w:hAnsi="Open Sans"/>
          <w:sz w:val="20"/>
          <w:szCs w:val="20"/>
        </w:rPr>
        <w:t>para crear estructuras societarias que ocultarían el patrimonio de los clientes de la entidad, según consta en las diligencias previas del caso en el que el juez Baltasar Garzón investigó el entramado financiero del BBVA en el exterior</w:t>
      </w:r>
      <w:r>
        <w:rPr>
          <w:rStyle w:val="Refdenotaalpie"/>
          <w:rFonts w:ascii="Open Sans" w:hAnsi="Open Sans"/>
          <w:sz w:val="20"/>
          <w:szCs w:val="20"/>
        </w:rPr>
        <w:footnoteReference w:id="475"/>
      </w:r>
      <w:r>
        <w:rPr>
          <w:rFonts w:ascii="Open Sans" w:hAnsi="Open Sans"/>
          <w:sz w:val="20"/>
          <w:szCs w:val="20"/>
        </w:rPr>
        <w:t xml:space="preserve"> </w:t>
      </w:r>
      <w:r>
        <w:rPr>
          <w:rStyle w:val="Refdenotaalpie"/>
          <w:rFonts w:ascii="Open Sans" w:hAnsi="Open Sans"/>
          <w:sz w:val="20"/>
          <w:szCs w:val="20"/>
        </w:rPr>
        <w:footnoteReference w:id="476"/>
      </w:r>
      <w:r>
        <w:rPr>
          <w:rFonts w:ascii="Open Sans" w:hAnsi="Open Sans"/>
          <w:sz w:val="20"/>
          <w:szCs w:val="20"/>
        </w:rPr>
        <w:t xml:space="preserve">. </w:t>
      </w:r>
      <w:r>
        <w:rPr>
          <w:rFonts w:ascii="Open Sans" w:hAnsi="Open Sans" w:cs="Open Sans"/>
          <w:sz w:val="20"/>
          <w:szCs w:val="20"/>
        </w:rPr>
        <w:t xml:space="preserve">Aunque estas noticias han saltado a la luz en 2016, hacen referencia a hechos acaecidos en años anteriores. Todo y así, </w:t>
      </w:r>
      <w:r w:rsidRPr="00D5426F">
        <w:rPr>
          <w:rFonts w:ascii="Open Sans" w:hAnsi="Open Sans" w:cs="Open Sans"/>
          <w:sz w:val="20"/>
          <w:szCs w:val="20"/>
        </w:rPr>
        <w:t>BBVA en su análisis de riesgos no contempla explícitamen</w:t>
      </w:r>
      <w:r>
        <w:rPr>
          <w:rFonts w:ascii="Open Sans" w:hAnsi="Open Sans" w:cs="Open Sans"/>
          <w:sz w:val="20"/>
          <w:szCs w:val="20"/>
        </w:rPr>
        <w:t xml:space="preserve">te ningún tipo de riesgo fiscal, ni derivado de su propia actividad ni derivado de su </w:t>
      </w:r>
      <w:r w:rsidRPr="00D5426F">
        <w:rPr>
          <w:rFonts w:ascii="Open Sans" w:hAnsi="Open Sans" w:cs="Open Sans"/>
          <w:sz w:val="20"/>
          <w:szCs w:val="20"/>
        </w:rPr>
        <w:t xml:space="preserve"> presencia</w:t>
      </w:r>
      <w:r>
        <w:rPr>
          <w:rFonts w:ascii="Open Sans" w:hAnsi="Open Sans" w:cs="Open Sans"/>
          <w:sz w:val="20"/>
          <w:szCs w:val="20"/>
        </w:rPr>
        <w:t xml:space="preserve"> en</w:t>
      </w:r>
      <w:r w:rsidRPr="00D5426F">
        <w:rPr>
          <w:rFonts w:ascii="Open Sans" w:hAnsi="Open Sans" w:cs="Open Sans"/>
          <w:sz w:val="20"/>
          <w:szCs w:val="20"/>
        </w:rPr>
        <w:t xml:space="preserve"> </w:t>
      </w:r>
      <w:r>
        <w:rPr>
          <w:rFonts w:ascii="Open Sans" w:hAnsi="Open Sans" w:cs="Open Sans"/>
          <w:sz w:val="20"/>
          <w:szCs w:val="20"/>
        </w:rPr>
        <w:t xml:space="preserve">y operar a través de </w:t>
      </w:r>
      <w:r w:rsidRPr="00D5426F">
        <w:rPr>
          <w:rFonts w:ascii="Open Sans" w:hAnsi="Open Sans" w:cs="Open Sans"/>
          <w:sz w:val="20"/>
          <w:szCs w:val="20"/>
        </w:rPr>
        <w:t xml:space="preserve">paraísos y nichos fiscales. </w:t>
      </w:r>
    </w:p>
    <w:p w14:paraId="07F4CEAF" w14:textId="77777777" w:rsidR="00C86459" w:rsidRDefault="00C86459" w:rsidP="00C86459">
      <w:pPr>
        <w:jc w:val="both"/>
        <w:rPr>
          <w:rFonts w:ascii="Open Sans" w:hAnsi="Open Sans" w:cs="Open Sans"/>
          <w:sz w:val="20"/>
          <w:szCs w:val="20"/>
        </w:rPr>
      </w:pPr>
    </w:p>
    <w:p w14:paraId="55A9D5B5" w14:textId="77777777" w:rsidR="00C86459" w:rsidRDefault="00C86459" w:rsidP="00C86459">
      <w:pPr>
        <w:jc w:val="both"/>
        <w:rPr>
          <w:rFonts w:ascii="Open Sans" w:hAnsi="Open Sans" w:cs="Open Sans"/>
          <w:sz w:val="20"/>
          <w:szCs w:val="20"/>
        </w:rPr>
      </w:pPr>
      <w:r w:rsidRPr="0009564E">
        <w:rPr>
          <w:rFonts w:ascii="Open Sans" w:hAnsi="Open Sans" w:cs="Open Sans"/>
          <w:sz w:val="20"/>
          <w:szCs w:val="20"/>
        </w:rPr>
        <w:t xml:space="preserve">No únicamente Panamá ha estado relacionada con prácticas bancarias de elusión y evasión fiscal, otros territorios también han sido protagonistas en prácticas bancarias discutibles. El caso más </w:t>
      </w:r>
      <w:r>
        <w:rPr>
          <w:rFonts w:ascii="Open Sans" w:hAnsi="Open Sans" w:cs="Open Sans"/>
          <w:sz w:val="20"/>
          <w:szCs w:val="20"/>
        </w:rPr>
        <w:t>representativo</w:t>
      </w:r>
      <w:r w:rsidRPr="0009564E">
        <w:rPr>
          <w:rFonts w:ascii="Open Sans" w:hAnsi="Open Sans" w:cs="Open Sans"/>
          <w:sz w:val="20"/>
          <w:szCs w:val="20"/>
        </w:rPr>
        <w:t xml:space="preserve"> ha sido el de Islas Cayman con las</w:t>
      </w:r>
      <w:r>
        <w:rPr>
          <w:rFonts w:ascii="Open Sans" w:hAnsi="Open Sans" w:cs="Open Sans"/>
          <w:sz w:val="20"/>
          <w:szCs w:val="20"/>
        </w:rPr>
        <w:t xml:space="preserve"> participaciones</w:t>
      </w:r>
      <w:r w:rsidRPr="0009564E">
        <w:rPr>
          <w:rFonts w:ascii="Open Sans" w:hAnsi="Open Sans" w:cs="Open Sans"/>
          <w:sz w:val="20"/>
          <w:szCs w:val="20"/>
        </w:rPr>
        <w:t xml:space="preserve"> preferentes. Durante los años de la gran expansión económica, las entidades financieras acudieron a las preferentes como medio de conseguir capitalización barata y poder responder a las demandas creditic</w:t>
      </w:r>
      <w:r>
        <w:rPr>
          <w:rFonts w:ascii="Open Sans" w:hAnsi="Open Sans" w:cs="Open Sans"/>
          <w:sz w:val="20"/>
          <w:szCs w:val="20"/>
        </w:rPr>
        <w:t xml:space="preserve">ias de sus clientes. En España, desde el inicio de su comercialización en 1998 hasta su legalización en julio de 2003, la CNMV, </w:t>
      </w:r>
      <w:r w:rsidRPr="0009564E">
        <w:rPr>
          <w:rFonts w:ascii="Open Sans" w:hAnsi="Open Sans" w:cs="Open Sans"/>
          <w:sz w:val="20"/>
          <w:szCs w:val="20"/>
        </w:rPr>
        <w:t>el Banco de España</w:t>
      </w:r>
      <w:r>
        <w:rPr>
          <w:rFonts w:ascii="Open Sans" w:hAnsi="Open Sans" w:cs="Open Sans"/>
          <w:sz w:val="20"/>
          <w:szCs w:val="20"/>
        </w:rPr>
        <w:t xml:space="preserve"> </w:t>
      </w:r>
      <w:r w:rsidRPr="001D3B58">
        <w:rPr>
          <w:rFonts w:ascii="Open Sans" w:hAnsi="Open Sans" w:cs="Open Sans"/>
          <w:sz w:val="20"/>
          <w:szCs w:val="20"/>
        </w:rPr>
        <w:t>y del Ministerio de Economía</w:t>
      </w:r>
      <w:r>
        <w:rPr>
          <w:rFonts w:ascii="Open Sans" w:hAnsi="Open Sans" w:cs="Open Sans"/>
          <w:sz w:val="20"/>
          <w:szCs w:val="20"/>
        </w:rPr>
        <w:t xml:space="preserve"> </w:t>
      </w:r>
      <w:r w:rsidRPr="0009564E">
        <w:rPr>
          <w:rFonts w:ascii="Open Sans" w:hAnsi="Open Sans" w:cs="Open Sans"/>
          <w:sz w:val="20"/>
          <w:szCs w:val="20"/>
        </w:rPr>
        <w:t>toleraron la emisión de este producto desde paraísos fiscales</w:t>
      </w:r>
      <w:r>
        <w:rPr>
          <w:rFonts w:ascii="Open Sans" w:hAnsi="Open Sans" w:cs="Open Sans"/>
          <w:sz w:val="20"/>
          <w:szCs w:val="20"/>
        </w:rPr>
        <w:t xml:space="preserve"> permitiendo así su amplia difusión. </w:t>
      </w:r>
      <w:r w:rsidRPr="0009564E">
        <w:rPr>
          <w:rFonts w:ascii="Open Sans" w:hAnsi="Open Sans" w:cs="Open Sans"/>
          <w:sz w:val="20"/>
          <w:szCs w:val="20"/>
        </w:rPr>
        <w:t>El procedimiento era muy simple, el banco o caja constituía una filial 100% de su propiedad en las Islas Caimán con carácter puramente instrumental, sin empleados, y que no realizaba otra actividad que la de emitir participaciones preferentes. El dinero captado por la red bancaria figuraba como recibido por la filial y se depositaba en la matriz a cambio de una remuneración. Es decir, las filiales prestaban este dinero a sus respectivos bancos matrices, que pagaban unos intereses que se deducían del impuesto de sociedades en España.</w:t>
      </w:r>
      <w:r>
        <w:rPr>
          <w:rFonts w:ascii="Open Sans" w:hAnsi="Open Sans" w:cs="Open Sans"/>
          <w:sz w:val="20"/>
          <w:szCs w:val="20"/>
        </w:rPr>
        <w:t xml:space="preserve"> </w:t>
      </w:r>
    </w:p>
    <w:p w14:paraId="6F785B31" w14:textId="77777777" w:rsidR="00C86459" w:rsidRPr="0009564E" w:rsidRDefault="00C86459" w:rsidP="00C86459">
      <w:pPr>
        <w:jc w:val="both"/>
        <w:rPr>
          <w:rFonts w:ascii="Open Sans" w:hAnsi="Open Sans" w:cs="Open Sans"/>
          <w:sz w:val="20"/>
          <w:szCs w:val="20"/>
        </w:rPr>
      </w:pPr>
    </w:p>
    <w:p w14:paraId="774F49DA" w14:textId="77777777" w:rsidR="00C86459" w:rsidRDefault="00C86459" w:rsidP="00C86459">
      <w:pPr>
        <w:jc w:val="both"/>
        <w:rPr>
          <w:rFonts w:ascii="Open Sans" w:hAnsi="Open Sans" w:cs="Open Sans"/>
          <w:sz w:val="20"/>
          <w:szCs w:val="20"/>
        </w:rPr>
      </w:pPr>
      <w:r w:rsidRPr="0009564E">
        <w:rPr>
          <w:rFonts w:ascii="Open Sans" w:hAnsi="Open Sans" w:cs="Open Sans"/>
          <w:sz w:val="20"/>
          <w:szCs w:val="20"/>
        </w:rPr>
        <w:t>El pionero fue el Banco Bilbao Vizcaya (BBV), que realizó una emisión de participaciones preferentes de 700 millones de euros en 1998 a través de las Islas Caimán. Luego le</w:t>
      </w:r>
      <w:r>
        <w:rPr>
          <w:rFonts w:ascii="Open Sans" w:hAnsi="Open Sans" w:cs="Open Sans"/>
          <w:sz w:val="20"/>
          <w:szCs w:val="20"/>
        </w:rPr>
        <w:t xml:space="preserve"> siguieron otras muchas entidades</w:t>
      </w:r>
      <w:r w:rsidRPr="0009564E">
        <w:rPr>
          <w:rFonts w:ascii="Open Sans" w:hAnsi="Open Sans" w:cs="Open Sans"/>
          <w:sz w:val="20"/>
          <w:szCs w:val="20"/>
        </w:rPr>
        <w:t>: Santander, Central Hispano, Sabadell, Popular Español y Bankinter, y las cajas La Caixa, Caixa Catalunya, Caja Madrid, Caja España, Caja de Ahorros de Murcia, Caja de Ahorros del Mediterráneo (CAM), Caja de Ahorros de Terrassa, Caja de Ahorros de Castilla-La Mancha, Caja de Ahorros de Santander y Cantabria, Caja Sur, El Monte y San Fernando</w:t>
      </w:r>
      <w:r>
        <w:rPr>
          <w:rStyle w:val="Refdenotaalpie"/>
          <w:rFonts w:ascii="Open Sans" w:hAnsi="Open Sans" w:cs="Open Sans"/>
          <w:sz w:val="20"/>
          <w:szCs w:val="20"/>
        </w:rPr>
        <w:footnoteReference w:id="477"/>
      </w:r>
      <w:r w:rsidRPr="0009564E">
        <w:rPr>
          <w:rFonts w:ascii="Open Sans" w:hAnsi="Open Sans" w:cs="Open Sans"/>
          <w:sz w:val="20"/>
          <w:szCs w:val="20"/>
        </w:rPr>
        <w:t>.</w:t>
      </w:r>
    </w:p>
    <w:p w14:paraId="37D1357E" w14:textId="77777777" w:rsidR="00C86459" w:rsidRPr="00D5426F" w:rsidRDefault="00C86459" w:rsidP="00C86459">
      <w:pPr>
        <w:jc w:val="both"/>
        <w:rPr>
          <w:rFonts w:ascii="Open Sans" w:hAnsi="Open Sans" w:cs="Open Sans"/>
          <w:sz w:val="20"/>
          <w:szCs w:val="20"/>
        </w:rPr>
      </w:pPr>
    </w:p>
    <w:p w14:paraId="6FFE0201" w14:textId="77777777" w:rsidR="00C86459" w:rsidRPr="00717DFE" w:rsidRDefault="00C86459" w:rsidP="00C86459">
      <w:pPr>
        <w:autoSpaceDE w:val="0"/>
        <w:autoSpaceDN w:val="0"/>
        <w:adjustRightInd w:val="0"/>
        <w:jc w:val="both"/>
        <w:rPr>
          <w:rFonts w:ascii="Open Sans" w:hAnsi="Open Sans" w:cs="Open Sans"/>
          <w:sz w:val="20"/>
          <w:szCs w:val="20"/>
        </w:rPr>
      </w:pPr>
      <w:r w:rsidRPr="00D5426F">
        <w:rPr>
          <w:rFonts w:ascii="Open Sans" w:hAnsi="Open Sans" w:cs="Open Sans"/>
          <w:sz w:val="20"/>
          <w:szCs w:val="20"/>
        </w:rPr>
        <w:t>En el análisis realizado sobre la calidad información del ejercicio</w:t>
      </w:r>
      <w:r w:rsidRPr="00717DFE">
        <w:rPr>
          <w:rFonts w:ascii="Open Sans" w:hAnsi="Open Sans" w:cs="Open Sans"/>
          <w:sz w:val="20"/>
          <w:szCs w:val="20"/>
        </w:rPr>
        <w:t xml:space="preserve"> 2014, se comentó que cada vez es mayor el número de investigaciones que establecen una relación entre fiscalidad y derechos humanos, y más concretamente que consideran el impacto de la política fiscal y tributaria en el disfrute de los derechos humanos de las personas que viven en la pobreza. Las investigaciones apuntan a que bajos niveles de ingreso fiscales nacionales, en particular, podrían ser un obstáculo importante para el cumplimiento de la obligación del Estado de garantizar los derechos humanos. Este es uno de las motivaciones por los que BBVA afirma aplicar criterios de Responsabilidad fiscal “</w:t>
      </w:r>
      <w:r w:rsidRPr="00717DFE">
        <w:rPr>
          <w:rFonts w:ascii="Open Sans" w:hAnsi="Open Sans" w:cs="TT1CEt00"/>
          <w:i/>
          <w:sz w:val="20"/>
          <w:szCs w:val="20"/>
        </w:rPr>
        <w:t>En BBVA somos conscientes que los ingresos tributarios juegan un papel fundamental para financiar los servicios públicos que los gobiernos proporcionan a los ciudadanos…es especialmente importante en los países emergentes donde los ingresos tributarios juegan un papel clave desde un punto de vista de derechos humanos, ya que muchas personas viven en situaciones de extrema pobreza y dependen de las propias  instituciones públicas</w:t>
      </w:r>
      <w:r w:rsidRPr="00717DFE">
        <w:rPr>
          <w:rFonts w:ascii="Open Sans" w:hAnsi="Open Sans" w:cs="TT1CEt00"/>
          <w:sz w:val="20"/>
          <w:szCs w:val="20"/>
        </w:rPr>
        <w:t>”</w:t>
      </w:r>
      <w:r>
        <w:rPr>
          <w:rStyle w:val="Refdenotaalpie"/>
          <w:rFonts w:ascii="Open Sans" w:hAnsi="Open Sans" w:cs="TT1CEt00"/>
          <w:sz w:val="20"/>
          <w:szCs w:val="20"/>
        </w:rPr>
        <w:footnoteReference w:id="478"/>
      </w:r>
    </w:p>
    <w:p w14:paraId="7E9FDB64" w14:textId="77777777" w:rsidR="00C86459" w:rsidRDefault="00C86459" w:rsidP="00C86459">
      <w:pPr>
        <w:jc w:val="both"/>
        <w:rPr>
          <w:rFonts w:ascii="Open Sans" w:hAnsi="Open Sans" w:cs="Open Sans"/>
          <w:b/>
          <w:sz w:val="20"/>
          <w:szCs w:val="20"/>
        </w:rPr>
      </w:pPr>
    </w:p>
    <w:p w14:paraId="55B0956C" w14:textId="77777777" w:rsidR="00C86459" w:rsidRDefault="00C86459" w:rsidP="00C86459">
      <w:pPr>
        <w:jc w:val="both"/>
        <w:rPr>
          <w:rFonts w:ascii="Open Sans" w:hAnsi="Open Sans" w:cs="BBVAWebBook"/>
          <w:sz w:val="20"/>
          <w:szCs w:val="20"/>
        </w:rPr>
      </w:pPr>
      <w:r w:rsidRPr="00D5426F">
        <w:rPr>
          <w:rFonts w:ascii="Open Sans" w:hAnsi="Open Sans" w:cs="Open Sans"/>
          <w:sz w:val="20"/>
          <w:szCs w:val="20"/>
        </w:rPr>
        <w:t>En 2015, la entidad a través del Consejo de Administración aprobó la</w:t>
      </w:r>
      <w:r>
        <w:rPr>
          <w:rFonts w:ascii="Open Sans" w:hAnsi="Open Sans" w:cs="Open Sans"/>
          <w:sz w:val="20"/>
          <w:szCs w:val="20"/>
        </w:rPr>
        <w:t xml:space="preserve"> </w:t>
      </w:r>
      <w:r w:rsidRPr="00516CA5">
        <w:rPr>
          <w:rFonts w:ascii="Open Sans" w:hAnsi="Open Sans" w:cs="BBVAWebBook"/>
          <w:sz w:val="20"/>
          <w:szCs w:val="20"/>
        </w:rPr>
        <w:t xml:space="preserve">Estrategia Fiscal </w:t>
      </w:r>
      <w:r>
        <w:rPr>
          <w:rFonts w:ascii="Open Sans" w:hAnsi="Open Sans" w:cs="BBVAWebBook"/>
          <w:sz w:val="20"/>
          <w:szCs w:val="20"/>
        </w:rPr>
        <w:t xml:space="preserve">del Grupo </w:t>
      </w:r>
      <w:r w:rsidRPr="00516CA5">
        <w:rPr>
          <w:rFonts w:ascii="Open Sans" w:hAnsi="Open Sans" w:cs="BBVAWebBook"/>
          <w:sz w:val="20"/>
          <w:szCs w:val="20"/>
        </w:rPr>
        <w:t>bajo el nombre de “</w:t>
      </w:r>
      <w:r w:rsidRPr="00D5426F">
        <w:rPr>
          <w:rFonts w:ascii="Open Sans" w:hAnsi="Open Sans" w:cs="BBVAWebBook"/>
          <w:i/>
          <w:sz w:val="20"/>
          <w:szCs w:val="20"/>
        </w:rPr>
        <w:t>Principios Corporativos en materia tributaria y estrategia fiscal</w:t>
      </w:r>
      <w:r>
        <w:rPr>
          <w:rFonts w:ascii="Open Sans" w:hAnsi="Open Sans" w:cs="BBVAWebBook"/>
          <w:sz w:val="20"/>
          <w:szCs w:val="20"/>
        </w:rPr>
        <w:t>” en la que establece</w:t>
      </w:r>
      <w:r w:rsidRPr="00516CA5">
        <w:rPr>
          <w:rFonts w:ascii="Open Sans" w:hAnsi="Open Sans" w:cs="BBVAWebBook"/>
          <w:sz w:val="20"/>
          <w:szCs w:val="20"/>
        </w:rPr>
        <w:t xml:space="preserve"> las políticas, principios y valores que deben guiar el comportamiento del Grupo en materia tributaria. Tiene un alcance global y </w:t>
      </w:r>
      <w:proofErr w:type="gramStart"/>
      <w:r w:rsidRPr="00516CA5">
        <w:rPr>
          <w:rFonts w:ascii="Open Sans" w:hAnsi="Open Sans" w:cs="BBVAWebBook"/>
          <w:sz w:val="20"/>
          <w:szCs w:val="20"/>
        </w:rPr>
        <w:t>afecta</w:t>
      </w:r>
      <w:proofErr w:type="gramEnd"/>
      <w:r w:rsidRPr="00516CA5">
        <w:rPr>
          <w:rFonts w:ascii="Open Sans" w:hAnsi="Open Sans" w:cs="BBVAWebBook"/>
          <w:sz w:val="20"/>
          <w:szCs w:val="20"/>
        </w:rPr>
        <w:t xml:space="preserve"> a todas las personas que forman parte del Banco. </w:t>
      </w:r>
    </w:p>
    <w:p w14:paraId="72612114" w14:textId="77777777" w:rsidR="00C86459" w:rsidRDefault="00C86459" w:rsidP="00C86459">
      <w:pPr>
        <w:jc w:val="both"/>
        <w:rPr>
          <w:rFonts w:ascii="Open Sans" w:hAnsi="Open Sans" w:cs="BBVAWebBook"/>
          <w:sz w:val="20"/>
          <w:szCs w:val="20"/>
        </w:rPr>
      </w:pPr>
    </w:p>
    <w:p w14:paraId="133EFC19" w14:textId="77777777" w:rsidR="00C86459" w:rsidRPr="00F5076A" w:rsidRDefault="00C86459" w:rsidP="00C86459">
      <w:pPr>
        <w:jc w:val="both"/>
        <w:rPr>
          <w:rFonts w:ascii="Open Sans" w:hAnsi="Open Sans" w:cs="Open Sans"/>
          <w:sz w:val="20"/>
          <w:szCs w:val="20"/>
        </w:rPr>
      </w:pPr>
      <w:r w:rsidRPr="00F5076A">
        <w:rPr>
          <w:rFonts w:ascii="Open Sans" w:hAnsi="Open Sans" w:cs="Open Sans"/>
          <w:sz w:val="20"/>
          <w:szCs w:val="20"/>
        </w:rPr>
        <w:t xml:space="preserve">BBVA </w:t>
      </w:r>
      <w:r>
        <w:rPr>
          <w:rFonts w:ascii="Open Sans" w:hAnsi="Open Sans" w:cs="Open Sans"/>
          <w:sz w:val="20"/>
          <w:szCs w:val="20"/>
        </w:rPr>
        <w:t xml:space="preserve">dice así </w:t>
      </w:r>
      <w:r w:rsidRPr="00F5076A">
        <w:rPr>
          <w:rFonts w:ascii="Open Sans" w:hAnsi="Open Sans" w:cs="Open Sans"/>
          <w:sz w:val="20"/>
          <w:szCs w:val="20"/>
        </w:rPr>
        <w:t>adelanta</w:t>
      </w:r>
      <w:r>
        <w:rPr>
          <w:rFonts w:ascii="Open Sans" w:hAnsi="Open Sans" w:cs="Open Sans"/>
          <w:sz w:val="20"/>
          <w:szCs w:val="20"/>
        </w:rPr>
        <w:t xml:space="preserve">rse </w:t>
      </w:r>
      <w:r w:rsidRPr="00F5076A">
        <w:rPr>
          <w:rFonts w:ascii="Open Sans" w:hAnsi="Open Sans" w:cs="Open Sans"/>
          <w:sz w:val="20"/>
          <w:szCs w:val="20"/>
        </w:rPr>
        <w:t>a la normativa europea para combatir el fraude y la evasión fiscal</w:t>
      </w:r>
      <w:r>
        <w:rPr>
          <w:rFonts w:ascii="Open Sans" w:hAnsi="Open Sans" w:cs="Open Sans"/>
          <w:sz w:val="20"/>
          <w:szCs w:val="20"/>
        </w:rPr>
        <w:t>. Su estrategia fiscal se define</w:t>
      </w:r>
      <w:r w:rsidRPr="00F5076A">
        <w:rPr>
          <w:rFonts w:ascii="Open Sans" w:hAnsi="Open Sans" w:cs="Open Sans"/>
          <w:sz w:val="20"/>
          <w:szCs w:val="20"/>
        </w:rPr>
        <w:t xml:space="preserve"> de acuerdo con las nuevas exigencias de la Ley de Sociedades de Capital, incorporando los objetivos y medidas aprobados por BEPS </w:t>
      </w:r>
      <w:r>
        <w:rPr>
          <w:rFonts w:ascii="Open Sans" w:hAnsi="Open Sans" w:cs="Open Sans"/>
          <w:sz w:val="20"/>
          <w:szCs w:val="20"/>
        </w:rPr>
        <w:t>con el objetivo de</w:t>
      </w:r>
      <w:r w:rsidRPr="00F5076A">
        <w:rPr>
          <w:rFonts w:ascii="Open Sans" w:hAnsi="Open Sans" w:cs="Open Sans"/>
          <w:sz w:val="20"/>
          <w:szCs w:val="20"/>
        </w:rPr>
        <w:t xml:space="preserve"> prevenir y controlar los riesgos fiscales y mejorar la transparencia fiscal y la responsabilidad social corporativa</w:t>
      </w:r>
      <w:r>
        <w:rPr>
          <w:rStyle w:val="Refdenotaalpie"/>
          <w:rFonts w:ascii="Open Sans" w:hAnsi="Open Sans" w:cs="Open Sans"/>
          <w:sz w:val="20"/>
          <w:szCs w:val="20"/>
        </w:rPr>
        <w:footnoteReference w:id="479"/>
      </w:r>
      <w:r w:rsidRPr="00F5076A">
        <w:rPr>
          <w:rFonts w:ascii="Open Sans" w:hAnsi="Open Sans" w:cs="Open Sans"/>
          <w:sz w:val="20"/>
          <w:szCs w:val="20"/>
        </w:rPr>
        <w:t>.</w:t>
      </w:r>
    </w:p>
    <w:p w14:paraId="7259FA0F" w14:textId="77777777" w:rsidR="00C86459" w:rsidRPr="00F5076A" w:rsidRDefault="00C86459" w:rsidP="00C86459">
      <w:pPr>
        <w:jc w:val="both"/>
        <w:rPr>
          <w:rFonts w:ascii="Open Sans" w:hAnsi="Open Sans" w:cs="Open Sans"/>
          <w:sz w:val="20"/>
          <w:szCs w:val="20"/>
        </w:rPr>
      </w:pPr>
    </w:p>
    <w:p w14:paraId="00DB0D63" w14:textId="77777777" w:rsidR="00C86459" w:rsidRDefault="00C86459" w:rsidP="00C86459">
      <w:pPr>
        <w:jc w:val="both"/>
        <w:rPr>
          <w:rFonts w:ascii="Open Sans" w:hAnsi="Open Sans" w:cs="Open Sans"/>
          <w:sz w:val="20"/>
          <w:szCs w:val="20"/>
        </w:rPr>
      </w:pPr>
      <w:r w:rsidRPr="00F5076A">
        <w:rPr>
          <w:rFonts w:ascii="Open Sans" w:hAnsi="Open Sans" w:cs="Open Sans"/>
          <w:sz w:val="20"/>
          <w:szCs w:val="20"/>
        </w:rPr>
        <w:t>Asimismo, desde 2013, BBVA publica cada año el análisis Total Tax Contribution</w:t>
      </w:r>
      <w:r>
        <w:rPr>
          <w:rFonts w:ascii="Open Sans" w:hAnsi="Open Sans" w:cs="Open Sans"/>
          <w:sz w:val="20"/>
          <w:szCs w:val="20"/>
        </w:rPr>
        <w:t xml:space="preserve"> (TTC)</w:t>
      </w:r>
      <w:r w:rsidRPr="00F5076A">
        <w:rPr>
          <w:rFonts w:ascii="Open Sans" w:hAnsi="Open Sans" w:cs="Open Sans"/>
          <w:sz w:val="20"/>
          <w:szCs w:val="20"/>
        </w:rPr>
        <w:t>, siguiendo la contrastada metodología desarrollada por PWC, donde se analiza la contribución tributaria de la entidad, tanto de los impuestos directos como de terceros recaudados</w:t>
      </w:r>
      <w:r>
        <w:rPr>
          <w:rFonts w:ascii="Open Sans" w:hAnsi="Open Sans" w:cs="Open Sans"/>
          <w:sz w:val="20"/>
          <w:szCs w:val="20"/>
        </w:rPr>
        <w:t>.</w:t>
      </w:r>
    </w:p>
    <w:p w14:paraId="6E9D2CDC" w14:textId="77777777" w:rsidR="00C86459" w:rsidRDefault="00C86459" w:rsidP="00C86459">
      <w:pPr>
        <w:jc w:val="both"/>
        <w:rPr>
          <w:rFonts w:ascii="Open Sans" w:hAnsi="Open Sans" w:cs="BBVAWebBook"/>
          <w:sz w:val="20"/>
          <w:szCs w:val="20"/>
        </w:rPr>
      </w:pPr>
    </w:p>
    <w:p w14:paraId="1ECEDFF9" w14:textId="77777777" w:rsidR="00C86459" w:rsidRDefault="00C86459" w:rsidP="00C86459">
      <w:pPr>
        <w:jc w:val="both"/>
        <w:rPr>
          <w:rFonts w:ascii="Open Sans" w:hAnsi="Open Sans" w:cs="Open Sans"/>
          <w:sz w:val="20"/>
          <w:szCs w:val="20"/>
        </w:rPr>
      </w:pPr>
      <w:r>
        <w:rPr>
          <w:rFonts w:ascii="Open Sans" w:hAnsi="Open Sans" w:cs="Open Sans"/>
          <w:sz w:val="20"/>
          <w:szCs w:val="20"/>
        </w:rPr>
        <w:t>Adicionalmente, e</w:t>
      </w:r>
      <w:r w:rsidRPr="00BD1C22">
        <w:rPr>
          <w:rFonts w:ascii="Open Sans" w:hAnsi="Open Sans" w:cs="Open Sans"/>
          <w:sz w:val="20"/>
          <w:szCs w:val="20"/>
        </w:rPr>
        <w:t>n 2015</w:t>
      </w:r>
      <w:r>
        <w:rPr>
          <w:rFonts w:ascii="Open Sans" w:hAnsi="Open Sans" w:cs="Open Sans"/>
          <w:sz w:val="20"/>
          <w:szCs w:val="20"/>
        </w:rPr>
        <w:t xml:space="preserve"> se realizaron otras actuaciones en referencia a su Responsabilidad Social Corporativa:</w:t>
      </w:r>
    </w:p>
    <w:p w14:paraId="01730FA1"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D5426F">
        <w:rPr>
          <w:rFonts w:ascii="Open Sans" w:hAnsi="Open Sans" w:cs="Open Sans"/>
          <w:sz w:val="20"/>
          <w:szCs w:val="20"/>
        </w:rPr>
        <w:t>Adhesión a CSR Europe</w:t>
      </w:r>
      <w:r>
        <w:rPr>
          <w:rStyle w:val="Refdenotaalpie"/>
          <w:rFonts w:ascii="Open Sans" w:hAnsi="Open Sans" w:cs="Open Sans"/>
          <w:sz w:val="20"/>
          <w:szCs w:val="20"/>
        </w:rPr>
        <w:footnoteReference w:id="480"/>
      </w:r>
      <w:r w:rsidRPr="00D5426F">
        <w:rPr>
          <w:rFonts w:ascii="Open Sans" w:hAnsi="Open Sans" w:cs="Open Sans"/>
          <w:sz w:val="20"/>
          <w:szCs w:val="20"/>
        </w:rPr>
        <w:t xml:space="preserve"> (Red Española Europea para la Responsabilidad Social de las Empresas). </w:t>
      </w:r>
    </w:p>
    <w:p w14:paraId="362B417F" w14:textId="77777777" w:rsidR="00C86459" w:rsidRPr="00D5426F"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D5426F">
        <w:rPr>
          <w:rFonts w:ascii="Open Sans" w:hAnsi="Open Sans" w:cs="Open Sans"/>
          <w:sz w:val="20"/>
          <w:szCs w:val="20"/>
        </w:rPr>
        <w:t>Aprobación por parte del Consejo de Administración de la nueva Política de Responsabilidad Social Corporativa del Grupo.</w:t>
      </w:r>
    </w:p>
    <w:p w14:paraId="347C6CD8" w14:textId="77777777" w:rsidR="00C86459" w:rsidRDefault="00C86459" w:rsidP="00C86459">
      <w:pPr>
        <w:jc w:val="both"/>
        <w:rPr>
          <w:rFonts w:ascii="Open Sans" w:hAnsi="Open Sans" w:cs="Open Sans"/>
          <w:sz w:val="20"/>
          <w:szCs w:val="20"/>
        </w:rPr>
      </w:pPr>
    </w:p>
    <w:p w14:paraId="24687941" w14:textId="77777777" w:rsidR="00C86459" w:rsidRDefault="00C86459" w:rsidP="00C86459">
      <w:pPr>
        <w:tabs>
          <w:tab w:val="left" w:pos="5790"/>
        </w:tabs>
        <w:jc w:val="both"/>
        <w:rPr>
          <w:rFonts w:ascii="Open Sans" w:hAnsi="Open Sans" w:cs="Open Sans"/>
          <w:sz w:val="20"/>
          <w:szCs w:val="20"/>
        </w:rPr>
      </w:pPr>
    </w:p>
    <w:p w14:paraId="570083D6" w14:textId="77777777" w:rsidR="00C86459" w:rsidRPr="00071D21" w:rsidRDefault="00C86459" w:rsidP="00C86459">
      <w:pPr>
        <w:jc w:val="both"/>
        <w:rPr>
          <w:rFonts w:ascii="Open Sans" w:hAnsi="Open Sans" w:cs="Open Sans"/>
          <w:sz w:val="20"/>
          <w:szCs w:val="20"/>
        </w:rPr>
      </w:pPr>
      <w:r w:rsidRPr="00071D21">
        <w:rPr>
          <w:rFonts w:ascii="Open Sans" w:hAnsi="Open Sans" w:cs="Open Sans"/>
          <w:sz w:val="20"/>
          <w:szCs w:val="20"/>
        </w:rPr>
        <w:t>El grupo informa que cotizó en los siguientes índices bursátiles de inversión socialmente responsable en 2015:</w:t>
      </w:r>
    </w:p>
    <w:p w14:paraId="49CE7EAF" w14:textId="77777777" w:rsidR="00C86459" w:rsidRPr="00071D21" w:rsidRDefault="00C86459" w:rsidP="00C86459">
      <w:pPr>
        <w:jc w:val="both"/>
        <w:rPr>
          <w:rFonts w:ascii="Open Sans" w:hAnsi="Open Sans" w:cs="Open Sans"/>
          <w:sz w:val="20"/>
          <w:szCs w:val="20"/>
        </w:rPr>
      </w:pPr>
    </w:p>
    <w:p w14:paraId="11DEE687"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MSCI Global Sustainability</w:t>
      </w:r>
    </w:p>
    <w:p w14:paraId="2F3E928D"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FTSE4Good Global</w:t>
      </w:r>
    </w:p>
    <w:p w14:paraId="0E88E5F8"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FTSE4Good Europe</w:t>
      </w:r>
    </w:p>
    <w:p w14:paraId="34EB1E28"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FTSE4Good Ibex</w:t>
      </w:r>
    </w:p>
    <w:p w14:paraId="3AF0ADD0"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 xml:space="preserve">Euronext </w:t>
      </w:r>
      <w:r w:rsidRPr="00071D21">
        <w:rPr>
          <w:rFonts w:ascii="Open Sans" w:hAnsi="Open Sans" w:cs="Open Sans"/>
          <w:sz w:val="20"/>
          <w:szCs w:val="20"/>
        </w:rPr>
        <w:t>Vigeo Europe 120</w:t>
      </w:r>
    </w:p>
    <w:p w14:paraId="3E48D0C4"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 xml:space="preserve">Euronext </w:t>
      </w:r>
      <w:r w:rsidRPr="00071D21">
        <w:rPr>
          <w:rFonts w:ascii="Open Sans" w:hAnsi="Open Sans" w:cs="Open Sans"/>
          <w:sz w:val="20"/>
          <w:szCs w:val="20"/>
        </w:rPr>
        <w:t>Vigeo Eurozone 120</w:t>
      </w:r>
    </w:p>
    <w:p w14:paraId="0A7DBEA1"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DJSI World</w:t>
      </w:r>
    </w:p>
    <w:p w14:paraId="1506EEA6"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DJSI Europe</w:t>
      </w:r>
    </w:p>
    <w:p w14:paraId="45FE06B5"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STOXX Gobal</w:t>
      </w:r>
    </w:p>
    <w:p w14:paraId="3D5434A2"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Europe ESG Leaders</w:t>
      </w:r>
    </w:p>
    <w:p w14:paraId="6273ED63"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Corporated Responsability Primed</w:t>
      </w:r>
    </w:p>
    <w:p w14:paraId="1466D432"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Ethibel Excellence Investment Register</w:t>
      </w:r>
    </w:p>
    <w:p w14:paraId="47E744DA"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CDP</w:t>
      </w:r>
    </w:p>
    <w:p w14:paraId="0E492C00" w14:textId="77777777" w:rsidR="00C86459" w:rsidRPr="00F243A7" w:rsidRDefault="00C86459" w:rsidP="00C86459">
      <w:pPr>
        <w:jc w:val="both"/>
        <w:rPr>
          <w:rFonts w:ascii="Open Sans" w:hAnsi="Open Sans" w:cs="Open Sans"/>
          <w:sz w:val="20"/>
          <w:szCs w:val="20"/>
          <w:highlight w:val="yellow"/>
        </w:rPr>
      </w:pPr>
    </w:p>
    <w:p w14:paraId="2829B672" w14:textId="77777777" w:rsidR="00C86459" w:rsidRPr="00F243A7" w:rsidRDefault="00C86459" w:rsidP="00C86459">
      <w:pPr>
        <w:jc w:val="both"/>
        <w:rPr>
          <w:rFonts w:ascii="Open Sans" w:hAnsi="Open Sans" w:cs="Open Sans"/>
          <w:sz w:val="20"/>
          <w:szCs w:val="20"/>
          <w:highlight w:val="yellow"/>
        </w:rPr>
      </w:pPr>
    </w:p>
    <w:p w14:paraId="634900F7" w14:textId="77777777" w:rsidR="00C86459" w:rsidRPr="00071D21" w:rsidRDefault="00C86459" w:rsidP="00C86459">
      <w:pPr>
        <w:jc w:val="both"/>
        <w:rPr>
          <w:rFonts w:ascii="Open Sans" w:hAnsi="Open Sans" w:cs="Open Sans"/>
          <w:sz w:val="20"/>
          <w:szCs w:val="20"/>
        </w:rPr>
      </w:pPr>
      <w:r w:rsidRPr="00071D21">
        <w:rPr>
          <w:rFonts w:ascii="Open Sans" w:hAnsi="Open Sans" w:cs="Open Sans"/>
          <w:sz w:val="20"/>
          <w:szCs w:val="20"/>
        </w:rPr>
        <w:t>Así mismo, BBVA informa sobre su compromiso con el cumplimiento de normativa y estándares internacionales, entre ellos menciona la Declaración Universal de Derechos Humanos, la normativa laboral básica de la OIT, y otros convenios y tratados de instituciones internacionales como la OCDE.</w:t>
      </w:r>
    </w:p>
    <w:p w14:paraId="02B6DD80" w14:textId="77777777" w:rsidR="00C86459" w:rsidRPr="00071D21" w:rsidRDefault="00C86459" w:rsidP="00C86459">
      <w:pPr>
        <w:jc w:val="both"/>
        <w:rPr>
          <w:rFonts w:ascii="Open Sans" w:hAnsi="Open Sans" w:cs="Open Sans"/>
          <w:sz w:val="20"/>
          <w:szCs w:val="20"/>
        </w:rPr>
      </w:pPr>
      <w:r w:rsidRPr="00071D21">
        <w:rPr>
          <w:rFonts w:ascii="Open Sans" w:hAnsi="Open Sans" w:cs="Open Sans"/>
          <w:sz w:val="20"/>
          <w:szCs w:val="20"/>
        </w:rPr>
        <w:t xml:space="preserve"> </w:t>
      </w:r>
    </w:p>
    <w:p w14:paraId="3C5C1BD7" w14:textId="77777777" w:rsidR="00C86459" w:rsidRPr="00071D21" w:rsidRDefault="00C86459" w:rsidP="00C86459">
      <w:pPr>
        <w:jc w:val="both"/>
        <w:rPr>
          <w:rFonts w:ascii="Open Sans" w:hAnsi="Open Sans" w:cs="Open Sans"/>
          <w:sz w:val="20"/>
          <w:szCs w:val="20"/>
        </w:rPr>
      </w:pPr>
    </w:p>
    <w:p w14:paraId="34A4E49F" w14:textId="77777777" w:rsidR="00C86459" w:rsidRPr="00071D21" w:rsidRDefault="00C86459" w:rsidP="00C86459">
      <w:pPr>
        <w:jc w:val="both"/>
        <w:rPr>
          <w:rFonts w:ascii="Open Sans" w:hAnsi="Open Sans" w:cs="Open Sans"/>
          <w:sz w:val="20"/>
          <w:szCs w:val="20"/>
        </w:rPr>
      </w:pPr>
      <w:r w:rsidRPr="00071D21">
        <w:rPr>
          <w:rFonts w:ascii="Open Sans" w:hAnsi="Open Sans" w:cs="Open Sans"/>
          <w:sz w:val="20"/>
          <w:szCs w:val="20"/>
        </w:rPr>
        <w:t>El grupo se ha adherido voluntariamente a los siguientes estándares relacionados con contenidos y sistemas de gestión de RSC:</w:t>
      </w:r>
    </w:p>
    <w:p w14:paraId="34E36641" w14:textId="77777777" w:rsidR="00C86459" w:rsidRPr="00071D21" w:rsidRDefault="00C86459" w:rsidP="00C86459">
      <w:pPr>
        <w:jc w:val="both"/>
        <w:rPr>
          <w:rFonts w:ascii="Open Sans" w:hAnsi="Open Sans" w:cs="Open Sans"/>
          <w:sz w:val="20"/>
          <w:szCs w:val="20"/>
        </w:rPr>
      </w:pPr>
    </w:p>
    <w:p w14:paraId="12D691D3"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 xml:space="preserve">Pacto Mundial de Naciones </w:t>
      </w:r>
      <w:r>
        <w:rPr>
          <w:rFonts w:ascii="Open Sans" w:hAnsi="Open Sans" w:cs="Open Sans"/>
          <w:sz w:val="20"/>
          <w:szCs w:val="20"/>
        </w:rPr>
        <w:t>Unidas</w:t>
      </w:r>
    </w:p>
    <w:p w14:paraId="4CA506B2"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I</w:t>
      </w:r>
      <w:r>
        <w:rPr>
          <w:rFonts w:ascii="Open Sans" w:hAnsi="Open Sans" w:cs="Open Sans"/>
          <w:sz w:val="20"/>
          <w:szCs w:val="20"/>
        </w:rPr>
        <w:t>n</w:t>
      </w:r>
      <w:r w:rsidRPr="00071D21">
        <w:rPr>
          <w:rFonts w:ascii="Open Sans" w:hAnsi="Open Sans" w:cs="Open Sans"/>
          <w:sz w:val="20"/>
          <w:szCs w:val="20"/>
        </w:rPr>
        <w:t>iciativa para Instituciones Financieras del Programa de Naciones Unidas para el Medio Ambiente (UNEP-FI)</w:t>
      </w:r>
    </w:p>
    <w:p w14:paraId="71FEB998"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 xml:space="preserve">Principios de </w:t>
      </w:r>
      <w:r>
        <w:rPr>
          <w:rFonts w:ascii="Open Sans" w:hAnsi="Open Sans" w:cs="Open Sans"/>
          <w:sz w:val="20"/>
          <w:szCs w:val="20"/>
        </w:rPr>
        <w:t>Ecuador</w:t>
      </w:r>
    </w:p>
    <w:p w14:paraId="542301BD" w14:textId="77777777" w:rsidR="00C86459" w:rsidRPr="00071D21"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071D21">
        <w:rPr>
          <w:rFonts w:ascii="Open Sans" w:hAnsi="Open Sans" w:cs="Open Sans"/>
          <w:sz w:val="20"/>
          <w:szCs w:val="20"/>
        </w:rPr>
        <w:t>Principios para la inversión responsable de Naciones Unidas (UNPRI)</w:t>
      </w:r>
    </w:p>
    <w:p w14:paraId="5E06A3DF"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International Integrated Reporting Council</w:t>
      </w:r>
    </w:p>
    <w:p w14:paraId="3FC997A6"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Carbon Disclosure Project</w:t>
      </w:r>
    </w:p>
    <w:p w14:paraId="33CB9BE3"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Thun Group sobre bancos y derechos humanos</w:t>
      </w:r>
    </w:p>
    <w:p w14:paraId="2528327A"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Natural Capital Declaration</w:t>
      </w:r>
    </w:p>
    <w:p w14:paraId="12253216"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6F6A97">
        <w:rPr>
          <w:rFonts w:ascii="Open Sans" w:hAnsi="Open Sans" w:cs="Open Sans"/>
          <w:sz w:val="20"/>
          <w:szCs w:val="20"/>
        </w:rPr>
        <w:t>Global Initiative for Sustainaibility Index</w:t>
      </w:r>
    </w:p>
    <w:p w14:paraId="37FF3F93"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6F6A97">
        <w:rPr>
          <w:rFonts w:ascii="Open Sans" w:hAnsi="Open Sans" w:cs="Open Sans"/>
          <w:sz w:val="20"/>
          <w:szCs w:val="20"/>
        </w:rPr>
        <w:t>Gr</w:t>
      </w:r>
      <w:r>
        <w:rPr>
          <w:rFonts w:ascii="Open Sans" w:hAnsi="Open Sans" w:cs="Open Sans"/>
          <w:sz w:val="20"/>
          <w:szCs w:val="20"/>
        </w:rPr>
        <w:t>e</w:t>
      </w:r>
      <w:r w:rsidRPr="006F6A97">
        <w:rPr>
          <w:rFonts w:ascii="Open Sans" w:hAnsi="Open Sans" w:cs="Open Sans"/>
          <w:sz w:val="20"/>
          <w:szCs w:val="20"/>
        </w:rPr>
        <w:t>en Bond Principles</w:t>
      </w:r>
    </w:p>
    <w:p w14:paraId="5636AC1D" w14:textId="77777777" w:rsidR="00C86459" w:rsidRDefault="00C86459" w:rsidP="00C86459">
      <w:pPr>
        <w:ind w:left="720"/>
        <w:jc w:val="both"/>
        <w:rPr>
          <w:rFonts w:ascii="Open Sans" w:hAnsi="Open Sans" w:cs="Open Sans"/>
          <w:sz w:val="20"/>
          <w:szCs w:val="20"/>
        </w:rPr>
      </w:pPr>
    </w:p>
    <w:p w14:paraId="0A75B9D8" w14:textId="77777777" w:rsidR="00C86459" w:rsidRDefault="00C86459" w:rsidP="00C86459">
      <w:pPr>
        <w:jc w:val="both"/>
        <w:rPr>
          <w:rFonts w:ascii="Open Sans" w:hAnsi="Open Sans" w:cs="Arial"/>
          <w:sz w:val="20"/>
          <w:szCs w:val="20"/>
        </w:rPr>
      </w:pPr>
    </w:p>
    <w:p w14:paraId="616736C2" w14:textId="77777777" w:rsidR="00C86459" w:rsidRDefault="00C86459" w:rsidP="00C86459">
      <w:pPr>
        <w:jc w:val="both"/>
        <w:rPr>
          <w:rFonts w:ascii="Open Sans" w:hAnsi="Open Sans" w:cs="Arial"/>
          <w:sz w:val="20"/>
          <w:szCs w:val="20"/>
        </w:rPr>
      </w:pPr>
      <w:r>
        <w:rPr>
          <w:rFonts w:ascii="Open Sans" w:hAnsi="Open Sans" w:cs="Arial"/>
          <w:sz w:val="20"/>
          <w:szCs w:val="20"/>
        </w:rPr>
        <w:t xml:space="preserve">BBVA informa sobre su compromiso con el cumplimiento de normativa y estándares internacionales, entre ellos menciona la Declaración Universal de Derechos Humanos y las Líneas Directrices de la OCDE para las empresas multinacionales. </w:t>
      </w:r>
    </w:p>
    <w:p w14:paraId="4FAC9F85" w14:textId="77777777" w:rsidR="00C86459" w:rsidRDefault="00C86459" w:rsidP="00C86459">
      <w:pPr>
        <w:rPr>
          <w:rFonts w:ascii="Open Sans" w:hAnsi="Open Sans" w:cs="Open Sans"/>
          <w:sz w:val="20"/>
          <w:szCs w:val="20"/>
        </w:rPr>
      </w:pPr>
    </w:p>
    <w:p w14:paraId="2C709280" w14:textId="77777777" w:rsidR="00C86459" w:rsidRDefault="00C86459" w:rsidP="00C86459">
      <w:pPr>
        <w:jc w:val="both"/>
        <w:rPr>
          <w:rFonts w:ascii="Open Sans" w:hAnsi="Open Sans" w:cs="Open Sans"/>
          <w:sz w:val="20"/>
          <w:szCs w:val="20"/>
        </w:rPr>
      </w:pPr>
    </w:p>
    <w:p w14:paraId="75B10287" w14:textId="77777777" w:rsidR="00C86459" w:rsidRPr="0042225F" w:rsidRDefault="00C86459" w:rsidP="00C86459">
      <w:pPr>
        <w:jc w:val="both"/>
      </w:pPr>
      <w:r>
        <w:rPr>
          <w:rFonts w:ascii="Open Sans" w:hAnsi="Open Sans" w:cs="Arial"/>
          <w:b/>
          <w:sz w:val="22"/>
          <w:szCs w:val="22"/>
          <w:u w:val="single"/>
        </w:rPr>
        <w:t>4. Análisis</w:t>
      </w:r>
      <w:r>
        <w:rPr>
          <w:rFonts w:ascii="Open Sans" w:hAnsi="Open Sans" w:cs="Open Sans"/>
          <w:b/>
          <w:sz w:val="22"/>
        </w:rPr>
        <w:t xml:space="preserve"> </w:t>
      </w:r>
    </w:p>
    <w:p w14:paraId="22BAE091" w14:textId="77777777" w:rsidR="00C86459" w:rsidRPr="00C10B1E" w:rsidRDefault="00C86459" w:rsidP="00C86459">
      <w:pPr>
        <w:jc w:val="both"/>
        <w:rPr>
          <w:rFonts w:ascii="Open Sans" w:hAnsi="Open Sans" w:cs="Arial"/>
          <w:b/>
          <w:sz w:val="20"/>
          <w:szCs w:val="20"/>
        </w:rPr>
      </w:pPr>
    </w:p>
    <w:p w14:paraId="7645E753" w14:textId="77777777" w:rsidR="00C86459" w:rsidRDefault="00C86459" w:rsidP="00C86459">
      <w:pPr>
        <w:jc w:val="both"/>
        <w:rPr>
          <w:rFonts w:ascii="Open Sans" w:hAnsi="Open Sans" w:cs="Arial"/>
          <w:bCs/>
          <w:sz w:val="20"/>
          <w:szCs w:val="22"/>
        </w:rPr>
      </w:pPr>
      <w:r w:rsidRPr="00C10B1E">
        <w:rPr>
          <w:rFonts w:ascii="Open Sans" w:hAnsi="Open Sans" w:cs="Arial"/>
          <w:sz w:val="20"/>
          <w:szCs w:val="20"/>
        </w:rPr>
        <w:t xml:space="preserve">Un año más, </w:t>
      </w:r>
      <w:r w:rsidRPr="00C10B1E">
        <w:rPr>
          <w:rFonts w:ascii="Open Sans" w:hAnsi="Open Sans" w:cs="Arial"/>
          <w:bCs/>
          <w:sz w:val="20"/>
          <w:szCs w:val="20"/>
        </w:rPr>
        <w:t xml:space="preserve">BBVA hace una amplia exposición de su compromiso con la sociedad en su </w:t>
      </w:r>
      <w:r>
        <w:rPr>
          <w:rFonts w:ascii="Open Sans" w:hAnsi="Open Sans" w:cs="Arial"/>
          <w:bCs/>
          <w:sz w:val="20"/>
          <w:szCs w:val="20"/>
        </w:rPr>
        <w:t>informe BBVA en 2015 (Informe Anual Integrado)</w:t>
      </w:r>
      <w:r w:rsidRPr="00C10B1E">
        <w:rPr>
          <w:rFonts w:ascii="Open Sans" w:hAnsi="Open Sans" w:cs="Arial"/>
          <w:bCs/>
          <w:sz w:val="20"/>
          <w:szCs w:val="20"/>
        </w:rPr>
        <w:t>. Dentro</w:t>
      </w:r>
      <w:r>
        <w:rPr>
          <w:rFonts w:ascii="Open Sans" w:hAnsi="Open Sans" w:cs="Arial"/>
          <w:bCs/>
          <w:sz w:val="20"/>
          <w:szCs w:val="22"/>
        </w:rPr>
        <w:t xml:space="preserve"> de este ámbito, uno de los elementos más importantes a la hora de valorar la aportación que hace en los países en los que tiene actividad es el pago de impuestos. El banco incluye en su informe un cuadro en el que aparecen los impuestos propios que satisface, la recaudación de tributos de terceros generados por el desarrollo de su actividad económica y los tributos recaudados de terceros en el ámbito de su función de entidad colaboradora de las administraciones tributarias. </w:t>
      </w:r>
    </w:p>
    <w:p w14:paraId="72C85462" w14:textId="77777777" w:rsidR="00C86459" w:rsidRDefault="00C86459" w:rsidP="00C86459">
      <w:pPr>
        <w:jc w:val="both"/>
        <w:rPr>
          <w:rFonts w:ascii="Open Sans" w:hAnsi="Open Sans" w:cs="Arial"/>
          <w:b/>
          <w:sz w:val="22"/>
          <w:szCs w:val="22"/>
        </w:rPr>
      </w:pPr>
    </w:p>
    <w:p w14:paraId="0A5A2FE9" w14:textId="77777777" w:rsidR="00C86459" w:rsidRDefault="00C86459" w:rsidP="00C86459">
      <w:pPr>
        <w:jc w:val="both"/>
        <w:rPr>
          <w:rFonts w:ascii="Open Sans" w:hAnsi="Open Sans" w:cs="Arial"/>
          <w:b/>
          <w:sz w:val="22"/>
          <w:szCs w:val="22"/>
        </w:rPr>
      </w:pPr>
    </w:p>
    <w:p w14:paraId="40ECBE4F" w14:textId="77777777" w:rsidR="00C86459" w:rsidRDefault="00C86459" w:rsidP="00C86459">
      <w:pPr>
        <w:jc w:val="center"/>
        <w:rPr>
          <w:rFonts w:ascii="Open Sans" w:hAnsi="Open Sans" w:cs="Arial"/>
          <w:b/>
          <w:sz w:val="22"/>
          <w:szCs w:val="22"/>
        </w:rPr>
      </w:pPr>
      <w:r w:rsidRPr="00E22C00">
        <w:rPr>
          <w:noProof/>
          <w:lang w:val="es-ES"/>
        </w:rPr>
        <w:drawing>
          <wp:inline distT="0" distB="0" distL="0" distR="0" wp14:anchorId="537A98BC" wp14:editId="214252E5">
            <wp:extent cx="4476750" cy="1762125"/>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4476750" cy="1762125"/>
                    </a:xfrm>
                    <a:prstGeom prst="rect">
                      <a:avLst/>
                    </a:prstGeom>
                    <a:noFill/>
                    <a:ln>
                      <a:noFill/>
                    </a:ln>
                  </pic:spPr>
                </pic:pic>
              </a:graphicData>
            </a:graphic>
          </wp:inline>
        </w:drawing>
      </w:r>
    </w:p>
    <w:p w14:paraId="554DAD2C" w14:textId="77777777" w:rsidR="00C86459" w:rsidRPr="00C10B1E" w:rsidRDefault="00C86459" w:rsidP="00C86459">
      <w:pPr>
        <w:jc w:val="center"/>
        <w:rPr>
          <w:rFonts w:ascii="Open Sans" w:hAnsi="Open Sans" w:cs="Arial"/>
          <w:sz w:val="16"/>
          <w:szCs w:val="16"/>
        </w:rPr>
      </w:pPr>
      <w:r>
        <w:rPr>
          <w:rFonts w:ascii="Open Sans" w:hAnsi="Open Sans" w:cs="Arial"/>
          <w:sz w:val="16"/>
          <w:szCs w:val="16"/>
        </w:rPr>
        <w:t>Fuente: BBVA en 2015, pg. 205</w:t>
      </w:r>
    </w:p>
    <w:p w14:paraId="1FF94DF9" w14:textId="77777777" w:rsidR="00C86459" w:rsidRDefault="00C86459" w:rsidP="00C86459">
      <w:pPr>
        <w:jc w:val="both"/>
        <w:rPr>
          <w:rFonts w:ascii="Open Sans" w:hAnsi="Open Sans" w:cs="Arial"/>
          <w:b/>
          <w:sz w:val="22"/>
          <w:szCs w:val="22"/>
        </w:rPr>
      </w:pPr>
    </w:p>
    <w:p w14:paraId="3A310CE5" w14:textId="77777777" w:rsidR="00C86459" w:rsidRPr="00CF794F" w:rsidRDefault="00C86459" w:rsidP="00C86459">
      <w:pPr>
        <w:jc w:val="both"/>
        <w:rPr>
          <w:rFonts w:ascii="Open Sans" w:hAnsi="Open Sans" w:cs="Arial"/>
          <w:sz w:val="20"/>
          <w:szCs w:val="20"/>
        </w:rPr>
      </w:pPr>
    </w:p>
    <w:p w14:paraId="06C872F4" w14:textId="77777777" w:rsidR="00C86459" w:rsidRDefault="00C86459" w:rsidP="00C86459">
      <w:pPr>
        <w:jc w:val="both"/>
        <w:rPr>
          <w:rFonts w:ascii="Open Sans" w:hAnsi="Open Sans" w:cs="Arial"/>
          <w:sz w:val="20"/>
          <w:szCs w:val="20"/>
        </w:rPr>
      </w:pPr>
      <w:r>
        <w:rPr>
          <w:rFonts w:ascii="Open Sans" w:hAnsi="Open Sans" w:cs="Arial"/>
          <w:sz w:val="20"/>
          <w:szCs w:val="20"/>
        </w:rPr>
        <w:t>Es necesario recurrir a informes fuera de la memoria para obtener más información sobre los impuestos liquidados. El informe TTC 2015 (Contribución fiscal global correspondiente al ejercicio 2015) presenta el desglose el pago de impuestos directos e indirectos, por tipo de impuesto y por país.</w:t>
      </w:r>
    </w:p>
    <w:p w14:paraId="52EEB23D" w14:textId="77777777" w:rsidR="00C86459" w:rsidRDefault="00C86459" w:rsidP="00C86459">
      <w:pPr>
        <w:jc w:val="both"/>
        <w:rPr>
          <w:rFonts w:ascii="Open Sans" w:hAnsi="Open Sans" w:cs="Arial"/>
          <w:sz w:val="20"/>
          <w:szCs w:val="20"/>
        </w:rPr>
      </w:pPr>
    </w:p>
    <w:p w14:paraId="2A389F76" w14:textId="77777777" w:rsidR="00C86459" w:rsidRDefault="00C86459" w:rsidP="00C86459">
      <w:pPr>
        <w:jc w:val="both"/>
        <w:rPr>
          <w:rFonts w:ascii="Open Sans" w:hAnsi="Open Sans" w:cs="Arial"/>
          <w:sz w:val="20"/>
          <w:szCs w:val="20"/>
        </w:rPr>
      </w:pPr>
      <w:r w:rsidRPr="00E22C00">
        <w:rPr>
          <w:noProof/>
          <w:lang w:val="es-ES"/>
        </w:rPr>
        <w:drawing>
          <wp:inline distT="0" distB="0" distL="0" distR="0" wp14:anchorId="0872D291" wp14:editId="3804C112">
            <wp:extent cx="5467350" cy="3638550"/>
            <wp:effectExtent l="0" t="0" r="0" b="0"/>
            <wp:docPr id="1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5467350" cy="3638550"/>
                    </a:xfrm>
                    <a:prstGeom prst="rect">
                      <a:avLst/>
                    </a:prstGeom>
                    <a:noFill/>
                    <a:ln>
                      <a:noFill/>
                    </a:ln>
                  </pic:spPr>
                </pic:pic>
              </a:graphicData>
            </a:graphic>
          </wp:inline>
        </w:drawing>
      </w:r>
    </w:p>
    <w:p w14:paraId="594A286A" w14:textId="77777777" w:rsidR="00C86459" w:rsidRPr="00075216" w:rsidRDefault="00C86459" w:rsidP="00C86459">
      <w:pPr>
        <w:jc w:val="center"/>
        <w:rPr>
          <w:rFonts w:ascii="Open Sans" w:hAnsi="Open Sans" w:cs="Arial"/>
          <w:sz w:val="18"/>
          <w:szCs w:val="18"/>
        </w:rPr>
      </w:pPr>
      <w:r w:rsidRPr="00075216">
        <w:rPr>
          <w:rFonts w:ascii="Open Sans" w:hAnsi="Open Sans" w:cs="Arial"/>
          <w:sz w:val="18"/>
          <w:szCs w:val="18"/>
        </w:rPr>
        <w:t>Fuente: TTC 2015, pg. 11</w:t>
      </w:r>
    </w:p>
    <w:p w14:paraId="0CFD4D57" w14:textId="77777777" w:rsidR="00C86459" w:rsidRDefault="00C86459" w:rsidP="00C86459">
      <w:pPr>
        <w:jc w:val="both"/>
        <w:rPr>
          <w:rFonts w:ascii="Open Sans" w:hAnsi="Open Sans" w:cs="Arial"/>
          <w:sz w:val="20"/>
          <w:szCs w:val="20"/>
        </w:rPr>
      </w:pPr>
    </w:p>
    <w:p w14:paraId="6C8CCC7B" w14:textId="77777777" w:rsidR="00C86459" w:rsidRDefault="00C86459" w:rsidP="00C86459">
      <w:pPr>
        <w:jc w:val="both"/>
        <w:rPr>
          <w:rFonts w:ascii="Open Sans" w:hAnsi="Open Sans" w:cs="Arial"/>
          <w:sz w:val="20"/>
          <w:szCs w:val="20"/>
        </w:rPr>
      </w:pPr>
    </w:p>
    <w:p w14:paraId="708D8EA1" w14:textId="77777777" w:rsidR="00C86459" w:rsidRDefault="00C86459" w:rsidP="00C86459">
      <w:pPr>
        <w:jc w:val="both"/>
        <w:rPr>
          <w:rFonts w:ascii="Open Sans" w:hAnsi="Open Sans" w:cs="Arial"/>
          <w:sz w:val="20"/>
          <w:szCs w:val="20"/>
        </w:rPr>
      </w:pPr>
      <w:r w:rsidRPr="00CF794F">
        <w:rPr>
          <w:rFonts w:ascii="Open Sans" w:hAnsi="Open Sans" w:cs="Arial"/>
          <w:sz w:val="20"/>
          <w:szCs w:val="20"/>
        </w:rPr>
        <w:t>Así mismo, en las CCAA Consolidadas 2015 se incorpora el Informe Bancario Anual</w:t>
      </w:r>
      <w:r>
        <w:rPr>
          <w:rStyle w:val="Refdenotaalpie"/>
          <w:rFonts w:ascii="Open Sans" w:hAnsi="Open Sans" w:cs="Arial"/>
          <w:sz w:val="20"/>
          <w:szCs w:val="20"/>
        </w:rPr>
        <w:footnoteReference w:id="481"/>
      </w:r>
      <w:r w:rsidRPr="00CF794F">
        <w:rPr>
          <w:rFonts w:ascii="Open Sans" w:hAnsi="Open Sans" w:cs="Arial"/>
          <w:sz w:val="20"/>
          <w:szCs w:val="20"/>
        </w:rPr>
        <w:t>, dónde se recoge, país por país, el Gasto y P</w:t>
      </w:r>
      <w:r>
        <w:rPr>
          <w:rFonts w:ascii="Open Sans" w:hAnsi="Open Sans" w:cs="Arial"/>
          <w:sz w:val="20"/>
          <w:szCs w:val="20"/>
        </w:rPr>
        <w:t xml:space="preserve">agos de Caja por Impuesto de Sociedades, junto a otra información. </w:t>
      </w:r>
    </w:p>
    <w:p w14:paraId="01A5B1C0" w14:textId="77777777" w:rsidR="00C86459" w:rsidRPr="00CF794F" w:rsidRDefault="00C86459" w:rsidP="00C86459">
      <w:pPr>
        <w:jc w:val="both"/>
        <w:rPr>
          <w:rFonts w:ascii="Open Sans" w:hAnsi="Open Sans" w:cs="Arial"/>
          <w:sz w:val="20"/>
          <w:szCs w:val="20"/>
        </w:rPr>
      </w:pPr>
    </w:p>
    <w:p w14:paraId="4CA0BE95" w14:textId="77777777" w:rsidR="00C86459" w:rsidRDefault="00C86459" w:rsidP="00C86459">
      <w:pPr>
        <w:jc w:val="both"/>
        <w:rPr>
          <w:rFonts w:ascii="Open Sans" w:hAnsi="Open Sans" w:cs="Arial"/>
          <w:b/>
          <w:sz w:val="22"/>
          <w:szCs w:val="22"/>
        </w:rPr>
      </w:pPr>
      <w:r w:rsidRPr="00E22C00">
        <w:rPr>
          <w:noProof/>
          <w:lang w:val="es-ES"/>
        </w:rPr>
        <w:drawing>
          <wp:inline distT="0" distB="0" distL="0" distR="0" wp14:anchorId="296F9274" wp14:editId="3852277C">
            <wp:extent cx="5553075" cy="2524125"/>
            <wp:effectExtent l="0" t="0" r="0" b="0"/>
            <wp:docPr id="1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3" cstate="screen">
                      <a:extLst>
                        <a:ext uri="{28A0092B-C50C-407E-A947-70E740481C1C}">
                          <a14:useLocalDpi xmlns:a14="http://schemas.microsoft.com/office/drawing/2010/main"/>
                        </a:ext>
                      </a:extLst>
                    </a:blip>
                    <a:srcRect t="-394" r="1059"/>
                    <a:stretch>
                      <a:fillRect/>
                    </a:stretch>
                  </pic:blipFill>
                  <pic:spPr bwMode="auto">
                    <a:xfrm>
                      <a:off x="0" y="0"/>
                      <a:ext cx="5553075" cy="2524125"/>
                    </a:xfrm>
                    <a:prstGeom prst="rect">
                      <a:avLst/>
                    </a:prstGeom>
                    <a:noFill/>
                    <a:ln>
                      <a:noFill/>
                    </a:ln>
                  </pic:spPr>
                </pic:pic>
              </a:graphicData>
            </a:graphic>
          </wp:inline>
        </w:drawing>
      </w:r>
    </w:p>
    <w:p w14:paraId="4DBC3DEF" w14:textId="77777777" w:rsidR="00C86459" w:rsidRDefault="00C86459" w:rsidP="00C86459">
      <w:pPr>
        <w:jc w:val="both"/>
        <w:rPr>
          <w:rFonts w:ascii="Open Sans" w:hAnsi="Open Sans" w:cs="Arial"/>
          <w:sz w:val="16"/>
          <w:szCs w:val="16"/>
        </w:rPr>
      </w:pPr>
      <w:r>
        <w:rPr>
          <w:rFonts w:ascii="Open Sans" w:hAnsi="Open Sans" w:cs="Arial"/>
          <w:sz w:val="16"/>
          <w:szCs w:val="16"/>
        </w:rPr>
        <w:t xml:space="preserve">  </w:t>
      </w:r>
    </w:p>
    <w:p w14:paraId="49A0DD07" w14:textId="77777777" w:rsidR="00C86459" w:rsidRPr="00075216" w:rsidRDefault="00C86459" w:rsidP="00C86459">
      <w:pPr>
        <w:jc w:val="center"/>
        <w:rPr>
          <w:rFonts w:ascii="Open Sans" w:hAnsi="Open Sans" w:cs="Arial"/>
          <w:b/>
          <w:sz w:val="18"/>
          <w:szCs w:val="18"/>
        </w:rPr>
      </w:pPr>
      <w:r w:rsidRPr="00075216">
        <w:rPr>
          <w:rFonts w:ascii="Open Sans" w:hAnsi="Open Sans" w:cs="Arial"/>
          <w:sz w:val="18"/>
          <w:szCs w:val="18"/>
        </w:rPr>
        <w:t>Fuente: Detalle de CCAA Consolidadas 2015, pg. 250</w:t>
      </w:r>
    </w:p>
    <w:p w14:paraId="3B4C4244" w14:textId="77777777" w:rsidR="00C86459" w:rsidRPr="00075216" w:rsidRDefault="00C86459" w:rsidP="00C86459">
      <w:pPr>
        <w:jc w:val="center"/>
        <w:rPr>
          <w:rFonts w:ascii="Open Sans" w:hAnsi="Open Sans" w:cs="Arial"/>
          <w:b/>
          <w:sz w:val="18"/>
          <w:szCs w:val="18"/>
        </w:rPr>
      </w:pPr>
    </w:p>
    <w:p w14:paraId="7796F3AE" w14:textId="77777777" w:rsidR="00C86459" w:rsidRDefault="00C86459" w:rsidP="00C86459">
      <w:pPr>
        <w:jc w:val="both"/>
        <w:rPr>
          <w:rFonts w:ascii="Open Sans" w:hAnsi="Open Sans" w:cs="Arial"/>
          <w:b/>
          <w:sz w:val="22"/>
          <w:szCs w:val="22"/>
        </w:rPr>
      </w:pPr>
    </w:p>
    <w:p w14:paraId="750F5743" w14:textId="77777777" w:rsidR="00C86459" w:rsidRDefault="00C86459" w:rsidP="00C86459">
      <w:pPr>
        <w:jc w:val="both"/>
        <w:rPr>
          <w:rFonts w:ascii="Open Sans" w:hAnsi="Open Sans" w:cs="Arial"/>
          <w:b/>
          <w:sz w:val="22"/>
          <w:szCs w:val="22"/>
        </w:rPr>
      </w:pPr>
    </w:p>
    <w:p w14:paraId="6893ABAF" w14:textId="77777777" w:rsidR="00C86459" w:rsidRPr="00F31F2E" w:rsidRDefault="00C86459" w:rsidP="00C86459">
      <w:pPr>
        <w:jc w:val="both"/>
        <w:rPr>
          <w:rFonts w:ascii="Open Sans" w:hAnsi="Open Sans" w:cs="Arial"/>
          <w:sz w:val="20"/>
          <w:szCs w:val="20"/>
        </w:rPr>
      </w:pPr>
      <w:r w:rsidRPr="00F31F2E">
        <w:rPr>
          <w:rFonts w:ascii="Open Sans" w:hAnsi="Open Sans" w:cs="Arial"/>
          <w:sz w:val="20"/>
          <w:szCs w:val="20"/>
        </w:rPr>
        <w:t>Esta información resulta relevante para el análisis del impacto que sobre el pago de impuestos tiene la presencia de BBVA en territorios fiscalmente fa</w:t>
      </w:r>
      <w:r>
        <w:rPr>
          <w:rFonts w:ascii="Open Sans" w:hAnsi="Open Sans" w:cs="Arial"/>
          <w:sz w:val="20"/>
          <w:szCs w:val="20"/>
        </w:rPr>
        <w:t xml:space="preserve">vorables: paraísos y </w:t>
      </w:r>
      <w:r w:rsidRPr="00F31F2E">
        <w:rPr>
          <w:rFonts w:ascii="Open Sans" w:hAnsi="Open Sans" w:cs="Arial"/>
          <w:sz w:val="20"/>
          <w:szCs w:val="20"/>
        </w:rPr>
        <w:t xml:space="preserve">nichos fiscales. </w:t>
      </w:r>
    </w:p>
    <w:p w14:paraId="042E4CA4" w14:textId="77777777" w:rsidR="00C86459" w:rsidRPr="00B914E7" w:rsidRDefault="00C86459" w:rsidP="00C86459">
      <w:pPr>
        <w:jc w:val="both"/>
        <w:rPr>
          <w:rFonts w:ascii="Open Sans" w:hAnsi="Open Sans" w:cs="Arial"/>
          <w:sz w:val="20"/>
          <w:szCs w:val="20"/>
        </w:rPr>
      </w:pPr>
    </w:p>
    <w:p w14:paraId="7F3EF0E9" w14:textId="77777777" w:rsidR="00C86459" w:rsidRPr="001B39B2" w:rsidRDefault="00C86459" w:rsidP="00C86459">
      <w:pPr>
        <w:jc w:val="both"/>
        <w:rPr>
          <w:rFonts w:ascii="Open Sans" w:hAnsi="Open Sans" w:cs="Arial"/>
          <w:bCs/>
          <w:sz w:val="20"/>
          <w:szCs w:val="20"/>
        </w:rPr>
      </w:pPr>
      <w:r w:rsidRPr="00B914E7">
        <w:rPr>
          <w:rFonts w:ascii="Open Sans" w:hAnsi="Open Sans" w:cs="Arial"/>
          <w:bCs/>
          <w:sz w:val="20"/>
          <w:szCs w:val="20"/>
        </w:rPr>
        <w:t>Un año más, según la información facilitada en el Informe de Gestión incluido en las CCAA Consolidadas 2015 “</w:t>
      </w:r>
      <w:r w:rsidRPr="00B914E7">
        <w:rPr>
          <w:rFonts w:ascii="Open Sans" w:hAnsi="Open Sans" w:cs="Arial"/>
          <w:bCs/>
          <w:i/>
          <w:sz w:val="20"/>
          <w:szCs w:val="20"/>
        </w:rPr>
        <w:t>el Grupo BBVA mantiene una política expresa sobre actividades en establecimientos permanentes domiciliados en centros financieros off-shore, la cual incluye un plan de reducción del número de dichos centros en los que el Grupo está presente</w:t>
      </w:r>
      <w:r w:rsidRPr="00B914E7">
        <w:rPr>
          <w:rFonts w:ascii="Open Sans" w:hAnsi="Open Sans" w:cs="Arial"/>
          <w:bCs/>
          <w:sz w:val="20"/>
          <w:szCs w:val="20"/>
        </w:rPr>
        <w:t xml:space="preserve">”. En su estrategia fiscal indica que </w:t>
      </w:r>
      <w:r w:rsidRPr="00B914E7">
        <w:rPr>
          <w:rFonts w:ascii="Open Sans" w:hAnsi="Open Sans" w:cs="Arial"/>
          <w:sz w:val="20"/>
          <w:szCs w:val="20"/>
        </w:rPr>
        <w:t>"</w:t>
      </w:r>
      <w:r w:rsidRPr="00B914E7">
        <w:rPr>
          <w:rFonts w:ascii="Open Sans" w:hAnsi="Open Sans" w:cs="Arial"/>
          <w:i/>
          <w:sz w:val="20"/>
          <w:szCs w:val="20"/>
        </w:rPr>
        <w:t>La realización de operaciones en territorios calificados como paraísos fiscales responden a la realización efectiva de actividad económica y generación de valor, sin ser el objetivo de las mismas trasladar resultados a estas jurisdicciones para obtener una reducción de la carga tributaria o menoscabar la transparencia de BBVA</w:t>
      </w:r>
      <w:r w:rsidRPr="00B914E7">
        <w:rPr>
          <w:rFonts w:ascii="Open Sans" w:hAnsi="Open Sans" w:cs="Arial"/>
          <w:sz w:val="20"/>
          <w:szCs w:val="20"/>
        </w:rPr>
        <w:t xml:space="preserve">”. </w:t>
      </w:r>
      <w:r>
        <w:rPr>
          <w:rFonts w:ascii="Open Sans" w:hAnsi="Open Sans" w:cs="Arial"/>
          <w:sz w:val="20"/>
          <w:szCs w:val="20"/>
        </w:rPr>
        <w:t xml:space="preserve">Sería recomendable que la entidad concretara el motivo por el que se ha escogido ubicar las sociedades en estos </w:t>
      </w:r>
      <w:r w:rsidRPr="00A15BD4">
        <w:rPr>
          <w:rFonts w:ascii="Open Sans" w:hAnsi="Open Sans" w:cs="Arial"/>
          <w:sz w:val="20"/>
          <w:szCs w:val="20"/>
        </w:rPr>
        <w:t xml:space="preserve">territorios y no otros con fiscalidad no tan favorable. </w:t>
      </w:r>
      <w:r>
        <w:rPr>
          <w:rFonts w:ascii="Open Sans" w:hAnsi="Open Sans" w:cs="Arial"/>
          <w:sz w:val="20"/>
          <w:szCs w:val="20"/>
        </w:rPr>
        <w:t>Es decir, qué elementos de “</w:t>
      </w:r>
      <w:r w:rsidRPr="00B914E7">
        <w:rPr>
          <w:rFonts w:ascii="Open Sans" w:hAnsi="Open Sans" w:cs="Arial"/>
          <w:i/>
          <w:sz w:val="20"/>
          <w:szCs w:val="20"/>
        </w:rPr>
        <w:t>realización efectiva de actividad económica y generación de valor</w:t>
      </w:r>
      <w:r>
        <w:rPr>
          <w:rFonts w:ascii="Open Sans" w:hAnsi="Open Sans" w:cs="Arial"/>
          <w:i/>
          <w:sz w:val="20"/>
          <w:szCs w:val="20"/>
        </w:rPr>
        <w:t xml:space="preserve">” </w:t>
      </w:r>
      <w:r>
        <w:rPr>
          <w:rFonts w:ascii="Open Sans" w:hAnsi="Open Sans" w:cs="Arial"/>
          <w:sz w:val="20"/>
          <w:szCs w:val="20"/>
        </w:rPr>
        <w:t xml:space="preserve">le proporciona tener el domicilio social en Delaware (nicho fiscal de EEUU) que no le proporciona cualquier otro estado de EEUU o Islas Caymán y no otro territorio británico. </w:t>
      </w:r>
    </w:p>
    <w:p w14:paraId="2CAD29D6" w14:textId="77777777" w:rsidR="00C86459" w:rsidRPr="00B914E7" w:rsidRDefault="00C86459" w:rsidP="00C86459">
      <w:pPr>
        <w:jc w:val="both"/>
        <w:rPr>
          <w:rFonts w:ascii="Open Sans" w:hAnsi="Open Sans" w:cs="Arial"/>
          <w:bCs/>
          <w:sz w:val="22"/>
          <w:szCs w:val="22"/>
        </w:rPr>
      </w:pPr>
    </w:p>
    <w:p w14:paraId="0A2AAEB8" w14:textId="77777777" w:rsidR="00C86459" w:rsidRDefault="00C86459" w:rsidP="00C86459">
      <w:pPr>
        <w:jc w:val="both"/>
        <w:rPr>
          <w:rFonts w:ascii="Open Sans" w:hAnsi="Open Sans" w:cs="Arial"/>
          <w:sz w:val="20"/>
          <w:szCs w:val="20"/>
        </w:rPr>
      </w:pPr>
      <w:r w:rsidRPr="00506DB1">
        <w:rPr>
          <w:rFonts w:ascii="Open Sans" w:hAnsi="Open Sans" w:cs="Arial"/>
          <w:bCs/>
          <w:sz w:val="20"/>
          <w:szCs w:val="20"/>
        </w:rPr>
        <w:t>BBVA s</w:t>
      </w:r>
      <w:r>
        <w:rPr>
          <w:rFonts w:ascii="Open Sans" w:hAnsi="Open Sans" w:cs="Arial"/>
          <w:bCs/>
          <w:sz w:val="20"/>
          <w:szCs w:val="20"/>
        </w:rPr>
        <w:t>ó</w:t>
      </w:r>
      <w:r w:rsidRPr="00506DB1">
        <w:rPr>
          <w:rFonts w:ascii="Open Sans" w:hAnsi="Open Sans" w:cs="Arial"/>
          <w:bCs/>
          <w:sz w:val="20"/>
          <w:szCs w:val="20"/>
        </w:rPr>
        <w:t>lo reconoce como establecimientos permanentes de su Grupo en paraísos fiscales las dos sucursales en Islas Caimán</w:t>
      </w:r>
      <w:r>
        <w:rPr>
          <w:rFonts w:ascii="Open Sans" w:hAnsi="Open Sans" w:cs="Arial"/>
          <w:bCs/>
          <w:sz w:val="20"/>
          <w:szCs w:val="20"/>
        </w:rPr>
        <w:t>,</w:t>
      </w:r>
      <w:r w:rsidRPr="00506DB1">
        <w:rPr>
          <w:rFonts w:ascii="Open Sans" w:hAnsi="Open Sans" w:cs="Arial"/>
          <w:bCs/>
          <w:sz w:val="20"/>
          <w:szCs w:val="20"/>
        </w:rPr>
        <w:t xml:space="preserve"> que se dedican a actividades de Banca Corporativa</w:t>
      </w:r>
      <w:r>
        <w:rPr>
          <w:rFonts w:ascii="Open Sans" w:hAnsi="Open Sans" w:cs="Arial"/>
          <w:bCs/>
          <w:sz w:val="20"/>
          <w:szCs w:val="20"/>
        </w:rPr>
        <w:t>,</w:t>
      </w:r>
      <w:r w:rsidRPr="00506DB1">
        <w:rPr>
          <w:rFonts w:ascii="Open Sans" w:hAnsi="Open Sans" w:cs="Arial"/>
          <w:bCs/>
          <w:sz w:val="20"/>
          <w:szCs w:val="20"/>
        </w:rPr>
        <w:t xml:space="preserve"> y las emisoras de valores en Islas Caimán:  BBVA International, Ltd., BBVA Global Finance, Ltd., Continental DPR Finance Company, </w:t>
      </w:r>
      <w:r w:rsidRPr="00506DB1">
        <w:rPr>
          <w:rFonts w:ascii="Open Sans" w:hAnsi="Open Sans" w:cs="Arial"/>
          <w:sz w:val="20"/>
          <w:szCs w:val="20"/>
        </w:rPr>
        <w:t xml:space="preserve">Garanti Diversified Payment Rights Finance Company, y RPV Company. </w:t>
      </w:r>
    </w:p>
    <w:p w14:paraId="227D7042" w14:textId="77777777" w:rsidR="00C86459" w:rsidRDefault="00C86459" w:rsidP="00C86459">
      <w:pPr>
        <w:jc w:val="both"/>
        <w:rPr>
          <w:rFonts w:ascii="Open Sans" w:hAnsi="Open Sans" w:cs="Arial"/>
          <w:sz w:val="20"/>
          <w:szCs w:val="20"/>
        </w:rPr>
      </w:pPr>
    </w:p>
    <w:p w14:paraId="41485C48" w14:textId="77777777" w:rsidR="00C86459" w:rsidRPr="00DA0B6E" w:rsidRDefault="00C86459" w:rsidP="00C86459">
      <w:pPr>
        <w:jc w:val="both"/>
        <w:rPr>
          <w:rFonts w:ascii="Open Sans" w:hAnsi="Open Sans" w:cs="Arial"/>
          <w:sz w:val="20"/>
          <w:szCs w:val="20"/>
        </w:rPr>
      </w:pPr>
      <w:r w:rsidRPr="00DA0B6E">
        <w:rPr>
          <w:rFonts w:ascii="Open Sans" w:hAnsi="Open Sans" w:cs="Arial"/>
          <w:sz w:val="20"/>
          <w:szCs w:val="20"/>
        </w:rPr>
        <w:t xml:space="preserve">Complementariamente a los paraísos fiscales, se definen algunos territorios como Nichos Fiscales, como un concepto más amplio que el de “paraíso fiscal” abarcando cualquier fórmula de elusión o no tributación, tanto en el ámbito de la fiscalidad internacional como en el interno. El Grupo BBVA, en ninguno de sus documentos incorpora información </w:t>
      </w:r>
      <w:r>
        <w:rPr>
          <w:rFonts w:ascii="Open Sans" w:hAnsi="Open Sans" w:cs="Arial"/>
          <w:sz w:val="20"/>
          <w:szCs w:val="20"/>
        </w:rPr>
        <w:t>explica</w:t>
      </w:r>
      <w:r w:rsidRPr="00DA0B6E">
        <w:rPr>
          <w:rFonts w:ascii="Open Sans" w:hAnsi="Open Sans" w:cs="Arial"/>
          <w:sz w:val="20"/>
          <w:szCs w:val="20"/>
        </w:rPr>
        <w:t>tiva a su presencia en estos territorios a pesar de operar (directa o a través de participadas) en alguno de ellos como es Venezuela, Turquía, Paraguay, Uruguay, Delaware, Holanda, Luxemburgo, Curaçao, Hong Kong, Irlanda, Singapur y Suiza.</w:t>
      </w:r>
    </w:p>
    <w:p w14:paraId="10091ADD" w14:textId="77777777" w:rsidR="00C86459" w:rsidRPr="00DA0B6E" w:rsidRDefault="00C86459" w:rsidP="00C86459">
      <w:pPr>
        <w:jc w:val="both"/>
        <w:rPr>
          <w:rFonts w:ascii="Open Sans" w:hAnsi="Open Sans" w:cs="Arial"/>
          <w:sz w:val="20"/>
          <w:szCs w:val="20"/>
        </w:rPr>
      </w:pPr>
    </w:p>
    <w:p w14:paraId="4858488E" w14:textId="77777777" w:rsidR="00C86459" w:rsidRPr="00506DB1" w:rsidRDefault="00C86459" w:rsidP="00C86459">
      <w:pPr>
        <w:jc w:val="both"/>
        <w:rPr>
          <w:rFonts w:ascii="Open Sans" w:hAnsi="Open Sans" w:cs="Arial"/>
          <w:sz w:val="20"/>
          <w:szCs w:val="20"/>
        </w:rPr>
      </w:pPr>
      <w:r w:rsidRPr="00506DB1">
        <w:rPr>
          <w:rFonts w:ascii="Open Sans" w:hAnsi="Open Sans" w:cs="Arial"/>
          <w:sz w:val="20"/>
          <w:szCs w:val="20"/>
        </w:rPr>
        <w:t xml:space="preserve">El Departamento de Auditoría Interna de BBVA, realiza revisiones anuales de todos estos establecimientos para asegurar su operativa </w:t>
      </w:r>
      <w:r>
        <w:rPr>
          <w:rFonts w:ascii="Open Sans" w:hAnsi="Open Sans" w:cs="Arial"/>
          <w:sz w:val="20"/>
          <w:szCs w:val="20"/>
        </w:rPr>
        <w:t xml:space="preserve">se adecua </w:t>
      </w:r>
      <w:r w:rsidRPr="00506DB1">
        <w:rPr>
          <w:rFonts w:ascii="Open Sans" w:hAnsi="Open Sans" w:cs="Arial"/>
          <w:sz w:val="20"/>
          <w:szCs w:val="20"/>
        </w:rPr>
        <w:t>a la definición del objeto social, el cumplimiento de las políticas y procedimientos corporativos en materia de conocimiento de la clientela y de prevención del lavado de dinero, la veracidad de la información remitida a la matriz y el cumplimiento de las obligaciones fiscales. Adicionalmente, se realiza una revisión específica de la normativa española aplicable a las transferencias de fondos entre los bancos del Grupo en España y las entidades del mismo establecidas en centros financieros off-shore. Sería recomendable que la entidad ofreciera información detallada sobre el resultado de estas inversiones, e</w:t>
      </w:r>
      <w:r>
        <w:rPr>
          <w:rFonts w:ascii="Open Sans" w:hAnsi="Open Sans" w:cs="Arial"/>
          <w:sz w:val="20"/>
          <w:szCs w:val="20"/>
        </w:rPr>
        <w:t>specialmente por lo que respecta</w:t>
      </w:r>
      <w:r w:rsidRPr="00506DB1">
        <w:rPr>
          <w:rFonts w:ascii="Open Sans" w:hAnsi="Open Sans" w:cs="Arial"/>
          <w:sz w:val="20"/>
          <w:szCs w:val="20"/>
        </w:rPr>
        <w:t xml:space="preserve"> a los impuestos liquidados y a las transferencias de fondos entre los bancos del grupo. En la información proporcionada en el Informe Bancario Anual y en el TTC 2015, algunos de los territorios off-shore aparecen agregados a los territorios a los que pertenecen (Islas Caymán a Reino Unido, Dela</w:t>
      </w:r>
      <w:r>
        <w:rPr>
          <w:rFonts w:ascii="Open Sans" w:hAnsi="Open Sans" w:cs="Arial"/>
          <w:sz w:val="20"/>
          <w:szCs w:val="20"/>
        </w:rPr>
        <w:t>ware a EEUU o</w:t>
      </w:r>
      <w:r w:rsidRPr="00506DB1">
        <w:rPr>
          <w:rFonts w:ascii="Open Sans" w:hAnsi="Open Sans" w:cs="Arial"/>
          <w:sz w:val="20"/>
          <w:szCs w:val="20"/>
        </w:rPr>
        <w:t xml:space="preserve"> </w:t>
      </w:r>
      <w:r>
        <w:rPr>
          <w:rFonts w:ascii="Open Sans" w:hAnsi="Open Sans" w:cs="Arial"/>
          <w:sz w:val="20"/>
          <w:szCs w:val="20"/>
        </w:rPr>
        <w:t>Curaçao a Países Bajos) o bien aparecen agregados bajo la denominación de Otros que engloba</w:t>
      </w:r>
      <w:r w:rsidRPr="00E26C97">
        <w:t xml:space="preserve"> </w:t>
      </w:r>
      <w:r w:rsidRPr="00E26C97">
        <w:rPr>
          <w:rFonts w:ascii="Open Sans" w:hAnsi="Open Sans" w:cs="Arial"/>
          <w:sz w:val="20"/>
          <w:szCs w:val="20"/>
        </w:rPr>
        <w:t>Holanda, Curaçao, las oficinas de representación y las sucursales asiáticas salvo Hong-Kong.</w:t>
      </w:r>
      <w:r>
        <w:rPr>
          <w:rFonts w:ascii="Open Sans" w:hAnsi="Open Sans" w:cs="Arial"/>
          <w:sz w:val="20"/>
          <w:szCs w:val="20"/>
        </w:rPr>
        <w:t xml:space="preserve"> </w:t>
      </w:r>
      <w:r w:rsidRPr="00506DB1">
        <w:rPr>
          <w:rFonts w:ascii="Open Sans" w:hAnsi="Open Sans" w:cs="Arial"/>
          <w:sz w:val="20"/>
          <w:szCs w:val="20"/>
        </w:rPr>
        <w:t xml:space="preserve"> </w:t>
      </w:r>
    </w:p>
    <w:p w14:paraId="7DE4593B" w14:textId="77777777" w:rsidR="00C86459" w:rsidRPr="003B3EF5" w:rsidRDefault="00C86459" w:rsidP="00C86459">
      <w:pPr>
        <w:jc w:val="both"/>
        <w:rPr>
          <w:rFonts w:ascii="Open Sans" w:hAnsi="Open Sans" w:cs="Arial"/>
          <w:b/>
          <w:bCs/>
          <w:sz w:val="22"/>
          <w:szCs w:val="22"/>
        </w:rPr>
      </w:pPr>
    </w:p>
    <w:p w14:paraId="3C4030FB" w14:textId="77777777" w:rsidR="00C86459" w:rsidRDefault="00C86459" w:rsidP="00C86459">
      <w:pPr>
        <w:jc w:val="both"/>
        <w:rPr>
          <w:rFonts w:ascii="Open Sans" w:hAnsi="Open Sans" w:cs="Arial"/>
          <w:bCs/>
          <w:sz w:val="20"/>
          <w:szCs w:val="20"/>
        </w:rPr>
      </w:pPr>
      <w:r w:rsidRPr="00F86E62">
        <w:rPr>
          <w:rFonts w:ascii="Open Sans" w:hAnsi="Open Sans" w:cs="Arial"/>
          <w:bCs/>
          <w:sz w:val="20"/>
          <w:szCs w:val="20"/>
        </w:rPr>
        <w:t>De acuerdo al listado de paraísos</w:t>
      </w:r>
      <w:r w:rsidRPr="00F42D96">
        <w:rPr>
          <w:rFonts w:ascii="Open Sans" w:hAnsi="Open Sans" w:cs="Arial"/>
          <w:bCs/>
          <w:sz w:val="20"/>
          <w:szCs w:val="20"/>
        </w:rPr>
        <w:t xml:space="preserve"> y nichos fiscales</w:t>
      </w:r>
      <w:r w:rsidRPr="00F86E62">
        <w:rPr>
          <w:rFonts w:ascii="Open Sans" w:hAnsi="Open Sans" w:cs="Arial"/>
          <w:bCs/>
          <w:sz w:val="20"/>
          <w:szCs w:val="20"/>
        </w:rPr>
        <w:t xml:space="preserve"> aplicado en el análisis del Observatorio de Responsabilidad Social Corporativa, basado en los criterios y listados de la organ</w:t>
      </w:r>
      <w:r w:rsidRPr="00F42D96">
        <w:rPr>
          <w:rFonts w:ascii="Open Sans" w:hAnsi="Open Sans" w:cs="Arial"/>
          <w:bCs/>
          <w:sz w:val="20"/>
          <w:szCs w:val="20"/>
        </w:rPr>
        <w:t>ización Tax Justice Network, Parlamento Europeo, Ordenamiento jurídico español y de la OCDE (tal y como se detalla en el apartado de metodología, el observatorio agrega las jurisdicciones recogidas por estas fuentes), se han iden</w:t>
      </w:r>
      <w:r>
        <w:rPr>
          <w:rFonts w:ascii="Open Sans" w:hAnsi="Open Sans" w:cs="Arial"/>
          <w:bCs/>
          <w:sz w:val="20"/>
          <w:szCs w:val="20"/>
        </w:rPr>
        <w:t>tificado 5</w:t>
      </w:r>
      <w:r w:rsidRPr="00F42D96">
        <w:rPr>
          <w:rFonts w:ascii="Open Sans" w:hAnsi="Open Sans" w:cs="Arial"/>
          <w:bCs/>
          <w:sz w:val="20"/>
          <w:szCs w:val="20"/>
        </w:rPr>
        <w:t xml:space="preserve">3 sociedades en </w:t>
      </w:r>
      <w:r w:rsidRPr="006B6BC7">
        <w:rPr>
          <w:rFonts w:ascii="Open Sans" w:hAnsi="Open Sans" w:cs="Arial"/>
          <w:bCs/>
          <w:sz w:val="20"/>
          <w:szCs w:val="20"/>
        </w:rPr>
        <w:t xml:space="preserve">territorios off-shore (4 en </w:t>
      </w:r>
      <w:r w:rsidRPr="00F42D96">
        <w:rPr>
          <w:rFonts w:ascii="Open Sans" w:hAnsi="Open Sans" w:cs="Arial"/>
          <w:bCs/>
          <w:sz w:val="20"/>
          <w:szCs w:val="20"/>
        </w:rPr>
        <w:t>paraísos fiscales</w:t>
      </w:r>
      <w:r>
        <w:rPr>
          <w:rFonts w:ascii="Open Sans" w:hAnsi="Open Sans" w:cs="Arial"/>
          <w:bCs/>
          <w:sz w:val="20"/>
          <w:szCs w:val="20"/>
        </w:rPr>
        <w:t xml:space="preserve"> y 4</w:t>
      </w:r>
      <w:r w:rsidRPr="006B6BC7">
        <w:rPr>
          <w:rFonts w:ascii="Open Sans" w:hAnsi="Open Sans" w:cs="Arial"/>
          <w:bCs/>
          <w:sz w:val="20"/>
          <w:szCs w:val="20"/>
        </w:rPr>
        <w:t xml:space="preserve">9 en nichos fiscales) </w:t>
      </w:r>
      <w:r w:rsidRPr="00F86E62">
        <w:rPr>
          <w:rFonts w:ascii="Open Sans" w:hAnsi="Open Sans" w:cs="Arial"/>
          <w:bCs/>
          <w:sz w:val="20"/>
          <w:szCs w:val="20"/>
        </w:rPr>
        <w:t xml:space="preserve">a 31 de diciembre de 2015. </w:t>
      </w:r>
    </w:p>
    <w:p w14:paraId="05A3F377" w14:textId="77777777" w:rsidR="00C86459" w:rsidRDefault="00C86459" w:rsidP="00C86459">
      <w:pPr>
        <w:jc w:val="both"/>
        <w:rPr>
          <w:rFonts w:ascii="Open Sans" w:hAnsi="Open Sans" w:cs="Arial"/>
          <w:bCs/>
          <w:sz w:val="20"/>
          <w:szCs w:val="20"/>
        </w:rPr>
      </w:pPr>
    </w:p>
    <w:p w14:paraId="7DBFCD61" w14:textId="77777777" w:rsidR="00C86459" w:rsidRDefault="00C86459" w:rsidP="00C86459">
      <w:pPr>
        <w:jc w:val="both"/>
        <w:rPr>
          <w:rFonts w:ascii="Open Sans" w:hAnsi="Open Sans" w:cs="Arial"/>
          <w:bCs/>
          <w:sz w:val="20"/>
          <w:szCs w:val="20"/>
        </w:rPr>
      </w:pPr>
      <w:r>
        <w:rPr>
          <w:rFonts w:ascii="Open Sans" w:hAnsi="Open Sans" w:cs="Arial"/>
          <w:bCs/>
          <w:sz w:val="20"/>
          <w:szCs w:val="20"/>
        </w:rPr>
        <w:t>Adicionalmente apuntar que BBVA tiene a través de sus filiales dos sucursales en las Islas Caymán: BBVA Banco Francés</w:t>
      </w:r>
      <w:r>
        <w:rPr>
          <w:rStyle w:val="Refdenotaalpie"/>
          <w:rFonts w:ascii="Open Sans" w:hAnsi="Open Sans" w:cs="Arial"/>
          <w:bCs/>
          <w:sz w:val="20"/>
          <w:szCs w:val="20"/>
        </w:rPr>
        <w:footnoteReference w:id="482"/>
      </w:r>
      <w:r>
        <w:rPr>
          <w:rFonts w:ascii="Open Sans" w:hAnsi="Open Sans" w:cs="Arial"/>
          <w:bCs/>
          <w:sz w:val="20"/>
          <w:szCs w:val="20"/>
        </w:rPr>
        <w:t xml:space="preserve"> y BBVA Bancomer SA</w:t>
      </w:r>
      <w:r>
        <w:rPr>
          <w:rStyle w:val="Refdenotaalpie"/>
          <w:rFonts w:ascii="Open Sans" w:hAnsi="Open Sans" w:cs="Arial"/>
          <w:bCs/>
          <w:sz w:val="20"/>
          <w:szCs w:val="20"/>
        </w:rPr>
        <w:footnoteReference w:id="483"/>
      </w:r>
      <w:r>
        <w:rPr>
          <w:rFonts w:ascii="Open Sans" w:hAnsi="Open Sans" w:cs="Arial"/>
          <w:bCs/>
          <w:sz w:val="20"/>
          <w:szCs w:val="20"/>
        </w:rPr>
        <w:t>.</w:t>
      </w:r>
    </w:p>
    <w:p w14:paraId="4237086F" w14:textId="77777777" w:rsidR="00C86459" w:rsidRDefault="00C86459" w:rsidP="00C86459">
      <w:pPr>
        <w:jc w:val="both"/>
        <w:rPr>
          <w:rFonts w:ascii="Open Sans" w:hAnsi="Open Sans" w:cs="Arial"/>
          <w:bCs/>
          <w:sz w:val="20"/>
          <w:szCs w:val="20"/>
        </w:rPr>
      </w:pPr>
    </w:p>
    <w:p w14:paraId="544B7073" w14:textId="77777777" w:rsidR="00C86459" w:rsidRDefault="00C86459" w:rsidP="00C86459">
      <w:pPr>
        <w:jc w:val="both"/>
        <w:rPr>
          <w:rFonts w:ascii="Open Sans" w:hAnsi="Open Sans" w:cs="Arial"/>
          <w:bCs/>
          <w:sz w:val="20"/>
          <w:szCs w:val="20"/>
        </w:rPr>
      </w:pPr>
      <w:r w:rsidRPr="006B6BC7">
        <w:rPr>
          <w:rFonts w:ascii="Open Sans" w:hAnsi="Open Sans" w:cs="Open Sans"/>
          <w:sz w:val="20"/>
          <w:szCs w:val="20"/>
        </w:rPr>
        <w:t>BBVA Bancomer, Grupo Financiero BBVA Bancomer, es una institución financiera líder en México y la más importante de América Latina en términos de depósitos y número de clientes, con una participación de mercado de cerca del 30% en depósitos</w:t>
      </w:r>
      <w:r>
        <w:rPr>
          <w:rFonts w:ascii="Open Sans" w:hAnsi="Open Sans" w:cs="Open Sans"/>
          <w:sz w:val="20"/>
          <w:szCs w:val="20"/>
        </w:rPr>
        <w:t>.</w:t>
      </w:r>
      <w:r w:rsidRPr="006B6BC7">
        <w:rPr>
          <w:rFonts w:ascii="Open Sans" w:hAnsi="Open Sans" w:cs="Open Sans"/>
          <w:sz w:val="20"/>
          <w:szCs w:val="20"/>
        </w:rPr>
        <w:t xml:space="preserve"> Su principal subsidiaria es Bancomer, institución bancaria que opera bajo el modelo banca universal, ofreciendo productos y servicios a individuos y empresas a través de unidades de negocio especializadas. Bancomer se fundó en 1932, en la ciudad de México, en 1982 fue nacionalizado. En julio de 2000, se formó el nuevo Grupo Financiero BBVA Bancomer como resultado de la integración de Grupo Financiero Bancomer, Grupo Financiero BBV-Probursa y Banca Promex</w:t>
      </w:r>
      <w:r>
        <w:rPr>
          <w:rStyle w:val="Refdenotaalpie"/>
          <w:rFonts w:ascii="Open Sans" w:hAnsi="Open Sans" w:cs="Open Sans"/>
          <w:sz w:val="20"/>
          <w:szCs w:val="20"/>
        </w:rPr>
        <w:footnoteReference w:id="484"/>
      </w:r>
      <w:r w:rsidRPr="00A97FED">
        <w:rPr>
          <w:rFonts w:ascii="Open Sans" w:hAnsi="Open Sans" w:cs="Open Sans"/>
          <w:sz w:val="20"/>
          <w:szCs w:val="20"/>
        </w:rPr>
        <w:t xml:space="preserve">. </w:t>
      </w:r>
      <w:r>
        <w:rPr>
          <w:rFonts w:ascii="Open Sans" w:hAnsi="Open Sans" w:cs="Arial"/>
          <w:bCs/>
          <w:sz w:val="20"/>
          <w:szCs w:val="20"/>
        </w:rPr>
        <w:t xml:space="preserve">Bancomer tiene una sociedad, </w:t>
      </w:r>
      <w:r w:rsidRPr="00162F1B">
        <w:rPr>
          <w:rFonts w:ascii="Open Sans" w:hAnsi="Open Sans" w:cs="Arial"/>
          <w:bCs/>
          <w:sz w:val="20"/>
          <w:szCs w:val="20"/>
        </w:rPr>
        <w:t>Bancomer Holding-Islas Caimán</w:t>
      </w:r>
      <w:r>
        <w:rPr>
          <w:rFonts w:ascii="Open Sans" w:hAnsi="Open Sans" w:cs="Arial"/>
          <w:bCs/>
          <w:sz w:val="20"/>
          <w:szCs w:val="20"/>
        </w:rPr>
        <w:t>, ubicada en Islas Cayman</w:t>
      </w:r>
      <w:r>
        <w:rPr>
          <w:rStyle w:val="Refdenotaalpie"/>
          <w:rFonts w:ascii="Open Sans" w:hAnsi="Open Sans" w:cs="Arial"/>
          <w:bCs/>
          <w:sz w:val="20"/>
          <w:szCs w:val="20"/>
        </w:rPr>
        <w:footnoteReference w:id="485"/>
      </w:r>
      <w:r>
        <w:rPr>
          <w:rFonts w:ascii="Open Sans" w:hAnsi="Open Sans" w:cs="Arial"/>
          <w:bCs/>
          <w:sz w:val="20"/>
          <w:szCs w:val="20"/>
        </w:rPr>
        <w:t xml:space="preserve">, </w:t>
      </w:r>
    </w:p>
    <w:p w14:paraId="6D25DBB8" w14:textId="77777777" w:rsidR="00C86459" w:rsidRDefault="00C86459" w:rsidP="00C86459">
      <w:pPr>
        <w:jc w:val="both"/>
        <w:rPr>
          <w:rFonts w:ascii="Open Sans" w:hAnsi="Open Sans" w:cs="Arial"/>
          <w:bCs/>
          <w:sz w:val="20"/>
          <w:szCs w:val="20"/>
        </w:rPr>
      </w:pPr>
    </w:p>
    <w:p w14:paraId="606B09EB" w14:textId="77777777" w:rsidR="00C86459" w:rsidRPr="00075216" w:rsidRDefault="00C86459" w:rsidP="00C86459">
      <w:pPr>
        <w:jc w:val="both"/>
        <w:rPr>
          <w:rFonts w:ascii="Open Sans" w:hAnsi="Open Sans" w:cs="Open Sans"/>
          <w:sz w:val="20"/>
          <w:szCs w:val="20"/>
        </w:rPr>
      </w:pPr>
      <w:r w:rsidRPr="00075216">
        <w:rPr>
          <w:rFonts w:ascii="Open Sans" w:hAnsi="Open Sans" w:cs="Open Sans"/>
          <w:sz w:val="20"/>
          <w:szCs w:val="20"/>
        </w:rPr>
        <w:t>Banco Francés tiene su sede principal en la Ciudad de Buenos Aires y opera, al 31 de diciembre de 2000, una red de 309 sucursales, sin incluir las oficinas de subsidiarias. Asimismo, a través de Credilogros Compañía Financiera S.A., subsidiaria de Banco Francés, otorga préstamos al segmento de consumo de bajos ingresos. Adicionalmente, Banco Francés ofrece sus servicios financieros en Uruguay y en las Islas Cayman a través de sus subsidiarias BBVA Uruguay y Banco Francés (Cayman) Ltd. El Banco lleva a cabo operaciones de títulos valores y de mercado de capitales en forma directa en el mercado extrabursátil y a través de una subsidiaria, Francés Valores Sociedad de Bolsa S.A., en el Mercado de Valores de Buenos Aires</w:t>
      </w:r>
      <w:r w:rsidRPr="00075216">
        <w:rPr>
          <w:rFonts w:ascii="Open Sans" w:hAnsi="Open Sans"/>
          <w:sz w:val="20"/>
          <w:szCs w:val="20"/>
          <w:vertAlign w:val="superscript"/>
        </w:rPr>
        <w:footnoteReference w:id="486"/>
      </w:r>
      <w:r w:rsidRPr="00075216">
        <w:rPr>
          <w:rFonts w:ascii="Open Sans" w:hAnsi="Open Sans" w:cs="Open Sans"/>
          <w:sz w:val="20"/>
          <w:szCs w:val="20"/>
        </w:rPr>
        <w:t>.</w:t>
      </w:r>
      <w:r w:rsidRPr="00075216">
        <w:rPr>
          <w:rFonts w:ascii="Open Sans" w:hAnsi="Open Sans"/>
          <w:sz w:val="20"/>
          <w:szCs w:val="20"/>
        </w:rPr>
        <w:t> En 2015, el presidente del banco BBVA Banco Francés estaba siendo investigado, por la Comisión Bicameral parlamentaria de Argentina, por facilitar la concreción de cuentas no declaradas en la filial suiza del HSBC</w:t>
      </w:r>
      <w:r w:rsidRPr="00075216">
        <w:rPr>
          <w:rFonts w:ascii="Open Sans" w:hAnsi="Open Sans"/>
          <w:sz w:val="20"/>
          <w:szCs w:val="20"/>
          <w:vertAlign w:val="superscript"/>
        </w:rPr>
        <w:footnoteReference w:id="487"/>
      </w:r>
    </w:p>
    <w:p w14:paraId="056861C1" w14:textId="77777777" w:rsidR="00C86459" w:rsidRDefault="00C86459" w:rsidP="00C86459">
      <w:pPr>
        <w:rPr>
          <w:rFonts w:ascii="Open Sans" w:hAnsi="Open Sans" w:cs="Open Sans"/>
          <w:b/>
          <w:sz w:val="20"/>
          <w:szCs w:val="20"/>
        </w:rPr>
      </w:pPr>
      <w:r>
        <w:rPr>
          <w:rFonts w:ascii="Open Sans" w:hAnsi="Open Sans" w:cs="Open Sans"/>
          <w:b/>
          <w:sz w:val="20"/>
          <w:szCs w:val="20"/>
        </w:rPr>
        <w:br w:type="page"/>
      </w:r>
    </w:p>
    <w:p w14:paraId="107AD360" w14:textId="77777777" w:rsidR="00C86459" w:rsidRDefault="00C86459" w:rsidP="00C86459">
      <w:pPr>
        <w:jc w:val="both"/>
        <w:rPr>
          <w:rFonts w:ascii="Open Sans" w:hAnsi="Open Sans" w:cs="Arial"/>
          <w:b/>
          <w:sz w:val="22"/>
          <w:szCs w:val="22"/>
        </w:rPr>
      </w:pPr>
    </w:p>
    <w:tbl>
      <w:tblPr>
        <w:tblW w:w="8683" w:type="dxa"/>
        <w:jc w:val="center"/>
        <w:tblInd w:w="417" w:type="dxa"/>
        <w:tblCellMar>
          <w:left w:w="70" w:type="dxa"/>
          <w:right w:w="70" w:type="dxa"/>
        </w:tblCellMar>
        <w:tblLook w:val="04A0" w:firstRow="1" w:lastRow="0" w:firstColumn="1" w:lastColumn="0" w:noHBand="0" w:noVBand="1"/>
      </w:tblPr>
      <w:tblGrid>
        <w:gridCol w:w="4119"/>
        <w:gridCol w:w="1673"/>
        <w:gridCol w:w="2891"/>
      </w:tblGrid>
      <w:tr w:rsidR="00C86459" w:rsidRPr="00B557A2" w14:paraId="5A7BAC96" w14:textId="77777777" w:rsidTr="00C86459">
        <w:trPr>
          <w:trHeight w:val="300"/>
          <w:jc w:val="center"/>
        </w:trPr>
        <w:tc>
          <w:tcPr>
            <w:tcW w:w="4119"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0BCE6F" w14:textId="77777777" w:rsidR="00C86459" w:rsidRPr="00B557A2" w:rsidRDefault="00C86459" w:rsidP="00C86459">
            <w:pPr>
              <w:jc w:val="center"/>
              <w:rPr>
                <w:rFonts w:ascii="Open Sans" w:hAnsi="Open Sans"/>
                <w:b/>
                <w:bCs/>
                <w:color w:val="000000"/>
                <w:sz w:val="20"/>
                <w:szCs w:val="20"/>
              </w:rPr>
            </w:pPr>
            <w:r w:rsidRPr="00B557A2">
              <w:rPr>
                <w:rFonts w:ascii="Open Sans" w:hAnsi="Open Sans"/>
                <w:b/>
                <w:bCs/>
                <w:color w:val="000000"/>
                <w:sz w:val="20"/>
                <w:szCs w:val="20"/>
              </w:rPr>
              <w:t>Nombre de la Sociedad</w:t>
            </w:r>
          </w:p>
        </w:tc>
        <w:tc>
          <w:tcPr>
            <w:tcW w:w="1673" w:type="dxa"/>
            <w:tcBorders>
              <w:top w:val="single" w:sz="4" w:space="0" w:color="auto"/>
              <w:left w:val="nil"/>
              <w:bottom w:val="single" w:sz="4" w:space="0" w:color="auto"/>
              <w:right w:val="single" w:sz="4" w:space="0" w:color="auto"/>
            </w:tcBorders>
            <w:shd w:val="clear" w:color="000000" w:fill="D9D9D9"/>
            <w:noWrap/>
            <w:vAlign w:val="center"/>
            <w:hideMark/>
          </w:tcPr>
          <w:p w14:paraId="06FB59E2" w14:textId="77777777" w:rsidR="00C86459" w:rsidRPr="00B557A2" w:rsidRDefault="00C86459" w:rsidP="00C86459">
            <w:pPr>
              <w:jc w:val="center"/>
              <w:rPr>
                <w:rFonts w:ascii="Open Sans" w:hAnsi="Open Sans"/>
                <w:b/>
                <w:bCs/>
                <w:color w:val="000000"/>
                <w:sz w:val="20"/>
                <w:szCs w:val="20"/>
              </w:rPr>
            </w:pPr>
            <w:r w:rsidRPr="00B557A2">
              <w:rPr>
                <w:rFonts w:ascii="Open Sans" w:hAnsi="Open Sans"/>
                <w:b/>
                <w:bCs/>
                <w:color w:val="000000"/>
                <w:sz w:val="20"/>
                <w:szCs w:val="20"/>
              </w:rPr>
              <w:t>Jurisdicción</w:t>
            </w:r>
          </w:p>
        </w:tc>
        <w:tc>
          <w:tcPr>
            <w:tcW w:w="2891" w:type="dxa"/>
            <w:tcBorders>
              <w:top w:val="single" w:sz="4" w:space="0" w:color="auto"/>
              <w:left w:val="nil"/>
              <w:bottom w:val="single" w:sz="4" w:space="0" w:color="auto"/>
              <w:right w:val="single" w:sz="4" w:space="0" w:color="auto"/>
            </w:tcBorders>
            <w:shd w:val="clear" w:color="000000" w:fill="D9D9D9"/>
            <w:noWrap/>
            <w:vAlign w:val="center"/>
            <w:hideMark/>
          </w:tcPr>
          <w:p w14:paraId="73B3F99B" w14:textId="77777777" w:rsidR="00C86459" w:rsidRPr="00B557A2" w:rsidRDefault="00C86459" w:rsidP="00C86459">
            <w:pPr>
              <w:jc w:val="center"/>
              <w:rPr>
                <w:rFonts w:ascii="Open Sans" w:hAnsi="Open Sans"/>
                <w:b/>
                <w:bCs/>
                <w:color w:val="000000"/>
                <w:sz w:val="20"/>
                <w:szCs w:val="20"/>
              </w:rPr>
            </w:pPr>
            <w:r w:rsidRPr="00B557A2">
              <w:rPr>
                <w:rFonts w:ascii="Open Sans" w:hAnsi="Open Sans"/>
                <w:b/>
                <w:bCs/>
                <w:color w:val="000000"/>
                <w:sz w:val="20"/>
                <w:szCs w:val="20"/>
              </w:rPr>
              <w:t>Actividad</w:t>
            </w:r>
          </w:p>
        </w:tc>
      </w:tr>
      <w:tr w:rsidR="00C86459" w:rsidRPr="00B557A2" w14:paraId="3A4B7E42"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5598EB4E"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AMERICAN FINANCE GROUP, INC.</w:t>
            </w:r>
          </w:p>
        </w:tc>
        <w:tc>
          <w:tcPr>
            <w:tcW w:w="1673" w:type="dxa"/>
            <w:tcBorders>
              <w:top w:val="nil"/>
              <w:left w:val="nil"/>
              <w:bottom w:val="single" w:sz="4" w:space="0" w:color="auto"/>
              <w:right w:val="single" w:sz="4" w:space="0" w:color="auto"/>
            </w:tcBorders>
            <w:shd w:val="clear" w:color="auto" w:fill="auto"/>
            <w:noWrap/>
            <w:vAlign w:val="bottom"/>
            <w:hideMark/>
          </w:tcPr>
          <w:p w14:paraId="6687EFFE" w14:textId="77777777" w:rsidR="00C86459" w:rsidRPr="00B557A2" w:rsidRDefault="00C86459" w:rsidP="00C86459">
            <w:pPr>
              <w:jc w:val="center"/>
              <w:rPr>
                <w:rFonts w:ascii="Open Sans" w:hAnsi="Open Sans"/>
                <w:color w:val="000000"/>
                <w:sz w:val="20"/>
                <w:szCs w:val="20"/>
              </w:rPr>
            </w:pPr>
            <w:r>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080EC941"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SIN ACTIVIDAD</w:t>
            </w:r>
          </w:p>
        </w:tc>
      </w:tr>
      <w:tr w:rsidR="00C86459" w:rsidRPr="00B557A2" w14:paraId="5D546B70"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D3773ED"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BANCO BILBAO VIZCAYA ARGENTARIA URUGUAY, S.A.</w:t>
            </w:r>
          </w:p>
        </w:tc>
        <w:tc>
          <w:tcPr>
            <w:tcW w:w="1673" w:type="dxa"/>
            <w:tcBorders>
              <w:top w:val="nil"/>
              <w:left w:val="nil"/>
              <w:bottom w:val="single" w:sz="4" w:space="0" w:color="auto"/>
              <w:right w:val="single" w:sz="4" w:space="0" w:color="auto"/>
            </w:tcBorders>
            <w:shd w:val="clear" w:color="000000" w:fill="FFFFFF"/>
            <w:vAlign w:val="center"/>
            <w:hideMark/>
          </w:tcPr>
          <w:p w14:paraId="5367560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URUGUAY</w:t>
            </w:r>
          </w:p>
        </w:tc>
        <w:tc>
          <w:tcPr>
            <w:tcW w:w="2891" w:type="dxa"/>
            <w:tcBorders>
              <w:top w:val="nil"/>
              <w:left w:val="nil"/>
              <w:bottom w:val="single" w:sz="4" w:space="0" w:color="auto"/>
              <w:right w:val="single" w:sz="4" w:space="0" w:color="auto"/>
            </w:tcBorders>
            <w:shd w:val="clear" w:color="000000" w:fill="FFFFFF"/>
            <w:vAlign w:val="center"/>
            <w:hideMark/>
          </w:tcPr>
          <w:p w14:paraId="3E5BA84D"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BANCA</w:t>
            </w:r>
          </w:p>
        </w:tc>
      </w:tr>
      <w:tr w:rsidR="00C86459" w:rsidRPr="00B557A2" w14:paraId="0A7CCEAB"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AAA7CE2"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BANCO PROVINCIAL OVERSEAS N.V.</w:t>
            </w:r>
          </w:p>
        </w:tc>
        <w:tc>
          <w:tcPr>
            <w:tcW w:w="1673" w:type="dxa"/>
            <w:tcBorders>
              <w:top w:val="nil"/>
              <w:left w:val="nil"/>
              <w:bottom w:val="single" w:sz="4" w:space="0" w:color="auto"/>
              <w:right w:val="single" w:sz="4" w:space="0" w:color="auto"/>
            </w:tcBorders>
            <w:shd w:val="clear" w:color="000000" w:fill="FFFFFF"/>
            <w:vAlign w:val="center"/>
            <w:hideMark/>
          </w:tcPr>
          <w:p w14:paraId="4985B1BC"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CURACAO</w:t>
            </w:r>
          </w:p>
        </w:tc>
        <w:tc>
          <w:tcPr>
            <w:tcW w:w="2891" w:type="dxa"/>
            <w:tcBorders>
              <w:top w:val="nil"/>
              <w:left w:val="nil"/>
              <w:bottom w:val="single" w:sz="4" w:space="0" w:color="auto"/>
              <w:right w:val="single" w:sz="4" w:space="0" w:color="auto"/>
            </w:tcBorders>
            <w:shd w:val="clear" w:color="000000" w:fill="FFFFFF"/>
            <w:vAlign w:val="center"/>
            <w:hideMark/>
          </w:tcPr>
          <w:p w14:paraId="290045A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BANCA</w:t>
            </w:r>
          </w:p>
        </w:tc>
      </w:tr>
      <w:tr w:rsidR="00C86459" w:rsidRPr="00B557A2" w14:paraId="0C999540" w14:textId="77777777" w:rsidTr="00C86459">
        <w:trPr>
          <w:trHeight w:val="377"/>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1113608"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BANCOMER TRANSFER SERVICES INC.</w:t>
            </w:r>
          </w:p>
        </w:tc>
        <w:tc>
          <w:tcPr>
            <w:tcW w:w="1673" w:type="dxa"/>
            <w:tcBorders>
              <w:top w:val="nil"/>
              <w:left w:val="nil"/>
              <w:bottom w:val="single" w:sz="4" w:space="0" w:color="auto"/>
              <w:right w:val="single" w:sz="4" w:space="0" w:color="auto"/>
            </w:tcBorders>
            <w:shd w:val="clear" w:color="auto" w:fill="auto"/>
            <w:noWrap/>
            <w:vAlign w:val="bottom"/>
            <w:hideMark/>
          </w:tcPr>
          <w:p w14:paraId="3C52CEC9" w14:textId="77777777" w:rsidR="00C86459" w:rsidRPr="00B557A2" w:rsidRDefault="00C86459" w:rsidP="00C86459">
            <w:pPr>
              <w:jc w:val="center"/>
              <w:rPr>
                <w:rFonts w:ascii="Open Sans" w:hAnsi="Open Sans"/>
                <w:color w:val="000000"/>
                <w:sz w:val="20"/>
                <w:szCs w:val="20"/>
              </w:rPr>
            </w:pPr>
            <w:r>
              <w:rPr>
                <w:rFonts w:ascii="Open Sans" w:hAnsi="Open Sans"/>
                <w:color w:val="000000"/>
                <w:sz w:val="20"/>
                <w:szCs w:val="20"/>
              </w:rPr>
              <w:t>Delaware - EEUU</w:t>
            </w:r>
          </w:p>
        </w:tc>
        <w:tc>
          <w:tcPr>
            <w:tcW w:w="2891" w:type="dxa"/>
            <w:tcBorders>
              <w:top w:val="nil"/>
              <w:left w:val="nil"/>
              <w:bottom w:val="single" w:sz="4" w:space="0" w:color="auto"/>
              <w:right w:val="single" w:sz="4" w:space="0" w:color="auto"/>
            </w:tcBorders>
            <w:shd w:val="clear" w:color="000000" w:fill="FFFFFF"/>
            <w:vAlign w:val="center"/>
            <w:hideMark/>
          </w:tcPr>
          <w:p w14:paraId="4FD3D4DA"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65D8EF31"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AFF7ADC"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BANCOMER USA, INC.</w:t>
            </w:r>
          </w:p>
        </w:tc>
        <w:tc>
          <w:tcPr>
            <w:tcW w:w="1673" w:type="dxa"/>
            <w:tcBorders>
              <w:top w:val="nil"/>
              <w:left w:val="nil"/>
              <w:bottom w:val="single" w:sz="4" w:space="0" w:color="auto"/>
              <w:right w:val="single" w:sz="4" w:space="0" w:color="auto"/>
            </w:tcBorders>
            <w:shd w:val="clear" w:color="auto" w:fill="auto"/>
            <w:noWrap/>
            <w:vAlign w:val="bottom"/>
            <w:hideMark/>
          </w:tcPr>
          <w:p w14:paraId="3619361F" w14:textId="77777777" w:rsidR="00C86459" w:rsidRPr="00B557A2" w:rsidRDefault="00C86459" w:rsidP="00C86459">
            <w:pPr>
              <w:jc w:val="center"/>
              <w:rPr>
                <w:rFonts w:ascii="Open Sans" w:hAnsi="Open Sans"/>
                <w:color w:val="000000"/>
                <w:sz w:val="20"/>
                <w:szCs w:val="20"/>
              </w:rPr>
            </w:pPr>
            <w:r>
              <w:rPr>
                <w:rFonts w:ascii="Open Sans" w:hAnsi="Open Sans"/>
                <w:color w:val="000000"/>
                <w:sz w:val="20"/>
                <w:szCs w:val="20"/>
              </w:rPr>
              <w:t>Delaware - EEUU</w:t>
            </w:r>
          </w:p>
        </w:tc>
        <w:tc>
          <w:tcPr>
            <w:tcW w:w="2891" w:type="dxa"/>
            <w:tcBorders>
              <w:top w:val="nil"/>
              <w:left w:val="nil"/>
              <w:bottom w:val="single" w:sz="4" w:space="0" w:color="auto"/>
              <w:right w:val="single" w:sz="4" w:space="0" w:color="auto"/>
            </w:tcBorders>
            <w:shd w:val="clear" w:color="000000" w:fill="FFFFFF"/>
            <w:vAlign w:val="center"/>
            <w:hideMark/>
          </w:tcPr>
          <w:p w14:paraId="003E01D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59504723"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4E5D0816"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DISTRIBUIDORA DE SEGUROS S.R.L.</w:t>
            </w:r>
          </w:p>
        </w:tc>
        <w:tc>
          <w:tcPr>
            <w:tcW w:w="1673" w:type="dxa"/>
            <w:tcBorders>
              <w:top w:val="nil"/>
              <w:left w:val="nil"/>
              <w:bottom w:val="single" w:sz="4" w:space="0" w:color="auto"/>
              <w:right w:val="single" w:sz="4" w:space="0" w:color="auto"/>
            </w:tcBorders>
            <w:shd w:val="clear" w:color="000000" w:fill="FFFFFF"/>
            <w:vAlign w:val="center"/>
            <w:hideMark/>
          </w:tcPr>
          <w:p w14:paraId="620C21AF"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URUGUAY</w:t>
            </w:r>
          </w:p>
        </w:tc>
        <w:tc>
          <w:tcPr>
            <w:tcW w:w="2891" w:type="dxa"/>
            <w:tcBorders>
              <w:top w:val="nil"/>
              <w:left w:val="nil"/>
              <w:bottom w:val="single" w:sz="4" w:space="0" w:color="auto"/>
              <w:right w:val="single" w:sz="4" w:space="0" w:color="auto"/>
            </w:tcBorders>
            <w:shd w:val="clear" w:color="000000" w:fill="FFFFFF"/>
            <w:vAlign w:val="center"/>
            <w:hideMark/>
          </w:tcPr>
          <w:p w14:paraId="067533C9"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5E615B0D"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7C5EE7E"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GLOBAL FINANCE LTD</w:t>
            </w:r>
          </w:p>
        </w:tc>
        <w:tc>
          <w:tcPr>
            <w:tcW w:w="1673" w:type="dxa"/>
            <w:tcBorders>
              <w:top w:val="nil"/>
              <w:left w:val="nil"/>
              <w:bottom w:val="single" w:sz="4" w:space="0" w:color="auto"/>
              <w:right w:val="single" w:sz="4" w:space="0" w:color="auto"/>
            </w:tcBorders>
            <w:shd w:val="clear" w:color="000000" w:fill="FFFFFF"/>
            <w:vAlign w:val="center"/>
            <w:hideMark/>
          </w:tcPr>
          <w:p w14:paraId="7F5B3D5F"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ISLAS CAIMAN</w:t>
            </w:r>
          </w:p>
        </w:tc>
        <w:tc>
          <w:tcPr>
            <w:tcW w:w="2891" w:type="dxa"/>
            <w:tcBorders>
              <w:top w:val="nil"/>
              <w:left w:val="nil"/>
              <w:bottom w:val="single" w:sz="4" w:space="0" w:color="auto"/>
              <w:right w:val="single" w:sz="4" w:space="0" w:color="auto"/>
            </w:tcBorders>
            <w:shd w:val="clear" w:color="000000" w:fill="FFFFFF"/>
            <w:vAlign w:val="center"/>
            <w:hideMark/>
          </w:tcPr>
          <w:p w14:paraId="6A4E716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18F62033"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57EEEB5F"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 xml:space="preserve">BBVA GLOBAL MARKETS B.V. </w:t>
            </w:r>
          </w:p>
        </w:tc>
        <w:tc>
          <w:tcPr>
            <w:tcW w:w="1673" w:type="dxa"/>
            <w:tcBorders>
              <w:top w:val="nil"/>
              <w:left w:val="nil"/>
              <w:bottom w:val="single" w:sz="4" w:space="0" w:color="auto"/>
              <w:right w:val="single" w:sz="4" w:space="0" w:color="auto"/>
            </w:tcBorders>
            <w:shd w:val="clear" w:color="000000" w:fill="FFFFFF"/>
            <w:vAlign w:val="center"/>
            <w:hideMark/>
          </w:tcPr>
          <w:p w14:paraId="03C879B3"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HOLANDA</w:t>
            </w:r>
          </w:p>
        </w:tc>
        <w:tc>
          <w:tcPr>
            <w:tcW w:w="2891" w:type="dxa"/>
            <w:tcBorders>
              <w:top w:val="nil"/>
              <w:left w:val="nil"/>
              <w:bottom w:val="single" w:sz="4" w:space="0" w:color="auto"/>
              <w:right w:val="single" w:sz="4" w:space="0" w:color="auto"/>
            </w:tcBorders>
            <w:shd w:val="clear" w:color="000000" w:fill="FFFFFF"/>
            <w:vAlign w:val="center"/>
            <w:hideMark/>
          </w:tcPr>
          <w:p w14:paraId="3CF187DE"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7C3526FD"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353E021F"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IRELAND PLC</w:t>
            </w:r>
          </w:p>
        </w:tc>
        <w:tc>
          <w:tcPr>
            <w:tcW w:w="1673" w:type="dxa"/>
            <w:tcBorders>
              <w:top w:val="nil"/>
              <w:left w:val="nil"/>
              <w:bottom w:val="single" w:sz="4" w:space="0" w:color="auto"/>
              <w:right w:val="single" w:sz="4" w:space="0" w:color="auto"/>
            </w:tcBorders>
            <w:shd w:val="clear" w:color="000000" w:fill="FFFFFF"/>
            <w:vAlign w:val="center"/>
            <w:hideMark/>
          </w:tcPr>
          <w:p w14:paraId="26E41E9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IRLANDA</w:t>
            </w:r>
          </w:p>
        </w:tc>
        <w:tc>
          <w:tcPr>
            <w:tcW w:w="2891" w:type="dxa"/>
            <w:tcBorders>
              <w:top w:val="nil"/>
              <w:left w:val="nil"/>
              <w:bottom w:val="single" w:sz="4" w:space="0" w:color="auto"/>
              <w:right w:val="single" w:sz="4" w:space="0" w:color="auto"/>
            </w:tcBorders>
            <w:shd w:val="clear" w:color="000000" w:fill="FFFFFF"/>
            <w:vAlign w:val="center"/>
            <w:hideMark/>
          </w:tcPr>
          <w:p w14:paraId="1875D9E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72DED8E3"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E25C155"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 xml:space="preserve">BBVA LUXINVEST, S.A. </w:t>
            </w:r>
          </w:p>
        </w:tc>
        <w:tc>
          <w:tcPr>
            <w:tcW w:w="1673" w:type="dxa"/>
            <w:tcBorders>
              <w:top w:val="nil"/>
              <w:left w:val="nil"/>
              <w:bottom w:val="single" w:sz="4" w:space="0" w:color="auto"/>
              <w:right w:val="single" w:sz="4" w:space="0" w:color="auto"/>
            </w:tcBorders>
            <w:shd w:val="clear" w:color="000000" w:fill="FFFFFF"/>
            <w:vAlign w:val="center"/>
            <w:hideMark/>
          </w:tcPr>
          <w:p w14:paraId="2976927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LUXEMBURGO</w:t>
            </w:r>
          </w:p>
        </w:tc>
        <w:tc>
          <w:tcPr>
            <w:tcW w:w="2891" w:type="dxa"/>
            <w:tcBorders>
              <w:top w:val="nil"/>
              <w:left w:val="nil"/>
              <w:bottom w:val="single" w:sz="4" w:space="0" w:color="auto"/>
              <w:right w:val="single" w:sz="4" w:space="0" w:color="auto"/>
            </w:tcBorders>
            <w:shd w:val="clear" w:color="000000" w:fill="FFFFFF"/>
            <w:vAlign w:val="center"/>
            <w:hideMark/>
          </w:tcPr>
          <w:p w14:paraId="44DD24F0"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310AD0A3"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auto" w:fill="auto"/>
            <w:hideMark/>
          </w:tcPr>
          <w:p w14:paraId="6A33642A"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PARAGUAY S.A.</w:t>
            </w:r>
          </w:p>
        </w:tc>
        <w:tc>
          <w:tcPr>
            <w:tcW w:w="1673" w:type="dxa"/>
            <w:tcBorders>
              <w:top w:val="nil"/>
              <w:left w:val="nil"/>
              <w:bottom w:val="single" w:sz="4" w:space="0" w:color="auto"/>
              <w:right w:val="single" w:sz="4" w:space="0" w:color="auto"/>
            </w:tcBorders>
            <w:shd w:val="clear" w:color="auto" w:fill="auto"/>
            <w:hideMark/>
          </w:tcPr>
          <w:p w14:paraId="5096881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PARAGUAY</w:t>
            </w:r>
          </w:p>
        </w:tc>
        <w:tc>
          <w:tcPr>
            <w:tcW w:w="2891" w:type="dxa"/>
            <w:tcBorders>
              <w:top w:val="nil"/>
              <w:left w:val="nil"/>
              <w:bottom w:val="single" w:sz="4" w:space="0" w:color="auto"/>
              <w:right w:val="single" w:sz="4" w:space="0" w:color="auto"/>
            </w:tcBorders>
            <w:shd w:val="clear" w:color="auto" w:fill="auto"/>
            <w:hideMark/>
          </w:tcPr>
          <w:p w14:paraId="39EF6BE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BANCA</w:t>
            </w:r>
          </w:p>
        </w:tc>
      </w:tr>
      <w:tr w:rsidR="00C86459" w:rsidRPr="00B557A2" w14:paraId="4B1C4A94"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6F2C9A5"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RE LIMITED</w:t>
            </w:r>
          </w:p>
        </w:tc>
        <w:tc>
          <w:tcPr>
            <w:tcW w:w="1673" w:type="dxa"/>
            <w:tcBorders>
              <w:top w:val="nil"/>
              <w:left w:val="nil"/>
              <w:bottom w:val="single" w:sz="4" w:space="0" w:color="auto"/>
              <w:right w:val="single" w:sz="4" w:space="0" w:color="auto"/>
            </w:tcBorders>
            <w:shd w:val="clear" w:color="000000" w:fill="FFFFFF"/>
            <w:vAlign w:val="center"/>
            <w:hideMark/>
          </w:tcPr>
          <w:p w14:paraId="2B2E7CE9"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IRLANDA</w:t>
            </w:r>
          </w:p>
        </w:tc>
        <w:tc>
          <w:tcPr>
            <w:tcW w:w="2891" w:type="dxa"/>
            <w:tcBorders>
              <w:top w:val="nil"/>
              <w:left w:val="nil"/>
              <w:bottom w:val="single" w:sz="4" w:space="0" w:color="auto"/>
              <w:right w:val="single" w:sz="4" w:space="0" w:color="auto"/>
            </w:tcBorders>
            <w:shd w:val="clear" w:color="000000" w:fill="FFFFFF"/>
            <w:vAlign w:val="center"/>
            <w:hideMark/>
          </w:tcPr>
          <w:p w14:paraId="317AB270"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SEGUROS</w:t>
            </w:r>
          </w:p>
        </w:tc>
      </w:tr>
      <w:tr w:rsidR="00C86459" w:rsidRPr="00B557A2" w14:paraId="25433A52"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765EC15"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SECURITIES INC.</w:t>
            </w:r>
          </w:p>
        </w:tc>
        <w:tc>
          <w:tcPr>
            <w:tcW w:w="1673" w:type="dxa"/>
            <w:tcBorders>
              <w:top w:val="nil"/>
              <w:left w:val="nil"/>
              <w:bottom w:val="single" w:sz="4" w:space="0" w:color="auto"/>
              <w:right w:val="single" w:sz="4" w:space="0" w:color="auto"/>
            </w:tcBorders>
            <w:shd w:val="clear" w:color="auto" w:fill="auto"/>
            <w:noWrap/>
            <w:vAlign w:val="bottom"/>
            <w:hideMark/>
          </w:tcPr>
          <w:p w14:paraId="3C1E8CB7" w14:textId="77777777" w:rsidR="00C86459" w:rsidRPr="00B557A2" w:rsidRDefault="00C86459" w:rsidP="00C86459">
            <w:pPr>
              <w:jc w:val="center"/>
              <w:rPr>
                <w:rFonts w:ascii="Open Sans" w:hAnsi="Open Sans"/>
                <w:color w:val="000000"/>
                <w:sz w:val="20"/>
                <w:szCs w:val="20"/>
              </w:rPr>
            </w:pPr>
            <w:r>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7B090CF6"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0934C6CA"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F21267F"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BBVA SUIZA, S.A. (BBVA SWITZERLAND)</w:t>
            </w:r>
          </w:p>
        </w:tc>
        <w:tc>
          <w:tcPr>
            <w:tcW w:w="1673" w:type="dxa"/>
            <w:tcBorders>
              <w:top w:val="nil"/>
              <w:left w:val="nil"/>
              <w:bottom w:val="single" w:sz="4" w:space="0" w:color="auto"/>
              <w:right w:val="single" w:sz="4" w:space="0" w:color="auto"/>
            </w:tcBorders>
            <w:shd w:val="clear" w:color="000000" w:fill="FFFFFF"/>
            <w:vAlign w:val="center"/>
            <w:hideMark/>
          </w:tcPr>
          <w:p w14:paraId="55CE8D48"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SUIZA</w:t>
            </w:r>
          </w:p>
        </w:tc>
        <w:tc>
          <w:tcPr>
            <w:tcW w:w="2891" w:type="dxa"/>
            <w:tcBorders>
              <w:top w:val="nil"/>
              <w:left w:val="nil"/>
              <w:bottom w:val="single" w:sz="4" w:space="0" w:color="auto"/>
              <w:right w:val="single" w:sz="4" w:space="0" w:color="auto"/>
            </w:tcBorders>
            <w:shd w:val="clear" w:color="000000" w:fill="FFFFFF"/>
            <w:vAlign w:val="center"/>
            <w:hideMark/>
          </w:tcPr>
          <w:p w14:paraId="700EF75E"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BANCA</w:t>
            </w:r>
          </w:p>
        </w:tc>
      </w:tr>
      <w:tr w:rsidR="00C86459" w:rsidRPr="00B557A2" w14:paraId="0CF0708E"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48BAEDC0"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COMPASS ASSET ACCEPTANCE COMPANY, LLC</w:t>
            </w:r>
          </w:p>
        </w:tc>
        <w:tc>
          <w:tcPr>
            <w:tcW w:w="1673" w:type="dxa"/>
            <w:tcBorders>
              <w:top w:val="nil"/>
              <w:left w:val="nil"/>
              <w:bottom w:val="single" w:sz="4" w:space="0" w:color="auto"/>
              <w:right w:val="single" w:sz="4" w:space="0" w:color="auto"/>
            </w:tcBorders>
            <w:shd w:val="clear" w:color="auto" w:fill="auto"/>
            <w:noWrap/>
            <w:hideMark/>
          </w:tcPr>
          <w:p w14:paraId="463FCBB2"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1876498D"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SIN ACTIVIDAD</w:t>
            </w:r>
          </w:p>
        </w:tc>
      </w:tr>
      <w:tr w:rsidR="00C86459" w:rsidRPr="00B557A2" w14:paraId="222AE61F"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F1AB240"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AUTO RECEIVABLES CORPORATION</w:t>
            </w:r>
          </w:p>
        </w:tc>
        <w:tc>
          <w:tcPr>
            <w:tcW w:w="1673" w:type="dxa"/>
            <w:tcBorders>
              <w:top w:val="nil"/>
              <w:left w:val="nil"/>
              <w:bottom w:val="single" w:sz="4" w:space="0" w:color="auto"/>
              <w:right w:val="single" w:sz="4" w:space="0" w:color="auto"/>
            </w:tcBorders>
            <w:shd w:val="clear" w:color="auto" w:fill="auto"/>
            <w:noWrap/>
            <w:hideMark/>
          </w:tcPr>
          <w:p w14:paraId="3E354A12"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1D676218"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SIN ACTIVIDAD</w:t>
            </w:r>
          </w:p>
        </w:tc>
      </w:tr>
      <w:tr w:rsidR="00C86459" w:rsidRPr="00B557A2" w14:paraId="50978426"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62CAFDF7"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w:t>
            </w:r>
            <w:r>
              <w:rPr>
                <w:rFonts w:ascii="Open Sans" w:hAnsi="Open Sans" w:cs="Arial"/>
                <w:sz w:val="20"/>
                <w:szCs w:val="20"/>
              </w:rPr>
              <w:t>OMPASS</w:t>
            </w:r>
            <w:r w:rsidRPr="00B557A2">
              <w:rPr>
                <w:rFonts w:ascii="Open Sans" w:hAnsi="Open Sans" w:cs="Arial"/>
                <w:sz w:val="20"/>
                <w:szCs w:val="20"/>
              </w:rPr>
              <w:t xml:space="preserve"> GP, Inc. </w:t>
            </w:r>
          </w:p>
        </w:tc>
        <w:tc>
          <w:tcPr>
            <w:tcW w:w="1673" w:type="dxa"/>
            <w:tcBorders>
              <w:top w:val="nil"/>
              <w:left w:val="nil"/>
              <w:bottom w:val="single" w:sz="4" w:space="0" w:color="auto"/>
              <w:right w:val="single" w:sz="4" w:space="0" w:color="auto"/>
            </w:tcBorders>
            <w:shd w:val="clear" w:color="auto" w:fill="auto"/>
            <w:noWrap/>
            <w:hideMark/>
          </w:tcPr>
          <w:p w14:paraId="207DCA3E"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14C47A60"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1A44D413"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5FB58663"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INVESTMENTS, INC.</w:t>
            </w:r>
          </w:p>
        </w:tc>
        <w:tc>
          <w:tcPr>
            <w:tcW w:w="1673" w:type="dxa"/>
            <w:tcBorders>
              <w:top w:val="nil"/>
              <w:left w:val="nil"/>
              <w:bottom w:val="single" w:sz="4" w:space="0" w:color="auto"/>
              <w:right w:val="single" w:sz="4" w:space="0" w:color="auto"/>
            </w:tcBorders>
            <w:shd w:val="clear" w:color="auto" w:fill="auto"/>
            <w:noWrap/>
            <w:hideMark/>
          </w:tcPr>
          <w:p w14:paraId="51F162F9"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346ED096"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SIN ACTIVIDAD</w:t>
            </w:r>
          </w:p>
        </w:tc>
      </w:tr>
      <w:tr w:rsidR="00C86459" w:rsidRPr="00B557A2" w14:paraId="593A5C05"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5D889E9D"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w:t>
            </w:r>
            <w:r>
              <w:rPr>
                <w:rFonts w:ascii="Open Sans" w:hAnsi="Open Sans" w:cs="Arial"/>
                <w:sz w:val="20"/>
                <w:szCs w:val="20"/>
              </w:rPr>
              <w:t xml:space="preserve">OMPASS LIMITED PARTNER, </w:t>
            </w:r>
            <w:r w:rsidRPr="00B557A2">
              <w:rPr>
                <w:rFonts w:ascii="Open Sans" w:hAnsi="Open Sans" w:cs="Arial"/>
                <w:sz w:val="20"/>
                <w:szCs w:val="20"/>
              </w:rPr>
              <w:t xml:space="preserve">Inc. </w:t>
            </w:r>
          </w:p>
        </w:tc>
        <w:tc>
          <w:tcPr>
            <w:tcW w:w="1673" w:type="dxa"/>
            <w:tcBorders>
              <w:top w:val="nil"/>
              <w:left w:val="nil"/>
              <w:bottom w:val="single" w:sz="4" w:space="0" w:color="auto"/>
              <w:right w:val="single" w:sz="4" w:space="0" w:color="auto"/>
            </w:tcBorders>
            <w:shd w:val="clear" w:color="auto" w:fill="auto"/>
            <w:noWrap/>
            <w:hideMark/>
          </w:tcPr>
          <w:p w14:paraId="5D39D256"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0E471D43"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19D44BC1"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2EE90D00"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MORTGAGE CORPORATION</w:t>
            </w:r>
          </w:p>
        </w:tc>
        <w:tc>
          <w:tcPr>
            <w:tcW w:w="1673" w:type="dxa"/>
            <w:tcBorders>
              <w:top w:val="nil"/>
              <w:left w:val="nil"/>
              <w:bottom w:val="single" w:sz="4" w:space="0" w:color="auto"/>
              <w:right w:val="single" w:sz="4" w:space="0" w:color="auto"/>
            </w:tcBorders>
            <w:shd w:val="clear" w:color="auto" w:fill="auto"/>
            <w:noWrap/>
            <w:hideMark/>
          </w:tcPr>
          <w:p w14:paraId="3DA48308"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6B438F10"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1A655A90"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06AF72B"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MORTGAGE FINANCING, INC.</w:t>
            </w:r>
          </w:p>
        </w:tc>
        <w:tc>
          <w:tcPr>
            <w:tcW w:w="1673" w:type="dxa"/>
            <w:tcBorders>
              <w:top w:val="nil"/>
              <w:left w:val="nil"/>
              <w:bottom w:val="single" w:sz="4" w:space="0" w:color="auto"/>
              <w:right w:val="single" w:sz="4" w:space="0" w:color="auto"/>
            </w:tcBorders>
            <w:shd w:val="clear" w:color="auto" w:fill="auto"/>
            <w:noWrap/>
            <w:hideMark/>
          </w:tcPr>
          <w:p w14:paraId="2298EE1C"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5FF37892"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3BC5929C"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3D4FF61E"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SOUTHWEST, LP</w:t>
            </w:r>
          </w:p>
        </w:tc>
        <w:tc>
          <w:tcPr>
            <w:tcW w:w="1673" w:type="dxa"/>
            <w:tcBorders>
              <w:top w:val="nil"/>
              <w:left w:val="nil"/>
              <w:bottom w:val="single" w:sz="4" w:space="0" w:color="auto"/>
              <w:right w:val="single" w:sz="4" w:space="0" w:color="auto"/>
            </w:tcBorders>
            <w:shd w:val="clear" w:color="auto" w:fill="auto"/>
            <w:noWrap/>
            <w:hideMark/>
          </w:tcPr>
          <w:p w14:paraId="3FA1B264"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394589D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7094E7BE"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25964988"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SOUTHWEST, LP</w:t>
            </w:r>
          </w:p>
        </w:tc>
        <w:tc>
          <w:tcPr>
            <w:tcW w:w="1673" w:type="dxa"/>
            <w:tcBorders>
              <w:top w:val="nil"/>
              <w:left w:val="nil"/>
              <w:bottom w:val="single" w:sz="4" w:space="0" w:color="auto"/>
              <w:right w:val="single" w:sz="4" w:space="0" w:color="auto"/>
            </w:tcBorders>
            <w:shd w:val="clear" w:color="auto" w:fill="auto"/>
            <w:noWrap/>
            <w:hideMark/>
          </w:tcPr>
          <w:p w14:paraId="118FBE9A"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528FC56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0C8F4EC9"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B8B505F"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TEXAS ACQUISITION CORPORATION</w:t>
            </w:r>
          </w:p>
        </w:tc>
        <w:tc>
          <w:tcPr>
            <w:tcW w:w="1673" w:type="dxa"/>
            <w:tcBorders>
              <w:top w:val="nil"/>
              <w:left w:val="nil"/>
              <w:bottom w:val="single" w:sz="4" w:space="0" w:color="auto"/>
              <w:right w:val="single" w:sz="4" w:space="0" w:color="auto"/>
            </w:tcBorders>
            <w:shd w:val="clear" w:color="auto" w:fill="auto"/>
            <w:noWrap/>
            <w:hideMark/>
          </w:tcPr>
          <w:p w14:paraId="4A97192A"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21AD3321"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SIN ACTIVIDAD</w:t>
            </w:r>
          </w:p>
        </w:tc>
      </w:tr>
      <w:tr w:rsidR="00C86459" w:rsidRPr="00B557A2" w14:paraId="4A3FABB8"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0CE27AB"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COMPASS TEXAS MORTGAGE FINANCING, INC.</w:t>
            </w:r>
          </w:p>
        </w:tc>
        <w:tc>
          <w:tcPr>
            <w:tcW w:w="1673" w:type="dxa"/>
            <w:tcBorders>
              <w:top w:val="nil"/>
              <w:left w:val="nil"/>
              <w:bottom w:val="single" w:sz="4" w:space="0" w:color="auto"/>
              <w:right w:val="single" w:sz="4" w:space="0" w:color="auto"/>
            </w:tcBorders>
            <w:shd w:val="clear" w:color="auto" w:fill="auto"/>
            <w:noWrap/>
            <w:hideMark/>
          </w:tcPr>
          <w:p w14:paraId="2FD4C33C"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10528EDF"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5E928593"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7ABA038"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COMPASS TRUST II</w:t>
            </w:r>
          </w:p>
        </w:tc>
        <w:tc>
          <w:tcPr>
            <w:tcW w:w="1673" w:type="dxa"/>
            <w:tcBorders>
              <w:top w:val="nil"/>
              <w:left w:val="nil"/>
              <w:bottom w:val="single" w:sz="4" w:space="0" w:color="auto"/>
              <w:right w:val="single" w:sz="4" w:space="0" w:color="auto"/>
            </w:tcBorders>
            <w:shd w:val="clear" w:color="auto" w:fill="auto"/>
            <w:noWrap/>
            <w:hideMark/>
          </w:tcPr>
          <w:p w14:paraId="5E2E26CF" w14:textId="77777777" w:rsidR="00C86459" w:rsidRDefault="00C86459" w:rsidP="00C86459">
            <w:pPr>
              <w:jc w:val="center"/>
            </w:pPr>
            <w:r w:rsidRPr="00BA322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2B93C252"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SIN ACTIVIDAD</w:t>
            </w:r>
          </w:p>
        </w:tc>
      </w:tr>
      <w:tr w:rsidR="00C86459" w:rsidRPr="00B557A2" w14:paraId="2064B8B2"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361B44AD"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CONTINENTAL DPR FINANCE COMPANY</w:t>
            </w:r>
          </w:p>
        </w:tc>
        <w:tc>
          <w:tcPr>
            <w:tcW w:w="1673" w:type="dxa"/>
            <w:tcBorders>
              <w:top w:val="nil"/>
              <w:left w:val="nil"/>
              <w:bottom w:val="single" w:sz="4" w:space="0" w:color="auto"/>
              <w:right w:val="single" w:sz="4" w:space="0" w:color="auto"/>
            </w:tcBorders>
            <w:shd w:val="clear" w:color="000000" w:fill="FFFFFF"/>
            <w:vAlign w:val="center"/>
            <w:hideMark/>
          </w:tcPr>
          <w:p w14:paraId="4F266661"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ISLAS CAIMAN</w:t>
            </w:r>
          </w:p>
        </w:tc>
        <w:tc>
          <w:tcPr>
            <w:tcW w:w="2891" w:type="dxa"/>
            <w:tcBorders>
              <w:top w:val="nil"/>
              <w:left w:val="nil"/>
              <w:bottom w:val="single" w:sz="4" w:space="0" w:color="auto"/>
              <w:right w:val="single" w:sz="4" w:space="0" w:color="auto"/>
            </w:tcBorders>
            <w:shd w:val="clear" w:color="000000" w:fill="FFFFFF"/>
            <w:vAlign w:val="center"/>
            <w:hideMark/>
          </w:tcPr>
          <w:p w14:paraId="0F3286A9"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5CBC9993"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530E3A16"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EMPRENDIMIENTOS DE VALOR S.A.</w:t>
            </w:r>
          </w:p>
        </w:tc>
        <w:tc>
          <w:tcPr>
            <w:tcW w:w="1673" w:type="dxa"/>
            <w:tcBorders>
              <w:top w:val="nil"/>
              <w:left w:val="nil"/>
              <w:bottom w:val="single" w:sz="4" w:space="0" w:color="auto"/>
              <w:right w:val="single" w:sz="4" w:space="0" w:color="auto"/>
            </w:tcBorders>
            <w:shd w:val="clear" w:color="000000" w:fill="FFFFFF"/>
            <w:vAlign w:val="center"/>
            <w:hideMark/>
          </w:tcPr>
          <w:p w14:paraId="63D74B63"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URUGUAY</w:t>
            </w:r>
          </w:p>
        </w:tc>
        <w:tc>
          <w:tcPr>
            <w:tcW w:w="2891" w:type="dxa"/>
            <w:tcBorders>
              <w:top w:val="nil"/>
              <w:left w:val="nil"/>
              <w:bottom w:val="single" w:sz="4" w:space="0" w:color="auto"/>
              <w:right w:val="single" w:sz="4" w:space="0" w:color="auto"/>
            </w:tcBorders>
            <w:shd w:val="clear" w:color="000000" w:fill="FFFFFF"/>
            <w:vAlign w:val="center"/>
            <w:hideMark/>
          </w:tcPr>
          <w:p w14:paraId="5573F64C"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0305745D"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auto" w:fill="auto"/>
            <w:hideMark/>
          </w:tcPr>
          <w:p w14:paraId="4A5C7FAF"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G NETHERLANDS BV</w:t>
            </w:r>
          </w:p>
        </w:tc>
        <w:tc>
          <w:tcPr>
            <w:tcW w:w="1673" w:type="dxa"/>
            <w:tcBorders>
              <w:top w:val="nil"/>
              <w:left w:val="nil"/>
              <w:bottom w:val="single" w:sz="4" w:space="0" w:color="auto"/>
              <w:right w:val="single" w:sz="4" w:space="0" w:color="auto"/>
            </w:tcBorders>
            <w:shd w:val="clear" w:color="auto" w:fill="auto"/>
            <w:hideMark/>
          </w:tcPr>
          <w:p w14:paraId="599B29E6"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HOLANDA</w:t>
            </w:r>
          </w:p>
        </w:tc>
        <w:tc>
          <w:tcPr>
            <w:tcW w:w="2891" w:type="dxa"/>
            <w:tcBorders>
              <w:top w:val="nil"/>
              <w:left w:val="nil"/>
              <w:bottom w:val="single" w:sz="4" w:space="0" w:color="auto"/>
              <w:right w:val="single" w:sz="4" w:space="0" w:color="auto"/>
            </w:tcBorders>
            <w:shd w:val="clear" w:color="auto" w:fill="auto"/>
            <w:hideMark/>
          </w:tcPr>
          <w:p w14:paraId="30A347C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7E2C6917"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auto" w:fill="auto"/>
            <w:hideMark/>
          </w:tcPr>
          <w:p w14:paraId="034DC9D0"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GARANTI DIVESIFIED PAYMENT RIGHTS FINANCE COMPANY</w:t>
            </w:r>
          </w:p>
        </w:tc>
        <w:tc>
          <w:tcPr>
            <w:tcW w:w="1673" w:type="dxa"/>
            <w:tcBorders>
              <w:top w:val="nil"/>
              <w:left w:val="nil"/>
              <w:bottom w:val="single" w:sz="4" w:space="0" w:color="auto"/>
              <w:right w:val="single" w:sz="4" w:space="0" w:color="auto"/>
            </w:tcBorders>
            <w:shd w:val="clear" w:color="auto" w:fill="auto"/>
            <w:hideMark/>
          </w:tcPr>
          <w:p w14:paraId="5A43E29E"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ISLAS CAYMÁN</w:t>
            </w:r>
          </w:p>
        </w:tc>
        <w:tc>
          <w:tcPr>
            <w:tcW w:w="2891" w:type="dxa"/>
            <w:tcBorders>
              <w:top w:val="nil"/>
              <w:left w:val="nil"/>
              <w:bottom w:val="single" w:sz="4" w:space="0" w:color="auto"/>
              <w:right w:val="single" w:sz="4" w:space="0" w:color="auto"/>
            </w:tcBorders>
            <w:shd w:val="clear" w:color="auto" w:fill="auto"/>
            <w:hideMark/>
          </w:tcPr>
          <w:p w14:paraId="79599EC2"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52D49418"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auto" w:fill="auto"/>
            <w:hideMark/>
          </w:tcPr>
          <w:p w14:paraId="08C897DC"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GARANTI HOLDING BV</w:t>
            </w:r>
          </w:p>
        </w:tc>
        <w:tc>
          <w:tcPr>
            <w:tcW w:w="1673" w:type="dxa"/>
            <w:tcBorders>
              <w:top w:val="nil"/>
              <w:left w:val="nil"/>
              <w:bottom w:val="single" w:sz="4" w:space="0" w:color="auto"/>
              <w:right w:val="single" w:sz="4" w:space="0" w:color="auto"/>
            </w:tcBorders>
            <w:shd w:val="clear" w:color="auto" w:fill="auto"/>
            <w:hideMark/>
          </w:tcPr>
          <w:p w14:paraId="12769A2F"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HOLANDA</w:t>
            </w:r>
          </w:p>
        </w:tc>
        <w:tc>
          <w:tcPr>
            <w:tcW w:w="2891" w:type="dxa"/>
            <w:tcBorders>
              <w:top w:val="nil"/>
              <w:left w:val="nil"/>
              <w:bottom w:val="single" w:sz="4" w:space="0" w:color="auto"/>
              <w:right w:val="single" w:sz="4" w:space="0" w:color="auto"/>
            </w:tcBorders>
            <w:shd w:val="clear" w:color="auto" w:fill="auto"/>
            <w:noWrap/>
            <w:hideMark/>
          </w:tcPr>
          <w:p w14:paraId="6B05A69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5249812F"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auto" w:fill="auto"/>
            <w:hideMark/>
          </w:tcPr>
          <w:p w14:paraId="40424133"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 xml:space="preserve">GARANTIBANK INTERNATIONAL NV </w:t>
            </w:r>
          </w:p>
        </w:tc>
        <w:tc>
          <w:tcPr>
            <w:tcW w:w="1673" w:type="dxa"/>
            <w:tcBorders>
              <w:top w:val="nil"/>
              <w:left w:val="nil"/>
              <w:bottom w:val="single" w:sz="4" w:space="0" w:color="auto"/>
              <w:right w:val="single" w:sz="4" w:space="0" w:color="auto"/>
            </w:tcBorders>
            <w:shd w:val="clear" w:color="auto" w:fill="auto"/>
            <w:hideMark/>
          </w:tcPr>
          <w:p w14:paraId="48CC0B42"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HOLANDA</w:t>
            </w:r>
          </w:p>
        </w:tc>
        <w:tc>
          <w:tcPr>
            <w:tcW w:w="2891" w:type="dxa"/>
            <w:tcBorders>
              <w:top w:val="nil"/>
              <w:left w:val="nil"/>
              <w:bottom w:val="single" w:sz="4" w:space="0" w:color="auto"/>
              <w:right w:val="single" w:sz="4" w:space="0" w:color="auto"/>
            </w:tcBorders>
            <w:shd w:val="clear" w:color="auto" w:fill="auto"/>
            <w:noWrap/>
            <w:hideMark/>
          </w:tcPr>
          <w:p w14:paraId="56D8B2A0"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BANCA</w:t>
            </w:r>
          </w:p>
        </w:tc>
      </w:tr>
      <w:tr w:rsidR="00C86459" w:rsidRPr="00B557A2" w14:paraId="5F66B337"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68EDD8D7"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GUARANTY BUSINESS CREDIT CORPORATION</w:t>
            </w:r>
          </w:p>
        </w:tc>
        <w:tc>
          <w:tcPr>
            <w:tcW w:w="1673" w:type="dxa"/>
            <w:tcBorders>
              <w:top w:val="nil"/>
              <w:left w:val="nil"/>
              <w:bottom w:val="single" w:sz="4" w:space="0" w:color="auto"/>
              <w:right w:val="single" w:sz="4" w:space="0" w:color="auto"/>
            </w:tcBorders>
            <w:shd w:val="clear" w:color="auto" w:fill="auto"/>
            <w:noWrap/>
            <w:hideMark/>
          </w:tcPr>
          <w:p w14:paraId="07A4981C" w14:textId="77777777" w:rsidR="00C86459" w:rsidRDefault="00C86459" w:rsidP="00C86459">
            <w:pPr>
              <w:jc w:val="center"/>
            </w:pPr>
            <w:r w:rsidRPr="002134C7">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506C222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7C051512"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1F633A7"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GUARANTY PLUS PROPERTIES INC. - I</w:t>
            </w:r>
          </w:p>
        </w:tc>
        <w:tc>
          <w:tcPr>
            <w:tcW w:w="1673" w:type="dxa"/>
            <w:tcBorders>
              <w:top w:val="nil"/>
              <w:left w:val="nil"/>
              <w:bottom w:val="single" w:sz="4" w:space="0" w:color="auto"/>
              <w:right w:val="single" w:sz="4" w:space="0" w:color="auto"/>
            </w:tcBorders>
            <w:shd w:val="clear" w:color="auto" w:fill="auto"/>
            <w:noWrap/>
            <w:hideMark/>
          </w:tcPr>
          <w:p w14:paraId="5D284C02" w14:textId="77777777" w:rsidR="00C86459" w:rsidRDefault="00C86459" w:rsidP="00C86459">
            <w:pPr>
              <w:jc w:val="center"/>
            </w:pPr>
            <w:r w:rsidRPr="002134C7">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6DF8C75C"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691E4BA1"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6A064F18"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HIPOTECARIA NACIONAL MEXICANA INCORPORATED</w:t>
            </w:r>
          </w:p>
        </w:tc>
        <w:tc>
          <w:tcPr>
            <w:tcW w:w="1673" w:type="dxa"/>
            <w:tcBorders>
              <w:top w:val="nil"/>
              <w:left w:val="nil"/>
              <w:bottom w:val="single" w:sz="4" w:space="0" w:color="auto"/>
              <w:right w:val="single" w:sz="4" w:space="0" w:color="auto"/>
            </w:tcBorders>
            <w:shd w:val="clear" w:color="auto" w:fill="auto"/>
            <w:noWrap/>
            <w:hideMark/>
          </w:tcPr>
          <w:p w14:paraId="0F1539CB" w14:textId="77777777" w:rsidR="00C86459" w:rsidRDefault="00C86459" w:rsidP="00C86459">
            <w:pPr>
              <w:jc w:val="center"/>
            </w:pPr>
            <w:r w:rsidRPr="002134C7">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3C56CDB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INMOBILIARIA</w:t>
            </w:r>
          </w:p>
        </w:tc>
      </w:tr>
      <w:tr w:rsidR="00C86459" w:rsidRPr="00B557A2" w14:paraId="1A958CEB"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4A484624"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HOMEOWNERS LOAN CORPORATION</w:t>
            </w:r>
          </w:p>
        </w:tc>
        <w:tc>
          <w:tcPr>
            <w:tcW w:w="1673" w:type="dxa"/>
            <w:tcBorders>
              <w:top w:val="nil"/>
              <w:left w:val="nil"/>
              <w:bottom w:val="single" w:sz="4" w:space="0" w:color="auto"/>
              <w:right w:val="single" w:sz="4" w:space="0" w:color="auto"/>
            </w:tcBorders>
            <w:shd w:val="clear" w:color="auto" w:fill="auto"/>
            <w:noWrap/>
            <w:hideMark/>
          </w:tcPr>
          <w:p w14:paraId="51B7A712" w14:textId="77777777" w:rsidR="00C86459" w:rsidRDefault="00C86459" w:rsidP="00C86459">
            <w:pPr>
              <w:jc w:val="center"/>
            </w:pPr>
            <w:r w:rsidRPr="002134C7">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0D914F22"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EN LIQUIDACION</w:t>
            </w:r>
          </w:p>
        </w:tc>
      </w:tr>
      <w:tr w:rsidR="00C86459" w:rsidRPr="00B557A2" w14:paraId="7D092F04"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64BC45F"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HUMAN RESOURCES SUPPORT, INC</w:t>
            </w:r>
          </w:p>
        </w:tc>
        <w:tc>
          <w:tcPr>
            <w:tcW w:w="1673" w:type="dxa"/>
            <w:tcBorders>
              <w:top w:val="nil"/>
              <w:left w:val="nil"/>
              <w:bottom w:val="single" w:sz="4" w:space="0" w:color="auto"/>
              <w:right w:val="single" w:sz="4" w:space="0" w:color="auto"/>
            </w:tcBorders>
            <w:shd w:val="clear" w:color="auto" w:fill="auto"/>
            <w:noWrap/>
            <w:hideMark/>
          </w:tcPr>
          <w:p w14:paraId="53B968C5" w14:textId="77777777" w:rsidR="00C86459" w:rsidRDefault="00C86459" w:rsidP="00C86459">
            <w:pPr>
              <w:jc w:val="center"/>
            </w:pPr>
            <w:r w:rsidRPr="002134C7">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0AF53BF0"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 xml:space="preserve">SERVICIOS  </w:t>
            </w:r>
          </w:p>
        </w:tc>
      </w:tr>
      <w:tr w:rsidR="00C86459" w:rsidRPr="00B557A2" w14:paraId="27ABD6B1"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645D9B92"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INVERSIONES BANPRO INTERNATIONAL INC. N.V.</w:t>
            </w:r>
          </w:p>
        </w:tc>
        <w:tc>
          <w:tcPr>
            <w:tcW w:w="1673" w:type="dxa"/>
            <w:tcBorders>
              <w:top w:val="nil"/>
              <w:left w:val="nil"/>
              <w:bottom w:val="single" w:sz="4" w:space="0" w:color="auto"/>
              <w:right w:val="single" w:sz="4" w:space="0" w:color="auto"/>
            </w:tcBorders>
            <w:shd w:val="clear" w:color="000000" w:fill="FFFFFF"/>
            <w:vAlign w:val="center"/>
            <w:hideMark/>
          </w:tcPr>
          <w:p w14:paraId="76261843" w14:textId="77777777" w:rsidR="00C86459" w:rsidRPr="00B557A2" w:rsidRDefault="00C86459" w:rsidP="00C86459">
            <w:pPr>
              <w:jc w:val="center"/>
              <w:rPr>
                <w:rFonts w:ascii="Open Sans" w:hAnsi="Open Sans" w:cs="Arial"/>
                <w:sz w:val="20"/>
                <w:szCs w:val="20"/>
              </w:rPr>
            </w:pPr>
            <w:r>
              <w:rPr>
                <w:rFonts w:ascii="Open Sans" w:hAnsi="Open Sans" w:cs="Arial"/>
                <w:sz w:val="20"/>
                <w:szCs w:val="20"/>
              </w:rPr>
              <w:t>CURAÇ</w:t>
            </w:r>
            <w:r w:rsidRPr="00B557A2">
              <w:rPr>
                <w:rFonts w:ascii="Open Sans" w:hAnsi="Open Sans" w:cs="Arial"/>
                <w:sz w:val="20"/>
                <w:szCs w:val="20"/>
              </w:rPr>
              <w:t>AO</w:t>
            </w:r>
          </w:p>
        </w:tc>
        <w:tc>
          <w:tcPr>
            <w:tcW w:w="2891" w:type="dxa"/>
            <w:tcBorders>
              <w:top w:val="nil"/>
              <w:left w:val="nil"/>
              <w:bottom w:val="single" w:sz="4" w:space="0" w:color="auto"/>
              <w:right w:val="single" w:sz="4" w:space="0" w:color="auto"/>
            </w:tcBorders>
            <w:shd w:val="clear" w:color="000000" w:fill="FFFFFF"/>
            <w:vAlign w:val="center"/>
            <w:hideMark/>
          </w:tcPr>
          <w:p w14:paraId="2E7DB59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68479B9C"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6581BAC"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 xml:space="preserve">INVESCO MANAGEMENT Nº1, S.A. </w:t>
            </w:r>
          </w:p>
        </w:tc>
        <w:tc>
          <w:tcPr>
            <w:tcW w:w="1673" w:type="dxa"/>
            <w:tcBorders>
              <w:top w:val="nil"/>
              <w:left w:val="nil"/>
              <w:bottom w:val="single" w:sz="4" w:space="0" w:color="auto"/>
              <w:right w:val="single" w:sz="4" w:space="0" w:color="auto"/>
            </w:tcBorders>
            <w:shd w:val="clear" w:color="000000" w:fill="FFFFFF"/>
            <w:vAlign w:val="center"/>
            <w:hideMark/>
          </w:tcPr>
          <w:p w14:paraId="7D2A410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LUXEMBURGO</w:t>
            </w:r>
          </w:p>
        </w:tc>
        <w:tc>
          <w:tcPr>
            <w:tcW w:w="2891" w:type="dxa"/>
            <w:tcBorders>
              <w:top w:val="nil"/>
              <w:left w:val="nil"/>
              <w:bottom w:val="single" w:sz="4" w:space="0" w:color="auto"/>
              <w:right w:val="single" w:sz="4" w:space="0" w:color="auto"/>
            </w:tcBorders>
            <w:shd w:val="clear" w:color="000000" w:fill="FFFFFF"/>
            <w:vAlign w:val="center"/>
            <w:hideMark/>
          </w:tcPr>
          <w:p w14:paraId="590D24BF"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397277E6"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E29A2EA"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 xml:space="preserve">INVESCO MANAGEMENT Nº2, S.A. </w:t>
            </w:r>
          </w:p>
        </w:tc>
        <w:tc>
          <w:tcPr>
            <w:tcW w:w="1673" w:type="dxa"/>
            <w:tcBorders>
              <w:top w:val="nil"/>
              <w:left w:val="nil"/>
              <w:bottom w:val="single" w:sz="4" w:space="0" w:color="auto"/>
              <w:right w:val="single" w:sz="4" w:space="0" w:color="auto"/>
            </w:tcBorders>
            <w:shd w:val="clear" w:color="000000" w:fill="FFFFFF"/>
            <w:vAlign w:val="center"/>
            <w:hideMark/>
          </w:tcPr>
          <w:p w14:paraId="3E5BAC6C"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LUXEMBURGO</w:t>
            </w:r>
          </w:p>
        </w:tc>
        <w:tc>
          <w:tcPr>
            <w:tcW w:w="2891" w:type="dxa"/>
            <w:tcBorders>
              <w:top w:val="nil"/>
              <w:left w:val="nil"/>
              <w:bottom w:val="single" w:sz="4" w:space="0" w:color="auto"/>
              <w:right w:val="single" w:sz="4" w:space="0" w:color="auto"/>
            </w:tcBorders>
            <w:shd w:val="clear" w:color="000000" w:fill="FFFFFF"/>
            <w:vAlign w:val="center"/>
            <w:hideMark/>
          </w:tcPr>
          <w:p w14:paraId="5DF274AA"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470CBEF4"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76E79BC"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LIQUIDITY ADVISORS, L.P</w:t>
            </w:r>
            <w:r>
              <w:rPr>
                <w:rFonts w:ascii="Open Sans" w:hAnsi="Open Sans" w:cs="Arial"/>
                <w:sz w:val="20"/>
                <w:szCs w:val="20"/>
              </w:rPr>
              <w:t>.</w:t>
            </w:r>
          </w:p>
        </w:tc>
        <w:tc>
          <w:tcPr>
            <w:tcW w:w="1673" w:type="dxa"/>
            <w:tcBorders>
              <w:top w:val="nil"/>
              <w:left w:val="nil"/>
              <w:bottom w:val="single" w:sz="4" w:space="0" w:color="auto"/>
              <w:right w:val="single" w:sz="4" w:space="0" w:color="auto"/>
            </w:tcBorders>
            <w:shd w:val="clear" w:color="auto" w:fill="auto"/>
            <w:noWrap/>
            <w:hideMark/>
          </w:tcPr>
          <w:p w14:paraId="64411090" w14:textId="77777777" w:rsidR="00C86459" w:rsidRDefault="00C86459" w:rsidP="00C86459">
            <w:pPr>
              <w:jc w:val="center"/>
            </w:pPr>
            <w:r w:rsidRPr="000049F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2F255A7A"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68FBEDBE"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4F067F2A"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PHOENIX LOAN HOLDINGS, INC</w:t>
            </w:r>
          </w:p>
        </w:tc>
        <w:tc>
          <w:tcPr>
            <w:tcW w:w="1673" w:type="dxa"/>
            <w:tcBorders>
              <w:top w:val="nil"/>
              <w:left w:val="nil"/>
              <w:bottom w:val="single" w:sz="4" w:space="0" w:color="auto"/>
              <w:right w:val="single" w:sz="4" w:space="0" w:color="auto"/>
            </w:tcBorders>
            <w:shd w:val="clear" w:color="auto" w:fill="auto"/>
            <w:noWrap/>
            <w:hideMark/>
          </w:tcPr>
          <w:p w14:paraId="47495702" w14:textId="77777777" w:rsidR="00C86459" w:rsidRDefault="00C86459" w:rsidP="00C86459">
            <w:pPr>
              <w:jc w:val="center"/>
            </w:pPr>
            <w:r w:rsidRPr="000049F8">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639BBF04"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3AADC16D"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23DC8471"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PROXIMA ALFA INVESTMENTS (USA) LLC</w:t>
            </w:r>
          </w:p>
        </w:tc>
        <w:tc>
          <w:tcPr>
            <w:tcW w:w="1673" w:type="dxa"/>
            <w:tcBorders>
              <w:top w:val="nil"/>
              <w:left w:val="nil"/>
              <w:bottom w:val="single" w:sz="4" w:space="0" w:color="auto"/>
              <w:right w:val="single" w:sz="4" w:space="0" w:color="auto"/>
            </w:tcBorders>
            <w:shd w:val="clear" w:color="auto" w:fill="auto"/>
            <w:noWrap/>
            <w:hideMark/>
          </w:tcPr>
          <w:p w14:paraId="5DD1A489" w14:textId="77777777" w:rsidR="00C86459" w:rsidRDefault="00C86459" w:rsidP="00C86459">
            <w:pPr>
              <w:jc w:val="center"/>
            </w:pPr>
            <w:r w:rsidRPr="00AC7CE1">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4EA21288"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EN LIQUIDACION</w:t>
            </w:r>
          </w:p>
        </w:tc>
      </w:tr>
      <w:tr w:rsidR="00C86459" w:rsidRPr="00B557A2" w14:paraId="4FE3C850"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36E23A28"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PROXIMA ALFA INVESTMENTS HOLDINGS (USA) II INC.</w:t>
            </w:r>
          </w:p>
        </w:tc>
        <w:tc>
          <w:tcPr>
            <w:tcW w:w="1673" w:type="dxa"/>
            <w:tcBorders>
              <w:top w:val="nil"/>
              <w:left w:val="nil"/>
              <w:bottom w:val="single" w:sz="4" w:space="0" w:color="auto"/>
              <w:right w:val="single" w:sz="4" w:space="0" w:color="auto"/>
            </w:tcBorders>
            <w:shd w:val="clear" w:color="auto" w:fill="auto"/>
            <w:noWrap/>
            <w:hideMark/>
          </w:tcPr>
          <w:p w14:paraId="1FDDD5EB" w14:textId="77777777" w:rsidR="00C86459" w:rsidRDefault="00C86459" w:rsidP="00C86459">
            <w:pPr>
              <w:jc w:val="center"/>
            </w:pPr>
            <w:r w:rsidRPr="00AC7CE1">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1C64537E"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EN LIQUIDACION</w:t>
            </w:r>
          </w:p>
        </w:tc>
      </w:tr>
      <w:tr w:rsidR="00C86459" w:rsidRPr="00B557A2" w14:paraId="4D2BF119"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70888019"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PROXIMA ALFA INVESTMENTS HOLDINGS (USA) INC.</w:t>
            </w:r>
          </w:p>
        </w:tc>
        <w:tc>
          <w:tcPr>
            <w:tcW w:w="1673" w:type="dxa"/>
            <w:tcBorders>
              <w:top w:val="nil"/>
              <w:left w:val="nil"/>
              <w:bottom w:val="single" w:sz="4" w:space="0" w:color="auto"/>
              <w:right w:val="single" w:sz="4" w:space="0" w:color="auto"/>
            </w:tcBorders>
            <w:shd w:val="clear" w:color="auto" w:fill="auto"/>
            <w:noWrap/>
            <w:hideMark/>
          </w:tcPr>
          <w:p w14:paraId="3FA73385" w14:textId="77777777" w:rsidR="00C86459" w:rsidRDefault="00C86459" w:rsidP="00C86459">
            <w:pPr>
              <w:jc w:val="center"/>
            </w:pPr>
            <w:r w:rsidRPr="00AC7CE1">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0C7059A6"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EN LIQUIDACIÓN</w:t>
            </w:r>
          </w:p>
        </w:tc>
      </w:tr>
      <w:tr w:rsidR="00C86459" w:rsidRPr="00B557A2" w14:paraId="689333EF"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auto" w:fill="auto"/>
            <w:hideMark/>
          </w:tcPr>
          <w:p w14:paraId="29CD23F9"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 xml:space="preserve">RPV COMPANY </w:t>
            </w:r>
          </w:p>
        </w:tc>
        <w:tc>
          <w:tcPr>
            <w:tcW w:w="1673" w:type="dxa"/>
            <w:tcBorders>
              <w:top w:val="nil"/>
              <w:left w:val="nil"/>
              <w:bottom w:val="single" w:sz="4" w:space="0" w:color="auto"/>
              <w:right w:val="single" w:sz="4" w:space="0" w:color="auto"/>
            </w:tcBorders>
            <w:shd w:val="clear" w:color="auto" w:fill="auto"/>
            <w:hideMark/>
          </w:tcPr>
          <w:p w14:paraId="3DE9E3C5"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ISLAS CAYMÁN</w:t>
            </w:r>
          </w:p>
        </w:tc>
        <w:tc>
          <w:tcPr>
            <w:tcW w:w="2891" w:type="dxa"/>
            <w:tcBorders>
              <w:top w:val="nil"/>
              <w:left w:val="nil"/>
              <w:bottom w:val="single" w:sz="4" w:space="0" w:color="auto"/>
              <w:right w:val="single" w:sz="4" w:space="0" w:color="auto"/>
            </w:tcBorders>
            <w:shd w:val="clear" w:color="auto" w:fill="auto"/>
            <w:hideMark/>
          </w:tcPr>
          <w:p w14:paraId="50D3CE03"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38E08DC4"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auto" w:fill="auto"/>
            <w:vAlign w:val="center"/>
            <w:hideMark/>
          </w:tcPr>
          <w:p w14:paraId="723C58C6" w14:textId="77777777" w:rsidR="00C86459" w:rsidRPr="00B557A2" w:rsidRDefault="00C86459" w:rsidP="00C86459">
            <w:pPr>
              <w:rPr>
                <w:rFonts w:ascii="Open Sans" w:hAnsi="Open Sans" w:cs="Arial"/>
                <w:color w:val="000000"/>
                <w:sz w:val="20"/>
                <w:szCs w:val="20"/>
              </w:rPr>
            </w:pPr>
            <w:r w:rsidRPr="00B557A2">
              <w:rPr>
                <w:rFonts w:ascii="Open Sans" w:hAnsi="Open Sans" w:cs="Arial"/>
                <w:color w:val="000000"/>
                <w:sz w:val="20"/>
                <w:szCs w:val="20"/>
              </w:rPr>
              <w:t>SIMPLE FINANCE TECHNOLOGY CORP.</w:t>
            </w:r>
          </w:p>
        </w:tc>
        <w:tc>
          <w:tcPr>
            <w:tcW w:w="1673" w:type="dxa"/>
            <w:tcBorders>
              <w:top w:val="nil"/>
              <w:left w:val="nil"/>
              <w:bottom w:val="single" w:sz="4" w:space="0" w:color="auto"/>
              <w:right w:val="single" w:sz="4" w:space="0" w:color="auto"/>
            </w:tcBorders>
            <w:shd w:val="clear" w:color="auto" w:fill="auto"/>
            <w:noWrap/>
            <w:hideMark/>
          </w:tcPr>
          <w:p w14:paraId="102694ED" w14:textId="77777777" w:rsidR="00C86459" w:rsidRDefault="00C86459" w:rsidP="00C86459">
            <w:pPr>
              <w:jc w:val="center"/>
            </w:pPr>
            <w:r w:rsidRPr="009E7EBD">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332BF84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692A5035"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9AB671B" w14:textId="77777777" w:rsidR="00C86459" w:rsidRPr="00A1554D" w:rsidRDefault="00C86459" w:rsidP="00C86459">
            <w:pPr>
              <w:rPr>
                <w:rFonts w:ascii="Open Sans" w:hAnsi="Open Sans" w:cs="Arial"/>
                <w:sz w:val="20"/>
                <w:szCs w:val="20"/>
                <w:lang w:val="en-GB"/>
              </w:rPr>
            </w:pPr>
            <w:r w:rsidRPr="00A1554D">
              <w:rPr>
                <w:rFonts w:ascii="Open Sans" w:hAnsi="Open Sans" w:cs="Arial"/>
                <w:sz w:val="20"/>
                <w:szCs w:val="20"/>
                <w:lang w:val="en-GB"/>
              </w:rPr>
              <w:t xml:space="preserve">STATE NATIONAL CAPITAL TRUST I </w:t>
            </w:r>
          </w:p>
        </w:tc>
        <w:tc>
          <w:tcPr>
            <w:tcW w:w="1673" w:type="dxa"/>
            <w:tcBorders>
              <w:top w:val="nil"/>
              <w:left w:val="nil"/>
              <w:bottom w:val="single" w:sz="4" w:space="0" w:color="auto"/>
              <w:right w:val="single" w:sz="4" w:space="0" w:color="auto"/>
            </w:tcBorders>
            <w:shd w:val="clear" w:color="auto" w:fill="auto"/>
            <w:noWrap/>
            <w:hideMark/>
          </w:tcPr>
          <w:p w14:paraId="5F9F348C" w14:textId="77777777" w:rsidR="00C86459" w:rsidRDefault="00C86459" w:rsidP="00C86459">
            <w:pPr>
              <w:jc w:val="center"/>
            </w:pPr>
            <w:r w:rsidRPr="009E7EBD">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79AFD278"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5D59EEF0"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175402F5"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TEXAS LOAN SERVICES, LP.</w:t>
            </w:r>
          </w:p>
        </w:tc>
        <w:tc>
          <w:tcPr>
            <w:tcW w:w="1673" w:type="dxa"/>
            <w:tcBorders>
              <w:top w:val="nil"/>
              <w:left w:val="nil"/>
              <w:bottom w:val="single" w:sz="4" w:space="0" w:color="auto"/>
              <w:right w:val="single" w:sz="4" w:space="0" w:color="auto"/>
            </w:tcBorders>
            <w:shd w:val="clear" w:color="auto" w:fill="auto"/>
            <w:noWrap/>
            <w:hideMark/>
          </w:tcPr>
          <w:p w14:paraId="0D023498" w14:textId="77777777" w:rsidR="00C86459" w:rsidRDefault="00C86459" w:rsidP="00C86459">
            <w:pPr>
              <w:jc w:val="center"/>
            </w:pPr>
            <w:r w:rsidRPr="009E7EBD">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28A8588D"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0500E979" w14:textId="77777777" w:rsidTr="00C86459">
        <w:trPr>
          <w:trHeight w:val="51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5E306599"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 xml:space="preserve">TEXASBANC CAPITAL TRUST I </w:t>
            </w:r>
          </w:p>
        </w:tc>
        <w:tc>
          <w:tcPr>
            <w:tcW w:w="1673" w:type="dxa"/>
            <w:tcBorders>
              <w:top w:val="nil"/>
              <w:left w:val="nil"/>
              <w:bottom w:val="single" w:sz="4" w:space="0" w:color="auto"/>
              <w:right w:val="single" w:sz="4" w:space="0" w:color="auto"/>
            </w:tcBorders>
            <w:shd w:val="clear" w:color="auto" w:fill="auto"/>
            <w:noWrap/>
            <w:hideMark/>
          </w:tcPr>
          <w:p w14:paraId="01B67474" w14:textId="77777777" w:rsidR="00C86459" w:rsidRDefault="00C86459" w:rsidP="00C86459">
            <w:pPr>
              <w:jc w:val="center"/>
            </w:pPr>
            <w:r w:rsidRPr="009E7EBD">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4F9E3FC3"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31D0F0DB"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0F0971F8"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TMF HOLDING INC.</w:t>
            </w:r>
          </w:p>
        </w:tc>
        <w:tc>
          <w:tcPr>
            <w:tcW w:w="1673" w:type="dxa"/>
            <w:tcBorders>
              <w:top w:val="nil"/>
              <w:left w:val="nil"/>
              <w:bottom w:val="single" w:sz="4" w:space="0" w:color="auto"/>
              <w:right w:val="single" w:sz="4" w:space="0" w:color="auto"/>
            </w:tcBorders>
            <w:shd w:val="clear" w:color="auto" w:fill="auto"/>
            <w:noWrap/>
            <w:hideMark/>
          </w:tcPr>
          <w:p w14:paraId="7865F49B" w14:textId="77777777" w:rsidR="00C86459" w:rsidRDefault="00C86459" w:rsidP="00C86459">
            <w:pPr>
              <w:jc w:val="center"/>
            </w:pPr>
            <w:r w:rsidRPr="009E7EBD">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7A65E361"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r w:rsidR="00C86459" w:rsidRPr="00B557A2" w14:paraId="62607567" w14:textId="77777777" w:rsidTr="00C86459">
        <w:trPr>
          <w:trHeight w:val="302"/>
          <w:jc w:val="center"/>
        </w:trPr>
        <w:tc>
          <w:tcPr>
            <w:tcW w:w="4119" w:type="dxa"/>
            <w:tcBorders>
              <w:top w:val="nil"/>
              <w:left w:val="single" w:sz="4" w:space="0" w:color="auto"/>
              <w:bottom w:val="single" w:sz="4" w:space="0" w:color="auto"/>
              <w:right w:val="single" w:sz="4" w:space="0" w:color="auto"/>
            </w:tcBorders>
            <w:shd w:val="clear" w:color="000000" w:fill="FFFFFF"/>
            <w:vAlign w:val="center"/>
            <w:hideMark/>
          </w:tcPr>
          <w:p w14:paraId="37B4DBB3"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TUCSON LOAN HOLDINGS, INC</w:t>
            </w:r>
          </w:p>
        </w:tc>
        <w:tc>
          <w:tcPr>
            <w:tcW w:w="1673" w:type="dxa"/>
            <w:tcBorders>
              <w:top w:val="nil"/>
              <w:left w:val="nil"/>
              <w:bottom w:val="single" w:sz="4" w:space="0" w:color="auto"/>
              <w:right w:val="single" w:sz="4" w:space="0" w:color="auto"/>
            </w:tcBorders>
            <w:shd w:val="clear" w:color="auto" w:fill="auto"/>
            <w:noWrap/>
            <w:hideMark/>
          </w:tcPr>
          <w:p w14:paraId="305D2936" w14:textId="77777777" w:rsidR="00C86459" w:rsidRDefault="00C86459" w:rsidP="00C86459">
            <w:pPr>
              <w:jc w:val="center"/>
            </w:pPr>
            <w:r w:rsidRPr="009E7EBD">
              <w:rPr>
                <w:rFonts w:ascii="Open Sans" w:hAnsi="Open Sans"/>
                <w:color w:val="000000"/>
                <w:sz w:val="20"/>
                <w:szCs w:val="20"/>
              </w:rPr>
              <w:t xml:space="preserve">Delaware - </w:t>
            </w:r>
            <w:r w:rsidRPr="00B557A2">
              <w:rPr>
                <w:rFonts w:ascii="Open Sans" w:hAnsi="Open Sans"/>
                <w:color w:val="000000"/>
                <w:sz w:val="20"/>
                <w:szCs w:val="20"/>
              </w:rPr>
              <w:t>EEUU</w:t>
            </w:r>
          </w:p>
        </w:tc>
        <w:tc>
          <w:tcPr>
            <w:tcW w:w="2891" w:type="dxa"/>
            <w:tcBorders>
              <w:top w:val="nil"/>
              <w:left w:val="nil"/>
              <w:bottom w:val="single" w:sz="4" w:space="0" w:color="auto"/>
              <w:right w:val="single" w:sz="4" w:space="0" w:color="auto"/>
            </w:tcBorders>
            <w:shd w:val="clear" w:color="000000" w:fill="FFFFFF"/>
            <w:vAlign w:val="center"/>
            <w:hideMark/>
          </w:tcPr>
          <w:p w14:paraId="0102C587"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SERVICIOS FINANCIEROS</w:t>
            </w:r>
          </w:p>
        </w:tc>
      </w:tr>
      <w:tr w:rsidR="00C86459" w:rsidRPr="00B557A2" w14:paraId="58CEA3BC" w14:textId="77777777" w:rsidTr="00C86459">
        <w:trPr>
          <w:trHeight w:val="300"/>
          <w:jc w:val="center"/>
        </w:trPr>
        <w:tc>
          <w:tcPr>
            <w:tcW w:w="4119" w:type="dxa"/>
            <w:tcBorders>
              <w:top w:val="nil"/>
              <w:left w:val="single" w:sz="4" w:space="0" w:color="auto"/>
              <w:bottom w:val="single" w:sz="4" w:space="0" w:color="auto"/>
              <w:right w:val="single" w:sz="4" w:space="0" w:color="auto"/>
            </w:tcBorders>
            <w:shd w:val="clear" w:color="auto" w:fill="auto"/>
            <w:hideMark/>
          </w:tcPr>
          <w:p w14:paraId="2984D473" w14:textId="77777777" w:rsidR="00C86459" w:rsidRPr="00B557A2" w:rsidRDefault="00C86459" w:rsidP="00C86459">
            <w:pPr>
              <w:rPr>
                <w:rFonts w:ascii="Open Sans" w:hAnsi="Open Sans" w:cs="Arial"/>
                <w:sz w:val="20"/>
                <w:szCs w:val="20"/>
              </w:rPr>
            </w:pPr>
            <w:r w:rsidRPr="00B557A2">
              <w:rPr>
                <w:rFonts w:ascii="Open Sans" w:hAnsi="Open Sans" w:cs="Arial"/>
                <w:sz w:val="20"/>
                <w:szCs w:val="20"/>
              </w:rPr>
              <w:t>VOLJA LUX, SARL</w:t>
            </w:r>
          </w:p>
        </w:tc>
        <w:tc>
          <w:tcPr>
            <w:tcW w:w="1673" w:type="dxa"/>
            <w:tcBorders>
              <w:top w:val="nil"/>
              <w:left w:val="nil"/>
              <w:bottom w:val="single" w:sz="4" w:space="0" w:color="auto"/>
              <w:right w:val="single" w:sz="4" w:space="0" w:color="auto"/>
            </w:tcBorders>
            <w:shd w:val="clear" w:color="auto" w:fill="auto"/>
            <w:hideMark/>
          </w:tcPr>
          <w:p w14:paraId="67D71186"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LUXEMBURGO</w:t>
            </w:r>
          </w:p>
        </w:tc>
        <w:tc>
          <w:tcPr>
            <w:tcW w:w="2891" w:type="dxa"/>
            <w:tcBorders>
              <w:top w:val="nil"/>
              <w:left w:val="nil"/>
              <w:bottom w:val="single" w:sz="4" w:space="0" w:color="auto"/>
              <w:right w:val="single" w:sz="4" w:space="0" w:color="auto"/>
            </w:tcBorders>
            <w:shd w:val="clear" w:color="auto" w:fill="auto"/>
            <w:hideMark/>
          </w:tcPr>
          <w:p w14:paraId="40C8220A" w14:textId="77777777" w:rsidR="00C86459" w:rsidRPr="00B557A2" w:rsidRDefault="00C86459" w:rsidP="00C86459">
            <w:pPr>
              <w:jc w:val="center"/>
              <w:rPr>
                <w:rFonts w:ascii="Open Sans" w:hAnsi="Open Sans" w:cs="Arial"/>
                <w:sz w:val="20"/>
                <w:szCs w:val="20"/>
              </w:rPr>
            </w:pPr>
            <w:r w:rsidRPr="00B557A2">
              <w:rPr>
                <w:rFonts w:ascii="Open Sans" w:hAnsi="Open Sans" w:cs="Arial"/>
                <w:sz w:val="20"/>
                <w:szCs w:val="20"/>
              </w:rPr>
              <w:t>CARTERA</w:t>
            </w:r>
          </w:p>
        </w:tc>
      </w:tr>
    </w:tbl>
    <w:p w14:paraId="0A6C55CA" w14:textId="77777777" w:rsidR="00C86459" w:rsidRDefault="00C86459" w:rsidP="00C86459">
      <w:pPr>
        <w:jc w:val="both"/>
        <w:rPr>
          <w:rFonts w:ascii="Open Sans" w:hAnsi="Open Sans" w:cs="Arial"/>
          <w:b/>
          <w:sz w:val="22"/>
          <w:szCs w:val="22"/>
        </w:rPr>
      </w:pPr>
    </w:p>
    <w:p w14:paraId="7923EED6" w14:textId="77777777" w:rsidR="00C86459" w:rsidRDefault="00C86459" w:rsidP="00C86459">
      <w:pPr>
        <w:jc w:val="both"/>
        <w:rPr>
          <w:rFonts w:ascii="Open Sans" w:hAnsi="Open Sans" w:cs="Arial"/>
          <w:sz w:val="20"/>
          <w:szCs w:val="20"/>
        </w:rPr>
      </w:pPr>
      <w:r w:rsidRPr="00F7451A">
        <w:rPr>
          <w:rFonts w:ascii="Open Sans" w:hAnsi="Open Sans" w:cs="Arial"/>
          <w:sz w:val="20"/>
          <w:szCs w:val="20"/>
        </w:rPr>
        <w:t>En el Anexo I y II de las CCAA Consolidadas se indica el porc</w:t>
      </w:r>
      <w:r>
        <w:rPr>
          <w:rFonts w:ascii="Open Sans" w:hAnsi="Open Sans" w:cs="Arial"/>
          <w:sz w:val="20"/>
          <w:szCs w:val="20"/>
        </w:rPr>
        <w:t>entaje de participación directa</w:t>
      </w:r>
      <w:r w:rsidRPr="00F7451A">
        <w:rPr>
          <w:rFonts w:ascii="Open Sans" w:hAnsi="Open Sans" w:cs="Arial"/>
          <w:sz w:val="20"/>
          <w:szCs w:val="20"/>
        </w:rPr>
        <w:t xml:space="preserve"> e indirecto en cada sociedad, y sus principales magnitudes económicas</w:t>
      </w:r>
      <w:proofErr w:type="gramStart"/>
      <w:r>
        <w:rPr>
          <w:rFonts w:ascii="Open Sans" w:hAnsi="Open Sans" w:cs="Arial"/>
          <w:sz w:val="20"/>
          <w:szCs w:val="20"/>
        </w:rPr>
        <w:t xml:space="preserve">: </w:t>
      </w:r>
      <w:r w:rsidRPr="00F7451A">
        <w:rPr>
          <w:rFonts w:ascii="Open Sans" w:hAnsi="Open Sans" w:cs="Arial"/>
          <w:sz w:val="20"/>
          <w:szCs w:val="20"/>
        </w:rPr>
        <w:t xml:space="preserve"> </w:t>
      </w:r>
      <w:r w:rsidRPr="000104E8">
        <w:rPr>
          <w:rFonts w:ascii="Open Sans" w:hAnsi="Open Sans" w:cs="Arial"/>
          <w:sz w:val="20"/>
          <w:szCs w:val="20"/>
        </w:rPr>
        <w:t>Valor</w:t>
      </w:r>
      <w:proofErr w:type="gramEnd"/>
      <w:r w:rsidRPr="000104E8">
        <w:rPr>
          <w:rFonts w:ascii="Open Sans" w:hAnsi="Open Sans" w:cs="Arial"/>
          <w:sz w:val="20"/>
          <w:szCs w:val="20"/>
        </w:rPr>
        <w:t xml:space="preserve"> neto, Activo, Pasivo, Patrimonio</w:t>
      </w:r>
      <w:r>
        <w:rPr>
          <w:rFonts w:ascii="Open Sans" w:hAnsi="Open Sans" w:cs="Arial"/>
          <w:sz w:val="20"/>
          <w:szCs w:val="20"/>
        </w:rPr>
        <w:t xml:space="preserve"> y </w:t>
      </w:r>
      <w:r w:rsidRPr="000104E8">
        <w:rPr>
          <w:rFonts w:ascii="Open Sans" w:hAnsi="Open Sans" w:cs="Arial"/>
          <w:sz w:val="20"/>
          <w:szCs w:val="20"/>
        </w:rPr>
        <w:t>Resultado</w:t>
      </w:r>
      <w:r>
        <w:rPr>
          <w:rFonts w:ascii="Open Sans" w:hAnsi="Open Sans" w:cs="Arial"/>
          <w:sz w:val="20"/>
          <w:szCs w:val="20"/>
        </w:rPr>
        <w:t>.</w:t>
      </w:r>
    </w:p>
    <w:p w14:paraId="728E7A61" w14:textId="77777777" w:rsidR="00C86459" w:rsidRDefault="00C86459" w:rsidP="00C86459">
      <w:pPr>
        <w:jc w:val="both"/>
        <w:rPr>
          <w:rFonts w:ascii="Open Sans" w:hAnsi="Open Sans" w:cs="Arial"/>
          <w:sz w:val="20"/>
          <w:szCs w:val="20"/>
        </w:rPr>
      </w:pPr>
    </w:p>
    <w:p w14:paraId="5EF9D824" w14:textId="77777777" w:rsidR="00C86459" w:rsidRDefault="00C86459" w:rsidP="00C86459">
      <w:pPr>
        <w:jc w:val="both"/>
        <w:rPr>
          <w:rFonts w:ascii="Open Sans" w:hAnsi="Open Sans" w:cs="Arial"/>
          <w:sz w:val="20"/>
          <w:szCs w:val="20"/>
        </w:rPr>
      </w:pPr>
      <w:r>
        <w:rPr>
          <w:rFonts w:ascii="Open Sans" w:hAnsi="Open Sans" w:cs="Arial"/>
          <w:sz w:val="20"/>
          <w:szCs w:val="20"/>
        </w:rPr>
        <w:t xml:space="preserve">Adicionalmente, a través de la consulta de bases de datos externas se han encontrado 4 sociedades subsidiarias ubicadas en Gibraltar que podrían pertenecer al BBVA: </w:t>
      </w:r>
      <w:r w:rsidRPr="00A97FED">
        <w:rPr>
          <w:rFonts w:ascii="Open Sans" w:hAnsi="Open Sans" w:cs="Arial"/>
          <w:sz w:val="20"/>
          <w:szCs w:val="20"/>
        </w:rPr>
        <w:t>BBVA P</w:t>
      </w:r>
      <w:r>
        <w:rPr>
          <w:rFonts w:ascii="Open Sans" w:hAnsi="Open Sans" w:cs="Arial"/>
          <w:sz w:val="20"/>
          <w:szCs w:val="20"/>
        </w:rPr>
        <w:t xml:space="preserve">rivanza (Gibraltar) Directors Ltd, </w:t>
      </w:r>
      <w:r w:rsidRPr="00A97FED">
        <w:rPr>
          <w:rFonts w:ascii="Open Sans" w:hAnsi="Open Sans" w:cs="Arial"/>
          <w:sz w:val="20"/>
          <w:szCs w:val="20"/>
        </w:rPr>
        <w:t>BBVA P</w:t>
      </w:r>
      <w:r>
        <w:rPr>
          <w:rFonts w:ascii="Open Sans" w:hAnsi="Open Sans" w:cs="Arial"/>
          <w:sz w:val="20"/>
          <w:szCs w:val="20"/>
        </w:rPr>
        <w:t xml:space="preserve">rivanza (Gibraltar) Nominees Ltd, </w:t>
      </w:r>
      <w:r w:rsidRPr="00A97FED">
        <w:rPr>
          <w:rFonts w:ascii="Open Sans" w:hAnsi="Open Sans" w:cs="Arial"/>
          <w:sz w:val="20"/>
          <w:szCs w:val="20"/>
        </w:rPr>
        <w:t>BBVA P</w:t>
      </w:r>
      <w:r>
        <w:rPr>
          <w:rFonts w:ascii="Open Sans" w:hAnsi="Open Sans" w:cs="Arial"/>
          <w:sz w:val="20"/>
          <w:szCs w:val="20"/>
        </w:rPr>
        <w:t xml:space="preserve">rivanza </w:t>
      </w:r>
      <w:r w:rsidRPr="00A97FED">
        <w:rPr>
          <w:rFonts w:ascii="Open Sans" w:hAnsi="Open Sans" w:cs="Arial"/>
          <w:sz w:val="20"/>
          <w:szCs w:val="20"/>
        </w:rPr>
        <w:t>(I</w:t>
      </w:r>
      <w:r>
        <w:rPr>
          <w:rFonts w:ascii="Open Sans" w:hAnsi="Open Sans" w:cs="Arial"/>
          <w:sz w:val="20"/>
          <w:szCs w:val="20"/>
        </w:rPr>
        <w:t>nternational Gibratar)</w:t>
      </w:r>
      <w:r w:rsidRPr="00A97FED">
        <w:rPr>
          <w:rFonts w:ascii="Open Sans" w:hAnsi="Open Sans" w:cs="Arial"/>
          <w:sz w:val="20"/>
          <w:szCs w:val="20"/>
        </w:rPr>
        <w:t xml:space="preserve"> N</w:t>
      </w:r>
      <w:r>
        <w:rPr>
          <w:rFonts w:ascii="Open Sans" w:hAnsi="Open Sans" w:cs="Arial"/>
          <w:sz w:val="20"/>
          <w:szCs w:val="20"/>
        </w:rPr>
        <w:t xml:space="preserve">ominees Ltd, </w:t>
      </w:r>
      <w:r w:rsidRPr="00A97FED">
        <w:rPr>
          <w:rFonts w:ascii="Open Sans" w:hAnsi="Open Sans" w:cs="Arial"/>
          <w:sz w:val="20"/>
          <w:szCs w:val="20"/>
        </w:rPr>
        <w:t>BBVA P</w:t>
      </w:r>
      <w:r>
        <w:rPr>
          <w:rFonts w:ascii="Open Sans" w:hAnsi="Open Sans" w:cs="Arial"/>
          <w:sz w:val="20"/>
          <w:szCs w:val="20"/>
        </w:rPr>
        <w:t>rivanza International (Gibraltar) Ltd</w:t>
      </w:r>
      <w:r>
        <w:rPr>
          <w:rStyle w:val="Refdenotaalpie"/>
          <w:rFonts w:ascii="Open Sans" w:hAnsi="Open Sans" w:cs="Arial"/>
          <w:sz w:val="20"/>
          <w:szCs w:val="20"/>
        </w:rPr>
        <w:footnoteReference w:id="488"/>
      </w:r>
      <w:r>
        <w:rPr>
          <w:rFonts w:ascii="Open Sans" w:hAnsi="Open Sans" w:cs="Arial"/>
          <w:sz w:val="20"/>
          <w:szCs w:val="20"/>
        </w:rPr>
        <w:t>.</w:t>
      </w:r>
    </w:p>
    <w:p w14:paraId="31E5D57D" w14:textId="77777777" w:rsidR="00C86459" w:rsidRDefault="00C86459" w:rsidP="00C86459">
      <w:pPr>
        <w:jc w:val="both"/>
        <w:rPr>
          <w:rFonts w:ascii="Open Sans" w:hAnsi="Open Sans" w:cs="Arial"/>
          <w:sz w:val="20"/>
          <w:szCs w:val="20"/>
        </w:rPr>
      </w:pPr>
    </w:p>
    <w:p w14:paraId="593BF247" w14:textId="77777777" w:rsidR="00C86459" w:rsidRPr="00A15BD4" w:rsidRDefault="00C86459" w:rsidP="00C86459">
      <w:pPr>
        <w:jc w:val="both"/>
        <w:rPr>
          <w:rFonts w:ascii="Open Sans" w:hAnsi="Open Sans" w:cs="Arial"/>
          <w:sz w:val="20"/>
          <w:szCs w:val="20"/>
        </w:rPr>
      </w:pPr>
      <w:r w:rsidRPr="00A15BD4">
        <w:rPr>
          <w:rFonts w:ascii="Open Sans" w:hAnsi="Open Sans" w:cs="Arial"/>
          <w:sz w:val="20"/>
          <w:szCs w:val="20"/>
        </w:rPr>
        <w:t xml:space="preserve">Como ya se ha comentado, en el Informe Bancario Anual 2015 y en el TTC 2015 se proporciona información de los impuestos generados y liquidados en cada país. Sin embargo, aparte de los territorios </w:t>
      </w:r>
      <w:r>
        <w:rPr>
          <w:rFonts w:ascii="Open Sans" w:hAnsi="Open Sans" w:cs="Arial"/>
          <w:sz w:val="20"/>
          <w:szCs w:val="20"/>
        </w:rPr>
        <w:t xml:space="preserve">off-shore que </w:t>
      </w:r>
      <w:r w:rsidRPr="00A15BD4">
        <w:rPr>
          <w:rFonts w:ascii="Open Sans" w:hAnsi="Open Sans" w:cs="Arial"/>
          <w:sz w:val="20"/>
          <w:szCs w:val="20"/>
        </w:rPr>
        <w:t>aparecen agregados en los países a los que pertenecen o bajo la denominación de “Otros”</w:t>
      </w:r>
      <w:r>
        <w:rPr>
          <w:rStyle w:val="Refdenotaalpie"/>
          <w:rFonts w:ascii="Open Sans" w:hAnsi="Open Sans" w:cs="Arial"/>
          <w:sz w:val="20"/>
          <w:szCs w:val="20"/>
        </w:rPr>
        <w:footnoteReference w:id="489"/>
      </w:r>
      <w:r w:rsidRPr="00A15BD4">
        <w:rPr>
          <w:rFonts w:ascii="Open Sans" w:hAnsi="Open Sans" w:cs="Arial"/>
          <w:sz w:val="20"/>
          <w:szCs w:val="20"/>
        </w:rPr>
        <w:t>, tampoco se proporcionan datos del tipo efectivo liquidado, ni el nombre de las sociedades que generan el pago de esos impuestos, sólo menciona la sociedad principal. Así mismo, no publica ratios que comparan las cifras de impuestos liquidados con las tasas de gravamen de cada uno de los países considerados paraísos/nichos fiscales y que permitan su comparación y su valoración en relación a las cifras del conjunto de la entidad.</w:t>
      </w:r>
    </w:p>
    <w:p w14:paraId="6BCA6DC6" w14:textId="77777777" w:rsidR="00C86459" w:rsidRPr="000C0AB4" w:rsidRDefault="00C86459" w:rsidP="00C86459">
      <w:pPr>
        <w:jc w:val="both"/>
        <w:rPr>
          <w:rFonts w:ascii="Open Sans" w:hAnsi="Open Sans" w:cs="Arial"/>
          <w:sz w:val="20"/>
          <w:szCs w:val="20"/>
        </w:rPr>
      </w:pPr>
    </w:p>
    <w:p w14:paraId="4FE238EB" w14:textId="77777777" w:rsidR="00C86459" w:rsidRPr="000C0AB4" w:rsidRDefault="00C86459" w:rsidP="00C86459">
      <w:pPr>
        <w:autoSpaceDE w:val="0"/>
        <w:autoSpaceDN w:val="0"/>
        <w:adjustRightInd w:val="0"/>
        <w:jc w:val="both"/>
        <w:rPr>
          <w:rFonts w:ascii="Open Sans" w:hAnsi="Open Sans" w:cs="Helvetica-Bold"/>
          <w:bCs/>
          <w:sz w:val="20"/>
          <w:szCs w:val="20"/>
        </w:rPr>
      </w:pPr>
      <w:r w:rsidRPr="000C0AB4">
        <w:rPr>
          <w:rFonts w:ascii="Open Sans" w:hAnsi="Open Sans" w:cs="Arial"/>
          <w:sz w:val="20"/>
          <w:szCs w:val="20"/>
        </w:rPr>
        <w:t xml:space="preserve">Sería recomendable que diera más detalle sobre este aspecto atendiendo a los resultados obtenidos en base a la información publicada en el TTC 2015. Se ha realizado el cálculo del % que ha representado el </w:t>
      </w:r>
      <w:r w:rsidRPr="000C0AB4">
        <w:rPr>
          <w:rFonts w:ascii="Open Sans" w:hAnsi="Open Sans" w:cs="Helvetica-Bold"/>
          <w:bCs/>
          <w:sz w:val="20"/>
          <w:szCs w:val="20"/>
        </w:rPr>
        <w:t xml:space="preserve">Pago de </w:t>
      </w:r>
      <w:r>
        <w:rPr>
          <w:rFonts w:ascii="Open Sans" w:hAnsi="Open Sans" w:cs="Helvetica-Bold"/>
          <w:bCs/>
          <w:sz w:val="20"/>
          <w:szCs w:val="20"/>
        </w:rPr>
        <w:t>C</w:t>
      </w:r>
      <w:r w:rsidRPr="000C0AB4">
        <w:rPr>
          <w:rFonts w:ascii="Open Sans" w:hAnsi="Open Sans" w:cs="Helvetica-Bold"/>
          <w:bCs/>
          <w:sz w:val="20"/>
          <w:szCs w:val="20"/>
        </w:rPr>
        <w:t xml:space="preserve">aja del Impuesto Sociedades sobre el importe de Beneficio </w:t>
      </w:r>
      <w:r>
        <w:rPr>
          <w:rFonts w:ascii="Open Sans" w:hAnsi="Open Sans" w:cs="Helvetica-Bold"/>
          <w:bCs/>
          <w:sz w:val="20"/>
          <w:szCs w:val="20"/>
        </w:rPr>
        <w:t>A</w:t>
      </w:r>
      <w:r w:rsidRPr="000C0AB4">
        <w:rPr>
          <w:rFonts w:ascii="Open Sans" w:hAnsi="Open Sans" w:cs="Helvetica-Bold"/>
          <w:bCs/>
          <w:sz w:val="20"/>
          <w:szCs w:val="20"/>
        </w:rPr>
        <w:t xml:space="preserve">ntes de </w:t>
      </w:r>
      <w:r>
        <w:rPr>
          <w:rFonts w:ascii="Open Sans" w:hAnsi="Open Sans" w:cs="Helvetica-Bold"/>
          <w:bCs/>
          <w:sz w:val="20"/>
          <w:szCs w:val="20"/>
        </w:rPr>
        <w:t>I</w:t>
      </w:r>
      <w:r w:rsidRPr="000C0AB4">
        <w:rPr>
          <w:rFonts w:ascii="Open Sans" w:hAnsi="Open Sans" w:cs="Helvetica-Bold"/>
          <w:bCs/>
          <w:sz w:val="20"/>
          <w:szCs w:val="20"/>
        </w:rPr>
        <w:t>mpuesto para cada uno de los países. Se aprecia que existen diferencias muy significativas entre países como Suiza (50%), Francia (48%) o EEUU (38%, incluida la influencia de Delaware) con respecto a Reino Unido</w:t>
      </w:r>
      <w:r>
        <w:rPr>
          <w:rFonts w:ascii="Open Sans" w:hAnsi="Open Sans" w:cs="Helvetica-Bold"/>
          <w:bCs/>
          <w:sz w:val="20"/>
          <w:szCs w:val="20"/>
        </w:rPr>
        <w:t xml:space="preserve"> (incluye Islas Caymán)</w:t>
      </w:r>
      <w:r w:rsidRPr="000C0AB4">
        <w:rPr>
          <w:rFonts w:ascii="Open Sans" w:hAnsi="Open Sans" w:cs="Helvetica-Bold"/>
          <w:bCs/>
          <w:sz w:val="20"/>
          <w:szCs w:val="20"/>
        </w:rPr>
        <w:t xml:space="preserve"> y Hong Kong (0%), Venezuela (1%) o Portugal y Chile (9%).</w:t>
      </w:r>
      <w:r>
        <w:rPr>
          <w:rFonts w:ascii="Open Sans" w:hAnsi="Open Sans" w:cs="Helvetica-Bold"/>
          <w:bCs/>
          <w:sz w:val="20"/>
          <w:szCs w:val="20"/>
        </w:rPr>
        <w:t xml:space="preserve"> Así mismo, resultaría de utilidad para clarificar aspectos como a que es debido el pago de impuestos de sociedades a pesar de haber obtenido pérdidas en el grupo de </w:t>
      </w:r>
      <w:r w:rsidRPr="00F42D96">
        <w:rPr>
          <w:rFonts w:ascii="Open Sans" w:hAnsi="Open Sans" w:cs="Helvetica-Bold"/>
          <w:bCs/>
          <w:sz w:val="20"/>
          <w:szCs w:val="20"/>
        </w:rPr>
        <w:t>“Otros</w:t>
      </w:r>
      <w:r w:rsidRPr="00F86E62">
        <w:rPr>
          <w:rFonts w:ascii="Open Sans" w:hAnsi="Open Sans" w:cs="Helvetica-Bold"/>
          <w:bCs/>
          <w:sz w:val="20"/>
          <w:szCs w:val="20"/>
        </w:rPr>
        <w:t>”</w:t>
      </w:r>
      <w:r w:rsidRPr="006B6BC7">
        <w:rPr>
          <w:rFonts w:ascii="Open Sans" w:hAnsi="Open Sans" w:cs="Helvetica-Bold"/>
          <w:bCs/>
          <w:sz w:val="20"/>
          <w:szCs w:val="20"/>
        </w:rPr>
        <w:t xml:space="preserve"> (que engloba a </w:t>
      </w:r>
      <w:r w:rsidRPr="00F86E62">
        <w:rPr>
          <w:rFonts w:ascii="Open Sans" w:hAnsi="Open Sans" w:cs="Helvetica-Bold"/>
          <w:bCs/>
          <w:sz w:val="20"/>
          <w:szCs w:val="20"/>
        </w:rPr>
        <w:t>Holanda, Curaçao, las oficinas de representación y las sucursales asiáticas salvo Hong-Kong)</w:t>
      </w:r>
      <w:r>
        <w:rPr>
          <w:rFonts w:ascii="Open Sans" w:hAnsi="Open Sans" w:cs="Helvetica-Bold"/>
          <w:bCs/>
          <w:sz w:val="20"/>
          <w:szCs w:val="20"/>
        </w:rPr>
        <w:t>.</w:t>
      </w:r>
    </w:p>
    <w:p w14:paraId="34AE701B" w14:textId="77777777" w:rsidR="00C86459" w:rsidRPr="00BF58BA" w:rsidRDefault="00C86459" w:rsidP="00C86459">
      <w:pPr>
        <w:autoSpaceDE w:val="0"/>
        <w:autoSpaceDN w:val="0"/>
        <w:adjustRightInd w:val="0"/>
        <w:rPr>
          <w:rFonts w:ascii="Open Sans" w:hAnsi="Open Sans" w:cs="Arial"/>
          <w:sz w:val="20"/>
          <w:szCs w:val="20"/>
        </w:rPr>
      </w:pPr>
    </w:p>
    <w:p w14:paraId="230F8265" w14:textId="77777777" w:rsidR="00C86459" w:rsidRPr="00BF58BA" w:rsidRDefault="00C86459" w:rsidP="00C86459">
      <w:pPr>
        <w:jc w:val="both"/>
        <w:rPr>
          <w:rFonts w:ascii="Open Sans" w:hAnsi="Open Sans" w:cs="Arial"/>
          <w:sz w:val="20"/>
          <w:szCs w:val="20"/>
        </w:rPr>
      </w:pPr>
      <w:r w:rsidRPr="00BF58BA">
        <w:rPr>
          <w:rFonts w:ascii="Open Sans" w:hAnsi="Open Sans" w:cs="Arial"/>
          <w:sz w:val="20"/>
          <w:szCs w:val="20"/>
        </w:rPr>
        <w:t>En el Informe Bancario Anual 2015 se incluye el número total de trabajadores a tiempo completo del total del grupo y de los países donde opera. El 28% de los trabajadores se ubican en México, el 24% en España y el 16% en Turquía. Este último país es considerado nicho fiscal. Para el total de países que tienen esta consideración se registra el 22% del total de la plantilla de la entidad, con la salvedad de que hay una parte que queda englobada en “Otros” y que no se dispone de datos detallados de Delaware, Holanda, Islas Caymán, Curaçao y Singapur.</w:t>
      </w:r>
    </w:p>
    <w:p w14:paraId="250A1437" w14:textId="77777777" w:rsidR="00C86459" w:rsidRPr="00BF58BA" w:rsidRDefault="00C86459" w:rsidP="00C86459">
      <w:pPr>
        <w:jc w:val="both"/>
        <w:rPr>
          <w:rFonts w:ascii="Open Sans" w:hAnsi="Open Sans" w:cs="Arial"/>
          <w:sz w:val="20"/>
          <w:szCs w:val="20"/>
        </w:rPr>
      </w:pPr>
    </w:p>
    <w:p w14:paraId="0EB64C50" w14:textId="77777777" w:rsidR="00C86459" w:rsidRDefault="00C86459" w:rsidP="00C86459">
      <w:pPr>
        <w:jc w:val="both"/>
        <w:rPr>
          <w:rFonts w:ascii="Open Sans" w:hAnsi="Open Sans" w:cs="Open Sans"/>
          <w:sz w:val="20"/>
          <w:szCs w:val="20"/>
        </w:rPr>
      </w:pPr>
      <w:r w:rsidRPr="00E055D3">
        <w:rPr>
          <w:rFonts w:ascii="Open Sans" w:hAnsi="Open Sans" w:cs="Arial"/>
          <w:sz w:val="20"/>
          <w:szCs w:val="20"/>
        </w:rPr>
        <w:t>Como ya se ha comentado anteriormente, en</w:t>
      </w:r>
      <w:r w:rsidRPr="00E055D3">
        <w:rPr>
          <w:rFonts w:ascii="Open Sans" w:hAnsi="Open Sans" w:cs="Open Sans"/>
          <w:sz w:val="20"/>
          <w:szCs w:val="20"/>
        </w:rPr>
        <w:t xml:space="preserve"> 2015, la entidad a través del Consejo de Administración aprobó la </w:t>
      </w:r>
      <w:r w:rsidRPr="00E055D3">
        <w:rPr>
          <w:rFonts w:ascii="Open Sans" w:hAnsi="Open Sans" w:cs="BBVAWebBook"/>
          <w:sz w:val="20"/>
          <w:szCs w:val="20"/>
        </w:rPr>
        <w:t>Estrategia Fiscal del Grupo</w:t>
      </w:r>
      <w:r>
        <w:rPr>
          <w:rFonts w:ascii="Open Sans" w:hAnsi="Open Sans" w:cs="BBVAWebBook"/>
          <w:sz w:val="20"/>
          <w:szCs w:val="20"/>
        </w:rPr>
        <w:t xml:space="preserve"> </w:t>
      </w:r>
      <w:r w:rsidRPr="00516CA5">
        <w:rPr>
          <w:rFonts w:ascii="Open Sans" w:hAnsi="Open Sans" w:cs="BBVAWebBook"/>
          <w:sz w:val="20"/>
          <w:szCs w:val="20"/>
        </w:rPr>
        <w:t>bajo el nombre de “</w:t>
      </w:r>
      <w:r w:rsidRPr="00D5426F">
        <w:rPr>
          <w:rFonts w:ascii="Open Sans" w:hAnsi="Open Sans" w:cs="BBVAWebBook"/>
          <w:i/>
          <w:sz w:val="20"/>
          <w:szCs w:val="20"/>
        </w:rPr>
        <w:t>Principios Corporativos en materia tributaria y estrategia fiscal</w:t>
      </w:r>
      <w:r>
        <w:rPr>
          <w:rFonts w:ascii="Open Sans" w:hAnsi="Open Sans" w:cs="BBVAWebBook"/>
          <w:sz w:val="20"/>
          <w:szCs w:val="20"/>
        </w:rPr>
        <w:t>” en la que establece</w:t>
      </w:r>
      <w:r w:rsidRPr="00516CA5">
        <w:rPr>
          <w:rFonts w:ascii="Open Sans" w:hAnsi="Open Sans" w:cs="BBVAWebBook"/>
          <w:sz w:val="20"/>
          <w:szCs w:val="20"/>
        </w:rPr>
        <w:t xml:space="preserve"> las políticas, principios y valores que deben guiar el comportamiento</w:t>
      </w:r>
      <w:r>
        <w:rPr>
          <w:rFonts w:ascii="Open Sans" w:hAnsi="Open Sans" w:cs="BBVAWebBook"/>
          <w:sz w:val="20"/>
          <w:szCs w:val="20"/>
        </w:rPr>
        <w:t xml:space="preserve"> del Grupo en materia tributaria, </w:t>
      </w:r>
      <w:r>
        <w:rPr>
          <w:rFonts w:ascii="Open Sans" w:hAnsi="Open Sans" w:cs="Open Sans"/>
          <w:sz w:val="20"/>
          <w:szCs w:val="20"/>
        </w:rPr>
        <w:t>fiscal se define</w:t>
      </w:r>
      <w:r w:rsidRPr="00F5076A">
        <w:rPr>
          <w:rFonts w:ascii="Open Sans" w:hAnsi="Open Sans" w:cs="Open Sans"/>
          <w:sz w:val="20"/>
          <w:szCs w:val="20"/>
        </w:rPr>
        <w:t xml:space="preserve"> de acuerdo con las nuevas exigencias de la Ley de Sociedades de Capital, incorporando los objetivos y medidas aprobados por BEPS </w:t>
      </w:r>
      <w:r>
        <w:rPr>
          <w:rFonts w:ascii="Open Sans" w:hAnsi="Open Sans" w:cs="Open Sans"/>
          <w:sz w:val="20"/>
          <w:szCs w:val="20"/>
        </w:rPr>
        <w:t>con el objetivo de</w:t>
      </w:r>
      <w:r w:rsidRPr="00F5076A">
        <w:rPr>
          <w:rFonts w:ascii="Open Sans" w:hAnsi="Open Sans" w:cs="Open Sans"/>
          <w:sz w:val="20"/>
          <w:szCs w:val="20"/>
        </w:rPr>
        <w:t xml:space="preserve"> prevenir y controlar los riesgos fiscales y mejorar la transparencia fiscal y la responsabilidad social corporativa</w:t>
      </w:r>
      <w:r>
        <w:rPr>
          <w:rStyle w:val="Refdenotaalpie"/>
          <w:rFonts w:ascii="Open Sans" w:hAnsi="Open Sans" w:cs="Open Sans"/>
          <w:sz w:val="20"/>
          <w:szCs w:val="20"/>
        </w:rPr>
        <w:footnoteReference w:id="490"/>
      </w:r>
      <w:r w:rsidRPr="00F5076A">
        <w:rPr>
          <w:rFonts w:ascii="Open Sans" w:hAnsi="Open Sans" w:cs="Open Sans"/>
          <w:sz w:val="20"/>
          <w:szCs w:val="20"/>
        </w:rPr>
        <w:t>.</w:t>
      </w:r>
      <w:r>
        <w:rPr>
          <w:rFonts w:ascii="Open Sans" w:hAnsi="Open Sans" w:cs="Open Sans"/>
          <w:sz w:val="20"/>
          <w:szCs w:val="20"/>
        </w:rPr>
        <w:t xml:space="preserve"> Esta estrategia fiscal está basada en los principios corporativos de BBVA:</w:t>
      </w:r>
    </w:p>
    <w:p w14:paraId="029A53BC" w14:textId="77777777" w:rsidR="00C86459" w:rsidRDefault="00C86459" w:rsidP="00C86459">
      <w:pPr>
        <w:jc w:val="both"/>
        <w:rPr>
          <w:rFonts w:ascii="Open Sans" w:hAnsi="Open Sans" w:cs="Open Sans"/>
          <w:sz w:val="20"/>
          <w:szCs w:val="20"/>
        </w:rPr>
      </w:pPr>
    </w:p>
    <w:p w14:paraId="758B0F63"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sidRPr="00E055D3">
        <w:rPr>
          <w:rFonts w:ascii="Open Sans" w:hAnsi="Open Sans" w:cs="Open Sans"/>
          <w:sz w:val="20"/>
          <w:szCs w:val="20"/>
        </w:rPr>
        <w:t>Integridad: ética en las actuaciones, observancia de la norma y el mantenimiento de una relación cooperativa y de</w:t>
      </w:r>
      <w:r>
        <w:rPr>
          <w:rFonts w:ascii="Open Sans" w:hAnsi="Open Sans" w:cs="Open Sans"/>
          <w:sz w:val="20"/>
          <w:szCs w:val="20"/>
        </w:rPr>
        <w:t xml:space="preserve"> </w:t>
      </w:r>
      <w:r w:rsidRPr="00E055D3">
        <w:rPr>
          <w:rFonts w:ascii="Open Sans" w:hAnsi="Open Sans" w:cs="Open Sans"/>
          <w:sz w:val="20"/>
          <w:szCs w:val="20"/>
        </w:rPr>
        <w:t>buena fe con las distintas Administraciones Tributarias</w:t>
      </w:r>
    </w:p>
    <w:p w14:paraId="72DA3CBB"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Prudencia: valoración de las implicaciones fiscales de sus decisiones</w:t>
      </w:r>
    </w:p>
    <w:p w14:paraId="3958B4C4" w14:textId="77777777" w:rsidR="00C86459" w:rsidRDefault="00C86459" w:rsidP="000B70C9">
      <w:pPr>
        <w:numPr>
          <w:ilvl w:val="0"/>
          <w:numId w:val="42"/>
        </w:numPr>
        <w:tabs>
          <w:tab w:val="clear" w:pos="436"/>
          <w:tab w:val="num" w:pos="720"/>
        </w:tabs>
        <w:suppressAutoHyphens/>
        <w:ind w:left="720"/>
        <w:jc w:val="both"/>
        <w:rPr>
          <w:rFonts w:ascii="Open Sans" w:hAnsi="Open Sans" w:cs="Open Sans"/>
          <w:sz w:val="20"/>
          <w:szCs w:val="20"/>
        </w:rPr>
      </w:pPr>
      <w:r>
        <w:rPr>
          <w:rFonts w:ascii="Open Sans" w:hAnsi="Open Sans" w:cs="Open Sans"/>
          <w:sz w:val="20"/>
          <w:szCs w:val="20"/>
        </w:rPr>
        <w:t>Transparencia: información clara y veraz</w:t>
      </w:r>
    </w:p>
    <w:p w14:paraId="1B1B8D29" w14:textId="77777777" w:rsidR="00C86459" w:rsidRDefault="00C86459" w:rsidP="00C86459">
      <w:pPr>
        <w:jc w:val="both"/>
        <w:rPr>
          <w:rFonts w:ascii="Open Sans" w:hAnsi="Open Sans" w:cs="Open Sans"/>
          <w:sz w:val="20"/>
          <w:szCs w:val="20"/>
        </w:rPr>
      </w:pPr>
    </w:p>
    <w:p w14:paraId="0B031C17" w14:textId="77777777" w:rsidR="00C86459" w:rsidRPr="00E055D3" w:rsidRDefault="00C86459" w:rsidP="00C86459">
      <w:pPr>
        <w:jc w:val="both"/>
        <w:rPr>
          <w:rFonts w:ascii="Open Sans" w:hAnsi="Open Sans" w:cs="Open Sans"/>
          <w:sz w:val="20"/>
          <w:szCs w:val="20"/>
        </w:rPr>
      </w:pPr>
      <w:r>
        <w:rPr>
          <w:rFonts w:ascii="Open Sans" w:hAnsi="Open Sans" w:cs="Open Sans"/>
          <w:sz w:val="20"/>
          <w:szCs w:val="20"/>
        </w:rPr>
        <w:t xml:space="preserve">La estrategia tiene sus propios principios básicos entre los que se encuentra el pago de impuestos en los países donde realiza la actividad, presencia en paraísos fiscales ligada a la realización de actividad, evitar la doble imposición, precios de transferencia de mercado, adaptación de la economía digital a los sistemas tributarios, relación cooperativa con las Administraciones Tributarias, comunicación clara y transparente, valoración de implicaciones fiscales en sus productos financieros, denominación del Departamento Fiscal como organismo de control.  </w:t>
      </w:r>
    </w:p>
    <w:p w14:paraId="115948B1" w14:textId="77777777" w:rsidR="00C86459" w:rsidRDefault="00C86459" w:rsidP="00C86459">
      <w:pPr>
        <w:jc w:val="both"/>
        <w:rPr>
          <w:rFonts w:ascii="Open Sans" w:hAnsi="Open Sans" w:cs="Open Sans"/>
          <w:sz w:val="20"/>
          <w:szCs w:val="20"/>
        </w:rPr>
      </w:pPr>
    </w:p>
    <w:p w14:paraId="294679D5" w14:textId="77777777" w:rsidR="00C86459" w:rsidRPr="009F589D" w:rsidRDefault="00C86459" w:rsidP="00C86459">
      <w:pPr>
        <w:jc w:val="both"/>
        <w:rPr>
          <w:rFonts w:ascii="Open Sans" w:hAnsi="Open Sans"/>
          <w:sz w:val="20"/>
          <w:szCs w:val="20"/>
        </w:rPr>
      </w:pPr>
      <w:r w:rsidRPr="00E40526">
        <w:rPr>
          <w:rFonts w:ascii="Open Sans" w:hAnsi="Open Sans" w:cs="BBVAWebBook"/>
          <w:sz w:val="20"/>
          <w:szCs w:val="20"/>
        </w:rPr>
        <w:t>La posición del grupo respec</w:t>
      </w:r>
      <w:r>
        <w:rPr>
          <w:rFonts w:ascii="Open Sans" w:hAnsi="Open Sans" w:cs="BBVAWebBook"/>
          <w:sz w:val="20"/>
          <w:szCs w:val="20"/>
        </w:rPr>
        <w:t>to a la fiscalidad responsable ya se había manifestado en ejercicios anteriores. E</w:t>
      </w:r>
      <w:r w:rsidRPr="009F589D">
        <w:rPr>
          <w:rFonts w:ascii="Open Sans" w:hAnsi="Open Sans"/>
          <w:sz w:val="20"/>
          <w:szCs w:val="20"/>
        </w:rPr>
        <w:t xml:space="preserve">l Consejo de Administración de BBVA durante el ejercicio 2011 aprobó la adhesión del Banco al Código de Buenas Prácticas Tributarias que había sido aprobado por el Foro de Grandes Empresas según la redacción propuesta por la Agencia Estatal de Administración Tributaria (AEAT). El grupo afirma que durante este ejercicio ha cumplido con el contenido del mismo. Este código no es vinculante para sus firmantes, no establece un seguimiento de las actuaciones y tampoco tiene previsto un sistema sancionador por incumplimiento. </w:t>
      </w:r>
    </w:p>
    <w:p w14:paraId="0FBC9774" w14:textId="77777777" w:rsidR="00C86459" w:rsidRDefault="00C86459" w:rsidP="00C86459">
      <w:pPr>
        <w:jc w:val="both"/>
        <w:rPr>
          <w:rFonts w:ascii="Open Sans" w:hAnsi="Open Sans" w:cs="BBVAWebBook"/>
          <w:sz w:val="20"/>
          <w:szCs w:val="20"/>
        </w:rPr>
      </w:pPr>
    </w:p>
    <w:p w14:paraId="510B0406" w14:textId="77777777" w:rsidR="00C86459" w:rsidRPr="00E40526" w:rsidRDefault="00C86459" w:rsidP="00C86459">
      <w:pPr>
        <w:jc w:val="both"/>
        <w:rPr>
          <w:rFonts w:ascii="Open Sans" w:hAnsi="Open Sans"/>
          <w:sz w:val="20"/>
          <w:szCs w:val="20"/>
        </w:rPr>
      </w:pPr>
      <w:r>
        <w:rPr>
          <w:rFonts w:ascii="Open Sans" w:hAnsi="Open Sans" w:cs="BBVAWebBook"/>
          <w:sz w:val="20"/>
          <w:szCs w:val="20"/>
        </w:rPr>
        <w:t>Q</w:t>
      </w:r>
      <w:r w:rsidRPr="00E40526">
        <w:rPr>
          <w:rFonts w:ascii="Open Sans" w:hAnsi="Open Sans" w:cs="BBVAWebBook"/>
          <w:sz w:val="20"/>
          <w:szCs w:val="20"/>
        </w:rPr>
        <w:t>ueda</w:t>
      </w:r>
      <w:r>
        <w:rPr>
          <w:rFonts w:ascii="Open Sans" w:hAnsi="Open Sans" w:cs="BBVAWebBook"/>
          <w:sz w:val="20"/>
          <w:szCs w:val="20"/>
        </w:rPr>
        <w:t>,</w:t>
      </w:r>
      <w:r w:rsidRPr="00E40526">
        <w:rPr>
          <w:rFonts w:ascii="Open Sans" w:hAnsi="Open Sans" w:cs="BBVAWebBook"/>
          <w:sz w:val="20"/>
          <w:szCs w:val="20"/>
        </w:rPr>
        <w:t xml:space="preserve"> así mismo</w:t>
      </w:r>
      <w:r>
        <w:rPr>
          <w:rFonts w:ascii="Open Sans" w:hAnsi="Open Sans" w:cs="BBVAWebBook"/>
          <w:sz w:val="20"/>
          <w:szCs w:val="20"/>
        </w:rPr>
        <w:t>,</w:t>
      </w:r>
      <w:r w:rsidRPr="00E40526">
        <w:rPr>
          <w:rFonts w:ascii="Open Sans" w:hAnsi="Open Sans" w:cs="BBVAWebBook"/>
          <w:sz w:val="20"/>
          <w:szCs w:val="20"/>
        </w:rPr>
        <w:t xml:space="preserve"> recogida en la </w:t>
      </w:r>
      <w:r w:rsidRPr="00E40526">
        <w:rPr>
          <w:rFonts w:ascii="Open Sans" w:hAnsi="Open Sans"/>
          <w:sz w:val="20"/>
          <w:szCs w:val="20"/>
        </w:rPr>
        <w:t>Política de RSC, punto f) “</w:t>
      </w:r>
      <w:r w:rsidRPr="00E40526">
        <w:rPr>
          <w:rFonts w:ascii="Open Sans" w:hAnsi="Open Sans" w:cs="TT26Ft00"/>
          <w:i/>
          <w:sz w:val="20"/>
          <w:szCs w:val="20"/>
        </w:rPr>
        <w:t xml:space="preserve">Desarrollar su actividad cumpliendo de forma adecuada sus obligaciones tributarias y evitar cualquiera práctica que suponga la ilícita elusión del pago de tributos o el perjuicio del erario público. Para ello el grupo dispone de una </w:t>
      </w:r>
      <w:r w:rsidRPr="00E40526">
        <w:rPr>
          <w:rFonts w:ascii="Open Sans" w:hAnsi="Open Sans" w:cs="TT270t00"/>
          <w:i/>
          <w:sz w:val="20"/>
          <w:szCs w:val="20"/>
        </w:rPr>
        <w:t xml:space="preserve">Estrategia Fiscal </w:t>
      </w:r>
      <w:r w:rsidRPr="00E40526">
        <w:rPr>
          <w:rFonts w:ascii="Open Sans" w:hAnsi="Open Sans" w:cs="TT26Ft00"/>
          <w:i/>
          <w:sz w:val="20"/>
          <w:szCs w:val="20"/>
        </w:rPr>
        <w:t>acorde con los principios de integridad, transparencia y prudencia</w:t>
      </w:r>
      <w:r w:rsidRPr="00E40526">
        <w:rPr>
          <w:rFonts w:ascii="Open Sans" w:hAnsi="Open Sans" w:cs="TT26Ft00"/>
          <w:color w:val="143277"/>
          <w:sz w:val="20"/>
          <w:szCs w:val="20"/>
        </w:rPr>
        <w:t>”.</w:t>
      </w:r>
      <w:r w:rsidRPr="00E40526">
        <w:rPr>
          <w:rFonts w:ascii="Open Sans" w:hAnsi="Open Sans"/>
          <w:sz w:val="20"/>
          <w:szCs w:val="20"/>
        </w:rPr>
        <w:t xml:space="preserve"> En el Informe Anua Integrado (BBVA en 2015), se incorpora mención a la estrategia fiscal del grupo y al informe de TTC 2015.</w:t>
      </w:r>
    </w:p>
    <w:p w14:paraId="2EA62D94" w14:textId="77777777" w:rsidR="00C86459" w:rsidRDefault="00C86459" w:rsidP="00C86459">
      <w:pPr>
        <w:jc w:val="both"/>
        <w:rPr>
          <w:rFonts w:ascii="Open Sans" w:hAnsi="Open Sans" w:cs="BBVAWebBook"/>
          <w:sz w:val="20"/>
          <w:szCs w:val="20"/>
        </w:rPr>
      </w:pPr>
    </w:p>
    <w:p w14:paraId="382F409C" w14:textId="77777777" w:rsidR="00C86459" w:rsidRPr="00DC30FB" w:rsidRDefault="00C86459" w:rsidP="00C86459">
      <w:pPr>
        <w:jc w:val="both"/>
      </w:pPr>
      <w:r>
        <w:rPr>
          <w:rFonts w:ascii="Open Sans" w:hAnsi="Open Sans" w:cs="Arial"/>
          <w:bCs/>
          <w:sz w:val="20"/>
          <w:szCs w:val="20"/>
        </w:rPr>
        <w:t>A pesar de haber manifestado en estos documentos su compromiso con la fiscalidad responsable, n</w:t>
      </w:r>
      <w:r w:rsidRPr="00DC30FB">
        <w:rPr>
          <w:rFonts w:ascii="Open Sans" w:hAnsi="Open Sans" w:cs="Arial"/>
          <w:bCs/>
          <w:sz w:val="20"/>
          <w:szCs w:val="20"/>
        </w:rPr>
        <w:t xml:space="preserve">o se ha encontrado referencia explícita a que </w:t>
      </w:r>
      <w:r>
        <w:rPr>
          <w:rFonts w:ascii="Open Sans" w:hAnsi="Open Sans" w:cs="Arial"/>
          <w:bCs/>
          <w:sz w:val="20"/>
          <w:szCs w:val="20"/>
        </w:rPr>
        <w:t xml:space="preserve">el grupo </w:t>
      </w:r>
      <w:r w:rsidRPr="00DC30FB">
        <w:rPr>
          <w:rFonts w:ascii="Open Sans" w:hAnsi="Open Sans" w:cs="Arial"/>
          <w:bCs/>
          <w:sz w:val="20"/>
          <w:szCs w:val="20"/>
        </w:rPr>
        <w:t>haya identificado riesgos fiscales. En el I</w:t>
      </w:r>
      <w:r>
        <w:rPr>
          <w:rFonts w:ascii="Open Sans" w:hAnsi="Open Sans" w:cs="Arial"/>
          <w:bCs/>
          <w:sz w:val="20"/>
          <w:szCs w:val="20"/>
        </w:rPr>
        <w:t xml:space="preserve">nforme Anual del Gobierno Corporativo, describe cuáles son </w:t>
      </w:r>
      <w:r w:rsidRPr="00DC30FB">
        <w:rPr>
          <w:rFonts w:ascii="Open Sans" w:hAnsi="Open Sans" w:cs="Arial"/>
          <w:bCs/>
          <w:sz w:val="20"/>
          <w:szCs w:val="20"/>
        </w:rPr>
        <w:t xml:space="preserve">los Riesgos regulatorios, legales, fiscales y reputacionales </w:t>
      </w:r>
      <w:r>
        <w:rPr>
          <w:rFonts w:ascii="Open Sans" w:hAnsi="Open Sans" w:cs="Arial"/>
          <w:bCs/>
          <w:sz w:val="20"/>
          <w:szCs w:val="20"/>
        </w:rPr>
        <w:t>a los que se enfrenta, pero en su</w:t>
      </w:r>
      <w:r w:rsidRPr="00DC30FB">
        <w:rPr>
          <w:rFonts w:ascii="Open Sans" w:hAnsi="Open Sans" w:cs="Arial"/>
          <w:bCs/>
          <w:sz w:val="20"/>
          <w:szCs w:val="20"/>
        </w:rPr>
        <w:t xml:space="preserve"> explicación sólo entra a valorar</w:t>
      </w:r>
      <w:r>
        <w:rPr>
          <w:rFonts w:ascii="Open Sans" w:hAnsi="Open Sans" w:cs="Arial"/>
          <w:bCs/>
          <w:sz w:val="20"/>
          <w:szCs w:val="20"/>
        </w:rPr>
        <w:t xml:space="preserve"> aquellos que son regulatorios y legales</w:t>
      </w:r>
      <w:r w:rsidRPr="00DC30FB">
        <w:rPr>
          <w:rFonts w:ascii="Open Sans" w:hAnsi="Open Sans" w:cs="Arial"/>
          <w:bCs/>
          <w:sz w:val="20"/>
          <w:szCs w:val="20"/>
        </w:rPr>
        <w:t>.</w:t>
      </w:r>
      <w:r>
        <w:rPr>
          <w:rFonts w:ascii="Open Sans" w:hAnsi="Open Sans" w:cs="Arial"/>
          <w:bCs/>
          <w:sz w:val="20"/>
          <w:szCs w:val="20"/>
        </w:rPr>
        <w:t xml:space="preserve"> En el mismo informe, indica que e</w:t>
      </w:r>
      <w:r w:rsidRPr="00DC30FB">
        <w:rPr>
          <w:rFonts w:ascii="Open Sans" w:hAnsi="Open Sans" w:cs="Arial"/>
          <w:bCs/>
          <w:sz w:val="20"/>
          <w:szCs w:val="20"/>
        </w:rPr>
        <w:t>l riesgo es inherente a la actividad financiera y, por tanto, la materialización de riesgos en mayor o menor cuantía es absolutamente consustancial a la actividad que lleva a cabo el Grupo</w:t>
      </w:r>
      <w:r>
        <w:rPr>
          <w:rFonts w:ascii="Open Sans" w:hAnsi="Open Sans" w:cs="Arial"/>
          <w:bCs/>
          <w:sz w:val="20"/>
          <w:szCs w:val="20"/>
        </w:rPr>
        <w:t xml:space="preserve">, redirigiendo a las CCAA Consolidadas para valorar </w:t>
      </w:r>
      <w:r w:rsidRPr="00DC30FB">
        <w:rPr>
          <w:rFonts w:ascii="Open Sans" w:hAnsi="Open Sans" w:cs="Arial"/>
          <w:bCs/>
          <w:sz w:val="20"/>
          <w:szCs w:val="20"/>
        </w:rPr>
        <w:t>la evolución de aquellos riesgos que por su naturaleza afectan de manera permanente al Grupo en el desarrollo de su actividad</w:t>
      </w:r>
      <w:r>
        <w:rPr>
          <w:rFonts w:ascii="Open Sans" w:hAnsi="Open Sans" w:cs="Arial"/>
          <w:bCs/>
          <w:sz w:val="20"/>
          <w:szCs w:val="20"/>
        </w:rPr>
        <w:t xml:space="preserve">. En este documento, </w:t>
      </w:r>
      <w:r w:rsidRPr="00DC30FB">
        <w:rPr>
          <w:rFonts w:ascii="Open Sans" w:hAnsi="Open Sans" w:cs="Arial"/>
          <w:bCs/>
          <w:sz w:val="20"/>
          <w:szCs w:val="20"/>
        </w:rPr>
        <w:t xml:space="preserve">no </w:t>
      </w:r>
      <w:r>
        <w:rPr>
          <w:rFonts w:ascii="Open Sans" w:hAnsi="Open Sans" w:cs="Arial"/>
          <w:bCs/>
          <w:sz w:val="20"/>
          <w:szCs w:val="20"/>
        </w:rPr>
        <w:t>incorpora tampoco</w:t>
      </w:r>
      <w:r w:rsidRPr="00DC30FB">
        <w:rPr>
          <w:rFonts w:ascii="Open Sans" w:hAnsi="Open Sans" w:cs="Arial"/>
          <w:bCs/>
          <w:sz w:val="20"/>
          <w:szCs w:val="20"/>
        </w:rPr>
        <w:t xml:space="preserve"> información sobre riesgos fiscales.</w:t>
      </w:r>
      <w:r>
        <w:rPr>
          <w:rFonts w:ascii="Open Sans" w:hAnsi="Open Sans" w:cs="Arial"/>
          <w:bCs/>
          <w:sz w:val="20"/>
          <w:szCs w:val="20"/>
        </w:rPr>
        <w:t xml:space="preserve"> </w:t>
      </w:r>
    </w:p>
    <w:p w14:paraId="07CE8335" w14:textId="77777777" w:rsidR="00C86459" w:rsidRDefault="00C86459" w:rsidP="00C86459">
      <w:pPr>
        <w:jc w:val="both"/>
        <w:rPr>
          <w:rFonts w:ascii="Open Sans" w:hAnsi="Open Sans" w:cs="Arial"/>
          <w:bCs/>
          <w:sz w:val="20"/>
          <w:szCs w:val="20"/>
        </w:rPr>
      </w:pPr>
    </w:p>
    <w:p w14:paraId="188C3643" w14:textId="77777777" w:rsidR="00C86459" w:rsidRDefault="00C86459" w:rsidP="00C86459">
      <w:pPr>
        <w:jc w:val="both"/>
        <w:rPr>
          <w:rFonts w:ascii="Open Sans" w:hAnsi="Open Sans" w:cs="Arial"/>
          <w:bCs/>
          <w:sz w:val="20"/>
          <w:szCs w:val="20"/>
        </w:rPr>
      </w:pPr>
      <w:r w:rsidRPr="00DC30FB">
        <w:rPr>
          <w:rFonts w:ascii="Open Sans" w:hAnsi="Open Sans" w:cs="Arial"/>
          <w:bCs/>
          <w:sz w:val="20"/>
          <w:szCs w:val="20"/>
        </w:rPr>
        <w:t xml:space="preserve">De forma genérica indica que entre </w:t>
      </w:r>
      <w:r>
        <w:rPr>
          <w:rFonts w:ascii="Open Sans" w:hAnsi="Open Sans" w:cs="Arial"/>
          <w:bCs/>
          <w:sz w:val="20"/>
          <w:szCs w:val="20"/>
        </w:rPr>
        <w:t xml:space="preserve">las funciones del Consejo de Administración y de la Comisión de Auditoría y Cumplimiento se encuentra la </w:t>
      </w:r>
      <w:r w:rsidRPr="00DC30FB">
        <w:rPr>
          <w:rFonts w:ascii="Open Sans" w:hAnsi="Open Sans" w:cs="Arial"/>
          <w:bCs/>
          <w:sz w:val="20"/>
          <w:szCs w:val="20"/>
        </w:rPr>
        <w:t>supervis</w:t>
      </w:r>
      <w:r>
        <w:rPr>
          <w:rFonts w:ascii="Open Sans" w:hAnsi="Open Sans" w:cs="Arial"/>
          <w:bCs/>
          <w:sz w:val="20"/>
          <w:szCs w:val="20"/>
        </w:rPr>
        <w:t xml:space="preserve">ión de la </w:t>
      </w:r>
      <w:r w:rsidRPr="00DC30FB">
        <w:rPr>
          <w:rFonts w:ascii="Open Sans" w:hAnsi="Open Sans" w:cs="Arial"/>
          <w:bCs/>
          <w:sz w:val="20"/>
          <w:szCs w:val="20"/>
        </w:rPr>
        <w:t>eficacia del control de los sistemas de gestión de riesgos en el proceso de elaboración y presentación de la información financiera, i</w:t>
      </w:r>
      <w:r>
        <w:rPr>
          <w:rFonts w:ascii="Open Sans" w:hAnsi="Open Sans" w:cs="Arial"/>
          <w:bCs/>
          <w:sz w:val="20"/>
          <w:szCs w:val="20"/>
        </w:rPr>
        <w:t>ncluidos los riesgos fiscales. Además, la Comisión debe i</w:t>
      </w:r>
      <w:r w:rsidRPr="00DC30FB">
        <w:rPr>
          <w:rFonts w:ascii="Open Sans" w:hAnsi="Open Sans" w:cs="Arial"/>
          <w:bCs/>
          <w:sz w:val="20"/>
          <w:szCs w:val="20"/>
        </w:rPr>
        <w:t xml:space="preserve">nformar, con carácter previo a las decisiones </w:t>
      </w:r>
      <w:r>
        <w:rPr>
          <w:rFonts w:ascii="Open Sans" w:hAnsi="Open Sans" w:cs="Arial"/>
          <w:bCs/>
          <w:sz w:val="20"/>
          <w:szCs w:val="20"/>
        </w:rPr>
        <w:t>d</w:t>
      </w:r>
      <w:r w:rsidRPr="00DC30FB">
        <w:rPr>
          <w:rFonts w:ascii="Open Sans" w:hAnsi="Open Sans" w:cs="Arial"/>
          <w:bCs/>
          <w:sz w:val="20"/>
          <w:szCs w:val="20"/>
        </w:rPr>
        <w:t>el Consejo</w:t>
      </w:r>
      <w:r>
        <w:rPr>
          <w:rFonts w:ascii="Open Sans" w:hAnsi="Open Sans" w:cs="Arial"/>
          <w:bCs/>
          <w:sz w:val="20"/>
          <w:szCs w:val="20"/>
        </w:rPr>
        <w:t xml:space="preserve"> de la </w:t>
      </w:r>
      <w:r w:rsidRPr="00DC30FB">
        <w:rPr>
          <w:rFonts w:ascii="Open Sans" w:hAnsi="Open Sans" w:cs="Arial"/>
          <w:bCs/>
          <w:sz w:val="20"/>
          <w:szCs w:val="20"/>
        </w:rPr>
        <w:t>creación o adquisición de participaciones en entidades de propósito especial o domiciliadas en paraísos o territorios que tengan la consideración de paraísos fiscales</w:t>
      </w:r>
      <w:r>
        <w:rPr>
          <w:rFonts w:ascii="Open Sans" w:hAnsi="Open Sans" w:cs="Arial"/>
          <w:bCs/>
          <w:sz w:val="20"/>
          <w:szCs w:val="20"/>
        </w:rPr>
        <w:t xml:space="preserve">. Finalmente, </w:t>
      </w:r>
      <w:r w:rsidRPr="00DC30FB">
        <w:rPr>
          <w:rFonts w:ascii="Open Sans" w:hAnsi="Open Sans" w:cs="Arial"/>
          <w:bCs/>
          <w:sz w:val="20"/>
          <w:szCs w:val="20"/>
        </w:rPr>
        <w:t>el Departamento Fiscal es el responsable de establecer los mecanismos de control y las normas internas necesarias para asegurar el cumplimiento de la normativa fiscal vigente y de la estrategia fiscal aprobada po</w:t>
      </w:r>
      <w:r>
        <w:rPr>
          <w:rFonts w:ascii="Open Sans" w:hAnsi="Open Sans" w:cs="Arial"/>
          <w:bCs/>
          <w:sz w:val="20"/>
          <w:szCs w:val="20"/>
        </w:rPr>
        <w:t>r el Consejo de Administración, bajo la sup</w:t>
      </w:r>
      <w:r w:rsidRPr="00DC30FB">
        <w:rPr>
          <w:rFonts w:ascii="Open Sans" w:hAnsi="Open Sans" w:cs="Arial"/>
          <w:bCs/>
          <w:sz w:val="20"/>
          <w:szCs w:val="20"/>
        </w:rPr>
        <w:t>ervisión</w:t>
      </w:r>
      <w:r>
        <w:rPr>
          <w:rFonts w:ascii="Open Sans" w:hAnsi="Open Sans" w:cs="Arial"/>
          <w:bCs/>
          <w:sz w:val="20"/>
          <w:szCs w:val="20"/>
        </w:rPr>
        <w:t xml:space="preserve"> de la Comisión de Auditoría. No se ha encontrado información sobre las re</w:t>
      </w:r>
      <w:r w:rsidRPr="00DC30FB">
        <w:rPr>
          <w:rFonts w:ascii="Open Sans" w:hAnsi="Open Sans" w:cs="Arial"/>
          <w:bCs/>
          <w:sz w:val="20"/>
          <w:szCs w:val="20"/>
        </w:rPr>
        <w:t xml:space="preserve">uniones de los Comités del Consejo y del Consejo en el que se han tratado temas de fiscalidad </w:t>
      </w:r>
      <w:r>
        <w:rPr>
          <w:rFonts w:ascii="Open Sans" w:hAnsi="Open Sans" w:cs="Arial"/>
          <w:bCs/>
          <w:sz w:val="20"/>
          <w:szCs w:val="20"/>
        </w:rPr>
        <w:t>ni</w:t>
      </w:r>
      <w:r w:rsidRPr="00DC30FB">
        <w:rPr>
          <w:rFonts w:ascii="Open Sans" w:hAnsi="Open Sans" w:cs="Arial"/>
          <w:bCs/>
          <w:sz w:val="20"/>
          <w:szCs w:val="20"/>
        </w:rPr>
        <w:t xml:space="preserve"> de cuáles han sido los temas tratados</w:t>
      </w:r>
      <w:r>
        <w:rPr>
          <w:rFonts w:ascii="Open Sans" w:hAnsi="Open Sans" w:cs="Arial"/>
          <w:bCs/>
          <w:sz w:val="20"/>
          <w:szCs w:val="20"/>
        </w:rPr>
        <w:t xml:space="preserve"> ni decisiones adoptadas o posibles </w:t>
      </w:r>
      <w:r w:rsidRPr="0035623A">
        <w:rPr>
          <w:rFonts w:ascii="Open Sans" w:hAnsi="Open Sans" w:cs="Arial"/>
          <w:bCs/>
          <w:sz w:val="20"/>
          <w:szCs w:val="20"/>
        </w:rPr>
        <w:t>conflictos de interés en la imple</w:t>
      </w:r>
      <w:r>
        <w:rPr>
          <w:rFonts w:ascii="Open Sans" w:hAnsi="Open Sans" w:cs="Arial"/>
          <w:bCs/>
          <w:sz w:val="20"/>
          <w:szCs w:val="20"/>
        </w:rPr>
        <w:t>mentación del código y acciones.</w:t>
      </w:r>
    </w:p>
    <w:p w14:paraId="560A700C" w14:textId="77777777" w:rsidR="00C86459" w:rsidRDefault="00C86459" w:rsidP="00C86459">
      <w:pPr>
        <w:jc w:val="both"/>
        <w:rPr>
          <w:rFonts w:ascii="Open Sans" w:hAnsi="Open Sans" w:cs="Arial"/>
          <w:bCs/>
          <w:sz w:val="20"/>
          <w:szCs w:val="20"/>
        </w:rPr>
      </w:pPr>
    </w:p>
    <w:p w14:paraId="69794FAD" w14:textId="77777777" w:rsidR="00C86459" w:rsidRPr="00E17C64" w:rsidRDefault="00C86459" w:rsidP="00C86459">
      <w:pPr>
        <w:jc w:val="both"/>
        <w:rPr>
          <w:rFonts w:ascii="Open Sans" w:hAnsi="Open Sans"/>
          <w:sz w:val="20"/>
          <w:szCs w:val="20"/>
        </w:rPr>
      </w:pPr>
      <w:r w:rsidRPr="00E17C64">
        <w:rPr>
          <w:rFonts w:ascii="Open Sans" w:hAnsi="Open Sans"/>
          <w:sz w:val="20"/>
          <w:szCs w:val="20"/>
        </w:rPr>
        <w:t>La información sobre la e</w:t>
      </w:r>
      <w:r w:rsidRPr="00E17C64">
        <w:rPr>
          <w:rFonts w:ascii="Open Sans" w:hAnsi="Open Sans" w:cs="Arial"/>
          <w:bCs/>
          <w:sz w:val="20"/>
          <w:szCs w:val="20"/>
        </w:rPr>
        <w:t xml:space="preserve">structura societaria es </w:t>
      </w:r>
      <w:r>
        <w:rPr>
          <w:rFonts w:ascii="Open Sans" w:hAnsi="Open Sans" w:cs="Arial"/>
          <w:bCs/>
          <w:sz w:val="20"/>
          <w:szCs w:val="20"/>
        </w:rPr>
        <w:t>insuficiente</w:t>
      </w:r>
      <w:r w:rsidRPr="00E17C64">
        <w:rPr>
          <w:rFonts w:ascii="Open Sans" w:hAnsi="Open Sans" w:cs="Arial"/>
          <w:bCs/>
          <w:sz w:val="20"/>
          <w:szCs w:val="20"/>
        </w:rPr>
        <w:t xml:space="preserve">. </w:t>
      </w:r>
      <w:r w:rsidRPr="00E17C64">
        <w:rPr>
          <w:rFonts w:ascii="Open Sans" w:hAnsi="Open Sans" w:cs="Arial"/>
          <w:color w:val="000000"/>
          <w:sz w:val="20"/>
          <w:szCs w:val="20"/>
        </w:rPr>
        <w:t xml:space="preserve">No se incluye </w:t>
      </w:r>
      <w:r>
        <w:rPr>
          <w:rFonts w:ascii="Open Sans" w:hAnsi="Open Sans" w:cs="Arial"/>
          <w:color w:val="000000"/>
          <w:sz w:val="20"/>
          <w:szCs w:val="20"/>
        </w:rPr>
        <w:t xml:space="preserve">información detallada </w:t>
      </w:r>
      <w:r>
        <w:rPr>
          <w:rFonts w:ascii="Open Sans" w:hAnsi="Open Sans"/>
          <w:sz w:val="20"/>
          <w:szCs w:val="20"/>
        </w:rPr>
        <w:t xml:space="preserve">sobre </w:t>
      </w:r>
      <w:r w:rsidRPr="00E17C64">
        <w:rPr>
          <w:rFonts w:ascii="Open Sans" w:hAnsi="Open Sans"/>
          <w:sz w:val="20"/>
          <w:szCs w:val="20"/>
        </w:rPr>
        <w:t>actividad desarrollada por cada una de las sociedades y detalles sobre la forma de participación (directa o indirecta</w:t>
      </w:r>
      <w:r>
        <w:rPr>
          <w:rFonts w:ascii="Open Sans" w:hAnsi="Open Sans"/>
          <w:sz w:val="20"/>
          <w:szCs w:val="20"/>
        </w:rPr>
        <w:t xml:space="preserve"> y en este caso </w:t>
      </w:r>
      <w:r w:rsidRPr="00E17C64">
        <w:rPr>
          <w:rFonts w:ascii="Open Sans" w:hAnsi="Open Sans"/>
          <w:sz w:val="20"/>
          <w:szCs w:val="20"/>
        </w:rPr>
        <w:t xml:space="preserve"> a través de qué sociedades).</w:t>
      </w:r>
      <w:r>
        <w:rPr>
          <w:rFonts w:ascii="Open Sans" w:hAnsi="Open Sans"/>
          <w:sz w:val="20"/>
          <w:szCs w:val="20"/>
        </w:rPr>
        <w:t xml:space="preserve"> N</w:t>
      </w:r>
      <w:r w:rsidRPr="00E17C64">
        <w:rPr>
          <w:rFonts w:ascii="Open Sans" w:hAnsi="Open Sans"/>
          <w:sz w:val="20"/>
          <w:szCs w:val="20"/>
        </w:rPr>
        <w:t xml:space="preserve">o ofrece información sobre la vinculación que las empresas del grupo mantienen entre si, éste es el caso de </w:t>
      </w:r>
      <w:r w:rsidRPr="00E17C64">
        <w:rPr>
          <w:rFonts w:ascii="Open Sans" w:hAnsi="Open Sans" w:cs="Arial"/>
          <w:bCs/>
          <w:sz w:val="20"/>
          <w:szCs w:val="20"/>
        </w:rPr>
        <w:t>BBVA Luxinvest domiciliada en Luxemburgo, es la sociedad que posee las acciones de BBVA en Suiza, Lince Netherlands B.V. es la propietaria de Banco Provincial Overseas, N.V.,</w:t>
      </w:r>
      <w:r>
        <w:rPr>
          <w:rFonts w:ascii="Open Sans" w:hAnsi="Open Sans" w:cs="Arial"/>
          <w:bCs/>
          <w:sz w:val="20"/>
          <w:szCs w:val="20"/>
        </w:rPr>
        <w:t xml:space="preserve"> de Banco Provincial S.A.- Curaç</w:t>
      </w:r>
      <w:r w:rsidRPr="00E17C64">
        <w:rPr>
          <w:rFonts w:ascii="Open Sans" w:hAnsi="Open Sans" w:cs="Arial"/>
          <w:bCs/>
          <w:sz w:val="20"/>
          <w:szCs w:val="20"/>
        </w:rPr>
        <w:t>ao Branch y de Banco Provincial, S.A.-Banco Universal de Venezuela.</w:t>
      </w:r>
    </w:p>
    <w:p w14:paraId="6DF29F73" w14:textId="77777777" w:rsidR="00C86459" w:rsidRDefault="00C86459" w:rsidP="00C86459">
      <w:pPr>
        <w:jc w:val="both"/>
        <w:rPr>
          <w:rFonts w:ascii="Open Sans" w:hAnsi="Open Sans" w:cs="Arial"/>
          <w:bCs/>
          <w:sz w:val="20"/>
          <w:szCs w:val="20"/>
        </w:rPr>
      </w:pPr>
    </w:p>
    <w:p w14:paraId="0FDBE56F" w14:textId="77777777" w:rsidR="00C86459" w:rsidRDefault="00C86459" w:rsidP="00C86459">
      <w:pPr>
        <w:jc w:val="both"/>
        <w:rPr>
          <w:rFonts w:ascii="Open Sans" w:hAnsi="Open Sans" w:cs="Arial"/>
          <w:bCs/>
          <w:sz w:val="20"/>
          <w:szCs w:val="20"/>
        </w:rPr>
      </w:pPr>
      <w:r>
        <w:rPr>
          <w:rFonts w:ascii="Open Sans" w:hAnsi="Open Sans" w:cs="Arial"/>
          <w:bCs/>
          <w:sz w:val="20"/>
          <w:szCs w:val="20"/>
        </w:rPr>
        <w:t xml:space="preserve">Por lo que respecta al </w:t>
      </w:r>
      <w:r w:rsidRPr="00241BDC">
        <w:rPr>
          <w:rFonts w:ascii="Open Sans" w:hAnsi="Open Sans" w:cs="Arial"/>
          <w:bCs/>
          <w:sz w:val="20"/>
          <w:szCs w:val="20"/>
        </w:rPr>
        <w:t xml:space="preserve">impuesto sobre sociedades que soporta en cada uno de los países en los que </w:t>
      </w:r>
      <w:r>
        <w:rPr>
          <w:rFonts w:ascii="Open Sans" w:hAnsi="Open Sans" w:cs="Arial"/>
          <w:bCs/>
          <w:sz w:val="20"/>
          <w:szCs w:val="20"/>
        </w:rPr>
        <w:t xml:space="preserve">opera, al principio de este apartado ya se ha comentado los informes anexos que presenta la entidad, Informe Bancario Anual y el TTC, con sus limitaciones y salvedades en el desglose de la información. A nivel de grupo, la empresa relaciona los diferentes conceptos contables que generan la </w:t>
      </w:r>
      <w:r w:rsidRPr="00241BDC">
        <w:rPr>
          <w:rFonts w:ascii="Open Sans" w:hAnsi="Open Sans" w:cs="Arial"/>
          <w:bCs/>
          <w:sz w:val="20"/>
          <w:szCs w:val="20"/>
        </w:rPr>
        <w:t>diferencia entre la tasa impositiva efectiva</w:t>
      </w:r>
      <w:r>
        <w:rPr>
          <w:rFonts w:ascii="Open Sans" w:hAnsi="Open Sans" w:cs="Arial"/>
          <w:bCs/>
          <w:sz w:val="20"/>
          <w:szCs w:val="20"/>
        </w:rPr>
        <w:t xml:space="preserve"> (30%)</w:t>
      </w:r>
      <w:r w:rsidRPr="00241BDC">
        <w:rPr>
          <w:rFonts w:ascii="Open Sans" w:hAnsi="Open Sans" w:cs="Arial"/>
          <w:bCs/>
          <w:sz w:val="20"/>
          <w:szCs w:val="20"/>
        </w:rPr>
        <w:t xml:space="preserve"> y la tasa impositiva nomina</w:t>
      </w:r>
      <w:r>
        <w:rPr>
          <w:rFonts w:ascii="Open Sans" w:hAnsi="Open Sans" w:cs="Arial"/>
          <w:bCs/>
          <w:sz w:val="20"/>
          <w:szCs w:val="20"/>
        </w:rPr>
        <w:t>l del impuesto sobre sociedades (27,68%, la más alta de los últimos tres ejercicios), principalmente debido a una</w:t>
      </w:r>
      <w:r w:rsidRPr="0012355A">
        <w:rPr>
          <w:rFonts w:ascii="Open Sans" w:hAnsi="Open Sans" w:cs="Arial"/>
          <w:bCs/>
          <w:sz w:val="20"/>
          <w:szCs w:val="20"/>
        </w:rPr>
        <w:t xml:space="preserve"> menor tasa efectiva de impuestos de</w:t>
      </w:r>
      <w:r>
        <w:rPr>
          <w:rFonts w:ascii="Open Sans" w:hAnsi="Open Sans" w:cs="Arial"/>
          <w:bCs/>
          <w:sz w:val="20"/>
          <w:szCs w:val="20"/>
        </w:rPr>
        <w:t xml:space="preserve"> las sociedades extranjeras, </w:t>
      </w:r>
      <w:r w:rsidRPr="0012355A">
        <w:rPr>
          <w:rFonts w:ascii="Open Sans" w:hAnsi="Open Sans" w:cs="Arial"/>
          <w:bCs/>
          <w:sz w:val="20"/>
          <w:szCs w:val="20"/>
        </w:rPr>
        <w:t>Ingresos con menor tasa fiscal (dividendos)</w:t>
      </w:r>
      <w:r>
        <w:rPr>
          <w:rFonts w:ascii="Open Sans" w:hAnsi="Open Sans" w:cs="Arial"/>
          <w:bCs/>
          <w:sz w:val="20"/>
          <w:szCs w:val="20"/>
        </w:rPr>
        <w:t xml:space="preserve">, </w:t>
      </w:r>
      <w:r w:rsidRPr="0012355A">
        <w:rPr>
          <w:rFonts w:ascii="Open Sans" w:hAnsi="Open Sans" w:cs="Arial"/>
          <w:bCs/>
          <w:sz w:val="20"/>
          <w:szCs w:val="20"/>
        </w:rPr>
        <w:t>Ingre</w:t>
      </w:r>
      <w:r>
        <w:rPr>
          <w:rFonts w:ascii="Open Sans" w:hAnsi="Open Sans" w:cs="Arial"/>
          <w:bCs/>
          <w:sz w:val="20"/>
          <w:szCs w:val="20"/>
        </w:rPr>
        <w:t xml:space="preserve">sos por puesta en equivalencia y </w:t>
      </w:r>
      <w:r w:rsidRPr="0012355A">
        <w:rPr>
          <w:rFonts w:ascii="Open Sans" w:hAnsi="Open Sans" w:cs="Arial"/>
          <w:bCs/>
          <w:sz w:val="20"/>
          <w:szCs w:val="20"/>
        </w:rPr>
        <w:t>otros efectos</w:t>
      </w:r>
      <w:r>
        <w:rPr>
          <w:rFonts w:ascii="Open Sans" w:hAnsi="Open Sans" w:cs="Arial"/>
          <w:bCs/>
          <w:sz w:val="20"/>
          <w:szCs w:val="20"/>
        </w:rPr>
        <w:t xml:space="preserve">, </w:t>
      </w:r>
    </w:p>
    <w:p w14:paraId="01FD811C" w14:textId="77777777" w:rsidR="00C86459" w:rsidRPr="00596D90" w:rsidRDefault="00C86459" w:rsidP="00C86459">
      <w:pPr>
        <w:jc w:val="both"/>
        <w:rPr>
          <w:rFonts w:ascii="Open Sans" w:hAnsi="Open Sans" w:cs="Arial"/>
          <w:bCs/>
          <w:sz w:val="20"/>
          <w:szCs w:val="20"/>
        </w:rPr>
      </w:pPr>
    </w:p>
    <w:p w14:paraId="754EC1F8" w14:textId="77777777" w:rsidR="00C86459" w:rsidRPr="00596D90" w:rsidRDefault="00C86459" w:rsidP="00C86459">
      <w:pPr>
        <w:jc w:val="both"/>
        <w:rPr>
          <w:rFonts w:ascii="Open Sans" w:hAnsi="Open Sans" w:cs="Arial"/>
          <w:color w:val="000000"/>
          <w:sz w:val="20"/>
          <w:szCs w:val="20"/>
        </w:rPr>
      </w:pPr>
      <w:r w:rsidRPr="0012355A">
        <w:rPr>
          <w:rFonts w:ascii="Open Sans" w:hAnsi="Open Sans" w:cs="Arial"/>
          <w:color w:val="000000"/>
          <w:sz w:val="20"/>
          <w:szCs w:val="20"/>
        </w:rPr>
        <w:t>S</w:t>
      </w:r>
      <w:r w:rsidRPr="00596D90">
        <w:rPr>
          <w:rFonts w:ascii="Open Sans" w:hAnsi="Open Sans" w:cs="Arial"/>
          <w:color w:val="000000"/>
          <w:sz w:val="20"/>
          <w:szCs w:val="20"/>
        </w:rPr>
        <w:t>egún indica la entidad, durante el año 2015</w:t>
      </w:r>
      <w:r w:rsidRPr="0012355A">
        <w:rPr>
          <w:rFonts w:ascii="Open Sans" w:hAnsi="Open Sans" w:cs="Arial"/>
          <w:color w:val="000000"/>
          <w:sz w:val="20"/>
          <w:szCs w:val="20"/>
        </w:rPr>
        <w:t>, el grupo BBVA no ha recibido ayudas públicas dirigidas al sector financiero que tengan por objeto promover el desarrollo de la actividad ban</w:t>
      </w:r>
      <w:r w:rsidRPr="00596D90">
        <w:rPr>
          <w:rFonts w:ascii="Open Sans" w:hAnsi="Open Sans" w:cs="Arial"/>
          <w:color w:val="000000"/>
          <w:sz w:val="20"/>
          <w:szCs w:val="20"/>
        </w:rPr>
        <w:t>caria y que sean significativas</w:t>
      </w:r>
      <w:r w:rsidRPr="00596D90">
        <w:rPr>
          <w:rStyle w:val="Refdenotaalpie"/>
          <w:rFonts w:ascii="Open Sans" w:hAnsi="Open Sans" w:cs="Arial"/>
          <w:color w:val="000000"/>
          <w:sz w:val="20"/>
          <w:szCs w:val="20"/>
        </w:rPr>
        <w:footnoteReference w:id="491"/>
      </w:r>
      <w:r w:rsidRPr="0012355A">
        <w:rPr>
          <w:rFonts w:ascii="Open Sans" w:hAnsi="Open Sans" w:cs="Arial"/>
          <w:color w:val="000000"/>
          <w:sz w:val="20"/>
          <w:szCs w:val="20"/>
        </w:rPr>
        <w:t xml:space="preserve">." </w:t>
      </w:r>
      <w:r w:rsidRPr="00596D90">
        <w:rPr>
          <w:rFonts w:ascii="Open Sans" w:hAnsi="Open Sans" w:cs="Arial"/>
          <w:color w:val="000000"/>
          <w:sz w:val="20"/>
          <w:szCs w:val="20"/>
        </w:rPr>
        <w:t>Sin e</w:t>
      </w:r>
      <w:r>
        <w:rPr>
          <w:rFonts w:ascii="Open Sans" w:hAnsi="Open Sans" w:cs="Arial"/>
          <w:color w:val="000000"/>
          <w:sz w:val="20"/>
          <w:szCs w:val="20"/>
        </w:rPr>
        <w:t>mbargo, en este ejercicio se ha</w:t>
      </w:r>
      <w:r w:rsidRPr="00596D90">
        <w:rPr>
          <w:rFonts w:ascii="Open Sans" w:hAnsi="Open Sans" w:cs="Arial"/>
          <w:color w:val="000000"/>
          <w:sz w:val="20"/>
          <w:szCs w:val="20"/>
        </w:rPr>
        <w:t xml:space="preserve"> declarado </w:t>
      </w:r>
      <w:r>
        <w:rPr>
          <w:rFonts w:ascii="Open Sans" w:hAnsi="Open Sans" w:cs="Arial"/>
          <w:color w:val="000000"/>
          <w:sz w:val="20"/>
          <w:szCs w:val="20"/>
        </w:rPr>
        <w:t xml:space="preserve">como hecho relevante, con fecha 24/04/2015, </w:t>
      </w:r>
      <w:r w:rsidRPr="00AD11EC">
        <w:rPr>
          <w:rFonts w:ascii="Open Sans" w:hAnsi="Open Sans" w:cs="Arial"/>
          <w:color w:val="000000"/>
          <w:sz w:val="20"/>
          <w:szCs w:val="20"/>
        </w:rPr>
        <w:t>el cierre de la adquisición de Catalunya Banc, S.A.</w:t>
      </w:r>
      <w:r w:rsidRPr="00596D90">
        <w:rPr>
          <w:rFonts w:ascii="Open Sans" w:hAnsi="Open Sans" w:cs="Arial"/>
          <w:color w:val="000000"/>
          <w:sz w:val="20"/>
          <w:szCs w:val="20"/>
        </w:rPr>
        <w:t xml:space="preserve"> En este aspecto, es necesario valorar el grado de afectación a BBVA de las </w:t>
      </w:r>
      <w:r>
        <w:rPr>
          <w:rFonts w:ascii="Open Sans" w:hAnsi="Open Sans" w:cs="Arial"/>
          <w:color w:val="000000"/>
          <w:sz w:val="20"/>
          <w:szCs w:val="20"/>
        </w:rPr>
        <w:t>ayudas estatales recibidas por esta entidad absorbida</w:t>
      </w:r>
      <w:r w:rsidRPr="00596D90">
        <w:rPr>
          <w:rFonts w:ascii="Open Sans" w:hAnsi="Open Sans" w:cs="Arial"/>
          <w:color w:val="000000"/>
          <w:sz w:val="20"/>
          <w:szCs w:val="20"/>
        </w:rPr>
        <w:t xml:space="preserve"> antes de la adquisición de BBVA y de qué modo hay que reflejarlas para dar una visión veraz de la situación patrimonial y de capital del grupo</w:t>
      </w:r>
      <w:r>
        <w:rPr>
          <w:rFonts w:ascii="Open Sans" w:hAnsi="Open Sans" w:cs="Arial"/>
          <w:color w:val="000000"/>
          <w:sz w:val="20"/>
          <w:szCs w:val="20"/>
        </w:rPr>
        <w:t>.</w:t>
      </w:r>
    </w:p>
    <w:p w14:paraId="69744D24" w14:textId="77777777" w:rsidR="00C86459" w:rsidRDefault="00C86459" w:rsidP="00C86459">
      <w:pPr>
        <w:jc w:val="both"/>
        <w:rPr>
          <w:rFonts w:ascii="Open Sans" w:hAnsi="Open Sans" w:cs="Arial"/>
          <w:bCs/>
          <w:sz w:val="20"/>
          <w:szCs w:val="20"/>
        </w:rPr>
      </w:pPr>
    </w:p>
    <w:p w14:paraId="2DC04D33" w14:textId="77777777" w:rsidR="00C86459" w:rsidRDefault="00C86459" w:rsidP="00C86459">
      <w:pPr>
        <w:jc w:val="both"/>
        <w:rPr>
          <w:rFonts w:ascii="Open Sans" w:hAnsi="Open Sans" w:cs="Arial"/>
          <w:bCs/>
          <w:sz w:val="20"/>
          <w:szCs w:val="20"/>
        </w:rPr>
      </w:pPr>
      <w:r>
        <w:rPr>
          <w:rFonts w:ascii="Open Sans" w:hAnsi="Open Sans" w:cs="Arial"/>
          <w:bCs/>
          <w:sz w:val="20"/>
          <w:szCs w:val="20"/>
        </w:rPr>
        <w:t>L</w:t>
      </w:r>
      <w:r w:rsidRPr="0012355A">
        <w:rPr>
          <w:rFonts w:ascii="Open Sans" w:hAnsi="Open Sans" w:cs="Arial"/>
          <w:bCs/>
          <w:sz w:val="20"/>
          <w:szCs w:val="20"/>
        </w:rPr>
        <w:t xml:space="preserve">a información que aporta la entidad </w:t>
      </w:r>
      <w:r>
        <w:rPr>
          <w:rFonts w:ascii="Open Sans" w:hAnsi="Open Sans" w:cs="Arial"/>
          <w:bCs/>
          <w:sz w:val="20"/>
          <w:szCs w:val="20"/>
        </w:rPr>
        <w:t xml:space="preserve">sobre incentivos fiscales (deducciones, exenciones y créditos fiscales) </w:t>
      </w:r>
      <w:r w:rsidRPr="0012355A">
        <w:rPr>
          <w:rFonts w:ascii="Open Sans" w:hAnsi="Open Sans" w:cs="Arial"/>
          <w:bCs/>
          <w:sz w:val="20"/>
          <w:szCs w:val="20"/>
        </w:rPr>
        <w:t xml:space="preserve">se presenta agregada por </w:t>
      </w:r>
      <w:r>
        <w:rPr>
          <w:rFonts w:ascii="Open Sans" w:hAnsi="Open Sans" w:cs="Arial"/>
          <w:bCs/>
          <w:sz w:val="20"/>
          <w:szCs w:val="20"/>
        </w:rPr>
        <w:t>grupo</w:t>
      </w:r>
      <w:r w:rsidRPr="0012355A">
        <w:rPr>
          <w:rFonts w:ascii="Open Sans" w:hAnsi="Open Sans" w:cs="Arial"/>
          <w:bCs/>
          <w:sz w:val="20"/>
          <w:szCs w:val="20"/>
        </w:rPr>
        <w:t xml:space="preserve"> y por regiones (Es</w:t>
      </w:r>
      <w:r>
        <w:rPr>
          <w:rFonts w:ascii="Open Sans" w:hAnsi="Open Sans" w:cs="Arial"/>
          <w:bCs/>
          <w:sz w:val="20"/>
          <w:szCs w:val="20"/>
        </w:rPr>
        <w:t>p</w:t>
      </w:r>
      <w:r w:rsidRPr="0012355A">
        <w:rPr>
          <w:rFonts w:ascii="Open Sans" w:hAnsi="Open Sans" w:cs="Arial"/>
          <w:bCs/>
          <w:sz w:val="20"/>
          <w:szCs w:val="20"/>
        </w:rPr>
        <w:t>aña, México, Améri</w:t>
      </w:r>
      <w:r>
        <w:rPr>
          <w:rFonts w:ascii="Open Sans" w:hAnsi="Open Sans" w:cs="Arial"/>
          <w:bCs/>
          <w:sz w:val="20"/>
          <w:szCs w:val="20"/>
        </w:rPr>
        <w:t xml:space="preserve">ca del Sur, EEUU y Turquía). Las deducciones se presentan, a su vez, </w:t>
      </w:r>
      <w:r w:rsidRPr="0012355A">
        <w:rPr>
          <w:rFonts w:ascii="Open Sans" w:hAnsi="Open Sans" w:cs="Arial"/>
          <w:bCs/>
          <w:sz w:val="20"/>
          <w:szCs w:val="20"/>
        </w:rPr>
        <w:t>englobad</w:t>
      </w:r>
      <w:r>
        <w:rPr>
          <w:rFonts w:ascii="Open Sans" w:hAnsi="Open Sans" w:cs="Arial"/>
          <w:bCs/>
          <w:sz w:val="20"/>
          <w:szCs w:val="20"/>
        </w:rPr>
        <w:t>a</w:t>
      </w:r>
      <w:r w:rsidRPr="0012355A">
        <w:rPr>
          <w:rFonts w:ascii="Open Sans" w:hAnsi="Open Sans" w:cs="Arial"/>
          <w:bCs/>
          <w:sz w:val="20"/>
          <w:szCs w:val="20"/>
        </w:rPr>
        <w:t>s junto con Créditos fiscales por B</w:t>
      </w:r>
      <w:r>
        <w:rPr>
          <w:rFonts w:ascii="Open Sans" w:hAnsi="Open Sans" w:cs="Arial"/>
          <w:bCs/>
          <w:sz w:val="20"/>
          <w:szCs w:val="20"/>
        </w:rPr>
        <w:t xml:space="preserve">ases </w:t>
      </w:r>
      <w:r w:rsidRPr="0012355A">
        <w:rPr>
          <w:rFonts w:ascii="Open Sans" w:hAnsi="Open Sans" w:cs="Arial"/>
          <w:bCs/>
          <w:sz w:val="20"/>
          <w:szCs w:val="20"/>
        </w:rPr>
        <w:t>I</w:t>
      </w:r>
      <w:r>
        <w:rPr>
          <w:rFonts w:ascii="Open Sans" w:hAnsi="Open Sans" w:cs="Arial"/>
          <w:bCs/>
          <w:sz w:val="20"/>
          <w:szCs w:val="20"/>
        </w:rPr>
        <w:t xml:space="preserve">mponibles </w:t>
      </w:r>
      <w:r w:rsidRPr="0012355A">
        <w:rPr>
          <w:rFonts w:ascii="Open Sans" w:hAnsi="Open Sans" w:cs="Arial"/>
          <w:bCs/>
          <w:sz w:val="20"/>
          <w:szCs w:val="20"/>
        </w:rPr>
        <w:t>N</w:t>
      </w:r>
      <w:r>
        <w:rPr>
          <w:rFonts w:ascii="Open Sans" w:hAnsi="Open Sans" w:cs="Arial"/>
          <w:bCs/>
          <w:sz w:val="20"/>
          <w:szCs w:val="20"/>
        </w:rPr>
        <w:t>egativas (CFBIN)</w:t>
      </w:r>
      <w:r w:rsidRPr="0012355A">
        <w:rPr>
          <w:rFonts w:ascii="Open Sans" w:hAnsi="Open Sans" w:cs="Arial"/>
          <w:bCs/>
          <w:sz w:val="20"/>
          <w:szCs w:val="20"/>
        </w:rPr>
        <w:t xml:space="preserve"> así que no es posible saber el importe exacto que corresponde a las deducciones fiscales ni a nivel global, ni por país. Tampoco </w:t>
      </w:r>
      <w:r>
        <w:rPr>
          <w:rFonts w:ascii="Open Sans" w:hAnsi="Open Sans" w:cs="Arial"/>
          <w:bCs/>
          <w:sz w:val="20"/>
          <w:szCs w:val="20"/>
        </w:rPr>
        <w:t xml:space="preserve">hay claridad en los datos, ya que cuando indica que </w:t>
      </w:r>
      <w:r w:rsidRPr="00596D90">
        <w:rPr>
          <w:rFonts w:ascii="Open Sans" w:hAnsi="Open Sans" w:cs="Arial"/>
          <w:bCs/>
          <w:i/>
          <w:sz w:val="20"/>
          <w:szCs w:val="20"/>
        </w:rPr>
        <w:t>“La reducción de las perdidas tributarias se produce principalmente por la compensación en el ejercicio 2015 de bases imponibles negativas y deducciones pendientes de aplicación generadas en ejercicios anteriores, por importe aproximado</w:t>
      </w:r>
      <w:r>
        <w:rPr>
          <w:rFonts w:ascii="Open Sans" w:hAnsi="Open Sans" w:cs="Arial"/>
          <w:bCs/>
          <w:i/>
          <w:sz w:val="20"/>
          <w:szCs w:val="20"/>
        </w:rPr>
        <w:t xml:space="preserve">” </w:t>
      </w:r>
      <w:r w:rsidRPr="002E416C">
        <w:rPr>
          <w:rFonts w:ascii="Open Sans" w:hAnsi="Open Sans" w:cs="Arial"/>
          <w:bCs/>
          <w:sz w:val="20"/>
          <w:szCs w:val="20"/>
        </w:rPr>
        <w:t>apunta un importe de 206 millones de euros</w:t>
      </w:r>
      <w:r>
        <w:rPr>
          <w:rFonts w:ascii="Open Sans" w:hAnsi="Open Sans" w:cs="Arial"/>
          <w:bCs/>
          <w:sz w:val="20"/>
          <w:szCs w:val="20"/>
        </w:rPr>
        <w:t>. Posteriormente se referir a ac</w:t>
      </w:r>
      <w:r w:rsidRPr="0012355A">
        <w:rPr>
          <w:rFonts w:ascii="Open Sans" w:hAnsi="Open Sans" w:cs="Arial"/>
          <w:bCs/>
          <w:sz w:val="20"/>
          <w:szCs w:val="20"/>
        </w:rPr>
        <w:t xml:space="preserve">tivos fiscales diferidos netos por grandes regiones, </w:t>
      </w:r>
      <w:r>
        <w:rPr>
          <w:rFonts w:ascii="Open Sans" w:hAnsi="Open Sans" w:cs="Arial"/>
          <w:bCs/>
          <w:sz w:val="20"/>
          <w:szCs w:val="20"/>
        </w:rPr>
        <w:t xml:space="preserve">en los datos aportados se refleja: </w:t>
      </w:r>
      <w:r w:rsidRPr="0012355A">
        <w:rPr>
          <w:rFonts w:ascii="Open Sans" w:hAnsi="Open Sans" w:cs="Arial"/>
          <w:bCs/>
          <w:sz w:val="20"/>
          <w:szCs w:val="20"/>
        </w:rPr>
        <w:t>Españ</w:t>
      </w:r>
      <w:r>
        <w:rPr>
          <w:rFonts w:ascii="Open Sans" w:hAnsi="Open Sans" w:cs="Arial"/>
          <w:bCs/>
          <w:sz w:val="20"/>
          <w:szCs w:val="20"/>
        </w:rPr>
        <w:t>a (959M€ po</w:t>
      </w:r>
      <w:r w:rsidRPr="0012355A">
        <w:rPr>
          <w:rFonts w:ascii="Open Sans" w:hAnsi="Open Sans" w:cs="Arial"/>
          <w:bCs/>
          <w:sz w:val="20"/>
          <w:szCs w:val="20"/>
        </w:rPr>
        <w:t>r CFBIN + deducciones), México (24,32M€ por CFBIN), Turquía (5M€ por CFBIN+deducciones) = 988,32M€</w:t>
      </w:r>
      <w:r>
        <w:rPr>
          <w:rFonts w:ascii="Open Sans" w:hAnsi="Open Sans" w:cs="Arial"/>
          <w:bCs/>
          <w:sz w:val="20"/>
          <w:szCs w:val="20"/>
        </w:rPr>
        <w:t>. Finalmente, indica</w:t>
      </w:r>
      <w:r w:rsidRPr="0012355A">
        <w:rPr>
          <w:rFonts w:ascii="Open Sans" w:hAnsi="Open Sans" w:cs="Arial"/>
          <w:bCs/>
          <w:sz w:val="20"/>
          <w:szCs w:val="20"/>
        </w:rPr>
        <w:t xml:space="preserve"> que </w:t>
      </w:r>
      <w:r w:rsidRPr="002E416C">
        <w:rPr>
          <w:rFonts w:ascii="Open Sans" w:hAnsi="Open Sans" w:cs="Arial"/>
          <w:bCs/>
          <w:i/>
          <w:sz w:val="20"/>
          <w:szCs w:val="20"/>
        </w:rPr>
        <w:t>"El Banco se acoge a las deducciones por inversiones en activos fijos nuevos (en el ámbito del régimen fiscal de Canarias, por importe no significativo), bonificaciones, deducción por I+D+I, deducción por donativos y deducciones por doble imposición, entre otras, de conformidad con lo previsto en la normativa del Impuesto sobre Sociedades</w:t>
      </w:r>
      <w:r>
        <w:rPr>
          <w:rFonts w:ascii="Open Sans" w:hAnsi="Open Sans" w:cs="Arial"/>
          <w:bCs/>
          <w:sz w:val="20"/>
          <w:szCs w:val="20"/>
        </w:rPr>
        <w:t>”</w:t>
      </w:r>
      <w:r w:rsidRPr="0012355A">
        <w:rPr>
          <w:rFonts w:ascii="Open Sans" w:hAnsi="Open Sans" w:cs="Arial"/>
          <w:bCs/>
          <w:sz w:val="20"/>
          <w:szCs w:val="20"/>
        </w:rPr>
        <w:t xml:space="preserve"> que en 2015 para BBVA SA representaron</w:t>
      </w:r>
      <w:r>
        <w:rPr>
          <w:rFonts w:ascii="Open Sans" w:hAnsi="Open Sans" w:cs="Arial"/>
          <w:bCs/>
          <w:sz w:val="20"/>
          <w:szCs w:val="20"/>
        </w:rPr>
        <w:t xml:space="preserve"> un global de </w:t>
      </w:r>
      <w:r w:rsidRPr="002E416C">
        <w:rPr>
          <w:rFonts w:ascii="Open Sans" w:hAnsi="Open Sans" w:cs="Arial"/>
          <w:bCs/>
          <w:i/>
          <w:sz w:val="20"/>
          <w:szCs w:val="20"/>
        </w:rPr>
        <w:t>"Deducciones y bonificaciones en sociedades consolidadas</w:t>
      </w:r>
      <w:r>
        <w:rPr>
          <w:rFonts w:ascii="Open Sans" w:hAnsi="Open Sans" w:cs="Arial"/>
          <w:bCs/>
          <w:sz w:val="20"/>
          <w:szCs w:val="20"/>
        </w:rPr>
        <w:t xml:space="preserve">” de </w:t>
      </w:r>
      <w:r w:rsidRPr="0012355A">
        <w:rPr>
          <w:rFonts w:ascii="Open Sans" w:hAnsi="Open Sans" w:cs="Arial"/>
          <w:bCs/>
          <w:sz w:val="20"/>
          <w:szCs w:val="20"/>
        </w:rPr>
        <w:t>24 M</w:t>
      </w:r>
      <w:r>
        <w:rPr>
          <w:rFonts w:ascii="Open Sans" w:hAnsi="Open Sans" w:cs="Arial"/>
          <w:bCs/>
          <w:sz w:val="20"/>
          <w:szCs w:val="20"/>
        </w:rPr>
        <w:t xml:space="preserve">n€. </w:t>
      </w:r>
      <w:r w:rsidRPr="0012355A">
        <w:rPr>
          <w:rFonts w:ascii="Open Sans" w:hAnsi="Open Sans" w:cs="Arial"/>
          <w:bCs/>
          <w:sz w:val="20"/>
          <w:szCs w:val="20"/>
        </w:rPr>
        <w:t>No se ha encontrado ninguna referencia a exenciones fi</w:t>
      </w:r>
      <w:r>
        <w:rPr>
          <w:rFonts w:ascii="Open Sans" w:hAnsi="Open Sans" w:cs="Arial"/>
          <w:bCs/>
          <w:sz w:val="20"/>
          <w:szCs w:val="20"/>
        </w:rPr>
        <w:t>scales en las CCAA Consolidadas. Es decir, la información no se presenta con suficiente grado de detalle, y de forma que sea comprensible y comparable para los distintos grupos de interés.</w:t>
      </w:r>
    </w:p>
    <w:p w14:paraId="455E5F50" w14:textId="77777777" w:rsidR="00C86459" w:rsidRDefault="00C86459" w:rsidP="00C86459">
      <w:pPr>
        <w:rPr>
          <w:rFonts w:ascii="Open Sans" w:hAnsi="Open Sans" w:cs="Arial"/>
          <w:bCs/>
          <w:sz w:val="20"/>
          <w:szCs w:val="20"/>
        </w:rPr>
      </w:pPr>
    </w:p>
    <w:p w14:paraId="507B6C55" w14:textId="77777777" w:rsidR="00C86459" w:rsidRDefault="00C86459" w:rsidP="00C86459">
      <w:pPr>
        <w:jc w:val="both"/>
        <w:rPr>
          <w:rFonts w:ascii="Open Sans" w:hAnsi="Open Sans" w:cs="Arial"/>
          <w:bCs/>
          <w:sz w:val="20"/>
          <w:szCs w:val="20"/>
        </w:rPr>
      </w:pPr>
      <w:r>
        <w:rPr>
          <w:rFonts w:ascii="Open Sans" w:hAnsi="Open Sans" w:cs="Arial"/>
          <w:bCs/>
          <w:sz w:val="20"/>
          <w:szCs w:val="20"/>
        </w:rPr>
        <w:t>En la estrategia fiscal que se recoge que B</w:t>
      </w:r>
      <w:r w:rsidRPr="0012355A">
        <w:rPr>
          <w:rFonts w:ascii="Open Sans" w:hAnsi="Open Sans" w:cs="Arial"/>
          <w:bCs/>
          <w:sz w:val="20"/>
          <w:szCs w:val="20"/>
        </w:rPr>
        <w:t xml:space="preserve">BVA </w:t>
      </w:r>
      <w:r>
        <w:rPr>
          <w:rFonts w:ascii="Open Sans" w:hAnsi="Open Sans" w:cs="Arial"/>
          <w:bCs/>
          <w:sz w:val="20"/>
          <w:szCs w:val="20"/>
        </w:rPr>
        <w:t>“</w:t>
      </w:r>
      <w:r w:rsidRPr="00547FFB">
        <w:rPr>
          <w:rFonts w:ascii="Open Sans" w:hAnsi="Open Sans" w:cs="Arial"/>
          <w:bCs/>
          <w:i/>
          <w:sz w:val="20"/>
          <w:szCs w:val="20"/>
        </w:rPr>
        <w:t>promueve una relación recíprocamente cooperativa con las distintas Administraciones Tributarias con las que se relaciona como consecuencia de la realización de su actividad, basada en los principios de transparencia, confianza mutua, buena fe y lealtad entre las partes</w:t>
      </w:r>
      <w:r>
        <w:rPr>
          <w:rFonts w:ascii="Open Sans" w:hAnsi="Open Sans" w:cs="Arial"/>
          <w:bCs/>
          <w:sz w:val="20"/>
          <w:szCs w:val="20"/>
        </w:rPr>
        <w:t>". En ninguno de los documentos analizado, se ha encontrado referencia a la colaboración en a</w:t>
      </w:r>
      <w:r w:rsidRPr="0012355A">
        <w:rPr>
          <w:rFonts w:ascii="Open Sans" w:hAnsi="Open Sans" w:cs="Arial"/>
          <w:bCs/>
          <w:sz w:val="20"/>
          <w:szCs w:val="20"/>
        </w:rPr>
        <w:t>lgún tema en especial o en alguna iniciativa ni para el total del grupo ni en ninguno de sus países.</w:t>
      </w:r>
    </w:p>
    <w:p w14:paraId="29F7E4C7" w14:textId="77777777" w:rsidR="00C86459" w:rsidRDefault="00C86459" w:rsidP="00C86459">
      <w:pPr>
        <w:jc w:val="both"/>
        <w:rPr>
          <w:rFonts w:ascii="Open Sans" w:hAnsi="Open Sans" w:cs="Arial"/>
          <w:bCs/>
          <w:sz w:val="20"/>
          <w:szCs w:val="20"/>
        </w:rPr>
      </w:pPr>
    </w:p>
    <w:p w14:paraId="26106F5A" w14:textId="77777777" w:rsidR="00C86459" w:rsidRDefault="00C86459" w:rsidP="00C86459">
      <w:pPr>
        <w:jc w:val="both"/>
        <w:rPr>
          <w:rFonts w:ascii="Open Sans" w:hAnsi="Open Sans" w:cs="Arial"/>
          <w:bCs/>
          <w:sz w:val="20"/>
          <w:szCs w:val="20"/>
        </w:rPr>
      </w:pPr>
      <w:r>
        <w:rPr>
          <w:rFonts w:ascii="Open Sans" w:hAnsi="Open Sans" w:cs="Arial"/>
          <w:bCs/>
          <w:sz w:val="20"/>
          <w:szCs w:val="20"/>
        </w:rPr>
        <w:t xml:space="preserve">Su </w:t>
      </w:r>
      <w:r w:rsidRPr="0012355A">
        <w:rPr>
          <w:rFonts w:ascii="Open Sans" w:hAnsi="Open Sans" w:cs="Arial"/>
          <w:bCs/>
          <w:sz w:val="20"/>
          <w:szCs w:val="20"/>
        </w:rPr>
        <w:t xml:space="preserve">relación con los reguladores </w:t>
      </w:r>
      <w:r>
        <w:rPr>
          <w:rFonts w:ascii="Open Sans" w:hAnsi="Open Sans" w:cs="Arial"/>
          <w:bCs/>
          <w:sz w:val="20"/>
          <w:szCs w:val="20"/>
        </w:rPr>
        <w:t xml:space="preserve">y supervisores </w:t>
      </w:r>
      <w:r w:rsidRPr="0012355A">
        <w:rPr>
          <w:rFonts w:ascii="Open Sans" w:hAnsi="Open Sans" w:cs="Arial"/>
          <w:bCs/>
          <w:sz w:val="20"/>
          <w:szCs w:val="20"/>
        </w:rPr>
        <w:t>está cen</w:t>
      </w:r>
      <w:r>
        <w:rPr>
          <w:rFonts w:ascii="Open Sans" w:hAnsi="Open Sans" w:cs="Arial"/>
          <w:bCs/>
          <w:sz w:val="20"/>
          <w:szCs w:val="20"/>
        </w:rPr>
        <w:t>trada</w:t>
      </w:r>
      <w:r w:rsidRPr="0012355A">
        <w:rPr>
          <w:rFonts w:ascii="Open Sans" w:hAnsi="Open Sans" w:cs="Arial"/>
          <w:bCs/>
          <w:sz w:val="20"/>
          <w:szCs w:val="20"/>
        </w:rPr>
        <w:t xml:space="preserve"> e</w:t>
      </w:r>
      <w:r>
        <w:rPr>
          <w:rFonts w:ascii="Open Sans" w:hAnsi="Open Sans" w:cs="Arial"/>
          <w:bCs/>
          <w:sz w:val="20"/>
          <w:szCs w:val="20"/>
        </w:rPr>
        <w:t>n mantener un diálogo constante</w:t>
      </w:r>
      <w:r w:rsidRPr="0012355A">
        <w:rPr>
          <w:rFonts w:ascii="Open Sans" w:hAnsi="Open Sans" w:cs="Arial"/>
          <w:bCs/>
          <w:sz w:val="20"/>
          <w:szCs w:val="20"/>
        </w:rPr>
        <w:t xml:space="preserve"> para estar preparados y da</w:t>
      </w:r>
      <w:r>
        <w:rPr>
          <w:rFonts w:ascii="Open Sans" w:hAnsi="Open Sans" w:cs="Arial"/>
          <w:bCs/>
          <w:sz w:val="20"/>
          <w:szCs w:val="20"/>
        </w:rPr>
        <w:t>r respuesta a las nuevas normas, para ello se ha creado una unidad</w:t>
      </w:r>
      <w:r w:rsidRPr="0012355A">
        <w:rPr>
          <w:rFonts w:ascii="Open Sans" w:hAnsi="Open Sans" w:cs="Arial"/>
          <w:bCs/>
          <w:sz w:val="20"/>
          <w:szCs w:val="20"/>
        </w:rPr>
        <w:t>,</w:t>
      </w:r>
      <w:r>
        <w:rPr>
          <w:rFonts w:ascii="Open Sans" w:hAnsi="Open Sans" w:cs="Arial"/>
          <w:bCs/>
          <w:sz w:val="20"/>
          <w:szCs w:val="20"/>
        </w:rPr>
        <w:t xml:space="preserve"> la</w:t>
      </w:r>
      <w:r w:rsidRPr="0012355A">
        <w:rPr>
          <w:rFonts w:ascii="Open Sans" w:hAnsi="Open Sans" w:cs="Arial"/>
          <w:bCs/>
          <w:sz w:val="20"/>
          <w:szCs w:val="20"/>
        </w:rPr>
        <w:t xml:space="preserve"> Global Supervisory Relations, encargada de la coordinación con el MUS (Mecanismo Único de Supervisión), el Single Resolution Mechanis (SRM) y facilitar la relación</w:t>
      </w:r>
      <w:r>
        <w:rPr>
          <w:rFonts w:ascii="Open Sans" w:hAnsi="Open Sans" w:cs="Arial"/>
          <w:bCs/>
          <w:sz w:val="20"/>
          <w:szCs w:val="20"/>
        </w:rPr>
        <w:t xml:space="preserve"> con otros supervisores locales</w:t>
      </w:r>
      <w:r w:rsidRPr="0012355A">
        <w:rPr>
          <w:rFonts w:ascii="Open Sans" w:hAnsi="Open Sans" w:cs="Arial"/>
          <w:bCs/>
          <w:sz w:val="20"/>
          <w:szCs w:val="20"/>
        </w:rPr>
        <w:t>.</w:t>
      </w:r>
      <w:r>
        <w:rPr>
          <w:rFonts w:ascii="Open Sans" w:hAnsi="Open Sans" w:cs="Arial"/>
          <w:bCs/>
          <w:sz w:val="20"/>
          <w:szCs w:val="20"/>
        </w:rPr>
        <w:t xml:space="preserve"> </w:t>
      </w:r>
    </w:p>
    <w:p w14:paraId="5F8C86FE" w14:textId="77777777" w:rsidR="00C86459" w:rsidRDefault="00C86459" w:rsidP="00C86459">
      <w:pPr>
        <w:jc w:val="both"/>
        <w:rPr>
          <w:rFonts w:ascii="Open Sans" w:hAnsi="Open Sans" w:cs="Arial"/>
          <w:bCs/>
          <w:sz w:val="20"/>
          <w:szCs w:val="20"/>
        </w:rPr>
      </w:pPr>
    </w:p>
    <w:p w14:paraId="2D239A10" w14:textId="77777777" w:rsidR="00C86459" w:rsidRPr="0012355A" w:rsidRDefault="00C86459" w:rsidP="00C86459">
      <w:pPr>
        <w:jc w:val="both"/>
      </w:pPr>
      <w:r w:rsidRPr="00B04031">
        <w:rPr>
          <w:rFonts w:ascii="Open Sans" w:hAnsi="Open Sans" w:cs="Arial"/>
          <w:bCs/>
          <w:sz w:val="20"/>
          <w:szCs w:val="20"/>
        </w:rPr>
        <w:t xml:space="preserve">Así mismo, se ha abierto una oficina en Bruselas, la Oficina de Asuntos Europeos del BBVA, encargada de las relaciones con las instituciones europeas. </w:t>
      </w:r>
      <w:r>
        <w:rPr>
          <w:rFonts w:ascii="Open Sans" w:hAnsi="Open Sans" w:cs="Arial"/>
          <w:bCs/>
          <w:sz w:val="20"/>
          <w:szCs w:val="20"/>
        </w:rPr>
        <w:t>S</w:t>
      </w:r>
      <w:r w:rsidRPr="00B04031">
        <w:rPr>
          <w:rFonts w:ascii="Open Sans" w:hAnsi="Open Sans" w:cs="Arial"/>
          <w:bCs/>
          <w:sz w:val="20"/>
          <w:szCs w:val="20"/>
        </w:rPr>
        <w:t>u misión principal es estar en contacto con los responsables políticos, para</w:t>
      </w:r>
      <w:r>
        <w:rPr>
          <w:rFonts w:ascii="Open Sans" w:hAnsi="Open Sans" w:cs="Arial"/>
          <w:bCs/>
          <w:sz w:val="20"/>
          <w:szCs w:val="20"/>
        </w:rPr>
        <w:t xml:space="preserve"> lo que destina </w:t>
      </w:r>
      <w:r w:rsidRPr="00B04031">
        <w:rPr>
          <w:rFonts w:ascii="Open Sans" w:hAnsi="Open Sans" w:cs="Arial"/>
          <w:bCs/>
          <w:sz w:val="20"/>
          <w:szCs w:val="20"/>
        </w:rPr>
        <w:t>un máximo de 600.000 euros para acciones de lobby</w:t>
      </w:r>
      <w:r w:rsidRPr="00B04031">
        <w:rPr>
          <w:rStyle w:val="Refdenotaalpie"/>
          <w:rFonts w:ascii="Open Sans" w:hAnsi="Open Sans" w:cs="Arial"/>
          <w:bCs/>
          <w:sz w:val="20"/>
          <w:szCs w:val="20"/>
        </w:rPr>
        <w:footnoteReference w:id="492"/>
      </w:r>
      <w:r>
        <w:rPr>
          <w:rFonts w:ascii="Open Sans" w:hAnsi="Open Sans" w:cs="Arial"/>
          <w:bCs/>
          <w:sz w:val="20"/>
          <w:szCs w:val="20"/>
        </w:rPr>
        <w:t xml:space="preserve"> según artículo publicado en la prensa, no se ha encontrado mención en los informes del grupo</w:t>
      </w:r>
      <w:r w:rsidRPr="00B04031">
        <w:rPr>
          <w:rFonts w:ascii="Open Sans" w:hAnsi="Open Sans" w:cs="Arial"/>
          <w:bCs/>
          <w:sz w:val="20"/>
          <w:szCs w:val="20"/>
        </w:rPr>
        <w:t>. En EEUU, BBVA ha hecho lobby</w:t>
      </w:r>
      <w:r w:rsidRPr="00B04031">
        <w:t xml:space="preserve"> </w:t>
      </w:r>
      <w:r w:rsidRPr="00B04031">
        <w:rPr>
          <w:rFonts w:ascii="Open Sans" w:hAnsi="Open Sans" w:cs="Arial"/>
          <w:bCs/>
          <w:sz w:val="20"/>
          <w:szCs w:val="20"/>
        </w:rPr>
        <w:t>a través de la Coalición de Bancos Regionales de la que forma parte</w:t>
      </w:r>
      <w:r>
        <w:rPr>
          <w:rFonts w:ascii="Open Sans" w:hAnsi="Open Sans" w:cs="Arial"/>
          <w:bCs/>
          <w:sz w:val="20"/>
          <w:szCs w:val="20"/>
        </w:rPr>
        <w:t xml:space="preserve"> (</w:t>
      </w:r>
      <w:r w:rsidRPr="00B04031">
        <w:rPr>
          <w:rFonts w:ascii="Open Sans" w:hAnsi="Open Sans" w:cs="Arial"/>
          <w:bCs/>
          <w:sz w:val="20"/>
          <w:szCs w:val="20"/>
        </w:rPr>
        <w:t>junto a American Expresss, SunTrust, Huntington, Regions, Fifth Third, Capital One, BMO Financia</w:t>
      </w:r>
      <w:r>
        <w:rPr>
          <w:rFonts w:ascii="Open Sans" w:hAnsi="Open Sans" w:cs="Arial"/>
          <w:bCs/>
          <w:sz w:val="20"/>
          <w:szCs w:val="20"/>
        </w:rPr>
        <w:t>l Group, BBT y Bank of the West)</w:t>
      </w:r>
      <w:r w:rsidRPr="00B04031">
        <w:rPr>
          <w:rFonts w:ascii="Open Sans" w:hAnsi="Open Sans" w:cs="Arial"/>
          <w:bCs/>
          <w:sz w:val="20"/>
          <w:szCs w:val="20"/>
        </w:rPr>
        <w:t xml:space="preserve"> para no ser tratado como banco sistémico y evitar una mayor regulación</w:t>
      </w:r>
      <w:r w:rsidRPr="00B04031">
        <w:rPr>
          <w:rStyle w:val="Refdenotaalpie"/>
          <w:rFonts w:ascii="Open Sans" w:hAnsi="Open Sans" w:cs="Arial"/>
          <w:bCs/>
          <w:sz w:val="20"/>
          <w:szCs w:val="20"/>
        </w:rPr>
        <w:footnoteReference w:id="493"/>
      </w:r>
      <w:r w:rsidRPr="00B04031">
        <w:rPr>
          <w:rFonts w:ascii="Open Sans" w:hAnsi="Open Sans" w:cs="Arial"/>
          <w:bCs/>
          <w:sz w:val="20"/>
          <w:szCs w:val="20"/>
        </w:rPr>
        <w:t xml:space="preserve">. </w:t>
      </w:r>
      <w:r>
        <w:rPr>
          <w:rFonts w:ascii="Open Sans" w:hAnsi="Open Sans" w:cs="Arial"/>
          <w:bCs/>
          <w:sz w:val="20"/>
          <w:szCs w:val="20"/>
        </w:rPr>
        <w:t xml:space="preserve">En territorio español, BBVA es uno de los patronos de Fedea (Fundación de Estudios de Economía Aplicada) asociación que </w:t>
      </w:r>
      <w:r w:rsidRPr="00B04031">
        <w:rPr>
          <w:rFonts w:ascii="Open Sans" w:hAnsi="Open Sans" w:cs="Arial"/>
          <w:bCs/>
          <w:sz w:val="20"/>
          <w:szCs w:val="20"/>
        </w:rPr>
        <w:t>busca crear las condiciones óptimas para que surjan nuevas ideas que informen el diseño de la política pública española</w:t>
      </w:r>
      <w:r>
        <w:rPr>
          <w:rStyle w:val="Refdenotaalpie"/>
          <w:rFonts w:ascii="Open Sans" w:hAnsi="Open Sans" w:cs="Arial"/>
          <w:bCs/>
          <w:sz w:val="20"/>
          <w:szCs w:val="20"/>
        </w:rPr>
        <w:footnoteReference w:id="494"/>
      </w:r>
      <w:r w:rsidRPr="00B04031">
        <w:rPr>
          <w:rFonts w:ascii="Open Sans" w:hAnsi="Open Sans" w:cs="Arial"/>
          <w:bCs/>
          <w:sz w:val="20"/>
          <w:szCs w:val="20"/>
        </w:rPr>
        <w:t>.</w:t>
      </w:r>
    </w:p>
    <w:p w14:paraId="49DA1ED8" w14:textId="77777777" w:rsidR="00C86459" w:rsidRDefault="00C86459" w:rsidP="00C86459">
      <w:pPr>
        <w:rPr>
          <w:rFonts w:ascii="Open Sans" w:hAnsi="Open Sans" w:cs="Arial"/>
          <w:bCs/>
          <w:sz w:val="20"/>
          <w:szCs w:val="20"/>
        </w:rPr>
      </w:pPr>
    </w:p>
    <w:p w14:paraId="4FDE25CD" w14:textId="77777777" w:rsidR="00C86459" w:rsidRDefault="00C86459" w:rsidP="00C86459">
      <w:pPr>
        <w:jc w:val="both"/>
        <w:rPr>
          <w:rFonts w:ascii="Open Sans" w:hAnsi="Open Sans" w:cs="Arial"/>
          <w:bCs/>
          <w:sz w:val="20"/>
          <w:szCs w:val="20"/>
        </w:rPr>
      </w:pPr>
      <w:r>
        <w:rPr>
          <w:rFonts w:ascii="Open Sans" w:hAnsi="Open Sans" w:cs="Arial"/>
          <w:bCs/>
          <w:sz w:val="20"/>
          <w:szCs w:val="20"/>
        </w:rPr>
        <w:t>La información relativa a sanciones, litigios y deuda tributaria</w:t>
      </w:r>
      <w:r w:rsidRPr="0012355A">
        <w:rPr>
          <w:rFonts w:ascii="Open Sans" w:hAnsi="Open Sans" w:cs="Arial"/>
          <w:bCs/>
          <w:sz w:val="20"/>
          <w:szCs w:val="20"/>
        </w:rPr>
        <w:t xml:space="preserve"> </w:t>
      </w:r>
      <w:r>
        <w:rPr>
          <w:rFonts w:ascii="Open Sans" w:hAnsi="Open Sans" w:cs="Arial"/>
          <w:bCs/>
          <w:sz w:val="20"/>
          <w:szCs w:val="20"/>
        </w:rPr>
        <w:t>es muy escasa. La entidad reconoce que “</w:t>
      </w:r>
      <w:r w:rsidRPr="00CD39BC">
        <w:rPr>
          <w:rFonts w:ascii="Open Sans" w:hAnsi="Open Sans" w:cs="Arial"/>
          <w:bCs/>
          <w:i/>
          <w:sz w:val="20"/>
          <w:szCs w:val="20"/>
        </w:rPr>
        <w:t>debido a las posibles diferentes interpretaciones que pueden darse a determinadas normas fiscales, los resultados de las inspecciones que, en su caso, lleven a cabo las autoridades fiscales son susceptibles de aflorar pasivos fiscales de carácter contingente, cuyo importe no es posible cuantificar de una manera objetiva en la actualidad</w:t>
      </w:r>
      <w:r>
        <w:rPr>
          <w:rFonts w:ascii="Open Sans" w:hAnsi="Open Sans" w:cs="Arial"/>
          <w:bCs/>
          <w:sz w:val="20"/>
          <w:szCs w:val="20"/>
        </w:rPr>
        <w:t>”</w:t>
      </w:r>
      <w:r w:rsidRPr="0012355A">
        <w:rPr>
          <w:rFonts w:ascii="Open Sans" w:hAnsi="Open Sans" w:cs="Arial"/>
          <w:bCs/>
          <w:sz w:val="20"/>
          <w:szCs w:val="20"/>
        </w:rPr>
        <w:t>.</w:t>
      </w:r>
      <w:r>
        <w:rPr>
          <w:rFonts w:ascii="Open Sans" w:hAnsi="Open Sans" w:cs="Arial"/>
          <w:bCs/>
          <w:sz w:val="20"/>
          <w:szCs w:val="20"/>
        </w:rPr>
        <w:t xml:space="preserve"> En cualquier caso, la entidad considera muy poco probable que se materialicen estos pasivos y que no </w:t>
      </w:r>
      <w:r w:rsidRPr="0012355A">
        <w:rPr>
          <w:rFonts w:ascii="Open Sans" w:hAnsi="Open Sans" w:cs="Arial"/>
          <w:bCs/>
          <w:sz w:val="20"/>
          <w:szCs w:val="20"/>
        </w:rPr>
        <w:t>afectaría</w:t>
      </w:r>
      <w:r>
        <w:rPr>
          <w:rFonts w:ascii="Open Sans" w:hAnsi="Open Sans" w:cs="Arial"/>
          <w:bCs/>
          <w:sz w:val="20"/>
          <w:szCs w:val="20"/>
        </w:rPr>
        <w:t>n</w:t>
      </w:r>
      <w:r w:rsidRPr="0012355A">
        <w:rPr>
          <w:rFonts w:ascii="Open Sans" w:hAnsi="Open Sans" w:cs="Arial"/>
          <w:bCs/>
          <w:sz w:val="20"/>
          <w:szCs w:val="20"/>
        </w:rPr>
        <w:t xml:space="preserve"> significativamente a los estados financieros consolidados </w:t>
      </w:r>
      <w:r>
        <w:rPr>
          <w:rFonts w:ascii="Open Sans" w:hAnsi="Open Sans" w:cs="Arial"/>
          <w:bCs/>
          <w:sz w:val="20"/>
          <w:szCs w:val="20"/>
        </w:rPr>
        <w:t xml:space="preserve">del Grupo. Las </w:t>
      </w:r>
      <w:r w:rsidRPr="00CD39BC">
        <w:rPr>
          <w:rFonts w:ascii="Open Sans" w:hAnsi="Open Sans" w:cs="Arial"/>
          <w:bCs/>
          <w:sz w:val="20"/>
          <w:szCs w:val="20"/>
        </w:rPr>
        <w:t xml:space="preserve">Provisiones para impuestos y otras </w:t>
      </w:r>
      <w:r>
        <w:rPr>
          <w:rFonts w:ascii="Open Sans" w:hAnsi="Open Sans" w:cs="Arial"/>
          <w:bCs/>
          <w:sz w:val="20"/>
          <w:szCs w:val="20"/>
        </w:rPr>
        <w:t xml:space="preserve"> </w:t>
      </w:r>
      <w:r w:rsidRPr="00CD39BC">
        <w:rPr>
          <w:rFonts w:ascii="Open Sans" w:hAnsi="Open Sans" w:cs="Arial"/>
          <w:bCs/>
          <w:sz w:val="20"/>
          <w:szCs w:val="20"/>
        </w:rPr>
        <w:t>contingencias legales</w:t>
      </w:r>
      <w:r>
        <w:rPr>
          <w:rFonts w:ascii="Open Sans" w:hAnsi="Open Sans" w:cs="Arial"/>
          <w:bCs/>
          <w:sz w:val="20"/>
          <w:szCs w:val="20"/>
        </w:rPr>
        <w:t xml:space="preserve"> para el ejercicio 2015 </w:t>
      </w:r>
      <w:proofErr w:type="gramStart"/>
      <w:r>
        <w:rPr>
          <w:rFonts w:ascii="Open Sans" w:hAnsi="Open Sans" w:cs="Arial"/>
          <w:bCs/>
          <w:sz w:val="20"/>
          <w:szCs w:val="20"/>
        </w:rPr>
        <w:t>es</w:t>
      </w:r>
      <w:proofErr w:type="gramEnd"/>
      <w:r>
        <w:rPr>
          <w:rFonts w:ascii="Open Sans" w:hAnsi="Open Sans" w:cs="Arial"/>
          <w:bCs/>
          <w:sz w:val="20"/>
          <w:szCs w:val="20"/>
        </w:rPr>
        <w:t xml:space="preserve"> cero</w:t>
      </w:r>
      <w:r>
        <w:rPr>
          <w:rStyle w:val="Refdenotaalpie"/>
          <w:rFonts w:ascii="Open Sans" w:hAnsi="Open Sans" w:cs="Arial"/>
          <w:bCs/>
          <w:sz w:val="20"/>
          <w:szCs w:val="20"/>
        </w:rPr>
        <w:footnoteReference w:id="495"/>
      </w:r>
      <w:r>
        <w:rPr>
          <w:rFonts w:ascii="Open Sans" w:hAnsi="Open Sans" w:cs="Arial"/>
          <w:bCs/>
          <w:sz w:val="20"/>
          <w:szCs w:val="20"/>
        </w:rPr>
        <w:t>.</w:t>
      </w:r>
    </w:p>
    <w:p w14:paraId="185D0171" w14:textId="77777777" w:rsidR="00C86459" w:rsidRDefault="00C86459" w:rsidP="00C86459">
      <w:pPr>
        <w:jc w:val="both"/>
        <w:rPr>
          <w:rFonts w:ascii="Open Sans" w:hAnsi="Open Sans" w:cs="Arial"/>
          <w:bCs/>
          <w:sz w:val="20"/>
          <w:szCs w:val="20"/>
        </w:rPr>
      </w:pPr>
    </w:p>
    <w:p w14:paraId="430D08F8" w14:textId="77777777" w:rsidR="00C86459" w:rsidRDefault="00C86459" w:rsidP="00C86459">
      <w:pPr>
        <w:jc w:val="both"/>
        <w:rPr>
          <w:rFonts w:ascii="Open Sans" w:hAnsi="Open Sans" w:cs="Arial"/>
          <w:bCs/>
          <w:sz w:val="20"/>
          <w:szCs w:val="20"/>
        </w:rPr>
      </w:pPr>
    </w:p>
    <w:p w14:paraId="661DDF6B" w14:textId="77777777" w:rsidR="00C86459" w:rsidRDefault="00C86459" w:rsidP="00C86459">
      <w:pPr>
        <w:jc w:val="both"/>
        <w:rPr>
          <w:rFonts w:ascii="Open Sans" w:hAnsi="Open Sans" w:cs="Arial"/>
          <w:bCs/>
          <w:sz w:val="20"/>
          <w:szCs w:val="20"/>
        </w:rPr>
      </w:pPr>
      <w:r w:rsidRPr="00027F3C">
        <w:rPr>
          <w:noProof/>
          <w:lang w:val="es-ES"/>
        </w:rPr>
        <w:drawing>
          <wp:inline distT="0" distB="0" distL="0" distR="0" wp14:anchorId="42C1947E" wp14:editId="176A7473">
            <wp:extent cx="5400675" cy="1409700"/>
            <wp:effectExtent l="0" t="0" r="0" b="0"/>
            <wp:docPr id="1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4">
                      <a:extLst>
                        <a:ext uri="{28A0092B-C50C-407E-A947-70E740481C1C}">
                          <a14:useLocalDpi xmlns:a14="http://schemas.microsoft.com/office/drawing/2010/main"/>
                        </a:ext>
                      </a:extLst>
                    </a:blip>
                    <a:srcRect/>
                    <a:stretch>
                      <a:fillRect/>
                    </a:stretch>
                  </pic:blipFill>
                  <pic:spPr bwMode="auto">
                    <a:xfrm>
                      <a:off x="0" y="0"/>
                      <a:ext cx="5400675" cy="1409700"/>
                    </a:xfrm>
                    <a:prstGeom prst="rect">
                      <a:avLst/>
                    </a:prstGeom>
                    <a:noFill/>
                    <a:ln>
                      <a:noFill/>
                    </a:ln>
                  </pic:spPr>
                </pic:pic>
              </a:graphicData>
            </a:graphic>
          </wp:inline>
        </w:drawing>
      </w:r>
    </w:p>
    <w:p w14:paraId="2310F718" w14:textId="77777777" w:rsidR="00C86459" w:rsidRDefault="00C86459" w:rsidP="00C86459">
      <w:pPr>
        <w:rPr>
          <w:rFonts w:ascii="Open Sans" w:hAnsi="Open Sans" w:cs="Arial"/>
          <w:bCs/>
          <w:sz w:val="20"/>
          <w:szCs w:val="20"/>
        </w:rPr>
      </w:pPr>
    </w:p>
    <w:p w14:paraId="5CE42AC9" w14:textId="77777777" w:rsidR="00C86459" w:rsidRPr="0012355A" w:rsidRDefault="00C86459" w:rsidP="00C86459">
      <w:pPr>
        <w:rPr>
          <w:rFonts w:ascii="Open Sans" w:hAnsi="Open Sans" w:cs="Arial"/>
          <w:bCs/>
          <w:sz w:val="20"/>
          <w:szCs w:val="20"/>
        </w:rPr>
      </w:pPr>
    </w:p>
    <w:p w14:paraId="384A3D68" w14:textId="77777777" w:rsidR="00C86459" w:rsidRDefault="00C86459" w:rsidP="00C86459">
      <w:pPr>
        <w:autoSpaceDE w:val="0"/>
        <w:autoSpaceDN w:val="0"/>
        <w:adjustRightInd w:val="0"/>
        <w:jc w:val="both"/>
        <w:rPr>
          <w:rFonts w:ascii="Open Sans" w:hAnsi="Open Sans" w:cs="Arial"/>
          <w:bCs/>
          <w:sz w:val="20"/>
          <w:szCs w:val="20"/>
        </w:rPr>
      </w:pPr>
      <w:r>
        <w:rPr>
          <w:rFonts w:ascii="Open Sans" w:hAnsi="Open Sans" w:cs="Arial"/>
          <w:bCs/>
          <w:sz w:val="20"/>
          <w:szCs w:val="20"/>
        </w:rPr>
        <w:t>Igualmente, la entidad menciona que e</w:t>
      </w:r>
      <w:r w:rsidRPr="00FE03CA">
        <w:rPr>
          <w:rFonts w:ascii="Open Sans" w:hAnsi="Open Sans" w:cs="Arial"/>
          <w:bCs/>
          <w:sz w:val="20"/>
          <w:szCs w:val="20"/>
        </w:rPr>
        <w:t>s parte en determinados procedimientos judiciales en varias jurisdicciones (entre otras, España, México</w:t>
      </w:r>
      <w:r>
        <w:rPr>
          <w:rFonts w:ascii="Open Sans" w:hAnsi="Open Sans" w:cs="Arial"/>
          <w:bCs/>
          <w:sz w:val="20"/>
          <w:szCs w:val="20"/>
        </w:rPr>
        <w:t xml:space="preserve"> </w:t>
      </w:r>
      <w:r w:rsidRPr="00FE03CA">
        <w:rPr>
          <w:rFonts w:ascii="Open Sans" w:hAnsi="Open Sans" w:cs="Arial"/>
          <w:bCs/>
          <w:sz w:val="20"/>
          <w:szCs w:val="20"/>
        </w:rPr>
        <w:t xml:space="preserve">y Estados Unidos) derivados del curso </w:t>
      </w:r>
      <w:r>
        <w:rPr>
          <w:rFonts w:ascii="Open Sans" w:hAnsi="Open Sans" w:cs="Arial"/>
          <w:bCs/>
          <w:sz w:val="20"/>
          <w:szCs w:val="20"/>
        </w:rPr>
        <w:t>ordinario de su negocio, pero no considera que se sean materiales ni que vayan a afectar de manera significativa</w:t>
      </w:r>
      <w:r w:rsidRPr="00FE03CA">
        <w:rPr>
          <w:rFonts w:ascii="Open Sans" w:hAnsi="Open Sans" w:cs="Arial"/>
          <w:bCs/>
          <w:sz w:val="20"/>
          <w:szCs w:val="20"/>
        </w:rPr>
        <w:t xml:space="preserve">, </w:t>
      </w:r>
      <w:r>
        <w:rPr>
          <w:rFonts w:ascii="Open Sans" w:hAnsi="Open Sans" w:cs="Arial"/>
          <w:bCs/>
          <w:sz w:val="20"/>
          <w:szCs w:val="20"/>
        </w:rPr>
        <w:t xml:space="preserve">ni de forma individual o agregada, a las cuentas del grupo. No aporta más información sobre las causas que han originado el procedimiento judicial, ni a qué sociedades afecta, ni ejercicio fiscal, ni estado del procedimiento (iniciado, recurrido...) </w:t>
      </w:r>
    </w:p>
    <w:p w14:paraId="13229733" w14:textId="77777777" w:rsidR="00C86459" w:rsidRDefault="00C86459" w:rsidP="00C86459">
      <w:pPr>
        <w:autoSpaceDE w:val="0"/>
        <w:autoSpaceDN w:val="0"/>
        <w:adjustRightInd w:val="0"/>
        <w:jc w:val="both"/>
        <w:rPr>
          <w:rFonts w:ascii="Open Sans" w:hAnsi="Open Sans" w:cs="Arial"/>
          <w:bCs/>
          <w:sz w:val="20"/>
          <w:szCs w:val="20"/>
        </w:rPr>
      </w:pPr>
    </w:p>
    <w:p w14:paraId="310F3FE4" w14:textId="77777777" w:rsidR="00C86459" w:rsidRPr="00D5426F" w:rsidRDefault="00C86459" w:rsidP="00C86459">
      <w:pPr>
        <w:jc w:val="both"/>
        <w:rPr>
          <w:rFonts w:ascii="Open Sans" w:hAnsi="Open Sans" w:cs="Open Sans"/>
          <w:sz w:val="20"/>
          <w:szCs w:val="20"/>
        </w:rPr>
      </w:pPr>
      <w:r>
        <w:rPr>
          <w:rFonts w:ascii="Open Sans" w:hAnsi="Open Sans" w:cs="Arial"/>
          <w:bCs/>
          <w:sz w:val="20"/>
          <w:szCs w:val="20"/>
        </w:rPr>
        <w:t>Al inicio de este informe se ha mencionado que las entidades financieras asumen riesgos fiscales por la liquidación de sus impuestos, pero ta</w:t>
      </w:r>
      <w:r w:rsidRPr="00D5426F">
        <w:rPr>
          <w:rFonts w:ascii="Open Sans" w:hAnsi="Open Sans"/>
          <w:sz w:val="20"/>
          <w:szCs w:val="20"/>
        </w:rPr>
        <w:t>mbién</w:t>
      </w:r>
      <w:r>
        <w:rPr>
          <w:rFonts w:ascii="Open Sans" w:hAnsi="Open Sans"/>
          <w:sz w:val="20"/>
          <w:szCs w:val="20"/>
        </w:rPr>
        <w:t xml:space="preserve"> por su operativa a través de </w:t>
      </w:r>
      <w:r w:rsidRPr="00D5426F">
        <w:rPr>
          <w:rFonts w:ascii="Open Sans" w:hAnsi="Open Sans"/>
          <w:sz w:val="20"/>
          <w:szCs w:val="20"/>
        </w:rPr>
        <w:t xml:space="preserve">territorios con un tratamiento fiscal favorable (paraísos </w:t>
      </w:r>
      <w:r>
        <w:rPr>
          <w:rFonts w:ascii="Open Sans" w:hAnsi="Open Sans"/>
          <w:sz w:val="20"/>
          <w:szCs w:val="20"/>
        </w:rPr>
        <w:t xml:space="preserve">y nichos fiscales), mediante la constitución de sociedades propias en estos territorios, o </w:t>
      </w:r>
      <w:r w:rsidRPr="00D5426F">
        <w:rPr>
          <w:rFonts w:ascii="Open Sans" w:hAnsi="Open Sans"/>
          <w:sz w:val="20"/>
          <w:szCs w:val="20"/>
        </w:rPr>
        <w:t>bien, dentro de su actividad intermediadora</w:t>
      </w:r>
      <w:r>
        <w:rPr>
          <w:rFonts w:ascii="Open Sans" w:hAnsi="Open Sans"/>
          <w:sz w:val="20"/>
          <w:szCs w:val="20"/>
        </w:rPr>
        <w:t>,</w:t>
      </w:r>
      <w:r w:rsidRPr="00D5426F">
        <w:rPr>
          <w:rFonts w:ascii="Open Sans" w:hAnsi="Open Sans"/>
          <w:sz w:val="20"/>
          <w:szCs w:val="20"/>
        </w:rPr>
        <w:t xml:space="preserve"> facilitando la constitución de sociedad</w:t>
      </w:r>
      <w:r>
        <w:rPr>
          <w:rFonts w:ascii="Open Sans" w:hAnsi="Open Sans"/>
          <w:sz w:val="20"/>
          <w:szCs w:val="20"/>
        </w:rPr>
        <w:t>es</w:t>
      </w:r>
      <w:r w:rsidRPr="00D5426F">
        <w:rPr>
          <w:rFonts w:ascii="Open Sans" w:hAnsi="Open Sans"/>
          <w:sz w:val="20"/>
          <w:szCs w:val="20"/>
        </w:rPr>
        <w:t xml:space="preserve"> o instrumentos financieros para sus clientes en países fiscalmente favorables de modo que se facilita la evasión o elusión fiscal. </w:t>
      </w:r>
    </w:p>
    <w:p w14:paraId="3112E8CB" w14:textId="77777777" w:rsidR="00C86459" w:rsidRDefault="00C86459" w:rsidP="00C86459">
      <w:pPr>
        <w:autoSpaceDE w:val="0"/>
        <w:autoSpaceDN w:val="0"/>
        <w:adjustRightInd w:val="0"/>
        <w:jc w:val="both"/>
        <w:rPr>
          <w:rFonts w:ascii="Open Sans" w:hAnsi="Open Sans" w:cs="Arial"/>
          <w:bCs/>
          <w:sz w:val="20"/>
          <w:szCs w:val="20"/>
        </w:rPr>
      </w:pPr>
    </w:p>
    <w:p w14:paraId="3D797ADB" w14:textId="77777777" w:rsidR="00C86459" w:rsidRPr="00E51DFE" w:rsidRDefault="00C86459" w:rsidP="00C86459">
      <w:pPr>
        <w:jc w:val="both"/>
        <w:rPr>
          <w:rFonts w:ascii="Open Sans" w:hAnsi="Open Sans" w:cs="Arial"/>
          <w:bCs/>
          <w:sz w:val="20"/>
          <w:szCs w:val="20"/>
        </w:rPr>
      </w:pPr>
      <w:r>
        <w:rPr>
          <w:rFonts w:ascii="Open Sans" w:hAnsi="Open Sans" w:cs="Arial"/>
          <w:bCs/>
          <w:sz w:val="20"/>
          <w:szCs w:val="20"/>
        </w:rPr>
        <w:t>En</w:t>
      </w:r>
      <w:r w:rsidRPr="00094B55">
        <w:rPr>
          <w:rFonts w:ascii="Open Sans" w:hAnsi="Open Sans" w:cs="Arial"/>
          <w:bCs/>
          <w:sz w:val="20"/>
          <w:szCs w:val="20"/>
        </w:rPr>
        <w:t xml:space="preserve"> 2015 el Grupo tuvo que hacer frente a dos sanciones re</w:t>
      </w:r>
      <w:r>
        <w:rPr>
          <w:rFonts w:ascii="Open Sans" w:hAnsi="Open Sans" w:cs="Arial"/>
          <w:bCs/>
          <w:sz w:val="20"/>
          <w:szCs w:val="20"/>
        </w:rPr>
        <w:t xml:space="preserve">lativas a temas fiscales derivados de su actividad como intermediadora. </w:t>
      </w:r>
      <w:r w:rsidRPr="00094B55">
        <w:rPr>
          <w:rFonts w:ascii="Open Sans" w:hAnsi="Open Sans" w:cs="Arial"/>
          <w:bCs/>
          <w:sz w:val="20"/>
          <w:szCs w:val="20"/>
        </w:rPr>
        <w:t xml:space="preserve">Por un lado, </w:t>
      </w:r>
      <w:r w:rsidRPr="00094B55">
        <w:rPr>
          <w:rFonts w:ascii="Open Sans" w:hAnsi="Open Sans" w:cs="Open Sans"/>
          <w:sz w:val="20"/>
          <w:szCs w:val="20"/>
        </w:rPr>
        <w:t xml:space="preserve">BBVA Suiza llegó a un acuerdo con el Departamento de Justicia de los Estados Unidos para pagar cerca de 9 millones de euros a </w:t>
      </w:r>
      <w:r w:rsidRPr="00CD05BD">
        <w:rPr>
          <w:rFonts w:ascii="Open Sans" w:hAnsi="Open Sans" w:cs="Open Sans"/>
          <w:sz w:val="20"/>
          <w:szCs w:val="20"/>
        </w:rPr>
        <w:t>EEUU para cerrar una investigación por evasión fiscal</w:t>
      </w:r>
      <w:r w:rsidRPr="00CD05BD">
        <w:rPr>
          <w:rStyle w:val="Refdenotaalpie"/>
          <w:rFonts w:ascii="Open Sans" w:hAnsi="Open Sans" w:cs="Open Sans"/>
          <w:sz w:val="20"/>
          <w:szCs w:val="20"/>
        </w:rPr>
        <w:footnoteReference w:id="496"/>
      </w:r>
      <w:r w:rsidRPr="00CD05BD">
        <w:rPr>
          <w:rFonts w:ascii="Open Sans" w:hAnsi="Open Sans" w:cs="Open Sans"/>
          <w:sz w:val="20"/>
          <w:szCs w:val="20"/>
        </w:rPr>
        <w:t xml:space="preserve"> al considerarse que había colaborado presuntamente con contribuyentes norteamericanos en la evasión de impuestos utilizando las leyes de secreto bancario de Suiza para ocultar activos. Por otro lado, Bruselas</w:t>
      </w:r>
      <w:r>
        <w:rPr>
          <w:rFonts w:ascii="Open Sans" w:hAnsi="Open Sans" w:cs="Open Sans"/>
          <w:sz w:val="20"/>
          <w:szCs w:val="20"/>
        </w:rPr>
        <w:t xml:space="preserve">, de acuerdo con diversas fuentes, </w:t>
      </w:r>
      <w:r w:rsidRPr="00CD05BD">
        <w:rPr>
          <w:rFonts w:ascii="Open Sans" w:hAnsi="Open Sans" w:cs="Open Sans"/>
          <w:sz w:val="20"/>
          <w:szCs w:val="20"/>
        </w:rPr>
        <w:t xml:space="preserve"> ha implicado a BBVA en un caso de fraude masivo de IVA heredado de la filial Garanti, afecta por una investigación en relación al comercio masivo de derechos de emisión de carbón por el que empresas habrían evitado pagar 5.000 millones en impuestos</w:t>
      </w:r>
      <w:r w:rsidRPr="00E51DFE">
        <w:rPr>
          <w:rStyle w:val="Refdenotaalpie"/>
          <w:rFonts w:ascii="Open Sans" w:hAnsi="Open Sans" w:cs="Open Sans"/>
          <w:sz w:val="20"/>
          <w:szCs w:val="20"/>
        </w:rPr>
        <w:footnoteReference w:id="497"/>
      </w:r>
      <w:r w:rsidRPr="00E51DFE">
        <w:rPr>
          <w:rFonts w:ascii="Open Sans" w:hAnsi="Open Sans" w:cs="Open Sans"/>
          <w:sz w:val="20"/>
          <w:szCs w:val="20"/>
        </w:rPr>
        <w:t>. Ninguno de estos dos incidentes ha sido incorporado</w:t>
      </w:r>
      <w:r>
        <w:rPr>
          <w:rFonts w:ascii="Open Sans" w:hAnsi="Open Sans" w:cs="Open Sans"/>
          <w:sz w:val="20"/>
          <w:szCs w:val="20"/>
        </w:rPr>
        <w:t xml:space="preserve"> ni mencionado</w:t>
      </w:r>
      <w:r w:rsidRPr="00E51DFE">
        <w:rPr>
          <w:rFonts w:ascii="Open Sans" w:hAnsi="Open Sans" w:cs="Open Sans"/>
          <w:sz w:val="20"/>
          <w:szCs w:val="20"/>
        </w:rPr>
        <w:t xml:space="preserve"> en los diversos informes que ha publicado BBVA con respecto a su actividad en 2015.</w:t>
      </w:r>
    </w:p>
    <w:p w14:paraId="786AE57E" w14:textId="77777777" w:rsidR="00C86459" w:rsidRPr="00E51DFE" w:rsidRDefault="00C86459" w:rsidP="00C86459">
      <w:pPr>
        <w:rPr>
          <w:rFonts w:ascii="Open Sans" w:hAnsi="Open Sans" w:cs="Arial"/>
          <w:bCs/>
          <w:sz w:val="20"/>
          <w:szCs w:val="20"/>
        </w:rPr>
      </w:pPr>
    </w:p>
    <w:p w14:paraId="37F30CFB" w14:textId="77777777" w:rsidR="00C86459" w:rsidRDefault="00C86459" w:rsidP="00C86459">
      <w:pPr>
        <w:jc w:val="both"/>
        <w:rPr>
          <w:rFonts w:ascii="Open Sans" w:hAnsi="Open Sans" w:cs="Arial"/>
          <w:bCs/>
          <w:sz w:val="20"/>
          <w:szCs w:val="20"/>
        </w:rPr>
      </w:pPr>
      <w:r>
        <w:rPr>
          <w:rFonts w:ascii="Open Sans" w:hAnsi="Open Sans" w:cs="Arial"/>
          <w:bCs/>
          <w:sz w:val="20"/>
          <w:szCs w:val="20"/>
        </w:rPr>
        <w:t xml:space="preserve">Sobre la operativa de la entidad con las otras sociedades del grupo, no se proporciona información desglosada del tráfico entre las diferentes sociedades. Tanto en las Cuentas Anuales de la matriz como en las Consolidadas del grupo, se presenta la información bajo el mismo formato y haciendo sólo referencia a </w:t>
      </w:r>
      <w:r w:rsidRPr="00984C6E">
        <w:rPr>
          <w:rFonts w:ascii="Open Sans" w:hAnsi="Open Sans" w:cs="Arial"/>
          <w:bCs/>
          <w:sz w:val="20"/>
          <w:szCs w:val="20"/>
        </w:rPr>
        <w:t>operaciones directamente relacionadas con la actividad bancaria: Depósitos, Créditos</w:t>
      </w:r>
      <w:r>
        <w:rPr>
          <w:rFonts w:ascii="Open Sans" w:hAnsi="Open Sans" w:cs="Arial"/>
          <w:bCs/>
          <w:sz w:val="20"/>
          <w:szCs w:val="20"/>
        </w:rPr>
        <w:t>, Ingresos y Gastos financieros. L</w:t>
      </w:r>
      <w:r w:rsidRPr="00984C6E">
        <w:rPr>
          <w:rFonts w:ascii="Open Sans" w:hAnsi="Open Sans" w:cs="Arial"/>
          <w:bCs/>
          <w:sz w:val="20"/>
          <w:szCs w:val="20"/>
        </w:rPr>
        <w:t xml:space="preserve">os datos son agregados, sin detalle de las entidades implicadas ni su ubicación </w:t>
      </w:r>
      <w:r>
        <w:rPr>
          <w:rFonts w:ascii="Open Sans" w:hAnsi="Open Sans" w:cs="Arial"/>
          <w:bCs/>
          <w:sz w:val="20"/>
          <w:szCs w:val="20"/>
        </w:rPr>
        <w:t>geográfica que permita valorar el tráfico de operaciones entre territorios y/o en nichos fiscales. L</w:t>
      </w:r>
      <w:r w:rsidRPr="00984C6E">
        <w:rPr>
          <w:rFonts w:ascii="Open Sans" w:hAnsi="Open Sans" w:cs="Arial"/>
          <w:bCs/>
          <w:sz w:val="20"/>
          <w:szCs w:val="20"/>
        </w:rPr>
        <w:t>as condiciones económicas en las que se han realizado</w:t>
      </w:r>
      <w:r>
        <w:rPr>
          <w:rFonts w:ascii="Open Sans" w:hAnsi="Open Sans" w:cs="Arial"/>
          <w:bCs/>
          <w:sz w:val="20"/>
          <w:szCs w:val="20"/>
        </w:rPr>
        <w:t xml:space="preserve"> tampoco se detallen, la entidad se limita a mencionar de forma </w:t>
      </w:r>
      <w:r w:rsidRPr="00984C6E">
        <w:rPr>
          <w:rFonts w:ascii="Open Sans" w:hAnsi="Open Sans" w:cs="Arial"/>
          <w:bCs/>
          <w:sz w:val="20"/>
          <w:szCs w:val="20"/>
        </w:rPr>
        <w:t>genérica “</w:t>
      </w:r>
      <w:r w:rsidRPr="00984C6E">
        <w:rPr>
          <w:rFonts w:ascii="Open Sans" w:hAnsi="Open Sans" w:cs="Arial"/>
          <w:bCs/>
          <w:i/>
          <w:sz w:val="20"/>
          <w:szCs w:val="20"/>
        </w:rPr>
        <w:t>BBVA ha establecido una política de precios de transferencia para todas sus operaciones entre partes y entidades vinculadas que está presidida por los principios de libre concurrencia, creación de valor y asunción de riesgos y beneficios.  Dichos tipos están compuestos por una tasa de referencia (índice de uso generalmente aceptado en el mercado) que se aplica en función del plazo de revisión o vencimiento de la operación, y por una prima de liquidez, es decir, un spread, que se establece en función de las condiciones y perspectivas de los mercados financieros en este aspecto</w:t>
      </w:r>
      <w:r w:rsidRPr="00984C6E">
        <w:rPr>
          <w:rFonts w:ascii="Open Sans" w:hAnsi="Open Sans" w:cs="Arial"/>
          <w:bCs/>
          <w:sz w:val="20"/>
          <w:szCs w:val="20"/>
        </w:rPr>
        <w:t>”</w:t>
      </w:r>
      <w:r>
        <w:rPr>
          <w:rFonts w:ascii="Open Sans" w:hAnsi="Open Sans" w:cs="Arial"/>
          <w:bCs/>
          <w:sz w:val="20"/>
          <w:szCs w:val="20"/>
        </w:rPr>
        <w:t>.</w:t>
      </w:r>
    </w:p>
    <w:p w14:paraId="0245DCEB" w14:textId="77777777" w:rsidR="00C86459" w:rsidRPr="0058431D" w:rsidRDefault="00C86459" w:rsidP="00C86459">
      <w:pPr>
        <w:rPr>
          <w:rFonts w:ascii="Open Sans" w:hAnsi="Open Sans" w:cs="Arial"/>
          <w:bCs/>
          <w:sz w:val="20"/>
          <w:szCs w:val="20"/>
        </w:rPr>
      </w:pPr>
    </w:p>
    <w:p w14:paraId="4D38CDC8" w14:textId="77777777" w:rsidR="00C86459" w:rsidRPr="0058431D" w:rsidRDefault="00C86459" w:rsidP="00C86459">
      <w:pPr>
        <w:jc w:val="both"/>
        <w:rPr>
          <w:rFonts w:ascii="Open Sans" w:hAnsi="Open Sans" w:cs="Arial"/>
          <w:bCs/>
          <w:sz w:val="20"/>
          <w:szCs w:val="20"/>
        </w:rPr>
      </w:pPr>
      <w:r w:rsidRPr="0058431D">
        <w:rPr>
          <w:rFonts w:ascii="Open Sans" w:hAnsi="Open Sans" w:cs="Arial"/>
          <w:bCs/>
          <w:sz w:val="20"/>
          <w:szCs w:val="20"/>
        </w:rPr>
        <w:t>Si bien es cierto que en el IAGC 2015 se incorpora información de las actividades realizadas dentro del grupo con sociedades ubicadas en paraísos fiscales, sólo se recoge la actividad con una sociedad, BBVA GLOBAL FINANCE LTD, en referencia a tres tipos de operaciones: Tenencia de Valores representativos de deuda (1.410m€), Depósitos en cuenta corriente (1.403m€) y Pasivo subordinados ligados a la emisión (351.942m€). Sin dar detalles de las condiciones de la operación, justificación de la actuación en paraíso fiscal, repercusión fiscal de la operación...</w:t>
      </w:r>
    </w:p>
    <w:p w14:paraId="173B4428" w14:textId="77777777" w:rsidR="00C86459" w:rsidRPr="0058431D" w:rsidRDefault="00C86459" w:rsidP="00C86459">
      <w:pPr>
        <w:rPr>
          <w:rFonts w:ascii="Open Sans" w:hAnsi="Open Sans" w:cs="Arial"/>
          <w:bCs/>
          <w:sz w:val="20"/>
          <w:szCs w:val="20"/>
        </w:rPr>
      </w:pPr>
    </w:p>
    <w:p w14:paraId="57B27C7C" w14:textId="77777777" w:rsidR="00C86459" w:rsidRPr="0058431D" w:rsidRDefault="00C86459" w:rsidP="00C86459">
      <w:pPr>
        <w:jc w:val="both"/>
        <w:rPr>
          <w:rFonts w:ascii="Open Sans" w:hAnsi="Open Sans" w:cs="Arial"/>
          <w:bCs/>
          <w:sz w:val="20"/>
          <w:szCs w:val="20"/>
        </w:rPr>
      </w:pPr>
      <w:r w:rsidRPr="0058431D">
        <w:rPr>
          <w:rFonts w:ascii="Open Sans" w:hAnsi="Open Sans" w:cs="Arial"/>
          <w:bCs/>
          <w:sz w:val="20"/>
          <w:szCs w:val="20"/>
        </w:rPr>
        <w:t xml:space="preserve">Una situación similar es la que se presenta en el caso de la Propiedad Intelectual, cómo se gestiona la transferencia de patentes, licencias, I+D, o similares. El grupo no incorpora explicación sobre como gestiona internamente esta cuestión, y se limita a afirmar que no se encuentra sometido a ningún grado de dependencia relevante con respecto a los emisores de patentes, licencias, contratos industriales, mercantiles o financieros o de nuevos procesos de fabricación. </w:t>
      </w:r>
    </w:p>
    <w:p w14:paraId="755E8599" w14:textId="77777777" w:rsidR="00C86459" w:rsidRPr="0058431D" w:rsidRDefault="00C86459" w:rsidP="00C86459">
      <w:pPr>
        <w:jc w:val="both"/>
        <w:rPr>
          <w:rFonts w:ascii="Open Sans" w:hAnsi="Open Sans" w:cs="Arial"/>
          <w:bCs/>
          <w:sz w:val="20"/>
          <w:szCs w:val="20"/>
        </w:rPr>
      </w:pPr>
    </w:p>
    <w:p w14:paraId="463835A5" w14:textId="77777777" w:rsidR="00C86459" w:rsidRDefault="00C86459" w:rsidP="00C86459">
      <w:pPr>
        <w:jc w:val="both"/>
        <w:rPr>
          <w:rFonts w:ascii="Open Sans" w:hAnsi="Open Sans" w:cs="Arial"/>
          <w:bCs/>
          <w:sz w:val="20"/>
          <w:szCs w:val="20"/>
        </w:rPr>
      </w:pPr>
    </w:p>
    <w:p w14:paraId="756EC68B" w14:textId="77777777" w:rsidR="00C86459" w:rsidRDefault="00C86459" w:rsidP="00C86459">
      <w:r>
        <w:rPr>
          <w:rFonts w:ascii="Open Sans" w:hAnsi="Open Sans" w:cs="Arial"/>
          <w:b/>
          <w:sz w:val="22"/>
          <w:szCs w:val="22"/>
          <w:u w:val="single"/>
        </w:rPr>
        <w:t>5. Conclusiones</w:t>
      </w:r>
    </w:p>
    <w:p w14:paraId="35C3A6E7" w14:textId="77777777" w:rsidR="00C86459" w:rsidRDefault="00C86459" w:rsidP="00C86459">
      <w:pPr>
        <w:rPr>
          <w:rFonts w:ascii="Open Sans" w:hAnsi="Open Sans" w:cs="Arial"/>
          <w:bCs/>
          <w:sz w:val="22"/>
          <w:szCs w:val="22"/>
          <w:u w:val="single"/>
        </w:rPr>
      </w:pPr>
    </w:p>
    <w:p w14:paraId="2DE6AEAE" w14:textId="77777777" w:rsidR="00C86459" w:rsidRDefault="00C86459" w:rsidP="00C86459">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BBVA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0,73</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(1,00), seguidos de “paraísos y nichos fiscales” (0,86), “impuestos e incentivos” (0,67), y “relaciones con Administraciones Tributarias” (0,40). </w:t>
      </w:r>
    </w:p>
    <w:p w14:paraId="05C81CFC" w14:textId="77777777" w:rsidR="00C86459" w:rsidRDefault="00C86459" w:rsidP="00C86459">
      <w:pPr>
        <w:rPr>
          <w:rFonts w:ascii="Open Sans" w:hAnsi="Open Sans" w:cs="Open Sans"/>
          <w:sz w:val="20"/>
          <w:szCs w:val="20"/>
        </w:rPr>
      </w:pPr>
    </w:p>
    <w:p w14:paraId="690CA5DE" w14:textId="77777777" w:rsidR="00C86459" w:rsidRDefault="00C86459" w:rsidP="00C86459">
      <w:pPr>
        <w:jc w:val="both"/>
        <w:rPr>
          <w:rFonts w:ascii="Open Sans" w:hAnsi="Open Sans" w:cs="Open Sans"/>
          <w:sz w:val="20"/>
          <w:szCs w:val="20"/>
        </w:rPr>
      </w:pPr>
      <w:r w:rsidRPr="004970B3">
        <w:rPr>
          <w:rFonts w:ascii="Open Sans" w:hAnsi="Open Sans" w:cs="Open Sans"/>
          <w:sz w:val="20"/>
          <w:szCs w:val="20"/>
        </w:rPr>
        <w:t xml:space="preserve">En 2015, </w:t>
      </w:r>
      <w:r>
        <w:rPr>
          <w:rFonts w:ascii="Open Sans" w:hAnsi="Open Sans" w:cs="Open Sans"/>
          <w:sz w:val="20"/>
          <w:szCs w:val="20"/>
        </w:rPr>
        <w:t xml:space="preserve">BBVA ha aprobado </w:t>
      </w:r>
      <w:r w:rsidRPr="004970B3">
        <w:rPr>
          <w:rFonts w:ascii="Open Sans" w:hAnsi="Open Sans" w:cs="Open Sans"/>
          <w:sz w:val="20"/>
          <w:szCs w:val="20"/>
        </w:rPr>
        <w:t>la Estrategia Fiscal del Grupo bajo el nombre de “Principios Corporativos en materia tributaria y estrategia fiscal” en la que establece las políticas, principios y valores que deben guiar el comportamiento del Grupo en materia tributaria.</w:t>
      </w:r>
      <w:r>
        <w:rPr>
          <w:rFonts w:ascii="Open Sans" w:hAnsi="Open Sans" w:cs="Open Sans"/>
          <w:sz w:val="20"/>
          <w:szCs w:val="20"/>
        </w:rPr>
        <w:t xml:space="preserve"> Así mismo, pone de manifiesto su compromiso con la fiscalidad responsable a través de su Política de RSC y en el Informe anual integrado (BBVA en 2015), emitiendo información relevante a través del informe TTC. Sin embargo, no queda constancia de que en la práctica la entidad reconozca y gestione de manera estratégica los riesgos fiscales, no sólo propios, sino los derivados de su actividad como intermediadora.</w:t>
      </w:r>
    </w:p>
    <w:p w14:paraId="254429F0" w14:textId="77777777" w:rsidR="00C86459" w:rsidRDefault="00C86459" w:rsidP="00C86459">
      <w:pPr>
        <w:jc w:val="both"/>
        <w:rPr>
          <w:rFonts w:ascii="Open Sans" w:hAnsi="Open Sans" w:cs="Open Sans"/>
          <w:sz w:val="20"/>
          <w:szCs w:val="20"/>
        </w:rPr>
      </w:pPr>
    </w:p>
    <w:p w14:paraId="4309B26E" w14:textId="77777777" w:rsidR="00C86459" w:rsidRPr="00682F24" w:rsidRDefault="00C86459" w:rsidP="00C86459">
      <w:pPr>
        <w:jc w:val="both"/>
        <w:rPr>
          <w:rFonts w:ascii="Open Sans" w:hAnsi="Open Sans" w:cs="Arial"/>
          <w:sz w:val="20"/>
          <w:szCs w:val="20"/>
        </w:rPr>
      </w:pPr>
      <w:r>
        <w:rPr>
          <w:rFonts w:ascii="Open Sans" w:hAnsi="Open Sans" w:cs="Open Sans"/>
          <w:sz w:val="20"/>
          <w:szCs w:val="20"/>
        </w:rPr>
        <w:t xml:space="preserve">En este sentido, a pesar de que el Cumplimiento de la Normativa Fiscal es un asunto identificado como de alta y muy alta relevancia (para los grupos de interés + exigencias regulatorias, y para el negocio del banco, respectivamente), no se han identificado cuáles son los riesgos fiscales que afectan al grupo, propios o de terceros, en España, en territorios con fiscalidad favorable, ni aquellos derivados de su actividad como intermediadora. Esto induce a considerar, igual que se manifestó en 2014, que </w:t>
      </w:r>
      <w:r>
        <w:rPr>
          <w:rFonts w:ascii="Open Sans" w:hAnsi="Open Sans" w:cs="Arial"/>
          <w:sz w:val="20"/>
          <w:szCs w:val="20"/>
        </w:rPr>
        <w:t xml:space="preserve">se exponen </w:t>
      </w:r>
      <w:r w:rsidRPr="00682F24">
        <w:rPr>
          <w:rFonts w:ascii="Open Sans" w:hAnsi="Open Sans" w:cs="Arial"/>
          <w:sz w:val="20"/>
          <w:szCs w:val="20"/>
        </w:rPr>
        <w:t xml:space="preserve">una serie de principios y compromisos sin que en muchas ocasiones quede </w:t>
      </w:r>
      <w:r>
        <w:rPr>
          <w:rFonts w:ascii="Open Sans" w:hAnsi="Open Sans" w:cs="Arial"/>
          <w:sz w:val="20"/>
          <w:szCs w:val="20"/>
        </w:rPr>
        <w:t xml:space="preserve">constancia de </w:t>
      </w:r>
      <w:r w:rsidRPr="00682F24">
        <w:rPr>
          <w:rFonts w:ascii="Open Sans" w:hAnsi="Open Sans" w:cs="Arial"/>
          <w:sz w:val="20"/>
          <w:szCs w:val="20"/>
        </w:rPr>
        <w:t xml:space="preserve">cómo se </w:t>
      </w:r>
      <w:r>
        <w:rPr>
          <w:rFonts w:ascii="Open Sans" w:hAnsi="Open Sans" w:cs="Arial"/>
          <w:sz w:val="20"/>
          <w:szCs w:val="20"/>
        </w:rPr>
        <w:t>han llevado a la práctica. La falta de información sobre la</w:t>
      </w:r>
      <w:r w:rsidRPr="00682F24">
        <w:rPr>
          <w:rFonts w:ascii="Open Sans" w:hAnsi="Open Sans" w:cs="Arial"/>
          <w:sz w:val="20"/>
          <w:szCs w:val="20"/>
        </w:rPr>
        <w:t xml:space="preserve"> labor de la entidad puede dar la impresión de que esos compromisos se quedan en meras declaraciones de intenciones </w:t>
      </w:r>
      <w:r>
        <w:rPr>
          <w:rFonts w:ascii="Open Sans" w:hAnsi="Open Sans" w:cs="Arial"/>
          <w:sz w:val="20"/>
          <w:szCs w:val="20"/>
        </w:rPr>
        <w:t>sin ejecutarse</w:t>
      </w:r>
      <w:r w:rsidRPr="00682F24">
        <w:rPr>
          <w:rFonts w:ascii="Open Sans" w:hAnsi="Open Sans" w:cs="Arial"/>
          <w:sz w:val="20"/>
          <w:szCs w:val="20"/>
        </w:rPr>
        <w:t xml:space="preserve"> plenamente</w:t>
      </w:r>
      <w:r>
        <w:rPr>
          <w:rFonts w:ascii="Open Sans" w:hAnsi="Open Sans" w:cs="Arial"/>
          <w:sz w:val="20"/>
          <w:szCs w:val="20"/>
        </w:rPr>
        <w:t>.</w:t>
      </w:r>
    </w:p>
    <w:p w14:paraId="660F026C" w14:textId="77777777" w:rsidR="00C86459" w:rsidRDefault="00C86459" w:rsidP="00C86459">
      <w:pPr>
        <w:jc w:val="both"/>
        <w:rPr>
          <w:rFonts w:ascii="Open Sans" w:hAnsi="Open Sans" w:cs="Open Sans"/>
          <w:sz w:val="20"/>
          <w:szCs w:val="20"/>
        </w:rPr>
      </w:pPr>
    </w:p>
    <w:p w14:paraId="68DCC89E" w14:textId="77777777" w:rsidR="00C86459" w:rsidRDefault="00C86459" w:rsidP="00C86459">
      <w:pPr>
        <w:jc w:val="both"/>
        <w:rPr>
          <w:rFonts w:ascii="Open Sans" w:hAnsi="Open Sans" w:cs="Open Sans"/>
          <w:sz w:val="20"/>
          <w:szCs w:val="20"/>
        </w:rPr>
      </w:pPr>
      <w:r>
        <w:rPr>
          <w:rFonts w:ascii="Open Sans" w:hAnsi="Open Sans" w:cs="Open Sans"/>
          <w:sz w:val="20"/>
          <w:szCs w:val="20"/>
        </w:rPr>
        <w:t xml:space="preserve">A remarcar la información fiscal proporcionada a través del Informe Bancario Anual (IBA) anexo a las CCAA Consolidadas y el informe TTC que reflejan de manera desglosada los beneficios e impuestos liquidados en los países en los que opera. En el IBA falta información específica relativa a territorios “nichos fiscales” dónde tienen presencia, y que han quedado agregados a los países a los que pertenecen o unificados bajo el criterio de “Otros” lo que no ha permitido poder analizar la implicación fiscal de la entidad en estas regiones. </w:t>
      </w:r>
    </w:p>
    <w:p w14:paraId="79093800" w14:textId="77777777" w:rsidR="00C86459" w:rsidRDefault="00C86459" w:rsidP="00C86459">
      <w:pPr>
        <w:jc w:val="both"/>
        <w:rPr>
          <w:rFonts w:ascii="Open Sans" w:hAnsi="Open Sans" w:cs="Open Sans"/>
          <w:sz w:val="20"/>
          <w:szCs w:val="20"/>
        </w:rPr>
      </w:pPr>
    </w:p>
    <w:p w14:paraId="71B659B3" w14:textId="77777777" w:rsidR="00C86459" w:rsidRDefault="00C86459" w:rsidP="00C86459">
      <w:pPr>
        <w:pStyle w:val="NormalWeb"/>
        <w:shd w:val="clear" w:color="auto" w:fill="FFFFFF"/>
        <w:spacing w:before="120" w:after="240"/>
        <w:ind w:right="-1"/>
        <w:jc w:val="both"/>
        <w:rPr>
          <w:rFonts w:ascii="Open Sans" w:eastAsia="Arial" w:hAnsi="Open Sans" w:cs="Open Sans"/>
          <w:color w:val="000000"/>
          <w:sz w:val="20"/>
          <w:szCs w:val="20"/>
        </w:rPr>
      </w:pPr>
      <w:r>
        <w:rPr>
          <w:rFonts w:ascii="Open Sans" w:eastAsia="Arial" w:hAnsi="Open Sans" w:cs="Open Sans"/>
          <w:sz w:val="20"/>
        </w:rPr>
        <w:t xml:space="preserve">A pesar de que la entidad manifiesta su compromiso con la reducción de su presencia en paraísos fiscales, el número de sociedades en territorios considerados nichos o paraísos fiscales según la metodología del Observatorio, se ha mantenido con respecto al año anterior. La entidad reconoce su presencia en territorios off-shore </w:t>
      </w:r>
      <w:r>
        <w:rPr>
          <w:rFonts w:ascii="Open Sans" w:eastAsia="Arial" w:hAnsi="Open Sans" w:cs="Open Sans"/>
          <w:color w:val="000000"/>
          <w:sz w:val="20"/>
          <w:szCs w:val="20"/>
        </w:rPr>
        <w:t xml:space="preserve">aunque sólo reconoce las sociedades de Islas Caymán, sobre las que se proporciona cierto detalle. </w:t>
      </w:r>
    </w:p>
    <w:p w14:paraId="7B9C120C" w14:textId="77777777" w:rsidR="00C86459" w:rsidRDefault="00C86459" w:rsidP="00C86459">
      <w:pPr>
        <w:pStyle w:val="NormalWeb"/>
        <w:shd w:val="clear" w:color="auto" w:fill="FFFFFF"/>
        <w:spacing w:before="120" w:after="240"/>
        <w:ind w:right="-1"/>
        <w:jc w:val="both"/>
        <w:rPr>
          <w:rFonts w:ascii="Open Sans" w:hAnsi="Open Sans" w:cs="Open Sans"/>
          <w:sz w:val="20"/>
          <w:szCs w:val="20"/>
        </w:rPr>
      </w:pPr>
      <w:r>
        <w:rPr>
          <w:rFonts w:ascii="Open Sans" w:hAnsi="Open Sans" w:cs="Open Sans"/>
          <w:sz w:val="20"/>
          <w:szCs w:val="20"/>
        </w:rPr>
        <w:t>El detalle de la información sobre impuestos presente en el TTC y en el Informe Bancario Anual, contrasta con la escasez de datos en lo referente a sanciones o litigios fiscales abiertos, dónde apenas se proporcionan datos y la información es cualitativa, obviando comentar sanciones y procesos judiciales aparecidos en prensa. También contrasta con la escasa y poca claridad de datos cuanto a subvenciones, exenciones o créditos fiscales; y con la parcial información sobre las operaciones intragrupo. Es estos aspectos se considera que la información proporcionada es básicamente cualitativa y poco relevante para el análisis del comportamiento fiscal de la entidad.</w:t>
      </w:r>
    </w:p>
    <w:p w14:paraId="2D6D5776" w14:textId="77777777" w:rsidR="00C86459" w:rsidRPr="00BD1825" w:rsidRDefault="00C86459" w:rsidP="00C86459">
      <w:pPr>
        <w:pStyle w:val="NormalWeb"/>
        <w:shd w:val="clear" w:color="auto" w:fill="FFFFFF"/>
        <w:spacing w:before="120" w:after="240"/>
        <w:ind w:right="-1"/>
        <w:jc w:val="both"/>
      </w:pPr>
      <w:r>
        <w:rPr>
          <w:rFonts w:ascii="Open Sans" w:hAnsi="Open Sans" w:cs="Open Sans"/>
          <w:sz w:val="20"/>
          <w:szCs w:val="20"/>
        </w:rPr>
        <w:t xml:space="preserve">Los informes consultados: TTC, BBVA en 2015, CCAA Consolidadas, Estrategia Fiscal y Política de RSC están accesibles desde la web corporativa; utilizan un lenguaje comprensible, entendible y son comparables con ejercicios anteriores, a excepción del lenguaje puramente contable que requiere conocimientos previos sobre la materia no sólo a nivel contable sino también a nivel fiscal. </w:t>
      </w:r>
    </w:p>
    <w:p w14:paraId="7771BEF0" w14:textId="77777777" w:rsidR="00A64F90" w:rsidRDefault="00A64F90" w:rsidP="00A64F90">
      <w:pPr>
        <w:jc w:val="both"/>
        <w:rPr>
          <w:rFonts w:ascii="Open Sans" w:hAnsi="Open Sans" w:cs="Open Sans"/>
          <w:sz w:val="20"/>
          <w:szCs w:val="20"/>
        </w:rPr>
      </w:pPr>
    </w:p>
    <w:p w14:paraId="61B70003" w14:textId="4761AD3E" w:rsidR="00A64F90" w:rsidRDefault="00A64F90">
      <w:pPr>
        <w:rPr>
          <w:rFonts w:ascii="Open Sans" w:hAnsi="Open Sans" w:cs="Open Sans"/>
          <w:sz w:val="20"/>
          <w:szCs w:val="20"/>
        </w:rPr>
      </w:pPr>
      <w:r>
        <w:rPr>
          <w:rFonts w:ascii="Open Sans" w:hAnsi="Open Sans" w:cs="Open Sans"/>
          <w:sz w:val="20"/>
          <w:szCs w:val="20"/>
        </w:rPr>
        <w:br w:type="page"/>
      </w:r>
    </w:p>
    <w:p w14:paraId="23104AE3" w14:textId="77777777" w:rsidR="00FC3073" w:rsidRPr="004C253A" w:rsidRDefault="00FC3073" w:rsidP="00FC3073">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aps/>
          <w:color w:val="FFFFFF"/>
        </w:rPr>
      </w:pPr>
      <w:bookmarkStart w:id="94" w:name="Popular"/>
      <w:r w:rsidRPr="004C253A">
        <w:rPr>
          <w:rFonts w:ascii="Open Sans" w:hAnsi="Open Sans" w:cs="Open Sans"/>
          <w:b/>
          <w:caps/>
          <w:color w:val="FFFFFF"/>
        </w:rPr>
        <w:t>Banco popular español s.a.</w:t>
      </w:r>
    </w:p>
    <w:bookmarkEnd w:id="94"/>
    <w:p w14:paraId="4315AB40" w14:textId="77777777" w:rsidR="00FC3073" w:rsidRPr="004C253A" w:rsidRDefault="00FC3073" w:rsidP="00FC3073">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sz w:val="20"/>
          <w:szCs w:val="20"/>
        </w:rPr>
      </w:pPr>
      <w:r w:rsidRPr="004C253A">
        <w:rPr>
          <w:rFonts w:ascii="Open Sans" w:hAnsi="Open Sans" w:cs="Open Sans"/>
          <w:b/>
          <w:i/>
          <w:color w:val="FFFFFF"/>
        </w:rPr>
        <w:t>(Banco Popular)</w:t>
      </w:r>
    </w:p>
    <w:p w14:paraId="31578659" w14:textId="77777777" w:rsidR="00FC3073" w:rsidRPr="00FC3073" w:rsidRDefault="00FC3073" w:rsidP="00FC3073">
      <w:pPr>
        <w:rPr>
          <w:rFonts w:ascii="Open Sans" w:hAnsi="Open Sans" w:cs="Arial"/>
          <w:b/>
          <w:sz w:val="22"/>
          <w:szCs w:val="22"/>
          <w:u w:val="single"/>
        </w:rPr>
      </w:pPr>
    </w:p>
    <w:p w14:paraId="5EB17215" w14:textId="77777777" w:rsidR="00FC3073" w:rsidRDefault="00FC3073" w:rsidP="00FC3073">
      <w:pPr>
        <w:jc w:val="both"/>
        <w:rPr>
          <w:rFonts w:ascii="Open Sans" w:eastAsia="Calibri" w:hAnsi="Open Sans" w:cs="Open Sans"/>
          <w:sz w:val="20"/>
          <w:szCs w:val="20"/>
        </w:rPr>
      </w:pPr>
    </w:p>
    <w:p w14:paraId="42E88545" w14:textId="77777777" w:rsidR="00C86459" w:rsidRPr="00C86459" w:rsidRDefault="00C86459" w:rsidP="00C86459">
      <w:pPr>
        <w:rPr>
          <w:rFonts w:ascii="Open Sans" w:hAnsi="Open Sans" w:cs="Arial"/>
          <w:b/>
          <w:sz w:val="22"/>
          <w:szCs w:val="22"/>
          <w:u w:val="single"/>
        </w:rPr>
      </w:pPr>
      <w:r w:rsidRPr="00C86459">
        <w:rPr>
          <w:rFonts w:ascii="Open Sans" w:hAnsi="Open Sans" w:cs="Arial"/>
          <w:b/>
          <w:sz w:val="22"/>
          <w:szCs w:val="22"/>
          <w:u w:val="single"/>
        </w:rPr>
        <w:t>1. Datos generales de la entidad</w:t>
      </w:r>
    </w:p>
    <w:p w14:paraId="6D4D7970" w14:textId="77777777" w:rsidR="00C86459" w:rsidRPr="004C253A" w:rsidRDefault="00C86459" w:rsidP="00C86459">
      <w:pPr>
        <w:jc w:val="both"/>
        <w:rPr>
          <w:rFonts w:ascii="Open Sans" w:hAnsi="Open Sans" w:cs="Open Sans"/>
          <w:sz w:val="20"/>
          <w:szCs w:val="20"/>
          <w:u w:val="single"/>
        </w:rPr>
      </w:pPr>
    </w:p>
    <w:p w14:paraId="5038A191"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u w:val="single"/>
        </w:rPr>
        <w:t>Productos/servicios</w:t>
      </w:r>
    </w:p>
    <w:p w14:paraId="279B1676" w14:textId="77777777" w:rsidR="00C86459" w:rsidRPr="004C253A" w:rsidRDefault="00C86459" w:rsidP="00C86459">
      <w:pPr>
        <w:jc w:val="both"/>
        <w:rPr>
          <w:rFonts w:ascii="Open Sans" w:hAnsi="Open Sans" w:cs="Open Sans"/>
          <w:sz w:val="20"/>
          <w:szCs w:val="20"/>
        </w:rPr>
      </w:pPr>
    </w:p>
    <w:p w14:paraId="03B97E18"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xml:space="preserve">El Grupo Banco Popular ofrece a sus clientes servicios financieros. Está formado por un banco matriz (Banco Popular Español), seis bancos, de los cuales cuatro operan en España (Banco Pastor, Popular Banca Privada, Targobank y bancopopular-e, estos dos últimos participados al 48,98% y 49% respectivamente), uno en Portugal (Banco Popular Portugal), uno en Estados Unidos (Totalbank) y un grupo financiero en México (Ve por Más, en adelante también denominado Bx+) participado al 25%. </w:t>
      </w:r>
    </w:p>
    <w:p w14:paraId="7E270E4B" w14:textId="77777777" w:rsidR="00C86459" w:rsidRPr="004C253A" w:rsidRDefault="00C86459" w:rsidP="00C86459">
      <w:pPr>
        <w:jc w:val="both"/>
        <w:rPr>
          <w:rFonts w:ascii="Open Sans" w:hAnsi="Open Sans" w:cs="Open Sans"/>
          <w:sz w:val="20"/>
          <w:szCs w:val="20"/>
        </w:rPr>
      </w:pPr>
    </w:p>
    <w:p w14:paraId="3B5C6090"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Además, el Grupo cuenta con vehículos de titulización, sociedades inmobiliarias y dos compañías de seguros (Pastor Vida y Eurovida Portugal). Asimismo, dispone de otras sociedades filiales y mantiene participaciones en otras entidades que complementan el negocio bancario.</w:t>
      </w:r>
    </w:p>
    <w:p w14:paraId="61F13DF7" w14:textId="77777777" w:rsidR="00C86459" w:rsidRPr="004C253A" w:rsidRDefault="00C86459" w:rsidP="00C86459">
      <w:pPr>
        <w:jc w:val="both"/>
        <w:rPr>
          <w:rFonts w:ascii="Open Sans" w:hAnsi="Open Sans" w:cs="Open Sans"/>
          <w:sz w:val="20"/>
          <w:szCs w:val="20"/>
        </w:rPr>
      </w:pPr>
    </w:p>
    <w:p w14:paraId="7EE31BC5" w14:textId="77777777" w:rsidR="00C86459" w:rsidRDefault="00C86459" w:rsidP="00C86459">
      <w:pPr>
        <w:jc w:val="both"/>
        <w:rPr>
          <w:rFonts w:ascii="Open Sans" w:hAnsi="Open Sans" w:cs="Open Sans"/>
          <w:sz w:val="20"/>
          <w:szCs w:val="20"/>
        </w:rPr>
      </w:pPr>
      <w:r w:rsidRPr="004C253A">
        <w:rPr>
          <w:rFonts w:ascii="Open Sans" w:hAnsi="Open Sans" w:cs="Open Sans"/>
          <w:sz w:val="20"/>
          <w:szCs w:val="20"/>
        </w:rPr>
        <w:t>OTRAS ENTIDADES FINANCIERAS</w:t>
      </w:r>
    </w:p>
    <w:p w14:paraId="69AD5C1C" w14:textId="77777777" w:rsidR="00C86459" w:rsidRPr="004C253A" w:rsidRDefault="00C86459" w:rsidP="00C86459">
      <w:pPr>
        <w:jc w:val="both"/>
        <w:rPr>
          <w:rFonts w:ascii="Open Sans" w:hAnsi="Open Sans" w:cs="Open Sans"/>
          <w:sz w:val="20"/>
          <w:szCs w:val="20"/>
        </w:rPr>
      </w:pPr>
    </w:p>
    <w:p w14:paraId="3AB38EA4" w14:textId="77777777" w:rsidR="00C86459" w:rsidRPr="004C253A" w:rsidRDefault="00C86459" w:rsidP="000B70C9">
      <w:pPr>
        <w:numPr>
          <w:ilvl w:val="0"/>
          <w:numId w:val="89"/>
        </w:numPr>
        <w:jc w:val="both"/>
        <w:rPr>
          <w:rFonts w:ascii="Open Sans" w:hAnsi="Open Sans" w:cs="Open Sans"/>
          <w:sz w:val="20"/>
          <w:szCs w:val="20"/>
        </w:rPr>
      </w:pPr>
      <w:r w:rsidRPr="004C253A">
        <w:rPr>
          <w:rFonts w:ascii="Open Sans" w:hAnsi="Open Sans" w:cs="Open Sans"/>
          <w:sz w:val="20"/>
          <w:szCs w:val="20"/>
        </w:rPr>
        <w:t>Popular de Factoring</w:t>
      </w:r>
    </w:p>
    <w:p w14:paraId="1573F5B5" w14:textId="77777777" w:rsidR="00C86459" w:rsidRPr="004C253A" w:rsidRDefault="00C86459" w:rsidP="000B70C9">
      <w:pPr>
        <w:numPr>
          <w:ilvl w:val="0"/>
          <w:numId w:val="89"/>
        </w:numPr>
        <w:jc w:val="both"/>
        <w:rPr>
          <w:rFonts w:ascii="Open Sans" w:hAnsi="Open Sans" w:cs="Open Sans"/>
          <w:sz w:val="20"/>
          <w:szCs w:val="20"/>
        </w:rPr>
      </w:pPr>
      <w:r w:rsidRPr="004C253A">
        <w:rPr>
          <w:rFonts w:ascii="Open Sans" w:hAnsi="Open Sans" w:cs="Open Sans"/>
          <w:sz w:val="20"/>
          <w:szCs w:val="20"/>
        </w:rPr>
        <w:t>Popular Factoring (Portugal)</w:t>
      </w:r>
    </w:p>
    <w:p w14:paraId="1CA5E936" w14:textId="77777777" w:rsidR="00C86459" w:rsidRPr="004C253A" w:rsidRDefault="00C86459" w:rsidP="000B70C9">
      <w:pPr>
        <w:numPr>
          <w:ilvl w:val="0"/>
          <w:numId w:val="89"/>
        </w:numPr>
        <w:jc w:val="both"/>
        <w:rPr>
          <w:rFonts w:ascii="Open Sans" w:hAnsi="Open Sans" w:cs="Open Sans"/>
          <w:sz w:val="20"/>
          <w:szCs w:val="20"/>
        </w:rPr>
      </w:pPr>
      <w:r w:rsidRPr="004C253A">
        <w:rPr>
          <w:rFonts w:ascii="Open Sans" w:hAnsi="Open Sans" w:cs="Open Sans"/>
          <w:sz w:val="20"/>
          <w:szCs w:val="20"/>
        </w:rPr>
        <w:t>Popular Gestión Privada</w:t>
      </w:r>
    </w:p>
    <w:p w14:paraId="23F088E5" w14:textId="77777777" w:rsidR="00C86459" w:rsidRPr="004C253A" w:rsidRDefault="00C86459" w:rsidP="000B70C9">
      <w:pPr>
        <w:numPr>
          <w:ilvl w:val="0"/>
          <w:numId w:val="89"/>
        </w:numPr>
        <w:jc w:val="both"/>
        <w:rPr>
          <w:rFonts w:ascii="Open Sans" w:hAnsi="Open Sans" w:cs="Open Sans"/>
          <w:sz w:val="20"/>
          <w:szCs w:val="20"/>
        </w:rPr>
      </w:pPr>
      <w:r w:rsidRPr="004C253A">
        <w:rPr>
          <w:rFonts w:ascii="Open Sans" w:hAnsi="Open Sans" w:cs="Open Sans"/>
          <w:sz w:val="20"/>
          <w:szCs w:val="20"/>
        </w:rPr>
        <w:t>Popular Bolsa S.V.</w:t>
      </w:r>
    </w:p>
    <w:p w14:paraId="5DC08F95" w14:textId="77777777" w:rsidR="00C86459" w:rsidRPr="004C253A" w:rsidRDefault="00C86459" w:rsidP="000B70C9">
      <w:pPr>
        <w:numPr>
          <w:ilvl w:val="0"/>
          <w:numId w:val="89"/>
        </w:numPr>
        <w:jc w:val="both"/>
        <w:rPr>
          <w:rFonts w:ascii="Open Sans" w:hAnsi="Open Sans" w:cs="Open Sans"/>
          <w:sz w:val="20"/>
          <w:szCs w:val="20"/>
        </w:rPr>
      </w:pPr>
      <w:r w:rsidRPr="004C253A">
        <w:rPr>
          <w:rFonts w:ascii="Open Sans" w:hAnsi="Open Sans" w:cs="Open Sans"/>
          <w:sz w:val="20"/>
          <w:szCs w:val="20"/>
        </w:rPr>
        <w:t>Pastor Servicios Financieros</w:t>
      </w:r>
    </w:p>
    <w:p w14:paraId="3F513187" w14:textId="77777777" w:rsidR="00C86459" w:rsidRPr="004C253A" w:rsidRDefault="00C86459" w:rsidP="00C86459">
      <w:pPr>
        <w:jc w:val="both"/>
        <w:rPr>
          <w:rFonts w:ascii="Open Sans" w:hAnsi="Open Sans" w:cs="Open Sans"/>
          <w:sz w:val="20"/>
          <w:szCs w:val="20"/>
        </w:rPr>
      </w:pPr>
    </w:p>
    <w:p w14:paraId="28E5DF30"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A sus clientes ofrece los siguientes productos/servicios:</w:t>
      </w:r>
    </w:p>
    <w:p w14:paraId="15AFF16F" w14:textId="77777777" w:rsidR="00C86459" w:rsidRPr="004C253A" w:rsidRDefault="00C86459" w:rsidP="00C86459">
      <w:pPr>
        <w:jc w:val="both"/>
        <w:rPr>
          <w:rFonts w:ascii="Open Sans" w:hAnsi="Open Sans" w:cs="Open Sans"/>
          <w:sz w:val="20"/>
          <w:szCs w:val="20"/>
        </w:rPr>
      </w:pPr>
    </w:p>
    <w:p w14:paraId="19CDDD42"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Banca comercial: actividad centrada en la prestación de servicios financieros a empresas y familias.</w:t>
      </w:r>
    </w:p>
    <w:p w14:paraId="09ADEDB8" w14:textId="77777777" w:rsidR="00C86459" w:rsidRPr="004C253A" w:rsidRDefault="00C86459" w:rsidP="00C86459">
      <w:pPr>
        <w:jc w:val="both"/>
        <w:rPr>
          <w:rFonts w:ascii="Open Sans" w:hAnsi="Open Sans" w:cs="Open Sans"/>
          <w:sz w:val="20"/>
          <w:szCs w:val="20"/>
        </w:rPr>
      </w:pPr>
    </w:p>
    <w:p w14:paraId="70855CEB"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Gestión de activos y seguros: Por un lado, comprende la actividad de gestión de activos, así como la administración de instituciones de inversión colectiva -gestión de fondos de inversión y de carteras de fondos de pensiones-. Por otro lado, engloba la actividad realizada en materia de seguros de vida y seguros generales por las entidades portuguesas Popular de Seguros, S.A. y Eurovida, S.A, así como la actividad de seguros en España que se realiza a través de Allianz Popular, S.L. en la que el Grupo participa en un 40%.</w:t>
      </w:r>
    </w:p>
    <w:p w14:paraId="474AA299" w14:textId="77777777" w:rsidR="00C86459" w:rsidRPr="004C253A" w:rsidRDefault="00C86459" w:rsidP="00C86459">
      <w:pPr>
        <w:jc w:val="both"/>
        <w:rPr>
          <w:rFonts w:ascii="Open Sans" w:hAnsi="Open Sans" w:cs="Open Sans"/>
          <w:sz w:val="20"/>
          <w:szCs w:val="20"/>
        </w:rPr>
      </w:pPr>
    </w:p>
    <w:p w14:paraId="154CB1E9"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Actividad inmobiliaria: la actividad inmobiliaria es desarrollada por sociedades inmobiliarias del Grupo y llevaba a cabo por las entidades financieras del Grupo, que se gestiona de forma integrada para favorecer una gestión adecuada de los activos inmobiliarios.</w:t>
      </w:r>
    </w:p>
    <w:p w14:paraId="3A51E175" w14:textId="77777777" w:rsidR="00C86459" w:rsidRPr="004C253A" w:rsidRDefault="00C86459" w:rsidP="00C86459">
      <w:pPr>
        <w:jc w:val="both"/>
        <w:rPr>
          <w:rFonts w:ascii="Open Sans" w:hAnsi="Open Sans" w:cs="Open Sans"/>
          <w:sz w:val="20"/>
          <w:szCs w:val="20"/>
        </w:rPr>
      </w:pPr>
    </w:p>
    <w:p w14:paraId="7243069D"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Actividad institucional y de mercado, que incluye: operaciones activas y pasivas con entidades de crédito, las carteras de las entidades bancarias de negociación, los activos financieros disponibles para la venta, los derivados de cobertura de activo y pasivo, la cartera de inversión a vencimiento y participaciones, los saldos de activos y pasivos derivados de pensiones, así como la captación de recursos en mercados mayoristas por emisiones.</w:t>
      </w:r>
    </w:p>
    <w:p w14:paraId="1061AF52" w14:textId="77777777" w:rsidR="00C86459" w:rsidRPr="004C253A" w:rsidRDefault="00C86459" w:rsidP="00C86459">
      <w:pPr>
        <w:jc w:val="both"/>
        <w:rPr>
          <w:rFonts w:ascii="Open Sans" w:hAnsi="Open Sans" w:cs="Open Sans"/>
          <w:sz w:val="20"/>
          <w:szCs w:val="20"/>
        </w:rPr>
      </w:pPr>
    </w:p>
    <w:p w14:paraId="0E8FA10D" w14:textId="77777777" w:rsidR="00C86459" w:rsidRPr="004C253A" w:rsidRDefault="00C86459" w:rsidP="00C86459">
      <w:pPr>
        <w:jc w:val="both"/>
        <w:rPr>
          <w:rFonts w:ascii="Open Sans" w:hAnsi="Open Sans" w:cs="Open Sans"/>
          <w:sz w:val="20"/>
          <w:szCs w:val="20"/>
        </w:rPr>
      </w:pPr>
    </w:p>
    <w:p w14:paraId="37223568"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u w:val="single"/>
        </w:rPr>
        <w:t xml:space="preserve">Alcance geográfico </w:t>
      </w:r>
    </w:p>
    <w:p w14:paraId="3667ADC6" w14:textId="77777777" w:rsidR="00C86459" w:rsidRPr="004C253A" w:rsidRDefault="00C86459" w:rsidP="00C86459">
      <w:pPr>
        <w:jc w:val="both"/>
        <w:rPr>
          <w:rFonts w:ascii="Open Sans" w:hAnsi="Open Sans" w:cs="Open Sans"/>
          <w:sz w:val="20"/>
          <w:szCs w:val="20"/>
        </w:rPr>
      </w:pPr>
    </w:p>
    <w:p w14:paraId="42825A59"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A 31 de diciembre de 2015, El Grupo cuenta con 14 oficinas de representación ubicadas en México, Santo Domingo, Casablanca, Paris, Londres, Ginebra, Varsovia, Roma, Milán, Frankfurt, Estambul Dubái, y Shanghái, además de 3 despachos de colaboración en Santiago de Chile, Múnich y Roma y 188 sucursales repartidos en 16 países y mantiene acuerdos con diferentes entidades financieras con el objetivo de fomentar el comercio exterior.</w:t>
      </w:r>
    </w:p>
    <w:p w14:paraId="1DD0E4DF" w14:textId="77777777" w:rsidR="00C86459" w:rsidRPr="004C253A" w:rsidRDefault="00C86459" w:rsidP="00C86459">
      <w:pPr>
        <w:jc w:val="both"/>
        <w:rPr>
          <w:rFonts w:ascii="Open Sans" w:hAnsi="Open Sans" w:cs="Open Sans"/>
          <w:sz w:val="20"/>
          <w:szCs w:val="20"/>
        </w:rPr>
      </w:pPr>
    </w:p>
    <w:p w14:paraId="71E8FEFF" w14:textId="77777777" w:rsidR="00C86459" w:rsidRPr="004C253A" w:rsidRDefault="00C86459" w:rsidP="00C86459">
      <w:pPr>
        <w:jc w:val="both"/>
        <w:rPr>
          <w:rFonts w:ascii="Open Sans" w:hAnsi="Open Sans" w:cs="Arial"/>
          <w:color w:val="000000"/>
          <w:sz w:val="20"/>
          <w:szCs w:val="20"/>
          <w:lang w:val="es-CL"/>
        </w:rPr>
      </w:pPr>
      <w:r w:rsidRPr="004C253A">
        <w:rPr>
          <w:rFonts w:ascii="Open Sans" w:hAnsi="Open Sans" w:cs="Arial"/>
          <w:color w:val="000000"/>
          <w:sz w:val="20"/>
          <w:szCs w:val="20"/>
          <w:lang w:val="es-CL"/>
        </w:rPr>
        <w:t>El siguiente cuadro recoge su presencia internacional</w:t>
      </w:r>
      <w:r w:rsidRPr="004C253A">
        <w:rPr>
          <w:rStyle w:val="Refdenotaalpie"/>
          <w:rFonts w:ascii="Open Sans" w:hAnsi="Open Sans" w:cs="Arial"/>
          <w:color w:val="000000"/>
          <w:sz w:val="20"/>
          <w:szCs w:val="20"/>
          <w:lang w:val="es-CL"/>
        </w:rPr>
        <w:footnoteReference w:id="498"/>
      </w:r>
      <w:r w:rsidRPr="004C253A">
        <w:rPr>
          <w:rFonts w:ascii="Open Sans" w:hAnsi="Open Sans" w:cs="Arial"/>
          <w:color w:val="000000"/>
          <w:sz w:val="20"/>
          <w:szCs w:val="20"/>
          <w:lang w:val="es-CL"/>
        </w:rPr>
        <w:t>:</w:t>
      </w:r>
    </w:p>
    <w:p w14:paraId="128B817D" w14:textId="77777777" w:rsidR="00C86459" w:rsidRPr="004C253A" w:rsidRDefault="00C86459" w:rsidP="00C86459">
      <w:pPr>
        <w:jc w:val="both"/>
        <w:rPr>
          <w:rFonts w:ascii="Open Sans" w:hAnsi="Open Sans" w:cs="Open Sans"/>
          <w:sz w:val="20"/>
          <w:szCs w:val="20"/>
        </w:rPr>
      </w:pPr>
    </w:p>
    <w:tbl>
      <w:tblPr>
        <w:tblW w:w="8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467"/>
        <w:gridCol w:w="2361"/>
        <w:gridCol w:w="4731"/>
      </w:tblGrid>
      <w:tr w:rsidR="00C86459" w:rsidRPr="004C253A" w14:paraId="30103462"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0CF34DD6" w14:textId="77777777" w:rsidR="00C86459" w:rsidRPr="004C253A" w:rsidRDefault="00C86459" w:rsidP="00C86459">
            <w:pPr>
              <w:tabs>
                <w:tab w:val="left" w:pos="426"/>
              </w:tabs>
              <w:autoSpaceDE w:val="0"/>
              <w:autoSpaceDN w:val="0"/>
              <w:adjustRightInd w:val="0"/>
              <w:jc w:val="center"/>
              <w:rPr>
                <w:rFonts w:ascii="Open Sans" w:hAnsi="Open Sans" w:cs="Arial"/>
                <w:b/>
                <w:bCs/>
                <w:color w:val="FFFFFF"/>
                <w:sz w:val="20"/>
                <w:szCs w:val="20"/>
              </w:rPr>
            </w:pPr>
            <w:r w:rsidRPr="004C253A">
              <w:rPr>
                <w:rFonts w:ascii="Open Sans" w:hAnsi="Open Sans" w:cs="Arial"/>
                <w:b/>
                <w:bCs/>
                <w:color w:val="FFFFFF"/>
                <w:sz w:val="20"/>
                <w:szCs w:val="20"/>
              </w:rPr>
              <w:t>País</w:t>
            </w:r>
          </w:p>
        </w:tc>
        <w:tc>
          <w:tcPr>
            <w:tcW w:w="2361"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CFDD1C6" w14:textId="77777777" w:rsidR="00C86459" w:rsidRPr="004C253A" w:rsidRDefault="00C86459" w:rsidP="00C86459">
            <w:pPr>
              <w:tabs>
                <w:tab w:val="left" w:pos="426"/>
              </w:tabs>
              <w:autoSpaceDE w:val="0"/>
              <w:autoSpaceDN w:val="0"/>
              <w:adjustRightInd w:val="0"/>
              <w:jc w:val="center"/>
              <w:rPr>
                <w:rFonts w:ascii="Open Sans" w:hAnsi="Open Sans" w:cs="Arial"/>
                <w:b/>
                <w:bCs/>
                <w:color w:val="FFFFFF"/>
                <w:sz w:val="20"/>
                <w:szCs w:val="20"/>
              </w:rPr>
            </w:pPr>
            <w:r w:rsidRPr="004C253A">
              <w:rPr>
                <w:rFonts w:ascii="Open Sans" w:hAnsi="Open Sans" w:cs="Arial"/>
                <w:b/>
                <w:bCs/>
                <w:color w:val="FFFFFF"/>
                <w:sz w:val="20"/>
                <w:szCs w:val="20"/>
              </w:rPr>
              <w:t>Empresa</w:t>
            </w:r>
          </w:p>
        </w:tc>
        <w:tc>
          <w:tcPr>
            <w:tcW w:w="4731" w:type="dxa"/>
            <w:tcBorders>
              <w:top w:val="single" w:sz="4" w:space="0" w:color="auto"/>
              <w:left w:val="single" w:sz="4" w:space="0" w:color="auto"/>
              <w:bottom w:val="single" w:sz="4" w:space="0" w:color="auto"/>
              <w:right w:val="single" w:sz="4" w:space="0" w:color="auto"/>
            </w:tcBorders>
            <w:shd w:val="clear" w:color="auto" w:fill="1F497D"/>
            <w:vAlign w:val="center"/>
            <w:hideMark/>
          </w:tcPr>
          <w:p w14:paraId="60657A43" w14:textId="77777777" w:rsidR="00C86459" w:rsidRPr="004C253A" w:rsidRDefault="00C86459" w:rsidP="00C86459">
            <w:pPr>
              <w:tabs>
                <w:tab w:val="left" w:pos="426"/>
              </w:tabs>
              <w:autoSpaceDE w:val="0"/>
              <w:autoSpaceDN w:val="0"/>
              <w:adjustRightInd w:val="0"/>
              <w:jc w:val="center"/>
              <w:rPr>
                <w:rFonts w:ascii="Open Sans" w:hAnsi="Open Sans" w:cs="Arial"/>
                <w:b/>
                <w:bCs/>
                <w:color w:val="FFFFFF"/>
                <w:sz w:val="20"/>
                <w:szCs w:val="20"/>
              </w:rPr>
            </w:pPr>
            <w:r w:rsidRPr="004C253A">
              <w:rPr>
                <w:rFonts w:ascii="Open Sans" w:hAnsi="Open Sans" w:cs="Arial"/>
                <w:b/>
                <w:bCs/>
                <w:color w:val="FFFFFF"/>
                <w:sz w:val="20"/>
                <w:szCs w:val="20"/>
              </w:rPr>
              <w:t>Presencia</w:t>
            </w:r>
          </w:p>
        </w:tc>
      </w:tr>
      <w:tr w:rsidR="00C86459" w:rsidRPr="004C253A" w14:paraId="710BBB44"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8B6577C"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Alemania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06471F9E"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UniCredit Bank AG </w:t>
            </w:r>
          </w:p>
        </w:tc>
        <w:tc>
          <w:tcPr>
            <w:tcW w:w="4731" w:type="dxa"/>
            <w:tcBorders>
              <w:top w:val="single" w:sz="4" w:space="0" w:color="auto"/>
              <w:left w:val="single" w:sz="4" w:space="0" w:color="auto"/>
              <w:bottom w:val="single" w:sz="4" w:space="0" w:color="auto"/>
              <w:right w:val="single" w:sz="4" w:space="0" w:color="auto"/>
            </w:tcBorders>
            <w:vAlign w:val="center"/>
            <w:hideMark/>
          </w:tcPr>
          <w:p w14:paraId="7194B5B4"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 Múnich</w:t>
            </w:r>
          </w:p>
        </w:tc>
      </w:tr>
      <w:tr w:rsidR="00C86459" w:rsidRPr="004C253A" w14:paraId="2BE8C901"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6A1C09B9"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Alemania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50ADFF4F"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E285244"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de Frankfurt</w:t>
            </w:r>
          </w:p>
        </w:tc>
      </w:tr>
      <w:tr w:rsidR="00C86459" w:rsidRPr="004C253A" w14:paraId="090C325B"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C73FE16"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Austria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28E759DA"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4E6EBB17"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103E7AFB"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33F48E19"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Bosnia-Herzegovina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47FC2209"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2EB27BA7"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583E42BA"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4800A355"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Brasil</w:t>
            </w:r>
          </w:p>
        </w:tc>
        <w:tc>
          <w:tcPr>
            <w:tcW w:w="2361" w:type="dxa"/>
            <w:tcBorders>
              <w:top w:val="single" w:sz="4" w:space="0" w:color="auto"/>
              <w:left w:val="single" w:sz="4" w:space="0" w:color="auto"/>
              <w:bottom w:val="single" w:sz="4" w:space="0" w:color="auto"/>
              <w:right w:val="single" w:sz="4" w:space="0" w:color="auto"/>
            </w:tcBorders>
            <w:vAlign w:val="center"/>
            <w:hideMark/>
          </w:tcPr>
          <w:p w14:paraId="5B86DDE7"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5FFBC194"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Rio de Janeiro y Sao Paulo</w:t>
            </w:r>
          </w:p>
        </w:tc>
      </w:tr>
      <w:tr w:rsidR="00C86459" w:rsidRPr="004C253A" w14:paraId="7D3CC093"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6792ABFD"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Bulgaria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00DD01A0"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993FC24"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03A8C58D"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EB4C85B"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Chile</w:t>
            </w:r>
          </w:p>
        </w:tc>
        <w:tc>
          <w:tcPr>
            <w:tcW w:w="2361" w:type="dxa"/>
            <w:tcBorders>
              <w:top w:val="single" w:sz="4" w:space="0" w:color="auto"/>
              <w:left w:val="single" w:sz="4" w:space="0" w:color="auto"/>
              <w:bottom w:val="single" w:sz="4" w:space="0" w:color="auto"/>
              <w:right w:val="single" w:sz="4" w:space="0" w:color="auto"/>
            </w:tcBorders>
            <w:vAlign w:val="center"/>
            <w:hideMark/>
          </w:tcPr>
          <w:p w14:paraId="187715C4"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Banco Crédito Inversiones, BCI.</w:t>
            </w:r>
          </w:p>
        </w:tc>
        <w:tc>
          <w:tcPr>
            <w:tcW w:w="4731" w:type="dxa"/>
            <w:tcBorders>
              <w:top w:val="single" w:sz="4" w:space="0" w:color="auto"/>
              <w:left w:val="single" w:sz="4" w:space="0" w:color="auto"/>
              <w:bottom w:val="single" w:sz="4" w:space="0" w:color="auto"/>
              <w:right w:val="single" w:sz="4" w:space="0" w:color="auto"/>
            </w:tcBorders>
            <w:vAlign w:val="center"/>
            <w:hideMark/>
          </w:tcPr>
          <w:p w14:paraId="2B8AB75A"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Despacho Español –Chile</w:t>
            </w:r>
          </w:p>
        </w:tc>
      </w:tr>
      <w:tr w:rsidR="00C86459" w:rsidRPr="004C253A" w14:paraId="3291C374"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CAF5B21"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China SE-Asiático</w:t>
            </w:r>
          </w:p>
        </w:tc>
        <w:tc>
          <w:tcPr>
            <w:tcW w:w="2361" w:type="dxa"/>
            <w:tcBorders>
              <w:top w:val="single" w:sz="4" w:space="0" w:color="auto"/>
              <w:left w:val="single" w:sz="4" w:space="0" w:color="auto"/>
              <w:bottom w:val="single" w:sz="4" w:space="0" w:color="auto"/>
              <w:right w:val="single" w:sz="4" w:space="0" w:color="auto"/>
            </w:tcBorders>
            <w:vAlign w:val="center"/>
            <w:hideMark/>
          </w:tcPr>
          <w:p w14:paraId="6E4807EE" w14:textId="77777777" w:rsidR="00C86459" w:rsidRPr="004C253A" w:rsidRDefault="00C86459" w:rsidP="00C86459">
            <w:pPr>
              <w:tabs>
                <w:tab w:val="left" w:pos="426"/>
              </w:tabs>
              <w:autoSpaceDE w:val="0"/>
              <w:autoSpaceDN w:val="0"/>
              <w:adjustRightInd w:val="0"/>
              <w:rPr>
                <w:rFonts w:ascii="Open Sans" w:hAnsi="Open Sans" w:cs="Arial"/>
                <w:sz w:val="20"/>
                <w:szCs w:val="20"/>
                <w:lang w:val="en-US"/>
              </w:rPr>
            </w:pPr>
            <w:r w:rsidRPr="004C253A">
              <w:rPr>
                <w:rFonts w:ascii="Open Sans" w:hAnsi="Open Sans" w:cs="Arial"/>
                <w:sz w:val="20"/>
                <w:szCs w:val="20"/>
                <w:lang w:val="en-US"/>
              </w:rPr>
              <w:t>Bank of East Asia (BEA) e Industrial Bank of China (ICBC)</w:t>
            </w:r>
          </w:p>
        </w:tc>
        <w:tc>
          <w:tcPr>
            <w:tcW w:w="4731" w:type="dxa"/>
            <w:tcBorders>
              <w:top w:val="single" w:sz="4" w:space="0" w:color="auto"/>
              <w:left w:val="single" w:sz="4" w:space="0" w:color="auto"/>
              <w:bottom w:val="single" w:sz="4" w:space="0" w:color="auto"/>
              <w:right w:val="single" w:sz="4" w:space="0" w:color="auto"/>
            </w:tcBorders>
            <w:vAlign w:val="center"/>
            <w:hideMark/>
          </w:tcPr>
          <w:p w14:paraId="5C653AE8"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 xml:space="preserve">Oficina de Representación Shanghái </w:t>
            </w:r>
          </w:p>
        </w:tc>
      </w:tr>
      <w:tr w:rsidR="00C86459" w:rsidRPr="004C253A" w14:paraId="309A9E35"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D040592"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Croacia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3E567001"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1513B886"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31AB47C3"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36B43391"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EE.UU.</w:t>
            </w:r>
          </w:p>
        </w:tc>
        <w:tc>
          <w:tcPr>
            <w:tcW w:w="2361" w:type="dxa"/>
            <w:tcBorders>
              <w:top w:val="single" w:sz="4" w:space="0" w:color="auto"/>
              <w:left w:val="single" w:sz="4" w:space="0" w:color="auto"/>
              <w:bottom w:val="single" w:sz="4" w:space="0" w:color="auto"/>
              <w:right w:val="single" w:sz="4" w:space="0" w:color="auto"/>
            </w:tcBorders>
            <w:vAlign w:val="center"/>
            <w:hideMark/>
          </w:tcPr>
          <w:p w14:paraId="3A2B1320"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Totalbank</w:t>
            </w:r>
          </w:p>
        </w:tc>
        <w:tc>
          <w:tcPr>
            <w:tcW w:w="4731" w:type="dxa"/>
            <w:tcBorders>
              <w:top w:val="single" w:sz="4" w:space="0" w:color="auto"/>
              <w:left w:val="single" w:sz="4" w:space="0" w:color="auto"/>
              <w:bottom w:val="single" w:sz="4" w:space="0" w:color="auto"/>
              <w:right w:val="single" w:sz="4" w:space="0" w:color="auto"/>
            </w:tcBorders>
            <w:vAlign w:val="center"/>
            <w:hideMark/>
          </w:tcPr>
          <w:p w14:paraId="2189771D"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Filial</w:t>
            </w:r>
          </w:p>
        </w:tc>
      </w:tr>
      <w:tr w:rsidR="00C86459" w:rsidRPr="004C253A" w14:paraId="02E3E6D7"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2ECCE79"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Emiratos Árabes</w:t>
            </w:r>
          </w:p>
        </w:tc>
        <w:tc>
          <w:tcPr>
            <w:tcW w:w="2361" w:type="dxa"/>
            <w:tcBorders>
              <w:top w:val="single" w:sz="4" w:space="0" w:color="auto"/>
              <w:left w:val="single" w:sz="4" w:space="0" w:color="auto"/>
              <w:bottom w:val="single" w:sz="4" w:space="0" w:color="auto"/>
              <w:right w:val="single" w:sz="4" w:space="0" w:color="auto"/>
            </w:tcBorders>
            <w:vAlign w:val="center"/>
            <w:hideMark/>
          </w:tcPr>
          <w:p w14:paraId="21B9A823"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6A7418AF"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Dubái </w:t>
            </w:r>
          </w:p>
        </w:tc>
      </w:tr>
      <w:tr w:rsidR="00C86459" w:rsidRPr="004C253A" w14:paraId="32CB6796"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C1B83D8"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Eslovaquia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469DE916"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303C5E3"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283BE85F"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4051C254"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 xml:space="preserve">Eslovenia </w:t>
            </w:r>
          </w:p>
        </w:tc>
        <w:tc>
          <w:tcPr>
            <w:tcW w:w="2361" w:type="dxa"/>
            <w:tcBorders>
              <w:top w:val="single" w:sz="4" w:space="0" w:color="auto"/>
              <w:left w:val="single" w:sz="4" w:space="0" w:color="auto"/>
              <w:bottom w:val="single" w:sz="4" w:space="0" w:color="auto"/>
              <w:right w:val="single" w:sz="4" w:space="0" w:color="auto"/>
            </w:tcBorders>
            <w:vAlign w:val="center"/>
            <w:hideMark/>
          </w:tcPr>
          <w:p w14:paraId="1B98EC61"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tcPr>
          <w:p w14:paraId="54B1133D"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5CA31F4D"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D4E5CDB"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Francia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624CF6F4"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DAACDBA"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París</w:t>
            </w:r>
          </w:p>
        </w:tc>
      </w:tr>
      <w:tr w:rsidR="00C86459" w:rsidRPr="004C253A" w14:paraId="2A47EE12"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8F4B8CB"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Hungría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5F622C32"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54465C18"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6CFAAFD3"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2484EADA"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Italia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1A327D85"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UNICREDIT S.p.A.</w:t>
            </w:r>
          </w:p>
        </w:tc>
        <w:tc>
          <w:tcPr>
            <w:tcW w:w="4731" w:type="dxa"/>
            <w:tcBorders>
              <w:top w:val="single" w:sz="4" w:space="0" w:color="auto"/>
              <w:left w:val="single" w:sz="4" w:space="0" w:color="auto"/>
              <w:bottom w:val="single" w:sz="4" w:space="0" w:color="auto"/>
              <w:right w:val="single" w:sz="4" w:space="0" w:color="auto"/>
            </w:tcBorders>
            <w:vAlign w:val="center"/>
            <w:hideMark/>
          </w:tcPr>
          <w:p w14:paraId="1E06265E"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Española en Italia</w:t>
            </w:r>
          </w:p>
        </w:tc>
      </w:tr>
      <w:tr w:rsidR="00C86459" w:rsidRPr="004C253A" w14:paraId="7B219E65"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68381D06"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Letonia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4BBE5442"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5FB34316"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130AA4B0"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53C68F1D"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Lituania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036D2048"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0C7C2E58"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6936A444"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A5CA8B1"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Macedonia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6FC03CFB"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CF0493E"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5382A967"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048AF40"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 xml:space="preserve">Marruecos </w:t>
            </w:r>
          </w:p>
        </w:tc>
        <w:tc>
          <w:tcPr>
            <w:tcW w:w="2361" w:type="dxa"/>
            <w:tcBorders>
              <w:top w:val="single" w:sz="4" w:space="0" w:color="auto"/>
              <w:left w:val="single" w:sz="4" w:space="0" w:color="auto"/>
              <w:bottom w:val="single" w:sz="4" w:space="0" w:color="auto"/>
              <w:right w:val="single" w:sz="4" w:space="0" w:color="auto"/>
            </w:tcBorders>
            <w:vAlign w:val="center"/>
            <w:hideMark/>
          </w:tcPr>
          <w:p w14:paraId="2F780F54"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2BF0E4B4"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Casablanca</w:t>
            </w:r>
          </w:p>
        </w:tc>
      </w:tr>
      <w:tr w:rsidR="00C86459" w:rsidRPr="004C253A" w14:paraId="2C5FF891"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56A9B05B"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México</w:t>
            </w:r>
          </w:p>
        </w:tc>
        <w:tc>
          <w:tcPr>
            <w:tcW w:w="2361" w:type="dxa"/>
            <w:tcBorders>
              <w:top w:val="single" w:sz="4" w:space="0" w:color="auto"/>
              <w:left w:val="single" w:sz="4" w:space="0" w:color="auto"/>
              <w:bottom w:val="single" w:sz="4" w:space="0" w:color="auto"/>
              <w:right w:val="single" w:sz="4" w:space="0" w:color="auto"/>
            </w:tcBorders>
            <w:vAlign w:val="center"/>
            <w:hideMark/>
          </w:tcPr>
          <w:p w14:paraId="46DF6807"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03A6ADA3"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México D.F.</w:t>
            </w:r>
          </w:p>
        </w:tc>
      </w:tr>
      <w:tr w:rsidR="00C86459" w:rsidRPr="004C253A" w14:paraId="3B5E8069"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tcPr>
          <w:p w14:paraId="78CFAEE9"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Montenegro</w:t>
            </w:r>
          </w:p>
        </w:tc>
        <w:tc>
          <w:tcPr>
            <w:tcW w:w="2361" w:type="dxa"/>
            <w:tcBorders>
              <w:top w:val="single" w:sz="4" w:space="0" w:color="auto"/>
              <w:left w:val="single" w:sz="4" w:space="0" w:color="auto"/>
              <w:bottom w:val="single" w:sz="4" w:space="0" w:color="auto"/>
              <w:right w:val="single" w:sz="4" w:space="0" w:color="auto"/>
            </w:tcBorders>
            <w:vAlign w:val="center"/>
          </w:tcPr>
          <w:p w14:paraId="5276117C"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tcPr>
          <w:p w14:paraId="1689B12B"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española para Europa Central y del Este</w:t>
            </w:r>
          </w:p>
        </w:tc>
      </w:tr>
      <w:tr w:rsidR="00C86459" w:rsidRPr="004C253A" w14:paraId="31F83396"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3371020E"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Polonia - Varsovia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1168989F"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74B3D4D0"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Polonia</w:t>
            </w:r>
          </w:p>
        </w:tc>
      </w:tr>
      <w:tr w:rsidR="00C86459" w:rsidRPr="004C253A" w14:paraId="5A4EB1F0"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9DFDD6F"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Portugal</w:t>
            </w:r>
          </w:p>
        </w:tc>
        <w:tc>
          <w:tcPr>
            <w:tcW w:w="2361" w:type="dxa"/>
            <w:tcBorders>
              <w:top w:val="single" w:sz="4" w:space="0" w:color="auto"/>
              <w:left w:val="single" w:sz="4" w:space="0" w:color="auto"/>
              <w:bottom w:val="single" w:sz="4" w:space="0" w:color="auto"/>
              <w:right w:val="single" w:sz="4" w:space="0" w:color="auto"/>
            </w:tcBorders>
            <w:vAlign w:val="center"/>
            <w:hideMark/>
          </w:tcPr>
          <w:p w14:paraId="3C3E99EE"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 Portugal</w:t>
            </w:r>
          </w:p>
        </w:tc>
        <w:tc>
          <w:tcPr>
            <w:tcW w:w="4731" w:type="dxa"/>
            <w:tcBorders>
              <w:top w:val="single" w:sz="4" w:space="0" w:color="auto"/>
              <w:left w:val="single" w:sz="4" w:space="0" w:color="auto"/>
              <w:bottom w:val="single" w:sz="4" w:space="0" w:color="auto"/>
              <w:right w:val="single" w:sz="4" w:space="0" w:color="auto"/>
            </w:tcBorders>
            <w:vAlign w:val="center"/>
            <w:hideMark/>
          </w:tcPr>
          <w:p w14:paraId="48A4188D"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Filial</w:t>
            </w:r>
          </w:p>
        </w:tc>
      </w:tr>
      <w:tr w:rsidR="00C86459" w:rsidRPr="004C253A" w14:paraId="0B33503B"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80D206D"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Reino Unido</w:t>
            </w:r>
          </w:p>
        </w:tc>
        <w:tc>
          <w:tcPr>
            <w:tcW w:w="2361" w:type="dxa"/>
            <w:tcBorders>
              <w:top w:val="single" w:sz="4" w:space="0" w:color="auto"/>
              <w:left w:val="single" w:sz="4" w:space="0" w:color="auto"/>
              <w:bottom w:val="single" w:sz="4" w:space="0" w:color="auto"/>
              <w:right w:val="single" w:sz="4" w:space="0" w:color="auto"/>
            </w:tcBorders>
            <w:vAlign w:val="center"/>
            <w:hideMark/>
          </w:tcPr>
          <w:p w14:paraId="4AA1C013"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A5287DF"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Londres</w:t>
            </w:r>
          </w:p>
        </w:tc>
      </w:tr>
      <w:tr w:rsidR="00C86459" w:rsidRPr="004C253A" w14:paraId="63BD6A85"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4A998F38"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República Checa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0018427F"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3DBBABDF"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3F8B6E6B"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4AC55FE"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República Dominicana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126BDDC6"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4F27A901"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Santo Domingo</w:t>
            </w:r>
          </w:p>
        </w:tc>
      </w:tr>
      <w:tr w:rsidR="00C86459" w:rsidRPr="004C253A" w14:paraId="66A15489"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6317DDA7"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Rumania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259F4741"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6A7D5E8E"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31CFB343"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5634FBA3"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Rusia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49A67D52"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13229C37"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3D22BE98"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081CDD8C"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 xml:space="preserve">Serbia </w:t>
            </w:r>
          </w:p>
        </w:tc>
        <w:tc>
          <w:tcPr>
            <w:tcW w:w="2361" w:type="dxa"/>
            <w:tcBorders>
              <w:top w:val="single" w:sz="4" w:space="0" w:color="auto"/>
              <w:left w:val="single" w:sz="4" w:space="0" w:color="auto"/>
              <w:bottom w:val="single" w:sz="4" w:space="0" w:color="auto"/>
              <w:right w:val="single" w:sz="4" w:space="0" w:color="auto"/>
            </w:tcBorders>
            <w:vAlign w:val="center"/>
            <w:hideMark/>
          </w:tcPr>
          <w:p w14:paraId="566BECEB"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056CE1E5"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r w:rsidR="00C86459" w:rsidRPr="004C253A" w14:paraId="08BDBA2E"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8F6B418"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Suiza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2B67E59F"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4BE0C3A0"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Ginebra</w:t>
            </w:r>
          </w:p>
        </w:tc>
      </w:tr>
      <w:tr w:rsidR="00C86459" w:rsidRPr="004C253A" w14:paraId="56E10B41"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719C1D25"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Turquía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0D171B9E"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Banco Popular</w:t>
            </w:r>
          </w:p>
        </w:tc>
        <w:tc>
          <w:tcPr>
            <w:tcW w:w="4731" w:type="dxa"/>
            <w:tcBorders>
              <w:top w:val="single" w:sz="4" w:space="0" w:color="auto"/>
              <w:left w:val="single" w:sz="4" w:space="0" w:color="auto"/>
              <w:bottom w:val="single" w:sz="4" w:space="0" w:color="auto"/>
              <w:right w:val="single" w:sz="4" w:space="0" w:color="auto"/>
            </w:tcBorders>
            <w:vAlign w:val="center"/>
            <w:hideMark/>
          </w:tcPr>
          <w:p w14:paraId="4A8B2396"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Oficina de representación en Turquía, Estambul</w:t>
            </w:r>
          </w:p>
        </w:tc>
      </w:tr>
      <w:tr w:rsidR="00C86459" w:rsidRPr="004C253A" w14:paraId="201CEABA" w14:textId="77777777" w:rsidTr="00C86459">
        <w:trPr>
          <w:jc w:val="center"/>
        </w:trPr>
        <w:tc>
          <w:tcPr>
            <w:tcW w:w="1467" w:type="dxa"/>
            <w:tcBorders>
              <w:top w:val="single" w:sz="4" w:space="0" w:color="auto"/>
              <w:left w:val="single" w:sz="4" w:space="0" w:color="auto"/>
              <w:bottom w:val="single" w:sz="4" w:space="0" w:color="auto"/>
              <w:right w:val="single" w:sz="4" w:space="0" w:color="auto"/>
            </w:tcBorders>
            <w:vAlign w:val="center"/>
            <w:hideMark/>
          </w:tcPr>
          <w:p w14:paraId="1279ADAF" w14:textId="77777777" w:rsidR="00C86459" w:rsidRPr="004C253A" w:rsidRDefault="00C86459" w:rsidP="00C86459">
            <w:pPr>
              <w:tabs>
                <w:tab w:val="left" w:pos="426"/>
              </w:tabs>
              <w:autoSpaceDE w:val="0"/>
              <w:autoSpaceDN w:val="0"/>
              <w:adjustRightInd w:val="0"/>
              <w:rPr>
                <w:rFonts w:ascii="Open Sans" w:hAnsi="Open Sans" w:cs="Arial"/>
                <w:sz w:val="20"/>
                <w:szCs w:val="20"/>
              </w:rPr>
            </w:pPr>
            <w:r w:rsidRPr="004C253A">
              <w:rPr>
                <w:rFonts w:ascii="Open Sans" w:hAnsi="Open Sans" w:cs="Arial"/>
                <w:sz w:val="20"/>
                <w:szCs w:val="20"/>
              </w:rPr>
              <w:t>Ucrania</w:t>
            </w:r>
          </w:p>
        </w:tc>
        <w:tc>
          <w:tcPr>
            <w:tcW w:w="2361" w:type="dxa"/>
            <w:tcBorders>
              <w:top w:val="single" w:sz="4" w:space="0" w:color="auto"/>
              <w:left w:val="single" w:sz="4" w:space="0" w:color="auto"/>
              <w:bottom w:val="single" w:sz="4" w:space="0" w:color="auto"/>
              <w:right w:val="single" w:sz="4" w:space="0" w:color="auto"/>
            </w:tcBorders>
            <w:vAlign w:val="center"/>
            <w:hideMark/>
          </w:tcPr>
          <w:p w14:paraId="6108C9B8"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bCs/>
                <w:sz w:val="20"/>
                <w:szCs w:val="20"/>
              </w:rPr>
              <w:t>en alianza con Unicredit</w:t>
            </w:r>
          </w:p>
        </w:tc>
        <w:tc>
          <w:tcPr>
            <w:tcW w:w="4731" w:type="dxa"/>
            <w:tcBorders>
              <w:top w:val="single" w:sz="4" w:space="0" w:color="auto"/>
              <w:left w:val="single" w:sz="4" w:space="0" w:color="auto"/>
              <w:bottom w:val="single" w:sz="4" w:space="0" w:color="auto"/>
              <w:right w:val="single" w:sz="4" w:space="0" w:color="auto"/>
            </w:tcBorders>
            <w:vAlign w:val="center"/>
            <w:hideMark/>
          </w:tcPr>
          <w:p w14:paraId="292F8C0F" w14:textId="77777777" w:rsidR="00C86459" w:rsidRPr="004C253A" w:rsidRDefault="00C86459" w:rsidP="00C86459">
            <w:pPr>
              <w:tabs>
                <w:tab w:val="left" w:pos="426"/>
              </w:tabs>
              <w:autoSpaceDE w:val="0"/>
              <w:autoSpaceDN w:val="0"/>
              <w:adjustRightInd w:val="0"/>
              <w:rPr>
                <w:rFonts w:ascii="Open Sans" w:hAnsi="Open Sans" w:cs="Arial"/>
                <w:bCs/>
                <w:sz w:val="20"/>
                <w:szCs w:val="20"/>
              </w:rPr>
            </w:pPr>
            <w:r w:rsidRPr="004C253A">
              <w:rPr>
                <w:rFonts w:ascii="Open Sans" w:hAnsi="Open Sans" w:cs="Arial"/>
                <w:sz w:val="20"/>
                <w:szCs w:val="20"/>
              </w:rPr>
              <w:t>Oficina española para Europa Central y del Este</w:t>
            </w:r>
          </w:p>
        </w:tc>
      </w:tr>
    </w:tbl>
    <w:p w14:paraId="10659BCB" w14:textId="77777777" w:rsidR="00C86459" w:rsidRPr="004C253A" w:rsidRDefault="00C86459" w:rsidP="00C86459">
      <w:pPr>
        <w:jc w:val="both"/>
        <w:rPr>
          <w:rFonts w:ascii="Open Sans" w:hAnsi="Open Sans" w:cs="Open Sans"/>
          <w:sz w:val="20"/>
          <w:szCs w:val="20"/>
        </w:rPr>
      </w:pPr>
    </w:p>
    <w:p w14:paraId="25167365" w14:textId="77777777" w:rsidR="00C86459" w:rsidRPr="004C253A" w:rsidRDefault="00C86459" w:rsidP="00C86459">
      <w:pPr>
        <w:jc w:val="both"/>
        <w:rPr>
          <w:rFonts w:ascii="Open Sans" w:hAnsi="Open Sans" w:cs="Open Sans"/>
          <w:sz w:val="20"/>
          <w:szCs w:val="20"/>
        </w:rPr>
      </w:pPr>
    </w:p>
    <w:p w14:paraId="6955A974" w14:textId="77777777" w:rsidR="00C86459" w:rsidRPr="004C253A" w:rsidRDefault="00C86459" w:rsidP="00C86459">
      <w:pPr>
        <w:jc w:val="both"/>
        <w:rPr>
          <w:rFonts w:ascii="Open Sans" w:hAnsi="Open Sans" w:cs="Open Sans"/>
          <w:sz w:val="20"/>
          <w:szCs w:val="20"/>
        </w:rPr>
      </w:pPr>
      <w:r w:rsidRPr="004C253A">
        <w:rPr>
          <w:rFonts w:ascii="Open Sans" w:eastAsia="Calibri" w:hAnsi="Open Sans" w:cs="Open Sans"/>
          <w:color w:val="000000"/>
          <w:sz w:val="20"/>
          <w:szCs w:val="20"/>
        </w:rPr>
        <w:t xml:space="preserve">En el ejercicio del año 2015, la entidad señala que posee 2.124 sucursales </w:t>
      </w:r>
    </w:p>
    <w:p w14:paraId="1652B716" w14:textId="77777777" w:rsidR="00C86459" w:rsidRPr="004C253A" w:rsidRDefault="00C86459" w:rsidP="00C86459">
      <w:pPr>
        <w:jc w:val="both"/>
        <w:rPr>
          <w:rFonts w:ascii="Open Sans" w:hAnsi="Open Sans" w:cs="Open Sans"/>
          <w:sz w:val="20"/>
          <w:szCs w:val="20"/>
        </w:rPr>
      </w:pPr>
    </w:p>
    <w:p w14:paraId="7E4688B3" w14:textId="77777777" w:rsidR="00C86459" w:rsidRPr="004C253A" w:rsidRDefault="00C86459" w:rsidP="000B70C9">
      <w:pPr>
        <w:numPr>
          <w:ilvl w:val="0"/>
          <w:numId w:val="90"/>
        </w:numPr>
        <w:jc w:val="both"/>
        <w:rPr>
          <w:rFonts w:ascii="Open Sans" w:hAnsi="Open Sans" w:cs="Open Sans"/>
          <w:sz w:val="20"/>
          <w:szCs w:val="20"/>
        </w:rPr>
      </w:pPr>
      <w:r w:rsidRPr="004C253A">
        <w:rPr>
          <w:rFonts w:ascii="Open Sans" w:hAnsi="Open Sans" w:cs="Open Sans"/>
          <w:sz w:val="20"/>
          <w:szCs w:val="20"/>
        </w:rPr>
        <w:t>Sucursales en España: 1.936</w:t>
      </w:r>
    </w:p>
    <w:p w14:paraId="72F746B1" w14:textId="77777777" w:rsidR="00C86459" w:rsidRPr="004C253A" w:rsidRDefault="00C86459" w:rsidP="000B70C9">
      <w:pPr>
        <w:numPr>
          <w:ilvl w:val="0"/>
          <w:numId w:val="90"/>
        </w:numPr>
        <w:jc w:val="both"/>
        <w:rPr>
          <w:rFonts w:ascii="Open Sans" w:hAnsi="Open Sans" w:cs="Open Sans"/>
          <w:sz w:val="20"/>
          <w:szCs w:val="20"/>
        </w:rPr>
      </w:pPr>
      <w:r w:rsidRPr="004C253A">
        <w:rPr>
          <w:rFonts w:ascii="Open Sans" w:hAnsi="Open Sans" w:cs="Open Sans"/>
          <w:sz w:val="20"/>
          <w:szCs w:val="20"/>
        </w:rPr>
        <w:t>Sucursales en el extranjero: 188</w:t>
      </w:r>
    </w:p>
    <w:p w14:paraId="135FE452" w14:textId="77777777" w:rsidR="00C86459" w:rsidRPr="004C253A" w:rsidRDefault="00C86459" w:rsidP="000B70C9">
      <w:pPr>
        <w:numPr>
          <w:ilvl w:val="0"/>
          <w:numId w:val="90"/>
        </w:numPr>
        <w:jc w:val="both"/>
        <w:rPr>
          <w:rFonts w:ascii="Open Sans" w:hAnsi="Open Sans" w:cs="Open Sans"/>
          <w:sz w:val="20"/>
          <w:szCs w:val="20"/>
        </w:rPr>
      </w:pPr>
      <w:r w:rsidRPr="004C253A">
        <w:rPr>
          <w:rFonts w:ascii="Open Sans" w:hAnsi="Open Sans" w:cs="Open Sans"/>
          <w:sz w:val="20"/>
          <w:szCs w:val="20"/>
        </w:rPr>
        <w:t>Oficinas de representación: 14</w:t>
      </w:r>
    </w:p>
    <w:p w14:paraId="60C6E68B" w14:textId="77777777" w:rsidR="00C86459" w:rsidRPr="004C253A" w:rsidRDefault="00C86459" w:rsidP="000B70C9">
      <w:pPr>
        <w:numPr>
          <w:ilvl w:val="0"/>
          <w:numId w:val="90"/>
        </w:numPr>
        <w:jc w:val="both"/>
        <w:rPr>
          <w:rFonts w:ascii="Open Sans" w:hAnsi="Open Sans" w:cs="Open Sans"/>
          <w:sz w:val="20"/>
          <w:szCs w:val="20"/>
        </w:rPr>
      </w:pPr>
      <w:r w:rsidRPr="004C253A">
        <w:rPr>
          <w:rFonts w:ascii="Open Sans" w:hAnsi="Open Sans" w:cs="Open Sans"/>
          <w:sz w:val="20"/>
          <w:szCs w:val="20"/>
        </w:rPr>
        <w:t>Despachos de colaboración: 3</w:t>
      </w:r>
    </w:p>
    <w:p w14:paraId="49874AA5" w14:textId="77777777" w:rsidR="00C86459" w:rsidRPr="004C253A" w:rsidRDefault="00C86459" w:rsidP="000B70C9">
      <w:pPr>
        <w:numPr>
          <w:ilvl w:val="0"/>
          <w:numId w:val="90"/>
        </w:numPr>
        <w:jc w:val="both"/>
        <w:rPr>
          <w:rFonts w:ascii="Open Sans" w:hAnsi="Open Sans" w:cs="Open Sans"/>
          <w:sz w:val="20"/>
          <w:szCs w:val="20"/>
        </w:rPr>
      </w:pPr>
      <w:r w:rsidRPr="004C253A">
        <w:rPr>
          <w:rFonts w:ascii="Open Sans" w:hAnsi="Open Sans" w:cs="Open Sans"/>
          <w:sz w:val="20"/>
          <w:szCs w:val="20"/>
        </w:rPr>
        <w:t>Países con presencia del Grupo: 16</w:t>
      </w:r>
    </w:p>
    <w:p w14:paraId="66478836" w14:textId="77777777" w:rsidR="00C86459" w:rsidRPr="004C253A" w:rsidRDefault="00C86459" w:rsidP="00C86459">
      <w:pPr>
        <w:autoSpaceDE w:val="0"/>
        <w:autoSpaceDN w:val="0"/>
        <w:adjustRightInd w:val="0"/>
        <w:rPr>
          <w:rFonts w:ascii="Open Sans" w:eastAsia="Calibri" w:hAnsi="Open Sans" w:cs="Open Sans"/>
          <w:color w:val="000000"/>
          <w:sz w:val="20"/>
          <w:szCs w:val="20"/>
        </w:rPr>
      </w:pPr>
    </w:p>
    <w:p w14:paraId="61416B83" w14:textId="77777777" w:rsidR="00C86459" w:rsidRPr="004C253A" w:rsidRDefault="00C86459" w:rsidP="00C86459">
      <w:pPr>
        <w:jc w:val="both"/>
        <w:rPr>
          <w:rFonts w:ascii="Open Sans" w:eastAsia="Calibri" w:hAnsi="Open Sans" w:cs="Open Sans"/>
          <w:color w:val="000000"/>
          <w:sz w:val="20"/>
          <w:szCs w:val="20"/>
        </w:rPr>
      </w:pPr>
      <w:r w:rsidRPr="004C253A">
        <w:rPr>
          <w:rFonts w:ascii="Open Sans" w:eastAsia="Calibri" w:hAnsi="Open Sans" w:cs="Open Sans"/>
          <w:color w:val="000000"/>
          <w:sz w:val="20"/>
          <w:szCs w:val="20"/>
        </w:rPr>
        <w:t xml:space="preserve">Esta cifra no tiene en cuenta la totalidad de sucursales de Targobank (sociedad en la que participa con un 48,98%) en España (en total, 125) ni tampoco las 21 de bancopopular-e (entidad participada en un 49%). Si consideramos estas cifras, el número de sucursales en España aumenta a 2.082, y el total global a 2.270. </w:t>
      </w:r>
    </w:p>
    <w:p w14:paraId="25C67003" w14:textId="77777777" w:rsidR="00C86459" w:rsidRPr="004C253A" w:rsidRDefault="00C86459" w:rsidP="00C86459">
      <w:pPr>
        <w:autoSpaceDE w:val="0"/>
        <w:autoSpaceDN w:val="0"/>
        <w:adjustRightInd w:val="0"/>
        <w:rPr>
          <w:rFonts w:ascii="Open Sans" w:eastAsia="Calibri" w:hAnsi="Open Sans" w:cs="Open Sans"/>
          <w:color w:val="000000"/>
          <w:sz w:val="20"/>
          <w:szCs w:val="20"/>
        </w:rPr>
      </w:pPr>
    </w:p>
    <w:p w14:paraId="48C3DA63" w14:textId="77777777" w:rsidR="00C86459" w:rsidRPr="004C253A" w:rsidRDefault="00C86459" w:rsidP="00C86459">
      <w:pPr>
        <w:jc w:val="both"/>
        <w:rPr>
          <w:rFonts w:ascii="Open Sans" w:hAnsi="Open Sans" w:cs="Open Sans"/>
          <w:sz w:val="20"/>
          <w:szCs w:val="20"/>
        </w:rPr>
      </w:pPr>
    </w:p>
    <w:p w14:paraId="1C9DE3C1"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Cifras relevantes de la empresa:</w:t>
      </w:r>
    </w:p>
    <w:p w14:paraId="70372A25" w14:textId="77777777" w:rsidR="00C86459" w:rsidRPr="004C253A" w:rsidRDefault="00C86459" w:rsidP="00C86459">
      <w:pPr>
        <w:jc w:val="both"/>
        <w:rPr>
          <w:rFonts w:ascii="Open Sans" w:hAnsi="Open Sans" w:cs="Open Sans"/>
          <w:sz w:val="20"/>
          <w:szCs w:val="20"/>
          <w:u w:val="single"/>
        </w:rPr>
      </w:pPr>
    </w:p>
    <w:p w14:paraId="0F58AEC7"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ha obtenido una facturación en 2015 de 3.175 millones de euros lo que le ha generado unos beneficios antes de impuestos al grupo consolidado de 114.184 millones de euros. Al 31 de diciembre de 2015 el grupo cuenta con un total de 15.079 empleados.</w:t>
      </w:r>
    </w:p>
    <w:p w14:paraId="5835B9F8" w14:textId="77777777" w:rsidR="00C86459" w:rsidRPr="004C253A" w:rsidRDefault="00C86459" w:rsidP="00C86459">
      <w:pPr>
        <w:jc w:val="both"/>
        <w:rPr>
          <w:rFonts w:ascii="Open Sans" w:hAnsi="Open Sans" w:cs="Open Sans"/>
          <w:sz w:val="20"/>
          <w:szCs w:val="20"/>
        </w:rPr>
      </w:pPr>
    </w:p>
    <w:p w14:paraId="202C4958" w14:textId="77777777" w:rsidR="00C86459" w:rsidRPr="004C253A" w:rsidRDefault="00C86459" w:rsidP="00C86459">
      <w:pPr>
        <w:jc w:val="both"/>
        <w:rPr>
          <w:rFonts w:ascii="Open Sans" w:hAnsi="Open Sans" w:cs="Open Sans"/>
          <w:sz w:val="20"/>
          <w:szCs w:val="20"/>
        </w:rPr>
      </w:pPr>
      <w:r w:rsidRPr="004C253A">
        <w:rPr>
          <w:rFonts w:ascii="Open Sans" w:hAnsi="Open Sans" w:cs="Arial"/>
          <w:sz w:val="20"/>
          <w:szCs w:val="20"/>
        </w:rPr>
        <w:t xml:space="preserve">El </w:t>
      </w:r>
      <w:r w:rsidRPr="004C253A">
        <w:rPr>
          <w:rFonts w:ascii="Open Sans" w:hAnsi="Open Sans" w:cs="Open Sans"/>
          <w:sz w:val="20"/>
          <w:szCs w:val="20"/>
        </w:rPr>
        <w:t>Grupo Banco Popular, a fecha de 31 de diciembre de 2015, gestiona activos por valor de 179.431.235 miles de euros, con un valor económico generado de 3.470 millones de euros. Se observa que hay una pequeña variación positiva respecto a la gestión de activos (179.170.945 miles de euros en 2014) mientras que el valor económico desciende (4.322.085 miles de euros en el ejercicio 2014).</w:t>
      </w:r>
    </w:p>
    <w:p w14:paraId="5E067E2C" w14:textId="77777777" w:rsidR="00C86459" w:rsidRPr="004C253A" w:rsidRDefault="00C86459" w:rsidP="00C86459">
      <w:pPr>
        <w:jc w:val="both"/>
        <w:rPr>
          <w:rFonts w:ascii="Open Sans" w:hAnsi="Open Sans" w:cs="Open Sans"/>
          <w:sz w:val="20"/>
          <w:szCs w:val="20"/>
        </w:rPr>
      </w:pPr>
    </w:p>
    <w:p w14:paraId="3A234995" w14:textId="77777777" w:rsidR="00C86459" w:rsidRPr="004C253A" w:rsidRDefault="00C86459" w:rsidP="00C86459">
      <w:pPr>
        <w:jc w:val="both"/>
        <w:rPr>
          <w:rFonts w:ascii="Open Sans" w:hAnsi="Open Sans" w:cs="Arial"/>
          <w:sz w:val="20"/>
          <w:szCs w:val="20"/>
        </w:rPr>
      </w:pPr>
      <w:r w:rsidRPr="004C253A">
        <w:rPr>
          <w:rFonts w:ascii="Open Sans" w:hAnsi="Open Sans" w:cs="Open Sans"/>
          <w:sz w:val="20"/>
          <w:szCs w:val="20"/>
        </w:rPr>
        <w:t>El resultado antes de impuestos fue de 114.184 miles de euros, El resultados antes de provisiones de</w:t>
      </w:r>
      <w:r w:rsidRPr="004C253A">
        <w:rPr>
          <w:rFonts w:ascii="Open Sans" w:hAnsi="Open Sans" w:cs="Arial"/>
          <w:sz w:val="20"/>
          <w:szCs w:val="20"/>
        </w:rPr>
        <w:t xml:space="preserve"> 1.689.471 miles de euros y arroja un Margen bruto de 3.430.911 miles de euros</w:t>
      </w:r>
    </w:p>
    <w:p w14:paraId="76CAACAC" w14:textId="77777777" w:rsidR="00C86459" w:rsidRPr="004C253A" w:rsidRDefault="00C86459" w:rsidP="00C86459">
      <w:pPr>
        <w:jc w:val="both"/>
        <w:rPr>
          <w:rFonts w:ascii="Open Sans" w:hAnsi="Open Sans" w:cs="Arial"/>
          <w:sz w:val="20"/>
          <w:szCs w:val="20"/>
        </w:rPr>
      </w:pPr>
    </w:p>
    <w:p w14:paraId="584F30A1" w14:textId="77777777" w:rsidR="00C86459" w:rsidRPr="004C253A" w:rsidRDefault="00C86459" w:rsidP="00C86459">
      <w:pPr>
        <w:jc w:val="both"/>
        <w:rPr>
          <w:rFonts w:ascii="Open Sans" w:hAnsi="Open Sans" w:cs="Open Sans"/>
          <w:sz w:val="20"/>
          <w:szCs w:val="20"/>
          <w:u w:val="single"/>
        </w:rPr>
      </w:pPr>
    </w:p>
    <w:p w14:paraId="71096AED"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Estándares voluntarios relacionados con fiscalidad responsable</w:t>
      </w:r>
    </w:p>
    <w:p w14:paraId="1157E928" w14:textId="77777777" w:rsidR="00C86459" w:rsidRPr="004C253A" w:rsidRDefault="00C86459" w:rsidP="00C86459">
      <w:pPr>
        <w:jc w:val="both"/>
        <w:rPr>
          <w:rFonts w:ascii="Open Sans" w:hAnsi="Open Sans" w:cs="Open Sans"/>
          <w:sz w:val="20"/>
          <w:szCs w:val="20"/>
          <w:u w:val="single"/>
        </w:rPr>
      </w:pPr>
    </w:p>
    <w:p w14:paraId="74985C19"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informa que se ha adherido voluntariamente a los siguientes estándares relacionados con contenidos y sistemas de gestión de fiscalidad responsable:</w:t>
      </w:r>
    </w:p>
    <w:p w14:paraId="1412309B" w14:textId="77777777" w:rsidR="00C86459" w:rsidRPr="004C253A" w:rsidRDefault="00C86459" w:rsidP="00C86459">
      <w:pPr>
        <w:jc w:val="both"/>
        <w:rPr>
          <w:rFonts w:ascii="Open Sans" w:hAnsi="Open Sans" w:cs="Open Sans"/>
          <w:sz w:val="20"/>
          <w:szCs w:val="20"/>
        </w:rPr>
      </w:pPr>
    </w:p>
    <w:p w14:paraId="18DF7829" w14:textId="77777777" w:rsidR="00C86459" w:rsidRPr="004C253A" w:rsidRDefault="00C86459" w:rsidP="000B70C9">
      <w:pPr>
        <w:numPr>
          <w:ilvl w:val="0"/>
          <w:numId w:val="91"/>
        </w:numPr>
        <w:jc w:val="both"/>
        <w:rPr>
          <w:rFonts w:ascii="Open Sans" w:hAnsi="Open Sans" w:cs="Open Sans"/>
          <w:sz w:val="20"/>
          <w:szCs w:val="20"/>
        </w:rPr>
      </w:pPr>
      <w:r w:rsidRPr="004C253A">
        <w:rPr>
          <w:rFonts w:ascii="Open Sans" w:hAnsi="Open Sans" w:cs="Open Sans"/>
          <w:sz w:val="20"/>
          <w:szCs w:val="20"/>
        </w:rPr>
        <w:t>Código de Buenas Prácticas Tributarias de la Agencia Tributaria.</w:t>
      </w:r>
    </w:p>
    <w:p w14:paraId="50118C2B" w14:textId="77777777" w:rsidR="00C86459" w:rsidRPr="004C253A" w:rsidRDefault="00C86459" w:rsidP="00C86459">
      <w:pPr>
        <w:jc w:val="both"/>
        <w:rPr>
          <w:rFonts w:ascii="Open Sans" w:hAnsi="Open Sans" w:cs="Open Sans"/>
          <w:sz w:val="20"/>
          <w:szCs w:val="20"/>
          <w:u w:val="single"/>
        </w:rPr>
      </w:pPr>
    </w:p>
    <w:p w14:paraId="4C3B2E34" w14:textId="77777777" w:rsidR="00C86459" w:rsidRPr="004C253A" w:rsidRDefault="00C86459" w:rsidP="00C86459">
      <w:pPr>
        <w:jc w:val="both"/>
        <w:rPr>
          <w:rFonts w:ascii="Open Sans" w:hAnsi="Open Sans" w:cs="Open Sans"/>
          <w:sz w:val="20"/>
          <w:szCs w:val="20"/>
          <w:u w:val="single"/>
        </w:rPr>
      </w:pPr>
    </w:p>
    <w:p w14:paraId="15685FE7"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Documentos incluidos en el análisis</w:t>
      </w:r>
    </w:p>
    <w:p w14:paraId="6033E0AE" w14:textId="77777777" w:rsidR="00C86459" w:rsidRPr="004C253A" w:rsidRDefault="00C86459" w:rsidP="00C86459">
      <w:pPr>
        <w:ind w:firstLine="709"/>
        <w:jc w:val="both"/>
        <w:rPr>
          <w:rFonts w:ascii="Open Sans" w:hAnsi="Open Sans" w:cs="Open Sans"/>
          <w:sz w:val="20"/>
          <w:szCs w:val="20"/>
        </w:rPr>
      </w:pPr>
    </w:p>
    <w:p w14:paraId="413F6327"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37CBB73F" w14:textId="77777777" w:rsidR="00C86459" w:rsidRPr="004C253A" w:rsidRDefault="00C86459" w:rsidP="00C86459">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C86459" w:rsidRPr="004C253A" w14:paraId="607A9F2A" w14:textId="77777777" w:rsidTr="00C86459">
        <w:trPr>
          <w:cantSplit/>
          <w:trHeight w:val="327"/>
          <w:tblHeader/>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1D41AAD4" w14:textId="77777777" w:rsidR="00C86459" w:rsidRPr="004C253A" w:rsidRDefault="00C86459" w:rsidP="00C86459">
            <w:pPr>
              <w:jc w:val="center"/>
              <w:rPr>
                <w:rFonts w:ascii="Open Sans" w:hAnsi="Open Sans" w:cs="Open Sans"/>
                <w:b/>
                <w:sz w:val="20"/>
                <w:szCs w:val="20"/>
              </w:rPr>
            </w:pPr>
            <w:r w:rsidRPr="004C253A">
              <w:rPr>
                <w:rFonts w:ascii="Open Sans" w:hAnsi="Open Sans" w:cs="Open Sans"/>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7B4350AB" w14:textId="77777777" w:rsidR="00C86459" w:rsidRPr="004C253A" w:rsidRDefault="00C86459" w:rsidP="00C86459">
            <w:pPr>
              <w:jc w:val="center"/>
              <w:rPr>
                <w:rFonts w:ascii="Open Sans" w:hAnsi="Open Sans" w:cs="Open Sans"/>
                <w:b/>
                <w:sz w:val="20"/>
                <w:szCs w:val="20"/>
              </w:rPr>
            </w:pPr>
            <w:r w:rsidRPr="004C253A">
              <w:rPr>
                <w:rFonts w:ascii="Open Sans" w:hAnsi="Open Sans" w:cs="Open Sans"/>
                <w:b/>
                <w:sz w:val="20"/>
                <w:szCs w:val="20"/>
              </w:rPr>
              <w:t>OBSERVACIONES</w:t>
            </w:r>
          </w:p>
        </w:tc>
      </w:tr>
      <w:tr w:rsidR="00C86459" w:rsidRPr="004C253A" w14:paraId="34059A92" w14:textId="77777777" w:rsidTr="00C86459">
        <w:trPr>
          <w:cantSplit/>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B38EF97" w14:textId="77777777" w:rsidR="00C86459" w:rsidRPr="004C253A" w:rsidRDefault="00C86459" w:rsidP="00C86459">
            <w:pPr>
              <w:rPr>
                <w:rFonts w:ascii="Open Sans" w:eastAsia="Arial Unicode MS" w:hAnsi="Open Sans" w:cs="Arial"/>
                <w:sz w:val="20"/>
                <w:szCs w:val="20"/>
              </w:rPr>
            </w:pPr>
            <w:r w:rsidRPr="004C253A">
              <w:rPr>
                <w:rFonts w:ascii="Open Sans" w:eastAsia="Arial Unicode MS" w:hAnsi="Open Sans" w:cs="Arial"/>
                <w:sz w:val="20"/>
                <w:szCs w:val="20"/>
              </w:rPr>
              <w:t>Informe Anual 2015 - Informe de Gestión Individual</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24C4BD3" w14:textId="77777777" w:rsidR="00C86459" w:rsidRPr="004C253A" w:rsidRDefault="00C86459" w:rsidP="00C86459">
            <w:pPr>
              <w:jc w:val="both"/>
              <w:rPr>
                <w:rFonts w:ascii="Open Sans" w:eastAsia="Arial Unicode MS" w:hAnsi="Open Sans" w:cs="Arial"/>
                <w:sz w:val="20"/>
                <w:szCs w:val="20"/>
                <w:u w:val="single"/>
              </w:rPr>
            </w:pPr>
          </w:p>
        </w:tc>
      </w:tr>
      <w:tr w:rsidR="00C86459" w:rsidRPr="004C253A" w14:paraId="7D6D52CA" w14:textId="77777777" w:rsidTr="00C86459">
        <w:trPr>
          <w:cantSplit/>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607A05D" w14:textId="77777777" w:rsidR="00C86459" w:rsidRPr="004C253A" w:rsidRDefault="00C86459" w:rsidP="00C86459">
            <w:pPr>
              <w:rPr>
                <w:rFonts w:ascii="Open Sans" w:eastAsia="Arial Unicode MS" w:hAnsi="Open Sans" w:cs="Arial"/>
                <w:sz w:val="20"/>
                <w:szCs w:val="20"/>
              </w:rPr>
            </w:pPr>
            <w:r w:rsidRPr="004C253A">
              <w:rPr>
                <w:rFonts w:ascii="Open Sans" w:eastAsia="Arial Unicode MS" w:hAnsi="Open Sans" w:cs="Arial"/>
                <w:sz w:val="20"/>
                <w:szCs w:val="20"/>
              </w:rPr>
              <w:t>Informe Integrado de Responsabilidad Corporativa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D9FFB01" w14:textId="77777777" w:rsidR="00C86459" w:rsidRPr="004C253A" w:rsidRDefault="00C86459" w:rsidP="00C86459">
            <w:pPr>
              <w:jc w:val="both"/>
              <w:rPr>
                <w:rFonts w:ascii="Open Sans" w:eastAsia="Arial Unicode MS" w:hAnsi="Open Sans" w:cs="Arial"/>
                <w:sz w:val="20"/>
                <w:szCs w:val="20"/>
                <w:u w:val="single"/>
              </w:rPr>
            </w:pPr>
          </w:p>
        </w:tc>
      </w:tr>
      <w:tr w:rsidR="00C86459" w:rsidRPr="004C253A" w14:paraId="69344B94" w14:textId="77777777" w:rsidTr="00C86459">
        <w:trPr>
          <w:cantSplit/>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60E1248" w14:textId="77777777" w:rsidR="00C86459" w:rsidRPr="004C253A" w:rsidRDefault="00C86459" w:rsidP="00C86459">
            <w:pPr>
              <w:rPr>
                <w:rFonts w:ascii="Open Sans" w:eastAsia="Arial Unicode MS" w:hAnsi="Open Sans" w:cs="Arial"/>
                <w:sz w:val="20"/>
                <w:szCs w:val="20"/>
              </w:rPr>
            </w:pPr>
            <w:r w:rsidRPr="004C253A">
              <w:rPr>
                <w:rFonts w:ascii="Open Sans" w:eastAsia="Arial Unicode MS" w:hAnsi="Open Sans" w:cs="Arial"/>
                <w:sz w:val="20"/>
                <w:szCs w:val="20"/>
              </w:rPr>
              <w:t>Informe Anual de Gobierno Corporativo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4E03A95" w14:textId="77777777" w:rsidR="00C86459" w:rsidRPr="004C253A" w:rsidRDefault="00C86459" w:rsidP="00C86459">
            <w:pPr>
              <w:jc w:val="both"/>
              <w:rPr>
                <w:rFonts w:ascii="Open Sans" w:eastAsia="Arial Unicode MS" w:hAnsi="Open Sans" w:cs="Arial"/>
                <w:sz w:val="20"/>
                <w:szCs w:val="20"/>
              </w:rPr>
            </w:pPr>
          </w:p>
        </w:tc>
      </w:tr>
      <w:tr w:rsidR="00C86459" w:rsidRPr="004C253A" w14:paraId="0EC8CAE0" w14:textId="77777777" w:rsidTr="00C86459">
        <w:trPr>
          <w:cantSplit/>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6446AB9" w14:textId="77777777" w:rsidR="00C86459" w:rsidRPr="004C253A" w:rsidRDefault="00C86459" w:rsidP="00C86459">
            <w:pPr>
              <w:rPr>
                <w:rFonts w:ascii="Open Sans" w:hAnsi="Open Sans" w:cs="Arial"/>
                <w:sz w:val="20"/>
                <w:szCs w:val="20"/>
              </w:rPr>
            </w:pPr>
            <w:r w:rsidRPr="004C253A">
              <w:rPr>
                <w:rFonts w:ascii="Open Sans" w:hAnsi="Open Sans" w:cs="Arial"/>
                <w:sz w:val="20"/>
                <w:szCs w:val="20"/>
              </w:rPr>
              <w:t>Informe bancario anual</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59BEFBA5" w14:textId="77777777" w:rsidR="00C86459" w:rsidRPr="004C253A" w:rsidRDefault="00C86459" w:rsidP="00C86459">
            <w:pPr>
              <w:jc w:val="both"/>
              <w:rPr>
                <w:rFonts w:ascii="Open Sans" w:eastAsia="Arial Unicode MS" w:hAnsi="Open Sans" w:cs="Arial"/>
                <w:sz w:val="20"/>
                <w:szCs w:val="20"/>
              </w:rPr>
            </w:pPr>
          </w:p>
        </w:tc>
      </w:tr>
      <w:tr w:rsidR="00C86459" w:rsidRPr="004C253A" w14:paraId="474F1F68" w14:textId="77777777" w:rsidTr="00C86459">
        <w:trPr>
          <w:cantSplit/>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481BB65C" w14:textId="77777777" w:rsidR="00C86459" w:rsidRPr="004C253A" w:rsidRDefault="00C86459" w:rsidP="00C86459">
            <w:pPr>
              <w:rPr>
                <w:rFonts w:ascii="Open Sans" w:hAnsi="Open Sans" w:cs="Arial"/>
                <w:sz w:val="20"/>
                <w:szCs w:val="20"/>
              </w:rPr>
            </w:pPr>
            <w:r w:rsidRPr="004C253A">
              <w:rPr>
                <w:rFonts w:ascii="Open Sans" w:hAnsi="Open Sans" w:cs="Arial"/>
                <w:sz w:val="20"/>
                <w:szCs w:val="20"/>
              </w:rPr>
              <w:t xml:space="preserve">Web Corporativa </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6A2FD018" w14:textId="77777777" w:rsidR="00C86459" w:rsidRPr="004C253A" w:rsidRDefault="00C86459" w:rsidP="00C86459">
            <w:pPr>
              <w:jc w:val="both"/>
              <w:rPr>
                <w:rFonts w:ascii="Open Sans" w:eastAsia="Arial Unicode MS" w:hAnsi="Open Sans" w:cs="Arial"/>
                <w:sz w:val="20"/>
                <w:szCs w:val="20"/>
                <w:u w:val="single"/>
              </w:rPr>
            </w:pPr>
          </w:p>
        </w:tc>
      </w:tr>
    </w:tbl>
    <w:p w14:paraId="4174A7D5" w14:textId="77777777" w:rsidR="00C86459" w:rsidRPr="004C253A" w:rsidRDefault="00C86459" w:rsidP="00C86459">
      <w:pPr>
        <w:jc w:val="both"/>
        <w:rPr>
          <w:rFonts w:ascii="Open Sans" w:hAnsi="Open Sans" w:cs="Open Sans"/>
          <w:b/>
          <w:sz w:val="20"/>
          <w:szCs w:val="20"/>
        </w:rPr>
      </w:pPr>
    </w:p>
    <w:p w14:paraId="3357620F" w14:textId="77777777" w:rsidR="00C86459" w:rsidRPr="004C253A" w:rsidRDefault="00C86459" w:rsidP="00C86459">
      <w:pPr>
        <w:jc w:val="both"/>
        <w:rPr>
          <w:rFonts w:ascii="Open Sans" w:hAnsi="Open Sans" w:cs="Open Sans"/>
          <w:b/>
          <w:sz w:val="20"/>
          <w:szCs w:val="20"/>
        </w:rPr>
      </w:pPr>
    </w:p>
    <w:p w14:paraId="3A599E75"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Desde 2013, Banco Popular comunica sus resultados conforme a las directrices marcadas por:</w:t>
      </w:r>
    </w:p>
    <w:p w14:paraId="1B20D383" w14:textId="77777777" w:rsidR="00C86459" w:rsidRPr="004C253A" w:rsidRDefault="00C86459" w:rsidP="00C86459">
      <w:pPr>
        <w:jc w:val="both"/>
        <w:rPr>
          <w:rFonts w:ascii="Open Sans" w:hAnsi="Open Sans" w:cs="Open Sans"/>
          <w:sz w:val="20"/>
          <w:szCs w:val="20"/>
        </w:rPr>
      </w:pPr>
    </w:p>
    <w:p w14:paraId="555EF65F" w14:textId="77777777" w:rsidR="00C86459" w:rsidRPr="004C253A" w:rsidRDefault="00C86459" w:rsidP="000B70C9">
      <w:pPr>
        <w:numPr>
          <w:ilvl w:val="0"/>
          <w:numId w:val="91"/>
        </w:numPr>
        <w:jc w:val="both"/>
        <w:rPr>
          <w:rFonts w:ascii="Open Sans" w:hAnsi="Open Sans" w:cs="Open Sans"/>
          <w:sz w:val="20"/>
          <w:szCs w:val="20"/>
        </w:rPr>
      </w:pPr>
      <w:r w:rsidRPr="004C253A">
        <w:rPr>
          <w:rFonts w:ascii="Open Sans" w:hAnsi="Open Sans" w:cs="Open Sans"/>
          <w:sz w:val="20"/>
          <w:szCs w:val="20"/>
        </w:rPr>
        <w:t>El enfoque proporcionado por el International Integrated Reporting Council (IIRC).</w:t>
      </w:r>
    </w:p>
    <w:p w14:paraId="371E73AD" w14:textId="77777777" w:rsidR="00C86459" w:rsidRPr="004C253A" w:rsidRDefault="00C86459" w:rsidP="00C86459">
      <w:pPr>
        <w:jc w:val="both"/>
        <w:rPr>
          <w:rFonts w:ascii="Open Sans" w:hAnsi="Open Sans" w:cs="Open Sans"/>
          <w:sz w:val="20"/>
          <w:szCs w:val="20"/>
        </w:rPr>
      </w:pPr>
    </w:p>
    <w:p w14:paraId="26489388" w14:textId="77777777" w:rsidR="00C86459" w:rsidRPr="004C253A" w:rsidRDefault="00C86459" w:rsidP="000B70C9">
      <w:pPr>
        <w:numPr>
          <w:ilvl w:val="0"/>
          <w:numId w:val="91"/>
        </w:numPr>
        <w:jc w:val="both"/>
        <w:rPr>
          <w:rFonts w:ascii="Open Sans" w:hAnsi="Open Sans" w:cs="Open Sans"/>
          <w:sz w:val="20"/>
          <w:szCs w:val="20"/>
        </w:rPr>
      </w:pPr>
      <w:r w:rsidRPr="004C253A">
        <w:rPr>
          <w:rFonts w:ascii="Open Sans" w:hAnsi="Open Sans" w:cs="Open Sans"/>
          <w:sz w:val="20"/>
          <w:szCs w:val="20"/>
        </w:rPr>
        <w:t>El Global Reporting Initiative (GRI) en su nueva guía G4 y en el suplemento sectorial financiero.</w:t>
      </w:r>
    </w:p>
    <w:p w14:paraId="4950A086" w14:textId="77777777" w:rsidR="00C86459" w:rsidRPr="004C253A" w:rsidRDefault="00C86459" w:rsidP="00C86459">
      <w:pPr>
        <w:jc w:val="both"/>
        <w:rPr>
          <w:rFonts w:ascii="Open Sans" w:hAnsi="Open Sans" w:cs="Open Sans"/>
          <w:b/>
          <w:sz w:val="20"/>
          <w:szCs w:val="20"/>
        </w:rPr>
      </w:pPr>
    </w:p>
    <w:p w14:paraId="352AFF89" w14:textId="77777777" w:rsidR="00C86459" w:rsidRPr="004C253A" w:rsidRDefault="00C86459" w:rsidP="00C86459">
      <w:pPr>
        <w:jc w:val="both"/>
        <w:rPr>
          <w:rFonts w:ascii="Open Sans" w:hAnsi="Open Sans" w:cs="Open Sans"/>
          <w:b/>
          <w:sz w:val="20"/>
          <w:szCs w:val="20"/>
        </w:rPr>
      </w:pPr>
      <w:r>
        <w:rPr>
          <w:rFonts w:ascii="Open Sans" w:hAnsi="Open Sans" w:cs="Open Sans"/>
          <w:b/>
          <w:sz w:val="20"/>
          <w:szCs w:val="20"/>
        </w:rPr>
        <w:br w:type="page"/>
      </w:r>
    </w:p>
    <w:p w14:paraId="4D99EFDA" w14:textId="77777777" w:rsidR="00C86459" w:rsidRPr="00C86459" w:rsidRDefault="00C86459" w:rsidP="00C86459">
      <w:pPr>
        <w:rPr>
          <w:rFonts w:ascii="Open Sans" w:hAnsi="Open Sans" w:cs="Arial"/>
          <w:b/>
          <w:sz w:val="22"/>
          <w:szCs w:val="22"/>
          <w:u w:val="single"/>
        </w:rPr>
      </w:pPr>
      <w:r w:rsidRPr="00C86459">
        <w:rPr>
          <w:rFonts w:ascii="Open Sans" w:hAnsi="Open Sans" w:cs="Arial"/>
          <w:b/>
          <w:sz w:val="22"/>
          <w:szCs w:val="22"/>
          <w:u w:val="single"/>
        </w:rPr>
        <w:t>2. Tabla de resultados</w:t>
      </w:r>
    </w:p>
    <w:p w14:paraId="25936A2B" w14:textId="77777777" w:rsidR="00C86459" w:rsidRPr="00C86459" w:rsidRDefault="00C86459" w:rsidP="00C86459">
      <w:pPr>
        <w:rPr>
          <w:rFonts w:ascii="Open Sans" w:hAnsi="Open Sans" w:cs="Arial"/>
          <w:b/>
          <w:sz w:val="22"/>
          <w:szCs w:val="22"/>
          <w:u w:val="single"/>
        </w:rPr>
      </w:pPr>
    </w:p>
    <w:p w14:paraId="235CC3A6" w14:textId="77777777" w:rsidR="00C86459" w:rsidRDefault="00C86459" w:rsidP="00C86459">
      <w:pPr>
        <w:jc w:val="center"/>
        <w:rPr>
          <w:rFonts w:ascii="Open Sans" w:hAnsi="Open Sans" w:cs="Open Sans"/>
          <w:b/>
          <w:color w:val="FF0000"/>
          <w:sz w:val="20"/>
          <w:szCs w:val="20"/>
        </w:rPr>
      </w:pPr>
    </w:p>
    <w:p w14:paraId="38CA6A7B" w14:textId="77777777" w:rsidR="00C86459" w:rsidRPr="007829A9" w:rsidRDefault="00C86459" w:rsidP="00C86459">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4863CCD8" w14:textId="77777777" w:rsidR="00C86459" w:rsidRPr="00732FD5" w:rsidRDefault="00C86459" w:rsidP="00C86459">
      <w:pPr>
        <w:rPr>
          <w:rFonts w:ascii="Open Sans" w:hAnsi="Open Sans" w:cs="Arial"/>
          <w:b/>
        </w:rPr>
      </w:pPr>
    </w:p>
    <w:p w14:paraId="37B66458" w14:textId="75B2BDC6" w:rsidR="00C86459" w:rsidRDefault="00C86459" w:rsidP="00C86459">
      <w:pPr>
        <w:jc w:val="center"/>
      </w:pPr>
      <w:r>
        <w:rPr>
          <w:noProof/>
          <w:lang w:val="es-ES"/>
        </w:rPr>
        <w:drawing>
          <wp:inline distT="0" distB="0" distL="0" distR="0" wp14:anchorId="7E74F03D" wp14:editId="187FB0EA">
            <wp:extent cx="3688080" cy="1859280"/>
            <wp:effectExtent l="0" t="0" r="0" b="0"/>
            <wp:docPr id="17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6B3450B1" w14:textId="77777777" w:rsidR="00C86459" w:rsidRDefault="00C86459" w:rsidP="00C86459">
      <w:pPr>
        <w:jc w:val="center"/>
      </w:pPr>
    </w:p>
    <w:p w14:paraId="51089681" w14:textId="77777777" w:rsidR="00C86459" w:rsidRDefault="00C86459" w:rsidP="00C86459">
      <w:pPr>
        <w:jc w:val="center"/>
      </w:pPr>
    </w:p>
    <w:p w14:paraId="5182A49C" w14:textId="77777777" w:rsidR="00C86459" w:rsidRDefault="00C86459" w:rsidP="00C86459">
      <w:pPr>
        <w:jc w:val="center"/>
      </w:pPr>
    </w:p>
    <w:p w14:paraId="1BF1D508" w14:textId="77777777" w:rsidR="00C86459" w:rsidRDefault="00C86459" w:rsidP="00C86459">
      <w:pPr>
        <w:jc w:val="center"/>
        <w:rPr>
          <w:rFonts w:ascii="Open Sans" w:hAnsi="Open Sans" w:cs="Open Sans"/>
          <w:b/>
          <w:color w:val="FF0000"/>
          <w:sz w:val="20"/>
          <w:szCs w:val="20"/>
        </w:rPr>
      </w:pPr>
    </w:p>
    <w:p w14:paraId="27865E03" w14:textId="77777777" w:rsidR="00C86459" w:rsidRPr="00C86459" w:rsidRDefault="00C86459" w:rsidP="00C86459">
      <w:pPr>
        <w:rPr>
          <w:rFonts w:ascii="Open Sans" w:hAnsi="Open Sans" w:cs="Arial"/>
          <w:b/>
          <w:sz w:val="22"/>
          <w:szCs w:val="22"/>
          <w:u w:val="single"/>
        </w:rPr>
      </w:pPr>
      <w:r w:rsidRPr="00C86459">
        <w:rPr>
          <w:rFonts w:ascii="Open Sans" w:hAnsi="Open Sans" w:cs="Arial"/>
          <w:b/>
          <w:sz w:val="22"/>
          <w:szCs w:val="22"/>
          <w:u w:val="single"/>
        </w:rPr>
        <w:t>3. Contexto general</w:t>
      </w:r>
    </w:p>
    <w:p w14:paraId="68D16537" w14:textId="77777777" w:rsidR="00C86459" w:rsidRPr="004C253A" w:rsidRDefault="00C86459" w:rsidP="00C86459">
      <w:pPr>
        <w:jc w:val="both"/>
        <w:rPr>
          <w:rFonts w:ascii="Open Sans" w:hAnsi="Open Sans" w:cs="Open Sans"/>
          <w:b/>
          <w:sz w:val="20"/>
          <w:szCs w:val="20"/>
        </w:rPr>
      </w:pPr>
    </w:p>
    <w:p w14:paraId="4424DDCD"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Banco Popular  cuenta con una capitalización a diciembre de 2015 de 6.588,323 millones de euros con una disminución del valor de las acciones de un 26% respecto el ejercicio anterior. Ha obtenido unos ingresos (Intereses y rendimientos asimilados) durante el periodo analizado de 3.175.750 miles de euros. El Resultado antes de impuestos se situó en los 114,18 millones de euros a diciembre de 2015, esto es, una reducción del 69,4% respecto al ejercicio anterior. De este resultado, 105,432 millones de euros corresponden a la entidad dominante.</w:t>
      </w:r>
    </w:p>
    <w:p w14:paraId="555DCDC0" w14:textId="77777777" w:rsidR="00C86459" w:rsidRPr="004C253A" w:rsidRDefault="00C86459" w:rsidP="00C86459">
      <w:pPr>
        <w:autoSpaceDE w:val="0"/>
        <w:autoSpaceDN w:val="0"/>
        <w:adjustRightInd w:val="0"/>
        <w:rPr>
          <w:rFonts w:ascii="Open Sans" w:hAnsi="Open Sans" w:cs="Open Sans"/>
          <w:sz w:val="20"/>
          <w:szCs w:val="20"/>
        </w:rPr>
      </w:pPr>
    </w:p>
    <w:p w14:paraId="0AAB1525" w14:textId="77777777" w:rsidR="00C86459"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 xml:space="preserve">Durante el ejercicio, ha realizado los siguientes acuerdos: </w:t>
      </w:r>
    </w:p>
    <w:p w14:paraId="6056F07A" w14:textId="77777777" w:rsidR="00C86459" w:rsidRPr="004C253A" w:rsidRDefault="00C86459" w:rsidP="00C86459">
      <w:pPr>
        <w:autoSpaceDE w:val="0"/>
        <w:autoSpaceDN w:val="0"/>
        <w:adjustRightInd w:val="0"/>
        <w:jc w:val="both"/>
        <w:rPr>
          <w:rFonts w:ascii="Open Sans" w:hAnsi="Open Sans" w:cs="Open Sans"/>
          <w:sz w:val="20"/>
          <w:szCs w:val="20"/>
        </w:rPr>
      </w:pPr>
    </w:p>
    <w:p w14:paraId="02544F77" w14:textId="77777777" w:rsidR="00C86459" w:rsidRPr="004C253A" w:rsidRDefault="00C86459" w:rsidP="000B70C9">
      <w:pPr>
        <w:numPr>
          <w:ilvl w:val="0"/>
          <w:numId w:val="92"/>
        </w:numPr>
        <w:autoSpaceDE w:val="0"/>
        <w:autoSpaceDN w:val="0"/>
        <w:adjustRightInd w:val="0"/>
        <w:jc w:val="both"/>
        <w:rPr>
          <w:rFonts w:ascii="Open Sans" w:hAnsi="Open Sans" w:cs="Open Sans"/>
          <w:sz w:val="20"/>
          <w:szCs w:val="20"/>
        </w:rPr>
      </w:pPr>
      <w:r w:rsidRPr="004C253A">
        <w:rPr>
          <w:rFonts w:ascii="Open Sans" w:hAnsi="Open Sans" w:cs="Open Sans"/>
          <w:sz w:val="20"/>
          <w:szCs w:val="20"/>
        </w:rPr>
        <w:t>Acuerdo entre Popular Payments y UnionPay International que permitirá a sus clientes aceptar pagos en sus TPV con las tarjetas del emisor asiático.</w:t>
      </w:r>
    </w:p>
    <w:p w14:paraId="77794538" w14:textId="77777777" w:rsidR="00C86459" w:rsidRPr="004C253A" w:rsidRDefault="00C86459" w:rsidP="000B70C9">
      <w:pPr>
        <w:numPr>
          <w:ilvl w:val="0"/>
          <w:numId w:val="92"/>
        </w:numPr>
        <w:autoSpaceDE w:val="0"/>
        <w:autoSpaceDN w:val="0"/>
        <w:adjustRightInd w:val="0"/>
        <w:jc w:val="both"/>
        <w:rPr>
          <w:rFonts w:ascii="Open Sans" w:hAnsi="Open Sans" w:cs="Open Sans"/>
          <w:sz w:val="20"/>
          <w:szCs w:val="20"/>
        </w:rPr>
      </w:pPr>
      <w:r w:rsidRPr="004C253A">
        <w:rPr>
          <w:rFonts w:ascii="Open Sans" w:hAnsi="Open Sans" w:cs="Open Sans"/>
          <w:sz w:val="20"/>
          <w:szCs w:val="20"/>
        </w:rPr>
        <w:t>Venta de la participación del 50% en UniversalPay, Entidad de Pago, S.L.</w:t>
      </w:r>
    </w:p>
    <w:p w14:paraId="02617002" w14:textId="77777777" w:rsidR="00C86459" w:rsidRDefault="00C86459" w:rsidP="000B70C9">
      <w:pPr>
        <w:numPr>
          <w:ilvl w:val="0"/>
          <w:numId w:val="92"/>
        </w:numPr>
        <w:autoSpaceDE w:val="0"/>
        <w:autoSpaceDN w:val="0"/>
        <w:adjustRightInd w:val="0"/>
        <w:jc w:val="both"/>
        <w:rPr>
          <w:rFonts w:ascii="Open Sans" w:hAnsi="Open Sans" w:cs="Open Sans"/>
          <w:sz w:val="20"/>
          <w:szCs w:val="20"/>
        </w:rPr>
      </w:pPr>
      <w:r w:rsidRPr="004C253A">
        <w:rPr>
          <w:rFonts w:ascii="Open Sans" w:hAnsi="Open Sans" w:cs="Open Sans"/>
          <w:sz w:val="20"/>
          <w:szCs w:val="20"/>
        </w:rPr>
        <w:t>Venta del negocio de gestión de activos inmobiliarios y de otros activos en Portugal: En 2015, Banco Popular Portugal y Consulteam, sociedades participadas al 100% por Grupo Banco Popular, acordaron la venta de la unidad de negocio de gestión de activos inmobiliarios y deuda relacionada con el sector inmobiliario a la sociedad Recbus – Recovery to business, S.A., en la que se va a desarrollar dicho negocio y en la que Quarteira, S.a.R.L., tiene una participación mayoritaria del 80% y Banco Popular Español tiene una participación del 20%.</w:t>
      </w:r>
    </w:p>
    <w:p w14:paraId="6F12AE1A" w14:textId="77777777" w:rsidR="00C86459" w:rsidRPr="004C253A" w:rsidRDefault="00C86459" w:rsidP="00C86459">
      <w:pPr>
        <w:autoSpaceDE w:val="0"/>
        <w:autoSpaceDN w:val="0"/>
        <w:adjustRightInd w:val="0"/>
        <w:ind w:left="720"/>
        <w:jc w:val="both"/>
        <w:rPr>
          <w:rFonts w:ascii="Open Sans" w:hAnsi="Open Sans" w:cs="Open Sans"/>
          <w:sz w:val="20"/>
          <w:szCs w:val="20"/>
        </w:rPr>
      </w:pPr>
    </w:p>
    <w:p w14:paraId="3AAE1030"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indica cuenta con varios compromisos relacionados con la Responsabilidad Corporativa. Estos compromisos, sin embargo, no se encuentran recogidos en una política o estrategia fiscal</w:t>
      </w:r>
      <w:r>
        <w:rPr>
          <w:rFonts w:ascii="Open Sans" w:hAnsi="Open Sans" w:cs="Open Sans"/>
          <w:sz w:val="20"/>
          <w:szCs w:val="20"/>
        </w:rPr>
        <w:t xml:space="preserve"> que haya sido aprobada a diciembre de 2015.</w:t>
      </w:r>
    </w:p>
    <w:p w14:paraId="42AFCBD7" w14:textId="77777777" w:rsidR="00C86459" w:rsidRPr="004C253A" w:rsidRDefault="00C86459" w:rsidP="00C86459">
      <w:pPr>
        <w:jc w:val="both"/>
        <w:rPr>
          <w:rFonts w:ascii="Open Sans" w:hAnsi="Open Sans" w:cs="Open Sans"/>
          <w:sz w:val="20"/>
          <w:szCs w:val="20"/>
        </w:rPr>
      </w:pPr>
    </w:p>
    <w:p w14:paraId="6D2BDF1A"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identifica el  Capital Social y Relacional “Las relaciones que el Banco mantiene con sus grupos de interés y la gestión que hace de sus expectativas, generan un valor compartido que supone una aportación para el negocio. Asimismo, el desarrollo de la actividad bancaria genera un impacto en la sociedad que hace que la Entidad mantenga el compromiso de actuar de manera responsable con el entorno en el que opera”</w:t>
      </w:r>
      <w:r w:rsidRPr="004C253A">
        <w:rPr>
          <w:rStyle w:val="Refdenotaalpie"/>
          <w:rFonts w:ascii="Open Sans" w:hAnsi="Open Sans" w:cs="Open Sans"/>
          <w:sz w:val="20"/>
          <w:szCs w:val="20"/>
        </w:rPr>
        <w:footnoteReference w:id="499"/>
      </w:r>
      <w:r w:rsidRPr="004C253A">
        <w:rPr>
          <w:rFonts w:ascii="Open Sans" w:hAnsi="Open Sans" w:cs="Open Sans"/>
          <w:sz w:val="20"/>
          <w:szCs w:val="20"/>
        </w:rPr>
        <w:t>.</w:t>
      </w:r>
    </w:p>
    <w:p w14:paraId="471AED25" w14:textId="77777777" w:rsidR="00C86459" w:rsidRPr="004C253A" w:rsidRDefault="00C86459" w:rsidP="00C86459">
      <w:pPr>
        <w:jc w:val="both"/>
        <w:rPr>
          <w:rFonts w:ascii="Open Sans" w:hAnsi="Open Sans" w:cs="Open Sans"/>
          <w:sz w:val="20"/>
          <w:szCs w:val="20"/>
        </w:rPr>
      </w:pPr>
    </w:p>
    <w:p w14:paraId="6F08724A"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considera que sus grupos de interés son accionistas, clientes, empleados y proveedores, junto con los principales actores público-privados sociales y medioambientales de su entorno.</w:t>
      </w:r>
    </w:p>
    <w:p w14:paraId="32157685" w14:textId="77777777" w:rsidR="00C86459" w:rsidRPr="004C253A" w:rsidRDefault="00C86459" w:rsidP="00C86459">
      <w:pPr>
        <w:jc w:val="both"/>
        <w:rPr>
          <w:rFonts w:ascii="Open Sans" w:hAnsi="Open Sans" w:cs="Open Sans"/>
          <w:sz w:val="20"/>
          <w:szCs w:val="20"/>
        </w:rPr>
      </w:pPr>
    </w:p>
    <w:p w14:paraId="7C70AD0C" w14:textId="77777777" w:rsidR="00C86459" w:rsidRPr="004C253A" w:rsidRDefault="00C86459" w:rsidP="00C86459">
      <w:pPr>
        <w:jc w:val="both"/>
        <w:rPr>
          <w:rFonts w:ascii="Open Sans" w:hAnsi="Open Sans" w:cs="Open Sans"/>
          <w:sz w:val="20"/>
          <w:szCs w:val="20"/>
        </w:rPr>
      </w:pPr>
    </w:p>
    <w:p w14:paraId="09AB924F" w14:textId="77777777" w:rsidR="00C86459" w:rsidRDefault="00C86459" w:rsidP="00C86459">
      <w:pPr>
        <w:jc w:val="both"/>
        <w:rPr>
          <w:rFonts w:ascii="Open Sans" w:hAnsi="Open Sans" w:cs="Open Sans"/>
          <w:b/>
          <w:sz w:val="20"/>
          <w:szCs w:val="20"/>
          <w:u w:val="single"/>
        </w:rPr>
      </w:pPr>
      <w:r w:rsidRPr="004C253A">
        <w:rPr>
          <w:rFonts w:ascii="Open Sans" w:hAnsi="Open Sans" w:cs="Open Sans"/>
          <w:b/>
          <w:sz w:val="20"/>
          <w:szCs w:val="20"/>
          <w:u w:val="single"/>
        </w:rPr>
        <w:t>Índices de inversión socialmente responsable</w:t>
      </w:r>
    </w:p>
    <w:p w14:paraId="16189860" w14:textId="77777777" w:rsidR="00C86459" w:rsidRPr="004C253A" w:rsidRDefault="00C86459" w:rsidP="00C86459">
      <w:pPr>
        <w:jc w:val="both"/>
        <w:rPr>
          <w:rFonts w:ascii="Open Sans" w:hAnsi="Open Sans" w:cs="Open Sans"/>
          <w:b/>
          <w:sz w:val="20"/>
          <w:szCs w:val="20"/>
          <w:u w:val="single"/>
        </w:rPr>
      </w:pPr>
    </w:p>
    <w:p w14:paraId="489A4CC7"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En el ejercicio 2015, Grupo Banco Popular cotizó o fue incluido en los siguientes índices bursátiles de inversión socialmente responsable:</w:t>
      </w:r>
    </w:p>
    <w:p w14:paraId="62804715" w14:textId="77777777" w:rsidR="00C86459" w:rsidRPr="004C253A" w:rsidRDefault="00C86459" w:rsidP="00C86459">
      <w:pPr>
        <w:jc w:val="both"/>
        <w:rPr>
          <w:rFonts w:ascii="Open Sans" w:hAnsi="Open Sans" w:cs="Open Sans"/>
          <w:sz w:val="20"/>
          <w:szCs w:val="20"/>
        </w:rPr>
      </w:pPr>
    </w:p>
    <w:p w14:paraId="6E33D3D5" w14:textId="77777777" w:rsidR="00C86459" w:rsidRPr="004C253A" w:rsidRDefault="00C86459" w:rsidP="000B70C9">
      <w:pPr>
        <w:numPr>
          <w:ilvl w:val="0"/>
          <w:numId w:val="93"/>
        </w:numPr>
        <w:jc w:val="both"/>
        <w:rPr>
          <w:rFonts w:ascii="Open Sans" w:hAnsi="Open Sans" w:cs="Open Sans"/>
          <w:sz w:val="20"/>
          <w:szCs w:val="20"/>
          <w:lang w:val="en-US"/>
        </w:rPr>
      </w:pPr>
      <w:r w:rsidRPr="004C253A">
        <w:rPr>
          <w:rFonts w:ascii="Open Sans" w:hAnsi="Open Sans" w:cs="Open Sans"/>
          <w:sz w:val="20"/>
          <w:szCs w:val="20"/>
          <w:lang w:val="en-US"/>
        </w:rPr>
        <w:t>FTSE4Good</w:t>
      </w:r>
    </w:p>
    <w:p w14:paraId="55527F19" w14:textId="77777777" w:rsidR="00C86459" w:rsidRPr="004C253A" w:rsidRDefault="00C86459" w:rsidP="000B70C9">
      <w:pPr>
        <w:numPr>
          <w:ilvl w:val="0"/>
          <w:numId w:val="93"/>
        </w:numPr>
        <w:jc w:val="both"/>
        <w:rPr>
          <w:rFonts w:ascii="Open Sans" w:hAnsi="Open Sans" w:cs="Open Sans"/>
          <w:sz w:val="20"/>
          <w:szCs w:val="20"/>
          <w:lang w:val="en-US"/>
        </w:rPr>
      </w:pPr>
      <w:r w:rsidRPr="004C253A">
        <w:rPr>
          <w:rFonts w:ascii="Open Sans" w:hAnsi="Open Sans" w:cs="Open Sans"/>
          <w:sz w:val="20"/>
          <w:szCs w:val="20"/>
          <w:lang w:val="en-US"/>
        </w:rPr>
        <w:t>Ethibel Pioneer y Ethibel Excellence Investment Register</w:t>
      </w:r>
    </w:p>
    <w:p w14:paraId="58E2D180" w14:textId="77777777" w:rsidR="00C86459" w:rsidRPr="004C253A" w:rsidRDefault="00C86459" w:rsidP="000B70C9">
      <w:pPr>
        <w:numPr>
          <w:ilvl w:val="0"/>
          <w:numId w:val="93"/>
        </w:numPr>
        <w:jc w:val="both"/>
        <w:rPr>
          <w:rFonts w:ascii="Open Sans" w:hAnsi="Open Sans" w:cs="Open Sans"/>
          <w:sz w:val="20"/>
          <w:szCs w:val="20"/>
        </w:rPr>
      </w:pPr>
      <w:r w:rsidRPr="004C253A">
        <w:rPr>
          <w:rFonts w:ascii="Open Sans" w:hAnsi="Open Sans" w:cs="Open Sans"/>
          <w:sz w:val="20"/>
          <w:szCs w:val="20"/>
        </w:rPr>
        <w:t>EURONEXT VIGEO EUROZONE 120 y EURONEXT VIGEO EUROPE 120</w:t>
      </w:r>
    </w:p>
    <w:p w14:paraId="108BF92A" w14:textId="77777777" w:rsidR="00C86459" w:rsidRPr="004C253A" w:rsidRDefault="00C86459" w:rsidP="00C86459">
      <w:pPr>
        <w:jc w:val="both"/>
        <w:rPr>
          <w:rFonts w:ascii="Open Sans" w:hAnsi="Open Sans" w:cs="Open Sans"/>
          <w:sz w:val="20"/>
          <w:szCs w:val="20"/>
        </w:rPr>
      </w:pPr>
    </w:p>
    <w:p w14:paraId="64E275AE" w14:textId="77777777" w:rsidR="00C86459" w:rsidRDefault="00C86459" w:rsidP="00C86459">
      <w:pPr>
        <w:jc w:val="both"/>
        <w:rPr>
          <w:rFonts w:ascii="Open Sans" w:hAnsi="Open Sans" w:cs="Open Sans"/>
          <w:b/>
          <w:sz w:val="20"/>
          <w:szCs w:val="20"/>
          <w:u w:val="single"/>
        </w:rPr>
      </w:pPr>
      <w:r w:rsidRPr="004C253A">
        <w:rPr>
          <w:rFonts w:ascii="Open Sans" w:hAnsi="Open Sans" w:cs="Open Sans"/>
          <w:b/>
          <w:sz w:val="20"/>
          <w:szCs w:val="20"/>
          <w:u w:val="single"/>
        </w:rPr>
        <w:t>Normativa Internacional</w:t>
      </w:r>
    </w:p>
    <w:p w14:paraId="5EC9819B" w14:textId="77777777" w:rsidR="00C86459" w:rsidRPr="004C253A" w:rsidRDefault="00C86459" w:rsidP="00C86459">
      <w:pPr>
        <w:jc w:val="both"/>
        <w:rPr>
          <w:rFonts w:ascii="Open Sans" w:hAnsi="Open Sans" w:cs="Open Sans"/>
          <w:b/>
          <w:sz w:val="20"/>
          <w:szCs w:val="20"/>
          <w:u w:val="single"/>
        </w:rPr>
      </w:pPr>
    </w:p>
    <w:p w14:paraId="737DF8A3"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Grupo Banco Popular informó de su adhesión en relación a las siguientes normativas internacionales:</w:t>
      </w:r>
    </w:p>
    <w:p w14:paraId="42B8838B" w14:textId="77777777" w:rsidR="00C86459" w:rsidRPr="004C253A" w:rsidRDefault="00C86459" w:rsidP="00C86459">
      <w:pPr>
        <w:jc w:val="both"/>
        <w:rPr>
          <w:rFonts w:ascii="Open Sans" w:hAnsi="Open Sans" w:cs="Open Sans"/>
          <w:sz w:val="20"/>
          <w:szCs w:val="20"/>
        </w:rPr>
      </w:pPr>
    </w:p>
    <w:p w14:paraId="3B9B4EED" w14:textId="77777777" w:rsidR="00C86459" w:rsidRPr="004C253A" w:rsidRDefault="00C86459" w:rsidP="000B70C9">
      <w:pPr>
        <w:numPr>
          <w:ilvl w:val="0"/>
          <w:numId w:val="94"/>
        </w:numPr>
        <w:jc w:val="both"/>
        <w:rPr>
          <w:rFonts w:ascii="Open Sans" w:hAnsi="Open Sans" w:cs="Open Sans"/>
          <w:sz w:val="20"/>
          <w:szCs w:val="20"/>
        </w:rPr>
      </w:pPr>
      <w:r w:rsidRPr="004C253A">
        <w:rPr>
          <w:rFonts w:ascii="Open Sans" w:hAnsi="Open Sans" w:cs="Open Sans"/>
          <w:sz w:val="20"/>
          <w:szCs w:val="20"/>
        </w:rPr>
        <w:t>Carta Fundamental de los Derechos Humanos.</w:t>
      </w:r>
    </w:p>
    <w:p w14:paraId="502FB55C" w14:textId="77777777" w:rsidR="00C86459" w:rsidRPr="004C253A" w:rsidRDefault="00C86459" w:rsidP="00C86459">
      <w:pPr>
        <w:jc w:val="both"/>
        <w:rPr>
          <w:rFonts w:ascii="Open Sans" w:hAnsi="Open Sans" w:cs="Open Sans"/>
          <w:sz w:val="20"/>
          <w:szCs w:val="20"/>
        </w:rPr>
      </w:pPr>
    </w:p>
    <w:p w14:paraId="514D6D67" w14:textId="77777777" w:rsidR="00C86459" w:rsidRPr="004C253A" w:rsidRDefault="00C86459" w:rsidP="00C86459">
      <w:pPr>
        <w:jc w:val="both"/>
        <w:rPr>
          <w:rFonts w:ascii="Open Sans" w:hAnsi="Open Sans" w:cs="Open Sans"/>
          <w:b/>
          <w:sz w:val="20"/>
          <w:szCs w:val="20"/>
          <w:u w:val="single"/>
        </w:rPr>
      </w:pPr>
      <w:r w:rsidRPr="004C253A">
        <w:rPr>
          <w:rFonts w:ascii="Open Sans" w:hAnsi="Open Sans" w:cs="Open Sans"/>
          <w:b/>
          <w:sz w:val="20"/>
          <w:szCs w:val="20"/>
          <w:u w:val="single"/>
        </w:rPr>
        <w:t>Estándares voluntarios</w:t>
      </w:r>
    </w:p>
    <w:p w14:paraId="226AE03C" w14:textId="77777777" w:rsidR="00C86459" w:rsidRPr="004C253A" w:rsidRDefault="00C86459" w:rsidP="00C86459">
      <w:pPr>
        <w:jc w:val="both"/>
        <w:rPr>
          <w:rFonts w:ascii="Open Sans" w:hAnsi="Open Sans" w:cs="Open Sans"/>
          <w:sz w:val="20"/>
          <w:szCs w:val="20"/>
        </w:rPr>
      </w:pPr>
    </w:p>
    <w:p w14:paraId="79293323"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Grupo Banco Popular se ha adherido voluntariamente a los siguientes estándares relacionados con contenidos y sistemas de gestión de Responsabilidad Social Corporativa (RSC):</w:t>
      </w:r>
    </w:p>
    <w:p w14:paraId="3C9BC1A6" w14:textId="77777777" w:rsidR="00C86459" w:rsidRPr="004C253A" w:rsidRDefault="00C86459" w:rsidP="00C86459">
      <w:pPr>
        <w:jc w:val="both"/>
        <w:rPr>
          <w:rFonts w:ascii="Open Sans" w:hAnsi="Open Sans" w:cs="Open Sans"/>
          <w:sz w:val="20"/>
          <w:szCs w:val="20"/>
        </w:rPr>
      </w:pPr>
    </w:p>
    <w:p w14:paraId="3E60C191" w14:textId="77777777" w:rsidR="00C86459" w:rsidRPr="004C253A" w:rsidRDefault="00C86459" w:rsidP="000B70C9">
      <w:pPr>
        <w:numPr>
          <w:ilvl w:val="0"/>
          <w:numId w:val="94"/>
        </w:numPr>
        <w:jc w:val="both"/>
        <w:rPr>
          <w:rFonts w:ascii="Open Sans" w:hAnsi="Open Sans" w:cs="Open Sans"/>
          <w:sz w:val="20"/>
          <w:szCs w:val="20"/>
        </w:rPr>
      </w:pPr>
      <w:r w:rsidRPr="004C253A">
        <w:rPr>
          <w:rFonts w:ascii="Open Sans" w:hAnsi="Open Sans" w:cs="Open Sans"/>
          <w:sz w:val="20"/>
          <w:szCs w:val="20"/>
        </w:rPr>
        <w:t>Principios de Ecuador (Entidades Financieras)</w:t>
      </w:r>
    </w:p>
    <w:p w14:paraId="20EE9D5C" w14:textId="77777777" w:rsidR="00C86459" w:rsidRPr="004C253A" w:rsidRDefault="00C86459" w:rsidP="000B70C9">
      <w:pPr>
        <w:numPr>
          <w:ilvl w:val="0"/>
          <w:numId w:val="94"/>
        </w:numPr>
        <w:jc w:val="both"/>
        <w:rPr>
          <w:rFonts w:ascii="Open Sans" w:hAnsi="Open Sans" w:cs="Open Sans"/>
          <w:sz w:val="20"/>
          <w:szCs w:val="20"/>
        </w:rPr>
      </w:pPr>
      <w:r w:rsidRPr="004C253A">
        <w:rPr>
          <w:rFonts w:ascii="Open Sans" w:hAnsi="Open Sans" w:cs="Open Sans"/>
          <w:sz w:val="20"/>
          <w:szCs w:val="20"/>
        </w:rPr>
        <w:t>Pacto Global de las Naciones Unidas</w:t>
      </w:r>
    </w:p>
    <w:p w14:paraId="7D17A969" w14:textId="77777777" w:rsidR="00C86459" w:rsidRPr="004C253A" w:rsidRDefault="00C86459" w:rsidP="000B70C9">
      <w:pPr>
        <w:numPr>
          <w:ilvl w:val="0"/>
          <w:numId w:val="94"/>
        </w:numPr>
        <w:jc w:val="both"/>
        <w:rPr>
          <w:rFonts w:ascii="Open Sans" w:hAnsi="Open Sans" w:cs="Open Sans"/>
          <w:sz w:val="20"/>
          <w:szCs w:val="20"/>
        </w:rPr>
      </w:pPr>
      <w:r w:rsidRPr="004C253A">
        <w:rPr>
          <w:rFonts w:ascii="Open Sans" w:hAnsi="Open Sans" w:cs="Open Sans"/>
          <w:sz w:val="20"/>
          <w:szCs w:val="20"/>
        </w:rPr>
        <w:t>Carbon Disclosure Project (CDP), iniciativa internacional que analiza el modo en que las principales empresas analizan sus riesgos y oportunidades que su actividad tiene para el cambio climático.</w:t>
      </w:r>
    </w:p>
    <w:p w14:paraId="0FCB1CEE" w14:textId="77777777" w:rsidR="00C86459" w:rsidRPr="004C253A" w:rsidRDefault="00C86459" w:rsidP="00C86459">
      <w:pPr>
        <w:jc w:val="both"/>
        <w:rPr>
          <w:rFonts w:ascii="Open Sans" w:hAnsi="Open Sans" w:cs="Open Sans"/>
          <w:sz w:val="20"/>
          <w:szCs w:val="20"/>
        </w:rPr>
      </w:pPr>
    </w:p>
    <w:p w14:paraId="7E218CA1"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Respecto al ámbito de la publicidad, el Banco señala que está adherido a dos iniciativas al respecto:</w:t>
      </w:r>
    </w:p>
    <w:p w14:paraId="681D0934" w14:textId="77777777" w:rsidR="00C86459" w:rsidRPr="004C253A" w:rsidRDefault="00C86459" w:rsidP="00C86459">
      <w:pPr>
        <w:jc w:val="both"/>
        <w:rPr>
          <w:rFonts w:ascii="Open Sans" w:hAnsi="Open Sans" w:cs="Open Sans"/>
          <w:sz w:val="20"/>
          <w:szCs w:val="20"/>
        </w:rPr>
      </w:pPr>
    </w:p>
    <w:p w14:paraId="3CF6EE87" w14:textId="77777777" w:rsidR="00C86459" w:rsidRPr="004C253A" w:rsidRDefault="00C86459" w:rsidP="000B70C9">
      <w:pPr>
        <w:numPr>
          <w:ilvl w:val="0"/>
          <w:numId w:val="95"/>
        </w:numPr>
        <w:jc w:val="both"/>
        <w:rPr>
          <w:rFonts w:ascii="Open Sans" w:hAnsi="Open Sans" w:cs="Open Sans"/>
          <w:sz w:val="20"/>
          <w:szCs w:val="20"/>
        </w:rPr>
      </w:pPr>
      <w:r w:rsidRPr="004C253A">
        <w:rPr>
          <w:rFonts w:ascii="Open Sans" w:hAnsi="Open Sans" w:cs="Open Sans"/>
          <w:sz w:val="20"/>
          <w:szCs w:val="20"/>
        </w:rPr>
        <w:t>Asociación para la Autorregulación de la Comunicación Publicitaria, conocida también como Autocontrol, que gestiona el sistema de autorregulación publicitario español.</w:t>
      </w:r>
    </w:p>
    <w:p w14:paraId="68297454" w14:textId="77777777" w:rsidR="00C86459" w:rsidRPr="004C253A" w:rsidRDefault="00C86459" w:rsidP="00C86459">
      <w:pPr>
        <w:jc w:val="both"/>
        <w:rPr>
          <w:rFonts w:ascii="Open Sans" w:hAnsi="Open Sans" w:cs="Open Sans"/>
          <w:sz w:val="20"/>
          <w:szCs w:val="20"/>
        </w:rPr>
      </w:pPr>
    </w:p>
    <w:p w14:paraId="196098B4" w14:textId="77777777" w:rsidR="00C86459" w:rsidRPr="004C253A" w:rsidRDefault="00C86459" w:rsidP="000B70C9">
      <w:pPr>
        <w:numPr>
          <w:ilvl w:val="0"/>
          <w:numId w:val="95"/>
        </w:numPr>
        <w:jc w:val="both"/>
        <w:rPr>
          <w:rFonts w:ascii="Open Sans" w:hAnsi="Open Sans" w:cs="Open Sans"/>
          <w:sz w:val="20"/>
          <w:szCs w:val="20"/>
        </w:rPr>
      </w:pPr>
      <w:r w:rsidRPr="004C253A">
        <w:rPr>
          <w:rFonts w:ascii="Open Sans" w:hAnsi="Open Sans" w:cs="Open Sans"/>
          <w:sz w:val="20"/>
          <w:szCs w:val="20"/>
        </w:rPr>
        <w:t xml:space="preserve">Código de Conducta Publicitaria de INVERCO, “que recoge las normas deontológicas de la actuación publicitaria y asume voluntariamente el compromiso de garantizar rigurosamente la exactitud de todas sus comunicaciones comerciales”. </w:t>
      </w:r>
    </w:p>
    <w:p w14:paraId="29CEF13B" w14:textId="77777777" w:rsidR="00C86459" w:rsidRPr="004C253A" w:rsidRDefault="00C86459" w:rsidP="00C86459">
      <w:pPr>
        <w:jc w:val="both"/>
        <w:rPr>
          <w:rFonts w:ascii="Open Sans" w:hAnsi="Open Sans" w:cs="Open Sans"/>
          <w:sz w:val="20"/>
          <w:szCs w:val="20"/>
        </w:rPr>
      </w:pPr>
    </w:p>
    <w:p w14:paraId="030934FC" w14:textId="77777777" w:rsidR="00C86459" w:rsidRDefault="00C86459" w:rsidP="00C86459">
      <w:pPr>
        <w:jc w:val="both"/>
        <w:rPr>
          <w:rFonts w:ascii="Open Sans" w:hAnsi="Open Sans" w:cs="Open Sans"/>
          <w:sz w:val="20"/>
          <w:szCs w:val="20"/>
        </w:rPr>
      </w:pPr>
      <w:r w:rsidRPr="004C253A">
        <w:rPr>
          <w:rFonts w:ascii="Open Sans" w:hAnsi="Open Sans" w:cs="Open Sans"/>
          <w:sz w:val="20"/>
          <w:szCs w:val="20"/>
        </w:rPr>
        <w:t>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4C253A">
        <w:rPr>
          <w:rStyle w:val="Refdenotaalpie"/>
          <w:rFonts w:ascii="Open Sans" w:hAnsi="Open Sans" w:cs="Open Sans"/>
          <w:sz w:val="20"/>
          <w:szCs w:val="20"/>
        </w:rPr>
        <w:footnoteReference w:id="500"/>
      </w:r>
      <w:r w:rsidRPr="004C253A">
        <w:rPr>
          <w:rFonts w:ascii="Open Sans" w:hAnsi="Open Sans" w:cs="Open Sans"/>
          <w:sz w:val="20"/>
          <w:szCs w:val="20"/>
        </w:rPr>
        <w:t>.</w:t>
      </w:r>
    </w:p>
    <w:p w14:paraId="13426524" w14:textId="77777777" w:rsidR="00C86459" w:rsidRPr="004C253A" w:rsidRDefault="00C86459" w:rsidP="00C86459">
      <w:pPr>
        <w:jc w:val="both"/>
        <w:rPr>
          <w:rFonts w:ascii="Open Sans" w:hAnsi="Open Sans" w:cs="Open Sans"/>
          <w:sz w:val="20"/>
          <w:szCs w:val="20"/>
        </w:rPr>
      </w:pPr>
    </w:p>
    <w:p w14:paraId="752ED564" w14:textId="77777777" w:rsidR="00C86459" w:rsidRPr="004C253A" w:rsidRDefault="00C86459" w:rsidP="00C86459">
      <w:pPr>
        <w:jc w:val="both"/>
        <w:rPr>
          <w:rFonts w:ascii="Open Sans" w:hAnsi="Open Sans" w:cs="Open Sans"/>
          <w:sz w:val="20"/>
          <w:szCs w:val="20"/>
        </w:rPr>
      </w:pPr>
    </w:p>
    <w:p w14:paraId="20BD60D4" w14:textId="77777777" w:rsidR="00C86459" w:rsidRPr="00C86459" w:rsidRDefault="00C86459" w:rsidP="00C86459">
      <w:pPr>
        <w:rPr>
          <w:rFonts w:ascii="Open Sans" w:hAnsi="Open Sans" w:cs="Arial"/>
          <w:b/>
          <w:sz w:val="22"/>
          <w:szCs w:val="22"/>
          <w:u w:val="single"/>
        </w:rPr>
      </w:pPr>
      <w:r w:rsidRPr="00C86459">
        <w:rPr>
          <w:rFonts w:ascii="Open Sans" w:hAnsi="Open Sans" w:cs="Arial"/>
          <w:b/>
          <w:sz w:val="22"/>
          <w:szCs w:val="22"/>
          <w:u w:val="single"/>
        </w:rPr>
        <w:t>4. Análisis</w:t>
      </w:r>
    </w:p>
    <w:p w14:paraId="1C387677" w14:textId="77777777" w:rsidR="00C86459" w:rsidRPr="004C253A" w:rsidRDefault="00C86459" w:rsidP="00C86459">
      <w:pPr>
        <w:jc w:val="both"/>
        <w:rPr>
          <w:rFonts w:ascii="Open Sans" w:hAnsi="Open Sans" w:cs="Open Sans"/>
          <w:b/>
          <w:sz w:val="20"/>
          <w:szCs w:val="20"/>
        </w:rPr>
      </w:pPr>
    </w:p>
    <w:p w14:paraId="3D2577B7"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Los ingresos fiscales son la principal fuente de financiación de un país y pueden constituir el motor del desarrollo de éste, de sus empresas y de sus ciudadanos. Desde el punto de vista de la Responsabilidad fiscal, los impuestos que pagan las empresas y dónde los pagan, son un aspecto fundamental en su compromiso de RSC.</w:t>
      </w:r>
    </w:p>
    <w:p w14:paraId="616E8211" w14:textId="77777777" w:rsidR="00C86459" w:rsidRPr="004C253A" w:rsidRDefault="00C86459" w:rsidP="00C86459">
      <w:pPr>
        <w:jc w:val="both"/>
        <w:rPr>
          <w:rFonts w:ascii="Open Sans" w:hAnsi="Open Sans" w:cs="Open Sans"/>
          <w:sz w:val="20"/>
          <w:szCs w:val="20"/>
        </w:rPr>
      </w:pPr>
    </w:p>
    <w:p w14:paraId="6780B72A"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Presencia en paraísos y nichos fiscales</w:t>
      </w:r>
    </w:p>
    <w:p w14:paraId="4FFFC32A" w14:textId="77777777" w:rsidR="00C86459" w:rsidRPr="004C253A" w:rsidRDefault="00C86459" w:rsidP="00C86459">
      <w:pPr>
        <w:jc w:val="both"/>
        <w:rPr>
          <w:rFonts w:ascii="Open Sans" w:hAnsi="Open Sans" w:cs="Open Sans"/>
          <w:sz w:val="20"/>
          <w:szCs w:val="20"/>
        </w:rPr>
      </w:pPr>
    </w:p>
    <w:p w14:paraId="21EEF43B" w14:textId="77777777" w:rsidR="00C86459" w:rsidRPr="004C253A" w:rsidRDefault="00C86459" w:rsidP="00C86459">
      <w:pPr>
        <w:jc w:val="both"/>
        <w:rPr>
          <w:rFonts w:ascii="Open Sans" w:hAnsi="Open Sans" w:cs="Open Sans"/>
          <w:sz w:val="20"/>
        </w:rPr>
      </w:pPr>
      <w:r>
        <w:rPr>
          <w:rFonts w:ascii="Open Sans" w:hAnsi="Open Sans" w:cs="Open Sans"/>
          <w:sz w:val="20"/>
        </w:rPr>
        <w:t>El</w:t>
      </w:r>
      <w:r w:rsidRPr="004C253A">
        <w:rPr>
          <w:rFonts w:ascii="Open Sans" w:hAnsi="Open Sans" w:cs="Open Sans"/>
          <w:sz w:val="20"/>
        </w:rPr>
        <w:t xml:space="preserve"> banco recoge en un Anexo de las Cuentas Anuales información de los países en los que tiene presencia. No obstante, de acuerdo con la ley 10/2014, en su artículo 87 de Ordenación, Supervisión y Solvencia de Entidades de Crédito, solo presenta información sobre España, Portugal y EEUU pero no sobre los impuestos pagados a través de sus oficinas de representación, o de sus sociedades en las </w:t>
      </w:r>
      <w:r w:rsidRPr="004C253A">
        <w:rPr>
          <w:rFonts w:ascii="Open Sans" w:hAnsi="Open Sans" w:cs="Open Sans"/>
          <w:sz w:val="20"/>
          <w:szCs w:val="20"/>
        </w:rPr>
        <w:t xml:space="preserve">Islas Caimán o </w:t>
      </w:r>
      <w:r w:rsidRPr="004C253A">
        <w:rPr>
          <w:rFonts w:ascii="Open Sans" w:hAnsi="Open Sans" w:cs="Open Sans"/>
          <w:sz w:val="20"/>
        </w:rPr>
        <w:t>en Hong Kong, participadas</w:t>
      </w:r>
      <w:r w:rsidRPr="004C253A">
        <w:rPr>
          <w:rFonts w:ascii="Open Sans" w:hAnsi="Open Sans" w:cs="Open Sans"/>
          <w:sz w:val="20"/>
          <w:szCs w:val="20"/>
        </w:rPr>
        <w:t xml:space="preserve"> al 100%.</w:t>
      </w:r>
    </w:p>
    <w:p w14:paraId="671C4A55" w14:textId="77777777" w:rsidR="00C86459" w:rsidRPr="004C253A" w:rsidRDefault="00C86459" w:rsidP="00C86459">
      <w:pPr>
        <w:jc w:val="both"/>
        <w:rPr>
          <w:rFonts w:ascii="Open Sans" w:hAnsi="Open Sans" w:cs="Open Sans"/>
          <w:sz w:val="20"/>
          <w:szCs w:val="20"/>
        </w:rPr>
      </w:pPr>
    </w:p>
    <w:p w14:paraId="435C82FC"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En el ejercicio 2015, la compañía mantiene las siguientes sociedades domiciliadas en paraísos o nichos fiscales de acuerdo con la metodología del Observatorio de Responsabilidad Social Corporativa</w:t>
      </w:r>
      <w:r w:rsidRPr="004C253A">
        <w:rPr>
          <w:rStyle w:val="Refdenotaalpie"/>
          <w:rFonts w:ascii="Open Sans" w:hAnsi="Open Sans" w:cs="Open Sans"/>
          <w:sz w:val="20"/>
          <w:szCs w:val="20"/>
        </w:rPr>
        <w:footnoteReference w:id="501"/>
      </w:r>
      <w:r w:rsidRPr="004C253A">
        <w:rPr>
          <w:rFonts w:ascii="Open Sans" w:hAnsi="Open Sans" w:cs="Open Sans"/>
          <w:sz w:val="20"/>
          <w:szCs w:val="20"/>
        </w:rPr>
        <w:t>:</w:t>
      </w:r>
    </w:p>
    <w:p w14:paraId="4F19CACC" w14:textId="77777777" w:rsidR="00C86459" w:rsidRPr="004C253A" w:rsidRDefault="00C86459" w:rsidP="00C86459">
      <w:pPr>
        <w:jc w:val="both"/>
        <w:rPr>
          <w:rFonts w:ascii="Open Sans" w:hAnsi="Open Sans" w:cs="Open Sans"/>
          <w:sz w:val="20"/>
          <w:szCs w:val="20"/>
        </w:rPr>
      </w:pPr>
    </w:p>
    <w:p w14:paraId="2B85D85D" w14:textId="77777777" w:rsidR="00C86459" w:rsidRPr="004C253A" w:rsidRDefault="00C86459" w:rsidP="00C86459">
      <w:pPr>
        <w:jc w:val="both"/>
        <w:rPr>
          <w:rFonts w:ascii="Open Sans" w:hAnsi="Open Sans" w:cs="Open Sans"/>
          <w:sz w:val="20"/>
          <w:szCs w:val="20"/>
        </w:rPr>
      </w:pPr>
    </w:p>
    <w:tbl>
      <w:tblPr>
        <w:tblW w:w="82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20" w:firstRow="1" w:lastRow="0" w:firstColumn="0" w:lastColumn="0" w:noHBand="0" w:noVBand="1"/>
      </w:tblPr>
      <w:tblGrid>
        <w:gridCol w:w="3427"/>
        <w:gridCol w:w="2410"/>
        <w:gridCol w:w="2432"/>
      </w:tblGrid>
      <w:tr w:rsidR="00C86459" w:rsidRPr="004C253A" w14:paraId="17A32761" w14:textId="77777777" w:rsidTr="00C86459">
        <w:trPr>
          <w:jc w:val="center"/>
        </w:trPr>
        <w:tc>
          <w:tcPr>
            <w:tcW w:w="3427" w:type="dxa"/>
            <w:shd w:val="clear" w:color="auto" w:fill="A6A6A6"/>
          </w:tcPr>
          <w:p w14:paraId="48CA42F9" w14:textId="77777777" w:rsidR="00C86459" w:rsidRPr="004C253A" w:rsidRDefault="00C86459" w:rsidP="00C86459">
            <w:pPr>
              <w:tabs>
                <w:tab w:val="left" w:pos="426"/>
              </w:tabs>
              <w:autoSpaceDE w:val="0"/>
              <w:autoSpaceDN w:val="0"/>
              <w:adjustRightInd w:val="0"/>
              <w:jc w:val="center"/>
              <w:rPr>
                <w:rFonts w:ascii="Open Sans" w:hAnsi="Open Sans" w:cs="Open Sans"/>
                <w:sz w:val="20"/>
                <w:szCs w:val="20"/>
              </w:rPr>
            </w:pPr>
            <w:r w:rsidRPr="004C253A">
              <w:rPr>
                <w:rFonts w:ascii="Open Sans" w:hAnsi="Open Sans" w:cs="Open Sans"/>
                <w:sz w:val="20"/>
                <w:szCs w:val="20"/>
              </w:rPr>
              <w:t>Sociedad</w:t>
            </w:r>
          </w:p>
        </w:tc>
        <w:tc>
          <w:tcPr>
            <w:tcW w:w="2410" w:type="dxa"/>
            <w:shd w:val="clear" w:color="auto" w:fill="A6A6A6"/>
          </w:tcPr>
          <w:p w14:paraId="12782679" w14:textId="77777777" w:rsidR="00C86459" w:rsidRPr="004C253A" w:rsidRDefault="00C86459" w:rsidP="00C86459">
            <w:pPr>
              <w:tabs>
                <w:tab w:val="left" w:pos="426"/>
              </w:tabs>
              <w:autoSpaceDE w:val="0"/>
              <w:autoSpaceDN w:val="0"/>
              <w:adjustRightInd w:val="0"/>
              <w:jc w:val="center"/>
              <w:rPr>
                <w:rFonts w:ascii="Open Sans" w:hAnsi="Open Sans" w:cs="Open Sans"/>
                <w:sz w:val="20"/>
                <w:szCs w:val="20"/>
              </w:rPr>
            </w:pPr>
            <w:r w:rsidRPr="004C253A">
              <w:rPr>
                <w:rFonts w:ascii="Open Sans" w:hAnsi="Open Sans" w:cs="Open Sans"/>
                <w:sz w:val="20"/>
                <w:szCs w:val="20"/>
              </w:rPr>
              <w:t>Domicilio</w:t>
            </w:r>
          </w:p>
        </w:tc>
        <w:tc>
          <w:tcPr>
            <w:tcW w:w="2432" w:type="dxa"/>
            <w:shd w:val="clear" w:color="auto" w:fill="A6A6A6"/>
          </w:tcPr>
          <w:p w14:paraId="2668A588" w14:textId="77777777" w:rsidR="00C86459" w:rsidRPr="004C253A" w:rsidRDefault="00C86459" w:rsidP="00C86459">
            <w:pPr>
              <w:tabs>
                <w:tab w:val="left" w:pos="426"/>
              </w:tabs>
              <w:autoSpaceDE w:val="0"/>
              <w:autoSpaceDN w:val="0"/>
              <w:adjustRightInd w:val="0"/>
              <w:jc w:val="center"/>
              <w:rPr>
                <w:rFonts w:ascii="Open Sans" w:hAnsi="Open Sans" w:cs="Open Sans"/>
                <w:sz w:val="20"/>
                <w:szCs w:val="20"/>
              </w:rPr>
            </w:pPr>
            <w:r w:rsidRPr="004C253A">
              <w:rPr>
                <w:rFonts w:ascii="Open Sans" w:hAnsi="Open Sans" w:cs="Open Sans"/>
                <w:sz w:val="20"/>
                <w:szCs w:val="20"/>
              </w:rPr>
              <w:t>Actividad</w:t>
            </w:r>
          </w:p>
        </w:tc>
      </w:tr>
      <w:tr w:rsidR="00C86459" w:rsidRPr="004C253A" w14:paraId="73E21825" w14:textId="77777777" w:rsidTr="00C86459">
        <w:trPr>
          <w:jc w:val="center"/>
        </w:trPr>
        <w:tc>
          <w:tcPr>
            <w:tcW w:w="3427" w:type="dxa"/>
          </w:tcPr>
          <w:p w14:paraId="692A66F6"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BPE Preference International, LTD</w:t>
            </w:r>
          </w:p>
        </w:tc>
        <w:tc>
          <w:tcPr>
            <w:tcW w:w="2410" w:type="dxa"/>
          </w:tcPr>
          <w:p w14:paraId="1ABCEA73" w14:textId="77777777" w:rsidR="00C86459" w:rsidRPr="00A1554D" w:rsidRDefault="00C86459" w:rsidP="00C86459">
            <w:pPr>
              <w:autoSpaceDE w:val="0"/>
              <w:autoSpaceDN w:val="0"/>
              <w:adjustRightInd w:val="0"/>
              <w:rPr>
                <w:rFonts w:ascii="Open Sans" w:hAnsi="Open Sans" w:cs="Open Sans"/>
                <w:sz w:val="20"/>
                <w:szCs w:val="20"/>
                <w:lang w:val="en-GB"/>
              </w:rPr>
            </w:pPr>
            <w:r w:rsidRPr="00A1554D">
              <w:rPr>
                <w:rFonts w:ascii="Open Sans" w:hAnsi="Open Sans" w:cs="Open Sans"/>
                <w:sz w:val="20"/>
                <w:szCs w:val="20"/>
                <w:lang w:val="en-GB"/>
              </w:rPr>
              <w:t>Ugland House, George Town (Islas Caimán)</w:t>
            </w:r>
          </w:p>
        </w:tc>
        <w:tc>
          <w:tcPr>
            <w:tcW w:w="2432" w:type="dxa"/>
          </w:tcPr>
          <w:p w14:paraId="5C7AF3A6"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Instrumental financiera</w:t>
            </w:r>
          </w:p>
        </w:tc>
      </w:tr>
      <w:tr w:rsidR="00C86459" w:rsidRPr="004C253A" w14:paraId="3A95D114" w14:textId="77777777" w:rsidTr="00C86459">
        <w:trPr>
          <w:trHeight w:val="398"/>
          <w:jc w:val="center"/>
        </w:trPr>
        <w:tc>
          <w:tcPr>
            <w:tcW w:w="3427" w:type="dxa"/>
          </w:tcPr>
          <w:p w14:paraId="43C53269"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Popular Español Asia Trade, LTD</w:t>
            </w:r>
          </w:p>
        </w:tc>
        <w:tc>
          <w:tcPr>
            <w:tcW w:w="2410" w:type="dxa"/>
          </w:tcPr>
          <w:p w14:paraId="7F2BC06E" w14:textId="77777777" w:rsidR="00C86459" w:rsidRPr="00A1554D" w:rsidRDefault="00C86459" w:rsidP="00C86459">
            <w:pPr>
              <w:autoSpaceDE w:val="0"/>
              <w:autoSpaceDN w:val="0"/>
              <w:adjustRightInd w:val="0"/>
              <w:jc w:val="both"/>
              <w:rPr>
                <w:rFonts w:ascii="Open Sans" w:hAnsi="Open Sans" w:cs="Open Sans"/>
                <w:sz w:val="20"/>
                <w:szCs w:val="20"/>
                <w:lang w:val="en-GB"/>
              </w:rPr>
            </w:pPr>
            <w:r w:rsidRPr="00A1554D">
              <w:rPr>
                <w:rFonts w:ascii="Open Sans" w:hAnsi="Open Sans" w:cs="Open Sans"/>
                <w:sz w:val="20"/>
                <w:szCs w:val="20"/>
                <w:lang w:val="en-GB"/>
              </w:rPr>
              <w:t xml:space="preserve">13/F Tim Mei Avenue, Hong Kong </w:t>
            </w:r>
          </w:p>
        </w:tc>
        <w:tc>
          <w:tcPr>
            <w:tcW w:w="2432" w:type="dxa"/>
          </w:tcPr>
          <w:p w14:paraId="4C823771"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Instrumental financiera</w:t>
            </w:r>
          </w:p>
        </w:tc>
      </w:tr>
    </w:tbl>
    <w:p w14:paraId="2082BCBE" w14:textId="77777777" w:rsidR="00C86459" w:rsidRDefault="00C86459" w:rsidP="00C86459">
      <w:pPr>
        <w:jc w:val="both"/>
        <w:rPr>
          <w:rFonts w:ascii="Open Sans" w:hAnsi="Open Sans" w:cs="Open Sans"/>
          <w:sz w:val="20"/>
          <w:szCs w:val="20"/>
        </w:rPr>
      </w:pPr>
    </w:p>
    <w:p w14:paraId="528F7BA5" w14:textId="77777777" w:rsidR="00C86459" w:rsidRPr="004C253A" w:rsidRDefault="00C86459" w:rsidP="00C86459">
      <w:pPr>
        <w:jc w:val="both"/>
        <w:rPr>
          <w:rFonts w:ascii="Open Sans" w:hAnsi="Open Sans" w:cs="Open Sans"/>
          <w:sz w:val="20"/>
          <w:szCs w:val="20"/>
        </w:rPr>
      </w:pPr>
    </w:p>
    <w:p w14:paraId="658752BD"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xml:space="preserve">Además </w:t>
      </w:r>
      <w:r w:rsidRPr="004C253A">
        <w:rPr>
          <w:rFonts w:ascii="Open Sans" w:hAnsi="Open Sans" w:cs="Open Sans"/>
          <w:sz w:val="20"/>
          <w:szCs w:val="20"/>
          <w:lang w:val="es-CL"/>
        </w:rPr>
        <w:t xml:space="preserve">posee </w:t>
      </w:r>
      <w:r w:rsidRPr="004C253A">
        <w:rPr>
          <w:rFonts w:ascii="Open Sans" w:hAnsi="Open Sans" w:cs="Open Sans"/>
          <w:sz w:val="20"/>
          <w:szCs w:val="20"/>
        </w:rPr>
        <w:t>oficinas de representación en los siguientes Nichos fiscales: Emiratos Árabes (Dubái) y Suiza (Ginebra)</w:t>
      </w:r>
      <w:r w:rsidRPr="004C253A">
        <w:rPr>
          <w:rStyle w:val="Refdenotaalpie"/>
          <w:rFonts w:ascii="Open Sans" w:hAnsi="Open Sans" w:cs="Open Sans"/>
          <w:sz w:val="20"/>
          <w:szCs w:val="20"/>
        </w:rPr>
        <w:footnoteReference w:id="502"/>
      </w:r>
      <w:r w:rsidRPr="004C253A">
        <w:rPr>
          <w:rFonts w:ascii="Open Sans" w:hAnsi="Open Sans" w:cs="Open Sans"/>
          <w:sz w:val="20"/>
          <w:szCs w:val="20"/>
        </w:rPr>
        <w:t xml:space="preserve"> .</w:t>
      </w:r>
    </w:p>
    <w:p w14:paraId="137E08C9" w14:textId="77777777" w:rsidR="00C86459" w:rsidRPr="004C253A" w:rsidRDefault="00C86459" w:rsidP="00C86459">
      <w:pPr>
        <w:jc w:val="both"/>
        <w:rPr>
          <w:rFonts w:ascii="Open Sans" w:hAnsi="Open Sans" w:cs="Open Sans"/>
          <w:sz w:val="20"/>
          <w:szCs w:val="20"/>
        </w:rPr>
      </w:pPr>
    </w:p>
    <w:p w14:paraId="6523BE9D"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rPr>
        <w:t>BPE Finance International LTD y BPE Preference International, LTD, ambas con domicilio social en las Islas Caimán, se encuentran inactivas desde el año 2003. Fueron constituidas para la emisión de participaciones preferentes a comienzos de 2000 que fueron colocadas entre inversores particulares a través de las sucursales del banco en España. Su actividad actual se limita al mantenimiento de las emisiones pendientes de amortización (unas vencen en el año 2039 y otras tienen carácter de participaciones perpetuas). Popular Español Asia Trade, LTD, tiene como finalidad la emisión de cartas de crédito en diferentes países de Asia. En el caso de BPE Finance International LTD ha sido liquidada durante 2014.</w:t>
      </w:r>
    </w:p>
    <w:p w14:paraId="275484B3" w14:textId="77777777" w:rsidR="00C86459" w:rsidRPr="004C253A" w:rsidRDefault="00C86459" w:rsidP="00C86459">
      <w:pPr>
        <w:autoSpaceDE w:val="0"/>
        <w:autoSpaceDN w:val="0"/>
        <w:adjustRightInd w:val="0"/>
        <w:jc w:val="both"/>
        <w:rPr>
          <w:rFonts w:ascii="Open Sans" w:hAnsi="Open Sans" w:cs="Open Sans"/>
          <w:sz w:val="20"/>
          <w:szCs w:val="20"/>
        </w:rPr>
      </w:pPr>
    </w:p>
    <w:p w14:paraId="70737D93"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En el 2004 la Comisión ejecutiva del Banco, actualmente Comisión Delegada, estableció la política en relación con los establecimientos off-shore, se mantiene el compromiso de reducir paulatinamente su actividad como paso previo al cese de la misma en aquellos casos en los que fuera viable. A cierre del ejercicio 2015, tan solo queda un establecimiento off–shore, BPE Preference International, LTD, cuyos activos suponen un 0,005% respecto a la totalidad del Grupo.</w:t>
      </w:r>
    </w:p>
    <w:p w14:paraId="19A5533C" w14:textId="77777777" w:rsidR="00C86459" w:rsidRPr="004C253A" w:rsidRDefault="00C86459" w:rsidP="00C86459">
      <w:pPr>
        <w:jc w:val="both"/>
        <w:rPr>
          <w:rFonts w:ascii="Open Sans" w:hAnsi="Open Sans" w:cs="Open Sans"/>
          <w:sz w:val="20"/>
          <w:szCs w:val="20"/>
        </w:rPr>
      </w:pPr>
    </w:p>
    <w:p w14:paraId="7676EEC0"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No obstante, la entidad comunicó a la Comisión Nacional del Mercado de Valores (CNMV) el pasado octubre del 2016 que amortizará tres emisiones de preferentes por importe total de 8,33 millones de euros. Después de esta operación sólo quedaría vivo un importe residual de 5,5 millones de euros "cuya amortización se realizará el mes que viene", cerrando de esa manera la última sociedad el banco que mantenía en un paraíso fiscal</w:t>
      </w:r>
      <w:r w:rsidRPr="004C253A">
        <w:rPr>
          <w:rStyle w:val="Refdenotaalpie"/>
          <w:rFonts w:ascii="Open Sans" w:hAnsi="Open Sans" w:cs="Open Sans"/>
          <w:sz w:val="20"/>
          <w:szCs w:val="20"/>
        </w:rPr>
        <w:footnoteReference w:id="503"/>
      </w:r>
      <w:r w:rsidRPr="004C253A">
        <w:rPr>
          <w:rFonts w:ascii="Open Sans" w:hAnsi="Open Sans" w:cs="Open Sans"/>
          <w:sz w:val="20"/>
          <w:szCs w:val="20"/>
        </w:rPr>
        <w:t>.</w:t>
      </w:r>
    </w:p>
    <w:p w14:paraId="4BB2204E" w14:textId="77777777" w:rsidR="00C86459" w:rsidRPr="004C253A" w:rsidRDefault="00C86459" w:rsidP="00C86459">
      <w:pPr>
        <w:jc w:val="both"/>
        <w:rPr>
          <w:rFonts w:ascii="Open Sans" w:hAnsi="Open Sans" w:cs="Open Sans"/>
          <w:sz w:val="20"/>
          <w:szCs w:val="20"/>
        </w:rPr>
      </w:pPr>
    </w:p>
    <w:p w14:paraId="0B8E2130" w14:textId="77777777" w:rsidR="00C86459" w:rsidRPr="004C253A" w:rsidRDefault="00C86459" w:rsidP="00C86459">
      <w:pPr>
        <w:pStyle w:val="NormalWeb"/>
        <w:shd w:val="clear" w:color="auto" w:fill="FFFFFF"/>
        <w:tabs>
          <w:tab w:val="left" w:pos="8364"/>
          <w:tab w:val="left" w:pos="8504"/>
        </w:tabs>
        <w:spacing w:before="120" w:after="240" w:line="270" w:lineRule="atLeast"/>
        <w:ind w:right="-1"/>
        <w:jc w:val="both"/>
        <w:rPr>
          <w:rFonts w:ascii="Open Sans" w:hAnsi="Open Sans" w:cs="Open Sans"/>
          <w:sz w:val="20"/>
          <w:szCs w:val="20"/>
        </w:rPr>
      </w:pPr>
      <w:r w:rsidRPr="004C253A">
        <w:rPr>
          <w:rFonts w:ascii="Open Sans" w:hAnsi="Open Sans" w:cs="Open Sans"/>
          <w:sz w:val="20"/>
          <w:szCs w:val="20"/>
        </w:rPr>
        <w:t>La Ley 10/2014 establece en su artículo 87, que las entidades de crédito deben publicar anualmente, como anexo de sus estados financieros auditados, y remitir al Banco de España el denominado "Informe bancario anual". Por su parte, el Banco de España debe mantener disponibles estos informes en su página de internet.</w:t>
      </w:r>
    </w:p>
    <w:p w14:paraId="669BE189" w14:textId="77777777" w:rsidR="00C86459" w:rsidRPr="004C253A" w:rsidRDefault="00C86459" w:rsidP="00C86459">
      <w:pPr>
        <w:shd w:val="clear" w:color="auto" w:fill="FFFFFF"/>
        <w:tabs>
          <w:tab w:val="left" w:pos="8364"/>
          <w:tab w:val="left" w:pos="8504"/>
        </w:tabs>
        <w:spacing w:before="120" w:after="240" w:line="270" w:lineRule="atLeast"/>
        <w:ind w:right="-1"/>
        <w:jc w:val="both"/>
        <w:rPr>
          <w:rFonts w:ascii="Open Sans" w:hAnsi="Open Sans" w:cs="Open Sans"/>
          <w:sz w:val="20"/>
        </w:rPr>
      </w:pPr>
      <w:r w:rsidRPr="004C253A">
        <w:rPr>
          <w:rFonts w:ascii="Open Sans" w:hAnsi="Open Sans" w:cs="Open Sans"/>
          <w:sz w:val="20"/>
        </w:rPr>
        <w:t>Este informe ofrece, en base consolidada y con detalle por países, la siguiente información:</w:t>
      </w:r>
    </w:p>
    <w:p w14:paraId="05284055" w14:textId="77777777" w:rsidR="00C86459" w:rsidRPr="004C253A" w:rsidRDefault="00C86459" w:rsidP="000B70C9">
      <w:pPr>
        <w:numPr>
          <w:ilvl w:val="0"/>
          <w:numId w:val="96"/>
        </w:numPr>
        <w:shd w:val="clear" w:color="auto" w:fill="FFFFFF"/>
        <w:spacing w:before="100" w:beforeAutospacing="1" w:line="270" w:lineRule="atLeast"/>
        <w:ind w:right="120"/>
        <w:jc w:val="both"/>
        <w:rPr>
          <w:rFonts w:ascii="Open Sans" w:hAnsi="Open Sans" w:cs="Open Sans"/>
          <w:sz w:val="20"/>
        </w:rPr>
      </w:pPr>
      <w:r w:rsidRPr="004C253A">
        <w:rPr>
          <w:rFonts w:ascii="Open Sans" w:hAnsi="Open Sans" w:cs="Open Sans"/>
          <w:sz w:val="20"/>
        </w:rPr>
        <w:t>Denominación, naturaleza y ubicación geográfica de la actividad.</w:t>
      </w:r>
    </w:p>
    <w:p w14:paraId="74389E25" w14:textId="77777777" w:rsidR="00C86459" w:rsidRPr="004C253A" w:rsidRDefault="00C86459" w:rsidP="000B70C9">
      <w:pPr>
        <w:numPr>
          <w:ilvl w:val="0"/>
          <w:numId w:val="96"/>
        </w:numPr>
        <w:shd w:val="clear" w:color="auto" w:fill="FFFFFF"/>
        <w:spacing w:before="100" w:beforeAutospacing="1" w:line="270" w:lineRule="atLeast"/>
        <w:ind w:right="120"/>
        <w:jc w:val="both"/>
        <w:rPr>
          <w:rFonts w:ascii="Open Sans" w:hAnsi="Open Sans" w:cs="Open Sans"/>
          <w:sz w:val="20"/>
        </w:rPr>
      </w:pPr>
      <w:r w:rsidRPr="004C253A">
        <w:rPr>
          <w:rFonts w:ascii="Open Sans" w:hAnsi="Open Sans" w:cs="Open Sans"/>
          <w:sz w:val="20"/>
        </w:rPr>
        <w:t>Volumen de negocio.</w:t>
      </w:r>
    </w:p>
    <w:p w14:paraId="3B17E428" w14:textId="77777777" w:rsidR="00C86459" w:rsidRPr="004C253A" w:rsidRDefault="00C86459" w:rsidP="000B70C9">
      <w:pPr>
        <w:numPr>
          <w:ilvl w:val="0"/>
          <w:numId w:val="96"/>
        </w:numPr>
        <w:shd w:val="clear" w:color="auto" w:fill="FFFFFF"/>
        <w:spacing w:before="100" w:beforeAutospacing="1" w:line="270" w:lineRule="atLeast"/>
        <w:ind w:right="120"/>
        <w:jc w:val="both"/>
        <w:rPr>
          <w:rFonts w:ascii="Open Sans" w:hAnsi="Open Sans" w:cs="Open Sans"/>
          <w:sz w:val="20"/>
        </w:rPr>
      </w:pPr>
      <w:r w:rsidRPr="004C253A">
        <w:rPr>
          <w:rFonts w:ascii="Open Sans" w:hAnsi="Open Sans" w:cs="Open Sans"/>
          <w:sz w:val="20"/>
        </w:rPr>
        <w:t>Número de empleados a tiempo completo.</w:t>
      </w:r>
    </w:p>
    <w:p w14:paraId="1E98AFF8" w14:textId="77777777" w:rsidR="00C86459" w:rsidRPr="004C253A" w:rsidRDefault="00C86459" w:rsidP="000B70C9">
      <w:pPr>
        <w:numPr>
          <w:ilvl w:val="0"/>
          <w:numId w:val="96"/>
        </w:numPr>
        <w:shd w:val="clear" w:color="auto" w:fill="FFFFFF"/>
        <w:spacing w:before="100" w:beforeAutospacing="1" w:line="270" w:lineRule="atLeast"/>
        <w:ind w:right="120"/>
        <w:jc w:val="both"/>
        <w:rPr>
          <w:rFonts w:ascii="Open Sans" w:hAnsi="Open Sans" w:cs="Open Sans"/>
          <w:sz w:val="20"/>
        </w:rPr>
      </w:pPr>
      <w:r w:rsidRPr="004C253A">
        <w:rPr>
          <w:rFonts w:ascii="Open Sans" w:hAnsi="Open Sans" w:cs="Open Sans"/>
          <w:sz w:val="20"/>
        </w:rPr>
        <w:t>Resultado bruto antes de impuestos.</w:t>
      </w:r>
    </w:p>
    <w:p w14:paraId="62A383F9" w14:textId="77777777" w:rsidR="00C86459" w:rsidRPr="004C253A" w:rsidRDefault="00C86459" w:rsidP="000B70C9">
      <w:pPr>
        <w:numPr>
          <w:ilvl w:val="0"/>
          <w:numId w:val="96"/>
        </w:numPr>
        <w:shd w:val="clear" w:color="auto" w:fill="FFFFFF"/>
        <w:spacing w:before="100" w:beforeAutospacing="1" w:line="270" w:lineRule="atLeast"/>
        <w:ind w:right="120"/>
        <w:jc w:val="both"/>
        <w:rPr>
          <w:rFonts w:ascii="Open Sans" w:hAnsi="Open Sans" w:cs="Open Sans"/>
          <w:sz w:val="20"/>
        </w:rPr>
      </w:pPr>
      <w:r w:rsidRPr="004C253A">
        <w:rPr>
          <w:rFonts w:ascii="Open Sans" w:hAnsi="Open Sans" w:cs="Open Sans"/>
          <w:sz w:val="20"/>
        </w:rPr>
        <w:t>Impuestos sobre el resultado.</w:t>
      </w:r>
    </w:p>
    <w:p w14:paraId="360AE137" w14:textId="77777777" w:rsidR="00C86459" w:rsidRDefault="00C86459" w:rsidP="000B70C9">
      <w:pPr>
        <w:numPr>
          <w:ilvl w:val="0"/>
          <w:numId w:val="96"/>
        </w:numPr>
        <w:shd w:val="clear" w:color="auto" w:fill="FFFFFF"/>
        <w:spacing w:before="100" w:beforeAutospacing="1" w:line="270" w:lineRule="atLeast"/>
        <w:ind w:right="120"/>
        <w:jc w:val="both"/>
        <w:rPr>
          <w:rFonts w:ascii="Open Sans" w:hAnsi="Open Sans" w:cs="Open Sans"/>
          <w:sz w:val="20"/>
        </w:rPr>
      </w:pPr>
      <w:r w:rsidRPr="004C253A">
        <w:rPr>
          <w:rFonts w:ascii="Open Sans" w:hAnsi="Open Sans" w:cs="Open Sans"/>
          <w:sz w:val="20"/>
        </w:rPr>
        <w:t>Subvenciones o ayudas públicas recibidas.</w:t>
      </w:r>
    </w:p>
    <w:p w14:paraId="5A6EDB30" w14:textId="77777777" w:rsidR="00C86459" w:rsidRPr="004C253A" w:rsidRDefault="00C86459" w:rsidP="00C86459">
      <w:pPr>
        <w:shd w:val="clear" w:color="auto" w:fill="FFFFFF"/>
        <w:spacing w:line="270" w:lineRule="atLeast"/>
        <w:ind w:left="720" w:right="120"/>
        <w:jc w:val="both"/>
        <w:rPr>
          <w:rFonts w:ascii="Open Sans" w:hAnsi="Open Sans" w:cs="Open Sans"/>
          <w:sz w:val="20"/>
        </w:rPr>
      </w:pPr>
    </w:p>
    <w:p w14:paraId="69DBA2F7" w14:textId="77777777" w:rsidR="00C86459" w:rsidRDefault="00C86459" w:rsidP="00C86459">
      <w:pPr>
        <w:pStyle w:val="NormalWeb"/>
        <w:shd w:val="clear" w:color="auto" w:fill="FFFFFF"/>
        <w:spacing w:line="270" w:lineRule="atLeast"/>
        <w:ind w:right="-1"/>
        <w:jc w:val="both"/>
        <w:rPr>
          <w:rFonts w:ascii="Open Sans" w:eastAsia="Open Sans" w:hAnsi="Open Sans" w:cs="Open Sans"/>
          <w:sz w:val="20"/>
        </w:rPr>
      </w:pPr>
      <w:r w:rsidRPr="004C253A">
        <w:rPr>
          <w:rFonts w:ascii="Open Sans" w:eastAsia="Open Sans" w:hAnsi="Open Sans" w:cs="Open Sans"/>
          <w:sz w:val="20"/>
        </w:rPr>
        <w:t>Además, el informe bancario anual debe contener, entre los indicadores clave, el rendimiento de sus activos, que se calculará dividiendo el beneficio neto por el balance total.</w:t>
      </w:r>
    </w:p>
    <w:p w14:paraId="2A07D877" w14:textId="77777777" w:rsidR="00C86459" w:rsidRDefault="00C86459" w:rsidP="00C86459">
      <w:pPr>
        <w:pStyle w:val="NormalWeb"/>
        <w:shd w:val="clear" w:color="auto" w:fill="FFFFFF"/>
        <w:spacing w:line="270" w:lineRule="atLeast"/>
        <w:ind w:right="-1"/>
        <w:jc w:val="both"/>
        <w:rPr>
          <w:rFonts w:ascii="Open Sans" w:eastAsia="Open Sans" w:hAnsi="Open Sans" w:cs="Open Sans"/>
          <w:sz w:val="20"/>
        </w:rPr>
      </w:pPr>
    </w:p>
    <w:p w14:paraId="0A0814F1" w14:textId="77777777" w:rsidR="00C86459" w:rsidRPr="004C253A" w:rsidRDefault="00C86459" w:rsidP="00C86459">
      <w:pPr>
        <w:pStyle w:val="NormalWeb"/>
        <w:shd w:val="clear" w:color="auto" w:fill="FFFFFF"/>
        <w:spacing w:line="270" w:lineRule="atLeast"/>
        <w:ind w:right="-1"/>
        <w:jc w:val="both"/>
        <w:rPr>
          <w:rFonts w:ascii="Open Sans" w:hAnsi="Open Sans" w:cs="Open Sans"/>
          <w:sz w:val="20"/>
        </w:rPr>
      </w:pPr>
      <w:r w:rsidRPr="004C253A">
        <w:rPr>
          <w:rFonts w:ascii="Open Sans" w:hAnsi="Open Sans" w:cs="Open Sans"/>
          <w:sz w:val="20"/>
        </w:rPr>
        <w:t xml:space="preserve">Banco Popular declara que a cierre de 2015, no ha recibido ayudas públicas ni </w:t>
      </w:r>
      <w:proofErr w:type="gramStart"/>
      <w:r w:rsidRPr="004C253A">
        <w:rPr>
          <w:rFonts w:ascii="Open Sans" w:hAnsi="Open Sans" w:cs="Open Sans"/>
          <w:sz w:val="20"/>
        </w:rPr>
        <w:t>traspasado activos inmobiliarios</w:t>
      </w:r>
      <w:proofErr w:type="gramEnd"/>
      <w:r w:rsidRPr="004C253A">
        <w:rPr>
          <w:rFonts w:ascii="Open Sans" w:hAnsi="Open Sans" w:cs="Open Sans"/>
          <w:sz w:val="20"/>
        </w:rPr>
        <w:t xml:space="preserve"> a la SAREB</w:t>
      </w:r>
      <w:r w:rsidRPr="004C253A">
        <w:rPr>
          <w:rStyle w:val="Refdenotaalpie"/>
          <w:rFonts w:ascii="Open Sans" w:hAnsi="Open Sans" w:cs="Open Sans"/>
          <w:sz w:val="20"/>
        </w:rPr>
        <w:footnoteReference w:id="504"/>
      </w:r>
      <w:r w:rsidRPr="004C253A">
        <w:rPr>
          <w:rFonts w:ascii="Open Sans" w:hAnsi="Open Sans" w:cs="Open Sans"/>
          <w:sz w:val="20"/>
        </w:rPr>
        <w:t xml:space="preserve">. </w:t>
      </w:r>
      <w:r>
        <w:rPr>
          <w:rFonts w:ascii="Open Sans" w:hAnsi="Open Sans" w:cs="Open Sans"/>
          <w:sz w:val="20"/>
        </w:rPr>
        <w:t xml:space="preserve">Se desconoce si el </w:t>
      </w:r>
      <w:r w:rsidRPr="004C253A">
        <w:rPr>
          <w:rFonts w:ascii="Open Sans" w:hAnsi="Open Sans" w:cs="Open Sans"/>
          <w:sz w:val="20"/>
        </w:rPr>
        <w:t>Banco ha hecho uso de EPA</w:t>
      </w:r>
      <w:r>
        <w:rPr>
          <w:rFonts w:ascii="Open Sans" w:hAnsi="Open Sans" w:cs="Open Sans"/>
          <w:sz w:val="20"/>
        </w:rPr>
        <w:t xml:space="preserve"> (Esquema de Protección de Activosd)</w:t>
      </w:r>
      <w:r w:rsidRPr="004C253A">
        <w:rPr>
          <w:rFonts w:ascii="Open Sans" w:hAnsi="Open Sans" w:cs="Open Sans"/>
          <w:sz w:val="20"/>
        </w:rPr>
        <w:t>, aunque el diario Cinco Días indica que no ha recibido apoyos por este concepto</w:t>
      </w:r>
      <w:r w:rsidRPr="004C253A">
        <w:rPr>
          <w:rStyle w:val="Refdenotaalpie"/>
          <w:rFonts w:ascii="Open Sans" w:hAnsi="Open Sans" w:cs="Open Sans"/>
          <w:sz w:val="20"/>
        </w:rPr>
        <w:footnoteReference w:id="505"/>
      </w:r>
      <w:r w:rsidRPr="004C253A">
        <w:rPr>
          <w:rFonts w:ascii="Open Sans" w:hAnsi="Open Sans" w:cs="Open Sans"/>
          <w:sz w:val="20"/>
        </w:rPr>
        <w:t>.</w:t>
      </w:r>
    </w:p>
    <w:p w14:paraId="73180E81" w14:textId="77777777" w:rsidR="00C86459" w:rsidRPr="004C253A" w:rsidRDefault="00C86459" w:rsidP="00C86459">
      <w:pPr>
        <w:jc w:val="both"/>
        <w:rPr>
          <w:rFonts w:ascii="Open Sans" w:hAnsi="Open Sans" w:cs="Open Sans"/>
          <w:sz w:val="20"/>
        </w:rPr>
      </w:pPr>
    </w:p>
    <w:p w14:paraId="7CF16A76" w14:textId="77777777" w:rsidR="00C86459" w:rsidRPr="004C253A" w:rsidRDefault="00C86459" w:rsidP="00C86459">
      <w:pPr>
        <w:jc w:val="both"/>
        <w:rPr>
          <w:rFonts w:ascii="Open Sans" w:hAnsi="Open Sans" w:cs="Open Sans"/>
          <w:sz w:val="20"/>
        </w:rPr>
      </w:pPr>
    </w:p>
    <w:p w14:paraId="548E3DF5"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Política y estrategia Fiscal</w:t>
      </w:r>
    </w:p>
    <w:p w14:paraId="6FEBBB0A" w14:textId="77777777" w:rsidR="00C86459" w:rsidRPr="004C253A" w:rsidRDefault="00C86459" w:rsidP="00C86459">
      <w:pPr>
        <w:jc w:val="both"/>
        <w:rPr>
          <w:rFonts w:ascii="Open Sans" w:hAnsi="Open Sans" w:cs="Open Sans"/>
          <w:sz w:val="20"/>
        </w:rPr>
      </w:pPr>
    </w:p>
    <w:p w14:paraId="41736312" w14:textId="77777777" w:rsidR="00C86459" w:rsidRPr="004C253A" w:rsidRDefault="00C86459" w:rsidP="00C86459">
      <w:pPr>
        <w:autoSpaceDE w:val="0"/>
        <w:autoSpaceDN w:val="0"/>
        <w:adjustRightInd w:val="0"/>
        <w:jc w:val="both"/>
        <w:rPr>
          <w:rFonts w:ascii="Open Sans" w:hAnsi="Open Sans" w:cs="Open Sans"/>
          <w:sz w:val="20"/>
          <w:szCs w:val="20"/>
          <w:lang w:val="es-CL"/>
        </w:rPr>
      </w:pPr>
      <w:r w:rsidRPr="004C253A">
        <w:rPr>
          <w:rFonts w:ascii="Open Sans" w:hAnsi="Open Sans" w:cs="Open Sans"/>
          <w:sz w:val="20"/>
          <w:szCs w:val="20"/>
        </w:rPr>
        <w:t>En relación con su política fiscal, se plantea que la Comisión de Auditoría, es el órgano que informa al Consejo de Administración para las decisiones sobre la creación o adquisición “</w:t>
      </w:r>
      <w:r w:rsidRPr="004C253A">
        <w:rPr>
          <w:rFonts w:ascii="Open Sans" w:hAnsi="Open Sans" w:cs="Open Sans"/>
          <w:sz w:val="20"/>
          <w:szCs w:val="20"/>
          <w:lang w:val="es-CL"/>
        </w:rPr>
        <w:t xml:space="preserve">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 </w:t>
      </w:r>
    </w:p>
    <w:p w14:paraId="02AC8DDF" w14:textId="77777777" w:rsidR="00C86459" w:rsidRPr="004C253A" w:rsidRDefault="00C86459" w:rsidP="00C86459">
      <w:pPr>
        <w:autoSpaceDE w:val="0"/>
        <w:autoSpaceDN w:val="0"/>
        <w:adjustRightInd w:val="0"/>
        <w:jc w:val="both"/>
        <w:rPr>
          <w:rFonts w:ascii="Open Sans" w:hAnsi="Open Sans" w:cs="Open Sans"/>
          <w:sz w:val="20"/>
          <w:szCs w:val="20"/>
          <w:lang w:val="es-CL"/>
        </w:rPr>
      </w:pPr>
    </w:p>
    <w:p w14:paraId="30CB5FCE" w14:textId="77777777" w:rsidR="00C86459" w:rsidRPr="004C253A" w:rsidRDefault="00C86459" w:rsidP="00C86459">
      <w:pPr>
        <w:autoSpaceDE w:val="0"/>
        <w:autoSpaceDN w:val="0"/>
        <w:adjustRightInd w:val="0"/>
        <w:jc w:val="both"/>
        <w:rPr>
          <w:rFonts w:ascii="Open Sans" w:hAnsi="Open Sans" w:cs="Open Sans"/>
          <w:sz w:val="20"/>
          <w:szCs w:val="20"/>
          <w:lang w:val="es-CL"/>
        </w:rPr>
      </w:pPr>
      <w:r w:rsidRPr="004C253A">
        <w:rPr>
          <w:rFonts w:ascii="Open Sans" w:hAnsi="Open Sans" w:cs="Open Sans"/>
          <w:sz w:val="20"/>
          <w:szCs w:val="20"/>
          <w:lang w:val="es-CL"/>
        </w:rPr>
        <w:t xml:space="preserve">Por otra parte, el Reglamento del Consejo en su artículo 5.2 “el Consejo de Administración en pleno se reserva la competencia de aprobar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 </w:t>
      </w:r>
    </w:p>
    <w:p w14:paraId="052739BC" w14:textId="77777777" w:rsidR="00C86459" w:rsidRPr="004C253A" w:rsidRDefault="00C86459" w:rsidP="00C86459">
      <w:pPr>
        <w:autoSpaceDE w:val="0"/>
        <w:autoSpaceDN w:val="0"/>
        <w:adjustRightInd w:val="0"/>
        <w:jc w:val="both"/>
        <w:rPr>
          <w:rFonts w:ascii="Open Sans" w:hAnsi="Open Sans" w:cs="Open Sans"/>
          <w:sz w:val="20"/>
          <w:szCs w:val="20"/>
          <w:lang w:val="es-CL"/>
        </w:rPr>
      </w:pPr>
    </w:p>
    <w:p w14:paraId="4CDE87E2" w14:textId="77777777" w:rsidR="00C86459" w:rsidRPr="004C253A" w:rsidRDefault="00C86459" w:rsidP="00C86459">
      <w:pPr>
        <w:autoSpaceDE w:val="0"/>
        <w:autoSpaceDN w:val="0"/>
        <w:adjustRightInd w:val="0"/>
        <w:jc w:val="both"/>
        <w:rPr>
          <w:rFonts w:ascii="Open Sans" w:hAnsi="Open Sans" w:cs="Open Sans"/>
          <w:sz w:val="20"/>
          <w:szCs w:val="20"/>
        </w:rPr>
      </w:pPr>
      <w:r w:rsidRPr="004C253A">
        <w:rPr>
          <w:rFonts w:ascii="Open Sans" w:hAnsi="Open Sans" w:cs="Open Sans"/>
          <w:sz w:val="20"/>
          <w:szCs w:val="20"/>
          <w:lang w:val="es-CL"/>
        </w:rPr>
        <w:t>No obstante, no se da cuenta de los criterios de selección o procedimientos de evaluación al respecto ni por la Comisión de Auditoría ni por el Consejo.</w:t>
      </w:r>
    </w:p>
    <w:p w14:paraId="100FD7D9" w14:textId="77777777" w:rsidR="00C86459" w:rsidRPr="004C253A" w:rsidRDefault="00C86459" w:rsidP="00C86459">
      <w:pPr>
        <w:autoSpaceDE w:val="0"/>
        <w:autoSpaceDN w:val="0"/>
        <w:adjustRightInd w:val="0"/>
        <w:jc w:val="both"/>
        <w:rPr>
          <w:rFonts w:ascii="Open Sans" w:hAnsi="Open Sans" w:cs="Open Sans"/>
          <w:sz w:val="20"/>
          <w:szCs w:val="20"/>
        </w:rPr>
      </w:pPr>
    </w:p>
    <w:p w14:paraId="4AD86524" w14:textId="77777777" w:rsidR="00C86459" w:rsidRPr="004C253A" w:rsidRDefault="00C86459" w:rsidP="00C86459">
      <w:pPr>
        <w:autoSpaceDE w:val="0"/>
        <w:autoSpaceDN w:val="0"/>
        <w:adjustRightInd w:val="0"/>
        <w:jc w:val="both"/>
        <w:rPr>
          <w:rFonts w:ascii="Open Sans" w:hAnsi="Open Sans" w:cs="Open Sans"/>
          <w:bCs/>
          <w:sz w:val="20"/>
          <w:szCs w:val="20"/>
        </w:rPr>
      </w:pPr>
      <w:r w:rsidRPr="004C253A">
        <w:rPr>
          <w:rFonts w:ascii="Open Sans" w:hAnsi="Open Sans" w:cs="Open Sans"/>
          <w:bCs/>
          <w:sz w:val="20"/>
          <w:szCs w:val="20"/>
        </w:rPr>
        <w:t>En este sentido, es de destacar la desaparición de la compañía en paraísos fiscales (no así en nichos) aunque haya sido con posterioridad al periodo analizado.</w:t>
      </w:r>
    </w:p>
    <w:p w14:paraId="6AACF097" w14:textId="77777777" w:rsidR="00C86459" w:rsidRPr="004C253A" w:rsidRDefault="00C86459" w:rsidP="00C86459">
      <w:pPr>
        <w:autoSpaceDE w:val="0"/>
        <w:autoSpaceDN w:val="0"/>
        <w:adjustRightInd w:val="0"/>
        <w:jc w:val="both"/>
        <w:rPr>
          <w:rFonts w:ascii="Open Sans" w:hAnsi="Open Sans" w:cs="Open Sans"/>
          <w:bCs/>
          <w:sz w:val="20"/>
          <w:szCs w:val="20"/>
        </w:rPr>
      </w:pPr>
    </w:p>
    <w:p w14:paraId="0796BAE2" w14:textId="77777777" w:rsidR="00C86459" w:rsidRPr="004C253A" w:rsidRDefault="00C86459" w:rsidP="00C86459">
      <w:pPr>
        <w:autoSpaceDE w:val="0"/>
        <w:autoSpaceDN w:val="0"/>
        <w:adjustRightInd w:val="0"/>
        <w:jc w:val="both"/>
        <w:rPr>
          <w:rFonts w:ascii="Open Sans" w:hAnsi="Open Sans" w:cs="Open Sans"/>
          <w:bCs/>
          <w:sz w:val="20"/>
          <w:szCs w:val="20"/>
        </w:rPr>
      </w:pPr>
    </w:p>
    <w:p w14:paraId="3C8C2467"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Impuestos e incentivos.</w:t>
      </w:r>
    </w:p>
    <w:p w14:paraId="675D5503" w14:textId="77777777" w:rsidR="00C86459" w:rsidRPr="004C253A" w:rsidRDefault="00C86459" w:rsidP="00C86459">
      <w:pPr>
        <w:jc w:val="both"/>
        <w:rPr>
          <w:rFonts w:ascii="Open Sans" w:hAnsi="Open Sans" w:cs="Open Sans"/>
          <w:sz w:val="20"/>
          <w:szCs w:val="20"/>
          <w:u w:val="single"/>
        </w:rPr>
      </w:pPr>
    </w:p>
    <w:p w14:paraId="02934CE1"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La empresa no informa sobre el impuesto sobre sociedades que soporta en cada uno de los países en los que opera en ninguno de sus documentos, salvo en el Informe bancario anual que remite al Banco de España y sólo de España, Portugal y Estados Unidos. Así mismo, tampoco explica a qué se debe la diferencia entre la tasa impositiva efectiva y la tasa impositiva nominal del impuesto sobre sociedades, aunque en el Informe Anual 2015 - Informe de Gestión Individual recoge en un cuadro “para los ejercicios 2015 y 2014 la conciliación, para Banco Popular Español, S.A., del resultado contable con la base imponible del Impuesto sobre Sociedades, así como los cálculos necesarios para determinar, el gasto por impuesto sobre beneficios, teniendo en cuenta no sólo el beneficio antes de impuestos, sino también las diferencias permanentes al resultado contable y las eliminaciones, incorporaciones y deducciones en cuota aplicables considerando el Régimen de Consolidación Fiscal”</w:t>
      </w:r>
      <w:r w:rsidRPr="004C253A">
        <w:rPr>
          <w:rStyle w:val="Refdenotaalpie"/>
          <w:rFonts w:ascii="Open Sans" w:hAnsi="Open Sans" w:cs="Open Sans"/>
          <w:sz w:val="20"/>
          <w:szCs w:val="20"/>
        </w:rPr>
        <w:footnoteReference w:id="506"/>
      </w:r>
      <w:r w:rsidRPr="004C253A">
        <w:rPr>
          <w:rFonts w:ascii="Open Sans" w:hAnsi="Open Sans" w:cs="Open Sans"/>
          <w:sz w:val="20"/>
          <w:szCs w:val="20"/>
        </w:rPr>
        <w:t>.</w:t>
      </w:r>
    </w:p>
    <w:p w14:paraId="67F8FFB8" w14:textId="77777777" w:rsidR="00C86459" w:rsidRPr="004C253A" w:rsidRDefault="00C86459" w:rsidP="00C86459">
      <w:pPr>
        <w:jc w:val="both"/>
        <w:rPr>
          <w:rFonts w:ascii="Open Sans" w:hAnsi="Open Sans" w:cs="Open Sans"/>
          <w:sz w:val="20"/>
          <w:szCs w:val="20"/>
          <w:u w:val="single"/>
        </w:rPr>
      </w:pPr>
    </w:p>
    <w:p w14:paraId="56772796"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ofrece información acerca de las deducciones por doble imposición en términos globales, sin especificar a qué países afectan dichas deducciones (40.223 miles de euros). Es más, reconoce que tiene "A 31 de diciembre de 2015, la Entidad tiene créditos fiscales por bases imponibles negativas pendientes de compensación en períodos impositivos futuros, así como por deducciones no aplicadas por insuficiencia de cuota, incluidas los provenientes de Banco Pastor, por importes totales de 272.509 y 69.195 miles de euros respectivamente”.</w:t>
      </w:r>
    </w:p>
    <w:p w14:paraId="34368BFF" w14:textId="77777777" w:rsidR="00C86459" w:rsidRPr="004C253A" w:rsidRDefault="00C86459" w:rsidP="00C86459">
      <w:pPr>
        <w:jc w:val="both"/>
        <w:rPr>
          <w:rFonts w:ascii="Open Sans" w:hAnsi="Open Sans" w:cs="Open Sans"/>
          <w:sz w:val="20"/>
          <w:szCs w:val="20"/>
        </w:rPr>
      </w:pPr>
    </w:p>
    <w:p w14:paraId="2BA57BB2"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Conviene recordar que la investigación abierta sobre las dudas que generaban los activos fiscales diferidos –o lo que es lo mismo los créditos fiscales– (conocidos como DTA) se resolvió por parte del gobierno español con una tasa del 1,5% a estos activos. Los bancos españoles acumulan más de 40.000 millones de euros en DTA, que están incluidos en su capital. Un nuevo impuesto del 1,5% es ligeramente más barato que si un banco emite para captar capital con la consiguiente disminución en la recaudación impositiva.</w:t>
      </w:r>
    </w:p>
    <w:p w14:paraId="06872F23" w14:textId="77777777" w:rsidR="00C86459" w:rsidRPr="004C253A" w:rsidRDefault="00C86459" w:rsidP="00C86459">
      <w:pPr>
        <w:jc w:val="both"/>
        <w:rPr>
          <w:rFonts w:ascii="Open Sans" w:hAnsi="Open Sans" w:cs="Open Sans"/>
          <w:sz w:val="20"/>
          <w:szCs w:val="20"/>
        </w:rPr>
      </w:pPr>
    </w:p>
    <w:p w14:paraId="0B281288" w14:textId="77777777" w:rsidR="00C86459" w:rsidRDefault="00C86459" w:rsidP="00C86459">
      <w:pPr>
        <w:jc w:val="both"/>
        <w:rPr>
          <w:rFonts w:ascii="Open Sans" w:hAnsi="Open Sans" w:cs="Open Sans"/>
          <w:sz w:val="20"/>
          <w:szCs w:val="20"/>
        </w:rPr>
      </w:pPr>
      <w:r w:rsidRPr="004C253A">
        <w:rPr>
          <w:rFonts w:ascii="Open Sans" w:hAnsi="Open Sans" w:cs="Open Sans"/>
          <w:sz w:val="20"/>
          <w:szCs w:val="20"/>
        </w:rPr>
        <w:t xml:space="preserve">En 2015 el Banco “se ha acogido a la deducción por reinversión de beneficios extraordinarios por las plusvalías que se han generado en ejercicios anteriores, por haberse cumplido los requisitos de reinversión exigidos por la normativa, ya sea a nivel individual, ya sea por aplicación del régimen de consolidación fiscal que establece que la reinversión puede ser efectuada por la propia sociedad que obtuvo el beneficio extraordinario o por cualquier otra perteneciente al grupo fiscal. La deducción por reinversión de beneficios extraordinarios no procederá en el supuesto de transmisiones realizadas entre entidades del grupo fiscal”. </w:t>
      </w:r>
    </w:p>
    <w:p w14:paraId="1B5BA375" w14:textId="77777777" w:rsidR="00C86459" w:rsidRPr="004C253A" w:rsidRDefault="00C86459" w:rsidP="00C86459">
      <w:pPr>
        <w:jc w:val="both"/>
        <w:rPr>
          <w:rFonts w:ascii="Open Sans" w:hAnsi="Open Sans" w:cs="Open Sans"/>
          <w:sz w:val="20"/>
          <w:szCs w:val="20"/>
        </w:rPr>
      </w:pPr>
    </w:p>
    <w:p w14:paraId="259A6DE3"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Sí aporta información más específica relativa a la compra del Grupo Banco Pastor, tanto a sus créditos fiscales como a las deducciones inherentes. El ejercicio anterior señalaba que "Pese a haber finalizado la valoración de los activos y pasivos recibidos en la adquisición de Banco Pastor, todavía no se ha aplicado ninguna deducción fiscal del fondo de comercio al cierre del ejercicio 2013, a la espera de obtener respuesta a la consulta efectuada a la Dirección General de Tributos", no habiéndose registra variaciones en este epígrafe</w:t>
      </w:r>
      <w:r w:rsidRPr="004C253A">
        <w:rPr>
          <w:rStyle w:val="Refdenotaalpie"/>
          <w:rFonts w:ascii="Open Sans" w:hAnsi="Open Sans" w:cs="Open Sans"/>
          <w:sz w:val="20"/>
          <w:szCs w:val="20"/>
        </w:rPr>
        <w:footnoteReference w:id="507"/>
      </w:r>
      <w:r w:rsidRPr="004C253A">
        <w:rPr>
          <w:rFonts w:ascii="Open Sans" w:hAnsi="Open Sans" w:cs="Open Sans"/>
          <w:sz w:val="20"/>
          <w:szCs w:val="20"/>
        </w:rPr>
        <w:t>.</w:t>
      </w:r>
    </w:p>
    <w:p w14:paraId="307661A7" w14:textId="77777777" w:rsidR="00C86459" w:rsidRPr="004C253A" w:rsidRDefault="00C86459" w:rsidP="00C86459">
      <w:pPr>
        <w:jc w:val="both"/>
        <w:rPr>
          <w:rFonts w:ascii="Open Sans" w:hAnsi="Open Sans" w:cs="Open Sans"/>
          <w:sz w:val="20"/>
          <w:szCs w:val="20"/>
        </w:rPr>
      </w:pPr>
    </w:p>
    <w:p w14:paraId="488D0262" w14:textId="77777777" w:rsidR="00C86459" w:rsidRDefault="00C86459" w:rsidP="00C86459">
      <w:pPr>
        <w:jc w:val="both"/>
        <w:rPr>
          <w:rFonts w:ascii="Open Sans" w:hAnsi="Open Sans" w:cs="Open Sans"/>
          <w:sz w:val="20"/>
          <w:szCs w:val="20"/>
        </w:rPr>
      </w:pPr>
      <w:r w:rsidRPr="004C253A">
        <w:rPr>
          <w:rFonts w:ascii="Open Sans" w:hAnsi="Open Sans" w:cs="Open Sans"/>
          <w:sz w:val="20"/>
          <w:szCs w:val="20"/>
        </w:rPr>
        <w:t>También recoge en un cuadro de conciliación del resultado contable con la base imponible del Impuesto sobre Sociedades, los siguientes epígrafes</w:t>
      </w:r>
      <w:r w:rsidRPr="004C253A">
        <w:rPr>
          <w:rStyle w:val="Refdenotaalpie"/>
          <w:rFonts w:ascii="Open Sans" w:hAnsi="Open Sans" w:cs="Open Sans"/>
          <w:sz w:val="20"/>
          <w:szCs w:val="20"/>
        </w:rPr>
        <w:footnoteReference w:id="508"/>
      </w:r>
      <w:r w:rsidRPr="004C253A">
        <w:rPr>
          <w:rFonts w:ascii="Open Sans" w:hAnsi="Open Sans" w:cs="Open Sans"/>
          <w:sz w:val="20"/>
          <w:szCs w:val="20"/>
        </w:rPr>
        <w:t>:</w:t>
      </w:r>
    </w:p>
    <w:p w14:paraId="64A144B6" w14:textId="77777777" w:rsidR="00C86459" w:rsidRPr="004C253A" w:rsidRDefault="00C86459" w:rsidP="00C86459">
      <w:pPr>
        <w:jc w:val="both"/>
        <w:rPr>
          <w:rFonts w:ascii="Open Sans" w:hAnsi="Open Sans" w:cs="Open Sans"/>
          <w:sz w:val="20"/>
          <w:szCs w:val="20"/>
        </w:rPr>
      </w:pPr>
    </w:p>
    <w:p w14:paraId="19D5F587" w14:textId="77777777" w:rsidR="00C86459" w:rsidRPr="004C253A" w:rsidRDefault="00C86459" w:rsidP="000B70C9">
      <w:pPr>
        <w:numPr>
          <w:ilvl w:val="0"/>
          <w:numId w:val="97"/>
        </w:numPr>
        <w:jc w:val="both"/>
        <w:rPr>
          <w:rFonts w:ascii="Open Sans" w:hAnsi="Open Sans" w:cs="Open Sans"/>
          <w:sz w:val="20"/>
          <w:szCs w:val="20"/>
        </w:rPr>
      </w:pPr>
      <w:r w:rsidRPr="004C253A">
        <w:rPr>
          <w:rFonts w:ascii="Open Sans" w:hAnsi="Open Sans" w:cs="Open Sans"/>
          <w:sz w:val="20"/>
          <w:szCs w:val="20"/>
        </w:rPr>
        <w:t>“Impuesto por activación de BIN y deducciones en cuota no aplicadas por 47.271 miles de euros. (-33.415 miles de euros en 2014).</w:t>
      </w:r>
    </w:p>
    <w:p w14:paraId="4038F5BD" w14:textId="77777777" w:rsidR="00C86459" w:rsidRPr="004C253A" w:rsidRDefault="00C86459" w:rsidP="000B70C9">
      <w:pPr>
        <w:numPr>
          <w:ilvl w:val="0"/>
          <w:numId w:val="97"/>
        </w:numPr>
        <w:jc w:val="both"/>
        <w:rPr>
          <w:rFonts w:ascii="Open Sans" w:hAnsi="Open Sans" w:cs="Open Sans"/>
          <w:sz w:val="20"/>
          <w:szCs w:val="20"/>
        </w:rPr>
      </w:pPr>
      <w:r w:rsidRPr="004C253A">
        <w:rPr>
          <w:rFonts w:ascii="Open Sans" w:hAnsi="Open Sans" w:cs="Open Sans"/>
          <w:sz w:val="20"/>
          <w:szCs w:val="20"/>
        </w:rPr>
        <w:t>Impuestos diferidos (neto) por -237.467 miles de euros (96.478 miles de euros en 2014).</w:t>
      </w:r>
    </w:p>
    <w:p w14:paraId="64382841" w14:textId="77777777" w:rsidR="00C86459" w:rsidRPr="004C253A" w:rsidRDefault="00C86459" w:rsidP="00C86459">
      <w:pPr>
        <w:jc w:val="both"/>
        <w:rPr>
          <w:rFonts w:ascii="Open Sans" w:hAnsi="Open Sans" w:cs="Open Sans"/>
          <w:sz w:val="20"/>
          <w:szCs w:val="20"/>
        </w:rPr>
      </w:pPr>
    </w:p>
    <w:p w14:paraId="596D2239"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Banco Popular ofrece alguna otra información respecto a cómo afectan las deducciones, exenciones o créditos fiscales que se le han concedido, pero siempre de manera consolidada, no señalando en ningún caso el desglose por países, los motivos de la concesión o su duración.</w:t>
      </w:r>
    </w:p>
    <w:p w14:paraId="4AC6D207" w14:textId="77777777" w:rsidR="00C86459" w:rsidRPr="004C253A" w:rsidRDefault="00C86459" w:rsidP="00C86459">
      <w:pPr>
        <w:jc w:val="both"/>
        <w:rPr>
          <w:rFonts w:ascii="Open Sans" w:hAnsi="Open Sans" w:cs="Open Sans"/>
          <w:sz w:val="20"/>
          <w:szCs w:val="20"/>
        </w:rPr>
      </w:pPr>
    </w:p>
    <w:p w14:paraId="487430E8" w14:textId="77777777" w:rsidR="00C86459" w:rsidRPr="004C253A" w:rsidRDefault="00C86459" w:rsidP="00C86459">
      <w:pPr>
        <w:jc w:val="both"/>
        <w:rPr>
          <w:rFonts w:ascii="Open Sans" w:hAnsi="Open Sans" w:cs="Open Sans"/>
          <w:sz w:val="20"/>
          <w:szCs w:val="20"/>
        </w:rPr>
      </w:pPr>
    </w:p>
    <w:p w14:paraId="2C85105F"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Relación con administraciones tributarias.</w:t>
      </w:r>
    </w:p>
    <w:p w14:paraId="07D1C90F" w14:textId="77777777" w:rsidR="00C86459" w:rsidRPr="004C253A" w:rsidRDefault="00C86459" w:rsidP="00C86459">
      <w:pPr>
        <w:jc w:val="both"/>
        <w:rPr>
          <w:rFonts w:ascii="Open Sans" w:hAnsi="Open Sans" w:cs="Open Sans"/>
          <w:sz w:val="20"/>
          <w:szCs w:val="20"/>
          <w:u w:val="single"/>
        </w:rPr>
      </w:pPr>
    </w:p>
    <w:p w14:paraId="161AEEF0"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xml:space="preserve">El Consejo de Administración acordó en septiembre de 2011 la adhesión de </w:t>
      </w:r>
      <w:r>
        <w:rPr>
          <w:rFonts w:ascii="Open Sans" w:hAnsi="Open Sans" w:cs="Open Sans"/>
          <w:sz w:val="20"/>
          <w:szCs w:val="20"/>
        </w:rPr>
        <w:t>Banco Popular</w:t>
      </w:r>
      <w:r w:rsidRPr="004C253A">
        <w:rPr>
          <w:rFonts w:ascii="Open Sans" w:hAnsi="Open Sans" w:cs="Open Sans"/>
          <w:sz w:val="20"/>
          <w:szCs w:val="20"/>
        </w:rPr>
        <w:t xml:space="preserve">, S.A. al Código de Buenas Prácticas Tributarias. Este Código no es vinculante para sus firmantes, no establece un seguimiento de las actuaciones de las empresas firmantes y tampoco tiene previsto un sistema sancionador o de expulsión por incumplimiento. </w:t>
      </w:r>
    </w:p>
    <w:p w14:paraId="224D204A" w14:textId="77777777" w:rsidR="00C86459" w:rsidRPr="004C253A" w:rsidRDefault="00C86459" w:rsidP="00C86459">
      <w:pPr>
        <w:jc w:val="both"/>
        <w:rPr>
          <w:rFonts w:ascii="Open Sans" w:hAnsi="Open Sans" w:cs="Open Sans"/>
          <w:sz w:val="20"/>
          <w:szCs w:val="20"/>
        </w:rPr>
      </w:pPr>
    </w:p>
    <w:p w14:paraId="03DC8C15"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El Código invita, que no prohíbe, entre otros compromisos, evitar “la  utilización  de  estructuras  de  carácter  opaco con finalidades tributarias, entendiéndose por tales aquellas en las que, mediante  la  interposición de  sociedades  instrumentales  a  través  de paraísos   fiscales   o   territorios   no   cooperantes   con   las   autoridades fiscales,  estén  diseñadas  con  el  propósito  de  impedir  el  conocimiento, por   parte   de   la Agencia   Tributaria,   del   responsable   final   de   las actividades”.</w:t>
      </w:r>
    </w:p>
    <w:p w14:paraId="3EF6A2E6" w14:textId="77777777" w:rsidR="00C86459" w:rsidRPr="004C253A" w:rsidRDefault="00C86459" w:rsidP="00C86459">
      <w:pPr>
        <w:jc w:val="both"/>
        <w:rPr>
          <w:rFonts w:ascii="Open Sans" w:hAnsi="Open Sans" w:cs="Open Sans"/>
          <w:sz w:val="20"/>
          <w:szCs w:val="20"/>
        </w:rPr>
      </w:pPr>
    </w:p>
    <w:p w14:paraId="16D41DE9" w14:textId="77777777" w:rsidR="00C86459" w:rsidRPr="004C253A" w:rsidRDefault="00C86459" w:rsidP="00C86459">
      <w:pPr>
        <w:jc w:val="both"/>
        <w:rPr>
          <w:rFonts w:ascii="Open Sans" w:hAnsi="Open Sans" w:cs="Open Sans"/>
          <w:sz w:val="20"/>
          <w:szCs w:val="20"/>
        </w:rPr>
      </w:pPr>
      <w:r>
        <w:rPr>
          <w:rFonts w:ascii="Open Sans" w:hAnsi="Open Sans" w:cs="Open Sans"/>
          <w:sz w:val="20"/>
          <w:szCs w:val="20"/>
        </w:rPr>
        <w:t>Aunque la empresa sí</w:t>
      </w:r>
      <w:r w:rsidRPr="004C253A">
        <w:rPr>
          <w:rFonts w:ascii="Open Sans" w:hAnsi="Open Sans" w:cs="Open Sans"/>
          <w:sz w:val="20"/>
          <w:szCs w:val="20"/>
        </w:rPr>
        <w:t xml:space="preserve"> menciona su participación en otros foros empresariales o de la sociedad civil, no informa de otra relación cooperativa con la administración tributaria, su presencia o actuaciones con legisladores y políticos, o de que realice actividades de lobby, a pesar de su “colaboración con otras organizaciones y asociaciones propias de la actividad económica, destacando entre otras la Asociación Española de Banca</w:t>
      </w:r>
      <w:r w:rsidRPr="004C253A">
        <w:rPr>
          <w:rStyle w:val="Refdenotaalpie"/>
          <w:rFonts w:ascii="Open Sans" w:hAnsi="Open Sans" w:cs="Open Sans"/>
          <w:sz w:val="20"/>
          <w:szCs w:val="20"/>
        </w:rPr>
        <w:footnoteReference w:id="509"/>
      </w:r>
      <w:r w:rsidRPr="004C253A">
        <w:rPr>
          <w:rFonts w:ascii="Open Sans" w:hAnsi="Open Sans" w:cs="Open Sans"/>
          <w:sz w:val="20"/>
          <w:szCs w:val="20"/>
        </w:rPr>
        <w:t>, entidad inscrita en el Registro de Grupos de Interés de la CNMC.</w:t>
      </w:r>
    </w:p>
    <w:p w14:paraId="628C2AA4" w14:textId="77777777" w:rsidR="00C86459" w:rsidRPr="004C253A" w:rsidRDefault="00C86459" w:rsidP="00C86459">
      <w:pPr>
        <w:jc w:val="both"/>
        <w:rPr>
          <w:rFonts w:ascii="Open Sans" w:hAnsi="Open Sans" w:cs="Open Sans"/>
          <w:sz w:val="20"/>
          <w:szCs w:val="20"/>
        </w:rPr>
      </w:pPr>
    </w:p>
    <w:p w14:paraId="364CBBDB"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El Banco informa de forma global sobre las contingencias fiscales existentes</w:t>
      </w:r>
      <w:r w:rsidRPr="004C253A">
        <w:rPr>
          <w:rStyle w:val="Refdenotaalpie"/>
          <w:rFonts w:ascii="Open Sans" w:hAnsi="Open Sans" w:cs="Open Sans"/>
          <w:sz w:val="20"/>
          <w:szCs w:val="20"/>
        </w:rPr>
        <w:footnoteReference w:id="510"/>
      </w:r>
      <w:r w:rsidRPr="004C253A">
        <w:rPr>
          <w:rFonts w:ascii="Open Sans" w:hAnsi="Open Sans" w:cs="Open Sans"/>
          <w:sz w:val="20"/>
          <w:szCs w:val="20"/>
        </w:rPr>
        <w:t xml:space="preserve">: "A 31 de diciembre de 2015 Banco Popular Español y las Entidades absorbidas Banco de Castilla, Banco de Vasconia, Banco de Galicia y Banco Pastor, tienen incoadas Actas de Inspección en disconformidad por un importe total de 8.038 (9.032 miles de euros a 31 de diciembre de 2014) miles de euros en concepto de Impuesto sobre Sociedades, retenciones e Impuesto sobre el Valor Añadido, en relación con las que se han presentado los oportunos recursos." </w:t>
      </w:r>
    </w:p>
    <w:p w14:paraId="38CF9813" w14:textId="77777777" w:rsidR="00C86459" w:rsidRPr="004C253A" w:rsidRDefault="00C86459" w:rsidP="00C86459">
      <w:pPr>
        <w:jc w:val="both"/>
        <w:rPr>
          <w:rFonts w:ascii="Open Sans" w:hAnsi="Open Sans" w:cs="Open Sans"/>
          <w:sz w:val="20"/>
          <w:szCs w:val="20"/>
        </w:rPr>
      </w:pPr>
    </w:p>
    <w:p w14:paraId="0F09F0BD"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xml:space="preserve">También informa de que “Debido a las diferentes interpretaciones que puedan hacerse de las normas fiscales aplicables a las operaciones realizadas por la Entidad, podrían existir, para los años pendientes de inspección, determinados pasivos fiscales de carácter contingente que no son susceptibles de cuantificación objetiva. Sin embargo, en opinión de los Administradores de la Entidad, la deuda tributaria que de ellos pudiera derivarse no afectaría significativamente a las cuentas anuales”. En todo caso, no proporciona información desglosada por país o aporta información adicional para cada una de las contingencias, explicando el motivo de su existencia. Asimismo, tampoco informa sobre la existencia de deudas tributarias en período ejecutivo </w:t>
      </w:r>
    </w:p>
    <w:p w14:paraId="0B65425A" w14:textId="77777777" w:rsidR="00C86459" w:rsidRPr="004C253A" w:rsidRDefault="00C86459" w:rsidP="00C86459">
      <w:pPr>
        <w:jc w:val="both"/>
        <w:rPr>
          <w:rFonts w:ascii="Open Sans" w:hAnsi="Open Sans" w:cs="Open Sans"/>
          <w:sz w:val="20"/>
          <w:szCs w:val="20"/>
        </w:rPr>
      </w:pPr>
    </w:p>
    <w:p w14:paraId="46AF394E"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Respecto a litigios abiertos, el banco señala que “con fecha 17 de diciembre de 2015 el Tribunal de Justicia de la Unión Europea emitió Sentencia estimatoria del Recurso interpuesto por el Estado en relación con la investigación del régimen español de arrendamiento fiscal para la adquisición de buques. El recurso interpuesto el 7 de enero de 2014 por Banco Popular Español, S.A. se encuentra pendiente de resolución así como el Recurso que la Asociación Española de Banca, a la que pertenece la Entidad, tiene presentado en términos similares, al presentado en su día por el Gobierno. No obstante, la Sentencia comentada surte los mismos efectos que si hubieran sido resueltos el resto de recursos. Ello implica que formalmente estos asuntos seguirán en curso durante varios meses, pero sin ningún tipo de repercusión práctica. En base a lo anterior, dado que la Entidad considera que el riesgo de que se materialice la contingencia es remoto a 31 de diciembre de 2015, aún a pesar del Recurso en casación interpuesto por la Comisión Europea, por lo que la Entidad ha considerado que o procede mantener la provisión constituida para este fin. A 31 de diciembre de 2014, la Entidad tenía una  provisión constituida por importe de 5,1 millones de euros”. No aporta mayor información sobre reclamaciones en vía administrativa y judicial en curso en el ámbito fiscal para cada uno de los países en los que opera, importes reclamados o litigios resueltos con administraciones tributarias. No obstante, tiene contabilizadas Provisiones para impuestos y otras contingencias legales por 15.667 miles de euros.</w:t>
      </w:r>
    </w:p>
    <w:p w14:paraId="4B365188" w14:textId="77777777" w:rsidR="00C86459" w:rsidRPr="004C253A" w:rsidRDefault="00C86459" w:rsidP="00C86459">
      <w:pPr>
        <w:jc w:val="both"/>
        <w:rPr>
          <w:rFonts w:ascii="Open Sans" w:hAnsi="Open Sans" w:cs="Open Sans"/>
          <w:sz w:val="20"/>
          <w:szCs w:val="20"/>
        </w:rPr>
      </w:pPr>
    </w:p>
    <w:p w14:paraId="7DE2B355"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Aunque fuera del ámbito temporal del presente estudio pero dentro del ámbito de la Responsabilidad Corporativa, y de los Clientes como Grupo de interés, se ha evidenciado un elevado grado de incoherencia entre dicha RC</w:t>
      </w:r>
      <w:r w:rsidRPr="004C253A">
        <w:rPr>
          <w:rStyle w:val="Refdenotaalpie"/>
          <w:rFonts w:ascii="Open Sans" w:hAnsi="Open Sans" w:cs="Open Sans"/>
          <w:sz w:val="20"/>
          <w:szCs w:val="20"/>
        </w:rPr>
        <w:footnoteReference w:id="511"/>
      </w:r>
      <w:r w:rsidRPr="004C253A">
        <w:rPr>
          <w:rFonts w:ascii="Open Sans" w:hAnsi="Open Sans" w:cs="Open Sans"/>
          <w:sz w:val="20"/>
          <w:szCs w:val="20"/>
        </w:rPr>
        <w:t>,  y las informaciones publicadas durante el 2016 de que la entidad Banco Popular concedía préstamos para que los clientes acudieran a la ampliación de capital o refinanciaba deudas condicionadas a dicha ampliación</w:t>
      </w:r>
      <w:r>
        <w:rPr>
          <w:rStyle w:val="Refdenotaalpie"/>
          <w:rFonts w:ascii="Open Sans" w:hAnsi="Open Sans" w:cs="Open Sans"/>
          <w:sz w:val="20"/>
          <w:szCs w:val="20"/>
        </w:rPr>
        <w:footnoteReference w:id="512"/>
      </w:r>
      <w:r w:rsidRPr="004C253A">
        <w:rPr>
          <w:rFonts w:ascii="Open Sans" w:hAnsi="Open Sans" w:cs="Open Sans"/>
          <w:sz w:val="20"/>
          <w:szCs w:val="20"/>
        </w:rPr>
        <w:t>.</w:t>
      </w:r>
    </w:p>
    <w:p w14:paraId="7D06B76A" w14:textId="77777777" w:rsidR="00C86459" w:rsidRPr="004C253A" w:rsidRDefault="00C86459" w:rsidP="00C86459">
      <w:pPr>
        <w:jc w:val="both"/>
        <w:rPr>
          <w:rFonts w:ascii="Open Sans" w:hAnsi="Open Sans" w:cs="Open Sans"/>
          <w:sz w:val="20"/>
          <w:szCs w:val="20"/>
        </w:rPr>
      </w:pPr>
    </w:p>
    <w:p w14:paraId="05B76150" w14:textId="77777777" w:rsidR="00C86459" w:rsidRPr="004C253A" w:rsidRDefault="00C86459" w:rsidP="00C86459">
      <w:pPr>
        <w:jc w:val="both"/>
        <w:rPr>
          <w:rFonts w:ascii="Open Sans" w:hAnsi="Open Sans" w:cs="Open Sans"/>
          <w:sz w:val="20"/>
          <w:szCs w:val="20"/>
        </w:rPr>
      </w:pPr>
    </w:p>
    <w:p w14:paraId="671CDAA7" w14:textId="77777777" w:rsidR="00C86459" w:rsidRPr="004C253A" w:rsidRDefault="00C86459" w:rsidP="00C86459">
      <w:pPr>
        <w:jc w:val="both"/>
        <w:rPr>
          <w:rFonts w:ascii="Open Sans" w:hAnsi="Open Sans" w:cs="Open Sans"/>
          <w:sz w:val="20"/>
          <w:szCs w:val="20"/>
          <w:u w:val="single"/>
        </w:rPr>
      </w:pPr>
      <w:r w:rsidRPr="004C253A">
        <w:rPr>
          <w:rFonts w:ascii="Open Sans" w:hAnsi="Open Sans" w:cs="Open Sans"/>
          <w:sz w:val="20"/>
          <w:szCs w:val="20"/>
          <w:u w:val="single"/>
        </w:rPr>
        <w:t>Operativa de la empresa.</w:t>
      </w:r>
    </w:p>
    <w:p w14:paraId="58FD3965" w14:textId="77777777" w:rsidR="00C86459" w:rsidRPr="004C253A" w:rsidRDefault="00C86459" w:rsidP="00C86459">
      <w:pPr>
        <w:autoSpaceDE w:val="0"/>
        <w:autoSpaceDN w:val="0"/>
        <w:adjustRightInd w:val="0"/>
        <w:jc w:val="both"/>
        <w:rPr>
          <w:rFonts w:ascii="Open Sans" w:hAnsi="Open Sans" w:cs="Open Sans"/>
          <w:sz w:val="20"/>
          <w:szCs w:val="20"/>
        </w:rPr>
      </w:pPr>
    </w:p>
    <w:p w14:paraId="058FB3C8" w14:textId="77777777" w:rsidR="00C86459" w:rsidRPr="004C253A" w:rsidRDefault="00C86459" w:rsidP="00C86459">
      <w:pPr>
        <w:jc w:val="both"/>
        <w:rPr>
          <w:rFonts w:ascii="Open Sans" w:eastAsia="Calibri" w:hAnsi="Open Sans" w:cs="Open Sans"/>
          <w:sz w:val="20"/>
          <w:szCs w:val="20"/>
        </w:rPr>
      </w:pPr>
      <w:r w:rsidRPr="004C253A">
        <w:rPr>
          <w:rFonts w:ascii="Open Sans" w:eastAsia="Calibri" w:hAnsi="Open Sans" w:cs="Open Sans"/>
          <w:sz w:val="20"/>
          <w:szCs w:val="20"/>
        </w:rPr>
        <w:t xml:space="preserve">Banco </w:t>
      </w:r>
      <w:r w:rsidRPr="004C253A">
        <w:rPr>
          <w:rFonts w:ascii="Open Sans" w:hAnsi="Open Sans" w:cs="Open Sans"/>
          <w:sz w:val="20"/>
          <w:szCs w:val="20"/>
        </w:rPr>
        <w:t>Popular</w:t>
      </w:r>
      <w:r w:rsidRPr="004C253A">
        <w:rPr>
          <w:rFonts w:ascii="Open Sans" w:eastAsia="Calibri" w:hAnsi="Open Sans" w:cs="Open Sans"/>
          <w:sz w:val="20"/>
          <w:szCs w:val="20"/>
        </w:rPr>
        <w:t xml:space="preserve"> detalla su estructura societaria a través de participaciones directas e indirectas en todas las sociedades.</w:t>
      </w:r>
    </w:p>
    <w:p w14:paraId="74F0BC32" w14:textId="77777777" w:rsidR="00C86459" w:rsidRPr="004C253A" w:rsidRDefault="00C86459" w:rsidP="00C86459">
      <w:pPr>
        <w:jc w:val="both"/>
        <w:rPr>
          <w:rFonts w:ascii="Open Sans" w:eastAsia="Calibri" w:hAnsi="Open Sans" w:cs="Open Sans"/>
          <w:sz w:val="20"/>
          <w:szCs w:val="20"/>
        </w:rPr>
      </w:pPr>
    </w:p>
    <w:p w14:paraId="5270C160" w14:textId="77777777" w:rsidR="00C86459" w:rsidRPr="004C253A" w:rsidRDefault="00C86459" w:rsidP="00C86459">
      <w:pPr>
        <w:jc w:val="both"/>
        <w:rPr>
          <w:rFonts w:ascii="Open Sans" w:eastAsia="Calibri" w:hAnsi="Open Sans" w:cs="Open Sans"/>
          <w:sz w:val="20"/>
          <w:szCs w:val="20"/>
        </w:rPr>
      </w:pPr>
      <w:r w:rsidRPr="004C253A">
        <w:rPr>
          <w:rFonts w:ascii="Open Sans" w:eastAsia="Calibri" w:hAnsi="Open Sans" w:cs="Open Sans"/>
          <w:sz w:val="20"/>
          <w:szCs w:val="20"/>
        </w:rPr>
        <w:t>En relación a operaciones intragrupo  la empresa no presenta toda la información sobre las operaciones intragrupo, Tener conocimiento de estas operaciones es fundamental para poder deducir si la empresa está operando a través de su estructura societaria para implementar estrategias de optimización fiscal. No obstante, señala la existencia de saldos intragrupo</w:t>
      </w:r>
      <w:r w:rsidRPr="004C253A">
        <w:rPr>
          <w:rStyle w:val="Refdenotaalpie"/>
          <w:rFonts w:ascii="Open Sans" w:eastAsia="Calibri" w:hAnsi="Open Sans" w:cs="Open Sans"/>
          <w:sz w:val="20"/>
          <w:szCs w:val="20"/>
        </w:rPr>
        <w:footnoteReference w:id="513"/>
      </w:r>
      <w:r w:rsidRPr="004C253A">
        <w:rPr>
          <w:rFonts w:ascii="Open Sans" w:eastAsia="Calibri" w:hAnsi="Open Sans" w:cs="Open Sans"/>
          <w:sz w:val="20"/>
          <w:szCs w:val="20"/>
        </w:rPr>
        <w:t>:</w:t>
      </w:r>
    </w:p>
    <w:p w14:paraId="4AB7596A" w14:textId="77777777" w:rsidR="00C86459" w:rsidRPr="004C253A" w:rsidRDefault="00C86459" w:rsidP="00C86459">
      <w:pPr>
        <w:jc w:val="both"/>
        <w:rPr>
          <w:rFonts w:ascii="Open Sans" w:eastAsia="Calibri" w:hAnsi="Open Sans" w:cs="Open Sans"/>
          <w:sz w:val="20"/>
          <w:szCs w:val="20"/>
        </w:rPr>
      </w:pPr>
    </w:p>
    <w:p w14:paraId="76EE13AB" w14:textId="77777777" w:rsidR="00C86459" w:rsidRPr="004C253A" w:rsidRDefault="00C86459" w:rsidP="000B70C9">
      <w:pPr>
        <w:numPr>
          <w:ilvl w:val="0"/>
          <w:numId w:val="98"/>
        </w:numPr>
        <w:jc w:val="both"/>
        <w:rPr>
          <w:rFonts w:ascii="Open Sans" w:eastAsia="Calibri" w:hAnsi="Open Sans" w:cs="Open Sans"/>
          <w:sz w:val="20"/>
          <w:szCs w:val="20"/>
        </w:rPr>
      </w:pPr>
      <w:r w:rsidRPr="004C253A">
        <w:rPr>
          <w:rFonts w:ascii="Open Sans" w:eastAsia="Calibri" w:hAnsi="Open Sans" w:cs="Open Sans"/>
          <w:sz w:val="20"/>
          <w:szCs w:val="20"/>
        </w:rPr>
        <w:t>“El importe que figura en “Obligaciones y bonos” se compone, fundamentalmente, de las emisiones de euronotas realizadas por el Grupo así como las emisiones de bonos realizadas por los vehículos de titulización una vez eliminados los saldos intragrupo y otros bonos emitidos fundamentalmente por Banco Popular Español, S.A.”</w:t>
      </w:r>
      <w:r w:rsidRPr="004C253A">
        <w:rPr>
          <w:rStyle w:val="Refdenotaalpie"/>
          <w:rFonts w:ascii="Open Sans" w:eastAsia="Calibri" w:hAnsi="Open Sans" w:cs="Open Sans"/>
          <w:sz w:val="20"/>
          <w:szCs w:val="20"/>
        </w:rPr>
        <w:footnoteReference w:id="514"/>
      </w:r>
      <w:r w:rsidRPr="004C253A">
        <w:rPr>
          <w:rFonts w:ascii="Open Sans" w:eastAsia="Calibri" w:hAnsi="Open Sans" w:cs="Open Sans"/>
          <w:sz w:val="20"/>
          <w:szCs w:val="20"/>
        </w:rPr>
        <w:t>. En el epígrafe “Otros” de Obligaciones y bonos aparece un importe de Otros 747.685 miles de euros.</w:t>
      </w:r>
    </w:p>
    <w:p w14:paraId="267570FF" w14:textId="77777777" w:rsidR="00C86459" w:rsidRPr="004C253A" w:rsidRDefault="00C86459" w:rsidP="00C86459">
      <w:pPr>
        <w:jc w:val="both"/>
        <w:rPr>
          <w:rFonts w:ascii="Open Sans" w:eastAsia="Calibri" w:hAnsi="Open Sans" w:cs="Open Sans"/>
          <w:sz w:val="20"/>
          <w:szCs w:val="20"/>
        </w:rPr>
      </w:pPr>
    </w:p>
    <w:p w14:paraId="027CB371" w14:textId="77777777" w:rsidR="00C86459" w:rsidRPr="004C253A" w:rsidRDefault="00C86459" w:rsidP="000B70C9">
      <w:pPr>
        <w:numPr>
          <w:ilvl w:val="0"/>
          <w:numId w:val="98"/>
        </w:numPr>
        <w:jc w:val="both"/>
        <w:rPr>
          <w:rFonts w:ascii="Open Sans" w:eastAsia="Calibri" w:hAnsi="Open Sans" w:cs="Open Sans"/>
          <w:sz w:val="20"/>
          <w:szCs w:val="20"/>
        </w:rPr>
      </w:pPr>
      <w:r w:rsidRPr="004C253A">
        <w:rPr>
          <w:rFonts w:ascii="Open Sans" w:eastAsia="Calibri" w:hAnsi="Open Sans" w:cs="Open Sans"/>
          <w:sz w:val="20"/>
          <w:szCs w:val="20"/>
        </w:rPr>
        <w:t>La existencia de Valores representativos de deuda con BPE Preference International Ltd. (paraíso fiscal) por 8.338 miles de euros.</w:t>
      </w:r>
    </w:p>
    <w:p w14:paraId="04FCB080" w14:textId="77777777" w:rsidR="00C86459" w:rsidRPr="004C253A" w:rsidRDefault="00C86459" w:rsidP="00C86459">
      <w:pPr>
        <w:rPr>
          <w:rFonts w:ascii="Open Sans" w:eastAsia="Calibri" w:hAnsi="Open Sans" w:cs="Open Sans"/>
          <w:sz w:val="20"/>
          <w:szCs w:val="20"/>
        </w:rPr>
      </w:pPr>
    </w:p>
    <w:p w14:paraId="6D0BC5B0" w14:textId="77777777" w:rsidR="00C86459" w:rsidRPr="004C253A" w:rsidRDefault="00C86459" w:rsidP="00C86459">
      <w:pPr>
        <w:jc w:val="both"/>
        <w:rPr>
          <w:rFonts w:ascii="Open Sans" w:eastAsia="Calibri" w:hAnsi="Open Sans" w:cs="Open Sans"/>
          <w:sz w:val="20"/>
          <w:szCs w:val="20"/>
        </w:rPr>
      </w:pPr>
      <w:r w:rsidRPr="004C253A">
        <w:rPr>
          <w:rFonts w:ascii="Open Sans" w:eastAsia="Calibri" w:hAnsi="Open Sans" w:cs="Open Sans"/>
          <w:sz w:val="20"/>
          <w:szCs w:val="20"/>
        </w:rPr>
        <w:t>Tampoco informa desde qué sociedades gestiona los derechos de marca y propiedad intelectual, el porcentaje que representa el volumen de endeudamiento intragrupo respecto al volumen de endeudamiento total, el coste financiero de la deuda intragrupo o el coste financiero del total de la deuda.</w:t>
      </w:r>
    </w:p>
    <w:p w14:paraId="77ABE1B1" w14:textId="77777777" w:rsidR="00C86459" w:rsidRPr="004C253A" w:rsidRDefault="00C86459" w:rsidP="00C86459">
      <w:pPr>
        <w:jc w:val="both"/>
        <w:rPr>
          <w:rFonts w:ascii="Open Sans" w:eastAsia="Calibri" w:hAnsi="Open Sans" w:cs="Open Sans"/>
          <w:sz w:val="20"/>
          <w:szCs w:val="20"/>
        </w:rPr>
      </w:pPr>
    </w:p>
    <w:p w14:paraId="17FE4275" w14:textId="77777777" w:rsidR="00C86459" w:rsidRPr="004C253A" w:rsidRDefault="00C86459" w:rsidP="00C86459">
      <w:pPr>
        <w:jc w:val="both"/>
        <w:rPr>
          <w:rFonts w:ascii="Open Sans" w:hAnsi="Open Sans" w:cs="Open Sans"/>
          <w:sz w:val="20"/>
          <w:szCs w:val="20"/>
        </w:rPr>
      </w:pPr>
    </w:p>
    <w:p w14:paraId="10483F6D" w14:textId="77777777" w:rsidR="00C86459" w:rsidRPr="00C86459" w:rsidRDefault="00C86459" w:rsidP="00C86459">
      <w:pPr>
        <w:rPr>
          <w:rFonts w:ascii="Open Sans" w:hAnsi="Open Sans" w:cs="Arial"/>
          <w:b/>
          <w:sz w:val="22"/>
          <w:szCs w:val="22"/>
          <w:u w:val="single"/>
        </w:rPr>
      </w:pPr>
      <w:r w:rsidRPr="00C86459">
        <w:rPr>
          <w:rFonts w:ascii="Open Sans" w:hAnsi="Open Sans" w:cs="Arial"/>
          <w:b/>
          <w:sz w:val="22"/>
          <w:szCs w:val="22"/>
          <w:u w:val="single"/>
        </w:rPr>
        <w:t>5. Conclusiones</w:t>
      </w:r>
    </w:p>
    <w:p w14:paraId="3EB5DF90" w14:textId="77777777" w:rsidR="00C86459" w:rsidRPr="004C253A" w:rsidRDefault="00C86459" w:rsidP="00C86459">
      <w:pPr>
        <w:rPr>
          <w:rFonts w:ascii="Open Sans" w:hAnsi="Open Sans" w:cs="Open Sans"/>
          <w:bCs/>
          <w:sz w:val="20"/>
          <w:szCs w:val="20"/>
        </w:rPr>
      </w:pPr>
    </w:p>
    <w:p w14:paraId="624E5C2B" w14:textId="77777777" w:rsidR="00C86459" w:rsidRPr="00D1034E" w:rsidRDefault="00C86459" w:rsidP="00C86459">
      <w:pPr>
        <w:pStyle w:val="Default"/>
        <w:jc w:val="both"/>
        <w:rPr>
          <w:rFonts w:ascii="Open Sans" w:hAnsi="Open Sans" w:cs="Open Sans"/>
          <w:color w:val="auto"/>
          <w:sz w:val="20"/>
          <w:szCs w:val="20"/>
        </w:rPr>
      </w:pPr>
      <w:r w:rsidRPr="00BC0CDA">
        <w:rPr>
          <w:rFonts w:ascii="Open Sans" w:hAnsi="Open Sans" w:cs="Open Sans"/>
          <w:color w:val="auto"/>
          <w:sz w:val="20"/>
          <w:szCs w:val="20"/>
        </w:rPr>
        <w:t xml:space="preserve">La valoración global de la transparencia de </w:t>
      </w:r>
      <w:r>
        <w:rPr>
          <w:rFonts w:ascii="Open Sans" w:hAnsi="Open Sans" w:cs="Open Sans"/>
          <w:color w:val="auto"/>
          <w:sz w:val="20"/>
          <w:szCs w:val="20"/>
        </w:rPr>
        <w:t>Banco Popular</w:t>
      </w:r>
      <w:r w:rsidRPr="00BC0CDA">
        <w:rPr>
          <w:rFonts w:ascii="Open Sans" w:hAnsi="Open Sans" w:cs="Open Sans"/>
          <w:color w:val="auto"/>
          <w:sz w:val="20"/>
          <w:szCs w:val="20"/>
        </w:rPr>
        <w:t xml:space="preserve"> en el ámbito fiscal es de </w:t>
      </w:r>
      <w:r w:rsidRPr="00BC0CDA">
        <w:rPr>
          <w:rFonts w:ascii="Open Sans" w:hAnsi="Open Sans" w:cs="Open Sans"/>
          <w:b/>
          <w:color w:val="auto"/>
          <w:sz w:val="20"/>
          <w:szCs w:val="20"/>
        </w:rPr>
        <w:t>0,</w:t>
      </w:r>
      <w:r>
        <w:rPr>
          <w:rFonts w:ascii="Open Sans" w:hAnsi="Open Sans" w:cs="Open Sans"/>
          <w:b/>
          <w:color w:val="auto"/>
          <w:sz w:val="20"/>
          <w:szCs w:val="20"/>
        </w:rPr>
        <w:t>43</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w:t>
      </w:r>
      <w:r w:rsidRPr="00BC0CDA">
        <w:rPr>
          <w:rFonts w:ascii="Open Sans" w:hAnsi="Open Sans" w:cs="Open Sans"/>
          <w:color w:val="auto"/>
          <w:sz w:val="20"/>
          <w:szCs w:val="20"/>
        </w:rPr>
        <w:t xml:space="preserve"> De las dimensiones analizadas, la máxima puntuación se obtiene en los aspectos relacionados con</w:t>
      </w:r>
      <w:r>
        <w:rPr>
          <w:rFonts w:ascii="Open Sans" w:hAnsi="Open Sans" w:cs="Open Sans"/>
          <w:color w:val="auto"/>
          <w:sz w:val="20"/>
          <w:szCs w:val="20"/>
        </w:rPr>
        <w:t xml:space="preserve"> “impuestos e incentivos” (0,67), </w:t>
      </w:r>
      <w:r w:rsidRPr="00BC0CDA">
        <w:rPr>
          <w:rFonts w:ascii="Open Sans" w:hAnsi="Open Sans" w:cs="Open Sans"/>
          <w:color w:val="auto"/>
          <w:sz w:val="20"/>
          <w:szCs w:val="20"/>
        </w:rPr>
        <w:t xml:space="preserve"> </w:t>
      </w:r>
      <w:r>
        <w:rPr>
          <w:rFonts w:ascii="Open Sans" w:hAnsi="Open Sans" w:cs="Open Sans"/>
          <w:color w:val="auto"/>
          <w:sz w:val="20"/>
          <w:szCs w:val="20"/>
        </w:rPr>
        <w:t xml:space="preserve">seguidos por </w:t>
      </w:r>
      <w:r w:rsidRPr="00BC0CDA">
        <w:rPr>
          <w:rFonts w:ascii="Open Sans" w:hAnsi="Open Sans" w:cs="Open Sans"/>
          <w:color w:val="auto"/>
          <w:sz w:val="20"/>
          <w:szCs w:val="20"/>
        </w:rPr>
        <w:t>“relaciones con Adm</w:t>
      </w:r>
      <w:r>
        <w:rPr>
          <w:rFonts w:ascii="Open Sans" w:hAnsi="Open Sans" w:cs="Open Sans"/>
          <w:color w:val="auto"/>
          <w:sz w:val="20"/>
          <w:szCs w:val="20"/>
        </w:rPr>
        <w:t xml:space="preserve">inistraciones Tributarias” (0,40), la </w:t>
      </w:r>
      <w:r w:rsidRPr="00BC0CDA">
        <w:rPr>
          <w:rFonts w:ascii="Open Sans" w:hAnsi="Open Sans" w:cs="Open Sans"/>
          <w:color w:val="auto"/>
          <w:sz w:val="20"/>
          <w:szCs w:val="20"/>
        </w:rPr>
        <w:t>“</w:t>
      </w:r>
      <w:r>
        <w:rPr>
          <w:rFonts w:ascii="Open Sans" w:hAnsi="Open Sans" w:cs="Open Sans"/>
          <w:color w:val="auto"/>
          <w:sz w:val="20"/>
          <w:szCs w:val="20"/>
        </w:rPr>
        <w:t xml:space="preserve">política y estrategia fiscal” (0,40) y “paraísos y nichos fiscales” (0,25). </w:t>
      </w:r>
    </w:p>
    <w:p w14:paraId="7332DB0C" w14:textId="77777777" w:rsidR="00C86459" w:rsidRDefault="00C86459" w:rsidP="00C86459">
      <w:pPr>
        <w:jc w:val="both"/>
        <w:rPr>
          <w:rFonts w:ascii="Open Sans" w:hAnsi="Open Sans" w:cs="Open Sans"/>
          <w:sz w:val="20"/>
          <w:szCs w:val="20"/>
        </w:rPr>
      </w:pPr>
    </w:p>
    <w:p w14:paraId="010A5E1D" w14:textId="77777777" w:rsidR="00C86459" w:rsidRPr="004C253A" w:rsidRDefault="00C86459" w:rsidP="00C86459">
      <w:pPr>
        <w:jc w:val="both"/>
        <w:rPr>
          <w:rFonts w:ascii="Open Sans" w:eastAsia="Calibri" w:hAnsi="Open Sans" w:cs="Open Sans"/>
          <w:sz w:val="20"/>
          <w:szCs w:val="20"/>
        </w:rPr>
      </w:pPr>
      <w:r w:rsidRPr="004C253A">
        <w:rPr>
          <w:rFonts w:ascii="Open Sans" w:hAnsi="Open Sans" w:cs="Open Sans"/>
          <w:sz w:val="20"/>
          <w:szCs w:val="20"/>
        </w:rPr>
        <w:t xml:space="preserve">Tras analizar la documentación publicada por Banco </w:t>
      </w:r>
      <w:r w:rsidRPr="004C253A">
        <w:rPr>
          <w:rFonts w:ascii="Open Sans" w:eastAsia="Calibri" w:hAnsi="Open Sans" w:cs="Open Sans"/>
          <w:sz w:val="20"/>
          <w:szCs w:val="20"/>
        </w:rPr>
        <w:t>Popular  en relación a su actividad fiscal en 2015, se observa que la Compañía no explicita un compromiso en relación a la fiscalidad responsable concretado en una estrategia que haya sido aprobada.</w:t>
      </w:r>
    </w:p>
    <w:p w14:paraId="05C930AB" w14:textId="77777777" w:rsidR="00C86459" w:rsidRPr="004C253A" w:rsidRDefault="00C86459" w:rsidP="00C86459">
      <w:pPr>
        <w:jc w:val="both"/>
        <w:rPr>
          <w:rFonts w:ascii="Open Sans" w:eastAsia="Calibri" w:hAnsi="Open Sans" w:cs="Open Sans"/>
          <w:sz w:val="20"/>
          <w:szCs w:val="20"/>
        </w:rPr>
      </w:pPr>
    </w:p>
    <w:p w14:paraId="125CB118" w14:textId="77777777" w:rsidR="00C86459" w:rsidRPr="004C253A" w:rsidRDefault="00C86459" w:rsidP="00C86459">
      <w:pPr>
        <w:jc w:val="both"/>
        <w:rPr>
          <w:rFonts w:ascii="Open Sans" w:eastAsia="Calibri" w:hAnsi="Open Sans" w:cs="Open Sans"/>
          <w:sz w:val="20"/>
          <w:szCs w:val="20"/>
        </w:rPr>
      </w:pPr>
      <w:r w:rsidRPr="004C253A">
        <w:rPr>
          <w:rFonts w:ascii="Open Sans" w:eastAsia="Calibri" w:hAnsi="Open Sans" w:cs="Open Sans"/>
          <w:sz w:val="20"/>
          <w:szCs w:val="20"/>
        </w:rPr>
        <w:t>No obstante es de destacar su escasa presencia (nula a partir de 2016) en paraísos y nichos fiscales. Su</w:t>
      </w:r>
      <w:r w:rsidRPr="004C253A">
        <w:rPr>
          <w:rFonts w:ascii="Open Sans" w:hAnsi="Open Sans" w:cs="Arial"/>
          <w:sz w:val="20"/>
          <w:szCs w:val="20"/>
        </w:rPr>
        <w:t xml:space="preserve"> Plan Director de RC - Horizonte 2020</w:t>
      </w:r>
      <w:r w:rsidRPr="004C253A">
        <w:rPr>
          <w:rFonts w:ascii="Open Sans" w:eastAsia="Calibri" w:hAnsi="Open Sans" w:cs="Open Sans"/>
          <w:sz w:val="20"/>
          <w:szCs w:val="20"/>
        </w:rPr>
        <w:t xml:space="preserve"> no evidencia ninguna política o estrategia fiscal aunque si deja constancia de los riesgos fiscales y de las medidas de control de los mismos así como de otras medidas para evitar la evasión fiscal en el exterior como el Acuerdo FATCA (en relación a sus operaciones en EE.UU.)</w:t>
      </w:r>
      <w:r>
        <w:rPr>
          <w:rFonts w:ascii="Open Sans" w:eastAsia="Calibri" w:hAnsi="Open Sans" w:cs="Open Sans"/>
          <w:sz w:val="20"/>
          <w:szCs w:val="20"/>
        </w:rPr>
        <w:t xml:space="preserve"> </w:t>
      </w:r>
    </w:p>
    <w:p w14:paraId="0902A1B3" w14:textId="77777777" w:rsidR="00C86459" w:rsidRPr="004C253A" w:rsidRDefault="00C86459" w:rsidP="00C86459">
      <w:pPr>
        <w:jc w:val="both"/>
        <w:rPr>
          <w:rFonts w:ascii="Open Sans" w:eastAsia="Calibri" w:hAnsi="Open Sans" w:cs="Open Sans"/>
          <w:sz w:val="20"/>
          <w:szCs w:val="20"/>
        </w:rPr>
      </w:pPr>
    </w:p>
    <w:p w14:paraId="4501F82C"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 xml:space="preserve">La mayor </w:t>
      </w:r>
      <w:r w:rsidRPr="004C253A">
        <w:rPr>
          <w:rFonts w:ascii="Open Sans" w:eastAsia="Calibri" w:hAnsi="Open Sans" w:cs="Open Sans"/>
          <w:sz w:val="20"/>
          <w:szCs w:val="20"/>
        </w:rPr>
        <w:t>parte</w:t>
      </w:r>
      <w:r w:rsidRPr="004C253A">
        <w:rPr>
          <w:rFonts w:ascii="Open Sans" w:hAnsi="Open Sans" w:cs="Open Sans"/>
          <w:sz w:val="20"/>
          <w:szCs w:val="20"/>
        </w:rPr>
        <w:t xml:space="preserve"> de la información objeto de análisis hay que extraerla de las cuentas anuales, en un lenguaje técnico y difícilmente comprensible para los no expertos en la materia ni en fiscalidad y no hay un documento aparte de las cuentas anuales dedicado al reporte fiscal. Además, la información está dispersa en distintos documentos con nombre muy similares, haciendo en algunos casos referencia a la matriz y en otros al grupo consolidado.  Por otro lado, no sigue los estándares internacionales del </w:t>
      </w:r>
      <w:r w:rsidRPr="004C253A">
        <w:rPr>
          <w:rFonts w:ascii="Open Sans" w:hAnsi="Open Sans" w:cs="Open Sans"/>
          <w:i/>
          <w:sz w:val="20"/>
          <w:szCs w:val="20"/>
        </w:rPr>
        <w:t>country by country</w:t>
      </w:r>
      <w:r w:rsidRPr="004C253A">
        <w:rPr>
          <w:rFonts w:ascii="Open Sans" w:hAnsi="Open Sans" w:cs="Open Sans"/>
          <w:sz w:val="20"/>
          <w:szCs w:val="20"/>
        </w:rPr>
        <w:t xml:space="preserve"> que promueven que la empresa presente información país a país de una sería de partidas financieras y de la actividad que realiza en los territorios donde está presente. </w:t>
      </w:r>
    </w:p>
    <w:p w14:paraId="779A7918" w14:textId="77777777" w:rsidR="00C86459" w:rsidRPr="004C253A" w:rsidRDefault="00C86459" w:rsidP="00C86459">
      <w:pPr>
        <w:jc w:val="both"/>
        <w:rPr>
          <w:rFonts w:ascii="Open Sans" w:hAnsi="Open Sans" w:cs="Open Sans"/>
          <w:sz w:val="20"/>
          <w:szCs w:val="20"/>
        </w:rPr>
      </w:pPr>
    </w:p>
    <w:p w14:paraId="7C247A36" w14:textId="77777777" w:rsidR="00C86459" w:rsidRPr="004C253A" w:rsidRDefault="00C86459" w:rsidP="00C86459">
      <w:pPr>
        <w:jc w:val="both"/>
        <w:rPr>
          <w:rFonts w:ascii="Open Sans" w:hAnsi="Open Sans" w:cs="Open Sans"/>
          <w:sz w:val="20"/>
          <w:szCs w:val="20"/>
        </w:rPr>
      </w:pPr>
      <w:r w:rsidRPr="004C253A">
        <w:rPr>
          <w:rFonts w:ascii="Open Sans" w:hAnsi="Open Sans" w:cs="Open Sans"/>
          <w:sz w:val="20"/>
          <w:szCs w:val="20"/>
        </w:rPr>
        <w:t>A pesar de su cotización en los índices bursátiles de inversión socialmente responsable arriba citados, en la documentación analizada no se han encontrado evidencias de que haya establecido un diálogo, más allá de con la agencia tributaria, con sus grupos de interés en relación a los aspectos fiscales,</w:t>
      </w:r>
    </w:p>
    <w:p w14:paraId="1E716A6C" w14:textId="77777777" w:rsidR="00C86459" w:rsidRPr="004C253A" w:rsidRDefault="00C86459" w:rsidP="00C86459">
      <w:pPr>
        <w:jc w:val="both"/>
        <w:rPr>
          <w:rFonts w:ascii="Open Sans" w:hAnsi="Open Sans" w:cs="Open Sans"/>
          <w:sz w:val="20"/>
          <w:szCs w:val="20"/>
        </w:rPr>
      </w:pPr>
    </w:p>
    <w:p w14:paraId="000C6E01" w14:textId="77777777" w:rsidR="00C86459" w:rsidRPr="004C253A" w:rsidRDefault="00C86459" w:rsidP="00C86459">
      <w:pPr>
        <w:jc w:val="both"/>
        <w:rPr>
          <w:rFonts w:ascii="Open Sans" w:eastAsia="Calibri" w:hAnsi="Open Sans" w:cs="Open Sans"/>
          <w:sz w:val="20"/>
          <w:szCs w:val="20"/>
        </w:rPr>
      </w:pPr>
      <w:r w:rsidRPr="004C253A">
        <w:rPr>
          <w:rFonts w:ascii="Open Sans" w:eastAsia="Calibri" w:hAnsi="Open Sans" w:cs="Open Sans"/>
          <w:sz w:val="20"/>
          <w:szCs w:val="20"/>
        </w:rPr>
        <w:t xml:space="preserve">Sus principales aspectos de mejora son aumentar la trasparencia y profundidad de la información suministrada, unificando toda la información fiscal y desglosando los principales aspectos fiscales de todos los países en los que opera. </w:t>
      </w:r>
    </w:p>
    <w:p w14:paraId="113F428B" w14:textId="77777777" w:rsidR="00C86459" w:rsidRPr="004C253A" w:rsidRDefault="00C86459" w:rsidP="00FC3073">
      <w:pPr>
        <w:jc w:val="both"/>
        <w:rPr>
          <w:rFonts w:ascii="Open Sans" w:eastAsia="Calibri" w:hAnsi="Open Sans" w:cs="Open Sans"/>
          <w:sz w:val="20"/>
          <w:szCs w:val="20"/>
        </w:rPr>
      </w:pPr>
    </w:p>
    <w:p w14:paraId="4E68E615" w14:textId="4B808A81" w:rsidR="00FC3073" w:rsidRPr="004C253A" w:rsidRDefault="00FC3073" w:rsidP="00FC3073">
      <w:pPr>
        <w:rPr>
          <w:rFonts w:ascii="Open Sans" w:eastAsia="Calibri" w:hAnsi="Open Sans" w:cs="Open Sans"/>
          <w:sz w:val="20"/>
          <w:szCs w:val="20"/>
        </w:rPr>
      </w:pPr>
      <w:r>
        <w:rPr>
          <w:rFonts w:ascii="Open Sans" w:eastAsia="Calibri" w:hAnsi="Open Sans" w:cs="Open Sans"/>
          <w:sz w:val="20"/>
          <w:szCs w:val="20"/>
        </w:rPr>
        <w:br w:type="page"/>
      </w:r>
    </w:p>
    <w:p w14:paraId="2CE9DBAD" w14:textId="77777777" w:rsidR="00092060" w:rsidRDefault="00092060" w:rsidP="00092060">
      <w:pPr>
        <w:pBdr>
          <w:top w:val="single" w:sz="4" w:space="1" w:color="000000"/>
          <w:left w:val="single" w:sz="4" w:space="4" w:color="000000"/>
          <w:bottom w:val="single" w:sz="4" w:space="1" w:color="000000"/>
          <w:right w:val="single" w:sz="4" w:space="4" w:color="000000"/>
        </w:pBdr>
        <w:shd w:val="clear" w:color="auto" w:fill="000080"/>
        <w:jc w:val="center"/>
      </w:pPr>
      <w:bookmarkStart w:id="95" w:name="Santander"/>
      <w:r>
        <w:rPr>
          <w:rFonts w:ascii="Open Sans" w:hAnsi="Open Sans" w:cs="Open Sans"/>
          <w:b/>
          <w:caps/>
          <w:color w:val="FFFFFF"/>
        </w:rPr>
        <w:t>Grupo Banco santander</w:t>
      </w:r>
    </w:p>
    <w:bookmarkEnd w:id="95"/>
    <w:p w14:paraId="229D36BE" w14:textId="77777777" w:rsidR="00092060" w:rsidRDefault="00092060" w:rsidP="00092060">
      <w:pPr>
        <w:pBdr>
          <w:top w:val="single" w:sz="4" w:space="1" w:color="000000"/>
          <w:left w:val="single" w:sz="4" w:space="4" w:color="000000"/>
          <w:bottom w:val="single" w:sz="4" w:space="1" w:color="000000"/>
          <w:right w:val="single" w:sz="4" w:space="4" w:color="000000"/>
        </w:pBdr>
        <w:shd w:val="clear" w:color="auto" w:fill="000080"/>
        <w:jc w:val="center"/>
      </w:pPr>
      <w:r>
        <w:rPr>
          <w:rFonts w:ascii="Open Sans" w:hAnsi="Open Sans" w:cs="Open Sans"/>
          <w:b/>
          <w:i/>
          <w:color w:val="FFFFFF"/>
        </w:rPr>
        <w:t>(Banco Santander)</w:t>
      </w:r>
    </w:p>
    <w:p w14:paraId="0449E806" w14:textId="77777777" w:rsidR="00092060" w:rsidRDefault="00092060" w:rsidP="00092060">
      <w:pPr>
        <w:jc w:val="both"/>
        <w:rPr>
          <w:rFonts w:ascii="Open Sans" w:hAnsi="Open Sans" w:cs="Open Sans"/>
          <w:b/>
          <w:sz w:val="22"/>
          <w:szCs w:val="22"/>
        </w:rPr>
      </w:pPr>
    </w:p>
    <w:p w14:paraId="414C8947" w14:textId="77777777" w:rsidR="00C86459" w:rsidRDefault="00C86459" w:rsidP="00C86459">
      <w:pPr>
        <w:jc w:val="both"/>
      </w:pPr>
      <w:r>
        <w:rPr>
          <w:rFonts w:ascii="Open Sans" w:hAnsi="Open Sans" w:cs="Open Sans"/>
          <w:b/>
          <w:sz w:val="22"/>
          <w:szCs w:val="22"/>
          <w:u w:val="single"/>
        </w:rPr>
        <w:t>1. Datos generales de la entidad</w:t>
      </w:r>
    </w:p>
    <w:p w14:paraId="303B4C73" w14:textId="77777777" w:rsidR="00C86459" w:rsidRDefault="00C86459" w:rsidP="00C86459">
      <w:pPr>
        <w:jc w:val="both"/>
        <w:rPr>
          <w:rFonts w:ascii="Open Sans" w:hAnsi="Open Sans" w:cs="Open Sans"/>
          <w:b/>
          <w:sz w:val="22"/>
          <w:szCs w:val="22"/>
          <w:u w:val="single"/>
        </w:rPr>
      </w:pPr>
    </w:p>
    <w:p w14:paraId="6DF0A194" w14:textId="77777777" w:rsidR="00C86459" w:rsidRDefault="00C86459" w:rsidP="00C86459">
      <w:pPr>
        <w:jc w:val="both"/>
      </w:pPr>
      <w:r>
        <w:rPr>
          <w:rFonts w:ascii="Open Sans" w:hAnsi="Open Sans" w:cs="Open Sans"/>
          <w:sz w:val="20"/>
          <w:szCs w:val="20"/>
          <w:u w:val="single"/>
        </w:rPr>
        <w:t>Productos/servicios</w:t>
      </w:r>
    </w:p>
    <w:p w14:paraId="4373A7BF" w14:textId="77777777" w:rsidR="00C86459" w:rsidRDefault="00C86459" w:rsidP="00C86459">
      <w:pPr>
        <w:jc w:val="both"/>
        <w:rPr>
          <w:rFonts w:ascii="Open Sans" w:hAnsi="Open Sans" w:cs="Open Sans"/>
          <w:sz w:val="20"/>
          <w:szCs w:val="20"/>
        </w:rPr>
      </w:pPr>
    </w:p>
    <w:p w14:paraId="46F72354" w14:textId="77777777" w:rsidR="00C86459" w:rsidRDefault="00C86459" w:rsidP="00C86459">
      <w:pPr>
        <w:jc w:val="both"/>
      </w:pPr>
      <w:r>
        <w:rPr>
          <w:rFonts w:ascii="Open Sans" w:hAnsi="Open Sans" w:cs="Open Sans"/>
          <w:sz w:val="20"/>
          <w:szCs w:val="20"/>
        </w:rPr>
        <w:t xml:space="preserve">EL Grupo Banco Santander </w:t>
      </w:r>
      <w:r>
        <w:rPr>
          <w:rFonts w:ascii="Open Sans" w:eastAsia="Open Sans" w:hAnsi="Open Sans" w:cs="Open Sans"/>
          <w:sz w:val="20"/>
          <w:szCs w:val="20"/>
          <w:highlight w:val="white"/>
        </w:rPr>
        <w:t>(en adelante Banco Santander)</w:t>
      </w:r>
      <w:r>
        <w:rPr>
          <w:rFonts w:ascii="Open Sans" w:eastAsia="Open Sans" w:hAnsi="Open Sans" w:cs="Open Sans"/>
          <w:sz w:val="20"/>
          <w:szCs w:val="20"/>
        </w:rPr>
        <w:t xml:space="preserve"> de forma directa o a través de su marca, sociedades filiales y participadas ofrece a sus clientes productos / servicios dentro de todos los ámbitos del negocio financiero, asegurador e inmobiliario. Las líneas de negocio que ha estructurado son:</w:t>
      </w:r>
    </w:p>
    <w:p w14:paraId="1213184C" w14:textId="77777777" w:rsidR="00C86459" w:rsidRDefault="00C86459" w:rsidP="00C86459">
      <w:pPr>
        <w:jc w:val="both"/>
        <w:rPr>
          <w:rFonts w:ascii="Open Sans" w:hAnsi="Open Sans" w:cs="Open Sans"/>
          <w:sz w:val="20"/>
          <w:szCs w:val="20"/>
        </w:rPr>
      </w:pPr>
    </w:p>
    <w:p w14:paraId="0197D9BB" w14:textId="77777777" w:rsidR="00C86459" w:rsidRDefault="00C86459" w:rsidP="000B70C9">
      <w:pPr>
        <w:numPr>
          <w:ilvl w:val="0"/>
          <w:numId w:val="40"/>
        </w:numPr>
        <w:suppressAutoHyphens/>
        <w:jc w:val="both"/>
      </w:pPr>
      <w:r>
        <w:rPr>
          <w:rFonts w:ascii="Open Sans" w:hAnsi="Open Sans" w:cs="Open Sans"/>
          <w:sz w:val="20"/>
          <w:szCs w:val="20"/>
        </w:rPr>
        <w:t>Particulares</w:t>
      </w:r>
    </w:p>
    <w:p w14:paraId="39887E4D" w14:textId="77777777" w:rsidR="00C86459" w:rsidRDefault="00C86459" w:rsidP="000B70C9">
      <w:pPr>
        <w:numPr>
          <w:ilvl w:val="0"/>
          <w:numId w:val="40"/>
        </w:numPr>
        <w:suppressAutoHyphens/>
        <w:jc w:val="both"/>
      </w:pPr>
      <w:r>
        <w:rPr>
          <w:rFonts w:ascii="Open Sans" w:hAnsi="Open Sans" w:cs="Open Sans"/>
          <w:sz w:val="20"/>
          <w:szCs w:val="20"/>
        </w:rPr>
        <w:t>Private Banking</w:t>
      </w:r>
    </w:p>
    <w:p w14:paraId="44621F9F" w14:textId="77777777" w:rsidR="00C86459" w:rsidRDefault="00C86459" w:rsidP="000B70C9">
      <w:pPr>
        <w:numPr>
          <w:ilvl w:val="0"/>
          <w:numId w:val="40"/>
        </w:numPr>
        <w:suppressAutoHyphens/>
        <w:jc w:val="both"/>
      </w:pPr>
      <w:r>
        <w:rPr>
          <w:rFonts w:ascii="Open Sans" w:hAnsi="Open Sans" w:cs="Open Sans"/>
          <w:sz w:val="20"/>
          <w:szCs w:val="20"/>
        </w:rPr>
        <w:t>Empresas</w:t>
      </w:r>
    </w:p>
    <w:p w14:paraId="0363FF4A" w14:textId="77777777" w:rsidR="00C86459" w:rsidRDefault="00C86459" w:rsidP="00C86459">
      <w:pPr>
        <w:jc w:val="both"/>
        <w:rPr>
          <w:rFonts w:ascii="Open Sans" w:hAnsi="Open Sans" w:cs="Open Sans"/>
          <w:sz w:val="20"/>
          <w:szCs w:val="20"/>
        </w:rPr>
      </w:pPr>
    </w:p>
    <w:p w14:paraId="2E457C45" w14:textId="77777777" w:rsidR="00C86459" w:rsidRDefault="00C86459" w:rsidP="00C86459">
      <w:pPr>
        <w:jc w:val="both"/>
        <w:rPr>
          <w:rFonts w:ascii="Open Sans" w:hAnsi="Open Sans" w:cs="Open Sans"/>
          <w:sz w:val="20"/>
          <w:szCs w:val="20"/>
        </w:rPr>
      </w:pPr>
    </w:p>
    <w:p w14:paraId="3ABD3A5C" w14:textId="77777777" w:rsidR="00C86459" w:rsidRDefault="00C86459" w:rsidP="00C86459">
      <w:pPr>
        <w:jc w:val="both"/>
      </w:pPr>
      <w:r>
        <w:rPr>
          <w:rFonts w:ascii="Open Sans" w:hAnsi="Open Sans" w:cs="Open Sans"/>
          <w:sz w:val="20"/>
          <w:szCs w:val="20"/>
          <w:u w:val="single"/>
        </w:rPr>
        <w:t xml:space="preserve">Alcance geográfico </w:t>
      </w:r>
    </w:p>
    <w:p w14:paraId="0874A65B" w14:textId="77777777" w:rsidR="00C86459" w:rsidRDefault="00C86459" w:rsidP="00C86459">
      <w:pPr>
        <w:jc w:val="both"/>
        <w:rPr>
          <w:rFonts w:ascii="Open Sans" w:hAnsi="Open Sans" w:cs="Open Sans"/>
          <w:sz w:val="20"/>
          <w:szCs w:val="20"/>
        </w:rPr>
      </w:pPr>
    </w:p>
    <w:p w14:paraId="7E1E96BE" w14:textId="77777777" w:rsidR="00C86459" w:rsidRDefault="00C86459" w:rsidP="00C86459">
      <w:pPr>
        <w:pStyle w:val="Normal1"/>
        <w:jc w:val="both"/>
      </w:pPr>
      <w:r>
        <w:rPr>
          <w:rFonts w:ascii="Open Sans" w:eastAsia="Arial" w:hAnsi="Open Sans" w:cs="Open Sans"/>
          <w:sz w:val="20"/>
        </w:rPr>
        <w:t>En el ejercicio 2015, el Banco Santander opera o tiene presencia</w:t>
      </w:r>
      <w:r>
        <w:rPr>
          <w:rStyle w:val="Refdenotaalpie"/>
          <w:rFonts w:ascii="Open Sans" w:eastAsia="Arial" w:hAnsi="Open Sans" w:cs="Open Sans"/>
          <w:sz w:val="20"/>
        </w:rPr>
        <w:footnoteReference w:id="515"/>
      </w:r>
      <w:r>
        <w:rPr>
          <w:rFonts w:ascii="Open Sans" w:eastAsia="Arial" w:hAnsi="Open Sans" w:cs="Open Sans"/>
          <w:sz w:val="20"/>
        </w:rPr>
        <w:t xml:space="preserve"> en los siguientes países y territorios: </w:t>
      </w:r>
    </w:p>
    <w:p w14:paraId="768A053C" w14:textId="77777777" w:rsidR="00C86459" w:rsidRDefault="00C86459" w:rsidP="00C86459">
      <w:pPr>
        <w:pStyle w:val="Normal1"/>
        <w:jc w:val="both"/>
        <w:rPr>
          <w:rFonts w:ascii="Open Sans" w:eastAsia="Arial" w:hAnsi="Open Sans" w:cs="Open Sans"/>
          <w:sz w:val="20"/>
        </w:rPr>
      </w:pPr>
    </w:p>
    <w:p w14:paraId="27F7C5B6" w14:textId="77777777" w:rsidR="00C86459" w:rsidRDefault="00C86459" w:rsidP="00C86459">
      <w:pPr>
        <w:pStyle w:val="Normal1"/>
        <w:jc w:val="both"/>
      </w:pPr>
      <w:r>
        <w:rPr>
          <w:rFonts w:ascii="Open Sans" w:eastAsia="Arial" w:hAnsi="Open Sans" w:cs="Open Sans"/>
          <w:sz w:val="20"/>
        </w:rPr>
        <w:t>Alemania, Arabia Saudí, Argentina, Australia, Austria, Bahamas, Bélgica, Bermudas, Brasil, Canadá, Chile, China, Colombia, Dinamarca, El Salvador</w:t>
      </w:r>
      <w:r>
        <w:rPr>
          <w:rStyle w:val="Refdenotaalpie"/>
          <w:rFonts w:ascii="Open Sans" w:eastAsia="Arial" w:hAnsi="Open Sans" w:cs="Open Sans"/>
          <w:sz w:val="20"/>
        </w:rPr>
        <w:footnoteReference w:id="516"/>
      </w:r>
      <w:r>
        <w:rPr>
          <w:rFonts w:ascii="Open Sans" w:eastAsia="Arial" w:hAnsi="Open Sans" w:cs="Open Sans"/>
          <w:sz w:val="20"/>
        </w:rPr>
        <w:t>, España, Estados Unidos, Finlandia, Francia, Guernsey, Guinea Bissau, Holanda, Hong Kong, Hungría, India, Irlanda, Isla de Man, Islas Caimán, Italia, Jersey, Luxemburgo, Malta, Marruecos, Mauritania,  México, Noruega, Panamá, Paraguay, Perú, Polonia, Portugal, Puerto Rico, Reino Unido, Singapur, Suecia, Suiza, Uruguay.</w:t>
      </w:r>
    </w:p>
    <w:p w14:paraId="676894C8" w14:textId="77777777" w:rsidR="00C86459" w:rsidRDefault="00C86459" w:rsidP="00C86459">
      <w:pPr>
        <w:jc w:val="both"/>
        <w:rPr>
          <w:rFonts w:ascii="Open Sans" w:hAnsi="Open Sans" w:cs="Open Sans"/>
          <w:sz w:val="20"/>
          <w:szCs w:val="20"/>
          <w:u w:val="single"/>
        </w:rPr>
      </w:pPr>
    </w:p>
    <w:p w14:paraId="3220A94E" w14:textId="77777777" w:rsidR="00C86459" w:rsidRDefault="00C86459" w:rsidP="00C86459">
      <w:pPr>
        <w:jc w:val="both"/>
        <w:rPr>
          <w:rFonts w:ascii="Open Sans" w:hAnsi="Open Sans" w:cs="Open Sans"/>
          <w:sz w:val="20"/>
          <w:szCs w:val="20"/>
          <w:u w:val="single"/>
        </w:rPr>
      </w:pPr>
    </w:p>
    <w:p w14:paraId="2A0BD759" w14:textId="77777777" w:rsidR="00C86459" w:rsidRDefault="00C86459" w:rsidP="00C86459">
      <w:pPr>
        <w:jc w:val="both"/>
      </w:pPr>
      <w:r>
        <w:rPr>
          <w:rFonts w:ascii="Open Sans" w:hAnsi="Open Sans" w:cs="Open Sans"/>
          <w:sz w:val="20"/>
          <w:szCs w:val="20"/>
          <w:u w:val="single"/>
        </w:rPr>
        <w:t>Cifras relevantes de la empresa:</w:t>
      </w:r>
    </w:p>
    <w:p w14:paraId="23514C26" w14:textId="77777777" w:rsidR="00C86459" w:rsidRDefault="00C86459" w:rsidP="00C86459">
      <w:pPr>
        <w:jc w:val="both"/>
        <w:rPr>
          <w:rFonts w:ascii="Open Sans" w:hAnsi="Open Sans" w:cs="Open Sans"/>
          <w:sz w:val="20"/>
          <w:szCs w:val="20"/>
          <w:u w:val="single"/>
        </w:rPr>
      </w:pPr>
    </w:p>
    <w:p w14:paraId="00E306FB" w14:textId="77777777" w:rsidR="00C86459" w:rsidRDefault="00C86459" w:rsidP="00C86459">
      <w:pPr>
        <w:jc w:val="both"/>
        <w:rPr>
          <w:rFonts w:ascii="Open Sans" w:eastAsia="Open Sans" w:hAnsi="Open Sans" w:cs="Open Sans"/>
          <w:sz w:val="20"/>
          <w:szCs w:val="20"/>
          <w:u w:val="single"/>
        </w:rPr>
      </w:pPr>
    </w:p>
    <w:tbl>
      <w:tblPr>
        <w:tblW w:w="0" w:type="auto"/>
        <w:tblInd w:w="1032" w:type="dxa"/>
        <w:tblLayout w:type="fixed"/>
        <w:tblCellMar>
          <w:top w:w="55" w:type="dxa"/>
          <w:left w:w="51" w:type="dxa"/>
          <w:bottom w:w="55" w:type="dxa"/>
          <w:right w:w="55" w:type="dxa"/>
        </w:tblCellMar>
        <w:tblLook w:val="0000" w:firstRow="0" w:lastRow="0" w:firstColumn="0" w:lastColumn="0" w:noHBand="0" w:noVBand="0"/>
      </w:tblPr>
      <w:tblGrid>
        <w:gridCol w:w="3971"/>
        <w:gridCol w:w="2404"/>
      </w:tblGrid>
      <w:tr w:rsidR="00C86459" w14:paraId="1C9C5CEC" w14:textId="77777777" w:rsidTr="00C86459">
        <w:trPr>
          <w:trHeight w:val="449"/>
        </w:trPr>
        <w:tc>
          <w:tcPr>
            <w:tcW w:w="3971" w:type="dxa"/>
            <w:tcBorders>
              <w:top w:val="single" w:sz="2" w:space="0" w:color="000001"/>
              <w:left w:val="single" w:sz="2" w:space="0" w:color="000001"/>
              <w:bottom w:val="single" w:sz="2" w:space="0" w:color="000001"/>
            </w:tcBorders>
            <w:shd w:val="clear" w:color="auto" w:fill="FFFFFF"/>
          </w:tcPr>
          <w:p w14:paraId="208F6F00" w14:textId="77777777" w:rsidR="00C86459" w:rsidRDefault="00C86459" w:rsidP="00C86459">
            <w:pPr>
              <w:pStyle w:val="Contenidodelatabla"/>
              <w:jc w:val="center"/>
            </w:pPr>
            <w:r>
              <w:rPr>
                <w:rFonts w:ascii="Open Sans" w:hAnsi="Open Sans" w:cs="Open Sans"/>
                <w:b/>
                <w:bCs/>
                <w:i/>
                <w:iCs/>
                <w:sz w:val="20"/>
                <w:szCs w:val="20"/>
              </w:rPr>
              <w:t>Concepto</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39A22619" w14:textId="77777777" w:rsidR="00C86459" w:rsidRDefault="00C86459" w:rsidP="00C86459">
            <w:pPr>
              <w:pStyle w:val="Contenidodelatabla"/>
              <w:jc w:val="center"/>
            </w:pPr>
            <w:r>
              <w:rPr>
                <w:rFonts w:ascii="Open Sans" w:hAnsi="Open Sans" w:cs="Open Sans"/>
                <w:b/>
                <w:bCs/>
                <w:i/>
                <w:iCs/>
                <w:sz w:val="20"/>
                <w:szCs w:val="20"/>
              </w:rPr>
              <w:t>Importe en millones € (M€)</w:t>
            </w:r>
          </w:p>
        </w:tc>
      </w:tr>
      <w:tr w:rsidR="00C86459" w14:paraId="4AB89632" w14:textId="77777777" w:rsidTr="00C86459">
        <w:tc>
          <w:tcPr>
            <w:tcW w:w="3971" w:type="dxa"/>
            <w:tcBorders>
              <w:top w:val="single" w:sz="2" w:space="0" w:color="000001"/>
              <w:left w:val="single" w:sz="2" w:space="0" w:color="000001"/>
              <w:bottom w:val="single" w:sz="2" w:space="0" w:color="000001"/>
            </w:tcBorders>
            <w:shd w:val="clear" w:color="auto" w:fill="FFFFFF"/>
          </w:tcPr>
          <w:p w14:paraId="35A57EA2" w14:textId="77777777" w:rsidR="00C86459" w:rsidRDefault="00C86459" w:rsidP="00C86459">
            <w:pPr>
              <w:jc w:val="both"/>
            </w:pPr>
            <w:r>
              <w:rPr>
                <w:rFonts w:ascii="Open Sans" w:hAnsi="Open Sans" w:cs="Open Sans"/>
                <w:sz w:val="20"/>
                <w:szCs w:val="20"/>
              </w:rPr>
              <w:t>Activos Totales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28F7EFD5" w14:textId="77777777" w:rsidR="00C86459" w:rsidRDefault="00C86459" w:rsidP="00C86459">
            <w:pPr>
              <w:ind w:right="227"/>
              <w:jc w:val="right"/>
            </w:pPr>
            <w:r>
              <w:rPr>
                <w:rFonts w:ascii="Open Sans" w:hAnsi="Open Sans" w:cs="Open Sans"/>
                <w:sz w:val="20"/>
                <w:szCs w:val="20"/>
              </w:rPr>
              <w:t>1.340.260</w:t>
            </w:r>
          </w:p>
        </w:tc>
      </w:tr>
      <w:tr w:rsidR="00C86459" w14:paraId="3FCF7F38" w14:textId="77777777" w:rsidTr="00C86459">
        <w:tc>
          <w:tcPr>
            <w:tcW w:w="3971" w:type="dxa"/>
            <w:tcBorders>
              <w:left w:val="single" w:sz="2" w:space="0" w:color="000001"/>
              <w:bottom w:val="single" w:sz="2" w:space="0" w:color="000001"/>
            </w:tcBorders>
            <w:shd w:val="clear" w:color="auto" w:fill="FFFFFF"/>
          </w:tcPr>
          <w:p w14:paraId="2666D182" w14:textId="77777777" w:rsidR="00C86459" w:rsidRDefault="00C86459" w:rsidP="00C86459">
            <w:pPr>
              <w:jc w:val="both"/>
            </w:pPr>
            <w:r>
              <w:rPr>
                <w:rFonts w:ascii="Open Sans" w:hAnsi="Open Sans" w:cs="Open Sans"/>
                <w:sz w:val="20"/>
                <w:szCs w:val="20"/>
              </w:rPr>
              <w:t>Patrimonio Neto</w:t>
            </w:r>
          </w:p>
        </w:tc>
        <w:tc>
          <w:tcPr>
            <w:tcW w:w="2404" w:type="dxa"/>
            <w:tcBorders>
              <w:left w:val="single" w:sz="2" w:space="0" w:color="000001"/>
              <w:bottom w:val="single" w:sz="2" w:space="0" w:color="000001"/>
              <w:right w:val="single" w:sz="2" w:space="0" w:color="000001"/>
            </w:tcBorders>
            <w:shd w:val="clear" w:color="auto" w:fill="FFFFFF"/>
          </w:tcPr>
          <w:p w14:paraId="51803DCB" w14:textId="77777777" w:rsidR="00C86459" w:rsidRDefault="00C86459" w:rsidP="00C86459">
            <w:pPr>
              <w:ind w:right="227"/>
              <w:jc w:val="right"/>
            </w:pPr>
            <w:r>
              <w:rPr>
                <w:rFonts w:ascii="Open Sans" w:hAnsi="Open Sans" w:cs="Open Sans"/>
                <w:sz w:val="20"/>
                <w:szCs w:val="20"/>
              </w:rPr>
              <w:t>98.753</w:t>
            </w:r>
          </w:p>
        </w:tc>
      </w:tr>
      <w:tr w:rsidR="00C86459" w14:paraId="2D6F218C" w14:textId="77777777" w:rsidTr="00C86459">
        <w:tc>
          <w:tcPr>
            <w:tcW w:w="3971" w:type="dxa"/>
            <w:tcBorders>
              <w:top w:val="single" w:sz="2" w:space="0" w:color="000001"/>
              <w:left w:val="single" w:sz="2" w:space="0" w:color="000001"/>
              <w:bottom w:val="single" w:sz="2" w:space="0" w:color="000001"/>
            </w:tcBorders>
            <w:shd w:val="clear" w:color="auto" w:fill="FFFFFF"/>
          </w:tcPr>
          <w:p w14:paraId="16506575" w14:textId="77777777" w:rsidR="00C86459" w:rsidRDefault="00C86459" w:rsidP="00C86459">
            <w:pPr>
              <w:jc w:val="both"/>
            </w:pPr>
            <w:r>
              <w:rPr>
                <w:rFonts w:ascii="Open Sans" w:hAnsi="Open Sans" w:cs="Open Sans"/>
                <w:sz w:val="20"/>
                <w:szCs w:val="20"/>
              </w:rPr>
              <w:t>Fondos Propios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2550F260" w14:textId="77777777" w:rsidR="00C86459" w:rsidRDefault="00C86459" w:rsidP="00C86459">
            <w:pPr>
              <w:ind w:right="227"/>
              <w:jc w:val="right"/>
            </w:pPr>
            <w:r>
              <w:rPr>
                <w:rFonts w:ascii="Open Sans" w:hAnsi="Open Sans" w:cs="Open Sans"/>
                <w:sz w:val="20"/>
                <w:szCs w:val="20"/>
              </w:rPr>
              <w:t>102.402</w:t>
            </w:r>
          </w:p>
        </w:tc>
      </w:tr>
      <w:tr w:rsidR="00C86459" w14:paraId="28DB572F" w14:textId="77777777" w:rsidTr="00C86459">
        <w:tc>
          <w:tcPr>
            <w:tcW w:w="3971" w:type="dxa"/>
            <w:tcBorders>
              <w:top w:val="single" w:sz="2" w:space="0" w:color="000001"/>
              <w:left w:val="single" w:sz="2" w:space="0" w:color="000001"/>
              <w:bottom w:val="single" w:sz="2" w:space="0" w:color="000001"/>
            </w:tcBorders>
            <w:shd w:val="clear" w:color="auto" w:fill="FFFFFF"/>
          </w:tcPr>
          <w:p w14:paraId="1B66B514" w14:textId="77777777" w:rsidR="00C86459" w:rsidRDefault="00C86459" w:rsidP="00C86459">
            <w:pPr>
              <w:jc w:val="both"/>
            </w:pPr>
            <w:r>
              <w:rPr>
                <w:rFonts w:ascii="Open Sans" w:hAnsi="Open Sans" w:cs="Open Sans"/>
                <w:sz w:val="20"/>
                <w:szCs w:val="20"/>
              </w:rPr>
              <w:t>Inversiones Crediticias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4E3D831A" w14:textId="77777777" w:rsidR="00C86459" w:rsidRDefault="00C86459" w:rsidP="00C86459">
            <w:pPr>
              <w:ind w:right="227"/>
              <w:jc w:val="right"/>
            </w:pPr>
            <w:r>
              <w:rPr>
                <w:rFonts w:ascii="Open Sans" w:hAnsi="Open Sans" w:cs="Open Sans"/>
                <w:sz w:val="20"/>
                <w:szCs w:val="20"/>
              </w:rPr>
              <w:t>831.637</w:t>
            </w:r>
          </w:p>
        </w:tc>
      </w:tr>
      <w:tr w:rsidR="00C86459" w14:paraId="2F9DB576" w14:textId="77777777" w:rsidTr="00C86459">
        <w:tc>
          <w:tcPr>
            <w:tcW w:w="3971" w:type="dxa"/>
            <w:tcBorders>
              <w:top w:val="single" w:sz="2" w:space="0" w:color="000001"/>
              <w:left w:val="single" w:sz="2" w:space="0" w:color="000001"/>
              <w:bottom w:val="single" w:sz="2" w:space="0" w:color="000001"/>
            </w:tcBorders>
            <w:shd w:val="clear" w:color="auto" w:fill="FFFFFF"/>
          </w:tcPr>
          <w:p w14:paraId="01AC7EA5" w14:textId="77777777" w:rsidR="00C86459" w:rsidRDefault="00C86459" w:rsidP="00C86459">
            <w:pPr>
              <w:jc w:val="both"/>
            </w:pPr>
            <w:r>
              <w:rPr>
                <w:rFonts w:ascii="Open Sans" w:hAnsi="Open Sans" w:cs="Open Sans"/>
                <w:sz w:val="20"/>
                <w:szCs w:val="20"/>
              </w:rPr>
              <w:t>Margen de Intereses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518327E1" w14:textId="77777777" w:rsidR="00C86459" w:rsidRDefault="00C86459" w:rsidP="00C86459">
            <w:pPr>
              <w:ind w:right="227"/>
              <w:jc w:val="right"/>
            </w:pPr>
            <w:r>
              <w:rPr>
                <w:rFonts w:ascii="Open Sans" w:hAnsi="Open Sans" w:cs="Open Sans"/>
                <w:sz w:val="20"/>
                <w:szCs w:val="20"/>
              </w:rPr>
              <w:t>32.189</w:t>
            </w:r>
          </w:p>
        </w:tc>
      </w:tr>
      <w:tr w:rsidR="00C86459" w14:paraId="62B0C3A9" w14:textId="77777777" w:rsidTr="00C86459">
        <w:tc>
          <w:tcPr>
            <w:tcW w:w="3971" w:type="dxa"/>
            <w:tcBorders>
              <w:top w:val="single" w:sz="2" w:space="0" w:color="000001"/>
              <w:left w:val="single" w:sz="2" w:space="0" w:color="000001"/>
              <w:bottom w:val="single" w:sz="2" w:space="0" w:color="000001"/>
            </w:tcBorders>
            <w:shd w:val="clear" w:color="auto" w:fill="FFFFFF"/>
          </w:tcPr>
          <w:p w14:paraId="50474EBA" w14:textId="77777777" w:rsidR="00C86459" w:rsidRDefault="00C86459" w:rsidP="00C86459">
            <w:pPr>
              <w:jc w:val="both"/>
            </w:pPr>
            <w:r>
              <w:rPr>
                <w:rFonts w:ascii="Open Sans" w:hAnsi="Open Sans" w:cs="Open Sans"/>
                <w:sz w:val="20"/>
                <w:szCs w:val="20"/>
              </w:rPr>
              <w:t>Margen Bruto</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5AA40DC2" w14:textId="77777777" w:rsidR="00C86459" w:rsidRDefault="00C86459" w:rsidP="00C86459">
            <w:pPr>
              <w:ind w:right="227"/>
              <w:jc w:val="right"/>
            </w:pPr>
            <w:r>
              <w:rPr>
                <w:rFonts w:ascii="Open Sans" w:hAnsi="Open Sans" w:cs="Open Sans"/>
                <w:sz w:val="20"/>
                <w:szCs w:val="20"/>
              </w:rPr>
              <w:t>45.895</w:t>
            </w:r>
          </w:p>
        </w:tc>
      </w:tr>
      <w:tr w:rsidR="00C86459" w14:paraId="0A45A04E" w14:textId="77777777" w:rsidTr="00C86459">
        <w:tc>
          <w:tcPr>
            <w:tcW w:w="3971" w:type="dxa"/>
            <w:tcBorders>
              <w:top w:val="single" w:sz="2" w:space="0" w:color="000001"/>
              <w:left w:val="single" w:sz="2" w:space="0" w:color="000001"/>
              <w:bottom w:val="single" w:sz="2" w:space="0" w:color="000001"/>
            </w:tcBorders>
            <w:shd w:val="clear" w:color="auto" w:fill="FFFFFF"/>
          </w:tcPr>
          <w:p w14:paraId="324F11B9" w14:textId="77777777" w:rsidR="00C86459" w:rsidRDefault="00C86459" w:rsidP="00C86459">
            <w:pPr>
              <w:jc w:val="both"/>
            </w:pPr>
            <w:r>
              <w:rPr>
                <w:rFonts w:ascii="Open Sans" w:hAnsi="Open Sans" w:cs="Open Sans"/>
                <w:sz w:val="20"/>
                <w:szCs w:val="20"/>
              </w:rPr>
              <w:t>Resultado de la Actividad de Explotación</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1E67AC31" w14:textId="77777777" w:rsidR="00C86459" w:rsidRDefault="00C86459" w:rsidP="00C86459">
            <w:pPr>
              <w:ind w:right="227"/>
              <w:jc w:val="right"/>
            </w:pPr>
            <w:r>
              <w:rPr>
                <w:rFonts w:ascii="Open Sans" w:hAnsi="Open Sans" w:cs="Open Sans"/>
                <w:sz w:val="20"/>
                <w:szCs w:val="20"/>
              </w:rPr>
              <w:t>10.417</w:t>
            </w:r>
          </w:p>
        </w:tc>
      </w:tr>
      <w:tr w:rsidR="00C86459" w14:paraId="7C4DFBB5" w14:textId="77777777" w:rsidTr="00C86459">
        <w:tc>
          <w:tcPr>
            <w:tcW w:w="3971" w:type="dxa"/>
            <w:tcBorders>
              <w:top w:val="single" w:sz="2" w:space="0" w:color="000001"/>
              <w:left w:val="single" w:sz="2" w:space="0" w:color="000001"/>
              <w:bottom w:val="single" w:sz="2" w:space="0" w:color="000001"/>
            </w:tcBorders>
            <w:shd w:val="clear" w:color="auto" w:fill="FFFFFF"/>
          </w:tcPr>
          <w:p w14:paraId="2C239546" w14:textId="77777777" w:rsidR="00C86459" w:rsidRDefault="00C86459" w:rsidP="00C86459">
            <w:pPr>
              <w:jc w:val="both"/>
            </w:pPr>
            <w:r>
              <w:rPr>
                <w:rFonts w:ascii="Open Sans" w:hAnsi="Open Sans" w:cs="Open Sans"/>
                <w:sz w:val="20"/>
                <w:szCs w:val="20"/>
              </w:rPr>
              <w:t>Beneficios antes de Impuestos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6C225619" w14:textId="77777777" w:rsidR="00C86459" w:rsidRDefault="00C86459" w:rsidP="00C86459">
            <w:pPr>
              <w:ind w:right="227"/>
              <w:jc w:val="right"/>
            </w:pPr>
            <w:r>
              <w:rPr>
                <w:rFonts w:ascii="Open Sans" w:hAnsi="Open Sans" w:cs="Open Sans"/>
                <w:sz w:val="20"/>
                <w:szCs w:val="20"/>
              </w:rPr>
              <w:t>9.547</w:t>
            </w:r>
          </w:p>
        </w:tc>
      </w:tr>
      <w:tr w:rsidR="00C86459" w14:paraId="780C556B" w14:textId="77777777" w:rsidTr="00C86459">
        <w:tc>
          <w:tcPr>
            <w:tcW w:w="3971" w:type="dxa"/>
            <w:tcBorders>
              <w:top w:val="single" w:sz="2" w:space="0" w:color="000001"/>
              <w:left w:val="single" w:sz="2" w:space="0" w:color="000001"/>
              <w:bottom w:val="single" w:sz="2" w:space="0" w:color="000001"/>
            </w:tcBorders>
            <w:shd w:val="clear" w:color="auto" w:fill="FFFFFF"/>
          </w:tcPr>
          <w:p w14:paraId="56BE4E0E" w14:textId="77777777" w:rsidR="00C86459" w:rsidRDefault="00C86459" w:rsidP="00C86459">
            <w:pPr>
              <w:jc w:val="both"/>
            </w:pPr>
            <w:r>
              <w:rPr>
                <w:rFonts w:ascii="Open Sans" w:hAnsi="Open Sans" w:cs="Open Sans"/>
                <w:sz w:val="20"/>
                <w:szCs w:val="20"/>
              </w:rPr>
              <w:t>Impuesto de Sociedades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5DC5604D" w14:textId="77777777" w:rsidR="00C86459" w:rsidRDefault="00C86459" w:rsidP="00C86459">
            <w:pPr>
              <w:ind w:right="227"/>
              <w:jc w:val="right"/>
            </w:pPr>
            <w:r>
              <w:rPr>
                <w:rFonts w:ascii="Open Sans" w:hAnsi="Open Sans" w:cs="Open Sans"/>
                <w:sz w:val="20"/>
                <w:szCs w:val="20"/>
              </w:rPr>
              <w:t>2.213</w:t>
            </w:r>
          </w:p>
        </w:tc>
      </w:tr>
      <w:tr w:rsidR="00C86459" w14:paraId="08598F92" w14:textId="77777777" w:rsidTr="00C86459">
        <w:trPr>
          <w:trHeight w:val="165"/>
        </w:trPr>
        <w:tc>
          <w:tcPr>
            <w:tcW w:w="6375" w:type="dxa"/>
            <w:gridSpan w:val="2"/>
            <w:tcBorders>
              <w:top w:val="single" w:sz="2" w:space="0" w:color="000001"/>
              <w:left w:val="single" w:sz="2" w:space="0" w:color="000001"/>
              <w:bottom w:val="single" w:sz="2" w:space="0" w:color="000001"/>
              <w:right w:val="single" w:sz="2" w:space="0" w:color="000001"/>
            </w:tcBorders>
            <w:shd w:val="clear" w:color="auto" w:fill="999999"/>
          </w:tcPr>
          <w:p w14:paraId="0C35D5D9" w14:textId="77777777" w:rsidR="00C86459" w:rsidRDefault="00C86459" w:rsidP="00C86459">
            <w:pPr>
              <w:snapToGrid w:val="0"/>
              <w:jc w:val="both"/>
              <w:rPr>
                <w:rFonts w:ascii="Open Sans" w:hAnsi="Open Sans" w:cs="Open Sans"/>
                <w:sz w:val="4"/>
                <w:szCs w:val="4"/>
              </w:rPr>
            </w:pPr>
          </w:p>
        </w:tc>
      </w:tr>
      <w:tr w:rsidR="00C86459" w14:paraId="630F37DB" w14:textId="77777777" w:rsidTr="00C86459">
        <w:tc>
          <w:tcPr>
            <w:tcW w:w="3971" w:type="dxa"/>
            <w:tcBorders>
              <w:top w:val="single" w:sz="2" w:space="0" w:color="000001"/>
              <w:left w:val="single" w:sz="2" w:space="0" w:color="000001"/>
              <w:bottom w:val="single" w:sz="2" w:space="0" w:color="000001"/>
            </w:tcBorders>
            <w:shd w:val="clear" w:color="auto" w:fill="FFFFFF"/>
          </w:tcPr>
          <w:p w14:paraId="6EE58E2E" w14:textId="77777777" w:rsidR="00C86459" w:rsidRDefault="00C86459" w:rsidP="00C86459">
            <w:pPr>
              <w:jc w:val="both"/>
            </w:pPr>
            <w:r>
              <w:rPr>
                <w:rFonts w:ascii="Open Sans" w:hAnsi="Open Sans" w:cs="Open Sans"/>
                <w:sz w:val="20"/>
                <w:szCs w:val="20"/>
              </w:rPr>
              <w:t>Beneficio por Acción</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778C791D" w14:textId="77777777" w:rsidR="00C86459" w:rsidRDefault="00C86459" w:rsidP="00C86459">
            <w:pPr>
              <w:pStyle w:val="Contenidodelatabla"/>
              <w:ind w:right="227"/>
              <w:jc w:val="right"/>
            </w:pPr>
            <w:r>
              <w:rPr>
                <w:rFonts w:ascii="Open Sans" w:hAnsi="Open Sans" w:cs="Open Sans"/>
                <w:sz w:val="20"/>
                <w:szCs w:val="20"/>
              </w:rPr>
              <w:t>0,40</w:t>
            </w:r>
          </w:p>
        </w:tc>
      </w:tr>
      <w:tr w:rsidR="00C86459" w14:paraId="543756F9" w14:textId="77777777" w:rsidTr="00C86459">
        <w:tc>
          <w:tcPr>
            <w:tcW w:w="3971" w:type="dxa"/>
            <w:tcBorders>
              <w:top w:val="single" w:sz="2" w:space="0" w:color="000001"/>
              <w:left w:val="single" w:sz="2" w:space="0" w:color="000001"/>
              <w:bottom w:val="single" w:sz="2" w:space="0" w:color="000001"/>
            </w:tcBorders>
            <w:shd w:val="clear" w:color="auto" w:fill="FFFFFF"/>
          </w:tcPr>
          <w:p w14:paraId="59DEC32B" w14:textId="77777777" w:rsidR="00C86459" w:rsidRDefault="00C86459" w:rsidP="00C86459">
            <w:pPr>
              <w:jc w:val="both"/>
            </w:pPr>
            <w:r>
              <w:rPr>
                <w:rFonts w:ascii="Open Sans" w:hAnsi="Open Sans" w:cs="Open Sans"/>
                <w:sz w:val="20"/>
                <w:szCs w:val="20"/>
              </w:rPr>
              <w:t>Nº de empleados</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51F23711" w14:textId="77777777" w:rsidR="00C86459" w:rsidRDefault="00C86459" w:rsidP="00C86459">
            <w:pPr>
              <w:pStyle w:val="Contenidodelatabla"/>
              <w:ind w:right="227"/>
              <w:jc w:val="right"/>
            </w:pPr>
            <w:r>
              <w:rPr>
                <w:rFonts w:ascii="Open Sans" w:hAnsi="Open Sans" w:cs="Open Sans"/>
                <w:sz w:val="20"/>
                <w:szCs w:val="20"/>
              </w:rPr>
              <w:t>193.863</w:t>
            </w:r>
          </w:p>
        </w:tc>
      </w:tr>
      <w:tr w:rsidR="00C86459" w14:paraId="2B674582" w14:textId="77777777" w:rsidTr="00C86459">
        <w:tc>
          <w:tcPr>
            <w:tcW w:w="3971" w:type="dxa"/>
            <w:tcBorders>
              <w:top w:val="single" w:sz="2" w:space="0" w:color="000001"/>
              <w:left w:val="single" w:sz="2" w:space="0" w:color="000001"/>
              <w:bottom w:val="single" w:sz="2" w:space="0" w:color="000001"/>
            </w:tcBorders>
            <w:shd w:val="clear" w:color="auto" w:fill="FFFFFF"/>
          </w:tcPr>
          <w:p w14:paraId="6A107974" w14:textId="77777777" w:rsidR="00C86459" w:rsidRDefault="00C86459" w:rsidP="00C86459">
            <w:pPr>
              <w:jc w:val="both"/>
            </w:pPr>
            <w:r>
              <w:rPr>
                <w:rFonts w:ascii="Open Sans" w:eastAsia="Open Sans" w:hAnsi="Open Sans" w:cs="Open Sans"/>
                <w:sz w:val="20"/>
                <w:szCs w:val="20"/>
              </w:rPr>
              <w:t xml:space="preserve">     </w:t>
            </w:r>
            <w:r>
              <w:rPr>
                <w:rFonts w:ascii="Open Sans" w:hAnsi="Open Sans" w:cs="Open Sans"/>
                <w:sz w:val="20"/>
                <w:szCs w:val="20"/>
              </w:rPr>
              <w:t>N.º empleados España</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15103FAB" w14:textId="77777777" w:rsidR="00C86459" w:rsidRDefault="00C86459" w:rsidP="00C86459">
            <w:pPr>
              <w:pStyle w:val="Contenidodelatabla"/>
              <w:ind w:right="227"/>
              <w:jc w:val="right"/>
            </w:pPr>
            <w:r>
              <w:rPr>
                <w:rFonts w:ascii="Open Sans" w:hAnsi="Open Sans" w:cs="Open Sans"/>
                <w:sz w:val="20"/>
                <w:szCs w:val="20"/>
              </w:rPr>
              <w:t>23.611</w:t>
            </w:r>
          </w:p>
        </w:tc>
      </w:tr>
      <w:tr w:rsidR="00C86459" w14:paraId="0E462CF1" w14:textId="77777777" w:rsidTr="00C86459">
        <w:tc>
          <w:tcPr>
            <w:tcW w:w="3971" w:type="dxa"/>
            <w:tcBorders>
              <w:top w:val="single" w:sz="2" w:space="0" w:color="000001"/>
              <w:left w:val="single" w:sz="2" w:space="0" w:color="000001"/>
              <w:bottom w:val="single" w:sz="2" w:space="0" w:color="000001"/>
            </w:tcBorders>
            <w:shd w:val="clear" w:color="auto" w:fill="FFFFFF"/>
          </w:tcPr>
          <w:p w14:paraId="33E26385" w14:textId="77777777" w:rsidR="00C86459" w:rsidRDefault="00C86459" w:rsidP="00C86459">
            <w:pPr>
              <w:jc w:val="both"/>
            </w:pPr>
            <w:r>
              <w:rPr>
                <w:rFonts w:ascii="Open Sans" w:eastAsia="Open Sans" w:hAnsi="Open Sans" w:cs="Open Sans"/>
                <w:sz w:val="20"/>
                <w:szCs w:val="20"/>
              </w:rPr>
              <w:t xml:space="preserve">     </w:t>
            </w:r>
            <w:r>
              <w:rPr>
                <w:rFonts w:ascii="Open Sans" w:hAnsi="Open Sans" w:cs="Open Sans"/>
                <w:sz w:val="20"/>
                <w:szCs w:val="20"/>
              </w:rPr>
              <w:t>N.º empleados internacional</w:t>
            </w:r>
          </w:p>
        </w:tc>
        <w:tc>
          <w:tcPr>
            <w:tcW w:w="2404" w:type="dxa"/>
            <w:tcBorders>
              <w:top w:val="single" w:sz="2" w:space="0" w:color="000001"/>
              <w:left w:val="single" w:sz="2" w:space="0" w:color="000001"/>
              <w:bottom w:val="single" w:sz="2" w:space="0" w:color="000001"/>
              <w:right w:val="single" w:sz="2" w:space="0" w:color="000001"/>
            </w:tcBorders>
            <w:shd w:val="clear" w:color="auto" w:fill="FFFFFF"/>
          </w:tcPr>
          <w:p w14:paraId="0F10B03F" w14:textId="77777777" w:rsidR="00C86459" w:rsidRDefault="00C86459" w:rsidP="00C86459">
            <w:pPr>
              <w:pStyle w:val="Contenidodelatabla"/>
              <w:ind w:right="227"/>
              <w:jc w:val="right"/>
            </w:pPr>
            <w:r>
              <w:rPr>
                <w:rFonts w:ascii="Open Sans" w:hAnsi="Open Sans" w:cs="Open Sans"/>
                <w:sz w:val="20"/>
                <w:szCs w:val="20"/>
              </w:rPr>
              <w:t>170.252</w:t>
            </w:r>
          </w:p>
        </w:tc>
      </w:tr>
    </w:tbl>
    <w:p w14:paraId="3536DB0A" w14:textId="77777777" w:rsidR="00C86459" w:rsidRDefault="00C86459" w:rsidP="00C86459">
      <w:pPr>
        <w:jc w:val="both"/>
        <w:rPr>
          <w:rFonts w:ascii="Open Sans" w:eastAsia="Open Sans" w:hAnsi="Open Sans" w:cs="Open Sans"/>
          <w:sz w:val="20"/>
          <w:szCs w:val="20"/>
          <w:u w:val="single"/>
        </w:rPr>
      </w:pPr>
    </w:p>
    <w:p w14:paraId="147DDF09" w14:textId="77777777" w:rsidR="00C86459" w:rsidRDefault="00C86459" w:rsidP="00C86459">
      <w:pPr>
        <w:pStyle w:val="Normal1"/>
        <w:jc w:val="both"/>
        <w:rPr>
          <w:rFonts w:ascii="Open Sans" w:eastAsia="Open Sans" w:hAnsi="Open Sans" w:cs="Open Sans"/>
          <w:sz w:val="20"/>
          <w:u w:val="single"/>
        </w:rPr>
      </w:pPr>
    </w:p>
    <w:p w14:paraId="3BE20BED" w14:textId="77777777" w:rsidR="00C86459" w:rsidRDefault="00C86459" w:rsidP="00C86459">
      <w:pPr>
        <w:jc w:val="both"/>
      </w:pPr>
      <w:r>
        <w:rPr>
          <w:rFonts w:ascii="Open Sans" w:hAnsi="Open Sans" w:cs="Open Sans"/>
          <w:sz w:val="20"/>
          <w:szCs w:val="20"/>
          <w:u w:val="single"/>
        </w:rPr>
        <w:t>Estándares voluntarios relacionados con fiscalidad responsable</w:t>
      </w:r>
    </w:p>
    <w:p w14:paraId="69F04AA7" w14:textId="77777777" w:rsidR="00C86459" w:rsidRDefault="00C86459" w:rsidP="00C86459">
      <w:pPr>
        <w:jc w:val="both"/>
        <w:rPr>
          <w:rFonts w:ascii="Open Sans" w:hAnsi="Open Sans" w:cs="Open Sans"/>
          <w:sz w:val="20"/>
          <w:szCs w:val="20"/>
          <w:u w:val="single"/>
        </w:rPr>
      </w:pPr>
    </w:p>
    <w:p w14:paraId="426CD46A" w14:textId="77777777" w:rsidR="00C86459" w:rsidRDefault="00C86459" w:rsidP="000B70C9">
      <w:pPr>
        <w:pStyle w:val="Prrafodelista"/>
        <w:numPr>
          <w:ilvl w:val="0"/>
          <w:numId w:val="40"/>
        </w:numPr>
        <w:suppressAutoHyphens/>
        <w:jc w:val="both"/>
      </w:pPr>
      <w:r w:rsidRPr="00363C08">
        <w:rPr>
          <w:rFonts w:ascii="Open Sans" w:hAnsi="Open Sans" w:cs="Open Sans"/>
          <w:sz w:val="20"/>
          <w:szCs w:val="20"/>
        </w:rPr>
        <w:t xml:space="preserve">Banco Santander está adherido al Código de Buenas Prácticas Tributarias de la Agencia Tibutaria </w:t>
      </w:r>
    </w:p>
    <w:p w14:paraId="641DC7FD" w14:textId="77777777" w:rsidR="00C86459" w:rsidRDefault="00C86459" w:rsidP="000B70C9">
      <w:pPr>
        <w:pStyle w:val="Prrafodelista"/>
        <w:numPr>
          <w:ilvl w:val="0"/>
          <w:numId w:val="40"/>
        </w:numPr>
        <w:suppressAutoHyphens/>
        <w:jc w:val="both"/>
      </w:pPr>
      <w:r w:rsidRPr="00363C08">
        <w:rPr>
          <w:rFonts w:ascii="Open Sans" w:hAnsi="Open Sans" w:cs="Open Sans"/>
          <w:sz w:val="20"/>
          <w:szCs w:val="20"/>
        </w:rPr>
        <w:t>La filial Santander UK plc se ha adherido al Código de Buenas Prácticas en materia fiscal aplicable a entidades bancarias del Reino Unido.</w:t>
      </w:r>
    </w:p>
    <w:p w14:paraId="658E1AD0" w14:textId="77777777" w:rsidR="00C86459" w:rsidRDefault="00C86459" w:rsidP="00C86459">
      <w:pPr>
        <w:jc w:val="both"/>
        <w:rPr>
          <w:rFonts w:ascii="Open Sans" w:hAnsi="Open Sans" w:cs="Open Sans"/>
          <w:sz w:val="20"/>
          <w:szCs w:val="20"/>
          <w:u w:val="single"/>
        </w:rPr>
      </w:pPr>
    </w:p>
    <w:p w14:paraId="17A7789A" w14:textId="77777777" w:rsidR="00C86459" w:rsidRDefault="00C86459" w:rsidP="00C86459">
      <w:pPr>
        <w:jc w:val="both"/>
        <w:rPr>
          <w:rFonts w:ascii="Open Sans" w:hAnsi="Open Sans" w:cs="Open Sans"/>
          <w:sz w:val="20"/>
          <w:szCs w:val="20"/>
          <w:u w:val="single"/>
        </w:rPr>
      </w:pPr>
    </w:p>
    <w:p w14:paraId="0ECA7A06" w14:textId="77777777" w:rsidR="00C86459" w:rsidRDefault="00C86459" w:rsidP="00C86459">
      <w:pPr>
        <w:jc w:val="both"/>
      </w:pPr>
      <w:r>
        <w:rPr>
          <w:rFonts w:ascii="Open Sans" w:hAnsi="Open Sans" w:cs="Open Sans"/>
          <w:sz w:val="20"/>
          <w:szCs w:val="20"/>
          <w:u w:val="single"/>
        </w:rPr>
        <w:t>Documentos incluidos en el análisis</w:t>
      </w:r>
    </w:p>
    <w:p w14:paraId="08B7F600" w14:textId="77777777" w:rsidR="00C86459" w:rsidRDefault="00C86459" w:rsidP="00C86459">
      <w:pPr>
        <w:ind w:firstLine="709"/>
        <w:jc w:val="both"/>
        <w:rPr>
          <w:rFonts w:ascii="Open Sans" w:hAnsi="Open Sans" w:cs="Open Sans"/>
          <w:sz w:val="20"/>
          <w:szCs w:val="20"/>
          <w:u w:val="single"/>
        </w:rPr>
      </w:pPr>
    </w:p>
    <w:p w14:paraId="14650BDC" w14:textId="77777777" w:rsidR="00C86459" w:rsidRDefault="00C86459" w:rsidP="00C86459">
      <w:pPr>
        <w:jc w:val="both"/>
      </w:pPr>
      <w:r>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0384B0B2" w14:textId="77777777" w:rsidR="00C86459" w:rsidRDefault="00C86459" w:rsidP="00C86459">
      <w:pPr>
        <w:ind w:firstLine="709"/>
        <w:jc w:val="both"/>
        <w:rPr>
          <w:rFonts w:ascii="Open Sans" w:hAnsi="Open Sans" w:cs="Open Sans"/>
          <w:sz w:val="22"/>
          <w:szCs w:val="22"/>
        </w:rPr>
      </w:pPr>
    </w:p>
    <w:tbl>
      <w:tblPr>
        <w:tblW w:w="8588" w:type="dxa"/>
        <w:tblInd w:w="-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355"/>
        <w:gridCol w:w="4233"/>
      </w:tblGrid>
      <w:tr w:rsidR="00C86459" w14:paraId="5C0090A0" w14:textId="77777777" w:rsidTr="00C86459">
        <w:trPr>
          <w:trHeight w:val="327"/>
        </w:trPr>
        <w:tc>
          <w:tcPr>
            <w:tcW w:w="4355" w:type="dxa"/>
            <w:shd w:val="clear" w:color="auto" w:fill="000080"/>
            <w:vAlign w:val="center"/>
          </w:tcPr>
          <w:p w14:paraId="147B51DE" w14:textId="77777777" w:rsidR="00C86459" w:rsidRDefault="00C86459" w:rsidP="00C86459">
            <w:pPr>
              <w:jc w:val="center"/>
            </w:pPr>
            <w:r>
              <w:rPr>
                <w:rFonts w:ascii="Open Sans" w:hAnsi="Open Sans" w:cs="Open Sans"/>
                <w:b/>
                <w:sz w:val="20"/>
                <w:szCs w:val="22"/>
              </w:rPr>
              <w:t>DOCUMENTACIÓN</w:t>
            </w:r>
          </w:p>
        </w:tc>
        <w:tc>
          <w:tcPr>
            <w:tcW w:w="4233" w:type="dxa"/>
            <w:shd w:val="clear" w:color="auto" w:fill="000080"/>
            <w:vAlign w:val="center"/>
          </w:tcPr>
          <w:p w14:paraId="5A0063C6" w14:textId="77777777" w:rsidR="00C86459" w:rsidRDefault="00C86459" w:rsidP="00C86459">
            <w:pPr>
              <w:jc w:val="center"/>
            </w:pPr>
            <w:r>
              <w:rPr>
                <w:rFonts w:ascii="Open Sans" w:hAnsi="Open Sans" w:cs="Open Sans"/>
                <w:b/>
                <w:sz w:val="20"/>
                <w:szCs w:val="22"/>
              </w:rPr>
              <w:t>OBSERVACIONES</w:t>
            </w:r>
          </w:p>
        </w:tc>
      </w:tr>
      <w:tr w:rsidR="00C86459" w14:paraId="0007992F" w14:textId="77777777" w:rsidTr="00C86459">
        <w:trPr>
          <w:trHeight w:val="315"/>
        </w:trPr>
        <w:tc>
          <w:tcPr>
            <w:tcW w:w="4355" w:type="dxa"/>
            <w:shd w:val="clear" w:color="auto" w:fill="auto"/>
            <w:vAlign w:val="bottom"/>
          </w:tcPr>
          <w:p w14:paraId="1CB920F8" w14:textId="77777777" w:rsidR="00C86459" w:rsidRDefault="00C86459" w:rsidP="00C86459">
            <w:pPr>
              <w:snapToGrid w:val="0"/>
              <w:ind w:left="170"/>
              <w:jc w:val="both"/>
            </w:pPr>
            <w:r>
              <w:rPr>
                <w:rFonts w:ascii="Open Sans" w:eastAsia="Arial Unicode MS" w:hAnsi="Open Sans" w:cs="Open Sans"/>
                <w:sz w:val="20"/>
                <w:szCs w:val="20"/>
              </w:rPr>
              <w:t>Informe Financiero Anual Consolidado 2015</w:t>
            </w:r>
          </w:p>
        </w:tc>
        <w:tc>
          <w:tcPr>
            <w:tcW w:w="4233" w:type="dxa"/>
            <w:shd w:val="clear" w:color="auto" w:fill="auto"/>
            <w:vAlign w:val="center"/>
          </w:tcPr>
          <w:p w14:paraId="05329194" w14:textId="77777777" w:rsidR="00C86459" w:rsidRDefault="00C86459" w:rsidP="00C86459">
            <w:pPr>
              <w:snapToGrid w:val="0"/>
              <w:ind w:left="170"/>
              <w:jc w:val="both"/>
            </w:pPr>
            <w:r>
              <w:rPr>
                <w:rFonts w:ascii="Open Sans" w:eastAsia="Arial Unicode MS" w:hAnsi="Open Sans" w:cs="Open Sans"/>
                <w:sz w:val="20"/>
                <w:szCs w:val="20"/>
              </w:rPr>
              <w:t xml:space="preserve">CCAA Consolidadas 2015 </w:t>
            </w:r>
          </w:p>
        </w:tc>
      </w:tr>
      <w:tr w:rsidR="00C86459" w14:paraId="44133E0D" w14:textId="77777777" w:rsidTr="00C86459">
        <w:trPr>
          <w:trHeight w:val="300"/>
        </w:trPr>
        <w:tc>
          <w:tcPr>
            <w:tcW w:w="4355" w:type="dxa"/>
            <w:shd w:val="clear" w:color="auto" w:fill="auto"/>
          </w:tcPr>
          <w:p w14:paraId="3E8C5F50" w14:textId="77777777" w:rsidR="00C86459" w:rsidRDefault="00C86459" w:rsidP="00C86459">
            <w:pPr>
              <w:snapToGrid w:val="0"/>
              <w:ind w:left="170"/>
              <w:jc w:val="both"/>
            </w:pPr>
            <w:r>
              <w:rPr>
                <w:rFonts w:ascii="Open Sans" w:eastAsia="Arial Unicode MS" w:hAnsi="Open Sans" w:cs="Open Sans"/>
                <w:sz w:val="20"/>
                <w:szCs w:val="20"/>
              </w:rPr>
              <w:t>Informe Financiero Anual Individual 2015</w:t>
            </w:r>
          </w:p>
        </w:tc>
        <w:tc>
          <w:tcPr>
            <w:tcW w:w="4233" w:type="dxa"/>
            <w:shd w:val="clear" w:color="auto" w:fill="auto"/>
            <w:vAlign w:val="center"/>
          </w:tcPr>
          <w:p w14:paraId="2A316598" w14:textId="77777777" w:rsidR="00C86459" w:rsidRDefault="00C86459" w:rsidP="00C86459">
            <w:pPr>
              <w:snapToGrid w:val="0"/>
              <w:ind w:left="170"/>
              <w:jc w:val="both"/>
            </w:pPr>
            <w:r>
              <w:rPr>
                <w:rFonts w:ascii="Open Sans" w:eastAsia="Arial Unicode MS" w:hAnsi="Open Sans" w:cs="Open Sans"/>
                <w:sz w:val="20"/>
                <w:szCs w:val="20"/>
              </w:rPr>
              <w:t>CCAA Banco Santander 2015</w:t>
            </w:r>
          </w:p>
        </w:tc>
      </w:tr>
      <w:tr w:rsidR="00C86459" w14:paraId="286EE7C2" w14:textId="77777777" w:rsidTr="00C86459">
        <w:trPr>
          <w:trHeight w:val="300"/>
        </w:trPr>
        <w:tc>
          <w:tcPr>
            <w:tcW w:w="4355" w:type="dxa"/>
            <w:shd w:val="clear" w:color="auto" w:fill="auto"/>
          </w:tcPr>
          <w:p w14:paraId="31405DA7" w14:textId="77777777" w:rsidR="00C86459" w:rsidRDefault="00C86459" w:rsidP="00C86459">
            <w:pPr>
              <w:snapToGrid w:val="0"/>
              <w:ind w:left="170"/>
              <w:jc w:val="both"/>
            </w:pPr>
            <w:r>
              <w:rPr>
                <w:rFonts w:ascii="Open Sans" w:eastAsia="Arial Unicode MS" w:hAnsi="Open Sans" w:cs="Open Sans"/>
                <w:sz w:val="20"/>
                <w:szCs w:val="20"/>
              </w:rPr>
              <w:t>Informe de Sostenibilidad 2015</w:t>
            </w:r>
          </w:p>
        </w:tc>
        <w:tc>
          <w:tcPr>
            <w:tcW w:w="4233" w:type="dxa"/>
            <w:shd w:val="clear" w:color="auto" w:fill="auto"/>
            <w:vAlign w:val="center"/>
          </w:tcPr>
          <w:p w14:paraId="0D559CD9" w14:textId="77777777" w:rsidR="00C86459" w:rsidRDefault="00C86459" w:rsidP="00C86459">
            <w:pPr>
              <w:snapToGrid w:val="0"/>
              <w:ind w:left="170"/>
              <w:jc w:val="both"/>
            </w:pPr>
            <w:r>
              <w:rPr>
                <w:rFonts w:ascii="Open Sans" w:eastAsia="Arial Unicode MS" w:hAnsi="Open Sans" w:cs="Open Sans"/>
                <w:sz w:val="20"/>
                <w:szCs w:val="20"/>
              </w:rPr>
              <w:t>IS2015</w:t>
            </w:r>
          </w:p>
        </w:tc>
      </w:tr>
      <w:tr w:rsidR="00C86459" w14:paraId="3B88D279" w14:textId="77777777" w:rsidTr="00C86459">
        <w:trPr>
          <w:trHeight w:val="300"/>
        </w:trPr>
        <w:tc>
          <w:tcPr>
            <w:tcW w:w="4355" w:type="dxa"/>
            <w:shd w:val="clear" w:color="auto" w:fill="auto"/>
          </w:tcPr>
          <w:p w14:paraId="41BDB66C" w14:textId="77777777" w:rsidR="00C86459" w:rsidRDefault="00C86459" w:rsidP="00C86459">
            <w:pPr>
              <w:snapToGrid w:val="0"/>
              <w:ind w:left="170"/>
              <w:jc w:val="both"/>
            </w:pPr>
            <w:r>
              <w:rPr>
                <w:rFonts w:ascii="Open Sans" w:eastAsia="Arial Unicode MS" w:hAnsi="Open Sans" w:cs="Open Sans"/>
                <w:sz w:val="20"/>
                <w:szCs w:val="20"/>
              </w:rPr>
              <w:t>Informe de Gobierno Corporativo 2015</w:t>
            </w:r>
          </w:p>
        </w:tc>
        <w:tc>
          <w:tcPr>
            <w:tcW w:w="4233" w:type="dxa"/>
            <w:shd w:val="clear" w:color="auto" w:fill="auto"/>
            <w:vAlign w:val="center"/>
          </w:tcPr>
          <w:p w14:paraId="260C28E0" w14:textId="77777777" w:rsidR="00C86459" w:rsidRDefault="00C86459" w:rsidP="00C86459">
            <w:pPr>
              <w:snapToGrid w:val="0"/>
              <w:ind w:left="170"/>
              <w:jc w:val="both"/>
            </w:pPr>
            <w:r>
              <w:rPr>
                <w:rFonts w:ascii="Open Sans" w:eastAsia="Arial Unicode MS" w:hAnsi="Open Sans" w:cs="Open Sans"/>
                <w:sz w:val="20"/>
                <w:szCs w:val="20"/>
              </w:rPr>
              <w:t>IAGC2015</w:t>
            </w:r>
          </w:p>
        </w:tc>
      </w:tr>
      <w:tr w:rsidR="00C86459" w14:paraId="66ED0B10" w14:textId="77777777" w:rsidTr="00C86459">
        <w:trPr>
          <w:trHeight w:val="300"/>
        </w:trPr>
        <w:tc>
          <w:tcPr>
            <w:tcW w:w="4355" w:type="dxa"/>
            <w:shd w:val="clear" w:color="auto" w:fill="auto"/>
          </w:tcPr>
          <w:p w14:paraId="0AFF2F2C" w14:textId="77777777" w:rsidR="00C86459" w:rsidRDefault="00C86459" w:rsidP="00C86459">
            <w:pPr>
              <w:snapToGrid w:val="0"/>
              <w:ind w:left="170"/>
              <w:jc w:val="both"/>
            </w:pPr>
            <w:r>
              <w:rPr>
                <w:rFonts w:ascii="Open Sans" w:eastAsia="Arial Unicode MS" w:hAnsi="Open Sans" w:cs="Open Sans"/>
                <w:sz w:val="20"/>
                <w:szCs w:val="20"/>
              </w:rPr>
              <w:t>Informe de Actividades 2015</w:t>
            </w:r>
          </w:p>
        </w:tc>
        <w:tc>
          <w:tcPr>
            <w:tcW w:w="4233" w:type="dxa"/>
            <w:shd w:val="clear" w:color="auto" w:fill="auto"/>
            <w:vAlign w:val="center"/>
          </w:tcPr>
          <w:p w14:paraId="7AC15BD6" w14:textId="77777777" w:rsidR="00C86459" w:rsidRDefault="00C86459" w:rsidP="00C86459">
            <w:pPr>
              <w:snapToGrid w:val="0"/>
              <w:ind w:left="170"/>
              <w:jc w:val="both"/>
            </w:pPr>
            <w:r>
              <w:rPr>
                <w:rFonts w:ascii="Open Sans" w:eastAsia="Arial Unicode MS" w:hAnsi="Open Sans" w:cs="Open Sans"/>
                <w:sz w:val="20"/>
                <w:szCs w:val="20"/>
              </w:rPr>
              <w:t>IAC2015</w:t>
            </w:r>
          </w:p>
        </w:tc>
      </w:tr>
      <w:tr w:rsidR="00C86459" w14:paraId="453CDF02" w14:textId="77777777" w:rsidTr="00C86459">
        <w:trPr>
          <w:trHeight w:val="300"/>
        </w:trPr>
        <w:tc>
          <w:tcPr>
            <w:tcW w:w="4355" w:type="dxa"/>
            <w:shd w:val="clear" w:color="auto" w:fill="auto"/>
          </w:tcPr>
          <w:p w14:paraId="2ECE5B6D" w14:textId="77777777" w:rsidR="00C86459" w:rsidRDefault="00C86459" w:rsidP="00C86459">
            <w:pPr>
              <w:snapToGrid w:val="0"/>
              <w:ind w:left="170"/>
              <w:jc w:val="both"/>
            </w:pPr>
            <w:r>
              <w:rPr>
                <w:rFonts w:ascii="Open Sans" w:eastAsia="Arial Unicode MS" w:hAnsi="Open Sans" w:cs="Open Sans"/>
                <w:sz w:val="20"/>
                <w:szCs w:val="20"/>
              </w:rPr>
              <w:t>Informe Anual 2015</w:t>
            </w:r>
          </w:p>
        </w:tc>
        <w:tc>
          <w:tcPr>
            <w:tcW w:w="4233" w:type="dxa"/>
            <w:shd w:val="clear" w:color="auto" w:fill="auto"/>
            <w:vAlign w:val="center"/>
          </w:tcPr>
          <w:p w14:paraId="3D962CAE" w14:textId="77777777" w:rsidR="00C86459" w:rsidRDefault="00C86459" w:rsidP="00C86459">
            <w:pPr>
              <w:snapToGrid w:val="0"/>
              <w:ind w:left="170"/>
              <w:jc w:val="both"/>
            </w:pPr>
            <w:r>
              <w:rPr>
                <w:rFonts w:ascii="Open Sans" w:eastAsia="Arial Unicode MS" w:hAnsi="Open Sans" w:cs="Open Sans"/>
                <w:sz w:val="20"/>
                <w:szCs w:val="20"/>
              </w:rPr>
              <w:t>IA2015</w:t>
            </w:r>
          </w:p>
        </w:tc>
      </w:tr>
      <w:tr w:rsidR="00C86459" w14:paraId="3E34F5AF" w14:textId="77777777" w:rsidTr="00C86459">
        <w:trPr>
          <w:trHeight w:val="300"/>
        </w:trPr>
        <w:tc>
          <w:tcPr>
            <w:tcW w:w="4355" w:type="dxa"/>
            <w:shd w:val="clear" w:color="auto" w:fill="auto"/>
          </w:tcPr>
          <w:p w14:paraId="4B443AB9" w14:textId="77777777" w:rsidR="00C86459" w:rsidRDefault="00C86459" w:rsidP="00C86459">
            <w:pPr>
              <w:snapToGrid w:val="0"/>
              <w:ind w:left="170"/>
              <w:jc w:val="both"/>
            </w:pPr>
            <w:r>
              <w:rPr>
                <w:rFonts w:ascii="Open Sans" w:eastAsia="Arial Unicode MS" w:hAnsi="Open Sans" w:cs="Open Sans"/>
                <w:sz w:val="20"/>
                <w:szCs w:val="20"/>
              </w:rPr>
              <w:t>Informe Financiero 2015</w:t>
            </w:r>
          </w:p>
        </w:tc>
        <w:tc>
          <w:tcPr>
            <w:tcW w:w="4233" w:type="dxa"/>
            <w:shd w:val="clear" w:color="auto" w:fill="auto"/>
            <w:vAlign w:val="center"/>
          </w:tcPr>
          <w:p w14:paraId="138DB3BC" w14:textId="77777777" w:rsidR="00C86459" w:rsidRDefault="00C86459" w:rsidP="00C86459">
            <w:pPr>
              <w:snapToGrid w:val="0"/>
              <w:ind w:left="170"/>
              <w:jc w:val="both"/>
            </w:pPr>
            <w:r>
              <w:rPr>
                <w:rFonts w:ascii="Open Sans" w:eastAsia="Arial Unicode MS" w:hAnsi="Open Sans" w:cs="Open Sans"/>
                <w:sz w:val="20"/>
                <w:szCs w:val="20"/>
              </w:rPr>
              <w:t>IF2015</w:t>
            </w:r>
          </w:p>
        </w:tc>
      </w:tr>
      <w:tr w:rsidR="00C86459" w14:paraId="6F04C5D1" w14:textId="77777777" w:rsidTr="00C86459">
        <w:trPr>
          <w:trHeight w:val="300"/>
        </w:trPr>
        <w:tc>
          <w:tcPr>
            <w:tcW w:w="4355" w:type="dxa"/>
            <w:shd w:val="clear" w:color="auto" w:fill="auto"/>
          </w:tcPr>
          <w:p w14:paraId="10C211DE" w14:textId="77777777" w:rsidR="00C86459" w:rsidRDefault="00C86459" w:rsidP="00C86459">
            <w:pPr>
              <w:snapToGrid w:val="0"/>
              <w:ind w:left="170"/>
              <w:jc w:val="both"/>
            </w:pPr>
            <w:r>
              <w:rPr>
                <w:rFonts w:ascii="Open Sans" w:eastAsia="Arial Unicode MS" w:hAnsi="Open Sans" w:cs="Open Sans"/>
                <w:sz w:val="20"/>
                <w:szCs w:val="20"/>
              </w:rPr>
              <w:t>Informe de Relevancia Prudencial 2015</w:t>
            </w:r>
          </w:p>
        </w:tc>
        <w:tc>
          <w:tcPr>
            <w:tcW w:w="4233" w:type="dxa"/>
            <w:shd w:val="clear" w:color="auto" w:fill="auto"/>
            <w:vAlign w:val="center"/>
          </w:tcPr>
          <w:p w14:paraId="00343C95" w14:textId="77777777" w:rsidR="00C86459" w:rsidRDefault="00C86459" w:rsidP="00C86459">
            <w:pPr>
              <w:snapToGrid w:val="0"/>
              <w:ind w:left="170"/>
              <w:jc w:val="both"/>
            </w:pPr>
            <w:r>
              <w:rPr>
                <w:rFonts w:ascii="Open Sans" w:eastAsia="Arial Unicode MS" w:hAnsi="Open Sans" w:cs="Open Sans"/>
                <w:sz w:val="20"/>
                <w:szCs w:val="20"/>
              </w:rPr>
              <w:t>IRP2015</w:t>
            </w:r>
          </w:p>
        </w:tc>
      </w:tr>
      <w:tr w:rsidR="00C86459" w14:paraId="16A5B77E" w14:textId="77777777" w:rsidTr="00C86459">
        <w:trPr>
          <w:trHeight w:val="300"/>
        </w:trPr>
        <w:tc>
          <w:tcPr>
            <w:tcW w:w="4355" w:type="dxa"/>
            <w:shd w:val="clear" w:color="auto" w:fill="auto"/>
          </w:tcPr>
          <w:p w14:paraId="2525CAC8" w14:textId="77777777" w:rsidR="00C86459" w:rsidRDefault="00C86459" w:rsidP="00C86459">
            <w:pPr>
              <w:snapToGrid w:val="0"/>
              <w:ind w:left="170"/>
              <w:jc w:val="both"/>
            </w:pPr>
            <w:r>
              <w:rPr>
                <w:rFonts w:ascii="Open Sans" w:eastAsia="Arial Unicode MS" w:hAnsi="Open Sans" w:cs="Open Sans"/>
                <w:sz w:val="20"/>
                <w:szCs w:val="20"/>
              </w:rPr>
              <w:t>Informe de Gestión del Riesgo 2015</w:t>
            </w:r>
          </w:p>
        </w:tc>
        <w:tc>
          <w:tcPr>
            <w:tcW w:w="4233" w:type="dxa"/>
            <w:shd w:val="clear" w:color="auto" w:fill="auto"/>
            <w:vAlign w:val="center"/>
          </w:tcPr>
          <w:p w14:paraId="35E11314" w14:textId="77777777" w:rsidR="00C86459" w:rsidRDefault="00C86459" w:rsidP="00C86459">
            <w:pPr>
              <w:snapToGrid w:val="0"/>
              <w:ind w:left="170"/>
              <w:jc w:val="both"/>
            </w:pPr>
            <w:r>
              <w:rPr>
                <w:rFonts w:ascii="Open Sans" w:eastAsia="Arial Unicode MS" w:hAnsi="Open Sans" w:cs="Open Sans"/>
                <w:sz w:val="20"/>
                <w:szCs w:val="20"/>
              </w:rPr>
              <w:t>IGR2015</w:t>
            </w:r>
          </w:p>
        </w:tc>
      </w:tr>
    </w:tbl>
    <w:p w14:paraId="6E7D0C5A" w14:textId="77777777" w:rsidR="00C86459" w:rsidRDefault="00C86459" w:rsidP="00C86459">
      <w:pPr>
        <w:jc w:val="both"/>
        <w:rPr>
          <w:rFonts w:ascii="Open Sans" w:hAnsi="Open Sans" w:cs="Open Sans"/>
          <w:b/>
        </w:rPr>
      </w:pPr>
    </w:p>
    <w:p w14:paraId="4E4FBFA5" w14:textId="77777777" w:rsidR="00C86459" w:rsidRDefault="00C86459" w:rsidP="00C86459">
      <w:pPr>
        <w:rPr>
          <w:rFonts w:ascii="Open Sans" w:hAnsi="Open Sans" w:cs="Open Sans"/>
          <w:b/>
        </w:rPr>
      </w:pPr>
      <w:r>
        <w:rPr>
          <w:rFonts w:ascii="Open Sans" w:hAnsi="Open Sans" w:cs="Open Sans"/>
          <w:b/>
        </w:rPr>
        <w:br w:type="page"/>
      </w:r>
    </w:p>
    <w:p w14:paraId="64780CF5" w14:textId="77777777" w:rsidR="00C86459" w:rsidRDefault="00C86459" w:rsidP="00C86459">
      <w:pPr>
        <w:jc w:val="both"/>
        <w:rPr>
          <w:rFonts w:ascii="Open Sans" w:hAnsi="Open Sans" w:cs="Open Sans"/>
          <w:b/>
        </w:rPr>
      </w:pPr>
    </w:p>
    <w:p w14:paraId="6C96020C" w14:textId="77777777" w:rsidR="00C86459" w:rsidRDefault="00C86459" w:rsidP="00C86459">
      <w:pPr>
        <w:pStyle w:val="Normal1"/>
        <w:jc w:val="both"/>
        <w:rPr>
          <w:rFonts w:ascii="Open Sans" w:hAnsi="Open Sans" w:cs="Open Sans"/>
          <w:b/>
        </w:rPr>
      </w:pPr>
    </w:p>
    <w:p w14:paraId="51D9678A" w14:textId="77777777" w:rsidR="00C86459" w:rsidRDefault="00C86459" w:rsidP="00C86459">
      <w:pPr>
        <w:jc w:val="both"/>
      </w:pPr>
      <w:r>
        <w:rPr>
          <w:rFonts w:ascii="Open Sans" w:hAnsi="Open Sans" w:cs="Open Sans"/>
          <w:b/>
          <w:sz w:val="22"/>
          <w:szCs w:val="22"/>
          <w:u w:val="single"/>
        </w:rPr>
        <w:t>2. Tablas de resultados</w:t>
      </w:r>
    </w:p>
    <w:p w14:paraId="1C66099A" w14:textId="77777777" w:rsidR="00C86459" w:rsidRDefault="00C86459" w:rsidP="00C86459">
      <w:pPr>
        <w:jc w:val="center"/>
        <w:rPr>
          <w:rFonts w:ascii="Open Sans" w:hAnsi="Open Sans" w:cs="Open Sans"/>
          <w:b/>
          <w:color w:val="FF0000"/>
          <w:sz w:val="22"/>
          <w:szCs w:val="22"/>
        </w:rPr>
      </w:pPr>
    </w:p>
    <w:p w14:paraId="118B2513" w14:textId="77777777" w:rsidR="00C86459" w:rsidRPr="007829A9" w:rsidRDefault="00C86459" w:rsidP="00C86459">
      <w:pPr>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221A125C" w14:textId="77777777" w:rsidR="00C86459" w:rsidRDefault="00C86459" w:rsidP="00C86459">
      <w:pPr>
        <w:rPr>
          <w:rFonts w:ascii="Open Sans" w:hAnsi="Open Sans" w:cs="Open Sans"/>
          <w:b/>
          <w:color w:val="FF0000"/>
          <w:sz w:val="22"/>
          <w:szCs w:val="22"/>
        </w:rPr>
      </w:pPr>
    </w:p>
    <w:p w14:paraId="5D3F1FB3" w14:textId="77777777" w:rsidR="00C86459" w:rsidRDefault="00C86459" w:rsidP="00C86459">
      <w:pPr>
        <w:jc w:val="center"/>
        <w:rPr>
          <w:rFonts w:ascii="Open Sans" w:hAnsi="Open Sans" w:cs="Open Sans"/>
          <w:b/>
          <w:color w:val="FF0000"/>
          <w:sz w:val="22"/>
          <w:szCs w:val="22"/>
        </w:rPr>
      </w:pPr>
    </w:p>
    <w:tbl>
      <w:tblPr>
        <w:tblW w:w="5780" w:type="dxa"/>
        <w:jc w:val="center"/>
        <w:tblInd w:w="55" w:type="dxa"/>
        <w:tblCellMar>
          <w:left w:w="70" w:type="dxa"/>
          <w:right w:w="70" w:type="dxa"/>
        </w:tblCellMar>
        <w:tblLook w:val="04A0" w:firstRow="1" w:lastRow="0" w:firstColumn="1" w:lastColumn="0" w:noHBand="0" w:noVBand="1"/>
      </w:tblPr>
      <w:tblGrid>
        <w:gridCol w:w="4000"/>
        <w:gridCol w:w="1780"/>
      </w:tblGrid>
      <w:tr w:rsidR="00C86459" w:rsidRPr="00485DB4" w14:paraId="2109C136" w14:textId="77777777" w:rsidTr="00C86459">
        <w:trPr>
          <w:trHeight w:val="379"/>
          <w:jc w:val="center"/>
        </w:trPr>
        <w:tc>
          <w:tcPr>
            <w:tcW w:w="4000" w:type="dxa"/>
            <w:tcBorders>
              <w:top w:val="single" w:sz="8" w:space="0" w:color="auto"/>
              <w:left w:val="single" w:sz="8" w:space="0" w:color="auto"/>
              <w:bottom w:val="single" w:sz="8" w:space="0" w:color="auto"/>
              <w:right w:val="single" w:sz="8" w:space="0" w:color="auto"/>
            </w:tcBorders>
            <w:shd w:val="clear" w:color="000000" w:fill="363E87"/>
            <w:vAlign w:val="center"/>
            <w:hideMark/>
          </w:tcPr>
          <w:p w14:paraId="59AFEC6B" w14:textId="77777777" w:rsidR="00C86459" w:rsidRPr="00485DB4" w:rsidRDefault="00C86459" w:rsidP="00C86459">
            <w:pPr>
              <w:jc w:val="center"/>
              <w:rPr>
                <w:rFonts w:ascii="Open Sans" w:hAnsi="Open Sans"/>
                <w:b/>
                <w:bCs/>
                <w:color w:val="FFFFFF"/>
                <w:sz w:val="20"/>
                <w:szCs w:val="20"/>
              </w:rPr>
            </w:pPr>
            <w:r w:rsidRPr="00485DB4">
              <w:rPr>
                <w:rFonts w:ascii="Open Sans" w:hAnsi="Open Sans"/>
                <w:b/>
                <w:bCs/>
                <w:color w:val="FFFFFF"/>
                <w:sz w:val="20"/>
                <w:szCs w:val="20"/>
              </w:rPr>
              <w:t>DIMENSIÓN</w:t>
            </w:r>
          </w:p>
        </w:tc>
        <w:tc>
          <w:tcPr>
            <w:tcW w:w="1780" w:type="dxa"/>
            <w:tcBorders>
              <w:top w:val="single" w:sz="8" w:space="0" w:color="auto"/>
              <w:left w:val="nil"/>
              <w:bottom w:val="single" w:sz="8" w:space="0" w:color="auto"/>
              <w:right w:val="single" w:sz="8" w:space="0" w:color="auto"/>
            </w:tcBorders>
            <w:shd w:val="clear" w:color="000000" w:fill="363E87"/>
            <w:vAlign w:val="center"/>
            <w:hideMark/>
          </w:tcPr>
          <w:p w14:paraId="4D0DAF45" w14:textId="77777777" w:rsidR="00C86459" w:rsidRPr="00485DB4" w:rsidRDefault="00C86459" w:rsidP="00C86459">
            <w:pPr>
              <w:jc w:val="center"/>
              <w:rPr>
                <w:rFonts w:ascii="Open Sans" w:hAnsi="Open Sans"/>
                <w:b/>
                <w:bCs/>
                <w:color w:val="FFFFFF"/>
                <w:sz w:val="20"/>
                <w:szCs w:val="20"/>
              </w:rPr>
            </w:pPr>
            <w:r w:rsidRPr="00485DB4">
              <w:rPr>
                <w:rFonts w:ascii="Open Sans" w:hAnsi="Open Sans"/>
                <w:b/>
                <w:bCs/>
                <w:color w:val="FFFFFF"/>
                <w:sz w:val="20"/>
                <w:szCs w:val="20"/>
              </w:rPr>
              <w:t xml:space="preserve">VALORACIÓN </w:t>
            </w:r>
          </w:p>
        </w:tc>
      </w:tr>
      <w:tr w:rsidR="00C86459" w:rsidRPr="00485DB4" w14:paraId="7DE807D4" w14:textId="77777777" w:rsidTr="00C86459">
        <w:trPr>
          <w:trHeight w:val="379"/>
          <w:jc w:val="center"/>
        </w:trPr>
        <w:tc>
          <w:tcPr>
            <w:tcW w:w="4000" w:type="dxa"/>
            <w:tcBorders>
              <w:top w:val="nil"/>
              <w:left w:val="single" w:sz="8" w:space="0" w:color="auto"/>
              <w:bottom w:val="single" w:sz="8" w:space="0" w:color="auto"/>
              <w:right w:val="single" w:sz="8" w:space="0" w:color="auto"/>
            </w:tcBorders>
            <w:shd w:val="clear" w:color="000000" w:fill="739423"/>
            <w:vAlign w:val="center"/>
            <w:hideMark/>
          </w:tcPr>
          <w:p w14:paraId="0E45F19D" w14:textId="77777777" w:rsidR="00C86459" w:rsidRPr="00485DB4" w:rsidRDefault="00C86459" w:rsidP="00C86459">
            <w:pPr>
              <w:rPr>
                <w:rFonts w:ascii="Open Sans" w:hAnsi="Open Sans"/>
                <w:b/>
                <w:bCs/>
                <w:color w:val="FFFFFF"/>
                <w:sz w:val="20"/>
                <w:szCs w:val="20"/>
              </w:rPr>
            </w:pPr>
            <w:r w:rsidRPr="00485DB4">
              <w:rPr>
                <w:rFonts w:ascii="Open Sans" w:hAnsi="Open Sans"/>
                <w:b/>
                <w:bCs/>
                <w:color w:val="FFFFFF"/>
                <w:sz w:val="20"/>
                <w:szCs w:val="20"/>
              </w:rPr>
              <w:t>POLÍTICA / ESTRATEGIA FISCAL</w:t>
            </w:r>
          </w:p>
        </w:tc>
        <w:tc>
          <w:tcPr>
            <w:tcW w:w="1780" w:type="dxa"/>
            <w:tcBorders>
              <w:top w:val="nil"/>
              <w:left w:val="nil"/>
              <w:bottom w:val="single" w:sz="8" w:space="0" w:color="auto"/>
              <w:right w:val="single" w:sz="8" w:space="0" w:color="auto"/>
            </w:tcBorders>
            <w:shd w:val="clear" w:color="000000" w:fill="739423"/>
            <w:vAlign w:val="bottom"/>
            <w:hideMark/>
          </w:tcPr>
          <w:p w14:paraId="2C52C1F8" w14:textId="77777777" w:rsidR="00C86459" w:rsidRPr="00485DB4" w:rsidRDefault="00C86459" w:rsidP="00C86459">
            <w:pPr>
              <w:jc w:val="center"/>
              <w:rPr>
                <w:rFonts w:ascii="Open Sans" w:hAnsi="Open Sans"/>
                <w:b/>
                <w:bCs/>
                <w:color w:val="FFFFFF" w:themeColor="background1"/>
                <w:sz w:val="22"/>
                <w:szCs w:val="22"/>
              </w:rPr>
            </w:pPr>
            <w:r w:rsidRPr="00485DB4">
              <w:rPr>
                <w:rFonts w:ascii="Open Sans" w:hAnsi="Open Sans"/>
                <w:b/>
                <w:color w:val="FFFFFF" w:themeColor="background1"/>
                <w:sz w:val="22"/>
                <w:szCs w:val="22"/>
              </w:rPr>
              <w:t>0,40</w:t>
            </w:r>
          </w:p>
        </w:tc>
      </w:tr>
      <w:tr w:rsidR="00C86459" w:rsidRPr="00485DB4" w14:paraId="2D938437" w14:textId="77777777" w:rsidTr="00C86459">
        <w:trPr>
          <w:trHeight w:val="379"/>
          <w:jc w:val="center"/>
        </w:trPr>
        <w:tc>
          <w:tcPr>
            <w:tcW w:w="4000" w:type="dxa"/>
            <w:tcBorders>
              <w:top w:val="nil"/>
              <w:left w:val="single" w:sz="8" w:space="0" w:color="auto"/>
              <w:bottom w:val="single" w:sz="8" w:space="0" w:color="auto"/>
              <w:right w:val="single" w:sz="8" w:space="0" w:color="auto"/>
            </w:tcBorders>
            <w:shd w:val="clear" w:color="000000" w:fill="739423"/>
            <w:vAlign w:val="center"/>
            <w:hideMark/>
          </w:tcPr>
          <w:p w14:paraId="49814DD2" w14:textId="77777777" w:rsidR="00C86459" w:rsidRPr="00485DB4" w:rsidRDefault="00C86459" w:rsidP="00C86459">
            <w:pPr>
              <w:rPr>
                <w:rFonts w:ascii="Open Sans" w:hAnsi="Open Sans"/>
                <w:b/>
                <w:bCs/>
                <w:color w:val="FFFFFF"/>
                <w:sz w:val="20"/>
                <w:szCs w:val="20"/>
              </w:rPr>
            </w:pPr>
            <w:r w:rsidRPr="00485DB4">
              <w:rPr>
                <w:rFonts w:ascii="Open Sans" w:hAnsi="Open Sans"/>
                <w:b/>
                <w:bCs/>
                <w:color w:val="FFFFFF"/>
                <w:sz w:val="20"/>
                <w:szCs w:val="20"/>
              </w:rPr>
              <w:t>PARAISOS Y NICHOS FISCALES</w:t>
            </w:r>
          </w:p>
        </w:tc>
        <w:tc>
          <w:tcPr>
            <w:tcW w:w="1780" w:type="dxa"/>
            <w:tcBorders>
              <w:top w:val="nil"/>
              <w:left w:val="nil"/>
              <w:bottom w:val="single" w:sz="8" w:space="0" w:color="auto"/>
              <w:right w:val="single" w:sz="8" w:space="0" w:color="auto"/>
            </w:tcBorders>
            <w:shd w:val="clear" w:color="000000" w:fill="739423"/>
            <w:vAlign w:val="bottom"/>
            <w:hideMark/>
          </w:tcPr>
          <w:p w14:paraId="00934A3C" w14:textId="77777777" w:rsidR="00C86459" w:rsidRPr="00485DB4" w:rsidRDefault="00C86459" w:rsidP="00C86459">
            <w:pPr>
              <w:jc w:val="center"/>
              <w:rPr>
                <w:rFonts w:ascii="Open Sans" w:hAnsi="Open Sans"/>
                <w:b/>
                <w:bCs/>
                <w:color w:val="FFFFFF" w:themeColor="background1"/>
                <w:sz w:val="22"/>
                <w:szCs w:val="22"/>
              </w:rPr>
            </w:pPr>
            <w:r w:rsidRPr="00485DB4">
              <w:rPr>
                <w:rFonts w:ascii="Open Sans" w:hAnsi="Open Sans"/>
                <w:b/>
                <w:color w:val="FFFFFF" w:themeColor="background1"/>
                <w:sz w:val="22"/>
                <w:szCs w:val="22"/>
              </w:rPr>
              <w:t>1,14</w:t>
            </w:r>
          </w:p>
        </w:tc>
      </w:tr>
      <w:tr w:rsidR="00C86459" w:rsidRPr="00485DB4" w14:paraId="1A9E0F5D" w14:textId="77777777" w:rsidTr="00C86459">
        <w:trPr>
          <w:trHeight w:val="379"/>
          <w:jc w:val="center"/>
        </w:trPr>
        <w:tc>
          <w:tcPr>
            <w:tcW w:w="4000" w:type="dxa"/>
            <w:tcBorders>
              <w:top w:val="nil"/>
              <w:left w:val="single" w:sz="8" w:space="0" w:color="auto"/>
              <w:bottom w:val="single" w:sz="8" w:space="0" w:color="auto"/>
              <w:right w:val="single" w:sz="8" w:space="0" w:color="auto"/>
            </w:tcBorders>
            <w:shd w:val="clear" w:color="000000" w:fill="739423"/>
            <w:vAlign w:val="center"/>
            <w:hideMark/>
          </w:tcPr>
          <w:p w14:paraId="0F43F01A" w14:textId="77777777" w:rsidR="00C86459" w:rsidRPr="00485DB4" w:rsidRDefault="00C86459" w:rsidP="00C86459">
            <w:pPr>
              <w:rPr>
                <w:rFonts w:ascii="Open Sans" w:hAnsi="Open Sans"/>
                <w:b/>
                <w:bCs/>
                <w:color w:val="FFFFFF"/>
                <w:sz w:val="20"/>
                <w:szCs w:val="20"/>
              </w:rPr>
            </w:pPr>
            <w:r w:rsidRPr="00485DB4">
              <w:rPr>
                <w:rFonts w:ascii="Open Sans" w:hAnsi="Open Sans"/>
                <w:b/>
                <w:bCs/>
                <w:color w:val="FFFFFF"/>
                <w:sz w:val="20"/>
                <w:szCs w:val="20"/>
              </w:rPr>
              <w:t>IMPUESTOS E INCENTIVOS</w:t>
            </w:r>
          </w:p>
        </w:tc>
        <w:tc>
          <w:tcPr>
            <w:tcW w:w="1780" w:type="dxa"/>
            <w:tcBorders>
              <w:top w:val="nil"/>
              <w:left w:val="nil"/>
              <w:bottom w:val="single" w:sz="8" w:space="0" w:color="auto"/>
              <w:right w:val="single" w:sz="8" w:space="0" w:color="auto"/>
            </w:tcBorders>
            <w:shd w:val="clear" w:color="000000" w:fill="739423"/>
            <w:vAlign w:val="bottom"/>
            <w:hideMark/>
          </w:tcPr>
          <w:p w14:paraId="3C5EC450" w14:textId="77777777" w:rsidR="00C86459" w:rsidRPr="00485DB4" w:rsidRDefault="00C86459" w:rsidP="00C86459">
            <w:pPr>
              <w:jc w:val="center"/>
              <w:rPr>
                <w:rFonts w:ascii="Open Sans" w:hAnsi="Open Sans"/>
                <w:b/>
                <w:bCs/>
                <w:color w:val="FFFFFF" w:themeColor="background1"/>
                <w:sz w:val="22"/>
                <w:szCs w:val="22"/>
              </w:rPr>
            </w:pPr>
            <w:r w:rsidRPr="00485DB4">
              <w:rPr>
                <w:rFonts w:ascii="Open Sans" w:hAnsi="Open Sans"/>
                <w:b/>
                <w:color w:val="FFFFFF" w:themeColor="background1"/>
                <w:sz w:val="22"/>
                <w:szCs w:val="22"/>
              </w:rPr>
              <w:t>0,83</w:t>
            </w:r>
          </w:p>
        </w:tc>
      </w:tr>
      <w:tr w:rsidR="00C86459" w:rsidRPr="00485DB4" w14:paraId="5F8CC31F" w14:textId="77777777" w:rsidTr="00C86459">
        <w:trPr>
          <w:trHeight w:val="525"/>
          <w:jc w:val="center"/>
        </w:trPr>
        <w:tc>
          <w:tcPr>
            <w:tcW w:w="4000" w:type="dxa"/>
            <w:tcBorders>
              <w:top w:val="nil"/>
              <w:left w:val="single" w:sz="8" w:space="0" w:color="auto"/>
              <w:bottom w:val="single" w:sz="8" w:space="0" w:color="auto"/>
              <w:right w:val="single" w:sz="8" w:space="0" w:color="auto"/>
            </w:tcBorders>
            <w:shd w:val="clear" w:color="000000" w:fill="739423"/>
            <w:vAlign w:val="center"/>
            <w:hideMark/>
          </w:tcPr>
          <w:p w14:paraId="3CC019EF" w14:textId="77777777" w:rsidR="00C86459" w:rsidRPr="00485DB4" w:rsidRDefault="00C86459" w:rsidP="00C86459">
            <w:pPr>
              <w:rPr>
                <w:rFonts w:ascii="Open Sans" w:hAnsi="Open Sans"/>
                <w:b/>
                <w:bCs/>
                <w:color w:val="FFFFFF"/>
                <w:sz w:val="20"/>
                <w:szCs w:val="20"/>
              </w:rPr>
            </w:pPr>
            <w:r w:rsidRPr="00485DB4">
              <w:rPr>
                <w:rFonts w:ascii="Open Sans" w:hAnsi="Open Sans"/>
                <w:b/>
                <w:bCs/>
                <w:color w:val="FFFFFF"/>
                <w:sz w:val="20"/>
                <w:szCs w:val="20"/>
              </w:rPr>
              <w:t>RELACIÓN CON ADMINISTRACIONES TRIBUTARIAS</w:t>
            </w:r>
          </w:p>
        </w:tc>
        <w:tc>
          <w:tcPr>
            <w:tcW w:w="1780" w:type="dxa"/>
            <w:tcBorders>
              <w:top w:val="nil"/>
              <w:left w:val="nil"/>
              <w:bottom w:val="single" w:sz="8" w:space="0" w:color="auto"/>
              <w:right w:val="single" w:sz="8" w:space="0" w:color="auto"/>
            </w:tcBorders>
            <w:shd w:val="clear" w:color="000000" w:fill="739423"/>
            <w:vAlign w:val="bottom"/>
            <w:hideMark/>
          </w:tcPr>
          <w:p w14:paraId="30AFB3AD" w14:textId="77777777" w:rsidR="00C86459" w:rsidRPr="00485DB4" w:rsidRDefault="00C86459" w:rsidP="00C86459">
            <w:pPr>
              <w:jc w:val="center"/>
              <w:rPr>
                <w:rFonts w:ascii="Open Sans" w:hAnsi="Open Sans"/>
                <w:b/>
                <w:bCs/>
                <w:color w:val="FFFFFF" w:themeColor="background1"/>
                <w:sz w:val="22"/>
                <w:szCs w:val="22"/>
              </w:rPr>
            </w:pPr>
            <w:r w:rsidRPr="00485DB4">
              <w:rPr>
                <w:rFonts w:ascii="Open Sans" w:hAnsi="Open Sans"/>
                <w:b/>
                <w:color w:val="FFFFFF" w:themeColor="background1"/>
                <w:sz w:val="22"/>
                <w:szCs w:val="22"/>
              </w:rPr>
              <w:t>0,80</w:t>
            </w:r>
          </w:p>
        </w:tc>
      </w:tr>
      <w:tr w:rsidR="00C86459" w:rsidRPr="00485DB4" w14:paraId="2BA69373" w14:textId="77777777" w:rsidTr="00C86459">
        <w:trPr>
          <w:trHeight w:val="402"/>
          <w:jc w:val="center"/>
        </w:trPr>
        <w:tc>
          <w:tcPr>
            <w:tcW w:w="4000" w:type="dxa"/>
            <w:tcBorders>
              <w:top w:val="nil"/>
              <w:left w:val="single" w:sz="8" w:space="0" w:color="auto"/>
              <w:bottom w:val="single" w:sz="8" w:space="0" w:color="auto"/>
              <w:right w:val="single" w:sz="8" w:space="0" w:color="auto"/>
            </w:tcBorders>
            <w:shd w:val="clear" w:color="000000" w:fill="363E87"/>
            <w:vAlign w:val="center"/>
            <w:hideMark/>
          </w:tcPr>
          <w:p w14:paraId="36265CD8" w14:textId="77777777" w:rsidR="00C86459" w:rsidRPr="00485DB4" w:rsidRDefault="00C86459" w:rsidP="00C86459">
            <w:pPr>
              <w:jc w:val="center"/>
              <w:rPr>
                <w:rFonts w:ascii="Open Sans" w:hAnsi="Open Sans"/>
                <w:b/>
                <w:bCs/>
                <w:color w:val="FFFFFF"/>
                <w:sz w:val="20"/>
                <w:szCs w:val="20"/>
              </w:rPr>
            </w:pPr>
            <w:r w:rsidRPr="00485DB4">
              <w:rPr>
                <w:rFonts w:ascii="Open Sans" w:hAnsi="Open Sans"/>
                <w:b/>
                <w:bCs/>
                <w:color w:val="FFFFFF"/>
                <w:sz w:val="20"/>
                <w:szCs w:val="20"/>
              </w:rPr>
              <w:t>TOTAL EMPRESA</w:t>
            </w:r>
          </w:p>
        </w:tc>
        <w:tc>
          <w:tcPr>
            <w:tcW w:w="1780" w:type="dxa"/>
            <w:tcBorders>
              <w:top w:val="nil"/>
              <w:left w:val="nil"/>
              <w:bottom w:val="single" w:sz="8" w:space="0" w:color="auto"/>
              <w:right w:val="single" w:sz="8" w:space="0" w:color="auto"/>
            </w:tcBorders>
            <w:shd w:val="clear" w:color="000000" w:fill="363E87"/>
            <w:vAlign w:val="bottom"/>
            <w:hideMark/>
          </w:tcPr>
          <w:p w14:paraId="78C4A97A" w14:textId="77777777" w:rsidR="00C86459" w:rsidRPr="00485DB4" w:rsidRDefault="00C86459" w:rsidP="00C86459">
            <w:pPr>
              <w:jc w:val="center"/>
              <w:rPr>
                <w:rFonts w:ascii="Open Sans" w:hAnsi="Open Sans"/>
                <w:b/>
                <w:bCs/>
                <w:color w:val="FFFFFF" w:themeColor="background1"/>
                <w:sz w:val="22"/>
                <w:szCs w:val="22"/>
              </w:rPr>
            </w:pPr>
            <w:r w:rsidRPr="00485DB4">
              <w:rPr>
                <w:rFonts w:ascii="Open Sans" w:hAnsi="Open Sans"/>
                <w:b/>
                <w:bCs/>
                <w:color w:val="FFFFFF" w:themeColor="background1"/>
                <w:sz w:val="22"/>
                <w:szCs w:val="22"/>
              </w:rPr>
              <w:t>0,79</w:t>
            </w:r>
          </w:p>
        </w:tc>
      </w:tr>
    </w:tbl>
    <w:p w14:paraId="30736C6F" w14:textId="77777777" w:rsidR="00C86459" w:rsidRDefault="00C86459" w:rsidP="00C86459">
      <w:pPr>
        <w:jc w:val="center"/>
        <w:rPr>
          <w:rFonts w:ascii="Open Sans" w:hAnsi="Open Sans" w:cs="Open Sans"/>
          <w:b/>
          <w:color w:val="FF0000"/>
          <w:sz w:val="22"/>
          <w:szCs w:val="22"/>
        </w:rPr>
      </w:pPr>
    </w:p>
    <w:p w14:paraId="5713A701" w14:textId="77777777" w:rsidR="00C86459" w:rsidRDefault="00C86459" w:rsidP="00C86459">
      <w:pPr>
        <w:jc w:val="center"/>
        <w:rPr>
          <w:rFonts w:ascii="Open Sans" w:hAnsi="Open Sans" w:cs="Open Sans"/>
          <w:b/>
          <w:color w:val="FF0000"/>
          <w:sz w:val="22"/>
          <w:szCs w:val="22"/>
        </w:rPr>
      </w:pPr>
    </w:p>
    <w:p w14:paraId="27FAB28C" w14:textId="77777777" w:rsidR="00C86459" w:rsidRDefault="00C86459" w:rsidP="00C86459">
      <w:pPr>
        <w:jc w:val="center"/>
        <w:rPr>
          <w:rFonts w:ascii="Open Sans" w:hAnsi="Open Sans" w:cs="Open Sans"/>
          <w:b/>
          <w:color w:val="FF0000"/>
          <w:sz w:val="22"/>
          <w:szCs w:val="22"/>
        </w:rPr>
      </w:pPr>
    </w:p>
    <w:p w14:paraId="57A06EE3" w14:textId="77777777" w:rsidR="00C86459" w:rsidRDefault="00C86459" w:rsidP="00C86459">
      <w:pPr>
        <w:jc w:val="both"/>
      </w:pPr>
      <w:r>
        <w:rPr>
          <w:rFonts w:ascii="Open Sans" w:hAnsi="Open Sans" w:cs="Open Sans"/>
          <w:b/>
          <w:sz w:val="22"/>
          <w:szCs w:val="22"/>
          <w:u w:val="single"/>
        </w:rPr>
        <w:t>3. Contexto general</w:t>
      </w:r>
    </w:p>
    <w:p w14:paraId="40CAE5FD" w14:textId="77777777" w:rsidR="00C86459" w:rsidRDefault="00C86459" w:rsidP="00C86459">
      <w:pPr>
        <w:jc w:val="both"/>
        <w:rPr>
          <w:rFonts w:ascii="Open Sans" w:hAnsi="Open Sans" w:cs="Open Sans"/>
          <w:b/>
          <w:sz w:val="22"/>
          <w:szCs w:val="22"/>
        </w:rPr>
      </w:pPr>
    </w:p>
    <w:p w14:paraId="42E5E77D" w14:textId="77777777" w:rsidR="00C86459" w:rsidRDefault="00C86459" w:rsidP="00C86459">
      <w:pPr>
        <w:pStyle w:val="Pa204"/>
        <w:spacing w:after="40"/>
        <w:jc w:val="both"/>
      </w:pPr>
      <w:r>
        <w:rPr>
          <w:rFonts w:ascii="Open Sans" w:hAnsi="Open Sans"/>
          <w:sz w:val="20"/>
          <w:szCs w:val="20"/>
        </w:rPr>
        <w:t xml:space="preserve">En el mensaje de José Antonio Álvarez incorporado en el Informe Anual 2015, se pone de manifiesto la volatilidad que han experimentado los mercados en 2015, con las monedas de los países emergentes (que han registrado una leve desaceleración) depreciándose frente al dólar y un entorno de bajos tipos de interés en los mercados maduros. Esto supone mayor presión para la rentabilidad de las entidades financieras que se ve agravada por las mayores exigencias regulatorias (en requerimientos de capital y mayores gastos e inversiones en tecnología y en personal, y en incrementos en materia impositiva) y el incremento de la competencia. </w:t>
      </w:r>
    </w:p>
    <w:p w14:paraId="08EE7251" w14:textId="77777777" w:rsidR="00C86459" w:rsidRDefault="00C86459" w:rsidP="00C86459">
      <w:pPr>
        <w:pStyle w:val="Pa204"/>
        <w:spacing w:after="40"/>
        <w:rPr>
          <w:rFonts w:ascii="Open Sans" w:hAnsi="Open Sans"/>
          <w:sz w:val="20"/>
          <w:szCs w:val="20"/>
        </w:rPr>
      </w:pPr>
    </w:p>
    <w:p w14:paraId="3EA440FA" w14:textId="77777777" w:rsidR="00C86459" w:rsidRDefault="00C86459" w:rsidP="00C86459">
      <w:pPr>
        <w:pStyle w:val="Normal1"/>
        <w:tabs>
          <w:tab w:val="left" w:pos="1276"/>
        </w:tabs>
        <w:jc w:val="both"/>
      </w:pPr>
      <w:r>
        <w:rPr>
          <w:rFonts w:ascii="Open Sans" w:eastAsia="Arial" w:hAnsi="Open Sans" w:cs="Open Sans"/>
          <w:sz w:val="20"/>
        </w:rPr>
        <w:t xml:space="preserve">El Banco Santander mantiene en el año 2015 la segunda posición en Europa y la 11ª mundial en capitalización bursátil, siendo un año más una de las principales entidades financieras del mundo, con unas potencialidades de impactos externos enormes. </w:t>
      </w:r>
    </w:p>
    <w:p w14:paraId="3E5D8F76" w14:textId="77777777" w:rsidR="00C86459" w:rsidRDefault="00C86459" w:rsidP="00C86459">
      <w:pPr>
        <w:pStyle w:val="Normal1"/>
        <w:tabs>
          <w:tab w:val="left" w:pos="1276"/>
        </w:tabs>
        <w:jc w:val="both"/>
        <w:rPr>
          <w:rFonts w:ascii="Open Sans" w:eastAsia="Arial" w:hAnsi="Open Sans" w:cs="Open Sans"/>
          <w:sz w:val="20"/>
        </w:rPr>
      </w:pPr>
    </w:p>
    <w:p w14:paraId="26557723" w14:textId="77777777" w:rsidR="00C86459" w:rsidRDefault="00C86459" w:rsidP="00C86459">
      <w:pPr>
        <w:pStyle w:val="Pa204"/>
        <w:spacing w:after="40"/>
        <w:jc w:val="both"/>
      </w:pPr>
      <w:r>
        <w:rPr>
          <w:rFonts w:ascii="Open Sans" w:hAnsi="Open Sans"/>
          <w:sz w:val="20"/>
          <w:szCs w:val="20"/>
        </w:rPr>
        <w:t>Banco Santander define 2</w:t>
      </w:r>
      <w:r>
        <w:rPr>
          <w:rFonts w:ascii="Open Sans" w:eastAsia="Arial" w:hAnsi="Open Sans" w:cs="Open Sans"/>
          <w:sz w:val="20"/>
          <w:szCs w:val="20"/>
        </w:rPr>
        <w:t xml:space="preserve">015 como un año de transición hacia su transformación comercial. </w:t>
      </w:r>
      <w:r>
        <w:rPr>
          <w:rFonts w:ascii="Open Sans" w:hAnsi="Open Sans" w:cs="Open Sans"/>
          <w:sz w:val="20"/>
          <w:szCs w:val="20"/>
        </w:rPr>
        <w:t xml:space="preserve">A pesar de los buenos resultados operativos y un beneficio atribuido en 2015 de 6.000 millones de euros. El Grupo Banco de Santander ha sufrido una caída del valor de mercado del 36%. Por una parte, parece ser que atribuible a una percepción diferente sobre la fortaleza del capital y la cuantía del exceso de capital respecto a los requisitos regulatorios, hecho que la entidad justifica con la decisión de contar con un capital muy por encima de los mínimos para estar preparados para los nuevos requisitos de capital (Basilea III). Por otra parte, por su presencia en algunos mercados emergentes, en concreto Brasil donde la entidad genera el 20% de sus beneficios. Brasil está atravesando una situación económica complicada y esto hace que los mercados castiguen a la entidad, a pesar de los buenos resultados de la entidad en este país. </w:t>
      </w:r>
    </w:p>
    <w:p w14:paraId="37C84851" w14:textId="77777777" w:rsidR="00C86459" w:rsidRDefault="00C86459" w:rsidP="00C86459">
      <w:pPr>
        <w:pStyle w:val="Normal1"/>
        <w:tabs>
          <w:tab w:val="left" w:pos="1276"/>
        </w:tabs>
        <w:jc w:val="both"/>
        <w:rPr>
          <w:rFonts w:ascii="Open Sans" w:eastAsia="Arial" w:hAnsi="Open Sans" w:cs="Open Sans"/>
          <w:sz w:val="20"/>
        </w:rPr>
      </w:pPr>
    </w:p>
    <w:p w14:paraId="198B13A9" w14:textId="77777777" w:rsidR="00C86459" w:rsidRDefault="00C86459" w:rsidP="00C86459">
      <w:pPr>
        <w:pStyle w:val="Normal1"/>
        <w:tabs>
          <w:tab w:val="left" w:pos="1276"/>
        </w:tabs>
        <w:jc w:val="both"/>
      </w:pPr>
      <w:r>
        <w:rPr>
          <w:rFonts w:ascii="Open Sans" w:eastAsia="Arial" w:hAnsi="Open Sans" w:cs="Open Sans"/>
          <w:sz w:val="20"/>
        </w:rPr>
        <w:t xml:space="preserve">Los tres elementos claves de su estrategia son: masa crítica (9+1 mercados y 121M de clientes), relaciones personales con sus clientes y diversificación geográfica. </w:t>
      </w:r>
    </w:p>
    <w:p w14:paraId="077DF1C5" w14:textId="77777777" w:rsidR="00C86459" w:rsidRDefault="00C86459" w:rsidP="00C86459">
      <w:pPr>
        <w:pStyle w:val="Normal1"/>
        <w:tabs>
          <w:tab w:val="left" w:pos="1276"/>
        </w:tabs>
        <w:jc w:val="both"/>
      </w:pPr>
    </w:p>
    <w:p w14:paraId="05B0CEF6" w14:textId="77777777" w:rsidR="00C86459" w:rsidRDefault="00C86459" w:rsidP="00C86459">
      <w:pPr>
        <w:pStyle w:val="Normal1"/>
        <w:tabs>
          <w:tab w:val="left" w:pos="1276"/>
        </w:tabs>
        <w:jc w:val="both"/>
      </w:pPr>
      <w:r>
        <w:rPr>
          <w:rFonts w:ascii="Open Sans" w:eastAsia="Arial" w:hAnsi="Open Sans" w:cs="Open Sans"/>
          <w:sz w:val="20"/>
        </w:rPr>
        <w:t>Banco de Santander continúa apostando por la diversificación geográfica de la empresa, que opera de forma declarada en cuatro continentes y 46 países. Con respecto al informe de 2014 se han detectado sociedades en 8 nuevos países: Australia, Bermudas, Canadá, Hungría, India, Malta, Mauritania y Singapur.</w:t>
      </w:r>
    </w:p>
    <w:p w14:paraId="6B007647" w14:textId="77777777" w:rsidR="00C86459" w:rsidRDefault="00C86459" w:rsidP="00C86459">
      <w:pPr>
        <w:pStyle w:val="Normal1"/>
        <w:tabs>
          <w:tab w:val="left" w:pos="1276"/>
        </w:tabs>
        <w:jc w:val="both"/>
      </w:pPr>
    </w:p>
    <w:p w14:paraId="0BC66381" w14:textId="77777777" w:rsidR="00C86459" w:rsidRDefault="00C86459" w:rsidP="00C86459">
      <w:pPr>
        <w:pStyle w:val="Normal1"/>
        <w:tabs>
          <w:tab w:val="left" w:pos="1276"/>
        </w:tabs>
        <w:jc w:val="both"/>
      </w:pPr>
      <w:r>
        <w:rPr>
          <w:rFonts w:ascii="Open Sans" w:eastAsia="Arial" w:hAnsi="Open Sans" w:cs="Open Sans"/>
          <w:sz w:val="20"/>
        </w:rPr>
        <w:t>Sus mercados principales son Brasil (32,4 millones de clientes), Reino Unido (26M), España (12,7M), México (12,4M), Alemania (6,1M), Estados Unidos (5,1M), Polonia (4,3M), Chile (3,6M) y Portugal (3,8M).</w:t>
      </w:r>
    </w:p>
    <w:p w14:paraId="54E3F9F1" w14:textId="77777777" w:rsidR="00C86459" w:rsidRDefault="00C86459" w:rsidP="00C86459">
      <w:pPr>
        <w:pStyle w:val="Normal1"/>
        <w:tabs>
          <w:tab w:val="left" w:pos="1276"/>
        </w:tabs>
        <w:jc w:val="both"/>
      </w:pPr>
    </w:p>
    <w:p w14:paraId="48F88797" w14:textId="77777777" w:rsidR="00C86459" w:rsidRDefault="00C86459" w:rsidP="00C86459">
      <w:pPr>
        <w:pStyle w:val="Normal1"/>
        <w:tabs>
          <w:tab w:val="left" w:pos="1276"/>
        </w:tabs>
        <w:jc w:val="both"/>
      </w:pPr>
      <w:r>
        <w:rPr>
          <w:rFonts w:ascii="Open Sans" w:eastAsia="Arial" w:hAnsi="Open Sans" w:cs="Open Sans"/>
          <w:sz w:val="20"/>
        </w:rPr>
        <w:t xml:space="preserve">En términos de crecimiento del beneficio, Portugal es el país que registra un mayor incremento (63%), seguido por Reino Unido (27%), España y Santander Consumer Finance (18%), Brasil (13%) y México (4%). </w:t>
      </w:r>
    </w:p>
    <w:p w14:paraId="01767B0F" w14:textId="77777777" w:rsidR="00C86459" w:rsidRDefault="00C86459" w:rsidP="00C86459">
      <w:pPr>
        <w:pStyle w:val="Normal1"/>
        <w:tabs>
          <w:tab w:val="left" w:pos="1276"/>
        </w:tabs>
        <w:jc w:val="both"/>
      </w:pPr>
    </w:p>
    <w:p w14:paraId="395BA1B3" w14:textId="77777777" w:rsidR="00C86459" w:rsidRDefault="00C86459" w:rsidP="00C86459">
      <w:pPr>
        <w:pStyle w:val="Normal1"/>
        <w:tabs>
          <w:tab w:val="left" w:pos="1276"/>
        </w:tabs>
        <w:jc w:val="both"/>
      </w:pPr>
      <w:r>
        <w:rPr>
          <w:rFonts w:ascii="Open Sans" w:eastAsia="Arial" w:hAnsi="Open Sans" w:cs="Open Sans"/>
          <w:sz w:val="20"/>
        </w:rPr>
        <w:t>Como ya se apuntó en el informe de 2014, tanto la diversificación geográfica como la de productos exponen al Grupo Santander a un elevado número de riesgos desde una perspectiva de sostenibilidad. El Grupo Santander reporta que los principales riesgos en éste ámbito son</w:t>
      </w:r>
      <w:proofErr w:type="gramStart"/>
      <w:r>
        <w:rPr>
          <w:rFonts w:ascii="Open Sans" w:eastAsia="Arial" w:hAnsi="Open Sans" w:cs="Open Sans"/>
          <w:sz w:val="20"/>
        </w:rPr>
        <w:t>:  el</w:t>
      </w:r>
      <w:proofErr w:type="gramEnd"/>
      <w:r>
        <w:rPr>
          <w:rFonts w:ascii="Open Sans" w:eastAsia="Arial" w:hAnsi="Open Sans" w:cs="Open Sans"/>
          <w:sz w:val="20"/>
        </w:rPr>
        <w:t xml:space="preserve"> riesgo de cumplimiento normativo, r</w:t>
      </w:r>
      <w:r>
        <w:rPr>
          <w:rFonts w:ascii="Open Sans" w:hAnsi="Open Sans"/>
          <w:sz w:val="20"/>
        </w:rPr>
        <w:t>iesgo de productos y protección al consumidor, riesgo reputacional, riesgo operacional</w:t>
      </w:r>
      <w:r>
        <w:rPr>
          <w:rFonts w:ascii="Open Sans" w:eastAsia="Arial" w:hAnsi="Open Sans" w:cs="Open Sans"/>
          <w:sz w:val="20"/>
        </w:rPr>
        <w:t xml:space="preserve"> y, análisis del riesgo social y ambiental</w:t>
      </w:r>
      <w:r>
        <w:rPr>
          <w:rStyle w:val="Refdenotaalpie"/>
          <w:rFonts w:ascii="Open Sans" w:eastAsia="Arial" w:hAnsi="Open Sans" w:cs="Open Sans"/>
          <w:sz w:val="20"/>
        </w:rPr>
        <w:footnoteReference w:id="517"/>
      </w:r>
      <w:r>
        <w:rPr>
          <w:rFonts w:ascii="Open Sans" w:eastAsia="Arial" w:hAnsi="Open Sans" w:cs="Open Sans"/>
          <w:sz w:val="20"/>
        </w:rPr>
        <w:t>. La entidad elabora un Informe relativo a la Gestión del Riesgo de la entidad en el que incorpora el Mapa de Riesgos y detalle del tratamiento de cada uno de los riesgos identificados por categorías (Riesgo de crédito, Riesgo de modelo, Riesgo operacional, Riesgo de mercado de negociación y estructural, Riesgo de cumplimiento y conducta, Riesgo de liquidez y financiación, Riesgo estratégico, Riesgo de capital).</w:t>
      </w:r>
      <w:r>
        <w:rPr>
          <w:rFonts w:ascii="Open Sans" w:eastAsia="Arial" w:hAnsi="Open Sans" w:cs="Open Sans"/>
          <w:sz w:val="20"/>
          <w:szCs w:val="22"/>
        </w:rPr>
        <w:t xml:space="preserve"> El riesgo en materia fiscal no se menciona explícitamente dentro de ninguna categoría.</w:t>
      </w:r>
    </w:p>
    <w:p w14:paraId="0B57332A" w14:textId="77777777" w:rsidR="00C86459" w:rsidRDefault="00C86459" w:rsidP="00C86459">
      <w:pPr>
        <w:jc w:val="both"/>
        <w:rPr>
          <w:rFonts w:ascii="Open Sans" w:hAnsi="Open Sans" w:cs="Open Sans"/>
          <w:b/>
          <w:sz w:val="22"/>
          <w:szCs w:val="22"/>
        </w:rPr>
      </w:pPr>
    </w:p>
    <w:p w14:paraId="2B5276C0" w14:textId="77777777" w:rsidR="00C86459" w:rsidRDefault="00C86459" w:rsidP="00C86459">
      <w:pPr>
        <w:pStyle w:val="Normal1"/>
        <w:jc w:val="both"/>
      </w:pPr>
      <w:r>
        <w:rPr>
          <w:rFonts w:ascii="Open Sans" w:eastAsia="Arial" w:hAnsi="Open Sans" w:cs="Open Sans"/>
          <w:sz w:val="20"/>
        </w:rPr>
        <w:t>El Banco Santander declara que se ha adherido voluntariamente a diversos estándares relacionados con contenidos y sistemas de gestión de RSC aunque ninguno de ellos hace referencia explícita a aspectos relacionados con la fiscalidad responsable:</w:t>
      </w:r>
    </w:p>
    <w:p w14:paraId="15A268D6" w14:textId="77777777" w:rsidR="00C86459" w:rsidRDefault="00C86459" w:rsidP="00C86459">
      <w:pPr>
        <w:pStyle w:val="Normal1"/>
        <w:ind w:left="720"/>
        <w:rPr>
          <w:rFonts w:ascii="Open Sans" w:eastAsia="Arial" w:hAnsi="Open Sans" w:cs="Open Sans"/>
          <w:sz w:val="20"/>
        </w:rPr>
      </w:pPr>
    </w:p>
    <w:p w14:paraId="129C9F5B" w14:textId="77777777" w:rsidR="00C86459" w:rsidRDefault="00C86459" w:rsidP="000B70C9">
      <w:pPr>
        <w:pStyle w:val="Normal1"/>
        <w:numPr>
          <w:ilvl w:val="0"/>
          <w:numId w:val="41"/>
        </w:numPr>
        <w:suppressAutoHyphens/>
      </w:pPr>
      <w:r>
        <w:rPr>
          <w:rFonts w:ascii="Open Sans" w:eastAsia="Arial" w:hAnsi="Open Sans" w:cs="Open Sans"/>
          <w:sz w:val="20"/>
        </w:rPr>
        <w:t>Pacto Mundial de las Naciones Unidas</w:t>
      </w:r>
    </w:p>
    <w:p w14:paraId="1D9A0FB9" w14:textId="77777777" w:rsidR="00C86459" w:rsidRDefault="00C86459" w:rsidP="000B70C9">
      <w:pPr>
        <w:pStyle w:val="Normal1"/>
        <w:numPr>
          <w:ilvl w:val="0"/>
          <w:numId w:val="41"/>
        </w:numPr>
        <w:suppressAutoHyphens/>
      </w:pPr>
      <w:r>
        <w:rPr>
          <w:rFonts w:ascii="Open Sans" w:eastAsia="Arial" w:hAnsi="Open Sans" w:cs="Open Sans"/>
          <w:sz w:val="20"/>
        </w:rPr>
        <w:t xml:space="preserve">Banking Environment Initiative (BEI) </w:t>
      </w:r>
    </w:p>
    <w:p w14:paraId="3A59DF62" w14:textId="77777777" w:rsidR="00C86459" w:rsidRPr="00A1554D" w:rsidRDefault="00C86459" w:rsidP="000B70C9">
      <w:pPr>
        <w:pStyle w:val="Normal1"/>
        <w:numPr>
          <w:ilvl w:val="0"/>
          <w:numId w:val="41"/>
        </w:numPr>
        <w:suppressAutoHyphens/>
        <w:rPr>
          <w:lang w:val="en-GB"/>
        </w:rPr>
      </w:pPr>
      <w:r w:rsidRPr="00A1554D">
        <w:rPr>
          <w:rFonts w:ascii="Open Sans" w:eastAsia="Arial" w:hAnsi="Open Sans" w:cs="Open Sans"/>
          <w:sz w:val="20"/>
          <w:lang w:val="en-GB"/>
        </w:rPr>
        <w:t>World Business Council for Sustainable Development (WBCSD)</w:t>
      </w:r>
    </w:p>
    <w:p w14:paraId="24DB8EC4" w14:textId="77777777" w:rsidR="00C86459" w:rsidRDefault="00C86459" w:rsidP="000B70C9">
      <w:pPr>
        <w:pStyle w:val="Normal1"/>
        <w:numPr>
          <w:ilvl w:val="0"/>
          <w:numId w:val="41"/>
        </w:numPr>
        <w:suppressAutoHyphens/>
      </w:pPr>
      <w:r>
        <w:rPr>
          <w:rFonts w:ascii="Open Sans" w:eastAsia="Arial" w:hAnsi="Open Sans" w:cs="Open Sans"/>
          <w:sz w:val="20"/>
        </w:rPr>
        <w:t>UNEP Finance Initiative</w:t>
      </w:r>
    </w:p>
    <w:p w14:paraId="1600B8B7" w14:textId="77777777" w:rsidR="00C86459" w:rsidRDefault="00C86459" w:rsidP="000B70C9">
      <w:pPr>
        <w:pStyle w:val="Normal1"/>
        <w:numPr>
          <w:ilvl w:val="0"/>
          <w:numId w:val="41"/>
        </w:numPr>
        <w:suppressAutoHyphens/>
      </w:pPr>
      <w:r>
        <w:rPr>
          <w:rFonts w:ascii="Open Sans" w:eastAsia="Arial" w:hAnsi="Open Sans" w:cs="Open Sans"/>
          <w:sz w:val="20"/>
        </w:rPr>
        <w:t>Grupo Wolfsberg</w:t>
      </w:r>
    </w:p>
    <w:p w14:paraId="34BB1135" w14:textId="77777777" w:rsidR="00C86459" w:rsidRDefault="00C86459" w:rsidP="000B70C9">
      <w:pPr>
        <w:pStyle w:val="Normal1"/>
        <w:numPr>
          <w:ilvl w:val="0"/>
          <w:numId w:val="41"/>
        </w:numPr>
        <w:suppressAutoHyphens/>
      </w:pPr>
      <w:r>
        <w:rPr>
          <w:rFonts w:ascii="Open Sans" w:eastAsia="Arial" w:hAnsi="Open Sans" w:cs="Open Sans"/>
          <w:sz w:val="20"/>
        </w:rPr>
        <w:t>Principios del Ecuador</w:t>
      </w:r>
    </w:p>
    <w:p w14:paraId="078FF819" w14:textId="77777777" w:rsidR="00C86459" w:rsidRDefault="00C86459" w:rsidP="000B70C9">
      <w:pPr>
        <w:pStyle w:val="Normal1"/>
        <w:numPr>
          <w:ilvl w:val="0"/>
          <w:numId w:val="41"/>
        </w:numPr>
        <w:suppressAutoHyphens/>
      </w:pPr>
      <w:r>
        <w:rPr>
          <w:rFonts w:ascii="Open Sans" w:eastAsia="Arial" w:hAnsi="Open Sans" w:cs="Open Sans"/>
          <w:sz w:val="20"/>
        </w:rPr>
        <w:t>Mesa Redonda sobre Soja Responsable</w:t>
      </w:r>
    </w:p>
    <w:p w14:paraId="392D8264" w14:textId="77777777" w:rsidR="00C86459" w:rsidRDefault="00C86459" w:rsidP="000B70C9">
      <w:pPr>
        <w:pStyle w:val="Normal1"/>
        <w:numPr>
          <w:ilvl w:val="0"/>
          <w:numId w:val="41"/>
        </w:numPr>
        <w:suppressAutoHyphens/>
      </w:pPr>
      <w:r>
        <w:rPr>
          <w:rFonts w:ascii="Open Sans" w:eastAsia="Arial" w:hAnsi="Open Sans" w:cs="Open Sans"/>
          <w:sz w:val="20"/>
        </w:rPr>
        <w:t>Principios de Inversión Responsable (PRI)</w:t>
      </w:r>
    </w:p>
    <w:p w14:paraId="21F00FB8" w14:textId="77777777" w:rsidR="00C86459" w:rsidRDefault="00C86459" w:rsidP="000B70C9">
      <w:pPr>
        <w:pStyle w:val="Normal1"/>
        <w:numPr>
          <w:ilvl w:val="0"/>
          <w:numId w:val="41"/>
        </w:numPr>
        <w:suppressAutoHyphens/>
      </w:pPr>
      <w:r>
        <w:rPr>
          <w:rFonts w:ascii="Open Sans" w:eastAsia="Arial" w:hAnsi="Open Sans" w:cs="Open Sans"/>
          <w:sz w:val="20"/>
        </w:rPr>
        <w:t>Grupo de Trabajo de Ganadería Sostenible</w:t>
      </w:r>
    </w:p>
    <w:p w14:paraId="1197D412" w14:textId="77777777" w:rsidR="00C86459" w:rsidRDefault="00C86459" w:rsidP="000B70C9">
      <w:pPr>
        <w:pStyle w:val="Normal1"/>
        <w:numPr>
          <w:ilvl w:val="0"/>
          <w:numId w:val="41"/>
        </w:numPr>
        <w:suppressAutoHyphens/>
      </w:pPr>
      <w:r>
        <w:rPr>
          <w:rFonts w:ascii="Open Sans" w:eastAsia="Arial" w:hAnsi="Open Sans" w:cs="Open Sans"/>
          <w:sz w:val="20"/>
        </w:rPr>
        <w:t>Carbon Disclosure Project</w:t>
      </w:r>
    </w:p>
    <w:p w14:paraId="08AF824C" w14:textId="77777777" w:rsidR="00C86459" w:rsidRDefault="00C86459" w:rsidP="00C86459">
      <w:pPr>
        <w:pStyle w:val="Normal1"/>
        <w:rPr>
          <w:rFonts w:ascii="Open Sans" w:eastAsia="Arial" w:hAnsi="Open Sans" w:cs="Open Sans"/>
          <w:sz w:val="20"/>
        </w:rPr>
      </w:pPr>
    </w:p>
    <w:p w14:paraId="50264339" w14:textId="77777777" w:rsidR="00C86459" w:rsidRDefault="00C86459" w:rsidP="00C86459">
      <w:pPr>
        <w:pStyle w:val="Normal1"/>
        <w:rPr>
          <w:rFonts w:ascii="Open Sans" w:eastAsia="Arial" w:hAnsi="Open Sans" w:cs="Open Sans"/>
          <w:sz w:val="20"/>
        </w:rPr>
      </w:pPr>
    </w:p>
    <w:p w14:paraId="66EDC296" w14:textId="77777777" w:rsidR="00C86459" w:rsidRDefault="00C86459" w:rsidP="00C86459">
      <w:pPr>
        <w:pStyle w:val="Normal1"/>
        <w:jc w:val="both"/>
        <w:rPr>
          <w:rFonts w:ascii="Open Sans" w:eastAsia="Arial" w:hAnsi="Open Sans" w:cs="Open Sans"/>
          <w:sz w:val="20"/>
        </w:rPr>
      </w:pPr>
      <w:r>
        <w:rPr>
          <w:rFonts w:ascii="Open Sans" w:eastAsia="Arial" w:hAnsi="Open Sans" w:cs="Open Sans"/>
          <w:sz w:val="20"/>
        </w:rPr>
        <w:t xml:space="preserve">El Banco Santander reconoce la relevancia que el pago de impuestos tiene sobre la sociedad informando de su contribución impositiva en su memoria de sostenibilidad dentro del apartado de Inversión en la Comunidad. En este apartado se proporciona información y datos del pago de los impuestos soportados directamente por el Grupo y de la recaudación de impuestos de terceros generados por el desarrollo de su actividad económica, desglosado por países y regiones. </w:t>
      </w:r>
    </w:p>
    <w:p w14:paraId="4A4EEF60" w14:textId="77777777" w:rsidR="00C86459" w:rsidRDefault="00C86459" w:rsidP="00C86459">
      <w:pPr>
        <w:pStyle w:val="Normal1"/>
        <w:jc w:val="both"/>
        <w:rPr>
          <w:rFonts w:ascii="Open Sans" w:eastAsia="Arial" w:hAnsi="Open Sans" w:cs="Open Sans"/>
          <w:sz w:val="20"/>
        </w:rPr>
      </w:pPr>
    </w:p>
    <w:p w14:paraId="51420B84" w14:textId="77777777" w:rsidR="00C86459" w:rsidRPr="00363C08" w:rsidRDefault="00C86459" w:rsidP="00C86459">
      <w:pPr>
        <w:jc w:val="both"/>
        <w:rPr>
          <w:rFonts w:ascii="Open Sans" w:hAnsi="Open Sans" w:cs="Open Sans"/>
          <w:sz w:val="20"/>
          <w:szCs w:val="20"/>
        </w:rPr>
      </w:pPr>
      <w:r w:rsidRPr="00363C08">
        <w:rPr>
          <w:rFonts w:ascii="Open Sans" w:hAnsi="Open Sans" w:cs="Open Sans"/>
          <w:sz w:val="20"/>
          <w:szCs w:val="20"/>
        </w:rPr>
        <w:t xml:space="preserve">Uno de los riesgos a los que están sujetas las entidades </w:t>
      </w:r>
      <w:r>
        <w:rPr>
          <w:rFonts w:ascii="Open Sans" w:hAnsi="Open Sans" w:cs="Open Sans"/>
          <w:sz w:val="20"/>
          <w:szCs w:val="20"/>
        </w:rPr>
        <w:t>financieras es e</w:t>
      </w:r>
      <w:r w:rsidRPr="00363C08">
        <w:rPr>
          <w:rFonts w:ascii="Open Sans" w:hAnsi="Open Sans" w:cs="Open Sans"/>
          <w:sz w:val="20"/>
          <w:szCs w:val="20"/>
        </w:rPr>
        <w:t>l riesgo fiscal. Este riesgo se puede derivar de las propias actividades por incumplimiento directo de l</w:t>
      </w:r>
      <w:r>
        <w:rPr>
          <w:rFonts w:ascii="Open Sans" w:hAnsi="Open Sans" w:cs="Open Sans"/>
          <w:sz w:val="20"/>
          <w:szCs w:val="20"/>
        </w:rPr>
        <w:t>a norma tributaria o bien porque</w:t>
      </w:r>
      <w:r w:rsidRPr="00363C08">
        <w:rPr>
          <w:rFonts w:ascii="Open Sans" w:hAnsi="Open Sans" w:cs="Open Sans"/>
          <w:sz w:val="20"/>
          <w:szCs w:val="20"/>
        </w:rPr>
        <w:t xml:space="preserve"> se actuó en la creencia del cumplimiento correcto de sus obligaciones tributarias, pero puede surgir discrepancias por cambios interpretativos de consultas tributarias, doctrina administrativa o jurisprudencia.</w:t>
      </w:r>
    </w:p>
    <w:p w14:paraId="6DC0B864" w14:textId="77777777" w:rsidR="00C86459" w:rsidRPr="00363C08" w:rsidRDefault="00C86459" w:rsidP="00C86459">
      <w:pPr>
        <w:rPr>
          <w:rFonts w:ascii="Open Sans" w:hAnsi="Open Sans" w:cs="Open Sans"/>
          <w:sz w:val="20"/>
          <w:szCs w:val="20"/>
        </w:rPr>
      </w:pPr>
    </w:p>
    <w:p w14:paraId="156ED4AF" w14:textId="77777777" w:rsidR="00C86459" w:rsidRDefault="00C86459" w:rsidP="00C86459">
      <w:pPr>
        <w:jc w:val="both"/>
        <w:rPr>
          <w:rFonts w:ascii="Open Sans" w:hAnsi="Open Sans" w:cs="Open Sans"/>
          <w:sz w:val="20"/>
          <w:szCs w:val="20"/>
        </w:rPr>
      </w:pPr>
      <w:r w:rsidRPr="00363C08">
        <w:rPr>
          <w:rFonts w:ascii="Open Sans" w:hAnsi="Open Sans" w:cs="Open Sans"/>
          <w:sz w:val="20"/>
          <w:szCs w:val="20"/>
        </w:rPr>
        <w:t>Como ya se comentó en el análisis del ejercicio 2014, el informe de la OCDE de 2009 “Building Transp</w:t>
      </w:r>
      <w:r w:rsidRPr="004C59A9">
        <w:rPr>
          <w:rFonts w:ascii="Open Sans" w:hAnsi="Open Sans" w:cs="Open Sans"/>
          <w:sz w:val="20"/>
          <w:szCs w:val="20"/>
        </w:rPr>
        <w:t>arent Tax Compliance by Banks”</w:t>
      </w:r>
      <w:r w:rsidRPr="00363C08">
        <w:rPr>
          <w:rFonts w:ascii="Open Sans" w:hAnsi="Open Sans" w:cs="Open Sans"/>
          <w:sz w:val="20"/>
          <w:szCs w:val="20"/>
        </w:rPr>
        <w:t xml:space="preserve"> sostiene que, el conocimiento sobre el sistema fiscal y su interacción con los clientes, sitúa al sector bancario en una posición de responsabilidad única. Los bancos deben ser alentados a ofrecer un grado de transparencia "por encima del mínimo legal requerido". Asimismo, dada la complejidad de los sistemas fiscales de los países en vías de desarrollo, es importante que los bancos que operan en esos países lo hagan de forma transparente y que tengan relaciones constructivas y de colaboración con las autoridades fiscales. Del mismo modo, es importante resaltar el doble riesgo que entraña la presencia de entidades financieras en paraísos fiscales tanto por el riesgo de elusión fiscal por parte de la propia empresa, como por el riesgo de elusión fiscal por parte de los clientes. Así, la presencia de sociedades del Grupo en territorios con baja o nula fiscalidad para no residentes, puede facilitar también la operativa de sus clientes en tales territorios, clientes que a su vez presentan también un incremento del riesgo de elusión fiscal. A diferencia de otras empresas, los bancos tienen acceso a una inmensa cantidad de capital. Este capital puede ser utilizado como base para facilitar los mecanismos de evasión diseñados e implementados por otros de los que los bancos pueden beneficiarse, por ejemplo, a través de la participación en los beneficios fiscales directamente o por condiciones de los préstamos más rentables</w:t>
      </w:r>
      <w:r>
        <w:rPr>
          <w:rFonts w:ascii="Open Sans" w:hAnsi="Open Sans" w:cs="Open Sans"/>
          <w:sz w:val="20"/>
          <w:szCs w:val="20"/>
        </w:rPr>
        <w:t>.</w:t>
      </w:r>
    </w:p>
    <w:p w14:paraId="57E1F6E5" w14:textId="77777777" w:rsidR="00C86459" w:rsidRDefault="00C86459" w:rsidP="00C86459">
      <w:pPr>
        <w:jc w:val="both"/>
        <w:rPr>
          <w:rFonts w:ascii="Open Sans" w:hAnsi="Open Sans" w:cs="Open Sans"/>
          <w:sz w:val="20"/>
          <w:szCs w:val="20"/>
        </w:rPr>
      </w:pPr>
    </w:p>
    <w:p w14:paraId="12C9874F" w14:textId="77777777" w:rsidR="00C86459" w:rsidRDefault="00C86459" w:rsidP="00C86459">
      <w:pPr>
        <w:jc w:val="both"/>
        <w:rPr>
          <w:rFonts w:ascii="Open Sans" w:hAnsi="Open Sans" w:cs="Open Sans"/>
          <w:sz w:val="20"/>
          <w:szCs w:val="20"/>
        </w:rPr>
      </w:pPr>
      <w:r w:rsidRPr="00BA058E">
        <w:rPr>
          <w:rFonts w:ascii="Open Sans" w:hAnsi="Open Sans" w:cs="Open Sans"/>
          <w:sz w:val="20"/>
          <w:szCs w:val="20"/>
        </w:rPr>
        <w:t xml:space="preserve">Como se verá más adelante, diversas noticias en los medios de comunicación reflejan la materialización de estos riesgos fiscales. Santander es una de las entidades investigadas a tras las sospechas que se plantearon sobre su implicación con HSBC para colaborar en el lavado de dinero y evasión de impuestos por parte de algunos de sus clientes, en el curso de la investigación de la Lista Falciani, conocida como los “Papeles de Panamá”. </w:t>
      </w:r>
    </w:p>
    <w:p w14:paraId="5858AC8D" w14:textId="77777777" w:rsidR="00C86459" w:rsidRPr="00BA058E" w:rsidRDefault="00C86459" w:rsidP="00C86459">
      <w:pPr>
        <w:jc w:val="both"/>
        <w:rPr>
          <w:rFonts w:ascii="Open Sans" w:hAnsi="Open Sans" w:cs="Open Sans"/>
          <w:sz w:val="20"/>
          <w:szCs w:val="20"/>
        </w:rPr>
      </w:pPr>
    </w:p>
    <w:p w14:paraId="5CE088AB" w14:textId="77777777" w:rsidR="00C86459" w:rsidRDefault="00C86459" w:rsidP="00C86459">
      <w:pPr>
        <w:jc w:val="both"/>
        <w:rPr>
          <w:rFonts w:ascii="Open Sans" w:hAnsi="Open Sans" w:cs="Open Sans"/>
          <w:sz w:val="20"/>
          <w:szCs w:val="20"/>
        </w:rPr>
      </w:pPr>
      <w:r w:rsidRPr="00BA058E">
        <w:rPr>
          <w:rFonts w:ascii="Open Sans" w:hAnsi="Open Sans" w:cs="Open Sans"/>
          <w:sz w:val="20"/>
          <w:szCs w:val="20"/>
        </w:rPr>
        <w:t>No únicamente Panamá ha estado relacionada con prácticas bancarias de elusión y evasión fiscal, otros territorios también han sido protagonistas en prácticas bancarias discutibles. Según una notic</w:t>
      </w:r>
      <w:r>
        <w:rPr>
          <w:rFonts w:ascii="Open Sans" w:hAnsi="Open Sans" w:cs="Open Sans"/>
          <w:sz w:val="20"/>
          <w:szCs w:val="20"/>
        </w:rPr>
        <w:t>ia aparecida en El Confidencial</w:t>
      </w:r>
      <w:r w:rsidRPr="00BA058E">
        <w:rPr>
          <w:rFonts w:ascii="Open Sans" w:hAnsi="Open Sans" w:cs="Open Sans"/>
          <w:sz w:val="20"/>
          <w:szCs w:val="20"/>
        </w:rPr>
        <w:t>, Banco Santander creó en Bahamas, a través de su filial Santan</w:t>
      </w:r>
      <w:r>
        <w:rPr>
          <w:rFonts w:ascii="Open Sans" w:hAnsi="Open Sans" w:cs="Open Sans"/>
          <w:sz w:val="20"/>
          <w:szCs w:val="20"/>
        </w:rPr>
        <w:t>der Bank &amp; Trust, diversa</w:t>
      </w:r>
      <w:r w:rsidRPr="00BA058E">
        <w:rPr>
          <w:rFonts w:ascii="Open Sans" w:hAnsi="Open Sans" w:cs="Open Sans"/>
          <w:sz w:val="20"/>
          <w:szCs w:val="20"/>
        </w:rPr>
        <w:t>s sociedades pantalla para ocultar la identidad de sus clientes, algunas de ellas todavía siguen vigente</w:t>
      </w:r>
      <w:r>
        <w:rPr>
          <w:rFonts w:ascii="Open Sans" w:hAnsi="Open Sans" w:cs="Open Sans"/>
          <w:sz w:val="20"/>
          <w:szCs w:val="20"/>
        </w:rPr>
        <w:t>s</w:t>
      </w:r>
      <w:r>
        <w:rPr>
          <w:rStyle w:val="Refdenotaalpie"/>
          <w:rFonts w:ascii="Open Sans" w:hAnsi="Open Sans" w:cs="Open Sans"/>
          <w:sz w:val="20"/>
          <w:szCs w:val="20"/>
        </w:rPr>
        <w:footnoteReference w:id="518"/>
      </w:r>
      <w:r w:rsidRPr="00BA058E">
        <w:rPr>
          <w:rFonts w:ascii="Open Sans" w:hAnsi="Open Sans" w:cs="Open Sans"/>
          <w:sz w:val="20"/>
          <w:szCs w:val="20"/>
        </w:rPr>
        <w:t>.</w:t>
      </w:r>
    </w:p>
    <w:p w14:paraId="2CE7F418" w14:textId="77777777" w:rsidR="00C86459" w:rsidRDefault="00C86459" w:rsidP="00C86459">
      <w:pPr>
        <w:jc w:val="both"/>
        <w:rPr>
          <w:rFonts w:ascii="Open Sans" w:hAnsi="Open Sans" w:cs="Open Sans"/>
          <w:sz w:val="20"/>
          <w:szCs w:val="20"/>
        </w:rPr>
      </w:pPr>
    </w:p>
    <w:p w14:paraId="598C0CBE" w14:textId="77777777" w:rsidR="00C86459" w:rsidRDefault="00C86459" w:rsidP="00C86459">
      <w:pPr>
        <w:jc w:val="both"/>
        <w:rPr>
          <w:rFonts w:ascii="Open Sans" w:hAnsi="Open Sans" w:cs="Open Sans"/>
          <w:sz w:val="20"/>
          <w:szCs w:val="20"/>
        </w:rPr>
      </w:pPr>
      <w:r>
        <w:rPr>
          <w:rFonts w:ascii="Open Sans" w:hAnsi="Open Sans" w:cs="Open Sans"/>
          <w:sz w:val="20"/>
          <w:szCs w:val="20"/>
        </w:rPr>
        <w:t xml:space="preserve">Pero quizás el </w:t>
      </w:r>
      <w:r w:rsidRPr="00BA058E">
        <w:rPr>
          <w:rFonts w:ascii="Open Sans" w:hAnsi="Open Sans" w:cs="Open Sans"/>
          <w:sz w:val="20"/>
          <w:szCs w:val="20"/>
        </w:rPr>
        <w:t>caso más representativo ha sido el de Islas Caym</w:t>
      </w:r>
      <w:r>
        <w:rPr>
          <w:rFonts w:ascii="Open Sans" w:hAnsi="Open Sans" w:cs="Open Sans"/>
          <w:sz w:val="20"/>
          <w:szCs w:val="20"/>
        </w:rPr>
        <w:t>á</w:t>
      </w:r>
      <w:r w:rsidRPr="00BA058E">
        <w:rPr>
          <w:rFonts w:ascii="Open Sans" w:hAnsi="Open Sans" w:cs="Open Sans"/>
          <w:sz w:val="20"/>
          <w:szCs w:val="20"/>
        </w:rPr>
        <w:t>n con las participaciones preferentes. Durante los años de la gran expansión económica, las entidades financieras acudieron a las preferentes como medio de conseguir capitalización barata y poder responder a las demandas crediticias de sus clientes. En España, desde el inicio de su comercialización en 1998 hasta su legalización en julio de 2003, la CNMV, el Banco de España y del Ministerio de Economía toleraron la emisión de este producto desde paraísos fiscales permitiendo así su amplia difusión. El procedimiento era muy simple, el banco o caja constituía una filial 100% de su propiedad en las Islas Ca</w:t>
      </w:r>
      <w:r>
        <w:rPr>
          <w:rFonts w:ascii="Open Sans" w:hAnsi="Open Sans" w:cs="Open Sans"/>
          <w:sz w:val="20"/>
          <w:szCs w:val="20"/>
        </w:rPr>
        <w:t>y</w:t>
      </w:r>
      <w:r w:rsidRPr="00BA058E">
        <w:rPr>
          <w:rFonts w:ascii="Open Sans" w:hAnsi="Open Sans" w:cs="Open Sans"/>
          <w:sz w:val="20"/>
          <w:szCs w:val="20"/>
        </w:rPr>
        <w:t xml:space="preserve">mán con carácter puramente instrumental, sin empleados, y que no realizaba otra actividad que la de emitir participaciones preferentes. El dinero captado por la red bancaria figuraba como recibido por la filial y se depositaba en la matriz a cambio de una remuneración. Es decir, las filiales prestaban este dinero a sus respectivos bancos matrices, que pagaban unos intereses que se deducían del impuesto de sociedades en España. </w:t>
      </w:r>
      <w:r>
        <w:rPr>
          <w:rFonts w:ascii="Open Sans" w:hAnsi="Open Sans" w:cs="Open Sans"/>
          <w:sz w:val="20"/>
          <w:szCs w:val="20"/>
        </w:rPr>
        <w:t xml:space="preserve"> </w:t>
      </w:r>
      <w:r w:rsidRPr="00BA058E">
        <w:rPr>
          <w:rFonts w:ascii="Open Sans" w:hAnsi="Open Sans" w:cs="Open Sans"/>
          <w:sz w:val="20"/>
          <w:szCs w:val="20"/>
        </w:rPr>
        <w:t>El pionero fue el Banco Bilbao Vizcaya (BBV) e</w:t>
      </w:r>
      <w:r>
        <w:rPr>
          <w:rFonts w:ascii="Open Sans" w:hAnsi="Open Sans" w:cs="Open Sans"/>
          <w:sz w:val="20"/>
          <w:szCs w:val="20"/>
        </w:rPr>
        <w:t>n 1998 a través de las Islas Cay</w:t>
      </w:r>
      <w:r w:rsidRPr="00BA058E">
        <w:rPr>
          <w:rFonts w:ascii="Open Sans" w:hAnsi="Open Sans" w:cs="Open Sans"/>
          <w:sz w:val="20"/>
          <w:szCs w:val="20"/>
        </w:rPr>
        <w:t>mán, al que rápidamente le siguió Banco Santander y gran parte de las entidades financieras españolas (Cen</w:t>
      </w:r>
      <w:r>
        <w:rPr>
          <w:rFonts w:ascii="Open Sans" w:hAnsi="Open Sans" w:cs="Open Sans"/>
          <w:sz w:val="20"/>
          <w:szCs w:val="20"/>
        </w:rPr>
        <w:t xml:space="preserve">tral Hispano, Sabadell, Popular, </w:t>
      </w:r>
      <w:r w:rsidRPr="00BA058E">
        <w:rPr>
          <w:rFonts w:ascii="Open Sans" w:hAnsi="Open Sans" w:cs="Open Sans"/>
          <w:sz w:val="20"/>
          <w:szCs w:val="20"/>
        </w:rPr>
        <w:t>Bankinter</w:t>
      </w:r>
      <w:r>
        <w:rPr>
          <w:rFonts w:ascii="Open Sans" w:hAnsi="Open Sans" w:cs="Open Sans"/>
          <w:sz w:val="20"/>
          <w:szCs w:val="20"/>
        </w:rPr>
        <w:t>,</w:t>
      </w:r>
      <w:r w:rsidRPr="00BA058E">
        <w:rPr>
          <w:rFonts w:ascii="Open Sans" w:hAnsi="Open Sans" w:cs="Open Sans"/>
          <w:sz w:val="20"/>
          <w:szCs w:val="20"/>
        </w:rPr>
        <w:t xml:space="preserve"> La Caixa, Caixa Catalunya, Caja Madrid, Caja España…</w:t>
      </w:r>
      <w:r>
        <w:rPr>
          <w:rFonts w:ascii="Open Sans" w:hAnsi="Open Sans" w:cs="Open Sans"/>
          <w:sz w:val="20"/>
          <w:szCs w:val="20"/>
        </w:rPr>
        <w:t>)</w:t>
      </w:r>
      <w:r>
        <w:rPr>
          <w:rStyle w:val="Refdenotaalpie"/>
          <w:rFonts w:ascii="Open Sans" w:hAnsi="Open Sans" w:cs="Open Sans"/>
          <w:sz w:val="20"/>
          <w:szCs w:val="20"/>
        </w:rPr>
        <w:footnoteReference w:id="519"/>
      </w:r>
      <w:r>
        <w:rPr>
          <w:rFonts w:ascii="Open Sans" w:hAnsi="Open Sans" w:cs="Open Sans"/>
          <w:sz w:val="20"/>
          <w:szCs w:val="20"/>
        </w:rPr>
        <w:t>.</w:t>
      </w:r>
    </w:p>
    <w:p w14:paraId="6CD1AE8F" w14:textId="77777777" w:rsidR="00C86459" w:rsidRPr="00BA058E" w:rsidRDefault="00C86459" w:rsidP="00C86459">
      <w:pPr>
        <w:jc w:val="both"/>
        <w:rPr>
          <w:rFonts w:ascii="Open Sans" w:hAnsi="Open Sans" w:cs="Open Sans"/>
          <w:sz w:val="20"/>
          <w:szCs w:val="20"/>
        </w:rPr>
      </w:pPr>
    </w:p>
    <w:p w14:paraId="4322A679" w14:textId="77777777" w:rsidR="00C86459" w:rsidRPr="00363C08" w:rsidRDefault="00C86459" w:rsidP="00C86459">
      <w:pPr>
        <w:jc w:val="both"/>
        <w:rPr>
          <w:rFonts w:ascii="Open Sans" w:hAnsi="Open Sans" w:cs="Open Sans"/>
          <w:sz w:val="20"/>
          <w:szCs w:val="20"/>
        </w:rPr>
      </w:pPr>
      <w:r w:rsidRPr="00BA058E">
        <w:rPr>
          <w:rFonts w:ascii="Open Sans" w:hAnsi="Open Sans" w:cs="Open Sans"/>
          <w:sz w:val="20"/>
          <w:szCs w:val="20"/>
        </w:rPr>
        <w:t xml:space="preserve">Aunque estas noticias han saltado a la luz en 2016, hacen referencia a hechos acaecidos en años anteriores. </w:t>
      </w:r>
      <w:r>
        <w:rPr>
          <w:rFonts w:ascii="Open Sans" w:hAnsi="Open Sans" w:cs="Open Sans"/>
          <w:sz w:val="20"/>
          <w:szCs w:val="20"/>
        </w:rPr>
        <w:t>Pese a ello</w:t>
      </w:r>
      <w:r w:rsidRPr="00BA058E">
        <w:rPr>
          <w:rFonts w:ascii="Open Sans" w:hAnsi="Open Sans" w:cs="Open Sans"/>
          <w:sz w:val="20"/>
          <w:szCs w:val="20"/>
        </w:rPr>
        <w:t xml:space="preserve">, </w:t>
      </w:r>
      <w:r>
        <w:rPr>
          <w:rFonts w:ascii="Open Sans" w:hAnsi="Open Sans" w:cs="Open Sans"/>
          <w:sz w:val="20"/>
          <w:szCs w:val="20"/>
        </w:rPr>
        <w:t xml:space="preserve">en la documentación analizada el </w:t>
      </w:r>
      <w:r w:rsidRPr="00BA058E">
        <w:rPr>
          <w:rFonts w:ascii="Open Sans" w:hAnsi="Open Sans" w:cs="Open Sans"/>
          <w:sz w:val="20"/>
          <w:szCs w:val="20"/>
        </w:rPr>
        <w:t xml:space="preserve">Banco Santander no </w:t>
      </w:r>
      <w:r>
        <w:rPr>
          <w:rFonts w:ascii="Open Sans" w:hAnsi="Open Sans" w:cs="Open Sans"/>
          <w:sz w:val="20"/>
          <w:szCs w:val="20"/>
        </w:rPr>
        <w:t xml:space="preserve">informa, o al menos no se ha encontrado esa información, </w:t>
      </w:r>
      <w:r w:rsidRPr="00BA058E">
        <w:rPr>
          <w:rFonts w:ascii="Open Sans" w:hAnsi="Open Sans" w:cs="Open Sans"/>
          <w:sz w:val="20"/>
          <w:szCs w:val="20"/>
        </w:rPr>
        <w:t xml:space="preserve">explícitamente </w:t>
      </w:r>
      <w:r>
        <w:rPr>
          <w:rFonts w:ascii="Open Sans" w:hAnsi="Open Sans" w:cs="Open Sans"/>
          <w:sz w:val="20"/>
          <w:szCs w:val="20"/>
        </w:rPr>
        <w:t xml:space="preserve">sobre </w:t>
      </w:r>
      <w:r w:rsidRPr="00BA058E">
        <w:rPr>
          <w:rFonts w:ascii="Open Sans" w:hAnsi="Open Sans" w:cs="Open Sans"/>
          <w:sz w:val="20"/>
          <w:szCs w:val="20"/>
        </w:rPr>
        <w:t>ningún tipo de riesgo fiscal, ni derivado de su propia actividad ni derivado de su actividad como intermediadora, más allá de asegurar el cumplimiento estricto de la ley.</w:t>
      </w:r>
    </w:p>
    <w:p w14:paraId="235959FC" w14:textId="77777777" w:rsidR="00C86459" w:rsidRPr="00363C08" w:rsidRDefault="00C86459" w:rsidP="00C86459">
      <w:pPr>
        <w:rPr>
          <w:rFonts w:ascii="Open Sans" w:hAnsi="Open Sans" w:cs="Open Sans"/>
          <w:sz w:val="20"/>
          <w:szCs w:val="20"/>
        </w:rPr>
      </w:pPr>
    </w:p>
    <w:p w14:paraId="35DDCCD9" w14:textId="77777777" w:rsidR="00C86459" w:rsidRDefault="00C86459" w:rsidP="00C86459">
      <w:pPr>
        <w:jc w:val="both"/>
      </w:pPr>
      <w:r w:rsidRPr="00363C08">
        <w:rPr>
          <w:rFonts w:ascii="Open Sans" w:hAnsi="Open Sans" w:cs="Open Sans"/>
          <w:sz w:val="20"/>
          <w:szCs w:val="20"/>
        </w:rPr>
        <w:t>Por otro lado, la responsabilidad fiscal va más allá del estricto cumplimiento de la norma. Un comportamiento fiscal responsable tiene en cuenta las consecuencias sociales que se derivan puesto que cada vez es mayor el número de investigaciones que establecen una relación entre fiscalidad y derechos humanos, y más concretamente que consideran el impacto de la política fiscal y tributaria en el disfrute de los derechos humanos de las sociedades que viven en la pobreza. Las investigaciones apuntan a que bajos niveles de ingreso fiscales nacionales podrían ser un obstáculo importante para el cumplimiento de la obligación del Estado de garantizar los derechos humanos</w:t>
      </w:r>
      <w:r>
        <w:t>.</w:t>
      </w:r>
    </w:p>
    <w:p w14:paraId="1908726F" w14:textId="77777777" w:rsidR="00C86459" w:rsidRDefault="00C86459" w:rsidP="00C86459">
      <w:pPr>
        <w:pStyle w:val="Normal1"/>
        <w:jc w:val="both"/>
        <w:rPr>
          <w:rFonts w:ascii="Open Sans" w:eastAsia="Arial" w:hAnsi="Open Sans" w:cs="Open Sans"/>
          <w:b/>
          <w:sz w:val="20"/>
          <w:highlight w:val="yellow"/>
        </w:rPr>
      </w:pPr>
    </w:p>
    <w:p w14:paraId="741AB861" w14:textId="77777777" w:rsidR="00C86459" w:rsidRDefault="00C86459" w:rsidP="00C86459">
      <w:pPr>
        <w:rPr>
          <w:rFonts w:ascii="Open Sans" w:eastAsia="Arial" w:hAnsi="Open Sans" w:cs="Open Sans"/>
          <w:b/>
          <w:sz w:val="22"/>
          <w:szCs w:val="20"/>
        </w:rPr>
      </w:pPr>
    </w:p>
    <w:p w14:paraId="402059F3" w14:textId="77777777" w:rsidR="00C86459" w:rsidRPr="000D7D6E" w:rsidRDefault="00C86459" w:rsidP="00C86459">
      <w:pPr>
        <w:rPr>
          <w:rFonts w:ascii="Open Sans" w:eastAsia="Arial" w:hAnsi="Open Sans" w:cs="Open Sans"/>
          <w:b/>
          <w:sz w:val="22"/>
          <w:szCs w:val="20"/>
          <w:highlight w:val="yellow"/>
        </w:rPr>
      </w:pPr>
      <w:r>
        <w:rPr>
          <w:rFonts w:ascii="Open Sans" w:hAnsi="Open Sans" w:cs="Open Sans"/>
          <w:b/>
          <w:sz w:val="22"/>
          <w:szCs w:val="22"/>
          <w:u w:val="single"/>
        </w:rPr>
        <w:t>4. Análisis</w:t>
      </w:r>
    </w:p>
    <w:p w14:paraId="34278ABB" w14:textId="77777777" w:rsidR="00C86459" w:rsidRDefault="00C86459" w:rsidP="00C86459">
      <w:pPr>
        <w:jc w:val="both"/>
        <w:rPr>
          <w:rFonts w:ascii="Open Sans" w:eastAsia="Arial" w:hAnsi="Open Sans" w:cs="Open Sans"/>
          <w:sz w:val="20"/>
          <w:szCs w:val="20"/>
          <w:highlight w:val="yellow"/>
        </w:rPr>
      </w:pPr>
    </w:p>
    <w:p w14:paraId="6C01FE66" w14:textId="77777777" w:rsidR="00C86459" w:rsidRDefault="00C86459" w:rsidP="00C86459">
      <w:pPr>
        <w:pStyle w:val="Normal1"/>
        <w:jc w:val="both"/>
      </w:pPr>
      <w:r>
        <w:rPr>
          <w:rFonts w:ascii="Open Sans" w:eastAsia="Arial" w:hAnsi="Open Sans" w:cs="Open Sans"/>
          <w:sz w:val="20"/>
        </w:rPr>
        <w:t>Conforme a la información recogida en 2015, el Grupo Santander posee 215 sociedades fuera del territorio español y en países que, o bien ofrecen menor presión fiscal para no residentes, o facilitan la ocultación de identidad de acuerdo con diversas fuentes sobre las que se basa la metodología del Observatorio de RSC. 17 de estas 215 sociedades estarían ubicadas en paraísos fiscales y el resto en nichos fiscales (198).</w:t>
      </w:r>
    </w:p>
    <w:p w14:paraId="2389806C" w14:textId="77777777" w:rsidR="00C86459" w:rsidRDefault="00C86459" w:rsidP="00C86459">
      <w:pPr>
        <w:pStyle w:val="Normal1"/>
        <w:jc w:val="both"/>
        <w:rPr>
          <w:rFonts w:ascii="Open Sans" w:hAnsi="Open Sans" w:cs="Open Sans"/>
          <w:bCs/>
          <w:sz w:val="22"/>
          <w:szCs w:val="22"/>
        </w:rPr>
      </w:pPr>
    </w:p>
    <w:tbl>
      <w:tblPr>
        <w:tblW w:w="0" w:type="auto"/>
        <w:tblInd w:w="25" w:type="dxa"/>
        <w:tblLayout w:type="fixed"/>
        <w:tblCellMar>
          <w:left w:w="70" w:type="dxa"/>
          <w:right w:w="70" w:type="dxa"/>
        </w:tblCellMar>
        <w:tblLook w:val="0000" w:firstRow="0" w:lastRow="0" w:firstColumn="0" w:lastColumn="0" w:noHBand="0" w:noVBand="0"/>
      </w:tblPr>
      <w:tblGrid>
        <w:gridCol w:w="3225"/>
        <w:gridCol w:w="3300"/>
        <w:gridCol w:w="2070"/>
      </w:tblGrid>
      <w:tr w:rsidR="00C86459" w14:paraId="186B8EBA" w14:textId="77777777" w:rsidTr="00C86459">
        <w:trPr>
          <w:trHeight w:val="298"/>
        </w:trPr>
        <w:tc>
          <w:tcPr>
            <w:tcW w:w="3225" w:type="dxa"/>
            <w:tcBorders>
              <w:top w:val="single" w:sz="4" w:space="0" w:color="000000"/>
              <w:left w:val="single" w:sz="4" w:space="0" w:color="000000"/>
              <w:bottom w:val="single" w:sz="4" w:space="0" w:color="000000"/>
            </w:tcBorders>
            <w:shd w:val="clear" w:color="auto" w:fill="C0C0C0"/>
          </w:tcPr>
          <w:p w14:paraId="6D108254" w14:textId="77777777" w:rsidR="00C86459" w:rsidRDefault="00C86459" w:rsidP="00C86459">
            <w:pPr>
              <w:jc w:val="center"/>
            </w:pPr>
            <w:r>
              <w:rPr>
                <w:rFonts w:ascii="Open Sans" w:hAnsi="Open Sans" w:cs="Open Sans"/>
                <w:b/>
                <w:bCs/>
                <w:color w:val="000000"/>
                <w:sz w:val="20"/>
                <w:szCs w:val="20"/>
              </w:rPr>
              <w:t>Nombre de la Sociedad</w:t>
            </w:r>
          </w:p>
        </w:tc>
        <w:tc>
          <w:tcPr>
            <w:tcW w:w="3300" w:type="dxa"/>
            <w:tcBorders>
              <w:top w:val="single" w:sz="4" w:space="0" w:color="000000"/>
              <w:left w:val="single" w:sz="4" w:space="0" w:color="000000"/>
              <w:bottom w:val="single" w:sz="4" w:space="0" w:color="000000"/>
            </w:tcBorders>
            <w:shd w:val="clear" w:color="auto" w:fill="C0C0C0"/>
          </w:tcPr>
          <w:p w14:paraId="2D64BB37" w14:textId="77777777" w:rsidR="00C86459" w:rsidRDefault="00C86459" w:rsidP="00C86459">
            <w:pPr>
              <w:jc w:val="center"/>
            </w:pPr>
            <w:r>
              <w:rPr>
                <w:rFonts w:ascii="Open Sans" w:hAnsi="Open Sans" w:cs="Open Sans"/>
                <w:b/>
                <w:bCs/>
                <w:color w:val="000000"/>
                <w:sz w:val="20"/>
                <w:szCs w:val="20"/>
              </w:rPr>
              <w:t>Jurisdicción</w:t>
            </w:r>
          </w:p>
        </w:tc>
        <w:tc>
          <w:tcPr>
            <w:tcW w:w="2070" w:type="dxa"/>
            <w:tcBorders>
              <w:top w:val="single" w:sz="4" w:space="0" w:color="000000"/>
              <w:left w:val="single" w:sz="4" w:space="0" w:color="000000"/>
              <w:bottom w:val="single" w:sz="4" w:space="0" w:color="000000"/>
              <w:right w:val="single" w:sz="4" w:space="0" w:color="000000"/>
            </w:tcBorders>
            <w:shd w:val="clear" w:color="auto" w:fill="C0C0C0"/>
          </w:tcPr>
          <w:p w14:paraId="0C6EF9A3" w14:textId="77777777" w:rsidR="00C86459" w:rsidRDefault="00C86459" w:rsidP="00C86459">
            <w:pPr>
              <w:jc w:val="center"/>
            </w:pPr>
            <w:r>
              <w:rPr>
                <w:rFonts w:ascii="Open Sans" w:hAnsi="Open Sans" w:cs="Open Sans"/>
                <w:b/>
                <w:bCs/>
                <w:color w:val="000000"/>
                <w:sz w:val="20"/>
                <w:szCs w:val="20"/>
              </w:rPr>
              <w:t>Actividad</w:t>
            </w:r>
          </w:p>
        </w:tc>
      </w:tr>
      <w:tr w:rsidR="00C86459" w14:paraId="17957DE3" w14:textId="77777777" w:rsidTr="00C86459">
        <w:trPr>
          <w:trHeight w:val="240"/>
        </w:trPr>
        <w:tc>
          <w:tcPr>
            <w:tcW w:w="3225" w:type="dxa"/>
            <w:tcBorders>
              <w:left w:val="single" w:sz="4" w:space="0" w:color="000000"/>
              <w:bottom w:val="single" w:sz="4" w:space="0" w:color="000000"/>
            </w:tcBorders>
            <w:shd w:val="clear" w:color="auto" w:fill="auto"/>
          </w:tcPr>
          <w:p w14:paraId="714F24FF" w14:textId="77777777" w:rsidR="00C86459" w:rsidRPr="00A1554D" w:rsidRDefault="00C86459" w:rsidP="00C86459">
            <w:pPr>
              <w:rPr>
                <w:lang w:val="en-GB"/>
              </w:rPr>
            </w:pPr>
            <w:r w:rsidRPr="00A1554D">
              <w:rPr>
                <w:rFonts w:ascii="Open Sans" w:hAnsi="Open Sans" w:cs="Open Sans"/>
                <w:color w:val="00000A"/>
                <w:sz w:val="20"/>
                <w:szCs w:val="20"/>
                <w:lang w:val="en-GB"/>
              </w:rPr>
              <w:t>A&amp;L CF (Guernsey) Limited</w:t>
            </w:r>
          </w:p>
        </w:tc>
        <w:tc>
          <w:tcPr>
            <w:tcW w:w="3300" w:type="dxa"/>
            <w:tcBorders>
              <w:left w:val="single" w:sz="4" w:space="0" w:color="000000"/>
              <w:bottom w:val="single" w:sz="4" w:space="0" w:color="000000"/>
            </w:tcBorders>
            <w:shd w:val="clear" w:color="auto" w:fill="auto"/>
          </w:tcPr>
          <w:p w14:paraId="044B4A05" w14:textId="77777777" w:rsidR="00C86459" w:rsidRDefault="00C86459" w:rsidP="00C86459">
            <w:r>
              <w:rPr>
                <w:rFonts w:ascii="Open Sans" w:hAnsi="Open Sans" w:cs="Open Sans"/>
                <w:color w:val="00000A"/>
                <w:sz w:val="20"/>
                <w:szCs w:val="20"/>
              </w:rPr>
              <w:t>Guernsey</w:t>
            </w:r>
          </w:p>
        </w:tc>
        <w:tc>
          <w:tcPr>
            <w:tcW w:w="2070" w:type="dxa"/>
            <w:tcBorders>
              <w:left w:val="single" w:sz="4" w:space="0" w:color="000000"/>
              <w:bottom w:val="single" w:sz="4" w:space="0" w:color="000000"/>
              <w:right w:val="single" w:sz="4" w:space="0" w:color="000000"/>
            </w:tcBorders>
            <w:shd w:val="clear" w:color="auto" w:fill="auto"/>
          </w:tcPr>
          <w:p w14:paraId="57634D33" w14:textId="77777777" w:rsidR="00C86459" w:rsidRDefault="00C86459" w:rsidP="00C86459">
            <w:r>
              <w:rPr>
                <w:rFonts w:ascii="Open Sans" w:hAnsi="Open Sans" w:cs="Open Sans"/>
                <w:color w:val="00000A"/>
                <w:sz w:val="20"/>
                <w:szCs w:val="20"/>
              </w:rPr>
              <w:t>Leasing</w:t>
            </w:r>
          </w:p>
        </w:tc>
      </w:tr>
      <w:tr w:rsidR="00C86459" w14:paraId="2FCAC58B" w14:textId="77777777" w:rsidTr="00C86459">
        <w:trPr>
          <w:trHeight w:val="240"/>
        </w:trPr>
        <w:tc>
          <w:tcPr>
            <w:tcW w:w="3225" w:type="dxa"/>
            <w:tcBorders>
              <w:left w:val="single" w:sz="4" w:space="0" w:color="000000"/>
              <w:bottom w:val="single" w:sz="4" w:space="0" w:color="000000"/>
            </w:tcBorders>
            <w:shd w:val="clear" w:color="auto" w:fill="auto"/>
          </w:tcPr>
          <w:p w14:paraId="5D0B3791" w14:textId="77777777" w:rsidR="00C86459" w:rsidRPr="00A1554D" w:rsidRDefault="00C86459" w:rsidP="00C86459">
            <w:pPr>
              <w:rPr>
                <w:lang w:val="en-GB"/>
              </w:rPr>
            </w:pPr>
            <w:r w:rsidRPr="00A1554D">
              <w:rPr>
                <w:rFonts w:ascii="Open Sans" w:hAnsi="Open Sans" w:cs="Open Sans"/>
                <w:color w:val="00000A"/>
                <w:sz w:val="20"/>
                <w:szCs w:val="20"/>
                <w:lang w:val="en-GB"/>
              </w:rPr>
              <w:t>A&amp;L CF (Jersey) Limited</w:t>
            </w:r>
          </w:p>
        </w:tc>
        <w:tc>
          <w:tcPr>
            <w:tcW w:w="3300" w:type="dxa"/>
            <w:tcBorders>
              <w:left w:val="single" w:sz="4" w:space="0" w:color="000000"/>
              <w:bottom w:val="single" w:sz="4" w:space="0" w:color="000000"/>
            </w:tcBorders>
            <w:shd w:val="clear" w:color="auto" w:fill="auto"/>
          </w:tcPr>
          <w:p w14:paraId="125FA82B" w14:textId="77777777" w:rsidR="00C86459" w:rsidRDefault="00C86459" w:rsidP="00C86459">
            <w:r>
              <w:rPr>
                <w:rFonts w:ascii="Open Sans" w:hAnsi="Open Sans" w:cs="Open Sans"/>
                <w:color w:val="00000A"/>
                <w:sz w:val="20"/>
                <w:szCs w:val="20"/>
              </w:rPr>
              <w:t>Jersey</w:t>
            </w:r>
          </w:p>
        </w:tc>
        <w:tc>
          <w:tcPr>
            <w:tcW w:w="2070" w:type="dxa"/>
            <w:tcBorders>
              <w:left w:val="single" w:sz="4" w:space="0" w:color="000000"/>
              <w:bottom w:val="single" w:sz="4" w:space="0" w:color="000000"/>
              <w:right w:val="single" w:sz="4" w:space="0" w:color="000000"/>
            </w:tcBorders>
            <w:shd w:val="clear" w:color="auto" w:fill="auto"/>
          </w:tcPr>
          <w:p w14:paraId="7AC34213" w14:textId="77777777" w:rsidR="00C86459" w:rsidRDefault="00C86459" w:rsidP="00C86459">
            <w:r>
              <w:rPr>
                <w:rFonts w:ascii="Open Sans" w:hAnsi="Open Sans" w:cs="Open Sans"/>
                <w:color w:val="00000A"/>
                <w:sz w:val="20"/>
                <w:szCs w:val="20"/>
              </w:rPr>
              <w:t>Leasing</w:t>
            </w:r>
          </w:p>
        </w:tc>
      </w:tr>
      <w:tr w:rsidR="00C86459" w14:paraId="0F9ADF5D" w14:textId="77777777" w:rsidTr="00C86459">
        <w:trPr>
          <w:trHeight w:val="240"/>
        </w:trPr>
        <w:tc>
          <w:tcPr>
            <w:tcW w:w="3225" w:type="dxa"/>
            <w:tcBorders>
              <w:left w:val="single" w:sz="4" w:space="0" w:color="000000"/>
              <w:bottom w:val="single" w:sz="4" w:space="0" w:color="000000"/>
            </w:tcBorders>
            <w:shd w:val="clear" w:color="auto" w:fill="auto"/>
          </w:tcPr>
          <w:p w14:paraId="11093C0B" w14:textId="77777777" w:rsidR="00C86459" w:rsidRDefault="00C86459" w:rsidP="00C86459">
            <w:r>
              <w:rPr>
                <w:rFonts w:ascii="Open Sans" w:hAnsi="Open Sans" w:cs="Open Sans"/>
                <w:color w:val="00000A"/>
                <w:sz w:val="20"/>
                <w:szCs w:val="20"/>
              </w:rPr>
              <w:t>A&amp;L Services Limited</w:t>
            </w:r>
          </w:p>
        </w:tc>
        <w:tc>
          <w:tcPr>
            <w:tcW w:w="3300" w:type="dxa"/>
            <w:tcBorders>
              <w:left w:val="single" w:sz="4" w:space="0" w:color="000000"/>
              <w:bottom w:val="single" w:sz="4" w:space="0" w:color="000000"/>
            </w:tcBorders>
            <w:shd w:val="clear" w:color="auto" w:fill="auto"/>
          </w:tcPr>
          <w:p w14:paraId="2A511D9B" w14:textId="77777777" w:rsidR="00C86459" w:rsidRDefault="00C86459" w:rsidP="00C86459">
            <w:r>
              <w:rPr>
                <w:rFonts w:ascii="Open Sans" w:hAnsi="Open Sans" w:cs="Open Sans"/>
                <w:color w:val="00000A"/>
                <w:sz w:val="20"/>
                <w:szCs w:val="20"/>
              </w:rPr>
              <w:t>Isla de Man</w:t>
            </w:r>
          </w:p>
        </w:tc>
        <w:tc>
          <w:tcPr>
            <w:tcW w:w="2070" w:type="dxa"/>
            <w:tcBorders>
              <w:left w:val="single" w:sz="4" w:space="0" w:color="000000"/>
              <w:bottom w:val="single" w:sz="4" w:space="0" w:color="000000"/>
              <w:right w:val="single" w:sz="4" w:space="0" w:color="000000"/>
            </w:tcBorders>
            <w:shd w:val="clear" w:color="auto" w:fill="auto"/>
          </w:tcPr>
          <w:p w14:paraId="04E99236" w14:textId="77777777" w:rsidR="00C86459" w:rsidRDefault="00C86459" w:rsidP="00C86459">
            <w:r>
              <w:rPr>
                <w:rFonts w:ascii="Open Sans" w:hAnsi="Open Sans" w:cs="Open Sans"/>
                <w:color w:val="00000A"/>
                <w:sz w:val="20"/>
                <w:szCs w:val="20"/>
              </w:rPr>
              <w:t>Banca</w:t>
            </w:r>
          </w:p>
        </w:tc>
      </w:tr>
      <w:tr w:rsidR="00C86459" w14:paraId="248C30D9" w14:textId="77777777" w:rsidTr="00C86459">
        <w:trPr>
          <w:trHeight w:val="240"/>
        </w:trPr>
        <w:tc>
          <w:tcPr>
            <w:tcW w:w="3225" w:type="dxa"/>
            <w:tcBorders>
              <w:left w:val="single" w:sz="4" w:space="0" w:color="000000"/>
              <w:bottom w:val="single" w:sz="4" w:space="0" w:color="000000"/>
            </w:tcBorders>
            <w:shd w:val="clear" w:color="auto" w:fill="auto"/>
          </w:tcPr>
          <w:p w14:paraId="437799AC" w14:textId="77777777" w:rsidR="00C86459" w:rsidRDefault="00C86459" w:rsidP="00C86459">
            <w:r>
              <w:rPr>
                <w:rFonts w:ascii="Open Sans" w:hAnsi="Open Sans" w:cs="Open Sans"/>
                <w:color w:val="00000A"/>
                <w:sz w:val="20"/>
                <w:szCs w:val="20"/>
              </w:rPr>
              <w:t>Abbey National International Limited</w:t>
            </w:r>
          </w:p>
        </w:tc>
        <w:tc>
          <w:tcPr>
            <w:tcW w:w="3300" w:type="dxa"/>
            <w:tcBorders>
              <w:left w:val="single" w:sz="4" w:space="0" w:color="000000"/>
              <w:bottom w:val="single" w:sz="4" w:space="0" w:color="000000"/>
            </w:tcBorders>
            <w:shd w:val="clear" w:color="auto" w:fill="auto"/>
          </w:tcPr>
          <w:p w14:paraId="5E4F3FBD" w14:textId="77777777" w:rsidR="00C86459" w:rsidRDefault="00C86459" w:rsidP="00C86459">
            <w:r>
              <w:rPr>
                <w:rFonts w:ascii="Open Sans" w:hAnsi="Open Sans" w:cs="Open Sans"/>
                <w:color w:val="00000A"/>
                <w:sz w:val="20"/>
                <w:szCs w:val="20"/>
              </w:rPr>
              <w:t>Jersey</w:t>
            </w:r>
          </w:p>
        </w:tc>
        <w:tc>
          <w:tcPr>
            <w:tcW w:w="2070" w:type="dxa"/>
            <w:tcBorders>
              <w:left w:val="single" w:sz="4" w:space="0" w:color="000000"/>
              <w:bottom w:val="single" w:sz="4" w:space="0" w:color="000000"/>
              <w:right w:val="single" w:sz="4" w:space="0" w:color="000000"/>
            </w:tcBorders>
            <w:shd w:val="clear" w:color="auto" w:fill="auto"/>
          </w:tcPr>
          <w:p w14:paraId="214D10DA" w14:textId="77777777" w:rsidR="00C86459" w:rsidRDefault="00C86459" w:rsidP="00C86459">
            <w:r>
              <w:rPr>
                <w:rFonts w:ascii="Open Sans" w:hAnsi="Open Sans" w:cs="Open Sans"/>
                <w:color w:val="00000A"/>
                <w:sz w:val="20"/>
                <w:szCs w:val="20"/>
              </w:rPr>
              <w:t>Banca</w:t>
            </w:r>
          </w:p>
        </w:tc>
      </w:tr>
      <w:tr w:rsidR="00C86459" w14:paraId="694602D2" w14:textId="77777777" w:rsidTr="00C86459">
        <w:trPr>
          <w:trHeight w:val="240"/>
        </w:trPr>
        <w:tc>
          <w:tcPr>
            <w:tcW w:w="3225" w:type="dxa"/>
            <w:tcBorders>
              <w:left w:val="single" w:sz="4" w:space="0" w:color="000000"/>
              <w:bottom w:val="single" w:sz="4" w:space="0" w:color="000000"/>
            </w:tcBorders>
            <w:shd w:val="clear" w:color="auto" w:fill="auto"/>
          </w:tcPr>
          <w:p w14:paraId="313AAA68" w14:textId="77777777" w:rsidR="00C86459" w:rsidRPr="00A1554D" w:rsidRDefault="00C86459" w:rsidP="00C86459">
            <w:pPr>
              <w:rPr>
                <w:lang w:val="en-GB"/>
              </w:rPr>
            </w:pPr>
            <w:r w:rsidRPr="00A1554D">
              <w:rPr>
                <w:rFonts w:ascii="Open Sans" w:hAnsi="Open Sans" w:cs="Open Sans"/>
                <w:color w:val="00000A"/>
                <w:sz w:val="20"/>
                <w:szCs w:val="20"/>
                <w:lang w:val="en-GB"/>
              </w:rPr>
              <w:t>Abbey National North America LLC</w:t>
            </w:r>
          </w:p>
        </w:tc>
        <w:tc>
          <w:tcPr>
            <w:tcW w:w="3300" w:type="dxa"/>
            <w:tcBorders>
              <w:left w:val="single" w:sz="4" w:space="0" w:color="000000"/>
              <w:bottom w:val="single" w:sz="4" w:space="0" w:color="000000"/>
            </w:tcBorders>
            <w:shd w:val="clear" w:color="auto" w:fill="auto"/>
          </w:tcPr>
          <w:p w14:paraId="32A82CC0"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8C99AD6" w14:textId="77777777" w:rsidR="00C86459" w:rsidRDefault="00C86459" w:rsidP="00C86459">
            <w:r>
              <w:rPr>
                <w:rFonts w:ascii="Open Sans" w:hAnsi="Open Sans" w:cs="Open Sans"/>
                <w:color w:val="00000A"/>
                <w:sz w:val="20"/>
                <w:szCs w:val="20"/>
              </w:rPr>
              <w:t>Financiera</w:t>
            </w:r>
          </w:p>
        </w:tc>
      </w:tr>
      <w:tr w:rsidR="00C86459" w14:paraId="01E746BD" w14:textId="77777777" w:rsidTr="00C86459">
        <w:trPr>
          <w:trHeight w:val="240"/>
        </w:trPr>
        <w:tc>
          <w:tcPr>
            <w:tcW w:w="3225" w:type="dxa"/>
            <w:tcBorders>
              <w:left w:val="single" w:sz="4" w:space="0" w:color="000000"/>
              <w:bottom w:val="single" w:sz="4" w:space="0" w:color="000000"/>
            </w:tcBorders>
            <w:shd w:val="clear" w:color="auto" w:fill="auto"/>
          </w:tcPr>
          <w:p w14:paraId="3DE70E87" w14:textId="77777777" w:rsidR="00C86459" w:rsidRDefault="00C86459" w:rsidP="00C86459">
            <w:r>
              <w:rPr>
                <w:rFonts w:ascii="Open Sans" w:hAnsi="Open Sans" w:cs="Open Sans"/>
                <w:color w:val="00000A"/>
                <w:sz w:val="20"/>
                <w:szCs w:val="20"/>
              </w:rPr>
              <w:t>ALIL Services Limited</w:t>
            </w:r>
          </w:p>
        </w:tc>
        <w:tc>
          <w:tcPr>
            <w:tcW w:w="3300" w:type="dxa"/>
            <w:tcBorders>
              <w:left w:val="single" w:sz="4" w:space="0" w:color="000000"/>
              <w:bottom w:val="single" w:sz="4" w:space="0" w:color="000000"/>
            </w:tcBorders>
            <w:shd w:val="clear" w:color="auto" w:fill="auto"/>
          </w:tcPr>
          <w:p w14:paraId="64251B85" w14:textId="77777777" w:rsidR="00C86459" w:rsidRDefault="00C86459" w:rsidP="00C86459">
            <w:r>
              <w:rPr>
                <w:rFonts w:ascii="Open Sans" w:hAnsi="Open Sans" w:cs="Open Sans"/>
                <w:color w:val="00000A"/>
                <w:sz w:val="20"/>
                <w:szCs w:val="20"/>
              </w:rPr>
              <w:t>Isla de Man</w:t>
            </w:r>
          </w:p>
        </w:tc>
        <w:tc>
          <w:tcPr>
            <w:tcW w:w="2070" w:type="dxa"/>
            <w:tcBorders>
              <w:left w:val="single" w:sz="4" w:space="0" w:color="000000"/>
              <w:bottom w:val="single" w:sz="4" w:space="0" w:color="000000"/>
              <w:right w:val="single" w:sz="4" w:space="0" w:color="000000"/>
            </w:tcBorders>
            <w:shd w:val="clear" w:color="auto" w:fill="auto"/>
          </w:tcPr>
          <w:p w14:paraId="7E9DAC48" w14:textId="77777777" w:rsidR="00C86459" w:rsidRDefault="00C86459" w:rsidP="00C86459">
            <w:r>
              <w:rPr>
                <w:rFonts w:ascii="Open Sans" w:hAnsi="Open Sans" w:cs="Open Sans"/>
                <w:color w:val="00000A"/>
                <w:sz w:val="20"/>
                <w:szCs w:val="20"/>
              </w:rPr>
              <w:t>Servicios</w:t>
            </w:r>
          </w:p>
        </w:tc>
      </w:tr>
      <w:tr w:rsidR="00C86459" w14:paraId="798A70F2" w14:textId="77777777" w:rsidTr="00C86459">
        <w:trPr>
          <w:trHeight w:val="240"/>
        </w:trPr>
        <w:tc>
          <w:tcPr>
            <w:tcW w:w="3225" w:type="dxa"/>
            <w:tcBorders>
              <w:left w:val="single" w:sz="4" w:space="0" w:color="000000"/>
              <w:bottom w:val="single" w:sz="4" w:space="0" w:color="000000"/>
            </w:tcBorders>
            <w:shd w:val="clear" w:color="auto" w:fill="auto"/>
          </w:tcPr>
          <w:p w14:paraId="20916873" w14:textId="77777777" w:rsidR="00C86459" w:rsidRPr="00A1554D" w:rsidRDefault="00C86459" w:rsidP="00C86459">
            <w:pPr>
              <w:rPr>
                <w:lang w:val="en-GB"/>
              </w:rPr>
            </w:pPr>
            <w:r w:rsidRPr="00A1554D">
              <w:rPr>
                <w:rFonts w:ascii="Open Sans" w:hAnsi="Open Sans" w:cs="Open Sans"/>
                <w:color w:val="00000A"/>
                <w:sz w:val="20"/>
                <w:szCs w:val="20"/>
                <w:lang w:val="en-GB"/>
              </w:rPr>
              <w:t>Allfunds Bank International S.A.</w:t>
            </w:r>
          </w:p>
        </w:tc>
        <w:tc>
          <w:tcPr>
            <w:tcW w:w="3300" w:type="dxa"/>
            <w:tcBorders>
              <w:left w:val="single" w:sz="4" w:space="0" w:color="000000"/>
              <w:bottom w:val="single" w:sz="4" w:space="0" w:color="000000"/>
            </w:tcBorders>
            <w:shd w:val="clear" w:color="auto" w:fill="auto"/>
          </w:tcPr>
          <w:p w14:paraId="0560C891"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6CFB2369" w14:textId="77777777" w:rsidR="00C86459" w:rsidRDefault="00C86459" w:rsidP="00C86459">
            <w:r>
              <w:rPr>
                <w:rFonts w:ascii="Open Sans" w:hAnsi="Open Sans" w:cs="Open Sans"/>
                <w:color w:val="00000A"/>
                <w:sz w:val="20"/>
                <w:szCs w:val="20"/>
              </w:rPr>
              <w:t>Banca</w:t>
            </w:r>
          </w:p>
        </w:tc>
      </w:tr>
      <w:tr w:rsidR="00C86459" w14:paraId="1BDD17CC" w14:textId="77777777" w:rsidTr="00C86459">
        <w:trPr>
          <w:trHeight w:val="240"/>
        </w:trPr>
        <w:tc>
          <w:tcPr>
            <w:tcW w:w="3225" w:type="dxa"/>
            <w:tcBorders>
              <w:left w:val="single" w:sz="4" w:space="0" w:color="000000"/>
              <w:bottom w:val="single" w:sz="4" w:space="0" w:color="000000"/>
            </w:tcBorders>
            <w:shd w:val="clear" w:color="auto" w:fill="FFFFFF"/>
          </w:tcPr>
          <w:p w14:paraId="4F1BF337" w14:textId="77777777" w:rsidR="00C86459" w:rsidRPr="00A1554D" w:rsidRDefault="00C86459" w:rsidP="00C86459">
            <w:pPr>
              <w:rPr>
                <w:lang w:val="en-GB"/>
              </w:rPr>
            </w:pPr>
            <w:r w:rsidRPr="00A1554D">
              <w:rPr>
                <w:rFonts w:ascii="Open Sans" w:hAnsi="Open Sans" w:cs="Open Sans"/>
                <w:color w:val="00000A"/>
                <w:sz w:val="20"/>
                <w:szCs w:val="20"/>
                <w:lang w:val="en-GB"/>
              </w:rPr>
              <w:t xml:space="preserve">Allfunds International Schweiz S.A. </w:t>
            </w:r>
          </w:p>
        </w:tc>
        <w:tc>
          <w:tcPr>
            <w:tcW w:w="3300" w:type="dxa"/>
            <w:tcBorders>
              <w:left w:val="single" w:sz="4" w:space="0" w:color="000000"/>
              <w:bottom w:val="single" w:sz="4" w:space="0" w:color="000000"/>
            </w:tcBorders>
            <w:shd w:val="clear" w:color="auto" w:fill="auto"/>
          </w:tcPr>
          <w:p w14:paraId="7E4E7632" w14:textId="77777777" w:rsidR="00C86459" w:rsidRDefault="00C86459" w:rsidP="00C86459">
            <w:r>
              <w:rPr>
                <w:rFonts w:ascii="Open Sans" w:hAnsi="Open Sans" w:cs="Open Sans"/>
                <w:color w:val="00000A"/>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2319479D" w14:textId="77777777" w:rsidR="00C86459" w:rsidRDefault="00C86459" w:rsidP="00C86459">
            <w:r>
              <w:rPr>
                <w:rFonts w:ascii="Open Sans" w:hAnsi="Open Sans" w:cs="Open Sans"/>
                <w:color w:val="00000A"/>
                <w:sz w:val="20"/>
                <w:szCs w:val="20"/>
              </w:rPr>
              <w:t>Servicios</w:t>
            </w:r>
          </w:p>
        </w:tc>
      </w:tr>
      <w:tr w:rsidR="00C86459" w14:paraId="582AC9AE" w14:textId="77777777" w:rsidTr="00C86459">
        <w:trPr>
          <w:trHeight w:val="240"/>
        </w:trPr>
        <w:tc>
          <w:tcPr>
            <w:tcW w:w="3225" w:type="dxa"/>
            <w:tcBorders>
              <w:left w:val="single" w:sz="4" w:space="0" w:color="000000"/>
              <w:bottom w:val="single" w:sz="4" w:space="0" w:color="000000"/>
            </w:tcBorders>
            <w:shd w:val="clear" w:color="auto" w:fill="auto"/>
          </w:tcPr>
          <w:p w14:paraId="0BE6A4B6" w14:textId="77777777" w:rsidR="00C86459" w:rsidRDefault="00C86459" w:rsidP="00C86459">
            <w:r>
              <w:rPr>
                <w:rFonts w:ascii="Open Sans" w:hAnsi="Open Sans" w:cs="Open Sans"/>
                <w:color w:val="00000A"/>
                <w:sz w:val="20"/>
                <w:szCs w:val="20"/>
              </w:rPr>
              <w:t>Argenline, S.A.</w:t>
            </w:r>
          </w:p>
        </w:tc>
        <w:tc>
          <w:tcPr>
            <w:tcW w:w="3300" w:type="dxa"/>
            <w:tcBorders>
              <w:left w:val="single" w:sz="4" w:space="0" w:color="000000"/>
              <w:bottom w:val="single" w:sz="4" w:space="0" w:color="000000"/>
            </w:tcBorders>
            <w:shd w:val="clear" w:color="auto" w:fill="auto"/>
          </w:tcPr>
          <w:p w14:paraId="2A49850E"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618220A2" w14:textId="77777777" w:rsidR="00C86459" w:rsidRDefault="00C86459" w:rsidP="00C86459">
            <w:r>
              <w:rPr>
                <w:rFonts w:ascii="Open Sans" w:hAnsi="Open Sans" w:cs="Open Sans"/>
                <w:color w:val="00000A"/>
                <w:sz w:val="20"/>
                <w:szCs w:val="20"/>
              </w:rPr>
              <w:t>Financiera</w:t>
            </w:r>
          </w:p>
        </w:tc>
      </w:tr>
      <w:tr w:rsidR="00C86459" w14:paraId="70CAAA59" w14:textId="77777777" w:rsidTr="00C86459">
        <w:trPr>
          <w:trHeight w:val="240"/>
        </w:trPr>
        <w:tc>
          <w:tcPr>
            <w:tcW w:w="3225" w:type="dxa"/>
            <w:tcBorders>
              <w:left w:val="single" w:sz="4" w:space="0" w:color="000000"/>
              <w:bottom w:val="single" w:sz="4" w:space="0" w:color="000000"/>
            </w:tcBorders>
            <w:shd w:val="clear" w:color="auto" w:fill="auto"/>
          </w:tcPr>
          <w:p w14:paraId="7C880873" w14:textId="77777777" w:rsidR="00C86459" w:rsidRDefault="00C86459" w:rsidP="00C86459">
            <w:r>
              <w:rPr>
                <w:rFonts w:ascii="Open Sans" w:hAnsi="Open Sans" w:cs="Open Sans"/>
                <w:sz w:val="20"/>
                <w:szCs w:val="20"/>
              </w:rPr>
              <w:t>Atlantes Mortgage No1 plc</w:t>
            </w:r>
          </w:p>
        </w:tc>
        <w:tc>
          <w:tcPr>
            <w:tcW w:w="3300" w:type="dxa"/>
            <w:tcBorders>
              <w:left w:val="single" w:sz="4" w:space="0" w:color="000000"/>
              <w:bottom w:val="single" w:sz="4" w:space="0" w:color="000000"/>
            </w:tcBorders>
            <w:shd w:val="clear" w:color="auto" w:fill="auto"/>
          </w:tcPr>
          <w:p w14:paraId="09B927BB" w14:textId="77777777" w:rsidR="00C86459" w:rsidRDefault="00C86459" w:rsidP="00C86459">
            <w:r>
              <w:rPr>
                <w:rFonts w:ascii="Open Sans" w:hAnsi="Open Sans" w:cs="Open Sans"/>
                <w:sz w:val="20"/>
                <w:szCs w:val="20"/>
              </w:rPr>
              <w:t>Irlanda</w:t>
            </w:r>
          </w:p>
        </w:tc>
        <w:tc>
          <w:tcPr>
            <w:tcW w:w="2070" w:type="dxa"/>
            <w:tcBorders>
              <w:left w:val="single" w:sz="4" w:space="0" w:color="000000"/>
              <w:bottom w:val="single" w:sz="4" w:space="0" w:color="000000"/>
              <w:right w:val="single" w:sz="4" w:space="0" w:color="000000"/>
            </w:tcBorders>
            <w:shd w:val="clear" w:color="auto" w:fill="auto"/>
          </w:tcPr>
          <w:p w14:paraId="1F35DF77" w14:textId="77777777" w:rsidR="00C86459" w:rsidRDefault="00C86459" w:rsidP="00C86459">
            <w:r>
              <w:rPr>
                <w:rFonts w:ascii="Open Sans" w:hAnsi="Open Sans" w:cs="Open Sans"/>
                <w:sz w:val="20"/>
                <w:szCs w:val="20"/>
              </w:rPr>
              <w:t>Titulización</w:t>
            </w:r>
          </w:p>
        </w:tc>
      </w:tr>
      <w:tr w:rsidR="00C86459" w14:paraId="0244B048" w14:textId="77777777" w:rsidTr="00C86459">
        <w:trPr>
          <w:trHeight w:val="240"/>
        </w:trPr>
        <w:tc>
          <w:tcPr>
            <w:tcW w:w="3225" w:type="dxa"/>
            <w:tcBorders>
              <w:left w:val="single" w:sz="4" w:space="0" w:color="000000"/>
              <w:bottom w:val="single" w:sz="4" w:space="0" w:color="000000"/>
            </w:tcBorders>
            <w:shd w:val="clear" w:color="auto" w:fill="auto"/>
          </w:tcPr>
          <w:p w14:paraId="29F61B88" w14:textId="77777777" w:rsidR="00C86459" w:rsidRPr="00A1554D" w:rsidRDefault="00C86459" w:rsidP="00C86459">
            <w:pPr>
              <w:rPr>
                <w:lang w:val="en-GB"/>
              </w:rPr>
            </w:pPr>
            <w:r w:rsidRPr="00A1554D">
              <w:rPr>
                <w:rFonts w:ascii="Open Sans" w:hAnsi="Open Sans" w:cs="Open Sans"/>
                <w:sz w:val="20"/>
                <w:szCs w:val="20"/>
                <w:lang w:val="en-GB"/>
              </w:rPr>
              <w:t>Auto ABS Swiss League 2013 Gmbh</w:t>
            </w:r>
          </w:p>
        </w:tc>
        <w:tc>
          <w:tcPr>
            <w:tcW w:w="3300" w:type="dxa"/>
            <w:tcBorders>
              <w:left w:val="single" w:sz="4" w:space="0" w:color="000000"/>
              <w:bottom w:val="single" w:sz="4" w:space="0" w:color="000000"/>
            </w:tcBorders>
            <w:shd w:val="clear" w:color="auto" w:fill="auto"/>
          </w:tcPr>
          <w:p w14:paraId="618B0C57" w14:textId="77777777" w:rsidR="00C86459" w:rsidRDefault="00C86459" w:rsidP="00C86459">
            <w:r>
              <w:rPr>
                <w:rFonts w:ascii="Open Sans" w:hAnsi="Open Sans" w:cs="Open Sans"/>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2E6560F0" w14:textId="77777777" w:rsidR="00C86459" w:rsidRDefault="00C86459" w:rsidP="00C86459">
            <w:r>
              <w:rPr>
                <w:rFonts w:ascii="Open Sans" w:hAnsi="Open Sans" w:cs="Open Sans"/>
                <w:sz w:val="20"/>
                <w:szCs w:val="20"/>
              </w:rPr>
              <w:t>Titulización</w:t>
            </w:r>
          </w:p>
        </w:tc>
      </w:tr>
      <w:tr w:rsidR="00C86459" w14:paraId="2B2CB505" w14:textId="77777777" w:rsidTr="00C86459">
        <w:trPr>
          <w:trHeight w:val="240"/>
        </w:trPr>
        <w:tc>
          <w:tcPr>
            <w:tcW w:w="3225" w:type="dxa"/>
            <w:tcBorders>
              <w:left w:val="single" w:sz="4" w:space="0" w:color="000000"/>
              <w:bottom w:val="single" w:sz="4" w:space="0" w:color="000000"/>
            </w:tcBorders>
            <w:shd w:val="clear" w:color="auto" w:fill="auto"/>
          </w:tcPr>
          <w:p w14:paraId="202B6C83" w14:textId="77777777" w:rsidR="00C86459" w:rsidRDefault="00C86459" w:rsidP="00C86459">
            <w:r>
              <w:rPr>
                <w:rFonts w:ascii="Open Sans" w:hAnsi="Open Sans" w:cs="Open Sans"/>
                <w:color w:val="00000A"/>
                <w:sz w:val="20"/>
                <w:szCs w:val="20"/>
              </w:rPr>
              <w:t>Banco Santander (Panamá), S.A.</w:t>
            </w:r>
          </w:p>
        </w:tc>
        <w:tc>
          <w:tcPr>
            <w:tcW w:w="3300" w:type="dxa"/>
            <w:tcBorders>
              <w:left w:val="single" w:sz="4" w:space="0" w:color="000000"/>
              <w:bottom w:val="single" w:sz="4" w:space="0" w:color="000000"/>
            </w:tcBorders>
            <w:shd w:val="clear" w:color="auto" w:fill="auto"/>
          </w:tcPr>
          <w:p w14:paraId="3CEE9377" w14:textId="77777777" w:rsidR="00C86459" w:rsidRDefault="00C86459" w:rsidP="00C86459">
            <w:r>
              <w:rPr>
                <w:rFonts w:ascii="Open Sans" w:hAnsi="Open Sans" w:cs="Open Sans"/>
                <w:color w:val="00000A"/>
                <w:sz w:val="20"/>
                <w:szCs w:val="20"/>
              </w:rPr>
              <w:t>Panamá</w:t>
            </w:r>
          </w:p>
        </w:tc>
        <w:tc>
          <w:tcPr>
            <w:tcW w:w="2070" w:type="dxa"/>
            <w:tcBorders>
              <w:left w:val="single" w:sz="4" w:space="0" w:color="000000"/>
              <w:bottom w:val="single" w:sz="4" w:space="0" w:color="000000"/>
              <w:right w:val="single" w:sz="4" w:space="0" w:color="000000"/>
            </w:tcBorders>
            <w:shd w:val="clear" w:color="auto" w:fill="auto"/>
          </w:tcPr>
          <w:p w14:paraId="279C1DB7" w14:textId="77777777" w:rsidR="00C86459" w:rsidRDefault="00C86459" w:rsidP="00C86459">
            <w:r>
              <w:rPr>
                <w:rFonts w:ascii="Open Sans" w:hAnsi="Open Sans" w:cs="Open Sans"/>
                <w:color w:val="00000A"/>
                <w:sz w:val="20"/>
                <w:szCs w:val="20"/>
              </w:rPr>
              <w:t>Banca</w:t>
            </w:r>
          </w:p>
        </w:tc>
      </w:tr>
      <w:tr w:rsidR="00C86459" w14:paraId="141203DF" w14:textId="77777777" w:rsidTr="00C86459">
        <w:trPr>
          <w:trHeight w:val="240"/>
        </w:trPr>
        <w:tc>
          <w:tcPr>
            <w:tcW w:w="3225" w:type="dxa"/>
            <w:tcBorders>
              <w:left w:val="single" w:sz="4" w:space="0" w:color="000000"/>
              <w:bottom w:val="single" w:sz="4" w:space="0" w:color="000000"/>
            </w:tcBorders>
            <w:shd w:val="clear" w:color="auto" w:fill="auto"/>
          </w:tcPr>
          <w:p w14:paraId="6D295BDA" w14:textId="77777777" w:rsidR="00C86459" w:rsidRDefault="00C86459" w:rsidP="00C86459">
            <w:r>
              <w:rPr>
                <w:rFonts w:ascii="Open Sans" w:hAnsi="Open Sans" w:cs="Open Sans"/>
                <w:color w:val="00000A"/>
                <w:sz w:val="20"/>
                <w:szCs w:val="20"/>
              </w:rPr>
              <w:t>Banco Santander (Suisse) SA</w:t>
            </w:r>
          </w:p>
        </w:tc>
        <w:tc>
          <w:tcPr>
            <w:tcW w:w="3300" w:type="dxa"/>
            <w:tcBorders>
              <w:left w:val="single" w:sz="4" w:space="0" w:color="000000"/>
              <w:bottom w:val="single" w:sz="4" w:space="0" w:color="000000"/>
            </w:tcBorders>
            <w:shd w:val="clear" w:color="auto" w:fill="auto"/>
          </w:tcPr>
          <w:p w14:paraId="66B5AEA2" w14:textId="77777777" w:rsidR="00C86459" w:rsidRDefault="00C86459" w:rsidP="00C86459">
            <w:r>
              <w:rPr>
                <w:rFonts w:ascii="Open Sans" w:hAnsi="Open Sans" w:cs="Open Sans"/>
                <w:color w:val="00000A"/>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62F9612E" w14:textId="77777777" w:rsidR="00C86459" w:rsidRDefault="00C86459" w:rsidP="00C86459">
            <w:r>
              <w:rPr>
                <w:rFonts w:ascii="Open Sans" w:hAnsi="Open Sans" w:cs="Open Sans"/>
                <w:color w:val="00000A"/>
                <w:sz w:val="20"/>
                <w:szCs w:val="20"/>
              </w:rPr>
              <w:t>Banca</w:t>
            </w:r>
          </w:p>
        </w:tc>
      </w:tr>
      <w:tr w:rsidR="00C86459" w14:paraId="0F15C9C6" w14:textId="77777777" w:rsidTr="00C86459">
        <w:trPr>
          <w:trHeight w:val="240"/>
        </w:trPr>
        <w:tc>
          <w:tcPr>
            <w:tcW w:w="3225" w:type="dxa"/>
            <w:tcBorders>
              <w:left w:val="single" w:sz="4" w:space="0" w:color="000000"/>
              <w:bottom w:val="single" w:sz="4" w:space="0" w:color="000000"/>
            </w:tcBorders>
            <w:shd w:val="clear" w:color="auto" w:fill="auto"/>
          </w:tcPr>
          <w:p w14:paraId="122B338B" w14:textId="77777777" w:rsidR="00C86459" w:rsidRDefault="00C86459" w:rsidP="00C86459">
            <w:r>
              <w:rPr>
                <w:rFonts w:ascii="Open Sans" w:hAnsi="Open Sans" w:cs="Open Sans"/>
                <w:color w:val="00000A"/>
                <w:sz w:val="20"/>
                <w:szCs w:val="20"/>
              </w:rPr>
              <w:t>Banco Santander Bahamas International Limited</w:t>
            </w:r>
          </w:p>
        </w:tc>
        <w:tc>
          <w:tcPr>
            <w:tcW w:w="3300" w:type="dxa"/>
            <w:tcBorders>
              <w:left w:val="single" w:sz="4" w:space="0" w:color="000000"/>
              <w:bottom w:val="single" w:sz="4" w:space="0" w:color="000000"/>
            </w:tcBorders>
            <w:shd w:val="clear" w:color="auto" w:fill="auto"/>
          </w:tcPr>
          <w:p w14:paraId="1E651172"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265B13DD" w14:textId="77777777" w:rsidR="00C86459" w:rsidRDefault="00C86459" w:rsidP="00C86459">
            <w:r>
              <w:rPr>
                <w:rFonts w:ascii="Open Sans" w:hAnsi="Open Sans" w:cs="Open Sans"/>
                <w:color w:val="00000A"/>
                <w:sz w:val="20"/>
                <w:szCs w:val="20"/>
              </w:rPr>
              <w:t>Banca</w:t>
            </w:r>
          </w:p>
        </w:tc>
      </w:tr>
      <w:tr w:rsidR="00C86459" w14:paraId="50E593A9" w14:textId="77777777" w:rsidTr="00C86459">
        <w:trPr>
          <w:trHeight w:val="240"/>
        </w:trPr>
        <w:tc>
          <w:tcPr>
            <w:tcW w:w="3225" w:type="dxa"/>
            <w:tcBorders>
              <w:left w:val="single" w:sz="4" w:space="0" w:color="000000"/>
              <w:bottom w:val="single" w:sz="4" w:space="0" w:color="000000"/>
            </w:tcBorders>
            <w:shd w:val="clear" w:color="auto" w:fill="auto"/>
          </w:tcPr>
          <w:p w14:paraId="51EA6527" w14:textId="77777777" w:rsidR="00C86459" w:rsidRDefault="00C86459" w:rsidP="00C86459">
            <w:r>
              <w:rPr>
                <w:rFonts w:ascii="Open Sans" w:hAnsi="Open Sans" w:cs="Open Sans"/>
                <w:color w:val="00000A"/>
                <w:sz w:val="20"/>
                <w:szCs w:val="20"/>
              </w:rPr>
              <w:t>Banco Santander Puerto Rico</w:t>
            </w:r>
          </w:p>
        </w:tc>
        <w:tc>
          <w:tcPr>
            <w:tcW w:w="3300" w:type="dxa"/>
            <w:tcBorders>
              <w:left w:val="single" w:sz="4" w:space="0" w:color="000000"/>
              <w:bottom w:val="single" w:sz="4" w:space="0" w:color="000000"/>
            </w:tcBorders>
            <w:shd w:val="clear" w:color="auto" w:fill="auto"/>
          </w:tcPr>
          <w:p w14:paraId="28377A29" w14:textId="77777777" w:rsidR="00C86459" w:rsidRDefault="00C86459" w:rsidP="00C86459">
            <w:r>
              <w:rPr>
                <w:rFonts w:ascii="Open Sans" w:hAnsi="Open Sans" w:cs="Open Sans"/>
                <w:color w:val="00000A"/>
                <w:sz w:val="20"/>
                <w:szCs w:val="20"/>
              </w:rPr>
              <w:t xml:space="preserve">Puerto Rico </w:t>
            </w:r>
          </w:p>
        </w:tc>
        <w:tc>
          <w:tcPr>
            <w:tcW w:w="2070" w:type="dxa"/>
            <w:tcBorders>
              <w:left w:val="single" w:sz="4" w:space="0" w:color="000000"/>
              <w:bottom w:val="single" w:sz="4" w:space="0" w:color="000000"/>
              <w:right w:val="single" w:sz="4" w:space="0" w:color="000000"/>
            </w:tcBorders>
            <w:shd w:val="clear" w:color="auto" w:fill="auto"/>
          </w:tcPr>
          <w:p w14:paraId="73564D6F" w14:textId="77777777" w:rsidR="00C86459" w:rsidRDefault="00C86459" w:rsidP="00C86459">
            <w:r>
              <w:rPr>
                <w:rFonts w:ascii="Open Sans" w:hAnsi="Open Sans" w:cs="Open Sans"/>
                <w:color w:val="00000A"/>
                <w:sz w:val="20"/>
                <w:szCs w:val="20"/>
              </w:rPr>
              <w:t>Banca</w:t>
            </w:r>
          </w:p>
        </w:tc>
      </w:tr>
      <w:tr w:rsidR="00C86459" w14:paraId="385BE393" w14:textId="77777777" w:rsidTr="00C86459">
        <w:trPr>
          <w:trHeight w:val="240"/>
        </w:trPr>
        <w:tc>
          <w:tcPr>
            <w:tcW w:w="3225" w:type="dxa"/>
            <w:tcBorders>
              <w:left w:val="single" w:sz="4" w:space="0" w:color="000000"/>
              <w:bottom w:val="single" w:sz="4" w:space="0" w:color="000000"/>
            </w:tcBorders>
            <w:shd w:val="clear" w:color="auto" w:fill="auto"/>
          </w:tcPr>
          <w:p w14:paraId="125E8972" w14:textId="77777777" w:rsidR="00C86459" w:rsidRDefault="00C86459" w:rsidP="00C86459">
            <w:r>
              <w:rPr>
                <w:rFonts w:ascii="Open Sans" w:hAnsi="Open Sans" w:cs="Open Sans"/>
                <w:color w:val="00000A"/>
                <w:sz w:val="20"/>
                <w:szCs w:val="20"/>
              </w:rPr>
              <w:t>Banco Santander, S.A.</w:t>
            </w:r>
          </w:p>
        </w:tc>
        <w:tc>
          <w:tcPr>
            <w:tcW w:w="3300" w:type="dxa"/>
            <w:tcBorders>
              <w:left w:val="single" w:sz="4" w:space="0" w:color="000000"/>
              <w:bottom w:val="single" w:sz="4" w:space="0" w:color="000000"/>
            </w:tcBorders>
            <w:shd w:val="clear" w:color="auto" w:fill="auto"/>
          </w:tcPr>
          <w:p w14:paraId="4FCBA617"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52AFABBA" w14:textId="77777777" w:rsidR="00C86459" w:rsidRDefault="00C86459" w:rsidP="00C86459">
            <w:r>
              <w:rPr>
                <w:rFonts w:ascii="Open Sans" w:hAnsi="Open Sans" w:cs="Open Sans"/>
                <w:color w:val="00000A"/>
                <w:sz w:val="20"/>
                <w:szCs w:val="20"/>
              </w:rPr>
              <w:t>Banca</w:t>
            </w:r>
          </w:p>
        </w:tc>
      </w:tr>
      <w:tr w:rsidR="00C86459" w14:paraId="0C9F9567" w14:textId="77777777" w:rsidTr="00C86459">
        <w:trPr>
          <w:trHeight w:val="240"/>
        </w:trPr>
        <w:tc>
          <w:tcPr>
            <w:tcW w:w="3225" w:type="dxa"/>
            <w:tcBorders>
              <w:left w:val="single" w:sz="4" w:space="0" w:color="000000"/>
              <w:bottom w:val="single" w:sz="4" w:space="0" w:color="000000"/>
            </w:tcBorders>
            <w:shd w:val="clear" w:color="auto" w:fill="auto"/>
          </w:tcPr>
          <w:p w14:paraId="3836528C" w14:textId="77777777" w:rsidR="00C86459" w:rsidRDefault="00C86459" w:rsidP="00C86459">
            <w:r>
              <w:rPr>
                <w:rFonts w:ascii="Open Sans" w:hAnsi="Open Sans" w:cs="Open Sans"/>
                <w:color w:val="00000A"/>
                <w:sz w:val="20"/>
                <w:szCs w:val="20"/>
              </w:rPr>
              <w:t>Banco Santander (Brasil) S.A. (Sucursal)</w:t>
            </w:r>
          </w:p>
        </w:tc>
        <w:tc>
          <w:tcPr>
            <w:tcW w:w="3300" w:type="dxa"/>
            <w:tcBorders>
              <w:left w:val="single" w:sz="4" w:space="0" w:color="000000"/>
              <w:bottom w:val="single" w:sz="4" w:space="0" w:color="000000"/>
            </w:tcBorders>
            <w:shd w:val="clear" w:color="auto" w:fill="auto"/>
          </w:tcPr>
          <w:p w14:paraId="17099E07" w14:textId="77777777" w:rsidR="00C86459" w:rsidRDefault="00C86459" w:rsidP="00C86459">
            <w:r>
              <w:rPr>
                <w:rFonts w:ascii="Open Sans" w:hAnsi="Open Sans" w:cs="Open Sans"/>
                <w:color w:val="00000A"/>
                <w:sz w:val="20"/>
                <w:szCs w:val="20"/>
              </w:rPr>
              <w:t xml:space="preserve">Islas Caimán </w:t>
            </w:r>
          </w:p>
        </w:tc>
        <w:tc>
          <w:tcPr>
            <w:tcW w:w="2070" w:type="dxa"/>
            <w:tcBorders>
              <w:left w:val="single" w:sz="4" w:space="0" w:color="000000"/>
              <w:bottom w:val="single" w:sz="4" w:space="0" w:color="000000"/>
              <w:right w:val="single" w:sz="4" w:space="0" w:color="000000"/>
            </w:tcBorders>
            <w:shd w:val="clear" w:color="auto" w:fill="auto"/>
          </w:tcPr>
          <w:p w14:paraId="67002BDC" w14:textId="77777777" w:rsidR="00C86459" w:rsidRDefault="00C86459" w:rsidP="00C86459">
            <w:r>
              <w:rPr>
                <w:rFonts w:ascii="Open Sans" w:hAnsi="Open Sans" w:cs="Open Sans"/>
                <w:color w:val="00000A"/>
                <w:sz w:val="20"/>
                <w:szCs w:val="20"/>
              </w:rPr>
              <w:t>Banca</w:t>
            </w:r>
          </w:p>
        </w:tc>
      </w:tr>
      <w:tr w:rsidR="00C86459" w14:paraId="7FF93655" w14:textId="77777777" w:rsidTr="00C86459">
        <w:trPr>
          <w:trHeight w:val="240"/>
        </w:trPr>
        <w:tc>
          <w:tcPr>
            <w:tcW w:w="3225" w:type="dxa"/>
            <w:tcBorders>
              <w:left w:val="single" w:sz="4" w:space="0" w:color="000000"/>
              <w:bottom w:val="single" w:sz="4" w:space="0" w:color="000000"/>
            </w:tcBorders>
            <w:shd w:val="clear" w:color="auto" w:fill="auto"/>
          </w:tcPr>
          <w:p w14:paraId="61335B45" w14:textId="77777777" w:rsidR="00C86459" w:rsidRDefault="00C86459" w:rsidP="00C86459">
            <w:r>
              <w:rPr>
                <w:rFonts w:ascii="Open Sans" w:hAnsi="Open Sans" w:cs="Open Sans"/>
                <w:sz w:val="20"/>
                <w:szCs w:val="20"/>
              </w:rPr>
              <w:t>Banesto Holdings, Ltd</w:t>
            </w:r>
          </w:p>
        </w:tc>
        <w:tc>
          <w:tcPr>
            <w:tcW w:w="3300" w:type="dxa"/>
            <w:tcBorders>
              <w:left w:val="single" w:sz="4" w:space="0" w:color="000000"/>
              <w:bottom w:val="single" w:sz="4" w:space="0" w:color="000000"/>
            </w:tcBorders>
            <w:shd w:val="clear" w:color="auto" w:fill="auto"/>
          </w:tcPr>
          <w:p w14:paraId="0A415184" w14:textId="77777777" w:rsidR="00C86459" w:rsidRDefault="00C86459" w:rsidP="00C86459">
            <w:r>
              <w:rPr>
                <w:rFonts w:ascii="Open Sans" w:hAnsi="Open Sans" w:cs="Open Sans"/>
                <w:sz w:val="20"/>
                <w:szCs w:val="20"/>
              </w:rPr>
              <w:t>Guernsey</w:t>
            </w:r>
            <w:r>
              <w:rPr>
                <w:rFonts w:ascii="Open Sans" w:hAnsi="Open Sans" w:cs="Open Sans"/>
                <w:sz w:val="20"/>
                <w:szCs w:val="20"/>
              </w:rPr>
              <w:tab/>
            </w:r>
          </w:p>
        </w:tc>
        <w:tc>
          <w:tcPr>
            <w:tcW w:w="2070" w:type="dxa"/>
            <w:tcBorders>
              <w:left w:val="single" w:sz="4" w:space="0" w:color="000000"/>
              <w:bottom w:val="single" w:sz="4" w:space="0" w:color="000000"/>
              <w:right w:val="single" w:sz="4" w:space="0" w:color="000000"/>
            </w:tcBorders>
            <w:shd w:val="clear" w:color="auto" w:fill="auto"/>
          </w:tcPr>
          <w:p w14:paraId="06E0FA91" w14:textId="77777777" w:rsidR="00C86459" w:rsidRDefault="00C86459" w:rsidP="00C86459">
            <w:r>
              <w:rPr>
                <w:rFonts w:ascii="Open Sans" w:hAnsi="Open Sans" w:cs="Open Sans"/>
                <w:sz w:val="20"/>
                <w:szCs w:val="20"/>
              </w:rPr>
              <w:t>Mobiliaria</w:t>
            </w:r>
          </w:p>
        </w:tc>
      </w:tr>
      <w:tr w:rsidR="00C86459" w14:paraId="2DF99417" w14:textId="77777777" w:rsidTr="00C86459">
        <w:trPr>
          <w:trHeight w:val="240"/>
        </w:trPr>
        <w:tc>
          <w:tcPr>
            <w:tcW w:w="3225" w:type="dxa"/>
            <w:tcBorders>
              <w:left w:val="single" w:sz="4" w:space="0" w:color="000000"/>
              <w:bottom w:val="single" w:sz="4" w:space="0" w:color="000000"/>
            </w:tcBorders>
            <w:shd w:val="clear" w:color="auto" w:fill="auto"/>
          </w:tcPr>
          <w:p w14:paraId="16A65AC9" w14:textId="77777777" w:rsidR="00C86459" w:rsidRDefault="00C86459" w:rsidP="00C86459">
            <w:r>
              <w:rPr>
                <w:rFonts w:ascii="Open Sans" w:hAnsi="Open Sans" w:cs="Open Sans"/>
                <w:color w:val="00000A"/>
                <w:sz w:val="20"/>
                <w:szCs w:val="20"/>
              </w:rPr>
              <w:t>Banif International Bank Ltd</w:t>
            </w:r>
          </w:p>
        </w:tc>
        <w:tc>
          <w:tcPr>
            <w:tcW w:w="3300" w:type="dxa"/>
            <w:tcBorders>
              <w:left w:val="single" w:sz="4" w:space="0" w:color="000000"/>
              <w:bottom w:val="single" w:sz="4" w:space="0" w:color="000000"/>
            </w:tcBorders>
            <w:shd w:val="clear" w:color="auto" w:fill="auto"/>
          </w:tcPr>
          <w:p w14:paraId="06F586E6"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1444C9AC" w14:textId="77777777" w:rsidR="00C86459" w:rsidRDefault="00C86459" w:rsidP="00C86459">
            <w:r>
              <w:rPr>
                <w:rFonts w:ascii="Open Sans" w:hAnsi="Open Sans" w:cs="Open Sans"/>
                <w:color w:val="00000A"/>
                <w:sz w:val="20"/>
                <w:szCs w:val="20"/>
              </w:rPr>
              <w:t>Banca</w:t>
            </w:r>
          </w:p>
        </w:tc>
      </w:tr>
      <w:tr w:rsidR="00C86459" w14:paraId="42072D97" w14:textId="77777777" w:rsidTr="00C86459">
        <w:trPr>
          <w:trHeight w:val="240"/>
        </w:trPr>
        <w:tc>
          <w:tcPr>
            <w:tcW w:w="3225" w:type="dxa"/>
            <w:tcBorders>
              <w:left w:val="single" w:sz="4" w:space="0" w:color="000000"/>
              <w:bottom w:val="single" w:sz="4" w:space="0" w:color="000000"/>
            </w:tcBorders>
            <w:shd w:val="clear" w:color="auto" w:fill="auto"/>
          </w:tcPr>
          <w:p w14:paraId="5AB31091" w14:textId="77777777" w:rsidR="00C86459" w:rsidRDefault="00C86459" w:rsidP="00C86459">
            <w:r>
              <w:rPr>
                <w:rFonts w:ascii="Open Sans" w:hAnsi="Open Sans" w:cs="Open Sans"/>
                <w:color w:val="00000A"/>
                <w:sz w:val="20"/>
                <w:szCs w:val="20"/>
              </w:rPr>
              <w:t>Bayones ECA Limited</w:t>
            </w:r>
          </w:p>
        </w:tc>
        <w:tc>
          <w:tcPr>
            <w:tcW w:w="3300" w:type="dxa"/>
            <w:tcBorders>
              <w:left w:val="single" w:sz="4" w:space="0" w:color="000000"/>
              <w:bottom w:val="single" w:sz="4" w:space="0" w:color="000000"/>
            </w:tcBorders>
            <w:shd w:val="clear" w:color="auto" w:fill="auto"/>
          </w:tcPr>
          <w:p w14:paraId="228F7F31"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760F3F95" w14:textId="77777777" w:rsidR="00C86459" w:rsidRDefault="00C86459" w:rsidP="00C86459">
            <w:r>
              <w:rPr>
                <w:rFonts w:ascii="Open Sans" w:hAnsi="Open Sans" w:cs="Open Sans"/>
                <w:color w:val="00000A"/>
                <w:sz w:val="20"/>
                <w:szCs w:val="20"/>
              </w:rPr>
              <w:t>Financiera</w:t>
            </w:r>
          </w:p>
        </w:tc>
      </w:tr>
      <w:tr w:rsidR="00C86459" w14:paraId="223AA067" w14:textId="77777777" w:rsidTr="00C86459">
        <w:trPr>
          <w:trHeight w:val="240"/>
        </w:trPr>
        <w:tc>
          <w:tcPr>
            <w:tcW w:w="3225" w:type="dxa"/>
            <w:tcBorders>
              <w:left w:val="single" w:sz="4" w:space="0" w:color="000000"/>
              <w:bottom w:val="single" w:sz="4" w:space="0" w:color="000000"/>
            </w:tcBorders>
            <w:shd w:val="clear" w:color="auto" w:fill="auto"/>
          </w:tcPr>
          <w:p w14:paraId="286CDA71" w14:textId="77777777" w:rsidR="00C86459" w:rsidRDefault="00C86459" w:rsidP="00C86459">
            <w:r>
              <w:rPr>
                <w:rFonts w:ascii="Open Sans" w:hAnsi="Open Sans" w:cs="Open Sans"/>
                <w:color w:val="00000A"/>
                <w:sz w:val="20"/>
                <w:szCs w:val="20"/>
              </w:rPr>
              <w:t>Besaya ECA Limited</w:t>
            </w:r>
          </w:p>
        </w:tc>
        <w:tc>
          <w:tcPr>
            <w:tcW w:w="3300" w:type="dxa"/>
            <w:tcBorders>
              <w:left w:val="single" w:sz="4" w:space="0" w:color="000000"/>
              <w:bottom w:val="single" w:sz="4" w:space="0" w:color="000000"/>
            </w:tcBorders>
            <w:shd w:val="clear" w:color="auto" w:fill="auto"/>
          </w:tcPr>
          <w:p w14:paraId="7304D9B2"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1C2067CB" w14:textId="77777777" w:rsidR="00C86459" w:rsidRDefault="00C86459" w:rsidP="00C86459">
            <w:r>
              <w:rPr>
                <w:rFonts w:ascii="Open Sans" w:hAnsi="Open Sans" w:cs="Open Sans"/>
                <w:color w:val="00000A"/>
                <w:sz w:val="20"/>
                <w:szCs w:val="20"/>
              </w:rPr>
              <w:t>Financiera</w:t>
            </w:r>
          </w:p>
        </w:tc>
      </w:tr>
      <w:tr w:rsidR="00C86459" w14:paraId="05551B76" w14:textId="77777777" w:rsidTr="00C86459">
        <w:trPr>
          <w:trHeight w:val="240"/>
        </w:trPr>
        <w:tc>
          <w:tcPr>
            <w:tcW w:w="3225" w:type="dxa"/>
            <w:tcBorders>
              <w:left w:val="single" w:sz="4" w:space="0" w:color="000000"/>
              <w:bottom w:val="single" w:sz="4" w:space="0" w:color="000000"/>
            </w:tcBorders>
            <w:shd w:val="clear" w:color="auto" w:fill="auto"/>
          </w:tcPr>
          <w:p w14:paraId="3E285819" w14:textId="77777777" w:rsidR="00C86459" w:rsidRDefault="00C86459" w:rsidP="00C86459">
            <w:r>
              <w:rPr>
                <w:rFonts w:ascii="Open Sans" w:hAnsi="Open Sans" w:cs="Open Sans"/>
                <w:color w:val="00000A"/>
                <w:sz w:val="20"/>
                <w:szCs w:val="20"/>
              </w:rPr>
              <w:t>Bilkreditt 1 Limited</w:t>
            </w:r>
          </w:p>
        </w:tc>
        <w:tc>
          <w:tcPr>
            <w:tcW w:w="3300" w:type="dxa"/>
            <w:tcBorders>
              <w:left w:val="single" w:sz="4" w:space="0" w:color="000000"/>
              <w:bottom w:val="single" w:sz="4" w:space="0" w:color="000000"/>
            </w:tcBorders>
            <w:shd w:val="clear" w:color="auto" w:fill="auto"/>
          </w:tcPr>
          <w:p w14:paraId="2CC89844"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268632BC" w14:textId="77777777" w:rsidR="00C86459" w:rsidRDefault="00C86459" w:rsidP="00C86459">
            <w:r>
              <w:rPr>
                <w:rFonts w:ascii="Open Sans" w:hAnsi="Open Sans" w:cs="Open Sans"/>
                <w:color w:val="00000A"/>
                <w:sz w:val="20"/>
                <w:szCs w:val="20"/>
              </w:rPr>
              <w:t xml:space="preserve">Titulización </w:t>
            </w:r>
          </w:p>
        </w:tc>
      </w:tr>
      <w:tr w:rsidR="00C86459" w14:paraId="79B67E6D" w14:textId="77777777" w:rsidTr="00C86459">
        <w:trPr>
          <w:trHeight w:val="240"/>
        </w:trPr>
        <w:tc>
          <w:tcPr>
            <w:tcW w:w="3225" w:type="dxa"/>
            <w:tcBorders>
              <w:left w:val="single" w:sz="4" w:space="0" w:color="000000"/>
              <w:bottom w:val="single" w:sz="4" w:space="0" w:color="000000"/>
            </w:tcBorders>
            <w:shd w:val="clear" w:color="auto" w:fill="auto"/>
          </w:tcPr>
          <w:p w14:paraId="2D0B2415" w14:textId="77777777" w:rsidR="00C86459" w:rsidRDefault="00C86459" w:rsidP="00C86459">
            <w:r>
              <w:rPr>
                <w:rFonts w:ascii="Open Sans" w:hAnsi="Open Sans" w:cs="Open Sans"/>
                <w:color w:val="00000A"/>
                <w:sz w:val="20"/>
                <w:szCs w:val="20"/>
              </w:rPr>
              <w:t>Bilkreditt 2 Limited</w:t>
            </w:r>
          </w:p>
        </w:tc>
        <w:tc>
          <w:tcPr>
            <w:tcW w:w="3300" w:type="dxa"/>
            <w:tcBorders>
              <w:left w:val="single" w:sz="4" w:space="0" w:color="000000"/>
              <w:bottom w:val="single" w:sz="4" w:space="0" w:color="000000"/>
            </w:tcBorders>
            <w:shd w:val="clear" w:color="auto" w:fill="auto"/>
          </w:tcPr>
          <w:p w14:paraId="1F740589"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1050C52" w14:textId="77777777" w:rsidR="00C86459" w:rsidRDefault="00C86459" w:rsidP="00C86459">
            <w:r>
              <w:rPr>
                <w:rFonts w:ascii="Open Sans" w:hAnsi="Open Sans" w:cs="Open Sans"/>
                <w:color w:val="00000A"/>
                <w:sz w:val="20"/>
                <w:szCs w:val="20"/>
              </w:rPr>
              <w:t xml:space="preserve">Titulización </w:t>
            </w:r>
          </w:p>
        </w:tc>
      </w:tr>
      <w:tr w:rsidR="00C86459" w14:paraId="3ACBA604" w14:textId="77777777" w:rsidTr="00C86459">
        <w:trPr>
          <w:trHeight w:val="240"/>
        </w:trPr>
        <w:tc>
          <w:tcPr>
            <w:tcW w:w="3225" w:type="dxa"/>
            <w:tcBorders>
              <w:left w:val="single" w:sz="4" w:space="0" w:color="000000"/>
              <w:bottom w:val="single" w:sz="4" w:space="0" w:color="000000"/>
            </w:tcBorders>
            <w:shd w:val="clear" w:color="auto" w:fill="auto"/>
          </w:tcPr>
          <w:p w14:paraId="691D173A" w14:textId="77777777" w:rsidR="00C86459" w:rsidRDefault="00C86459" w:rsidP="00C86459">
            <w:r>
              <w:rPr>
                <w:rFonts w:ascii="Open Sans" w:hAnsi="Open Sans" w:cs="Open Sans"/>
                <w:color w:val="00000A"/>
                <w:sz w:val="20"/>
                <w:szCs w:val="20"/>
              </w:rPr>
              <w:t>Bilkreditt 3 Limited</w:t>
            </w:r>
          </w:p>
        </w:tc>
        <w:tc>
          <w:tcPr>
            <w:tcW w:w="3300" w:type="dxa"/>
            <w:tcBorders>
              <w:left w:val="single" w:sz="4" w:space="0" w:color="000000"/>
              <w:bottom w:val="single" w:sz="4" w:space="0" w:color="000000"/>
            </w:tcBorders>
            <w:shd w:val="clear" w:color="auto" w:fill="auto"/>
          </w:tcPr>
          <w:p w14:paraId="1C110130"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53673E3E" w14:textId="77777777" w:rsidR="00C86459" w:rsidRDefault="00C86459" w:rsidP="00C86459">
            <w:r>
              <w:rPr>
                <w:rFonts w:ascii="Open Sans" w:hAnsi="Open Sans" w:cs="Open Sans"/>
                <w:color w:val="00000A"/>
                <w:sz w:val="20"/>
                <w:szCs w:val="20"/>
              </w:rPr>
              <w:t xml:space="preserve">Titulización </w:t>
            </w:r>
          </w:p>
        </w:tc>
      </w:tr>
      <w:tr w:rsidR="00C86459" w14:paraId="43D50439" w14:textId="77777777" w:rsidTr="00C86459">
        <w:trPr>
          <w:trHeight w:val="240"/>
        </w:trPr>
        <w:tc>
          <w:tcPr>
            <w:tcW w:w="3225" w:type="dxa"/>
            <w:tcBorders>
              <w:left w:val="single" w:sz="4" w:space="0" w:color="000000"/>
              <w:bottom w:val="single" w:sz="4" w:space="0" w:color="000000"/>
            </w:tcBorders>
            <w:shd w:val="clear" w:color="auto" w:fill="auto"/>
          </w:tcPr>
          <w:p w14:paraId="31ACCAF6" w14:textId="77777777" w:rsidR="00C86459" w:rsidRDefault="00C86459" w:rsidP="00C86459">
            <w:r>
              <w:rPr>
                <w:rFonts w:ascii="Open Sans" w:hAnsi="Open Sans" w:cs="Open Sans"/>
                <w:color w:val="00000A"/>
                <w:sz w:val="20"/>
                <w:szCs w:val="20"/>
              </w:rPr>
              <w:t>Bilkreditt 4 Limited</w:t>
            </w:r>
          </w:p>
        </w:tc>
        <w:tc>
          <w:tcPr>
            <w:tcW w:w="3300" w:type="dxa"/>
            <w:tcBorders>
              <w:left w:val="single" w:sz="4" w:space="0" w:color="000000"/>
              <w:bottom w:val="single" w:sz="4" w:space="0" w:color="000000"/>
            </w:tcBorders>
            <w:shd w:val="clear" w:color="auto" w:fill="auto"/>
          </w:tcPr>
          <w:p w14:paraId="4CF2FB3C"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209D0BA9" w14:textId="77777777" w:rsidR="00C86459" w:rsidRDefault="00C86459" w:rsidP="00C86459">
            <w:r>
              <w:rPr>
                <w:rFonts w:ascii="Open Sans" w:hAnsi="Open Sans" w:cs="Open Sans"/>
                <w:color w:val="00000A"/>
                <w:sz w:val="20"/>
                <w:szCs w:val="20"/>
              </w:rPr>
              <w:t xml:space="preserve">Titulización </w:t>
            </w:r>
          </w:p>
        </w:tc>
      </w:tr>
      <w:tr w:rsidR="00C86459" w14:paraId="382850A4" w14:textId="77777777" w:rsidTr="00C86459">
        <w:trPr>
          <w:trHeight w:val="240"/>
        </w:trPr>
        <w:tc>
          <w:tcPr>
            <w:tcW w:w="3225" w:type="dxa"/>
            <w:tcBorders>
              <w:left w:val="single" w:sz="4" w:space="0" w:color="000000"/>
              <w:bottom w:val="single" w:sz="4" w:space="0" w:color="000000"/>
            </w:tcBorders>
            <w:shd w:val="clear" w:color="auto" w:fill="auto"/>
          </w:tcPr>
          <w:p w14:paraId="5E0FD087" w14:textId="77777777" w:rsidR="00C86459" w:rsidRDefault="00C86459" w:rsidP="00C86459">
            <w:r>
              <w:rPr>
                <w:rFonts w:ascii="Open Sans" w:hAnsi="Open Sans" w:cs="Open Sans"/>
                <w:color w:val="00000A"/>
                <w:sz w:val="20"/>
                <w:szCs w:val="20"/>
              </w:rPr>
              <w:t>Bilkreditt 5 Limited</w:t>
            </w:r>
          </w:p>
        </w:tc>
        <w:tc>
          <w:tcPr>
            <w:tcW w:w="3300" w:type="dxa"/>
            <w:tcBorders>
              <w:left w:val="single" w:sz="4" w:space="0" w:color="000000"/>
              <w:bottom w:val="single" w:sz="4" w:space="0" w:color="000000"/>
            </w:tcBorders>
            <w:shd w:val="clear" w:color="auto" w:fill="auto"/>
          </w:tcPr>
          <w:p w14:paraId="1FBFB25F"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182AAC7F" w14:textId="77777777" w:rsidR="00C86459" w:rsidRDefault="00C86459" w:rsidP="00C86459">
            <w:r>
              <w:rPr>
                <w:rFonts w:ascii="Open Sans" w:hAnsi="Open Sans" w:cs="Open Sans"/>
                <w:color w:val="00000A"/>
                <w:sz w:val="20"/>
                <w:szCs w:val="20"/>
              </w:rPr>
              <w:t xml:space="preserve">Titulización </w:t>
            </w:r>
          </w:p>
        </w:tc>
      </w:tr>
      <w:tr w:rsidR="00C86459" w14:paraId="4785BDFD" w14:textId="77777777" w:rsidTr="00C86459">
        <w:trPr>
          <w:trHeight w:val="240"/>
        </w:trPr>
        <w:tc>
          <w:tcPr>
            <w:tcW w:w="3225" w:type="dxa"/>
            <w:tcBorders>
              <w:left w:val="single" w:sz="4" w:space="0" w:color="000000"/>
              <w:bottom w:val="single" w:sz="4" w:space="0" w:color="000000"/>
            </w:tcBorders>
            <w:shd w:val="clear" w:color="auto" w:fill="auto"/>
          </w:tcPr>
          <w:p w14:paraId="7DAA6882" w14:textId="77777777" w:rsidR="00C86459" w:rsidRDefault="00C86459" w:rsidP="00C86459">
            <w:r>
              <w:rPr>
                <w:rFonts w:ascii="Open Sans" w:hAnsi="Open Sans" w:cs="Open Sans"/>
                <w:color w:val="00000A"/>
                <w:sz w:val="20"/>
                <w:szCs w:val="20"/>
              </w:rPr>
              <w:t>Bilkreditt 6 Limited</w:t>
            </w:r>
          </w:p>
        </w:tc>
        <w:tc>
          <w:tcPr>
            <w:tcW w:w="3300" w:type="dxa"/>
            <w:tcBorders>
              <w:left w:val="single" w:sz="4" w:space="0" w:color="000000"/>
              <w:bottom w:val="single" w:sz="4" w:space="0" w:color="000000"/>
            </w:tcBorders>
            <w:shd w:val="clear" w:color="auto" w:fill="auto"/>
          </w:tcPr>
          <w:p w14:paraId="0D7847A1"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5A609D77" w14:textId="77777777" w:rsidR="00C86459" w:rsidRDefault="00C86459" w:rsidP="00C86459">
            <w:r>
              <w:rPr>
                <w:rFonts w:ascii="Open Sans" w:hAnsi="Open Sans" w:cs="Open Sans"/>
                <w:color w:val="00000A"/>
                <w:sz w:val="20"/>
                <w:szCs w:val="20"/>
              </w:rPr>
              <w:t xml:space="preserve">Titulización </w:t>
            </w:r>
          </w:p>
        </w:tc>
      </w:tr>
      <w:tr w:rsidR="00C86459" w14:paraId="1871499F" w14:textId="77777777" w:rsidTr="00C86459">
        <w:trPr>
          <w:trHeight w:val="240"/>
        </w:trPr>
        <w:tc>
          <w:tcPr>
            <w:tcW w:w="3225" w:type="dxa"/>
            <w:tcBorders>
              <w:left w:val="single" w:sz="4" w:space="0" w:color="000000"/>
              <w:bottom w:val="single" w:sz="4" w:space="0" w:color="000000"/>
            </w:tcBorders>
            <w:shd w:val="clear" w:color="auto" w:fill="auto"/>
          </w:tcPr>
          <w:p w14:paraId="70D671FE" w14:textId="77777777" w:rsidR="00C86459" w:rsidRPr="00A1554D" w:rsidRDefault="00C86459" w:rsidP="00C86459">
            <w:pPr>
              <w:rPr>
                <w:lang w:val="en-GB"/>
              </w:rPr>
            </w:pPr>
            <w:r w:rsidRPr="00A1554D">
              <w:rPr>
                <w:rFonts w:ascii="Open Sans" w:hAnsi="Open Sans" w:cs="Open Sans"/>
                <w:sz w:val="20"/>
                <w:szCs w:val="20"/>
                <w:lang w:val="en-GB"/>
              </w:rPr>
              <w:t>Bilkreditt 7 Limited Designated Activity Company</w:t>
            </w:r>
          </w:p>
        </w:tc>
        <w:tc>
          <w:tcPr>
            <w:tcW w:w="3300" w:type="dxa"/>
            <w:tcBorders>
              <w:left w:val="single" w:sz="4" w:space="0" w:color="000000"/>
              <w:bottom w:val="single" w:sz="4" w:space="0" w:color="000000"/>
            </w:tcBorders>
            <w:shd w:val="clear" w:color="auto" w:fill="auto"/>
          </w:tcPr>
          <w:p w14:paraId="6DE00A5E" w14:textId="77777777" w:rsidR="00C86459" w:rsidRDefault="00C86459" w:rsidP="00C86459">
            <w:r>
              <w:rPr>
                <w:rFonts w:ascii="Open Sans" w:hAnsi="Open Sans" w:cs="Open Sans"/>
                <w:sz w:val="20"/>
                <w:szCs w:val="20"/>
              </w:rPr>
              <w:t>Irlanda</w:t>
            </w:r>
          </w:p>
        </w:tc>
        <w:tc>
          <w:tcPr>
            <w:tcW w:w="2070" w:type="dxa"/>
            <w:tcBorders>
              <w:left w:val="single" w:sz="4" w:space="0" w:color="000000"/>
              <w:bottom w:val="single" w:sz="4" w:space="0" w:color="000000"/>
              <w:right w:val="single" w:sz="4" w:space="0" w:color="000000"/>
            </w:tcBorders>
            <w:shd w:val="clear" w:color="auto" w:fill="auto"/>
          </w:tcPr>
          <w:p w14:paraId="46FAA3F8" w14:textId="77777777" w:rsidR="00C86459" w:rsidRDefault="00C86459" w:rsidP="00C86459">
            <w:r>
              <w:rPr>
                <w:rFonts w:ascii="Open Sans" w:hAnsi="Open Sans" w:cs="Open Sans"/>
                <w:sz w:val="20"/>
                <w:szCs w:val="20"/>
              </w:rPr>
              <w:t xml:space="preserve">Titulización </w:t>
            </w:r>
          </w:p>
        </w:tc>
      </w:tr>
      <w:tr w:rsidR="00C86459" w14:paraId="74007924" w14:textId="77777777" w:rsidTr="00C86459">
        <w:trPr>
          <w:trHeight w:val="240"/>
        </w:trPr>
        <w:tc>
          <w:tcPr>
            <w:tcW w:w="3225" w:type="dxa"/>
            <w:tcBorders>
              <w:left w:val="single" w:sz="4" w:space="0" w:color="000000"/>
              <w:bottom w:val="single" w:sz="4" w:space="0" w:color="000000"/>
            </w:tcBorders>
            <w:shd w:val="clear" w:color="auto" w:fill="auto"/>
          </w:tcPr>
          <w:p w14:paraId="4D221B26" w14:textId="77777777" w:rsidR="00C86459" w:rsidRDefault="00C86459" w:rsidP="00C86459">
            <w:r>
              <w:rPr>
                <w:rFonts w:ascii="Open Sans" w:hAnsi="Open Sans" w:cs="Open Sans"/>
                <w:color w:val="00000A"/>
                <w:sz w:val="20"/>
                <w:szCs w:val="20"/>
              </w:rPr>
              <w:t>BST International Bank, Inc.</w:t>
            </w:r>
          </w:p>
        </w:tc>
        <w:tc>
          <w:tcPr>
            <w:tcW w:w="3300" w:type="dxa"/>
            <w:tcBorders>
              <w:left w:val="single" w:sz="4" w:space="0" w:color="000000"/>
              <w:bottom w:val="single" w:sz="4" w:space="0" w:color="000000"/>
            </w:tcBorders>
            <w:shd w:val="clear" w:color="auto" w:fill="auto"/>
          </w:tcPr>
          <w:p w14:paraId="30785819" w14:textId="77777777" w:rsidR="00C86459" w:rsidRDefault="00C86459" w:rsidP="00C86459">
            <w:r>
              <w:rPr>
                <w:rFonts w:ascii="Open Sans" w:hAnsi="Open Sans" w:cs="Open Sans"/>
                <w:color w:val="00000A"/>
                <w:sz w:val="20"/>
                <w:szCs w:val="20"/>
              </w:rPr>
              <w:t xml:space="preserve">Puerto Rico </w:t>
            </w:r>
          </w:p>
        </w:tc>
        <w:tc>
          <w:tcPr>
            <w:tcW w:w="2070" w:type="dxa"/>
            <w:tcBorders>
              <w:left w:val="single" w:sz="4" w:space="0" w:color="000000"/>
              <w:bottom w:val="single" w:sz="4" w:space="0" w:color="000000"/>
              <w:right w:val="single" w:sz="4" w:space="0" w:color="000000"/>
            </w:tcBorders>
            <w:shd w:val="clear" w:color="auto" w:fill="auto"/>
          </w:tcPr>
          <w:p w14:paraId="13D88203" w14:textId="77777777" w:rsidR="00C86459" w:rsidRDefault="00C86459" w:rsidP="00C86459">
            <w:r>
              <w:rPr>
                <w:rFonts w:ascii="Open Sans" w:hAnsi="Open Sans" w:cs="Open Sans"/>
                <w:color w:val="00000A"/>
                <w:sz w:val="20"/>
                <w:szCs w:val="20"/>
              </w:rPr>
              <w:t>Banca</w:t>
            </w:r>
          </w:p>
        </w:tc>
      </w:tr>
      <w:tr w:rsidR="00C86459" w14:paraId="48BE40E3" w14:textId="77777777" w:rsidTr="00C86459">
        <w:trPr>
          <w:trHeight w:val="240"/>
        </w:trPr>
        <w:tc>
          <w:tcPr>
            <w:tcW w:w="3225" w:type="dxa"/>
            <w:tcBorders>
              <w:left w:val="single" w:sz="4" w:space="0" w:color="000000"/>
              <w:bottom w:val="single" w:sz="4" w:space="0" w:color="000000"/>
            </w:tcBorders>
            <w:shd w:val="clear" w:color="auto" w:fill="auto"/>
          </w:tcPr>
          <w:p w14:paraId="513441EE" w14:textId="77777777" w:rsidR="00C86459" w:rsidRDefault="00C86459" w:rsidP="00C86459">
            <w:r>
              <w:rPr>
                <w:rFonts w:ascii="Open Sans" w:hAnsi="Open Sans" w:cs="Open Sans"/>
                <w:color w:val="00000A"/>
                <w:sz w:val="20"/>
                <w:szCs w:val="20"/>
              </w:rPr>
              <w:t>Capital Street Delaware LP</w:t>
            </w:r>
          </w:p>
        </w:tc>
        <w:tc>
          <w:tcPr>
            <w:tcW w:w="3300" w:type="dxa"/>
            <w:tcBorders>
              <w:left w:val="single" w:sz="4" w:space="0" w:color="000000"/>
              <w:bottom w:val="single" w:sz="4" w:space="0" w:color="000000"/>
            </w:tcBorders>
            <w:shd w:val="clear" w:color="auto" w:fill="auto"/>
          </w:tcPr>
          <w:p w14:paraId="5CD21802"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2EFE8AF" w14:textId="77777777" w:rsidR="00C86459" w:rsidRDefault="00C86459" w:rsidP="00C86459">
            <w:r>
              <w:rPr>
                <w:rFonts w:ascii="Open Sans" w:hAnsi="Open Sans" w:cs="Open Sans"/>
                <w:color w:val="00000A"/>
                <w:sz w:val="20"/>
                <w:szCs w:val="20"/>
              </w:rPr>
              <w:t>Sociedad de cartera</w:t>
            </w:r>
          </w:p>
        </w:tc>
      </w:tr>
      <w:tr w:rsidR="00C86459" w14:paraId="40CBC20C" w14:textId="77777777" w:rsidTr="00C86459">
        <w:trPr>
          <w:trHeight w:val="240"/>
        </w:trPr>
        <w:tc>
          <w:tcPr>
            <w:tcW w:w="3225" w:type="dxa"/>
            <w:tcBorders>
              <w:left w:val="single" w:sz="4" w:space="0" w:color="000000"/>
              <w:bottom w:val="single" w:sz="4" w:space="0" w:color="000000"/>
            </w:tcBorders>
            <w:shd w:val="clear" w:color="auto" w:fill="auto"/>
          </w:tcPr>
          <w:p w14:paraId="45CC30F7" w14:textId="77777777" w:rsidR="00C86459" w:rsidRDefault="00C86459" w:rsidP="00C86459">
            <w:r>
              <w:rPr>
                <w:rFonts w:ascii="Open Sans" w:hAnsi="Open Sans" w:cs="Open Sans"/>
                <w:color w:val="00000A"/>
                <w:sz w:val="20"/>
                <w:szCs w:val="20"/>
              </w:rPr>
              <w:t>Capital Street Holdings LLC</w:t>
            </w:r>
          </w:p>
        </w:tc>
        <w:tc>
          <w:tcPr>
            <w:tcW w:w="3300" w:type="dxa"/>
            <w:tcBorders>
              <w:left w:val="single" w:sz="4" w:space="0" w:color="000000"/>
              <w:bottom w:val="single" w:sz="4" w:space="0" w:color="000000"/>
            </w:tcBorders>
            <w:shd w:val="clear" w:color="auto" w:fill="auto"/>
          </w:tcPr>
          <w:p w14:paraId="457F3ECF"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D996530" w14:textId="77777777" w:rsidR="00C86459" w:rsidRDefault="00C86459" w:rsidP="00C86459">
            <w:r>
              <w:rPr>
                <w:rFonts w:ascii="Open Sans" w:hAnsi="Open Sans" w:cs="Open Sans"/>
                <w:color w:val="00000A"/>
                <w:sz w:val="20"/>
                <w:szCs w:val="20"/>
              </w:rPr>
              <w:t>Sociedad de cartera</w:t>
            </w:r>
          </w:p>
        </w:tc>
      </w:tr>
      <w:tr w:rsidR="00C86459" w14:paraId="522A5D13" w14:textId="77777777" w:rsidTr="00C86459">
        <w:trPr>
          <w:trHeight w:val="240"/>
        </w:trPr>
        <w:tc>
          <w:tcPr>
            <w:tcW w:w="3225" w:type="dxa"/>
            <w:tcBorders>
              <w:left w:val="single" w:sz="4" w:space="0" w:color="000000"/>
              <w:bottom w:val="single" w:sz="4" w:space="0" w:color="000000"/>
            </w:tcBorders>
            <w:shd w:val="clear" w:color="auto" w:fill="auto"/>
          </w:tcPr>
          <w:p w14:paraId="63E01781" w14:textId="77777777" w:rsidR="00C86459" w:rsidRPr="00A1554D" w:rsidRDefault="00C86459" w:rsidP="00C86459">
            <w:pPr>
              <w:rPr>
                <w:lang w:val="en-GB"/>
              </w:rPr>
            </w:pPr>
            <w:r w:rsidRPr="00A1554D">
              <w:rPr>
                <w:rFonts w:ascii="Open Sans" w:hAnsi="Open Sans" w:cs="Open Sans"/>
                <w:color w:val="00000A"/>
                <w:sz w:val="20"/>
                <w:szCs w:val="20"/>
                <w:lang w:val="en-GB"/>
              </w:rPr>
              <w:t>Capital Street REIT Holdings, LLC</w:t>
            </w:r>
          </w:p>
        </w:tc>
        <w:tc>
          <w:tcPr>
            <w:tcW w:w="3300" w:type="dxa"/>
            <w:tcBorders>
              <w:left w:val="single" w:sz="4" w:space="0" w:color="000000"/>
              <w:bottom w:val="single" w:sz="4" w:space="0" w:color="000000"/>
            </w:tcBorders>
            <w:shd w:val="clear" w:color="auto" w:fill="auto"/>
          </w:tcPr>
          <w:p w14:paraId="26F2A534"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5B8809A" w14:textId="77777777" w:rsidR="00C86459" w:rsidRDefault="00C86459" w:rsidP="00C86459">
            <w:r>
              <w:rPr>
                <w:rFonts w:ascii="Open Sans" w:hAnsi="Open Sans" w:cs="Open Sans"/>
                <w:color w:val="00000A"/>
                <w:sz w:val="20"/>
                <w:szCs w:val="20"/>
              </w:rPr>
              <w:t>Sociedad de cartera</w:t>
            </w:r>
          </w:p>
        </w:tc>
      </w:tr>
      <w:tr w:rsidR="00C86459" w14:paraId="76A83395" w14:textId="77777777" w:rsidTr="00C86459">
        <w:trPr>
          <w:trHeight w:val="240"/>
        </w:trPr>
        <w:tc>
          <w:tcPr>
            <w:tcW w:w="3225" w:type="dxa"/>
            <w:tcBorders>
              <w:left w:val="single" w:sz="4" w:space="0" w:color="000000"/>
              <w:bottom w:val="single" w:sz="4" w:space="0" w:color="000000"/>
            </w:tcBorders>
            <w:shd w:val="clear" w:color="auto" w:fill="auto"/>
          </w:tcPr>
          <w:p w14:paraId="3E418688" w14:textId="77777777" w:rsidR="00C86459" w:rsidRDefault="00C86459" w:rsidP="00C86459">
            <w:r>
              <w:rPr>
                <w:rFonts w:ascii="Open Sans" w:hAnsi="Open Sans" w:cs="Open Sans"/>
                <w:color w:val="00000A"/>
                <w:sz w:val="20"/>
                <w:szCs w:val="20"/>
              </w:rPr>
              <w:t>Capìtal Street S.A.</w:t>
            </w:r>
          </w:p>
        </w:tc>
        <w:tc>
          <w:tcPr>
            <w:tcW w:w="3300" w:type="dxa"/>
            <w:tcBorders>
              <w:left w:val="single" w:sz="4" w:space="0" w:color="000000"/>
              <w:bottom w:val="single" w:sz="4" w:space="0" w:color="000000"/>
            </w:tcBorders>
            <w:shd w:val="clear" w:color="auto" w:fill="auto"/>
          </w:tcPr>
          <w:p w14:paraId="72D2E712"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1FF78B50" w14:textId="77777777" w:rsidR="00C86459" w:rsidRDefault="00C86459" w:rsidP="00C86459">
            <w:r>
              <w:rPr>
                <w:rFonts w:ascii="Open Sans" w:hAnsi="Open Sans" w:cs="Open Sans"/>
                <w:color w:val="00000A"/>
                <w:sz w:val="20"/>
                <w:szCs w:val="20"/>
              </w:rPr>
              <w:t>Financiera</w:t>
            </w:r>
          </w:p>
        </w:tc>
      </w:tr>
      <w:tr w:rsidR="00C86459" w14:paraId="36F1124A" w14:textId="77777777" w:rsidTr="00C86459">
        <w:trPr>
          <w:trHeight w:val="240"/>
        </w:trPr>
        <w:tc>
          <w:tcPr>
            <w:tcW w:w="3225" w:type="dxa"/>
            <w:tcBorders>
              <w:left w:val="single" w:sz="4" w:space="0" w:color="000000"/>
              <w:bottom w:val="single" w:sz="4" w:space="0" w:color="000000"/>
            </w:tcBorders>
            <w:shd w:val="clear" w:color="auto" w:fill="auto"/>
          </w:tcPr>
          <w:p w14:paraId="2DCFCBD3" w14:textId="77777777" w:rsidR="00C86459" w:rsidRDefault="00C86459" w:rsidP="00C86459">
            <w:r>
              <w:rPr>
                <w:rFonts w:ascii="Open Sans" w:hAnsi="Open Sans" w:cs="Open Sans"/>
                <w:color w:val="00000A"/>
                <w:sz w:val="20"/>
                <w:szCs w:val="20"/>
              </w:rPr>
              <w:t>Carfax (Guernsey) Limited</w:t>
            </w:r>
          </w:p>
        </w:tc>
        <w:tc>
          <w:tcPr>
            <w:tcW w:w="3300" w:type="dxa"/>
            <w:tcBorders>
              <w:left w:val="single" w:sz="4" w:space="0" w:color="000000"/>
              <w:bottom w:val="single" w:sz="4" w:space="0" w:color="000000"/>
            </w:tcBorders>
            <w:shd w:val="clear" w:color="auto" w:fill="auto"/>
          </w:tcPr>
          <w:p w14:paraId="17CB1853" w14:textId="77777777" w:rsidR="00C86459" w:rsidRDefault="00C86459" w:rsidP="00C86459">
            <w:r>
              <w:rPr>
                <w:rFonts w:ascii="Open Sans" w:hAnsi="Open Sans" w:cs="Open Sans"/>
                <w:color w:val="00000A"/>
                <w:sz w:val="20"/>
                <w:szCs w:val="20"/>
              </w:rPr>
              <w:t>Guernsey</w:t>
            </w:r>
          </w:p>
        </w:tc>
        <w:tc>
          <w:tcPr>
            <w:tcW w:w="2070" w:type="dxa"/>
            <w:tcBorders>
              <w:left w:val="single" w:sz="4" w:space="0" w:color="000000"/>
              <w:bottom w:val="single" w:sz="4" w:space="0" w:color="000000"/>
              <w:right w:val="single" w:sz="4" w:space="0" w:color="000000"/>
            </w:tcBorders>
            <w:shd w:val="clear" w:color="auto" w:fill="auto"/>
          </w:tcPr>
          <w:p w14:paraId="6570E43E" w14:textId="77777777" w:rsidR="00C86459" w:rsidRDefault="00C86459" w:rsidP="00C86459">
            <w:r>
              <w:rPr>
                <w:rFonts w:ascii="Open Sans" w:hAnsi="Open Sans" w:cs="Open Sans"/>
                <w:color w:val="00000A"/>
                <w:sz w:val="20"/>
                <w:szCs w:val="20"/>
              </w:rPr>
              <w:t>Correduría de seguros</w:t>
            </w:r>
          </w:p>
        </w:tc>
      </w:tr>
      <w:tr w:rsidR="00C86459" w14:paraId="567F934C" w14:textId="77777777" w:rsidTr="00C86459">
        <w:trPr>
          <w:trHeight w:val="240"/>
        </w:trPr>
        <w:tc>
          <w:tcPr>
            <w:tcW w:w="3225" w:type="dxa"/>
            <w:tcBorders>
              <w:left w:val="single" w:sz="4" w:space="0" w:color="000000"/>
              <w:bottom w:val="single" w:sz="4" w:space="0" w:color="000000"/>
            </w:tcBorders>
            <w:shd w:val="clear" w:color="auto" w:fill="auto"/>
          </w:tcPr>
          <w:p w14:paraId="59576CB6" w14:textId="77777777" w:rsidR="00C86459" w:rsidRDefault="00C86459" w:rsidP="00C86459">
            <w:r>
              <w:rPr>
                <w:rFonts w:ascii="Open Sans" w:hAnsi="Open Sans" w:cs="Open Sans"/>
                <w:color w:val="00000A"/>
                <w:sz w:val="20"/>
                <w:szCs w:val="20"/>
              </w:rPr>
              <w:t>CCAP Auto Lease Ltd.</w:t>
            </w:r>
          </w:p>
        </w:tc>
        <w:tc>
          <w:tcPr>
            <w:tcW w:w="3300" w:type="dxa"/>
            <w:tcBorders>
              <w:left w:val="single" w:sz="4" w:space="0" w:color="000000"/>
              <w:bottom w:val="single" w:sz="4" w:space="0" w:color="000000"/>
            </w:tcBorders>
            <w:shd w:val="clear" w:color="auto" w:fill="auto"/>
          </w:tcPr>
          <w:p w14:paraId="09F25511"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0B62393" w14:textId="77777777" w:rsidR="00C86459" w:rsidRDefault="00C86459" w:rsidP="00C86459">
            <w:r>
              <w:rPr>
                <w:rFonts w:ascii="Open Sans" w:hAnsi="Open Sans" w:cs="Open Sans"/>
                <w:color w:val="00000A"/>
                <w:sz w:val="20"/>
                <w:szCs w:val="20"/>
              </w:rPr>
              <w:t>Leasing</w:t>
            </w:r>
          </w:p>
        </w:tc>
      </w:tr>
      <w:tr w:rsidR="00C86459" w14:paraId="560BE4D5" w14:textId="77777777" w:rsidTr="00C86459">
        <w:trPr>
          <w:trHeight w:val="240"/>
        </w:trPr>
        <w:tc>
          <w:tcPr>
            <w:tcW w:w="3225" w:type="dxa"/>
            <w:tcBorders>
              <w:left w:val="single" w:sz="4" w:space="0" w:color="000000"/>
              <w:bottom w:val="single" w:sz="4" w:space="0" w:color="000000"/>
            </w:tcBorders>
            <w:shd w:val="clear" w:color="auto" w:fill="auto"/>
          </w:tcPr>
          <w:p w14:paraId="77429CBA" w14:textId="77777777" w:rsidR="00C86459" w:rsidRDefault="00C86459" w:rsidP="00C86459">
            <w:r>
              <w:rPr>
                <w:rFonts w:ascii="Open Sans" w:hAnsi="Open Sans" w:cs="Open Sans"/>
                <w:color w:val="00000A"/>
                <w:sz w:val="20"/>
                <w:szCs w:val="20"/>
              </w:rPr>
              <w:t xml:space="preserve">Chrysler Capital Auto Receivable LLC </w:t>
            </w:r>
          </w:p>
        </w:tc>
        <w:tc>
          <w:tcPr>
            <w:tcW w:w="3300" w:type="dxa"/>
            <w:tcBorders>
              <w:left w:val="single" w:sz="4" w:space="0" w:color="000000"/>
              <w:bottom w:val="single" w:sz="4" w:space="0" w:color="000000"/>
            </w:tcBorders>
            <w:shd w:val="clear" w:color="auto" w:fill="auto"/>
          </w:tcPr>
          <w:p w14:paraId="51838EC5"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F08F781" w14:textId="77777777" w:rsidR="00C86459" w:rsidRDefault="00C86459" w:rsidP="00C86459">
            <w:r>
              <w:rPr>
                <w:rFonts w:ascii="Open Sans" w:hAnsi="Open Sans" w:cs="Open Sans"/>
                <w:color w:val="00000A"/>
                <w:sz w:val="20"/>
                <w:szCs w:val="20"/>
              </w:rPr>
              <w:t>Financiera</w:t>
            </w:r>
          </w:p>
        </w:tc>
      </w:tr>
      <w:tr w:rsidR="00C86459" w14:paraId="6CBED7AA" w14:textId="77777777" w:rsidTr="00C86459">
        <w:trPr>
          <w:trHeight w:val="240"/>
        </w:trPr>
        <w:tc>
          <w:tcPr>
            <w:tcW w:w="3225" w:type="dxa"/>
            <w:tcBorders>
              <w:left w:val="single" w:sz="4" w:space="0" w:color="000000"/>
              <w:bottom w:val="single" w:sz="4" w:space="0" w:color="000000"/>
            </w:tcBorders>
            <w:shd w:val="clear" w:color="auto" w:fill="auto"/>
          </w:tcPr>
          <w:p w14:paraId="21569879" w14:textId="77777777" w:rsidR="00C86459" w:rsidRPr="00A1554D" w:rsidRDefault="00C86459" w:rsidP="00C86459">
            <w:pPr>
              <w:rPr>
                <w:lang w:val="en-GB"/>
              </w:rPr>
            </w:pPr>
            <w:r w:rsidRPr="00A1554D">
              <w:rPr>
                <w:rFonts w:ascii="Open Sans" w:hAnsi="Open Sans" w:cs="Open Sans"/>
                <w:color w:val="00000A"/>
                <w:sz w:val="20"/>
                <w:szCs w:val="20"/>
                <w:lang w:val="en-GB"/>
              </w:rPr>
              <w:t>Chrysler Capital Master Auto Receivables Funding LLC</w:t>
            </w:r>
          </w:p>
        </w:tc>
        <w:tc>
          <w:tcPr>
            <w:tcW w:w="3300" w:type="dxa"/>
            <w:tcBorders>
              <w:left w:val="single" w:sz="4" w:space="0" w:color="000000"/>
              <w:bottom w:val="single" w:sz="4" w:space="0" w:color="000000"/>
            </w:tcBorders>
            <w:shd w:val="clear" w:color="auto" w:fill="auto"/>
          </w:tcPr>
          <w:p w14:paraId="12240C50"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BF90EF0" w14:textId="77777777" w:rsidR="00C86459" w:rsidRDefault="00C86459" w:rsidP="00C86459">
            <w:r>
              <w:rPr>
                <w:rFonts w:ascii="Open Sans" w:hAnsi="Open Sans" w:cs="Open Sans"/>
                <w:color w:val="00000A"/>
                <w:sz w:val="20"/>
                <w:szCs w:val="20"/>
              </w:rPr>
              <w:t>Financiera</w:t>
            </w:r>
          </w:p>
        </w:tc>
      </w:tr>
      <w:tr w:rsidR="00C86459" w14:paraId="62FF8F87" w14:textId="77777777" w:rsidTr="00C86459">
        <w:trPr>
          <w:trHeight w:val="240"/>
        </w:trPr>
        <w:tc>
          <w:tcPr>
            <w:tcW w:w="3225" w:type="dxa"/>
            <w:tcBorders>
              <w:left w:val="single" w:sz="4" w:space="0" w:color="000000"/>
              <w:bottom w:val="single" w:sz="4" w:space="0" w:color="000000"/>
            </w:tcBorders>
            <w:shd w:val="clear" w:color="auto" w:fill="auto"/>
          </w:tcPr>
          <w:p w14:paraId="706483B9" w14:textId="77777777" w:rsidR="00C86459" w:rsidRDefault="00C86459" w:rsidP="00C86459">
            <w:r>
              <w:rPr>
                <w:rFonts w:ascii="Open Sans" w:hAnsi="Open Sans" w:cs="Open Sans"/>
                <w:color w:val="00000A"/>
                <w:sz w:val="20"/>
                <w:szCs w:val="20"/>
              </w:rPr>
              <w:t xml:space="preserve">Crawfall, S.A. </w:t>
            </w:r>
          </w:p>
        </w:tc>
        <w:tc>
          <w:tcPr>
            <w:tcW w:w="3300" w:type="dxa"/>
            <w:tcBorders>
              <w:left w:val="single" w:sz="4" w:space="0" w:color="000000"/>
              <w:bottom w:val="single" w:sz="4" w:space="0" w:color="000000"/>
            </w:tcBorders>
            <w:shd w:val="clear" w:color="auto" w:fill="auto"/>
          </w:tcPr>
          <w:p w14:paraId="5B1E50DC"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3510DD1E" w14:textId="77777777" w:rsidR="00C86459" w:rsidRDefault="00C86459" w:rsidP="00C86459">
            <w:r>
              <w:rPr>
                <w:rFonts w:ascii="Open Sans" w:hAnsi="Open Sans" w:cs="Open Sans"/>
                <w:color w:val="00000A"/>
                <w:sz w:val="20"/>
                <w:szCs w:val="20"/>
              </w:rPr>
              <w:t>Servicios</w:t>
            </w:r>
          </w:p>
        </w:tc>
      </w:tr>
      <w:tr w:rsidR="00C86459" w14:paraId="508E01F2" w14:textId="77777777" w:rsidTr="00C86459">
        <w:trPr>
          <w:trHeight w:val="240"/>
        </w:trPr>
        <w:tc>
          <w:tcPr>
            <w:tcW w:w="3225" w:type="dxa"/>
            <w:tcBorders>
              <w:left w:val="single" w:sz="4" w:space="0" w:color="000000"/>
              <w:bottom w:val="single" w:sz="4" w:space="0" w:color="000000"/>
            </w:tcBorders>
            <w:shd w:val="clear" w:color="auto" w:fill="auto"/>
          </w:tcPr>
          <w:p w14:paraId="013220C3" w14:textId="77777777" w:rsidR="00C86459" w:rsidRDefault="00C86459" w:rsidP="00C86459">
            <w:r>
              <w:rPr>
                <w:rFonts w:ascii="Open Sans" w:hAnsi="Open Sans" w:cs="Open Sans"/>
                <w:color w:val="00000A"/>
                <w:sz w:val="20"/>
                <w:szCs w:val="20"/>
              </w:rPr>
              <w:t>Credisol, S.A.</w:t>
            </w:r>
          </w:p>
        </w:tc>
        <w:tc>
          <w:tcPr>
            <w:tcW w:w="3300" w:type="dxa"/>
            <w:tcBorders>
              <w:left w:val="single" w:sz="4" w:space="0" w:color="000000"/>
              <w:bottom w:val="single" w:sz="4" w:space="0" w:color="000000"/>
            </w:tcBorders>
            <w:shd w:val="clear" w:color="auto" w:fill="auto"/>
          </w:tcPr>
          <w:p w14:paraId="7B1F8FD5"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04DDEB06" w14:textId="77777777" w:rsidR="00C86459" w:rsidRDefault="00C86459" w:rsidP="00C86459">
            <w:r>
              <w:rPr>
                <w:rFonts w:ascii="Open Sans" w:hAnsi="Open Sans" w:cs="Open Sans"/>
                <w:color w:val="00000A"/>
                <w:sz w:val="20"/>
                <w:szCs w:val="20"/>
              </w:rPr>
              <w:t>Financiera</w:t>
            </w:r>
          </w:p>
        </w:tc>
      </w:tr>
      <w:tr w:rsidR="00C86459" w14:paraId="6233197A" w14:textId="77777777" w:rsidTr="00C86459">
        <w:trPr>
          <w:trHeight w:val="240"/>
        </w:trPr>
        <w:tc>
          <w:tcPr>
            <w:tcW w:w="3225" w:type="dxa"/>
            <w:tcBorders>
              <w:left w:val="single" w:sz="4" w:space="0" w:color="000000"/>
              <w:bottom w:val="single" w:sz="4" w:space="0" w:color="000000"/>
            </w:tcBorders>
            <w:shd w:val="clear" w:color="auto" w:fill="auto"/>
          </w:tcPr>
          <w:p w14:paraId="72ED86AA" w14:textId="77777777" w:rsidR="00C86459" w:rsidRDefault="00C86459" w:rsidP="00C86459">
            <w:r>
              <w:rPr>
                <w:rFonts w:ascii="Open Sans" w:hAnsi="Open Sans" w:cs="Open Sans"/>
                <w:color w:val="00000A"/>
                <w:sz w:val="20"/>
                <w:szCs w:val="20"/>
              </w:rPr>
              <w:t>Dansk Auto Finansiering 1 Ltd</w:t>
            </w:r>
          </w:p>
        </w:tc>
        <w:tc>
          <w:tcPr>
            <w:tcW w:w="3300" w:type="dxa"/>
            <w:tcBorders>
              <w:left w:val="single" w:sz="4" w:space="0" w:color="000000"/>
              <w:bottom w:val="single" w:sz="4" w:space="0" w:color="000000"/>
            </w:tcBorders>
            <w:shd w:val="clear" w:color="auto" w:fill="auto"/>
          </w:tcPr>
          <w:p w14:paraId="1D541B3A"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EA5301A" w14:textId="77777777" w:rsidR="00C86459" w:rsidRDefault="00C86459" w:rsidP="00C86459">
            <w:r>
              <w:rPr>
                <w:rFonts w:ascii="Open Sans" w:hAnsi="Open Sans" w:cs="Open Sans"/>
                <w:color w:val="00000A"/>
                <w:sz w:val="20"/>
                <w:szCs w:val="20"/>
              </w:rPr>
              <w:t xml:space="preserve">Titulización </w:t>
            </w:r>
          </w:p>
        </w:tc>
      </w:tr>
      <w:tr w:rsidR="00C86459" w14:paraId="40EF77EB" w14:textId="77777777" w:rsidTr="00C86459">
        <w:trPr>
          <w:trHeight w:val="240"/>
        </w:trPr>
        <w:tc>
          <w:tcPr>
            <w:tcW w:w="3225" w:type="dxa"/>
            <w:tcBorders>
              <w:left w:val="single" w:sz="4" w:space="0" w:color="000000"/>
              <w:bottom w:val="single" w:sz="4" w:space="0" w:color="000000"/>
            </w:tcBorders>
            <w:shd w:val="clear" w:color="auto" w:fill="auto"/>
          </w:tcPr>
          <w:p w14:paraId="5D655AD3" w14:textId="77777777" w:rsidR="00C86459" w:rsidRDefault="00C86459" w:rsidP="00C86459">
            <w:r>
              <w:rPr>
                <w:rFonts w:ascii="Open Sans" w:hAnsi="Open Sans" w:cs="Open Sans"/>
                <w:color w:val="00000A"/>
                <w:sz w:val="20"/>
                <w:szCs w:val="20"/>
              </w:rPr>
              <w:t>Darep Limited</w:t>
            </w:r>
          </w:p>
        </w:tc>
        <w:tc>
          <w:tcPr>
            <w:tcW w:w="3300" w:type="dxa"/>
            <w:tcBorders>
              <w:left w:val="single" w:sz="4" w:space="0" w:color="000000"/>
              <w:bottom w:val="single" w:sz="4" w:space="0" w:color="000000"/>
            </w:tcBorders>
            <w:shd w:val="clear" w:color="auto" w:fill="auto"/>
          </w:tcPr>
          <w:p w14:paraId="145A3403"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638A0505" w14:textId="77777777" w:rsidR="00C86459" w:rsidRDefault="00C86459" w:rsidP="00C86459">
            <w:r>
              <w:rPr>
                <w:rFonts w:ascii="Open Sans" w:hAnsi="Open Sans" w:cs="Open Sans"/>
                <w:color w:val="00000A"/>
                <w:sz w:val="20"/>
                <w:szCs w:val="20"/>
              </w:rPr>
              <w:t>Reaseguros</w:t>
            </w:r>
          </w:p>
        </w:tc>
      </w:tr>
      <w:tr w:rsidR="00C86459" w14:paraId="75E8E22A" w14:textId="77777777" w:rsidTr="00C86459">
        <w:trPr>
          <w:trHeight w:val="240"/>
        </w:trPr>
        <w:tc>
          <w:tcPr>
            <w:tcW w:w="3225" w:type="dxa"/>
            <w:tcBorders>
              <w:left w:val="single" w:sz="4" w:space="0" w:color="000000"/>
              <w:bottom w:val="single" w:sz="4" w:space="0" w:color="000000"/>
            </w:tcBorders>
            <w:shd w:val="clear" w:color="auto" w:fill="auto"/>
          </w:tcPr>
          <w:p w14:paraId="3DD849D0"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Digital Procurement Holdings NV</w:t>
            </w:r>
          </w:p>
        </w:tc>
        <w:tc>
          <w:tcPr>
            <w:tcW w:w="3300" w:type="dxa"/>
            <w:tcBorders>
              <w:left w:val="single" w:sz="4" w:space="0" w:color="000000"/>
              <w:bottom w:val="single" w:sz="4" w:space="0" w:color="000000"/>
            </w:tcBorders>
            <w:shd w:val="clear" w:color="auto" w:fill="auto"/>
          </w:tcPr>
          <w:p w14:paraId="2D94896E"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366904C6"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7983FB43" w14:textId="77777777" w:rsidTr="00C86459">
        <w:trPr>
          <w:trHeight w:val="240"/>
        </w:trPr>
        <w:tc>
          <w:tcPr>
            <w:tcW w:w="3225" w:type="dxa"/>
            <w:tcBorders>
              <w:left w:val="single" w:sz="4" w:space="0" w:color="000000"/>
              <w:bottom w:val="single" w:sz="4" w:space="0" w:color="000000"/>
            </w:tcBorders>
            <w:shd w:val="clear" w:color="auto" w:fill="auto"/>
          </w:tcPr>
          <w:p w14:paraId="023954FB" w14:textId="77777777" w:rsidR="00C86459" w:rsidRDefault="00C86459" w:rsidP="00C86459">
            <w:r>
              <w:rPr>
                <w:rFonts w:ascii="Open Sans" w:hAnsi="Open Sans" w:cs="Open Sans"/>
                <w:color w:val="00000A"/>
                <w:sz w:val="20"/>
                <w:szCs w:val="20"/>
              </w:rPr>
              <w:t>Fondos Santander, S.A. Administradora de Fondos de Inversión (en liquidación)</w:t>
            </w:r>
          </w:p>
        </w:tc>
        <w:tc>
          <w:tcPr>
            <w:tcW w:w="3300" w:type="dxa"/>
            <w:tcBorders>
              <w:left w:val="single" w:sz="4" w:space="0" w:color="000000"/>
              <w:bottom w:val="single" w:sz="4" w:space="0" w:color="000000"/>
            </w:tcBorders>
            <w:shd w:val="clear" w:color="auto" w:fill="auto"/>
          </w:tcPr>
          <w:p w14:paraId="6C7DCE10"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31573473" w14:textId="77777777" w:rsidR="00C86459" w:rsidRDefault="00C86459" w:rsidP="00C86459">
            <w:r>
              <w:rPr>
                <w:rFonts w:ascii="Open Sans" w:hAnsi="Open Sans" w:cs="Open Sans"/>
                <w:color w:val="00000A"/>
                <w:sz w:val="20"/>
                <w:szCs w:val="20"/>
              </w:rPr>
              <w:t>Gestora de fondos</w:t>
            </w:r>
          </w:p>
        </w:tc>
      </w:tr>
      <w:tr w:rsidR="00C86459" w14:paraId="53142CF5" w14:textId="77777777" w:rsidTr="00C86459">
        <w:trPr>
          <w:trHeight w:val="240"/>
        </w:trPr>
        <w:tc>
          <w:tcPr>
            <w:tcW w:w="3225" w:type="dxa"/>
            <w:tcBorders>
              <w:left w:val="single" w:sz="4" w:space="0" w:color="000000"/>
              <w:bottom w:val="single" w:sz="4" w:space="0" w:color="000000"/>
            </w:tcBorders>
            <w:shd w:val="clear" w:color="auto" w:fill="auto"/>
          </w:tcPr>
          <w:p w14:paraId="574B3139" w14:textId="77777777" w:rsidR="00C86459" w:rsidRDefault="00C86459" w:rsidP="00C86459">
            <w:r>
              <w:rPr>
                <w:rFonts w:ascii="Open Sans" w:hAnsi="Open Sans" w:cs="Open Sans"/>
                <w:color w:val="00000A"/>
                <w:sz w:val="20"/>
                <w:szCs w:val="20"/>
              </w:rPr>
              <w:t>Fortensky Trading, Ltd.</w:t>
            </w:r>
          </w:p>
        </w:tc>
        <w:tc>
          <w:tcPr>
            <w:tcW w:w="3300" w:type="dxa"/>
            <w:tcBorders>
              <w:left w:val="single" w:sz="4" w:space="0" w:color="000000"/>
              <w:bottom w:val="single" w:sz="4" w:space="0" w:color="000000"/>
            </w:tcBorders>
            <w:shd w:val="clear" w:color="auto" w:fill="auto"/>
          </w:tcPr>
          <w:p w14:paraId="7AAC4985"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E8D7026" w14:textId="77777777" w:rsidR="00C86459" w:rsidRDefault="00C86459" w:rsidP="00C86459">
            <w:r>
              <w:rPr>
                <w:rFonts w:ascii="Open Sans" w:hAnsi="Open Sans" w:cs="Open Sans"/>
                <w:color w:val="00000A"/>
                <w:sz w:val="20"/>
                <w:szCs w:val="20"/>
              </w:rPr>
              <w:t>Financiera</w:t>
            </w:r>
          </w:p>
        </w:tc>
      </w:tr>
      <w:tr w:rsidR="00C86459" w14:paraId="43D37F15" w14:textId="77777777" w:rsidTr="00C86459">
        <w:trPr>
          <w:trHeight w:val="240"/>
        </w:trPr>
        <w:tc>
          <w:tcPr>
            <w:tcW w:w="3225" w:type="dxa"/>
            <w:tcBorders>
              <w:left w:val="single" w:sz="4" w:space="0" w:color="000000"/>
              <w:bottom w:val="single" w:sz="4" w:space="0" w:color="000000"/>
            </w:tcBorders>
            <w:shd w:val="clear" w:color="auto" w:fill="auto"/>
          </w:tcPr>
          <w:p w14:paraId="480D93F6" w14:textId="77777777" w:rsidR="00C86459" w:rsidRDefault="00C86459" w:rsidP="00C86459">
            <w:r>
              <w:rPr>
                <w:rFonts w:ascii="Open Sans" w:hAnsi="Open Sans" w:cs="Open Sans"/>
                <w:color w:val="00000A"/>
                <w:sz w:val="20"/>
                <w:szCs w:val="20"/>
              </w:rPr>
              <w:t>Fosse Trustee Limited</w:t>
            </w:r>
          </w:p>
        </w:tc>
        <w:tc>
          <w:tcPr>
            <w:tcW w:w="3300" w:type="dxa"/>
            <w:tcBorders>
              <w:left w:val="single" w:sz="4" w:space="0" w:color="000000"/>
              <w:bottom w:val="single" w:sz="4" w:space="0" w:color="000000"/>
            </w:tcBorders>
            <w:shd w:val="clear" w:color="auto" w:fill="auto"/>
          </w:tcPr>
          <w:p w14:paraId="4BF21FDB" w14:textId="77777777" w:rsidR="00C86459" w:rsidRDefault="00C86459" w:rsidP="00C86459">
            <w:r>
              <w:rPr>
                <w:rFonts w:ascii="Open Sans" w:hAnsi="Open Sans" w:cs="Open Sans"/>
                <w:color w:val="00000A"/>
                <w:sz w:val="20"/>
                <w:szCs w:val="20"/>
              </w:rPr>
              <w:t>Jersey</w:t>
            </w:r>
          </w:p>
        </w:tc>
        <w:tc>
          <w:tcPr>
            <w:tcW w:w="2070" w:type="dxa"/>
            <w:tcBorders>
              <w:left w:val="single" w:sz="4" w:space="0" w:color="000000"/>
              <w:bottom w:val="single" w:sz="4" w:space="0" w:color="000000"/>
              <w:right w:val="single" w:sz="4" w:space="0" w:color="000000"/>
            </w:tcBorders>
            <w:shd w:val="clear" w:color="auto" w:fill="auto"/>
          </w:tcPr>
          <w:p w14:paraId="22BCE615" w14:textId="77777777" w:rsidR="00C86459" w:rsidRDefault="00C86459" w:rsidP="00C86459">
            <w:r>
              <w:rPr>
                <w:rFonts w:ascii="Open Sans" w:hAnsi="Open Sans" w:cs="Open Sans"/>
                <w:color w:val="00000A"/>
                <w:sz w:val="20"/>
                <w:szCs w:val="20"/>
              </w:rPr>
              <w:t xml:space="preserve">Titulización </w:t>
            </w:r>
          </w:p>
        </w:tc>
      </w:tr>
      <w:tr w:rsidR="00C86459" w14:paraId="50548ED2" w14:textId="77777777" w:rsidTr="00C86459">
        <w:trPr>
          <w:trHeight w:val="240"/>
        </w:trPr>
        <w:tc>
          <w:tcPr>
            <w:tcW w:w="3225" w:type="dxa"/>
            <w:tcBorders>
              <w:left w:val="single" w:sz="4" w:space="0" w:color="000000"/>
              <w:bottom w:val="single" w:sz="4" w:space="0" w:color="000000"/>
            </w:tcBorders>
            <w:shd w:val="clear" w:color="auto" w:fill="auto"/>
          </w:tcPr>
          <w:p w14:paraId="23BF1F19" w14:textId="77777777" w:rsidR="00C86459" w:rsidRDefault="00C86459" w:rsidP="00C86459">
            <w:r>
              <w:rPr>
                <w:rFonts w:ascii="Open Sans" w:hAnsi="Open Sans" w:cs="Open Sans"/>
                <w:color w:val="00000A"/>
                <w:sz w:val="20"/>
                <w:szCs w:val="20"/>
              </w:rPr>
              <w:t>GTS El Centro Equity Holdings, LLC</w:t>
            </w:r>
          </w:p>
        </w:tc>
        <w:tc>
          <w:tcPr>
            <w:tcW w:w="3300" w:type="dxa"/>
            <w:tcBorders>
              <w:left w:val="single" w:sz="4" w:space="0" w:color="000000"/>
              <w:bottom w:val="single" w:sz="4" w:space="0" w:color="000000"/>
            </w:tcBorders>
            <w:shd w:val="clear" w:color="auto" w:fill="auto"/>
          </w:tcPr>
          <w:p w14:paraId="7618CD15"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0809804" w14:textId="77777777" w:rsidR="00C86459" w:rsidRDefault="00C86459" w:rsidP="00C86459">
            <w:r>
              <w:rPr>
                <w:rFonts w:ascii="Open Sans" w:hAnsi="Open Sans" w:cs="Open Sans"/>
                <w:color w:val="00000A"/>
                <w:sz w:val="20"/>
                <w:szCs w:val="20"/>
              </w:rPr>
              <w:t>Sociedad de cartera</w:t>
            </w:r>
          </w:p>
        </w:tc>
      </w:tr>
      <w:tr w:rsidR="00C86459" w14:paraId="067FA3B7" w14:textId="77777777" w:rsidTr="00C86459">
        <w:trPr>
          <w:trHeight w:val="240"/>
        </w:trPr>
        <w:tc>
          <w:tcPr>
            <w:tcW w:w="3225" w:type="dxa"/>
            <w:tcBorders>
              <w:left w:val="single" w:sz="4" w:space="0" w:color="000000"/>
              <w:bottom w:val="single" w:sz="4" w:space="0" w:color="000000"/>
            </w:tcBorders>
            <w:shd w:val="clear" w:color="auto" w:fill="auto"/>
          </w:tcPr>
          <w:p w14:paraId="56F7DF10" w14:textId="77777777" w:rsidR="00C86459" w:rsidRPr="00A1554D" w:rsidRDefault="00C86459" w:rsidP="00C86459">
            <w:pPr>
              <w:rPr>
                <w:lang w:val="en-GB"/>
              </w:rPr>
            </w:pPr>
            <w:r w:rsidRPr="00A1554D">
              <w:rPr>
                <w:rFonts w:ascii="Open Sans" w:hAnsi="Open Sans" w:cs="Open Sans"/>
                <w:color w:val="00000A"/>
                <w:sz w:val="20"/>
                <w:szCs w:val="20"/>
                <w:lang w:val="en-GB"/>
              </w:rPr>
              <w:t>GTS El Centro Project Holdings, LLC</w:t>
            </w:r>
          </w:p>
        </w:tc>
        <w:tc>
          <w:tcPr>
            <w:tcW w:w="3300" w:type="dxa"/>
            <w:tcBorders>
              <w:left w:val="single" w:sz="4" w:space="0" w:color="000000"/>
              <w:bottom w:val="single" w:sz="4" w:space="0" w:color="000000"/>
            </w:tcBorders>
            <w:shd w:val="clear" w:color="auto" w:fill="auto"/>
          </w:tcPr>
          <w:p w14:paraId="7E353B4E"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B311F03" w14:textId="77777777" w:rsidR="00C86459" w:rsidRDefault="00C86459" w:rsidP="00C86459">
            <w:r>
              <w:rPr>
                <w:rFonts w:ascii="Open Sans" w:hAnsi="Open Sans" w:cs="Open Sans"/>
                <w:color w:val="00000A"/>
                <w:sz w:val="20"/>
                <w:szCs w:val="20"/>
              </w:rPr>
              <w:t>Sociedad de cartera</w:t>
            </w:r>
          </w:p>
        </w:tc>
      </w:tr>
      <w:tr w:rsidR="00C86459" w14:paraId="5BFFAB6A" w14:textId="77777777" w:rsidTr="00C86459">
        <w:trPr>
          <w:trHeight w:val="240"/>
        </w:trPr>
        <w:tc>
          <w:tcPr>
            <w:tcW w:w="3225" w:type="dxa"/>
            <w:tcBorders>
              <w:left w:val="single" w:sz="4" w:space="0" w:color="000000"/>
              <w:bottom w:val="single" w:sz="4" w:space="0" w:color="000000"/>
            </w:tcBorders>
            <w:shd w:val="clear" w:color="auto" w:fill="auto"/>
          </w:tcPr>
          <w:p w14:paraId="69B84CFD" w14:textId="77777777" w:rsidR="00C86459" w:rsidRPr="00A1554D" w:rsidRDefault="00C86459" w:rsidP="00C86459">
            <w:pPr>
              <w:rPr>
                <w:lang w:val="en-GB"/>
              </w:rPr>
            </w:pPr>
            <w:r w:rsidRPr="00A1554D">
              <w:rPr>
                <w:rFonts w:ascii="Open Sans" w:hAnsi="Open Sans" w:cs="Open Sans"/>
                <w:color w:val="00000A"/>
                <w:sz w:val="20"/>
                <w:szCs w:val="20"/>
                <w:lang w:val="en-GB"/>
              </w:rPr>
              <w:t>Guaranteed Investment Products 1 PCC Limited</w:t>
            </w:r>
          </w:p>
        </w:tc>
        <w:tc>
          <w:tcPr>
            <w:tcW w:w="3300" w:type="dxa"/>
            <w:tcBorders>
              <w:left w:val="single" w:sz="4" w:space="0" w:color="000000"/>
              <w:bottom w:val="single" w:sz="4" w:space="0" w:color="000000"/>
            </w:tcBorders>
            <w:shd w:val="clear" w:color="auto" w:fill="auto"/>
          </w:tcPr>
          <w:p w14:paraId="5E6E77E0" w14:textId="77777777" w:rsidR="00C86459" w:rsidRDefault="00C86459" w:rsidP="00C86459">
            <w:r>
              <w:rPr>
                <w:rFonts w:ascii="Open Sans" w:hAnsi="Open Sans" w:cs="Open Sans"/>
                <w:color w:val="00000A"/>
                <w:sz w:val="20"/>
                <w:szCs w:val="20"/>
              </w:rPr>
              <w:t>Guernseyj</w:t>
            </w:r>
          </w:p>
        </w:tc>
        <w:tc>
          <w:tcPr>
            <w:tcW w:w="2070" w:type="dxa"/>
            <w:tcBorders>
              <w:left w:val="single" w:sz="4" w:space="0" w:color="000000"/>
              <w:bottom w:val="single" w:sz="4" w:space="0" w:color="000000"/>
              <w:right w:val="single" w:sz="4" w:space="0" w:color="000000"/>
            </w:tcBorders>
            <w:shd w:val="clear" w:color="auto" w:fill="auto"/>
          </w:tcPr>
          <w:p w14:paraId="4EF9B0C7" w14:textId="77777777" w:rsidR="00C86459" w:rsidRDefault="00C86459" w:rsidP="00C86459">
            <w:r>
              <w:rPr>
                <w:rFonts w:ascii="Open Sans" w:hAnsi="Open Sans" w:cs="Open Sans"/>
                <w:sz w:val="20"/>
                <w:szCs w:val="20"/>
              </w:rPr>
              <w:t>Compañía de célula protegida (Protected Cell Company)</w:t>
            </w:r>
          </w:p>
        </w:tc>
      </w:tr>
      <w:tr w:rsidR="00C86459" w14:paraId="2142F39B" w14:textId="77777777" w:rsidTr="00C86459">
        <w:trPr>
          <w:trHeight w:val="240"/>
        </w:trPr>
        <w:tc>
          <w:tcPr>
            <w:tcW w:w="3225" w:type="dxa"/>
            <w:tcBorders>
              <w:left w:val="single" w:sz="4" w:space="0" w:color="000000"/>
              <w:bottom w:val="single" w:sz="4" w:space="0" w:color="000000"/>
            </w:tcBorders>
            <w:shd w:val="clear" w:color="auto" w:fill="auto"/>
          </w:tcPr>
          <w:p w14:paraId="7A5FFBA3" w14:textId="77777777" w:rsidR="00C86459" w:rsidRDefault="00C86459" w:rsidP="00C86459">
            <w:r>
              <w:rPr>
                <w:rFonts w:ascii="Open Sans" w:hAnsi="Open Sans" w:cs="Open Sans"/>
                <w:color w:val="00000A"/>
                <w:sz w:val="20"/>
                <w:szCs w:val="20"/>
              </w:rPr>
              <w:t>Hipototta No. 1 plc</w:t>
            </w:r>
          </w:p>
        </w:tc>
        <w:tc>
          <w:tcPr>
            <w:tcW w:w="3300" w:type="dxa"/>
            <w:tcBorders>
              <w:left w:val="single" w:sz="4" w:space="0" w:color="000000"/>
              <w:bottom w:val="single" w:sz="4" w:space="0" w:color="000000"/>
            </w:tcBorders>
            <w:shd w:val="clear" w:color="auto" w:fill="auto"/>
          </w:tcPr>
          <w:p w14:paraId="4F459F44"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CFBC1B4" w14:textId="77777777" w:rsidR="00C86459" w:rsidRDefault="00C86459" w:rsidP="00C86459">
            <w:r>
              <w:rPr>
                <w:rFonts w:ascii="Open Sans" w:hAnsi="Open Sans" w:cs="Open Sans"/>
                <w:color w:val="00000A"/>
                <w:sz w:val="20"/>
                <w:szCs w:val="20"/>
              </w:rPr>
              <w:t>Titulización</w:t>
            </w:r>
          </w:p>
        </w:tc>
      </w:tr>
      <w:tr w:rsidR="00C86459" w14:paraId="0DC80779" w14:textId="77777777" w:rsidTr="00C86459">
        <w:trPr>
          <w:trHeight w:val="240"/>
        </w:trPr>
        <w:tc>
          <w:tcPr>
            <w:tcW w:w="3225" w:type="dxa"/>
            <w:tcBorders>
              <w:left w:val="single" w:sz="4" w:space="0" w:color="000000"/>
              <w:bottom w:val="single" w:sz="4" w:space="0" w:color="000000"/>
            </w:tcBorders>
            <w:shd w:val="clear" w:color="auto" w:fill="auto"/>
          </w:tcPr>
          <w:p w14:paraId="2088334A" w14:textId="77777777" w:rsidR="00C86459" w:rsidRDefault="00C86459" w:rsidP="00C86459">
            <w:r>
              <w:rPr>
                <w:rFonts w:ascii="Open Sans" w:hAnsi="Open Sans" w:cs="Open Sans"/>
                <w:color w:val="00000A"/>
                <w:sz w:val="20"/>
                <w:szCs w:val="20"/>
              </w:rPr>
              <w:t>Hipototta No. 4 plc</w:t>
            </w:r>
          </w:p>
        </w:tc>
        <w:tc>
          <w:tcPr>
            <w:tcW w:w="3300" w:type="dxa"/>
            <w:tcBorders>
              <w:left w:val="single" w:sz="4" w:space="0" w:color="000000"/>
              <w:bottom w:val="single" w:sz="4" w:space="0" w:color="000000"/>
            </w:tcBorders>
            <w:shd w:val="clear" w:color="auto" w:fill="auto"/>
          </w:tcPr>
          <w:p w14:paraId="24245748"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21351DE1" w14:textId="77777777" w:rsidR="00C86459" w:rsidRDefault="00C86459" w:rsidP="00C86459">
            <w:r>
              <w:rPr>
                <w:rFonts w:ascii="Open Sans" w:hAnsi="Open Sans" w:cs="Open Sans"/>
                <w:color w:val="00000A"/>
                <w:sz w:val="20"/>
                <w:szCs w:val="20"/>
              </w:rPr>
              <w:t>Titulización</w:t>
            </w:r>
          </w:p>
        </w:tc>
      </w:tr>
      <w:tr w:rsidR="00C86459" w14:paraId="45AD066F" w14:textId="77777777" w:rsidTr="00C86459">
        <w:trPr>
          <w:trHeight w:val="240"/>
        </w:trPr>
        <w:tc>
          <w:tcPr>
            <w:tcW w:w="3225" w:type="dxa"/>
            <w:tcBorders>
              <w:left w:val="single" w:sz="4" w:space="0" w:color="000000"/>
              <w:bottom w:val="single" w:sz="4" w:space="0" w:color="000000"/>
            </w:tcBorders>
            <w:shd w:val="clear" w:color="auto" w:fill="auto"/>
          </w:tcPr>
          <w:p w14:paraId="4DD3726A" w14:textId="77777777" w:rsidR="00C86459" w:rsidRDefault="00C86459" w:rsidP="00C86459">
            <w:r>
              <w:rPr>
                <w:rFonts w:ascii="Open Sans" w:hAnsi="Open Sans" w:cs="Open Sans"/>
                <w:color w:val="00000A"/>
                <w:sz w:val="20"/>
                <w:szCs w:val="20"/>
              </w:rPr>
              <w:t>Hipototta No. 5 plc</w:t>
            </w:r>
          </w:p>
        </w:tc>
        <w:tc>
          <w:tcPr>
            <w:tcW w:w="3300" w:type="dxa"/>
            <w:tcBorders>
              <w:left w:val="single" w:sz="4" w:space="0" w:color="000000"/>
              <w:bottom w:val="single" w:sz="4" w:space="0" w:color="000000"/>
            </w:tcBorders>
            <w:shd w:val="clear" w:color="auto" w:fill="auto"/>
          </w:tcPr>
          <w:p w14:paraId="43D934F5"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7ED17CC8" w14:textId="77777777" w:rsidR="00C86459" w:rsidRDefault="00C86459" w:rsidP="00C86459">
            <w:r>
              <w:rPr>
                <w:rFonts w:ascii="Open Sans" w:hAnsi="Open Sans" w:cs="Open Sans"/>
                <w:color w:val="00000A"/>
                <w:sz w:val="20"/>
                <w:szCs w:val="20"/>
              </w:rPr>
              <w:t>Titulización</w:t>
            </w:r>
          </w:p>
        </w:tc>
      </w:tr>
      <w:tr w:rsidR="00C86459" w14:paraId="543B750E" w14:textId="77777777" w:rsidTr="00C86459">
        <w:trPr>
          <w:trHeight w:val="240"/>
        </w:trPr>
        <w:tc>
          <w:tcPr>
            <w:tcW w:w="3225" w:type="dxa"/>
            <w:tcBorders>
              <w:left w:val="single" w:sz="4" w:space="0" w:color="000000"/>
              <w:bottom w:val="single" w:sz="4" w:space="0" w:color="000000"/>
            </w:tcBorders>
            <w:shd w:val="clear" w:color="auto" w:fill="auto"/>
          </w:tcPr>
          <w:p w14:paraId="19DC9AE1" w14:textId="77777777" w:rsidR="00C86459" w:rsidRDefault="00C86459" w:rsidP="00C86459">
            <w:r>
              <w:rPr>
                <w:rFonts w:ascii="Open Sans" w:hAnsi="Open Sans" w:cs="Open Sans"/>
                <w:color w:val="00000A"/>
                <w:sz w:val="20"/>
                <w:szCs w:val="20"/>
              </w:rPr>
              <w:t>Hipototta No. 7 Limited</w:t>
            </w:r>
          </w:p>
        </w:tc>
        <w:tc>
          <w:tcPr>
            <w:tcW w:w="3300" w:type="dxa"/>
            <w:tcBorders>
              <w:left w:val="single" w:sz="4" w:space="0" w:color="000000"/>
              <w:bottom w:val="single" w:sz="4" w:space="0" w:color="000000"/>
            </w:tcBorders>
            <w:shd w:val="clear" w:color="auto" w:fill="auto"/>
          </w:tcPr>
          <w:p w14:paraId="3F2E7950"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74F0C827" w14:textId="77777777" w:rsidR="00C86459" w:rsidRDefault="00C86459" w:rsidP="00C86459">
            <w:r>
              <w:rPr>
                <w:rFonts w:ascii="Open Sans" w:hAnsi="Open Sans" w:cs="Open Sans"/>
                <w:color w:val="00000A"/>
                <w:sz w:val="20"/>
                <w:szCs w:val="20"/>
              </w:rPr>
              <w:t>Titulización</w:t>
            </w:r>
          </w:p>
        </w:tc>
      </w:tr>
      <w:tr w:rsidR="00C86459" w14:paraId="100F4C9E" w14:textId="77777777" w:rsidTr="00C86459">
        <w:trPr>
          <w:trHeight w:val="240"/>
        </w:trPr>
        <w:tc>
          <w:tcPr>
            <w:tcW w:w="3225" w:type="dxa"/>
            <w:tcBorders>
              <w:left w:val="single" w:sz="4" w:space="0" w:color="000000"/>
              <w:bottom w:val="single" w:sz="4" w:space="0" w:color="000000"/>
            </w:tcBorders>
            <w:shd w:val="clear" w:color="auto" w:fill="auto"/>
          </w:tcPr>
          <w:p w14:paraId="080681B7" w14:textId="77777777" w:rsidR="00C86459" w:rsidRDefault="00C86459" w:rsidP="00C86459">
            <w:r>
              <w:rPr>
                <w:rFonts w:ascii="Open Sans" w:hAnsi="Open Sans" w:cs="Open Sans"/>
                <w:color w:val="00000A"/>
                <w:sz w:val="20"/>
                <w:szCs w:val="20"/>
              </w:rPr>
              <w:t>Holbah II Limited</w:t>
            </w:r>
          </w:p>
        </w:tc>
        <w:tc>
          <w:tcPr>
            <w:tcW w:w="3300" w:type="dxa"/>
            <w:tcBorders>
              <w:left w:val="single" w:sz="4" w:space="0" w:color="000000"/>
              <w:bottom w:val="single" w:sz="4" w:space="0" w:color="000000"/>
            </w:tcBorders>
            <w:shd w:val="clear" w:color="auto" w:fill="auto"/>
          </w:tcPr>
          <w:p w14:paraId="7CAB04F8"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47EAA6D6" w14:textId="77777777" w:rsidR="00C86459" w:rsidRDefault="00C86459" w:rsidP="00C86459">
            <w:r>
              <w:rPr>
                <w:rFonts w:ascii="Open Sans" w:hAnsi="Open Sans" w:cs="Open Sans"/>
                <w:color w:val="00000A"/>
                <w:sz w:val="20"/>
                <w:szCs w:val="20"/>
              </w:rPr>
              <w:t>Sociedad de cartera</w:t>
            </w:r>
          </w:p>
        </w:tc>
      </w:tr>
      <w:tr w:rsidR="00C86459" w14:paraId="65A2F437" w14:textId="77777777" w:rsidTr="00C86459">
        <w:trPr>
          <w:trHeight w:val="240"/>
        </w:trPr>
        <w:tc>
          <w:tcPr>
            <w:tcW w:w="3225" w:type="dxa"/>
            <w:tcBorders>
              <w:left w:val="single" w:sz="4" w:space="0" w:color="000000"/>
              <w:bottom w:val="single" w:sz="4" w:space="0" w:color="000000"/>
            </w:tcBorders>
            <w:shd w:val="clear" w:color="auto" w:fill="auto"/>
          </w:tcPr>
          <w:p w14:paraId="35FAF9F4" w14:textId="77777777" w:rsidR="00C86459" w:rsidRDefault="00C86459" w:rsidP="00C86459">
            <w:r>
              <w:rPr>
                <w:rFonts w:ascii="Open Sans" w:hAnsi="Open Sans" w:cs="Open Sans"/>
                <w:color w:val="00000A"/>
                <w:sz w:val="20"/>
                <w:szCs w:val="20"/>
              </w:rPr>
              <w:t>Holbah Santander Limited</w:t>
            </w:r>
          </w:p>
        </w:tc>
        <w:tc>
          <w:tcPr>
            <w:tcW w:w="3300" w:type="dxa"/>
            <w:tcBorders>
              <w:left w:val="single" w:sz="4" w:space="0" w:color="000000"/>
              <w:bottom w:val="single" w:sz="4" w:space="0" w:color="000000"/>
            </w:tcBorders>
            <w:shd w:val="clear" w:color="auto" w:fill="auto"/>
          </w:tcPr>
          <w:p w14:paraId="7853D416"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42FC5703" w14:textId="77777777" w:rsidR="00C86459" w:rsidRDefault="00C86459" w:rsidP="00C86459">
            <w:r>
              <w:rPr>
                <w:rFonts w:ascii="Open Sans" w:hAnsi="Open Sans" w:cs="Open Sans"/>
                <w:color w:val="00000A"/>
                <w:sz w:val="20"/>
                <w:szCs w:val="20"/>
              </w:rPr>
              <w:t>Sociedad de cartera</w:t>
            </w:r>
          </w:p>
        </w:tc>
      </w:tr>
      <w:tr w:rsidR="00C86459" w14:paraId="296E6285" w14:textId="77777777" w:rsidTr="00C86459">
        <w:trPr>
          <w:trHeight w:val="240"/>
        </w:trPr>
        <w:tc>
          <w:tcPr>
            <w:tcW w:w="3225" w:type="dxa"/>
            <w:tcBorders>
              <w:left w:val="single" w:sz="4" w:space="0" w:color="000000"/>
              <w:bottom w:val="single" w:sz="4" w:space="0" w:color="000000"/>
            </w:tcBorders>
            <w:shd w:val="clear" w:color="auto" w:fill="auto"/>
          </w:tcPr>
          <w:p w14:paraId="377FD1ED"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Holneth BV</w:t>
            </w:r>
          </w:p>
        </w:tc>
        <w:tc>
          <w:tcPr>
            <w:tcW w:w="3300" w:type="dxa"/>
            <w:tcBorders>
              <w:left w:val="single" w:sz="4" w:space="0" w:color="000000"/>
              <w:bottom w:val="single" w:sz="4" w:space="0" w:color="000000"/>
            </w:tcBorders>
            <w:shd w:val="clear" w:color="auto" w:fill="auto"/>
          </w:tcPr>
          <w:p w14:paraId="3DA532CF"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059B1482"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5C70A7F2" w14:textId="77777777" w:rsidTr="00C86459">
        <w:trPr>
          <w:trHeight w:val="240"/>
        </w:trPr>
        <w:tc>
          <w:tcPr>
            <w:tcW w:w="3225" w:type="dxa"/>
            <w:tcBorders>
              <w:left w:val="single" w:sz="4" w:space="0" w:color="000000"/>
              <w:bottom w:val="single" w:sz="4" w:space="0" w:color="000000"/>
            </w:tcBorders>
            <w:shd w:val="clear" w:color="auto" w:fill="auto"/>
          </w:tcPr>
          <w:p w14:paraId="0AC65100" w14:textId="77777777" w:rsidR="00C86459" w:rsidRDefault="00C86459" w:rsidP="00C86459">
            <w:r>
              <w:rPr>
                <w:rFonts w:ascii="Open Sans" w:hAnsi="Open Sans" w:cs="Open Sans"/>
                <w:color w:val="00000A"/>
                <w:sz w:val="20"/>
                <w:szCs w:val="20"/>
              </w:rPr>
              <w:t xml:space="preserve">HSH Delaware L.P. </w:t>
            </w:r>
          </w:p>
        </w:tc>
        <w:tc>
          <w:tcPr>
            <w:tcW w:w="3300" w:type="dxa"/>
            <w:tcBorders>
              <w:left w:val="single" w:sz="4" w:space="0" w:color="000000"/>
              <w:bottom w:val="single" w:sz="4" w:space="0" w:color="000000"/>
            </w:tcBorders>
            <w:shd w:val="clear" w:color="auto" w:fill="auto"/>
          </w:tcPr>
          <w:p w14:paraId="751E27D1"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0EA6D52" w14:textId="77777777" w:rsidR="00C86459" w:rsidRDefault="00C86459" w:rsidP="00C86459">
            <w:r>
              <w:rPr>
                <w:rFonts w:ascii="Open Sans" w:hAnsi="Open Sans" w:cs="Open Sans"/>
                <w:color w:val="00000A"/>
                <w:sz w:val="20"/>
                <w:szCs w:val="20"/>
              </w:rPr>
              <w:t>Sociedad de cartera</w:t>
            </w:r>
          </w:p>
        </w:tc>
      </w:tr>
      <w:tr w:rsidR="00C86459" w14:paraId="4B7AE34C" w14:textId="77777777" w:rsidTr="00C86459">
        <w:trPr>
          <w:trHeight w:val="240"/>
        </w:trPr>
        <w:tc>
          <w:tcPr>
            <w:tcW w:w="3225" w:type="dxa"/>
            <w:tcBorders>
              <w:left w:val="single" w:sz="4" w:space="0" w:color="000000"/>
              <w:bottom w:val="single" w:sz="4" w:space="0" w:color="000000"/>
            </w:tcBorders>
            <w:shd w:val="clear" w:color="auto" w:fill="auto"/>
          </w:tcPr>
          <w:p w14:paraId="68E7E1DA" w14:textId="77777777" w:rsidR="00C86459" w:rsidRPr="00A1554D" w:rsidRDefault="00C86459" w:rsidP="00C86459">
            <w:pPr>
              <w:rPr>
                <w:lang w:val="en-GB"/>
              </w:rPr>
            </w:pPr>
            <w:r w:rsidRPr="00A1554D">
              <w:rPr>
                <w:rFonts w:ascii="Open Sans" w:hAnsi="Open Sans" w:cs="Open Sans"/>
                <w:color w:val="00000A"/>
                <w:sz w:val="20"/>
                <w:szCs w:val="20"/>
                <w:lang w:val="en-GB"/>
              </w:rPr>
              <w:t>Imperial Holding S.C.A.</w:t>
            </w:r>
          </w:p>
        </w:tc>
        <w:tc>
          <w:tcPr>
            <w:tcW w:w="3300" w:type="dxa"/>
            <w:tcBorders>
              <w:left w:val="single" w:sz="4" w:space="0" w:color="000000"/>
              <w:bottom w:val="single" w:sz="4" w:space="0" w:color="000000"/>
            </w:tcBorders>
            <w:shd w:val="clear" w:color="auto" w:fill="auto"/>
          </w:tcPr>
          <w:p w14:paraId="22D05A77"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2E2B3AC8" w14:textId="77777777" w:rsidR="00C86459" w:rsidRDefault="00C86459" w:rsidP="00C86459">
            <w:r>
              <w:rPr>
                <w:rFonts w:ascii="Open Sans" w:hAnsi="Open Sans" w:cs="Open Sans"/>
                <w:color w:val="00000A"/>
                <w:sz w:val="20"/>
                <w:szCs w:val="20"/>
              </w:rPr>
              <w:t>Inversión Mobiliaria</w:t>
            </w:r>
          </w:p>
        </w:tc>
      </w:tr>
      <w:tr w:rsidR="00C86459" w14:paraId="7EEA7D79" w14:textId="77777777" w:rsidTr="00C86459">
        <w:trPr>
          <w:trHeight w:val="240"/>
        </w:trPr>
        <w:tc>
          <w:tcPr>
            <w:tcW w:w="3225" w:type="dxa"/>
            <w:tcBorders>
              <w:left w:val="single" w:sz="4" w:space="0" w:color="000000"/>
              <w:bottom w:val="single" w:sz="4" w:space="0" w:color="000000"/>
            </w:tcBorders>
            <w:shd w:val="clear" w:color="auto" w:fill="auto"/>
          </w:tcPr>
          <w:p w14:paraId="446EAFE1" w14:textId="77777777" w:rsidR="00C86459" w:rsidRDefault="00C86459" w:rsidP="00C86459">
            <w:r>
              <w:rPr>
                <w:rFonts w:ascii="Open Sans" w:hAnsi="Open Sans" w:cs="Open Sans"/>
                <w:color w:val="00000A"/>
                <w:sz w:val="20"/>
                <w:szCs w:val="20"/>
              </w:rPr>
              <w:t>Independence Community Bank Corp.</w:t>
            </w:r>
          </w:p>
        </w:tc>
        <w:tc>
          <w:tcPr>
            <w:tcW w:w="3300" w:type="dxa"/>
            <w:tcBorders>
              <w:left w:val="single" w:sz="4" w:space="0" w:color="000000"/>
              <w:bottom w:val="single" w:sz="4" w:space="0" w:color="000000"/>
            </w:tcBorders>
            <w:shd w:val="clear" w:color="auto" w:fill="auto"/>
          </w:tcPr>
          <w:p w14:paraId="655E1956"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5FEE6D6" w14:textId="77777777" w:rsidR="00C86459" w:rsidRDefault="00C86459" w:rsidP="00C86459">
            <w:r>
              <w:rPr>
                <w:rFonts w:ascii="Open Sans" w:hAnsi="Open Sans" w:cs="Open Sans"/>
                <w:color w:val="00000A"/>
                <w:sz w:val="20"/>
                <w:szCs w:val="20"/>
              </w:rPr>
              <w:t>Sociedad de cartera</w:t>
            </w:r>
          </w:p>
        </w:tc>
      </w:tr>
      <w:tr w:rsidR="00C86459" w14:paraId="3F051750" w14:textId="77777777" w:rsidTr="00C86459">
        <w:trPr>
          <w:trHeight w:val="240"/>
        </w:trPr>
        <w:tc>
          <w:tcPr>
            <w:tcW w:w="3225" w:type="dxa"/>
            <w:tcBorders>
              <w:left w:val="single" w:sz="4" w:space="0" w:color="000000"/>
              <w:bottom w:val="single" w:sz="4" w:space="0" w:color="000000"/>
            </w:tcBorders>
            <w:shd w:val="clear" w:color="auto" w:fill="auto"/>
          </w:tcPr>
          <w:p w14:paraId="04DC9414" w14:textId="77777777" w:rsidR="00C86459" w:rsidRPr="00A1554D" w:rsidRDefault="00C86459" w:rsidP="00C86459">
            <w:pPr>
              <w:rPr>
                <w:lang w:val="en-GB"/>
              </w:rPr>
            </w:pPr>
            <w:r w:rsidRPr="00A1554D">
              <w:rPr>
                <w:rFonts w:ascii="Open Sans" w:hAnsi="Open Sans" w:cs="Open Sans"/>
                <w:color w:val="00000A"/>
                <w:sz w:val="20"/>
                <w:szCs w:val="20"/>
                <w:lang w:val="en-GB"/>
              </w:rPr>
              <w:t>Independence Community Commercial Reinvestment Corp.</w:t>
            </w:r>
          </w:p>
        </w:tc>
        <w:tc>
          <w:tcPr>
            <w:tcW w:w="3300" w:type="dxa"/>
            <w:tcBorders>
              <w:left w:val="single" w:sz="4" w:space="0" w:color="000000"/>
              <w:bottom w:val="single" w:sz="4" w:space="0" w:color="000000"/>
            </w:tcBorders>
            <w:shd w:val="clear" w:color="auto" w:fill="auto"/>
          </w:tcPr>
          <w:p w14:paraId="1D298654"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D130DCB" w14:textId="77777777" w:rsidR="00C86459" w:rsidRDefault="00C86459" w:rsidP="00C86459">
            <w:r>
              <w:rPr>
                <w:rFonts w:ascii="Open Sans" w:hAnsi="Open Sans" w:cs="Open Sans"/>
                <w:color w:val="00000A"/>
                <w:sz w:val="20"/>
                <w:szCs w:val="20"/>
              </w:rPr>
              <w:t>Sociedad de cartera</w:t>
            </w:r>
          </w:p>
        </w:tc>
      </w:tr>
      <w:tr w:rsidR="00C86459" w14:paraId="4EEC20ED" w14:textId="77777777" w:rsidTr="00C86459">
        <w:trPr>
          <w:trHeight w:val="240"/>
        </w:trPr>
        <w:tc>
          <w:tcPr>
            <w:tcW w:w="3225" w:type="dxa"/>
            <w:tcBorders>
              <w:left w:val="single" w:sz="4" w:space="0" w:color="000000"/>
              <w:bottom w:val="single" w:sz="4" w:space="0" w:color="000000"/>
            </w:tcBorders>
            <w:shd w:val="clear" w:color="auto" w:fill="auto"/>
          </w:tcPr>
          <w:p w14:paraId="415C277D"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Interfinance Holanda BV</w:t>
            </w:r>
          </w:p>
        </w:tc>
        <w:tc>
          <w:tcPr>
            <w:tcW w:w="3300" w:type="dxa"/>
            <w:tcBorders>
              <w:left w:val="single" w:sz="4" w:space="0" w:color="000000"/>
              <w:bottom w:val="single" w:sz="4" w:space="0" w:color="000000"/>
            </w:tcBorders>
            <w:shd w:val="clear" w:color="auto" w:fill="auto"/>
          </w:tcPr>
          <w:p w14:paraId="0763AE92"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162CC772"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5AE3AA0B" w14:textId="77777777" w:rsidTr="00C86459">
        <w:trPr>
          <w:trHeight w:val="240"/>
        </w:trPr>
        <w:tc>
          <w:tcPr>
            <w:tcW w:w="3225" w:type="dxa"/>
            <w:tcBorders>
              <w:left w:val="single" w:sz="4" w:space="0" w:color="000000"/>
              <w:bottom w:val="single" w:sz="4" w:space="0" w:color="000000"/>
            </w:tcBorders>
            <w:shd w:val="clear" w:color="auto" w:fill="auto"/>
          </w:tcPr>
          <w:p w14:paraId="53B80CFF" w14:textId="77777777" w:rsidR="00C86459" w:rsidRPr="00A1554D" w:rsidRDefault="00C86459" w:rsidP="00C86459">
            <w:pPr>
              <w:rPr>
                <w:lang w:val="en-GB"/>
              </w:rPr>
            </w:pPr>
            <w:r w:rsidRPr="00A1554D">
              <w:rPr>
                <w:rFonts w:ascii="Open Sans" w:hAnsi="Open Sans" w:cs="Open Sans"/>
                <w:color w:val="00000A"/>
                <w:sz w:val="20"/>
                <w:szCs w:val="20"/>
                <w:lang w:val="en-GB"/>
              </w:rPr>
              <w:t xml:space="preserve">J.C. Flowers I L.P. </w:t>
            </w:r>
          </w:p>
        </w:tc>
        <w:tc>
          <w:tcPr>
            <w:tcW w:w="3300" w:type="dxa"/>
            <w:tcBorders>
              <w:left w:val="single" w:sz="4" w:space="0" w:color="000000"/>
              <w:bottom w:val="single" w:sz="4" w:space="0" w:color="000000"/>
            </w:tcBorders>
            <w:shd w:val="clear" w:color="auto" w:fill="auto"/>
          </w:tcPr>
          <w:p w14:paraId="56D777D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31E4256" w14:textId="77777777" w:rsidR="00C86459" w:rsidRDefault="00C86459" w:rsidP="00C86459">
            <w:r>
              <w:rPr>
                <w:rFonts w:ascii="Open Sans" w:hAnsi="Open Sans" w:cs="Open Sans"/>
                <w:color w:val="00000A"/>
                <w:sz w:val="20"/>
                <w:szCs w:val="20"/>
              </w:rPr>
              <w:t>sociedad de cartera</w:t>
            </w:r>
          </w:p>
        </w:tc>
      </w:tr>
      <w:tr w:rsidR="00C86459" w14:paraId="56B6B782" w14:textId="77777777" w:rsidTr="00C86459">
        <w:trPr>
          <w:trHeight w:val="240"/>
        </w:trPr>
        <w:tc>
          <w:tcPr>
            <w:tcW w:w="3225" w:type="dxa"/>
            <w:tcBorders>
              <w:left w:val="single" w:sz="4" w:space="0" w:color="000000"/>
              <w:bottom w:val="single" w:sz="4" w:space="0" w:color="000000"/>
            </w:tcBorders>
            <w:shd w:val="clear" w:color="auto" w:fill="auto"/>
          </w:tcPr>
          <w:p w14:paraId="6AFF48CD"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Jupiter III CV</w:t>
            </w:r>
          </w:p>
        </w:tc>
        <w:tc>
          <w:tcPr>
            <w:tcW w:w="3300" w:type="dxa"/>
            <w:tcBorders>
              <w:left w:val="single" w:sz="4" w:space="0" w:color="000000"/>
              <w:bottom w:val="single" w:sz="4" w:space="0" w:color="000000"/>
            </w:tcBorders>
            <w:shd w:val="clear" w:color="auto" w:fill="auto"/>
          </w:tcPr>
          <w:p w14:paraId="5E98D463"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2818B3CE"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2449B2B8" w14:textId="77777777" w:rsidTr="00C86459">
        <w:trPr>
          <w:trHeight w:val="240"/>
        </w:trPr>
        <w:tc>
          <w:tcPr>
            <w:tcW w:w="3225" w:type="dxa"/>
            <w:tcBorders>
              <w:left w:val="single" w:sz="4" w:space="0" w:color="000000"/>
              <w:bottom w:val="single" w:sz="4" w:space="0" w:color="000000"/>
            </w:tcBorders>
            <w:shd w:val="clear" w:color="auto" w:fill="auto"/>
          </w:tcPr>
          <w:p w14:paraId="3AAACF9E" w14:textId="77777777" w:rsidR="00C86459" w:rsidRPr="00A1554D" w:rsidRDefault="00C86459" w:rsidP="00C86459">
            <w:pPr>
              <w:rPr>
                <w:rFonts w:ascii="Open Sans" w:hAnsi="Open Sans" w:cs="Open Sans"/>
                <w:color w:val="00000A"/>
                <w:sz w:val="20"/>
                <w:szCs w:val="20"/>
                <w:lang w:val="en-GB"/>
              </w:rPr>
            </w:pPr>
            <w:r w:rsidRPr="00A1554D">
              <w:rPr>
                <w:rFonts w:ascii="Open Sans" w:hAnsi="Open Sans" w:cs="Open Sans"/>
                <w:color w:val="00000A"/>
                <w:sz w:val="20"/>
                <w:szCs w:val="20"/>
                <w:lang w:val="en-GB"/>
              </w:rPr>
              <w:t>Jupiter JCF AIV II-A C.V.</w:t>
            </w:r>
          </w:p>
        </w:tc>
        <w:tc>
          <w:tcPr>
            <w:tcW w:w="3300" w:type="dxa"/>
            <w:tcBorders>
              <w:left w:val="single" w:sz="4" w:space="0" w:color="000000"/>
              <w:bottom w:val="single" w:sz="4" w:space="0" w:color="000000"/>
            </w:tcBorders>
            <w:shd w:val="clear" w:color="auto" w:fill="auto"/>
          </w:tcPr>
          <w:p w14:paraId="45EBAEA0"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7D96FBE0"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65E310AA" w14:textId="77777777" w:rsidTr="00C86459">
        <w:trPr>
          <w:trHeight w:val="240"/>
        </w:trPr>
        <w:tc>
          <w:tcPr>
            <w:tcW w:w="3225" w:type="dxa"/>
            <w:tcBorders>
              <w:left w:val="single" w:sz="4" w:space="0" w:color="000000"/>
              <w:bottom w:val="single" w:sz="4" w:space="0" w:color="000000"/>
            </w:tcBorders>
            <w:shd w:val="clear" w:color="auto" w:fill="auto"/>
          </w:tcPr>
          <w:p w14:paraId="3A59F783" w14:textId="77777777" w:rsidR="00C86459" w:rsidRDefault="00C86459" w:rsidP="00C86459">
            <w:r>
              <w:rPr>
                <w:rFonts w:ascii="Open Sans" w:hAnsi="Open Sans" w:cs="Open Sans"/>
                <w:color w:val="00000A"/>
                <w:sz w:val="20"/>
                <w:szCs w:val="20"/>
              </w:rPr>
              <w:t>Langton Mortgages Trustee Limited</w:t>
            </w:r>
          </w:p>
        </w:tc>
        <w:tc>
          <w:tcPr>
            <w:tcW w:w="3300" w:type="dxa"/>
            <w:tcBorders>
              <w:left w:val="single" w:sz="4" w:space="0" w:color="000000"/>
              <w:bottom w:val="single" w:sz="4" w:space="0" w:color="000000"/>
            </w:tcBorders>
            <w:shd w:val="clear" w:color="auto" w:fill="auto"/>
          </w:tcPr>
          <w:p w14:paraId="28793F0C" w14:textId="77777777" w:rsidR="00C86459" w:rsidRDefault="00C86459" w:rsidP="00C86459">
            <w:r>
              <w:rPr>
                <w:rFonts w:ascii="Open Sans" w:hAnsi="Open Sans" w:cs="Open Sans"/>
                <w:color w:val="00000A"/>
                <w:sz w:val="20"/>
                <w:szCs w:val="20"/>
              </w:rPr>
              <w:t>Jersey</w:t>
            </w:r>
          </w:p>
        </w:tc>
        <w:tc>
          <w:tcPr>
            <w:tcW w:w="2070" w:type="dxa"/>
            <w:tcBorders>
              <w:left w:val="single" w:sz="4" w:space="0" w:color="000000"/>
              <w:bottom w:val="single" w:sz="4" w:space="0" w:color="000000"/>
              <w:right w:val="single" w:sz="4" w:space="0" w:color="000000"/>
            </w:tcBorders>
            <w:shd w:val="clear" w:color="auto" w:fill="auto"/>
          </w:tcPr>
          <w:p w14:paraId="4E747CC2" w14:textId="77777777" w:rsidR="00C86459" w:rsidRDefault="00C86459" w:rsidP="00C86459">
            <w:r>
              <w:rPr>
                <w:rFonts w:ascii="Open Sans" w:hAnsi="Open Sans" w:cs="Open Sans"/>
                <w:color w:val="00000A"/>
                <w:sz w:val="20"/>
                <w:szCs w:val="20"/>
              </w:rPr>
              <w:t xml:space="preserve">Titulización </w:t>
            </w:r>
          </w:p>
        </w:tc>
      </w:tr>
      <w:tr w:rsidR="00C86459" w14:paraId="555B0AC0" w14:textId="77777777" w:rsidTr="00C86459">
        <w:trPr>
          <w:trHeight w:val="240"/>
        </w:trPr>
        <w:tc>
          <w:tcPr>
            <w:tcW w:w="3225" w:type="dxa"/>
            <w:tcBorders>
              <w:left w:val="single" w:sz="4" w:space="0" w:color="000000"/>
              <w:bottom w:val="single" w:sz="4" w:space="0" w:color="000000"/>
            </w:tcBorders>
            <w:shd w:val="clear" w:color="auto" w:fill="auto"/>
          </w:tcPr>
          <w:p w14:paraId="53034311" w14:textId="77777777" w:rsidR="00C86459" w:rsidRDefault="00C86459" w:rsidP="00C86459">
            <w:r>
              <w:rPr>
                <w:rFonts w:ascii="Open Sans" w:hAnsi="Open Sans" w:cs="Open Sans"/>
                <w:color w:val="00000A"/>
                <w:sz w:val="20"/>
                <w:szCs w:val="20"/>
              </w:rPr>
              <w:t>Leasetotta No. 1 Limited</w:t>
            </w:r>
          </w:p>
        </w:tc>
        <w:tc>
          <w:tcPr>
            <w:tcW w:w="3300" w:type="dxa"/>
            <w:tcBorders>
              <w:left w:val="single" w:sz="4" w:space="0" w:color="000000"/>
              <w:bottom w:val="single" w:sz="4" w:space="0" w:color="000000"/>
            </w:tcBorders>
            <w:shd w:val="clear" w:color="auto" w:fill="auto"/>
          </w:tcPr>
          <w:p w14:paraId="3F30BFF0"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C402F15" w14:textId="77777777" w:rsidR="00C86459" w:rsidRDefault="00C86459" w:rsidP="00C86459">
            <w:r>
              <w:rPr>
                <w:rFonts w:ascii="Open Sans" w:hAnsi="Open Sans" w:cs="Open Sans"/>
                <w:color w:val="00000A"/>
                <w:sz w:val="20"/>
                <w:szCs w:val="20"/>
              </w:rPr>
              <w:t>Titulización</w:t>
            </w:r>
          </w:p>
        </w:tc>
      </w:tr>
      <w:tr w:rsidR="00C86459" w14:paraId="146603AA" w14:textId="77777777" w:rsidTr="00C86459">
        <w:trPr>
          <w:trHeight w:val="240"/>
        </w:trPr>
        <w:tc>
          <w:tcPr>
            <w:tcW w:w="3225" w:type="dxa"/>
            <w:tcBorders>
              <w:left w:val="single" w:sz="4" w:space="0" w:color="000000"/>
              <w:bottom w:val="single" w:sz="4" w:space="0" w:color="000000"/>
            </w:tcBorders>
            <w:shd w:val="clear" w:color="auto" w:fill="auto"/>
          </w:tcPr>
          <w:p w14:paraId="20B84497" w14:textId="77777777" w:rsidR="00C86459" w:rsidRDefault="00C86459" w:rsidP="00C86459">
            <w:r>
              <w:rPr>
                <w:rFonts w:ascii="Open Sans" w:hAnsi="Open Sans" w:cs="Open Sans"/>
                <w:color w:val="00000A"/>
                <w:sz w:val="20"/>
                <w:szCs w:val="20"/>
              </w:rPr>
              <w:t>Merlion Aviation One Limited</w:t>
            </w:r>
          </w:p>
        </w:tc>
        <w:tc>
          <w:tcPr>
            <w:tcW w:w="3300" w:type="dxa"/>
            <w:tcBorders>
              <w:left w:val="single" w:sz="4" w:space="0" w:color="000000"/>
              <w:bottom w:val="single" w:sz="4" w:space="0" w:color="000000"/>
            </w:tcBorders>
            <w:shd w:val="clear" w:color="auto" w:fill="auto"/>
          </w:tcPr>
          <w:p w14:paraId="582C0A5A"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2C96130F" w14:textId="77777777" w:rsidR="00C86459" w:rsidRDefault="00C86459" w:rsidP="00C86459">
            <w:r>
              <w:rPr>
                <w:rFonts w:ascii="Open Sans" w:hAnsi="Open Sans" w:cs="Open Sans"/>
                <w:color w:val="00000A"/>
                <w:sz w:val="20"/>
                <w:szCs w:val="20"/>
              </w:rPr>
              <w:t>Renting</w:t>
            </w:r>
          </w:p>
        </w:tc>
      </w:tr>
      <w:tr w:rsidR="00C86459" w14:paraId="1A3E2CB8" w14:textId="77777777" w:rsidTr="00C86459">
        <w:trPr>
          <w:trHeight w:val="240"/>
        </w:trPr>
        <w:tc>
          <w:tcPr>
            <w:tcW w:w="3225" w:type="dxa"/>
            <w:tcBorders>
              <w:left w:val="single" w:sz="4" w:space="0" w:color="000000"/>
              <w:bottom w:val="single" w:sz="4" w:space="0" w:color="000000"/>
            </w:tcBorders>
            <w:shd w:val="clear" w:color="auto" w:fill="auto"/>
          </w:tcPr>
          <w:p w14:paraId="28A742BD" w14:textId="77777777" w:rsidR="00C86459" w:rsidRPr="00A1554D" w:rsidRDefault="00C86459" w:rsidP="00C86459">
            <w:pPr>
              <w:rPr>
                <w:lang w:val="en-GB"/>
              </w:rPr>
            </w:pPr>
            <w:r w:rsidRPr="00A1554D">
              <w:rPr>
                <w:rFonts w:ascii="Open Sans" w:hAnsi="Open Sans" w:cs="Open Sans"/>
                <w:color w:val="00000A"/>
                <w:sz w:val="20"/>
                <w:szCs w:val="20"/>
                <w:lang w:val="en-GB"/>
              </w:rPr>
              <w:t>New PEL S.a.r.l.</w:t>
            </w:r>
          </w:p>
        </w:tc>
        <w:tc>
          <w:tcPr>
            <w:tcW w:w="3300" w:type="dxa"/>
            <w:tcBorders>
              <w:left w:val="single" w:sz="4" w:space="0" w:color="000000"/>
              <w:bottom w:val="single" w:sz="4" w:space="0" w:color="000000"/>
            </w:tcBorders>
            <w:shd w:val="clear" w:color="auto" w:fill="auto"/>
          </w:tcPr>
          <w:p w14:paraId="33B8060E"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35CD262C" w14:textId="77777777" w:rsidR="00C86459" w:rsidRDefault="00C86459" w:rsidP="00C86459">
            <w:r>
              <w:rPr>
                <w:rFonts w:ascii="Open Sans" w:hAnsi="Open Sans" w:cs="Open Sans"/>
                <w:color w:val="00000A"/>
                <w:sz w:val="20"/>
                <w:szCs w:val="20"/>
              </w:rPr>
              <w:t>Sociedad de cartera</w:t>
            </w:r>
          </w:p>
        </w:tc>
      </w:tr>
      <w:tr w:rsidR="00C86459" w14:paraId="2A7DC7DE" w14:textId="77777777" w:rsidTr="00C86459">
        <w:trPr>
          <w:trHeight w:val="240"/>
        </w:trPr>
        <w:tc>
          <w:tcPr>
            <w:tcW w:w="3225" w:type="dxa"/>
            <w:tcBorders>
              <w:left w:val="single" w:sz="4" w:space="0" w:color="000000"/>
              <w:bottom w:val="single" w:sz="4" w:space="0" w:color="000000"/>
            </w:tcBorders>
            <w:shd w:val="clear" w:color="auto" w:fill="auto"/>
          </w:tcPr>
          <w:p w14:paraId="5E46544D" w14:textId="77777777" w:rsidR="00C86459" w:rsidRPr="00A1554D" w:rsidRDefault="00C86459" w:rsidP="00C86459">
            <w:pPr>
              <w:rPr>
                <w:lang w:val="en-GB"/>
              </w:rPr>
            </w:pPr>
            <w:r w:rsidRPr="00A1554D">
              <w:rPr>
                <w:rFonts w:ascii="Open Sans" w:hAnsi="Open Sans" w:cs="Open Sans"/>
                <w:color w:val="00000A"/>
                <w:sz w:val="20"/>
                <w:szCs w:val="20"/>
                <w:lang w:val="en-GB"/>
              </w:rPr>
              <w:t>NPG Weath Management S.a.r.l.</w:t>
            </w:r>
          </w:p>
        </w:tc>
        <w:tc>
          <w:tcPr>
            <w:tcW w:w="3300" w:type="dxa"/>
            <w:tcBorders>
              <w:left w:val="single" w:sz="4" w:space="0" w:color="000000"/>
              <w:bottom w:val="single" w:sz="4" w:space="0" w:color="000000"/>
            </w:tcBorders>
            <w:shd w:val="clear" w:color="auto" w:fill="auto"/>
          </w:tcPr>
          <w:p w14:paraId="4B1CF66C"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31266F04" w14:textId="77777777" w:rsidR="00C86459" w:rsidRDefault="00C86459" w:rsidP="00C86459">
            <w:r>
              <w:rPr>
                <w:rFonts w:ascii="Open Sans" w:hAnsi="Open Sans" w:cs="Open Sans"/>
                <w:color w:val="00000A"/>
                <w:sz w:val="20"/>
                <w:szCs w:val="20"/>
              </w:rPr>
              <w:t>Sociedad de cartera</w:t>
            </w:r>
          </w:p>
        </w:tc>
      </w:tr>
      <w:tr w:rsidR="00C86459" w14:paraId="6DDD09AD" w14:textId="77777777" w:rsidTr="00C86459">
        <w:trPr>
          <w:trHeight w:val="240"/>
        </w:trPr>
        <w:tc>
          <w:tcPr>
            <w:tcW w:w="3225" w:type="dxa"/>
            <w:tcBorders>
              <w:left w:val="single" w:sz="4" w:space="0" w:color="000000"/>
              <w:bottom w:val="single" w:sz="4" w:space="0" w:color="000000"/>
            </w:tcBorders>
            <w:shd w:val="clear" w:color="auto" w:fill="auto"/>
          </w:tcPr>
          <w:p w14:paraId="36695A34" w14:textId="77777777" w:rsidR="00C86459" w:rsidRDefault="00C86459" w:rsidP="00C86459">
            <w:r>
              <w:rPr>
                <w:rFonts w:ascii="Open Sans" w:hAnsi="Open Sans" w:cs="Open Sans"/>
                <w:color w:val="00000A"/>
                <w:sz w:val="20"/>
                <w:szCs w:val="20"/>
              </w:rPr>
              <w:t>NW Services CO</w:t>
            </w:r>
          </w:p>
        </w:tc>
        <w:tc>
          <w:tcPr>
            <w:tcW w:w="3300" w:type="dxa"/>
            <w:tcBorders>
              <w:left w:val="single" w:sz="4" w:space="0" w:color="000000"/>
              <w:bottom w:val="single" w:sz="4" w:space="0" w:color="000000"/>
            </w:tcBorders>
            <w:shd w:val="clear" w:color="auto" w:fill="auto"/>
          </w:tcPr>
          <w:p w14:paraId="02B64C78"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6A04753" w14:textId="77777777" w:rsidR="00C86459" w:rsidRDefault="00C86459" w:rsidP="00C86459">
            <w:r>
              <w:rPr>
                <w:rFonts w:ascii="Open Sans" w:hAnsi="Open Sans" w:cs="Open Sans"/>
                <w:color w:val="00000A"/>
                <w:sz w:val="20"/>
                <w:szCs w:val="20"/>
              </w:rPr>
              <w:t>Comercio electrónico</w:t>
            </w:r>
          </w:p>
        </w:tc>
      </w:tr>
      <w:tr w:rsidR="00C86459" w14:paraId="1C369D61" w14:textId="77777777" w:rsidTr="00C86459">
        <w:trPr>
          <w:trHeight w:val="240"/>
        </w:trPr>
        <w:tc>
          <w:tcPr>
            <w:tcW w:w="3225" w:type="dxa"/>
            <w:tcBorders>
              <w:left w:val="single" w:sz="4" w:space="0" w:color="000000"/>
              <w:bottom w:val="single" w:sz="4" w:space="0" w:color="000000"/>
            </w:tcBorders>
            <w:shd w:val="clear" w:color="auto" w:fill="auto"/>
          </w:tcPr>
          <w:p w14:paraId="53C9307A" w14:textId="77777777" w:rsidR="00C86459" w:rsidRDefault="00C86459" w:rsidP="00C86459">
            <w:r>
              <w:rPr>
                <w:rFonts w:ascii="Open Sans" w:hAnsi="Open Sans" w:cs="Open Sans"/>
                <w:color w:val="00000A"/>
                <w:sz w:val="20"/>
                <w:szCs w:val="20"/>
              </w:rPr>
              <w:t>Olivant Limited (consolidado)</w:t>
            </w:r>
          </w:p>
        </w:tc>
        <w:tc>
          <w:tcPr>
            <w:tcW w:w="3300" w:type="dxa"/>
            <w:tcBorders>
              <w:left w:val="single" w:sz="4" w:space="0" w:color="000000"/>
              <w:bottom w:val="single" w:sz="4" w:space="0" w:color="000000"/>
            </w:tcBorders>
            <w:shd w:val="clear" w:color="auto" w:fill="auto"/>
          </w:tcPr>
          <w:p w14:paraId="68559142" w14:textId="77777777" w:rsidR="00C86459" w:rsidRDefault="00C86459" w:rsidP="00C86459">
            <w:r>
              <w:rPr>
                <w:rFonts w:ascii="Open Sans" w:hAnsi="Open Sans" w:cs="Open Sans"/>
                <w:color w:val="00000A"/>
                <w:sz w:val="20"/>
                <w:szCs w:val="20"/>
              </w:rPr>
              <w:t>Guernsey</w:t>
            </w:r>
          </w:p>
        </w:tc>
        <w:tc>
          <w:tcPr>
            <w:tcW w:w="2070" w:type="dxa"/>
            <w:tcBorders>
              <w:left w:val="single" w:sz="4" w:space="0" w:color="000000"/>
              <w:bottom w:val="single" w:sz="4" w:space="0" w:color="000000"/>
              <w:right w:val="single" w:sz="4" w:space="0" w:color="000000"/>
            </w:tcBorders>
            <w:shd w:val="clear" w:color="auto" w:fill="auto"/>
          </w:tcPr>
          <w:p w14:paraId="35B2821F" w14:textId="77777777" w:rsidR="00C86459" w:rsidRDefault="00C86459" w:rsidP="00C86459">
            <w:r>
              <w:rPr>
                <w:rFonts w:ascii="Open Sans" w:hAnsi="Open Sans" w:cs="Open Sans"/>
                <w:color w:val="00000A"/>
                <w:sz w:val="20"/>
                <w:szCs w:val="20"/>
              </w:rPr>
              <w:t>Sociedad de cartera</w:t>
            </w:r>
          </w:p>
        </w:tc>
      </w:tr>
      <w:tr w:rsidR="00C86459" w14:paraId="39467C44" w14:textId="77777777" w:rsidTr="00C86459">
        <w:trPr>
          <w:trHeight w:val="240"/>
        </w:trPr>
        <w:tc>
          <w:tcPr>
            <w:tcW w:w="3225" w:type="dxa"/>
            <w:tcBorders>
              <w:left w:val="single" w:sz="4" w:space="0" w:color="000000"/>
              <w:bottom w:val="single" w:sz="4" w:space="0" w:color="000000"/>
            </w:tcBorders>
            <w:shd w:val="clear" w:color="auto" w:fill="auto"/>
          </w:tcPr>
          <w:p w14:paraId="76405BF7" w14:textId="77777777" w:rsidR="00C86459" w:rsidRDefault="00C86459" w:rsidP="00C86459">
            <w:r>
              <w:rPr>
                <w:rFonts w:ascii="Open Sans" w:hAnsi="Open Sans" w:cs="Open Sans"/>
                <w:color w:val="00000A"/>
                <w:sz w:val="20"/>
                <w:szCs w:val="20"/>
              </w:rPr>
              <w:t>Optimal Investment Services SA</w:t>
            </w:r>
          </w:p>
        </w:tc>
        <w:tc>
          <w:tcPr>
            <w:tcW w:w="3300" w:type="dxa"/>
            <w:tcBorders>
              <w:left w:val="single" w:sz="4" w:space="0" w:color="000000"/>
              <w:bottom w:val="single" w:sz="4" w:space="0" w:color="000000"/>
            </w:tcBorders>
            <w:shd w:val="clear" w:color="auto" w:fill="auto"/>
          </w:tcPr>
          <w:p w14:paraId="1E1508BF" w14:textId="77777777" w:rsidR="00C86459" w:rsidRDefault="00C86459" w:rsidP="00C86459">
            <w:r>
              <w:rPr>
                <w:rFonts w:ascii="Open Sans" w:hAnsi="Open Sans" w:cs="Open Sans"/>
                <w:color w:val="00000A"/>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27FD3E29" w14:textId="77777777" w:rsidR="00C86459" w:rsidRDefault="00C86459" w:rsidP="00C86459">
            <w:r>
              <w:rPr>
                <w:rFonts w:ascii="Open Sans" w:hAnsi="Open Sans" w:cs="Open Sans"/>
                <w:color w:val="00000A"/>
                <w:sz w:val="20"/>
                <w:szCs w:val="20"/>
              </w:rPr>
              <w:t>Gestora de fondos</w:t>
            </w:r>
          </w:p>
        </w:tc>
      </w:tr>
      <w:tr w:rsidR="00C86459" w14:paraId="6ACF3F7C" w14:textId="77777777" w:rsidTr="00C86459">
        <w:trPr>
          <w:trHeight w:val="240"/>
        </w:trPr>
        <w:tc>
          <w:tcPr>
            <w:tcW w:w="3225" w:type="dxa"/>
            <w:tcBorders>
              <w:left w:val="single" w:sz="4" w:space="0" w:color="000000"/>
              <w:bottom w:val="single" w:sz="4" w:space="0" w:color="000000"/>
            </w:tcBorders>
            <w:shd w:val="clear" w:color="auto" w:fill="auto"/>
          </w:tcPr>
          <w:p w14:paraId="601A2095" w14:textId="77777777" w:rsidR="00C86459" w:rsidRPr="00A1554D" w:rsidRDefault="00C86459" w:rsidP="00C86459">
            <w:pPr>
              <w:rPr>
                <w:lang w:val="en-GB"/>
              </w:rPr>
            </w:pPr>
            <w:r w:rsidRPr="00A1554D">
              <w:rPr>
                <w:rFonts w:ascii="Open Sans" w:hAnsi="Open Sans" w:cs="Open Sans"/>
                <w:color w:val="00000A"/>
                <w:sz w:val="20"/>
                <w:szCs w:val="20"/>
                <w:lang w:val="en-GB"/>
              </w:rPr>
              <w:t>Optimal Multiadvisors Ireland Plc /Optimal Strategic US Equity Ireland Euro Fund</w:t>
            </w:r>
          </w:p>
        </w:tc>
        <w:tc>
          <w:tcPr>
            <w:tcW w:w="3300" w:type="dxa"/>
            <w:tcBorders>
              <w:left w:val="single" w:sz="4" w:space="0" w:color="000000"/>
              <w:bottom w:val="single" w:sz="4" w:space="0" w:color="000000"/>
            </w:tcBorders>
            <w:shd w:val="clear" w:color="auto" w:fill="auto"/>
          </w:tcPr>
          <w:p w14:paraId="6560D2D6"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E854C5C" w14:textId="77777777" w:rsidR="00C86459" w:rsidRDefault="00C86459" w:rsidP="00C86459">
            <w:r>
              <w:rPr>
                <w:rFonts w:ascii="Open Sans" w:hAnsi="Open Sans" w:cs="Open Sans"/>
                <w:color w:val="00000A"/>
                <w:sz w:val="20"/>
                <w:szCs w:val="20"/>
              </w:rPr>
              <w:t>Gestora de fondos</w:t>
            </w:r>
          </w:p>
        </w:tc>
      </w:tr>
      <w:tr w:rsidR="00C86459" w14:paraId="0A03D966" w14:textId="77777777" w:rsidTr="00C86459">
        <w:trPr>
          <w:trHeight w:val="240"/>
        </w:trPr>
        <w:tc>
          <w:tcPr>
            <w:tcW w:w="3225" w:type="dxa"/>
            <w:tcBorders>
              <w:left w:val="single" w:sz="4" w:space="0" w:color="000000"/>
              <w:bottom w:val="single" w:sz="4" w:space="0" w:color="000000"/>
            </w:tcBorders>
            <w:shd w:val="clear" w:color="auto" w:fill="auto"/>
          </w:tcPr>
          <w:p w14:paraId="2BC35EA0" w14:textId="77777777" w:rsidR="00C86459" w:rsidRPr="00A1554D" w:rsidRDefault="00C86459" w:rsidP="00C86459">
            <w:pPr>
              <w:rPr>
                <w:lang w:val="en-GB"/>
              </w:rPr>
            </w:pPr>
            <w:r w:rsidRPr="00A1554D">
              <w:rPr>
                <w:rFonts w:ascii="Open Sans" w:hAnsi="Open Sans" w:cs="Open Sans"/>
                <w:color w:val="00000A"/>
                <w:sz w:val="20"/>
                <w:szCs w:val="20"/>
                <w:lang w:val="en-GB"/>
              </w:rPr>
              <w:t>Optimal Multiadvisors Ireland Plc /Optimal Strategic US Equity Ireland US Dollar Fund</w:t>
            </w:r>
          </w:p>
        </w:tc>
        <w:tc>
          <w:tcPr>
            <w:tcW w:w="3300" w:type="dxa"/>
            <w:tcBorders>
              <w:left w:val="single" w:sz="4" w:space="0" w:color="000000"/>
              <w:bottom w:val="single" w:sz="4" w:space="0" w:color="000000"/>
            </w:tcBorders>
            <w:shd w:val="clear" w:color="auto" w:fill="auto"/>
          </w:tcPr>
          <w:p w14:paraId="0111ED3B"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27C6A064" w14:textId="77777777" w:rsidR="00C86459" w:rsidRDefault="00C86459" w:rsidP="00C86459">
            <w:r>
              <w:rPr>
                <w:rFonts w:ascii="Open Sans" w:hAnsi="Open Sans" w:cs="Open Sans"/>
                <w:color w:val="00000A"/>
                <w:sz w:val="20"/>
                <w:szCs w:val="20"/>
              </w:rPr>
              <w:t>Gestora de fondos</w:t>
            </w:r>
          </w:p>
        </w:tc>
      </w:tr>
      <w:tr w:rsidR="00C86459" w14:paraId="117C0E2C" w14:textId="77777777" w:rsidTr="00C86459">
        <w:trPr>
          <w:trHeight w:val="240"/>
        </w:trPr>
        <w:tc>
          <w:tcPr>
            <w:tcW w:w="3225" w:type="dxa"/>
            <w:tcBorders>
              <w:left w:val="single" w:sz="4" w:space="0" w:color="000000"/>
              <w:bottom w:val="single" w:sz="4" w:space="0" w:color="000000"/>
            </w:tcBorders>
            <w:shd w:val="clear" w:color="auto" w:fill="auto"/>
          </w:tcPr>
          <w:p w14:paraId="50B7DE74" w14:textId="77777777" w:rsidR="00C86459" w:rsidRPr="00A1554D" w:rsidRDefault="00C86459" w:rsidP="00C86459">
            <w:pPr>
              <w:rPr>
                <w:lang w:val="en-GB"/>
              </w:rPr>
            </w:pPr>
            <w:r w:rsidRPr="00A1554D">
              <w:rPr>
                <w:rFonts w:ascii="Open Sans" w:hAnsi="Open Sans" w:cs="Open Sans"/>
                <w:color w:val="00000A"/>
                <w:sz w:val="20"/>
                <w:szCs w:val="20"/>
                <w:lang w:val="en-GB"/>
              </w:rPr>
              <w:t>Optimal Multiadvisors Ltd / Optimal Strategic US Equity Series (consolidado)</w:t>
            </w:r>
          </w:p>
        </w:tc>
        <w:tc>
          <w:tcPr>
            <w:tcW w:w="3300" w:type="dxa"/>
            <w:tcBorders>
              <w:left w:val="single" w:sz="4" w:space="0" w:color="000000"/>
              <w:bottom w:val="single" w:sz="4" w:space="0" w:color="000000"/>
            </w:tcBorders>
            <w:shd w:val="clear" w:color="auto" w:fill="auto"/>
          </w:tcPr>
          <w:p w14:paraId="38DDF9C5"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36C3D2D5" w14:textId="77777777" w:rsidR="00C86459" w:rsidRDefault="00C86459" w:rsidP="00C86459">
            <w:r>
              <w:rPr>
                <w:rFonts w:ascii="Open Sans" w:hAnsi="Open Sans" w:cs="Open Sans"/>
                <w:color w:val="00000A"/>
                <w:sz w:val="20"/>
                <w:szCs w:val="20"/>
              </w:rPr>
              <w:t>Gestora de fondos</w:t>
            </w:r>
          </w:p>
        </w:tc>
      </w:tr>
      <w:tr w:rsidR="00C86459" w14:paraId="36F07C40" w14:textId="77777777" w:rsidTr="00C86459">
        <w:trPr>
          <w:trHeight w:val="240"/>
        </w:trPr>
        <w:tc>
          <w:tcPr>
            <w:tcW w:w="3225" w:type="dxa"/>
            <w:tcBorders>
              <w:left w:val="single" w:sz="4" w:space="0" w:color="000000"/>
              <w:bottom w:val="single" w:sz="4" w:space="0" w:color="000000"/>
            </w:tcBorders>
            <w:shd w:val="clear" w:color="auto" w:fill="auto"/>
          </w:tcPr>
          <w:p w14:paraId="5F386AD3" w14:textId="77777777" w:rsidR="00C86459" w:rsidRDefault="00C86459" w:rsidP="00C86459">
            <w:r>
              <w:rPr>
                <w:rFonts w:ascii="Open Sans" w:hAnsi="Open Sans" w:cs="Open Sans"/>
                <w:color w:val="00000A"/>
                <w:sz w:val="20"/>
                <w:szCs w:val="20"/>
              </w:rPr>
              <w:t xml:space="preserve">Parasant S.A. </w:t>
            </w:r>
          </w:p>
        </w:tc>
        <w:tc>
          <w:tcPr>
            <w:tcW w:w="3300" w:type="dxa"/>
            <w:tcBorders>
              <w:left w:val="single" w:sz="4" w:space="0" w:color="000000"/>
              <w:bottom w:val="single" w:sz="4" w:space="0" w:color="000000"/>
            </w:tcBorders>
            <w:shd w:val="clear" w:color="auto" w:fill="auto"/>
          </w:tcPr>
          <w:p w14:paraId="12670D60" w14:textId="77777777" w:rsidR="00C86459" w:rsidRDefault="00C86459" w:rsidP="00C86459">
            <w:r>
              <w:rPr>
                <w:rFonts w:ascii="Open Sans" w:hAnsi="Open Sans" w:cs="Open Sans"/>
                <w:color w:val="00000A"/>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1678E4DC" w14:textId="77777777" w:rsidR="00C86459" w:rsidRDefault="00C86459" w:rsidP="00C86459">
            <w:r>
              <w:rPr>
                <w:rFonts w:ascii="Open Sans" w:hAnsi="Open Sans" w:cs="Open Sans"/>
                <w:color w:val="00000A"/>
                <w:sz w:val="20"/>
                <w:szCs w:val="20"/>
              </w:rPr>
              <w:t>Sociedad de cartera</w:t>
            </w:r>
          </w:p>
        </w:tc>
      </w:tr>
      <w:tr w:rsidR="00C86459" w14:paraId="574B059F" w14:textId="77777777" w:rsidTr="00C86459">
        <w:trPr>
          <w:trHeight w:val="240"/>
        </w:trPr>
        <w:tc>
          <w:tcPr>
            <w:tcW w:w="3225" w:type="dxa"/>
            <w:tcBorders>
              <w:left w:val="single" w:sz="4" w:space="0" w:color="000000"/>
              <w:bottom w:val="single" w:sz="4" w:space="0" w:color="000000"/>
            </w:tcBorders>
            <w:shd w:val="clear" w:color="auto" w:fill="auto"/>
          </w:tcPr>
          <w:p w14:paraId="42DB8329" w14:textId="77777777" w:rsidR="00C86459" w:rsidRDefault="00C86459" w:rsidP="00C86459">
            <w:r>
              <w:rPr>
                <w:rFonts w:ascii="Open Sans" w:hAnsi="Open Sans" w:cs="Open Sans"/>
                <w:color w:val="00000A"/>
                <w:sz w:val="20"/>
                <w:szCs w:val="20"/>
              </w:rPr>
              <w:t>PBE Companies, LLC</w:t>
            </w:r>
          </w:p>
        </w:tc>
        <w:tc>
          <w:tcPr>
            <w:tcW w:w="3300" w:type="dxa"/>
            <w:tcBorders>
              <w:left w:val="single" w:sz="4" w:space="0" w:color="000000"/>
              <w:bottom w:val="single" w:sz="4" w:space="0" w:color="000000"/>
            </w:tcBorders>
            <w:shd w:val="clear" w:color="auto" w:fill="auto"/>
          </w:tcPr>
          <w:p w14:paraId="7A43828C"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AF44014" w14:textId="77777777" w:rsidR="00C86459" w:rsidRDefault="00C86459" w:rsidP="00C86459">
            <w:r>
              <w:rPr>
                <w:rFonts w:ascii="Open Sans" w:hAnsi="Open Sans" w:cs="Open Sans"/>
                <w:color w:val="00000A"/>
                <w:sz w:val="20"/>
                <w:szCs w:val="20"/>
              </w:rPr>
              <w:t>Inmobiliaria</w:t>
            </w:r>
          </w:p>
        </w:tc>
      </w:tr>
      <w:tr w:rsidR="00C86459" w14:paraId="1945CEAD" w14:textId="77777777" w:rsidTr="00C86459">
        <w:trPr>
          <w:trHeight w:val="240"/>
        </w:trPr>
        <w:tc>
          <w:tcPr>
            <w:tcW w:w="3225" w:type="dxa"/>
            <w:tcBorders>
              <w:left w:val="single" w:sz="4" w:space="0" w:color="000000"/>
              <w:bottom w:val="single" w:sz="4" w:space="0" w:color="000000"/>
            </w:tcBorders>
            <w:shd w:val="clear" w:color="auto" w:fill="auto"/>
          </w:tcPr>
          <w:p w14:paraId="7423941A" w14:textId="77777777" w:rsidR="00C86459" w:rsidRDefault="00C86459" w:rsidP="00C86459">
            <w:r>
              <w:rPr>
                <w:rFonts w:ascii="Open Sans" w:hAnsi="Open Sans" w:cs="Open Sans"/>
                <w:color w:val="00000A"/>
                <w:sz w:val="20"/>
                <w:szCs w:val="20"/>
              </w:rPr>
              <w:t>Phoenix C1 Aviation Limited</w:t>
            </w:r>
          </w:p>
        </w:tc>
        <w:tc>
          <w:tcPr>
            <w:tcW w:w="3300" w:type="dxa"/>
            <w:tcBorders>
              <w:left w:val="single" w:sz="4" w:space="0" w:color="000000"/>
              <w:bottom w:val="single" w:sz="4" w:space="0" w:color="000000"/>
            </w:tcBorders>
            <w:shd w:val="clear" w:color="auto" w:fill="auto"/>
          </w:tcPr>
          <w:p w14:paraId="13F5A681"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52015C7B" w14:textId="77777777" w:rsidR="00C86459" w:rsidRDefault="00C86459" w:rsidP="00C86459">
            <w:r>
              <w:rPr>
                <w:rFonts w:ascii="Open Sans" w:hAnsi="Open Sans" w:cs="Open Sans"/>
                <w:color w:val="00000A"/>
                <w:sz w:val="20"/>
                <w:szCs w:val="20"/>
              </w:rPr>
              <w:t>Renting</w:t>
            </w:r>
          </w:p>
        </w:tc>
      </w:tr>
      <w:tr w:rsidR="00C86459" w14:paraId="3AE435E0" w14:textId="77777777" w:rsidTr="00C86459">
        <w:trPr>
          <w:trHeight w:val="240"/>
        </w:trPr>
        <w:tc>
          <w:tcPr>
            <w:tcW w:w="3225" w:type="dxa"/>
            <w:tcBorders>
              <w:left w:val="single" w:sz="4" w:space="0" w:color="000000"/>
              <w:bottom w:val="single" w:sz="4" w:space="0" w:color="000000"/>
            </w:tcBorders>
            <w:shd w:val="clear" w:color="auto" w:fill="auto"/>
          </w:tcPr>
          <w:p w14:paraId="26167D38" w14:textId="77777777" w:rsidR="00C86459" w:rsidRDefault="00C86459" w:rsidP="00C86459">
            <w:r>
              <w:rPr>
                <w:rFonts w:ascii="Open Sans" w:hAnsi="Open Sans" w:cs="Open Sans"/>
                <w:color w:val="00000A"/>
                <w:sz w:val="20"/>
                <w:szCs w:val="20"/>
              </w:rPr>
              <w:t>Pingham International, S.A.</w:t>
            </w:r>
          </w:p>
        </w:tc>
        <w:tc>
          <w:tcPr>
            <w:tcW w:w="3300" w:type="dxa"/>
            <w:tcBorders>
              <w:left w:val="single" w:sz="4" w:space="0" w:color="000000"/>
              <w:bottom w:val="single" w:sz="4" w:space="0" w:color="000000"/>
            </w:tcBorders>
            <w:shd w:val="clear" w:color="auto" w:fill="auto"/>
          </w:tcPr>
          <w:p w14:paraId="47CE93ED"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5B0DC8FB" w14:textId="77777777" w:rsidR="00C86459" w:rsidRDefault="00C86459" w:rsidP="00C86459">
            <w:r>
              <w:rPr>
                <w:rFonts w:ascii="Open Sans" w:hAnsi="Open Sans" w:cs="Open Sans"/>
                <w:color w:val="00000A"/>
                <w:sz w:val="20"/>
                <w:szCs w:val="20"/>
              </w:rPr>
              <w:t>Servicios</w:t>
            </w:r>
          </w:p>
        </w:tc>
      </w:tr>
      <w:tr w:rsidR="00C86459" w14:paraId="566DA424" w14:textId="77777777" w:rsidTr="00C86459">
        <w:trPr>
          <w:trHeight w:val="240"/>
        </w:trPr>
        <w:tc>
          <w:tcPr>
            <w:tcW w:w="3225" w:type="dxa"/>
            <w:tcBorders>
              <w:left w:val="single" w:sz="4" w:space="0" w:color="000000"/>
              <w:bottom w:val="single" w:sz="4" w:space="0" w:color="000000"/>
            </w:tcBorders>
            <w:shd w:val="clear" w:color="auto" w:fill="auto"/>
          </w:tcPr>
          <w:p w14:paraId="5FF3B368"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Project Maple I BV</w:t>
            </w:r>
          </w:p>
        </w:tc>
        <w:tc>
          <w:tcPr>
            <w:tcW w:w="3300" w:type="dxa"/>
            <w:tcBorders>
              <w:left w:val="single" w:sz="4" w:space="0" w:color="000000"/>
              <w:bottom w:val="single" w:sz="4" w:space="0" w:color="000000"/>
            </w:tcBorders>
            <w:shd w:val="clear" w:color="auto" w:fill="auto"/>
          </w:tcPr>
          <w:p w14:paraId="23367F3D"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7CBC148F"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Inversiones Mobiliarias</w:t>
            </w:r>
          </w:p>
        </w:tc>
      </w:tr>
      <w:tr w:rsidR="00C86459" w14:paraId="7B731F88" w14:textId="77777777" w:rsidTr="00C86459">
        <w:trPr>
          <w:trHeight w:val="240"/>
        </w:trPr>
        <w:tc>
          <w:tcPr>
            <w:tcW w:w="3225" w:type="dxa"/>
            <w:tcBorders>
              <w:left w:val="single" w:sz="4" w:space="0" w:color="000000"/>
              <w:bottom w:val="single" w:sz="4" w:space="0" w:color="000000"/>
            </w:tcBorders>
            <w:shd w:val="clear" w:color="auto" w:fill="auto"/>
          </w:tcPr>
          <w:p w14:paraId="473ECC06" w14:textId="77777777" w:rsidR="00C86459" w:rsidRDefault="00C86459" w:rsidP="00C86459">
            <w:r>
              <w:rPr>
                <w:rFonts w:ascii="Open Sans" w:hAnsi="Open Sans" w:cs="Open Sans"/>
                <w:color w:val="00000A"/>
                <w:sz w:val="20"/>
                <w:szCs w:val="20"/>
              </w:rPr>
              <w:t>PSA Finance Suisse, S.A.</w:t>
            </w:r>
          </w:p>
        </w:tc>
        <w:tc>
          <w:tcPr>
            <w:tcW w:w="3300" w:type="dxa"/>
            <w:tcBorders>
              <w:left w:val="single" w:sz="4" w:space="0" w:color="000000"/>
              <w:bottom w:val="single" w:sz="4" w:space="0" w:color="000000"/>
            </w:tcBorders>
            <w:shd w:val="clear" w:color="auto" w:fill="auto"/>
          </w:tcPr>
          <w:p w14:paraId="4F25DEF1" w14:textId="77777777" w:rsidR="00C86459" w:rsidRDefault="00C86459" w:rsidP="00C86459">
            <w:r>
              <w:rPr>
                <w:rFonts w:ascii="Open Sans" w:hAnsi="Open Sans" w:cs="Open Sans"/>
                <w:color w:val="00000A"/>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7AE69871" w14:textId="77777777" w:rsidR="00C86459" w:rsidRDefault="00C86459" w:rsidP="00C86459">
            <w:r>
              <w:rPr>
                <w:rFonts w:ascii="Open Sans" w:hAnsi="Open Sans" w:cs="Open Sans"/>
                <w:color w:val="00000A"/>
                <w:sz w:val="20"/>
                <w:szCs w:val="20"/>
              </w:rPr>
              <w:t>Leasing</w:t>
            </w:r>
          </w:p>
        </w:tc>
      </w:tr>
      <w:tr w:rsidR="00C86459" w14:paraId="225244CD" w14:textId="77777777" w:rsidTr="00C86459">
        <w:trPr>
          <w:trHeight w:val="240"/>
        </w:trPr>
        <w:tc>
          <w:tcPr>
            <w:tcW w:w="3225" w:type="dxa"/>
            <w:tcBorders>
              <w:left w:val="single" w:sz="4" w:space="0" w:color="000000"/>
              <w:bottom w:val="single" w:sz="4" w:space="0" w:color="000000"/>
            </w:tcBorders>
            <w:shd w:val="clear" w:color="auto" w:fill="auto"/>
          </w:tcPr>
          <w:p w14:paraId="0A8DA79C" w14:textId="77777777" w:rsidR="00C86459" w:rsidRDefault="00C86459" w:rsidP="00C86459">
            <w:r>
              <w:rPr>
                <w:rFonts w:ascii="Open Sans" w:hAnsi="Open Sans" w:cs="Open Sans"/>
                <w:color w:val="00000A"/>
                <w:sz w:val="20"/>
                <w:szCs w:val="20"/>
              </w:rPr>
              <w:t>Punta Lima LLC</w:t>
            </w:r>
          </w:p>
        </w:tc>
        <w:tc>
          <w:tcPr>
            <w:tcW w:w="3300" w:type="dxa"/>
            <w:tcBorders>
              <w:left w:val="single" w:sz="4" w:space="0" w:color="000000"/>
              <w:bottom w:val="single" w:sz="4" w:space="0" w:color="000000"/>
            </w:tcBorders>
            <w:shd w:val="clear" w:color="auto" w:fill="auto"/>
          </w:tcPr>
          <w:p w14:paraId="7763C13E"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8F962DB" w14:textId="77777777" w:rsidR="00C86459" w:rsidRDefault="00C86459" w:rsidP="00C86459">
            <w:r>
              <w:rPr>
                <w:rFonts w:ascii="Open Sans" w:hAnsi="Open Sans" w:cs="Open Sans"/>
                <w:color w:val="00000A"/>
                <w:sz w:val="20"/>
                <w:szCs w:val="20"/>
              </w:rPr>
              <w:t>Leasing</w:t>
            </w:r>
          </w:p>
        </w:tc>
      </w:tr>
      <w:tr w:rsidR="00C86459" w14:paraId="7A244604" w14:textId="77777777" w:rsidTr="00C86459">
        <w:trPr>
          <w:trHeight w:val="240"/>
        </w:trPr>
        <w:tc>
          <w:tcPr>
            <w:tcW w:w="3225" w:type="dxa"/>
            <w:tcBorders>
              <w:left w:val="single" w:sz="4" w:space="0" w:color="000000"/>
              <w:bottom w:val="single" w:sz="4" w:space="0" w:color="000000"/>
            </w:tcBorders>
            <w:shd w:val="clear" w:color="auto" w:fill="auto"/>
          </w:tcPr>
          <w:p w14:paraId="49262CC3" w14:textId="77777777" w:rsidR="00C86459" w:rsidRDefault="00C86459" w:rsidP="00C86459">
            <w:r>
              <w:rPr>
                <w:rFonts w:ascii="Open Sans" w:hAnsi="Open Sans" w:cs="Open Sans"/>
                <w:sz w:val="20"/>
                <w:szCs w:val="20"/>
              </w:rPr>
              <w:t xml:space="preserve">Retop S.A. </w:t>
            </w:r>
          </w:p>
        </w:tc>
        <w:tc>
          <w:tcPr>
            <w:tcW w:w="3300" w:type="dxa"/>
            <w:tcBorders>
              <w:left w:val="single" w:sz="4" w:space="0" w:color="000000"/>
              <w:bottom w:val="single" w:sz="4" w:space="0" w:color="000000"/>
            </w:tcBorders>
            <w:shd w:val="clear" w:color="auto" w:fill="auto"/>
          </w:tcPr>
          <w:p w14:paraId="589008D5" w14:textId="77777777" w:rsidR="00C86459" w:rsidRDefault="00C86459" w:rsidP="00C86459">
            <w:r>
              <w:rPr>
                <w:rFonts w:ascii="Open Sans" w:hAnsi="Open Sans" w:cs="Open Sans"/>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28AFC4F9" w14:textId="77777777" w:rsidR="00C86459" w:rsidRDefault="00C86459" w:rsidP="00C86459">
            <w:r>
              <w:rPr>
                <w:rFonts w:ascii="Open Sans" w:hAnsi="Open Sans" w:cs="Open Sans"/>
                <w:sz w:val="20"/>
                <w:szCs w:val="20"/>
              </w:rPr>
              <w:t>Financiera</w:t>
            </w:r>
          </w:p>
        </w:tc>
      </w:tr>
      <w:tr w:rsidR="00C86459" w14:paraId="02721EFA" w14:textId="77777777" w:rsidTr="00C86459">
        <w:trPr>
          <w:trHeight w:val="240"/>
        </w:trPr>
        <w:tc>
          <w:tcPr>
            <w:tcW w:w="3225" w:type="dxa"/>
            <w:tcBorders>
              <w:left w:val="single" w:sz="4" w:space="0" w:color="000000"/>
              <w:bottom w:val="single" w:sz="4" w:space="0" w:color="000000"/>
            </w:tcBorders>
            <w:shd w:val="clear" w:color="auto" w:fill="auto"/>
          </w:tcPr>
          <w:p w14:paraId="5C9F052E" w14:textId="77777777" w:rsidR="00C86459" w:rsidRDefault="00C86459" w:rsidP="00C86459">
            <w:r>
              <w:rPr>
                <w:rFonts w:ascii="Open Sans" w:hAnsi="Open Sans" w:cs="Open Sans"/>
                <w:color w:val="00000A"/>
                <w:sz w:val="20"/>
                <w:szCs w:val="20"/>
              </w:rPr>
              <w:t>Rias Redbanc, S.A.</w:t>
            </w:r>
          </w:p>
        </w:tc>
        <w:tc>
          <w:tcPr>
            <w:tcW w:w="3300" w:type="dxa"/>
            <w:tcBorders>
              <w:left w:val="single" w:sz="4" w:space="0" w:color="000000"/>
              <w:bottom w:val="single" w:sz="4" w:space="0" w:color="000000"/>
            </w:tcBorders>
            <w:shd w:val="clear" w:color="auto" w:fill="auto"/>
          </w:tcPr>
          <w:p w14:paraId="5B96AE1F"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3EA2B121" w14:textId="77777777" w:rsidR="00C86459" w:rsidRDefault="00C86459" w:rsidP="00C86459">
            <w:r>
              <w:rPr>
                <w:rFonts w:ascii="Open Sans" w:hAnsi="Open Sans" w:cs="Open Sans"/>
                <w:color w:val="00000A"/>
                <w:sz w:val="20"/>
                <w:szCs w:val="20"/>
              </w:rPr>
              <w:t>Servicios</w:t>
            </w:r>
          </w:p>
        </w:tc>
      </w:tr>
      <w:tr w:rsidR="00C86459" w14:paraId="0EEF5469" w14:textId="77777777" w:rsidTr="00C86459">
        <w:trPr>
          <w:trHeight w:val="240"/>
        </w:trPr>
        <w:tc>
          <w:tcPr>
            <w:tcW w:w="3225" w:type="dxa"/>
            <w:tcBorders>
              <w:left w:val="single" w:sz="4" w:space="0" w:color="000000"/>
              <w:bottom w:val="single" w:sz="4" w:space="0" w:color="000000"/>
            </w:tcBorders>
            <w:shd w:val="clear" w:color="auto" w:fill="auto"/>
          </w:tcPr>
          <w:p w14:paraId="6F1B0415" w14:textId="77777777" w:rsidR="00C86459" w:rsidRDefault="00C86459" w:rsidP="00C86459">
            <w:r>
              <w:rPr>
                <w:rFonts w:ascii="Open Sans" w:hAnsi="Open Sans" w:cs="Open Sans"/>
                <w:color w:val="00000A"/>
                <w:sz w:val="20"/>
                <w:szCs w:val="20"/>
              </w:rPr>
              <w:t>Riobank International (Uruguay) SAIFE</w:t>
            </w:r>
          </w:p>
        </w:tc>
        <w:tc>
          <w:tcPr>
            <w:tcW w:w="3300" w:type="dxa"/>
            <w:tcBorders>
              <w:left w:val="single" w:sz="4" w:space="0" w:color="000000"/>
              <w:bottom w:val="single" w:sz="4" w:space="0" w:color="000000"/>
            </w:tcBorders>
            <w:shd w:val="clear" w:color="auto" w:fill="auto"/>
          </w:tcPr>
          <w:p w14:paraId="7A787A5C"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7AFB1F5E" w14:textId="77777777" w:rsidR="00C86459" w:rsidRDefault="00C86459" w:rsidP="00C86459">
            <w:r>
              <w:rPr>
                <w:rFonts w:ascii="Open Sans" w:hAnsi="Open Sans" w:cs="Open Sans"/>
                <w:color w:val="00000A"/>
                <w:sz w:val="20"/>
                <w:szCs w:val="20"/>
              </w:rPr>
              <w:t>Banca</w:t>
            </w:r>
          </w:p>
        </w:tc>
      </w:tr>
      <w:tr w:rsidR="00C86459" w14:paraId="34C44106" w14:textId="77777777" w:rsidTr="00C86459">
        <w:trPr>
          <w:trHeight w:val="240"/>
        </w:trPr>
        <w:tc>
          <w:tcPr>
            <w:tcW w:w="3225" w:type="dxa"/>
            <w:tcBorders>
              <w:left w:val="single" w:sz="4" w:space="0" w:color="000000"/>
              <w:bottom w:val="single" w:sz="4" w:space="0" w:color="000000"/>
            </w:tcBorders>
            <w:shd w:val="clear" w:color="auto" w:fill="auto"/>
          </w:tcPr>
          <w:p w14:paraId="0E85EBFB" w14:textId="77777777" w:rsidR="00C86459" w:rsidRPr="00A1554D" w:rsidRDefault="00C86459" w:rsidP="00C86459">
            <w:pPr>
              <w:rPr>
                <w:lang w:val="en-GB"/>
              </w:rPr>
            </w:pPr>
            <w:r w:rsidRPr="00A1554D">
              <w:rPr>
                <w:rFonts w:ascii="Open Sans" w:hAnsi="Open Sans" w:cs="Open Sans"/>
                <w:sz w:val="20"/>
                <w:szCs w:val="20"/>
                <w:lang w:val="en-GB"/>
              </w:rPr>
              <w:t>Roc Aviation One Designated Activity Company</w:t>
            </w:r>
          </w:p>
        </w:tc>
        <w:tc>
          <w:tcPr>
            <w:tcW w:w="3300" w:type="dxa"/>
            <w:tcBorders>
              <w:left w:val="single" w:sz="4" w:space="0" w:color="000000"/>
              <w:bottom w:val="single" w:sz="4" w:space="0" w:color="000000"/>
            </w:tcBorders>
            <w:shd w:val="clear" w:color="auto" w:fill="auto"/>
          </w:tcPr>
          <w:p w14:paraId="42BAB9A0" w14:textId="77777777" w:rsidR="00C86459" w:rsidRDefault="00C86459" w:rsidP="00C86459">
            <w:r>
              <w:rPr>
                <w:rFonts w:ascii="Open Sans" w:hAnsi="Open Sans" w:cs="Open Sans"/>
                <w:sz w:val="20"/>
                <w:szCs w:val="20"/>
              </w:rPr>
              <w:t>Irlanda</w:t>
            </w:r>
          </w:p>
        </w:tc>
        <w:tc>
          <w:tcPr>
            <w:tcW w:w="2070" w:type="dxa"/>
            <w:tcBorders>
              <w:left w:val="single" w:sz="4" w:space="0" w:color="000000"/>
              <w:bottom w:val="single" w:sz="4" w:space="0" w:color="000000"/>
              <w:right w:val="single" w:sz="4" w:space="0" w:color="000000"/>
            </w:tcBorders>
            <w:shd w:val="clear" w:color="auto" w:fill="auto"/>
          </w:tcPr>
          <w:p w14:paraId="107006DF" w14:textId="77777777" w:rsidR="00C86459" w:rsidRDefault="00C86459" w:rsidP="00C86459">
            <w:r>
              <w:rPr>
                <w:rFonts w:ascii="Open Sans" w:hAnsi="Open Sans" w:cs="Open Sans"/>
                <w:sz w:val="20"/>
                <w:szCs w:val="20"/>
              </w:rPr>
              <w:t>Renting</w:t>
            </w:r>
          </w:p>
        </w:tc>
      </w:tr>
      <w:tr w:rsidR="00C86459" w14:paraId="3F5C544B" w14:textId="77777777" w:rsidTr="00C86459">
        <w:trPr>
          <w:trHeight w:val="240"/>
        </w:trPr>
        <w:tc>
          <w:tcPr>
            <w:tcW w:w="3225" w:type="dxa"/>
            <w:tcBorders>
              <w:left w:val="single" w:sz="4" w:space="0" w:color="000000"/>
              <w:bottom w:val="single" w:sz="4" w:space="0" w:color="000000"/>
            </w:tcBorders>
            <w:shd w:val="clear" w:color="auto" w:fill="auto"/>
          </w:tcPr>
          <w:p w14:paraId="67FF5CDE" w14:textId="77777777" w:rsidR="00C86459" w:rsidRDefault="00C86459" w:rsidP="00C86459">
            <w:r>
              <w:rPr>
                <w:rFonts w:ascii="Open Sans" w:hAnsi="Open Sans" w:cs="Open Sans"/>
                <w:sz w:val="20"/>
                <w:szCs w:val="20"/>
              </w:rPr>
              <w:t>Roc Shipping One Limited</w:t>
            </w:r>
          </w:p>
        </w:tc>
        <w:tc>
          <w:tcPr>
            <w:tcW w:w="3300" w:type="dxa"/>
            <w:tcBorders>
              <w:left w:val="single" w:sz="4" w:space="0" w:color="000000"/>
              <w:bottom w:val="single" w:sz="4" w:space="0" w:color="000000"/>
            </w:tcBorders>
            <w:shd w:val="clear" w:color="auto" w:fill="auto"/>
          </w:tcPr>
          <w:p w14:paraId="4A9A9ABF" w14:textId="77777777" w:rsidR="00C86459" w:rsidRDefault="00C86459" w:rsidP="00C86459">
            <w:r>
              <w:rPr>
                <w:rFonts w:ascii="Open Sans" w:hAnsi="Open Sans" w:cs="Open Sans"/>
                <w:sz w:val="20"/>
                <w:szCs w:val="20"/>
              </w:rPr>
              <w:t>Irlanda</w:t>
            </w:r>
          </w:p>
        </w:tc>
        <w:tc>
          <w:tcPr>
            <w:tcW w:w="2070" w:type="dxa"/>
            <w:tcBorders>
              <w:left w:val="single" w:sz="4" w:space="0" w:color="000000"/>
              <w:bottom w:val="single" w:sz="4" w:space="0" w:color="000000"/>
              <w:right w:val="single" w:sz="4" w:space="0" w:color="000000"/>
            </w:tcBorders>
            <w:shd w:val="clear" w:color="auto" w:fill="auto"/>
          </w:tcPr>
          <w:p w14:paraId="282F7305" w14:textId="77777777" w:rsidR="00C86459" w:rsidRDefault="00C86459" w:rsidP="00C86459">
            <w:r>
              <w:rPr>
                <w:rFonts w:ascii="Open Sans" w:hAnsi="Open Sans" w:cs="Open Sans"/>
                <w:sz w:val="20"/>
                <w:szCs w:val="20"/>
              </w:rPr>
              <w:t>Renting</w:t>
            </w:r>
          </w:p>
        </w:tc>
      </w:tr>
      <w:tr w:rsidR="00C86459" w14:paraId="68F7FFF8" w14:textId="77777777" w:rsidTr="00C86459">
        <w:trPr>
          <w:trHeight w:val="240"/>
        </w:trPr>
        <w:tc>
          <w:tcPr>
            <w:tcW w:w="3225" w:type="dxa"/>
            <w:tcBorders>
              <w:left w:val="single" w:sz="4" w:space="0" w:color="000000"/>
              <w:bottom w:val="single" w:sz="4" w:space="0" w:color="000000"/>
            </w:tcBorders>
            <w:shd w:val="clear" w:color="auto" w:fill="auto"/>
          </w:tcPr>
          <w:p w14:paraId="541A940A" w14:textId="77777777" w:rsidR="00C86459" w:rsidRDefault="00C86459" w:rsidP="00C86459">
            <w:r>
              <w:rPr>
                <w:rFonts w:ascii="Open Sans" w:hAnsi="Open Sans" w:cs="Open Sans"/>
                <w:color w:val="00000A"/>
                <w:sz w:val="20"/>
                <w:szCs w:val="20"/>
              </w:rPr>
              <w:t>Saja ECA Limited</w:t>
            </w:r>
          </w:p>
        </w:tc>
        <w:tc>
          <w:tcPr>
            <w:tcW w:w="3300" w:type="dxa"/>
            <w:tcBorders>
              <w:left w:val="single" w:sz="4" w:space="0" w:color="000000"/>
              <w:bottom w:val="single" w:sz="4" w:space="0" w:color="000000"/>
            </w:tcBorders>
            <w:shd w:val="clear" w:color="auto" w:fill="auto"/>
          </w:tcPr>
          <w:p w14:paraId="1AAE38D3"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28C6AD6D" w14:textId="77777777" w:rsidR="00C86459" w:rsidRDefault="00C86459" w:rsidP="00C86459">
            <w:r>
              <w:rPr>
                <w:rFonts w:ascii="Open Sans" w:hAnsi="Open Sans" w:cs="Open Sans"/>
                <w:color w:val="00000A"/>
                <w:sz w:val="20"/>
                <w:szCs w:val="20"/>
              </w:rPr>
              <w:t>Financiera</w:t>
            </w:r>
          </w:p>
        </w:tc>
      </w:tr>
      <w:tr w:rsidR="00C86459" w14:paraId="77393170" w14:textId="77777777" w:rsidTr="00C86459">
        <w:trPr>
          <w:trHeight w:val="240"/>
        </w:trPr>
        <w:tc>
          <w:tcPr>
            <w:tcW w:w="3225" w:type="dxa"/>
            <w:tcBorders>
              <w:left w:val="single" w:sz="4" w:space="0" w:color="000000"/>
              <w:bottom w:val="single" w:sz="4" w:space="0" w:color="000000"/>
            </w:tcBorders>
            <w:shd w:val="clear" w:color="auto" w:fill="auto"/>
          </w:tcPr>
          <w:p w14:paraId="0D23B0FA" w14:textId="77777777" w:rsidR="00C86459" w:rsidRPr="00A1554D" w:rsidRDefault="00C86459" w:rsidP="00C86459">
            <w:pPr>
              <w:rPr>
                <w:lang w:val="en-GB"/>
              </w:rPr>
            </w:pPr>
            <w:r w:rsidRPr="00A1554D">
              <w:rPr>
                <w:rFonts w:ascii="Open Sans" w:hAnsi="Open Sans" w:cs="Open Sans"/>
                <w:color w:val="00000A"/>
                <w:sz w:val="20"/>
                <w:szCs w:val="20"/>
                <w:lang w:val="en-GB"/>
              </w:rPr>
              <w:t>SAM finance Lux S.a.r.l</w:t>
            </w:r>
          </w:p>
        </w:tc>
        <w:tc>
          <w:tcPr>
            <w:tcW w:w="3300" w:type="dxa"/>
            <w:tcBorders>
              <w:left w:val="single" w:sz="4" w:space="0" w:color="000000"/>
              <w:bottom w:val="single" w:sz="4" w:space="0" w:color="000000"/>
            </w:tcBorders>
            <w:shd w:val="clear" w:color="auto" w:fill="auto"/>
          </w:tcPr>
          <w:p w14:paraId="2D491F2B"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693D7EDF" w14:textId="77777777" w:rsidR="00C86459" w:rsidRDefault="00C86459" w:rsidP="00C86459">
            <w:r>
              <w:rPr>
                <w:rFonts w:ascii="Open Sans" w:hAnsi="Open Sans" w:cs="Open Sans"/>
                <w:color w:val="00000A"/>
                <w:sz w:val="20"/>
                <w:szCs w:val="20"/>
              </w:rPr>
              <w:t>Gestora</w:t>
            </w:r>
          </w:p>
        </w:tc>
      </w:tr>
      <w:tr w:rsidR="00C86459" w14:paraId="655B8D99" w14:textId="77777777" w:rsidTr="00C86459">
        <w:trPr>
          <w:trHeight w:val="240"/>
        </w:trPr>
        <w:tc>
          <w:tcPr>
            <w:tcW w:w="3225" w:type="dxa"/>
            <w:tcBorders>
              <w:left w:val="single" w:sz="4" w:space="0" w:color="000000"/>
              <w:bottom w:val="single" w:sz="4" w:space="0" w:color="000000"/>
            </w:tcBorders>
            <w:shd w:val="clear" w:color="auto" w:fill="auto"/>
          </w:tcPr>
          <w:p w14:paraId="682A7C43" w14:textId="77777777" w:rsidR="00C86459" w:rsidRDefault="00C86459" w:rsidP="00C86459">
            <w:r>
              <w:rPr>
                <w:rFonts w:ascii="Open Sans" w:hAnsi="Open Sans" w:cs="Open Sans"/>
                <w:color w:val="00000A"/>
                <w:sz w:val="20"/>
                <w:szCs w:val="20"/>
              </w:rPr>
              <w:t>SAM Investments holdings limited</w:t>
            </w:r>
          </w:p>
        </w:tc>
        <w:tc>
          <w:tcPr>
            <w:tcW w:w="3300" w:type="dxa"/>
            <w:tcBorders>
              <w:left w:val="single" w:sz="4" w:space="0" w:color="000000"/>
              <w:bottom w:val="single" w:sz="4" w:space="0" w:color="000000"/>
            </w:tcBorders>
            <w:shd w:val="clear" w:color="auto" w:fill="auto"/>
          </w:tcPr>
          <w:p w14:paraId="40EE09CE" w14:textId="77777777" w:rsidR="00C86459" w:rsidRDefault="00C86459" w:rsidP="00C86459">
            <w:r>
              <w:rPr>
                <w:rFonts w:ascii="Open Sans" w:hAnsi="Open Sans" w:cs="Open Sans"/>
                <w:color w:val="00000A"/>
                <w:sz w:val="20"/>
                <w:szCs w:val="20"/>
              </w:rPr>
              <w:t>Jersey</w:t>
            </w:r>
          </w:p>
        </w:tc>
        <w:tc>
          <w:tcPr>
            <w:tcW w:w="2070" w:type="dxa"/>
            <w:tcBorders>
              <w:left w:val="single" w:sz="4" w:space="0" w:color="000000"/>
              <w:bottom w:val="single" w:sz="4" w:space="0" w:color="000000"/>
              <w:right w:val="single" w:sz="4" w:space="0" w:color="000000"/>
            </w:tcBorders>
            <w:shd w:val="clear" w:color="auto" w:fill="auto"/>
          </w:tcPr>
          <w:p w14:paraId="06FAFA28" w14:textId="77777777" w:rsidR="00C86459" w:rsidRDefault="00C86459" w:rsidP="00C86459">
            <w:r>
              <w:rPr>
                <w:rFonts w:ascii="Open Sans" w:hAnsi="Open Sans" w:cs="Open Sans"/>
                <w:color w:val="00000A"/>
                <w:sz w:val="20"/>
                <w:szCs w:val="20"/>
              </w:rPr>
              <w:t>Sociedad de cartera</w:t>
            </w:r>
          </w:p>
        </w:tc>
      </w:tr>
      <w:tr w:rsidR="00C86459" w14:paraId="33D39190" w14:textId="77777777" w:rsidTr="00C86459">
        <w:trPr>
          <w:trHeight w:val="240"/>
        </w:trPr>
        <w:tc>
          <w:tcPr>
            <w:tcW w:w="3225" w:type="dxa"/>
            <w:tcBorders>
              <w:left w:val="single" w:sz="4" w:space="0" w:color="000000"/>
              <w:bottom w:val="single" w:sz="4" w:space="0" w:color="000000"/>
            </w:tcBorders>
            <w:shd w:val="clear" w:color="auto" w:fill="auto"/>
          </w:tcPr>
          <w:p w14:paraId="045401D9" w14:textId="77777777" w:rsidR="00C86459" w:rsidRDefault="00C86459" w:rsidP="00C86459">
            <w:r>
              <w:rPr>
                <w:rFonts w:ascii="Open Sans" w:hAnsi="Open Sans" w:cs="Open Sans"/>
                <w:color w:val="00000A"/>
                <w:sz w:val="20"/>
                <w:szCs w:val="20"/>
              </w:rPr>
              <w:t>Santander Asset Management LLC</w:t>
            </w:r>
          </w:p>
        </w:tc>
        <w:tc>
          <w:tcPr>
            <w:tcW w:w="3300" w:type="dxa"/>
            <w:tcBorders>
              <w:left w:val="single" w:sz="4" w:space="0" w:color="000000"/>
              <w:bottom w:val="single" w:sz="4" w:space="0" w:color="000000"/>
            </w:tcBorders>
            <w:shd w:val="clear" w:color="auto" w:fill="auto"/>
          </w:tcPr>
          <w:p w14:paraId="25D79E73" w14:textId="77777777" w:rsidR="00C86459" w:rsidRDefault="00C86459" w:rsidP="00C86459">
            <w:r>
              <w:rPr>
                <w:rFonts w:ascii="Open Sans" w:hAnsi="Open Sans" w:cs="Open Sans"/>
                <w:color w:val="00000A"/>
                <w:sz w:val="20"/>
                <w:szCs w:val="20"/>
              </w:rPr>
              <w:t>Puerto Rico</w:t>
            </w:r>
          </w:p>
        </w:tc>
        <w:tc>
          <w:tcPr>
            <w:tcW w:w="2070" w:type="dxa"/>
            <w:tcBorders>
              <w:left w:val="single" w:sz="4" w:space="0" w:color="000000"/>
              <w:bottom w:val="single" w:sz="4" w:space="0" w:color="000000"/>
              <w:right w:val="single" w:sz="4" w:space="0" w:color="000000"/>
            </w:tcBorders>
            <w:shd w:val="clear" w:color="auto" w:fill="auto"/>
          </w:tcPr>
          <w:p w14:paraId="5BE67998" w14:textId="77777777" w:rsidR="00C86459" w:rsidRDefault="00C86459" w:rsidP="00C86459">
            <w:r>
              <w:rPr>
                <w:rFonts w:ascii="Open Sans" w:hAnsi="Open Sans" w:cs="Open Sans"/>
                <w:color w:val="00000A"/>
                <w:sz w:val="20"/>
                <w:szCs w:val="20"/>
              </w:rPr>
              <w:t>Gestora</w:t>
            </w:r>
          </w:p>
        </w:tc>
      </w:tr>
      <w:tr w:rsidR="00C86459" w14:paraId="351F5FCE" w14:textId="77777777" w:rsidTr="00C86459">
        <w:trPr>
          <w:trHeight w:val="240"/>
        </w:trPr>
        <w:tc>
          <w:tcPr>
            <w:tcW w:w="3225" w:type="dxa"/>
            <w:tcBorders>
              <w:left w:val="single" w:sz="4" w:space="0" w:color="000000"/>
              <w:bottom w:val="single" w:sz="4" w:space="0" w:color="000000"/>
            </w:tcBorders>
            <w:shd w:val="clear" w:color="auto" w:fill="auto"/>
          </w:tcPr>
          <w:p w14:paraId="568416E1" w14:textId="77777777" w:rsidR="00C86459" w:rsidRPr="00A1554D" w:rsidRDefault="00C86459" w:rsidP="00C86459">
            <w:pPr>
              <w:rPr>
                <w:lang w:val="en-GB"/>
              </w:rPr>
            </w:pPr>
            <w:r w:rsidRPr="00A1554D">
              <w:rPr>
                <w:rFonts w:ascii="Open Sans" w:hAnsi="Open Sans" w:cs="Open Sans"/>
                <w:color w:val="00000A"/>
                <w:sz w:val="20"/>
                <w:szCs w:val="20"/>
                <w:lang w:val="en-GB"/>
              </w:rPr>
              <w:t>Santander Asset Management Luxembourg, S.A.</w:t>
            </w:r>
          </w:p>
        </w:tc>
        <w:tc>
          <w:tcPr>
            <w:tcW w:w="3300" w:type="dxa"/>
            <w:tcBorders>
              <w:left w:val="single" w:sz="4" w:space="0" w:color="000000"/>
              <w:bottom w:val="single" w:sz="4" w:space="0" w:color="000000"/>
            </w:tcBorders>
            <w:shd w:val="clear" w:color="auto" w:fill="auto"/>
          </w:tcPr>
          <w:p w14:paraId="246EA037"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430515BA" w14:textId="77777777" w:rsidR="00C86459" w:rsidRDefault="00C86459" w:rsidP="00C86459">
            <w:r>
              <w:rPr>
                <w:rFonts w:ascii="Open Sans" w:hAnsi="Open Sans" w:cs="Open Sans"/>
                <w:color w:val="00000A"/>
                <w:sz w:val="20"/>
                <w:szCs w:val="20"/>
              </w:rPr>
              <w:t>Gestora de fondos</w:t>
            </w:r>
          </w:p>
        </w:tc>
      </w:tr>
      <w:tr w:rsidR="00C86459" w14:paraId="5329EFFD" w14:textId="77777777" w:rsidTr="00C86459">
        <w:trPr>
          <w:trHeight w:val="240"/>
        </w:trPr>
        <w:tc>
          <w:tcPr>
            <w:tcW w:w="3225" w:type="dxa"/>
            <w:tcBorders>
              <w:left w:val="single" w:sz="4" w:space="0" w:color="000000"/>
              <w:bottom w:val="single" w:sz="4" w:space="0" w:color="000000"/>
            </w:tcBorders>
            <w:shd w:val="clear" w:color="auto" w:fill="auto"/>
          </w:tcPr>
          <w:p w14:paraId="0FAB3682" w14:textId="77777777" w:rsidR="00C86459" w:rsidRDefault="00C86459" w:rsidP="00C86459">
            <w:r>
              <w:rPr>
                <w:rFonts w:ascii="Open Sans" w:hAnsi="Open Sans" w:cs="Open Sans"/>
                <w:color w:val="00000A"/>
                <w:sz w:val="20"/>
                <w:szCs w:val="20"/>
              </w:rPr>
              <w:t>Santander BanCorp</w:t>
            </w:r>
          </w:p>
        </w:tc>
        <w:tc>
          <w:tcPr>
            <w:tcW w:w="3300" w:type="dxa"/>
            <w:tcBorders>
              <w:left w:val="single" w:sz="4" w:space="0" w:color="000000"/>
              <w:bottom w:val="single" w:sz="4" w:space="0" w:color="000000"/>
            </w:tcBorders>
            <w:shd w:val="clear" w:color="auto" w:fill="auto"/>
          </w:tcPr>
          <w:p w14:paraId="3656D672" w14:textId="77777777" w:rsidR="00C86459" w:rsidRDefault="00C86459" w:rsidP="00C86459">
            <w:r>
              <w:rPr>
                <w:rFonts w:ascii="Open Sans" w:hAnsi="Open Sans" w:cs="Open Sans"/>
                <w:color w:val="00000A"/>
                <w:sz w:val="20"/>
                <w:szCs w:val="20"/>
              </w:rPr>
              <w:t xml:space="preserve">Puerto Rico </w:t>
            </w:r>
          </w:p>
        </w:tc>
        <w:tc>
          <w:tcPr>
            <w:tcW w:w="2070" w:type="dxa"/>
            <w:tcBorders>
              <w:left w:val="single" w:sz="4" w:space="0" w:color="000000"/>
              <w:bottom w:val="single" w:sz="4" w:space="0" w:color="000000"/>
              <w:right w:val="single" w:sz="4" w:space="0" w:color="000000"/>
            </w:tcBorders>
            <w:shd w:val="clear" w:color="auto" w:fill="auto"/>
          </w:tcPr>
          <w:p w14:paraId="3C6D9640" w14:textId="77777777" w:rsidR="00C86459" w:rsidRDefault="00C86459" w:rsidP="00C86459">
            <w:r>
              <w:rPr>
                <w:rFonts w:ascii="Open Sans" w:hAnsi="Open Sans" w:cs="Open Sans"/>
                <w:color w:val="00000A"/>
                <w:sz w:val="20"/>
                <w:szCs w:val="20"/>
              </w:rPr>
              <w:t>Sociedad de Cartera</w:t>
            </w:r>
          </w:p>
        </w:tc>
      </w:tr>
      <w:tr w:rsidR="00C86459" w14:paraId="4AACD9E7" w14:textId="77777777" w:rsidTr="00C86459">
        <w:trPr>
          <w:trHeight w:val="240"/>
        </w:trPr>
        <w:tc>
          <w:tcPr>
            <w:tcW w:w="3225" w:type="dxa"/>
            <w:tcBorders>
              <w:left w:val="single" w:sz="4" w:space="0" w:color="000000"/>
              <w:bottom w:val="single" w:sz="4" w:space="0" w:color="000000"/>
            </w:tcBorders>
            <w:shd w:val="clear" w:color="auto" w:fill="auto"/>
          </w:tcPr>
          <w:p w14:paraId="0AE8957B" w14:textId="77777777" w:rsidR="00C86459" w:rsidRDefault="00C86459" w:rsidP="00C86459">
            <w:r>
              <w:rPr>
                <w:rFonts w:ascii="Open Sans" w:hAnsi="Open Sans" w:cs="Open Sans"/>
                <w:color w:val="00000A"/>
                <w:sz w:val="20"/>
                <w:szCs w:val="20"/>
              </w:rPr>
              <w:t>Santander Bank &amp; Trust Ltd.</w:t>
            </w:r>
          </w:p>
        </w:tc>
        <w:tc>
          <w:tcPr>
            <w:tcW w:w="3300" w:type="dxa"/>
            <w:tcBorders>
              <w:left w:val="single" w:sz="4" w:space="0" w:color="000000"/>
              <w:bottom w:val="single" w:sz="4" w:space="0" w:color="000000"/>
            </w:tcBorders>
            <w:shd w:val="clear" w:color="auto" w:fill="auto"/>
          </w:tcPr>
          <w:p w14:paraId="17BB37A0"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0451A17D" w14:textId="77777777" w:rsidR="00C86459" w:rsidRDefault="00C86459" w:rsidP="00C86459">
            <w:r>
              <w:rPr>
                <w:rFonts w:ascii="Open Sans" w:hAnsi="Open Sans" w:cs="Open Sans"/>
                <w:color w:val="00000A"/>
                <w:sz w:val="20"/>
                <w:szCs w:val="20"/>
              </w:rPr>
              <w:t>Banca</w:t>
            </w:r>
          </w:p>
        </w:tc>
      </w:tr>
      <w:tr w:rsidR="00C86459" w14:paraId="297F4F77" w14:textId="77777777" w:rsidTr="00C86459">
        <w:trPr>
          <w:trHeight w:val="240"/>
        </w:trPr>
        <w:tc>
          <w:tcPr>
            <w:tcW w:w="3225" w:type="dxa"/>
            <w:tcBorders>
              <w:left w:val="single" w:sz="4" w:space="0" w:color="000000"/>
              <w:bottom w:val="single" w:sz="4" w:space="0" w:color="000000"/>
            </w:tcBorders>
            <w:shd w:val="clear" w:color="auto" w:fill="auto"/>
          </w:tcPr>
          <w:p w14:paraId="6430542C" w14:textId="77777777" w:rsidR="00C86459" w:rsidRPr="00A1554D" w:rsidRDefault="00C86459" w:rsidP="00C86459">
            <w:pPr>
              <w:rPr>
                <w:lang w:val="en-GB"/>
              </w:rPr>
            </w:pPr>
            <w:r w:rsidRPr="00A1554D">
              <w:rPr>
                <w:rFonts w:ascii="Open Sans" w:hAnsi="Open Sans" w:cs="Open Sans"/>
                <w:color w:val="00000A"/>
                <w:sz w:val="20"/>
                <w:szCs w:val="20"/>
                <w:lang w:val="en-GB"/>
              </w:rPr>
              <w:t>Santander Brazil Global Investment Fund SPC</w:t>
            </w:r>
          </w:p>
        </w:tc>
        <w:tc>
          <w:tcPr>
            <w:tcW w:w="3300" w:type="dxa"/>
            <w:tcBorders>
              <w:left w:val="single" w:sz="4" w:space="0" w:color="000000"/>
              <w:bottom w:val="single" w:sz="4" w:space="0" w:color="000000"/>
            </w:tcBorders>
            <w:shd w:val="clear" w:color="auto" w:fill="auto"/>
          </w:tcPr>
          <w:p w14:paraId="2D1A1359" w14:textId="77777777" w:rsidR="00C86459" w:rsidRDefault="00C86459" w:rsidP="00C86459">
            <w:r>
              <w:rPr>
                <w:rFonts w:ascii="Open Sans" w:hAnsi="Open Sans" w:cs="Open Sans"/>
                <w:color w:val="00000A"/>
                <w:sz w:val="20"/>
                <w:szCs w:val="20"/>
              </w:rPr>
              <w:t xml:space="preserve">Islas Caimán </w:t>
            </w:r>
          </w:p>
        </w:tc>
        <w:tc>
          <w:tcPr>
            <w:tcW w:w="2070" w:type="dxa"/>
            <w:tcBorders>
              <w:left w:val="single" w:sz="4" w:space="0" w:color="000000"/>
              <w:bottom w:val="single" w:sz="4" w:space="0" w:color="000000"/>
              <w:right w:val="single" w:sz="4" w:space="0" w:color="000000"/>
            </w:tcBorders>
            <w:shd w:val="clear" w:color="auto" w:fill="auto"/>
          </w:tcPr>
          <w:p w14:paraId="5C64FE5E" w14:textId="77777777" w:rsidR="00C86459" w:rsidRDefault="00C86459" w:rsidP="00C86459">
            <w:r>
              <w:rPr>
                <w:rFonts w:ascii="Open Sans" w:hAnsi="Open Sans" w:cs="Open Sans"/>
                <w:color w:val="00000A"/>
                <w:sz w:val="20"/>
                <w:szCs w:val="20"/>
              </w:rPr>
              <w:t>Financiera</w:t>
            </w:r>
          </w:p>
        </w:tc>
      </w:tr>
      <w:tr w:rsidR="00C86459" w14:paraId="73A636B4" w14:textId="77777777" w:rsidTr="00C86459">
        <w:trPr>
          <w:trHeight w:val="240"/>
        </w:trPr>
        <w:tc>
          <w:tcPr>
            <w:tcW w:w="3225" w:type="dxa"/>
            <w:tcBorders>
              <w:left w:val="single" w:sz="4" w:space="0" w:color="000000"/>
              <w:bottom w:val="single" w:sz="4" w:space="0" w:color="000000"/>
            </w:tcBorders>
            <w:shd w:val="clear" w:color="auto" w:fill="auto"/>
          </w:tcPr>
          <w:p w14:paraId="1418509D" w14:textId="77777777" w:rsidR="00C86459" w:rsidRDefault="00C86459" w:rsidP="00C86459">
            <w:r>
              <w:rPr>
                <w:rFonts w:ascii="Open Sans" w:hAnsi="Open Sans" w:cs="Open Sans"/>
                <w:color w:val="00000A"/>
                <w:sz w:val="20"/>
                <w:szCs w:val="20"/>
              </w:rPr>
              <w:t>Santander Cards Ireland Limited</w:t>
            </w:r>
          </w:p>
        </w:tc>
        <w:tc>
          <w:tcPr>
            <w:tcW w:w="3300" w:type="dxa"/>
            <w:tcBorders>
              <w:left w:val="single" w:sz="4" w:space="0" w:color="000000"/>
              <w:bottom w:val="single" w:sz="4" w:space="0" w:color="000000"/>
            </w:tcBorders>
            <w:shd w:val="clear" w:color="auto" w:fill="auto"/>
          </w:tcPr>
          <w:p w14:paraId="03D95C59"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4B8767B" w14:textId="77777777" w:rsidR="00C86459" w:rsidRDefault="00C86459" w:rsidP="00C86459">
            <w:r>
              <w:rPr>
                <w:rFonts w:ascii="Open Sans" w:hAnsi="Open Sans" w:cs="Open Sans"/>
                <w:color w:val="00000A"/>
                <w:sz w:val="20"/>
                <w:szCs w:val="20"/>
              </w:rPr>
              <w:t>Tarjetas</w:t>
            </w:r>
          </w:p>
        </w:tc>
      </w:tr>
      <w:tr w:rsidR="00C86459" w14:paraId="7C7C3794" w14:textId="77777777" w:rsidTr="00C86459">
        <w:trPr>
          <w:trHeight w:val="240"/>
        </w:trPr>
        <w:tc>
          <w:tcPr>
            <w:tcW w:w="3225" w:type="dxa"/>
            <w:tcBorders>
              <w:left w:val="single" w:sz="4" w:space="0" w:color="000000"/>
              <w:bottom w:val="single" w:sz="4" w:space="0" w:color="000000"/>
            </w:tcBorders>
            <w:shd w:val="clear" w:color="auto" w:fill="auto"/>
          </w:tcPr>
          <w:p w14:paraId="4A8D986B" w14:textId="77777777" w:rsidR="00C86459" w:rsidRDefault="00C86459" w:rsidP="00C86459">
            <w:r>
              <w:rPr>
                <w:rFonts w:ascii="Open Sans" w:hAnsi="Open Sans" w:cs="Open Sans"/>
                <w:color w:val="00000A"/>
                <w:sz w:val="20"/>
                <w:szCs w:val="20"/>
              </w:rPr>
              <w:t>Santander Central Hispano Issuances Limited</w:t>
            </w:r>
          </w:p>
        </w:tc>
        <w:tc>
          <w:tcPr>
            <w:tcW w:w="3300" w:type="dxa"/>
            <w:tcBorders>
              <w:left w:val="single" w:sz="4" w:space="0" w:color="000000"/>
              <w:bottom w:val="single" w:sz="4" w:space="0" w:color="000000"/>
            </w:tcBorders>
            <w:shd w:val="clear" w:color="auto" w:fill="auto"/>
          </w:tcPr>
          <w:p w14:paraId="351D129E" w14:textId="77777777" w:rsidR="00C86459" w:rsidRDefault="00C86459" w:rsidP="00C86459">
            <w:r>
              <w:rPr>
                <w:rFonts w:ascii="Open Sans" w:hAnsi="Open Sans" w:cs="Open Sans"/>
                <w:color w:val="00000A"/>
                <w:sz w:val="20"/>
                <w:szCs w:val="20"/>
              </w:rPr>
              <w:t>Islas Caimán</w:t>
            </w:r>
          </w:p>
        </w:tc>
        <w:tc>
          <w:tcPr>
            <w:tcW w:w="2070" w:type="dxa"/>
            <w:tcBorders>
              <w:left w:val="single" w:sz="4" w:space="0" w:color="000000"/>
              <w:bottom w:val="single" w:sz="4" w:space="0" w:color="000000"/>
              <w:right w:val="single" w:sz="4" w:space="0" w:color="000000"/>
            </w:tcBorders>
            <w:shd w:val="clear" w:color="auto" w:fill="auto"/>
          </w:tcPr>
          <w:p w14:paraId="376017C2" w14:textId="77777777" w:rsidR="00C86459" w:rsidRDefault="00C86459" w:rsidP="00C86459">
            <w:r>
              <w:rPr>
                <w:rFonts w:ascii="Open Sans" w:hAnsi="Open Sans" w:cs="Open Sans"/>
                <w:color w:val="00000A"/>
                <w:sz w:val="20"/>
                <w:szCs w:val="20"/>
              </w:rPr>
              <w:t>Financiera</w:t>
            </w:r>
          </w:p>
        </w:tc>
      </w:tr>
      <w:tr w:rsidR="00C86459" w14:paraId="7D2B7356" w14:textId="77777777" w:rsidTr="00C86459">
        <w:trPr>
          <w:trHeight w:val="240"/>
        </w:trPr>
        <w:tc>
          <w:tcPr>
            <w:tcW w:w="3225" w:type="dxa"/>
            <w:tcBorders>
              <w:left w:val="single" w:sz="4" w:space="0" w:color="000000"/>
              <w:bottom w:val="single" w:sz="4" w:space="0" w:color="000000"/>
            </w:tcBorders>
            <w:shd w:val="clear" w:color="auto" w:fill="auto"/>
          </w:tcPr>
          <w:p w14:paraId="446D1B42" w14:textId="77777777" w:rsidR="00C86459" w:rsidRDefault="00C86459" w:rsidP="00C86459">
            <w:r>
              <w:rPr>
                <w:rFonts w:ascii="Open Sans" w:hAnsi="Open Sans" w:cs="Open Sans"/>
                <w:color w:val="00000A"/>
                <w:sz w:val="20"/>
                <w:szCs w:val="20"/>
              </w:rPr>
              <w:t>Santander Consumer ABS 1 Funding LLC</w:t>
            </w:r>
          </w:p>
        </w:tc>
        <w:tc>
          <w:tcPr>
            <w:tcW w:w="3300" w:type="dxa"/>
            <w:tcBorders>
              <w:left w:val="single" w:sz="4" w:space="0" w:color="000000"/>
              <w:bottom w:val="single" w:sz="4" w:space="0" w:color="000000"/>
            </w:tcBorders>
            <w:shd w:val="clear" w:color="auto" w:fill="auto"/>
          </w:tcPr>
          <w:p w14:paraId="28BB7B6F"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B7B1D9A" w14:textId="77777777" w:rsidR="00C86459" w:rsidRDefault="00C86459" w:rsidP="00C86459">
            <w:r>
              <w:rPr>
                <w:rFonts w:ascii="Open Sans" w:hAnsi="Open Sans" w:cs="Open Sans"/>
                <w:color w:val="00000A"/>
                <w:sz w:val="20"/>
                <w:szCs w:val="20"/>
              </w:rPr>
              <w:t>Financiera</w:t>
            </w:r>
          </w:p>
        </w:tc>
      </w:tr>
      <w:tr w:rsidR="00C86459" w14:paraId="325474F9" w14:textId="77777777" w:rsidTr="00C86459">
        <w:trPr>
          <w:trHeight w:val="240"/>
        </w:trPr>
        <w:tc>
          <w:tcPr>
            <w:tcW w:w="3225" w:type="dxa"/>
            <w:tcBorders>
              <w:left w:val="single" w:sz="4" w:space="0" w:color="000000"/>
              <w:bottom w:val="single" w:sz="4" w:space="0" w:color="000000"/>
            </w:tcBorders>
            <w:shd w:val="clear" w:color="auto" w:fill="auto"/>
          </w:tcPr>
          <w:p w14:paraId="06F494A5" w14:textId="77777777" w:rsidR="00C86459" w:rsidRDefault="00C86459" w:rsidP="00C86459">
            <w:r>
              <w:rPr>
                <w:rFonts w:ascii="Open Sans" w:hAnsi="Open Sans" w:cs="Open Sans"/>
                <w:color w:val="00000A"/>
                <w:sz w:val="20"/>
                <w:szCs w:val="20"/>
              </w:rPr>
              <w:t>Santander Consumer ABS 2 Funding LLC</w:t>
            </w:r>
          </w:p>
        </w:tc>
        <w:tc>
          <w:tcPr>
            <w:tcW w:w="3300" w:type="dxa"/>
            <w:tcBorders>
              <w:left w:val="single" w:sz="4" w:space="0" w:color="000000"/>
              <w:bottom w:val="single" w:sz="4" w:space="0" w:color="000000"/>
            </w:tcBorders>
            <w:shd w:val="clear" w:color="auto" w:fill="auto"/>
          </w:tcPr>
          <w:p w14:paraId="6FF72EB8"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8C82C32" w14:textId="77777777" w:rsidR="00C86459" w:rsidRDefault="00C86459" w:rsidP="00C86459">
            <w:r>
              <w:rPr>
                <w:rFonts w:ascii="Open Sans" w:hAnsi="Open Sans" w:cs="Open Sans"/>
                <w:color w:val="00000A"/>
                <w:sz w:val="20"/>
                <w:szCs w:val="20"/>
              </w:rPr>
              <w:t>Financiera</w:t>
            </w:r>
          </w:p>
        </w:tc>
      </w:tr>
      <w:tr w:rsidR="00C86459" w14:paraId="255D84D2" w14:textId="77777777" w:rsidTr="00C86459">
        <w:trPr>
          <w:trHeight w:val="240"/>
        </w:trPr>
        <w:tc>
          <w:tcPr>
            <w:tcW w:w="3225" w:type="dxa"/>
            <w:tcBorders>
              <w:left w:val="single" w:sz="4" w:space="0" w:color="000000"/>
              <w:bottom w:val="single" w:sz="4" w:space="0" w:color="000000"/>
            </w:tcBorders>
            <w:shd w:val="clear" w:color="auto" w:fill="auto"/>
          </w:tcPr>
          <w:p w14:paraId="6D184334" w14:textId="77777777" w:rsidR="00C86459" w:rsidRDefault="00C86459" w:rsidP="00C86459">
            <w:r>
              <w:rPr>
                <w:rFonts w:ascii="Open Sans" w:hAnsi="Open Sans" w:cs="Open Sans"/>
                <w:color w:val="00000A"/>
                <w:sz w:val="20"/>
                <w:szCs w:val="20"/>
              </w:rPr>
              <w:t>Santander Consumer ABS  3 Funding LLC</w:t>
            </w:r>
          </w:p>
        </w:tc>
        <w:tc>
          <w:tcPr>
            <w:tcW w:w="3300" w:type="dxa"/>
            <w:tcBorders>
              <w:left w:val="single" w:sz="4" w:space="0" w:color="000000"/>
              <w:bottom w:val="single" w:sz="4" w:space="0" w:color="000000"/>
            </w:tcBorders>
            <w:shd w:val="clear" w:color="auto" w:fill="auto"/>
          </w:tcPr>
          <w:p w14:paraId="56D71E6C"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5B6EAE1" w14:textId="77777777" w:rsidR="00C86459" w:rsidRDefault="00C86459" w:rsidP="00C86459">
            <w:r>
              <w:rPr>
                <w:rFonts w:ascii="Open Sans" w:hAnsi="Open Sans" w:cs="Open Sans"/>
                <w:color w:val="00000A"/>
                <w:sz w:val="20"/>
                <w:szCs w:val="20"/>
              </w:rPr>
              <w:t>Financiera</w:t>
            </w:r>
          </w:p>
        </w:tc>
      </w:tr>
      <w:tr w:rsidR="00C86459" w14:paraId="4AD49AD5" w14:textId="77777777" w:rsidTr="00C86459">
        <w:trPr>
          <w:trHeight w:val="240"/>
        </w:trPr>
        <w:tc>
          <w:tcPr>
            <w:tcW w:w="3225" w:type="dxa"/>
            <w:tcBorders>
              <w:left w:val="single" w:sz="4" w:space="0" w:color="000000"/>
              <w:bottom w:val="single" w:sz="4" w:space="0" w:color="000000"/>
            </w:tcBorders>
            <w:shd w:val="clear" w:color="auto" w:fill="auto"/>
          </w:tcPr>
          <w:p w14:paraId="0FBD1FEB" w14:textId="77777777" w:rsidR="00C86459" w:rsidRDefault="00C86459" w:rsidP="00C86459">
            <w:r>
              <w:rPr>
                <w:rFonts w:ascii="Open Sans" w:hAnsi="Open Sans" w:cs="Open Sans"/>
                <w:color w:val="00000A"/>
                <w:sz w:val="20"/>
                <w:szCs w:val="20"/>
              </w:rPr>
              <w:t>Santander Consumer Auto Receivables Funding 2011-A LLC</w:t>
            </w:r>
          </w:p>
        </w:tc>
        <w:tc>
          <w:tcPr>
            <w:tcW w:w="3300" w:type="dxa"/>
            <w:tcBorders>
              <w:left w:val="single" w:sz="4" w:space="0" w:color="000000"/>
              <w:bottom w:val="single" w:sz="4" w:space="0" w:color="000000"/>
            </w:tcBorders>
            <w:shd w:val="clear" w:color="auto" w:fill="auto"/>
          </w:tcPr>
          <w:p w14:paraId="657E339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58F058C" w14:textId="77777777" w:rsidR="00C86459" w:rsidRDefault="00C86459" w:rsidP="00C86459">
            <w:r>
              <w:rPr>
                <w:rFonts w:ascii="Open Sans" w:hAnsi="Open Sans" w:cs="Open Sans"/>
                <w:color w:val="00000A"/>
                <w:sz w:val="20"/>
                <w:szCs w:val="20"/>
              </w:rPr>
              <w:t>Financiera</w:t>
            </w:r>
          </w:p>
        </w:tc>
      </w:tr>
      <w:tr w:rsidR="00C86459" w14:paraId="5D609E54" w14:textId="77777777" w:rsidTr="00C86459">
        <w:trPr>
          <w:trHeight w:val="240"/>
        </w:trPr>
        <w:tc>
          <w:tcPr>
            <w:tcW w:w="3225" w:type="dxa"/>
            <w:tcBorders>
              <w:left w:val="single" w:sz="4" w:space="0" w:color="000000"/>
              <w:bottom w:val="single" w:sz="4" w:space="0" w:color="000000"/>
            </w:tcBorders>
            <w:shd w:val="clear" w:color="auto" w:fill="auto"/>
          </w:tcPr>
          <w:p w14:paraId="5944C873" w14:textId="77777777" w:rsidR="00C86459" w:rsidRDefault="00C86459" w:rsidP="00C86459">
            <w:r>
              <w:rPr>
                <w:rFonts w:ascii="Open Sans" w:hAnsi="Open Sans" w:cs="Open Sans"/>
                <w:color w:val="00000A"/>
                <w:sz w:val="20"/>
                <w:szCs w:val="20"/>
              </w:rPr>
              <w:t>Santander Consumer Auto Receivables Funding 2013-B1 LLC</w:t>
            </w:r>
          </w:p>
        </w:tc>
        <w:tc>
          <w:tcPr>
            <w:tcW w:w="3300" w:type="dxa"/>
            <w:tcBorders>
              <w:left w:val="single" w:sz="4" w:space="0" w:color="000000"/>
              <w:bottom w:val="single" w:sz="4" w:space="0" w:color="000000"/>
            </w:tcBorders>
            <w:shd w:val="clear" w:color="auto" w:fill="auto"/>
          </w:tcPr>
          <w:p w14:paraId="3ECAD345"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617E2B3" w14:textId="77777777" w:rsidR="00C86459" w:rsidRDefault="00C86459" w:rsidP="00C86459">
            <w:r>
              <w:rPr>
                <w:rFonts w:ascii="Open Sans" w:hAnsi="Open Sans" w:cs="Open Sans"/>
                <w:color w:val="00000A"/>
                <w:sz w:val="20"/>
                <w:szCs w:val="20"/>
              </w:rPr>
              <w:t>Financiera</w:t>
            </w:r>
          </w:p>
        </w:tc>
      </w:tr>
      <w:tr w:rsidR="00C86459" w14:paraId="6532D950" w14:textId="77777777" w:rsidTr="00C86459">
        <w:trPr>
          <w:trHeight w:val="240"/>
        </w:trPr>
        <w:tc>
          <w:tcPr>
            <w:tcW w:w="3225" w:type="dxa"/>
            <w:tcBorders>
              <w:left w:val="single" w:sz="4" w:space="0" w:color="000000"/>
              <w:bottom w:val="single" w:sz="4" w:space="0" w:color="000000"/>
            </w:tcBorders>
            <w:shd w:val="clear" w:color="auto" w:fill="auto"/>
          </w:tcPr>
          <w:p w14:paraId="5EA6EA49" w14:textId="77777777" w:rsidR="00C86459" w:rsidRDefault="00C86459" w:rsidP="00C86459">
            <w:r>
              <w:rPr>
                <w:rFonts w:ascii="Open Sans" w:hAnsi="Open Sans" w:cs="Open Sans"/>
                <w:color w:val="00000A"/>
                <w:sz w:val="20"/>
                <w:szCs w:val="20"/>
              </w:rPr>
              <w:t>Santander Consumer Auto Receivables Funding 2013-B2 LLC</w:t>
            </w:r>
          </w:p>
        </w:tc>
        <w:tc>
          <w:tcPr>
            <w:tcW w:w="3300" w:type="dxa"/>
            <w:tcBorders>
              <w:left w:val="single" w:sz="4" w:space="0" w:color="000000"/>
              <w:bottom w:val="single" w:sz="4" w:space="0" w:color="000000"/>
            </w:tcBorders>
            <w:shd w:val="clear" w:color="auto" w:fill="auto"/>
          </w:tcPr>
          <w:p w14:paraId="4476D054"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D23103E" w14:textId="77777777" w:rsidR="00C86459" w:rsidRDefault="00C86459" w:rsidP="00C86459">
            <w:r>
              <w:rPr>
                <w:rFonts w:ascii="Open Sans" w:hAnsi="Open Sans" w:cs="Open Sans"/>
                <w:color w:val="00000A"/>
                <w:sz w:val="20"/>
                <w:szCs w:val="20"/>
              </w:rPr>
              <w:t>Financiera</w:t>
            </w:r>
          </w:p>
        </w:tc>
      </w:tr>
      <w:tr w:rsidR="00C86459" w14:paraId="588F856A" w14:textId="77777777" w:rsidTr="00C86459">
        <w:trPr>
          <w:trHeight w:val="240"/>
        </w:trPr>
        <w:tc>
          <w:tcPr>
            <w:tcW w:w="3225" w:type="dxa"/>
            <w:tcBorders>
              <w:left w:val="single" w:sz="4" w:space="0" w:color="000000"/>
              <w:bottom w:val="single" w:sz="4" w:space="0" w:color="000000"/>
            </w:tcBorders>
            <w:shd w:val="clear" w:color="auto" w:fill="auto"/>
          </w:tcPr>
          <w:p w14:paraId="6AC7B424" w14:textId="77777777" w:rsidR="00C86459" w:rsidRDefault="00C86459" w:rsidP="00C86459">
            <w:r>
              <w:rPr>
                <w:rFonts w:ascii="Open Sans" w:hAnsi="Open Sans" w:cs="Open Sans"/>
                <w:color w:val="00000A"/>
                <w:sz w:val="20"/>
                <w:szCs w:val="20"/>
              </w:rPr>
              <w:t>Santander Consumer Auto Receivables Funding 2013-B3 LLC</w:t>
            </w:r>
          </w:p>
        </w:tc>
        <w:tc>
          <w:tcPr>
            <w:tcW w:w="3300" w:type="dxa"/>
            <w:tcBorders>
              <w:left w:val="single" w:sz="4" w:space="0" w:color="000000"/>
              <w:bottom w:val="single" w:sz="4" w:space="0" w:color="000000"/>
            </w:tcBorders>
            <w:shd w:val="clear" w:color="auto" w:fill="auto"/>
          </w:tcPr>
          <w:p w14:paraId="0A56C05E"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D1E9038" w14:textId="77777777" w:rsidR="00C86459" w:rsidRDefault="00C86459" w:rsidP="00C86459">
            <w:r>
              <w:rPr>
                <w:rFonts w:ascii="Open Sans" w:hAnsi="Open Sans" w:cs="Open Sans"/>
                <w:color w:val="00000A"/>
                <w:sz w:val="20"/>
                <w:szCs w:val="20"/>
              </w:rPr>
              <w:t>Financiera</w:t>
            </w:r>
          </w:p>
        </w:tc>
      </w:tr>
      <w:tr w:rsidR="00C86459" w14:paraId="6D99DDF8" w14:textId="77777777" w:rsidTr="00C86459">
        <w:trPr>
          <w:trHeight w:val="240"/>
        </w:trPr>
        <w:tc>
          <w:tcPr>
            <w:tcW w:w="3225" w:type="dxa"/>
            <w:tcBorders>
              <w:left w:val="single" w:sz="4" w:space="0" w:color="000000"/>
              <w:bottom w:val="single" w:sz="4" w:space="0" w:color="000000"/>
            </w:tcBorders>
            <w:shd w:val="clear" w:color="auto" w:fill="auto"/>
          </w:tcPr>
          <w:p w14:paraId="14FE21E1" w14:textId="77777777" w:rsidR="00C86459" w:rsidRDefault="00C86459" w:rsidP="00C86459">
            <w:r>
              <w:rPr>
                <w:rFonts w:ascii="Open Sans" w:hAnsi="Open Sans" w:cs="Open Sans"/>
                <w:color w:val="00000A"/>
                <w:sz w:val="20"/>
                <w:szCs w:val="20"/>
              </w:rPr>
              <w:t>Santander Consumer Auto Receivables Funding 2013-L1 LLC</w:t>
            </w:r>
          </w:p>
        </w:tc>
        <w:tc>
          <w:tcPr>
            <w:tcW w:w="3300" w:type="dxa"/>
            <w:tcBorders>
              <w:left w:val="single" w:sz="4" w:space="0" w:color="000000"/>
              <w:bottom w:val="single" w:sz="4" w:space="0" w:color="000000"/>
            </w:tcBorders>
            <w:shd w:val="clear" w:color="auto" w:fill="auto"/>
          </w:tcPr>
          <w:p w14:paraId="74667D91"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AEC12CC" w14:textId="77777777" w:rsidR="00C86459" w:rsidRDefault="00C86459" w:rsidP="00C86459">
            <w:r>
              <w:rPr>
                <w:rFonts w:ascii="Open Sans" w:hAnsi="Open Sans" w:cs="Open Sans"/>
                <w:color w:val="00000A"/>
                <w:sz w:val="20"/>
                <w:szCs w:val="20"/>
              </w:rPr>
              <w:t>Financiera</w:t>
            </w:r>
          </w:p>
        </w:tc>
      </w:tr>
      <w:tr w:rsidR="00C86459" w14:paraId="205A7CF0" w14:textId="77777777" w:rsidTr="00C86459">
        <w:trPr>
          <w:trHeight w:val="240"/>
        </w:trPr>
        <w:tc>
          <w:tcPr>
            <w:tcW w:w="3225" w:type="dxa"/>
            <w:tcBorders>
              <w:left w:val="single" w:sz="4" w:space="0" w:color="000000"/>
              <w:bottom w:val="single" w:sz="4" w:space="0" w:color="000000"/>
            </w:tcBorders>
            <w:shd w:val="clear" w:color="auto" w:fill="auto"/>
          </w:tcPr>
          <w:p w14:paraId="42E56655" w14:textId="77777777" w:rsidR="00C86459" w:rsidRDefault="00C86459" w:rsidP="00C86459">
            <w:r>
              <w:rPr>
                <w:rFonts w:ascii="Open Sans" w:hAnsi="Open Sans" w:cs="Open Sans"/>
                <w:color w:val="00000A"/>
                <w:sz w:val="20"/>
                <w:szCs w:val="20"/>
              </w:rPr>
              <w:t>Santander Consumer Auto Receivables Funding 2014-B1 LLC</w:t>
            </w:r>
          </w:p>
        </w:tc>
        <w:tc>
          <w:tcPr>
            <w:tcW w:w="3300" w:type="dxa"/>
            <w:tcBorders>
              <w:left w:val="single" w:sz="4" w:space="0" w:color="000000"/>
              <w:bottom w:val="single" w:sz="4" w:space="0" w:color="000000"/>
            </w:tcBorders>
            <w:shd w:val="clear" w:color="auto" w:fill="auto"/>
          </w:tcPr>
          <w:p w14:paraId="7593B2C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E3F6034" w14:textId="77777777" w:rsidR="00C86459" w:rsidRDefault="00C86459" w:rsidP="00C86459">
            <w:r>
              <w:rPr>
                <w:rFonts w:ascii="Open Sans" w:hAnsi="Open Sans" w:cs="Open Sans"/>
                <w:color w:val="00000A"/>
                <w:sz w:val="20"/>
                <w:szCs w:val="20"/>
              </w:rPr>
              <w:t>Financiera</w:t>
            </w:r>
          </w:p>
        </w:tc>
      </w:tr>
      <w:tr w:rsidR="00C86459" w14:paraId="412A69FE" w14:textId="77777777" w:rsidTr="00C86459">
        <w:trPr>
          <w:trHeight w:val="240"/>
        </w:trPr>
        <w:tc>
          <w:tcPr>
            <w:tcW w:w="3225" w:type="dxa"/>
            <w:tcBorders>
              <w:left w:val="single" w:sz="4" w:space="0" w:color="000000"/>
              <w:bottom w:val="single" w:sz="4" w:space="0" w:color="000000"/>
            </w:tcBorders>
            <w:shd w:val="clear" w:color="auto" w:fill="auto"/>
          </w:tcPr>
          <w:p w14:paraId="4A77D90E" w14:textId="77777777" w:rsidR="00C86459" w:rsidRDefault="00C86459" w:rsidP="00C86459">
            <w:r>
              <w:rPr>
                <w:rFonts w:ascii="Open Sans" w:hAnsi="Open Sans" w:cs="Open Sans"/>
                <w:color w:val="00000A"/>
                <w:sz w:val="20"/>
                <w:szCs w:val="20"/>
              </w:rPr>
              <w:t>Santander Consumer Auto Receivables Funding 2014-B2 LLC</w:t>
            </w:r>
          </w:p>
        </w:tc>
        <w:tc>
          <w:tcPr>
            <w:tcW w:w="3300" w:type="dxa"/>
            <w:tcBorders>
              <w:left w:val="single" w:sz="4" w:space="0" w:color="000000"/>
              <w:bottom w:val="single" w:sz="4" w:space="0" w:color="000000"/>
            </w:tcBorders>
            <w:shd w:val="clear" w:color="auto" w:fill="auto"/>
          </w:tcPr>
          <w:p w14:paraId="72CECE11"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2C4562B" w14:textId="77777777" w:rsidR="00C86459" w:rsidRDefault="00C86459" w:rsidP="00C86459">
            <w:r>
              <w:rPr>
                <w:rFonts w:ascii="Open Sans" w:hAnsi="Open Sans" w:cs="Open Sans"/>
                <w:color w:val="00000A"/>
                <w:sz w:val="20"/>
                <w:szCs w:val="20"/>
              </w:rPr>
              <w:t>Financiera</w:t>
            </w:r>
          </w:p>
        </w:tc>
      </w:tr>
      <w:tr w:rsidR="00C86459" w14:paraId="49ACA77D" w14:textId="77777777" w:rsidTr="00C86459">
        <w:trPr>
          <w:trHeight w:val="240"/>
        </w:trPr>
        <w:tc>
          <w:tcPr>
            <w:tcW w:w="3225" w:type="dxa"/>
            <w:tcBorders>
              <w:left w:val="single" w:sz="4" w:space="0" w:color="000000"/>
              <w:bottom w:val="single" w:sz="4" w:space="0" w:color="000000"/>
            </w:tcBorders>
            <w:shd w:val="clear" w:color="auto" w:fill="auto"/>
          </w:tcPr>
          <w:p w14:paraId="1330FBDC" w14:textId="77777777" w:rsidR="00C86459" w:rsidRDefault="00C86459" w:rsidP="00C86459">
            <w:r>
              <w:rPr>
                <w:rFonts w:ascii="Open Sans" w:hAnsi="Open Sans" w:cs="Open Sans"/>
                <w:color w:val="00000A"/>
                <w:sz w:val="20"/>
                <w:szCs w:val="20"/>
              </w:rPr>
              <w:t>Santander Consumer Auto Receivables Funding 2014-B3 LLC</w:t>
            </w:r>
          </w:p>
        </w:tc>
        <w:tc>
          <w:tcPr>
            <w:tcW w:w="3300" w:type="dxa"/>
            <w:tcBorders>
              <w:left w:val="single" w:sz="4" w:space="0" w:color="000000"/>
              <w:bottom w:val="single" w:sz="4" w:space="0" w:color="000000"/>
            </w:tcBorders>
            <w:shd w:val="clear" w:color="auto" w:fill="auto"/>
          </w:tcPr>
          <w:p w14:paraId="593AF572"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5E6FE0A" w14:textId="77777777" w:rsidR="00C86459" w:rsidRDefault="00C86459" w:rsidP="00C86459">
            <w:r>
              <w:rPr>
                <w:rFonts w:ascii="Open Sans" w:hAnsi="Open Sans" w:cs="Open Sans"/>
                <w:color w:val="00000A"/>
                <w:sz w:val="20"/>
                <w:szCs w:val="20"/>
              </w:rPr>
              <w:t>Financiera</w:t>
            </w:r>
          </w:p>
        </w:tc>
      </w:tr>
      <w:tr w:rsidR="00C86459" w14:paraId="034633F8" w14:textId="77777777" w:rsidTr="00C86459">
        <w:trPr>
          <w:trHeight w:val="240"/>
        </w:trPr>
        <w:tc>
          <w:tcPr>
            <w:tcW w:w="3225" w:type="dxa"/>
            <w:tcBorders>
              <w:left w:val="single" w:sz="4" w:space="0" w:color="000000"/>
              <w:bottom w:val="single" w:sz="4" w:space="0" w:color="000000"/>
            </w:tcBorders>
            <w:shd w:val="clear" w:color="auto" w:fill="auto"/>
          </w:tcPr>
          <w:p w14:paraId="7FA248CA" w14:textId="77777777" w:rsidR="00C86459" w:rsidRDefault="00C86459" w:rsidP="00C86459">
            <w:r>
              <w:rPr>
                <w:rFonts w:ascii="Open Sans" w:hAnsi="Open Sans" w:cs="Open Sans"/>
                <w:color w:val="00000A"/>
                <w:sz w:val="20"/>
                <w:szCs w:val="20"/>
              </w:rPr>
              <w:t>Santander Consumer Auto Receivables Funding 2014-B4 LLC</w:t>
            </w:r>
          </w:p>
        </w:tc>
        <w:tc>
          <w:tcPr>
            <w:tcW w:w="3300" w:type="dxa"/>
            <w:tcBorders>
              <w:left w:val="single" w:sz="4" w:space="0" w:color="000000"/>
              <w:bottom w:val="single" w:sz="4" w:space="0" w:color="000000"/>
            </w:tcBorders>
            <w:shd w:val="clear" w:color="auto" w:fill="auto"/>
          </w:tcPr>
          <w:p w14:paraId="0FCF5A2F"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0C366A9" w14:textId="77777777" w:rsidR="00C86459" w:rsidRDefault="00C86459" w:rsidP="00C86459">
            <w:r>
              <w:rPr>
                <w:rFonts w:ascii="Open Sans" w:hAnsi="Open Sans" w:cs="Open Sans"/>
                <w:color w:val="00000A"/>
                <w:sz w:val="20"/>
                <w:szCs w:val="20"/>
              </w:rPr>
              <w:t>Financiera</w:t>
            </w:r>
          </w:p>
        </w:tc>
      </w:tr>
      <w:tr w:rsidR="00C86459" w14:paraId="3480AC30" w14:textId="77777777" w:rsidTr="00C86459">
        <w:trPr>
          <w:trHeight w:val="240"/>
        </w:trPr>
        <w:tc>
          <w:tcPr>
            <w:tcW w:w="3225" w:type="dxa"/>
            <w:tcBorders>
              <w:left w:val="single" w:sz="4" w:space="0" w:color="000000"/>
              <w:bottom w:val="single" w:sz="4" w:space="0" w:color="000000"/>
            </w:tcBorders>
            <w:shd w:val="clear" w:color="auto" w:fill="auto"/>
          </w:tcPr>
          <w:p w14:paraId="37446B04" w14:textId="77777777" w:rsidR="00C86459" w:rsidRDefault="00C86459" w:rsidP="00C86459">
            <w:r>
              <w:rPr>
                <w:rFonts w:ascii="Open Sans" w:hAnsi="Open Sans" w:cs="Open Sans"/>
                <w:color w:val="00000A"/>
                <w:sz w:val="20"/>
                <w:szCs w:val="20"/>
              </w:rPr>
              <w:t>Santander Consumer Auto Receivables Funding 2014-B5 LLC</w:t>
            </w:r>
          </w:p>
        </w:tc>
        <w:tc>
          <w:tcPr>
            <w:tcW w:w="3300" w:type="dxa"/>
            <w:tcBorders>
              <w:left w:val="single" w:sz="4" w:space="0" w:color="000000"/>
              <w:bottom w:val="single" w:sz="4" w:space="0" w:color="000000"/>
            </w:tcBorders>
            <w:shd w:val="clear" w:color="auto" w:fill="auto"/>
          </w:tcPr>
          <w:p w14:paraId="56CA3B97"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75CF71C" w14:textId="77777777" w:rsidR="00C86459" w:rsidRDefault="00C86459" w:rsidP="00C86459">
            <w:r>
              <w:rPr>
                <w:rFonts w:ascii="Open Sans" w:hAnsi="Open Sans" w:cs="Open Sans"/>
                <w:color w:val="00000A"/>
                <w:sz w:val="20"/>
                <w:szCs w:val="20"/>
              </w:rPr>
              <w:t>Financiera</w:t>
            </w:r>
          </w:p>
        </w:tc>
      </w:tr>
      <w:tr w:rsidR="00C86459" w14:paraId="327BCF33" w14:textId="77777777" w:rsidTr="00C86459">
        <w:trPr>
          <w:trHeight w:val="240"/>
        </w:trPr>
        <w:tc>
          <w:tcPr>
            <w:tcW w:w="3225" w:type="dxa"/>
            <w:tcBorders>
              <w:left w:val="single" w:sz="4" w:space="0" w:color="000000"/>
              <w:bottom w:val="single" w:sz="4" w:space="0" w:color="000000"/>
            </w:tcBorders>
            <w:shd w:val="clear" w:color="auto" w:fill="auto"/>
          </w:tcPr>
          <w:p w14:paraId="475A7E0F" w14:textId="77777777" w:rsidR="00C86459" w:rsidRDefault="00C86459" w:rsidP="00C86459">
            <w:r>
              <w:rPr>
                <w:rFonts w:ascii="Open Sans" w:hAnsi="Open Sans" w:cs="Open Sans"/>
                <w:color w:val="00000A"/>
                <w:sz w:val="20"/>
                <w:szCs w:val="20"/>
              </w:rPr>
              <w:t>Santander Consumer Auto Receivables Funding 2014-B6 LLC</w:t>
            </w:r>
          </w:p>
        </w:tc>
        <w:tc>
          <w:tcPr>
            <w:tcW w:w="3300" w:type="dxa"/>
            <w:tcBorders>
              <w:left w:val="single" w:sz="4" w:space="0" w:color="000000"/>
              <w:bottom w:val="single" w:sz="4" w:space="0" w:color="000000"/>
            </w:tcBorders>
            <w:shd w:val="clear" w:color="auto" w:fill="auto"/>
          </w:tcPr>
          <w:p w14:paraId="75A2F05E"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6EC4E12" w14:textId="77777777" w:rsidR="00C86459" w:rsidRDefault="00C86459" w:rsidP="00C86459">
            <w:r>
              <w:rPr>
                <w:rFonts w:ascii="Open Sans" w:hAnsi="Open Sans" w:cs="Open Sans"/>
                <w:color w:val="00000A"/>
                <w:sz w:val="20"/>
                <w:szCs w:val="20"/>
              </w:rPr>
              <w:t>Financiera</w:t>
            </w:r>
          </w:p>
        </w:tc>
      </w:tr>
      <w:tr w:rsidR="00C86459" w14:paraId="2355C86E" w14:textId="77777777" w:rsidTr="00C86459">
        <w:trPr>
          <w:trHeight w:val="240"/>
        </w:trPr>
        <w:tc>
          <w:tcPr>
            <w:tcW w:w="3225" w:type="dxa"/>
            <w:tcBorders>
              <w:left w:val="single" w:sz="4" w:space="0" w:color="000000"/>
              <w:bottom w:val="single" w:sz="4" w:space="0" w:color="000000"/>
            </w:tcBorders>
            <w:shd w:val="clear" w:color="auto" w:fill="auto"/>
          </w:tcPr>
          <w:p w14:paraId="52C89604" w14:textId="77777777" w:rsidR="00C86459" w:rsidRDefault="00C86459" w:rsidP="00C86459">
            <w:r>
              <w:rPr>
                <w:rFonts w:ascii="Open Sans" w:hAnsi="Open Sans" w:cs="Open Sans"/>
                <w:color w:val="00000A"/>
                <w:sz w:val="20"/>
                <w:szCs w:val="20"/>
              </w:rPr>
              <w:t>Santander Consumer Auto Receivables Funding 2014-L1 LLC</w:t>
            </w:r>
          </w:p>
        </w:tc>
        <w:tc>
          <w:tcPr>
            <w:tcW w:w="3300" w:type="dxa"/>
            <w:tcBorders>
              <w:left w:val="single" w:sz="4" w:space="0" w:color="000000"/>
              <w:bottom w:val="single" w:sz="4" w:space="0" w:color="000000"/>
            </w:tcBorders>
            <w:shd w:val="clear" w:color="auto" w:fill="auto"/>
          </w:tcPr>
          <w:p w14:paraId="74300405"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1173B95" w14:textId="77777777" w:rsidR="00C86459" w:rsidRDefault="00C86459" w:rsidP="00C86459">
            <w:r>
              <w:rPr>
                <w:rFonts w:ascii="Open Sans" w:hAnsi="Open Sans" w:cs="Open Sans"/>
                <w:color w:val="00000A"/>
                <w:sz w:val="20"/>
                <w:szCs w:val="20"/>
              </w:rPr>
              <w:t>Financiera</w:t>
            </w:r>
          </w:p>
        </w:tc>
      </w:tr>
      <w:tr w:rsidR="00C86459" w14:paraId="4E157F63" w14:textId="77777777" w:rsidTr="00C86459">
        <w:trPr>
          <w:trHeight w:val="240"/>
        </w:trPr>
        <w:tc>
          <w:tcPr>
            <w:tcW w:w="3225" w:type="dxa"/>
            <w:tcBorders>
              <w:left w:val="single" w:sz="4" w:space="0" w:color="000000"/>
              <w:bottom w:val="single" w:sz="4" w:space="0" w:color="000000"/>
            </w:tcBorders>
            <w:shd w:val="clear" w:color="auto" w:fill="auto"/>
          </w:tcPr>
          <w:p w14:paraId="2CF6DCD5" w14:textId="77777777" w:rsidR="00C86459" w:rsidRDefault="00C86459" w:rsidP="00C86459">
            <w:r>
              <w:rPr>
                <w:rFonts w:ascii="Open Sans" w:hAnsi="Open Sans" w:cs="Open Sans"/>
                <w:color w:val="00000A"/>
                <w:sz w:val="20"/>
                <w:szCs w:val="20"/>
              </w:rPr>
              <w:t>Santander Consumer Auto Receivables Funding 2015-L1 LLC</w:t>
            </w:r>
          </w:p>
        </w:tc>
        <w:tc>
          <w:tcPr>
            <w:tcW w:w="3300" w:type="dxa"/>
            <w:tcBorders>
              <w:left w:val="single" w:sz="4" w:space="0" w:color="000000"/>
              <w:bottom w:val="single" w:sz="4" w:space="0" w:color="000000"/>
            </w:tcBorders>
            <w:shd w:val="clear" w:color="auto" w:fill="auto"/>
          </w:tcPr>
          <w:p w14:paraId="1582AC0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10F2BF0" w14:textId="77777777" w:rsidR="00C86459" w:rsidRDefault="00C86459" w:rsidP="00C86459">
            <w:r>
              <w:rPr>
                <w:rFonts w:ascii="Open Sans" w:hAnsi="Open Sans" w:cs="Open Sans"/>
                <w:color w:val="00000A"/>
                <w:sz w:val="20"/>
                <w:szCs w:val="20"/>
              </w:rPr>
              <w:t>Financiera</w:t>
            </w:r>
          </w:p>
        </w:tc>
      </w:tr>
      <w:tr w:rsidR="00C86459" w14:paraId="7B140C21" w14:textId="77777777" w:rsidTr="00C86459">
        <w:trPr>
          <w:trHeight w:val="240"/>
        </w:trPr>
        <w:tc>
          <w:tcPr>
            <w:tcW w:w="3225" w:type="dxa"/>
            <w:tcBorders>
              <w:left w:val="single" w:sz="4" w:space="0" w:color="000000"/>
              <w:bottom w:val="single" w:sz="4" w:space="0" w:color="000000"/>
            </w:tcBorders>
            <w:shd w:val="clear" w:color="auto" w:fill="auto"/>
          </w:tcPr>
          <w:p w14:paraId="29C4D3B4" w14:textId="77777777" w:rsidR="00C86459" w:rsidRDefault="00C86459" w:rsidP="00C86459">
            <w:r>
              <w:rPr>
                <w:rFonts w:ascii="Open Sans" w:hAnsi="Open Sans" w:cs="Open Sans"/>
                <w:color w:val="00000A"/>
                <w:sz w:val="20"/>
                <w:szCs w:val="20"/>
              </w:rPr>
              <w:t>Santander Consumer Auto Receivables Funding 2015-L2 LLC</w:t>
            </w:r>
          </w:p>
        </w:tc>
        <w:tc>
          <w:tcPr>
            <w:tcW w:w="3300" w:type="dxa"/>
            <w:tcBorders>
              <w:left w:val="single" w:sz="4" w:space="0" w:color="000000"/>
              <w:bottom w:val="single" w:sz="4" w:space="0" w:color="000000"/>
            </w:tcBorders>
            <w:shd w:val="clear" w:color="auto" w:fill="auto"/>
          </w:tcPr>
          <w:p w14:paraId="7EFA78F4"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9FF1D4D" w14:textId="77777777" w:rsidR="00C86459" w:rsidRDefault="00C86459" w:rsidP="00C86459">
            <w:r>
              <w:rPr>
                <w:rFonts w:ascii="Open Sans" w:hAnsi="Open Sans" w:cs="Open Sans"/>
                <w:color w:val="00000A"/>
                <w:sz w:val="20"/>
                <w:szCs w:val="20"/>
              </w:rPr>
              <w:t>Financiera</w:t>
            </w:r>
          </w:p>
        </w:tc>
      </w:tr>
      <w:tr w:rsidR="00C86459" w14:paraId="747FFCE6" w14:textId="77777777" w:rsidTr="00C86459">
        <w:trPr>
          <w:trHeight w:val="240"/>
        </w:trPr>
        <w:tc>
          <w:tcPr>
            <w:tcW w:w="3225" w:type="dxa"/>
            <w:tcBorders>
              <w:left w:val="single" w:sz="4" w:space="0" w:color="000000"/>
              <w:bottom w:val="single" w:sz="4" w:space="0" w:color="000000"/>
            </w:tcBorders>
            <w:shd w:val="clear" w:color="auto" w:fill="auto"/>
          </w:tcPr>
          <w:p w14:paraId="4B22432D" w14:textId="77777777" w:rsidR="00C86459" w:rsidRDefault="00C86459" w:rsidP="00C86459">
            <w:r>
              <w:rPr>
                <w:rFonts w:ascii="Open Sans" w:hAnsi="Open Sans" w:cs="Open Sans"/>
                <w:color w:val="00000A"/>
                <w:sz w:val="20"/>
                <w:szCs w:val="20"/>
              </w:rPr>
              <w:t>Santander Consumer Auto Receivables Funding 2015-L3 LLC</w:t>
            </w:r>
          </w:p>
        </w:tc>
        <w:tc>
          <w:tcPr>
            <w:tcW w:w="3300" w:type="dxa"/>
            <w:tcBorders>
              <w:left w:val="single" w:sz="4" w:space="0" w:color="000000"/>
              <w:bottom w:val="single" w:sz="4" w:space="0" w:color="000000"/>
            </w:tcBorders>
            <w:shd w:val="clear" w:color="auto" w:fill="auto"/>
          </w:tcPr>
          <w:p w14:paraId="7C77F27B"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09E506C" w14:textId="77777777" w:rsidR="00C86459" w:rsidRDefault="00C86459" w:rsidP="00C86459">
            <w:r>
              <w:rPr>
                <w:rFonts w:ascii="Open Sans" w:hAnsi="Open Sans" w:cs="Open Sans"/>
                <w:color w:val="00000A"/>
                <w:sz w:val="20"/>
                <w:szCs w:val="20"/>
              </w:rPr>
              <w:t>Financiera</w:t>
            </w:r>
          </w:p>
        </w:tc>
      </w:tr>
      <w:tr w:rsidR="00C86459" w14:paraId="5B32CD31" w14:textId="77777777" w:rsidTr="00C86459">
        <w:trPr>
          <w:trHeight w:val="240"/>
        </w:trPr>
        <w:tc>
          <w:tcPr>
            <w:tcW w:w="3225" w:type="dxa"/>
            <w:tcBorders>
              <w:left w:val="single" w:sz="4" w:space="0" w:color="000000"/>
              <w:bottom w:val="single" w:sz="4" w:space="0" w:color="000000"/>
            </w:tcBorders>
            <w:shd w:val="clear" w:color="auto" w:fill="auto"/>
          </w:tcPr>
          <w:p w14:paraId="6D15F033" w14:textId="77777777" w:rsidR="00C86459" w:rsidRDefault="00C86459" w:rsidP="00C86459">
            <w:r>
              <w:rPr>
                <w:rFonts w:ascii="Open Sans" w:hAnsi="Open Sans" w:cs="Open Sans"/>
                <w:color w:val="00000A"/>
                <w:sz w:val="20"/>
                <w:szCs w:val="20"/>
              </w:rPr>
              <w:t>Santander Consumer Auto Receivables Funding 2015-L4 LLC</w:t>
            </w:r>
          </w:p>
        </w:tc>
        <w:tc>
          <w:tcPr>
            <w:tcW w:w="3300" w:type="dxa"/>
            <w:tcBorders>
              <w:left w:val="single" w:sz="4" w:space="0" w:color="000000"/>
              <w:bottom w:val="single" w:sz="4" w:space="0" w:color="000000"/>
            </w:tcBorders>
            <w:shd w:val="clear" w:color="auto" w:fill="auto"/>
          </w:tcPr>
          <w:p w14:paraId="7DACBD0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6DD848C" w14:textId="77777777" w:rsidR="00C86459" w:rsidRDefault="00C86459" w:rsidP="00C86459">
            <w:r>
              <w:rPr>
                <w:rFonts w:ascii="Open Sans" w:hAnsi="Open Sans" w:cs="Open Sans"/>
                <w:color w:val="00000A"/>
                <w:sz w:val="20"/>
                <w:szCs w:val="20"/>
              </w:rPr>
              <w:t>Financiera</w:t>
            </w:r>
          </w:p>
        </w:tc>
      </w:tr>
      <w:tr w:rsidR="00C86459" w14:paraId="491CA7F9" w14:textId="77777777" w:rsidTr="00C86459">
        <w:trPr>
          <w:trHeight w:val="240"/>
        </w:trPr>
        <w:tc>
          <w:tcPr>
            <w:tcW w:w="3225" w:type="dxa"/>
            <w:tcBorders>
              <w:left w:val="single" w:sz="4" w:space="0" w:color="000000"/>
              <w:bottom w:val="single" w:sz="4" w:space="0" w:color="000000"/>
            </w:tcBorders>
            <w:shd w:val="clear" w:color="auto" w:fill="auto"/>
          </w:tcPr>
          <w:p w14:paraId="46F6C4F1" w14:textId="77777777" w:rsidR="00C86459" w:rsidRDefault="00C86459" w:rsidP="00C86459">
            <w:r>
              <w:rPr>
                <w:rFonts w:ascii="Open Sans" w:hAnsi="Open Sans" w:cs="Open Sans"/>
                <w:color w:val="00000A"/>
                <w:sz w:val="20"/>
                <w:szCs w:val="20"/>
              </w:rPr>
              <w:t>Santander Consumer Captive Auto Funding 5 LLC</w:t>
            </w:r>
          </w:p>
        </w:tc>
        <w:tc>
          <w:tcPr>
            <w:tcW w:w="3300" w:type="dxa"/>
            <w:tcBorders>
              <w:left w:val="single" w:sz="4" w:space="0" w:color="000000"/>
              <w:bottom w:val="single" w:sz="4" w:space="0" w:color="000000"/>
            </w:tcBorders>
            <w:shd w:val="clear" w:color="auto" w:fill="auto"/>
          </w:tcPr>
          <w:p w14:paraId="03EE19DC"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062CB43" w14:textId="77777777" w:rsidR="00C86459" w:rsidRDefault="00C86459" w:rsidP="00C86459">
            <w:r>
              <w:rPr>
                <w:rFonts w:ascii="Open Sans" w:hAnsi="Open Sans" w:cs="Open Sans"/>
                <w:color w:val="00000A"/>
                <w:sz w:val="20"/>
                <w:szCs w:val="20"/>
              </w:rPr>
              <w:t>Financiera</w:t>
            </w:r>
          </w:p>
        </w:tc>
      </w:tr>
      <w:tr w:rsidR="00C86459" w14:paraId="4B55C0BD" w14:textId="77777777" w:rsidTr="00C86459">
        <w:trPr>
          <w:trHeight w:val="240"/>
        </w:trPr>
        <w:tc>
          <w:tcPr>
            <w:tcW w:w="3225" w:type="dxa"/>
            <w:tcBorders>
              <w:left w:val="single" w:sz="4" w:space="0" w:color="000000"/>
              <w:bottom w:val="single" w:sz="4" w:space="0" w:color="000000"/>
            </w:tcBorders>
            <w:shd w:val="clear" w:color="auto" w:fill="auto"/>
          </w:tcPr>
          <w:p w14:paraId="6B64E51B" w14:textId="77777777" w:rsidR="00C86459" w:rsidRDefault="00C86459" w:rsidP="00C86459">
            <w:r>
              <w:rPr>
                <w:rFonts w:ascii="Open Sans" w:hAnsi="Open Sans" w:cs="Open Sans"/>
                <w:color w:val="00000A"/>
                <w:sz w:val="20"/>
                <w:szCs w:val="20"/>
              </w:rPr>
              <w:t>Santander Consumer Captive Auto Funding LLC</w:t>
            </w:r>
          </w:p>
        </w:tc>
        <w:tc>
          <w:tcPr>
            <w:tcW w:w="3300" w:type="dxa"/>
            <w:tcBorders>
              <w:left w:val="single" w:sz="4" w:space="0" w:color="000000"/>
              <w:bottom w:val="single" w:sz="4" w:space="0" w:color="000000"/>
            </w:tcBorders>
            <w:shd w:val="clear" w:color="auto" w:fill="auto"/>
          </w:tcPr>
          <w:p w14:paraId="18B61AFF"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D36688E" w14:textId="77777777" w:rsidR="00C86459" w:rsidRDefault="00C86459" w:rsidP="00C86459">
            <w:r>
              <w:rPr>
                <w:rFonts w:ascii="Open Sans" w:hAnsi="Open Sans" w:cs="Open Sans"/>
                <w:color w:val="00000A"/>
                <w:sz w:val="20"/>
                <w:szCs w:val="20"/>
              </w:rPr>
              <w:t>Financiera</w:t>
            </w:r>
          </w:p>
        </w:tc>
      </w:tr>
      <w:tr w:rsidR="00C86459" w14:paraId="3F59EA52" w14:textId="77777777" w:rsidTr="00C86459">
        <w:trPr>
          <w:trHeight w:val="240"/>
        </w:trPr>
        <w:tc>
          <w:tcPr>
            <w:tcW w:w="3225" w:type="dxa"/>
            <w:tcBorders>
              <w:left w:val="single" w:sz="4" w:space="0" w:color="000000"/>
              <w:bottom w:val="single" w:sz="4" w:space="0" w:color="000000"/>
            </w:tcBorders>
            <w:shd w:val="clear" w:color="auto" w:fill="auto"/>
          </w:tcPr>
          <w:p w14:paraId="33CFF27F" w14:textId="77777777" w:rsidR="00C86459" w:rsidRPr="00A1554D" w:rsidRDefault="00C86459" w:rsidP="00C86459">
            <w:pPr>
              <w:rPr>
                <w:lang w:val="en-GB"/>
              </w:rPr>
            </w:pPr>
            <w:r w:rsidRPr="00A1554D">
              <w:rPr>
                <w:rFonts w:ascii="Open Sans" w:hAnsi="Open Sans" w:cs="Open Sans"/>
                <w:color w:val="00000A"/>
                <w:sz w:val="20"/>
                <w:szCs w:val="20"/>
                <w:lang w:val="en-GB"/>
              </w:rPr>
              <w:t>Santander Consumer Credit Funding 3 LLC</w:t>
            </w:r>
          </w:p>
        </w:tc>
        <w:tc>
          <w:tcPr>
            <w:tcW w:w="3300" w:type="dxa"/>
            <w:tcBorders>
              <w:left w:val="single" w:sz="4" w:space="0" w:color="000000"/>
              <w:bottom w:val="single" w:sz="4" w:space="0" w:color="000000"/>
            </w:tcBorders>
            <w:shd w:val="clear" w:color="auto" w:fill="auto"/>
          </w:tcPr>
          <w:p w14:paraId="4B96B1D3"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F30D4A0" w14:textId="77777777" w:rsidR="00C86459" w:rsidRDefault="00C86459" w:rsidP="00C86459">
            <w:r>
              <w:rPr>
                <w:rFonts w:ascii="Open Sans" w:hAnsi="Open Sans" w:cs="Open Sans"/>
                <w:color w:val="00000A"/>
                <w:sz w:val="20"/>
                <w:szCs w:val="20"/>
              </w:rPr>
              <w:t>Financiera</w:t>
            </w:r>
          </w:p>
        </w:tc>
      </w:tr>
      <w:tr w:rsidR="00C86459" w14:paraId="78E5DD7E" w14:textId="77777777" w:rsidTr="00C86459">
        <w:trPr>
          <w:trHeight w:val="240"/>
        </w:trPr>
        <w:tc>
          <w:tcPr>
            <w:tcW w:w="3225" w:type="dxa"/>
            <w:tcBorders>
              <w:left w:val="single" w:sz="4" w:space="0" w:color="000000"/>
              <w:bottom w:val="single" w:sz="4" w:space="0" w:color="000000"/>
            </w:tcBorders>
            <w:shd w:val="clear" w:color="auto" w:fill="auto"/>
          </w:tcPr>
          <w:p w14:paraId="777F30B7" w14:textId="77777777" w:rsidR="00C86459" w:rsidRPr="00A1554D" w:rsidRDefault="00C86459" w:rsidP="00C86459">
            <w:pPr>
              <w:rPr>
                <w:lang w:val="en-GB"/>
              </w:rPr>
            </w:pPr>
            <w:r w:rsidRPr="00A1554D">
              <w:rPr>
                <w:rFonts w:ascii="Open Sans" w:hAnsi="Open Sans" w:cs="Open Sans"/>
                <w:color w:val="00000A"/>
                <w:sz w:val="20"/>
                <w:szCs w:val="20"/>
                <w:lang w:val="en-GB"/>
              </w:rPr>
              <w:t>Santander Consumer Credit Funding I LLC</w:t>
            </w:r>
          </w:p>
        </w:tc>
        <w:tc>
          <w:tcPr>
            <w:tcW w:w="3300" w:type="dxa"/>
            <w:tcBorders>
              <w:left w:val="single" w:sz="4" w:space="0" w:color="000000"/>
              <w:bottom w:val="single" w:sz="4" w:space="0" w:color="000000"/>
            </w:tcBorders>
            <w:shd w:val="clear" w:color="auto" w:fill="auto"/>
          </w:tcPr>
          <w:p w14:paraId="657CD005"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0452D42" w14:textId="77777777" w:rsidR="00C86459" w:rsidRDefault="00C86459" w:rsidP="00C86459">
            <w:r>
              <w:rPr>
                <w:rFonts w:ascii="Open Sans" w:hAnsi="Open Sans" w:cs="Open Sans"/>
                <w:color w:val="00000A"/>
                <w:sz w:val="20"/>
                <w:szCs w:val="20"/>
              </w:rPr>
              <w:t>Financiera</w:t>
            </w:r>
          </w:p>
        </w:tc>
      </w:tr>
      <w:tr w:rsidR="00C86459" w14:paraId="166D45F2" w14:textId="77777777" w:rsidTr="00C86459">
        <w:trPr>
          <w:trHeight w:val="240"/>
        </w:trPr>
        <w:tc>
          <w:tcPr>
            <w:tcW w:w="3225" w:type="dxa"/>
            <w:tcBorders>
              <w:left w:val="single" w:sz="4" w:space="0" w:color="000000"/>
              <w:bottom w:val="single" w:sz="4" w:space="0" w:color="000000"/>
            </w:tcBorders>
            <w:shd w:val="clear" w:color="auto" w:fill="auto"/>
          </w:tcPr>
          <w:p w14:paraId="256F2489"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Santander Consumer Finance Benelux BV</w:t>
            </w:r>
          </w:p>
        </w:tc>
        <w:tc>
          <w:tcPr>
            <w:tcW w:w="3300" w:type="dxa"/>
            <w:tcBorders>
              <w:left w:val="single" w:sz="4" w:space="0" w:color="000000"/>
              <w:bottom w:val="single" w:sz="4" w:space="0" w:color="000000"/>
            </w:tcBorders>
            <w:shd w:val="clear" w:color="auto" w:fill="auto"/>
          </w:tcPr>
          <w:p w14:paraId="33D96414"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35E1119B"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Financiera</w:t>
            </w:r>
          </w:p>
        </w:tc>
      </w:tr>
      <w:tr w:rsidR="00C86459" w14:paraId="54B58035" w14:textId="77777777" w:rsidTr="00C86459">
        <w:trPr>
          <w:trHeight w:val="240"/>
        </w:trPr>
        <w:tc>
          <w:tcPr>
            <w:tcW w:w="3225" w:type="dxa"/>
            <w:tcBorders>
              <w:left w:val="single" w:sz="4" w:space="0" w:color="000000"/>
              <w:bottom w:val="single" w:sz="4" w:space="0" w:color="000000"/>
            </w:tcBorders>
            <w:shd w:val="clear" w:color="auto" w:fill="auto"/>
          </w:tcPr>
          <w:p w14:paraId="79211832" w14:textId="77777777" w:rsidR="00C86459" w:rsidRDefault="00C86459" w:rsidP="00C86459">
            <w:r>
              <w:rPr>
                <w:rFonts w:ascii="Open Sans" w:hAnsi="Open Sans" w:cs="Open Sans"/>
                <w:color w:val="00000A"/>
                <w:sz w:val="20"/>
                <w:szCs w:val="20"/>
              </w:rPr>
              <w:t>Santander Consumer Funding 3 LLC</w:t>
            </w:r>
          </w:p>
        </w:tc>
        <w:tc>
          <w:tcPr>
            <w:tcW w:w="3300" w:type="dxa"/>
            <w:tcBorders>
              <w:left w:val="single" w:sz="4" w:space="0" w:color="000000"/>
              <w:bottom w:val="single" w:sz="4" w:space="0" w:color="000000"/>
            </w:tcBorders>
            <w:shd w:val="clear" w:color="auto" w:fill="auto"/>
          </w:tcPr>
          <w:p w14:paraId="05AA3AB7"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E9B3E64" w14:textId="77777777" w:rsidR="00C86459" w:rsidRDefault="00C86459" w:rsidP="00C86459">
            <w:r>
              <w:rPr>
                <w:rFonts w:ascii="Open Sans" w:hAnsi="Open Sans" w:cs="Open Sans"/>
                <w:color w:val="00000A"/>
                <w:sz w:val="20"/>
                <w:szCs w:val="20"/>
              </w:rPr>
              <w:t>Financiera</w:t>
            </w:r>
          </w:p>
        </w:tc>
      </w:tr>
      <w:tr w:rsidR="00C86459" w14:paraId="578E834A" w14:textId="77777777" w:rsidTr="00C86459">
        <w:trPr>
          <w:trHeight w:val="240"/>
        </w:trPr>
        <w:tc>
          <w:tcPr>
            <w:tcW w:w="3225" w:type="dxa"/>
            <w:tcBorders>
              <w:left w:val="single" w:sz="4" w:space="0" w:color="000000"/>
              <w:bottom w:val="single" w:sz="4" w:space="0" w:color="000000"/>
            </w:tcBorders>
            <w:shd w:val="clear" w:color="auto" w:fill="auto"/>
          </w:tcPr>
          <w:p w14:paraId="52045116" w14:textId="77777777" w:rsidR="00C86459" w:rsidRDefault="00C86459" w:rsidP="00C86459">
            <w:r>
              <w:rPr>
                <w:rFonts w:ascii="Open Sans" w:hAnsi="Open Sans" w:cs="Open Sans"/>
                <w:color w:val="00000A"/>
                <w:sz w:val="20"/>
                <w:szCs w:val="20"/>
              </w:rPr>
              <w:t>Santander Consumer Funding 5 LLC</w:t>
            </w:r>
          </w:p>
        </w:tc>
        <w:tc>
          <w:tcPr>
            <w:tcW w:w="3300" w:type="dxa"/>
            <w:tcBorders>
              <w:left w:val="single" w:sz="4" w:space="0" w:color="000000"/>
              <w:bottom w:val="single" w:sz="4" w:space="0" w:color="000000"/>
            </w:tcBorders>
            <w:shd w:val="clear" w:color="auto" w:fill="auto"/>
          </w:tcPr>
          <w:p w14:paraId="0AA79F0C"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B8D51F8" w14:textId="77777777" w:rsidR="00C86459" w:rsidRDefault="00C86459" w:rsidP="00C86459">
            <w:r>
              <w:rPr>
                <w:rFonts w:ascii="Open Sans" w:hAnsi="Open Sans" w:cs="Open Sans"/>
                <w:color w:val="00000A"/>
                <w:sz w:val="20"/>
                <w:szCs w:val="20"/>
              </w:rPr>
              <w:t>Financiera</w:t>
            </w:r>
          </w:p>
        </w:tc>
      </w:tr>
      <w:tr w:rsidR="00C86459" w14:paraId="405CC839" w14:textId="77777777" w:rsidTr="00C86459">
        <w:trPr>
          <w:trHeight w:val="240"/>
        </w:trPr>
        <w:tc>
          <w:tcPr>
            <w:tcW w:w="3225" w:type="dxa"/>
            <w:tcBorders>
              <w:left w:val="single" w:sz="4" w:space="0" w:color="000000"/>
              <w:bottom w:val="single" w:sz="4" w:space="0" w:color="000000"/>
            </w:tcBorders>
            <w:shd w:val="clear" w:color="auto" w:fill="auto"/>
          </w:tcPr>
          <w:p w14:paraId="114F92D0" w14:textId="77777777" w:rsidR="00C86459" w:rsidRDefault="00C86459" w:rsidP="00C86459">
            <w:r>
              <w:rPr>
                <w:rFonts w:ascii="Open Sans" w:hAnsi="Open Sans" w:cs="Open Sans"/>
                <w:sz w:val="20"/>
                <w:szCs w:val="20"/>
              </w:rPr>
              <w:t>Santander Consumer International Puerto Rico LLC</w:t>
            </w:r>
          </w:p>
        </w:tc>
        <w:tc>
          <w:tcPr>
            <w:tcW w:w="3300" w:type="dxa"/>
            <w:tcBorders>
              <w:left w:val="single" w:sz="4" w:space="0" w:color="000000"/>
              <w:bottom w:val="single" w:sz="4" w:space="0" w:color="000000"/>
            </w:tcBorders>
            <w:shd w:val="clear" w:color="auto" w:fill="auto"/>
          </w:tcPr>
          <w:p w14:paraId="34C002B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535E9F2" w14:textId="77777777" w:rsidR="00C86459" w:rsidRDefault="00C86459" w:rsidP="00C86459">
            <w:r>
              <w:rPr>
                <w:rFonts w:ascii="Open Sans" w:hAnsi="Open Sans" w:cs="Open Sans"/>
                <w:color w:val="00000A"/>
                <w:sz w:val="20"/>
                <w:szCs w:val="20"/>
              </w:rPr>
              <w:t>Financiera</w:t>
            </w:r>
          </w:p>
        </w:tc>
      </w:tr>
      <w:tr w:rsidR="00C86459" w14:paraId="32E85F34" w14:textId="77777777" w:rsidTr="00C86459">
        <w:trPr>
          <w:trHeight w:val="240"/>
        </w:trPr>
        <w:tc>
          <w:tcPr>
            <w:tcW w:w="3225" w:type="dxa"/>
            <w:tcBorders>
              <w:left w:val="single" w:sz="4" w:space="0" w:color="000000"/>
              <w:bottom w:val="single" w:sz="4" w:space="0" w:color="000000"/>
            </w:tcBorders>
            <w:shd w:val="clear" w:color="auto" w:fill="auto"/>
          </w:tcPr>
          <w:p w14:paraId="427A0E58" w14:textId="77777777" w:rsidR="00C86459" w:rsidRDefault="00C86459" w:rsidP="00C86459">
            <w:r>
              <w:rPr>
                <w:rFonts w:ascii="Open Sans" w:hAnsi="Open Sans" w:cs="Open Sans"/>
                <w:color w:val="00000A"/>
                <w:sz w:val="20"/>
                <w:szCs w:val="20"/>
              </w:rPr>
              <w:t>Santander Consumer Receivables 10 LLC</w:t>
            </w:r>
          </w:p>
        </w:tc>
        <w:tc>
          <w:tcPr>
            <w:tcW w:w="3300" w:type="dxa"/>
            <w:tcBorders>
              <w:left w:val="single" w:sz="4" w:space="0" w:color="000000"/>
              <w:bottom w:val="single" w:sz="4" w:space="0" w:color="000000"/>
            </w:tcBorders>
            <w:shd w:val="clear" w:color="auto" w:fill="auto"/>
          </w:tcPr>
          <w:p w14:paraId="5F85256D"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1F9B02D" w14:textId="77777777" w:rsidR="00C86459" w:rsidRDefault="00C86459" w:rsidP="00C86459">
            <w:r>
              <w:rPr>
                <w:rFonts w:ascii="Open Sans" w:hAnsi="Open Sans" w:cs="Open Sans"/>
                <w:color w:val="00000A"/>
                <w:sz w:val="20"/>
                <w:szCs w:val="20"/>
              </w:rPr>
              <w:t>Financiera</w:t>
            </w:r>
          </w:p>
        </w:tc>
      </w:tr>
      <w:tr w:rsidR="00C86459" w14:paraId="334A9F0C" w14:textId="77777777" w:rsidTr="00C86459">
        <w:trPr>
          <w:trHeight w:val="240"/>
        </w:trPr>
        <w:tc>
          <w:tcPr>
            <w:tcW w:w="3225" w:type="dxa"/>
            <w:tcBorders>
              <w:left w:val="single" w:sz="4" w:space="0" w:color="000000"/>
              <w:bottom w:val="single" w:sz="4" w:space="0" w:color="000000"/>
            </w:tcBorders>
            <w:shd w:val="clear" w:color="auto" w:fill="auto"/>
          </w:tcPr>
          <w:p w14:paraId="179911DA" w14:textId="77777777" w:rsidR="00C86459" w:rsidRDefault="00C86459" w:rsidP="00C86459">
            <w:r>
              <w:rPr>
                <w:rFonts w:ascii="Open Sans" w:hAnsi="Open Sans" w:cs="Open Sans"/>
                <w:color w:val="00000A"/>
                <w:sz w:val="20"/>
                <w:szCs w:val="20"/>
              </w:rPr>
              <w:t>Santander Consumer Receivables 11 LLC</w:t>
            </w:r>
          </w:p>
        </w:tc>
        <w:tc>
          <w:tcPr>
            <w:tcW w:w="3300" w:type="dxa"/>
            <w:tcBorders>
              <w:left w:val="single" w:sz="4" w:space="0" w:color="000000"/>
              <w:bottom w:val="single" w:sz="4" w:space="0" w:color="000000"/>
            </w:tcBorders>
            <w:shd w:val="clear" w:color="auto" w:fill="auto"/>
          </w:tcPr>
          <w:p w14:paraId="664EA85E"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29E059F" w14:textId="77777777" w:rsidR="00C86459" w:rsidRDefault="00C86459" w:rsidP="00C86459">
            <w:r>
              <w:rPr>
                <w:rFonts w:ascii="Open Sans" w:hAnsi="Open Sans" w:cs="Open Sans"/>
                <w:color w:val="00000A"/>
                <w:sz w:val="20"/>
                <w:szCs w:val="20"/>
              </w:rPr>
              <w:t>Financiera</w:t>
            </w:r>
          </w:p>
        </w:tc>
      </w:tr>
      <w:tr w:rsidR="00C86459" w14:paraId="3F61E733" w14:textId="77777777" w:rsidTr="00C86459">
        <w:trPr>
          <w:trHeight w:val="240"/>
        </w:trPr>
        <w:tc>
          <w:tcPr>
            <w:tcW w:w="3225" w:type="dxa"/>
            <w:tcBorders>
              <w:left w:val="single" w:sz="4" w:space="0" w:color="000000"/>
              <w:bottom w:val="single" w:sz="4" w:space="0" w:color="000000"/>
            </w:tcBorders>
            <w:shd w:val="clear" w:color="auto" w:fill="auto"/>
          </w:tcPr>
          <w:p w14:paraId="50C4539E" w14:textId="77777777" w:rsidR="00C86459" w:rsidRDefault="00C86459" w:rsidP="00C86459">
            <w:r>
              <w:rPr>
                <w:rFonts w:ascii="Open Sans" w:hAnsi="Open Sans" w:cs="Open Sans"/>
                <w:color w:val="00000A"/>
                <w:sz w:val="20"/>
                <w:szCs w:val="20"/>
              </w:rPr>
              <w:t>Santander Consumer Receivables 3 LLC</w:t>
            </w:r>
          </w:p>
        </w:tc>
        <w:tc>
          <w:tcPr>
            <w:tcW w:w="3300" w:type="dxa"/>
            <w:tcBorders>
              <w:left w:val="single" w:sz="4" w:space="0" w:color="000000"/>
              <w:bottom w:val="single" w:sz="4" w:space="0" w:color="000000"/>
            </w:tcBorders>
            <w:shd w:val="clear" w:color="auto" w:fill="auto"/>
          </w:tcPr>
          <w:p w14:paraId="16C8C073"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E8BAC68" w14:textId="77777777" w:rsidR="00C86459" w:rsidRDefault="00C86459" w:rsidP="00C86459">
            <w:r>
              <w:rPr>
                <w:rFonts w:ascii="Open Sans" w:hAnsi="Open Sans" w:cs="Open Sans"/>
                <w:color w:val="00000A"/>
                <w:sz w:val="20"/>
                <w:szCs w:val="20"/>
              </w:rPr>
              <w:t>Financiera</w:t>
            </w:r>
          </w:p>
        </w:tc>
      </w:tr>
      <w:tr w:rsidR="00C86459" w14:paraId="696101BC" w14:textId="77777777" w:rsidTr="00C86459">
        <w:trPr>
          <w:trHeight w:val="240"/>
        </w:trPr>
        <w:tc>
          <w:tcPr>
            <w:tcW w:w="3225" w:type="dxa"/>
            <w:tcBorders>
              <w:left w:val="single" w:sz="4" w:space="0" w:color="000000"/>
              <w:bottom w:val="single" w:sz="4" w:space="0" w:color="000000"/>
            </w:tcBorders>
            <w:shd w:val="clear" w:color="auto" w:fill="auto"/>
          </w:tcPr>
          <w:p w14:paraId="29EF6C11" w14:textId="77777777" w:rsidR="00C86459" w:rsidRDefault="00C86459" w:rsidP="00C86459">
            <w:r>
              <w:rPr>
                <w:rFonts w:ascii="Open Sans" w:hAnsi="Open Sans" w:cs="Open Sans"/>
                <w:color w:val="00000A"/>
                <w:sz w:val="20"/>
                <w:szCs w:val="20"/>
              </w:rPr>
              <w:t>Santander Consumer Receivables 7 LLC</w:t>
            </w:r>
          </w:p>
        </w:tc>
        <w:tc>
          <w:tcPr>
            <w:tcW w:w="3300" w:type="dxa"/>
            <w:tcBorders>
              <w:left w:val="single" w:sz="4" w:space="0" w:color="000000"/>
              <w:bottom w:val="single" w:sz="4" w:space="0" w:color="000000"/>
            </w:tcBorders>
            <w:shd w:val="clear" w:color="auto" w:fill="auto"/>
          </w:tcPr>
          <w:p w14:paraId="6111882A"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8A191BD" w14:textId="77777777" w:rsidR="00C86459" w:rsidRDefault="00C86459" w:rsidP="00C86459">
            <w:r>
              <w:rPr>
                <w:rFonts w:ascii="Open Sans" w:hAnsi="Open Sans" w:cs="Open Sans"/>
                <w:color w:val="00000A"/>
                <w:sz w:val="20"/>
                <w:szCs w:val="20"/>
              </w:rPr>
              <w:t>Financiera</w:t>
            </w:r>
          </w:p>
        </w:tc>
      </w:tr>
      <w:tr w:rsidR="00C86459" w14:paraId="774C2558" w14:textId="77777777" w:rsidTr="00C86459">
        <w:trPr>
          <w:trHeight w:val="240"/>
        </w:trPr>
        <w:tc>
          <w:tcPr>
            <w:tcW w:w="3225" w:type="dxa"/>
            <w:tcBorders>
              <w:left w:val="single" w:sz="4" w:space="0" w:color="000000"/>
              <w:bottom w:val="single" w:sz="4" w:space="0" w:color="000000"/>
            </w:tcBorders>
            <w:shd w:val="clear" w:color="auto" w:fill="auto"/>
          </w:tcPr>
          <w:p w14:paraId="498C6FB9" w14:textId="77777777" w:rsidR="00C86459" w:rsidRDefault="00C86459" w:rsidP="00C86459">
            <w:r>
              <w:rPr>
                <w:rFonts w:ascii="Open Sans" w:hAnsi="Open Sans" w:cs="Open Sans"/>
                <w:color w:val="00000A"/>
                <w:sz w:val="20"/>
                <w:szCs w:val="20"/>
              </w:rPr>
              <w:t>Santander Consumer Receivables 9 LLC</w:t>
            </w:r>
          </w:p>
        </w:tc>
        <w:tc>
          <w:tcPr>
            <w:tcW w:w="3300" w:type="dxa"/>
            <w:tcBorders>
              <w:left w:val="single" w:sz="4" w:space="0" w:color="000000"/>
              <w:bottom w:val="single" w:sz="4" w:space="0" w:color="000000"/>
            </w:tcBorders>
            <w:shd w:val="clear" w:color="auto" w:fill="auto"/>
          </w:tcPr>
          <w:p w14:paraId="2BA6F1A9"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E91B7FC" w14:textId="77777777" w:rsidR="00C86459" w:rsidRDefault="00C86459" w:rsidP="00C86459">
            <w:r>
              <w:rPr>
                <w:rFonts w:ascii="Open Sans" w:hAnsi="Open Sans" w:cs="Open Sans"/>
                <w:color w:val="00000A"/>
                <w:sz w:val="20"/>
                <w:szCs w:val="20"/>
              </w:rPr>
              <w:t>Financiera</w:t>
            </w:r>
          </w:p>
        </w:tc>
      </w:tr>
      <w:tr w:rsidR="00C86459" w14:paraId="121C0141" w14:textId="77777777" w:rsidTr="00C86459">
        <w:trPr>
          <w:trHeight w:val="240"/>
        </w:trPr>
        <w:tc>
          <w:tcPr>
            <w:tcW w:w="3225" w:type="dxa"/>
            <w:tcBorders>
              <w:left w:val="single" w:sz="4" w:space="0" w:color="000000"/>
              <w:bottom w:val="single" w:sz="4" w:space="0" w:color="000000"/>
            </w:tcBorders>
            <w:shd w:val="clear" w:color="auto" w:fill="auto"/>
          </w:tcPr>
          <w:p w14:paraId="3F41A944" w14:textId="77777777" w:rsidR="00C86459" w:rsidRDefault="00C86459" w:rsidP="00C86459">
            <w:r>
              <w:rPr>
                <w:rFonts w:ascii="Open Sans" w:hAnsi="Open Sans" w:cs="Open Sans"/>
                <w:color w:val="00000A"/>
                <w:sz w:val="20"/>
                <w:szCs w:val="20"/>
              </w:rPr>
              <w:t>Santander Consumer Receivables Funding LLC</w:t>
            </w:r>
          </w:p>
        </w:tc>
        <w:tc>
          <w:tcPr>
            <w:tcW w:w="3300" w:type="dxa"/>
            <w:tcBorders>
              <w:left w:val="single" w:sz="4" w:space="0" w:color="000000"/>
              <w:bottom w:val="single" w:sz="4" w:space="0" w:color="000000"/>
            </w:tcBorders>
            <w:shd w:val="clear" w:color="auto" w:fill="auto"/>
          </w:tcPr>
          <w:p w14:paraId="550758C3"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5E5207C" w14:textId="77777777" w:rsidR="00C86459" w:rsidRDefault="00C86459" w:rsidP="00C86459">
            <w:r>
              <w:rPr>
                <w:rFonts w:ascii="Open Sans" w:hAnsi="Open Sans" w:cs="Open Sans"/>
                <w:color w:val="00000A"/>
                <w:sz w:val="20"/>
                <w:szCs w:val="20"/>
              </w:rPr>
              <w:t>Financiera</w:t>
            </w:r>
          </w:p>
        </w:tc>
      </w:tr>
      <w:tr w:rsidR="00C86459" w14:paraId="12C0ADDE" w14:textId="77777777" w:rsidTr="00C86459">
        <w:trPr>
          <w:trHeight w:val="240"/>
        </w:trPr>
        <w:tc>
          <w:tcPr>
            <w:tcW w:w="3225" w:type="dxa"/>
            <w:tcBorders>
              <w:left w:val="single" w:sz="4" w:space="0" w:color="000000"/>
              <w:bottom w:val="single" w:sz="4" w:space="0" w:color="000000"/>
            </w:tcBorders>
            <w:shd w:val="clear" w:color="auto" w:fill="auto"/>
          </w:tcPr>
          <w:p w14:paraId="5768C3AC" w14:textId="77777777" w:rsidR="00C86459" w:rsidRDefault="00C86459" w:rsidP="00C86459">
            <w:r>
              <w:rPr>
                <w:rFonts w:ascii="Open Sans" w:hAnsi="Open Sans" w:cs="Open Sans"/>
                <w:color w:val="00000A"/>
                <w:sz w:val="20"/>
                <w:szCs w:val="20"/>
              </w:rPr>
              <w:t>Santander Consumer USA Holdings Inc.</w:t>
            </w:r>
          </w:p>
        </w:tc>
        <w:tc>
          <w:tcPr>
            <w:tcW w:w="3300" w:type="dxa"/>
            <w:tcBorders>
              <w:left w:val="single" w:sz="4" w:space="0" w:color="000000"/>
              <w:bottom w:val="single" w:sz="4" w:space="0" w:color="000000"/>
            </w:tcBorders>
            <w:shd w:val="clear" w:color="auto" w:fill="auto"/>
          </w:tcPr>
          <w:p w14:paraId="69278C00"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D32D922" w14:textId="77777777" w:rsidR="00C86459" w:rsidRDefault="00C86459" w:rsidP="00C86459">
            <w:r>
              <w:rPr>
                <w:rFonts w:ascii="Open Sans" w:hAnsi="Open Sans" w:cs="Open Sans"/>
                <w:color w:val="00000A"/>
                <w:sz w:val="20"/>
                <w:szCs w:val="20"/>
              </w:rPr>
              <w:t>Financiera</w:t>
            </w:r>
          </w:p>
        </w:tc>
      </w:tr>
      <w:tr w:rsidR="00C86459" w14:paraId="561F49FB" w14:textId="77777777" w:rsidTr="00C86459">
        <w:trPr>
          <w:trHeight w:val="240"/>
        </w:trPr>
        <w:tc>
          <w:tcPr>
            <w:tcW w:w="3225" w:type="dxa"/>
            <w:tcBorders>
              <w:left w:val="single" w:sz="4" w:space="0" w:color="000000"/>
              <w:bottom w:val="single" w:sz="4" w:space="0" w:color="000000"/>
            </w:tcBorders>
            <w:shd w:val="clear" w:color="auto" w:fill="auto"/>
          </w:tcPr>
          <w:p w14:paraId="04DAE030" w14:textId="77777777" w:rsidR="00C86459" w:rsidRDefault="00C86459" w:rsidP="00C86459">
            <w:r>
              <w:rPr>
                <w:rFonts w:ascii="Open Sans" w:hAnsi="Open Sans" w:cs="Open Sans"/>
                <w:color w:val="00000A"/>
                <w:sz w:val="20"/>
                <w:szCs w:val="20"/>
              </w:rPr>
              <w:t>Santander Consumer USA Inc.</w:t>
            </w:r>
          </w:p>
        </w:tc>
        <w:tc>
          <w:tcPr>
            <w:tcW w:w="3300" w:type="dxa"/>
            <w:tcBorders>
              <w:left w:val="single" w:sz="4" w:space="0" w:color="000000"/>
              <w:bottom w:val="single" w:sz="4" w:space="0" w:color="000000"/>
            </w:tcBorders>
            <w:shd w:val="clear" w:color="auto" w:fill="auto"/>
          </w:tcPr>
          <w:p w14:paraId="5BD7504D"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E308305" w14:textId="77777777" w:rsidR="00C86459" w:rsidRDefault="00C86459" w:rsidP="00C86459">
            <w:r>
              <w:rPr>
                <w:rFonts w:ascii="Open Sans" w:hAnsi="Open Sans" w:cs="Open Sans"/>
                <w:color w:val="00000A"/>
                <w:sz w:val="20"/>
                <w:szCs w:val="20"/>
              </w:rPr>
              <w:t>Financiera</w:t>
            </w:r>
          </w:p>
        </w:tc>
      </w:tr>
      <w:tr w:rsidR="00C86459" w14:paraId="69074AC6" w14:textId="77777777" w:rsidTr="00C86459">
        <w:trPr>
          <w:trHeight w:val="240"/>
        </w:trPr>
        <w:tc>
          <w:tcPr>
            <w:tcW w:w="3225" w:type="dxa"/>
            <w:tcBorders>
              <w:left w:val="single" w:sz="4" w:space="0" w:color="000000"/>
              <w:bottom w:val="single" w:sz="4" w:space="0" w:color="000000"/>
            </w:tcBorders>
            <w:shd w:val="clear" w:color="auto" w:fill="auto"/>
          </w:tcPr>
          <w:p w14:paraId="09660312" w14:textId="77777777" w:rsidR="00C86459" w:rsidRDefault="00C86459" w:rsidP="00C86459">
            <w:r>
              <w:rPr>
                <w:rFonts w:ascii="Open Sans" w:hAnsi="Open Sans" w:cs="Open Sans"/>
                <w:color w:val="00000A"/>
                <w:sz w:val="20"/>
                <w:szCs w:val="20"/>
              </w:rPr>
              <w:t>Santander Drive Auto Receivables LLC</w:t>
            </w:r>
          </w:p>
        </w:tc>
        <w:tc>
          <w:tcPr>
            <w:tcW w:w="3300" w:type="dxa"/>
            <w:tcBorders>
              <w:left w:val="single" w:sz="4" w:space="0" w:color="000000"/>
              <w:bottom w:val="single" w:sz="4" w:space="0" w:color="000000"/>
            </w:tcBorders>
            <w:shd w:val="clear" w:color="auto" w:fill="auto"/>
          </w:tcPr>
          <w:p w14:paraId="299077B2"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64CBD4F" w14:textId="77777777" w:rsidR="00C86459" w:rsidRDefault="00C86459" w:rsidP="00C86459">
            <w:r>
              <w:rPr>
                <w:rFonts w:ascii="Open Sans" w:hAnsi="Open Sans" w:cs="Open Sans"/>
                <w:color w:val="00000A"/>
                <w:sz w:val="20"/>
                <w:szCs w:val="20"/>
              </w:rPr>
              <w:t>Financiera</w:t>
            </w:r>
          </w:p>
        </w:tc>
      </w:tr>
      <w:tr w:rsidR="00C86459" w14:paraId="20D532AC" w14:textId="77777777" w:rsidTr="00C86459">
        <w:trPr>
          <w:trHeight w:val="240"/>
        </w:trPr>
        <w:tc>
          <w:tcPr>
            <w:tcW w:w="3225" w:type="dxa"/>
            <w:tcBorders>
              <w:left w:val="single" w:sz="4" w:space="0" w:color="000000"/>
              <w:bottom w:val="single" w:sz="4" w:space="0" w:color="000000"/>
            </w:tcBorders>
            <w:shd w:val="clear" w:color="auto" w:fill="auto"/>
          </w:tcPr>
          <w:p w14:paraId="57CC8E48"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2012-5</w:t>
            </w:r>
          </w:p>
        </w:tc>
        <w:tc>
          <w:tcPr>
            <w:tcW w:w="3300" w:type="dxa"/>
            <w:tcBorders>
              <w:left w:val="single" w:sz="4" w:space="0" w:color="000000"/>
              <w:bottom w:val="single" w:sz="4" w:space="0" w:color="000000"/>
            </w:tcBorders>
            <w:shd w:val="clear" w:color="auto" w:fill="auto"/>
          </w:tcPr>
          <w:p w14:paraId="5D7B3FC3"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C4A1359" w14:textId="77777777" w:rsidR="00C86459" w:rsidRDefault="00C86459" w:rsidP="00C86459">
            <w:r>
              <w:rPr>
                <w:rFonts w:ascii="Open Sans" w:hAnsi="Open Sans" w:cs="Open Sans"/>
                <w:color w:val="00000A"/>
                <w:sz w:val="20"/>
                <w:szCs w:val="20"/>
              </w:rPr>
              <w:t xml:space="preserve">Titulización </w:t>
            </w:r>
          </w:p>
        </w:tc>
      </w:tr>
      <w:tr w:rsidR="00C86459" w14:paraId="46B3AE0B" w14:textId="77777777" w:rsidTr="00C86459">
        <w:trPr>
          <w:trHeight w:val="240"/>
        </w:trPr>
        <w:tc>
          <w:tcPr>
            <w:tcW w:w="3225" w:type="dxa"/>
            <w:tcBorders>
              <w:left w:val="single" w:sz="4" w:space="0" w:color="000000"/>
              <w:bottom w:val="single" w:sz="4" w:space="0" w:color="000000"/>
            </w:tcBorders>
            <w:shd w:val="clear" w:color="auto" w:fill="auto"/>
          </w:tcPr>
          <w:p w14:paraId="2E05B532"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2012-6</w:t>
            </w:r>
          </w:p>
        </w:tc>
        <w:tc>
          <w:tcPr>
            <w:tcW w:w="3300" w:type="dxa"/>
            <w:tcBorders>
              <w:left w:val="single" w:sz="4" w:space="0" w:color="000000"/>
              <w:bottom w:val="single" w:sz="4" w:space="0" w:color="000000"/>
            </w:tcBorders>
            <w:shd w:val="clear" w:color="auto" w:fill="auto"/>
          </w:tcPr>
          <w:p w14:paraId="2C05084C"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81C09E0" w14:textId="77777777" w:rsidR="00C86459" w:rsidRDefault="00C86459" w:rsidP="00C86459">
            <w:r>
              <w:rPr>
                <w:rFonts w:ascii="Open Sans" w:hAnsi="Open Sans" w:cs="Open Sans"/>
                <w:color w:val="00000A"/>
                <w:sz w:val="20"/>
                <w:szCs w:val="20"/>
              </w:rPr>
              <w:t xml:space="preserve">Titulización </w:t>
            </w:r>
          </w:p>
        </w:tc>
      </w:tr>
      <w:tr w:rsidR="00C86459" w14:paraId="2F14E6E7" w14:textId="77777777" w:rsidTr="00C86459">
        <w:trPr>
          <w:trHeight w:val="240"/>
        </w:trPr>
        <w:tc>
          <w:tcPr>
            <w:tcW w:w="3225" w:type="dxa"/>
            <w:tcBorders>
              <w:left w:val="single" w:sz="4" w:space="0" w:color="000000"/>
              <w:bottom w:val="single" w:sz="4" w:space="0" w:color="000000"/>
            </w:tcBorders>
            <w:shd w:val="clear" w:color="auto" w:fill="auto"/>
          </w:tcPr>
          <w:p w14:paraId="7628A366"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2013-1</w:t>
            </w:r>
          </w:p>
        </w:tc>
        <w:tc>
          <w:tcPr>
            <w:tcW w:w="3300" w:type="dxa"/>
            <w:tcBorders>
              <w:left w:val="single" w:sz="4" w:space="0" w:color="000000"/>
              <w:bottom w:val="single" w:sz="4" w:space="0" w:color="000000"/>
            </w:tcBorders>
            <w:shd w:val="clear" w:color="auto" w:fill="auto"/>
          </w:tcPr>
          <w:p w14:paraId="1011843B"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B0A8ECC" w14:textId="77777777" w:rsidR="00C86459" w:rsidRDefault="00C86459" w:rsidP="00C86459">
            <w:r>
              <w:rPr>
                <w:rFonts w:ascii="Open Sans" w:hAnsi="Open Sans" w:cs="Open Sans"/>
                <w:color w:val="00000A"/>
                <w:sz w:val="20"/>
                <w:szCs w:val="20"/>
              </w:rPr>
              <w:t xml:space="preserve">Titulización </w:t>
            </w:r>
          </w:p>
        </w:tc>
      </w:tr>
      <w:tr w:rsidR="00C86459" w14:paraId="2B53F6E2" w14:textId="77777777" w:rsidTr="00C86459">
        <w:trPr>
          <w:trHeight w:val="240"/>
        </w:trPr>
        <w:tc>
          <w:tcPr>
            <w:tcW w:w="3225" w:type="dxa"/>
            <w:tcBorders>
              <w:left w:val="single" w:sz="4" w:space="0" w:color="000000"/>
              <w:bottom w:val="single" w:sz="4" w:space="0" w:color="000000"/>
            </w:tcBorders>
            <w:shd w:val="clear" w:color="auto" w:fill="auto"/>
          </w:tcPr>
          <w:p w14:paraId="4FEAE7A3"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2013-2</w:t>
            </w:r>
          </w:p>
        </w:tc>
        <w:tc>
          <w:tcPr>
            <w:tcW w:w="3300" w:type="dxa"/>
            <w:tcBorders>
              <w:left w:val="single" w:sz="4" w:space="0" w:color="000000"/>
              <w:bottom w:val="single" w:sz="4" w:space="0" w:color="000000"/>
            </w:tcBorders>
            <w:shd w:val="clear" w:color="auto" w:fill="auto"/>
          </w:tcPr>
          <w:p w14:paraId="01C52924"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3C80427" w14:textId="77777777" w:rsidR="00C86459" w:rsidRDefault="00C86459" w:rsidP="00C86459">
            <w:r>
              <w:rPr>
                <w:rFonts w:ascii="Open Sans" w:hAnsi="Open Sans" w:cs="Open Sans"/>
                <w:color w:val="00000A"/>
                <w:sz w:val="20"/>
                <w:szCs w:val="20"/>
              </w:rPr>
              <w:t xml:space="preserve">Titulización </w:t>
            </w:r>
          </w:p>
        </w:tc>
      </w:tr>
      <w:tr w:rsidR="00C86459" w14:paraId="3542FAC2" w14:textId="77777777" w:rsidTr="00C86459">
        <w:trPr>
          <w:trHeight w:val="240"/>
        </w:trPr>
        <w:tc>
          <w:tcPr>
            <w:tcW w:w="3225" w:type="dxa"/>
            <w:tcBorders>
              <w:left w:val="single" w:sz="4" w:space="0" w:color="000000"/>
              <w:bottom w:val="single" w:sz="4" w:space="0" w:color="000000"/>
            </w:tcBorders>
            <w:shd w:val="clear" w:color="auto" w:fill="auto"/>
          </w:tcPr>
          <w:p w14:paraId="4F32F4BD"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2013-3</w:t>
            </w:r>
          </w:p>
        </w:tc>
        <w:tc>
          <w:tcPr>
            <w:tcW w:w="3300" w:type="dxa"/>
            <w:tcBorders>
              <w:left w:val="single" w:sz="4" w:space="0" w:color="000000"/>
              <w:bottom w:val="single" w:sz="4" w:space="0" w:color="000000"/>
            </w:tcBorders>
            <w:shd w:val="clear" w:color="auto" w:fill="auto"/>
          </w:tcPr>
          <w:p w14:paraId="70E3CD89"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E51053E" w14:textId="77777777" w:rsidR="00C86459" w:rsidRDefault="00C86459" w:rsidP="00C86459">
            <w:r>
              <w:rPr>
                <w:rFonts w:ascii="Open Sans" w:hAnsi="Open Sans" w:cs="Open Sans"/>
                <w:color w:val="00000A"/>
                <w:sz w:val="20"/>
                <w:szCs w:val="20"/>
              </w:rPr>
              <w:t xml:space="preserve">Titulización </w:t>
            </w:r>
          </w:p>
        </w:tc>
      </w:tr>
      <w:tr w:rsidR="00C86459" w14:paraId="7F5FED77" w14:textId="77777777" w:rsidTr="00C86459">
        <w:trPr>
          <w:trHeight w:val="240"/>
        </w:trPr>
        <w:tc>
          <w:tcPr>
            <w:tcW w:w="3225" w:type="dxa"/>
            <w:tcBorders>
              <w:left w:val="single" w:sz="4" w:space="0" w:color="000000"/>
              <w:bottom w:val="single" w:sz="4" w:space="0" w:color="000000"/>
            </w:tcBorders>
            <w:shd w:val="clear" w:color="auto" w:fill="auto"/>
          </w:tcPr>
          <w:p w14:paraId="659AB938"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2013-4</w:t>
            </w:r>
          </w:p>
        </w:tc>
        <w:tc>
          <w:tcPr>
            <w:tcW w:w="3300" w:type="dxa"/>
            <w:tcBorders>
              <w:left w:val="single" w:sz="4" w:space="0" w:color="000000"/>
              <w:bottom w:val="single" w:sz="4" w:space="0" w:color="000000"/>
            </w:tcBorders>
            <w:shd w:val="clear" w:color="auto" w:fill="auto"/>
          </w:tcPr>
          <w:p w14:paraId="7BC083E3"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390A6E9" w14:textId="77777777" w:rsidR="00C86459" w:rsidRDefault="00C86459" w:rsidP="00C86459">
            <w:r>
              <w:rPr>
                <w:rFonts w:ascii="Open Sans" w:hAnsi="Open Sans" w:cs="Open Sans"/>
                <w:color w:val="00000A"/>
                <w:sz w:val="20"/>
                <w:szCs w:val="20"/>
              </w:rPr>
              <w:t xml:space="preserve">Titulización </w:t>
            </w:r>
          </w:p>
        </w:tc>
      </w:tr>
      <w:tr w:rsidR="00C86459" w14:paraId="2853B1A6" w14:textId="77777777" w:rsidTr="00C86459">
        <w:trPr>
          <w:trHeight w:val="240"/>
        </w:trPr>
        <w:tc>
          <w:tcPr>
            <w:tcW w:w="3225" w:type="dxa"/>
            <w:tcBorders>
              <w:left w:val="single" w:sz="4" w:space="0" w:color="000000"/>
              <w:bottom w:val="single" w:sz="4" w:space="0" w:color="000000"/>
            </w:tcBorders>
            <w:shd w:val="clear" w:color="auto" w:fill="auto"/>
          </w:tcPr>
          <w:p w14:paraId="1E25F09C"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2013-5</w:t>
            </w:r>
          </w:p>
        </w:tc>
        <w:tc>
          <w:tcPr>
            <w:tcW w:w="3300" w:type="dxa"/>
            <w:tcBorders>
              <w:left w:val="single" w:sz="4" w:space="0" w:color="000000"/>
              <w:bottom w:val="single" w:sz="4" w:space="0" w:color="000000"/>
            </w:tcBorders>
            <w:shd w:val="clear" w:color="auto" w:fill="auto"/>
          </w:tcPr>
          <w:p w14:paraId="308C463F"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06FB3DC" w14:textId="77777777" w:rsidR="00C86459" w:rsidRDefault="00C86459" w:rsidP="00C86459">
            <w:r>
              <w:rPr>
                <w:rFonts w:ascii="Open Sans" w:hAnsi="Open Sans" w:cs="Open Sans"/>
                <w:color w:val="00000A"/>
                <w:sz w:val="20"/>
                <w:szCs w:val="20"/>
              </w:rPr>
              <w:t xml:space="preserve">Titulización </w:t>
            </w:r>
          </w:p>
        </w:tc>
      </w:tr>
      <w:tr w:rsidR="00C86459" w14:paraId="06E79449" w14:textId="77777777" w:rsidTr="00C86459">
        <w:trPr>
          <w:trHeight w:val="240"/>
        </w:trPr>
        <w:tc>
          <w:tcPr>
            <w:tcW w:w="3225" w:type="dxa"/>
            <w:tcBorders>
              <w:left w:val="single" w:sz="4" w:space="0" w:color="000000"/>
              <w:bottom w:val="single" w:sz="4" w:space="0" w:color="000000"/>
            </w:tcBorders>
            <w:shd w:val="clear" w:color="auto" w:fill="auto"/>
          </w:tcPr>
          <w:p w14:paraId="2DD30605"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2013-A</w:t>
            </w:r>
          </w:p>
        </w:tc>
        <w:tc>
          <w:tcPr>
            <w:tcW w:w="3300" w:type="dxa"/>
            <w:tcBorders>
              <w:left w:val="single" w:sz="4" w:space="0" w:color="000000"/>
              <w:bottom w:val="single" w:sz="4" w:space="0" w:color="000000"/>
            </w:tcBorders>
            <w:shd w:val="clear" w:color="auto" w:fill="auto"/>
          </w:tcPr>
          <w:p w14:paraId="139ACA0E"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4464591" w14:textId="77777777" w:rsidR="00C86459" w:rsidRDefault="00C86459" w:rsidP="00C86459">
            <w:r>
              <w:rPr>
                <w:rFonts w:ascii="Open Sans" w:hAnsi="Open Sans" w:cs="Open Sans"/>
                <w:color w:val="00000A"/>
                <w:sz w:val="20"/>
                <w:szCs w:val="20"/>
              </w:rPr>
              <w:t xml:space="preserve">Titulización </w:t>
            </w:r>
          </w:p>
        </w:tc>
      </w:tr>
      <w:tr w:rsidR="00C86459" w14:paraId="550BEC77" w14:textId="77777777" w:rsidTr="00C86459">
        <w:trPr>
          <w:trHeight w:val="240"/>
        </w:trPr>
        <w:tc>
          <w:tcPr>
            <w:tcW w:w="3225" w:type="dxa"/>
            <w:tcBorders>
              <w:left w:val="single" w:sz="4" w:space="0" w:color="000000"/>
              <w:bottom w:val="single" w:sz="4" w:space="0" w:color="000000"/>
            </w:tcBorders>
            <w:shd w:val="clear" w:color="auto" w:fill="auto"/>
          </w:tcPr>
          <w:p w14:paraId="7D30685E"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2014-1</w:t>
            </w:r>
          </w:p>
        </w:tc>
        <w:tc>
          <w:tcPr>
            <w:tcW w:w="3300" w:type="dxa"/>
            <w:tcBorders>
              <w:left w:val="single" w:sz="4" w:space="0" w:color="000000"/>
              <w:bottom w:val="single" w:sz="4" w:space="0" w:color="000000"/>
            </w:tcBorders>
            <w:shd w:val="clear" w:color="auto" w:fill="auto"/>
          </w:tcPr>
          <w:p w14:paraId="4520D2A9"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73E889F" w14:textId="77777777" w:rsidR="00C86459" w:rsidRDefault="00C86459" w:rsidP="00C86459">
            <w:r>
              <w:rPr>
                <w:rFonts w:ascii="Open Sans" w:hAnsi="Open Sans" w:cs="Open Sans"/>
                <w:color w:val="00000A"/>
                <w:sz w:val="20"/>
                <w:szCs w:val="20"/>
              </w:rPr>
              <w:t xml:space="preserve">Titulización </w:t>
            </w:r>
          </w:p>
        </w:tc>
      </w:tr>
      <w:tr w:rsidR="00C86459" w14:paraId="253509D9" w14:textId="77777777" w:rsidTr="00C86459">
        <w:trPr>
          <w:trHeight w:val="240"/>
        </w:trPr>
        <w:tc>
          <w:tcPr>
            <w:tcW w:w="3225" w:type="dxa"/>
            <w:tcBorders>
              <w:left w:val="single" w:sz="4" w:space="0" w:color="000000"/>
              <w:bottom w:val="single" w:sz="4" w:space="0" w:color="000000"/>
            </w:tcBorders>
            <w:shd w:val="clear" w:color="auto" w:fill="auto"/>
          </w:tcPr>
          <w:p w14:paraId="457B6D9E"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2014-2</w:t>
            </w:r>
          </w:p>
        </w:tc>
        <w:tc>
          <w:tcPr>
            <w:tcW w:w="3300" w:type="dxa"/>
            <w:tcBorders>
              <w:left w:val="single" w:sz="4" w:space="0" w:color="000000"/>
              <w:bottom w:val="single" w:sz="4" w:space="0" w:color="000000"/>
            </w:tcBorders>
            <w:shd w:val="clear" w:color="auto" w:fill="auto"/>
          </w:tcPr>
          <w:p w14:paraId="2B291ED1"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38FF84A" w14:textId="77777777" w:rsidR="00C86459" w:rsidRDefault="00C86459" w:rsidP="00C86459">
            <w:r>
              <w:rPr>
                <w:rFonts w:ascii="Open Sans" w:hAnsi="Open Sans" w:cs="Open Sans"/>
                <w:color w:val="00000A"/>
                <w:sz w:val="20"/>
                <w:szCs w:val="20"/>
              </w:rPr>
              <w:t xml:space="preserve">Titulización </w:t>
            </w:r>
          </w:p>
        </w:tc>
      </w:tr>
      <w:tr w:rsidR="00C86459" w14:paraId="062F7B46" w14:textId="77777777" w:rsidTr="00C86459">
        <w:trPr>
          <w:trHeight w:val="240"/>
        </w:trPr>
        <w:tc>
          <w:tcPr>
            <w:tcW w:w="3225" w:type="dxa"/>
            <w:tcBorders>
              <w:left w:val="single" w:sz="4" w:space="0" w:color="000000"/>
              <w:bottom w:val="single" w:sz="4" w:space="0" w:color="000000"/>
            </w:tcBorders>
            <w:shd w:val="clear" w:color="auto" w:fill="auto"/>
          </w:tcPr>
          <w:p w14:paraId="7EC790EF"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2014-3</w:t>
            </w:r>
          </w:p>
        </w:tc>
        <w:tc>
          <w:tcPr>
            <w:tcW w:w="3300" w:type="dxa"/>
            <w:tcBorders>
              <w:left w:val="single" w:sz="4" w:space="0" w:color="000000"/>
              <w:bottom w:val="single" w:sz="4" w:space="0" w:color="000000"/>
            </w:tcBorders>
            <w:shd w:val="clear" w:color="auto" w:fill="auto"/>
          </w:tcPr>
          <w:p w14:paraId="49102F7D"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CFAA242" w14:textId="77777777" w:rsidR="00C86459" w:rsidRDefault="00C86459" w:rsidP="00C86459">
            <w:r>
              <w:rPr>
                <w:rFonts w:ascii="Open Sans" w:hAnsi="Open Sans" w:cs="Open Sans"/>
                <w:color w:val="00000A"/>
                <w:sz w:val="20"/>
                <w:szCs w:val="20"/>
              </w:rPr>
              <w:t xml:space="preserve">Titulización </w:t>
            </w:r>
          </w:p>
        </w:tc>
      </w:tr>
      <w:tr w:rsidR="00C86459" w14:paraId="7083CFBD" w14:textId="77777777" w:rsidTr="00C86459">
        <w:trPr>
          <w:trHeight w:val="240"/>
        </w:trPr>
        <w:tc>
          <w:tcPr>
            <w:tcW w:w="3225" w:type="dxa"/>
            <w:tcBorders>
              <w:left w:val="single" w:sz="4" w:space="0" w:color="000000"/>
              <w:bottom w:val="single" w:sz="4" w:space="0" w:color="000000"/>
            </w:tcBorders>
            <w:shd w:val="clear" w:color="auto" w:fill="auto"/>
          </w:tcPr>
          <w:p w14:paraId="6698CFDE"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2014-4</w:t>
            </w:r>
          </w:p>
        </w:tc>
        <w:tc>
          <w:tcPr>
            <w:tcW w:w="3300" w:type="dxa"/>
            <w:tcBorders>
              <w:left w:val="single" w:sz="4" w:space="0" w:color="000000"/>
              <w:bottom w:val="single" w:sz="4" w:space="0" w:color="000000"/>
            </w:tcBorders>
            <w:shd w:val="clear" w:color="auto" w:fill="auto"/>
          </w:tcPr>
          <w:p w14:paraId="0F6B74A2"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8661D6E" w14:textId="77777777" w:rsidR="00C86459" w:rsidRDefault="00C86459" w:rsidP="00C86459">
            <w:r>
              <w:rPr>
                <w:rFonts w:ascii="Open Sans" w:hAnsi="Open Sans" w:cs="Open Sans"/>
                <w:color w:val="00000A"/>
                <w:sz w:val="20"/>
                <w:szCs w:val="20"/>
              </w:rPr>
              <w:t xml:space="preserve">Titulización </w:t>
            </w:r>
          </w:p>
        </w:tc>
      </w:tr>
      <w:tr w:rsidR="00C86459" w14:paraId="3CBEFFC9" w14:textId="77777777" w:rsidTr="00C86459">
        <w:trPr>
          <w:trHeight w:val="240"/>
        </w:trPr>
        <w:tc>
          <w:tcPr>
            <w:tcW w:w="3225" w:type="dxa"/>
            <w:tcBorders>
              <w:left w:val="single" w:sz="4" w:space="0" w:color="000000"/>
              <w:bottom w:val="single" w:sz="4" w:space="0" w:color="000000"/>
            </w:tcBorders>
            <w:shd w:val="clear" w:color="auto" w:fill="auto"/>
          </w:tcPr>
          <w:p w14:paraId="0BC56A24"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2014-5</w:t>
            </w:r>
          </w:p>
        </w:tc>
        <w:tc>
          <w:tcPr>
            <w:tcW w:w="3300" w:type="dxa"/>
            <w:tcBorders>
              <w:left w:val="single" w:sz="4" w:space="0" w:color="000000"/>
              <w:bottom w:val="single" w:sz="4" w:space="0" w:color="000000"/>
            </w:tcBorders>
            <w:shd w:val="clear" w:color="auto" w:fill="auto"/>
          </w:tcPr>
          <w:p w14:paraId="2F85B0E2"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6DFA4B8" w14:textId="77777777" w:rsidR="00C86459" w:rsidRDefault="00C86459" w:rsidP="00C86459">
            <w:r>
              <w:rPr>
                <w:rFonts w:ascii="Open Sans" w:hAnsi="Open Sans" w:cs="Open Sans"/>
                <w:color w:val="00000A"/>
                <w:sz w:val="20"/>
                <w:szCs w:val="20"/>
              </w:rPr>
              <w:t xml:space="preserve">Titulización </w:t>
            </w:r>
          </w:p>
        </w:tc>
      </w:tr>
      <w:tr w:rsidR="00C86459" w14:paraId="17602E25" w14:textId="77777777" w:rsidTr="00C86459">
        <w:trPr>
          <w:trHeight w:val="240"/>
        </w:trPr>
        <w:tc>
          <w:tcPr>
            <w:tcW w:w="3225" w:type="dxa"/>
            <w:tcBorders>
              <w:left w:val="single" w:sz="4" w:space="0" w:color="000000"/>
              <w:bottom w:val="single" w:sz="4" w:space="0" w:color="000000"/>
            </w:tcBorders>
            <w:shd w:val="clear" w:color="auto" w:fill="auto"/>
          </w:tcPr>
          <w:p w14:paraId="06678CCD"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2015-1</w:t>
            </w:r>
          </w:p>
        </w:tc>
        <w:tc>
          <w:tcPr>
            <w:tcW w:w="3300" w:type="dxa"/>
            <w:tcBorders>
              <w:left w:val="single" w:sz="4" w:space="0" w:color="000000"/>
              <w:bottom w:val="single" w:sz="4" w:space="0" w:color="000000"/>
            </w:tcBorders>
            <w:shd w:val="clear" w:color="auto" w:fill="auto"/>
          </w:tcPr>
          <w:p w14:paraId="4D915296" w14:textId="77777777" w:rsidR="00C86459" w:rsidRDefault="00C86459" w:rsidP="00C86459">
            <w:r w:rsidRPr="005175E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B1A3495" w14:textId="77777777" w:rsidR="00C86459" w:rsidRDefault="00C86459" w:rsidP="00C86459">
            <w:r>
              <w:rPr>
                <w:rFonts w:ascii="Open Sans" w:hAnsi="Open Sans" w:cs="Open Sans"/>
                <w:color w:val="00000A"/>
                <w:sz w:val="20"/>
                <w:szCs w:val="20"/>
              </w:rPr>
              <w:t xml:space="preserve">Titulización </w:t>
            </w:r>
          </w:p>
        </w:tc>
      </w:tr>
      <w:tr w:rsidR="00C86459" w14:paraId="143A14E9" w14:textId="77777777" w:rsidTr="00C86459">
        <w:trPr>
          <w:trHeight w:val="240"/>
        </w:trPr>
        <w:tc>
          <w:tcPr>
            <w:tcW w:w="3225" w:type="dxa"/>
            <w:tcBorders>
              <w:left w:val="single" w:sz="4" w:space="0" w:color="000000"/>
              <w:bottom w:val="single" w:sz="4" w:space="0" w:color="000000"/>
            </w:tcBorders>
            <w:shd w:val="clear" w:color="auto" w:fill="auto"/>
          </w:tcPr>
          <w:p w14:paraId="5FD6F823"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2015-2</w:t>
            </w:r>
          </w:p>
        </w:tc>
        <w:tc>
          <w:tcPr>
            <w:tcW w:w="3300" w:type="dxa"/>
            <w:tcBorders>
              <w:left w:val="single" w:sz="4" w:space="0" w:color="000000"/>
              <w:bottom w:val="single" w:sz="4" w:space="0" w:color="000000"/>
            </w:tcBorders>
            <w:shd w:val="clear" w:color="auto" w:fill="auto"/>
          </w:tcPr>
          <w:p w14:paraId="54FA477B" w14:textId="77777777" w:rsidR="00C86459" w:rsidRDefault="00C86459" w:rsidP="00C86459">
            <w:r w:rsidRPr="005C17A5">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09521B0" w14:textId="77777777" w:rsidR="00C86459" w:rsidRDefault="00C86459" w:rsidP="00C86459">
            <w:r>
              <w:rPr>
                <w:rFonts w:ascii="Open Sans" w:hAnsi="Open Sans" w:cs="Open Sans"/>
                <w:color w:val="00000A"/>
                <w:sz w:val="20"/>
                <w:szCs w:val="20"/>
              </w:rPr>
              <w:t xml:space="preserve">Titulización </w:t>
            </w:r>
          </w:p>
        </w:tc>
      </w:tr>
      <w:tr w:rsidR="00C86459" w14:paraId="4048D560" w14:textId="77777777" w:rsidTr="00C86459">
        <w:trPr>
          <w:trHeight w:val="240"/>
        </w:trPr>
        <w:tc>
          <w:tcPr>
            <w:tcW w:w="3225" w:type="dxa"/>
            <w:tcBorders>
              <w:left w:val="single" w:sz="4" w:space="0" w:color="000000"/>
              <w:bottom w:val="single" w:sz="4" w:space="0" w:color="000000"/>
            </w:tcBorders>
            <w:shd w:val="clear" w:color="auto" w:fill="auto"/>
          </w:tcPr>
          <w:p w14:paraId="1340FC6C"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2015-3</w:t>
            </w:r>
          </w:p>
        </w:tc>
        <w:tc>
          <w:tcPr>
            <w:tcW w:w="3300" w:type="dxa"/>
            <w:tcBorders>
              <w:left w:val="single" w:sz="4" w:space="0" w:color="000000"/>
              <w:bottom w:val="single" w:sz="4" w:space="0" w:color="000000"/>
            </w:tcBorders>
            <w:shd w:val="clear" w:color="auto" w:fill="auto"/>
          </w:tcPr>
          <w:p w14:paraId="3F20838A" w14:textId="77777777" w:rsidR="00C86459" w:rsidRDefault="00C86459" w:rsidP="00C86459">
            <w:r w:rsidRPr="005C17A5">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D6329D6" w14:textId="77777777" w:rsidR="00C86459" w:rsidRDefault="00C86459" w:rsidP="00C86459">
            <w:r>
              <w:rPr>
                <w:rFonts w:ascii="Open Sans" w:hAnsi="Open Sans" w:cs="Open Sans"/>
                <w:color w:val="00000A"/>
                <w:sz w:val="20"/>
                <w:szCs w:val="20"/>
              </w:rPr>
              <w:t xml:space="preserve">Titulización </w:t>
            </w:r>
          </w:p>
        </w:tc>
      </w:tr>
      <w:tr w:rsidR="00C86459" w14:paraId="650862F5" w14:textId="77777777" w:rsidTr="00C86459">
        <w:trPr>
          <w:trHeight w:val="240"/>
        </w:trPr>
        <w:tc>
          <w:tcPr>
            <w:tcW w:w="3225" w:type="dxa"/>
            <w:tcBorders>
              <w:left w:val="single" w:sz="4" w:space="0" w:color="000000"/>
              <w:bottom w:val="single" w:sz="4" w:space="0" w:color="000000"/>
            </w:tcBorders>
            <w:shd w:val="clear" w:color="auto" w:fill="auto"/>
          </w:tcPr>
          <w:p w14:paraId="452EAD86"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2015-4</w:t>
            </w:r>
          </w:p>
        </w:tc>
        <w:tc>
          <w:tcPr>
            <w:tcW w:w="3300" w:type="dxa"/>
            <w:tcBorders>
              <w:left w:val="single" w:sz="4" w:space="0" w:color="000000"/>
              <w:bottom w:val="single" w:sz="4" w:space="0" w:color="000000"/>
            </w:tcBorders>
            <w:shd w:val="clear" w:color="auto" w:fill="auto"/>
          </w:tcPr>
          <w:p w14:paraId="2AC3CBDE"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470C37D" w14:textId="77777777" w:rsidR="00C86459" w:rsidRDefault="00C86459" w:rsidP="00C86459">
            <w:r>
              <w:rPr>
                <w:rFonts w:ascii="Open Sans" w:hAnsi="Open Sans" w:cs="Open Sans"/>
                <w:color w:val="00000A"/>
                <w:sz w:val="20"/>
                <w:szCs w:val="20"/>
              </w:rPr>
              <w:t xml:space="preserve">Titulización </w:t>
            </w:r>
          </w:p>
        </w:tc>
      </w:tr>
      <w:tr w:rsidR="00C86459" w14:paraId="71DA1D31" w14:textId="77777777" w:rsidTr="00C86459">
        <w:trPr>
          <w:trHeight w:val="240"/>
        </w:trPr>
        <w:tc>
          <w:tcPr>
            <w:tcW w:w="3225" w:type="dxa"/>
            <w:tcBorders>
              <w:left w:val="single" w:sz="4" w:space="0" w:color="000000"/>
              <w:bottom w:val="single" w:sz="4" w:space="0" w:color="000000"/>
            </w:tcBorders>
            <w:shd w:val="clear" w:color="auto" w:fill="auto"/>
          </w:tcPr>
          <w:p w14:paraId="0DC934F6"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2015-5</w:t>
            </w:r>
          </w:p>
        </w:tc>
        <w:tc>
          <w:tcPr>
            <w:tcW w:w="3300" w:type="dxa"/>
            <w:tcBorders>
              <w:left w:val="single" w:sz="4" w:space="0" w:color="000000"/>
              <w:bottom w:val="single" w:sz="4" w:space="0" w:color="000000"/>
            </w:tcBorders>
            <w:shd w:val="clear" w:color="auto" w:fill="auto"/>
          </w:tcPr>
          <w:p w14:paraId="7B0180AE"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3B27FB6" w14:textId="77777777" w:rsidR="00C86459" w:rsidRDefault="00C86459" w:rsidP="00C86459">
            <w:r>
              <w:rPr>
                <w:rFonts w:ascii="Open Sans" w:hAnsi="Open Sans" w:cs="Open Sans"/>
                <w:color w:val="00000A"/>
                <w:sz w:val="20"/>
                <w:szCs w:val="20"/>
              </w:rPr>
              <w:t xml:space="preserve">Titulización </w:t>
            </w:r>
          </w:p>
        </w:tc>
      </w:tr>
      <w:tr w:rsidR="00C86459" w14:paraId="057A5D88" w14:textId="77777777" w:rsidTr="00C86459">
        <w:trPr>
          <w:trHeight w:val="240"/>
        </w:trPr>
        <w:tc>
          <w:tcPr>
            <w:tcW w:w="3225" w:type="dxa"/>
            <w:tcBorders>
              <w:left w:val="single" w:sz="4" w:space="0" w:color="000000"/>
              <w:bottom w:val="single" w:sz="4" w:space="0" w:color="000000"/>
            </w:tcBorders>
            <w:shd w:val="clear" w:color="auto" w:fill="auto"/>
          </w:tcPr>
          <w:p w14:paraId="579EC3DB"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2015-S1</w:t>
            </w:r>
          </w:p>
        </w:tc>
        <w:tc>
          <w:tcPr>
            <w:tcW w:w="3300" w:type="dxa"/>
            <w:tcBorders>
              <w:left w:val="single" w:sz="4" w:space="0" w:color="000000"/>
              <w:bottom w:val="single" w:sz="4" w:space="0" w:color="000000"/>
            </w:tcBorders>
            <w:shd w:val="clear" w:color="auto" w:fill="auto"/>
          </w:tcPr>
          <w:p w14:paraId="00CC877F"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176CBEF" w14:textId="77777777" w:rsidR="00C86459" w:rsidRDefault="00C86459" w:rsidP="00C86459">
            <w:r>
              <w:rPr>
                <w:rFonts w:ascii="Open Sans" w:hAnsi="Open Sans" w:cs="Open Sans"/>
                <w:color w:val="00000A"/>
                <w:sz w:val="20"/>
                <w:szCs w:val="20"/>
              </w:rPr>
              <w:t xml:space="preserve">Titulización </w:t>
            </w:r>
          </w:p>
        </w:tc>
      </w:tr>
      <w:tr w:rsidR="00C86459" w14:paraId="1ADB9DBC" w14:textId="77777777" w:rsidTr="00C86459">
        <w:trPr>
          <w:trHeight w:val="240"/>
        </w:trPr>
        <w:tc>
          <w:tcPr>
            <w:tcW w:w="3225" w:type="dxa"/>
            <w:tcBorders>
              <w:left w:val="single" w:sz="4" w:space="0" w:color="000000"/>
              <w:bottom w:val="single" w:sz="4" w:space="0" w:color="000000"/>
            </w:tcBorders>
            <w:shd w:val="clear" w:color="auto" w:fill="auto"/>
          </w:tcPr>
          <w:p w14:paraId="4262D0D8"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2015-S2</w:t>
            </w:r>
          </w:p>
        </w:tc>
        <w:tc>
          <w:tcPr>
            <w:tcW w:w="3300" w:type="dxa"/>
            <w:tcBorders>
              <w:left w:val="single" w:sz="4" w:space="0" w:color="000000"/>
              <w:bottom w:val="single" w:sz="4" w:space="0" w:color="000000"/>
            </w:tcBorders>
            <w:shd w:val="clear" w:color="auto" w:fill="auto"/>
          </w:tcPr>
          <w:p w14:paraId="63F2CF46"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506A457" w14:textId="77777777" w:rsidR="00C86459" w:rsidRDefault="00C86459" w:rsidP="00C86459">
            <w:r>
              <w:rPr>
                <w:rFonts w:ascii="Open Sans" w:hAnsi="Open Sans" w:cs="Open Sans"/>
                <w:color w:val="00000A"/>
                <w:sz w:val="20"/>
                <w:szCs w:val="20"/>
              </w:rPr>
              <w:t xml:space="preserve">Titulización </w:t>
            </w:r>
          </w:p>
        </w:tc>
      </w:tr>
      <w:tr w:rsidR="00C86459" w14:paraId="737BF678" w14:textId="77777777" w:rsidTr="00C86459">
        <w:trPr>
          <w:trHeight w:val="240"/>
        </w:trPr>
        <w:tc>
          <w:tcPr>
            <w:tcW w:w="3225" w:type="dxa"/>
            <w:tcBorders>
              <w:left w:val="single" w:sz="4" w:space="0" w:color="000000"/>
              <w:bottom w:val="single" w:sz="4" w:space="0" w:color="000000"/>
            </w:tcBorders>
            <w:shd w:val="clear" w:color="auto" w:fill="auto"/>
          </w:tcPr>
          <w:p w14:paraId="763F0026"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2015-S3</w:t>
            </w:r>
          </w:p>
        </w:tc>
        <w:tc>
          <w:tcPr>
            <w:tcW w:w="3300" w:type="dxa"/>
            <w:tcBorders>
              <w:left w:val="single" w:sz="4" w:space="0" w:color="000000"/>
              <w:bottom w:val="single" w:sz="4" w:space="0" w:color="000000"/>
            </w:tcBorders>
            <w:shd w:val="clear" w:color="auto" w:fill="auto"/>
          </w:tcPr>
          <w:p w14:paraId="69F59D40"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E9E8C60" w14:textId="77777777" w:rsidR="00C86459" w:rsidRDefault="00C86459" w:rsidP="00C86459">
            <w:r>
              <w:rPr>
                <w:rFonts w:ascii="Open Sans" w:hAnsi="Open Sans" w:cs="Open Sans"/>
                <w:color w:val="00000A"/>
                <w:sz w:val="20"/>
                <w:szCs w:val="20"/>
              </w:rPr>
              <w:t xml:space="preserve">Titulización </w:t>
            </w:r>
          </w:p>
        </w:tc>
      </w:tr>
      <w:tr w:rsidR="00C86459" w14:paraId="0A1EEF3C" w14:textId="77777777" w:rsidTr="00C86459">
        <w:trPr>
          <w:trHeight w:val="240"/>
        </w:trPr>
        <w:tc>
          <w:tcPr>
            <w:tcW w:w="3225" w:type="dxa"/>
            <w:tcBorders>
              <w:left w:val="single" w:sz="4" w:space="0" w:color="000000"/>
              <w:bottom w:val="single" w:sz="4" w:space="0" w:color="000000"/>
            </w:tcBorders>
            <w:shd w:val="clear" w:color="auto" w:fill="auto"/>
          </w:tcPr>
          <w:p w14:paraId="75AB5140"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2015-S4</w:t>
            </w:r>
          </w:p>
        </w:tc>
        <w:tc>
          <w:tcPr>
            <w:tcW w:w="3300" w:type="dxa"/>
            <w:tcBorders>
              <w:left w:val="single" w:sz="4" w:space="0" w:color="000000"/>
              <w:bottom w:val="single" w:sz="4" w:space="0" w:color="000000"/>
            </w:tcBorders>
            <w:shd w:val="clear" w:color="auto" w:fill="auto"/>
          </w:tcPr>
          <w:p w14:paraId="48590799"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A856275" w14:textId="77777777" w:rsidR="00C86459" w:rsidRDefault="00C86459" w:rsidP="00C86459">
            <w:r>
              <w:rPr>
                <w:rFonts w:ascii="Open Sans" w:hAnsi="Open Sans" w:cs="Open Sans"/>
                <w:color w:val="00000A"/>
                <w:sz w:val="20"/>
                <w:szCs w:val="20"/>
              </w:rPr>
              <w:t xml:space="preserve">Titulización </w:t>
            </w:r>
          </w:p>
        </w:tc>
      </w:tr>
      <w:tr w:rsidR="00C86459" w14:paraId="4A3480F8" w14:textId="77777777" w:rsidTr="00C86459">
        <w:trPr>
          <w:trHeight w:val="240"/>
        </w:trPr>
        <w:tc>
          <w:tcPr>
            <w:tcW w:w="3225" w:type="dxa"/>
            <w:tcBorders>
              <w:left w:val="single" w:sz="4" w:space="0" w:color="000000"/>
              <w:bottom w:val="single" w:sz="4" w:space="0" w:color="000000"/>
            </w:tcBorders>
            <w:shd w:val="clear" w:color="auto" w:fill="auto"/>
          </w:tcPr>
          <w:p w14:paraId="5FCC8445"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2015-S5</w:t>
            </w:r>
          </w:p>
        </w:tc>
        <w:tc>
          <w:tcPr>
            <w:tcW w:w="3300" w:type="dxa"/>
            <w:tcBorders>
              <w:left w:val="single" w:sz="4" w:space="0" w:color="000000"/>
              <w:bottom w:val="single" w:sz="4" w:space="0" w:color="000000"/>
            </w:tcBorders>
            <w:shd w:val="clear" w:color="auto" w:fill="auto"/>
          </w:tcPr>
          <w:p w14:paraId="43FB431A"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94A15D6" w14:textId="77777777" w:rsidR="00C86459" w:rsidRDefault="00C86459" w:rsidP="00C86459">
            <w:r>
              <w:rPr>
                <w:rFonts w:ascii="Open Sans" w:hAnsi="Open Sans" w:cs="Open Sans"/>
                <w:color w:val="00000A"/>
                <w:sz w:val="20"/>
                <w:szCs w:val="20"/>
              </w:rPr>
              <w:t xml:space="preserve">Titulización </w:t>
            </w:r>
          </w:p>
        </w:tc>
      </w:tr>
      <w:tr w:rsidR="00C86459" w14:paraId="2B88A139" w14:textId="77777777" w:rsidTr="00C86459">
        <w:trPr>
          <w:trHeight w:val="240"/>
        </w:trPr>
        <w:tc>
          <w:tcPr>
            <w:tcW w:w="3225" w:type="dxa"/>
            <w:tcBorders>
              <w:left w:val="single" w:sz="4" w:space="0" w:color="000000"/>
              <w:bottom w:val="single" w:sz="4" w:space="0" w:color="000000"/>
            </w:tcBorders>
            <w:shd w:val="clear" w:color="auto" w:fill="auto"/>
          </w:tcPr>
          <w:p w14:paraId="5B4475D8"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2015-S6</w:t>
            </w:r>
          </w:p>
        </w:tc>
        <w:tc>
          <w:tcPr>
            <w:tcW w:w="3300" w:type="dxa"/>
            <w:tcBorders>
              <w:left w:val="single" w:sz="4" w:space="0" w:color="000000"/>
              <w:bottom w:val="single" w:sz="4" w:space="0" w:color="000000"/>
            </w:tcBorders>
            <w:shd w:val="clear" w:color="auto" w:fill="auto"/>
          </w:tcPr>
          <w:p w14:paraId="6C69D1CF"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2A2D315" w14:textId="77777777" w:rsidR="00C86459" w:rsidRDefault="00C86459" w:rsidP="00C86459">
            <w:r>
              <w:rPr>
                <w:rFonts w:ascii="Open Sans" w:hAnsi="Open Sans" w:cs="Open Sans"/>
                <w:color w:val="00000A"/>
                <w:sz w:val="20"/>
                <w:szCs w:val="20"/>
              </w:rPr>
              <w:t xml:space="preserve">Titulización </w:t>
            </w:r>
          </w:p>
        </w:tc>
      </w:tr>
      <w:tr w:rsidR="00C86459" w14:paraId="20E39AD7" w14:textId="77777777" w:rsidTr="00C86459">
        <w:trPr>
          <w:trHeight w:val="240"/>
        </w:trPr>
        <w:tc>
          <w:tcPr>
            <w:tcW w:w="3225" w:type="dxa"/>
            <w:tcBorders>
              <w:left w:val="single" w:sz="4" w:space="0" w:color="000000"/>
              <w:bottom w:val="single" w:sz="4" w:space="0" w:color="000000"/>
            </w:tcBorders>
            <w:shd w:val="clear" w:color="auto" w:fill="auto"/>
          </w:tcPr>
          <w:p w14:paraId="339DE452" w14:textId="77777777" w:rsidR="00C86459" w:rsidRPr="00A1554D" w:rsidRDefault="00C86459" w:rsidP="00C86459">
            <w:pPr>
              <w:rPr>
                <w:lang w:val="en-GB"/>
              </w:rPr>
            </w:pPr>
            <w:r w:rsidRPr="00A1554D">
              <w:rPr>
                <w:rFonts w:ascii="Open Sans" w:hAnsi="Open Sans" w:cs="Open Sans"/>
                <w:color w:val="00000A"/>
                <w:sz w:val="20"/>
                <w:szCs w:val="20"/>
                <w:lang w:val="en-GB"/>
              </w:rPr>
              <w:t>Santander Drive Auto Receivables Trust 2015-S7</w:t>
            </w:r>
          </w:p>
        </w:tc>
        <w:tc>
          <w:tcPr>
            <w:tcW w:w="3300" w:type="dxa"/>
            <w:tcBorders>
              <w:left w:val="single" w:sz="4" w:space="0" w:color="000000"/>
              <w:bottom w:val="single" w:sz="4" w:space="0" w:color="000000"/>
            </w:tcBorders>
            <w:shd w:val="clear" w:color="auto" w:fill="auto"/>
          </w:tcPr>
          <w:p w14:paraId="4B4CE4BF" w14:textId="77777777" w:rsidR="00C86459" w:rsidRDefault="00C86459" w:rsidP="00C86459">
            <w:r w:rsidRPr="00AA530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FF04DC0" w14:textId="77777777" w:rsidR="00C86459" w:rsidRDefault="00C86459" w:rsidP="00C86459">
            <w:r>
              <w:rPr>
                <w:rFonts w:ascii="Open Sans" w:hAnsi="Open Sans" w:cs="Open Sans"/>
                <w:color w:val="00000A"/>
                <w:sz w:val="20"/>
                <w:szCs w:val="20"/>
              </w:rPr>
              <w:t xml:space="preserve">Titulización </w:t>
            </w:r>
          </w:p>
        </w:tc>
      </w:tr>
      <w:tr w:rsidR="00C86459" w14:paraId="59C1E00B" w14:textId="77777777" w:rsidTr="00C86459">
        <w:trPr>
          <w:trHeight w:val="240"/>
        </w:trPr>
        <w:tc>
          <w:tcPr>
            <w:tcW w:w="3225" w:type="dxa"/>
            <w:tcBorders>
              <w:left w:val="single" w:sz="4" w:space="0" w:color="000000"/>
              <w:bottom w:val="single" w:sz="4" w:space="0" w:color="000000"/>
            </w:tcBorders>
            <w:shd w:val="clear" w:color="auto" w:fill="auto"/>
          </w:tcPr>
          <w:p w14:paraId="56B7E6A5" w14:textId="77777777" w:rsidR="00C86459" w:rsidRDefault="00C86459" w:rsidP="00C86459">
            <w:r>
              <w:rPr>
                <w:rFonts w:ascii="Open Sans" w:hAnsi="Open Sans" w:cs="Open Sans"/>
                <w:color w:val="00000A"/>
                <w:sz w:val="20"/>
                <w:szCs w:val="20"/>
              </w:rPr>
              <w:t>Santander Finance 2012-1 LLC</w:t>
            </w:r>
          </w:p>
        </w:tc>
        <w:tc>
          <w:tcPr>
            <w:tcW w:w="3300" w:type="dxa"/>
            <w:tcBorders>
              <w:left w:val="single" w:sz="4" w:space="0" w:color="000000"/>
              <w:bottom w:val="single" w:sz="4" w:space="0" w:color="000000"/>
            </w:tcBorders>
            <w:shd w:val="clear" w:color="auto" w:fill="auto"/>
          </w:tcPr>
          <w:p w14:paraId="68183F26"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53B94A3" w14:textId="77777777" w:rsidR="00C86459" w:rsidRDefault="00C86459" w:rsidP="00C86459">
            <w:r>
              <w:rPr>
                <w:rFonts w:ascii="Open Sans" w:hAnsi="Open Sans" w:cs="Open Sans"/>
                <w:color w:val="00000A"/>
                <w:sz w:val="20"/>
                <w:szCs w:val="20"/>
              </w:rPr>
              <w:t>Servicios financieros</w:t>
            </w:r>
          </w:p>
        </w:tc>
      </w:tr>
      <w:tr w:rsidR="00C86459" w14:paraId="5651F132" w14:textId="77777777" w:rsidTr="00C86459">
        <w:trPr>
          <w:trHeight w:val="240"/>
        </w:trPr>
        <w:tc>
          <w:tcPr>
            <w:tcW w:w="3225" w:type="dxa"/>
            <w:tcBorders>
              <w:left w:val="single" w:sz="4" w:space="0" w:color="000000"/>
              <w:bottom w:val="single" w:sz="4" w:space="0" w:color="000000"/>
            </w:tcBorders>
            <w:shd w:val="clear" w:color="auto" w:fill="auto"/>
          </w:tcPr>
          <w:p w14:paraId="7DBCF3FD" w14:textId="77777777" w:rsidR="00C86459" w:rsidRDefault="00C86459" w:rsidP="00C86459">
            <w:r>
              <w:rPr>
                <w:rFonts w:ascii="Open Sans" w:hAnsi="Open Sans" w:cs="Open Sans"/>
                <w:color w:val="00000A"/>
                <w:sz w:val="20"/>
                <w:szCs w:val="20"/>
              </w:rPr>
              <w:t>Santander Financial Products plc</w:t>
            </w:r>
          </w:p>
        </w:tc>
        <w:tc>
          <w:tcPr>
            <w:tcW w:w="3300" w:type="dxa"/>
            <w:tcBorders>
              <w:left w:val="single" w:sz="4" w:space="0" w:color="000000"/>
              <w:bottom w:val="single" w:sz="4" w:space="0" w:color="000000"/>
            </w:tcBorders>
            <w:shd w:val="clear" w:color="auto" w:fill="auto"/>
          </w:tcPr>
          <w:p w14:paraId="54E923A0"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0F088E90" w14:textId="77777777" w:rsidR="00C86459" w:rsidRDefault="00C86459" w:rsidP="00C86459">
            <w:r>
              <w:rPr>
                <w:rFonts w:ascii="Open Sans" w:hAnsi="Open Sans" w:cs="Open Sans"/>
                <w:color w:val="00000A"/>
                <w:sz w:val="20"/>
                <w:szCs w:val="20"/>
              </w:rPr>
              <w:t>Financiera</w:t>
            </w:r>
          </w:p>
        </w:tc>
      </w:tr>
      <w:tr w:rsidR="00C86459" w14:paraId="4C608B2E" w14:textId="77777777" w:rsidTr="00C86459">
        <w:trPr>
          <w:trHeight w:val="240"/>
        </w:trPr>
        <w:tc>
          <w:tcPr>
            <w:tcW w:w="3225" w:type="dxa"/>
            <w:tcBorders>
              <w:left w:val="single" w:sz="4" w:space="0" w:color="000000"/>
              <w:bottom w:val="single" w:sz="4" w:space="0" w:color="000000"/>
            </w:tcBorders>
            <w:shd w:val="clear" w:color="auto" w:fill="auto"/>
          </w:tcPr>
          <w:p w14:paraId="209EDE90" w14:textId="77777777" w:rsidR="00C86459" w:rsidRDefault="00C86459" w:rsidP="00C86459">
            <w:r>
              <w:rPr>
                <w:rFonts w:ascii="Open Sans" w:hAnsi="Open Sans" w:cs="Open Sans"/>
                <w:color w:val="00000A"/>
                <w:sz w:val="20"/>
                <w:szCs w:val="20"/>
              </w:rPr>
              <w:t>Santander Financial Services, Inc.</w:t>
            </w:r>
          </w:p>
        </w:tc>
        <w:tc>
          <w:tcPr>
            <w:tcW w:w="3300" w:type="dxa"/>
            <w:tcBorders>
              <w:left w:val="single" w:sz="4" w:space="0" w:color="000000"/>
              <w:bottom w:val="single" w:sz="4" w:space="0" w:color="000000"/>
            </w:tcBorders>
            <w:shd w:val="clear" w:color="auto" w:fill="auto"/>
          </w:tcPr>
          <w:p w14:paraId="09CCF429" w14:textId="77777777" w:rsidR="00C86459" w:rsidRDefault="00C86459" w:rsidP="00C86459">
            <w:r>
              <w:rPr>
                <w:rFonts w:ascii="Open Sans" w:hAnsi="Open Sans" w:cs="Open Sans"/>
                <w:color w:val="00000A"/>
                <w:sz w:val="20"/>
                <w:szCs w:val="20"/>
              </w:rPr>
              <w:t xml:space="preserve">Puerto Rico </w:t>
            </w:r>
          </w:p>
        </w:tc>
        <w:tc>
          <w:tcPr>
            <w:tcW w:w="2070" w:type="dxa"/>
            <w:tcBorders>
              <w:left w:val="single" w:sz="4" w:space="0" w:color="000000"/>
              <w:bottom w:val="single" w:sz="4" w:space="0" w:color="000000"/>
              <w:right w:val="single" w:sz="4" w:space="0" w:color="000000"/>
            </w:tcBorders>
            <w:shd w:val="clear" w:color="auto" w:fill="auto"/>
          </w:tcPr>
          <w:p w14:paraId="16BF8511" w14:textId="77777777" w:rsidR="00C86459" w:rsidRDefault="00C86459" w:rsidP="00C86459">
            <w:r>
              <w:rPr>
                <w:rFonts w:ascii="Open Sans" w:hAnsi="Open Sans" w:cs="Open Sans"/>
                <w:color w:val="00000A"/>
                <w:sz w:val="20"/>
                <w:szCs w:val="20"/>
              </w:rPr>
              <w:t>Sociedad de Préstamos</w:t>
            </w:r>
          </w:p>
        </w:tc>
      </w:tr>
      <w:tr w:rsidR="00C86459" w14:paraId="01E02E1B" w14:textId="77777777" w:rsidTr="00C86459">
        <w:trPr>
          <w:trHeight w:val="240"/>
        </w:trPr>
        <w:tc>
          <w:tcPr>
            <w:tcW w:w="3225" w:type="dxa"/>
            <w:tcBorders>
              <w:left w:val="single" w:sz="4" w:space="0" w:color="000000"/>
              <w:bottom w:val="single" w:sz="4" w:space="0" w:color="000000"/>
            </w:tcBorders>
            <w:shd w:val="clear" w:color="auto" w:fill="auto"/>
          </w:tcPr>
          <w:p w14:paraId="2EC851C8"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Santander Holanda BV</w:t>
            </w:r>
          </w:p>
        </w:tc>
        <w:tc>
          <w:tcPr>
            <w:tcW w:w="3300" w:type="dxa"/>
            <w:tcBorders>
              <w:left w:val="single" w:sz="4" w:space="0" w:color="000000"/>
              <w:bottom w:val="single" w:sz="4" w:space="0" w:color="000000"/>
            </w:tcBorders>
            <w:shd w:val="clear" w:color="auto" w:fill="auto"/>
          </w:tcPr>
          <w:p w14:paraId="55F638FA"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61F4A80F"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04D69683" w14:textId="77777777" w:rsidTr="00C86459">
        <w:trPr>
          <w:trHeight w:val="240"/>
        </w:trPr>
        <w:tc>
          <w:tcPr>
            <w:tcW w:w="3225" w:type="dxa"/>
            <w:tcBorders>
              <w:left w:val="single" w:sz="4" w:space="0" w:color="000000"/>
              <w:bottom w:val="single" w:sz="4" w:space="0" w:color="000000"/>
            </w:tcBorders>
            <w:shd w:val="clear" w:color="auto" w:fill="auto"/>
          </w:tcPr>
          <w:p w14:paraId="10556F71" w14:textId="77777777" w:rsidR="00C86459" w:rsidRPr="00A1554D" w:rsidRDefault="00C86459" w:rsidP="00C86459">
            <w:pPr>
              <w:rPr>
                <w:lang w:val="en-GB"/>
              </w:rPr>
            </w:pPr>
            <w:r w:rsidRPr="00A1554D">
              <w:rPr>
                <w:rFonts w:ascii="Open Sans" w:hAnsi="Open Sans" w:cs="Open Sans"/>
                <w:color w:val="00000A"/>
                <w:sz w:val="20"/>
                <w:szCs w:val="20"/>
                <w:lang w:val="en-GB"/>
              </w:rPr>
              <w:t>Santander GBM Secured Financing Limited</w:t>
            </w:r>
          </w:p>
        </w:tc>
        <w:tc>
          <w:tcPr>
            <w:tcW w:w="3300" w:type="dxa"/>
            <w:tcBorders>
              <w:left w:val="single" w:sz="4" w:space="0" w:color="000000"/>
              <w:bottom w:val="single" w:sz="4" w:space="0" w:color="000000"/>
            </w:tcBorders>
            <w:shd w:val="clear" w:color="auto" w:fill="auto"/>
          </w:tcPr>
          <w:p w14:paraId="38A10D48"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15875BB9" w14:textId="77777777" w:rsidR="00C86459" w:rsidRDefault="00C86459" w:rsidP="00C86459">
            <w:r>
              <w:rPr>
                <w:rFonts w:ascii="Open Sans" w:hAnsi="Open Sans" w:cs="Open Sans"/>
                <w:color w:val="00000A"/>
                <w:sz w:val="20"/>
                <w:szCs w:val="20"/>
              </w:rPr>
              <w:t xml:space="preserve">Titulización </w:t>
            </w:r>
          </w:p>
        </w:tc>
      </w:tr>
      <w:tr w:rsidR="00C86459" w14:paraId="597FDFAB" w14:textId="77777777" w:rsidTr="00C86459">
        <w:trPr>
          <w:trHeight w:val="240"/>
        </w:trPr>
        <w:tc>
          <w:tcPr>
            <w:tcW w:w="3225" w:type="dxa"/>
            <w:tcBorders>
              <w:left w:val="single" w:sz="4" w:space="0" w:color="000000"/>
              <w:bottom w:val="single" w:sz="4" w:space="0" w:color="000000"/>
            </w:tcBorders>
            <w:shd w:val="clear" w:color="auto" w:fill="auto"/>
          </w:tcPr>
          <w:p w14:paraId="3758CBF3" w14:textId="77777777" w:rsidR="00C86459" w:rsidRDefault="00C86459" w:rsidP="00C86459">
            <w:r>
              <w:rPr>
                <w:rFonts w:ascii="Open Sans" w:hAnsi="Open Sans" w:cs="Open Sans"/>
                <w:color w:val="00000A"/>
                <w:sz w:val="20"/>
                <w:szCs w:val="20"/>
              </w:rPr>
              <w:t xml:space="preserve">Santander Global Services, S.A. </w:t>
            </w:r>
          </w:p>
        </w:tc>
        <w:tc>
          <w:tcPr>
            <w:tcW w:w="3300" w:type="dxa"/>
            <w:tcBorders>
              <w:left w:val="single" w:sz="4" w:space="0" w:color="000000"/>
              <w:bottom w:val="single" w:sz="4" w:space="0" w:color="000000"/>
            </w:tcBorders>
            <w:shd w:val="clear" w:color="auto" w:fill="auto"/>
          </w:tcPr>
          <w:p w14:paraId="6494F122"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40F3869C" w14:textId="77777777" w:rsidR="00C86459" w:rsidRDefault="00C86459" w:rsidP="00C86459">
            <w:r>
              <w:rPr>
                <w:rFonts w:ascii="Open Sans" w:hAnsi="Open Sans" w:cs="Open Sans"/>
                <w:color w:val="00000A"/>
                <w:sz w:val="20"/>
                <w:szCs w:val="20"/>
              </w:rPr>
              <w:t>Servicios</w:t>
            </w:r>
          </w:p>
        </w:tc>
      </w:tr>
      <w:tr w:rsidR="00C86459" w14:paraId="340A911B" w14:textId="77777777" w:rsidTr="00C86459">
        <w:trPr>
          <w:trHeight w:val="240"/>
        </w:trPr>
        <w:tc>
          <w:tcPr>
            <w:tcW w:w="3225" w:type="dxa"/>
            <w:tcBorders>
              <w:left w:val="single" w:sz="4" w:space="0" w:color="000000"/>
              <w:bottom w:val="single" w:sz="4" w:space="0" w:color="000000"/>
            </w:tcBorders>
            <w:shd w:val="clear" w:color="auto" w:fill="auto"/>
          </w:tcPr>
          <w:p w14:paraId="19B48A86" w14:textId="77777777" w:rsidR="00C86459" w:rsidRDefault="00C86459" w:rsidP="00C86459">
            <w:r>
              <w:rPr>
                <w:rFonts w:ascii="Open Sans" w:hAnsi="Open Sans" w:cs="Open Sans"/>
                <w:color w:val="00000A"/>
                <w:sz w:val="20"/>
                <w:szCs w:val="20"/>
              </w:rPr>
              <w:t>Santander Insurance Agency Inc</w:t>
            </w:r>
          </w:p>
        </w:tc>
        <w:tc>
          <w:tcPr>
            <w:tcW w:w="3300" w:type="dxa"/>
            <w:tcBorders>
              <w:left w:val="single" w:sz="4" w:space="0" w:color="000000"/>
              <w:bottom w:val="single" w:sz="4" w:space="0" w:color="000000"/>
            </w:tcBorders>
            <w:shd w:val="clear" w:color="auto" w:fill="auto"/>
          </w:tcPr>
          <w:p w14:paraId="3E3303A2" w14:textId="77777777" w:rsidR="00C86459" w:rsidRDefault="00C86459" w:rsidP="00C86459">
            <w:r>
              <w:rPr>
                <w:rFonts w:ascii="Open Sans" w:hAnsi="Open Sans" w:cs="Open Sans"/>
                <w:color w:val="00000A"/>
                <w:sz w:val="20"/>
                <w:szCs w:val="20"/>
              </w:rPr>
              <w:t>Puerto Rico</w:t>
            </w:r>
          </w:p>
        </w:tc>
        <w:tc>
          <w:tcPr>
            <w:tcW w:w="2070" w:type="dxa"/>
            <w:tcBorders>
              <w:left w:val="single" w:sz="4" w:space="0" w:color="000000"/>
              <w:bottom w:val="single" w:sz="4" w:space="0" w:color="000000"/>
              <w:right w:val="single" w:sz="4" w:space="0" w:color="000000"/>
            </w:tcBorders>
            <w:shd w:val="clear" w:color="auto" w:fill="auto"/>
          </w:tcPr>
          <w:p w14:paraId="461F263B" w14:textId="77777777" w:rsidR="00C86459" w:rsidRDefault="00C86459" w:rsidP="00C86459">
            <w:r>
              <w:rPr>
                <w:rFonts w:ascii="Open Sans" w:hAnsi="Open Sans" w:cs="Open Sans"/>
                <w:color w:val="00000A"/>
                <w:sz w:val="20"/>
                <w:szCs w:val="20"/>
              </w:rPr>
              <w:t>Correduría de seguros</w:t>
            </w:r>
          </w:p>
        </w:tc>
      </w:tr>
      <w:tr w:rsidR="00C86459" w14:paraId="1B639AAB" w14:textId="77777777" w:rsidTr="00C86459">
        <w:trPr>
          <w:trHeight w:val="240"/>
        </w:trPr>
        <w:tc>
          <w:tcPr>
            <w:tcW w:w="3225" w:type="dxa"/>
            <w:tcBorders>
              <w:left w:val="single" w:sz="4" w:space="0" w:color="000000"/>
              <w:bottom w:val="single" w:sz="4" w:space="0" w:color="000000"/>
            </w:tcBorders>
            <w:shd w:val="clear" w:color="auto" w:fill="auto"/>
          </w:tcPr>
          <w:p w14:paraId="146D9353" w14:textId="77777777" w:rsidR="00C86459" w:rsidRPr="00A1554D" w:rsidRDefault="00C86459" w:rsidP="00C86459">
            <w:pPr>
              <w:rPr>
                <w:lang w:val="en-GB"/>
              </w:rPr>
            </w:pPr>
            <w:r w:rsidRPr="00A1554D">
              <w:rPr>
                <w:rFonts w:ascii="Open Sans" w:hAnsi="Open Sans" w:cs="Open Sans"/>
                <w:color w:val="00000A"/>
                <w:sz w:val="20"/>
                <w:szCs w:val="20"/>
                <w:lang w:val="en-GB"/>
              </w:rPr>
              <w:t>Santander Insurance Agengy, U.S., LLC</w:t>
            </w:r>
          </w:p>
        </w:tc>
        <w:tc>
          <w:tcPr>
            <w:tcW w:w="3300" w:type="dxa"/>
            <w:tcBorders>
              <w:left w:val="single" w:sz="4" w:space="0" w:color="000000"/>
              <w:bottom w:val="single" w:sz="4" w:space="0" w:color="000000"/>
            </w:tcBorders>
            <w:shd w:val="clear" w:color="auto" w:fill="auto"/>
          </w:tcPr>
          <w:p w14:paraId="4AB99AD0"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D74F83A" w14:textId="77777777" w:rsidR="00C86459" w:rsidRDefault="00C86459" w:rsidP="00C86459">
            <w:r>
              <w:rPr>
                <w:rFonts w:ascii="Open Sans" w:hAnsi="Open Sans" w:cs="Open Sans"/>
                <w:color w:val="00000A"/>
                <w:sz w:val="20"/>
                <w:szCs w:val="20"/>
              </w:rPr>
              <w:t>Seguros</w:t>
            </w:r>
          </w:p>
        </w:tc>
      </w:tr>
      <w:tr w:rsidR="00C86459" w14:paraId="63BB8354" w14:textId="77777777" w:rsidTr="00C86459">
        <w:trPr>
          <w:trHeight w:val="240"/>
        </w:trPr>
        <w:tc>
          <w:tcPr>
            <w:tcW w:w="3225" w:type="dxa"/>
            <w:tcBorders>
              <w:left w:val="single" w:sz="4" w:space="0" w:color="000000"/>
              <w:bottom w:val="single" w:sz="4" w:space="0" w:color="000000"/>
            </w:tcBorders>
            <w:shd w:val="clear" w:color="auto" w:fill="auto"/>
          </w:tcPr>
          <w:p w14:paraId="5731648B" w14:textId="77777777" w:rsidR="00C86459" w:rsidRDefault="00C86459" w:rsidP="00C86459">
            <w:r>
              <w:rPr>
                <w:rFonts w:ascii="Open Sans" w:hAnsi="Open Sans" w:cs="Open Sans"/>
                <w:color w:val="00000A"/>
                <w:sz w:val="20"/>
                <w:szCs w:val="20"/>
              </w:rPr>
              <w:t>Santander Insurance Life Limited</w:t>
            </w:r>
          </w:p>
        </w:tc>
        <w:tc>
          <w:tcPr>
            <w:tcW w:w="3300" w:type="dxa"/>
            <w:tcBorders>
              <w:left w:val="single" w:sz="4" w:space="0" w:color="000000"/>
              <w:bottom w:val="single" w:sz="4" w:space="0" w:color="000000"/>
            </w:tcBorders>
            <w:shd w:val="clear" w:color="auto" w:fill="auto"/>
          </w:tcPr>
          <w:p w14:paraId="1CEAFAD8"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7DA5FBD8" w14:textId="77777777" w:rsidR="00C86459" w:rsidRDefault="00C86459" w:rsidP="00C86459">
            <w:r>
              <w:rPr>
                <w:rFonts w:ascii="Open Sans" w:hAnsi="Open Sans" w:cs="Open Sans"/>
                <w:color w:val="00000A"/>
                <w:sz w:val="20"/>
                <w:szCs w:val="20"/>
              </w:rPr>
              <w:t>Correduría de seguros</w:t>
            </w:r>
          </w:p>
        </w:tc>
      </w:tr>
      <w:tr w:rsidR="00C86459" w14:paraId="1E8B6367" w14:textId="77777777" w:rsidTr="00C86459">
        <w:trPr>
          <w:trHeight w:val="240"/>
        </w:trPr>
        <w:tc>
          <w:tcPr>
            <w:tcW w:w="3225" w:type="dxa"/>
            <w:tcBorders>
              <w:left w:val="single" w:sz="4" w:space="0" w:color="000000"/>
              <w:bottom w:val="single" w:sz="4" w:space="0" w:color="000000"/>
            </w:tcBorders>
            <w:shd w:val="clear" w:color="auto" w:fill="auto"/>
          </w:tcPr>
          <w:p w14:paraId="2BAA2314" w14:textId="77777777" w:rsidR="00C86459" w:rsidRPr="00A1554D" w:rsidRDefault="00C86459" w:rsidP="00C86459">
            <w:pPr>
              <w:rPr>
                <w:lang w:val="en-GB"/>
              </w:rPr>
            </w:pPr>
            <w:r w:rsidRPr="00A1554D">
              <w:rPr>
                <w:rFonts w:ascii="Open Sans" w:hAnsi="Open Sans" w:cs="Open Sans"/>
                <w:sz w:val="20"/>
                <w:szCs w:val="20"/>
                <w:lang w:val="en-GB"/>
              </w:rPr>
              <w:t>Santander Insurance Services Ireland Limited</w:t>
            </w:r>
          </w:p>
        </w:tc>
        <w:tc>
          <w:tcPr>
            <w:tcW w:w="3300" w:type="dxa"/>
            <w:tcBorders>
              <w:left w:val="single" w:sz="4" w:space="0" w:color="000000"/>
              <w:bottom w:val="single" w:sz="4" w:space="0" w:color="000000"/>
            </w:tcBorders>
            <w:shd w:val="clear" w:color="auto" w:fill="auto"/>
          </w:tcPr>
          <w:p w14:paraId="39108FE1" w14:textId="77777777" w:rsidR="00C86459" w:rsidRDefault="00C86459" w:rsidP="00C86459">
            <w:r>
              <w:rPr>
                <w:rFonts w:ascii="Open Sans" w:hAnsi="Open Sans" w:cs="Open Sans"/>
                <w:sz w:val="20"/>
                <w:szCs w:val="20"/>
              </w:rPr>
              <w:t>Irlanda</w:t>
            </w:r>
          </w:p>
        </w:tc>
        <w:tc>
          <w:tcPr>
            <w:tcW w:w="2070" w:type="dxa"/>
            <w:tcBorders>
              <w:left w:val="single" w:sz="4" w:space="0" w:color="000000"/>
              <w:bottom w:val="single" w:sz="4" w:space="0" w:color="000000"/>
              <w:right w:val="single" w:sz="4" w:space="0" w:color="000000"/>
            </w:tcBorders>
            <w:shd w:val="clear" w:color="auto" w:fill="auto"/>
          </w:tcPr>
          <w:p w14:paraId="4B6C8DDE" w14:textId="77777777" w:rsidR="00C86459" w:rsidRDefault="00C86459" w:rsidP="00C86459">
            <w:r>
              <w:rPr>
                <w:rFonts w:ascii="Open Sans" w:hAnsi="Open Sans" w:cs="Open Sans"/>
                <w:sz w:val="20"/>
                <w:szCs w:val="20"/>
              </w:rPr>
              <w:t>Servicios</w:t>
            </w:r>
          </w:p>
        </w:tc>
      </w:tr>
      <w:tr w:rsidR="00C86459" w14:paraId="244FCA6C" w14:textId="77777777" w:rsidTr="00C86459">
        <w:trPr>
          <w:trHeight w:val="240"/>
        </w:trPr>
        <w:tc>
          <w:tcPr>
            <w:tcW w:w="3225" w:type="dxa"/>
            <w:tcBorders>
              <w:left w:val="single" w:sz="4" w:space="0" w:color="000000"/>
              <w:bottom w:val="single" w:sz="4" w:space="0" w:color="000000"/>
            </w:tcBorders>
            <w:shd w:val="clear" w:color="auto" w:fill="auto"/>
          </w:tcPr>
          <w:p w14:paraId="64713384" w14:textId="77777777" w:rsidR="00C86459" w:rsidRDefault="00C86459" w:rsidP="00C86459">
            <w:r>
              <w:rPr>
                <w:rFonts w:ascii="Open Sans" w:hAnsi="Open Sans" w:cs="Open Sans"/>
                <w:color w:val="00000A"/>
                <w:sz w:val="20"/>
                <w:szCs w:val="20"/>
              </w:rPr>
              <w:t>Santander International Products, plc</w:t>
            </w:r>
          </w:p>
        </w:tc>
        <w:tc>
          <w:tcPr>
            <w:tcW w:w="3300" w:type="dxa"/>
            <w:tcBorders>
              <w:left w:val="single" w:sz="4" w:space="0" w:color="000000"/>
              <w:bottom w:val="single" w:sz="4" w:space="0" w:color="000000"/>
            </w:tcBorders>
            <w:shd w:val="clear" w:color="auto" w:fill="auto"/>
          </w:tcPr>
          <w:p w14:paraId="65D24BA2"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FAC6948" w14:textId="77777777" w:rsidR="00C86459" w:rsidRDefault="00C86459" w:rsidP="00C86459">
            <w:r>
              <w:rPr>
                <w:rFonts w:ascii="Open Sans" w:hAnsi="Open Sans" w:cs="Open Sans"/>
                <w:color w:val="00000A"/>
                <w:sz w:val="20"/>
                <w:szCs w:val="20"/>
              </w:rPr>
              <w:t>Financiera</w:t>
            </w:r>
          </w:p>
        </w:tc>
      </w:tr>
      <w:tr w:rsidR="00C86459" w14:paraId="64A5FBE4" w14:textId="77777777" w:rsidTr="00C86459">
        <w:trPr>
          <w:trHeight w:val="240"/>
        </w:trPr>
        <w:tc>
          <w:tcPr>
            <w:tcW w:w="3225" w:type="dxa"/>
            <w:tcBorders>
              <w:left w:val="single" w:sz="4" w:space="0" w:color="000000"/>
              <w:bottom w:val="single" w:sz="4" w:space="0" w:color="000000"/>
            </w:tcBorders>
            <w:shd w:val="clear" w:color="auto" w:fill="auto"/>
          </w:tcPr>
          <w:p w14:paraId="24154DDA" w14:textId="77777777" w:rsidR="00C86459" w:rsidRDefault="00C86459" w:rsidP="00C86459">
            <w:r>
              <w:rPr>
                <w:rFonts w:ascii="Open Sans" w:hAnsi="Open Sans" w:cs="Open Sans"/>
                <w:color w:val="00000A"/>
                <w:sz w:val="20"/>
                <w:szCs w:val="20"/>
              </w:rPr>
              <w:t>Santander Investment Bank Limited</w:t>
            </w:r>
          </w:p>
        </w:tc>
        <w:tc>
          <w:tcPr>
            <w:tcW w:w="3300" w:type="dxa"/>
            <w:tcBorders>
              <w:left w:val="single" w:sz="4" w:space="0" w:color="000000"/>
              <w:bottom w:val="single" w:sz="4" w:space="0" w:color="000000"/>
            </w:tcBorders>
            <w:shd w:val="clear" w:color="auto" w:fill="auto"/>
          </w:tcPr>
          <w:p w14:paraId="60587C02"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3D9A546F" w14:textId="77777777" w:rsidR="00C86459" w:rsidRDefault="00C86459" w:rsidP="00C86459">
            <w:r>
              <w:rPr>
                <w:rFonts w:ascii="Open Sans" w:hAnsi="Open Sans" w:cs="Open Sans"/>
                <w:color w:val="00000A"/>
                <w:sz w:val="20"/>
                <w:szCs w:val="20"/>
              </w:rPr>
              <w:t>Banca</w:t>
            </w:r>
          </w:p>
        </w:tc>
      </w:tr>
      <w:tr w:rsidR="00C86459" w14:paraId="265B62F5" w14:textId="77777777" w:rsidTr="00C86459">
        <w:trPr>
          <w:trHeight w:val="240"/>
        </w:trPr>
        <w:tc>
          <w:tcPr>
            <w:tcW w:w="3225" w:type="dxa"/>
            <w:tcBorders>
              <w:left w:val="single" w:sz="4" w:space="0" w:color="000000"/>
              <w:bottom w:val="single" w:sz="4" w:space="0" w:color="000000"/>
            </w:tcBorders>
            <w:shd w:val="clear" w:color="auto" w:fill="auto"/>
          </w:tcPr>
          <w:p w14:paraId="4EBD444D" w14:textId="77777777" w:rsidR="00C86459" w:rsidRDefault="00C86459" w:rsidP="00C86459">
            <w:r>
              <w:rPr>
                <w:rFonts w:ascii="Open Sans" w:hAnsi="Open Sans" w:cs="Open Sans"/>
                <w:color w:val="00000A"/>
                <w:sz w:val="20"/>
                <w:szCs w:val="20"/>
              </w:rPr>
              <w:t>Santander Investment Limited</w:t>
            </w:r>
          </w:p>
        </w:tc>
        <w:tc>
          <w:tcPr>
            <w:tcW w:w="3300" w:type="dxa"/>
            <w:tcBorders>
              <w:left w:val="single" w:sz="4" w:space="0" w:color="000000"/>
              <w:bottom w:val="single" w:sz="4" w:space="0" w:color="000000"/>
            </w:tcBorders>
            <w:shd w:val="clear" w:color="auto" w:fill="auto"/>
          </w:tcPr>
          <w:p w14:paraId="4DF21C15" w14:textId="77777777" w:rsidR="00C86459" w:rsidRDefault="00C86459" w:rsidP="00C86459">
            <w:r>
              <w:rPr>
                <w:rFonts w:ascii="Open Sans" w:hAnsi="Open Sans" w:cs="Open Sans"/>
                <w:color w:val="00000A"/>
                <w:sz w:val="20"/>
                <w:szCs w:val="20"/>
              </w:rPr>
              <w:t>Bahamas</w:t>
            </w:r>
          </w:p>
        </w:tc>
        <w:tc>
          <w:tcPr>
            <w:tcW w:w="2070" w:type="dxa"/>
            <w:tcBorders>
              <w:left w:val="single" w:sz="4" w:space="0" w:color="000000"/>
              <w:bottom w:val="single" w:sz="4" w:space="0" w:color="000000"/>
              <w:right w:val="single" w:sz="4" w:space="0" w:color="000000"/>
            </w:tcBorders>
            <w:shd w:val="clear" w:color="auto" w:fill="auto"/>
          </w:tcPr>
          <w:p w14:paraId="5C2C30DD" w14:textId="77777777" w:rsidR="00C86459" w:rsidRDefault="00C86459" w:rsidP="00C86459">
            <w:r>
              <w:rPr>
                <w:rFonts w:ascii="Open Sans" w:hAnsi="Open Sans" w:cs="Open Sans"/>
                <w:color w:val="00000A"/>
                <w:sz w:val="20"/>
                <w:szCs w:val="20"/>
              </w:rPr>
              <w:t>Sociedad de valores</w:t>
            </w:r>
          </w:p>
        </w:tc>
      </w:tr>
      <w:tr w:rsidR="00C86459" w14:paraId="027F245E" w14:textId="77777777" w:rsidTr="00C86459">
        <w:trPr>
          <w:trHeight w:val="240"/>
        </w:trPr>
        <w:tc>
          <w:tcPr>
            <w:tcW w:w="3225" w:type="dxa"/>
            <w:tcBorders>
              <w:left w:val="single" w:sz="4" w:space="0" w:color="000000"/>
              <w:bottom w:val="single" w:sz="4" w:space="0" w:color="000000"/>
            </w:tcBorders>
            <w:shd w:val="clear" w:color="auto" w:fill="auto"/>
          </w:tcPr>
          <w:p w14:paraId="1AF00E39" w14:textId="77777777" w:rsidR="00C86459" w:rsidRDefault="00C86459" w:rsidP="00C86459">
            <w:r>
              <w:rPr>
                <w:rFonts w:ascii="Open Sans" w:hAnsi="Open Sans" w:cs="Open Sans"/>
                <w:color w:val="00000A"/>
                <w:sz w:val="20"/>
                <w:szCs w:val="20"/>
              </w:rPr>
              <w:t>Santander Investment Securities Inc</w:t>
            </w:r>
          </w:p>
        </w:tc>
        <w:tc>
          <w:tcPr>
            <w:tcW w:w="3300" w:type="dxa"/>
            <w:tcBorders>
              <w:left w:val="single" w:sz="4" w:space="0" w:color="000000"/>
              <w:bottom w:val="single" w:sz="4" w:space="0" w:color="000000"/>
            </w:tcBorders>
            <w:shd w:val="clear" w:color="auto" w:fill="auto"/>
          </w:tcPr>
          <w:p w14:paraId="065E638C" w14:textId="77777777" w:rsidR="00C86459" w:rsidRDefault="00C86459" w:rsidP="00C86459">
            <w:r w:rsidRPr="00F32B9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E1DA63B" w14:textId="77777777" w:rsidR="00C86459" w:rsidRDefault="00C86459" w:rsidP="00C86459">
            <w:r>
              <w:rPr>
                <w:rFonts w:ascii="Open Sans" w:hAnsi="Open Sans" w:cs="Open Sans"/>
                <w:color w:val="00000A"/>
                <w:sz w:val="20"/>
                <w:szCs w:val="20"/>
              </w:rPr>
              <w:t>Sociedad de valores</w:t>
            </w:r>
          </w:p>
        </w:tc>
      </w:tr>
      <w:tr w:rsidR="00C86459" w14:paraId="39836934" w14:textId="77777777" w:rsidTr="00C86459">
        <w:trPr>
          <w:trHeight w:val="240"/>
        </w:trPr>
        <w:tc>
          <w:tcPr>
            <w:tcW w:w="3225" w:type="dxa"/>
            <w:tcBorders>
              <w:left w:val="single" w:sz="4" w:space="0" w:color="000000"/>
              <w:bottom w:val="single" w:sz="4" w:space="0" w:color="000000"/>
            </w:tcBorders>
            <w:shd w:val="clear" w:color="auto" w:fill="auto"/>
          </w:tcPr>
          <w:p w14:paraId="62A2D23C" w14:textId="77777777" w:rsidR="00C86459" w:rsidRDefault="00C86459" w:rsidP="00C86459">
            <w:r>
              <w:rPr>
                <w:rFonts w:ascii="Open Sans" w:hAnsi="Open Sans" w:cs="Open Sans"/>
                <w:color w:val="00000A"/>
                <w:sz w:val="20"/>
                <w:szCs w:val="20"/>
              </w:rPr>
              <w:t>Santander Leasing LLC</w:t>
            </w:r>
          </w:p>
        </w:tc>
        <w:tc>
          <w:tcPr>
            <w:tcW w:w="3300" w:type="dxa"/>
            <w:tcBorders>
              <w:left w:val="single" w:sz="4" w:space="0" w:color="000000"/>
              <w:bottom w:val="single" w:sz="4" w:space="0" w:color="000000"/>
            </w:tcBorders>
            <w:shd w:val="clear" w:color="auto" w:fill="auto"/>
          </w:tcPr>
          <w:p w14:paraId="1B682876" w14:textId="77777777" w:rsidR="00C86459" w:rsidRDefault="00C86459" w:rsidP="00C86459">
            <w:r w:rsidRPr="00F32B9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5E4E720" w14:textId="77777777" w:rsidR="00C86459" w:rsidRDefault="00C86459" w:rsidP="00C86459">
            <w:r>
              <w:rPr>
                <w:rFonts w:ascii="Open Sans" w:hAnsi="Open Sans" w:cs="Open Sans"/>
                <w:color w:val="00000A"/>
                <w:sz w:val="20"/>
                <w:szCs w:val="20"/>
              </w:rPr>
              <w:t>Leasing</w:t>
            </w:r>
          </w:p>
        </w:tc>
      </w:tr>
      <w:tr w:rsidR="00C86459" w14:paraId="650456FE" w14:textId="77777777" w:rsidTr="00C86459">
        <w:trPr>
          <w:trHeight w:val="240"/>
        </w:trPr>
        <w:tc>
          <w:tcPr>
            <w:tcW w:w="3225" w:type="dxa"/>
            <w:tcBorders>
              <w:left w:val="single" w:sz="4" w:space="0" w:color="000000"/>
              <w:bottom w:val="single" w:sz="4" w:space="0" w:color="000000"/>
            </w:tcBorders>
            <w:shd w:val="clear" w:color="auto" w:fill="auto"/>
          </w:tcPr>
          <w:p w14:paraId="0167BAAC" w14:textId="77777777" w:rsidR="00C86459" w:rsidRDefault="00C86459" w:rsidP="00C86459">
            <w:r>
              <w:rPr>
                <w:rFonts w:ascii="Open Sans" w:hAnsi="Open Sans" w:cs="Open Sans"/>
                <w:color w:val="00000A"/>
                <w:sz w:val="20"/>
                <w:szCs w:val="20"/>
              </w:rPr>
              <w:t>Santander Overseas Bank, Inc.</w:t>
            </w:r>
          </w:p>
        </w:tc>
        <w:tc>
          <w:tcPr>
            <w:tcW w:w="3300" w:type="dxa"/>
            <w:tcBorders>
              <w:left w:val="single" w:sz="4" w:space="0" w:color="000000"/>
              <w:bottom w:val="single" w:sz="4" w:space="0" w:color="000000"/>
            </w:tcBorders>
            <w:shd w:val="clear" w:color="auto" w:fill="auto"/>
          </w:tcPr>
          <w:p w14:paraId="0371169B" w14:textId="77777777" w:rsidR="00C86459" w:rsidRDefault="00C86459" w:rsidP="00C86459">
            <w:r>
              <w:rPr>
                <w:rFonts w:ascii="Open Sans" w:hAnsi="Open Sans" w:cs="Open Sans"/>
                <w:color w:val="00000A"/>
                <w:sz w:val="20"/>
                <w:szCs w:val="20"/>
              </w:rPr>
              <w:t xml:space="preserve">Puerto Rico </w:t>
            </w:r>
          </w:p>
        </w:tc>
        <w:tc>
          <w:tcPr>
            <w:tcW w:w="2070" w:type="dxa"/>
            <w:tcBorders>
              <w:left w:val="single" w:sz="4" w:space="0" w:color="000000"/>
              <w:bottom w:val="single" w:sz="4" w:space="0" w:color="000000"/>
              <w:right w:val="single" w:sz="4" w:space="0" w:color="000000"/>
            </w:tcBorders>
            <w:shd w:val="clear" w:color="auto" w:fill="auto"/>
          </w:tcPr>
          <w:p w14:paraId="247CDBAE" w14:textId="77777777" w:rsidR="00C86459" w:rsidRDefault="00C86459" w:rsidP="00C86459">
            <w:r>
              <w:rPr>
                <w:rFonts w:ascii="Open Sans" w:hAnsi="Open Sans" w:cs="Open Sans"/>
                <w:color w:val="00000A"/>
                <w:sz w:val="20"/>
                <w:szCs w:val="20"/>
              </w:rPr>
              <w:t>Banca</w:t>
            </w:r>
          </w:p>
        </w:tc>
      </w:tr>
      <w:tr w:rsidR="00C86459" w14:paraId="392B3AE6" w14:textId="77777777" w:rsidTr="00C86459">
        <w:trPr>
          <w:trHeight w:val="240"/>
        </w:trPr>
        <w:tc>
          <w:tcPr>
            <w:tcW w:w="3225" w:type="dxa"/>
            <w:tcBorders>
              <w:left w:val="single" w:sz="4" w:space="0" w:color="000000"/>
              <w:bottom w:val="single" w:sz="4" w:space="0" w:color="000000"/>
            </w:tcBorders>
            <w:shd w:val="clear" w:color="auto" w:fill="auto"/>
          </w:tcPr>
          <w:p w14:paraId="728A3256" w14:textId="77777777" w:rsidR="00C86459" w:rsidRDefault="00C86459" w:rsidP="00C86459">
            <w:r>
              <w:rPr>
                <w:rFonts w:ascii="Open Sans" w:hAnsi="Open Sans" w:cs="Open Sans"/>
                <w:color w:val="00000A"/>
                <w:sz w:val="20"/>
                <w:szCs w:val="20"/>
              </w:rPr>
              <w:t>Santander Paraty Qif PLC</w:t>
            </w:r>
          </w:p>
        </w:tc>
        <w:tc>
          <w:tcPr>
            <w:tcW w:w="3300" w:type="dxa"/>
            <w:tcBorders>
              <w:left w:val="single" w:sz="4" w:space="0" w:color="000000"/>
              <w:bottom w:val="single" w:sz="4" w:space="0" w:color="000000"/>
            </w:tcBorders>
            <w:shd w:val="clear" w:color="auto" w:fill="auto"/>
          </w:tcPr>
          <w:p w14:paraId="3ABA1084"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0F187AC9" w14:textId="77777777" w:rsidR="00C86459" w:rsidRDefault="00C86459" w:rsidP="00C86459">
            <w:r>
              <w:rPr>
                <w:rFonts w:ascii="Open Sans" w:hAnsi="Open Sans" w:cs="Open Sans"/>
                <w:color w:val="00000A"/>
                <w:sz w:val="20"/>
                <w:szCs w:val="20"/>
              </w:rPr>
              <w:t>sociedad de inversión</w:t>
            </w:r>
          </w:p>
        </w:tc>
      </w:tr>
      <w:tr w:rsidR="00C86459" w14:paraId="1D77BEB7" w14:textId="77777777" w:rsidTr="00C86459">
        <w:trPr>
          <w:trHeight w:val="240"/>
        </w:trPr>
        <w:tc>
          <w:tcPr>
            <w:tcW w:w="3225" w:type="dxa"/>
            <w:tcBorders>
              <w:left w:val="single" w:sz="4" w:space="0" w:color="000000"/>
              <w:bottom w:val="single" w:sz="4" w:space="0" w:color="000000"/>
            </w:tcBorders>
            <w:shd w:val="clear" w:color="auto" w:fill="auto"/>
          </w:tcPr>
          <w:p w14:paraId="4A7F6724" w14:textId="77777777" w:rsidR="00C86459" w:rsidRPr="00A1554D" w:rsidRDefault="00C86459" w:rsidP="00C86459">
            <w:pPr>
              <w:rPr>
                <w:lang w:val="en-GB"/>
              </w:rPr>
            </w:pPr>
            <w:r w:rsidRPr="00A1554D">
              <w:rPr>
                <w:rFonts w:ascii="Open Sans" w:hAnsi="Open Sans" w:cs="Open Sans"/>
                <w:color w:val="00000A"/>
                <w:sz w:val="20"/>
                <w:szCs w:val="20"/>
                <w:lang w:val="en-GB"/>
              </w:rPr>
              <w:t>Santander Revolving Asset Funding 1 LLC</w:t>
            </w:r>
          </w:p>
        </w:tc>
        <w:tc>
          <w:tcPr>
            <w:tcW w:w="3300" w:type="dxa"/>
            <w:tcBorders>
              <w:left w:val="single" w:sz="4" w:space="0" w:color="000000"/>
              <w:bottom w:val="single" w:sz="4" w:space="0" w:color="000000"/>
            </w:tcBorders>
            <w:shd w:val="clear" w:color="auto" w:fill="auto"/>
          </w:tcPr>
          <w:p w14:paraId="14A4A4E6" w14:textId="77777777" w:rsidR="00C86459" w:rsidRDefault="00C86459" w:rsidP="00C86459">
            <w:r w:rsidRPr="00AF29C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B56D6B6" w14:textId="77777777" w:rsidR="00C86459" w:rsidRDefault="00C86459" w:rsidP="00C86459">
            <w:r>
              <w:rPr>
                <w:rFonts w:ascii="Open Sans" w:hAnsi="Open Sans" w:cs="Open Sans"/>
                <w:color w:val="00000A"/>
                <w:sz w:val="20"/>
                <w:szCs w:val="20"/>
              </w:rPr>
              <w:t>Sin actividad</w:t>
            </w:r>
          </w:p>
        </w:tc>
      </w:tr>
      <w:tr w:rsidR="00C86459" w14:paraId="4E9F45D8" w14:textId="77777777" w:rsidTr="00C86459">
        <w:trPr>
          <w:trHeight w:val="240"/>
        </w:trPr>
        <w:tc>
          <w:tcPr>
            <w:tcW w:w="3225" w:type="dxa"/>
            <w:tcBorders>
              <w:left w:val="single" w:sz="4" w:space="0" w:color="000000"/>
              <w:bottom w:val="single" w:sz="4" w:space="0" w:color="000000"/>
            </w:tcBorders>
            <w:shd w:val="clear" w:color="auto" w:fill="auto"/>
          </w:tcPr>
          <w:p w14:paraId="15DC279C" w14:textId="77777777" w:rsidR="00C86459" w:rsidRDefault="00C86459" w:rsidP="00C86459">
            <w:r>
              <w:rPr>
                <w:rFonts w:ascii="Open Sans" w:hAnsi="Open Sans" w:cs="Open Sans"/>
                <w:color w:val="00000A"/>
                <w:sz w:val="20"/>
                <w:szCs w:val="20"/>
              </w:rPr>
              <w:t>Santander RSPE 5 LLC</w:t>
            </w:r>
          </w:p>
        </w:tc>
        <w:tc>
          <w:tcPr>
            <w:tcW w:w="3300" w:type="dxa"/>
            <w:tcBorders>
              <w:left w:val="single" w:sz="4" w:space="0" w:color="000000"/>
              <w:bottom w:val="single" w:sz="4" w:space="0" w:color="000000"/>
            </w:tcBorders>
            <w:shd w:val="clear" w:color="auto" w:fill="auto"/>
          </w:tcPr>
          <w:p w14:paraId="39E836D5" w14:textId="77777777" w:rsidR="00C86459" w:rsidRDefault="00C86459" w:rsidP="00C86459">
            <w:r w:rsidRPr="00AF29C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C8C54D6" w14:textId="77777777" w:rsidR="00C86459" w:rsidRDefault="00C86459" w:rsidP="00C86459">
            <w:r>
              <w:rPr>
                <w:rFonts w:ascii="Open Sans" w:hAnsi="Open Sans" w:cs="Open Sans"/>
                <w:color w:val="00000A"/>
                <w:sz w:val="20"/>
                <w:szCs w:val="20"/>
              </w:rPr>
              <w:t>Sin actividad</w:t>
            </w:r>
          </w:p>
        </w:tc>
      </w:tr>
      <w:tr w:rsidR="00C86459" w14:paraId="3F8EC1D0" w14:textId="77777777" w:rsidTr="00C86459">
        <w:trPr>
          <w:trHeight w:val="240"/>
        </w:trPr>
        <w:tc>
          <w:tcPr>
            <w:tcW w:w="3225" w:type="dxa"/>
            <w:tcBorders>
              <w:left w:val="single" w:sz="4" w:space="0" w:color="000000"/>
              <w:bottom w:val="single" w:sz="4" w:space="0" w:color="000000"/>
            </w:tcBorders>
            <w:shd w:val="clear" w:color="auto" w:fill="auto"/>
          </w:tcPr>
          <w:p w14:paraId="4F4760D6" w14:textId="77777777" w:rsidR="00C86459" w:rsidRDefault="00C86459" w:rsidP="00C86459">
            <w:r>
              <w:rPr>
                <w:rFonts w:ascii="Open Sans" w:hAnsi="Open Sans" w:cs="Open Sans"/>
                <w:color w:val="00000A"/>
                <w:sz w:val="20"/>
                <w:szCs w:val="20"/>
              </w:rPr>
              <w:t>Santander RSPE 6 LLC</w:t>
            </w:r>
          </w:p>
        </w:tc>
        <w:tc>
          <w:tcPr>
            <w:tcW w:w="3300" w:type="dxa"/>
            <w:tcBorders>
              <w:left w:val="single" w:sz="4" w:space="0" w:color="000000"/>
              <w:bottom w:val="single" w:sz="4" w:space="0" w:color="000000"/>
            </w:tcBorders>
            <w:shd w:val="clear" w:color="auto" w:fill="auto"/>
          </w:tcPr>
          <w:p w14:paraId="005AC4C4" w14:textId="77777777" w:rsidR="00C86459" w:rsidRDefault="00C86459" w:rsidP="00C86459">
            <w:r w:rsidRPr="00AF29C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53B5092" w14:textId="77777777" w:rsidR="00C86459" w:rsidRDefault="00C86459" w:rsidP="00C86459">
            <w:r>
              <w:rPr>
                <w:rFonts w:ascii="Open Sans" w:hAnsi="Open Sans" w:cs="Open Sans"/>
                <w:color w:val="00000A"/>
                <w:sz w:val="20"/>
                <w:szCs w:val="20"/>
              </w:rPr>
              <w:t>Sin actividad</w:t>
            </w:r>
          </w:p>
        </w:tc>
      </w:tr>
      <w:tr w:rsidR="00C86459" w14:paraId="335ED2AC" w14:textId="77777777" w:rsidTr="00C86459">
        <w:trPr>
          <w:trHeight w:val="240"/>
        </w:trPr>
        <w:tc>
          <w:tcPr>
            <w:tcW w:w="3225" w:type="dxa"/>
            <w:tcBorders>
              <w:left w:val="single" w:sz="4" w:space="0" w:color="000000"/>
              <w:bottom w:val="single" w:sz="4" w:space="0" w:color="000000"/>
            </w:tcBorders>
            <w:shd w:val="clear" w:color="auto" w:fill="auto"/>
          </w:tcPr>
          <w:p w14:paraId="62AE2971" w14:textId="77777777" w:rsidR="00C86459" w:rsidRDefault="00C86459" w:rsidP="00C86459">
            <w:r>
              <w:rPr>
                <w:rFonts w:ascii="Open Sans" w:hAnsi="Open Sans" w:cs="Open Sans"/>
                <w:color w:val="00000A"/>
                <w:sz w:val="20"/>
                <w:szCs w:val="20"/>
              </w:rPr>
              <w:t>Santander Securities LLC</w:t>
            </w:r>
          </w:p>
        </w:tc>
        <w:tc>
          <w:tcPr>
            <w:tcW w:w="3300" w:type="dxa"/>
            <w:tcBorders>
              <w:left w:val="single" w:sz="4" w:space="0" w:color="000000"/>
              <w:bottom w:val="single" w:sz="4" w:space="0" w:color="000000"/>
            </w:tcBorders>
            <w:shd w:val="clear" w:color="auto" w:fill="auto"/>
          </w:tcPr>
          <w:p w14:paraId="4E78CEEF" w14:textId="77777777" w:rsidR="00C86459" w:rsidRDefault="00C86459" w:rsidP="00C86459">
            <w:r>
              <w:rPr>
                <w:rFonts w:ascii="Open Sans" w:hAnsi="Open Sans" w:cs="Open Sans"/>
                <w:color w:val="00000A"/>
                <w:sz w:val="20"/>
                <w:szCs w:val="20"/>
              </w:rPr>
              <w:t>Puerto Rico</w:t>
            </w:r>
          </w:p>
        </w:tc>
        <w:tc>
          <w:tcPr>
            <w:tcW w:w="2070" w:type="dxa"/>
            <w:tcBorders>
              <w:left w:val="single" w:sz="4" w:space="0" w:color="000000"/>
              <w:bottom w:val="single" w:sz="4" w:space="0" w:color="000000"/>
              <w:right w:val="single" w:sz="4" w:space="0" w:color="000000"/>
            </w:tcBorders>
            <w:shd w:val="clear" w:color="auto" w:fill="auto"/>
          </w:tcPr>
          <w:p w14:paraId="0BA77C79" w14:textId="77777777" w:rsidR="00C86459" w:rsidRDefault="00C86459" w:rsidP="00C86459">
            <w:r>
              <w:rPr>
                <w:rFonts w:ascii="Open Sans" w:hAnsi="Open Sans" w:cs="Open Sans"/>
                <w:color w:val="00000A"/>
                <w:sz w:val="20"/>
                <w:szCs w:val="20"/>
              </w:rPr>
              <w:t>Sociedad de valores</w:t>
            </w:r>
          </w:p>
        </w:tc>
      </w:tr>
      <w:tr w:rsidR="00C86459" w14:paraId="711847A0" w14:textId="77777777" w:rsidTr="00C86459">
        <w:trPr>
          <w:trHeight w:val="240"/>
        </w:trPr>
        <w:tc>
          <w:tcPr>
            <w:tcW w:w="3225" w:type="dxa"/>
            <w:tcBorders>
              <w:left w:val="single" w:sz="4" w:space="0" w:color="000000"/>
              <w:bottom w:val="single" w:sz="4" w:space="0" w:color="000000"/>
            </w:tcBorders>
            <w:shd w:val="clear" w:color="auto" w:fill="auto"/>
          </w:tcPr>
          <w:p w14:paraId="57C4EA79" w14:textId="77777777" w:rsidR="00C86459" w:rsidRDefault="00C86459" w:rsidP="00C86459">
            <w:r>
              <w:rPr>
                <w:rFonts w:ascii="Open Sans" w:hAnsi="Open Sans" w:cs="Open Sans"/>
                <w:color w:val="00000A"/>
                <w:sz w:val="20"/>
                <w:szCs w:val="20"/>
              </w:rPr>
              <w:t>Santander Trade Services Limited</w:t>
            </w:r>
          </w:p>
        </w:tc>
        <w:tc>
          <w:tcPr>
            <w:tcW w:w="3300" w:type="dxa"/>
            <w:tcBorders>
              <w:left w:val="single" w:sz="4" w:space="0" w:color="000000"/>
              <w:bottom w:val="single" w:sz="4" w:space="0" w:color="000000"/>
            </w:tcBorders>
            <w:shd w:val="clear" w:color="auto" w:fill="auto"/>
          </w:tcPr>
          <w:p w14:paraId="38640391" w14:textId="77777777" w:rsidR="00C86459" w:rsidRDefault="00C86459" w:rsidP="00C86459">
            <w:r>
              <w:rPr>
                <w:rFonts w:ascii="Open Sans" w:hAnsi="Open Sans" w:cs="Open Sans"/>
                <w:color w:val="00000A"/>
                <w:sz w:val="20"/>
                <w:szCs w:val="20"/>
              </w:rPr>
              <w:t>Hong Kong</w:t>
            </w:r>
          </w:p>
        </w:tc>
        <w:tc>
          <w:tcPr>
            <w:tcW w:w="2070" w:type="dxa"/>
            <w:tcBorders>
              <w:left w:val="single" w:sz="4" w:space="0" w:color="000000"/>
              <w:bottom w:val="single" w:sz="4" w:space="0" w:color="000000"/>
              <w:right w:val="single" w:sz="4" w:space="0" w:color="000000"/>
            </w:tcBorders>
            <w:shd w:val="clear" w:color="auto" w:fill="auto"/>
          </w:tcPr>
          <w:p w14:paraId="6FE9A2D2" w14:textId="77777777" w:rsidR="00C86459" w:rsidRDefault="00C86459" w:rsidP="00C86459">
            <w:r>
              <w:rPr>
                <w:rFonts w:ascii="Open Sans" w:hAnsi="Open Sans" w:cs="Open Sans"/>
                <w:color w:val="00000A"/>
                <w:sz w:val="20"/>
                <w:szCs w:val="20"/>
              </w:rPr>
              <w:t>Servicios</w:t>
            </w:r>
          </w:p>
        </w:tc>
      </w:tr>
      <w:tr w:rsidR="00C86459" w14:paraId="50E5675B" w14:textId="77777777" w:rsidTr="00C86459">
        <w:trPr>
          <w:trHeight w:val="240"/>
        </w:trPr>
        <w:tc>
          <w:tcPr>
            <w:tcW w:w="3225" w:type="dxa"/>
            <w:tcBorders>
              <w:left w:val="single" w:sz="4" w:space="0" w:color="000000"/>
              <w:bottom w:val="single" w:sz="4" w:space="0" w:color="000000"/>
            </w:tcBorders>
            <w:shd w:val="clear" w:color="auto" w:fill="auto"/>
          </w:tcPr>
          <w:p w14:paraId="4B80B059" w14:textId="77777777" w:rsidR="00C86459" w:rsidRDefault="00C86459" w:rsidP="00C86459">
            <w:r>
              <w:rPr>
                <w:rFonts w:ascii="Open Sans" w:hAnsi="Open Sans" w:cs="Open Sans"/>
                <w:color w:val="000000"/>
                <w:sz w:val="20"/>
                <w:szCs w:val="20"/>
              </w:rPr>
              <w:t>SC Austria Finance 2013-1 S.A.</w:t>
            </w:r>
          </w:p>
        </w:tc>
        <w:tc>
          <w:tcPr>
            <w:tcW w:w="3300" w:type="dxa"/>
            <w:tcBorders>
              <w:left w:val="single" w:sz="4" w:space="0" w:color="000000"/>
              <w:bottom w:val="single" w:sz="4" w:space="0" w:color="000000"/>
            </w:tcBorders>
            <w:shd w:val="clear" w:color="auto" w:fill="auto"/>
          </w:tcPr>
          <w:p w14:paraId="22FA1D7A"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70498E4F" w14:textId="77777777" w:rsidR="00C86459" w:rsidRDefault="00C86459" w:rsidP="00C86459">
            <w:r>
              <w:rPr>
                <w:rFonts w:ascii="Open Sans" w:hAnsi="Open Sans" w:cs="Open Sans"/>
                <w:color w:val="00000A"/>
                <w:sz w:val="20"/>
                <w:szCs w:val="20"/>
              </w:rPr>
              <w:t xml:space="preserve">Titulización </w:t>
            </w:r>
          </w:p>
        </w:tc>
      </w:tr>
      <w:tr w:rsidR="00C86459" w14:paraId="4BA1372F" w14:textId="77777777" w:rsidTr="00C86459">
        <w:trPr>
          <w:trHeight w:val="240"/>
        </w:trPr>
        <w:tc>
          <w:tcPr>
            <w:tcW w:w="3225" w:type="dxa"/>
            <w:tcBorders>
              <w:left w:val="single" w:sz="4" w:space="0" w:color="000000"/>
              <w:bottom w:val="single" w:sz="4" w:space="0" w:color="000000"/>
            </w:tcBorders>
            <w:shd w:val="clear" w:color="auto" w:fill="auto"/>
          </w:tcPr>
          <w:p w14:paraId="0BBAF53D" w14:textId="77777777" w:rsidR="00C86459" w:rsidRDefault="00C86459" w:rsidP="00C86459">
            <w:r>
              <w:rPr>
                <w:rFonts w:ascii="Open Sans" w:hAnsi="Open Sans" w:cs="Open Sans"/>
                <w:color w:val="000000"/>
                <w:sz w:val="20"/>
                <w:szCs w:val="20"/>
              </w:rPr>
              <w:t>SC Poland Auto 2014-1 Limited</w:t>
            </w:r>
          </w:p>
        </w:tc>
        <w:tc>
          <w:tcPr>
            <w:tcW w:w="3300" w:type="dxa"/>
            <w:tcBorders>
              <w:left w:val="single" w:sz="4" w:space="0" w:color="000000"/>
              <w:bottom w:val="single" w:sz="4" w:space="0" w:color="000000"/>
            </w:tcBorders>
            <w:shd w:val="clear" w:color="auto" w:fill="auto"/>
          </w:tcPr>
          <w:p w14:paraId="1E5EDD35"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8590F00" w14:textId="77777777" w:rsidR="00C86459" w:rsidRDefault="00C86459" w:rsidP="00C86459">
            <w:r>
              <w:rPr>
                <w:rFonts w:ascii="Open Sans" w:hAnsi="Open Sans" w:cs="Open Sans"/>
                <w:color w:val="00000A"/>
                <w:sz w:val="20"/>
                <w:szCs w:val="20"/>
              </w:rPr>
              <w:t xml:space="preserve">Titulización </w:t>
            </w:r>
          </w:p>
        </w:tc>
      </w:tr>
      <w:tr w:rsidR="00C86459" w14:paraId="77BB8096" w14:textId="77777777" w:rsidTr="00C86459">
        <w:trPr>
          <w:trHeight w:val="240"/>
        </w:trPr>
        <w:tc>
          <w:tcPr>
            <w:tcW w:w="3225" w:type="dxa"/>
            <w:tcBorders>
              <w:left w:val="single" w:sz="4" w:space="0" w:color="000000"/>
              <w:bottom w:val="single" w:sz="4" w:space="0" w:color="000000"/>
            </w:tcBorders>
            <w:shd w:val="clear" w:color="auto" w:fill="auto"/>
          </w:tcPr>
          <w:p w14:paraId="02CEEB28" w14:textId="77777777" w:rsidR="00C86459" w:rsidRDefault="00C86459" w:rsidP="00C86459">
            <w:r>
              <w:rPr>
                <w:rFonts w:ascii="Open Sans" w:hAnsi="Open Sans" w:cs="Open Sans"/>
                <w:color w:val="00000A"/>
                <w:sz w:val="20"/>
                <w:szCs w:val="20"/>
              </w:rPr>
              <w:t>SCF Ajoneurohallinto Limited</w:t>
            </w:r>
          </w:p>
        </w:tc>
        <w:tc>
          <w:tcPr>
            <w:tcW w:w="3300" w:type="dxa"/>
            <w:tcBorders>
              <w:left w:val="single" w:sz="4" w:space="0" w:color="000000"/>
              <w:bottom w:val="single" w:sz="4" w:space="0" w:color="000000"/>
            </w:tcBorders>
            <w:shd w:val="clear" w:color="auto" w:fill="auto"/>
          </w:tcPr>
          <w:p w14:paraId="57201248"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046A2935" w14:textId="77777777" w:rsidR="00C86459" w:rsidRDefault="00C86459" w:rsidP="00C86459">
            <w:r>
              <w:rPr>
                <w:rFonts w:ascii="Open Sans" w:hAnsi="Open Sans" w:cs="Open Sans"/>
                <w:color w:val="00000A"/>
                <w:sz w:val="20"/>
                <w:szCs w:val="20"/>
              </w:rPr>
              <w:t xml:space="preserve">Titulización </w:t>
            </w:r>
          </w:p>
        </w:tc>
      </w:tr>
      <w:tr w:rsidR="00C86459" w14:paraId="49163A38" w14:textId="77777777" w:rsidTr="00C86459">
        <w:trPr>
          <w:trHeight w:val="240"/>
        </w:trPr>
        <w:tc>
          <w:tcPr>
            <w:tcW w:w="3225" w:type="dxa"/>
            <w:tcBorders>
              <w:left w:val="single" w:sz="4" w:space="0" w:color="000000"/>
              <w:bottom w:val="single" w:sz="4" w:space="0" w:color="000000"/>
            </w:tcBorders>
            <w:shd w:val="clear" w:color="auto" w:fill="auto"/>
          </w:tcPr>
          <w:p w14:paraId="6F40EC61" w14:textId="77777777" w:rsidR="00C86459" w:rsidRDefault="00C86459" w:rsidP="00C86459">
            <w:r>
              <w:rPr>
                <w:rFonts w:ascii="Open Sans" w:hAnsi="Open Sans" w:cs="Open Sans"/>
                <w:color w:val="00000A"/>
                <w:sz w:val="20"/>
                <w:szCs w:val="20"/>
              </w:rPr>
              <w:t xml:space="preserve">SCF Ajoneuvohallinta Limited </w:t>
            </w:r>
          </w:p>
        </w:tc>
        <w:tc>
          <w:tcPr>
            <w:tcW w:w="3300" w:type="dxa"/>
            <w:tcBorders>
              <w:left w:val="single" w:sz="4" w:space="0" w:color="000000"/>
              <w:bottom w:val="single" w:sz="4" w:space="0" w:color="000000"/>
            </w:tcBorders>
            <w:shd w:val="clear" w:color="auto" w:fill="auto"/>
          </w:tcPr>
          <w:p w14:paraId="28B9490A"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6733CB96" w14:textId="77777777" w:rsidR="00C86459" w:rsidRDefault="00C86459" w:rsidP="00C86459">
            <w:r>
              <w:rPr>
                <w:rFonts w:ascii="Open Sans" w:hAnsi="Open Sans" w:cs="Open Sans"/>
                <w:color w:val="00000A"/>
                <w:sz w:val="20"/>
                <w:szCs w:val="20"/>
              </w:rPr>
              <w:t xml:space="preserve">Titulización </w:t>
            </w:r>
          </w:p>
        </w:tc>
      </w:tr>
      <w:tr w:rsidR="00C86459" w14:paraId="2A55EA9A" w14:textId="77777777" w:rsidTr="00C86459">
        <w:trPr>
          <w:trHeight w:val="240"/>
        </w:trPr>
        <w:tc>
          <w:tcPr>
            <w:tcW w:w="3225" w:type="dxa"/>
            <w:tcBorders>
              <w:left w:val="single" w:sz="4" w:space="0" w:color="000000"/>
              <w:bottom w:val="single" w:sz="4" w:space="0" w:color="000000"/>
            </w:tcBorders>
            <w:shd w:val="clear" w:color="auto" w:fill="auto"/>
          </w:tcPr>
          <w:p w14:paraId="74C4526D" w14:textId="77777777" w:rsidR="00C86459" w:rsidRDefault="00C86459" w:rsidP="00C86459">
            <w:r>
              <w:rPr>
                <w:rFonts w:ascii="Open Sans" w:hAnsi="Open Sans" w:cs="Open Sans"/>
                <w:color w:val="00000A"/>
                <w:sz w:val="20"/>
                <w:szCs w:val="20"/>
              </w:rPr>
              <w:t>SCF Ajoneurohallinto I Limited</w:t>
            </w:r>
          </w:p>
        </w:tc>
        <w:tc>
          <w:tcPr>
            <w:tcW w:w="3300" w:type="dxa"/>
            <w:tcBorders>
              <w:left w:val="single" w:sz="4" w:space="0" w:color="000000"/>
              <w:bottom w:val="single" w:sz="4" w:space="0" w:color="000000"/>
            </w:tcBorders>
            <w:shd w:val="clear" w:color="auto" w:fill="auto"/>
          </w:tcPr>
          <w:p w14:paraId="2A9B28DE"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1D7B9D80" w14:textId="77777777" w:rsidR="00C86459" w:rsidRDefault="00C86459" w:rsidP="00C86459">
            <w:r>
              <w:rPr>
                <w:rFonts w:ascii="Open Sans" w:hAnsi="Open Sans" w:cs="Open Sans"/>
                <w:color w:val="00000A"/>
                <w:sz w:val="20"/>
                <w:szCs w:val="20"/>
              </w:rPr>
              <w:t xml:space="preserve">Titulización </w:t>
            </w:r>
          </w:p>
        </w:tc>
      </w:tr>
      <w:tr w:rsidR="00C86459" w14:paraId="6D1F85F4" w14:textId="77777777" w:rsidTr="00C86459">
        <w:trPr>
          <w:trHeight w:val="240"/>
        </w:trPr>
        <w:tc>
          <w:tcPr>
            <w:tcW w:w="3225" w:type="dxa"/>
            <w:tcBorders>
              <w:left w:val="single" w:sz="4" w:space="0" w:color="000000"/>
              <w:bottom w:val="single" w:sz="4" w:space="0" w:color="000000"/>
            </w:tcBorders>
            <w:shd w:val="clear" w:color="auto" w:fill="auto"/>
          </w:tcPr>
          <w:p w14:paraId="3D15EB24" w14:textId="77777777" w:rsidR="00C86459" w:rsidRDefault="00C86459" w:rsidP="00C86459">
            <w:r>
              <w:rPr>
                <w:rFonts w:ascii="Open Sans" w:hAnsi="Open Sans" w:cs="Open Sans"/>
                <w:color w:val="00000A"/>
                <w:sz w:val="20"/>
                <w:szCs w:val="20"/>
              </w:rPr>
              <w:t>SCF Rahoituspalvelut 2013 Limited</w:t>
            </w:r>
          </w:p>
        </w:tc>
        <w:tc>
          <w:tcPr>
            <w:tcW w:w="3300" w:type="dxa"/>
            <w:tcBorders>
              <w:left w:val="single" w:sz="4" w:space="0" w:color="000000"/>
              <w:bottom w:val="single" w:sz="4" w:space="0" w:color="000000"/>
            </w:tcBorders>
            <w:shd w:val="clear" w:color="auto" w:fill="auto"/>
          </w:tcPr>
          <w:p w14:paraId="0CEA8BB7"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1CFE9179" w14:textId="77777777" w:rsidR="00C86459" w:rsidRDefault="00C86459" w:rsidP="00C86459">
            <w:r>
              <w:rPr>
                <w:rFonts w:ascii="Open Sans" w:hAnsi="Open Sans" w:cs="Open Sans"/>
                <w:color w:val="00000A"/>
                <w:sz w:val="20"/>
                <w:szCs w:val="20"/>
              </w:rPr>
              <w:t xml:space="preserve">Titulización </w:t>
            </w:r>
          </w:p>
        </w:tc>
      </w:tr>
      <w:tr w:rsidR="00C86459" w14:paraId="77B9486C" w14:textId="77777777" w:rsidTr="00C86459">
        <w:trPr>
          <w:trHeight w:val="240"/>
        </w:trPr>
        <w:tc>
          <w:tcPr>
            <w:tcW w:w="3225" w:type="dxa"/>
            <w:tcBorders>
              <w:left w:val="single" w:sz="4" w:space="0" w:color="000000"/>
              <w:bottom w:val="single" w:sz="4" w:space="0" w:color="000000"/>
            </w:tcBorders>
            <w:shd w:val="clear" w:color="auto" w:fill="auto"/>
          </w:tcPr>
          <w:p w14:paraId="6D62C7EA" w14:textId="77777777" w:rsidR="00C86459" w:rsidRPr="00A1554D" w:rsidRDefault="00C86459" w:rsidP="00C86459">
            <w:pPr>
              <w:rPr>
                <w:lang w:val="en-GB"/>
              </w:rPr>
            </w:pPr>
            <w:r w:rsidRPr="00A1554D">
              <w:rPr>
                <w:rFonts w:ascii="Open Sans" w:hAnsi="Open Sans" w:cs="Open Sans"/>
                <w:color w:val="00000A"/>
                <w:sz w:val="20"/>
                <w:szCs w:val="20"/>
                <w:lang w:val="en-GB"/>
              </w:rPr>
              <w:t>SCF Rahoituspalvelut I Designated Activity Company</w:t>
            </w:r>
          </w:p>
        </w:tc>
        <w:tc>
          <w:tcPr>
            <w:tcW w:w="3300" w:type="dxa"/>
            <w:tcBorders>
              <w:left w:val="single" w:sz="4" w:space="0" w:color="000000"/>
              <w:bottom w:val="single" w:sz="4" w:space="0" w:color="000000"/>
            </w:tcBorders>
            <w:shd w:val="clear" w:color="auto" w:fill="auto"/>
          </w:tcPr>
          <w:p w14:paraId="019C59F7"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6634193E" w14:textId="77777777" w:rsidR="00C86459" w:rsidRDefault="00C86459" w:rsidP="00C86459">
            <w:r>
              <w:rPr>
                <w:rFonts w:ascii="Open Sans" w:hAnsi="Open Sans" w:cs="Open Sans"/>
                <w:color w:val="00000A"/>
                <w:sz w:val="20"/>
                <w:szCs w:val="20"/>
              </w:rPr>
              <w:t xml:space="preserve">Titulización </w:t>
            </w:r>
          </w:p>
        </w:tc>
      </w:tr>
      <w:tr w:rsidR="00C86459" w14:paraId="23A596D1" w14:textId="77777777" w:rsidTr="00C86459">
        <w:trPr>
          <w:trHeight w:val="240"/>
        </w:trPr>
        <w:tc>
          <w:tcPr>
            <w:tcW w:w="3225" w:type="dxa"/>
            <w:tcBorders>
              <w:left w:val="single" w:sz="4" w:space="0" w:color="000000"/>
              <w:bottom w:val="single" w:sz="4" w:space="0" w:color="000000"/>
            </w:tcBorders>
            <w:shd w:val="clear" w:color="auto" w:fill="auto"/>
          </w:tcPr>
          <w:p w14:paraId="1A1C47EE" w14:textId="77777777" w:rsidR="00C86459" w:rsidRDefault="00C86459" w:rsidP="00C86459">
            <w:r>
              <w:rPr>
                <w:rFonts w:ascii="Open Sans" w:hAnsi="Open Sans" w:cs="Open Sans"/>
                <w:color w:val="00000A"/>
                <w:sz w:val="20"/>
                <w:szCs w:val="20"/>
              </w:rPr>
              <w:t>SCF Rahoituspalvelut Limited</w:t>
            </w:r>
          </w:p>
        </w:tc>
        <w:tc>
          <w:tcPr>
            <w:tcW w:w="3300" w:type="dxa"/>
            <w:tcBorders>
              <w:left w:val="single" w:sz="4" w:space="0" w:color="000000"/>
              <w:bottom w:val="single" w:sz="4" w:space="0" w:color="000000"/>
            </w:tcBorders>
            <w:shd w:val="clear" w:color="auto" w:fill="auto"/>
          </w:tcPr>
          <w:p w14:paraId="4A003021"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04434473" w14:textId="77777777" w:rsidR="00C86459" w:rsidRDefault="00C86459" w:rsidP="00C86459">
            <w:r>
              <w:rPr>
                <w:rFonts w:ascii="Open Sans" w:hAnsi="Open Sans" w:cs="Open Sans"/>
                <w:color w:val="00000A"/>
                <w:sz w:val="20"/>
                <w:szCs w:val="20"/>
              </w:rPr>
              <w:t xml:space="preserve">Titulización </w:t>
            </w:r>
          </w:p>
        </w:tc>
      </w:tr>
      <w:tr w:rsidR="00C86459" w14:paraId="33921683" w14:textId="77777777" w:rsidTr="00C86459">
        <w:trPr>
          <w:trHeight w:val="240"/>
        </w:trPr>
        <w:tc>
          <w:tcPr>
            <w:tcW w:w="3225" w:type="dxa"/>
            <w:tcBorders>
              <w:left w:val="single" w:sz="4" w:space="0" w:color="000000"/>
              <w:bottom w:val="single" w:sz="4" w:space="0" w:color="000000"/>
            </w:tcBorders>
            <w:shd w:val="clear" w:color="auto" w:fill="auto"/>
          </w:tcPr>
          <w:p w14:paraId="22979BC1" w14:textId="77777777" w:rsidR="00C86459" w:rsidRDefault="00C86459" w:rsidP="00C86459">
            <w:r>
              <w:rPr>
                <w:rFonts w:ascii="Open Sans" w:hAnsi="Open Sans" w:cs="Open Sans"/>
                <w:color w:val="00000A"/>
                <w:sz w:val="20"/>
                <w:szCs w:val="20"/>
              </w:rPr>
              <w:t>SCFI Ajoneuvohallinto Limited</w:t>
            </w:r>
          </w:p>
        </w:tc>
        <w:tc>
          <w:tcPr>
            <w:tcW w:w="3300" w:type="dxa"/>
            <w:tcBorders>
              <w:left w:val="single" w:sz="4" w:space="0" w:color="000000"/>
              <w:bottom w:val="single" w:sz="4" w:space="0" w:color="000000"/>
            </w:tcBorders>
            <w:shd w:val="clear" w:color="auto" w:fill="auto"/>
          </w:tcPr>
          <w:p w14:paraId="2D3F0E0F"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670B3235" w14:textId="77777777" w:rsidR="00C86459" w:rsidRDefault="00C86459" w:rsidP="00C86459">
            <w:r>
              <w:rPr>
                <w:rFonts w:ascii="Open Sans" w:hAnsi="Open Sans" w:cs="Open Sans"/>
                <w:color w:val="00000A"/>
                <w:sz w:val="20"/>
                <w:szCs w:val="20"/>
              </w:rPr>
              <w:t xml:space="preserve">Titulización </w:t>
            </w:r>
          </w:p>
        </w:tc>
      </w:tr>
      <w:tr w:rsidR="00C86459" w14:paraId="6F5145DC" w14:textId="77777777" w:rsidTr="00C86459">
        <w:trPr>
          <w:trHeight w:val="240"/>
        </w:trPr>
        <w:tc>
          <w:tcPr>
            <w:tcW w:w="3225" w:type="dxa"/>
            <w:tcBorders>
              <w:left w:val="single" w:sz="4" w:space="0" w:color="000000"/>
              <w:bottom w:val="single" w:sz="4" w:space="0" w:color="000000"/>
            </w:tcBorders>
            <w:shd w:val="clear" w:color="auto" w:fill="auto"/>
          </w:tcPr>
          <w:p w14:paraId="067671B7" w14:textId="77777777" w:rsidR="00C86459" w:rsidRDefault="00C86459" w:rsidP="00C86459">
            <w:r>
              <w:rPr>
                <w:rFonts w:ascii="Open Sans" w:hAnsi="Open Sans" w:cs="Open Sans"/>
                <w:color w:val="00000A"/>
                <w:sz w:val="20"/>
                <w:szCs w:val="20"/>
              </w:rPr>
              <w:t>SCFI Rahoituspalvelut Limited</w:t>
            </w:r>
          </w:p>
        </w:tc>
        <w:tc>
          <w:tcPr>
            <w:tcW w:w="3300" w:type="dxa"/>
            <w:tcBorders>
              <w:left w:val="single" w:sz="4" w:space="0" w:color="000000"/>
              <w:bottom w:val="single" w:sz="4" w:space="0" w:color="000000"/>
            </w:tcBorders>
            <w:shd w:val="clear" w:color="auto" w:fill="auto"/>
          </w:tcPr>
          <w:p w14:paraId="08F52FF5"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13D7F81" w14:textId="77777777" w:rsidR="00C86459" w:rsidRDefault="00C86459" w:rsidP="00C86459">
            <w:r>
              <w:rPr>
                <w:rFonts w:ascii="Open Sans" w:hAnsi="Open Sans" w:cs="Open Sans"/>
                <w:color w:val="00000A"/>
                <w:sz w:val="20"/>
                <w:szCs w:val="20"/>
              </w:rPr>
              <w:t xml:space="preserve">Titulización </w:t>
            </w:r>
          </w:p>
        </w:tc>
      </w:tr>
      <w:tr w:rsidR="00C86459" w14:paraId="12D2825A" w14:textId="77777777" w:rsidTr="00C86459">
        <w:trPr>
          <w:trHeight w:val="240"/>
        </w:trPr>
        <w:tc>
          <w:tcPr>
            <w:tcW w:w="3225" w:type="dxa"/>
            <w:tcBorders>
              <w:left w:val="single" w:sz="4" w:space="0" w:color="000000"/>
              <w:bottom w:val="single" w:sz="4" w:space="0" w:color="000000"/>
            </w:tcBorders>
            <w:shd w:val="clear" w:color="auto" w:fill="auto"/>
          </w:tcPr>
          <w:p w14:paraId="1BF20C80" w14:textId="77777777" w:rsidR="00C86459" w:rsidRDefault="00C86459" w:rsidP="00C86459">
            <w:r>
              <w:rPr>
                <w:rFonts w:ascii="Open Sans" w:hAnsi="Open Sans" w:cs="Open Sans"/>
                <w:color w:val="00000A"/>
                <w:sz w:val="20"/>
                <w:szCs w:val="20"/>
              </w:rPr>
              <w:t>Secucor Finance 2013-1 Limited</w:t>
            </w:r>
          </w:p>
        </w:tc>
        <w:tc>
          <w:tcPr>
            <w:tcW w:w="3300" w:type="dxa"/>
            <w:tcBorders>
              <w:left w:val="single" w:sz="4" w:space="0" w:color="000000"/>
              <w:bottom w:val="single" w:sz="4" w:space="0" w:color="000000"/>
            </w:tcBorders>
            <w:shd w:val="clear" w:color="auto" w:fill="auto"/>
          </w:tcPr>
          <w:p w14:paraId="2FD63C7A"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8DAF414" w14:textId="77777777" w:rsidR="00C86459" w:rsidRDefault="00C86459" w:rsidP="00C86459">
            <w:r>
              <w:rPr>
                <w:rFonts w:ascii="Open Sans" w:hAnsi="Open Sans" w:cs="Open Sans"/>
                <w:color w:val="00000A"/>
                <w:sz w:val="20"/>
                <w:szCs w:val="20"/>
              </w:rPr>
              <w:t xml:space="preserve">Titulización </w:t>
            </w:r>
          </w:p>
        </w:tc>
      </w:tr>
      <w:tr w:rsidR="00C86459" w14:paraId="375D3292" w14:textId="77777777" w:rsidTr="00C86459">
        <w:trPr>
          <w:trHeight w:val="240"/>
        </w:trPr>
        <w:tc>
          <w:tcPr>
            <w:tcW w:w="3225" w:type="dxa"/>
            <w:tcBorders>
              <w:left w:val="single" w:sz="4" w:space="0" w:color="000000"/>
              <w:bottom w:val="single" w:sz="4" w:space="0" w:color="000000"/>
            </w:tcBorders>
            <w:shd w:val="clear" w:color="auto" w:fill="auto"/>
          </w:tcPr>
          <w:p w14:paraId="30DF7D6E" w14:textId="77777777" w:rsidR="00C86459" w:rsidRPr="00A1554D" w:rsidRDefault="00C86459" w:rsidP="00C86459">
            <w:pPr>
              <w:rPr>
                <w:lang w:val="en-GB"/>
              </w:rPr>
            </w:pPr>
            <w:r w:rsidRPr="00A1554D">
              <w:rPr>
                <w:rFonts w:ascii="Open Sans" w:hAnsi="Open Sans" w:cs="Open Sans"/>
                <w:color w:val="00000A"/>
                <w:sz w:val="20"/>
                <w:szCs w:val="20"/>
                <w:lang w:val="en-GB"/>
              </w:rPr>
              <w:t>Serfin International Bank and Trust, Limited</w:t>
            </w:r>
          </w:p>
        </w:tc>
        <w:tc>
          <w:tcPr>
            <w:tcW w:w="3300" w:type="dxa"/>
            <w:tcBorders>
              <w:left w:val="single" w:sz="4" w:space="0" w:color="000000"/>
              <w:bottom w:val="single" w:sz="4" w:space="0" w:color="000000"/>
            </w:tcBorders>
            <w:shd w:val="clear" w:color="auto" w:fill="auto"/>
          </w:tcPr>
          <w:p w14:paraId="08DBAA6C" w14:textId="77777777" w:rsidR="00C86459" w:rsidRDefault="00C86459" w:rsidP="00C86459">
            <w:r>
              <w:rPr>
                <w:rFonts w:ascii="Open Sans" w:hAnsi="Open Sans" w:cs="Open Sans"/>
                <w:color w:val="00000A"/>
                <w:sz w:val="20"/>
                <w:szCs w:val="20"/>
              </w:rPr>
              <w:t>Islas Caimán</w:t>
            </w:r>
          </w:p>
        </w:tc>
        <w:tc>
          <w:tcPr>
            <w:tcW w:w="2070" w:type="dxa"/>
            <w:tcBorders>
              <w:left w:val="single" w:sz="4" w:space="0" w:color="000000"/>
              <w:bottom w:val="single" w:sz="4" w:space="0" w:color="000000"/>
              <w:right w:val="single" w:sz="4" w:space="0" w:color="000000"/>
            </w:tcBorders>
            <w:shd w:val="clear" w:color="auto" w:fill="auto"/>
          </w:tcPr>
          <w:p w14:paraId="6E25B352" w14:textId="77777777" w:rsidR="00C86459" w:rsidRDefault="00C86459" w:rsidP="00C86459">
            <w:r>
              <w:rPr>
                <w:rFonts w:ascii="Open Sans" w:hAnsi="Open Sans" w:cs="Open Sans"/>
                <w:color w:val="00000A"/>
                <w:sz w:val="20"/>
                <w:szCs w:val="20"/>
              </w:rPr>
              <w:t>Banca</w:t>
            </w:r>
          </w:p>
        </w:tc>
      </w:tr>
      <w:tr w:rsidR="00C86459" w14:paraId="4E106074" w14:textId="77777777" w:rsidTr="00C86459">
        <w:trPr>
          <w:trHeight w:val="240"/>
        </w:trPr>
        <w:tc>
          <w:tcPr>
            <w:tcW w:w="3225" w:type="dxa"/>
            <w:tcBorders>
              <w:left w:val="single" w:sz="4" w:space="0" w:color="000000"/>
              <w:bottom w:val="single" w:sz="4" w:space="0" w:color="000000"/>
            </w:tcBorders>
            <w:shd w:val="clear" w:color="auto" w:fill="auto"/>
          </w:tcPr>
          <w:p w14:paraId="0D69E688" w14:textId="77777777" w:rsidR="00C86459" w:rsidRPr="00A1554D" w:rsidRDefault="00C86459" w:rsidP="00C86459">
            <w:pPr>
              <w:rPr>
                <w:lang w:val="en-GB"/>
              </w:rPr>
            </w:pPr>
            <w:r w:rsidRPr="00A1554D">
              <w:rPr>
                <w:rFonts w:ascii="Open Sans" w:hAnsi="Open Sans" w:cs="Open Sans"/>
                <w:color w:val="00000A"/>
                <w:sz w:val="20"/>
                <w:szCs w:val="20"/>
                <w:lang w:val="en-GB"/>
              </w:rPr>
              <w:t>Services and Promotions Delaware Corp.</w:t>
            </w:r>
          </w:p>
        </w:tc>
        <w:tc>
          <w:tcPr>
            <w:tcW w:w="3300" w:type="dxa"/>
            <w:tcBorders>
              <w:left w:val="single" w:sz="4" w:space="0" w:color="000000"/>
              <w:bottom w:val="single" w:sz="4" w:space="0" w:color="000000"/>
            </w:tcBorders>
            <w:shd w:val="clear" w:color="auto" w:fill="auto"/>
          </w:tcPr>
          <w:p w14:paraId="32BD9A91" w14:textId="77777777" w:rsidR="00C86459" w:rsidRDefault="00C86459" w:rsidP="00C86459">
            <w:r w:rsidRPr="00EF6DC4">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EDF7821" w14:textId="77777777" w:rsidR="00C86459" w:rsidRDefault="00C86459" w:rsidP="00C86459">
            <w:r>
              <w:rPr>
                <w:rFonts w:ascii="Open Sans" w:hAnsi="Open Sans" w:cs="Open Sans"/>
                <w:color w:val="00000A"/>
                <w:sz w:val="20"/>
                <w:szCs w:val="20"/>
              </w:rPr>
              <w:t>Sociedad de cartera</w:t>
            </w:r>
          </w:p>
        </w:tc>
      </w:tr>
      <w:tr w:rsidR="00C86459" w14:paraId="0E1A3F40" w14:textId="77777777" w:rsidTr="00C86459">
        <w:trPr>
          <w:trHeight w:val="240"/>
        </w:trPr>
        <w:tc>
          <w:tcPr>
            <w:tcW w:w="3225" w:type="dxa"/>
            <w:tcBorders>
              <w:left w:val="single" w:sz="4" w:space="0" w:color="000000"/>
              <w:bottom w:val="single" w:sz="4" w:space="0" w:color="000000"/>
            </w:tcBorders>
            <w:shd w:val="clear" w:color="auto" w:fill="auto"/>
          </w:tcPr>
          <w:p w14:paraId="65513381" w14:textId="77777777" w:rsidR="00C86459" w:rsidRPr="00A1554D" w:rsidRDefault="00C86459" w:rsidP="00C86459">
            <w:pPr>
              <w:rPr>
                <w:lang w:val="en-GB"/>
              </w:rPr>
            </w:pPr>
            <w:r w:rsidRPr="00A1554D">
              <w:rPr>
                <w:rFonts w:ascii="Open Sans" w:hAnsi="Open Sans" w:cs="Open Sans"/>
                <w:color w:val="00000A"/>
                <w:sz w:val="20"/>
                <w:szCs w:val="20"/>
                <w:lang w:val="en-GB"/>
              </w:rPr>
              <w:t>Shiloh III Wind Project, LLC</w:t>
            </w:r>
          </w:p>
        </w:tc>
        <w:tc>
          <w:tcPr>
            <w:tcW w:w="3300" w:type="dxa"/>
            <w:tcBorders>
              <w:left w:val="single" w:sz="4" w:space="0" w:color="000000"/>
              <w:bottom w:val="single" w:sz="4" w:space="0" w:color="000000"/>
            </w:tcBorders>
            <w:shd w:val="clear" w:color="auto" w:fill="auto"/>
          </w:tcPr>
          <w:p w14:paraId="7731D53E" w14:textId="77777777" w:rsidR="00C86459" w:rsidRDefault="00C86459" w:rsidP="00C86459">
            <w:r w:rsidRPr="00EF6DC4">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DCEB59E" w14:textId="77777777" w:rsidR="00C86459" w:rsidRDefault="00C86459" w:rsidP="00C86459">
            <w:r>
              <w:rPr>
                <w:rFonts w:ascii="Open Sans" w:hAnsi="Open Sans" w:cs="Open Sans"/>
                <w:color w:val="00000A"/>
                <w:sz w:val="20"/>
                <w:szCs w:val="20"/>
              </w:rPr>
              <w:t>Explotación de energía eléctrica</w:t>
            </w:r>
          </w:p>
        </w:tc>
      </w:tr>
      <w:tr w:rsidR="00C86459" w14:paraId="7994DF37" w14:textId="77777777" w:rsidTr="00C86459">
        <w:trPr>
          <w:trHeight w:val="240"/>
        </w:trPr>
        <w:tc>
          <w:tcPr>
            <w:tcW w:w="3225" w:type="dxa"/>
            <w:tcBorders>
              <w:left w:val="single" w:sz="4" w:space="0" w:color="000000"/>
              <w:bottom w:val="single" w:sz="4" w:space="0" w:color="000000"/>
            </w:tcBorders>
            <w:shd w:val="clear" w:color="auto" w:fill="auto"/>
          </w:tcPr>
          <w:p w14:paraId="1FF92D5A" w14:textId="77777777" w:rsidR="00C86459" w:rsidRDefault="00C86459" w:rsidP="00C86459">
            <w:r>
              <w:rPr>
                <w:rFonts w:ascii="Open Sans" w:hAnsi="Open Sans" w:cs="Open Sans"/>
                <w:color w:val="00000A"/>
                <w:sz w:val="20"/>
                <w:szCs w:val="20"/>
              </w:rPr>
              <w:t>SIAFF, LLC</w:t>
            </w:r>
          </w:p>
        </w:tc>
        <w:tc>
          <w:tcPr>
            <w:tcW w:w="3300" w:type="dxa"/>
            <w:tcBorders>
              <w:left w:val="single" w:sz="4" w:space="0" w:color="000000"/>
              <w:bottom w:val="single" w:sz="4" w:space="0" w:color="000000"/>
            </w:tcBorders>
            <w:shd w:val="clear" w:color="auto" w:fill="auto"/>
          </w:tcPr>
          <w:p w14:paraId="354DAAE4" w14:textId="77777777" w:rsidR="00C86459" w:rsidRDefault="00C86459" w:rsidP="00C86459">
            <w:r w:rsidRPr="00EF6DC4">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FA1B475" w14:textId="77777777" w:rsidR="00C86459" w:rsidRDefault="00C86459" w:rsidP="00C86459">
            <w:r>
              <w:rPr>
                <w:rFonts w:ascii="Open Sans" w:hAnsi="Open Sans" w:cs="Open Sans"/>
                <w:color w:val="00000A"/>
                <w:sz w:val="20"/>
                <w:szCs w:val="20"/>
              </w:rPr>
              <w:t>Financiera</w:t>
            </w:r>
          </w:p>
        </w:tc>
      </w:tr>
      <w:tr w:rsidR="00C86459" w14:paraId="7FC1AD23" w14:textId="77777777" w:rsidTr="00C86459">
        <w:trPr>
          <w:trHeight w:val="240"/>
        </w:trPr>
        <w:tc>
          <w:tcPr>
            <w:tcW w:w="3225" w:type="dxa"/>
            <w:tcBorders>
              <w:left w:val="single" w:sz="4" w:space="0" w:color="000000"/>
              <w:bottom w:val="single" w:sz="4" w:space="0" w:color="000000"/>
            </w:tcBorders>
            <w:shd w:val="clear" w:color="auto" w:fill="auto"/>
          </w:tcPr>
          <w:p w14:paraId="5F4444C7" w14:textId="77777777" w:rsidR="00C86459" w:rsidRDefault="00C86459" w:rsidP="00C86459">
            <w:r>
              <w:rPr>
                <w:rFonts w:ascii="Open Sans" w:hAnsi="Open Sans" w:cs="Open Sans"/>
                <w:color w:val="00000A"/>
                <w:sz w:val="20"/>
                <w:szCs w:val="20"/>
              </w:rPr>
              <w:t>Silk Finance No. 3 Limited</w:t>
            </w:r>
          </w:p>
        </w:tc>
        <w:tc>
          <w:tcPr>
            <w:tcW w:w="3300" w:type="dxa"/>
            <w:tcBorders>
              <w:left w:val="single" w:sz="4" w:space="0" w:color="000000"/>
              <w:bottom w:val="single" w:sz="4" w:space="0" w:color="000000"/>
            </w:tcBorders>
            <w:shd w:val="clear" w:color="auto" w:fill="auto"/>
          </w:tcPr>
          <w:p w14:paraId="590F739D"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40D32866" w14:textId="77777777" w:rsidR="00C86459" w:rsidRDefault="00C86459" w:rsidP="00C86459">
            <w:r>
              <w:rPr>
                <w:rFonts w:ascii="Open Sans" w:hAnsi="Open Sans" w:cs="Open Sans"/>
                <w:color w:val="00000A"/>
                <w:sz w:val="20"/>
                <w:szCs w:val="20"/>
              </w:rPr>
              <w:t xml:space="preserve">Titulización </w:t>
            </w:r>
          </w:p>
        </w:tc>
      </w:tr>
      <w:tr w:rsidR="00C86459" w14:paraId="672C33B9" w14:textId="77777777" w:rsidTr="00C86459">
        <w:trPr>
          <w:trHeight w:val="240"/>
        </w:trPr>
        <w:tc>
          <w:tcPr>
            <w:tcW w:w="3225" w:type="dxa"/>
            <w:tcBorders>
              <w:left w:val="single" w:sz="4" w:space="0" w:color="000000"/>
              <w:bottom w:val="single" w:sz="4" w:space="0" w:color="000000"/>
            </w:tcBorders>
            <w:shd w:val="clear" w:color="auto" w:fill="auto"/>
          </w:tcPr>
          <w:p w14:paraId="441C20FC" w14:textId="77777777" w:rsidR="00C86459" w:rsidRDefault="00C86459" w:rsidP="00C86459">
            <w:r>
              <w:rPr>
                <w:rFonts w:ascii="Open Sans" w:hAnsi="Open Sans" w:cs="Open Sans"/>
                <w:color w:val="00000A"/>
                <w:sz w:val="20"/>
                <w:szCs w:val="20"/>
              </w:rPr>
              <w:t>Socur, S.A.</w:t>
            </w:r>
          </w:p>
        </w:tc>
        <w:tc>
          <w:tcPr>
            <w:tcW w:w="3300" w:type="dxa"/>
            <w:tcBorders>
              <w:left w:val="single" w:sz="4" w:space="0" w:color="000000"/>
              <w:bottom w:val="single" w:sz="4" w:space="0" w:color="000000"/>
            </w:tcBorders>
            <w:shd w:val="clear" w:color="auto" w:fill="auto"/>
          </w:tcPr>
          <w:p w14:paraId="062A3466"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1C28E029" w14:textId="77777777" w:rsidR="00C86459" w:rsidRDefault="00C86459" w:rsidP="00C86459">
            <w:r>
              <w:rPr>
                <w:rFonts w:ascii="Open Sans" w:hAnsi="Open Sans" w:cs="Open Sans"/>
                <w:color w:val="00000A"/>
                <w:sz w:val="20"/>
                <w:szCs w:val="20"/>
              </w:rPr>
              <w:t>Financiera</w:t>
            </w:r>
          </w:p>
        </w:tc>
      </w:tr>
      <w:tr w:rsidR="00C86459" w14:paraId="2E886461" w14:textId="77777777" w:rsidTr="00C86459">
        <w:trPr>
          <w:trHeight w:val="240"/>
        </w:trPr>
        <w:tc>
          <w:tcPr>
            <w:tcW w:w="3225" w:type="dxa"/>
            <w:tcBorders>
              <w:left w:val="single" w:sz="4" w:space="0" w:color="000000"/>
              <w:bottom w:val="single" w:sz="4" w:space="0" w:color="000000"/>
            </w:tcBorders>
            <w:shd w:val="clear" w:color="auto" w:fill="auto"/>
          </w:tcPr>
          <w:p w14:paraId="25C92E34" w14:textId="77777777" w:rsidR="00C86459" w:rsidRDefault="00C86459" w:rsidP="00C86459">
            <w:r>
              <w:rPr>
                <w:rFonts w:ascii="Open Sans" w:hAnsi="Open Sans" w:cs="Open Sans"/>
                <w:color w:val="00000A"/>
                <w:sz w:val="20"/>
                <w:szCs w:val="20"/>
              </w:rPr>
              <w:t>Sol Orchard Imperial 1 LLC</w:t>
            </w:r>
          </w:p>
        </w:tc>
        <w:tc>
          <w:tcPr>
            <w:tcW w:w="3300" w:type="dxa"/>
            <w:tcBorders>
              <w:left w:val="single" w:sz="4" w:space="0" w:color="000000"/>
              <w:bottom w:val="single" w:sz="4" w:space="0" w:color="000000"/>
            </w:tcBorders>
            <w:shd w:val="clear" w:color="auto" w:fill="auto"/>
          </w:tcPr>
          <w:p w14:paraId="31FE4D3E"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3E620E3" w14:textId="77777777" w:rsidR="00C86459" w:rsidRDefault="00C86459" w:rsidP="00C86459">
            <w:r>
              <w:rPr>
                <w:rFonts w:ascii="Open Sans" w:hAnsi="Open Sans" w:cs="Open Sans"/>
                <w:color w:val="00000A"/>
                <w:sz w:val="20"/>
                <w:szCs w:val="20"/>
              </w:rPr>
              <w:t>Explotación de energía eléctrica</w:t>
            </w:r>
          </w:p>
        </w:tc>
      </w:tr>
      <w:tr w:rsidR="00C86459" w14:paraId="53F1B8B4" w14:textId="77777777" w:rsidTr="00C86459">
        <w:trPr>
          <w:trHeight w:val="240"/>
        </w:trPr>
        <w:tc>
          <w:tcPr>
            <w:tcW w:w="3225" w:type="dxa"/>
            <w:tcBorders>
              <w:left w:val="single" w:sz="4" w:space="0" w:color="000000"/>
              <w:bottom w:val="single" w:sz="4" w:space="0" w:color="000000"/>
            </w:tcBorders>
            <w:shd w:val="clear" w:color="auto" w:fill="auto"/>
          </w:tcPr>
          <w:p w14:paraId="417FB4C1" w14:textId="77777777" w:rsidR="00C86459" w:rsidRDefault="00C86459" w:rsidP="00C86459">
            <w:r>
              <w:rPr>
                <w:rFonts w:ascii="Open Sans" w:hAnsi="Open Sans" w:cs="Open Sans"/>
                <w:color w:val="00000A"/>
                <w:sz w:val="20"/>
                <w:szCs w:val="20"/>
              </w:rPr>
              <w:t>Solar energy Capital Europe S.a.r.l.</w:t>
            </w:r>
          </w:p>
        </w:tc>
        <w:tc>
          <w:tcPr>
            <w:tcW w:w="3300" w:type="dxa"/>
            <w:tcBorders>
              <w:left w:val="single" w:sz="4" w:space="0" w:color="000000"/>
              <w:bottom w:val="single" w:sz="4" w:space="0" w:color="000000"/>
            </w:tcBorders>
            <w:shd w:val="clear" w:color="auto" w:fill="auto"/>
          </w:tcPr>
          <w:p w14:paraId="5B462FF2" w14:textId="77777777" w:rsidR="00C86459" w:rsidRDefault="00C86459" w:rsidP="00C86459">
            <w:r>
              <w:rPr>
                <w:rFonts w:ascii="Open Sans" w:hAnsi="Open Sans" w:cs="Open Sans"/>
                <w:color w:val="00000A"/>
                <w:sz w:val="20"/>
                <w:szCs w:val="20"/>
              </w:rPr>
              <w:t>Luxemburgo</w:t>
            </w:r>
          </w:p>
        </w:tc>
        <w:tc>
          <w:tcPr>
            <w:tcW w:w="2070" w:type="dxa"/>
            <w:tcBorders>
              <w:left w:val="single" w:sz="4" w:space="0" w:color="000000"/>
              <w:bottom w:val="single" w:sz="4" w:space="0" w:color="000000"/>
              <w:right w:val="single" w:sz="4" w:space="0" w:color="000000"/>
            </w:tcBorders>
            <w:shd w:val="clear" w:color="auto" w:fill="auto"/>
          </w:tcPr>
          <w:p w14:paraId="2EAA3CF8" w14:textId="77777777" w:rsidR="00C86459" w:rsidRDefault="00C86459" w:rsidP="00C86459">
            <w:r>
              <w:rPr>
                <w:rFonts w:ascii="Open Sans" w:hAnsi="Open Sans" w:cs="Open Sans"/>
                <w:color w:val="00000A"/>
                <w:sz w:val="20"/>
                <w:szCs w:val="20"/>
              </w:rPr>
              <w:t>Sociedad de cartera</w:t>
            </w:r>
          </w:p>
        </w:tc>
      </w:tr>
      <w:tr w:rsidR="00C86459" w14:paraId="4A064D4D" w14:textId="77777777" w:rsidTr="00C86459">
        <w:trPr>
          <w:trHeight w:val="240"/>
        </w:trPr>
        <w:tc>
          <w:tcPr>
            <w:tcW w:w="3225" w:type="dxa"/>
            <w:tcBorders>
              <w:left w:val="single" w:sz="4" w:space="0" w:color="000000"/>
              <w:bottom w:val="single" w:sz="4" w:space="0" w:color="000000"/>
            </w:tcBorders>
            <w:shd w:val="clear" w:color="auto" w:fill="auto"/>
          </w:tcPr>
          <w:p w14:paraId="7B47BD95" w14:textId="77777777" w:rsidR="00C86459" w:rsidRDefault="00C86459" w:rsidP="00C86459">
            <w:r>
              <w:rPr>
                <w:rFonts w:ascii="Open Sans" w:hAnsi="Open Sans" w:cs="Open Sans"/>
                <w:color w:val="00000A"/>
                <w:sz w:val="20"/>
                <w:szCs w:val="20"/>
              </w:rPr>
              <w:t>SOV APEX LLC</w:t>
            </w:r>
          </w:p>
        </w:tc>
        <w:tc>
          <w:tcPr>
            <w:tcW w:w="3300" w:type="dxa"/>
            <w:tcBorders>
              <w:left w:val="single" w:sz="4" w:space="0" w:color="000000"/>
              <w:bottom w:val="single" w:sz="4" w:space="0" w:color="000000"/>
            </w:tcBorders>
            <w:shd w:val="clear" w:color="auto" w:fill="auto"/>
          </w:tcPr>
          <w:p w14:paraId="0A41086D"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7BECE47B" w14:textId="77777777" w:rsidR="00C86459" w:rsidRDefault="00C86459" w:rsidP="00C86459">
            <w:r>
              <w:rPr>
                <w:rFonts w:ascii="Open Sans" w:hAnsi="Open Sans" w:cs="Open Sans"/>
                <w:color w:val="00000A"/>
                <w:sz w:val="20"/>
                <w:szCs w:val="20"/>
              </w:rPr>
              <w:t>Sociedad de cartera</w:t>
            </w:r>
          </w:p>
        </w:tc>
      </w:tr>
      <w:tr w:rsidR="00C86459" w14:paraId="4A2D8F76" w14:textId="77777777" w:rsidTr="00C86459">
        <w:trPr>
          <w:trHeight w:val="240"/>
        </w:trPr>
        <w:tc>
          <w:tcPr>
            <w:tcW w:w="3225" w:type="dxa"/>
            <w:tcBorders>
              <w:left w:val="single" w:sz="4" w:space="0" w:color="000000"/>
              <w:bottom w:val="single" w:sz="4" w:space="0" w:color="000000"/>
            </w:tcBorders>
            <w:shd w:val="clear" w:color="auto" w:fill="auto"/>
          </w:tcPr>
          <w:p w14:paraId="6ED05E4F" w14:textId="77777777" w:rsidR="00C86459" w:rsidRDefault="00C86459" w:rsidP="00C86459">
            <w:r>
              <w:rPr>
                <w:rFonts w:ascii="Open Sans" w:hAnsi="Open Sans" w:cs="Open Sans"/>
                <w:color w:val="00000A"/>
                <w:sz w:val="20"/>
                <w:szCs w:val="20"/>
              </w:rPr>
              <w:t>Sovereign Capital Trust IX</w:t>
            </w:r>
          </w:p>
        </w:tc>
        <w:tc>
          <w:tcPr>
            <w:tcW w:w="3300" w:type="dxa"/>
            <w:tcBorders>
              <w:left w:val="single" w:sz="4" w:space="0" w:color="000000"/>
              <w:bottom w:val="single" w:sz="4" w:space="0" w:color="000000"/>
            </w:tcBorders>
            <w:shd w:val="clear" w:color="auto" w:fill="auto"/>
          </w:tcPr>
          <w:p w14:paraId="4ABEE6A6"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18A34227" w14:textId="77777777" w:rsidR="00C86459" w:rsidRDefault="00C86459" w:rsidP="00C86459">
            <w:r>
              <w:rPr>
                <w:rFonts w:ascii="Open Sans" w:hAnsi="Open Sans" w:cs="Open Sans"/>
                <w:color w:val="00000A"/>
                <w:sz w:val="20"/>
                <w:szCs w:val="20"/>
              </w:rPr>
              <w:t>Financiera</w:t>
            </w:r>
          </w:p>
        </w:tc>
      </w:tr>
      <w:tr w:rsidR="00C86459" w14:paraId="63B202BE" w14:textId="77777777" w:rsidTr="00C86459">
        <w:trPr>
          <w:trHeight w:val="240"/>
        </w:trPr>
        <w:tc>
          <w:tcPr>
            <w:tcW w:w="3225" w:type="dxa"/>
            <w:tcBorders>
              <w:left w:val="single" w:sz="4" w:space="0" w:color="000000"/>
              <w:bottom w:val="single" w:sz="4" w:space="0" w:color="000000"/>
            </w:tcBorders>
            <w:shd w:val="clear" w:color="auto" w:fill="auto"/>
          </w:tcPr>
          <w:p w14:paraId="50E56BAC" w14:textId="77777777" w:rsidR="00C86459" w:rsidRDefault="00C86459" w:rsidP="00C86459">
            <w:r>
              <w:rPr>
                <w:rFonts w:ascii="Open Sans" w:hAnsi="Open Sans" w:cs="Open Sans"/>
                <w:color w:val="00000A"/>
                <w:sz w:val="20"/>
                <w:szCs w:val="20"/>
              </w:rPr>
              <w:t>Sovereign Capital Trust VI</w:t>
            </w:r>
          </w:p>
        </w:tc>
        <w:tc>
          <w:tcPr>
            <w:tcW w:w="3300" w:type="dxa"/>
            <w:tcBorders>
              <w:left w:val="single" w:sz="4" w:space="0" w:color="000000"/>
              <w:bottom w:val="single" w:sz="4" w:space="0" w:color="000000"/>
            </w:tcBorders>
            <w:shd w:val="clear" w:color="auto" w:fill="auto"/>
          </w:tcPr>
          <w:p w14:paraId="0C607C1B"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C85CA62" w14:textId="77777777" w:rsidR="00C86459" w:rsidRDefault="00C86459" w:rsidP="00C86459">
            <w:r>
              <w:rPr>
                <w:rFonts w:ascii="Open Sans" w:hAnsi="Open Sans" w:cs="Open Sans"/>
                <w:color w:val="00000A"/>
                <w:sz w:val="20"/>
                <w:szCs w:val="20"/>
              </w:rPr>
              <w:t>Financiera</w:t>
            </w:r>
          </w:p>
        </w:tc>
      </w:tr>
      <w:tr w:rsidR="00C86459" w14:paraId="6CEE411D" w14:textId="77777777" w:rsidTr="00C86459">
        <w:trPr>
          <w:trHeight w:val="240"/>
        </w:trPr>
        <w:tc>
          <w:tcPr>
            <w:tcW w:w="3225" w:type="dxa"/>
            <w:tcBorders>
              <w:left w:val="single" w:sz="4" w:space="0" w:color="000000"/>
              <w:bottom w:val="single" w:sz="4" w:space="0" w:color="000000"/>
            </w:tcBorders>
            <w:shd w:val="clear" w:color="auto" w:fill="auto"/>
          </w:tcPr>
          <w:p w14:paraId="3F2017A7" w14:textId="77777777" w:rsidR="00C86459" w:rsidRDefault="00C86459" w:rsidP="00C86459">
            <w:r>
              <w:rPr>
                <w:rFonts w:ascii="Open Sans" w:hAnsi="Open Sans" w:cs="Open Sans"/>
                <w:color w:val="00000A"/>
                <w:sz w:val="20"/>
                <w:szCs w:val="20"/>
              </w:rPr>
              <w:t>Sovereign Community Development Company</w:t>
            </w:r>
          </w:p>
        </w:tc>
        <w:tc>
          <w:tcPr>
            <w:tcW w:w="3300" w:type="dxa"/>
            <w:tcBorders>
              <w:left w:val="single" w:sz="4" w:space="0" w:color="000000"/>
              <w:bottom w:val="single" w:sz="4" w:space="0" w:color="000000"/>
            </w:tcBorders>
            <w:shd w:val="clear" w:color="auto" w:fill="auto"/>
          </w:tcPr>
          <w:p w14:paraId="4D383955"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0FC5FA7" w14:textId="77777777" w:rsidR="00C86459" w:rsidRDefault="00C86459" w:rsidP="00C86459">
            <w:r>
              <w:rPr>
                <w:rFonts w:ascii="Open Sans" w:hAnsi="Open Sans" w:cs="Open Sans"/>
                <w:color w:val="00000A"/>
                <w:sz w:val="20"/>
                <w:szCs w:val="20"/>
              </w:rPr>
              <w:t>Sociedad de cartera</w:t>
            </w:r>
          </w:p>
        </w:tc>
      </w:tr>
      <w:tr w:rsidR="00C86459" w14:paraId="3C7CD084" w14:textId="77777777" w:rsidTr="00C86459">
        <w:trPr>
          <w:trHeight w:val="240"/>
        </w:trPr>
        <w:tc>
          <w:tcPr>
            <w:tcW w:w="3225" w:type="dxa"/>
            <w:tcBorders>
              <w:left w:val="single" w:sz="4" w:space="0" w:color="000000"/>
              <w:bottom w:val="single" w:sz="4" w:space="0" w:color="000000"/>
            </w:tcBorders>
            <w:shd w:val="clear" w:color="auto" w:fill="auto"/>
          </w:tcPr>
          <w:p w14:paraId="0B44DF44" w14:textId="77777777" w:rsidR="00C86459" w:rsidRDefault="00C86459" w:rsidP="00C86459">
            <w:r>
              <w:rPr>
                <w:rFonts w:ascii="Open Sans" w:hAnsi="Open Sans" w:cs="Open Sans"/>
                <w:color w:val="00000A"/>
                <w:sz w:val="20"/>
                <w:szCs w:val="20"/>
              </w:rPr>
              <w:t>Sovereign Delaware Investment Corporation</w:t>
            </w:r>
          </w:p>
        </w:tc>
        <w:tc>
          <w:tcPr>
            <w:tcW w:w="3300" w:type="dxa"/>
            <w:tcBorders>
              <w:left w:val="single" w:sz="4" w:space="0" w:color="000000"/>
              <w:bottom w:val="single" w:sz="4" w:space="0" w:color="000000"/>
            </w:tcBorders>
            <w:shd w:val="clear" w:color="auto" w:fill="auto"/>
          </w:tcPr>
          <w:p w14:paraId="6C35D7BE"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8A27C06" w14:textId="77777777" w:rsidR="00C86459" w:rsidRDefault="00C86459" w:rsidP="00C86459">
            <w:r>
              <w:rPr>
                <w:rFonts w:ascii="Open Sans" w:hAnsi="Open Sans" w:cs="Open Sans"/>
                <w:color w:val="00000A"/>
                <w:sz w:val="20"/>
                <w:szCs w:val="20"/>
              </w:rPr>
              <w:t>Sociedad de cartera</w:t>
            </w:r>
          </w:p>
        </w:tc>
      </w:tr>
      <w:tr w:rsidR="00C86459" w14:paraId="411F5BEB" w14:textId="77777777" w:rsidTr="00C86459">
        <w:trPr>
          <w:trHeight w:val="240"/>
        </w:trPr>
        <w:tc>
          <w:tcPr>
            <w:tcW w:w="3225" w:type="dxa"/>
            <w:tcBorders>
              <w:left w:val="single" w:sz="4" w:space="0" w:color="000000"/>
              <w:bottom w:val="single" w:sz="4" w:space="0" w:color="000000"/>
            </w:tcBorders>
            <w:shd w:val="clear" w:color="auto" w:fill="auto"/>
          </w:tcPr>
          <w:p w14:paraId="1B5825BB" w14:textId="77777777" w:rsidR="00C86459" w:rsidRDefault="00C86459" w:rsidP="00C86459">
            <w:r>
              <w:rPr>
                <w:rFonts w:ascii="Open Sans" w:hAnsi="Open Sans" w:cs="Open Sans"/>
                <w:color w:val="00000A"/>
                <w:sz w:val="20"/>
                <w:szCs w:val="20"/>
              </w:rPr>
              <w:t>Sovereign Lease Holdings, LLC</w:t>
            </w:r>
          </w:p>
        </w:tc>
        <w:tc>
          <w:tcPr>
            <w:tcW w:w="3300" w:type="dxa"/>
            <w:tcBorders>
              <w:left w:val="single" w:sz="4" w:space="0" w:color="000000"/>
              <w:bottom w:val="single" w:sz="4" w:space="0" w:color="000000"/>
            </w:tcBorders>
            <w:shd w:val="clear" w:color="auto" w:fill="auto"/>
          </w:tcPr>
          <w:p w14:paraId="1FAC3F3E"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2E02EBDD" w14:textId="77777777" w:rsidR="00C86459" w:rsidRDefault="00C86459" w:rsidP="00C86459">
            <w:r>
              <w:rPr>
                <w:rFonts w:ascii="Open Sans" w:hAnsi="Open Sans" w:cs="Open Sans"/>
                <w:color w:val="00000A"/>
                <w:sz w:val="20"/>
                <w:szCs w:val="20"/>
              </w:rPr>
              <w:t>Servicios financieros</w:t>
            </w:r>
          </w:p>
        </w:tc>
      </w:tr>
      <w:tr w:rsidR="00C86459" w14:paraId="03310750" w14:textId="77777777" w:rsidTr="00C86459">
        <w:trPr>
          <w:trHeight w:val="240"/>
        </w:trPr>
        <w:tc>
          <w:tcPr>
            <w:tcW w:w="3225" w:type="dxa"/>
            <w:tcBorders>
              <w:left w:val="single" w:sz="4" w:space="0" w:color="000000"/>
              <w:bottom w:val="single" w:sz="4" w:space="0" w:color="000000"/>
            </w:tcBorders>
            <w:shd w:val="clear" w:color="auto" w:fill="auto"/>
          </w:tcPr>
          <w:p w14:paraId="6B163005" w14:textId="77777777" w:rsidR="00C86459" w:rsidRDefault="00C86459" w:rsidP="00C86459">
            <w:r>
              <w:rPr>
                <w:rFonts w:ascii="Open Sans" w:hAnsi="Open Sans" w:cs="Open Sans"/>
                <w:color w:val="00000A"/>
                <w:sz w:val="20"/>
                <w:szCs w:val="20"/>
              </w:rPr>
              <w:t>Sovereign REIT Holdings, Inc.</w:t>
            </w:r>
          </w:p>
        </w:tc>
        <w:tc>
          <w:tcPr>
            <w:tcW w:w="3300" w:type="dxa"/>
            <w:tcBorders>
              <w:left w:val="single" w:sz="4" w:space="0" w:color="000000"/>
              <w:bottom w:val="single" w:sz="4" w:space="0" w:color="000000"/>
            </w:tcBorders>
            <w:shd w:val="clear" w:color="auto" w:fill="auto"/>
          </w:tcPr>
          <w:p w14:paraId="4D3D0E00"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A4EFC47" w14:textId="77777777" w:rsidR="00C86459" w:rsidRDefault="00C86459" w:rsidP="00C86459">
            <w:r>
              <w:rPr>
                <w:rFonts w:ascii="Open Sans" w:hAnsi="Open Sans" w:cs="Open Sans"/>
                <w:color w:val="00000A"/>
                <w:sz w:val="20"/>
                <w:szCs w:val="20"/>
              </w:rPr>
              <w:t>Sociedad de cartera</w:t>
            </w:r>
          </w:p>
        </w:tc>
      </w:tr>
      <w:tr w:rsidR="00C86459" w14:paraId="617561D4" w14:textId="77777777" w:rsidTr="00C86459">
        <w:trPr>
          <w:trHeight w:val="240"/>
        </w:trPr>
        <w:tc>
          <w:tcPr>
            <w:tcW w:w="3225" w:type="dxa"/>
            <w:tcBorders>
              <w:left w:val="single" w:sz="4" w:space="0" w:color="000000"/>
              <w:bottom w:val="single" w:sz="4" w:space="0" w:color="000000"/>
            </w:tcBorders>
            <w:shd w:val="clear" w:color="auto" w:fill="auto"/>
          </w:tcPr>
          <w:p w14:paraId="0AF24189" w14:textId="77777777" w:rsidR="00C86459" w:rsidRDefault="00C86459" w:rsidP="00C86459">
            <w:r>
              <w:rPr>
                <w:rFonts w:ascii="Open Sans" w:hAnsi="Open Sans" w:cs="Open Sans"/>
                <w:sz w:val="20"/>
                <w:szCs w:val="20"/>
              </w:rPr>
              <w:t>Sovereing Spirit Limited</w:t>
            </w:r>
          </w:p>
        </w:tc>
        <w:tc>
          <w:tcPr>
            <w:tcW w:w="3300" w:type="dxa"/>
            <w:tcBorders>
              <w:left w:val="single" w:sz="4" w:space="0" w:color="000000"/>
              <w:bottom w:val="single" w:sz="4" w:space="0" w:color="000000"/>
            </w:tcBorders>
            <w:shd w:val="clear" w:color="auto" w:fill="auto"/>
          </w:tcPr>
          <w:p w14:paraId="0AC8E477"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7F15C79" w14:textId="77777777" w:rsidR="00C86459" w:rsidRDefault="00C86459" w:rsidP="00C86459">
            <w:r>
              <w:rPr>
                <w:rFonts w:ascii="Open Sans" w:hAnsi="Open Sans" w:cs="Open Sans"/>
                <w:sz w:val="20"/>
                <w:szCs w:val="20"/>
              </w:rPr>
              <w:t>Leasing</w:t>
            </w:r>
          </w:p>
        </w:tc>
      </w:tr>
      <w:tr w:rsidR="00C86459" w14:paraId="4E13AD83" w14:textId="77777777" w:rsidTr="00C86459">
        <w:trPr>
          <w:trHeight w:val="240"/>
        </w:trPr>
        <w:tc>
          <w:tcPr>
            <w:tcW w:w="3225" w:type="dxa"/>
            <w:tcBorders>
              <w:left w:val="single" w:sz="4" w:space="0" w:color="000000"/>
              <w:bottom w:val="single" w:sz="4" w:space="0" w:color="000000"/>
            </w:tcBorders>
            <w:shd w:val="clear" w:color="auto" w:fill="auto"/>
          </w:tcPr>
          <w:p w14:paraId="6F36ED16" w14:textId="77777777" w:rsidR="00C86459" w:rsidRPr="00A1554D" w:rsidRDefault="00C86459" w:rsidP="00C86459">
            <w:pPr>
              <w:rPr>
                <w:lang w:val="en-GB"/>
              </w:rPr>
            </w:pPr>
            <w:r w:rsidRPr="00A1554D">
              <w:rPr>
                <w:rFonts w:ascii="Open Sans" w:hAnsi="Open Sans" w:cs="Open Sans"/>
                <w:color w:val="00000A"/>
                <w:sz w:val="20"/>
                <w:szCs w:val="20"/>
                <w:lang w:val="en-GB"/>
              </w:rPr>
              <w:t>Stephens Ranch Wind Energy HoldCo, L.L.C.</w:t>
            </w:r>
          </w:p>
        </w:tc>
        <w:tc>
          <w:tcPr>
            <w:tcW w:w="3300" w:type="dxa"/>
            <w:tcBorders>
              <w:left w:val="single" w:sz="4" w:space="0" w:color="000000"/>
              <w:bottom w:val="single" w:sz="4" w:space="0" w:color="000000"/>
            </w:tcBorders>
            <w:shd w:val="clear" w:color="auto" w:fill="auto"/>
          </w:tcPr>
          <w:p w14:paraId="2932547D" w14:textId="77777777" w:rsidR="00C86459" w:rsidRDefault="00C86459" w:rsidP="00C86459">
            <w:r w:rsidRPr="00BB0971">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0ADFFDAE" w14:textId="77777777" w:rsidR="00C86459" w:rsidRDefault="00C86459" w:rsidP="00C86459">
            <w:r>
              <w:rPr>
                <w:rFonts w:ascii="Open Sans" w:hAnsi="Open Sans" w:cs="Open Sans"/>
                <w:color w:val="00000A"/>
                <w:sz w:val="20"/>
                <w:szCs w:val="20"/>
              </w:rPr>
              <w:t>Explotación de energía eléctrica</w:t>
            </w:r>
          </w:p>
        </w:tc>
      </w:tr>
      <w:tr w:rsidR="00C86459" w14:paraId="57DE27AF" w14:textId="77777777" w:rsidTr="00C86459">
        <w:trPr>
          <w:trHeight w:val="240"/>
        </w:trPr>
        <w:tc>
          <w:tcPr>
            <w:tcW w:w="3225" w:type="dxa"/>
            <w:tcBorders>
              <w:left w:val="single" w:sz="4" w:space="0" w:color="000000"/>
              <w:bottom w:val="single" w:sz="4" w:space="0" w:color="000000"/>
            </w:tcBorders>
            <w:shd w:val="clear" w:color="auto" w:fill="auto"/>
          </w:tcPr>
          <w:p w14:paraId="63F4685C"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Sterrebeeck BV</w:t>
            </w:r>
          </w:p>
        </w:tc>
        <w:tc>
          <w:tcPr>
            <w:tcW w:w="3300" w:type="dxa"/>
            <w:tcBorders>
              <w:left w:val="single" w:sz="4" w:space="0" w:color="000000"/>
              <w:bottom w:val="single" w:sz="4" w:space="0" w:color="000000"/>
            </w:tcBorders>
            <w:shd w:val="clear" w:color="auto" w:fill="auto"/>
          </w:tcPr>
          <w:p w14:paraId="32546F3C"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Holanda</w:t>
            </w:r>
          </w:p>
        </w:tc>
        <w:tc>
          <w:tcPr>
            <w:tcW w:w="2070" w:type="dxa"/>
            <w:tcBorders>
              <w:left w:val="single" w:sz="4" w:space="0" w:color="000000"/>
              <w:bottom w:val="single" w:sz="4" w:space="0" w:color="000000"/>
              <w:right w:val="single" w:sz="4" w:space="0" w:color="000000"/>
            </w:tcBorders>
            <w:shd w:val="clear" w:color="auto" w:fill="auto"/>
          </w:tcPr>
          <w:p w14:paraId="6C3C1428" w14:textId="77777777" w:rsidR="00C86459" w:rsidRDefault="00C86459" w:rsidP="00C86459">
            <w:pPr>
              <w:rPr>
                <w:rFonts w:ascii="Open Sans" w:hAnsi="Open Sans" w:cs="Open Sans"/>
                <w:color w:val="00000A"/>
                <w:sz w:val="20"/>
                <w:szCs w:val="20"/>
              </w:rPr>
            </w:pPr>
            <w:r>
              <w:rPr>
                <w:rFonts w:ascii="Open Sans" w:hAnsi="Open Sans" w:cs="Open Sans"/>
                <w:color w:val="00000A"/>
                <w:sz w:val="20"/>
                <w:szCs w:val="20"/>
              </w:rPr>
              <w:t>Sociedad de cartera</w:t>
            </w:r>
          </w:p>
        </w:tc>
      </w:tr>
      <w:tr w:rsidR="00C86459" w14:paraId="4CEB65D8" w14:textId="77777777" w:rsidTr="00C86459">
        <w:trPr>
          <w:trHeight w:val="240"/>
        </w:trPr>
        <w:tc>
          <w:tcPr>
            <w:tcW w:w="3225" w:type="dxa"/>
            <w:tcBorders>
              <w:left w:val="single" w:sz="4" w:space="0" w:color="000000"/>
              <w:bottom w:val="single" w:sz="4" w:space="0" w:color="000000"/>
            </w:tcBorders>
            <w:shd w:val="clear" w:color="auto" w:fill="auto"/>
          </w:tcPr>
          <w:p w14:paraId="00A546CF" w14:textId="77777777" w:rsidR="00C86459" w:rsidRDefault="00C86459" w:rsidP="00C86459">
            <w:r>
              <w:rPr>
                <w:rFonts w:ascii="Open Sans" w:hAnsi="Open Sans" w:cs="Open Sans"/>
                <w:color w:val="00000A"/>
                <w:sz w:val="20"/>
                <w:szCs w:val="20"/>
              </w:rPr>
              <w:t>Svensk Autofinans 1 Limited</w:t>
            </w:r>
          </w:p>
        </w:tc>
        <w:tc>
          <w:tcPr>
            <w:tcW w:w="3300" w:type="dxa"/>
            <w:tcBorders>
              <w:left w:val="single" w:sz="4" w:space="0" w:color="000000"/>
              <w:bottom w:val="single" w:sz="4" w:space="0" w:color="000000"/>
            </w:tcBorders>
            <w:shd w:val="clear" w:color="auto" w:fill="auto"/>
          </w:tcPr>
          <w:p w14:paraId="5F9A2BB2"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88B23DB" w14:textId="77777777" w:rsidR="00C86459" w:rsidRDefault="00C86459" w:rsidP="00C86459">
            <w:r>
              <w:rPr>
                <w:rFonts w:ascii="Open Sans" w:hAnsi="Open Sans" w:cs="Open Sans"/>
                <w:color w:val="00000A"/>
                <w:sz w:val="20"/>
                <w:szCs w:val="20"/>
              </w:rPr>
              <w:t xml:space="preserve">Titulización </w:t>
            </w:r>
          </w:p>
        </w:tc>
      </w:tr>
      <w:tr w:rsidR="00C86459" w14:paraId="61C040D0" w14:textId="77777777" w:rsidTr="00C86459">
        <w:trPr>
          <w:trHeight w:val="240"/>
        </w:trPr>
        <w:tc>
          <w:tcPr>
            <w:tcW w:w="3225" w:type="dxa"/>
            <w:tcBorders>
              <w:left w:val="single" w:sz="4" w:space="0" w:color="000000"/>
              <w:bottom w:val="single" w:sz="4" w:space="0" w:color="000000"/>
            </w:tcBorders>
            <w:shd w:val="clear" w:color="auto" w:fill="auto"/>
          </w:tcPr>
          <w:p w14:paraId="7DAEEEC6" w14:textId="77777777" w:rsidR="00C86459" w:rsidRDefault="00C86459" w:rsidP="00C86459">
            <w:r>
              <w:rPr>
                <w:rFonts w:ascii="Open Sans" w:hAnsi="Open Sans" w:cs="Open Sans"/>
                <w:color w:val="00000A"/>
                <w:sz w:val="20"/>
                <w:szCs w:val="20"/>
              </w:rPr>
              <w:t>Svensk Autofinans WH 1 Ltd</w:t>
            </w:r>
          </w:p>
        </w:tc>
        <w:tc>
          <w:tcPr>
            <w:tcW w:w="3300" w:type="dxa"/>
            <w:tcBorders>
              <w:left w:val="single" w:sz="4" w:space="0" w:color="000000"/>
              <w:bottom w:val="single" w:sz="4" w:space="0" w:color="000000"/>
            </w:tcBorders>
            <w:shd w:val="clear" w:color="auto" w:fill="auto"/>
          </w:tcPr>
          <w:p w14:paraId="3B0B23EE"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56E40FF" w14:textId="77777777" w:rsidR="00C86459" w:rsidRDefault="00C86459" w:rsidP="00C86459">
            <w:r>
              <w:rPr>
                <w:rFonts w:ascii="Open Sans" w:hAnsi="Open Sans" w:cs="Open Sans"/>
                <w:color w:val="00000A"/>
                <w:sz w:val="20"/>
                <w:szCs w:val="20"/>
              </w:rPr>
              <w:t xml:space="preserve">Titulización </w:t>
            </w:r>
          </w:p>
        </w:tc>
      </w:tr>
      <w:tr w:rsidR="00C86459" w14:paraId="21A74442" w14:textId="77777777" w:rsidTr="00C86459">
        <w:trPr>
          <w:trHeight w:val="240"/>
        </w:trPr>
        <w:tc>
          <w:tcPr>
            <w:tcW w:w="3225" w:type="dxa"/>
            <w:tcBorders>
              <w:left w:val="single" w:sz="4" w:space="0" w:color="000000"/>
              <w:bottom w:val="single" w:sz="4" w:space="0" w:color="000000"/>
            </w:tcBorders>
            <w:shd w:val="clear" w:color="auto" w:fill="auto"/>
          </w:tcPr>
          <w:p w14:paraId="27836506" w14:textId="77777777" w:rsidR="00C86459" w:rsidRDefault="00C86459" w:rsidP="00C86459">
            <w:r>
              <w:rPr>
                <w:rFonts w:ascii="Open Sans" w:hAnsi="Open Sans" w:cs="Open Sans"/>
                <w:color w:val="00000A"/>
                <w:sz w:val="20"/>
                <w:szCs w:val="20"/>
              </w:rPr>
              <w:t>Swesant S.A.</w:t>
            </w:r>
          </w:p>
        </w:tc>
        <w:tc>
          <w:tcPr>
            <w:tcW w:w="3300" w:type="dxa"/>
            <w:tcBorders>
              <w:left w:val="single" w:sz="4" w:space="0" w:color="000000"/>
              <w:bottom w:val="single" w:sz="4" w:space="0" w:color="000000"/>
            </w:tcBorders>
            <w:shd w:val="clear" w:color="auto" w:fill="auto"/>
          </w:tcPr>
          <w:p w14:paraId="76C75B83" w14:textId="77777777" w:rsidR="00C86459" w:rsidRDefault="00C86459" w:rsidP="00C86459">
            <w:r>
              <w:rPr>
                <w:rFonts w:ascii="Open Sans" w:hAnsi="Open Sans" w:cs="Open Sans"/>
                <w:color w:val="00000A"/>
                <w:sz w:val="20"/>
                <w:szCs w:val="20"/>
              </w:rPr>
              <w:t>Suiza</w:t>
            </w:r>
          </w:p>
        </w:tc>
        <w:tc>
          <w:tcPr>
            <w:tcW w:w="2070" w:type="dxa"/>
            <w:tcBorders>
              <w:left w:val="single" w:sz="4" w:space="0" w:color="000000"/>
              <w:bottom w:val="single" w:sz="4" w:space="0" w:color="000000"/>
              <w:right w:val="single" w:sz="4" w:space="0" w:color="000000"/>
            </w:tcBorders>
            <w:shd w:val="clear" w:color="auto" w:fill="auto"/>
          </w:tcPr>
          <w:p w14:paraId="590EA39B" w14:textId="77777777" w:rsidR="00C86459" w:rsidRDefault="00C86459" w:rsidP="00C86459">
            <w:r>
              <w:rPr>
                <w:rFonts w:ascii="Open Sans" w:hAnsi="Open Sans" w:cs="Open Sans"/>
                <w:color w:val="00000A"/>
                <w:sz w:val="20"/>
                <w:szCs w:val="20"/>
              </w:rPr>
              <w:t>Sociedad de cartera</w:t>
            </w:r>
          </w:p>
        </w:tc>
      </w:tr>
      <w:tr w:rsidR="00C86459" w14:paraId="0F178CC7" w14:textId="77777777" w:rsidTr="00C86459">
        <w:trPr>
          <w:trHeight w:val="240"/>
        </w:trPr>
        <w:tc>
          <w:tcPr>
            <w:tcW w:w="3225" w:type="dxa"/>
            <w:tcBorders>
              <w:left w:val="single" w:sz="4" w:space="0" w:color="000000"/>
              <w:bottom w:val="single" w:sz="4" w:space="0" w:color="000000"/>
            </w:tcBorders>
            <w:shd w:val="clear" w:color="auto" w:fill="auto"/>
          </w:tcPr>
          <w:p w14:paraId="28F24E60" w14:textId="77777777" w:rsidR="00C86459" w:rsidRDefault="00C86459" w:rsidP="00C86459">
            <w:r>
              <w:rPr>
                <w:rFonts w:ascii="Open Sans" w:hAnsi="Open Sans" w:cs="Open Sans"/>
                <w:color w:val="00000A"/>
                <w:sz w:val="20"/>
                <w:szCs w:val="20"/>
              </w:rPr>
              <w:t>The HSH AIV 4 Trust</w:t>
            </w:r>
          </w:p>
        </w:tc>
        <w:tc>
          <w:tcPr>
            <w:tcW w:w="3300" w:type="dxa"/>
            <w:tcBorders>
              <w:left w:val="single" w:sz="4" w:space="0" w:color="000000"/>
              <w:bottom w:val="single" w:sz="4" w:space="0" w:color="000000"/>
            </w:tcBorders>
            <w:shd w:val="clear" w:color="auto" w:fill="auto"/>
          </w:tcPr>
          <w:p w14:paraId="72B58DC4" w14:textId="77777777" w:rsidR="00C86459" w:rsidRDefault="00C86459" w:rsidP="00C86459">
            <w:r w:rsidRPr="00471E8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3A0C90B0" w14:textId="77777777" w:rsidR="00C86459" w:rsidRDefault="00C86459" w:rsidP="00C86459">
            <w:r>
              <w:rPr>
                <w:rFonts w:ascii="Open Sans" w:hAnsi="Open Sans" w:cs="Open Sans"/>
                <w:color w:val="00000A"/>
                <w:sz w:val="20"/>
                <w:szCs w:val="20"/>
              </w:rPr>
              <w:t>Sociedad de cartera</w:t>
            </w:r>
          </w:p>
        </w:tc>
      </w:tr>
      <w:tr w:rsidR="00C86459" w14:paraId="387C81EC" w14:textId="77777777" w:rsidTr="00C86459">
        <w:trPr>
          <w:trHeight w:val="240"/>
        </w:trPr>
        <w:tc>
          <w:tcPr>
            <w:tcW w:w="3225" w:type="dxa"/>
            <w:tcBorders>
              <w:left w:val="single" w:sz="4" w:space="0" w:color="000000"/>
              <w:bottom w:val="single" w:sz="4" w:space="0" w:color="000000"/>
            </w:tcBorders>
            <w:shd w:val="clear" w:color="auto" w:fill="auto"/>
          </w:tcPr>
          <w:p w14:paraId="158063CB" w14:textId="77777777" w:rsidR="00C86459" w:rsidRDefault="00C86459" w:rsidP="00C86459">
            <w:r>
              <w:rPr>
                <w:rFonts w:ascii="Open Sans" w:hAnsi="Open Sans" w:cs="Open Sans"/>
                <w:color w:val="00000A"/>
                <w:sz w:val="20"/>
                <w:szCs w:val="20"/>
              </w:rPr>
              <w:t>Tonopah Solar I, LLC</w:t>
            </w:r>
          </w:p>
        </w:tc>
        <w:tc>
          <w:tcPr>
            <w:tcW w:w="3300" w:type="dxa"/>
            <w:tcBorders>
              <w:left w:val="single" w:sz="4" w:space="0" w:color="000000"/>
              <w:bottom w:val="single" w:sz="4" w:space="0" w:color="000000"/>
            </w:tcBorders>
            <w:shd w:val="clear" w:color="auto" w:fill="auto"/>
          </w:tcPr>
          <w:p w14:paraId="798130BE" w14:textId="77777777" w:rsidR="00C86459" w:rsidRDefault="00C86459" w:rsidP="00C86459">
            <w:r w:rsidRPr="00471E8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6C37EC98" w14:textId="77777777" w:rsidR="00C86459" w:rsidRDefault="00C86459" w:rsidP="00C86459">
            <w:r>
              <w:rPr>
                <w:rFonts w:ascii="Open Sans" w:hAnsi="Open Sans" w:cs="Open Sans"/>
                <w:color w:val="00000A"/>
                <w:sz w:val="20"/>
                <w:szCs w:val="20"/>
              </w:rPr>
              <w:t>Sociedad de cartera</w:t>
            </w:r>
          </w:p>
        </w:tc>
      </w:tr>
      <w:tr w:rsidR="00C86459" w14:paraId="19178AB2" w14:textId="77777777" w:rsidTr="00C86459">
        <w:trPr>
          <w:trHeight w:val="240"/>
        </w:trPr>
        <w:tc>
          <w:tcPr>
            <w:tcW w:w="3225" w:type="dxa"/>
            <w:tcBorders>
              <w:left w:val="single" w:sz="4" w:space="0" w:color="000000"/>
              <w:bottom w:val="single" w:sz="4" w:space="0" w:color="000000"/>
            </w:tcBorders>
            <w:shd w:val="clear" w:color="auto" w:fill="auto"/>
          </w:tcPr>
          <w:p w14:paraId="1B911A92" w14:textId="77777777" w:rsidR="00C86459" w:rsidRPr="00A1554D" w:rsidRDefault="00C86459" w:rsidP="00C86459">
            <w:pPr>
              <w:rPr>
                <w:lang w:val="en-GB"/>
              </w:rPr>
            </w:pPr>
            <w:r w:rsidRPr="00A1554D">
              <w:rPr>
                <w:rFonts w:ascii="Open Sans" w:hAnsi="Open Sans" w:cs="Open Sans"/>
                <w:color w:val="00000A"/>
                <w:sz w:val="20"/>
                <w:szCs w:val="20"/>
                <w:lang w:val="en-GB"/>
              </w:rPr>
              <w:t>Tonopah Solar Energy Holdings I</w:t>
            </w:r>
          </w:p>
        </w:tc>
        <w:tc>
          <w:tcPr>
            <w:tcW w:w="3300" w:type="dxa"/>
            <w:tcBorders>
              <w:left w:val="single" w:sz="4" w:space="0" w:color="000000"/>
              <w:bottom w:val="single" w:sz="4" w:space="0" w:color="000000"/>
            </w:tcBorders>
            <w:shd w:val="clear" w:color="auto" w:fill="auto"/>
          </w:tcPr>
          <w:p w14:paraId="28B512BB" w14:textId="77777777" w:rsidR="00C86459" w:rsidRDefault="00C86459" w:rsidP="00C86459">
            <w:r w:rsidRPr="00471E89">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459C528B" w14:textId="77777777" w:rsidR="00C86459" w:rsidRDefault="00C86459" w:rsidP="00C86459">
            <w:r>
              <w:rPr>
                <w:rFonts w:ascii="Open Sans" w:hAnsi="Open Sans" w:cs="Open Sans"/>
                <w:color w:val="00000A"/>
                <w:sz w:val="20"/>
                <w:szCs w:val="20"/>
              </w:rPr>
              <w:t>Sociedad de cartera</w:t>
            </w:r>
          </w:p>
        </w:tc>
      </w:tr>
      <w:tr w:rsidR="00C86459" w14:paraId="2B964450" w14:textId="77777777" w:rsidTr="00C86459">
        <w:trPr>
          <w:trHeight w:val="240"/>
        </w:trPr>
        <w:tc>
          <w:tcPr>
            <w:tcW w:w="3225" w:type="dxa"/>
            <w:tcBorders>
              <w:left w:val="single" w:sz="4" w:space="0" w:color="000000"/>
              <w:bottom w:val="single" w:sz="4" w:space="0" w:color="000000"/>
            </w:tcBorders>
            <w:shd w:val="clear" w:color="auto" w:fill="auto"/>
          </w:tcPr>
          <w:p w14:paraId="37308D3B" w14:textId="77777777" w:rsidR="00C86459" w:rsidRDefault="00C86459" w:rsidP="00C86459">
            <w:r>
              <w:rPr>
                <w:rFonts w:ascii="Open Sans" w:hAnsi="Open Sans" w:cs="Open Sans"/>
                <w:color w:val="00000A"/>
                <w:sz w:val="20"/>
                <w:szCs w:val="20"/>
              </w:rPr>
              <w:t>Totta (Ireland), PLC</w:t>
            </w:r>
          </w:p>
        </w:tc>
        <w:tc>
          <w:tcPr>
            <w:tcW w:w="3300" w:type="dxa"/>
            <w:tcBorders>
              <w:left w:val="single" w:sz="4" w:space="0" w:color="000000"/>
              <w:bottom w:val="single" w:sz="4" w:space="0" w:color="000000"/>
            </w:tcBorders>
            <w:shd w:val="clear" w:color="auto" w:fill="auto"/>
          </w:tcPr>
          <w:p w14:paraId="5CA6DD9C"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089086F6" w14:textId="77777777" w:rsidR="00C86459" w:rsidRDefault="00C86459" w:rsidP="00C86459">
            <w:r>
              <w:rPr>
                <w:rFonts w:ascii="Open Sans" w:hAnsi="Open Sans" w:cs="Open Sans"/>
                <w:color w:val="00000A"/>
                <w:sz w:val="20"/>
                <w:szCs w:val="20"/>
              </w:rPr>
              <w:t>Financiera</w:t>
            </w:r>
          </w:p>
        </w:tc>
      </w:tr>
      <w:tr w:rsidR="00C86459" w14:paraId="4193D725" w14:textId="77777777" w:rsidTr="00C86459">
        <w:trPr>
          <w:trHeight w:val="240"/>
        </w:trPr>
        <w:tc>
          <w:tcPr>
            <w:tcW w:w="3225" w:type="dxa"/>
            <w:tcBorders>
              <w:left w:val="single" w:sz="4" w:space="0" w:color="000000"/>
              <w:bottom w:val="single" w:sz="4" w:space="0" w:color="000000"/>
            </w:tcBorders>
            <w:shd w:val="clear" w:color="auto" w:fill="auto"/>
          </w:tcPr>
          <w:p w14:paraId="3EC78CB3" w14:textId="77777777" w:rsidR="00C86459" w:rsidRDefault="00C86459" w:rsidP="00C86459">
            <w:r>
              <w:rPr>
                <w:rFonts w:ascii="Open Sans" w:hAnsi="Open Sans" w:cs="Open Sans"/>
                <w:sz w:val="20"/>
                <w:szCs w:val="20"/>
              </w:rPr>
              <w:t>Totta &amp; Açores Financing Ltd</w:t>
            </w:r>
          </w:p>
        </w:tc>
        <w:tc>
          <w:tcPr>
            <w:tcW w:w="3300" w:type="dxa"/>
            <w:tcBorders>
              <w:left w:val="single" w:sz="4" w:space="0" w:color="000000"/>
              <w:bottom w:val="single" w:sz="4" w:space="0" w:color="000000"/>
            </w:tcBorders>
            <w:shd w:val="clear" w:color="auto" w:fill="auto"/>
          </w:tcPr>
          <w:p w14:paraId="086D8E7D" w14:textId="77777777" w:rsidR="00C86459" w:rsidRDefault="00C86459" w:rsidP="00C86459">
            <w:r>
              <w:rPr>
                <w:rFonts w:ascii="Open Sans" w:hAnsi="Open Sans" w:cs="Open Sans"/>
                <w:sz w:val="20"/>
                <w:szCs w:val="20"/>
              </w:rPr>
              <w:t>Islas Caimán</w:t>
            </w:r>
          </w:p>
        </w:tc>
        <w:tc>
          <w:tcPr>
            <w:tcW w:w="2070" w:type="dxa"/>
            <w:tcBorders>
              <w:left w:val="single" w:sz="4" w:space="0" w:color="000000"/>
              <w:bottom w:val="single" w:sz="4" w:space="0" w:color="000000"/>
              <w:right w:val="single" w:sz="4" w:space="0" w:color="000000"/>
            </w:tcBorders>
            <w:shd w:val="clear" w:color="auto" w:fill="auto"/>
          </w:tcPr>
          <w:p w14:paraId="6E00149E" w14:textId="77777777" w:rsidR="00C86459" w:rsidRDefault="00C86459" w:rsidP="00C86459">
            <w:r>
              <w:rPr>
                <w:rFonts w:ascii="Open Sans" w:hAnsi="Open Sans" w:cs="Open Sans"/>
                <w:sz w:val="20"/>
                <w:szCs w:val="20"/>
              </w:rPr>
              <w:t>Financiera</w:t>
            </w:r>
          </w:p>
          <w:p w14:paraId="1423EEFB" w14:textId="77777777" w:rsidR="00C86459" w:rsidRDefault="00C86459" w:rsidP="00C86459">
            <w:pPr>
              <w:rPr>
                <w:rFonts w:ascii="Open Sans" w:hAnsi="Open Sans" w:cs="Open Sans"/>
                <w:sz w:val="20"/>
                <w:szCs w:val="20"/>
              </w:rPr>
            </w:pPr>
          </w:p>
        </w:tc>
      </w:tr>
      <w:tr w:rsidR="00C86459" w14:paraId="52C092D9" w14:textId="77777777" w:rsidTr="00C86459">
        <w:trPr>
          <w:trHeight w:val="240"/>
        </w:trPr>
        <w:tc>
          <w:tcPr>
            <w:tcW w:w="3225" w:type="dxa"/>
            <w:tcBorders>
              <w:left w:val="single" w:sz="4" w:space="0" w:color="000000"/>
              <w:bottom w:val="single" w:sz="4" w:space="0" w:color="000000"/>
            </w:tcBorders>
            <w:shd w:val="clear" w:color="auto" w:fill="auto"/>
          </w:tcPr>
          <w:p w14:paraId="5FB1769D" w14:textId="77777777" w:rsidR="00C86459" w:rsidRPr="00A1554D" w:rsidRDefault="00C86459" w:rsidP="00C86459">
            <w:pPr>
              <w:rPr>
                <w:lang w:val="en-GB"/>
              </w:rPr>
            </w:pPr>
            <w:r w:rsidRPr="00A1554D">
              <w:rPr>
                <w:rFonts w:ascii="Open Sans" w:hAnsi="Open Sans" w:cs="Open Sans"/>
                <w:color w:val="00000A"/>
                <w:sz w:val="20"/>
                <w:szCs w:val="20"/>
                <w:lang w:val="en-GB"/>
              </w:rPr>
              <w:t>Trade Maps 3 Hong Kong Limited</w:t>
            </w:r>
          </w:p>
        </w:tc>
        <w:tc>
          <w:tcPr>
            <w:tcW w:w="3300" w:type="dxa"/>
            <w:tcBorders>
              <w:left w:val="single" w:sz="4" w:space="0" w:color="000000"/>
              <w:bottom w:val="single" w:sz="4" w:space="0" w:color="000000"/>
            </w:tcBorders>
            <w:shd w:val="clear" w:color="auto" w:fill="auto"/>
          </w:tcPr>
          <w:p w14:paraId="36204C83" w14:textId="77777777" w:rsidR="00C86459" w:rsidRDefault="00C86459" w:rsidP="00C86459">
            <w:r>
              <w:rPr>
                <w:rFonts w:ascii="Open Sans" w:hAnsi="Open Sans" w:cs="Open Sans"/>
                <w:color w:val="00000A"/>
                <w:sz w:val="20"/>
                <w:szCs w:val="20"/>
              </w:rPr>
              <w:t>Hong Kong</w:t>
            </w:r>
          </w:p>
        </w:tc>
        <w:tc>
          <w:tcPr>
            <w:tcW w:w="2070" w:type="dxa"/>
            <w:tcBorders>
              <w:left w:val="single" w:sz="4" w:space="0" w:color="000000"/>
              <w:bottom w:val="single" w:sz="4" w:space="0" w:color="000000"/>
              <w:right w:val="single" w:sz="4" w:space="0" w:color="000000"/>
            </w:tcBorders>
            <w:shd w:val="clear" w:color="auto" w:fill="auto"/>
          </w:tcPr>
          <w:p w14:paraId="10241183" w14:textId="77777777" w:rsidR="00C86459" w:rsidRDefault="00C86459" w:rsidP="00C86459">
            <w:r>
              <w:rPr>
                <w:rFonts w:ascii="Open Sans" w:hAnsi="Open Sans" w:cs="Open Sans"/>
                <w:color w:val="00000A"/>
                <w:sz w:val="20"/>
                <w:szCs w:val="20"/>
              </w:rPr>
              <w:t xml:space="preserve">Titulización </w:t>
            </w:r>
          </w:p>
        </w:tc>
      </w:tr>
      <w:tr w:rsidR="00C86459" w14:paraId="532FC83B" w14:textId="77777777" w:rsidTr="00C86459">
        <w:trPr>
          <w:trHeight w:val="240"/>
        </w:trPr>
        <w:tc>
          <w:tcPr>
            <w:tcW w:w="3225" w:type="dxa"/>
            <w:tcBorders>
              <w:left w:val="single" w:sz="4" w:space="0" w:color="000000"/>
              <w:bottom w:val="single" w:sz="4" w:space="0" w:color="000000"/>
            </w:tcBorders>
            <w:shd w:val="clear" w:color="auto" w:fill="auto"/>
          </w:tcPr>
          <w:p w14:paraId="40CE7AE1" w14:textId="77777777" w:rsidR="00C86459" w:rsidRDefault="00C86459" w:rsidP="00C86459">
            <w:r>
              <w:rPr>
                <w:rFonts w:ascii="Open Sans" w:hAnsi="Open Sans" w:cs="Open Sans"/>
                <w:color w:val="00000A"/>
                <w:sz w:val="20"/>
                <w:szCs w:val="20"/>
              </w:rPr>
              <w:t>Trade Maps 3 Ireland Limited</w:t>
            </w:r>
          </w:p>
        </w:tc>
        <w:tc>
          <w:tcPr>
            <w:tcW w:w="3300" w:type="dxa"/>
            <w:tcBorders>
              <w:left w:val="single" w:sz="4" w:space="0" w:color="000000"/>
              <w:bottom w:val="single" w:sz="4" w:space="0" w:color="000000"/>
            </w:tcBorders>
            <w:shd w:val="clear" w:color="auto" w:fill="auto"/>
          </w:tcPr>
          <w:p w14:paraId="4C4CE0BB"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3C563B5A" w14:textId="77777777" w:rsidR="00C86459" w:rsidRDefault="00C86459" w:rsidP="00C86459">
            <w:r>
              <w:rPr>
                <w:rFonts w:ascii="Open Sans" w:hAnsi="Open Sans" w:cs="Open Sans"/>
                <w:color w:val="00000A"/>
                <w:sz w:val="20"/>
                <w:szCs w:val="20"/>
              </w:rPr>
              <w:t xml:space="preserve">Titulización </w:t>
            </w:r>
          </w:p>
        </w:tc>
      </w:tr>
      <w:tr w:rsidR="00C86459" w14:paraId="7F0FDBC5" w14:textId="77777777" w:rsidTr="00C86459">
        <w:trPr>
          <w:trHeight w:val="240"/>
        </w:trPr>
        <w:tc>
          <w:tcPr>
            <w:tcW w:w="3225" w:type="dxa"/>
            <w:tcBorders>
              <w:left w:val="single" w:sz="4" w:space="0" w:color="000000"/>
              <w:bottom w:val="single" w:sz="4" w:space="0" w:color="000000"/>
            </w:tcBorders>
            <w:shd w:val="clear" w:color="auto" w:fill="auto"/>
          </w:tcPr>
          <w:p w14:paraId="6B2165C9" w14:textId="77777777" w:rsidR="00C86459" w:rsidRPr="00A1554D" w:rsidRDefault="00C86459" w:rsidP="00C86459">
            <w:pPr>
              <w:rPr>
                <w:lang w:val="en-GB"/>
              </w:rPr>
            </w:pPr>
            <w:r w:rsidRPr="00A1554D">
              <w:rPr>
                <w:rFonts w:ascii="Open Sans" w:hAnsi="Open Sans" w:cs="Open Sans"/>
                <w:sz w:val="20"/>
                <w:szCs w:val="20"/>
                <w:lang w:val="en-GB"/>
              </w:rPr>
              <w:t>Unicorn Shipping One Designated Activity Company</w:t>
            </w:r>
          </w:p>
        </w:tc>
        <w:tc>
          <w:tcPr>
            <w:tcW w:w="3300" w:type="dxa"/>
            <w:tcBorders>
              <w:left w:val="single" w:sz="4" w:space="0" w:color="000000"/>
              <w:bottom w:val="single" w:sz="4" w:space="0" w:color="000000"/>
            </w:tcBorders>
            <w:shd w:val="clear" w:color="auto" w:fill="auto"/>
          </w:tcPr>
          <w:p w14:paraId="7B4AAE80" w14:textId="77777777" w:rsidR="00C86459" w:rsidRDefault="00C86459" w:rsidP="00C86459">
            <w:r>
              <w:rPr>
                <w:rFonts w:ascii="Open Sans" w:hAnsi="Open Sans" w:cs="Open Sans"/>
                <w:sz w:val="20"/>
                <w:szCs w:val="20"/>
              </w:rPr>
              <w:t>Irlanda</w:t>
            </w:r>
          </w:p>
        </w:tc>
        <w:tc>
          <w:tcPr>
            <w:tcW w:w="2070" w:type="dxa"/>
            <w:tcBorders>
              <w:left w:val="single" w:sz="4" w:space="0" w:color="000000"/>
              <w:bottom w:val="single" w:sz="4" w:space="0" w:color="000000"/>
              <w:right w:val="single" w:sz="4" w:space="0" w:color="000000"/>
            </w:tcBorders>
            <w:shd w:val="clear" w:color="auto" w:fill="auto"/>
          </w:tcPr>
          <w:p w14:paraId="7B1566A6" w14:textId="77777777" w:rsidR="00C86459" w:rsidRDefault="00C86459" w:rsidP="00C86459">
            <w:r>
              <w:rPr>
                <w:rFonts w:ascii="Open Sans" w:hAnsi="Open Sans" w:cs="Open Sans"/>
                <w:sz w:val="20"/>
                <w:szCs w:val="20"/>
              </w:rPr>
              <w:t>Leasing</w:t>
            </w:r>
          </w:p>
        </w:tc>
      </w:tr>
      <w:tr w:rsidR="00C86459" w14:paraId="7F0CBCAC" w14:textId="77777777" w:rsidTr="00C86459">
        <w:trPr>
          <w:trHeight w:val="240"/>
        </w:trPr>
        <w:tc>
          <w:tcPr>
            <w:tcW w:w="3225" w:type="dxa"/>
            <w:tcBorders>
              <w:left w:val="single" w:sz="4" w:space="0" w:color="000000"/>
              <w:bottom w:val="single" w:sz="4" w:space="0" w:color="000000"/>
            </w:tcBorders>
            <w:shd w:val="clear" w:color="auto" w:fill="auto"/>
          </w:tcPr>
          <w:p w14:paraId="1E6F234F" w14:textId="77777777" w:rsidR="00C86459" w:rsidRDefault="00C86459" w:rsidP="00C86459">
            <w:r>
              <w:rPr>
                <w:rFonts w:ascii="Open Sans" w:hAnsi="Open Sans" w:cs="Open Sans"/>
                <w:sz w:val="20"/>
                <w:szCs w:val="20"/>
              </w:rPr>
              <w:t>Universia Paraguay, S.A.</w:t>
            </w:r>
          </w:p>
        </w:tc>
        <w:tc>
          <w:tcPr>
            <w:tcW w:w="3300" w:type="dxa"/>
            <w:tcBorders>
              <w:left w:val="single" w:sz="4" w:space="0" w:color="000000"/>
              <w:bottom w:val="single" w:sz="4" w:space="0" w:color="000000"/>
            </w:tcBorders>
            <w:shd w:val="clear" w:color="auto" w:fill="auto"/>
          </w:tcPr>
          <w:p w14:paraId="28AA423A" w14:textId="77777777" w:rsidR="00C86459" w:rsidRDefault="00C86459" w:rsidP="00C86459">
            <w:r>
              <w:rPr>
                <w:rFonts w:ascii="Open Sans" w:hAnsi="Open Sans" w:cs="Open Sans"/>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26BB6B36" w14:textId="77777777" w:rsidR="00C86459" w:rsidRDefault="00C86459" w:rsidP="00C86459">
            <w:r>
              <w:rPr>
                <w:rFonts w:ascii="Open Sans" w:hAnsi="Open Sans" w:cs="Open Sans"/>
                <w:sz w:val="20"/>
                <w:szCs w:val="20"/>
              </w:rPr>
              <w:t>Internet</w:t>
            </w:r>
          </w:p>
        </w:tc>
      </w:tr>
      <w:tr w:rsidR="00C86459" w14:paraId="49784B95" w14:textId="77777777" w:rsidTr="00C86459">
        <w:trPr>
          <w:trHeight w:val="192"/>
        </w:trPr>
        <w:tc>
          <w:tcPr>
            <w:tcW w:w="3225" w:type="dxa"/>
            <w:tcBorders>
              <w:left w:val="single" w:sz="4" w:space="0" w:color="000000"/>
              <w:bottom w:val="single" w:sz="4" w:space="0" w:color="000000"/>
            </w:tcBorders>
            <w:shd w:val="clear" w:color="auto" w:fill="auto"/>
          </w:tcPr>
          <w:p w14:paraId="26AF0C52" w14:textId="77777777" w:rsidR="00C86459" w:rsidRDefault="00C86459" w:rsidP="00C86459">
            <w:r>
              <w:rPr>
                <w:rFonts w:ascii="Open Sans" w:hAnsi="Open Sans" w:cs="Open Sans"/>
                <w:sz w:val="20"/>
                <w:szCs w:val="20"/>
              </w:rPr>
              <w:t>Universia Puerto Rico, Inc</w:t>
            </w:r>
          </w:p>
        </w:tc>
        <w:tc>
          <w:tcPr>
            <w:tcW w:w="3300" w:type="dxa"/>
            <w:tcBorders>
              <w:left w:val="single" w:sz="4" w:space="0" w:color="000000"/>
              <w:bottom w:val="single" w:sz="4" w:space="0" w:color="000000"/>
            </w:tcBorders>
            <w:shd w:val="clear" w:color="auto" w:fill="auto"/>
          </w:tcPr>
          <w:p w14:paraId="247866C1" w14:textId="77777777" w:rsidR="00C86459" w:rsidRDefault="00C86459" w:rsidP="00C86459">
            <w:r>
              <w:rPr>
                <w:rFonts w:ascii="Open Sans" w:hAnsi="Open Sans" w:cs="Open Sans"/>
                <w:sz w:val="20"/>
                <w:szCs w:val="20"/>
              </w:rPr>
              <w:t>Puerto Rico</w:t>
            </w:r>
          </w:p>
        </w:tc>
        <w:tc>
          <w:tcPr>
            <w:tcW w:w="2070" w:type="dxa"/>
            <w:tcBorders>
              <w:left w:val="single" w:sz="4" w:space="0" w:color="000000"/>
              <w:bottom w:val="single" w:sz="4" w:space="0" w:color="000000"/>
              <w:right w:val="single" w:sz="4" w:space="0" w:color="000000"/>
            </w:tcBorders>
            <w:shd w:val="clear" w:color="auto" w:fill="auto"/>
          </w:tcPr>
          <w:p w14:paraId="3A0AC019" w14:textId="77777777" w:rsidR="00C86459" w:rsidRDefault="00C86459" w:rsidP="00C86459">
            <w:r>
              <w:rPr>
                <w:rFonts w:ascii="Open Sans" w:hAnsi="Open Sans" w:cs="Open Sans"/>
                <w:sz w:val="20"/>
                <w:szCs w:val="20"/>
              </w:rPr>
              <w:t>Internet</w:t>
            </w:r>
          </w:p>
        </w:tc>
      </w:tr>
      <w:tr w:rsidR="00C86459" w14:paraId="1F061BB1" w14:textId="77777777" w:rsidTr="00C86459">
        <w:trPr>
          <w:trHeight w:val="240"/>
        </w:trPr>
        <w:tc>
          <w:tcPr>
            <w:tcW w:w="3225" w:type="dxa"/>
            <w:tcBorders>
              <w:left w:val="single" w:sz="4" w:space="0" w:color="000000"/>
              <w:bottom w:val="single" w:sz="4" w:space="0" w:color="000000"/>
            </w:tcBorders>
            <w:shd w:val="clear" w:color="auto" w:fill="auto"/>
          </w:tcPr>
          <w:p w14:paraId="26F87E6E" w14:textId="77777777" w:rsidR="00C86459" w:rsidRDefault="00C86459" w:rsidP="00C86459">
            <w:r>
              <w:rPr>
                <w:rFonts w:ascii="Open Sans" w:hAnsi="Open Sans" w:cs="Open Sans"/>
                <w:color w:val="00000A"/>
                <w:sz w:val="20"/>
                <w:szCs w:val="20"/>
              </w:rPr>
              <w:t>Waypoint Capital Trust I</w:t>
            </w:r>
          </w:p>
        </w:tc>
        <w:tc>
          <w:tcPr>
            <w:tcW w:w="3300" w:type="dxa"/>
            <w:tcBorders>
              <w:left w:val="single" w:sz="4" w:space="0" w:color="000000"/>
              <w:bottom w:val="single" w:sz="4" w:space="0" w:color="000000"/>
            </w:tcBorders>
            <w:shd w:val="clear" w:color="auto" w:fill="auto"/>
          </w:tcPr>
          <w:p w14:paraId="2616F9A2" w14:textId="77777777" w:rsidR="00C86459" w:rsidRDefault="00C86459" w:rsidP="00C86459">
            <w:r>
              <w:rPr>
                <w:rFonts w:ascii="Open Sans" w:hAnsi="Open Sans" w:cs="Open Sans"/>
                <w:color w:val="00000A"/>
                <w:sz w:val="20"/>
                <w:szCs w:val="20"/>
              </w:rPr>
              <w:t>Delaware</w:t>
            </w:r>
          </w:p>
        </w:tc>
        <w:tc>
          <w:tcPr>
            <w:tcW w:w="2070" w:type="dxa"/>
            <w:tcBorders>
              <w:left w:val="single" w:sz="4" w:space="0" w:color="000000"/>
              <w:bottom w:val="single" w:sz="4" w:space="0" w:color="000000"/>
              <w:right w:val="single" w:sz="4" w:space="0" w:color="000000"/>
            </w:tcBorders>
            <w:shd w:val="clear" w:color="auto" w:fill="auto"/>
          </w:tcPr>
          <w:p w14:paraId="5A73941E" w14:textId="77777777" w:rsidR="00C86459" w:rsidRDefault="00C86459" w:rsidP="00C86459">
            <w:r>
              <w:rPr>
                <w:rFonts w:ascii="Open Sans" w:hAnsi="Open Sans" w:cs="Open Sans"/>
                <w:color w:val="00000A"/>
                <w:sz w:val="20"/>
                <w:szCs w:val="20"/>
              </w:rPr>
              <w:t>Sin actividad</w:t>
            </w:r>
          </w:p>
        </w:tc>
      </w:tr>
      <w:tr w:rsidR="00C86459" w14:paraId="3B3608D5" w14:textId="77777777" w:rsidTr="00C86459">
        <w:trPr>
          <w:trHeight w:val="240"/>
        </w:trPr>
        <w:tc>
          <w:tcPr>
            <w:tcW w:w="3225" w:type="dxa"/>
            <w:tcBorders>
              <w:left w:val="single" w:sz="4" w:space="0" w:color="000000"/>
              <w:bottom w:val="single" w:sz="4" w:space="0" w:color="000000"/>
            </w:tcBorders>
            <w:shd w:val="clear" w:color="auto" w:fill="auto"/>
          </w:tcPr>
          <w:p w14:paraId="48611224" w14:textId="77777777" w:rsidR="00C86459" w:rsidRDefault="00C86459" w:rsidP="00C86459">
            <w:r>
              <w:rPr>
                <w:rFonts w:ascii="Open Sans" w:hAnsi="Open Sans" w:cs="Open Sans"/>
                <w:color w:val="00000A"/>
                <w:sz w:val="20"/>
                <w:szCs w:val="20"/>
              </w:rPr>
              <w:t>Whitewick Limited</w:t>
            </w:r>
          </w:p>
        </w:tc>
        <w:tc>
          <w:tcPr>
            <w:tcW w:w="3300" w:type="dxa"/>
            <w:tcBorders>
              <w:left w:val="single" w:sz="4" w:space="0" w:color="000000"/>
              <w:bottom w:val="single" w:sz="4" w:space="0" w:color="000000"/>
            </w:tcBorders>
            <w:shd w:val="clear" w:color="auto" w:fill="auto"/>
          </w:tcPr>
          <w:p w14:paraId="4F01DBCC" w14:textId="77777777" w:rsidR="00C86459" w:rsidRDefault="00C86459" w:rsidP="00C86459">
            <w:r>
              <w:rPr>
                <w:rFonts w:ascii="Open Sans" w:hAnsi="Open Sans" w:cs="Open Sans"/>
                <w:color w:val="00000A"/>
                <w:sz w:val="20"/>
                <w:szCs w:val="20"/>
              </w:rPr>
              <w:t>Jersey</w:t>
            </w:r>
          </w:p>
        </w:tc>
        <w:tc>
          <w:tcPr>
            <w:tcW w:w="2070" w:type="dxa"/>
            <w:tcBorders>
              <w:left w:val="single" w:sz="4" w:space="0" w:color="000000"/>
              <w:bottom w:val="single" w:sz="4" w:space="0" w:color="000000"/>
              <w:right w:val="single" w:sz="4" w:space="0" w:color="000000"/>
            </w:tcBorders>
            <w:shd w:val="clear" w:color="auto" w:fill="auto"/>
          </w:tcPr>
          <w:p w14:paraId="155A1075" w14:textId="77777777" w:rsidR="00C86459" w:rsidRDefault="00C86459" w:rsidP="00C86459">
            <w:r>
              <w:rPr>
                <w:rFonts w:ascii="Open Sans" w:hAnsi="Open Sans" w:cs="Open Sans"/>
                <w:color w:val="00000A"/>
                <w:sz w:val="20"/>
                <w:szCs w:val="20"/>
              </w:rPr>
              <w:t>Sin actividad</w:t>
            </w:r>
          </w:p>
        </w:tc>
      </w:tr>
      <w:tr w:rsidR="00C86459" w14:paraId="24C2BE45" w14:textId="77777777" w:rsidTr="00C86459">
        <w:trPr>
          <w:trHeight w:val="240"/>
        </w:trPr>
        <w:tc>
          <w:tcPr>
            <w:tcW w:w="3225" w:type="dxa"/>
            <w:tcBorders>
              <w:left w:val="single" w:sz="4" w:space="0" w:color="000000"/>
              <w:bottom w:val="single" w:sz="4" w:space="0" w:color="000000"/>
            </w:tcBorders>
            <w:shd w:val="clear" w:color="auto" w:fill="auto"/>
          </w:tcPr>
          <w:p w14:paraId="22FDB34A" w14:textId="77777777" w:rsidR="00C86459" w:rsidRDefault="00C86459" w:rsidP="00C86459">
            <w:r>
              <w:rPr>
                <w:rFonts w:ascii="Open Sans" w:hAnsi="Open Sans" w:cs="Open Sans"/>
                <w:color w:val="00000A"/>
                <w:sz w:val="20"/>
                <w:szCs w:val="20"/>
              </w:rPr>
              <w:t>WTW Shipping Limited</w:t>
            </w:r>
          </w:p>
        </w:tc>
        <w:tc>
          <w:tcPr>
            <w:tcW w:w="3300" w:type="dxa"/>
            <w:tcBorders>
              <w:left w:val="single" w:sz="4" w:space="0" w:color="000000"/>
              <w:bottom w:val="single" w:sz="4" w:space="0" w:color="000000"/>
            </w:tcBorders>
            <w:shd w:val="clear" w:color="auto" w:fill="auto"/>
          </w:tcPr>
          <w:p w14:paraId="79D3E489" w14:textId="77777777" w:rsidR="00C86459" w:rsidRDefault="00C86459" w:rsidP="00C86459">
            <w:r>
              <w:rPr>
                <w:rFonts w:ascii="Open Sans" w:hAnsi="Open Sans" w:cs="Open Sans"/>
                <w:color w:val="00000A"/>
                <w:sz w:val="20"/>
                <w:szCs w:val="20"/>
              </w:rPr>
              <w:t xml:space="preserve">Irlanda </w:t>
            </w:r>
          </w:p>
        </w:tc>
        <w:tc>
          <w:tcPr>
            <w:tcW w:w="2070" w:type="dxa"/>
            <w:tcBorders>
              <w:left w:val="single" w:sz="4" w:space="0" w:color="000000"/>
              <w:bottom w:val="single" w:sz="4" w:space="0" w:color="000000"/>
              <w:right w:val="single" w:sz="4" w:space="0" w:color="000000"/>
            </w:tcBorders>
            <w:shd w:val="clear" w:color="auto" w:fill="auto"/>
          </w:tcPr>
          <w:p w14:paraId="50F366FC" w14:textId="77777777" w:rsidR="00C86459" w:rsidRDefault="00C86459" w:rsidP="00C86459">
            <w:r>
              <w:rPr>
                <w:rFonts w:ascii="Open Sans" w:hAnsi="Open Sans" w:cs="Open Sans"/>
                <w:color w:val="00000A"/>
                <w:sz w:val="20"/>
                <w:szCs w:val="20"/>
              </w:rPr>
              <w:t>Leasing</w:t>
            </w:r>
          </w:p>
        </w:tc>
      </w:tr>
      <w:tr w:rsidR="00C86459" w14:paraId="626B1082" w14:textId="77777777" w:rsidTr="00C86459">
        <w:trPr>
          <w:trHeight w:val="240"/>
        </w:trPr>
        <w:tc>
          <w:tcPr>
            <w:tcW w:w="3225" w:type="dxa"/>
            <w:tcBorders>
              <w:left w:val="single" w:sz="4" w:space="0" w:color="000000"/>
              <w:bottom w:val="single" w:sz="4" w:space="0" w:color="000000"/>
            </w:tcBorders>
            <w:shd w:val="clear" w:color="auto" w:fill="auto"/>
          </w:tcPr>
          <w:p w14:paraId="5E0A260C" w14:textId="77777777" w:rsidR="00C86459" w:rsidRDefault="00C86459" w:rsidP="00C86459">
            <w:r>
              <w:rPr>
                <w:rFonts w:ascii="Open Sans" w:hAnsi="Open Sans" w:cs="Open Sans"/>
                <w:color w:val="00000A"/>
                <w:sz w:val="20"/>
                <w:szCs w:val="20"/>
              </w:rPr>
              <w:t>Zurich Santander Seguros Uruguay S.A.</w:t>
            </w:r>
          </w:p>
        </w:tc>
        <w:tc>
          <w:tcPr>
            <w:tcW w:w="3300" w:type="dxa"/>
            <w:tcBorders>
              <w:left w:val="single" w:sz="4" w:space="0" w:color="000000"/>
              <w:bottom w:val="single" w:sz="4" w:space="0" w:color="000000"/>
            </w:tcBorders>
            <w:shd w:val="clear" w:color="auto" w:fill="auto"/>
          </w:tcPr>
          <w:p w14:paraId="4662710D" w14:textId="77777777" w:rsidR="00C86459" w:rsidRDefault="00C86459" w:rsidP="00C86459">
            <w:r>
              <w:rPr>
                <w:rFonts w:ascii="Open Sans" w:hAnsi="Open Sans" w:cs="Open Sans"/>
                <w:color w:val="00000A"/>
                <w:sz w:val="20"/>
                <w:szCs w:val="20"/>
              </w:rPr>
              <w:t>Uruguay</w:t>
            </w:r>
          </w:p>
        </w:tc>
        <w:tc>
          <w:tcPr>
            <w:tcW w:w="2070" w:type="dxa"/>
            <w:tcBorders>
              <w:left w:val="single" w:sz="4" w:space="0" w:color="000000"/>
              <w:bottom w:val="single" w:sz="4" w:space="0" w:color="000000"/>
              <w:right w:val="single" w:sz="4" w:space="0" w:color="000000"/>
            </w:tcBorders>
            <w:shd w:val="clear" w:color="auto" w:fill="auto"/>
          </w:tcPr>
          <w:p w14:paraId="4997DFA1" w14:textId="77777777" w:rsidR="00C86459" w:rsidRDefault="00C86459" w:rsidP="00C86459">
            <w:r>
              <w:rPr>
                <w:rFonts w:ascii="Open Sans" w:hAnsi="Open Sans" w:cs="Open Sans"/>
                <w:color w:val="00000A"/>
                <w:sz w:val="20"/>
                <w:szCs w:val="20"/>
              </w:rPr>
              <w:t>Seguros</w:t>
            </w:r>
          </w:p>
        </w:tc>
      </w:tr>
    </w:tbl>
    <w:p w14:paraId="40653015" w14:textId="77777777" w:rsidR="00C86459" w:rsidRDefault="00C86459" w:rsidP="00C86459">
      <w:pPr>
        <w:ind w:left="1800"/>
        <w:jc w:val="both"/>
        <w:rPr>
          <w:rFonts w:ascii="Open Sans" w:hAnsi="Open Sans" w:cs="Open Sans"/>
          <w:bCs/>
          <w:sz w:val="20"/>
          <w:szCs w:val="20"/>
        </w:rPr>
      </w:pPr>
    </w:p>
    <w:p w14:paraId="04F25BD7" w14:textId="77777777" w:rsidR="00C86459" w:rsidRDefault="00C86459" w:rsidP="00C86459">
      <w:pPr>
        <w:rPr>
          <w:rFonts w:ascii="Open Sans" w:hAnsi="Open Sans" w:cs="Open Sans"/>
          <w:bCs/>
          <w:sz w:val="20"/>
          <w:szCs w:val="20"/>
        </w:rPr>
      </w:pPr>
    </w:p>
    <w:p w14:paraId="60BA0226" w14:textId="77777777" w:rsidR="00C86459" w:rsidRDefault="00C86459" w:rsidP="00C86459">
      <w:pPr>
        <w:pStyle w:val="Normal1"/>
        <w:jc w:val="both"/>
      </w:pPr>
      <w:r>
        <w:rPr>
          <w:rFonts w:ascii="Open Sans" w:eastAsia="Arial" w:hAnsi="Open Sans" w:cs="Open Sans"/>
          <w:sz w:val="20"/>
        </w:rPr>
        <w:t>La información relativa a las entidades en territorios off-shore se ha obtenido del Informe de las Cuentas Anuales Consolidadas del Grupo Santander 2015, Anexo I, Anexo II, Anexo III, Nota 3c) de las cuestas anuales e Informe Anual de Gobierno Corporativo. Ni en el Informe Anual 2015 ni el Informe de Sostenibilidad de 2015 existe mención a tales sociedades. De nuevo se recomienda la una mayor transparencia sobre este aspecto para cumplir con los principios de buena gobernanza fiscal.</w:t>
      </w:r>
    </w:p>
    <w:p w14:paraId="5AF14ABD" w14:textId="77777777" w:rsidR="00C86459" w:rsidRDefault="00C86459" w:rsidP="00C86459">
      <w:pPr>
        <w:pStyle w:val="Normal1"/>
        <w:jc w:val="both"/>
      </w:pPr>
    </w:p>
    <w:p w14:paraId="75CD13D1" w14:textId="77777777" w:rsidR="00C86459" w:rsidRDefault="00C86459" w:rsidP="00C86459">
      <w:pPr>
        <w:jc w:val="both"/>
      </w:pPr>
      <w:r>
        <w:rPr>
          <w:rFonts w:ascii="Open Sans" w:eastAsia="Arial" w:hAnsi="Open Sans" w:cs="Open Sans"/>
          <w:bCs/>
          <w:sz w:val="20"/>
          <w:szCs w:val="20"/>
        </w:rPr>
        <w:t>Principalmente l</w:t>
      </w:r>
      <w:r>
        <w:rPr>
          <w:rFonts w:ascii="Open Sans" w:eastAsia="Arial" w:hAnsi="Open Sans" w:cs="Open Sans"/>
          <w:color w:val="000000"/>
          <w:sz w:val="20"/>
          <w:szCs w:val="20"/>
        </w:rPr>
        <w:t>a actividad realizada por la empresa en paraísos/nichos fiscales está relacionada con su actividad principal. A</w:t>
      </w:r>
      <w:r>
        <w:rPr>
          <w:rFonts w:ascii="Open Sans" w:eastAsia="Arial" w:hAnsi="Open Sans" w:cs="Open Sans"/>
          <w:bCs/>
          <w:sz w:val="20"/>
          <w:szCs w:val="20"/>
        </w:rPr>
        <w:t>unque hay algunas sociedades con actividades dispares como la compra - venta de metales preciosos o la explotación de energía eléctrica.</w:t>
      </w:r>
    </w:p>
    <w:p w14:paraId="577E2CFD" w14:textId="77777777" w:rsidR="00C86459" w:rsidRDefault="00C86459" w:rsidP="00C86459">
      <w:pPr>
        <w:ind w:left="1800"/>
        <w:jc w:val="both"/>
        <w:rPr>
          <w:rFonts w:ascii="Open Sans" w:hAnsi="Open Sans" w:cs="Open Sans"/>
          <w:bCs/>
          <w:sz w:val="20"/>
          <w:szCs w:val="20"/>
        </w:rPr>
      </w:pPr>
    </w:p>
    <w:p w14:paraId="1E90CDB0" w14:textId="77777777" w:rsidR="00C86459" w:rsidRDefault="00C86459" w:rsidP="00C86459">
      <w:pPr>
        <w:pStyle w:val="Normal1"/>
        <w:jc w:val="both"/>
      </w:pPr>
      <w:r>
        <w:rPr>
          <w:rFonts w:ascii="Open Sans" w:eastAsia="Arial" w:hAnsi="Open Sans" w:cs="Open Sans"/>
          <w:sz w:val="20"/>
        </w:rPr>
        <w:t>Los datos analizados siguiendo la metodología del Observatorio contrastan con los proporcionados por Banco Santander en la Nota 3c) de las CCAA Consolidadas 2015. En este apartado la entidad proporciona información sobre las sociedades presentes en territorios off-shore, reconociendo un total de 10 filiales. Siguiendo la misma argumentación del ejercicio anterior, apunta que estos territorios off-shore no son considerados paraísos fiscales por la OCDE ni por la Comisión Europea.  En 2014 declaró 11 sociedades y se preveía liquidar 7 en los próximos ejercicios, de las cuales sólo se ha liquidado una.  Del resto, 3 están en liquidación y en los próximos ejercicios planea liquidar cuatro filiales más (1 emisora y 3 con poca actividad). A finales de 2015 estas sociedades ocupan a 118 empleados.</w:t>
      </w:r>
    </w:p>
    <w:p w14:paraId="342FA25E" w14:textId="77777777" w:rsidR="00C86459" w:rsidRDefault="00C86459" w:rsidP="00C86459">
      <w:pPr>
        <w:pStyle w:val="Normal1"/>
        <w:jc w:val="both"/>
        <w:rPr>
          <w:rFonts w:ascii="Open Sans" w:hAnsi="Open Sans" w:cs="Open Sans"/>
          <w:sz w:val="20"/>
        </w:rPr>
      </w:pPr>
    </w:p>
    <w:p w14:paraId="2274CA4A" w14:textId="77777777" w:rsidR="00C86459" w:rsidRDefault="00C86459" w:rsidP="00C86459">
      <w:pPr>
        <w:pStyle w:val="Normal1"/>
        <w:jc w:val="both"/>
      </w:pPr>
      <w:r>
        <w:rPr>
          <w:rFonts w:ascii="Open Sans" w:eastAsia="Arial" w:hAnsi="Open Sans" w:cs="Open Sans"/>
          <w:sz w:val="20"/>
        </w:rPr>
        <w:t xml:space="preserve">A pesar de mantener la política de reducir su presencia en estos territorios, el grupo declara su presencia en Islas Caimán, Isla de Man y Jersey a través de Sucursales que se mantendrán activas.  Estas sucursales integran su balance y cuenta de resultados en sus correspondientes matrices extranjeras. </w:t>
      </w:r>
    </w:p>
    <w:p w14:paraId="75814010" w14:textId="77777777" w:rsidR="00C86459" w:rsidRDefault="00C86459" w:rsidP="00C86459">
      <w:pPr>
        <w:pStyle w:val="Normal1"/>
        <w:jc w:val="both"/>
        <w:rPr>
          <w:rFonts w:ascii="Open Sans" w:hAnsi="Open Sans" w:cs="Open Sans"/>
          <w:sz w:val="20"/>
        </w:rPr>
      </w:pPr>
    </w:p>
    <w:p w14:paraId="7A839514" w14:textId="77777777" w:rsidR="00C86459" w:rsidRDefault="00C86459" w:rsidP="00C86459">
      <w:pPr>
        <w:pStyle w:val="Normal1"/>
        <w:jc w:val="both"/>
      </w:pPr>
      <w:r>
        <w:rPr>
          <w:rFonts w:ascii="Open Sans" w:eastAsia="Arial" w:hAnsi="Open Sans" w:cs="Open Sans"/>
          <w:sz w:val="20"/>
        </w:rPr>
        <w:t xml:space="preserve">En </w:t>
      </w:r>
      <w:r w:rsidRPr="006E0168">
        <w:rPr>
          <w:rFonts w:ascii="Open Sans" w:eastAsia="Arial" w:hAnsi="Open Sans" w:cs="Open Sans"/>
          <w:sz w:val="20"/>
        </w:rPr>
        <w:t>2015, España ha</w:t>
      </w:r>
      <w:r>
        <w:rPr>
          <w:rFonts w:ascii="Open Sans" w:eastAsia="Arial" w:hAnsi="Open Sans" w:cs="Open Sans"/>
          <w:sz w:val="20"/>
        </w:rPr>
        <w:t xml:space="preserve"> firmado acuerdos de intercambios de información con Jersey, Guernsey e Isla de Man, y en un futuro con Islas Caimán. En el momento de su entrada en vigor dejarán de considerarse paraíso fiscal según la legislación española. De modo que es de esperar que en futuros ejercicios la entidad declare que no tiene presencia en territorios off-shore, no porque haya liquidado sus sociedades en estos países sino por el cambio de consideración según los criterios de la legislación española. </w:t>
      </w:r>
    </w:p>
    <w:p w14:paraId="24FB166E" w14:textId="77777777" w:rsidR="00C86459" w:rsidRDefault="00C86459" w:rsidP="00C86459">
      <w:pPr>
        <w:pStyle w:val="Normal1"/>
        <w:jc w:val="both"/>
        <w:rPr>
          <w:rFonts w:ascii="Open Sans" w:hAnsi="Open Sans" w:cs="Open Sans"/>
          <w:sz w:val="20"/>
        </w:rPr>
      </w:pPr>
    </w:p>
    <w:p w14:paraId="4F983EAB" w14:textId="77777777" w:rsidR="00C86459" w:rsidRDefault="00C86459" w:rsidP="00C86459">
      <w:pPr>
        <w:pStyle w:val="Normal1"/>
        <w:jc w:val="both"/>
      </w:pPr>
      <w:r>
        <w:rPr>
          <w:rFonts w:ascii="Open Sans" w:eastAsia="Arial" w:hAnsi="Open Sans" w:cs="Open Sans"/>
          <w:sz w:val="20"/>
        </w:rPr>
        <w:t>La entidad afirma que aplica procedimientos de control y gestión para evitar riesgos reputacionales y legales, pero no da información concreta sobre los resultados de los informes y revisiones para poder valorar el tipo de operatoria y relevancia de las actividades. Si bien es cierto que en los anexos de las CCAA Consolidadas 2015 se recogen datos sobre estas sociedades</w:t>
      </w:r>
      <w:proofErr w:type="gramStart"/>
      <w:r>
        <w:rPr>
          <w:rFonts w:ascii="Open Sans" w:eastAsia="Arial" w:hAnsi="Open Sans" w:cs="Open Sans"/>
          <w:sz w:val="20"/>
        </w:rPr>
        <w:t>:  resultados</w:t>
      </w:r>
      <w:proofErr w:type="gramEnd"/>
      <w:r>
        <w:rPr>
          <w:rFonts w:ascii="Open Sans" w:eastAsia="Arial" w:hAnsi="Open Sans" w:cs="Open Sans"/>
          <w:sz w:val="20"/>
        </w:rPr>
        <w:t xml:space="preserve"> individuales, capital e importe en libros que se incluyen no son representativos de sus operaciones. </w:t>
      </w:r>
    </w:p>
    <w:p w14:paraId="1EA9159E" w14:textId="77777777" w:rsidR="00C86459" w:rsidRDefault="00C86459" w:rsidP="00C86459">
      <w:pPr>
        <w:pStyle w:val="Normal1"/>
        <w:jc w:val="both"/>
        <w:rPr>
          <w:rFonts w:ascii="Open Sans" w:hAnsi="Open Sans" w:cs="Open Sans"/>
          <w:sz w:val="20"/>
        </w:rPr>
      </w:pPr>
    </w:p>
    <w:p w14:paraId="57AF0CAA" w14:textId="77777777" w:rsidR="00C86459" w:rsidRDefault="00C86459" w:rsidP="00C86459">
      <w:pPr>
        <w:pStyle w:val="Normal1"/>
        <w:jc w:val="both"/>
      </w:pPr>
      <w:r>
        <w:rPr>
          <w:rFonts w:ascii="Open Sans" w:eastAsia="Arial" w:hAnsi="Open Sans" w:cs="Open Sans"/>
          <w:sz w:val="20"/>
        </w:rPr>
        <w:t xml:space="preserve">En el Informe Anual de Gobierno Corporativo incluido en las CCAA Consolidadas se incorporan las operaciones intra grupo con las sociedades ubicadas en territorios off-shore. Se informa de la entidad, el tipo de operación, importe y los beneficios/pérdidas obtenidos por la sociedad. No hay datos sobre los precios de transferencia ni los impuestos pagados. Sería recomendable proporcionar información más detallada al respecto para valorar el impacto fiscal de dichas operaciones. </w:t>
      </w:r>
    </w:p>
    <w:p w14:paraId="7185AD6C" w14:textId="77777777" w:rsidR="00C86459" w:rsidRDefault="00C86459" w:rsidP="00C86459">
      <w:pPr>
        <w:pStyle w:val="Normal1"/>
        <w:jc w:val="both"/>
        <w:rPr>
          <w:rFonts w:ascii="Open Sans" w:eastAsia="Arial" w:hAnsi="Open Sans" w:cs="Open Sans"/>
          <w:sz w:val="20"/>
        </w:rPr>
      </w:pPr>
    </w:p>
    <w:p w14:paraId="305AF601" w14:textId="77777777" w:rsidR="00C86459" w:rsidRDefault="00C86459" w:rsidP="00C86459">
      <w:pPr>
        <w:pStyle w:val="Normal1"/>
        <w:tabs>
          <w:tab w:val="left" w:pos="7000"/>
        </w:tabs>
        <w:jc w:val="both"/>
        <w:rPr>
          <w:rFonts w:ascii="Open Sans" w:eastAsia="Arial" w:hAnsi="Open Sans" w:cs="Open Sans"/>
          <w:sz w:val="20"/>
        </w:rPr>
      </w:pPr>
      <w:r>
        <w:rPr>
          <w:rFonts w:ascii="Open Sans" w:eastAsia="Arial" w:hAnsi="Open Sans" w:cs="Open Sans"/>
          <w:sz w:val="20"/>
        </w:rPr>
        <w:t>Tal y como ya se comentó en el análisis de 2014, es importante resaltar el doble riesgo que entraña la presencia de entidades financieras en paraísos fiscales: por un lado, existe riesgo de elusión fiscal por parte de la propia empresa, es decir el riesgo que el Banco  Santander eluda impuestos en los países en los que opera a través de sociedades radicadas en territorios off-shore. Por otro, debe considerarse el riesgo de elusión fiscal por parte de los clientes del Grupo Santander. Así, la presencia de sociedades del Grupo Santander en territorios con baja o nula fiscalidad para no residentes, puede facilitar también la operativa de sus clientes en tales territorios, clientes que a su vez presentan también un incremento del riesgo de elusión fiscal. A diferencia de otras empresas, los bancos tienen acceso a una inmensa cantidad de financiación. Este capital, de acuerdo con Richard Brooks, puede ser utilizado como base para facilitar los mecanismos de evasión diseñados e implementados por otros de los que los bancos pueden beneficiarse, por ejemplo, a través de la participación en los beneficios fiscales directamente o por condiciones de los préstamos más rentables</w:t>
      </w:r>
      <w:r>
        <w:rPr>
          <w:rStyle w:val="Refdenotaalpie"/>
          <w:rFonts w:ascii="Open Sans" w:eastAsia="Arial" w:hAnsi="Open Sans" w:cs="Open Sans"/>
          <w:sz w:val="20"/>
        </w:rPr>
        <w:footnoteReference w:id="520"/>
      </w:r>
      <w:r>
        <w:rPr>
          <w:rFonts w:ascii="Open Sans" w:eastAsia="Arial" w:hAnsi="Open Sans" w:cs="Open Sans"/>
          <w:sz w:val="20"/>
        </w:rPr>
        <w:t>.</w:t>
      </w:r>
    </w:p>
    <w:p w14:paraId="2C9C6240" w14:textId="77777777" w:rsidR="00C86459" w:rsidRDefault="00C86459" w:rsidP="00C86459">
      <w:pPr>
        <w:pStyle w:val="Normal1"/>
        <w:tabs>
          <w:tab w:val="left" w:pos="7000"/>
        </w:tabs>
        <w:jc w:val="both"/>
        <w:rPr>
          <w:rFonts w:ascii="Open Sans" w:eastAsia="Arial" w:hAnsi="Open Sans" w:cs="Open Sans"/>
          <w:sz w:val="20"/>
        </w:rPr>
      </w:pPr>
    </w:p>
    <w:p w14:paraId="0671FB95" w14:textId="77777777" w:rsidR="00C86459" w:rsidRPr="00363C08" w:rsidRDefault="00C86459" w:rsidP="00C86459">
      <w:pPr>
        <w:pStyle w:val="Normal1"/>
        <w:tabs>
          <w:tab w:val="left" w:pos="7000"/>
        </w:tabs>
        <w:jc w:val="both"/>
        <w:rPr>
          <w:rFonts w:ascii="Open Sans" w:hAnsi="Open Sans" w:cs="Open Sans"/>
          <w:sz w:val="20"/>
        </w:rPr>
      </w:pPr>
      <w:r w:rsidRPr="00BD3267">
        <w:rPr>
          <w:rFonts w:ascii="Open Sans" w:eastAsia="Arial" w:hAnsi="Open Sans" w:cs="Open Sans"/>
          <w:sz w:val="20"/>
        </w:rPr>
        <w:t>En referencia a este aspecto, se han encontrado diversas noticias en los medios de comunicación que ponen en evidencia la materialización de estos riesgos fiscales. Según una noticia aparecida en El Confidencial</w:t>
      </w:r>
      <w:r w:rsidRPr="00BD3267">
        <w:rPr>
          <w:rStyle w:val="Refdenotaalpie"/>
          <w:rFonts w:ascii="Open Sans" w:eastAsia="Arial" w:hAnsi="Open Sans" w:cs="Open Sans"/>
          <w:sz w:val="20"/>
        </w:rPr>
        <w:footnoteReference w:id="521"/>
      </w:r>
      <w:r w:rsidRPr="00BD3267">
        <w:rPr>
          <w:rFonts w:ascii="Open Sans" w:eastAsia="Arial" w:hAnsi="Open Sans" w:cs="Open Sans"/>
          <w:sz w:val="20"/>
        </w:rPr>
        <w:t xml:space="preserve">, </w:t>
      </w:r>
      <w:r w:rsidRPr="00C3184C">
        <w:rPr>
          <w:rFonts w:ascii="Open Sans" w:eastAsia="Arial" w:hAnsi="Open Sans" w:cs="Open Sans"/>
          <w:sz w:val="20"/>
        </w:rPr>
        <w:t>Banco Santander creó en Bahamas, a través de su filial Santanter Bank &amp; Trust, 559 sociedades pantalla entre 1990 y 2015 para ocultar la identidad de sus clientes. De ellas, 380 siguen vigentes y 20 siguen pagando comisiones anuales de mantenimiento que cobra el registro de Bahamas. A remarcar que, la Comisión Europea consideró en 2015 a Bahamas como uno de los países ‘no cooperadores’ y es uno de los pocos que han rechazado, hasta la fecha, firmar el acuerdo global que impone el intercambio automático de información entre países establecido por la OCDE.</w:t>
      </w:r>
    </w:p>
    <w:p w14:paraId="5DCD3DCC" w14:textId="77777777" w:rsidR="00C86459" w:rsidRPr="00363C08" w:rsidRDefault="00C86459" w:rsidP="00C86459">
      <w:pPr>
        <w:pStyle w:val="Normal1"/>
        <w:tabs>
          <w:tab w:val="left" w:pos="7000"/>
        </w:tabs>
        <w:jc w:val="both"/>
        <w:rPr>
          <w:rFonts w:ascii="Open Sans" w:hAnsi="Open Sans" w:cs="Open Sans"/>
          <w:sz w:val="20"/>
        </w:rPr>
      </w:pPr>
    </w:p>
    <w:p w14:paraId="25C89D91" w14:textId="77777777" w:rsidR="00C86459" w:rsidRPr="00363C08" w:rsidRDefault="00C86459" w:rsidP="00C86459">
      <w:pPr>
        <w:pStyle w:val="Normal1"/>
        <w:tabs>
          <w:tab w:val="left" w:pos="7000"/>
        </w:tabs>
        <w:jc w:val="both"/>
        <w:rPr>
          <w:rFonts w:ascii="Open Sans" w:hAnsi="Open Sans" w:cs="Open Sans"/>
          <w:sz w:val="20"/>
        </w:rPr>
      </w:pPr>
      <w:r w:rsidRPr="00BD3267">
        <w:rPr>
          <w:rFonts w:ascii="Open Sans" w:hAnsi="Open Sans" w:cs="Open Sans"/>
          <w:sz w:val="20"/>
        </w:rPr>
        <w:t>Santander</w:t>
      </w:r>
      <w:r w:rsidRPr="00363C08">
        <w:rPr>
          <w:rFonts w:ascii="Open Sans" w:hAnsi="Open Sans" w:cs="Open Sans"/>
          <w:sz w:val="20"/>
        </w:rPr>
        <w:t xml:space="preserve"> también es una de las entidades investigadas a tras las sospechas</w:t>
      </w:r>
      <w:r>
        <w:rPr>
          <w:rFonts w:ascii="Open Sans" w:hAnsi="Open Sans" w:cs="Open Sans"/>
          <w:sz w:val="20"/>
        </w:rPr>
        <w:t xml:space="preserve"> que</w:t>
      </w:r>
      <w:r w:rsidRPr="00363C08">
        <w:rPr>
          <w:rFonts w:ascii="Open Sans" w:hAnsi="Open Sans" w:cs="Open Sans"/>
          <w:sz w:val="20"/>
        </w:rPr>
        <w:t xml:space="preserve"> se plantearon </w:t>
      </w:r>
      <w:r>
        <w:rPr>
          <w:rFonts w:ascii="Open Sans" w:hAnsi="Open Sans" w:cs="Open Sans"/>
          <w:sz w:val="20"/>
        </w:rPr>
        <w:t>sobre su implicación con HSBC para colaborar en</w:t>
      </w:r>
      <w:r w:rsidRPr="00363C08">
        <w:rPr>
          <w:rFonts w:ascii="Open Sans" w:hAnsi="Open Sans" w:cs="Open Sans"/>
          <w:sz w:val="20"/>
        </w:rPr>
        <w:t xml:space="preserve"> el lavado de dinero y evasión de impuestos por parte de algunos de sus clientes, en el curso de la investigaci</w:t>
      </w:r>
      <w:r w:rsidRPr="00BD3267">
        <w:rPr>
          <w:rFonts w:ascii="Open Sans" w:hAnsi="Open Sans" w:cs="Open Sans"/>
          <w:sz w:val="20"/>
        </w:rPr>
        <w:t xml:space="preserve">ón de la Lista Falciani. </w:t>
      </w:r>
      <w:r w:rsidRPr="00363C08">
        <w:rPr>
          <w:rFonts w:ascii="Open Sans" w:hAnsi="Open Sans" w:cs="Open Sans"/>
          <w:sz w:val="20"/>
        </w:rPr>
        <w:t>Emilio Botín, fue el más destacado nombre español en la lista de Falciani, junto con varios miembros de su familia; llegó a un acuerdo 200m € en la Agencia Tributaria española (10% de la suma evadida) para retirar los cargos por evasión de impuestos</w:t>
      </w:r>
      <w:r w:rsidRPr="00363C08">
        <w:rPr>
          <w:rStyle w:val="Refdenotaalpie"/>
          <w:rFonts w:ascii="Open Sans" w:hAnsi="Open Sans" w:cs="Open Sans"/>
          <w:sz w:val="20"/>
        </w:rPr>
        <w:footnoteReference w:id="522"/>
      </w:r>
      <w:r>
        <w:rPr>
          <w:rFonts w:ascii="Open Sans" w:hAnsi="Open Sans" w:cs="Open Sans"/>
          <w:sz w:val="20"/>
        </w:rPr>
        <w:t xml:space="preserve"> </w:t>
      </w:r>
      <w:r>
        <w:rPr>
          <w:rStyle w:val="Refdenotaalpie"/>
          <w:rFonts w:ascii="Open Sans" w:hAnsi="Open Sans" w:cs="Open Sans"/>
          <w:sz w:val="20"/>
        </w:rPr>
        <w:footnoteReference w:id="523"/>
      </w:r>
      <w:r w:rsidRPr="00363C08">
        <w:rPr>
          <w:rFonts w:ascii="Open Sans" w:hAnsi="Open Sans" w:cs="Open Sans"/>
          <w:sz w:val="20"/>
        </w:rPr>
        <w:t xml:space="preserve">. </w:t>
      </w:r>
    </w:p>
    <w:p w14:paraId="1C519114" w14:textId="77777777" w:rsidR="00C86459" w:rsidRDefault="00C86459" w:rsidP="00C86459">
      <w:pPr>
        <w:pStyle w:val="Normal1"/>
        <w:tabs>
          <w:tab w:val="left" w:pos="7000"/>
        </w:tabs>
        <w:jc w:val="both"/>
        <w:rPr>
          <w:rFonts w:ascii="Open Sans" w:hAnsi="Open Sans" w:cs="Open Sans"/>
          <w:sz w:val="20"/>
        </w:rPr>
      </w:pPr>
    </w:p>
    <w:p w14:paraId="00377819" w14:textId="77777777" w:rsidR="00C86459" w:rsidRPr="00363C08" w:rsidRDefault="00C86459" w:rsidP="00C86459">
      <w:pPr>
        <w:pStyle w:val="Normal1"/>
        <w:tabs>
          <w:tab w:val="left" w:pos="7000"/>
        </w:tabs>
        <w:jc w:val="both"/>
        <w:rPr>
          <w:rFonts w:ascii="Open Sans" w:hAnsi="Open Sans" w:cs="Open Sans"/>
          <w:sz w:val="20"/>
        </w:rPr>
      </w:pPr>
      <w:r>
        <w:rPr>
          <w:rFonts w:ascii="Open Sans" w:hAnsi="Open Sans" w:cs="Open Sans"/>
          <w:sz w:val="20"/>
        </w:rPr>
        <w:t>Recientemente se ha sabido que Banco de Santander está siendo investigado sobre</w:t>
      </w:r>
      <w:r w:rsidRPr="00C3184C">
        <w:rPr>
          <w:rFonts w:ascii="Open Sans" w:hAnsi="Open Sans" w:cs="Open Sans"/>
          <w:sz w:val="20"/>
        </w:rPr>
        <w:t xml:space="preserve"> cómo facturó el ex vicepresidente del Gobierno, Rodrigo Rato, los trabajos de asesoría que realizó para dos de los grandes bancos de nuestro país, Banco Santander y La Caixa</w:t>
      </w:r>
      <w:r>
        <w:rPr>
          <w:rFonts w:ascii="Open Sans" w:hAnsi="Open Sans" w:cs="Open Sans"/>
          <w:sz w:val="20"/>
        </w:rPr>
        <w:t>, ya que parece ser que “</w:t>
      </w:r>
      <w:r w:rsidRPr="00C3184C">
        <w:rPr>
          <w:rFonts w:ascii="Open Sans" w:hAnsi="Open Sans" w:cs="Open Sans"/>
          <w:sz w:val="20"/>
        </w:rPr>
        <w:t>cobró parte de sus labores de asesoría en ambas entidades a través de alguna de las empresas pantalla investigadas en esta causa para evitar así declarar las mismas a través del Impuesto de la Renta de las Personas Físicas (IRPF) y hacerlo, en contraposición, a través del Impuesto de Sociedades, lo que le suponía eludir parte del pago de sus obligaciones fiscales</w:t>
      </w:r>
      <w:r>
        <w:rPr>
          <w:rFonts w:ascii="Open Sans" w:hAnsi="Open Sans" w:cs="Open Sans"/>
          <w:sz w:val="20"/>
        </w:rPr>
        <w:t>”</w:t>
      </w:r>
      <w:r>
        <w:rPr>
          <w:rStyle w:val="Refdenotaalpie"/>
          <w:rFonts w:ascii="Open Sans" w:hAnsi="Open Sans" w:cs="Open Sans"/>
          <w:sz w:val="20"/>
        </w:rPr>
        <w:footnoteReference w:id="524"/>
      </w:r>
      <w:r w:rsidRPr="00C3184C">
        <w:rPr>
          <w:rFonts w:ascii="Open Sans" w:hAnsi="Open Sans" w:cs="Open Sans"/>
          <w:sz w:val="20"/>
        </w:rPr>
        <w:t>.</w:t>
      </w:r>
    </w:p>
    <w:p w14:paraId="6B0703A9" w14:textId="77777777" w:rsidR="00C86459" w:rsidRDefault="00C86459" w:rsidP="00C86459">
      <w:pPr>
        <w:pStyle w:val="Normal1"/>
        <w:tabs>
          <w:tab w:val="left" w:pos="7000"/>
        </w:tabs>
        <w:jc w:val="both"/>
        <w:rPr>
          <w:rFonts w:ascii="Open Sans" w:hAnsi="Open Sans" w:cs="Open Sans"/>
          <w:sz w:val="20"/>
        </w:rPr>
      </w:pPr>
    </w:p>
    <w:p w14:paraId="07246D86" w14:textId="77777777" w:rsidR="00C86459" w:rsidRPr="00363C08" w:rsidRDefault="00C86459" w:rsidP="00C86459">
      <w:pPr>
        <w:pStyle w:val="Normal1"/>
        <w:tabs>
          <w:tab w:val="left" w:pos="7000"/>
        </w:tabs>
        <w:jc w:val="both"/>
        <w:rPr>
          <w:rFonts w:ascii="Open Sans" w:hAnsi="Open Sans" w:cs="Open Sans"/>
          <w:sz w:val="20"/>
        </w:rPr>
      </w:pPr>
      <w:r>
        <w:rPr>
          <w:rFonts w:ascii="Open Sans" w:hAnsi="Open Sans" w:cs="Open Sans"/>
          <w:sz w:val="20"/>
        </w:rPr>
        <w:t>Así queda evidenciado que las entidades financieras no sólo deben velar por el cumplimiento de sus propias obligaciones sino también por su responsabilidad fiscal como intermediadoras de servicios financieros.</w:t>
      </w:r>
    </w:p>
    <w:p w14:paraId="1B8A6A99" w14:textId="77777777" w:rsidR="00C86459" w:rsidRPr="00363C08" w:rsidRDefault="00C86459" w:rsidP="00C86459">
      <w:pPr>
        <w:pStyle w:val="Normal1"/>
        <w:tabs>
          <w:tab w:val="left" w:pos="7000"/>
        </w:tabs>
        <w:jc w:val="both"/>
        <w:rPr>
          <w:rFonts w:ascii="Open Sans" w:hAnsi="Open Sans" w:cs="Open Sans"/>
          <w:sz w:val="20"/>
        </w:rPr>
      </w:pPr>
    </w:p>
    <w:p w14:paraId="28283CE9" w14:textId="77777777" w:rsidR="00C86459" w:rsidRDefault="00C86459" w:rsidP="00C86459">
      <w:pPr>
        <w:pStyle w:val="Normal1"/>
        <w:tabs>
          <w:tab w:val="left" w:pos="7000"/>
        </w:tabs>
        <w:jc w:val="both"/>
      </w:pPr>
      <w:r>
        <w:rPr>
          <w:rFonts w:ascii="Open Sans" w:eastAsia="Arial" w:hAnsi="Open Sans" w:cs="Open Sans"/>
          <w:sz w:val="20"/>
        </w:rPr>
        <w:t>De esta forma, si bien la presencia de operaciones subsidiarias en paraísos fiscales no prueba, ni implica directamente la evasión o la elusión fiscal por sí misma, sí proporciona el tipo de la estructura internacional idónea para ello. Prueba de ello es que los paraísos fiscales han jugado un papel central en casi todos casos principales de evasión fiscal por parte de multinacionales.</w:t>
      </w:r>
    </w:p>
    <w:p w14:paraId="2AB57B81" w14:textId="77777777" w:rsidR="00C86459" w:rsidRDefault="00C86459" w:rsidP="00C86459">
      <w:pPr>
        <w:pStyle w:val="Normal1"/>
        <w:ind w:left="1800"/>
        <w:jc w:val="both"/>
        <w:rPr>
          <w:rFonts w:ascii="Open Sans" w:hAnsi="Open Sans" w:cs="Open Sans"/>
          <w:bCs/>
          <w:sz w:val="20"/>
        </w:rPr>
      </w:pPr>
    </w:p>
    <w:p w14:paraId="0F4FDAEF" w14:textId="77777777" w:rsidR="00C86459" w:rsidRDefault="00C86459" w:rsidP="00C86459">
      <w:pPr>
        <w:jc w:val="both"/>
        <w:rPr>
          <w:rFonts w:ascii="Open Sans" w:hAnsi="Open Sans" w:cs="Open Sans"/>
          <w:bCs/>
          <w:sz w:val="20"/>
          <w:szCs w:val="20"/>
        </w:rPr>
      </w:pPr>
      <w:r>
        <w:rPr>
          <w:rFonts w:ascii="Open Sans" w:hAnsi="Open Sans" w:cs="Open Sans"/>
          <w:bCs/>
          <w:sz w:val="20"/>
          <w:szCs w:val="20"/>
        </w:rPr>
        <w:t>Aparte de la mención en las CCAA Consolidadas no se han encontrado otras referencias explícitas a territorios off – shore o a paraísos/nichos fiscales. Únicamente en referencia a las funciones del Consejo de Administración incorpora la mención genérica que “</w:t>
      </w:r>
      <w:r>
        <w:rPr>
          <w:rFonts w:ascii="Open Sans" w:hAnsi="Open Sans" w:cs="Open Sans"/>
          <w:bCs/>
          <w:i/>
          <w:iCs/>
          <w:sz w:val="20"/>
          <w:szCs w:val="20"/>
        </w:rPr>
        <w:t>se reserva con carácter indelegable la autorización para la creación o adquisición de participaciones en entidades de propósito especial o domiciliadas en países o territorios que tengan la consideración de paraísos fiscales</w:t>
      </w:r>
      <w:r>
        <w:rPr>
          <w:rFonts w:ascii="Open Sans" w:hAnsi="Open Sans" w:cs="Open Sans"/>
          <w:bCs/>
          <w:sz w:val="20"/>
          <w:szCs w:val="20"/>
        </w:rPr>
        <w:t>”</w:t>
      </w:r>
      <w:r>
        <w:rPr>
          <w:rStyle w:val="Refdenotaalpie"/>
          <w:rFonts w:ascii="Open Sans" w:hAnsi="Open Sans" w:cs="Open Sans"/>
          <w:bCs/>
          <w:sz w:val="20"/>
          <w:szCs w:val="20"/>
        </w:rPr>
        <w:footnoteReference w:id="525"/>
      </w:r>
    </w:p>
    <w:p w14:paraId="058EB8DA" w14:textId="77777777" w:rsidR="00C86459" w:rsidRDefault="00C86459" w:rsidP="00C86459">
      <w:pPr>
        <w:ind w:left="360"/>
        <w:rPr>
          <w:rFonts w:ascii="Open Sans" w:hAnsi="Open Sans" w:cs="Open Sans"/>
          <w:bCs/>
          <w:sz w:val="20"/>
          <w:szCs w:val="20"/>
        </w:rPr>
      </w:pPr>
    </w:p>
    <w:p w14:paraId="4F56353F" w14:textId="77777777" w:rsidR="00C86459" w:rsidRPr="0079427C" w:rsidRDefault="00C86459" w:rsidP="00C86459">
      <w:pPr>
        <w:jc w:val="both"/>
        <w:rPr>
          <w:rFonts w:ascii="Open Sans" w:hAnsi="Open Sans" w:cs="Open Sans"/>
          <w:sz w:val="20"/>
          <w:szCs w:val="20"/>
        </w:rPr>
      </w:pPr>
      <w:r>
        <w:rPr>
          <w:rFonts w:ascii="Open Sans" w:hAnsi="Open Sans" w:cs="Open Sans"/>
          <w:bCs/>
          <w:sz w:val="20"/>
          <w:szCs w:val="20"/>
        </w:rPr>
        <w:t xml:space="preserve">La entidad informa sobre las actividades que llevan a cabo sus sociedades dependientes (Anexo I) y Sociedades de las que el grupo posee más del 5, entidades asociadas y entidades multigrupo (Anexo II) estén ubicadas o no en paraísos / nichos fiscales. Se incluyen datos sobre el % participación y de derecho a voto, actividad, clase de sociedad, Activo, Patrimonio y Resultado Neto. No hay datos sobre el volumen de operaciones, peso que tiene esa sociedad en el negocio del grupo, u otra información que permita valorar la relevancia de las diferentes sociedades dentro del grupo. La mayor parte de ellas es a través de participación indirecta. </w:t>
      </w:r>
      <w:r>
        <w:rPr>
          <w:rFonts w:ascii="Open Sans" w:hAnsi="Open Sans" w:cs="Open Sans"/>
          <w:sz w:val="20"/>
          <w:szCs w:val="20"/>
        </w:rPr>
        <w:t xml:space="preserve">Sería deseable conocer la estructura societaria del grupo. A través de qué empresas Banco Santander  es accionista sobre el resto de entidades dependientes cuando la participación es indirecta. </w:t>
      </w:r>
    </w:p>
    <w:p w14:paraId="3945989D" w14:textId="77777777" w:rsidR="00C86459" w:rsidRDefault="00C86459" w:rsidP="00C86459">
      <w:pPr>
        <w:jc w:val="both"/>
      </w:pPr>
    </w:p>
    <w:p w14:paraId="3DFC9A00" w14:textId="77777777" w:rsidR="00C86459" w:rsidRDefault="00C86459" w:rsidP="00C86459">
      <w:pPr>
        <w:jc w:val="both"/>
      </w:pPr>
      <w:r>
        <w:rPr>
          <w:rFonts w:ascii="Open Sans" w:hAnsi="Open Sans" w:cs="Open Sans"/>
          <w:bCs/>
          <w:sz w:val="20"/>
          <w:szCs w:val="20"/>
        </w:rPr>
        <w:t>En cuanto a los impuestos pagados en territorios off-shore, el Informe Bancario Anual 2015</w:t>
      </w:r>
      <w:r>
        <w:rPr>
          <w:rStyle w:val="Refdenotaalpie"/>
          <w:rFonts w:ascii="Open Sans" w:hAnsi="Open Sans" w:cs="Open Sans"/>
          <w:bCs/>
          <w:sz w:val="20"/>
          <w:szCs w:val="20"/>
        </w:rPr>
        <w:footnoteReference w:id="526"/>
      </w:r>
      <w:r>
        <w:rPr>
          <w:rFonts w:ascii="Open Sans" w:hAnsi="Open Sans" w:cs="Open Sans"/>
          <w:bCs/>
          <w:sz w:val="20"/>
          <w:szCs w:val="20"/>
        </w:rPr>
        <w:t xml:space="preserve"> incluye información desagregada por países del volumen de negocio, N</w:t>
      </w:r>
      <w:proofErr w:type="gramStart"/>
      <w:r>
        <w:rPr>
          <w:rFonts w:ascii="Open Sans" w:hAnsi="Open Sans" w:cs="Open Sans"/>
          <w:bCs/>
          <w:sz w:val="20"/>
          <w:szCs w:val="20"/>
        </w:rPr>
        <w:t>.º</w:t>
      </w:r>
      <w:proofErr w:type="gramEnd"/>
      <w:r>
        <w:rPr>
          <w:rFonts w:ascii="Open Sans" w:hAnsi="Open Sans" w:cs="Open Sans"/>
          <w:bCs/>
          <w:sz w:val="20"/>
          <w:szCs w:val="20"/>
        </w:rPr>
        <w:t xml:space="preserve"> de empleados, BAI e Impuesto sobre resultados. Así se presenta la contribución fiscal en Bahamas, Irlanda, Isla de Man, Islas Caymán, Jersey, Panamá, Puerto Rico, Singapur, Suiza y Uruguay. No hay datos específicos de algunos de los territorios off-shore en los que opera como Delaware, Guernsey, Hong Kong o Luxemburgo. Sería muy recomendable que la entidad incorporara en las notas explicativas en que jurisdicción las ha incorporado y desagregara sus datos atendiendo al elevado número de sociedades ubicadas en algunos de estos territorios y la relevancia de las cifras de los países en los que parece que se han incorporado (EEUU, UK, …). </w:t>
      </w:r>
    </w:p>
    <w:p w14:paraId="1EACB91C" w14:textId="77777777" w:rsidR="00C86459" w:rsidRDefault="00C86459" w:rsidP="00C86459">
      <w:pPr>
        <w:jc w:val="both"/>
      </w:pPr>
    </w:p>
    <w:p w14:paraId="6346291B" w14:textId="77777777" w:rsidR="00C86459" w:rsidRDefault="00C86459" w:rsidP="00C86459">
      <w:pPr>
        <w:jc w:val="both"/>
        <w:rPr>
          <w:rFonts w:ascii="Open Sans" w:hAnsi="Open Sans" w:cs="Open Sans"/>
          <w:bCs/>
          <w:sz w:val="20"/>
          <w:szCs w:val="20"/>
        </w:rPr>
      </w:pPr>
      <w:r>
        <w:rPr>
          <w:rFonts w:ascii="Open Sans" w:hAnsi="Open Sans" w:cs="Open Sans"/>
          <w:bCs/>
          <w:sz w:val="20"/>
          <w:szCs w:val="20"/>
        </w:rPr>
        <w:t>A partir de la información proporcionada y pendiente las jurisdicciones no desglosadas:</w:t>
      </w:r>
    </w:p>
    <w:p w14:paraId="374E5F1A" w14:textId="54A3432F" w:rsidR="00C86459" w:rsidRDefault="00C86459">
      <w:pPr>
        <w:rPr>
          <w:rFonts w:ascii="Open Sans" w:hAnsi="Open Sans" w:cs="Open Sans"/>
          <w:bCs/>
          <w:sz w:val="20"/>
          <w:szCs w:val="20"/>
        </w:rPr>
      </w:pPr>
      <w:r>
        <w:rPr>
          <w:rFonts w:ascii="Open Sans" w:hAnsi="Open Sans" w:cs="Open Sans"/>
          <w:bCs/>
          <w:sz w:val="20"/>
          <w:szCs w:val="20"/>
        </w:rPr>
        <w:br w:type="page"/>
      </w:r>
    </w:p>
    <w:p w14:paraId="16553AA4" w14:textId="77777777" w:rsidR="00C86459" w:rsidRDefault="00C86459" w:rsidP="00C86459">
      <w:pPr>
        <w:jc w:val="both"/>
      </w:pPr>
    </w:p>
    <w:p w14:paraId="15A3EB05" w14:textId="77777777" w:rsidR="00C86459" w:rsidRDefault="00C86459" w:rsidP="00C86459">
      <w:pPr>
        <w:jc w:val="both"/>
      </w:pPr>
    </w:p>
    <w:tbl>
      <w:tblPr>
        <w:tblW w:w="8505" w:type="dxa"/>
        <w:tblInd w:w="55" w:type="dxa"/>
        <w:tblLayout w:type="fixed"/>
        <w:tblCellMar>
          <w:top w:w="55" w:type="dxa"/>
          <w:left w:w="55" w:type="dxa"/>
          <w:bottom w:w="55" w:type="dxa"/>
          <w:right w:w="55" w:type="dxa"/>
        </w:tblCellMar>
        <w:tblLook w:val="0000" w:firstRow="0" w:lastRow="0" w:firstColumn="0" w:lastColumn="0" w:noHBand="0" w:noVBand="0"/>
      </w:tblPr>
      <w:tblGrid>
        <w:gridCol w:w="1700"/>
        <w:gridCol w:w="1701"/>
        <w:gridCol w:w="1701"/>
        <w:gridCol w:w="1701"/>
        <w:gridCol w:w="1702"/>
      </w:tblGrid>
      <w:tr w:rsidR="00C86459" w14:paraId="20BAF52F" w14:textId="77777777" w:rsidTr="00C86459">
        <w:tc>
          <w:tcPr>
            <w:tcW w:w="1700" w:type="dxa"/>
            <w:tcBorders>
              <w:top w:val="single" w:sz="1" w:space="0" w:color="000000"/>
              <w:left w:val="single" w:sz="1" w:space="0" w:color="000000"/>
              <w:bottom w:val="single" w:sz="1" w:space="0" w:color="000000"/>
            </w:tcBorders>
            <w:shd w:val="clear" w:color="auto" w:fill="B2B2B2"/>
          </w:tcPr>
          <w:p w14:paraId="4C7BDC1B" w14:textId="77777777" w:rsidR="00C86459" w:rsidRDefault="00C86459" w:rsidP="00C86459">
            <w:pPr>
              <w:pStyle w:val="Contenidodelatabla"/>
              <w:jc w:val="center"/>
            </w:pPr>
            <w:r>
              <w:rPr>
                <w:rFonts w:ascii="Open Sans" w:hAnsi="Open Sans" w:cs="Open Sans"/>
                <w:b/>
                <w:bCs/>
                <w:sz w:val="20"/>
                <w:szCs w:val="20"/>
              </w:rPr>
              <w:t>Concepto</w:t>
            </w:r>
          </w:p>
        </w:tc>
        <w:tc>
          <w:tcPr>
            <w:tcW w:w="1701" w:type="dxa"/>
            <w:tcBorders>
              <w:top w:val="single" w:sz="1" w:space="0" w:color="000000"/>
              <w:left w:val="single" w:sz="1" w:space="0" w:color="000000"/>
              <w:bottom w:val="single" w:sz="1" w:space="0" w:color="000000"/>
            </w:tcBorders>
            <w:shd w:val="clear" w:color="auto" w:fill="B2B2B2"/>
          </w:tcPr>
          <w:p w14:paraId="46B7E7FA" w14:textId="77777777" w:rsidR="00C86459" w:rsidRDefault="00C86459" w:rsidP="00C86459">
            <w:pPr>
              <w:pStyle w:val="Contenidodelatabla"/>
              <w:jc w:val="center"/>
            </w:pPr>
            <w:r>
              <w:rPr>
                <w:rFonts w:ascii="Open Sans" w:hAnsi="Open Sans" w:cs="Open Sans"/>
                <w:b/>
                <w:bCs/>
                <w:sz w:val="20"/>
                <w:szCs w:val="20"/>
              </w:rPr>
              <w:t>Paraíso Fiscal</w:t>
            </w:r>
          </w:p>
        </w:tc>
        <w:tc>
          <w:tcPr>
            <w:tcW w:w="1701" w:type="dxa"/>
            <w:tcBorders>
              <w:top w:val="single" w:sz="1" w:space="0" w:color="000000"/>
              <w:left w:val="single" w:sz="1" w:space="0" w:color="000000"/>
              <w:bottom w:val="single" w:sz="1" w:space="0" w:color="000000"/>
            </w:tcBorders>
            <w:shd w:val="clear" w:color="auto" w:fill="B2B2B2"/>
          </w:tcPr>
          <w:p w14:paraId="184B3871" w14:textId="77777777" w:rsidR="00C86459" w:rsidRDefault="00C86459" w:rsidP="00C86459">
            <w:pPr>
              <w:pStyle w:val="Contenidodelatabla"/>
              <w:jc w:val="center"/>
            </w:pPr>
            <w:r>
              <w:rPr>
                <w:rFonts w:ascii="Open Sans" w:hAnsi="Open Sans" w:cs="Open Sans"/>
                <w:b/>
                <w:bCs/>
                <w:sz w:val="20"/>
                <w:szCs w:val="20"/>
              </w:rPr>
              <w:t>% s/total</w:t>
            </w:r>
          </w:p>
        </w:tc>
        <w:tc>
          <w:tcPr>
            <w:tcW w:w="1701" w:type="dxa"/>
            <w:tcBorders>
              <w:top w:val="single" w:sz="1" w:space="0" w:color="000000"/>
              <w:left w:val="single" w:sz="1" w:space="0" w:color="000000"/>
              <w:bottom w:val="single" w:sz="1" w:space="0" w:color="000000"/>
            </w:tcBorders>
            <w:shd w:val="clear" w:color="auto" w:fill="B2B2B2"/>
          </w:tcPr>
          <w:p w14:paraId="18C0F9A1" w14:textId="77777777" w:rsidR="00C86459" w:rsidRDefault="00C86459" w:rsidP="00C86459">
            <w:pPr>
              <w:pStyle w:val="Contenidodelatabla"/>
              <w:jc w:val="center"/>
            </w:pPr>
            <w:r>
              <w:rPr>
                <w:rFonts w:ascii="Open Sans" w:hAnsi="Open Sans" w:cs="Open Sans"/>
                <w:b/>
                <w:bCs/>
                <w:sz w:val="20"/>
                <w:szCs w:val="20"/>
              </w:rPr>
              <w:t>Nicho Fiscal</w:t>
            </w:r>
          </w:p>
        </w:tc>
        <w:tc>
          <w:tcPr>
            <w:tcW w:w="1702" w:type="dxa"/>
            <w:tcBorders>
              <w:top w:val="single" w:sz="1" w:space="0" w:color="000000"/>
              <w:left w:val="single" w:sz="1" w:space="0" w:color="000000"/>
              <w:bottom w:val="single" w:sz="1" w:space="0" w:color="000000"/>
              <w:right w:val="single" w:sz="1" w:space="0" w:color="000000"/>
            </w:tcBorders>
            <w:shd w:val="clear" w:color="auto" w:fill="B2B2B2"/>
          </w:tcPr>
          <w:p w14:paraId="3E356044" w14:textId="77777777" w:rsidR="00C86459" w:rsidRDefault="00C86459" w:rsidP="00C86459">
            <w:pPr>
              <w:pStyle w:val="Contenidodelatabla"/>
              <w:jc w:val="center"/>
            </w:pPr>
            <w:r>
              <w:rPr>
                <w:rFonts w:ascii="Open Sans" w:hAnsi="Open Sans" w:cs="Open Sans"/>
                <w:b/>
                <w:bCs/>
                <w:sz w:val="20"/>
                <w:szCs w:val="20"/>
              </w:rPr>
              <w:t>% s/total</w:t>
            </w:r>
          </w:p>
        </w:tc>
      </w:tr>
      <w:tr w:rsidR="00C86459" w14:paraId="205E75C1" w14:textId="77777777" w:rsidTr="00C86459">
        <w:tc>
          <w:tcPr>
            <w:tcW w:w="1700" w:type="dxa"/>
            <w:tcBorders>
              <w:left w:val="single" w:sz="1" w:space="0" w:color="000000"/>
              <w:bottom w:val="single" w:sz="1" w:space="0" w:color="000000"/>
            </w:tcBorders>
            <w:shd w:val="clear" w:color="auto" w:fill="auto"/>
          </w:tcPr>
          <w:p w14:paraId="3F5CD5CE" w14:textId="77777777" w:rsidR="00C86459" w:rsidRDefault="00C86459" w:rsidP="00C86459">
            <w:pPr>
              <w:pStyle w:val="Contenidodelatabla"/>
              <w:ind w:left="170"/>
            </w:pPr>
            <w:r>
              <w:rPr>
                <w:rFonts w:ascii="Open Sans" w:hAnsi="Open Sans" w:cs="Open Sans"/>
                <w:sz w:val="20"/>
                <w:szCs w:val="20"/>
              </w:rPr>
              <w:t>Cifra de Impuestos</w:t>
            </w:r>
          </w:p>
        </w:tc>
        <w:tc>
          <w:tcPr>
            <w:tcW w:w="1701" w:type="dxa"/>
            <w:tcBorders>
              <w:left w:val="single" w:sz="1" w:space="0" w:color="000000"/>
              <w:bottom w:val="single" w:sz="1" w:space="0" w:color="000000"/>
            </w:tcBorders>
            <w:shd w:val="clear" w:color="auto" w:fill="auto"/>
          </w:tcPr>
          <w:p w14:paraId="67830F7C" w14:textId="77777777" w:rsidR="00C86459" w:rsidRDefault="00C86459" w:rsidP="00C86459">
            <w:pPr>
              <w:pStyle w:val="Contenidodelatabla"/>
              <w:jc w:val="center"/>
            </w:pPr>
            <w:r>
              <w:rPr>
                <w:rFonts w:ascii="Open Sans" w:hAnsi="Open Sans" w:cs="Open Sans"/>
                <w:sz w:val="20"/>
                <w:szCs w:val="20"/>
              </w:rPr>
              <w:t>2.000.000€</w:t>
            </w:r>
          </w:p>
        </w:tc>
        <w:tc>
          <w:tcPr>
            <w:tcW w:w="1701" w:type="dxa"/>
            <w:tcBorders>
              <w:left w:val="single" w:sz="1" w:space="0" w:color="000000"/>
              <w:bottom w:val="single" w:sz="1" w:space="0" w:color="000000"/>
            </w:tcBorders>
            <w:shd w:val="clear" w:color="auto" w:fill="auto"/>
          </w:tcPr>
          <w:p w14:paraId="29F5E51C" w14:textId="77777777" w:rsidR="00C86459" w:rsidRDefault="00C86459" w:rsidP="00C86459">
            <w:pPr>
              <w:pStyle w:val="Contenidodelatabla"/>
              <w:jc w:val="center"/>
            </w:pPr>
            <w:r>
              <w:rPr>
                <w:rFonts w:ascii="Open Sans" w:hAnsi="Open Sans" w:cs="Open Sans"/>
                <w:sz w:val="20"/>
                <w:szCs w:val="20"/>
              </w:rPr>
              <w:t>0,09%</w:t>
            </w:r>
          </w:p>
        </w:tc>
        <w:tc>
          <w:tcPr>
            <w:tcW w:w="1701" w:type="dxa"/>
            <w:tcBorders>
              <w:left w:val="single" w:sz="1" w:space="0" w:color="000000"/>
              <w:bottom w:val="single" w:sz="1" w:space="0" w:color="000000"/>
            </w:tcBorders>
            <w:shd w:val="clear" w:color="auto" w:fill="auto"/>
          </w:tcPr>
          <w:p w14:paraId="59632D93" w14:textId="77777777" w:rsidR="00C86459" w:rsidRDefault="00C86459" w:rsidP="00C86459">
            <w:pPr>
              <w:pStyle w:val="Contenidodelatabla"/>
              <w:jc w:val="center"/>
            </w:pPr>
            <w:r>
              <w:rPr>
                <w:rFonts w:ascii="Open Sans" w:hAnsi="Open Sans" w:cs="Open Sans"/>
                <w:sz w:val="20"/>
                <w:szCs w:val="20"/>
              </w:rPr>
              <w:t>62.000.000€</w:t>
            </w:r>
          </w:p>
        </w:tc>
        <w:tc>
          <w:tcPr>
            <w:tcW w:w="1702" w:type="dxa"/>
            <w:tcBorders>
              <w:left w:val="single" w:sz="1" w:space="0" w:color="000000"/>
              <w:bottom w:val="single" w:sz="1" w:space="0" w:color="000000"/>
              <w:right w:val="single" w:sz="1" w:space="0" w:color="000000"/>
            </w:tcBorders>
            <w:shd w:val="clear" w:color="auto" w:fill="auto"/>
          </w:tcPr>
          <w:p w14:paraId="4CD84867" w14:textId="77777777" w:rsidR="00C86459" w:rsidRDefault="00C86459" w:rsidP="00C86459">
            <w:pPr>
              <w:pStyle w:val="Contenidodelatabla"/>
              <w:jc w:val="center"/>
            </w:pPr>
            <w:r>
              <w:rPr>
                <w:rFonts w:ascii="Open Sans" w:hAnsi="Open Sans" w:cs="Open Sans"/>
                <w:sz w:val="20"/>
                <w:szCs w:val="20"/>
              </w:rPr>
              <w:t>2,81%</w:t>
            </w:r>
          </w:p>
        </w:tc>
      </w:tr>
      <w:tr w:rsidR="00C86459" w14:paraId="593BA0D4" w14:textId="77777777" w:rsidTr="00C86459">
        <w:tc>
          <w:tcPr>
            <w:tcW w:w="1700" w:type="dxa"/>
            <w:tcBorders>
              <w:left w:val="single" w:sz="1" w:space="0" w:color="000000"/>
              <w:bottom w:val="single" w:sz="1" w:space="0" w:color="000000"/>
            </w:tcBorders>
            <w:shd w:val="clear" w:color="auto" w:fill="auto"/>
          </w:tcPr>
          <w:p w14:paraId="62D83AE3" w14:textId="77777777" w:rsidR="00C86459" w:rsidRDefault="00C86459" w:rsidP="00C86459">
            <w:pPr>
              <w:pStyle w:val="Contenidodelatabla"/>
              <w:ind w:left="170"/>
            </w:pPr>
            <w:r>
              <w:rPr>
                <w:rFonts w:ascii="Open Sans" w:hAnsi="Open Sans" w:cs="Open Sans"/>
                <w:sz w:val="20"/>
                <w:szCs w:val="20"/>
              </w:rPr>
              <w:t>Volumen de negocio</w:t>
            </w:r>
          </w:p>
        </w:tc>
        <w:tc>
          <w:tcPr>
            <w:tcW w:w="1701" w:type="dxa"/>
            <w:tcBorders>
              <w:left w:val="single" w:sz="1" w:space="0" w:color="000000"/>
              <w:bottom w:val="single" w:sz="1" w:space="0" w:color="000000"/>
            </w:tcBorders>
            <w:shd w:val="clear" w:color="auto" w:fill="auto"/>
          </w:tcPr>
          <w:p w14:paraId="1C580523" w14:textId="77777777" w:rsidR="00C86459" w:rsidRDefault="00C86459" w:rsidP="00C86459">
            <w:pPr>
              <w:pStyle w:val="Contenidodelatabla"/>
              <w:jc w:val="center"/>
            </w:pPr>
            <w:r>
              <w:rPr>
                <w:rFonts w:ascii="Open Sans" w:hAnsi="Open Sans" w:cs="Open Sans"/>
                <w:sz w:val="20"/>
                <w:szCs w:val="20"/>
              </w:rPr>
              <w:t>(3.000.000€)</w:t>
            </w:r>
          </w:p>
        </w:tc>
        <w:tc>
          <w:tcPr>
            <w:tcW w:w="1701" w:type="dxa"/>
            <w:tcBorders>
              <w:left w:val="single" w:sz="1" w:space="0" w:color="000000"/>
              <w:bottom w:val="single" w:sz="1" w:space="0" w:color="000000"/>
            </w:tcBorders>
            <w:shd w:val="clear" w:color="auto" w:fill="auto"/>
          </w:tcPr>
          <w:p w14:paraId="77C9CE0D" w14:textId="77777777" w:rsidR="00C86459" w:rsidRDefault="00C86459" w:rsidP="00C86459">
            <w:pPr>
              <w:pStyle w:val="Contenidodelatabla"/>
              <w:jc w:val="center"/>
            </w:pPr>
            <w:r>
              <w:rPr>
                <w:rFonts w:ascii="Open Sans" w:hAnsi="Open Sans" w:cs="Open Sans"/>
                <w:sz w:val="20"/>
                <w:szCs w:val="20"/>
              </w:rPr>
              <w:t>0,006%</w:t>
            </w:r>
          </w:p>
        </w:tc>
        <w:tc>
          <w:tcPr>
            <w:tcW w:w="1701" w:type="dxa"/>
            <w:tcBorders>
              <w:left w:val="single" w:sz="1" w:space="0" w:color="000000"/>
              <w:bottom w:val="single" w:sz="1" w:space="0" w:color="000000"/>
            </w:tcBorders>
            <w:shd w:val="clear" w:color="auto" w:fill="auto"/>
          </w:tcPr>
          <w:p w14:paraId="13F2CDB9" w14:textId="77777777" w:rsidR="00C86459" w:rsidRDefault="00C86459" w:rsidP="00C86459">
            <w:pPr>
              <w:pStyle w:val="Contenidodelatabla"/>
              <w:jc w:val="center"/>
            </w:pPr>
            <w:r>
              <w:rPr>
                <w:rFonts w:ascii="Open Sans" w:hAnsi="Open Sans" w:cs="Open Sans"/>
                <w:sz w:val="20"/>
                <w:szCs w:val="20"/>
              </w:rPr>
              <w:t>848.000.000€</w:t>
            </w:r>
          </w:p>
        </w:tc>
        <w:tc>
          <w:tcPr>
            <w:tcW w:w="1702" w:type="dxa"/>
            <w:tcBorders>
              <w:left w:val="single" w:sz="1" w:space="0" w:color="000000"/>
              <w:bottom w:val="single" w:sz="1" w:space="0" w:color="000000"/>
              <w:right w:val="single" w:sz="1" w:space="0" w:color="000000"/>
            </w:tcBorders>
            <w:shd w:val="clear" w:color="auto" w:fill="auto"/>
          </w:tcPr>
          <w:p w14:paraId="64CAF591" w14:textId="77777777" w:rsidR="00C86459" w:rsidRDefault="00C86459" w:rsidP="00C86459">
            <w:pPr>
              <w:pStyle w:val="Contenidodelatabla"/>
              <w:jc w:val="center"/>
            </w:pPr>
            <w:r>
              <w:rPr>
                <w:rFonts w:ascii="Open Sans" w:hAnsi="Open Sans" w:cs="Open Sans"/>
                <w:sz w:val="20"/>
                <w:szCs w:val="20"/>
              </w:rPr>
              <w:t>1,85%</w:t>
            </w:r>
          </w:p>
        </w:tc>
      </w:tr>
      <w:tr w:rsidR="00C86459" w14:paraId="42F6F933" w14:textId="77777777" w:rsidTr="00C86459">
        <w:tc>
          <w:tcPr>
            <w:tcW w:w="1700" w:type="dxa"/>
            <w:tcBorders>
              <w:left w:val="single" w:sz="1" w:space="0" w:color="000000"/>
              <w:bottom w:val="single" w:sz="1" w:space="0" w:color="000000"/>
            </w:tcBorders>
            <w:shd w:val="clear" w:color="auto" w:fill="auto"/>
          </w:tcPr>
          <w:p w14:paraId="5F95C718" w14:textId="77777777" w:rsidR="00C86459" w:rsidRDefault="00C86459" w:rsidP="00C86459">
            <w:pPr>
              <w:pStyle w:val="Contenidodelatabla"/>
              <w:ind w:left="170"/>
            </w:pPr>
            <w:r>
              <w:rPr>
                <w:rFonts w:ascii="Open Sans" w:hAnsi="Open Sans" w:cs="Open Sans"/>
                <w:sz w:val="20"/>
                <w:szCs w:val="20"/>
              </w:rPr>
              <w:t>N.º empleados</w:t>
            </w:r>
          </w:p>
        </w:tc>
        <w:tc>
          <w:tcPr>
            <w:tcW w:w="1701" w:type="dxa"/>
            <w:tcBorders>
              <w:left w:val="single" w:sz="1" w:space="0" w:color="000000"/>
              <w:bottom w:val="single" w:sz="1" w:space="0" w:color="000000"/>
            </w:tcBorders>
            <w:shd w:val="clear" w:color="auto" w:fill="auto"/>
          </w:tcPr>
          <w:p w14:paraId="1003DB02" w14:textId="77777777" w:rsidR="00C86459" w:rsidRDefault="00C86459" w:rsidP="00C86459">
            <w:pPr>
              <w:pStyle w:val="Contenidodelatabla"/>
              <w:jc w:val="center"/>
            </w:pPr>
            <w:r>
              <w:rPr>
                <w:rFonts w:ascii="Open Sans" w:hAnsi="Open Sans" w:cs="Open Sans"/>
                <w:sz w:val="20"/>
                <w:szCs w:val="20"/>
              </w:rPr>
              <w:t xml:space="preserve">112 </w:t>
            </w:r>
          </w:p>
        </w:tc>
        <w:tc>
          <w:tcPr>
            <w:tcW w:w="1701" w:type="dxa"/>
            <w:tcBorders>
              <w:left w:val="single" w:sz="1" w:space="0" w:color="000000"/>
              <w:bottom w:val="single" w:sz="1" w:space="0" w:color="000000"/>
            </w:tcBorders>
            <w:shd w:val="clear" w:color="auto" w:fill="auto"/>
          </w:tcPr>
          <w:p w14:paraId="7EF595CB" w14:textId="77777777" w:rsidR="00C86459" w:rsidRDefault="00C86459" w:rsidP="00C86459">
            <w:pPr>
              <w:pStyle w:val="Contenidodelatabla"/>
              <w:jc w:val="center"/>
            </w:pPr>
            <w:r>
              <w:rPr>
                <w:rFonts w:ascii="Open Sans" w:hAnsi="Open Sans" w:cs="Open Sans"/>
                <w:sz w:val="20"/>
                <w:szCs w:val="20"/>
              </w:rPr>
              <w:t>0,06%</w:t>
            </w:r>
          </w:p>
        </w:tc>
        <w:tc>
          <w:tcPr>
            <w:tcW w:w="1701" w:type="dxa"/>
            <w:tcBorders>
              <w:left w:val="single" w:sz="1" w:space="0" w:color="000000"/>
              <w:bottom w:val="single" w:sz="1" w:space="0" w:color="000000"/>
            </w:tcBorders>
            <w:shd w:val="clear" w:color="auto" w:fill="auto"/>
          </w:tcPr>
          <w:p w14:paraId="2E80842F" w14:textId="77777777" w:rsidR="00C86459" w:rsidRDefault="00C86459" w:rsidP="00C86459">
            <w:pPr>
              <w:pStyle w:val="Contenidodelatabla"/>
              <w:jc w:val="center"/>
            </w:pPr>
            <w:r>
              <w:rPr>
                <w:rFonts w:ascii="Open Sans" w:hAnsi="Open Sans" w:cs="Open Sans"/>
                <w:sz w:val="20"/>
                <w:szCs w:val="20"/>
              </w:rPr>
              <w:t>3.120</w:t>
            </w:r>
          </w:p>
        </w:tc>
        <w:tc>
          <w:tcPr>
            <w:tcW w:w="1702" w:type="dxa"/>
            <w:tcBorders>
              <w:left w:val="single" w:sz="1" w:space="0" w:color="000000"/>
              <w:bottom w:val="single" w:sz="1" w:space="0" w:color="000000"/>
              <w:right w:val="single" w:sz="1" w:space="0" w:color="000000"/>
            </w:tcBorders>
            <w:shd w:val="clear" w:color="auto" w:fill="auto"/>
          </w:tcPr>
          <w:p w14:paraId="135BC73C" w14:textId="77777777" w:rsidR="00C86459" w:rsidRDefault="00C86459" w:rsidP="00C86459">
            <w:pPr>
              <w:pStyle w:val="Contenidodelatabla"/>
              <w:jc w:val="center"/>
            </w:pPr>
            <w:r>
              <w:rPr>
                <w:rFonts w:ascii="Open Sans" w:eastAsia="Open Sans" w:hAnsi="Open Sans" w:cs="Open Sans"/>
                <w:sz w:val="20"/>
                <w:szCs w:val="20"/>
              </w:rPr>
              <w:t xml:space="preserve"> </w:t>
            </w:r>
            <w:r>
              <w:rPr>
                <w:rFonts w:ascii="Open Sans" w:hAnsi="Open Sans" w:cs="Open Sans"/>
                <w:sz w:val="20"/>
                <w:szCs w:val="20"/>
              </w:rPr>
              <w:t xml:space="preserve">1,67% </w:t>
            </w:r>
          </w:p>
        </w:tc>
      </w:tr>
    </w:tbl>
    <w:p w14:paraId="17C30068" w14:textId="77777777" w:rsidR="00C86459" w:rsidRDefault="00C86459" w:rsidP="00C86459">
      <w:pPr>
        <w:jc w:val="both"/>
      </w:pPr>
    </w:p>
    <w:p w14:paraId="2EF35852" w14:textId="77777777" w:rsidR="00C86459" w:rsidRDefault="00C86459" w:rsidP="00C86459">
      <w:pPr>
        <w:pStyle w:val="Normal1"/>
        <w:tabs>
          <w:tab w:val="left" w:pos="7000"/>
        </w:tabs>
        <w:jc w:val="both"/>
        <w:rPr>
          <w:rFonts w:ascii="Open Sans" w:hAnsi="Open Sans" w:cs="Open Sans"/>
          <w:sz w:val="20"/>
          <w:highlight w:val="white"/>
        </w:rPr>
      </w:pPr>
    </w:p>
    <w:p w14:paraId="489000A7" w14:textId="77777777" w:rsidR="00C86459" w:rsidRDefault="00C86459" w:rsidP="00C86459">
      <w:pPr>
        <w:pStyle w:val="Normal1"/>
        <w:tabs>
          <w:tab w:val="left" w:pos="7000"/>
        </w:tabs>
        <w:jc w:val="both"/>
      </w:pPr>
      <w:r>
        <w:rPr>
          <w:rFonts w:ascii="Open Sans" w:eastAsia="Arial" w:hAnsi="Open Sans" w:cs="Open Sans"/>
          <w:sz w:val="20"/>
          <w:highlight w:val="white"/>
        </w:rPr>
        <w:t>Tal y como se hizo constar en el informe de 2014, en lo que respecta a las políticas adoptadas por el Banco, el Código General de Conducta del Banco Santander recoge cuál es su postura respecto a sus compromisos fiscales y a la operativa con paraísos fis</w:t>
      </w:r>
      <w:r>
        <w:rPr>
          <w:rFonts w:ascii="Open Sans" w:eastAsia="Arial" w:hAnsi="Open Sans" w:cs="Open Sans"/>
          <w:sz w:val="18"/>
          <w:szCs w:val="18"/>
          <w:highlight w:val="white"/>
        </w:rPr>
        <w:t xml:space="preserve">cales en el Capítulo X. </w:t>
      </w:r>
      <w:r>
        <w:rPr>
          <w:rFonts w:ascii="Open Sans" w:eastAsia="Arial" w:hAnsi="Open Sans" w:cs="Open Sans"/>
          <w:sz w:val="18"/>
          <w:szCs w:val="18"/>
        </w:rPr>
        <w:t xml:space="preserve">OBLIGACIONES TRIBUTARIAS y Capítulo XI. </w:t>
      </w:r>
      <w:r>
        <w:rPr>
          <w:rFonts w:ascii="Open Sans" w:eastAsia="Arial" w:hAnsi="Open Sans" w:cs="Open Sans"/>
          <w:sz w:val="18"/>
          <w:szCs w:val="18"/>
          <w:highlight w:val="white"/>
        </w:rPr>
        <w:t>ESTABLECIMIENTOS EN PA</w:t>
      </w:r>
      <w:r>
        <w:rPr>
          <w:rFonts w:ascii="Open Sans" w:hAnsi="Open Sans" w:cs="Open Sans"/>
          <w:sz w:val="18"/>
          <w:szCs w:val="18"/>
        </w:rPr>
        <w:t>ÍSES O TERRITORIOS CALIFICADOS COMO PARAÍSO FIS</w:t>
      </w:r>
      <w:r>
        <w:rPr>
          <w:rFonts w:ascii="Open Sans" w:hAnsi="Open Sans" w:cs="Open Sans"/>
          <w:sz w:val="20"/>
        </w:rPr>
        <w:t>CAL. La entidad</w:t>
      </w:r>
      <w:r>
        <w:rPr>
          <w:rFonts w:ascii="Open Sans" w:eastAsia="Arial" w:hAnsi="Open Sans" w:cs="Open Sans"/>
          <w:sz w:val="20"/>
          <w:highlight w:val="white"/>
        </w:rPr>
        <w:t xml:space="preserve"> Se compromete a  "evitar en todo caso la utilización de estructuras de carácter opaco con finalidades tributarias (...) diseñadas con el propósito de impedir el conocimiento por parte de las autoridades fiscales...". El hecho de incluir en el compromiso una referencia a cuál es el propósito o la intención, le da componente de subjetividad que hace difícil comprobar su cumplimiento. También se recoge la necesidad de informar al Consejo de Administración de las políticas fiscales. Así mismo, afirma que “no se crearán ni adquirirán participaciones en entidades domiciliadas en países o territorios que tengan la consideración de paraísos fiscales sin autorización específica del Consejo de Administración. Cuando razones de urgencia así lo aconsejen, la autorización podrá darla la Comisión Ejecutiva, dando cuenta posteriormente al Consejo”. Pero no explica cuáles son esas razones de urgencia. Añade que “El objeto social y las actividades que puedan llevarse a cabo en los países o territorios calificados como paraíso fiscal deberán estar claramente identificados y definidos. En el caso de que la actividad en el país o territorio calificado como paraíso fiscal consista en servir de vehículo especial para la emisión de valores, no se utilizará un mismo vehículo para canalizar actividades diferentes y los fondos captados no se remansarán en la propia entidad domiciliada en el país o territorio calificado como paraíso fiscal, sino que se localizarán en entidades del Grupo domiciliadas en territorios no calificados como paraíso fiscal que emitan la garantía para su captación”. En cuanto a la consideración de paraíso fiscal señala que "se entenderá que un determinado país o territorio es calificado como paraíso fiscal cuando de acuerdo con la normativa española que resulte de aplicación en cada momento, o con la normativa local que resulte de aplicación en cada caso, tenga dicha consideración".</w:t>
      </w:r>
      <w:r>
        <w:rPr>
          <w:rFonts w:ascii="Open Sans" w:eastAsia="Arial" w:hAnsi="Open Sans" w:cs="Open Sans"/>
          <w:sz w:val="20"/>
        </w:rPr>
        <w:t xml:space="preserve"> </w:t>
      </w:r>
    </w:p>
    <w:p w14:paraId="5775EFB7" w14:textId="77777777" w:rsidR="00C86459" w:rsidRDefault="00C86459" w:rsidP="00C86459">
      <w:pPr>
        <w:pStyle w:val="Normal1"/>
        <w:tabs>
          <w:tab w:val="left" w:pos="7000"/>
        </w:tabs>
        <w:jc w:val="both"/>
        <w:rPr>
          <w:rFonts w:ascii="Open Sans" w:hAnsi="Open Sans" w:cs="Open Sans"/>
          <w:sz w:val="20"/>
          <w:highlight w:val="white"/>
        </w:rPr>
      </w:pPr>
    </w:p>
    <w:p w14:paraId="627A32A5" w14:textId="77777777" w:rsidR="00C86459" w:rsidRDefault="00C86459" w:rsidP="00C86459">
      <w:pPr>
        <w:pStyle w:val="Normal1"/>
        <w:tabs>
          <w:tab w:val="left" w:pos="7000"/>
        </w:tabs>
        <w:jc w:val="both"/>
      </w:pPr>
      <w:r>
        <w:rPr>
          <w:rFonts w:ascii="Open Sans" w:eastAsia="Arial" w:hAnsi="Open Sans" w:cs="Open Sans"/>
          <w:bCs/>
          <w:sz w:val="20"/>
          <w:szCs w:val="22"/>
          <w:highlight w:val="white"/>
        </w:rPr>
        <w:t>Se compromete a informar en las cuentas anuales de las actividades desarrolladas en cada establecimiento en el país o territorio calificado como paraíso fiscal, su naturaleza, sus resultados y los mecanismos establecidos para controlar los posibles riesgos. Sin embargo, tal y como se ha podido comprobar la información aportada es incompleta, pues no incluye suficiente detalle de sus actividades, ni todas las jurisdicciones donde está presente.</w:t>
      </w:r>
    </w:p>
    <w:p w14:paraId="04F5C4C1" w14:textId="77777777" w:rsidR="00C86459" w:rsidRDefault="00C86459" w:rsidP="00C86459">
      <w:pPr>
        <w:ind w:left="1056" w:hanging="360"/>
        <w:rPr>
          <w:rFonts w:ascii="Open Sans" w:hAnsi="Open Sans" w:cs="Open Sans"/>
          <w:bCs/>
          <w:sz w:val="20"/>
          <w:szCs w:val="20"/>
        </w:rPr>
      </w:pPr>
    </w:p>
    <w:p w14:paraId="6389C74D" w14:textId="77777777" w:rsidR="00C86459" w:rsidRDefault="00C86459" w:rsidP="00C86459">
      <w:pPr>
        <w:jc w:val="both"/>
      </w:pPr>
      <w:r>
        <w:rPr>
          <w:rFonts w:ascii="Open Sans" w:hAnsi="Open Sans" w:cs="Open Sans"/>
          <w:bCs/>
          <w:sz w:val="20"/>
          <w:szCs w:val="20"/>
        </w:rPr>
        <w:t xml:space="preserve">En cuanto al propio Consejo de Administración, el Reglamento del Consejo (artículo 3) reserva a este, con carácter indelegable, la aprobación de las políticas y estrategias generales y, en particular, los planes estratégicos o de negocio, los objetivos de gestión y el presupuesto anual, la estrategia fiscal y de capital y liquidez, políticas de inversiones y de financiación, de dividendos y de autocartera, de control y gestión de riesgos (incluidos los fiscales)... “. Sin embargo,  no se ha encontrado información en ningún documento sobre la existencia de una estrategia o política fiscal, ni la adhesión a ningún código voluntario de responsabilidad fiscal, pese a que está adherida al Código sobre Buenas Prácticas Tributarias de la Agencia Tributaria. </w:t>
      </w:r>
    </w:p>
    <w:p w14:paraId="37AFAEBD" w14:textId="77777777" w:rsidR="00C86459" w:rsidRDefault="00C86459" w:rsidP="00C86459">
      <w:pPr>
        <w:jc w:val="both"/>
      </w:pPr>
    </w:p>
    <w:p w14:paraId="69CF535D" w14:textId="77777777" w:rsidR="00C86459" w:rsidRDefault="00C86459" w:rsidP="00C86459">
      <w:pPr>
        <w:jc w:val="both"/>
      </w:pPr>
      <w:r>
        <w:rPr>
          <w:rFonts w:ascii="Open Sans" w:hAnsi="Open Sans" w:cs="Open Sans"/>
          <w:bCs/>
          <w:sz w:val="20"/>
          <w:szCs w:val="20"/>
        </w:rPr>
        <w:t xml:space="preserve">En el Mapa de Riesgos no se incluye de forma explícita el riesgo fiscal. El concepto con más afinidad es el riesgo de cumplimiento y legal, que se corresponde con el riesgo de derivado del incumplimiento del marco legal, las normas internas o los requerimientos de reguladores y supervisores pero sin referencia expresa a temas fiscales. Tampoco se identifican riesgos de naturaleza fiscal relevantes que puedan afectar a la consecución de los objetivos del negocio y se constata que no se ha materializado ningún riesgo fiscal durante el ejercicio 2015. </w:t>
      </w:r>
    </w:p>
    <w:p w14:paraId="51BDF44B" w14:textId="77777777" w:rsidR="00C86459" w:rsidRDefault="00C86459" w:rsidP="00C86459">
      <w:pPr>
        <w:jc w:val="both"/>
        <w:rPr>
          <w:rFonts w:ascii="Open Sans" w:hAnsi="Open Sans" w:cs="Open Sans"/>
          <w:bCs/>
          <w:sz w:val="20"/>
          <w:szCs w:val="20"/>
        </w:rPr>
      </w:pPr>
    </w:p>
    <w:p w14:paraId="7F51D575" w14:textId="77777777" w:rsidR="00C86459" w:rsidRDefault="00C86459" w:rsidP="00C86459">
      <w:pPr>
        <w:jc w:val="both"/>
        <w:rPr>
          <w:rFonts w:ascii="Open Sans" w:hAnsi="Open Sans" w:cs="Open Sans"/>
          <w:bCs/>
          <w:sz w:val="20"/>
          <w:szCs w:val="20"/>
        </w:rPr>
      </w:pPr>
    </w:p>
    <w:p w14:paraId="0176DF25" w14:textId="77777777" w:rsidR="00C86459" w:rsidRPr="00363C08" w:rsidRDefault="00C86459" w:rsidP="00C86459">
      <w:pPr>
        <w:pStyle w:val="Prrafodelista"/>
        <w:spacing w:line="276" w:lineRule="auto"/>
        <w:ind w:left="0"/>
        <w:jc w:val="both"/>
        <w:rPr>
          <w:strike/>
        </w:rPr>
      </w:pPr>
      <w:r>
        <w:rPr>
          <w:rFonts w:ascii="Open Sans" w:hAnsi="Open Sans" w:cs="Open Sans"/>
          <w:bCs/>
          <w:sz w:val="20"/>
          <w:szCs w:val="20"/>
        </w:rPr>
        <w:t>En referencia a su estructura societaria, Banco Santander afirma que n</w:t>
      </w:r>
      <w:r>
        <w:rPr>
          <w:rFonts w:ascii="Open Sans" w:hAnsi="Open Sans" w:cs="Open Sans"/>
          <w:sz w:val="20"/>
          <w:szCs w:val="20"/>
        </w:rPr>
        <w:t>ingún accionista tenía, a 31 de diciembre de 2015, participaciones significativas</w:t>
      </w:r>
      <w:r>
        <w:rPr>
          <w:rStyle w:val="Refdenotaalpie"/>
          <w:rFonts w:ascii="Open Sans" w:hAnsi="Open Sans" w:cs="Open Sans"/>
          <w:sz w:val="20"/>
          <w:szCs w:val="20"/>
        </w:rPr>
        <w:footnoteReference w:id="527"/>
      </w:r>
      <w:r>
        <w:rPr>
          <w:rFonts w:ascii="Open Sans" w:hAnsi="Open Sans" w:cs="Open Sans"/>
          <w:sz w:val="20"/>
          <w:szCs w:val="20"/>
        </w:rPr>
        <w:t xml:space="preserve">. </w:t>
      </w:r>
    </w:p>
    <w:p w14:paraId="485B48CF" w14:textId="77777777" w:rsidR="00C86459" w:rsidRDefault="00C86459" w:rsidP="00C86459">
      <w:pPr>
        <w:pStyle w:val="Prrafodelista"/>
        <w:spacing w:line="276" w:lineRule="auto"/>
        <w:ind w:left="0"/>
        <w:jc w:val="both"/>
        <w:rPr>
          <w:rFonts w:ascii="Open Sans" w:hAnsi="Open Sans" w:cs="Open Sans"/>
          <w:sz w:val="20"/>
          <w:szCs w:val="20"/>
        </w:rPr>
      </w:pPr>
    </w:p>
    <w:p w14:paraId="71051A25" w14:textId="77777777" w:rsidR="00C86459" w:rsidRPr="00A1554D" w:rsidRDefault="00C86459" w:rsidP="000B70C9">
      <w:pPr>
        <w:pStyle w:val="Prrafodelista"/>
        <w:numPr>
          <w:ilvl w:val="0"/>
          <w:numId w:val="42"/>
        </w:numPr>
        <w:tabs>
          <w:tab w:val="clear" w:pos="436"/>
          <w:tab w:val="num" w:pos="720"/>
        </w:tabs>
        <w:suppressAutoHyphens/>
        <w:spacing w:line="276" w:lineRule="auto"/>
        <w:ind w:left="720"/>
        <w:jc w:val="both"/>
        <w:rPr>
          <w:lang w:val="en-GB"/>
        </w:rPr>
      </w:pPr>
      <w:r w:rsidRPr="00A1554D">
        <w:rPr>
          <w:rFonts w:ascii="Open Sans" w:hAnsi="Open Sans" w:cs="Open Sans"/>
          <w:sz w:val="20"/>
          <w:szCs w:val="20"/>
          <w:lang w:val="en-GB"/>
        </w:rPr>
        <w:t xml:space="preserve">La participación de State Street Bank and Trust Company, del 12,62%; </w:t>
      </w:r>
    </w:p>
    <w:p w14:paraId="6BC8E6CA" w14:textId="77777777" w:rsidR="00C86459" w:rsidRPr="00A1554D" w:rsidRDefault="00C86459" w:rsidP="000B70C9">
      <w:pPr>
        <w:pStyle w:val="Prrafodelista"/>
        <w:numPr>
          <w:ilvl w:val="0"/>
          <w:numId w:val="42"/>
        </w:numPr>
        <w:tabs>
          <w:tab w:val="clear" w:pos="436"/>
          <w:tab w:val="num" w:pos="720"/>
        </w:tabs>
        <w:suppressAutoHyphens/>
        <w:spacing w:line="276" w:lineRule="auto"/>
        <w:ind w:left="720"/>
        <w:jc w:val="both"/>
        <w:rPr>
          <w:lang w:val="en-GB"/>
        </w:rPr>
      </w:pPr>
      <w:r w:rsidRPr="00A1554D">
        <w:rPr>
          <w:rFonts w:ascii="Open Sans" w:hAnsi="Open Sans" w:cs="Open Sans"/>
          <w:sz w:val="20"/>
          <w:szCs w:val="20"/>
          <w:lang w:val="en-GB"/>
        </w:rPr>
        <w:t>The Bank of New York Mellon Corporation, del 6,05%;</w:t>
      </w:r>
    </w:p>
    <w:p w14:paraId="154ABC36" w14:textId="77777777" w:rsidR="00C86459" w:rsidRDefault="00C86459" w:rsidP="000B70C9">
      <w:pPr>
        <w:pStyle w:val="Prrafodelista"/>
        <w:numPr>
          <w:ilvl w:val="0"/>
          <w:numId w:val="42"/>
        </w:numPr>
        <w:tabs>
          <w:tab w:val="clear" w:pos="436"/>
          <w:tab w:val="num" w:pos="720"/>
        </w:tabs>
        <w:suppressAutoHyphens/>
        <w:spacing w:line="276" w:lineRule="auto"/>
        <w:ind w:left="720"/>
        <w:jc w:val="both"/>
      </w:pPr>
      <w:r>
        <w:rPr>
          <w:rFonts w:ascii="Open Sans" w:hAnsi="Open Sans" w:cs="Open Sans"/>
          <w:sz w:val="20"/>
          <w:szCs w:val="20"/>
        </w:rPr>
        <w:t xml:space="preserve">Chase Nominees Limited, del 4,84%; </w:t>
      </w:r>
    </w:p>
    <w:p w14:paraId="6F231B96" w14:textId="77777777" w:rsidR="00C86459" w:rsidRDefault="00C86459" w:rsidP="000B70C9">
      <w:pPr>
        <w:pStyle w:val="Prrafodelista"/>
        <w:numPr>
          <w:ilvl w:val="0"/>
          <w:numId w:val="42"/>
        </w:numPr>
        <w:tabs>
          <w:tab w:val="clear" w:pos="436"/>
          <w:tab w:val="num" w:pos="720"/>
        </w:tabs>
        <w:suppressAutoHyphens/>
        <w:spacing w:line="276" w:lineRule="auto"/>
        <w:ind w:left="720"/>
        <w:jc w:val="both"/>
      </w:pPr>
      <w:r>
        <w:rPr>
          <w:rFonts w:ascii="Open Sans" w:hAnsi="Open Sans" w:cs="Open Sans"/>
          <w:sz w:val="20"/>
          <w:szCs w:val="20"/>
        </w:rPr>
        <w:t xml:space="preserve">EC Nominees Limited, del 3,99%; </w:t>
      </w:r>
    </w:p>
    <w:p w14:paraId="30E63DA2" w14:textId="77777777" w:rsidR="00C86459" w:rsidRDefault="00C86459" w:rsidP="000B70C9">
      <w:pPr>
        <w:pStyle w:val="Prrafodelista"/>
        <w:numPr>
          <w:ilvl w:val="0"/>
          <w:numId w:val="42"/>
        </w:numPr>
        <w:tabs>
          <w:tab w:val="clear" w:pos="436"/>
          <w:tab w:val="num" w:pos="720"/>
        </w:tabs>
        <w:suppressAutoHyphens/>
        <w:spacing w:line="276" w:lineRule="auto"/>
        <w:ind w:left="720"/>
        <w:jc w:val="both"/>
      </w:pPr>
      <w:r>
        <w:rPr>
          <w:rFonts w:ascii="Open Sans" w:hAnsi="Open Sans" w:cs="Open Sans"/>
          <w:sz w:val="20"/>
          <w:szCs w:val="20"/>
        </w:rPr>
        <w:t>Société Générale S.A., del 3,81%;</w:t>
      </w:r>
    </w:p>
    <w:p w14:paraId="0BD73850" w14:textId="77777777" w:rsidR="00C86459" w:rsidRPr="00A1554D" w:rsidRDefault="00C86459" w:rsidP="000B70C9">
      <w:pPr>
        <w:pStyle w:val="Prrafodelista"/>
        <w:numPr>
          <w:ilvl w:val="0"/>
          <w:numId w:val="42"/>
        </w:numPr>
        <w:tabs>
          <w:tab w:val="clear" w:pos="436"/>
          <w:tab w:val="num" w:pos="720"/>
        </w:tabs>
        <w:suppressAutoHyphens/>
        <w:spacing w:line="276" w:lineRule="auto"/>
        <w:ind w:left="720"/>
        <w:jc w:val="both"/>
        <w:rPr>
          <w:lang w:val="en-GB"/>
        </w:rPr>
      </w:pPr>
      <w:r w:rsidRPr="00A1554D">
        <w:rPr>
          <w:rFonts w:ascii="Open Sans" w:hAnsi="Open Sans" w:cs="Open Sans"/>
          <w:sz w:val="20"/>
          <w:szCs w:val="20"/>
          <w:lang w:val="en-GB"/>
        </w:rPr>
        <w:t xml:space="preserve">Clearstream Banking S.A., del 3,50%; </w:t>
      </w:r>
    </w:p>
    <w:p w14:paraId="5A97FAFA" w14:textId="77777777" w:rsidR="00C86459" w:rsidRDefault="00C86459" w:rsidP="000B70C9">
      <w:pPr>
        <w:pStyle w:val="Prrafodelista"/>
        <w:numPr>
          <w:ilvl w:val="0"/>
          <w:numId w:val="42"/>
        </w:numPr>
        <w:tabs>
          <w:tab w:val="clear" w:pos="436"/>
          <w:tab w:val="num" w:pos="720"/>
        </w:tabs>
        <w:suppressAutoHyphens/>
        <w:spacing w:line="276" w:lineRule="auto"/>
        <w:ind w:left="720"/>
        <w:jc w:val="both"/>
      </w:pPr>
      <w:r>
        <w:rPr>
          <w:rFonts w:ascii="Open Sans" w:hAnsi="Open Sans" w:cs="Open Sans"/>
          <w:sz w:val="20"/>
          <w:szCs w:val="20"/>
        </w:rPr>
        <w:t>Guaranty Nominees Limited, del 3,23%</w:t>
      </w:r>
    </w:p>
    <w:p w14:paraId="13841F37" w14:textId="77777777" w:rsidR="00C86459" w:rsidRDefault="00C86459" w:rsidP="00C86459">
      <w:pPr>
        <w:pStyle w:val="Prrafodelista"/>
        <w:spacing w:line="276" w:lineRule="auto"/>
        <w:jc w:val="both"/>
      </w:pPr>
    </w:p>
    <w:p w14:paraId="4EAE4504" w14:textId="77777777" w:rsidR="00C86459" w:rsidRDefault="00C86459" w:rsidP="00C86459">
      <w:pPr>
        <w:pStyle w:val="Prrafodelista"/>
        <w:ind w:left="0"/>
        <w:jc w:val="both"/>
      </w:pPr>
      <w:r>
        <w:rPr>
          <w:rFonts w:ascii="Open Sans" w:hAnsi="Open Sans" w:cs="Open Sans"/>
          <w:sz w:val="20"/>
          <w:szCs w:val="20"/>
        </w:rPr>
        <w:t xml:space="preserve">La entidad afirma que lo son por cuenta de sus clientes, sin que al Banco le conste que ninguno de ellos tenga individualmente una participación igual o superior al 3%. Clearstream Banking S.A es una sociedad ubicada en territorio off-shore, Luxemburgo. </w:t>
      </w:r>
    </w:p>
    <w:p w14:paraId="0E9A8199" w14:textId="77777777" w:rsidR="00C86459" w:rsidRDefault="00C86459" w:rsidP="00C86459">
      <w:pPr>
        <w:pStyle w:val="Prrafodelista"/>
        <w:spacing w:line="276" w:lineRule="auto"/>
        <w:ind w:left="0"/>
        <w:jc w:val="both"/>
        <w:rPr>
          <w:rFonts w:ascii="Open Sans" w:hAnsi="Open Sans" w:cs="Open Sans"/>
          <w:sz w:val="20"/>
          <w:szCs w:val="20"/>
        </w:rPr>
      </w:pPr>
    </w:p>
    <w:p w14:paraId="586A8793" w14:textId="77777777" w:rsidR="00C86459" w:rsidRDefault="00C86459" w:rsidP="00C86459">
      <w:pPr>
        <w:jc w:val="both"/>
      </w:pPr>
      <w:r>
        <w:rPr>
          <w:rFonts w:ascii="Open Sans" w:hAnsi="Open Sans" w:cs="Open Sans"/>
          <w:bCs/>
          <w:sz w:val="20"/>
          <w:szCs w:val="20"/>
        </w:rPr>
        <w:t>Como se ha comentado anteriormente en el Informe Bancario Anual 2015</w:t>
      </w:r>
      <w:r>
        <w:rPr>
          <w:rStyle w:val="Refdenotaalpie"/>
          <w:rFonts w:ascii="Open Sans" w:hAnsi="Open Sans" w:cs="Open Sans"/>
          <w:bCs/>
          <w:sz w:val="20"/>
          <w:szCs w:val="20"/>
        </w:rPr>
        <w:footnoteReference w:id="528"/>
      </w:r>
      <w:r>
        <w:rPr>
          <w:rFonts w:ascii="Open Sans" w:hAnsi="Open Sans" w:cs="Open Sans"/>
          <w:bCs/>
          <w:sz w:val="20"/>
          <w:szCs w:val="20"/>
        </w:rPr>
        <w:t xml:space="preserve"> se incluye información desagregada por países del volumen de negocio, N</w:t>
      </w:r>
      <w:proofErr w:type="gramStart"/>
      <w:r>
        <w:rPr>
          <w:rFonts w:ascii="Open Sans" w:hAnsi="Open Sans" w:cs="Open Sans"/>
          <w:bCs/>
          <w:sz w:val="20"/>
          <w:szCs w:val="20"/>
        </w:rPr>
        <w:t>.º</w:t>
      </w:r>
      <w:proofErr w:type="gramEnd"/>
      <w:r>
        <w:rPr>
          <w:rFonts w:ascii="Open Sans" w:hAnsi="Open Sans" w:cs="Open Sans"/>
          <w:bCs/>
          <w:sz w:val="20"/>
          <w:szCs w:val="20"/>
        </w:rPr>
        <w:t xml:space="preserve"> de empleados, BAI e Impuesto sobre resultados. Así mismo, en el Informe de Sostenibilidad 2015, la entidad informa de la cantidad de impuestos directos e indirectos que paga en los que considera que son los países donde tiene mayor actividad. Esta información viene acompañada de una declaración del Grupo Santander en referencia </w:t>
      </w:r>
      <w:r>
        <w:rPr>
          <w:rFonts w:ascii="Open Sans" w:eastAsia="Arial" w:hAnsi="Open Sans" w:cs="Open Sans"/>
          <w:bCs/>
          <w:sz w:val="20"/>
          <w:szCs w:val="20"/>
        </w:rPr>
        <w:t>la relevancia que el pago de impuestos tiene sobre la sociedad informando de su contribución impositiva en su memoria de sostenibilidad dentro del apartado de Inversión en la Comunidad. En este apartado se proporciona información y datos del pago de los impuestos soportados directamente por el Grupo y de la recaudación de impuestos de terceros generados por el desarrollo de su actividad económica, desglosado por países y regiones.</w:t>
      </w:r>
    </w:p>
    <w:p w14:paraId="09DFE6B3" w14:textId="77777777" w:rsidR="00C86459" w:rsidRDefault="00C86459" w:rsidP="00C86459">
      <w:pPr>
        <w:rPr>
          <w:rFonts w:ascii="Open Sans" w:hAnsi="Open Sans" w:cs="Open Sans"/>
          <w:bCs/>
          <w:sz w:val="20"/>
          <w:szCs w:val="20"/>
        </w:rPr>
      </w:pPr>
    </w:p>
    <w:p w14:paraId="6DA221C3" w14:textId="77777777" w:rsidR="00C86459" w:rsidRDefault="00C86459" w:rsidP="00C86459">
      <w:pPr>
        <w:jc w:val="both"/>
      </w:pPr>
      <w:r>
        <w:rPr>
          <w:rFonts w:ascii="Open Sans" w:hAnsi="Open Sans" w:cs="Open Sans"/>
          <w:bCs/>
          <w:color w:val="000000"/>
          <w:sz w:val="20"/>
          <w:szCs w:val="20"/>
        </w:rPr>
        <w:t>A nivel de grupo, Banco Santander publica la tasa impositiva efectiva y la tasa impositiva nominal del impuesto de sociedades del grupo consolidado. La tasa efectiva impositiva a nivel consolidado es del 23% debido al e</w:t>
      </w:r>
      <w:r>
        <w:rPr>
          <w:rFonts w:ascii="Open Sans" w:hAnsi="Open Sans" w:cs="Open Sans"/>
          <w:bCs/>
          <w:sz w:val="20"/>
          <w:szCs w:val="20"/>
        </w:rPr>
        <w:t xml:space="preserve">fecto sobre la tasa de la aplicación de las diferentes tasas impositivas aplicables en cada país, del resultado de entidades asociadas y multigrupo, de la deducción del fondo de comercio en Brasil, de la revisión de impuestos diferidos, diferencias permanentes y reversión de pasivos fiscales. </w:t>
      </w:r>
    </w:p>
    <w:p w14:paraId="7FF633A4" w14:textId="77777777" w:rsidR="00C86459" w:rsidRDefault="00C86459" w:rsidP="00C86459">
      <w:pPr>
        <w:ind w:left="1800"/>
        <w:rPr>
          <w:rFonts w:ascii="Open Sans" w:hAnsi="Open Sans" w:cs="Open Sans"/>
          <w:bCs/>
          <w:sz w:val="20"/>
          <w:szCs w:val="20"/>
        </w:rPr>
      </w:pPr>
    </w:p>
    <w:p w14:paraId="232819E2" w14:textId="77777777" w:rsidR="00C86459" w:rsidRDefault="00C86459" w:rsidP="00C86459">
      <w:pPr>
        <w:jc w:val="both"/>
      </w:pPr>
      <w:r>
        <w:rPr>
          <w:rFonts w:ascii="Open Sans" w:hAnsi="Open Sans" w:cs="Open Sans"/>
          <w:bCs/>
          <w:sz w:val="20"/>
          <w:szCs w:val="20"/>
        </w:rPr>
        <w:t>Respecto a los beneficios y conceptos aplicados para reducir el pago de impuesto sobre beneficios, la entidad afirma que interpretándose el concepto de Subvenciones según la Guía de Ayudas de Estado de la Comisión Europea y, en dicho, contexto, las sociedades que forman el Grupo no han recibido subvenciones o ayudas públicas en 2015.</w:t>
      </w:r>
    </w:p>
    <w:p w14:paraId="5475BDF4" w14:textId="77777777" w:rsidR="00C86459" w:rsidRDefault="00C86459" w:rsidP="00C86459">
      <w:pPr>
        <w:rPr>
          <w:rFonts w:ascii="Open Sans" w:hAnsi="Open Sans" w:cs="Open Sans"/>
          <w:bCs/>
          <w:sz w:val="20"/>
          <w:szCs w:val="20"/>
        </w:rPr>
      </w:pPr>
    </w:p>
    <w:p w14:paraId="44052516" w14:textId="77777777" w:rsidR="00C86459" w:rsidRDefault="00C86459" w:rsidP="00C86459">
      <w:pPr>
        <w:pStyle w:val="Normal1"/>
        <w:jc w:val="both"/>
      </w:pPr>
      <w:r>
        <w:rPr>
          <w:rFonts w:ascii="Open Sans" w:eastAsia="Arial" w:hAnsi="Open Sans" w:cs="Open Sans"/>
          <w:bCs/>
          <w:sz w:val="20"/>
        </w:rPr>
        <w:t>Como se mencionó en el informe de 2014, podría considerarse ayudas no solamente la inyección directa en el capital, sino también los EPA (esquema de protección de activos) y la compra de activos por parte del SAREB. Según una información de El Confidencial “</w:t>
      </w:r>
      <w:r>
        <w:rPr>
          <w:rFonts w:ascii="Open Sans" w:hAnsi="Open Sans" w:cs="Open Sans"/>
          <w:bCs/>
          <w:sz w:val="20"/>
        </w:rPr>
        <w:t>Bruselas considera que las ayudas públicas vienen porque el</w:t>
      </w:r>
      <w:r>
        <w:rPr>
          <w:rStyle w:val="apple-converted-space"/>
          <w:rFonts w:ascii="Open Sans" w:hAnsi="Open Sans" w:cs="Open Sans"/>
          <w:bCs/>
          <w:sz w:val="20"/>
        </w:rPr>
        <w:t> </w:t>
      </w:r>
      <w:r w:rsidRPr="00C86459">
        <w:rPr>
          <w:rStyle w:val="Textoennegrita1"/>
          <w:rFonts w:ascii="Open Sans" w:hAnsi="Open Sans" w:cs="Open Sans"/>
          <w:b w:val="0"/>
          <w:sz w:val="20"/>
        </w:rPr>
        <w:t>precio pagado por Sareb a los bancos por sus activos (el precio de transferencia) es superior al de mercado</w:t>
      </w:r>
      <w:r w:rsidRPr="00C86459">
        <w:rPr>
          <w:rFonts w:ascii="Open Sans" w:hAnsi="Open Sans" w:cs="Open Sans"/>
          <w:b/>
          <w:bCs/>
          <w:sz w:val="20"/>
        </w:rPr>
        <w:t>.</w:t>
      </w:r>
      <w:r>
        <w:rPr>
          <w:rFonts w:ascii="Open Sans" w:hAnsi="Open Sans" w:cs="Open Sans"/>
          <w:bCs/>
          <w:sz w:val="20"/>
        </w:rPr>
        <w:t xml:space="preserve"> Y como ese sobreprecio no lo habrían conseguido vendiendo los activos en el mercado, es ayuda de Estado. Dicho de otra forma, que los descuentos con los que se han traspasado los créditos y los inmuebles deberían haber sido mayores (</w:t>
      </w:r>
      <w:hyperlink r:id="rId116" w:history="1">
        <w:r>
          <w:rPr>
            <w:rStyle w:val="Hipervnculo"/>
            <w:rFonts w:ascii="Open Sans" w:hAnsi="Open Sans" w:cs="Open Sans"/>
            <w:bCs/>
            <w:sz w:val="20"/>
          </w:rPr>
          <w:t>Bruselas lo cifra en el 72% como media y el 75% para los pisos terminados</w:t>
        </w:r>
      </w:hyperlink>
      <w:r>
        <w:rPr>
          <w:rFonts w:ascii="Open Sans" w:hAnsi="Open Sans" w:cs="Open Sans"/>
          <w:bCs/>
          <w:sz w:val="20"/>
        </w:rPr>
        <w:t>), lo que habría obligado a más provisiones, más pérdidas y más inyecciones de capital público. En vez de eso, se ha pagado un sobreprecio, lo que ha evitado esas inyecciones, pero el impacto es el mismo. Por eso es una ayuda pública”. Se desconoce si el Banco Santander ha vendido activos al Sareb o ha hecho uso de la EPA, aunque sí que es uno de los principales accionistas del Sareb.</w:t>
      </w:r>
    </w:p>
    <w:p w14:paraId="146CA8F8" w14:textId="77777777" w:rsidR="00C86459" w:rsidRDefault="00C86459" w:rsidP="00C86459">
      <w:pPr>
        <w:rPr>
          <w:rFonts w:ascii="Open Sans" w:hAnsi="Open Sans" w:cs="Open Sans"/>
          <w:bCs/>
          <w:sz w:val="20"/>
          <w:szCs w:val="20"/>
        </w:rPr>
      </w:pPr>
    </w:p>
    <w:p w14:paraId="279ADBC1" w14:textId="77777777" w:rsidR="00C86459" w:rsidRDefault="00C86459" w:rsidP="00C86459">
      <w:pPr>
        <w:jc w:val="both"/>
      </w:pPr>
      <w:r>
        <w:rPr>
          <w:rFonts w:ascii="Open Sans" w:hAnsi="Open Sans" w:cs="Open Sans"/>
          <w:bCs/>
          <w:sz w:val="20"/>
          <w:szCs w:val="20"/>
        </w:rPr>
        <w:t xml:space="preserve">No se ha encontrado información específica sobre exenciones. Las deducciones y los créditos fiscales por bases imponibles negativas se presentan de forma agregada por países principales. Para el conjunto del grupo ascienden a 4,808M€ de los cuales en España ascienden a 3.227M€, en Brasil a 232M€ y en EEUU a 1.078M€. Adicionalmente apunta que no ha reconocido otros activos fiscales, deducciones,.. </w:t>
      </w:r>
      <w:proofErr w:type="gramStart"/>
      <w:r>
        <w:rPr>
          <w:rFonts w:ascii="Open Sans" w:hAnsi="Open Sans" w:cs="Open Sans"/>
          <w:bCs/>
          <w:sz w:val="20"/>
          <w:szCs w:val="20"/>
        </w:rPr>
        <w:t>por</w:t>
      </w:r>
      <w:proofErr w:type="gramEnd"/>
      <w:r>
        <w:rPr>
          <w:rFonts w:ascii="Open Sans" w:hAnsi="Open Sans" w:cs="Open Sans"/>
          <w:bCs/>
          <w:sz w:val="20"/>
          <w:szCs w:val="20"/>
        </w:rPr>
        <w:t xml:space="preserve"> importe de 8.100M€.</w:t>
      </w:r>
    </w:p>
    <w:p w14:paraId="7AED54A6" w14:textId="77777777" w:rsidR="00C86459" w:rsidRDefault="00C86459" w:rsidP="00C86459">
      <w:pPr>
        <w:rPr>
          <w:rFonts w:ascii="Open Sans" w:hAnsi="Open Sans" w:cs="Open Sans"/>
          <w:bCs/>
          <w:sz w:val="20"/>
          <w:szCs w:val="20"/>
        </w:rPr>
      </w:pPr>
    </w:p>
    <w:p w14:paraId="7DD566D4" w14:textId="77777777" w:rsidR="00C86459" w:rsidRDefault="00C86459" w:rsidP="00C86459">
      <w:pPr>
        <w:jc w:val="both"/>
      </w:pPr>
      <w:r>
        <w:rPr>
          <w:rFonts w:ascii="Open Sans" w:hAnsi="Open Sans" w:cs="Open Sans"/>
          <w:bCs/>
          <w:sz w:val="20"/>
          <w:szCs w:val="20"/>
        </w:rPr>
        <w:t>No se ha encontrado mención en los diferentes informes sobre la existencia de una relación cooperativa con las administraciones tributarias</w:t>
      </w:r>
      <w:r>
        <w:rPr>
          <w:rFonts w:ascii="Open Sans" w:hAnsi="Open Sans" w:cs="Open Sans"/>
          <w:color w:val="000000"/>
          <w:sz w:val="20"/>
          <w:szCs w:val="20"/>
        </w:rPr>
        <w:t xml:space="preserve"> en cada uno de los países en los que opera más allá de aseguramiento de cumplir obligaciones fiscales. En el IAGB 2015</w:t>
      </w:r>
      <w:r>
        <w:rPr>
          <w:rStyle w:val="Refdenotaalpie"/>
          <w:rFonts w:ascii="Open Sans" w:hAnsi="Open Sans" w:cs="Open Sans"/>
          <w:color w:val="000000"/>
          <w:sz w:val="20"/>
          <w:szCs w:val="20"/>
        </w:rPr>
        <w:footnoteReference w:id="529"/>
      </w:r>
      <w:r>
        <w:rPr>
          <w:rFonts w:ascii="Open Sans" w:hAnsi="Open Sans" w:cs="Open Sans"/>
          <w:color w:val="000000"/>
          <w:sz w:val="20"/>
          <w:szCs w:val="20"/>
        </w:rPr>
        <w:t xml:space="preserve"> cuando se refiere al ni</w:t>
      </w:r>
      <w:r>
        <w:rPr>
          <w:rFonts w:ascii="Open Sans" w:hAnsi="Open Sans" w:cs="Open Sans"/>
          <w:bCs/>
          <w:sz w:val="20"/>
          <w:szCs w:val="20"/>
        </w:rPr>
        <w:t>vel de tolerancia al riesgo dice “</w:t>
      </w:r>
      <w:r>
        <w:rPr>
          <w:rFonts w:ascii="Open Sans" w:hAnsi="Open Sans" w:cs="Open Sans"/>
          <w:bCs/>
          <w:i/>
          <w:iCs/>
          <w:sz w:val="20"/>
          <w:szCs w:val="20"/>
        </w:rPr>
        <w:t>El desarrollo de su actividad en base a un modelo de conducta que vele por los intereses de sus clientes y accionistas y demás grupos de interés, incluidas las distintas Administraciones tributarias</w:t>
      </w:r>
      <w:r>
        <w:rPr>
          <w:rFonts w:ascii="Open Sans" w:hAnsi="Open Sans" w:cs="Open Sans"/>
          <w:bCs/>
          <w:sz w:val="20"/>
          <w:szCs w:val="20"/>
        </w:rPr>
        <w:t>”.</w:t>
      </w:r>
    </w:p>
    <w:p w14:paraId="7ED6BD09" w14:textId="77777777" w:rsidR="00C86459" w:rsidRDefault="00C86459" w:rsidP="00C86459">
      <w:pPr>
        <w:rPr>
          <w:rFonts w:ascii="Open Sans" w:hAnsi="Open Sans" w:cs="Open Sans"/>
          <w:bCs/>
          <w:sz w:val="20"/>
          <w:szCs w:val="20"/>
        </w:rPr>
      </w:pPr>
    </w:p>
    <w:p w14:paraId="0F1F0360" w14:textId="77777777" w:rsidR="00C86459" w:rsidRDefault="00C86459" w:rsidP="00C86459">
      <w:pPr>
        <w:jc w:val="both"/>
      </w:pPr>
      <w:r>
        <w:rPr>
          <w:rFonts w:ascii="Open Sans" w:hAnsi="Open Sans" w:cs="Open Sans"/>
          <w:bCs/>
          <w:sz w:val="20"/>
          <w:szCs w:val="20"/>
        </w:rPr>
        <w:t xml:space="preserve">En cuanto a las relaciones de Banco Santander con </w:t>
      </w:r>
      <w:r>
        <w:rPr>
          <w:rFonts w:ascii="Open Sans" w:hAnsi="Open Sans" w:cs="Open Sans"/>
          <w:color w:val="000000"/>
          <w:sz w:val="20"/>
          <w:szCs w:val="20"/>
        </w:rPr>
        <w:t xml:space="preserve">legisladores y políticos, no ha sido posible encontrar información al respecto en los informes. Todo y así se cree relevante mencionar que Banco Santander es uno de los patronos de Fedea (Fundación de Estudios de Economía Aplicada). </w:t>
      </w:r>
      <w:r>
        <w:rPr>
          <w:rFonts w:ascii="Open Sans" w:hAnsi="Open Sans" w:cs="Open Sans"/>
          <w:bCs/>
          <w:color w:val="000000"/>
          <w:sz w:val="20"/>
          <w:szCs w:val="20"/>
        </w:rPr>
        <w:t>Según consta en la página Web</w:t>
      </w:r>
      <w:r>
        <w:rPr>
          <w:rStyle w:val="Refdenotaalpie"/>
          <w:rFonts w:ascii="Open Sans" w:hAnsi="Open Sans" w:cs="Open Sans"/>
          <w:bCs/>
          <w:color w:val="000000"/>
          <w:sz w:val="20"/>
          <w:szCs w:val="20"/>
        </w:rPr>
        <w:footnoteReference w:id="530"/>
      </w:r>
      <w:r>
        <w:rPr>
          <w:rFonts w:ascii="Open Sans" w:hAnsi="Open Sans" w:cs="Open Sans"/>
          <w:bCs/>
          <w:color w:val="000000"/>
          <w:sz w:val="20"/>
          <w:szCs w:val="20"/>
        </w:rPr>
        <w:t xml:space="preserve"> de la Fundación “</w:t>
      </w:r>
      <w:r>
        <w:rPr>
          <w:rFonts w:ascii="Open Sans" w:hAnsi="Open Sans" w:cs="Open Sans"/>
          <w:bCs/>
          <w:i/>
          <w:iCs/>
          <w:sz w:val="20"/>
          <w:szCs w:val="20"/>
        </w:rPr>
        <w:t xml:space="preserve">Los Patronos de Fedea apuestan por el futuro de nuestro país, conscientes de que la madurez de nuestro sistema de convivencia requiere de este tipo de instituciones. Representan a entidades que a lo largo de estos años han puesto en marcha proyectos propios de responsabilidad social corporativa que complementan la labor que han promovido en Fedea. Crear las condiciones para que surjan nuevas ideas que informen el diseño de la política </w:t>
      </w:r>
      <w:r>
        <w:rPr>
          <w:rFonts w:ascii="Open Sans" w:hAnsi="Open Sans" w:cs="Open Sans"/>
          <w:i/>
          <w:iCs/>
          <w:sz w:val="20"/>
          <w:szCs w:val="20"/>
        </w:rPr>
        <w:t>pública española ha sido la aportación fundamental de los Patronos a través de Fedea</w:t>
      </w:r>
      <w:r>
        <w:rPr>
          <w:rFonts w:ascii="Open Sans" w:hAnsi="Open Sans" w:cs="Open Sans"/>
          <w:sz w:val="20"/>
          <w:szCs w:val="20"/>
        </w:rPr>
        <w:t xml:space="preserve">.”.  </w:t>
      </w:r>
    </w:p>
    <w:p w14:paraId="33D12C27" w14:textId="77777777" w:rsidR="00C86459" w:rsidRDefault="00C86459" w:rsidP="00C86459">
      <w:pPr>
        <w:rPr>
          <w:rFonts w:ascii="Open Sans" w:hAnsi="Open Sans" w:cs="Open Sans"/>
          <w:sz w:val="20"/>
          <w:szCs w:val="20"/>
        </w:rPr>
      </w:pPr>
    </w:p>
    <w:p w14:paraId="7A97A96F" w14:textId="77777777" w:rsidR="00C86459" w:rsidRDefault="00C86459" w:rsidP="00C86459">
      <w:pPr>
        <w:jc w:val="both"/>
      </w:pPr>
      <w:r>
        <w:rPr>
          <w:rFonts w:ascii="Open Sans" w:hAnsi="Open Sans" w:cs="Open Sans"/>
          <w:sz w:val="20"/>
          <w:szCs w:val="20"/>
        </w:rPr>
        <w:t xml:space="preserve">Por lo que respecte a discrepancias con la Administración Tributaria, Banco de Santander provisiona para impuestos 997M€ que incluyen provisiones para procesos de naturaleza fiscal, sin ofrecer más información sobre los procesos fiscales (tipo, importe…) que ha originado la provisión. </w:t>
      </w:r>
    </w:p>
    <w:p w14:paraId="274BFC4A" w14:textId="77777777" w:rsidR="00C86459" w:rsidRDefault="00C86459" w:rsidP="00C86459">
      <w:pPr>
        <w:jc w:val="both"/>
        <w:rPr>
          <w:rFonts w:ascii="Open Sans" w:hAnsi="Open Sans" w:cs="Open Sans"/>
          <w:sz w:val="20"/>
          <w:szCs w:val="20"/>
        </w:rPr>
      </w:pPr>
    </w:p>
    <w:p w14:paraId="291A6B31" w14:textId="77777777" w:rsidR="00C86459" w:rsidRDefault="00C86459" w:rsidP="00C86459">
      <w:pPr>
        <w:jc w:val="both"/>
      </w:pPr>
      <w:r>
        <w:rPr>
          <w:rFonts w:ascii="Open Sans" w:hAnsi="Open Sans" w:cs="Open Sans"/>
          <w:sz w:val="20"/>
          <w:szCs w:val="20"/>
        </w:rPr>
        <w:t xml:space="preserve">Así mismo, no se ha encontrado información sobre la existencia de deudas tributarias. </w:t>
      </w:r>
    </w:p>
    <w:p w14:paraId="758EF523" w14:textId="77777777" w:rsidR="00C86459" w:rsidRDefault="00C86459" w:rsidP="00C86459">
      <w:pPr>
        <w:jc w:val="both"/>
        <w:rPr>
          <w:rFonts w:ascii="Open Sans" w:hAnsi="Open Sans" w:cs="Open Sans"/>
          <w:sz w:val="20"/>
          <w:szCs w:val="20"/>
        </w:rPr>
      </w:pPr>
    </w:p>
    <w:p w14:paraId="085F44B7" w14:textId="77777777" w:rsidR="00C86459" w:rsidRDefault="00C86459" w:rsidP="00C86459">
      <w:pPr>
        <w:jc w:val="both"/>
      </w:pPr>
      <w:r>
        <w:rPr>
          <w:rFonts w:ascii="Open Sans" w:hAnsi="Open Sans" w:cs="Open Sans"/>
          <w:sz w:val="20"/>
          <w:szCs w:val="20"/>
        </w:rPr>
        <w:t>Respecto a litigios pendientes con administraciones tributarias, la entidad proporciona información sobre el tipo de litigio (acción judicial, liquidaciones complementarias, procesos administrativos y judiciales, y autos de infracción), motivo del litigio, ejercicio fiscal y elemento fiscal afectado (Impuesto sobre beneficios, liquidación de impuestos, cotizaciones de la seguridad social, deducción por doble imposición y tratamiento fiscal de determinadas operaciones). No se informa del número concreto de litigios en curso ni de la cantidad sujeta a reclamación, ni de la provisión por el importe de la pérdida estimada (en algunos casos no ha provisionado por considerarse un pasivo contingente).  La mayor parte de los litigios se han interpuesto a Banco Santander (Brasil) S.A., a excepción de una acción judicial interpuesta por Santander Holdings USA Inc y unas reclamaciones a Santander UK plc por el tratamiento fiscal de determinadas operaciones.</w:t>
      </w:r>
    </w:p>
    <w:p w14:paraId="49DBE3D7" w14:textId="77777777" w:rsidR="00C86459" w:rsidRDefault="00C86459" w:rsidP="00C86459">
      <w:pPr>
        <w:jc w:val="both"/>
        <w:rPr>
          <w:rFonts w:ascii="Open Sans" w:hAnsi="Open Sans" w:cs="Open Sans"/>
          <w:sz w:val="20"/>
          <w:szCs w:val="20"/>
        </w:rPr>
      </w:pPr>
    </w:p>
    <w:p w14:paraId="13C09443" w14:textId="77777777" w:rsidR="00C86459" w:rsidRDefault="00C86459" w:rsidP="00C86459">
      <w:pPr>
        <w:jc w:val="both"/>
      </w:pPr>
      <w:r>
        <w:rPr>
          <w:rFonts w:ascii="Open Sans" w:hAnsi="Open Sans" w:cs="Open Sans"/>
          <w:sz w:val="20"/>
          <w:szCs w:val="20"/>
        </w:rPr>
        <w:t xml:space="preserve">Estos dos últimos litigios han sido resueltos en 2015. En el caso de Santander Holdings USA Inc afectaba a la aplicación de una deducción por doble imposición internacional que se ha fallado favorablemente, y en el caso de Santander UK plc se ha fallado a favor de las autoridades fiscales británicas. También en 2015 se ha resuelto favorablemente un auto de infracción contra Banco Santander (Brasil) S.A. en relación al impuesto sobre beneficios de 2009. Tanto en el caso de USA como de Brasil es posible que las autoridades fiscales recurran la resolución.  Tampoco en este caso se proporcionan datos sobre el importe afectado ni del impacto que tienen estas resoluciones en la entidad. </w:t>
      </w:r>
    </w:p>
    <w:p w14:paraId="5E048A0E" w14:textId="77777777" w:rsidR="00C86459" w:rsidRDefault="00C86459" w:rsidP="00C86459">
      <w:pPr>
        <w:jc w:val="both"/>
        <w:rPr>
          <w:rFonts w:ascii="Open Sans" w:hAnsi="Open Sans" w:cs="Open Sans"/>
          <w:bCs/>
          <w:sz w:val="20"/>
          <w:szCs w:val="20"/>
        </w:rPr>
      </w:pPr>
    </w:p>
    <w:p w14:paraId="6F31325F" w14:textId="77777777" w:rsidR="00C86459" w:rsidRDefault="00C86459" w:rsidP="00C86459">
      <w:pPr>
        <w:jc w:val="both"/>
      </w:pPr>
      <w:r>
        <w:rPr>
          <w:rFonts w:ascii="Open Sans" w:hAnsi="Open Sans" w:cs="Open Sans"/>
          <w:bCs/>
          <w:sz w:val="20"/>
          <w:szCs w:val="20"/>
        </w:rPr>
        <w:t xml:space="preserve">Banco Santander presenta las operaciones que realiza con partes vinculadas (entidades del grupo, asociadas, multigrupo, miembros del consejo de administración, directores generales y otros), en base a la actividad propia de la entidad. Esto es, operaciones de activo, pasivo, pérdidas y ganancias y otras operaciones financieras.  No se presentan datos, ni a nivel de Banco Santander S.A. ni consolidado, sobre las compras intragrupo, la gestión de propiedad intelectual, operaciones de financiación…. Ni información sobre las sociedades implicadas en las operaciones, ni del peso que tienen estas operaciones dentro del grupo. Sería recomendable proporcionar información más detallada sobre este tipo de relaciones para poder valorar a qué motivación responden este tipo de operaciones. </w:t>
      </w:r>
    </w:p>
    <w:p w14:paraId="4D6646F2" w14:textId="77777777" w:rsidR="00C86459" w:rsidRDefault="00C86459" w:rsidP="00C86459">
      <w:pPr>
        <w:rPr>
          <w:rFonts w:ascii="Open Sans" w:hAnsi="Open Sans" w:cs="Open Sans"/>
          <w:bCs/>
          <w:sz w:val="20"/>
          <w:szCs w:val="20"/>
        </w:rPr>
      </w:pPr>
    </w:p>
    <w:p w14:paraId="67BC830F" w14:textId="77777777" w:rsidR="00C86459" w:rsidRDefault="00C86459" w:rsidP="00C86459">
      <w:pPr>
        <w:jc w:val="both"/>
      </w:pPr>
      <w:r>
        <w:rPr>
          <w:rFonts w:ascii="Open Sans" w:hAnsi="Open Sans" w:cs="Open Sans"/>
          <w:bCs/>
          <w:sz w:val="20"/>
          <w:szCs w:val="20"/>
        </w:rPr>
        <w:t>Así mismo, tampoco se informa como se fijan los precios de transferencia de dichas operaciones. La entidad se limita a afirmar que las condiciones son “</w:t>
      </w:r>
      <w:r>
        <w:rPr>
          <w:rFonts w:ascii="Open Sans" w:hAnsi="Open Sans" w:cs="Open Sans"/>
          <w:bCs/>
          <w:i/>
          <w:iCs/>
          <w:sz w:val="20"/>
          <w:szCs w:val="20"/>
        </w:rPr>
        <w:t>equivalentes a les que se da en transacciones hechas en condiciones de mercado o se han imputado las correspondientes retribuciones en especie</w:t>
      </w:r>
      <w:r>
        <w:rPr>
          <w:rFonts w:ascii="Open Sans" w:hAnsi="Open Sans" w:cs="Open Sans"/>
          <w:bCs/>
          <w:sz w:val="20"/>
          <w:szCs w:val="20"/>
        </w:rPr>
        <w:t>”.</w:t>
      </w:r>
      <w:r>
        <w:rPr>
          <w:rStyle w:val="Refdenotaalpie"/>
          <w:rFonts w:ascii="Open Sans" w:hAnsi="Open Sans" w:cs="Open Sans"/>
          <w:bCs/>
          <w:sz w:val="20"/>
          <w:szCs w:val="20"/>
        </w:rPr>
        <w:footnoteReference w:id="531"/>
      </w:r>
      <w:r>
        <w:rPr>
          <w:rFonts w:ascii="Open Sans" w:hAnsi="Open Sans" w:cs="Open Sans"/>
          <w:bCs/>
          <w:sz w:val="20"/>
          <w:szCs w:val="20"/>
        </w:rPr>
        <w:t xml:space="preserve"> </w:t>
      </w:r>
    </w:p>
    <w:p w14:paraId="45FCCBC9" w14:textId="77777777" w:rsidR="00C86459" w:rsidRDefault="00C86459" w:rsidP="00C86459">
      <w:pPr>
        <w:rPr>
          <w:rFonts w:ascii="Open Sans" w:hAnsi="Open Sans" w:cs="Open Sans"/>
          <w:bCs/>
          <w:sz w:val="20"/>
          <w:szCs w:val="20"/>
        </w:rPr>
      </w:pPr>
    </w:p>
    <w:p w14:paraId="0E22C918" w14:textId="77777777" w:rsidR="00C86459" w:rsidRDefault="00C86459" w:rsidP="00C86459">
      <w:pPr>
        <w:jc w:val="both"/>
      </w:pPr>
      <w:r>
        <w:rPr>
          <w:rFonts w:ascii="Open Sans" w:hAnsi="Open Sans" w:cs="Open Sans"/>
          <w:bCs/>
          <w:sz w:val="20"/>
          <w:szCs w:val="20"/>
        </w:rPr>
        <w:t xml:space="preserve">A mencionar que Banco Santander informa de las operaciones intragrupo realizadas en territorios off-shore, que han sido eliminadas en el proceso de consolidación. Igualmente se trata de  operaciones relativas a la actividad propia de la entidad, se detalla tipo de operación, importe, sociedad implicada y beneficio o pérdida generado. También </w:t>
      </w:r>
      <w:proofErr w:type="gramStart"/>
      <w:r>
        <w:rPr>
          <w:rFonts w:ascii="Open Sans" w:hAnsi="Open Sans" w:cs="Open Sans"/>
          <w:bCs/>
          <w:sz w:val="20"/>
          <w:szCs w:val="20"/>
        </w:rPr>
        <w:t>sería</w:t>
      </w:r>
      <w:proofErr w:type="gramEnd"/>
      <w:r>
        <w:rPr>
          <w:rFonts w:ascii="Open Sans" w:hAnsi="Open Sans" w:cs="Open Sans"/>
          <w:bCs/>
          <w:sz w:val="20"/>
          <w:szCs w:val="20"/>
        </w:rPr>
        <w:t xml:space="preserve"> recomendable los precios de transferencia. </w:t>
      </w:r>
    </w:p>
    <w:p w14:paraId="678966D9" w14:textId="77777777" w:rsidR="00C86459" w:rsidRDefault="00C86459" w:rsidP="00C86459">
      <w:pPr>
        <w:rPr>
          <w:rFonts w:ascii="Open Sans" w:hAnsi="Open Sans" w:cs="Open Sans"/>
          <w:bCs/>
          <w:sz w:val="20"/>
          <w:szCs w:val="20"/>
        </w:rPr>
      </w:pPr>
    </w:p>
    <w:p w14:paraId="1D3B7777" w14:textId="77777777" w:rsidR="00C86459" w:rsidRDefault="00C86459" w:rsidP="00C86459">
      <w:pPr>
        <w:rPr>
          <w:rFonts w:ascii="Open Sans" w:hAnsi="Open Sans" w:cs="Open Sans"/>
          <w:bCs/>
          <w:sz w:val="20"/>
          <w:szCs w:val="20"/>
        </w:rPr>
      </w:pPr>
    </w:p>
    <w:p w14:paraId="0D62C189" w14:textId="77777777" w:rsidR="00C86459" w:rsidRDefault="00C86459" w:rsidP="00C86459">
      <w:r>
        <w:rPr>
          <w:rFonts w:ascii="Open Sans" w:hAnsi="Open Sans" w:cs="Open Sans"/>
          <w:b/>
          <w:sz w:val="22"/>
          <w:szCs w:val="22"/>
          <w:u w:val="single"/>
        </w:rPr>
        <w:t>5. Conclusiones</w:t>
      </w:r>
    </w:p>
    <w:p w14:paraId="20A76C2E" w14:textId="77777777" w:rsidR="00C86459" w:rsidRDefault="00C86459" w:rsidP="00C86459">
      <w:pPr>
        <w:rPr>
          <w:rFonts w:ascii="Open Sans" w:hAnsi="Open Sans" w:cs="Open Sans"/>
          <w:bCs/>
          <w:sz w:val="22"/>
          <w:szCs w:val="22"/>
          <w:u w:val="single"/>
        </w:rPr>
      </w:pPr>
    </w:p>
    <w:p w14:paraId="51EDD828" w14:textId="77777777" w:rsidR="00C86459" w:rsidRDefault="00C86459" w:rsidP="00C86459">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Banco Santander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0,79</w:t>
      </w:r>
      <w:r>
        <w:rPr>
          <w:rFonts w:ascii="Open Sans" w:hAnsi="Open Sans" w:cs="Open Sans"/>
          <w:color w:val="auto"/>
          <w:sz w:val="20"/>
          <w:szCs w:val="20"/>
        </w:rPr>
        <w:t xml:space="preserve"> sobre un máximo de 3, lo que sitúa a la información en un estadio de </w:t>
      </w:r>
      <w:r w:rsidRPr="00A85716">
        <w:rPr>
          <w:rFonts w:ascii="Open Sans" w:hAnsi="Open Sans" w:cs="Open Sans"/>
          <w:i/>
          <w:color w:val="auto"/>
          <w:sz w:val="20"/>
          <w:szCs w:val="20"/>
        </w:rPr>
        <w:t>escasa</w:t>
      </w:r>
      <w:r>
        <w:rPr>
          <w:rFonts w:ascii="Open Sans" w:hAnsi="Open Sans" w:cs="Open Sans"/>
          <w:color w:val="auto"/>
          <w:sz w:val="20"/>
          <w:szCs w:val="20"/>
        </w:rPr>
        <w:t xml:space="preserve"> de acuerdo con la metodología utilizada por el Observatorio de RSC. De las dimensiones analizadas, la máxima puntuación se obtiene en los aspectos relacionados con “paraísos y nichos fiscales” (1,14), seguidos de “impuestos e incentivos” (0,83), “relaciones con Administraciones Tributarias” (0,80) y “política y estrategia fiscal” (40). </w:t>
      </w:r>
    </w:p>
    <w:p w14:paraId="2C8A6042" w14:textId="77777777" w:rsidR="00C86459" w:rsidRPr="00F2662E" w:rsidRDefault="00C86459" w:rsidP="00C86459">
      <w:pPr>
        <w:pStyle w:val="Default"/>
        <w:jc w:val="both"/>
        <w:rPr>
          <w:rFonts w:ascii="Open Sans" w:hAnsi="Open Sans" w:cs="Open Sans"/>
          <w:color w:val="auto"/>
          <w:sz w:val="20"/>
          <w:szCs w:val="20"/>
        </w:rPr>
      </w:pPr>
    </w:p>
    <w:p w14:paraId="539B82C4" w14:textId="77777777" w:rsidR="00C86459" w:rsidRDefault="00C86459" w:rsidP="00C86459">
      <w:pPr>
        <w:pStyle w:val="NormalWeb"/>
        <w:shd w:val="clear" w:color="auto" w:fill="FFFFFF"/>
        <w:spacing w:before="120" w:after="240" w:line="270" w:lineRule="atLeast"/>
        <w:ind w:right="-1"/>
        <w:jc w:val="both"/>
      </w:pPr>
      <w:r>
        <w:rPr>
          <w:rFonts w:ascii="Open Sans" w:eastAsia="Open Sans" w:hAnsi="Open Sans" w:cs="Open Sans"/>
          <w:sz w:val="20"/>
        </w:rPr>
        <w:t>En el Informe de Sostenibilidad 2015, Banco Santander manifiesta su compromiso con la comunidad mediante la contribución impositiva, e incorpora información sobre los impuestos soportados directamente por el Grupo como de la recaudación de impuestos de terceros generados por el desarrollo de su actividad económica en los países dónde su presencia es más significativa a nivel de grupo.</w:t>
      </w:r>
    </w:p>
    <w:p w14:paraId="0FF47B4A" w14:textId="77777777" w:rsidR="00C86459" w:rsidRDefault="00C86459" w:rsidP="00C86459">
      <w:pPr>
        <w:pStyle w:val="NormalWeb"/>
        <w:shd w:val="clear" w:color="auto" w:fill="FFFFFF"/>
        <w:spacing w:before="120" w:after="240" w:line="270" w:lineRule="atLeast"/>
        <w:ind w:right="-1"/>
        <w:jc w:val="both"/>
      </w:pPr>
      <w:r>
        <w:rPr>
          <w:rFonts w:ascii="Open Sans" w:eastAsia="Open Sans" w:hAnsi="Open Sans" w:cs="Open Sans"/>
          <w:sz w:val="20"/>
        </w:rPr>
        <w:t>No obstante, no se hace referencia a la existencia de una estrategia o política fiscal del Grupo, ni se identifica el riesgo fiscal como un riesgo relevante para la entidad.  Consta que la entidad se ha adherido a al Código de Buenas Prácticas Tributarias en España, y también en el Reino Unido por parte de Santander UK plc</w:t>
      </w:r>
      <w:r>
        <w:rPr>
          <w:rStyle w:val="Refdenotaalpie"/>
          <w:rFonts w:ascii="Open Sans" w:eastAsia="Open Sans" w:hAnsi="Open Sans" w:cs="Open Sans"/>
          <w:sz w:val="20"/>
        </w:rPr>
        <w:footnoteReference w:id="532"/>
      </w:r>
      <w:r>
        <w:rPr>
          <w:rFonts w:ascii="Open Sans" w:eastAsia="Open Sans" w:hAnsi="Open Sans" w:cs="Open Sans"/>
          <w:sz w:val="20"/>
        </w:rPr>
        <w:t>. Aunque, el compromiso de la entidad con la fiscalidad responsable es de carácter básicamente genérico.</w:t>
      </w:r>
    </w:p>
    <w:p w14:paraId="312A7071" w14:textId="77777777" w:rsidR="00C86459" w:rsidRDefault="00C86459" w:rsidP="00C86459">
      <w:pPr>
        <w:pStyle w:val="NormalWeb"/>
        <w:shd w:val="clear" w:color="auto" w:fill="FFFFFF"/>
        <w:spacing w:before="120" w:after="240" w:line="270" w:lineRule="atLeast"/>
        <w:ind w:right="-1"/>
        <w:jc w:val="both"/>
        <w:rPr>
          <w:rFonts w:ascii="Open Sans" w:eastAsia="Arial" w:hAnsi="Open Sans" w:cs="Open Sans"/>
          <w:sz w:val="20"/>
        </w:rPr>
      </w:pPr>
      <w:r>
        <w:rPr>
          <w:rFonts w:ascii="Open Sans" w:eastAsia="Open Sans" w:hAnsi="Open Sans" w:cs="Open Sans"/>
          <w:sz w:val="20"/>
        </w:rPr>
        <w:t>La información fiscal se encuentra fundamentalmente recogida en el Informe Financiero Anual Consolidado (CCAA Consolidadas) del grupo y de Banco Santander S.A.  Este informe</w:t>
      </w:r>
      <w:r>
        <w:rPr>
          <w:rFonts w:ascii="Open Sans" w:eastAsia="Arial" w:hAnsi="Open Sans" w:cs="Open Sans"/>
          <w:sz w:val="20"/>
        </w:rPr>
        <w:t xml:space="preserve"> es un documento técnico, complejo, sin índice y que engloba diversos informes, lo que dificulta la localización de la información fiscal, que se encuentra disgregada en diferentes secciones: CC Anuales y Anexos, Informe de Gestión, Informe Anual de Gobierno Corporativo (incorporado en el Informe Financiero no el disponible en la web corporativa) y en el Informe Bancario Anual.</w:t>
      </w:r>
    </w:p>
    <w:p w14:paraId="44287F7C" w14:textId="77777777" w:rsidR="00C86459" w:rsidRDefault="00C86459" w:rsidP="00C86459">
      <w:pPr>
        <w:pStyle w:val="NormalWeb"/>
        <w:shd w:val="clear" w:color="auto" w:fill="FFFFFF"/>
        <w:spacing w:before="120" w:after="240" w:line="270" w:lineRule="atLeast"/>
        <w:ind w:right="-1"/>
        <w:jc w:val="both"/>
      </w:pPr>
      <w:r>
        <w:rPr>
          <w:rFonts w:ascii="Open Sans" w:eastAsia="Arial" w:hAnsi="Open Sans" w:cs="Open Sans"/>
          <w:sz w:val="20"/>
        </w:rPr>
        <w:t>La fiscalidad responsable no parece ser un tema material para la entidad. En la relación de temas relevantes de la memoria de sostenibilidad no se menciona expresamente, siendo la única referencia indirecta “</w:t>
      </w:r>
      <w:r w:rsidRPr="009912CE">
        <w:rPr>
          <w:rFonts w:ascii="Open Sans" w:eastAsia="Arial" w:hAnsi="Open Sans" w:cs="Open Sans"/>
          <w:sz w:val="20"/>
        </w:rPr>
        <w:t>Medidas</w:t>
      </w:r>
      <w:r>
        <w:rPr>
          <w:rFonts w:ascii="Open Sans" w:eastAsia="Arial" w:hAnsi="Open Sans" w:cs="Open Sans"/>
          <w:sz w:val="20"/>
        </w:rPr>
        <w:t xml:space="preserve"> </w:t>
      </w:r>
      <w:r w:rsidRPr="009912CE">
        <w:rPr>
          <w:rFonts w:ascii="Open Sans" w:eastAsia="Arial" w:hAnsi="Open Sans" w:cs="Open Sans"/>
          <w:sz w:val="20"/>
        </w:rPr>
        <w:t>antifraude y</w:t>
      </w:r>
      <w:r>
        <w:rPr>
          <w:rFonts w:ascii="Open Sans" w:eastAsia="Arial" w:hAnsi="Open Sans" w:cs="Open Sans"/>
          <w:sz w:val="20"/>
        </w:rPr>
        <w:t xml:space="preserve"> </w:t>
      </w:r>
      <w:r w:rsidRPr="009912CE">
        <w:rPr>
          <w:rFonts w:ascii="Open Sans" w:eastAsia="Arial" w:hAnsi="Open Sans" w:cs="Open Sans"/>
          <w:sz w:val="20"/>
        </w:rPr>
        <w:t>prevención de</w:t>
      </w:r>
      <w:r>
        <w:rPr>
          <w:rFonts w:ascii="Open Sans" w:eastAsia="Arial" w:hAnsi="Open Sans" w:cs="Open Sans"/>
          <w:sz w:val="20"/>
        </w:rPr>
        <w:t xml:space="preserve"> </w:t>
      </w:r>
      <w:r w:rsidRPr="009912CE">
        <w:rPr>
          <w:rFonts w:ascii="Open Sans" w:eastAsia="Arial" w:hAnsi="Open Sans" w:cs="Open Sans"/>
          <w:sz w:val="20"/>
        </w:rPr>
        <w:t>la corrupción</w:t>
      </w:r>
      <w:r>
        <w:rPr>
          <w:rFonts w:ascii="Open Sans" w:eastAsia="Arial" w:hAnsi="Open Sans" w:cs="Open Sans"/>
          <w:sz w:val="20"/>
        </w:rPr>
        <w:t xml:space="preserve">”. La información no es precisa, no tiene suficiente grado de detalle en algunos aspectos, está dispersa y en algunas ocasiones es de difícil comprensión. Así mismo, más allá del Informe Bancario anual incluido en las CCAA Consolidadas, tampoco dispone de ningún documento adicional tipo TTC que desglose la contribución fiscal en volumen, concepto, sociedad y país, que permita una valoración detallada y fundamentada del comportamiento de la entidad respecto a una fiscalidad responsable. </w:t>
      </w:r>
    </w:p>
    <w:p w14:paraId="60AF891E" w14:textId="77777777" w:rsidR="00C86459" w:rsidRDefault="00C86459" w:rsidP="00C86459">
      <w:pPr>
        <w:pStyle w:val="NormalWeb"/>
        <w:shd w:val="clear" w:color="auto" w:fill="FFFFFF"/>
        <w:spacing w:before="120" w:after="240" w:line="270" w:lineRule="atLeast"/>
        <w:ind w:right="-1"/>
        <w:jc w:val="both"/>
      </w:pPr>
      <w:r>
        <w:rPr>
          <w:rFonts w:ascii="Open Sans" w:eastAsia="Arial" w:hAnsi="Open Sans" w:cs="Open Sans"/>
          <w:sz w:val="20"/>
        </w:rPr>
        <w:t xml:space="preserve">La entidad sigue manteniendo un elevado número de sociedades (216) en territorios considerados nichos o paraísos fiscales según la metodología del Observatorio, que realizan actividades relacionadas con la actividad propia de la sociedad matriz, a excepción de 2 ó 3 casos puntuales. La entidad reconoce su presencia en territorios off-shore </w:t>
      </w:r>
      <w:r>
        <w:rPr>
          <w:rFonts w:ascii="Open Sans" w:eastAsia="Arial" w:hAnsi="Open Sans" w:cs="Open Sans"/>
          <w:color w:val="000000"/>
          <w:sz w:val="20"/>
          <w:szCs w:val="20"/>
        </w:rPr>
        <w:t>aunque sólo reconoce 10 filiales y puntualiza que estos territorios “</w:t>
      </w:r>
      <w:r>
        <w:rPr>
          <w:rFonts w:ascii="Open Sans" w:eastAsia="Arial" w:hAnsi="Open Sans" w:cs="Open Sans"/>
          <w:i/>
          <w:iCs/>
          <w:color w:val="000000"/>
          <w:sz w:val="20"/>
          <w:szCs w:val="20"/>
        </w:rPr>
        <w:t>no son considerados paraísos fiscales por la OCDE ni por la Comisión Europea</w:t>
      </w:r>
      <w:r>
        <w:rPr>
          <w:rFonts w:ascii="Open Sans" w:eastAsia="Arial" w:hAnsi="Open Sans" w:cs="Open Sans"/>
          <w:color w:val="000000"/>
          <w:sz w:val="20"/>
          <w:szCs w:val="20"/>
        </w:rPr>
        <w:t xml:space="preserve">”. En ejercicios posteriores es posible que la entidad no proporcione datos al respecto atendiendo a la entrada en vigor de los acuerdos con éstos para el intercambio de información. </w:t>
      </w:r>
    </w:p>
    <w:p w14:paraId="492C3244" w14:textId="77777777" w:rsidR="00C86459" w:rsidRDefault="00C86459" w:rsidP="00C86459">
      <w:pPr>
        <w:pStyle w:val="NormalWeb"/>
        <w:shd w:val="clear" w:color="auto" w:fill="FFFFFF"/>
        <w:spacing w:before="120" w:after="240" w:line="270" w:lineRule="atLeast"/>
        <w:ind w:right="-1"/>
        <w:jc w:val="both"/>
      </w:pPr>
      <w:r>
        <w:rPr>
          <w:rFonts w:ascii="Open Sans" w:eastAsia="Arial" w:hAnsi="Open Sans" w:cs="Open Sans"/>
          <w:color w:val="000000"/>
          <w:sz w:val="20"/>
          <w:szCs w:val="20"/>
        </w:rPr>
        <w:t xml:space="preserve">Cabe destacar que la entidad proporciona bastante información sobre las actividades, magnitudes de las sociedades, impuestos pagados, en territorios off-shore. Sin embargo, la información no tiene suficiente detalle ni abarca todas las jurisdicciones. Sería recomendable proporcionar más detalle sobre las sociedades y operaciones en estos territorios con el fin de mejorar la transparencia informativa y poder valorar su grado de significancia e impacto fiscal. </w:t>
      </w:r>
    </w:p>
    <w:p w14:paraId="3F9149E6" w14:textId="77777777" w:rsidR="00C86459" w:rsidRDefault="00C86459" w:rsidP="00C86459">
      <w:pPr>
        <w:pStyle w:val="NormalWeb"/>
        <w:shd w:val="clear" w:color="auto" w:fill="FFFFFF"/>
        <w:spacing w:before="120" w:after="240" w:line="270" w:lineRule="atLeast"/>
        <w:ind w:right="-1"/>
        <w:jc w:val="both"/>
      </w:pPr>
      <w:r>
        <w:rPr>
          <w:rFonts w:ascii="Open Sans" w:eastAsia="Arial" w:hAnsi="Open Sans" w:cs="Open Sans"/>
          <w:color w:val="000000"/>
          <w:sz w:val="20"/>
          <w:szCs w:val="20"/>
        </w:rPr>
        <w:t xml:space="preserve">Así mismo, tampoco se incorpora mención sobre si se han tomado medidas para evitar la elusión fiscal por parte de los clientes. Aspecto que debería ser relevante para la entidad atendiendo a las diversas noticias aparecidas en los medios sobre este aspecto. </w:t>
      </w:r>
    </w:p>
    <w:p w14:paraId="43CCC54F" w14:textId="77777777" w:rsidR="00C86459" w:rsidRDefault="00C86459" w:rsidP="00C86459">
      <w:pPr>
        <w:pStyle w:val="NormalWeb"/>
        <w:shd w:val="clear" w:color="auto" w:fill="FFFFFF"/>
        <w:spacing w:before="120" w:after="240" w:line="270" w:lineRule="atLeast"/>
        <w:ind w:right="-1"/>
        <w:jc w:val="both"/>
      </w:pPr>
      <w:r>
        <w:rPr>
          <w:rFonts w:ascii="Open Sans" w:eastAsia="Arial" w:hAnsi="Open Sans" w:cs="Open Sans"/>
          <w:color w:val="000000"/>
          <w:sz w:val="20"/>
          <w:szCs w:val="20"/>
        </w:rPr>
        <w:t xml:space="preserve">El tipo impositivo efectiva para el ejercicio 2015 ha sido del 23%. La diferencia con respecto al 30% de tasa de gravamen se debe a la aplicación de deducción, créditos fiscales y otros conceptos que se presentan de forma agregada. La forma en la que se presentan estos conceptos dificulta su comprensión, identificación del origen y los criterios de aplicación. </w:t>
      </w:r>
    </w:p>
    <w:p w14:paraId="21BA4FDA" w14:textId="77777777" w:rsidR="00C86459" w:rsidRDefault="00C86459" w:rsidP="00C86459">
      <w:pPr>
        <w:pStyle w:val="NormalWeb"/>
        <w:shd w:val="clear" w:color="auto" w:fill="FFFFFF"/>
        <w:spacing w:before="120" w:after="240" w:line="270" w:lineRule="atLeast"/>
        <w:ind w:right="-1"/>
        <w:jc w:val="both"/>
      </w:pPr>
      <w:r>
        <w:rPr>
          <w:rFonts w:ascii="Open Sans" w:eastAsia="Arial" w:hAnsi="Open Sans" w:cs="Open Sans"/>
          <w:color w:val="000000"/>
          <w:sz w:val="20"/>
          <w:szCs w:val="20"/>
        </w:rPr>
        <w:t xml:space="preserve">Banco Santander informa con cierto detalle, de diversos tipos de litigios con las administraciones tributarios mayoritariamente en Brasil, pero no se obtiene datos sobre los importes reclamados ni del volumen de las provisiones realizadas, con lo que no es posible saber el alcance de dichos litigios. </w:t>
      </w:r>
    </w:p>
    <w:p w14:paraId="6F68E4F2" w14:textId="0396241C" w:rsidR="00092060" w:rsidRDefault="00C86459" w:rsidP="00C86459">
      <w:pPr>
        <w:pStyle w:val="NormalWeb"/>
        <w:shd w:val="clear" w:color="auto" w:fill="FFFFFF"/>
        <w:spacing w:before="120" w:after="240" w:line="270" w:lineRule="atLeast"/>
        <w:ind w:right="-1"/>
        <w:jc w:val="both"/>
      </w:pPr>
      <w:r>
        <w:rPr>
          <w:rFonts w:ascii="Open Sans" w:eastAsia="Arial" w:hAnsi="Open Sans" w:cs="Open Sans"/>
          <w:color w:val="000000"/>
          <w:sz w:val="20"/>
          <w:szCs w:val="20"/>
        </w:rPr>
        <w:t xml:space="preserve">Finalmente, en cuanto a las operaciones intragrupo, se presentan en forma de operaciones habituales de la entidad, lo que no permite valorar su uso, ni de las condiciones en las que se establecen los precios de transferencia son realmente de mercado o preferentes. </w:t>
      </w:r>
      <w:r w:rsidR="00092060">
        <w:rPr>
          <w:rFonts w:ascii="Open Sans" w:eastAsia="Arial" w:hAnsi="Open Sans" w:cs="Open Sans"/>
          <w:color w:val="000000"/>
          <w:sz w:val="20"/>
          <w:szCs w:val="20"/>
        </w:rPr>
        <w:t xml:space="preserve"> </w:t>
      </w:r>
    </w:p>
    <w:p w14:paraId="094004DC" w14:textId="7256307B" w:rsidR="00092060" w:rsidRDefault="00092060">
      <w:pPr>
        <w:rPr>
          <w:rFonts w:ascii="Open Sans" w:hAnsi="Open Sans" w:cs="Open Sans"/>
          <w:sz w:val="20"/>
          <w:szCs w:val="20"/>
        </w:rPr>
      </w:pPr>
      <w:r>
        <w:rPr>
          <w:rFonts w:ascii="Open Sans" w:hAnsi="Open Sans" w:cs="Open Sans"/>
          <w:sz w:val="20"/>
          <w:szCs w:val="20"/>
        </w:rPr>
        <w:br w:type="page"/>
      </w:r>
    </w:p>
    <w:p w14:paraId="13F1170C" w14:textId="77777777" w:rsidR="00E04E0E" w:rsidRPr="00C67337" w:rsidRDefault="00E04E0E" w:rsidP="00E04E0E">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aps/>
          <w:color w:val="FFFFFF"/>
        </w:rPr>
      </w:pPr>
      <w:bookmarkStart w:id="96" w:name="Caixa"/>
      <w:r w:rsidRPr="00C67337">
        <w:rPr>
          <w:rFonts w:ascii="Open Sans" w:hAnsi="Open Sans" w:cs="Open Sans"/>
          <w:b/>
          <w:caps/>
          <w:color w:val="FFFFFF"/>
        </w:rPr>
        <w:t>CAIXA BANK</w:t>
      </w:r>
    </w:p>
    <w:bookmarkEnd w:id="96"/>
    <w:p w14:paraId="230DDFB5" w14:textId="77777777" w:rsidR="00E04E0E" w:rsidRPr="00C67337" w:rsidRDefault="00E04E0E" w:rsidP="00E04E0E">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sidRPr="00C67337">
        <w:rPr>
          <w:rFonts w:ascii="Open Sans" w:hAnsi="Open Sans" w:cs="Open Sans"/>
          <w:b/>
          <w:i/>
          <w:caps/>
          <w:color w:val="FFFFFF"/>
        </w:rPr>
        <w:t>(Grupo LA CAIXA)</w:t>
      </w:r>
    </w:p>
    <w:p w14:paraId="664BED01" w14:textId="77777777" w:rsidR="00E04E0E" w:rsidRPr="00C67337" w:rsidRDefault="00E04E0E" w:rsidP="00E04E0E">
      <w:pPr>
        <w:jc w:val="both"/>
        <w:outlineLvl w:val="5"/>
        <w:rPr>
          <w:rFonts w:ascii="Open Sans" w:hAnsi="Open Sans" w:cs="Open Sans"/>
          <w:b/>
          <w:sz w:val="20"/>
          <w:szCs w:val="20"/>
          <w:u w:val="single"/>
        </w:rPr>
      </w:pPr>
    </w:p>
    <w:p w14:paraId="67617FF7" w14:textId="77777777" w:rsidR="00E04E0E" w:rsidRPr="00C67337" w:rsidRDefault="00E04E0E" w:rsidP="00E04E0E">
      <w:pPr>
        <w:jc w:val="both"/>
        <w:rPr>
          <w:rFonts w:ascii="Open Sans" w:hAnsi="Open Sans" w:cs="Open Sans"/>
        </w:rPr>
      </w:pPr>
    </w:p>
    <w:p w14:paraId="37547615" w14:textId="77777777" w:rsidR="00C86459" w:rsidRPr="00C67337" w:rsidRDefault="00C86459" w:rsidP="00C86459">
      <w:pPr>
        <w:jc w:val="both"/>
        <w:outlineLvl w:val="5"/>
        <w:rPr>
          <w:rFonts w:ascii="Open Sans" w:hAnsi="Open Sans" w:cs="Open Sans"/>
          <w:b/>
          <w:sz w:val="22"/>
          <w:szCs w:val="22"/>
          <w:u w:val="single"/>
        </w:rPr>
      </w:pPr>
      <w:r w:rsidRPr="00C67337">
        <w:rPr>
          <w:rFonts w:ascii="Open Sans" w:hAnsi="Open Sans" w:cs="Open Sans"/>
          <w:b/>
          <w:sz w:val="22"/>
          <w:szCs w:val="22"/>
          <w:u w:val="single"/>
        </w:rPr>
        <w:t>1. Datos generales de la entidad</w:t>
      </w:r>
    </w:p>
    <w:p w14:paraId="3E42DED1" w14:textId="77777777" w:rsidR="00C86459" w:rsidRPr="00C67337" w:rsidRDefault="00C86459" w:rsidP="00C86459">
      <w:pPr>
        <w:jc w:val="both"/>
        <w:rPr>
          <w:rFonts w:ascii="Open Sans" w:hAnsi="Open Sans" w:cs="Open Sans"/>
          <w:sz w:val="20"/>
          <w:szCs w:val="20"/>
          <w:u w:val="single"/>
        </w:rPr>
      </w:pPr>
    </w:p>
    <w:p w14:paraId="266AD3F1"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CaixaBank es el banco líder en España con un modelo de banca universal, basado en la cercanía y la especialización, con una amplia oferta de productos y servicios y una extensa red de distribución multicanal. Además, mantiene alianzas estratégicas con bancos participados y dispone de participaciones en compañías del sector servicios.</w:t>
      </w:r>
    </w:p>
    <w:p w14:paraId="6B517A1F" w14:textId="77777777" w:rsidR="00C86459" w:rsidRPr="00C67337" w:rsidRDefault="00C86459" w:rsidP="00C86459">
      <w:pPr>
        <w:jc w:val="both"/>
        <w:rPr>
          <w:rFonts w:ascii="Open Sans" w:hAnsi="Open Sans" w:cs="Arial"/>
          <w:sz w:val="20"/>
          <w:szCs w:val="20"/>
        </w:rPr>
      </w:pPr>
    </w:p>
    <w:p w14:paraId="2FC6F298" w14:textId="77777777" w:rsidR="00C86459" w:rsidRPr="00C67337" w:rsidRDefault="00C86459" w:rsidP="00C86459">
      <w:pPr>
        <w:jc w:val="both"/>
        <w:rPr>
          <w:rFonts w:ascii="Open Sans" w:hAnsi="Open Sans" w:cs="Open Sans"/>
          <w:sz w:val="20"/>
          <w:szCs w:val="20"/>
        </w:rPr>
      </w:pPr>
      <w:r>
        <w:rPr>
          <w:rFonts w:ascii="Open Sans" w:hAnsi="Open Sans" w:cs="Open Sans"/>
          <w:sz w:val="20"/>
          <w:szCs w:val="20"/>
        </w:rPr>
        <w:t>CaixaB</w:t>
      </w:r>
      <w:r w:rsidRPr="00C67337">
        <w:rPr>
          <w:rFonts w:ascii="Open Sans" w:hAnsi="Open Sans" w:cs="Open Sans"/>
          <w:sz w:val="20"/>
          <w:szCs w:val="20"/>
        </w:rPr>
        <w:t xml:space="preserve">ank divide su actividad en los siguientes segmentos de negocio: </w:t>
      </w:r>
      <w:r w:rsidRPr="00C67337">
        <w:rPr>
          <w:rFonts w:ascii="Open Sans" w:hAnsi="Open Sans" w:cs="Open Sans"/>
          <w:bCs/>
          <w:sz w:val="20"/>
          <w:szCs w:val="20"/>
        </w:rPr>
        <w:t xml:space="preserve">Banca de Particulares y Negocios, Banca Premier, Banca Privada, Banca de Empresas, Corporate &amp; Institutional Banking. </w:t>
      </w:r>
      <w:r w:rsidRPr="00C67337">
        <w:rPr>
          <w:rFonts w:ascii="Open Sans" w:hAnsi="Open Sans" w:cs="Open Sans"/>
          <w:sz w:val="20"/>
          <w:szCs w:val="20"/>
        </w:rPr>
        <w:t>Corporate &amp; Institutional Banking (CIB) es creada en 2015 y es producto de la integración de  Banca Corporativa, Banca Institucional y otras áreas de productos que prestan servicio a los clientes, como Mercado de capitales y Tesorería.  Además el grupo comercializa y gestiona Seguros, Fondos de pensiones y  Fondos de inversión.</w:t>
      </w:r>
    </w:p>
    <w:p w14:paraId="7E558A74" w14:textId="77777777" w:rsidR="00C86459" w:rsidRPr="00C67337" w:rsidRDefault="00C86459" w:rsidP="00C86459">
      <w:pPr>
        <w:jc w:val="both"/>
        <w:rPr>
          <w:rFonts w:ascii="Open Sans" w:hAnsi="Open Sans" w:cs="Open Sans"/>
          <w:sz w:val="20"/>
          <w:szCs w:val="20"/>
        </w:rPr>
      </w:pPr>
    </w:p>
    <w:p w14:paraId="32AD9128" w14:textId="77777777" w:rsidR="00C86459" w:rsidRPr="00C67337" w:rsidRDefault="00C86459" w:rsidP="00C86459">
      <w:pPr>
        <w:jc w:val="both"/>
        <w:rPr>
          <w:rFonts w:ascii="Open Sans" w:hAnsi="Open Sans" w:cs="Open Sans"/>
          <w:sz w:val="20"/>
          <w:szCs w:val="20"/>
        </w:rPr>
      </w:pPr>
    </w:p>
    <w:p w14:paraId="47A67FAD"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u w:val="single"/>
        </w:rPr>
        <w:t xml:space="preserve">Alcance geográfico </w:t>
      </w:r>
    </w:p>
    <w:p w14:paraId="597CE903" w14:textId="77777777" w:rsidR="00C86459" w:rsidRPr="00C67337" w:rsidRDefault="00C86459" w:rsidP="00C86459">
      <w:pPr>
        <w:jc w:val="both"/>
        <w:rPr>
          <w:rFonts w:ascii="Open Sans" w:hAnsi="Open Sans" w:cs="Open Sans"/>
          <w:sz w:val="20"/>
          <w:szCs w:val="20"/>
        </w:rPr>
      </w:pPr>
    </w:p>
    <w:p w14:paraId="2803F7C6" w14:textId="77777777" w:rsidR="00C86459" w:rsidRPr="00C67337" w:rsidRDefault="00C86459" w:rsidP="00C86459">
      <w:pPr>
        <w:jc w:val="both"/>
        <w:rPr>
          <w:rFonts w:ascii="Open Sans" w:hAnsi="Open Sans" w:cs="Open Sans"/>
          <w:sz w:val="20"/>
          <w:szCs w:val="20"/>
        </w:rPr>
      </w:pPr>
      <w:r>
        <w:rPr>
          <w:rFonts w:ascii="Open Sans" w:hAnsi="Open Sans" w:cs="Open Sans"/>
          <w:sz w:val="20"/>
          <w:szCs w:val="20"/>
        </w:rPr>
        <w:t>CaixaB</w:t>
      </w:r>
      <w:r w:rsidRPr="00C67337">
        <w:rPr>
          <w:rFonts w:ascii="Open Sans" w:hAnsi="Open Sans" w:cs="Open Sans"/>
          <w:sz w:val="20"/>
          <w:szCs w:val="20"/>
        </w:rPr>
        <w:t xml:space="preserve">ank está  presente en 4 continentes, a través de sucursales internacionales, oficinas de representación y participaciones bancarias. La empresa afirma que mantiene una apuesta por la expansión internacional que se ha consolidado con nuevas incorporaciones y el refuerzo de la estructura de apoyo, que incluye más de un centenar de profesionales (En 2015, se han puesto en marcha las aperturas de la sucursal de Londres y de las oficinas de representación de Nueva York, Brasil y Sudáfrica.). </w:t>
      </w:r>
      <w:r>
        <w:rPr>
          <w:rFonts w:ascii="Open Sans" w:hAnsi="Open Sans" w:cs="Arial"/>
          <w:sz w:val="20"/>
          <w:szCs w:val="20"/>
        </w:rPr>
        <w:t>CaixaB</w:t>
      </w:r>
      <w:r w:rsidRPr="00C67337">
        <w:rPr>
          <w:rFonts w:ascii="Open Sans" w:hAnsi="Open Sans" w:cs="Arial"/>
          <w:sz w:val="20"/>
          <w:szCs w:val="20"/>
        </w:rPr>
        <w:t xml:space="preserve">ank opera o tiene presencia en los siguientes países: </w:t>
      </w:r>
    </w:p>
    <w:p w14:paraId="3B453F0C" w14:textId="77777777" w:rsidR="00C86459" w:rsidRPr="00C67337" w:rsidRDefault="00C86459" w:rsidP="00C86459">
      <w:pPr>
        <w:jc w:val="both"/>
        <w:rPr>
          <w:rFonts w:ascii="Open Sans" w:hAnsi="Open Sans" w:cs="Arial"/>
          <w:sz w:val="20"/>
          <w:szCs w:val="20"/>
        </w:rPr>
      </w:pPr>
    </w:p>
    <w:p w14:paraId="6A907A36" w14:textId="77777777" w:rsidR="00C86459" w:rsidRPr="00C67337" w:rsidRDefault="00C86459" w:rsidP="000B70C9">
      <w:pPr>
        <w:numPr>
          <w:ilvl w:val="0"/>
          <w:numId w:val="43"/>
        </w:numPr>
        <w:jc w:val="both"/>
        <w:rPr>
          <w:rFonts w:ascii="Open Sans" w:hAnsi="Open Sans" w:cs="Arial"/>
          <w:sz w:val="20"/>
          <w:szCs w:val="20"/>
        </w:rPr>
      </w:pPr>
      <w:r w:rsidRPr="00C67337">
        <w:rPr>
          <w:rFonts w:ascii="Open Sans" w:hAnsi="Open Sans" w:cs="Arial"/>
          <w:sz w:val="20"/>
          <w:szCs w:val="20"/>
        </w:rPr>
        <w:t>Asia: China, Emiratos Árabes, India, Singapur</w:t>
      </w:r>
    </w:p>
    <w:p w14:paraId="43AD5511" w14:textId="77777777" w:rsidR="00C86459" w:rsidRPr="00C67337" w:rsidRDefault="00C86459" w:rsidP="000B70C9">
      <w:pPr>
        <w:numPr>
          <w:ilvl w:val="0"/>
          <w:numId w:val="43"/>
        </w:numPr>
        <w:jc w:val="both"/>
        <w:rPr>
          <w:rFonts w:ascii="Open Sans" w:hAnsi="Open Sans" w:cs="Arial"/>
          <w:sz w:val="20"/>
          <w:szCs w:val="20"/>
        </w:rPr>
      </w:pPr>
      <w:r w:rsidRPr="00C67337">
        <w:rPr>
          <w:rFonts w:ascii="Open Sans" w:hAnsi="Open Sans" w:cs="Arial"/>
          <w:sz w:val="20"/>
          <w:szCs w:val="20"/>
        </w:rPr>
        <w:t>África: Angola, Egipto, Marruecos y Sudáfrica</w:t>
      </w:r>
    </w:p>
    <w:p w14:paraId="6BA532C8" w14:textId="77777777" w:rsidR="00C86459" w:rsidRPr="00C67337" w:rsidRDefault="00C86459" w:rsidP="000B70C9">
      <w:pPr>
        <w:numPr>
          <w:ilvl w:val="0"/>
          <w:numId w:val="43"/>
        </w:numPr>
        <w:jc w:val="both"/>
        <w:rPr>
          <w:rFonts w:ascii="Open Sans" w:hAnsi="Open Sans" w:cs="Arial"/>
          <w:sz w:val="20"/>
          <w:szCs w:val="20"/>
        </w:rPr>
      </w:pPr>
      <w:r w:rsidRPr="00C67337">
        <w:rPr>
          <w:rFonts w:ascii="Open Sans" w:hAnsi="Open Sans" w:cs="Arial"/>
          <w:sz w:val="20"/>
          <w:szCs w:val="20"/>
        </w:rPr>
        <w:t>América: Chile, México, Nueva York y Brasil</w:t>
      </w:r>
    </w:p>
    <w:p w14:paraId="3B9A190B" w14:textId="77777777" w:rsidR="00C86459" w:rsidRPr="00C67337" w:rsidRDefault="00C86459" w:rsidP="000B70C9">
      <w:pPr>
        <w:numPr>
          <w:ilvl w:val="0"/>
          <w:numId w:val="43"/>
        </w:numPr>
        <w:jc w:val="both"/>
        <w:rPr>
          <w:rFonts w:ascii="Open Sans" w:hAnsi="Open Sans" w:cs="Arial"/>
          <w:sz w:val="20"/>
          <w:szCs w:val="20"/>
        </w:rPr>
      </w:pPr>
      <w:r w:rsidRPr="00C67337">
        <w:rPr>
          <w:rFonts w:ascii="Open Sans" w:hAnsi="Open Sans" w:cs="Arial"/>
          <w:sz w:val="20"/>
          <w:szCs w:val="20"/>
        </w:rPr>
        <w:t>Europa: Alemania, Austria, España, Francia, Italia, Luxemburgo, Polonia, Portugal, Reino Unido, Rumanía y Turquía</w:t>
      </w:r>
    </w:p>
    <w:p w14:paraId="21BF948A" w14:textId="77777777" w:rsidR="00C86459" w:rsidRPr="00C67337" w:rsidRDefault="00C86459" w:rsidP="00C86459">
      <w:pPr>
        <w:jc w:val="both"/>
        <w:rPr>
          <w:rFonts w:ascii="Open Sans" w:hAnsi="Open Sans" w:cs="Open Sans"/>
          <w:sz w:val="20"/>
          <w:szCs w:val="20"/>
        </w:rPr>
      </w:pPr>
    </w:p>
    <w:p w14:paraId="4DB227EE" w14:textId="77777777" w:rsidR="00C86459" w:rsidRPr="00C67337" w:rsidRDefault="00C86459" w:rsidP="00C86459">
      <w:pPr>
        <w:jc w:val="both"/>
        <w:rPr>
          <w:rFonts w:ascii="Open Sans" w:hAnsi="Open Sans" w:cs="Arial"/>
          <w:sz w:val="20"/>
          <w:szCs w:val="20"/>
        </w:rPr>
      </w:pPr>
      <w:r>
        <w:rPr>
          <w:rFonts w:ascii="Open Sans" w:hAnsi="Open Sans" w:cs="Arial"/>
          <w:sz w:val="20"/>
          <w:szCs w:val="20"/>
        </w:rPr>
        <w:t>CaixaB</w:t>
      </w:r>
      <w:r w:rsidRPr="00C67337">
        <w:rPr>
          <w:rFonts w:ascii="Open Sans" w:hAnsi="Open Sans" w:cs="Arial"/>
          <w:sz w:val="20"/>
          <w:szCs w:val="20"/>
        </w:rPr>
        <w:t>ank tiene participaciones en varias entida</w:t>
      </w:r>
      <w:r>
        <w:rPr>
          <w:rFonts w:ascii="Open Sans" w:hAnsi="Open Sans" w:cs="Arial"/>
          <w:sz w:val="20"/>
          <w:szCs w:val="20"/>
        </w:rPr>
        <w:t>des financieras de otros países:</w:t>
      </w:r>
    </w:p>
    <w:p w14:paraId="46B2BF56" w14:textId="77777777" w:rsidR="00C86459" w:rsidRPr="00C67337" w:rsidRDefault="00C86459" w:rsidP="00C86459">
      <w:pPr>
        <w:jc w:val="both"/>
        <w:rPr>
          <w:rFonts w:ascii="Open Sans" w:hAnsi="Open Sans" w:cs="Arial"/>
          <w:sz w:val="20"/>
          <w:szCs w:val="20"/>
        </w:rPr>
      </w:pPr>
    </w:p>
    <w:p w14:paraId="526312F8" w14:textId="77777777" w:rsidR="00C86459" w:rsidRPr="00C67337" w:rsidRDefault="00C86459" w:rsidP="00C86459">
      <w:pPr>
        <w:jc w:val="both"/>
        <w:rPr>
          <w:rFonts w:ascii="Open Sans" w:hAnsi="Open Sans" w:cs="Arial"/>
          <w:sz w:val="20"/>
          <w:szCs w:val="20"/>
        </w:rPr>
      </w:pPr>
      <w:r w:rsidRPr="00C67337">
        <w:rPr>
          <w:rFonts w:ascii="Open Sans" w:hAnsi="Open Sans" w:cs="Arial"/>
          <w:sz w:val="20"/>
          <w:szCs w:val="20"/>
        </w:rPr>
        <w:t>BPI. Es el tercer grupo financiero privado portugués por volumen de negocio. Su actividad se focaliza en la banca comercial dirigida a empresas, instituciones y particulares. A través de su participación de control en el Banco de Fomento Angola (BFA), ocupa también una posición de liderazgo en Angola. Asimismo, mediante su participación del 30% en Banco Comercial de Investimentos (BCI) tiene también presencia en Mozambique. Caixabank controla el 44,1% de la entidad.</w:t>
      </w:r>
    </w:p>
    <w:p w14:paraId="3DDB8DEF" w14:textId="77777777" w:rsidR="00C86459" w:rsidRPr="00C67337" w:rsidRDefault="00C86459" w:rsidP="00C86459">
      <w:pPr>
        <w:jc w:val="both"/>
        <w:rPr>
          <w:rFonts w:ascii="Open Sans" w:hAnsi="Open Sans" w:cs="Arial"/>
          <w:sz w:val="20"/>
          <w:szCs w:val="20"/>
        </w:rPr>
      </w:pPr>
    </w:p>
    <w:p w14:paraId="2AE0DB7F" w14:textId="77777777" w:rsidR="00C86459" w:rsidRPr="00C67337" w:rsidRDefault="00C86459" w:rsidP="00C86459">
      <w:pPr>
        <w:jc w:val="both"/>
        <w:rPr>
          <w:rFonts w:ascii="Open Sans" w:hAnsi="Open Sans" w:cs="Arial"/>
          <w:sz w:val="20"/>
          <w:szCs w:val="20"/>
        </w:rPr>
      </w:pPr>
      <w:r w:rsidRPr="00C67337">
        <w:rPr>
          <w:rFonts w:ascii="Open Sans" w:hAnsi="Open Sans" w:cs="Arial"/>
          <w:sz w:val="20"/>
          <w:szCs w:val="20"/>
        </w:rPr>
        <w:t>Bourso</w:t>
      </w:r>
      <w:r>
        <w:rPr>
          <w:rFonts w:ascii="Open Sans" w:hAnsi="Open Sans" w:cs="Arial"/>
          <w:sz w:val="20"/>
          <w:szCs w:val="20"/>
        </w:rPr>
        <w:t>rama. CaixaB</w:t>
      </w:r>
      <w:r w:rsidRPr="00C67337">
        <w:rPr>
          <w:rFonts w:ascii="Open Sans" w:hAnsi="Open Sans" w:cs="Arial"/>
          <w:sz w:val="20"/>
          <w:szCs w:val="20"/>
        </w:rPr>
        <w:t xml:space="preserve">ank controla el 20,5% de este banco francés hasta junio de 2015 que se deshace de la participación en Boursorama. Forma parte del Grupo Société Générale que, con un 80% de participación, es su principal accionista. Se trata de un actor clave en banca on-line en Europa, con presencia en tres países: Francia, donde es líder, Alemania y España, a través de una joint venture con CaixaBank. </w:t>
      </w:r>
    </w:p>
    <w:p w14:paraId="0F517088" w14:textId="77777777" w:rsidR="00C86459" w:rsidRPr="00C67337" w:rsidRDefault="00C86459" w:rsidP="00C86459">
      <w:pPr>
        <w:jc w:val="both"/>
        <w:rPr>
          <w:rFonts w:ascii="Open Sans" w:hAnsi="Open Sans" w:cs="Arial"/>
          <w:sz w:val="20"/>
          <w:szCs w:val="20"/>
        </w:rPr>
      </w:pPr>
    </w:p>
    <w:p w14:paraId="4256B945" w14:textId="77777777" w:rsidR="00C86459" w:rsidRPr="00C67337" w:rsidRDefault="00C86459" w:rsidP="00C86459">
      <w:pPr>
        <w:jc w:val="both"/>
        <w:rPr>
          <w:rFonts w:ascii="Open Sans" w:hAnsi="Open Sans" w:cs="Arial"/>
          <w:sz w:val="20"/>
          <w:szCs w:val="20"/>
        </w:rPr>
      </w:pPr>
      <w:proofErr w:type="gramStart"/>
      <w:r w:rsidRPr="00C67337">
        <w:rPr>
          <w:rFonts w:ascii="Open Sans" w:hAnsi="Open Sans" w:cs="Arial"/>
          <w:sz w:val="20"/>
          <w:szCs w:val="20"/>
          <w:lang w:val="en-US"/>
        </w:rPr>
        <w:t>The Bank of East Asia (BEA).</w:t>
      </w:r>
      <w:proofErr w:type="gramEnd"/>
      <w:r w:rsidRPr="00C67337">
        <w:rPr>
          <w:rFonts w:ascii="Open Sans" w:hAnsi="Open Sans" w:cs="Arial"/>
          <w:sz w:val="20"/>
          <w:szCs w:val="20"/>
          <w:lang w:val="en-US"/>
        </w:rPr>
        <w:t xml:space="preserve"> </w:t>
      </w:r>
      <w:r>
        <w:rPr>
          <w:rFonts w:ascii="Open Sans" w:hAnsi="Open Sans" w:cs="Arial"/>
          <w:sz w:val="20"/>
          <w:szCs w:val="20"/>
        </w:rPr>
        <w:t>CaixaB</w:t>
      </w:r>
      <w:r w:rsidRPr="00C67337">
        <w:rPr>
          <w:rFonts w:ascii="Open Sans" w:hAnsi="Open Sans" w:cs="Arial"/>
          <w:sz w:val="20"/>
          <w:szCs w:val="20"/>
        </w:rPr>
        <w:t>ank controla el 17,24% de esta entidad, en 2014 el porcentaje de participación en el capital de BEA era del 18,68%. Es el primer banco independiente de Hong Kong. Ofrece servicios de banca comercial y personal, así como de banca de empresas y de inversión. Atiende también a la comunidad china en el extranjero, operando en otros países del sureste asiático, América del Norte y el Reino Unido. CaixaBank cuenta con un miembro no ejecutivo en el Consejo de Administración.</w:t>
      </w:r>
    </w:p>
    <w:p w14:paraId="140E57D2" w14:textId="77777777" w:rsidR="00C86459" w:rsidRPr="00C67337" w:rsidRDefault="00C86459" w:rsidP="00C86459">
      <w:pPr>
        <w:jc w:val="both"/>
        <w:rPr>
          <w:rFonts w:ascii="Open Sans" w:hAnsi="Open Sans" w:cs="Arial"/>
          <w:sz w:val="20"/>
          <w:szCs w:val="20"/>
        </w:rPr>
      </w:pPr>
    </w:p>
    <w:p w14:paraId="054BDF45" w14:textId="77777777" w:rsidR="00C86459" w:rsidRPr="00C67337" w:rsidRDefault="00C86459" w:rsidP="00C86459">
      <w:pPr>
        <w:jc w:val="both"/>
        <w:rPr>
          <w:rFonts w:ascii="Open Sans" w:hAnsi="Open Sans" w:cs="Arial"/>
          <w:sz w:val="20"/>
          <w:szCs w:val="20"/>
        </w:rPr>
      </w:pPr>
      <w:r w:rsidRPr="00C67337">
        <w:rPr>
          <w:rFonts w:ascii="Open Sans" w:hAnsi="Open Sans" w:cs="Arial"/>
          <w:sz w:val="20"/>
          <w:szCs w:val="20"/>
        </w:rPr>
        <w:t xml:space="preserve">La colaboración entre CaixaBank y BEA incluye el apoyo a proyectos liderados por grupos españoles y chinos, la operativa de comercio exterior y el impulso del intercambio  de </w:t>
      </w:r>
      <w:r w:rsidRPr="00C67337">
        <w:rPr>
          <w:rFonts w:ascii="Open Sans" w:hAnsi="Open Sans" w:cs="Arial"/>
          <w:i/>
          <w:sz w:val="20"/>
          <w:szCs w:val="20"/>
        </w:rPr>
        <w:t>know-how</w:t>
      </w:r>
      <w:r w:rsidRPr="00C67337">
        <w:rPr>
          <w:rFonts w:ascii="Open Sans" w:hAnsi="Open Sans" w:cs="Arial"/>
          <w:sz w:val="20"/>
          <w:szCs w:val="20"/>
        </w:rPr>
        <w:t>.</w:t>
      </w:r>
    </w:p>
    <w:p w14:paraId="4AC11496" w14:textId="77777777" w:rsidR="00C86459" w:rsidRPr="00C67337" w:rsidRDefault="00C86459" w:rsidP="00C86459">
      <w:pPr>
        <w:jc w:val="both"/>
        <w:rPr>
          <w:rFonts w:ascii="Open Sans" w:hAnsi="Open Sans" w:cs="Arial"/>
          <w:sz w:val="20"/>
          <w:szCs w:val="20"/>
        </w:rPr>
      </w:pPr>
    </w:p>
    <w:p w14:paraId="6C3F9302" w14:textId="77777777" w:rsidR="00C86459" w:rsidRPr="00C67337" w:rsidRDefault="00C86459" w:rsidP="00C86459">
      <w:pPr>
        <w:jc w:val="both"/>
        <w:rPr>
          <w:rFonts w:ascii="Open Sans" w:hAnsi="Open Sans" w:cs="Arial"/>
          <w:sz w:val="20"/>
          <w:szCs w:val="20"/>
        </w:rPr>
      </w:pPr>
      <w:r w:rsidRPr="00C67337">
        <w:rPr>
          <w:rFonts w:ascii="Open Sans" w:hAnsi="Open Sans" w:cs="Arial"/>
          <w:sz w:val="20"/>
          <w:szCs w:val="20"/>
        </w:rPr>
        <w:t>Erste Group Bank. Es el segundo grupo bancario austríaco y uno de los principales en el centro y este de Europa. Está presente en Austria, República Checa, Rumanía, Eslovaquia, Hungría, Croacia y Serbia y es líder en la mayoría de estos países, con 16,4 millones de clientes. CaixaBank, que controla el 9.92% de Erste, participa con esta entidad en la cofinanciación de grupos empresariales españoles y colabora en el desarrollo de diferentes innovaciones tecnológicas.</w:t>
      </w:r>
    </w:p>
    <w:p w14:paraId="5DF7AFBB" w14:textId="77777777" w:rsidR="00C86459" w:rsidRPr="00C67337" w:rsidRDefault="00C86459" w:rsidP="00C86459">
      <w:pPr>
        <w:jc w:val="both"/>
        <w:rPr>
          <w:rFonts w:ascii="Open Sans" w:hAnsi="Open Sans" w:cs="Arial"/>
          <w:sz w:val="20"/>
          <w:szCs w:val="20"/>
        </w:rPr>
      </w:pPr>
    </w:p>
    <w:p w14:paraId="021D8A74" w14:textId="77777777" w:rsidR="00C86459" w:rsidRPr="00C67337" w:rsidRDefault="00C86459" w:rsidP="00C86459">
      <w:pPr>
        <w:jc w:val="both"/>
        <w:rPr>
          <w:rFonts w:ascii="Open Sans" w:hAnsi="Open Sans" w:cs="Arial"/>
          <w:sz w:val="20"/>
          <w:szCs w:val="20"/>
        </w:rPr>
      </w:pPr>
      <w:r w:rsidRPr="00C67337">
        <w:rPr>
          <w:rFonts w:ascii="Open Sans" w:hAnsi="Open Sans" w:cs="Arial"/>
          <w:sz w:val="20"/>
          <w:szCs w:val="20"/>
        </w:rPr>
        <w:t xml:space="preserve">Grupo Financiero Inbursa (GFI). Es el primer grupo financiero de México por administración y custodia de activos, el sexto por activos totales y uno de los mejor posicionados en seguros y fondos de pensiones. Referencia de la banca comercial del país, se encuentra dentro de uno de los mayores grupos financieros y empresariales de América Latina por capitalización bursátil. </w:t>
      </w:r>
      <w:r>
        <w:rPr>
          <w:rFonts w:ascii="Open Sans" w:hAnsi="Open Sans" w:cs="Arial"/>
          <w:sz w:val="20"/>
          <w:szCs w:val="20"/>
        </w:rPr>
        <w:t>CaixaB</w:t>
      </w:r>
      <w:r w:rsidRPr="00C67337">
        <w:rPr>
          <w:rFonts w:ascii="Open Sans" w:hAnsi="Open Sans" w:cs="Arial"/>
          <w:sz w:val="20"/>
          <w:szCs w:val="20"/>
        </w:rPr>
        <w:t>ank controla el 9,01% de la entidad mexicana.</w:t>
      </w:r>
    </w:p>
    <w:p w14:paraId="42553EBC" w14:textId="77777777" w:rsidR="00C86459" w:rsidRPr="00C67337" w:rsidRDefault="00C86459" w:rsidP="00C86459">
      <w:pPr>
        <w:jc w:val="both"/>
        <w:rPr>
          <w:rFonts w:ascii="Open Sans" w:hAnsi="Open Sans" w:cs="Open Sans"/>
          <w:sz w:val="20"/>
          <w:szCs w:val="20"/>
        </w:rPr>
      </w:pPr>
    </w:p>
    <w:p w14:paraId="5B548DC9" w14:textId="77777777" w:rsidR="00C86459" w:rsidRPr="00C67337" w:rsidRDefault="00C86459" w:rsidP="00C86459">
      <w:pPr>
        <w:jc w:val="both"/>
        <w:rPr>
          <w:rFonts w:ascii="Open Sans" w:hAnsi="Open Sans" w:cs="Open Sans"/>
          <w:sz w:val="20"/>
          <w:szCs w:val="20"/>
        </w:rPr>
      </w:pPr>
    </w:p>
    <w:p w14:paraId="55D0408B" w14:textId="77777777" w:rsidR="00C86459" w:rsidRPr="00C67337" w:rsidRDefault="00C86459" w:rsidP="00C86459">
      <w:pPr>
        <w:jc w:val="both"/>
        <w:rPr>
          <w:rFonts w:ascii="Open Sans" w:hAnsi="Open Sans" w:cs="Open Sans"/>
          <w:sz w:val="20"/>
          <w:szCs w:val="20"/>
          <w:u w:val="single"/>
        </w:rPr>
      </w:pPr>
      <w:r w:rsidRPr="00C67337">
        <w:rPr>
          <w:rFonts w:ascii="Open Sans" w:hAnsi="Open Sans" w:cs="Open Sans"/>
          <w:sz w:val="20"/>
          <w:szCs w:val="20"/>
          <w:u w:val="single"/>
        </w:rPr>
        <w:t>Cifras relevantes de la empresa:</w:t>
      </w:r>
    </w:p>
    <w:p w14:paraId="3148FD3F" w14:textId="77777777" w:rsidR="00C86459" w:rsidRPr="00C67337" w:rsidRDefault="00C86459" w:rsidP="00C86459">
      <w:pPr>
        <w:jc w:val="both"/>
        <w:rPr>
          <w:rFonts w:ascii="Open Sans" w:hAnsi="Open Sans" w:cs="Open Sans"/>
          <w:sz w:val="20"/>
          <w:szCs w:val="20"/>
          <w:u w:val="single"/>
        </w:rPr>
      </w:pPr>
    </w:p>
    <w:p w14:paraId="5828312D"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CaixaBank es una sociedad anónima cuyas acciones se encuentran admitidas a cotización en las bolsas de Barcelona, Madrid, Valencia y Bilbao y en el mercado continuo, formando parte del IBEX-35 desde el 4 de febrero de 2008. Por todo ello, la Entidad está sujeta a la supervisión de la Comisión Nacional del Mercado de Valores. Adicionalmente, CaixaBank forma parte de otros índices bursátiles internacionales como el Euro Stoxx Bank Price EUR, el MSCI Europe, el MSCI Pan-Euro, el FTSE4Good, el FTSE Eurofirst 300 que contiene las 300 primeras empresas europeas por capitalización y el Dow Jones Sustainability Index. También forma parte del Advanced Sustainable Performance Indexes (ASPI), que integra las 120 empresas del DD Euro Stoxx con mejor desempeño en materia de desarrollo sostenible. </w:t>
      </w:r>
    </w:p>
    <w:p w14:paraId="18F37CA4" w14:textId="77777777" w:rsidR="00C86459" w:rsidRPr="00C67337" w:rsidRDefault="00C86459" w:rsidP="00C86459">
      <w:pPr>
        <w:jc w:val="both"/>
        <w:rPr>
          <w:rFonts w:ascii="Open Sans" w:hAnsi="Open Sans" w:cs="Open Sans"/>
          <w:sz w:val="20"/>
          <w:szCs w:val="20"/>
        </w:rPr>
      </w:pPr>
    </w:p>
    <w:p w14:paraId="50016BA1" w14:textId="77777777" w:rsidR="00C86459" w:rsidRPr="00C67337" w:rsidRDefault="00C86459" w:rsidP="00C86459">
      <w:pPr>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cuenta con 5.211 oficinas en España, 3 oficinas en el extranjero y 14 oficinas de representación. Cuenta con 13,8 millones de clientes y más de 700.000 accionistas </w:t>
      </w:r>
    </w:p>
    <w:p w14:paraId="618AE756" w14:textId="77777777" w:rsidR="00C86459" w:rsidRPr="00C67337" w:rsidRDefault="00C86459" w:rsidP="00C86459">
      <w:pPr>
        <w:jc w:val="both"/>
        <w:rPr>
          <w:rFonts w:ascii="Open Sans" w:hAnsi="Open Sans" w:cs="Open Sans"/>
          <w:sz w:val="20"/>
          <w:szCs w:val="20"/>
        </w:rPr>
      </w:pPr>
    </w:p>
    <w:p w14:paraId="28D9C501" w14:textId="77777777" w:rsidR="00C86459" w:rsidRPr="00C67337" w:rsidRDefault="00C86459" w:rsidP="00C86459">
      <w:pPr>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cuenta con unos activos totales a 31 de diciembre de 2015 de 344.255.475 miles de euros, ha obtenido unos beneficios antes de impuestos de 638.104 miles de euros. Al 31 de diciembre de 2015 el grupo cuenta con un total de 32.242  empleados.</w:t>
      </w:r>
    </w:p>
    <w:p w14:paraId="45678D62" w14:textId="77777777" w:rsidR="00C86459" w:rsidRPr="00C67337" w:rsidRDefault="00C86459" w:rsidP="00C86459">
      <w:pPr>
        <w:jc w:val="both"/>
        <w:rPr>
          <w:rFonts w:ascii="Open Sans" w:hAnsi="Open Sans" w:cs="Open Sans"/>
          <w:sz w:val="20"/>
          <w:szCs w:val="20"/>
          <w:u w:val="single"/>
        </w:rPr>
      </w:pPr>
    </w:p>
    <w:p w14:paraId="30A7B029" w14:textId="77777777" w:rsidR="00C86459" w:rsidRPr="00C67337" w:rsidRDefault="00C86459" w:rsidP="00C86459">
      <w:pPr>
        <w:jc w:val="both"/>
        <w:rPr>
          <w:rFonts w:ascii="Open Sans" w:hAnsi="Open Sans" w:cs="Open Sans"/>
          <w:sz w:val="20"/>
          <w:szCs w:val="20"/>
          <w:u w:val="single"/>
        </w:rPr>
      </w:pPr>
      <w:r>
        <w:rPr>
          <w:rFonts w:ascii="Open Sans" w:hAnsi="Open Sans" w:cs="Open Sans"/>
          <w:sz w:val="20"/>
          <w:szCs w:val="20"/>
          <w:u w:val="single"/>
        </w:rPr>
        <w:br w:type="page"/>
      </w:r>
    </w:p>
    <w:p w14:paraId="2C1DDA48" w14:textId="77777777" w:rsidR="00C86459" w:rsidRPr="00C67337" w:rsidRDefault="00C86459" w:rsidP="00C86459">
      <w:pPr>
        <w:jc w:val="both"/>
        <w:rPr>
          <w:rFonts w:ascii="Open Sans" w:hAnsi="Open Sans" w:cs="Open Sans"/>
          <w:sz w:val="20"/>
          <w:szCs w:val="20"/>
          <w:u w:val="single"/>
        </w:rPr>
      </w:pPr>
      <w:r w:rsidRPr="00C67337">
        <w:rPr>
          <w:rFonts w:ascii="Open Sans" w:hAnsi="Open Sans" w:cs="Open Sans"/>
          <w:sz w:val="20"/>
          <w:szCs w:val="20"/>
          <w:u w:val="single"/>
        </w:rPr>
        <w:t>Estándares voluntarios relacionados con fiscalidad responsable</w:t>
      </w:r>
    </w:p>
    <w:p w14:paraId="104BB747" w14:textId="77777777" w:rsidR="00C86459" w:rsidRPr="00C67337" w:rsidRDefault="00C86459" w:rsidP="00C86459">
      <w:pPr>
        <w:jc w:val="both"/>
        <w:rPr>
          <w:rFonts w:ascii="Open Sans" w:hAnsi="Open Sans" w:cs="Open Sans"/>
          <w:sz w:val="20"/>
          <w:szCs w:val="20"/>
          <w:u w:val="single"/>
        </w:rPr>
      </w:pPr>
    </w:p>
    <w:p w14:paraId="43C2DE55" w14:textId="77777777" w:rsidR="00C86459" w:rsidRPr="00C67337" w:rsidRDefault="00C86459" w:rsidP="00C86459">
      <w:pPr>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informa que se ha adherido voluntariamente a los siguientes estándares relacionados con contenidos y sistemas de gestión de fiscalidad responsable:</w:t>
      </w:r>
    </w:p>
    <w:p w14:paraId="25D83DEB" w14:textId="77777777" w:rsidR="00C86459" w:rsidRPr="00C67337" w:rsidRDefault="00C86459" w:rsidP="00C86459">
      <w:pPr>
        <w:jc w:val="both"/>
        <w:rPr>
          <w:rFonts w:ascii="Open Sans" w:hAnsi="Open Sans" w:cs="Open Sans"/>
          <w:sz w:val="20"/>
          <w:szCs w:val="20"/>
        </w:rPr>
      </w:pPr>
    </w:p>
    <w:p w14:paraId="73CC2E72" w14:textId="77777777" w:rsidR="00C86459" w:rsidRPr="00C67337" w:rsidRDefault="00C86459" w:rsidP="000B70C9">
      <w:pPr>
        <w:numPr>
          <w:ilvl w:val="0"/>
          <w:numId w:val="44"/>
        </w:numPr>
        <w:jc w:val="both"/>
        <w:rPr>
          <w:rFonts w:ascii="Open Sans" w:hAnsi="Open Sans" w:cs="Open Sans"/>
          <w:sz w:val="20"/>
          <w:szCs w:val="20"/>
        </w:rPr>
      </w:pPr>
      <w:r w:rsidRPr="00C67337">
        <w:rPr>
          <w:rFonts w:ascii="Open Sans" w:hAnsi="Open Sans" w:cs="Open Sans"/>
          <w:sz w:val="20"/>
          <w:szCs w:val="20"/>
        </w:rPr>
        <w:t>Código de Buenas Prácticas Tributarias de la Agencia Tributaria.</w:t>
      </w:r>
    </w:p>
    <w:p w14:paraId="7B1EAF97" w14:textId="77777777" w:rsidR="00C86459" w:rsidRPr="00C67337" w:rsidRDefault="00C86459" w:rsidP="00C86459">
      <w:pPr>
        <w:jc w:val="both"/>
        <w:rPr>
          <w:rFonts w:ascii="Open Sans" w:hAnsi="Open Sans" w:cs="Open Sans"/>
          <w:sz w:val="20"/>
          <w:szCs w:val="20"/>
          <w:u w:val="single"/>
        </w:rPr>
      </w:pPr>
    </w:p>
    <w:p w14:paraId="63432E83" w14:textId="77777777" w:rsidR="00C86459" w:rsidRPr="00C67337" w:rsidRDefault="00C86459" w:rsidP="00C86459">
      <w:pPr>
        <w:jc w:val="both"/>
        <w:rPr>
          <w:rFonts w:ascii="Open Sans" w:hAnsi="Open Sans" w:cs="Open Sans"/>
          <w:sz w:val="20"/>
          <w:szCs w:val="20"/>
          <w:u w:val="single"/>
        </w:rPr>
      </w:pPr>
      <w:r w:rsidRPr="00C67337">
        <w:rPr>
          <w:rFonts w:ascii="Open Sans" w:hAnsi="Open Sans" w:cs="Open Sans"/>
          <w:sz w:val="20"/>
          <w:szCs w:val="20"/>
          <w:u w:val="single"/>
        </w:rPr>
        <w:t>Documentos incluidos en el análisis</w:t>
      </w:r>
    </w:p>
    <w:p w14:paraId="235C3EC5" w14:textId="77777777" w:rsidR="00C86459" w:rsidRPr="00C67337" w:rsidRDefault="00C86459" w:rsidP="00C86459">
      <w:pPr>
        <w:ind w:firstLine="709"/>
        <w:jc w:val="both"/>
        <w:rPr>
          <w:rFonts w:ascii="Open Sans" w:hAnsi="Open Sans" w:cs="Open Sans"/>
          <w:sz w:val="20"/>
          <w:szCs w:val="20"/>
        </w:rPr>
      </w:pPr>
    </w:p>
    <w:p w14:paraId="24E0C39D"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5DBD32C7" w14:textId="77777777" w:rsidR="00C86459" w:rsidRPr="00C67337" w:rsidRDefault="00C86459" w:rsidP="00C86459">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C86459" w:rsidRPr="00C67337" w14:paraId="2BE10530" w14:textId="77777777" w:rsidTr="00C86459">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3E51E6D7" w14:textId="77777777" w:rsidR="00C86459" w:rsidRPr="00C67337" w:rsidRDefault="00C86459" w:rsidP="00C86459">
            <w:pPr>
              <w:jc w:val="center"/>
              <w:rPr>
                <w:rFonts w:ascii="Open Sans" w:hAnsi="Open Sans" w:cs="Open Sans"/>
                <w:b/>
                <w:sz w:val="20"/>
                <w:szCs w:val="20"/>
              </w:rPr>
            </w:pPr>
            <w:r w:rsidRPr="00C67337">
              <w:rPr>
                <w:rFonts w:ascii="Open Sans" w:hAnsi="Open Sans" w:cs="Open Sans"/>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6711AB2F" w14:textId="77777777" w:rsidR="00C86459" w:rsidRPr="00C67337" w:rsidRDefault="00C86459" w:rsidP="00C86459">
            <w:pPr>
              <w:jc w:val="center"/>
              <w:rPr>
                <w:rFonts w:ascii="Open Sans" w:hAnsi="Open Sans" w:cs="Open Sans"/>
                <w:b/>
                <w:sz w:val="20"/>
                <w:szCs w:val="20"/>
              </w:rPr>
            </w:pPr>
            <w:r w:rsidRPr="00C67337">
              <w:rPr>
                <w:rFonts w:ascii="Open Sans" w:hAnsi="Open Sans" w:cs="Open Sans"/>
                <w:b/>
                <w:sz w:val="20"/>
                <w:szCs w:val="20"/>
              </w:rPr>
              <w:t>OBSERVACIONES</w:t>
            </w:r>
          </w:p>
        </w:tc>
      </w:tr>
      <w:tr w:rsidR="00C86459" w:rsidRPr="00C67337" w14:paraId="669072C4" w14:textId="77777777" w:rsidTr="00C86459">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290D77A"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Informe corporativo integrado</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9A769BE"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7B85ED20" w14:textId="77777777" w:rsidTr="00C86459">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E8FB3C0"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Informe Anual de Gobierno Corporativo</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9EFB1D3"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41A32232" w14:textId="77777777" w:rsidTr="00C86459">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BE6E008"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Política de actuación de CaixaBank en materia de anticorrupción</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432D730A"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4B519AA0" w14:textId="77777777" w:rsidTr="00C86459">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2A63B0A8"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Estrategia fiscal</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4D7CE45D"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78DDC79D" w14:textId="77777777" w:rsidTr="00C86459">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14A5D9F9"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Informe de Impacto Socieconómico 2015</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9A7E3DF"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7FC246A2" w14:textId="77777777" w:rsidTr="00C86459">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F3FB78F"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Contribución fiscal total del grupo Caixabank</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7A71EDF2"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664DCA1E" w14:textId="77777777" w:rsidTr="00C86459">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B1CC071"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color w:val="000000"/>
                <w:sz w:val="20"/>
                <w:szCs w:val="20"/>
              </w:rPr>
              <w:t>Política de RSC de Caixabank</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790F982C" w14:textId="77777777" w:rsidR="00C86459" w:rsidRPr="00C67337" w:rsidRDefault="00C86459" w:rsidP="00C86459">
            <w:pPr>
              <w:jc w:val="both"/>
              <w:rPr>
                <w:rFonts w:ascii="Open Sans" w:eastAsia="Arial Unicode MS" w:hAnsi="Open Sans" w:cs="Open Sans"/>
                <w:sz w:val="20"/>
                <w:szCs w:val="20"/>
              </w:rPr>
            </w:pPr>
          </w:p>
        </w:tc>
      </w:tr>
      <w:tr w:rsidR="00C86459" w:rsidRPr="00C67337" w14:paraId="494F3FE5" w14:textId="77777777" w:rsidTr="00C86459">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14FBDBC" w14:textId="77777777" w:rsidR="00C86459" w:rsidRPr="00C67337" w:rsidRDefault="00C86459" w:rsidP="00C86459">
            <w:pPr>
              <w:rPr>
                <w:rFonts w:ascii="Open Sans" w:hAnsi="Open Sans" w:cs="Open Sans"/>
                <w:color w:val="000000"/>
                <w:sz w:val="20"/>
                <w:szCs w:val="20"/>
              </w:rPr>
            </w:pPr>
            <w:r w:rsidRPr="00C67337">
              <w:rPr>
                <w:rFonts w:ascii="Open Sans" w:hAnsi="Open Sans" w:cs="Open Sans"/>
                <w:sz w:val="20"/>
                <w:szCs w:val="20"/>
              </w:rPr>
              <w:t>Memoria de recursos humanos y organización 2015</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7B2EB128" w14:textId="77777777" w:rsidR="00C86459" w:rsidRPr="00C67337" w:rsidRDefault="00C86459" w:rsidP="00C86459">
            <w:pPr>
              <w:jc w:val="both"/>
              <w:rPr>
                <w:rFonts w:ascii="Open Sans" w:eastAsia="Arial Unicode MS" w:hAnsi="Open Sans" w:cs="Open Sans"/>
                <w:sz w:val="20"/>
                <w:szCs w:val="20"/>
              </w:rPr>
            </w:pPr>
          </w:p>
        </w:tc>
      </w:tr>
    </w:tbl>
    <w:p w14:paraId="0053117B" w14:textId="77777777" w:rsidR="00C86459" w:rsidRPr="00C67337" w:rsidRDefault="00C86459" w:rsidP="00C86459">
      <w:pPr>
        <w:jc w:val="both"/>
        <w:rPr>
          <w:rFonts w:ascii="Open Sans" w:hAnsi="Open Sans" w:cs="Open Sans"/>
          <w:b/>
          <w:sz w:val="20"/>
          <w:szCs w:val="20"/>
        </w:rPr>
      </w:pPr>
    </w:p>
    <w:p w14:paraId="0DD254A2" w14:textId="77777777" w:rsidR="00C86459" w:rsidRPr="00C67337" w:rsidRDefault="00C86459" w:rsidP="00C86459">
      <w:pPr>
        <w:jc w:val="both"/>
        <w:rPr>
          <w:rFonts w:ascii="Open Sans" w:hAnsi="Open Sans" w:cs="Open Sans"/>
          <w:b/>
          <w:sz w:val="20"/>
          <w:szCs w:val="20"/>
        </w:rPr>
      </w:pPr>
    </w:p>
    <w:p w14:paraId="59058020" w14:textId="77777777" w:rsidR="00C86459" w:rsidRPr="00C67337" w:rsidRDefault="00C86459" w:rsidP="00C86459">
      <w:pPr>
        <w:jc w:val="both"/>
        <w:rPr>
          <w:rFonts w:ascii="Open Sans" w:hAnsi="Open Sans" w:cs="Open Sans"/>
          <w:b/>
          <w:sz w:val="22"/>
          <w:szCs w:val="22"/>
          <w:u w:val="single"/>
        </w:rPr>
      </w:pPr>
      <w:r>
        <w:rPr>
          <w:rFonts w:ascii="Open Sans" w:hAnsi="Open Sans" w:cs="Open Sans"/>
          <w:b/>
          <w:sz w:val="22"/>
          <w:szCs w:val="22"/>
          <w:u w:val="single"/>
        </w:rPr>
        <w:t>2. Tabla</w:t>
      </w:r>
      <w:r w:rsidRPr="00C67337">
        <w:rPr>
          <w:rFonts w:ascii="Open Sans" w:hAnsi="Open Sans" w:cs="Open Sans"/>
          <w:b/>
          <w:sz w:val="22"/>
          <w:szCs w:val="22"/>
          <w:u w:val="single"/>
        </w:rPr>
        <w:t xml:space="preserve"> de resultados</w:t>
      </w:r>
    </w:p>
    <w:p w14:paraId="43113974" w14:textId="77777777" w:rsidR="00C86459" w:rsidRDefault="00C86459" w:rsidP="00C86459">
      <w:pPr>
        <w:jc w:val="both"/>
        <w:rPr>
          <w:rFonts w:ascii="Open Sans" w:hAnsi="Open Sans" w:cs="Open Sans"/>
          <w:b/>
          <w:color w:val="FF0000"/>
          <w:sz w:val="20"/>
          <w:szCs w:val="20"/>
        </w:rPr>
      </w:pPr>
    </w:p>
    <w:p w14:paraId="06D5DD6D" w14:textId="77777777" w:rsidR="00C86459" w:rsidRDefault="00C86459" w:rsidP="00C86459">
      <w:pPr>
        <w:jc w:val="both"/>
        <w:rPr>
          <w:rFonts w:ascii="Open Sans" w:hAnsi="Open Sans" w:cs="Open Sans"/>
          <w:b/>
          <w:color w:val="FF0000"/>
          <w:sz w:val="20"/>
          <w:szCs w:val="20"/>
        </w:rPr>
      </w:pPr>
    </w:p>
    <w:p w14:paraId="559C609C" w14:textId="77777777" w:rsidR="00C86459" w:rsidRPr="007829A9" w:rsidRDefault="00C86459" w:rsidP="00C86459">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6B331B7C" w14:textId="77777777" w:rsidR="00C86459" w:rsidRPr="00732FD5" w:rsidRDefault="00C86459" w:rsidP="00C86459">
      <w:pPr>
        <w:rPr>
          <w:rFonts w:ascii="Open Sans" w:hAnsi="Open Sans" w:cs="Arial"/>
          <w:b/>
        </w:rPr>
      </w:pPr>
    </w:p>
    <w:p w14:paraId="22B24395" w14:textId="6EA8A7BF" w:rsidR="00C86459" w:rsidRDefault="00C86459" w:rsidP="00C86459">
      <w:pPr>
        <w:jc w:val="center"/>
      </w:pPr>
      <w:r>
        <w:rPr>
          <w:noProof/>
          <w:lang w:val="es-ES"/>
        </w:rPr>
        <w:drawing>
          <wp:inline distT="0" distB="0" distL="0" distR="0" wp14:anchorId="2564B879" wp14:editId="47D91933">
            <wp:extent cx="3688080" cy="1828800"/>
            <wp:effectExtent l="0" t="0" r="0" b="0"/>
            <wp:docPr id="17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a:ext>
                      </a:extLst>
                    </a:blip>
                    <a:srcRect/>
                    <a:stretch>
                      <a:fillRect/>
                    </a:stretch>
                  </pic:blipFill>
                  <pic:spPr bwMode="auto">
                    <a:xfrm>
                      <a:off x="0" y="0"/>
                      <a:ext cx="3688080" cy="1828800"/>
                    </a:xfrm>
                    <a:prstGeom prst="rect">
                      <a:avLst/>
                    </a:prstGeom>
                    <a:noFill/>
                    <a:ln>
                      <a:noFill/>
                    </a:ln>
                  </pic:spPr>
                </pic:pic>
              </a:graphicData>
            </a:graphic>
          </wp:inline>
        </w:drawing>
      </w:r>
    </w:p>
    <w:p w14:paraId="2BD77562" w14:textId="77777777" w:rsidR="00C86459" w:rsidRPr="00C67337" w:rsidRDefault="00C86459" w:rsidP="00C86459">
      <w:pPr>
        <w:jc w:val="center"/>
        <w:rPr>
          <w:rFonts w:ascii="Open Sans" w:hAnsi="Open Sans" w:cs="Open Sans"/>
          <w:b/>
          <w:sz w:val="20"/>
          <w:szCs w:val="20"/>
          <w:u w:val="single"/>
        </w:rPr>
      </w:pPr>
    </w:p>
    <w:p w14:paraId="03BF0AAB" w14:textId="77777777" w:rsidR="00C86459" w:rsidRPr="00C67337" w:rsidRDefault="00C86459" w:rsidP="00C86459">
      <w:pPr>
        <w:jc w:val="center"/>
        <w:rPr>
          <w:rFonts w:ascii="Open Sans" w:hAnsi="Open Sans" w:cs="Open Sans"/>
          <w:b/>
          <w:sz w:val="20"/>
          <w:szCs w:val="20"/>
        </w:rPr>
      </w:pPr>
      <w:r>
        <w:rPr>
          <w:rFonts w:ascii="Open Sans" w:hAnsi="Open Sans" w:cs="Open Sans"/>
          <w:b/>
          <w:sz w:val="20"/>
          <w:szCs w:val="20"/>
        </w:rPr>
        <w:br w:type="page"/>
      </w:r>
    </w:p>
    <w:p w14:paraId="53090255" w14:textId="77777777" w:rsidR="00C86459" w:rsidRPr="00C67337" w:rsidRDefault="00C86459" w:rsidP="00C86459">
      <w:pPr>
        <w:jc w:val="both"/>
        <w:rPr>
          <w:rFonts w:ascii="Open Sans" w:hAnsi="Open Sans" w:cs="Open Sans"/>
          <w:b/>
          <w:sz w:val="22"/>
          <w:szCs w:val="22"/>
        </w:rPr>
      </w:pPr>
      <w:r w:rsidRPr="00C67337">
        <w:rPr>
          <w:rFonts w:ascii="Open Sans" w:hAnsi="Open Sans" w:cs="Open Sans"/>
          <w:b/>
          <w:sz w:val="22"/>
          <w:szCs w:val="22"/>
          <w:u w:val="single"/>
        </w:rPr>
        <w:t>3. Contexto general</w:t>
      </w:r>
    </w:p>
    <w:p w14:paraId="1BAB6A45" w14:textId="77777777" w:rsidR="00C86459" w:rsidRPr="00C67337" w:rsidRDefault="00C86459" w:rsidP="00C86459">
      <w:pPr>
        <w:autoSpaceDE w:val="0"/>
        <w:autoSpaceDN w:val="0"/>
        <w:adjustRightInd w:val="0"/>
        <w:jc w:val="both"/>
        <w:rPr>
          <w:rFonts w:ascii="Open Sans" w:hAnsi="Open Sans" w:cs="Open Sans"/>
          <w:sz w:val="20"/>
          <w:szCs w:val="20"/>
        </w:rPr>
      </w:pPr>
    </w:p>
    <w:p w14:paraId="1A18A86B"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Tras la reorganización del Grupo “la Caixa” en octubre de 2014, Criteria</w:t>
      </w:r>
      <w:r>
        <w:rPr>
          <w:rFonts w:ascii="Open Sans" w:hAnsi="Open Sans" w:cs="Open Sans"/>
          <w:sz w:val="20"/>
          <w:szCs w:val="20"/>
        </w:rPr>
        <w:t xml:space="preserve"> </w:t>
      </w:r>
      <w:r w:rsidRPr="00C67337">
        <w:rPr>
          <w:rFonts w:ascii="Open Sans" w:hAnsi="Open Sans" w:cs="Open Sans"/>
          <w:sz w:val="20"/>
          <w:szCs w:val="20"/>
        </w:rPr>
        <w:t>Caixa es una sociedad instrumental patrimonialista controlada al 100% por la </w:t>
      </w:r>
      <w:hyperlink r:id="rId118" w:tgtFrame="_blank" w:tooltip="Fundación Bancaria &quot;la Caixa&quot; (Abre en ventana nueva)" w:history="1">
        <w:r w:rsidRPr="00C67337">
          <w:rPr>
            <w:rFonts w:ascii="Open Sans" w:hAnsi="Open Sans" w:cs="Open Sans"/>
            <w:sz w:val="20"/>
            <w:szCs w:val="20"/>
          </w:rPr>
          <w:t>Fundación Bancaria ”la Caixa”</w:t>
        </w:r>
      </w:hyperlink>
      <w:r w:rsidRPr="00C67337">
        <w:rPr>
          <w:rFonts w:ascii="Open Sans" w:hAnsi="Open Sans" w:cs="Open Sans"/>
          <w:sz w:val="20"/>
          <w:szCs w:val="20"/>
        </w:rPr>
        <w:t>, que gestiona todas las participaciones accionariales del Grupo en sectores estratégicos como el energético, las infraestructuras, los servicios y el negocio inmobiliario, así como en </w:t>
      </w:r>
      <w:hyperlink r:id="rId119" w:tgtFrame="_blank" w:tooltip="CaixaBank (Abre en ventana nueva)" w:history="1">
        <w:r w:rsidRPr="00C67337">
          <w:rPr>
            <w:rFonts w:ascii="Open Sans" w:hAnsi="Open Sans" w:cs="Open Sans"/>
            <w:sz w:val="20"/>
            <w:szCs w:val="20"/>
          </w:rPr>
          <w:t>CaixaBank</w:t>
        </w:r>
      </w:hyperlink>
      <w:r w:rsidRPr="00C67337">
        <w:rPr>
          <w:rFonts w:ascii="Open Sans" w:hAnsi="Open Sans" w:cs="Open Sans"/>
          <w:sz w:val="20"/>
          <w:szCs w:val="20"/>
        </w:rPr>
        <w:t>, el grupo financiero líder en banca minorista en el mercado español.</w:t>
      </w:r>
    </w:p>
    <w:p w14:paraId="3F01D20F" w14:textId="77777777" w:rsidR="00C86459" w:rsidRPr="00C67337" w:rsidRDefault="00C86459" w:rsidP="00C86459">
      <w:pPr>
        <w:jc w:val="both"/>
        <w:rPr>
          <w:rFonts w:ascii="Open Sans" w:hAnsi="Open Sans" w:cs="Open Sans"/>
          <w:b/>
          <w:sz w:val="20"/>
          <w:szCs w:val="20"/>
        </w:rPr>
      </w:pPr>
    </w:p>
    <w:p w14:paraId="43E46456" w14:textId="77777777" w:rsidR="00C86459" w:rsidRPr="00C67337" w:rsidRDefault="00C86459" w:rsidP="00C86459">
      <w:pPr>
        <w:autoSpaceDE w:val="0"/>
        <w:autoSpaceDN w:val="0"/>
        <w:adjustRightInd w:val="0"/>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Pr>
          <w:rFonts w:ascii="Open Sans" w:hAnsi="Open Sans" w:cs="Open Sans"/>
          <w:sz w:val="20"/>
          <w:szCs w:val="20"/>
        </w:rPr>
        <w:t xml:space="preserve"> </w:t>
      </w:r>
      <w:r w:rsidRPr="00C67337">
        <w:rPr>
          <w:rFonts w:ascii="Open Sans" w:hAnsi="Open Sans" w:cs="Open Sans"/>
          <w:sz w:val="20"/>
          <w:szCs w:val="20"/>
        </w:rPr>
        <w:t>cuenta con una capitalización a diciembre de 2015 de 18.702 millones de euros y sus acciones cotizaban a 3,214 lo que supone una caída del 26,30% con respecto a 2014. Caixabank es líder en Banca Minorista en España con una cuota de mercado del 16,4% en Créditos y del 15,3% en depósitos. En seguros de ahorro alcanza el 22,2% y en planes de pensiones el 21,5%. El ratio de morosidad en 2015 es del 7,9% y el ratio de solvencia del 15,9% siendo el Titer 1 el 12,9%. Caixabank cuenta con una importante cartera de participaciones industriales, además de las bancarias que se han descrito anteriormente:</w:t>
      </w:r>
    </w:p>
    <w:p w14:paraId="2BEA1DBF" w14:textId="77777777" w:rsidR="00C86459" w:rsidRPr="00C67337" w:rsidRDefault="00C86459" w:rsidP="00C86459">
      <w:pPr>
        <w:autoSpaceDE w:val="0"/>
        <w:autoSpaceDN w:val="0"/>
        <w:adjustRightInd w:val="0"/>
        <w:jc w:val="both"/>
        <w:rPr>
          <w:rFonts w:ascii="Open Sans" w:hAnsi="Open Sans" w:cs="Open Sans"/>
          <w:sz w:val="20"/>
          <w:szCs w:val="20"/>
        </w:rPr>
      </w:pPr>
    </w:p>
    <w:p w14:paraId="4F83EE72"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Repsol (entidad asociada): CaixaBank, con una participación a 31 de diciembre de 2015 del 12,14%, es actualmente el mayor accionista de Repsol y ha ocupado históricamente desde su fundación una posición relevante en su accionariado y en su Consejo de Administración. El Presidente de CaixaBank es consejero de Repsol, siendo asimismo Vicepresidente primero del Consejo de Administración y miembro de la Comisión Delegada. Además, CaixaBank dispone de un segundo consejero en el Consejo de Administración de Repsol, que es miembro de la Comisión de Nombramientos, de la Comisión de Retribuciones y de la Comisión de Sostenibilidad. Por otro lado, Repsol y el Grupo tienen un acuerdo de accionistas que instrumenta el control conjunto de Gas Natural SDG, SA.</w:t>
      </w:r>
    </w:p>
    <w:p w14:paraId="135F5EE3" w14:textId="77777777" w:rsidR="00C86459" w:rsidRPr="00C67337" w:rsidRDefault="00C86459" w:rsidP="00C86459">
      <w:pPr>
        <w:autoSpaceDE w:val="0"/>
        <w:autoSpaceDN w:val="0"/>
        <w:adjustRightInd w:val="0"/>
        <w:jc w:val="both"/>
        <w:rPr>
          <w:rFonts w:ascii="Open Sans" w:hAnsi="Open Sans" w:cs="Open Sans"/>
          <w:sz w:val="20"/>
          <w:szCs w:val="20"/>
        </w:rPr>
      </w:pPr>
    </w:p>
    <w:p w14:paraId="4CC7EB47"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Como entidades multigrupo del Grupo Criteria están Abertis con un  porcentaje de participación del 18,93% y 5 miembros en el consejo de administración; Aguis de Barcelona con una participación del 15% y 2 miembros en el consejo de administración; Gas Natural Fenosa con un  porcentaje de participación del 24,44% y 4 miembros en el consejo de administración; Saba Infraestructuras con un  porcentaje de participación del 50,10% y 7 miembros en el consejo de administración; Mediterránea Beach con un  porcentaje de participación del 100% y 9 miembros en el consejo de administración; Vithas Sanidad con un  porcentaje de participación del 20% y 1 miembro en el consejo de administración;</w:t>
      </w:r>
    </w:p>
    <w:p w14:paraId="2C99E134" w14:textId="77777777" w:rsidR="00C86459" w:rsidRPr="00C67337" w:rsidRDefault="00C86459" w:rsidP="00C86459">
      <w:pPr>
        <w:autoSpaceDE w:val="0"/>
        <w:autoSpaceDN w:val="0"/>
        <w:adjustRightInd w:val="0"/>
        <w:jc w:val="both"/>
        <w:rPr>
          <w:rFonts w:ascii="Open Sans" w:hAnsi="Open Sans" w:cs="Open Sans"/>
          <w:sz w:val="20"/>
          <w:szCs w:val="20"/>
        </w:rPr>
      </w:pPr>
    </w:p>
    <w:p w14:paraId="26615CA3"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Los riesgos de elusión y evasión fiscal en el sector financiero son especialmente importantes. Como señala portavoz del cuerpo de inspectores de hacienda del Estado, José María Peláez Martos “se puede afirmar que no hay fraude o escándalo financiero, a nivel nacional o internacional, en el que no aparezca la utilización de los paraísos. Así, podemos citar los casos Enron, Worldcom, Parmalat, BBVA, o los casos Ballena Blanca y Malaya, resultando evidente, por otro lado, que en la utilización de los paraísos fiscales tiene una intervención muy directa el sistema bancario y financiero</w:t>
      </w:r>
      <w:r w:rsidRPr="00C67337">
        <w:rPr>
          <w:rStyle w:val="Refdenotaalpie"/>
          <w:rFonts w:ascii="Open Sans" w:hAnsi="Open Sans" w:cs="Open Sans"/>
          <w:sz w:val="20"/>
          <w:szCs w:val="20"/>
        </w:rPr>
        <w:footnoteReference w:id="533"/>
      </w:r>
      <w:r w:rsidRPr="00C67337">
        <w:rPr>
          <w:rFonts w:ascii="Open Sans" w:hAnsi="Open Sans" w:cs="Open Sans"/>
          <w:sz w:val="20"/>
          <w:szCs w:val="20"/>
        </w:rPr>
        <w:t>”</w:t>
      </w:r>
    </w:p>
    <w:p w14:paraId="002B9D67" w14:textId="77777777" w:rsidR="00C86459" w:rsidRPr="00C67337" w:rsidRDefault="00C86459" w:rsidP="00C86459">
      <w:pPr>
        <w:autoSpaceDE w:val="0"/>
        <w:autoSpaceDN w:val="0"/>
        <w:adjustRightInd w:val="0"/>
        <w:jc w:val="both"/>
        <w:rPr>
          <w:rFonts w:ascii="Open Sans" w:hAnsi="Open Sans" w:cs="Open Sans"/>
          <w:sz w:val="20"/>
          <w:szCs w:val="20"/>
        </w:rPr>
      </w:pPr>
    </w:p>
    <w:p w14:paraId="24423723"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El informe de la OCDE de 2009 “Building Transparent Tax Compliance by Banks” resalta el papel crítico del sector bancario en el desarrollo de sistemas fiscales transparentes y efectivos</w:t>
      </w:r>
      <w:r w:rsidRPr="00C67337">
        <w:rPr>
          <w:rStyle w:val="Refdenotaalpie"/>
          <w:rFonts w:ascii="Open Sans" w:hAnsi="Open Sans" w:cs="Open Sans"/>
          <w:sz w:val="20"/>
          <w:szCs w:val="20"/>
        </w:rPr>
        <w:footnoteReference w:id="534"/>
      </w:r>
      <w:r w:rsidRPr="00C67337">
        <w:rPr>
          <w:rFonts w:ascii="Open Sans" w:hAnsi="Open Sans" w:cs="Open Sans"/>
          <w:sz w:val="20"/>
          <w:szCs w:val="20"/>
        </w:rPr>
        <w:t>. La OCDE sostiene que, el conocimiento sobre el sistema fiscal y su interacción con los clientes, sitúa al sector bancario en una posición de responsabilidad única. El informe de la OCDE señala específicamente que los bancos deben ser alentados a ofrecer un grado de transparencia "por encima del mínimo legal requerido". Asimismo, dada la complejidad de los sistemas fiscales de los países en vías de desarrollo, es importante que los bancos que operan en esos países lo hagan de forma transparente y que tengan relaciones constructivas y de colaboración con las autoridades fiscales. Es importante resaltar el doble riesgo que entraña la presencia de entidades financieras en paraísos fiscales: por un lado, existe riesgo de elusión fiscal por parte de la propia empresa. Por otro, debe considerarse el riesgo de elusión fiscal por parte de los clientes. Así, la presencia de sociedades del Grupo en territorios con baja o nula fiscalidad para no residentes, puede facilitar también la operativa de sus clientes en tales territorios, clientes que a su vez presentan también un incremento del riesgo de elusión fiscal. A diferencia de otras empresas, los bancos tienen acceso a una inmensa cantidad de capital. Este capital puede ser utilizado como base para facilitar los mecanismos de evasión diseñados e implementados por otros de los que los bancos pueden beneficiarse, por ejemplo a través de la participación en los beneficios fiscales directamente o por condiciones de los préstamos más rentables</w:t>
      </w:r>
      <w:r w:rsidRPr="00C67337">
        <w:rPr>
          <w:rStyle w:val="Refdenotaalpie"/>
          <w:rFonts w:ascii="Open Sans" w:hAnsi="Open Sans" w:cs="Open Sans"/>
          <w:sz w:val="20"/>
          <w:szCs w:val="20"/>
        </w:rPr>
        <w:footnoteReference w:id="535"/>
      </w:r>
      <w:r w:rsidRPr="00C67337">
        <w:rPr>
          <w:rFonts w:ascii="Open Sans" w:hAnsi="Open Sans" w:cs="Open Sans"/>
          <w:sz w:val="20"/>
          <w:szCs w:val="20"/>
        </w:rPr>
        <w:t>.</w:t>
      </w:r>
    </w:p>
    <w:p w14:paraId="1B49EE78" w14:textId="77777777" w:rsidR="00C86459" w:rsidRPr="00C67337" w:rsidRDefault="00C86459" w:rsidP="00C86459">
      <w:pPr>
        <w:autoSpaceDE w:val="0"/>
        <w:autoSpaceDN w:val="0"/>
        <w:adjustRightInd w:val="0"/>
        <w:jc w:val="both"/>
        <w:rPr>
          <w:rFonts w:ascii="Open Sans" w:hAnsi="Open Sans" w:cs="Open Sans"/>
          <w:sz w:val="20"/>
          <w:szCs w:val="20"/>
          <w:highlight w:val="yellow"/>
        </w:rPr>
      </w:pPr>
    </w:p>
    <w:p w14:paraId="7E4E2EA8" w14:textId="77777777" w:rsidR="00C86459" w:rsidRPr="00C67337" w:rsidRDefault="00C86459" w:rsidP="00C86459">
      <w:pPr>
        <w:autoSpaceDE w:val="0"/>
        <w:autoSpaceDN w:val="0"/>
        <w:adjustRightInd w:val="0"/>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asume un compromiso explícito con la sostenibilidad y la fiscalidad responsable. Cuenta con política de responsabilidad social corporativa (RSC) y una estrategia de fiscalidad. Esta estrategia  tiene fecha de aprobación de 2015 y asume el “CaixaBank interviene en el mercado de modo que las consecuencias fiscales de las transacciones resulten acordes con las normas tributarias aplicables y con el valor generado por la actividad económica que desarrolla en los territorios donde opera”.  En la Política de RSC en el apartado dedicado la Estrategia Corporativa para la gestión y el buen gobierno dedica un párrafo a la responsabilidad fiscal del grupo. </w:t>
      </w:r>
    </w:p>
    <w:p w14:paraId="1860E4A9" w14:textId="77777777" w:rsidR="00C86459" w:rsidRPr="00C67337" w:rsidRDefault="00C86459" w:rsidP="00C86459">
      <w:pPr>
        <w:jc w:val="both"/>
        <w:rPr>
          <w:rFonts w:ascii="Open Sans" w:hAnsi="Open Sans" w:cs="Open Sans"/>
          <w:sz w:val="20"/>
          <w:szCs w:val="20"/>
        </w:rPr>
      </w:pPr>
    </w:p>
    <w:p w14:paraId="5830E429" w14:textId="77777777" w:rsidR="00C86459" w:rsidRPr="00C67337" w:rsidRDefault="00C86459" w:rsidP="00C86459">
      <w:pPr>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cuenta con presencia en los índices de sostenibilidad Dow Jones Sustainability y FTSE4Good. Es importante señalar que varios de estos índices comienzan a contemplar los aspectos relativos a transparencia fiscal y fiscalidad responsable como criterios para la selección de empresas</w:t>
      </w:r>
      <w:r w:rsidRPr="00C67337">
        <w:rPr>
          <w:rStyle w:val="Refdenotaalpie"/>
          <w:rFonts w:ascii="Open Sans" w:hAnsi="Open Sans" w:cs="Open Sans"/>
          <w:sz w:val="20"/>
          <w:szCs w:val="20"/>
        </w:rPr>
        <w:footnoteReference w:id="536"/>
      </w:r>
      <w:r w:rsidRPr="00C67337">
        <w:rPr>
          <w:rFonts w:ascii="Open Sans" w:hAnsi="Open Sans" w:cs="Open Sans"/>
          <w:sz w:val="20"/>
          <w:szCs w:val="20"/>
        </w:rPr>
        <w:t>.</w:t>
      </w:r>
    </w:p>
    <w:p w14:paraId="66ADDEA5" w14:textId="77777777" w:rsidR="00C86459" w:rsidRPr="00C67337" w:rsidRDefault="00C86459" w:rsidP="00C86459">
      <w:pPr>
        <w:jc w:val="both"/>
        <w:rPr>
          <w:rFonts w:ascii="Open Sans" w:hAnsi="Open Sans" w:cs="Open Sans"/>
          <w:sz w:val="20"/>
          <w:szCs w:val="20"/>
        </w:rPr>
      </w:pPr>
    </w:p>
    <w:p w14:paraId="37435368" w14:textId="77777777" w:rsidR="00C86459" w:rsidRPr="00C67337" w:rsidRDefault="00C86459" w:rsidP="00C86459">
      <w:pPr>
        <w:jc w:val="both"/>
        <w:rPr>
          <w:rFonts w:ascii="Open Sans" w:hAnsi="Open Sans" w:cs="Open Sans"/>
          <w:sz w:val="20"/>
          <w:szCs w:val="20"/>
        </w:rPr>
      </w:pPr>
      <w:r>
        <w:rPr>
          <w:rFonts w:ascii="Open Sans" w:hAnsi="Open Sans" w:cs="Open Sans"/>
          <w:sz w:val="20"/>
          <w:szCs w:val="20"/>
        </w:rPr>
        <w:br w:type="page"/>
      </w:r>
    </w:p>
    <w:p w14:paraId="2CE3931A" w14:textId="77777777" w:rsidR="00C86459" w:rsidRPr="00C67337" w:rsidRDefault="00C86459" w:rsidP="00C86459">
      <w:pPr>
        <w:jc w:val="both"/>
        <w:rPr>
          <w:rFonts w:ascii="Open Sans" w:hAnsi="Open Sans" w:cs="Open Sans"/>
          <w:b/>
          <w:sz w:val="22"/>
          <w:szCs w:val="22"/>
          <w:u w:val="single"/>
        </w:rPr>
      </w:pPr>
      <w:r w:rsidRPr="00C67337">
        <w:rPr>
          <w:rFonts w:ascii="Open Sans" w:hAnsi="Open Sans" w:cs="Open Sans"/>
          <w:b/>
          <w:sz w:val="22"/>
          <w:szCs w:val="22"/>
          <w:u w:val="single"/>
        </w:rPr>
        <w:t>4. Análisis</w:t>
      </w:r>
    </w:p>
    <w:p w14:paraId="318F0983" w14:textId="77777777" w:rsidR="00C86459" w:rsidRPr="00C67337" w:rsidRDefault="00C86459" w:rsidP="00C86459">
      <w:pPr>
        <w:jc w:val="both"/>
        <w:rPr>
          <w:rFonts w:ascii="Open Sans" w:hAnsi="Open Sans" w:cs="Open Sans"/>
          <w:b/>
          <w:sz w:val="20"/>
          <w:szCs w:val="20"/>
        </w:rPr>
      </w:pPr>
    </w:p>
    <w:p w14:paraId="576CC1DA"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0255AB2E" w14:textId="77777777" w:rsidR="00C86459" w:rsidRPr="00C67337" w:rsidRDefault="00C86459" w:rsidP="00C86459">
      <w:pPr>
        <w:jc w:val="both"/>
        <w:rPr>
          <w:rFonts w:ascii="Open Sans" w:hAnsi="Open Sans" w:cs="Open Sans"/>
          <w:sz w:val="20"/>
          <w:szCs w:val="20"/>
        </w:rPr>
      </w:pPr>
    </w:p>
    <w:p w14:paraId="2B94B52A"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Con respecto a la presencia territorial de </w:t>
      </w: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w:t>
      </w:r>
      <w:r>
        <w:rPr>
          <w:rFonts w:ascii="Open Sans" w:hAnsi="Open Sans" w:cs="Open Sans"/>
          <w:sz w:val="20"/>
          <w:szCs w:val="20"/>
        </w:rPr>
        <w:t>po</w:t>
      </w:r>
      <w:r w:rsidRPr="00C67337">
        <w:rPr>
          <w:rFonts w:ascii="Open Sans" w:hAnsi="Open Sans" w:cs="Open Sans"/>
          <w:sz w:val="20"/>
          <w:szCs w:val="20"/>
        </w:rPr>
        <w:t>r la propia naturaleza del negocio bancario, es difícil diferenciar si la existencia de sociedades y oficinas de representación en países y territorios considerados paraísos o nichos fiscales se debe a facilitar servicios bancarios a los residentes de estos territorios o a generar negocio con no residentes. Por ello, y dada la ausencia de información detallada sobre las actividades que desarrollan estas sociedades, en el presente estudio se han incluido todas las sociedades del grupo</w:t>
      </w:r>
      <w:r>
        <w:rPr>
          <w:rFonts w:ascii="Open Sans" w:hAnsi="Open Sans" w:cs="Open Sans"/>
          <w:sz w:val="20"/>
          <w:szCs w:val="20"/>
        </w:rPr>
        <w:t>, sucursales y oficinas de representación</w:t>
      </w:r>
      <w:r w:rsidRPr="00C67337">
        <w:rPr>
          <w:rFonts w:ascii="Open Sans" w:hAnsi="Open Sans" w:cs="Open Sans"/>
          <w:sz w:val="20"/>
          <w:szCs w:val="20"/>
        </w:rPr>
        <w:t xml:space="preserve"> con domicilio social en países y territorios considerados paraísos o nichos fiscales de acuerdo con la metodología del Observatorio de RSC. De acuerdo con esta, el grupo cuenta con dos oficinas de representación y una sociedad participada  (Bank of East Asia, Limited) en países y territ</w:t>
      </w:r>
      <w:r>
        <w:rPr>
          <w:rFonts w:ascii="Open Sans" w:hAnsi="Open Sans" w:cs="Open Sans"/>
          <w:sz w:val="20"/>
          <w:szCs w:val="20"/>
        </w:rPr>
        <w:t>orios considerados nicho fiscal</w:t>
      </w:r>
      <w:r w:rsidRPr="00C67337">
        <w:rPr>
          <w:rFonts w:ascii="Open Sans" w:hAnsi="Open Sans" w:cs="Open Sans"/>
          <w:sz w:val="20"/>
          <w:szCs w:val="20"/>
        </w:rPr>
        <w:t xml:space="preserve">. La presencia de empresas internacionales en territorios considerados paraísos o nichos fiscales no es en sí misma ilegal, pero podría representar, si se utilizan para desempeñar estrategias de elusión fiscal, una contradicción con los valores y compromisos asumidos por la empresa en materia de RSC, en especial en lo relativo a la contribución económica y social a los países donde opera y obtiene sus beneficios. </w:t>
      </w:r>
    </w:p>
    <w:p w14:paraId="02F6E19C" w14:textId="77777777" w:rsidR="00C86459" w:rsidRPr="00C67337" w:rsidRDefault="00C86459" w:rsidP="00C86459">
      <w:pPr>
        <w:jc w:val="both"/>
        <w:rPr>
          <w:rFonts w:ascii="Open Sans" w:hAnsi="Open Sans" w:cs="Open Sans"/>
          <w:sz w:val="20"/>
          <w:szCs w:val="20"/>
        </w:rPr>
      </w:pPr>
    </w:p>
    <w:p w14:paraId="5439BD84" w14:textId="77777777" w:rsidR="00C86459" w:rsidRPr="00C67337" w:rsidRDefault="00C86459" w:rsidP="00C86459">
      <w:pPr>
        <w:jc w:val="both"/>
        <w:rPr>
          <w:rFonts w:ascii="Open Sans" w:hAnsi="Open Sans" w:cs="Open Sans"/>
          <w:sz w:val="20"/>
          <w:szCs w:val="20"/>
        </w:rPr>
      </w:pPr>
    </w:p>
    <w:tbl>
      <w:tblPr>
        <w:tblW w:w="5000" w:type="pct"/>
        <w:tblLayout w:type="fixed"/>
        <w:tblCellMar>
          <w:left w:w="70" w:type="dxa"/>
          <w:right w:w="70" w:type="dxa"/>
        </w:tblCellMar>
        <w:tblLook w:val="04A0" w:firstRow="1" w:lastRow="0" w:firstColumn="1" w:lastColumn="0" w:noHBand="0" w:noVBand="1"/>
      </w:tblPr>
      <w:tblGrid>
        <w:gridCol w:w="3775"/>
        <w:gridCol w:w="2104"/>
        <w:gridCol w:w="2759"/>
      </w:tblGrid>
      <w:tr w:rsidR="00C86459" w:rsidRPr="00C67337" w14:paraId="6442EA7A" w14:textId="77777777" w:rsidTr="00C86459">
        <w:trPr>
          <w:trHeight w:val="366"/>
        </w:trPr>
        <w:tc>
          <w:tcPr>
            <w:tcW w:w="2185"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4628525D" w14:textId="77777777" w:rsidR="00C86459" w:rsidRPr="00C67337" w:rsidRDefault="00C86459" w:rsidP="00C86459">
            <w:pPr>
              <w:rPr>
                <w:rFonts w:ascii="Open Sans" w:hAnsi="Open Sans" w:cs="Open Sans"/>
                <w:b/>
                <w:bCs/>
                <w:color w:val="000000"/>
                <w:sz w:val="20"/>
                <w:szCs w:val="20"/>
              </w:rPr>
            </w:pPr>
            <w:r w:rsidRPr="00C67337">
              <w:rPr>
                <w:rFonts w:ascii="Open Sans" w:hAnsi="Open Sans" w:cs="Open Sans"/>
                <w:b/>
                <w:bCs/>
                <w:color w:val="000000"/>
                <w:sz w:val="20"/>
                <w:szCs w:val="20"/>
              </w:rPr>
              <w:t>Nombre de la Sociedad</w:t>
            </w:r>
          </w:p>
        </w:tc>
        <w:tc>
          <w:tcPr>
            <w:tcW w:w="1218" w:type="pct"/>
            <w:tcBorders>
              <w:top w:val="single" w:sz="4" w:space="0" w:color="auto"/>
              <w:left w:val="nil"/>
              <w:bottom w:val="single" w:sz="4" w:space="0" w:color="auto"/>
              <w:right w:val="single" w:sz="4" w:space="0" w:color="auto"/>
            </w:tcBorders>
            <w:shd w:val="clear" w:color="000000" w:fill="D9D9D9"/>
            <w:noWrap/>
            <w:vAlign w:val="center"/>
            <w:hideMark/>
          </w:tcPr>
          <w:p w14:paraId="13EC895D" w14:textId="77777777" w:rsidR="00C86459" w:rsidRPr="00C67337" w:rsidRDefault="00C86459" w:rsidP="00C86459">
            <w:pPr>
              <w:rPr>
                <w:rFonts w:ascii="Open Sans" w:hAnsi="Open Sans" w:cs="Open Sans"/>
                <w:b/>
                <w:bCs/>
                <w:color w:val="000000"/>
                <w:sz w:val="20"/>
                <w:szCs w:val="20"/>
              </w:rPr>
            </w:pPr>
            <w:r w:rsidRPr="00C67337">
              <w:rPr>
                <w:rFonts w:ascii="Open Sans" w:hAnsi="Open Sans" w:cs="Open Sans"/>
                <w:b/>
                <w:bCs/>
                <w:color w:val="000000"/>
                <w:sz w:val="20"/>
                <w:szCs w:val="20"/>
              </w:rPr>
              <w:t>Jurisdicción</w:t>
            </w:r>
          </w:p>
        </w:tc>
        <w:tc>
          <w:tcPr>
            <w:tcW w:w="1597" w:type="pct"/>
            <w:tcBorders>
              <w:top w:val="single" w:sz="4" w:space="0" w:color="auto"/>
              <w:left w:val="nil"/>
              <w:bottom w:val="single" w:sz="4" w:space="0" w:color="auto"/>
              <w:right w:val="single" w:sz="4" w:space="0" w:color="auto"/>
            </w:tcBorders>
            <w:shd w:val="clear" w:color="000000" w:fill="D9D9D9"/>
            <w:noWrap/>
            <w:vAlign w:val="center"/>
            <w:hideMark/>
          </w:tcPr>
          <w:p w14:paraId="745E6483" w14:textId="77777777" w:rsidR="00C86459" w:rsidRPr="00C67337" w:rsidRDefault="00C86459" w:rsidP="00C86459">
            <w:pPr>
              <w:rPr>
                <w:rFonts w:ascii="Open Sans" w:hAnsi="Open Sans" w:cs="Open Sans"/>
                <w:b/>
                <w:bCs/>
                <w:color w:val="000000"/>
                <w:sz w:val="20"/>
                <w:szCs w:val="20"/>
              </w:rPr>
            </w:pPr>
            <w:r w:rsidRPr="00C67337">
              <w:rPr>
                <w:rFonts w:ascii="Open Sans" w:hAnsi="Open Sans" w:cs="Open Sans"/>
                <w:b/>
                <w:bCs/>
                <w:color w:val="000000"/>
                <w:sz w:val="20"/>
                <w:szCs w:val="20"/>
              </w:rPr>
              <w:t>Actividad</w:t>
            </w:r>
          </w:p>
        </w:tc>
      </w:tr>
      <w:tr w:rsidR="00C86459" w:rsidRPr="00C67337" w14:paraId="29EA5D74" w14:textId="77777777" w:rsidTr="00C86459">
        <w:trPr>
          <w:trHeight w:val="552"/>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A31F1" w14:textId="77777777" w:rsidR="00C86459" w:rsidRPr="00412B20" w:rsidRDefault="00C86459" w:rsidP="00C86459">
            <w:pPr>
              <w:rPr>
                <w:rFonts w:ascii="Open Sans" w:hAnsi="Open Sans" w:cs="Arial"/>
                <w:color w:val="000000"/>
                <w:sz w:val="20"/>
                <w:szCs w:val="20"/>
                <w:lang w:val="en-GB"/>
              </w:rPr>
            </w:pPr>
            <w:r w:rsidRPr="00412B20">
              <w:rPr>
                <w:rFonts w:ascii="Open Sans" w:hAnsi="Open Sans" w:cs="Arial"/>
                <w:color w:val="000000"/>
                <w:sz w:val="20"/>
                <w:szCs w:val="20"/>
                <w:lang w:val="en-GB"/>
              </w:rPr>
              <w:t>Bank of East Asia, Limited</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BCAF2C5" w14:textId="77777777" w:rsidR="00C86459" w:rsidRPr="00C67337" w:rsidRDefault="00C86459" w:rsidP="00C86459">
            <w:pPr>
              <w:rPr>
                <w:rFonts w:ascii="Open Sans" w:hAnsi="Open Sans" w:cs="Arial"/>
                <w:color w:val="000000"/>
                <w:sz w:val="20"/>
                <w:szCs w:val="20"/>
              </w:rPr>
            </w:pPr>
            <w:r w:rsidRPr="00C67337">
              <w:rPr>
                <w:rFonts w:ascii="Open Sans" w:hAnsi="Open Sans" w:cs="Arial"/>
                <w:color w:val="000000"/>
                <w:sz w:val="20"/>
                <w:szCs w:val="20"/>
              </w:rPr>
              <w:t>Hong Kong</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43D05219" w14:textId="77777777" w:rsidR="00C86459" w:rsidRPr="00C67337" w:rsidRDefault="00C86459" w:rsidP="00C86459">
            <w:pPr>
              <w:rPr>
                <w:rFonts w:ascii="Open Sans" w:hAnsi="Open Sans" w:cs="Open Sans"/>
                <w:bCs/>
                <w:color w:val="000000"/>
                <w:sz w:val="20"/>
                <w:szCs w:val="20"/>
              </w:rPr>
            </w:pPr>
            <w:r w:rsidRPr="00C67337">
              <w:rPr>
                <w:rFonts w:ascii="Open Sans" w:hAnsi="Open Sans" w:cs="Open Sans"/>
                <w:bCs/>
                <w:color w:val="000000"/>
                <w:sz w:val="20"/>
                <w:szCs w:val="20"/>
              </w:rPr>
              <w:t>BANCA</w:t>
            </w:r>
          </w:p>
        </w:tc>
      </w:tr>
      <w:tr w:rsidR="00C86459" w:rsidRPr="00C67337" w14:paraId="361E9B6F" w14:textId="77777777" w:rsidTr="00C86459">
        <w:trPr>
          <w:trHeight w:val="701"/>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FF2D9" w14:textId="77777777" w:rsidR="00C86459" w:rsidRPr="00C67337" w:rsidRDefault="00C86459" w:rsidP="00C86459">
            <w:pPr>
              <w:rPr>
                <w:rFonts w:ascii="Open Sans" w:hAnsi="Open Sans" w:cs="Arial"/>
                <w:color w:val="000000"/>
                <w:sz w:val="20"/>
                <w:szCs w:val="20"/>
              </w:rPr>
            </w:pPr>
            <w:r w:rsidRPr="00C67337">
              <w:rPr>
                <w:rFonts w:ascii="Open Sans" w:hAnsi="Open Sans" w:cs="Arial"/>
                <w:color w:val="000000"/>
                <w:sz w:val="20"/>
                <w:szCs w:val="20"/>
              </w:rPr>
              <w:t>Oficina de Representación en Dubai</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41E44227" w14:textId="77777777" w:rsidR="00C86459" w:rsidRPr="00C67337" w:rsidRDefault="00C86459" w:rsidP="00C86459">
            <w:pPr>
              <w:rPr>
                <w:rFonts w:ascii="Open Sans" w:hAnsi="Open Sans" w:cs="Arial"/>
                <w:color w:val="000000"/>
                <w:sz w:val="20"/>
                <w:szCs w:val="20"/>
              </w:rPr>
            </w:pPr>
            <w:r w:rsidRPr="00C67337">
              <w:rPr>
                <w:rFonts w:ascii="Open Sans" w:hAnsi="Open Sans" w:cs="Arial"/>
                <w:color w:val="000000"/>
                <w:sz w:val="20"/>
                <w:szCs w:val="20"/>
              </w:rPr>
              <w:t>Emiratos Árabes Unidos</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6CCAAB68" w14:textId="77777777" w:rsidR="00C86459" w:rsidRPr="00C67337" w:rsidRDefault="00C86459" w:rsidP="00C86459">
            <w:pPr>
              <w:rPr>
                <w:rFonts w:ascii="Open Sans" w:hAnsi="Open Sans" w:cs="Open Sans"/>
                <w:bCs/>
                <w:color w:val="000000"/>
                <w:sz w:val="20"/>
                <w:szCs w:val="20"/>
              </w:rPr>
            </w:pPr>
            <w:r w:rsidRPr="00C67337">
              <w:rPr>
                <w:rFonts w:ascii="Open Sans" w:hAnsi="Open Sans" w:cs="Open Sans"/>
                <w:bCs/>
                <w:color w:val="000000"/>
                <w:sz w:val="20"/>
                <w:szCs w:val="20"/>
              </w:rPr>
              <w:t>Comercial</w:t>
            </w:r>
          </w:p>
        </w:tc>
      </w:tr>
      <w:tr w:rsidR="00C86459" w:rsidRPr="00C67337" w14:paraId="1A113403" w14:textId="77777777" w:rsidTr="00C86459">
        <w:trPr>
          <w:trHeight w:val="547"/>
        </w:trPr>
        <w:tc>
          <w:tcPr>
            <w:tcW w:w="21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DC578" w14:textId="77777777" w:rsidR="00C86459" w:rsidRPr="00C67337" w:rsidRDefault="00C86459" w:rsidP="00C86459">
            <w:pPr>
              <w:rPr>
                <w:rFonts w:ascii="Open Sans" w:hAnsi="Open Sans" w:cs="Arial"/>
                <w:color w:val="000000"/>
                <w:sz w:val="20"/>
                <w:szCs w:val="20"/>
              </w:rPr>
            </w:pPr>
            <w:r w:rsidRPr="00C67337">
              <w:rPr>
                <w:rFonts w:ascii="Open Sans" w:hAnsi="Open Sans" w:cs="Arial"/>
                <w:color w:val="000000"/>
                <w:sz w:val="20"/>
                <w:szCs w:val="20"/>
              </w:rPr>
              <w:t>Oficina de Representación en Singapur</w:t>
            </w:r>
          </w:p>
        </w:tc>
        <w:tc>
          <w:tcPr>
            <w:tcW w:w="1218" w:type="pct"/>
            <w:tcBorders>
              <w:top w:val="single" w:sz="4" w:space="0" w:color="auto"/>
              <w:left w:val="nil"/>
              <w:bottom w:val="single" w:sz="4" w:space="0" w:color="auto"/>
              <w:right w:val="single" w:sz="4" w:space="0" w:color="auto"/>
            </w:tcBorders>
            <w:shd w:val="clear" w:color="auto" w:fill="auto"/>
            <w:noWrap/>
            <w:vAlign w:val="center"/>
            <w:hideMark/>
          </w:tcPr>
          <w:p w14:paraId="0FCD65C3" w14:textId="77777777" w:rsidR="00C86459" w:rsidRPr="00C67337" w:rsidRDefault="00C86459" w:rsidP="00C86459">
            <w:pPr>
              <w:rPr>
                <w:rFonts w:ascii="Open Sans" w:hAnsi="Open Sans" w:cs="Arial"/>
                <w:color w:val="000000"/>
                <w:sz w:val="20"/>
                <w:szCs w:val="20"/>
              </w:rPr>
            </w:pPr>
            <w:r w:rsidRPr="00C67337">
              <w:rPr>
                <w:rFonts w:ascii="Open Sans" w:hAnsi="Open Sans" w:cs="Arial"/>
                <w:color w:val="000000"/>
                <w:sz w:val="20"/>
                <w:szCs w:val="20"/>
              </w:rPr>
              <w:t>Singapur</w:t>
            </w:r>
          </w:p>
        </w:tc>
        <w:tc>
          <w:tcPr>
            <w:tcW w:w="1597" w:type="pct"/>
            <w:tcBorders>
              <w:top w:val="single" w:sz="4" w:space="0" w:color="auto"/>
              <w:left w:val="nil"/>
              <w:bottom w:val="single" w:sz="4" w:space="0" w:color="auto"/>
              <w:right w:val="single" w:sz="4" w:space="0" w:color="auto"/>
            </w:tcBorders>
            <w:shd w:val="clear" w:color="auto" w:fill="auto"/>
            <w:noWrap/>
            <w:vAlign w:val="center"/>
            <w:hideMark/>
          </w:tcPr>
          <w:p w14:paraId="55C5A329" w14:textId="77777777" w:rsidR="00C86459" w:rsidRPr="00C67337" w:rsidRDefault="00C86459" w:rsidP="00C86459">
            <w:pPr>
              <w:rPr>
                <w:rFonts w:ascii="Open Sans" w:hAnsi="Open Sans" w:cs="Open Sans"/>
                <w:bCs/>
                <w:color w:val="000000"/>
                <w:sz w:val="20"/>
                <w:szCs w:val="20"/>
              </w:rPr>
            </w:pPr>
            <w:r w:rsidRPr="00C67337">
              <w:rPr>
                <w:rFonts w:ascii="Open Sans" w:hAnsi="Open Sans" w:cs="Open Sans"/>
                <w:bCs/>
                <w:color w:val="000000"/>
                <w:sz w:val="20"/>
                <w:szCs w:val="20"/>
              </w:rPr>
              <w:t>Comercial</w:t>
            </w:r>
          </w:p>
        </w:tc>
      </w:tr>
    </w:tbl>
    <w:p w14:paraId="210521F2" w14:textId="77777777" w:rsidR="00C86459" w:rsidRPr="00C67337" w:rsidRDefault="00C86459" w:rsidP="00C86459">
      <w:pPr>
        <w:jc w:val="both"/>
        <w:rPr>
          <w:rFonts w:ascii="Open Sans" w:hAnsi="Open Sans" w:cs="Open Sans"/>
          <w:sz w:val="20"/>
          <w:szCs w:val="20"/>
        </w:rPr>
      </w:pPr>
    </w:p>
    <w:p w14:paraId="5CF405FF" w14:textId="77777777" w:rsidR="00C86459" w:rsidRPr="00C67337" w:rsidRDefault="00C86459" w:rsidP="00C86459">
      <w:pPr>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afirma que “evita operar en paraísos fiscal que no cumplan con los estándares de transparencia requeridos por las organizaciones internacionales rectoras del comercio y desarrollo mundial”. Añade que “CaixaBank realiza su actividad económica en territorios que no tengan la condición de paraíso fiscal de conformidad con la normativa fiscal española y los Convenios Internacionales aplicables” sin embargo no especifica a qué convenios internacionales se refiere y además establece el supuesto excepcional de que para “la efectiva realización de una actividad económica requiera la toma de participación en una entidad situada en un territorio calificado como paraíso fiscal se someterá la transacción a la aprobación del Consejo de Administración tras verificarse que la necesaria ubicación de la actividad en ese territorio no tiene como fundamento minorar la tributación de CaixaBank o restar transparencia a su actuación”. Sin embargo y pese a estas declaraciones Caixabank no aporta información sobre las actividades de compañía  en nichos fiscales ni en la Memoria de Sostenibilidad ni en ningún otro documento de los analizados. La única información encontrada a través de la memoria anual del grupo se refiere a la entidad asociada Bank of East Asia (BEA). Afirma que “la relación con esta participada se inició en 2007 y fue reclasificada a entidad asociada en 2009. Con esta entidad bancaria existe un acuerdo estratégico y exclusivo de colaboración por el que BEA es la plataforma de expansión bancaria del Grupo CaixaBank en la zona Asia-Pacífico”.</w:t>
      </w:r>
    </w:p>
    <w:p w14:paraId="1896F39C" w14:textId="77777777" w:rsidR="00C86459" w:rsidRPr="00C67337" w:rsidRDefault="00C86459" w:rsidP="00C86459">
      <w:pPr>
        <w:autoSpaceDE w:val="0"/>
        <w:autoSpaceDN w:val="0"/>
        <w:adjustRightInd w:val="0"/>
        <w:jc w:val="both"/>
        <w:rPr>
          <w:rFonts w:ascii="Open Sans" w:hAnsi="Open Sans" w:cs="Open Sans"/>
          <w:sz w:val="20"/>
          <w:szCs w:val="20"/>
        </w:rPr>
      </w:pPr>
    </w:p>
    <w:p w14:paraId="720C77B1"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De la información facilitada por </w:t>
      </w: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no es posible conocer el número de empleados vinculados con las oficinas de representación sitas en nichos fiscales, actividades realizadas, beneficios e impuestos pagados. La empresa no detalla el número de trabajadores, directos e indirectos, adscritos a cada país y a cada una de las sociedades. En el informe bancario anual facilita la información de los empleados a jornadas completa en España, Polonia, Marruecos y  Reino Unido. Para los países con oficinas de representación aporta la cifra global de 38 empleados.</w:t>
      </w:r>
    </w:p>
    <w:p w14:paraId="6358C134" w14:textId="77777777" w:rsidR="00C86459" w:rsidRPr="00C67337" w:rsidRDefault="00C86459" w:rsidP="00C86459">
      <w:pPr>
        <w:autoSpaceDE w:val="0"/>
        <w:autoSpaceDN w:val="0"/>
        <w:adjustRightInd w:val="0"/>
        <w:jc w:val="both"/>
        <w:rPr>
          <w:rFonts w:ascii="Open Sans" w:hAnsi="Open Sans" w:cs="Open Sans"/>
          <w:sz w:val="20"/>
          <w:szCs w:val="20"/>
        </w:rPr>
      </w:pPr>
    </w:p>
    <w:p w14:paraId="5EF8C420"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En el informe de gobierno corporativo menciona que la Comisión de Auditoría y Control ejercerá las siguientes funciones básicas: supervisar el proceso de elaboración y presentación de la información financiera preceptiva y  la eficacia de los sistemas de control interno y de gestión de riesgos de la Sociedad, incluyendo los fiscales; informar, con carácter previo, al Consejo de Administración sobre la creación o adquisición de participaciones en entidades de propósito especial o domiciliadas en países o territorios que tengan la consideración de paraísos fiscales. Sin embargo no se posiciona con respecto a qué considera ni nicho fiscal. El uso cada vez más frecuente de los nichos fiscales es puesta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C67337">
        <w:rPr>
          <w:rStyle w:val="Refdenotaalpie"/>
          <w:rFonts w:ascii="Open Sans" w:hAnsi="Open Sans" w:cs="Open Sans"/>
          <w:sz w:val="20"/>
          <w:szCs w:val="20"/>
        </w:rPr>
        <w:footnoteReference w:id="537"/>
      </w:r>
      <w:r w:rsidRPr="00C67337">
        <w:rPr>
          <w:rFonts w:ascii="Open Sans" w:hAnsi="Open Sans" w:cs="Open Sans"/>
          <w:sz w:val="20"/>
          <w:szCs w:val="20"/>
        </w:rPr>
        <w:t>.</w:t>
      </w:r>
    </w:p>
    <w:p w14:paraId="0888F079" w14:textId="77777777" w:rsidR="00C86459" w:rsidRPr="00C67337" w:rsidRDefault="00C86459" w:rsidP="00C86459">
      <w:pPr>
        <w:autoSpaceDE w:val="0"/>
        <w:autoSpaceDN w:val="0"/>
        <w:adjustRightInd w:val="0"/>
        <w:jc w:val="both"/>
        <w:rPr>
          <w:rFonts w:ascii="Open Sans" w:hAnsi="Open Sans" w:cs="Open Sans"/>
          <w:sz w:val="20"/>
          <w:szCs w:val="20"/>
        </w:rPr>
      </w:pPr>
    </w:p>
    <w:p w14:paraId="087DF434" w14:textId="77777777" w:rsidR="00C86459" w:rsidRPr="00C67337" w:rsidRDefault="00C86459" w:rsidP="00C86459">
      <w:pPr>
        <w:jc w:val="both"/>
        <w:rPr>
          <w:rFonts w:ascii="Open Sans" w:hAnsi="Open Sans" w:cs="Open Sans"/>
          <w:sz w:val="20"/>
          <w:szCs w:val="22"/>
        </w:rPr>
      </w:pPr>
      <w:r w:rsidRPr="00C67337">
        <w:rPr>
          <w:rFonts w:ascii="Open Sans" w:hAnsi="Open Sans" w:cs="Open Sans"/>
          <w:sz w:val="20"/>
          <w:szCs w:val="22"/>
        </w:rPr>
        <w:t>Además, procede apuntar que, dada la participación que CaixaBank tiene en Repsol, S.A., sería preciso atender también a la presencia en paraísos fiscales de ésta, con sociedades dependientes presentes en territorios como Delaware, Países Bajos o Islas Caimán. Lo anterior sería extrapolable a otras sociedades en las que la entidad participa a través de su cartera industrial o sociedades multigrupo como Abertis o Gas Natural Fenosa, ambas empresas con sociedades de carácter instrumental o financiero en países o territorios considerados paraísos o nichos fiscales. En enero de 2016 el diario digital el Confidencial</w:t>
      </w:r>
      <w:r w:rsidRPr="00C67337">
        <w:rPr>
          <w:rStyle w:val="Refdenotaalpie"/>
          <w:rFonts w:ascii="Open Sans" w:hAnsi="Open Sans" w:cs="Open Sans"/>
          <w:sz w:val="20"/>
          <w:szCs w:val="22"/>
        </w:rPr>
        <w:footnoteReference w:id="538"/>
      </w:r>
      <w:r w:rsidRPr="00C67337">
        <w:rPr>
          <w:rFonts w:ascii="Open Sans" w:hAnsi="Open Sans" w:cs="Open Sans"/>
          <w:sz w:val="20"/>
          <w:szCs w:val="22"/>
        </w:rPr>
        <w:t xml:space="preserve"> informaba que el Banco Central Europeo ha ordenado a Caixabank cambiar la definición de Criteria de sociedad instrumental a conglomerado financiero, por lo que tendrá que someterse a mayores exigencias de capital.</w:t>
      </w:r>
    </w:p>
    <w:p w14:paraId="630E22BD" w14:textId="77777777" w:rsidR="00C86459" w:rsidRPr="00C67337" w:rsidRDefault="00C86459" w:rsidP="00C86459">
      <w:pPr>
        <w:jc w:val="both"/>
        <w:rPr>
          <w:rFonts w:ascii="Open Sans" w:hAnsi="Open Sans" w:cs="Open Sans"/>
          <w:sz w:val="20"/>
          <w:szCs w:val="22"/>
        </w:rPr>
      </w:pPr>
    </w:p>
    <w:p w14:paraId="3057A12D"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En relación a la existencia de política o estrategia fiscal, CaixaBank cuenta con una estrategia que ha sido aprobada en diciembre</w:t>
      </w:r>
      <w:r>
        <w:rPr>
          <w:rFonts w:ascii="Open Sans" w:hAnsi="Open Sans" w:cs="Open Sans"/>
          <w:sz w:val="20"/>
          <w:szCs w:val="20"/>
        </w:rPr>
        <w:t xml:space="preserve"> de 2015</w:t>
      </w:r>
      <w:r w:rsidRPr="00C67337">
        <w:rPr>
          <w:rFonts w:ascii="Open Sans" w:hAnsi="Open Sans" w:cs="Open Sans"/>
          <w:sz w:val="20"/>
          <w:szCs w:val="20"/>
        </w:rPr>
        <w:t>. El documento se estructura en base a unos principios  tributarios que denomina estratégicos: Motivación económica en el cumplimiento de las obligaciones tributarias; Transparencia y Cooperación en el cumplimiento de las obligaciones tributarias; Diligencia y control en el cumplimiento de las obligaciones tributarias. Afirma que los principios estratégicos tributarios conforman los principios de actuación tributaria de CaixaBank y se desarrollan en la Política de Control y Gestión del Riesgo Fiscal de la Entidad. Los principios estratégicos tributarios de CaixaBank son aplicados por las entidades que conforman su grupo societario. En su informe corporativo integrado afirma: “La entidad considera su deber contribuir a las finanzas públicas, a partir de una política fiscal fundada bajo los principios de responsabilidad, prudencia y transparencia...CaixaBank (i) evita la planificación fiscal agresiva y con estructuras artificiosas que no responden a una sustancia económica en la toma de decisiones y (ii) evita operar en paraísos fiscal</w:t>
      </w:r>
      <w:r>
        <w:rPr>
          <w:rFonts w:ascii="Open Sans" w:hAnsi="Open Sans" w:cs="Open Sans"/>
          <w:sz w:val="20"/>
          <w:szCs w:val="20"/>
        </w:rPr>
        <w:t>es</w:t>
      </w:r>
      <w:r w:rsidRPr="00C67337">
        <w:rPr>
          <w:rFonts w:ascii="Open Sans" w:hAnsi="Open Sans" w:cs="Open Sans"/>
          <w:sz w:val="20"/>
          <w:szCs w:val="20"/>
        </w:rPr>
        <w:t xml:space="preserve"> que no cumplan con los estándares de transparencia requeridos por las organizaciones internacionales rectoras del comercio y desarrollo mundial”. Sin embargo la fiscalidad no es considerada un tema material para CaixaBank de acuerdo con el análisis de materialidad al que se ha tenido acceso y en la empresa afirma haber realizado de acuerdo con la guía Global Reporting Iniciative (versión G4). </w:t>
      </w:r>
    </w:p>
    <w:p w14:paraId="2CCF0022" w14:textId="77777777" w:rsidR="00C86459" w:rsidRPr="00C67337" w:rsidRDefault="00C86459" w:rsidP="00C86459">
      <w:pPr>
        <w:autoSpaceDE w:val="0"/>
        <w:autoSpaceDN w:val="0"/>
        <w:adjustRightInd w:val="0"/>
        <w:jc w:val="both"/>
        <w:rPr>
          <w:rFonts w:ascii="Open Sans" w:hAnsi="Open Sans" w:cs="Open Sans"/>
          <w:sz w:val="20"/>
          <w:szCs w:val="20"/>
        </w:rPr>
      </w:pPr>
    </w:p>
    <w:p w14:paraId="1C44E874"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Pese a que menciona, siguiendo el mandato de la Ley de Sociedades de Capital, la existencia de  riesgos fiscales en varias ocasiones en su informe de gobierno corporativo, no fija cuáles son. Menciona como medidas para paliar el riesgo existente, entre otras, la aprobación de una estrategia fiscal que prevé que el Área Fiscal coordine la gestión de los sistemas de control del riesgo fiscal en el cumplimiento de las obligaciones tributarias así como la supervisión de su adecuación constante a la evolución del entorno regulatorio y tecnológico. Afirma que se ha impulsado la formalización de la Política de Control y Gestión del Riesgo Fiscal como elemento clave para determinar las responsabilidades en la gestión de decisiones con impacto fiscal considerando las distintas categorías de riesgo estrechamente vinculadas con el riesgo fiscal como son: riesgo técnico, riesgo reputacional, riesgo regulatorio, riesgo sobrevenido y riesgo de cumplimiento, este último como subcategoría del riesgo operacional. Sin embargo no se ha podido tener acceso en el presente análisis a la Política de Control y Gestión del Riesgo Fiscal.</w:t>
      </w:r>
    </w:p>
    <w:p w14:paraId="1A96644A" w14:textId="77777777" w:rsidR="00C86459" w:rsidRPr="00C67337" w:rsidRDefault="00C86459" w:rsidP="00C86459">
      <w:pPr>
        <w:jc w:val="both"/>
        <w:rPr>
          <w:rFonts w:ascii="Open Sans" w:hAnsi="Open Sans" w:cs="Open Sans"/>
          <w:sz w:val="20"/>
          <w:szCs w:val="20"/>
        </w:rPr>
      </w:pPr>
    </w:p>
    <w:p w14:paraId="16921C90"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Afirma que “todas las personas que forman parte de CaixaBank deben actuar según el Código Ético y Principios de Actuación, la Política Anticorrupción y otras normas internas de conducta sobre ámbitos específicos. Para facilitar su cumplimiento, existe un canal confidencial interno de consultas y denuncias”. Pese a que afirma que es confidencial, no explica cómo está condición garantizada. Además los denunciantes deberán mantener una relación de carácter laboral con la empresa. Se desconoce el número de comunicaciones que ha habido durante 2015 y si alguna de ellas responde a cuestiones contables o fiscales.</w:t>
      </w:r>
    </w:p>
    <w:p w14:paraId="7E5E8432"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 </w:t>
      </w:r>
    </w:p>
    <w:p w14:paraId="0B0261BC" w14:textId="77777777" w:rsidR="00C86459" w:rsidRPr="00C67337" w:rsidRDefault="00C86459" w:rsidP="00C86459">
      <w:pPr>
        <w:autoSpaceDE w:val="0"/>
        <w:autoSpaceDN w:val="0"/>
        <w:adjustRightInd w:val="0"/>
        <w:jc w:val="both"/>
        <w:rPr>
          <w:rFonts w:ascii="Open Sans" w:hAnsi="Open Sans" w:cs="Open Sans"/>
          <w:sz w:val="20"/>
          <w:szCs w:val="20"/>
        </w:rPr>
      </w:pPr>
      <w:r w:rsidRPr="00C67337">
        <w:rPr>
          <w:rFonts w:ascii="Open Sans" w:hAnsi="Open Sans" w:cs="Open Sans"/>
          <w:sz w:val="20"/>
          <w:szCs w:val="20"/>
        </w:rPr>
        <w:t>El Consejo de Administración acordó en 2015 la adhesión de CaixaBank al Código de Buenas Prácticas Tributarias desarrollado por la agencia tributaria.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w:t>
      </w:r>
      <w:r>
        <w:rPr>
          <w:rFonts w:ascii="Open Sans" w:hAnsi="Open Sans" w:cs="Open Sans"/>
          <w:sz w:val="20"/>
          <w:szCs w:val="20"/>
        </w:rPr>
        <w:t>ucturas instrumentales offshore</w:t>
      </w:r>
      <w:r w:rsidRPr="00C67337">
        <w:rPr>
          <w:rFonts w:ascii="Open Sans" w:hAnsi="Open Sans" w:cs="Open Sans"/>
          <w:sz w:val="20"/>
          <w:szCs w:val="20"/>
        </w:rPr>
        <w:t xml:space="preserve"> que favorecen la evasión fiscal.</w:t>
      </w:r>
    </w:p>
    <w:p w14:paraId="756C2E9A" w14:textId="77777777" w:rsidR="00C86459" w:rsidRPr="00C67337" w:rsidRDefault="00C86459" w:rsidP="00C86459">
      <w:pPr>
        <w:jc w:val="both"/>
        <w:rPr>
          <w:rFonts w:ascii="Open Sans" w:hAnsi="Open Sans" w:cs="Open Sans"/>
          <w:sz w:val="20"/>
          <w:szCs w:val="20"/>
        </w:rPr>
      </w:pPr>
    </w:p>
    <w:p w14:paraId="5244CAD2"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CaixaBank no detalla su estructura societaria a través de participaciones directas e indirectas en aquellas sociedades con una participación superior al 5% del capital. De la información que aparecen en los anexos de las cuentas anuales se extrae que el grupo está confirmado por más de 120 sociedades entre dependientes, asociadas y Sociedades Multigrupo. Sería deseable conocer la estructura societaria del grupo. A través de qué empresas CaixaBank es accionista, cuando la participación es indirecta, sobre el resto de entidades dependientes. </w:t>
      </w:r>
    </w:p>
    <w:p w14:paraId="3425C450" w14:textId="77777777" w:rsidR="00C86459" w:rsidRPr="00C67337" w:rsidRDefault="00C86459" w:rsidP="00C86459">
      <w:pPr>
        <w:jc w:val="both"/>
        <w:rPr>
          <w:rFonts w:ascii="Open Sans" w:eastAsia="Calibri" w:hAnsi="Open Sans" w:cs="Open Sans"/>
          <w:sz w:val="20"/>
          <w:szCs w:val="20"/>
        </w:rPr>
      </w:pPr>
    </w:p>
    <w:p w14:paraId="27E90BBA" w14:textId="77777777" w:rsidR="00C86459" w:rsidRPr="00C67337" w:rsidRDefault="00C86459" w:rsidP="00C86459">
      <w:pPr>
        <w:jc w:val="both"/>
        <w:rPr>
          <w:rFonts w:ascii="Open Sans" w:eastAsia="Calibri" w:hAnsi="Open Sans" w:cs="Open Sans"/>
          <w:sz w:val="20"/>
          <w:szCs w:val="20"/>
        </w:rPr>
      </w:pPr>
      <w:r w:rsidRPr="00C67337">
        <w:rPr>
          <w:rFonts w:ascii="Open Sans" w:hAnsi="Open Sans" w:cs="Open Sans"/>
          <w:sz w:val="20"/>
          <w:szCs w:val="20"/>
        </w:rPr>
        <w:t>En relación a las operaciones intragrupo o vinculadas con sociedades dependientes, CaixaBank informa de las operaciones realizadas con Barklays Bank SAU por los conceptos de gestión de activos, negocio de factoring y confirming y negocio de gestión de tarjetas por un importe total de 117.300 miles de euros. También informa de una operación por importe de 470.000 euros en concepto de "cobro adenda contrato de agencia". Detalla operaciones de crédito y pasivo mantenidas con La Caixa, accionista mayoritario, y con las entidades asociadas y multigrupo (4.030.765</w:t>
      </w:r>
      <w:r>
        <w:rPr>
          <w:rFonts w:ascii="Open Sans" w:hAnsi="Open Sans" w:cs="Open Sans"/>
          <w:sz w:val="20"/>
          <w:szCs w:val="20"/>
        </w:rPr>
        <w:t xml:space="preserve"> miles de euros</w:t>
      </w:r>
      <w:r w:rsidRPr="00C67337">
        <w:rPr>
          <w:rFonts w:ascii="Open Sans" w:hAnsi="Open Sans" w:cs="Open Sans"/>
          <w:sz w:val="20"/>
          <w:szCs w:val="20"/>
        </w:rPr>
        <w:t xml:space="preserve"> y 627.296 </w:t>
      </w:r>
      <w:r>
        <w:rPr>
          <w:rFonts w:ascii="Open Sans" w:hAnsi="Open Sans" w:cs="Open Sans"/>
          <w:sz w:val="20"/>
          <w:szCs w:val="20"/>
        </w:rPr>
        <w:t xml:space="preserve">miles de euros </w:t>
      </w:r>
      <w:r w:rsidRPr="00C67337">
        <w:rPr>
          <w:rFonts w:ascii="Open Sans" w:hAnsi="Open Sans" w:cs="Open Sans"/>
          <w:sz w:val="20"/>
          <w:szCs w:val="20"/>
        </w:rPr>
        <w:t xml:space="preserve">respectivamente en créditos), en  el pasivo en débitos a clientes y a entidades de crédito mantiene (1.286.890 </w:t>
      </w:r>
      <w:r>
        <w:rPr>
          <w:rFonts w:ascii="Open Sans" w:hAnsi="Open Sans" w:cs="Open Sans"/>
          <w:sz w:val="20"/>
          <w:szCs w:val="20"/>
        </w:rPr>
        <w:t>miles de euros</w:t>
      </w:r>
      <w:r w:rsidRPr="00C67337">
        <w:rPr>
          <w:rFonts w:ascii="Open Sans" w:hAnsi="Open Sans" w:cs="Open Sans"/>
          <w:sz w:val="20"/>
          <w:szCs w:val="20"/>
        </w:rPr>
        <w:t xml:space="preserve"> y 881.522 </w:t>
      </w:r>
      <w:r>
        <w:rPr>
          <w:rFonts w:ascii="Open Sans" w:hAnsi="Open Sans" w:cs="Open Sans"/>
          <w:sz w:val="20"/>
          <w:szCs w:val="20"/>
        </w:rPr>
        <w:t>miles de euros</w:t>
      </w:r>
      <w:r w:rsidRPr="00C67337">
        <w:rPr>
          <w:rFonts w:ascii="Open Sans" w:hAnsi="Open Sans" w:cs="Open Sans"/>
          <w:sz w:val="20"/>
          <w:szCs w:val="20"/>
        </w:rPr>
        <w:t xml:space="preserve"> </w:t>
      </w:r>
      <w:r>
        <w:rPr>
          <w:rFonts w:ascii="Open Sans" w:hAnsi="Open Sans" w:cs="Open Sans"/>
          <w:sz w:val="20"/>
          <w:szCs w:val="20"/>
        </w:rPr>
        <w:t>respectivamente). Afirma que l</w:t>
      </w:r>
      <w:r w:rsidRPr="00C67337">
        <w:rPr>
          <w:rFonts w:ascii="Open Sans" w:hAnsi="Open Sans" w:cs="Open Sans"/>
          <w:sz w:val="20"/>
          <w:szCs w:val="20"/>
        </w:rPr>
        <w:t xml:space="preserve">as operaciones entre empresas del grupo forman parte del tráfico ordinario y se realizan en condiciones de mercado. Detalla las operaciones más significativas realizadas durante el ejercicio 2015. No obstante no informa sobre el coste financiero de las operaciones intragrupo, solamente facilita de manera agregada los intereses y cargas asimiladas e intereses y rendimientos asimilados para el conjunto de las operaciones formalizadas. Tampoco informa </w:t>
      </w:r>
      <w:r w:rsidRPr="00C67337">
        <w:rPr>
          <w:rFonts w:ascii="Open Sans" w:eastAsia="Calibri" w:hAnsi="Open Sans" w:cs="Open Sans"/>
          <w:sz w:val="20"/>
          <w:szCs w:val="20"/>
        </w:rPr>
        <w:t xml:space="preserve"> desde qué sociedades gestiona los derechos de marca y propiedad intelectual y condiciones asignadas a las mismas. Tener conocimiento en detalle de estas operaciones es fundamental para poder deducir si la empresa está operando a través de su estructura societaria para implementar estrategias de optimización fiscal. </w:t>
      </w:r>
    </w:p>
    <w:p w14:paraId="3273B02B" w14:textId="77777777" w:rsidR="00C86459" w:rsidRPr="00C67337" w:rsidRDefault="00C86459" w:rsidP="00C86459">
      <w:pPr>
        <w:jc w:val="both"/>
        <w:rPr>
          <w:rFonts w:ascii="Open Sans" w:eastAsia="Calibri" w:hAnsi="Open Sans" w:cs="Open Sans"/>
          <w:sz w:val="20"/>
          <w:szCs w:val="20"/>
        </w:rPr>
      </w:pPr>
    </w:p>
    <w:p w14:paraId="1B3A340B" w14:textId="77777777" w:rsidR="00C86459" w:rsidRPr="00C67337" w:rsidRDefault="00C86459" w:rsidP="00C86459">
      <w:pPr>
        <w:autoSpaceDE w:val="0"/>
        <w:autoSpaceDN w:val="0"/>
        <w:adjustRightInd w:val="0"/>
        <w:jc w:val="both"/>
        <w:rPr>
          <w:rFonts w:ascii="Open Sans" w:eastAsia="Calibri" w:hAnsi="Open Sans" w:cs="Open Sans"/>
          <w:sz w:val="20"/>
          <w:szCs w:val="20"/>
        </w:rPr>
      </w:pPr>
      <w:r w:rsidRPr="00C67337">
        <w:rPr>
          <w:rFonts w:ascii="Open Sans" w:eastAsia="Calibri" w:hAnsi="Open Sans" w:cs="Open Sans"/>
          <w:sz w:val="20"/>
          <w:szCs w:val="20"/>
        </w:rPr>
        <w:t xml:space="preserve">CaixaBank afirma en su estrategia fiscal que “CaixaBank aplica su política de precios de transferencia para todas las operaciones vinculadas fundamentada en los principios de libre concurrencia y asignación de valor conforme la asunción de riesgos y beneficios en las jurisdicciones en las que opera.”. </w:t>
      </w:r>
    </w:p>
    <w:p w14:paraId="22EB5C58" w14:textId="77777777" w:rsidR="00C86459" w:rsidRPr="00C67337" w:rsidRDefault="00C86459" w:rsidP="00C86459">
      <w:pPr>
        <w:autoSpaceDE w:val="0"/>
        <w:autoSpaceDN w:val="0"/>
        <w:adjustRightInd w:val="0"/>
        <w:jc w:val="both"/>
        <w:rPr>
          <w:rFonts w:ascii="Open Sans" w:eastAsia="Calibri" w:hAnsi="Open Sans" w:cs="Open Sans"/>
          <w:sz w:val="20"/>
          <w:szCs w:val="20"/>
        </w:rPr>
      </w:pPr>
    </w:p>
    <w:p w14:paraId="3A426759" w14:textId="77777777" w:rsidR="00C86459" w:rsidRPr="00C67337" w:rsidRDefault="00C86459" w:rsidP="00C86459">
      <w:pPr>
        <w:autoSpaceDE w:val="0"/>
        <w:autoSpaceDN w:val="0"/>
        <w:adjustRightInd w:val="0"/>
        <w:jc w:val="both"/>
        <w:rPr>
          <w:rFonts w:ascii="Open Sans" w:eastAsia="Calibri" w:hAnsi="Open Sans" w:cs="Open Sans"/>
          <w:sz w:val="20"/>
          <w:szCs w:val="20"/>
        </w:rPr>
      </w:pPr>
      <w:r w:rsidRPr="00C67337">
        <w:rPr>
          <w:rFonts w:ascii="Open Sans" w:eastAsia="Calibri" w:hAnsi="Open Sans" w:cs="Open Sans"/>
          <w:sz w:val="20"/>
          <w:szCs w:val="20"/>
        </w:rPr>
        <w:t>Pese a los compromisos de CaixaBank  en materia fiscal y de responsabilidad social, y en materia de transparencia: “</w:t>
      </w:r>
      <w:r w:rsidRPr="00C67337">
        <w:rPr>
          <w:rFonts w:ascii="Open Sans" w:eastAsia="Calibri" w:hAnsi="Open Sans" w:cs="Open Sans"/>
          <w:i/>
          <w:sz w:val="20"/>
          <w:szCs w:val="20"/>
        </w:rPr>
        <w:t>CaixaBank comunica el pago de los correspondientes tributos derivados de su actividad económica a los dis</w:t>
      </w:r>
      <w:r w:rsidRPr="00C67337">
        <w:rPr>
          <w:rFonts w:ascii="Open Sans" w:eastAsia="Calibri" w:hAnsi="Open Sans" w:cs="Open Sans"/>
          <w:i/>
          <w:sz w:val="20"/>
          <w:szCs w:val="20"/>
        </w:rPr>
        <w:softHyphen/>
        <w:t>tintos grupos de interés. La comunicación se realiza a través de canales que facilitan la transparencia sobre la aplicación e interpretación de la norma fiscal</w:t>
      </w:r>
      <w:r w:rsidRPr="00C67337">
        <w:rPr>
          <w:rFonts w:ascii="Open Sans" w:eastAsia="Calibri" w:hAnsi="Open Sans" w:cs="Open Sans"/>
          <w:sz w:val="20"/>
          <w:szCs w:val="20"/>
        </w:rPr>
        <w:t>”,  la información de la compañía en relación a su contribución en los países en los que tiene presencia y a través de sus sociedades dependientes es poco significativa.  No hay información del pago de impuestos desglosado por país. En el informe bancario anual la única información desglosada por país está referida a los ingresos ordinarios, pero no informa de los impuestos pagados, cuota nominal ni cuota efectiva ni cálculo de la base imponible y conciliación con resultado contable. P</w:t>
      </w:r>
      <w:r>
        <w:rPr>
          <w:rFonts w:ascii="Open Sans" w:eastAsia="Calibri" w:hAnsi="Open Sans" w:cs="Open Sans"/>
          <w:sz w:val="20"/>
          <w:szCs w:val="20"/>
        </w:rPr>
        <w:t>or otro lado, CaixaBank presenta</w:t>
      </w:r>
      <w:r w:rsidRPr="00C67337">
        <w:rPr>
          <w:rFonts w:ascii="Open Sans" w:eastAsia="Calibri" w:hAnsi="Open Sans" w:cs="Open Sans"/>
          <w:sz w:val="20"/>
          <w:szCs w:val="20"/>
        </w:rPr>
        <w:t xml:space="preserve"> este ejercicio por primera vez un documento separado al que denomi</w:t>
      </w:r>
      <w:r>
        <w:rPr>
          <w:rFonts w:ascii="Open Sans" w:eastAsia="Calibri" w:hAnsi="Open Sans" w:cs="Open Sans"/>
          <w:sz w:val="20"/>
          <w:szCs w:val="20"/>
        </w:rPr>
        <w:t>na “Contribución Fiscal Total”. P</w:t>
      </w:r>
      <w:r w:rsidRPr="00C67337">
        <w:rPr>
          <w:rFonts w:ascii="Open Sans" w:eastAsia="Calibri" w:hAnsi="Open Sans" w:cs="Open Sans"/>
          <w:sz w:val="20"/>
          <w:szCs w:val="20"/>
        </w:rPr>
        <w:t xml:space="preserve">ese a que el objetivo teórico de este documento es incrementar la transparencia, la información facilitada no se puede considerar relevante y no responde a un ejercicio de rendición de cuentas conforme a los principios de iniciativas internacionales  basadas en la información financiera país a país. La información facilitada en este documento se limita a los impuestos pagados (directos, indirectos y seguridad social a cargo de la empresa) e impuestos recaudados. </w:t>
      </w:r>
    </w:p>
    <w:p w14:paraId="208390D5" w14:textId="77777777" w:rsidR="00C86459" w:rsidRPr="00C67337" w:rsidRDefault="00C86459" w:rsidP="00C86459">
      <w:pPr>
        <w:autoSpaceDE w:val="0"/>
        <w:autoSpaceDN w:val="0"/>
        <w:adjustRightInd w:val="0"/>
        <w:jc w:val="both"/>
        <w:rPr>
          <w:rFonts w:ascii="Open Sans" w:eastAsia="Calibri" w:hAnsi="Open Sans" w:cs="Open Sans"/>
          <w:sz w:val="20"/>
          <w:szCs w:val="20"/>
        </w:rPr>
      </w:pPr>
    </w:p>
    <w:p w14:paraId="72580A80" w14:textId="77777777" w:rsidR="00C86459" w:rsidRPr="00C67337" w:rsidRDefault="00C86459" w:rsidP="00C86459">
      <w:pPr>
        <w:autoSpaceDE w:val="0"/>
        <w:autoSpaceDN w:val="0"/>
        <w:adjustRightInd w:val="0"/>
        <w:jc w:val="both"/>
        <w:rPr>
          <w:rFonts w:ascii="Open Sans" w:eastAsia="Calibri" w:hAnsi="Open Sans" w:cs="Calibri"/>
          <w:sz w:val="20"/>
          <w:szCs w:val="20"/>
        </w:rPr>
      </w:pPr>
      <w:r w:rsidRPr="00C67337">
        <w:rPr>
          <w:rFonts w:ascii="Open Sans" w:eastAsia="Calibri" w:hAnsi="Open Sans" w:cs="Open Sans"/>
          <w:sz w:val="20"/>
          <w:szCs w:val="20"/>
        </w:rPr>
        <w:t xml:space="preserve">En relación al impuesto de sociedades, en las cuentas anuales </w:t>
      </w:r>
      <w:r w:rsidRPr="00C67337">
        <w:rPr>
          <w:rFonts w:ascii="Open Sans" w:eastAsia="Calibri" w:hAnsi="Open Sans" w:cs="Calibri"/>
          <w:sz w:val="20"/>
          <w:szCs w:val="20"/>
        </w:rPr>
        <w:t>CaixaBank  afirma que “los ingresos y gastos tributan, prácticamente en su totalidad, al tipo general del 30% en el Impuesto sobre Sociedades”. Pese a que Caixabank obtiene un resultado positivo de 638.104 miles de euros, a la entidad le sale a devolver un total de 180.758 miles de euros lo que equivale a una cuota efectiva negativa  del 28%. El resultado antes de impuestos lo ajusta por rendimientos de instrumentos de capital, resultado de entidades valoradas por el método de participación y diferencia negativa de consolidación. Sería deseable que la entidad presentase información más detallada de cada una de estas partidas. No habla de créditos fiscales. Menciona que tiene activos fiscales diferidos en concepto de bases imponibles negativas por importe de 1.777.044 miles de euros, sin especificar más información.</w:t>
      </w:r>
    </w:p>
    <w:p w14:paraId="3697C983" w14:textId="77777777" w:rsidR="00C86459" w:rsidRPr="00C67337" w:rsidRDefault="00C86459" w:rsidP="00C86459">
      <w:pPr>
        <w:autoSpaceDE w:val="0"/>
        <w:autoSpaceDN w:val="0"/>
        <w:adjustRightInd w:val="0"/>
        <w:jc w:val="both"/>
        <w:rPr>
          <w:rFonts w:ascii="Open Sans" w:eastAsia="Calibri" w:hAnsi="Open Sans" w:cs="Calibri"/>
          <w:sz w:val="20"/>
          <w:szCs w:val="20"/>
        </w:rPr>
      </w:pPr>
    </w:p>
    <w:p w14:paraId="781A678D" w14:textId="77777777" w:rsidR="00C86459" w:rsidRPr="00C67337" w:rsidRDefault="00C86459" w:rsidP="00C86459">
      <w:pPr>
        <w:autoSpaceDE w:val="0"/>
        <w:autoSpaceDN w:val="0"/>
        <w:adjustRightInd w:val="0"/>
        <w:jc w:val="both"/>
        <w:rPr>
          <w:rFonts w:ascii="Open Sans" w:eastAsia="Calibri" w:hAnsi="Open Sans" w:cs="Calibri"/>
          <w:sz w:val="20"/>
          <w:szCs w:val="20"/>
        </w:rPr>
      </w:pPr>
      <w:r w:rsidRPr="00C67337">
        <w:rPr>
          <w:rFonts w:ascii="Open Sans" w:eastAsia="Calibri" w:hAnsi="Open Sans" w:cs="Calibri"/>
          <w:sz w:val="20"/>
          <w:szCs w:val="20"/>
        </w:rPr>
        <w:t>En relación a las deducciones, créditos fiscales y exenciones la información también es mejorable.  La entidad afirma que en el ejercicio 2014  obtuvo rentas susceptibles de acogerse a la deducción de beneficios extraordinarios y acreditó deducciones por importe de 33.809 miles de euros. Presenta un  cuadro de deducciones de impuesto de sociedades por reinversión de beneficio del grupo Caixabank y Banca Cívica.</w:t>
      </w:r>
    </w:p>
    <w:p w14:paraId="28037892" w14:textId="77777777" w:rsidR="00C86459" w:rsidRPr="00C67337" w:rsidRDefault="00C86459" w:rsidP="00C86459">
      <w:pPr>
        <w:autoSpaceDE w:val="0"/>
        <w:autoSpaceDN w:val="0"/>
        <w:adjustRightInd w:val="0"/>
        <w:jc w:val="both"/>
        <w:rPr>
          <w:rFonts w:ascii="Open Sans" w:eastAsia="Calibri" w:hAnsi="Open Sans" w:cs="Open Sans"/>
          <w:sz w:val="20"/>
          <w:szCs w:val="20"/>
        </w:rPr>
      </w:pPr>
    </w:p>
    <w:p w14:paraId="283545B1"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En relación a las subvenciones recibidas, </w:t>
      </w: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informa sobre las ayudas públicas o subvenciones que ha recibido el Grupo, pero todas ellas son referidas a su actividad en España. No detalla subvenciones recibidas por otros gobiernos. Estas son las subvenciones que declara para el ejercicio 2015:</w:t>
      </w:r>
    </w:p>
    <w:p w14:paraId="1EBF6A2D" w14:textId="77777777" w:rsidR="00C86459" w:rsidRPr="00C67337" w:rsidRDefault="00C86459" w:rsidP="00C86459">
      <w:pPr>
        <w:jc w:val="both"/>
        <w:rPr>
          <w:rFonts w:ascii="Open Sans" w:hAnsi="Open Sans" w:cs="Open Sans"/>
          <w:sz w:val="20"/>
          <w:szCs w:val="20"/>
        </w:rPr>
      </w:pPr>
    </w:p>
    <w:p w14:paraId="3058EFC7" w14:textId="77777777" w:rsidR="00C86459" w:rsidRPr="00C67337" w:rsidRDefault="00C86459" w:rsidP="000B70C9">
      <w:pPr>
        <w:numPr>
          <w:ilvl w:val="0"/>
          <w:numId w:val="44"/>
        </w:numPr>
        <w:jc w:val="both"/>
        <w:rPr>
          <w:rFonts w:ascii="Open Sans" w:hAnsi="Open Sans" w:cs="Open Sans"/>
          <w:sz w:val="20"/>
          <w:szCs w:val="20"/>
        </w:rPr>
      </w:pPr>
      <w:r w:rsidRPr="00C67337">
        <w:rPr>
          <w:rFonts w:ascii="Open Sans" w:hAnsi="Open Sans" w:cs="Open Sans"/>
          <w:sz w:val="20"/>
          <w:szCs w:val="20"/>
        </w:rPr>
        <w:t>Subvención recibida del Ministerio de Industria, Energía y Turismo, a través de la gerencia del sector naval, en virtud del Real Decreto 442/1994 y sucesivas modificaciones, en concepto de ayudas a la construcción naval (4.202 miles de euros)</w:t>
      </w:r>
    </w:p>
    <w:p w14:paraId="5EF37E4E" w14:textId="77777777" w:rsidR="00C86459" w:rsidRPr="00C67337" w:rsidRDefault="00C86459" w:rsidP="000B70C9">
      <w:pPr>
        <w:numPr>
          <w:ilvl w:val="0"/>
          <w:numId w:val="44"/>
        </w:numPr>
        <w:jc w:val="both"/>
        <w:rPr>
          <w:rFonts w:ascii="Open Sans" w:hAnsi="Open Sans" w:cs="Open Sans"/>
          <w:sz w:val="20"/>
          <w:szCs w:val="20"/>
        </w:rPr>
      </w:pPr>
      <w:r w:rsidRPr="00C67337">
        <w:rPr>
          <w:rFonts w:ascii="Open Sans" w:hAnsi="Open Sans" w:cs="Open Sans"/>
          <w:sz w:val="20"/>
          <w:szCs w:val="20"/>
        </w:rPr>
        <w:t>Nuevo MicroBank tiene suscritos dos convenios con el FEI (Fondo Europeo de Inversiones), dentro del programa CIP (Competitiveness and Innovation Framework Programme), y del programa MAP</w:t>
      </w:r>
      <w:proofErr w:type="gramStart"/>
      <w:r w:rsidRPr="00C67337">
        <w:rPr>
          <w:rFonts w:ascii="Open Sans" w:hAnsi="Open Sans" w:cs="Open Sans"/>
          <w:sz w:val="20"/>
          <w:szCs w:val="20"/>
        </w:rPr>
        <w:t>,que</w:t>
      </w:r>
      <w:proofErr w:type="gramEnd"/>
      <w:r w:rsidRPr="00C67337">
        <w:rPr>
          <w:rFonts w:ascii="Open Sans" w:hAnsi="Open Sans" w:cs="Open Sans"/>
          <w:sz w:val="20"/>
          <w:szCs w:val="20"/>
        </w:rPr>
        <w:t xml:space="preserve"> cubren las pérdidas de riesgos fallidos de las carteras de microcréditos sociales y financieros que cumplan los criterios de admisión de dicho programa, hasta un máximo prefijado. (4.582 miles de euros).</w:t>
      </w:r>
    </w:p>
    <w:p w14:paraId="3E416E72" w14:textId="77777777" w:rsidR="00C86459" w:rsidRPr="00C67337" w:rsidRDefault="00C86459" w:rsidP="000B70C9">
      <w:pPr>
        <w:numPr>
          <w:ilvl w:val="0"/>
          <w:numId w:val="44"/>
        </w:numPr>
        <w:jc w:val="both"/>
        <w:rPr>
          <w:rFonts w:ascii="Open Sans" w:hAnsi="Open Sans" w:cs="Open Sans"/>
          <w:sz w:val="20"/>
          <w:szCs w:val="20"/>
        </w:rPr>
      </w:pPr>
      <w:r w:rsidRPr="00C67337">
        <w:rPr>
          <w:rFonts w:ascii="Open Sans" w:hAnsi="Open Sans" w:cs="Open Sans"/>
          <w:sz w:val="20"/>
          <w:szCs w:val="20"/>
        </w:rPr>
        <w:t>Subvención de la Fundación Tripartita por formación a empleados (3.011 miles de euros).</w:t>
      </w:r>
    </w:p>
    <w:p w14:paraId="6F36EBC5" w14:textId="77777777" w:rsidR="00C86459" w:rsidRPr="00C67337" w:rsidRDefault="00C86459" w:rsidP="00C86459">
      <w:pPr>
        <w:jc w:val="both"/>
        <w:rPr>
          <w:rFonts w:ascii="Open Sans" w:hAnsi="Open Sans" w:cs="Open Sans"/>
          <w:sz w:val="20"/>
          <w:szCs w:val="20"/>
        </w:rPr>
      </w:pPr>
    </w:p>
    <w:p w14:paraId="28FFD509" w14:textId="77777777" w:rsidR="00C86459" w:rsidRPr="00C67337" w:rsidRDefault="00C86459" w:rsidP="00C86459">
      <w:pPr>
        <w:jc w:val="both"/>
        <w:rPr>
          <w:rFonts w:ascii="Open Sans" w:hAnsi="Open Sans" w:cs="Open Sans"/>
          <w:sz w:val="20"/>
          <w:szCs w:val="20"/>
        </w:rPr>
      </w:pPr>
      <w:r>
        <w:rPr>
          <w:rFonts w:ascii="Open Sans" w:hAnsi="Open Sans" w:cs="Arial"/>
          <w:sz w:val="20"/>
          <w:szCs w:val="20"/>
        </w:rPr>
        <w:t>CaixaB</w:t>
      </w:r>
      <w:r w:rsidRPr="00C67337">
        <w:rPr>
          <w:rFonts w:ascii="Open Sans" w:hAnsi="Open Sans" w:cs="Arial"/>
          <w:sz w:val="20"/>
          <w:szCs w:val="20"/>
        </w:rPr>
        <w:t>ank</w:t>
      </w:r>
      <w:r w:rsidRPr="00C67337">
        <w:rPr>
          <w:rFonts w:ascii="Open Sans" w:hAnsi="Open Sans" w:cs="Open Sans"/>
          <w:sz w:val="20"/>
          <w:szCs w:val="20"/>
        </w:rPr>
        <w:t xml:space="preserve"> declara también las subvenciones pactadas por la compra del Banco de Valencia. Declara que en el acuerdo con el FROB "se suscribió un protocolo de medidas de apoyo financiero instrumentado en un Esquema de Protección de Activos mediante el cual el FROB asumirá el 72,5% de las pérdidas derivadas de una serie de activos de la cartera de inversión crediticia (pymes y autónomos) y riesgos contingentes (“Activos garantizados”), hasta un importe máximo determinado, con efectos retroactivos desde 30 de septiembre de 2012, y con una vigencia de 10 años, esto es, hasta 30 de septiembre de 2022. El acuerdo incorporaba un umbral a partir del cual estas pérdidas serían asumidas por el FROB. (...) El FROB hará efectivo los pagos, en su caso, siempre que la pérdida neta esté por encima del umbral pactado, y antes del 30 de junio de cada año. A 31 de diciembre de 2014 el activo registrado asciende a 480 millones de euros. La pérdida esperada total menos las provisiones existentes en Banco de Valencia se registró como un ajuste a valor razonable aumentando el fondo de deterioro de la inversión crediticia. El período de cálculo y liquidación de las pérdidas netas es anual. CaixaBank debe presentar antes del 28 de febrero de cada año, el listado de Pérdidas, Plusvalías y Recuperaciones correspondiente al ejercicio anual anterior. El FROB hará efectivo los pagos, en su caso, siempre que la pérdida neta esté por encima del umbral pactado, y antes del 30 de junio de cada año". De acuerdo con una información aparecida en el diario digital un estudio publicado por el profesor de Finanzas de las universidades de Valencia y La Rioja, </w:t>
      </w:r>
      <w:hyperlink r:id="rId120" w:history="1">
        <w:r w:rsidRPr="00C67337">
          <w:rPr>
            <w:rFonts w:ascii="Open Sans" w:hAnsi="Open Sans" w:cs="Open Sans"/>
            <w:sz w:val="20"/>
            <w:szCs w:val="20"/>
          </w:rPr>
          <w:t>Salvador Climent</w:t>
        </w:r>
      </w:hyperlink>
      <w:r w:rsidRPr="00C67337">
        <w:rPr>
          <w:rFonts w:ascii="Open Sans" w:hAnsi="Open Sans" w:cs="Open Sans"/>
          <w:sz w:val="20"/>
          <w:szCs w:val="20"/>
        </w:rPr>
        <w:t>, y presentado en el último Congreso de la Asociación Española de Contabilidad y Administración de Empresas concluye que la compra de Banco de Valencia por parte de Caixabank supuso un “rescate público encubierto con dinero público para la entidad catalana”. Añade que “Gracias a las ventajosas condiciones del acuerdo firmado con el FROB, Fainé se hizo prácticamente gratis con una entidad valorada en más de 4.042 millones de euros lo que le permitió generar unas plusvalías de 2.288 millones ese mismo ejercicio”…“Sin el impacto de la compra del Banco de Valencia las pérdidas antes de impuestos [de Caixabank en 2013] hubieran sido de 3.002 millones de euros. Cifra que a buen seguro hubiera hecho saltar las alarmas en los mercados financieros, tanto nacionales como internacionales”</w:t>
      </w:r>
      <w:r w:rsidRPr="00C67337">
        <w:rPr>
          <w:rStyle w:val="Refdenotaalpie"/>
          <w:rFonts w:ascii="Open Sans" w:hAnsi="Open Sans" w:cs="Open Sans"/>
          <w:sz w:val="20"/>
          <w:szCs w:val="20"/>
        </w:rPr>
        <w:footnoteReference w:id="539"/>
      </w:r>
      <w:r w:rsidRPr="00C67337">
        <w:rPr>
          <w:rFonts w:ascii="Open Sans" w:hAnsi="Open Sans" w:cs="Open Sans"/>
          <w:sz w:val="20"/>
          <w:szCs w:val="20"/>
        </w:rPr>
        <w:t>.</w:t>
      </w:r>
    </w:p>
    <w:p w14:paraId="799C8678" w14:textId="77777777" w:rsidR="00C86459" w:rsidRPr="00C67337" w:rsidRDefault="00C86459" w:rsidP="00C86459">
      <w:pPr>
        <w:jc w:val="both"/>
        <w:rPr>
          <w:rFonts w:ascii="Open Sans" w:hAnsi="Open Sans" w:cs="Open Sans"/>
          <w:sz w:val="20"/>
          <w:szCs w:val="20"/>
        </w:rPr>
      </w:pPr>
    </w:p>
    <w:p w14:paraId="04DF9F63" w14:textId="77777777" w:rsidR="00C86459" w:rsidRPr="00C67337" w:rsidRDefault="00C86459" w:rsidP="00C86459">
      <w:pPr>
        <w:jc w:val="both"/>
        <w:rPr>
          <w:rFonts w:ascii="Open Sans" w:hAnsi="Open Sans" w:cs="Open Sans"/>
          <w:sz w:val="20"/>
          <w:szCs w:val="22"/>
        </w:rPr>
      </w:pPr>
      <w:r w:rsidRPr="00C67337">
        <w:rPr>
          <w:rFonts w:ascii="Open Sans" w:hAnsi="Open Sans" w:cs="Open Sans"/>
          <w:sz w:val="20"/>
          <w:szCs w:val="22"/>
        </w:rPr>
        <w:t xml:space="preserve">Podrían considerarse ayudas no solamente la inyección directa en el capital, sino también los EPA (esquema de protección de activos) y la compra de activos por parte del SAREB. Según una información del diario digital el confidencial “Bruselas considera que las ayudas públicas vienen porque el precio pagado por Sareb a los bancos por sus activos (el precio de transferencia) es superior al de mercado. Y como ese sobreprecio no lo habrían conseguido vendiendo los activos en el mercado, es ayuda de Estado. Dicho de otra forma, no menciona si SAREB ha adquirido inmuebles a la entidad. </w:t>
      </w:r>
      <w:r>
        <w:rPr>
          <w:rFonts w:ascii="Open Sans" w:hAnsi="Open Sans" w:cs="Open Sans"/>
          <w:sz w:val="20"/>
          <w:szCs w:val="22"/>
        </w:rPr>
        <w:t>De acuerdo con la Comisión Europea,</w:t>
      </w:r>
      <w:r w:rsidRPr="00C67337">
        <w:rPr>
          <w:rFonts w:ascii="Open Sans" w:hAnsi="Open Sans" w:cs="Open Sans"/>
          <w:sz w:val="20"/>
          <w:szCs w:val="22"/>
        </w:rPr>
        <w:t xml:space="preserve"> los descuentos con los que se han traspasado los créditos y los inmuebles deberían haber sido mayores (Bruselas lo cifra en el 72% como media y el 75% para los pisos terminados), lo que habría obligado a más provisiones, más pérdidas y más inyecciones de capital público. En vez de eso, se ha pagado un sobreprecio, lo que ha evitado esas inyecciones, pero el impacto es el mismo. Por eso es una ayuda pública”. Se desconoce si CaixaBank ha vendido activos al Sareb o ha hecho uso de EPA.</w:t>
      </w:r>
    </w:p>
    <w:p w14:paraId="11F23AC3" w14:textId="77777777" w:rsidR="00C86459" w:rsidRPr="00C67337" w:rsidRDefault="00C86459" w:rsidP="00C86459">
      <w:pPr>
        <w:jc w:val="both"/>
        <w:rPr>
          <w:rFonts w:ascii="Open Sans" w:hAnsi="Open Sans" w:cs="Open Sans"/>
          <w:sz w:val="20"/>
          <w:szCs w:val="22"/>
        </w:rPr>
      </w:pPr>
    </w:p>
    <w:p w14:paraId="14C4FB3F"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Por último en cuanto la relación cooperativa de CaixaBank con las administraciones tributarias, la entidad afirma que “promueve el cumplimiento cooperativo con todas las Administraciones tributarias mediante una relación fundada en la confianza recíproca, la buena fe entre las partes y la transparencia sobre la interpretación de las normas, preferentemente antes de que las mismas generen impactos en la sociedad. Entre los objetivos principales de la cooperación con las administraciones tributarias están la clarificación interpretativa de las normas así como la reducción de la conflictividad tributaria”. Pese a esta afirmación la entidad tiene provisionada por contingencias fiscales la nada desdeñable cantidad de 344.465 miles de euros. De los 344.465 miles de euros que la entidad tiene provisionados, 33.171 miles de euros responden para la cobertura de los riesgos máximos que puedan derivarse de las actas firmadas en disconformidad que están pendientes de resolución por parte de la Audiencia Nacional, 202.252 miles de euros por disconformidad del  impuesto sobre depósitos. Y en un  apartado con el título de “otros” un total de 97.868 miles de euros. Sobre esta cantidad no informa acerca de qué ha motivado la provisión. </w:t>
      </w:r>
    </w:p>
    <w:p w14:paraId="63E76066" w14:textId="77777777" w:rsidR="00C86459" w:rsidRPr="00C67337" w:rsidRDefault="00C86459" w:rsidP="00C86459">
      <w:pPr>
        <w:jc w:val="both"/>
        <w:rPr>
          <w:rFonts w:ascii="Open Sans" w:hAnsi="Open Sans" w:cs="Open Sans"/>
          <w:sz w:val="20"/>
          <w:szCs w:val="20"/>
        </w:rPr>
      </w:pPr>
    </w:p>
    <w:p w14:paraId="3E6A11F4" w14:textId="77777777" w:rsidR="00C86459" w:rsidRPr="00C67337" w:rsidRDefault="00C86459" w:rsidP="00C86459">
      <w:pPr>
        <w:jc w:val="both"/>
        <w:rPr>
          <w:rFonts w:ascii="Open Sans" w:hAnsi="Open Sans" w:cs="Open Sans"/>
          <w:sz w:val="20"/>
          <w:szCs w:val="20"/>
        </w:rPr>
      </w:pPr>
    </w:p>
    <w:p w14:paraId="063FA2DF"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 xml:space="preserve">Durante el ejercicio 2011, la Inspección de Tributos inició la comprobación </w:t>
      </w:r>
      <w:proofErr w:type="gramStart"/>
      <w:r w:rsidRPr="00C67337">
        <w:rPr>
          <w:rFonts w:ascii="Open Sans" w:hAnsi="Open Sans" w:cs="Open Sans"/>
          <w:sz w:val="20"/>
          <w:szCs w:val="20"/>
        </w:rPr>
        <w:t>de ”</w:t>
      </w:r>
      <w:proofErr w:type="gramEnd"/>
      <w:r w:rsidRPr="00C67337">
        <w:rPr>
          <w:rFonts w:ascii="Open Sans" w:hAnsi="Open Sans" w:cs="Open Sans"/>
          <w:sz w:val="20"/>
          <w:szCs w:val="20"/>
        </w:rPr>
        <w:t xml:space="preserve">la Caixa” en relación con los ejercicios 2007 a 2009 para los principales impuestos aplicables. Las actas de conformidad fueron pagadas y las actas de disconformidad están pendientes de resolución por parte del Tribunal Económico Administrativo Central y debidamente provisionadas por importe de 11.174 miles de euros. </w:t>
      </w:r>
    </w:p>
    <w:p w14:paraId="525807B2" w14:textId="77777777" w:rsidR="00C86459" w:rsidRPr="00C67337" w:rsidRDefault="00C86459" w:rsidP="00C86459">
      <w:pPr>
        <w:jc w:val="both"/>
        <w:rPr>
          <w:rFonts w:ascii="Open Sans" w:hAnsi="Open Sans" w:cs="Open Sans"/>
          <w:sz w:val="20"/>
          <w:szCs w:val="20"/>
        </w:rPr>
      </w:pPr>
    </w:p>
    <w:p w14:paraId="162C2AD5" w14:textId="77777777" w:rsidR="00C86459" w:rsidRPr="00C67337" w:rsidRDefault="00C86459" w:rsidP="00C86459">
      <w:pPr>
        <w:autoSpaceDE w:val="0"/>
        <w:autoSpaceDN w:val="0"/>
        <w:adjustRightInd w:val="0"/>
        <w:jc w:val="both"/>
        <w:rPr>
          <w:rFonts w:ascii="Open Sans" w:eastAsia="Calibri" w:hAnsi="Open Sans" w:cs="Open Sans"/>
          <w:sz w:val="20"/>
          <w:szCs w:val="20"/>
        </w:rPr>
      </w:pPr>
    </w:p>
    <w:p w14:paraId="3773E7D3" w14:textId="77777777" w:rsidR="00C86459" w:rsidRPr="00C67337" w:rsidRDefault="00C86459" w:rsidP="00C86459">
      <w:pPr>
        <w:rPr>
          <w:rFonts w:ascii="Open Sans" w:hAnsi="Open Sans" w:cs="Open Sans"/>
          <w:bCs/>
          <w:sz w:val="20"/>
          <w:szCs w:val="20"/>
        </w:rPr>
      </w:pPr>
    </w:p>
    <w:p w14:paraId="74915733" w14:textId="77777777" w:rsidR="00C86459" w:rsidRPr="00C67337" w:rsidRDefault="00C86459" w:rsidP="00C86459">
      <w:pPr>
        <w:rPr>
          <w:rFonts w:ascii="Open Sans" w:hAnsi="Open Sans" w:cs="Open Sans"/>
          <w:bCs/>
          <w:sz w:val="22"/>
          <w:szCs w:val="22"/>
          <w:u w:val="single"/>
        </w:rPr>
      </w:pPr>
      <w:r w:rsidRPr="00C67337">
        <w:rPr>
          <w:rFonts w:ascii="Open Sans" w:hAnsi="Open Sans" w:cs="Open Sans"/>
          <w:b/>
          <w:sz w:val="22"/>
          <w:szCs w:val="22"/>
          <w:u w:val="single"/>
        </w:rPr>
        <w:t>5. Conclusiones</w:t>
      </w:r>
    </w:p>
    <w:p w14:paraId="06CB3FA9" w14:textId="77777777" w:rsidR="00C86459" w:rsidRPr="00C67337" w:rsidRDefault="00C86459" w:rsidP="00C86459">
      <w:pPr>
        <w:rPr>
          <w:rFonts w:ascii="Open Sans" w:hAnsi="Open Sans" w:cs="Open Sans"/>
          <w:bCs/>
          <w:sz w:val="20"/>
          <w:szCs w:val="20"/>
        </w:rPr>
      </w:pPr>
    </w:p>
    <w:p w14:paraId="3E55DAE3" w14:textId="77777777" w:rsidR="00C86459" w:rsidRDefault="00C86459" w:rsidP="00C86459">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CaixaBank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0,73</w:t>
      </w:r>
      <w:r>
        <w:rPr>
          <w:rFonts w:ascii="Open Sans" w:hAnsi="Open Sans" w:cs="Open Sans"/>
          <w:color w:val="auto"/>
          <w:sz w:val="20"/>
          <w:szCs w:val="20"/>
        </w:rPr>
        <w:t xml:space="preserve"> sobre un máximo de 3. De las dimensiones analizadas, la máxima puntuación se obtiene en los aspectos relacionados con las “relaciones con Administraciones Tributarias” (1,00), seguidos por “impuestos e incentivos” (0,83),  la “política y estrategia fiscal” (0,60), y “paraísos y nichos fiscales” (0,50). </w:t>
      </w:r>
    </w:p>
    <w:p w14:paraId="7EBAFB8C" w14:textId="77777777" w:rsidR="00C86459" w:rsidRDefault="00C86459" w:rsidP="00C86459">
      <w:pPr>
        <w:jc w:val="both"/>
        <w:rPr>
          <w:rFonts w:ascii="Open Sans" w:hAnsi="Open Sans" w:cs="Open Sans"/>
          <w:sz w:val="20"/>
          <w:szCs w:val="20"/>
        </w:rPr>
      </w:pPr>
    </w:p>
    <w:p w14:paraId="665115D4"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Tras analizar la documentación publicada por CaixaBank en relación a su actividad fiscal en 2015 (Informe Corporativo Integrado, Informe de Gobierno Corporativo, Política de RSC, Contribución Fiscal Total, e Informe de Cuentas Anuales, principalmente), se observa que la Compañía cuenta con compromiso en relación a la fiscalidad responsable concretado en una estrategia y política que no son públicas y por tanto no se ha tenido acceso.</w:t>
      </w:r>
    </w:p>
    <w:p w14:paraId="4FBF5C7A" w14:textId="77777777" w:rsidR="00C86459" w:rsidRPr="00C67337" w:rsidRDefault="00C86459" w:rsidP="00C86459">
      <w:pPr>
        <w:jc w:val="both"/>
        <w:rPr>
          <w:rFonts w:ascii="Open Sans" w:hAnsi="Open Sans" w:cs="Open Sans"/>
          <w:sz w:val="20"/>
          <w:szCs w:val="20"/>
        </w:rPr>
      </w:pPr>
    </w:p>
    <w:p w14:paraId="7B4B94D3"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Pese a los compromisos de CaixaBank en relación a un fiscalidad responsable y su adhesión al Código de buenas Prácticas Tributarias, y que sin lugar a dudas es un aspecto material para sus grupos de interés, aunque la empresa no lo identifique como tal, la información en ocasiones no es clara, ni precisa, ni  cuenta con un desglose suficiente que permita evaluar el cumplimiento de los compromisos asumidos por la compañía. Hay un documento independiente de las cuentas anuales dedicado al reporte fiscal pero los datos son muy generales y no aportan valor añadido a la información que aparece en otra documentación de carácter público. La mayor parte de la información objeto de análisis hay que extraerla de las cuentas anuales que adoptan un lenguaje técnico y difícilmente comprensible para los no expertos en la materia. La información contenida en la memoria de RSC tiene carácter anecdótico y se limita a exponer un compromiso. Por otro lado, CAIXABANK no sigue los estándares internacionales del country by country que promueven que la empresa presente información país a país de una serie de partidas financieras y de la actividad que realiza en los territorios donde está presente. Tampoco presenta información relevante y material sobre su actividad en territorios considerados paraísos o nichos fiscales</w:t>
      </w:r>
    </w:p>
    <w:p w14:paraId="1D99610F" w14:textId="77777777" w:rsidR="00C86459" w:rsidRPr="00C67337" w:rsidRDefault="00C86459" w:rsidP="00C86459">
      <w:pPr>
        <w:jc w:val="both"/>
        <w:rPr>
          <w:rFonts w:ascii="Open Sans" w:hAnsi="Open Sans" w:cs="Open Sans"/>
          <w:sz w:val="20"/>
          <w:szCs w:val="20"/>
        </w:rPr>
      </w:pPr>
    </w:p>
    <w:p w14:paraId="202D4069" w14:textId="77777777" w:rsidR="00C86459" w:rsidRPr="00C67337" w:rsidRDefault="00C86459" w:rsidP="00C86459">
      <w:pPr>
        <w:jc w:val="both"/>
        <w:rPr>
          <w:rFonts w:ascii="Open Sans" w:hAnsi="Open Sans" w:cs="Open Sans"/>
          <w:sz w:val="20"/>
          <w:szCs w:val="20"/>
        </w:rPr>
      </w:pPr>
      <w:r w:rsidRPr="00C67337">
        <w:rPr>
          <w:rFonts w:ascii="Open Sans" w:hAnsi="Open Sans" w:cs="Open Sans"/>
          <w:sz w:val="20"/>
          <w:szCs w:val="20"/>
        </w:rPr>
        <w:t>En la documentación analizada no se han encontrado evidencias de que CaixaBank  haya establecido un diálogo, más allá de con la agencia tributaria, con sus grupos de interés en relación a los aspectos fiscales.</w:t>
      </w:r>
    </w:p>
    <w:p w14:paraId="6F8EE0C2" w14:textId="77777777" w:rsidR="00A64F90" w:rsidRDefault="00A64F90" w:rsidP="00A64F90">
      <w:pPr>
        <w:jc w:val="both"/>
        <w:rPr>
          <w:rFonts w:ascii="Open Sans" w:hAnsi="Open Sans" w:cs="Open Sans"/>
          <w:sz w:val="20"/>
          <w:szCs w:val="20"/>
        </w:rPr>
      </w:pPr>
    </w:p>
    <w:p w14:paraId="72B6857C" w14:textId="7DB1A8C6" w:rsidR="00E04E0E" w:rsidRDefault="00E04E0E">
      <w:pPr>
        <w:rPr>
          <w:rFonts w:ascii="Arial" w:hAnsi="Arial" w:cs="Arial"/>
        </w:rPr>
      </w:pPr>
      <w:r>
        <w:rPr>
          <w:rFonts w:ascii="Arial" w:hAnsi="Arial" w:cs="Arial"/>
        </w:rPr>
        <w:br w:type="page"/>
      </w:r>
    </w:p>
    <w:p w14:paraId="5C4F8522" w14:textId="77777777" w:rsidR="00E04E0E" w:rsidRPr="00773F0D" w:rsidRDefault="00E04E0E" w:rsidP="00E04E0E">
      <w:pPr>
        <w:pBdr>
          <w:top w:val="single" w:sz="4" w:space="1" w:color="000001"/>
          <w:left w:val="single" w:sz="4" w:space="4" w:color="000001"/>
          <w:bottom w:val="single" w:sz="4" w:space="1" w:color="000001"/>
          <w:right w:val="single" w:sz="4" w:space="4" w:color="000001"/>
        </w:pBdr>
        <w:shd w:val="clear" w:color="auto" w:fill="000080"/>
        <w:jc w:val="center"/>
        <w:rPr>
          <w:rFonts w:ascii="Open Sans" w:hAnsi="Open Sans"/>
        </w:rPr>
      </w:pPr>
      <w:bookmarkStart w:id="97" w:name="Sabadell"/>
      <w:r w:rsidRPr="00773F0D">
        <w:rPr>
          <w:rFonts w:ascii="Open Sans" w:hAnsi="Open Sans" w:cs="Open Sans;Tahoma"/>
          <w:b/>
          <w:caps/>
          <w:color w:val="FFFFFF"/>
        </w:rPr>
        <w:t>Grupo banco Sabadell</w:t>
      </w:r>
      <w:bookmarkEnd w:id="97"/>
    </w:p>
    <w:p w14:paraId="71B34BA8" w14:textId="77777777" w:rsidR="00E04E0E" w:rsidRPr="001F7023" w:rsidRDefault="00E04E0E" w:rsidP="00E04E0E">
      <w:pPr>
        <w:pBdr>
          <w:top w:val="single" w:sz="4" w:space="1" w:color="000001"/>
          <w:left w:val="single" w:sz="4" w:space="4" w:color="000001"/>
          <w:bottom w:val="single" w:sz="4" w:space="1" w:color="000001"/>
          <w:right w:val="single" w:sz="4" w:space="4" w:color="000001"/>
        </w:pBdr>
        <w:shd w:val="clear" w:color="auto" w:fill="000080"/>
        <w:jc w:val="center"/>
        <w:rPr>
          <w:rFonts w:ascii="Open Sans" w:hAnsi="Open Sans"/>
          <w:i/>
        </w:rPr>
      </w:pPr>
      <w:r w:rsidRPr="001F7023">
        <w:rPr>
          <w:rFonts w:ascii="Open Sans" w:hAnsi="Open Sans" w:cs="Open Sans;Tahoma"/>
          <w:b/>
          <w:i/>
          <w:caps/>
          <w:color w:val="FFFFFF"/>
        </w:rPr>
        <w:t>(BANCO SABADELL)</w:t>
      </w:r>
    </w:p>
    <w:p w14:paraId="066A51DD" w14:textId="77777777" w:rsidR="00E04E0E" w:rsidRDefault="00E04E0E" w:rsidP="00E04E0E">
      <w:pPr>
        <w:jc w:val="both"/>
        <w:rPr>
          <w:rFonts w:ascii="Open Sans;Tahoma" w:hAnsi="Open Sans;Tahoma" w:cs="Open Sans;Tahoma" w:hint="eastAsia"/>
          <w:b/>
          <w:sz w:val="22"/>
          <w:szCs w:val="22"/>
          <w:u w:val="single"/>
        </w:rPr>
      </w:pPr>
    </w:p>
    <w:p w14:paraId="37D33911" w14:textId="77777777" w:rsidR="00E04E0E" w:rsidRDefault="00E04E0E" w:rsidP="00E04E0E">
      <w:pPr>
        <w:jc w:val="both"/>
        <w:rPr>
          <w:rFonts w:ascii="Open Sans;Tahoma" w:hAnsi="Open Sans;Tahoma" w:cs="Open Sans;Tahoma" w:hint="eastAsia"/>
          <w:b/>
          <w:sz w:val="22"/>
          <w:szCs w:val="22"/>
          <w:u w:val="single"/>
        </w:rPr>
      </w:pPr>
    </w:p>
    <w:p w14:paraId="007A9C32" w14:textId="77777777" w:rsidR="003720EE" w:rsidRPr="00773F0D" w:rsidRDefault="003720EE" w:rsidP="003720EE">
      <w:pPr>
        <w:jc w:val="both"/>
        <w:rPr>
          <w:rFonts w:ascii="Open Sans" w:hAnsi="Open Sans"/>
        </w:rPr>
      </w:pPr>
      <w:r w:rsidRPr="00773F0D">
        <w:rPr>
          <w:rFonts w:ascii="Open Sans" w:hAnsi="Open Sans" w:cs="Open Sans;Tahoma"/>
          <w:b/>
          <w:sz w:val="22"/>
          <w:szCs w:val="22"/>
          <w:u w:val="single"/>
        </w:rPr>
        <w:t>1. Datos generales de la entidad</w:t>
      </w:r>
    </w:p>
    <w:p w14:paraId="7AC6CC67" w14:textId="77777777" w:rsidR="003720EE" w:rsidRDefault="003720EE" w:rsidP="003720EE">
      <w:pPr>
        <w:jc w:val="both"/>
        <w:rPr>
          <w:rFonts w:ascii="Open Sans;Tahoma" w:hAnsi="Open Sans;Tahoma" w:cs="Open Sans;Tahoma" w:hint="eastAsia"/>
          <w:b/>
          <w:sz w:val="22"/>
          <w:szCs w:val="22"/>
          <w:u w:val="single"/>
        </w:rPr>
      </w:pPr>
    </w:p>
    <w:p w14:paraId="379C8BFF" w14:textId="77777777" w:rsidR="003720EE" w:rsidRPr="003720EE" w:rsidRDefault="003720EE" w:rsidP="003720EE">
      <w:pPr>
        <w:pStyle w:val="Normal1"/>
        <w:jc w:val="both"/>
        <w:rPr>
          <w:sz w:val="20"/>
        </w:rPr>
      </w:pPr>
      <w:r w:rsidRPr="003720EE">
        <w:rPr>
          <w:rFonts w:ascii="Open Sans" w:eastAsia="Open Sans" w:hAnsi="Open Sans" w:cs="Open Sans"/>
          <w:sz w:val="20"/>
          <w:u w:val="single"/>
        </w:rPr>
        <w:t>Productos/servicios</w:t>
      </w:r>
    </w:p>
    <w:p w14:paraId="0BB38F54" w14:textId="77777777" w:rsidR="003720EE" w:rsidRPr="003720EE" w:rsidRDefault="003720EE" w:rsidP="003720EE">
      <w:pPr>
        <w:pStyle w:val="Normal1"/>
        <w:jc w:val="both"/>
        <w:rPr>
          <w:rFonts w:ascii="Open Sans" w:hAnsi="Open Sans"/>
          <w:sz w:val="20"/>
        </w:rPr>
      </w:pPr>
    </w:p>
    <w:p w14:paraId="028E4D41" w14:textId="77777777" w:rsidR="003720EE" w:rsidRPr="003720EE" w:rsidRDefault="003720EE" w:rsidP="003720EE">
      <w:pPr>
        <w:pStyle w:val="Normal1"/>
        <w:jc w:val="both"/>
        <w:rPr>
          <w:sz w:val="20"/>
        </w:rPr>
      </w:pPr>
      <w:r w:rsidRPr="003720EE">
        <w:rPr>
          <w:rFonts w:ascii="Open Sans" w:eastAsia="Open Sans" w:hAnsi="Open Sans" w:cs="Open Sans"/>
          <w:sz w:val="20"/>
          <w:highlight w:val="white"/>
        </w:rPr>
        <w:t>El Grupo Banco Sabadell (en adelante Banco Sabadell)</w:t>
      </w:r>
      <w:r w:rsidRPr="003720EE">
        <w:rPr>
          <w:rFonts w:ascii="Open Sans" w:eastAsia="Open Sans" w:hAnsi="Open Sans" w:cs="Open Sans"/>
          <w:sz w:val="20"/>
        </w:rPr>
        <w:t xml:space="preserve"> de forma directa o a través de su marca, sociedades filiales y participadas ofrece a sus clientes productos / servicios dentro de todos los ámbitos del negocio financiero, asegurador e inmobiliario. Las líneas de negocio que ha estructurado son:</w:t>
      </w:r>
    </w:p>
    <w:p w14:paraId="283671E2" w14:textId="77777777" w:rsidR="003720EE" w:rsidRPr="003720EE" w:rsidRDefault="003720EE" w:rsidP="003720EE">
      <w:pPr>
        <w:pStyle w:val="Normal1"/>
        <w:jc w:val="both"/>
        <w:rPr>
          <w:rFonts w:ascii="Open Sans" w:hAnsi="Open Sans" w:cs="Open Sans"/>
          <w:sz w:val="20"/>
        </w:rPr>
      </w:pPr>
    </w:p>
    <w:p w14:paraId="4BBBB894" w14:textId="77777777" w:rsidR="003720EE" w:rsidRPr="003720EE" w:rsidRDefault="003720EE" w:rsidP="000B70C9">
      <w:pPr>
        <w:numPr>
          <w:ilvl w:val="1"/>
          <w:numId w:val="46"/>
        </w:numPr>
        <w:suppressAutoHyphens/>
        <w:jc w:val="both"/>
        <w:rPr>
          <w:color w:val="000000"/>
          <w:sz w:val="20"/>
          <w:szCs w:val="20"/>
        </w:rPr>
      </w:pPr>
      <w:r w:rsidRPr="003720EE">
        <w:rPr>
          <w:rFonts w:ascii="Open Sans" w:hAnsi="Open Sans" w:cs="Open Sans"/>
          <w:color w:val="000000"/>
          <w:sz w:val="20"/>
          <w:szCs w:val="20"/>
        </w:rPr>
        <w:t>Banca Comercial</w:t>
      </w:r>
    </w:p>
    <w:p w14:paraId="7BA4EF90" w14:textId="77777777" w:rsidR="003720EE" w:rsidRPr="003720EE" w:rsidRDefault="003720EE" w:rsidP="000B70C9">
      <w:pPr>
        <w:numPr>
          <w:ilvl w:val="1"/>
          <w:numId w:val="46"/>
        </w:numPr>
        <w:suppressAutoHyphens/>
        <w:jc w:val="both"/>
        <w:rPr>
          <w:color w:val="000000"/>
          <w:sz w:val="20"/>
          <w:szCs w:val="20"/>
        </w:rPr>
      </w:pPr>
      <w:r w:rsidRPr="003720EE">
        <w:rPr>
          <w:rFonts w:ascii="Open Sans" w:hAnsi="Open Sans" w:cs="Open Sans"/>
          <w:color w:val="000000"/>
          <w:sz w:val="20"/>
          <w:szCs w:val="20"/>
        </w:rPr>
        <w:t>Mercados y Banca Privada</w:t>
      </w:r>
    </w:p>
    <w:p w14:paraId="01875370" w14:textId="77777777" w:rsidR="003720EE" w:rsidRPr="003720EE" w:rsidRDefault="003720EE" w:rsidP="000B70C9">
      <w:pPr>
        <w:numPr>
          <w:ilvl w:val="1"/>
          <w:numId w:val="46"/>
        </w:numPr>
        <w:suppressAutoHyphens/>
        <w:jc w:val="both"/>
        <w:rPr>
          <w:color w:val="000000"/>
          <w:sz w:val="20"/>
          <w:szCs w:val="20"/>
        </w:rPr>
      </w:pPr>
      <w:r w:rsidRPr="003720EE">
        <w:rPr>
          <w:rFonts w:ascii="Open Sans" w:hAnsi="Open Sans" w:cs="Open Sans"/>
          <w:color w:val="000000"/>
          <w:sz w:val="20"/>
          <w:szCs w:val="20"/>
        </w:rPr>
        <w:t>Reino Unido</w:t>
      </w:r>
    </w:p>
    <w:p w14:paraId="3F98A75C" w14:textId="77777777" w:rsidR="003720EE" w:rsidRPr="003720EE" w:rsidRDefault="003720EE" w:rsidP="000B70C9">
      <w:pPr>
        <w:numPr>
          <w:ilvl w:val="1"/>
          <w:numId w:val="46"/>
        </w:numPr>
        <w:suppressAutoHyphens/>
        <w:jc w:val="both"/>
        <w:rPr>
          <w:color w:val="000000"/>
          <w:sz w:val="20"/>
          <w:szCs w:val="20"/>
        </w:rPr>
      </w:pPr>
      <w:r w:rsidRPr="003720EE">
        <w:rPr>
          <w:rFonts w:ascii="Open Sans" w:hAnsi="Open Sans" w:cs="Open Sans"/>
          <w:color w:val="000000"/>
          <w:sz w:val="20"/>
          <w:szCs w:val="20"/>
        </w:rPr>
        <w:t>Global Corporate Banking</w:t>
      </w:r>
    </w:p>
    <w:p w14:paraId="5E594CB0" w14:textId="77777777" w:rsidR="003720EE" w:rsidRPr="003720EE" w:rsidRDefault="003720EE" w:rsidP="000B70C9">
      <w:pPr>
        <w:numPr>
          <w:ilvl w:val="1"/>
          <w:numId w:val="46"/>
        </w:numPr>
        <w:suppressAutoHyphens/>
        <w:jc w:val="both"/>
        <w:rPr>
          <w:color w:val="000000"/>
          <w:sz w:val="20"/>
          <w:szCs w:val="20"/>
        </w:rPr>
      </w:pPr>
      <w:r w:rsidRPr="003720EE">
        <w:rPr>
          <w:rFonts w:ascii="Open Sans" w:hAnsi="Open Sans" w:cs="Open Sans"/>
          <w:color w:val="000000"/>
          <w:sz w:val="20"/>
          <w:szCs w:val="20"/>
        </w:rPr>
        <w:t>Sabadell América</w:t>
      </w:r>
    </w:p>
    <w:p w14:paraId="22DFE032" w14:textId="77777777" w:rsidR="003720EE" w:rsidRPr="003720EE" w:rsidRDefault="003720EE" w:rsidP="000B70C9">
      <w:pPr>
        <w:numPr>
          <w:ilvl w:val="1"/>
          <w:numId w:val="46"/>
        </w:numPr>
        <w:suppressAutoHyphens/>
        <w:jc w:val="both"/>
        <w:rPr>
          <w:sz w:val="20"/>
          <w:szCs w:val="20"/>
        </w:rPr>
      </w:pPr>
      <w:r w:rsidRPr="003720EE">
        <w:rPr>
          <w:rFonts w:ascii="Open Sans" w:hAnsi="Open Sans" w:cs="Open Sans"/>
          <w:color w:val="000000"/>
          <w:sz w:val="20"/>
          <w:szCs w:val="20"/>
        </w:rPr>
        <w:t>Transformación de Activos</w:t>
      </w:r>
    </w:p>
    <w:p w14:paraId="01A892FE" w14:textId="77777777" w:rsidR="003720EE" w:rsidRPr="003720EE" w:rsidRDefault="003720EE" w:rsidP="003720EE">
      <w:pPr>
        <w:pStyle w:val="Normal1"/>
        <w:jc w:val="both"/>
        <w:rPr>
          <w:rFonts w:ascii="Open Sans" w:hAnsi="Open Sans"/>
          <w:sz w:val="20"/>
        </w:rPr>
      </w:pPr>
    </w:p>
    <w:p w14:paraId="3B1BCFEC" w14:textId="77777777" w:rsidR="003720EE" w:rsidRPr="003720EE" w:rsidRDefault="003720EE" w:rsidP="003720EE">
      <w:pPr>
        <w:pStyle w:val="Normal1"/>
        <w:jc w:val="both"/>
        <w:rPr>
          <w:rFonts w:ascii="Open Sans" w:hAnsi="Open Sans"/>
          <w:sz w:val="20"/>
        </w:rPr>
      </w:pPr>
    </w:p>
    <w:p w14:paraId="35046CAC" w14:textId="77777777" w:rsidR="003720EE" w:rsidRPr="003720EE" w:rsidRDefault="003720EE" w:rsidP="003720EE">
      <w:pPr>
        <w:pStyle w:val="Normal1"/>
        <w:jc w:val="both"/>
        <w:rPr>
          <w:sz w:val="20"/>
        </w:rPr>
      </w:pPr>
      <w:r w:rsidRPr="003720EE">
        <w:rPr>
          <w:rFonts w:ascii="Open Sans" w:eastAsia="Open Sans" w:hAnsi="Open Sans" w:cs="Open Sans"/>
          <w:sz w:val="20"/>
          <w:u w:val="single"/>
        </w:rPr>
        <w:t xml:space="preserve">Alcance geográfico </w:t>
      </w:r>
    </w:p>
    <w:p w14:paraId="05C9E2EC" w14:textId="77777777" w:rsidR="003720EE" w:rsidRPr="003720EE" w:rsidRDefault="003720EE" w:rsidP="003720EE">
      <w:pPr>
        <w:pStyle w:val="Normal1"/>
        <w:jc w:val="both"/>
        <w:rPr>
          <w:rFonts w:ascii="Open Sans" w:hAnsi="Open Sans"/>
          <w:sz w:val="20"/>
        </w:rPr>
      </w:pPr>
    </w:p>
    <w:p w14:paraId="2D132272" w14:textId="77777777" w:rsidR="003720EE" w:rsidRPr="003720EE" w:rsidRDefault="003720EE" w:rsidP="003720EE">
      <w:pPr>
        <w:pStyle w:val="Normal1"/>
        <w:jc w:val="both"/>
        <w:rPr>
          <w:sz w:val="20"/>
        </w:rPr>
      </w:pPr>
      <w:r w:rsidRPr="003720EE">
        <w:rPr>
          <w:rFonts w:ascii="Open Sans" w:eastAsia="Open Sans" w:hAnsi="Open Sans" w:cs="Open Sans"/>
          <w:sz w:val="20"/>
          <w:highlight w:val="white"/>
        </w:rPr>
        <w:t>Banco Sabadell</w:t>
      </w:r>
      <w:r w:rsidRPr="003720EE">
        <w:rPr>
          <w:rFonts w:ascii="Open Sans" w:eastAsia="Open Sans" w:hAnsi="Open Sans" w:cs="Open Sans"/>
          <w:sz w:val="20"/>
        </w:rPr>
        <w:t xml:space="preserve"> opera o tiene presencia en diecinueve países: </w:t>
      </w:r>
    </w:p>
    <w:p w14:paraId="521D376B" w14:textId="77777777" w:rsidR="003720EE" w:rsidRPr="003720EE" w:rsidRDefault="003720EE" w:rsidP="003720EE">
      <w:pPr>
        <w:pStyle w:val="Normal1"/>
        <w:jc w:val="both"/>
        <w:rPr>
          <w:rFonts w:ascii="Open Sans" w:eastAsia="Open Sans" w:hAnsi="Open Sans" w:cs="Open Sans"/>
          <w:sz w:val="20"/>
        </w:rPr>
      </w:pPr>
    </w:p>
    <w:p w14:paraId="45E3F311" w14:textId="77777777" w:rsidR="003720EE" w:rsidRPr="003720EE" w:rsidRDefault="003720EE" w:rsidP="000B70C9">
      <w:pPr>
        <w:pStyle w:val="Normal1"/>
        <w:numPr>
          <w:ilvl w:val="0"/>
          <w:numId w:val="45"/>
        </w:numPr>
        <w:jc w:val="both"/>
        <w:rPr>
          <w:sz w:val="20"/>
        </w:rPr>
      </w:pPr>
      <w:r w:rsidRPr="003720EE">
        <w:rPr>
          <w:rFonts w:ascii="Open Sans" w:eastAsia="Open Sans" w:hAnsi="Open Sans" w:cs="Open Sans"/>
          <w:i/>
          <w:iCs/>
          <w:sz w:val="20"/>
          <w:u w:val="single"/>
        </w:rPr>
        <w:t>Sede corporativa</w:t>
      </w:r>
      <w:r w:rsidRPr="003720EE">
        <w:rPr>
          <w:rFonts w:ascii="Open Sans" w:eastAsia="Open Sans" w:hAnsi="Open Sans" w:cs="Open Sans"/>
          <w:sz w:val="20"/>
        </w:rPr>
        <w:t>: España.</w:t>
      </w:r>
    </w:p>
    <w:p w14:paraId="54F09BEE" w14:textId="77777777" w:rsidR="003720EE" w:rsidRPr="003720EE" w:rsidRDefault="003720EE" w:rsidP="000B70C9">
      <w:pPr>
        <w:pStyle w:val="Normal1"/>
        <w:numPr>
          <w:ilvl w:val="0"/>
          <w:numId w:val="45"/>
        </w:numPr>
        <w:jc w:val="both"/>
        <w:rPr>
          <w:sz w:val="20"/>
        </w:rPr>
      </w:pPr>
      <w:r w:rsidRPr="003720EE">
        <w:rPr>
          <w:rFonts w:ascii="Open Sans" w:eastAsia="Open Sans" w:hAnsi="Open Sans" w:cs="Open Sans"/>
          <w:i/>
          <w:iCs/>
          <w:sz w:val="20"/>
          <w:u w:val="single"/>
        </w:rPr>
        <w:t>Sucursales en</w:t>
      </w:r>
      <w:r w:rsidRPr="003720EE">
        <w:rPr>
          <w:rFonts w:ascii="Open Sans" w:eastAsia="Open Sans" w:hAnsi="Open Sans" w:cs="Open Sans"/>
          <w:sz w:val="20"/>
        </w:rPr>
        <w:t>: Reino Unido, Estados Unidos, Francia y Marruecos.</w:t>
      </w:r>
    </w:p>
    <w:p w14:paraId="2D9AE19D" w14:textId="77777777" w:rsidR="003720EE" w:rsidRPr="003720EE" w:rsidRDefault="003720EE" w:rsidP="000B70C9">
      <w:pPr>
        <w:pStyle w:val="Normal1"/>
        <w:numPr>
          <w:ilvl w:val="0"/>
          <w:numId w:val="45"/>
        </w:numPr>
        <w:jc w:val="both"/>
        <w:rPr>
          <w:sz w:val="20"/>
        </w:rPr>
      </w:pPr>
      <w:r w:rsidRPr="003720EE">
        <w:rPr>
          <w:rFonts w:ascii="Open Sans" w:eastAsia="Open Sans" w:hAnsi="Open Sans" w:cs="Open Sans"/>
          <w:i/>
          <w:iCs/>
          <w:sz w:val="20"/>
          <w:u w:val="single"/>
        </w:rPr>
        <w:t>Oficinas de representación en</w:t>
      </w:r>
      <w:r w:rsidRPr="003720EE">
        <w:rPr>
          <w:rFonts w:ascii="Open Sans" w:eastAsia="Open Sans" w:hAnsi="Open Sans" w:cs="Open Sans"/>
          <w:sz w:val="20"/>
        </w:rPr>
        <w:t>: Argelia, Brasil, China, Estados Unidos, Emiratos Árabes Unidos, India, México, Polonia, Singapur, Turquía, Venezuela, República Dominicana, Colombia y Perú.</w:t>
      </w:r>
    </w:p>
    <w:p w14:paraId="29CE09F2" w14:textId="77777777" w:rsidR="003720EE" w:rsidRPr="003720EE" w:rsidRDefault="003720EE" w:rsidP="000B70C9">
      <w:pPr>
        <w:pStyle w:val="Normal1"/>
        <w:numPr>
          <w:ilvl w:val="0"/>
          <w:numId w:val="45"/>
        </w:numPr>
        <w:jc w:val="both"/>
        <w:rPr>
          <w:sz w:val="20"/>
        </w:rPr>
      </w:pPr>
      <w:r w:rsidRPr="003720EE">
        <w:rPr>
          <w:rFonts w:ascii="Open Sans" w:eastAsia="Open Sans" w:hAnsi="Open Sans" w:cs="Open Sans"/>
          <w:i/>
          <w:iCs/>
          <w:sz w:val="20"/>
          <w:u w:val="single"/>
        </w:rPr>
        <w:t>Banking subsidiaries</w:t>
      </w:r>
      <w:r w:rsidRPr="003720EE">
        <w:rPr>
          <w:rFonts w:ascii="Open Sans" w:eastAsia="Open Sans" w:hAnsi="Open Sans" w:cs="Open Sans"/>
          <w:sz w:val="20"/>
        </w:rPr>
        <w:t>: Reino Unido, Andorra, Estados Unidos y México</w:t>
      </w:r>
    </w:p>
    <w:p w14:paraId="60604E72" w14:textId="77777777" w:rsidR="003720EE" w:rsidRPr="003720EE" w:rsidRDefault="003720EE" w:rsidP="000B70C9">
      <w:pPr>
        <w:pStyle w:val="Normal1"/>
        <w:numPr>
          <w:ilvl w:val="0"/>
          <w:numId w:val="45"/>
        </w:numPr>
        <w:jc w:val="both"/>
        <w:rPr>
          <w:sz w:val="20"/>
        </w:rPr>
      </w:pPr>
      <w:r w:rsidRPr="003720EE">
        <w:rPr>
          <w:rFonts w:ascii="Open Sans" w:eastAsia="Open Sans" w:hAnsi="Open Sans" w:cs="Open Sans"/>
          <w:i/>
          <w:iCs/>
          <w:sz w:val="20"/>
          <w:u w:val="single"/>
        </w:rPr>
        <w:t>Bancos asociados</w:t>
      </w:r>
      <w:r w:rsidRPr="003720EE">
        <w:rPr>
          <w:rFonts w:ascii="Open Sans" w:eastAsia="Open Sans" w:hAnsi="Open Sans" w:cs="Open Sans"/>
          <w:sz w:val="20"/>
        </w:rPr>
        <w:t xml:space="preserve">: Portugal y Colombia. </w:t>
      </w:r>
    </w:p>
    <w:p w14:paraId="69AE5AD5" w14:textId="77777777" w:rsidR="003720EE" w:rsidRPr="003720EE" w:rsidRDefault="003720EE" w:rsidP="003720EE">
      <w:pPr>
        <w:pStyle w:val="Normal1"/>
        <w:jc w:val="both"/>
        <w:rPr>
          <w:rFonts w:ascii="Open Sans" w:eastAsia="Open Sans" w:hAnsi="Open Sans" w:cs="Open Sans"/>
          <w:sz w:val="20"/>
          <w:u w:val="single"/>
        </w:rPr>
      </w:pPr>
    </w:p>
    <w:p w14:paraId="60DF7B0A" w14:textId="77777777" w:rsidR="003720EE" w:rsidRPr="003720EE" w:rsidRDefault="003720EE" w:rsidP="003720EE">
      <w:pPr>
        <w:jc w:val="both"/>
        <w:rPr>
          <w:rFonts w:ascii="Open Sans;Tahoma" w:hAnsi="Open Sans;Tahoma" w:cs="Open Sans;Tahoma" w:hint="eastAsia"/>
          <w:sz w:val="20"/>
          <w:szCs w:val="20"/>
          <w:u w:val="single"/>
        </w:rPr>
      </w:pPr>
    </w:p>
    <w:p w14:paraId="78800A6B" w14:textId="77777777" w:rsidR="003720EE" w:rsidRPr="003720EE" w:rsidRDefault="003720EE" w:rsidP="003720EE">
      <w:pPr>
        <w:pStyle w:val="Normal1"/>
        <w:jc w:val="both"/>
        <w:rPr>
          <w:rFonts w:ascii="Open Sans" w:eastAsia="Open Sans" w:hAnsi="Open Sans" w:cs="Open Sans"/>
          <w:sz w:val="20"/>
          <w:u w:val="single"/>
        </w:rPr>
      </w:pPr>
      <w:r w:rsidRPr="003720EE">
        <w:rPr>
          <w:rFonts w:ascii="Open Sans" w:eastAsia="Open Sans" w:hAnsi="Open Sans" w:cs="Open Sans"/>
          <w:sz w:val="20"/>
          <w:u w:val="single"/>
        </w:rPr>
        <w:t>Cifras relevantes de la empresa:</w:t>
      </w:r>
    </w:p>
    <w:p w14:paraId="631C9844" w14:textId="77777777" w:rsidR="003720EE" w:rsidRPr="00773F0D" w:rsidRDefault="003720EE" w:rsidP="003720EE">
      <w:pPr>
        <w:pStyle w:val="Normal1"/>
        <w:jc w:val="both"/>
        <w:rPr>
          <w:rFonts w:ascii="Open Sans" w:eastAsia="Open Sans" w:hAnsi="Open Sans" w:cs="Open Sans"/>
          <w:u w:val="single"/>
        </w:rPr>
      </w:pPr>
    </w:p>
    <w:p w14:paraId="5B0A4A09" w14:textId="77777777" w:rsidR="003720EE" w:rsidRDefault="003720EE" w:rsidP="003720EE">
      <w:pPr>
        <w:jc w:val="both"/>
        <w:rPr>
          <w:rFonts w:ascii="Open Sans;Tahoma" w:eastAsia="Open Sans" w:hAnsi="Open Sans;Tahoma" w:cs="Open Sans;Tahoma"/>
          <w:sz w:val="20"/>
          <w:szCs w:val="20"/>
        </w:rPr>
      </w:pPr>
    </w:p>
    <w:tbl>
      <w:tblPr>
        <w:tblW w:w="6662" w:type="dxa"/>
        <w:tblInd w:w="1044" w:type="dxa"/>
        <w:tblBorders>
          <w:top w:val="single" w:sz="2" w:space="0" w:color="000001"/>
          <w:left w:val="single" w:sz="2" w:space="0" w:color="000001"/>
          <w:bottom w:val="single" w:sz="2" w:space="0" w:color="000001"/>
          <w:insideH w:val="single" w:sz="2" w:space="0" w:color="000001"/>
        </w:tblBorders>
        <w:tblCellMar>
          <w:top w:w="55" w:type="dxa"/>
          <w:left w:w="51" w:type="dxa"/>
          <w:bottom w:w="55" w:type="dxa"/>
          <w:right w:w="55" w:type="dxa"/>
        </w:tblCellMar>
        <w:tblLook w:val="04A0" w:firstRow="1" w:lastRow="0" w:firstColumn="1" w:lastColumn="0" w:noHBand="0" w:noVBand="1"/>
      </w:tblPr>
      <w:tblGrid>
        <w:gridCol w:w="3972"/>
        <w:gridCol w:w="2690"/>
      </w:tblGrid>
      <w:tr w:rsidR="003720EE" w14:paraId="47BD7497"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34C7133D" w14:textId="77777777" w:rsidR="003720EE" w:rsidRPr="00773F0D" w:rsidRDefault="003720EE" w:rsidP="00A764EF">
            <w:pPr>
              <w:pStyle w:val="Contenidodelatabla"/>
              <w:jc w:val="center"/>
              <w:rPr>
                <w:rFonts w:ascii="Open Sans" w:hAnsi="Open Sans" w:cs="Open Sans"/>
                <w:b/>
                <w:bCs/>
                <w:iCs/>
                <w:sz w:val="20"/>
                <w:szCs w:val="20"/>
              </w:rPr>
            </w:pPr>
            <w:r w:rsidRPr="00773F0D">
              <w:rPr>
                <w:rFonts w:ascii="Open Sans" w:hAnsi="Open Sans" w:cs="Open Sans"/>
                <w:b/>
                <w:bCs/>
                <w:iCs/>
                <w:sz w:val="20"/>
                <w:szCs w:val="20"/>
              </w:rPr>
              <w:t>Concepto</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5439C813" w14:textId="77777777" w:rsidR="003720EE" w:rsidRPr="00773F0D" w:rsidRDefault="003720EE" w:rsidP="00A764EF">
            <w:pPr>
              <w:pStyle w:val="Contenidodelatabla"/>
              <w:jc w:val="center"/>
              <w:rPr>
                <w:rFonts w:ascii="Open Sans" w:hAnsi="Open Sans" w:cs="Open Sans"/>
                <w:b/>
                <w:bCs/>
                <w:iCs/>
                <w:sz w:val="20"/>
                <w:szCs w:val="20"/>
              </w:rPr>
            </w:pPr>
            <w:r w:rsidRPr="00773F0D">
              <w:rPr>
                <w:rFonts w:ascii="Open Sans" w:hAnsi="Open Sans" w:cs="Open Sans"/>
                <w:b/>
                <w:bCs/>
                <w:iCs/>
                <w:sz w:val="20"/>
                <w:szCs w:val="20"/>
              </w:rPr>
              <w:t>Importe en miles € (m€)</w:t>
            </w:r>
          </w:p>
        </w:tc>
      </w:tr>
      <w:tr w:rsidR="003720EE" w14:paraId="50368744"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4A2EB014" w14:textId="77777777" w:rsidR="003720EE" w:rsidRDefault="003720EE" w:rsidP="00A764EF">
            <w:pPr>
              <w:jc w:val="both"/>
              <w:rPr>
                <w:rFonts w:ascii="Open Sans" w:hAnsi="Open Sans" w:cs="Open Sans"/>
                <w:sz w:val="20"/>
                <w:szCs w:val="20"/>
              </w:rPr>
            </w:pPr>
            <w:r>
              <w:rPr>
                <w:rFonts w:ascii="Open Sans" w:hAnsi="Open Sans" w:cs="Open Sans"/>
                <w:sz w:val="20"/>
                <w:szCs w:val="20"/>
              </w:rPr>
              <w:t>Patrimonio Neto</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C25C654"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12.767.661</w:t>
            </w:r>
          </w:p>
        </w:tc>
      </w:tr>
      <w:tr w:rsidR="003720EE" w14:paraId="60FEA3FA"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56F01431" w14:textId="77777777" w:rsidR="003720EE" w:rsidRDefault="003720EE" w:rsidP="00A764EF">
            <w:pPr>
              <w:jc w:val="both"/>
              <w:rPr>
                <w:rFonts w:ascii="Open Sans" w:hAnsi="Open Sans" w:cs="Open Sans"/>
                <w:sz w:val="20"/>
                <w:szCs w:val="20"/>
              </w:rPr>
            </w:pPr>
            <w:r>
              <w:rPr>
                <w:rFonts w:ascii="Open Sans" w:hAnsi="Open Sans" w:cs="Open Sans"/>
                <w:sz w:val="20"/>
                <w:szCs w:val="20"/>
              </w:rPr>
              <w:t>Fondos Propios</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5343897F"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12.274.945</w:t>
            </w:r>
          </w:p>
        </w:tc>
      </w:tr>
      <w:tr w:rsidR="003720EE" w14:paraId="01BB4660"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23E59BAB" w14:textId="77777777" w:rsidR="003720EE" w:rsidRDefault="003720EE" w:rsidP="00A764EF">
            <w:pPr>
              <w:jc w:val="both"/>
              <w:rPr>
                <w:rFonts w:ascii="Open Sans" w:hAnsi="Open Sans" w:cs="Open Sans"/>
                <w:sz w:val="20"/>
                <w:szCs w:val="20"/>
              </w:rPr>
            </w:pPr>
            <w:r>
              <w:rPr>
                <w:rFonts w:ascii="Open Sans" w:hAnsi="Open Sans" w:cs="Open Sans"/>
                <w:sz w:val="20"/>
                <w:szCs w:val="20"/>
              </w:rPr>
              <w:t>Inversiones Crediticias</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3A91AD89"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154.754.303</w:t>
            </w:r>
          </w:p>
        </w:tc>
      </w:tr>
      <w:tr w:rsidR="003720EE" w14:paraId="4900877A"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0887900B" w14:textId="77777777" w:rsidR="003720EE" w:rsidRDefault="003720EE" w:rsidP="00A764EF">
            <w:pPr>
              <w:jc w:val="both"/>
              <w:rPr>
                <w:rFonts w:ascii="Open Sans" w:hAnsi="Open Sans" w:cs="Open Sans"/>
                <w:sz w:val="20"/>
                <w:szCs w:val="20"/>
              </w:rPr>
            </w:pPr>
            <w:r>
              <w:rPr>
                <w:rFonts w:ascii="Open Sans" w:hAnsi="Open Sans" w:cs="Open Sans"/>
                <w:sz w:val="20"/>
                <w:szCs w:val="20"/>
              </w:rPr>
              <w:t>Margen de Intereses</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53ADAE32"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3.202.830</w:t>
            </w:r>
          </w:p>
        </w:tc>
      </w:tr>
      <w:tr w:rsidR="003720EE" w14:paraId="3040963F"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345A1D47" w14:textId="77777777" w:rsidR="003720EE" w:rsidRDefault="003720EE" w:rsidP="00A764EF">
            <w:pPr>
              <w:jc w:val="both"/>
              <w:rPr>
                <w:rFonts w:ascii="Open Sans" w:hAnsi="Open Sans" w:cs="Open Sans"/>
                <w:sz w:val="20"/>
                <w:szCs w:val="20"/>
              </w:rPr>
            </w:pPr>
            <w:r>
              <w:rPr>
                <w:rFonts w:ascii="Open Sans" w:hAnsi="Open Sans" w:cs="Open Sans"/>
                <w:sz w:val="20"/>
                <w:szCs w:val="20"/>
              </w:rPr>
              <w:t>Margen Bruto</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0021EAFD"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5.478.370</w:t>
            </w:r>
          </w:p>
        </w:tc>
      </w:tr>
      <w:tr w:rsidR="003720EE" w14:paraId="36585EF7"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38D0BA6B" w14:textId="77777777" w:rsidR="003720EE" w:rsidRDefault="003720EE" w:rsidP="00A764EF">
            <w:pPr>
              <w:jc w:val="both"/>
              <w:rPr>
                <w:rFonts w:ascii="Open Sans" w:hAnsi="Open Sans" w:cs="Open Sans"/>
                <w:sz w:val="20"/>
                <w:szCs w:val="20"/>
              </w:rPr>
            </w:pPr>
            <w:r>
              <w:rPr>
                <w:rFonts w:ascii="Open Sans" w:hAnsi="Open Sans" w:cs="Open Sans"/>
                <w:sz w:val="20"/>
                <w:szCs w:val="20"/>
              </w:rPr>
              <w:t>Resultado de la Actividad de Explotación</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3A8C6055"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1.354.642</w:t>
            </w:r>
          </w:p>
        </w:tc>
      </w:tr>
      <w:tr w:rsidR="003720EE" w14:paraId="66CFFCEA"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77400B82" w14:textId="77777777" w:rsidR="003720EE" w:rsidRDefault="003720EE" w:rsidP="00A764EF">
            <w:pPr>
              <w:jc w:val="both"/>
              <w:rPr>
                <w:rFonts w:ascii="Open Sans" w:hAnsi="Open Sans" w:cs="Open Sans"/>
                <w:sz w:val="20"/>
                <w:szCs w:val="20"/>
              </w:rPr>
            </w:pPr>
            <w:r>
              <w:rPr>
                <w:rFonts w:ascii="Open Sans" w:hAnsi="Open Sans" w:cs="Open Sans"/>
                <w:sz w:val="20"/>
                <w:szCs w:val="20"/>
              </w:rPr>
              <w:t>Beneficios antes de Impuestos</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6F067C00"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744.761</w:t>
            </w:r>
          </w:p>
        </w:tc>
      </w:tr>
      <w:tr w:rsidR="003720EE" w14:paraId="2E189925"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54269305" w14:textId="77777777" w:rsidR="003720EE" w:rsidRDefault="003720EE" w:rsidP="00A764EF">
            <w:pPr>
              <w:jc w:val="both"/>
              <w:rPr>
                <w:rFonts w:ascii="Open Sans" w:hAnsi="Open Sans" w:cs="Open Sans"/>
                <w:sz w:val="20"/>
                <w:szCs w:val="20"/>
              </w:rPr>
            </w:pPr>
            <w:r>
              <w:rPr>
                <w:rFonts w:ascii="Open Sans" w:hAnsi="Open Sans" w:cs="Open Sans"/>
                <w:sz w:val="20"/>
                <w:szCs w:val="20"/>
              </w:rPr>
              <w:t>Impuesto de Sociedades</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66E303E0" w14:textId="77777777" w:rsidR="003720EE" w:rsidRDefault="003720EE" w:rsidP="00A764EF">
            <w:pPr>
              <w:ind w:right="227"/>
              <w:jc w:val="center"/>
              <w:rPr>
                <w:rFonts w:ascii="Open Sans" w:hAnsi="Open Sans" w:cs="Open Sans"/>
                <w:sz w:val="20"/>
                <w:szCs w:val="20"/>
              </w:rPr>
            </w:pPr>
            <w:r>
              <w:rPr>
                <w:rFonts w:ascii="Open Sans" w:hAnsi="Open Sans" w:cs="Open Sans"/>
                <w:sz w:val="20"/>
                <w:szCs w:val="20"/>
              </w:rPr>
              <w:t>32.516</w:t>
            </w:r>
          </w:p>
        </w:tc>
      </w:tr>
      <w:tr w:rsidR="003720EE" w14:paraId="2968F79A" w14:textId="77777777" w:rsidTr="00A764EF">
        <w:trPr>
          <w:trHeight w:val="165"/>
        </w:trPr>
        <w:tc>
          <w:tcPr>
            <w:tcW w:w="6662" w:type="dxa"/>
            <w:gridSpan w:val="2"/>
            <w:tcBorders>
              <w:top w:val="single" w:sz="2" w:space="0" w:color="000001"/>
              <w:left w:val="single" w:sz="2" w:space="0" w:color="000001"/>
              <w:bottom w:val="single" w:sz="2" w:space="0" w:color="000001"/>
              <w:right w:val="single" w:sz="2" w:space="0" w:color="000001"/>
            </w:tcBorders>
            <w:shd w:val="clear" w:color="auto" w:fill="999999"/>
            <w:tcMar>
              <w:left w:w="51" w:type="dxa"/>
            </w:tcMar>
          </w:tcPr>
          <w:p w14:paraId="00B7E215" w14:textId="77777777" w:rsidR="003720EE" w:rsidRDefault="003720EE" w:rsidP="00A764EF">
            <w:pPr>
              <w:snapToGrid w:val="0"/>
              <w:jc w:val="center"/>
              <w:rPr>
                <w:rFonts w:ascii="Open Sans" w:hAnsi="Open Sans" w:cs="Open Sans"/>
                <w:sz w:val="4"/>
                <w:szCs w:val="4"/>
              </w:rPr>
            </w:pPr>
          </w:p>
        </w:tc>
      </w:tr>
      <w:tr w:rsidR="003720EE" w14:paraId="0E041B7C"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3AEF9CB9" w14:textId="77777777" w:rsidR="003720EE" w:rsidRDefault="003720EE" w:rsidP="00A764EF">
            <w:pPr>
              <w:jc w:val="both"/>
              <w:rPr>
                <w:rFonts w:ascii="Open Sans" w:hAnsi="Open Sans" w:cs="Open Sans"/>
                <w:sz w:val="20"/>
                <w:szCs w:val="20"/>
              </w:rPr>
            </w:pPr>
            <w:r>
              <w:rPr>
                <w:rFonts w:ascii="Open Sans" w:hAnsi="Open Sans" w:cs="Open Sans"/>
                <w:sz w:val="20"/>
                <w:szCs w:val="20"/>
              </w:rPr>
              <w:t>Beneficio por Acción</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155C3904" w14:textId="77777777" w:rsidR="003720EE" w:rsidRDefault="003720EE" w:rsidP="00A764EF">
            <w:pPr>
              <w:pStyle w:val="Contenidodelatabla"/>
              <w:ind w:right="227"/>
              <w:jc w:val="center"/>
              <w:rPr>
                <w:rFonts w:ascii="Open Sans" w:hAnsi="Open Sans" w:cs="Open Sans"/>
                <w:sz w:val="20"/>
                <w:szCs w:val="20"/>
              </w:rPr>
            </w:pPr>
            <w:r>
              <w:rPr>
                <w:rFonts w:ascii="Open Sans" w:hAnsi="Open Sans" w:cs="Open Sans"/>
                <w:sz w:val="20"/>
                <w:szCs w:val="20"/>
              </w:rPr>
              <w:t>0,14</w:t>
            </w:r>
          </w:p>
        </w:tc>
      </w:tr>
      <w:tr w:rsidR="003720EE" w14:paraId="61940A64"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4E9F0D08" w14:textId="77777777" w:rsidR="003720EE" w:rsidRDefault="003720EE" w:rsidP="00A764EF">
            <w:pPr>
              <w:jc w:val="both"/>
              <w:rPr>
                <w:rFonts w:ascii="Open Sans" w:hAnsi="Open Sans" w:cs="Open Sans"/>
                <w:sz w:val="20"/>
                <w:szCs w:val="20"/>
              </w:rPr>
            </w:pPr>
            <w:r>
              <w:rPr>
                <w:rFonts w:ascii="Open Sans" w:hAnsi="Open Sans" w:cs="Open Sans"/>
                <w:sz w:val="20"/>
                <w:szCs w:val="20"/>
              </w:rPr>
              <w:t>Nº de empleados</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46C3D375" w14:textId="77777777" w:rsidR="003720EE" w:rsidRDefault="003720EE" w:rsidP="00A764EF">
            <w:pPr>
              <w:pStyle w:val="Contenidodelatabla"/>
              <w:ind w:right="227"/>
              <w:jc w:val="center"/>
              <w:rPr>
                <w:rFonts w:ascii="Open Sans" w:hAnsi="Open Sans" w:cs="Open Sans"/>
                <w:sz w:val="20"/>
                <w:szCs w:val="20"/>
              </w:rPr>
            </w:pPr>
            <w:r>
              <w:rPr>
                <w:rFonts w:ascii="Open Sans" w:hAnsi="Open Sans" w:cs="Open Sans"/>
                <w:sz w:val="20"/>
                <w:szCs w:val="20"/>
              </w:rPr>
              <w:t>26.090</w:t>
            </w:r>
          </w:p>
        </w:tc>
      </w:tr>
      <w:tr w:rsidR="003720EE" w14:paraId="67128D28"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075F84D5" w14:textId="77777777" w:rsidR="003720EE" w:rsidRDefault="003720EE" w:rsidP="00A764EF">
            <w:pPr>
              <w:jc w:val="both"/>
              <w:rPr>
                <w:rFonts w:ascii="Open Sans" w:hAnsi="Open Sans" w:cs="Open Sans"/>
                <w:sz w:val="20"/>
                <w:szCs w:val="20"/>
              </w:rPr>
            </w:pPr>
            <w:r>
              <w:rPr>
                <w:rFonts w:ascii="Open Sans" w:hAnsi="Open Sans" w:cs="Open Sans"/>
                <w:sz w:val="20"/>
                <w:szCs w:val="20"/>
              </w:rPr>
              <w:t xml:space="preserve">     N.º empleados España</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7677A56F" w14:textId="77777777" w:rsidR="003720EE" w:rsidRDefault="003720EE" w:rsidP="00A764EF">
            <w:pPr>
              <w:pStyle w:val="Contenidodelatabla"/>
              <w:ind w:right="227"/>
              <w:jc w:val="center"/>
              <w:rPr>
                <w:rFonts w:ascii="Open Sans" w:hAnsi="Open Sans" w:cs="Open Sans"/>
                <w:sz w:val="20"/>
                <w:szCs w:val="20"/>
              </w:rPr>
            </w:pPr>
            <w:r>
              <w:rPr>
                <w:rFonts w:ascii="Open Sans" w:hAnsi="Open Sans" w:cs="Open Sans"/>
                <w:sz w:val="20"/>
                <w:szCs w:val="20"/>
              </w:rPr>
              <w:t>16869</w:t>
            </w:r>
          </w:p>
        </w:tc>
      </w:tr>
      <w:tr w:rsidR="003720EE" w14:paraId="0D46C7C9" w14:textId="77777777" w:rsidTr="00A764EF">
        <w:tc>
          <w:tcPr>
            <w:tcW w:w="3972" w:type="dxa"/>
            <w:tcBorders>
              <w:top w:val="single" w:sz="2" w:space="0" w:color="000001"/>
              <w:left w:val="single" w:sz="2" w:space="0" w:color="000001"/>
              <w:bottom w:val="single" w:sz="2" w:space="0" w:color="000001"/>
            </w:tcBorders>
            <w:shd w:val="clear" w:color="auto" w:fill="auto"/>
            <w:tcMar>
              <w:left w:w="51" w:type="dxa"/>
            </w:tcMar>
          </w:tcPr>
          <w:p w14:paraId="4DBE1EDB" w14:textId="77777777" w:rsidR="003720EE" w:rsidRDefault="003720EE" w:rsidP="00A764EF">
            <w:pPr>
              <w:jc w:val="both"/>
              <w:rPr>
                <w:rFonts w:ascii="Open Sans" w:hAnsi="Open Sans" w:cs="Open Sans"/>
                <w:sz w:val="20"/>
                <w:szCs w:val="20"/>
              </w:rPr>
            </w:pPr>
            <w:r>
              <w:rPr>
                <w:rFonts w:ascii="Open Sans" w:hAnsi="Open Sans" w:cs="Open Sans"/>
                <w:sz w:val="20"/>
                <w:szCs w:val="20"/>
              </w:rPr>
              <w:t xml:space="preserve">     N.º empleados internacional</w:t>
            </w:r>
          </w:p>
        </w:tc>
        <w:tc>
          <w:tcPr>
            <w:tcW w:w="2690" w:type="dxa"/>
            <w:tcBorders>
              <w:top w:val="single" w:sz="2" w:space="0" w:color="000001"/>
              <w:left w:val="single" w:sz="2" w:space="0" w:color="000001"/>
              <w:bottom w:val="single" w:sz="2" w:space="0" w:color="000001"/>
              <w:right w:val="single" w:sz="2" w:space="0" w:color="000001"/>
            </w:tcBorders>
            <w:shd w:val="clear" w:color="auto" w:fill="auto"/>
            <w:tcMar>
              <w:left w:w="51" w:type="dxa"/>
            </w:tcMar>
          </w:tcPr>
          <w:p w14:paraId="11B2A3E8" w14:textId="77777777" w:rsidR="003720EE" w:rsidRDefault="003720EE" w:rsidP="00A764EF">
            <w:pPr>
              <w:pStyle w:val="Contenidodelatabla"/>
              <w:ind w:right="227"/>
              <w:jc w:val="center"/>
              <w:rPr>
                <w:rFonts w:ascii="Open Sans" w:hAnsi="Open Sans" w:cs="Open Sans"/>
                <w:sz w:val="20"/>
                <w:szCs w:val="20"/>
              </w:rPr>
            </w:pPr>
            <w:r>
              <w:rPr>
                <w:rFonts w:ascii="Open Sans" w:hAnsi="Open Sans" w:cs="Open Sans"/>
                <w:sz w:val="20"/>
                <w:szCs w:val="20"/>
              </w:rPr>
              <w:t>9.221</w:t>
            </w:r>
          </w:p>
        </w:tc>
      </w:tr>
    </w:tbl>
    <w:p w14:paraId="6F6B2EF3" w14:textId="77777777" w:rsidR="003720EE" w:rsidRDefault="003720EE" w:rsidP="003720EE">
      <w:pPr>
        <w:jc w:val="both"/>
        <w:rPr>
          <w:rFonts w:ascii="Open Sans" w:eastAsia="Open Sans" w:hAnsi="Open Sans" w:cs="Open Sans"/>
          <w:sz w:val="20"/>
          <w:szCs w:val="20"/>
          <w:u w:val="single"/>
        </w:rPr>
      </w:pPr>
    </w:p>
    <w:p w14:paraId="7DF524AC" w14:textId="77777777" w:rsidR="003720EE" w:rsidRDefault="003720EE" w:rsidP="003720EE">
      <w:pPr>
        <w:pStyle w:val="Normal1"/>
        <w:jc w:val="both"/>
        <w:rPr>
          <w:rFonts w:ascii="Open Sans" w:eastAsia="Open Sans" w:hAnsi="Open Sans" w:cs="Open Sans"/>
          <w:u w:val="single"/>
        </w:rPr>
      </w:pPr>
    </w:p>
    <w:p w14:paraId="408CD930" w14:textId="77777777" w:rsidR="003720EE" w:rsidRPr="00773F0D" w:rsidRDefault="003720EE" w:rsidP="003720EE">
      <w:pPr>
        <w:jc w:val="both"/>
        <w:rPr>
          <w:rFonts w:ascii="Open Sans" w:hAnsi="Open Sans"/>
        </w:rPr>
      </w:pPr>
      <w:r w:rsidRPr="00773F0D">
        <w:rPr>
          <w:rFonts w:ascii="Open Sans" w:hAnsi="Open Sans" w:cs="Open Sans;Tahoma"/>
          <w:sz w:val="20"/>
          <w:szCs w:val="20"/>
          <w:u w:val="single"/>
        </w:rPr>
        <w:t>Estándares voluntarios relacionados con fiscalidad responsable</w:t>
      </w:r>
    </w:p>
    <w:p w14:paraId="7674E645" w14:textId="77777777" w:rsidR="003720EE" w:rsidRPr="00773F0D" w:rsidRDefault="003720EE" w:rsidP="003720EE">
      <w:pPr>
        <w:jc w:val="both"/>
        <w:rPr>
          <w:rFonts w:ascii="Open Sans" w:hAnsi="Open Sans" w:cs="Open Sans;Tahoma"/>
          <w:sz w:val="20"/>
          <w:szCs w:val="20"/>
          <w:u w:val="single"/>
        </w:rPr>
      </w:pPr>
    </w:p>
    <w:p w14:paraId="7DB2CB1E" w14:textId="77777777" w:rsidR="003720EE" w:rsidRPr="00773F0D" w:rsidRDefault="003720EE" w:rsidP="003720EE">
      <w:pPr>
        <w:jc w:val="both"/>
        <w:rPr>
          <w:rFonts w:ascii="Open Sans" w:hAnsi="Open Sans"/>
        </w:rPr>
      </w:pPr>
      <w:r w:rsidRPr="00773F0D">
        <w:rPr>
          <w:rFonts w:ascii="Open Sans" w:hAnsi="Open Sans" w:cs="Open Sans;Tahoma"/>
          <w:sz w:val="20"/>
          <w:szCs w:val="20"/>
        </w:rPr>
        <w:t>Banco Sabadell no informa que se ha</w:t>
      </w:r>
      <w:r>
        <w:rPr>
          <w:rFonts w:ascii="Open Sans" w:hAnsi="Open Sans" w:cs="Open Sans;Tahoma"/>
          <w:sz w:val="20"/>
          <w:szCs w:val="20"/>
        </w:rPr>
        <w:t>ya</w:t>
      </w:r>
      <w:r w:rsidRPr="00773F0D">
        <w:rPr>
          <w:rFonts w:ascii="Open Sans" w:hAnsi="Open Sans" w:cs="Open Sans;Tahoma"/>
          <w:sz w:val="20"/>
          <w:szCs w:val="20"/>
        </w:rPr>
        <w:t xml:space="preserve"> adherido voluntariamente a ningún estándar </w:t>
      </w:r>
      <w:proofErr w:type="gramStart"/>
      <w:r w:rsidRPr="00773F0D">
        <w:rPr>
          <w:rFonts w:ascii="Open Sans" w:hAnsi="Open Sans" w:cs="Open Sans;Tahoma"/>
          <w:sz w:val="20"/>
          <w:szCs w:val="20"/>
        </w:rPr>
        <w:t>relacionados</w:t>
      </w:r>
      <w:proofErr w:type="gramEnd"/>
      <w:r w:rsidRPr="00773F0D">
        <w:rPr>
          <w:rFonts w:ascii="Open Sans" w:hAnsi="Open Sans" w:cs="Open Sans;Tahoma"/>
          <w:sz w:val="20"/>
          <w:szCs w:val="20"/>
        </w:rPr>
        <w:t xml:space="preserve"> con contenidos y sistemas de gestión de fiscalidad responsable.</w:t>
      </w:r>
    </w:p>
    <w:p w14:paraId="4F272706" w14:textId="77777777" w:rsidR="003720EE" w:rsidRDefault="003720EE" w:rsidP="003720EE">
      <w:pPr>
        <w:jc w:val="both"/>
        <w:rPr>
          <w:rFonts w:ascii="Open Sans" w:hAnsi="Open Sans" w:cs="Open Sans;Tahoma"/>
          <w:sz w:val="20"/>
          <w:szCs w:val="20"/>
          <w:u w:val="single"/>
        </w:rPr>
      </w:pPr>
    </w:p>
    <w:p w14:paraId="2C10E507" w14:textId="77777777" w:rsidR="003720EE" w:rsidRPr="00773F0D" w:rsidRDefault="003720EE" w:rsidP="003720EE">
      <w:pPr>
        <w:jc w:val="both"/>
        <w:rPr>
          <w:rFonts w:ascii="Open Sans" w:hAnsi="Open Sans" w:cs="Open Sans;Tahoma"/>
          <w:sz w:val="20"/>
          <w:szCs w:val="20"/>
          <w:u w:val="single"/>
        </w:rPr>
      </w:pPr>
    </w:p>
    <w:p w14:paraId="1F2EFAD6" w14:textId="77777777" w:rsidR="003720EE" w:rsidRPr="00773F0D" w:rsidRDefault="003720EE" w:rsidP="003720EE">
      <w:pPr>
        <w:jc w:val="both"/>
        <w:rPr>
          <w:rFonts w:ascii="Open Sans" w:hAnsi="Open Sans" w:cs="Open Sans;Tahoma"/>
          <w:sz w:val="20"/>
          <w:szCs w:val="20"/>
          <w:u w:val="single"/>
        </w:rPr>
      </w:pPr>
      <w:r w:rsidRPr="00773F0D">
        <w:rPr>
          <w:rFonts w:ascii="Open Sans" w:hAnsi="Open Sans" w:cs="Open Sans;Tahoma"/>
          <w:sz w:val="20"/>
          <w:szCs w:val="20"/>
          <w:u w:val="single"/>
        </w:rPr>
        <w:t>Documentos incluidos en el análisis</w:t>
      </w:r>
    </w:p>
    <w:p w14:paraId="6859AD8B" w14:textId="77777777" w:rsidR="003720EE" w:rsidRPr="00773F0D" w:rsidRDefault="003720EE" w:rsidP="003720EE">
      <w:pPr>
        <w:ind w:firstLine="709"/>
        <w:jc w:val="both"/>
        <w:rPr>
          <w:rFonts w:ascii="Open Sans" w:hAnsi="Open Sans" w:cs="Open Sans;Tahoma"/>
          <w:sz w:val="20"/>
          <w:szCs w:val="20"/>
          <w:u w:val="single"/>
        </w:rPr>
      </w:pPr>
    </w:p>
    <w:p w14:paraId="5363AA7A" w14:textId="77777777" w:rsidR="003720EE" w:rsidRPr="00773F0D" w:rsidRDefault="003720EE" w:rsidP="003720EE">
      <w:pPr>
        <w:jc w:val="both"/>
        <w:rPr>
          <w:rFonts w:ascii="Open Sans" w:hAnsi="Open Sans" w:cs="Open Sans;Tahoma"/>
          <w:sz w:val="20"/>
          <w:szCs w:val="20"/>
        </w:rPr>
      </w:pPr>
      <w:r w:rsidRPr="00773F0D">
        <w:rPr>
          <w:rFonts w:ascii="Open Sans" w:hAnsi="Open Sans" w:cs="Open Sans;Tahoma"/>
          <w:sz w:val="20"/>
          <w:szCs w:val="20"/>
        </w:rPr>
        <w:t>Para el análisis de la calidad de la información relacionada con fiscalidad de la empresa, se ha tenido en cuenta la información contenida en la siguiente documentación:</w:t>
      </w:r>
    </w:p>
    <w:p w14:paraId="318FE343" w14:textId="77777777" w:rsidR="003720EE" w:rsidRDefault="003720EE" w:rsidP="003720EE">
      <w:pPr>
        <w:ind w:firstLine="709"/>
        <w:jc w:val="both"/>
        <w:rPr>
          <w:rFonts w:ascii="Open Sans;Tahoma" w:hAnsi="Open Sans;Tahoma" w:cs="Open Sans;Tahoma" w:hint="eastAsia"/>
          <w:sz w:val="22"/>
          <w:szCs w:val="22"/>
        </w:rPr>
      </w:pPr>
    </w:p>
    <w:tbl>
      <w:tblPr>
        <w:tblW w:w="8577" w:type="dxa"/>
        <w:tblInd w:w="-62" w:type="dxa"/>
        <w:tblBorders>
          <w:top w:val="single" w:sz="8" w:space="0" w:color="000001"/>
          <w:left w:val="single" w:sz="8" w:space="0" w:color="000001"/>
          <w:bottom w:val="single" w:sz="4" w:space="0" w:color="000001"/>
          <w:insideH w:val="single" w:sz="4" w:space="0" w:color="000001"/>
        </w:tblBorders>
        <w:tblCellMar>
          <w:left w:w="-10" w:type="dxa"/>
          <w:right w:w="0" w:type="dxa"/>
        </w:tblCellMar>
        <w:tblLook w:val="04A0" w:firstRow="1" w:lastRow="0" w:firstColumn="1" w:lastColumn="0" w:noHBand="0" w:noVBand="1"/>
      </w:tblPr>
      <w:tblGrid>
        <w:gridCol w:w="4361"/>
        <w:gridCol w:w="4216"/>
      </w:tblGrid>
      <w:tr w:rsidR="003720EE" w14:paraId="0A73F60C" w14:textId="77777777" w:rsidTr="00A764EF">
        <w:trPr>
          <w:trHeight w:val="327"/>
        </w:trPr>
        <w:tc>
          <w:tcPr>
            <w:tcW w:w="4361" w:type="dxa"/>
            <w:tcBorders>
              <w:top w:val="single" w:sz="8" w:space="0" w:color="000001"/>
              <w:left w:val="single" w:sz="8" w:space="0" w:color="000001"/>
              <w:bottom w:val="single" w:sz="4" w:space="0" w:color="000001"/>
            </w:tcBorders>
            <w:shd w:val="clear" w:color="auto" w:fill="000080"/>
            <w:tcMar>
              <w:left w:w="-10" w:type="dxa"/>
            </w:tcMar>
            <w:vAlign w:val="center"/>
          </w:tcPr>
          <w:p w14:paraId="780E4C1D" w14:textId="77777777" w:rsidR="003720EE" w:rsidRPr="00773F0D" w:rsidRDefault="003720EE" w:rsidP="00A764EF">
            <w:pPr>
              <w:jc w:val="center"/>
              <w:rPr>
                <w:rFonts w:ascii="Open Sans" w:hAnsi="Open Sans" w:cs="Open Sans;Tahoma"/>
                <w:b/>
                <w:sz w:val="20"/>
                <w:szCs w:val="22"/>
              </w:rPr>
            </w:pPr>
            <w:r w:rsidRPr="00773F0D">
              <w:rPr>
                <w:rFonts w:ascii="Open Sans" w:hAnsi="Open Sans" w:cs="Open Sans;Tahoma"/>
                <w:b/>
                <w:color w:val="FFFFFF"/>
                <w:sz w:val="20"/>
                <w:szCs w:val="22"/>
              </w:rPr>
              <w:t>DOCUMENTACIÓN</w:t>
            </w:r>
          </w:p>
        </w:tc>
        <w:tc>
          <w:tcPr>
            <w:tcW w:w="4216" w:type="dxa"/>
            <w:tcBorders>
              <w:top w:val="single" w:sz="8" w:space="0" w:color="000001"/>
              <w:left w:val="single" w:sz="8" w:space="0" w:color="000001"/>
              <w:bottom w:val="single" w:sz="4" w:space="0" w:color="000001"/>
              <w:right w:val="single" w:sz="8" w:space="0" w:color="000001"/>
            </w:tcBorders>
            <w:shd w:val="clear" w:color="auto" w:fill="000080"/>
            <w:tcMar>
              <w:left w:w="-10" w:type="dxa"/>
            </w:tcMar>
            <w:vAlign w:val="center"/>
          </w:tcPr>
          <w:p w14:paraId="578AFF60" w14:textId="77777777" w:rsidR="003720EE" w:rsidRPr="00773F0D" w:rsidRDefault="003720EE" w:rsidP="00A764EF">
            <w:pPr>
              <w:jc w:val="center"/>
              <w:rPr>
                <w:rFonts w:ascii="Open Sans" w:hAnsi="Open Sans" w:cs="Open Sans;Tahoma"/>
                <w:b/>
                <w:sz w:val="20"/>
                <w:szCs w:val="22"/>
              </w:rPr>
            </w:pPr>
            <w:r w:rsidRPr="00773F0D">
              <w:rPr>
                <w:rFonts w:ascii="Open Sans" w:hAnsi="Open Sans" w:cs="Open Sans;Tahoma"/>
                <w:b/>
                <w:color w:val="FFFFFF"/>
                <w:sz w:val="20"/>
                <w:szCs w:val="22"/>
              </w:rPr>
              <w:t>OBSERVACIONES</w:t>
            </w:r>
          </w:p>
        </w:tc>
      </w:tr>
      <w:tr w:rsidR="003720EE" w14:paraId="5FE1EE99" w14:textId="77777777" w:rsidTr="00A764EF">
        <w:trPr>
          <w:trHeight w:val="315"/>
        </w:trPr>
        <w:tc>
          <w:tcPr>
            <w:tcW w:w="4361" w:type="dxa"/>
            <w:tcBorders>
              <w:top w:val="single" w:sz="4" w:space="0" w:color="000001"/>
              <w:left w:val="single" w:sz="4" w:space="0" w:color="000001"/>
              <w:bottom w:val="single" w:sz="4" w:space="0" w:color="000001"/>
            </w:tcBorders>
            <w:shd w:val="clear" w:color="auto" w:fill="auto"/>
            <w:tcMar>
              <w:left w:w="-5" w:type="dxa"/>
            </w:tcMar>
            <w:vAlign w:val="center"/>
          </w:tcPr>
          <w:p w14:paraId="1DB2DA9E"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Informe Anual Completo 2015</w:t>
            </w:r>
          </w:p>
        </w:tc>
        <w:tc>
          <w:tcPr>
            <w:tcW w:w="421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14:paraId="717991F9"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Informe Anual Resumido de la Cuentas Anuales Consolidadas del Grupo Banco Sabadell  - Siglas IA2015</w:t>
            </w:r>
          </w:p>
        </w:tc>
      </w:tr>
      <w:tr w:rsidR="003720EE" w14:paraId="07B01314" w14:textId="77777777" w:rsidTr="00A764EF">
        <w:trPr>
          <w:trHeight w:val="300"/>
        </w:trPr>
        <w:tc>
          <w:tcPr>
            <w:tcW w:w="4361" w:type="dxa"/>
            <w:tcBorders>
              <w:top w:val="single" w:sz="4" w:space="0" w:color="000001"/>
              <w:left w:val="single" w:sz="4" w:space="0" w:color="000001"/>
              <w:bottom w:val="single" w:sz="4" w:space="0" w:color="000001"/>
            </w:tcBorders>
            <w:shd w:val="clear" w:color="auto" w:fill="auto"/>
            <w:tcMar>
              <w:left w:w="-5" w:type="dxa"/>
            </w:tcMar>
            <w:vAlign w:val="center"/>
          </w:tcPr>
          <w:p w14:paraId="798B4835"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Informe Anual de RSC 2015</w:t>
            </w:r>
          </w:p>
        </w:tc>
        <w:tc>
          <w:tcPr>
            <w:tcW w:w="421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14:paraId="6F5E1748"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Siglas - IARSC2015</w:t>
            </w:r>
          </w:p>
        </w:tc>
      </w:tr>
      <w:tr w:rsidR="003720EE" w14:paraId="7E2BCECF" w14:textId="77777777" w:rsidTr="00A764EF">
        <w:trPr>
          <w:trHeight w:val="264"/>
        </w:trPr>
        <w:tc>
          <w:tcPr>
            <w:tcW w:w="4361" w:type="dxa"/>
            <w:tcBorders>
              <w:top w:val="single" w:sz="4" w:space="0" w:color="000001"/>
              <w:left w:val="single" w:sz="4" w:space="0" w:color="000001"/>
              <w:bottom w:val="single" w:sz="4" w:space="0" w:color="000001"/>
            </w:tcBorders>
            <w:shd w:val="clear" w:color="auto" w:fill="auto"/>
            <w:tcMar>
              <w:left w:w="-5" w:type="dxa"/>
            </w:tcMar>
            <w:vAlign w:val="center"/>
          </w:tcPr>
          <w:p w14:paraId="08D8ABBA"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Informe Anual de Gobierno Corporativo 2015</w:t>
            </w:r>
            <w:r w:rsidRPr="00773F0D">
              <w:rPr>
                <w:rFonts w:ascii="Open Sans" w:eastAsia="Arial Unicode MS" w:hAnsi="Open Sans" w:cs="Open Sans;Tahoma"/>
                <w:sz w:val="20"/>
                <w:szCs w:val="20"/>
              </w:rPr>
              <w:tab/>
            </w:r>
          </w:p>
        </w:tc>
        <w:tc>
          <w:tcPr>
            <w:tcW w:w="421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14:paraId="7B40C0A7"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Siglas - IAGC2015</w:t>
            </w:r>
          </w:p>
        </w:tc>
      </w:tr>
      <w:tr w:rsidR="003720EE" w14:paraId="22A42AD6" w14:textId="77777777" w:rsidTr="00A764EF">
        <w:trPr>
          <w:trHeight w:val="270"/>
        </w:trPr>
        <w:tc>
          <w:tcPr>
            <w:tcW w:w="4361" w:type="dxa"/>
            <w:tcBorders>
              <w:top w:val="single" w:sz="4" w:space="0" w:color="000001"/>
              <w:left w:val="single" w:sz="4" w:space="0" w:color="000001"/>
              <w:bottom w:val="single" w:sz="4" w:space="0" w:color="000001"/>
            </w:tcBorders>
            <w:shd w:val="clear" w:color="auto" w:fill="auto"/>
            <w:tcMar>
              <w:left w:w="-5" w:type="dxa"/>
            </w:tcMar>
            <w:vAlign w:val="center"/>
          </w:tcPr>
          <w:p w14:paraId="71A9DD0C"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Informe de Relevancia Prudencial 2015</w:t>
            </w:r>
          </w:p>
          <w:p w14:paraId="1C920D52" w14:textId="77777777" w:rsidR="003720EE" w:rsidRPr="00773F0D" w:rsidRDefault="003720EE" w:rsidP="00A764EF">
            <w:pPr>
              <w:snapToGrid w:val="0"/>
              <w:rPr>
                <w:rFonts w:ascii="Open Sans" w:eastAsia="Arial Unicode MS" w:hAnsi="Open Sans" w:cs="Open Sans;Tahoma"/>
                <w:sz w:val="20"/>
                <w:szCs w:val="20"/>
              </w:rPr>
            </w:pPr>
          </w:p>
        </w:tc>
        <w:tc>
          <w:tcPr>
            <w:tcW w:w="4216" w:type="dxa"/>
            <w:tcBorders>
              <w:top w:val="single" w:sz="4" w:space="0" w:color="000001"/>
              <w:left w:val="single" w:sz="4" w:space="0" w:color="000001"/>
              <w:bottom w:val="single" w:sz="4" w:space="0" w:color="000001"/>
              <w:right w:val="single" w:sz="4" w:space="0" w:color="000001"/>
            </w:tcBorders>
            <w:shd w:val="clear" w:color="auto" w:fill="auto"/>
            <w:tcMar>
              <w:left w:w="-5" w:type="dxa"/>
            </w:tcMar>
            <w:vAlign w:val="center"/>
          </w:tcPr>
          <w:p w14:paraId="2A15D549"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Siglas - IRP2015</w:t>
            </w:r>
          </w:p>
        </w:tc>
      </w:tr>
      <w:tr w:rsidR="003720EE" w14:paraId="3AFFC2FA" w14:textId="77777777" w:rsidTr="00A764EF">
        <w:trPr>
          <w:trHeight w:val="179"/>
        </w:trPr>
        <w:tc>
          <w:tcPr>
            <w:tcW w:w="4361" w:type="dxa"/>
            <w:tcBorders>
              <w:top w:val="single" w:sz="4" w:space="0" w:color="000001"/>
              <w:left w:val="single" w:sz="8" w:space="0" w:color="000001"/>
              <w:bottom w:val="single" w:sz="4" w:space="0" w:color="000001"/>
            </w:tcBorders>
            <w:shd w:val="clear" w:color="auto" w:fill="auto"/>
            <w:tcMar>
              <w:left w:w="-10" w:type="dxa"/>
            </w:tcMar>
            <w:vAlign w:val="center"/>
          </w:tcPr>
          <w:p w14:paraId="0F0C1B01"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Información Legal 2015</w:t>
            </w:r>
          </w:p>
        </w:tc>
        <w:tc>
          <w:tcPr>
            <w:tcW w:w="4216" w:type="dxa"/>
            <w:tcBorders>
              <w:top w:val="single" w:sz="4" w:space="0" w:color="000001"/>
              <w:left w:val="single" w:sz="8" w:space="0" w:color="000001"/>
              <w:bottom w:val="single" w:sz="4" w:space="0" w:color="000001"/>
              <w:right w:val="single" w:sz="8" w:space="0" w:color="000001"/>
            </w:tcBorders>
            <w:shd w:val="clear" w:color="auto" w:fill="auto"/>
            <w:tcMar>
              <w:left w:w="-10" w:type="dxa"/>
            </w:tcMar>
            <w:vAlign w:val="center"/>
          </w:tcPr>
          <w:p w14:paraId="5E749EDF" w14:textId="77777777" w:rsidR="003720EE" w:rsidRPr="00773F0D" w:rsidRDefault="003720EE" w:rsidP="00A764EF">
            <w:pPr>
              <w:snapToGrid w:val="0"/>
              <w:rPr>
                <w:rFonts w:ascii="Open Sans" w:eastAsia="Arial Unicode MS" w:hAnsi="Open Sans" w:cs="Open Sans;Tahoma"/>
                <w:sz w:val="20"/>
                <w:szCs w:val="20"/>
              </w:rPr>
            </w:pPr>
            <w:r w:rsidRPr="00773F0D">
              <w:rPr>
                <w:rFonts w:ascii="Open Sans" w:eastAsia="Arial Unicode MS" w:hAnsi="Open Sans" w:cs="Open Sans;Tahoma"/>
                <w:sz w:val="20"/>
                <w:szCs w:val="20"/>
              </w:rPr>
              <w:t>Cuentas Anuales Consolidadas 2015 – Siglas CCAA Consolidadas</w:t>
            </w:r>
          </w:p>
        </w:tc>
      </w:tr>
    </w:tbl>
    <w:p w14:paraId="00E7D53A" w14:textId="77777777" w:rsidR="003720EE" w:rsidRDefault="003720EE" w:rsidP="003720EE">
      <w:pPr>
        <w:jc w:val="both"/>
        <w:rPr>
          <w:rFonts w:ascii="Open Sans;Tahoma" w:hAnsi="Open Sans;Tahoma" w:cs="Open Sans;Tahoma" w:hint="eastAsia"/>
          <w:b/>
        </w:rPr>
      </w:pPr>
    </w:p>
    <w:p w14:paraId="6A50C326" w14:textId="77777777" w:rsidR="003720EE" w:rsidRDefault="003720EE" w:rsidP="003720EE">
      <w:pPr>
        <w:jc w:val="both"/>
        <w:rPr>
          <w:rFonts w:ascii="Open Sans;Tahoma" w:hAnsi="Open Sans;Tahoma" w:cs="Open Sans;Tahoma" w:hint="eastAsia"/>
          <w:b/>
        </w:rPr>
      </w:pPr>
    </w:p>
    <w:p w14:paraId="375B70F5" w14:textId="77777777" w:rsidR="003720EE" w:rsidRPr="00773F0D" w:rsidRDefault="003720EE" w:rsidP="003720EE">
      <w:pPr>
        <w:jc w:val="both"/>
        <w:rPr>
          <w:rFonts w:ascii="Open Sans" w:hAnsi="Open Sans"/>
        </w:rPr>
      </w:pPr>
      <w:r>
        <w:rPr>
          <w:rFonts w:ascii="Open Sans" w:hAnsi="Open Sans" w:cs="Open Sans;Tahoma"/>
          <w:b/>
          <w:sz w:val="22"/>
          <w:szCs w:val="22"/>
          <w:u w:val="single"/>
        </w:rPr>
        <w:t>2. Tabla</w:t>
      </w:r>
      <w:r w:rsidRPr="00773F0D">
        <w:rPr>
          <w:rFonts w:ascii="Open Sans" w:hAnsi="Open Sans" w:cs="Open Sans;Tahoma"/>
          <w:b/>
          <w:sz w:val="22"/>
          <w:szCs w:val="22"/>
          <w:u w:val="single"/>
        </w:rPr>
        <w:t xml:space="preserve"> de resultados</w:t>
      </w:r>
    </w:p>
    <w:p w14:paraId="4A092CE9" w14:textId="77777777" w:rsidR="003720EE" w:rsidRDefault="003720EE" w:rsidP="003720EE">
      <w:pPr>
        <w:jc w:val="center"/>
        <w:rPr>
          <w:rFonts w:ascii="Open Sans" w:hAnsi="Open Sans" w:cs="Open Sans;Tahoma"/>
          <w:b/>
          <w:color w:val="FF0000"/>
          <w:sz w:val="22"/>
          <w:szCs w:val="22"/>
        </w:rPr>
      </w:pPr>
    </w:p>
    <w:p w14:paraId="5D0CD28A" w14:textId="77777777" w:rsidR="003720EE" w:rsidRPr="007829A9" w:rsidRDefault="003720EE" w:rsidP="003720EE">
      <w:pPr>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4FF5E78D" w14:textId="77777777" w:rsidR="003720EE" w:rsidRPr="00732FD5" w:rsidRDefault="003720EE" w:rsidP="003720EE">
      <w:pPr>
        <w:rPr>
          <w:rFonts w:ascii="Open Sans" w:hAnsi="Open Sans" w:cs="Arial"/>
          <w:b/>
        </w:rPr>
      </w:pPr>
    </w:p>
    <w:p w14:paraId="27C0E9E3" w14:textId="77777777" w:rsidR="003720EE" w:rsidRDefault="003720EE" w:rsidP="003720EE">
      <w:pPr>
        <w:jc w:val="center"/>
      </w:pPr>
      <w:r>
        <w:rPr>
          <w:noProof/>
          <w:lang w:val="es-ES"/>
        </w:rPr>
        <w:drawing>
          <wp:inline distT="0" distB="0" distL="0" distR="0" wp14:anchorId="6CD1252C" wp14:editId="2E8BF003">
            <wp:extent cx="3688080" cy="1859280"/>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2ED95EE4" w14:textId="77777777" w:rsidR="003720EE" w:rsidRDefault="003720EE" w:rsidP="003720EE">
      <w:pPr>
        <w:jc w:val="both"/>
      </w:pPr>
    </w:p>
    <w:p w14:paraId="641A17DC" w14:textId="77777777" w:rsidR="003720EE" w:rsidRDefault="003720EE" w:rsidP="003720EE">
      <w:pPr>
        <w:jc w:val="center"/>
        <w:rPr>
          <w:rFonts w:ascii="Open Sans" w:hAnsi="Open Sans" w:cs="Open Sans;Tahoma"/>
          <w:b/>
          <w:color w:val="FF0000"/>
          <w:sz w:val="22"/>
          <w:szCs w:val="22"/>
        </w:rPr>
      </w:pPr>
    </w:p>
    <w:p w14:paraId="58123441" w14:textId="77777777" w:rsidR="003720EE" w:rsidRDefault="003720EE" w:rsidP="003720EE">
      <w:pPr>
        <w:jc w:val="center"/>
        <w:rPr>
          <w:rFonts w:ascii="Open Sans;Tahoma" w:hAnsi="Open Sans;Tahoma" w:cs="Open Sans;Tahoma" w:hint="eastAsia"/>
          <w:b/>
          <w:color w:val="FF0000"/>
          <w:sz w:val="22"/>
          <w:szCs w:val="22"/>
          <w:u w:val="single"/>
        </w:rPr>
      </w:pPr>
    </w:p>
    <w:p w14:paraId="4D6B7994" w14:textId="77777777" w:rsidR="003720EE" w:rsidRDefault="003720EE" w:rsidP="003720EE">
      <w:pPr>
        <w:rPr>
          <w:rFonts w:ascii="Open Sans;Tahoma" w:hAnsi="Open Sans;Tahoma" w:cs="Open Sans;Tahoma" w:hint="eastAsia"/>
          <w:b/>
        </w:rPr>
      </w:pPr>
    </w:p>
    <w:p w14:paraId="2F24060C" w14:textId="77777777" w:rsidR="003720EE" w:rsidRPr="00773F0D" w:rsidRDefault="003720EE" w:rsidP="003720EE">
      <w:pPr>
        <w:jc w:val="both"/>
        <w:rPr>
          <w:rFonts w:ascii="Open Sans" w:hAnsi="Open Sans" w:cs="Open Sans;Tahoma"/>
          <w:b/>
          <w:sz w:val="22"/>
          <w:szCs w:val="22"/>
          <w:u w:val="single"/>
        </w:rPr>
      </w:pPr>
      <w:r w:rsidRPr="00773F0D">
        <w:rPr>
          <w:rFonts w:ascii="Open Sans" w:hAnsi="Open Sans" w:cs="Open Sans;Tahoma"/>
          <w:b/>
          <w:sz w:val="22"/>
          <w:szCs w:val="22"/>
          <w:u w:val="single"/>
        </w:rPr>
        <w:t>3. Contexto general</w:t>
      </w:r>
    </w:p>
    <w:p w14:paraId="1408C7B0" w14:textId="77777777" w:rsidR="003720EE" w:rsidRDefault="003720EE" w:rsidP="003720EE">
      <w:pPr>
        <w:jc w:val="both"/>
        <w:rPr>
          <w:rFonts w:ascii="Arial" w:hAnsi="Arial" w:cs="Arial"/>
        </w:rPr>
      </w:pPr>
    </w:p>
    <w:p w14:paraId="2FE16FCC"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 xml:space="preserve">El Informe Anual presentado por Banco Sabadell en 2015 contiene un año más  información fundamentalmente de tipo económico – financiero dando especial relevancia a la mejora en los resultados y comportamiento de la empresa dentro de su plan estratégico Triple 2014-2016. Un año más, en el informe se repasa la evolución del entorno macroeconómico y financiero global, europeo y español, y las actuaciones llevadas a cabo por la entidad que se enmarcan en su plan de negocio. En su conjunto han propiciado una coyuntura favorable para el desarrollo de las actividades del sector financiero, aunque con mayor inestabilidad de la esperada en el comportamiento de los mercados y en algunos países debido </w:t>
      </w:r>
      <w:proofErr w:type="gramStart"/>
      <w:r w:rsidRPr="003720EE">
        <w:rPr>
          <w:rFonts w:ascii="Open Sans" w:eastAsia="Open Sans" w:hAnsi="Open Sans" w:cs="Open Sans"/>
          <w:sz w:val="20"/>
          <w:highlight w:val="white"/>
        </w:rPr>
        <w:t>al</w:t>
      </w:r>
      <w:proofErr w:type="gramEnd"/>
      <w:r w:rsidRPr="003720EE">
        <w:rPr>
          <w:rFonts w:ascii="Open Sans" w:eastAsia="Open Sans" w:hAnsi="Open Sans" w:cs="Open Sans"/>
          <w:sz w:val="20"/>
          <w:highlight w:val="white"/>
        </w:rPr>
        <w:t xml:space="preserve"> coyuntura socio-política.</w:t>
      </w:r>
    </w:p>
    <w:p w14:paraId="768ABC2C" w14:textId="77777777" w:rsidR="003720EE" w:rsidRPr="003720EE" w:rsidRDefault="003720EE" w:rsidP="003720EE">
      <w:pPr>
        <w:pStyle w:val="Normal1"/>
        <w:jc w:val="both"/>
        <w:rPr>
          <w:rFonts w:ascii="Open Sans" w:hAnsi="Open Sans"/>
          <w:sz w:val="20"/>
          <w:highlight w:val="white"/>
        </w:rPr>
      </w:pPr>
    </w:p>
    <w:p w14:paraId="4361E6BC"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 xml:space="preserve">Por lo que respecta al Banco Sabadell, en este ejercicio se ha centrado en las tres líneas de actuación del Triple: Transformación, Rentabilidad e Internacionalización. La entidad presenta los logros conseguidos en cada una de las líneas en forma de mejora de los ratios económico -  financieros de la empresa. </w:t>
      </w:r>
    </w:p>
    <w:p w14:paraId="1DDD92CA" w14:textId="77777777" w:rsidR="003720EE" w:rsidRPr="003720EE" w:rsidRDefault="003720EE" w:rsidP="003720EE">
      <w:pPr>
        <w:pStyle w:val="Normal1"/>
        <w:jc w:val="both"/>
        <w:rPr>
          <w:rFonts w:ascii="Open Sans" w:hAnsi="Open Sans"/>
          <w:sz w:val="20"/>
          <w:highlight w:val="white"/>
        </w:rPr>
      </w:pPr>
    </w:p>
    <w:p w14:paraId="585516B7"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 xml:space="preserve">Banco Sabadell mantiene las principales líneas de negocio de ejercicios anteriores y  con ligeras variaciones debido a la compra del banco británico TSB: Banca Comercial, Banca Corporativa (Global Corporate Banking), Mercados y Banca Privada, Sabadell América, Reino Unido y  Transformación de Activos. </w:t>
      </w:r>
    </w:p>
    <w:p w14:paraId="53554152" w14:textId="77777777" w:rsidR="003720EE" w:rsidRPr="003720EE" w:rsidRDefault="003720EE" w:rsidP="003720EE">
      <w:pPr>
        <w:pStyle w:val="Normal1"/>
        <w:jc w:val="both"/>
        <w:rPr>
          <w:rFonts w:ascii="Open Sans" w:eastAsia="Open Sans" w:hAnsi="Open Sans" w:cs="Open Sans"/>
          <w:sz w:val="20"/>
        </w:rPr>
      </w:pPr>
    </w:p>
    <w:p w14:paraId="08B7D4A3" w14:textId="77777777" w:rsidR="003720EE" w:rsidRPr="003720EE" w:rsidRDefault="003720EE" w:rsidP="003720EE">
      <w:pPr>
        <w:jc w:val="both"/>
        <w:rPr>
          <w:rFonts w:ascii="Open Sans" w:hAnsi="Open Sans"/>
          <w:sz w:val="20"/>
          <w:szCs w:val="20"/>
          <w:highlight w:val="white"/>
        </w:rPr>
      </w:pPr>
      <w:r w:rsidRPr="003720EE">
        <w:rPr>
          <w:rFonts w:ascii="Open Sans" w:hAnsi="Open Sans" w:cs="Open Sans"/>
          <w:sz w:val="20"/>
          <w:szCs w:val="20"/>
          <w:highlight w:val="white"/>
        </w:rPr>
        <w:t xml:space="preserve">A través de estas líneas de negocio, la entidad </w:t>
      </w:r>
      <w:r w:rsidRPr="003720EE">
        <w:rPr>
          <w:rFonts w:ascii="Open Sans" w:hAnsi="Open Sans" w:cs="Open Sans"/>
          <w:color w:val="000000"/>
          <w:sz w:val="20"/>
          <w:szCs w:val="20"/>
          <w:highlight w:val="white"/>
        </w:rPr>
        <w:t xml:space="preserve">abarca todos los ámbitos del negocio financiero como entidad financiera y mediante </w:t>
      </w:r>
      <w:proofErr w:type="gramStart"/>
      <w:r w:rsidRPr="003720EE">
        <w:rPr>
          <w:rFonts w:ascii="Open Sans" w:hAnsi="Open Sans" w:cs="Open Sans"/>
          <w:color w:val="000000"/>
          <w:sz w:val="20"/>
          <w:szCs w:val="20"/>
          <w:highlight w:val="white"/>
        </w:rPr>
        <w:t>su diferentes</w:t>
      </w:r>
      <w:r w:rsidRPr="003720EE">
        <w:rPr>
          <w:rFonts w:ascii="Open Sans" w:hAnsi="Open Sans"/>
          <w:color w:val="000000"/>
          <w:sz w:val="20"/>
          <w:szCs w:val="20"/>
          <w:highlight w:val="white"/>
        </w:rPr>
        <w:t xml:space="preserve"> marcas</w:t>
      </w:r>
      <w:proofErr w:type="gramEnd"/>
      <w:r w:rsidRPr="003720EE">
        <w:rPr>
          <w:rFonts w:ascii="Open Sans" w:hAnsi="Open Sans"/>
          <w:color w:val="000000"/>
          <w:sz w:val="20"/>
          <w:szCs w:val="20"/>
          <w:highlight w:val="white"/>
        </w:rPr>
        <w:t>, sociedades filiales y sociedades participadas.</w:t>
      </w:r>
    </w:p>
    <w:p w14:paraId="0F652FA2" w14:textId="77777777" w:rsidR="003720EE" w:rsidRPr="003720EE" w:rsidRDefault="003720EE" w:rsidP="003720EE">
      <w:pPr>
        <w:pStyle w:val="Normal1"/>
        <w:jc w:val="both"/>
        <w:rPr>
          <w:rFonts w:ascii="Open Sans" w:hAnsi="Open Sans"/>
          <w:sz w:val="20"/>
          <w:highlight w:val="white"/>
        </w:rPr>
      </w:pPr>
    </w:p>
    <w:p w14:paraId="37E11918"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Banco Sabadell tiene presencia en 19 países. A pesar de que se incluye la relación de los países y del tipo de entidad con el que opera en cada uno de ellos (Sucursales, Oficinas de representación,</w:t>
      </w:r>
      <w:r w:rsidRPr="003720EE">
        <w:rPr>
          <w:rFonts w:ascii="Open Sans" w:eastAsia="Open Sans" w:hAnsi="Open Sans" w:cs="Open Sans"/>
          <w:i/>
          <w:iCs/>
          <w:sz w:val="20"/>
          <w:highlight w:val="white"/>
        </w:rPr>
        <w:t xml:space="preserve"> Banking subsidiaries</w:t>
      </w:r>
      <w:r w:rsidRPr="003720EE">
        <w:rPr>
          <w:rFonts w:ascii="Open Sans" w:eastAsia="Open Sans" w:hAnsi="Open Sans" w:cs="Open Sans"/>
          <w:sz w:val="20"/>
          <w:highlight w:val="white"/>
        </w:rPr>
        <w:t xml:space="preserve"> y Bancos asociados), el informe presentado por el grupo incluye información agregada del grupo que sólo se detalla en el Informe Bancario Anual por grandes regiones: España, Reino Unido, Estados Unidos y Otros. Sería recomendable que la entidad ofreciera información detallada país por país para poder tener una visión adecuada de cuál es el comportamiento de la entidad en los 19 países en los que tiene presencia. Esto es especialmente relevante teniendo en cuenta que algunos de ellos se encuentran localizados en zonas geográficas sensibles y / o están sujetos a regímenes fiscales más favorables que el español. </w:t>
      </w:r>
    </w:p>
    <w:p w14:paraId="518C6CE2" w14:textId="77777777" w:rsidR="003720EE" w:rsidRPr="003720EE" w:rsidRDefault="003720EE" w:rsidP="003720EE">
      <w:pPr>
        <w:pStyle w:val="Normal1"/>
        <w:jc w:val="both"/>
        <w:rPr>
          <w:rFonts w:ascii="Open Sans" w:eastAsia="Open Sans" w:hAnsi="Open Sans" w:cs="Arial"/>
          <w:sz w:val="20"/>
        </w:rPr>
      </w:pPr>
    </w:p>
    <w:p w14:paraId="1339F8AA" w14:textId="77777777" w:rsidR="003720EE" w:rsidRPr="003720EE" w:rsidRDefault="003720EE" w:rsidP="003720EE">
      <w:pPr>
        <w:jc w:val="both"/>
        <w:rPr>
          <w:rFonts w:ascii="Open Sans" w:hAnsi="Open Sans"/>
          <w:sz w:val="20"/>
          <w:szCs w:val="20"/>
        </w:rPr>
      </w:pPr>
      <w:r w:rsidRPr="003720EE">
        <w:rPr>
          <w:rFonts w:ascii="Open Sans" w:eastAsia="Open Sans" w:hAnsi="Open Sans" w:cs="Open Sans"/>
          <w:color w:val="000000"/>
          <w:sz w:val="20"/>
          <w:szCs w:val="20"/>
          <w:highlight w:val="white"/>
        </w:rPr>
        <w:t xml:space="preserve">Dentro de su estrategia de internacionalización,  en 2015 la entidad </w:t>
      </w:r>
      <w:r w:rsidRPr="003720EE">
        <w:rPr>
          <w:rFonts w:ascii="Open Sans" w:hAnsi="Open Sans" w:cs="Open Sans"/>
          <w:color w:val="000000"/>
          <w:sz w:val="20"/>
          <w:szCs w:val="20"/>
        </w:rPr>
        <w:t>ha abierto oficinas de representación en Colombia y Perú, y  se ha obtenido licencia bancaria para operar en México lo que permitirá complementar las operaciones ya iniciadas a través de la sociedad Sabadell Capital. Sin embargo, este ejercicio ha venido marcado por la adquisici</w:t>
      </w:r>
      <w:r w:rsidRPr="003720EE">
        <w:rPr>
          <w:rFonts w:ascii="Open Sans" w:hAnsi="Open Sans"/>
          <w:color w:val="000000"/>
          <w:sz w:val="20"/>
          <w:szCs w:val="20"/>
        </w:rPr>
        <w:t xml:space="preserve">ón del banco británico TSB que ha tenido una importante repercusión favorable en la cuenta de resultados consolidada del grupo. </w:t>
      </w:r>
    </w:p>
    <w:p w14:paraId="32054E14" w14:textId="77777777" w:rsidR="003720EE" w:rsidRDefault="003720EE" w:rsidP="003720EE">
      <w:pPr>
        <w:rPr>
          <w:rFonts w:cs="Open Sans"/>
        </w:rPr>
      </w:pPr>
      <w:r>
        <w:rPr>
          <w:rFonts w:cs="Open Sans"/>
        </w:rPr>
        <w:br w:type="page"/>
      </w:r>
    </w:p>
    <w:p w14:paraId="10911136" w14:textId="77777777" w:rsidR="003720EE" w:rsidRDefault="003720EE" w:rsidP="003720EE">
      <w:pPr>
        <w:jc w:val="both"/>
        <w:rPr>
          <w:rFonts w:cs="Open Sans"/>
        </w:rPr>
      </w:pPr>
    </w:p>
    <w:p w14:paraId="284E0415" w14:textId="77777777" w:rsidR="003720EE" w:rsidRDefault="003720EE" w:rsidP="003720EE">
      <w:pPr>
        <w:jc w:val="both"/>
        <w:rPr>
          <w:rFonts w:cs="Open Sans"/>
        </w:rPr>
      </w:pPr>
    </w:p>
    <w:tbl>
      <w:tblPr>
        <w:tblW w:w="8504" w:type="dxa"/>
        <w:tblInd w:w="53" w:type="dxa"/>
        <w:tblBorders>
          <w:top w:val="single" w:sz="2" w:space="0" w:color="000001"/>
          <w:left w:val="single" w:sz="2" w:space="0" w:color="000001"/>
          <w:bottom w:val="single" w:sz="2" w:space="0" w:color="000001"/>
          <w:right w:val="single" w:sz="2" w:space="0" w:color="000001"/>
          <w:insideH w:val="single" w:sz="2" w:space="0" w:color="000001"/>
          <w:insideV w:val="single" w:sz="2" w:space="0" w:color="000001"/>
        </w:tblBorders>
        <w:tblCellMar>
          <w:top w:w="55" w:type="dxa"/>
          <w:left w:w="51" w:type="dxa"/>
          <w:bottom w:w="55" w:type="dxa"/>
          <w:right w:w="55" w:type="dxa"/>
        </w:tblCellMar>
        <w:tblLook w:val="04A0" w:firstRow="1" w:lastRow="0" w:firstColumn="1" w:lastColumn="0" w:noHBand="0" w:noVBand="1"/>
      </w:tblPr>
      <w:tblGrid>
        <w:gridCol w:w="1699"/>
        <w:gridCol w:w="790"/>
        <w:gridCol w:w="912"/>
        <w:gridCol w:w="850"/>
        <w:gridCol w:w="851"/>
        <w:gridCol w:w="1648"/>
        <w:gridCol w:w="1754"/>
      </w:tblGrid>
      <w:tr w:rsidR="003720EE" w14:paraId="09203E3A" w14:textId="77777777" w:rsidTr="00A764EF">
        <w:tc>
          <w:tcPr>
            <w:tcW w:w="8504" w:type="dxa"/>
            <w:gridSpan w:val="7"/>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53FF6DB3" w14:textId="77777777" w:rsidR="003720EE" w:rsidRDefault="003720EE" w:rsidP="00A764EF">
            <w:pPr>
              <w:pStyle w:val="Contenidodelatabla"/>
              <w:jc w:val="center"/>
              <w:rPr>
                <w:rFonts w:ascii="Open Sans" w:hAnsi="Open Sans"/>
                <w:b/>
                <w:bCs/>
                <w:i/>
                <w:iCs/>
                <w:sz w:val="20"/>
                <w:szCs w:val="20"/>
              </w:rPr>
            </w:pPr>
            <w:r>
              <w:rPr>
                <w:rFonts w:ascii="Open Sans" w:hAnsi="Open Sans"/>
                <w:b/>
                <w:bCs/>
                <w:i/>
                <w:iCs/>
                <w:sz w:val="20"/>
                <w:szCs w:val="20"/>
              </w:rPr>
              <w:t>Principales Magnitudes 2015 en Millones de €</w:t>
            </w:r>
          </w:p>
        </w:tc>
      </w:tr>
      <w:tr w:rsidR="003720EE" w14:paraId="23E68476" w14:textId="77777777" w:rsidTr="00A764EF">
        <w:tc>
          <w:tcPr>
            <w:tcW w:w="170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34FFF483" w14:textId="77777777" w:rsidR="003720EE" w:rsidRDefault="003720EE" w:rsidP="00A764EF">
            <w:pPr>
              <w:pStyle w:val="Contenidodelatabla"/>
              <w:jc w:val="center"/>
              <w:rPr>
                <w:rFonts w:ascii="Open Sans" w:hAnsi="Open Sans"/>
                <w:sz w:val="20"/>
                <w:szCs w:val="20"/>
              </w:rPr>
            </w:pP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5A541D54" w14:textId="77777777" w:rsidR="003720EE" w:rsidRDefault="003720EE" w:rsidP="00A764EF">
            <w:pPr>
              <w:pStyle w:val="Contenidodelatabla"/>
              <w:jc w:val="center"/>
              <w:rPr>
                <w:rFonts w:ascii="Open Sans" w:hAnsi="Open Sans"/>
                <w:b/>
                <w:bCs/>
                <w:sz w:val="20"/>
                <w:szCs w:val="20"/>
              </w:rPr>
            </w:pPr>
            <w:r>
              <w:rPr>
                <w:rFonts w:ascii="Open Sans" w:hAnsi="Open Sans"/>
                <w:b/>
                <w:bCs/>
                <w:sz w:val="20"/>
                <w:szCs w:val="20"/>
              </w:rPr>
              <w:t>Sin TSB</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7F61440" w14:textId="77777777" w:rsidR="003720EE" w:rsidRDefault="003720EE" w:rsidP="00A764EF">
            <w:pPr>
              <w:pStyle w:val="Contenidodelatabla"/>
              <w:jc w:val="center"/>
              <w:rPr>
                <w:rFonts w:ascii="Open Sans" w:hAnsi="Open Sans"/>
                <w:b/>
                <w:bCs/>
                <w:sz w:val="20"/>
                <w:szCs w:val="20"/>
              </w:rPr>
            </w:pPr>
            <w:r>
              <w:rPr>
                <w:rFonts w:ascii="Open Sans" w:hAnsi="Open Sans"/>
                <w:b/>
                <w:bCs/>
                <w:sz w:val="20"/>
                <w:szCs w:val="20"/>
              </w:rPr>
              <w:t xml:space="preserve">Incremento 2014 – 2015 </w:t>
            </w:r>
          </w:p>
        </w:tc>
        <w:tc>
          <w:tcPr>
            <w:tcW w:w="1648"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673DB4D" w14:textId="77777777" w:rsidR="003720EE" w:rsidRDefault="003720EE" w:rsidP="00A764EF">
            <w:pPr>
              <w:pStyle w:val="Contenidodelatabla"/>
              <w:jc w:val="center"/>
              <w:rPr>
                <w:rFonts w:ascii="Open Sans" w:hAnsi="Open Sans"/>
                <w:b/>
                <w:bCs/>
                <w:sz w:val="20"/>
                <w:szCs w:val="20"/>
              </w:rPr>
            </w:pPr>
            <w:r>
              <w:rPr>
                <w:rFonts w:ascii="Open Sans" w:hAnsi="Open Sans"/>
                <w:b/>
                <w:bCs/>
                <w:sz w:val="20"/>
                <w:szCs w:val="20"/>
              </w:rPr>
              <w:t xml:space="preserve">Con TSB </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05B10313" w14:textId="77777777" w:rsidR="003720EE" w:rsidRDefault="003720EE" w:rsidP="00A764EF">
            <w:pPr>
              <w:pStyle w:val="Contenidodelatabla"/>
              <w:jc w:val="center"/>
              <w:rPr>
                <w:rFonts w:ascii="Open Sans" w:hAnsi="Open Sans"/>
                <w:b/>
                <w:bCs/>
                <w:sz w:val="20"/>
                <w:szCs w:val="20"/>
              </w:rPr>
            </w:pPr>
            <w:r>
              <w:rPr>
                <w:rFonts w:ascii="Open Sans" w:hAnsi="Open Sans"/>
                <w:b/>
                <w:bCs/>
                <w:sz w:val="20"/>
                <w:szCs w:val="20"/>
              </w:rPr>
              <w:t xml:space="preserve">Incremento </w:t>
            </w:r>
          </w:p>
          <w:p w14:paraId="72CFAB2B" w14:textId="77777777" w:rsidR="003720EE" w:rsidRDefault="003720EE" w:rsidP="00A764EF">
            <w:pPr>
              <w:pStyle w:val="Contenidodelatabla"/>
              <w:jc w:val="center"/>
              <w:rPr>
                <w:rFonts w:ascii="Open Sans" w:hAnsi="Open Sans"/>
                <w:b/>
                <w:bCs/>
                <w:sz w:val="20"/>
                <w:szCs w:val="20"/>
              </w:rPr>
            </w:pPr>
            <w:r>
              <w:rPr>
                <w:rFonts w:ascii="Open Sans" w:hAnsi="Open Sans"/>
                <w:b/>
                <w:bCs/>
                <w:sz w:val="20"/>
                <w:szCs w:val="20"/>
              </w:rPr>
              <w:t xml:space="preserve">2014 – 2015 </w:t>
            </w:r>
          </w:p>
        </w:tc>
      </w:tr>
      <w:tr w:rsidR="003720EE" w14:paraId="57D88953" w14:textId="77777777" w:rsidTr="00A764EF">
        <w:trPr>
          <w:trHeight w:val="264"/>
        </w:trPr>
        <w:tc>
          <w:tcPr>
            <w:tcW w:w="8504" w:type="dxa"/>
            <w:gridSpan w:val="7"/>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5D7475D0" w14:textId="77777777" w:rsidR="003720EE" w:rsidRDefault="003720EE" w:rsidP="00A764EF">
            <w:pPr>
              <w:pStyle w:val="Contenidodelatabla"/>
              <w:rPr>
                <w:rFonts w:ascii="Open Sans" w:hAnsi="Open Sans"/>
                <w:b/>
                <w:bCs/>
                <w:color w:val="000000"/>
                <w:sz w:val="20"/>
                <w:szCs w:val="20"/>
              </w:rPr>
            </w:pPr>
            <w:r>
              <w:rPr>
                <w:rFonts w:ascii="Open Sans" w:hAnsi="Open Sans"/>
                <w:b/>
                <w:bCs/>
                <w:color w:val="000000"/>
                <w:sz w:val="20"/>
                <w:szCs w:val="20"/>
              </w:rPr>
              <w:t>Balance</w:t>
            </w:r>
          </w:p>
        </w:tc>
      </w:tr>
      <w:tr w:rsidR="003720EE" w14:paraId="54D81E54" w14:textId="77777777" w:rsidTr="00A764EF">
        <w:tc>
          <w:tcPr>
            <w:tcW w:w="170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29190A0C" w14:textId="77777777" w:rsidR="003720EE" w:rsidRDefault="003720EE" w:rsidP="00A764EF">
            <w:pPr>
              <w:pStyle w:val="Contenidodelatabla"/>
              <w:rPr>
                <w:rFonts w:ascii="Open Sans" w:hAnsi="Open Sans"/>
                <w:sz w:val="20"/>
                <w:szCs w:val="20"/>
              </w:rPr>
            </w:pPr>
            <w:r>
              <w:rPr>
                <w:rFonts w:ascii="Open Sans" w:hAnsi="Open Sans"/>
                <w:sz w:val="20"/>
                <w:szCs w:val="20"/>
              </w:rPr>
              <w:t>Activos totales en balance</w:t>
            </w:r>
          </w:p>
        </w:tc>
        <w:tc>
          <w:tcPr>
            <w:tcW w:w="1702"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40A3407B"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163.345,7</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51ED8B85"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1,16%</w:t>
            </w:r>
          </w:p>
        </w:tc>
        <w:tc>
          <w:tcPr>
            <w:tcW w:w="1647"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210E492E"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208.628</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3C1A37B6"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27,7%</w:t>
            </w:r>
          </w:p>
        </w:tc>
      </w:tr>
      <w:tr w:rsidR="003720EE" w14:paraId="29347D8F" w14:textId="77777777" w:rsidTr="00A764EF">
        <w:tc>
          <w:tcPr>
            <w:tcW w:w="170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021054DC" w14:textId="77777777" w:rsidR="003720EE" w:rsidRDefault="003720EE" w:rsidP="00A764EF">
            <w:pPr>
              <w:pStyle w:val="Contenidodelatabla"/>
              <w:rPr>
                <w:rFonts w:ascii="Open Sans" w:hAnsi="Open Sans"/>
                <w:sz w:val="20"/>
                <w:szCs w:val="20"/>
              </w:rPr>
            </w:pPr>
            <w:r>
              <w:rPr>
                <w:rFonts w:ascii="Open Sans" w:hAnsi="Open Sans"/>
                <w:sz w:val="20"/>
                <w:szCs w:val="20"/>
              </w:rPr>
              <w:t>Inversión crediticia bruta a clientes</w:t>
            </w:r>
          </w:p>
        </w:tc>
        <w:tc>
          <w:tcPr>
            <w:tcW w:w="1702"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47943551"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104.536,6</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1BCE4384"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2,1%</w:t>
            </w:r>
          </w:p>
        </w:tc>
        <w:tc>
          <w:tcPr>
            <w:tcW w:w="1647"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5300D653"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140.367,8</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22B10E8"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37,1%</w:t>
            </w:r>
          </w:p>
        </w:tc>
      </w:tr>
      <w:tr w:rsidR="003720EE" w14:paraId="403B7909" w14:textId="77777777" w:rsidTr="00A764EF">
        <w:tc>
          <w:tcPr>
            <w:tcW w:w="170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5DC1924A" w14:textId="77777777" w:rsidR="003720EE" w:rsidRDefault="003720EE" w:rsidP="00A764EF">
            <w:pPr>
              <w:pStyle w:val="Contenidodelatabla"/>
              <w:rPr>
                <w:rFonts w:ascii="Open Sans" w:hAnsi="Open Sans"/>
                <w:sz w:val="20"/>
                <w:szCs w:val="20"/>
              </w:rPr>
            </w:pPr>
            <w:r>
              <w:rPr>
                <w:rFonts w:ascii="Open Sans" w:hAnsi="Open Sans"/>
                <w:sz w:val="20"/>
                <w:szCs w:val="20"/>
              </w:rPr>
              <w:t>Recursos de clientes en balance</w:t>
            </w:r>
          </w:p>
        </w:tc>
        <w:tc>
          <w:tcPr>
            <w:tcW w:w="1702"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6161BB0"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96.227,0</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793123F9"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1,9%</w:t>
            </w:r>
          </w:p>
        </w:tc>
        <w:tc>
          <w:tcPr>
            <w:tcW w:w="1647"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D3DFD04"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131.489,2</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7E208281"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39,2%</w:t>
            </w:r>
          </w:p>
        </w:tc>
      </w:tr>
      <w:tr w:rsidR="003720EE" w14:paraId="2B0BB23D" w14:textId="77777777" w:rsidTr="00A764EF">
        <w:tc>
          <w:tcPr>
            <w:tcW w:w="8504" w:type="dxa"/>
            <w:gridSpan w:val="7"/>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449F36F2" w14:textId="77777777" w:rsidR="003720EE" w:rsidRDefault="003720EE" w:rsidP="00A764EF">
            <w:pPr>
              <w:pStyle w:val="Contenidodelatabla"/>
              <w:rPr>
                <w:rFonts w:ascii="Open Sans" w:hAnsi="Open Sans"/>
                <w:b/>
                <w:bCs/>
                <w:sz w:val="20"/>
                <w:szCs w:val="20"/>
              </w:rPr>
            </w:pPr>
            <w:r>
              <w:rPr>
                <w:rFonts w:ascii="Open Sans" w:hAnsi="Open Sans"/>
                <w:b/>
                <w:bCs/>
                <w:sz w:val="20"/>
                <w:szCs w:val="20"/>
              </w:rPr>
              <w:t>Resultados</w:t>
            </w:r>
          </w:p>
        </w:tc>
      </w:tr>
      <w:tr w:rsidR="003720EE" w14:paraId="255DF047" w14:textId="77777777" w:rsidTr="00A764EF">
        <w:tc>
          <w:tcPr>
            <w:tcW w:w="170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7AC19D35" w14:textId="77777777" w:rsidR="003720EE" w:rsidRDefault="003720EE" w:rsidP="00A764EF">
            <w:pPr>
              <w:pStyle w:val="Contenidodelatabla"/>
              <w:rPr>
                <w:rFonts w:ascii="Open Sans" w:hAnsi="Open Sans"/>
                <w:sz w:val="20"/>
                <w:szCs w:val="20"/>
              </w:rPr>
            </w:pPr>
            <w:r>
              <w:rPr>
                <w:rFonts w:ascii="Open Sans" w:hAnsi="Open Sans"/>
                <w:sz w:val="20"/>
                <w:szCs w:val="20"/>
              </w:rPr>
              <w:t>Margen de intereses</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70B8EC4B"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2.664,18</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014DE4C6"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17,9%</w:t>
            </w:r>
          </w:p>
        </w:tc>
        <w:tc>
          <w:tcPr>
            <w:tcW w:w="1648"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244E2638"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3.203</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51D0537"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41,%</w:t>
            </w:r>
          </w:p>
        </w:tc>
      </w:tr>
      <w:tr w:rsidR="003720EE" w14:paraId="670A1585" w14:textId="77777777" w:rsidTr="00A764EF">
        <w:tc>
          <w:tcPr>
            <w:tcW w:w="1700"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1FD79522" w14:textId="77777777" w:rsidR="003720EE" w:rsidRDefault="003720EE" w:rsidP="00A764EF">
            <w:pPr>
              <w:pStyle w:val="Contenidodelatabla"/>
              <w:rPr>
                <w:rFonts w:ascii="Open Sans" w:hAnsi="Open Sans"/>
                <w:sz w:val="20"/>
                <w:szCs w:val="20"/>
              </w:rPr>
            </w:pPr>
            <w:r>
              <w:rPr>
                <w:rFonts w:ascii="Open Sans" w:hAnsi="Open Sans"/>
                <w:sz w:val="20"/>
                <w:szCs w:val="20"/>
              </w:rPr>
              <w:t>BAI</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2C80FBD1"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645,4</w:t>
            </w:r>
          </w:p>
        </w:tc>
        <w:tc>
          <w:tcPr>
            <w:tcW w:w="1701"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6B4938D2"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32,7%</w:t>
            </w:r>
          </w:p>
        </w:tc>
        <w:tc>
          <w:tcPr>
            <w:tcW w:w="1648"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7315BD75"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744,7</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2412245F"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53,1%</w:t>
            </w:r>
          </w:p>
        </w:tc>
      </w:tr>
      <w:tr w:rsidR="003720EE" w14:paraId="0E73A019" w14:textId="77777777" w:rsidTr="00A764EF">
        <w:tc>
          <w:tcPr>
            <w:tcW w:w="1700" w:type="dxa"/>
            <w:tcBorders>
              <w:left w:val="single" w:sz="2" w:space="0" w:color="000001"/>
              <w:bottom w:val="single" w:sz="2" w:space="0" w:color="000001"/>
              <w:right w:val="single" w:sz="2" w:space="0" w:color="000001"/>
            </w:tcBorders>
            <w:shd w:val="clear" w:color="auto" w:fill="auto"/>
            <w:tcMar>
              <w:left w:w="51" w:type="dxa"/>
            </w:tcMar>
            <w:vAlign w:val="center"/>
          </w:tcPr>
          <w:p w14:paraId="08E87453" w14:textId="77777777" w:rsidR="003720EE" w:rsidRDefault="003720EE" w:rsidP="00A764EF">
            <w:pPr>
              <w:pStyle w:val="Contenidodelatabla"/>
              <w:rPr>
                <w:rFonts w:ascii="Open Sans" w:hAnsi="Open Sans"/>
                <w:sz w:val="20"/>
                <w:szCs w:val="20"/>
              </w:rPr>
            </w:pPr>
            <w:r>
              <w:rPr>
                <w:rFonts w:ascii="Open Sans" w:hAnsi="Open Sans"/>
                <w:sz w:val="20"/>
                <w:szCs w:val="20"/>
              </w:rPr>
              <w:t>Beneficio neto</w:t>
            </w:r>
          </w:p>
        </w:tc>
        <w:tc>
          <w:tcPr>
            <w:tcW w:w="1701" w:type="dxa"/>
            <w:gridSpan w:val="2"/>
            <w:tcBorders>
              <w:left w:val="single" w:sz="2" w:space="0" w:color="000001"/>
              <w:bottom w:val="single" w:sz="2" w:space="0" w:color="000001"/>
              <w:right w:val="single" w:sz="2" w:space="0" w:color="000001"/>
            </w:tcBorders>
            <w:shd w:val="clear" w:color="auto" w:fill="auto"/>
            <w:tcMar>
              <w:left w:w="51" w:type="dxa"/>
            </w:tcMar>
            <w:vAlign w:val="center"/>
          </w:tcPr>
          <w:p w14:paraId="58C341EF"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586,3</w:t>
            </w:r>
          </w:p>
        </w:tc>
        <w:tc>
          <w:tcPr>
            <w:tcW w:w="1701" w:type="dxa"/>
            <w:gridSpan w:val="2"/>
            <w:tcBorders>
              <w:left w:val="single" w:sz="2" w:space="0" w:color="000001"/>
              <w:bottom w:val="single" w:sz="2" w:space="0" w:color="000001"/>
              <w:right w:val="single" w:sz="2" w:space="0" w:color="000001"/>
            </w:tcBorders>
            <w:shd w:val="clear" w:color="auto" w:fill="auto"/>
            <w:tcMar>
              <w:left w:w="51" w:type="dxa"/>
            </w:tcMar>
            <w:vAlign w:val="center"/>
          </w:tcPr>
          <w:p w14:paraId="55C546FD"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57,8%</w:t>
            </w:r>
          </w:p>
        </w:tc>
        <w:tc>
          <w:tcPr>
            <w:tcW w:w="1648" w:type="dxa"/>
            <w:tcBorders>
              <w:left w:val="single" w:sz="2" w:space="0" w:color="000001"/>
              <w:bottom w:val="single" w:sz="2" w:space="0" w:color="000001"/>
              <w:right w:val="single" w:sz="2" w:space="0" w:color="000001"/>
            </w:tcBorders>
            <w:shd w:val="clear" w:color="auto" w:fill="auto"/>
            <w:tcMar>
              <w:left w:w="51" w:type="dxa"/>
            </w:tcMar>
            <w:vAlign w:val="center"/>
          </w:tcPr>
          <w:p w14:paraId="0C413799"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708,4</w:t>
            </w:r>
          </w:p>
        </w:tc>
        <w:tc>
          <w:tcPr>
            <w:tcW w:w="1754" w:type="dxa"/>
            <w:tcBorders>
              <w:left w:val="single" w:sz="2" w:space="0" w:color="000001"/>
              <w:bottom w:val="single" w:sz="2" w:space="0" w:color="000001"/>
              <w:right w:val="single" w:sz="2" w:space="0" w:color="000001"/>
            </w:tcBorders>
            <w:shd w:val="clear" w:color="auto" w:fill="auto"/>
            <w:tcMar>
              <w:left w:w="51" w:type="dxa"/>
            </w:tcMar>
            <w:vAlign w:val="center"/>
          </w:tcPr>
          <w:p w14:paraId="3CFE9A56"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90,6%</w:t>
            </w:r>
          </w:p>
        </w:tc>
      </w:tr>
      <w:tr w:rsidR="003720EE" w14:paraId="7993CB3A" w14:textId="77777777" w:rsidTr="00A764EF">
        <w:tc>
          <w:tcPr>
            <w:tcW w:w="8504" w:type="dxa"/>
            <w:gridSpan w:val="7"/>
            <w:tcBorders>
              <w:top w:val="single" w:sz="2" w:space="0" w:color="000001"/>
              <w:left w:val="single" w:sz="2" w:space="0" w:color="000001"/>
              <w:bottom w:val="single" w:sz="2" w:space="0" w:color="000001"/>
              <w:right w:val="single" w:sz="2" w:space="0" w:color="000001"/>
            </w:tcBorders>
            <w:shd w:val="clear" w:color="auto" w:fill="808080"/>
            <w:tcMar>
              <w:left w:w="51" w:type="dxa"/>
            </w:tcMar>
            <w:vAlign w:val="center"/>
          </w:tcPr>
          <w:p w14:paraId="04D1A42B" w14:textId="77777777" w:rsidR="003720EE" w:rsidRDefault="003720EE" w:rsidP="00A764EF">
            <w:pPr>
              <w:pStyle w:val="Contenidodelatabla"/>
              <w:rPr>
                <w:rFonts w:ascii="Open Sans" w:hAnsi="Open Sans"/>
                <w:sz w:val="4"/>
                <w:szCs w:val="4"/>
              </w:rPr>
            </w:pPr>
          </w:p>
        </w:tc>
      </w:tr>
      <w:tr w:rsidR="003720EE" w14:paraId="7FB5EC94" w14:textId="77777777" w:rsidTr="00A764EF">
        <w:tc>
          <w:tcPr>
            <w:tcW w:w="2490"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35E86675"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 xml:space="preserve">Tasa Impositiva Efectiva sin TSB </w:t>
            </w:r>
          </w:p>
        </w:tc>
        <w:tc>
          <w:tcPr>
            <w:tcW w:w="1762"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2FAF700B"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8,56%</w:t>
            </w:r>
          </w:p>
        </w:tc>
        <w:tc>
          <w:tcPr>
            <w:tcW w:w="2498" w:type="dxa"/>
            <w:gridSpan w:val="2"/>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786A3228"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Tasa Impositiva Efectiva con TSB</w:t>
            </w:r>
          </w:p>
        </w:tc>
        <w:tc>
          <w:tcPr>
            <w:tcW w:w="1754" w:type="dxa"/>
            <w:tcBorders>
              <w:top w:val="single" w:sz="2" w:space="0" w:color="000001"/>
              <w:left w:val="single" w:sz="2" w:space="0" w:color="000001"/>
              <w:bottom w:val="single" w:sz="2" w:space="0" w:color="000001"/>
              <w:right w:val="single" w:sz="2" w:space="0" w:color="000001"/>
            </w:tcBorders>
            <w:shd w:val="clear" w:color="auto" w:fill="auto"/>
            <w:tcMar>
              <w:left w:w="51" w:type="dxa"/>
            </w:tcMar>
            <w:vAlign w:val="center"/>
          </w:tcPr>
          <w:p w14:paraId="1D131268" w14:textId="77777777" w:rsidR="003720EE" w:rsidRDefault="003720EE" w:rsidP="00A764EF">
            <w:pPr>
              <w:pStyle w:val="Contenidodelatabla"/>
              <w:jc w:val="center"/>
              <w:rPr>
                <w:rFonts w:ascii="Open Sans" w:hAnsi="Open Sans"/>
                <w:sz w:val="20"/>
                <w:szCs w:val="20"/>
              </w:rPr>
            </w:pPr>
            <w:r>
              <w:rPr>
                <w:rFonts w:ascii="Open Sans" w:hAnsi="Open Sans"/>
                <w:sz w:val="20"/>
                <w:szCs w:val="20"/>
              </w:rPr>
              <w:t>4,36%</w:t>
            </w:r>
          </w:p>
        </w:tc>
      </w:tr>
    </w:tbl>
    <w:p w14:paraId="0141F0F1" w14:textId="77777777" w:rsidR="003720EE" w:rsidRDefault="003720EE" w:rsidP="003720EE">
      <w:pPr>
        <w:jc w:val="both"/>
        <w:rPr>
          <w:rFonts w:cs="Open Sans"/>
        </w:rPr>
      </w:pPr>
    </w:p>
    <w:p w14:paraId="59C4F4BD" w14:textId="77777777" w:rsidR="003720EE" w:rsidRDefault="003720EE" w:rsidP="003720EE">
      <w:pPr>
        <w:jc w:val="both"/>
        <w:rPr>
          <w:rFonts w:cs="Open Sans"/>
        </w:rPr>
      </w:pPr>
    </w:p>
    <w:p w14:paraId="73EDD06C" w14:textId="77777777" w:rsidR="003720EE" w:rsidRPr="00773F0D" w:rsidRDefault="003720EE" w:rsidP="003720EE">
      <w:pPr>
        <w:jc w:val="both"/>
        <w:rPr>
          <w:rFonts w:ascii="Open Sans" w:hAnsi="Open Sans"/>
        </w:rPr>
      </w:pPr>
      <w:r w:rsidRPr="00773F0D">
        <w:rPr>
          <w:rFonts w:ascii="Open Sans" w:hAnsi="Open Sans" w:cs="Open Sans"/>
          <w:sz w:val="20"/>
          <w:szCs w:val="20"/>
        </w:rPr>
        <w:t>Como se aprecia, a pesar de haber incrementado significativamente las principales magnitudes contables, en especial el Margen de Intereses y el Resultado Antes de Impuestos, la aplicación de ajustes contables y ciertos beneficios fiscales, que se detallaran más adelante, ha permitido reducir la tasa impositiva del 30% de tipo de gravamen nacional para entidades de crédito al 8,56% de tasa efectiva impositiva sobre el Resultado Atribuido sin TSB y al 4,36% sobre el resultado con TSB</w:t>
      </w:r>
      <w:r w:rsidRPr="00773F0D">
        <w:rPr>
          <w:rStyle w:val="Ancladenotaalpie"/>
          <w:rFonts w:ascii="Open Sans" w:hAnsi="Open Sans" w:cs="Open Sans"/>
          <w:sz w:val="20"/>
          <w:szCs w:val="20"/>
        </w:rPr>
        <w:footnoteReference w:id="540"/>
      </w:r>
      <w:r w:rsidRPr="00773F0D">
        <w:rPr>
          <w:rFonts w:ascii="Open Sans" w:hAnsi="Open Sans" w:cs="Open Sans"/>
          <w:sz w:val="20"/>
          <w:szCs w:val="20"/>
        </w:rPr>
        <w:t>. A este respecto la entidad menciona que “</w:t>
      </w:r>
      <w:r w:rsidRPr="00773F0D">
        <w:rPr>
          <w:rFonts w:ascii="Open Sans" w:hAnsi="Open Sans" w:cs="Open Sans"/>
          <w:color w:val="000000"/>
          <w:sz w:val="20"/>
          <w:szCs w:val="20"/>
        </w:rPr>
        <w:t xml:space="preserve">El tipo impositivo efectivo a cierre del ejercicio de 2015 está impactado principalmente por la contabilización del </w:t>
      </w:r>
      <w:r w:rsidRPr="00773F0D">
        <w:rPr>
          <w:rFonts w:ascii="Open Sans" w:hAnsi="Open Sans" w:cs="Open Sans"/>
          <w:i/>
          <w:color w:val="000000"/>
          <w:sz w:val="20"/>
          <w:szCs w:val="20"/>
        </w:rPr>
        <w:t xml:space="preserve">badwill </w:t>
      </w:r>
      <w:r w:rsidRPr="00773F0D">
        <w:rPr>
          <w:rFonts w:ascii="Open Sans" w:hAnsi="Open Sans" w:cs="Open Sans"/>
          <w:color w:val="000000"/>
          <w:sz w:val="20"/>
          <w:szCs w:val="20"/>
        </w:rPr>
        <w:t>resultante de la adquisición de TSB, así como por el cambio de la normativa fiscal en el Reino Unido referente al tipo impositivo aplicado”</w:t>
      </w:r>
      <w:r w:rsidRPr="00773F0D">
        <w:rPr>
          <w:rStyle w:val="Ancladenotaalpie"/>
          <w:rFonts w:ascii="Open Sans" w:hAnsi="Open Sans" w:cs="Open Sans"/>
          <w:color w:val="000000"/>
          <w:sz w:val="20"/>
          <w:szCs w:val="20"/>
        </w:rPr>
        <w:footnoteReference w:id="541"/>
      </w:r>
    </w:p>
    <w:p w14:paraId="0561BBC5" w14:textId="77777777" w:rsidR="003720EE" w:rsidRPr="00773F0D" w:rsidRDefault="003720EE" w:rsidP="003720EE">
      <w:pPr>
        <w:jc w:val="both"/>
        <w:rPr>
          <w:rFonts w:ascii="Open Sans" w:hAnsi="Open Sans" w:cs="Open Sans"/>
          <w:color w:val="000000"/>
          <w:sz w:val="20"/>
          <w:szCs w:val="20"/>
          <w:highlight w:val="white"/>
        </w:rPr>
      </w:pPr>
    </w:p>
    <w:p w14:paraId="116D23D9" w14:textId="77777777" w:rsidR="003720EE" w:rsidRPr="00773F0D" w:rsidRDefault="003720EE" w:rsidP="003720EE">
      <w:pPr>
        <w:jc w:val="both"/>
        <w:rPr>
          <w:rFonts w:ascii="Open Sans" w:hAnsi="Open Sans"/>
          <w:sz w:val="20"/>
          <w:szCs w:val="20"/>
        </w:rPr>
      </w:pPr>
      <w:r w:rsidRPr="00773F0D">
        <w:rPr>
          <w:rFonts w:ascii="Open Sans" w:hAnsi="Open Sans" w:cs="Open Sans"/>
          <w:color w:val="000000"/>
          <w:sz w:val="20"/>
          <w:szCs w:val="20"/>
        </w:rPr>
        <w:t xml:space="preserve">En cuanto a su política de Responsabilidad Social, se mantiene articulada en base a cinco principios generales: banca responsable, empresa saludable, sostenibilidad ambiental, valor compartido y cultura de responsabilidad social corporativa. </w:t>
      </w:r>
      <w:r w:rsidRPr="00773F0D">
        <w:rPr>
          <w:rFonts w:ascii="Open Sans" w:eastAsia="Open Sans" w:hAnsi="Open Sans" w:cs="Open Sans"/>
          <w:color w:val="000000"/>
          <w:sz w:val="20"/>
          <w:szCs w:val="20"/>
        </w:rPr>
        <w:t xml:space="preserve"> </w:t>
      </w:r>
    </w:p>
    <w:p w14:paraId="230506EA" w14:textId="77777777" w:rsidR="003720EE" w:rsidRPr="00773F0D" w:rsidRDefault="003720EE" w:rsidP="003720EE">
      <w:pPr>
        <w:jc w:val="both"/>
        <w:rPr>
          <w:rFonts w:ascii="Open Sans" w:eastAsia="Open Sans" w:hAnsi="Open Sans" w:cs="Open Sans"/>
          <w:color w:val="000000"/>
        </w:rPr>
      </w:pPr>
    </w:p>
    <w:p w14:paraId="12E6F2A3" w14:textId="77777777" w:rsidR="003720EE" w:rsidRPr="003720EE" w:rsidRDefault="003720EE" w:rsidP="003720EE">
      <w:pPr>
        <w:pStyle w:val="Normal1"/>
        <w:jc w:val="both"/>
        <w:rPr>
          <w:rFonts w:ascii="Open Sans" w:hAnsi="Open Sans"/>
          <w:sz w:val="20"/>
        </w:rPr>
      </w:pPr>
      <w:r w:rsidRPr="003720EE">
        <w:rPr>
          <w:rFonts w:ascii="Open Sans" w:eastAsia="Open Sans" w:hAnsi="Open Sans" w:cs="Open Sans"/>
          <w:sz w:val="20"/>
          <w:highlight w:val="white"/>
        </w:rPr>
        <w:t>Banco Sabadell</w:t>
      </w:r>
      <w:r w:rsidRPr="003720EE">
        <w:rPr>
          <w:rFonts w:ascii="Open Sans" w:eastAsia="Open Sans" w:hAnsi="Open Sans" w:cs="Open Sans"/>
          <w:sz w:val="20"/>
        </w:rPr>
        <w:t xml:space="preserve"> informa que está adherido voluntariamente a los siguientes estándares relacionados con contenidos y sistemas de gestión de RSC:</w:t>
      </w:r>
    </w:p>
    <w:p w14:paraId="40F71076" w14:textId="77777777" w:rsidR="003720EE" w:rsidRPr="003720EE" w:rsidRDefault="003720EE" w:rsidP="003720EE">
      <w:pPr>
        <w:pStyle w:val="Normal1"/>
        <w:jc w:val="both"/>
        <w:rPr>
          <w:rFonts w:ascii="Open Sans" w:eastAsia="Open Sans" w:hAnsi="Open Sans" w:cs="Open Sans"/>
          <w:sz w:val="20"/>
        </w:rPr>
      </w:pPr>
    </w:p>
    <w:p w14:paraId="613F5003"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Pacto Mundial de las Naciones Unidas.</w:t>
      </w:r>
    </w:p>
    <w:p w14:paraId="54ED786D"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Principios de Inversión Responsable de Naciones Unidas (UNPRI).</w:t>
      </w:r>
    </w:p>
    <w:p w14:paraId="3531D8AC"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Código de Buenas Prácticas Bancarias.</w:t>
      </w:r>
    </w:p>
    <w:p w14:paraId="5452079D"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Principios de Ecuador.</w:t>
      </w:r>
    </w:p>
    <w:p w14:paraId="69FAF6A9" w14:textId="77777777" w:rsidR="003720EE" w:rsidRPr="00A1554D" w:rsidRDefault="003720EE" w:rsidP="000B70C9">
      <w:pPr>
        <w:pStyle w:val="Normal1"/>
        <w:numPr>
          <w:ilvl w:val="0"/>
          <w:numId w:val="45"/>
        </w:numPr>
        <w:jc w:val="both"/>
        <w:rPr>
          <w:rFonts w:ascii="Open Sans" w:hAnsi="Open Sans"/>
          <w:sz w:val="20"/>
          <w:lang w:val="en-GB"/>
        </w:rPr>
      </w:pPr>
      <w:r w:rsidRPr="003720EE">
        <w:rPr>
          <w:rFonts w:ascii="Open Sans" w:eastAsia="Open Sans" w:hAnsi="Open Sans" w:cs="Open Sans"/>
          <w:sz w:val="20"/>
          <w:lang w:val="en-US"/>
        </w:rPr>
        <w:t>Carbon Disclosure Project y CDP Water Disclosure.</w:t>
      </w:r>
    </w:p>
    <w:p w14:paraId="5BD5AF6C"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Global Reporting Initiative.</w:t>
      </w:r>
    </w:p>
    <w:p w14:paraId="2FB7B001" w14:textId="77777777" w:rsidR="003720EE" w:rsidRPr="003720EE" w:rsidRDefault="003720EE" w:rsidP="000B70C9">
      <w:pPr>
        <w:numPr>
          <w:ilvl w:val="0"/>
          <w:numId w:val="45"/>
        </w:numPr>
        <w:suppressAutoHyphens/>
        <w:jc w:val="both"/>
        <w:rPr>
          <w:rFonts w:ascii="Open Sans" w:hAnsi="Open Sans"/>
          <w:sz w:val="20"/>
          <w:szCs w:val="20"/>
        </w:rPr>
      </w:pPr>
      <w:r w:rsidRPr="003720EE">
        <w:rPr>
          <w:rFonts w:ascii="Open Sans" w:eastAsia="Open Sans" w:hAnsi="Open Sans" w:cs="Open Sans"/>
          <w:color w:val="000000"/>
          <w:sz w:val="20"/>
          <w:szCs w:val="20"/>
        </w:rPr>
        <w:t>Cotización en los índices sostenibles FTSE4Good, FTSE4Good IBEX y EURONEXT Vigeo Eurozone 120.</w:t>
      </w:r>
    </w:p>
    <w:p w14:paraId="34E7F42D"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EFQM.</w:t>
      </w:r>
    </w:p>
    <w:p w14:paraId="418F25B5"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ISO 26000.</w:t>
      </w:r>
    </w:p>
    <w:p w14:paraId="2BA675E9"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ISO 9001.</w:t>
      </w:r>
    </w:p>
    <w:p w14:paraId="2C06275D"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ISO 14001.</w:t>
      </w:r>
    </w:p>
    <w:p w14:paraId="0320EBB6"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Certificación LEED NC (New Construction) y Programa Europeo Greenbuilding.</w:t>
      </w:r>
    </w:p>
    <w:p w14:paraId="20FF5F30"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Adhesión a AUTOCONTROL.</w:t>
      </w:r>
    </w:p>
    <w:p w14:paraId="7FF38582" w14:textId="77777777" w:rsidR="003720EE" w:rsidRPr="003720EE" w:rsidRDefault="003720EE" w:rsidP="000B70C9">
      <w:pPr>
        <w:pStyle w:val="Normal1"/>
        <w:numPr>
          <w:ilvl w:val="0"/>
          <w:numId w:val="45"/>
        </w:numPr>
        <w:jc w:val="both"/>
        <w:rPr>
          <w:rFonts w:ascii="Open Sans" w:hAnsi="Open Sans"/>
          <w:sz w:val="20"/>
        </w:rPr>
      </w:pPr>
      <w:r w:rsidRPr="003720EE">
        <w:rPr>
          <w:rFonts w:ascii="Open Sans" w:eastAsia="Open Sans" w:hAnsi="Open Sans" w:cs="Open Sans"/>
          <w:sz w:val="20"/>
        </w:rPr>
        <w:t>Convenio suscrito entre la AEB, la CNMV y el Banco de España para el desarrollo de actuaciones en el marco del Plan Nacional de Educación Financiera.</w:t>
      </w:r>
    </w:p>
    <w:p w14:paraId="3C55D199" w14:textId="77777777" w:rsidR="003720EE" w:rsidRPr="00773F0D" w:rsidRDefault="003720EE" w:rsidP="003720EE">
      <w:pPr>
        <w:jc w:val="both"/>
        <w:rPr>
          <w:rFonts w:ascii="Open Sans" w:eastAsia="Open Sans" w:hAnsi="Open Sans" w:cs="Open Sans"/>
          <w:color w:val="000000"/>
        </w:rPr>
      </w:pPr>
    </w:p>
    <w:p w14:paraId="4356C0B6" w14:textId="77777777" w:rsidR="003720EE" w:rsidRPr="00773F0D" w:rsidRDefault="003720EE" w:rsidP="003720EE">
      <w:pPr>
        <w:jc w:val="both"/>
        <w:rPr>
          <w:rFonts w:ascii="Open Sans" w:hAnsi="Open Sans"/>
          <w:highlight w:val="white"/>
        </w:rPr>
      </w:pPr>
      <w:r w:rsidRPr="00773F0D">
        <w:rPr>
          <w:rFonts w:ascii="Open Sans" w:eastAsia="Open Sans" w:hAnsi="Open Sans" w:cs="Open Sans"/>
          <w:color w:val="000000"/>
          <w:sz w:val="20"/>
          <w:szCs w:val="20"/>
          <w:highlight w:val="white"/>
        </w:rPr>
        <w:t>Sin embargo, ni</w:t>
      </w:r>
      <w:r w:rsidRPr="00773F0D">
        <w:rPr>
          <w:rFonts w:ascii="Open Sans" w:eastAsia="Open Sans" w:hAnsi="Open Sans" w:cs="Open Sans;Tahoma"/>
          <w:color w:val="000000"/>
          <w:sz w:val="20"/>
          <w:szCs w:val="20"/>
          <w:highlight w:val="white"/>
        </w:rPr>
        <w:t xml:space="preserve"> en la Política de Sostenibilidad, ni en la memoria de RSC </w:t>
      </w:r>
      <w:r w:rsidRPr="00773F0D">
        <w:rPr>
          <w:rFonts w:ascii="Open Sans" w:eastAsia="Open Sans" w:hAnsi="Open Sans" w:cs="Open Sans"/>
          <w:color w:val="000000"/>
          <w:sz w:val="20"/>
          <w:szCs w:val="20"/>
          <w:highlight w:val="white"/>
        </w:rPr>
        <w:t xml:space="preserve">dentro del análisis de materialidad ni en los Aspectos Relevantes Identificados </w:t>
      </w:r>
      <w:r w:rsidRPr="00773F0D">
        <w:rPr>
          <w:rFonts w:ascii="Open Sans" w:eastAsia="Open Sans" w:hAnsi="Open Sans" w:cs="Open Sans;Tahoma"/>
          <w:color w:val="000000"/>
          <w:sz w:val="20"/>
          <w:szCs w:val="20"/>
          <w:highlight w:val="white"/>
        </w:rPr>
        <w:t>se ha encontrado referencia a aspectos relacionados con fiscalidad responsable</w:t>
      </w:r>
      <w:r w:rsidRPr="00773F0D">
        <w:rPr>
          <w:rFonts w:ascii="Open Sans" w:eastAsia="Open Sans" w:hAnsi="Open Sans" w:cs="Open Sans"/>
          <w:color w:val="000000"/>
          <w:sz w:val="20"/>
          <w:szCs w:val="20"/>
          <w:highlight w:val="white"/>
        </w:rPr>
        <w:t xml:space="preserve"> (elusión o evasión fiscal, pago de impuestos, presencia en paraísos fiscales…) a pesar de tener diversas participadas en países con un tratamiento fiscal preferente. Tampoco se menciona la adhesión a ningún código ni iniciativa relacionada con la fiscalidad responsable.</w:t>
      </w:r>
    </w:p>
    <w:p w14:paraId="722BCFB2" w14:textId="77777777" w:rsidR="003720EE" w:rsidRPr="00773F0D" w:rsidRDefault="003720EE" w:rsidP="003720EE">
      <w:pPr>
        <w:jc w:val="both"/>
        <w:rPr>
          <w:rFonts w:ascii="Open Sans" w:eastAsia="Open Sans" w:hAnsi="Open Sans" w:cs="Open Sans"/>
          <w:color w:val="000000"/>
          <w:sz w:val="20"/>
          <w:szCs w:val="20"/>
        </w:rPr>
      </w:pPr>
    </w:p>
    <w:p w14:paraId="15CBC7BE" w14:textId="77777777" w:rsidR="003720EE" w:rsidRPr="00773F0D" w:rsidRDefault="003720EE" w:rsidP="003720EE">
      <w:pPr>
        <w:jc w:val="both"/>
        <w:rPr>
          <w:rFonts w:ascii="Open Sans" w:eastAsia="Open Sans" w:hAnsi="Open Sans" w:cs="Open Sans"/>
          <w:color w:val="000000"/>
          <w:sz w:val="20"/>
          <w:szCs w:val="20"/>
        </w:rPr>
      </w:pPr>
      <w:r w:rsidRPr="00773F0D">
        <w:rPr>
          <w:rFonts w:ascii="Open Sans" w:eastAsia="Open Sans" w:hAnsi="Open Sans" w:cs="Open Sans"/>
          <w:color w:val="000000"/>
          <w:sz w:val="20"/>
          <w:szCs w:val="20"/>
        </w:rPr>
        <w:t>Esto es especialmente relevante, teniendo en cuenta que uno de los riesgos a los que están sujetas las entidades es al riesgo fiscal. Este riesgo se puede derivar de las propias actividades por incumplimiento directo de la norma tributaria o bien porqué se actuó en la creencia del cumplimiento correcto de sus obligaciones tributarias, pero puede surgir discrepancias por cambios interpretativos de consultas tributarias, doctrina administrativa o jurisprudencia.</w:t>
      </w:r>
    </w:p>
    <w:p w14:paraId="45BA830A" w14:textId="77777777" w:rsidR="003720EE" w:rsidRPr="00773F0D" w:rsidRDefault="003720EE" w:rsidP="003720EE">
      <w:pPr>
        <w:jc w:val="both"/>
        <w:rPr>
          <w:rFonts w:ascii="Open Sans" w:eastAsia="Open Sans" w:hAnsi="Open Sans" w:cs="Open Sans"/>
          <w:color w:val="000000"/>
          <w:sz w:val="20"/>
          <w:szCs w:val="20"/>
        </w:rPr>
      </w:pPr>
    </w:p>
    <w:p w14:paraId="1F41E742" w14:textId="77777777" w:rsidR="003720EE" w:rsidRPr="00773F0D" w:rsidRDefault="003720EE" w:rsidP="003720EE">
      <w:pPr>
        <w:jc w:val="both"/>
        <w:rPr>
          <w:rFonts w:ascii="Open Sans" w:eastAsia="Open Sans" w:hAnsi="Open Sans" w:cs="Open Sans"/>
          <w:color w:val="000000"/>
          <w:sz w:val="20"/>
          <w:szCs w:val="20"/>
        </w:rPr>
      </w:pPr>
      <w:r w:rsidRPr="00773F0D">
        <w:rPr>
          <w:rFonts w:ascii="Open Sans" w:eastAsia="Open Sans" w:hAnsi="Open Sans" w:cs="Open Sans"/>
          <w:color w:val="000000"/>
          <w:sz w:val="20"/>
          <w:szCs w:val="20"/>
        </w:rPr>
        <w:t>Como ya se comentó en el análisis del ejercicio 2014, el informe de la OCDE de 2009 “Building Transparent Tax Compliance by Banks” sostiene que, el conocimiento sobre el sistema fiscal y su interacción con los clientes, sitúa al sector bancario en una posición de responsabilidad única. Los bancos deben ser alentados a ofrecer un grado de transparencia "por encima del mínimo legal requerido". Asimismo, dada la complejidad de los sistemas fiscales de los países en vías de desarrollo, es importante que los bancos que operan en esos países lo hagan de forma transparente y que tengan relaciones constructivas y de colaboración con las autoridades fiscales. Del mismo modo, es importante resaltar el doble riesgo que entraña la presencia de entidades financieras en paraísos fiscales tanto por el riesgo de elusión fiscal por parte de la propia empresa, como por el riesgo de elusión fiscal por parte de los clientes. Así, la presencia de sociedades del Grupo en territorios con baja o nula fiscalidad para no residentes, puede facilitar también la operativa de sus clientes en tales territorios, clientes que a su vez presentan también un incremento del riesgo de elusión fiscal. A diferencia de otras empresas, los bancos tienen acceso a una inmensa cantidad de capital. Este capital puede ser utilizado como base para facilitar los mecanismos de evasión diseñados e implementados por otros de los que los bancos pueden beneficiarse, por ejemplo, a través de la participación en los beneficios fiscales directamente o por condiciones de los préstamos más rentables.</w:t>
      </w:r>
    </w:p>
    <w:p w14:paraId="3E519389" w14:textId="77777777" w:rsidR="003720EE" w:rsidRPr="00773F0D" w:rsidRDefault="003720EE" w:rsidP="003720EE">
      <w:pPr>
        <w:jc w:val="both"/>
        <w:rPr>
          <w:rFonts w:ascii="Open Sans" w:eastAsia="Open Sans" w:hAnsi="Open Sans" w:cs="Open Sans"/>
          <w:color w:val="000000"/>
          <w:sz w:val="20"/>
          <w:szCs w:val="20"/>
        </w:rPr>
      </w:pPr>
    </w:p>
    <w:p w14:paraId="5A95D053" w14:textId="77777777" w:rsidR="003720EE" w:rsidRPr="00773F0D" w:rsidRDefault="003720EE" w:rsidP="003720EE">
      <w:pPr>
        <w:jc w:val="both"/>
        <w:rPr>
          <w:rFonts w:ascii="Open Sans" w:eastAsia="Open Sans" w:hAnsi="Open Sans" w:cs="Open Sans"/>
          <w:color w:val="000000"/>
          <w:sz w:val="20"/>
          <w:szCs w:val="20"/>
        </w:rPr>
      </w:pPr>
      <w:r w:rsidRPr="00773F0D">
        <w:rPr>
          <w:rFonts w:ascii="Open Sans" w:eastAsia="Open Sans" w:hAnsi="Open Sans" w:cs="Open Sans"/>
          <w:color w:val="000000"/>
          <w:sz w:val="20"/>
          <w:szCs w:val="20"/>
        </w:rPr>
        <w:t>El ejemplo más claro de elusión fiscal por actividades propias se encuentra en las operaciones realizadas en Islas Caymán con la comercialización de las participaciones preferentes. Durante los años de la gran expansión económica, las entidades financieras acudieron a las preferentes como medio de conseguir capitalización barata y poder responder a las demandas crediticias de sus clientes. En España, desde el inicio de su comercialización en 1998 hasta su legalización en julio de 2003, la CNMV, el Banco de España y del Ministerio de Economía toleraron la emisión de este producto desde paraísos fiscales permitiendo así su amplia difusión. El procedimiento era muy simple, el banco o caja constituía una filial 100% de su propiedad en las Islas Caymán con carácter puramente instrumental, sin empleados, y que no realizaba otra actividad que la de emitir participaciones preferentes. El dinero captado por la red bancaria figuraba como recibido por la filial y se depositaba en la matriz a cambio de una remuneración. Es decir, las filiales prestaban este dinero a sus respectivos bancos matrices, que pagaban unos intereses que se deducían del impuesto de sociedades en España.  El pionero fue el Banco Bilbao Vizcaya (BBV) en 1998 a través de las Islas Caymán, al que rápidamente le siguieron gran parte de las entidades financieras españolas</w:t>
      </w:r>
      <w:r w:rsidRPr="00773F0D">
        <w:rPr>
          <w:rStyle w:val="Refdenotaalpie"/>
          <w:rFonts w:ascii="Open Sans" w:eastAsia="Open Sans" w:hAnsi="Open Sans" w:cs="Open Sans"/>
          <w:sz w:val="20"/>
          <w:szCs w:val="20"/>
        </w:rPr>
        <w:footnoteReference w:id="542"/>
      </w:r>
      <w:r w:rsidRPr="00773F0D">
        <w:rPr>
          <w:rFonts w:ascii="Open Sans" w:eastAsia="Open Sans" w:hAnsi="Open Sans" w:cs="Open Sans"/>
          <w:color w:val="000000"/>
          <w:sz w:val="20"/>
          <w:szCs w:val="20"/>
        </w:rPr>
        <w:t>, entre las que está Banco Sabadell y las entidades que absorbió (CAM y Caixa Penedés). Banco Sabadell a través de la subsidiaria SABADELL INTERNATIONAL EQUITY LTD emitió Preferentes Seria A por importe de 250 millones €. La CAM a través de la subsidiaria CAM CAPITAL emitió Preferentes Serie A por importe de 150 millones € ampliable a 300 millones € y de Serie B por importe de 159,6 millones €. Caixa Penedés a través de su subsidiaria CAIXA PENEDÈS PARTICIPACIONS PREFERENTS LIMITED emitió Preferentes Serie A por importe de 167 millones de €</w:t>
      </w:r>
      <w:r w:rsidRPr="00773F0D">
        <w:rPr>
          <w:rStyle w:val="Refdenotaalpie"/>
          <w:rFonts w:ascii="Open Sans" w:eastAsia="Open Sans" w:hAnsi="Open Sans" w:cs="Open Sans"/>
          <w:sz w:val="20"/>
          <w:szCs w:val="20"/>
        </w:rPr>
        <w:footnoteReference w:id="543"/>
      </w:r>
      <w:r w:rsidRPr="00773F0D">
        <w:rPr>
          <w:rFonts w:ascii="Open Sans" w:eastAsia="Open Sans" w:hAnsi="Open Sans" w:cs="Open Sans"/>
          <w:color w:val="000000"/>
          <w:sz w:val="20"/>
          <w:szCs w:val="20"/>
        </w:rPr>
        <w:t xml:space="preserve">.   </w:t>
      </w:r>
    </w:p>
    <w:p w14:paraId="4065ED06" w14:textId="77777777" w:rsidR="003720EE" w:rsidRPr="00773F0D" w:rsidRDefault="003720EE" w:rsidP="003720EE">
      <w:pPr>
        <w:jc w:val="both"/>
        <w:rPr>
          <w:rFonts w:ascii="Open Sans" w:eastAsia="Open Sans" w:hAnsi="Open Sans" w:cs="Open Sans"/>
          <w:color w:val="000000"/>
          <w:sz w:val="20"/>
          <w:szCs w:val="20"/>
        </w:rPr>
      </w:pPr>
    </w:p>
    <w:p w14:paraId="2142D619" w14:textId="77777777" w:rsidR="003720EE" w:rsidRPr="00773F0D" w:rsidRDefault="003720EE" w:rsidP="003720EE">
      <w:pPr>
        <w:jc w:val="both"/>
        <w:rPr>
          <w:rFonts w:ascii="Open Sans" w:eastAsia="Open Sans" w:hAnsi="Open Sans" w:cs="Open Sans"/>
          <w:color w:val="000000"/>
          <w:sz w:val="20"/>
          <w:szCs w:val="20"/>
        </w:rPr>
      </w:pPr>
      <w:r w:rsidRPr="00773F0D">
        <w:rPr>
          <w:rFonts w:ascii="Open Sans" w:eastAsia="Open Sans" w:hAnsi="Open Sans" w:cs="Open Sans"/>
          <w:color w:val="000000"/>
          <w:sz w:val="20"/>
          <w:szCs w:val="20"/>
        </w:rPr>
        <w:t xml:space="preserve">En cuanto a su actividad como intermediadora, recientemente </w:t>
      </w:r>
      <w:r>
        <w:rPr>
          <w:rFonts w:ascii="Open Sans" w:eastAsia="Open Sans" w:hAnsi="Open Sans" w:cs="Open Sans"/>
          <w:color w:val="000000"/>
          <w:sz w:val="20"/>
          <w:szCs w:val="20"/>
        </w:rPr>
        <w:t xml:space="preserve">ha aparecido en prensa </w:t>
      </w:r>
      <w:r w:rsidRPr="00773F0D">
        <w:rPr>
          <w:rFonts w:ascii="Open Sans" w:eastAsia="Open Sans" w:hAnsi="Open Sans" w:cs="Open Sans"/>
          <w:color w:val="000000"/>
          <w:sz w:val="20"/>
          <w:szCs w:val="20"/>
        </w:rPr>
        <w:t xml:space="preserve"> que un exempleado del Banco Sabadell </w:t>
      </w:r>
      <w:r>
        <w:rPr>
          <w:rFonts w:ascii="Open Sans" w:eastAsia="Open Sans" w:hAnsi="Open Sans" w:cs="Open Sans"/>
          <w:color w:val="000000"/>
          <w:sz w:val="20"/>
          <w:szCs w:val="20"/>
        </w:rPr>
        <w:t xml:space="preserve">está siendo investigado </w:t>
      </w:r>
      <w:r w:rsidRPr="00773F0D">
        <w:rPr>
          <w:rFonts w:ascii="Open Sans" w:eastAsia="Open Sans" w:hAnsi="Open Sans" w:cs="Open Sans"/>
          <w:color w:val="000000"/>
          <w:sz w:val="20"/>
          <w:szCs w:val="20"/>
        </w:rPr>
        <w:t>en el marco de las investigaciones de la Lista Falciani (Papeles de Panamá). Se ha reclamado información al banco sobre esta persona que trabajó como agente independiente del mismo, con el objetivo de averiguar si se la entidad realizó los controles pertinentes en relación con los movimientos de dinero llevados a cabo por el HSBC en nuestro país</w:t>
      </w:r>
      <w:r w:rsidRPr="00773F0D">
        <w:rPr>
          <w:rStyle w:val="Refdenotaalpie"/>
          <w:rFonts w:ascii="Open Sans" w:eastAsia="Open Sans" w:hAnsi="Open Sans" w:cs="Open Sans"/>
          <w:sz w:val="20"/>
          <w:szCs w:val="20"/>
        </w:rPr>
        <w:footnoteReference w:id="544"/>
      </w:r>
      <w:r w:rsidRPr="00773F0D">
        <w:rPr>
          <w:rFonts w:ascii="Open Sans" w:eastAsia="Open Sans" w:hAnsi="Open Sans" w:cs="Open Sans"/>
          <w:color w:val="000000"/>
          <w:sz w:val="20"/>
          <w:szCs w:val="20"/>
        </w:rPr>
        <w:t>.</w:t>
      </w:r>
    </w:p>
    <w:p w14:paraId="1C1C4B89" w14:textId="77777777" w:rsidR="003720EE" w:rsidRPr="00773F0D" w:rsidRDefault="003720EE" w:rsidP="003720EE">
      <w:pPr>
        <w:jc w:val="both"/>
        <w:rPr>
          <w:rFonts w:ascii="Open Sans" w:eastAsia="Open Sans" w:hAnsi="Open Sans" w:cs="Open Sans"/>
          <w:color w:val="000000"/>
          <w:sz w:val="20"/>
          <w:szCs w:val="20"/>
        </w:rPr>
      </w:pPr>
    </w:p>
    <w:p w14:paraId="048A8111" w14:textId="77777777" w:rsidR="003720EE" w:rsidRPr="00773F0D" w:rsidRDefault="003720EE" w:rsidP="003720EE">
      <w:pPr>
        <w:jc w:val="both"/>
        <w:rPr>
          <w:rFonts w:ascii="Open Sans" w:eastAsia="Open Sans" w:hAnsi="Open Sans" w:cs="Open Sans"/>
          <w:color w:val="000000"/>
          <w:sz w:val="20"/>
          <w:szCs w:val="20"/>
        </w:rPr>
      </w:pPr>
      <w:r w:rsidRPr="00773F0D">
        <w:rPr>
          <w:rFonts w:ascii="Open Sans" w:eastAsia="Open Sans" w:hAnsi="Open Sans" w:cs="Open Sans"/>
          <w:color w:val="000000"/>
          <w:sz w:val="20"/>
          <w:szCs w:val="20"/>
        </w:rPr>
        <w:t>Por otro lado, la responsabilidad fiscal va más allá del estricto cumplimiento de la norma. Un comportamiento fiscal responsable tiene en cuenta las consecuencias sociales que se derivan puesto que cada vez es mayor el número de investigaciones que establecen una relación entre fiscalidad y derechos humanos, y más concretamente que consideran el impacto de la política fiscal y tributaria en el disfrute de los derechos humanos de las sociedades que viven en la pobreza. Las investigaciones apuntan a que bajos niveles de ingreso fiscales nacionales podrían ser un obstáculo importante para el cumplimiento de la obligación del Estado de garantizar los derechos humanos.</w:t>
      </w:r>
    </w:p>
    <w:p w14:paraId="508628CA" w14:textId="77777777" w:rsidR="003720EE" w:rsidRPr="00773F0D" w:rsidRDefault="003720EE" w:rsidP="003720EE">
      <w:pPr>
        <w:jc w:val="both"/>
        <w:rPr>
          <w:rFonts w:ascii="Open Sans" w:eastAsia="Open Sans" w:hAnsi="Open Sans" w:cs="Open Sans"/>
          <w:color w:val="000000"/>
          <w:sz w:val="20"/>
          <w:szCs w:val="20"/>
        </w:rPr>
      </w:pPr>
    </w:p>
    <w:p w14:paraId="45D7AF64" w14:textId="77777777" w:rsidR="003720EE" w:rsidRPr="00773F0D" w:rsidRDefault="003720EE" w:rsidP="003720EE">
      <w:pPr>
        <w:jc w:val="both"/>
        <w:rPr>
          <w:rFonts w:ascii="Open Sans" w:hAnsi="Open Sans"/>
          <w:highlight w:val="white"/>
        </w:rPr>
      </w:pPr>
      <w:r w:rsidRPr="00773F0D">
        <w:rPr>
          <w:rFonts w:ascii="Open Sans" w:hAnsi="Open Sans" w:cs="Open Sans;Tahoma"/>
          <w:color w:val="000000"/>
          <w:sz w:val="20"/>
          <w:szCs w:val="20"/>
          <w:highlight w:val="white"/>
        </w:rPr>
        <w:t xml:space="preserve">Las referencias al respecto las encontramos en las Cuentas Anuales Consolidadas,  Informe Anual y en el Informe de Gobierno Corporativo, como se verá más adelante son insuficientes y no proporcionan toda la información necesaria para poder valorar el comportamiento de la entidad al respecto. </w:t>
      </w:r>
    </w:p>
    <w:p w14:paraId="7E705947" w14:textId="77777777" w:rsidR="003720EE" w:rsidRPr="00773F0D" w:rsidRDefault="003720EE" w:rsidP="003720EE">
      <w:pPr>
        <w:jc w:val="both"/>
        <w:rPr>
          <w:rFonts w:ascii="Open Sans" w:hAnsi="Open Sans" w:cs="Open Sans;Tahoma"/>
          <w:b/>
          <w:color w:val="000000"/>
          <w:sz w:val="20"/>
          <w:szCs w:val="20"/>
          <w:highlight w:val="white"/>
        </w:rPr>
      </w:pPr>
    </w:p>
    <w:p w14:paraId="371E03B6" w14:textId="77777777" w:rsidR="003720EE" w:rsidRDefault="003720EE" w:rsidP="003720EE">
      <w:pPr>
        <w:rPr>
          <w:rFonts w:ascii="Open Sans" w:hAnsi="Open Sans" w:cs="Open Sans;Tahoma"/>
          <w:sz w:val="22"/>
          <w:szCs w:val="20"/>
        </w:rPr>
      </w:pPr>
      <w:r>
        <w:rPr>
          <w:rFonts w:ascii="Open Sans" w:hAnsi="Open Sans" w:cs="Open Sans;Tahoma"/>
          <w:sz w:val="22"/>
          <w:szCs w:val="20"/>
        </w:rPr>
        <w:br w:type="page"/>
      </w:r>
    </w:p>
    <w:p w14:paraId="15812DF8" w14:textId="77777777" w:rsidR="003720EE" w:rsidRPr="00773F0D" w:rsidRDefault="003720EE" w:rsidP="003720EE">
      <w:pPr>
        <w:jc w:val="both"/>
        <w:rPr>
          <w:rFonts w:ascii="Open Sans" w:hAnsi="Open Sans" w:cs="Open Sans;Tahoma"/>
          <w:sz w:val="22"/>
          <w:szCs w:val="20"/>
        </w:rPr>
      </w:pPr>
    </w:p>
    <w:p w14:paraId="17CD3633" w14:textId="77777777" w:rsidR="003720EE" w:rsidRPr="00773F0D" w:rsidRDefault="003720EE" w:rsidP="003720EE">
      <w:pPr>
        <w:jc w:val="both"/>
        <w:rPr>
          <w:rFonts w:ascii="Open Sans" w:hAnsi="Open Sans" w:cs="Open Sans;Tahoma"/>
          <w:b/>
          <w:sz w:val="22"/>
          <w:szCs w:val="22"/>
          <w:u w:val="single"/>
        </w:rPr>
      </w:pPr>
      <w:r w:rsidRPr="00773F0D">
        <w:rPr>
          <w:rFonts w:ascii="Open Sans" w:hAnsi="Open Sans" w:cs="Open Sans;Tahoma"/>
          <w:b/>
          <w:sz w:val="22"/>
          <w:szCs w:val="22"/>
          <w:u w:val="single"/>
        </w:rPr>
        <w:t>4. Análisis</w:t>
      </w:r>
    </w:p>
    <w:p w14:paraId="36A4F15C" w14:textId="77777777" w:rsidR="003720EE" w:rsidRPr="00773F0D" w:rsidRDefault="003720EE" w:rsidP="003720EE">
      <w:pPr>
        <w:pStyle w:val="Normal1"/>
        <w:jc w:val="both"/>
        <w:rPr>
          <w:rFonts w:ascii="Open Sans" w:eastAsia="Open Sans" w:hAnsi="Open Sans" w:cs="Open Sans"/>
        </w:rPr>
      </w:pPr>
    </w:p>
    <w:p w14:paraId="70CC1E0D" w14:textId="77777777" w:rsidR="003720EE" w:rsidRPr="003720EE" w:rsidRDefault="003720EE" w:rsidP="003720EE">
      <w:pPr>
        <w:pStyle w:val="Normal1"/>
        <w:jc w:val="both"/>
        <w:rPr>
          <w:rFonts w:ascii="Open Sans" w:hAnsi="Open Sans"/>
          <w:sz w:val="20"/>
          <w:highlight w:val="yellow"/>
        </w:rPr>
      </w:pPr>
      <w:r w:rsidRPr="003720EE">
        <w:rPr>
          <w:rFonts w:ascii="Open Sans" w:eastAsia="Open Sans" w:hAnsi="Open Sans" w:cs="Open Sans"/>
          <w:sz w:val="20"/>
        </w:rPr>
        <w:t xml:space="preserve">Banco Sabadell contaba en 2014 con 14 sociedades ubicadas en territorios </w:t>
      </w:r>
      <w:r w:rsidRPr="003720EE">
        <w:rPr>
          <w:rFonts w:ascii="Open Sans" w:eastAsia="Open Sans" w:hAnsi="Open Sans" w:cs="Open Sans"/>
          <w:i/>
          <w:sz w:val="20"/>
        </w:rPr>
        <w:t xml:space="preserve">off-shore </w:t>
      </w:r>
      <w:r w:rsidRPr="003720EE">
        <w:rPr>
          <w:rFonts w:ascii="Open Sans" w:eastAsia="Open Sans" w:hAnsi="Open Sans" w:cs="Open Sans"/>
          <w:sz w:val="20"/>
        </w:rPr>
        <w:t>de acuerdo con la metodología utilizada por este estudio por parte del Observatorio de Responsabilidad Social Corporativa. En 2015 el número de sociedades en paraísos y nichos fiscales se ha reducido a la mitad.  La mayoría de ellas dedicadas a otras actividades financieras, además de la banca y los seguros: tenencia de acciones, gestión de activos y emisión de deuda.</w:t>
      </w:r>
    </w:p>
    <w:p w14:paraId="61A9CB70" w14:textId="77777777" w:rsidR="003720EE" w:rsidRPr="003720EE" w:rsidRDefault="003720EE" w:rsidP="003720EE">
      <w:pPr>
        <w:pStyle w:val="Normal1"/>
        <w:jc w:val="both"/>
        <w:rPr>
          <w:rFonts w:ascii="Open Sans" w:eastAsia="Open Sans" w:hAnsi="Open Sans" w:cs="Open Sans"/>
          <w:sz w:val="20"/>
        </w:rPr>
      </w:pPr>
    </w:p>
    <w:p w14:paraId="49EE651F" w14:textId="77777777" w:rsidR="003720EE" w:rsidRPr="003720EE" w:rsidRDefault="003720EE" w:rsidP="003720EE">
      <w:pPr>
        <w:pStyle w:val="Normal1"/>
        <w:jc w:val="both"/>
        <w:rPr>
          <w:rFonts w:ascii="Open Sans" w:hAnsi="Open Sans"/>
          <w:sz w:val="20"/>
          <w:highlight w:val="yellow"/>
        </w:rPr>
      </w:pPr>
      <w:r w:rsidRPr="003720EE">
        <w:rPr>
          <w:rFonts w:ascii="Open Sans" w:eastAsia="Open Sans" w:hAnsi="Open Sans" w:cs="Open Sans"/>
          <w:sz w:val="20"/>
        </w:rPr>
        <w:t xml:space="preserve">De las 5 sociedades ubicadas en Holanda, cuatro han salido del perímetro en 2015 por disolución o liquidación y 1 se ha consolidado por el método de participación; la sociedad ubicada en Islas Caimán se ha consolidado por integración global. </w:t>
      </w:r>
    </w:p>
    <w:p w14:paraId="59AA4382" w14:textId="77777777" w:rsidR="003720EE" w:rsidRPr="003720EE" w:rsidRDefault="003720EE" w:rsidP="003720EE">
      <w:pPr>
        <w:pStyle w:val="Normal1"/>
        <w:jc w:val="both"/>
        <w:rPr>
          <w:rFonts w:ascii="Open Sans" w:eastAsia="Open Sans" w:hAnsi="Open Sans" w:cs="Open Sans"/>
          <w:sz w:val="20"/>
        </w:rPr>
      </w:pPr>
    </w:p>
    <w:p w14:paraId="73ECA59E" w14:textId="77777777" w:rsidR="003720EE" w:rsidRPr="003720EE" w:rsidRDefault="003720EE" w:rsidP="003720EE">
      <w:pPr>
        <w:pStyle w:val="Normal1"/>
        <w:jc w:val="both"/>
        <w:rPr>
          <w:rFonts w:ascii="Open Sans" w:hAnsi="Open Sans"/>
          <w:sz w:val="20"/>
        </w:rPr>
      </w:pPr>
      <w:r w:rsidRPr="003720EE">
        <w:rPr>
          <w:rFonts w:ascii="Open Sans" w:eastAsia="Open Sans" w:hAnsi="Open Sans" w:cs="Open Sans"/>
          <w:sz w:val="20"/>
        </w:rPr>
        <w:t xml:space="preserve">Esta reducción se corresponde con la postura manifestada por la entidad en ejercicios anteriores. Según se mencionó en informes anteriores, en 2013 y 2014, la entidad había realizado informes de auditoría donde se analizaban las actividades off-shore del grupo y se  constataba la reducción progresiva de las actividades del Grupo a través de establecimientos off-shore, reiterando el compromiso a reducir su presencia en estos territorios,  pero sin ofrecer datos acerca de cómo lo lleva a cabo y siempre bajo la perspectiva de eliminar toda operativa susceptible de generar riesgos de tipo legal o reputacional no en base a su responsabilidad fiscal y necesidad de contribuir a la sociedad mediante el pago de impuestos. </w:t>
      </w:r>
    </w:p>
    <w:p w14:paraId="589AA4F8" w14:textId="77777777" w:rsidR="003720EE" w:rsidRPr="003720EE" w:rsidRDefault="003720EE" w:rsidP="003720EE">
      <w:pPr>
        <w:pStyle w:val="Normal1"/>
        <w:jc w:val="both"/>
        <w:rPr>
          <w:rFonts w:ascii="Open Sans" w:eastAsia="Open Sans" w:hAnsi="Open Sans" w:cs="Open Sans"/>
          <w:sz w:val="20"/>
        </w:rPr>
      </w:pPr>
    </w:p>
    <w:p w14:paraId="3FB7A0A0" w14:textId="77777777" w:rsidR="003720EE" w:rsidRPr="003720EE" w:rsidRDefault="003720EE" w:rsidP="003720EE">
      <w:pPr>
        <w:pStyle w:val="Normal1"/>
        <w:jc w:val="both"/>
        <w:rPr>
          <w:rFonts w:ascii="Open Sans" w:hAnsi="Open Sans"/>
          <w:sz w:val="20"/>
        </w:rPr>
      </w:pPr>
      <w:r w:rsidRPr="003720EE">
        <w:rPr>
          <w:rFonts w:ascii="Open Sans" w:eastAsia="Open Sans" w:hAnsi="Open Sans" w:cs="Open Sans"/>
          <w:sz w:val="20"/>
        </w:rPr>
        <w:t>En 2015 no se ha encontrado mención alguna a actuaciones, políticas, informes, actividades, postura,… relacionadas con territorios off-shore. Así mismo, tampoco se ha encontrado información específica de las oficinas de representación en Emiratos Árabes Unidos, Singapur</w:t>
      </w:r>
      <w:proofErr w:type="gramStart"/>
      <w:r w:rsidRPr="003720EE">
        <w:rPr>
          <w:rFonts w:ascii="Open Sans" w:eastAsia="Open Sans" w:hAnsi="Open Sans" w:cs="Open Sans"/>
          <w:sz w:val="20"/>
        </w:rPr>
        <w:t>, ,</w:t>
      </w:r>
      <w:proofErr w:type="gramEnd"/>
      <w:r w:rsidRPr="003720EE">
        <w:rPr>
          <w:rFonts w:ascii="Open Sans" w:eastAsia="Open Sans" w:hAnsi="Open Sans" w:cs="Open Sans"/>
          <w:sz w:val="20"/>
        </w:rPr>
        <w:t xml:space="preserve"> considerados nichos fiscales</w:t>
      </w:r>
      <w:r w:rsidRPr="003720EE">
        <w:rPr>
          <w:rStyle w:val="Refdenotaalpie"/>
          <w:rFonts w:ascii="Open Sans" w:eastAsia="Open Sans" w:hAnsi="Open Sans" w:cs="Open Sans"/>
          <w:sz w:val="20"/>
        </w:rPr>
        <w:footnoteReference w:id="545"/>
      </w:r>
      <w:r w:rsidRPr="003720EE">
        <w:rPr>
          <w:rFonts w:ascii="Open Sans" w:eastAsia="Open Sans" w:hAnsi="Open Sans" w:cs="Open Sans"/>
          <w:sz w:val="20"/>
        </w:rPr>
        <w:t xml:space="preserve">. En ejercicios posteriores será conveniente hacer seguimiento de las entidades ubicadas en estos territorios para poder constatar su progresiva reducción. </w:t>
      </w:r>
    </w:p>
    <w:p w14:paraId="0299EE80" w14:textId="77777777" w:rsidR="003720EE" w:rsidRPr="003720EE" w:rsidRDefault="003720EE" w:rsidP="003720EE">
      <w:pPr>
        <w:pStyle w:val="Normal1"/>
        <w:jc w:val="both"/>
        <w:rPr>
          <w:rFonts w:ascii="Open Sans" w:hAnsi="Open Sans"/>
          <w:sz w:val="20"/>
        </w:rPr>
      </w:pPr>
    </w:p>
    <w:p w14:paraId="665F45D7" w14:textId="77777777" w:rsidR="003720EE" w:rsidRPr="003720EE" w:rsidRDefault="003720EE" w:rsidP="003720EE">
      <w:pPr>
        <w:pStyle w:val="Normal1"/>
        <w:jc w:val="both"/>
        <w:rPr>
          <w:rFonts w:ascii="Open Sans" w:eastAsia="Open Sans" w:hAnsi="Open Sans" w:cs="Open Sans"/>
          <w:sz w:val="20"/>
        </w:rPr>
      </w:pPr>
      <w:r w:rsidRPr="003720EE">
        <w:rPr>
          <w:rFonts w:ascii="Open Sans" w:eastAsia="Open Sans" w:hAnsi="Open Sans" w:cs="Open Sans"/>
          <w:sz w:val="20"/>
        </w:rPr>
        <w:t>En la siguiente tabla se detallan las sociedades del Grupo Banco Sabadell ubicadas en paraísos o nichos fiscales:</w:t>
      </w:r>
    </w:p>
    <w:p w14:paraId="700742CA" w14:textId="77777777" w:rsidR="003720EE" w:rsidRDefault="003720EE" w:rsidP="003720EE">
      <w:pPr>
        <w:rPr>
          <w:rFonts w:ascii="Open Sans" w:eastAsia="Open Sans" w:hAnsi="Open Sans" w:cs="Open Sans"/>
          <w:sz w:val="20"/>
          <w:szCs w:val="20"/>
          <w:lang w:bidi="hi-IN"/>
        </w:rPr>
      </w:pPr>
      <w:r>
        <w:rPr>
          <w:rFonts w:ascii="Open Sans" w:eastAsia="Open Sans" w:hAnsi="Open Sans" w:cs="Open Sans"/>
          <w:szCs w:val="20"/>
        </w:rPr>
        <w:br w:type="page"/>
      </w:r>
    </w:p>
    <w:p w14:paraId="7321EADC" w14:textId="77777777" w:rsidR="003720EE" w:rsidRPr="00773F0D" w:rsidRDefault="003720EE" w:rsidP="003720EE">
      <w:pPr>
        <w:pStyle w:val="Normal1"/>
        <w:jc w:val="both"/>
        <w:rPr>
          <w:rFonts w:ascii="Open Sans" w:hAnsi="Open Sans"/>
          <w:highlight w:val="yellow"/>
        </w:rPr>
      </w:pPr>
    </w:p>
    <w:tbl>
      <w:tblPr>
        <w:tblW w:w="8280" w:type="dxa"/>
        <w:tblInd w:w="207" w:type="dxa"/>
        <w:tblBorders>
          <w:top w:val="single" w:sz="4" w:space="0" w:color="000001"/>
          <w:left w:val="single" w:sz="4" w:space="0" w:color="000001"/>
          <w:bottom w:val="single" w:sz="4" w:space="0" w:color="000001"/>
          <w:insideH w:val="single" w:sz="4" w:space="0" w:color="000001"/>
        </w:tblBorders>
        <w:tblCellMar>
          <w:left w:w="103" w:type="dxa"/>
        </w:tblCellMar>
        <w:tblLook w:val="0000" w:firstRow="0" w:lastRow="0" w:firstColumn="0" w:lastColumn="0" w:noHBand="0" w:noVBand="0"/>
      </w:tblPr>
      <w:tblGrid>
        <w:gridCol w:w="3555"/>
        <w:gridCol w:w="1830"/>
        <w:gridCol w:w="2895"/>
      </w:tblGrid>
      <w:tr w:rsidR="003720EE" w:rsidRPr="00773F0D" w14:paraId="7A8AB230" w14:textId="77777777" w:rsidTr="00A764EF">
        <w:trPr>
          <w:trHeight w:val="291"/>
        </w:trPr>
        <w:tc>
          <w:tcPr>
            <w:tcW w:w="3555" w:type="dxa"/>
            <w:tcBorders>
              <w:top w:val="single" w:sz="4" w:space="0" w:color="000001"/>
              <w:left w:val="single" w:sz="4" w:space="0" w:color="000001"/>
              <w:bottom w:val="single" w:sz="4" w:space="0" w:color="000001"/>
            </w:tcBorders>
            <w:shd w:val="clear" w:color="auto" w:fill="B3B3B3"/>
            <w:tcMar>
              <w:left w:w="103" w:type="dxa"/>
            </w:tcMar>
            <w:vAlign w:val="center"/>
          </w:tcPr>
          <w:p w14:paraId="773BDCAD" w14:textId="77777777" w:rsidR="003720EE" w:rsidRPr="00D45392" w:rsidRDefault="003720EE" w:rsidP="00A764EF">
            <w:pPr>
              <w:jc w:val="center"/>
              <w:rPr>
                <w:rFonts w:ascii="Open Sans" w:hAnsi="Open Sans" w:cs="Open Sans;Tahoma"/>
                <w:b/>
                <w:bCs/>
                <w:color w:val="000000"/>
                <w:sz w:val="20"/>
                <w:szCs w:val="20"/>
              </w:rPr>
            </w:pPr>
            <w:r w:rsidRPr="00D45392">
              <w:rPr>
                <w:rFonts w:ascii="Open Sans" w:hAnsi="Open Sans" w:cs="Open Sans;Tahoma"/>
                <w:b/>
                <w:bCs/>
                <w:color w:val="000000"/>
                <w:sz w:val="20"/>
                <w:szCs w:val="20"/>
              </w:rPr>
              <w:t>Nombre de la Sociedad</w:t>
            </w:r>
          </w:p>
        </w:tc>
        <w:tc>
          <w:tcPr>
            <w:tcW w:w="1830" w:type="dxa"/>
            <w:tcBorders>
              <w:top w:val="single" w:sz="4" w:space="0" w:color="000001"/>
              <w:left w:val="single" w:sz="4" w:space="0" w:color="000001"/>
              <w:bottom w:val="single" w:sz="4" w:space="0" w:color="000001"/>
            </w:tcBorders>
            <w:shd w:val="clear" w:color="auto" w:fill="B3B3B3"/>
            <w:tcMar>
              <w:left w:w="103" w:type="dxa"/>
            </w:tcMar>
            <w:vAlign w:val="center"/>
          </w:tcPr>
          <w:p w14:paraId="4E8DC245" w14:textId="77777777" w:rsidR="003720EE" w:rsidRPr="00D45392" w:rsidRDefault="003720EE" w:rsidP="00A764EF">
            <w:pPr>
              <w:jc w:val="center"/>
              <w:rPr>
                <w:rFonts w:ascii="Open Sans" w:hAnsi="Open Sans" w:cs="Open Sans;Tahoma"/>
                <w:b/>
                <w:bCs/>
                <w:color w:val="000000"/>
                <w:sz w:val="20"/>
                <w:szCs w:val="20"/>
              </w:rPr>
            </w:pPr>
            <w:r w:rsidRPr="00D45392">
              <w:rPr>
                <w:rFonts w:ascii="Open Sans" w:hAnsi="Open Sans" w:cs="Open Sans;Tahoma"/>
                <w:b/>
                <w:bCs/>
                <w:color w:val="000000"/>
                <w:sz w:val="20"/>
                <w:szCs w:val="20"/>
              </w:rPr>
              <w:t>Jurisdicción</w:t>
            </w:r>
          </w:p>
        </w:tc>
        <w:tc>
          <w:tcPr>
            <w:tcW w:w="2895" w:type="dxa"/>
            <w:tcBorders>
              <w:top w:val="single" w:sz="4" w:space="0" w:color="000001"/>
              <w:left w:val="single" w:sz="4" w:space="0" w:color="000001"/>
              <w:bottom w:val="single" w:sz="4" w:space="0" w:color="000001"/>
              <w:right w:val="single" w:sz="4" w:space="0" w:color="000001"/>
            </w:tcBorders>
            <w:shd w:val="clear" w:color="auto" w:fill="B3B3B3"/>
            <w:tcMar>
              <w:left w:w="103" w:type="dxa"/>
            </w:tcMar>
            <w:vAlign w:val="center"/>
          </w:tcPr>
          <w:p w14:paraId="2F62C0C9" w14:textId="77777777" w:rsidR="003720EE" w:rsidRPr="00D45392" w:rsidRDefault="003720EE" w:rsidP="00A764EF">
            <w:pPr>
              <w:jc w:val="center"/>
              <w:rPr>
                <w:rFonts w:ascii="Open Sans" w:hAnsi="Open Sans" w:cs="Open Sans;Tahoma"/>
                <w:b/>
                <w:bCs/>
                <w:color w:val="000000"/>
                <w:sz w:val="20"/>
                <w:szCs w:val="20"/>
              </w:rPr>
            </w:pPr>
            <w:r w:rsidRPr="00D45392">
              <w:rPr>
                <w:rFonts w:ascii="Open Sans" w:hAnsi="Open Sans" w:cs="Open Sans;Tahoma"/>
                <w:b/>
                <w:bCs/>
                <w:color w:val="000000"/>
                <w:sz w:val="20"/>
                <w:szCs w:val="20"/>
              </w:rPr>
              <w:t>Actividad</w:t>
            </w:r>
          </w:p>
        </w:tc>
      </w:tr>
      <w:tr w:rsidR="003720EE" w:rsidRPr="00773F0D" w14:paraId="45D1485B" w14:textId="77777777" w:rsidTr="00A764EF">
        <w:trPr>
          <w:trHeight w:val="560"/>
        </w:trPr>
        <w:tc>
          <w:tcPr>
            <w:tcW w:w="3555" w:type="dxa"/>
            <w:tcBorders>
              <w:left w:val="single" w:sz="4" w:space="0" w:color="000001"/>
              <w:bottom w:val="single" w:sz="4" w:space="0" w:color="000001"/>
            </w:tcBorders>
            <w:shd w:val="clear" w:color="auto" w:fill="FFFFFF"/>
            <w:tcMar>
              <w:left w:w="103" w:type="dxa"/>
            </w:tcMar>
            <w:vAlign w:val="center"/>
          </w:tcPr>
          <w:p w14:paraId="35E2CD1B"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Assegurances Segur Vida, S.A.</w:t>
            </w:r>
          </w:p>
        </w:tc>
        <w:tc>
          <w:tcPr>
            <w:tcW w:w="1830" w:type="dxa"/>
            <w:tcBorders>
              <w:left w:val="single" w:sz="4" w:space="0" w:color="000001"/>
              <w:bottom w:val="single" w:sz="4" w:space="0" w:color="000001"/>
            </w:tcBorders>
            <w:shd w:val="clear" w:color="auto" w:fill="auto"/>
            <w:tcMar>
              <w:left w:w="103" w:type="dxa"/>
            </w:tcMar>
            <w:vAlign w:val="center"/>
          </w:tcPr>
          <w:p w14:paraId="58E34D6A"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rPr>
              <w:t>Andorra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231DB5B9"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Otras sociedades reguladas</w:t>
            </w:r>
          </w:p>
        </w:tc>
      </w:tr>
      <w:tr w:rsidR="003720EE" w:rsidRPr="00773F0D" w14:paraId="768782EE" w14:textId="77777777" w:rsidTr="00A764EF">
        <w:trPr>
          <w:trHeight w:val="560"/>
        </w:trPr>
        <w:tc>
          <w:tcPr>
            <w:tcW w:w="3555" w:type="dxa"/>
            <w:tcBorders>
              <w:left w:val="single" w:sz="4" w:space="0" w:color="000001"/>
              <w:bottom w:val="single" w:sz="4" w:space="0" w:color="000001"/>
            </w:tcBorders>
            <w:shd w:val="clear" w:color="auto" w:fill="FFFFFF"/>
            <w:tcMar>
              <w:left w:w="103" w:type="dxa"/>
            </w:tcMar>
            <w:vAlign w:val="center"/>
          </w:tcPr>
          <w:p w14:paraId="08D1B636" w14:textId="77777777" w:rsidR="003720EE" w:rsidRPr="003720EE" w:rsidRDefault="003720EE" w:rsidP="00A764EF">
            <w:pPr>
              <w:pStyle w:val="Normal1"/>
              <w:rPr>
                <w:rFonts w:ascii="Open Sans" w:eastAsia="Open Sans" w:hAnsi="Open Sans" w:cs="Open Sans"/>
                <w:sz w:val="20"/>
              </w:rPr>
            </w:pPr>
            <w:r w:rsidRPr="003720EE">
              <w:rPr>
                <w:rFonts w:ascii="Open Sans" w:eastAsia="Open Sans" w:hAnsi="Open Sans" w:cs="Open Sans"/>
                <w:sz w:val="20"/>
              </w:rPr>
              <w:t>Balam Overseas BV</w:t>
            </w:r>
          </w:p>
        </w:tc>
        <w:tc>
          <w:tcPr>
            <w:tcW w:w="1830" w:type="dxa"/>
            <w:tcBorders>
              <w:left w:val="single" w:sz="4" w:space="0" w:color="000001"/>
              <w:bottom w:val="single" w:sz="4" w:space="0" w:color="000001"/>
            </w:tcBorders>
            <w:shd w:val="clear" w:color="auto" w:fill="auto"/>
            <w:tcMar>
              <w:left w:w="103" w:type="dxa"/>
            </w:tcMar>
            <w:vAlign w:val="center"/>
          </w:tcPr>
          <w:p w14:paraId="7047DF5A" w14:textId="77777777" w:rsidR="003720EE" w:rsidRPr="003720EE" w:rsidRDefault="003720EE" w:rsidP="00A764EF">
            <w:pPr>
              <w:pStyle w:val="Normal1"/>
              <w:jc w:val="center"/>
              <w:rPr>
                <w:rFonts w:ascii="Open Sans" w:eastAsia="Open Sans" w:hAnsi="Open Sans" w:cs="Open Sans"/>
                <w:sz w:val="20"/>
              </w:rPr>
            </w:pPr>
            <w:r w:rsidRPr="003720EE">
              <w:rPr>
                <w:rFonts w:ascii="Open Sans" w:eastAsia="Open Sans" w:hAnsi="Open Sans" w:cs="Open Sans"/>
                <w:sz w:val="20"/>
              </w:rPr>
              <w:t>Holanda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10506035" w14:textId="77777777" w:rsidR="003720EE" w:rsidRPr="003720EE" w:rsidRDefault="003720EE" w:rsidP="00A764EF">
            <w:pPr>
              <w:pStyle w:val="Normal1"/>
              <w:rPr>
                <w:rFonts w:ascii="Open Sans" w:eastAsia="Open Sans" w:hAnsi="Open Sans" w:cs="Open Sans"/>
                <w:sz w:val="20"/>
              </w:rPr>
            </w:pPr>
            <w:r w:rsidRPr="003720EE">
              <w:rPr>
                <w:rFonts w:ascii="Open Sans" w:eastAsia="Open Sans" w:hAnsi="Open Sans" w:cs="Open Sans"/>
                <w:sz w:val="20"/>
              </w:rPr>
              <w:t>Inmobiliaria</w:t>
            </w:r>
          </w:p>
        </w:tc>
      </w:tr>
      <w:tr w:rsidR="003720EE" w:rsidRPr="00773F0D" w14:paraId="25B78B4B" w14:textId="77777777" w:rsidTr="00A764EF">
        <w:trPr>
          <w:trHeight w:val="500"/>
        </w:trPr>
        <w:tc>
          <w:tcPr>
            <w:tcW w:w="3555" w:type="dxa"/>
            <w:tcBorders>
              <w:left w:val="single" w:sz="4" w:space="0" w:color="000001"/>
              <w:bottom w:val="single" w:sz="4" w:space="0" w:color="000001"/>
            </w:tcBorders>
            <w:shd w:val="clear" w:color="auto" w:fill="FFFFFF"/>
            <w:tcMar>
              <w:left w:w="103" w:type="dxa"/>
            </w:tcMar>
            <w:vAlign w:val="center"/>
          </w:tcPr>
          <w:p w14:paraId="47B6CEB6"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BancSabadell d'Andorra , S.A.</w:t>
            </w:r>
          </w:p>
        </w:tc>
        <w:tc>
          <w:tcPr>
            <w:tcW w:w="1830" w:type="dxa"/>
            <w:tcBorders>
              <w:left w:val="single" w:sz="4" w:space="0" w:color="000001"/>
              <w:bottom w:val="single" w:sz="4" w:space="0" w:color="000001"/>
            </w:tcBorders>
            <w:shd w:val="clear" w:color="auto" w:fill="auto"/>
            <w:tcMar>
              <w:left w:w="103" w:type="dxa"/>
            </w:tcMar>
            <w:vAlign w:val="center"/>
          </w:tcPr>
          <w:p w14:paraId="4B24E579"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rPr>
              <w:t>Andorra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61842620"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Entidad de Crédito</w:t>
            </w:r>
          </w:p>
        </w:tc>
      </w:tr>
      <w:tr w:rsidR="003720EE" w:rsidRPr="00773F0D" w14:paraId="21E65A6C" w14:textId="77777777" w:rsidTr="00A764EF">
        <w:trPr>
          <w:trHeight w:val="500"/>
        </w:trPr>
        <w:tc>
          <w:tcPr>
            <w:tcW w:w="3555" w:type="dxa"/>
            <w:tcBorders>
              <w:left w:val="single" w:sz="4" w:space="0" w:color="000001"/>
              <w:bottom w:val="single" w:sz="4" w:space="0" w:color="000001"/>
            </w:tcBorders>
            <w:shd w:val="clear" w:color="auto" w:fill="FFFFFF"/>
            <w:tcMar>
              <w:left w:w="103" w:type="dxa"/>
            </w:tcMar>
            <w:vAlign w:val="center"/>
          </w:tcPr>
          <w:p w14:paraId="0D6784C8" w14:textId="77777777" w:rsidR="003720EE" w:rsidRPr="003720EE" w:rsidRDefault="003720EE" w:rsidP="00A764EF">
            <w:pPr>
              <w:pStyle w:val="Normal1"/>
              <w:rPr>
                <w:rFonts w:ascii="Open Sans" w:eastAsia="Open Sans" w:hAnsi="Open Sans" w:cs="Open Sans"/>
                <w:sz w:val="20"/>
              </w:rPr>
            </w:pPr>
            <w:r w:rsidRPr="003720EE">
              <w:rPr>
                <w:rFonts w:ascii="Open Sans" w:eastAsia="Open Sans" w:hAnsi="Open Sans" w:cs="Open Sans"/>
                <w:sz w:val="20"/>
              </w:rPr>
              <w:t>Compañía De Cogeneración Del Caribe</w:t>
            </w:r>
          </w:p>
          <w:p w14:paraId="575D998A" w14:textId="77777777" w:rsidR="003720EE" w:rsidRPr="003720EE" w:rsidRDefault="003720EE" w:rsidP="00A764EF">
            <w:pPr>
              <w:pStyle w:val="Normal1"/>
              <w:rPr>
                <w:rFonts w:ascii="Open Sans" w:eastAsia="Open Sans" w:hAnsi="Open Sans" w:cs="Open Sans"/>
                <w:sz w:val="20"/>
              </w:rPr>
            </w:pPr>
            <w:r w:rsidRPr="003720EE">
              <w:rPr>
                <w:rFonts w:ascii="Open Sans" w:eastAsia="Open Sans" w:hAnsi="Open Sans" w:cs="Open Sans"/>
                <w:sz w:val="20"/>
              </w:rPr>
              <w:t>Dominicana, S.A.</w:t>
            </w:r>
          </w:p>
        </w:tc>
        <w:tc>
          <w:tcPr>
            <w:tcW w:w="1830" w:type="dxa"/>
            <w:tcBorders>
              <w:left w:val="single" w:sz="4" w:space="0" w:color="000001"/>
              <w:bottom w:val="single" w:sz="4" w:space="0" w:color="000001"/>
            </w:tcBorders>
            <w:shd w:val="clear" w:color="auto" w:fill="auto"/>
            <w:tcMar>
              <w:left w:w="103" w:type="dxa"/>
            </w:tcMar>
            <w:vAlign w:val="center"/>
          </w:tcPr>
          <w:p w14:paraId="3CD81568" w14:textId="77777777" w:rsidR="003720EE" w:rsidRPr="003720EE" w:rsidRDefault="003720EE" w:rsidP="00A764EF">
            <w:pPr>
              <w:pStyle w:val="Normal1"/>
              <w:jc w:val="center"/>
              <w:rPr>
                <w:rFonts w:ascii="Open Sans" w:eastAsia="Open Sans" w:hAnsi="Open Sans" w:cs="Open Sans"/>
                <w:sz w:val="20"/>
              </w:rPr>
            </w:pPr>
            <w:r w:rsidRPr="003720EE">
              <w:rPr>
                <w:rFonts w:ascii="Open Sans" w:eastAsia="Open Sans" w:hAnsi="Open Sans" w:cs="Open Sans"/>
                <w:sz w:val="20"/>
              </w:rPr>
              <w:t>República Dominicana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48B9FB31" w14:textId="77777777" w:rsidR="003720EE" w:rsidRPr="003720EE" w:rsidRDefault="003720EE" w:rsidP="00A764EF">
            <w:pPr>
              <w:pStyle w:val="Normal1"/>
              <w:rPr>
                <w:rFonts w:ascii="Open Sans" w:eastAsia="Open Sans" w:hAnsi="Open Sans" w:cs="Open Sans"/>
                <w:sz w:val="20"/>
              </w:rPr>
            </w:pPr>
            <w:r w:rsidRPr="003720EE">
              <w:rPr>
                <w:rFonts w:ascii="Open Sans" w:eastAsia="Open Sans" w:hAnsi="Open Sans" w:cs="Open Sans"/>
                <w:sz w:val="20"/>
              </w:rPr>
              <w:t>Servicios</w:t>
            </w:r>
          </w:p>
        </w:tc>
      </w:tr>
      <w:tr w:rsidR="003720EE" w:rsidRPr="00773F0D" w14:paraId="1EA55CF7" w14:textId="77777777" w:rsidTr="00A764EF">
        <w:trPr>
          <w:trHeight w:val="580"/>
        </w:trPr>
        <w:tc>
          <w:tcPr>
            <w:tcW w:w="3555" w:type="dxa"/>
            <w:tcBorders>
              <w:left w:val="single" w:sz="4" w:space="0" w:color="000001"/>
              <w:bottom w:val="single" w:sz="4" w:space="0" w:color="000001"/>
            </w:tcBorders>
            <w:shd w:val="clear" w:color="auto" w:fill="FFFFFF"/>
            <w:tcMar>
              <w:left w:w="103" w:type="dxa"/>
            </w:tcMar>
            <w:vAlign w:val="center"/>
          </w:tcPr>
          <w:p w14:paraId="1D27AFFD"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Sabadell d'Andorra Inversions SGOIC, S.A.U.</w:t>
            </w:r>
          </w:p>
        </w:tc>
        <w:tc>
          <w:tcPr>
            <w:tcW w:w="1830" w:type="dxa"/>
            <w:tcBorders>
              <w:left w:val="single" w:sz="4" w:space="0" w:color="000001"/>
              <w:bottom w:val="single" w:sz="4" w:space="0" w:color="000001"/>
            </w:tcBorders>
            <w:shd w:val="clear" w:color="auto" w:fill="auto"/>
            <w:tcMar>
              <w:left w:w="103" w:type="dxa"/>
            </w:tcMar>
            <w:vAlign w:val="center"/>
          </w:tcPr>
          <w:p w14:paraId="16972CB8"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rPr>
              <w:t>Andorra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409B3DF9"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Otras sociedades reguladas</w:t>
            </w:r>
          </w:p>
        </w:tc>
      </w:tr>
      <w:tr w:rsidR="003720EE" w:rsidRPr="00773F0D" w14:paraId="305D6A59" w14:textId="77777777" w:rsidTr="00A764EF">
        <w:trPr>
          <w:trHeight w:val="600"/>
        </w:trPr>
        <w:tc>
          <w:tcPr>
            <w:tcW w:w="3555" w:type="dxa"/>
            <w:tcBorders>
              <w:left w:val="single" w:sz="4" w:space="0" w:color="000001"/>
              <w:bottom w:val="single" w:sz="4" w:space="0" w:color="000001"/>
            </w:tcBorders>
            <w:shd w:val="clear" w:color="auto" w:fill="FFFFFF"/>
            <w:tcMar>
              <w:left w:w="103" w:type="dxa"/>
            </w:tcMar>
            <w:vAlign w:val="center"/>
          </w:tcPr>
          <w:p w14:paraId="48EC2B99" w14:textId="77777777" w:rsidR="003720EE" w:rsidRPr="00A1554D" w:rsidRDefault="003720EE" w:rsidP="00A764EF">
            <w:pPr>
              <w:pStyle w:val="Normal1"/>
              <w:rPr>
                <w:rFonts w:ascii="Open Sans" w:hAnsi="Open Sans"/>
                <w:sz w:val="20"/>
                <w:lang w:val="en-GB"/>
              </w:rPr>
            </w:pPr>
            <w:r w:rsidRPr="003720EE">
              <w:rPr>
                <w:rFonts w:ascii="Open Sans" w:eastAsia="Open Sans" w:hAnsi="Open Sans" w:cs="Open Sans"/>
                <w:sz w:val="20"/>
                <w:lang w:val="en-US"/>
              </w:rPr>
              <w:t>Serveis d'Assessorament BSA, S.A.U</w:t>
            </w:r>
          </w:p>
        </w:tc>
        <w:tc>
          <w:tcPr>
            <w:tcW w:w="1830" w:type="dxa"/>
            <w:tcBorders>
              <w:left w:val="single" w:sz="4" w:space="0" w:color="000001"/>
              <w:bottom w:val="single" w:sz="4" w:space="0" w:color="000001"/>
            </w:tcBorders>
            <w:shd w:val="clear" w:color="auto" w:fill="auto"/>
            <w:tcMar>
              <w:left w:w="103" w:type="dxa"/>
            </w:tcMar>
            <w:vAlign w:val="center"/>
          </w:tcPr>
          <w:p w14:paraId="27516B71"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rPr>
              <w:t>Andorra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7993A63D"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Otras participadas con actividad propia</w:t>
            </w:r>
          </w:p>
        </w:tc>
      </w:tr>
      <w:tr w:rsidR="003720EE" w:rsidRPr="00773F0D" w14:paraId="22881325" w14:textId="77777777" w:rsidTr="00A764EF">
        <w:trPr>
          <w:trHeight w:val="600"/>
        </w:trPr>
        <w:tc>
          <w:tcPr>
            <w:tcW w:w="3555" w:type="dxa"/>
            <w:tcBorders>
              <w:left w:val="single" w:sz="4" w:space="0" w:color="000001"/>
              <w:bottom w:val="single" w:sz="4" w:space="0" w:color="000001"/>
            </w:tcBorders>
            <w:shd w:val="clear" w:color="auto" w:fill="FFFFFF"/>
            <w:tcMar>
              <w:left w:w="103" w:type="dxa"/>
            </w:tcMar>
            <w:vAlign w:val="center"/>
          </w:tcPr>
          <w:p w14:paraId="0AC5994C" w14:textId="77777777" w:rsidR="003720EE" w:rsidRPr="003720EE" w:rsidRDefault="003720EE" w:rsidP="00A764EF">
            <w:pPr>
              <w:pStyle w:val="Normal1"/>
              <w:rPr>
                <w:rFonts w:ascii="Open Sans" w:eastAsia="Open Sans" w:hAnsi="Open Sans" w:cs="Open Sans"/>
                <w:sz w:val="20"/>
                <w:lang w:val="en-US"/>
              </w:rPr>
            </w:pPr>
            <w:r w:rsidRPr="003720EE">
              <w:rPr>
                <w:rFonts w:ascii="Open Sans" w:eastAsia="Open Sans" w:hAnsi="Open Sans" w:cs="Open Sans"/>
                <w:sz w:val="20"/>
                <w:lang w:val="en-US"/>
              </w:rPr>
              <w:t>Sabadell International Finance B.V.</w:t>
            </w:r>
          </w:p>
        </w:tc>
        <w:tc>
          <w:tcPr>
            <w:tcW w:w="1830" w:type="dxa"/>
            <w:tcBorders>
              <w:left w:val="single" w:sz="4" w:space="0" w:color="000001"/>
              <w:bottom w:val="single" w:sz="4" w:space="0" w:color="000001"/>
            </w:tcBorders>
            <w:shd w:val="clear" w:color="auto" w:fill="auto"/>
            <w:tcMar>
              <w:left w:w="103" w:type="dxa"/>
            </w:tcMar>
            <w:vAlign w:val="center"/>
          </w:tcPr>
          <w:p w14:paraId="5996BE97" w14:textId="77777777" w:rsidR="003720EE" w:rsidRPr="003720EE" w:rsidRDefault="003720EE" w:rsidP="00A764EF">
            <w:pPr>
              <w:pStyle w:val="Normal1"/>
              <w:jc w:val="center"/>
              <w:rPr>
                <w:rFonts w:ascii="Open Sans" w:eastAsia="Open Sans" w:hAnsi="Open Sans" w:cs="Open Sans"/>
                <w:sz w:val="20"/>
              </w:rPr>
            </w:pPr>
            <w:r w:rsidRPr="003720EE">
              <w:rPr>
                <w:rFonts w:ascii="Open Sans" w:eastAsia="Open Sans" w:hAnsi="Open Sans" w:cs="Open Sans"/>
                <w:sz w:val="20"/>
              </w:rPr>
              <w:t>Holanda</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071A99B9" w14:textId="77777777" w:rsidR="003720EE" w:rsidRPr="003720EE" w:rsidRDefault="003720EE" w:rsidP="00A764EF">
            <w:pPr>
              <w:pStyle w:val="Normal1"/>
              <w:rPr>
                <w:rFonts w:ascii="Open Sans" w:eastAsia="Open Sans" w:hAnsi="Open Sans" w:cs="Open Sans"/>
                <w:sz w:val="20"/>
              </w:rPr>
            </w:pPr>
            <w:r w:rsidRPr="003720EE">
              <w:rPr>
                <w:rFonts w:ascii="Open Sans" w:eastAsia="Open Sans" w:hAnsi="Open Sans" w:cs="Open Sans"/>
                <w:sz w:val="20"/>
              </w:rPr>
              <w:t>Subsidiaria</w:t>
            </w:r>
          </w:p>
        </w:tc>
      </w:tr>
      <w:tr w:rsidR="003720EE" w:rsidRPr="00773F0D" w14:paraId="07CF1C8C" w14:textId="77777777" w:rsidTr="00A764EF">
        <w:trPr>
          <w:trHeight w:val="540"/>
        </w:trPr>
        <w:tc>
          <w:tcPr>
            <w:tcW w:w="3555" w:type="dxa"/>
            <w:tcBorders>
              <w:left w:val="single" w:sz="4" w:space="0" w:color="000001"/>
              <w:bottom w:val="single" w:sz="4" w:space="0" w:color="000001"/>
            </w:tcBorders>
            <w:shd w:val="clear" w:color="auto" w:fill="FFFFFF"/>
            <w:tcMar>
              <w:left w:w="103" w:type="dxa"/>
            </w:tcMar>
            <w:vAlign w:val="center"/>
          </w:tcPr>
          <w:p w14:paraId="59532A1D"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Banco Atlantico Bahamas Bank &amp; Trust, Ltd.</w:t>
            </w:r>
          </w:p>
        </w:tc>
        <w:tc>
          <w:tcPr>
            <w:tcW w:w="1830" w:type="dxa"/>
            <w:tcBorders>
              <w:left w:val="single" w:sz="4" w:space="0" w:color="000001"/>
              <w:bottom w:val="single" w:sz="4" w:space="0" w:color="000001"/>
            </w:tcBorders>
            <w:shd w:val="clear" w:color="auto" w:fill="auto"/>
            <w:tcMar>
              <w:left w:w="103" w:type="dxa"/>
            </w:tcMar>
            <w:vAlign w:val="center"/>
          </w:tcPr>
          <w:p w14:paraId="668372CC"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rPr>
              <w:t>Bahamas</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5BD7FB43"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Entidad de Crédito</w:t>
            </w:r>
          </w:p>
        </w:tc>
      </w:tr>
      <w:tr w:rsidR="003720EE" w:rsidRPr="00773F0D" w14:paraId="5A63A260" w14:textId="77777777" w:rsidTr="00A764EF">
        <w:trPr>
          <w:trHeight w:val="940"/>
        </w:trPr>
        <w:tc>
          <w:tcPr>
            <w:tcW w:w="3555" w:type="dxa"/>
            <w:tcBorders>
              <w:left w:val="single" w:sz="4" w:space="0" w:color="000001"/>
              <w:bottom w:val="single" w:sz="4" w:space="0" w:color="000001"/>
            </w:tcBorders>
            <w:shd w:val="clear" w:color="auto" w:fill="FFFFFF"/>
            <w:tcMar>
              <w:left w:w="103" w:type="dxa"/>
            </w:tcMar>
            <w:vAlign w:val="center"/>
          </w:tcPr>
          <w:p w14:paraId="2F86ED38" w14:textId="77777777" w:rsidR="003720EE" w:rsidRPr="00A1554D" w:rsidRDefault="003720EE" w:rsidP="00A764EF">
            <w:pPr>
              <w:pStyle w:val="Normal1"/>
              <w:rPr>
                <w:rFonts w:ascii="Open Sans" w:hAnsi="Open Sans"/>
                <w:sz w:val="20"/>
                <w:lang w:val="en-GB"/>
              </w:rPr>
            </w:pPr>
            <w:r w:rsidRPr="003720EE">
              <w:rPr>
                <w:rFonts w:ascii="Open Sans" w:eastAsia="Open Sans" w:hAnsi="Open Sans" w:cs="Open Sans"/>
                <w:sz w:val="20"/>
                <w:lang w:val="en-US"/>
              </w:rPr>
              <w:t>Sabadell Asia Trade Services, Ltd</w:t>
            </w:r>
          </w:p>
        </w:tc>
        <w:tc>
          <w:tcPr>
            <w:tcW w:w="1830" w:type="dxa"/>
            <w:tcBorders>
              <w:left w:val="single" w:sz="4" w:space="0" w:color="000001"/>
              <w:bottom w:val="single" w:sz="4" w:space="0" w:color="000001"/>
            </w:tcBorders>
            <w:shd w:val="clear" w:color="auto" w:fill="auto"/>
            <w:tcMar>
              <w:left w:w="103" w:type="dxa"/>
            </w:tcMar>
            <w:vAlign w:val="center"/>
          </w:tcPr>
          <w:p w14:paraId="66474652"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lang w:val="en-US"/>
              </w:rPr>
              <w:t>Hong Kong</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5761B4D8"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Otras participadas con actividad propia</w:t>
            </w:r>
          </w:p>
        </w:tc>
      </w:tr>
      <w:tr w:rsidR="003720EE" w:rsidRPr="00773F0D" w14:paraId="31CED915" w14:textId="77777777" w:rsidTr="00A764EF">
        <w:trPr>
          <w:trHeight w:val="580"/>
        </w:trPr>
        <w:tc>
          <w:tcPr>
            <w:tcW w:w="3555" w:type="dxa"/>
            <w:tcBorders>
              <w:left w:val="single" w:sz="4" w:space="0" w:color="000001"/>
              <w:bottom w:val="single" w:sz="4" w:space="0" w:color="000001"/>
            </w:tcBorders>
            <w:shd w:val="clear" w:color="auto" w:fill="FFFFFF"/>
            <w:tcMar>
              <w:left w:w="103" w:type="dxa"/>
            </w:tcMar>
            <w:vAlign w:val="center"/>
          </w:tcPr>
          <w:p w14:paraId="3B5929E5"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Europa Invest, S.A.</w:t>
            </w:r>
          </w:p>
        </w:tc>
        <w:tc>
          <w:tcPr>
            <w:tcW w:w="1830" w:type="dxa"/>
            <w:tcBorders>
              <w:left w:val="single" w:sz="4" w:space="0" w:color="000001"/>
              <w:bottom w:val="single" w:sz="4" w:space="0" w:color="000001"/>
            </w:tcBorders>
            <w:shd w:val="clear" w:color="auto" w:fill="auto"/>
            <w:tcMar>
              <w:left w:w="103" w:type="dxa"/>
            </w:tcMar>
            <w:vAlign w:val="center"/>
          </w:tcPr>
          <w:p w14:paraId="66A91B0B" w14:textId="77777777" w:rsidR="003720EE" w:rsidRPr="003720EE" w:rsidRDefault="003720EE" w:rsidP="00A764EF">
            <w:pPr>
              <w:pStyle w:val="Normal1"/>
              <w:jc w:val="center"/>
              <w:rPr>
                <w:rFonts w:ascii="Open Sans" w:hAnsi="Open Sans"/>
                <w:sz w:val="20"/>
              </w:rPr>
            </w:pPr>
            <w:r w:rsidRPr="003720EE">
              <w:rPr>
                <w:rFonts w:ascii="Open Sans" w:eastAsia="Open Sans" w:hAnsi="Open Sans" w:cs="Open Sans"/>
                <w:sz w:val="20"/>
              </w:rPr>
              <w:t>Luxemburgo</w:t>
            </w:r>
          </w:p>
        </w:tc>
        <w:tc>
          <w:tcPr>
            <w:tcW w:w="2895" w:type="dxa"/>
            <w:tcBorders>
              <w:left w:val="single" w:sz="4" w:space="0" w:color="000001"/>
              <w:bottom w:val="single" w:sz="4" w:space="0" w:color="000001"/>
              <w:right w:val="single" w:sz="4" w:space="0" w:color="000001"/>
            </w:tcBorders>
            <w:shd w:val="clear" w:color="auto" w:fill="auto"/>
            <w:tcMar>
              <w:left w:w="103" w:type="dxa"/>
            </w:tcMar>
            <w:vAlign w:val="center"/>
          </w:tcPr>
          <w:p w14:paraId="007F6192" w14:textId="77777777" w:rsidR="003720EE" w:rsidRPr="003720EE" w:rsidRDefault="003720EE" w:rsidP="00A764EF">
            <w:pPr>
              <w:pStyle w:val="Normal1"/>
              <w:rPr>
                <w:rFonts w:ascii="Open Sans" w:hAnsi="Open Sans"/>
                <w:sz w:val="20"/>
              </w:rPr>
            </w:pPr>
            <w:r w:rsidRPr="003720EE">
              <w:rPr>
                <w:rFonts w:ascii="Open Sans" w:eastAsia="Open Sans" w:hAnsi="Open Sans" w:cs="Open Sans"/>
                <w:sz w:val="20"/>
              </w:rPr>
              <w:t>Otras sociedades reguladas</w:t>
            </w:r>
          </w:p>
        </w:tc>
      </w:tr>
    </w:tbl>
    <w:p w14:paraId="676AD990" w14:textId="77777777" w:rsidR="003720EE" w:rsidRPr="00773F0D" w:rsidRDefault="003720EE" w:rsidP="003720EE">
      <w:pPr>
        <w:pStyle w:val="Normal1"/>
        <w:jc w:val="both"/>
        <w:rPr>
          <w:rFonts w:ascii="Open Sans" w:hAnsi="Open Sans"/>
          <w:highlight w:val="yellow"/>
        </w:rPr>
      </w:pPr>
    </w:p>
    <w:p w14:paraId="092953FA" w14:textId="77777777" w:rsidR="003720EE" w:rsidRPr="00773F0D" w:rsidRDefault="003720EE" w:rsidP="003720EE">
      <w:pPr>
        <w:pStyle w:val="Normal1"/>
        <w:jc w:val="both"/>
        <w:rPr>
          <w:rFonts w:ascii="Open Sans" w:eastAsia="Open Sans" w:hAnsi="Open Sans" w:cs="Open Sans"/>
        </w:rPr>
      </w:pPr>
    </w:p>
    <w:p w14:paraId="118753C6"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 xml:space="preserve">La información reportada de estas sociedades se encuentra en el Anexo I – Sociedades del grupo Banco Sabadell junto con la del resto de sociedades no ubicadas en territorios off-shore. Así encontramos información sobre su participación directa en el accionariado en BancSabadell d’Andorra SA (50,97%), Banco Atlántico Bahamas (99,99%), Sabadell Asia Trade Services Ltd (100%) y Europa Invest (22% directa y 78% indirecta). En  las otras tres sociedades de Andorra mantiene una participación indirecta del 50,97%. No se ha encontrado información en los documentos presentados sobre las sociedades a través de las cuales instrumentaliza esta participación indirecta. </w:t>
      </w:r>
    </w:p>
    <w:p w14:paraId="0FA57E04" w14:textId="77777777" w:rsidR="003720EE" w:rsidRPr="003720EE" w:rsidRDefault="003720EE" w:rsidP="003720EE">
      <w:pPr>
        <w:pStyle w:val="Normal1"/>
        <w:jc w:val="both"/>
        <w:rPr>
          <w:rFonts w:ascii="Open Sans" w:eastAsia="Open Sans" w:hAnsi="Open Sans" w:cs="Open Sans"/>
          <w:sz w:val="20"/>
        </w:rPr>
      </w:pPr>
    </w:p>
    <w:p w14:paraId="5AE023F0"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Así mismo, no se ha proporcionado información específica sobre actividades, volumen de activos, beneficios ni desglose del pago de impuestos a nivel país o de la tributación individual de cada sociedad, así como tampoco de la percepción de subvenciones públicas, créditos fiscales, operaciones financieras intragrupo o total de activos gestionados</w:t>
      </w:r>
    </w:p>
    <w:p w14:paraId="63CF88C6" w14:textId="77777777" w:rsidR="003720EE" w:rsidRPr="003720EE" w:rsidRDefault="003720EE" w:rsidP="003720EE">
      <w:pPr>
        <w:pStyle w:val="Normal1"/>
        <w:jc w:val="both"/>
        <w:rPr>
          <w:rFonts w:ascii="Open Sans" w:hAnsi="Open Sans"/>
          <w:sz w:val="20"/>
          <w:highlight w:val="white"/>
        </w:rPr>
      </w:pPr>
    </w:p>
    <w:p w14:paraId="2BBF04EC" w14:textId="77777777" w:rsidR="003720EE" w:rsidRPr="003720EE" w:rsidRDefault="003720EE" w:rsidP="003720EE">
      <w:pPr>
        <w:pStyle w:val="Normal1"/>
        <w:jc w:val="both"/>
        <w:rPr>
          <w:rFonts w:ascii="Open Sans" w:hAnsi="Open Sans"/>
          <w:sz w:val="20"/>
          <w:highlight w:val="white"/>
        </w:rPr>
      </w:pPr>
      <w:r w:rsidRPr="003720EE">
        <w:rPr>
          <w:rFonts w:ascii="Open Sans" w:eastAsia="Open Sans" w:hAnsi="Open Sans" w:cs="Open Sans"/>
          <w:sz w:val="20"/>
          <w:highlight w:val="white"/>
        </w:rPr>
        <w:t xml:space="preserve">Como se mencionó en el informe de 2014, en el caso de desarrollo de una función de intermediación financiera, es especialmente preocupante la operativa a través territorios considerados como paraísos fiscales, ya no por la repercusión directa que pudiese ocasionar las estrategias fiscales agresivas por parte de las empresas financieras, sino por la operativa con sectores no residentes a través de las filiales o sucursales que mantienen en territorios considerados paraísos fiscales y que podrían suponer un soporte para la elusión o evasión fiscal. Una de las medidas que se proponen desde el cuerpo de inspectores de hacienda para la lucha contra los paraísos fiscales es prohibir a las entidades bancarias residentes en España tener sucursales o establecimientos abiertos en estos territorios, salvo que suministren a la Administración Tributaria identificación de los </w:t>
      </w:r>
      <w:r w:rsidRPr="003720EE">
        <w:rPr>
          <w:rFonts w:ascii="Open Sans" w:eastAsia="Open Sans" w:hAnsi="Open Sans" w:cs="Open Sans"/>
          <w:sz w:val="20"/>
        </w:rPr>
        <w:t>clientes y otro tipo de información</w:t>
      </w:r>
      <w:r w:rsidRPr="003720EE">
        <w:rPr>
          <w:rStyle w:val="Ancladenotaalpie"/>
          <w:rFonts w:ascii="Open Sans" w:eastAsia="Open Sans" w:hAnsi="Open Sans" w:cs="Open Sans"/>
          <w:sz w:val="20"/>
        </w:rPr>
        <w:footnoteReference w:id="546"/>
      </w:r>
      <w:r w:rsidRPr="003720EE">
        <w:rPr>
          <w:rFonts w:ascii="Open Sans" w:eastAsia="Open Sans" w:hAnsi="Open Sans" w:cs="Open Sans"/>
          <w:sz w:val="20"/>
        </w:rPr>
        <w:t>.</w:t>
      </w:r>
    </w:p>
    <w:p w14:paraId="5A2CA846" w14:textId="77777777" w:rsidR="003720EE" w:rsidRPr="003720EE" w:rsidRDefault="003720EE" w:rsidP="003720EE">
      <w:pPr>
        <w:pStyle w:val="Normal1"/>
        <w:jc w:val="both"/>
        <w:rPr>
          <w:rFonts w:ascii="Open Sans" w:hAnsi="Open Sans"/>
          <w:sz w:val="20"/>
        </w:rPr>
      </w:pPr>
    </w:p>
    <w:p w14:paraId="7E407DC3" w14:textId="77777777" w:rsidR="003720EE" w:rsidRPr="003720EE" w:rsidRDefault="003720EE" w:rsidP="003720EE">
      <w:pPr>
        <w:pStyle w:val="Normal1"/>
        <w:jc w:val="both"/>
        <w:rPr>
          <w:rFonts w:ascii="Open Sans" w:hAnsi="Open Sans"/>
          <w:sz w:val="20"/>
        </w:rPr>
      </w:pPr>
      <w:r w:rsidRPr="003720EE">
        <w:rPr>
          <w:rFonts w:ascii="Open Sans" w:hAnsi="Open Sans"/>
          <w:sz w:val="20"/>
        </w:rPr>
        <w:t>En el Informe Bancario Anual se recogen datos desglosado de la entidad no por país si no por grandes regiones: España, Reino Unido, Estados Unidos y Otros. A pesar de que proporciona cierta visión sobre la aportación de estos territorios, no resulta de utilidad para valorar el alcance de las actividades en territorios sensibles en temas de fiscalidad</w:t>
      </w:r>
      <w:r w:rsidRPr="003720EE">
        <w:rPr>
          <w:rFonts w:ascii="Open Sans" w:eastAsia="Open Sans" w:hAnsi="Open Sans" w:cs="Open Sans"/>
          <w:sz w:val="20"/>
        </w:rPr>
        <w:t>.</w:t>
      </w:r>
    </w:p>
    <w:p w14:paraId="0B25971B" w14:textId="77777777" w:rsidR="003720EE" w:rsidRPr="003720EE" w:rsidRDefault="003720EE" w:rsidP="003720EE">
      <w:pPr>
        <w:pStyle w:val="Normal1"/>
        <w:jc w:val="both"/>
        <w:rPr>
          <w:rFonts w:ascii="Open Sans" w:eastAsia="Open Sans" w:hAnsi="Open Sans" w:cs="Open Sans"/>
          <w:sz w:val="20"/>
        </w:rPr>
      </w:pPr>
    </w:p>
    <w:p w14:paraId="3C22A4A0" w14:textId="77777777" w:rsidR="003720EE" w:rsidRPr="003720EE" w:rsidRDefault="003720EE" w:rsidP="003720EE">
      <w:pPr>
        <w:pStyle w:val="Normal1"/>
        <w:jc w:val="both"/>
        <w:rPr>
          <w:rFonts w:ascii="Open Sans" w:hAnsi="Open Sans"/>
          <w:sz w:val="20"/>
        </w:rPr>
      </w:pPr>
      <w:r w:rsidRPr="003720EE">
        <w:rPr>
          <w:rFonts w:ascii="Open Sans" w:hAnsi="Open Sans" w:cs="Open Sans;Tahoma"/>
          <w:bCs/>
          <w:sz w:val="20"/>
        </w:rPr>
        <w:t xml:space="preserve">Respecto a la Política / Estrategia fiscal únicamente se menciona que “el Consejo de Administración determina las políticas de control y gestión, así como la estrategia fiscal con el doble objetivo de garantizar la satisfacción de las obligaciones legales y velar por el mayor rendimiento para el </w:t>
      </w:r>
      <w:proofErr w:type="gramStart"/>
      <w:r w:rsidRPr="003720EE">
        <w:rPr>
          <w:rFonts w:ascii="Open Sans" w:hAnsi="Open Sans" w:cs="Open Sans;Tahoma"/>
          <w:bCs/>
          <w:sz w:val="20"/>
        </w:rPr>
        <w:t>accionista .</w:t>
      </w:r>
      <w:proofErr w:type="gramEnd"/>
      <w:r w:rsidRPr="003720EE">
        <w:rPr>
          <w:rFonts w:ascii="Open Sans" w:hAnsi="Open Sans" w:cs="Open Sans;Tahoma"/>
          <w:bCs/>
          <w:sz w:val="20"/>
        </w:rPr>
        <w:t xml:space="preserve"> No consta mención expresa a la existencia de una estrategia fiscal ni se ha podido encontrar en la web corporativa ningún documento al respecto.</w:t>
      </w:r>
    </w:p>
    <w:p w14:paraId="18126259" w14:textId="77777777" w:rsidR="003720EE" w:rsidRPr="003720EE" w:rsidRDefault="003720EE" w:rsidP="003720EE">
      <w:pPr>
        <w:pStyle w:val="Normal1"/>
        <w:jc w:val="both"/>
        <w:rPr>
          <w:rFonts w:ascii="Open Sans" w:hAnsi="Open Sans" w:cs="Open Sans;Tahoma"/>
          <w:bCs/>
          <w:sz w:val="20"/>
        </w:rPr>
      </w:pPr>
    </w:p>
    <w:p w14:paraId="1453AA1B" w14:textId="77777777" w:rsidR="003720EE" w:rsidRPr="003720EE" w:rsidRDefault="003720EE" w:rsidP="003720EE">
      <w:pPr>
        <w:pStyle w:val="Normal1"/>
        <w:jc w:val="both"/>
        <w:rPr>
          <w:rFonts w:ascii="Open Sans" w:hAnsi="Open Sans"/>
          <w:sz w:val="20"/>
        </w:rPr>
      </w:pPr>
      <w:r w:rsidRPr="003720EE">
        <w:rPr>
          <w:rFonts w:ascii="Open Sans" w:hAnsi="Open Sans" w:cs="Open Sans;Tahoma"/>
          <w:bCs/>
          <w:sz w:val="20"/>
        </w:rPr>
        <w:t>Así mismo, no se ha encontrado mención a la identificación, gestión, ni seguimiento de posibles riesgos fiscales, a pesar de que la entidad menciona en diferentes apartados la consideración de riesgos fiscales.</w:t>
      </w:r>
    </w:p>
    <w:p w14:paraId="68B18301" w14:textId="77777777" w:rsidR="003720EE" w:rsidRPr="003720EE" w:rsidRDefault="003720EE" w:rsidP="003720EE">
      <w:pPr>
        <w:pStyle w:val="Normal1"/>
        <w:jc w:val="both"/>
        <w:rPr>
          <w:rFonts w:ascii="Open Sans" w:hAnsi="Open Sans" w:cs="Open Sans;Tahoma"/>
          <w:bCs/>
          <w:sz w:val="20"/>
        </w:rPr>
      </w:pPr>
    </w:p>
    <w:p w14:paraId="7CFBBC37" w14:textId="77777777" w:rsidR="003720EE" w:rsidRPr="003720EE" w:rsidRDefault="003720EE" w:rsidP="003720EE">
      <w:pPr>
        <w:pStyle w:val="Normal1"/>
        <w:jc w:val="both"/>
        <w:rPr>
          <w:rFonts w:ascii="Open Sans" w:hAnsi="Open Sans"/>
          <w:sz w:val="20"/>
        </w:rPr>
      </w:pPr>
      <w:r w:rsidRPr="003720EE">
        <w:rPr>
          <w:rFonts w:ascii="Open Sans" w:hAnsi="Open Sans" w:cs="Open Sans;Tahoma"/>
          <w:bCs/>
          <w:sz w:val="20"/>
        </w:rPr>
        <w:t>Por un lado, reconoce que los principales riesgos no financieros en los que incurre el grupo son el riesgo operacional, fiscal y el de cumplimiento normativo; definiendo el riesgo fiscal como aquel que refleja el posible incumplimiento o la incertidumbre asociada a la interpretación de la legislación fiscal en cualquiera de las jurisdicciones en las que se realiza la actividad ordinaria. Por otro lado, en el Marco Estratégico de Riesgos incluye, entre otros, el Risk Appetite Statement (RAS)</w:t>
      </w:r>
      <w:r w:rsidRPr="003720EE">
        <w:rPr>
          <w:rStyle w:val="Ancladenotaalpie"/>
          <w:rFonts w:ascii="Open Sans" w:hAnsi="Open Sans" w:cs="Open Sans;Tahoma"/>
          <w:bCs/>
          <w:sz w:val="20"/>
        </w:rPr>
        <w:footnoteReference w:id="547"/>
      </w:r>
      <w:r w:rsidRPr="003720EE">
        <w:rPr>
          <w:rFonts w:ascii="Open Sans" w:hAnsi="Open Sans" w:cs="Open Sans;Tahoma"/>
          <w:bCs/>
          <w:sz w:val="20"/>
        </w:rPr>
        <w:t xml:space="preserve"> compuesto de métricas cuantitativas y elementos cualitativos que incluye “</w:t>
      </w:r>
      <w:r w:rsidRPr="003720EE">
        <w:rPr>
          <w:rFonts w:ascii="Open Sans" w:hAnsi="Open Sans" w:cs="Open Sans;Tahoma"/>
          <w:bCs/>
          <w:i/>
          <w:iCs/>
          <w:sz w:val="20"/>
        </w:rPr>
        <w:t>El objetivo de Banco Sabadell en materia de riesgo fiscal es asegurar el cumplimiento de las obligaciones fiscales y garantizar, al mismo tiempo, un rendimiento adecuado para los accionistas.</w:t>
      </w:r>
      <w:r w:rsidRPr="003720EE">
        <w:rPr>
          <w:rFonts w:ascii="Open Sans" w:hAnsi="Open Sans" w:cs="Open Sans;Tahoma"/>
          <w:bCs/>
          <w:sz w:val="20"/>
        </w:rPr>
        <w:t>”</w:t>
      </w:r>
      <w:r w:rsidRPr="003720EE">
        <w:rPr>
          <w:rStyle w:val="Ancladenotaalpie"/>
          <w:rFonts w:ascii="Open Sans" w:hAnsi="Open Sans" w:cs="Open Sans;Tahoma"/>
          <w:bCs/>
          <w:sz w:val="20"/>
        </w:rPr>
        <w:footnoteReference w:id="548"/>
      </w:r>
      <w:r w:rsidRPr="003720EE">
        <w:rPr>
          <w:rFonts w:ascii="Open Sans" w:hAnsi="Open Sans" w:cs="Open Sans;Tahoma"/>
          <w:bCs/>
          <w:sz w:val="20"/>
        </w:rPr>
        <w:t xml:space="preserve">. </w:t>
      </w:r>
    </w:p>
    <w:p w14:paraId="607077AD" w14:textId="77777777" w:rsidR="003720EE" w:rsidRPr="003720EE" w:rsidRDefault="003720EE" w:rsidP="003720EE">
      <w:pPr>
        <w:pStyle w:val="Normal1"/>
        <w:jc w:val="both"/>
        <w:rPr>
          <w:rFonts w:ascii="Open Sans" w:hAnsi="Open Sans" w:cs="Open Sans;Tahoma"/>
          <w:bCs/>
          <w:sz w:val="20"/>
        </w:rPr>
      </w:pPr>
    </w:p>
    <w:p w14:paraId="55ABFEB0" w14:textId="77777777" w:rsidR="003720EE" w:rsidRPr="003720EE" w:rsidRDefault="003720EE" w:rsidP="003720EE">
      <w:pPr>
        <w:pStyle w:val="Normal1"/>
        <w:jc w:val="both"/>
        <w:rPr>
          <w:rFonts w:ascii="Open Sans" w:hAnsi="Open Sans"/>
          <w:sz w:val="20"/>
        </w:rPr>
      </w:pPr>
      <w:r w:rsidRPr="003720EE">
        <w:rPr>
          <w:rFonts w:ascii="Open Sans" w:hAnsi="Open Sans" w:cs="Open Sans;Tahoma"/>
          <w:bCs/>
          <w:sz w:val="20"/>
        </w:rPr>
        <w:t xml:space="preserve">La responsabilidad del Consejo de Administración queda recogida en el Informe de Gobierno Corporativo en el que se indica que “En materia de riesgo fiscal, el Consejo de Administración determina las políticas de control y gestión, así como la estrategia fiscal con el doble objetivo de garantizar la satisfacción de las obligaciones legales y velar por el mayor rendimiento para el accionista”.  Adicionalmente, el área de Asesoría Fiscal lleva a cabo la revisión independiente de las operaciones del Banco desde el punto de vista de su ajuste a la legislación fiscal vigente tanto como contribuyente para asegurar el cumplimiento de las obligaciones y legislación en el ámbito fiscal; como en el desarrollo de nuevos productos para garantizar la máxima transparencia. No se ha incluido información sobre </w:t>
      </w:r>
      <w:r w:rsidRPr="003720EE">
        <w:rPr>
          <w:rFonts w:ascii="Open Sans" w:hAnsi="Open Sans"/>
          <w:sz w:val="20"/>
        </w:rPr>
        <w:t xml:space="preserve">el número de reuniones del Consejo en el que se han tratado temas de fiscalidad y de cuáles han sido los temas tratados, de </w:t>
      </w:r>
      <w:proofErr w:type="gramStart"/>
      <w:r w:rsidRPr="003720EE">
        <w:rPr>
          <w:rFonts w:ascii="Open Sans" w:hAnsi="Open Sans"/>
          <w:sz w:val="20"/>
        </w:rPr>
        <w:t>la decisiones adoptadas</w:t>
      </w:r>
      <w:proofErr w:type="gramEnd"/>
      <w:r w:rsidRPr="003720EE">
        <w:rPr>
          <w:rFonts w:ascii="Open Sans" w:hAnsi="Open Sans"/>
          <w:sz w:val="20"/>
        </w:rPr>
        <w:t xml:space="preserve"> o de los resultados de las revisiones del área de Asesoría Fiscal.  </w:t>
      </w:r>
    </w:p>
    <w:p w14:paraId="425693C8" w14:textId="77777777" w:rsidR="003720EE" w:rsidRPr="003720EE" w:rsidRDefault="003720EE" w:rsidP="003720EE">
      <w:pPr>
        <w:jc w:val="both"/>
        <w:rPr>
          <w:rFonts w:ascii="Open Sans" w:hAnsi="Open Sans" w:cs="Open Sans;Tahoma"/>
          <w:bCs/>
          <w:sz w:val="20"/>
          <w:szCs w:val="20"/>
        </w:rPr>
      </w:pPr>
    </w:p>
    <w:p w14:paraId="0E704470" w14:textId="77777777" w:rsidR="003720EE" w:rsidRPr="003720EE" w:rsidRDefault="003720EE" w:rsidP="003720EE">
      <w:pPr>
        <w:jc w:val="both"/>
        <w:rPr>
          <w:rFonts w:ascii="Open Sans" w:hAnsi="Open Sans"/>
          <w:sz w:val="20"/>
          <w:szCs w:val="20"/>
        </w:rPr>
      </w:pPr>
      <w:r w:rsidRPr="003720EE">
        <w:rPr>
          <w:rFonts w:ascii="Open Sans" w:hAnsi="Open Sans" w:cs="Open Sans;Tahoma"/>
          <w:bCs/>
          <w:sz w:val="20"/>
          <w:szCs w:val="20"/>
        </w:rPr>
        <w:t>Banco Sabadell es la entidad dominante de un grupo de sociedades que a 31 de diciembre de 2015 ascendía a 170, de las cuales 127 son consideradas grupo y 43 son asociadas</w:t>
      </w:r>
      <w:r w:rsidRPr="003720EE">
        <w:rPr>
          <w:rStyle w:val="Ancladenotaalpie"/>
          <w:rFonts w:ascii="Open Sans" w:hAnsi="Open Sans" w:cs="Open Sans;Tahoma"/>
          <w:bCs/>
          <w:sz w:val="20"/>
          <w:szCs w:val="20"/>
        </w:rPr>
        <w:footnoteReference w:id="549"/>
      </w:r>
      <w:r w:rsidRPr="003720EE">
        <w:rPr>
          <w:rFonts w:ascii="Open Sans" w:hAnsi="Open Sans" w:cs="Open Sans;Tahoma"/>
          <w:bCs/>
          <w:sz w:val="20"/>
          <w:szCs w:val="20"/>
        </w:rPr>
        <w:t xml:space="preserve">. En el Anexo I de las CCAA Consolidadas presenta información de las empresas del grupo (porcentaje de participación directa e indirecta, actividades y principales magnitudes económicas). También se relacionan las entradas y salidas (según motivo) del perímetro de consolidación. Sin embargo, no indica a través de que empresas instrumentaliza </w:t>
      </w:r>
      <w:proofErr w:type="gramStart"/>
      <w:r w:rsidRPr="003720EE">
        <w:rPr>
          <w:rFonts w:ascii="Open Sans" w:hAnsi="Open Sans" w:cs="Open Sans;Tahoma"/>
          <w:bCs/>
          <w:sz w:val="20"/>
          <w:szCs w:val="20"/>
        </w:rPr>
        <w:t>su participaciones indirectas</w:t>
      </w:r>
      <w:proofErr w:type="gramEnd"/>
      <w:r w:rsidRPr="003720EE">
        <w:rPr>
          <w:rFonts w:ascii="Open Sans" w:hAnsi="Open Sans" w:cs="Open Sans;Tahoma"/>
          <w:bCs/>
          <w:sz w:val="20"/>
          <w:szCs w:val="20"/>
        </w:rPr>
        <w:t xml:space="preserve"> en las sociedades.</w:t>
      </w:r>
    </w:p>
    <w:p w14:paraId="03FE3BEE" w14:textId="77777777" w:rsidR="003720EE" w:rsidRPr="003720EE" w:rsidRDefault="003720EE" w:rsidP="003720EE">
      <w:pPr>
        <w:jc w:val="both"/>
        <w:rPr>
          <w:rFonts w:ascii="Open Sans" w:hAnsi="Open Sans" w:cs="Open Sans;Tahoma"/>
          <w:bCs/>
          <w:sz w:val="20"/>
          <w:szCs w:val="20"/>
        </w:rPr>
      </w:pPr>
    </w:p>
    <w:p w14:paraId="4B4DD8A0" w14:textId="77777777" w:rsidR="003720EE" w:rsidRPr="003720EE" w:rsidRDefault="003720EE" w:rsidP="003720EE">
      <w:pPr>
        <w:jc w:val="both"/>
        <w:rPr>
          <w:rFonts w:ascii="Open Sans" w:hAnsi="Open Sans"/>
          <w:sz w:val="20"/>
          <w:szCs w:val="20"/>
        </w:rPr>
      </w:pPr>
      <w:r w:rsidRPr="003720EE">
        <w:rPr>
          <w:rFonts w:ascii="Open Sans" w:hAnsi="Open Sans" w:cs="Open Sans;Tahoma"/>
          <w:bCs/>
          <w:sz w:val="20"/>
          <w:szCs w:val="20"/>
        </w:rPr>
        <w:t xml:space="preserve">En cuanto a su propia estructura societaria presenta la relación de participaciones significativas en el capital social de Banco Sabadell por un importe igual o superior al 3% del capital o de los derechos de voto a 31 de diciembre de 2015 detallando entidad, participación directa, número de acciones, y quien de acciones y quien ostenta la participación indirecta. Ninguna de estas sociedades se encuentra ubicada en un paraíso fiscal. </w:t>
      </w:r>
    </w:p>
    <w:p w14:paraId="047C50B0" w14:textId="77777777" w:rsidR="003720EE" w:rsidRPr="003720EE" w:rsidRDefault="003720EE" w:rsidP="003720EE">
      <w:pPr>
        <w:jc w:val="both"/>
        <w:rPr>
          <w:rFonts w:ascii="Open Sans" w:hAnsi="Open Sans" w:cs="Open Sans;Tahoma"/>
          <w:bCs/>
          <w:sz w:val="20"/>
          <w:szCs w:val="20"/>
        </w:rPr>
      </w:pPr>
    </w:p>
    <w:p w14:paraId="30302C42" w14:textId="77777777" w:rsidR="003720EE" w:rsidRPr="003720EE" w:rsidRDefault="003720EE" w:rsidP="003720EE">
      <w:pPr>
        <w:jc w:val="both"/>
        <w:rPr>
          <w:rFonts w:ascii="Open Sans" w:hAnsi="Open Sans"/>
          <w:sz w:val="20"/>
          <w:szCs w:val="20"/>
        </w:rPr>
      </w:pPr>
      <w:r w:rsidRPr="003720EE">
        <w:rPr>
          <w:rFonts w:ascii="Open Sans" w:hAnsi="Open Sans" w:cs="Open Sans;Tahoma"/>
          <w:bCs/>
          <w:sz w:val="20"/>
          <w:szCs w:val="20"/>
        </w:rPr>
        <w:t>En referencia a los impuestos e incentivos, la mayor parte de la información se presenta de  forma agregada en las CCAA Consolidadas, a excepción del Informe Bancario Anual donde se recogen datos desglosados de la entidad por cuatro grandes regiones: España, Reino Unido, Estados Unidos y Otros</w:t>
      </w:r>
      <w:r w:rsidRPr="003720EE">
        <w:rPr>
          <w:rFonts w:ascii="Open Sans" w:hAnsi="Open Sans" w:cs="Open Sans;Tahoma"/>
          <w:bCs/>
          <w:color w:val="000000"/>
          <w:sz w:val="20"/>
          <w:szCs w:val="20"/>
        </w:rPr>
        <w:t>.</w:t>
      </w:r>
    </w:p>
    <w:p w14:paraId="431E9BEB" w14:textId="77777777" w:rsidR="003720EE" w:rsidRPr="00773F0D" w:rsidRDefault="003720EE" w:rsidP="003720EE">
      <w:pPr>
        <w:jc w:val="both"/>
        <w:rPr>
          <w:rFonts w:ascii="Open Sans" w:hAnsi="Open Sans" w:cs="Open Sans;Tahoma"/>
          <w:bCs/>
          <w:sz w:val="20"/>
          <w:szCs w:val="20"/>
        </w:rPr>
      </w:pPr>
    </w:p>
    <w:p w14:paraId="08506C34" w14:textId="77777777" w:rsidR="003720EE" w:rsidRPr="00773F0D" w:rsidRDefault="003720EE" w:rsidP="003720EE">
      <w:pPr>
        <w:jc w:val="both"/>
        <w:rPr>
          <w:rFonts w:ascii="Open Sans" w:hAnsi="Open Sans" w:cs="Open Sans;Tahoma"/>
          <w:bCs/>
          <w:sz w:val="20"/>
          <w:szCs w:val="20"/>
        </w:rPr>
      </w:pPr>
    </w:p>
    <w:p w14:paraId="1053B49A" w14:textId="77777777" w:rsidR="003720EE" w:rsidRPr="00773F0D" w:rsidRDefault="003720EE" w:rsidP="003720EE">
      <w:pPr>
        <w:jc w:val="both"/>
        <w:rPr>
          <w:rFonts w:ascii="Open Sans" w:hAnsi="Open Sans" w:cs="Open Sans;Tahoma"/>
          <w:bCs/>
          <w:sz w:val="20"/>
          <w:szCs w:val="20"/>
        </w:rPr>
      </w:pPr>
      <w:r w:rsidRPr="00773F0D">
        <w:rPr>
          <w:rFonts w:ascii="Open Sans" w:hAnsi="Open Sans"/>
          <w:noProof/>
          <w:lang w:val="es-ES"/>
        </w:rPr>
        <w:drawing>
          <wp:anchor distT="0" distB="0" distL="0" distR="0" simplePos="0" relativeHeight="251685888" behindDoc="0" locked="0" layoutInCell="1" allowOverlap="1" wp14:anchorId="498373A3" wp14:editId="52F8182B">
            <wp:simplePos x="0" y="0"/>
            <wp:positionH relativeFrom="column">
              <wp:posOffset>0</wp:posOffset>
            </wp:positionH>
            <wp:positionV relativeFrom="paragraph">
              <wp:posOffset>5715</wp:posOffset>
            </wp:positionV>
            <wp:extent cx="5400040" cy="1490345"/>
            <wp:effectExtent l="0" t="0" r="0" b="0"/>
            <wp:wrapSquare wrapText="largest"/>
            <wp:docPr id="179" name="Imag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pic:cNvPicPr>
                      <a:picLocks noChangeAspect="1" noChangeArrowheads="1"/>
                    </pic:cNvPicPr>
                  </pic:nvPicPr>
                  <pic:blipFill>
                    <a:blip r:embed="rId122"/>
                    <a:stretch>
                      <a:fillRect/>
                    </a:stretch>
                  </pic:blipFill>
                  <pic:spPr bwMode="auto">
                    <a:xfrm>
                      <a:off x="0" y="0"/>
                      <a:ext cx="5400040" cy="1490345"/>
                    </a:xfrm>
                    <a:prstGeom prst="rect">
                      <a:avLst/>
                    </a:prstGeom>
                  </pic:spPr>
                </pic:pic>
              </a:graphicData>
            </a:graphic>
          </wp:anchor>
        </w:drawing>
      </w:r>
    </w:p>
    <w:p w14:paraId="764423C6" w14:textId="77777777" w:rsidR="003720EE" w:rsidRPr="00773F0D" w:rsidRDefault="003720EE" w:rsidP="003720EE">
      <w:pPr>
        <w:jc w:val="both"/>
        <w:rPr>
          <w:rFonts w:ascii="Open Sans" w:hAnsi="Open Sans"/>
          <w:sz w:val="20"/>
          <w:szCs w:val="20"/>
        </w:rPr>
      </w:pPr>
      <w:r w:rsidRPr="00773F0D">
        <w:rPr>
          <w:rFonts w:ascii="Open Sans" w:hAnsi="Open Sans" w:cs="Open Sans;Tahoma"/>
          <w:bCs/>
          <w:color w:val="000000"/>
          <w:sz w:val="20"/>
          <w:szCs w:val="20"/>
        </w:rPr>
        <w:t xml:space="preserve">La entidad no publica la cifra total en euros del impuesto sobre sociedades que soporta en cada uno de los países en los que opera (cuota, base y resultado contable antes de impuestos) ni muestra esta </w:t>
      </w:r>
      <w:r w:rsidRPr="00773F0D">
        <w:rPr>
          <w:rFonts w:ascii="Open Sans" w:hAnsi="Open Sans"/>
          <w:color w:val="000000"/>
          <w:sz w:val="20"/>
          <w:szCs w:val="20"/>
        </w:rPr>
        <w:t xml:space="preserve">información de forma detallada para cada </w:t>
      </w:r>
      <w:r w:rsidRPr="00773F0D">
        <w:rPr>
          <w:rFonts w:ascii="Open Sans" w:hAnsi="Open Sans" w:cs="Open Sans;Tahoma"/>
          <w:bCs/>
          <w:color w:val="000000"/>
          <w:sz w:val="20"/>
          <w:szCs w:val="20"/>
        </w:rPr>
        <w:t xml:space="preserve">una de las subsidiarias. De modo que no es posible saber la contribución de cada sociedad del grupo ni del grupo en cada uno de los países en los que tiene presencia. </w:t>
      </w:r>
    </w:p>
    <w:p w14:paraId="2F1D6D19" w14:textId="77777777" w:rsidR="003720EE" w:rsidRPr="00773F0D" w:rsidRDefault="003720EE" w:rsidP="003720EE">
      <w:pPr>
        <w:jc w:val="both"/>
        <w:rPr>
          <w:rFonts w:ascii="Open Sans" w:hAnsi="Open Sans" w:cs="Open Sans;Tahoma"/>
          <w:bCs/>
          <w:color w:val="000000"/>
        </w:rPr>
      </w:pPr>
    </w:p>
    <w:p w14:paraId="16EF2FD3" w14:textId="77777777" w:rsidR="003720EE" w:rsidRPr="00773F0D" w:rsidRDefault="003720EE" w:rsidP="003720EE">
      <w:pPr>
        <w:jc w:val="both"/>
        <w:rPr>
          <w:rFonts w:ascii="Open Sans" w:hAnsi="Open Sans"/>
          <w:sz w:val="20"/>
          <w:szCs w:val="20"/>
        </w:rPr>
      </w:pPr>
      <w:r w:rsidRPr="00773F0D">
        <w:rPr>
          <w:rFonts w:ascii="Open Sans" w:hAnsi="Open Sans" w:cs="Open Sans;Tahoma"/>
          <w:bCs/>
          <w:color w:val="000000"/>
          <w:sz w:val="20"/>
          <w:szCs w:val="20"/>
        </w:rPr>
        <w:t xml:space="preserve">A nivel de grupo la empresa ofrece información contable explicativa de </w:t>
      </w:r>
      <w:r w:rsidRPr="00773F0D">
        <w:rPr>
          <w:rFonts w:ascii="Open Sans" w:hAnsi="Open Sans"/>
          <w:color w:val="000000"/>
          <w:sz w:val="20"/>
          <w:szCs w:val="20"/>
        </w:rPr>
        <w:t xml:space="preserve">la diferencia entre la tasa impositiva efectiva (4%) y la tasa impositiva nominal del impuesto sobre sociedades (30%).  La reducción se debe a la aplicación de </w:t>
      </w:r>
      <w:r w:rsidRPr="00773F0D">
        <w:rPr>
          <w:rFonts w:ascii="Open Sans" w:hAnsi="Open Sans" w:cs="Open Sans;Tahoma"/>
          <w:bCs/>
          <w:i/>
          <w:iCs/>
          <w:color w:val="000000"/>
          <w:sz w:val="20"/>
          <w:szCs w:val="20"/>
        </w:rPr>
        <w:t>Ingresos no gravados (diferencia negativa de consolidación)</w:t>
      </w:r>
      <w:r w:rsidRPr="00773F0D">
        <w:rPr>
          <w:rFonts w:ascii="Open Sans" w:hAnsi="Open Sans" w:cs="Open Sans;Tahoma"/>
          <w:bCs/>
          <w:color w:val="000000"/>
          <w:sz w:val="20"/>
          <w:szCs w:val="20"/>
        </w:rPr>
        <w:t xml:space="preserve">, </w:t>
      </w:r>
      <w:r w:rsidRPr="00773F0D">
        <w:rPr>
          <w:rFonts w:ascii="Open Sans" w:hAnsi="Open Sans" w:cs="Open Sans;Tahoma"/>
          <w:bCs/>
          <w:i/>
          <w:iCs/>
          <w:sz w:val="20"/>
          <w:szCs w:val="20"/>
        </w:rPr>
        <w:t>Diferencia tasa efectiva sociedades en extranjero, Reserva de capitalización /Deducciones generadas/Gastos no deducibles</w:t>
      </w:r>
      <w:r w:rsidRPr="00773F0D">
        <w:rPr>
          <w:rFonts w:ascii="Open Sans" w:hAnsi="Open Sans" w:cs="Open Sans;Tahoma"/>
          <w:bCs/>
          <w:sz w:val="20"/>
          <w:szCs w:val="20"/>
        </w:rPr>
        <w:t>,</w:t>
      </w:r>
      <w:r w:rsidRPr="00773F0D">
        <w:rPr>
          <w:rFonts w:ascii="Open Sans" w:hAnsi="Open Sans" w:cs="Open Sans;Tahoma"/>
          <w:bCs/>
          <w:i/>
          <w:iCs/>
          <w:sz w:val="20"/>
          <w:szCs w:val="20"/>
        </w:rPr>
        <w:t xml:space="preserve"> Ingresos con menor tasa fiscal (dividendos y renta fuente internacional)</w:t>
      </w:r>
      <w:r w:rsidRPr="00773F0D">
        <w:rPr>
          <w:rFonts w:ascii="Open Sans" w:hAnsi="Open Sans" w:cs="Open Sans;Tahoma"/>
          <w:bCs/>
          <w:sz w:val="20"/>
          <w:szCs w:val="20"/>
        </w:rPr>
        <w:t xml:space="preserve"> e </w:t>
      </w:r>
      <w:r w:rsidRPr="00773F0D">
        <w:rPr>
          <w:rFonts w:ascii="Open Sans" w:hAnsi="Open Sans" w:cs="Open Sans;Tahoma"/>
          <w:bCs/>
          <w:i/>
          <w:iCs/>
          <w:color w:val="000000"/>
          <w:sz w:val="20"/>
          <w:szCs w:val="20"/>
        </w:rPr>
        <w:t>Ingresos entidades asociadas</w:t>
      </w:r>
      <w:r w:rsidRPr="00773F0D">
        <w:rPr>
          <w:rStyle w:val="Ancladenotaalpie"/>
          <w:rFonts w:ascii="Open Sans" w:hAnsi="Open Sans" w:cs="Open Sans;Tahoma"/>
          <w:bCs/>
          <w:i/>
          <w:iCs/>
          <w:color w:val="000000"/>
          <w:sz w:val="20"/>
          <w:szCs w:val="20"/>
        </w:rPr>
        <w:footnoteReference w:id="550"/>
      </w:r>
      <w:r w:rsidRPr="00773F0D">
        <w:rPr>
          <w:rFonts w:ascii="Open Sans" w:hAnsi="Open Sans" w:cs="Open Sans;Tahoma"/>
          <w:bCs/>
          <w:i/>
          <w:iCs/>
          <w:color w:val="000000"/>
          <w:sz w:val="20"/>
          <w:szCs w:val="20"/>
        </w:rPr>
        <w:t>.</w:t>
      </w:r>
    </w:p>
    <w:p w14:paraId="710A8006" w14:textId="77777777" w:rsidR="003720EE" w:rsidRPr="00773F0D" w:rsidRDefault="003720EE" w:rsidP="003720EE">
      <w:pPr>
        <w:rPr>
          <w:rFonts w:ascii="Open Sans" w:hAnsi="Open Sans" w:cs="Open Sans;Tahoma"/>
          <w:bCs/>
        </w:rPr>
      </w:pPr>
    </w:p>
    <w:p w14:paraId="3ADE663C" w14:textId="77777777" w:rsidR="003720EE" w:rsidRPr="00773F0D" w:rsidRDefault="003720EE" w:rsidP="003720EE">
      <w:pPr>
        <w:jc w:val="both"/>
        <w:rPr>
          <w:rFonts w:ascii="Open Sans" w:hAnsi="Open Sans"/>
          <w:sz w:val="20"/>
          <w:szCs w:val="20"/>
        </w:rPr>
      </w:pPr>
      <w:r w:rsidRPr="00773F0D">
        <w:rPr>
          <w:rFonts w:ascii="Open Sans" w:hAnsi="Open Sans" w:cs="Open Sans;Tahoma"/>
          <w:bCs/>
          <w:sz w:val="20"/>
          <w:szCs w:val="20"/>
        </w:rPr>
        <w:t>La entidad menciona en el Informe Bancario Anual que el importe de las subvenciones o ayudas públicas recibidas no es significativo, sin especificar importes, sociedades beneficiarias, conceptos sujetos a subvención,…</w:t>
      </w:r>
    </w:p>
    <w:p w14:paraId="0104CF9C" w14:textId="77777777" w:rsidR="003720EE" w:rsidRPr="00773F0D" w:rsidRDefault="003720EE" w:rsidP="003720EE">
      <w:pPr>
        <w:rPr>
          <w:rFonts w:ascii="Open Sans" w:hAnsi="Open Sans" w:cs="Open Sans;Tahoma"/>
          <w:bCs/>
        </w:rPr>
      </w:pPr>
    </w:p>
    <w:p w14:paraId="309D55E9" w14:textId="77777777" w:rsidR="003720EE" w:rsidRPr="00773F0D" w:rsidRDefault="003720EE" w:rsidP="003720EE">
      <w:pPr>
        <w:jc w:val="both"/>
        <w:rPr>
          <w:rFonts w:ascii="Open Sans" w:hAnsi="Open Sans"/>
          <w:sz w:val="20"/>
          <w:szCs w:val="20"/>
        </w:rPr>
      </w:pPr>
      <w:r w:rsidRPr="00773F0D">
        <w:rPr>
          <w:rFonts w:ascii="Open Sans" w:hAnsi="Open Sans" w:cs="Open Sans;Tahoma"/>
          <w:bCs/>
          <w:sz w:val="20"/>
          <w:szCs w:val="20"/>
        </w:rPr>
        <w:t>En referencia a los incentivos fiscales aplicados (deducciones y exenciones) se presenta poca información y de forma muy agregada. Sólo se especifican “</w:t>
      </w:r>
      <w:r w:rsidRPr="00773F0D">
        <w:rPr>
          <w:rFonts w:ascii="Open Sans" w:hAnsi="Open Sans" w:cs="Open Sans;Tahoma"/>
          <w:bCs/>
          <w:i/>
          <w:iCs/>
          <w:sz w:val="20"/>
          <w:szCs w:val="20"/>
        </w:rPr>
        <w:t>Deducciones por doble imposición/formación y otros”</w:t>
      </w:r>
      <w:r w:rsidRPr="00773F0D">
        <w:rPr>
          <w:rFonts w:ascii="Open Sans" w:hAnsi="Open Sans" w:cs="Open Sans;Tahoma"/>
          <w:bCs/>
          <w:sz w:val="20"/>
          <w:szCs w:val="20"/>
        </w:rPr>
        <w:t xml:space="preserve"> por importe de 1452m€</w:t>
      </w:r>
      <w:r w:rsidRPr="00773F0D">
        <w:rPr>
          <w:rStyle w:val="Ancladenotaalpie"/>
          <w:rFonts w:ascii="Open Sans" w:hAnsi="Open Sans" w:cs="Open Sans;Tahoma"/>
          <w:bCs/>
          <w:sz w:val="20"/>
          <w:szCs w:val="20"/>
        </w:rPr>
        <w:footnoteReference w:id="551"/>
      </w:r>
      <w:r w:rsidRPr="00773F0D">
        <w:rPr>
          <w:rFonts w:ascii="Open Sans" w:hAnsi="Open Sans" w:cs="Open Sans;Tahoma"/>
          <w:bCs/>
          <w:sz w:val="20"/>
          <w:szCs w:val="20"/>
        </w:rPr>
        <w:t xml:space="preserve">. Así mismo, en  la conciliación entre el gasto por el Impuesto sobre Sociedades del grupo </w:t>
      </w:r>
      <w:r w:rsidRPr="00773F0D">
        <w:rPr>
          <w:rFonts w:ascii="Open Sans" w:hAnsi="Open Sans"/>
          <w:sz w:val="20"/>
          <w:szCs w:val="20"/>
        </w:rPr>
        <w:t>resultante de la aplicación del tipo impositivo general y el gasto registrado por dicho impuesto en las cuentas de pérdidas y ganancias consolidadas a</w:t>
      </w:r>
      <w:r w:rsidRPr="00773F0D">
        <w:rPr>
          <w:rFonts w:ascii="Open Sans" w:hAnsi="Open Sans" w:cs="Open Sans;Tahoma"/>
          <w:bCs/>
          <w:sz w:val="20"/>
          <w:szCs w:val="20"/>
        </w:rPr>
        <w:t>parece como partida de reducción del Impuesto de Sociedades a pagar otras deducciones agregadas en “Reserva de capitalización / Deducciones generadas/Gastos no deducibles” por un importe total de 8.786m€</w:t>
      </w:r>
      <w:r w:rsidRPr="00773F0D">
        <w:rPr>
          <w:rStyle w:val="Ancladenotaalpie"/>
          <w:rFonts w:ascii="Open Sans" w:hAnsi="Open Sans" w:cs="Open Sans;Tahoma"/>
          <w:bCs/>
          <w:sz w:val="20"/>
          <w:szCs w:val="20"/>
        </w:rPr>
        <w:footnoteReference w:id="552"/>
      </w:r>
      <w:r w:rsidRPr="00773F0D">
        <w:rPr>
          <w:rFonts w:ascii="Open Sans" w:hAnsi="Open Sans" w:cs="Open Sans;Tahoma"/>
          <w:bCs/>
          <w:sz w:val="20"/>
          <w:szCs w:val="20"/>
        </w:rPr>
        <w:t xml:space="preserve">. </w:t>
      </w:r>
    </w:p>
    <w:p w14:paraId="1EF59501" w14:textId="77777777" w:rsidR="003720EE" w:rsidRPr="00773F0D" w:rsidRDefault="003720EE" w:rsidP="003720EE">
      <w:pPr>
        <w:rPr>
          <w:rFonts w:ascii="Open Sans" w:hAnsi="Open Sans" w:cs="Open Sans;Tahoma"/>
          <w:bCs/>
        </w:rPr>
      </w:pPr>
    </w:p>
    <w:p w14:paraId="4E61FFAC" w14:textId="77777777" w:rsidR="003720EE" w:rsidRPr="00773F0D" w:rsidRDefault="003720EE" w:rsidP="003720EE">
      <w:pPr>
        <w:jc w:val="both"/>
        <w:rPr>
          <w:rFonts w:ascii="Open Sans" w:hAnsi="Open Sans"/>
          <w:sz w:val="20"/>
          <w:szCs w:val="20"/>
        </w:rPr>
      </w:pPr>
      <w:r w:rsidRPr="00773F0D">
        <w:rPr>
          <w:rFonts w:ascii="Open Sans" w:hAnsi="Open Sans" w:cs="Open Sans;Tahoma"/>
          <w:bCs/>
          <w:sz w:val="20"/>
          <w:szCs w:val="20"/>
        </w:rPr>
        <w:t xml:space="preserve">Banco de Sabadell también reconoce que ha obtenido rentas susceptibles de ser acogidas a la deducción por reinversión regulada en el artículo 42 del Texto Refundido de la Ley del Impuesto sobre Sociedades que se han ido materializando en ejercicios anteriores. </w:t>
      </w:r>
    </w:p>
    <w:p w14:paraId="209A4370" w14:textId="77777777" w:rsidR="003720EE" w:rsidRPr="00773F0D" w:rsidRDefault="003720EE" w:rsidP="003720EE">
      <w:pPr>
        <w:rPr>
          <w:rFonts w:ascii="Open Sans" w:hAnsi="Open Sans" w:cs="Open Sans;Tahoma"/>
          <w:bCs/>
        </w:rPr>
      </w:pPr>
    </w:p>
    <w:p w14:paraId="5919E8AB" w14:textId="77777777" w:rsidR="003720EE" w:rsidRPr="00773F0D" w:rsidRDefault="003720EE" w:rsidP="003720EE">
      <w:pPr>
        <w:jc w:val="both"/>
        <w:rPr>
          <w:rFonts w:ascii="Open Sans" w:hAnsi="Open Sans"/>
          <w:sz w:val="20"/>
          <w:szCs w:val="20"/>
        </w:rPr>
      </w:pPr>
      <w:r w:rsidRPr="00773F0D">
        <w:rPr>
          <w:rFonts w:ascii="Open Sans" w:hAnsi="Open Sans" w:cs="Open Sans;Tahoma"/>
          <w:bCs/>
          <w:sz w:val="20"/>
          <w:szCs w:val="20"/>
        </w:rPr>
        <w:t xml:space="preserve">La entidad también aplica créditos fiscales </w:t>
      </w:r>
      <w:r w:rsidRPr="00773F0D">
        <w:rPr>
          <w:rFonts w:ascii="Open Sans" w:hAnsi="Open Sans"/>
          <w:sz w:val="20"/>
          <w:szCs w:val="20"/>
        </w:rPr>
        <w:t xml:space="preserve">por bases imponibles negativas tanto a nivel de grupo (430.598m€) como en Banco Sabadell SA. (272.947m€). Estos créditos no tienen ningún tipo de periodo de prescripción legal) pero la entidad prevé recuperarlos en un periodo máximo de </w:t>
      </w:r>
      <w:r w:rsidRPr="00773F0D">
        <w:rPr>
          <w:rFonts w:ascii="Open Sans" w:hAnsi="Open Sans" w:cs="Open Sans;Tahoma"/>
          <w:bCs/>
          <w:sz w:val="20"/>
          <w:szCs w:val="20"/>
        </w:rPr>
        <w:t>5 anos. No se ofrece</w:t>
      </w:r>
      <w:r w:rsidRPr="00773F0D">
        <w:rPr>
          <w:rFonts w:ascii="Open Sans" w:eastAsia="Open Sans" w:hAnsi="Open Sans" w:cs="Open Sans"/>
          <w:bCs/>
          <w:sz w:val="20"/>
          <w:szCs w:val="20"/>
        </w:rPr>
        <w:t xml:space="preserve"> información detallada del origen de estos créditos ni de </w:t>
      </w:r>
      <w:proofErr w:type="gramStart"/>
      <w:r w:rsidRPr="00773F0D">
        <w:rPr>
          <w:rFonts w:ascii="Open Sans" w:eastAsia="Open Sans" w:hAnsi="Open Sans" w:cs="Open Sans"/>
          <w:bCs/>
          <w:sz w:val="20"/>
          <w:szCs w:val="20"/>
        </w:rPr>
        <w:t>los</w:t>
      </w:r>
      <w:proofErr w:type="gramEnd"/>
      <w:r w:rsidRPr="00773F0D">
        <w:rPr>
          <w:rFonts w:ascii="Open Sans" w:eastAsia="Open Sans" w:hAnsi="Open Sans" w:cs="Open Sans"/>
          <w:bCs/>
          <w:sz w:val="20"/>
          <w:szCs w:val="20"/>
        </w:rPr>
        <w:t xml:space="preserve"> sociedades del grupo que los generan. Este es un aspecto relevante a considerar atendiendo la relevancia que para el Banco Sabadell han tenido dichos créditos fiscales, sin los cuales -según la Comisión Europea- no habría alcanzado los mínimos de solvencia requeridos por Bruselas.</w:t>
      </w:r>
      <w:r w:rsidRPr="00773F0D">
        <w:rPr>
          <w:rStyle w:val="Ancladenotaalpie"/>
          <w:rFonts w:ascii="Open Sans" w:eastAsia="Open Sans" w:hAnsi="Open Sans" w:cs="Open Sans"/>
          <w:bCs/>
          <w:sz w:val="20"/>
          <w:szCs w:val="20"/>
        </w:rPr>
        <w:footnoteReference w:id="553"/>
      </w:r>
      <w:r w:rsidRPr="00773F0D">
        <w:rPr>
          <w:rFonts w:ascii="Open Sans" w:eastAsia="Open Sans" w:hAnsi="Open Sans" w:cs="Open Sans"/>
          <w:bCs/>
          <w:sz w:val="20"/>
          <w:szCs w:val="20"/>
        </w:rPr>
        <w:t xml:space="preserve"> </w:t>
      </w:r>
    </w:p>
    <w:p w14:paraId="51FFBED0" w14:textId="77777777" w:rsidR="003720EE" w:rsidRPr="00773F0D" w:rsidRDefault="003720EE" w:rsidP="003720EE">
      <w:pPr>
        <w:jc w:val="both"/>
        <w:rPr>
          <w:rFonts w:ascii="Open Sans" w:hAnsi="Open Sans" w:cs="Open Sans;Tahoma"/>
          <w:bCs/>
          <w:sz w:val="20"/>
          <w:szCs w:val="20"/>
        </w:rPr>
      </w:pPr>
    </w:p>
    <w:p w14:paraId="5B481178" w14:textId="77777777" w:rsidR="003720EE" w:rsidRPr="00773F0D" w:rsidRDefault="003720EE" w:rsidP="003720EE">
      <w:pPr>
        <w:jc w:val="both"/>
        <w:rPr>
          <w:rFonts w:ascii="Open Sans" w:hAnsi="Open Sans" w:cs="Open Sans;Tahoma"/>
          <w:bCs/>
          <w:sz w:val="20"/>
          <w:szCs w:val="20"/>
        </w:rPr>
      </w:pPr>
      <w:r w:rsidRPr="00773F0D">
        <w:rPr>
          <w:rFonts w:ascii="Open Sans" w:hAnsi="Open Sans" w:cs="Open Sans;Tahoma"/>
          <w:bCs/>
          <w:sz w:val="20"/>
          <w:szCs w:val="20"/>
        </w:rPr>
        <w:t>En cuanto a la relación de Banco de Sabadell con la administración tributaria, no informa de la adhesión a códigos de buenas prácticas tributarias, ni indica en qué iniciativas de relación cooperativa participa con administraciones tributarias en cada uno de los países en los que opera.</w:t>
      </w:r>
    </w:p>
    <w:p w14:paraId="76D3159D" w14:textId="77777777" w:rsidR="003720EE" w:rsidRPr="00773F0D" w:rsidRDefault="003720EE" w:rsidP="003720EE">
      <w:pPr>
        <w:jc w:val="both"/>
        <w:rPr>
          <w:rFonts w:ascii="Open Sans" w:hAnsi="Open Sans" w:cs="Open Sans;Tahoma"/>
          <w:bCs/>
          <w:sz w:val="20"/>
          <w:szCs w:val="20"/>
        </w:rPr>
      </w:pPr>
    </w:p>
    <w:p w14:paraId="1AF10CE4" w14:textId="77777777" w:rsidR="003720EE" w:rsidRPr="00773F0D" w:rsidRDefault="003720EE" w:rsidP="003720EE">
      <w:pPr>
        <w:jc w:val="both"/>
        <w:rPr>
          <w:rFonts w:ascii="Open Sans" w:hAnsi="Open Sans" w:cs="Open Sans;Tahoma"/>
          <w:bCs/>
          <w:sz w:val="20"/>
          <w:szCs w:val="20"/>
        </w:rPr>
      </w:pPr>
      <w:r>
        <w:rPr>
          <w:rFonts w:ascii="Open Sans" w:hAnsi="Open Sans" w:cs="Open Sans;Tahoma"/>
          <w:bCs/>
          <w:sz w:val="20"/>
          <w:szCs w:val="20"/>
        </w:rPr>
        <w:t>La empresa no explica qué</w:t>
      </w:r>
      <w:r w:rsidRPr="00773F0D">
        <w:rPr>
          <w:rFonts w:ascii="Open Sans" w:hAnsi="Open Sans" w:cs="Open Sans;Tahoma"/>
          <w:bCs/>
          <w:sz w:val="20"/>
          <w:szCs w:val="20"/>
        </w:rPr>
        <w:t xml:space="preserve"> tipo de relación mantiene con legisladores y políticos, a pesar de ser uno de los patronos Fedea (Fundación de Estudios de Economía Aplicada”. En la web de esta organización se indica que “</w:t>
      </w:r>
      <w:r w:rsidRPr="00773F0D">
        <w:rPr>
          <w:rFonts w:ascii="Open Sans" w:hAnsi="Open Sans" w:cs="Open Sans;Tahoma"/>
          <w:bCs/>
          <w:i/>
          <w:iCs/>
          <w:sz w:val="20"/>
          <w:szCs w:val="20"/>
        </w:rPr>
        <w:t>Los Patronos de Fedea apuestan por el futuro de nuestro país, conscientes de que la madurez de nuestro sistema de convivencia requiere de este tipo de instituciones. Representan a entidades que a lo largo de estos años han puesto en marcha proyectos propios de responsabilidad social corporativa que complementan la labor que han promovido en Fedea”</w:t>
      </w:r>
      <w:r w:rsidRPr="00773F0D">
        <w:rPr>
          <w:rStyle w:val="Ancladenotaalpie"/>
          <w:rFonts w:ascii="Open Sans" w:hAnsi="Open Sans" w:cs="Open Sans;Tahoma"/>
          <w:bCs/>
          <w:i/>
          <w:iCs/>
          <w:sz w:val="20"/>
          <w:szCs w:val="20"/>
        </w:rPr>
        <w:footnoteReference w:id="554"/>
      </w:r>
      <w:r w:rsidRPr="00773F0D">
        <w:rPr>
          <w:rFonts w:ascii="Open Sans" w:hAnsi="Open Sans" w:cs="Open Sans;Tahoma"/>
          <w:bCs/>
          <w:sz w:val="20"/>
          <w:szCs w:val="20"/>
        </w:rPr>
        <w:t>. Se especifica que su aportación fundamental es “</w:t>
      </w:r>
      <w:r w:rsidRPr="00773F0D">
        <w:rPr>
          <w:rFonts w:ascii="Open Sans" w:hAnsi="Open Sans" w:cs="Open Sans;Tahoma"/>
          <w:bCs/>
          <w:i/>
          <w:iCs/>
          <w:sz w:val="20"/>
          <w:szCs w:val="20"/>
        </w:rPr>
        <w:t>Crear las condiciones para que surjan nuevas ideas que informen el diseño de la política pública española</w:t>
      </w:r>
      <w:r w:rsidRPr="00773F0D">
        <w:rPr>
          <w:rFonts w:ascii="Open Sans" w:hAnsi="Open Sans" w:cs="Open Sans;Tahoma"/>
          <w:bCs/>
          <w:sz w:val="20"/>
          <w:szCs w:val="20"/>
        </w:rPr>
        <w:t>.”</w:t>
      </w:r>
    </w:p>
    <w:p w14:paraId="2C884D30" w14:textId="77777777" w:rsidR="003720EE" w:rsidRPr="00773F0D" w:rsidRDefault="003720EE" w:rsidP="003720EE">
      <w:pPr>
        <w:jc w:val="both"/>
        <w:rPr>
          <w:rFonts w:ascii="Open Sans" w:hAnsi="Open Sans" w:cs="Open Sans;Tahoma"/>
          <w:bCs/>
          <w:sz w:val="20"/>
          <w:szCs w:val="20"/>
        </w:rPr>
      </w:pPr>
    </w:p>
    <w:p w14:paraId="0405F36C" w14:textId="77777777" w:rsidR="003720EE" w:rsidRPr="00773F0D" w:rsidRDefault="003720EE" w:rsidP="003720EE">
      <w:pPr>
        <w:jc w:val="both"/>
        <w:rPr>
          <w:rFonts w:ascii="Open Sans" w:hAnsi="Open Sans"/>
          <w:sz w:val="20"/>
          <w:szCs w:val="20"/>
        </w:rPr>
      </w:pPr>
      <w:r w:rsidRPr="00773F0D">
        <w:rPr>
          <w:rFonts w:ascii="Open Sans" w:hAnsi="Open Sans" w:cs="Open Sans;Tahoma"/>
          <w:bCs/>
          <w:sz w:val="20"/>
          <w:szCs w:val="20"/>
        </w:rPr>
        <w:t>Banco de Sabadell S.A. ha realizado provisiones por contingencias fiscales por importe de 52 millones de euros a 31 de diciembre de 2015 que recogen, principalmente, actas de inspección de la administración tributaria firmadas en disconformidad y liquidaciones tributarias recurridas. No se aporta información adicional para cada una de las contingencias provisionadas, explicando el motivo de su existencia</w:t>
      </w:r>
      <w:r w:rsidRPr="00773F0D">
        <w:rPr>
          <w:rFonts w:ascii="Open Sans" w:hAnsi="Open Sans" w:cs="Open Sans;Tahoma"/>
          <w:bCs/>
          <w:color w:val="000000"/>
          <w:sz w:val="20"/>
          <w:szCs w:val="20"/>
        </w:rPr>
        <w:t xml:space="preserve"> ni ejercicios fiscales a los que hace referencia. </w:t>
      </w:r>
    </w:p>
    <w:p w14:paraId="7358268F" w14:textId="77777777" w:rsidR="003720EE" w:rsidRPr="00773F0D" w:rsidRDefault="003720EE" w:rsidP="003720EE">
      <w:pPr>
        <w:jc w:val="both"/>
        <w:rPr>
          <w:rFonts w:ascii="Open Sans" w:hAnsi="Open Sans" w:cs="Open Sans;Tahoma"/>
          <w:bCs/>
          <w:sz w:val="20"/>
          <w:szCs w:val="20"/>
        </w:rPr>
      </w:pPr>
    </w:p>
    <w:p w14:paraId="17CC4239" w14:textId="77777777" w:rsidR="003720EE" w:rsidRPr="00773F0D" w:rsidRDefault="003720EE" w:rsidP="003720EE">
      <w:pPr>
        <w:jc w:val="both"/>
        <w:rPr>
          <w:rFonts w:ascii="Open Sans" w:hAnsi="Open Sans" w:cs="Open Sans;Tahoma"/>
          <w:bCs/>
          <w:sz w:val="20"/>
          <w:szCs w:val="20"/>
        </w:rPr>
      </w:pPr>
      <w:r w:rsidRPr="00773F0D">
        <w:rPr>
          <w:rFonts w:ascii="Open Sans" w:hAnsi="Open Sans" w:cs="Open Sans;Tahoma"/>
          <w:bCs/>
          <w:sz w:val="20"/>
          <w:szCs w:val="20"/>
        </w:rPr>
        <w:t xml:space="preserve">Así mismo, la entidad menciona que como consecuencia de las actuaciones inspectoras de la Administración Tributaria finalizadas e 2014 existen actas de inspección firmadas en disconformidad de la propia sociedad y de las entidades adquiridas, y posteriormente fusionadas, por un total importe de deuda tributaria de 33.091 miles de euros, habiéndose impugnado todas ellas. La entidad ofrece información sobre los conceptos, ejercicios y entidades del grupo a los que corresponden. No se ofrece información sobre litigios, </w:t>
      </w:r>
      <w:proofErr w:type="gramStart"/>
      <w:r w:rsidRPr="00773F0D">
        <w:rPr>
          <w:rFonts w:ascii="Open Sans" w:hAnsi="Open Sans" w:cs="Open Sans;Tahoma"/>
          <w:bCs/>
          <w:sz w:val="20"/>
          <w:szCs w:val="20"/>
        </w:rPr>
        <w:t>deudas …</w:t>
      </w:r>
      <w:proofErr w:type="gramEnd"/>
      <w:r w:rsidRPr="00773F0D">
        <w:rPr>
          <w:rFonts w:ascii="Open Sans" w:hAnsi="Open Sans" w:cs="Open Sans;Tahoma"/>
          <w:bCs/>
          <w:sz w:val="20"/>
          <w:szCs w:val="20"/>
        </w:rPr>
        <w:t xml:space="preserve"> de tipo fiscal fuera de territorio español, si bien aclara que todas las empresas que forman parte del grupo tienen pendientes de revisión todos los impuestos no comprobados y no prescritos legalmente.</w:t>
      </w:r>
    </w:p>
    <w:p w14:paraId="12154B5E" w14:textId="77777777" w:rsidR="003720EE" w:rsidRPr="00773F0D" w:rsidRDefault="003720EE" w:rsidP="003720EE">
      <w:pPr>
        <w:jc w:val="both"/>
        <w:rPr>
          <w:rFonts w:ascii="Open Sans" w:hAnsi="Open Sans" w:cs="Open Sans;Tahoma"/>
          <w:bCs/>
          <w:sz w:val="20"/>
          <w:szCs w:val="20"/>
        </w:rPr>
      </w:pPr>
    </w:p>
    <w:p w14:paraId="55F913A3" w14:textId="77777777" w:rsidR="003720EE" w:rsidRPr="00773F0D" w:rsidRDefault="003720EE" w:rsidP="003720EE">
      <w:pPr>
        <w:jc w:val="both"/>
        <w:rPr>
          <w:rFonts w:ascii="Open Sans" w:hAnsi="Open Sans"/>
        </w:rPr>
      </w:pPr>
      <w:r w:rsidRPr="00773F0D">
        <w:rPr>
          <w:rFonts w:ascii="Open Sans" w:hAnsi="Open Sans" w:cs="Open Sans;Tahoma"/>
          <w:bCs/>
          <w:sz w:val="20"/>
          <w:szCs w:val="20"/>
        </w:rPr>
        <w:t xml:space="preserve">En el Informe Anual de Gobierno Corporativa se informa que no existen operaciones relevantes entre operaciones significativas realizadas por la sociedad con otras entidades del grupo ni operación intragrupo realizada con entidades </w:t>
      </w:r>
      <w:r w:rsidRPr="00773F0D">
        <w:rPr>
          <w:rFonts w:ascii="Open Sans" w:hAnsi="Open Sans"/>
          <w:sz w:val="20"/>
          <w:szCs w:val="20"/>
        </w:rPr>
        <w:t xml:space="preserve">establecidas en países o territorios que tengan la consideración de paraíso fiscal. </w:t>
      </w:r>
    </w:p>
    <w:p w14:paraId="4F7340C9" w14:textId="77777777" w:rsidR="003720EE" w:rsidRPr="00773F0D" w:rsidRDefault="003720EE" w:rsidP="003720EE">
      <w:pPr>
        <w:jc w:val="both"/>
        <w:rPr>
          <w:rFonts w:ascii="Open Sans" w:hAnsi="Open Sans"/>
          <w:sz w:val="20"/>
          <w:szCs w:val="20"/>
        </w:rPr>
      </w:pPr>
    </w:p>
    <w:p w14:paraId="1389406E" w14:textId="77777777" w:rsidR="003720EE" w:rsidRPr="00773F0D" w:rsidRDefault="003720EE" w:rsidP="003720EE">
      <w:pPr>
        <w:jc w:val="both"/>
        <w:rPr>
          <w:rFonts w:ascii="Open Sans" w:hAnsi="Open Sans"/>
        </w:rPr>
      </w:pPr>
      <w:r w:rsidRPr="00773F0D">
        <w:rPr>
          <w:rFonts w:ascii="Open Sans" w:hAnsi="Open Sans"/>
          <w:sz w:val="20"/>
          <w:szCs w:val="20"/>
        </w:rPr>
        <w:t>En las cuentas anuales de Banco de Sabadell SA y del grupo se mantiene que no se han realizado operaciones relevantes a excepción de la adquisición de 8.238.084 acciones del banco colombiano Banco GNB Sudameris, S.A., representativas del 4,99% de su capital social, por un precio de 50.000.000 dólares. Esta operación resulta relevante porque “Banco GNB Sudameris tiene como accionista mayoritario a Gilex Holding, B.V., sociedad subsidiaria de Starmites Corporation, S.A.R.L., compañía perteneciente a la familia Gilinski.    El Sr. Jaime Gilinski Bacal es accionista significativo de Banco Sabadell”</w:t>
      </w:r>
      <w:r w:rsidRPr="00773F0D">
        <w:rPr>
          <w:rStyle w:val="Ancladenotaalpie"/>
          <w:rFonts w:ascii="Open Sans" w:hAnsi="Open Sans"/>
          <w:sz w:val="20"/>
          <w:szCs w:val="20"/>
        </w:rPr>
        <w:footnoteReference w:id="555"/>
      </w:r>
      <w:r w:rsidRPr="00773F0D">
        <w:rPr>
          <w:rFonts w:ascii="Open Sans" w:hAnsi="Open Sans"/>
          <w:sz w:val="20"/>
          <w:szCs w:val="20"/>
        </w:rPr>
        <w:t>. No consta información sobre operaciones de compra – venta de servicios o de financiación entre entidades del grupo aparte del apunte de “las efectuadas se encuentran dentro del tráfico habitual de la sociedad”, tampoco se indica los precios de transferencia que se hayan podido establecer entre las entidades sólo se menciona que se han llevado a efecto en condiciones de mercado.</w:t>
      </w:r>
    </w:p>
    <w:p w14:paraId="13797489" w14:textId="77777777" w:rsidR="003720EE" w:rsidRPr="00773F0D" w:rsidRDefault="003720EE" w:rsidP="003720EE">
      <w:pPr>
        <w:jc w:val="both"/>
        <w:rPr>
          <w:rFonts w:ascii="Open Sans" w:hAnsi="Open Sans" w:cs="Open Sans;Tahoma"/>
          <w:bCs/>
          <w:sz w:val="20"/>
          <w:szCs w:val="20"/>
        </w:rPr>
      </w:pPr>
    </w:p>
    <w:p w14:paraId="35786491" w14:textId="77777777" w:rsidR="003720EE" w:rsidRPr="00773F0D" w:rsidRDefault="003720EE" w:rsidP="003720EE">
      <w:pPr>
        <w:jc w:val="both"/>
        <w:rPr>
          <w:rFonts w:ascii="Open Sans" w:hAnsi="Open Sans" w:cs="Open Sans;Tahoma"/>
          <w:bCs/>
          <w:sz w:val="20"/>
          <w:szCs w:val="20"/>
        </w:rPr>
      </w:pPr>
    </w:p>
    <w:p w14:paraId="66B6DC60" w14:textId="77777777" w:rsidR="003720EE" w:rsidRPr="00773F0D" w:rsidRDefault="003720EE" w:rsidP="003720EE">
      <w:pPr>
        <w:rPr>
          <w:rFonts w:ascii="Open Sans" w:hAnsi="Open Sans" w:cs="Open Sans;Tahoma"/>
          <w:b/>
          <w:sz w:val="22"/>
          <w:szCs w:val="22"/>
          <w:u w:val="single"/>
        </w:rPr>
      </w:pPr>
      <w:r w:rsidRPr="00773F0D">
        <w:rPr>
          <w:rFonts w:ascii="Open Sans" w:hAnsi="Open Sans" w:cs="Open Sans;Tahoma"/>
          <w:b/>
          <w:sz w:val="22"/>
          <w:szCs w:val="22"/>
          <w:u w:val="single"/>
        </w:rPr>
        <w:t>5. Conclusiones</w:t>
      </w:r>
    </w:p>
    <w:p w14:paraId="10313694" w14:textId="77777777" w:rsidR="003720EE" w:rsidRPr="00773F0D" w:rsidRDefault="003720EE" w:rsidP="003720EE">
      <w:pPr>
        <w:rPr>
          <w:rFonts w:ascii="Open Sans" w:hAnsi="Open Sans" w:cs="Open Sans;Tahoma"/>
          <w:bCs/>
          <w:sz w:val="22"/>
          <w:szCs w:val="22"/>
          <w:u w:val="single"/>
        </w:rPr>
      </w:pPr>
    </w:p>
    <w:p w14:paraId="4B078E3A" w14:textId="77777777" w:rsidR="003720EE" w:rsidRPr="00131D47" w:rsidRDefault="003720EE" w:rsidP="003720EE">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Banco Sabadell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0,33</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las “relaciones con Administraciones Tributarias” (0,60),  seguidos por “impuestos e incentivos” (0,50), la “política y estrategia fiscal” (0,20) y  “paraísos y nichos fiscales” (0). </w:t>
      </w:r>
    </w:p>
    <w:p w14:paraId="7BE82554" w14:textId="77777777" w:rsidR="003720EE" w:rsidRPr="00773F0D" w:rsidRDefault="003720EE" w:rsidP="003720EE">
      <w:pPr>
        <w:pStyle w:val="Default"/>
        <w:jc w:val="both"/>
        <w:rPr>
          <w:rFonts w:ascii="Open Sans" w:hAnsi="Open Sans"/>
        </w:rPr>
      </w:pPr>
    </w:p>
    <w:p w14:paraId="13ECF4B0" w14:textId="77777777" w:rsidR="003720EE" w:rsidRPr="00773F0D" w:rsidRDefault="003720EE" w:rsidP="003720EE">
      <w:pPr>
        <w:pStyle w:val="Default"/>
        <w:jc w:val="both"/>
        <w:rPr>
          <w:rFonts w:ascii="Open Sans" w:hAnsi="Open Sans"/>
        </w:rPr>
      </w:pPr>
      <w:r w:rsidRPr="00773F0D">
        <w:rPr>
          <w:rFonts w:ascii="Open Sans" w:hAnsi="Open Sans" w:cs="Open Sans;Tahoma"/>
          <w:sz w:val="20"/>
          <w:szCs w:val="20"/>
        </w:rPr>
        <w:t>El análisis de la documentación publicada por la entidad refleja que no existe un compromiso explícito con la fiscalidad responsable más allá de asegurar el cumplimiento de las obligaciones fiscales.</w:t>
      </w:r>
    </w:p>
    <w:p w14:paraId="0473D071" w14:textId="77777777" w:rsidR="003720EE" w:rsidRPr="00773F0D" w:rsidRDefault="003720EE" w:rsidP="003720EE">
      <w:pPr>
        <w:pStyle w:val="Default"/>
        <w:jc w:val="both"/>
        <w:rPr>
          <w:rFonts w:ascii="Open Sans" w:hAnsi="Open Sans" w:cs="Open Sans;Tahoma"/>
          <w:sz w:val="20"/>
          <w:szCs w:val="20"/>
        </w:rPr>
      </w:pPr>
    </w:p>
    <w:p w14:paraId="6A1043FC" w14:textId="77777777" w:rsidR="003720EE" w:rsidRPr="00773F0D" w:rsidRDefault="003720EE" w:rsidP="003720EE">
      <w:pPr>
        <w:pStyle w:val="Default"/>
        <w:jc w:val="both"/>
        <w:rPr>
          <w:rFonts w:ascii="Open Sans" w:hAnsi="Open Sans"/>
        </w:rPr>
      </w:pPr>
      <w:r w:rsidRPr="00773F0D">
        <w:rPr>
          <w:rFonts w:ascii="Open Sans" w:hAnsi="Open Sans" w:cs="Open Sans;Tahoma"/>
          <w:sz w:val="20"/>
          <w:szCs w:val="20"/>
        </w:rPr>
        <w:t xml:space="preserve">Tampoco se identifican específicamente los riesgos fiscales derivados de su actividad de intermediación ni su presencia en territorios off-shore. También en este aspecto, el banco mantiene una política de gestión de riesgo fiscal enfocada únicamente a asegurar el cumplimiento de las obligaciones fiscales. </w:t>
      </w:r>
    </w:p>
    <w:p w14:paraId="0D0CF896" w14:textId="77777777" w:rsidR="003720EE" w:rsidRPr="00773F0D" w:rsidRDefault="003720EE" w:rsidP="003720EE">
      <w:pPr>
        <w:pStyle w:val="Default"/>
        <w:jc w:val="both"/>
        <w:rPr>
          <w:rFonts w:ascii="Open Sans" w:hAnsi="Open Sans" w:cs="Open Sans;Tahoma"/>
          <w:sz w:val="20"/>
          <w:szCs w:val="20"/>
        </w:rPr>
      </w:pPr>
    </w:p>
    <w:p w14:paraId="45A94465" w14:textId="77777777" w:rsidR="003720EE" w:rsidRPr="00773F0D" w:rsidRDefault="003720EE" w:rsidP="003720EE">
      <w:pPr>
        <w:pStyle w:val="Default"/>
        <w:jc w:val="both"/>
        <w:rPr>
          <w:rFonts w:ascii="Open Sans" w:hAnsi="Open Sans"/>
        </w:rPr>
      </w:pPr>
      <w:r w:rsidRPr="00773F0D">
        <w:rPr>
          <w:rFonts w:ascii="Open Sans" w:hAnsi="Open Sans" w:cs="Open Sans;Tahoma"/>
          <w:sz w:val="20"/>
          <w:szCs w:val="20"/>
        </w:rPr>
        <w:t xml:space="preserve">Como aspecto positivo a resaltar, en 2015 se han reducido a la mitad la presencia en territorios off-shore, quedando sólo 7 sociedades participadas registradas en Andorra, Bahamas, Hong Kong y Luxemburgo. Sin embargo, la entidad no proporciona datos sobre actividades de estas sociedades ni sobre  </w:t>
      </w:r>
      <w:r w:rsidRPr="00773F0D">
        <w:rPr>
          <w:rFonts w:ascii="Open Sans" w:eastAsia="Open Sans" w:hAnsi="Open Sans" w:cs="Open Sans"/>
          <w:sz w:val="20"/>
          <w:szCs w:val="20"/>
          <w:highlight w:val="white"/>
        </w:rPr>
        <w:t>la operativa con sectores no residentes a través de las filiales o sucursales que mantienen en estos territorios y que podrían suponer un soporte para la elusión o evasión fiscal.</w:t>
      </w:r>
    </w:p>
    <w:p w14:paraId="09B1AF7C" w14:textId="77777777" w:rsidR="003720EE" w:rsidRPr="00773F0D" w:rsidRDefault="003720EE" w:rsidP="003720EE">
      <w:pPr>
        <w:pStyle w:val="Default"/>
        <w:jc w:val="both"/>
        <w:rPr>
          <w:rFonts w:ascii="Open Sans" w:hAnsi="Open Sans" w:cs="Open Sans;Tahoma"/>
          <w:sz w:val="20"/>
          <w:szCs w:val="20"/>
        </w:rPr>
      </w:pPr>
    </w:p>
    <w:p w14:paraId="00A5E4E5" w14:textId="77777777" w:rsidR="003720EE" w:rsidRPr="00773F0D" w:rsidRDefault="003720EE" w:rsidP="003720EE">
      <w:pPr>
        <w:jc w:val="both"/>
        <w:rPr>
          <w:rFonts w:ascii="Open Sans" w:hAnsi="Open Sans"/>
        </w:rPr>
      </w:pPr>
      <w:r w:rsidRPr="00773F0D">
        <w:rPr>
          <w:rFonts w:ascii="Open Sans" w:hAnsi="Open Sans" w:cs="Open Sans;Tahoma"/>
          <w:sz w:val="20"/>
          <w:szCs w:val="20"/>
        </w:rPr>
        <w:t xml:space="preserve">La información facilitada por la entidad se refiere principalmente a sus operaciones como grupo, con un desglose genérico en cuatro regiones: España, Reino Unido, Estados Unidos y Otros.  Así mismo, la mayor parte de la información objeto de análisis hay que extraerla de información proporcionada en los Informes Anuales, es de difícil comprensión para público no experto, está disgregada en diferentes apartados y documentos (CCAA Consolidadas, Informe Legal de Bankinter SA, Informe Bancario Anual, Informe de Gobierno Corporativo,…) y no contiene explicaciones suficientes para ser comprensible por todos sus grupos de interés. </w:t>
      </w:r>
    </w:p>
    <w:p w14:paraId="774AC52F" w14:textId="77777777" w:rsidR="003720EE" w:rsidRPr="00773F0D" w:rsidRDefault="003720EE" w:rsidP="003720EE">
      <w:pPr>
        <w:jc w:val="both"/>
        <w:rPr>
          <w:rFonts w:ascii="Open Sans" w:hAnsi="Open Sans" w:cs="Open Sans;Tahoma"/>
          <w:sz w:val="20"/>
          <w:szCs w:val="20"/>
        </w:rPr>
      </w:pPr>
    </w:p>
    <w:p w14:paraId="0A7B8B6C" w14:textId="77777777" w:rsidR="003720EE" w:rsidRPr="00773F0D" w:rsidRDefault="003720EE" w:rsidP="003720EE">
      <w:pPr>
        <w:jc w:val="both"/>
        <w:rPr>
          <w:rFonts w:ascii="Open Sans" w:hAnsi="Open Sans" w:cs="Open Sans;Tahoma"/>
          <w:sz w:val="20"/>
          <w:szCs w:val="20"/>
        </w:rPr>
      </w:pPr>
      <w:r w:rsidRPr="00773F0D">
        <w:rPr>
          <w:rFonts w:ascii="Open Sans" w:hAnsi="Open Sans" w:cs="Open Sans;Tahoma"/>
          <w:color w:val="000000"/>
          <w:sz w:val="20"/>
          <w:szCs w:val="20"/>
        </w:rPr>
        <w:t xml:space="preserve">Banco de Sabadell no reconoce explícitamente la función social del sistema tributario, no se ha incluido la fiscalidad en el análisis de materialidad, ni en la estrategia de RSC, ni en la Memoria Anual de RSC referencia a aspectos relacionados con fiscalidad responsable. Tampoco hay constancia que haya cooperado o participado activamente con la Administración Tributaria en temas de fiscalidad. </w:t>
      </w:r>
    </w:p>
    <w:p w14:paraId="40A06A1A" w14:textId="77777777" w:rsidR="003720EE" w:rsidRPr="00773F0D" w:rsidRDefault="003720EE" w:rsidP="003720EE">
      <w:pPr>
        <w:rPr>
          <w:rFonts w:ascii="Open Sans" w:hAnsi="Open Sans" w:cs="Open Sans;Tahoma"/>
          <w:sz w:val="20"/>
          <w:szCs w:val="20"/>
        </w:rPr>
      </w:pPr>
    </w:p>
    <w:p w14:paraId="6513464D" w14:textId="77777777" w:rsidR="003720EE" w:rsidRPr="00773F0D" w:rsidRDefault="003720EE" w:rsidP="003720EE">
      <w:pPr>
        <w:jc w:val="both"/>
        <w:rPr>
          <w:rFonts w:ascii="Open Sans" w:hAnsi="Open Sans" w:cs="Open Sans;Tahoma"/>
          <w:sz w:val="20"/>
          <w:szCs w:val="20"/>
        </w:rPr>
      </w:pPr>
      <w:r w:rsidRPr="00773F0D">
        <w:rPr>
          <w:rFonts w:ascii="Open Sans" w:hAnsi="Open Sans" w:cs="Open Sans;Tahoma"/>
          <w:sz w:val="20"/>
          <w:szCs w:val="20"/>
        </w:rPr>
        <w:t>Uno de los elementos a destacar en este ejercicio 2015 ha sido la significativa reducción de la tasa impositiva efectiva al 4% en contraposición a la tasa de gravamen nacional del 30% para entidades de crédito. Esta gran diferencia viene derivada principalmente por las reducciones derivadas de ingresos con m</w:t>
      </w:r>
      <w:r w:rsidRPr="00773F0D">
        <w:rPr>
          <w:rFonts w:ascii="Open Sans" w:hAnsi="Open Sans" w:cs="Open Sans;Tahoma"/>
          <w:bCs/>
          <w:sz w:val="20"/>
          <w:szCs w:val="20"/>
        </w:rPr>
        <w:t xml:space="preserve">enor tasa fiscal, </w:t>
      </w:r>
      <w:r w:rsidRPr="00773F0D">
        <w:rPr>
          <w:rFonts w:ascii="Open Sans" w:hAnsi="Open Sans" w:cs="Open Sans;Tahoma"/>
          <w:sz w:val="20"/>
          <w:szCs w:val="20"/>
        </w:rPr>
        <w:t>procedentes de entidades asociadas y en el extranjero.  Tampoco en este aspecto se ofrece información detallada de las aportaciones de las diferentes sociedades del grupo a la reducción del tipo impositivo.</w:t>
      </w:r>
    </w:p>
    <w:p w14:paraId="2F7CF687" w14:textId="77777777" w:rsidR="003720EE" w:rsidRPr="00773F0D" w:rsidRDefault="003720EE" w:rsidP="003720EE">
      <w:pPr>
        <w:rPr>
          <w:rFonts w:ascii="Open Sans" w:hAnsi="Open Sans" w:cs="Open Sans;Tahoma"/>
          <w:sz w:val="20"/>
          <w:szCs w:val="20"/>
        </w:rPr>
      </w:pPr>
    </w:p>
    <w:p w14:paraId="680A6ADD" w14:textId="77777777" w:rsidR="003720EE" w:rsidRPr="00773F0D" w:rsidRDefault="003720EE" w:rsidP="003720EE">
      <w:pPr>
        <w:jc w:val="both"/>
        <w:rPr>
          <w:rFonts w:ascii="Open Sans" w:hAnsi="Open Sans" w:cs="Open Sans;Tahoma"/>
          <w:sz w:val="20"/>
          <w:szCs w:val="20"/>
        </w:rPr>
      </w:pPr>
      <w:r w:rsidRPr="00773F0D">
        <w:rPr>
          <w:rFonts w:ascii="Open Sans" w:hAnsi="Open Sans" w:cs="Open Sans;Tahoma"/>
          <w:sz w:val="20"/>
          <w:szCs w:val="20"/>
        </w:rPr>
        <w:t xml:space="preserve">Los créditos fiscales por bases imponibles negativas tanto a nivel de grupo (430.598m€) como del Banco de Sabadell S.A.  (272.947m€), son muy significativos. Sin embargo, no ha sido posible encontrar </w:t>
      </w:r>
      <w:r>
        <w:rPr>
          <w:rFonts w:ascii="Open Sans" w:hAnsi="Open Sans" w:cs="Open Sans;Tahoma"/>
          <w:sz w:val="20"/>
          <w:szCs w:val="20"/>
        </w:rPr>
        <w:t>información en la documentación analizada</w:t>
      </w:r>
      <w:r w:rsidRPr="00773F0D">
        <w:rPr>
          <w:rFonts w:ascii="Open Sans" w:hAnsi="Open Sans" w:cs="Open Sans;Tahoma"/>
          <w:sz w:val="20"/>
          <w:szCs w:val="20"/>
        </w:rPr>
        <w:t xml:space="preserve"> sobre su procedencia. </w:t>
      </w:r>
    </w:p>
    <w:p w14:paraId="72B2879C" w14:textId="77777777" w:rsidR="003720EE" w:rsidRPr="00773F0D" w:rsidRDefault="003720EE" w:rsidP="003720EE">
      <w:pPr>
        <w:rPr>
          <w:rFonts w:ascii="Open Sans" w:hAnsi="Open Sans" w:cs="Open Sans;Tahoma"/>
          <w:sz w:val="20"/>
          <w:szCs w:val="20"/>
        </w:rPr>
      </w:pPr>
    </w:p>
    <w:p w14:paraId="46095805" w14:textId="77777777" w:rsidR="003720EE" w:rsidRPr="00773F0D" w:rsidRDefault="003720EE" w:rsidP="003720EE">
      <w:pPr>
        <w:jc w:val="both"/>
        <w:rPr>
          <w:rFonts w:ascii="Open Sans" w:hAnsi="Open Sans"/>
          <w:sz w:val="20"/>
          <w:szCs w:val="20"/>
        </w:rPr>
      </w:pPr>
      <w:r w:rsidRPr="00773F0D">
        <w:rPr>
          <w:rFonts w:ascii="Open Sans" w:hAnsi="Open Sans"/>
          <w:sz w:val="20"/>
          <w:szCs w:val="20"/>
        </w:rPr>
        <w:t>Otro de los aspectos a destacar es la falta de información sobre las operaciones de compra – venta de servicios o de financiación entre entidades del grupo. Sería recomendable ofrecer información sobre las operaciones efectuadas dentro de la operativa habitual de la entidad: compra – venta de servicios, a</w:t>
      </w:r>
      <w:r w:rsidRPr="00773F0D">
        <w:rPr>
          <w:rFonts w:ascii="Open Sans" w:hAnsi="Open Sans" w:cs="Open Sans;Tahoma"/>
          <w:bCs/>
          <w:sz w:val="20"/>
          <w:szCs w:val="20"/>
        </w:rPr>
        <w:t xml:space="preserve">cuerdos de financiación, contratos de arrendamiento,  transferencia de I+D y licencias,…, sociedades implicadas y los precios de transferencia aplicados (más allá de que sean en condiciones de mercado) para poder valorar el tipo de relaciones y el impacto económico que tiene las relaciones intragrupo. </w:t>
      </w:r>
    </w:p>
    <w:p w14:paraId="6F828477" w14:textId="77777777" w:rsidR="003720EE" w:rsidRPr="00773F0D" w:rsidRDefault="003720EE" w:rsidP="003720EE">
      <w:pPr>
        <w:jc w:val="both"/>
        <w:rPr>
          <w:rFonts w:ascii="Open Sans" w:hAnsi="Open Sans" w:cs="Open Sans;Tahoma"/>
          <w:bCs/>
        </w:rPr>
      </w:pPr>
    </w:p>
    <w:p w14:paraId="7D20C276" w14:textId="77777777" w:rsidR="003720EE" w:rsidRPr="00773F0D" w:rsidRDefault="003720EE" w:rsidP="003720EE">
      <w:pPr>
        <w:jc w:val="both"/>
        <w:rPr>
          <w:rFonts w:ascii="Open Sans" w:hAnsi="Open Sans"/>
          <w:sz w:val="20"/>
          <w:szCs w:val="20"/>
        </w:rPr>
      </w:pPr>
      <w:r w:rsidRPr="00773F0D">
        <w:rPr>
          <w:rFonts w:ascii="Open Sans" w:hAnsi="Open Sans" w:cs="Open Sans;Tahoma"/>
          <w:bCs/>
          <w:sz w:val="20"/>
          <w:szCs w:val="20"/>
        </w:rPr>
        <w:t xml:space="preserve">En resumen, la información proporcionada en aspectos fiscales es escasa, está disgregada en diferentes documentos, es de difícil comprensión y principalmente se refiere al Grupo Banco de Sabadell.  Al no ofrecer información detallada país por país no es posible valorar la aportación de la entidad en el pago de impuestos ni valorar su comportamiento en base a criterios de fiscalidad responsable. </w:t>
      </w:r>
    </w:p>
    <w:p w14:paraId="336CB3E2" w14:textId="3319D12E" w:rsidR="00E04E0E" w:rsidRPr="00773F0D" w:rsidRDefault="00E04E0E" w:rsidP="00E04E0E">
      <w:pPr>
        <w:jc w:val="both"/>
        <w:rPr>
          <w:rFonts w:ascii="Open Sans" w:hAnsi="Open Sans"/>
          <w:sz w:val="20"/>
          <w:szCs w:val="20"/>
        </w:rPr>
      </w:pPr>
    </w:p>
    <w:p w14:paraId="23A4B03D" w14:textId="77777777" w:rsidR="004E732C" w:rsidRDefault="004E732C" w:rsidP="00F8108C">
      <w:pPr>
        <w:rPr>
          <w:rFonts w:ascii="Arial" w:hAnsi="Arial" w:cs="Arial"/>
        </w:rPr>
      </w:pPr>
    </w:p>
    <w:p w14:paraId="6C8AABB5" w14:textId="14AB5DA5" w:rsidR="00E04E0E" w:rsidRDefault="00E04E0E">
      <w:pPr>
        <w:rPr>
          <w:rFonts w:ascii="Arial" w:hAnsi="Arial" w:cs="Arial"/>
        </w:rPr>
      </w:pPr>
      <w:r>
        <w:rPr>
          <w:rFonts w:ascii="Arial" w:hAnsi="Arial" w:cs="Arial"/>
        </w:rPr>
        <w:br w:type="page"/>
      </w:r>
    </w:p>
    <w:p w14:paraId="22A39926" w14:textId="77777777" w:rsidR="00EA0119" w:rsidRPr="00BE0F1C" w:rsidRDefault="00EA0119" w:rsidP="00EA011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aps/>
          <w:color w:val="FFFFFF"/>
          <w:szCs w:val="20"/>
        </w:rPr>
      </w:pPr>
      <w:bookmarkStart w:id="98" w:name="Mapfre"/>
      <w:r w:rsidRPr="00BE0F1C">
        <w:rPr>
          <w:rFonts w:ascii="Open Sans" w:hAnsi="Open Sans" w:cs="Open Sans"/>
          <w:b/>
          <w:bCs/>
          <w:caps/>
          <w:color w:val="FFFFFF"/>
          <w:szCs w:val="20"/>
        </w:rPr>
        <w:t>MAPFRE S.A.</w:t>
      </w:r>
    </w:p>
    <w:bookmarkEnd w:id="98"/>
    <w:p w14:paraId="79371374" w14:textId="77777777" w:rsidR="00EA0119" w:rsidRPr="00BE0F1C" w:rsidRDefault="00EA0119" w:rsidP="00EA011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szCs w:val="20"/>
        </w:rPr>
      </w:pPr>
      <w:r w:rsidRPr="00BE0F1C">
        <w:rPr>
          <w:rFonts w:ascii="Open Sans" w:hAnsi="Open Sans" w:cs="Open Sans"/>
          <w:b/>
          <w:bCs/>
          <w:i/>
          <w:color w:val="FFFFFF"/>
          <w:szCs w:val="20"/>
        </w:rPr>
        <w:t>(Mapfre)</w:t>
      </w:r>
    </w:p>
    <w:p w14:paraId="1123B3C2" w14:textId="2EF3A0A2" w:rsidR="00EA0119" w:rsidRDefault="00EA0119" w:rsidP="00EA0119">
      <w:pPr>
        <w:jc w:val="both"/>
        <w:rPr>
          <w:rFonts w:ascii="Open Sans" w:hAnsi="Open Sans" w:cs="Arial"/>
          <w:sz w:val="20"/>
          <w:szCs w:val="20"/>
        </w:rPr>
      </w:pPr>
      <w:r>
        <w:rPr>
          <w:rFonts w:ascii="Open Sans" w:hAnsi="Open Sans" w:cs="Arial"/>
          <w:sz w:val="20"/>
          <w:szCs w:val="20"/>
        </w:rPr>
        <w:t xml:space="preserve"> </w:t>
      </w:r>
    </w:p>
    <w:p w14:paraId="53664316" w14:textId="77777777" w:rsidR="003720EE" w:rsidRDefault="003720EE" w:rsidP="00EA0119">
      <w:pPr>
        <w:jc w:val="both"/>
        <w:rPr>
          <w:rFonts w:ascii="Open Sans" w:hAnsi="Open Sans" w:cs="Arial"/>
          <w:sz w:val="20"/>
          <w:szCs w:val="20"/>
        </w:rPr>
      </w:pPr>
    </w:p>
    <w:p w14:paraId="152893D6" w14:textId="77777777" w:rsidR="003720EE" w:rsidRPr="0001300E" w:rsidRDefault="003720EE" w:rsidP="003720EE">
      <w:pPr>
        <w:jc w:val="both"/>
        <w:outlineLvl w:val="5"/>
        <w:rPr>
          <w:rFonts w:ascii="Open Sans" w:hAnsi="Open Sans" w:cs="Open Sans"/>
          <w:b/>
          <w:sz w:val="22"/>
          <w:szCs w:val="22"/>
          <w:u w:val="single"/>
        </w:rPr>
      </w:pPr>
      <w:r w:rsidRPr="0001300E">
        <w:rPr>
          <w:rFonts w:ascii="Open Sans" w:hAnsi="Open Sans" w:cs="Open Sans"/>
          <w:b/>
          <w:sz w:val="22"/>
          <w:szCs w:val="22"/>
          <w:u w:val="single"/>
        </w:rPr>
        <w:t>1. Datos generales de la entidad</w:t>
      </w:r>
    </w:p>
    <w:p w14:paraId="50BC4159" w14:textId="77777777" w:rsidR="003720EE" w:rsidRPr="0001300E" w:rsidRDefault="003720EE" w:rsidP="003720EE">
      <w:pPr>
        <w:jc w:val="both"/>
        <w:rPr>
          <w:rFonts w:ascii="Open Sans" w:hAnsi="Open Sans" w:cs="Open Sans"/>
          <w:sz w:val="20"/>
          <w:szCs w:val="20"/>
          <w:u w:val="single"/>
        </w:rPr>
      </w:pPr>
    </w:p>
    <w:p w14:paraId="6123CD8B" w14:textId="77777777" w:rsidR="003720EE" w:rsidRPr="0001300E" w:rsidRDefault="003720EE" w:rsidP="003720EE">
      <w:pPr>
        <w:jc w:val="both"/>
        <w:rPr>
          <w:rFonts w:ascii="Open Sans" w:hAnsi="Open Sans" w:cs="Open Sans"/>
          <w:sz w:val="20"/>
          <w:szCs w:val="20"/>
        </w:rPr>
      </w:pPr>
      <w:r w:rsidRPr="0001300E">
        <w:rPr>
          <w:rFonts w:ascii="Open Sans" w:hAnsi="Open Sans" w:cs="Open Sans"/>
          <w:sz w:val="20"/>
          <w:szCs w:val="20"/>
          <w:u w:val="single"/>
        </w:rPr>
        <w:t>Productos/servicios</w:t>
      </w:r>
    </w:p>
    <w:p w14:paraId="35914203" w14:textId="77777777" w:rsidR="003720EE" w:rsidRPr="0001300E" w:rsidRDefault="003720EE" w:rsidP="003720EE">
      <w:pPr>
        <w:jc w:val="both"/>
        <w:rPr>
          <w:rFonts w:ascii="Open Sans" w:hAnsi="Open Sans" w:cs="Open Sans"/>
          <w:sz w:val="20"/>
          <w:szCs w:val="20"/>
        </w:rPr>
      </w:pPr>
    </w:p>
    <w:p w14:paraId="209E31E0" w14:textId="77777777" w:rsidR="003720EE" w:rsidRPr="0001300E" w:rsidRDefault="003720EE" w:rsidP="003720EE">
      <w:pPr>
        <w:jc w:val="both"/>
        <w:rPr>
          <w:rFonts w:ascii="Open Sans" w:hAnsi="Open Sans" w:cs="Open Sans"/>
          <w:sz w:val="20"/>
          <w:szCs w:val="20"/>
        </w:rPr>
      </w:pPr>
      <w:r w:rsidRPr="0001300E">
        <w:rPr>
          <w:rFonts w:ascii="Open Sans" w:hAnsi="Open Sans" w:cs="Open Sans"/>
          <w:sz w:val="20"/>
          <w:szCs w:val="20"/>
        </w:rPr>
        <w:t>MAPFRE ofrece a sus clientes los siguientes productos/ servicios:</w:t>
      </w:r>
    </w:p>
    <w:p w14:paraId="6FEC2E79" w14:textId="77777777" w:rsidR="003720EE" w:rsidRPr="0001300E" w:rsidRDefault="003720EE" w:rsidP="003720EE">
      <w:pPr>
        <w:jc w:val="both"/>
        <w:rPr>
          <w:rFonts w:ascii="Open Sans" w:hAnsi="Open Sans" w:cs="Open Sans"/>
          <w:sz w:val="20"/>
          <w:szCs w:val="20"/>
        </w:rPr>
      </w:pPr>
    </w:p>
    <w:p w14:paraId="52BFB877"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Seguro.</w:t>
      </w:r>
    </w:p>
    <w:p w14:paraId="20148546"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Reaseguro.</w:t>
      </w:r>
    </w:p>
    <w:p w14:paraId="4E499250"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Asistencia en viaje.</w:t>
      </w:r>
    </w:p>
    <w:p w14:paraId="777EF6A1"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Fondos de inversión y planes de pensiones.</w:t>
      </w:r>
    </w:p>
    <w:p w14:paraId="5CC86A15"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Riesgos globales.</w:t>
      </w:r>
    </w:p>
    <w:p w14:paraId="0F9AA18A" w14:textId="77777777" w:rsidR="003720EE" w:rsidRPr="0001300E" w:rsidRDefault="003720EE" w:rsidP="003720EE">
      <w:pPr>
        <w:jc w:val="both"/>
        <w:rPr>
          <w:rFonts w:ascii="Open Sans" w:hAnsi="Open Sans" w:cs="Open Sans"/>
          <w:sz w:val="20"/>
          <w:szCs w:val="20"/>
        </w:rPr>
      </w:pPr>
    </w:p>
    <w:p w14:paraId="3A33F2EA" w14:textId="77777777" w:rsidR="003720EE" w:rsidRPr="0001300E" w:rsidRDefault="003720EE" w:rsidP="003720EE">
      <w:pPr>
        <w:jc w:val="both"/>
        <w:rPr>
          <w:rFonts w:ascii="Open Sans" w:hAnsi="Open Sans" w:cs="Open Sans"/>
          <w:sz w:val="20"/>
          <w:szCs w:val="20"/>
        </w:rPr>
      </w:pPr>
      <w:r w:rsidRPr="0001300E">
        <w:rPr>
          <w:rFonts w:ascii="Open Sans" w:hAnsi="Open Sans" w:cs="Open Sans"/>
          <w:sz w:val="20"/>
          <w:szCs w:val="20"/>
          <w:u w:val="single"/>
        </w:rPr>
        <w:t xml:space="preserve">Alcance geográfico </w:t>
      </w:r>
    </w:p>
    <w:p w14:paraId="75FAD54B" w14:textId="77777777" w:rsidR="003720EE" w:rsidRPr="0001300E" w:rsidRDefault="003720EE" w:rsidP="003720EE">
      <w:pPr>
        <w:jc w:val="both"/>
        <w:rPr>
          <w:rFonts w:ascii="Open Sans" w:hAnsi="Open Sans" w:cs="Open Sans"/>
          <w:sz w:val="20"/>
          <w:szCs w:val="20"/>
        </w:rPr>
      </w:pPr>
    </w:p>
    <w:p w14:paraId="32D599BB" w14:textId="77777777" w:rsidR="003720EE" w:rsidRPr="0001300E" w:rsidRDefault="003720EE" w:rsidP="003720EE">
      <w:pPr>
        <w:jc w:val="both"/>
        <w:rPr>
          <w:rFonts w:ascii="Open Sans" w:hAnsi="Open Sans" w:cs="Open Sans"/>
          <w:sz w:val="20"/>
          <w:szCs w:val="20"/>
        </w:rPr>
      </w:pPr>
      <w:r w:rsidRPr="0001300E">
        <w:rPr>
          <w:rFonts w:ascii="Open Sans" w:hAnsi="Open Sans" w:cs="Open Sans"/>
          <w:sz w:val="20"/>
          <w:szCs w:val="20"/>
        </w:rPr>
        <w:t>MAPFRE opera o tiene presencia en los siguientes países:</w:t>
      </w:r>
    </w:p>
    <w:p w14:paraId="47775B99" w14:textId="77777777" w:rsidR="003720EE" w:rsidRPr="0001300E" w:rsidRDefault="003720EE" w:rsidP="003720EE">
      <w:pPr>
        <w:jc w:val="both"/>
        <w:rPr>
          <w:rFonts w:ascii="Open Sans" w:hAnsi="Open Sans" w:cs="Open Sans"/>
          <w:sz w:val="20"/>
          <w:szCs w:val="20"/>
        </w:rPr>
      </w:pPr>
    </w:p>
    <w:p w14:paraId="4901CD0E"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Europa: Alemania, Bélgica, España, Francia, Grecia, Hungría, Irlanda, Italia, Luxemburgo, Malta, Portugal, Reino Unido, Rusia, Suecia y Turquía.</w:t>
      </w:r>
    </w:p>
    <w:p w14:paraId="65246F12"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América: Argentina, Brasil, Canadá, Chile, Colombia, Costa Rica, Ecuador, El Salvador, Estados Unidos, Guatemala, Honduras, Méjico, Nicaragua, Panamá, Paraguay, Perú, Puerto Rico, República Dominicana, Uruguay y Venezuela.</w:t>
      </w:r>
    </w:p>
    <w:p w14:paraId="41C5EF57"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África: Argelia, Egipto y Túnez.</w:t>
      </w:r>
    </w:p>
    <w:p w14:paraId="617BA25D"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Asia: Bahréin, China, Emiratos Árabes Unidos, Filipinas, Hong Kong (China), India, Indonesia, Japón, Jordania, Malasia, Singapur y Taiwán.</w:t>
      </w:r>
    </w:p>
    <w:p w14:paraId="5F10A7BE" w14:textId="77777777" w:rsidR="003720EE" w:rsidRPr="0001300E" w:rsidRDefault="003720EE" w:rsidP="003720EE">
      <w:pPr>
        <w:pStyle w:val="Textoindependiente"/>
        <w:numPr>
          <w:ilvl w:val="0"/>
          <w:numId w:val="21"/>
        </w:numPr>
        <w:rPr>
          <w:rFonts w:ascii="Open Sans" w:hAnsi="Open Sans" w:cs="Open Sans"/>
        </w:rPr>
      </w:pPr>
      <w:r w:rsidRPr="0001300E">
        <w:rPr>
          <w:rFonts w:ascii="Open Sans" w:hAnsi="Open Sans" w:cs="Open Sans"/>
        </w:rPr>
        <w:t>Oceanía: Australia.</w:t>
      </w:r>
    </w:p>
    <w:p w14:paraId="1D001BB0" w14:textId="77777777" w:rsidR="003720EE" w:rsidRPr="0001300E" w:rsidRDefault="003720EE" w:rsidP="003720EE">
      <w:pPr>
        <w:jc w:val="both"/>
        <w:rPr>
          <w:rFonts w:ascii="Open Sans" w:hAnsi="Open Sans" w:cs="Open Sans"/>
          <w:sz w:val="20"/>
          <w:szCs w:val="20"/>
        </w:rPr>
      </w:pPr>
    </w:p>
    <w:p w14:paraId="2832E57D" w14:textId="77777777" w:rsidR="003720EE" w:rsidRPr="0001300E" w:rsidRDefault="003720EE" w:rsidP="003720EE">
      <w:pPr>
        <w:jc w:val="both"/>
        <w:rPr>
          <w:rFonts w:ascii="Open Sans" w:hAnsi="Open Sans" w:cs="Open Sans"/>
          <w:sz w:val="20"/>
          <w:szCs w:val="20"/>
          <w:u w:val="single"/>
        </w:rPr>
      </w:pPr>
      <w:r w:rsidRPr="0001300E">
        <w:rPr>
          <w:rFonts w:ascii="Open Sans" w:hAnsi="Open Sans" w:cs="Open Sans"/>
          <w:sz w:val="20"/>
          <w:szCs w:val="20"/>
          <w:u w:val="single"/>
        </w:rPr>
        <w:t>Cifras relevantes de la empresa:</w:t>
      </w:r>
    </w:p>
    <w:p w14:paraId="439AA8E1" w14:textId="77777777" w:rsidR="003720EE" w:rsidRPr="0001300E" w:rsidRDefault="003720EE" w:rsidP="003720EE">
      <w:pPr>
        <w:jc w:val="both"/>
        <w:rPr>
          <w:rFonts w:ascii="Open Sans" w:hAnsi="Open Sans" w:cs="Open Sans"/>
          <w:sz w:val="20"/>
          <w:szCs w:val="20"/>
          <w:u w:val="single"/>
        </w:rPr>
      </w:pPr>
    </w:p>
    <w:p w14:paraId="1F4D899F"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Los activos totales gestionados por MAPFRE, incluyendo los fondos de inversión y fondos de pensiones, ascendían a 73.301,9 millones de euros (75.617,7 millones de euros al cierre de 2014). En MAPFRE opera en 51 países y tiene 38.405 empleados (un 3,6% más que en 2014). </w:t>
      </w:r>
    </w:p>
    <w:p w14:paraId="7CA54FFB"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6CFA4B5D" w14:textId="77777777" w:rsidR="003720EE" w:rsidRPr="0001300E" w:rsidRDefault="003720EE" w:rsidP="003720EE">
      <w:pPr>
        <w:autoSpaceDE w:val="0"/>
        <w:autoSpaceDN w:val="0"/>
        <w:adjustRightInd w:val="0"/>
        <w:jc w:val="both"/>
        <w:rPr>
          <w:rFonts w:ascii="Open Sans" w:hAnsi="Open Sans" w:cs="Open Sans"/>
          <w:sz w:val="20"/>
          <w:szCs w:val="20"/>
        </w:rPr>
      </w:pPr>
      <w:r w:rsidRPr="0001300E">
        <w:rPr>
          <w:rFonts w:ascii="Open Sans" w:eastAsia="Calibri" w:hAnsi="Open Sans" w:cs="Open Sans"/>
          <w:sz w:val="20"/>
          <w:szCs w:val="20"/>
        </w:rPr>
        <w:t>En 2015 MAPFRE tuvo un resultado antes de impuestos de 1.476.030.000 € y el impuesto de sociedades según la información extraída de las cuentas anuales fue de 463.630.000 €, lo que da como resultado una tasa efectiva que ascendió a un 31%.</w:t>
      </w:r>
      <w:r w:rsidRPr="0001300E">
        <w:rPr>
          <w:rFonts w:ascii="Open Sans" w:hAnsi="Open Sans" w:cs="Open Sans"/>
          <w:sz w:val="20"/>
          <w:szCs w:val="20"/>
        </w:rPr>
        <w:t xml:space="preserve"> </w:t>
      </w:r>
    </w:p>
    <w:p w14:paraId="592A204D" w14:textId="77777777" w:rsidR="003720EE" w:rsidRPr="0001300E" w:rsidRDefault="003720EE" w:rsidP="003720EE">
      <w:pPr>
        <w:autoSpaceDE w:val="0"/>
        <w:autoSpaceDN w:val="0"/>
        <w:adjustRightInd w:val="0"/>
        <w:jc w:val="both"/>
        <w:rPr>
          <w:rFonts w:ascii="Open Sans" w:hAnsi="Open Sans" w:cs="Open Sans"/>
          <w:sz w:val="20"/>
          <w:szCs w:val="20"/>
        </w:rPr>
      </w:pPr>
    </w:p>
    <w:p w14:paraId="40260B01" w14:textId="77777777" w:rsidR="003720EE" w:rsidRPr="0001300E" w:rsidRDefault="003720EE" w:rsidP="003720EE">
      <w:pPr>
        <w:autoSpaceDE w:val="0"/>
        <w:autoSpaceDN w:val="0"/>
        <w:adjustRightInd w:val="0"/>
        <w:jc w:val="both"/>
        <w:rPr>
          <w:rFonts w:ascii="Open Sans" w:hAnsi="Open Sans" w:cs="Open Sans"/>
          <w:sz w:val="20"/>
          <w:szCs w:val="20"/>
        </w:rPr>
      </w:pPr>
      <w:r w:rsidRPr="0001300E">
        <w:rPr>
          <w:rFonts w:ascii="Open Sans" w:hAnsi="Open Sans" w:cs="Open Sans"/>
          <w:sz w:val="20"/>
          <w:szCs w:val="20"/>
        </w:rPr>
        <w:t>MAPFRE informa de la tasa fiscal efectiva de las sociedades en los países en los que opera.</w:t>
      </w:r>
    </w:p>
    <w:p w14:paraId="0E8107D3" w14:textId="77777777" w:rsidR="003720EE" w:rsidRPr="0001300E" w:rsidRDefault="003720EE" w:rsidP="003720EE">
      <w:pPr>
        <w:jc w:val="both"/>
        <w:rPr>
          <w:rFonts w:ascii="Open Sans" w:hAnsi="Open Sans" w:cs="Open Sans"/>
          <w:sz w:val="20"/>
          <w:szCs w:val="20"/>
          <w:u w:val="single"/>
        </w:rPr>
      </w:pPr>
    </w:p>
    <w:p w14:paraId="0715D0B2" w14:textId="01829A98" w:rsidR="003720EE" w:rsidRDefault="003720EE">
      <w:pPr>
        <w:rPr>
          <w:rFonts w:ascii="Open Sans" w:hAnsi="Open Sans" w:cs="Open Sans"/>
          <w:sz w:val="20"/>
          <w:szCs w:val="20"/>
          <w:u w:val="single"/>
        </w:rPr>
      </w:pPr>
      <w:r>
        <w:rPr>
          <w:rFonts w:ascii="Open Sans" w:hAnsi="Open Sans" w:cs="Open Sans"/>
          <w:sz w:val="20"/>
          <w:szCs w:val="20"/>
          <w:u w:val="single"/>
        </w:rPr>
        <w:br w:type="page"/>
      </w:r>
    </w:p>
    <w:p w14:paraId="0A717B29" w14:textId="77777777" w:rsidR="003720EE" w:rsidRPr="0001300E" w:rsidRDefault="003720EE" w:rsidP="003720EE">
      <w:pPr>
        <w:jc w:val="both"/>
        <w:rPr>
          <w:rFonts w:ascii="Open Sans" w:hAnsi="Open Sans" w:cs="Open Sans"/>
          <w:sz w:val="20"/>
          <w:szCs w:val="20"/>
          <w:u w:val="single"/>
        </w:rPr>
      </w:pPr>
    </w:p>
    <w:p w14:paraId="6AF3E220" w14:textId="77777777" w:rsidR="003720EE" w:rsidRPr="0001300E" w:rsidRDefault="003720EE" w:rsidP="003720EE">
      <w:pPr>
        <w:jc w:val="both"/>
        <w:rPr>
          <w:rFonts w:ascii="Open Sans" w:hAnsi="Open Sans" w:cs="Open Sans"/>
          <w:sz w:val="20"/>
          <w:szCs w:val="20"/>
          <w:u w:val="single"/>
        </w:rPr>
      </w:pPr>
      <w:r w:rsidRPr="0001300E">
        <w:rPr>
          <w:rFonts w:ascii="Open Sans" w:hAnsi="Open Sans" w:cs="Open Sans"/>
          <w:sz w:val="20"/>
          <w:szCs w:val="20"/>
          <w:u w:val="single"/>
        </w:rPr>
        <w:t>Estándares voluntarios relacionados con fiscalidad responsable</w:t>
      </w:r>
    </w:p>
    <w:p w14:paraId="2936DEF0" w14:textId="77777777" w:rsidR="003720EE" w:rsidRPr="0001300E" w:rsidRDefault="003720EE" w:rsidP="003720EE">
      <w:pPr>
        <w:jc w:val="both"/>
        <w:rPr>
          <w:rFonts w:ascii="Open Sans" w:hAnsi="Open Sans" w:cs="Open Sans"/>
          <w:sz w:val="20"/>
          <w:szCs w:val="20"/>
          <w:u w:val="single"/>
        </w:rPr>
      </w:pPr>
    </w:p>
    <w:p w14:paraId="391353A9" w14:textId="77777777" w:rsidR="003720EE" w:rsidRPr="0001300E" w:rsidRDefault="003720EE" w:rsidP="003720EE">
      <w:pPr>
        <w:jc w:val="both"/>
        <w:rPr>
          <w:rFonts w:ascii="Open Sans" w:hAnsi="Open Sans" w:cs="Open Sans"/>
          <w:sz w:val="20"/>
          <w:szCs w:val="20"/>
        </w:rPr>
      </w:pPr>
      <w:r w:rsidRPr="0001300E">
        <w:rPr>
          <w:rFonts w:ascii="Open Sans" w:hAnsi="Open Sans" w:cs="Open Sans"/>
          <w:sz w:val="20"/>
          <w:szCs w:val="20"/>
        </w:rPr>
        <w:t>MAPFRE informa que se ha adherido voluntariamente a los siguientes estándares relacionados con contenidos y sistemas de gestión de fiscalidad responsable:</w:t>
      </w:r>
    </w:p>
    <w:p w14:paraId="357D5642" w14:textId="77777777" w:rsidR="003720EE" w:rsidRPr="0001300E" w:rsidRDefault="003720EE" w:rsidP="003720EE">
      <w:pPr>
        <w:jc w:val="both"/>
        <w:rPr>
          <w:rFonts w:ascii="Open Sans" w:hAnsi="Open Sans" w:cs="Open Sans"/>
          <w:sz w:val="20"/>
          <w:szCs w:val="20"/>
        </w:rPr>
      </w:pPr>
    </w:p>
    <w:p w14:paraId="2462EFFB" w14:textId="77777777" w:rsidR="003720EE" w:rsidRPr="0001300E" w:rsidRDefault="003720EE" w:rsidP="003720EE">
      <w:pPr>
        <w:numPr>
          <w:ilvl w:val="0"/>
          <w:numId w:val="12"/>
        </w:numPr>
        <w:jc w:val="both"/>
        <w:rPr>
          <w:rFonts w:ascii="Open Sans" w:hAnsi="Open Sans" w:cs="Open Sans"/>
          <w:sz w:val="20"/>
          <w:szCs w:val="20"/>
        </w:rPr>
      </w:pPr>
      <w:r w:rsidRPr="0001300E">
        <w:rPr>
          <w:rFonts w:ascii="Open Sans" w:hAnsi="Open Sans" w:cs="Open Sans"/>
          <w:sz w:val="20"/>
          <w:szCs w:val="20"/>
        </w:rPr>
        <w:t>Código de Buenas Prácticas Tributarias del Foro de Grandes Empresas.</w:t>
      </w:r>
    </w:p>
    <w:p w14:paraId="029D2709" w14:textId="77777777" w:rsidR="003720EE" w:rsidRPr="0001300E" w:rsidRDefault="003720EE" w:rsidP="003720EE">
      <w:pPr>
        <w:jc w:val="both"/>
        <w:rPr>
          <w:rFonts w:ascii="Open Sans" w:hAnsi="Open Sans" w:cs="Open Sans"/>
          <w:sz w:val="20"/>
          <w:szCs w:val="20"/>
          <w:u w:val="single"/>
        </w:rPr>
      </w:pPr>
    </w:p>
    <w:p w14:paraId="61EF363F" w14:textId="77777777" w:rsidR="003720EE" w:rsidRPr="0001300E" w:rsidRDefault="003720EE" w:rsidP="003720EE">
      <w:pPr>
        <w:jc w:val="both"/>
        <w:rPr>
          <w:rFonts w:ascii="Open Sans" w:hAnsi="Open Sans" w:cs="Open Sans"/>
          <w:sz w:val="20"/>
          <w:szCs w:val="20"/>
          <w:u w:val="single"/>
        </w:rPr>
      </w:pPr>
    </w:p>
    <w:p w14:paraId="3100EEA6" w14:textId="77777777" w:rsidR="003720EE" w:rsidRPr="0001300E" w:rsidRDefault="003720EE" w:rsidP="003720EE">
      <w:pPr>
        <w:jc w:val="both"/>
        <w:rPr>
          <w:rFonts w:ascii="Open Sans" w:hAnsi="Open Sans" w:cs="Open Sans"/>
          <w:sz w:val="20"/>
          <w:szCs w:val="20"/>
          <w:u w:val="single"/>
        </w:rPr>
      </w:pPr>
      <w:r w:rsidRPr="0001300E">
        <w:rPr>
          <w:rFonts w:ascii="Open Sans" w:hAnsi="Open Sans" w:cs="Open Sans"/>
          <w:sz w:val="20"/>
          <w:szCs w:val="20"/>
          <w:u w:val="single"/>
        </w:rPr>
        <w:t>Documentos incluidos en el análisis</w:t>
      </w:r>
    </w:p>
    <w:p w14:paraId="0BD02608" w14:textId="77777777" w:rsidR="003720EE" w:rsidRPr="0001300E" w:rsidRDefault="003720EE" w:rsidP="003720EE">
      <w:pPr>
        <w:ind w:firstLine="709"/>
        <w:jc w:val="both"/>
        <w:rPr>
          <w:rFonts w:ascii="Open Sans" w:hAnsi="Open Sans" w:cs="Open Sans"/>
          <w:sz w:val="20"/>
          <w:szCs w:val="20"/>
        </w:rPr>
      </w:pPr>
    </w:p>
    <w:p w14:paraId="4B4FBE92" w14:textId="77777777" w:rsidR="003720EE" w:rsidRPr="0001300E" w:rsidRDefault="003720EE" w:rsidP="003720EE">
      <w:pPr>
        <w:jc w:val="both"/>
        <w:rPr>
          <w:rFonts w:ascii="Open Sans" w:hAnsi="Open Sans" w:cs="Open Sans"/>
          <w:sz w:val="20"/>
          <w:szCs w:val="20"/>
        </w:rPr>
      </w:pPr>
      <w:r w:rsidRPr="0001300E">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4D4ED3AF" w14:textId="77777777" w:rsidR="003720EE" w:rsidRPr="0001300E" w:rsidRDefault="003720EE" w:rsidP="003720EE">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3720EE" w:rsidRPr="0001300E" w14:paraId="20AC6AE4" w14:textId="77777777" w:rsidTr="00A764EF">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641BC8F3" w14:textId="77777777" w:rsidR="003720EE" w:rsidRPr="0001300E" w:rsidRDefault="003720EE" w:rsidP="00A764EF">
            <w:pPr>
              <w:jc w:val="center"/>
              <w:rPr>
                <w:rFonts w:ascii="Open Sans" w:hAnsi="Open Sans" w:cs="Arial"/>
                <w:b/>
                <w:sz w:val="20"/>
                <w:szCs w:val="22"/>
              </w:rPr>
            </w:pPr>
            <w:r w:rsidRPr="0001300E">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18F8ED18" w14:textId="77777777" w:rsidR="003720EE" w:rsidRPr="0001300E" w:rsidRDefault="003720EE" w:rsidP="00A764EF">
            <w:pPr>
              <w:jc w:val="center"/>
              <w:rPr>
                <w:rFonts w:ascii="Open Sans" w:hAnsi="Open Sans" w:cs="Arial"/>
                <w:b/>
                <w:sz w:val="20"/>
                <w:szCs w:val="22"/>
              </w:rPr>
            </w:pPr>
            <w:r w:rsidRPr="0001300E">
              <w:rPr>
                <w:rFonts w:ascii="Open Sans" w:hAnsi="Open Sans" w:cs="Arial"/>
                <w:b/>
                <w:sz w:val="20"/>
                <w:szCs w:val="22"/>
              </w:rPr>
              <w:t>OBSERVACIONES</w:t>
            </w:r>
          </w:p>
        </w:tc>
      </w:tr>
      <w:tr w:rsidR="003720EE" w:rsidRPr="0001300E" w14:paraId="637814FC" w14:textId="77777777" w:rsidTr="00A764EF">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18D7703"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Cuentas anuales e Informe de Gestión Consolidados. Unidades de Negocio, Áreas Territoriales y Áreas Regionales. Informe Anual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B1B5AD2"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Informa de temas fiscales relevantes (tasa fiscal efectiva por sociedad en cada país).</w:t>
            </w:r>
          </w:p>
        </w:tc>
      </w:tr>
      <w:tr w:rsidR="003720EE" w:rsidRPr="0001300E" w14:paraId="640495DE" w14:textId="77777777" w:rsidTr="00A764EF">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0C9FA91"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Responsabilidad Social. Informe Anual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F9E392F"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No incluye información fiscal relevante.</w:t>
            </w:r>
          </w:p>
        </w:tc>
      </w:tr>
      <w:tr w:rsidR="003720EE" w:rsidRPr="0001300E" w14:paraId="0448223A" w14:textId="77777777" w:rsidTr="00A764EF">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EF63EAA"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Informe Anual de Gobierno Corporativo de las Sociedades Anónimas Cotizadas (modelo CNMV)</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7CED181"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Incluye información relativa al cumplimiento del Código de Buen Gobierno de la CNMV en materia de fiscalidad.</w:t>
            </w:r>
          </w:p>
        </w:tc>
      </w:tr>
      <w:tr w:rsidR="003720EE" w:rsidRPr="0001300E" w14:paraId="2585A7C2" w14:textId="77777777" w:rsidTr="00A764EF">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5E55AECF" w14:textId="77777777" w:rsidR="003720EE" w:rsidRPr="0001300E" w:rsidRDefault="003720EE" w:rsidP="00A764EF">
            <w:pPr>
              <w:rPr>
                <w:rFonts w:ascii="Open Sans" w:hAnsi="Open Sans" w:cs="Tahoma"/>
                <w:sz w:val="20"/>
                <w:szCs w:val="20"/>
              </w:rPr>
            </w:pPr>
            <w:r w:rsidRPr="0001300E">
              <w:rPr>
                <w:rFonts w:ascii="Open Sans" w:hAnsi="Open Sans" w:cs="Tahoma"/>
                <w:sz w:val="20"/>
                <w:szCs w:val="20"/>
              </w:rPr>
              <w:t>Política Fiscal Corporativa</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18202DB1" w14:textId="77777777" w:rsidR="003720EE" w:rsidRPr="0001300E" w:rsidRDefault="003720EE" w:rsidP="00A764EF">
            <w:pPr>
              <w:rPr>
                <w:rFonts w:ascii="Open Sans" w:eastAsia="Arial Unicode MS" w:hAnsi="Open Sans" w:cs="Arial"/>
                <w:sz w:val="20"/>
                <w:szCs w:val="20"/>
              </w:rPr>
            </w:pPr>
            <w:r w:rsidRPr="0001300E">
              <w:rPr>
                <w:rFonts w:ascii="Open Sans" w:eastAsia="Arial Unicode MS" w:hAnsi="Open Sans" w:cs="Arial"/>
                <w:sz w:val="20"/>
                <w:szCs w:val="20"/>
              </w:rPr>
              <w:t>Informa sobre el posicionamiento de la sociedad con respecto a la fiscalidad nacional e internacional.</w:t>
            </w:r>
          </w:p>
        </w:tc>
      </w:tr>
    </w:tbl>
    <w:p w14:paraId="138189C2" w14:textId="77777777" w:rsidR="003720EE" w:rsidRPr="0001300E" w:rsidRDefault="003720EE" w:rsidP="003720EE">
      <w:pPr>
        <w:jc w:val="both"/>
        <w:rPr>
          <w:rFonts w:ascii="Open Sans" w:hAnsi="Open Sans" w:cs="Arial"/>
          <w:b/>
        </w:rPr>
      </w:pPr>
    </w:p>
    <w:p w14:paraId="6B8E8781" w14:textId="77777777" w:rsidR="003720EE" w:rsidRPr="0001300E" w:rsidRDefault="003720EE" w:rsidP="003720EE">
      <w:pPr>
        <w:jc w:val="both"/>
        <w:rPr>
          <w:rFonts w:ascii="Open Sans" w:hAnsi="Open Sans" w:cs="Arial"/>
          <w:b/>
        </w:rPr>
      </w:pPr>
    </w:p>
    <w:p w14:paraId="55F14A43" w14:textId="77777777" w:rsidR="003720EE" w:rsidRPr="0001300E" w:rsidRDefault="003720EE" w:rsidP="003720EE">
      <w:pPr>
        <w:jc w:val="both"/>
        <w:rPr>
          <w:rFonts w:ascii="Open Sans" w:hAnsi="Open Sans" w:cs="Arial"/>
          <w:b/>
        </w:rPr>
      </w:pPr>
    </w:p>
    <w:p w14:paraId="24BAC37C" w14:textId="77777777" w:rsidR="003720EE" w:rsidRPr="0001300E" w:rsidRDefault="003720EE" w:rsidP="003720EE">
      <w:pPr>
        <w:jc w:val="both"/>
        <w:rPr>
          <w:rFonts w:ascii="Open Sans" w:hAnsi="Open Sans" w:cs="Arial"/>
          <w:b/>
          <w:sz w:val="22"/>
          <w:szCs w:val="22"/>
          <w:u w:val="single"/>
        </w:rPr>
      </w:pPr>
      <w:r w:rsidRPr="0001300E">
        <w:rPr>
          <w:rFonts w:ascii="Open Sans" w:hAnsi="Open Sans" w:cs="Arial"/>
          <w:b/>
          <w:sz w:val="22"/>
          <w:szCs w:val="22"/>
          <w:u w:val="single"/>
        </w:rPr>
        <w:t>2. Tabla de resultados</w:t>
      </w:r>
    </w:p>
    <w:p w14:paraId="2BEA290A" w14:textId="77777777" w:rsidR="003720EE" w:rsidRPr="0001300E" w:rsidRDefault="003720EE" w:rsidP="003720EE">
      <w:pPr>
        <w:jc w:val="center"/>
        <w:rPr>
          <w:rFonts w:ascii="Open Sans" w:hAnsi="Open Sans" w:cs="Arial"/>
          <w:b/>
        </w:rPr>
      </w:pPr>
    </w:p>
    <w:p w14:paraId="513538ED" w14:textId="77777777" w:rsidR="003720EE" w:rsidRPr="0001300E" w:rsidRDefault="003720EE" w:rsidP="003720EE">
      <w:pPr>
        <w:jc w:val="center"/>
        <w:rPr>
          <w:rFonts w:ascii="Open Sans" w:hAnsi="Open Sans" w:cs="Arial"/>
          <w:b/>
        </w:rPr>
      </w:pPr>
    </w:p>
    <w:p w14:paraId="01D5C334" w14:textId="77777777" w:rsidR="003720EE" w:rsidRPr="0001300E" w:rsidRDefault="003720EE" w:rsidP="003720EE">
      <w:pPr>
        <w:suppressAutoHyphens/>
        <w:jc w:val="center"/>
        <w:rPr>
          <w:rFonts w:ascii="Open Sans" w:hAnsi="Open Sans" w:cs="Arial"/>
          <w:b/>
          <w:sz w:val="20"/>
          <w:szCs w:val="22"/>
          <w:u w:val="single"/>
          <w:lang w:eastAsia="ar-SA"/>
        </w:rPr>
      </w:pPr>
      <w:r w:rsidRPr="0001300E">
        <w:rPr>
          <w:rFonts w:ascii="Open Sans" w:hAnsi="Open Sans" w:cs="Arial"/>
          <w:b/>
          <w:sz w:val="20"/>
          <w:szCs w:val="22"/>
          <w:u w:val="single"/>
          <w:lang w:eastAsia="ar-SA"/>
        </w:rPr>
        <w:t>TABLA 1: Valoraciones por dimensión</w:t>
      </w:r>
    </w:p>
    <w:p w14:paraId="00AE52F9" w14:textId="77777777" w:rsidR="003720EE" w:rsidRPr="0001300E" w:rsidRDefault="003720EE" w:rsidP="003720EE">
      <w:pPr>
        <w:rPr>
          <w:rFonts w:ascii="Open Sans" w:hAnsi="Open Sans" w:cs="Arial"/>
          <w:b/>
        </w:rPr>
      </w:pPr>
    </w:p>
    <w:p w14:paraId="3AB1CCF6" w14:textId="77777777" w:rsidR="003720EE" w:rsidRPr="0001300E" w:rsidRDefault="003720EE" w:rsidP="003720EE">
      <w:pPr>
        <w:jc w:val="center"/>
        <w:rPr>
          <w:rFonts w:ascii="Open Sans" w:hAnsi="Open Sans"/>
        </w:rPr>
      </w:pPr>
      <w:r w:rsidRPr="0001300E">
        <w:rPr>
          <w:rFonts w:ascii="Open Sans" w:hAnsi="Open Sans"/>
          <w:noProof/>
          <w:lang w:val="es-ES"/>
        </w:rPr>
        <w:drawing>
          <wp:inline distT="0" distB="0" distL="0" distR="0" wp14:anchorId="51DFD423" wp14:editId="12DA2699">
            <wp:extent cx="3686175" cy="1828800"/>
            <wp:effectExtent l="0" t="0" r="9525"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5210D42C" w14:textId="77777777" w:rsidR="003720EE" w:rsidRPr="0001300E" w:rsidRDefault="003720EE" w:rsidP="003720EE">
      <w:pPr>
        <w:jc w:val="both"/>
        <w:rPr>
          <w:rFonts w:ascii="Open Sans" w:hAnsi="Open Sans"/>
        </w:rPr>
      </w:pPr>
    </w:p>
    <w:p w14:paraId="6AA88EC6" w14:textId="77777777" w:rsidR="003720EE" w:rsidRPr="0001300E" w:rsidRDefault="003720EE" w:rsidP="003720EE">
      <w:pPr>
        <w:jc w:val="both"/>
        <w:rPr>
          <w:rFonts w:ascii="Open Sans" w:hAnsi="Open Sans"/>
        </w:rPr>
      </w:pPr>
    </w:p>
    <w:p w14:paraId="5F7A2642" w14:textId="77777777" w:rsidR="003720EE" w:rsidRPr="0001300E" w:rsidRDefault="003720EE" w:rsidP="003720EE">
      <w:pPr>
        <w:rPr>
          <w:rFonts w:ascii="Open Sans" w:hAnsi="Open Sans" w:cs="Arial"/>
          <w:b/>
        </w:rPr>
      </w:pPr>
      <w:r w:rsidRPr="0001300E">
        <w:rPr>
          <w:rFonts w:ascii="Open Sans" w:hAnsi="Open Sans" w:cs="Arial"/>
          <w:b/>
        </w:rPr>
        <w:br w:type="page"/>
      </w:r>
    </w:p>
    <w:p w14:paraId="6C1A9421" w14:textId="77777777" w:rsidR="003720EE" w:rsidRPr="0001300E" w:rsidRDefault="003720EE" w:rsidP="003720EE">
      <w:pPr>
        <w:jc w:val="center"/>
        <w:rPr>
          <w:rFonts w:ascii="Open Sans" w:hAnsi="Open Sans" w:cs="Arial"/>
          <w:b/>
        </w:rPr>
      </w:pPr>
    </w:p>
    <w:p w14:paraId="52B1B43E" w14:textId="77777777" w:rsidR="003720EE" w:rsidRPr="0001300E" w:rsidRDefault="003720EE" w:rsidP="003720EE">
      <w:pPr>
        <w:rPr>
          <w:rFonts w:ascii="Open Sans" w:hAnsi="Open Sans" w:cs="Arial"/>
          <w:b/>
        </w:rPr>
      </w:pPr>
    </w:p>
    <w:p w14:paraId="065C8AEA" w14:textId="77777777" w:rsidR="003720EE" w:rsidRPr="0001300E" w:rsidRDefault="003720EE" w:rsidP="003720EE">
      <w:pPr>
        <w:jc w:val="both"/>
        <w:rPr>
          <w:rFonts w:ascii="Open Sans" w:hAnsi="Open Sans" w:cs="Arial"/>
          <w:b/>
          <w:sz w:val="22"/>
          <w:szCs w:val="22"/>
        </w:rPr>
      </w:pPr>
      <w:r w:rsidRPr="0001300E">
        <w:rPr>
          <w:rFonts w:ascii="Open Sans" w:hAnsi="Open Sans" w:cs="Arial"/>
          <w:b/>
          <w:sz w:val="22"/>
          <w:szCs w:val="22"/>
          <w:u w:val="single"/>
        </w:rPr>
        <w:t>3. Contexto general</w:t>
      </w:r>
    </w:p>
    <w:p w14:paraId="2749E510" w14:textId="77777777" w:rsidR="003720EE" w:rsidRPr="0001300E" w:rsidRDefault="003720EE" w:rsidP="003720EE">
      <w:pPr>
        <w:jc w:val="both"/>
        <w:rPr>
          <w:rFonts w:ascii="Open Sans" w:hAnsi="Open Sans" w:cs="Arial"/>
          <w:b/>
        </w:rPr>
      </w:pPr>
    </w:p>
    <w:p w14:paraId="58E5572D"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En MAPFRE trabajan 38.405 empleados (37.053 en 2014), en un total de 51 países (49 en 2014). MAPFRE opera a través de 237 sociedades (259 en 2014) y al cierre del ejercicio 2015, tenía 5.848 oficinas propias en todo el mundo; además distribuye sus productos a través de 8.932 oficinas de entidades bancarias y otros puntos de venta que comercializan los seguros de MAPFRE en virtud de acuerdos de colaboración; y cuenta con una red de más de 80.000 agentes y mediadores (79.000 en 2014), de los cuales alrededor de 7.200 estaban en Estados Unidos y más de 23.000 en Brasil.</w:t>
      </w:r>
    </w:p>
    <w:p w14:paraId="714E344F" w14:textId="77777777" w:rsidR="003720EE" w:rsidRPr="0001300E" w:rsidRDefault="003720EE" w:rsidP="003720EE">
      <w:pPr>
        <w:jc w:val="both"/>
        <w:rPr>
          <w:rFonts w:ascii="Open Sans" w:hAnsi="Open Sans" w:cs="Open Sans"/>
          <w:b/>
          <w:sz w:val="20"/>
          <w:szCs w:val="20"/>
        </w:rPr>
      </w:pPr>
    </w:p>
    <w:p w14:paraId="6039A82B"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El negocio del Grupo se configura a través de cuatro Unidades de Negocio (Seguros; Asistencia, Servicios y Riesgos Especiales; </w:t>
      </w:r>
      <w:r w:rsidRPr="0001300E">
        <w:rPr>
          <w:rFonts w:ascii="Open Sans" w:eastAsia="Calibri" w:hAnsi="Open Sans" w:cs="Open Sans"/>
          <w:i/>
          <w:sz w:val="20"/>
          <w:szCs w:val="20"/>
        </w:rPr>
        <w:t>Global Risks</w:t>
      </w:r>
      <w:r w:rsidRPr="0001300E">
        <w:rPr>
          <w:rFonts w:ascii="Open Sans" w:eastAsia="Calibri" w:hAnsi="Open Sans" w:cs="Open Sans"/>
          <w:sz w:val="20"/>
          <w:szCs w:val="20"/>
        </w:rPr>
        <w:t xml:space="preserve"> y Reaseguro), tres grandes áreas territoriales, IBERIA, LATAM e INTERNACIONAL, y siete áreas regionales: IBERIA, LATAM NORTE, LATAM SUR, BRASIL, NORTEAMÉRICA, EMEA y APAC.</w:t>
      </w:r>
    </w:p>
    <w:p w14:paraId="1EF56200"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46BD4E73"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En la actividad de seguros, MAPFRE es la mayor aseguradora española en el mundo, la décima aseguradora en Europa, y está implantada en prácticamente todos los países de América Latina –región en la que es el segundo grupo asegurador y el líder en Seguros No Vida–, en los Estados Unidos de América –donde es una de las 20 primeras aseguradoras de Automóviles del país–, en Alemania, Filipinas, Italia, Malta, Portugal y Turquía.</w:t>
      </w:r>
    </w:p>
    <w:p w14:paraId="6777714F"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6C42D43D"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 xml:space="preserve">Los ingresos totales consolidados han crecido un 4,1 por 100, alcanzando los 26.702,2 millones de euros. De ellos, 22.311,8 millones de euros han procedido de la cifra de primas, que se ha incrementado un 2,3 por 100. </w:t>
      </w:r>
      <w:r w:rsidRPr="0001300E">
        <w:rPr>
          <w:rFonts w:ascii="Open Sans" w:eastAsia="Calibri" w:hAnsi="Open Sans" w:cs="Open Sans"/>
          <w:sz w:val="20"/>
          <w:szCs w:val="20"/>
        </w:rPr>
        <w:t>Los activos totales gestionados, incluyendo los fondos de inversión y fondos de pensiones, ascendían a 73.301,9 millones de euros (75.617,7 millones de euros al cierre de 2014), con decremento del 3,1 por 100 (+1,0 por 100 sin CATALUNYACAIXA).</w:t>
      </w:r>
    </w:p>
    <w:p w14:paraId="5AD5219E" w14:textId="77777777" w:rsidR="003720EE" w:rsidRPr="0001300E" w:rsidRDefault="003720EE" w:rsidP="003720EE">
      <w:pPr>
        <w:jc w:val="both"/>
        <w:rPr>
          <w:rFonts w:ascii="Open Sans" w:hAnsi="Open Sans" w:cs="Open Sans"/>
          <w:sz w:val="20"/>
          <w:szCs w:val="20"/>
        </w:rPr>
      </w:pPr>
    </w:p>
    <w:p w14:paraId="3D77952C"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 xml:space="preserve">El beneficio neto consolidado ha ascendido a 708,8 millones de euros, con disminución del 16,1 por 100, y el beneficio por acción ha pasado de 0,27 a 0,23 euros. Esta evolución recoge la disminución del resultado técnico de No Vida, como consecuencia, fundamentalmente, de las pérdidas por las excepcionales nevadas registradas en Estados Unidos, así como del repunte de la siniestralidad en Iberia y en MAPFRE ASISTENCIA. </w:t>
      </w:r>
    </w:p>
    <w:p w14:paraId="2FA28C9B" w14:textId="77777777" w:rsidR="003720EE" w:rsidRPr="0001300E" w:rsidRDefault="003720EE" w:rsidP="003720EE">
      <w:pPr>
        <w:jc w:val="both"/>
        <w:rPr>
          <w:rFonts w:ascii="Open Sans" w:hAnsi="Open Sans" w:cs="Open Sans"/>
          <w:sz w:val="20"/>
          <w:szCs w:val="20"/>
        </w:rPr>
      </w:pPr>
    </w:p>
    <w:p w14:paraId="09F8E510"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MAPFRE destaca en las cuentas anuales los resultados obtenidos en la mayor parte de los países, especialmente España y Brasil, y en los negocios de Reaseguro y Global Risks. El crecimiento en las primas de No Vida, tanto en España como en el extranjero, así como en el reaseguro, ha permitido absorber los peores resultados del seguro de Vida en España. La evolución del resultado del negocio de Vida ha sido positiva, gracias a la mejora del resultado de suscripción y de los ingresos financieros en Brasil.</w:t>
      </w:r>
    </w:p>
    <w:p w14:paraId="2C78469E"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1D39F0E5"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Standard &amp; Poor’s ratificó en el mes de julio la calificación crediticia (rating) de emisor de MAPFRE, situado en “BBB+”, así como la calificación de sus filiales MAPFRE RE y MAPFRE GLOBAL RISKS en “A”. La agencia destaca la buena situación de fondos propios y la generación recurrente de resultados del Grupo, así como la fuerte flexibilidad financiera, que permite el acceso a los mercados de capitales a través de múltiples vías.</w:t>
      </w:r>
    </w:p>
    <w:p w14:paraId="52DB3E55" w14:textId="77777777" w:rsidR="003720EE" w:rsidRPr="0001300E" w:rsidRDefault="003720EE" w:rsidP="003720EE">
      <w:pPr>
        <w:autoSpaceDE w:val="0"/>
        <w:autoSpaceDN w:val="0"/>
        <w:adjustRightInd w:val="0"/>
        <w:jc w:val="both"/>
        <w:rPr>
          <w:rFonts w:ascii="Open Sans" w:eastAsia="Calibri" w:hAnsi="Open Sans" w:cs="Open Sans"/>
          <w:color w:val="FDC51D"/>
          <w:sz w:val="20"/>
          <w:szCs w:val="20"/>
        </w:rPr>
      </w:pPr>
    </w:p>
    <w:p w14:paraId="3FF3251C"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Por último, el patrimonio neto consolidado ha alcanzado la cifra de 10.408,3 millones de euros, frente a 11.469,4 millones de euros en 2014. De la citada cantidad, 1.834,6 millones de euros corresponden a la participación de los accionistas minoritarios en las sociedades filiales. Los fondos propios consolidados por acción ascendían a 2,78 euros al cierre de 2015, frente a 2,97 euros a 31 de diciembre de 2014.</w:t>
      </w:r>
    </w:p>
    <w:p w14:paraId="6DE38207" w14:textId="77777777" w:rsidR="003720EE" w:rsidRPr="0001300E" w:rsidRDefault="003720EE" w:rsidP="003720EE">
      <w:pPr>
        <w:jc w:val="both"/>
        <w:rPr>
          <w:rFonts w:ascii="Open Sans" w:eastAsia="Calibri" w:hAnsi="Open Sans" w:cs="Open Sans"/>
          <w:color w:val="000000"/>
          <w:sz w:val="20"/>
          <w:szCs w:val="20"/>
        </w:rPr>
      </w:pPr>
    </w:p>
    <w:p w14:paraId="4C004519"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color w:val="000000"/>
          <w:sz w:val="20"/>
          <w:szCs w:val="20"/>
        </w:rPr>
        <w:t xml:space="preserve">MAPFRE tiene entre sus objetivos el mantenimiento de una política de dividendos crecientes en los niveles actuales de rentabilidad, con un pay-out en torno al 50 por 100 de los beneficios del Grupo. </w:t>
      </w:r>
      <w:r w:rsidRPr="0001300E">
        <w:rPr>
          <w:rFonts w:ascii="Open Sans" w:eastAsia="Calibri" w:hAnsi="Open Sans" w:cs="Open Sans"/>
          <w:sz w:val="20"/>
          <w:szCs w:val="20"/>
        </w:rPr>
        <w:t xml:space="preserve">En el trienio 2013-2015 la creación de valor sostenible para el accionista ha estado determinada por el mantenimiento en todo el periodo de un </w:t>
      </w:r>
      <w:r w:rsidRPr="0001300E">
        <w:rPr>
          <w:rFonts w:ascii="Open Sans" w:eastAsia="Calibri" w:hAnsi="Open Sans" w:cs="Open Sans"/>
          <w:i/>
          <w:iCs/>
          <w:sz w:val="20"/>
          <w:szCs w:val="20"/>
        </w:rPr>
        <w:t xml:space="preserve">pay-out </w:t>
      </w:r>
      <w:r w:rsidRPr="0001300E">
        <w:rPr>
          <w:rFonts w:ascii="Open Sans" w:eastAsia="Calibri" w:hAnsi="Open Sans" w:cs="Open Sans"/>
          <w:sz w:val="20"/>
          <w:szCs w:val="20"/>
        </w:rPr>
        <w:t>superior al 50 por 100, que ha supuesto un pago de dividendos de 1.232 millones de euros de dividendos, cifra prácticamente idéntica a la del trienio anterior (1.271 millones de euros).</w:t>
      </w:r>
    </w:p>
    <w:p w14:paraId="4167A1FB"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3FBDE21D" w14:textId="77777777" w:rsidR="003720EE" w:rsidRPr="0001300E" w:rsidRDefault="003720EE" w:rsidP="003720EE">
      <w:pPr>
        <w:pStyle w:val="Default"/>
        <w:jc w:val="both"/>
        <w:rPr>
          <w:rFonts w:ascii="Open Sans" w:hAnsi="Open Sans" w:cs="Open Sans"/>
          <w:sz w:val="20"/>
          <w:szCs w:val="20"/>
        </w:rPr>
      </w:pPr>
      <w:r w:rsidRPr="0001300E">
        <w:rPr>
          <w:rFonts w:ascii="Open Sans" w:eastAsia="Calibri" w:hAnsi="Open Sans" w:cs="Open Sans"/>
          <w:sz w:val="20"/>
          <w:szCs w:val="20"/>
        </w:rPr>
        <w:t>En materia de RSE, el 23 de junio de 2015, el Consejo de Administración de MAPFRE aprobó la nueva Política de RSC que, según menciona la sociedad en la memoria, sigue las recomendaciones del Código de Buen Gobierno para entidades cotizadas de la Comisión Nacional del Mercado de Valores (CNMV). El séptimo principio de esta política hace referencia a la Responsabilidad Fiscal.</w:t>
      </w:r>
      <w:r w:rsidRPr="0001300E">
        <w:rPr>
          <w:rFonts w:ascii="Open Sans" w:hAnsi="Open Sans" w:cs="Open Sans"/>
          <w:sz w:val="20"/>
          <w:szCs w:val="20"/>
        </w:rPr>
        <w:t xml:space="preserve"> </w:t>
      </w:r>
    </w:p>
    <w:p w14:paraId="72985AC2" w14:textId="77777777" w:rsidR="003720EE" w:rsidRPr="0001300E" w:rsidRDefault="003720EE" w:rsidP="003720EE">
      <w:pPr>
        <w:pStyle w:val="Default"/>
        <w:jc w:val="both"/>
        <w:rPr>
          <w:rFonts w:ascii="Open Sans" w:eastAsia="Calibri" w:hAnsi="Open Sans" w:cs="Open Sans"/>
          <w:sz w:val="20"/>
          <w:szCs w:val="20"/>
        </w:rPr>
      </w:pPr>
    </w:p>
    <w:p w14:paraId="59DEB7B7" w14:textId="77777777" w:rsidR="003720EE" w:rsidRPr="0001300E" w:rsidRDefault="003720EE" w:rsidP="003720EE">
      <w:pPr>
        <w:autoSpaceDE w:val="0"/>
        <w:autoSpaceDN w:val="0"/>
        <w:adjustRightInd w:val="0"/>
        <w:jc w:val="both"/>
        <w:rPr>
          <w:rFonts w:ascii="Open Sans" w:hAnsi="Open Sans" w:cs="Open Sans"/>
          <w:sz w:val="20"/>
          <w:szCs w:val="20"/>
        </w:rPr>
      </w:pPr>
      <w:r w:rsidRPr="0001300E">
        <w:rPr>
          <w:rFonts w:ascii="Open Sans" w:hAnsi="Open Sans" w:cs="Open Sans"/>
          <w:sz w:val="20"/>
          <w:szCs w:val="20"/>
        </w:rPr>
        <w:t>Los 9 principios de la política de RSE de MAPFRE son</w:t>
      </w:r>
      <w:r w:rsidRPr="0001300E">
        <w:rPr>
          <w:rStyle w:val="Refdenotaalpie"/>
          <w:rFonts w:ascii="Open Sans" w:hAnsi="Open Sans" w:cs="Open Sans"/>
          <w:sz w:val="20"/>
          <w:szCs w:val="20"/>
        </w:rPr>
        <w:footnoteReference w:id="556"/>
      </w:r>
      <w:r w:rsidRPr="0001300E">
        <w:rPr>
          <w:rFonts w:ascii="Open Sans" w:hAnsi="Open Sans" w:cs="Open Sans"/>
          <w:sz w:val="20"/>
          <w:szCs w:val="20"/>
        </w:rPr>
        <w:t xml:space="preserve">: </w:t>
      </w:r>
    </w:p>
    <w:p w14:paraId="503ACF68" w14:textId="77777777" w:rsidR="003720EE" w:rsidRPr="0001300E" w:rsidRDefault="003720EE" w:rsidP="003720EE">
      <w:pPr>
        <w:autoSpaceDE w:val="0"/>
        <w:autoSpaceDN w:val="0"/>
        <w:adjustRightInd w:val="0"/>
        <w:jc w:val="both"/>
        <w:rPr>
          <w:rFonts w:ascii="Open Sans" w:hAnsi="Open Sans" w:cs="Open Sans"/>
          <w:sz w:val="20"/>
          <w:szCs w:val="20"/>
        </w:rPr>
      </w:pPr>
    </w:p>
    <w:p w14:paraId="7B33A025"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Cumplimiento de los Compromisos Internacionales</w:t>
      </w:r>
    </w:p>
    <w:p w14:paraId="0693A3B5"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Cumplimiento de las Leyes y normas nacionales e internacionales</w:t>
      </w:r>
    </w:p>
    <w:p w14:paraId="68FBF865"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Mantenimiento de prácticas de gobierno corporativo</w:t>
      </w:r>
    </w:p>
    <w:p w14:paraId="257529E3"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Comunicación y diálogo con todos los grupos de interés</w:t>
      </w:r>
    </w:p>
    <w:p w14:paraId="1AD4B239"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Compromiso con la transparencia</w:t>
      </w:r>
    </w:p>
    <w:p w14:paraId="6CC5F67E"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Compromiso con los Derechos Humanos</w:t>
      </w:r>
    </w:p>
    <w:p w14:paraId="018E2C0D"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Responsabilidad Fiscal</w:t>
      </w:r>
    </w:p>
    <w:p w14:paraId="463C8DF8"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Conservación y promoción del Medio Ambiente</w:t>
      </w:r>
    </w:p>
    <w:p w14:paraId="1C1F331F" w14:textId="77777777" w:rsidR="003720EE" w:rsidRPr="0001300E" w:rsidRDefault="003720EE" w:rsidP="000B70C9">
      <w:pPr>
        <w:numPr>
          <w:ilvl w:val="0"/>
          <w:numId w:val="47"/>
        </w:num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Promoción de la responsabilidad social</w:t>
      </w:r>
    </w:p>
    <w:p w14:paraId="73F8EAE6"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2F587410"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hAnsi="Open Sans" w:cs="Open Sans"/>
          <w:sz w:val="20"/>
          <w:szCs w:val="20"/>
        </w:rPr>
        <w:t xml:space="preserve">Tras analizar el informe de RSE de la sociedad, se puede observar que MAPFRE no dispone de una política de responsabilidad social y un estudio de materialidad congruentes con los compromisos internacionales asumidos. En este sentido resulta llamativo que MAPFRE </w:t>
      </w:r>
      <w:r w:rsidRPr="0001300E">
        <w:rPr>
          <w:rFonts w:ascii="Open Sans" w:eastAsia="Calibri" w:hAnsi="Open Sans" w:cs="Open Sans"/>
          <w:color w:val="000000"/>
          <w:sz w:val="20"/>
          <w:szCs w:val="20"/>
        </w:rPr>
        <w:t xml:space="preserve">no considere material un tema como  </w:t>
      </w:r>
      <w:r w:rsidRPr="0001300E">
        <w:rPr>
          <w:rFonts w:ascii="Open Sans" w:eastAsia="Calibri" w:hAnsi="Open Sans" w:cs="Open Sans"/>
          <w:i/>
          <w:color w:val="000000"/>
          <w:sz w:val="20"/>
          <w:szCs w:val="20"/>
        </w:rPr>
        <w:t>Realizar evaluaciones en materia de derechos humanos a los proveedores</w:t>
      </w:r>
      <w:r w:rsidRPr="0001300E">
        <w:rPr>
          <w:rFonts w:ascii="Open Sans" w:eastAsia="Calibri" w:hAnsi="Open Sans" w:cs="Open Sans"/>
          <w:color w:val="000000"/>
          <w:sz w:val="20"/>
          <w:szCs w:val="20"/>
        </w:rPr>
        <w:t>; ya que ello no sería coherente con los Principios 1 y 2 de la Iniciativa Pacto Mundial.</w:t>
      </w:r>
      <w:r w:rsidRPr="0001300E">
        <w:rPr>
          <w:rFonts w:ascii="Open Sans" w:hAnsi="Open Sans" w:cs="Open Sans"/>
          <w:sz w:val="20"/>
          <w:szCs w:val="20"/>
        </w:rPr>
        <w:t xml:space="preserve"> O que un tema material para los grupos de interés como </w:t>
      </w:r>
      <w:r w:rsidRPr="0001300E">
        <w:rPr>
          <w:rFonts w:ascii="Open Sans" w:eastAsia="Calibri" w:hAnsi="Open Sans" w:cs="Open Sans"/>
          <w:i/>
          <w:sz w:val="20"/>
          <w:szCs w:val="20"/>
        </w:rPr>
        <w:t>Luchar contra la corrupción, el blanqueo de capitales y el fraude</w:t>
      </w:r>
      <w:r w:rsidRPr="0001300E">
        <w:rPr>
          <w:rFonts w:ascii="Open Sans" w:eastAsia="Calibri" w:hAnsi="Open Sans" w:cs="Open Sans"/>
          <w:sz w:val="20"/>
          <w:szCs w:val="20"/>
        </w:rPr>
        <w:t xml:space="preserve">, que además estaría en línea con el principio 10 de la iniciativa Pacto Mundial, </w:t>
      </w:r>
      <w:r w:rsidRPr="0001300E">
        <w:rPr>
          <w:rFonts w:ascii="Open Sans" w:hAnsi="Open Sans" w:cs="Open Sans"/>
          <w:i/>
          <w:sz w:val="20"/>
          <w:szCs w:val="20"/>
        </w:rPr>
        <w:t>Las empresas deben trabajar contra la corrupción en todas sus formas, incluidas extorsión y soborno</w:t>
      </w:r>
      <w:r w:rsidRPr="0001300E">
        <w:rPr>
          <w:rFonts w:ascii="Open Sans" w:hAnsi="Open Sans" w:cs="Open Sans"/>
          <w:sz w:val="20"/>
          <w:szCs w:val="20"/>
        </w:rPr>
        <w:t xml:space="preserve">, y la política de RSC de la empresa (responsabilidad fiscal) no sea un tema incluido entre los Top 10 materiales. Según la documentación analizada, tampoco hemos encontrado evidencia de que exista un diálogo con los grupos de interés; sino que más bien se realiza una comunicación unidireccional sobre temas previamente seleccionados por la empresa en materia de RSE. </w:t>
      </w:r>
      <w:r w:rsidRPr="0001300E">
        <w:rPr>
          <w:rFonts w:ascii="Open Sans" w:eastAsia="Calibri" w:hAnsi="Open Sans" w:cs="Open Sans"/>
          <w:sz w:val="20"/>
          <w:szCs w:val="20"/>
        </w:rPr>
        <w:t xml:space="preserve">En este sentido, en MAPFRE no se estaría llevando a cabo un proceso de </w:t>
      </w:r>
      <w:r w:rsidRPr="0001300E">
        <w:rPr>
          <w:rFonts w:ascii="Open Sans" w:eastAsia="Calibri" w:hAnsi="Open Sans" w:cs="Open Sans"/>
          <w:i/>
          <w:sz w:val="20"/>
          <w:szCs w:val="20"/>
        </w:rPr>
        <w:t>Comunicación y diálogo con todos los grupos de interés</w:t>
      </w:r>
      <w:r w:rsidRPr="0001300E">
        <w:rPr>
          <w:rFonts w:ascii="Open Sans" w:eastAsia="Calibri" w:hAnsi="Open Sans" w:cs="Open Sans"/>
          <w:sz w:val="20"/>
          <w:szCs w:val="20"/>
        </w:rPr>
        <w:t>, como recoge el principio 4 de la política de RSE, ya que no se establecen procesos de diálogo con las organizaciones sindicales, de consumidores y organizaciones de la sociedad civil sobre los temas de la actividad de la empresa que tengan un impacto relevante en materia de RSE. Tampoco tenemos constancia de una relación cooperativa con las autoridades tributarias, aparte de la adhesión al Código de Buenas Prácticas que veremos posteriormente.</w:t>
      </w:r>
    </w:p>
    <w:p w14:paraId="6F69630D"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3909D060"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Asimismo, la política presenta otras limitaciones, ya que en algunos ámbitos se rebaja el grado de exigencia y se establece un cierto grado de ambigüedad con términos como “compromiso” de la transparencia o los derechos humanos o la “promoción” de la responsabilidad social o el medioambiente”, que contrastan con el grado de exigencia de otros apartados como, por ejemplo, el “cumplimiento” de los compromisos internacionales. Lo mismo sucede con el “mantenimiento de prácticas de buen gobierno”; donde, no se adquiere el compromiso concreto de cumplir con el Código de Buen Gobierno para entidades cotizadas de la CNMV.</w:t>
      </w:r>
    </w:p>
    <w:p w14:paraId="488BC705"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355EE3FB" w14:textId="77777777" w:rsidR="003720EE" w:rsidRPr="0001300E" w:rsidRDefault="003720EE" w:rsidP="003720EE">
      <w:pPr>
        <w:autoSpaceDE w:val="0"/>
        <w:autoSpaceDN w:val="0"/>
        <w:adjustRightInd w:val="0"/>
        <w:jc w:val="both"/>
        <w:rPr>
          <w:rFonts w:ascii="Open Sans" w:hAnsi="Open Sans" w:cs="Open Sans"/>
          <w:sz w:val="20"/>
          <w:szCs w:val="20"/>
        </w:rPr>
      </w:pPr>
      <w:r w:rsidRPr="0001300E">
        <w:rPr>
          <w:rFonts w:ascii="Open Sans" w:hAnsi="Open Sans" w:cs="Open Sans"/>
          <w:sz w:val="20"/>
          <w:szCs w:val="20"/>
        </w:rPr>
        <w:t>Asimismo, según los índices Maplecroft, MAPFRE tiene actividad en 6 países en los que el riesgo de vulneración de los derechos humanos es extremo; en 14 en los que el riesgo de trabajo forzoso es extremo y en 11 en los que el riesgo del trabajo infantil es extremo. En relación con los posibles impactos negativos a los pueblos indígenas, MAPFRE tiene presencia en 21 países de riesgo. En el ámbito fiscal, MAPFRE tiene 54 sociedades en paraísos y nichos (2 en paraísos y 52 en nichos).</w:t>
      </w:r>
    </w:p>
    <w:p w14:paraId="145CF3DF" w14:textId="77777777" w:rsidR="003720EE" w:rsidRPr="0001300E" w:rsidRDefault="003720EE" w:rsidP="003720EE">
      <w:pPr>
        <w:autoSpaceDE w:val="0"/>
        <w:autoSpaceDN w:val="0"/>
        <w:adjustRightInd w:val="0"/>
        <w:jc w:val="both"/>
        <w:rPr>
          <w:rFonts w:ascii="Open Sans" w:hAnsi="Open Sans" w:cs="Open Sans"/>
          <w:sz w:val="20"/>
          <w:szCs w:val="20"/>
        </w:rPr>
      </w:pPr>
    </w:p>
    <w:p w14:paraId="4D0463C3"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hAnsi="Open Sans" w:cs="Open Sans"/>
          <w:sz w:val="20"/>
          <w:szCs w:val="20"/>
        </w:rPr>
        <w:t xml:space="preserve">MAPFRE está expuesta por tanto a riesgos medioambientales, sociales, de buen gobierno y fiscales. No obstante, tanto por el planteamiento de la política de RSE, como por la información suministrada por la empresa sobre su desempeño en materia de RSE y la filosofía de valoración de los riesgos ASG por parte de la empresa: </w:t>
      </w:r>
      <w:r w:rsidRPr="0001300E">
        <w:rPr>
          <w:rFonts w:ascii="Open Sans" w:hAnsi="Open Sans" w:cs="Open Sans"/>
          <w:i/>
          <w:sz w:val="20"/>
          <w:szCs w:val="20"/>
        </w:rPr>
        <w:t>“</w:t>
      </w:r>
      <w:r w:rsidRPr="0001300E">
        <w:rPr>
          <w:rFonts w:ascii="Open Sans" w:eastAsia="Calibri" w:hAnsi="Open Sans" w:cs="Open Sans"/>
          <w:i/>
          <w:sz w:val="20"/>
          <w:szCs w:val="20"/>
        </w:rPr>
        <w:t>la gestión de riesgos ASG ayuda en la toma de decisiones en áreas tan importantes como son la de suscripción, inversión, innovación en productos y servicios y la gestión de la reputación, esta última, esencial para generar confianza en los stakeholders”</w:t>
      </w:r>
      <w:r w:rsidRPr="0001300E">
        <w:rPr>
          <w:rStyle w:val="Refdenotaalpie"/>
          <w:rFonts w:ascii="Open Sans" w:eastAsia="Calibri" w:hAnsi="Open Sans" w:cs="Open Sans"/>
          <w:i/>
          <w:sz w:val="20"/>
          <w:szCs w:val="20"/>
        </w:rPr>
        <w:footnoteReference w:id="557"/>
      </w:r>
      <w:r w:rsidRPr="0001300E">
        <w:rPr>
          <w:rFonts w:ascii="Open Sans" w:eastAsia="Calibri" w:hAnsi="Open Sans" w:cs="Open Sans"/>
          <w:sz w:val="20"/>
          <w:szCs w:val="20"/>
        </w:rPr>
        <w:t xml:space="preserve">, o las áreas en las que encuadra MAPFRE el análisis estos factores: </w:t>
      </w:r>
      <w:r w:rsidRPr="0001300E">
        <w:rPr>
          <w:rFonts w:ascii="Open Sans" w:eastAsia="Calibri" w:hAnsi="Open Sans" w:cs="Open Sans"/>
          <w:i/>
          <w:sz w:val="20"/>
          <w:szCs w:val="20"/>
        </w:rPr>
        <w:t>“Muchos de los factores ASG enunciados en la tabla (pág. 47) se analizan específicamente por las áreas anteriormente mencionadas y se recogen, principalmente, en los Riesgos Operacionales, en los Riesgos Estratégicos y de Gobierno Corporativo, en los Riesgos Legal y de Incumplimiento y en los Riesgos de Seguridad y Medio Ambiente.”</w:t>
      </w:r>
      <w:r w:rsidRPr="0001300E">
        <w:rPr>
          <w:rStyle w:val="Refdenotaalpie"/>
          <w:rFonts w:ascii="Open Sans" w:eastAsia="Calibri" w:hAnsi="Open Sans" w:cs="Open Sans"/>
          <w:i/>
          <w:sz w:val="20"/>
          <w:szCs w:val="20"/>
        </w:rPr>
        <w:footnoteReference w:id="558"/>
      </w:r>
      <w:r w:rsidRPr="0001300E">
        <w:rPr>
          <w:rFonts w:ascii="Open Sans" w:eastAsia="Calibri" w:hAnsi="Open Sans" w:cs="Open Sans"/>
          <w:sz w:val="20"/>
          <w:szCs w:val="20"/>
        </w:rPr>
        <w:t xml:space="preserve">, nos lleva a concluir que la política de MAPFRE tiene un enfoque más preventivo y de reducción del riesgo legal y reputacional, que proactivo para promocionar la RSE más allá de lo establecido en la legislación.  </w:t>
      </w:r>
    </w:p>
    <w:p w14:paraId="3C74210F" w14:textId="77777777" w:rsidR="003720EE" w:rsidRPr="0001300E" w:rsidRDefault="003720EE" w:rsidP="003720EE">
      <w:pPr>
        <w:pStyle w:val="Default"/>
        <w:jc w:val="both"/>
        <w:rPr>
          <w:rFonts w:ascii="Open Sans" w:eastAsia="Calibri" w:hAnsi="Open Sans" w:cs="Open Sans"/>
          <w:color w:val="auto"/>
          <w:sz w:val="20"/>
          <w:szCs w:val="20"/>
        </w:rPr>
      </w:pPr>
    </w:p>
    <w:p w14:paraId="4E250188" w14:textId="77777777" w:rsidR="003720EE" w:rsidRPr="0001300E" w:rsidRDefault="003720EE" w:rsidP="003720EE">
      <w:pPr>
        <w:pStyle w:val="Default"/>
        <w:jc w:val="both"/>
        <w:rPr>
          <w:rFonts w:ascii="Open Sans" w:eastAsia="Calibri" w:hAnsi="Open Sans" w:cs="Open Sans"/>
          <w:sz w:val="20"/>
          <w:szCs w:val="20"/>
        </w:rPr>
      </w:pPr>
      <w:r w:rsidRPr="0001300E">
        <w:rPr>
          <w:rFonts w:ascii="Open Sans" w:hAnsi="Open Sans" w:cs="Open Sans"/>
          <w:sz w:val="20"/>
          <w:szCs w:val="20"/>
        </w:rPr>
        <w:t xml:space="preserve">MAPFRE publicó, con fecha 17 de diciembre de 2015, la política fiscal de la sociedad. Esta se basa en los compromisos adquiridos por MAPFRE en </w:t>
      </w:r>
      <w:r w:rsidRPr="0001300E">
        <w:rPr>
          <w:rFonts w:ascii="Open Sans" w:eastAsia="Calibri" w:hAnsi="Open Sans" w:cs="Open Sans"/>
          <w:sz w:val="20"/>
          <w:szCs w:val="20"/>
        </w:rPr>
        <w:t xml:space="preserve">el Foro de Grandes Empresas, que se constituyó el 10 de julio de 2009 por iniciativa de la Agencia Estatal de Administración Tributaria española y cuyo objetivo era doble: la aprobación de un código de buenas prácticas y el desarrollo de una relación cooperativa entre las grandes empresas y la Administración tributaria. MAPFRE destaca que participó en el Foro desde el momento de su creación y que con fecha 20 de julio de 2010, el Pleno del Foro de Grandes Empresas aprobó el Código de Buenas Prácticas Tributarias al que MAPFRE se adhirió por acuerdo de su Consejo de Administración de 22 de julio de 2010. MAPFRE no menciona nada sobre la consideración de iniciativas de carácter internacional, como el Proyecto BEPS de la OCDE, cuyos resultados fueron presentados dos meses antes de la publicación de la política. </w:t>
      </w:r>
    </w:p>
    <w:p w14:paraId="7CB8AA60" w14:textId="77777777" w:rsidR="003720EE" w:rsidRPr="0001300E" w:rsidRDefault="003720EE" w:rsidP="003720EE">
      <w:pPr>
        <w:pStyle w:val="Default"/>
        <w:jc w:val="both"/>
        <w:rPr>
          <w:rFonts w:ascii="Open Sans" w:eastAsia="Calibri" w:hAnsi="Open Sans" w:cs="Open Sans"/>
          <w:sz w:val="20"/>
          <w:szCs w:val="20"/>
        </w:rPr>
      </w:pPr>
    </w:p>
    <w:p w14:paraId="536D1B43" w14:textId="77777777" w:rsidR="003720EE" w:rsidRPr="0001300E" w:rsidRDefault="003720EE" w:rsidP="003720EE">
      <w:pPr>
        <w:jc w:val="both"/>
        <w:rPr>
          <w:rFonts w:ascii="Open Sans" w:hAnsi="Open Sans" w:cs="Open Sans"/>
          <w:sz w:val="20"/>
          <w:szCs w:val="20"/>
        </w:rPr>
      </w:pPr>
    </w:p>
    <w:p w14:paraId="1BBBB2E2" w14:textId="77777777" w:rsidR="003720EE" w:rsidRPr="0001300E" w:rsidRDefault="003720EE" w:rsidP="003720EE">
      <w:pPr>
        <w:jc w:val="both"/>
        <w:rPr>
          <w:rFonts w:ascii="Open Sans" w:hAnsi="Open Sans" w:cs="Open Sans"/>
          <w:b/>
          <w:sz w:val="22"/>
          <w:szCs w:val="22"/>
          <w:u w:val="single"/>
        </w:rPr>
      </w:pPr>
      <w:r w:rsidRPr="0001300E">
        <w:rPr>
          <w:rFonts w:ascii="Open Sans" w:hAnsi="Open Sans" w:cs="Open Sans"/>
          <w:b/>
          <w:sz w:val="22"/>
          <w:szCs w:val="22"/>
          <w:u w:val="single"/>
        </w:rPr>
        <w:t>4. Análisis</w:t>
      </w:r>
    </w:p>
    <w:p w14:paraId="0ACA3DE7" w14:textId="77777777" w:rsidR="003720EE" w:rsidRPr="0001300E" w:rsidRDefault="003720EE" w:rsidP="003720EE">
      <w:pPr>
        <w:pStyle w:val="Default"/>
        <w:rPr>
          <w:rFonts w:ascii="Open Sans" w:eastAsia="Calibri" w:hAnsi="Open Sans" w:cs="Open Sans"/>
          <w:sz w:val="20"/>
          <w:szCs w:val="20"/>
        </w:rPr>
      </w:pPr>
    </w:p>
    <w:p w14:paraId="0BB58A6F" w14:textId="77777777" w:rsidR="003720EE" w:rsidRPr="0001300E" w:rsidRDefault="003720EE" w:rsidP="003720EE">
      <w:pPr>
        <w:pStyle w:val="Default"/>
        <w:jc w:val="both"/>
        <w:rPr>
          <w:rFonts w:ascii="Open Sans" w:hAnsi="Open Sans" w:cs="Open Sans"/>
          <w:i/>
          <w:sz w:val="20"/>
          <w:szCs w:val="20"/>
        </w:rPr>
      </w:pPr>
      <w:r w:rsidRPr="0001300E">
        <w:rPr>
          <w:rFonts w:ascii="Open Sans" w:hAnsi="Open Sans" w:cs="Open Sans"/>
          <w:sz w:val="20"/>
          <w:szCs w:val="20"/>
        </w:rPr>
        <w:t>La política fiscal de MAPFRE, sigue los principios y recomendaciones del Código de Buenas Prácticas Tributarias y se concreta en las siguientes pautas de actuación:</w:t>
      </w:r>
      <w:r w:rsidRPr="0001300E">
        <w:rPr>
          <w:rFonts w:ascii="Open Sans" w:hAnsi="Open Sans" w:cs="Open Sans"/>
          <w:i/>
          <w:sz w:val="20"/>
          <w:szCs w:val="20"/>
        </w:rPr>
        <w:t xml:space="preserve"> </w:t>
      </w:r>
    </w:p>
    <w:p w14:paraId="4E8C6AB0" w14:textId="77777777" w:rsidR="003720EE" w:rsidRPr="0001300E" w:rsidRDefault="003720EE" w:rsidP="003720EE">
      <w:pPr>
        <w:pStyle w:val="Default"/>
        <w:jc w:val="both"/>
        <w:rPr>
          <w:rFonts w:ascii="Open Sans" w:hAnsi="Open Sans" w:cs="Open Sans"/>
          <w:i/>
          <w:sz w:val="20"/>
          <w:szCs w:val="20"/>
        </w:rPr>
      </w:pPr>
    </w:p>
    <w:p w14:paraId="7BE5BBC6" w14:textId="77777777" w:rsidR="003720EE" w:rsidRPr="0001300E" w:rsidRDefault="003720EE" w:rsidP="003720EE">
      <w:pPr>
        <w:pStyle w:val="Default"/>
        <w:jc w:val="both"/>
        <w:rPr>
          <w:rFonts w:ascii="Open Sans" w:hAnsi="Open Sans" w:cs="Open Sans"/>
          <w:i/>
          <w:sz w:val="20"/>
          <w:szCs w:val="20"/>
        </w:rPr>
      </w:pPr>
      <w:r w:rsidRPr="0001300E">
        <w:rPr>
          <w:rFonts w:ascii="Open Sans" w:hAnsi="Open Sans" w:cs="Open Sans"/>
          <w:i/>
          <w:sz w:val="20"/>
          <w:szCs w:val="20"/>
        </w:rPr>
        <w:t xml:space="preserve">1. Cumplimiento de la normativa tributaria en vigor en los distintos países en los que MAPFRE desarrolle su actividad, liquidando los tributos que con arreglo a dicha normativa resulten exigibles en cada momento y colaborando con las Administraciones tributarias de los mismos. </w:t>
      </w:r>
    </w:p>
    <w:p w14:paraId="376192F7" w14:textId="77777777" w:rsidR="003720EE" w:rsidRPr="0001300E" w:rsidRDefault="003720EE" w:rsidP="003720EE">
      <w:pPr>
        <w:pStyle w:val="Default"/>
        <w:jc w:val="both"/>
        <w:rPr>
          <w:rFonts w:ascii="Open Sans" w:hAnsi="Open Sans" w:cs="Open Sans"/>
          <w:i/>
          <w:sz w:val="20"/>
          <w:szCs w:val="20"/>
        </w:rPr>
      </w:pPr>
    </w:p>
    <w:p w14:paraId="354FE745" w14:textId="77777777" w:rsidR="003720EE" w:rsidRPr="0001300E" w:rsidRDefault="003720EE" w:rsidP="003720EE">
      <w:pPr>
        <w:pStyle w:val="Default"/>
        <w:jc w:val="both"/>
        <w:rPr>
          <w:rFonts w:ascii="Open Sans" w:hAnsi="Open Sans" w:cs="Open Sans"/>
          <w:i/>
          <w:sz w:val="20"/>
          <w:szCs w:val="20"/>
        </w:rPr>
      </w:pPr>
      <w:r w:rsidRPr="0001300E">
        <w:rPr>
          <w:rFonts w:ascii="Open Sans" w:hAnsi="Open Sans" w:cs="Open Sans"/>
          <w:i/>
          <w:sz w:val="20"/>
          <w:szCs w:val="20"/>
        </w:rPr>
        <w:t xml:space="preserve">2. Interpretación razonable de la normativa tributaria, ajustada a la realidad económica subyacente. En tal sentido, MAPFRE no utilizará estructuras fiscales artificiales y sus decisiones empresariales no tendrán como finalidad deslocalizar bases imponibles a países de baja tributación, ni obtener ventajas fiscales artificiales, que no se correspondan con la realidad económica subyacente. </w:t>
      </w:r>
    </w:p>
    <w:p w14:paraId="55681E3A" w14:textId="77777777" w:rsidR="003720EE" w:rsidRPr="0001300E" w:rsidRDefault="003720EE" w:rsidP="003720EE">
      <w:pPr>
        <w:pStyle w:val="Default"/>
        <w:jc w:val="both"/>
        <w:rPr>
          <w:rFonts w:ascii="Open Sans" w:hAnsi="Open Sans" w:cs="Open Sans"/>
          <w:i/>
          <w:sz w:val="20"/>
          <w:szCs w:val="20"/>
        </w:rPr>
      </w:pPr>
    </w:p>
    <w:p w14:paraId="165C80F2" w14:textId="77777777" w:rsidR="003720EE" w:rsidRPr="0001300E" w:rsidRDefault="003720EE" w:rsidP="003720EE">
      <w:pPr>
        <w:pStyle w:val="Default"/>
        <w:jc w:val="both"/>
        <w:rPr>
          <w:rFonts w:ascii="Open Sans" w:eastAsia="Calibri" w:hAnsi="Open Sans" w:cs="Open Sans"/>
          <w:i/>
          <w:sz w:val="20"/>
          <w:szCs w:val="20"/>
        </w:rPr>
      </w:pPr>
      <w:r w:rsidRPr="0001300E">
        <w:rPr>
          <w:rFonts w:ascii="Open Sans" w:hAnsi="Open Sans" w:cs="Open Sans"/>
          <w:i/>
          <w:sz w:val="20"/>
          <w:szCs w:val="20"/>
        </w:rPr>
        <w:t xml:space="preserve">3. En cumplimiento con la normativa de precios de transferencia existente en numerosos países en los que opera MAPFRE, las </w:t>
      </w:r>
      <w:r w:rsidRPr="0001300E">
        <w:rPr>
          <w:rFonts w:ascii="Open Sans" w:eastAsia="Calibri" w:hAnsi="Open Sans" w:cs="Open Sans"/>
          <w:i/>
          <w:sz w:val="20"/>
          <w:szCs w:val="20"/>
        </w:rPr>
        <w:t xml:space="preserve">operaciones realizadas entre entidades del Grupo se ajustarán a precios de mercado. </w:t>
      </w:r>
    </w:p>
    <w:p w14:paraId="75CB90A3"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p>
    <w:p w14:paraId="1D78BD6B"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r w:rsidRPr="0001300E">
        <w:rPr>
          <w:rFonts w:ascii="Open Sans" w:eastAsia="Calibri" w:hAnsi="Open Sans" w:cs="Open Sans"/>
          <w:i/>
          <w:color w:val="000000"/>
          <w:sz w:val="20"/>
          <w:szCs w:val="20"/>
        </w:rPr>
        <w:t xml:space="preserve">4. MAPFRE no constituirá ni adquirirá sociedades residentes en países o territorios considerados por la normativa vigente como paraísos fiscales, salvo cuando la presencia u operaciones en dichos países o territorios respondan a razones de la actividad propia del Grupo. </w:t>
      </w:r>
    </w:p>
    <w:p w14:paraId="3C07839E"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p>
    <w:p w14:paraId="075124C3"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r w:rsidRPr="0001300E">
        <w:rPr>
          <w:rFonts w:ascii="Open Sans" w:eastAsia="Calibri" w:hAnsi="Open Sans" w:cs="Open Sans"/>
          <w:i/>
          <w:color w:val="000000"/>
          <w:sz w:val="20"/>
          <w:szCs w:val="20"/>
        </w:rPr>
        <w:t xml:space="preserve">5. MAPFRE participará en iniciativas al objeto de coadyuvar a la promoción de una relación recíproca cooperativa con las autoridades tributarias en los países en los que esté presente, con base en los principios de transparencia, confianza mutua, buena fe y lealtad. </w:t>
      </w:r>
    </w:p>
    <w:p w14:paraId="4EFBF094"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p>
    <w:p w14:paraId="32495042"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r w:rsidRPr="0001300E">
        <w:rPr>
          <w:rFonts w:ascii="Open Sans" w:eastAsia="Calibri" w:hAnsi="Open Sans" w:cs="Open Sans"/>
          <w:i/>
          <w:color w:val="000000"/>
          <w:sz w:val="20"/>
          <w:szCs w:val="20"/>
        </w:rPr>
        <w:t xml:space="preserve">6. MAPFRE promoverá iniciativas tendentes a trasladar a los distintos grupos de interés con los que se relaciona información detallada de los tributos satisfechos en cada país en que desarrolla su actividad. </w:t>
      </w:r>
    </w:p>
    <w:p w14:paraId="4198BC6F"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p>
    <w:p w14:paraId="1B81BA9B" w14:textId="77777777" w:rsidR="003720EE" w:rsidRPr="0001300E" w:rsidRDefault="003720EE" w:rsidP="003720EE">
      <w:pPr>
        <w:autoSpaceDE w:val="0"/>
        <w:autoSpaceDN w:val="0"/>
        <w:adjustRightInd w:val="0"/>
        <w:jc w:val="both"/>
        <w:rPr>
          <w:rFonts w:ascii="Open Sans" w:eastAsia="Calibri" w:hAnsi="Open Sans" w:cs="Open Sans"/>
          <w:i/>
          <w:sz w:val="20"/>
          <w:szCs w:val="20"/>
        </w:rPr>
      </w:pPr>
      <w:r w:rsidRPr="0001300E">
        <w:rPr>
          <w:rFonts w:ascii="Open Sans" w:eastAsia="Calibri" w:hAnsi="Open Sans" w:cs="Open Sans"/>
          <w:color w:val="000000"/>
          <w:sz w:val="20"/>
          <w:szCs w:val="20"/>
        </w:rPr>
        <w:t xml:space="preserve">Según este mismo documento, la Dirección de Asesoría Fiscal del Grupo MAPFRE diseña e implementa los procedimientos internos y  los mecanismos de control necesarios para asegurar el cumplimiento de los principios que conforma la política y en el mismo se afirma que ésta dispondrá “de los recursos materiales y humanos adecuados para el desarrollo de su función”. Asimismo, </w:t>
      </w:r>
      <w:r w:rsidRPr="0001300E">
        <w:rPr>
          <w:rFonts w:ascii="Open Sans" w:eastAsia="Calibri" w:hAnsi="Open Sans" w:cs="Open Sans"/>
          <w:sz w:val="20"/>
          <w:szCs w:val="20"/>
        </w:rPr>
        <w:t xml:space="preserve">la Dirección de Asesoría Fiscal, a través del Secretario General, deberá informar al Consejo de Administración sobre las implicaciones fiscales relativas a las cuestiones que se sometan a su aprobación cuando aquéllas sean relevantes a efectos de adoptar una decisión. Como estipula la Ley de Sociedades de Capital y recoge el informe anual de Gobierno Corporativo de la Sociedad: </w:t>
      </w:r>
      <w:r w:rsidRPr="0001300E">
        <w:rPr>
          <w:rFonts w:ascii="Open Sans" w:eastAsia="Calibri" w:hAnsi="Open Sans" w:cs="Open Sans"/>
          <w:i/>
          <w:sz w:val="20"/>
          <w:szCs w:val="20"/>
        </w:rPr>
        <w:t xml:space="preserve">“El Consejo de Administración, tiene como competencia indelegable la determinación de las políticas y estrategias generales, y en particular, la política de identificación, gestión y control de riesgos, incluidos los fiscales, y la supervisión de los sistemas internos de información y control.” </w:t>
      </w:r>
      <w:r w:rsidRPr="0001300E">
        <w:rPr>
          <w:rFonts w:ascii="Open Sans" w:eastAsia="Calibri" w:hAnsi="Open Sans" w:cs="Open Sans"/>
          <w:sz w:val="20"/>
          <w:szCs w:val="20"/>
        </w:rPr>
        <w:t xml:space="preserve">Asimismo, en este mismo informe anual también se menciona lo siguiente: </w:t>
      </w:r>
      <w:r w:rsidRPr="0001300E">
        <w:rPr>
          <w:rFonts w:ascii="Open Sans" w:eastAsia="Calibri" w:hAnsi="Open Sans" w:cs="Open Sans"/>
          <w:i/>
          <w:sz w:val="20"/>
          <w:szCs w:val="20"/>
        </w:rPr>
        <w:t>“El Comité de Auditoría supervisa la eficacia del control interno de la sociedad, la auditoría interna y los sistemas de gestión de riesgos, incluidos los fiscales.”</w:t>
      </w:r>
    </w:p>
    <w:p w14:paraId="5AE07C56"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710ED9A3"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 xml:space="preserve">MAPFRE menciona en el apartado dedicado a los riesgos fiscales que </w:t>
      </w:r>
      <w:r w:rsidRPr="0001300E">
        <w:rPr>
          <w:rFonts w:ascii="Open Sans" w:eastAsia="Calibri" w:hAnsi="Open Sans" w:cs="Open Sans"/>
          <w:i/>
          <w:color w:val="000000"/>
          <w:sz w:val="20"/>
          <w:szCs w:val="20"/>
        </w:rPr>
        <w:t>“la actuación del Grupo en el ámbito fiscal siempre ha estado presidida por el cumplimiento de la normativa tributaria vigente en los territorios en los que opera, de forma que constituye una aplicación práctica del principio institucional de actuación ética y socialmente responsable en materia tributaria”</w:t>
      </w:r>
      <w:r w:rsidRPr="0001300E">
        <w:rPr>
          <w:rFonts w:ascii="Open Sans" w:eastAsia="Calibri" w:hAnsi="Open Sans" w:cs="Open Sans"/>
          <w:color w:val="000000"/>
          <w:sz w:val="20"/>
          <w:szCs w:val="20"/>
        </w:rPr>
        <w:t>.</w:t>
      </w:r>
      <w:r w:rsidRPr="0001300E">
        <w:rPr>
          <w:rStyle w:val="Refdenotaalpie"/>
          <w:rFonts w:ascii="Open Sans" w:eastAsia="Calibri" w:hAnsi="Open Sans" w:cs="Open Sans"/>
          <w:color w:val="000000"/>
          <w:sz w:val="20"/>
          <w:szCs w:val="20"/>
        </w:rPr>
        <w:footnoteReference w:id="559"/>
      </w:r>
      <w:r w:rsidRPr="0001300E">
        <w:rPr>
          <w:rFonts w:ascii="Open Sans" w:eastAsia="Calibri" w:hAnsi="Open Sans" w:cs="Open Sans"/>
          <w:color w:val="000000"/>
          <w:sz w:val="20"/>
          <w:szCs w:val="20"/>
        </w:rPr>
        <w:t xml:space="preserve"> MAPFRE gestiona los riesgos fiscales del Grupo en cada jurisdicción, a nivel interno, a través de los departamentos de Administración y de Asesoría Fiscal, y subcontrata los servicios de asesoría fiscal requeridos en cada momento con firmas del sector. </w:t>
      </w:r>
    </w:p>
    <w:p w14:paraId="61C03FB8"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p>
    <w:p w14:paraId="27595947"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Con respecto a la valoración de las operaciones vinculadas entre entidades del Grupo, que son importantes en materia de proyectos globales, tecnología y reaseguro, realiza un trabajo de revisión y documentación, con carácter anual, de las distintas transacciones en colaboración con una firma independiente.</w:t>
      </w:r>
    </w:p>
    <w:p w14:paraId="29C2ADB2"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p>
    <w:p w14:paraId="2C8E4248" w14:textId="77777777" w:rsidR="003720EE" w:rsidRPr="0001300E" w:rsidRDefault="003720EE" w:rsidP="003720EE">
      <w:pPr>
        <w:autoSpaceDE w:val="0"/>
        <w:autoSpaceDN w:val="0"/>
        <w:adjustRightInd w:val="0"/>
        <w:jc w:val="both"/>
        <w:rPr>
          <w:rFonts w:ascii="Open Sans" w:eastAsia="Calibri" w:hAnsi="Open Sans" w:cs="Open Sans"/>
          <w:i/>
          <w:sz w:val="20"/>
          <w:szCs w:val="20"/>
        </w:rPr>
      </w:pPr>
      <w:r w:rsidRPr="0001300E">
        <w:rPr>
          <w:rFonts w:ascii="Open Sans" w:eastAsia="Calibri" w:hAnsi="Open Sans" w:cs="Open Sans"/>
          <w:color w:val="000000"/>
          <w:sz w:val="20"/>
          <w:szCs w:val="20"/>
        </w:rPr>
        <w:t xml:space="preserve">MAPFRE por tanto, identifica los riesgos fiscales en ámbito nacional y los gestiona de manera local e interna, subcontratando los servicios de asesoría con firmas del sector, cuando estima que es oportuno. </w:t>
      </w:r>
      <w:r w:rsidRPr="0001300E">
        <w:rPr>
          <w:rFonts w:ascii="Open Sans" w:eastAsia="Calibri" w:hAnsi="Open Sans" w:cs="Open Sans"/>
          <w:sz w:val="20"/>
          <w:szCs w:val="20"/>
        </w:rPr>
        <w:t>En el caso de las operaciones vinculadas la coordinación es más global.</w:t>
      </w:r>
      <w:r w:rsidRPr="0001300E">
        <w:rPr>
          <w:rFonts w:ascii="Open Sans" w:eastAsia="Calibri" w:hAnsi="Open Sans" w:cs="Open Sans"/>
          <w:i/>
          <w:sz w:val="20"/>
          <w:szCs w:val="20"/>
        </w:rPr>
        <w:t xml:space="preserve"> </w:t>
      </w:r>
      <w:r w:rsidRPr="0001300E">
        <w:rPr>
          <w:rFonts w:ascii="Open Sans" w:eastAsia="Calibri" w:hAnsi="Open Sans" w:cs="Open Sans"/>
          <w:color w:val="000000"/>
          <w:sz w:val="20"/>
          <w:szCs w:val="20"/>
        </w:rPr>
        <w:t xml:space="preserve">No obstante, en ambos casos, no entra a detallar cómo se realizan los procedimientos –tanto internos como con las firmas externas-, el proceso de gestión de las incidencias o los resultados del trabajo de revisión y documentación anual de la valoración de las operaciones vinculadas. </w:t>
      </w:r>
    </w:p>
    <w:p w14:paraId="68919BF8"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p>
    <w:p w14:paraId="351974CD"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color w:val="000000"/>
          <w:sz w:val="20"/>
          <w:szCs w:val="20"/>
        </w:rPr>
        <w:t xml:space="preserve">En el informe anual de gobierno corporativo, MAPFRE menciona lo siguiente: </w:t>
      </w:r>
      <w:r w:rsidRPr="0001300E">
        <w:rPr>
          <w:rFonts w:ascii="Open Sans" w:eastAsia="Calibri" w:hAnsi="Open Sans" w:cs="Open Sans"/>
          <w:i/>
          <w:color w:val="000000"/>
          <w:sz w:val="20"/>
          <w:szCs w:val="20"/>
        </w:rPr>
        <w:t>“</w:t>
      </w:r>
      <w:r w:rsidRPr="0001300E">
        <w:rPr>
          <w:rFonts w:ascii="Open Sans" w:eastAsia="Calibri" w:hAnsi="Open Sans" w:cs="Open Sans"/>
          <w:i/>
          <w:sz w:val="20"/>
          <w:szCs w:val="20"/>
        </w:rPr>
        <w:t>Por lo que respecta a riesgos fiscales, se han materializado algunas discrepancias con autoridades fiscales en la interpretación de la norma tributaria en algunos países, si bien las consecuencias no han tenido materialidad significativa.”</w:t>
      </w:r>
      <w:r w:rsidRPr="0001300E">
        <w:rPr>
          <w:rStyle w:val="Refdenotaalpie"/>
          <w:rFonts w:ascii="Open Sans" w:eastAsia="Calibri" w:hAnsi="Open Sans" w:cs="Open Sans"/>
          <w:i/>
          <w:sz w:val="20"/>
          <w:szCs w:val="20"/>
        </w:rPr>
        <w:footnoteReference w:id="560"/>
      </w:r>
      <w:r w:rsidRPr="0001300E">
        <w:rPr>
          <w:rFonts w:ascii="Open Sans" w:eastAsia="Calibri" w:hAnsi="Open Sans" w:cs="Open Sans"/>
          <w:i/>
          <w:sz w:val="20"/>
          <w:szCs w:val="20"/>
        </w:rPr>
        <w:t xml:space="preserve"> </w:t>
      </w:r>
      <w:r w:rsidRPr="0001300E">
        <w:rPr>
          <w:rFonts w:ascii="Open Sans" w:eastAsia="Calibri" w:hAnsi="Open Sans" w:cs="Open Sans"/>
          <w:sz w:val="20"/>
          <w:szCs w:val="20"/>
        </w:rPr>
        <w:t xml:space="preserve"> No obstante, no proporciona información concreta sobre las discrepancias, ni los resultados de las mismas.</w:t>
      </w:r>
    </w:p>
    <w:p w14:paraId="2CA2B20B"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p>
    <w:p w14:paraId="7895141A"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eastAsia="Calibri" w:hAnsi="Open Sans" w:cs="Open Sans"/>
          <w:color w:val="000000"/>
          <w:sz w:val="20"/>
          <w:szCs w:val="20"/>
        </w:rPr>
        <w:t>En relación con su estructura societaria, MAPFRE informa sobre la tasa fiscal efectiva de las diferentes sociedades en cada uno de los países (denominación y domicilio), de la actividad y de la participación en capital social, de los activos, del patrimonio neto, de los ingresos, del resultado del ejercicio y del método de consolidación –para todas estas cuestiones, también informa sobre el ejercicio 2014-. No obstante, no se incluye la tasa fiscal efectiva agregada por país, dato que sería de gran interés. Tampoco explica las diferencias existentes entre la tasa fiscal efectiva y la tasa impositiva nominal, lo que permitiría hacer un análisis más ajustado de la contribución de MAPFRE a los impuestos de cada país.</w:t>
      </w:r>
    </w:p>
    <w:p w14:paraId="0A312DEC" w14:textId="77777777" w:rsidR="003720EE" w:rsidRPr="0001300E" w:rsidRDefault="003720EE" w:rsidP="003720EE">
      <w:pPr>
        <w:autoSpaceDE w:val="0"/>
        <w:autoSpaceDN w:val="0"/>
        <w:adjustRightInd w:val="0"/>
        <w:rPr>
          <w:rFonts w:ascii="Open Sans" w:eastAsia="Calibri" w:hAnsi="Open Sans" w:cs="Open Sans"/>
          <w:sz w:val="20"/>
          <w:szCs w:val="20"/>
        </w:rPr>
      </w:pPr>
    </w:p>
    <w:p w14:paraId="1BBB6F9C" w14:textId="77777777" w:rsidR="003720EE" w:rsidRPr="0001300E" w:rsidRDefault="003720EE" w:rsidP="003720EE">
      <w:pPr>
        <w:autoSpaceDE w:val="0"/>
        <w:autoSpaceDN w:val="0"/>
        <w:adjustRightInd w:val="0"/>
        <w:jc w:val="both"/>
        <w:rPr>
          <w:rFonts w:ascii="Open Sans" w:eastAsia="Calibri" w:hAnsi="Open Sans" w:cs="Open Sans"/>
          <w:i/>
          <w:color w:val="000000"/>
          <w:sz w:val="20"/>
          <w:szCs w:val="20"/>
        </w:rPr>
      </w:pPr>
      <w:r w:rsidRPr="0001300E">
        <w:rPr>
          <w:rFonts w:ascii="Open Sans" w:eastAsia="Calibri" w:hAnsi="Open Sans" w:cs="Open Sans"/>
          <w:sz w:val="20"/>
          <w:szCs w:val="20"/>
        </w:rPr>
        <w:t>MAPFRE tiene un posicionamiento definido con respecto a los paraísos fiscales, como se puede observar en su política fiscal</w:t>
      </w:r>
      <w:r w:rsidRPr="0001300E">
        <w:rPr>
          <w:rFonts w:ascii="Open Sans" w:eastAsia="Calibri" w:hAnsi="Open Sans" w:cs="Open Sans"/>
          <w:color w:val="000000"/>
          <w:sz w:val="20"/>
          <w:szCs w:val="20"/>
        </w:rPr>
        <w:t>, en el que se compromete a estar sólo en los casos que esté justificado por razones operativas</w:t>
      </w:r>
      <w:r w:rsidRPr="0001300E">
        <w:rPr>
          <w:rFonts w:ascii="Open Sans" w:eastAsia="Calibri" w:hAnsi="Open Sans" w:cs="Open Sans"/>
          <w:sz w:val="20"/>
          <w:szCs w:val="20"/>
        </w:rPr>
        <w:t>. En relación con los nichos fiscales, MAPFRE no tiene ningún posicionamiento. Como hemos visto anteriormente, la empresa tampoco hace referencia al proyecto BEPS de la OCDE en su declaración de política fiscal.</w:t>
      </w:r>
    </w:p>
    <w:p w14:paraId="00B561FB"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497C9766"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MAPFRE no informa en mayor detalle sobre sus empresas en paraísos fiscales (tampoco en los nichos fiscales). Informa de forma genérica en el anexo 1 de las cuentas anuales, donde se puede observar que tiene presencia en Bahréin y Jordania; si bien, en estos países las actividades parecen ser operativas (asistencia en viaje). </w:t>
      </w:r>
    </w:p>
    <w:p w14:paraId="4BC90D41" w14:textId="77777777" w:rsidR="003720EE" w:rsidRPr="0001300E" w:rsidRDefault="003720EE" w:rsidP="003720EE">
      <w:pPr>
        <w:rPr>
          <w:rFonts w:ascii="Open Sans" w:eastAsia="Calibri" w:hAnsi="Open Sans" w:cs="Open Sans"/>
          <w:sz w:val="20"/>
          <w:szCs w:val="20"/>
        </w:rPr>
      </w:pPr>
      <w:r w:rsidRPr="0001300E">
        <w:rPr>
          <w:rFonts w:ascii="Open Sans" w:eastAsia="Calibri" w:hAnsi="Open Sans" w:cs="Open Sans"/>
          <w:sz w:val="20"/>
          <w:szCs w:val="20"/>
        </w:rPr>
        <w:br w:type="page"/>
      </w:r>
    </w:p>
    <w:p w14:paraId="7B0E5CD0" w14:textId="77777777" w:rsidR="003720EE" w:rsidRPr="0001300E" w:rsidRDefault="003720EE" w:rsidP="003720EE">
      <w:pPr>
        <w:autoSpaceDE w:val="0"/>
        <w:autoSpaceDN w:val="0"/>
        <w:adjustRightInd w:val="0"/>
        <w:jc w:val="both"/>
        <w:rPr>
          <w:rFonts w:ascii="Open Sans" w:eastAsia="Calibri" w:hAnsi="Open Sans" w:cs="Open Sans"/>
          <w:sz w:val="20"/>
          <w:szCs w:val="20"/>
        </w:rPr>
      </w:pPr>
    </w:p>
    <w:tbl>
      <w:tblPr>
        <w:tblW w:w="85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1843"/>
        <w:gridCol w:w="3118"/>
      </w:tblGrid>
      <w:tr w:rsidR="003720EE" w:rsidRPr="0001300E" w14:paraId="35D6C30C" w14:textId="77777777" w:rsidTr="00A764EF">
        <w:trPr>
          <w:trHeight w:val="315"/>
        </w:trPr>
        <w:tc>
          <w:tcPr>
            <w:tcW w:w="3544" w:type="dxa"/>
            <w:shd w:val="clear" w:color="auto" w:fill="BFBFBF" w:themeFill="background1" w:themeFillShade="BF"/>
            <w:noWrap/>
            <w:hideMark/>
          </w:tcPr>
          <w:p w14:paraId="710B8E79" w14:textId="77777777" w:rsidR="003720EE" w:rsidRPr="0001300E" w:rsidRDefault="003720EE" w:rsidP="00A764EF">
            <w:pPr>
              <w:contextualSpacing/>
              <w:jc w:val="center"/>
              <w:rPr>
                <w:rFonts w:ascii="Open Sans" w:hAnsi="Open Sans" w:cs="Open Sans"/>
                <w:b/>
                <w:sz w:val="20"/>
                <w:szCs w:val="20"/>
              </w:rPr>
            </w:pPr>
            <w:r w:rsidRPr="0001300E">
              <w:rPr>
                <w:rFonts w:ascii="Open Sans" w:hAnsi="Open Sans" w:cs="Open Sans"/>
                <w:b/>
                <w:sz w:val="20"/>
                <w:szCs w:val="20"/>
              </w:rPr>
              <w:t>Nombre de la Sociedad</w:t>
            </w:r>
          </w:p>
        </w:tc>
        <w:tc>
          <w:tcPr>
            <w:tcW w:w="1843" w:type="dxa"/>
            <w:shd w:val="clear" w:color="auto" w:fill="BFBFBF" w:themeFill="background1" w:themeFillShade="BF"/>
            <w:noWrap/>
            <w:hideMark/>
          </w:tcPr>
          <w:p w14:paraId="63659BFC" w14:textId="77777777" w:rsidR="003720EE" w:rsidRPr="0001300E" w:rsidRDefault="003720EE" w:rsidP="00A764EF">
            <w:pPr>
              <w:contextualSpacing/>
              <w:jc w:val="center"/>
              <w:rPr>
                <w:rFonts w:ascii="Open Sans" w:hAnsi="Open Sans" w:cs="Open Sans"/>
                <w:b/>
                <w:sz w:val="20"/>
                <w:szCs w:val="20"/>
              </w:rPr>
            </w:pPr>
            <w:r w:rsidRPr="0001300E">
              <w:rPr>
                <w:rFonts w:ascii="Open Sans" w:hAnsi="Open Sans" w:cs="Open Sans"/>
                <w:b/>
                <w:sz w:val="20"/>
                <w:szCs w:val="20"/>
              </w:rPr>
              <w:t>Jurisdicción</w:t>
            </w:r>
          </w:p>
        </w:tc>
        <w:tc>
          <w:tcPr>
            <w:tcW w:w="3118" w:type="dxa"/>
            <w:shd w:val="clear" w:color="auto" w:fill="BFBFBF" w:themeFill="background1" w:themeFillShade="BF"/>
            <w:noWrap/>
            <w:hideMark/>
          </w:tcPr>
          <w:p w14:paraId="4C1DFF44" w14:textId="77777777" w:rsidR="003720EE" w:rsidRPr="0001300E" w:rsidRDefault="003720EE" w:rsidP="00A764EF">
            <w:pPr>
              <w:contextualSpacing/>
              <w:jc w:val="center"/>
              <w:rPr>
                <w:rFonts w:ascii="Open Sans" w:hAnsi="Open Sans" w:cs="Open Sans"/>
                <w:b/>
                <w:sz w:val="20"/>
                <w:szCs w:val="20"/>
              </w:rPr>
            </w:pPr>
            <w:r w:rsidRPr="0001300E">
              <w:rPr>
                <w:rFonts w:ascii="Open Sans" w:hAnsi="Open Sans" w:cs="Open Sans"/>
                <w:b/>
                <w:sz w:val="20"/>
                <w:szCs w:val="20"/>
              </w:rPr>
              <w:t>Actividad</w:t>
            </w:r>
          </w:p>
        </w:tc>
      </w:tr>
      <w:tr w:rsidR="003720EE" w:rsidRPr="0001300E" w14:paraId="619C5D27" w14:textId="77777777" w:rsidTr="00A764EF">
        <w:trPr>
          <w:trHeight w:val="315"/>
        </w:trPr>
        <w:tc>
          <w:tcPr>
            <w:tcW w:w="3544" w:type="dxa"/>
            <w:noWrap/>
            <w:hideMark/>
          </w:tcPr>
          <w:p w14:paraId="0B057A0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IRELAND ASSIST, LTD</w:t>
            </w:r>
          </w:p>
        </w:tc>
        <w:tc>
          <w:tcPr>
            <w:tcW w:w="1843" w:type="dxa"/>
            <w:noWrap/>
            <w:hideMark/>
          </w:tcPr>
          <w:p w14:paraId="6C2824A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Irlanda</w:t>
            </w:r>
          </w:p>
        </w:tc>
        <w:tc>
          <w:tcPr>
            <w:tcW w:w="3118" w:type="dxa"/>
            <w:noWrap/>
            <w:hideMark/>
          </w:tcPr>
          <w:p w14:paraId="5B12218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6D94A830" w14:textId="77777777" w:rsidTr="00A764EF">
        <w:trPr>
          <w:trHeight w:val="315"/>
        </w:trPr>
        <w:tc>
          <w:tcPr>
            <w:tcW w:w="3544" w:type="dxa"/>
            <w:noWrap/>
            <w:hideMark/>
          </w:tcPr>
          <w:p w14:paraId="46AE94B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WARRANTIES</w:t>
            </w:r>
          </w:p>
        </w:tc>
        <w:tc>
          <w:tcPr>
            <w:tcW w:w="1843" w:type="dxa"/>
            <w:noWrap/>
            <w:hideMark/>
          </w:tcPr>
          <w:p w14:paraId="328BC10A"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Luxemburgo</w:t>
            </w:r>
          </w:p>
        </w:tc>
        <w:tc>
          <w:tcPr>
            <w:tcW w:w="3118" w:type="dxa"/>
            <w:noWrap/>
            <w:hideMark/>
          </w:tcPr>
          <w:p w14:paraId="36797BF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 xml:space="preserve">Garantía de vehículos </w:t>
            </w:r>
          </w:p>
        </w:tc>
      </w:tr>
      <w:tr w:rsidR="003720EE" w:rsidRPr="0001300E" w14:paraId="3FC646D9" w14:textId="77777777" w:rsidTr="00A764EF">
        <w:trPr>
          <w:trHeight w:val="315"/>
        </w:trPr>
        <w:tc>
          <w:tcPr>
            <w:tcW w:w="3544" w:type="dxa"/>
            <w:noWrap/>
            <w:hideMark/>
          </w:tcPr>
          <w:p w14:paraId="7B0518E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INDUSTRIAL RE S.A.</w:t>
            </w:r>
          </w:p>
        </w:tc>
        <w:tc>
          <w:tcPr>
            <w:tcW w:w="1843" w:type="dxa"/>
            <w:noWrap/>
            <w:hideMark/>
          </w:tcPr>
          <w:p w14:paraId="0D98F2E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Luxemburgo</w:t>
            </w:r>
          </w:p>
        </w:tc>
        <w:tc>
          <w:tcPr>
            <w:tcW w:w="3118" w:type="dxa"/>
            <w:noWrap/>
            <w:hideMark/>
          </w:tcPr>
          <w:p w14:paraId="3FABE03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Reaseguros</w:t>
            </w:r>
          </w:p>
        </w:tc>
      </w:tr>
      <w:tr w:rsidR="003720EE" w:rsidRPr="0001300E" w14:paraId="40F517AE" w14:textId="77777777" w:rsidTr="00A764EF">
        <w:trPr>
          <w:trHeight w:val="315"/>
        </w:trPr>
        <w:tc>
          <w:tcPr>
            <w:tcW w:w="3544" w:type="dxa"/>
            <w:noWrap/>
            <w:hideMark/>
          </w:tcPr>
          <w:p w14:paraId="3498BFA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BEE INSURANCE MANAGEMENT LTD</w:t>
            </w:r>
          </w:p>
        </w:tc>
        <w:tc>
          <w:tcPr>
            <w:tcW w:w="1843" w:type="dxa"/>
            <w:noWrap/>
            <w:hideMark/>
          </w:tcPr>
          <w:p w14:paraId="62FC8AA8"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0D6042F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Servicios de asesoramiento y de gestión</w:t>
            </w:r>
          </w:p>
        </w:tc>
      </w:tr>
      <w:tr w:rsidR="003720EE" w:rsidRPr="0001300E" w14:paraId="2EFA82E6" w14:textId="77777777" w:rsidTr="00A764EF">
        <w:trPr>
          <w:trHeight w:val="315"/>
        </w:trPr>
        <w:tc>
          <w:tcPr>
            <w:tcW w:w="3544" w:type="dxa"/>
            <w:noWrap/>
            <w:hideMark/>
          </w:tcPr>
          <w:p w14:paraId="159A38E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MIDDLESEA INSURANCE PLC</w:t>
            </w:r>
          </w:p>
        </w:tc>
        <w:tc>
          <w:tcPr>
            <w:tcW w:w="1843" w:type="dxa"/>
            <w:noWrap/>
            <w:hideMark/>
          </w:tcPr>
          <w:p w14:paraId="5886468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324C2A2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1CF5A702" w14:textId="77777777" w:rsidTr="00A764EF">
        <w:trPr>
          <w:trHeight w:val="315"/>
        </w:trPr>
        <w:tc>
          <w:tcPr>
            <w:tcW w:w="3544" w:type="dxa"/>
            <w:noWrap/>
            <w:hideMark/>
          </w:tcPr>
          <w:p w14:paraId="5B7C6BC6" w14:textId="77777777" w:rsidR="003720EE" w:rsidRPr="0001300E" w:rsidRDefault="003720EE" w:rsidP="00A764EF">
            <w:pPr>
              <w:contextualSpacing/>
              <w:rPr>
                <w:rFonts w:ascii="Open Sans" w:hAnsi="Open Sans" w:cs="Open Sans"/>
                <w:sz w:val="20"/>
                <w:szCs w:val="20"/>
                <w:lang w:val="en-US"/>
              </w:rPr>
            </w:pPr>
            <w:r w:rsidRPr="0001300E">
              <w:rPr>
                <w:rFonts w:ascii="Open Sans" w:hAnsi="Open Sans" w:cs="Open Sans"/>
                <w:sz w:val="20"/>
                <w:szCs w:val="20"/>
                <w:lang w:val="en-US"/>
              </w:rPr>
              <w:t>M.S. V. LIFE PLC</w:t>
            </w:r>
          </w:p>
        </w:tc>
        <w:tc>
          <w:tcPr>
            <w:tcW w:w="1843" w:type="dxa"/>
            <w:noWrap/>
            <w:hideMark/>
          </w:tcPr>
          <w:p w14:paraId="4F3F69F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4ED0025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6DD4BA24" w14:textId="77777777" w:rsidTr="00A764EF">
        <w:trPr>
          <w:trHeight w:val="315"/>
        </w:trPr>
        <w:tc>
          <w:tcPr>
            <w:tcW w:w="3544" w:type="dxa"/>
            <w:noWrap/>
            <w:hideMark/>
          </w:tcPr>
          <w:p w14:paraId="1714B97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GROWTH INVESTMENTS LIMITED</w:t>
            </w:r>
          </w:p>
        </w:tc>
        <w:tc>
          <w:tcPr>
            <w:tcW w:w="1843" w:type="dxa"/>
            <w:noWrap/>
            <w:hideMark/>
          </w:tcPr>
          <w:p w14:paraId="111AE2F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4F82F3E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Prestación de ser.inv.</w:t>
            </w:r>
          </w:p>
        </w:tc>
      </w:tr>
      <w:tr w:rsidR="003720EE" w:rsidRPr="0001300E" w14:paraId="316005F4" w14:textId="77777777" w:rsidTr="00A764EF">
        <w:trPr>
          <w:trHeight w:val="315"/>
        </w:trPr>
        <w:tc>
          <w:tcPr>
            <w:tcW w:w="3544" w:type="dxa"/>
            <w:noWrap/>
            <w:hideMark/>
          </w:tcPr>
          <w:p w14:paraId="14F5D84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CHURCH WARF PROPERTIES</w:t>
            </w:r>
          </w:p>
        </w:tc>
        <w:tc>
          <w:tcPr>
            <w:tcW w:w="1843" w:type="dxa"/>
            <w:noWrap/>
            <w:hideMark/>
          </w:tcPr>
          <w:p w14:paraId="36764C7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735F7D8A"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Gestión activos inmobil.</w:t>
            </w:r>
          </w:p>
        </w:tc>
      </w:tr>
      <w:tr w:rsidR="003720EE" w:rsidRPr="0001300E" w14:paraId="40741881" w14:textId="77777777" w:rsidTr="00A764EF">
        <w:trPr>
          <w:trHeight w:val="315"/>
        </w:trPr>
        <w:tc>
          <w:tcPr>
            <w:tcW w:w="3544" w:type="dxa"/>
            <w:noWrap/>
            <w:hideMark/>
          </w:tcPr>
          <w:p w14:paraId="4BD12DF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EURO GLOBE HOLDINGS LIMITED</w:t>
            </w:r>
          </w:p>
        </w:tc>
        <w:tc>
          <w:tcPr>
            <w:tcW w:w="1843" w:type="dxa"/>
            <w:noWrap/>
            <w:hideMark/>
          </w:tcPr>
          <w:p w14:paraId="32DE46A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14489B2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Financiera</w:t>
            </w:r>
          </w:p>
        </w:tc>
      </w:tr>
      <w:tr w:rsidR="003720EE" w:rsidRPr="0001300E" w14:paraId="4CEF6D69" w14:textId="77777777" w:rsidTr="00A764EF">
        <w:trPr>
          <w:trHeight w:val="315"/>
        </w:trPr>
        <w:tc>
          <w:tcPr>
            <w:tcW w:w="3544" w:type="dxa"/>
            <w:noWrap/>
            <w:hideMark/>
          </w:tcPr>
          <w:p w14:paraId="40DCECB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EUROMED RISK SOLUTIONS LIMITED</w:t>
            </w:r>
          </w:p>
        </w:tc>
        <w:tc>
          <w:tcPr>
            <w:tcW w:w="1843" w:type="dxa"/>
            <w:noWrap/>
            <w:hideMark/>
          </w:tcPr>
          <w:p w14:paraId="76714EB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73E5AB7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Servicios de asesoramiento y de gestión</w:t>
            </w:r>
          </w:p>
        </w:tc>
      </w:tr>
      <w:tr w:rsidR="003720EE" w:rsidRPr="0001300E" w14:paraId="0413D798" w14:textId="77777777" w:rsidTr="00A764EF">
        <w:trPr>
          <w:trHeight w:val="315"/>
        </w:trPr>
        <w:tc>
          <w:tcPr>
            <w:tcW w:w="3544" w:type="dxa"/>
            <w:noWrap/>
            <w:hideMark/>
          </w:tcPr>
          <w:p w14:paraId="1845411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MIDDLESEA ASSIST LIMITED</w:t>
            </w:r>
          </w:p>
        </w:tc>
        <w:tc>
          <w:tcPr>
            <w:tcW w:w="1843" w:type="dxa"/>
            <w:noWrap/>
            <w:hideMark/>
          </w:tcPr>
          <w:p w14:paraId="33DFEBE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Malta</w:t>
            </w:r>
          </w:p>
        </w:tc>
        <w:tc>
          <w:tcPr>
            <w:tcW w:w="3118" w:type="dxa"/>
            <w:noWrap/>
            <w:hideMark/>
          </w:tcPr>
          <w:p w14:paraId="306A9646"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y riesgos especiales</w:t>
            </w:r>
          </w:p>
        </w:tc>
      </w:tr>
      <w:tr w:rsidR="003720EE" w:rsidRPr="0001300E" w14:paraId="7FEE438A" w14:textId="77777777" w:rsidTr="00A764EF">
        <w:trPr>
          <w:trHeight w:val="315"/>
        </w:trPr>
        <w:tc>
          <w:tcPr>
            <w:tcW w:w="3544" w:type="dxa"/>
            <w:noWrap/>
            <w:hideMark/>
          </w:tcPr>
          <w:p w14:paraId="0842A5B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SEGUROS GUATEMALA S.A.</w:t>
            </w:r>
          </w:p>
        </w:tc>
        <w:tc>
          <w:tcPr>
            <w:tcW w:w="1843" w:type="dxa"/>
            <w:noWrap/>
            <w:hideMark/>
          </w:tcPr>
          <w:p w14:paraId="7FDCC3A8"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Guatemala</w:t>
            </w:r>
          </w:p>
        </w:tc>
        <w:tc>
          <w:tcPr>
            <w:tcW w:w="3118" w:type="dxa"/>
            <w:noWrap/>
            <w:hideMark/>
          </w:tcPr>
          <w:p w14:paraId="534B043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10E37B93" w14:textId="77777777" w:rsidTr="00A764EF">
        <w:trPr>
          <w:trHeight w:val="315"/>
        </w:trPr>
        <w:tc>
          <w:tcPr>
            <w:tcW w:w="3544" w:type="dxa"/>
            <w:noWrap/>
            <w:hideMark/>
          </w:tcPr>
          <w:p w14:paraId="72A20BDA"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QUETZAL ASISTENCIA, S.A.</w:t>
            </w:r>
          </w:p>
        </w:tc>
        <w:tc>
          <w:tcPr>
            <w:tcW w:w="1843" w:type="dxa"/>
            <w:noWrap/>
            <w:hideMark/>
          </w:tcPr>
          <w:p w14:paraId="4DAD9AD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Guatemala</w:t>
            </w:r>
          </w:p>
        </w:tc>
        <w:tc>
          <w:tcPr>
            <w:tcW w:w="3118" w:type="dxa"/>
            <w:noWrap/>
            <w:hideMark/>
          </w:tcPr>
          <w:p w14:paraId="1818F7B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72C3C5FC" w14:textId="77777777" w:rsidTr="00A764EF">
        <w:trPr>
          <w:trHeight w:val="315"/>
        </w:trPr>
        <w:tc>
          <w:tcPr>
            <w:tcW w:w="3544" w:type="dxa"/>
            <w:noWrap/>
            <w:hideMark/>
          </w:tcPr>
          <w:p w14:paraId="02087F5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AMERICA CENTRAL S.A</w:t>
            </w:r>
          </w:p>
        </w:tc>
        <w:tc>
          <w:tcPr>
            <w:tcW w:w="1843" w:type="dxa"/>
            <w:noWrap/>
            <w:hideMark/>
          </w:tcPr>
          <w:p w14:paraId="1B08C96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Panamá</w:t>
            </w:r>
          </w:p>
        </w:tc>
        <w:tc>
          <w:tcPr>
            <w:tcW w:w="3118" w:type="dxa"/>
            <w:noWrap/>
            <w:hideMark/>
          </w:tcPr>
          <w:p w14:paraId="3B24184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Holding</w:t>
            </w:r>
          </w:p>
        </w:tc>
      </w:tr>
      <w:tr w:rsidR="003720EE" w:rsidRPr="0001300E" w14:paraId="6532C226" w14:textId="77777777" w:rsidTr="00A764EF">
        <w:trPr>
          <w:trHeight w:val="315"/>
        </w:trPr>
        <w:tc>
          <w:tcPr>
            <w:tcW w:w="3544" w:type="dxa"/>
            <w:noWrap/>
            <w:hideMark/>
          </w:tcPr>
          <w:p w14:paraId="5B8F5A38"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TENEDORA DE ACC, S.A.</w:t>
            </w:r>
          </w:p>
        </w:tc>
        <w:tc>
          <w:tcPr>
            <w:tcW w:w="1843" w:type="dxa"/>
            <w:noWrap/>
            <w:hideMark/>
          </w:tcPr>
          <w:p w14:paraId="2584F1F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Panamá</w:t>
            </w:r>
          </w:p>
        </w:tc>
        <w:tc>
          <w:tcPr>
            <w:tcW w:w="3118" w:type="dxa"/>
            <w:noWrap/>
            <w:hideMark/>
          </w:tcPr>
          <w:p w14:paraId="784409A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229E00BF" w14:textId="77777777" w:rsidTr="00A764EF">
        <w:trPr>
          <w:trHeight w:val="315"/>
        </w:trPr>
        <w:tc>
          <w:tcPr>
            <w:tcW w:w="3544" w:type="dxa"/>
            <w:noWrap/>
            <w:hideMark/>
          </w:tcPr>
          <w:p w14:paraId="674F297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PANAMÁ</w:t>
            </w:r>
          </w:p>
        </w:tc>
        <w:tc>
          <w:tcPr>
            <w:tcW w:w="1843" w:type="dxa"/>
            <w:noWrap/>
            <w:hideMark/>
          </w:tcPr>
          <w:p w14:paraId="62F65EC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Panamá</w:t>
            </w:r>
          </w:p>
        </w:tc>
        <w:tc>
          <w:tcPr>
            <w:tcW w:w="3118" w:type="dxa"/>
            <w:noWrap/>
            <w:hideMark/>
          </w:tcPr>
          <w:p w14:paraId="209F842A"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1CEE7043" w14:textId="77777777" w:rsidTr="00A764EF">
        <w:trPr>
          <w:trHeight w:val="315"/>
        </w:trPr>
        <w:tc>
          <w:tcPr>
            <w:tcW w:w="3544" w:type="dxa"/>
            <w:noWrap/>
            <w:hideMark/>
          </w:tcPr>
          <w:p w14:paraId="228F6FC9"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PANAMÁ ASISTENCIA, S.A.</w:t>
            </w:r>
          </w:p>
        </w:tc>
        <w:tc>
          <w:tcPr>
            <w:tcW w:w="1843" w:type="dxa"/>
            <w:noWrap/>
            <w:hideMark/>
          </w:tcPr>
          <w:p w14:paraId="73C04809"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Panamá</w:t>
            </w:r>
          </w:p>
        </w:tc>
        <w:tc>
          <w:tcPr>
            <w:tcW w:w="3118" w:type="dxa"/>
            <w:noWrap/>
            <w:hideMark/>
          </w:tcPr>
          <w:p w14:paraId="32986F3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7207D739" w14:textId="77777777" w:rsidTr="00A764EF">
        <w:trPr>
          <w:trHeight w:val="315"/>
        </w:trPr>
        <w:tc>
          <w:tcPr>
            <w:tcW w:w="3544" w:type="dxa"/>
            <w:noWrap/>
            <w:hideMark/>
          </w:tcPr>
          <w:p w14:paraId="02557C6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PARAGUAY COMPAÑÍA DE SEGUROS S.A.</w:t>
            </w:r>
          </w:p>
        </w:tc>
        <w:tc>
          <w:tcPr>
            <w:tcW w:w="1843" w:type="dxa"/>
            <w:noWrap/>
            <w:hideMark/>
          </w:tcPr>
          <w:p w14:paraId="2493436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Paraguay</w:t>
            </w:r>
          </w:p>
        </w:tc>
        <w:tc>
          <w:tcPr>
            <w:tcW w:w="3118" w:type="dxa"/>
            <w:noWrap/>
            <w:hideMark/>
          </w:tcPr>
          <w:p w14:paraId="408CBBA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576F16BA" w14:textId="77777777" w:rsidTr="00A764EF">
        <w:trPr>
          <w:trHeight w:val="315"/>
        </w:trPr>
        <w:tc>
          <w:tcPr>
            <w:tcW w:w="3544" w:type="dxa"/>
            <w:noWrap/>
            <w:hideMark/>
          </w:tcPr>
          <w:p w14:paraId="31D8929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PRAICO CORPORATION</w:t>
            </w:r>
          </w:p>
        </w:tc>
        <w:tc>
          <w:tcPr>
            <w:tcW w:w="1843" w:type="dxa"/>
            <w:noWrap/>
            <w:hideMark/>
          </w:tcPr>
          <w:p w14:paraId="5C7C0EC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1E4EFDE6"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Holding</w:t>
            </w:r>
          </w:p>
        </w:tc>
      </w:tr>
      <w:tr w:rsidR="003720EE" w:rsidRPr="0001300E" w14:paraId="66B12A83" w14:textId="77777777" w:rsidTr="00A764EF">
        <w:trPr>
          <w:trHeight w:val="315"/>
        </w:trPr>
        <w:tc>
          <w:tcPr>
            <w:tcW w:w="3544" w:type="dxa"/>
            <w:noWrap/>
            <w:hideMark/>
          </w:tcPr>
          <w:p w14:paraId="5BC7C3E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PRAICO INSURANCE COMPANY</w:t>
            </w:r>
          </w:p>
        </w:tc>
        <w:tc>
          <w:tcPr>
            <w:tcW w:w="1843" w:type="dxa"/>
            <w:noWrap/>
            <w:hideMark/>
          </w:tcPr>
          <w:p w14:paraId="19B41339"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2C52270F"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7FA56E2C" w14:textId="77777777" w:rsidTr="00A764EF">
        <w:trPr>
          <w:trHeight w:val="315"/>
        </w:trPr>
        <w:tc>
          <w:tcPr>
            <w:tcW w:w="3544" w:type="dxa"/>
            <w:noWrap/>
            <w:hideMark/>
          </w:tcPr>
          <w:p w14:paraId="35B8C90B" w14:textId="77777777" w:rsidR="003720EE" w:rsidRPr="0001300E" w:rsidRDefault="003720EE" w:rsidP="00A764EF">
            <w:pPr>
              <w:contextualSpacing/>
              <w:rPr>
                <w:rFonts w:ascii="Open Sans" w:hAnsi="Open Sans" w:cs="Open Sans"/>
                <w:sz w:val="20"/>
                <w:szCs w:val="20"/>
                <w:lang w:val="en-US"/>
              </w:rPr>
            </w:pPr>
            <w:r w:rsidRPr="0001300E">
              <w:rPr>
                <w:rFonts w:ascii="Open Sans" w:hAnsi="Open Sans" w:cs="Open Sans"/>
                <w:sz w:val="20"/>
                <w:szCs w:val="20"/>
                <w:lang w:val="en-US"/>
              </w:rPr>
              <w:t>MAPFRE PREFERRED RISK INSURANCE COMPANY</w:t>
            </w:r>
          </w:p>
        </w:tc>
        <w:tc>
          <w:tcPr>
            <w:tcW w:w="1843" w:type="dxa"/>
            <w:noWrap/>
            <w:hideMark/>
          </w:tcPr>
          <w:p w14:paraId="0D05829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276F9B4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6897304A" w14:textId="77777777" w:rsidTr="00A764EF">
        <w:trPr>
          <w:trHeight w:val="315"/>
        </w:trPr>
        <w:tc>
          <w:tcPr>
            <w:tcW w:w="3544" w:type="dxa"/>
            <w:noWrap/>
            <w:hideMark/>
          </w:tcPr>
          <w:p w14:paraId="08809DB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PAN AMERICAN INSURANCE COMPANY</w:t>
            </w:r>
          </w:p>
        </w:tc>
        <w:tc>
          <w:tcPr>
            <w:tcW w:w="1843" w:type="dxa"/>
            <w:noWrap/>
            <w:hideMark/>
          </w:tcPr>
          <w:p w14:paraId="492E9E7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1C82FFA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2832FABD" w14:textId="77777777" w:rsidTr="00A764EF">
        <w:trPr>
          <w:trHeight w:val="315"/>
        </w:trPr>
        <w:tc>
          <w:tcPr>
            <w:tcW w:w="3544" w:type="dxa"/>
            <w:noWrap/>
            <w:hideMark/>
          </w:tcPr>
          <w:p w14:paraId="0B2479A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INSURANCE AGENCY OF PUERTO RICO, INC.</w:t>
            </w:r>
          </w:p>
        </w:tc>
        <w:tc>
          <w:tcPr>
            <w:tcW w:w="1843" w:type="dxa"/>
            <w:noWrap/>
            <w:hideMark/>
          </w:tcPr>
          <w:p w14:paraId="115C9FD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296BD0B8"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Mediación de seguros</w:t>
            </w:r>
          </w:p>
        </w:tc>
      </w:tr>
      <w:tr w:rsidR="003720EE" w:rsidRPr="0001300E" w14:paraId="1EA922FA" w14:textId="77777777" w:rsidTr="00A764EF">
        <w:trPr>
          <w:trHeight w:val="315"/>
        </w:trPr>
        <w:tc>
          <w:tcPr>
            <w:tcW w:w="3544" w:type="dxa"/>
            <w:noWrap/>
            <w:hideMark/>
          </w:tcPr>
          <w:p w14:paraId="46C9DA9C"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FINANCE OF PUERTO RICO CORP</w:t>
            </w:r>
          </w:p>
        </w:tc>
        <w:tc>
          <w:tcPr>
            <w:tcW w:w="1843" w:type="dxa"/>
            <w:noWrap/>
            <w:hideMark/>
          </w:tcPr>
          <w:p w14:paraId="48D4641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1711BDC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Financiera</w:t>
            </w:r>
          </w:p>
        </w:tc>
      </w:tr>
      <w:tr w:rsidR="003720EE" w:rsidRPr="0001300E" w14:paraId="4BB6FFBD" w14:textId="77777777" w:rsidTr="00A764EF">
        <w:trPr>
          <w:trHeight w:val="315"/>
        </w:trPr>
        <w:tc>
          <w:tcPr>
            <w:tcW w:w="3544" w:type="dxa"/>
            <w:noWrap/>
            <w:hideMark/>
          </w:tcPr>
          <w:p w14:paraId="59AF9B7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LIFE INSURANCE COMPANY</w:t>
            </w:r>
          </w:p>
        </w:tc>
        <w:tc>
          <w:tcPr>
            <w:tcW w:w="1843" w:type="dxa"/>
            <w:noWrap/>
            <w:hideMark/>
          </w:tcPr>
          <w:p w14:paraId="40EB615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210158C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 y reaseguros</w:t>
            </w:r>
          </w:p>
        </w:tc>
      </w:tr>
      <w:tr w:rsidR="003720EE" w:rsidRPr="0001300E" w14:paraId="4B1534E1" w14:textId="77777777" w:rsidTr="00A764EF">
        <w:trPr>
          <w:trHeight w:val="315"/>
        </w:trPr>
        <w:tc>
          <w:tcPr>
            <w:tcW w:w="3544" w:type="dxa"/>
            <w:noWrap/>
            <w:hideMark/>
          </w:tcPr>
          <w:p w14:paraId="467DD9C4" w14:textId="77777777" w:rsidR="003720EE" w:rsidRPr="0001300E" w:rsidRDefault="003720EE" w:rsidP="00A764EF">
            <w:pPr>
              <w:contextualSpacing/>
              <w:rPr>
                <w:rFonts w:ascii="Open Sans" w:hAnsi="Open Sans" w:cs="Open Sans"/>
                <w:sz w:val="20"/>
                <w:szCs w:val="20"/>
                <w:lang w:val="fr-LU"/>
              </w:rPr>
            </w:pPr>
            <w:r w:rsidRPr="0001300E">
              <w:rPr>
                <w:rFonts w:ascii="Open Sans" w:hAnsi="Open Sans" w:cs="Open Sans"/>
                <w:sz w:val="20"/>
                <w:szCs w:val="20"/>
                <w:lang w:val="fr-LU"/>
              </w:rPr>
              <w:t>MAPFRE SOLUTIONS, INC (En 2014 AUTO GUARD INC.)</w:t>
            </w:r>
          </w:p>
        </w:tc>
        <w:tc>
          <w:tcPr>
            <w:tcW w:w="1843" w:type="dxa"/>
            <w:noWrap/>
            <w:hideMark/>
          </w:tcPr>
          <w:p w14:paraId="6518017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64FCA36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Contratos de garantía extendida y protección contra robos</w:t>
            </w:r>
          </w:p>
        </w:tc>
      </w:tr>
      <w:tr w:rsidR="003720EE" w:rsidRPr="0001300E" w14:paraId="60AE3D5F" w14:textId="77777777" w:rsidTr="00A764EF">
        <w:trPr>
          <w:trHeight w:val="315"/>
        </w:trPr>
        <w:tc>
          <w:tcPr>
            <w:tcW w:w="3544" w:type="dxa"/>
            <w:noWrap/>
            <w:hideMark/>
          </w:tcPr>
          <w:p w14:paraId="079A77C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MULTISERVICAR INC</w:t>
            </w:r>
          </w:p>
        </w:tc>
        <w:tc>
          <w:tcPr>
            <w:tcW w:w="1843" w:type="dxa"/>
            <w:noWrap/>
            <w:hideMark/>
          </w:tcPr>
          <w:p w14:paraId="4BF0DCB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Puerto Rico</w:t>
            </w:r>
          </w:p>
        </w:tc>
        <w:tc>
          <w:tcPr>
            <w:tcW w:w="3118" w:type="dxa"/>
            <w:noWrap/>
            <w:hideMark/>
          </w:tcPr>
          <w:p w14:paraId="724F20E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 xml:space="preserve">Taller </w:t>
            </w:r>
          </w:p>
        </w:tc>
      </w:tr>
      <w:tr w:rsidR="003720EE" w:rsidRPr="0001300E" w14:paraId="25F76585" w14:textId="77777777" w:rsidTr="00A764EF">
        <w:trPr>
          <w:trHeight w:val="315"/>
        </w:trPr>
        <w:tc>
          <w:tcPr>
            <w:tcW w:w="3544" w:type="dxa"/>
            <w:noWrap/>
            <w:hideMark/>
          </w:tcPr>
          <w:p w14:paraId="17753E4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DOMINICANA S.A.</w:t>
            </w:r>
          </w:p>
        </w:tc>
        <w:tc>
          <w:tcPr>
            <w:tcW w:w="1843" w:type="dxa"/>
            <w:noWrap/>
            <w:hideMark/>
          </w:tcPr>
          <w:p w14:paraId="07E3F32E"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Republica Dominicana</w:t>
            </w:r>
          </w:p>
        </w:tc>
        <w:tc>
          <w:tcPr>
            <w:tcW w:w="3118" w:type="dxa"/>
            <w:noWrap/>
            <w:hideMark/>
          </w:tcPr>
          <w:p w14:paraId="4EF4F21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Holding</w:t>
            </w:r>
          </w:p>
        </w:tc>
      </w:tr>
      <w:tr w:rsidR="003720EE" w:rsidRPr="0001300E" w14:paraId="713FB0DD" w14:textId="77777777" w:rsidTr="00A764EF">
        <w:trPr>
          <w:trHeight w:val="315"/>
        </w:trPr>
        <w:tc>
          <w:tcPr>
            <w:tcW w:w="3544" w:type="dxa"/>
            <w:noWrap/>
            <w:hideMark/>
          </w:tcPr>
          <w:p w14:paraId="1EFE760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BHD COMPAÑÍA DE SEGUROS, S.A.</w:t>
            </w:r>
          </w:p>
        </w:tc>
        <w:tc>
          <w:tcPr>
            <w:tcW w:w="1843" w:type="dxa"/>
            <w:noWrap/>
            <w:hideMark/>
          </w:tcPr>
          <w:p w14:paraId="23020AA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Republica Dominicana</w:t>
            </w:r>
          </w:p>
        </w:tc>
        <w:tc>
          <w:tcPr>
            <w:tcW w:w="3118" w:type="dxa"/>
            <w:noWrap/>
            <w:hideMark/>
          </w:tcPr>
          <w:p w14:paraId="205ED5E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05E780D0" w14:textId="77777777" w:rsidTr="00A764EF">
        <w:trPr>
          <w:trHeight w:val="315"/>
        </w:trPr>
        <w:tc>
          <w:tcPr>
            <w:tcW w:w="3544" w:type="dxa"/>
            <w:noWrap/>
            <w:hideMark/>
          </w:tcPr>
          <w:p w14:paraId="3370FAD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CREDI PRIMAS, S.A.</w:t>
            </w:r>
          </w:p>
        </w:tc>
        <w:tc>
          <w:tcPr>
            <w:tcW w:w="1843" w:type="dxa"/>
            <w:noWrap/>
            <w:hideMark/>
          </w:tcPr>
          <w:p w14:paraId="1054850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Republica Dominicana</w:t>
            </w:r>
          </w:p>
        </w:tc>
        <w:tc>
          <w:tcPr>
            <w:tcW w:w="3118" w:type="dxa"/>
            <w:noWrap/>
            <w:hideMark/>
          </w:tcPr>
          <w:p w14:paraId="1580B68A"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Financiación pólizas</w:t>
            </w:r>
          </w:p>
        </w:tc>
      </w:tr>
      <w:tr w:rsidR="003720EE" w:rsidRPr="0001300E" w14:paraId="6238B6F6" w14:textId="77777777" w:rsidTr="00A764EF">
        <w:trPr>
          <w:trHeight w:val="315"/>
        </w:trPr>
        <w:tc>
          <w:tcPr>
            <w:tcW w:w="3544" w:type="dxa"/>
            <w:noWrap/>
            <w:hideMark/>
          </w:tcPr>
          <w:p w14:paraId="1D45534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CARIBE ASISTENCIA, S.A.</w:t>
            </w:r>
          </w:p>
        </w:tc>
        <w:tc>
          <w:tcPr>
            <w:tcW w:w="1843" w:type="dxa"/>
            <w:noWrap/>
            <w:hideMark/>
          </w:tcPr>
          <w:p w14:paraId="0798889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Republica Dominicana</w:t>
            </w:r>
          </w:p>
        </w:tc>
        <w:tc>
          <w:tcPr>
            <w:tcW w:w="3118" w:type="dxa"/>
            <w:noWrap/>
            <w:hideMark/>
          </w:tcPr>
          <w:p w14:paraId="01BD9CE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7DC8FEBB" w14:textId="77777777" w:rsidTr="00A764EF">
        <w:trPr>
          <w:trHeight w:val="315"/>
        </w:trPr>
        <w:tc>
          <w:tcPr>
            <w:tcW w:w="3544" w:type="dxa"/>
            <w:noWrap/>
            <w:hideMark/>
          </w:tcPr>
          <w:p w14:paraId="34CFD6EF"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APOINT S.A.</w:t>
            </w:r>
          </w:p>
        </w:tc>
        <w:tc>
          <w:tcPr>
            <w:tcW w:w="1843" w:type="dxa"/>
            <w:noWrap/>
            <w:hideMark/>
          </w:tcPr>
          <w:p w14:paraId="247557F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Uruguay</w:t>
            </w:r>
          </w:p>
        </w:tc>
        <w:tc>
          <w:tcPr>
            <w:tcW w:w="3118" w:type="dxa"/>
            <w:noWrap/>
            <w:hideMark/>
          </w:tcPr>
          <w:p w14:paraId="44BC104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Holding</w:t>
            </w:r>
          </w:p>
        </w:tc>
      </w:tr>
      <w:tr w:rsidR="003720EE" w:rsidRPr="0001300E" w14:paraId="2FD9684C" w14:textId="77777777" w:rsidTr="00A764EF">
        <w:trPr>
          <w:trHeight w:val="315"/>
        </w:trPr>
        <w:tc>
          <w:tcPr>
            <w:tcW w:w="3544" w:type="dxa"/>
            <w:noWrap/>
            <w:hideMark/>
          </w:tcPr>
          <w:p w14:paraId="22E139B5"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LA URUGUAYA S.A.</w:t>
            </w:r>
          </w:p>
        </w:tc>
        <w:tc>
          <w:tcPr>
            <w:tcW w:w="1843" w:type="dxa"/>
            <w:noWrap/>
            <w:hideMark/>
          </w:tcPr>
          <w:p w14:paraId="356F8C4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Uruguay</w:t>
            </w:r>
          </w:p>
        </w:tc>
        <w:tc>
          <w:tcPr>
            <w:tcW w:w="3118" w:type="dxa"/>
            <w:noWrap/>
            <w:hideMark/>
          </w:tcPr>
          <w:p w14:paraId="13654A2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436ECE59" w14:textId="77777777" w:rsidTr="00A764EF">
        <w:trPr>
          <w:trHeight w:val="315"/>
        </w:trPr>
        <w:tc>
          <w:tcPr>
            <w:tcW w:w="3544" w:type="dxa"/>
            <w:noWrap/>
            <w:hideMark/>
          </w:tcPr>
          <w:p w14:paraId="4282E7B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URUGUAY ASISTENCIA,S.A.</w:t>
            </w:r>
          </w:p>
        </w:tc>
        <w:tc>
          <w:tcPr>
            <w:tcW w:w="1843" w:type="dxa"/>
            <w:noWrap/>
            <w:hideMark/>
          </w:tcPr>
          <w:p w14:paraId="32FFB1CB"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Uruguay</w:t>
            </w:r>
          </w:p>
        </w:tc>
        <w:tc>
          <w:tcPr>
            <w:tcW w:w="3118" w:type="dxa"/>
            <w:noWrap/>
            <w:hideMark/>
          </w:tcPr>
          <w:p w14:paraId="16548494"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7A8EF25D" w14:textId="77777777" w:rsidTr="00A764EF">
        <w:trPr>
          <w:trHeight w:val="315"/>
        </w:trPr>
        <w:tc>
          <w:tcPr>
            <w:tcW w:w="3544" w:type="dxa"/>
            <w:noWrap/>
            <w:hideMark/>
          </w:tcPr>
          <w:p w14:paraId="0CEF0919"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CENTRO INTERNACIONAL DE SERVICIOS Y ASISTENCIA, S.A.</w:t>
            </w:r>
          </w:p>
        </w:tc>
        <w:tc>
          <w:tcPr>
            <w:tcW w:w="1843" w:type="dxa"/>
            <w:noWrap/>
            <w:hideMark/>
          </w:tcPr>
          <w:p w14:paraId="493CB29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Uruguay</w:t>
            </w:r>
          </w:p>
        </w:tc>
        <w:tc>
          <w:tcPr>
            <w:tcW w:w="3118" w:type="dxa"/>
            <w:noWrap/>
            <w:hideMark/>
          </w:tcPr>
          <w:p w14:paraId="389D0328"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Call Center</w:t>
            </w:r>
          </w:p>
        </w:tc>
      </w:tr>
      <w:tr w:rsidR="003720EE" w:rsidRPr="0001300E" w14:paraId="1A636ECD" w14:textId="77777777" w:rsidTr="00A764EF">
        <w:trPr>
          <w:trHeight w:val="315"/>
        </w:trPr>
        <w:tc>
          <w:tcPr>
            <w:tcW w:w="3544" w:type="dxa"/>
            <w:noWrap/>
            <w:hideMark/>
          </w:tcPr>
          <w:p w14:paraId="58F4DC0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 xml:space="preserve">FANCY INVESTMENT </w:t>
            </w:r>
            <w:proofErr w:type="gramStart"/>
            <w:r w:rsidRPr="0001300E">
              <w:rPr>
                <w:rFonts w:ascii="Open Sans" w:hAnsi="Open Sans" w:cs="Open Sans"/>
                <w:sz w:val="20"/>
                <w:szCs w:val="20"/>
              </w:rPr>
              <w:t>S.A..</w:t>
            </w:r>
            <w:proofErr w:type="gramEnd"/>
          </w:p>
        </w:tc>
        <w:tc>
          <w:tcPr>
            <w:tcW w:w="1843" w:type="dxa"/>
            <w:noWrap/>
            <w:hideMark/>
          </w:tcPr>
          <w:p w14:paraId="44A92D3D"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Uruguay</w:t>
            </w:r>
          </w:p>
        </w:tc>
        <w:tc>
          <w:tcPr>
            <w:tcW w:w="3118" w:type="dxa"/>
            <w:noWrap/>
            <w:hideMark/>
          </w:tcPr>
          <w:p w14:paraId="2939684F"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Holding</w:t>
            </w:r>
          </w:p>
        </w:tc>
      </w:tr>
      <w:tr w:rsidR="003720EE" w:rsidRPr="0001300E" w14:paraId="199EBF44" w14:textId="77777777" w:rsidTr="00A764EF">
        <w:trPr>
          <w:trHeight w:val="315"/>
        </w:trPr>
        <w:tc>
          <w:tcPr>
            <w:tcW w:w="3544" w:type="dxa"/>
            <w:noWrap/>
            <w:hideMark/>
          </w:tcPr>
          <w:p w14:paraId="739E689D" w14:textId="77777777" w:rsidR="003720EE" w:rsidRPr="0001300E" w:rsidRDefault="003720EE" w:rsidP="00A764EF">
            <w:pPr>
              <w:contextualSpacing/>
              <w:rPr>
                <w:rFonts w:ascii="Open Sans" w:hAnsi="Open Sans" w:cs="Open Sans"/>
                <w:sz w:val="20"/>
                <w:szCs w:val="20"/>
                <w:lang w:val="en-US"/>
              </w:rPr>
            </w:pPr>
            <w:r w:rsidRPr="0001300E">
              <w:rPr>
                <w:rFonts w:ascii="Open Sans" w:hAnsi="Open Sans" w:cs="Open Sans"/>
                <w:sz w:val="20"/>
                <w:szCs w:val="20"/>
                <w:lang w:val="en-US"/>
              </w:rPr>
              <w:t>GULF ASSIST, B.S.C.</w:t>
            </w:r>
          </w:p>
        </w:tc>
        <w:tc>
          <w:tcPr>
            <w:tcW w:w="1843" w:type="dxa"/>
            <w:noWrap/>
            <w:hideMark/>
          </w:tcPr>
          <w:p w14:paraId="1F204D7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Bahréin</w:t>
            </w:r>
          </w:p>
        </w:tc>
        <w:tc>
          <w:tcPr>
            <w:tcW w:w="3118" w:type="dxa"/>
            <w:noWrap/>
            <w:hideMark/>
          </w:tcPr>
          <w:p w14:paraId="3547AC03"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7B819466" w14:textId="77777777" w:rsidTr="00A764EF">
        <w:trPr>
          <w:trHeight w:val="315"/>
        </w:trPr>
        <w:tc>
          <w:tcPr>
            <w:tcW w:w="3544" w:type="dxa"/>
            <w:noWrap/>
            <w:hideMark/>
          </w:tcPr>
          <w:p w14:paraId="7A1C54D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INSULAR INSURANCE CORPORATION</w:t>
            </w:r>
          </w:p>
        </w:tc>
        <w:tc>
          <w:tcPr>
            <w:tcW w:w="1843" w:type="dxa"/>
            <w:noWrap/>
            <w:hideMark/>
          </w:tcPr>
          <w:p w14:paraId="2BEEA9D9"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Filipinas</w:t>
            </w:r>
          </w:p>
        </w:tc>
        <w:tc>
          <w:tcPr>
            <w:tcW w:w="3118" w:type="dxa"/>
            <w:noWrap/>
            <w:hideMark/>
          </w:tcPr>
          <w:p w14:paraId="7DF6AE1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Seguros</w:t>
            </w:r>
          </w:p>
        </w:tc>
      </w:tr>
      <w:tr w:rsidR="003720EE" w:rsidRPr="0001300E" w14:paraId="5F3D307B" w14:textId="77777777" w:rsidTr="00A764EF">
        <w:trPr>
          <w:trHeight w:val="315"/>
        </w:trPr>
        <w:tc>
          <w:tcPr>
            <w:tcW w:w="3544" w:type="dxa"/>
            <w:noWrap/>
            <w:hideMark/>
          </w:tcPr>
          <w:p w14:paraId="35270A90"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ASISTENCIA LIMITED</w:t>
            </w:r>
          </w:p>
        </w:tc>
        <w:tc>
          <w:tcPr>
            <w:tcW w:w="1843" w:type="dxa"/>
            <w:noWrap/>
            <w:hideMark/>
          </w:tcPr>
          <w:p w14:paraId="35CCF36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Hong Kong</w:t>
            </w:r>
          </w:p>
        </w:tc>
        <w:tc>
          <w:tcPr>
            <w:tcW w:w="3118" w:type="dxa"/>
            <w:noWrap/>
            <w:hideMark/>
          </w:tcPr>
          <w:p w14:paraId="12A1AB81"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y riesgos especiales</w:t>
            </w:r>
          </w:p>
        </w:tc>
      </w:tr>
      <w:tr w:rsidR="003720EE" w:rsidRPr="0001300E" w14:paraId="631C10BE" w14:textId="77777777" w:rsidTr="00A764EF">
        <w:trPr>
          <w:trHeight w:val="315"/>
        </w:trPr>
        <w:tc>
          <w:tcPr>
            <w:tcW w:w="3544" w:type="dxa"/>
            <w:noWrap/>
            <w:hideMark/>
          </w:tcPr>
          <w:p w14:paraId="4979B680" w14:textId="77777777" w:rsidR="003720EE" w:rsidRPr="0001300E" w:rsidRDefault="003720EE" w:rsidP="00A764EF">
            <w:pPr>
              <w:contextualSpacing/>
              <w:rPr>
                <w:rFonts w:ascii="Open Sans" w:hAnsi="Open Sans" w:cs="Open Sans"/>
                <w:sz w:val="20"/>
                <w:szCs w:val="20"/>
                <w:lang w:val="en-US"/>
              </w:rPr>
            </w:pPr>
            <w:r w:rsidRPr="0001300E">
              <w:rPr>
                <w:rFonts w:ascii="Open Sans" w:hAnsi="Open Sans" w:cs="Open Sans"/>
                <w:sz w:val="20"/>
                <w:szCs w:val="20"/>
                <w:lang w:val="en-US"/>
              </w:rPr>
              <w:t>ARABA ASSIST FOR LOGISTIC SERVICES</w:t>
            </w:r>
          </w:p>
        </w:tc>
        <w:tc>
          <w:tcPr>
            <w:tcW w:w="1843" w:type="dxa"/>
            <w:noWrap/>
            <w:hideMark/>
          </w:tcPr>
          <w:p w14:paraId="5D5B21D8"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Jordania</w:t>
            </w:r>
          </w:p>
        </w:tc>
        <w:tc>
          <w:tcPr>
            <w:tcW w:w="3118" w:type="dxa"/>
            <w:noWrap/>
            <w:hideMark/>
          </w:tcPr>
          <w:p w14:paraId="0C2E310A"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en viaje</w:t>
            </w:r>
          </w:p>
        </w:tc>
      </w:tr>
      <w:tr w:rsidR="003720EE" w:rsidRPr="0001300E" w14:paraId="3F366D79" w14:textId="77777777" w:rsidTr="00A764EF">
        <w:trPr>
          <w:trHeight w:val="315"/>
        </w:trPr>
        <w:tc>
          <w:tcPr>
            <w:tcW w:w="3544" w:type="dxa"/>
            <w:noWrap/>
            <w:hideMark/>
          </w:tcPr>
          <w:p w14:paraId="46BB2722"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MAPFRE ASISTENCIA COMPANY LIMITED</w:t>
            </w:r>
          </w:p>
        </w:tc>
        <w:tc>
          <w:tcPr>
            <w:tcW w:w="1843" w:type="dxa"/>
            <w:noWrap/>
            <w:hideMark/>
          </w:tcPr>
          <w:p w14:paraId="14D92297"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Taiwán</w:t>
            </w:r>
          </w:p>
        </w:tc>
        <w:tc>
          <w:tcPr>
            <w:tcW w:w="3118" w:type="dxa"/>
            <w:noWrap/>
            <w:hideMark/>
          </w:tcPr>
          <w:p w14:paraId="6910A929" w14:textId="77777777" w:rsidR="003720EE" w:rsidRPr="0001300E" w:rsidRDefault="003720EE" w:rsidP="00A764EF">
            <w:pPr>
              <w:contextualSpacing/>
              <w:rPr>
                <w:rFonts w:ascii="Open Sans" w:hAnsi="Open Sans" w:cs="Open Sans"/>
                <w:sz w:val="20"/>
                <w:szCs w:val="20"/>
              </w:rPr>
            </w:pPr>
            <w:r w:rsidRPr="0001300E">
              <w:rPr>
                <w:rFonts w:ascii="Open Sans" w:hAnsi="Open Sans" w:cs="Open Sans"/>
                <w:sz w:val="20"/>
                <w:szCs w:val="20"/>
              </w:rPr>
              <w:t>Asistencia y riesgos especiales</w:t>
            </w:r>
          </w:p>
        </w:tc>
      </w:tr>
    </w:tbl>
    <w:p w14:paraId="2612A429"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34306D45"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40DCC8A2"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color w:val="000000"/>
          <w:sz w:val="20"/>
          <w:szCs w:val="20"/>
        </w:rPr>
        <w:t xml:space="preserve">En 2014, MAPFRE tenía presencia a través de tres sociedades en Delaware, aunque el domicilio fiscal que aparece en las cuentas anuales es EEUU. Hemos contrastado esta información con terceras partes a través de búsquedas en la página Web </w:t>
      </w:r>
      <w:r w:rsidRPr="0001300E">
        <w:rPr>
          <w:rFonts w:ascii="Open Sans" w:eastAsia="Calibri" w:hAnsi="Open Sans" w:cs="Open Sans"/>
          <w:i/>
          <w:color w:val="000000"/>
          <w:sz w:val="20"/>
          <w:szCs w:val="20"/>
        </w:rPr>
        <w:t>Opencorporates</w:t>
      </w:r>
      <w:r w:rsidRPr="0001300E">
        <w:rPr>
          <w:rFonts w:ascii="Open Sans" w:eastAsia="Calibri" w:hAnsi="Open Sans" w:cs="Open Sans"/>
          <w:color w:val="000000"/>
          <w:sz w:val="20"/>
          <w:szCs w:val="20"/>
        </w:rPr>
        <w:t xml:space="preserve">, y según esta fuente, la sociedad INSPOP USA, LLC con sede en California, sería una filial de INSPOP USA, LLC con sede en Delaware. En los otros dos casos de sociedades que tenían también domicilio fiscal en Delaware en 2014, </w:t>
      </w:r>
      <w:r w:rsidRPr="0001300E">
        <w:rPr>
          <w:rFonts w:ascii="Open Sans" w:hAnsi="Open Sans" w:cs="Open Sans"/>
          <w:sz w:val="20"/>
          <w:szCs w:val="20"/>
        </w:rPr>
        <w:t>INSURE &amp; GO INSURANCE SERVICES USA CORP.</w:t>
      </w:r>
      <w:r w:rsidRPr="0001300E">
        <w:rPr>
          <w:rFonts w:ascii="Open Sans" w:eastAsia="Calibri" w:hAnsi="Open Sans" w:cs="Open Sans"/>
          <w:sz w:val="20"/>
          <w:szCs w:val="20"/>
        </w:rPr>
        <w:t xml:space="preserve"> </w:t>
      </w:r>
      <w:proofErr w:type="gramStart"/>
      <w:r w:rsidRPr="0001300E">
        <w:rPr>
          <w:rFonts w:ascii="Open Sans" w:eastAsia="Calibri" w:hAnsi="Open Sans" w:cs="Open Sans"/>
          <w:sz w:val="20"/>
          <w:szCs w:val="20"/>
        </w:rPr>
        <w:t>y</w:t>
      </w:r>
      <w:proofErr w:type="gramEnd"/>
      <w:r w:rsidRPr="0001300E">
        <w:rPr>
          <w:rFonts w:ascii="Open Sans" w:eastAsia="Calibri" w:hAnsi="Open Sans" w:cs="Open Sans"/>
          <w:sz w:val="20"/>
          <w:szCs w:val="20"/>
        </w:rPr>
        <w:t xml:space="preserve"> BRICKELL FINANCIAL SERVICESMOTOR CLUB, INC., ya no figura su domicilio fiscal en esta jurisdicción y por lo tanto coincidiría la información aportada por MAPFRE y la página Web </w:t>
      </w:r>
      <w:r w:rsidRPr="0001300E">
        <w:rPr>
          <w:rFonts w:ascii="Open Sans" w:eastAsia="Calibri" w:hAnsi="Open Sans" w:cs="Open Sans"/>
          <w:i/>
          <w:sz w:val="20"/>
          <w:szCs w:val="20"/>
        </w:rPr>
        <w:t>Opencorporates</w:t>
      </w:r>
      <w:r w:rsidRPr="0001300E">
        <w:rPr>
          <w:rFonts w:ascii="Open Sans" w:eastAsia="Calibri" w:hAnsi="Open Sans" w:cs="Open Sans"/>
          <w:sz w:val="20"/>
          <w:szCs w:val="20"/>
        </w:rPr>
        <w:t>.</w:t>
      </w:r>
    </w:p>
    <w:p w14:paraId="7109BD26"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1DAA53E4"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También se ha realizado una búsqueda genérica de MAPFRE en </w:t>
      </w:r>
      <w:r w:rsidRPr="0001300E">
        <w:rPr>
          <w:rFonts w:ascii="Open Sans" w:eastAsia="Calibri" w:hAnsi="Open Sans" w:cs="Open Sans"/>
          <w:i/>
          <w:sz w:val="20"/>
          <w:szCs w:val="20"/>
        </w:rPr>
        <w:t xml:space="preserve">Opencorporates </w:t>
      </w:r>
      <w:r w:rsidRPr="0001300E">
        <w:rPr>
          <w:rFonts w:ascii="Open Sans" w:eastAsia="Calibri" w:hAnsi="Open Sans" w:cs="Open Sans"/>
          <w:sz w:val="20"/>
          <w:szCs w:val="20"/>
        </w:rPr>
        <w:t xml:space="preserve">y en los resultados aparecen dos sociedades en Delaware (MAPFRE LIFE INSURANCE COMPANY y MAPFRE RE HOLDINGS, INC.); sin embargo, en las cuentas anuales de la empresa, aparecen 2 coincidencias para el primer caso –con domicilio en Puerto Rico y otra jurisdicción de EEUU- y varias con MAPFRE RE, pero ninguna como MAPFRE RE HOLDINGS. En la búsqueda realizada en la página Web Openleis, se ha encontrado también una entidad sita en las Islas Caymán con la denominación MAPFRE, siempre según la información de esta fuente, que se denomina  </w:t>
      </w:r>
      <w:r w:rsidRPr="0001300E">
        <w:rPr>
          <w:rFonts w:ascii="Open Sans" w:hAnsi="Open Sans" w:cs="Open Sans"/>
          <w:sz w:val="20"/>
          <w:szCs w:val="20"/>
        </w:rPr>
        <w:t>LMA SPC - Map R Segregated Portfolio.</w:t>
      </w:r>
    </w:p>
    <w:p w14:paraId="2A6119B0" w14:textId="77777777" w:rsidR="003720EE" w:rsidRPr="0001300E" w:rsidRDefault="003720EE" w:rsidP="003720EE">
      <w:pPr>
        <w:jc w:val="both"/>
        <w:rPr>
          <w:rFonts w:ascii="Open Sans" w:eastAsia="Calibri" w:hAnsi="Open Sans" w:cs="Open Sans"/>
          <w:sz w:val="20"/>
          <w:szCs w:val="20"/>
        </w:rPr>
      </w:pPr>
      <w:r w:rsidRPr="0001300E">
        <w:rPr>
          <w:rFonts w:ascii="Open Sans" w:eastAsia="Calibri" w:hAnsi="Open Sans" w:cs="Open Sans"/>
          <w:sz w:val="20"/>
          <w:szCs w:val="20"/>
        </w:rPr>
        <w:t xml:space="preserve">  </w:t>
      </w:r>
    </w:p>
    <w:p w14:paraId="6A232FD4"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MAPFRE informa de la titularidad de las empresas que tiene en todos los países (incluidos los paraísos y los nichos fiscales) y publica el nombre de la sociedad y el porcentaje del capital social de la misma que posee; no obstante, si no es accionista mayoritario a través de una de sus sociedades, no informa sobre la identidad de éstos y tampoco informa sobre vinculaciones con otras empresas y/o inversores.</w:t>
      </w:r>
    </w:p>
    <w:p w14:paraId="62EECF60"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7E967D46" w14:textId="77777777" w:rsidR="003720EE" w:rsidRPr="0001300E" w:rsidRDefault="003720EE" w:rsidP="003720EE">
      <w:pPr>
        <w:autoSpaceDE w:val="0"/>
        <w:autoSpaceDN w:val="0"/>
        <w:adjustRightInd w:val="0"/>
        <w:jc w:val="both"/>
        <w:rPr>
          <w:rFonts w:ascii="Open Sans" w:hAnsi="Open Sans" w:cs="Open Sans"/>
          <w:color w:val="000000"/>
          <w:sz w:val="20"/>
          <w:szCs w:val="20"/>
        </w:rPr>
      </w:pPr>
      <w:r w:rsidRPr="0001300E">
        <w:rPr>
          <w:rFonts w:ascii="Open Sans" w:eastAsia="Calibri" w:hAnsi="Open Sans" w:cs="Open Sans"/>
          <w:sz w:val="20"/>
          <w:szCs w:val="20"/>
        </w:rPr>
        <w:t xml:space="preserve">MAPFRE </w:t>
      </w:r>
      <w:r w:rsidRPr="0001300E">
        <w:rPr>
          <w:rFonts w:ascii="Open Sans" w:hAnsi="Open Sans" w:cs="Open Sans"/>
          <w:color w:val="000000"/>
          <w:sz w:val="20"/>
          <w:szCs w:val="20"/>
        </w:rPr>
        <w:t>informa sobre la Tasa Fiscal Efectiva, la participación en capital, el patrimonio neto, los ingresos y el resultado del ejercicio; si bien, no incluye información específica sobre los impuestos directos e indirectos; ni sobre los trabajadores que se encuentran en estas jurisdicciones, ya que informa de manera agregada sobre los trabajadores en EMEA, que es un área territorial internacional, en la que se encuadrarían los 2 paraísos fiscales en los que tiene presencia.</w:t>
      </w:r>
    </w:p>
    <w:p w14:paraId="6E50D9BE" w14:textId="77777777" w:rsidR="003720EE" w:rsidRPr="0001300E" w:rsidRDefault="003720EE" w:rsidP="003720EE">
      <w:pPr>
        <w:autoSpaceDE w:val="0"/>
        <w:autoSpaceDN w:val="0"/>
        <w:adjustRightInd w:val="0"/>
        <w:jc w:val="both"/>
        <w:rPr>
          <w:rFonts w:ascii="Open Sans" w:hAnsi="Open Sans" w:cs="Open Sans"/>
          <w:color w:val="000000"/>
          <w:sz w:val="20"/>
          <w:szCs w:val="20"/>
        </w:rPr>
      </w:pPr>
    </w:p>
    <w:p w14:paraId="2EBE3CD8" w14:textId="77777777" w:rsidR="003720EE" w:rsidRPr="0001300E" w:rsidRDefault="003720EE" w:rsidP="003720EE">
      <w:pPr>
        <w:autoSpaceDE w:val="0"/>
        <w:autoSpaceDN w:val="0"/>
        <w:adjustRightInd w:val="0"/>
        <w:jc w:val="both"/>
        <w:rPr>
          <w:rFonts w:ascii="Open Sans" w:hAnsi="Open Sans" w:cs="Open Sans"/>
          <w:bCs/>
          <w:sz w:val="20"/>
          <w:szCs w:val="20"/>
        </w:rPr>
      </w:pPr>
      <w:r w:rsidRPr="0001300E">
        <w:rPr>
          <w:rFonts w:ascii="Open Sans" w:hAnsi="Open Sans" w:cs="Open Sans"/>
          <w:color w:val="000000"/>
          <w:sz w:val="20"/>
          <w:szCs w:val="20"/>
        </w:rPr>
        <w:t>Mientras que la actividad de MAPFRE en paraísos fiscales parece estar más vinculada a la actividad de la compañía; en los nichos fiscales encontramos sociedades holding en 4 países (Panamá, Puerto Rico, República Dominicana y Uruguay), sociedades con actividad financiera en Malta (</w:t>
      </w:r>
      <w:r w:rsidRPr="0001300E">
        <w:rPr>
          <w:rFonts w:ascii="Open Sans" w:hAnsi="Open Sans" w:cs="Open Sans"/>
          <w:sz w:val="20"/>
          <w:szCs w:val="20"/>
        </w:rPr>
        <w:t xml:space="preserve">EURO GLOBE HOLDINGS LIMITED) </w:t>
      </w:r>
      <w:r w:rsidRPr="0001300E">
        <w:rPr>
          <w:rFonts w:ascii="Open Sans" w:hAnsi="Open Sans" w:cs="Open Sans"/>
          <w:color w:val="000000"/>
          <w:sz w:val="20"/>
          <w:szCs w:val="20"/>
        </w:rPr>
        <w:t>y Puerto Rico (</w:t>
      </w:r>
      <w:r w:rsidRPr="0001300E">
        <w:rPr>
          <w:rFonts w:ascii="Open Sans" w:hAnsi="Open Sans" w:cs="Open Sans"/>
          <w:sz w:val="20"/>
          <w:szCs w:val="20"/>
        </w:rPr>
        <w:t>MAPFRE FINANCE OF PUERTO RICO CORP)</w:t>
      </w:r>
      <w:r w:rsidRPr="0001300E">
        <w:rPr>
          <w:rFonts w:ascii="Open Sans" w:hAnsi="Open Sans" w:cs="Open Sans"/>
          <w:color w:val="000000"/>
          <w:sz w:val="20"/>
          <w:szCs w:val="20"/>
        </w:rPr>
        <w:t xml:space="preserve"> y empresas denominadas como tenedoras de acciones en Panamá (</w:t>
      </w:r>
      <w:r w:rsidRPr="0001300E">
        <w:rPr>
          <w:rFonts w:ascii="Open Sans" w:hAnsi="Open Sans" w:cs="Open Sans"/>
          <w:sz w:val="20"/>
          <w:szCs w:val="20"/>
        </w:rPr>
        <w:t>MAPFRE TENEDORA DE ACC, S.A.)</w:t>
      </w:r>
      <w:r w:rsidRPr="0001300E">
        <w:rPr>
          <w:rFonts w:ascii="Open Sans" w:hAnsi="Open Sans" w:cs="Open Sans"/>
          <w:color w:val="000000"/>
          <w:sz w:val="20"/>
          <w:szCs w:val="20"/>
        </w:rPr>
        <w:t>. Sería conveniente que MAPFRE informara con un mayor detalle, sobre la actividad de estas empresas.</w:t>
      </w:r>
    </w:p>
    <w:p w14:paraId="5330F6D2" w14:textId="77777777" w:rsidR="003720EE" w:rsidRPr="0001300E" w:rsidRDefault="003720EE" w:rsidP="003720EE">
      <w:pPr>
        <w:rPr>
          <w:rFonts w:ascii="Open Sans" w:hAnsi="Open Sans" w:cs="Arial"/>
          <w:bCs/>
          <w:sz w:val="20"/>
          <w:szCs w:val="20"/>
        </w:rPr>
      </w:pPr>
    </w:p>
    <w:p w14:paraId="1879B3A7"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r w:rsidRPr="0001300E">
        <w:rPr>
          <w:rFonts w:ascii="Open Sans" w:hAnsi="Open Sans" w:cs="Open Sans"/>
          <w:color w:val="000000"/>
          <w:sz w:val="20"/>
          <w:szCs w:val="20"/>
        </w:rPr>
        <w:t>MAPFRE no</w:t>
      </w:r>
      <w:r w:rsidRPr="0001300E">
        <w:rPr>
          <w:rFonts w:ascii="Open Sans" w:eastAsia="Calibri" w:hAnsi="Open Sans" w:cs="Open Sans"/>
          <w:color w:val="000000"/>
          <w:sz w:val="20"/>
          <w:szCs w:val="20"/>
        </w:rPr>
        <w:t xml:space="preserve"> informa específicamente de las exenciones fiscales, ni de las subvenciones (sí de los incentivos fiscales a nivel global; no desagregado). Dentro de este último apartado informa de tres incentivos: reducción por reserva de capitalización (por consolidación fiscal), la creación de empleo y otros y las deducciones fiscales por doble imposición. Lo óptimo sería que MAPFRE desagregara en detalle esta información, especialmente la relativa a la creación de empleo y otros y las deducciones fiscales por doble imposición.</w:t>
      </w:r>
    </w:p>
    <w:p w14:paraId="0FEDCD96" w14:textId="77777777" w:rsidR="003720EE" w:rsidRPr="0001300E" w:rsidRDefault="003720EE" w:rsidP="003720EE">
      <w:pPr>
        <w:autoSpaceDE w:val="0"/>
        <w:autoSpaceDN w:val="0"/>
        <w:adjustRightInd w:val="0"/>
        <w:jc w:val="both"/>
        <w:rPr>
          <w:rFonts w:ascii="Open Sans" w:eastAsia="Calibri" w:hAnsi="Open Sans" w:cs="Open Sans"/>
          <w:color w:val="000000"/>
          <w:sz w:val="20"/>
          <w:szCs w:val="20"/>
        </w:rPr>
      </w:pPr>
    </w:p>
    <w:p w14:paraId="30F4A4A5"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color w:val="000000"/>
          <w:sz w:val="20"/>
          <w:szCs w:val="20"/>
        </w:rPr>
        <w:t>MAPFRE informa sobre los créditos fiscales por bases imponibles negativas pendientes de compensar por integración (para cada año desde 2005) y de los derivados de PIS, COFINS y REFIS, que como veremos en un apartado posterior, corresponden a contingencias fiscales con las autoridades brasileñas, por diferencias de interpretación.</w:t>
      </w:r>
    </w:p>
    <w:p w14:paraId="345D2DC7" w14:textId="77777777" w:rsidR="003720EE" w:rsidRPr="0001300E" w:rsidRDefault="003720EE" w:rsidP="003720EE">
      <w:pPr>
        <w:rPr>
          <w:rFonts w:ascii="Open Sans" w:hAnsi="Open Sans" w:cs="Arial"/>
          <w:bCs/>
          <w:sz w:val="20"/>
          <w:szCs w:val="20"/>
        </w:rPr>
      </w:pPr>
    </w:p>
    <w:p w14:paraId="75B1EAFB" w14:textId="77777777" w:rsidR="003720EE" w:rsidRPr="0001300E" w:rsidRDefault="003720EE" w:rsidP="003720EE">
      <w:pPr>
        <w:jc w:val="both"/>
        <w:rPr>
          <w:rFonts w:ascii="Open Sans" w:hAnsi="Open Sans" w:cs="Open Sans"/>
          <w:color w:val="000000"/>
          <w:sz w:val="20"/>
          <w:szCs w:val="20"/>
        </w:rPr>
      </w:pPr>
      <w:r w:rsidRPr="0001300E">
        <w:rPr>
          <w:rFonts w:ascii="Open Sans" w:hAnsi="Open Sans" w:cs="Open Sans"/>
          <w:color w:val="000000"/>
          <w:sz w:val="20"/>
          <w:szCs w:val="20"/>
        </w:rPr>
        <w:t>MAPFRE se ha adherido al Código de Buenas Prácticas Tributarias promovido por el Foro de Grandes Empresas promovido por la Agencia Estatal Tributaria Española; no obstante, no menciona nada sobre la posible adhesión a códigos tributarios de otros países. En el Código se incluyen algunas cuestiones que afectan a la fiscalidad internacional (paraísos fiscales, precios de transferencia).</w:t>
      </w:r>
    </w:p>
    <w:p w14:paraId="45908828"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54C452CD"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MAPFRE aporta un listado de las diferentes asociaciones en las que participa en los diferentes países en los que opera; no obstante, no informa de los objetivos que se persigue en la participación en cada una de ellas.</w:t>
      </w:r>
    </w:p>
    <w:p w14:paraId="0AA96E5F"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20FBFB92"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color w:val="000000"/>
          <w:sz w:val="20"/>
          <w:szCs w:val="20"/>
        </w:rPr>
        <w:t xml:space="preserve">MAPFRE informa sobre las  </w:t>
      </w:r>
      <w:r w:rsidRPr="0001300E">
        <w:rPr>
          <w:rFonts w:ascii="Open Sans" w:eastAsia="Calibri" w:hAnsi="Open Sans" w:cs="Open Sans"/>
          <w:sz w:val="20"/>
          <w:szCs w:val="20"/>
        </w:rPr>
        <w:t>contingencias fiscales que las entidades brasileñas mantienen con la administración tributaria de dicho país, pendientes de decisión por parte del Tribunal Supremo Brasileño. El origen de dichas contingencias se encuentra en la diferente interpretación de la norma que mantiene el Gobierno brasileño y el sector empresarial respecto a la procedencia de la aplicación de dichos tributos sobre la facturación de las entidades. Estas contingencias han sido provisionadas y los asesores consideran que el riesgo de pérdida es posible. También se informa de los litigios abiertos en España y en Brasil y de la evolución de los mismos (varios de ellos se encuentran recurridos).</w:t>
      </w:r>
    </w:p>
    <w:p w14:paraId="7DEEC755"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4C620A07" w14:textId="77777777" w:rsidR="003720EE" w:rsidRPr="0001300E" w:rsidRDefault="003720EE" w:rsidP="003720EE">
      <w:pPr>
        <w:jc w:val="both"/>
        <w:rPr>
          <w:rFonts w:ascii="Open Sans" w:hAnsi="Open Sans" w:cs="Open Sans"/>
          <w:color w:val="000000"/>
          <w:sz w:val="20"/>
          <w:szCs w:val="20"/>
        </w:rPr>
      </w:pPr>
      <w:r w:rsidRPr="0001300E">
        <w:rPr>
          <w:rFonts w:ascii="Open Sans" w:eastAsia="Calibri" w:hAnsi="Open Sans" w:cs="Open Sans"/>
          <w:sz w:val="20"/>
          <w:szCs w:val="20"/>
        </w:rPr>
        <w:t xml:space="preserve">MAPFRE informa sobre las deudas tributarias a través de </w:t>
      </w:r>
      <w:r w:rsidRPr="0001300E">
        <w:rPr>
          <w:rFonts w:ascii="Open Sans" w:hAnsi="Open Sans" w:cs="Open Sans"/>
          <w:color w:val="000000"/>
          <w:sz w:val="20"/>
          <w:szCs w:val="20"/>
        </w:rPr>
        <w:t>una partida en el balance específica. MAPFRE afirma que "con carácter general" se pagarán el año siguiente y que no devengan intereses. En este sentido, sería deseable que MAPFRE desagregara en mayor detalle esta información.</w:t>
      </w:r>
    </w:p>
    <w:p w14:paraId="68279C03" w14:textId="77777777" w:rsidR="003720EE" w:rsidRPr="0001300E" w:rsidRDefault="003720EE" w:rsidP="003720EE">
      <w:pPr>
        <w:rPr>
          <w:rFonts w:ascii="Open Sans" w:hAnsi="Open Sans" w:cs="Arial"/>
          <w:bCs/>
          <w:sz w:val="22"/>
          <w:szCs w:val="22"/>
        </w:rPr>
      </w:pPr>
    </w:p>
    <w:p w14:paraId="52990764" w14:textId="77777777" w:rsidR="003720EE" w:rsidRPr="0001300E" w:rsidRDefault="003720EE" w:rsidP="003720EE">
      <w:pPr>
        <w:jc w:val="both"/>
        <w:rPr>
          <w:rFonts w:ascii="Open Sans" w:hAnsi="Open Sans" w:cs="Open Sans"/>
          <w:bCs/>
          <w:sz w:val="20"/>
          <w:szCs w:val="20"/>
        </w:rPr>
      </w:pPr>
      <w:r w:rsidRPr="0001300E">
        <w:rPr>
          <w:rFonts w:ascii="Open Sans" w:hAnsi="Open Sans" w:cs="Open Sans"/>
          <w:bCs/>
          <w:sz w:val="20"/>
          <w:szCs w:val="20"/>
        </w:rPr>
        <w:t>MAPFRE indica que la actividad de seguros es la principal actividad de la empresa: los ingresos totales consolidados de MAPFRE han crecido un 4,1 por 100 en 2015, y alcanzaron los 26.702,2 millones de euros; de ellos, 22.311,8 millones de euros han procedido de la cifra de primas, que se ha incrementado un 2,3 por 100 en ese periodo.</w:t>
      </w:r>
    </w:p>
    <w:p w14:paraId="53BD5B2C" w14:textId="77777777" w:rsidR="003720EE" w:rsidRPr="0001300E" w:rsidRDefault="003720EE" w:rsidP="003720EE">
      <w:pPr>
        <w:jc w:val="both"/>
        <w:rPr>
          <w:rFonts w:ascii="Open Sans" w:hAnsi="Open Sans" w:cs="Open Sans"/>
          <w:bCs/>
          <w:sz w:val="20"/>
          <w:szCs w:val="20"/>
        </w:rPr>
      </w:pPr>
    </w:p>
    <w:p w14:paraId="225F8AA4"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MAPFRE cuenta una Política de Gestión de Conflictos de Interés y Operaciones Vinculadas con Accionistas Significativos y Altos Cargos de Representación o Dirección que regula el procedimiento a seguir en relación con las operaciones vinculadas.</w:t>
      </w:r>
    </w:p>
    <w:p w14:paraId="46567F62"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7F61A937"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El Consejo de Administración debe conocer las operaciones que la Sociedad realice, directa o indirectamente, con Consejeros, con accionistas significativos o representados en el Consejo de Administración, o con personas vinculadas a ellos, y la realización de las mismas, requerirá su autorización, previo informe del Comité de Auditoría, salvo que se trate de operaciones o transacciones que formen parte de la actividad habitual u ordinaria de las partes implicadas, que se realicen en condiciones habituales de mercado y por importes no significativos o relevantes para la Sociedad. Como hemos visto anteriormente, MAPFRE se compromete en la política fiscal a cumplir </w:t>
      </w:r>
      <w:r w:rsidRPr="0001300E">
        <w:rPr>
          <w:rFonts w:ascii="Open Sans" w:hAnsi="Open Sans" w:cs="Open Sans"/>
          <w:sz w:val="20"/>
          <w:szCs w:val="20"/>
        </w:rPr>
        <w:t xml:space="preserve">la normativa de precios de transferencia existente en numerosos países en los que opera MAPFRE, y por tanto, a ajustar las </w:t>
      </w:r>
      <w:r w:rsidRPr="0001300E">
        <w:rPr>
          <w:rFonts w:ascii="Open Sans" w:eastAsia="Calibri" w:hAnsi="Open Sans" w:cs="Open Sans"/>
          <w:sz w:val="20"/>
          <w:szCs w:val="20"/>
        </w:rPr>
        <w:t>operaciones realizadas entre entidades del Grupo a precios de mercado.</w:t>
      </w:r>
    </w:p>
    <w:p w14:paraId="60A5A248"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4D4F955F"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En este sentido, los accionistas significativos, los consejeros y altos cargos de dirección deben informar por escrito al Secretario del Consejo de Administración de MAPFRE sobre cualquier transacción que ellas o sus personas vinculadas (en este último caso, siempre que la persona afectada tenga conocimiento de ello) tengan intención de realizar con MAPFRE, o con otra sociedad de su Grupo y que constituya una operación vinculada sujeta a autorización por el Consejo de Administración. La comunicación deberá incluir aspectos suficientes de la operación que permitan una adecuada identificación de la misma por parte de MAPFRE. </w:t>
      </w:r>
    </w:p>
    <w:p w14:paraId="012248F7"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1B55CAFA"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En las cuentas anuales, MAPFRE informa de las operaciones vinculadas más significativas, pero no del porcentaje que éstas representan con respecto al total. MAPFRE no incluye ninguna referencia con respecto a la propiedad intelectual.</w:t>
      </w:r>
    </w:p>
    <w:p w14:paraId="4558A8D8"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75524B82"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MAPFRE no tiene un elevado endeudamiento e informa de los dividendos intragrupo y los préstamos en términos absolutos, que no son especialmente significativos. No obstante, no informa del porcentaje que representa la deuda intragrupo con respecto del total, tampoco informa del coste financiero de la deuda intragrupo y en relación con el coste de la deuda de la sociedad, informa con precisión del coste de las emisiones realizadas por MAPFRE y con menor grado de detalle sobre la deuda con entidades de crédito, sobre las que indica que se han realizado a un tipo de interés “referenciado a variables de mercado”.</w:t>
      </w:r>
    </w:p>
    <w:p w14:paraId="7127A512"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18F4A4A5" w14:textId="77777777" w:rsidR="003720EE" w:rsidRPr="0001300E" w:rsidRDefault="003720EE" w:rsidP="003720EE">
      <w:pPr>
        <w:autoSpaceDE w:val="0"/>
        <w:autoSpaceDN w:val="0"/>
        <w:adjustRightInd w:val="0"/>
        <w:jc w:val="both"/>
        <w:rPr>
          <w:rFonts w:ascii="Open Sans" w:eastAsia="Calibri" w:hAnsi="Open Sans" w:cs="Open Sans"/>
          <w:sz w:val="20"/>
          <w:szCs w:val="20"/>
        </w:rPr>
      </w:pPr>
      <w:r w:rsidRPr="0001300E">
        <w:rPr>
          <w:rFonts w:ascii="Open Sans" w:eastAsia="Calibri" w:hAnsi="Open Sans" w:cs="Open Sans"/>
          <w:sz w:val="20"/>
          <w:szCs w:val="20"/>
        </w:rPr>
        <w:t xml:space="preserve">MAPFRE menciona que tiene acuerdos de colaboración y distribución con otras entidades, pero no informa sobre los posibles beneficios que esto le pueda reportar. </w:t>
      </w:r>
    </w:p>
    <w:p w14:paraId="7C5D0037" w14:textId="77777777" w:rsidR="003720EE" w:rsidRPr="0001300E" w:rsidRDefault="003720EE" w:rsidP="003720EE">
      <w:pPr>
        <w:autoSpaceDE w:val="0"/>
        <w:autoSpaceDN w:val="0"/>
        <w:adjustRightInd w:val="0"/>
        <w:jc w:val="both"/>
        <w:rPr>
          <w:rFonts w:ascii="Open Sans" w:eastAsia="Calibri" w:hAnsi="Open Sans" w:cs="Open Sans"/>
          <w:sz w:val="20"/>
          <w:szCs w:val="20"/>
        </w:rPr>
      </w:pPr>
    </w:p>
    <w:p w14:paraId="16DE399D" w14:textId="77777777" w:rsidR="003720EE" w:rsidRPr="0001300E" w:rsidRDefault="003720EE" w:rsidP="003720EE">
      <w:pPr>
        <w:rPr>
          <w:rFonts w:ascii="Open Sans" w:hAnsi="Open Sans" w:cs="Arial"/>
          <w:sz w:val="20"/>
          <w:szCs w:val="20"/>
        </w:rPr>
      </w:pPr>
      <w:r w:rsidRPr="0001300E">
        <w:rPr>
          <w:rFonts w:ascii="Open Sans" w:hAnsi="Open Sans" w:cs="Arial"/>
          <w:sz w:val="20"/>
          <w:szCs w:val="20"/>
        </w:rPr>
        <w:br w:type="page"/>
      </w:r>
    </w:p>
    <w:p w14:paraId="66550AC8" w14:textId="77777777" w:rsidR="003720EE" w:rsidRPr="0001300E" w:rsidRDefault="003720EE" w:rsidP="003720EE">
      <w:pPr>
        <w:jc w:val="both"/>
        <w:rPr>
          <w:rFonts w:ascii="Open Sans" w:hAnsi="Open Sans" w:cs="Arial"/>
          <w:sz w:val="20"/>
          <w:szCs w:val="20"/>
        </w:rPr>
      </w:pPr>
    </w:p>
    <w:p w14:paraId="678B972F" w14:textId="77777777" w:rsidR="003720EE" w:rsidRPr="0001300E" w:rsidRDefault="003720EE" w:rsidP="003720EE">
      <w:pPr>
        <w:rPr>
          <w:rFonts w:ascii="Open Sans" w:hAnsi="Open Sans" w:cs="Arial"/>
          <w:bCs/>
          <w:sz w:val="22"/>
          <w:szCs w:val="22"/>
          <w:u w:val="single"/>
        </w:rPr>
      </w:pPr>
      <w:r w:rsidRPr="0001300E">
        <w:rPr>
          <w:rFonts w:ascii="Open Sans" w:hAnsi="Open Sans" w:cs="Arial"/>
          <w:b/>
          <w:sz w:val="22"/>
          <w:szCs w:val="22"/>
          <w:u w:val="single"/>
        </w:rPr>
        <w:t>5. Conclusiones</w:t>
      </w:r>
    </w:p>
    <w:p w14:paraId="7133E1EE" w14:textId="77777777" w:rsidR="003720EE" w:rsidRPr="0001300E" w:rsidRDefault="003720EE" w:rsidP="003720EE">
      <w:pPr>
        <w:rPr>
          <w:rFonts w:ascii="Open Sans" w:hAnsi="Open Sans"/>
        </w:rPr>
      </w:pPr>
    </w:p>
    <w:p w14:paraId="6E6F4AF7" w14:textId="77777777" w:rsidR="003720EE" w:rsidRPr="0001300E" w:rsidRDefault="003720EE" w:rsidP="003720EE">
      <w:pPr>
        <w:pStyle w:val="Default"/>
        <w:jc w:val="both"/>
        <w:rPr>
          <w:rFonts w:ascii="Open Sans" w:hAnsi="Open Sans" w:cs="Open Sans"/>
          <w:color w:val="auto"/>
          <w:sz w:val="20"/>
          <w:szCs w:val="20"/>
        </w:rPr>
      </w:pPr>
      <w:r w:rsidRPr="0001300E">
        <w:rPr>
          <w:rFonts w:ascii="Open Sans" w:hAnsi="Open Sans" w:cs="Open Sans"/>
          <w:color w:val="auto"/>
          <w:sz w:val="20"/>
          <w:szCs w:val="20"/>
        </w:rPr>
        <w:t xml:space="preserve">La valoración global de la transparencia de MAPFRE en el ámbito fiscal es de </w:t>
      </w:r>
      <w:r w:rsidRPr="0001300E">
        <w:rPr>
          <w:rFonts w:ascii="Open Sans" w:hAnsi="Open Sans" w:cs="Open Sans"/>
          <w:b/>
          <w:color w:val="auto"/>
          <w:sz w:val="20"/>
          <w:szCs w:val="20"/>
        </w:rPr>
        <w:t>0,85</w:t>
      </w:r>
      <w:r w:rsidRPr="0001300E">
        <w:rPr>
          <w:rFonts w:ascii="Open Sans" w:hAnsi="Open Sans" w:cs="Open Sans"/>
          <w:color w:val="auto"/>
          <w:sz w:val="20"/>
          <w:szCs w:val="20"/>
        </w:rPr>
        <w:t xml:space="preserve"> sobre un máximo de 3, lo que equivale a una </w:t>
      </w:r>
      <w:r w:rsidRPr="0001300E">
        <w:rPr>
          <w:rFonts w:ascii="Open Sans" w:hAnsi="Open Sans" w:cs="Open Sans"/>
          <w:i/>
          <w:color w:val="auto"/>
          <w:sz w:val="20"/>
          <w:szCs w:val="20"/>
        </w:rPr>
        <w:t>información escasa</w:t>
      </w:r>
      <w:r w:rsidRPr="0001300E">
        <w:rPr>
          <w:rFonts w:ascii="Open Sans" w:hAnsi="Open Sans" w:cs="Open Sans"/>
          <w:color w:val="auto"/>
          <w:sz w:val="20"/>
          <w:szCs w:val="20"/>
        </w:rPr>
        <w:t xml:space="preserve"> de acuerdo con la metodología utilizada. De las dimensiones analizadas, la máxima puntuación se obtiene en los aspectos relacionados con la “política y estrategia fiscal” (1,40), seguidos por los relacionados con “paraísos y nichos fiscales” (0,71), con las “relaciones con Administraciones Tributarias” (0,60)  e “impuestos e incentivos” (0,67).</w:t>
      </w:r>
    </w:p>
    <w:p w14:paraId="3E9BC7F6" w14:textId="77777777" w:rsidR="003720EE" w:rsidRPr="0001300E" w:rsidRDefault="003720EE" w:rsidP="003720EE">
      <w:pPr>
        <w:jc w:val="both"/>
        <w:rPr>
          <w:rFonts w:ascii="Open Sans" w:hAnsi="Open Sans" w:cs="Arial"/>
          <w:sz w:val="20"/>
          <w:szCs w:val="20"/>
        </w:rPr>
      </w:pPr>
    </w:p>
    <w:p w14:paraId="7953074C"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Como aspecto positivo y relevante, destacamos que MAPFRE informa sobre el tipo fiscal efectivo de todas las sociedades que incluye en el anexo 1 de las cuentas anuales. Llama la atención que aparezcan 298 sociedades en este anexo, mientras que MAPFRE menciona en el informe de RSE que opera a través de 237 sociedades. También resulta relevante el hecho de que tenga sociedades en Libia o Bolivia (en cuentas anuales) y no figure ningún tipo de operación en estos países en la memoria de RSE. Tampoco figuran en el anexo 1, sociedades en Suecia, Emiratos Árabes Unidos, Malasia y Singapur, donde si declara tener actividad.</w:t>
      </w:r>
    </w:p>
    <w:p w14:paraId="014BF423" w14:textId="77777777" w:rsidR="003720EE" w:rsidRPr="0001300E" w:rsidRDefault="003720EE" w:rsidP="003720EE">
      <w:pPr>
        <w:jc w:val="both"/>
        <w:rPr>
          <w:rFonts w:ascii="Open Sans" w:hAnsi="Open Sans" w:cs="Arial"/>
          <w:sz w:val="20"/>
          <w:szCs w:val="20"/>
        </w:rPr>
      </w:pPr>
    </w:p>
    <w:p w14:paraId="59E18A33" w14:textId="77777777" w:rsidR="003720EE" w:rsidRPr="0001300E" w:rsidRDefault="003720EE" w:rsidP="003720EE">
      <w:pPr>
        <w:jc w:val="both"/>
        <w:rPr>
          <w:rFonts w:ascii="Open Sans" w:eastAsia="Calibri" w:hAnsi="Open Sans" w:cs="Open Sans"/>
          <w:sz w:val="20"/>
          <w:szCs w:val="20"/>
        </w:rPr>
      </w:pPr>
      <w:r w:rsidRPr="0001300E">
        <w:rPr>
          <w:rFonts w:ascii="Open Sans" w:hAnsi="Open Sans" w:cs="Arial"/>
          <w:sz w:val="20"/>
          <w:szCs w:val="20"/>
        </w:rPr>
        <w:t xml:space="preserve">MAPFRE informa sobre la participación que tuvo en el </w:t>
      </w:r>
      <w:r w:rsidRPr="0001300E">
        <w:rPr>
          <w:rFonts w:ascii="Open Sans" w:eastAsia="Calibri" w:hAnsi="Open Sans" w:cs="Open Sans"/>
          <w:sz w:val="20"/>
          <w:szCs w:val="20"/>
        </w:rPr>
        <w:t>Foro de Grandes Empresas</w:t>
      </w:r>
      <w:r w:rsidRPr="0001300E">
        <w:rPr>
          <w:rFonts w:ascii="Open Sans" w:hAnsi="Open Sans" w:cs="Arial"/>
          <w:sz w:val="20"/>
          <w:szCs w:val="20"/>
        </w:rPr>
        <w:t xml:space="preserve"> una iniciativa de la Agencia Tributaria, que aprobó en julio de 2010, el </w:t>
      </w:r>
      <w:r w:rsidRPr="0001300E">
        <w:rPr>
          <w:rFonts w:ascii="Open Sans" w:eastAsia="Calibri" w:hAnsi="Open Sans" w:cs="Open Sans"/>
          <w:sz w:val="20"/>
          <w:szCs w:val="20"/>
        </w:rPr>
        <w:t xml:space="preserve">Código de Buenas Prácticas Tributarias, que inspira la política fiscal de la sociedad. Aparte de esta colaboración, no se menciona ninguna otra relación relevante con otros grupos de interés sobre cuestiones fiscales. En este sentido, MAPFRE debería informar de los objetivos que tienen las diferentes asociaciones en los países en los que actúa. </w:t>
      </w:r>
    </w:p>
    <w:p w14:paraId="3C7FBC2B" w14:textId="77777777" w:rsidR="003720EE" w:rsidRPr="0001300E" w:rsidRDefault="003720EE" w:rsidP="003720EE">
      <w:pPr>
        <w:jc w:val="both"/>
        <w:rPr>
          <w:rFonts w:ascii="Open Sans" w:eastAsia="Calibri" w:hAnsi="Open Sans" w:cs="Open Sans"/>
          <w:sz w:val="20"/>
          <w:szCs w:val="20"/>
        </w:rPr>
      </w:pPr>
    </w:p>
    <w:p w14:paraId="0B62834F"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MAPFRE ofrece información relevante en materia de fiscalidad (tipo fiscal efectivo), si bien todavía debe profundizar en el detalle de la información, incluyendo cuestiones como el desglose de este indicador por países y explicando la diferencia existente, en su caso, con la tasa impositiva nominal. Sobre otras cuestiones relevantes, como las subvenciones, las exenciones fiscales, los nichos fiscales o la propiedad intelectual no se incluyen referencias en las cuentas anuales. La política fiscal sí contempla de manera específica los paraísos fiscales; no obstante, no se dedica un apartado específico de información a esta cuestión, más allá de la información genérica para todas las sociedades del grupo.</w:t>
      </w:r>
    </w:p>
    <w:p w14:paraId="5D541E54" w14:textId="77777777" w:rsidR="003720EE" w:rsidRPr="0001300E" w:rsidRDefault="003720EE" w:rsidP="003720EE">
      <w:pPr>
        <w:jc w:val="both"/>
        <w:rPr>
          <w:rFonts w:ascii="Open Sans" w:hAnsi="Open Sans" w:cs="Arial"/>
          <w:sz w:val="20"/>
          <w:szCs w:val="20"/>
        </w:rPr>
      </w:pPr>
    </w:p>
    <w:p w14:paraId="7F1C51EE"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Los riesgos fiscales se gestionan a nivel local e interno y las operaciones vinculadas se revisan anualmente en un trabajo específico. En el primer caso se informa de las discrepancias con las autoridades de manera genérica; en el segundo caso no se informa de los resultados.</w:t>
      </w:r>
    </w:p>
    <w:p w14:paraId="7C801A5B" w14:textId="77777777" w:rsidR="003720EE" w:rsidRPr="0001300E" w:rsidRDefault="003720EE" w:rsidP="003720EE">
      <w:pPr>
        <w:jc w:val="both"/>
        <w:rPr>
          <w:rFonts w:ascii="Open Sans" w:hAnsi="Open Sans" w:cs="Arial"/>
          <w:sz w:val="20"/>
          <w:szCs w:val="20"/>
        </w:rPr>
      </w:pPr>
    </w:p>
    <w:p w14:paraId="598021D9"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 xml:space="preserve">MAPFRE tiene operaciones en paraísos fiscales vinculadas a la actividad de la compañía según la información aportada por la empresa. No obstante, en el contraste que hemos realizado con terceras partes, hemos detectado algunas diferencias que sería de interés aclarar. Asimismo, MAPFRE debería informar en mayor grado de detalle sobre la operativa en los nichos fiscales, ya que existen varias sociedades holding. En ambos casos debería informar además de los impuestos directos e indirectos pagados y del porcentaje que representan los trabajadores sobre el total de trabajadores en empresas del grupo. Como aspecto positivo destacamos que MAPFRE sí informa de los litigios y las contingencias tributarias con bastante detalle. </w:t>
      </w:r>
    </w:p>
    <w:p w14:paraId="239F675D" w14:textId="77777777" w:rsidR="003720EE" w:rsidRPr="0001300E" w:rsidRDefault="003720EE" w:rsidP="003720EE">
      <w:pPr>
        <w:jc w:val="both"/>
        <w:rPr>
          <w:rFonts w:ascii="Open Sans" w:hAnsi="Open Sans" w:cs="Arial"/>
          <w:sz w:val="20"/>
          <w:szCs w:val="20"/>
        </w:rPr>
      </w:pPr>
    </w:p>
    <w:p w14:paraId="354D12FB"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La información que proporciona MAPFRE a veces es bastante detallada (tipo fiscal efectivo por sociedad); otras veces sin embargo es inexistente (propiedad intelectual, subvenciones). A veces incluye valores absolutos de las operaciones más significativas (operaciones vinculadas), pero omite el porcentaje que éstas representan con respecto al total. La información aportada por MAPFRE, por tanto no siempre puede ser comparable.</w:t>
      </w:r>
    </w:p>
    <w:p w14:paraId="68DE09DD" w14:textId="77777777" w:rsidR="003720EE" w:rsidRPr="0001300E" w:rsidRDefault="003720EE" w:rsidP="003720EE">
      <w:pPr>
        <w:jc w:val="both"/>
        <w:rPr>
          <w:rFonts w:ascii="Open Sans" w:hAnsi="Open Sans" w:cs="Arial"/>
          <w:sz w:val="20"/>
          <w:szCs w:val="20"/>
        </w:rPr>
      </w:pPr>
    </w:p>
    <w:p w14:paraId="292D4598"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 xml:space="preserve">Por otra parte, la información suele estar redactada de manera que es de fácil comprensión para personas que no son expertas en la materia; no obstante, en algunos casos sería de interés que MAPFRE desarrollara más algunos conceptos (por ejemplo en las bases fiscales negativas pendientes de compensación, sería conveniente explicar las razones por las que no se contabiliza un activo por impuesto diferido para que esta información sea más comprensible para un lector no familiarizado con la normativa contable). </w:t>
      </w:r>
    </w:p>
    <w:p w14:paraId="48D397AF" w14:textId="77777777" w:rsidR="003720EE" w:rsidRPr="0001300E" w:rsidRDefault="003720EE" w:rsidP="003720EE">
      <w:pPr>
        <w:jc w:val="both"/>
        <w:rPr>
          <w:rFonts w:ascii="Open Sans" w:hAnsi="Open Sans" w:cs="Arial"/>
          <w:sz w:val="20"/>
          <w:szCs w:val="20"/>
        </w:rPr>
      </w:pPr>
    </w:p>
    <w:p w14:paraId="786EE8A4" w14:textId="77777777" w:rsidR="003720EE" w:rsidRPr="0001300E" w:rsidRDefault="003720EE" w:rsidP="003720EE">
      <w:pPr>
        <w:jc w:val="both"/>
        <w:rPr>
          <w:rFonts w:ascii="Open Sans" w:hAnsi="Open Sans" w:cs="Arial"/>
          <w:sz w:val="20"/>
          <w:szCs w:val="20"/>
        </w:rPr>
      </w:pPr>
      <w:r w:rsidRPr="0001300E">
        <w:rPr>
          <w:rFonts w:ascii="Open Sans" w:hAnsi="Open Sans" w:cs="Arial"/>
          <w:sz w:val="20"/>
          <w:szCs w:val="20"/>
        </w:rPr>
        <w:t xml:space="preserve">MAPFRE debería incluir en la memoria de RSE temas de fiscalidad -el séptimo principio de la política RSE de MAPFRE es la responsabilidad fiscal-, ya que toda esta información aparece principalmente en las cuentas anuales de la sociedad. Asimismo, debería integrar los procesos recomendados por organismos internacionales como la OCDE (proyecto BEPS) o la UE.   </w:t>
      </w:r>
    </w:p>
    <w:p w14:paraId="21B3D280" w14:textId="124C0172" w:rsidR="00EA0119" w:rsidRDefault="00EA0119" w:rsidP="00EA0119">
      <w:pPr>
        <w:jc w:val="both"/>
        <w:rPr>
          <w:rFonts w:ascii="Open Sans" w:hAnsi="Open Sans" w:cs="Arial"/>
          <w:sz w:val="20"/>
          <w:szCs w:val="20"/>
        </w:rPr>
      </w:pPr>
      <w:r>
        <w:rPr>
          <w:rFonts w:ascii="Open Sans" w:hAnsi="Open Sans" w:cs="Arial"/>
          <w:sz w:val="20"/>
          <w:szCs w:val="20"/>
        </w:rPr>
        <w:t xml:space="preserve"> </w:t>
      </w:r>
    </w:p>
    <w:p w14:paraId="0A9F34BF" w14:textId="08E01E2D" w:rsidR="00EA0119" w:rsidRDefault="00EA0119">
      <w:pPr>
        <w:rPr>
          <w:rFonts w:ascii="Open Sans" w:hAnsi="Open Sans" w:cs="Arial"/>
          <w:sz w:val="20"/>
          <w:szCs w:val="20"/>
        </w:rPr>
      </w:pPr>
      <w:r>
        <w:rPr>
          <w:rFonts w:ascii="Open Sans" w:hAnsi="Open Sans" w:cs="Arial"/>
          <w:sz w:val="20"/>
          <w:szCs w:val="20"/>
        </w:rPr>
        <w:br w:type="page"/>
      </w:r>
    </w:p>
    <w:p w14:paraId="77341963" w14:textId="77777777" w:rsidR="005A3485" w:rsidRPr="00267F3E" w:rsidRDefault="005A3485" w:rsidP="005A348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lang w:val="en-GB"/>
        </w:rPr>
      </w:pPr>
      <w:bookmarkStart w:id="99" w:name="Merlin"/>
      <w:r w:rsidRPr="00267F3E">
        <w:rPr>
          <w:rFonts w:ascii="Open Sans" w:hAnsi="Open Sans" w:cs="Arial"/>
          <w:b/>
          <w:caps/>
          <w:color w:val="FFFFFF"/>
          <w:lang w:val="en-GB"/>
        </w:rPr>
        <w:t>MERLIN PROPERTIES, SOCIMI, S.A.</w:t>
      </w:r>
      <w:bookmarkEnd w:id="99"/>
    </w:p>
    <w:p w14:paraId="24BEEA45" w14:textId="77777777" w:rsidR="005A3485" w:rsidRPr="00EE1EF7" w:rsidRDefault="005A3485" w:rsidP="005A348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sidRPr="00EE1EF7">
        <w:rPr>
          <w:rFonts w:ascii="Open Sans" w:hAnsi="Open Sans" w:cs="Arial"/>
          <w:b/>
          <w:i/>
          <w:color w:val="FFFFFF"/>
        </w:rPr>
        <w:t>(</w:t>
      </w:r>
      <w:r w:rsidRPr="002C5185">
        <w:rPr>
          <w:rFonts w:ascii="Open Sans" w:hAnsi="Open Sans" w:cs="Arial"/>
          <w:b/>
          <w:i/>
          <w:color w:val="FFFFFF"/>
        </w:rPr>
        <w:t>MERLIN Properties</w:t>
      </w:r>
      <w:r w:rsidRPr="00EE1EF7">
        <w:rPr>
          <w:rFonts w:ascii="Open Sans" w:hAnsi="Open Sans" w:cs="Arial"/>
          <w:b/>
          <w:i/>
          <w:color w:val="FFFFFF"/>
        </w:rPr>
        <w:t>)</w:t>
      </w:r>
    </w:p>
    <w:p w14:paraId="4B2E23EB" w14:textId="77777777" w:rsidR="005A3485" w:rsidRDefault="005A3485" w:rsidP="005A3485">
      <w:pPr>
        <w:spacing w:before="120" w:after="120" w:line="360" w:lineRule="auto"/>
        <w:jc w:val="both"/>
        <w:rPr>
          <w:rFonts w:ascii="Open Sans" w:hAnsi="Open Sans" w:cs="Tahoma"/>
          <w:b/>
          <w:bCs/>
          <w:color w:val="002060"/>
          <w:sz w:val="28"/>
          <w:szCs w:val="28"/>
        </w:rPr>
      </w:pPr>
    </w:p>
    <w:p w14:paraId="4C00067A" w14:textId="77777777" w:rsidR="003720EE" w:rsidRPr="00732FD5" w:rsidRDefault="003720EE" w:rsidP="003720EE">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38054FC9" w14:textId="77777777" w:rsidR="003720EE" w:rsidRPr="00732FD5" w:rsidRDefault="003720EE" w:rsidP="003720EE">
      <w:pPr>
        <w:jc w:val="both"/>
        <w:rPr>
          <w:rFonts w:ascii="Open Sans" w:hAnsi="Open Sans" w:cs="Arial"/>
          <w:sz w:val="22"/>
          <w:szCs w:val="22"/>
          <w:u w:val="single"/>
        </w:rPr>
      </w:pPr>
    </w:p>
    <w:p w14:paraId="3ED2A737" w14:textId="77777777" w:rsidR="003720EE" w:rsidRPr="00EE1EF7" w:rsidRDefault="003720EE" w:rsidP="003720EE">
      <w:pPr>
        <w:jc w:val="both"/>
        <w:rPr>
          <w:rFonts w:ascii="Open Sans" w:hAnsi="Open Sans" w:cs="Arial"/>
          <w:sz w:val="20"/>
          <w:szCs w:val="20"/>
        </w:rPr>
      </w:pPr>
      <w:r w:rsidRPr="00EE1EF7">
        <w:rPr>
          <w:rFonts w:ascii="Open Sans" w:hAnsi="Open Sans" w:cs="Arial"/>
          <w:sz w:val="20"/>
          <w:szCs w:val="20"/>
          <w:u w:val="single"/>
        </w:rPr>
        <w:t>Productos/servicios</w:t>
      </w:r>
    </w:p>
    <w:p w14:paraId="3265B09D" w14:textId="77777777" w:rsidR="003720EE" w:rsidRPr="00EE1EF7" w:rsidRDefault="003720EE" w:rsidP="003720EE">
      <w:pPr>
        <w:jc w:val="both"/>
        <w:rPr>
          <w:rFonts w:ascii="Open Sans" w:hAnsi="Open Sans" w:cs="Arial"/>
          <w:sz w:val="20"/>
          <w:szCs w:val="20"/>
        </w:rPr>
      </w:pPr>
    </w:p>
    <w:p w14:paraId="02354364" w14:textId="77777777" w:rsidR="003720EE" w:rsidRDefault="003720EE" w:rsidP="003720EE">
      <w:pPr>
        <w:jc w:val="both"/>
        <w:rPr>
          <w:rFonts w:ascii="Open Sans" w:hAnsi="Open Sans" w:cs="Arial"/>
          <w:sz w:val="20"/>
          <w:szCs w:val="20"/>
        </w:rPr>
      </w:pPr>
      <w:r w:rsidRPr="002C5185">
        <w:rPr>
          <w:rFonts w:ascii="Open Sans" w:hAnsi="Open Sans" w:cs="Arial"/>
          <w:sz w:val="20"/>
          <w:szCs w:val="20"/>
        </w:rPr>
        <w:t>Merlin Properties SOCIMI, S.A.</w:t>
      </w:r>
      <w:r>
        <w:rPr>
          <w:rFonts w:ascii="Open Sans" w:hAnsi="Open Sans" w:cs="Arial"/>
          <w:sz w:val="20"/>
          <w:szCs w:val="20"/>
        </w:rPr>
        <w:t xml:space="preserve"> es una </w:t>
      </w:r>
      <w:r w:rsidRPr="002C5185">
        <w:rPr>
          <w:rFonts w:ascii="Open Sans" w:hAnsi="Open Sans" w:cs="Arial"/>
          <w:sz w:val="20"/>
          <w:szCs w:val="20"/>
        </w:rPr>
        <w:t>Sociedad Cotizada Anónima de Inversión en el Mercado Inmobiliario</w:t>
      </w:r>
      <w:r>
        <w:rPr>
          <w:rFonts w:ascii="Open Sans" w:hAnsi="Open Sans" w:cs="Arial"/>
          <w:sz w:val="20"/>
          <w:szCs w:val="20"/>
        </w:rPr>
        <w:t xml:space="preserve"> constituida el 25 de marzo de 2014, con</w:t>
      </w:r>
      <w:r w:rsidRPr="002C5185">
        <w:rPr>
          <w:rFonts w:ascii="Open Sans" w:hAnsi="Open Sans" w:cs="Arial"/>
          <w:sz w:val="20"/>
          <w:szCs w:val="20"/>
        </w:rPr>
        <w:t xml:space="preserve"> domicilio social </w:t>
      </w:r>
      <w:r>
        <w:rPr>
          <w:rFonts w:ascii="Open Sans" w:hAnsi="Open Sans" w:cs="Arial"/>
          <w:sz w:val="20"/>
          <w:szCs w:val="20"/>
        </w:rPr>
        <w:t>en el Paseo de la Castellana 42 de</w:t>
      </w:r>
      <w:r w:rsidRPr="002C5185">
        <w:rPr>
          <w:rFonts w:ascii="Open Sans" w:hAnsi="Open Sans" w:cs="Arial"/>
          <w:sz w:val="20"/>
          <w:szCs w:val="20"/>
        </w:rPr>
        <w:t xml:space="preserve"> Madrid. </w:t>
      </w:r>
    </w:p>
    <w:p w14:paraId="50670A53" w14:textId="77777777" w:rsidR="003720EE" w:rsidRDefault="003720EE" w:rsidP="003720EE">
      <w:pPr>
        <w:jc w:val="both"/>
        <w:rPr>
          <w:rFonts w:ascii="Open Sans" w:hAnsi="Open Sans" w:cs="Arial"/>
          <w:sz w:val="20"/>
          <w:szCs w:val="20"/>
        </w:rPr>
      </w:pPr>
    </w:p>
    <w:p w14:paraId="1C03F86F" w14:textId="77777777" w:rsidR="003720EE" w:rsidRDefault="003720EE" w:rsidP="003720EE">
      <w:pPr>
        <w:jc w:val="both"/>
        <w:rPr>
          <w:rFonts w:ascii="Open Sans" w:hAnsi="Open Sans" w:cs="Arial"/>
          <w:sz w:val="20"/>
          <w:szCs w:val="20"/>
        </w:rPr>
      </w:pPr>
      <w:r>
        <w:rPr>
          <w:rFonts w:ascii="Open Sans" w:hAnsi="Open Sans" w:cs="Arial"/>
          <w:sz w:val="20"/>
          <w:szCs w:val="20"/>
        </w:rPr>
        <w:t>Su actividad</w:t>
      </w:r>
      <w:r w:rsidRPr="002C5185">
        <w:rPr>
          <w:rFonts w:ascii="Open Sans" w:hAnsi="Open Sans" w:cs="Arial"/>
          <w:sz w:val="20"/>
          <w:szCs w:val="20"/>
        </w:rPr>
        <w:t xml:space="preserve"> principal </w:t>
      </w:r>
      <w:r>
        <w:rPr>
          <w:rFonts w:ascii="Open Sans" w:hAnsi="Open Sans" w:cs="Arial"/>
          <w:sz w:val="20"/>
          <w:szCs w:val="20"/>
        </w:rPr>
        <w:t xml:space="preserve">consiste en </w:t>
      </w:r>
      <w:r w:rsidRPr="002C5185">
        <w:rPr>
          <w:rFonts w:ascii="Open Sans" w:hAnsi="Open Sans" w:cs="Arial"/>
          <w:sz w:val="20"/>
          <w:szCs w:val="20"/>
        </w:rPr>
        <w:t>la adquisición y gestión de activos inmobiliarios terciarios en la Península Ibérica.</w:t>
      </w:r>
      <w:r>
        <w:rPr>
          <w:rFonts w:ascii="Open Sans" w:hAnsi="Open Sans" w:cs="Arial"/>
          <w:sz w:val="20"/>
          <w:szCs w:val="20"/>
        </w:rPr>
        <w:t xml:space="preserve"> Concretamente, su actividad se centra en el arrendamiento a terceros</w:t>
      </w:r>
      <w:r w:rsidRPr="005A2CD6">
        <w:rPr>
          <w:rFonts w:ascii="Open Sans" w:hAnsi="Open Sans" w:cs="Arial"/>
          <w:sz w:val="20"/>
          <w:szCs w:val="20"/>
        </w:rPr>
        <w:t xml:space="preserve"> de oficinas, centros y locales comerciales, naves industriales y centros logísticos, mayoritariamente, pudiendo invertir en menor medida en otros activos en renta.</w:t>
      </w:r>
      <w:r>
        <w:rPr>
          <w:rFonts w:ascii="Open Sans" w:hAnsi="Open Sans" w:cs="Arial"/>
          <w:sz w:val="20"/>
          <w:szCs w:val="20"/>
        </w:rPr>
        <w:t xml:space="preserve"> Conforme a sus estatutos puede realizar las siguientes actividades:</w:t>
      </w:r>
    </w:p>
    <w:p w14:paraId="5F5E827B" w14:textId="77777777" w:rsidR="003720EE" w:rsidRDefault="003720EE" w:rsidP="003720EE">
      <w:pPr>
        <w:jc w:val="both"/>
        <w:rPr>
          <w:rFonts w:ascii="Open Sans" w:hAnsi="Open Sans" w:cs="Arial"/>
          <w:sz w:val="20"/>
          <w:szCs w:val="20"/>
        </w:rPr>
      </w:pPr>
    </w:p>
    <w:p w14:paraId="47C07F73" w14:textId="77777777" w:rsidR="003720EE" w:rsidRDefault="003720EE" w:rsidP="000B70C9">
      <w:pPr>
        <w:numPr>
          <w:ilvl w:val="0"/>
          <w:numId w:val="48"/>
        </w:numPr>
        <w:jc w:val="both"/>
        <w:rPr>
          <w:rFonts w:ascii="Open Sans" w:hAnsi="Open Sans" w:cs="Arial"/>
          <w:sz w:val="20"/>
          <w:szCs w:val="20"/>
        </w:rPr>
      </w:pPr>
      <w:r w:rsidRPr="002C5185">
        <w:rPr>
          <w:rFonts w:ascii="Open Sans" w:hAnsi="Open Sans" w:cs="Arial"/>
          <w:sz w:val="20"/>
          <w:szCs w:val="20"/>
        </w:rPr>
        <w:t>adquisición y promoción de bienes inmuebles de naturaleza urbana para su arrendamiento, incluyendo la actividad de rehabilitación de edificaciones en los términos establecidos en la Ley 37/1992, de 28 de diciembre, del Im</w:t>
      </w:r>
      <w:r>
        <w:rPr>
          <w:rFonts w:ascii="Open Sans" w:hAnsi="Open Sans" w:cs="Arial"/>
          <w:sz w:val="20"/>
          <w:szCs w:val="20"/>
        </w:rPr>
        <w:t xml:space="preserve">puesto sobre el Valor Añadido; </w:t>
      </w:r>
    </w:p>
    <w:p w14:paraId="3EE645A7" w14:textId="77777777" w:rsidR="003720EE" w:rsidRDefault="003720EE" w:rsidP="000B70C9">
      <w:pPr>
        <w:numPr>
          <w:ilvl w:val="0"/>
          <w:numId w:val="48"/>
        </w:numPr>
        <w:jc w:val="both"/>
        <w:rPr>
          <w:rFonts w:ascii="Open Sans" w:hAnsi="Open Sans" w:cs="Arial"/>
          <w:sz w:val="20"/>
          <w:szCs w:val="20"/>
        </w:rPr>
      </w:pPr>
      <w:r w:rsidRPr="002C5185">
        <w:rPr>
          <w:rFonts w:ascii="Open Sans" w:hAnsi="Open Sans" w:cs="Arial"/>
          <w:sz w:val="20"/>
          <w:szCs w:val="20"/>
        </w:rPr>
        <w:t>tenencia de participaciones en el capital de otras sociedades cotizadas de inversión en el mercado inmobiliario (SOCIMIs) o en el de otras entidades no residentes en territorio español que tengan el mismo objeto social que aquéllas y que estén sometidas a un régimen similar al establecido para dichas SOCIMIs en cuanto a la política obligatoria, legal o estatutaria, d</w:t>
      </w:r>
      <w:r>
        <w:rPr>
          <w:rFonts w:ascii="Open Sans" w:hAnsi="Open Sans" w:cs="Arial"/>
          <w:sz w:val="20"/>
          <w:szCs w:val="20"/>
        </w:rPr>
        <w:t>e distribución de beneficios;</w:t>
      </w:r>
    </w:p>
    <w:p w14:paraId="230B0092" w14:textId="77777777" w:rsidR="003720EE" w:rsidRPr="001A6736" w:rsidRDefault="003720EE" w:rsidP="000B70C9">
      <w:pPr>
        <w:numPr>
          <w:ilvl w:val="0"/>
          <w:numId w:val="48"/>
        </w:numPr>
        <w:jc w:val="both"/>
        <w:rPr>
          <w:rFonts w:ascii="Open Sans" w:hAnsi="Open Sans" w:cs="Arial"/>
          <w:sz w:val="20"/>
          <w:szCs w:val="20"/>
        </w:rPr>
      </w:pPr>
      <w:r w:rsidRPr="001A6736">
        <w:rPr>
          <w:rFonts w:ascii="Open Sans" w:hAnsi="Open Sans" w:cs="Arial"/>
          <w:sz w:val="20"/>
          <w:szCs w:val="20"/>
        </w:rPr>
        <w:t xml:space="preserve">tenencia de participaciones en el capital de otras entidades, residentes o no en territorio español, que tengan como objeto social principal la adquisición de bienes inmuebles de naturaleza urbana para su arrendamiento y que estén sometidas al mismo régimen establecido para las SOCIMIs en cuanto a la política obligatoria, legal o estatutaria, de distribución de beneficios y cumplan los requisitos de inversión exigidos </w:t>
      </w:r>
      <w:r>
        <w:rPr>
          <w:rFonts w:ascii="Open Sans" w:hAnsi="Open Sans" w:cs="Arial"/>
          <w:sz w:val="20"/>
          <w:szCs w:val="20"/>
        </w:rPr>
        <w:t>para estas sociedades;</w:t>
      </w:r>
    </w:p>
    <w:p w14:paraId="78219FE7" w14:textId="77777777" w:rsidR="003720EE" w:rsidRDefault="003720EE" w:rsidP="000B70C9">
      <w:pPr>
        <w:numPr>
          <w:ilvl w:val="0"/>
          <w:numId w:val="48"/>
        </w:numPr>
        <w:jc w:val="both"/>
        <w:rPr>
          <w:rFonts w:ascii="Open Sans" w:hAnsi="Open Sans" w:cs="Arial"/>
          <w:sz w:val="20"/>
          <w:szCs w:val="20"/>
        </w:rPr>
      </w:pPr>
      <w:r w:rsidRPr="002C5185">
        <w:rPr>
          <w:rFonts w:ascii="Open Sans" w:hAnsi="Open Sans" w:cs="Arial"/>
          <w:sz w:val="20"/>
          <w:szCs w:val="20"/>
        </w:rPr>
        <w:t xml:space="preserve">tenencia de acciones o participaciones de Instituciones de Inversión Colectiva Inmobiliaria reguladas en la Ley 35/2003, de 4 de noviembre, de Instituciones de Inversión Colectiva, o la norma que la sustituya en el futuro. </w:t>
      </w:r>
    </w:p>
    <w:p w14:paraId="3D0049F8" w14:textId="77777777" w:rsidR="003720EE" w:rsidRDefault="003720EE" w:rsidP="000B70C9">
      <w:pPr>
        <w:numPr>
          <w:ilvl w:val="0"/>
          <w:numId w:val="48"/>
        </w:numPr>
        <w:jc w:val="both"/>
        <w:rPr>
          <w:rFonts w:ascii="Open Sans" w:hAnsi="Open Sans" w:cs="Arial"/>
          <w:sz w:val="20"/>
          <w:szCs w:val="20"/>
        </w:rPr>
      </w:pPr>
      <w:r>
        <w:rPr>
          <w:rFonts w:ascii="Open Sans" w:hAnsi="Open Sans" w:cs="Arial"/>
          <w:sz w:val="20"/>
          <w:szCs w:val="20"/>
        </w:rPr>
        <w:t>también</w:t>
      </w:r>
      <w:r w:rsidRPr="002C5185">
        <w:rPr>
          <w:rFonts w:ascii="Open Sans" w:hAnsi="Open Sans" w:cs="Arial"/>
          <w:sz w:val="20"/>
          <w:szCs w:val="20"/>
        </w:rPr>
        <w:t xml:space="preserve"> podrá desarrollar otras actividades accesorias, entendiéndose como tales aquellas cuyas rentas representen, en su conjunto, menos del 20 por 100 de sus rentas en cada periodo impositivo, o aquellas que puedan considerarse accesorias de acuerdo con la ley aplicable en cada momento.</w:t>
      </w:r>
    </w:p>
    <w:p w14:paraId="4F227C0B" w14:textId="77777777" w:rsidR="003720EE" w:rsidRDefault="003720EE" w:rsidP="003720EE">
      <w:pPr>
        <w:jc w:val="both"/>
        <w:rPr>
          <w:rFonts w:ascii="Open Sans" w:hAnsi="Open Sans" w:cs="Arial"/>
          <w:sz w:val="20"/>
          <w:szCs w:val="20"/>
        </w:rPr>
      </w:pPr>
    </w:p>
    <w:p w14:paraId="78FDA0BD" w14:textId="77777777" w:rsidR="003720EE" w:rsidRPr="00EE1EF7" w:rsidRDefault="003720EE" w:rsidP="003720EE">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350C5E55" w14:textId="77777777" w:rsidR="003720EE" w:rsidRPr="00EE1EF7" w:rsidRDefault="003720EE" w:rsidP="003720EE">
      <w:pPr>
        <w:jc w:val="both"/>
        <w:rPr>
          <w:rFonts w:ascii="Open Sans" w:hAnsi="Open Sans" w:cs="Arial"/>
          <w:sz w:val="20"/>
          <w:szCs w:val="20"/>
        </w:rPr>
      </w:pPr>
    </w:p>
    <w:p w14:paraId="368BBD78" w14:textId="77777777" w:rsidR="003720EE" w:rsidRDefault="003720EE" w:rsidP="003720EE">
      <w:pPr>
        <w:jc w:val="both"/>
        <w:rPr>
          <w:rFonts w:ascii="Open Sans" w:hAnsi="Open Sans" w:cs="Arial"/>
          <w:sz w:val="20"/>
          <w:szCs w:val="20"/>
        </w:rPr>
      </w:pPr>
      <w:r>
        <w:rPr>
          <w:rFonts w:ascii="Open Sans" w:hAnsi="Open Sans" w:cs="Arial"/>
          <w:sz w:val="20"/>
          <w:szCs w:val="20"/>
        </w:rPr>
        <w:t>Merlin Properties indica que desarrolla su actividad operativa en dos países:</w:t>
      </w:r>
    </w:p>
    <w:p w14:paraId="29F06F39" w14:textId="77777777" w:rsidR="003720EE" w:rsidRPr="000E4A9D" w:rsidRDefault="003720EE" w:rsidP="003720EE">
      <w:pPr>
        <w:numPr>
          <w:ilvl w:val="0"/>
          <w:numId w:val="12"/>
        </w:numPr>
        <w:jc w:val="both"/>
        <w:rPr>
          <w:rFonts w:ascii="Open Sans" w:hAnsi="Open Sans" w:cs="Arial"/>
          <w:sz w:val="20"/>
          <w:szCs w:val="20"/>
        </w:rPr>
      </w:pPr>
      <w:r w:rsidRPr="000E4A9D">
        <w:rPr>
          <w:rFonts w:ascii="Open Sans" w:hAnsi="Open Sans" w:cs="Arial"/>
          <w:sz w:val="20"/>
          <w:szCs w:val="20"/>
        </w:rPr>
        <w:t xml:space="preserve">España (fundamentalmente en: Comunidad de Madrid, Cataluña, Castilla La Mancha, Galicia, País Vasco, Andalucía, </w:t>
      </w:r>
      <w:r>
        <w:rPr>
          <w:rFonts w:ascii="Open Sans" w:hAnsi="Open Sans" w:cs="Arial"/>
          <w:sz w:val="20"/>
          <w:szCs w:val="20"/>
        </w:rPr>
        <w:t>Comunidad</w:t>
      </w:r>
      <w:r w:rsidRPr="000E4A9D">
        <w:rPr>
          <w:rFonts w:ascii="Open Sans" w:hAnsi="Open Sans" w:cs="Arial"/>
          <w:sz w:val="20"/>
          <w:szCs w:val="20"/>
        </w:rPr>
        <w:t xml:space="preserve"> Valenciana</w:t>
      </w:r>
      <w:r>
        <w:rPr>
          <w:rFonts w:ascii="Open Sans" w:hAnsi="Open Sans" w:cs="Arial"/>
          <w:sz w:val="20"/>
          <w:szCs w:val="20"/>
        </w:rPr>
        <w:t>)</w:t>
      </w:r>
    </w:p>
    <w:p w14:paraId="07E7B441" w14:textId="77777777" w:rsidR="003720EE" w:rsidRPr="00EE1EF7" w:rsidRDefault="003720EE" w:rsidP="003720EE">
      <w:pPr>
        <w:numPr>
          <w:ilvl w:val="0"/>
          <w:numId w:val="12"/>
        </w:numPr>
        <w:jc w:val="both"/>
        <w:rPr>
          <w:rFonts w:ascii="Open Sans" w:hAnsi="Open Sans" w:cs="Arial"/>
          <w:sz w:val="20"/>
          <w:szCs w:val="20"/>
        </w:rPr>
      </w:pPr>
      <w:r>
        <w:rPr>
          <w:rFonts w:ascii="Open Sans" w:hAnsi="Open Sans" w:cs="Arial"/>
          <w:sz w:val="20"/>
          <w:szCs w:val="20"/>
        </w:rPr>
        <w:t>Portugal</w:t>
      </w:r>
    </w:p>
    <w:p w14:paraId="5EFACD38" w14:textId="77777777" w:rsidR="003720EE" w:rsidRDefault="003720EE" w:rsidP="003720EE">
      <w:pPr>
        <w:jc w:val="both"/>
        <w:rPr>
          <w:rFonts w:ascii="Open Sans" w:hAnsi="Open Sans" w:cs="Arial"/>
          <w:sz w:val="20"/>
          <w:szCs w:val="20"/>
        </w:rPr>
      </w:pPr>
    </w:p>
    <w:p w14:paraId="569FD29B" w14:textId="77777777" w:rsidR="003720EE" w:rsidRDefault="003720EE" w:rsidP="003720EE">
      <w:pPr>
        <w:jc w:val="both"/>
        <w:rPr>
          <w:rFonts w:ascii="Open Sans" w:hAnsi="Open Sans" w:cs="Arial"/>
          <w:sz w:val="20"/>
          <w:szCs w:val="20"/>
        </w:rPr>
      </w:pPr>
      <w:r>
        <w:rPr>
          <w:rFonts w:ascii="Open Sans" w:hAnsi="Open Sans" w:cs="Arial"/>
          <w:sz w:val="20"/>
          <w:szCs w:val="20"/>
        </w:rPr>
        <w:t>En el anexo I de las cuentas anuales tiene una filial en EE.UU</w:t>
      </w:r>
    </w:p>
    <w:p w14:paraId="4C5F686A" w14:textId="77777777" w:rsidR="003720EE" w:rsidRDefault="003720EE" w:rsidP="003720EE">
      <w:pPr>
        <w:jc w:val="both"/>
        <w:rPr>
          <w:rFonts w:ascii="Open Sans" w:hAnsi="Open Sans" w:cs="Arial"/>
          <w:sz w:val="20"/>
          <w:szCs w:val="20"/>
        </w:rPr>
      </w:pPr>
    </w:p>
    <w:p w14:paraId="033577C3" w14:textId="77777777" w:rsidR="003720EE" w:rsidRDefault="003720EE" w:rsidP="003720EE">
      <w:pPr>
        <w:jc w:val="both"/>
        <w:rPr>
          <w:rFonts w:ascii="Open Sans" w:hAnsi="Open Sans" w:cs="Arial"/>
          <w:sz w:val="20"/>
          <w:szCs w:val="20"/>
          <w:u w:val="single"/>
        </w:rPr>
      </w:pPr>
      <w:r>
        <w:rPr>
          <w:rFonts w:ascii="Open Sans" w:hAnsi="Open Sans" w:cs="Arial"/>
          <w:sz w:val="20"/>
          <w:szCs w:val="20"/>
          <w:u w:val="single"/>
        </w:rPr>
        <w:t>Cifras relevantes de la empresa:</w:t>
      </w:r>
    </w:p>
    <w:p w14:paraId="354031BB" w14:textId="77777777" w:rsidR="003720EE" w:rsidRDefault="003720EE" w:rsidP="003720EE">
      <w:pPr>
        <w:jc w:val="both"/>
        <w:rPr>
          <w:rFonts w:ascii="Open Sans" w:hAnsi="Open Sans" w:cs="Arial"/>
          <w:sz w:val="20"/>
          <w:szCs w:val="20"/>
          <w:u w:val="single"/>
        </w:rPr>
      </w:pPr>
    </w:p>
    <w:p w14:paraId="7AC0AE1F" w14:textId="77777777" w:rsidR="003720EE" w:rsidRDefault="003720EE" w:rsidP="003720EE">
      <w:pPr>
        <w:jc w:val="both"/>
        <w:rPr>
          <w:rFonts w:ascii="Open Sans" w:hAnsi="Open Sans" w:cs="Arial"/>
          <w:sz w:val="20"/>
          <w:szCs w:val="20"/>
        </w:rPr>
      </w:pPr>
      <w:r>
        <w:rPr>
          <w:rFonts w:ascii="Open Sans" w:hAnsi="Open Sans" w:cs="Arial"/>
          <w:sz w:val="20"/>
          <w:szCs w:val="20"/>
        </w:rPr>
        <w:t>Merlin Properties</w:t>
      </w:r>
      <w:r w:rsidRPr="009E6F04">
        <w:rPr>
          <w:rFonts w:ascii="Open Sans" w:hAnsi="Open Sans" w:cs="Arial"/>
          <w:sz w:val="20"/>
          <w:szCs w:val="20"/>
        </w:rPr>
        <w:t xml:space="preserve"> ha obtenido una facturación en 2015 de </w:t>
      </w:r>
      <w:r>
        <w:rPr>
          <w:rFonts w:ascii="Open Sans" w:hAnsi="Open Sans" w:cs="Arial"/>
          <w:sz w:val="20"/>
          <w:szCs w:val="20"/>
        </w:rPr>
        <w:t>214,4 millones de euros lo que le ha generado un beneficio antes de impuestos al grupo consolidado de 57,3 millones de euros.</w:t>
      </w:r>
    </w:p>
    <w:p w14:paraId="4CE4CE47" w14:textId="77777777" w:rsidR="003720EE" w:rsidRDefault="003720EE" w:rsidP="003720EE">
      <w:pPr>
        <w:jc w:val="both"/>
        <w:rPr>
          <w:rFonts w:ascii="Open Sans" w:hAnsi="Open Sans" w:cs="Arial"/>
          <w:sz w:val="20"/>
          <w:szCs w:val="20"/>
        </w:rPr>
      </w:pPr>
    </w:p>
    <w:p w14:paraId="00CA4CBE" w14:textId="77777777" w:rsidR="003720EE" w:rsidRPr="009E6F04" w:rsidRDefault="003720EE" w:rsidP="003720EE">
      <w:pPr>
        <w:jc w:val="both"/>
        <w:rPr>
          <w:rFonts w:ascii="Open Sans" w:hAnsi="Open Sans" w:cs="Arial"/>
          <w:sz w:val="20"/>
          <w:szCs w:val="20"/>
        </w:rPr>
      </w:pPr>
      <w:r w:rsidRPr="009E6F04">
        <w:rPr>
          <w:rFonts w:ascii="Open Sans" w:hAnsi="Open Sans" w:cs="Arial"/>
          <w:sz w:val="20"/>
          <w:szCs w:val="20"/>
        </w:rPr>
        <w:t xml:space="preserve">Al </w:t>
      </w:r>
      <w:r>
        <w:rPr>
          <w:rFonts w:ascii="Open Sans" w:hAnsi="Open Sans" w:cs="Arial"/>
          <w:sz w:val="20"/>
          <w:szCs w:val="20"/>
        </w:rPr>
        <w:t xml:space="preserve">cierre del ejercicio </w:t>
      </w:r>
      <w:r w:rsidRPr="009E6F04">
        <w:rPr>
          <w:rFonts w:ascii="Open Sans" w:hAnsi="Open Sans" w:cs="Arial"/>
          <w:sz w:val="20"/>
          <w:szCs w:val="20"/>
        </w:rPr>
        <w:t xml:space="preserve">el grupo cuenta con un total de </w:t>
      </w:r>
      <w:r>
        <w:rPr>
          <w:rFonts w:ascii="Open Sans" w:hAnsi="Open Sans" w:cs="Arial"/>
          <w:sz w:val="20"/>
          <w:szCs w:val="20"/>
        </w:rPr>
        <w:t xml:space="preserve">120 </w:t>
      </w:r>
      <w:r w:rsidRPr="009E6F04">
        <w:rPr>
          <w:rFonts w:ascii="Open Sans" w:hAnsi="Open Sans" w:cs="Arial"/>
          <w:sz w:val="20"/>
          <w:szCs w:val="20"/>
        </w:rPr>
        <w:t>empleados.</w:t>
      </w:r>
    </w:p>
    <w:p w14:paraId="6BEECB6B" w14:textId="77777777" w:rsidR="003720EE" w:rsidRDefault="003720EE" w:rsidP="003720EE">
      <w:pPr>
        <w:jc w:val="both"/>
        <w:rPr>
          <w:rFonts w:ascii="Open Sans" w:hAnsi="Open Sans" w:cs="Arial"/>
          <w:sz w:val="20"/>
          <w:szCs w:val="20"/>
          <w:u w:val="single"/>
        </w:rPr>
      </w:pPr>
    </w:p>
    <w:p w14:paraId="42FEC321" w14:textId="77777777" w:rsidR="003720EE" w:rsidRDefault="003720EE" w:rsidP="003720EE">
      <w:pPr>
        <w:jc w:val="both"/>
        <w:rPr>
          <w:rFonts w:ascii="Open Sans" w:hAnsi="Open Sans" w:cs="Arial"/>
          <w:sz w:val="20"/>
          <w:szCs w:val="20"/>
          <w:u w:val="single"/>
        </w:rPr>
      </w:pPr>
    </w:p>
    <w:p w14:paraId="4290A6B9" w14:textId="77777777" w:rsidR="003720EE" w:rsidRPr="00EE1EF7" w:rsidRDefault="003720EE" w:rsidP="003720EE">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4258E9F6" w14:textId="77777777" w:rsidR="003720EE" w:rsidRPr="00EE1EF7" w:rsidRDefault="003720EE" w:rsidP="003720EE">
      <w:pPr>
        <w:jc w:val="both"/>
        <w:rPr>
          <w:rFonts w:ascii="Open Sans" w:hAnsi="Open Sans" w:cs="Arial"/>
          <w:sz w:val="20"/>
          <w:szCs w:val="20"/>
          <w:u w:val="single"/>
        </w:rPr>
      </w:pPr>
    </w:p>
    <w:p w14:paraId="68146BA4" w14:textId="77777777" w:rsidR="003720EE" w:rsidRDefault="003720EE" w:rsidP="003720EE">
      <w:pPr>
        <w:jc w:val="both"/>
        <w:rPr>
          <w:rFonts w:ascii="Open Sans" w:hAnsi="Open Sans" w:cs="Arial"/>
          <w:sz w:val="20"/>
          <w:szCs w:val="20"/>
        </w:rPr>
      </w:pPr>
      <w:r>
        <w:rPr>
          <w:rFonts w:ascii="Open Sans" w:hAnsi="Open Sans" w:cs="Arial"/>
          <w:sz w:val="20"/>
          <w:szCs w:val="20"/>
        </w:rPr>
        <w:t>En los documentos analizados no se encuentra evidencia de que Merlin Properties en el ejercicio 2015 estuviese adherida a estándares</w:t>
      </w:r>
      <w:r w:rsidRPr="00EE1EF7">
        <w:rPr>
          <w:rFonts w:ascii="Open Sans" w:hAnsi="Open Sans" w:cs="Arial"/>
          <w:sz w:val="20"/>
          <w:szCs w:val="20"/>
        </w:rPr>
        <w:t xml:space="preserve"> </w:t>
      </w:r>
      <w:r>
        <w:rPr>
          <w:rFonts w:ascii="Open Sans" w:hAnsi="Open Sans" w:cs="Arial"/>
          <w:sz w:val="20"/>
          <w:szCs w:val="20"/>
        </w:rPr>
        <w:t>específicos sobre</w:t>
      </w:r>
      <w:r w:rsidRPr="00EE1EF7">
        <w:rPr>
          <w:rFonts w:ascii="Open Sans" w:hAnsi="Open Sans" w:cs="Arial"/>
          <w:sz w:val="20"/>
          <w:szCs w:val="20"/>
        </w:rPr>
        <w:t xml:space="preserve"> </w:t>
      </w:r>
      <w:r>
        <w:rPr>
          <w:rFonts w:ascii="Open Sans" w:hAnsi="Open Sans" w:cs="Arial"/>
          <w:sz w:val="20"/>
          <w:szCs w:val="20"/>
        </w:rPr>
        <w:t>fiscalidad responsable ni de que participase en iniciativas de cumplimiento cooperativo en el ámbito de la fiscalidad con Administraciones Tributarias.</w:t>
      </w:r>
    </w:p>
    <w:p w14:paraId="72725448" w14:textId="77777777" w:rsidR="003720EE" w:rsidRDefault="003720EE" w:rsidP="003720EE">
      <w:pPr>
        <w:jc w:val="both"/>
        <w:rPr>
          <w:rFonts w:ascii="Open Sans" w:hAnsi="Open Sans" w:cs="Arial"/>
          <w:sz w:val="20"/>
          <w:szCs w:val="20"/>
          <w:u w:val="single"/>
        </w:rPr>
      </w:pPr>
    </w:p>
    <w:p w14:paraId="271848F7" w14:textId="77777777" w:rsidR="003720EE" w:rsidRPr="00EE1EF7" w:rsidRDefault="003720EE" w:rsidP="003720EE">
      <w:pPr>
        <w:jc w:val="both"/>
        <w:rPr>
          <w:rFonts w:ascii="Open Sans" w:hAnsi="Open Sans" w:cs="Arial"/>
          <w:sz w:val="20"/>
          <w:szCs w:val="20"/>
          <w:u w:val="single"/>
        </w:rPr>
      </w:pPr>
    </w:p>
    <w:p w14:paraId="69B3FA7A" w14:textId="77777777" w:rsidR="003720EE" w:rsidRPr="00EE1EF7" w:rsidRDefault="003720EE" w:rsidP="003720EE">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389D16DA" w14:textId="77777777" w:rsidR="003720EE" w:rsidRPr="00EE1EF7" w:rsidRDefault="003720EE" w:rsidP="003720EE">
      <w:pPr>
        <w:ind w:firstLine="709"/>
        <w:jc w:val="both"/>
        <w:rPr>
          <w:rFonts w:ascii="Open Sans" w:hAnsi="Open Sans" w:cs="Arial"/>
          <w:sz w:val="20"/>
          <w:szCs w:val="20"/>
        </w:rPr>
      </w:pPr>
    </w:p>
    <w:p w14:paraId="7D827EAF" w14:textId="77777777" w:rsidR="003720EE" w:rsidRPr="00EE1EF7" w:rsidRDefault="003720EE" w:rsidP="003720EE">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12430972" w14:textId="77777777" w:rsidR="003720EE" w:rsidRPr="00732FD5" w:rsidRDefault="003720EE" w:rsidP="003720EE">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549"/>
        <w:gridCol w:w="3969"/>
      </w:tblGrid>
      <w:tr w:rsidR="003720EE" w:rsidRPr="006344B3" w14:paraId="57C91CA5" w14:textId="77777777" w:rsidTr="003720EE">
        <w:trPr>
          <w:trHeight w:val="327"/>
        </w:trPr>
        <w:tc>
          <w:tcPr>
            <w:tcW w:w="4549"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30CE1648" w14:textId="77777777" w:rsidR="003720EE" w:rsidRPr="006344B3" w:rsidRDefault="003720EE" w:rsidP="00A764EF">
            <w:pPr>
              <w:jc w:val="center"/>
              <w:rPr>
                <w:rFonts w:ascii="Open Sans" w:hAnsi="Open Sans" w:cs="Open Sans"/>
                <w:b/>
                <w:sz w:val="18"/>
                <w:szCs w:val="18"/>
              </w:rPr>
            </w:pPr>
            <w:r w:rsidRPr="006344B3">
              <w:rPr>
                <w:rFonts w:ascii="Open Sans" w:hAnsi="Open Sans" w:cs="Open Sans"/>
                <w:b/>
                <w:sz w:val="18"/>
                <w:szCs w:val="18"/>
              </w:rPr>
              <w:t>DOCUMENTACIÓN</w:t>
            </w:r>
          </w:p>
        </w:tc>
        <w:tc>
          <w:tcPr>
            <w:tcW w:w="3969"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6D39A703" w14:textId="77777777" w:rsidR="003720EE" w:rsidRPr="006344B3" w:rsidRDefault="003720EE" w:rsidP="00A764EF">
            <w:pPr>
              <w:jc w:val="center"/>
              <w:rPr>
                <w:rFonts w:ascii="Open Sans" w:hAnsi="Open Sans" w:cs="Open Sans"/>
                <w:b/>
                <w:sz w:val="18"/>
                <w:szCs w:val="18"/>
              </w:rPr>
            </w:pPr>
            <w:r w:rsidRPr="006344B3">
              <w:rPr>
                <w:rFonts w:ascii="Open Sans" w:hAnsi="Open Sans" w:cs="Open Sans"/>
                <w:b/>
                <w:sz w:val="18"/>
                <w:szCs w:val="18"/>
              </w:rPr>
              <w:t>OBSERVACIONES</w:t>
            </w:r>
          </w:p>
        </w:tc>
      </w:tr>
      <w:tr w:rsidR="003720EE" w:rsidRPr="006344B3" w14:paraId="4E4DF07F" w14:textId="77777777" w:rsidTr="003720EE">
        <w:trPr>
          <w:trHeight w:val="315"/>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95CB7D6"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Cuentas anuales consolidadas</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5057B09" w14:textId="77777777" w:rsidR="003720EE" w:rsidRPr="006344B3" w:rsidRDefault="003720EE" w:rsidP="00A764EF">
            <w:pPr>
              <w:rPr>
                <w:rFonts w:ascii="Open Sans" w:hAnsi="Open Sans" w:cs="Open Sans"/>
                <w:color w:val="0000FF"/>
                <w:sz w:val="18"/>
                <w:szCs w:val="18"/>
                <w:u w:val="single"/>
              </w:rPr>
            </w:pPr>
          </w:p>
        </w:tc>
      </w:tr>
      <w:tr w:rsidR="003720EE" w:rsidRPr="006344B3" w14:paraId="5CA8AD14" w14:textId="77777777" w:rsidTr="003720EE">
        <w:trPr>
          <w:trHeight w:val="300"/>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F100504"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Memoria de Responsabilidad Social Corporativa</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49D2BDE" w14:textId="77777777" w:rsidR="003720EE" w:rsidRPr="006344B3" w:rsidRDefault="003720EE" w:rsidP="00A764EF">
            <w:pPr>
              <w:rPr>
                <w:rFonts w:ascii="Open Sans" w:hAnsi="Open Sans" w:cs="Open Sans"/>
                <w:color w:val="0000FF"/>
                <w:sz w:val="18"/>
                <w:szCs w:val="18"/>
                <w:u w:val="single"/>
              </w:rPr>
            </w:pPr>
          </w:p>
        </w:tc>
      </w:tr>
      <w:tr w:rsidR="003720EE" w:rsidRPr="006344B3" w14:paraId="3140FAA3" w14:textId="77777777" w:rsidTr="003720EE">
        <w:trPr>
          <w:trHeight w:val="264"/>
        </w:trPr>
        <w:tc>
          <w:tcPr>
            <w:tcW w:w="454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E04B267"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Informe Anual de Gobierno Corporativo de las Sociedades Anónimas Cotizadas</w:t>
            </w:r>
          </w:p>
        </w:tc>
        <w:tc>
          <w:tcPr>
            <w:tcW w:w="3969"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53D06F7" w14:textId="77777777" w:rsidR="003720EE" w:rsidRPr="006344B3" w:rsidRDefault="003720EE" w:rsidP="00A764EF">
            <w:pPr>
              <w:rPr>
                <w:rFonts w:ascii="Open Sans" w:hAnsi="Open Sans" w:cs="Open Sans"/>
                <w:color w:val="0000FF"/>
                <w:sz w:val="18"/>
                <w:szCs w:val="18"/>
                <w:u w:val="single"/>
              </w:rPr>
            </w:pPr>
          </w:p>
        </w:tc>
      </w:tr>
      <w:tr w:rsidR="003720EE" w:rsidRPr="006344B3" w14:paraId="1573B7A1" w14:textId="77777777" w:rsidTr="003720EE">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24DC0EF1"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Memoria sobre la actividad de la Comisión de Auditoría y Control.</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2935F138" w14:textId="77777777" w:rsidR="003720EE" w:rsidRPr="006344B3" w:rsidRDefault="003720EE" w:rsidP="00A764EF">
            <w:pPr>
              <w:rPr>
                <w:rFonts w:ascii="Open Sans" w:hAnsi="Open Sans" w:cs="Open Sans"/>
                <w:color w:val="0000FF"/>
                <w:sz w:val="18"/>
                <w:szCs w:val="18"/>
                <w:u w:val="single"/>
              </w:rPr>
            </w:pPr>
          </w:p>
        </w:tc>
      </w:tr>
      <w:tr w:rsidR="003720EE" w:rsidRPr="006344B3" w14:paraId="071C269A" w14:textId="77777777" w:rsidTr="003720EE">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13585D81"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Reglamento interno de conducta</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4007D250" w14:textId="77777777" w:rsidR="003720EE" w:rsidRPr="006344B3" w:rsidRDefault="003720EE" w:rsidP="00A764EF">
            <w:pPr>
              <w:rPr>
                <w:rFonts w:ascii="Open Sans" w:hAnsi="Open Sans" w:cs="Open Sans"/>
                <w:color w:val="0000FF"/>
                <w:sz w:val="18"/>
                <w:szCs w:val="18"/>
                <w:u w:val="single"/>
              </w:rPr>
            </w:pPr>
          </w:p>
        </w:tc>
      </w:tr>
      <w:tr w:rsidR="003720EE" w:rsidRPr="006344B3" w14:paraId="607B2785" w14:textId="77777777" w:rsidTr="003720EE">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E0185C2"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Reglamento del Consejo de Administración</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7B755CEF" w14:textId="77777777" w:rsidR="003720EE" w:rsidRPr="006344B3" w:rsidRDefault="003720EE" w:rsidP="00A764EF">
            <w:pPr>
              <w:rPr>
                <w:rFonts w:ascii="Open Sans" w:hAnsi="Open Sans" w:cs="Open Sans"/>
                <w:color w:val="0000FF"/>
                <w:sz w:val="18"/>
                <w:szCs w:val="18"/>
                <w:u w:val="single"/>
              </w:rPr>
            </w:pPr>
          </w:p>
        </w:tc>
      </w:tr>
      <w:tr w:rsidR="003720EE" w:rsidRPr="006344B3" w14:paraId="6E79FAB1" w14:textId="77777777" w:rsidTr="003720EE">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FA80C54"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Informe de la comisión de auditoría y control en relación a las operaciones vinculadas llevadas a cabo durante el ejercicio.</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1CEDEBC1" w14:textId="77777777" w:rsidR="003720EE" w:rsidRPr="006344B3" w:rsidRDefault="003720EE" w:rsidP="00A764EF">
            <w:pPr>
              <w:rPr>
                <w:rFonts w:ascii="Open Sans" w:hAnsi="Open Sans" w:cs="Open Sans"/>
                <w:color w:val="0000FF"/>
                <w:sz w:val="18"/>
                <w:szCs w:val="18"/>
                <w:u w:val="single"/>
              </w:rPr>
            </w:pPr>
          </w:p>
        </w:tc>
      </w:tr>
      <w:tr w:rsidR="003720EE" w:rsidRPr="006344B3" w14:paraId="0C6FA1C0" w14:textId="77777777" w:rsidTr="003720EE">
        <w:trPr>
          <w:trHeight w:val="179"/>
        </w:trPr>
        <w:tc>
          <w:tcPr>
            <w:tcW w:w="4549"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8933F40" w14:textId="77777777" w:rsidR="003720EE" w:rsidRPr="006344B3" w:rsidRDefault="003720EE" w:rsidP="00A764EF">
            <w:pPr>
              <w:rPr>
                <w:rFonts w:ascii="Open Sans" w:hAnsi="Open Sans" w:cs="Open Sans"/>
                <w:color w:val="000000"/>
                <w:sz w:val="20"/>
                <w:szCs w:val="20"/>
              </w:rPr>
            </w:pPr>
            <w:r w:rsidRPr="006344B3">
              <w:rPr>
                <w:rFonts w:ascii="Open Sans" w:hAnsi="Open Sans" w:cs="Open Sans"/>
                <w:color w:val="000000"/>
                <w:sz w:val="20"/>
                <w:szCs w:val="20"/>
              </w:rPr>
              <w:t>Cuentas anuales individuales 2015 Merlin Properties</w:t>
            </w:r>
          </w:p>
        </w:tc>
        <w:tc>
          <w:tcPr>
            <w:tcW w:w="3969"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23EE6A45" w14:textId="77777777" w:rsidR="003720EE" w:rsidRPr="006344B3" w:rsidRDefault="003720EE" w:rsidP="00A764EF">
            <w:pPr>
              <w:rPr>
                <w:rFonts w:ascii="Open Sans" w:hAnsi="Open Sans" w:cs="Open Sans"/>
                <w:color w:val="000000"/>
                <w:sz w:val="18"/>
                <w:szCs w:val="18"/>
              </w:rPr>
            </w:pPr>
          </w:p>
        </w:tc>
      </w:tr>
    </w:tbl>
    <w:p w14:paraId="319CFD92" w14:textId="77777777" w:rsidR="003720EE" w:rsidRDefault="003720EE" w:rsidP="003720EE">
      <w:pPr>
        <w:jc w:val="both"/>
        <w:rPr>
          <w:rFonts w:ascii="Open Sans" w:hAnsi="Open Sans" w:cs="Arial"/>
          <w:b/>
        </w:rPr>
      </w:pPr>
    </w:p>
    <w:p w14:paraId="6EB89411" w14:textId="77777777" w:rsidR="003720EE" w:rsidRDefault="003720EE" w:rsidP="003720EE">
      <w:pPr>
        <w:jc w:val="both"/>
        <w:rPr>
          <w:rFonts w:ascii="Open Sans" w:hAnsi="Open Sans" w:cs="Arial"/>
          <w:b/>
        </w:rPr>
      </w:pPr>
      <w:r>
        <w:rPr>
          <w:rFonts w:ascii="Open Sans" w:hAnsi="Open Sans" w:cs="Arial"/>
          <w:b/>
        </w:rPr>
        <w:br w:type="page"/>
      </w:r>
    </w:p>
    <w:p w14:paraId="3A153BB3" w14:textId="77777777" w:rsidR="003720EE" w:rsidRPr="00732FD5" w:rsidRDefault="003720EE" w:rsidP="003720EE">
      <w:pPr>
        <w:jc w:val="both"/>
        <w:rPr>
          <w:rFonts w:ascii="Open Sans" w:hAnsi="Open Sans" w:cs="Arial"/>
          <w:b/>
        </w:rPr>
      </w:pPr>
    </w:p>
    <w:p w14:paraId="5BA00EAD" w14:textId="77777777" w:rsidR="003720EE" w:rsidRDefault="003720EE" w:rsidP="003720EE">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265FFC15" w14:textId="77777777" w:rsidR="003720EE" w:rsidRPr="00EE1EF7" w:rsidRDefault="003720EE" w:rsidP="003720EE">
      <w:pPr>
        <w:jc w:val="both"/>
        <w:rPr>
          <w:rFonts w:ascii="Open Sans" w:hAnsi="Open Sans" w:cs="Arial"/>
          <w:b/>
          <w:sz w:val="22"/>
          <w:szCs w:val="22"/>
          <w:u w:val="single"/>
        </w:rPr>
      </w:pPr>
    </w:p>
    <w:p w14:paraId="4B56876C" w14:textId="77777777" w:rsidR="003720EE" w:rsidRDefault="003720EE" w:rsidP="003720EE">
      <w:pPr>
        <w:jc w:val="center"/>
        <w:rPr>
          <w:rFonts w:ascii="Open Sans" w:hAnsi="Open Sans" w:cs="Arial"/>
          <w:b/>
          <w:color w:val="FF0000"/>
          <w:sz w:val="22"/>
          <w:szCs w:val="22"/>
        </w:rPr>
      </w:pPr>
    </w:p>
    <w:p w14:paraId="51961340" w14:textId="77777777" w:rsidR="003720EE" w:rsidRPr="007829A9" w:rsidRDefault="003720EE" w:rsidP="003720EE">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056D5000" w14:textId="77777777" w:rsidR="003720EE" w:rsidRPr="00732FD5" w:rsidRDefault="003720EE" w:rsidP="003720EE">
      <w:pPr>
        <w:rPr>
          <w:rFonts w:ascii="Open Sans" w:hAnsi="Open Sans" w:cs="Arial"/>
          <w:b/>
        </w:rPr>
      </w:pPr>
    </w:p>
    <w:p w14:paraId="4DA2C9FE" w14:textId="04929005" w:rsidR="003720EE" w:rsidRDefault="003720EE" w:rsidP="003720EE">
      <w:pPr>
        <w:jc w:val="center"/>
      </w:pPr>
      <w:r>
        <w:rPr>
          <w:noProof/>
          <w:lang w:val="es-ES"/>
        </w:rPr>
        <w:drawing>
          <wp:inline distT="0" distB="0" distL="0" distR="0" wp14:anchorId="238F5015" wp14:editId="3E6D5CEC">
            <wp:extent cx="3683000" cy="1854200"/>
            <wp:effectExtent l="0" t="0" r="0" b="0"/>
            <wp:docPr id="18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3683000" cy="1854200"/>
                    </a:xfrm>
                    <a:prstGeom prst="rect">
                      <a:avLst/>
                    </a:prstGeom>
                    <a:noFill/>
                    <a:ln>
                      <a:noFill/>
                    </a:ln>
                  </pic:spPr>
                </pic:pic>
              </a:graphicData>
            </a:graphic>
          </wp:inline>
        </w:drawing>
      </w:r>
    </w:p>
    <w:p w14:paraId="792C05BD" w14:textId="77777777" w:rsidR="003720EE" w:rsidRDefault="003720EE" w:rsidP="003720EE">
      <w:pPr>
        <w:jc w:val="both"/>
      </w:pPr>
    </w:p>
    <w:p w14:paraId="28E51627" w14:textId="77777777" w:rsidR="003720EE" w:rsidRDefault="003720EE" w:rsidP="003720EE">
      <w:pPr>
        <w:jc w:val="both"/>
      </w:pPr>
    </w:p>
    <w:p w14:paraId="778F9E9F" w14:textId="77777777" w:rsidR="003720EE" w:rsidRPr="00E3188A" w:rsidRDefault="003720EE" w:rsidP="003720EE">
      <w:pPr>
        <w:jc w:val="center"/>
      </w:pPr>
    </w:p>
    <w:p w14:paraId="5BC52C67" w14:textId="77777777" w:rsidR="003720EE" w:rsidRPr="00EE1EF7" w:rsidRDefault="003720EE" w:rsidP="003720EE">
      <w:pPr>
        <w:jc w:val="both"/>
        <w:rPr>
          <w:rFonts w:ascii="Open Sans" w:hAnsi="Open Sans" w:cs="Arial"/>
          <w:b/>
          <w:sz w:val="22"/>
          <w:szCs w:val="22"/>
        </w:rPr>
      </w:pPr>
      <w:r w:rsidRPr="00EE1EF7">
        <w:rPr>
          <w:rFonts w:ascii="Open Sans" w:hAnsi="Open Sans" w:cs="Arial"/>
          <w:b/>
          <w:sz w:val="22"/>
          <w:szCs w:val="22"/>
          <w:u w:val="single"/>
        </w:rPr>
        <w:t>3. Contexto general</w:t>
      </w:r>
    </w:p>
    <w:p w14:paraId="364541F6" w14:textId="77777777" w:rsidR="003720EE" w:rsidRDefault="003720EE" w:rsidP="003720EE">
      <w:pPr>
        <w:spacing w:line="276" w:lineRule="auto"/>
        <w:jc w:val="both"/>
        <w:rPr>
          <w:rFonts w:ascii="Arial" w:hAnsi="Arial" w:cs="Arial"/>
        </w:rPr>
      </w:pPr>
    </w:p>
    <w:p w14:paraId="1A004C57" w14:textId="77777777" w:rsidR="003720EE" w:rsidRDefault="003720EE" w:rsidP="003720EE">
      <w:pPr>
        <w:jc w:val="both"/>
        <w:rPr>
          <w:rFonts w:ascii="Open Sans" w:hAnsi="Open Sans"/>
          <w:sz w:val="20"/>
          <w:szCs w:val="20"/>
        </w:rPr>
      </w:pPr>
      <w:r w:rsidRPr="00C16407">
        <w:rPr>
          <w:rFonts w:ascii="Open Sans" w:hAnsi="Open Sans"/>
          <w:sz w:val="20"/>
          <w:szCs w:val="20"/>
        </w:rPr>
        <w:t>Merlin Properties SOCIMI, S.A. es una Sociedad Cotizada Anónima de Inversión en el Mercado Inmobiliario</w:t>
      </w:r>
      <w:r>
        <w:rPr>
          <w:rFonts w:ascii="Open Sans" w:hAnsi="Open Sans"/>
          <w:sz w:val="20"/>
          <w:szCs w:val="20"/>
        </w:rPr>
        <w:t xml:space="preserve"> (SOCIMI)</w:t>
      </w:r>
      <w:r w:rsidRPr="00C16407">
        <w:rPr>
          <w:rFonts w:ascii="Open Sans" w:hAnsi="Open Sans"/>
          <w:sz w:val="20"/>
          <w:szCs w:val="20"/>
        </w:rPr>
        <w:t xml:space="preserve"> </w:t>
      </w:r>
      <w:r>
        <w:rPr>
          <w:rFonts w:ascii="Open Sans" w:hAnsi="Open Sans"/>
          <w:sz w:val="20"/>
          <w:szCs w:val="20"/>
        </w:rPr>
        <w:t>que se dedica a</w:t>
      </w:r>
      <w:r w:rsidRPr="00C16407">
        <w:rPr>
          <w:rFonts w:ascii="Open Sans" w:hAnsi="Open Sans"/>
          <w:sz w:val="20"/>
          <w:szCs w:val="20"/>
        </w:rPr>
        <w:t xml:space="preserve"> la adquisición y gestión de activos inmobiliarios ter</w:t>
      </w:r>
      <w:r>
        <w:rPr>
          <w:rFonts w:ascii="Open Sans" w:hAnsi="Open Sans"/>
          <w:sz w:val="20"/>
          <w:szCs w:val="20"/>
        </w:rPr>
        <w:t>ciarios y centra su actividad en España (99,63% de la cifra de negocios) y Portugal (0,37% de la cifra de negocios).</w:t>
      </w:r>
    </w:p>
    <w:p w14:paraId="187D7482" w14:textId="77777777" w:rsidR="003720EE" w:rsidRDefault="003720EE" w:rsidP="003720EE">
      <w:pPr>
        <w:jc w:val="both"/>
        <w:rPr>
          <w:rFonts w:ascii="Open Sans" w:hAnsi="Open Sans"/>
          <w:sz w:val="20"/>
          <w:szCs w:val="20"/>
        </w:rPr>
      </w:pPr>
    </w:p>
    <w:p w14:paraId="1FEB5CF8" w14:textId="77777777" w:rsidR="003720EE" w:rsidRDefault="003720EE" w:rsidP="003720EE">
      <w:pPr>
        <w:jc w:val="both"/>
        <w:rPr>
          <w:rFonts w:ascii="Open Sans" w:hAnsi="Open Sans" w:cs="Arial"/>
          <w:sz w:val="20"/>
          <w:szCs w:val="20"/>
        </w:rPr>
      </w:pPr>
      <w:r>
        <w:rPr>
          <w:rFonts w:ascii="Open Sans" w:hAnsi="Open Sans" w:cs="Arial"/>
          <w:sz w:val="20"/>
          <w:szCs w:val="20"/>
        </w:rPr>
        <w:t>El grupo segmenta su actividad</w:t>
      </w:r>
      <w:r w:rsidRPr="005A7FB2">
        <w:rPr>
          <w:rFonts w:ascii="Open Sans" w:hAnsi="Open Sans" w:cs="Arial"/>
          <w:sz w:val="20"/>
          <w:szCs w:val="20"/>
        </w:rPr>
        <w:t xml:space="preserve"> en función de la tipología de los act</w:t>
      </w:r>
      <w:r>
        <w:rPr>
          <w:rFonts w:ascii="Open Sans" w:hAnsi="Open Sans" w:cs="Arial"/>
          <w:sz w:val="20"/>
          <w:szCs w:val="20"/>
        </w:rPr>
        <w:t>ivos que adquiere y gestiona</w:t>
      </w:r>
      <w:r w:rsidRPr="002F1A9B">
        <w:rPr>
          <w:rFonts w:ascii="Open Sans" w:hAnsi="Open Sans" w:cs="Arial"/>
          <w:sz w:val="20"/>
          <w:szCs w:val="20"/>
        </w:rPr>
        <w:t xml:space="preserve"> </w:t>
      </w:r>
      <w:r>
        <w:rPr>
          <w:rFonts w:ascii="Open Sans" w:hAnsi="Open Sans" w:cs="Arial"/>
          <w:sz w:val="20"/>
          <w:szCs w:val="20"/>
        </w:rPr>
        <w:t xml:space="preserve">en los siguientes grupos: </w:t>
      </w:r>
    </w:p>
    <w:p w14:paraId="235A6359" w14:textId="77777777" w:rsidR="003720EE" w:rsidRDefault="003720EE" w:rsidP="003720EE">
      <w:pPr>
        <w:jc w:val="both"/>
        <w:rPr>
          <w:rFonts w:ascii="Open Sans" w:hAnsi="Open Sans" w:cs="Arial"/>
          <w:sz w:val="20"/>
          <w:szCs w:val="20"/>
        </w:rPr>
      </w:pPr>
    </w:p>
    <w:p w14:paraId="5DA20B39" w14:textId="77777777" w:rsidR="003720EE" w:rsidRDefault="003720EE" w:rsidP="000B70C9">
      <w:pPr>
        <w:numPr>
          <w:ilvl w:val="0"/>
          <w:numId w:val="49"/>
        </w:numPr>
        <w:jc w:val="both"/>
        <w:rPr>
          <w:rFonts w:ascii="Open Sans" w:hAnsi="Open Sans" w:cs="Arial"/>
          <w:sz w:val="20"/>
          <w:szCs w:val="20"/>
        </w:rPr>
      </w:pPr>
      <w:r w:rsidRPr="005A7FB2">
        <w:rPr>
          <w:rFonts w:ascii="Open Sans" w:hAnsi="Open Sans" w:cs="Arial"/>
          <w:sz w:val="20"/>
          <w:szCs w:val="20"/>
        </w:rPr>
        <w:t>Activos High Street Retail</w:t>
      </w:r>
      <w:r>
        <w:rPr>
          <w:rFonts w:ascii="Open Sans" w:hAnsi="Open Sans" w:cs="Arial"/>
          <w:sz w:val="20"/>
          <w:szCs w:val="20"/>
        </w:rPr>
        <w:t xml:space="preserve"> (42,60% de la cifra de negocios)</w:t>
      </w:r>
      <w:r w:rsidRPr="005A7FB2">
        <w:rPr>
          <w:rFonts w:ascii="Open Sans" w:hAnsi="Open Sans" w:cs="Arial"/>
          <w:sz w:val="20"/>
          <w:szCs w:val="20"/>
        </w:rPr>
        <w:t xml:space="preserve">. </w:t>
      </w:r>
    </w:p>
    <w:p w14:paraId="2C9564E5" w14:textId="77777777" w:rsidR="003720EE" w:rsidRDefault="003720EE" w:rsidP="000B70C9">
      <w:pPr>
        <w:numPr>
          <w:ilvl w:val="0"/>
          <w:numId w:val="49"/>
        </w:numPr>
        <w:jc w:val="both"/>
        <w:rPr>
          <w:rFonts w:ascii="Open Sans" w:hAnsi="Open Sans" w:cs="Arial"/>
          <w:sz w:val="20"/>
          <w:szCs w:val="20"/>
        </w:rPr>
      </w:pPr>
      <w:r>
        <w:rPr>
          <w:rFonts w:ascii="Open Sans" w:hAnsi="Open Sans" w:cs="Arial"/>
          <w:sz w:val="20"/>
          <w:szCs w:val="20"/>
        </w:rPr>
        <w:t>Edificios de oficinas (29,53% de la cifra de negocios).</w:t>
      </w:r>
    </w:p>
    <w:p w14:paraId="7A4C8133" w14:textId="77777777" w:rsidR="003720EE" w:rsidRDefault="003720EE" w:rsidP="000B70C9">
      <w:pPr>
        <w:numPr>
          <w:ilvl w:val="0"/>
          <w:numId w:val="49"/>
        </w:numPr>
        <w:jc w:val="both"/>
        <w:rPr>
          <w:rFonts w:ascii="Open Sans" w:hAnsi="Open Sans" w:cs="Arial"/>
          <w:sz w:val="20"/>
          <w:szCs w:val="20"/>
        </w:rPr>
      </w:pPr>
      <w:r w:rsidRPr="005A7FB2">
        <w:rPr>
          <w:rFonts w:ascii="Open Sans" w:hAnsi="Open Sans" w:cs="Arial"/>
          <w:sz w:val="20"/>
          <w:szCs w:val="20"/>
        </w:rPr>
        <w:t>Centros comerciales</w:t>
      </w:r>
      <w:r>
        <w:rPr>
          <w:rFonts w:ascii="Open Sans" w:hAnsi="Open Sans" w:cs="Arial"/>
          <w:sz w:val="20"/>
          <w:szCs w:val="20"/>
        </w:rPr>
        <w:t xml:space="preserve"> (13,42% de la cifra de negocios)</w:t>
      </w:r>
      <w:r w:rsidRPr="005A7FB2">
        <w:rPr>
          <w:rFonts w:ascii="Open Sans" w:hAnsi="Open Sans" w:cs="Arial"/>
          <w:sz w:val="20"/>
          <w:szCs w:val="20"/>
        </w:rPr>
        <w:t xml:space="preserve">. · </w:t>
      </w:r>
    </w:p>
    <w:p w14:paraId="640583D3" w14:textId="77777777" w:rsidR="003720EE" w:rsidRDefault="003720EE" w:rsidP="000B70C9">
      <w:pPr>
        <w:numPr>
          <w:ilvl w:val="0"/>
          <w:numId w:val="49"/>
        </w:numPr>
        <w:jc w:val="both"/>
        <w:rPr>
          <w:rFonts w:ascii="Open Sans" w:hAnsi="Open Sans" w:cs="Arial"/>
          <w:sz w:val="20"/>
          <w:szCs w:val="20"/>
        </w:rPr>
      </w:pPr>
      <w:r w:rsidRPr="005A7FB2">
        <w:rPr>
          <w:rFonts w:ascii="Open Sans" w:hAnsi="Open Sans" w:cs="Arial"/>
          <w:sz w:val="20"/>
          <w:szCs w:val="20"/>
        </w:rPr>
        <w:t>Activos logísticos</w:t>
      </w:r>
      <w:r>
        <w:rPr>
          <w:rFonts w:ascii="Open Sans" w:hAnsi="Open Sans" w:cs="Arial"/>
          <w:sz w:val="20"/>
          <w:szCs w:val="20"/>
        </w:rPr>
        <w:t xml:space="preserve"> (5,92% de la cifra de negocios)</w:t>
      </w:r>
      <w:r w:rsidRPr="005A7FB2">
        <w:rPr>
          <w:rFonts w:ascii="Open Sans" w:hAnsi="Open Sans" w:cs="Arial"/>
          <w:sz w:val="20"/>
          <w:szCs w:val="20"/>
        </w:rPr>
        <w:t xml:space="preserve">. · </w:t>
      </w:r>
    </w:p>
    <w:p w14:paraId="429F310F" w14:textId="77777777" w:rsidR="003720EE" w:rsidRDefault="003720EE" w:rsidP="000B70C9">
      <w:pPr>
        <w:numPr>
          <w:ilvl w:val="0"/>
          <w:numId w:val="49"/>
        </w:numPr>
        <w:jc w:val="both"/>
        <w:rPr>
          <w:rFonts w:ascii="Open Sans" w:hAnsi="Open Sans" w:cs="Arial"/>
          <w:sz w:val="20"/>
          <w:szCs w:val="20"/>
        </w:rPr>
      </w:pPr>
      <w:r w:rsidRPr="005A7FB2">
        <w:rPr>
          <w:rFonts w:ascii="Open Sans" w:hAnsi="Open Sans" w:cs="Arial"/>
          <w:sz w:val="20"/>
          <w:szCs w:val="20"/>
        </w:rPr>
        <w:t>Hoteles</w:t>
      </w:r>
      <w:r>
        <w:rPr>
          <w:rFonts w:ascii="Open Sans" w:hAnsi="Open Sans" w:cs="Arial"/>
          <w:sz w:val="20"/>
          <w:szCs w:val="20"/>
        </w:rPr>
        <w:t xml:space="preserve"> (5,33% de la cifra de negocios)</w:t>
      </w:r>
      <w:r w:rsidRPr="005A7FB2">
        <w:rPr>
          <w:rFonts w:ascii="Open Sans" w:hAnsi="Open Sans" w:cs="Arial"/>
          <w:sz w:val="20"/>
          <w:szCs w:val="20"/>
        </w:rPr>
        <w:t>.</w:t>
      </w:r>
    </w:p>
    <w:p w14:paraId="7029EC81" w14:textId="77777777" w:rsidR="003720EE" w:rsidRPr="005A7FB2" w:rsidRDefault="003720EE" w:rsidP="000B70C9">
      <w:pPr>
        <w:numPr>
          <w:ilvl w:val="0"/>
          <w:numId w:val="49"/>
        </w:numPr>
        <w:jc w:val="both"/>
        <w:rPr>
          <w:rFonts w:ascii="Open Sans" w:hAnsi="Open Sans" w:cs="Arial"/>
          <w:sz w:val="20"/>
          <w:szCs w:val="20"/>
        </w:rPr>
      </w:pPr>
      <w:r w:rsidRPr="005A7FB2">
        <w:rPr>
          <w:rFonts w:ascii="Open Sans" w:hAnsi="Open Sans" w:cs="Arial"/>
          <w:sz w:val="20"/>
          <w:szCs w:val="20"/>
        </w:rPr>
        <w:t>Otros (incluye activos residenciales en alquiler, clasificados como “Activos no corrientes mantenidos para la venta”).</w:t>
      </w:r>
    </w:p>
    <w:p w14:paraId="13630BD3" w14:textId="77777777" w:rsidR="003720EE" w:rsidRDefault="003720EE" w:rsidP="003720EE">
      <w:pPr>
        <w:jc w:val="both"/>
        <w:rPr>
          <w:rFonts w:ascii="Open Sans" w:hAnsi="Open Sans" w:cs="Arial"/>
          <w:sz w:val="20"/>
          <w:szCs w:val="20"/>
        </w:rPr>
      </w:pPr>
    </w:p>
    <w:p w14:paraId="59C953F9" w14:textId="77777777" w:rsidR="003720EE" w:rsidRDefault="003720EE" w:rsidP="003720EE">
      <w:pPr>
        <w:jc w:val="both"/>
        <w:rPr>
          <w:rFonts w:ascii="Open Sans" w:hAnsi="Open Sans" w:cs="Arial"/>
          <w:sz w:val="20"/>
          <w:szCs w:val="20"/>
        </w:rPr>
      </w:pPr>
      <w:r>
        <w:rPr>
          <w:rFonts w:ascii="Open Sans" w:hAnsi="Open Sans" w:cs="Arial"/>
          <w:sz w:val="20"/>
          <w:szCs w:val="20"/>
        </w:rPr>
        <w:t xml:space="preserve">A 31 de diciembre el Grupo contaba con 120 empleados. Por lo que se refiere a la distribución por categorías únicamente se han identificado datos correspondientes a la plantilla promedio del año que se distribuyó de la siguiente forma: </w:t>
      </w:r>
      <w:r w:rsidRPr="0066177F">
        <w:rPr>
          <w:rFonts w:ascii="Open Sans" w:hAnsi="Open Sans" w:cs="Arial"/>
          <w:sz w:val="20"/>
          <w:szCs w:val="20"/>
        </w:rPr>
        <w:t>Directores generales y presidentes</w:t>
      </w:r>
      <w:r>
        <w:rPr>
          <w:rFonts w:ascii="Open Sans" w:hAnsi="Open Sans" w:cs="Arial"/>
          <w:sz w:val="20"/>
          <w:szCs w:val="20"/>
        </w:rPr>
        <w:t xml:space="preserve"> 5 (de los cuales el 100% eran hombres); </w:t>
      </w:r>
      <w:r w:rsidRPr="0066177F">
        <w:rPr>
          <w:rFonts w:ascii="Open Sans" w:hAnsi="Open Sans" w:cs="Arial"/>
          <w:sz w:val="20"/>
          <w:szCs w:val="20"/>
        </w:rPr>
        <w:t>Resto de directores y gerentes</w:t>
      </w:r>
      <w:r>
        <w:rPr>
          <w:rFonts w:ascii="Open Sans" w:hAnsi="Open Sans" w:cs="Arial"/>
          <w:sz w:val="20"/>
          <w:szCs w:val="20"/>
        </w:rPr>
        <w:t xml:space="preserve"> 11 (de los cuales 10 eran hombres y 1 mujer); </w:t>
      </w:r>
      <w:r w:rsidRPr="0066177F">
        <w:rPr>
          <w:rFonts w:ascii="Open Sans" w:hAnsi="Open Sans" w:cs="Arial"/>
          <w:sz w:val="20"/>
          <w:szCs w:val="20"/>
        </w:rPr>
        <w:t>Técnicos y profesionales de apoyo</w:t>
      </w:r>
      <w:r>
        <w:rPr>
          <w:rFonts w:ascii="Open Sans" w:hAnsi="Open Sans" w:cs="Arial"/>
          <w:sz w:val="20"/>
          <w:szCs w:val="20"/>
        </w:rPr>
        <w:t xml:space="preserve"> 60 (de los cuales el 58% eran hombres y el 42% mujeres); y </w:t>
      </w:r>
      <w:r w:rsidRPr="0066177F">
        <w:rPr>
          <w:rFonts w:ascii="Open Sans" w:hAnsi="Open Sans" w:cs="Arial"/>
          <w:sz w:val="20"/>
          <w:szCs w:val="20"/>
        </w:rPr>
        <w:t>Empleados contables, administrativos</w:t>
      </w:r>
      <w:r>
        <w:rPr>
          <w:rFonts w:ascii="Open Sans" w:hAnsi="Open Sans" w:cs="Arial"/>
          <w:sz w:val="20"/>
          <w:szCs w:val="20"/>
        </w:rPr>
        <w:t xml:space="preserve"> </w:t>
      </w:r>
      <w:r w:rsidRPr="0066177F">
        <w:rPr>
          <w:rFonts w:ascii="Open Sans" w:hAnsi="Open Sans" w:cs="Arial"/>
          <w:sz w:val="20"/>
          <w:szCs w:val="20"/>
        </w:rPr>
        <w:t>y de oficinas</w:t>
      </w:r>
      <w:r>
        <w:rPr>
          <w:rFonts w:ascii="Open Sans" w:hAnsi="Open Sans" w:cs="Arial"/>
          <w:sz w:val="20"/>
          <w:szCs w:val="20"/>
        </w:rPr>
        <w:t xml:space="preserve"> 43 (de los cuales el 65% eran mujeres y el 35% hombres).</w:t>
      </w:r>
    </w:p>
    <w:p w14:paraId="1BA76BC0" w14:textId="77777777" w:rsidR="003720EE" w:rsidRDefault="003720EE" w:rsidP="003720EE">
      <w:pPr>
        <w:jc w:val="both"/>
        <w:rPr>
          <w:rFonts w:ascii="Open Sans" w:hAnsi="Open Sans" w:cs="Arial"/>
          <w:sz w:val="20"/>
          <w:szCs w:val="20"/>
        </w:rPr>
      </w:pPr>
    </w:p>
    <w:p w14:paraId="00DD54A2" w14:textId="77777777" w:rsidR="003720EE" w:rsidRPr="000A5F7D" w:rsidRDefault="003720EE" w:rsidP="003720EE">
      <w:pPr>
        <w:jc w:val="both"/>
        <w:rPr>
          <w:rFonts w:ascii="Open Sans" w:hAnsi="Open Sans" w:cs="Arial"/>
          <w:sz w:val="20"/>
          <w:szCs w:val="20"/>
        </w:rPr>
      </w:pPr>
      <w:r>
        <w:rPr>
          <w:rFonts w:ascii="Open Sans" w:hAnsi="Open Sans" w:cs="Arial"/>
          <w:sz w:val="20"/>
          <w:szCs w:val="20"/>
        </w:rPr>
        <w:t xml:space="preserve">La estructura accionarial incluida por el Grupo en la información pública analizada del 2015 se refiere al 26 de febrero de 2016, distribuyéndose a dicha fecha de la siguiente forma: </w:t>
      </w:r>
      <w:r w:rsidRPr="000A5F7D">
        <w:rPr>
          <w:rFonts w:ascii="Open Sans" w:hAnsi="Open Sans" w:cs="Arial"/>
          <w:sz w:val="20"/>
          <w:szCs w:val="20"/>
        </w:rPr>
        <w:t>Black Rock 6%</w:t>
      </w:r>
      <w:r>
        <w:rPr>
          <w:rFonts w:ascii="Open Sans" w:hAnsi="Open Sans" w:cs="Arial"/>
          <w:sz w:val="20"/>
          <w:szCs w:val="20"/>
        </w:rPr>
        <w:t xml:space="preserve">, </w:t>
      </w:r>
      <w:r w:rsidRPr="000A5F7D">
        <w:rPr>
          <w:rFonts w:ascii="Open Sans" w:hAnsi="Open Sans" w:cs="Arial"/>
          <w:sz w:val="20"/>
          <w:szCs w:val="20"/>
        </w:rPr>
        <w:t>UBS 6%</w:t>
      </w:r>
      <w:r>
        <w:rPr>
          <w:rFonts w:ascii="Open Sans" w:hAnsi="Open Sans" w:cs="Arial"/>
          <w:sz w:val="20"/>
          <w:szCs w:val="20"/>
        </w:rPr>
        <w:t xml:space="preserve">, </w:t>
      </w:r>
      <w:r w:rsidRPr="000A5F7D">
        <w:rPr>
          <w:rFonts w:ascii="Open Sans" w:hAnsi="Open Sans" w:cs="Arial"/>
          <w:sz w:val="20"/>
          <w:szCs w:val="20"/>
        </w:rPr>
        <w:t>Principal</w:t>
      </w:r>
      <w:r>
        <w:rPr>
          <w:rFonts w:ascii="Open Sans" w:hAnsi="Open Sans" w:cs="Arial"/>
          <w:sz w:val="20"/>
          <w:szCs w:val="20"/>
        </w:rPr>
        <w:t xml:space="preserve"> </w:t>
      </w:r>
      <w:r w:rsidRPr="000A5F7D">
        <w:rPr>
          <w:rFonts w:ascii="Open Sans" w:hAnsi="Open Sans" w:cs="Arial"/>
          <w:sz w:val="20"/>
          <w:szCs w:val="20"/>
        </w:rPr>
        <w:t>Financial Group 3%</w:t>
      </w:r>
      <w:r>
        <w:rPr>
          <w:rFonts w:ascii="Open Sans" w:hAnsi="Open Sans" w:cs="Arial"/>
          <w:sz w:val="20"/>
          <w:szCs w:val="20"/>
        </w:rPr>
        <w:t xml:space="preserve">, </w:t>
      </w:r>
      <w:r w:rsidRPr="000A5F7D">
        <w:rPr>
          <w:rFonts w:ascii="Open Sans" w:hAnsi="Open Sans" w:cs="Arial"/>
          <w:sz w:val="20"/>
          <w:szCs w:val="20"/>
        </w:rPr>
        <w:t>INVESCO 1%</w:t>
      </w:r>
      <w:r>
        <w:rPr>
          <w:rFonts w:ascii="Open Sans" w:hAnsi="Open Sans" w:cs="Arial"/>
          <w:sz w:val="20"/>
          <w:szCs w:val="20"/>
        </w:rPr>
        <w:t xml:space="preserve"> y el restante 84% corresponde a capital flotante. </w:t>
      </w:r>
    </w:p>
    <w:p w14:paraId="460480F3" w14:textId="77777777" w:rsidR="003720EE" w:rsidRDefault="003720EE" w:rsidP="003720EE">
      <w:pPr>
        <w:jc w:val="both"/>
        <w:rPr>
          <w:rFonts w:ascii="Open Sans" w:hAnsi="Open Sans" w:cs="Arial"/>
          <w:sz w:val="20"/>
          <w:szCs w:val="20"/>
        </w:rPr>
      </w:pPr>
    </w:p>
    <w:p w14:paraId="35D3C9AA" w14:textId="77777777" w:rsidR="003720EE" w:rsidRDefault="003720EE" w:rsidP="003720EE">
      <w:pPr>
        <w:jc w:val="both"/>
        <w:rPr>
          <w:rFonts w:ascii="Open Sans" w:hAnsi="Open Sans" w:cs="Arial"/>
          <w:sz w:val="20"/>
          <w:szCs w:val="20"/>
        </w:rPr>
      </w:pPr>
      <w:r>
        <w:rPr>
          <w:rFonts w:ascii="Open Sans" w:hAnsi="Open Sans" w:cs="Arial"/>
          <w:sz w:val="20"/>
          <w:szCs w:val="20"/>
        </w:rPr>
        <w:t xml:space="preserve">Entre sus principales clientes se encuentran </w:t>
      </w:r>
      <w:r w:rsidRPr="005A7FB2">
        <w:rPr>
          <w:rFonts w:ascii="Open Sans" w:hAnsi="Open Sans" w:cs="Arial"/>
          <w:sz w:val="20"/>
          <w:szCs w:val="20"/>
        </w:rPr>
        <w:t>BBV</w:t>
      </w:r>
      <w:r>
        <w:rPr>
          <w:rFonts w:ascii="Open Sans" w:hAnsi="Open Sans" w:cs="Arial"/>
          <w:sz w:val="20"/>
          <w:szCs w:val="20"/>
        </w:rPr>
        <w:t xml:space="preserve">A, </w:t>
      </w:r>
      <w:r w:rsidRPr="005A7FB2">
        <w:rPr>
          <w:rFonts w:ascii="Open Sans" w:hAnsi="Open Sans" w:cs="Arial"/>
          <w:sz w:val="20"/>
          <w:szCs w:val="20"/>
        </w:rPr>
        <w:t>Endesa</w:t>
      </w:r>
      <w:r>
        <w:rPr>
          <w:rFonts w:ascii="Open Sans" w:hAnsi="Open Sans" w:cs="Arial"/>
          <w:sz w:val="20"/>
          <w:szCs w:val="20"/>
        </w:rPr>
        <w:t xml:space="preserve">, Ayuntamiento de Madrid, </w:t>
      </w:r>
      <w:r w:rsidRPr="005A7FB2">
        <w:rPr>
          <w:rFonts w:ascii="Open Sans" w:hAnsi="Open Sans" w:cs="Arial"/>
          <w:sz w:val="20"/>
          <w:szCs w:val="20"/>
        </w:rPr>
        <w:t>Hotusa + WTC</w:t>
      </w:r>
      <w:r>
        <w:rPr>
          <w:rFonts w:ascii="Open Sans" w:hAnsi="Open Sans" w:cs="Arial"/>
          <w:sz w:val="20"/>
          <w:szCs w:val="20"/>
        </w:rPr>
        <w:t xml:space="preserve">, </w:t>
      </w:r>
      <w:r w:rsidRPr="005A7FB2">
        <w:rPr>
          <w:rFonts w:ascii="Open Sans" w:hAnsi="Open Sans" w:cs="Arial"/>
          <w:sz w:val="20"/>
          <w:szCs w:val="20"/>
        </w:rPr>
        <w:t>PricewaterhouseCoopers, S.L.</w:t>
      </w:r>
      <w:r>
        <w:rPr>
          <w:rFonts w:ascii="Open Sans" w:hAnsi="Open Sans" w:cs="Arial"/>
          <w:sz w:val="20"/>
          <w:szCs w:val="20"/>
        </w:rPr>
        <w:t xml:space="preserve">, </w:t>
      </w:r>
      <w:r w:rsidRPr="005A7FB2">
        <w:rPr>
          <w:rFonts w:ascii="Open Sans" w:hAnsi="Open Sans" w:cs="Arial"/>
          <w:sz w:val="20"/>
          <w:szCs w:val="20"/>
        </w:rPr>
        <w:t>Caprabo</w:t>
      </w:r>
      <w:r>
        <w:rPr>
          <w:rFonts w:ascii="Open Sans" w:hAnsi="Open Sans" w:cs="Arial"/>
          <w:sz w:val="20"/>
          <w:szCs w:val="20"/>
        </w:rPr>
        <w:t xml:space="preserve">, </w:t>
      </w:r>
      <w:r w:rsidRPr="005A7FB2">
        <w:rPr>
          <w:rFonts w:ascii="Open Sans" w:hAnsi="Open Sans" w:cs="Arial"/>
          <w:sz w:val="20"/>
          <w:szCs w:val="20"/>
        </w:rPr>
        <w:t>Indra Sistemas, S.A.</w:t>
      </w:r>
      <w:r>
        <w:rPr>
          <w:rFonts w:ascii="Open Sans" w:hAnsi="Open Sans" w:cs="Arial"/>
          <w:sz w:val="20"/>
          <w:szCs w:val="20"/>
        </w:rPr>
        <w:t xml:space="preserve">, </w:t>
      </w:r>
      <w:r w:rsidRPr="005A7FB2">
        <w:rPr>
          <w:rFonts w:ascii="Open Sans" w:hAnsi="Open Sans" w:cs="Arial"/>
          <w:sz w:val="20"/>
          <w:szCs w:val="20"/>
        </w:rPr>
        <w:t>L’Oreal España, S.A.</w:t>
      </w:r>
      <w:r>
        <w:rPr>
          <w:rFonts w:ascii="Open Sans" w:hAnsi="Open Sans" w:cs="Arial"/>
          <w:sz w:val="20"/>
          <w:szCs w:val="20"/>
        </w:rPr>
        <w:t xml:space="preserve">, </w:t>
      </w:r>
      <w:r w:rsidRPr="005A7FB2">
        <w:rPr>
          <w:rFonts w:ascii="Open Sans" w:hAnsi="Open Sans" w:cs="Arial"/>
          <w:sz w:val="20"/>
          <w:szCs w:val="20"/>
        </w:rPr>
        <w:t>Sacyr, S.A.</w:t>
      </w:r>
      <w:r>
        <w:rPr>
          <w:rFonts w:ascii="Open Sans" w:hAnsi="Open Sans" w:cs="Arial"/>
          <w:sz w:val="20"/>
          <w:szCs w:val="20"/>
        </w:rPr>
        <w:t xml:space="preserve"> y </w:t>
      </w:r>
      <w:r w:rsidRPr="003C0A6C">
        <w:rPr>
          <w:rFonts w:ascii="Open Sans" w:hAnsi="Open Sans" w:cs="Arial"/>
          <w:sz w:val="20"/>
          <w:szCs w:val="20"/>
        </w:rPr>
        <w:t>Uría Menéndez Abogados, S.L.P.</w:t>
      </w:r>
      <w:r>
        <w:rPr>
          <w:rFonts w:ascii="Open Sans" w:hAnsi="Open Sans" w:cs="Arial"/>
          <w:sz w:val="20"/>
          <w:szCs w:val="20"/>
        </w:rPr>
        <w:t xml:space="preserve"> El cliente principal es BBVA con un porcentaje sobre el total de rentas de la SOCIMI en el ejercicio 2015 del 29,9%; el porcentaje sobre el total de ventas del resto de clientes aquí indicados varió entre el 7,2% y el 1,4%.</w:t>
      </w:r>
    </w:p>
    <w:p w14:paraId="18EC4678" w14:textId="77777777" w:rsidR="003720EE" w:rsidRDefault="003720EE" w:rsidP="003720EE">
      <w:pPr>
        <w:jc w:val="both"/>
        <w:rPr>
          <w:rFonts w:ascii="Open Sans" w:hAnsi="Open Sans"/>
          <w:sz w:val="20"/>
          <w:szCs w:val="20"/>
        </w:rPr>
      </w:pPr>
    </w:p>
    <w:p w14:paraId="3B58168D" w14:textId="77777777" w:rsidR="003720EE" w:rsidRDefault="003720EE" w:rsidP="003720EE">
      <w:pPr>
        <w:jc w:val="both"/>
        <w:rPr>
          <w:rFonts w:ascii="Open Sans" w:hAnsi="Open Sans" w:cs="Arial"/>
          <w:sz w:val="20"/>
          <w:szCs w:val="20"/>
        </w:rPr>
      </w:pPr>
      <w:r>
        <w:rPr>
          <w:rFonts w:ascii="Open Sans" w:hAnsi="Open Sans" w:cs="Arial"/>
          <w:sz w:val="20"/>
          <w:szCs w:val="20"/>
        </w:rPr>
        <w:t>Tal y como se refleja en las cuentas anuales consolidadas «</w:t>
      </w:r>
      <w:r w:rsidRPr="00BE450C">
        <w:rPr>
          <w:rFonts w:ascii="Open Sans" w:hAnsi="Open Sans" w:cs="Arial"/>
          <w:i/>
          <w:sz w:val="20"/>
          <w:szCs w:val="20"/>
        </w:rPr>
        <w:t>con fecha 8 de junio de 2015 la Sociedad Dominante y el accionista mayoritario de Testa Inmuebles en Renta, SOCIMI, S.A. (Sacyr, S.A.) formalizaron un acuerdo vinculante para la adquisición por parte de la Sociedad Dominante de una participación mayoritaria (99,6%) en el capital social de Testa Inmuebles en Renta, SOCIMI, S.A.</w:t>
      </w:r>
      <w:r>
        <w:rPr>
          <w:rFonts w:ascii="Open Sans" w:hAnsi="Open Sans" w:cs="Arial"/>
          <w:sz w:val="20"/>
          <w:szCs w:val="20"/>
        </w:rPr>
        <w:t xml:space="preserve">». Asimismo, durante el ejercicio 2015 Merlin Properties adquirió </w:t>
      </w:r>
      <w:r w:rsidRPr="00BE450C">
        <w:rPr>
          <w:rFonts w:ascii="Open Sans" w:hAnsi="Open Sans" w:cs="Arial"/>
          <w:sz w:val="20"/>
          <w:szCs w:val="20"/>
        </w:rPr>
        <w:t>el 100% de la participación de MPCVI – C</w:t>
      </w:r>
      <w:r>
        <w:rPr>
          <w:rFonts w:ascii="Open Sans" w:hAnsi="Open Sans" w:cs="Arial"/>
          <w:sz w:val="20"/>
          <w:szCs w:val="20"/>
        </w:rPr>
        <w:t xml:space="preserve">ompra e Venda Imobiliária, S.A., </w:t>
      </w:r>
      <w:r w:rsidRPr="00BE450C">
        <w:rPr>
          <w:rFonts w:ascii="Open Sans" w:hAnsi="Open Sans" w:cs="Arial"/>
          <w:sz w:val="20"/>
          <w:szCs w:val="20"/>
        </w:rPr>
        <w:t>el 100% de la participación de la Soc</w:t>
      </w:r>
      <w:r>
        <w:rPr>
          <w:rFonts w:ascii="Open Sans" w:hAnsi="Open Sans" w:cs="Arial"/>
          <w:sz w:val="20"/>
          <w:szCs w:val="20"/>
        </w:rPr>
        <w:t xml:space="preserve">iedad Bintan Directorship, S.L. y </w:t>
      </w:r>
      <w:r w:rsidRPr="00BE450C">
        <w:rPr>
          <w:rFonts w:ascii="Open Sans" w:hAnsi="Open Sans" w:cs="Arial"/>
          <w:sz w:val="20"/>
          <w:szCs w:val="20"/>
        </w:rPr>
        <w:t>el 100% de la participación de Obraser,</w:t>
      </w:r>
      <w:r>
        <w:rPr>
          <w:rFonts w:ascii="Open Sans" w:hAnsi="Open Sans" w:cs="Arial"/>
          <w:sz w:val="20"/>
          <w:szCs w:val="20"/>
        </w:rPr>
        <w:t xml:space="preserve"> S.A., el 32% de </w:t>
      </w:r>
      <w:r w:rsidRPr="00A048E3">
        <w:rPr>
          <w:rFonts w:ascii="Open Sans" w:hAnsi="Open Sans" w:cs="Arial"/>
          <w:sz w:val="20"/>
          <w:szCs w:val="20"/>
        </w:rPr>
        <w:t>CILSA (Centro Intermodal de Logística, S.A.)</w:t>
      </w:r>
      <w:r>
        <w:rPr>
          <w:rFonts w:ascii="Open Sans" w:hAnsi="Open Sans" w:cs="Arial"/>
          <w:sz w:val="20"/>
          <w:szCs w:val="20"/>
        </w:rPr>
        <w:t xml:space="preserve"> y aportó el 100% del capital para la constitución de la sociedad </w:t>
      </w:r>
      <w:r w:rsidRPr="00A048E3">
        <w:rPr>
          <w:rFonts w:ascii="Open Sans" w:hAnsi="Open Sans" w:cs="Arial"/>
          <w:sz w:val="20"/>
          <w:szCs w:val="20"/>
        </w:rPr>
        <w:t>MPEP - Properties Escritórios Portugal, S.A.</w:t>
      </w:r>
    </w:p>
    <w:p w14:paraId="3D65F876" w14:textId="77777777" w:rsidR="003720EE" w:rsidRDefault="003720EE" w:rsidP="003720EE">
      <w:pPr>
        <w:jc w:val="both"/>
        <w:rPr>
          <w:rFonts w:ascii="Open Sans" w:hAnsi="Open Sans" w:cs="Arial"/>
          <w:sz w:val="20"/>
          <w:szCs w:val="20"/>
        </w:rPr>
      </w:pPr>
    </w:p>
    <w:p w14:paraId="0BF9AD86" w14:textId="77777777" w:rsidR="003720EE" w:rsidRDefault="003720EE" w:rsidP="003720EE">
      <w:pPr>
        <w:jc w:val="both"/>
        <w:rPr>
          <w:rFonts w:ascii="Open Sans" w:hAnsi="Open Sans"/>
          <w:sz w:val="20"/>
          <w:szCs w:val="20"/>
        </w:rPr>
      </w:pPr>
      <w:r>
        <w:rPr>
          <w:rFonts w:ascii="Open Sans" w:hAnsi="Open Sans"/>
          <w:sz w:val="20"/>
          <w:szCs w:val="20"/>
        </w:rPr>
        <w:t xml:space="preserve">Merlin Properties está sujeta a la </w:t>
      </w:r>
      <w:r w:rsidRPr="00F22503">
        <w:rPr>
          <w:rFonts w:ascii="Open Sans" w:hAnsi="Open Sans"/>
          <w:i/>
          <w:sz w:val="20"/>
          <w:szCs w:val="20"/>
        </w:rPr>
        <w:t>Ley 11/2009, de 26 de octubre, por la que se regulan las Sociedades Anónimas Cotizadas de Inversión en el Mercado Inmobiliario</w:t>
      </w:r>
      <w:r>
        <w:rPr>
          <w:rStyle w:val="Refdenotaalpie"/>
          <w:rFonts w:ascii="Open Sans" w:hAnsi="Open Sans"/>
          <w:sz w:val="20"/>
          <w:szCs w:val="20"/>
        </w:rPr>
        <w:footnoteReference w:id="561"/>
      </w:r>
      <w:r>
        <w:rPr>
          <w:rFonts w:ascii="Open Sans" w:hAnsi="Open Sans"/>
          <w:sz w:val="20"/>
          <w:szCs w:val="20"/>
        </w:rPr>
        <w:t xml:space="preserve"> (SOCIMIs) que, a los afectos del presente análisis, implica una serie de requisitos de información y un régimen fiscal </w:t>
      </w:r>
      <w:r w:rsidRPr="007B6C7B">
        <w:rPr>
          <w:rFonts w:ascii="Open Sans" w:hAnsi="Open Sans"/>
          <w:sz w:val="20"/>
          <w:szCs w:val="20"/>
        </w:rPr>
        <w:t xml:space="preserve">especial </w:t>
      </w:r>
      <w:r>
        <w:rPr>
          <w:rFonts w:ascii="Open Sans" w:hAnsi="Open Sans"/>
          <w:sz w:val="20"/>
          <w:szCs w:val="20"/>
        </w:rPr>
        <w:t>que permite beneficiarse de un t</w:t>
      </w:r>
      <w:r w:rsidRPr="000A5F7D">
        <w:rPr>
          <w:rFonts w:ascii="Open Sans" w:hAnsi="Open Sans"/>
          <w:sz w:val="20"/>
          <w:szCs w:val="20"/>
        </w:rPr>
        <w:t xml:space="preserve">ipo de </w:t>
      </w:r>
      <w:r>
        <w:rPr>
          <w:rFonts w:ascii="Open Sans" w:hAnsi="Open Sans"/>
          <w:sz w:val="20"/>
          <w:szCs w:val="20"/>
        </w:rPr>
        <w:t>g</w:t>
      </w:r>
      <w:r w:rsidRPr="000A5F7D">
        <w:rPr>
          <w:rFonts w:ascii="Open Sans" w:hAnsi="Open Sans"/>
          <w:sz w:val="20"/>
          <w:szCs w:val="20"/>
        </w:rPr>
        <w:t>ravamen en</w:t>
      </w:r>
      <w:r>
        <w:rPr>
          <w:rFonts w:ascii="Open Sans" w:hAnsi="Open Sans"/>
          <w:sz w:val="20"/>
          <w:szCs w:val="20"/>
        </w:rPr>
        <w:t xml:space="preserve"> el</w:t>
      </w:r>
      <w:r w:rsidRPr="000A5F7D">
        <w:rPr>
          <w:rFonts w:ascii="Open Sans" w:hAnsi="Open Sans"/>
          <w:sz w:val="20"/>
          <w:szCs w:val="20"/>
        </w:rPr>
        <w:t xml:space="preserve"> Impuesto sobre Sociedades</w:t>
      </w:r>
      <w:r>
        <w:rPr>
          <w:rFonts w:ascii="Open Sans" w:hAnsi="Open Sans"/>
          <w:sz w:val="20"/>
          <w:szCs w:val="20"/>
        </w:rPr>
        <w:t xml:space="preserve"> del</w:t>
      </w:r>
      <w:r w:rsidRPr="000A5F7D">
        <w:rPr>
          <w:rFonts w:ascii="Open Sans" w:hAnsi="Open Sans"/>
          <w:sz w:val="20"/>
          <w:szCs w:val="20"/>
        </w:rPr>
        <w:t xml:space="preserve"> 0%</w:t>
      </w:r>
      <w:r>
        <w:rPr>
          <w:rFonts w:ascii="Open Sans" w:hAnsi="Open Sans"/>
          <w:sz w:val="20"/>
          <w:szCs w:val="20"/>
        </w:rPr>
        <w:t xml:space="preserve">. Tal y como </w:t>
      </w:r>
      <w:proofErr w:type="gramStart"/>
      <w:r>
        <w:rPr>
          <w:rFonts w:ascii="Open Sans" w:hAnsi="Open Sans"/>
          <w:sz w:val="20"/>
          <w:szCs w:val="20"/>
        </w:rPr>
        <w:t>publica</w:t>
      </w:r>
      <w:proofErr w:type="gramEnd"/>
      <w:r>
        <w:rPr>
          <w:rFonts w:ascii="Open Sans" w:hAnsi="Open Sans"/>
          <w:sz w:val="20"/>
          <w:szCs w:val="20"/>
        </w:rPr>
        <w:t xml:space="preserve"> la Agencia Tributaria</w:t>
      </w:r>
      <w:r>
        <w:rPr>
          <w:rStyle w:val="Refdenotaalpie"/>
          <w:rFonts w:ascii="Open Sans" w:hAnsi="Open Sans"/>
          <w:sz w:val="20"/>
          <w:szCs w:val="20"/>
        </w:rPr>
        <w:footnoteReference w:id="562"/>
      </w:r>
      <w:r>
        <w:rPr>
          <w:rFonts w:ascii="Open Sans" w:hAnsi="Open Sans"/>
          <w:sz w:val="20"/>
          <w:szCs w:val="20"/>
        </w:rPr>
        <w:t>, estos dos aspectos de la ley se materializan en lo siguiente:</w:t>
      </w:r>
    </w:p>
    <w:p w14:paraId="04829B51" w14:textId="77777777" w:rsidR="003720EE" w:rsidRDefault="003720EE" w:rsidP="003720EE">
      <w:pPr>
        <w:jc w:val="both"/>
        <w:rPr>
          <w:rFonts w:ascii="Open Sans" w:hAnsi="Open Sans"/>
          <w:sz w:val="20"/>
          <w:szCs w:val="20"/>
        </w:rPr>
      </w:pPr>
    </w:p>
    <w:p w14:paraId="218D174B" w14:textId="77777777" w:rsidR="003720EE" w:rsidRPr="00D05254" w:rsidRDefault="003720EE" w:rsidP="003720EE">
      <w:pPr>
        <w:ind w:left="708"/>
        <w:jc w:val="both"/>
        <w:rPr>
          <w:rFonts w:ascii="Open Sans" w:hAnsi="Open Sans"/>
          <w:sz w:val="20"/>
          <w:szCs w:val="20"/>
          <w:u w:val="single"/>
        </w:rPr>
      </w:pPr>
      <w:r w:rsidRPr="00D05254">
        <w:rPr>
          <w:rFonts w:ascii="Open Sans" w:hAnsi="Open Sans"/>
          <w:sz w:val="20"/>
          <w:szCs w:val="20"/>
          <w:u w:val="single"/>
        </w:rPr>
        <w:t xml:space="preserve">OBLIGACIÓN DE INFORMACIÓN </w:t>
      </w:r>
    </w:p>
    <w:p w14:paraId="3CC359CF" w14:textId="77777777" w:rsidR="003720EE" w:rsidRPr="00D05254" w:rsidRDefault="003720EE" w:rsidP="003720EE">
      <w:pPr>
        <w:ind w:left="708"/>
        <w:jc w:val="both"/>
        <w:rPr>
          <w:rFonts w:ascii="Open Sans" w:hAnsi="Open Sans"/>
          <w:sz w:val="20"/>
          <w:szCs w:val="20"/>
        </w:rPr>
      </w:pPr>
      <w:r w:rsidRPr="00D05254">
        <w:rPr>
          <w:rFonts w:ascii="Open Sans" w:hAnsi="Open Sans"/>
          <w:sz w:val="20"/>
          <w:szCs w:val="20"/>
        </w:rPr>
        <w:t>• En la memoria de las cuentas anuales deberá crearse un apartado "Exigencias informativas derivadas de la condición de SOCIMI, Ley 11/2009", en la que se incluirá la información indicada en el artículo 11 Ley 11/2009.</w:t>
      </w:r>
    </w:p>
    <w:p w14:paraId="2D593191" w14:textId="77777777" w:rsidR="003720EE" w:rsidRDefault="003720EE" w:rsidP="003720EE">
      <w:pPr>
        <w:ind w:left="708"/>
        <w:jc w:val="both"/>
        <w:rPr>
          <w:rFonts w:ascii="Open Sans" w:hAnsi="Open Sans"/>
          <w:sz w:val="20"/>
          <w:szCs w:val="20"/>
        </w:rPr>
      </w:pPr>
      <w:r w:rsidRPr="00D05254">
        <w:rPr>
          <w:rFonts w:ascii="Open Sans" w:hAnsi="Open Sans"/>
          <w:sz w:val="20"/>
          <w:szCs w:val="20"/>
        </w:rPr>
        <w:t>• Constituye infracción tributaria el incumplimiento, en relación con cada ejercicio, de las obligaciones de información. Esta infracción será grave y se sancionará de acuerdo con el mencionado artículo 11 Ley 11/2009.</w:t>
      </w:r>
    </w:p>
    <w:p w14:paraId="51CF5992" w14:textId="77777777" w:rsidR="003720EE" w:rsidRDefault="003720EE" w:rsidP="003720EE">
      <w:pPr>
        <w:jc w:val="both"/>
        <w:rPr>
          <w:rFonts w:ascii="Open Sans" w:hAnsi="Open Sans"/>
          <w:sz w:val="20"/>
          <w:szCs w:val="20"/>
        </w:rPr>
      </w:pPr>
    </w:p>
    <w:p w14:paraId="1AAC2456" w14:textId="77777777" w:rsidR="003720EE" w:rsidRPr="00D05254" w:rsidRDefault="003720EE" w:rsidP="003720EE">
      <w:pPr>
        <w:ind w:left="708"/>
        <w:jc w:val="both"/>
        <w:rPr>
          <w:rFonts w:ascii="Open Sans" w:hAnsi="Open Sans"/>
          <w:sz w:val="20"/>
          <w:szCs w:val="20"/>
          <w:u w:val="single"/>
        </w:rPr>
      </w:pPr>
      <w:r w:rsidRPr="00D05254">
        <w:rPr>
          <w:rFonts w:ascii="Open Sans" w:hAnsi="Open Sans"/>
          <w:sz w:val="20"/>
          <w:szCs w:val="20"/>
          <w:u w:val="single"/>
        </w:rPr>
        <w:t>RÉGIMEN FISCAL ESPECIAL APLICABLE A LAS SOCIMI.</w:t>
      </w:r>
    </w:p>
    <w:p w14:paraId="58FAB91A" w14:textId="77777777" w:rsidR="003720EE" w:rsidRPr="000A5F7D" w:rsidRDefault="003720EE" w:rsidP="003720EE">
      <w:pPr>
        <w:ind w:left="708"/>
        <w:jc w:val="both"/>
        <w:rPr>
          <w:rFonts w:ascii="Open Sans" w:hAnsi="Open Sans"/>
          <w:sz w:val="20"/>
          <w:szCs w:val="20"/>
        </w:rPr>
      </w:pPr>
      <w:r w:rsidRPr="000A5F7D">
        <w:rPr>
          <w:rFonts w:ascii="Open Sans" w:hAnsi="Open Sans"/>
          <w:sz w:val="20"/>
          <w:szCs w:val="20"/>
        </w:rPr>
        <w:t>1. Las entidades que opten por la aplicación del régimen fiscal especial previsto en la Ley 11/2009, se regirán por lo establecido en el TRLIS sin perjuicio de las disposiciones especiales previstas en esa Ley:</w:t>
      </w:r>
    </w:p>
    <w:p w14:paraId="259C0DB0"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Tipo de Gravamen en Impuesto sobre Sociedades: 0%.</w:t>
      </w:r>
    </w:p>
    <w:p w14:paraId="6EC5DA59"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No resultará de aplicación:</w:t>
      </w:r>
    </w:p>
    <w:p w14:paraId="37567820" w14:textId="77777777" w:rsidR="003720EE" w:rsidRPr="000A5F7D" w:rsidRDefault="003720EE" w:rsidP="003720EE">
      <w:pPr>
        <w:ind w:left="2124"/>
        <w:jc w:val="both"/>
        <w:rPr>
          <w:rFonts w:ascii="Open Sans" w:hAnsi="Open Sans"/>
          <w:sz w:val="20"/>
          <w:szCs w:val="20"/>
        </w:rPr>
      </w:pPr>
      <w:r w:rsidRPr="000A5F7D">
        <w:rPr>
          <w:rFonts w:ascii="Open Sans" w:hAnsi="Open Sans"/>
          <w:sz w:val="20"/>
          <w:szCs w:val="20"/>
        </w:rPr>
        <w:t xml:space="preserve">• Compensación de </w:t>
      </w:r>
      <w:r>
        <w:rPr>
          <w:rFonts w:ascii="Open Sans" w:hAnsi="Open Sans"/>
          <w:sz w:val="20"/>
          <w:szCs w:val="20"/>
        </w:rPr>
        <w:t>bases imponibles</w:t>
      </w:r>
      <w:r w:rsidRPr="000A5F7D">
        <w:rPr>
          <w:rFonts w:ascii="Open Sans" w:hAnsi="Open Sans"/>
          <w:sz w:val="20"/>
          <w:szCs w:val="20"/>
        </w:rPr>
        <w:t xml:space="preserve"> negativas (Art. 25 TRLIS), en caso de que se generasen cuando tributen al 0%.</w:t>
      </w:r>
    </w:p>
    <w:p w14:paraId="0B4B3DC4" w14:textId="77777777" w:rsidR="003720EE" w:rsidRPr="000A5F7D" w:rsidRDefault="003720EE" w:rsidP="003720EE">
      <w:pPr>
        <w:ind w:left="2124"/>
        <w:jc w:val="both"/>
        <w:rPr>
          <w:rFonts w:ascii="Open Sans" w:hAnsi="Open Sans"/>
          <w:sz w:val="20"/>
          <w:szCs w:val="20"/>
        </w:rPr>
      </w:pPr>
      <w:r w:rsidRPr="000A5F7D">
        <w:rPr>
          <w:rFonts w:ascii="Open Sans" w:hAnsi="Open Sans"/>
          <w:sz w:val="20"/>
          <w:szCs w:val="20"/>
        </w:rPr>
        <w:t>• Deducciones y bonificaciones establecidas en los Capítulos II, III y IV del Título VI del TRLIS.</w:t>
      </w:r>
    </w:p>
    <w:p w14:paraId="608D4F62" w14:textId="77777777" w:rsidR="003720EE" w:rsidRDefault="003720EE" w:rsidP="003720EE">
      <w:pPr>
        <w:ind w:left="1416"/>
        <w:jc w:val="both"/>
        <w:rPr>
          <w:rFonts w:ascii="Open Sans" w:hAnsi="Open Sans"/>
          <w:sz w:val="20"/>
          <w:szCs w:val="20"/>
        </w:rPr>
      </w:pPr>
      <w:r w:rsidRPr="000A5F7D">
        <w:rPr>
          <w:rFonts w:ascii="Open Sans" w:hAnsi="Open Sans"/>
          <w:sz w:val="20"/>
          <w:szCs w:val="20"/>
        </w:rPr>
        <w:t xml:space="preserve">- Deberá regularizarse y tributar de acuerdo con el régimen general y el tipo general del </w:t>
      </w:r>
      <w:r>
        <w:rPr>
          <w:rFonts w:ascii="Open Sans" w:hAnsi="Open Sans"/>
          <w:sz w:val="20"/>
          <w:szCs w:val="20"/>
        </w:rPr>
        <w:t>impuesto de sociedades (IS)</w:t>
      </w:r>
      <w:r w:rsidRPr="000A5F7D">
        <w:rPr>
          <w:rFonts w:ascii="Open Sans" w:hAnsi="Open Sans"/>
          <w:sz w:val="20"/>
          <w:szCs w:val="20"/>
        </w:rPr>
        <w:t xml:space="preserve"> en caso de incumplimiento de plazo de permanencia de 3 años (Art. 3.3 Ley 11/2009) o de que tribute por otro régimen distinto en el IS antes de que se cumpla el referido plazo de tres años.</w:t>
      </w:r>
    </w:p>
    <w:p w14:paraId="282B51DF" w14:textId="77777777" w:rsidR="003720EE" w:rsidRPr="000A5F7D" w:rsidRDefault="003720EE" w:rsidP="003720EE">
      <w:pPr>
        <w:ind w:left="1416"/>
        <w:jc w:val="both"/>
        <w:rPr>
          <w:rFonts w:ascii="Open Sans" w:hAnsi="Open Sans"/>
          <w:sz w:val="20"/>
          <w:szCs w:val="20"/>
        </w:rPr>
      </w:pPr>
    </w:p>
    <w:p w14:paraId="20F0A7BD" w14:textId="77777777" w:rsidR="003720EE" w:rsidRPr="000A5F7D" w:rsidRDefault="003720EE" w:rsidP="003720EE">
      <w:pPr>
        <w:ind w:left="708"/>
        <w:jc w:val="both"/>
        <w:rPr>
          <w:rFonts w:ascii="Open Sans" w:hAnsi="Open Sans"/>
          <w:sz w:val="20"/>
          <w:szCs w:val="20"/>
        </w:rPr>
      </w:pPr>
      <w:r w:rsidRPr="000A5F7D">
        <w:rPr>
          <w:rFonts w:ascii="Open Sans" w:hAnsi="Open Sans"/>
          <w:sz w:val="20"/>
          <w:szCs w:val="20"/>
        </w:rPr>
        <w:t xml:space="preserve">2. La entidad estará sometida a un Gravamen especial (tendrá la consideración de cuota del IS): </w:t>
      </w:r>
    </w:p>
    <w:p w14:paraId="4B5FBB53"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- 19% sobre el importe íntegro de dividendos o participaciones en beneficios distribuidos a los socios cuando:</w:t>
      </w:r>
    </w:p>
    <w:p w14:paraId="32A24BCD" w14:textId="77777777" w:rsidR="003720EE" w:rsidRPr="000A5F7D" w:rsidRDefault="003720EE" w:rsidP="003720EE">
      <w:pPr>
        <w:ind w:left="2124"/>
        <w:jc w:val="both"/>
        <w:rPr>
          <w:rFonts w:ascii="Open Sans" w:hAnsi="Open Sans"/>
          <w:sz w:val="20"/>
          <w:szCs w:val="20"/>
        </w:rPr>
      </w:pPr>
      <w:r w:rsidRPr="000A5F7D">
        <w:rPr>
          <w:rFonts w:ascii="Open Sans" w:hAnsi="Open Sans"/>
          <w:sz w:val="20"/>
          <w:szCs w:val="20"/>
        </w:rPr>
        <w:t>• La participación en el capital social de la entidad sea igual o superior al 5% y</w:t>
      </w:r>
    </w:p>
    <w:p w14:paraId="1742B97D" w14:textId="77777777" w:rsidR="003720EE" w:rsidRPr="000A5F7D" w:rsidRDefault="003720EE" w:rsidP="003720EE">
      <w:pPr>
        <w:ind w:left="2124"/>
        <w:jc w:val="both"/>
        <w:rPr>
          <w:rFonts w:ascii="Open Sans" w:hAnsi="Open Sans"/>
          <w:sz w:val="20"/>
          <w:szCs w:val="20"/>
        </w:rPr>
      </w:pPr>
      <w:r w:rsidRPr="000A5F7D">
        <w:rPr>
          <w:rFonts w:ascii="Open Sans" w:hAnsi="Open Sans"/>
          <w:sz w:val="20"/>
          <w:szCs w:val="20"/>
        </w:rPr>
        <w:t xml:space="preserve">• </w:t>
      </w:r>
      <w:proofErr w:type="gramStart"/>
      <w:r w:rsidRPr="000A5F7D">
        <w:rPr>
          <w:rFonts w:ascii="Open Sans" w:hAnsi="Open Sans"/>
          <w:sz w:val="20"/>
          <w:szCs w:val="20"/>
        </w:rPr>
        <w:t>dichos</w:t>
      </w:r>
      <w:proofErr w:type="gramEnd"/>
      <w:r w:rsidRPr="000A5F7D">
        <w:rPr>
          <w:rFonts w:ascii="Open Sans" w:hAnsi="Open Sans"/>
          <w:sz w:val="20"/>
          <w:szCs w:val="20"/>
        </w:rPr>
        <w:t xml:space="preserve"> dividendos, en sede de sus socios, estén exentos o tributen a un tipo inferior al 10%.</w:t>
      </w:r>
    </w:p>
    <w:p w14:paraId="75D2A4DB"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No aplicación: cuando el socio que percibe el dividendo sea una entidad a la que se aplique esta ley (SOCIMI).</w:t>
      </w:r>
    </w:p>
    <w:p w14:paraId="2D0B6B75"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Devengo: día del acuerdo de distribución de beneficios.</w:t>
      </w:r>
    </w:p>
    <w:p w14:paraId="2A2631C2"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xml:space="preserve">- Autoliquidación e ingreso: en el plazo de dos meses desde la fecha de devengo. </w:t>
      </w:r>
    </w:p>
    <w:p w14:paraId="164FB98B" w14:textId="77777777" w:rsidR="003720EE" w:rsidRPr="000A5F7D" w:rsidRDefault="003720EE" w:rsidP="003720EE">
      <w:pPr>
        <w:ind w:left="708"/>
        <w:jc w:val="both"/>
        <w:rPr>
          <w:rFonts w:ascii="Open Sans" w:hAnsi="Open Sans"/>
          <w:sz w:val="20"/>
          <w:szCs w:val="20"/>
        </w:rPr>
      </w:pPr>
    </w:p>
    <w:p w14:paraId="0B8DC9B7" w14:textId="77777777" w:rsidR="003720EE" w:rsidRPr="000A5F7D" w:rsidRDefault="003720EE" w:rsidP="003720EE">
      <w:pPr>
        <w:ind w:left="708"/>
        <w:jc w:val="both"/>
        <w:rPr>
          <w:rFonts w:ascii="Open Sans" w:hAnsi="Open Sans"/>
          <w:sz w:val="20"/>
          <w:szCs w:val="20"/>
        </w:rPr>
      </w:pPr>
      <w:r w:rsidRPr="000A5F7D">
        <w:rPr>
          <w:rFonts w:ascii="Open Sans" w:hAnsi="Open Sans"/>
          <w:sz w:val="20"/>
          <w:szCs w:val="20"/>
        </w:rPr>
        <w:t>3. El gravamen especial no resultará de aplicación cuando los dividendos o participaciones en beneficios:</w:t>
      </w:r>
    </w:p>
    <w:p w14:paraId="59801824" w14:textId="77777777" w:rsidR="003720EE" w:rsidRPr="000A5F7D" w:rsidRDefault="003720EE" w:rsidP="003720EE">
      <w:pPr>
        <w:ind w:left="1416"/>
        <w:jc w:val="both"/>
        <w:rPr>
          <w:rFonts w:ascii="Open Sans" w:hAnsi="Open Sans"/>
          <w:sz w:val="20"/>
          <w:szCs w:val="20"/>
        </w:rPr>
      </w:pPr>
      <w:r w:rsidRPr="000A5F7D">
        <w:rPr>
          <w:rFonts w:ascii="Open Sans" w:hAnsi="Open Sans"/>
          <w:sz w:val="20"/>
          <w:szCs w:val="20"/>
        </w:rPr>
        <w:t>- sean percibidos por entidades no residentes a las que se refiere el artículo 2.1.b) de esta Ley, respecto de aquellos socios que:</w:t>
      </w:r>
    </w:p>
    <w:p w14:paraId="222B12CB" w14:textId="77777777" w:rsidR="003720EE" w:rsidRPr="000A5F7D" w:rsidRDefault="003720EE" w:rsidP="003720EE">
      <w:pPr>
        <w:ind w:left="2124"/>
        <w:jc w:val="both"/>
        <w:rPr>
          <w:rFonts w:ascii="Open Sans" w:hAnsi="Open Sans"/>
          <w:sz w:val="20"/>
          <w:szCs w:val="20"/>
        </w:rPr>
      </w:pPr>
      <w:r w:rsidRPr="000A5F7D">
        <w:rPr>
          <w:rFonts w:ascii="Open Sans" w:hAnsi="Open Sans"/>
          <w:sz w:val="20"/>
          <w:szCs w:val="20"/>
        </w:rPr>
        <w:t xml:space="preserve">• posean una participación igual o superior al 5 % en el capital social de aquellas y </w:t>
      </w:r>
    </w:p>
    <w:p w14:paraId="697CB6EE" w14:textId="77777777" w:rsidR="003720EE" w:rsidRPr="000A5F7D" w:rsidRDefault="003720EE" w:rsidP="003720EE">
      <w:pPr>
        <w:ind w:left="2124"/>
        <w:jc w:val="both"/>
        <w:rPr>
          <w:rFonts w:ascii="Open Sans" w:hAnsi="Open Sans"/>
          <w:sz w:val="20"/>
          <w:szCs w:val="20"/>
        </w:rPr>
      </w:pPr>
      <w:r w:rsidRPr="000A5F7D">
        <w:rPr>
          <w:rFonts w:ascii="Open Sans" w:hAnsi="Open Sans"/>
          <w:sz w:val="20"/>
          <w:szCs w:val="20"/>
        </w:rPr>
        <w:t>• tributen al menos, al tipo de gravamen del 10 %.</w:t>
      </w:r>
    </w:p>
    <w:p w14:paraId="7082C9B6" w14:textId="77777777" w:rsidR="003720EE" w:rsidRPr="000A5F7D" w:rsidRDefault="003720EE" w:rsidP="003720EE">
      <w:pPr>
        <w:ind w:left="708"/>
        <w:jc w:val="both"/>
        <w:rPr>
          <w:rFonts w:ascii="Open Sans" w:hAnsi="Open Sans"/>
          <w:sz w:val="20"/>
          <w:szCs w:val="20"/>
        </w:rPr>
      </w:pPr>
    </w:p>
    <w:p w14:paraId="6481319E" w14:textId="77777777" w:rsidR="003720EE" w:rsidRDefault="003720EE" w:rsidP="003720EE">
      <w:pPr>
        <w:ind w:left="708"/>
        <w:jc w:val="both"/>
        <w:rPr>
          <w:rFonts w:ascii="Open Sans" w:hAnsi="Open Sans"/>
          <w:sz w:val="20"/>
          <w:szCs w:val="20"/>
        </w:rPr>
      </w:pPr>
      <w:r w:rsidRPr="000A5F7D">
        <w:rPr>
          <w:rFonts w:ascii="Open Sans" w:hAnsi="Open Sans"/>
          <w:sz w:val="20"/>
          <w:szCs w:val="20"/>
        </w:rPr>
        <w:t>4. En todo caso, estarán sujetos a retención los dividendos o participaciones en beneficios percibidos por contribuyentes de IS, IRNR con y sin Establecimiento Permanente (EP) y por contribuyentes de IRPF, a los que se les haya aplicado el régimen fiscal de los socios previstos en el artículo 10.1 de la Ley 11/2009.</w:t>
      </w:r>
    </w:p>
    <w:p w14:paraId="4B5966D2" w14:textId="77777777" w:rsidR="003720EE" w:rsidRDefault="003720EE" w:rsidP="003720EE">
      <w:pPr>
        <w:jc w:val="both"/>
        <w:rPr>
          <w:rFonts w:ascii="Open Sans" w:hAnsi="Open Sans"/>
          <w:sz w:val="20"/>
          <w:szCs w:val="20"/>
        </w:rPr>
      </w:pPr>
    </w:p>
    <w:p w14:paraId="3FCA59C2" w14:textId="77777777" w:rsidR="003720EE" w:rsidRDefault="003720EE" w:rsidP="003720EE">
      <w:pPr>
        <w:jc w:val="both"/>
        <w:rPr>
          <w:rFonts w:ascii="Open Sans" w:hAnsi="Open Sans"/>
          <w:sz w:val="20"/>
          <w:szCs w:val="20"/>
        </w:rPr>
      </w:pPr>
      <w:r>
        <w:rPr>
          <w:rFonts w:ascii="Open Sans" w:hAnsi="Open Sans"/>
          <w:sz w:val="20"/>
          <w:szCs w:val="20"/>
        </w:rPr>
        <w:t>Bajo determinados requisitos establecidos en el artículo 3 de la citada Ley e</w:t>
      </w:r>
      <w:r w:rsidRPr="000417B8">
        <w:rPr>
          <w:rFonts w:ascii="Open Sans" w:hAnsi="Open Sans"/>
          <w:sz w:val="20"/>
          <w:szCs w:val="20"/>
        </w:rPr>
        <w:t>l tipo de gravamen de las SOCIMI en el Impuesto sobre Sociedades se fija en el 0%. No obstante, cuando los dividendos que la SOCIMI distribuya a sus socios con un porcentaje de participación superior al 5% estén exentos o tributen a un tipo inferior al 10%, la SOCIMI estará sometida a un gravamen especial del 19%, que tendrá la consideración de cuota del Impuesto sobre Sociedades, sobre el importe del dividendo distribuido a dichos socios. De resultar aplicable, este gravamen especial deberá ser satisfecho por la SOCIMI en el plazo de dos meses desde la fecha de distribución del dividendo</w:t>
      </w:r>
    </w:p>
    <w:p w14:paraId="50E24EA7" w14:textId="77777777" w:rsidR="003720EE" w:rsidRDefault="003720EE" w:rsidP="003720EE">
      <w:pPr>
        <w:jc w:val="both"/>
        <w:rPr>
          <w:rFonts w:ascii="Open Sans" w:hAnsi="Open Sans"/>
          <w:sz w:val="20"/>
          <w:szCs w:val="20"/>
        </w:rPr>
      </w:pPr>
    </w:p>
    <w:p w14:paraId="14F03B15" w14:textId="77777777" w:rsidR="003720EE" w:rsidRDefault="003720EE" w:rsidP="003720EE">
      <w:pPr>
        <w:jc w:val="both"/>
        <w:rPr>
          <w:rFonts w:ascii="Open Sans" w:hAnsi="Open Sans"/>
          <w:sz w:val="20"/>
          <w:szCs w:val="20"/>
        </w:rPr>
      </w:pPr>
      <w:r w:rsidRPr="00F22503">
        <w:rPr>
          <w:rFonts w:ascii="Open Sans" w:hAnsi="Open Sans"/>
          <w:sz w:val="20"/>
          <w:szCs w:val="20"/>
        </w:rPr>
        <w:t xml:space="preserve">En las cuentas anuales </w:t>
      </w:r>
      <w:r>
        <w:rPr>
          <w:rFonts w:ascii="Open Sans" w:hAnsi="Open Sans"/>
          <w:sz w:val="20"/>
          <w:szCs w:val="20"/>
        </w:rPr>
        <w:t>consolidadas</w:t>
      </w:r>
      <w:r w:rsidRPr="00F22503">
        <w:rPr>
          <w:rFonts w:ascii="Open Sans" w:hAnsi="Open Sans"/>
          <w:sz w:val="20"/>
          <w:szCs w:val="20"/>
        </w:rPr>
        <w:t xml:space="preserve"> se indica que </w:t>
      </w:r>
      <w:r>
        <w:rPr>
          <w:rFonts w:ascii="Open Sans" w:hAnsi="Open Sans"/>
          <w:sz w:val="20"/>
          <w:szCs w:val="20"/>
        </w:rPr>
        <w:t xml:space="preserve">le son aplicables </w:t>
      </w:r>
      <w:r w:rsidRPr="00F22503">
        <w:rPr>
          <w:rFonts w:ascii="Open Sans" w:hAnsi="Open Sans"/>
          <w:sz w:val="20"/>
          <w:szCs w:val="20"/>
        </w:rPr>
        <w:t>los efectos de esta Ley «</w:t>
      </w:r>
      <w:r w:rsidRPr="00F22503">
        <w:rPr>
          <w:rFonts w:ascii="Open Sans" w:hAnsi="Open Sans"/>
          <w:i/>
          <w:sz w:val="20"/>
          <w:szCs w:val="20"/>
        </w:rPr>
        <w:t>desde el 1 de enero de 2014 para la Sociedad Dominante y sociedades dependientes a excepción de la subsidiaria Tree Inversiones Inmobiliarias, SOCIMI, S.A. cuyos efectos son aplicables desde el 1 de enero de 2013 y la subsidiaria Testa Inmuebles en Renta, SOCIMI, S.A. cuyos efectos son aplicables desde el 1 de enero de 2015</w:t>
      </w:r>
      <w:r w:rsidRPr="00F22503">
        <w:rPr>
          <w:rFonts w:ascii="Open Sans" w:hAnsi="Open Sans"/>
          <w:sz w:val="20"/>
          <w:szCs w:val="20"/>
        </w:rPr>
        <w:t>».</w:t>
      </w:r>
    </w:p>
    <w:p w14:paraId="5F174302" w14:textId="77777777" w:rsidR="003720EE" w:rsidRDefault="003720EE" w:rsidP="003720EE">
      <w:pPr>
        <w:jc w:val="both"/>
        <w:rPr>
          <w:rFonts w:ascii="Open Sans" w:hAnsi="Open Sans"/>
          <w:sz w:val="20"/>
          <w:szCs w:val="20"/>
        </w:rPr>
      </w:pPr>
    </w:p>
    <w:p w14:paraId="1A728E47" w14:textId="77777777" w:rsidR="003720EE" w:rsidRPr="00732FD5" w:rsidRDefault="003720EE" w:rsidP="003720EE">
      <w:pPr>
        <w:jc w:val="both"/>
        <w:rPr>
          <w:rFonts w:ascii="Open Sans" w:hAnsi="Open Sans"/>
          <w:sz w:val="22"/>
        </w:rPr>
      </w:pPr>
      <w:r>
        <w:rPr>
          <w:rFonts w:ascii="Open Sans" w:hAnsi="Open Sans"/>
          <w:sz w:val="22"/>
        </w:rPr>
        <w:br w:type="page"/>
      </w:r>
    </w:p>
    <w:p w14:paraId="37C8F882" w14:textId="77777777" w:rsidR="003720EE" w:rsidRPr="00EE1EF7" w:rsidRDefault="003720EE" w:rsidP="003720EE">
      <w:pPr>
        <w:jc w:val="both"/>
        <w:rPr>
          <w:rFonts w:ascii="Open Sans" w:hAnsi="Open Sans" w:cs="Arial"/>
          <w:b/>
          <w:sz w:val="22"/>
          <w:szCs w:val="22"/>
          <w:u w:val="single"/>
        </w:rPr>
      </w:pPr>
      <w:r w:rsidRPr="00EE1EF7">
        <w:rPr>
          <w:rFonts w:ascii="Open Sans" w:hAnsi="Open Sans" w:cs="Arial"/>
          <w:b/>
          <w:sz w:val="22"/>
          <w:szCs w:val="22"/>
          <w:u w:val="single"/>
        </w:rPr>
        <w:t>4. Análisis</w:t>
      </w:r>
    </w:p>
    <w:p w14:paraId="33F26E57" w14:textId="77777777" w:rsidR="003720EE" w:rsidRDefault="003720EE" w:rsidP="003720EE">
      <w:pPr>
        <w:jc w:val="both"/>
        <w:rPr>
          <w:rFonts w:ascii="Open Sans" w:hAnsi="Open Sans" w:cs="Arial"/>
          <w:b/>
          <w:sz w:val="22"/>
          <w:szCs w:val="22"/>
        </w:rPr>
      </w:pPr>
    </w:p>
    <w:p w14:paraId="767FD4A5" w14:textId="77777777" w:rsidR="003720EE" w:rsidRPr="00EA4DB6" w:rsidRDefault="003720EE" w:rsidP="003720EE">
      <w:pPr>
        <w:jc w:val="both"/>
        <w:rPr>
          <w:rFonts w:ascii="Open Sans" w:hAnsi="Open Sans" w:cs="Arial"/>
          <w:b/>
          <w:sz w:val="20"/>
          <w:szCs w:val="20"/>
        </w:rPr>
      </w:pPr>
      <w:r w:rsidRPr="00EA4DB6">
        <w:rPr>
          <w:rFonts w:ascii="Open Sans" w:hAnsi="Open Sans" w:cs="Arial"/>
          <w:b/>
          <w:sz w:val="20"/>
          <w:szCs w:val="20"/>
        </w:rPr>
        <w:t>Paraísos Fiscales</w:t>
      </w:r>
    </w:p>
    <w:p w14:paraId="210DC45D" w14:textId="77777777" w:rsidR="003720EE" w:rsidRPr="009F41DB" w:rsidRDefault="003720EE" w:rsidP="003720EE">
      <w:pPr>
        <w:jc w:val="both"/>
        <w:rPr>
          <w:rFonts w:ascii="Open Sans" w:hAnsi="Open Sans" w:cs="Arial"/>
          <w:sz w:val="20"/>
          <w:szCs w:val="20"/>
        </w:rPr>
      </w:pPr>
    </w:p>
    <w:p w14:paraId="2832F888" w14:textId="77777777" w:rsidR="003720EE" w:rsidRDefault="003720EE" w:rsidP="003720EE">
      <w:pPr>
        <w:jc w:val="both"/>
        <w:rPr>
          <w:rFonts w:ascii="Open Sans" w:hAnsi="Open Sans" w:cs="Arial"/>
          <w:sz w:val="20"/>
          <w:szCs w:val="20"/>
        </w:rPr>
      </w:pPr>
      <w:r w:rsidRPr="009F41DB">
        <w:rPr>
          <w:rFonts w:ascii="Open Sans" w:hAnsi="Open Sans" w:cs="Arial"/>
          <w:sz w:val="20"/>
          <w:szCs w:val="20"/>
        </w:rPr>
        <w:t xml:space="preserve">No </w:t>
      </w:r>
      <w:r>
        <w:rPr>
          <w:rFonts w:ascii="Open Sans" w:hAnsi="Open Sans" w:cs="Arial"/>
          <w:sz w:val="20"/>
          <w:szCs w:val="20"/>
        </w:rPr>
        <w:t xml:space="preserve">hay evidencia de que la empresa tenga un posicionamiento público sobre los paraísos fiscales y tampoco hace mención a que tenga presencia en países o territorios considerados paraíso o nicho fiscal. No obstante, en el Anexo I de las cuentas anuales se incluye que tiene el 100% de la empresa </w:t>
      </w:r>
      <w:r w:rsidRPr="00B075FB">
        <w:rPr>
          <w:rFonts w:ascii="Open Sans" w:hAnsi="Open Sans" w:cs="Arial"/>
          <w:sz w:val="20"/>
          <w:szCs w:val="20"/>
        </w:rPr>
        <w:t>Testa Amer</w:t>
      </w:r>
      <w:r>
        <w:rPr>
          <w:rFonts w:ascii="Open Sans" w:hAnsi="Open Sans" w:cs="Arial"/>
          <w:sz w:val="20"/>
          <w:szCs w:val="20"/>
        </w:rPr>
        <w:t>ican Real Estate Corporation con sede en EEUU (Miami) con un resultado neto de 1.339 miles de USD en el ejercicio 2015. En los documentos analizados no se ha encontrado ningún tipo de información adicional sobre las actividades desarrolladas por esta empresa, tan sólo la afirmación de que «</w:t>
      </w:r>
      <w:r w:rsidRPr="00461DAC">
        <w:rPr>
          <w:rFonts w:ascii="Open Sans" w:hAnsi="Open Sans" w:cs="Arial"/>
          <w:i/>
          <w:sz w:val="20"/>
          <w:szCs w:val="20"/>
        </w:rPr>
        <w:t>los activos, pasivos, resultados y flujos de efectivo aportados por dicha sociedad dependiente a los estados financieros consolidados del Grupo Merlin del ejercicio 2015 no son significativos</w:t>
      </w:r>
      <w:r>
        <w:rPr>
          <w:rFonts w:ascii="Open Sans" w:hAnsi="Open Sans" w:cs="Arial"/>
          <w:sz w:val="20"/>
          <w:szCs w:val="20"/>
        </w:rPr>
        <w:t>».</w:t>
      </w:r>
    </w:p>
    <w:p w14:paraId="46753D97" w14:textId="77777777" w:rsidR="003720EE" w:rsidRDefault="003720EE" w:rsidP="003720EE">
      <w:pPr>
        <w:jc w:val="both"/>
        <w:rPr>
          <w:rFonts w:ascii="Open Sans" w:hAnsi="Open Sans" w:cs="Arial"/>
          <w:sz w:val="20"/>
          <w:szCs w:val="20"/>
        </w:rPr>
      </w:pPr>
    </w:p>
    <w:p w14:paraId="1AC8AEF0" w14:textId="77777777" w:rsidR="003720EE" w:rsidRDefault="003720EE" w:rsidP="003720EE">
      <w:pPr>
        <w:jc w:val="both"/>
        <w:rPr>
          <w:rFonts w:ascii="Open Sans" w:hAnsi="Open Sans" w:cs="Arial"/>
          <w:bCs/>
          <w:sz w:val="20"/>
          <w:szCs w:val="20"/>
        </w:rPr>
      </w:pPr>
      <w:r>
        <w:rPr>
          <w:rFonts w:ascii="Open Sans" w:hAnsi="Open Sans" w:cs="Arial"/>
          <w:sz w:val="20"/>
          <w:szCs w:val="20"/>
        </w:rPr>
        <w:t>Sin embargo a través de fuentes externas</w:t>
      </w:r>
      <w:r>
        <w:rPr>
          <w:rStyle w:val="Refdenotaalpie"/>
          <w:rFonts w:ascii="Open Sans" w:hAnsi="Open Sans" w:cs="Arial"/>
          <w:sz w:val="20"/>
          <w:szCs w:val="20"/>
        </w:rPr>
        <w:footnoteReference w:id="563"/>
      </w:r>
      <w:r>
        <w:rPr>
          <w:rFonts w:ascii="Open Sans" w:hAnsi="Open Sans" w:cs="Arial"/>
          <w:sz w:val="20"/>
          <w:szCs w:val="20"/>
        </w:rPr>
        <w:t xml:space="preserve"> se ha localizado esta misma empresa domiciliada en Delaware (EEUU), territorio considerado nicho fiscal por </w:t>
      </w:r>
      <w:r>
        <w:rPr>
          <w:rFonts w:ascii="Open Sans" w:hAnsi="Open Sans" w:cs="Arial"/>
          <w:bCs/>
          <w:sz w:val="20"/>
          <w:szCs w:val="20"/>
        </w:rPr>
        <w:t>las ventajas fiscales que presenta este territorio para las sociedades no residentes.</w:t>
      </w:r>
      <w:r>
        <w:rPr>
          <w:rStyle w:val="Refdenotaalpie"/>
          <w:rFonts w:ascii="Open Sans" w:hAnsi="Open Sans" w:cs="Arial"/>
          <w:bCs/>
          <w:sz w:val="20"/>
          <w:szCs w:val="20"/>
        </w:rPr>
        <w:footnoteReference w:id="564"/>
      </w:r>
    </w:p>
    <w:p w14:paraId="1FEBE1F0" w14:textId="77777777" w:rsidR="003720EE" w:rsidRDefault="003720EE" w:rsidP="003720EE">
      <w:pPr>
        <w:jc w:val="both"/>
        <w:rPr>
          <w:rFonts w:ascii="Open Sans" w:hAnsi="Open Sans" w:cs="Arial"/>
          <w:sz w:val="20"/>
          <w:szCs w:val="20"/>
        </w:rPr>
      </w:pPr>
    </w:p>
    <w:p w14:paraId="3747893B" w14:textId="77777777" w:rsidR="003720EE" w:rsidRDefault="003720EE" w:rsidP="003720EE">
      <w:pPr>
        <w:jc w:val="both"/>
        <w:rPr>
          <w:rFonts w:ascii="Open Sans" w:hAnsi="Open Sans" w:cs="Arial"/>
          <w:sz w:val="20"/>
          <w:szCs w:val="20"/>
        </w:rPr>
      </w:pPr>
    </w:p>
    <w:tbl>
      <w:tblPr>
        <w:tblW w:w="8510" w:type="dxa"/>
        <w:tblInd w:w="65" w:type="dxa"/>
        <w:tblLayout w:type="fixed"/>
        <w:tblCellMar>
          <w:left w:w="70" w:type="dxa"/>
          <w:right w:w="70" w:type="dxa"/>
        </w:tblCellMar>
        <w:tblLook w:val="00A0" w:firstRow="1" w:lastRow="0" w:firstColumn="1" w:lastColumn="0" w:noHBand="0" w:noVBand="0"/>
      </w:tblPr>
      <w:tblGrid>
        <w:gridCol w:w="3549"/>
        <w:gridCol w:w="2552"/>
        <w:gridCol w:w="2409"/>
      </w:tblGrid>
      <w:tr w:rsidR="003720EE" w:rsidRPr="00AA02EE" w14:paraId="500E3BCC" w14:textId="77777777" w:rsidTr="00A764EF">
        <w:trPr>
          <w:trHeight w:val="370"/>
        </w:trPr>
        <w:tc>
          <w:tcPr>
            <w:tcW w:w="3549" w:type="dxa"/>
            <w:tcBorders>
              <w:top w:val="single" w:sz="4" w:space="0" w:color="auto"/>
              <w:left w:val="single" w:sz="4" w:space="0" w:color="auto"/>
              <w:bottom w:val="single" w:sz="4" w:space="0" w:color="auto"/>
              <w:right w:val="single" w:sz="4" w:space="0" w:color="auto"/>
            </w:tcBorders>
            <w:shd w:val="clear" w:color="000000" w:fill="C0C0C0"/>
            <w:noWrap/>
            <w:vAlign w:val="center"/>
          </w:tcPr>
          <w:p w14:paraId="4E687C7E" w14:textId="77777777" w:rsidR="003720EE" w:rsidRPr="006553D4" w:rsidRDefault="003720EE" w:rsidP="00A764EF">
            <w:pPr>
              <w:jc w:val="center"/>
              <w:rPr>
                <w:rFonts w:ascii="Open Sans" w:hAnsi="Open Sans" w:cs="Arial"/>
                <w:b/>
                <w:bCs/>
                <w:color w:val="000000"/>
                <w:sz w:val="20"/>
                <w:szCs w:val="20"/>
              </w:rPr>
            </w:pPr>
            <w:r w:rsidRPr="006553D4">
              <w:rPr>
                <w:rFonts w:ascii="Open Sans" w:hAnsi="Open Sans" w:cs="Arial"/>
                <w:b/>
                <w:bCs/>
                <w:color w:val="000000"/>
                <w:sz w:val="20"/>
                <w:szCs w:val="20"/>
              </w:rPr>
              <w:t>Nombre de la Sociedad</w:t>
            </w:r>
          </w:p>
        </w:tc>
        <w:tc>
          <w:tcPr>
            <w:tcW w:w="2552" w:type="dxa"/>
            <w:tcBorders>
              <w:top w:val="single" w:sz="4" w:space="0" w:color="auto"/>
              <w:left w:val="nil"/>
              <w:bottom w:val="single" w:sz="4" w:space="0" w:color="auto"/>
              <w:right w:val="single" w:sz="4" w:space="0" w:color="auto"/>
            </w:tcBorders>
            <w:shd w:val="clear" w:color="000000" w:fill="C0C0C0"/>
            <w:noWrap/>
            <w:vAlign w:val="center"/>
          </w:tcPr>
          <w:p w14:paraId="197CC25F" w14:textId="77777777" w:rsidR="003720EE" w:rsidRPr="006553D4" w:rsidRDefault="003720EE" w:rsidP="00A764EF">
            <w:pPr>
              <w:jc w:val="center"/>
              <w:rPr>
                <w:rFonts w:ascii="Open Sans" w:hAnsi="Open Sans" w:cs="Arial"/>
                <w:b/>
                <w:bCs/>
                <w:color w:val="000000"/>
                <w:sz w:val="20"/>
                <w:szCs w:val="20"/>
              </w:rPr>
            </w:pPr>
            <w:r w:rsidRPr="006553D4">
              <w:rPr>
                <w:rFonts w:ascii="Open Sans" w:hAnsi="Open Sans" w:cs="Arial"/>
                <w:b/>
                <w:bCs/>
                <w:color w:val="000000"/>
                <w:sz w:val="20"/>
                <w:szCs w:val="20"/>
              </w:rPr>
              <w:t>Domicilio</w:t>
            </w:r>
          </w:p>
        </w:tc>
        <w:tc>
          <w:tcPr>
            <w:tcW w:w="2409" w:type="dxa"/>
            <w:tcBorders>
              <w:top w:val="single" w:sz="4" w:space="0" w:color="auto"/>
              <w:left w:val="nil"/>
              <w:bottom w:val="single" w:sz="4" w:space="0" w:color="auto"/>
              <w:right w:val="single" w:sz="4" w:space="0" w:color="auto"/>
            </w:tcBorders>
            <w:shd w:val="clear" w:color="000000" w:fill="C0C0C0"/>
            <w:noWrap/>
            <w:vAlign w:val="center"/>
          </w:tcPr>
          <w:p w14:paraId="62396CC2" w14:textId="77777777" w:rsidR="003720EE" w:rsidRPr="006553D4" w:rsidRDefault="003720EE" w:rsidP="00A764EF">
            <w:pPr>
              <w:jc w:val="center"/>
              <w:rPr>
                <w:rFonts w:ascii="Open Sans" w:hAnsi="Open Sans" w:cs="Arial"/>
                <w:b/>
                <w:bCs/>
                <w:color w:val="000000"/>
                <w:sz w:val="20"/>
                <w:szCs w:val="20"/>
              </w:rPr>
            </w:pPr>
            <w:r w:rsidRPr="006553D4">
              <w:rPr>
                <w:rFonts w:ascii="Open Sans" w:hAnsi="Open Sans" w:cs="Arial"/>
                <w:b/>
                <w:bCs/>
                <w:color w:val="000000"/>
                <w:sz w:val="20"/>
                <w:szCs w:val="20"/>
              </w:rPr>
              <w:t>Actividad</w:t>
            </w:r>
          </w:p>
        </w:tc>
      </w:tr>
      <w:tr w:rsidR="003720EE" w:rsidRPr="00AA02EE" w14:paraId="34168BC4" w14:textId="77777777" w:rsidTr="00A764EF">
        <w:trPr>
          <w:trHeight w:val="480"/>
        </w:trPr>
        <w:tc>
          <w:tcPr>
            <w:tcW w:w="3549" w:type="dxa"/>
            <w:tcBorders>
              <w:top w:val="nil"/>
              <w:left w:val="single" w:sz="4" w:space="0" w:color="auto"/>
              <w:bottom w:val="single" w:sz="4" w:space="0" w:color="auto"/>
              <w:right w:val="single" w:sz="4" w:space="0" w:color="auto"/>
            </w:tcBorders>
            <w:noWrap/>
            <w:vAlign w:val="center"/>
          </w:tcPr>
          <w:p w14:paraId="4D18DB79" w14:textId="77777777" w:rsidR="003720EE" w:rsidRPr="00E3188A" w:rsidRDefault="003720EE" w:rsidP="00A764EF">
            <w:pPr>
              <w:rPr>
                <w:rFonts w:ascii="Open Sans" w:hAnsi="Open Sans" w:cs="Arial"/>
                <w:sz w:val="20"/>
                <w:szCs w:val="20"/>
              </w:rPr>
            </w:pPr>
            <w:r w:rsidRPr="00E3188A">
              <w:rPr>
                <w:rFonts w:ascii="Open Sans" w:hAnsi="Open Sans" w:cs="Arial"/>
                <w:sz w:val="20"/>
                <w:szCs w:val="20"/>
              </w:rPr>
              <w:t>Testa American Real Estate Corporation</w:t>
            </w:r>
          </w:p>
        </w:tc>
        <w:tc>
          <w:tcPr>
            <w:tcW w:w="2552" w:type="dxa"/>
            <w:tcBorders>
              <w:top w:val="nil"/>
              <w:left w:val="nil"/>
              <w:bottom w:val="single" w:sz="4" w:space="0" w:color="auto"/>
              <w:right w:val="single" w:sz="4" w:space="0" w:color="auto"/>
            </w:tcBorders>
            <w:vAlign w:val="center"/>
          </w:tcPr>
          <w:p w14:paraId="4DA88D0B" w14:textId="77777777" w:rsidR="003720EE" w:rsidRPr="00E3188A" w:rsidRDefault="003720EE" w:rsidP="00A764EF">
            <w:pPr>
              <w:rPr>
                <w:rFonts w:ascii="Open Sans" w:hAnsi="Open Sans" w:cs="Arial"/>
                <w:sz w:val="20"/>
                <w:szCs w:val="20"/>
              </w:rPr>
            </w:pPr>
            <w:r w:rsidRPr="00E3188A">
              <w:rPr>
                <w:rFonts w:ascii="Open Sans" w:hAnsi="Open Sans" w:cs="Arial"/>
                <w:sz w:val="20"/>
                <w:szCs w:val="20"/>
              </w:rPr>
              <w:t>Delaware (EEUU)</w:t>
            </w:r>
          </w:p>
        </w:tc>
        <w:tc>
          <w:tcPr>
            <w:tcW w:w="2409" w:type="dxa"/>
            <w:tcBorders>
              <w:top w:val="nil"/>
              <w:left w:val="nil"/>
              <w:bottom w:val="single" w:sz="4" w:space="0" w:color="auto"/>
              <w:right w:val="single" w:sz="4" w:space="0" w:color="auto"/>
            </w:tcBorders>
            <w:vAlign w:val="center"/>
          </w:tcPr>
          <w:p w14:paraId="5637C1E7" w14:textId="77777777" w:rsidR="003720EE" w:rsidRPr="00E3188A" w:rsidRDefault="003720EE" w:rsidP="00A764EF">
            <w:pPr>
              <w:rPr>
                <w:rFonts w:ascii="Open Sans" w:hAnsi="Open Sans" w:cs="Arial"/>
                <w:sz w:val="20"/>
                <w:szCs w:val="20"/>
              </w:rPr>
            </w:pPr>
            <w:r w:rsidRPr="00E3188A">
              <w:rPr>
                <w:rFonts w:ascii="Open Sans" w:hAnsi="Open Sans" w:cs="Arial"/>
                <w:sz w:val="20"/>
                <w:szCs w:val="20"/>
              </w:rPr>
              <w:t>Patrimonio en renta</w:t>
            </w:r>
          </w:p>
        </w:tc>
      </w:tr>
    </w:tbl>
    <w:p w14:paraId="5FFCB7AA" w14:textId="77777777" w:rsidR="003720EE" w:rsidRDefault="003720EE" w:rsidP="003720EE">
      <w:pPr>
        <w:rPr>
          <w:rFonts w:ascii="Open Sans" w:hAnsi="Open Sans" w:cs="Arial"/>
          <w:bCs/>
          <w:sz w:val="22"/>
          <w:szCs w:val="22"/>
        </w:rPr>
      </w:pPr>
    </w:p>
    <w:p w14:paraId="7D1EF050" w14:textId="77777777" w:rsidR="003720EE" w:rsidRPr="000B73F1" w:rsidRDefault="003720EE" w:rsidP="003720EE">
      <w:pPr>
        <w:jc w:val="both"/>
        <w:rPr>
          <w:rFonts w:ascii="Open Sans" w:hAnsi="Open Sans" w:cs="Arial"/>
          <w:bCs/>
          <w:sz w:val="20"/>
          <w:szCs w:val="20"/>
        </w:rPr>
      </w:pPr>
      <w:r>
        <w:rPr>
          <w:rFonts w:ascii="Open Sans" w:hAnsi="Open Sans" w:cs="Arial"/>
          <w:bCs/>
          <w:sz w:val="20"/>
          <w:szCs w:val="20"/>
        </w:rPr>
        <w:t>Se desconocen las implicaciones de registrar la sociedad en Delaware al no facilitar la empresa más información en relación a actividades desarrolladas, volumen de negocio, operaciones intragrupales, empleados, resultado contable, base imponible e impuesto sobre beneficios.</w:t>
      </w:r>
    </w:p>
    <w:p w14:paraId="26F61B0F" w14:textId="77777777" w:rsidR="003720EE" w:rsidRDefault="003720EE" w:rsidP="003720EE">
      <w:pPr>
        <w:jc w:val="both"/>
        <w:rPr>
          <w:rFonts w:ascii="Open Sans" w:hAnsi="Open Sans" w:cs="Arial"/>
          <w:b/>
          <w:sz w:val="22"/>
          <w:szCs w:val="22"/>
        </w:rPr>
      </w:pPr>
    </w:p>
    <w:p w14:paraId="4A78DACD" w14:textId="77777777" w:rsidR="003720EE" w:rsidRPr="00EA4DB6" w:rsidRDefault="003720EE" w:rsidP="003720EE">
      <w:pPr>
        <w:jc w:val="both"/>
        <w:rPr>
          <w:rFonts w:ascii="Open Sans" w:hAnsi="Open Sans" w:cs="Arial"/>
          <w:b/>
          <w:sz w:val="20"/>
          <w:szCs w:val="20"/>
        </w:rPr>
      </w:pPr>
      <w:r w:rsidRPr="00EA4DB6">
        <w:rPr>
          <w:rFonts w:ascii="Open Sans" w:hAnsi="Open Sans" w:cs="Arial"/>
          <w:b/>
          <w:sz w:val="20"/>
          <w:szCs w:val="20"/>
        </w:rPr>
        <w:t>Política y estrategia</w:t>
      </w:r>
    </w:p>
    <w:p w14:paraId="196EC7D6" w14:textId="77777777" w:rsidR="003720EE" w:rsidRDefault="003720EE" w:rsidP="003720EE">
      <w:pPr>
        <w:rPr>
          <w:rFonts w:ascii="Open Sans" w:hAnsi="Open Sans" w:cs="Arial"/>
          <w:bCs/>
          <w:sz w:val="20"/>
          <w:szCs w:val="20"/>
        </w:rPr>
      </w:pPr>
    </w:p>
    <w:p w14:paraId="49F51CA8" w14:textId="77777777" w:rsidR="003720EE" w:rsidRDefault="003720EE" w:rsidP="003720EE">
      <w:pPr>
        <w:jc w:val="both"/>
        <w:rPr>
          <w:rFonts w:ascii="Open Sans" w:hAnsi="Open Sans" w:cs="Arial"/>
          <w:bCs/>
          <w:sz w:val="20"/>
          <w:szCs w:val="20"/>
        </w:rPr>
      </w:pPr>
      <w:r>
        <w:rPr>
          <w:rFonts w:ascii="Open Sans" w:hAnsi="Open Sans" w:cs="Arial"/>
          <w:bCs/>
          <w:sz w:val="20"/>
          <w:szCs w:val="20"/>
        </w:rPr>
        <w:t>En la información analizada no se ha encontrado evidencia de la existencia de una política o estrategia fiscal para las empresas que constituyen el Grupo ni declaraciones que muestren compromisos expresos para el cumplimiento de principios o buenas prácticas en el ámbito fiscal. Tampoco se evidencia la adhesión a ningún código de conducta.</w:t>
      </w:r>
    </w:p>
    <w:p w14:paraId="5B59308C" w14:textId="77777777" w:rsidR="003720EE" w:rsidRPr="00C12720" w:rsidRDefault="003720EE" w:rsidP="003720EE">
      <w:pPr>
        <w:jc w:val="both"/>
        <w:rPr>
          <w:rFonts w:ascii="Open Sans" w:hAnsi="Open Sans" w:cs="Arial"/>
          <w:bCs/>
          <w:sz w:val="20"/>
          <w:szCs w:val="20"/>
        </w:rPr>
      </w:pPr>
    </w:p>
    <w:p w14:paraId="07A84AB2" w14:textId="77777777" w:rsidR="003720EE" w:rsidRDefault="003720EE" w:rsidP="003720EE">
      <w:pPr>
        <w:jc w:val="both"/>
        <w:rPr>
          <w:rFonts w:ascii="Open Sans" w:hAnsi="Open Sans" w:cs="Arial"/>
          <w:bCs/>
          <w:sz w:val="20"/>
          <w:szCs w:val="20"/>
        </w:rPr>
      </w:pPr>
      <w:r>
        <w:rPr>
          <w:rFonts w:ascii="Open Sans" w:hAnsi="Open Sans" w:cs="Arial"/>
          <w:bCs/>
          <w:sz w:val="20"/>
          <w:szCs w:val="20"/>
        </w:rPr>
        <w:t>A pesar de que e</w:t>
      </w:r>
      <w:r w:rsidRPr="00DB0198">
        <w:rPr>
          <w:rFonts w:ascii="Open Sans" w:hAnsi="Open Sans" w:cs="Arial"/>
          <w:bCs/>
          <w:sz w:val="20"/>
          <w:szCs w:val="20"/>
        </w:rPr>
        <w:t xml:space="preserve">n </w:t>
      </w:r>
      <w:r>
        <w:rPr>
          <w:rFonts w:ascii="Open Sans" w:hAnsi="Open Sans" w:cs="Arial"/>
          <w:bCs/>
          <w:sz w:val="20"/>
          <w:szCs w:val="20"/>
        </w:rPr>
        <w:t xml:space="preserve">las cuentas </w:t>
      </w:r>
      <w:r w:rsidRPr="00DB0198">
        <w:rPr>
          <w:rFonts w:ascii="Open Sans" w:hAnsi="Open Sans" w:cs="Arial"/>
          <w:bCs/>
          <w:sz w:val="20"/>
          <w:szCs w:val="20"/>
        </w:rPr>
        <w:t>anuales</w:t>
      </w:r>
      <w:r>
        <w:rPr>
          <w:rFonts w:ascii="Open Sans" w:hAnsi="Open Sans" w:cs="Arial"/>
          <w:bCs/>
          <w:sz w:val="20"/>
          <w:szCs w:val="20"/>
        </w:rPr>
        <w:t xml:space="preserve"> consolidadas</w:t>
      </w:r>
      <w:r w:rsidRPr="00DB0198">
        <w:rPr>
          <w:rFonts w:ascii="Open Sans" w:hAnsi="Open Sans" w:cs="Arial"/>
          <w:bCs/>
          <w:sz w:val="20"/>
          <w:szCs w:val="20"/>
        </w:rPr>
        <w:t xml:space="preserve"> se refleja </w:t>
      </w:r>
      <w:r>
        <w:rPr>
          <w:rFonts w:ascii="Open Sans" w:hAnsi="Open Sans" w:cs="Arial"/>
          <w:bCs/>
          <w:sz w:val="20"/>
          <w:szCs w:val="20"/>
        </w:rPr>
        <w:t xml:space="preserve">explícitamente </w:t>
      </w:r>
      <w:r w:rsidRPr="00DB0198">
        <w:rPr>
          <w:rFonts w:ascii="Open Sans" w:hAnsi="Open Sans" w:cs="Arial"/>
          <w:bCs/>
          <w:sz w:val="20"/>
          <w:szCs w:val="20"/>
        </w:rPr>
        <w:t>el ri</w:t>
      </w:r>
      <w:r>
        <w:rPr>
          <w:rFonts w:ascii="Open Sans" w:hAnsi="Open Sans" w:cs="Arial"/>
          <w:bCs/>
          <w:sz w:val="20"/>
          <w:szCs w:val="20"/>
        </w:rPr>
        <w:t xml:space="preserve">esgo fiscal como uno de los riesgos a los que se encuentran expuestas las empresas del Grupo, no se ha hallado evidencia de que existan medidas para mitigarlo. </w:t>
      </w:r>
    </w:p>
    <w:p w14:paraId="5E464E5A" w14:textId="77777777" w:rsidR="003720EE" w:rsidRDefault="003720EE" w:rsidP="003720EE">
      <w:pPr>
        <w:jc w:val="both"/>
        <w:rPr>
          <w:rFonts w:ascii="Open Sans" w:hAnsi="Open Sans" w:cs="Arial"/>
          <w:bCs/>
          <w:sz w:val="20"/>
          <w:szCs w:val="20"/>
        </w:rPr>
      </w:pPr>
    </w:p>
    <w:p w14:paraId="4A38BBAB" w14:textId="77777777" w:rsidR="003720EE" w:rsidRDefault="003720EE" w:rsidP="003720EE">
      <w:pPr>
        <w:jc w:val="both"/>
        <w:rPr>
          <w:rFonts w:ascii="Open Sans" w:hAnsi="Open Sans" w:cs="Arial"/>
          <w:bCs/>
          <w:sz w:val="20"/>
          <w:szCs w:val="20"/>
        </w:rPr>
      </w:pPr>
      <w:r>
        <w:rPr>
          <w:rFonts w:ascii="Open Sans" w:hAnsi="Open Sans" w:cs="Arial"/>
          <w:bCs/>
          <w:sz w:val="20"/>
          <w:szCs w:val="20"/>
        </w:rPr>
        <w:t xml:space="preserve">La información analizada permite deducir que el Grupo limita el riesgo fiscal a un </w:t>
      </w:r>
      <w:r w:rsidRPr="00DB0198">
        <w:rPr>
          <w:rFonts w:ascii="Open Sans" w:hAnsi="Open Sans" w:cs="Arial"/>
          <w:bCs/>
          <w:sz w:val="20"/>
          <w:szCs w:val="20"/>
        </w:rPr>
        <w:t>caso</w:t>
      </w:r>
      <w:r>
        <w:rPr>
          <w:rFonts w:ascii="Open Sans" w:hAnsi="Open Sans" w:cs="Arial"/>
          <w:bCs/>
          <w:sz w:val="20"/>
          <w:szCs w:val="20"/>
        </w:rPr>
        <w:t xml:space="preserve">: </w:t>
      </w:r>
      <w:r w:rsidRPr="00DB0198">
        <w:rPr>
          <w:rFonts w:ascii="Open Sans" w:hAnsi="Open Sans" w:cs="Arial"/>
          <w:bCs/>
          <w:i/>
          <w:sz w:val="20"/>
          <w:szCs w:val="20"/>
        </w:rPr>
        <w:t>«que la Junta de Accionistas de dichas Sociedades no aprobase la distribución de dividendos propuesta por el Consejo de Administración, que ha sido calculada siguiendo los requisitos expuestos en la citada ley, no estarían cumpliendo con la misma, y por tanto deberán tributar bajo el régimen fiscal general y no el aplicable a las SOCIMIs</w:t>
      </w:r>
      <w:r>
        <w:rPr>
          <w:rFonts w:ascii="Open Sans" w:hAnsi="Open Sans" w:cs="Arial"/>
          <w:bCs/>
          <w:sz w:val="20"/>
          <w:szCs w:val="20"/>
        </w:rPr>
        <w:t>».</w:t>
      </w:r>
    </w:p>
    <w:p w14:paraId="7D847B50" w14:textId="77777777" w:rsidR="003720EE" w:rsidRDefault="003720EE" w:rsidP="003720EE">
      <w:pPr>
        <w:jc w:val="both"/>
        <w:rPr>
          <w:rFonts w:ascii="Open Sans" w:hAnsi="Open Sans" w:cs="Arial"/>
          <w:bCs/>
          <w:sz w:val="20"/>
          <w:szCs w:val="20"/>
        </w:rPr>
      </w:pPr>
    </w:p>
    <w:p w14:paraId="5E7BB75A" w14:textId="77777777" w:rsidR="003720EE" w:rsidRDefault="003720EE" w:rsidP="003720EE">
      <w:pPr>
        <w:jc w:val="both"/>
        <w:rPr>
          <w:rFonts w:ascii="Open Sans" w:hAnsi="Open Sans" w:cs="Arial"/>
          <w:bCs/>
          <w:sz w:val="20"/>
          <w:szCs w:val="20"/>
        </w:rPr>
      </w:pPr>
      <w:r>
        <w:rPr>
          <w:rFonts w:ascii="Open Sans" w:hAnsi="Open Sans" w:cs="Arial"/>
          <w:bCs/>
          <w:sz w:val="20"/>
          <w:szCs w:val="20"/>
        </w:rPr>
        <w:t>No se ha encontrado</w:t>
      </w:r>
      <w:r w:rsidRPr="00DB0198">
        <w:rPr>
          <w:rFonts w:ascii="Open Sans" w:hAnsi="Open Sans" w:cs="Arial"/>
          <w:bCs/>
          <w:sz w:val="20"/>
          <w:szCs w:val="20"/>
        </w:rPr>
        <w:t xml:space="preserve"> información </w:t>
      </w:r>
      <w:r>
        <w:rPr>
          <w:rFonts w:ascii="Open Sans" w:hAnsi="Open Sans" w:cs="Arial"/>
          <w:bCs/>
          <w:sz w:val="20"/>
          <w:szCs w:val="20"/>
        </w:rPr>
        <w:t>que permita saber la materialización de este riesgo ni de ningún otro. Ún</w:t>
      </w:r>
      <w:r w:rsidRPr="00DB0198">
        <w:rPr>
          <w:rFonts w:ascii="Open Sans" w:hAnsi="Open Sans" w:cs="Arial"/>
          <w:bCs/>
          <w:sz w:val="20"/>
          <w:szCs w:val="20"/>
        </w:rPr>
        <w:t>icament</w:t>
      </w:r>
      <w:r>
        <w:rPr>
          <w:rFonts w:ascii="Open Sans" w:hAnsi="Open Sans" w:cs="Arial"/>
          <w:bCs/>
          <w:sz w:val="20"/>
          <w:szCs w:val="20"/>
        </w:rPr>
        <w:t>e se indica en el informe de Gobierno Corporativo que «</w:t>
      </w:r>
      <w:r>
        <w:rPr>
          <w:rFonts w:ascii="Open Sans" w:hAnsi="Open Sans" w:cs="Arial"/>
          <w:bCs/>
          <w:i/>
          <w:sz w:val="20"/>
          <w:szCs w:val="20"/>
        </w:rPr>
        <w:t>e</w:t>
      </w:r>
      <w:r w:rsidRPr="00AF1E7C">
        <w:rPr>
          <w:rFonts w:ascii="Open Sans" w:hAnsi="Open Sans" w:cs="Arial"/>
          <w:bCs/>
          <w:i/>
          <w:sz w:val="20"/>
          <w:szCs w:val="20"/>
        </w:rPr>
        <w:t>n el ejercicio 2015 se han materializado los riesgos propios del sector en el que opera MERLIN, si bien teniendo en cuenta la filosofía conservadora de la Compañía, los impactos no han sido relevantes</w:t>
      </w:r>
      <w:r>
        <w:rPr>
          <w:rFonts w:ascii="Open Sans" w:hAnsi="Open Sans" w:cs="Arial"/>
          <w:bCs/>
          <w:sz w:val="20"/>
          <w:szCs w:val="20"/>
        </w:rPr>
        <w:t>».</w:t>
      </w:r>
    </w:p>
    <w:p w14:paraId="4B35EB4F" w14:textId="77777777" w:rsidR="003720EE" w:rsidRDefault="003720EE" w:rsidP="003720EE">
      <w:pPr>
        <w:rPr>
          <w:rFonts w:ascii="Open Sans" w:hAnsi="Open Sans" w:cs="Arial"/>
          <w:bCs/>
          <w:sz w:val="20"/>
          <w:szCs w:val="20"/>
        </w:rPr>
      </w:pPr>
    </w:p>
    <w:p w14:paraId="6E9119F3" w14:textId="77777777" w:rsidR="003720EE" w:rsidRDefault="003720EE" w:rsidP="003720EE">
      <w:pPr>
        <w:jc w:val="both"/>
        <w:rPr>
          <w:rFonts w:ascii="Open Sans" w:hAnsi="Open Sans" w:cs="Arial"/>
          <w:bCs/>
          <w:sz w:val="20"/>
          <w:szCs w:val="20"/>
        </w:rPr>
      </w:pPr>
      <w:r>
        <w:rPr>
          <w:rFonts w:ascii="Open Sans" w:hAnsi="Open Sans" w:cs="Arial"/>
          <w:bCs/>
          <w:sz w:val="20"/>
          <w:szCs w:val="20"/>
        </w:rPr>
        <w:t>Por lo que se refiere al tratamiento de los temas fiscales por parte del Consejo y de sus Comisiones, únicamente se ha encontrado que e</w:t>
      </w:r>
      <w:r w:rsidRPr="00376448">
        <w:rPr>
          <w:rFonts w:ascii="Open Sans" w:hAnsi="Open Sans" w:cs="Arial"/>
          <w:bCs/>
          <w:sz w:val="20"/>
          <w:szCs w:val="20"/>
        </w:rPr>
        <w:t xml:space="preserve">n el Informe de la Comisión de Auditoría </w:t>
      </w:r>
      <w:r>
        <w:rPr>
          <w:rFonts w:ascii="Open Sans" w:hAnsi="Open Sans" w:cs="Arial"/>
          <w:bCs/>
          <w:sz w:val="20"/>
          <w:szCs w:val="20"/>
        </w:rPr>
        <w:t>se refleja entre sus funciones: «</w:t>
      </w:r>
      <w:r w:rsidRPr="00376448">
        <w:rPr>
          <w:rFonts w:ascii="Open Sans" w:hAnsi="Open Sans" w:cs="Arial"/>
          <w:bCs/>
          <w:i/>
          <w:sz w:val="20"/>
          <w:szCs w:val="20"/>
        </w:rPr>
        <w:t>informar al Consejo de Administración sobre la creación o adquisición de participaciones en entidades de propósito especial o domiciliadas en países o territorios que tengan la consideración de paraísos fiscales</w:t>
      </w:r>
      <w:r>
        <w:rPr>
          <w:rFonts w:ascii="Open Sans" w:hAnsi="Open Sans" w:cs="Arial"/>
          <w:bCs/>
          <w:sz w:val="20"/>
          <w:szCs w:val="20"/>
        </w:rPr>
        <w:t>»</w:t>
      </w:r>
      <w:r w:rsidRPr="00376448">
        <w:rPr>
          <w:rFonts w:ascii="Open Sans" w:hAnsi="Open Sans" w:cs="Arial"/>
          <w:bCs/>
          <w:sz w:val="20"/>
          <w:szCs w:val="20"/>
        </w:rPr>
        <w:t>. El informe es muy completo en lo que se refiere a las actividades desarrolladas por el Comité pero en ninguno de ellos se citan expresamente aspectos fiscales</w:t>
      </w:r>
      <w:r>
        <w:rPr>
          <w:rFonts w:ascii="Open Sans" w:hAnsi="Open Sans" w:cs="Arial"/>
          <w:bCs/>
          <w:sz w:val="20"/>
          <w:szCs w:val="20"/>
        </w:rPr>
        <w:t>.</w:t>
      </w:r>
    </w:p>
    <w:p w14:paraId="4F9D80D4" w14:textId="77777777" w:rsidR="003720EE" w:rsidRDefault="003720EE" w:rsidP="003720EE">
      <w:pPr>
        <w:jc w:val="both"/>
        <w:rPr>
          <w:rFonts w:ascii="Open Sans" w:hAnsi="Open Sans" w:cs="Arial"/>
          <w:bCs/>
          <w:sz w:val="20"/>
          <w:szCs w:val="20"/>
        </w:rPr>
      </w:pPr>
    </w:p>
    <w:p w14:paraId="6864211A" w14:textId="77777777" w:rsidR="003720EE" w:rsidRDefault="003720EE" w:rsidP="003720EE">
      <w:pPr>
        <w:rPr>
          <w:rFonts w:ascii="Open Sans" w:hAnsi="Open Sans" w:cs="Arial"/>
          <w:bCs/>
          <w:sz w:val="20"/>
          <w:szCs w:val="20"/>
        </w:rPr>
      </w:pPr>
    </w:p>
    <w:p w14:paraId="6456C559" w14:textId="77777777" w:rsidR="003720EE" w:rsidRPr="00EA4DB6" w:rsidRDefault="003720EE" w:rsidP="003720EE">
      <w:pPr>
        <w:jc w:val="both"/>
        <w:rPr>
          <w:rFonts w:ascii="Open Sans" w:hAnsi="Open Sans" w:cs="Arial"/>
          <w:b/>
          <w:sz w:val="20"/>
          <w:szCs w:val="20"/>
        </w:rPr>
      </w:pPr>
      <w:r w:rsidRPr="00EA4DB6">
        <w:rPr>
          <w:rFonts w:ascii="Open Sans" w:hAnsi="Open Sans" w:cs="Arial"/>
          <w:b/>
          <w:sz w:val="20"/>
          <w:szCs w:val="20"/>
        </w:rPr>
        <w:t>Impuestos e incentivos</w:t>
      </w:r>
    </w:p>
    <w:p w14:paraId="6FDDDE8A" w14:textId="77777777" w:rsidR="003720EE" w:rsidRDefault="003720EE" w:rsidP="003720EE">
      <w:pPr>
        <w:rPr>
          <w:rFonts w:ascii="Open Sans" w:hAnsi="Open Sans" w:cs="Arial"/>
          <w:bCs/>
          <w:sz w:val="20"/>
          <w:szCs w:val="20"/>
        </w:rPr>
      </w:pPr>
    </w:p>
    <w:p w14:paraId="2DAF53F6" w14:textId="77777777" w:rsidR="003720EE" w:rsidRDefault="003720EE" w:rsidP="003720EE">
      <w:pPr>
        <w:jc w:val="both"/>
        <w:rPr>
          <w:rFonts w:ascii="Open Sans" w:hAnsi="Open Sans" w:cs="Arial"/>
          <w:bCs/>
          <w:sz w:val="20"/>
          <w:szCs w:val="20"/>
        </w:rPr>
      </w:pPr>
      <w:r>
        <w:rPr>
          <w:rFonts w:ascii="Open Sans" w:hAnsi="Open Sans" w:cs="Arial"/>
          <w:bCs/>
          <w:sz w:val="20"/>
          <w:szCs w:val="20"/>
        </w:rPr>
        <w:t xml:space="preserve">En las cuentas anuales del Grupo se incluye diversas explicaciones sobre las implicaciones fiscales que supone para la sociedad la sujeción al </w:t>
      </w:r>
      <w:r w:rsidRPr="00C609F9">
        <w:rPr>
          <w:rFonts w:ascii="Open Sans" w:hAnsi="Open Sans" w:cs="Arial"/>
          <w:bCs/>
          <w:sz w:val="20"/>
          <w:szCs w:val="20"/>
        </w:rPr>
        <w:t xml:space="preserve">régimen fiscal especial </w:t>
      </w:r>
      <w:r>
        <w:rPr>
          <w:rFonts w:ascii="Open Sans" w:hAnsi="Open Sans" w:cs="Arial"/>
          <w:bCs/>
          <w:sz w:val="20"/>
          <w:szCs w:val="20"/>
        </w:rPr>
        <w:t>para SOCIMIs establecido en la Ley 11/2009, así como los requisitos necesarios para poder aplicar este régimen fiscal. Sin embargo, la información cuantitativa publicada por el Grupo no permite cuantificar adecuadamente el impacto que supone sobre el impuesto de sociedades que la SOCIMI esté sujeta a este régimen fiscal especial por el que puede beneficiarse de un tipo de gravamen del 0% en el impuesto sobre sociedades. En este sentido no se aporta información suficiente que permita la cuantificación de las exenciones, deducciones y otros beneficios fiscales de los que se benefician las empresas del grupo. Tampoco se aporta información sobre la concesión o no de posibles subvenciones públicas a lo largo del ejercicio analizado.</w:t>
      </w:r>
    </w:p>
    <w:p w14:paraId="3A34D9B6" w14:textId="77777777" w:rsidR="003720EE" w:rsidRDefault="003720EE" w:rsidP="003720EE">
      <w:pPr>
        <w:jc w:val="both"/>
        <w:rPr>
          <w:rFonts w:ascii="Open Sans" w:hAnsi="Open Sans" w:cs="Arial"/>
          <w:bCs/>
          <w:sz w:val="20"/>
          <w:szCs w:val="20"/>
        </w:rPr>
      </w:pPr>
    </w:p>
    <w:p w14:paraId="1890F0B0" w14:textId="77777777" w:rsidR="003720EE" w:rsidRDefault="003720EE" w:rsidP="003720EE">
      <w:pPr>
        <w:jc w:val="both"/>
        <w:rPr>
          <w:rFonts w:ascii="Open Sans" w:hAnsi="Open Sans" w:cs="Arial"/>
          <w:bCs/>
          <w:sz w:val="20"/>
          <w:szCs w:val="20"/>
        </w:rPr>
      </w:pPr>
      <w:r>
        <w:rPr>
          <w:rFonts w:ascii="Open Sans" w:hAnsi="Open Sans" w:cs="Arial"/>
          <w:bCs/>
          <w:sz w:val="20"/>
          <w:szCs w:val="20"/>
        </w:rPr>
        <w:t xml:space="preserve">En el ejercicio 2015 el Grupo soportó un total de 8.323 miles de € en concepto de impuesto sobre sociedades. La información relativa al impuesto sobre sociedades se detalla a nivel de segmento de negocio pero no país por país. </w:t>
      </w:r>
      <w:r w:rsidRPr="007C5D3F">
        <w:rPr>
          <w:rFonts w:ascii="Open Sans" w:hAnsi="Open Sans" w:cs="Arial"/>
          <w:bCs/>
          <w:sz w:val="20"/>
          <w:szCs w:val="20"/>
        </w:rPr>
        <w:t>El impuesto sobre beneficios se corresponde de forma mayoritaria con la tributación asociada a la plusvalía originada por la sustitución de sucursales que en virtud del contrato de arrendamiento con BBVA fue formalizada el 3 de febrero de 2015 (entrada de 45 nuevas sucursales y salida de 42). Los activos salientes lo hicieron a la valoración de mercado establecida por Savills, originando una plusvalía sujeta a tributación por la diferencia entre dicho valor y el valor en libros de las referidas 42 sucursales.</w:t>
      </w:r>
    </w:p>
    <w:p w14:paraId="0B6E540D" w14:textId="77777777" w:rsidR="003720EE" w:rsidRDefault="003720EE" w:rsidP="003720EE">
      <w:pPr>
        <w:jc w:val="both"/>
        <w:rPr>
          <w:rFonts w:ascii="Open Sans" w:hAnsi="Open Sans" w:cs="Arial"/>
          <w:bCs/>
          <w:sz w:val="20"/>
          <w:szCs w:val="20"/>
        </w:rPr>
      </w:pPr>
    </w:p>
    <w:p w14:paraId="229B2E79" w14:textId="77777777" w:rsidR="003720EE" w:rsidRDefault="003720EE" w:rsidP="003720EE">
      <w:pPr>
        <w:jc w:val="both"/>
        <w:rPr>
          <w:rFonts w:ascii="Open Sans" w:hAnsi="Open Sans" w:cs="Arial"/>
          <w:bCs/>
          <w:sz w:val="20"/>
          <w:szCs w:val="20"/>
        </w:rPr>
      </w:pPr>
      <w:r>
        <w:rPr>
          <w:rFonts w:ascii="Open Sans" w:hAnsi="Open Sans" w:cs="Arial"/>
          <w:bCs/>
          <w:sz w:val="20"/>
          <w:szCs w:val="20"/>
        </w:rPr>
        <w:t>Respecto a los créditos fiscales, en las cuentas anuales del Grupo se presenta</w:t>
      </w:r>
      <w:r w:rsidRPr="005A3017">
        <w:rPr>
          <w:rFonts w:ascii="Open Sans" w:hAnsi="Open Sans" w:cs="Arial"/>
          <w:bCs/>
          <w:sz w:val="20"/>
          <w:szCs w:val="20"/>
        </w:rPr>
        <w:t xml:space="preserve"> información consolidada de</w:t>
      </w:r>
      <w:r>
        <w:rPr>
          <w:rFonts w:ascii="Open Sans" w:hAnsi="Open Sans" w:cs="Arial"/>
          <w:bCs/>
          <w:sz w:val="20"/>
          <w:szCs w:val="20"/>
        </w:rPr>
        <w:t xml:space="preserve"> los</w:t>
      </w:r>
      <w:r w:rsidRPr="005A3017">
        <w:rPr>
          <w:rFonts w:ascii="Open Sans" w:hAnsi="Open Sans" w:cs="Arial"/>
          <w:bCs/>
          <w:sz w:val="20"/>
          <w:szCs w:val="20"/>
        </w:rPr>
        <w:t xml:space="preserve"> créditos</w:t>
      </w:r>
      <w:r>
        <w:rPr>
          <w:rFonts w:ascii="Open Sans" w:hAnsi="Open Sans" w:cs="Arial"/>
          <w:bCs/>
          <w:sz w:val="20"/>
          <w:szCs w:val="20"/>
        </w:rPr>
        <w:t xml:space="preserve"> fiscales, diferenciándola de forma agregada entre: bases imponibles negativas y otro impuesto diferido registrado</w:t>
      </w:r>
      <w:r w:rsidRPr="005A3017">
        <w:rPr>
          <w:rFonts w:ascii="Open Sans" w:hAnsi="Open Sans" w:cs="Arial"/>
          <w:bCs/>
          <w:sz w:val="20"/>
          <w:szCs w:val="20"/>
        </w:rPr>
        <w:t xml:space="preserve">. </w:t>
      </w:r>
      <w:r>
        <w:rPr>
          <w:rFonts w:ascii="Open Sans" w:hAnsi="Open Sans" w:cs="Arial"/>
          <w:bCs/>
          <w:sz w:val="20"/>
          <w:szCs w:val="20"/>
        </w:rPr>
        <w:t xml:space="preserve">Se aporta </w:t>
      </w:r>
      <w:r w:rsidRPr="005A3017">
        <w:rPr>
          <w:rFonts w:ascii="Open Sans" w:hAnsi="Open Sans" w:cs="Arial"/>
          <w:bCs/>
          <w:sz w:val="20"/>
          <w:szCs w:val="20"/>
        </w:rPr>
        <w:t xml:space="preserve">información breve de las principales variaciones producidas en el último ejercicio pero no </w:t>
      </w:r>
      <w:r>
        <w:rPr>
          <w:rFonts w:ascii="Open Sans" w:hAnsi="Open Sans" w:cs="Arial"/>
          <w:bCs/>
          <w:sz w:val="20"/>
          <w:szCs w:val="20"/>
        </w:rPr>
        <w:t xml:space="preserve">se </w:t>
      </w:r>
      <w:r w:rsidRPr="005A3017">
        <w:rPr>
          <w:rFonts w:ascii="Open Sans" w:hAnsi="Open Sans" w:cs="Arial"/>
          <w:bCs/>
          <w:sz w:val="20"/>
          <w:szCs w:val="20"/>
        </w:rPr>
        <w:t>aporta información completa sobre su generación, la duración de cada uno de ellos, los ejercicios de prescripción ni la activación o no de los mismos.</w:t>
      </w:r>
    </w:p>
    <w:p w14:paraId="365290D4" w14:textId="77777777" w:rsidR="003720EE" w:rsidRDefault="003720EE" w:rsidP="003720EE">
      <w:pPr>
        <w:jc w:val="both"/>
        <w:rPr>
          <w:rFonts w:ascii="Open Sans" w:hAnsi="Open Sans" w:cs="Arial"/>
          <w:bCs/>
          <w:sz w:val="20"/>
          <w:szCs w:val="20"/>
        </w:rPr>
      </w:pPr>
    </w:p>
    <w:p w14:paraId="188AE9B0" w14:textId="77777777" w:rsidR="003720EE" w:rsidRPr="00C609F9" w:rsidRDefault="003720EE" w:rsidP="003720EE">
      <w:pPr>
        <w:jc w:val="both"/>
        <w:rPr>
          <w:rFonts w:ascii="Open Sans" w:hAnsi="Open Sans" w:cs="Arial"/>
          <w:bCs/>
          <w:sz w:val="20"/>
          <w:szCs w:val="20"/>
        </w:rPr>
      </w:pPr>
      <w:r>
        <w:rPr>
          <w:rFonts w:ascii="Open Sans" w:hAnsi="Open Sans" w:cs="Arial"/>
          <w:bCs/>
          <w:sz w:val="20"/>
          <w:szCs w:val="20"/>
        </w:rPr>
        <w:t>Merlin Properties únicamente incluye en las cuentas anuales individuales de la sociedad matriz el apartado específico para SOCIMIs requerido por la Ley 11/2009 pero no incluye este apartado en las cuentas anuales consolidadas. Concretamente, e</w:t>
      </w:r>
      <w:r w:rsidRPr="00C609F9">
        <w:rPr>
          <w:rFonts w:ascii="Open Sans" w:hAnsi="Open Sans" w:cs="Arial"/>
          <w:bCs/>
          <w:sz w:val="20"/>
          <w:szCs w:val="20"/>
        </w:rPr>
        <w:t>l artículo 11</w:t>
      </w:r>
      <w:r>
        <w:rPr>
          <w:rFonts w:ascii="Open Sans" w:hAnsi="Open Sans" w:cs="Arial"/>
          <w:bCs/>
          <w:sz w:val="20"/>
          <w:szCs w:val="20"/>
        </w:rPr>
        <w:t xml:space="preserve"> de la Ley 11/2009 establece que </w:t>
      </w:r>
      <w:r w:rsidRPr="00C609F9">
        <w:rPr>
          <w:rFonts w:ascii="Open Sans" w:hAnsi="Open Sans" w:cs="Arial"/>
          <w:bCs/>
          <w:sz w:val="20"/>
          <w:szCs w:val="20"/>
        </w:rPr>
        <w:t>las sociedades que</w:t>
      </w:r>
      <w:r>
        <w:rPr>
          <w:rFonts w:ascii="Open Sans" w:hAnsi="Open Sans" w:cs="Arial"/>
          <w:bCs/>
          <w:sz w:val="20"/>
          <w:szCs w:val="20"/>
        </w:rPr>
        <w:t>, como Merlin Properties,</w:t>
      </w:r>
      <w:r w:rsidRPr="00C609F9">
        <w:rPr>
          <w:rFonts w:ascii="Open Sans" w:hAnsi="Open Sans" w:cs="Arial"/>
          <w:bCs/>
          <w:sz w:val="20"/>
          <w:szCs w:val="20"/>
        </w:rPr>
        <w:t xml:space="preserve"> hayan optado por la aplicación del régimen fiscal especial </w:t>
      </w:r>
      <w:r>
        <w:rPr>
          <w:rFonts w:ascii="Open Sans" w:hAnsi="Open Sans" w:cs="Arial"/>
          <w:bCs/>
          <w:sz w:val="20"/>
          <w:szCs w:val="20"/>
        </w:rPr>
        <w:t>para SOCIMIs tienen la obligación de incluir</w:t>
      </w:r>
      <w:r w:rsidRPr="00C609F9">
        <w:rPr>
          <w:rFonts w:ascii="Open Sans" w:hAnsi="Open Sans" w:cs="Arial"/>
          <w:bCs/>
          <w:sz w:val="20"/>
          <w:szCs w:val="20"/>
        </w:rPr>
        <w:t xml:space="preserve"> </w:t>
      </w:r>
      <w:r>
        <w:rPr>
          <w:rFonts w:ascii="Open Sans" w:hAnsi="Open Sans" w:cs="Arial"/>
          <w:bCs/>
          <w:sz w:val="20"/>
          <w:szCs w:val="20"/>
        </w:rPr>
        <w:t>e</w:t>
      </w:r>
      <w:r w:rsidRPr="00C609F9">
        <w:rPr>
          <w:rFonts w:ascii="Open Sans" w:hAnsi="Open Sans" w:cs="Arial"/>
          <w:bCs/>
          <w:sz w:val="20"/>
          <w:szCs w:val="20"/>
        </w:rPr>
        <w:t xml:space="preserve">n la memoria de las cuentas anuales un apartado </w:t>
      </w:r>
      <w:r>
        <w:rPr>
          <w:rFonts w:ascii="Open Sans" w:hAnsi="Open Sans" w:cs="Arial"/>
          <w:bCs/>
          <w:sz w:val="20"/>
          <w:szCs w:val="20"/>
        </w:rPr>
        <w:t xml:space="preserve">denominado </w:t>
      </w:r>
      <w:r w:rsidRPr="00C609F9">
        <w:rPr>
          <w:rFonts w:ascii="Open Sans" w:hAnsi="Open Sans" w:cs="Arial"/>
          <w:bCs/>
          <w:sz w:val="20"/>
          <w:szCs w:val="20"/>
        </w:rPr>
        <w:t>"Exigencias informativas derivadas de la condición de SOCIMI, Ley 11/2009", en la que se incluirá la siguiente información:</w:t>
      </w:r>
    </w:p>
    <w:p w14:paraId="2433C228" w14:textId="77777777" w:rsidR="003720EE" w:rsidRPr="00C609F9" w:rsidRDefault="003720EE" w:rsidP="003720EE">
      <w:pPr>
        <w:jc w:val="both"/>
        <w:rPr>
          <w:rFonts w:ascii="Open Sans" w:hAnsi="Open Sans" w:cs="Arial"/>
          <w:bCs/>
          <w:sz w:val="20"/>
          <w:szCs w:val="20"/>
        </w:rPr>
      </w:pPr>
    </w:p>
    <w:p w14:paraId="70AC3B5D"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a) Reservas procedentes de ejercicios anteriores a la aplicación del régimen fiscal establecido en esta Ley.</w:t>
      </w:r>
    </w:p>
    <w:p w14:paraId="1A6E5FE4" w14:textId="77777777" w:rsidR="003720EE" w:rsidRPr="00C609F9" w:rsidRDefault="003720EE" w:rsidP="003720EE">
      <w:pPr>
        <w:ind w:left="708"/>
        <w:jc w:val="both"/>
        <w:rPr>
          <w:rFonts w:ascii="Open Sans" w:hAnsi="Open Sans" w:cs="Arial"/>
          <w:bCs/>
          <w:sz w:val="20"/>
          <w:szCs w:val="20"/>
        </w:rPr>
      </w:pPr>
    </w:p>
    <w:p w14:paraId="1761601C"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b) Reservas procedentes de ejercicios en los que se haya aplicado el régimen fiscal establecido en esta Ley, diferenciando la parte que procede de rentas sujetas al tipo de gravamen del cero por ciento, o del 19 por ciento, respecto de aquellas que, en su caso, hayan tributado al tipo general de gravamen.</w:t>
      </w:r>
    </w:p>
    <w:p w14:paraId="0DB0C115" w14:textId="77777777" w:rsidR="003720EE" w:rsidRPr="00C609F9" w:rsidRDefault="003720EE" w:rsidP="003720EE">
      <w:pPr>
        <w:ind w:left="708"/>
        <w:jc w:val="both"/>
        <w:rPr>
          <w:rFonts w:ascii="Open Sans" w:hAnsi="Open Sans" w:cs="Arial"/>
          <w:bCs/>
          <w:sz w:val="20"/>
          <w:szCs w:val="20"/>
        </w:rPr>
      </w:pPr>
    </w:p>
    <w:p w14:paraId="50EBEADD"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c) Dividendos distribuidos con cargo a beneficios de cada ejercicio en que ha resultado aplicable el régimen fiscal establecido en esta Ley, diferenciando la parte que procede de rentas sujetas al tipo de gravamen del cero por ciento o del 19 por ciento, respecto de aquellas que, en su caso, hayan tributado al tipo general de gravamen.</w:t>
      </w:r>
    </w:p>
    <w:p w14:paraId="059E0EE2" w14:textId="77777777" w:rsidR="003720EE" w:rsidRPr="00C609F9" w:rsidRDefault="003720EE" w:rsidP="003720EE">
      <w:pPr>
        <w:ind w:left="708"/>
        <w:jc w:val="both"/>
        <w:rPr>
          <w:rFonts w:ascii="Open Sans" w:hAnsi="Open Sans" w:cs="Arial"/>
          <w:bCs/>
          <w:sz w:val="20"/>
          <w:szCs w:val="20"/>
        </w:rPr>
      </w:pPr>
    </w:p>
    <w:p w14:paraId="1BADAB7A"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d) En caso de distribución de dividendos con cargo a reservas, designación del ejercicio del que procede la reserva aplicada y si las mismas han estado gravadas al tipo de gravamen del cero por ciento, del 19 por ciento o al tipo general.</w:t>
      </w:r>
    </w:p>
    <w:p w14:paraId="709823B6" w14:textId="77777777" w:rsidR="003720EE" w:rsidRPr="00C609F9" w:rsidRDefault="003720EE" w:rsidP="003720EE">
      <w:pPr>
        <w:ind w:left="708"/>
        <w:jc w:val="both"/>
        <w:rPr>
          <w:rFonts w:ascii="Open Sans" w:hAnsi="Open Sans" w:cs="Arial"/>
          <w:bCs/>
          <w:sz w:val="20"/>
          <w:szCs w:val="20"/>
        </w:rPr>
      </w:pPr>
    </w:p>
    <w:p w14:paraId="179EE665"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e) Fecha de acuerdo de distribución de los dividendos a que se refieren las letras c) y d) anteriores.</w:t>
      </w:r>
    </w:p>
    <w:p w14:paraId="45F96C1C" w14:textId="77777777" w:rsidR="003720EE" w:rsidRPr="00C609F9" w:rsidRDefault="003720EE" w:rsidP="003720EE">
      <w:pPr>
        <w:ind w:left="708"/>
        <w:jc w:val="both"/>
        <w:rPr>
          <w:rFonts w:ascii="Open Sans" w:hAnsi="Open Sans" w:cs="Arial"/>
          <w:bCs/>
          <w:sz w:val="20"/>
          <w:szCs w:val="20"/>
        </w:rPr>
      </w:pPr>
    </w:p>
    <w:p w14:paraId="0CB54996"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f) Fecha de adquisición de los inmuebles destinados al arrendamiento y de las participaciones en el capital de entidades a que se refiere el apartado 1 del artículo 2 de esta Ley.</w:t>
      </w:r>
    </w:p>
    <w:p w14:paraId="21D4CA0C" w14:textId="77777777" w:rsidR="003720EE" w:rsidRPr="00C609F9" w:rsidRDefault="003720EE" w:rsidP="003720EE">
      <w:pPr>
        <w:ind w:left="708"/>
        <w:jc w:val="both"/>
        <w:rPr>
          <w:rFonts w:ascii="Open Sans" w:hAnsi="Open Sans" w:cs="Arial"/>
          <w:bCs/>
          <w:sz w:val="20"/>
          <w:szCs w:val="20"/>
        </w:rPr>
      </w:pPr>
    </w:p>
    <w:p w14:paraId="7B57FDEE" w14:textId="77777777" w:rsidR="003720EE" w:rsidRPr="00C609F9" w:rsidRDefault="003720EE" w:rsidP="003720EE">
      <w:pPr>
        <w:ind w:left="708"/>
        <w:jc w:val="both"/>
        <w:rPr>
          <w:rFonts w:ascii="Open Sans" w:hAnsi="Open Sans" w:cs="Arial"/>
          <w:bCs/>
          <w:sz w:val="20"/>
          <w:szCs w:val="20"/>
        </w:rPr>
      </w:pPr>
      <w:r w:rsidRPr="00C609F9">
        <w:rPr>
          <w:rFonts w:ascii="Open Sans" w:hAnsi="Open Sans" w:cs="Arial"/>
          <w:bCs/>
          <w:sz w:val="20"/>
          <w:szCs w:val="20"/>
        </w:rPr>
        <w:t>g) Identificación del activo que computa dentro del 80 por ciento a que se refiere el apartado 1 del artículo 3 de esta Ley.</w:t>
      </w:r>
    </w:p>
    <w:p w14:paraId="79B58FEA" w14:textId="77777777" w:rsidR="003720EE" w:rsidRPr="00C609F9" w:rsidRDefault="003720EE" w:rsidP="003720EE">
      <w:pPr>
        <w:ind w:left="708"/>
        <w:jc w:val="both"/>
        <w:rPr>
          <w:rFonts w:ascii="Open Sans" w:hAnsi="Open Sans" w:cs="Arial"/>
          <w:bCs/>
          <w:sz w:val="20"/>
          <w:szCs w:val="20"/>
        </w:rPr>
      </w:pPr>
    </w:p>
    <w:p w14:paraId="455EF8F9" w14:textId="77777777" w:rsidR="003720EE" w:rsidRDefault="003720EE" w:rsidP="003720EE">
      <w:pPr>
        <w:ind w:left="708"/>
        <w:jc w:val="both"/>
        <w:rPr>
          <w:rFonts w:ascii="Open Sans" w:hAnsi="Open Sans" w:cs="Arial"/>
          <w:bCs/>
          <w:sz w:val="20"/>
          <w:szCs w:val="20"/>
        </w:rPr>
      </w:pPr>
      <w:r w:rsidRPr="00C609F9">
        <w:rPr>
          <w:rFonts w:ascii="Open Sans" w:hAnsi="Open Sans" w:cs="Arial"/>
          <w:bCs/>
          <w:sz w:val="20"/>
          <w:szCs w:val="20"/>
        </w:rPr>
        <w:t>h) Reservas procedentes de ejercicios en que ha resultado aplicable el régimen fiscal especial establecido en esta Ley, que se hayan dispuesto en el período impositivo, que no sea para su distribución o para compensar pérdidas, identificando el ejercicio del que proceden dichas reservas.</w:t>
      </w:r>
    </w:p>
    <w:p w14:paraId="678230C3" w14:textId="77777777" w:rsidR="003720EE" w:rsidRDefault="003720EE" w:rsidP="003720EE">
      <w:pPr>
        <w:ind w:left="708"/>
        <w:jc w:val="both"/>
        <w:rPr>
          <w:rFonts w:ascii="Open Sans" w:hAnsi="Open Sans" w:cs="Arial"/>
          <w:bCs/>
          <w:sz w:val="20"/>
          <w:szCs w:val="20"/>
        </w:rPr>
      </w:pPr>
    </w:p>
    <w:p w14:paraId="08958D8C" w14:textId="77777777" w:rsidR="003720EE" w:rsidRDefault="003720EE" w:rsidP="003720EE">
      <w:pPr>
        <w:jc w:val="both"/>
        <w:rPr>
          <w:rFonts w:ascii="Open Sans" w:hAnsi="Open Sans" w:cs="Arial"/>
          <w:bCs/>
          <w:sz w:val="20"/>
          <w:szCs w:val="20"/>
        </w:rPr>
      </w:pPr>
    </w:p>
    <w:p w14:paraId="6C63EC21" w14:textId="77777777" w:rsidR="003720EE" w:rsidRPr="0001064C" w:rsidRDefault="003720EE" w:rsidP="003720EE">
      <w:pPr>
        <w:jc w:val="both"/>
        <w:rPr>
          <w:rFonts w:ascii="Open Sans" w:hAnsi="Open Sans" w:cs="Arial"/>
          <w:bCs/>
          <w:sz w:val="20"/>
          <w:szCs w:val="20"/>
        </w:rPr>
      </w:pPr>
      <w:r w:rsidRPr="0001064C">
        <w:rPr>
          <w:rFonts w:ascii="Open Sans" w:hAnsi="Open Sans" w:cs="Arial"/>
          <w:b/>
          <w:sz w:val="20"/>
          <w:szCs w:val="20"/>
        </w:rPr>
        <w:t>Relación con la Administración Tributaria</w:t>
      </w:r>
    </w:p>
    <w:p w14:paraId="506697A3" w14:textId="77777777" w:rsidR="003720EE" w:rsidRDefault="003720EE" w:rsidP="003720EE">
      <w:pPr>
        <w:jc w:val="both"/>
        <w:rPr>
          <w:rFonts w:ascii="Open Sans" w:hAnsi="Open Sans" w:cs="Arial"/>
          <w:bCs/>
          <w:sz w:val="20"/>
          <w:szCs w:val="20"/>
        </w:rPr>
      </w:pPr>
    </w:p>
    <w:p w14:paraId="0AD4268E" w14:textId="77777777" w:rsidR="003720EE" w:rsidRDefault="003720EE" w:rsidP="003720EE">
      <w:pPr>
        <w:jc w:val="both"/>
        <w:rPr>
          <w:rFonts w:ascii="Open Sans" w:hAnsi="Open Sans" w:cs="Arial"/>
          <w:bCs/>
          <w:sz w:val="20"/>
          <w:szCs w:val="20"/>
        </w:rPr>
      </w:pPr>
      <w:r>
        <w:rPr>
          <w:rFonts w:ascii="Open Sans" w:hAnsi="Open Sans" w:cs="Arial"/>
          <w:bCs/>
          <w:sz w:val="20"/>
          <w:szCs w:val="20"/>
        </w:rPr>
        <w:t xml:space="preserve">La información analizada no permite evidenciar la participación de Merlin Properties en iniciativas de cumplimiento cooperativo con administraciones tributarias ni su adhesión a </w:t>
      </w:r>
      <w:r w:rsidRPr="00485897">
        <w:rPr>
          <w:rFonts w:ascii="Open Sans" w:hAnsi="Open Sans" w:cs="Arial"/>
          <w:bCs/>
          <w:sz w:val="20"/>
          <w:szCs w:val="20"/>
        </w:rPr>
        <w:t>códigos de buenas prácticas impulsados por administraciones tributari</w:t>
      </w:r>
      <w:r>
        <w:rPr>
          <w:rFonts w:ascii="Open Sans" w:hAnsi="Open Sans" w:cs="Arial"/>
          <w:bCs/>
          <w:sz w:val="20"/>
          <w:szCs w:val="20"/>
        </w:rPr>
        <w:t>as u organismos internacionales.</w:t>
      </w:r>
    </w:p>
    <w:p w14:paraId="07D7BD01" w14:textId="77777777" w:rsidR="003720EE" w:rsidRDefault="003720EE" w:rsidP="003720EE">
      <w:pPr>
        <w:jc w:val="both"/>
        <w:rPr>
          <w:rFonts w:ascii="Open Sans" w:hAnsi="Open Sans" w:cs="Arial"/>
          <w:bCs/>
          <w:sz w:val="20"/>
          <w:szCs w:val="20"/>
        </w:rPr>
      </w:pPr>
    </w:p>
    <w:p w14:paraId="7A7A714D" w14:textId="77777777" w:rsidR="003720EE" w:rsidRDefault="003720EE" w:rsidP="003720EE">
      <w:pPr>
        <w:jc w:val="both"/>
        <w:rPr>
          <w:rFonts w:ascii="Open Sans" w:hAnsi="Open Sans" w:cs="Arial"/>
          <w:bCs/>
          <w:sz w:val="20"/>
          <w:szCs w:val="20"/>
        </w:rPr>
      </w:pPr>
      <w:r>
        <w:rPr>
          <w:rFonts w:ascii="Open Sans" w:hAnsi="Open Sans" w:cs="Arial"/>
          <w:bCs/>
          <w:sz w:val="20"/>
          <w:szCs w:val="20"/>
        </w:rPr>
        <w:t>En cuanto a posibles discrepancias entre el Grupo y las Administraciones Tributarias la información publicada es prácticamente inexistente. Tan sólo se indica que «</w:t>
      </w:r>
      <w:r w:rsidRPr="00482BE7">
        <w:rPr>
          <w:rFonts w:ascii="Open Sans" w:hAnsi="Open Sans" w:cs="Arial"/>
          <w:bCs/>
          <w:i/>
          <w:sz w:val="20"/>
          <w:szCs w:val="20"/>
        </w:rPr>
        <w:t>los Administradores de la Sociedad Dominante consideran que se han practicado adecuadamente las liquidaciones de los mencionados impuestos, por lo que, aún en caso de que surgieran discrepancias en la interpretación normativa vigente por el tratamiento fiscal otorgado a las operaciones, los eventuales pasivos resultantes, en caso de materializarse, no afectarían de manera significativa a los estados financieros consolidados</w:t>
      </w:r>
      <w:r>
        <w:rPr>
          <w:rFonts w:ascii="Open Sans" w:hAnsi="Open Sans" w:cs="Arial"/>
          <w:bCs/>
          <w:sz w:val="20"/>
          <w:szCs w:val="20"/>
        </w:rPr>
        <w:t>». No se ha encontrado información expresa sobre la existencia o no de contingencias, provisiones, deudas o litigios en el ámbito fiscal.</w:t>
      </w:r>
    </w:p>
    <w:p w14:paraId="4659A20A" w14:textId="77777777" w:rsidR="003720EE" w:rsidRDefault="003720EE" w:rsidP="003720EE">
      <w:pPr>
        <w:jc w:val="both"/>
        <w:rPr>
          <w:rFonts w:ascii="Open Sans" w:hAnsi="Open Sans" w:cs="Arial"/>
          <w:bCs/>
          <w:sz w:val="20"/>
          <w:szCs w:val="20"/>
        </w:rPr>
      </w:pPr>
    </w:p>
    <w:p w14:paraId="77AA3844" w14:textId="77777777" w:rsidR="003720EE" w:rsidRPr="00326C97" w:rsidRDefault="003720EE" w:rsidP="003720EE">
      <w:pPr>
        <w:jc w:val="both"/>
        <w:rPr>
          <w:rFonts w:ascii="Open Sans" w:hAnsi="Open Sans" w:cs="Arial"/>
          <w:bCs/>
          <w:sz w:val="20"/>
          <w:szCs w:val="20"/>
        </w:rPr>
      </w:pPr>
    </w:p>
    <w:p w14:paraId="583D725A" w14:textId="77777777" w:rsidR="003720EE" w:rsidRPr="00F64316" w:rsidRDefault="003720EE" w:rsidP="003720EE">
      <w:pPr>
        <w:jc w:val="both"/>
        <w:rPr>
          <w:rFonts w:ascii="Open Sans" w:hAnsi="Open Sans" w:cs="Arial"/>
          <w:b/>
          <w:sz w:val="20"/>
          <w:szCs w:val="20"/>
        </w:rPr>
      </w:pPr>
      <w:r w:rsidRPr="00F64316">
        <w:rPr>
          <w:rFonts w:ascii="Open Sans" w:hAnsi="Open Sans" w:cs="Arial"/>
          <w:b/>
          <w:sz w:val="20"/>
          <w:szCs w:val="20"/>
        </w:rPr>
        <w:t>Operativa de la empresa</w:t>
      </w:r>
    </w:p>
    <w:p w14:paraId="4858C508" w14:textId="77777777" w:rsidR="003720EE" w:rsidRDefault="003720EE" w:rsidP="003720EE">
      <w:pPr>
        <w:rPr>
          <w:rFonts w:ascii="Open Sans" w:hAnsi="Open Sans" w:cs="Arial"/>
          <w:bCs/>
          <w:sz w:val="20"/>
          <w:szCs w:val="20"/>
        </w:rPr>
      </w:pPr>
    </w:p>
    <w:p w14:paraId="108B91AF" w14:textId="77777777" w:rsidR="003720EE" w:rsidRPr="001350D7" w:rsidRDefault="003720EE" w:rsidP="003720EE">
      <w:pPr>
        <w:jc w:val="both"/>
        <w:rPr>
          <w:rFonts w:ascii="Open Sans" w:hAnsi="Open Sans" w:cs="Arial"/>
          <w:sz w:val="20"/>
          <w:szCs w:val="20"/>
        </w:rPr>
      </w:pPr>
      <w:r w:rsidRPr="001350D7">
        <w:rPr>
          <w:rFonts w:ascii="Open Sans" w:hAnsi="Open Sans" w:cs="Arial"/>
          <w:bCs/>
          <w:sz w:val="20"/>
          <w:szCs w:val="20"/>
        </w:rPr>
        <w:t>En las cuentas anuales consolidadas Merlin Properties indica que «</w:t>
      </w:r>
      <w:r w:rsidRPr="001350D7">
        <w:rPr>
          <w:rFonts w:ascii="Open Sans" w:hAnsi="Open Sans" w:cs="Arial"/>
          <w:bCs/>
          <w:i/>
          <w:sz w:val="20"/>
          <w:szCs w:val="20"/>
        </w:rPr>
        <w:t>e</w:t>
      </w:r>
      <w:r w:rsidRPr="001350D7">
        <w:rPr>
          <w:rFonts w:ascii="Open Sans" w:hAnsi="Open Sans" w:cs="Arial"/>
          <w:i/>
          <w:sz w:val="20"/>
          <w:szCs w:val="20"/>
        </w:rPr>
        <w:t>n las transacciones entre sociedades consolidadas, se eliminan los resultados por operaciones internas, dif</w:t>
      </w:r>
      <w:r w:rsidRPr="00901709">
        <w:rPr>
          <w:rFonts w:ascii="Open Sans" w:hAnsi="Open Sans" w:cs="Arial"/>
          <w:i/>
          <w:sz w:val="20"/>
          <w:szCs w:val="20"/>
        </w:rPr>
        <w:t>iriéndose hasta que se realizan frente a terceros ajenos al Grupo. Los trabajos efectuados por el Grupo para su propio inmovilizado se reconocen por su coste de producción, eliminándose los resultados intragrupo. Se han eliminado de los estados financieros</w:t>
      </w:r>
      <w:r w:rsidRPr="001350D7">
        <w:rPr>
          <w:rFonts w:ascii="Open Sans" w:hAnsi="Open Sans" w:cs="Arial"/>
          <w:i/>
          <w:sz w:val="20"/>
          <w:szCs w:val="20"/>
        </w:rPr>
        <w:t xml:space="preserve"> consolidados, los créditos y débitos entre las sociedades comprendidas en el conjunto consolidable, así como los ingresos y gastos internos en dicho conjunto</w:t>
      </w:r>
      <w:r w:rsidRPr="001350D7">
        <w:rPr>
          <w:rFonts w:ascii="Open Sans" w:hAnsi="Open Sans" w:cs="Arial"/>
          <w:sz w:val="20"/>
          <w:szCs w:val="20"/>
        </w:rPr>
        <w:t xml:space="preserve">». </w:t>
      </w:r>
    </w:p>
    <w:p w14:paraId="5560AEE1" w14:textId="77777777" w:rsidR="003720EE" w:rsidRDefault="003720EE" w:rsidP="003720EE">
      <w:pPr>
        <w:jc w:val="both"/>
        <w:rPr>
          <w:rFonts w:ascii="Open Sans" w:hAnsi="Open Sans" w:cs="Arial"/>
          <w:sz w:val="20"/>
          <w:szCs w:val="20"/>
        </w:rPr>
      </w:pPr>
    </w:p>
    <w:p w14:paraId="7921D270" w14:textId="77777777" w:rsidR="003720EE" w:rsidRDefault="003720EE" w:rsidP="003720EE">
      <w:pPr>
        <w:jc w:val="both"/>
        <w:rPr>
          <w:rFonts w:ascii="Open Sans" w:hAnsi="Open Sans" w:cs="Arial"/>
          <w:sz w:val="20"/>
          <w:szCs w:val="20"/>
        </w:rPr>
      </w:pPr>
      <w:r>
        <w:rPr>
          <w:rFonts w:ascii="Open Sans" w:hAnsi="Open Sans" w:cs="Arial"/>
          <w:sz w:val="20"/>
          <w:szCs w:val="20"/>
        </w:rPr>
        <w:t xml:space="preserve">Sin embargo en las cuentas anuales individuales de Merlin Properties se refleja la existencia a 31 de diciembre de 2015 </w:t>
      </w:r>
      <w:r w:rsidRPr="00ED0A97">
        <w:rPr>
          <w:rFonts w:ascii="Open Sans" w:hAnsi="Open Sans" w:cs="Arial"/>
          <w:sz w:val="20"/>
          <w:szCs w:val="20"/>
        </w:rPr>
        <w:t>dos créditos a largo plazo</w:t>
      </w:r>
      <w:r>
        <w:rPr>
          <w:rFonts w:ascii="Open Sans" w:hAnsi="Open Sans" w:cs="Arial"/>
          <w:sz w:val="20"/>
          <w:szCs w:val="20"/>
        </w:rPr>
        <w:t xml:space="preserve"> </w:t>
      </w:r>
      <w:r w:rsidRPr="00ED0A97">
        <w:rPr>
          <w:rFonts w:ascii="Open Sans" w:hAnsi="Open Sans" w:cs="Arial"/>
          <w:sz w:val="20"/>
          <w:szCs w:val="20"/>
        </w:rPr>
        <w:t xml:space="preserve">concedidos por la Sociedad a empresas del Grupo </w:t>
      </w:r>
      <w:r>
        <w:rPr>
          <w:rFonts w:ascii="Open Sans" w:hAnsi="Open Sans" w:cs="Arial"/>
          <w:sz w:val="20"/>
          <w:szCs w:val="20"/>
        </w:rPr>
        <w:t>y asociadas por un importe de 18.400 miles de euros y la financiación a sus sociedades filiales a corto plazo por un importe de 103.143 miles de euros. Respecto a la financiación a corto plazo, Merlin Properties indica que «</w:t>
      </w:r>
      <w:r w:rsidRPr="00606C14">
        <w:rPr>
          <w:rFonts w:ascii="Open Sans" w:hAnsi="Open Sans" w:cs="Arial"/>
          <w:i/>
          <w:sz w:val="20"/>
          <w:szCs w:val="20"/>
        </w:rPr>
        <w:t>esta financiación ha sido concedida por la Sociedad para la adquisición de diversas inversiones inmobiliarias y se ha articulado a través de un contrato de cuenta corriente entre la Sociedad y sus filiales. El vencimiento del contrato se establece anualmente, permitiéndose renovaciones posteriores por períodos similares</w:t>
      </w:r>
      <w:r>
        <w:rPr>
          <w:rFonts w:ascii="Open Sans" w:hAnsi="Open Sans" w:cs="Arial"/>
          <w:sz w:val="20"/>
          <w:szCs w:val="20"/>
        </w:rPr>
        <w:t>»</w:t>
      </w:r>
      <w:r w:rsidRPr="00606C14">
        <w:rPr>
          <w:rFonts w:ascii="Open Sans" w:hAnsi="Open Sans" w:cs="Arial"/>
          <w:sz w:val="20"/>
          <w:szCs w:val="20"/>
        </w:rPr>
        <w:t>.</w:t>
      </w:r>
      <w:r>
        <w:rPr>
          <w:rFonts w:ascii="Open Sans" w:hAnsi="Open Sans" w:cs="Arial"/>
          <w:sz w:val="20"/>
          <w:szCs w:val="20"/>
        </w:rPr>
        <w:t xml:space="preserve"> Respecto a las operaciones de financiación concedidas a largo plazo, la información publicada difiere entre las dos. Así, en la primera de ellas se indica, fundamentalmente, el importe vigente (6.600 miles de euros), importe aprobado originalmente (15 millones de euros), </w:t>
      </w:r>
      <w:r w:rsidRPr="00245C8B">
        <w:rPr>
          <w:rFonts w:ascii="Open Sans" w:hAnsi="Open Sans" w:cs="Arial"/>
          <w:sz w:val="20"/>
          <w:szCs w:val="20"/>
        </w:rPr>
        <w:t xml:space="preserve">importe de los intereses devengados en el ejercicio 2015 </w:t>
      </w:r>
      <w:r>
        <w:rPr>
          <w:rFonts w:ascii="Open Sans" w:hAnsi="Open Sans" w:cs="Arial"/>
          <w:sz w:val="20"/>
          <w:szCs w:val="20"/>
        </w:rPr>
        <w:t>(</w:t>
      </w:r>
      <w:r w:rsidRPr="00245C8B">
        <w:rPr>
          <w:rFonts w:ascii="Open Sans" w:hAnsi="Open Sans" w:cs="Arial"/>
          <w:sz w:val="20"/>
          <w:szCs w:val="20"/>
        </w:rPr>
        <w:t>64</w:t>
      </w:r>
      <w:r>
        <w:rPr>
          <w:rFonts w:ascii="Open Sans" w:hAnsi="Open Sans" w:cs="Arial"/>
          <w:sz w:val="20"/>
          <w:szCs w:val="20"/>
        </w:rPr>
        <w:t xml:space="preserve"> miles de euros), tipo de interés devengado (</w:t>
      </w:r>
      <w:r w:rsidRPr="00245C8B">
        <w:rPr>
          <w:rFonts w:ascii="Open Sans" w:hAnsi="Open Sans" w:cs="Arial"/>
          <w:sz w:val="20"/>
          <w:szCs w:val="20"/>
        </w:rPr>
        <w:t>varía entre el 5,5% y el 8,5%, en función del resultado neto de CILSA que</w:t>
      </w:r>
      <w:r>
        <w:rPr>
          <w:rFonts w:ascii="Open Sans" w:hAnsi="Open Sans" w:cs="Arial"/>
          <w:sz w:val="20"/>
          <w:szCs w:val="20"/>
        </w:rPr>
        <w:t xml:space="preserve"> </w:t>
      </w:r>
      <w:r w:rsidRPr="00245C8B">
        <w:rPr>
          <w:rFonts w:ascii="Open Sans" w:hAnsi="Open Sans" w:cs="Arial"/>
          <w:sz w:val="20"/>
          <w:szCs w:val="20"/>
        </w:rPr>
        <w:t>resulte de las cuentas anuales auditadas correspondientes al ejercicio anterior</w:t>
      </w:r>
      <w:r>
        <w:rPr>
          <w:rFonts w:ascii="Open Sans" w:hAnsi="Open Sans" w:cs="Arial"/>
          <w:sz w:val="20"/>
          <w:szCs w:val="20"/>
        </w:rPr>
        <w:t>) y que el motivo que originó la concesión de dicho crédito fue</w:t>
      </w:r>
      <w:r w:rsidRPr="00245C8B">
        <w:rPr>
          <w:rFonts w:ascii="Open Sans" w:hAnsi="Open Sans" w:cs="Arial"/>
          <w:sz w:val="20"/>
          <w:szCs w:val="20"/>
        </w:rPr>
        <w:t xml:space="preserve"> el objetivo de colaborar en</w:t>
      </w:r>
      <w:r>
        <w:rPr>
          <w:rFonts w:ascii="Open Sans" w:hAnsi="Open Sans" w:cs="Arial"/>
          <w:sz w:val="20"/>
          <w:szCs w:val="20"/>
        </w:rPr>
        <w:t xml:space="preserve"> </w:t>
      </w:r>
      <w:r w:rsidRPr="00245C8B">
        <w:rPr>
          <w:rFonts w:ascii="Open Sans" w:hAnsi="Open Sans" w:cs="Arial"/>
          <w:sz w:val="20"/>
          <w:szCs w:val="20"/>
        </w:rPr>
        <w:t>el desarrollo del proyecto de dicha Sociedad.</w:t>
      </w:r>
      <w:r>
        <w:rPr>
          <w:rFonts w:ascii="Open Sans" w:hAnsi="Open Sans" w:cs="Arial"/>
          <w:sz w:val="20"/>
          <w:szCs w:val="20"/>
        </w:rPr>
        <w:t xml:space="preserve"> La segunda financiación se trata de una concesión</w:t>
      </w:r>
      <w:r w:rsidRPr="00245C8B">
        <w:rPr>
          <w:rFonts w:ascii="Open Sans" w:hAnsi="Open Sans" w:cs="Arial"/>
          <w:sz w:val="20"/>
          <w:szCs w:val="20"/>
        </w:rPr>
        <w:t xml:space="preserve"> a su filial portuguesa MPCVI - Compra e Venda</w:t>
      </w:r>
      <w:r>
        <w:rPr>
          <w:rFonts w:ascii="Open Sans" w:hAnsi="Open Sans" w:cs="Arial"/>
          <w:sz w:val="20"/>
          <w:szCs w:val="20"/>
        </w:rPr>
        <w:t xml:space="preserve"> </w:t>
      </w:r>
      <w:r w:rsidRPr="00245C8B">
        <w:rPr>
          <w:rFonts w:ascii="Open Sans" w:hAnsi="Open Sans" w:cs="Arial"/>
          <w:sz w:val="20"/>
          <w:szCs w:val="20"/>
        </w:rPr>
        <w:t>Imobiliária, S.A.</w:t>
      </w:r>
      <w:r>
        <w:rPr>
          <w:rFonts w:ascii="Open Sans" w:hAnsi="Open Sans" w:cs="Arial"/>
          <w:sz w:val="20"/>
          <w:szCs w:val="20"/>
        </w:rPr>
        <w:t xml:space="preserve"> de un </w:t>
      </w:r>
      <w:r w:rsidRPr="00245C8B">
        <w:rPr>
          <w:rFonts w:ascii="Open Sans" w:hAnsi="Open Sans" w:cs="Arial"/>
          <w:sz w:val="20"/>
          <w:szCs w:val="20"/>
        </w:rPr>
        <w:t>préstamo participativo de 11.800 miles de euros, cuyo</w:t>
      </w:r>
      <w:r>
        <w:rPr>
          <w:rFonts w:ascii="Open Sans" w:hAnsi="Open Sans" w:cs="Arial"/>
          <w:sz w:val="20"/>
          <w:szCs w:val="20"/>
        </w:rPr>
        <w:t xml:space="preserve"> </w:t>
      </w:r>
      <w:r w:rsidRPr="00245C8B">
        <w:rPr>
          <w:rFonts w:ascii="Open Sans" w:hAnsi="Open Sans" w:cs="Arial"/>
          <w:sz w:val="20"/>
          <w:szCs w:val="20"/>
        </w:rPr>
        <w:t>vencimiento es el 5 de junio de 2025 y devenga un tipo de interés de Euribor a tres meses más un diferencial</w:t>
      </w:r>
      <w:r>
        <w:rPr>
          <w:rFonts w:ascii="Open Sans" w:hAnsi="Open Sans" w:cs="Arial"/>
          <w:sz w:val="20"/>
          <w:szCs w:val="20"/>
        </w:rPr>
        <w:t xml:space="preserve"> </w:t>
      </w:r>
      <w:r w:rsidRPr="00245C8B">
        <w:rPr>
          <w:rFonts w:ascii="Open Sans" w:hAnsi="Open Sans" w:cs="Arial"/>
          <w:sz w:val="20"/>
          <w:szCs w:val="20"/>
        </w:rPr>
        <w:t>del 5%.</w:t>
      </w:r>
    </w:p>
    <w:p w14:paraId="219317B0" w14:textId="77777777" w:rsidR="003720EE" w:rsidRDefault="003720EE" w:rsidP="003720EE">
      <w:pPr>
        <w:jc w:val="both"/>
        <w:rPr>
          <w:rFonts w:ascii="Open Sans" w:hAnsi="Open Sans" w:cs="Arial"/>
          <w:sz w:val="20"/>
          <w:szCs w:val="20"/>
        </w:rPr>
      </w:pPr>
    </w:p>
    <w:p w14:paraId="23007E4D" w14:textId="77777777" w:rsidR="003720EE" w:rsidRDefault="003720EE" w:rsidP="003720EE">
      <w:pPr>
        <w:jc w:val="both"/>
        <w:rPr>
          <w:rFonts w:ascii="Open Sans" w:hAnsi="Open Sans" w:cs="Arial"/>
          <w:sz w:val="20"/>
          <w:szCs w:val="20"/>
        </w:rPr>
      </w:pPr>
      <w:r>
        <w:rPr>
          <w:rFonts w:ascii="Open Sans" w:hAnsi="Open Sans" w:cs="Arial"/>
          <w:sz w:val="20"/>
          <w:szCs w:val="20"/>
        </w:rPr>
        <w:t xml:space="preserve">En las cuentas anuales individuales de Merlin Properties también se refleja la existencia </w:t>
      </w:r>
      <w:r w:rsidRPr="00597665">
        <w:rPr>
          <w:rFonts w:ascii="Open Sans" w:hAnsi="Open Sans" w:cs="Arial"/>
          <w:sz w:val="20"/>
          <w:szCs w:val="20"/>
        </w:rPr>
        <w:t>un contrato de prestación de servicios de gestión con las sociedades de sus Grupo en</w:t>
      </w:r>
      <w:r>
        <w:rPr>
          <w:rFonts w:ascii="Open Sans" w:hAnsi="Open Sans" w:cs="Arial"/>
          <w:sz w:val="20"/>
          <w:szCs w:val="20"/>
        </w:rPr>
        <w:t xml:space="preserve"> </w:t>
      </w:r>
      <w:r w:rsidRPr="00597665">
        <w:rPr>
          <w:rFonts w:ascii="Open Sans" w:hAnsi="Open Sans" w:cs="Arial"/>
          <w:sz w:val="20"/>
          <w:szCs w:val="20"/>
        </w:rPr>
        <w:t xml:space="preserve">virtud del cual se ha devengado un ingreso por prestación de servicios por </w:t>
      </w:r>
      <w:r>
        <w:rPr>
          <w:rFonts w:ascii="Open Sans" w:hAnsi="Open Sans" w:cs="Arial"/>
          <w:sz w:val="20"/>
          <w:szCs w:val="20"/>
        </w:rPr>
        <w:t>importe de 2.647 miles de euros en 2015.</w:t>
      </w:r>
    </w:p>
    <w:p w14:paraId="64FA0EC3" w14:textId="77777777" w:rsidR="003720EE" w:rsidRPr="00597665" w:rsidRDefault="003720EE" w:rsidP="003720EE">
      <w:pPr>
        <w:jc w:val="both"/>
        <w:rPr>
          <w:rFonts w:ascii="Open Sans" w:hAnsi="Open Sans" w:cs="Arial"/>
          <w:sz w:val="20"/>
          <w:szCs w:val="20"/>
        </w:rPr>
      </w:pPr>
    </w:p>
    <w:p w14:paraId="681530EB" w14:textId="77777777" w:rsidR="003720EE" w:rsidRPr="0024142E" w:rsidRDefault="003720EE" w:rsidP="003720EE">
      <w:pPr>
        <w:jc w:val="both"/>
        <w:rPr>
          <w:rFonts w:ascii="Open Sans" w:hAnsi="Open Sans" w:cs="Arial"/>
          <w:sz w:val="20"/>
          <w:szCs w:val="20"/>
        </w:rPr>
      </w:pPr>
    </w:p>
    <w:p w14:paraId="10029EA9" w14:textId="77777777" w:rsidR="003720EE" w:rsidRPr="0024142E" w:rsidRDefault="003720EE" w:rsidP="003720EE">
      <w:pPr>
        <w:rPr>
          <w:rFonts w:ascii="Open Sans" w:hAnsi="Open Sans" w:cs="Arial"/>
          <w:bCs/>
          <w:sz w:val="22"/>
          <w:szCs w:val="22"/>
          <w:u w:val="single"/>
        </w:rPr>
      </w:pPr>
      <w:r w:rsidRPr="0024142E">
        <w:rPr>
          <w:rFonts w:ascii="Open Sans" w:hAnsi="Open Sans" w:cs="Arial"/>
          <w:b/>
          <w:sz w:val="22"/>
          <w:szCs w:val="22"/>
          <w:u w:val="single"/>
        </w:rPr>
        <w:t>5. Conclusiones</w:t>
      </w:r>
    </w:p>
    <w:p w14:paraId="4F8D7377" w14:textId="77777777" w:rsidR="003720EE" w:rsidRPr="00732FD5" w:rsidRDefault="003720EE" w:rsidP="003720EE">
      <w:pPr>
        <w:rPr>
          <w:rFonts w:ascii="Open Sans" w:hAnsi="Open Sans" w:cs="Arial"/>
          <w:bCs/>
          <w:sz w:val="22"/>
          <w:szCs w:val="22"/>
        </w:rPr>
      </w:pPr>
    </w:p>
    <w:p w14:paraId="00936D4F" w14:textId="77777777" w:rsidR="003720EE" w:rsidRPr="004B7A07" w:rsidRDefault="003720EE" w:rsidP="003720EE">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Merlin Properties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0,14</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la obtiene en los aspectos de “política y estrategia fiscal” (0,20) y en “relaciones con Administraciones Tributarias” (0,20) seguida por “impuestos e incentivos” (0,17). Por último en relación a “paraísos y nichos fiscales” la puntuación es de 0 al no aportar ninguna información sobre la presencia de la empresa en Delaware (EEUU).</w:t>
      </w:r>
    </w:p>
    <w:p w14:paraId="32D51158" w14:textId="77777777" w:rsidR="003720EE" w:rsidRDefault="003720EE" w:rsidP="003720EE">
      <w:pPr>
        <w:rPr>
          <w:rFonts w:ascii="Open Sans" w:hAnsi="Open Sans"/>
        </w:rPr>
      </w:pPr>
    </w:p>
    <w:p w14:paraId="330725CD" w14:textId="77777777" w:rsidR="003720EE" w:rsidRDefault="003720EE" w:rsidP="003720EE">
      <w:pPr>
        <w:jc w:val="both"/>
        <w:rPr>
          <w:rFonts w:ascii="Open Sans" w:hAnsi="Open Sans" w:cs="Arial"/>
          <w:sz w:val="20"/>
          <w:szCs w:val="20"/>
        </w:rPr>
      </w:pPr>
      <w:r>
        <w:rPr>
          <w:rFonts w:ascii="Open Sans" w:hAnsi="Open Sans" w:cs="Arial"/>
          <w:sz w:val="20"/>
          <w:szCs w:val="20"/>
        </w:rPr>
        <w:t xml:space="preserve">La información relacionada con el ámbito fiscal se publica fundamentalmente en las cuentas anuales del Grupo. En el </w:t>
      </w:r>
      <w:r w:rsidRPr="00534558">
        <w:rPr>
          <w:rFonts w:ascii="Open Sans" w:hAnsi="Open Sans" w:cs="Arial"/>
          <w:sz w:val="20"/>
          <w:szCs w:val="20"/>
        </w:rPr>
        <w:t>Reglamento del Consejo de Administración</w:t>
      </w:r>
      <w:r>
        <w:rPr>
          <w:rFonts w:ascii="Open Sans" w:hAnsi="Open Sans" w:cs="Arial"/>
          <w:sz w:val="20"/>
          <w:szCs w:val="20"/>
        </w:rPr>
        <w:t xml:space="preserve"> y en la </w:t>
      </w:r>
      <w:r w:rsidRPr="00534558">
        <w:rPr>
          <w:rFonts w:ascii="Open Sans" w:hAnsi="Open Sans" w:cs="Arial"/>
          <w:sz w:val="20"/>
          <w:szCs w:val="20"/>
        </w:rPr>
        <w:t xml:space="preserve">Memoria sobre la actividad de la </w:t>
      </w:r>
      <w:r>
        <w:rPr>
          <w:rFonts w:ascii="Open Sans" w:hAnsi="Open Sans" w:cs="Arial"/>
          <w:sz w:val="20"/>
          <w:szCs w:val="20"/>
        </w:rPr>
        <w:t>Comisión de Auditoría y Control se incluyen responsabilidades genéricas en temas fiscales establecidas en la Ley de Sociedades de Capital. Sin embargo en el Informe de Responsabilidad Social Corporativa no se menciona ningún aspecto relacionado con la fiscalidad.</w:t>
      </w:r>
    </w:p>
    <w:p w14:paraId="3441FDBB" w14:textId="77777777" w:rsidR="003720EE" w:rsidRDefault="003720EE" w:rsidP="003720EE">
      <w:pPr>
        <w:jc w:val="both"/>
        <w:rPr>
          <w:rFonts w:ascii="Open Sans" w:hAnsi="Open Sans" w:cs="Arial"/>
          <w:sz w:val="20"/>
          <w:szCs w:val="20"/>
        </w:rPr>
      </w:pPr>
    </w:p>
    <w:p w14:paraId="62AFBF5E" w14:textId="77777777" w:rsidR="003720EE" w:rsidRDefault="003720EE" w:rsidP="003720EE">
      <w:pPr>
        <w:jc w:val="both"/>
        <w:rPr>
          <w:rFonts w:ascii="Open Sans" w:hAnsi="Open Sans" w:cs="Arial"/>
          <w:sz w:val="20"/>
          <w:szCs w:val="20"/>
        </w:rPr>
      </w:pPr>
      <w:r>
        <w:rPr>
          <w:rFonts w:ascii="Open Sans" w:hAnsi="Open Sans" w:cs="Arial"/>
          <w:sz w:val="20"/>
          <w:szCs w:val="20"/>
        </w:rPr>
        <w:t xml:space="preserve">No hay evidenciad que la empresa siga algún tipo de modelo de reporte o de gestión en el ámbito fiscal alineado con iniciativas de transparencia fiscal o de responsabilidad fiscal ni de que la empresa forme parte de iniciativas que fomenten la relación de cumplimiento cooperativo entre empresas y Administraciones Tributarias. </w:t>
      </w:r>
    </w:p>
    <w:p w14:paraId="0B4D65D6" w14:textId="77777777" w:rsidR="003720EE" w:rsidRDefault="003720EE" w:rsidP="003720EE">
      <w:pPr>
        <w:jc w:val="both"/>
        <w:rPr>
          <w:rFonts w:ascii="Open Sans" w:hAnsi="Open Sans" w:cs="Arial"/>
          <w:sz w:val="20"/>
          <w:szCs w:val="20"/>
        </w:rPr>
      </w:pPr>
    </w:p>
    <w:p w14:paraId="33487518" w14:textId="77777777" w:rsidR="003720EE" w:rsidRDefault="003720EE" w:rsidP="003720EE">
      <w:pPr>
        <w:jc w:val="both"/>
        <w:rPr>
          <w:rFonts w:ascii="Open Sans" w:hAnsi="Open Sans" w:cs="Arial"/>
          <w:sz w:val="20"/>
          <w:szCs w:val="20"/>
        </w:rPr>
      </w:pPr>
      <w:r>
        <w:rPr>
          <w:rFonts w:ascii="Open Sans" w:hAnsi="Open Sans" w:cs="Arial"/>
          <w:sz w:val="20"/>
          <w:szCs w:val="20"/>
        </w:rPr>
        <w:t>Tampoco hay evidencia de que el Grupo cuente con políticas, procedimientos o sistemas de gestión internos centrados en el ámbito fiscal. No obstante, la empresa sí reconoce expresamente en las cuentas anuales uno de los r</w:t>
      </w:r>
      <w:r>
        <w:rPr>
          <w:rFonts w:ascii="Open Sans" w:hAnsi="Open Sans" w:cs="Arial"/>
          <w:bCs/>
          <w:sz w:val="20"/>
          <w:szCs w:val="20"/>
        </w:rPr>
        <w:t xml:space="preserve">iesgos fiscales que pueden afectar su operativa. </w:t>
      </w:r>
    </w:p>
    <w:p w14:paraId="7DC0F5F4" w14:textId="77777777" w:rsidR="003720EE" w:rsidRDefault="003720EE" w:rsidP="003720EE">
      <w:pPr>
        <w:rPr>
          <w:rFonts w:ascii="Open Sans" w:hAnsi="Open Sans"/>
          <w:sz w:val="20"/>
          <w:szCs w:val="20"/>
        </w:rPr>
      </w:pPr>
    </w:p>
    <w:p w14:paraId="6EA8827B" w14:textId="77777777" w:rsidR="003720EE" w:rsidRDefault="003720EE" w:rsidP="003720EE">
      <w:pPr>
        <w:jc w:val="both"/>
        <w:rPr>
          <w:rFonts w:ascii="Open Sans" w:hAnsi="Open Sans"/>
          <w:sz w:val="20"/>
          <w:szCs w:val="20"/>
        </w:rPr>
      </w:pPr>
      <w:r>
        <w:rPr>
          <w:rFonts w:ascii="Open Sans" w:hAnsi="Open Sans"/>
          <w:sz w:val="20"/>
          <w:szCs w:val="20"/>
        </w:rPr>
        <w:t>En las cuentas anuales se hacen diversas menciones al régimen fiscal especial de las SOCIMIs al que se encuentra sometida la sociedad y que le permite estar sujeta a un tipo de gravamen en el impuesto de sociedades del 0%. Al someterse a este régimen especial la empresa tiene la obligación de presentar determinada información en las cuentas anuales sobre su aplicación, no obstante esta información exigida legalmente solo se incluye en las cuentas individuales de la sociedad matriz pero no en las del grupo consolidado. Tampoco se aportan datos en términos monetarios que permitan mostrar los beneficios fiscales que supone este régimen especial para la sociedad (importe de exenciones, deducciones, etc.)</w:t>
      </w:r>
    </w:p>
    <w:p w14:paraId="51A297CD" w14:textId="77777777" w:rsidR="003720EE" w:rsidRDefault="003720EE" w:rsidP="003720EE">
      <w:pPr>
        <w:jc w:val="both"/>
        <w:rPr>
          <w:rFonts w:ascii="Open Sans" w:hAnsi="Open Sans"/>
          <w:sz w:val="20"/>
          <w:szCs w:val="20"/>
        </w:rPr>
      </w:pPr>
    </w:p>
    <w:p w14:paraId="65A67BB2" w14:textId="77777777" w:rsidR="003720EE" w:rsidRPr="0024142E" w:rsidRDefault="003720EE" w:rsidP="003720EE">
      <w:pPr>
        <w:jc w:val="both"/>
        <w:rPr>
          <w:rFonts w:ascii="Open Sans" w:hAnsi="Open Sans"/>
          <w:sz w:val="20"/>
          <w:szCs w:val="20"/>
        </w:rPr>
      </w:pPr>
      <w:r>
        <w:rPr>
          <w:rFonts w:ascii="Open Sans" w:hAnsi="Open Sans"/>
          <w:sz w:val="20"/>
          <w:szCs w:val="20"/>
        </w:rPr>
        <w:t xml:space="preserve">Los análisis realizados permiten concluir que la información fiscal que </w:t>
      </w:r>
      <w:proofErr w:type="gramStart"/>
      <w:r>
        <w:rPr>
          <w:rFonts w:ascii="Open Sans" w:hAnsi="Open Sans"/>
          <w:sz w:val="20"/>
          <w:szCs w:val="20"/>
        </w:rPr>
        <w:t>publica</w:t>
      </w:r>
      <w:proofErr w:type="gramEnd"/>
      <w:r>
        <w:rPr>
          <w:rFonts w:ascii="Open Sans" w:hAnsi="Open Sans"/>
          <w:sz w:val="20"/>
          <w:szCs w:val="20"/>
        </w:rPr>
        <w:t xml:space="preserve"> Merlin Properties responde a exigencias legales de información financiera y contable, de gobierno corporativo, de la ley de sociedades de capital y de la normativa fiscal especifica que le aplica. La información proporcionada se publica distribuida a lo largo de diferentes secciones de las cuentas anuales y en un lenguaje especializado que dificulta su acceso y comprensión generalizada por todos los grupos de interés que quieran acceder a la misma.</w:t>
      </w:r>
    </w:p>
    <w:p w14:paraId="18F25AD3" w14:textId="77777777" w:rsidR="00EA0119" w:rsidRDefault="00EA0119" w:rsidP="00EA0119">
      <w:pPr>
        <w:jc w:val="both"/>
        <w:rPr>
          <w:rFonts w:ascii="Open Sans" w:hAnsi="Open Sans" w:cs="Arial"/>
          <w:sz w:val="20"/>
          <w:szCs w:val="20"/>
        </w:rPr>
      </w:pPr>
    </w:p>
    <w:p w14:paraId="18B7385D" w14:textId="57B171CE" w:rsidR="005A3485" w:rsidRDefault="00EA0119" w:rsidP="00EA0119">
      <w:pPr>
        <w:jc w:val="both"/>
        <w:rPr>
          <w:rFonts w:ascii="Open Sans" w:hAnsi="Open Sans" w:cs="Arial"/>
          <w:sz w:val="20"/>
          <w:szCs w:val="20"/>
        </w:rPr>
      </w:pPr>
      <w:r>
        <w:rPr>
          <w:rFonts w:ascii="Open Sans" w:hAnsi="Open Sans" w:cs="Arial"/>
          <w:sz w:val="20"/>
          <w:szCs w:val="20"/>
        </w:rPr>
        <w:t xml:space="preserve"> </w:t>
      </w:r>
    </w:p>
    <w:p w14:paraId="4D67C599" w14:textId="77777777" w:rsidR="005A3485" w:rsidRDefault="005A3485">
      <w:pPr>
        <w:rPr>
          <w:rFonts w:ascii="Open Sans" w:hAnsi="Open Sans" w:cs="Arial"/>
          <w:sz w:val="20"/>
          <w:szCs w:val="20"/>
        </w:rPr>
      </w:pPr>
      <w:r>
        <w:rPr>
          <w:rFonts w:ascii="Open Sans" w:hAnsi="Open Sans" w:cs="Arial"/>
          <w:sz w:val="20"/>
          <w:szCs w:val="20"/>
        </w:rPr>
        <w:br w:type="page"/>
      </w:r>
    </w:p>
    <w:p w14:paraId="1B7E4F35" w14:textId="77777777" w:rsidR="00EA0119" w:rsidRPr="00B535C3" w:rsidRDefault="00EA0119" w:rsidP="00EA0119">
      <w:pPr>
        <w:jc w:val="both"/>
        <w:rPr>
          <w:rFonts w:ascii="Open Sans" w:hAnsi="Open Sans" w:cs="Arial"/>
          <w:b/>
          <w:sz w:val="20"/>
          <w:szCs w:val="20"/>
        </w:rPr>
      </w:pPr>
    </w:p>
    <w:p w14:paraId="37A2963A" w14:textId="77777777" w:rsidR="00C53601" w:rsidRDefault="00C53601" w:rsidP="00F8108C">
      <w:pPr>
        <w:rPr>
          <w:rFonts w:ascii="Arial" w:hAnsi="Arial" w:cs="Arial"/>
        </w:rPr>
      </w:pPr>
    </w:p>
    <w:p w14:paraId="30853FAB" w14:textId="2CE02638" w:rsidR="00A112C7" w:rsidRPr="00B86F40" w:rsidRDefault="00FD6FFD" w:rsidP="009349A9">
      <w:pPr>
        <w:pStyle w:val="Titulo3-informefinal"/>
        <w:rPr>
          <w:i/>
        </w:rPr>
      </w:pPr>
      <w:bookmarkStart w:id="100" w:name="_Toc254282541"/>
      <w:bookmarkStart w:id="101" w:name="_Toc354061527"/>
      <w:r>
        <w:t>5</w:t>
      </w:r>
      <w:r w:rsidR="00A112C7" w:rsidRPr="00B86F40">
        <w:t>.5. Empresas del sector Servicios Tecnología y Comunicaciones</w:t>
      </w:r>
      <w:bookmarkEnd w:id="100"/>
      <w:bookmarkEnd w:id="101"/>
    </w:p>
    <w:p w14:paraId="4BE2C0C7" w14:textId="77777777" w:rsidR="004C6977" w:rsidRPr="00B86F40" w:rsidRDefault="004C6977" w:rsidP="004C6977">
      <w:pPr>
        <w:spacing w:line="360" w:lineRule="auto"/>
        <w:ind w:left="720"/>
        <w:jc w:val="both"/>
        <w:outlineLvl w:val="4"/>
        <w:rPr>
          <w:rFonts w:ascii="Open Sans" w:hAnsi="Open Sans" w:cs="Arial"/>
          <w:b/>
          <w:caps/>
        </w:rPr>
      </w:pPr>
    </w:p>
    <w:p w14:paraId="2ABA3615" w14:textId="77777777" w:rsidR="00700F67" w:rsidRDefault="00F8108C" w:rsidP="007A07D5">
      <w:pPr>
        <w:numPr>
          <w:ilvl w:val="0"/>
          <w:numId w:val="6"/>
        </w:numPr>
        <w:spacing w:line="360" w:lineRule="auto"/>
        <w:jc w:val="both"/>
        <w:outlineLvl w:val="4"/>
        <w:rPr>
          <w:rFonts w:ascii="Open Sans" w:hAnsi="Open Sans" w:cs="Arial"/>
          <w:b/>
          <w:caps/>
        </w:rPr>
      </w:pPr>
      <w:r w:rsidRPr="00B86F40">
        <w:rPr>
          <w:rFonts w:ascii="Open Sans" w:hAnsi="Open Sans" w:cs="Arial"/>
          <w:b/>
          <w:caps/>
        </w:rPr>
        <w:t>INDRA SISTEMAS, S.A.</w:t>
      </w:r>
    </w:p>
    <w:p w14:paraId="5DC650FC" w14:textId="56FE584F" w:rsidR="001D4A43" w:rsidRPr="00B86F40" w:rsidRDefault="00F8108C" w:rsidP="007A07D5">
      <w:pPr>
        <w:numPr>
          <w:ilvl w:val="0"/>
          <w:numId w:val="6"/>
        </w:numPr>
        <w:spacing w:line="360" w:lineRule="auto"/>
        <w:jc w:val="both"/>
        <w:outlineLvl w:val="4"/>
        <w:rPr>
          <w:rFonts w:ascii="Open Sans" w:hAnsi="Open Sans" w:cs="Arial"/>
          <w:b/>
          <w:caps/>
        </w:rPr>
      </w:pPr>
      <w:r w:rsidRPr="00B86F40">
        <w:rPr>
          <w:rFonts w:ascii="Open Sans" w:hAnsi="Open Sans" w:cs="Arial"/>
          <w:b/>
          <w:caps/>
        </w:rPr>
        <w:t>TELEFONICA, S.A</w:t>
      </w:r>
    </w:p>
    <w:p w14:paraId="768EB80C" w14:textId="77777777" w:rsidR="001D4A43" w:rsidRDefault="001D4A43">
      <w:pPr>
        <w:rPr>
          <w:rFonts w:ascii="Arial" w:hAnsi="Arial" w:cs="Arial"/>
          <w:b/>
          <w:caps/>
        </w:rPr>
      </w:pPr>
      <w:r>
        <w:rPr>
          <w:rFonts w:ascii="Arial" w:hAnsi="Arial" w:cs="Arial"/>
          <w:b/>
          <w:caps/>
        </w:rPr>
        <w:br w:type="page"/>
      </w:r>
    </w:p>
    <w:p w14:paraId="7F564519" w14:textId="77777777" w:rsidR="003D6914" w:rsidRPr="00BD764D" w:rsidRDefault="003D6914" w:rsidP="003D6914">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bCs/>
          <w:caps/>
          <w:color w:val="FFFFFF"/>
        </w:rPr>
      </w:pPr>
      <w:bookmarkStart w:id="102" w:name="Indra"/>
      <w:r w:rsidRPr="00BD764D">
        <w:rPr>
          <w:rFonts w:ascii="Open Sans" w:hAnsi="Open Sans" w:cs="Arial"/>
          <w:b/>
          <w:bCs/>
          <w:caps/>
          <w:color w:val="FFFFFF"/>
        </w:rPr>
        <w:t>INDRA SISTEMAS S.A.</w:t>
      </w:r>
      <w:bookmarkEnd w:id="102"/>
    </w:p>
    <w:p w14:paraId="2BA5C2E0" w14:textId="77777777" w:rsidR="003D6914" w:rsidRPr="00EE1EF7" w:rsidRDefault="003D6914" w:rsidP="003D6914">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Pr>
          <w:rFonts w:ascii="Open Sans" w:hAnsi="Open Sans" w:cs="Arial"/>
          <w:b/>
          <w:bCs/>
          <w:i/>
          <w:color w:val="FFFFFF"/>
        </w:rPr>
        <w:t>(</w:t>
      </w:r>
      <w:r w:rsidRPr="00BD764D">
        <w:rPr>
          <w:rFonts w:ascii="Open Sans" w:hAnsi="Open Sans" w:cs="Arial"/>
          <w:b/>
          <w:bCs/>
          <w:i/>
          <w:color w:val="FFFFFF"/>
        </w:rPr>
        <w:t>Indra</w:t>
      </w:r>
      <w:r>
        <w:rPr>
          <w:rFonts w:ascii="Open Sans" w:hAnsi="Open Sans" w:cs="Arial"/>
          <w:b/>
          <w:bCs/>
          <w:i/>
          <w:color w:val="FFFFFF"/>
        </w:rPr>
        <w:t>)</w:t>
      </w:r>
    </w:p>
    <w:p w14:paraId="1131C958" w14:textId="77777777" w:rsidR="003D6914" w:rsidRDefault="003D6914" w:rsidP="003D6914">
      <w:pPr>
        <w:spacing w:before="120" w:after="120" w:line="360" w:lineRule="auto"/>
        <w:jc w:val="both"/>
        <w:rPr>
          <w:rFonts w:ascii="Open Sans" w:hAnsi="Open Sans" w:cs="Tahoma"/>
          <w:b/>
          <w:bCs/>
          <w:color w:val="002060"/>
          <w:sz w:val="28"/>
          <w:szCs w:val="28"/>
        </w:rPr>
      </w:pPr>
    </w:p>
    <w:p w14:paraId="41C3C55D" w14:textId="77777777" w:rsidR="00A764EF" w:rsidRPr="006A676D" w:rsidRDefault="00A764EF" w:rsidP="00A764EF">
      <w:pPr>
        <w:jc w:val="both"/>
        <w:outlineLvl w:val="5"/>
        <w:rPr>
          <w:rFonts w:ascii="Open Sans" w:hAnsi="Open Sans" w:cs="Arial"/>
          <w:b/>
          <w:sz w:val="26"/>
          <w:szCs w:val="22"/>
          <w:u w:val="single"/>
        </w:rPr>
      </w:pPr>
      <w:r w:rsidRPr="006A676D">
        <w:rPr>
          <w:rFonts w:ascii="Open Sans" w:hAnsi="Open Sans" w:cs="Arial"/>
          <w:b/>
          <w:sz w:val="22"/>
          <w:szCs w:val="22"/>
          <w:u w:val="single"/>
        </w:rPr>
        <w:t>1. Datos generales de la entidad</w:t>
      </w:r>
    </w:p>
    <w:p w14:paraId="0E77468C" w14:textId="77777777" w:rsidR="00A764EF" w:rsidRPr="006A676D" w:rsidRDefault="00A764EF" w:rsidP="00A764EF">
      <w:pPr>
        <w:jc w:val="both"/>
        <w:rPr>
          <w:rFonts w:ascii="Open Sans" w:hAnsi="Open Sans" w:cs="Arial"/>
          <w:sz w:val="22"/>
          <w:szCs w:val="22"/>
          <w:u w:val="single"/>
        </w:rPr>
      </w:pPr>
    </w:p>
    <w:p w14:paraId="10DA2076"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u w:val="single"/>
        </w:rPr>
        <w:t>Productos/servicios</w:t>
      </w:r>
    </w:p>
    <w:p w14:paraId="1B1BF9CE" w14:textId="77777777" w:rsidR="00A764EF" w:rsidRPr="006A676D" w:rsidRDefault="00A764EF" w:rsidP="00A764EF">
      <w:pPr>
        <w:jc w:val="both"/>
        <w:rPr>
          <w:rFonts w:ascii="Open Sans" w:hAnsi="Open Sans" w:cs="Arial"/>
          <w:sz w:val="20"/>
          <w:szCs w:val="20"/>
        </w:rPr>
      </w:pPr>
    </w:p>
    <w:p w14:paraId="1B4B0A63"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ofrece a sus clientes los siguientes productos/ servicios:</w:t>
      </w:r>
    </w:p>
    <w:p w14:paraId="28DA346F" w14:textId="77777777" w:rsidR="00A764EF" w:rsidRPr="006A676D" w:rsidRDefault="00A764EF" w:rsidP="00A764EF">
      <w:pPr>
        <w:jc w:val="both"/>
        <w:rPr>
          <w:rFonts w:ascii="Open Sans" w:hAnsi="Open Sans" w:cs="Arial"/>
          <w:sz w:val="20"/>
          <w:szCs w:val="20"/>
        </w:rPr>
      </w:pPr>
    </w:p>
    <w:p w14:paraId="561A5034" w14:textId="77777777" w:rsidR="00A764EF" w:rsidRPr="006A676D" w:rsidRDefault="00A764EF" w:rsidP="000B70C9">
      <w:pPr>
        <w:pStyle w:val="Prrafodelista"/>
        <w:numPr>
          <w:ilvl w:val="0"/>
          <w:numId w:val="50"/>
        </w:numPr>
        <w:jc w:val="both"/>
        <w:rPr>
          <w:rFonts w:ascii="Open Sans" w:hAnsi="Open Sans" w:cs="Arial"/>
          <w:sz w:val="20"/>
          <w:szCs w:val="20"/>
        </w:rPr>
      </w:pPr>
      <w:r w:rsidRPr="006A676D">
        <w:rPr>
          <w:rFonts w:ascii="Open Sans" w:hAnsi="Open Sans" w:cs="Arial"/>
          <w:sz w:val="20"/>
          <w:szCs w:val="20"/>
        </w:rPr>
        <w:t xml:space="preserve">Diseño, desarrollo, producción, integración, operación, mantenimiento, reparación y comercialización de sistemas, soluciones y productos que hagan uso de las tecnologías de la información así como de cualquier parte o componente de los mismos y cualquier tipo de servicios relacionados con todo ello, incluyendo la obra civil necesaria para su instalación, siendo de aplicación a cualquier campo o sector.  </w:t>
      </w:r>
    </w:p>
    <w:p w14:paraId="4A83B87A" w14:textId="77777777" w:rsidR="00A764EF" w:rsidRPr="006A676D" w:rsidRDefault="00A764EF" w:rsidP="000B70C9">
      <w:pPr>
        <w:numPr>
          <w:ilvl w:val="0"/>
          <w:numId w:val="50"/>
        </w:numPr>
        <w:jc w:val="both"/>
        <w:rPr>
          <w:rFonts w:ascii="Open Sans" w:hAnsi="Open Sans" w:cs="Arial"/>
          <w:sz w:val="20"/>
          <w:szCs w:val="20"/>
        </w:rPr>
      </w:pPr>
      <w:r w:rsidRPr="006A676D">
        <w:rPr>
          <w:rFonts w:ascii="Open Sans" w:hAnsi="Open Sans" w:cs="Arial"/>
          <w:sz w:val="20"/>
          <w:szCs w:val="20"/>
        </w:rPr>
        <w:t>Prestación de servicios profesionales en los ámbitos de consultoría de negocio y de gestión, consultoría tecnológica y formación destinados a cualquier campo o sector.</w:t>
      </w:r>
    </w:p>
    <w:p w14:paraId="3A48F524" w14:textId="77777777" w:rsidR="00A764EF" w:rsidRPr="006A676D" w:rsidRDefault="00A764EF" w:rsidP="000B70C9">
      <w:pPr>
        <w:numPr>
          <w:ilvl w:val="0"/>
          <w:numId w:val="50"/>
        </w:numPr>
        <w:jc w:val="both"/>
        <w:rPr>
          <w:rFonts w:ascii="Open Sans" w:hAnsi="Open Sans" w:cs="Arial"/>
          <w:sz w:val="20"/>
          <w:szCs w:val="20"/>
        </w:rPr>
      </w:pPr>
      <w:r w:rsidRPr="006A676D">
        <w:rPr>
          <w:rFonts w:ascii="Open Sans" w:hAnsi="Open Sans" w:cs="Arial"/>
          <w:sz w:val="20"/>
          <w:szCs w:val="20"/>
        </w:rPr>
        <w:t>Prestación de servicios de externalización de actividades y procesos pertenecientes a cualquier campo o sector.</w:t>
      </w:r>
    </w:p>
    <w:p w14:paraId="1BF1313C" w14:textId="77777777" w:rsidR="00A764EF" w:rsidRPr="006A676D" w:rsidRDefault="00A764EF" w:rsidP="00A764EF">
      <w:pPr>
        <w:jc w:val="both"/>
        <w:rPr>
          <w:rFonts w:ascii="Open Sans" w:hAnsi="Open Sans" w:cs="Arial"/>
          <w:sz w:val="20"/>
          <w:szCs w:val="20"/>
        </w:rPr>
      </w:pPr>
    </w:p>
    <w:p w14:paraId="0EFA8565" w14:textId="77777777" w:rsidR="00A764EF" w:rsidRPr="006A676D" w:rsidRDefault="00A764EF" w:rsidP="00A764EF">
      <w:pPr>
        <w:jc w:val="both"/>
        <w:rPr>
          <w:rFonts w:ascii="Open Sans" w:hAnsi="Open Sans" w:cs="Arial"/>
          <w:sz w:val="20"/>
          <w:szCs w:val="20"/>
        </w:rPr>
      </w:pPr>
    </w:p>
    <w:p w14:paraId="3BDC28D1"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u w:val="single"/>
        </w:rPr>
        <w:t xml:space="preserve">Alcance geográfico </w:t>
      </w:r>
    </w:p>
    <w:p w14:paraId="0816AB74" w14:textId="77777777" w:rsidR="00A764EF" w:rsidRPr="006A676D" w:rsidRDefault="00A764EF" w:rsidP="00A764EF">
      <w:pPr>
        <w:jc w:val="both"/>
        <w:rPr>
          <w:rFonts w:ascii="Open Sans" w:hAnsi="Open Sans" w:cs="Arial"/>
          <w:sz w:val="20"/>
          <w:szCs w:val="20"/>
        </w:rPr>
      </w:pPr>
    </w:p>
    <w:p w14:paraId="68BC263A"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tiene presencia a través de sus filiales en 39 países:</w:t>
      </w:r>
    </w:p>
    <w:p w14:paraId="15137BE7" w14:textId="77777777" w:rsidR="00A764EF" w:rsidRPr="006A676D" w:rsidRDefault="00A764EF" w:rsidP="00A764EF">
      <w:pPr>
        <w:jc w:val="both"/>
        <w:rPr>
          <w:rFonts w:ascii="Open Sans" w:hAnsi="Open Sans" w:cs="Arial"/>
          <w:sz w:val="20"/>
          <w:szCs w:val="20"/>
        </w:rPr>
      </w:pPr>
    </w:p>
    <w:p w14:paraId="278517EC"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u w:val="single"/>
        </w:rPr>
        <w:t>Europa</w:t>
      </w:r>
      <w:r w:rsidRPr="006A676D">
        <w:rPr>
          <w:rFonts w:ascii="Open Sans" w:hAnsi="Open Sans" w:cs="Arial"/>
          <w:sz w:val="20"/>
          <w:szCs w:val="20"/>
        </w:rPr>
        <w:t>: Alemania, Bulgaria, Eslovaquia, España, Francia, Italia, Moldavia, Noruega, Polonia, Portugal, Reino Unido, República Checa, Rumanía, Turquía y Ucrania.</w:t>
      </w:r>
    </w:p>
    <w:p w14:paraId="37F38BC1"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u w:val="single"/>
        </w:rPr>
        <w:t>América</w:t>
      </w:r>
      <w:r w:rsidRPr="006A676D">
        <w:rPr>
          <w:rFonts w:ascii="Open Sans" w:hAnsi="Open Sans" w:cs="Arial"/>
          <w:sz w:val="20"/>
          <w:szCs w:val="20"/>
        </w:rPr>
        <w:t>: Argentina, Brasil, Chile, Colombia, EEUU, Guatemala, México, Panamá, Perú, Uruguay.</w:t>
      </w:r>
    </w:p>
    <w:p w14:paraId="15454ED9"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u w:val="single"/>
        </w:rPr>
        <w:t>Asia</w:t>
      </w:r>
      <w:r w:rsidRPr="006A676D">
        <w:rPr>
          <w:rFonts w:ascii="Open Sans" w:hAnsi="Open Sans" w:cs="Arial"/>
          <w:sz w:val="20"/>
          <w:szCs w:val="20"/>
        </w:rPr>
        <w:t>: Arabia Saudita, Bahréin, China, Filipinas, India, Indonesia, Kazajistán, Malasia y Omán</w:t>
      </w:r>
    </w:p>
    <w:p w14:paraId="1EEE853E"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u w:val="single"/>
        </w:rPr>
        <w:t>África</w:t>
      </w:r>
      <w:r w:rsidRPr="006A676D">
        <w:rPr>
          <w:rFonts w:ascii="Open Sans" w:hAnsi="Open Sans" w:cs="Arial"/>
          <w:sz w:val="20"/>
          <w:szCs w:val="20"/>
        </w:rPr>
        <w:t xml:space="preserve">: Kenia, Marruecos, Sudáfrica y Zimbabue. </w:t>
      </w:r>
    </w:p>
    <w:p w14:paraId="3F7A6E05"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Australia.</w:t>
      </w:r>
    </w:p>
    <w:p w14:paraId="56DB8F21" w14:textId="77777777" w:rsidR="00A764EF" w:rsidRPr="006A676D" w:rsidRDefault="00A764EF" w:rsidP="00A764EF">
      <w:pPr>
        <w:jc w:val="both"/>
        <w:rPr>
          <w:rFonts w:ascii="Open Sans" w:hAnsi="Open Sans" w:cs="Arial"/>
          <w:sz w:val="20"/>
          <w:szCs w:val="20"/>
        </w:rPr>
      </w:pPr>
    </w:p>
    <w:p w14:paraId="400ED29C"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tiene referencias en 162 países en los últimos cuatro años.</w:t>
      </w:r>
    </w:p>
    <w:p w14:paraId="13B27A8C" w14:textId="77777777" w:rsidR="00A764EF" w:rsidRPr="006A676D" w:rsidRDefault="00A764EF" w:rsidP="00A764EF">
      <w:pPr>
        <w:jc w:val="both"/>
        <w:rPr>
          <w:rFonts w:ascii="Open Sans" w:hAnsi="Open Sans" w:cs="Arial"/>
          <w:sz w:val="20"/>
          <w:szCs w:val="20"/>
        </w:rPr>
      </w:pPr>
    </w:p>
    <w:p w14:paraId="41141876" w14:textId="77777777" w:rsidR="00A764EF" w:rsidRPr="006A676D" w:rsidRDefault="00A764EF" w:rsidP="00A764EF">
      <w:pPr>
        <w:jc w:val="both"/>
        <w:rPr>
          <w:rFonts w:ascii="Open Sans" w:hAnsi="Open Sans" w:cs="Arial"/>
          <w:sz w:val="20"/>
          <w:szCs w:val="20"/>
        </w:rPr>
      </w:pPr>
    </w:p>
    <w:p w14:paraId="3AFB4B46" w14:textId="77777777" w:rsidR="00A764EF" w:rsidRPr="006A676D" w:rsidRDefault="00A764EF" w:rsidP="00A764EF">
      <w:pPr>
        <w:jc w:val="both"/>
        <w:rPr>
          <w:rFonts w:ascii="Open Sans" w:hAnsi="Open Sans" w:cs="Arial"/>
          <w:sz w:val="20"/>
          <w:szCs w:val="20"/>
          <w:u w:val="single"/>
        </w:rPr>
      </w:pPr>
      <w:r w:rsidRPr="006A676D">
        <w:rPr>
          <w:rFonts w:ascii="Open Sans" w:hAnsi="Open Sans" w:cs="Arial"/>
          <w:sz w:val="20"/>
          <w:szCs w:val="20"/>
          <w:u w:val="single"/>
        </w:rPr>
        <w:t>Cifras relevantes de la empresa:</w:t>
      </w:r>
    </w:p>
    <w:p w14:paraId="55837F31" w14:textId="77777777" w:rsidR="00A764EF" w:rsidRPr="006A676D" w:rsidRDefault="00A764EF" w:rsidP="00A764EF">
      <w:pPr>
        <w:jc w:val="both"/>
        <w:rPr>
          <w:rFonts w:ascii="Open Sans" w:hAnsi="Open Sans" w:cs="Arial"/>
          <w:sz w:val="20"/>
          <w:szCs w:val="20"/>
          <w:u w:val="single"/>
        </w:rPr>
      </w:pPr>
    </w:p>
    <w:p w14:paraId="30B34E92"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Indra ha obtenido una facturación en 2015 de 2.859 millones de euros. Sin embargo el resultado de explotación arroja unas pérdidas de  641 millones de euros. </w:t>
      </w:r>
    </w:p>
    <w:p w14:paraId="69DA13B9" w14:textId="77777777" w:rsidR="00A764EF" w:rsidRPr="006A676D" w:rsidRDefault="00A764EF" w:rsidP="00A764EF">
      <w:pPr>
        <w:jc w:val="both"/>
        <w:rPr>
          <w:rFonts w:ascii="Open Sans" w:hAnsi="Open Sans" w:cs="Arial"/>
          <w:sz w:val="20"/>
          <w:szCs w:val="20"/>
        </w:rPr>
      </w:pPr>
    </w:p>
    <w:p w14:paraId="6E33947E"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Al 31 de diciembre de 2015 el grupo cuenta con un total de 37.060 empleados.</w:t>
      </w:r>
    </w:p>
    <w:p w14:paraId="4BD4A261" w14:textId="77777777" w:rsidR="00A764EF" w:rsidRPr="006A676D" w:rsidRDefault="00A764EF" w:rsidP="00A764EF">
      <w:pPr>
        <w:jc w:val="both"/>
        <w:rPr>
          <w:rFonts w:ascii="Open Sans" w:hAnsi="Open Sans" w:cs="Arial"/>
          <w:sz w:val="20"/>
          <w:szCs w:val="20"/>
          <w:u w:val="single"/>
        </w:rPr>
      </w:pPr>
    </w:p>
    <w:p w14:paraId="37663FC7" w14:textId="77777777" w:rsidR="00A764EF" w:rsidRPr="006A676D" w:rsidRDefault="00A764EF" w:rsidP="00A764EF">
      <w:pPr>
        <w:rPr>
          <w:rFonts w:ascii="Open Sans" w:hAnsi="Open Sans" w:cs="Arial"/>
          <w:sz w:val="20"/>
          <w:szCs w:val="20"/>
          <w:u w:val="single"/>
        </w:rPr>
      </w:pPr>
      <w:r w:rsidRPr="006A676D">
        <w:rPr>
          <w:rFonts w:ascii="Open Sans" w:hAnsi="Open Sans" w:cs="Arial"/>
          <w:sz w:val="20"/>
          <w:szCs w:val="20"/>
          <w:u w:val="single"/>
        </w:rPr>
        <w:br w:type="page"/>
      </w:r>
    </w:p>
    <w:p w14:paraId="68A97548" w14:textId="77777777" w:rsidR="00A764EF" w:rsidRPr="006A676D" w:rsidRDefault="00A764EF" w:rsidP="00A764EF">
      <w:pPr>
        <w:jc w:val="both"/>
        <w:rPr>
          <w:rFonts w:ascii="Open Sans" w:hAnsi="Open Sans" w:cs="Arial"/>
          <w:sz w:val="20"/>
          <w:szCs w:val="20"/>
          <w:u w:val="single"/>
        </w:rPr>
      </w:pPr>
    </w:p>
    <w:p w14:paraId="480529A4" w14:textId="77777777" w:rsidR="00A764EF" w:rsidRPr="006A676D" w:rsidRDefault="00A764EF" w:rsidP="00A764EF">
      <w:pPr>
        <w:jc w:val="both"/>
        <w:rPr>
          <w:rFonts w:ascii="Open Sans" w:hAnsi="Open Sans" w:cs="Arial"/>
          <w:sz w:val="20"/>
          <w:szCs w:val="20"/>
          <w:u w:val="single"/>
        </w:rPr>
      </w:pPr>
      <w:r w:rsidRPr="006A676D">
        <w:rPr>
          <w:rFonts w:ascii="Open Sans" w:hAnsi="Open Sans" w:cs="Arial"/>
          <w:sz w:val="20"/>
          <w:szCs w:val="20"/>
          <w:u w:val="single"/>
        </w:rPr>
        <w:t>Estándares voluntarios relacionados con fiscalidad responsable</w:t>
      </w:r>
    </w:p>
    <w:p w14:paraId="091B544B" w14:textId="77777777" w:rsidR="00A764EF" w:rsidRPr="006A676D" w:rsidRDefault="00A764EF" w:rsidP="00A764EF">
      <w:pPr>
        <w:jc w:val="both"/>
        <w:rPr>
          <w:rFonts w:ascii="Open Sans" w:hAnsi="Open Sans" w:cs="Arial"/>
          <w:sz w:val="20"/>
          <w:szCs w:val="20"/>
          <w:u w:val="single"/>
        </w:rPr>
      </w:pPr>
    </w:p>
    <w:p w14:paraId="787D814F"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no informa que se haya adherido voluntariamente a estándares relacionados con contenidos y sistemas de gestión de fiscalidad responsable.</w:t>
      </w:r>
    </w:p>
    <w:p w14:paraId="01D69928" w14:textId="77777777" w:rsidR="00A764EF" w:rsidRPr="006A676D" w:rsidRDefault="00A764EF" w:rsidP="00A764EF">
      <w:pPr>
        <w:jc w:val="both"/>
        <w:rPr>
          <w:rFonts w:ascii="Open Sans" w:hAnsi="Open Sans" w:cs="Arial"/>
          <w:sz w:val="20"/>
          <w:szCs w:val="20"/>
          <w:u w:val="single"/>
        </w:rPr>
      </w:pPr>
    </w:p>
    <w:p w14:paraId="20BE44E9" w14:textId="77777777" w:rsidR="00A764EF" w:rsidRPr="006A676D" w:rsidRDefault="00A764EF" w:rsidP="00A764EF">
      <w:pPr>
        <w:jc w:val="both"/>
        <w:rPr>
          <w:rFonts w:ascii="Open Sans" w:hAnsi="Open Sans" w:cs="Arial"/>
          <w:sz w:val="20"/>
          <w:szCs w:val="20"/>
          <w:u w:val="single"/>
        </w:rPr>
      </w:pPr>
    </w:p>
    <w:p w14:paraId="3E666D06" w14:textId="77777777" w:rsidR="00A764EF" w:rsidRPr="006A676D" w:rsidRDefault="00A764EF" w:rsidP="00A764EF">
      <w:pPr>
        <w:jc w:val="both"/>
        <w:rPr>
          <w:rFonts w:ascii="Open Sans" w:hAnsi="Open Sans" w:cs="Arial"/>
          <w:sz w:val="20"/>
          <w:szCs w:val="20"/>
          <w:u w:val="single"/>
        </w:rPr>
      </w:pPr>
      <w:r w:rsidRPr="006A676D">
        <w:rPr>
          <w:rFonts w:ascii="Open Sans" w:hAnsi="Open Sans" w:cs="Arial"/>
          <w:sz w:val="20"/>
          <w:szCs w:val="20"/>
          <w:u w:val="single"/>
        </w:rPr>
        <w:t>Documentos incluidos en el análisis</w:t>
      </w:r>
    </w:p>
    <w:p w14:paraId="7A714981" w14:textId="77777777" w:rsidR="00A764EF" w:rsidRPr="006A676D" w:rsidRDefault="00A764EF" w:rsidP="00A764EF">
      <w:pPr>
        <w:ind w:firstLine="709"/>
        <w:jc w:val="both"/>
        <w:rPr>
          <w:rFonts w:ascii="Open Sans" w:hAnsi="Open Sans" w:cs="Arial"/>
          <w:sz w:val="20"/>
          <w:szCs w:val="20"/>
        </w:rPr>
      </w:pPr>
    </w:p>
    <w:p w14:paraId="671DE142"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Para el análisis de la calidad de la información relacionada con fiscalidad de la empresa, se ha tenido en cuenta la información contenida en la siguiente documentación:</w:t>
      </w:r>
    </w:p>
    <w:p w14:paraId="00578383" w14:textId="77777777" w:rsidR="00A764EF" w:rsidRPr="006A676D" w:rsidRDefault="00A764EF" w:rsidP="00A764EF">
      <w:pPr>
        <w:ind w:firstLine="709"/>
        <w:jc w:val="both"/>
        <w:rPr>
          <w:rFonts w:ascii="Open Sans" w:hAnsi="Open Sans" w:cs="Arial"/>
          <w:sz w:val="22"/>
          <w:szCs w:val="22"/>
        </w:rPr>
      </w:pPr>
    </w:p>
    <w:tbl>
      <w:tblPr>
        <w:tblW w:w="8944" w:type="dxa"/>
        <w:tblLayout w:type="fixed"/>
        <w:tblCellMar>
          <w:left w:w="0" w:type="dxa"/>
          <w:right w:w="0" w:type="dxa"/>
        </w:tblCellMar>
        <w:tblLook w:val="0000" w:firstRow="0" w:lastRow="0" w:firstColumn="0" w:lastColumn="0" w:noHBand="0" w:noVBand="0"/>
      </w:tblPr>
      <w:tblGrid>
        <w:gridCol w:w="4833"/>
        <w:gridCol w:w="4111"/>
      </w:tblGrid>
      <w:tr w:rsidR="00A764EF" w:rsidRPr="006A676D" w14:paraId="34AD4F97" w14:textId="77777777" w:rsidTr="00A764EF">
        <w:trPr>
          <w:trHeight w:val="327"/>
        </w:trPr>
        <w:tc>
          <w:tcPr>
            <w:tcW w:w="4833"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385CE699" w14:textId="77777777" w:rsidR="00A764EF" w:rsidRPr="006A676D" w:rsidRDefault="00A764EF" w:rsidP="00A764EF">
            <w:pPr>
              <w:jc w:val="center"/>
              <w:rPr>
                <w:rFonts w:ascii="Open Sans" w:hAnsi="Open Sans" w:cs="Arial"/>
                <w:b/>
                <w:sz w:val="20"/>
                <w:szCs w:val="22"/>
              </w:rPr>
            </w:pPr>
            <w:r w:rsidRPr="006A676D">
              <w:rPr>
                <w:rFonts w:ascii="Open Sans" w:hAnsi="Open Sans" w:cs="Arial"/>
                <w:b/>
                <w:sz w:val="20"/>
                <w:szCs w:val="22"/>
              </w:rPr>
              <w:t>DOCUMENTACIÓN</w:t>
            </w:r>
          </w:p>
        </w:tc>
        <w:tc>
          <w:tcPr>
            <w:tcW w:w="4111"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5F07434A" w14:textId="77777777" w:rsidR="00A764EF" w:rsidRPr="006A676D" w:rsidRDefault="00A764EF" w:rsidP="00A764EF">
            <w:pPr>
              <w:jc w:val="center"/>
              <w:rPr>
                <w:rFonts w:ascii="Open Sans" w:hAnsi="Open Sans" w:cs="Arial"/>
                <w:b/>
                <w:sz w:val="20"/>
                <w:szCs w:val="22"/>
              </w:rPr>
            </w:pPr>
            <w:r w:rsidRPr="006A676D">
              <w:rPr>
                <w:rFonts w:ascii="Open Sans" w:hAnsi="Open Sans" w:cs="Arial"/>
                <w:b/>
                <w:sz w:val="20"/>
                <w:szCs w:val="22"/>
              </w:rPr>
              <w:t>OBSERVACIONES</w:t>
            </w:r>
          </w:p>
        </w:tc>
      </w:tr>
      <w:tr w:rsidR="00A764EF" w:rsidRPr="006A676D" w14:paraId="61600FA7" w14:textId="77777777" w:rsidTr="00A764EF">
        <w:trPr>
          <w:trHeight w:val="315"/>
        </w:trPr>
        <w:tc>
          <w:tcPr>
            <w:tcW w:w="4833"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7D3284C" w14:textId="77777777" w:rsidR="00A764EF" w:rsidRPr="006A676D" w:rsidRDefault="00A764EF" w:rsidP="00A764EF">
            <w:pPr>
              <w:rPr>
                <w:rFonts w:ascii="Open Sans" w:eastAsia="Arial Unicode MS" w:hAnsi="Open Sans" w:cs="Arial"/>
                <w:sz w:val="20"/>
                <w:szCs w:val="20"/>
              </w:rPr>
            </w:pPr>
            <w:r w:rsidRPr="006A676D">
              <w:rPr>
                <w:rFonts w:ascii="Open Sans" w:hAnsi="Open Sans" w:cs="Arial"/>
                <w:color w:val="000000"/>
                <w:sz w:val="20"/>
                <w:szCs w:val="20"/>
              </w:rPr>
              <w:t>Cuentas Anuales Consolidadas 2015</w:t>
            </w:r>
          </w:p>
        </w:tc>
        <w:tc>
          <w:tcPr>
            <w:tcW w:w="411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ABDE0A5" w14:textId="77777777" w:rsidR="00A764EF" w:rsidRPr="006A676D" w:rsidRDefault="00A764EF" w:rsidP="00A764EF">
            <w:pPr>
              <w:jc w:val="both"/>
              <w:rPr>
                <w:rFonts w:ascii="Open Sans" w:eastAsia="Arial Unicode MS" w:hAnsi="Open Sans" w:cs="Arial"/>
                <w:sz w:val="20"/>
                <w:szCs w:val="20"/>
              </w:rPr>
            </w:pPr>
          </w:p>
        </w:tc>
      </w:tr>
      <w:tr w:rsidR="00A764EF" w:rsidRPr="006A676D" w14:paraId="3A8433D4" w14:textId="77777777" w:rsidTr="00A764EF">
        <w:trPr>
          <w:trHeight w:val="300"/>
        </w:trPr>
        <w:tc>
          <w:tcPr>
            <w:tcW w:w="4833"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D45614B" w14:textId="77777777" w:rsidR="00A764EF" w:rsidRPr="006A676D" w:rsidRDefault="00A764EF" w:rsidP="00A764EF">
            <w:pPr>
              <w:rPr>
                <w:rFonts w:ascii="Open Sans" w:eastAsia="Arial Unicode MS" w:hAnsi="Open Sans" w:cs="Arial"/>
                <w:sz w:val="20"/>
                <w:szCs w:val="20"/>
              </w:rPr>
            </w:pPr>
            <w:r w:rsidRPr="006A676D">
              <w:rPr>
                <w:rFonts w:ascii="Open Sans" w:hAnsi="Open Sans" w:cs="Arial"/>
                <w:color w:val="000000"/>
                <w:sz w:val="20"/>
                <w:szCs w:val="20"/>
              </w:rPr>
              <w:t>Informe Anual de Responsabilidad Social Corporativa 2015</w:t>
            </w:r>
          </w:p>
        </w:tc>
        <w:tc>
          <w:tcPr>
            <w:tcW w:w="411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9B25C1B" w14:textId="77777777" w:rsidR="00A764EF" w:rsidRPr="006A676D" w:rsidRDefault="00A764EF" w:rsidP="00A764EF">
            <w:pPr>
              <w:jc w:val="both"/>
              <w:rPr>
                <w:rFonts w:ascii="Open Sans" w:eastAsia="Arial Unicode MS" w:hAnsi="Open Sans" w:cs="Arial"/>
                <w:sz w:val="20"/>
                <w:szCs w:val="20"/>
              </w:rPr>
            </w:pPr>
          </w:p>
        </w:tc>
      </w:tr>
      <w:tr w:rsidR="00A764EF" w:rsidRPr="006A676D" w14:paraId="4DB9D337" w14:textId="77777777" w:rsidTr="00A764EF">
        <w:trPr>
          <w:trHeight w:val="264"/>
        </w:trPr>
        <w:tc>
          <w:tcPr>
            <w:tcW w:w="4833"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CC51272" w14:textId="77777777" w:rsidR="00A764EF" w:rsidRPr="006A676D" w:rsidRDefault="00A764EF" w:rsidP="00A764EF">
            <w:pPr>
              <w:rPr>
                <w:rFonts w:ascii="Open Sans" w:eastAsia="Arial Unicode MS" w:hAnsi="Open Sans" w:cs="Arial"/>
                <w:sz w:val="20"/>
                <w:szCs w:val="20"/>
              </w:rPr>
            </w:pPr>
            <w:r w:rsidRPr="006A676D">
              <w:rPr>
                <w:rFonts w:ascii="Open Sans" w:hAnsi="Open Sans"/>
                <w:color w:val="000000"/>
                <w:sz w:val="20"/>
                <w:szCs w:val="20"/>
              </w:rPr>
              <w:t>Informe Anual de Gobierno Corporativo 2015</w:t>
            </w:r>
          </w:p>
        </w:tc>
        <w:tc>
          <w:tcPr>
            <w:tcW w:w="4111"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2F6195BA" w14:textId="77777777" w:rsidR="00A764EF" w:rsidRPr="006A676D" w:rsidRDefault="00A764EF" w:rsidP="00A764EF">
            <w:pPr>
              <w:jc w:val="both"/>
              <w:rPr>
                <w:rFonts w:ascii="Open Sans" w:eastAsia="Arial Unicode MS" w:hAnsi="Open Sans" w:cs="Arial"/>
                <w:sz w:val="20"/>
                <w:szCs w:val="20"/>
              </w:rPr>
            </w:pPr>
          </w:p>
        </w:tc>
      </w:tr>
      <w:tr w:rsidR="00A764EF" w:rsidRPr="006A676D" w14:paraId="415D7443" w14:textId="77777777" w:rsidTr="00A764EF">
        <w:trPr>
          <w:trHeight w:val="270"/>
        </w:trPr>
        <w:tc>
          <w:tcPr>
            <w:tcW w:w="483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6CE8CC3B" w14:textId="77777777" w:rsidR="00A764EF" w:rsidRPr="006A676D" w:rsidRDefault="00A764EF" w:rsidP="00A764EF">
            <w:pPr>
              <w:rPr>
                <w:rFonts w:ascii="Open Sans" w:hAnsi="Open Sans" w:cs="Tahoma"/>
                <w:sz w:val="20"/>
                <w:szCs w:val="20"/>
              </w:rPr>
            </w:pPr>
            <w:r w:rsidRPr="006A676D">
              <w:rPr>
                <w:rFonts w:ascii="Open Sans" w:hAnsi="Open Sans"/>
                <w:color w:val="000000"/>
                <w:sz w:val="20"/>
                <w:szCs w:val="20"/>
              </w:rPr>
              <w:t>Anexos -Informe Anual de Responsabilidad Social Corporativa 2015</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9EFD8D0" w14:textId="77777777" w:rsidR="00A764EF" w:rsidRPr="006A676D" w:rsidRDefault="00A764EF" w:rsidP="00A764EF">
            <w:pPr>
              <w:jc w:val="both"/>
              <w:rPr>
                <w:rFonts w:ascii="Open Sans" w:eastAsia="Arial Unicode MS" w:hAnsi="Open Sans" w:cs="Arial"/>
                <w:sz w:val="20"/>
                <w:szCs w:val="20"/>
              </w:rPr>
            </w:pPr>
          </w:p>
        </w:tc>
      </w:tr>
      <w:tr w:rsidR="00A764EF" w:rsidRPr="006A676D" w14:paraId="447FEDE0" w14:textId="77777777" w:rsidTr="00A764EF">
        <w:trPr>
          <w:trHeight w:val="270"/>
        </w:trPr>
        <w:tc>
          <w:tcPr>
            <w:tcW w:w="483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3941F9DE" w14:textId="77777777" w:rsidR="00A764EF" w:rsidRPr="006A676D" w:rsidRDefault="00A764EF" w:rsidP="00A764EF">
            <w:pPr>
              <w:rPr>
                <w:rFonts w:ascii="Open Sans" w:hAnsi="Open Sans" w:cs="Tahoma"/>
                <w:sz w:val="20"/>
                <w:szCs w:val="20"/>
              </w:rPr>
            </w:pPr>
            <w:r w:rsidRPr="006A676D">
              <w:rPr>
                <w:rFonts w:ascii="Open Sans" w:hAnsi="Open Sans"/>
                <w:color w:val="000000"/>
                <w:sz w:val="20"/>
                <w:szCs w:val="20"/>
              </w:rPr>
              <w:t>Informe de Gestión 2015</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31B9716" w14:textId="77777777" w:rsidR="00A764EF" w:rsidRPr="006A676D" w:rsidRDefault="00A764EF" w:rsidP="00A764EF">
            <w:pPr>
              <w:jc w:val="both"/>
              <w:rPr>
                <w:rFonts w:ascii="Open Sans" w:eastAsia="Arial Unicode MS" w:hAnsi="Open Sans" w:cs="Arial"/>
                <w:sz w:val="20"/>
                <w:szCs w:val="20"/>
              </w:rPr>
            </w:pPr>
          </w:p>
        </w:tc>
      </w:tr>
      <w:tr w:rsidR="00A764EF" w:rsidRPr="006A676D" w14:paraId="16776477" w14:textId="77777777" w:rsidTr="00A764EF">
        <w:trPr>
          <w:trHeight w:val="270"/>
        </w:trPr>
        <w:tc>
          <w:tcPr>
            <w:tcW w:w="483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7AD57DC4" w14:textId="77777777" w:rsidR="00A764EF" w:rsidRPr="006A676D" w:rsidRDefault="00A764EF" w:rsidP="00A764EF">
            <w:pPr>
              <w:rPr>
                <w:rFonts w:ascii="Open Sans" w:hAnsi="Open Sans" w:cs="Tahoma"/>
                <w:sz w:val="20"/>
                <w:szCs w:val="20"/>
              </w:rPr>
            </w:pPr>
            <w:r w:rsidRPr="006A676D">
              <w:rPr>
                <w:rFonts w:ascii="Open Sans" w:hAnsi="Open Sans"/>
                <w:color w:val="000000"/>
                <w:sz w:val="20"/>
                <w:szCs w:val="20"/>
              </w:rPr>
              <w:t>Memoria de Actividades 2015 de la CNRGC</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B46CEC6" w14:textId="77777777" w:rsidR="00A764EF" w:rsidRPr="006A676D" w:rsidRDefault="00A764EF" w:rsidP="00A764EF">
            <w:pPr>
              <w:jc w:val="both"/>
              <w:rPr>
                <w:rFonts w:ascii="Open Sans" w:eastAsia="Arial Unicode MS" w:hAnsi="Open Sans" w:cs="Arial"/>
                <w:sz w:val="20"/>
                <w:szCs w:val="20"/>
              </w:rPr>
            </w:pPr>
          </w:p>
        </w:tc>
      </w:tr>
      <w:tr w:rsidR="00A764EF" w:rsidRPr="006A676D" w14:paraId="526DB002" w14:textId="77777777" w:rsidTr="00A764EF">
        <w:trPr>
          <w:trHeight w:val="270"/>
        </w:trPr>
        <w:tc>
          <w:tcPr>
            <w:tcW w:w="483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7D55D74F" w14:textId="77777777" w:rsidR="00A764EF" w:rsidRPr="006A676D" w:rsidRDefault="00A764EF" w:rsidP="00A764EF">
            <w:pPr>
              <w:rPr>
                <w:rFonts w:ascii="Open Sans" w:hAnsi="Open Sans" w:cs="Tahoma"/>
                <w:sz w:val="20"/>
                <w:szCs w:val="20"/>
              </w:rPr>
            </w:pPr>
            <w:r w:rsidRPr="006A676D">
              <w:rPr>
                <w:rFonts w:ascii="Open Sans" w:hAnsi="Open Sans"/>
                <w:color w:val="000000"/>
                <w:sz w:val="20"/>
                <w:szCs w:val="20"/>
              </w:rPr>
              <w:t>Memoria de Actividades de la CAC 2015</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131E6BC" w14:textId="77777777" w:rsidR="00A764EF" w:rsidRPr="006A676D" w:rsidRDefault="00A764EF" w:rsidP="00A764EF">
            <w:pPr>
              <w:jc w:val="both"/>
              <w:rPr>
                <w:rFonts w:ascii="Open Sans" w:eastAsia="Arial Unicode MS" w:hAnsi="Open Sans" w:cs="Arial"/>
                <w:sz w:val="20"/>
                <w:szCs w:val="20"/>
              </w:rPr>
            </w:pPr>
          </w:p>
        </w:tc>
      </w:tr>
      <w:tr w:rsidR="00A764EF" w:rsidRPr="006A676D" w14:paraId="15CA03B7" w14:textId="77777777" w:rsidTr="00A764EF">
        <w:trPr>
          <w:trHeight w:val="270"/>
        </w:trPr>
        <w:tc>
          <w:tcPr>
            <w:tcW w:w="483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55062447" w14:textId="77777777" w:rsidR="00A764EF" w:rsidRPr="006A676D" w:rsidRDefault="00A764EF" w:rsidP="00A764EF">
            <w:pPr>
              <w:rPr>
                <w:rFonts w:ascii="Open Sans" w:hAnsi="Open Sans" w:cs="Tahoma"/>
                <w:sz w:val="20"/>
                <w:szCs w:val="20"/>
              </w:rPr>
            </w:pPr>
            <w:r w:rsidRPr="006A676D">
              <w:rPr>
                <w:rFonts w:ascii="Open Sans" w:hAnsi="Open Sans"/>
                <w:color w:val="000000"/>
                <w:sz w:val="20"/>
                <w:szCs w:val="20"/>
              </w:rPr>
              <w:t>Código ético y de cumplimiento legal</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7AA92AE" w14:textId="77777777" w:rsidR="00A764EF" w:rsidRPr="006A676D" w:rsidRDefault="00A764EF" w:rsidP="00A764EF">
            <w:pPr>
              <w:jc w:val="both"/>
              <w:rPr>
                <w:rFonts w:ascii="Open Sans" w:eastAsia="Arial Unicode MS" w:hAnsi="Open Sans" w:cs="Arial"/>
                <w:sz w:val="20"/>
                <w:szCs w:val="20"/>
              </w:rPr>
            </w:pPr>
            <w:r w:rsidRPr="006A676D">
              <w:rPr>
                <w:rFonts w:ascii="Open Sans" w:eastAsia="Arial Unicode MS" w:hAnsi="Open Sans" w:cs="Arial"/>
                <w:sz w:val="20"/>
                <w:szCs w:val="20"/>
              </w:rPr>
              <w:t>Aprobado en diciembre 2015</w:t>
            </w:r>
          </w:p>
        </w:tc>
      </w:tr>
      <w:tr w:rsidR="00A764EF" w:rsidRPr="006A676D" w14:paraId="7539291F" w14:textId="77777777" w:rsidTr="00A764EF">
        <w:trPr>
          <w:trHeight w:val="270"/>
        </w:trPr>
        <w:tc>
          <w:tcPr>
            <w:tcW w:w="4833"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1FD498B" w14:textId="77777777" w:rsidR="00A764EF" w:rsidRPr="006A676D" w:rsidRDefault="00A764EF" w:rsidP="00A764EF">
            <w:pPr>
              <w:rPr>
                <w:rFonts w:ascii="Open Sans" w:hAnsi="Open Sans"/>
                <w:color w:val="000000"/>
                <w:sz w:val="20"/>
                <w:szCs w:val="20"/>
              </w:rPr>
            </w:pPr>
            <w:r w:rsidRPr="006A676D">
              <w:rPr>
                <w:rFonts w:ascii="Open Sans" w:hAnsi="Open Sans" w:cs="Tahoma"/>
                <w:sz w:val="20"/>
                <w:szCs w:val="20"/>
              </w:rPr>
              <w:t>Política de Responsabilidad Social Corporativa</w:t>
            </w:r>
          </w:p>
        </w:tc>
        <w:tc>
          <w:tcPr>
            <w:tcW w:w="4111"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CFB069A" w14:textId="77777777" w:rsidR="00A764EF" w:rsidRPr="006A676D" w:rsidRDefault="00A764EF" w:rsidP="00A764EF">
            <w:pPr>
              <w:jc w:val="both"/>
              <w:rPr>
                <w:rFonts w:ascii="Open Sans" w:eastAsia="Arial Unicode MS" w:hAnsi="Open Sans" w:cs="Arial"/>
                <w:sz w:val="20"/>
                <w:szCs w:val="20"/>
              </w:rPr>
            </w:pPr>
            <w:r w:rsidRPr="006A676D">
              <w:rPr>
                <w:rFonts w:ascii="Open Sans" w:eastAsia="Arial Unicode MS" w:hAnsi="Open Sans" w:cs="Arial"/>
                <w:sz w:val="20"/>
                <w:szCs w:val="20"/>
              </w:rPr>
              <w:t>Aprobado en diciembre 2015</w:t>
            </w:r>
          </w:p>
        </w:tc>
      </w:tr>
    </w:tbl>
    <w:p w14:paraId="2CEB7FAD" w14:textId="77777777" w:rsidR="00A764EF" w:rsidRPr="006A676D" w:rsidRDefault="00A764EF" w:rsidP="00A764EF">
      <w:pPr>
        <w:jc w:val="both"/>
        <w:rPr>
          <w:rFonts w:ascii="Open Sans" w:hAnsi="Open Sans" w:cs="Arial"/>
          <w:b/>
        </w:rPr>
      </w:pPr>
    </w:p>
    <w:p w14:paraId="618DDB99" w14:textId="77777777" w:rsidR="00A764EF" w:rsidRPr="006A676D" w:rsidRDefault="00A764EF" w:rsidP="00A764EF">
      <w:pPr>
        <w:rPr>
          <w:rFonts w:ascii="Open Sans" w:hAnsi="Open Sans" w:cs="Arial"/>
          <w:b/>
        </w:rPr>
      </w:pPr>
      <w:r w:rsidRPr="006A676D">
        <w:rPr>
          <w:rFonts w:ascii="Open Sans" w:hAnsi="Open Sans" w:cs="Arial"/>
          <w:b/>
        </w:rPr>
        <w:br w:type="page"/>
      </w:r>
    </w:p>
    <w:p w14:paraId="1A2E6EED" w14:textId="77777777" w:rsidR="00A764EF" w:rsidRPr="006A676D" w:rsidRDefault="00A764EF" w:rsidP="00A764EF">
      <w:pPr>
        <w:jc w:val="both"/>
        <w:rPr>
          <w:rFonts w:ascii="Open Sans" w:hAnsi="Open Sans" w:cs="Arial"/>
          <w:b/>
        </w:rPr>
      </w:pPr>
    </w:p>
    <w:p w14:paraId="0262349F" w14:textId="77777777" w:rsidR="00A764EF" w:rsidRPr="006A676D" w:rsidRDefault="00A764EF" w:rsidP="00A764EF">
      <w:pPr>
        <w:jc w:val="both"/>
        <w:rPr>
          <w:rFonts w:ascii="Open Sans" w:hAnsi="Open Sans" w:cs="Arial"/>
          <w:b/>
          <w:sz w:val="22"/>
          <w:szCs w:val="22"/>
          <w:u w:val="single"/>
        </w:rPr>
      </w:pPr>
      <w:r w:rsidRPr="006A676D">
        <w:rPr>
          <w:rFonts w:ascii="Open Sans" w:hAnsi="Open Sans" w:cs="Arial"/>
          <w:b/>
          <w:sz w:val="22"/>
          <w:szCs w:val="22"/>
          <w:u w:val="single"/>
        </w:rPr>
        <w:t>2. Tablas de resultados</w:t>
      </w:r>
    </w:p>
    <w:p w14:paraId="0C8965EC" w14:textId="77777777" w:rsidR="00A764EF" w:rsidRPr="006A676D" w:rsidRDefault="00A764EF" w:rsidP="00A764EF">
      <w:pPr>
        <w:jc w:val="center"/>
        <w:rPr>
          <w:rFonts w:ascii="Open Sans" w:hAnsi="Open Sans" w:cs="Arial"/>
          <w:b/>
          <w:color w:val="FF0000"/>
          <w:sz w:val="22"/>
          <w:szCs w:val="22"/>
        </w:rPr>
      </w:pPr>
    </w:p>
    <w:p w14:paraId="0E17BE05" w14:textId="77777777" w:rsidR="00A764EF" w:rsidRPr="006A676D" w:rsidRDefault="00A764EF" w:rsidP="00A764EF">
      <w:pPr>
        <w:suppressAutoHyphens/>
        <w:jc w:val="center"/>
        <w:rPr>
          <w:rFonts w:ascii="Open Sans" w:hAnsi="Open Sans" w:cs="Arial"/>
          <w:b/>
          <w:sz w:val="20"/>
          <w:szCs w:val="22"/>
          <w:u w:val="single"/>
          <w:lang w:eastAsia="ar-SA"/>
        </w:rPr>
      </w:pPr>
      <w:r w:rsidRPr="006A676D">
        <w:rPr>
          <w:rFonts w:ascii="Open Sans" w:hAnsi="Open Sans" w:cs="Arial"/>
          <w:b/>
          <w:sz w:val="20"/>
          <w:szCs w:val="22"/>
          <w:u w:val="single"/>
          <w:lang w:eastAsia="ar-SA"/>
        </w:rPr>
        <w:t>TABLA 1: Valoraciones por dimensión</w:t>
      </w:r>
    </w:p>
    <w:p w14:paraId="3FE18186" w14:textId="77777777" w:rsidR="00A764EF" w:rsidRPr="006A676D" w:rsidRDefault="00A764EF" w:rsidP="00A764EF">
      <w:pPr>
        <w:rPr>
          <w:rFonts w:ascii="Open Sans" w:hAnsi="Open Sans" w:cs="Arial"/>
          <w:b/>
        </w:rPr>
      </w:pPr>
    </w:p>
    <w:p w14:paraId="4932D9B8" w14:textId="77777777" w:rsidR="00A764EF" w:rsidRPr="006A676D" w:rsidRDefault="00A764EF" w:rsidP="00A764EF">
      <w:pPr>
        <w:jc w:val="center"/>
        <w:rPr>
          <w:rFonts w:ascii="Open Sans" w:hAnsi="Open Sans"/>
        </w:rPr>
      </w:pPr>
      <w:r w:rsidRPr="006A676D">
        <w:rPr>
          <w:rFonts w:ascii="Open Sans" w:hAnsi="Open Sans"/>
          <w:noProof/>
          <w:lang w:val="es-ES"/>
        </w:rPr>
        <w:drawing>
          <wp:inline distT="0" distB="0" distL="0" distR="0" wp14:anchorId="591BE86F" wp14:editId="1EB0CB35">
            <wp:extent cx="3686175" cy="18288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3ED73685" w14:textId="77777777" w:rsidR="00A764EF" w:rsidRPr="006A676D" w:rsidRDefault="00A764EF" w:rsidP="00A764EF">
      <w:pPr>
        <w:jc w:val="both"/>
        <w:rPr>
          <w:rFonts w:ascii="Open Sans" w:hAnsi="Open Sans"/>
        </w:rPr>
      </w:pPr>
    </w:p>
    <w:p w14:paraId="61535B84" w14:textId="77777777" w:rsidR="00A764EF" w:rsidRPr="006A676D" w:rsidRDefault="00A764EF" w:rsidP="00A764EF">
      <w:pPr>
        <w:rPr>
          <w:rFonts w:ascii="Open Sans" w:hAnsi="Open Sans" w:cs="Arial"/>
          <w:b/>
          <w:color w:val="FF0000"/>
          <w:sz w:val="22"/>
          <w:szCs w:val="22"/>
        </w:rPr>
      </w:pPr>
    </w:p>
    <w:p w14:paraId="55EAB091" w14:textId="77777777" w:rsidR="00A764EF" w:rsidRPr="006A676D" w:rsidRDefault="00A764EF" w:rsidP="00A764EF">
      <w:pPr>
        <w:rPr>
          <w:rFonts w:ascii="Open Sans" w:hAnsi="Open Sans" w:cs="Arial"/>
          <w:b/>
        </w:rPr>
      </w:pPr>
    </w:p>
    <w:p w14:paraId="27848DCF" w14:textId="77777777" w:rsidR="00A764EF" w:rsidRPr="006A676D" w:rsidRDefault="00A764EF" w:rsidP="00A764EF">
      <w:pPr>
        <w:rPr>
          <w:rFonts w:ascii="Open Sans" w:hAnsi="Open Sans" w:cs="Arial"/>
          <w:b/>
        </w:rPr>
      </w:pPr>
    </w:p>
    <w:p w14:paraId="2340FD97" w14:textId="77777777" w:rsidR="00A764EF" w:rsidRPr="006A676D" w:rsidRDefault="00A764EF" w:rsidP="00A764EF">
      <w:pPr>
        <w:jc w:val="both"/>
        <w:rPr>
          <w:rFonts w:ascii="Open Sans" w:hAnsi="Open Sans" w:cs="Arial"/>
          <w:b/>
          <w:sz w:val="22"/>
          <w:szCs w:val="22"/>
        </w:rPr>
      </w:pPr>
      <w:r w:rsidRPr="006A676D">
        <w:rPr>
          <w:rFonts w:ascii="Open Sans" w:hAnsi="Open Sans" w:cs="Arial"/>
          <w:b/>
          <w:sz w:val="22"/>
          <w:szCs w:val="22"/>
          <w:u w:val="single"/>
        </w:rPr>
        <w:t>3. Contexto general</w:t>
      </w:r>
    </w:p>
    <w:p w14:paraId="0F4D56F6" w14:textId="77777777" w:rsidR="00A764EF" w:rsidRPr="006A676D" w:rsidRDefault="00A764EF" w:rsidP="00A764EF">
      <w:pPr>
        <w:jc w:val="both"/>
        <w:rPr>
          <w:rFonts w:ascii="Open Sans" w:hAnsi="Open Sans" w:cs="Arial"/>
        </w:rPr>
      </w:pPr>
    </w:p>
    <w:p w14:paraId="250DCB53"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es la multinacional de Consultoría y Tecnología número uno en España y una de las principales de Europa y Latinoamérica. Engloba su oferta en dos segmentos diferenciados, soluciones y servicios tecnológicos y opera en los siguientes mercados: defensa y seguridad, transporte y tráfico, administración pública y sanidad, energía e industria, servicios financieros, telecom y media.</w:t>
      </w:r>
    </w:p>
    <w:p w14:paraId="1D3DEC39" w14:textId="77777777" w:rsidR="00A764EF" w:rsidRPr="006A676D" w:rsidRDefault="00A764EF" w:rsidP="00A764EF">
      <w:pPr>
        <w:jc w:val="both"/>
        <w:rPr>
          <w:rFonts w:ascii="Open Sans" w:hAnsi="Open Sans" w:cs="Arial"/>
          <w:sz w:val="20"/>
          <w:szCs w:val="20"/>
        </w:rPr>
      </w:pPr>
    </w:p>
    <w:p w14:paraId="6B9BFB9B"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Las áreas de negocio son: consultoría, tecnología, outsourcing, </w:t>
      </w:r>
      <w:r w:rsidRPr="006A676D">
        <w:rPr>
          <w:rFonts w:ascii="Open Sans" w:hAnsi="Open Sans" w:cs="Arial"/>
          <w:iCs/>
          <w:sz w:val="20"/>
          <w:szCs w:val="20"/>
        </w:rPr>
        <w:t>business process outsourcing (</w:t>
      </w:r>
      <w:r w:rsidRPr="006A676D">
        <w:rPr>
          <w:rFonts w:ascii="Open Sans" w:hAnsi="Open Sans" w:cs="Arial"/>
          <w:sz w:val="20"/>
          <w:szCs w:val="20"/>
        </w:rPr>
        <w:t>BPO), digital y sociedades dependientes.</w:t>
      </w:r>
    </w:p>
    <w:p w14:paraId="5A104C4A" w14:textId="77777777" w:rsidR="00A764EF" w:rsidRPr="006A676D" w:rsidRDefault="00A764EF" w:rsidP="00A764EF">
      <w:pPr>
        <w:jc w:val="both"/>
        <w:rPr>
          <w:rFonts w:ascii="Open Sans" w:hAnsi="Open Sans" w:cs="Arial"/>
          <w:sz w:val="20"/>
          <w:szCs w:val="20"/>
        </w:rPr>
      </w:pPr>
    </w:p>
    <w:p w14:paraId="3E4B8AC6"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En 2013 la Sociedad Estatal de Participaciones Industriales, S.A. (SEPI) entra en la empresa como accionista mayoritario con una participación del 20,14% a diciembre de 2015. En enero 2015 el presidente del consejo, Javier Monzón, es sustituido por Fernando Abril-Martorell y en julio de este mismo año se lanzó el Plan Estratégico 2015-2018. El plan contempla líneas estratégicas de reducción de costes, mejora de la cartera de productos y proyectos, estrategia comercial y modelo de suministro y por último el desarrollo de nuevos negocios. </w:t>
      </w:r>
    </w:p>
    <w:p w14:paraId="7317AA3D" w14:textId="77777777" w:rsidR="00A764EF" w:rsidRPr="006A676D" w:rsidRDefault="00A764EF" w:rsidP="00A764EF">
      <w:pPr>
        <w:jc w:val="both"/>
        <w:rPr>
          <w:rFonts w:ascii="Open Sans" w:hAnsi="Open Sans" w:cs="Arial"/>
          <w:sz w:val="20"/>
          <w:szCs w:val="20"/>
        </w:rPr>
      </w:pPr>
    </w:p>
    <w:p w14:paraId="6DEADDF8"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El ejercicio 2015 es el segundo año que arroja pérdidas y sigue la senda de malos resultados que viene obteniendo desde que se inició la crisis en 2008 junto con un fuerte endeudamiento del grupo (deuda neta de 700 millones de euros, 5,4 veces el ETBIDA).</w:t>
      </w:r>
    </w:p>
    <w:p w14:paraId="66525E04" w14:textId="77777777" w:rsidR="00A764EF" w:rsidRPr="006A676D" w:rsidRDefault="00A764EF" w:rsidP="00A764EF">
      <w:pPr>
        <w:jc w:val="both"/>
        <w:rPr>
          <w:rFonts w:ascii="Open Sans" w:hAnsi="Open Sans" w:cs="Arial"/>
          <w:sz w:val="20"/>
          <w:szCs w:val="20"/>
        </w:rPr>
      </w:pPr>
    </w:p>
    <w:p w14:paraId="00EDA117" w14:textId="77777777" w:rsidR="00A764EF" w:rsidRPr="006A676D" w:rsidRDefault="00A764EF" w:rsidP="00A764EF">
      <w:pPr>
        <w:pStyle w:val="NormalWeb"/>
        <w:shd w:val="clear" w:color="auto" w:fill="FFFFFF"/>
        <w:spacing w:after="300"/>
        <w:jc w:val="both"/>
        <w:rPr>
          <w:rFonts w:ascii="Open Sans" w:hAnsi="Open Sans" w:cs="Arial"/>
          <w:sz w:val="20"/>
          <w:szCs w:val="20"/>
        </w:rPr>
      </w:pPr>
      <w:r w:rsidRPr="006A676D">
        <w:rPr>
          <w:rFonts w:ascii="Open Sans" w:hAnsi="Open Sans" w:cs="Arial"/>
          <w:sz w:val="20"/>
          <w:szCs w:val="20"/>
        </w:rPr>
        <w:t xml:space="preserve">Indra cotiza en los cuatro mercados bursátiles nacionales: Madrid, Barcelona, Valencia y Bilbao y forma parte de los siguientes índices bursátiles: Ibex35, Dow Jones STOXX Broad Market Index, STOXX Europe de Tecnología y Servicios TI. </w:t>
      </w:r>
    </w:p>
    <w:p w14:paraId="37499678"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Las ventas según los mercados que atiende son: Transporte y Tráfico (22%), Defensa y Seguridad (19%),  Servicios financieros (17%), Administración Pública y Sanidad (16%), Telecom y Media (10%) y Energía e Industria (15%).  Las ventas por geografía representan: España (43%), Latinoamérica (26%), Europa y Norteamérica (20%) y Asia, África y Oriente Medio (12%). </w:t>
      </w:r>
    </w:p>
    <w:p w14:paraId="1D1E4C65" w14:textId="77777777" w:rsidR="00A764EF" w:rsidRPr="006A676D" w:rsidRDefault="00A764EF" w:rsidP="00A764EF">
      <w:pPr>
        <w:jc w:val="both"/>
        <w:rPr>
          <w:rFonts w:ascii="Open Sans" w:hAnsi="Open Sans" w:cs="Arial"/>
          <w:sz w:val="20"/>
          <w:szCs w:val="20"/>
        </w:rPr>
      </w:pPr>
    </w:p>
    <w:p w14:paraId="2E65729E"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A nivel global cuenta con 37.060 empleados, distribuidos de la siguiente manera en las diferentes regiones: España (54,64%), Latinoamérica (36,30%), Europa y Norteamérica (4,55%) y Asia, África y Oriente Medio (4,50%). </w:t>
      </w:r>
    </w:p>
    <w:p w14:paraId="04EAEC85" w14:textId="77777777" w:rsidR="00A764EF" w:rsidRPr="006A676D" w:rsidRDefault="00A764EF" w:rsidP="00A764EF">
      <w:pPr>
        <w:jc w:val="both"/>
        <w:rPr>
          <w:rFonts w:ascii="Open Sans" w:hAnsi="Open Sans" w:cs="Arial"/>
          <w:sz w:val="20"/>
          <w:szCs w:val="20"/>
        </w:rPr>
      </w:pPr>
    </w:p>
    <w:p w14:paraId="43806AFB"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Dentro de su plan estratégico de reducción de costes ha puesto en marcha en 2015 un expediente de regulación de empleo que está previsto que afecte a 1.750 personas en España y que terminará en diciembre de 2016. Adicionalmente también se informa de un proceso de  reestructuración de plantilla en Brasil, pero no aporta información sobre a cuantas personas afectará. También  en  diciembre de 2015 también se ha notificado un expediente de regulación de empleo en la sociedad dependiente Central de Apoyos y Medios Auxiliares, S.A. que finaliza en febrero de 2016 y que está previsto que afecte a 132 personas. </w:t>
      </w:r>
    </w:p>
    <w:p w14:paraId="3094EFA8" w14:textId="77777777" w:rsidR="00A764EF" w:rsidRPr="006A676D" w:rsidRDefault="00A764EF" w:rsidP="00A764EF">
      <w:pPr>
        <w:jc w:val="both"/>
        <w:rPr>
          <w:rFonts w:ascii="Open Sans" w:hAnsi="Open Sans" w:cs="Arial"/>
          <w:sz w:val="20"/>
          <w:szCs w:val="20"/>
        </w:rPr>
      </w:pPr>
    </w:p>
    <w:p w14:paraId="5CBADD04"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El contexto tan internacionalizado de la operativa del grupo hace que se enfrente a riesgos de diferente índole tanto económico-financieros, fiscales, operativos, de cumplimiento normativo y de impacto sobre derechos humanos y laborales, entre otros. El sector en el que trabaja la compañía tiene además riesgos consustanciales y relacionados con el perfil de sus clientes: administraciones públicas en países con diferentes niveles de transparencia y donde el riesgo de corrupción y soborno puede ser elevado. El 36,6% de sus ventas se realizan en países donde existe riesgo de corrupción según Transparencia Internacional.</w:t>
      </w:r>
    </w:p>
    <w:p w14:paraId="07BDCC41" w14:textId="77777777" w:rsidR="00A764EF" w:rsidRPr="006A676D" w:rsidRDefault="00A764EF" w:rsidP="00A764EF">
      <w:pPr>
        <w:jc w:val="both"/>
        <w:rPr>
          <w:rFonts w:ascii="Open Sans" w:hAnsi="Open Sans" w:cs="Arial"/>
          <w:sz w:val="20"/>
          <w:szCs w:val="20"/>
        </w:rPr>
      </w:pPr>
    </w:p>
    <w:p w14:paraId="17519F60"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Las actuaciones de Indra en materia de RSC y sostenibilidad se rigen por el Plan Director de Responsabilidad Corporativa (documento no público) que se revisa anualmente, según indica la empresa. Dicho plan recoge las políticas, programas y acciones que debe realizar la compañía en materia de sostenibilidad. Los principales compromisos sobre una fiscalidad responsable se encuentran en:</w:t>
      </w:r>
    </w:p>
    <w:p w14:paraId="315BDD79" w14:textId="77777777" w:rsidR="00A764EF" w:rsidRPr="006A676D" w:rsidRDefault="00A764EF" w:rsidP="00A764EF">
      <w:pPr>
        <w:jc w:val="both"/>
        <w:rPr>
          <w:rFonts w:ascii="Open Sans" w:hAnsi="Open Sans" w:cs="Arial"/>
          <w:sz w:val="20"/>
          <w:szCs w:val="20"/>
        </w:rPr>
      </w:pPr>
    </w:p>
    <w:p w14:paraId="2C4C3C41" w14:textId="77777777" w:rsidR="00A764EF" w:rsidRPr="006A676D" w:rsidRDefault="00A764EF" w:rsidP="000B70C9">
      <w:pPr>
        <w:numPr>
          <w:ilvl w:val="0"/>
          <w:numId w:val="51"/>
        </w:numPr>
        <w:jc w:val="both"/>
        <w:rPr>
          <w:rFonts w:ascii="Open Sans" w:hAnsi="Open Sans" w:cs="Arial"/>
          <w:sz w:val="20"/>
          <w:szCs w:val="20"/>
        </w:rPr>
      </w:pPr>
      <w:r w:rsidRPr="006A676D">
        <w:rPr>
          <w:rFonts w:ascii="Open Sans" w:hAnsi="Open Sans" w:cs="Arial"/>
          <w:sz w:val="20"/>
          <w:szCs w:val="20"/>
        </w:rPr>
        <w:t>Política de Responsabilidad Social Corporativa, aprobada en diciembre de 2015. Entre los principios de actuación en relación a un negocio responsable indica que la empresa impulsará  la  aplicación  de  buenas  prácticas  fiscales  en  las comunidades donde opera la Compañía.</w:t>
      </w:r>
    </w:p>
    <w:p w14:paraId="03B06687" w14:textId="77777777" w:rsidR="00A764EF" w:rsidRPr="006A676D" w:rsidRDefault="00A764EF" w:rsidP="00A764EF">
      <w:pPr>
        <w:ind w:left="360"/>
        <w:jc w:val="both"/>
        <w:rPr>
          <w:rFonts w:ascii="Open Sans" w:hAnsi="Open Sans" w:cs="Arial"/>
          <w:sz w:val="20"/>
          <w:szCs w:val="20"/>
        </w:rPr>
      </w:pPr>
    </w:p>
    <w:p w14:paraId="215A0583" w14:textId="77777777" w:rsidR="00A764EF" w:rsidRPr="006A676D" w:rsidRDefault="00A764EF" w:rsidP="000B70C9">
      <w:pPr>
        <w:numPr>
          <w:ilvl w:val="0"/>
          <w:numId w:val="51"/>
        </w:numPr>
        <w:jc w:val="both"/>
        <w:rPr>
          <w:rFonts w:ascii="Open Sans" w:hAnsi="Open Sans" w:cs="Arial"/>
          <w:sz w:val="20"/>
          <w:szCs w:val="20"/>
        </w:rPr>
      </w:pPr>
      <w:r w:rsidRPr="006A676D">
        <w:rPr>
          <w:rFonts w:ascii="Open Sans" w:hAnsi="Open Sans" w:cs="Arial"/>
          <w:sz w:val="20"/>
          <w:szCs w:val="20"/>
        </w:rPr>
        <w:t xml:space="preserve">Código ético y de cumplimiento legal, aprobado en diciembre de 2015 y que sustituye al Código ético y de conducta profesional. Contiene un epígrafe específico sobre buenas prácticas tributarias. En él se “compromete  a  cumplir  con  sus  obligaciones  fiscales  en todos los territorios y jurisdicciones en los que desarrolle su actividad optando siempre por una política tributaria prudente”. </w:t>
      </w:r>
    </w:p>
    <w:p w14:paraId="15923C79" w14:textId="77777777" w:rsidR="00A764EF" w:rsidRPr="006A676D" w:rsidRDefault="00A764EF" w:rsidP="00A764EF">
      <w:pPr>
        <w:ind w:left="360"/>
        <w:jc w:val="both"/>
        <w:rPr>
          <w:rFonts w:ascii="Open Sans" w:hAnsi="Open Sans" w:cs="Arial"/>
          <w:sz w:val="20"/>
          <w:szCs w:val="20"/>
        </w:rPr>
      </w:pPr>
    </w:p>
    <w:p w14:paraId="2626A52E" w14:textId="77777777" w:rsidR="00A764EF" w:rsidRPr="006A676D" w:rsidRDefault="00A764EF" w:rsidP="000B70C9">
      <w:pPr>
        <w:numPr>
          <w:ilvl w:val="0"/>
          <w:numId w:val="51"/>
        </w:numPr>
        <w:jc w:val="both"/>
        <w:rPr>
          <w:rFonts w:ascii="Open Sans" w:hAnsi="Open Sans" w:cs="Arial"/>
          <w:sz w:val="20"/>
          <w:szCs w:val="20"/>
        </w:rPr>
      </w:pPr>
      <w:r w:rsidRPr="006A676D">
        <w:rPr>
          <w:rFonts w:ascii="Open Sans" w:hAnsi="Open Sans" w:cs="Arial"/>
          <w:sz w:val="20"/>
          <w:szCs w:val="20"/>
        </w:rPr>
        <w:t>Informe Anual de Responsabilidad Social Corporativa 2015. Indra contribuye a crear valor económico para las administraciones de las comunidades en las que opera a través del pago de impuestos directos e indirectos, y en su papel de recaudador de impuestos para la hacienda pública.</w:t>
      </w:r>
    </w:p>
    <w:p w14:paraId="339BAA88" w14:textId="77777777" w:rsidR="00A764EF" w:rsidRPr="006A676D" w:rsidRDefault="00A764EF" w:rsidP="00A764EF">
      <w:pPr>
        <w:rPr>
          <w:rFonts w:ascii="Open Sans" w:hAnsi="Open Sans" w:cs="Arial"/>
          <w:sz w:val="20"/>
          <w:szCs w:val="20"/>
        </w:rPr>
      </w:pPr>
    </w:p>
    <w:p w14:paraId="75E9EE8E" w14:textId="77777777" w:rsidR="00A764EF" w:rsidRPr="006A676D" w:rsidRDefault="00A764EF" w:rsidP="00A764EF">
      <w:pPr>
        <w:jc w:val="both"/>
        <w:rPr>
          <w:rFonts w:ascii="Open Sans" w:hAnsi="Open Sans" w:cs="Arial"/>
          <w:sz w:val="20"/>
          <w:szCs w:val="20"/>
        </w:rPr>
      </w:pPr>
    </w:p>
    <w:p w14:paraId="2A71C4E8"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cuenta con presencia en los principales índices de sostenibilidad: DJSI World (desde 2006) y FTSE4Good (entra en 2015). Además forma parte de Carbon Disclosure Project con una puntuación de 82 C. 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6A676D">
        <w:rPr>
          <w:rFonts w:ascii="Open Sans" w:hAnsi="Open Sans" w:cs="Arial"/>
          <w:sz w:val="20"/>
          <w:szCs w:val="20"/>
          <w:vertAlign w:val="superscript"/>
        </w:rPr>
        <w:footnoteReference w:id="565"/>
      </w:r>
    </w:p>
    <w:p w14:paraId="699BD3EB" w14:textId="77777777" w:rsidR="00A764EF" w:rsidRPr="006A676D" w:rsidRDefault="00A764EF" w:rsidP="00A764EF">
      <w:pPr>
        <w:ind w:left="360"/>
        <w:jc w:val="both"/>
        <w:rPr>
          <w:rFonts w:ascii="Open Sans" w:hAnsi="Open Sans" w:cs="Arial"/>
          <w:sz w:val="20"/>
          <w:szCs w:val="20"/>
        </w:rPr>
      </w:pPr>
    </w:p>
    <w:p w14:paraId="1A1DBDD5" w14:textId="77777777" w:rsidR="00A764EF" w:rsidRPr="006A676D" w:rsidRDefault="00A764EF" w:rsidP="00A764EF">
      <w:pPr>
        <w:rPr>
          <w:rFonts w:ascii="Open Sans" w:hAnsi="Open Sans" w:cs="Arial"/>
          <w:sz w:val="20"/>
          <w:szCs w:val="20"/>
        </w:rPr>
      </w:pPr>
    </w:p>
    <w:p w14:paraId="02085798" w14:textId="77777777" w:rsidR="00A764EF" w:rsidRPr="006A676D" w:rsidRDefault="00A764EF" w:rsidP="00A764EF">
      <w:pPr>
        <w:rPr>
          <w:rFonts w:ascii="Open Sans" w:hAnsi="Open Sans" w:cs="Arial"/>
          <w:sz w:val="20"/>
          <w:szCs w:val="20"/>
        </w:rPr>
      </w:pPr>
    </w:p>
    <w:p w14:paraId="15151313" w14:textId="77777777" w:rsidR="00A764EF" w:rsidRPr="006A676D" w:rsidRDefault="00A764EF" w:rsidP="00A764EF">
      <w:pPr>
        <w:jc w:val="both"/>
        <w:rPr>
          <w:rFonts w:ascii="Open Sans" w:hAnsi="Open Sans" w:cs="Arial"/>
          <w:b/>
          <w:sz w:val="22"/>
          <w:szCs w:val="22"/>
          <w:u w:val="single"/>
        </w:rPr>
      </w:pPr>
      <w:r w:rsidRPr="006A676D">
        <w:rPr>
          <w:rFonts w:ascii="Open Sans" w:hAnsi="Open Sans" w:cs="Arial"/>
          <w:b/>
          <w:sz w:val="22"/>
          <w:szCs w:val="22"/>
          <w:u w:val="single"/>
        </w:rPr>
        <w:t>4. Análisis</w:t>
      </w:r>
    </w:p>
    <w:p w14:paraId="648983DD" w14:textId="77777777" w:rsidR="00A764EF" w:rsidRPr="006A676D" w:rsidRDefault="00A764EF" w:rsidP="00A764EF">
      <w:pPr>
        <w:rPr>
          <w:rFonts w:ascii="Open Sans" w:hAnsi="Open Sans" w:cs="Arial"/>
          <w:bCs/>
          <w:sz w:val="20"/>
          <w:szCs w:val="20"/>
        </w:rPr>
      </w:pPr>
    </w:p>
    <w:p w14:paraId="0A949C77"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02433948" w14:textId="77777777" w:rsidR="00A764EF" w:rsidRPr="006A676D" w:rsidRDefault="00A764EF" w:rsidP="00A764EF">
      <w:pPr>
        <w:rPr>
          <w:rFonts w:ascii="Open Sans" w:hAnsi="Open Sans" w:cs="Arial"/>
          <w:bCs/>
          <w:sz w:val="20"/>
          <w:szCs w:val="20"/>
        </w:rPr>
      </w:pPr>
    </w:p>
    <w:p w14:paraId="67F92D89"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Con respecto a la presencia territorial de Indra, el grupo cuenta con 13 sociedades domiciliadas en países y territorios considerados paraíso (2) o nicho fiscal (11) de acuerdo con la metodología del Observatorio de RSC. La presencia de empresas internacionales en territorios considerados paraísos o nichos fiscales no es en sí misma ilegal, pero podría representar si se utilizasen para desempeñar estrategias de elusión fiscal una contradicción con los valores y compromisos asumidos por la empresa en materia de RSC, en especial en lo relativo a la contribución económica y social a los países donde opera y obtiene sus beneficios.</w:t>
      </w:r>
    </w:p>
    <w:p w14:paraId="5D54CB52" w14:textId="77777777" w:rsidR="00A764EF" w:rsidRPr="006A676D" w:rsidRDefault="00A764EF" w:rsidP="00A764EF">
      <w:pPr>
        <w:rPr>
          <w:rFonts w:ascii="Open Sans" w:hAnsi="Open Sans" w:cs="Arial"/>
          <w:bCs/>
          <w:sz w:val="20"/>
          <w:szCs w:val="20"/>
        </w:rPr>
      </w:pPr>
    </w:p>
    <w:p w14:paraId="1908DE82"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Indra tiene filiales en los siguientes países considerados paraísos fiscales según el Real Decreto  1080/91 y sus posteriores modificaciones</w:t>
      </w:r>
      <w:r w:rsidRPr="006A676D">
        <w:rPr>
          <w:rStyle w:val="Refdenotaalpie"/>
          <w:rFonts w:ascii="Open Sans" w:hAnsi="Open Sans" w:cs="Arial"/>
          <w:bCs/>
          <w:sz w:val="20"/>
          <w:szCs w:val="20"/>
        </w:rPr>
        <w:footnoteReference w:id="566"/>
      </w:r>
      <w:r w:rsidRPr="006A676D">
        <w:rPr>
          <w:rFonts w:ascii="Open Sans" w:hAnsi="Open Sans" w:cs="Arial"/>
          <w:bCs/>
          <w:sz w:val="20"/>
          <w:szCs w:val="20"/>
        </w:rPr>
        <w:t xml:space="preserve"> y listado de la OCDE: </w:t>
      </w:r>
    </w:p>
    <w:p w14:paraId="044CF347" w14:textId="77777777" w:rsidR="00A764EF" w:rsidRPr="006A676D" w:rsidRDefault="00A764EF" w:rsidP="00A764EF">
      <w:pPr>
        <w:jc w:val="both"/>
        <w:rPr>
          <w:rFonts w:ascii="Open Sans" w:hAnsi="Open Sans" w:cs="Arial"/>
          <w:bCs/>
          <w:sz w:val="20"/>
          <w:szCs w:val="20"/>
        </w:rPr>
      </w:pPr>
    </w:p>
    <w:p w14:paraId="171D9A4D"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 </w:t>
      </w:r>
      <w:r w:rsidRPr="006A676D">
        <w:rPr>
          <w:rFonts w:ascii="Open Sans" w:hAnsi="Open Sans" w:cs="Arial"/>
          <w:sz w:val="20"/>
          <w:szCs w:val="20"/>
        </w:rPr>
        <w:t>Bahréin, Omán y Gibraltar</w:t>
      </w:r>
    </w:p>
    <w:p w14:paraId="65B53597" w14:textId="77777777" w:rsidR="00A764EF" w:rsidRPr="006A676D" w:rsidRDefault="00A764EF" w:rsidP="00A764EF">
      <w:pPr>
        <w:jc w:val="both"/>
        <w:rPr>
          <w:rFonts w:ascii="Open Sans" w:hAnsi="Open Sans" w:cs="Arial"/>
          <w:bCs/>
          <w:sz w:val="20"/>
          <w:szCs w:val="20"/>
        </w:rPr>
      </w:pPr>
    </w:p>
    <w:p w14:paraId="73D5D5D7"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Indra tiene filiales en los siguientes países considerados nichos fiscales según la organización Tax Justice Network</w:t>
      </w:r>
      <w:r w:rsidRPr="006A676D">
        <w:rPr>
          <w:rStyle w:val="Refdenotaalpie"/>
          <w:rFonts w:ascii="Open Sans" w:hAnsi="Open Sans" w:cs="Arial"/>
          <w:bCs/>
          <w:sz w:val="20"/>
          <w:szCs w:val="20"/>
        </w:rPr>
        <w:footnoteReference w:id="567"/>
      </w:r>
      <w:r w:rsidRPr="006A676D">
        <w:rPr>
          <w:rFonts w:ascii="Open Sans" w:hAnsi="Open Sans" w:cs="Arial"/>
          <w:bCs/>
          <w:sz w:val="20"/>
          <w:szCs w:val="20"/>
        </w:rPr>
        <w:t xml:space="preserve"> y Parlamento Europeo.</w:t>
      </w:r>
    </w:p>
    <w:p w14:paraId="6D79A033" w14:textId="77777777" w:rsidR="00A764EF" w:rsidRPr="006A676D" w:rsidRDefault="00A764EF" w:rsidP="00A764EF">
      <w:pPr>
        <w:jc w:val="both"/>
        <w:rPr>
          <w:rFonts w:ascii="Open Sans" w:hAnsi="Open Sans" w:cs="Arial"/>
          <w:bCs/>
          <w:sz w:val="20"/>
          <w:szCs w:val="20"/>
        </w:rPr>
      </w:pPr>
    </w:p>
    <w:p w14:paraId="6E03B18C"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Guatemala, Panamá, Uruguay, Delaware (EEUU), Filipinas, Irlanda, Arabia Saudita y Sudáfrica.</w:t>
      </w:r>
    </w:p>
    <w:p w14:paraId="1EBF2CCA" w14:textId="77777777" w:rsidR="00A764EF" w:rsidRPr="006A676D" w:rsidRDefault="00A764EF" w:rsidP="00A764EF">
      <w:pPr>
        <w:rPr>
          <w:rFonts w:ascii="Open Sans" w:hAnsi="Open Sans" w:cs="Arial"/>
          <w:bCs/>
          <w:sz w:val="20"/>
          <w:szCs w:val="20"/>
        </w:rPr>
      </w:pPr>
    </w:p>
    <w:p w14:paraId="27260EA3"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Indra informa de manera genérica en el Anexo 1 de las Cuentas Anuales sobre la actividad que se desarrolla en cada filial. En la memoria de RSC aporta información más concreta sobre algunas de las filiales domiciliadas en paraísos fiscales. Aporta información sobre actividades realizadas y empleados en Bahréin, Filipinas, Panamá y Uruguay. La sociedad de Omán es de nueva constitución en 2015 y se encarga de proyectos como el nuevo aeropuerto de Salalah o la puesta en operación de la nueva torre de control del aeropuerto internacional de Mascate, pero no se informa del número de empleados en esta nueva filial.</w:t>
      </w:r>
    </w:p>
    <w:p w14:paraId="7A0C411A" w14:textId="77777777" w:rsidR="00A764EF" w:rsidRPr="006A676D" w:rsidRDefault="00A764EF" w:rsidP="00A764EF">
      <w:pPr>
        <w:jc w:val="both"/>
        <w:rPr>
          <w:rFonts w:ascii="Open Sans" w:hAnsi="Open Sans" w:cs="Arial"/>
          <w:sz w:val="20"/>
          <w:szCs w:val="20"/>
        </w:rPr>
      </w:pPr>
    </w:p>
    <w:p w14:paraId="432A83FF"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En las cuentas anuales aporta información de manera desglosada por empresa de las participaciones directas e indirectas, patrimonio neto, ingresos de explotación y resultado después de impuestos. </w:t>
      </w:r>
    </w:p>
    <w:p w14:paraId="5116A9B9"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La empresa indica en su Informe Anual de Responsabilidad Social Corporativa que su actividad en estas jurisdicciones no tiene nada que ver con motivaciones fiscales sino con el desarrollo de su operativa internacional. </w:t>
      </w:r>
    </w:p>
    <w:p w14:paraId="6D7A011C" w14:textId="77777777" w:rsidR="00A764EF" w:rsidRPr="006A676D" w:rsidRDefault="00A764EF" w:rsidP="00A764EF">
      <w:pPr>
        <w:jc w:val="both"/>
        <w:rPr>
          <w:rFonts w:ascii="Open Sans" w:hAnsi="Open Sans" w:cs="Arial"/>
          <w:sz w:val="20"/>
          <w:szCs w:val="20"/>
        </w:rPr>
      </w:pPr>
    </w:p>
    <w:p w14:paraId="7C898661" w14:textId="77777777" w:rsidR="00A764EF" w:rsidRPr="006A676D" w:rsidRDefault="00A764EF" w:rsidP="00A76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sz w:val="20"/>
          <w:szCs w:val="20"/>
        </w:rPr>
      </w:pPr>
      <w:r w:rsidRPr="006A676D">
        <w:rPr>
          <w:rFonts w:ascii="Open Sans" w:hAnsi="Open Sans" w:cs="Arial"/>
          <w:sz w:val="20"/>
          <w:szCs w:val="20"/>
        </w:rPr>
        <w:t>No hay evidencias en la información facilitada por la compañía que lleve a pensar que la actividad en estas filiales no esté relacionada con su actividad principal. Sin embargo, como resultado de las búsquedas y análisis de información pública</w:t>
      </w:r>
      <w:r w:rsidRPr="006A676D">
        <w:rPr>
          <w:rStyle w:val="Refdenotaalpie"/>
          <w:rFonts w:ascii="Open Sans" w:hAnsi="Open Sans" w:cs="Arial"/>
          <w:sz w:val="20"/>
          <w:szCs w:val="20"/>
        </w:rPr>
        <w:footnoteReference w:id="568"/>
      </w:r>
      <w:r w:rsidRPr="006A676D">
        <w:rPr>
          <w:rFonts w:ascii="Open Sans" w:hAnsi="Open Sans" w:cs="Arial"/>
          <w:sz w:val="20"/>
          <w:szCs w:val="20"/>
        </w:rPr>
        <w:t xml:space="preserve">, se ha identificado la presencia de la sociedad dependiente Indra USA IT Services en Delaware (EEUU) con apertura en 2008, sin embargo en las Cuentas Anuales se indica que está domiciliada en Atlanta (EEUU).  Por otro lado también se han identificado una empresa en Gibraltar y otra en Irlanda que podrían ser filiales de Indra y que no figuran en su listado de filiales de las cuentas anuales. No es posible afirmar que estas empresas formen parte del grupo, salvo </w:t>
      </w:r>
      <w:r w:rsidRPr="006A676D">
        <w:rPr>
          <w:rFonts w:ascii="Open Sans" w:hAnsi="Open Sans"/>
          <w:color w:val="000000"/>
          <w:sz w:val="20"/>
          <w:szCs w:val="20"/>
        </w:rPr>
        <w:t>Indra USA IT Services.</w:t>
      </w:r>
    </w:p>
    <w:tbl>
      <w:tblPr>
        <w:tblpPr w:leftFromText="141" w:rightFromText="141" w:vertAnchor="text" w:horzAnchor="page" w:tblpX="1772" w:tblpY="523"/>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80"/>
        <w:gridCol w:w="3044"/>
        <w:gridCol w:w="2496"/>
      </w:tblGrid>
      <w:tr w:rsidR="00A764EF" w:rsidRPr="006A676D" w14:paraId="177FC1E4" w14:textId="77777777" w:rsidTr="00A764EF">
        <w:trPr>
          <w:trHeight w:val="300"/>
        </w:trPr>
        <w:tc>
          <w:tcPr>
            <w:tcW w:w="2980" w:type="dxa"/>
            <w:shd w:val="clear" w:color="000000" w:fill="D9D9D9"/>
            <w:noWrap/>
            <w:vAlign w:val="center"/>
            <w:hideMark/>
          </w:tcPr>
          <w:p w14:paraId="42F53724" w14:textId="77777777" w:rsidR="00A764EF" w:rsidRPr="006A676D" w:rsidRDefault="00A764EF" w:rsidP="00A764EF">
            <w:pPr>
              <w:jc w:val="center"/>
              <w:rPr>
                <w:rFonts w:ascii="Open Sans" w:hAnsi="Open Sans"/>
                <w:b/>
                <w:bCs/>
                <w:color w:val="000000"/>
                <w:sz w:val="20"/>
                <w:szCs w:val="20"/>
              </w:rPr>
            </w:pPr>
            <w:r w:rsidRPr="006A676D">
              <w:rPr>
                <w:rFonts w:ascii="Open Sans" w:hAnsi="Open Sans"/>
                <w:b/>
                <w:bCs/>
                <w:color w:val="000000"/>
                <w:sz w:val="20"/>
                <w:szCs w:val="20"/>
              </w:rPr>
              <w:t>Nombre de la Sociedad</w:t>
            </w:r>
          </w:p>
        </w:tc>
        <w:tc>
          <w:tcPr>
            <w:tcW w:w="3044" w:type="dxa"/>
            <w:shd w:val="clear" w:color="000000" w:fill="D9D9D9"/>
            <w:noWrap/>
            <w:vAlign w:val="center"/>
            <w:hideMark/>
          </w:tcPr>
          <w:p w14:paraId="54513C50" w14:textId="77777777" w:rsidR="00A764EF" w:rsidRPr="006A676D" w:rsidRDefault="00A764EF" w:rsidP="00A764EF">
            <w:pPr>
              <w:jc w:val="center"/>
              <w:rPr>
                <w:rFonts w:ascii="Open Sans" w:hAnsi="Open Sans"/>
                <w:b/>
                <w:bCs/>
                <w:color w:val="000000"/>
                <w:sz w:val="20"/>
                <w:szCs w:val="20"/>
              </w:rPr>
            </w:pPr>
            <w:r w:rsidRPr="006A676D">
              <w:rPr>
                <w:rFonts w:ascii="Open Sans" w:hAnsi="Open Sans"/>
                <w:b/>
                <w:bCs/>
                <w:color w:val="000000"/>
                <w:sz w:val="20"/>
                <w:szCs w:val="20"/>
              </w:rPr>
              <w:t>Jurisdicción</w:t>
            </w:r>
          </w:p>
        </w:tc>
        <w:tc>
          <w:tcPr>
            <w:tcW w:w="2496" w:type="dxa"/>
            <w:shd w:val="clear" w:color="000000" w:fill="D9D9D9"/>
            <w:noWrap/>
            <w:vAlign w:val="center"/>
            <w:hideMark/>
          </w:tcPr>
          <w:p w14:paraId="4B83B9E7" w14:textId="77777777" w:rsidR="00A764EF" w:rsidRPr="006A676D" w:rsidRDefault="00A764EF" w:rsidP="00A764EF">
            <w:pPr>
              <w:jc w:val="center"/>
              <w:rPr>
                <w:rFonts w:ascii="Open Sans" w:hAnsi="Open Sans"/>
                <w:b/>
                <w:bCs/>
                <w:color w:val="000000"/>
                <w:sz w:val="20"/>
                <w:szCs w:val="20"/>
              </w:rPr>
            </w:pPr>
            <w:r w:rsidRPr="006A676D">
              <w:rPr>
                <w:rFonts w:ascii="Open Sans" w:hAnsi="Open Sans"/>
                <w:b/>
                <w:bCs/>
                <w:color w:val="000000"/>
                <w:sz w:val="20"/>
                <w:szCs w:val="20"/>
              </w:rPr>
              <w:t>Actividad</w:t>
            </w:r>
          </w:p>
        </w:tc>
      </w:tr>
      <w:tr w:rsidR="00A764EF" w:rsidRPr="006A676D" w14:paraId="247FA524" w14:textId="77777777" w:rsidTr="00A764EF">
        <w:trPr>
          <w:trHeight w:val="381"/>
        </w:trPr>
        <w:tc>
          <w:tcPr>
            <w:tcW w:w="2980" w:type="dxa"/>
            <w:shd w:val="clear" w:color="auto" w:fill="auto"/>
            <w:hideMark/>
          </w:tcPr>
          <w:p w14:paraId="1B3DFBAE" w14:textId="77777777" w:rsidR="00A764EF" w:rsidRPr="006A676D" w:rsidRDefault="00A764EF" w:rsidP="00A764EF">
            <w:pPr>
              <w:rPr>
                <w:rFonts w:ascii="Open Sans" w:hAnsi="Open Sans"/>
                <w:color w:val="000000"/>
                <w:sz w:val="20"/>
                <w:szCs w:val="20"/>
              </w:rPr>
            </w:pPr>
            <w:r w:rsidRPr="006A676D">
              <w:rPr>
                <w:rFonts w:ascii="Open Sans" w:hAnsi="Open Sans"/>
                <w:color w:val="000000"/>
                <w:sz w:val="20"/>
                <w:szCs w:val="20"/>
              </w:rPr>
              <w:t>Indra USA IT Services</w:t>
            </w:r>
          </w:p>
        </w:tc>
        <w:tc>
          <w:tcPr>
            <w:tcW w:w="3044" w:type="dxa"/>
            <w:shd w:val="clear" w:color="auto" w:fill="auto"/>
            <w:noWrap/>
            <w:hideMark/>
          </w:tcPr>
          <w:p w14:paraId="33ED105D" w14:textId="77777777" w:rsidR="00A764EF" w:rsidRPr="006A676D" w:rsidRDefault="00A764EF" w:rsidP="00A764EF">
            <w:pPr>
              <w:rPr>
                <w:rFonts w:ascii="Open Sans" w:hAnsi="Open Sans"/>
                <w:color w:val="000000"/>
                <w:sz w:val="20"/>
                <w:szCs w:val="20"/>
                <w:lang w:val="en-GB"/>
              </w:rPr>
            </w:pPr>
            <w:r w:rsidRPr="006A676D">
              <w:rPr>
                <w:rFonts w:ascii="Open Sans" w:hAnsi="Open Sans"/>
                <w:color w:val="000000"/>
                <w:sz w:val="20"/>
                <w:szCs w:val="20"/>
                <w:lang w:val="en-GB"/>
              </w:rPr>
              <w:t xml:space="preserve">Delaware (EEUU) </w:t>
            </w:r>
          </w:p>
        </w:tc>
        <w:tc>
          <w:tcPr>
            <w:tcW w:w="2496" w:type="dxa"/>
            <w:shd w:val="clear" w:color="auto" w:fill="auto"/>
            <w:hideMark/>
          </w:tcPr>
          <w:p w14:paraId="28998492" w14:textId="77777777" w:rsidR="00A764EF" w:rsidRPr="006A676D" w:rsidRDefault="00A764EF" w:rsidP="00A764EF">
            <w:pPr>
              <w:rPr>
                <w:rFonts w:ascii="Open Sans" w:hAnsi="Open Sans"/>
                <w:color w:val="000000"/>
                <w:sz w:val="20"/>
                <w:szCs w:val="20"/>
                <w:lang w:val="en-GB"/>
              </w:rPr>
            </w:pPr>
          </w:p>
        </w:tc>
      </w:tr>
      <w:tr w:rsidR="00A764EF" w:rsidRPr="006A676D" w14:paraId="52E13D6B" w14:textId="77777777" w:rsidTr="00A764EF">
        <w:trPr>
          <w:trHeight w:val="300"/>
        </w:trPr>
        <w:tc>
          <w:tcPr>
            <w:tcW w:w="2980" w:type="dxa"/>
            <w:shd w:val="clear" w:color="auto" w:fill="auto"/>
          </w:tcPr>
          <w:p w14:paraId="4FEF1039" w14:textId="77777777" w:rsidR="00A764EF" w:rsidRPr="006A676D" w:rsidRDefault="00A764EF" w:rsidP="00A764EF">
            <w:pPr>
              <w:rPr>
                <w:rFonts w:ascii="Open Sans" w:hAnsi="Open Sans"/>
                <w:color w:val="000000"/>
                <w:sz w:val="20"/>
                <w:szCs w:val="20"/>
              </w:rPr>
            </w:pPr>
            <w:r w:rsidRPr="006A676D">
              <w:rPr>
                <w:rFonts w:ascii="Open Sans" w:hAnsi="Open Sans"/>
                <w:color w:val="000000"/>
                <w:sz w:val="20"/>
                <w:szCs w:val="20"/>
              </w:rPr>
              <w:t>Indra Sistemas S.A</w:t>
            </w:r>
          </w:p>
        </w:tc>
        <w:tc>
          <w:tcPr>
            <w:tcW w:w="3044" w:type="dxa"/>
            <w:shd w:val="clear" w:color="auto" w:fill="auto"/>
            <w:noWrap/>
          </w:tcPr>
          <w:p w14:paraId="214E32C0" w14:textId="77777777" w:rsidR="00A764EF" w:rsidRPr="006A676D" w:rsidRDefault="00A764EF" w:rsidP="00A764EF">
            <w:pPr>
              <w:rPr>
                <w:rFonts w:ascii="Open Sans" w:hAnsi="Open Sans"/>
                <w:color w:val="000000"/>
                <w:sz w:val="20"/>
                <w:szCs w:val="20"/>
              </w:rPr>
            </w:pPr>
            <w:r w:rsidRPr="006A676D">
              <w:rPr>
                <w:rFonts w:ascii="Open Sans" w:hAnsi="Open Sans"/>
                <w:color w:val="000000"/>
                <w:sz w:val="20"/>
                <w:szCs w:val="20"/>
              </w:rPr>
              <w:t>Gibraltar</w:t>
            </w:r>
          </w:p>
        </w:tc>
        <w:tc>
          <w:tcPr>
            <w:tcW w:w="2496" w:type="dxa"/>
            <w:shd w:val="clear" w:color="auto" w:fill="auto"/>
          </w:tcPr>
          <w:p w14:paraId="4FFDB3A2" w14:textId="77777777" w:rsidR="00A764EF" w:rsidRPr="006A676D" w:rsidRDefault="00A764EF" w:rsidP="00A764EF">
            <w:pPr>
              <w:rPr>
                <w:rFonts w:ascii="Open Sans" w:hAnsi="Open Sans"/>
                <w:color w:val="000000"/>
                <w:sz w:val="20"/>
                <w:szCs w:val="20"/>
              </w:rPr>
            </w:pPr>
          </w:p>
        </w:tc>
      </w:tr>
      <w:tr w:rsidR="00A764EF" w:rsidRPr="006A676D" w14:paraId="49F1E636" w14:textId="77777777" w:rsidTr="00A764EF">
        <w:trPr>
          <w:trHeight w:val="300"/>
        </w:trPr>
        <w:tc>
          <w:tcPr>
            <w:tcW w:w="2980" w:type="dxa"/>
            <w:shd w:val="clear" w:color="auto" w:fill="auto"/>
          </w:tcPr>
          <w:p w14:paraId="25FE1D78" w14:textId="77777777" w:rsidR="00A764EF" w:rsidRPr="006A676D" w:rsidRDefault="00A764EF" w:rsidP="00A764EF">
            <w:pPr>
              <w:rPr>
                <w:rFonts w:ascii="Open Sans" w:hAnsi="Open Sans"/>
                <w:color w:val="000000"/>
                <w:sz w:val="20"/>
                <w:szCs w:val="20"/>
              </w:rPr>
            </w:pPr>
            <w:r w:rsidRPr="006A676D">
              <w:rPr>
                <w:rFonts w:ascii="Open Sans" w:hAnsi="Open Sans"/>
                <w:color w:val="000000"/>
                <w:sz w:val="20"/>
                <w:szCs w:val="20"/>
              </w:rPr>
              <w:t>Indra Sistemas S.A.</w:t>
            </w:r>
          </w:p>
        </w:tc>
        <w:tc>
          <w:tcPr>
            <w:tcW w:w="3044" w:type="dxa"/>
            <w:shd w:val="clear" w:color="auto" w:fill="auto"/>
            <w:noWrap/>
          </w:tcPr>
          <w:p w14:paraId="20BD5824" w14:textId="77777777" w:rsidR="00A764EF" w:rsidRPr="006A676D" w:rsidRDefault="00A764EF" w:rsidP="00A764EF">
            <w:pPr>
              <w:rPr>
                <w:rFonts w:ascii="Open Sans" w:hAnsi="Open Sans"/>
                <w:color w:val="000000"/>
                <w:sz w:val="20"/>
                <w:szCs w:val="20"/>
              </w:rPr>
            </w:pPr>
            <w:r w:rsidRPr="006A676D">
              <w:rPr>
                <w:rFonts w:ascii="Open Sans" w:hAnsi="Open Sans"/>
                <w:color w:val="000000"/>
                <w:sz w:val="20"/>
                <w:szCs w:val="20"/>
              </w:rPr>
              <w:t>Irlanda</w:t>
            </w:r>
          </w:p>
        </w:tc>
        <w:tc>
          <w:tcPr>
            <w:tcW w:w="2496" w:type="dxa"/>
            <w:shd w:val="clear" w:color="auto" w:fill="auto"/>
          </w:tcPr>
          <w:p w14:paraId="1AEB24DD" w14:textId="77777777" w:rsidR="00A764EF" w:rsidRPr="006A676D" w:rsidRDefault="00A764EF" w:rsidP="00A764EF">
            <w:pPr>
              <w:rPr>
                <w:rFonts w:ascii="Open Sans" w:hAnsi="Open Sans"/>
                <w:color w:val="000000"/>
                <w:sz w:val="20"/>
                <w:szCs w:val="20"/>
              </w:rPr>
            </w:pPr>
          </w:p>
        </w:tc>
      </w:tr>
    </w:tbl>
    <w:p w14:paraId="60197ABC" w14:textId="77777777" w:rsidR="00A764EF" w:rsidRPr="006A676D" w:rsidRDefault="00A764EF" w:rsidP="00A76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sz w:val="20"/>
          <w:szCs w:val="20"/>
        </w:rPr>
      </w:pPr>
    </w:p>
    <w:p w14:paraId="4C866553" w14:textId="77777777" w:rsidR="00A764EF" w:rsidRPr="006A676D" w:rsidRDefault="00A764EF" w:rsidP="00A76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sz w:val="20"/>
          <w:szCs w:val="20"/>
        </w:rPr>
      </w:pPr>
    </w:p>
    <w:p w14:paraId="5AE9F1A0" w14:textId="77777777" w:rsidR="00A764EF" w:rsidRPr="006A676D" w:rsidRDefault="00A764EF" w:rsidP="00A76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sz w:val="20"/>
          <w:szCs w:val="20"/>
        </w:rPr>
      </w:pPr>
    </w:p>
    <w:p w14:paraId="5BE7641C"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También enumera los países o territorios considerados paraíso fiscal y/o nicho fiscal en los que ha mantenido actividades puntuales durante 2015</w:t>
      </w:r>
      <w:r w:rsidRPr="006A676D">
        <w:rPr>
          <w:rStyle w:val="Refdenotaalpie"/>
          <w:rFonts w:ascii="Open Sans" w:hAnsi="Open Sans" w:cs="Arial"/>
          <w:sz w:val="20"/>
          <w:szCs w:val="20"/>
        </w:rPr>
        <w:footnoteReference w:id="569"/>
      </w:r>
      <w:r w:rsidRPr="006A676D">
        <w:rPr>
          <w:rFonts w:ascii="Open Sans" w:hAnsi="Open Sans" w:cs="Arial"/>
          <w:sz w:val="20"/>
          <w:szCs w:val="20"/>
        </w:rPr>
        <w:t xml:space="preserve">. Estos son Andorra, Bahamas, Barbados, Chipre, Emiratos Árabes Unidos, Gibraltar, Guernsey y Jersey, Hong Kong, Islas Mauricio, Irlanda, Jamaica, Luxemburgo, Macao, Malta, Países Bajos, Santa Lucía, Singapur, y Suiza. Indica que las ventas en 2015 de estos lugares representaron un 3,6% del total de ventas de la compañía. </w:t>
      </w:r>
    </w:p>
    <w:p w14:paraId="56F86FF8" w14:textId="77777777" w:rsidR="00A764EF" w:rsidRPr="006A676D" w:rsidRDefault="00A764EF" w:rsidP="00A764EF">
      <w:pPr>
        <w:jc w:val="both"/>
        <w:rPr>
          <w:rFonts w:ascii="Open Sans" w:hAnsi="Open Sans" w:cs="Arial"/>
          <w:bCs/>
          <w:sz w:val="20"/>
          <w:szCs w:val="20"/>
        </w:rPr>
      </w:pPr>
    </w:p>
    <w:p w14:paraId="13EC6938"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A pesar de aportar esta información Indra no recoge en ningún documento cuáles son los </w:t>
      </w:r>
      <w:r w:rsidRPr="006A676D">
        <w:rPr>
          <w:rFonts w:ascii="Open Sans" w:hAnsi="Open Sans" w:cs="Arial"/>
          <w:sz w:val="20"/>
          <w:szCs w:val="20"/>
        </w:rPr>
        <w:t xml:space="preserve">criterios para aprobar operaciones e inversiones en paraísos fiscales. En el informe anual de RSC indica que </w:t>
      </w:r>
      <w:r w:rsidRPr="006A676D">
        <w:rPr>
          <w:rFonts w:ascii="Open Sans" w:hAnsi="Open Sans" w:cs="Arial"/>
          <w:bCs/>
          <w:sz w:val="20"/>
          <w:szCs w:val="20"/>
        </w:rPr>
        <w:t>debe ser aprobado por la Comisión de Auditoría y Cumplimiento y por el Consejo de Administración.</w:t>
      </w:r>
    </w:p>
    <w:p w14:paraId="6F8D40F0" w14:textId="77777777" w:rsidR="00A764EF" w:rsidRPr="006A676D" w:rsidRDefault="00A764EF" w:rsidP="00A764EF">
      <w:pPr>
        <w:jc w:val="both"/>
        <w:rPr>
          <w:rFonts w:ascii="Open Sans" w:hAnsi="Open Sans" w:cs="Arial"/>
          <w:bCs/>
          <w:sz w:val="20"/>
          <w:szCs w:val="20"/>
        </w:rPr>
      </w:pPr>
    </w:p>
    <w:p w14:paraId="19012EDA"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No cabe duda que Indra ha realizado un esfuerzo de mayor transparencia en relación a su actividad en paraísos fiscales publicando información en su memoria de RSC sobre este asunto, pero para ir un paso más adelante, Indra debería aportar información más clara sobre fiscalidad en estos países pues tal y como está presentada, impuestos propios e impuestos de terceros, no deja claro de qué impuestos se trata. </w:t>
      </w:r>
    </w:p>
    <w:p w14:paraId="5D6F17D1" w14:textId="77777777" w:rsidR="00A764EF" w:rsidRPr="006A676D" w:rsidRDefault="00A764EF" w:rsidP="00A764EF">
      <w:pPr>
        <w:rPr>
          <w:rFonts w:ascii="Open Sans" w:hAnsi="Open Sans" w:cs="Arial"/>
          <w:bCs/>
          <w:sz w:val="20"/>
          <w:szCs w:val="20"/>
        </w:rPr>
      </w:pPr>
    </w:p>
    <w:p w14:paraId="09F196BA"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No hay ninguna evidencia en toda la documentación analizada de que Indra tenga aprobada una estrategia y política en materia fiscal. Solamente el nuevo </w:t>
      </w:r>
      <w:r w:rsidRPr="006A676D">
        <w:rPr>
          <w:rFonts w:ascii="Open Sans" w:hAnsi="Open Sans" w:cs="Arial"/>
          <w:sz w:val="20"/>
          <w:szCs w:val="20"/>
        </w:rPr>
        <w:t>Código ético y de cumplimiento legal hace mención a que “</w:t>
      </w:r>
      <w:r w:rsidRPr="006A676D">
        <w:rPr>
          <w:rFonts w:ascii="Open Sans" w:hAnsi="Open Sans" w:cs="Arial"/>
          <w:bCs/>
          <w:sz w:val="20"/>
          <w:szCs w:val="20"/>
        </w:rPr>
        <w:t>se compromete a cumplir con sus obligaciones fiscales en todos los territorios y jurisdicciones en los que desarrolle su actividad optando siempre por una política tributaria prudente”. También la política de RSC recoge que la empresa impulsará  la  aplicación  de  buenas  prácticas  fiscales  en  las comunidades donde opera la Compañía.</w:t>
      </w:r>
    </w:p>
    <w:p w14:paraId="14302355" w14:textId="77777777" w:rsidR="00A764EF" w:rsidRPr="006A676D" w:rsidRDefault="00A764EF" w:rsidP="00A764EF">
      <w:pPr>
        <w:jc w:val="both"/>
        <w:rPr>
          <w:rFonts w:ascii="Open Sans" w:hAnsi="Open Sans" w:cs="Arial"/>
          <w:bCs/>
          <w:sz w:val="20"/>
          <w:szCs w:val="20"/>
        </w:rPr>
      </w:pPr>
    </w:p>
    <w:p w14:paraId="15C82B7B"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Tampoco se ha encontrado evidencia de que la empresa se encuentre adherida a ningún código específico sobre buenas prácticas en materia fiscal ni que siga ningún estándar de información fiscal. </w:t>
      </w:r>
    </w:p>
    <w:p w14:paraId="3B38B89E" w14:textId="77777777" w:rsidR="00A764EF" w:rsidRPr="006A676D" w:rsidRDefault="00A764EF" w:rsidP="00A764EF">
      <w:pPr>
        <w:jc w:val="both"/>
        <w:rPr>
          <w:rFonts w:ascii="Open Sans" w:hAnsi="Open Sans" w:cs="Arial"/>
          <w:bCs/>
          <w:sz w:val="20"/>
          <w:szCs w:val="20"/>
        </w:rPr>
      </w:pPr>
    </w:p>
    <w:p w14:paraId="0A0F6250"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La empresa informa que el Consejo de Administración ha aprobado la Política de Gestión de Riesgos de la Sociedad, sin embargo no se trata de un documento público y no se encuentra en su web.  Añade que en esta política contempla el nivel de tolerancia al riesgo de la compañía por categoría de riesgo y se desarrolla en otra serie de documentos más específicos, entre los que destaca el mapa de riesgos.</w:t>
      </w:r>
    </w:p>
    <w:p w14:paraId="0B3B5388" w14:textId="77777777" w:rsidR="00A764EF" w:rsidRPr="006A676D" w:rsidRDefault="00A764EF" w:rsidP="00A764EF">
      <w:pPr>
        <w:jc w:val="both"/>
        <w:rPr>
          <w:rFonts w:ascii="Open Sans" w:hAnsi="Open Sans" w:cs="Arial"/>
          <w:bCs/>
          <w:sz w:val="20"/>
          <w:szCs w:val="20"/>
        </w:rPr>
      </w:pPr>
    </w:p>
    <w:p w14:paraId="7E005248"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Es la Comisión de Auditoría y Cumplimiento la encargada de supervisar la adecuación del sistema de evaluación y control interno de los riesgos relevantes. La memoria 2015 de esta comisión informa que se ha analizado los principales riesgos fiscales y la política de gestión de los mismos, asimismo también revisó el modelo de asesoramiento fiscal vigente en la Sociedad así como el de las filiales internacionales. Sin embargo en el Informe de Gobierno Corporativo, en la identificación de riesgos se señalan riesgos externos, operativos, financieros y de cumplimiento, pero no hay </w:t>
      </w:r>
      <w:proofErr w:type="gramStart"/>
      <w:r w:rsidRPr="006A676D">
        <w:rPr>
          <w:rFonts w:ascii="Open Sans" w:hAnsi="Open Sans" w:cs="Arial"/>
          <w:bCs/>
          <w:sz w:val="20"/>
          <w:szCs w:val="20"/>
        </w:rPr>
        <w:t>un</w:t>
      </w:r>
      <w:proofErr w:type="gramEnd"/>
      <w:r w:rsidRPr="006A676D">
        <w:rPr>
          <w:rFonts w:ascii="Open Sans" w:hAnsi="Open Sans" w:cs="Arial"/>
          <w:bCs/>
          <w:sz w:val="20"/>
          <w:szCs w:val="20"/>
        </w:rPr>
        <w:t xml:space="preserve"> identificación expresa de riesgos de índole fiscal. A pesar de esto se menciona que en 2015 se han materializados riesgos que han afectado a su situación fiscal:</w:t>
      </w:r>
    </w:p>
    <w:p w14:paraId="6D61981A" w14:textId="77777777" w:rsidR="00A764EF" w:rsidRPr="006A676D" w:rsidRDefault="00A764EF" w:rsidP="00A764EF">
      <w:pPr>
        <w:jc w:val="both"/>
        <w:rPr>
          <w:rFonts w:ascii="Open Sans" w:hAnsi="Open Sans" w:cs="Arial"/>
          <w:bCs/>
          <w:sz w:val="20"/>
          <w:szCs w:val="20"/>
        </w:rPr>
      </w:pPr>
    </w:p>
    <w:p w14:paraId="541518B4"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riesgo en la recuperabilidad de inversiones realizadas en Brasil, Portugal y ciertos negocios En el curso de la revisión ordinaria de los planes de negocio utilizados para el análisis de los fondos de comercio y los activos tangibles e intangibles de los distintos negocios de la Compañía, se han considerado nuevas hipótesis sobre el negocio que recogen la situación macro y las nuevas condiciones de mercado de cara a realizar las estimaciones aplicables que han llevado al deterioro de dichos activos.</w:t>
      </w:r>
    </w:p>
    <w:p w14:paraId="48618396" w14:textId="77777777" w:rsidR="00A764EF" w:rsidRPr="006A676D" w:rsidRDefault="00A764EF" w:rsidP="00A764EF">
      <w:pPr>
        <w:jc w:val="both"/>
        <w:rPr>
          <w:rFonts w:ascii="Open Sans" w:hAnsi="Open Sans" w:cs="Arial"/>
          <w:bCs/>
          <w:sz w:val="20"/>
          <w:szCs w:val="20"/>
        </w:rPr>
      </w:pPr>
    </w:p>
    <w:p w14:paraId="6001F54C"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Riesgo en la recuperabilidad de las bases imponibles en Brasil. Adicionalmente y con motivo de lo señalado anteriormente se ha cancelado la totalidad del crédito fiscal que se tenía activado en Brasil.</w:t>
      </w:r>
    </w:p>
    <w:p w14:paraId="462C3C5A" w14:textId="77777777" w:rsidR="00A764EF" w:rsidRPr="006A676D" w:rsidRDefault="00A764EF" w:rsidP="00A764EF">
      <w:pPr>
        <w:jc w:val="both"/>
        <w:rPr>
          <w:rFonts w:ascii="Open Sans" w:hAnsi="Open Sans" w:cs="Arial"/>
          <w:bCs/>
          <w:sz w:val="20"/>
          <w:szCs w:val="20"/>
        </w:rPr>
      </w:pPr>
    </w:p>
    <w:p w14:paraId="2A141712"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En el informe de gobierno corporativo, en relación a la estructura societaria, se Informa del nombre del accionista y porcentaje de participación para posiciones superiores al 3%. En relación a la estructura de sociedades dependientes, asociadas y negocios conjuntos, en las cuentas anuales se informa del nombre de la filial, ubicación y porcentaje de participación directa e indirecta. Sin embargo en aquellas que tiene una participación indirecta no se aporta información sobre a través de qué sociedades se ostenta la participación. Este aspecto es fundamental desde una visión de transparencia ya que a través de estas estructuras pudiera favorecerse la ocultación de identidad, de activos y de beneficios. </w:t>
      </w:r>
    </w:p>
    <w:p w14:paraId="5FC5E73A" w14:textId="77777777" w:rsidR="00A764EF" w:rsidRPr="006A676D" w:rsidRDefault="00A764EF" w:rsidP="00A764EF">
      <w:pPr>
        <w:rPr>
          <w:rFonts w:ascii="Open Sans" w:hAnsi="Open Sans" w:cs="Arial"/>
          <w:bCs/>
          <w:sz w:val="20"/>
          <w:szCs w:val="20"/>
        </w:rPr>
      </w:pPr>
    </w:p>
    <w:p w14:paraId="4644862B"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 xml:space="preserve">En relación con el pago de impuestos Indra indica en su memoria de RSC que contribuye a crear valor económico para las administraciones de las comunidades en las que opera a través del pago de impuestos directos e indirectos, y en su papel de recaudador de impuestos para la hacienda pública. </w:t>
      </w:r>
    </w:p>
    <w:p w14:paraId="4DDC0141" w14:textId="77777777" w:rsidR="00A764EF" w:rsidRPr="006A676D" w:rsidRDefault="00A764EF" w:rsidP="00A764EF">
      <w:pPr>
        <w:jc w:val="both"/>
        <w:rPr>
          <w:rFonts w:ascii="Open Sans" w:hAnsi="Open Sans" w:cs="Arial"/>
          <w:bCs/>
          <w:sz w:val="20"/>
          <w:szCs w:val="20"/>
        </w:rPr>
      </w:pPr>
    </w:p>
    <w:p w14:paraId="0C28E818"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La gestión fiscal en las comunidades locales, si bien, el año anterior había sido identificado como un aspecto material</w:t>
      </w:r>
      <w:r w:rsidRPr="006A676D">
        <w:rPr>
          <w:rStyle w:val="Refdenotaalpie"/>
          <w:rFonts w:ascii="Open Sans" w:hAnsi="Open Sans" w:cs="Arial"/>
          <w:sz w:val="20"/>
          <w:szCs w:val="20"/>
        </w:rPr>
        <w:footnoteReference w:id="570"/>
      </w:r>
      <w:r w:rsidRPr="006A676D">
        <w:rPr>
          <w:rFonts w:ascii="Open Sans" w:hAnsi="Open Sans" w:cs="Arial"/>
          <w:sz w:val="20"/>
          <w:szCs w:val="20"/>
        </w:rPr>
        <w:t xml:space="preserve">, este año no figura entre los aspectos relevantes de 2015. En relación al desempeño en materia fiscal aporta tanto el dato global como el desglose por país de la contribución fiscal a las administraciones públicas. El desglose por país distingue sólo entre impuestos propios e impuestos de terceros sin ninguna referencia a qué impuestos incluye cada uno de estos conceptos. Esta información está incluida en el Anexo al Informe Anual de Responsabilidad Social Corporativa 2015. </w:t>
      </w:r>
    </w:p>
    <w:p w14:paraId="185C8D27" w14:textId="77777777" w:rsidR="00A764EF" w:rsidRPr="006A676D" w:rsidRDefault="00A764EF" w:rsidP="00A764EF">
      <w:pPr>
        <w:rPr>
          <w:rFonts w:ascii="Open Sans" w:hAnsi="Open Sans" w:cs="Arial"/>
          <w:bCs/>
          <w:sz w:val="20"/>
          <w:szCs w:val="20"/>
        </w:rPr>
      </w:pPr>
    </w:p>
    <w:p w14:paraId="319FDFFE"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Aunque se valora de manera positiva que la empresa publique esta información, no se considera útil en términos de transparencia dado que no es posible entender, ni siquiera interpretar, a qué corresponden esas cifras. En el índice de G4 y con referencia al indicador EC1 sigue incluyendo que no aporta esta información con desglose por poner en peligro su posición competitiva. </w:t>
      </w:r>
    </w:p>
    <w:p w14:paraId="5D60F068" w14:textId="77777777" w:rsidR="00A764EF" w:rsidRPr="006A676D" w:rsidRDefault="00A764EF" w:rsidP="00A764EF">
      <w:pPr>
        <w:jc w:val="both"/>
        <w:rPr>
          <w:rFonts w:ascii="Open Sans" w:hAnsi="Open Sans" w:cs="Arial"/>
          <w:sz w:val="20"/>
          <w:szCs w:val="20"/>
        </w:rPr>
      </w:pPr>
    </w:p>
    <w:p w14:paraId="6AF3BD84"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En el informe de Cuentas Anuales Consolidadas no se facilita en ningún caso desglose del impuesto de sociedades por país ni tipos nominales y efectivos. La empresa informa de la conciliación de la tasa impositiva legal (28% en España) y la tasa impositiva efectiva soportada por el grupo, que ha sido del 9%. </w:t>
      </w:r>
    </w:p>
    <w:p w14:paraId="23BA54D6" w14:textId="77777777" w:rsidR="00A764EF" w:rsidRPr="006A676D" w:rsidRDefault="00A764EF" w:rsidP="00A764EF">
      <w:pPr>
        <w:jc w:val="both"/>
        <w:rPr>
          <w:rFonts w:ascii="Open Sans" w:hAnsi="Open Sans" w:cs="Arial"/>
          <w:sz w:val="20"/>
          <w:szCs w:val="20"/>
        </w:rPr>
      </w:pPr>
    </w:p>
    <w:p w14:paraId="3E554E2A"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Respecto a subvenciones y ayudas públicas, Indra incluye dentro del nuevo código ético la norma de conducta en relación a subvenciones y ayudas públicas, en el que explica que se entiende por subvención (aportaciones de fondos directamente y financiación en condiciones ventajosas frente al mercado) y actuaciones que están prohibidas. </w:t>
      </w:r>
    </w:p>
    <w:p w14:paraId="69A4727A" w14:textId="77777777" w:rsidR="00A764EF" w:rsidRPr="006A676D" w:rsidRDefault="00A764EF" w:rsidP="00A764EF">
      <w:pPr>
        <w:jc w:val="both"/>
        <w:rPr>
          <w:rFonts w:ascii="Open Sans" w:hAnsi="Open Sans" w:cs="Arial"/>
          <w:sz w:val="20"/>
          <w:szCs w:val="20"/>
        </w:rPr>
      </w:pPr>
    </w:p>
    <w:p w14:paraId="64C8AEA0"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En relación a la información sobre esta cuestión, se aporta el dato agregado en la memoria de RSC (anexos) sobre subvenciones de capital y subvenciones de inversión, pero no hay información desglosada por país, ni de cantidades otorgadas, organismos que las concede y para qué proyectos. En el indicador de GRI EC4, la empresa informa que no se aporta el desglose por país al no tener disponible esta información pero remarca que se implementará un sistema de información el año que viene. En las cuentas anuales sobre este aspecto indica que tiene determinados gastos de desarrollo activados que se encuentran financiados o subvencionados por distintas Administraciones a través de sus organismos correspondientes e informa de algunos proyectos,</w:t>
      </w:r>
      <w:r w:rsidRPr="006A676D">
        <w:rPr>
          <w:rStyle w:val="Refdenotaalpie"/>
          <w:rFonts w:ascii="Open Sans" w:hAnsi="Open Sans" w:cs="Arial"/>
          <w:sz w:val="20"/>
          <w:szCs w:val="20"/>
        </w:rPr>
        <w:footnoteReference w:id="571"/>
      </w:r>
      <w:r w:rsidRPr="006A676D">
        <w:rPr>
          <w:rFonts w:ascii="Open Sans" w:hAnsi="Open Sans" w:cs="Arial"/>
          <w:sz w:val="20"/>
          <w:szCs w:val="20"/>
        </w:rPr>
        <w:t xml:space="preserve"> de la actividad y cantidad subvencionada, pero no del organismo que lo concede ni país. También menciona subvenciones para planes de formación. En la página web hay un apartado denominado “fondos públicos</w:t>
      </w:r>
      <w:r w:rsidRPr="006A676D">
        <w:rPr>
          <w:rStyle w:val="Refdenotaalpie"/>
          <w:rFonts w:ascii="Open Sans" w:hAnsi="Open Sans" w:cs="Arial"/>
          <w:sz w:val="20"/>
          <w:szCs w:val="20"/>
        </w:rPr>
        <w:footnoteReference w:id="572"/>
      </w:r>
      <w:r w:rsidRPr="006A676D">
        <w:rPr>
          <w:rFonts w:ascii="Open Sans" w:hAnsi="Open Sans" w:cs="Arial"/>
          <w:sz w:val="20"/>
          <w:szCs w:val="20"/>
        </w:rPr>
        <w:t xml:space="preserve">” en el que se puede consultar información amplia sobre los proyectos financiados e incluye el organismo financiador pero no la cantidad financiada.  </w:t>
      </w:r>
    </w:p>
    <w:p w14:paraId="01E01715" w14:textId="77777777" w:rsidR="00A764EF" w:rsidRPr="006A676D" w:rsidRDefault="00A764EF" w:rsidP="00A764EF">
      <w:pPr>
        <w:jc w:val="both"/>
        <w:rPr>
          <w:rFonts w:ascii="Open Sans" w:hAnsi="Open Sans" w:cs="Arial"/>
          <w:sz w:val="20"/>
          <w:szCs w:val="20"/>
        </w:rPr>
      </w:pPr>
    </w:p>
    <w:p w14:paraId="0CE223C6"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En el apartado de deducciones, exenciones y créditos fiscales la empresa no presenta información por país y en concepto de qué se le han otorgado las exenciones, deducciones o créditos fiscales. Esta información es relevante pues en algunos casos puede condicionar la imputación de beneficios en un país u en otro en base a este tipo de incentivos fiscales. </w:t>
      </w:r>
    </w:p>
    <w:p w14:paraId="5A831DAD"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Ha activado deducciones por importe de 26 millones de euros pero se desconoce a qué tipo de deducciones corresponde. Además tiene pendiente de activar deducciones por inversiones, formación y actividad exportadora (4 millones de euros). </w:t>
      </w:r>
    </w:p>
    <w:p w14:paraId="73164FE6" w14:textId="77777777" w:rsidR="00A764EF" w:rsidRPr="006A676D" w:rsidRDefault="00A764EF" w:rsidP="00A764EF">
      <w:pPr>
        <w:jc w:val="both"/>
        <w:rPr>
          <w:rFonts w:ascii="Open Sans" w:hAnsi="Open Sans" w:cs="Arial"/>
          <w:sz w:val="20"/>
          <w:szCs w:val="20"/>
        </w:rPr>
      </w:pPr>
    </w:p>
    <w:p w14:paraId="3A042836"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Indica que no ha activado deducciones de bases imponibles negativas pendientes de compensación (394,7 millones de euros) porque el Grupo estima que su recuperación no se prevé́ que ocurrirá́ en un plazo inferior a 10 años</w:t>
      </w:r>
      <w:r w:rsidRPr="006A676D">
        <w:rPr>
          <w:rStyle w:val="Refdenotaalpie"/>
          <w:rFonts w:ascii="Open Sans" w:hAnsi="Open Sans" w:cs="Arial"/>
          <w:sz w:val="20"/>
          <w:szCs w:val="20"/>
        </w:rPr>
        <w:footnoteReference w:id="573"/>
      </w:r>
      <w:r w:rsidRPr="006A676D">
        <w:rPr>
          <w:rFonts w:ascii="Open Sans" w:hAnsi="Open Sans" w:cs="Arial"/>
          <w:sz w:val="20"/>
          <w:szCs w:val="20"/>
        </w:rPr>
        <w:t xml:space="preserve">. Informa de cómo se activará a partir del año 2016 en dónde el tipo impositivo pasará a ser del 25%. </w:t>
      </w:r>
    </w:p>
    <w:p w14:paraId="4C876A9F" w14:textId="77777777" w:rsidR="00A764EF" w:rsidRPr="006A676D" w:rsidRDefault="00A764EF" w:rsidP="00A764EF">
      <w:pPr>
        <w:jc w:val="both"/>
        <w:rPr>
          <w:rFonts w:ascii="Open Sans" w:hAnsi="Open Sans" w:cs="Arial"/>
          <w:sz w:val="20"/>
          <w:szCs w:val="20"/>
        </w:rPr>
      </w:pPr>
    </w:p>
    <w:p w14:paraId="021228C9"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 xml:space="preserve">En cuanto a las exenciones fiscales aporta el dato global en la memoria de RSC de 14,7 millones de euros pero no aporta ninguna información al respecto. </w:t>
      </w:r>
    </w:p>
    <w:p w14:paraId="0DB36464" w14:textId="77777777" w:rsidR="00A764EF" w:rsidRPr="006A676D" w:rsidRDefault="00A764EF" w:rsidP="00A764EF">
      <w:pPr>
        <w:jc w:val="both"/>
        <w:rPr>
          <w:rFonts w:ascii="Open Sans" w:hAnsi="Open Sans" w:cs="Arial"/>
          <w:sz w:val="20"/>
          <w:szCs w:val="20"/>
        </w:rPr>
      </w:pPr>
    </w:p>
    <w:p w14:paraId="361EFABE"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En 2015 el impuesto de sociedades le ha salido a devolver teniendo un ingreso de 64 millones de euros. Indica que se debe al ingreso fiscal que se produce en España por las pérdidas registradas, que incluyen el plan de ajuste de plantilla ya ejecutado en 2015, y las deducciones de I+D, que son parcialmente compensados por la dotación de provisión correspondiente al efecto no recurrente de -31 M€ por deterioro del crédito fiscal de Brasil realizado en el segundo trimestre de 2015.</w:t>
      </w:r>
    </w:p>
    <w:p w14:paraId="5D860E28" w14:textId="77777777" w:rsidR="00A764EF" w:rsidRPr="006A676D" w:rsidRDefault="00A764EF" w:rsidP="00A764EF">
      <w:pPr>
        <w:rPr>
          <w:rFonts w:ascii="Open Sans" w:hAnsi="Open Sans" w:cs="Arial"/>
          <w:bCs/>
          <w:sz w:val="20"/>
          <w:szCs w:val="20"/>
        </w:rPr>
      </w:pPr>
    </w:p>
    <w:p w14:paraId="7ADA0B24"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Dentro del nuevo código ético Indra incluye un punto relativo a la relación con gobiernos y autoridades. Indica expresamente que “las relaciones con las autoridades, los organismos reguladores y las Administraciones Públicas se plantearán siempre bajo los principios de  cooperación y transparencia. Sin perjuicio de lo anterior, si cualquier Profesional o Colaborador recibe de cualquier Administración Pública solicitudes  de  reuniones  o documentación  no  rutinarias,  deberá ponerlo  en  inmediato  conocimiento  de  Asesoría  Jurídica,  a  quien corresponde su gestión”.</w:t>
      </w:r>
    </w:p>
    <w:p w14:paraId="19EA5286" w14:textId="77777777" w:rsidR="00A764EF" w:rsidRPr="006A676D" w:rsidRDefault="00A764EF" w:rsidP="00A764EF">
      <w:pPr>
        <w:jc w:val="both"/>
        <w:rPr>
          <w:rFonts w:ascii="Open Sans" w:hAnsi="Open Sans" w:cs="Arial"/>
          <w:bCs/>
          <w:sz w:val="20"/>
          <w:szCs w:val="20"/>
        </w:rPr>
      </w:pPr>
    </w:p>
    <w:p w14:paraId="4D6CAEA1" w14:textId="77777777" w:rsidR="00A764EF" w:rsidRPr="006A676D" w:rsidRDefault="00A764EF" w:rsidP="00A764EF">
      <w:pPr>
        <w:jc w:val="both"/>
        <w:rPr>
          <w:rFonts w:ascii="Open Sans" w:hAnsi="Open Sans" w:cs="Arial"/>
          <w:sz w:val="20"/>
          <w:szCs w:val="20"/>
        </w:rPr>
      </w:pPr>
      <w:r w:rsidRPr="006A676D">
        <w:rPr>
          <w:rFonts w:ascii="Open Sans" w:hAnsi="Open Sans" w:cs="Arial"/>
          <w:bCs/>
          <w:sz w:val="20"/>
          <w:szCs w:val="20"/>
        </w:rPr>
        <w:t xml:space="preserve">Más allá de esta declaración no se aporta mayor detalle sobre esta cuestión. El año anterior explicaba la actuación que las filiales de EEUU realizan a través de </w:t>
      </w:r>
      <w:r w:rsidRPr="006A676D">
        <w:rPr>
          <w:rFonts w:ascii="Open Sans" w:hAnsi="Open Sans" w:cs="Arial"/>
          <w:sz w:val="20"/>
          <w:szCs w:val="20"/>
        </w:rPr>
        <w:t>bufetes de abogados, ya que es la vía que se utiliza en este país para la obtención de información y gestión de contratos, subvenciones y ayudas. Por otro lado Indra ha sido una de las principales beneficiarias de los proyectos de I+D financiados por la Unión Europea. Desde 2002, ha recibido más de ocho millones de euros en los siete programas en que ha participado</w:t>
      </w:r>
      <w:r w:rsidRPr="006A676D">
        <w:rPr>
          <w:rStyle w:val="Refdenotaalpie"/>
          <w:rFonts w:ascii="Open Sans" w:hAnsi="Open Sans" w:cs="Arial"/>
          <w:sz w:val="20"/>
          <w:szCs w:val="20"/>
        </w:rPr>
        <w:footnoteReference w:id="574"/>
      </w:r>
      <w:r w:rsidRPr="006A676D">
        <w:rPr>
          <w:rFonts w:ascii="Open Sans" w:hAnsi="Open Sans" w:cs="Arial"/>
          <w:sz w:val="20"/>
          <w:szCs w:val="20"/>
        </w:rPr>
        <w:t>. A su vez Indra ha dedicado en 2015 cerca de 1 millón de euros en influir sobre las políticas de la Unión Europea</w:t>
      </w:r>
      <w:r w:rsidRPr="006A676D">
        <w:rPr>
          <w:rStyle w:val="Refdenotaalpie"/>
          <w:rFonts w:ascii="Open Sans" w:hAnsi="Open Sans" w:cs="Arial"/>
          <w:sz w:val="20"/>
          <w:szCs w:val="20"/>
        </w:rPr>
        <w:footnoteReference w:id="575"/>
      </w:r>
      <w:r w:rsidRPr="006A676D">
        <w:rPr>
          <w:rFonts w:ascii="Open Sans" w:hAnsi="Open Sans" w:cs="Arial"/>
          <w:sz w:val="20"/>
          <w:szCs w:val="20"/>
        </w:rPr>
        <w:t xml:space="preserve">. </w:t>
      </w:r>
    </w:p>
    <w:p w14:paraId="5D74290F" w14:textId="77777777" w:rsidR="00A764EF" w:rsidRPr="006A676D" w:rsidRDefault="00A764EF" w:rsidP="00A764EF">
      <w:pPr>
        <w:jc w:val="both"/>
        <w:rPr>
          <w:rFonts w:ascii="Open Sans" w:hAnsi="Open Sans" w:cs="Arial"/>
          <w:sz w:val="20"/>
          <w:szCs w:val="20"/>
        </w:rPr>
      </w:pPr>
    </w:p>
    <w:p w14:paraId="4C5804BB" w14:textId="77777777" w:rsidR="00A764EF" w:rsidRPr="006A676D" w:rsidRDefault="00A764EF" w:rsidP="00A764EF">
      <w:pPr>
        <w:jc w:val="both"/>
        <w:rPr>
          <w:rFonts w:ascii="Open Sans" w:hAnsi="Open Sans" w:cs="Arial"/>
          <w:bCs/>
          <w:sz w:val="20"/>
          <w:szCs w:val="20"/>
        </w:rPr>
      </w:pPr>
      <w:r w:rsidRPr="006A676D">
        <w:rPr>
          <w:rFonts w:ascii="Open Sans" w:hAnsi="Open Sans" w:cs="Arial"/>
          <w:sz w:val="20"/>
          <w:szCs w:val="20"/>
        </w:rPr>
        <w:t xml:space="preserve">Dada la actividad de la empresa con una cartera grande de clientes del sector público en todo el mundo, la información que aporta sobre esta cuestión se reduce a un compromiso en su código ético, considerándose desde una perspectiva de rendición de cuentas y de transparencia totalmente insuficiente de cara a sus grupos de interés. </w:t>
      </w:r>
    </w:p>
    <w:p w14:paraId="67BA636E" w14:textId="77777777" w:rsidR="00A764EF" w:rsidRPr="006A676D" w:rsidRDefault="00A764EF" w:rsidP="00A764EF">
      <w:pPr>
        <w:jc w:val="both"/>
        <w:rPr>
          <w:rFonts w:ascii="Open Sans" w:hAnsi="Open Sans" w:cs="Arial"/>
          <w:bCs/>
          <w:sz w:val="20"/>
          <w:szCs w:val="20"/>
        </w:rPr>
      </w:pPr>
    </w:p>
    <w:p w14:paraId="74856992"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Indra informa en sus cuentas anuales consolidadas sobre discrepancias en materia tributaria con administraciones públicas. Así informa de provisiones por recursos mercantiles y contingencias (8.432 miles de euros) por diversos procedimientos judiciales en el que destaca:</w:t>
      </w:r>
    </w:p>
    <w:p w14:paraId="3D2FF47C" w14:textId="77777777" w:rsidR="00A764EF" w:rsidRPr="006A676D" w:rsidRDefault="00A764EF" w:rsidP="00A764EF">
      <w:pPr>
        <w:jc w:val="both"/>
        <w:rPr>
          <w:rFonts w:ascii="Open Sans" w:hAnsi="Open Sans" w:cs="Arial"/>
          <w:bCs/>
          <w:sz w:val="20"/>
          <w:szCs w:val="20"/>
        </w:rPr>
      </w:pPr>
    </w:p>
    <w:p w14:paraId="73C308FE" w14:textId="77777777" w:rsidR="00A764EF" w:rsidRPr="006A676D" w:rsidRDefault="00A764EF" w:rsidP="000B70C9">
      <w:pPr>
        <w:pStyle w:val="Prrafodelista"/>
        <w:numPr>
          <w:ilvl w:val="0"/>
          <w:numId w:val="53"/>
        </w:numPr>
        <w:jc w:val="both"/>
        <w:rPr>
          <w:rFonts w:ascii="Open Sans" w:hAnsi="Open Sans" w:cs="Arial"/>
          <w:bCs/>
          <w:sz w:val="20"/>
          <w:szCs w:val="20"/>
        </w:rPr>
      </w:pPr>
      <w:r w:rsidRPr="006A676D">
        <w:rPr>
          <w:rFonts w:ascii="Open Sans" w:hAnsi="Open Sans" w:cs="Arial"/>
          <w:bCs/>
          <w:sz w:val="20"/>
          <w:szCs w:val="20"/>
        </w:rPr>
        <w:t xml:space="preserve">Acta de disconformidad por disconformidad en la liquidación por el concepto del Impuesto sobre Sociedades, ejercicios 2004 a 2007, de la que se deriva un importe a ingresar de 4.493 m€ (3.806 m€ de principal y 687 m€ de intereses). La sociedad presentó alegaciones solicitando la anulación de la misma y se encuentra pendiente de resolución. </w:t>
      </w:r>
    </w:p>
    <w:p w14:paraId="1C3CF136" w14:textId="77777777" w:rsidR="00A764EF" w:rsidRPr="006A676D" w:rsidRDefault="00A764EF" w:rsidP="000B70C9">
      <w:pPr>
        <w:pStyle w:val="Prrafodelista"/>
        <w:numPr>
          <w:ilvl w:val="0"/>
          <w:numId w:val="52"/>
        </w:numPr>
        <w:ind w:left="360"/>
        <w:jc w:val="both"/>
        <w:rPr>
          <w:rFonts w:ascii="Open Sans" w:hAnsi="Open Sans" w:cs="Arial"/>
          <w:bCs/>
          <w:sz w:val="20"/>
          <w:szCs w:val="20"/>
        </w:rPr>
      </w:pPr>
      <w:r w:rsidRPr="006A676D">
        <w:rPr>
          <w:rFonts w:ascii="Open Sans" w:hAnsi="Open Sans" w:cs="Arial"/>
          <w:bCs/>
          <w:sz w:val="20"/>
          <w:szCs w:val="20"/>
        </w:rPr>
        <w:t xml:space="preserve">Contingencias tributarias por 6,6 M€ derivada de un proceso judicial cuestionando la incidencia del impuesto CIDE (Contribuição de Intervenção no Domínio Econômico) correspondiente a la Sociedad filial Indra Brasil, S.A. </w:t>
      </w:r>
    </w:p>
    <w:p w14:paraId="68FE5EAF" w14:textId="77777777" w:rsidR="00A764EF" w:rsidRPr="006A676D" w:rsidRDefault="00A764EF" w:rsidP="000B70C9">
      <w:pPr>
        <w:pStyle w:val="Prrafodelista"/>
        <w:numPr>
          <w:ilvl w:val="0"/>
          <w:numId w:val="52"/>
        </w:numPr>
        <w:ind w:left="360"/>
        <w:jc w:val="both"/>
        <w:rPr>
          <w:rFonts w:ascii="Open Sans" w:hAnsi="Open Sans" w:cs="Arial"/>
          <w:bCs/>
          <w:sz w:val="20"/>
          <w:szCs w:val="20"/>
        </w:rPr>
      </w:pPr>
      <w:r w:rsidRPr="006A676D">
        <w:rPr>
          <w:rFonts w:ascii="Open Sans" w:hAnsi="Open Sans" w:cs="Arial"/>
          <w:bCs/>
          <w:sz w:val="20"/>
          <w:szCs w:val="20"/>
        </w:rPr>
        <w:t>Contingencias derivadas de los posibles riesgos en la Sociedad filial Indra Chile provisionados por la importe de 1,7 M€.</w:t>
      </w:r>
    </w:p>
    <w:p w14:paraId="01835704" w14:textId="77777777" w:rsidR="00A764EF" w:rsidRPr="006A676D" w:rsidRDefault="00A764EF" w:rsidP="00A764EF">
      <w:pPr>
        <w:jc w:val="both"/>
        <w:rPr>
          <w:rFonts w:ascii="Open Sans" w:hAnsi="Open Sans" w:cs="Arial"/>
          <w:bCs/>
          <w:sz w:val="20"/>
          <w:szCs w:val="20"/>
        </w:rPr>
      </w:pPr>
    </w:p>
    <w:p w14:paraId="26ADD619" w14:textId="77777777" w:rsidR="00A764EF" w:rsidRPr="006A676D" w:rsidRDefault="00A764EF" w:rsidP="00A764EF">
      <w:pPr>
        <w:jc w:val="both"/>
        <w:rPr>
          <w:rFonts w:ascii="Open Sans" w:hAnsi="Open Sans" w:cs="Arial"/>
          <w:bCs/>
          <w:sz w:val="20"/>
          <w:szCs w:val="20"/>
        </w:rPr>
      </w:pPr>
      <w:r w:rsidRPr="006A676D">
        <w:rPr>
          <w:rFonts w:ascii="Open Sans" w:hAnsi="Open Sans" w:cs="Arial"/>
          <w:bCs/>
          <w:sz w:val="20"/>
          <w:szCs w:val="20"/>
        </w:rPr>
        <w:t>En relación a litigios con administraciones tributarias informa que tiene litigios en curso por importe de 26.412.m€. Sólo informa del más significativo que está instado por la Contraloría General de Estado de Ecuador frente a Indra Sistemas, S.A. Se trata de un Litigio derivado del Contrato para la “implementación de un Sistema de Información Judicial para el Consejo de la Judicatura de Ecuador”, valorado en 23.760.m€, adjudicado a Indra Sistemas. Este procedimiento se encuentra actualmente en fase probatoria.</w:t>
      </w:r>
    </w:p>
    <w:p w14:paraId="75FB45E9" w14:textId="77777777" w:rsidR="00A764EF" w:rsidRPr="006A676D" w:rsidRDefault="00A764EF" w:rsidP="00A764EF">
      <w:pPr>
        <w:rPr>
          <w:rFonts w:ascii="Open Sans" w:hAnsi="Open Sans" w:cs="Arial"/>
          <w:bCs/>
          <w:sz w:val="22"/>
          <w:szCs w:val="22"/>
        </w:rPr>
      </w:pPr>
    </w:p>
    <w:p w14:paraId="43B5F644" w14:textId="77777777" w:rsidR="00A764EF" w:rsidRPr="006A676D" w:rsidRDefault="00A764EF" w:rsidP="00A764EF">
      <w:pPr>
        <w:jc w:val="both"/>
        <w:rPr>
          <w:rFonts w:ascii="Open Sans" w:hAnsi="Open Sans" w:cs="Arial"/>
          <w:bCs/>
          <w:sz w:val="22"/>
          <w:szCs w:val="22"/>
        </w:rPr>
      </w:pPr>
      <w:r w:rsidRPr="006A676D">
        <w:rPr>
          <w:rFonts w:ascii="Open Sans" w:eastAsia="Calibri" w:hAnsi="Open Sans" w:cs="Open Sans"/>
          <w:sz w:val="20"/>
          <w:szCs w:val="20"/>
        </w:rPr>
        <w:t>No se ha encontrado información sobre las compras intragrupo, desde qué sociedades gestiona los derechos de marca y propiedad intelectual, ni las operaciones de financiación realizadas entre sociedades del grupo y condiciones asignadas a las mismas. Tener conocimiento de estas operaciones es fundamental para poder despejar dudas sobre sí la empresa está operando a través de su estructura societaria para implementar estrategias de optimización fiscal o no.</w:t>
      </w:r>
    </w:p>
    <w:p w14:paraId="36B55F40" w14:textId="77777777" w:rsidR="00A764EF" w:rsidRPr="006A676D" w:rsidRDefault="00A764EF" w:rsidP="00A764EF">
      <w:pPr>
        <w:rPr>
          <w:rFonts w:ascii="Open Sans" w:hAnsi="Open Sans" w:cs="Arial"/>
          <w:bCs/>
          <w:sz w:val="22"/>
          <w:szCs w:val="22"/>
        </w:rPr>
      </w:pPr>
    </w:p>
    <w:p w14:paraId="6713FE34" w14:textId="77777777" w:rsidR="00A764EF" w:rsidRPr="006A676D" w:rsidRDefault="00A764EF" w:rsidP="00A764EF">
      <w:pPr>
        <w:jc w:val="both"/>
        <w:rPr>
          <w:rFonts w:ascii="Open Sans" w:hAnsi="Open Sans" w:cs="Arial"/>
          <w:sz w:val="20"/>
          <w:szCs w:val="20"/>
        </w:rPr>
      </w:pPr>
    </w:p>
    <w:p w14:paraId="050BF692" w14:textId="77777777" w:rsidR="00A764EF" w:rsidRPr="006A676D" w:rsidRDefault="00A764EF" w:rsidP="00A764EF">
      <w:pPr>
        <w:rPr>
          <w:rFonts w:ascii="Open Sans" w:hAnsi="Open Sans" w:cs="Arial"/>
          <w:bCs/>
          <w:sz w:val="22"/>
          <w:szCs w:val="22"/>
          <w:u w:val="single"/>
        </w:rPr>
      </w:pPr>
      <w:r w:rsidRPr="006A676D">
        <w:rPr>
          <w:rFonts w:ascii="Open Sans" w:hAnsi="Open Sans" w:cs="Arial"/>
          <w:b/>
          <w:sz w:val="22"/>
          <w:szCs w:val="22"/>
          <w:u w:val="single"/>
        </w:rPr>
        <w:t>5. Conclusiones</w:t>
      </w:r>
    </w:p>
    <w:p w14:paraId="36FF052C" w14:textId="77777777" w:rsidR="00A764EF" w:rsidRPr="006A676D" w:rsidRDefault="00A764EF" w:rsidP="00A764EF">
      <w:pPr>
        <w:rPr>
          <w:rFonts w:ascii="Open Sans" w:hAnsi="Open Sans" w:cs="Arial"/>
          <w:bCs/>
          <w:sz w:val="22"/>
          <w:szCs w:val="22"/>
        </w:rPr>
      </w:pPr>
    </w:p>
    <w:p w14:paraId="7076436C" w14:textId="77777777" w:rsidR="00A764EF" w:rsidRPr="006A676D" w:rsidRDefault="00A764EF" w:rsidP="00A764EF">
      <w:pPr>
        <w:pStyle w:val="Default"/>
        <w:jc w:val="both"/>
        <w:rPr>
          <w:rFonts w:ascii="Open Sans" w:hAnsi="Open Sans" w:cs="Open Sans"/>
          <w:color w:val="auto"/>
          <w:sz w:val="20"/>
          <w:szCs w:val="20"/>
        </w:rPr>
      </w:pPr>
      <w:r w:rsidRPr="006A676D">
        <w:rPr>
          <w:rFonts w:ascii="Open Sans" w:hAnsi="Open Sans" w:cs="Open Sans"/>
          <w:color w:val="auto"/>
          <w:sz w:val="20"/>
          <w:szCs w:val="20"/>
        </w:rPr>
        <w:t xml:space="preserve">La valoración global de la transparencia de Indra en el ámbito fiscal es de </w:t>
      </w:r>
      <w:r w:rsidRPr="006A676D">
        <w:rPr>
          <w:rFonts w:ascii="Open Sans" w:hAnsi="Open Sans" w:cs="Open Sans"/>
          <w:b/>
          <w:color w:val="auto"/>
          <w:sz w:val="20"/>
          <w:szCs w:val="20"/>
        </w:rPr>
        <w:t>0,52</w:t>
      </w:r>
      <w:r w:rsidRPr="006A676D">
        <w:rPr>
          <w:rFonts w:ascii="Open Sans" w:hAnsi="Open Sans" w:cs="Open Sans"/>
          <w:color w:val="auto"/>
          <w:sz w:val="20"/>
          <w:szCs w:val="20"/>
        </w:rPr>
        <w:t xml:space="preserve"> sobre un máximo de 3, lo que equivale a una </w:t>
      </w:r>
      <w:r w:rsidRPr="006A676D">
        <w:rPr>
          <w:rFonts w:ascii="Open Sans" w:hAnsi="Open Sans" w:cs="Open Sans"/>
          <w:i/>
          <w:color w:val="auto"/>
          <w:sz w:val="20"/>
          <w:szCs w:val="20"/>
        </w:rPr>
        <w:t>información escasa</w:t>
      </w:r>
      <w:r w:rsidRPr="006A676D">
        <w:rPr>
          <w:rFonts w:ascii="Open Sans" w:hAnsi="Open Sans" w:cs="Open Sans"/>
          <w:color w:val="auto"/>
          <w:sz w:val="20"/>
          <w:szCs w:val="20"/>
        </w:rPr>
        <w:t xml:space="preserve"> de acuerdo con la metodología utilizada. De las dimensiones analizadas, la máxima puntuación se obtiene en los aspectos relacionados con “paraísos y nichos fiscales” (1,00), seguidos por “impuestos e incentivos” (0,67), “relaciones con Administraciones Tributarias” (0,20) y “política y estrategia fiscal” (0,20). </w:t>
      </w:r>
    </w:p>
    <w:p w14:paraId="0405694B" w14:textId="77777777" w:rsidR="00A764EF" w:rsidRPr="006A676D" w:rsidRDefault="00A764EF" w:rsidP="00A764EF">
      <w:pPr>
        <w:pStyle w:val="Default"/>
        <w:jc w:val="both"/>
        <w:rPr>
          <w:rFonts w:ascii="Open Sans" w:hAnsi="Open Sans" w:cs="Open Sans"/>
          <w:b/>
          <w:color w:val="auto"/>
          <w:sz w:val="20"/>
          <w:szCs w:val="20"/>
        </w:rPr>
      </w:pPr>
    </w:p>
    <w:p w14:paraId="5EA51AD1" w14:textId="77777777" w:rsidR="00A764EF" w:rsidRPr="006A676D" w:rsidRDefault="00A764EF" w:rsidP="00A764EF">
      <w:pPr>
        <w:pStyle w:val="Default"/>
        <w:jc w:val="both"/>
        <w:rPr>
          <w:rFonts w:ascii="Open Sans" w:hAnsi="Open Sans"/>
          <w:bCs/>
          <w:color w:val="auto"/>
          <w:sz w:val="20"/>
          <w:szCs w:val="20"/>
        </w:rPr>
      </w:pPr>
      <w:r w:rsidRPr="006A676D">
        <w:rPr>
          <w:rFonts w:ascii="Open Sans" w:hAnsi="Open Sans"/>
          <w:bCs/>
          <w:color w:val="auto"/>
          <w:sz w:val="20"/>
          <w:szCs w:val="20"/>
        </w:rPr>
        <w:t xml:space="preserve">Indra en los últimos años ha realizado mejoras en la comunicación sobre materia fiscal hacia sus grupos de interés, incluyendo información sobre fiscalidad y operativa en paraísos fiscales en su </w:t>
      </w:r>
      <w:r w:rsidRPr="006A676D">
        <w:rPr>
          <w:rFonts w:ascii="Open Sans" w:hAnsi="Open Sans"/>
          <w:sz w:val="20"/>
          <w:szCs w:val="20"/>
        </w:rPr>
        <w:t xml:space="preserve">Informe Anual de Responsabilidad Social Corporativa, aspecto considerado muy positivo pues el acceso a esta información es más fácil para sus diferentes grupos de interés.  Sin embargo aún existe un amplio margen de mejora para que esta información sea de utilidad al lector. </w:t>
      </w:r>
    </w:p>
    <w:p w14:paraId="7F02A315" w14:textId="77777777" w:rsidR="00A764EF" w:rsidRPr="006A676D" w:rsidRDefault="00A764EF" w:rsidP="00A764EF">
      <w:pPr>
        <w:pStyle w:val="Default"/>
        <w:jc w:val="both"/>
        <w:rPr>
          <w:rFonts w:ascii="Open Sans" w:hAnsi="Open Sans"/>
          <w:bCs/>
          <w:color w:val="auto"/>
          <w:sz w:val="20"/>
          <w:szCs w:val="20"/>
        </w:rPr>
      </w:pPr>
    </w:p>
    <w:p w14:paraId="233750B2" w14:textId="77777777" w:rsidR="00A764EF" w:rsidRPr="006A676D" w:rsidRDefault="00A764EF" w:rsidP="00A764EF">
      <w:pPr>
        <w:pStyle w:val="Default"/>
        <w:jc w:val="both"/>
        <w:rPr>
          <w:rFonts w:ascii="Open Sans" w:hAnsi="Open Sans"/>
          <w:bCs/>
          <w:color w:val="auto"/>
          <w:sz w:val="20"/>
          <w:szCs w:val="20"/>
        </w:rPr>
      </w:pPr>
      <w:r w:rsidRPr="006A676D">
        <w:rPr>
          <w:rFonts w:ascii="Open Sans" w:hAnsi="Open Sans"/>
          <w:bCs/>
          <w:color w:val="auto"/>
          <w:sz w:val="20"/>
          <w:szCs w:val="20"/>
        </w:rPr>
        <w:t xml:space="preserve">La información que Indra aporta sobre su actuación en materia fiscal está por debajo de lo que sería de esperar de una empresa de su tamaño, internacionalización y cotizada en bolsa, pues tras varios años de análisis se sigue evidenciando falta de desglose de la información país a país para la mayoría de los indicadores analizados y escasa explicación y detalle de algunos contenidos más allá de los compromisos adquiridos que imposibilita al lector conocer el desempeño real de la compañía en materia fiscal.  </w:t>
      </w:r>
    </w:p>
    <w:p w14:paraId="1C1F7E14" w14:textId="77777777" w:rsidR="00A764EF" w:rsidRPr="006A676D" w:rsidRDefault="00A764EF" w:rsidP="00A764EF">
      <w:pPr>
        <w:pStyle w:val="Default"/>
        <w:jc w:val="both"/>
        <w:rPr>
          <w:rFonts w:ascii="Open Sans" w:hAnsi="Open Sans"/>
          <w:bCs/>
          <w:color w:val="auto"/>
          <w:sz w:val="20"/>
          <w:szCs w:val="20"/>
        </w:rPr>
      </w:pPr>
    </w:p>
    <w:p w14:paraId="7F348EB1" w14:textId="77777777" w:rsidR="00A764EF" w:rsidRPr="006A676D" w:rsidRDefault="00A764EF" w:rsidP="00A764EF">
      <w:pPr>
        <w:jc w:val="both"/>
        <w:rPr>
          <w:rFonts w:ascii="Open Sans" w:hAnsi="Open Sans" w:cs="Arial"/>
          <w:sz w:val="20"/>
          <w:szCs w:val="20"/>
        </w:rPr>
      </w:pPr>
      <w:r w:rsidRPr="006A676D">
        <w:rPr>
          <w:rFonts w:ascii="Open Sans" w:hAnsi="Open Sans"/>
          <w:bCs/>
          <w:sz w:val="20"/>
          <w:szCs w:val="20"/>
        </w:rPr>
        <w:t xml:space="preserve">En cuanto al grado de profundidad de la información que la empresa aporta aún le queda mucho margen ya que </w:t>
      </w:r>
      <w:r w:rsidRPr="006A676D">
        <w:rPr>
          <w:rFonts w:ascii="Open Sans" w:hAnsi="Open Sans" w:cs="Arial"/>
          <w:sz w:val="20"/>
          <w:szCs w:val="20"/>
        </w:rPr>
        <w:t>para la mayoría de los indicadores analizados (a excepción de algunos indicadores sobre paraísos fiscales) no existe un desglose por país que permita conocer el impacto real de la compañía en los diferentes contextos geográficos en los que actúa.</w:t>
      </w:r>
    </w:p>
    <w:p w14:paraId="1E531CCE" w14:textId="77777777" w:rsidR="00A764EF" w:rsidRPr="006A676D" w:rsidRDefault="00A764EF" w:rsidP="00A764EF">
      <w:pPr>
        <w:jc w:val="both"/>
        <w:rPr>
          <w:rFonts w:ascii="Open Sans" w:hAnsi="Open Sans" w:cs="Arial"/>
          <w:sz w:val="20"/>
          <w:szCs w:val="20"/>
        </w:rPr>
      </w:pPr>
    </w:p>
    <w:p w14:paraId="7584D217" w14:textId="77777777" w:rsidR="00A764EF" w:rsidRPr="006A676D" w:rsidRDefault="00A764EF" w:rsidP="00A764EF">
      <w:pPr>
        <w:jc w:val="both"/>
        <w:rPr>
          <w:rFonts w:ascii="Open Sans" w:hAnsi="Open Sans" w:cs="Arial"/>
          <w:sz w:val="20"/>
          <w:szCs w:val="20"/>
        </w:rPr>
      </w:pPr>
      <w:r w:rsidRPr="006A676D">
        <w:rPr>
          <w:rFonts w:ascii="Open Sans" w:hAnsi="Open Sans" w:cs="Arial"/>
          <w:sz w:val="20"/>
          <w:szCs w:val="20"/>
        </w:rPr>
        <w:t>La fiscalidad responsable es un aspecto cada vez más material para todas las empresas y para sus grupos de interés, sobre todo si éstas están cotizadas y más si son de titularidad pública, por lo que no se entiende que este aspecto haya dejado de ser material para la empresa. Además este aspecto ha transcendido en los últimos años a las agendas públicas y desde la Comisión Europea</w:t>
      </w:r>
      <w:r w:rsidRPr="006A676D">
        <w:rPr>
          <w:rStyle w:val="Refdenotaalpie"/>
          <w:rFonts w:ascii="Open Sans" w:hAnsi="Open Sans" w:cs="Arial"/>
          <w:sz w:val="20"/>
          <w:szCs w:val="20"/>
        </w:rPr>
        <w:footnoteReference w:id="576"/>
      </w:r>
      <w:r w:rsidRPr="006A676D">
        <w:rPr>
          <w:rFonts w:ascii="Open Sans" w:hAnsi="Open Sans" w:cs="Arial"/>
          <w:sz w:val="20"/>
          <w:szCs w:val="20"/>
        </w:rPr>
        <w:t>, OCDE</w:t>
      </w:r>
      <w:r w:rsidRPr="006A676D">
        <w:rPr>
          <w:rStyle w:val="Refdenotaalpie"/>
          <w:rFonts w:ascii="Open Sans" w:hAnsi="Open Sans" w:cs="Arial"/>
          <w:sz w:val="20"/>
          <w:szCs w:val="20"/>
        </w:rPr>
        <w:footnoteReference w:id="577"/>
      </w:r>
      <w:r w:rsidRPr="006A676D">
        <w:rPr>
          <w:rFonts w:ascii="Open Sans" w:hAnsi="Open Sans" w:cs="Arial"/>
          <w:sz w:val="20"/>
          <w:szCs w:val="20"/>
        </w:rPr>
        <w:t xml:space="preserve"> y otras instituciones</w:t>
      </w:r>
      <w:r w:rsidRPr="006A676D">
        <w:rPr>
          <w:rStyle w:val="Refdenotaalpie"/>
          <w:rFonts w:ascii="Open Sans" w:hAnsi="Open Sans" w:cs="Arial"/>
          <w:sz w:val="20"/>
          <w:szCs w:val="20"/>
        </w:rPr>
        <w:footnoteReference w:id="578"/>
      </w:r>
      <w:r w:rsidRPr="006A676D">
        <w:rPr>
          <w:rFonts w:ascii="Open Sans" w:hAnsi="Open Sans" w:cs="Arial"/>
          <w:sz w:val="20"/>
          <w:szCs w:val="20"/>
        </w:rPr>
        <w:t xml:space="preserve"> se está trabajando para que las empresas estén obligadas a aportar mayor información. </w:t>
      </w:r>
    </w:p>
    <w:p w14:paraId="037CB299" w14:textId="77777777" w:rsidR="00A764EF" w:rsidRPr="006A676D" w:rsidRDefault="00A764EF" w:rsidP="00A764EF">
      <w:pPr>
        <w:jc w:val="both"/>
        <w:rPr>
          <w:rFonts w:ascii="Open Sans" w:hAnsi="Open Sans" w:cs="Arial"/>
          <w:sz w:val="20"/>
          <w:szCs w:val="20"/>
        </w:rPr>
      </w:pPr>
    </w:p>
    <w:p w14:paraId="61DC3CF8" w14:textId="77777777" w:rsidR="00A764EF" w:rsidRPr="006A676D" w:rsidRDefault="00A764EF" w:rsidP="00A764EF">
      <w:pPr>
        <w:jc w:val="both"/>
        <w:rPr>
          <w:rFonts w:ascii="Open Sans" w:hAnsi="Open Sans" w:cs="Arial"/>
          <w:sz w:val="20"/>
          <w:szCs w:val="20"/>
          <w:highlight w:val="yellow"/>
        </w:rPr>
      </w:pPr>
      <w:r w:rsidRPr="006A676D">
        <w:rPr>
          <w:rFonts w:ascii="Open Sans" w:hAnsi="Open Sans" w:cs="Arial"/>
          <w:sz w:val="20"/>
          <w:szCs w:val="20"/>
        </w:rPr>
        <w:t>Indra pone como ejemplo de integración de las expectativas de los grupos de interés la inclusión de una tabla resumen de la contribución fiscal por países, “</w:t>
      </w:r>
      <w:r w:rsidRPr="006A676D">
        <w:rPr>
          <w:rFonts w:ascii="Open Sans" w:hAnsi="Open Sans" w:cs="Arial"/>
          <w:i/>
          <w:sz w:val="20"/>
          <w:szCs w:val="20"/>
        </w:rPr>
        <w:t>como respuesta de la demanda de diversos grupos de interés y anticipándose a posibles requisitos legales”</w:t>
      </w:r>
      <w:r w:rsidRPr="006A676D">
        <w:rPr>
          <w:rFonts w:ascii="Open Sans" w:hAnsi="Open Sans" w:cs="Arial"/>
          <w:sz w:val="20"/>
          <w:szCs w:val="20"/>
        </w:rPr>
        <w:t>. Aspecto que muchos grupos de interés consideramos un avance pero que para una verdadera rendición de cuentas debería incorporar además un desglose de mayor información si se quiere ajustar a los futuros requisitos legales</w:t>
      </w:r>
      <w:r w:rsidRPr="006A676D">
        <w:rPr>
          <w:rStyle w:val="Refdenotaalpie"/>
          <w:rFonts w:ascii="Open Sans" w:hAnsi="Open Sans" w:cs="Arial"/>
          <w:sz w:val="20"/>
          <w:szCs w:val="20"/>
        </w:rPr>
        <w:footnoteReference w:id="579"/>
      </w:r>
      <w:r w:rsidRPr="006A676D">
        <w:rPr>
          <w:rFonts w:ascii="Open Sans" w:hAnsi="Open Sans" w:cs="Arial"/>
          <w:sz w:val="20"/>
          <w:szCs w:val="20"/>
        </w:rPr>
        <w:t xml:space="preserve">. Además no se trata solamente de aportar datos sino hacerlo de una forma que resulte comprensible y útil para los interesados. En este caso como se ha comentado previamente si bien la información se da por país no se aporta los tipos de impuestos que </w:t>
      </w:r>
      <w:proofErr w:type="gramStart"/>
      <w:r w:rsidRPr="006A676D">
        <w:rPr>
          <w:rFonts w:ascii="Open Sans" w:hAnsi="Open Sans" w:cs="Arial"/>
          <w:sz w:val="20"/>
          <w:szCs w:val="20"/>
        </w:rPr>
        <w:t>comprende</w:t>
      </w:r>
      <w:proofErr w:type="gramEnd"/>
      <w:r w:rsidRPr="006A676D">
        <w:rPr>
          <w:rFonts w:ascii="Open Sans" w:hAnsi="Open Sans" w:cs="Arial"/>
          <w:sz w:val="20"/>
          <w:szCs w:val="20"/>
        </w:rPr>
        <w:t xml:space="preserve"> las definiciones impuestos propios e impuestos de terceros.</w:t>
      </w:r>
    </w:p>
    <w:p w14:paraId="22236E34" w14:textId="77777777" w:rsidR="00F83100" w:rsidRDefault="00F83100" w:rsidP="00F83100">
      <w:pPr>
        <w:jc w:val="both"/>
        <w:rPr>
          <w:rFonts w:ascii="Open Sans" w:hAnsi="Open Sans" w:cs="Arial"/>
          <w:sz w:val="20"/>
          <w:szCs w:val="20"/>
        </w:rPr>
      </w:pPr>
    </w:p>
    <w:p w14:paraId="2546A2F7" w14:textId="77777777" w:rsidR="003306DB" w:rsidRDefault="003306DB"/>
    <w:p w14:paraId="21E6A12B" w14:textId="27C1B462" w:rsidR="003306DB" w:rsidRDefault="003306DB">
      <w:r>
        <w:br w:type="page"/>
      </w:r>
    </w:p>
    <w:p w14:paraId="4ED80BB1" w14:textId="77777777" w:rsidR="00473ED5" w:rsidRPr="00B83DE6" w:rsidRDefault="00473ED5" w:rsidP="00473ED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103" w:name="Telefonica"/>
      <w:r w:rsidRPr="00B83DE6">
        <w:rPr>
          <w:rFonts w:ascii="Open Sans" w:hAnsi="Open Sans" w:cs="Arial"/>
          <w:b/>
          <w:caps/>
          <w:color w:val="FFFFFF"/>
        </w:rPr>
        <w:t>Telefonica s.a.</w:t>
      </w:r>
    </w:p>
    <w:bookmarkEnd w:id="103"/>
    <w:p w14:paraId="51456967" w14:textId="77777777" w:rsidR="00473ED5" w:rsidRPr="00B83DE6" w:rsidRDefault="00473ED5" w:rsidP="00473ED5">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sidRPr="00B83DE6">
        <w:rPr>
          <w:rFonts w:ascii="Open Sans" w:hAnsi="Open Sans" w:cs="Arial"/>
          <w:b/>
          <w:i/>
          <w:color w:val="FFFFFF"/>
        </w:rPr>
        <w:t>Telefónica</w:t>
      </w:r>
    </w:p>
    <w:p w14:paraId="0C3D2F10" w14:textId="77777777" w:rsidR="00473ED5" w:rsidRDefault="00473ED5" w:rsidP="00473ED5">
      <w:pPr>
        <w:jc w:val="both"/>
        <w:outlineLvl w:val="5"/>
        <w:rPr>
          <w:rFonts w:ascii="Open Sans" w:hAnsi="Open Sans" w:cs="Arial"/>
          <w:b/>
          <w:sz w:val="22"/>
          <w:szCs w:val="22"/>
          <w:u w:val="single"/>
        </w:rPr>
      </w:pPr>
    </w:p>
    <w:p w14:paraId="479FCE73" w14:textId="77777777" w:rsidR="00A764EF" w:rsidRDefault="00A764EF">
      <w:pPr>
        <w:rPr>
          <w:rFonts w:ascii="Open Sans" w:hAnsi="Open Sans" w:cs="Arial"/>
          <w:sz w:val="20"/>
          <w:szCs w:val="20"/>
        </w:rPr>
      </w:pPr>
    </w:p>
    <w:p w14:paraId="57376D21" w14:textId="77777777" w:rsidR="00A764EF" w:rsidRPr="001F19B5" w:rsidRDefault="00A764EF" w:rsidP="00A764EF">
      <w:pPr>
        <w:spacing w:before="360"/>
        <w:jc w:val="both"/>
        <w:outlineLvl w:val="5"/>
        <w:rPr>
          <w:rFonts w:ascii="Open Sans" w:hAnsi="Open Sans" w:cs="Arial"/>
          <w:b/>
          <w:sz w:val="22"/>
          <w:szCs w:val="22"/>
          <w:u w:val="single"/>
        </w:rPr>
      </w:pPr>
      <w:r w:rsidRPr="001F19B5">
        <w:rPr>
          <w:rFonts w:ascii="Open Sans" w:hAnsi="Open Sans" w:cs="Arial"/>
          <w:b/>
          <w:sz w:val="22"/>
          <w:szCs w:val="22"/>
          <w:u w:val="single"/>
        </w:rPr>
        <w:t>1. Datos generales de la entidad</w:t>
      </w:r>
    </w:p>
    <w:p w14:paraId="7DAC253D" w14:textId="77777777" w:rsidR="00A764EF" w:rsidRDefault="00A764EF" w:rsidP="00A764EF"/>
    <w:p w14:paraId="0462619C" w14:textId="77777777" w:rsidR="00A764EF" w:rsidRPr="00A764EF" w:rsidRDefault="00A764EF" w:rsidP="00A764EF">
      <w:pPr>
        <w:jc w:val="both"/>
        <w:rPr>
          <w:rFonts w:ascii="Open Sans" w:hAnsi="Open Sans" w:cs="Arial"/>
          <w:sz w:val="20"/>
          <w:szCs w:val="20"/>
          <w:u w:val="single"/>
        </w:rPr>
      </w:pPr>
      <w:r w:rsidRPr="00A764EF">
        <w:rPr>
          <w:rFonts w:ascii="Open Sans" w:hAnsi="Open Sans" w:cs="Arial"/>
          <w:sz w:val="20"/>
          <w:szCs w:val="20"/>
          <w:u w:val="single"/>
        </w:rPr>
        <w:t>Productos/servicios</w:t>
      </w:r>
    </w:p>
    <w:p w14:paraId="4D47503F" w14:textId="77777777" w:rsidR="00A764EF" w:rsidRPr="001F19B5" w:rsidRDefault="00A764EF" w:rsidP="00A764EF">
      <w:pPr>
        <w:rPr>
          <w:rFonts w:ascii="Open Sans" w:hAnsi="Open Sans"/>
        </w:rPr>
      </w:pPr>
    </w:p>
    <w:p w14:paraId="43DE7207" w14:textId="77777777" w:rsidR="00A764EF" w:rsidRPr="001F19B5" w:rsidRDefault="00A764EF" w:rsidP="00A764EF">
      <w:pPr>
        <w:autoSpaceDE w:val="0"/>
        <w:autoSpaceDN w:val="0"/>
        <w:adjustRightInd w:val="0"/>
        <w:jc w:val="both"/>
        <w:rPr>
          <w:rFonts w:ascii="Open Sans" w:hAnsi="Open Sans" w:cs="Arial"/>
          <w:sz w:val="20"/>
          <w:szCs w:val="20"/>
        </w:rPr>
      </w:pPr>
      <w:r w:rsidRPr="001F19B5">
        <w:rPr>
          <w:rFonts w:ascii="Open Sans" w:hAnsi="Open Sans" w:cs="Arial"/>
          <w:sz w:val="20"/>
          <w:szCs w:val="20"/>
        </w:rPr>
        <w:t>Telefónica, S.A. y sus sociedades filiales y participadas constituyen un grupo integrado y diversificado de telecomunicaciones que opera principalmente en Europa y Latinoamérica. Su actividad se centra en la oferta de servicios de: telefonía fija y móvil, banda ancha, internet, datos, televisión de pago y otros servicios digitales</w:t>
      </w:r>
    </w:p>
    <w:p w14:paraId="47C95B06" w14:textId="77777777" w:rsidR="00A764EF" w:rsidRPr="001F19B5" w:rsidRDefault="00A764EF" w:rsidP="00A764EF">
      <w:pPr>
        <w:pStyle w:val="Default"/>
        <w:spacing w:before="120"/>
        <w:rPr>
          <w:rFonts w:ascii="Open Sans" w:hAnsi="Open Sans" w:cs="Arial"/>
          <w:b/>
          <w:bCs/>
          <w:color w:val="auto"/>
          <w:sz w:val="20"/>
          <w:szCs w:val="20"/>
        </w:rPr>
      </w:pPr>
      <w:r w:rsidRPr="001F19B5">
        <w:rPr>
          <w:rFonts w:ascii="Open Sans" w:hAnsi="Open Sans" w:cs="Arial"/>
          <w:b/>
          <w:bCs/>
          <w:color w:val="auto"/>
          <w:sz w:val="20"/>
          <w:szCs w:val="20"/>
        </w:rPr>
        <w:t xml:space="preserve">Negocio móvil </w:t>
      </w:r>
    </w:p>
    <w:p w14:paraId="12B5BEEA" w14:textId="77777777" w:rsidR="00A764EF" w:rsidRPr="001F19B5" w:rsidRDefault="00A764EF" w:rsidP="000B70C9">
      <w:pPr>
        <w:pStyle w:val="Pa21"/>
        <w:numPr>
          <w:ilvl w:val="0"/>
          <w:numId w:val="54"/>
        </w:numPr>
        <w:spacing w:line="240" w:lineRule="auto"/>
        <w:rPr>
          <w:rFonts w:ascii="Open Sans" w:hAnsi="Open Sans" w:cs="Arial"/>
          <w:bCs/>
          <w:sz w:val="20"/>
          <w:szCs w:val="20"/>
        </w:rPr>
      </w:pPr>
      <w:r w:rsidRPr="001F19B5">
        <w:rPr>
          <w:rFonts w:ascii="Open Sans" w:hAnsi="Open Sans" w:cs="Arial"/>
          <w:bCs/>
          <w:sz w:val="20"/>
          <w:szCs w:val="20"/>
        </w:rPr>
        <w:t>Servicio de voz móvil</w:t>
      </w:r>
    </w:p>
    <w:p w14:paraId="6169C04B" w14:textId="77777777" w:rsidR="00A764EF" w:rsidRPr="001F19B5" w:rsidRDefault="00A764EF" w:rsidP="000B70C9">
      <w:pPr>
        <w:pStyle w:val="Pa21"/>
        <w:numPr>
          <w:ilvl w:val="0"/>
          <w:numId w:val="54"/>
        </w:numPr>
        <w:spacing w:line="240" w:lineRule="auto"/>
        <w:rPr>
          <w:rFonts w:ascii="Open Sans" w:hAnsi="Open Sans" w:cs="Arial"/>
          <w:sz w:val="20"/>
          <w:szCs w:val="20"/>
        </w:rPr>
      </w:pPr>
      <w:r w:rsidRPr="001F19B5">
        <w:rPr>
          <w:rFonts w:ascii="Open Sans" w:hAnsi="Open Sans" w:cs="Arial"/>
          <w:bCs/>
          <w:sz w:val="20"/>
          <w:szCs w:val="20"/>
        </w:rPr>
        <w:t>Servicios de valor añadido (</w:t>
      </w:r>
      <w:r w:rsidRPr="001F19B5">
        <w:rPr>
          <w:rFonts w:ascii="Open Sans" w:hAnsi="Open Sans" w:cs="Arial"/>
          <w:sz w:val="20"/>
          <w:szCs w:val="20"/>
        </w:rPr>
        <w:t xml:space="preserve">mensajes de voz, llamada en espera, desvío de llamadas y llamadas de tres vías). </w:t>
      </w:r>
    </w:p>
    <w:p w14:paraId="3102DA4F" w14:textId="77777777" w:rsidR="00A764EF" w:rsidRPr="001F19B5" w:rsidRDefault="00A764EF" w:rsidP="000B70C9">
      <w:pPr>
        <w:pStyle w:val="Pa21"/>
        <w:numPr>
          <w:ilvl w:val="0"/>
          <w:numId w:val="54"/>
        </w:numPr>
        <w:spacing w:line="240" w:lineRule="auto"/>
        <w:rPr>
          <w:rFonts w:ascii="Open Sans" w:hAnsi="Open Sans" w:cs="Arial"/>
          <w:sz w:val="20"/>
          <w:szCs w:val="20"/>
        </w:rPr>
      </w:pPr>
      <w:r w:rsidRPr="001F19B5">
        <w:rPr>
          <w:rFonts w:ascii="Open Sans" w:hAnsi="Open Sans" w:cs="Arial"/>
          <w:bCs/>
          <w:sz w:val="20"/>
          <w:szCs w:val="20"/>
        </w:rPr>
        <w:t>Servicios de datos e internet móvil</w:t>
      </w:r>
    </w:p>
    <w:p w14:paraId="557DD31A" w14:textId="77777777" w:rsidR="00A764EF" w:rsidRPr="001F19B5" w:rsidRDefault="00A764EF" w:rsidP="000B70C9">
      <w:pPr>
        <w:pStyle w:val="Pa21"/>
        <w:numPr>
          <w:ilvl w:val="0"/>
          <w:numId w:val="54"/>
        </w:numPr>
        <w:spacing w:line="240" w:lineRule="auto"/>
        <w:rPr>
          <w:rFonts w:ascii="Open Sans" w:hAnsi="Open Sans" w:cs="Arial"/>
          <w:sz w:val="20"/>
          <w:szCs w:val="20"/>
        </w:rPr>
      </w:pPr>
      <w:r w:rsidRPr="001F19B5">
        <w:rPr>
          <w:rFonts w:ascii="Open Sans" w:hAnsi="Open Sans" w:cs="Arial"/>
          <w:bCs/>
          <w:sz w:val="20"/>
          <w:szCs w:val="20"/>
        </w:rPr>
        <w:t>Servicios mayoristas (</w:t>
      </w:r>
      <w:r w:rsidRPr="001F19B5">
        <w:rPr>
          <w:rFonts w:ascii="Open Sans" w:hAnsi="Open Sans" w:cs="Arial"/>
          <w:sz w:val="20"/>
          <w:szCs w:val="20"/>
        </w:rPr>
        <w:t xml:space="preserve">acuerdos de uso de red con distintos MVNOs en varios países). </w:t>
      </w:r>
    </w:p>
    <w:p w14:paraId="57187472" w14:textId="77777777" w:rsidR="00A764EF" w:rsidRPr="001F19B5" w:rsidRDefault="00A764EF" w:rsidP="000B70C9">
      <w:pPr>
        <w:pStyle w:val="Pa21"/>
        <w:numPr>
          <w:ilvl w:val="0"/>
          <w:numId w:val="54"/>
        </w:numPr>
        <w:spacing w:line="240" w:lineRule="auto"/>
        <w:rPr>
          <w:rFonts w:ascii="Open Sans" w:hAnsi="Open Sans" w:cs="Arial"/>
          <w:sz w:val="20"/>
          <w:szCs w:val="20"/>
        </w:rPr>
      </w:pPr>
      <w:r w:rsidRPr="001F19B5">
        <w:rPr>
          <w:rFonts w:ascii="Open Sans" w:hAnsi="Open Sans" w:cs="Arial"/>
          <w:bCs/>
          <w:sz w:val="20"/>
          <w:szCs w:val="20"/>
        </w:rPr>
        <w:t>Servicios corporativos (</w:t>
      </w:r>
      <w:r w:rsidRPr="001F19B5">
        <w:rPr>
          <w:rFonts w:ascii="Open Sans" w:hAnsi="Open Sans" w:cs="Arial"/>
          <w:sz w:val="20"/>
          <w:szCs w:val="20"/>
        </w:rPr>
        <w:t xml:space="preserve">soluciones de negocios, incluyendo infraestructuras móviles en oficinas, redes privadas y portales para clientes corporativos). </w:t>
      </w:r>
    </w:p>
    <w:p w14:paraId="603817BF" w14:textId="77777777" w:rsidR="00A764EF" w:rsidRPr="001F19B5" w:rsidRDefault="00A764EF" w:rsidP="000B70C9">
      <w:pPr>
        <w:pStyle w:val="Pa21"/>
        <w:numPr>
          <w:ilvl w:val="0"/>
          <w:numId w:val="54"/>
        </w:numPr>
        <w:spacing w:line="240" w:lineRule="auto"/>
        <w:rPr>
          <w:rFonts w:ascii="Open Sans" w:hAnsi="Open Sans" w:cs="Arial"/>
          <w:sz w:val="20"/>
          <w:szCs w:val="20"/>
        </w:rPr>
      </w:pPr>
      <w:r w:rsidRPr="001F19B5">
        <w:rPr>
          <w:rFonts w:ascii="Open Sans" w:hAnsi="Open Sans" w:cs="Arial"/>
          <w:bCs/>
          <w:sz w:val="20"/>
          <w:szCs w:val="20"/>
        </w:rPr>
        <w:t>Roaming</w:t>
      </w:r>
    </w:p>
    <w:p w14:paraId="62F3EE86" w14:textId="77777777" w:rsidR="00A764EF" w:rsidRPr="001F19B5" w:rsidRDefault="00A764EF" w:rsidP="000B70C9">
      <w:pPr>
        <w:pStyle w:val="Pa21"/>
        <w:numPr>
          <w:ilvl w:val="0"/>
          <w:numId w:val="54"/>
        </w:numPr>
        <w:spacing w:line="240" w:lineRule="auto"/>
        <w:rPr>
          <w:rFonts w:ascii="Open Sans" w:hAnsi="Open Sans" w:cs="Arial"/>
          <w:sz w:val="20"/>
          <w:szCs w:val="20"/>
        </w:rPr>
      </w:pPr>
      <w:r w:rsidRPr="001F19B5">
        <w:rPr>
          <w:rFonts w:ascii="Open Sans" w:hAnsi="Open Sans" w:cs="Arial"/>
          <w:bCs/>
          <w:sz w:val="20"/>
          <w:szCs w:val="20"/>
        </w:rPr>
        <w:t xml:space="preserve">Fixed Wireless </w:t>
      </w:r>
      <w:r w:rsidRPr="001F19B5">
        <w:rPr>
          <w:rFonts w:ascii="Open Sans" w:hAnsi="Open Sans" w:cs="Arial"/>
          <w:sz w:val="20"/>
          <w:szCs w:val="20"/>
        </w:rPr>
        <w:t>(servicios de telefonía fija a través de la red móvil )</w:t>
      </w:r>
    </w:p>
    <w:p w14:paraId="43127959" w14:textId="77777777" w:rsidR="00A764EF" w:rsidRPr="001F19B5" w:rsidRDefault="00A764EF" w:rsidP="00A764EF">
      <w:pPr>
        <w:pStyle w:val="Default"/>
        <w:rPr>
          <w:rFonts w:ascii="Open Sans" w:hAnsi="Open Sans"/>
        </w:rPr>
      </w:pPr>
    </w:p>
    <w:p w14:paraId="36C63009" w14:textId="77777777" w:rsidR="00A764EF" w:rsidRPr="001F19B5" w:rsidRDefault="00A764EF" w:rsidP="00A764EF">
      <w:pPr>
        <w:pStyle w:val="Pa16"/>
        <w:spacing w:before="120" w:line="240" w:lineRule="auto"/>
        <w:rPr>
          <w:rFonts w:ascii="Open Sans" w:hAnsi="Open Sans" w:cs="Arial"/>
          <w:sz w:val="20"/>
          <w:szCs w:val="20"/>
        </w:rPr>
      </w:pPr>
      <w:r w:rsidRPr="001F19B5">
        <w:rPr>
          <w:rFonts w:ascii="Open Sans" w:hAnsi="Open Sans" w:cs="Arial"/>
          <w:b/>
          <w:bCs/>
          <w:sz w:val="20"/>
          <w:szCs w:val="20"/>
        </w:rPr>
        <w:t xml:space="preserve">Negocio fijo </w:t>
      </w:r>
    </w:p>
    <w:p w14:paraId="6C2DA7E7" w14:textId="77777777" w:rsidR="00A764EF" w:rsidRPr="001F19B5" w:rsidRDefault="00A764EF" w:rsidP="000B70C9">
      <w:pPr>
        <w:pStyle w:val="Pa21"/>
        <w:numPr>
          <w:ilvl w:val="0"/>
          <w:numId w:val="55"/>
        </w:numPr>
        <w:spacing w:line="240" w:lineRule="auto"/>
        <w:rPr>
          <w:rFonts w:ascii="Open Sans" w:hAnsi="Open Sans" w:cs="Arial"/>
          <w:bCs/>
          <w:sz w:val="20"/>
          <w:szCs w:val="20"/>
        </w:rPr>
      </w:pPr>
      <w:r w:rsidRPr="001F19B5">
        <w:rPr>
          <w:rFonts w:ascii="Open Sans" w:hAnsi="Open Sans" w:cs="Arial"/>
          <w:bCs/>
          <w:sz w:val="20"/>
          <w:szCs w:val="20"/>
        </w:rPr>
        <w:t xml:space="preserve">Servicios de comunicación fijo tradicional: </w:t>
      </w:r>
    </w:p>
    <w:p w14:paraId="2E8F3291" w14:textId="77777777" w:rsidR="00A764EF" w:rsidRPr="001F19B5" w:rsidRDefault="00A764EF" w:rsidP="000B70C9">
      <w:pPr>
        <w:pStyle w:val="Pa21"/>
        <w:numPr>
          <w:ilvl w:val="0"/>
          <w:numId w:val="55"/>
        </w:numPr>
        <w:spacing w:line="240" w:lineRule="auto"/>
        <w:rPr>
          <w:rFonts w:ascii="Open Sans" w:hAnsi="Open Sans" w:cs="Arial"/>
          <w:bCs/>
          <w:sz w:val="20"/>
          <w:szCs w:val="20"/>
        </w:rPr>
      </w:pPr>
      <w:r w:rsidRPr="001F19B5">
        <w:rPr>
          <w:rFonts w:ascii="Open Sans" w:hAnsi="Open Sans" w:cs="Arial"/>
          <w:bCs/>
          <w:sz w:val="20"/>
          <w:szCs w:val="20"/>
        </w:rPr>
        <w:t>Servicios multimedia de internet y banda ancha</w:t>
      </w:r>
    </w:p>
    <w:p w14:paraId="4693C303" w14:textId="77777777" w:rsidR="00A764EF" w:rsidRPr="001F19B5" w:rsidRDefault="00A764EF" w:rsidP="000B70C9">
      <w:pPr>
        <w:pStyle w:val="Pa21"/>
        <w:numPr>
          <w:ilvl w:val="0"/>
          <w:numId w:val="55"/>
        </w:numPr>
        <w:spacing w:line="240" w:lineRule="auto"/>
        <w:rPr>
          <w:rFonts w:ascii="Open Sans" w:hAnsi="Open Sans" w:cs="Arial"/>
          <w:bCs/>
          <w:sz w:val="20"/>
          <w:szCs w:val="20"/>
        </w:rPr>
      </w:pPr>
      <w:r w:rsidRPr="001F19B5">
        <w:rPr>
          <w:rFonts w:ascii="Open Sans" w:hAnsi="Open Sans" w:cs="Arial"/>
          <w:bCs/>
          <w:sz w:val="20"/>
          <w:szCs w:val="20"/>
        </w:rPr>
        <w:t>Servicios de datos y soluciones de empresas</w:t>
      </w:r>
    </w:p>
    <w:p w14:paraId="2DAD17DE" w14:textId="77777777" w:rsidR="00A764EF" w:rsidRPr="001F19B5" w:rsidRDefault="00A764EF" w:rsidP="000B70C9">
      <w:pPr>
        <w:pStyle w:val="Pa21"/>
        <w:numPr>
          <w:ilvl w:val="0"/>
          <w:numId w:val="55"/>
        </w:numPr>
        <w:spacing w:line="240" w:lineRule="auto"/>
        <w:rPr>
          <w:rFonts w:ascii="Open Sans" w:hAnsi="Open Sans" w:cs="Arial"/>
          <w:bCs/>
          <w:sz w:val="20"/>
          <w:szCs w:val="20"/>
        </w:rPr>
      </w:pPr>
      <w:r w:rsidRPr="001F19B5">
        <w:rPr>
          <w:rFonts w:ascii="Open Sans" w:hAnsi="Open Sans" w:cs="Arial"/>
          <w:bCs/>
          <w:sz w:val="20"/>
          <w:szCs w:val="20"/>
        </w:rPr>
        <w:t>Servicios mayoristas para operadores de telecomunicaciones</w:t>
      </w:r>
    </w:p>
    <w:p w14:paraId="647967F4" w14:textId="77777777" w:rsidR="00A764EF" w:rsidRPr="001F19B5" w:rsidRDefault="00A764EF" w:rsidP="00A764EF">
      <w:pPr>
        <w:pStyle w:val="Default"/>
        <w:rPr>
          <w:rFonts w:ascii="Open Sans" w:hAnsi="Open Sans"/>
        </w:rPr>
      </w:pPr>
    </w:p>
    <w:p w14:paraId="2095E059" w14:textId="77777777" w:rsidR="00A764EF" w:rsidRPr="001F19B5" w:rsidRDefault="00A764EF" w:rsidP="00A764EF">
      <w:pPr>
        <w:spacing w:before="120"/>
        <w:rPr>
          <w:rFonts w:ascii="Open Sans" w:hAnsi="Open Sans" w:cs="Arial"/>
          <w:b/>
          <w:bCs/>
          <w:color w:val="000000"/>
          <w:sz w:val="20"/>
          <w:szCs w:val="20"/>
        </w:rPr>
      </w:pPr>
      <w:r w:rsidRPr="001F19B5">
        <w:rPr>
          <w:rFonts w:ascii="Open Sans" w:hAnsi="Open Sans" w:cs="Arial"/>
          <w:b/>
          <w:bCs/>
          <w:color w:val="000000"/>
          <w:sz w:val="20"/>
          <w:szCs w:val="20"/>
        </w:rPr>
        <w:t xml:space="preserve">Servicios digitales </w:t>
      </w:r>
    </w:p>
    <w:p w14:paraId="30CC6E9B"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 xml:space="preserve">Servicios de Video/TV: </w:t>
      </w:r>
    </w:p>
    <w:p w14:paraId="2DBBF398"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M2M (soluciones punto a punto)</w:t>
      </w:r>
    </w:p>
    <w:p w14:paraId="1E7CEC68"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 xml:space="preserve">Servicios de E-Health y atención remota </w:t>
      </w:r>
    </w:p>
    <w:p w14:paraId="3986119F"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 xml:space="preserve">Servicios financieros y otros servicios de pago </w:t>
      </w:r>
    </w:p>
    <w:p w14:paraId="675ED14F"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 xml:space="preserve">Servicios de seguridad </w:t>
      </w:r>
    </w:p>
    <w:p w14:paraId="3B90A7A7"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Servicios de Cloud</w:t>
      </w:r>
    </w:p>
    <w:p w14:paraId="377C9759"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 xml:space="preserve">Publicidad (Advertising) </w:t>
      </w:r>
    </w:p>
    <w:p w14:paraId="41C6F777" w14:textId="77777777" w:rsidR="00A764EF" w:rsidRPr="001F19B5" w:rsidRDefault="00A764EF" w:rsidP="000B70C9">
      <w:pPr>
        <w:pStyle w:val="Pa21"/>
        <w:numPr>
          <w:ilvl w:val="0"/>
          <w:numId w:val="56"/>
        </w:numPr>
        <w:spacing w:line="240" w:lineRule="auto"/>
        <w:rPr>
          <w:rFonts w:ascii="Open Sans" w:hAnsi="Open Sans" w:cs="Arial"/>
          <w:bCs/>
          <w:sz w:val="20"/>
          <w:szCs w:val="20"/>
        </w:rPr>
      </w:pPr>
      <w:r w:rsidRPr="001F19B5">
        <w:rPr>
          <w:rFonts w:ascii="Open Sans" w:hAnsi="Open Sans" w:cs="Arial"/>
          <w:bCs/>
          <w:sz w:val="20"/>
          <w:szCs w:val="20"/>
        </w:rPr>
        <w:t>Big Data</w:t>
      </w:r>
    </w:p>
    <w:p w14:paraId="408C3FDB" w14:textId="77777777" w:rsidR="00A764EF" w:rsidRDefault="00A764EF" w:rsidP="00A764EF">
      <w:pPr>
        <w:jc w:val="both"/>
        <w:rPr>
          <w:rFonts w:ascii="Open Sans" w:hAnsi="Open Sans" w:cs="Arial"/>
          <w:sz w:val="20"/>
          <w:szCs w:val="20"/>
          <w:u w:val="single"/>
        </w:rPr>
      </w:pPr>
    </w:p>
    <w:p w14:paraId="5F7A78D1" w14:textId="77777777" w:rsidR="00A764EF" w:rsidRDefault="00A764EF" w:rsidP="00A764EF">
      <w:pPr>
        <w:jc w:val="both"/>
        <w:rPr>
          <w:rFonts w:ascii="Open Sans" w:hAnsi="Open Sans" w:cs="Arial"/>
          <w:sz w:val="20"/>
          <w:szCs w:val="20"/>
          <w:u w:val="single"/>
        </w:rPr>
      </w:pPr>
    </w:p>
    <w:p w14:paraId="09106AAC" w14:textId="77777777" w:rsidR="00A764EF" w:rsidRPr="00A764EF" w:rsidRDefault="00A764EF" w:rsidP="00A764EF">
      <w:pPr>
        <w:jc w:val="both"/>
        <w:rPr>
          <w:rFonts w:ascii="Open Sans" w:hAnsi="Open Sans" w:cs="Arial"/>
          <w:sz w:val="20"/>
          <w:szCs w:val="20"/>
          <w:u w:val="single"/>
        </w:rPr>
      </w:pPr>
      <w:r w:rsidRPr="00A764EF">
        <w:rPr>
          <w:rFonts w:ascii="Open Sans" w:hAnsi="Open Sans" w:cs="Arial"/>
          <w:sz w:val="20"/>
          <w:szCs w:val="20"/>
          <w:u w:val="single"/>
        </w:rPr>
        <w:t xml:space="preserve">Alcance geográfico </w:t>
      </w:r>
    </w:p>
    <w:p w14:paraId="55D9052D" w14:textId="77777777" w:rsidR="00A764EF" w:rsidRPr="001F19B5" w:rsidRDefault="00A764EF" w:rsidP="00A764EF">
      <w:pPr>
        <w:jc w:val="both"/>
        <w:rPr>
          <w:rFonts w:ascii="Open Sans" w:hAnsi="Open Sans" w:cs="Arial"/>
          <w:sz w:val="20"/>
          <w:szCs w:val="20"/>
        </w:rPr>
      </w:pPr>
    </w:p>
    <w:p w14:paraId="01A86E23"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 xml:space="preserve">Según datos de la empresa, Telefónica opera en 16 países. </w:t>
      </w:r>
    </w:p>
    <w:p w14:paraId="3595DF93" w14:textId="77777777" w:rsidR="00A764EF" w:rsidRPr="001F19B5" w:rsidRDefault="00A764EF" w:rsidP="00A764EF">
      <w:pPr>
        <w:jc w:val="both"/>
        <w:rPr>
          <w:rFonts w:ascii="Open Sans" w:hAnsi="Open Sans" w:cs="Arial"/>
          <w:sz w:val="20"/>
          <w:szCs w:val="20"/>
        </w:rPr>
      </w:pPr>
    </w:p>
    <w:p w14:paraId="51AEE058" w14:textId="77777777" w:rsidR="00A764EF" w:rsidRPr="001F19B5" w:rsidRDefault="00A764EF" w:rsidP="000B70C9">
      <w:pPr>
        <w:pStyle w:val="Prrafodelista"/>
        <w:numPr>
          <w:ilvl w:val="0"/>
          <w:numId w:val="57"/>
        </w:numPr>
        <w:jc w:val="both"/>
        <w:rPr>
          <w:rFonts w:ascii="Open Sans" w:hAnsi="Open Sans" w:cs="Arial"/>
          <w:sz w:val="20"/>
          <w:szCs w:val="20"/>
        </w:rPr>
      </w:pPr>
      <w:r w:rsidRPr="001F19B5">
        <w:rPr>
          <w:rFonts w:ascii="Open Sans" w:hAnsi="Open Sans" w:cs="Arial"/>
          <w:sz w:val="20"/>
          <w:szCs w:val="20"/>
          <w:u w:val="single"/>
        </w:rPr>
        <w:t xml:space="preserve">Operaciones en Europa </w:t>
      </w:r>
      <w:r w:rsidRPr="001F19B5">
        <w:rPr>
          <w:rFonts w:ascii="Open Sans" w:hAnsi="Open Sans" w:cs="Arial"/>
          <w:sz w:val="20"/>
          <w:szCs w:val="20"/>
        </w:rPr>
        <w:t>(2): España, Alemania.</w:t>
      </w:r>
    </w:p>
    <w:p w14:paraId="3CE18262" w14:textId="77777777" w:rsidR="00A764EF" w:rsidRPr="001F19B5" w:rsidRDefault="00A764EF" w:rsidP="00A764EF">
      <w:pPr>
        <w:jc w:val="both"/>
        <w:rPr>
          <w:rFonts w:ascii="Open Sans" w:hAnsi="Open Sans" w:cs="Arial"/>
          <w:sz w:val="20"/>
          <w:szCs w:val="20"/>
        </w:rPr>
      </w:pPr>
    </w:p>
    <w:p w14:paraId="3253D174" w14:textId="77777777" w:rsidR="00A764EF" w:rsidRPr="001F19B5" w:rsidRDefault="00A764EF" w:rsidP="000B70C9">
      <w:pPr>
        <w:pStyle w:val="Prrafodelista"/>
        <w:numPr>
          <w:ilvl w:val="0"/>
          <w:numId w:val="57"/>
        </w:numPr>
        <w:jc w:val="both"/>
        <w:rPr>
          <w:rFonts w:ascii="Open Sans" w:hAnsi="Open Sans" w:cs="Arial"/>
          <w:sz w:val="20"/>
          <w:szCs w:val="20"/>
        </w:rPr>
      </w:pPr>
      <w:r w:rsidRPr="001F19B5">
        <w:rPr>
          <w:rFonts w:ascii="Open Sans" w:hAnsi="Open Sans" w:cs="Arial"/>
          <w:sz w:val="20"/>
          <w:szCs w:val="20"/>
          <w:u w:val="single"/>
        </w:rPr>
        <w:t>Operaciones en América</w:t>
      </w:r>
      <w:r w:rsidRPr="001F19B5">
        <w:rPr>
          <w:rFonts w:ascii="Open Sans" w:hAnsi="Open Sans" w:cs="Arial"/>
          <w:sz w:val="20"/>
          <w:szCs w:val="20"/>
        </w:rPr>
        <w:t xml:space="preserve"> (14): Argentina, Brasil, Chile, Colombia, Ecuador, México, Perú, Uruguay, Venezuela, Costa Rica, El Salvador, Guatemala, Nicaragua y Panamá.</w:t>
      </w:r>
    </w:p>
    <w:p w14:paraId="54971F8A"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Además de esos 16 países en los que opera, </w:t>
      </w:r>
      <w:proofErr w:type="gramStart"/>
      <w:r w:rsidRPr="001F19B5">
        <w:rPr>
          <w:rFonts w:ascii="Open Sans" w:hAnsi="Open Sans" w:cs="Arial"/>
          <w:sz w:val="20"/>
          <w:szCs w:val="20"/>
        </w:rPr>
        <w:t>Telefónica ,</w:t>
      </w:r>
      <w:proofErr w:type="gramEnd"/>
      <w:r w:rsidRPr="001F19B5">
        <w:rPr>
          <w:rFonts w:ascii="Open Sans" w:hAnsi="Open Sans" w:cs="Arial"/>
          <w:sz w:val="20"/>
          <w:szCs w:val="20"/>
        </w:rPr>
        <w:t xml:space="preserve"> se señalan  los siguientes cambios en que afectan al perímetro de la información del periodo 2015 : </w:t>
      </w:r>
    </w:p>
    <w:p w14:paraId="44A1C727" w14:textId="77777777" w:rsidR="00A764EF" w:rsidRPr="001F19B5" w:rsidRDefault="00A764EF" w:rsidP="00A764EF">
      <w:pPr>
        <w:spacing w:before="120"/>
        <w:jc w:val="both"/>
        <w:rPr>
          <w:rFonts w:ascii="Open Sans" w:hAnsi="Open Sans" w:cs="Arial"/>
          <w:sz w:val="20"/>
          <w:szCs w:val="20"/>
        </w:rPr>
      </w:pPr>
    </w:p>
    <w:p w14:paraId="0D61EABA" w14:textId="77777777" w:rsidR="00A764EF" w:rsidRPr="001F19B5" w:rsidRDefault="00A764EF" w:rsidP="000B70C9">
      <w:pPr>
        <w:pStyle w:val="Prrafodelista"/>
        <w:numPr>
          <w:ilvl w:val="0"/>
          <w:numId w:val="58"/>
        </w:numPr>
        <w:jc w:val="both"/>
        <w:rPr>
          <w:rFonts w:ascii="Open Sans" w:hAnsi="Open Sans" w:cs="Arial"/>
          <w:sz w:val="20"/>
          <w:szCs w:val="20"/>
        </w:rPr>
      </w:pPr>
      <w:r w:rsidRPr="001F19B5">
        <w:rPr>
          <w:rFonts w:ascii="Open Sans" w:hAnsi="Open Sans" w:cs="Arial"/>
          <w:sz w:val="20"/>
          <w:szCs w:val="20"/>
        </w:rPr>
        <w:t>Desde el primer trimestre de 2015, las operaciones de Telefónica Reino Unido se reportan como operación en discontinuación dentro del Grupo. Sus activos y pasivos son clasificados como "mantenidos para la venta" consecuencia de la firma del acuerdo definitivo de venta de la Compañía en marzo de 2015.</w:t>
      </w:r>
    </w:p>
    <w:p w14:paraId="0076A6F5" w14:textId="77777777" w:rsidR="00A764EF" w:rsidRPr="001F19B5" w:rsidRDefault="00A764EF" w:rsidP="000B70C9">
      <w:pPr>
        <w:pStyle w:val="Prrafodelista"/>
        <w:numPr>
          <w:ilvl w:val="0"/>
          <w:numId w:val="58"/>
        </w:numPr>
        <w:jc w:val="both"/>
        <w:rPr>
          <w:rFonts w:ascii="Open Sans" w:hAnsi="Open Sans" w:cs="Arial"/>
          <w:sz w:val="20"/>
          <w:szCs w:val="20"/>
        </w:rPr>
      </w:pPr>
      <w:r w:rsidRPr="001F19B5">
        <w:rPr>
          <w:rFonts w:ascii="Open Sans" w:hAnsi="Open Sans" w:cs="Arial"/>
          <w:sz w:val="20"/>
          <w:szCs w:val="20"/>
        </w:rPr>
        <w:t xml:space="preserve"> A 30 de junio, ya se había producido la desinversión total en Telecom Italia, S.p.A. </w:t>
      </w:r>
    </w:p>
    <w:p w14:paraId="62EFC01F" w14:textId="77777777" w:rsidR="00A764EF" w:rsidRPr="001F19B5" w:rsidRDefault="00A764EF" w:rsidP="00A764EF">
      <w:pPr>
        <w:pStyle w:val="Prrafodelista"/>
        <w:jc w:val="both"/>
        <w:rPr>
          <w:rFonts w:ascii="Open Sans" w:hAnsi="Open Sans" w:cs="Arial"/>
          <w:sz w:val="20"/>
          <w:szCs w:val="20"/>
        </w:rPr>
      </w:pPr>
    </w:p>
    <w:p w14:paraId="22AA4B2B"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 xml:space="preserve">El perímetro de información de su Informe integrado no incluye China (reclasificadas en 2014 como activos disponibles a la venta). </w:t>
      </w:r>
    </w:p>
    <w:p w14:paraId="7A1270C2" w14:textId="77777777" w:rsidR="00A764EF" w:rsidRPr="001F19B5" w:rsidRDefault="00A764EF" w:rsidP="00A764EF">
      <w:pPr>
        <w:jc w:val="both"/>
        <w:rPr>
          <w:rFonts w:ascii="Open Sans" w:hAnsi="Open Sans" w:cs="Arial"/>
          <w:sz w:val="20"/>
          <w:szCs w:val="20"/>
        </w:rPr>
      </w:pPr>
    </w:p>
    <w:p w14:paraId="307CAEE6" w14:textId="7D7E2FA5" w:rsidR="00A764EF" w:rsidRDefault="00A764EF" w:rsidP="00A764EF">
      <w:pPr>
        <w:jc w:val="both"/>
        <w:rPr>
          <w:rFonts w:ascii="Open Sans" w:hAnsi="Open Sans" w:cs="Arial"/>
          <w:sz w:val="20"/>
          <w:szCs w:val="20"/>
        </w:rPr>
      </w:pPr>
      <w:r w:rsidRPr="001F19B5">
        <w:rPr>
          <w:rFonts w:ascii="Open Sans" w:hAnsi="Open Sans" w:cs="Arial"/>
          <w:sz w:val="20"/>
          <w:szCs w:val="20"/>
        </w:rPr>
        <w:t>Además de en estos países tiene presencia a través de participadas en Holanda, Luxemburgo, Irlanda, Puerto Rico, Islas Vírgenes Británicas e Islas Caimán</w:t>
      </w:r>
      <w:r>
        <w:rPr>
          <w:rFonts w:ascii="Open Sans" w:hAnsi="Open Sans" w:cs="Arial"/>
          <w:sz w:val="20"/>
          <w:szCs w:val="20"/>
        </w:rPr>
        <w:t>.</w:t>
      </w:r>
    </w:p>
    <w:p w14:paraId="63097945" w14:textId="77777777" w:rsidR="00A764EF" w:rsidRDefault="00A764EF" w:rsidP="00A764EF">
      <w:pPr>
        <w:jc w:val="both"/>
        <w:rPr>
          <w:rFonts w:ascii="Open Sans" w:hAnsi="Open Sans" w:cs="Arial"/>
          <w:sz w:val="20"/>
          <w:szCs w:val="20"/>
        </w:rPr>
      </w:pPr>
    </w:p>
    <w:p w14:paraId="4FB65DD1" w14:textId="77777777" w:rsidR="00A764EF" w:rsidRPr="001F19B5" w:rsidRDefault="00A764EF" w:rsidP="00A764EF">
      <w:pPr>
        <w:jc w:val="both"/>
        <w:rPr>
          <w:rFonts w:ascii="Open Sans" w:hAnsi="Open Sans" w:cs="Arial"/>
          <w:sz w:val="20"/>
          <w:szCs w:val="20"/>
        </w:rPr>
      </w:pPr>
    </w:p>
    <w:p w14:paraId="3A4E811A" w14:textId="6CF6B623" w:rsidR="00A764EF" w:rsidRPr="00A764EF" w:rsidRDefault="00A764EF" w:rsidP="00A764EF">
      <w:pPr>
        <w:jc w:val="both"/>
        <w:rPr>
          <w:rFonts w:ascii="Open Sans" w:hAnsi="Open Sans" w:cs="Arial"/>
          <w:sz w:val="20"/>
          <w:szCs w:val="20"/>
          <w:u w:val="single"/>
        </w:rPr>
      </w:pPr>
      <w:r w:rsidRPr="00A764EF">
        <w:rPr>
          <w:rFonts w:ascii="Open Sans" w:hAnsi="Open Sans" w:cs="Arial"/>
          <w:sz w:val="20"/>
          <w:szCs w:val="20"/>
          <w:u w:val="single"/>
        </w:rPr>
        <w:t>Cifras relevantes de la empresa 2015</w:t>
      </w:r>
    </w:p>
    <w:p w14:paraId="70BB8A39" w14:textId="77777777" w:rsidR="00A764EF" w:rsidRPr="001F19B5" w:rsidRDefault="00A764EF" w:rsidP="00A764EF">
      <w:pPr>
        <w:jc w:val="both"/>
        <w:rPr>
          <w:rFonts w:ascii="Open Sans" w:hAnsi="Open Sans" w:cs="Arial"/>
          <w:sz w:val="20"/>
          <w:szCs w:val="20"/>
          <w:u w:val="single"/>
        </w:rPr>
      </w:pPr>
    </w:p>
    <w:p w14:paraId="65B2AD5B" w14:textId="77777777" w:rsidR="00A764EF" w:rsidRPr="001F19B5" w:rsidRDefault="00A764EF" w:rsidP="00A764EF">
      <w:pPr>
        <w:jc w:val="both"/>
        <w:rPr>
          <w:rFonts w:ascii="Open Sans" w:hAnsi="Open Sans" w:cs="Arial"/>
          <w:sz w:val="20"/>
          <w:szCs w:val="20"/>
          <w:u w:val="single"/>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9"/>
        <w:gridCol w:w="2835"/>
      </w:tblGrid>
      <w:tr w:rsidR="00A764EF" w:rsidRPr="001F19B5" w14:paraId="5BDBEF42" w14:textId="77777777" w:rsidTr="00A764EF">
        <w:trPr>
          <w:jc w:val="center"/>
        </w:trPr>
        <w:tc>
          <w:tcPr>
            <w:tcW w:w="2519" w:type="dxa"/>
            <w:shd w:val="clear" w:color="auto" w:fill="auto"/>
            <w:vAlign w:val="center"/>
          </w:tcPr>
          <w:p w14:paraId="12B1779E" w14:textId="77777777" w:rsidR="00A764EF" w:rsidRPr="001F19B5" w:rsidRDefault="00A764EF" w:rsidP="00A764EF">
            <w:pPr>
              <w:rPr>
                <w:rFonts w:ascii="Open Sans" w:hAnsi="Open Sans" w:cs="Arial"/>
                <w:sz w:val="20"/>
                <w:szCs w:val="20"/>
              </w:rPr>
            </w:pPr>
            <w:r w:rsidRPr="001F19B5">
              <w:rPr>
                <w:rFonts w:ascii="Open Sans" w:hAnsi="Open Sans" w:cs="Arial"/>
                <w:sz w:val="20"/>
                <w:szCs w:val="20"/>
              </w:rPr>
              <w:t>Facturación</w:t>
            </w:r>
          </w:p>
        </w:tc>
        <w:tc>
          <w:tcPr>
            <w:tcW w:w="2835" w:type="dxa"/>
            <w:shd w:val="clear" w:color="auto" w:fill="auto"/>
            <w:vAlign w:val="center"/>
          </w:tcPr>
          <w:p w14:paraId="3D46B008"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47.219 millones de euros</w:t>
            </w:r>
          </w:p>
        </w:tc>
      </w:tr>
      <w:tr w:rsidR="00A764EF" w:rsidRPr="001F19B5" w14:paraId="72B2FED4" w14:textId="77777777" w:rsidTr="00A764EF">
        <w:trPr>
          <w:jc w:val="center"/>
        </w:trPr>
        <w:tc>
          <w:tcPr>
            <w:tcW w:w="2519" w:type="dxa"/>
            <w:shd w:val="clear" w:color="auto" w:fill="auto"/>
            <w:vAlign w:val="center"/>
          </w:tcPr>
          <w:p w14:paraId="1F769457" w14:textId="77777777" w:rsidR="00A764EF" w:rsidRPr="001F19B5" w:rsidRDefault="00A764EF" w:rsidP="00A764EF">
            <w:pPr>
              <w:rPr>
                <w:rFonts w:ascii="Open Sans" w:hAnsi="Open Sans" w:cs="Arial"/>
                <w:sz w:val="20"/>
                <w:szCs w:val="20"/>
              </w:rPr>
            </w:pPr>
            <w:r w:rsidRPr="001F19B5">
              <w:rPr>
                <w:rFonts w:ascii="Open Sans" w:hAnsi="Open Sans" w:cs="Arial"/>
                <w:sz w:val="20"/>
                <w:szCs w:val="20"/>
              </w:rPr>
              <w:t>Número de empleados</w:t>
            </w:r>
          </w:p>
        </w:tc>
        <w:tc>
          <w:tcPr>
            <w:tcW w:w="2835" w:type="dxa"/>
            <w:shd w:val="clear" w:color="auto" w:fill="auto"/>
            <w:vAlign w:val="center"/>
          </w:tcPr>
          <w:p w14:paraId="23258D85"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129.916</w:t>
            </w:r>
          </w:p>
        </w:tc>
      </w:tr>
      <w:tr w:rsidR="00A764EF" w:rsidRPr="001F19B5" w14:paraId="63BBADCE" w14:textId="77777777" w:rsidTr="00A764EF">
        <w:trPr>
          <w:jc w:val="center"/>
        </w:trPr>
        <w:tc>
          <w:tcPr>
            <w:tcW w:w="2519" w:type="dxa"/>
            <w:shd w:val="clear" w:color="auto" w:fill="auto"/>
            <w:vAlign w:val="center"/>
          </w:tcPr>
          <w:p w14:paraId="57E71136" w14:textId="77777777" w:rsidR="00A764EF" w:rsidRPr="001F19B5" w:rsidRDefault="00A764EF" w:rsidP="00A764EF">
            <w:pPr>
              <w:rPr>
                <w:rFonts w:ascii="Open Sans" w:hAnsi="Open Sans" w:cs="Arial"/>
                <w:sz w:val="20"/>
                <w:szCs w:val="20"/>
              </w:rPr>
            </w:pPr>
            <w:r w:rsidRPr="001F19B5">
              <w:rPr>
                <w:rFonts w:ascii="Open Sans" w:hAnsi="Open Sans" w:cs="Arial"/>
                <w:sz w:val="20"/>
                <w:szCs w:val="20"/>
              </w:rPr>
              <w:t>Beneficio antes de impuesto</w:t>
            </w:r>
          </w:p>
        </w:tc>
        <w:tc>
          <w:tcPr>
            <w:tcW w:w="2835" w:type="dxa"/>
            <w:shd w:val="clear" w:color="auto" w:fill="auto"/>
            <w:vAlign w:val="center"/>
          </w:tcPr>
          <w:p w14:paraId="568C2ABE"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311 millones de</w:t>
            </w:r>
          </w:p>
          <w:p w14:paraId="5A50AAF7"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euros</w:t>
            </w:r>
          </w:p>
        </w:tc>
      </w:tr>
      <w:tr w:rsidR="00A764EF" w:rsidRPr="001F19B5" w14:paraId="60552B00" w14:textId="77777777" w:rsidTr="00A764EF">
        <w:trPr>
          <w:jc w:val="center"/>
        </w:trPr>
        <w:tc>
          <w:tcPr>
            <w:tcW w:w="2519" w:type="dxa"/>
            <w:shd w:val="clear" w:color="auto" w:fill="auto"/>
            <w:vAlign w:val="center"/>
          </w:tcPr>
          <w:p w14:paraId="32079D24" w14:textId="77777777" w:rsidR="00A764EF" w:rsidRPr="001F19B5" w:rsidRDefault="00A764EF" w:rsidP="00A764EF">
            <w:pPr>
              <w:rPr>
                <w:rFonts w:ascii="Open Sans" w:hAnsi="Open Sans" w:cs="Arial"/>
                <w:sz w:val="20"/>
                <w:szCs w:val="20"/>
              </w:rPr>
            </w:pPr>
            <w:r w:rsidRPr="001F19B5">
              <w:rPr>
                <w:rFonts w:ascii="Open Sans" w:hAnsi="Open Sans" w:cs="Arial"/>
                <w:sz w:val="20"/>
                <w:szCs w:val="20"/>
              </w:rPr>
              <w:t>Impuesto de sociedades</w:t>
            </w:r>
          </w:p>
        </w:tc>
        <w:tc>
          <w:tcPr>
            <w:tcW w:w="2835" w:type="dxa"/>
            <w:shd w:val="clear" w:color="auto" w:fill="auto"/>
            <w:vAlign w:val="center"/>
          </w:tcPr>
          <w:p w14:paraId="692437BB"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13 millones</w:t>
            </w:r>
          </w:p>
          <w:p w14:paraId="2D7AEFFB"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 xml:space="preserve">de euros </w:t>
            </w:r>
          </w:p>
        </w:tc>
      </w:tr>
      <w:tr w:rsidR="00A764EF" w:rsidRPr="001F19B5" w14:paraId="4F34A9C5" w14:textId="77777777" w:rsidTr="00A764EF">
        <w:trPr>
          <w:jc w:val="center"/>
        </w:trPr>
        <w:tc>
          <w:tcPr>
            <w:tcW w:w="2519" w:type="dxa"/>
            <w:shd w:val="clear" w:color="auto" w:fill="auto"/>
            <w:vAlign w:val="center"/>
          </w:tcPr>
          <w:p w14:paraId="3E5F8F65" w14:textId="77777777" w:rsidR="00A764EF" w:rsidRPr="001F19B5" w:rsidRDefault="00A764EF" w:rsidP="00A764EF">
            <w:pPr>
              <w:rPr>
                <w:rFonts w:ascii="Open Sans" w:hAnsi="Open Sans" w:cs="Arial"/>
                <w:sz w:val="20"/>
                <w:szCs w:val="20"/>
              </w:rPr>
            </w:pPr>
            <w:r w:rsidRPr="001F19B5">
              <w:rPr>
                <w:rFonts w:ascii="Open Sans" w:hAnsi="Open Sans" w:cs="Arial"/>
                <w:sz w:val="20"/>
                <w:szCs w:val="20"/>
              </w:rPr>
              <w:t>Tasa efectiva</w:t>
            </w:r>
          </w:p>
        </w:tc>
        <w:tc>
          <w:tcPr>
            <w:tcW w:w="2835" w:type="dxa"/>
            <w:shd w:val="clear" w:color="auto" w:fill="auto"/>
            <w:vAlign w:val="center"/>
          </w:tcPr>
          <w:p w14:paraId="730CDAD9"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4,2%</w:t>
            </w:r>
          </w:p>
        </w:tc>
      </w:tr>
    </w:tbl>
    <w:p w14:paraId="3261DCFC" w14:textId="77777777" w:rsidR="00A764EF" w:rsidRPr="001F19B5" w:rsidRDefault="00A764EF" w:rsidP="00A764EF">
      <w:pPr>
        <w:jc w:val="both"/>
        <w:rPr>
          <w:rFonts w:ascii="Open Sans" w:hAnsi="Open Sans" w:cs="Arial"/>
          <w:sz w:val="20"/>
          <w:szCs w:val="20"/>
          <w:u w:val="single"/>
        </w:rPr>
      </w:pPr>
    </w:p>
    <w:p w14:paraId="0CDFD084" w14:textId="77777777" w:rsidR="00A764EF" w:rsidRDefault="00A764EF" w:rsidP="00A764EF">
      <w:pPr>
        <w:jc w:val="both"/>
        <w:rPr>
          <w:rFonts w:ascii="Open Sans" w:hAnsi="Open Sans" w:cs="Arial"/>
          <w:sz w:val="20"/>
          <w:szCs w:val="20"/>
          <w:u w:val="single"/>
        </w:rPr>
      </w:pPr>
    </w:p>
    <w:p w14:paraId="6F677108" w14:textId="014F2030" w:rsidR="00A764EF" w:rsidRPr="00A764EF" w:rsidRDefault="00A764EF" w:rsidP="00A764EF">
      <w:pPr>
        <w:jc w:val="both"/>
        <w:rPr>
          <w:rFonts w:ascii="Open Sans" w:hAnsi="Open Sans" w:cs="Arial"/>
          <w:sz w:val="20"/>
          <w:szCs w:val="20"/>
          <w:u w:val="single"/>
        </w:rPr>
      </w:pPr>
      <w:r w:rsidRPr="00A764EF">
        <w:rPr>
          <w:rFonts w:ascii="Open Sans" w:hAnsi="Open Sans" w:cs="Arial"/>
          <w:sz w:val="20"/>
          <w:szCs w:val="20"/>
          <w:u w:val="single"/>
        </w:rPr>
        <w:t>Estándares voluntarios relacionados con fiscalidad responsable</w:t>
      </w:r>
    </w:p>
    <w:p w14:paraId="2F061437"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Telefónica, S.A. está adherida por decisión del Consejo de Administración, desde 2010, al Código de Buenas Prácticas Tributarias, elaborado por el Foro de Grandes Empresas en conjunto con la Administración Tributaria española. En esta línea, se refleja también en el Documento</w:t>
      </w:r>
      <w:r w:rsidRPr="001F19B5">
        <w:rPr>
          <w:rFonts w:ascii="Open Sans" w:hAnsi="Open Sans" w:cs="Arial"/>
          <w:b/>
          <w:sz w:val="20"/>
          <w:szCs w:val="20"/>
        </w:rPr>
        <w:t xml:space="preserve"> </w:t>
      </w:r>
      <w:r w:rsidRPr="001F19B5">
        <w:rPr>
          <w:rFonts w:ascii="Open Sans" w:hAnsi="Open Sans" w:cs="Arial"/>
          <w:sz w:val="20"/>
          <w:szCs w:val="20"/>
        </w:rPr>
        <w:t>Principios de Negocio Responsable</w:t>
      </w:r>
      <w:r w:rsidRPr="001F19B5">
        <w:rPr>
          <w:rStyle w:val="Refdenotaalpie"/>
          <w:rFonts w:ascii="Open Sans" w:hAnsi="Open Sans" w:cs="Arial"/>
          <w:sz w:val="20"/>
          <w:szCs w:val="20"/>
        </w:rPr>
        <w:footnoteReference w:id="580"/>
      </w:r>
      <w:r w:rsidRPr="001F19B5">
        <w:rPr>
          <w:rFonts w:ascii="Open Sans" w:hAnsi="Open Sans" w:cs="Arial"/>
          <w:sz w:val="20"/>
          <w:szCs w:val="20"/>
        </w:rPr>
        <w:t xml:space="preserve"> de su Política Corporativa de Sostenibilidad aprobada en febrero de 2106 y en su Código de Buenas Prácticas Tributarias en el que se expresa su posicionamiento en relación a:</w:t>
      </w:r>
    </w:p>
    <w:p w14:paraId="17425095" w14:textId="77777777" w:rsidR="00A764EF" w:rsidRPr="001F19B5" w:rsidRDefault="00A764EF" w:rsidP="00A764EF">
      <w:pPr>
        <w:spacing w:before="120"/>
        <w:jc w:val="both"/>
        <w:rPr>
          <w:rFonts w:ascii="Open Sans" w:hAnsi="Open Sans" w:cs="Arial"/>
          <w:sz w:val="20"/>
          <w:szCs w:val="20"/>
        </w:rPr>
      </w:pPr>
    </w:p>
    <w:p w14:paraId="661A2C5C" w14:textId="77777777" w:rsidR="00A764EF" w:rsidRPr="001F19B5" w:rsidRDefault="00A764EF" w:rsidP="000B70C9">
      <w:pPr>
        <w:pStyle w:val="Prrafodelista"/>
        <w:numPr>
          <w:ilvl w:val="0"/>
          <w:numId w:val="59"/>
        </w:numPr>
        <w:jc w:val="both"/>
        <w:rPr>
          <w:rFonts w:ascii="Open Sans" w:hAnsi="Open Sans" w:cs="Arial"/>
          <w:sz w:val="20"/>
          <w:szCs w:val="20"/>
        </w:rPr>
      </w:pPr>
      <w:r w:rsidRPr="001F19B5">
        <w:rPr>
          <w:rFonts w:ascii="Open Sans" w:hAnsi="Open Sans" w:cs="Arial"/>
          <w:sz w:val="20"/>
          <w:szCs w:val="20"/>
        </w:rPr>
        <w:t xml:space="preserve">La colaboración con la Administración Tributaria, </w:t>
      </w:r>
    </w:p>
    <w:p w14:paraId="1524A329" w14:textId="77777777" w:rsidR="00A764EF" w:rsidRPr="001F19B5" w:rsidRDefault="00A764EF" w:rsidP="000B70C9">
      <w:pPr>
        <w:pStyle w:val="Prrafodelista"/>
        <w:numPr>
          <w:ilvl w:val="0"/>
          <w:numId w:val="59"/>
        </w:numPr>
        <w:jc w:val="both"/>
        <w:rPr>
          <w:rFonts w:ascii="Open Sans" w:hAnsi="Open Sans" w:cs="Arial"/>
          <w:sz w:val="20"/>
          <w:szCs w:val="20"/>
        </w:rPr>
      </w:pPr>
      <w:r w:rsidRPr="001F19B5">
        <w:rPr>
          <w:rFonts w:ascii="Open Sans" w:hAnsi="Open Sans" w:cs="Arial"/>
          <w:sz w:val="20"/>
          <w:szCs w:val="20"/>
        </w:rPr>
        <w:t xml:space="preserve">la no utilización de estructuras societarias con la finalidad de encubrir o reducir la transparencia de sus actividades, </w:t>
      </w:r>
    </w:p>
    <w:p w14:paraId="3994184A" w14:textId="77777777" w:rsidR="00A764EF" w:rsidRPr="001F19B5" w:rsidRDefault="00A764EF" w:rsidP="000B70C9">
      <w:pPr>
        <w:pStyle w:val="Prrafodelista"/>
        <w:numPr>
          <w:ilvl w:val="0"/>
          <w:numId w:val="59"/>
        </w:numPr>
        <w:jc w:val="both"/>
        <w:rPr>
          <w:rFonts w:ascii="Open Sans" w:hAnsi="Open Sans" w:cs="Arial"/>
          <w:sz w:val="20"/>
          <w:szCs w:val="20"/>
        </w:rPr>
      </w:pPr>
      <w:r w:rsidRPr="001F19B5">
        <w:rPr>
          <w:rFonts w:ascii="Open Sans" w:hAnsi="Open Sans" w:cs="Arial"/>
          <w:sz w:val="20"/>
          <w:szCs w:val="20"/>
        </w:rPr>
        <w:t>la aplicación de políticas fiscales responsables con conocimiento del Consejo de Administración.</w:t>
      </w:r>
    </w:p>
    <w:p w14:paraId="017491CC" w14:textId="77777777" w:rsidR="00A764EF" w:rsidRPr="001F19B5" w:rsidRDefault="00A764EF" w:rsidP="000B70C9">
      <w:pPr>
        <w:pStyle w:val="Prrafodelista"/>
        <w:widowControl w:val="0"/>
        <w:numPr>
          <w:ilvl w:val="0"/>
          <w:numId w:val="59"/>
        </w:numPr>
        <w:autoSpaceDE w:val="0"/>
        <w:autoSpaceDN w:val="0"/>
        <w:adjustRightInd w:val="0"/>
        <w:jc w:val="both"/>
        <w:rPr>
          <w:rFonts w:ascii="Open Sans" w:hAnsi="Open Sans" w:cs="Arial"/>
          <w:sz w:val="20"/>
          <w:szCs w:val="20"/>
        </w:rPr>
      </w:pPr>
      <w:r w:rsidRPr="001F19B5">
        <w:rPr>
          <w:rFonts w:ascii="Open Sans" w:hAnsi="Open Sans" w:cs="Arial"/>
          <w:sz w:val="20"/>
          <w:szCs w:val="20"/>
        </w:rPr>
        <w:t>asimismo, y de acuerdo con la Ley de Sociedades de Capital,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 Telefónica, es revisada y, en su caso, aprobada por su Consejo de Administración.</w:t>
      </w:r>
    </w:p>
    <w:p w14:paraId="7009FA73" w14:textId="77777777" w:rsidR="00A764EF" w:rsidRPr="001F19B5" w:rsidRDefault="00A764EF" w:rsidP="000B70C9">
      <w:pPr>
        <w:pStyle w:val="Prrafodelista"/>
        <w:numPr>
          <w:ilvl w:val="0"/>
          <w:numId w:val="59"/>
        </w:numPr>
        <w:jc w:val="both"/>
        <w:rPr>
          <w:rFonts w:ascii="Open Sans" w:hAnsi="Open Sans" w:cs="Arial"/>
          <w:sz w:val="20"/>
          <w:szCs w:val="20"/>
        </w:rPr>
      </w:pPr>
      <w:r w:rsidRPr="001F19B5">
        <w:rPr>
          <w:rFonts w:ascii="Open Sans" w:hAnsi="Open Sans" w:cs="Arial"/>
          <w:sz w:val="20"/>
          <w:szCs w:val="20"/>
        </w:rPr>
        <w:t xml:space="preserve">Telefónica, además, declara no tener presencia en ninguna de las jurisdicciones recogidas en el listado de paraísos fiscales reglamentariamente establecido por España de acuerdo con la disposición adicional 1ª Ley 36/2006 de medidas para la prevención del fraude fiscal en su redacción actualizada por la Disposición Final 2 de la Ley 26/2014 de 27 de Noviembre. Las operaciones del Grupo Telefónica en territorios considerados por otros organismos distintos a la OCDE y de España como de escasa o nula tributación, responden única y exclusivamente a motivaciones económicas y comerciales (Business Purpose) y cuentan con los medios materiales y humanos necesarios para el desarrollo de sus actividades propias sin ser, en ningún caso, el objetivo de estas operaciones trasladar resultados a estas jurisdicciones para obtener una reducción de la carga tributaria. </w:t>
      </w:r>
    </w:p>
    <w:p w14:paraId="49DA0896" w14:textId="77777777" w:rsidR="00A764EF" w:rsidRDefault="00A764EF" w:rsidP="000B70C9">
      <w:pPr>
        <w:pStyle w:val="Prrafodelista"/>
        <w:numPr>
          <w:ilvl w:val="0"/>
          <w:numId w:val="59"/>
        </w:numPr>
        <w:jc w:val="both"/>
        <w:rPr>
          <w:rFonts w:ascii="Open Sans" w:hAnsi="Open Sans" w:cs="Arial"/>
          <w:sz w:val="20"/>
          <w:szCs w:val="20"/>
        </w:rPr>
      </w:pPr>
      <w:r w:rsidRPr="001F19B5">
        <w:rPr>
          <w:rFonts w:ascii="Open Sans" w:hAnsi="Open Sans" w:cs="Arial"/>
          <w:sz w:val="20"/>
          <w:szCs w:val="20"/>
        </w:rPr>
        <w:t>Además, Telefónica está comprometido con el cumplimiento de lo establecido en las </w:t>
      </w:r>
      <w:hyperlink r:id="rId126" w:history="1">
        <w:r w:rsidRPr="001F19B5">
          <w:rPr>
            <w:rFonts w:ascii="Open Sans" w:hAnsi="Open Sans" w:cs="Arial"/>
            <w:sz w:val="20"/>
            <w:szCs w:val="20"/>
          </w:rPr>
          <w:t>“Líneas Directrices de la OCDE para empresas multinacionales”</w:t>
        </w:r>
      </w:hyperlink>
      <w:r w:rsidRPr="001F19B5">
        <w:rPr>
          <w:rFonts w:ascii="Open Sans" w:hAnsi="Open Sans" w:cs="Arial"/>
          <w:sz w:val="20"/>
          <w:szCs w:val="20"/>
        </w:rPr>
        <w:t> en materia tributaria.</w:t>
      </w:r>
    </w:p>
    <w:p w14:paraId="42E33861" w14:textId="77777777" w:rsidR="00A764EF" w:rsidRDefault="00A764EF" w:rsidP="00A764EF">
      <w:pPr>
        <w:jc w:val="both"/>
        <w:rPr>
          <w:rFonts w:ascii="Open Sans" w:hAnsi="Open Sans" w:cs="Arial"/>
          <w:sz w:val="20"/>
          <w:szCs w:val="20"/>
        </w:rPr>
      </w:pPr>
    </w:p>
    <w:p w14:paraId="2AF550B6" w14:textId="77777777" w:rsidR="00A764EF" w:rsidRPr="00A764EF" w:rsidRDefault="00A764EF" w:rsidP="00A764EF">
      <w:pPr>
        <w:jc w:val="both"/>
        <w:rPr>
          <w:rFonts w:ascii="Open Sans" w:hAnsi="Open Sans" w:cs="Arial"/>
          <w:sz w:val="20"/>
          <w:szCs w:val="20"/>
        </w:rPr>
      </w:pPr>
    </w:p>
    <w:p w14:paraId="4C883CC8" w14:textId="77777777" w:rsidR="00A764EF" w:rsidRPr="00A764EF" w:rsidRDefault="00A764EF" w:rsidP="00A764EF">
      <w:pPr>
        <w:jc w:val="both"/>
        <w:rPr>
          <w:rFonts w:ascii="Open Sans" w:hAnsi="Open Sans" w:cs="Arial"/>
          <w:sz w:val="20"/>
          <w:szCs w:val="20"/>
          <w:u w:val="single"/>
        </w:rPr>
      </w:pPr>
      <w:r w:rsidRPr="00A764EF">
        <w:rPr>
          <w:rFonts w:ascii="Open Sans" w:hAnsi="Open Sans" w:cs="Arial"/>
          <w:sz w:val="20"/>
          <w:szCs w:val="20"/>
          <w:u w:val="single"/>
        </w:rPr>
        <w:t>Documentos incluidos en el análisis</w:t>
      </w:r>
    </w:p>
    <w:p w14:paraId="219099C7"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Para el análisis de la calidad de la información relacionada con fiscalidad de la empresa, se ha tenido en cuenta la información contenida en la siguiente documentación:</w:t>
      </w:r>
    </w:p>
    <w:p w14:paraId="436827F5" w14:textId="77777777" w:rsidR="00A764EF" w:rsidRPr="001F19B5" w:rsidRDefault="00A764EF" w:rsidP="00A764EF">
      <w:pPr>
        <w:spacing w:before="120"/>
        <w:jc w:val="both"/>
        <w:rPr>
          <w:rFonts w:ascii="Open Sans" w:hAnsi="Open Sans" w:cs="Arial"/>
          <w:sz w:val="20"/>
          <w:szCs w:val="20"/>
        </w:rPr>
      </w:pPr>
    </w:p>
    <w:tbl>
      <w:tblPr>
        <w:tblW w:w="8505" w:type="dxa"/>
        <w:tblInd w:w="13" w:type="dxa"/>
        <w:tblLayout w:type="fixed"/>
        <w:tblCellMar>
          <w:left w:w="0" w:type="dxa"/>
          <w:right w:w="0" w:type="dxa"/>
        </w:tblCellMar>
        <w:tblLook w:val="0000" w:firstRow="0" w:lastRow="0" w:firstColumn="0" w:lastColumn="0" w:noHBand="0" w:noVBand="0"/>
      </w:tblPr>
      <w:tblGrid>
        <w:gridCol w:w="4347"/>
        <w:gridCol w:w="4158"/>
      </w:tblGrid>
      <w:tr w:rsidR="00A764EF" w:rsidRPr="001F19B5" w14:paraId="0CF5CD23" w14:textId="77777777" w:rsidTr="00A764EF">
        <w:trPr>
          <w:trHeight w:val="327"/>
        </w:trPr>
        <w:tc>
          <w:tcPr>
            <w:tcW w:w="4347"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0DD1B27B" w14:textId="77777777" w:rsidR="00A764EF" w:rsidRPr="001F19B5" w:rsidRDefault="00A764EF" w:rsidP="00A764EF">
            <w:pPr>
              <w:jc w:val="center"/>
              <w:rPr>
                <w:rFonts w:ascii="Open Sans" w:hAnsi="Open Sans" w:cs="Arial"/>
                <w:b/>
                <w:sz w:val="20"/>
                <w:szCs w:val="20"/>
              </w:rPr>
            </w:pPr>
            <w:r w:rsidRPr="001F19B5">
              <w:rPr>
                <w:rFonts w:ascii="Open Sans" w:hAnsi="Open Sans" w:cs="Arial"/>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0B8CF4E" w14:textId="77777777" w:rsidR="00A764EF" w:rsidRPr="001F19B5" w:rsidRDefault="00A764EF" w:rsidP="00A764EF">
            <w:pPr>
              <w:jc w:val="center"/>
              <w:rPr>
                <w:rFonts w:ascii="Open Sans" w:hAnsi="Open Sans" w:cs="Arial"/>
                <w:b/>
                <w:sz w:val="20"/>
                <w:szCs w:val="20"/>
              </w:rPr>
            </w:pPr>
            <w:r w:rsidRPr="001F19B5">
              <w:rPr>
                <w:rFonts w:ascii="Open Sans" w:hAnsi="Open Sans" w:cs="Arial"/>
                <w:b/>
                <w:sz w:val="20"/>
                <w:szCs w:val="20"/>
              </w:rPr>
              <w:t>OBSERVACIONES</w:t>
            </w:r>
          </w:p>
        </w:tc>
      </w:tr>
      <w:tr w:rsidR="00A764EF" w:rsidRPr="001F19B5" w14:paraId="262BF28B" w14:textId="77777777" w:rsidTr="00A764EF">
        <w:trPr>
          <w:trHeight w:val="315"/>
        </w:trPr>
        <w:tc>
          <w:tcPr>
            <w:tcW w:w="434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CCB7D79" w14:textId="77777777" w:rsidR="00A764EF" w:rsidRPr="001F19B5" w:rsidRDefault="00A764EF" w:rsidP="00A764EF">
            <w:pPr>
              <w:jc w:val="both"/>
              <w:rPr>
                <w:rFonts w:ascii="Open Sans" w:eastAsia="Arial Unicode MS" w:hAnsi="Open Sans" w:cs="Arial"/>
                <w:sz w:val="20"/>
                <w:szCs w:val="20"/>
              </w:rPr>
            </w:pPr>
            <w:r w:rsidRPr="001F19B5">
              <w:rPr>
                <w:rFonts w:ascii="Open Sans" w:eastAsia="Arial Unicode MS" w:hAnsi="Open Sans" w:cs="Arial"/>
                <w:sz w:val="20"/>
                <w:szCs w:val="20"/>
              </w:rPr>
              <w:t xml:space="preserve">Informe Financiero 2015 </w:t>
            </w:r>
          </w:p>
          <w:p w14:paraId="359968EB" w14:textId="77777777" w:rsidR="00A764EF" w:rsidRPr="001F19B5" w:rsidRDefault="00A764EF" w:rsidP="00A764EF">
            <w:pPr>
              <w:jc w:val="both"/>
              <w:rPr>
                <w:rFonts w:ascii="Open Sans" w:eastAsia="Arial Unicode MS" w:hAnsi="Open Sans" w:cs="Arial"/>
                <w:sz w:val="20"/>
                <w:szCs w:val="20"/>
              </w:rPr>
            </w:pP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95AD0AB" w14:textId="77777777" w:rsidR="00A764EF" w:rsidRPr="001F19B5" w:rsidRDefault="00A764EF" w:rsidP="00A764EF">
            <w:pPr>
              <w:jc w:val="both"/>
              <w:rPr>
                <w:rFonts w:ascii="Open Sans" w:eastAsia="Arial Unicode MS" w:hAnsi="Open Sans" w:cs="Arial"/>
                <w:sz w:val="20"/>
                <w:szCs w:val="20"/>
              </w:rPr>
            </w:pPr>
            <w:r w:rsidRPr="001F19B5">
              <w:rPr>
                <w:rFonts w:ascii="Open Sans" w:eastAsia="Arial Unicode MS" w:hAnsi="Open Sans" w:cs="Arial"/>
                <w:sz w:val="20"/>
                <w:szCs w:val="20"/>
              </w:rPr>
              <w:t xml:space="preserve">Incluye: </w:t>
            </w:r>
          </w:p>
          <w:p w14:paraId="0C040D09" w14:textId="77777777" w:rsidR="00A764EF" w:rsidRPr="001F19B5" w:rsidRDefault="00A764EF" w:rsidP="000B70C9">
            <w:pPr>
              <w:pStyle w:val="Prrafodelista"/>
              <w:numPr>
                <w:ilvl w:val="0"/>
                <w:numId w:val="60"/>
              </w:numPr>
              <w:rPr>
                <w:rFonts w:ascii="Open Sans" w:eastAsia="Arial Unicode MS" w:hAnsi="Open Sans" w:cs="Arial"/>
                <w:sz w:val="20"/>
                <w:szCs w:val="20"/>
              </w:rPr>
            </w:pPr>
            <w:r w:rsidRPr="001F19B5">
              <w:rPr>
                <w:rFonts w:ascii="Open Sans" w:eastAsia="Arial Unicode MS" w:hAnsi="Open Sans" w:cs="Arial"/>
                <w:sz w:val="20"/>
                <w:szCs w:val="20"/>
              </w:rPr>
              <w:t>Estados financieros consolidados (cuentas anuales consolidadas) e Informe de gestión consolidado correspondientes al ejercicio 2015</w:t>
            </w:r>
          </w:p>
          <w:p w14:paraId="1274CEBD" w14:textId="77777777" w:rsidR="00A764EF" w:rsidRPr="001F19B5" w:rsidRDefault="00A764EF" w:rsidP="000B70C9">
            <w:pPr>
              <w:pStyle w:val="Prrafodelista"/>
              <w:numPr>
                <w:ilvl w:val="0"/>
                <w:numId w:val="60"/>
              </w:numPr>
              <w:rPr>
                <w:rFonts w:ascii="Open Sans" w:eastAsia="Arial Unicode MS" w:hAnsi="Open Sans" w:cs="Arial"/>
                <w:sz w:val="20"/>
                <w:szCs w:val="20"/>
              </w:rPr>
            </w:pPr>
            <w:r w:rsidRPr="001F19B5">
              <w:rPr>
                <w:rFonts w:ascii="Open Sans" w:eastAsia="Arial Unicode MS" w:hAnsi="Open Sans" w:cs="Arial"/>
                <w:sz w:val="20"/>
                <w:szCs w:val="20"/>
              </w:rPr>
              <w:t>Cuentas Anuales e Informe de Gestión de Telefónica, S.A. correspondientes al ejercicio 2015</w:t>
            </w:r>
          </w:p>
        </w:tc>
      </w:tr>
      <w:tr w:rsidR="00A764EF" w:rsidRPr="001F19B5" w14:paraId="47FE8CE9" w14:textId="77777777" w:rsidTr="00A764EF">
        <w:trPr>
          <w:trHeight w:val="300"/>
        </w:trPr>
        <w:tc>
          <w:tcPr>
            <w:tcW w:w="434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F0475B7" w14:textId="77777777" w:rsidR="00A764EF" w:rsidRPr="001F19B5" w:rsidRDefault="00A764EF" w:rsidP="00A764EF">
            <w:pPr>
              <w:jc w:val="both"/>
              <w:rPr>
                <w:rFonts w:ascii="Open Sans" w:eastAsia="Arial Unicode MS" w:hAnsi="Open Sans" w:cs="Arial"/>
                <w:sz w:val="20"/>
                <w:szCs w:val="20"/>
              </w:rPr>
            </w:pPr>
            <w:r w:rsidRPr="001F19B5">
              <w:rPr>
                <w:rFonts w:ascii="Open Sans" w:eastAsia="Arial Unicode MS" w:hAnsi="Open Sans" w:cs="Arial"/>
                <w:sz w:val="20"/>
                <w:szCs w:val="20"/>
              </w:rPr>
              <w:t>Informe Integrado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6924E8A9" w14:textId="77777777" w:rsidR="00A764EF" w:rsidRPr="001F19B5" w:rsidRDefault="00A764EF" w:rsidP="00256EC8">
            <w:pPr>
              <w:rPr>
                <w:rFonts w:ascii="Open Sans" w:eastAsia="Arial Unicode MS" w:hAnsi="Open Sans" w:cs="Arial"/>
                <w:sz w:val="20"/>
                <w:szCs w:val="20"/>
              </w:rPr>
            </w:pPr>
            <w:r w:rsidRPr="001F19B5">
              <w:rPr>
                <w:rFonts w:ascii="Open Sans" w:eastAsia="Arial Unicode MS" w:hAnsi="Open Sans" w:cs="Arial"/>
                <w:sz w:val="20"/>
                <w:szCs w:val="20"/>
              </w:rPr>
              <w:t>Sustituye a las anteriores Memorias de sostenibilidad; incorpora información financiera y no financiera.</w:t>
            </w:r>
          </w:p>
        </w:tc>
      </w:tr>
      <w:tr w:rsidR="00A764EF" w:rsidRPr="001F19B5" w14:paraId="0C6365DA" w14:textId="77777777" w:rsidTr="00A764EF">
        <w:trPr>
          <w:trHeight w:val="264"/>
        </w:trPr>
        <w:tc>
          <w:tcPr>
            <w:tcW w:w="434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0B70A79B" w14:textId="77777777" w:rsidR="00A764EF" w:rsidRPr="001F19B5" w:rsidRDefault="00A764EF" w:rsidP="00A764EF">
            <w:pPr>
              <w:jc w:val="both"/>
              <w:rPr>
                <w:rFonts w:ascii="Open Sans" w:eastAsia="Arial Unicode MS" w:hAnsi="Open Sans" w:cs="Arial"/>
                <w:sz w:val="20"/>
                <w:szCs w:val="20"/>
              </w:rPr>
            </w:pPr>
            <w:r w:rsidRPr="001F19B5">
              <w:rPr>
                <w:rFonts w:ascii="Open Sans" w:hAnsi="Open Sans" w:cs="Arial"/>
                <w:sz w:val="20"/>
                <w:szCs w:val="20"/>
              </w:rPr>
              <w:t>Informe de Gobierno Corporativo Telefónica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BDA9A6E" w14:textId="77777777" w:rsidR="00A764EF" w:rsidRPr="001F19B5" w:rsidRDefault="00A764EF" w:rsidP="00256EC8">
            <w:pPr>
              <w:rPr>
                <w:rFonts w:ascii="Open Sans" w:eastAsia="Arial Unicode MS" w:hAnsi="Open Sans" w:cs="Arial"/>
                <w:sz w:val="20"/>
                <w:szCs w:val="20"/>
              </w:rPr>
            </w:pPr>
          </w:p>
        </w:tc>
      </w:tr>
      <w:tr w:rsidR="00A764EF" w:rsidRPr="001F19B5" w14:paraId="18B66BEB" w14:textId="77777777" w:rsidTr="00A764EF">
        <w:trPr>
          <w:trHeight w:val="270"/>
        </w:trPr>
        <w:tc>
          <w:tcPr>
            <w:tcW w:w="4347"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5C470149"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Política de Negocio Responsable</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2B0923FD" w14:textId="77777777" w:rsidR="00A764EF" w:rsidRPr="001F19B5" w:rsidRDefault="00A764EF" w:rsidP="00256EC8">
            <w:pPr>
              <w:rPr>
                <w:rFonts w:ascii="Open Sans" w:eastAsia="Arial Unicode MS" w:hAnsi="Open Sans" w:cs="Arial"/>
                <w:sz w:val="20"/>
                <w:szCs w:val="20"/>
              </w:rPr>
            </w:pPr>
            <w:r w:rsidRPr="001F19B5">
              <w:rPr>
                <w:rFonts w:ascii="Open Sans" w:eastAsia="Arial Unicode MS" w:hAnsi="Open Sans" w:cs="Arial"/>
                <w:sz w:val="20"/>
                <w:szCs w:val="20"/>
              </w:rPr>
              <w:t>Contiene un apartado de Responsabilidad Fiscal</w:t>
            </w:r>
          </w:p>
        </w:tc>
      </w:tr>
      <w:tr w:rsidR="00A764EF" w:rsidRPr="001F19B5" w14:paraId="00DD9935" w14:textId="77777777" w:rsidTr="00A764EF">
        <w:trPr>
          <w:trHeight w:val="270"/>
        </w:trPr>
        <w:tc>
          <w:tcPr>
            <w:tcW w:w="4347"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2956C308"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Principios de Negocio Responsable</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0084C747" w14:textId="77777777" w:rsidR="00A764EF" w:rsidRPr="001F19B5" w:rsidRDefault="00A764EF" w:rsidP="00256EC8">
            <w:pPr>
              <w:rPr>
                <w:rFonts w:ascii="Open Sans" w:eastAsia="Arial Unicode MS" w:hAnsi="Open Sans" w:cs="Arial"/>
                <w:sz w:val="20"/>
                <w:szCs w:val="20"/>
              </w:rPr>
            </w:pPr>
          </w:p>
        </w:tc>
      </w:tr>
      <w:tr w:rsidR="00A764EF" w:rsidRPr="001F19B5" w14:paraId="6ECD8B98" w14:textId="77777777" w:rsidTr="00A764EF">
        <w:trPr>
          <w:trHeight w:val="270"/>
        </w:trPr>
        <w:tc>
          <w:tcPr>
            <w:tcW w:w="4347"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504B3263"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 xml:space="preserve">Apartado web Transparencia Fiscal </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center"/>
          </w:tcPr>
          <w:p w14:paraId="6FD8E4C7" w14:textId="77777777" w:rsidR="00A764EF" w:rsidRPr="001F19B5" w:rsidRDefault="00A764EF" w:rsidP="00256EC8">
            <w:pPr>
              <w:rPr>
                <w:rFonts w:ascii="Open Sans" w:eastAsia="Arial Unicode MS" w:hAnsi="Open Sans" w:cs="Arial"/>
                <w:sz w:val="20"/>
                <w:szCs w:val="20"/>
              </w:rPr>
            </w:pPr>
            <w:r w:rsidRPr="001F19B5">
              <w:rPr>
                <w:rFonts w:ascii="Open Sans" w:eastAsia="Arial Unicode MS" w:hAnsi="Open Sans" w:cs="Arial"/>
                <w:sz w:val="20"/>
                <w:szCs w:val="20"/>
              </w:rPr>
              <w:t>https://www.telefonica.com/es/web/negocio-responsable/nuestros-compromisos/transparencia-fiscal</w:t>
            </w:r>
          </w:p>
        </w:tc>
      </w:tr>
      <w:tr w:rsidR="00A764EF" w:rsidRPr="005933E5" w14:paraId="38F01B29" w14:textId="77777777" w:rsidTr="00A764EF">
        <w:trPr>
          <w:trHeight w:val="179"/>
        </w:trPr>
        <w:tc>
          <w:tcPr>
            <w:tcW w:w="4347" w:type="dxa"/>
            <w:tcBorders>
              <w:top w:val="single" w:sz="4" w:space="0" w:color="auto"/>
              <w:left w:val="single" w:sz="8" w:space="0" w:color="auto"/>
              <w:bottom w:val="single" w:sz="4" w:space="0" w:color="auto"/>
              <w:right w:val="nil"/>
            </w:tcBorders>
            <w:tcMar>
              <w:top w:w="13" w:type="dxa"/>
              <w:left w:w="13" w:type="dxa"/>
              <w:bottom w:w="0" w:type="dxa"/>
              <w:right w:w="13" w:type="dxa"/>
            </w:tcMar>
            <w:vAlign w:val="center"/>
          </w:tcPr>
          <w:p w14:paraId="5E71363C" w14:textId="77777777" w:rsidR="00A764EF" w:rsidRPr="00A1554D" w:rsidRDefault="00A764EF" w:rsidP="00A764EF">
            <w:pPr>
              <w:jc w:val="both"/>
              <w:rPr>
                <w:rFonts w:ascii="Open Sans" w:hAnsi="Open Sans" w:cs="Arial"/>
                <w:sz w:val="20"/>
                <w:szCs w:val="20"/>
                <w:lang w:val="en-GB"/>
              </w:rPr>
            </w:pPr>
            <w:r w:rsidRPr="00A1554D">
              <w:rPr>
                <w:rFonts w:ascii="Open Sans" w:hAnsi="Open Sans" w:cs="Arial"/>
                <w:sz w:val="20"/>
                <w:szCs w:val="20"/>
                <w:lang w:val="en-GB"/>
              </w:rPr>
              <w:t>Página web de la SEC (Securities Exchange Commission)</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383A8AEB" w14:textId="77777777" w:rsidR="00A764EF" w:rsidRPr="00A1554D" w:rsidRDefault="007F55EB" w:rsidP="00256EC8">
            <w:pPr>
              <w:rPr>
                <w:rFonts w:ascii="Open Sans" w:eastAsia="Arial Unicode MS" w:hAnsi="Open Sans" w:cs="Arial"/>
                <w:sz w:val="20"/>
                <w:szCs w:val="20"/>
                <w:lang w:val="en-GB"/>
              </w:rPr>
            </w:pPr>
            <w:hyperlink r:id="rId127" w:history="1">
              <w:r w:rsidR="00A764EF" w:rsidRPr="00A1554D">
                <w:rPr>
                  <w:rFonts w:ascii="Open Sans" w:hAnsi="Open Sans" w:cs="Arial"/>
                  <w:color w:val="000000"/>
                  <w:sz w:val="20"/>
                  <w:szCs w:val="20"/>
                  <w:lang w:val="en-GB"/>
                </w:rPr>
                <w:t>https://www.sec.gov/Archives/edgar/data/1127866/000119312506078410/dex81.htm</w:t>
              </w:r>
            </w:hyperlink>
            <w:r w:rsidR="00A764EF" w:rsidRPr="00A1554D">
              <w:rPr>
                <w:rFonts w:ascii="Open Sans" w:hAnsi="Open Sans" w:cs="Arial"/>
                <w:color w:val="000000"/>
                <w:sz w:val="20"/>
                <w:szCs w:val="20"/>
                <w:lang w:val="en-GB"/>
              </w:rPr>
              <w:t xml:space="preserve"> </w:t>
            </w:r>
          </w:p>
        </w:tc>
      </w:tr>
    </w:tbl>
    <w:p w14:paraId="5D3AD95E" w14:textId="77777777" w:rsidR="00A764EF" w:rsidRPr="00A1554D" w:rsidRDefault="00A764EF" w:rsidP="00A764EF">
      <w:pPr>
        <w:rPr>
          <w:rFonts w:ascii="Open Sans" w:hAnsi="Open Sans" w:cs="Arial"/>
          <w:b/>
          <w:sz w:val="22"/>
          <w:szCs w:val="22"/>
          <w:u w:val="single"/>
          <w:lang w:val="en-GB"/>
        </w:rPr>
      </w:pPr>
      <w:r w:rsidRPr="00A1554D">
        <w:rPr>
          <w:rFonts w:ascii="Open Sans" w:hAnsi="Open Sans" w:cs="Arial"/>
          <w:b/>
          <w:sz w:val="22"/>
          <w:szCs w:val="22"/>
          <w:u w:val="single"/>
          <w:lang w:val="en-GB"/>
        </w:rPr>
        <w:br w:type="page"/>
      </w:r>
    </w:p>
    <w:p w14:paraId="35B1DA91" w14:textId="77777777" w:rsidR="00A764EF" w:rsidRPr="00A1554D" w:rsidRDefault="00A764EF" w:rsidP="00A764EF">
      <w:pPr>
        <w:rPr>
          <w:rFonts w:ascii="Open Sans" w:hAnsi="Open Sans" w:cs="Arial"/>
          <w:b/>
          <w:sz w:val="22"/>
          <w:szCs w:val="22"/>
          <w:u w:val="single"/>
          <w:lang w:val="en-GB"/>
        </w:rPr>
      </w:pPr>
    </w:p>
    <w:p w14:paraId="031ACA57" w14:textId="77777777" w:rsidR="00A764EF" w:rsidRPr="001F19B5" w:rsidRDefault="00A764EF" w:rsidP="00A764EF">
      <w:pPr>
        <w:spacing w:before="360"/>
        <w:jc w:val="both"/>
        <w:rPr>
          <w:rFonts w:ascii="Open Sans" w:hAnsi="Open Sans" w:cs="Arial"/>
          <w:b/>
          <w:sz w:val="22"/>
          <w:szCs w:val="22"/>
          <w:u w:val="single"/>
        </w:rPr>
      </w:pPr>
      <w:r w:rsidRPr="001F19B5">
        <w:rPr>
          <w:rFonts w:ascii="Open Sans" w:hAnsi="Open Sans" w:cs="Arial"/>
          <w:b/>
          <w:sz w:val="22"/>
          <w:szCs w:val="22"/>
          <w:u w:val="single"/>
        </w:rPr>
        <w:t>2. Tablas de resultados</w:t>
      </w:r>
    </w:p>
    <w:p w14:paraId="35D12108" w14:textId="77777777" w:rsidR="00A764EF" w:rsidRPr="001F19B5" w:rsidRDefault="00A764EF" w:rsidP="00A764EF">
      <w:pPr>
        <w:spacing w:before="360"/>
        <w:jc w:val="both"/>
        <w:rPr>
          <w:rFonts w:ascii="Open Sans" w:hAnsi="Open Sans" w:cs="Arial"/>
          <w:b/>
          <w:sz w:val="22"/>
          <w:szCs w:val="22"/>
          <w:u w:val="single"/>
        </w:rPr>
      </w:pPr>
    </w:p>
    <w:p w14:paraId="32ECF6F1" w14:textId="77777777" w:rsidR="00A764EF" w:rsidRPr="001F19B5" w:rsidRDefault="00A764EF" w:rsidP="00A764EF">
      <w:pPr>
        <w:suppressAutoHyphens/>
        <w:jc w:val="center"/>
        <w:rPr>
          <w:rFonts w:ascii="Open Sans" w:hAnsi="Open Sans" w:cs="Arial"/>
          <w:b/>
          <w:sz w:val="20"/>
          <w:szCs w:val="22"/>
          <w:u w:val="single"/>
          <w:lang w:eastAsia="ar-SA"/>
        </w:rPr>
      </w:pPr>
      <w:r w:rsidRPr="001F19B5">
        <w:rPr>
          <w:rFonts w:ascii="Open Sans" w:hAnsi="Open Sans" w:cs="Arial"/>
          <w:b/>
          <w:sz w:val="20"/>
          <w:szCs w:val="22"/>
          <w:u w:val="single"/>
          <w:lang w:eastAsia="ar-SA"/>
        </w:rPr>
        <w:t>TABLA 1: Valoraciones por dimensión</w:t>
      </w:r>
    </w:p>
    <w:p w14:paraId="47CA4D86" w14:textId="77777777" w:rsidR="00A764EF" w:rsidRPr="001F19B5" w:rsidRDefault="00A764EF" w:rsidP="00A764EF">
      <w:pPr>
        <w:rPr>
          <w:rFonts w:ascii="Open Sans" w:hAnsi="Open Sans" w:cs="Arial"/>
          <w:b/>
        </w:rPr>
      </w:pPr>
    </w:p>
    <w:p w14:paraId="370CDC94" w14:textId="77777777" w:rsidR="00A764EF" w:rsidRPr="001F19B5" w:rsidRDefault="00A764EF" w:rsidP="00A764EF">
      <w:pPr>
        <w:jc w:val="center"/>
        <w:rPr>
          <w:rFonts w:ascii="Open Sans" w:hAnsi="Open Sans"/>
        </w:rPr>
      </w:pPr>
      <w:r w:rsidRPr="001F19B5">
        <w:rPr>
          <w:rFonts w:ascii="Open Sans" w:hAnsi="Open Sans"/>
          <w:noProof/>
          <w:lang w:val="es-ES"/>
        </w:rPr>
        <w:drawing>
          <wp:inline distT="0" distB="0" distL="0" distR="0" wp14:anchorId="4433B90C" wp14:editId="0F4EE159">
            <wp:extent cx="3688080" cy="185928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0376FDE0" w14:textId="77777777" w:rsidR="00A764EF" w:rsidRPr="001F19B5" w:rsidRDefault="00A764EF" w:rsidP="00A764EF">
      <w:pPr>
        <w:spacing w:before="360"/>
        <w:jc w:val="both"/>
        <w:rPr>
          <w:rFonts w:ascii="Open Sans" w:hAnsi="Open Sans" w:cs="Arial"/>
          <w:b/>
          <w:sz w:val="22"/>
          <w:szCs w:val="22"/>
        </w:rPr>
      </w:pPr>
    </w:p>
    <w:p w14:paraId="06F62144" w14:textId="77777777" w:rsidR="00A764EF" w:rsidRPr="001F19B5" w:rsidRDefault="00A764EF" w:rsidP="00A764EF">
      <w:pPr>
        <w:spacing w:before="360"/>
        <w:jc w:val="both"/>
        <w:rPr>
          <w:rFonts w:ascii="Open Sans" w:hAnsi="Open Sans" w:cs="Arial"/>
          <w:b/>
          <w:sz w:val="22"/>
          <w:szCs w:val="22"/>
          <w:u w:val="single"/>
        </w:rPr>
      </w:pPr>
      <w:r w:rsidRPr="001F19B5">
        <w:rPr>
          <w:rFonts w:ascii="Open Sans" w:hAnsi="Open Sans" w:cs="Arial"/>
          <w:b/>
          <w:sz w:val="22"/>
          <w:szCs w:val="22"/>
          <w:u w:val="single"/>
        </w:rPr>
        <w:t>3. Contexto general</w:t>
      </w:r>
    </w:p>
    <w:p w14:paraId="0FE62FE7" w14:textId="77777777" w:rsidR="00256EC8" w:rsidRDefault="00A764EF" w:rsidP="00256EC8">
      <w:pPr>
        <w:spacing w:before="120"/>
        <w:jc w:val="both"/>
        <w:rPr>
          <w:rFonts w:ascii="Open Sans" w:hAnsi="Open Sans" w:cs="Arial"/>
          <w:sz w:val="20"/>
          <w:szCs w:val="20"/>
        </w:rPr>
      </w:pPr>
      <w:r w:rsidRPr="001F19B5">
        <w:rPr>
          <w:rFonts w:ascii="Open Sans" w:hAnsi="Open Sans" w:cs="Arial"/>
          <w:sz w:val="20"/>
          <w:szCs w:val="20"/>
        </w:rPr>
        <w:t xml:space="preserve">La presencia internacional de Telefónica, que permite la diversificación de su actividad en diversos países y regiones, a su vez expone a la Compañía a distintas legislaciones, así como situaciones diversas de entorno político y económico </w:t>
      </w:r>
      <w:r w:rsidR="00256EC8">
        <w:rPr>
          <w:rFonts w:ascii="Open Sans" w:hAnsi="Open Sans" w:cs="Arial"/>
          <w:sz w:val="20"/>
          <w:szCs w:val="20"/>
        </w:rPr>
        <w:t>de los países en los que opera.</w:t>
      </w:r>
    </w:p>
    <w:p w14:paraId="26690169" w14:textId="0CC86080" w:rsidR="00A764EF" w:rsidRPr="00256EC8" w:rsidRDefault="00A764EF" w:rsidP="00256EC8">
      <w:pPr>
        <w:spacing w:before="120"/>
        <w:jc w:val="both"/>
        <w:rPr>
          <w:rFonts w:ascii="Open Sans" w:hAnsi="Open Sans" w:cs="Arial"/>
          <w:sz w:val="20"/>
          <w:szCs w:val="20"/>
        </w:rPr>
      </w:pPr>
      <w:r w:rsidRPr="001F19B5">
        <w:rPr>
          <w:rFonts w:ascii="Open Sans" w:hAnsi="Open Sans" w:cs="Arial"/>
          <w:sz w:val="20"/>
          <w:szCs w:val="20"/>
        </w:rPr>
        <w:t>El negocio del Grupo Telefónica se ve condicionado tanto por factores exclusivos del Grupo, como por factores que son comunes a cualquier empresa de su sector. Los riesgos e incertidumbres más significativos a los que se enfrenta la Compañía y que podrían afectar a su negocio, situación f</w:t>
      </w:r>
      <w:r w:rsidRPr="001F19B5">
        <w:rPr>
          <w:rFonts w:ascii="Open Sans" w:hAnsi="Open Sans" w:cs="Arial"/>
          <w:color w:val="000000"/>
          <w:sz w:val="20"/>
          <w:szCs w:val="20"/>
        </w:rPr>
        <w:t xml:space="preserve">inanciera, reputación, imagen corporativa y marca y a los resultados, se exponen en detalle tanto en el Informe Integrado como en el de Gestión de los Estados Financieros, y en el anexo Informe Financiero, del periodo que analizamos. De forma resumida se enuncian los siguientes: </w:t>
      </w:r>
    </w:p>
    <w:p w14:paraId="2567CECC" w14:textId="77777777" w:rsidR="00A764EF" w:rsidRPr="001F19B5" w:rsidRDefault="00A764EF" w:rsidP="00A764EF">
      <w:pPr>
        <w:jc w:val="both"/>
        <w:rPr>
          <w:rFonts w:ascii="Open Sans" w:hAnsi="Open Sans" w:cs="Arial"/>
          <w:sz w:val="20"/>
          <w:szCs w:val="20"/>
        </w:rPr>
      </w:pPr>
    </w:p>
    <w:p w14:paraId="1A751DB0"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El deterioro del entorno económico o político que pueda afectar a los diferentes países y a la economía global.</w:t>
      </w:r>
    </w:p>
    <w:p w14:paraId="1A00978C"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Los resultados y situación financiera del Grupo por la exposición a los tipos de cambio de divisa extranjera, tipos de interés o riesgos financieros de inversiones. </w:t>
      </w:r>
    </w:p>
    <w:p w14:paraId="23C28896"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Las condiciones actuales o el deterioro de los mercados financieros que pueden limitar la capacidad de financiación del Grupo y, en consecuencia, la capacidad para llevar a cabo el plan de negocio. </w:t>
      </w:r>
    </w:p>
    <w:p w14:paraId="78FEBB34" w14:textId="77777777" w:rsidR="00A764EF" w:rsidRPr="001F19B5" w:rsidRDefault="00A764EF" w:rsidP="000B70C9">
      <w:pPr>
        <w:pStyle w:val="Prrafodelista"/>
        <w:numPr>
          <w:ilvl w:val="0"/>
          <w:numId w:val="61"/>
        </w:numPr>
        <w:jc w:val="both"/>
        <w:rPr>
          <w:rFonts w:ascii="Open Sans" w:hAnsi="Open Sans" w:cs="Arial"/>
          <w:color w:val="000000"/>
          <w:sz w:val="20"/>
          <w:szCs w:val="20"/>
        </w:rPr>
      </w:pPr>
      <w:r w:rsidRPr="001F19B5">
        <w:rPr>
          <w:rFonts w:ascii="Open Sans" w:hAnsi="Open Sans" w:cs="Arial"/>
          <w:color w:val="000000"/>
          <w:sz w:val="20"/>
          <w:szCs w:val="20"/>
        </w:rPr>
        <w:t>El riesgo de no materialización de la compraventa de las operaciones de Telefónica en Reino Unido (O2 UK) por parte del Grupo Hutchison Whampoa.</w:t>
      </w:r>
    </w:p>
    <w:p w14:paraId="5F60BC7D"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La Compañía opera en una industria intensamente regulada y que requiere de títulos habilitantes para la prestación de gran parte de sus servicios, así como para el uso de espectro que es recurso escaso y costoso. </w:t>
      </w:r>
    </w:p>
    <w:p w14:paraId="1D2BF854"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La exposición a riesgos en relación con el cumplimiento de la legislación contra la corrupción y los programas de sanciones económicas. </w:t>
      </w:r>
    </w:p>
    <w:p w14:paraId="3AE27E17"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La percepción del cliente respecto de los servicios ofrecidos por la Compañía en relación con los ofrecidos por compañías competidoras. </w:t>
      </w:r>
    </w:p>
    <w:p w14:paraId="1E0C0E73"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La necesidad de  anticiparse y adaptarse adecuadamente a los cambios tecnológicos y tendencias del sector. </w:t>
      </w:r>
    </w:p>
    <w:p w14:paraId="4F93204D"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La dependencia  de una red de proveedores. </w:t>
      </w:r>
    </w:p>
    <w:p w14:paraId="5A4B1199" w14:textId="77777777" w:rsidR="00A764EF" w:rsidRPr="001F19B5" w:rsidRDefault="00A764EF" w:rsidP="000B70C9">
      <w:pPr>
        <w:pStyle w:val="Pa5"/>
        <w:widowControl w:val="0"/>
        <w:numPr>
          <w:ilvl w:val="0"/>
          <w:numId w:val="61"/>
        </w:numPr>
        <w:spacing w:line="240" w:lineRule="auto"/>
        <w:jc w:val="both"/>
        <w:rPr>
          <w:rFonts w:ascii="Open Sans" w:hAnsi="Open Sans" w:cs="Arial"/>
          <w:color w:val="000000"/>
          <w:sz w:val="20"/>
          <w:szCs w:val="20"/>
        </w:rPr>
      </w:pPr>
      <w:r w:rsidRPr="001F19B5">
        <w:rPr>
          <w:rFonts w:ascii="Open Sans" w:hAnsi="Open Sans" w:cs="Arial"/>
          <w:color w:val="000000"/>
          <w:sz w:val="20"/>
          <w:szCs w:val="20"/>
        </w:rPr>
        <w:t xml:space="preserve">Eventuales fallos en la Red pueden producir pérdida de calidad o la interrupción del servicio. </w:t>
      </w:r>
    </w:p>
    <w:p w14:paraId="0CEEFC71" w14:textId="77777777" w:rsidR="00A764EF" w:rsidRPr="001F19B5" w:rsidRDefault="00A764EF" w:rsidP="000B70C9">
      <w:pPr>
        <w:pStyle w:val="Prrafodelista"/>
        <w:numPr>
          <w:ilvl w:val="0"/>
          <w:numId w:val="61"/>
        </w:numPr>
        <w:jc w:val="both"/>
        <w:rPr>
          <w:rFonts w:ascii="Open Sans" w:hAnsi="Open Sans" w:cs="Arial"/>
          <w:color w:val="000000"/>
          <w:sz w:val="20"/>
          <w:szCs w:val="20"/>
        </w:rPr>
      </w:pPr>
      <w:r w:rsidRPr="001F19B5">
        <w:rPr>
          <w:rFonts w:ascii="Open Sans" w:hAnsi="Open Sans" w:cs="Arial"/>
          <w:color w:val="000000"/>
          <w:sz w:val="20"/>
          <w:szCs w:val="20"/>
        </w:rPr>
        <w:t>La industria de las telecomunicaciones podría verse afectada por los posibles efectos que los campos electromagnéticos, emitidos por dispositivos móviles y estaciones base, podrían tener sobre la salud.</w:t>
      </w:r>
    </w:p>
    <w:p w14:paraId="47573711" w14:textId="77777777" w:rsidR="00A764EF" w:rsidRPr="001F19B5" w:rsidRDefault="00A764EF" w:rsidP="00A764EF">
      <w:pPr>
        <w:jc w:val="both"/>
        <w:rPr>
          <w:rFonts w:ascii="Open Sans" w:hAnsi="Open Sans" w:cs="Arial"/>
          <w:color w:val="000000"/>
          <w:sz w:val="20"/>
          <w:szCs w:val="20"/>
        </w:rPr>
      </w:pPr>
    </w:p>
    <w:p w14:paraId="77E873F8"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Telefónica ha obtenido unos ingresos netos durante el ejercicio 2015 de 47.219 millones de euros millones de euros. La plantilla promedio del año 2015 ascendió a 125.892. </w:t>
      </w:r>
    </w:p>
    <w:p w14:paraId="2BB5E768"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Con sede central en Madrid, en la actualidad opera en 16 países, más en Reino Unido, aunque desde el primer trimestre de 2015, las operaciones de Telefónica Reino Unido se reportan como operación en discontinuación dentro del Grupo, activos clasificados como "mantenidos para la venta", consecuencia de la firma del acuerdo definitivo de venta de la Compañía en marzo de 2015.</w:t>
      </w:r>
    </w:p>
    <w:p w14:paraId="7C7B536C"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Con un beneficio neto en 2015 de 2.745 millones de euros, que es el resultado del ejercicio atribuido a los accionistas de la Sociedad, presenta un resultado contable antes de impuestos de 311 millones de euros y un gasto por impuesto sobre beneficios  que asciende a 13 millones de euros (comparado con 260 millones de euros en 2014)  principalmente por el reconocimiento de la diferencia temporaria derivada de la provisión por gastos de reestructuración, además de la activación de créditos fiscales en España</w:t>
      </w:r>
      <w:r w:rsidRPr="001F19B5">
        <w:rPr>
          <w:rStyle w:val="Refdenotaalpie"/>
          <w:rFonts w:ascii="Open Sans" w:hAnsi="Open Sans" w:cs="Arial"/>
          <w:sz w:val="20"/>
          <w:szCs w:val="20"/>
        </w:rPr>
        <w:footnoteReference w:id="581"/>
      </w:r>
      <w:r w:rsidRPr="001F19B5">
        <w:rPr>
          <w:rFonts w:ascii="Open Sans" w:hAnsi="Open Sans" w:cs="Arial"/>
          <w:sz w:val="20"/>
          <w:szCs w:val="20"/>
        </w:rPr>
        <w:t xml:space="preserve">. </w:t>
      </w:r>
    </w:p>
    <w:p w14:paraId="223C63DA"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Considerando el resultado antes de impuestos de 311 millones de euros, la tasa efectiva es del 4,2%, 4,3 puntos porcentuales menos que en 2014</w:t>
      </w:r>
      <w:r w:rsidRPr="001F19B5">
        <w:rPr>
          <w:rStyle w:val="Refdenotaalpie"/>
          <w:rFonts w:ascii="Open Sans" w:hAnsi="Open Sans" w:cs="Arial"/>
          <w:sz w:val="20"/>
          <w:szCs w:val="20"/>
        </w:rPr>
        <w:footnoteReference w:id="582"/>
      </w:r>
      <w:r w:rsidRPr="001F19B5">
        <w:rPr>
          <w:rFonts w:ascii="Open Sans" w:hAnsi="Open Sans" w:cs="Arial"/>
          <w:sz w:val="20"/>
          <w:szCs w:val="20"/>
        </w:rPr>
        <w:t>.</w:t>
      </w:r>
    </w:p>
    <w:p w14:paraId="01CF615D"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Reporta una activación de créditos fiscales por deducciones y bonificaciones de 453 millones de euros, la utilización de bases negativas asciende a 1.200 millones de euros.</w:t>
      </w:r>
    </w:p>
    <w:p w14:paraId="0BD6E4FC"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Telefónica cuenta con una capitalización bursátil a 31 de diciembre de 2015 de 50.921 millones de Euros. Su operación se estructura conforme a los  siguientes segmentos: Telefónica España, Telefónica Brasil, Telefónica Alemania y Telefónica Hispanoamérica (integrado por las operadoras del Grupo en Argentina, Chile, Perú, Colombia, México, Venezuela y Centroamérica, Ecuador y Uruguay). Los ingresos del Grupo provienen principalmente de la prestación de los siguientes servicios de telecomunicaciones: tráfico, cuotas de conexión, cuotas periódicas (normalmente mensuales) por la utilización de la red, interconexión, alquiler de redes y equipos, venta de equipos y otros servicios digitales, como la televisión de pago y los servicios de valor añadido o el mantenimiento. </w:t>
      </w:r>
    </w:p>
    <w:p w14:paraId="4E1B53DE"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Cotiza en el mercado continuo de las bolsas españolas y en las bolsas de Londres, Nueva York, Lima y Buenos Aires</w:t>
      </w:r>
    </w:p>
    <w:p w14:paraId="096D3E97"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Las ventas netas y prestaciones de servicios en 2015 han alcanzado la cifra de  47.219 millones de euros. La compañía explica el crecimiento interanual del  8,7% principalmente por la incorporación de E- Plus (Alemania</w:t>
      </w:r>
      <w:proofErr w:type="gramStart"/>
      <w:r w:rsidRPr="001F19B5">
        <w:rPr>
          <w:rFonts w:ascii="Open Sans" w:hAnsi="Open Sans" w:cs="Arial"/>
          <w:sz w:val="20"/>
          <w:szCs w:val="20"/>
        </w:rPr>
        <w:t>) ,</w:t>
      </w:r>
      <w:proofErr w:type="gramEnd"/>
      <w:r w:rsidRPr="001F19B5">
        <w:rPr>
          <w:rFonts w:ascii="Open Sans" w:hAnsi="Open Sans" w:cs="Arial"/>
          <w:sz w:val="20"/>
          <w:szCs w:val="20"/>
        </w:rPr>
        <w:t xml:space="preserve"> GVT  (Brasil) y DTS (España).</w:t>
      </w:r>
    </w:p>
    <w:p w14:paraId="3F06CDF8"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El segmento que más contribuyó a los ingresos del 2015 fue Telefónica Hispanoamérica representando el 30,5% de los ingresos, a pesar del impacto de los tipos de cambio y la hiperinflación de Venezuela, seguido por Telefónica España con el 26,3%, Telefónica Brasil que representa el 23,4% y Telefónica Alemania. Telefónica España, Telefónica Brasil y Telefónica Alemania representan el 66% de los ingresos totales</w:t>
      </w:r>
    </w:p>
    <w:p w14:paraId="031875E5"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En cuanto a las principales operaciones que han tenido lugar el último año destaca: </w:t>
      </w:r>
    </w:p>
    <w:p w14:paraId="5C6F7AA7" w14:textId="77777777" w:rsidR="00A764EF" w:rsidRPr="001F19B5" w:rsidRDefault="00A764EF" w:rsidP="00A764EF">
      <w:pPr>
        <w:spacing w:before="120"/>
        <w:jc w:val="both"/>
        <w:rPr>
          <w:rFonts w:ascii="Open Sans" w:hAnsi="Open Sans" w:cs="Arial"/>
          <w:sz w:val="20"/>
          <w:szCs w:val="20"/>
        </w:rPr>
      </w:pPr>
    </w:p>
    <w:p w14:paraId="3BC135CF" w14:textId="77777777" w:rsidR="00A764EF" w:rsidRPr="001F19B5" w:rsidRDefault="00A764EF" w:rsidP="000B70C9">
      <w:pPr>
        <w:pStyle w:val="Prrafodelista"/>
        <w:numPr>
          <w:ilvl w:val="0"/>
          <w:numId w:val="62"/>
        </w:numPr>
        <w:jc w:val="both"/>
        <w:rPr>
          <w:rFonts w:ascii="Open Sans" w:hAnsi="Open Sans" w:cs="Arial"/>
          <w:sz w:val="20"/>
          <w:szCs w:val="20"/>
        </w:rPr>
      </w:pPr>
      <w:r w:rsidRPr="001F19B5">
        <w:rPr>
          <w:rFonts w:ascii="Open Sans" w:hAnsi="Open Sans" w:cs="Arial"/>
          <w:sz w:val="20"/>
          <w:szCs w:val="20"/>
        </w:rPr>
        <w:t>En marzo  de 2015 Telefónica, S.A. suscribió un acuerdo con el Grupo Hutchinson para la adquisición por parte de éste de las operaciones de Telefónica en Reino Unido. Las compañías objeto del acuerdo han sido consideradas como grupo enajenable mantenido para la venta y sus operaciones clasificadas como operaciones en discontinuación.</w:t>
      </w:r>
    </w:p>
    <w:p w14:paraId="7E3A0835" w14:textId="77777777" w:rsidR="00A764EF" w:rsidRPr="001F19B5" w:rsidRDefault="00A764EF" w:rsidP="000B70C9">
      <w:pPr>
        <w:pStyle w:val="Prrafodelista"/>
        <w:numPr>
          <w:ilvl w:val="0"/>
          <w:numId w:val="62"/>
        </w:numPr>
        <w:jc w:val="both"/>
        <w:rPr>
          <w:rFonts w:ascii="Open Sans" w:hAnsi="Open Sans" w:cs="Arial"/>
          <w:sz w:val="20"/>
          <w:szCs w:val="20"/>
        </w:rPr>
      </w:pPr>
      <w:r w:rsidRPr="001F19B5">
        <w:rPr>
          <w:rFonts w:ascii="Open Sans" w:hAnsi="Open Sans" w:cs="Arial"/>
          <w:sz w:val="20"/>
          <w:szCs w:val="20"/>
        </w:rPr>
        <w:t xml:space="preserve">Mantiene la alianza industrial con China Unicom. </w:t>
      </w:r>
    </w:p>
    <w:p w14:paraId="1359DA6F" w14:textId="77777777" w:rsidR="00A764EF" w:rsidRPr="001F19B5" w:rsidRDefault="00A764EF" w:rsidP="000B70C9">
      <w:pPr>
        <w:pStyle w:val="Prrafodelista"/>
        <w:numPr>
          <w:ilvl w:val="0"/>
          <w:numId w:val="62"/>
        </w:numPr>
        <w:autoSpaceDE w:val="0"/>
        <w:autoSpaceDN w:val="0"/>
        <w:adjustRightInd w:val="0"/>
        <w:jc w:val="both"/>
        <w:rPr>
          <w:rFonts w:ascii="Open Sans" w:hAnsi="Open Sans" w:cs="Arial"/>
          <w:sz w:val="20"/>
          <w:szCs w:val="20"/>
        </w:rPr>
      </w:pPr>
      <w:r w:rsidRPr="001F19B5">
        <w:rPr>
          <w:rFonts w:ascii="Open Sans" w:hAnsi="Open Sans" w:cs="Arial"/>
          <w:sz w:val="20"/>
          <w:szCs w:val="20"/>
        </w:rPr>
        <w:t>El programa de “Partners” cuenta desde 2011 con cinco operadores adheridos (Bouygues, Etisalat, Sunrise, Megafon y O2 Czech Republic) por el que se pone a disposición de determinados operadores y en el marco de un acuerdo comercial, un catálogo de servicios que permite a los socios cooperar en áreas de negocio clave.</w:t>
      </w:r>
    </w:p>
    <w:p w14:paraId="791D8D7E" w14:textId="77777777" w:rsidR="00A764EF" w:rsidRPr="001F19B5" w:rsidRDefault="00A764EF" w:rsidP="000B70C9">
      <w:pPr>
        <w:pStyle w:val="Prrafodelista"/>
        <w:numPr>
          <w:ilvl w:val="0"/>
          <w:numId w:val="62"/>
        </w:numPr>
        <w:autoSpaceDE w:val="0"/>
        <w:autoSpaceDN w:val="0"/>
        <w:adjustRightInd w:val="0"/>
        <w:jc w:val="both"/>
        <w:rPr>
          <w:rFonts w:ascii="Open Sans" w:hAnsi="Open Sans" w:cs="Arial"/>
          <w:sz w:val="20"/>
          <w:szCs w:val="20"/>
        </w:rPr>
      </w:pPr>
      <w:r w:rsidRPr="001F19B5">
        <w:rPr>
          <w:rFonts w:ascii="Open Sans" w:hAnsi="Open Sans" w:cs="Arial"/>
          <w:sz w:val="20"/>
          <w:szCs w:val="20"/>
        </w:rPr>
        <w:t>Ha  incrementado su presencia en mercados clave con la adquisición de E-Plus por parte de Telefónica Alemania, DTS por parte de Telefónica España y GVT por parte de Telefónica Brasil.</w:t>
      </w:r>
    </w:p>
    <w:p w14:paraId="7DCA0B50" w14:textId="77777777" w:rsidR="00A764EF" w:rsidRPr="001F19B5" w:rsidRDefault="00A764EF" w:rsidP="00A764EF">
      <w:pPr>
        <w:spacing w:before="120"/>
        <w:jc w:val="both"/>
        <w:rPr>
          <w:rFonts w:ascii="Open Sans" w:hAnsi="Open Sans" w:cs="Arial"/>
          <w:bCs/>
          <w:sz w:val="20"/>
          <w:szCs w:val="20"/>
        </w:rPr>
      </w:pPr>
      <w:r w:rsidRPr="001F19B5">
        <w:rPr>
          <w:rStyle w:val="A8"/>
          <w:rFonts w:ascii="Open Sans" w:hAnsi="Open Sans" w:cs="Arial"/>
          <w:bCs/>
          <w:sz w:val="20"/>
          <w:szCs w:val="20"/>
        </w:rPr>
        <w:t xml:space="preserve">Telefónica cuenta con presencia en índices de sostenibilidad globales, como Dow Jones Sustainability Index (DJSI), Carbon Disclosure Project (CDP), Sustainalytics, Ethibel, MSCI o FTSE4Good. </w:t>
      </w:r>
      <w:r w:rsidRPr="001F19B5">
        <w:rPr>
          <w:rFonts w:ascii="Open Sans" w:hAnsi="Open Sans" w:cs="Arial"/>
          <w:sz w:val="20"/>
          <w:szCs w:val="20"/>
        </w:rPr>
        <w:t>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1F19B5">
        <w:rPr>
          <w:rFonts w:ascii="Open Sans" w:hAnsi="Open Sans"/>
        </w:rPr>
        <w:t>.</w:t>
      </w:r>
    </w:p>
    <w:p w14:paraId="4B20F5AC" w14:textId="77777777" w:rsidR="00A764EF" w:rsidRPr="001F19B5" w:rsidRDefault="00A764EF" w:rsidP="00A764EF">
      <w:pPr>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 xml:space="preserve">La deuda neta financiera se sitúa en 49.921 millones de euros a diciembre de 2015 que  ha tenido un aumento interanual de  4.834 millones de euros. Entre los factores que se señala que aumentan la deuda se incluyen: i) 6.934 millones de euros en concepto de inversiones financieras netas incluyendo cambios en el perímetro; ii) retribución al accionista (dividendos, autocartera y cupones de híbridos) por importe de 4.188 millones de euros; iii) pagos de espectro por 1.307 millones de euros; iv) pago de los compromisos de origen laboral (721 millones de euros) fundamentalmente por prejubilaciones y v) otros factores que afectan a la valoración de los pasivos por 1.185 millones euros (fundamentalmente por la refinanciación de pasivos comerciales). </w:t>
      </w:r>
    </w:p>
    <w:p w14:paraId="4A7D99D5" w14:textId="77777777" w:rsidR="00A764EF" w:rsidRPr="001F19B5" w:rsidRDefault="00A764EF" w:rsidP="00A764EF">
      <w:pPr>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El ratio de endeudamiento (deuda neta sobre OIBDA) de los últimos 12 meses a cierre de diciembre de 2015 se sitúa en 2,91 veces. El ratio considerando el cierre de la venta de O2 UK se situaría en 2,38 veces.</w:t>
      </w:r>
    </w:p>
    <w:p w14:paraId="4F834BC2" w14:textId="77777777" w:rsidR="00A764EF" w:rsidRPr="001F19B5" w:rsidRDefault="00A764EF" w:rsidP="00A764EF">
      <w:pPr>
        <w:autoSpaceDE w:val="0"/>
        <w:autoSpaceDN w:val="0"/>
        <w:adjustRightInd w:val="0"/>
        <w:jc w:val="both"/>
        <w:rPr>
          <w:rFonts w:ascii="Open Sans" w:hAnsi="Open Sans" w:cs="Arial"/>
          <w:sz w:val="20"/>
          <w:szCs w:val="20"/>
        </w:rPr>
      </w:pPr>
    </w:p>
    <w:p w14:paraId="0243E5F3" w14:textId="4B576EDC" w:rsidR="00A764EF" w:rsidRPr="00256EC8" w:rsidRDefault="00A764EF" w:rsidP="00256EC8">
      <w:pPr>
        <w:autoSpaceDE w:val="0"/>
        <w:autoSpaceDN w:val="0"/>
        <w:adjustRightInd w:val="0"/>
        <w:jc w:val="both"/>
        <w:rPr>
          <w:rFonts w:ascii="Open Sans" w:hAnsi="Open Sans" w:cs="Arial"/>
          <w:color w:val="000000"/>
          <w:sz w:val="20"/>
          <w:szCs w:val="20"/>
        </w:rPr>
      </w:pPr>
      <w:r w:rsidRPr="001F19B5">
        <w:rPr>
          <w:rFonts w:ascii="Open Sans" w:hAnsi="Open Sans" w:cs="Arial"/>
          <w:color w:val="000000"/>
          <w:sz w:val="20"/>
          <w:szCs w:val="20"/>
        </w:rPr>
        <w:t xml:space="preserve">El número de sociedades que ha compuesto el grupo consolidado fiscal en los ejercicios 2015 ha sido </w:t>
      </w:r>
      <w:proofErr w:type="gramStart"/>
      <w:r w:rsidRPr="001F19B5">
        <w:rPr>
          <w:rFonts w:ascii="Open Sans" w:hAnsi="Open Sans" w:cs="Arial"/>
          <w:color w:val="000000"/>
          <w:sz w:val="20"/>
          <w:szCs w:val="20"/>
        </w:rPr>
        <w:t>52 .</w:t>
      </w:r>
      <w:proofErr w:type="gramEnd"/>
    </w:p>
    <w:p w14:paraId="01D94790" w14:textId="77777777" w:rsidR="00A764EF" w:rsidRPr="001F19B5" w:rsidRDefault="00A764EF" w:rsidP="00A764EF">
      <w:pPr>
        <w:autoSpaceDE w:val="0"/>
        <w:autoSpaceDN w:val="0"/>
        <w:adjustRightInd w:val="0"/>
        <w:jc w:val="both"/>
        <w:rPr>
          <w:rFonts w:ascii="Open Sans" w:hAnsi="Open Sans" w:cs="Arial"/>
          <w:sz w:val="20"/>
          <w:szCs w:val="20"/>
        </w:rPr>
      </w:pPr>
    </w:p>
    <w:p w14:paraId="079B2035" w14:textId="77777777" w:rsidR="00A764EF" w:rsidRPr="001F19B5" w:rsidRDefault="00A764EF" w:rsidP="00A764EF">
      <w:pPr>
        <w:spacing w:before="360"/>
        <w:jc w:val="both"/>
        <w:outlineLvl w:val="5"/>
        <w:rPr>
          <w:rFonts w:ascii="Open Sans" w:hAnsi="Open Sans" w:cs="Arial"/>
          <w:b/>
          <w:sz w:val="22"/>
          <w:szCs w:val="22"/>
          <w:u w:val="single"/>
        </w:rPr>
      </w:pPr>
      <w:r w:rsidRPr="001F19B5">
        <w:rPr>
          <w:rFonts w:ascii="Open Sans" w:hAnsi="Open Sans" w:cs="Arial"/>
          <w:b/>
          <w:sz w:val="22"/>
          <w:szCs w:val="22"/>
          <w:u w:val="single"/>
        </w:rPr>
        <w:t>4. Análisis</w:t>
      </w:r>
    </w:p>
    <w:p w14:paraId="652F40E7" w14:textId="77777777" w:rsidR="00A764EF" w:rsidRPr="001F19B5" w:rsidRDefault="00A764EF" w:rsidP="00A764EF">
      <w:pPr>
        <w:pStyle w:val="Pa5"/>
        <w:spacing w:before="120" w:after="160" w:line="240" w:lineRule="auto"/>
        <w:jc w:val="both"/>
        <w:rPr>
          <w:rStyle w:val="A8"/>
          <w:rFonts w:ascii="Open Sans" w:hAnsi="Open Sans" w:cs="Arial"/>
          <w:sz w:val="20"/>
          <w:szCs w:val="20"/>
        </w:rPr>
      </w:pPr>
      <w:r w:rsidRPr="001F19B5">
        <w:rPr>
          <w:rFonts w:ascii="Open Sans" w:hAnsi="Open Sans" w:cs="Arial"/>
          <w:color w:val="000000"/>
          <w:sz w:val="20"/>
          <w:szCs w:val="20"/>
        </w:rPr>
        <w:t>Admitiendo que el actual entorno económico ha puesto en el centro del debate la aportación tributaria de las grandes multinacionales, la compañía enuncia su compromiso de “</w:t>
      </w:r>
      <w:r w:rsidRPr="001F19B5">
        <w:rPr>
          <w:rFonts w:ascii="Open Sans" w:hAnsi="Open Sans" w:cs="Arial"/>
          <w:i/>
          <w:sz w:val="20"/>
          <w:szCs w:val="20"/>
        </w:rPr>
        <w:t>actuar con responsabilidad fiscal en la gestión de los negocios y cumplir con todas las obligaciones fiscales en todos los territorios en los que opera y haciéndolo de manera transparente”</w:t>
      </w:r>
      <w:r w:rsidRPr="001F19B5">
        <w:rPr>
          <w:rFonts w:ascii="Open Sans" w:hAnsi="Open Sans" w:cs="Arial"/>
          <w:color w:val="000000"/>
          <w:sz w:val="20"/>
          <w:szCs w:val="20"/>
        </w:rPr>
        <w:t>.  Además de la adhesión al Código de Buenas Prácticas Tributarias, con el objetivo de aumentar dicha  transparencia, la compañía cuenta con los Principios de Negocio Responsable en materia de cumplimiento tributario</w:t>
      </w:r>
      <w:r w:rsidRPr="001F19B5">
        <w:rPr>
          <w:rStyle w:val="Refdenotaalpie"/>
          <w:rFonts w:ascii="Open Sans" w:hAnsi="Open Sans" w:cs="Arial"/>
          <w:color w:val="000000"/>
          <w:sz w:val="20"/>
          <w:szCs w:val="20"/>
        </w:rPr>
        <w:footnoteReference w:id="583"/>
      </w:r>
      <w:r w:rsidRPr="001F19B5">
        <w:rPr>
          <w:rFonts w:ascii="Open Sans" w:hAnsi="Open Sans" w:cs="Arial"/>
          <w:color w:val="000000"/>
          <w:sz w:val="20"/>
          <w:szCs w:val="20"/>
        </w:rPr>
        <w:t xml:space="preserve">, en base a los cuales se compromete a actuar con honestidad y respeto por la ley en la gestión de los asuntos fiscales. </w:t>
      </w:r>
    </w:p>
    <w:p w14:paraId="60D9C436" w14:textId="77777777" w:rsidR="00A764EF" w:rsidRPr="001F19B5" w:rsidRDefault="00A764EF" w:rsidP="00A764EF">
      <w:pPr>
        <w:pStyle w:val="Pa5"/>
        <w:spacing w:before="120" w:after="160" w:line="240" w:lineRule="auto"/>
        <w:jc w:val="both"/>
        <w:rPr>
          <w:rFonts w:ascii="Open Sans" w:hAnsi="Open Sans" w:cs="Arial"/>
          <w:sz w:val="20"/>
          <w:szCs w:val="20"/>
        </w:rPr>
      </w:pPr>
      <w:r w:rsidRPr="001F19B5">
        <w:rPr>
          <w:rFonts w:ascii="Open Sans" w:hAnsi="Open Sans" w:cs="Arial"/>
          <w:color w:val="000000"/>
          <w:sz w:val="20"/>
          <w:szCs w:val="20"/>
        </w:rPr>
        <w:t>La compañía afirma que las operaciones del Grupo Telefónica en territorios considerados por otros organismos distintos a la OCDE y de España como de escasa o nula tributación, responden única y exclusivamente a motivaciones económicas y comerciales (Business Purpose) y cuentan con los medios materiales y humanos necesarios para el desarrollo de sus actividades propias sin ser, en ningún caso, el objetivo de estas operaciones trasladar resultados a estas jurisdicciones para obtener una reducción de la carga tributaria. No obstante esta declaración, en la información relativa a Principales sociedades del Grupo Telefónica, no se informa sobre el número de empleados vinculados con estas sociedades</w:t>
      </w:r>
      <w:r w:rsidRPr="001F19B5">
        <w:rPr>
          <w:rFonts w:ascii="Open Sans" w:hAnsi="Open Sans" w:cs="Arial"/>
          <w:color w:val="76923C" w:themeColor="accent3" w:themeShade="BF"/>
          <w:sz w:val="20"/>
          <w:szCs w:val="20"/>
        </w:rPr>
        <w:t xml:space="preserve">, </w:t>
      </w:r>
      <w:r w:rsidRPr="001F19B5">
        <w:rPr>
          <w:rFonts w:ascii="Open Sans" w:hAnsi="Open Sans" w:cs="Arial"/>
          <w:sz w:val="20"/>
          <w:szCs w:val="20"/>
        </w:rPr>
        <w:t>datos de facturación, operaciones intragrupo o impuestos pagados.</w:t>
      </w:r>
    </w:p>
    <w:p w14:paraId="1D4941A2"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En línea con lo anterior,  declara que no tener presencia en ninguna de las jurisdicciones recogidas en el listado de paraísos fiscales reglamentariamente establecido por España de acuerdo con la disposición adicional 1ª Ley 36/2006 de medidas para la prevención del fraude fiscal en su redacción actualizada por la Disposición Final 2 de la Ley 26/2014 de 27 de Noviembre .Además, Telefónica está comprometido con el cumplimiento de lo establecido en las “Líneas Directrices de la OCDE para empresas multinacionales”</w:t>
      </w:r>
      <w:r w:rsidRPr="001F19B5">
        <w:rPr>
          <w:rStyle w:val="Refdenotaalpie"/>
          <w:rFonts w:ascii="Open Sans" w:hAnsi="Open Sans" w:cs="Arial"/>
          <w:sz w:val="20"/>
          <w:szCs w:val="20"/>
        </w:rPr>
        <w:footnoteReference w:id="584"/>
      </w:r>
      <w:r w:rsidRPr="001F19B5">
        <w:rPr>
          <w:rFonts w:ascii="Open Sans" w:hAnsi="Open Sans" w:cs="Arial"/>
          <w:sz w:val="20"/>
          <w:szCs w:val="20"/>
        </w:rPr>
        <w:t> en materia tributaria.</w:t>
      </w:r>
    </w:p>
    <w:p w14:paraId="1E679A8D"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Tal y como se explica en la metodología de este informe, el criterio que se sigue en la presente investigación es otro. Resultado de la investigación y análisis realizados, se han identificado un total de 29 sociedades domiciliadas en paraísos fiscales o nichos  de acuerdo con la metodología empleada por el Observatorio de RSC, de las cuales una tiene domicilio en Islas Vírgenes y una en las Islas Caimán.</w:t>
      </w:r>
    </w:p>
    <w:p w14:paraId="07A0DDA1"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En el Anexo VI de los Estados Financieros Consolidados se relacionan las principales sociedades que conforman el Grupo Telefónica. Para cada sociedad se informa de: denominación, objeto social principal, país, moneda funcional, capital social (expresado en millones de unidades de la moneda funcional), el porcentaje de participación efectivo del Grupo Telefónica y la sociedad o sociedades a través de las cuales se obtiene la participación del Grupo. Asimismo, en Anexo I de cuentas anuales de Telefónica S.A, (Detalle de empresas Dependientes y Asociadas al 31 de diciembre de 2015) se añade información sobre  participación, reservas, resultados y valor neto de las mismas.</w:t>
      </w:r>
    </w:p>
    <w:p w14:paraId="41632B20" w14:textId="77777777" w:rsidR="00A764EF" w:rsidRPr="001F19B5" w:rsidRDefault="00A764EF" w:rsidP="00A764EF">
      <w:pPr>
        <w:rPr>
          <w:rFonts w:ascii="Open Sans" w:hAnsi="Open Sans" w:cs="Arial"/>
          <w:color w:val="76923C" w:themeColor="accent3" w:themeShade="BF"/>
          <w:sz w:val="20"/>
          <w:szCs w:val="20"/>
        </w:rPr>
      </w:pPr>
    </w:p>
    <w:tbl>
      <w:tblPr>
        <w:tblW w:w="861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897"/>
        <w:gridCol w:w="1923"/>
        <w:gridCol w:w="3791"/>
      </w:tblGrid>
      <w:tr w:rsidR="00A764EF" w:rsidRPr="001F19B5" w14:paraId="0A055618" w14:textId="77777777" w:rsidTr="00A764EF">
        <w:trPr>
          <w:cantSplit/>
        </w:trPr>
        <w:tc>
          <w:tcPr>
            <w:tcW w:w="2897" w:type="dxa"/>
            <w:shd w:val="clear" w:color="000000" w:fill="D9D9D9"/>
            <w:noWrap/>
            <w:vAlign w:val="center"/>
            <w:hideMark/>
          </w:tcPr>
          <w:p w14:paraId="147A48F6" w14:textId="77777777" w:rsidR="00A764EF" w:rsidRPr="001F19B5" w:rsidRDefault="00A764EF" w:rsidP="00A764EF">
            <w:pPr>
              <w:tabs>
                <w:tab w:val="left" w:pos="2327"/>
              </w:tabs>
              <w:rPr>
                <w:rFonts w:ascii="Open Sans" w:hAnsi="Open Sans" w:cs="Arial"/>
                <w:b/>
                <w:bCs/>
                <w:color w:val="000000"/>
                <w:sz w:val="20"/>
                <w:szCs w:val="20"/>
              </w:rPr>
            </w:pPr>
            <w:r w:rsidRPr="001F19B5">
              <w:rPr>
                <w:rFonts w:ascii="Open Sans" w:hAnsi="Open Sans" w:cs="Arial"/>
                <w:b/>
                <w:bCs/>
                <w:color w:val="000000"/>
                <w:sz w:val="20"/>
                <w:szCs w:val="20"/>
              </w:rPr>
              <w:t>Nombre de la Sociedad</w:t>
            </w:r>
          </w:p>
        </w:tc>
        <w:tc>
          <w:tcPr>
            <w:tcW w:w="1923" w:type="dxa"/>
            <w:shd w:val="clear" w:color="000000" w:fill="D9D9D9"/>
            <w:noWrap/>
            <w:vAlign w:val="center"/>
            <w:hideMark/>
          </w:tcPr>
          <w:p w14:paraId="324DD325" w14:textId="77777777" w:rsidR="00A764EF" w:rsidRPr="001F19B5" w:rsidRDefault="00A764EF" w:rsidP="00A764EF">
            <w:pPr>
              <w:tabs>
                <w:tab w:val="left" w:pos="2327"/>
              </w:tabs>
              <w:rPr>
                <w:rFonts w:ascii="Open Sans" w:hAnsi="Open Sans" w:cs="Arial"/>
                <w:b/>
                <w:bCs/>
                <w:color w:val="000000"/>
                <w:sz w:val="20"/>
                <w:szCs w:val="20"/>
              </w:rPr>
            </w:pPr>
            <w:r w:rsidRPr="001F19B5">
              <w:rPr>
                <w:rFonts w:ascii="Open Sans" w:hAnsi="Open Sans" w:cs="Arial"/>
                <w:b/>
                <w:bCs/>
                <w:color w:val="000000"/>
                <w:sz w:val="20"/>
                <w:szCs w:val="20"/>
              </w:rPr>
              <w:t>Jurisdicción</w:t>
            </w:r>
          </w:p>
        </w:tc>
        <w:tc>
          <w:tcPr>
            <w:tcW w:w="3791" w:type="dxa"/>
            <w:shd w:val="clear" w:color="000000" w:fill="D9D9D9"/>
            <w:noWrap/>
            <w:vAlign w:val="center"/>
            <w:hideMark/>
          </w:tcPr>
          <w:p w14:paraId="6EA9FABF" w14:textId="77777777" w:rsidR="00A764EF" w:rsidRPr="001F19B5" w:rsidRDefault="00A764EF" w:rsidP="00A764EF">
            <w:pPr>
              <w:ind w:firstLine="1418"/>
              <w:rPr>
                <w:rFonts w:ascii="Open Sans" w:hAnsi="Open Sans" w:cs="Arial"/>
                <w:b/>
                <w:bCs/>
                <w:color w:val="000000"/>
                <w:sz w:val="20"/>
                <w:szCs w:val="20"/>
              </w:rPr>
            </w:pPr>
            <w:r w:rsidRPr="001F19B5">
              <w:rPr>
                <w:rFonts w:ascii="Open Sans" w:hAnsi="Open Sans" w:cs="Arial"/>
                <w:b/>
                <w:bCs/>
                <w:color w:val="000000"/>
                <w:sz w:val="20"/>
                <w:szCs w:val="20"/>
              </w:rPr>
              <w:t>Actividad</w:t>
            </w:r>
          </w:p>
        </w:tc>
      </w:tr>
      <w:tr w:rsidR="00A764EF" w:rsidRPr="001F19B5" w14:paraId="25450B8E" w14:textId="77777777" w:rsidTr="00A764EF">
        <w:trPr>
          <w:cantSplit/>
        </w:trPr>
        <w:tc>
          <w:tcPr>
            <w:tcW w:w="2897" w:type="dxa"/>
            <w:shd w:val="clear" w:color="auto" w:fill="auto"/>
            <w:noWrap/>
            <w:vAlign w:val="center"/>
            <w:hideMark/>
          </w:tcPr>
          <w:p w14:paraId="09C48EFE" w14:textId="77777777" w:rsidR="00A764EF" w:rsidRPr="00A1554D" w:rsidRDefault="00A764EF" w:rsidP="00A764EF">
            <w:pPr>
              <w:tabs>
                <w:tab w:val="left" w:pos="2327"/>
              </w:tabs>
              <w:rPr>
                <w:rFonts w:ascii="Open Sans" w:hAnsi="Open Sans" w:cs="Arial"/>
                <w:color w:val="000000"/>
                <w:sz w:val="20"/>
                <w:szCs w:val="20"/>
                <w:lang w:val="en-GB"/>
              </w:rPr>
            </w:pPr>
            <w:r w:rsidRPr="00A1554D">
              <w:rPr>
                <w:rFonts w:ascii="Open Sans" w:hAnsi="Open Sans" w:cs="Arial"/>
                <w:color w:val="000000"/>
                <w:sz w:val="20"/>
                <w:szCs w:val="20"/>
                <w:lang w:val="en-GB"/>
              </w:rPr>
              <w:t>Aliança Atlântica Holding B.V.</w:t>
            </w:r>
          </w:p>
        </w:tc>
        <w:tc>
          <w:tcPr>
            <w:tcW w:w="1923" w:type="dxa"/>
            <w:shd w:val="clear" w:color="auto" w:fill="auto"/>
            <w:noWrap/>
            <w:vAlign w:val="center"/>
            <w:hideMark/>
          </w:tcPr>
          <w:p w14:paraId="54AE698F"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42147122"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w:t>
            </w:r>
          </w:p>
        </w:tc>
      </w:tr>
      <w:tr w:rsidR="00A764EF" w:rsidRPr="001F19B5" w14:paraId="2CA02CAA" w14:textId="77777777" w:rsidTr="00A764EF">
        <w:trPr>
          <w:cantSplit/>
        </w:trPr>
        <w:tc>
          <w:tcPr>
            <w:tcW w:w="2897" w:type="dxa"/>
            <w:shd w:val="clear" w:color="auto" w:fill="auto"/>
            <w:noWrap/>
            <w:vAlign w:val="center"/>
            <w:hideMark/>
          </w:tcPr>
          <w:p w14:paraId="64D91722"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Casiopea Reaseguradora, S.A.</w:t>
            </w:r>
          </w:p>
        </w:tc>
        <w:tc>
          <w:tcPr>
            <w:tcW w:w="1923" w:type="dxa"/>
            <w:shd w:val="clear" w:color="auto" w:fill="auto"/>
            <w:noWrap/>
            <w:vAlign w:val="center"/>
            <w:hideMark/>
          </w:tcPr>
          <w:p w14:paraId="7759574E"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Luxemburgo</w:t>
            </w:r>
          </w:p>
        </w:tc>
        <w:tc>
          <w:tcPr>
            <w:tcW w:w="3791" w:type="dxa"/>
            <w:shd w:val="clear" w:color="auto" w:fill="auto"/>
            <w:noWrap/>
            <w:vAlign w:val="center"/>
            <w:hideMark/>
          </w:tcPr>
          <w:p w14:paraId="39773104"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Actividades de reaseguros</w:t>
            </w:r>
          </w:p>
        </w:tc>
      </w:tr>
      <w:tr w:rsidR="00A764EF" w:rsidRPr="001F19B5" w14:paraId="774A8E40" w14:textId="77777777" w:rsidTr="00A764EF">
        <w:trPr>
          <w:cantSplit/>
        </w:trPr>
        <w:tc>
          <w:tcPr>
            <w:tcW w:w="2897" w:type="dxa"/>
            <w:shd w:val="clear" w:color="auto" w:fill="auto"/>
            <w:noWrap/>
            <w:vAlign w:val="center"/>
            <w:hideMark/>
          </w:tcPr>
          <w:p w14:paraId="17DE30CE" w14:textId="77777777" w:rsidR="00A764EF" w:rsidRPr="00A1554D" w:rsidRDefault="00A764EF" w:rsidP="00A764EF">
            <w:pPr>
              <w:tabs>
                <w:tab w:val="left" w:pos="2327"/>
              </w:tabs>
              <w:rPr>
                <w:rFonts w:ascii="Open Sans" w:hAnsi="Open Sans" w:cs="Arial"/>
                <w:color w:val="000000"/>
                <w:sz w:val="20"/>
                <w:szCs w:val="20"/>
                <w:lang w:val="en-GB"/>
              </w:rPr>
            </w:pPr>
            <w:r w:rsidRPr="00A1554D">
              <w:rPr>
                <w:rFonts w:ascii="Open Sans" w:hAnsi="Open Sans" w:cs="Arial"/>
                <w:color w:val="000000"/>
                <w:sz w:val="20"/>
                <w:szCs w:val="20"/>
                <w:lang w:val="en-GB"/>
              </w:rPr>
              <w:t xml:space="preserve">Guatemala Cellular Holdings, B.V. </w:t>
            </w:r>
          </w:p>
        </w:tc>
        <w:tc>
          <w:tcPr>
            <w:tcW w:w="1923" w:type="dxa"/>
            <w:shd w:val="clear" w:color="auto" w:fill="auto"/>
            <w:noWrap/>
            <w:vAlign w:val="center"/>
            <w:hideMark/>
          </w:tcPr>
          <w:p w14:paraId="42030768"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093FFFF2"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 subsidiaria de Telefónica Centroamérica Inversiones</w:t>
            </w:r>
          </w:p>
        </w:tc>
      </w:tr>
      <w:tr w:rsidR="00A764EF" w:rsidRPr="001F19B5" w14:paraId="351263A4" w14:textId="77777777" w:rsidTr="00A764EF">
        <w:trPr>
          <w:cantSplit/>
        </w:trPr>
        <w:tc>
          <w:tcPr>
            <w:tcW w:w="2897" w:type="dxa"/>
            <w:shd w:val="clear" w:color="auto" w:fill="auto"/>
            <w:noWrap/>
            <w:vAlign w:val="center"/>
            <w:hideMark/>
          </w:tcPr>
          <w:p w14:paraId="024014F4"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Telefónica Europe, B.V.</w:t>
            </w:r>
          </w:p>
        </w:tc>
        <w:tc>
          <w:tcPr>
            <w:tcW w:w="1923" w:type="dxa"/>
            <w:shd w:val="clear" w:color="auto" w:fill="auto"/>
            <w:noWrap/>
            <w:vAlign w:val="center"/>
            <w:hideMark/>
          </w:tcPr>
          <w:p w14:paraId="6F709719"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4D619EB5"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Captación de fondos en los mercados de capitales</w:t>
            </w:r>
          </w:p>
        </w:tc>
      </w:tr>
      <w:tr w:rsidR="00A764EF" w:rsidRPr="001F19B5" w14:paraId="3DB7EFB8" w14:textId="77777777" w:rsidTr="00A764EF">
        <w:trPr>
          <w:cantSplit/>
        </w:trPr>
        <w:tc>
          <w:tcPr>
            <w:tcW w:w="2897" w:type="dxa"/>
            <w:shd w:val="clear" w:color="auto" w:fill="auto"/>
            <w:noWrap/>
            <w:vAlign w:val="center"/>
            <w:hideMark/>
          </w:tcPr>
          <w:p w14:paraId="1D8554E9"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Telefónica Europe, B.V.</w:t>
            </w:r>
          </w:p>
        </w:tc>
        <w:tc>
          <w:tcPr>
            <w:tcW w:w="1923" w:type="dxa"/>
            <w:shd w:val="clear" w:color="auto" w:fill="auto"/>
            <w:noWrap/>
            <w:vAlign w:val="center"/>
            <w:hideMark/>
          </w:tcPr>
          <w:p w14:paraId="1F172951"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5698C484"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Captación de fondos en los mercados de capitales</w:t>
            </w:r>
          </w:p>
        </w:tc>
      </w:tr>
      <w:tr w:rsidR="00A764EF" w:rsidRPr="001F19B5" w14:paraId="16B19C1B" w14:textId="77777777" w:rsidTr="00A764EF">
        <w:trPr>
          <w:cantSplit/>
        </w:trPr>
        <w:tc>
          <w:tcPr>
            <w:tcW w:w="2897" w:type="dxa"/>
            <w:shd w:val="clear" w:color="auto" w:fill="auto"/>
            <w:noWrap/>
            <w:vAlign w:val="center"/>
            <w:hideMark/>
          </w:tcPr>
          <w:p w14:paraId="547431AC"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Telefónica Global Activities Holding, B.V.</w:t>
            </w:r>
          </w:p>
        </w:tc>
        <w:tc>
          <w:tcPr>
            <w:tcW w:w="1923" w:type="dxa"/>
            <w:shd w:val="clear" w:color="auto" w:fill="auto"/>
            <w:noWrap/>
            <w:vAlign w:val="center"/>
            <w:hideMark/>
          </w:tcPr>
          <w:p w14:paraId="08A2666F"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594066B9"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w:t>
            </w:r>
          </w:p>
        </w:tc>
      </w:tr>
      <w:tr w:rsidR="00A764EF" w:rsidRPr="001F19B5" w14:paraId="312D1724" w14:textId="77777777" w:rsidTr="00A764EF">
        <w:trPr>
          <w:cantSplit/>
        </w:trPr>
        <w:tc>
          <w:tcPr>
            <w:tcW w:w="2897" w:type="dxa"/>
            <w:shd w:val="clear" w:color="auto" w:fill="auto"/>
            <w:noWrap/>
            <w:vAlign w:val="center"/>
            <w:hideMark/>
          </w:tcPr>
          <w:p w14:paraId="36BE6391"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Telefónica Insurance, S.A.</w:t>
            </w:r>
          </w:p>
        </w:tc>
        <w:tc>
          <w:tcPr>
            <w:tcW w:w="1923" w:type="dxa"/>
            <w:shd w:val="clear" w:color="auto" w:fill="auto"/>
            <w:noWrap/>
            <w:vAlign w:val="center"/>
            <w:hideMark/>
          </w:tcPr>
          <w:p w14:paraId="40FE8E83"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Luxemburgo</w:t>
            </w:r>
          </w:p>
        </w:tc>
        <w:tc>
          <w:tcPr>
            <w:tcW w:w="3791" w:type="dxa"/>
            <w:shd w:val="clear" w:color="auto" w:fill="auto"/>
            <w:noWrap/>
            <w:vAlign w:val="center"/>
            <w:hideMark/>
          </w:tcPr>
          <w:p w14:paraId="00AE1375"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 xml:space="preserve">Realización de operaciones de seguros directos </w:t>
            </w:r>
          </w:p>
        </w:tc>
      </w:tr>
      <w:tr w:rsidR="00A764EF" w:rsidRPr="001F19B5" w14:paraId="5C146C7E" w14:textId="77777777" w:rsidTr="00A764EF">
        <w:trPr>
          <w:cantSplit/>
        </w:trPr>
        <w:tc>
          <w:tcPr>
            <w:tcW w:w="2897" w:type="dxa"/>
            <w:shd w:val="clear" w:color="auto" w:fill="auto"/>
            <w:noWrap/>
            <w:vAlign w:val="center"/>
            <w:hideMark/>
          </w:tcPr>
          <w:p w14:paraId="29DD9D4B"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 xml:space="preserve">Telefónica International Holding, B.V. </w:t>
            </w:r>
          </w:p>
        </w:tc>
        <w:tc>
          <w:tcPr>
            <w:tcW w:w="1923" w:type="dxa"/>
            <w:shd w:val="clear" w:color="auto" w:fill="auto"/>
            <w:noWrap/>
            <w:vAlign w:val="center"/>
            <w:hideMark/>
          </w:tcPr>
          <w:p w14:paraId="35E803BA"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20E3BE9E"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 xml:space="preserve">Sociedad Holding </w:t>
            </w:r>
          </w:p>
        </w:tc>
      </w:tr>
      <w:tr w:rsidR="00A764EF" w:rsidRPr="001F19B5" w14:paraId="3F7F843F" w14:textId="77777777" w:rsidTr="00A764EF">
        <w:trPr>
          <w:cantSplit/>
        </w:trPr>
        <w:tc>
          <w:tcPr>
            <w:tcW w:w="2897" w:type="dxa"/>
            <w:shd w:val="clear" w:color="auto" w:fill="auto"/>
            <w:noWrap/>
            <w:vAlign w:val="center"/>
            <w:hideMark/>
          </w:tcPr>
          <w:p w14:paraId="1693075A"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Telefónica Luxembourg Holding, S.à.r.L.</w:t>
            </w:r>
          </w:p>
        </w:tc>
        <w:tc>
          <w:tcPr>
            <w:tcW w:w="1923" w:type="dxa"/>
            <w:shd w:val="clear" w:color="auto" w:fill="auto"/>
            <w:noWrap/>
            <w:vAlign w:val="center"/>
            <w:hideMark/>
          </w:tcPr>
          <w:p w14:paraId="218DB88D"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Luxemburgo</w:t>
            </w:r>
          </w:p>
        </w:tc>
        <w:tc>
          <w:tcPr>
            <w:tcW w:w="3791" w:type="dxa"/>
            <w:shd w:val="clear" w:color="auto" w:fill="auto"/>
            <w:noWrap/>
            <w:vAlign w:val="center"/>
            <w:hideMark/>
          </w:tcPr>
          <w:p w14:paraId="54EDBD2F"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w:t>
            </w:r>
          </w:p>
        </w:tc>
      </w:tr>
      <w:tr w:rsidR="00A764EF" w:rsidRPr="001F19B5" w14:paraId="14C3CA24" w14:textId="77777777" w:rsidTr="00A764EF">
        <w:trPr>
          <w:cantSplit/>
        </w:trPr>
        <w:tc>
          <w:tcPr>
            <w:tcW w:w="2897" w:type="dxa"/>
            <w:shd w:val="clear" w:color="auto" w:fill="auto"/>
            <w:noWrap/>
            <w:vAlign w:val="center"/>
            <w:hideMark/>
          </w:tcPr>
          <w:p w14:paraId="1A014C5E"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Telfin Ireland Ltd.</w:t>
            </w:r>
          </w:p>
        </w:tc>
        <w:tc>
          <w:tcPr>
            <w:tcW w:w="1923" w:type="dxa"/>
            <w:shd w:val="clear" w:color="auto" w:fill="auto"/>
            <w:noWrap/>
            <w:vAlign w:val="center"/>
            <w:hideMark/>
          </w:tcPr>
          <w:p w14:paraId="3EDB5FB5"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Irlanda</w:t>
            </w:r>
          </w:p>
        </w:tc>
        <w:tc>
          <w:tcPr>
            <w:tcW w:w="3791" w:type="dxa"/>
            <w:shd w:val="clear" w:color="auto" w:fill="auto"/>
            <w:noWrap/>
            <w:vAlign w:val="center"/>
            <w:hideMark/>
          </w:tcPr>
          <w:p w14:paraId="00F36705"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Financiación intragrupo</w:t>
            </w:r>
          </w:p>
        </w:tc>
      </w:tr>
      <w:tr w:rsidR="00A764EF" w:rsidRPr="001F19B5" w14:paraId="01C1B6F4" w14:textId="77777777" w:rsidTr="00A764EF">
        <w:trPr>
          <w:cantSplit/>
        </w:trPr>
        <w:tc>
          <w:tcPr>
            <w:tcW w:w="2897" w:type="dxa"/>
            <w:shd w:val="clear" w:color="auto" w:fill="auto"/>
            <w:noWrap/>
            <w:vAlign w:val="center"/>
            <w:hideMark/>
          </w:tcPr>
          <w:p w14:paraId="362E77B5"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Telfisa Global, B.V.</w:t>
            </w:r>
          </w:p>
        </w:tc>
        <w:tc>
          <w:tcPr>
            <w:tcW w:w="1923" w:type="dxa"/>
            <w:shd w:val="clear" w:color="auto" w:fill="auto"/>
            <w:noWrap/>
            <w:vAlign w:val="center"/>
            <w:hideMark/>
          </w:tcPr>
          <w:p w14:paraId="2FB33BAD"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0A0520A3"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 xml:space="preserve">Gestión integrada de tesorería, asesoramiento y apoyo financiero a compañías del Grupo </w:t>
            </w:r>
          </w:p>
        </w:tc>
      </w:tr>
      <w:tr w:rsidR="00A764EF" w:rsidRPr="001F19B5" w14:paraId="306EF09B" w14:textId="77777777" w:rsidTr="00A764EF">
        <w:trPr>
          <w:cantSplit/>
        </w:trPr>
        <w:tc>
          <w:tcPr>
            <w:tcW w:w="2897" w:type="dxa"/>
            <w:shd w:val="clear" w:color="auto" w:fill="auto"/>
            <w:noWrap/>
            <w:vAlign w:val="center"/>
            <w:hideMark/>
          </w:tcPr>
          <w:p w14:paraId="7F9468C8"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Wayra Ireland Ltd</w:t>
            </w:r>
          </w:p>
        </w:tc>
        <w:tc>
          <w:tcPr>
            <w:tcW w:w="1923" w:type="dxa"/>
            <w:shd w:val="clear" w:color="auto" w:fill="auto"/>
            <w:noWrap/>
            <w:vAlign w:val="center"/>
            <w:hideMark/>
          </w:tcPr>
          <w:p w14:paraId="7B84BF0F"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Irlanda</w:t>
            </w:r>
          </w:p>
        </w:tc>
        <w:tc>
          <w:tcPr>
            <w:tcW w:w="3791" w:type="dxa"/>
            <w:shd w:val="clear" w:color="auto" w:fill="auto"/>
            <w:noWrap/>
            <w:vAlign w:val="center"/>
            <w:hideMark/>
          </w:tcPr>
          <w:p w14:paraId="2EA2A3B4"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Desarrollo de proyectos empresariales con base tecnológica innovadora</w:t>
            </w:r>
          </w:p>
        </w:tc>
      </w:tr>
      <w:tr w:rsidR="00A764EF" w:rsidRPr="001F19B5" w14:paraId="6A19ADAB" w14:textId="77777777" w:rsidTr="00A764EF">
        <w:trPr>
          <w:cantSplit/>
        </w:trPr>
        <w:tc>
          <w:tcPr>
            <w:tcW w:w="2897" w:type="dxa"/>
            <w:shd w:val="clear" w:color="auto" w:fill="auto"/>
            <w:noWrap/>
            <w:vAlign w:val="center"/>
            <w:hideMark/>
          </w:tcPr>
          <w:p w14:paraId="2B113756" w14:textId="77777777" w:rsidR="00A764EF" w:rsidRPr="00A1554D" w:rsidRDefault="00A764EF" w:rsidP="00A764EF">
            <w:pPr>
              <w:tabs>
                <w:tab w:val="left" w:pos="2327"/>
              </w:tabs>
              <w:rPr>
                <w:rFonts w:ascii="Open Sans" w:hAnsi="Open Sans" w:cs="Arial"/>
                <w:color w:val="000000"/>
                <w:sz w:val="20"/>
                <w:szCs w:val="20"/>
                <w:lang w:val="en-GB"/>
              </w:rPr>
            </w:pPr>
            <w:r w:rsidRPr="00A1554D">
              <w:rPr>
                <w:rFonts w:ascii="Open Sans" w:hAnsi="Open Sans" w:cs="Arial"/>
                <w:color w:val="000000"/>
                <w:sz w:val="20"/>
                <w:szCs w:val="20"/>
                <w:lang w:val="en-GB"/>
              </w:rPr>
              <w:t>Panamá Cellular Holdings, B.V.</w:t>
            </w:r>
          </w:p>
        </w:tc>
        <w:tc>
          <w:tcPr>
            <w:tcW w:w="1923" w:type="dxa"/>
            <w:shd w:val="clear" w:color="auto" w:fill="auto"/>
            <w:noWrap/>
            <w:vAlign w:val="center"/>
            <w:hideMark/>
          </w:tcPr>
          <w:p w14:paraId="4E84AD97"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53046168"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w:t>
            </w:r>
          </w:p>
        </w:tc>
      </w:tr>
      <w:tr w:rsidR="00A764EF" w:rsidRPr="001F19B5" w14:paraId="3BECDC8B" w14:textId="77777777" w:rsidTr="00A764EF">
        <w:trPr>
          <w:cantSplit/>
        </w:trPr>
        <w:tc>
          <w:tcPr>
            <w:tcW w:w="2897" w:type="dxa"/>
            <w:shd w:val="clear" w:color="auto" w:fill="auto"/>
            <w:noWrap/>
            <w:vAlign w:val="center"/>
            <w:hideMark/>
          </w:tcPr>
          <w:p w14:paraId="76285F9F"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 xml:space="preserve">Jubii Europe N.V. </w:t>
            </w:r>
          </w:p>
        </w:tc>
        <w:tc>
          <w:tcPr>
            <w:tcW w:w="1923" w:type="dxa"/>
            <w:shd w:val="clear" w:color="auto" w:fill="auto"/>
            <w:noWrap/>
            <w:vAlign w:val="center"/>
            <w:hideMark/>
          </w:tcPr>
          <w:p w14:paraId="05E94330"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60C3359E"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Portal de Internet.</w:t>
            </w:r>
          </w:p>
        </w:tc>
      </w:tr>
      <w:tr w:rsidR="00A764EF" w:rsidRPr="001F19B5" w14:paraId="3398507F" w14:textId="77777777" w:rsidTr="00A764EF">
        <w:trPr>
          <w:cantSplit/>
        </w:trPr>
        <w:tc>
          <w:tcPr>
            <w:tcW w:w="2897" w:type="dxa"/>
            <w:shd w:val="clear" w:color="auto" w:fill="auto"/>
            <w:noWrap/>
            <w:vAlign w:val="center"/>
            <w:hideMark/>
          </w:tcPr>
          <w:p w14:paraId="08D59ACA" w14:textId="77777777" w:rsidR="00A764EF" w:rsidRPr="00A1554D" w:rsidRDefault="00A764EF" w:rsidP="00A764EF">
            <w:pPr>
              <w:tabs>
                <w:tab w:val="left" w:pos="2327"/>
              </w:tabs>
              <w:rPr>
                <w:rFonts w:ascii="Open Sans" w:hAnsi="Open Sans" w:cs="Arial"/>
                <w:color w:val="000000"/>
                <w:sz w:val="20"/>
                <w:szCs w:val="20"/>
                <w:lang w:val="en-GB"/>
              </w:rPr>
            </w:pPr>
            <w:r w:rsidRPr="00A1554D">
              <w:rPr>
                <w:rFonts w:ascii="Open Sans" w:hAnsi="Open Sans" w:cs="Arial"/>
                <w:color w:val="000000"/>
                <w:sz w:val="20"/>
                <w:szCs w:val="20"/>
                <w:lang w:val="en-GB"/>
              </w:rPr>
              <w:t>Telefónica Holding Atticus, B.V.</w:t>
            </w:r>
          </w:p>
        </w:tc>
        <w:tc>
          <w:tcPr>
            <w:tcW w:w="1923" w:type="dxa"/>
            <w:shd w:val="clear" w:color="auto" w:fill="auto"/>
            <w:noWrap/>
            <w:vAlign w:val="center"/>
            <w:hideMark/>
          </w:tcPr>
          <w:p w14:paraId="059FE624"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624CB3BD"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w:t>
            </w:r>
          </w:p>
        </w:tc>
      </w:tr>
      <w:tr w:rsidR="00A764EF" w:rsidRPr="001F19B5" w14:paraId="31746E00" w14:textId="77777777" w:rsidTr="00A764EF">
        <w:trPr>
          <w:cantSplit/>
        </w:trPr>
        <w:tc>
          <w:tcPr>
            <w:tcW w:w="2897" w:type="dxa"/>
            <w:shd w:val="clear" w:color="auto" w:fill="auto"/>
            <w:noWrap/>
            <w:vAlign w:val="center"/>
            <w:hideMark/>
          </w:tcPr>
          <w:p w14:paraId="7554F51F"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Telfisa Global, B.V.</w:t>
            </w:r>
          </w:p>
        </w:tc>
        <w:tc>
          <w:tcPr>
            <w:tcW w:w="1923" w:type="dxa"/>
            <w:shd w:val="clear" w:color="auto" w:fill="auto"/>
            <w:noWrap/>
            <w:vAlign w:val="center"/>
            <w:hideMark/>
          </w:tcPr>
          <w:p w14:paraId="574C900F"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2F3F7B92"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Gestión integrada de tesorería, asesoramiento y</w:t>
            </w:r>
            <w:r w:rsidRPr="001F19B5">
              <w:rPr>
                <w:rFonts w:ascii="Open Sans" w:hAnsi="Open Sans" w:cs="Arial"/>
                <w:color w:val="000000"/>
                <w:sz w:val="20"/>
                <w:szCs w:val="20"/>
              </w:rPr>
              <w:br/>
              <w:t>apoyo financiero a compañías del Grupo</w:t>
            </w:r>
          </w:p>
        </w:tc>
      </w:tr>
      <w:tr w:rsidR="00A764EF" w:rsidRPr="001F19B5" w14:paraId="08268BB0" w14:textId="77777777" w:rsidTr="00A764EF">
        <w:trPr>
          <w:cantSplit/>
        </w:trPr>
        <w:tc>
          <w:tcPr>
            <w:tcW w:w="2897" w:type="dxa"/>
            <w:shd w:val="clear" w:color="auto" w:fill="auto"/>
            <w:noWrap/>
            <w:vAlign w:val="center"/>
            <w:hideMark/>
          </w:tcPr>
          <w:p w14:paraId="5AACC74C"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Telfin Ireland Ltd.</w:t>
            </w:r>
          </w:p>
        </w:tc>
        <w:tc>
          <w:tcPr>
            <w:tcW w:w="1923" w:type="dxa"/>
            <w:shd w:val="clear" w:color="auto" w:fill="auto"/>
            <w:noWrap/>
            <w:vAlign w:val="center"/>
            <w:hideMark/>
          </w:tcPr>
          <w:p w14:paraId="31668B86"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Irlanda</w:t>
            </w:r>
          </w:p>
        </w:tc>
        <w:tc>
          <w:tcPr>
            <w:tcW w:w="3791" w:type="dxa"/>
            <w:shd w:val="clear" w:color="auto" w:fill="auto"/>
            <w:noWrap/>
            <w:vAlign w:val="center"/>
            <w:hideMark/>
          </w:tcPr>
          <w:p w14:paraId="46035026"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Financiación Intragrupo</w:t>
            </w:r>
          </w:p>
        </w:tc>
      </w:tr>
      <w:tr w:rsidR="00A764EF" w:rsidRPr="001F19B5" w14:paraId="0BC591D0" w14:textId="77777777" w:rsidTr="00A764EF">
        <w:trPr>
          <w:cantSplit/>
        </w:trPr>
        <w:tc>
          <w:tcPr>
            <w:tcW w:w="2897" w:type="dxa"/>
            <w:shd w:val="clear" w:color="auto" w:fill="auto"/>
            <w:noWrap/>
            <w:vAlign w:val="center"/>
            <w:hideMark/>
          </w:tcPr>
          <w:p w14:paraId="49C99629"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 xml:space="preserve">Solivella Investment, B.V.   </w:t>
            </w:r>
            <w:r w:rsidRPr="001F19B5">
              <w:rPr>
                <w:rFonts w:ascii="Open Sans" w:hAnsi="Open Sans" w:cs="Arial"/>
                <w:b/>
                <w:color w:val="000000"/>
                <w:sz w:val="20"/>
                <w:szCs w:val="20"/>
              </w:rPr>
              <w:t>(1)</w:t>
            </w:r>
          </w:p>
        </w:tc>
        <w:tc>
          <w:tcPr>
            <w:tcW w:w="1923" w:type="dxa"/>
            <w:shd w:val="clear" w:color="auto" w:fill="auto"/>
            <w:noWrap/>
            <w:vAlign w:val="center"/>
            <w:hideMark/>
          </w:tcPr>
          <w:p w14:paraId="559277B6"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hideMark/>
          </w:tcPr>
          <w:p w14:paraId="6F0772A2"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 que opera como subsidiaria de Telefónica Móviles España, S.A.U.</w:t>
            </w:r>
          </w:p>
        </w:tc>
      </w:tr>
      <w:tr w:rsidR="00A764EF" w:rsidRPr="001F19B5" w14:paraId="7A504CA9" w14:textId="77777777" w:rsidTr="00A764EF">
        <w:trPr>
          <w:cantSplit/>
        </w:trPr>
        <w:tc>
          <w:tcPr>
            <w:tcW w:w="2897" w:type="dxa"/>
            <w:shd w:val="clear" w:color="auto" w:fill="auto"/>
            <w:noWrap/>
            <w:vAlign w:val="center"/>
            <w:hideMark/>
          </w:tcPr>
          <w:p w14:paraId="35778DD6"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 xml:space="preserve">Telefónica Móviles Puerto Rico, Inc  </w:t>
            </w:r>
            <w:r w:rsidRPr="001F19B5">
              <w:rPr>
                <w:rFonts w:ascii="Open Sans" w:hAnsi="Open Sans" w:cs="Arial"/>
                <w:b/>
                <w:color w:val="000000"/>
                <w:sz w:val="20"/>
                <w:szCs w:val="20"/>
              </w:rPr>
              <w:t>(1)</w:t>
            </w:r>
          </w:p>
        </w:tc>
        <w:tc>
          <w:tcPr>
            <w:tcW w:w="1923" w:type="dxa"/>
            <w:shd w:val="clear" w:color="auto" w:fill="auto"/>
            <w:noWrap/>
            <w:vAlign w:val="center"/>
            <w:hideMark/>
          </w:tcPr>
          <w:p w14:paraId="46892A33"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Puerto Rico</w:t>
            </w:r>
          </w:p>
        </w:tc>
        <w:tc>
          <w:tcPr>
            <w:tcW w:w="3791" w:type="dxa"/>
            <w:shd w:val="clear" w:color="auto" w:fill="auto"/>
            <w:noWrap/>
            <w:vAlign w:val="center"/>
            <w:hideMark/>
          </w:tcPr>
          <w:p w14:paraId="1724D01B"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Subsidiaria de Telefónica, S.A.</w:t>
            </w:r>
          </w:p>
        </w:tc>
      </w:tr>
      <w:tr w:rsidR="00A764EF" w:rsidRPr="001F19B5" w14:paraId="37B74025" w14:textId="77777777" w:rsidTr="00A764EF">
        <w:trPr>
          <w:cantSplit/>
        </w:trPr>
        <w:tc>
          <w:tcPr>
            <w:tcW w:w="2897" w:type="dxa"/>
            <w:shd w:val="clear" w:color="auto" w:fill="auto"/>
            <w:noWrap/>
            <w:vAlign w:val="center"/>
          </w:tcPr>
          <w:p w14:paraId="7599D9B7"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 xml:space="preserve">Wireless Network Ventures  </w:t>
            </w:r>
            <w:r w:rsidRPr="001F19B5">
              <w:rPr>
                <w:rFonts w:ascii="Open Sans" w:hAnsi="Open Sans" w:cs="Arial"/>
                <w:b/>
                <w:color w:val="000000"/>
                <w:sz w:val="20"/>
                <w:szCs w:val="20"/>
              </w:rPr>
              <w:t>(1)</w:t>
            </w:r>
          </w:p>
        </w:tc>
        <w:tc>
          <w:tcPr>
            <w:tcW w:w="1923" w:type="dxa"/>
            <w:shd w:val="clear" w:color="auto" w:fill="auto"/>
            <w:noWrap/>
            <w:vAlign w:val="center"/>
          </w:tcPr>
          <w:p w14:paraId="2A423818" w14:textId="77777777" w:rsidR="00A764EF" w:rsidRPr="001F19B5" w:rsidRDefault="00A764EF" w:rsidP="00A764EF">
            <w:pPr>
              <w:tabs>
                <w:tab w:val="left" w:pos="2327"/>
              </w:tabs>
              <w:rPr>
                <w:rFonts w:ascii="Open Sans" w:hAnsi="Open Sans"/>
                <w:color w:val="000000"/>
                <w:sz w:val="20"/>
                <w:szCs w:val="20"/>
              </w:rPr>
            </w:pPr>
            <w:r w:rsidRPr="001F19B5">
              <w:rPr>
                <w:rFonts w:ascii="Open Sans" w:hAnsi="Open Sans" w:cs="Arial"/>
                <w:color w:val="000000"/>
                <w:sz w:val="20"/>
                <w:szCs w:val="20"/>
              </w:rPr>
              <w:t>Islas Vírgenes Británicas</w:t>
            </w:r>
          </w:p>
        </w:tc>
        <w:tc>
          <w:tcPr>
            <w:tcW w:w="3791" w:type="dxa"/>
            <w:shd w:val="clear" w:color="auto" w:fill="auto"/>
            <w:noWrap/>
            <w:vAlign w:val="center"/>
          </w:tcPr>
          <w:p w14:paraId="496EB8E0"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 xml:space="preserve">Sociedad Holding </w:t>
            </w:r>
          </w:p>
        </w:tc>
      </w:tr>
      <w:tr w:rsidR="00A764EF" w:rsidRPr="001F19B5" w14:paraId="1565BBA2" w14:textId="77777777" w:rsidTr="00A764EF">
        <w:trPr>
          <w:cantSplit/>
        </w:trPr>
        <w:tc>
          <w:tcPr>
            <w:tcW w:w="2897" w:type="dxa"/>
            <w:shd w:val="clear" w:color="auto" w:fill="auto"/>
            <w:noWrap/>
            <w:vAlign w:val="center"/>
          </w:tcPr>
          <w:p w14:paraId="0C248BF5"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 xml:space="preserve">Brasilcel, N.V.  </w:t>
            </w:r>
            <w:r w:rsidRPr="001F19B5">
              <w:rPr>
                <w:rFonts w:ascii="Open Sans" w:hAnsi="Open Sans" w:cs="Arial"/>
                <w:b/>
                <w:color w:val="000000"/>
                <w:sz w:val="20"/>
                <w:szCs w:val="20"/>
              </w:rPr>
              <w:t>(1)</w:t>
            </w:r>
            <w:r w:rsidRPr="001F19B5">
              <w:rPr>
                <w:rFonts w:ascii="Open Sans" w:hAnsi="Open Sans" w:cs="Arial"/>
                <w:color w:val="000000"/>
                <w:sz w:val="20"/>
                <w:szCs w:val="20"/>
              </w:rPr>
              <w:t xml:space="preserve">  </w:t>
            </w:r>
          </w:p>
          <w:p w14:paraId="7119F88A" w14:textId="77777777" w:rsidR="00A764EF" w:rsidRPr="001F19B5" w:rsidRDefault="00A764EF" w:rsidP="00A764EF">
            <w:pPr>
              <w:tabs>
                <w:tab w:val="left" w:pos="2327"/>
              </w:tabs>
              <w:rPr>
                <w:rFonts w:ascii="Open Sans" w:hAnsi="Open Sans" w:cs="Arial"/>
                <w:color w:val="000000"/>
                <w:sz w:val="20"/>
                <w:szCs w:val="20"/>
              </w:rPr>
            </w:pPr>
          </w:p>
        </w:tc>
        <w:tc>
          <w:tcPr>
            <w:tcW w:w="1923" w:type="dxa"/>
            <w:shd w:val="clear" w:color="auto" w:fill="auto"/>
            <w:noWrap/>
            <w:vAlign w:val="center"/>
          </w:tcPr>
          <w:p w14:paraId="0C60AB5D"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tcPr>
          <w:p w14:paraId="739AD18B"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 xml:space="preserve">Joint Venture y sociedad holding de  servicios de comunicaciones </w:t>
            </w:r>
          </w:p>
        </w:tc>
      </w:tr>
      <w:tr w:rsidR="00A764EF" w:rsidRPr="001F19B5" w14:paraId="02ED12D2" w14:textId="77777777" w:rsidTr="00A764EF">
        <w:trPr>
          <w:cantSplit/>
        </w:trPr>
        <w:tc>
          <w:tcPr>
            <w:tcW w:w="2897" w:type="dxa"/>
            <w:shd w:val="clear" w:color="auto" w:fill="auto"/>
            <w:noWrap/>
            <w:vAlign w:val="center"/>
          </w:tcPr>
          <w:p w14:paraId="7ADBEC52"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bCs/>
                <w:sz w:val="20"/>
                <w:szCs w:val="20"/>
              </w:rPr>
              <w:t xml:space="preserve">Spiral Investments B.V.  </w:t>
            </w:r>
            <w:r w:rsidRPr="001F19B5">
              <w:rPr>
                <w:rFonts w:ascii="Open Sans" w:hAnsi="Open Sans" w:cs="Arial"/>
                <w:b/>
                <w:color w:val="000000"/>
                <w:sz w:val="20"/>
                <w:szCs w:val="20"/>
              </w:rPr>
              <w:t>(1)</w:t>
            </w:r>
            <w:r w:rsidRPr="001F19B5">
              <w:rPr>
                <w:rFonts w:ascii="Open Sans" w:hAnsi="Open Sans" w:cs="Arial"/>
                <w:color w:val="000000"/>
                <w:sz w:val="20"/>
                <w:szCs w:val="20"/>
              </w:rPr>
              <w:t xml:space="preserve"> </w:t>
            </w:r>
            <w:r w:rsidRPr="001F19B5">
              <w:rPr>
                <w:rFonts w:ascii="Open Sans" w:hAnsi="Open Sans" w:cs="Arial"/>
                <w:bCs/>
                <w:sz w:val="20"/>
                <w:szCs w:val="20"/>
              </w:rPr>
              <w:t xml:space="preserve"> </w:t>
            </w:r>
          </w:p>
        </w:tc>
        <w:tc>
          <w:tcPr>
            <w:tcW w:w="1923" w:type="dxa"/>
            <w:shd w:val="clear" w:color="auto" w:fill="auto"/>
            <w:noWrap/>
            <w:vAlign w:val="center"/>
          </w:tcPr>
          <w:p w14:paraId="62060803" w14:textId="77777777" w:rsidR="00A764EF" w:rsidRPr="001F19B5" w:rsidRDefault="00A764EF" w:rsidP="00A764EF">
            <w:pPr>
              <w:tabs>
                <w:tab w:val="left" w:pos="2327"/>
              </w:tabs>
              <w:rPr>
                <w:rFonts w:ascii="Open Sans" w:hAnsi="Open Sans" w:cs="Arial"/>
                <w:color w:val="000000"/>
                <w:sz w:val="20"/>
                <w:szCs w:val="20"/>
              </w:rPr>
            </w:pPr>
            <w:r w:rsidRPr="001F19B5">
              <w:rPr>
                <w:rFonts w:ascii="Open Sans" w:hAnsi="Open Sans" w:cs="Arial"/>
                <w:color w:val="000000"/>
                <w:sz w:val="20"/>
                <w:szCs w:val="20"/>
              </w:rPr>
              <w:t>Países Bajos</w:t>
            </w:r>
          </w:p>
        </w:tc>
        <w:tc>
          <w:tcPr>
            <w:tcW w:w="3791" w:type="dxa"/>
            <w:shd w:val="clear" w:color="auto" w:fill="auto"/>
            <w:noWrap/>
            <w:vAlign w:val="center"/>
          </w:tcPr>
          <w:p w14:paraId="1C6E4F9B"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color w:val="000000"/>
                <w:sz w:val="20"/>
                <w:szCs w:val="20"/>
              </w:rPr>
              <w:t>Sociedad Holding</w:t>
            </w:r>
          </w:p>
          <w:p w14:paraId="4EF0B218"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Subsidiaria de  Telefónica Móviles España, S.A.U.</w:t>
            </w:r>
          </w:p>
        </w:tc>
      </w:tr>
      <w:tr w:rsidR="00A764EF" w:rsidRPr="001F19B5" w14:paraId="5A749C61" w14:textId="77777777" w:rsidTr="00A764EF">
        <w:trPr>
          <w:cantSplit/>
        </w:trPr>
        <w:tc>
          <w:tcPr>
            <w:tcW w:w="2897" w:type="dxa"/>
            <w:shd w:val="clear" w:color="auto" w:fill="auto"/>
            <w:noWrap/>
            <w:vAlign w:val="center"/>
          </w:tcPr>
          <w:p w14:paraId="5BF7BC6F"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 xml:space="preserve">3G Mobile AG.   </w:t>
            </w:r>
            <w:r w:rsidRPr="001F19B5">
              <w:rPr>
                <w:rFonts w:ascii="Open Sans" w:hAnsi="Open Sans" w:cs="Arial"/>
                <w:b/>
                <w:color w:val="000000"/>
                <w:sz w:val="20"/>
                <w:szCs w:val="20"/>
              </w:rPr>
              <w:t>(1)</w:t>
            </w:r>
          </w:p>
        </w:tc>
        <w:tc>
          <w:tcPr>
            <w:tcW w:w="1923" w:type="dxa"/>
            <w:shd w:val="clear" w:color="auto" w:fill="auto"/>
            <w:noWrap/>
            <w:vAlign w:val="center"/>
          </w:tcPr>
          <w:p w14:paraId="4A04C65E"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Suiza</w:t>
            </w:r>
          </w:p>
        </w:tc>
        <w:tc>
          <w:tcPr>
            <w:tcW w:w="3791" w:type="dxa"/>
            <w:shd w:val="clear" w:color="auto" w:fill="auto"/>
            <w:noWrap/>
            <w:vAlign w:val="center"/>
          </w:tcPr>
          <w:p w14:paraId="343ADF0A" w14:textId="77777777" w:rsidR="00A764EF" w:rsidRPr="00A1554D" w:rsidRDefault="00A764EF" w:rsidP="00A764EF">
            <w:pPr>
              <w:tabs>
                <w:tab w:val="left" w:pos="246"/>
              </w:tabs>
              <w:ind w:hanging="60"/>
              <w:rPr>
                <w:rFonts w:ascii="Open Sans" w:hAnsi="Open Sans" w:cs="Arial"/>
                <w:sz w:val="20"/>
                <w:szCs w:val="20"/>
                <w:lang w:val="en-GB"/>
              </w:rPr>
            </w:pPr>
            <w:r w:rsidRPr="00A1554D">
              <w:rPr>
                <w:rFonts w:ascii="Open Sans" w:hAnsi="Open Sans" w:cs="Arial"/>
                <w:sz w:val="20"/>
                <w:szCs w:val="20"/>
                <w:lang w:val="en-GB"/>
              </w:rPr>
              <w:t>Wireless operator</w:t>
            </w:r>
          </w:p>
          <w:p w14:paraId="518B42C5" w14:textId="77777777" w:rsidR="00A764EF" w:rsidRPr="00A1554D" w:rsidRDefault="00A764EF" w:rsidP="00A764EF">
            <w:pPr>
              <w:tabs>
                <w:tab w:val="left" w:pos="246"/>
              </w:tabs>
              <w:ind w:hanging="60"/>
              <w:rPr>
                <w:rFonts w:ascii="Open Sans" w:hAnsi="Open Sans" w:cs="Arial"/>
                <w:sz w:val="20"/>
                <w:szCs w:val="20"/>
                <w:lang w:val="en-GB"/>
              </w:rPr>
            </w:pPr>
            <w:r w:rsidRPr="00A1554D">
              <w:rPr>
                <w:rFonts w:ascii="Open Sans" w:hAnsi="Open Sans" w:cs="Arial"/>
                <w:sz w:val="20"/>
                <w:szCs w:val="20"/>
                <w:lang w:val="en-GB"/>
              </w:rPr>
              <w:t>Subsidiaria de Spiral Investments B.V.</w:t>
            </w:r>
          </w:p>
          <w:p w14:paraId="668D6BFC" w14:textId="77777777" w:rsidR="00A764EF" w:rsidRPr="001F19B5" w:rsidRDefault="00A764EF" w:rsidP="00A764EF">
            <w:pPr>
              <w:tabs>
                <w:tab w:val="left" w:pos="246"/>
              </w:tabs>
              <w:ind w:hanging="60"/>
              <w:rPr>
                <w:rFonts w:ascii="Open Sans" w:hAnsi="Open Sans" w:cs="Arial"/>
                <w:color w:val="000000"/>
                <w:sz w:val="20"/>
                <w:szCs w:val="20"/>
              </w:rPr>
            </w:pPr>
            <w:r w:rsidRPr="001F19B5">
              <w:rPr>
                <w:rFonts w:ascii="Open Sans" w:hAnsi="Open Sans" w:cs="Arial"/>
                <w:sz w:val="20"/>
                <w:szCs w:val="20"/>
              </w:rPr>
              <w:t>0</w:t>
            </w:r>
          </w:p>
        </w:tc>
      </w:tr>
      <w:tr w:rsidR="00A764EF" w:rsidRPr="001F19B5" w14:paraId="6BA0EB15" w14:textId="77777777" w:rsidTr="00A764EF">
        <w:trPr>
          <w:cantSplit/>
        </w:trPr>
        <w:tc>
          <w:tcPr>
            <w:tcW w:w="2897" w:type="dxa"/>
            <w:shd w:val="clear" w:color="auto" w:fill="auto"/>
            <w:noWrap/>
            <w:vAlign w:val="center"/>
          </w:tcPr>
          <w:p w14:paraId="46A01C6A"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 xml:space="preserve">Telefónica Móviles Puerto Rico, Inc.   </w:t>
            </w:r>
            <w:r w:rsidRPr="001F19B5">
              <w:rPr>
                <w:rFonts w:ascii="Open Sans" w:hAnsi="Open Sans" w:cs="Arial"/>
                <w:b/>
                <w:color w:val="000000"/>
                <w:sz w:val="20"/>
                <w:szCs w:val="20"/>
              </w:rPr>
              <w:t>(1)</w:t>
            </w:r>
          </w:p>
        </w:tc>
        <w:tc>
          <w:tcPr>
            <w:tcW w:w="1923" w:type="dxa"/>
            <w:shd w:val="clear" w:color="auto" w:fill="auto"/>
            <w:noWrap/>
            <w:vAlign w:val="center"/>
          </w:tcPr>
          <w:p w14:paraId="076EECEC"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Puerto Rico</w:t>
            </w:r>
          </w:p>
        </w:tc>
        <w:tc>
          <w:tcPr>
            <w:tcW w:w="3791" w:type="dxa"/>
            <w:shd w:val="clear" w:color="auto" w:fill="auto"/>
            <w:noWrap/>
            <w:vAlign w:val="center"/>
          </w:tcPr>
          <w:p w14:paraId="4583C81D"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Propietaria de wireless operadores en Puerto Rico</w:t>
            </w:r>
          </w:p>
        </w:tc>
      </w:tr>
      <w:tr w:rsidR="00A764EF" w:rsidRPr="001F19B5" w14:paraId="66E53C3F" w14:textId="77777777" w:rsidTr="00A764EF">
        <w:trPr>
          <w:cantSplit/>
        </w:trPr>
        <w:tc>
          <w:tcPr>
            <w:tcW w:w="2897" w:type="dxa"/>
            <w:shd w:val="clear" w:color="auto" w:fill="auto"/>
            <w:noWrap/>
            <w:vAlign w:val="center"/>
          </w:tcPr>
          <w:p w14:paraId="176769B6"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 xml:space="preserve">Multi Holding Corporation.   </w:t>
            </w:r>
            <w:r w:rsidRPr="001F19B5">
              <w:rPr>
                <w:rFonts w:ascii="Open Sans" w:hAnsi="Open Sans" w:cs="Arial"/>
                <w:b/>
                <w:color w:val="000000"/>
                <w:sz w:val="20"/>
                <w:szCs w:val="20"/>
              </w:rPr>
              <w:t>(1)</w:t>
            </w:r>
          </w:p>
        </w:tc>
        <w:tc>
          <w:tcPr>
            <w:tcW w:w="1923" w:type="dxa"/>
            <w:shd w:val="clear" w:color="auto" w:fill="auto"/>
            <w:noWrap/>
            <w:vAlign w:val="center"/>
          </w:tcPr>
          <w:p w14:paraId="754F1FF0"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Panamá</w:t>
            </w:r>
          </w:p>
        </w:tc>
        <w:tc>
          <w:tcPr>
            <w:tcW w:w="3791" w:type="dxa"/>
            <w:shd w:val="clear" w:color="auto" w:fill="auto"/>
            <w:noWrap/>
            <w:vAlign w:val="center"/>
          </w:tcPr>
          <w:p w14:paraId="77893C8F"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Sociedad Holding</w:t>
            </w:r>
          </w:p>
        </w:tc>
      </w:tr>
      <w:tr w:rsidR="00A764EF" w:rsidRPr="001F19B5" w14:paraId="590C103B" w14:textId="77777777" w:rsidTr="00A764EF">
        <w:trPr>
          <w:cantSplit/>
        </w:trPr>
        <w:tc>
          <w:tcPr>
            <w:tcW w:w="2897" w:type="dxa"/>
            <w:shd w:val="clear" w:color="auto" w:fill="auto"/>
            <w:noWrap/>
            <w:vAlign w:val="center"/>
          </w:tcPr>
          <w:p w14:paraId="0345384C"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 xml:space="preserve">BSC de Panama Holdings, SRL.   </w:t>
            </w:r>
            <w:r w:rsidRPr="001F19B5">
              <w:rPr>
                <w:rFonts w:ascii="Open Sans" w:hAnsi="Open Sans" w:cs="Arial"/>
                <w:b/>
                <w:color w:val="000000"/>
                <w:sz w:val="20"/>
                <w:szCs w:val="20"/>
              </w:rPr>
              <w:t>(1)</w:t>
            </w:r>
          </w:p>
        </w:tc>
        <w:tc>
          <w:tcPr>
            <w:tcW w:w="1923" w:type="dxa"/>
            <w:shd w:val="clear" w:color="auto" w:fill="auto"/>
            <w:noWrap/>
            <w:vAlign w:val="center"/>
          </w:tcPr>
          <w:p w14:paraId="118D754F"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Panamá</w:t>
            </w:r>
          </w:p>
        </w:tc>
        <w:tc>
          <w:tcPr>
            <w:tcW w:w="3791" w:type="dxa"/>
            <w:shd w:val="clear" w:color="auto" w:fill="auto"/>
            <w:noWrap/>
            <w:vAlign w:val="center"/>
          </w:tcPr>
          <w:p w14:paraId="7ADA05EE"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 xml:space="preserve">Sociedad Holding </w:t>
            </w:r>
          </w:p>
          <w:p w14:paraId="19226F14"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Subsidiaria de Panamá Cellular Holdings, B.V.</w:t>
            </w:r>
          </w:p>
        </w:tc>
      </w:tr>
      <w:tr w:rsidR="00A764EF" w:rsidRPr="001F19B5" w14:paraId="302A387A" w14:textId="77777777" w:rsidTr="00A764EF">
        <w:trPr>
          <w:cantSplit/>
        </w:trPr>
        <w:tc>
          <w:tcPr>
            <w:tcW w:w="2897" w:type="dxa"/>
            <w:shd w:val="clear" w:color="auto" w:fill="auto"/>
            <w:noWrap/>
            <w:vAlign w:val="center"/>
          </w:tcPr>
          <w:p w14:paraId="3ED78997"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 xml:space="preserve">Telefónica Móviles Panamá, S.A.   </w:t>
            </w:r>
            <w:r w:rsidRPr="001F19B5">
              <w:rPr>
                <w:rFonts w:ascii="Open Sans" w:hAnsi="Open Sans" w:cs="Arial"/>
                <w:b/>
                <w:color w:val="000000"/>
                <w:sz w:val="20"/>
                <w:szCs w:val="20"/>
              </w:rPr>
              <w:t>(1)</w:t>
            </w:r>
          </w:p>
        </w:tc>
        <w:tc>
          <w:tcPr>
            <w:tcW w:w="1923" w:type="dxa"/>
            <w:shd w:val="clear" w:color="auto" w:fill="auto"/>
            <w:noWrap/>
            <w:vAlign w:val="center"/>
          </w:tcPr>
          <w:p w14:paraId="6DC63DBE"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Panamá</w:t>
            </w:r>
          </w:p>
        </w:tc>
        <w:tc>
          <w:tcPr>
            <w:tcW w:w="3791" w:type="dxa"/>
            <w:shd w:val="clear" w:color="auto" w:fill="auto"/>
            <w:noWrap/>
            <w:vAlign w:val="center"/>
          </w:tcPr>
          <w:p w14:paraId="693BA4B2"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Wireless operator</w:t>
            </w:r>
          </w:p>
        </w:tc>
      </w:tr>
      <w:tr w:rsidR="00A764EF" w:rsidRPr="001F19B5" w14:paraId="4443C502" w14:textId="77777777" w:rsidTr="00A764EF">
        <w:trPr>
          <w:cantSplit/>
        </w:trPr>
        <w:tc>
          <w:tcPr>
            <w:tcW w:w="2897" w:type="dxa"/>
            <w:shd w:val="clear" w:color="auto" w:fill="auto"/>
            <w:noWrap/>
            <w:vAlign w:val="center"/>
          </w:tcPr>
          <w:p w14:paraId="5EC564CE"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 xml:space="preserve">Telcel International, Ltd.  </w:t>
            </w:r>
            <w:r w:rsidRPr="001F19B5">
              <w:rPr>
                <w:rFonts w:ascii="Open Sans" w:hAnsi="Open Sans" w:cs="Arial"/>
                <w:b/>
                <w:color w:val="000000"/>
                <w:sz w:val="20"/>
                <w:szCs w:val="20"/>
              </w:rPr>
              <w:t>(1)</w:t>
            </w:r>
            <w:r w:rsidRPr="001F19B5">
              <w:rPr>
                <w:rFonts w:ascii="Open Sans" w:hAnsi="Open Sans" w:cs="Arial"/>
                <w:color w:val="000000"/>
                <w:sz w:val="20"/>
                <w:szCs w:val="20"/>
              </w:rPr>
              <w:t xml:space="preserve"> </w:t>
            </w:r>
            <w:r w:rsidRPr="001F19B5">
              <w:rPr>
                <w:rFonts w:ascii="Open Sans" w:hAnsi="Open Sans" w:cs="Arial"/>
                <w:bCs/>
                <w:sz w:val="20"/>
                <w:szCs w:val="20"/>
              </w:rPr>
              <w:t xml:space="preserve"> </w:t>
            </w:r>
          </w:p>
        </w:tc>
        <w:tc>
          <w:tcPr>
            <w:tcW w:w="1923" w:type="dxa"/>
            <w:shd w:val="clear" w:color="auto" w:fill="auto"/>
            <w:noWrap/>
            <w:vAlign w:val="center"/>
          </w:tcPr>
          <w:p w14:paraId="55B90D6C" w14:textId="77777777" w:rsidR="00A764EF" w:rsidRPr="001F19B5" w:rsidRDefault="00A764EF" w:rsidP="00A764EF">
            <w:pPr>
              <w:tabs>
                <w:tab w:val="left" w:pos="2327"/>
              </w:tabs>
              <w:rPr>
                <w:rFonts w:ascii="Open Sans" w:hAnsi="Open Sans" w:cs="Arial"/>
                <w:bCs/>
                <w:sz w:val="20"/>
                <w:szCs w:val="20"/>
              </w:rPr>
            </w:pPr>
            <w:r w:rsidRPr="001F19B5">
              <w:rPr>
                <w:rFonts w:ascii="Open Sans" w:hAnsi="Open Sans" w:cs="Arial"/>
                <w:bCs/>
                <w:sz w:val="20"/>
                <w:szCs w:val="20"/>
              </w:rPr>
              <w:t>Islas Caimán</w:t>
            </w:r>
          </w:p>
        </w:tc>
        <w:tc>
          <w:tcPr>
            <w:tcW w:w="3791" w:type="dxa"/>
            <w:shd w:val="clear" w:color="auto" w:fill="auto"/>
            <w:noWrap/>
            <w:vAlign w:val="center"/>
          </w:tcPr>
          <w:p w14:paraId="3744D93A"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 xml:space="preserve">Sociedad Holding </w:t>
            </w:r>
          </w:p>
          <w:p w14:paraId="674E5C9C" w14:textId="77777777" w:rsidR="00A764EF" w:rsidRPr="001F19B5" w:rsidRDefault="00A764EF" w:rsidP="00A764EF">
            <w:pPr>
              <w:tabs>
                <w:tab w:val="left" w:pos="246"/>
              </w:tabs>
              <w:ind w:hanging="60"/>
              <w:rPr>
                <w:rFonts w:ascii="Open Sans" w:hAnsi="Open Sans" w:cs="Arial"/>
                <w:sz w:val="20"/>
                <w:szCs w:val="20"/>
              </w:rPr>
            </w:pPr>
            <w:r w:rsidRPr="001F19B5">
              <w:rPr>
                <w:rFonts w:ascii="Open Sans" w:hAnsi="Open Sans" w:cs="Arial"/>
                <w:sz w:val="20"/>
                <w:szCs w:val="20"/>
              </w:rPr>
              <w:t>Subsidiaria de Telefónica, S.A.</w:t>
            </w:r>
          </w:p>
        </w:tc>
      </w:tr>
    </w:tbl>
    <w:p w14:paraId="76E9AC9F" w14:textId="77777777" w:rsidR="00A764EF" w:rsidRPr="001F19B5" w:rsidRDefault="00A764EF" w:rsidP="00A764EF">
      <w:pPr>
        <w:rPr>
          <w:rFonts w:ascii="Open Sans" w:hAnsi="Open Sans" w:cs="Arial"/>
          <w:color w:val="76923C" w:themeColor="accent3" w:themeShade="BF"/>
          <w:sz w:val="20"/>
          <w:szCs w:val="20"/>
        </w:rPr>
      </w:pPr>
    </w:p>
    <w:p w14:paraId="7D905A3A" w14:textId="039E3D4A" w:rsidR="00A764EF" w:rsidRPr="001F19B5" w:rsidRDefault="00A764EF" w:rsidP="00A764EF">
      <w:pPr>
        <w:ind w:hanging="1"/>
        <w:jc w:val="both"/>
        <w:rPr>
          <w:rFonts w:ascii="Open Sans" w:hAnsi="Open Sans" w:cs="Arial"/>
          <w:color w:val="000000"/>
          <w:sz w:val="18"/>
          <w:szCs w:val="18"/>
        </w:rPr>
      </w:pPr>
      <w:r w:rsidRPr="001F19B5">
        <w:rPr>
          <w:rFonts w:ascii="Open Sans" w:hAnsi="Open Sans" w:cs="Arial"/>
          <w:color w:val="000000"/>
          <w:sz w:val="18"/>
          <w:szCs w:val="18"/>
        </w:rPr>
        <w:t>(1) No están incluidas en el listado de principales sociedades que se reportan en el anexo correspondiente del Informe Financiero 2015. Son subsidiarias identificadas en la página de la SEC (Securities Exchange Commission)</w:t>
      </w:r>
      <w:r w:rsidRPr="001F19B5">
        <w:rPr>
          <w:rStyle w:val="Refdenotaalpie"/>
          <w:rFonts w:ascii="Open Sans" w:hAnsi="Open Sans" w:cs="Arial"/>
          <w:color w:val="000000"/>
          <w:sz w:val="18"/>
          <w:szCs w:val="18"/>
        </w:rPr>
        <w:footnoteReference w:id="585"/>
      </w:r>
      <w:r w:rsidRPr="001F19B5">
        <w:rPr>
          <w:rFonts w:ascii="Open Sans" w:hAnsi="Open Sans" w:cs="Arial"/>
          <w:color w:val="000000"/>
          <w:sz w:val="18"/>
          <w:szCs w:val="18"/>
        </w:rPr>
        <w:t xml:space="preserve">  y contrastadas después a través de consulta en Bloomberg. </w:t>
      </w:r>
      <w:r w:rsidR="00710DFC">
        <w:rPr>
          <w:rFonts w:ascii="Open Sans" w:hAnsi="Open Sans" w:cs="Arial"/>
          <w:color w:val="000000"/>
          <w:sz w:val="18"/>
          <w:szCs w:val="18"/>
        </w:rPr>
        <w:t xml:space="preserve"> No se puede asegurar que formen parte de la matriz de Telefónica al no aparecer en el anexo de las cuentas anuales</w:t>
      </w:r>
    </w:p>
    <w:p w14:paraId="25E256B0" w14:textId="77777777" w:rsidR="00A764EF" w:rsidRPr="001F19B5" w:rsidRDefault="00A764EF" w:rsidP="00A764EF">
      <w:pPr>
        <w:ind w:hanging="1"/>
        <w:jc w:val="both"/>
        <w:rPr>
          <w:rFonts w:ascii="Open Sans" w:hAnsi="Open Sans" w:cs="Arial"/>
          <w:color w:val="000000"/>
          <w:sz w:val="18"/>
          <w:szCs w:val="18"/>
        </w:rPr>
      </w:pPr>
    </w:p>
    <w:p w14:paraId="77245BE6" w14:textId="79A44BE4"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Pese a que la empresa afirma que no opera en países fiscales de acuerdo con el listado de la OCDE y el ordenamiento jurídico español, la empresa</w:t>
      </w:r>
      <w:r w:rsidR="00710DFC">
        <w:rPr>
          <w:rFonts w:ascii="Open Sans" w:hAnsi="Open Sans" w:cs="Arial"/>
          <w:color w:val="000000"/>
          <w:sz w:val="20"/>
          <w:szCs w:val="20"/>
        </w:rPr>
        <w:t>, de acuerdo con Bloomberg,</w:t>
      </w:r>
      <w:r w:rsidRPr="001F19B5">
        <w:rPr>
          <w:rFonts w:ascii="Open Sans" w:hAnsi="Open Sans" w:cs="Arial"/>
          <w:color w:val="000000"/>
          <w:sz w:val="20"/>
          <w:szCs w:val="20"/>
        </w:rPr>
        <w:t xml:space="preserve"> opera en Islas Caimán e Islas Vírgenes Británicas, ambos considerados paraísos fiscales según Real Decreto 1080/81, Tax Justice Network y el Parlamento Europeo, de acuerdo con el listado de subsidiarias de la SEC consultadas y que no se referencian en el anexo correspondiente del Informe financiero 2015, en el que tampoco aparecen subsidiarias que operan en nichos fiscales (Suiza Países Bajos y Panamá), considerados como tales por Tax Justice y el Parlamento Europeo. </w:t>
      </w:r>
      <w:r w:rsidR="00710DFC">
        <w:rPr>
          <w:rFonts w:ascii="Open Sans" w:hAnsi="Open Sans" w:cs="Arial"/>
          <w:color w:val="000000"/>
          <w:sz w:val="20"/>
          <w:szCs w:val="20"/>
        </w:rPr>
        <w:t xml:space="preserve"> Aunque no se puede asegurar que estas sociedades formen parte de la estructura del grupo al no figurar en el anexo de las cuentas anuales sin embargo en la base de datos de Bloomberg  si figuran.</w:t>
      </w:r>
      <w:r w:rsidR="00552D36">
        <w:rPr>
          <w:rFonts w:ascii="Open Sans" w:hAnsi="Open Sans" w:cs="Arial"/>
          <w:color w:val="000000"/>
          <w:sz w:val="20"/>
          <w:szCs w:val="20"/>
        </w:rPr>
        <w:t xml:space="preserve"> </w:t>
      </w:r>
      <w:r w:rsidR="00552D36">
        <w:rPr>
          <w:rFonts w:ascii="Open Sans" w:hAnsi="Open Sans" w:cs="Arial"/>
          <w:sz w:val="20"/>
          <w:szCs w:val="20"/>
        </w:rPr>
        <w:t>No se han contabilizado en el resultado final al no poder asegurar que formen parte de la estructura societaria a la fecha de la realziación de este estudio.</w:t>
      </w:r>
    </w:p>
    <w:p w14:paraId="48E68F13"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La compañía ha realizado los siguientes cambios de localización de sociedades desde Ámsterdam a Madrid que, según comentario de la compañía recogido en prensa,  </w:t>
      </w:r>
      <w:r w:rsidRPr="001F19B5">
        <w:rPr>
          <w:rStyle w:val="Refdenotaalpie"/>
          <w:rFonts w:ascii="Open Sans" w:hAnsi="Open Sans" w:cs="Arial"/>
          <w:color w:val="000000"/>
          <w:sz w:val="20"/>
          <w:szCs w:val="20"/>
        </w:rPr>
        <w:footnoteReference w:id="586"/>
      </w:r>
      <w:r w:rsidRPr="001F19B5">
        <w:rPr>
          <w:rFonts w:ascii="Open Sans" w:hAnsi="Open Sans" w:cs="Arial"/>
          <w:color w:val="000000"/>
          <w:sz w:val="20"/>
          <w:szCs w:val="20"/>
        </w:rPr>
        <w:t xml:space="preserve"> “tiene como objetivo la simplificación de las estructuras societarias, mejorar la eficiencia, y reducir costes”:</w:t>
      </w:r>
    </w:p>
    <w:p w14:paraId="500BA3F1" w14:textId="77777777" w:rsidR="00A764EF" w:rsidRPr="001F19B5" w:rsidRDefault="00A764EF" w:rsidP="000B70C9">
      <w:pPr>
        <w:pStyle w:val="Prrafodelista"/>
        <w:numPr>
          <w:ilvl w:val="0"/>
          <w:numId w:val="63"/>
        </w:numPr>
        <w:spacing w:before="120"/>
        <w:jc w:val="both"/>
        <w:rPr>
          <w:rFonts w:ascii="Open Sans" w:hAnsi="Open Sans" w:cs="Arial"/>
          <w:color w:val="000000"/>
          <w:sz w:val="20"/>
          <w:szCs w:val="20"/>
        </w:rPr>
      </w:pPr>
      <w:r w:rsidRPr="001F19B5">
        <w:rPr>
          <w:rFonts w:ascii="Open Sans" w:hAnsi="Open Sans" w:cs="Arial"/>
          <w:color w:val="000000"/>
          <w:sz w:val="20"/>
          <w:szCs w:val="20"/>
        </w:rPr>
        <w:t>la sede de</w:t>
      </w:r>
      <w:r w:rsidRPr="001F19B5">
        <w:rPr>
          <w:rFonts w:ascii="Open Sans" w:hAnsi="Open Sans" w:cs="Arial"/>
          <w:color w:val="C0504D"/>
          <w:sz w:val="20"/>
          <w:szCs w:val="20"/>
        </w:rPr>
        <w:t xml:space="preserve"> </w:t>
      </w:r>
      <w:r w:rsidRPr="001F19B5">
        <w:rPr>
          <w:rFonts w:ascii="Open Sans" w:hAnsi="Open Sans" w:cs="Arial"/>
          <w:sz w:val="20"/>
          <w:szCs w:val="20"/>
        </w:rPr>
        <w:t>Ecuador Cellular Holdings BV</w:t>
      </w:r>
      <w:r w:rsidRPr="001F19B5">
        <w:rPr>
          <w:rFonts w:ascii="Open Sans" w:hAnsi="Open Sans" w:cs="Arial"/>
          <w:color w:val="000000"/>
          <w:sz w:val="20"/>
          <w:szCs w:val="20"/>
        </w:rPr>
        <w:t xml:space="preserve">, tenedora de las acciones de la división en Ecuador, que ha pasado a constituirse como sociedad limitada bajo el marco legal español. </w:t>
      </w:r>
    </w:p>
    <w:p w14:paraId="699D3ECC" w14:textId="77777777" w:rsidR="00A764EF" w:rsidRPr="001F19B5" w:rsidRDefault="00A764EF" w:rsidP="000B70C9">
      <w:pPr>
        <w:pStyle w:val="Prrafodelista"/>
        <w:numPr>
          <w:ilvl w:val="0"/>
          <w:numId w:val="63"/>
        </w:num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la sede social de </w:t>
      </w:r>
      <w:r w:rsidRPr="001F19B5">
        <w:rPr>
          <w:rFonts w:ascii="Open Sans" w:hAnsi="Open Sans" w:cs="Arial"/>
          <w:sz w:val="20"/>
          <w:szCs w:val="20"/>
        </w:rPr>
        <w:t>Telefónica Chile Holdings.</w:t>
      </w:r>
    </w:p>
    <w:p w14:paraId="507F07AD"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No es el primer movimiento de sedes de filiales desde Ámsterdam a Madrid, ya que en 2013, trasladó la sede social de Latin America Cellular Holdings.</w:t>
      </w:r>
    </w:p>
    <w:p w14:paraId="34566372"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Telefónica  todavía mantiene la sede de otros dos holdings latinoamericanos en los Países Bajos: Panamá Cellular Holdings BV y Guatemala Cellular Holdings BV, además de las sedes de la sociedad de cartera Aliança Atlántica Holding BV, la filial de gestión de tesorería Telfisa Global BV, así como la división de captación de fondos en los mercados de capital Telefónica Europe BV.</w:t>
      </w:r>
    </w:p>
    <w:p w14:paraId="7131DFF5"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A excepción de Wayra (Desarrollo de proyectos empresariales con base tecnológica innovadora) y Jubii Europe N.V. (Portal de Internet), el resto de las sociedades con presencia en nichos/paraísos son sociedades de cartera o sociedades holding o con actividad financiera. De las sociedades domiciliadas en Panamá, ya que telefónica opera en el país, </w:t>
      </w:r>
      <w:r w:rsidRPr="001F19B5">
        <w:rPr>
          <w:rFonts w:ascii="Open Sans" w:hAnsi="Open Sans" w:cs="Arial"/>
          <w:bCs/>
          <w:sz w:val="20"/>
          <w:szCs w:val="20"/>
        </w:rPr>
        <w:t>Telefónica Móviles Panamá, S.A</w:t>
      </w:r>
      <w:proofErr w:type="gramStart"/>
      <w:r w:rsidRPr="001F19B5">
        <w:rPr>
          <w:rFonts w:ascii="Open Sans" w:hAnsi="Open Sans" w:cs="Arial"/>
          <w:bCs/>
          <w:sz w:val="20"/>
          <w:szCs w:val="20"/>
        </w:rPr>
        <w:t>. ,</w:t>
      </w:r>
      <w:proofErr w:type="gramEnd"/>
      <w:r w:rsidRPr="001F19B5">
        <w:rPr>
          <w:rFonts w:ascii="Open Sans" w:hAnsi="Open Sans" w:cs="Arial"/>
          <w:bCs/>
          <w:sz w:val="20"/>
          <w:szCs w:val="20"/>
        </w:rPr>
        <w:t xml:space="preserve"> </w:t>
      </w:r>
      <w:r w:rsidRPr="001F19B5">
        <w:rPr>
          <w:rFonts w:ascii="Open Sans" w:hAnsi="Open Sans" w:cs="Arial"/>
          <w:color w:val="000000"/>
          <w:sz w:val="20"/>
          <w:szCs w:val="20"/>
        </w:rPr>
        <w:t xml:space="preserve">también puede tener la consideración de operativa. </w:t>
      </w:r>
    </w:p>
    <w:p w14:paraId="2169A827"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La página web de Telefónica contiene un apartado específico sobre Transparencia Fiscal</w:t>
      </w:r>
      <w:r w:rsidRPr="001F19B5">
        <w:rPr>
          <w:rStyle w:val="Refdenotaalpie"/>
          <w:rFonts w:ascii="Open Sans" w:hAnsi="Open Sans" w:cs="Arial"/>
          <w:sz w:val="20"/>
          <w:szCs w:val="20"/>
        </w:rPr>
        <w:footnoteReference w:id="587"/>
      </w:r>
      <w:r w:rsidRPr="001F19B5">
        <w:rPr>
          <w:rFonts w:ascii="Open Sans" w:hAnsi="Open Sans" w:cs="Arial"/>
          <w:sz w:val="20"/>
          <w:szCs w:val="20"/>
        </w:rPr>
        <w:t xml:space="preserve"> dentro del esquema estratégico actual de la compañía en materia de RSC denominado Estrategia de Negocio Responsable</w:t>
      </w:r>
      <w:r w:rsidRPr="001F19B5">
        <w:rPr>
          <w:rStyle w:val="Refdenotaalpie"/>
          <w:rFonts w:ascii="Open Sans" w:hAnsi="Open Sans" w:cs="Arial"/>
          <w:sz w:val="20"/>
          <w:szCs w:val="20"/>
        </w:rPr>
        <w:footnoteReference w:id="588"/>
      </w:r>
      <w:r w:rsidRPr="001F19B5">
        <w:rPr>
          <w:rFonts w:ascii="Open Sans" w:hAnsi="Open Sans" w:cs="Arial"/>
          <w:sz w:val="20"/>
          <w:szCs w:val="20"/>
        </w:rPr>
        <w:t xml:space="preserve"> y que ofrece información sobre el posicionamiento de la compañía en este ámbito de gestión que se desglosa en información sobre la estrategia fiscal y ética,  el devengo y pago de impuestos, el código ético de conducta tributaria, riesgos fiscales y buenas prácticas. Se trata, como decimos  de una agrupación que muestra el posicionamiento del grupo Telefónica respecto a la Transparencia Fiscal dentro del esquema de Negocio Responsable de la compañía.  La mayoría de esta información se contiene también en los documentos: Informe Financiero 2015 e Informe Integrado 2015. </w:t>
      </w:r>
    </w:p>
    <w:p w14:paraId="6D64943E"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De estos contenidos, a efectos de este informe y de forma resumida encontramos: </w:t>
      </w:r>
    </w:p>
    <w:p w14:paraId="4697F194"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b/>
          <w:sz w:val="20"/>
          <w:szCs w:val="20"/>
        </w:rPr>
        <w:t xml:space="preserve">Estrategia Fiscal </w:t>
      </w:r>
      <w:r w:rsidRPr="001F19B5">
        <w:rPr>
          <w:rFonts w:ascii="Open Sans" w:hAnsi="Open Sans" w:cs="Arial"/>
          <w:sz w:val="20"/>
          <w:szCs w:val="20"/>
        </w:rPr>
        <w:t>(principios que gobiernan las políticas fiscales):</w:t>
      </w:r>
    </w:p>
    <w:p w14:paraId="4E1B99B3" w14:textId="77777777" w:rsidR="00A764EF" w:rsidRPr="001F19B5" w:rsidRDefault="00A764EF" w:rsidP="000B70C9">
      <w:pPr>
        <w:pStyle w:val="Prrafodelista"/>
        <w:widowControl w:val="0"/>
        <w:numPr>
          <w:ilvl w:val="0"/>
          <w:numId w:val="64"/>
        </w:numPr>
        <w:autoSpaceDE w:val="0"/>
        <w:autoSpaceDN w:val="0"/>
        <w:adjustRightInd w:val="0"/>
        <w:jc w:val="both"/>
        <w:rPr>
          <w:rFonts w:ascii="Open Sans" w:hAnsi="Open Sans" w:cs="Arial"/>
          <w:sz w:val="20"/>
          <w:szCs w:val="20"/>
        </w:rPr>
      </w:pPr>
      <w:r w:rsidRPr="001F19B5">
        <w:rPr>
          <w:rFonts w:ascii="Open Sans" w:hAnsi="Open Sans" w:cs="Arial"/>
          <w:sz w:val="20"/>
          <w:szCs w:val="20"/>
        </w:rPr>
        <w:t>Estamos comprometidos con nuestra obligación de pagar los impuestos legalmente exigibles de forma adecuada en todos los países en los que operamos, contribuyendo a su progreso económico y social.</w:t>
      </w:r>
    </w:p>
    <w:p w14:paraId="13E44730" w14:textId="77777777" w:rsidR="00A764EF" w:rsidRPr="001F19B5" w:rsidRDefault="00A764EF" w:rsidP="000B70C9">
      <w:pPr>
        <w:pStyle w:val="Prrafodelista"/>
        <w:widowControl w:val="0"/>
        <w:numPr>
          <w:ilvl w:val="0"/>
          <w:numId w:val="64"/>
        </w:numPr>
        <w:autoSpaceDE w:val="0"/>
        <w:autoSpaceDN w:val="0"/>
        <w:adjustRightInd w:val="0"/>
        <w:jc w:val="both"/>
        <w:rPr>
          <w:rFonts w:ascii="Open Sans" w:hAnsi="Open Sans" w:cs="Arial"/>
          <w:sz w:val="20"/>
          <w:szCs w:val="20"/>
        </w:rPr>
      </w:pPr>
      <w:r w:rsidRPr="001F19B5">
        <w:rPr>
          <w:rFonts w:ascii="Open Sans" w:hAnsi="Open Sans" w:cs="Arial"/>
          <w:sz w:val="20"/>
          <w:szCs w:val="20"/>
        </w:rPr>
        <w:t xml:space="preserve">Conciliamos el cumplimiento de nuestras obligaciones tributarias con nuestro compromiso de crear valor para nuestros accionistas mediante la gestión eficiente de los costes asociados a la función fiscal. </w:t>
      </w:r>
    </w:p>
    <w:p w14:paraId="378BCA24" w14:textId="77777777" w:rsidR="00A764EF" w:rsidRPr="001F19B5" w:rsidRDefault="00A764EF" w:rsidP="000B70C9">
      <w:pPr>
        <w:pStyle w:val="Prrafodelista"/>
        <w:widowControl w:val="0"/>
        <w:numPr>
          <w:ilvl w:val="0"/>
          <w:numId w:val="64"/>
        </w:numPr>
        <w:autoSpaceDE w:val="0"/>
        <w:autoSpaceDN w:val="0"/>
        <w:adjustRightInd w:val="0"/>
        <w:jc w:val="both"/>
        <w:rPr>
          <w:rFonts w:ascii="Open Sans" w:hAnsi="Open Sans" w:cs="Arial"/>
          <w:sz w:val="20"/>
          <w:szCs w:val="20"/>
        </w:rPr>
      </w:pPr>
      <w:r w:rsidRPr="001F19B5">
        <w:rPr>
          <w:rFonts w:ascii="Open Sans" w:hAnsi="Open Sans" w:cs="Arial"/>
          <w:sz w:val="20"/>
          <w:szCs w:val="20"/>
        </w:rPr>
        <w:t>Gestionamos nuestros asuntos fiscales conforme a nuestro marco y procesos de gobierno corporativo: el Consejo de Administración y el comité de auditoría son informados regularmente de la aplicación de las políticas fiscales.</w:t>
      </w:r>
    </w:p>
    <w:p w14:paraId="08D6886B" w14:textId="77777777" w:rsidR="00A764EF" w:rsidRPr="001F19B5" w:rsidRDefault="00A764EF" w:rsidP="000B70C9">
      <w:pPr>
        <w:pStyle w:val="Prrafodelista"/>
        <w:widowControl w:val="0"/>
        <w:numPr>
          <w:ilvl w:val="0"/>
          <w:numId w:val="64"/>
        </w:numPr>
        <w:autoSpaceDE w:val="0"/>
        <w:autoSpaceDN w:val="0"/>
        <w:adjustRightInd w:val="0"/>
        <w:jc w:val="both"/>
        <w:rPr>
          <w:rFonts w:ascii="Open Sans" w:hAnsi="Open Sans" w:cs="Arial"/>
          <w:sz w:val="20"/>
          <w:szCs w:val="20"/>
        </w:rPr>
      </w:pPr>
      <w:r w:rsidRPr="001F19B5">
        <w:rPr>
          <w:rFonts w:ascii="Open Sans" w:hAnsi="Open Sans" w:cs="Arial"/>
          <w:sz w:val="20"/>
          <w:szCs w:val="20"/>
        </w:rPr>
        <w:t>Desarrollamos prácticas encaminadas a la prevención y reducción de los riesgos fiscales en el diseño y desarrollo de nuestras actividades conforme a la Política de Gestión de Riesgos Fiscales del Grupo Telefónica</w:t>
      </w:r>
      <w:r w:rsidRPr="001F19B5">
        <w:rPr>
          <w:rStyle w:val="Refdenotaalpie"/>
          <w:rFonts w:ascii="Open Sans" w:hAnsi="Open Sans" w:cs="Arial"/>
          <w:sz w:val="20"/>
          <w:szCs w:val="20"/>
        </w:rPr>
        <w:footnoteReference w:id="589"/>
      </w:r>
      <w:r w:rsidRPr="001F19B5">
        <w:rPr>
          <w:rFonts w:ascii="Open Sans" w:hAnsi="Open Sans" w:cs="Arial"/>
          <w:sz w:val="20"/>
          <w:szCs w:val="20"/>
        </w:rPr>
        <w:t xml:space="preserve">. </w:t>
      </w:r>
    </w:p>
    <w:p w14:paraId="293C3356" w14:textId="77777777" w:rsidR="00A764EF" w:rsidRPr="001F19B5" w:rsidRDefault="00A764EF" w:rsidP="000B70C9">
      <w:pPr>
        <w:pStyle w:val="Prrafodelista"/>
        <w:numPr>
          <w:ilvl w:val="0"/>
          <w:numId w:val="64"/>
        </w:numPr>
        <w:jc w:val="both"/>
        <w:rPr>
          <w:rFonts w:ascii="Open Sans" w:hAnsi="Open Sans" w:cs="Arial"/>
          <w:sz w:val="20"/>
          <w:szCs w:val="20"/>
        </w:rPr>
      </w:pPr>
      <w:r w:rsidRPr="001F19B5">
        <w:rPr>
          <w:rFonts w:ascii="Open Sans" w:hAnsi="Open Sans" w:cs="Arial"/>
          <w:sz w:val="20"/>
          <w:szCs w:val="20"/>
        </w:rPr>
        <w:t>Velamos por la transparencia en nuestro reporting financiero para los inversores y para la sociedad y trabajamos para facilitar la comprensión de nuestros asuntos fiscales</w:t>
      </w:r>
    </w:p>
    <w:p w14:paraId="058A2225"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b/>
          <w:sz w:val="20"/>
          <w:szCs w:val="20"/>
        </w:rPr>
        <w:t>Código ético</w:t>
      </w:r>
      <w:r w:rsidRPr="001F19B5">
        <w:rPr>
          <w:rFonts w:ascii="Open Sans" w:hAnsi="Open Sans" w:cs="Arial"/>
          <w:sz w:val="20"/>
          <w:szCs w:val="20"/>
        </w:rPr>
        <w:t xml:space="preserve"> </w:t>
      </w:r>
      <w:r w:rsidRPr="001F19B5">
        <w:rPr>
          <w:rFonts w:ascii="Open Sans" w:hAnsi="Open Sans" w:cs="Arial"/>
          <w:b/>
          <w:sz w:val="20"/>
          <w:szCs w:val="20"/>
        </w:rPr>
        <w:t>de conducta tributaria</w:t>
      </w:r>
      <w:r w:rsidRPr="00256EC8">
        <w:rPr>
          <w:rStyle w:val="Refdenotaalpie"/>
          <w:rFonts w:ascii="Open Sans" w:hAnsi="Open Sans" w:cs="Arial"/>
          <w:sz w:val="20"/>
          <w:szCs w:val="20"/>
        </w:rPr>
        <w:footnoteReference w:id="590"/>
      </w:r>
      <w:r w:rsidRPr="00256EC8">
        <w:rPr>
          <w:rFonts w:ascii="Open Sans" w:hAnsi="Open Sans" w:cs="Arial"/>
          <w:sz w:val="20"/>
          <w:szCs w:val="20"/>
        </w:rPr>
        <w:t>:</w:t>
      </w:r>
      <w:r w:rsidRPr="001F19B5">
        <w:rPr>
          <w:rFonts w:ascii="Open Sans" w:hAnsi="Open Sans" w:cs="Arial"/>
          <w:b/>
          <w:sz w:val="20"/>
          <w:szCs w:val="20"/>
        </w:rPr>
        <w:t xml:space="preserve"> </w:t>
      </w:r>
      <w:r w:rsidRPr="001F19B5">
        <w:rPr>
          <w:rFonts w:ascii="Open Sans" w:hAnsi="Open Sans" w:cs="Arial"/>
          <w:sz w:val="20"/>
          <w:szCs w:val="20"/>
        </w:rPr>
        <w:t>enuncia, entre otros, el compromiso de operar en jurisdicciones que hayan adoptado los estándares de transparencia e intercambio de información recomendados por la OCDE y en particular con los establecidos en la normativa tributaria española, evitando la utilización de estructuras de carácter opaco con finalidades tributarias, asegurar que toda toma de posición fiscal atiende a motivaciones comerciales y de negocio y fomentar las relaciones con las Administraciones Tributarias que deberán estar presididas por los Principios de transparencia, confianza, buena fe y lealtad mutua.</w:t>
      </w:r>
    </w:p>
    <w:p w14:paraId="1F4C85E3" w14:textId="77777777" w:rsidR="00A764EF" w:rsidRPr="001F19B5" w:rsidRDefault="00A764EF" w:rsidP="00A764EF">
      <w:pPr>
        <w:spacing w:before="120"/>
        <w:jc w:val="both"/>
        <w:rPr>
          <w:rFonts w:ascii="Open Sans" w:hAnsi="Open Sans" w:cs="Arial"/>
          <w:b/>
          <w:sz w:val="20"/>
          <w:szCs w:val="20"/>
        </w:rPr>
      </w:pPr>
      <w:r w:rsidRPr="001F19B5">
        <w:rPr>
          <w:rFonts w:ascii="Open Sans" w:hAnsi="Open Sans" w:cs="Arial"/>
          <w:b/>
          <w:sz w:val="20"/>
          <w:szCs w:val="20"/>
        </w:rPr>
        <w:t xml:space="preserve">Riesgos fiscales: </w:t>
      </w:r>
      <w:r w:rsidRPr="001F19B5">
        <w:rPr>
          <w:rFonts w:ascii="Open Sans" w:hAnsi="Open Sans" w:cs="Arial"/>
          <w:sz w:val="20"/>
          <w:szCs w:val="20"/>
        </w:rPr>
        <w:t>La Compañía dispone de un mapa de riesgos que prioriza  los mismos en función de su importancia, su gestión y una respuesta razonable ante los mismos</w:t>
      </w:r>
      <w:r w:rsidRPr="001F19B5">
        <w:rPr>
          <w:rStyle w:val="Refdenotaalpie"/>
          <w:rFonts w:ascii="Open Sans" w:hAnsi="Open Sans" w:cs="Arial"/>
          <w:sz w:val="20"/>
          <w:szCs w:val="20"/>
        </w:rPr>
        <w:footnoteReference w:id="591"/>
      </w:r>
      <w:r w:rsidRPr="001F19B5">
        <w:rPr>
          <w:rFonts w:ascii="Open Sans" w:hAnsi="Open Sans" w:cs="Arial"/>
          <w:sz w:val="20"/>
          <w:szCs w:val="20"/>
        </w:rPr>
        <w:t>. Conforme a este modelo, y basado en las referencias y prácticas reconocidas en gestión de riesgos, se han definido cuatro categorías de riesgos: de Negocio, Operacionales, Financieros (se incluyen dentro de esta categoría los riesgos de naturaleza fiscal) y Globales. Los órganos de la sociedad responsables de la elaboración y ejecución del sistema de gestión de riesgos, incluido el fiscal son el Consejo de Administración de Telefónica, S.A. que tiene reservada la competencia de aprobar la política general de riesgos y la Comisión de Auditoría y Control que propone al Consejo de Administración, tras su análisis y consideración, la política de control y gestión de riesgo y que tiene la competencias de  supervisión del sistema de gestión de riesgos.</w:t>
      </w:r>
    </w:p>
    <w:p w14:paraId="55B921E4"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Además de estos riesgos generales, Telefónica contempla otros en su matriz de materialidad como la transparencia, las prácticas éticas en los negocios o la calidad del servicio</w:t>
      </w:r>
      <w:r w:rsidRPr="001F19B5">
        <w:rPr>
          <w:rStyle w:val="Refdenotaalpie"/>
          <w:rFonts w:ascii="Open Sans" w:hAnsi="Open Sans" w:cs="Arial"/>
          <w:sz w:val="20"/>
          <w:szCs w:val="20"/>
        </w:rPr>
        <w:footnoteReference w:id="592"/>
      </w:r>
      <w:r w:rsidRPr="001F19B5">
        <w:rPr>
          <w:rFonts w:ascii="Open Sans" w:hAnsi="Open Sans" w:cs="Arial"/>
          <w:sz w:val="20"/>
          <w:szCs w:val="20"/>
        </w:rPr>
        <w:t xml:space="preserve">. </w:t>
      </w:r>
    </w:p>
    <w:p w14:paraId="3A560C28"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Entre los riesgos e incertidumbres más significativos a los que se enfrenta la Compañía, a los efectos de este estudio, destacamos que se citan “posibles cambios de carácter regulatorio, empresarial, económico o político que podría dar lugar al posible saneamiento contable de determinados activos, que podrían suponer la necesidad de incluir modificaciones en las estimaciones efectuadas y la necesidad de llevar a cabo saneamientos en los fondos de comercio, en los inmovilizados materiales o en los intangibles”. En este sentido, cabe comentar el la sentencia de Bruselas exigiendo a España que recupere beneficios fiscales millonarios concedidos a grandes empresas por comprar firmas extranjeras</w:t>
      </w:r>
      <w:r w:rsidRPr="001F19B5">
        <w:rPr>
          <w:rStyle w:val="Refdenotaalpie"/>
          <w:rFonts w:ascii="Open Sans" w:hAnsi="Open Sans" w:cs="Arial"/>
          <w:color w:val="343434"/>
          <w:sz w:val="20"/>
          <w:szCs w:val="20"/>
        </w:rPr>
        <w:footnoteReference w:id="593"/>
      </w:r>
      <w:r w:rsidRPr="001F19B5">
        <w:rPr>
          <w:rFonts w:ascii="Open Sans" w:hAnsi="Open Sans" w:cs="Arial"/>
          <w:color w:val="343434"/>
          <w:sz w:val="20"/>
          <w:szCs w:val="20"/>
        </w:rPr>
        <w:t xml:space="preserve">. </w:t>
      </w:r>
      <w:r w:rsidRPr="001F19B5">
        <w:rPr>
          <w:rFonts w:ascii="Open Sans" w:hAnsi="Open Sans" w:cs="Arial"/>
          <w:sz w:val="20"/>
          <w:szCs w:val="20"/>
        </w:rPr>
        <w:t xml:space="preserve"> También explicita que Telefónica y las sociedades del Grupo son parte en litigios, reclamaciones de carácter fiscal y otros procedimientos judiciales. Estos litigios se tratan con mayor detalle en un apartado específico de este informe. </w:t>
      </w:r>
    </w:p>
    <w:p w14:paraId="121D3CB1"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En el apartado de Transparencia Fiscal de la web informa que el riesgo fiscal se gestiona con el fin de prevenir y reducir los litigios fiscales a aquellos que sean necesarios para la defensa de las posiciones fiscales legítimamente adoptadas por el Grupo. Este objetivo se consigue sobre la base de los siguientes criterios:</w:t>
      </w:r>
    </w:p>
    <w:p w14:paraId="06AE03D5" w14:textId="77777777" w:rsidR="00A764EF" w:rsidRPr="001F19B5" w:rsidRDefault="00A764EF" w:rsidP="000B70C9">
      <w:pPr>
        <w:pStyle w:val="Prrafodelista"/>
        <w:numPr>
          <w:ilvl w:val="0"/>
          <w:numId w:val="65"/>
        </w:numPr>
        <w:spacing w:before="120"/>
        <w:jc w:val="both"/>
        <w:rPr>
          <w:rFonts w:ascii="Open Sans" w:hAnsi="Open Sans" w:cs="Arial"/>
          <w:sz w:val="20"/>
          <w:szCs w:val="20"/>
        </w:rPr>
      </w:pPr>
      <w:r w:rsidRPr="001F19B5">
        <w:rPr>
          <w:rFonts w:ascii="Open Sans" w:hAnsi="Open Sans" w:cs="Arial"/>
          <w:sz w:val="20"/>
          <w:szCs w:val="20"/>
        </w:rPr>
        <w:t>Sólida fundamentación técnica basada en Derecho</w:t>
      </w:r>
    </w:p>
    <w:p w14:paraId="5CD5B853" w14:textId="77777777" w:rsidR="00A764EF" w:rsidRPr="001F19B5" w:rsidRDefault="00A764EF" w:rsidP="000B70C9">
      <w:pPr>
        <w:pStyle w:val="Prrafodelista"/>
        <w:numPr>
          <w:ilvl w:val="0"/>
          <w:numId w:val="65"/>
        </w:numPr>
        <w:spacing w:before="120"/>
        <w:jc w:val="both"/>
        <w:rPr>
          <w:rFonts w:ascii="Open Sans" w:hAnsi="Open Sans" w:cs="Arial"/>
          <w:sz w:val="20"/>
          <w:szCs w:val="20"/>
        </w:rPr>
      </w:pPr>
      <w:r w:rsidRPr="001F19B5">
        <w:rPr>
          <w:rFonts w:ascii="Open Sans" w:hAnsi="Open Sans" w:cs="Arial"/>
          <w:sz w:val="20"/>
          <w:szCs w:val="20"/>
        </w:rPr>
        <w:t>Adecuada documentación con explicación clara de las posiciones fiscales adoptadas.</w:t>
      </w:r>
    </w:p>
    <w:p w14:paraId="0E0D3FF7" w14:textId="77777777" w:rsidR="00A764EF" w:rsidRPr="001F19B5" w:rsidRDefault="00A764EF" w:rsidP="000B70C9">
      <w:pPr>
        <w:pStyle w:val="Prrafodelista"/>
        <w:numPr>
          <w:ilvl w:val="0"/>
          <w:numId w:val="65"/>
        </w:numPr>
        <w:spacing w:before="120"/>
        <w:jc w:val="both"/>
        <w:rPr>
          <w:rFonts w:ascii="Open Sans" w:hAnsi="Open Sans" w:cs="Arial"/>
          <w:sz w:val="20"/>
          <w:szCs w:val="20"/>
        </w:rPr>
      </w:pPr>
      <w:r w:rsidRPr="001F19B5">
        <w:rPr>
          <w:rFonts w:ascii="Open Sans" w:hAnsi="Open Sans" w:cs="Arial"/>
          <w:sz w:val="20"/>
          <w:szCs w:val="20"/>
        </w:rPr>
        <w:t>Una estrecha relación con las autoridades fiscales.</w:t>
      </w:r>
    </w:p>
    <w:p w14:paraId="2D5BAB37" w14:textId="77777777" w:rsidR="00A764EF" w:rsidRPr="001F19B5" w:rsidRDefault="00A764EF" w:rsidP="000B70C9">
      <w:pPr>
        <w:pStyle w:val="Prrafodelista"/>
        <w:numPr>
          <w:ilvl w:val="0"/>
          <w:numId w:val="65"/>
        </w:numPr>
        <w:spacing w:before="120"/>
        <w:jc w:val="both"/>
        <w:rPr>
          <w:rFonts w:ascii="Open Sans" w:hAnsi="Open Sans" w:cs="Arial"/>
          <w:sz w:val="20"/>
          <w:szCs w:val="20"/>
        </w:rPr>
      </w:pPr>
      <w:r w:rsidRPr="001F19B5">
        <w:rPr>
          <w:rFonts w:ascii="Open Sans" w:hAnsi="Open Sans" w:cs="Arial"/>
          <w:sz w:val="20"/>
          <w:szCs w:val="20"/>
        </w:rPr>
        <w:t>Procedimientos de ges</w:t>
      </w:r>
      <w:bookmarkStart w:id="104" w:name="_GoBack"/>
      <w:bookmarkEnd w:id="104"/>
      <w:r w:rsidRPr="001F19B5">
        <w:rPr>
          <w:rFonts w:ascii="Open Sans" w:hAnsi="Open Sans" w:cs="Arial"/>
          <w:sz w:val="20"/>
          <w:szCs w:val="20"/>
        </w:rPr>
        <w:t>tión tributaria eficientes que asegure la adecuación de las declaraciones tributarias.</w:t>
      </w:r>
    </w:p>
    <w:p w14:paraId="30C43792"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Para la toma de decisiones comerciales, siempre se llevará a cabo un exhaustivo análisis de los aspectos tributarios que éstas conllevan. Si existieran varias alternativas tributarias para conseguir el mismo objetivo, se optará por el que sea más eficiente desde el punto de vista tributario.</w:t>
      </w:r>
    </w:p>
    <w:p w14:paraId="7294A6AA"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Las principales situaciones que requieren una valoración del riesgo fiscal son:</w:t>
      </w:r>
    </w:p>
    <w:p w14:paraId="4BCAC4AA"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Las adquisiciones y ventas de participaciones</w:t>
      </w:r>
    </w:p>
    <w:p w14:paraId="3CE77FCE"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Las decisiones de cambios de estructuras empresariales</w:t>
      </w:r>
    </w:p>
    <w:p w14:paraId="181ED7B5"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Los acuerdos de financiación empresarial</w:t>
      </w:r>
    </w:p>
    <w:p w14:paraId="7245F45F"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Las transacciones significativas</w:t>
      </w:r>
    </w:p>
    <w:p w14:paraId="00BCD481"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Las operaciones de comercio internacional</w:t>
      </w:r>
    </w:p>
    <w:p w14:paraId="6731133B" w14:textId="77777777" w:rsidR="00A764EF" w:rsidRPr="001F19B5" w:rsidRDefault="00A764EF" w:rsidP="000B70C9">
      <w:pPr>
        <w:pStyle w:val="Prrafodelista"/>
        <w:numPr>
          <w:ilvl w:val="0"/>
          <w:numId w:val="66"/>
        </w:numPr>
        <w:spacing w:before="120"/>
        <w:jc w:val="both"/>
        <w:rPr>
          <w:rFonts w:ascii="Open Sans" w:hAnsi="Open Sans" w:cs="Arial"/>
          <w:sz w:val="20"/>
          <w:szCs w:val="20"/>
        </w:rPr>
      </w:pPr>
      <w:r w:rsidRPr="001F19B5">
        <w:rPr>
          <w:rFonts w:ascii="Open Sans" w:hAnsi="Open Sans" w:cs="Arial"/>
          <w:sz w:val="20"/>
          <w:szCs w:val="20"/>
        </w:rPr>
        <w:t>Los nuevos procesos internos que pudieran afectar a la cumplimentación de las obligaciones tributarias.</w:t>
      </w:r>
    </w:p>
    <w:p w14:paraId="1AAA9197" w14:textId="7444CF1A" w:rsidR="00A764EF" w:rsidRDefault="00A764EF" w:rsidP="00256EC8">
      <w:pPr>
        <w:spacing w:before="120"/>
        <w:jc w:val="both"/>
        <w:rPr>
          <w:rFonts w:ascii="Open Sans" w:hAnsi="Open Sans" w:cs="Arial"/>
          <w:sz w:val="20"/>
          <w:szCs w:val="20"/>
        </w:rPr>
      </w:pPr>
      <w:r w:rsidRPr="001F19B5">
        <w:rPr>
          <w:rFonts w:ascii="Open Sans" w:hAnsi="Open Sans" w:cs="Arial"/>
          <w:sz w:val="20"/>
          <w:szCs w:val="20"/>
        </w:rPr>
        <w:t>Además, cuenta con un Canal de principios de negocio responsable</w:t>
      </w:r>
      <w:r w:rsidRPr="001F19B5">
        <w:rPr>
          <w:rFonts w:ascii="Open Sans" w:hAnsi="Open Sans"/>
          <w:sz w:val="20"/>
          <w:szCs w:val="20"/>
          <w:vertAlign w:val="superscript"/>
        </w:rPr>
        <w:footnoteReference w:id="594"/>
      </w:r>
      <w:r w:rsidRPr="001F19B5">
        <w:rPr>
          <w:rFonts w:ascii="Open Sans" w:hAnsi="Open Sans" w:cs="Arial"/>
          <w:sz w:val="20"/>
          <w:szCs w:val="20"/>
        </w:rPr>
        <w:t xml:space="preserve"> (empleados) para consultas y denuncias. Reporta resultados cuantitativos del canal en el periodo 2015, sin especificar naturaleza de consultas o denuncias.</w:t>
      </w:r>
    </w:p>
    <w:p w14:paraId="0ECA08D7" w14:textId="77777777" w:rsidR="00256EC8" w:rsidRPr="00256EC8" w:rsidRDefault="00256EC8" w:rsidP="00256EC8">
      <w:pPr>
        <w:spacing w:before="120"/>
        <w:jc w:val="both"/>
        <w:rPr>
          <w:rFonts w:ascii="Open Sans" w:hAnsi="Open Sans" w:cs="Arial"/>
          <w:sz w:val="20"/>
          <w:szCs w:val="20"/>
        </w:rPr>
      </w:pPr>
    </w:p>
    <w:p w14:paraId="1CA0102B" w14:textId="77777777" w:rsidR="00A764EF" w:rsidRPr="001F19B5" w:rsidRDefault="00A764EF" w:rsidP="00A764EF">
      <w:pPr>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 xml:space="preserve">Telefónica considera en su estrategia de Negocio Responsable que uno de los importantes compromisos con la sostenibilidad es la aportación tributaria y la información clara y transparente sobre ésta. En el Informe de Integrado 2015, en su apartado </w:t>
      </w:r>
      <w:r w:rsidRPr="001F19B5">
        <w:rPr>
          <w:rStyle w:val="A10"/>
          <w:rFonts w:ascii="Open Sans" w:hAnsi="Open Sans" w:cs="Arial"/>
          <w:sz w:val="20"/>
          <w:szCs w:val="20"/>
        </w:rPr>
        <w:t>Contribución a las haciendas locales,</w:t>
      </w:r>
      <w:r w:rsidRPr="001F19B5">
        <w:rPr>
          <w:rStyle w:val="A8"/>
          <w:rFonts w:ascii="Open Sans" w:hAnsi="Open Sans" w:cs="Arial"/>
          <w:sz w:val="20"/>
          <w:szCs w:val="20"/>
        </w:rPr>
        <w:t xml:space="preserve"> </w:t>
      </w:r>
      <w:r w:rsidRPr="001F19B5">
        <w:rPr>
          <w:rFonts w:ascii="Open Sans" w:hAnsi="Open Sans" w:cs="Arial"/>
          <w:sz w:val="20"/>
          <w:szCs w:val="20"/>
        </w:rPr>
        <w:t xml:space="preserve">Telefónica informa sobre la contribución tributaria total (CTT), la distribución de los impuestos pagados por telefónica por macro áreas geográficas: España, Brasil Hispanoamérica y un agregado, resto junto con un desglose de impuestos soportados y recaudados por los siguientes conceptos: Impuestos sobre beneficios, impuestos asociados al empleo e impuestos  sobre productos y servicios. Este detalle supone un avance respecto a información de periodos anteriores, dado que cada uno de ellos responde a distintos requisitos legales, realiza una contribución diferente a la sociedad y disfruta de distintos tipos de exenciones, se echaba en falta, a efectos de transparencia, un desglose por naturaleza. </w:t>
      </w:r>
    </w:p>
    <w:p w14:paraId="439911F2" w14:textId="77777777" w:rsidR="00A764EF" w:rsidRPr="001F19B5" w:rsidRDefault="00A764EF" w:rsidP="00A764EF">
      <w:pPr>
        <w:autoSpaceDE w:val="0"/>
        <w:autoSpaceDN w:val="0"/>
        <w:adjustRightInd w:val="0"/>
        <w:spacing w:before="120"/>
        <w:jc w:val="both"/>
        <w:rPr>
          <w:rFonts w:ascii="Open Sans" w:eastAsia="Calibri" w:hAnsi="Open Sans" w:cs="Arial"/>
          <w:color w:val="76923C" w:themeColor="accent3" w:themeShade="BF"/>
          <w:sz w:val="20"/>
          <w:szCs w:val="20"/>
        </w:rPr>
      </w:pPr>
      <w:r w:rsidRPr="001F19B5">
        <w:rPr>
          <w:rFonts w:ascii="Open Sans" w:hAnsi="Open Sans" w:cs="Arial"/>
          <w:sz w:val="20"/>
          <w:szCs w:val="20"/>
        </w:rPr>
        <w:t xml:space="preserve">No obstante al informar la contribución total por países no se realiza este desglose, reportándose cifras globales de impuestos soportados e impuestos recaudados. </w:t>
      </w:r>
      <w:r w:rsidRPr="001F19B5">
        <w:rPr>
          <w:rFonts w:ascii="Open Sans" w:eastAsia="Calibri" w:hAnsi="Open Sans" w:cs="Arial"/>
          <w:sz w:val="20"/>
          <w:szCs w:val="20"/>
        </w:rPr>
        <w:t>Facilita en su memoria de sostenibilidad un cuadro con los impuestos soportados y recaudados en 14 países, información insuficiente para conocer el comportamiento y contribución fiscal de Telefónica, ya que no facilita información por tipo de impuesto, ni tipos nominales y efectivos en el caso del impuesto de sociedades por país. Tampoco se detallan estos aspectos en el Informe Financiero de 2015.</w:t>
      </w:r>
    </w:p>
    <w:p w14:paraId="62523FF6" w14:textId="77777777" w:rsidR="00A764EF" w:rsidRPr="001F19B5" w:rsidRDefault="00A764EF" w:rsidP="00A764EF">
      <w:pPr>
        <w:spacing w:before="120"/>
        <w:jc w:val="both"/>
        <w:rPr>
          <w:rStyle w:val="A8"/>
          <w:rFonts w:ascii="Open Sans" w:hAnsi="Open Sans" w:cs="Arial"/>
          <w:sz w:val="20"/>
          <w:szCs w:val="20"/>
        </w:rPr>
      </w:pPr>
      <w:r w:rsidRPr="001F19B5">
        <w:rPr>
          <w:rStyle w:val="A8"/>
          <w:rFonts w:ascii="Open Sans" w:hAnsi="Open Sans" w:cs="Arial"/>
          <w:sz w:val="20"/>
          <w:szCs w:val="20"/>
        </w:rPr>
        <w:t xml:space="preserve">La contribución tributaria total (CTT) ha ascendido a 11.454 millones de euros: 3.130.299 M€ a impuestos soportados y 8.323.802 M€ a impuestos recaudados. </w:t>
      </w:r>
    </w:p>
    <w:p w14:paraId="086CB269"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Según explica en el Informe Integrado 2015, "los impuestos soportados son aquellos impuestos pagados por Telefónica a las administraciones de los distintos estados en los que opera y que han supuesto un coste efectivo para la Compañía". Conforme al desglose anteriormente descrito: </w:t>
      </w:r>
    </w:p>
    <w:p w14:paraId="4D052B27"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El 21 % del total de impuestos soportados corresponde a Impuesto sobre beneficios, el 24% a impuestos asociados al empleo y el 45% a impuestos sobre productos y servicios. </w:t>
      </w:r>
    </w:p>
    <w:p w14:paraId="5A555C2C"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La definición que da Telefónica de impuestos recaudados "aquellos impuestos gestionados por Telefónica que han sido ingresados por cuenta de otros contribuyentes como consecuencia de la actividad económica de la Compañía; es decir, son ingresos tributarios que se obtienen gracias al valor económico generado por la misma"</w:t>
      </w:r>
    </w:p>
    <w:p w14:paraId="17BDD822" w14:textId="77777777" w:rsidR="00A764EF" w:rsidRPr="001F19B5" w:rsidRDefault="00A764EF" w:rsidP="00A764EF">
      <w:pPr>
        <w:pStyle w:val="Prrafodelista"/>
        <w:spacing w:before="120"/>
        <w:ind w:left="0"/>
        <w:jc w:val="both"/>
        <w:rPr>
          <w:rStyle w:val="A8"/>
          <w:rFonts w:ascii="Open Sans" w:hAnsi="Open Sans" w:cs="Arial"/>
          <w:sz w:val="20"/>
          <w:szCs w:val="20"/>
        </w:rPr>
      </w:pPr>
      <w:r w:rsidRPr="001F19B5">
        <w:rPr>
          <w:rFonts w:ascii="Open Sans" w:hAnsi="Open Sans" w:cs="Arial"/>
          <w:sz w:val="20"/>
          <w:szCs w:val="20"/>
        </w:rPr>
        <w:t xml:space="preserve">El 8 % del total de impuestos recaudados corresponde a Impuesto sobre beneficios, el 12% a impuestos asociados al empleo y el 80% a impuestos sobre productos y servicios. </w:t>
      </w:r>
    </w:p>
    <w:p w14:paraId="69194327"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En un cuadro informa sobre los Impuestos soportados, Impuestos recaudados y contribución total para un total de 14 países, además de un consolidado de “Otros”. Entre esos 14 países se incluyen: Brasil, España, Argentina, Alemania, Perú, Colombia, Chile, México, Ecuador, Nicaragua Uruguay, Panamá, El Salvador, Guatemala. </w:t>
      </w:r>
    </w:p>
    <w:p w14:paraId="09320EDB"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Como comentamos anteriormente, la contribución (CTT) por países no facilita información por tipo de impuesto, ni tipos nominales y efectivos en el caso del impuesto de sociedades por país, reportándose cifras globales de impuestos soportados e impuestos recaudados. Además sería deseable que facilitase información sobre facturación, resultado contable, conciliación con el impuesto de sociedades, impuestos pagados y número de empleados. </w:t>
      </w:r>
    </w:p>
    <w:p w14:paraId="6070994F" w14:textId="77777777" w:rsidR="00A764EF" w:rsidRPr="001F19B5" w:rsidRDefault="00A764EF" w:rsidP="00A764EF">
      <w:pPr>
        <w:spacing w:before="360"/>
        <w:jc w:val="both"/>
        <w:rPr>
          <w:rFonts w:ascii="Open Sans" w:hAnsi="Open Sans" w:cs="Arial"/>
          <w:sz w:val="20"/>
          <w:szCs w:val="20"/>
        </w:rPr>
      </w:pPr>
      <w:r w:rsidRPr="001F19B5">
        <w:rPr>
          <w:rFonts w:ascii="Open Sans" w:hAnsi="Open Sans" w:cs="Arial"/>
          <w:sz w:val="20"/>
          <w:szCs w:val="20"/>
        </w:rPr>
        <w:t>En relación a las subvenciones, en el informe Financiero 2015, la nota explicativa de “Ingresos y gastos” se informa de un importe de 1.841 millones de euros de "Otros ingresos", de los cuales se detalla que 33 millones de euros son por subvenciones, sin especificar de qué tipo. Por otra parte, en el Informe Integrado puntualiza que Telefónica está registrada como lobista en el registro voluntario de la Unión Europea, reportando unos gastos de lobby durante 2014 de 2 millones de euros y unas subvenciones recibidas de 4.400 millones. A pesar de esto, no se ha encontrado información detallada de subvenciones por tipo y país.</w:t>
      </w:r>
    </w:p>
    <w:p w14:paraId="5AB65CEA" w14:textId="77777777" w:rsidR="00A764EF" w:rsidRPr="001F19B5" w:rsidRDefault="00A764EF" w:rsidP="00A764EF">
      <w:pPr>
        <w:spacing w:before="360"/>
        <w:jc w:val="both"/>
        <w:rPr>
          <w:rFonts w:ascii="Open Sans" w:hAnsi="Open Sans" w:cs="Arial"/>
          <w:sz w:val="22"/>
          <w:szCs w:val="22"/>
        </w:rPr>
      </w:pPr>
      <w:r w:rsidRPr="001F19B5">
        <w:rPr>
          <w:rFonts w:ascii="Open Sans" w:hAnsi="Open Sans" w:cs="Arial"/>
          <w:sz w:val="20"/>
          <w:szCs w:val="20"/>
        </w:rPr>
        <w:t>En el apartado de deducciones</w:t>
      </w:r>
      <w:r w:rsidRPr="001F19B5">
        <w:rPr>
          <w:rStyle w:val="Refdenotaalpie"/>
          <w:rFonts w:ascii="Open Sans" w:hAnsi="Open Sans" w:cs="Arial"/>
          <w:sz w:val="20"/>
          <w:szCs w:val="20"/>
        </w:rPr>
        <w:footnoteReference w:id="595"/>
      </w:r>
      <w:r w:rsidRPr="001F19B5">
        <w:rPr>
          <w:rFonts w:ascii="Open Sans" w:hAnsi="Open Sans" w:cs="Arial"/>
          <w:sz w:val="20"/>
          <w:szCs w:val="20"/>
        </w:rPr>
        <w:t xml:space="preserve"> la empresa no presenta información por país y conceptos que ha genera la deducción. Publica la cifra total en euros de las deducciones fiscales registradas a nivel global, indicando que el Grupo tiene registrados en el estado de situación</w:t>
      </w:r>
      <w:r w:rsidRPr="001F19B5">
        <w:rPr>
          <w:rFonts w:ascii="Open Sans" w:hAnsi="Open Sans" w:cs="Arial"/>
          <w:color w:val="000000"/>
          <w:sz w:val="20"/>
          <w:szCs w:val="20"/>
        </w:rPr>
        <w:t xml:space="preserve"> financiera consolidado al cierre del ejercicio 2015 un importe de 938 millones de euros correspondiente a deducciones pendientes de aplicar generadas, fundamentalmente, por actividad exportadora, doble imposición y donativos a entidades sin fines de lucro del grupo fiscal en España. </w:t>
      </w:r>
    </w:p>
    <w:p w14:paraId="21176875"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En el cuadro de conciliación entre resultado contable y el gasto por impuesto devengado</w:t>
      </w:r>
      <w:r w:rsidRPr="001F19B5">
        <w:rPr>
          <w:rStyle w:val="Refdenotaalpie"/>
          <w:rFonts w:ascii="Open Sans" w:hAnsi="Open Sans" w:cs="Arial"/>
          <w:color w:val="000000"/>
          <w:sz w:val="20"/>
          <w:szCs w:val="20"/>
        </w:rPr>
        <w:footnoteReference w:id="596"/>
      </w:r>
      <w:r w:rsidRPr="001F19B5">
        <w:rPr>
          <w:rFonts w:ascii="Open Sans" w:hAnsi="Open Sans" w:cs="Arial"/>
          <w:color w:val="000000"/>
          <w:sz w:val="20"/>
          <w:szCs w:val="20"/>
        </w:rPr>
        <w:t xml:space="preserve"> se expresa la cifra de  activación (reversión) de créditos fiscales por deducciones y bonificaciones del ejercicio 2015 es de 453 millones de euros. Además, informa una activación, 65 millones de euros corresponden a créditos fiscales por deducciones, fundamentalmente de I+D en España.</w:t>
      </w:r>
    </w:p>
    <w:p w14:paraId="1A0F161D" w14:textId="77777777" w:rsidR="00A764EF" w:rsidRPr="001F19B5" w:rsidRDefault="00A764EF" w:rsidP="00A764EF">
      <w:pPr>
        <w:spacing w:before="120"/>
        <w:jc w:val="both"/>
        <w:rPr>
          <w:rFonts w:ascii="Open Sans" w:hAnsi="Open Sans" w:cs="Arial"/>
          <w:color w:val="000000"/>
        </w:rPr>
      </w:pPr>
      <w:r w:rsidRPr="001F19B5">
        <w:rPr>
          <w:rFonts w:ascii="Open Sans" w:hAnsi="Open Sans" w:cs="Arial"/>
          <w:color w:val="000000"/>
          <w:sz w:val="20"/>
          <w:szCs w:val="20"/>
        </w:rPr>
        <w:t>No desglosa por países las deducciones fiscales que se han concedido, ni si son de aplicación directa o rogadas.</w:t>
      </w:r>
    </w:p>
    <w:p w14:paraId="4FD0268F"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En cuanto a los créditos fiscales por bases imponibles, se desglosa su saldo  por países (segmentos</w:t>
      </w:r>
      <w:proofErr w:type="gramStart"/>
      <w:r w:rsidRPr="001F19B5">
        <w:rPr>
          <w:rFonts w:ascii="Open Sans" w:hAnsi="Open Sans" w:cs="Arial"/>
          <w:sz w:val="20"/>
          <w:szCs w:val="20"/>
        </w:rPr>
        <w:t>) :</w:t>
      </w:r>
      <w:proofErr w:type="gramEnd"/>
      <w:r w:rsidRPr="001F19B5">
        <w:rPr>
          <w:rFonts w:ascii="Open Sans" w:hAnsi="Open Sans" w:cs="Arial"/>
          <w:sz w:val="20"/>
          <w:szCs w:val="20"/>
        </w:rPr>
        <w:t xml:space="preserve"> España, Alemania, Hispanoamérica y Otros, indicando además su duración;  en algún caso (España) detalla importes por incorporaciones de sociedades. No indica si son de </w:t>
      </w:r>
      <w:proofErr w:type="gramStart"/>
      <w:r w:rsidRPr="001F19B5">
        <w:rPr>
          <w:rFonts w:ascii="Open Sans" w:hAnsi="Open Sans" w:cs="Arial"/>
          <w:sz w:val="20"/>
          <w:szCs w:val="20"/>
        </w:rPr>
        <w:t>aplicación directa o rogados</w:t>
      </w:r>
      <w:proofErr w:type="gramEnd"/>
      <w:r w:rsidRPr="001F19B5">
        <w:rPr>
          <w:rFonts w:ascii="Open Sans" w:hAnsi="Open Sans" w:cs="Arial"/>
          <w:sz w:val="20"/>
          <w:szCs w:val="20"/>
        </w:rPr>
        <w:t>.</w:t>
      </w:r>
    </w:p>
    <w:p w14:paraId="7F64157C" w14:textId="77777777" w:rsidR="00A764EF" w:rsidRPr="001F19B5" w:rsidRDefault="00A764EF" w:rsidP="00A764EF">
      <w:pPr>
        <w:spacing w:before="120"/>
        <w:jc w:val="both"/>
        <w:rPr>
          <w:rFonts w:ascii="Open Sans" w:hAnsi="Open Sans" w:cs="Arial"/>
          <w:color w:val="C0504D" w:themeColor="accent2"/>
          <w:sz w:val="20"/>
          <w:szCs w:val="20"/>
        </w:rPr>
      </w:pPr>
      <w:r w:rsidRPr="001F19B5">
        <w:rPr>
          <w:rFonts w:ascii="Open Sans" w:hAnsi="Open Sans" w:cs="Arial"/>
          <w:sz w:val="20"/>
          <w:szCs w:val="20"/>
        </w:rPr>
        <w:t>Telefónica facilita el dato consolidado de créditos fiscales aplicados en el período, detallando el origen y la cuantía de algunos de los que tiene acumulados pendientes de aplicación</w:t>
      </w:r>
      <w:r w:rsidRPr="001F19B5">
        <w:rPr>
          <w:rFonts w:ascii="Open Sans" w:hAnsi="Open Sans" w:cs="Arial"/>
          <w:color w:val="C0504D" w:themeColor="accent2"/>
          <w:sz w:val="20"/>
          <w:szCs w:val="20"/>
        </w:rPr>
        <w:t>.</w:t>
      </w:r>
    </w:p>
    <w:p w14:paraId="3D993893"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El saldo a 31 de diciembre de 2015 de créditos fiscales por bases imponibles negativas es de  3.149 millones de euros, que se desglosan, como decíamos, en importes por país: España, Alemania Hispanoamérica y otros. </w:t>
      </w:r>
    </w:p>
    <w:p w14:paraId="3A1C2310"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El total de créditos fiscales por bases imponibles en España </w:t>
      </w:r>
      <w:r w:rsidRPr="001F19B5">
        <w:rPr>
          <w:rFonts w:ascii="Open Sans" w:hAnsi="Open Sans" w:cs="Arial"/>
          <w:i/>
          <w:color w:val="000000"/>
          <w:sz w:val="20"/>
          <w:szCs w:val="20"/>
        </w:rPr>
        <w:t>registrados</w:t>
      </w:r>
      <w:r w:rsidRPr="001F19B5">
        <w:rPr>
          <w:rFonts w:ascii="Open Sans" w:hAnsi="Open Sans" w:cs="Arial"/>
          <w:color w:val="000000"/>
          <w:sz w:val="20"/>
          <w:szCs w:val="20"/>
        </w:rPr>
        <w:t xml:space="preserve"> en el estado de situación financiera al 31 de diciembre 2015 asciende a 2.520 millones de euros, que incluyen 439 millones de euros de DTS (sociedad no incluida en el grupo fiscal en 2015). La incorporación de DTS (véase Nota 5) se incluye en “Alta de sociedades” de la tabla anterior. </w:t>
      </w:r>
    </w:p>
    <w:p w14:paraId="6479F779"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El total de créditos fiscales por bases imponibles negativas </w:t>
      </w:r>
      <w:r w:rsidRPr="001F19B5">
        <w:rPr>
          <w:rFonts w:ascii="Open Sans" w:hAnsi="Open Sans" w:cs="Arial"/>
          <w:i/>
          <w:color w:val="000000"/>
          <w:sz w:val="20"/>
          <w:szCs w:val="20"/>
        </w:rPr>
        <w:t>no registrados</w:t>
      </w:r>
      <w:r w:rsidRPr="001F19B5">
        <w:rPr>
          <w:rFonts w:ascii="Open Sans" w:hAnsi="Open Sans" w:cs="Arial"/>
          <w:color w:val="000000"/>
          <w:sz w:val="20"/>
          <w:szCs w:val="20"/>
        </w:rPr>
        <w:t xml:space="preserve"> de estas compañías asciende a 408 millones de euros. Estos créditos fiscales no tienen vencimiento</w:t>
      </w:r>
    </w:p>
    <w:p w14:paraId="3617D4EB"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Las compañías del Grupo en Alemania tienen </w:t>
      </w:r>
      <w:r w:rsidRPr="001F19B5">
        <w:rPr>
          <w:rFonts w:ascii="Open Sans" w:hAnsi="Open Sans" w:cs="Arial"/>
          <w:i/>
          <w:color w:val="000000"/>
          <w:sz w:val="20"/>
          <w:szCs w:val="20"/>
        </w:rPr>
        <w:t>activados</w:t>
      </w:r>
      <w:r w:rsidRPr="001F19B5">
        <w:rPr>
          <w:rFonts w:ascii="Open Sans" w:hAnsi="Open Sans" w:cs="Arial"/>
          <w:color w:val="000000"/>
          <w:sz w:val="20"/>
          <w:szCs w:val="20"/>
        </w:rPr>
        <w:t xml:space="preserve"> 413 millones de euros de créditos fiscales por pérdidas incurridas en el pasado. E 3G UMTS Holding GmbH. ha utilizado bases imponibles negativas por importe de 96 millones de euros en 2015.</w:t>
      </w:r>
    </w:p>
    <w:p w14:paraId="4B500DCB"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El total de créditos fiscales por bases imponibles negativas </w:t>
      </w:r>
      <w:r w:rsidRPr="001F19B5">
        <w:rPr>
          <w:rFonts w:ascii="Open Sans" w:hAnsi="Open Sans" w:cs="Arial"/>
          <w:i/>
          <w:color w:val="000000"/>
          <w:sz w:val="20"/>
          <w:szCs w:val="20"/>
        </w:rPr>
        <w:t>no registrados</w:t>
      </w:r>
      <w:r w:rsidRPr="001F19B5">
        <w:rPr>
          <w:rFonts w:ascii="Open Sans" w:hAnsi="Open Sans" w:cs="Arial"/>
          <w:color w:val="000000"/>
          <w:sz w:val="20"/>
          <w:szCs w:val="20"/>
        </w:rPr>
        <w:t xml:space="preserve"> de estas compañías asciende a 6.414 millones de euros. Estos créditos fiscales no tienen vencimiento.</w:t>
      </w:r>
    </w:p>
    <w:p w14:paraId="592DF717" w14:textId="77777777" w:rsidR="00A764EF" w:rsidRPr="001F19B5" w:rsidRDefault="00A764EF" w:rsidP="00A764EF">
      <w:pPr>
        <w:pStyle w:val="Prrafodelista"/>
        <w:spacing w:before="120"/>
        <w:ind w:left="0"/>
        <w:jc w:val="both"/>
        <w:rPr>
          <w:rFonts w:ascii="Open Sans" w:hAnsi="Open Sans" w:cs="Arial"/>
          <w:color w:val="000000"/>
          <w:sz w:val="20"/>
          <w:szCs w:val="20"/>
        </w:rPr>
      </w:pPr>
      <w:r w:rsidRPr="001F19B5">
        <w:rPr>
          <w:rFonts w:ascii="Open Sans" w:hAnsi="Open Sans" w:cs="Arial"/>
          <w:color w:val="000000"/>
          <w:sz w:val="20"/>
          <w:szCs w:val="20"/>
        </w:rPr>
        <w:t xml:space="preserve">Los créditos fiscales </w:t>
      </w:r>
      <w:r w:rsidRPr="001F19B5">
        <w:rPr>
          <w:rFonts w:ascii="Open Sans" w:hAnsi="Open Sans" w:cs="Arial"/>
          <w:i/>
          <w:color w:val="000000"/>
          <w:sz w:val="20"/>
          <w:szCs w:val="20"/>
        </w:rPr>
        <w:t>registrados</w:t>
      </w:r>
      <w:r w:rsidRPr="001F19B5">
        <w:rPr>
          <w:rFonts w:ascii="Open Sans" w:hAnsi="Open Sans" w:cs="Arial"/>
          <w:color w:val="000000"/>
          <w:sz w:val="20"/>
          <w:szCs w:val="20"/>
        </w:rPr>
        <w:t xml:space="preserve"> en el estado de situación financiera consolidado, y correspondientes a filiales de Latinoamérica ascienden al 31 de diciembre del 2015 a 192 millones de euros. El total de créditos fiscales por bases imponibles </w:t>
      </w:r>
      <w:r w:rsidRPr="001F19B5">
        <w:rPr>
          <w:rFonts w:ascii="Open Sans" w:hAnsi="Open Sans" w:cs="Arial"/>
          <w:i/>
          <w:color w:val="000000"/>
          <w:sz w:val="20"/>
          <w:szCs w:val="20"/>
        </w:rPr>
        <w:t>no registradas</w:t>
      </w:r>
      <w:r w:rsidRPr="001F19B5">
        <w:rPr>
          <w:rFonts w:ascii="Open Sans" w:hAnsi="Open Sans" w:cs="Arial"/>
          <w:color w:val="000000"/>
          <w:sz w:val="20"/>
          <w:szCs w:val="20"/>
        </w:rPr>
        <w:t xml:space="preserve"> por estas compañías asciende a 424 millones de euros.</w:t>
      </w:r>
    </w:p>
    <w:p w14:paraId="536D1F19"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En el cuadro de conciliación entre resultado contable y el gasto por impuesto devengado</w:t>
      </w:r>
      <w:r w:rsidRPr="001F19B5">
        <w:rPr>
          <w:rStyle w:val="Refdenotaalpie"/>
          <w:rFonts w:ascii="Open Sans" w:hAnsi="Open Sans" w:cs="Arial"/>
          <w:color w:val="000000"/>
          <w:sz w:val="20"/>
          <w:szCs w:val="20"/>
        </w:rPr>
        <w:footnoteReference w:id="597"/>
      </w:r>
      <w:r w:rsidRPr="001F19B5">
        <w:rPr>
          <w:rFonts w:ascii="Open Sans" w:hAnsi="Open Sans" w:cs="Arial"/>
          <w:color w:val="000000"/>
          <w:sz w:val="20"/>
          <w:szCs w:val="20"/>
        </w:rPr>
        <w:t xml:space="preserve"> se expresa que la cifra de  </w:t>
      </w:r>
      <w:r w:rsidRPr="001F19B5">
        <w:rPr>
          <w:rFonts w:ascii="Open Sans" w:hAnsi="Open Sans" w:cs="Arial"/>
          <w:i/>
          <w:color w:val="000000"/>
          <w:sz w:val="20"/>
          <w:szCs w:val="20"/>
        </w:rPr>
        <w:t>Utilización/Activación</w:t>
      </w:r>
      <w:r w:rsidRPr="001F19B5">
        <w:rPr>
          <w:rFonts w:ascii="Open Sans" w:hAnsi="Open Sans" w:cs="Arial"/>
          <w:color w:val="000000"/>
          <w:sz w:val="20"/>
          <w:szCs w:val="20"/>
        </w:rPr>
        <w:t xml:space="preserve"> de bases negativas en el ejercicio 2015 es de 1.200 millones de euros</w:t>
      </w:r>
    </w:p>
    <w:p w14:paraId="1C4ED195"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Las bases imponibles negativas que se encuentran </w:t>
      </w:r>
      <w:r w:rsidRPr="001F19B5">
        <w:rPr>
          <w:rFonts w:ascii="Open Sans" w:hAnsi="Open Sans" w:cs="Arial"/>
          <w:i/>
          <w:color w:val="000000"/>
          <w:sz w:val="20"/>
          <w:szCs w:val="20"/>
        </w:rPr>
        <w:t>pendientes de aplicar</w:t>
      </w:r>
      <w:r w:rsidRPr="001F19B5">
        <w:rPr>
          <w:rFonts w:ascii="Open Sans" w:hAnsi="Open Sans" w:cs="Arial"/>
          <w:color w:val="000000"/>
          <w:sz w:val="20"/>
          <w:szCs w:val="20"/>
        </w:rPr>
        <w:t xml:space="preserve"> por el Grupo Fiscal en España al 31 de diciembre de 2015 ascienden a 8.943 millones de euros:</w:t>
      </w:r>
    </w:p>
    <w:p w14:paraId="16CB1042" w14:textId="77777777" w:rsidR="00A764EF" w:rsidRPr="001F19B5" w:rsidRDefault="00A764EF" w:rsidP="00A764EF">
      <w:pPr>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 xml:space="preserve">La empresa informa en sus cuentas anuales de diversos litigios que mantiene abiertos con la administración tributaria por distintos conceptos. También especifica litigios por asuntos fiscales que tiene abiertos en Brasil y Perú. </w:t>
      </w:r>
    </w:p>
    <w:p w14:paraId="073B6043"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En cuanto a las inspecciones del Grupo fiscal en España, en cada da uno de los casos se detalla, el importe, la situación actual, en cuanto a disconformidad y recursos interpuestos. Para los casos de las actuaciones finalizadas (Actas de conformidad o Sentencias), los importes correspondientes han dado lugar a ajustes en cuentas consolidadas, produciéndose compensaciones con bases imponibles negativas de ejercicios anteriores que la Compañía tenía pendientes de utilizar. </w:t>
      </w:r>
    </w:p>
    <w:p w14:paraId="0BE8AB3B" w14:textId="77777777" w:rsidR="00A764EF" w:rsidRPr="001F19B5" w:rsidRDefault="00A764EF" w:rsidP="00A764EF">
      <w:pPr>
        <w:widowControl w:val="0"/>
        <w:autoSpaceDE w:val="0"/>
        <w:autoSpaceDN w:val="0"/>
        <w:adjustRightInd w:val="0"/>
        <w:spacing w:before="120" w:after="160"/>
        <w:jc w:val="both"/>
        <w:rPr>
          <w:rStyle w:val="A12"/>
          <w:rFonts w:ascii="Open Sans" w:hAnsi="Open Sans" w:cs="Arial"/>
          <w:bCs/>
          <w:color w:val="1C1C1C"/>
          <w:sz w:val="20"/>
          <w:szCs w:val="20"/>
        </w:rPr>
      </w:pPr>
      <w:r w:rsidRPr="001F19B5">
        <w:rPr>
          <w:rStyle w:val="A12"/>
          <w:rFonts w:ascii="Open Sans" w:hAnsi="Open Sans" w:cs="Arial"/>
          <w:bCs/>
          <w:color w:val="1C1C1C"/>
          <w:sz w:val="20"/>
          <w:szCs w:val="20"/>
        </w:rPr>
        <w:t>La inspección de la Agencia Tributaria abierta en 2013 se refiere a la revisión del impuesto de sociedades de los ejercicios 2008-2011, así como el Impuesto del Valor Añadido (IVA), retenciones e ingresos sobre rendimientos del trabajo temporal, sobre capital mobiliario e inmobiliario y sobre rendimientos de no residentes para el segundo semestre de 2009 y los ejercicio completos de 2010 y 2011. Aunque en el informe no se especifican estos diferentes motivos.</w:t>
      </w:r>
    </w:p>
    <w:p w14:paraId="77FDB572" w14:textId="77777777" w:rsidR="00A764EF" w:rsidRPr="001F19B5" w:rsidRDefault="00A764EF" w:rsidP="00A764EF">
      <w:pPr>
        <w:widowControl w:val="0"/>
        <w:autoSpaceDE w:val="0"/>
        <w:autoSpaceDN w:val="0"/>
        <w:adjustRightInd w:val="0"/>
        <w:spacing w:before="120" w:after="160"/>
        <w:jc w:val="both"/>
        <w:rPr>
          <w:rStyle w:val="A12"/>
          <w:rFonts w:ascii="Open Sans" w:hAnsi="Open Sans" w:cs="Arial"/>
          <w:bCs/>
          <w:color w:val="1C1C1C"/>
          <w:sz w:val="20"/>
          <w:szCs w:val="20"/>
        </w:rPr>
      </w:pPr>
      <w:r w:rsidRPr="001F19B5">
        <w:rPr>
          <w:rStyle w:val="A12"/>
          <w:rFonts w:ascii="Open Sans" w:hAnsi="Open Sans" w:cs="Arial"/>
          <w:bCs/>
          <w:color w:val="1C1C1C"/>
          <w:sz w:val="20"/>
          <w:szCs w:val="20"/>
        </w:rPr>
        <w:t>La compañía admite que recibió el expediente sancionador por 206 millones y ha presentado una reclamación en el Tribunal Central Contencioso Administrativo contra esta resolución, motivo por el cual todavía no ha hecho una provisión por este concepto. Telefónica asegura que</w:t>
      </w:r>
      <w:proofErr w:type="gramStart"/>
      <w:r w:rsidRPr="001F19B5">
        <w:rPr>
          <w:rStyle w:val="A12"/>
          <w:rFonts w:ascii="Open Sans" w:hAnsi="Open Sans" w:cs="Arial"/>
          <w:bCs/>
          <w:color w:val="1C1C1C"/>
          <w:sz w:val="20"/>
          <w:szCs w:val="20"/>
        </w:rPr>
        <w:t>, ”</w:t>
      </w:r>
      <w:proofErr w:type="gramEnd"/>
      <w:r w:rsidRPr="001F19B5">
        <w:rPr>
          <w:rStyle w:val="A12"/>
          <w:rFonts w:ascii="Open Sans" w:hAnsi="Open Sans" w:cs="Arial"/>
          <w:bCs/>
          <w:color w:val="1C1C1C"/>
          <w:sz w:val="20"/>
          <w:szCs w:val="20"/>
        </w:rPr>
        <w:t xml:space="preserve">como consecuencia del proceso de inspección en curso, no se estima que exista una necesidad de registrar pasivos adicionales en los estados consolidados del grupo” y que, no supondrá ningún pagó en efectivo porque dicha cantidad será recuperable en el futuro en la medida que se trata de diferencias temporarias que revertirán en los próximos ejercicios. </w:t>
      </w:r>
    </w:p>
    <w:p w14:paraId="5B26CD66" w14:textId="77777777" w:rsidR="00A764EF" w:rsidRPr="001F19B5" w:rsidRDefault="00A764EF" w:rsidP="00A764EF">
      <w:pPr>
        <w:widowControl w:val="0"/>
        <w:autoSpaceDE w:val="0"/>
        <w:autoSpaceDN w:val="0"/>
        <w:adjustRightInd w:val="0"/>
        <w:spacing w:before="120" w:after="160"/>
        <w:jc w:val="both"/>
        <w:rPr>
          <w:rFonts w:ascii="Open Sans" w:hAnsi="Open Sans" w:cs="Arial"/>
          <w:bCs/>
          <w:color w:val="1C1C1C"/>
          <w:sz w:val="20"/>
          <w:szCs w:val="20"/>
        </w:rPr>
      </w:pPr>
      <w:r w:rsidRPr="001F19B5">
        <w:rPr>
          <w:rStyle w:val="A12"/>
          <w:rFonts w:ascii="Open Sans" w:hAnsi="Open Sans" w:cs="Arial"/>
          <w:bCs/>
          <w:color w:val="1C1C1C"/>
          <w:sz w:val="20"/>
          <w:szCs w:val="20"/>
        </w:rPr>
        <w:t>Conforme a las noticias de prensa consultadas sobre este asunto</w:t>
      </w:r>
      <w:r w:rsidRPr="001F19B5">
        <w:rPr>
          <w:rStyle w:val="Refdenotaalpie"/>
          <w:rFonts w:ascii="Open Sans" w:hAnsi="Open Sans" w:cs="Arial"/>
          <w:bCs/>
          <w:color w:val="1C1C1C"/>
          <w:sz w:val="20"/>
          <w:szCs w:val="20"/>
        </w:rPr>
        <w:t xml:space="preserve"> </w:t>
      </w:r>
      <w:r w:rsidRPr="001F19B5">
        <w:rPr>
          <w:rStyle w:val="Refdenotaalpie"/>
          <w:rFonts w:ascii="Open Sans" w:hAnsi="Open Sans" w:cs="Arial"/>
          <w:bCs/>
          <w:color w:val="1C1C1C"/>
          <w:sz w:val="20"/>
          <w:szCs w:val="20"/>
        </w:rPr>
        <w:footnoteReference w:id="598"/>
      </w:r>
      <w:r w:rsidRPr="001F19B5">
        <w:rPr>
          <w:rStyle w:val="A12"/>
          <w:rFonts w:ascii="Open Sans" w:hAnsi="Open Sans" w:cs="Arial"/>
          <w:bCs/>
          <w:color w:val="1C1C1C"/>
          <w:sz w:val="20"/>
          <w:szCs w:val="20"/>
        </w:rPr>
        <w:t>, de confirmarse, se trataría de la sanción más grande de Hacienda contra Telefónica, pero no la primera por contabilizar de forma errónea impuestos de sociedades. En 2013, la Agencia Tributaria ya le obligó a pagar 135 millones por las actas de inspección llevadas a cabo por la Agencia Tributaria de los ejercicios de 2005 a 2007. Anteriormente tuvo otro litigio que finalizó en 2012 en el Tribunal Supremo por los impuestos entre 1998 y 2000, por los que tuvo que pagar 110 millones.</w:t>
      </w:r>
    </w:p>
    <w:p w14:paraId="7AA2ACF9"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En relación con los litigios fiscales que el Grupo Telefónica tiene abiertos en Brasil sobre impuestos directos e indirecto, </w:t>
      </w:r>
      <w:r w:rsidRPr="001F19B5">
        <w:rPr>
          <w:rFonts w:ascii="Open Sans" w:hAnsi="Open Sans" w:cs="Arial"/>
          <w:color w:val="000000"/>
          <w:sz w:val="20"/>
          <w:szCs w:val="20"/>
        </w:rPr>
        <w:t>todos los procesos relacionados con estos asuntos están siendo impugnados en todas las instancias (administrativas y judiciales)</w:t>
      </w:r>
      <w:proofErr w:type="gramStart"/>
      <w:r w:rsidRPr="001F19B5">
        <w:rPr>
          <w:rFonts w:ascii="Open Sans" w:hAnsi="Open Sans" w:cs="Arial"/>
          <w:color w:val="000000"/>
          <w:sz w:val="20"/>
          <w:szCs w:val="20"/>
        </w:rPr>
        <w:t>,siendo</w:t>
      </w:r>
      <w:proofErr w:type="gramEnd"/>
      <w:r w:rsidRPr="001F19B5">
        <w:rPr>
          <w:rFonts w:ascii="Open Sans" w:hAnsi="Open Sans" w:cs="Arial"/>
          <w:color w:val="000000"/>
          <w:sz w:val="20"/>
          <w:szCs w:val="20"/>
        </w:rPr>
        <w:t xml:space="preserve"> el importe total acumulado de dichas actas, incluyendo intereses, sanciones y otros conceptos, de aproximadamente, 11.900 millones de reales brasileños (aproximadamente 2.750 millones de euros). Informa que los citados procesos no se encuentran provisionados puesto que la calificación del riesgo de los mismos es no probable</w:t>
      </w:r>
    </w:p>
    <w:p w14:paraId="4DD2D460" w14:textId="77777777" w:rsidR="00A764EF" w:rsidRPr="001F19B5" w:rsidRDefault="00A764EF" w:rsidP="00A764EF">
      <w:pPr>
        <w:autoSpaceDE w:val="0"/>
        <w:autoSpaceDN w:val="0"/>
        <w:adjustRightInd w:val="0"/>
        <w:spacing w:before="120"/>
        <w:jc w:val="both"/>
        <w:rPr>
          <w:rFonts w:ascii="Open Sans" w:hAnsi="Open Sans" w:cs="Arial"/>
          <w:color w:val="76923C" w:themeColor="accent3" w:themeShade="BF"/>
          <w:sz w:val="20"/>
          <w:szCs w:val="20"/>
        </w:rPr>
      </w:pPr>
      <w:r w:rsidRPr="001F19B5">
        <w:rPr>
          <w:rFonts w:ascii="Open Sans" w:hAnsi="Open Sans" w:cs="Arial"/>
          <w:color w:val="000000"/>
          <w:sz w:val="20"/>
          <w:szCs w:val="20"/>
        </w:rPr>
        <w:t>En relación con las reclamaciones fiscales en Perú, existen litigios abiertos por la liquidación del impuesto sobre sociedades de dos ejercicios, así como el de los pagos a cuenta de otro debido a las sentencias y resoluciones recibidas en junio y agosto en el año 2015. El Grupo decidió registrar una provisión en sus estados financieros consolidados adjuntos por un importe de 431 millones de euros.</w:t>
      </w:r>
    </w:p>
    <w:p w14:paraId="2C2A53E6" w14:textId="77777777" w:rsidR="00A764EF" w:rsidRPr="001F19B5" w:rsidRDefault="00A764EF" w:rsidP="00A764EF">
      <w:pPr>
        <w:spacing w:before="120"/>
        <w:jc w:val="both"/>
        <w:rPr>
          <w:rFonts w:ascii="Open Sans" w:hAnsi="Open Sans" w:cs="Arial"/>
          <w:bCs/>
          <w:color w:val="76923C" w:themeColor="accent3" w:themeShade="BF"/>
          <w:sz w:val="20"/>
          <w:szCs w:val="20"/>
        </w:rPr>
      </w:pPr>
      <w:r w:rsidRPr="001F19B5">
        <w:rPr>
          <w:rFonts w:ascii="Open Sans" w:hAnsi="Open Sans" w:cs="Arial"/>
          <w:color w:val="000000"/>
          <w:sz w:val="20"/>
          <w:szCs w:val="20"/>
        </w:rPr>
        <w:t>La Comisión Europea ha abierto en los últimos años tres expedientes contra el Estado español al considerar que la introducción en 2002 en la normativa fiscal del Impuesto sobre Sociedades en España que incorpora un beneficio fiscal vinculado a  deducibilidad fiscal de la amortización del fondo de comercio financiero generado en la adquisición de compañías no residentes en España, podría constituir una Ayuda de Estado.</w:t>
      </w:r>
      <w:r w:rsidRPr="001F19B5">
        <w:rPr>
          <w:rStyle w:val="Refdenotaalpie"/>
          <w:rFonts w:ascii="Open Sans" w:hAnsi="Open Sans" w:cs="Arial"/>
          <w:color w:val="000000"/>
          <w:sz w:val="20"/>
          <w:szCs w:val="20"/>
        </w:rPr>
        <w:footnoteReference w:id="599"/>
      </w:r>
    </w:p>
    <w:p w14:paraId="6EE15D0B"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En su Nota Fiscal del Informe Financiero 2015, relativa a litigios de carácter fiscal</w:t>
      </w:r>
      <w:r w:rsidRPr="001F19B5">
        <w:rPr>
          <w:rStyle w:val="Refdenotaalpie"/>
          <w:rFonts w:ascii="Open Sans" w:hAnsi="Open Sans" w:cs="Arial"/>
          <w:sz w:val="20"/>
          <w:szCs w:val="20"/>
        </w:rPr>
        <w:footnoteReference w:id="600"/>
      </w:r>
      <w:r w:rsidRPr="001F19B5">
        <w:rPr>
          <w:rFonts w:ascii="Open Sans" w:hAnsi="Open Sans" w:cs="Arial"/>
          <w:sz w:val="20"/>
          <w:szCs w:val="20"/>
        </w:rPr>
        <w:t>, se explica que el Grupo Telefónica, en aplicación de esta norma, ha venido amortizando fiscalmente los fondos de comercio financieros procedentes de sus inversiones, directas e indirectas, en O2, BellSouth y Coltel (anteriores a 21 de diciembre de 2007) y Vivo (adquirida en el ejercicio 2010). El impacto positivo acumulado en las correspondientes liquidaciones del Impuesto sobre sociedades desde 2004 y hasta el cierre de 31 de diciembre de 2015, ha sido de 899 millones de euros.</w:t>
      </w:r>
    </w:p>
    <w:p w14:paraId="56BB5B91"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El Grupo Telefónica ha decidido provisionar el importe correspondiente al fondo de comercio amortizado fiscalmente por la compra de sociedades del Grupo O2 sujetas a un acuerdo de transmisión y seguir provisionando, como hasta la fecha, el correspondiente a Vivo, por un total de 377 y 75 millones de euros, respectivamente. </w:t>
      </w:r>
    </w:p>
    <w:p w14:paraId="6CB4AB28"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Salvo por su adhesión al Código de Buenas Prácticas Tributarias y los compromisos adoptados en la estrategia fiscal no se </w:t>
      </w:r>
      <w:proofErr w:type="gramStart"/>
      <w:r w:rsidRPr="001F19B5">
        <w:rPr>
          <w:rFonts w:ascii="Open Sans" w:hAnsi="Open Sans" w:cs="Arial"/>
          <w:sz w:val="20"/>
          <w:szCs w:val="20"/>
        </w:rPr>
        <w:t>ha</w:t>
      </w:r>
      <w:proofErr w:type="gramEnd"/>
      <w:r w:rsidRPr="001F19B5">
        <w:rPr>
          <w:rFonts w:ascii="Open Sans" w:hAnsi="Open Sans" w:cs="Arial"/>
          <w:sz w:val="20"/>
          <w:szCs w:val="20"/>
        </w:rPr>
        <w:t xml:space="preserve"> encontrado información sobre las relaciones de carácter cooperativo con las Administraciones. Existe una referencia a las actividades de lobby</w:t>
      </w:r>
      <w:r w:rsidRPr="001F19B5">
        <w:rPr>
          <w:rStyle w:val="Refdenotaalpie"/>
          <w:rFonts w:ascii="Open Sans" w:hAnsi="Open Sans" w:cs="Arial"/>
          <w:sz w:val="20"/>
          <w:szCs w:val="20"/>
        </w:rPr>
        <w:footnoteReference w:id="601"/>
      </w:r>
      <w:r w:rsidRPr="001F19B5">
        <w:rPr>
          <w:rFonts w:ascii="Open Sans" w:hAnsi="Open Sans" w:cs="Arial"/>
          <w:sz w:val="20"/>
          <w:szCs w:val="20"/>
        </w:rPr>
        <w:t xml:space="preserve">  “Telefónica está registrada como lobista en el registro voluntario de la Unión Europea, reportando unos costes vinculados a las actividades cubiertas por el registro de 2 millones de euros y unas subvenciones recibidas de 4.400 millones”. No queda explicitado en qué temas o actividades ni el marco de la relación. </w:t>
      </w:r>
    </w:p>
    <w:p w14:paraId="0FEB945E"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En relación a operaciones intragrupo  la empresa no presenta información detallada sobre las compras intragrupo;  indica que estas operaciones se realizan a precios de mercado </w:t>
      </w:r>
      <w:r w:rsidRPr="001F19B5">
        <w:rPr>
          <w:rStyle w:val="Refdenotaalpie"/>
          <w:rFonts w:ascii="Open Sans" w:hAnsi="Open Sans" w:cs="Arial"/>
          <w:color w:val="000000"/>
          <w:sz w:val="20"/>
          <w:szCs w:val="20"/>
        </w:rPr>
        <w:footnoteReference w:id="602"/>
      </w:r>
      <w:r w:rsidRPr="001F19B5">
        <w:rPr>
          <w:rFonts w:ascii="Open Sans" w:hAnsi="Open Sans" w:cs="Arial"/>
          <w:color w:val="000000"/>
          <w:sz w:val="20"/>
          <w:szCs w:val="20"/>
        </w:rPr>
        <w:t xml:space="preserve">  y que Telefónica S.A mantiene derechos de uso de la marca con las filiales del grupo que hacen uso de esa licencia, sobre cuyo importe no informa, salvo que el coste por uso de la marca queda fijado contractualmente como un porcentaje de los ingresos que obtenga la sociedad licenciataria</w:t>
      </w:r>
      <w:r w:rsidRPr="001F19B5">
        <w:rPr>
          <w:rStyle w:val="Refdenotaalpie"/>
          <w:rFonts w:ascii="Open Sans" w:hAnsi="Open Sans" w:cs="Arial"/>
          <w:color w:val="000000"/>
          <w:sz w:val="20"/>
          <w:szCs w:val="20"/>
        </w:rPr>
        <w:footnoteReference w:id="603"/>
      </w:r>
      <w:r w:rsidRPr="001F19B5">
        <w:rPr>
          <w:rFonts w:ascii="Open Sans" w:hAnsi="Open Sans" w:cs="Arial"/>
          <w:color w:val="000000"/>
          <w:sz w:val="20"/>
          <w:szCs w:val="20"/>
        </w:rPr>
        <w:t xml:space="preserve">. </w:t>
      </w:r>
    </w:p>
    <w:p w14:paraId="5BA781DC"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 xml:space="preserve">No informa sobre cuál es el porcentaje que representan las compras intragrupo respecto al total de comprar realizadas. </w:t>
      </w:r>
    </w:p>
    <w:p w14:paraId="442DB91A" w14:textId="77777777" w:rsidR="00A764EF" w:rsidRPr="001F19B5" w:rsidRDefault="00A764EF" w:rsidP="00A764EF">
      <w:pPr>
        <w:spacing w:before="120"/>
        <w:jc w:val="both"/>
        <w:rPr>
          <w:rFonts w:ascii="Open Sans" w:hAnsi="Open Sans" w:cs="Arial"/>
          <w:sz w:val="20"/>
          <w:szCs w:val="20"/>
        </w:rPr>
      </w:pPr>
      <w:r w:rsidRPr="001F19B5">
        <w:rPr>
          <w:rFonts w:ascii="Open Sans" w:eastAsia="Calibri" w:hAnsi="Open Sans" w:cs="Arial"/>
          <w:sz w:val="20"/>
          <w:szCs w:val="20"/>
        </w:rPr>
        <w:t>Sobre las operaciones de financiación realizadas entre sociedades del grupo  se explica que “</w:t>
      </w:r>
      <w:r w:rsidRPr="001F19B5">
        <w:rPr>
          <w:rFonts w:ascii="Open Sans" w:hAnsi="Open Sans" w:cs="Arial"/>
          <w:sz w:val="20"/>
          <w:szCs w:val="20"/>
        </w:rPr>
        <w:t xml:space="preserve">la gestión de las actividades de financiación así como la gestión fiscal se realizan de forma centralizada en el Grupo, por lo que no se desglosan por segmentos los activos, pasivos, ingresos y gastos relacionados con estas actividades. Asimismo, se excluyen de los resultados operativos de cada segmento aquellos gastos e ingresos derivados de las facturaciones entre compañías del Grupo por el uso de la marca y acuerdos de gestión. </w:t>
      </w:r>
    </w:p>
    <w:p w14:paraId="2922EEAB" w14:textId="77777777" w:rsidR="00A764EF" w:rsidRPr="001F19B5" w:rsidRDefault="00A764EF" w:rsidP="00A764EF">
      <w:pPr>
        <w:spacing w:before="120"/>
        <w:jc w:val="both"/>
        <w:rPr>
          <w:rFonts w:ascii="Open Sans" w:hAnsi="Open Sans" w:cs="Arial"/>
          <w:color w:val="000000"/>
          <w:sz w:val="20"/>
          <w:szCs w:val="20"/>
        </w:rPr>
      </w:pPr>
      <w:r w:rsidRPr="001F19B5">
        <w:rPr>
          <w:rFonts w:ascii="Open Sans" w:hAnsi="Open Sans" w:cs="Arial"/>
          <w:color w:val="000000"/>
          <w:sz w:val="20"/>
          <w:szCs w:val="20"/>
        </w:rPr>
        <w:t>La Compañía no informa sobre porcentaje que representa el volumen de endeudamiento intragrupo respecto al volumen de endeudamiento total ni sobre del coste financiero de la deuda intragrupo, así como del coste financiero del total de la deuda.</w:t>
      </w:r>
    </w:p>
    <w:p w14:paraId="3C2ACFE4" w14:textId="77777777" w:rsidR="00A764EF" w:rsidRDefault="00A764EF" w:rsidP="00A764EF">
      <w:pPr>
        <w:spacing w:before="120"/>
        <w:jc w:val="both"/>
        <w:rPr>
          <w:rFonts w:ascii="Open Sans" w:eastAsia="Calibri" w:hAnsi="Open Sans" w:cs="Arial"/>
          <w:sz w:val="20"/>
          <w:szCs w:val="20"/>
        </w:rPr>
      </w:pPr>
      <w:r w:rsidRPr="001F19B5">
        <w:rPr>
          <w:rFonts w:ascii="Open Sans" w:eastAsia="Calibri" w:hAnsi="Open Sans" w:cs="Arial"/>
          <w:sz w:val="20"/>
          <w:szCs w:val="20"/>
        </w:rPr>
        <w:t xml:space="preserve">Tener conocimiento de estas operaciones es fundamental para poder deducir si la empresa está operando a través de su estructura societaria para implementar estrategias de optimización fiscal. </w:t>
      </w:r>
    </w:p>
    <w:p w14:paraId="77C1E543" w14:textId="77777777" w:rsidR="00256EC8" w:rsidRPr="001F19B5" w:rsidRDefault="00256EC8" w:rsidP="00A764EF">
      <w:pPr>
        <w:spacing w:before="120"/>
        <w:jc w:val="both"/>
        <w:rPr>
          <w:rFonts w:ascii="Open Sans" w:eastAsia="Calibri" w:hAnsi="Open Sans" w:cs="Arial"/>
          <w:sz w:val="20"/>
          <w:szCs w:val="20"/>
        </w:rPr>
      </w:pPr>
    </w:p>
    <w:p w14:paraId="51763964" w14:textId="77777777" w:rsidR="00A764EF" w:rsidRPr="001F19B5" w:rsidRDefault="00A764EF" w:rsidP="00A764EF">
      <w:pPr>
        <w:spacing w:before="360"/>
        <w:rPr>
          <w:rFonts w:ascii="Open Sans" w:hAnsi="Open Sans" w:cs="Arial"/>
          <w:bCs/>
          <w:sz w:val="22"/>
          <w:szCs w:val="22"/>
          <w:u w:val="single"/>
        </w:rPr>
      </w:pPr>
      <w:r w:rsidRPr="001F19B5">
        <w:rPr>
          <w:rFonts w:ascii="Open Sans" w:hAnsi="Open Sans" w:cs="Arial"/>
          <w:b/>
          <w:sz w:val="22"/>
          <w:szCs w:val="22"/>
          <w:u w:val="single"/>
        </w:rPr>
        <w:t>5. Conclusiones</w:t>
      </w:r>
    </w:p>
    <w:p w14:paraId="3F8489D2" w14:textId="77777777" w:rsidR="00A764EF" w:rsidRPr="001F19B5" w:rsidRDefault="00A764EF" w:rsidP="00A764EF">
      <w:pPr>
        <w:rPr>
          <w:rFonts w:ascii="Open Sans" w:hAnsi="Open Sans" w:cs="Arial"/>
          <w:bCs/>
          <w:color w:val="76923C" w:themeColor="accent3" w:themeShade="BF"/>
          <w:sz w:val="20"/>
          <w:szCs w:val="20"/>
        </w:rPr>
      </w:pPr>
    </w:p>
    <w:p w14:paraId="5AA8049F" w14:textId="77777777" w:rsidR="00A764EF" w:rsidRPr="001F19B5" w:rsidRDefault="00A764EF" w:rsidP="00A764EF">
      <w:pPr>
        <w:pStyle w:val="Default"/>
        <w:jc w:val="both"/>
        <w:rPr>
          <w:rFonts w:ascii="Open Sans" w:hAnsi="Open Sans" w:cs="Open Sans"/>
          <w:color w:val="auto"/>
          <w:sz w:val="20"/>
          <w:szCs w:val="20"/>
        </w:rPr>
      </w:pPr>
      <w:r w:rsidRPr="001F19B5">
        <w:rPr>
          <w:rFonts w:ascii="Open Sans" w:hAnsi="Open Sans" w:cs="Open Sans"/>
          <w:color w:val="auto"/>
          <w:sz w:val="20"/>
          <w:szCs w:val="20"/>
        </w:rPr>
        <w:t xml:space="preserve">La valoración global de la transparencia de Telefónica en el ámbito fiscal es de </w:t>
      </w:r>
      <w:r w:rsidRPr="001F19B5">
        <w:rPr>
          <w:rFonts w:ascii="Open Sans" w:hAnsi="Open Sans" w:cs="Open Sans"/>
          <w:b/>
          <w:color w:val="auto"/>
          <w:sz w:val="20"/>
          <w:szCs w:val="20"/>
        </w:rPr>
        <w:t>0,82</w:t>
      </w:r>
      <w:r w:rsidRPr="001F19B5">
        <w:rPr>
          <w:rFonts w:ascii="Open Sans" w:hAnsi="Open Sans" w:cs="Open Sans"/>
          <w:color w:val="auto"/>
          <w:sz w:val="20"/>
          <w:szCs w:val="20"/>
        </w:rPr>
        <w:t xml:space="preserve"> sobre un máximo de 3, lo que equivale a información </w:t>
      </w:r>
      <w:r w:rsidRPr="001F19B5">
        <w:rPr>
          <w:rFonts w:ascii="Open Sans" w:hAnsi="Open Sans" w:cs="Open Sans"/>
          <w:i/>
          <w:color w:val="auto"/>
          <w:sz w:val="20"/>
          <w:szCs w:val="20"/>
        </w:rPr>
        <w:t>escasa</w:t>
      </w:r>
      <w:r w:rsidRPr="001F19B5">
        <w:rPr>
          <w:rFonts w:ascii="Open Sans" w:hAnsi="Open Sans" w:cs="Open Sans"/>
          <w:color w:val="auto"/>
          <w:sz w:val="20"/>
          <w:szCs w:val="20"/>
        </w:rPr>
        <w:t xml:space="preserve"> de acuerdo con la metodología utilizada por el Observatorio de RSC. De las dimensiones analizadas, la máxima puntuación se obtiene en los aspectos relacionados con la “política y estrategia fiscal” (1,40), seguidos por los relacionados con las “relaciones con Administraciones Tributarias” (0,80), “impuestos e incentivos” (0,67) y “paraísos y nichos fiscales” (0,67).</w:t>
      </w:r>
    </w:p>
    <w:p w14:paraId="7AC61E9A" w14:textId="77777777" w:rsidR="00A764EF" w:rsidRPr="001F19B5" w:rsidRDefault="00A764EF" w:rsidP="00A764EF">
      <w:pPr>
        <w:jc w:val="both"/>
        <w:rPr>
          <w:rFonts w:ascii="Open Sans" w:hAnsi="Open Sans" w:cs="Arial"/>
          <w:color w:val="76923C" w:themeColor="accent3" w:themeShade="BF"/>
          <w:sz w:val="20"/>
          <w:szCs w:val="20"/>
        </w:rPr>
      </w:pPr>
    </w:p>
    <w:p w14:paraId="1D90E7CB" w14:textId="77777777" w:rsidR="00A764EF" w:rsidRPr="001F19B5" w:rsidRDefault="00A764EF" w:rsidP="00A764EF">
      <w:pPr>
        <w:jc w:val="both"/>
        <w:rPr>
          <w:rFonts w:ascii="Open Sans" w:hAnsi="Open Sans" w:cs="Arial"/>
          <w:sz w:val="20"/>
          <w:szCs w:val="20"/>
        </w:rPr>
      </w:pPr>
      <w:r w:rsidRPr="001F19B5">
        <w:rPr>
          <w:rFonts w:ascii="Open Sans" w:hAnsi="Open Sans" w:cs="Arial"/>
          <w:sz w:val="20"/>
          <w:szCs w:val="20"/>
        </w:rPr>
        <w:t>Tras analizar la documentación publicada por Telefónica en relación a su actividad fiscal en 2015 (Informe Integrado, Informe de Gobierno Corporativo, e Informe Financiero, principalmente), se observa que la Compañía cuenta con compromiso en relación a la fiscalidad responsable concretado en su  estrategia de Negocio Responsable.</w:t>
      </w:r>
    </w:p>
    <w:p w14:paraId="5B19154F"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La compañía centra su ejercicio de transparencia fiscal en el aspecto de contribución</w:t>
      </w:r>
      <w:r w:rsidRPr="001F19B5">
        <w:rPr>
          <w:rStyle w:val="A8"/>
          <w:rFonts w:ascii="Open Sans" w:hAnsi="Open Sans" w:cs="Arial"/>
          <w:sz w:val="20"/>
          <w:szCs w:val="20"/>
        </w:rPr>
        <w:t xml:space="preserve"> tributaria total (CTT), con el agregado de impuestos recaudados e impuestos soportados, lo que le permite reportar unas cifras importantes de contribución económica a la sociedad. Adicionalmente, este ejercicio de transparencia hacia la sociedad, se completa con la explicación de su posicionamiento respecto la operación en territorios de </w:t>
      </w:r>
      <w:r w:rsidRPr="001F19B5">
        <w:rPr>
          <w:rFonts w:ascii="Open Sans" w:hAnsi="Open Sans" w:cs="Arial"/>
          <w:sz w:val="20"/>
          <w:szCs w:val="20"/>
        </w:rPr>
        <w:t xml:space="preserve">considerados como de escasa o nula tributación, justificada con el argumento de que su presencia de debe a propósitos comerciales, junto con de la operativa de control que garantiza los principio de fiscalidad responsable y la adhesión al código de buenas prácticas tributarias. </w:t>
      </w:r>
    </w:p>
    <w:p w14:paraId="6C536B3C"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No obstante todo ello, la mayor parte de la información que explicaría hechos como que </w:t>
      </w:r>
      <w:r w:rsidRPr="001F19B5">
        <w:rPr>
          <w:rFonts w:ascii="Open Sans" w:hAnsi="Open Sans" w:cs="Arial"/>
          <w:bCs/>
          <w:sz w:val="20"/>
          <w:szCs w:val="20"/>
        </w:rPr>
        <w:t>Telefónica</w:t>
      </w:r>
      <w:r w:rsidRPr="001F19B5">
        <w:rPr>
          <w:rFonts w:ascii="Open Sans" w:hAnsi="Open Sans" w:cs="Arial"/>
          <w:sz w:val="20"/>
          <w:szCs w:val="20"/>
        </w:rPr>
        <w:t xml:space="preserve"> haya pagado en 2015 por impuesto de Sociedades 13 millones de euros, teniendo  un beneficio neto de 2.745 millones de euros, presentando un resultado contable antes de impuestos de 311 millones de euros, lo que supone una tasa efectiva del 4,2%, hay que extraerla de las cuentas anuales, que tienen un lenguaje técnico y difícilmente comprensible para los no expertos en la materia. </w:t>
      </w:r>
    </w:p>
    <w:p w14:paraId="5745E072"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 xml:space="preserve">Cualquier experto nos respondería a esto que debemos distinguir entre los impuestos registrados en la cuenta de resultados y, los impuestos satisfechos que se reflejan en el estado de flujos de caja y que ambos están recogidos en los estados financieros consolidados del grupo. También nos explicaría que el cálculo del tipo aplicable se realiza sobre el beneficio contable, al que después las compañías aplican deducciones, bonificaciones, créditos fiscales por pérdidas de años anteriores y una larga lista de ventajas a lo que hay que añadir, complicadas estructuras societarias y flujos de dinero de unas filiales a otras. </w:t>
      </w:r>
    </w:p>
    <w:p w14:paraId="2EC054CD"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De algún modo esto es lo que hemos pretendido desentrañar en este ejercicio de análisis, en el que echamos en falta una mayor información sobre los entramados societarios, así como del detalle del impuesto sobre sociedades que soporta en cada uno de los países en los que opera, así como sus deducciones, exenciones y créditos fiscales, o las operaciones intragrupo, lo que supondría un ejercicio real de transparencia de cara grupos de interés, diferentes de inversores, accionistas o Administración Pública.</w:t>
      </w:r>
    </w:p>
    <w:p w14:paraId="2381F8B8" w14:textId="77777777" w:rsidR="00A764EF" w:rsidRPr="001F19B5" w:rsidRDefault="00A764EF" w:rsidP="00A764EF">
      <w:pPr>
        <w:spacing w:before="120"/>
        <w:jc w:val="both"/>
        <w:rPr>
          <w:rFonts w:ascii="Open Sans" w:hAnsi="Open Sans" w:cs="Arial"/>
          <w:sz w:val="20"/>
          <w:szCs w:val="20"/>
        </w:rPr>
      </w:pPr>
      <w:r w:rsidRPr="001F19B5">
        <w:rPr>
          <w:rFonts w:ascii="Open Sans" w:hAnsi="Open Sans" w:cs="Arial"/>
          <w:sz w:val="20"/>
          <w:szCs w:val="20"/>
        </w:rPr>
        <w:t>Pese a que Telefónica recoge la fiscalidad y la transparencia en este asunto, como aspecto material para sus grupos de interés la información que ofrece en su Informe Integrado 2015 no cuenta con un desglose suficiente que permita evaluar el cumplimiento de políticas y los compromisos asumidos, más allá del de los meros enunciados de posicionamiento formal y en el que información contenida pondera sobre otras cuestiones de responsabilidad fiscal, la información sobre  contribución</w:t>
      </w:r>
      <w:r w:rsidRPr="001F19B5">
        <w:rPr>
          <w:rStyle w:val="A8"/>
          <w:rFonts w:ascii="Open Sans" w:hAnsi="Open Sans" w:cs="Arial"/>
          <w:sz w:val="20"/>
          <w:szCs w:val="20"/>
        </w:rPr>
        <w:t xml:space="preserve"> tributaria total (CTT) y por país.</w:t>
      </w:r>
    </w:p>
    <w:p w14:paraId="4C2F5FD1" w14:textId="77777777" w:rsidR="00A764EF" w:rsidRPr="001F19B5" w:rsidRDefault="00A764EF" w:rsidP="00A764EF">
      <w:pPr>
        <w:jc w:val="both"/>
        <w:rPr>
          <w:rFonts w:ascii="Open Sans" w:hAnsi="Open Sans" w:cs="Arial"/>
          <w:color w:val="76923C" w:themeColor="accent3" w:themeShade="BF"/>
          <w:sz w:val="20"/>
          <w:szCs w:val="20"/>
        </w:rPr>
      </w:pPr>
    </w:p>
    <w:p w14:paraId="507BBEE0" w14:textId="77777777" w:rsidR="00A764EF" w:rsidRPr="001F19B5" w:rsidRDefault="00A764EF" w:rsidP="00A764EF">
      <w:pPr>
        <w:spacing w:before="120"/>
        <w:jc w:val="both"/>
        <w:rPr>
          <w:rFonts w:ascii="Open Sans" w:hAnsi="Open Sans" w:cs="Arial"/>
          <w:b/>
          <w:sz w:val="20"/>
          <w:szCs w:val="20"/>
        </w:rPr>
      </w:pPr>
      <w:r w:rsidRPr="001F19B5">
        <w:rPr>
          <w:rFonts w:ascii="Open Sans" w:hAnsi="Open Sans" w:cs="Arial"/>
          <w:sz w:val="20"/>
          <w:szCs w:val="20"/>
        </w:rPr>
        <w:t>Por último, comentar que entre los principios se declaran en la Estrategia Fiscal</w:t>
      </w:r>
      <w:r w:rsidRPr="001F19B5">
        <w:rPr>
          <w:rFonts w:ascii="Open Sans" w:hAnsi="Open Sans" w:cs="Arial"/>
          <w:b/>
          <w:sz w:val="20"/>
          <w:szCs w:val="20"/>
        </w:rPr>
        <w:t xml:space="preserve"> </w:t>
      </w:r>
      <w:r w:rsidRPr="001F19B5">
        <w:rPr>
          <w:rFonts w:ascii="Open Sans" w:hAnsi="Open Sans" w:cs="Arial"/>
          <w:sz w:val="20"/>
          <w:szCs w:val="20"/>
        </w:rPr>
        <w:t>se recogen los siguientes:</w:t>
      </w:r>
    </w:p>
    <w:p w14:paraId="36566B12" w14:textId="77777777" w:rsidR="00A764EF" w:rsidRPr="001F19B5" w:rsidRDefault="00A764EF" w:rsidP="000B70C9">
      <w:pPr>
        <w:pStyle w:val="Prrafodelista"/>
        <w:widowControl w:val="0"/>
        <w:numPr>
          <w:ilvl w:val="0"/>
          <w:numId w:val="67"/>
        </w:numPr>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Estamos comprometidos con nuestra obligación de pagar los impuestos legalmente exigibles de forma adecuada en todos los países en los que operamos, contribuyendo a su progreso económico y social.</w:t>
      </w:r>
    </w:p>
    <w:p w14:paraId="2C566742" w14:textId="77777777" w:rsidR="00A764EF" w:rsidRPr="001F19B5" w:rsidRDefault="00A764EF" w:rsidP="000B70C9">
      <w:pPr>
        <w:pStyle w:val="Prrafodelista"/>
        <w:widowControl w:val="0"/>
        <w:numPr>
          <w:ilvl w:val="0"/>
          <w:numId w:val="67"/>
        </w:numPr>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Conciliamos el cumplimiento de nuestras obligaciones tributarias con nuestro compromiso de crear valor para nuestros accionistas mediante la gestión eficiente de los costes asociados a la función fiscal.</w:t>
      </w:r>
    </w:p>
    <w:p w14:paraId="09C42107" w14:textId="77777777" w:rsidR="00A764EF" w:rsidRPr="001F19B5" w:rsidRDefault="00A764EF" w:rsidP="00A764EF">
      <w:pPr>
        <w:widowControl w:val="0"/>
        <w:autoSpaceDE w:val="0"/>
        <w:autoSpaceDN w:val="0"/>
        <w:adjustRightInd w:val="0"/>
        <w:spacing w:before="120"/>
        <w:jc w:val="both"/>
        <w:rPr>
          <w:rFonts w:ascii="Open Sans" w:hAnsi="Open Sans" w:cs="Arial"/>
          <w:sz w:val="20"/>
          <w:szCs w:val="20"/>
        </w:rPr>
      </w:pPr>
      <w:r w:rsidRPr="001F19B5">
        <w:rPr>
          <w:rFonts w:ascii="Open Sans" w:hAnsi="Open Sans" w:cs="Arial"/>
          <w:sz w:val="20"/>
          <w:szCs w:val="20"/>
        </w:rPr>
        <w:t>Podría existir un conflicto entre estos dos enunciados si no se señalan prioridades entre el objetivo a “creación de valor para los accionistas mediante una gestión eficientes de costes asociados a la función fiscal” y las obligaciones legales para contribuir al progreso económico y social, aunque se exprese en términos de “conciliación de cumplimiento de obligaciones tributarias”.</w:t>
      </w:r>
    </w:p>
    <w:p w14:paraId="4A5FB20B" w14:textId="781CC509" w:rsidR="00473ED5" w:rsidRDefault="00473ED5">
      <w:pPr>
        <w:rPr>
          <w:rFonts w:ascii="Open Sans" w:eastAsia="Times New Roman" w:hAnsi="Open Sans" w:cs="Arial"/>
          <w:color w:val="000000"/>
          <w:sz w:val="20"/>
          <w:szCs w:val="20"/>
          <w:lang w:val="es-ES"/>
        </w:rPr>
      </w:pPr>
      <w:r>
        <w:rPr>
          <w:rFonts w:ascii="Open Sans" w:hAnsi="Open Sans" w:cs="Arial"/>
          <w:sz w:val="20"/>
          <w:szCs w:val="20"/>
        </w:rPr>
        <w:br w:type="page"/>
      </w:r>
    </w:p>
    <w:p w14:paraId="02BFDFE9" w14:textId="77777777" w:rsidR="00473ED5" w:rsidRPr="00B83DE6" w:rsidRDefault="00473ED5" w:rsidP="00473ED5">
      <w:pPr>
        <w:pStyle w:val="Default"/>
        <w:spacing w:before="100" w:after="160"/>
        <w:ind w:left="567"/>
        <w:rPr>
          <w:rFonts w:ascii="Open Sans" w:hAnsi="Open Sans" w:cs="Arial"/>
          <w:sz w:val="20"/>
          <w:szCs w:val="20"/>
        </w:rPr>
      </w:pPr>
    </w:p>
    <w:p w14:paraId="11AE621B" w14:textId="77777777" w:rsidR="003306DB" w:rsidRPr="00FD7755" w:rsidRDefault="003306DB">
      <w:pPr>
        <w:rPr>
          <w:rFonts w:ascii="Open Sans" w:eastAsia="Times New Roman" w:hAnsi="Open Sans" w:cs="Open Sans"/>
          <w:sz w:val="20"/>
          <w:szCs w:val="20"/>
          <w:lang w:val="es-ES" w:eastAsia="en-US"/>
        </w:rPr>
      </w:pPr>
    </w:p>
    <w:p w14:paraId="7A483A39" w14:textId="27A71FCE" w:rsidR="00A112C7" w:rsidRPr="00112660" w:rsidRDefault="00FD6FFD" w:rsidP="009349A9">
      <w:pPr>
        <w:pStyle w:val="Titulo3-informefinal"/>
        <w:rPr>
          <w:i/>
        </w:rPr>
      </w:pPr>
      <w:bookmarkStart w:id="105" w:name="_Toc254282542"/>
      <w:bookmarkStart w:id="106" w:name="_Toc354061528"/>
      <w:r>
        <w:t>5</w:t>
      </w:r>
      <w:r w:rsidR="00A112C7" w:rsidRPr="00112660">
        <w:t>.6. Empresas del sector Servicios de Consumo</w:t>
      </w:r>
      <w:bookmarkEnd w:id="105"/>
      <w:bookmarkEnd w:id="106"/>
    </w:p>
    <w:p w14:paraId="550A6D8E" w14:textId="77777777" w:rsidR="004C6977" w:rsidRPr="00112660" w:rsidRDefault="004C6977" w:rsidP="004C6977">
      <w:pPr>
        <w:spacing w:line="360" w:lineRule="auto"/>
        <w:ind w:left="720"/>
        <w:jc w:val="both"/>
        <w:outlineLvl w:val="4"/>
        <w:rPr>
          <w:rFonts w:ascii="Open Sans" w:hAnsi="Open Sans" w:cs="Arial"/>
          <w:b/>
          <w:caps/>
        </w:rPr>
      </w:pPr>
    </w:p>
    <w:p w14:paraId="5FCE78B6" w14:textId="77777777" w:rsidR="00700F67" w:rsidRDefault="00700F67" w:rsidP="007A07D5">
      <w:pPr>
        <w:numPr>
          <w:ilvl w:val="1"/>
          <w:numId w:val="7"/>
        </w:numPr>
        <w:spacing w:line="360" w:lineRule="auto"/>
        <w:jc w:val="both"/>
        <w:outlineLvl w:val="4"/>
        <w:rPr>
          <w:rFonts w:ascii="Open Sans" w:hAnsi="Open Sans" w:cs="Arial"/>
          <w:b/>
          <w:caps/>
        </w:rPr>
      </w:pPr>
      <w:r w:rsidRPr="00112660">
        <w:rPr>
          <w:rFonts w:ascii="Open Sans" w:hAnsi="Open Sans" w:cs="Arial"/>
          <w:b/>
          <w:caps/>
        </w:rPr>
        <w:t>ABERTIS INFRAESTRUCTURAS, S.A.</w:t>
      </w:r>
    </w:p>
    <w:p w14:paraId="500F0860" w14:textId="38DF9B5C" w:rsidR="00A42499" w:rsidRPr="00112660" w:rsidRDefault="00A42499" w:rsidP="007A07D5">
      <w:pPr>
        <w:numPr>
          <w:ilvl w:val="1"/>
          <w:numId w:val="7"/>
        </w:numPr>
        <w:spacing w:line="360" w:lineRule="auto"/>
        <w:jc w:val="both"/>
        <w:outlineLvl w:val="4"/>
        <w:rPr>
          <w:rFonts w:ascii="Open Sans" w:hAnsi="Open Sans" w:cs="Arial"/>
          <w:b/>
          <w:caps/>
        </w:rPr>
      </w:pPr>
      <w:r>
        <w:rPr>
          <w:rFonts w:ascii="Open Sans" w:hAnsi="Open Sans" w:cs="Arial"/>
          <w:b/>
          <w:caps/>
        </w:rPr>
        <w:t>AENA</w:t>
      </w:r>
    </w:p>
    <w:p w14:paraId="4021156B" w14:textId="77777777" w:rsidR="008A66F5" w:rsidRPr="00112660" w:rsidRDefault="00700F67" w:rsidP="007A07D5">
      <w:pPr>
        <w:numPr>
          <w:ilvl w:val="1"/>
          <w:numId w:val="7"/>
        </w:numPr>
        <w:spacing w:line="360" w:lineRule="auto"/>
        <w:jc w:val="both"/>
        <w:outlineLvl w:val="4"/>
        <w:rPr>
          <w:rFonts w:ascii="Open Sans" w:hAnsi="Open Sans" w:cs="Arial"/>
          <w:b/>
          <w:caps/>
        </w:rPr>
      </w:pPr>
      <w:r w:rsidRPr="00112660">
        <w:rPr>
          <w:rFonts w:ascii="Open Sans" w:hAnsi="Open Sans" w:cs="Arial"/>
          <w:b/>
          <w:caps/>
        </w:rPr>
        <w:t>AMADEUS it HOLDING</w:t>
      </w:r>
    </w:p>
    <w:p w14:paraId="7A9D6AF6" w14:textId="503F85CF" w:rsidR="008A66F5" w:rsidRPr="00112660" w:rsidRDefault="008A66F5" w:rsidP="007A07D5">
      <w:pPr>
        <w:numPr>
          <w:ilvl w:val="1"/>
          <w:numId w:val="7"/>
        </w:numPr>
        <w:spacing w:line="360" w:lineRule="auto"/>
        <w:jc w:val="both"/>
        <w:outlineLvl w:val="4"/>
        <w:rPr>
          <w:rFonts w:ascii="Open Sans" w:hAnsi="Open Sans" w:cs="Arial"/>
          <w:b/>
          <w:caps/>
        </w:rPr>
      </w:pPr>
      <w:r w:rsidRPr="00112660">
        <w:rPr>
          <w:rFonts w:ascii="Open Sans" w:hAnsi="Open Sans" w:cs="Arial"/>
          <w:b/>
          <w:bCs/>
          <w:caps/>
          <w:lang w:val="es-ES"/>
        </w:rPr>
        <w:t>Distribuidora Internacional de Alimentación S.A. (</w:t>
      </w:r>
      <w:r w:rsidRPr="00112660">
        <w:rPr>
          <w:rFonts w:ascii="Open Sans" w:hAnsi="Open Sans" w:cs="Arial"/>
          <w:b/>
          <w:caps/>
          <w:lang w:val="es-ES"/>
        </w:rPr>
        <w:t>DIA)</w:t>
      </w:r>
    </w:p>
    <w:p w14:paraId="2131F437" w14:textId="5D7BE650" w:rsidR="00700F67" w:rsidRPr="00112660" w:rsidRDefault="00700F67" w:rsidP="007A07D5">
      <w:pPr>
        <w:numPr>
          <w:ilvl w:val="1"/>
          <w:numId w:val="7"/>
        </w:numPr>
        <w:spacing w:line="360" w:lineRule="auto"/>
        <w:jc w:val="both"/>
        <w:outlineLvl w:val="4"/>
        <w:rPr>
          <w:rFonts w:ascii="Open Sans" w:hAnsi="Open Sans" w:cs="Arial"/>
          <w:b/>
          <w:caps/>
        </w:rPr>
      </w:pPr>
      <w:r w:rsidRPr="00112660">
        <w:rPr>
          <w:rFonts w:ascii="Open Sans" w:hAnsi="Open Sans" w:cs="Arial"/>
          <w:b/>
          <w:caps/>
        </w:rPr>
        <w:t>IAG</w:t>
      </w:r>
      <w:r w:rsidR="0065535A" w:rsidRPr="00112660">
        <w:rPr>
          <w:rFonts w:ascii="Open Sans" w:hAnsi="Open Sans" w:cs="Arial"/>
          <w:b/>
          <w:caps/>
        </w:rPr>
        <w:t xml:space="preserve"> - IBERIA</w:t>
      </w:r>
    </w:p>
    <w:p w14:paraId="1472AB1D" w14:textId="57C1E442" w:rsidR="00E052B8" w:rsidRPr="00112660" w:rsidRDefault="00700F67" w:rsidP="007A07D5">
      <w:pPr>
        <w:numPr>
          <w:ilvl w:val="1"/>
          <w:numId w:val="7"/>
        </w:numPr>
        <w:spacing w:line="360" w:lineRule="auto"/>
        <w:jc w:val="both"/>
        <w:outlineLvl w:val="4"/>
        <w:rPr>
          <w:rFonts w:ascii="Open Sans" w:hAnsi="Open Sans" w:cs="Arial"/>
          <w:b/>
          <w:caps/>
        </w:rPr>
      </w:pPr>
      <w:r w:rsidRPr="00112660">
        <w:rPr>
          <w:rFonts w:ascii="Open Sans" w:hAnsi="Open Sans" w:cs="Arial"/>
          <w:b/>
          <w:caps/>
        </w:rPr>
        <w:t>MEDIASET</w:t>
      </w:r>
    </w:p>
    <w:p w14:paraId="445E921E" w14:textId="77777777" w:rsidR="00E052B8" w:rsidRDefault="00E052B8">
      <w:pPr>
        <w:rPr>
          <w:rFonts w:ascii="Arial" w:hAnsi="Arial" w:cs="Arial"/>
          <w:b/>
          <w:caps/>
        </w:rPr>
      </w:pPr>
      <w:r>
        <w:rPr>
          <w:rFonts w:ascii="Arial" w:hAnsi="Arial" w:cs="Arial"/>
          <w:b/>
          <w:caps/>
        </w:rPr>
        <w:br w:type="page"/>
      </w:r>
    </w:p>
    <w:p w14:paraId="1E9231B5" w14:textId="77777777" w:rsidR="005A5D6D" w:rsidRPr="00F92BC8" w:rsidRDefault="005A5D6D" w:rsidP="005A5D6D">
      <w:pPr>
        <w:pStyle w:val="WW-Predeterminado"/>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b/>
          <w:i/>
          <w:color w:val="FFFFFF"/>
          <w:sz w:val="24"/>
          <w:szCs w:val="24"/>
        </w:rPr>
      </w:pPr>
      <w:bookmarkStart w:id="107" w:name="Abertis"/>
      <w:r w:rsidRPr="00F92BC8">
        <w:rPr>
          <w:rFonts w:ascii="Open Sans" w:hAnsi="Open Sans" w:cs="Open Sans"/>
          <w:b/>
          <w:caps/>
          <w:color w:val="FFFFFF"/>
          <w:sz w:val="24"/>
          <w:szCs w:val="24"/>
        </w:rPr>
        <w:t>Abertis infraestructuras, s.a.</w:t>
      </w:r>
    </w:p>
    <w:bookmarkEnd w:id="107"/>
    <w:p w14:paraId="6989B32F" w14:textId="77777777" w:rsidR="005A5D6D" w:rsidRPr="00F92BC8" w:rsidRDefault="005A5D6D" w:rsidP="005A5D6D">
      <w:pPr>
        <w:pStyle w:val="WW-Predeterminado"/>
        <w:pBdr>
          <w:top w:val="single" w:sz="4" w:space="1" w:color="000000"/>
          <w:left w:val="single" w:sz="4" w:space="4" w:color="000000"/>
          <w:bottom w:val="single" w:sz="4" w:space="1" w:color="000000"/>
          <w:right w:val="single" w:sz="4" w:space="4" w:color="000000"/>
        </w:pBdr>
        <w:shd w:val="clear" w:color="auto" w:fill="000080"/>
        <w:jc w:val="center"/>
        <w:rPr>
          <w:rFonts w:ascii="Open Sans" w:hAnsi="Open Sans" w:cs="Open Sans"/>
          <w:sz w:val="24"/>
          <w:szCs w:val="24"/>
        </w:rPr>
      </w:pPr>
      <w:r w:rsidRPr="00F92BC8">
        <w:rPr>
          <w:rFonts w:ascii="Open Sans" w:hAnsi="Open Sans" w:cs="Open Sans"/>
          <w:b/>
          <w:i/>
          <w:color w:val="FFFFFF"/>
          <w:sz w:val="24"/>
          <w:szCs w:val="24"/>
        </w:rPr>
        <w:t>(Abertis)</w:t>
      </w:r>
    </w:p>
    <w:p w14:paraId="62AC0862" w14:textId="77777777" w:rsidR="005A5D6D" w:rsidRDefault="005A5D6D" w:rsidP="005A5D6D">
      <w:pPr>
        <w:spacing w:before="120" w:after="120" w:line="360" w:lineRule="auto"/>
        <w:jc w:val="both"/>
        <w:rPr>
          <w:rFonts w:ascii="Open Sans" w:hAnsi="Open Sans" w:cs="Tahoma"/>
          <w:b/>
          <w:bCs/>
          <w:color w:val="002060"/>
          <w:sz w:val="28"/>
          <w:szCs w:val="28"/>
        </w:rPr>
      </w:pPr>
    </w:p>
    <w:p w14:paraId="6E47CF2D" w14:textId="77777777" w:rsidR="00256EC8" w:rsidRPr="0084644C" w:rsidRDefault="00256EC8" w:rsidP="00256EC8">
      <w:pPr>
        <w:jc w:val="both"/>
        <w:outlineLvl w:val="5"/>
        <w:rPr>
          <w:rFonts w:ascii="Open Sans" w:hAnsi="Open Sans" w:cs="Arial"/>
          <w:b/>
          <w:sz w:val="26"/>
          <w:szCs w:val="22"/>
          <w:u w:val="single"/>
        </w:rPr>
      </w:pPr>
      <w:r w:rsidRPr="0084644C">
        <w:rPr>
          <w:rFonts w:ascii="Open Sans" w:hAnsi="Open Sans" w:cs="Arial"/>
          <w:b/>
          <w:sz w:val="22"/>
          <w:szCs w:val="22"/>
          <w:u w:val="single"/>
        </w:rPr>
        <w:t>1. Datos generales de la entidad</w:t>
      </w:r>
    </w:p>
    <w:p w14:paraId="53E3D78D" w14:textId="77777777" w:rsidR="00256EC8" w:rsidRPr="0084644C" w:rsidRDefault="00256EC8" w:rsidP="00256EC8">
      <w:pPr>
        <w:jc w:val="both"/>
        <w:rPr>
          <w:rFonts w:ascii="Open Sans" w:hAnsi="Open Sans" w:cs="Arial"/>
          <w:sz w:val="22"/>
          <w:szCs w:val="22"/>
          <w:u w:val="single"/>
        </w:rPr>
      </w:pPr>
    </w:p>
    <w:p w14:paraId="66D10CC5"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u w:val="single"/>
        </w:rPr>
        <w:t>Productos/servicios</w:t>
      </w:r>
    </w:p>
    <w:p w14:paraId="7CE3C584" w14:textId="77777777" w:rsidR="00256EC8" w:rsidRPr="0084644C" w:rsidRDefault="00256EC8" w:rsidP="00256EC8">
      <w:pPr>
        <w:jc w:val="both"/>
        <w:rPr>
          <w:rFonts w:ascii="Open Sans" w:hAnsi="Open Sans" w:cs="Arial"/>
          <w:sz w:val="20"/>
          <w:szCs w:val="20"/>
        </w:rPr>
      </w:pPr>
    </w:p>
    <w:p w14:paraId="491D64FE" w14:textId="77777777" w:rsidR="00256EC8" w:rsidRPr="0084644C" w:rsidRDefault="00256EC8" w:rsidP="00256EC8">
      <w:pPr>
        <w:pStyle w:val="WW-Predeterminado"/>
        <w:jc w:val="both"/>
        <w:rPr>
          <w:rFonts w:ascii="Open Sans" w:hAnsi="Open Sans" w:cs="Open Sans"/>
        </w:rPr>
      </w:pPr>
      <w:r w:rsidRPr="0084644C">
        <w:rPr>
          <w:rFonts w:ascii="Open Sans" w:hAnsi="Open Sans" w:cs="Open Sans"/>
        </w:rPr>
        <w:t>Abertis ofrece a sus clientes los siguientes productos/ servicios:</w:t>
      </w:r>
    </w:p>
    <w:p w14:paraId="07B850D9" w14:textId="77777777" w:rsidR="00256EC8" w:rsidRPr="0084644C" w:rsidRDefault="00256EC8" w:rsidP="00256EC8">
      <w:pPr>
        <w:pStyle w:val="WW-Predeterminado"/>
        <w:rPr>
          <w:rFonts w:ascii="Open Sans" w:hAnsi="Open Sans" w:cs="Open Sans"/>
        </w:rPr>
      </w:pPr>
    </w:p>
    <w:p w14:paraId="45024FE0" w14:textId="77777777" w:rsidR="00256EC8" w:rsidRPr="0084644C" w:rsidRDefault="00256EC8" w:rsidP="000B70C9">
      <w:pPr>
        <w:pStyle w:val="WW-Predeterminado"/>
        <w:numPr>
          <w:ilvl w:val="0"/>
          <w:numId w:val="40"/>
        </w:numPr>
        <w:jc w:val="both"/>
        <w:rPr>
          <w:rFonts w:ascii="Open Sans" w:hAnsi="Open Sans" w:cs="Open Sans"/>
        </w:rPr>
      </w:pPr>
      <w:r w:rsidRPr="0084644C">
        <w:rPr>
          <w:rFonts w:ascii="Open Sans" w:hAnsi="Open Sans" w:cs="Open Sans"/>
        </w:rPr>
        <w:t>Construcción, conservación y explotación de autopistas en régimen de concesión en España y el extranjero.</w:t>
      </w:r>
    </w:p>
    <w:p w14:paraId="04BF2350" w14:textId="77777777" w:rsidR="00256EC8" w:rsidRPr="0084644C" w:rsidRDefault="00256EC8" w:rsidP="000B70C9">
      <w:pPr>
        <w:pStyle w:val="WW-Predeterminado"/>
        <w:numPr>
          <w:ilvl w:val="0"/>
          <w:numId w:val="40"/>
        </w:numPr>
        <w:rPr>
          <w:rFonts w:ascii="Open Sans" w:hAnsi="Open Sans" w:cs="Open Sans"/>
        </w:rPr>
      </w:pPr>
      <w:r w:rsidRPr="0084644C">
        <w:rPr>
          <w:rFonts w:ascii="Open Sans" w:hAnsi="Open Sans" w:cs="Open Sans"/>
        </w:rPr>
        <w:t>Infraestructuras de telecomunicaciones terrestres.</w:t>
      </w:r>
    </w:p>
    <w:p w14:paraId="33BA6CDC" w14:textId="77777777" w:rsidR="00256EC8" w:rsidRPr="0084644C" w:rsidRDefault="00256EC8" w:rsidP="000B70C9">
      <w:pPr>
        <w:pStyle w:val="WW-Predeterminado"/>
        <w:numPr>
          <w:ilvl w:val="0"/>
          <w:numId w:val="40"/>
        </w:numPr>
        <w:rPr>
          <w:rFonts w:ascii="Open Sans" w:hAnsi="Open Sans" w:cs="Open Sans"/>
        </w:rPr>
      </w:pPr>
      <w:r w:rsidRPr="0084644C">
        <w:rPr>
          <w:rFonts w:ascii="Open Sans" w:hAnsi="Open Sans" w:cs="Open Sans"/>
        </w:rPr>
        <w:t>Infraestructuras de telecomunicaciones satelitales.</w:t>
      </w:r>
    </w:p>
    <w:p w14:paraId="11EF01A0" w14:textId="77777777" w:rsidR="00256EC8" w:rsidRPr="0084644C" w:rsidRDefault="00256EC8" w:rsidP="00256EC8">
      <w:pPr>
        <w:jc w:val="both"/>
        <w:rPr>
          <w:rFonts w:ascii="Open Sans" w:hAnsi="Open Sans" w:cs="Arial"/>
          <w:sz w:val="20"/>
          <w:szCs w:val="20"/>
        </w:rPr>
      </w:pPr>
    </w:p>
    <w:p w14:paraId="191E1877"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u w:val="single"/>
        </w:rPr>
        <w:t xml:space="preserve">Alcance geográfico </w:t>
      </w:r>
    </w:p>
    <w:p w14:paraId="329D4FB1" w14:textId="77777777" w:rsidR="00256EC8" w:rsidRPr="0084644C" w:rsidRDefault="00256EC8" w:rsidP="00256EC8">
      <w:pPr>
        <w:jc w:val="both"/>
        <w:rPr>
          <w:rFonts w:ascii="Open Sans" w:hAnsi="Open Sans" w:cs="Arial"/>
          <w:sz w:val="20"/>
          <w:szCs w:val="20"/>
        </w:rPr>
      </w:pPr>
    </w:p>
    <w:p w14:paraId="5807178F" w14:textId="77777777" w:rsidR="00256EC8" w:rsidRPr="0084644C" w:rsidRDefault="00256EC8" w:rsidP="00256EC8">
      <w:pPr>
        <w:pStyle w:val="WW-Predeterminado"/>
        <w:rPr>
          <w:rFonts w:ascii="Open Sans" w:hAnsi="Open Sans" w:cs="Open Sans"/>
        </w:rPr>
      </w:pPr>
      <w:r w:rsidRPr="0084644C">
        <w:rPr>
          <w:rFonts w:ascii="Open Sans" w:hAnsi="Open Sans" w:cs="Open Sans"/>
        </w:rPr>
        <w:t xml:space="preserve">Abertis opera, comercializa o tiene presencia en los siguientes 24 países: </w:t>
      </w:r>
    </w:p>
    <w:p w14:paraId="231FB61F" w14:textId="77777777" w:rsidR="00256EC8" w:rsidRPr="0084644C" w:rsidRDefault="00256EC8" w:rsidP="00256EC8">
      <w:pPr>
        <w:pStyle w:val="WW-Predeterminado"/>
        <w:rPr>
          <w:rFonts w:ascii="Open Sans" w:hAnsi="Open Sans" w:cs="Open Sans"/>
        </w:rPr>
      </w:pPr>
    </w:p>
    <w:p w14:paraId="129A8FB1" w14:textId="77777777" w:rsidR="00256EC8" w:rsidRPr="0084644C" w:rsidRDefault="00256EC8" w:rsidP="000B70C9">
      <w:pPr>
        <w:pStyle w:val="WW-Predeterminado"/>
        <w:numPr>
          <w:ilvl w:val="0"/>
          <w:numId w:val="68"/>
        </w:numPr>
        <w:rPr>
          <w:rFonts w:ascii="Open Sans" w:hAnsi="Open Sans" w:cs="Open Sans"/>
        </w:rPr>
      </w:pPr>
      <w:r w:rsidRPr="0084644C">
        <w:rPr>
          <w:rFonts w:ascii="Open Sans" w:hAnsi="Open Sans" w:cs="Open Sans"/>
        </w:rPr>
        <w:t>América: Argentina, Brasil, Canadá, Chile, Colombia, Estados Unidos, Puerto Rico y México.</w:t>
      </w:r>
    </w:p>
    <w:p w14:paraId="4E873744" w14:textId="77777777" w:rsidR="00256EC8" w:rsidRPr="0084644C" w:rsidRDefault="00256EC8" w:rsidP="000B70C9">
      <w:pPr>
        <w:pStyle w:val="WW-Predeterminado"/>
        <w:numPr>
          <w:ilvl w:val="0"/>
          <w:numId w:val="68"/>
        </w:numPr>
        <w:rPr>
          <w:rFonts w:ascii="Open Sans" w:hAnsi="Open Sans" w:cs="Open Sans"/>
        </w:rPr>
      </w:pPr>
      <w:r w:rsidRPr="0084644C">
        <w:rPr>
          <w:rFonts w:ascii="Open Sans" w:hAnsi="Open Sans" w:cs="Open Sans"/>
        </w:rPr>
        <w:t>Asia: China, India y Japón.</w:t>
      </w:r>
    </w:p>
    <w:p w14:paraId="34600DDC" w14:textId="77777777" w:rsidR="00256EC8" w:rsidRPr="0084644C" w:rsidRDefault="00256EC8" w:rsidP="000B70C9">
      <w:pPr>
        <w:pStyle w:val="WW-Predeterminado"/>
        <w:numPr>
          <w:ilvl w:val="0"/>
          <w:numId w:val="68"/>
        </w:numPr>
        <w:rPr>
          <w:rFonts w:ascii="Open Sans" w:hAnsi="Open Sans" w:cs="Open Sans"/>
        </w:rPr>
      </w:pPr>
      <w:r w:rsidRPr="0084644C">
        <w:rPr>
          <w:rFonts w:ascii="Open Sans" w:hAnsi="Open Sans" w:cs="Open Sans"/>
        </w:rPr>
        <w:t>Europa: Alemania, Andorra, Croacia, Eslovaquia, España, Francia, Holanda, Hungría, Italia, Irlanda, Polonia y Reino Unido.</w:t>
      </w:r>
    </w:p>
    <w:p w14:paraId="640088D0" w14:textId="77777777" w:rsidR="00256EC8" w:rsidRPr="0084644C" w:rsidRDefault="00256EC8" w:rsidP="000B70C9">
      <w:pPr>
        <w:pStyle w:val="WW-Predeterminado"/>
        <w:numPr>
          <w:ilvl w:val="0"/>
          <w:numId w:val="68"/>
        </w:numPr>
        <w:rPr>
          <w:rFonts w:ascii="Open Sans" w:hAnsi="Open Sans" w:cs="Open Sans"/>
        </w:rPr>
      </w:pPr>
      <w:r w:rsidRPr="0084644C">
        <w:rPr>
          <w:rFonts w:ascii="Open Sans" w:hAnsi="Open Sans" w:cs="Open Sans"/>
        </w:rPr>
        <w:t>Oceanía: Australia.</w:t>
      </w:r>
    </w:p>
    <w:p w14:paraId="038D6FE1" w14:textId="77777777" w:rsidR="00256EC8" w:rsidRPr="0084644C" w:rsidRDefault="00256EC8" w:rsidP="00256EC8">
      <w:pPr>
        <w:jc w:val="both"/>
        <w:rPr>
          <w:rFonts w:ascii="Open Sans" w:hAnsi="Open Sans" w:cs="Arial"/>
          <w:sz w:val="20"/>
          <w:szCs w:val="20"/>
          <w:u w:val="single"/>
        </w:rPr>
      </w:pPr>
    </w:p>
    <w:p w14:paraId="6409B5D2" w14:textId="77777777" w:rsidR="00256EC8" w:rsidRPr="0084644C" w:rsidRDefault="00256EC8" w:rsidP="00256EC8">
      <w:pPr>
        <w:jc w:val="both"/>
        <w:rPr>
          <w:rFonts w:ascii="Open Sans" w:hAnsi="Open Sans" w:cs="Arial"/>
          <w:sz w:val="20"/>
          <w:szCs w:val="20"/>
          <w:u w:val="single"/>
        </w:rPr>
      </w:pPr>
      <w:r w:rsidRPr="0084644C">
        <w:rPr>
          <w:rFonts w:ascii="Open Sans" w:hAnsi="Open Sans" w:cs="Arial"/>
          <w:sz w:val="20"/>
          <w:szCs w:val="20"/>
          <w:u w:val="single"/>
        </w:rPr>
        <w:t>Cifras relevantes de la empresa:</w:t>
      </w:r>
    </w:p>
    <w:p w14:paraId="63912423" w14:textId="77777777" w:rsidR="00256EC8" w:rsidRPr="0084644C" w:rsidRDefault="00256EC8" w:rsidP="00256EC8">
      <w:pPr>
        <w:jc w:val="both"/>
        <w:rPr>
          <w:rFonts w:ascii="Open Sans" w:hAnsi="Open Sans" w:cs="Arial"/>
          <w:sz w:val="20"/>
          <w:szCs w:val="20"/>
          <w:u w:val="single"/>
        </w:rPr>
      </w:pPr>
    </w:p>
    <w:p w14:paraId="52242D4D"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Abertis ha obtenido unos ingresos de las operaciones en 2015 de 4.378 millones de euros. El resultado consolidado de las actividades continuadas después de impuestos es de unas pérdidas de 1.218 millones de euros. Sin embargo el resultado del ejercicio es positivo por el ingreso de 2.721.012 millones por actividades interrumpidas, lo que le ha originado un beneficio a la empresa de 1.502 millones en el ejercicio.</w:t>
      </w:r>
    </w:p>
    <w:p w14:paraId="50EAD3F7" w14:textId="77777777" w:rsidR="00256EC8" w:rsidRPr="0084644C" w:rsidRDefault="00256EC8" w:rsidP="00256EC8">
      <w:pPr>
        <w:jc w:val="both"/>
        <w:rPr>
          <w:rFonts w:ascii="Open Sans" w:hAnsi="Open Sans" w:cs="Arial"/>
          <w:sz w:val="20"/>
          <w:szCs w:val="20"/>
        </w:rPr>
      </w:pPr>
    </w:p>
    <w:p w14:paraId="5BD28145"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 xml:space="preserve">Durante el ejercicio 2015 ha contado con una plantilla de 14.844 empleados. </w:t>
      </w:r>
    </w:p>
    <w:p w14:paraId="35B62C67" w14:textId="77777777" w:rsidR="00256EC8" w:rsidRPr="0084644C" w:rsidRDefault="00256EC8" w:rsidP="00256EC8">
      <w:pPr>
        <w:jc w:val="both"/>
        <w:rPr>
          <w:rFonts w:ascii="Open Sans" w:hAnsi="Open Sans" w:cs="Arial"/>
          <w:sz w:val="20"/>
          <w:szCs w:val="20"/>
          <w:u w:val="single"/>
        </w:rPr>
      </w:pPr>
    </w:p>
    <w:p w14:paraId="28D23A52" w14:textId="77777777" w:rsidR="00256EC8" w:rsidRPr="0084644C" w:rsidRDefault="00256EC8" w:rsidP="00256EC8">
      <w:pPr>
        <w:jc w:val="both"/>
        <w:rPr>
          <w:rFonts w:ascii="Open Sans" w:hAnsi="Open Sans" w:cs="Arial"/>
          <w:sz w:val="20"/>
          <w:szCs w:val="20"/>
          <w:u w:val="single"/>
        </w:rPr>
      </w:pPr>
      <w:r w:rsidRPr="0084644C">
        <w:rPr>
          <w:rFonts w:ascii="Open Sans" w:hAnsi="Open Sans" w:cs="Arial"/>
          <w:sz w:val="20"/>
          <w:szCs w:val="20"/>
          <w:u w:val="single"/>
        </w:rPr>
        <w:t>Estándares voluntarios relacionados con fiscalidad responsable</w:t>
      </w:r>
    </w:p>
    <w:p w14:paraId="24141988" w14:textId="77777777" w:rsidR="00256EC8" w:rsidRPr="0084644C" w:rsidRDefault="00256EC8" w:rsidP="00256EC8">
      <w:pPr>
        <w:jc w:val="both"/>
        <w:rPr>
          <w:rFonts w:ascii="Open Sans" w:hAnsi="Open Sans" w:cs="Arial"/>
          <w:sz w:val="20"/>
          <w:szCs w:val="20"/>
          <w:u w:val="single"/>
        </w:rPr>
      </w:pPr>
    </w:p>
    <w:p w14:paraId="322443A9"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Abertis informa que se ha adherido voluntariamente a los siguientes estándares relacionados con contenidos y sistemas de gestión de fiscalidad responsable:</w:t>
      </w:r>
    </w:p>
    <w:p w14:paraId="34446849" w14:textId="77777777" w:rsidR="00256EC8" w:rsidRPr="0084644C" w:rsidRDefault="00256EC8" w:rsidP="00256EC8">
      <w:pPr>
        <w:jc w:val="both"/>
        <w:rPr>
          <w:rFonts w:ascii="Open Sans" w:hAnsi="Open Sans" w:cs="Arial"/>
          <w:sz w:val="20"/>
          <w:szCs w:val="20"/>
        </w:rPr>
      </w:pPr>
    </w:p>
    <w:p w14:paraId="3F6193B5" w14:textId="77777777" w:rsidR="00256EC8" w:rsidRPr="0084644C" w:rsidRDefault="00256EC8" w:rsidP="00256EC8">
      <w:pPr>
        <w:numPr>
          <w:ilvl w:val="0"/>
          <w:numId w:val="12"/>
        </w:numPr>
        <w:jc w:val="both"/>
        <w:rPr>
          <w:rFonts w:ascii="Open Sans" w:hAnsi="Open Sans" w:cs="Arial"/>
          <w:sz w:val="16"/>
          <w:szCs w:val="20"/>
        </w:rPr>
      </w:pPr>
      <w:r w:rsidRPr="0084644C">
        <w:rPr>
          <w:rFonts w:ascii="Open Sans" w:hAnsi="Open Sans" w:cs="Open Sans"/>
          <w:sz w:val="20"/>
        </w:rPr>
        <w:t>Código de Buenas Prácticas de la Agencia Tributaria</w:t>
      </w:r>
    </w:p>
    <w:p w14:paraId="1D6C62C5" w14:textId="77777777" w:rsidR="00256EC8" w:rsidRPr="0084644C" w:rsidRDefault="00256EC8" w:rsidP="00256EC8">
      <w:pPr>
        <w:jc w:val="both"/>
        <w:rPr>
          <w:rFonts w:ascii="Open Sans" w:hAnsi="Open Sans" w:cs="Arial"/>
          <w:sz w:val="20"/>
          <w:szCs w:val="20"/>
          <w:u w:val="single"/>
        </w:rPr>
      </w:pPr>
    </w:p>
    <w:p w14:paraId="6215D523" w14:textId="77777777" w:rsidR="00256EC8" w:rsidRPr="0084644C" w:rsidRDefault="00256EC8" w:rsidP="00256EC8">
      <w:pPr>
        <w:jc w:val="both"/>
        <w:rPr>
          <w:rFonts w:ascii="Open Sans" w:hAnsi="Open Sans" w:cs="Arial"/>
          <w:sz w:val="20"/>
          <w:szCs w:val="20"/>
          <w:u w:val="single"/>
        </w:rPr>
      </w:pPr>
      <w:r w:rsidRPr="0084644C">
        <w:rPr>
          <w:rFonts w:ascii="Open Sans" w:hAnsi="Open Sans" w:cs="Arial"/>
          <w:sz w:val="20"/>
          <w:szCs w:val="20"/>
          <w:u w:val="single"/>
        </w:rPr>
        <w:br w:type="page"/>
      </w:r>
    </w:p>
    <w:p w14:paraId="7A9E9B0B" w14:textId="77777777" w:rsidR="00256EC8" w:rsidRPr="0084644C" w:rsidRDefault="00256EC8" w:rsidP="00256EC8">
      <w:pPr>
        <w:jc w:val="both"/>
        <w:rPr>
          <w:rFonts w:ascii="Open Sans" w:hAnsi="Open Sans" w:cs="Arial"/>
          <w:sz w:val="20"/>
          <w:szCs w:val="20"/>
          <w:u w:val="single"/>
        </w:rPr>
      </w:pPr>
      <w:r w:rsidRPr="0084644C">
        <w:rPr>
          <w:rFonts w:ascii="Open Sans" w:hAnsi="Open Sans" w:cs="Arial"/>
          <w:sz w:val="20"/>
          <w:szCs w:val="20"/>
          <w:u w:val="single"/>
        </w:rPr>
        <w:t>Documentos incluidos en el análisis</w:t>
      </w:r>
    </w:p>
    <w:p w14:paraId="31AEF473" w14:textId="77777777" w:rsidR="00256EC8" w:rsidRPr="0084644C" w:rsidRDefault="00256EC8" w:rsidP="00256EC8">
      <w:pPr>
        <w:ind w:firstLine="709"/>
        <w:jc w:val="both"/>
        <w:rPr>
          <w:rFonts w:ascii="Open Sans" w:hAnsi="Open Sans" w:cs="Arial"/>
          <w:sz w:val="20"/>
          <w:szCs w:val="20"/>
        </w:rPr>
      </w:pPr>
    </w:p>
    <w:p w14:paraId="1FE4B892"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Para el análisis de la calidad de la información relacionada con fiscalidad de la empresa, se ha tenido en cuenta la información contenida en la siguiente documentación:</w:t>
      </w:r>
    </w:p>
    <w:p w14:paraId="248975E2" w14:textId="77777777" w:rsidR="00256EC8" w:rsidRPr="0084644C" w:rsidRDefault="00256EC8" w:rsidP="00256EC8">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256EC8" w:rsidRPr="0084644C" w14:paraId="26B2A387" w14:textId="77777777" w:rsidTr="00256EC8">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487C2576" w14:textId="77777777" w:rsidR="00256EC8" w:rsidRPr="0084644C" w:rsidRDefault="00256EC8" w:rsidP="00256EC8">
            <w:pPr>
              <w:jc w:val="center"/>
              <w:rPr>
                <w:rFonts w:ascii="Open Sans" w:hAnsi="Open Sans" w:cs="Arial"/>
                <w:b/>
                <w:sz w:val="20"/>
                <w:szCs w:val="22"/>
              </w:rPr>
            </w:pPr>
            <w:r w:rsidRPr="0084644C">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5DB5E8D9" w14:textId="77777777" w:rsidR="00256EC8" w:rsidRPr="0084644C" w:rsidRDefault="00256EC8" w:rsidP="00256EC8">
            <w:pPr>
              <w:jc w:val="center"/>
              <w:rPr>
                <w:rFonts w:ascii="Open Sans" w:hAnsi="Open Sans" w:cs="Arial"/>
                <w:b/>
                <w:sz w:val="20"/>
                <w:szCs w:val="22"/>
              </w:rPr>
            </w:pPr>
            <w:r w:rsidRPr="0084644C">
              <w:rPr>
                <w:rFonts w:ascii="Open Sans" w:hAnsi="Open Sans" w:cs="Arial"/>
                <w:b/>
                <w:sz w:val="20"/>
                <w:szCs w:val="22"/>
              </w:rPr>
              <w:t>OBSERVACIONES</w:t>
            </w:r>
          </w:p>
        </w:tc>
      </w:tr>
      <w:tr w:rsidR="00256EC8" w:rsidRPr="0084644C" w14:paraId="0F1FB472" w14:textId="77777777" w:rsidTr="00256EC8">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E382B97"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Informe de Responsabilidad Social Corporativa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BED0683" w14:textId="77777777" w:rsidR="00256EC8" w:rsidRPr="0084644C" w:rsidRDefault="00256EC8" w:rsidP="00256EC8">
            <w:pPr>
              <w:jc w:val="both"/>
              <w:rPr>
                <w:rFonts w:ascii="Open Sans" w:eastAsia="Arial Unicode MS" w:hAnsi="Open Sans" w:cs="Arial"/>
                <w:sz w:val="22"/>
                <w:szCs w:val="22"/>
              </w:rPr>
            </w:pPr>
          </w:p>
        </w:tc>
      </w:tr>
      <w:tr w:rsidR="00256EC8" w:rsidRPr="0084644C" w14:paraId="10A5888F" w14:textId="77777777" w:rsidTr="00256EC8">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E5A3F9F"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Informe Anual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7747982A" w14:textId="77777777" w:rsidR="00256EC8" w:rsidRPr="0084644C" w:rsidRDefault="00256EC8" w:rsidP="00256EC8">
            <w:pPr>
              <w:jc w:val="both"/>
              <w:rPr>
                <w:rFonts w:ascii="Open Sans" w:eastAsia="Arial Unicode MS" w:hAnsi="Open Sans" w:cs="Arial"/>
                <w:sz w:val="22"/>
                <w:szCs w:val="22"/>
              </w:rPr>
            </w:pPr>
          </w:p>
        </w:tc>
      </w:tr>
      <w:tr w:rsidR="00256EC8" w:rsidRPr="0084644C" w14:paraId="28EAB496" w14:textId="77777777" w:rsidTr="00256EC8">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9748ED2"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Cuentas Anuales consolidadas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4797E2F5" w14:textId="77777777" w:rsidR="00256EC8" w:rsidRPr="0084644C" w:rsidRDefault="00256EC8" w:rsidP="00256EC8">
            <w:pPr>
              <w:jc w:val="both"/>
              <w:rPr>
                <w:rFonts w:ascii="Open Sans" w:eastAsia="Arial Unicode MS" w:hAnsi="Open Sans" w:cs="Arial"/>
                <w:sz w:val="22"/>
                <w:szCs w:val="22"/>
              </w:rPr>
            </w:pPr>
          </w:p>
        </w:tc>
      </w:tr>
      <w:tr w:rsidR="00256EC8" w:rsidRPr="0084644C" w14:paraId="15040C2E" w14:textId="77777777" w:rsidTr="00256EC8">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4F1EA154"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Cuentas Anuales individuales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651FEE40" w14:textId="77777777" w:rsidR="00256EC8" w:rsidRPr="0084644C" w:rsidRDefault="00256EC8" w:rsidP="00256EC8">
            <w:pPr>
              <w:jc w:val="both"/>
              <w:rPr>
                <w:rFonts w:ascii="Open Sans" w:eastAsia="Arial Unicode MS" w:hAnsi="Open Sans" w:cs="Arial"/>
                <w:sz w:val="22"/>
                <w:szCs w:val="22"/>
              </w:rPr>
            </w:pPr>
          </w:p>
        </w:tc>
      </w:tr>
      <w:tr w:rsidR="00256EC8" w:rsidRPr="0084644C" w14:paraId="384ECB6B" w14:textId="77777777" w:rsidTr="00256EC8">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7540F03" w14:textId="77777777" w:rsidR="00256EC8" w:rsidRPr="0084644C" w:rsidRDefault="00256EC8" w:rsidP="00256EC8">
            <w:pPr>
              <w:rPr>
                <w:rFonts w:ascii="Open Sans" w:hAnsi="Open Sans" w:cs="Tahoma"/>
                <w:sz w:val="22"/>
                <w:szCs w:val="22"/>
              </w:rPr>
            </w:pPr>
            <w:r w:rsidRPr="0084644C">
              <w:rPr>
                <w:rFonts w:ascii="Open Sans" w:hAnsi="Open Sans" w:cs="Tahoma"/>
                <w:sz w:val="20"/>
                <w:szCs w:val="22"/>
              </w:rPr>
              <w:t>Informe Anual de Gobierno Corporativo (2015)</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4ED0B8CF" w14:textId="77777777" w:rsidR="00256EC8" w:rsidRPr="0084644C" w:rsidRDefault="00256EC8" w:rsidP="00256EC8">
            <w:pPr>
              <w:jc w:val="both"/>
              <w:rPr>
                <w:rFonts w:ascii="Open Sans" w:eastAsia="Arial Unicode MS" w:hAnsi="Open Sans" w:cs="Arial"/>
                <w:sz w:val="22"/>
                <w:szCs w:val="22"/>
              </w:rPr>
            </w:pPr>
          </w:p>
        </w:tc>
      </w:tr>
      <w:tr w:rsidR="00256EC8" w:rsidRPr="0084644C" w14:paraId="4509D5F3" w14:textId="77777777" w:rsidTr="00256EC8">
        <w:trPr>
          <w:trHeight w:val="179"/>
        </w:trPr>
        <w:tc>
          <w:tcPr>
            <w:tcW w:w="4360"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41DEA921"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Estatutos Sociales (2015)</w:t>
            </w:r>
          </w:p>
        </w:tc>
        <w:tc>
          <w:tcPr>
            <w:tcW w:w="4158"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160B27FD" w14:textId="77777777" w:rsidR="00256EC8" w:rsidRPr="0084644C" w:rsidRDefault="00256EC8" w:rsidP="00256EC8">
            <w:pPr>
              <w:jc w:val="both"/>
              <w:rPr>
                <w:rFonts w:ascii="Open Sans" w:eastAsia="Arial Unicode MS" w:hAnsi="Open Sans" w:cs="Arial"/>
                <w:sz w:val="22"/>
                <w:szCs w:val="22"/>
              </w:rPr>
            </w:pPr>
          </w:p>
        </w:tc>
      </w:tr>
      <w:tr w:rsidR="00256EC8" w:rsidRPr="0084644C" w14:paraId="7679323B" w14:textId="77777777" w:rsidTr="00256EC8">
        <w:trPr>
          <w:trHeight w:val="179"/>
        </w:trPr>
        <w:tc>
          <w:tcPr>
            <w:tcW w:w="4360"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2561983B"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Informe Anual sobre Remuneraciones de los Consejeros (2015)</w:t>
            </w:r>
          </w:p>
        </w:tc>
        <w:tc>
          <w:tcPr>
            <w:tcW w:w="4158"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2C19D7D1" w14:textId="77777777" w:rsidR="00256EC8" w:rsidRPr="0084644C" w:rsidRDefault="00256EC8" w:rsidP="00256EC8">
            <w:pPr>
              <w:jc w:val="both"/>
              <w:rPr>
                <w:rFonts w:ascii="Open Sans" w:eastAsia="Arial Unicode MS" w:hAnsi="Open Sans" w:cs="Arial"/>
                <w:sz w:val="22"/>
                <w:szCs w:val="22"/>
              </w:rPr>
            </w:pPr>
          </w:p>
        </w:tc>
      </w:tr>
      <w:tr w:rsidR="00256EC8" w:rsidRPr="0084644C" w14:paraId="61B2E5DE" w14:textId="77777777" w:rsidTr="00256EC8">
        <w:trPr>
          <w:trHeight w:val="179"/>
        </w:trPr>
        <w:tc>
          <w:tcPr>
            <w:tcW w:w="4360"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22890250"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Reglamento Interno de Conducta (2015)</w:t>
            </w:r>
          </w:p>
        </w:tc>
        <w:tc>
          <w:tcPr>
            <w:tcW w:w="4158"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7D2A7AB8" w14:textId="77777777" w:rsidR="00256EC8" w:rsidRPr="0084644C" w:rsidRDefault="00256EC8" w:rsidP="00256EC8">
            <w:pPr>
              <w:jc w:val="both"/>
              <w:rPr>
                <w:rFonts w:ascii="Open Sans" w:eastAsia="Arial Unicode MS" w:hAnsi="Open Sans" w:cs="Arial"/>
                <w:sz w:val="22"/>
                <w:szCs w:val="22"/>
              </w:rPr>
            </w:pPr>
          </w:p>
        </w:tc>
      </w:tr>
      <w:tr w:rsidR="00256EC8" w:rsidRPr="0084644C" w14:paraId="5B555AD8" w14:textId="77777777" w:rsidTr="00256EC8">
        <w:trPr>
          <w:trHeight w:val="179"/>
        </w:trPr>
        <w:tc>
          <w:tcPr>
            <w:tcW w:w="4360"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27296DC3"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Reglamento de la Junta General de Accionistas (2015)</w:t>
            </w:r>
          </w:p>
        </w:tc>
        <w:tc>
          <w:tcPr>
            <w:tcW w:w="4158"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7B648BD5" w14:textId="77777777" w:rsidR="00256EC8" w:rsidRPr="0084644C" w:rsidRDefault="00256EC8" w:rsidP="00256EC8">
            <w:pPr>
              <w:jc w:val="both"/>
              <w:rPr>
                <w:rFonts w:ascii="Open Sans" w:eastAsia="Arial Unicode MS" w:hAnsi="Open Sans" w:cs="Arial"/>
                <w:sz w:val="22"/>
                <w:szCs w:val="22"/>
              </w:rPr>
            </w:pPr>
          </w:p>
        </w:tc>
      </w:tr>
      <w:tr w:rsidR="00256EC8" w:rsidRPr="0084644C" w14:paraId="689857D1" w14:textId="77777777" w:rsidTr="00256EC8">
        <w:trPr>
          <w:trHeight w:val="179"/>
        </w:trPr>
        <w:tc>
          <w:tcPr>
            <w:tcW w:w="4360"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748B0308"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Informe de auditor referido al SCIIF (2015)</w:t>
            </w:r>
          </w:p>
        </w:tc>
        <w:tc>
          <w:tcPr>
            <w:tcW w:w="4158"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14003FB2" w14:textId="77777777" w:rsidR="00256EC8" w:rsidRPr="0084644C" w:rsidRDefault="00256EC8" w:rsidP="00256EC8">
            <w:pPr>
              <w:jc w:val="both"/>
              <w:rPr>
                <w:rFonts w:ascii="Open Sans" w:eastAsia="Arial Unicode MS" w:hAnsi="Open Sans" w:cs="Arial"/>
                <w:sz w:val="22"/>
                <w:szCs w:val="22"/>
              </w:rPr>
            </w:pPr>
          </w:p>
        </w:tc>
      </w:tr>
      <w:tr w:rsidR="00256EC8" w:rsidRPr="0084644C" w14:paraId="6A8D2344" w14:textId="77777777" w:rsidTr="00256EC8">
        <w:trPr>
          <w:trHeight w:val="179"/>
        </w:trPr>
        <w:tc>
          <w:tcPr>
            <w:tcW w:w="4360" w:type="dxa"/>
            <w:tcBorders>
              <w:top w:val="single" w:sz="4" w:space="0" w:color="auto"/>
              <w:left w:val="single" w:sz="8" w:space="0" w:color="auto"/>
              <w:bottom w:val="single" w:sz="4" w:space="0" w:color="auto"/>
              <w:right w:val="nil"/>
            </w:tcBorders>
            <w:shd w:val="clear" w:color="auto" w:fill="auto"/>
            <w:tcMar>
              <w:top w:w="13" w:type="dxa"/>
              <w:left w:w="13" w:type="dxa"/>
              <w:bottom w:w="0" w:type="dxa"/>
              <w:right w:w="13" w:type="dxa"/>
            </w:tcMar>
          </w:tcPr>
          <w:p w14:paraId="376DEA0F" w14:textId="77777777" w:rsidR="00256EC8" w:rsidRPr="0084644C" w:rsidRDefault="00256EC8" w:rsidP="00256EC8">
            <w:pPr>
              <w:rPr>
                <w:rFonts w:ascii="Open Sans" w:hAnsi="Open Sans" w:cs="Tahoma"/>
                <w:sz w:val="20"/>
                <w:szCs w:val="22"/>
              </w:rPr>
            </w:pPr>
            <w:r w:rsidRPr="0084644C">
              <w:rPr>
                <w:rFonts w:ascii="Open Sans" w:hAnsi="Open Sans" w:cs="Tahoma"/>
                <w:sz w:val="20"/>
                <w:szCs w:val="22"/>
              </w:rPr>
              <w:t>Reglamento del Consejo de Administración/Comisiones</w:t>
            </w:r>
          </w:p>
        </w:tc>
        <w:tc>
          <w:tcPr>
            <w:tcW w:w="4158" w:type="dxa"/>
            <w:tcBorders>
              <w:top w:val="single" w:sz="4" w:space="0" w:color="auto"/>
              <w:left w:val="single" w:sz="8" w:space="0" w:color="auto"/>
              <w:bottom w:val="single" w:sz="4" w:space="0" w:color="auto"/>
              <w:right w:val="single" w:sz="8" w:space="0" w:color="000000"/>
            </w:tcBorders>
            <w:shd w:val="clear" w:color="auto" w:fill="auto"/>
            <w:tcMar>
              <w:top w:w="13" w:type="dxa"/>
              <w:left w:w="13" w:type="dxa"/>
              <w:bottom w:w="0" w:type="dxa"/>
              <w:right w:w="13" w:type="dxa"/>
            </w:tcMar>
            <w:vAlign w:val="center"/>
          </w:tcPr>
          <w:p w14:paraId="0EB901F7" w14:textId="77777777" w:rsidR="00256EC8" w:rsidRPr="0084644C" w:rsidRDefault="00256EC8" w:rsidP="00256EC8">
            <w:pPr>
              <w:jc w:val="both"/>
              <w:rPr>
                <w:rFonts w:ascii="Open Sans" w:eastAsia="Arial Unicode MS" w:hAnsi="Open Sans" w:cs="Arial"/>
                <w:sz w:val="22"/>
                <w:szCs w:val="22"/>
              </w:rPr>
            </w:pPr>
          </w:p>
        </w:tc>
      </w:tr>
    </w:tbl>
    <w:p w14:paraId="438ECCEE" w14:textId="77777777" w:rsidR="00256EC8" w:rsidRPr="0084644C" w:rsidRDefault="00256EC8" w:rsidP="00256EC8">
      <w:pPr>
        <w:jc w:val="both"/>
        <w:rPr>
          <w:rFonts w:ascii="Open Sans" w:hAnsi="Open Sans" w:cs="Arial"/>
          <w:b/>
        </w:rPr>
      </w:pPr>
    </w:p>
    <w:p w14:paraId="5858AF82" w14:textId="77777777" w:rsidR="00256EC8" w:rsidRPr="0084644C" w:rsidRDefault="00256EC8" w:rsidP="00256EC8">
      <w:pPr>
        <w:jc w:val="both"/>
        <w:rPr>
          <w:rFonts w:ascii="Open Sans" w:hAnsi="Open Sans" w:cs="Arial"/>
          <w:b/>
        </w:rPr>
      </w:pPr>
    </w:p>
    <w:p w14:paraId="5D520164" w14:textId="77777777" w:rsidR="00256EC8" w:rsidRPr="0084644C" w:rsidRDefault="00256EC8" w:rsidP="00256EC8">
      <w:pPr>
        <w:jc w:val="both"/>
        <w:rPr>
          <w:rFonts w:ascii="Open Sans" w:hAnsi="Open Sans" w:cs="Arial"/>
          <w:b/>
          <w:sz w:val="22"/>
          <w:szCs w:val="22"/>
          <w:u w:val="single"/>
        </w:rPr>
      </w:pPr>
      <w:r w:rsidRPr="0084644C">
        <w:rPr>
          <w:rFonts w:ascii="Open Sans" w:hAnsi="Open Sans" w:cs="Arial"/>
          <w:b/>
          <w:sz w:val="22"/>
          <w:szCs w:val="22"/>
          <w:u w:val="single"/>
        </w:rPr>
        <w:t>2. Tablas de resultados</w:t>
      </w:r>
    </w:p>
    <w:p w14:paraId="2E0C3A23" w14:textId="77777777" w:rsidR="00256EC8" w:rsidRPr="0084644C" w:rsidRDefault="00256EC8" w:rsidP="00256EC8">
      <w:pPr>
        <w:jc w:val="center"/>
        <w:rPr>
          <w:rFonts w:ascii="Open Sans" w:hAnsi="Open Sans" w:cs="Arial"/>
          <w:b/>
          <w:color w:val="FF0000"/>
          <w:sz w:val="22"/>
          <w:szCs w:val="22"/>
        </w:rPr>
      </w:pPr>
    </w:p>
    <w:p w14:paraId="261F1E44" w14:textId="77777777" w:rsidR="00256EC8" w:rsidRPr="0084644C" w:rsidRDefault="00256EC8" w:rsidP="00256EC8">
      <w:pPr>
        <w:jc w:val="center"/>
        <w:rPr>
          <w:rFonts w:ascii="Open Sans" w:hAnsi="Open Sans" w:cs="Arial"/>
          <w:b/>
          <w:color w:val="FF0000"/>
          <w:sz w:val="22"/>
          <w:szCs w:val="22"/>
        </w:rPr>
      </w:pPr>
    </w:p>
    <w:p w14:paraId="12D8F078" w14:textId="77777777" w:rsidR="00256EC8" w:rsidRPr="0084644C" w:rsidRDefault="00256EC8" w:rsidP="00256EC8">
      <w:pPr>
        <w:suppressAutoHyphens/>
        <w:jc w:val="center"/>
        <w:rPr>
          <w:rFonts w:ascii="Open Sans" w:hAnsi="Open Sans" w:cs="Arial"/>
          <w:b/>
          <w:sz w:val="20"/>
          <w:szCs w:val="22"/>
          <w:u w:val="single"/>
          <w:lang w:eastAsia="ar-SA"/>
        </w:rPr>
      </w:pPr>
      <w:r w:rsidRPr="0084644C">
        <w:rPr>
          <w:rFonts w:ascii="Open Sans" w:hAnsi="Open Sans" w:cs="Arial"/>
          <w:b/>
          <w:sz w:val="20"/>
          <w:szCs w:val="22"/>
          <w:u w:val="single"/>
          <w:lang w:eastAsia="ar-SA"/>
        </w:rPr>
        <w:t>TABLA 1: Valoraciones por dimensión</w:t>
      </w:r>
    </w:p>
    <w:p w14:paraId="278DF64D" w14:textId="77777777" w:rsidR="00256EC8" w:rsidRPr="0084644C" w:rsidRDefault="00256EC8" w:rsidP="00256EC8">
      <w:pPr>
        <w:rPr>
          <w:rFonts w:ascii="Open Sans" w:hAnsi="Open Sans" w:cs="Arial"/>
          <w:b/>
        </w:rPr>
      </w:pPr>
    </w:p>
    <w:p w14:paraId="0C2E9F20" w14:textId="7F4E8E5F" w:rsidR="00256EC8" w:rsidRPr="0084644C" w:rsidRDefault="00256EC8" w:rsidP="00256EC8">
      <w:pPr>
        <w:jc w:val="center"/>
        <w:rPr>
          <w:rFonts w:ascii="Open Sans" w:hAnsi="Open Sans"/>
        </w:rPr>
      </w:pPr>
      <w:r>
        <w:rPr>
          <w:rFonts w:ascii="Open Sans" w:hAnsi="Open Sans"/>
          <w:noProof/>
          <w:lang w:val="es-ES"/>
        </w:rPr>
        <w:drawing>
          <wp:inline distT="0" distB="0" distL="0" distR="0" wp14:anchorId="6DAE2F3B" wp14:editId="7B18BE6E">
            <wp:extent cx="3688080" cy="1828800"/>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a:ext>
                      </a:extLst>
                    </a:blip>
                    <a:srcRect/>
                    <a:stretch>
                      <a:fillRect/>
                    </a:stretch>
                  </pic:blipFill>
                  <pic:spPr bwMode="auto">
                    <a:xfrm>
                      <a:off x="0" y="0"/>
                      <a:ext cx="3688080" cy="1828800"/>
                    </a:xfrm>
                    <a:prstGeom prst="rect">
                      <a:avLst/>
                    </a:prstGeom>
                    <a:noFill/>
                    <a:ln>
                      <a:noFill/>
                    </a:ln>
                  </pic:spPr>
                </pic:pic>
              </a:graphicData>
            </a:graphic>
          </wp:inline>
        </w:drawing>
      </w:r>
    </w:p>
    <w:p w14:paraId="739B361C" w14:textId="77777777" w:rsidR="00256EC8" w:rsidRPr="0084644C" w:rsidRDefault="00256EC8" w:rsidP="00256EC8">
      <w:pPr>
        <w:jc w:val="both"/>
        <w:rPr>
          <w:rFonts w:ascii="Open Sans" w:hAnsi="Open Sans"/>
        </w:rPr>
      </w:pPr>
    </w:p>
    <w:p w14:paraId="2477C5D0" w14:textId="77777777" w:rsidR="00256EC8" w:rsidRPr="0084644C" w:rsidRDefault="00256EC8" w:rsidP="00256EC8">
      <w:pPr>
        <w:jc w:val="center"/>
        <w:rPr>
          <w:rFonts w:ascii="Open Sans" w:hAnsi="Open Sans"/>
        </w:rPr>
      </w:pPr>
    </w:p>
    <w:p w14:paraId="21EC76EF" w14:textId="77777777" w:rsidR="00256EC8" w:rsidRPr="0084644C" w:rsidRDefault="00256EC8" w:rsidP="00256EC8">
      <w:pPr>
        <w:jc w:val="center"/>
        <w:rPr>
          <w:rFonts w:ascii="Open Sans" w:hAnsi="Open Sans" w:cs="Arial"/>
          <w:b/>
          <w:sz w:val="22"/>
          <w:szCs w:val="22"/>
          <w:u w:val="single"/>
        </w:rPr>
      </w:pPr>
      <w:r w:rsidRPr="0084644C">
        <w:rPr>
          <w:rFonts w:ascii="Open Sans" w:hAnsi="Open Sans" w:cs="Arial"/>
          <w:b/>
          <w:sz w:val="22"/>
          <w:szCs w:val="22"/>
          <w:u w:val="single"/>
        </w:rPr>
        <w:br w:type="page"/>
      </w:r>
    </w:p>
    <w:p w14:paraId="079B7569" w14:textId="77777777" w:rsidR="00256EC8" w:rsidRPr="0084644C" w:rsidRDefault="00256EC8" w:rsidP="00256EC8">
      <w:pPr>
        <w:jc w:val="both"/>
        <w:rPr>
          <w:rFonts w:ascii="Open Sans" w:hAnsi="Open Sans" w:cs="Arial"/>
          <w:b/>
          <w:sz w:val="22"/>
          <w:szCs w:val="22"/>
        </w:rPr>
      </w:pPr>
      <w:r w:rsidRPr="0084644C">
        <w:rPr>
          <w:rFonts w:ascii="Open Sans" w:hAnsi="Open Sans" w:cs="Arial"/>
          <w:b/>
          <w:sz w:val="22"/>
          <w:szCs w:val="22"/>
          <w:u w:val="single"/>
        </w:rPr>
        <w:t>3. Contexto general</w:t>
      </w:r>
    </w:p>
    <w:p w14:paraId="71F3F4AA" w14:textId="77777777" w:rsidR="00256EC8" w:rsidRPr="0084644C" w:rsidRDefault="00256EC8" w:rsidP="00256EC8">
      <w:pPr>
        <w:jc w:val="both"/>
        <w:rPr>
          <w:rFonts w:ascii="Open Sans" w:hAnsi="Open Sans" w:cs="Arial"/>
          <w:b/>
        </w:rPr>
      </w:pPr>
    </w:p>
    <w:p w14:paraId="36FE0E73" w14:textId="77777777" w:rsidR="00256EC8" w:rsidRPr="0084644C" w:rsidRDefault="00256EC8" w:rsidP="00256EC8">
      <w:pPr>
        <w:autoSpaceDE w:val="0"/>
        <w:autoSpaceDN w:val="0"/>
        <w:adjustRightInd w:val="0"/>
        <w:jc w:val="both"/>
        <w:rPr>
          <w:rFonts w:ascii="Open Sans" w:eastAsia="OpenSans" w:hAnsi="Open Sans" w:cs="Open Sans"/>
          <w:sz w:val="20"/>
          <w:szCs w:val="20"/>
        </w:rPr>
      </w:pPr>
      <w:r w:rsidRPr="0084644C">
        <w:rPr>
          <w:rFonts w:ascii="Open Sans" w:eastAsia="OpenSans" w:hAnsi="Open Sans" w:cs="Open Sans"/>
          <w:sz w:val="20"/>
          <w:szCs w:val="20"/>
        </w:rPr>
        <w:t>Atendiendo a las Cuentas Anuales Consolidadas y el informe de RSC de Abertis, los resultados del ejercicio 2015 han estado marcados por la salida a bolsa del 66% de Cellnex, la antigua Abertis Telecom, con la colocación de acciones a inversores institucionales del 60%. La incorporación de las plusvalías de esta operación han conducido a que el beneficio neto del Grupo alcance los 1.880 millones de euros y ha supuesto una desinversión parcial en el negocio de telecomunicaciones terrestres y la consiguiente pérdida de control por parte de Abertis.</w:t>
      </w:r>
    </w:p>
    <w:p w14:paraId="4B7D32CF" w14:textId="77777777" w:rsidR="00256EC8" w:rsidRPr="0084644C" w:rsidRDefault="00256EC8" w:rsidP="00256EC8">
      <w:pPr>
        <w:autoSpaceDE w:val="0"/>
        <w:autoSpaceDN w:val="0"/>
        <w:adjustRightInd w:val="0"/>
        <w:jc w:val="both"/>
        <w:rPr>
          <w:rFonts w:ascii="Open Sans" w:eastAsia="OpenSans" w:hAnsi="Open Sans" w:cs="Open Sans"/>
          <w:sz w:val="20"/>
          <w:szCs w:val="20"/>
        </w:rPr>
      </w:pPr>
    </w:p>
    <w:p w14:paraId="1D1311A8" w14:textId="77777777" w:rsidR="00256EC8" w:rsidRPr="0084644C" w:rsidRDefault="00256EC8" w:rsidP="00256EC8">
      <w:pPr>
        <w:autoSpaceDE w:val="0"/>
        <w:autoSpaceDN w:val="0"/>
        <w:adjustRightInd w:val="0"/>
        <w:jc w:val="both"/>
        <w:rPr>
          <w:rFonts w:ascii="Open Sans" w:eastAsia="OpenSans" w:hAnsi="Open Sans" w:cs="Open Sans"/>
          <w:sz w:val="20"/>
          <w:szCs w:val="20"/>
        </w:rPr>
      </w:pPr>
      <w:r w:rsidRPr="0084644C">
        <w:rPr>
          <w:rFonts w:ascii="Open Sans" w:eastAsia="OpenSans" w:hAnsi="Open Sans" w:cs="Open Sans"/>
          <w:sz w:val="20"/>
          <w:szCs w:val="20"/>
        </w:rPr>
        <w:t>El Grupo ha cerrado el ejercicio con unos ingresos de explotación de 4.378 millones de euros, que en términos comparables suponen un incremento del 5% respecto a los de 2014. El resultado bruto de explotación (o Ebitda) alcanzó los 2.692 millones de euros. Cabe mencionar que el 70% de los ingresos provienen de fuera de España; en concreto, diferenciando según los sectores de concesiones de autopistas y telecomunicaciones, Abertis ha tenido presencia directa en los siguientes países:</w:t>
      </w:r>
    </w:p>
    <w:p w14:paraId="7F99276E" w14:textId="77777777" w:rsidR="00256EC8" w:rsidRPr="0084644C" w:rsidRDefault="00256EC8" w:rsidP="00256EC8">
      <w:pPr>
        <w:autoSpaceDE w:val="0"/>
        <w:autoSpaceDN w:val="0"/>
        <w:adjustRightInd w:val="0"/>
        <w:rPr>
          <w:rFonts w:ascii="Open Sans" w:eastAsia="OpenSans" w:hAnsi="Open Sans" w:cs="Open Sans"/>
        </w:rPr>
      </w:pPr>
    </w:p>
    <w:p w14:paraId="318A9927" w14:textId="77777777" w:rsidR="00256EC8" w:rsidRPr="0084644C" w:rsidRDefault="00256EC8" w:rsidP="000B70C9">
      <w:pPr>
        <w:pStyle w:val="WW-Predeterminado"/>
        <w:numPr>
          <w:ilvl w:val="0"/>
          <w:numId w:val="69"/>
        </w:numPr>
        <w:tabs>
          <w:tab w:val="clear" w:pos="0"/>
          <w:tab w:val="num" w:pos="720"/>
        </w:tabs>
        <w:rPr>
          <w:rFonts w:ascii="Open Sans" w:hAnsi="Open Sans" w:cs="Open Sans"/>
        </w:rPr>
      </w:pPr>
      <w:r w:rsidRPr="0084644C">
        <w:rPr>
          <w:rFonts w:ascii="Open Sans" w:hAnsi="Open Sans" w:cs="Open Sans"/>
        </w:rPr>
        <w:t>Autopistas: Brasil, Francia, España, Chile, Argentina y Puerto Rico.</w:t>
      </w:r>
    </w:p>
    <w:p w14:paraId="2D22401D" w14:textId="77777777" w:rsidR="00256EC8" w:rsidRPr="0084644C" w:rsidRDefault="00256EC8" w:rsidP="000B70C9">
      <w:pPr>
        <w:pStyle w:val="WW-Predeterminado"/>
        <w:numPr>
          <w:ilvl w:val="0"/>
          <w:numId w:val="69"/>
        </w:numPr>
        <w:tabs>
          <w:tab w:val="clear" w:pos="0"/>
          <w:tab w:val="num" w:pos="720"/>
        </w:tabs>
        <w:jc w:val="both"/>
        <w:rPr>
          <w:rFonts w:ascii="Open Sans" w:eastAsia="OpenSans" w:hAnsi="Open Sans" w:cs="Open Sans"/>
        </w:rPr>
      </w:pPr>
      <w:r w:rsidRPr="0084644C">
        <w:rPr>
          <w:rFonts w:ascii="Open Sans" w:hAnsi="Open Sans" w:cs="Open Sans"/>
        </w:rPr>
        <w:t>Telecomunicaciones satelitales: España y Brasil.</w:t>
      </w:r>
    </w:p>
    <w:p w14:paraId="1602754D" w14:textId="77777777" w:rsidR="00256EC8" w:rsidRPr="0084644C" w:rsidRDefault="00256EC8" w:rsidP="00256EC8">
      <w:pPr>
        <w:pStyle w:val="WW-Predeterminado"/>
        <w:jc w:val="both"/>
        <w:rPr>
          <w:rFonts w:ascii="Open Sans" w:eastAsia="OpenSans" w:hAnsi="Open Sans" w:cs="Open Sans"/>
        </w:rPr>
      </w:pPr>
    </w:p>
    <w:p w14:paraId="775AB980" w14:textId="77777777" w:rsidR="00256EC8" w:rsidRPr="0084644C" w:rsidRDefault="00256EC8" w:rsidP="00256EC8">
      <w:pPr>
        <w:pStyle w:val="WW-Predeterminado"/>
        <w:jc w:val="both"/>
        <w:rPr>
          <w:rFonts w:ascii="Open Sans" w:eastAsia="OpenSans" w:hAnsi="Open Sans" w:cs="Open Sans"/>
        </w:rPr>
      </w:pPr>
      <w:r w:rsidRPr="0084644C">
        <w:rPr>
          <w:rFonts w:ascii="Open Sans" w:eastAsia="OpenSans" w:hAnsi="Open Sans" w:cs="Open Sans"/>
        </w:rPr>
        <w:t>Asimismo, tiene presencia indirecta en otros países europeos como Andorra y Hungría o asiáticos como China, India y Japón, a través de sus proveedores.</w:t>
      </w:r>
    </w:p>
    <w:p w14:paraId="6E8B5BFB" w14:textId="77777777" w:rsidR="00256EC8" w:rsidRPr="0084644C" w:rsidRDefault="00256EC8" w:rsidP="00256EC8">
      <w:pPr>
        <w:pStyle w:val="WW-Predeterminado"/>
        <w:jc w:val="both"/>
        <w:rPr>
          <w:rFonts w:ascii="Open Sans" w:eastAsia="OpenSans" w:hAnsi="Open Sans" w:cs="Open Sans"/>
        </w:rPr>
      </w:pPr>
    </w:p>
    <w:p w14:paraId="7354AF61" w14:textId="77777777" w:rsidR="00256EC8" w:rsidRPr="0084644C" w:rsidRDefault="00256EC8" w:rsidP="00256EC8">
      <w:pPr>
        <w:pStyle w:val="WW-Predeterminado"/>
        <w:jc w:val="both"/>
        <w:rPr>
          <w:rFonts w:ascii="Open Sans" w:eastAsia="OpenSans" w:hAnsi="Open Sans" w:cs="Open Sans"/>
        </w:rPr>
      </w:pPr>
      <w:r w:rsidRPr="0084644C">
        <w:rPr>
          <w:rFonts w:ascii="Open Sans" w:eastAsia="OpenSans" w:hAnsi="Open Sans" w:cs="Open Sans"/>
        </w:rPr>
        <w:t xml:space="preserve">Esta diversificación expone al grupo a diferentes legislaciones y niveles de riesgo, ya sea desde el punto de vista económico, social, medioambiental y/o fiscal. También por el sector en el que opera se encuentra expuesta a riesgos de carácter fiscal. </w:t>
      </w:r>
    </w:p>
    <w:p w14:paraId="12D91E8B" w14:textId="77777777" w:rsidR="00256EC8" w:rsidRPr="0084644C" w:rsidRDefault="00256EC8" w:rsidP="00256EC8">
      <w:pPr>
        <w:pStyle w:val="WW-Predeterminado"/>
        <w:jc w:val="both"/>
        <w:rPr>
          <w:rFonts w:ascii="Open Sans" w:eastAsia="OpenSans" w:hAnsi="Open Sans" w:cs="Open Sans"/>
        </w:rPr>
      </w:pPr>
    </w:p>
    <w:p w14:paraId="2E75692E" w14:textId="77777777" w:rsidR="00256EC8" w:rsidRPr="0084644C" w:rsidRDefault="00256EC8" w:rsidP="00256EC8">
      <w:pPr>
        <w:pStyle w:val="WW-Predeterminado"/>
        <w:jc w:val="both"/>
        <w:rPr>
          <w:rFonts w:ascii="Open Sans" w:eastAsia="OpenSans" w:hAnsi="Open Sans" w:cs="Open Sans"/>
        </w:rPr>
      </w:pPr>
      <w:r w:rsidRPr="0084644C">
        <w:rPr>
          <w:rFonts w:ascii="Open Sans" w:hAnsi="Open Sans"/>
        </w:rPr>
        <w:t>La evasión fiscal en la construcción se manifiesta como un problema significativo en diversos países</w:t>
      </w:r>
      <w:r w:rsidRPr="0084644C">
        <w:rPr>
          <w:rFonts w:ascii="Open Sans" w:hAnsi="Open Sans"/>
          <w:vertAlign w:val="superscript"/>
        </w:rPr>
        <w:footnoteReference w:id="604"/>
      </w:r>
      <w:r w:rsidRPr="0084644C">
        <w:rPr>
          <w:rFonts w:ascii="Open Sans" w:hAnsi="Open Sans"/>
        </w:rPr>
        <w:t>. La agencia tributaria española señala también  al sector de la construcción como uno de los sectores clave en el fraude y evasión fiscal transfronteriza</w:t>
      </w:r>
      <w:r w:rsidRPr="0084644C">
        <w:rPr>
          <w:rFonts w:ascii="Open Sans" w:hAnsi="Open Sans"/>
          <w:vertAlign w:val="superscript"/>
        </w:rPr>
        <w:footnoteReference w:id="605"/>
      </w:r>
      <w:r w:rsidRPr="0084644C">
        <w:rPr>
          <w:rFonts w:ascii="Open Sans" w:hAnsi="Open Sans"/>
        </w:rPr>
        <w:t xml:space="preserve">. Por otro lado el sector de la construcción ligado a la obra civil tiene una íntima relación con la Administración Pública lo que implica una exposición de riesgo elevado en materia de corrupción. </w:t>
      </w:r>
      <w:r w:rsidRPr="0084644C">
        <w:rPr>
          <w:rFonts w:ascii="Open Sans" w:eastAsia="OpenSans" w:hAnsi="Open Sans" w:cs="Open Sans"/>
        </w:rPr>
        <w:t xml:space="preserve">Una de las actividades principales de Abertis es la gestión de autopistas, desarrollándose en un marco de colaboración público-privada con las administraciones públicas de cada país; lo que provoca que dichos riesgos sean más elevados que en otros sectores con menos relación con la Administración. </w:t>
      </w:r>
      <w:r w:rsidRPr="0084644C">
        <w:rPr>
          <w:rFonts w:ascii="Open Sans" w:hAnsi="Open Sans"/>
        </w:rPr>
        <w:t>Abertis tiene operativa en países con riesgo extremo de corrupción de acuerdo con el Índice de percepción de la corrupción de Transparencia Internacional como Libia, Angola y de riesgo alto como China, Colombia, México, Perú o Brasil, entre otros</w:t>
      </w:r>
      <w:r w:rsidRPr="0084644C">
        <w:rPr>
          <w:rFonts w:ascii="Open Sans" w:hAnsi="Open Sans"/>
          <w:vertAlign w:val="superscript"/>
        </w:rPr>
        <w:footnoteReference w:id="606"/>
      </w:r>
      <w:r w:rsidRPr="0084644C">
        <w:rPr>
          <w:rFonts w:ascii="Open Sans" w:hAnsi="Open Sans"/>
        </w:rPr>
        <w:t>.</w:t>
      </w:r>
    </w:p>
    <w:p w14:paraId="6950C367" w14:textId="77777777" w:rsidR="00256EC8" w:rsidRPr="0084644C" w:rsidRDefault="00256EC8" w:rsidP="00256EC8">
      <w:pPr>
        <w:jc w:val="both"/>
        <w:rPr>
          <w:rFonts w:ascii="Open Sans" w:hAnsi="Open Sans"/>
          <w:sz w:val="20"/>
          <w:szCs w:val="20"/>
        </w:rPr>
      </w:pPr>
    </w:p>
    <w:p w14:paraId="5A654160" w14:textId="77777777" w:rsidR="00256EC8" w:rsidRPr="0084644C" w:rsidRDefault="00256EC8" w:rsidP="00256EC8">
      <w:pPr>
        <w:pStyle w:val="WW-Predeterminado"/>
        <w:jc w:val="both"/>
        <w:rPr>
          <w:rFonts w:ascii="Open Sans" w:eastAsia="OpenSans" w:hAnsi="Open Sans" w:cs="Open Sans"/>
        </w:rPr>
      </w:pPr>
      <w:r w:rsidRPr="0084644C">
        <w:rPr>
          <w:rFonts w:ascii="Open Sans" w:eastAsia="OpenSans" w:hAnsi="Open Sans" w:cs="Open Sans"/>
        </w:rPr>
        <w:t>El alcance del informe de RSC indica que los seis países con presencia directa (Brasil, Francia, España, Chile, Argentina y Puerto Rico) totalizan el 97% de la plantilla, lo que supone 14.844 personas trabajadoras (14.844 hombres y 5.824 mujeres). Del 3% restante no se aporta información.</w:t>
      </w:r>
    </w:p>
    <w:p w14:paraId="7989DC7C" w14:textId="77777777" w:rsidR="00256EC8" w:rsidRPr="0084644C" w:rsidRDefault="00256EC8" w:rsidP="00256EC8">
      <w:pPr>
        <w:pStyle w:val="WW-Predeterminado"/>
        <w:jc w:val="both"/>
        <w:rPr>
          <w:rFonts w:ascii="Open Sans" w:eastAsia="OpenSans" w:hAnsi="Open Sans" w:cs="Open Sans"/>
        </w:rPr>
      </w:pPr>
    </w:p>
    <w:p w14:paraId="38DC6E5E" w14:textId="77777777" w:rsidR="00256EC8" w:rsidRPr="0084644C" w:rsidRDefault="00256EC8" w:rsidP="00256EC8">
      <w:pPr>
        <w:pStyle w:val="WW-Predeterminado"/>
        <w:jc w:val="both"/>
        <w:rPr>
          <w:rFonts w:ascii="Open Sans" w:eastAsia="OpenSans" w:hAnsi="Open Sans" w:cs="Open Sans"/>
        </w:rPr>
      </w:pPr>
      <w:r w:rsidRPr="0084644C">
        <w:rPr>
          <w:rFonts w:ascii="Open Sans" w:eastAsia="OpenSans" w:hAnsi="Open Sans" w:cs="Open Sans"/>
        </w:rPr>
        <w:t xml:space="preserve">Si bien 2014 fue el primer año en el que Abertis realizó un análisis de materialidad basado en el estándar GRI 4.0, 2015 ha sido el primer ejercicio completo de trabajo de la Comisión de RSC, destacando su labor en cuanto a la actualización de la política de RSC del Grupo, la revisión de los aspectos materiales y la aprobación del Plan Director de RSC 2016-2019. </w:t>
      </w:r>
    </w:p>
    <w:p w14:paraId="7B82E695" w14:textId="77777777" w:rsidR="00256EC8" w:rsidRPr="0084644C" w:rsidRDefault="00256EC8" w:rsidP="00256EC8">
      <w:pPr>
        <w:pStyle w:val="WW-Predeterminado"/>
        <w:jc w:val="both"/>
        <w:rPr>
          <w:rFonts w:ascii="Open Sans" w:eastAsia="OpenSans" w:hAnsi="Open Sans" w:cs="Open Sans"/>
        </w:rPr>
      </w:pPr>
    </w:p>
    <w:p w14:paraId="67D4EB8C" w14:textId="77777777" w:rsidR="00256EC8" w:rsidRPr="0084644C" w:rsidRDefault="00256EC8" w:rsidP="00256EC8">
      <w:pPr>
        <w:pStyle w:val="WW-Predeterminado"/>
        <w:jc w:val="both"/>
        <w:rPr>
          <w:rFonts w:ascii="Open Sans" w:eastAsia="OpenSans" w:hAnsi="Open Sans" w:cs="Open Sans"/>
        </w:rPr>
      </w:pPr>
      <w:r w:rsidRPr="0084644C">
        <w:rPr>
          <w:rFonts w:ascii="Open Sans" w:eastAsia="OpenSans" w:hAnsi="Open Sans" w:cs="Open Sans"/>
        </w:rPr>
        <w:t>En cuanto al buen gobierno y transparencia, un hecho destacable de 2015 es que ha sido el primer año de implantación del Código Ético.</w:t>
      </w:r>
    </w:p>
    <w:p w14:paraId="6E5D38CB" w14:textId="77777777" w:rsidR="00256EC8" w:rsidRPr="0084644C" w:rsidRDefault="00256EC8" w:rsidP="00256EC8">
      <w:pPr>
        <w:pStyle w:val="WW-Predeterminado"/>
        <w:jc w:val="both"/>
        <w:rPr>
          <w:rFonts w:ascii="Open Sans" w:eastAsia="Calibri" w:hAnsi="Open Sans" w:cs="Verdana"/>
          <w:color w:val="000000"/>
          <w:sz w:val="16"/>
          <w:szCs w:val="16"/>
        </w:rPr>
      </w:pPr>
    </w:p>
    <w:p w14:paraId="0958A2E9" w14:textId="77777777" w:rsidR="00256EC8" w:rsidRPr="0084644C" w:rsidRDefault="00256EC8" w:rsidP="00256EC8">
      <w:pPr>
        <w:pStyle w:val="WW-Predeterminado"/>
        <w:jc w:val="both"/>
        <w:rPr>
          <w:rFonts w:ascii="Open Sans" w:hAnsi="Open Sans" w:cs="Open Sans"/>
        </w:rPr>
      </w:pPr>
      <w:r w:rsidRPr="0084644C">
        <w:rPr>
          <w:rFonts w:ascii="Open Sans" w:hAnsi="Open Sans" w:cs="Open Sans"/>
        </w:rPr>
        <w:t>En materia de fiscalidad, Abertis está adherida al Código de Buenas Prácticas Tributarias</w:t>
      </w:r>
      <w:r w:rsidRPr="0084644C">
        <w:rPr>
          <w:rStyle w:val="Refdenotaalpie"/>
          <w:rFonts w:ascii="Open Sans" w:hAnsi="Open Sans" w:cs="Open Sans"/>
        </w:rPr>
        <w:footnoteReference w:id="607"/>
      </w:r>
      <w:r w:rsidRPr="0084644C">
        <w:rPr>
          <w:rFonts w:ascii="Open Sans" w:hAnsi="Open Sans" w:cs="Open Sans"/>
        </w:rPr>
        <w:t xml:space="preserve"> y en el ejercicio 2015, cotizó en los siguientes índices bursátiles de inversión socialmente responsable:</w:t>
      </w:r>
    </w:p>
    <w:p w14:paraId="286E6C22" w14:textId="77777777" w:rsidR="00256EC8" w:rsidRPr="0084644C" w:rsidRDefault="00256EC8" w:rsidP="00256EC8">
      <w:pPr>
        <w:pStyle w:val="WW-Predeterminado"/>
        <w:rPr>
          <w:rFonts w:ascii="Open Sans" w:hAnsi="Open Sans" w:cs="Open Sans"/>
        </w:rPr>
      </w:pPr>
    </w:p>
    <w:p w14:paraId="2F3723A1" w14:textId="77777777" w:rsidR="00256EC8" w:rsidRPr="0084644C" w:rsidRDefault="00256EC8" w:rsidP="000B70C9">
      <w:pPr>
        <w:pStyle w:val="WW-Predeterminado"/>
        <w:numPr>
          <w:ilvl w:val="0"/>
          <w:numId w:val="70"/>
        </w:numPr>
        <w:rPr>
          <w:rFonts w:ascii="Open Sans" w:hAnsi="Open Sans" w:cs="Open Sans"/>
        </w:rPr>
      </w:pPr>
      <w:r w:rsidRPr="0084644C">
        <w:rPr>
          <w:rFonts w:ascii="Open Sans" w:hAnsi="Open Sans" w:cs="Open Sans"/>
        </w:rPr>
        <w:t>Dow Jones Sustainability Index a nivel mundial (DJSI World).</w:t>
      </w:r>
    </w:p>
    <w:p w14:paraId="715E91B4" w14:textId="77777777" w:rsidR="00256EC8" w:rsidRPr="0084644C" w:rsidRDefault="00256EC8" w:rsidP="000B70C9">
      <w:pPr>
        <w:pStyle w:val="WW-Predeterminado"/>
        <w:numPr>
          <w:ilvl w:val="0"/>
          <w:numId w:val="70"/>
        </w:numPr>
        <w:rPr>
          <w:rFonts w:ascii="Open Sans" w:hAnsi="Open Sans" w:cs="Open Sans"/>
        </w:rPr>
      </w:pPr>
      <w:r w:rsidRPr="0084644C">
        <w:rPr>
          <w:rFonts w:ascii="Open Sans" w:hAnsi="Open Sans" w:cs="Open Sans"/>
        </w:rPr>
        <w:t>Mención en el Sustainability Yearbook 2015 de ROBECO SAM.</w:t>
      </w:r>
    </w:p>
    <w:p w14:paraId="5408ABC3" w14:textId="77777777" w:rsidR="00256EC8" w:rsidRPr="0084644C" w:rsidRDefault="00256EC8" w:rsidP="00256EC8">
      <w:pPr>
        <w:pStyle w:val="WW-Predeterminado"/>
        <w:jc w:val="both"/>
        <w:rPr>
          <w:rFonts w:ascii="Open Sans" w:hAnsi="Open Sans" w:cs="Open Sans"/>
        </w:rPr>
      </w:pPr>
    </w:p>
    <w:p w14:paraId="6BB23DF7" w14:textId="77777777" w:rsidR="00256EC8" w:rsidRPr="0084644C" w:rsidRDefault="00256EC8" w:rsidP="00256EC8">
      <w:pPr>
        <w:jc w:val="both"/>
        <w:rPr>
          <w:rFonts w:ascii="Open Sans" w:hAnsi="Open Sans"/>
          <w:sz w:val="22"/>
        </w:rPr>
      </w:pPr>
    </w:p>
    <w:p w14:paraId="30001CAD" w14:textId="77777777" w:rsidR="00256EC8" w:rsidRPr="0084644C" w:rsidRDefault="00256EC8" w:rsidP="00256EC8">
      <w:pPr>
        <w:jc w:val="both"/>
        <w:rPr>
          <w:rFonts w:ascii="Open Sans" w:hAnsi="Open Sans"/>
          <w:sz w:val="22"/>
        </w:rPr>
      </w:pPr>
    </w:p>
    <w:p w14:paraId="0F58DAB7" w14:textId="77777777" w:rsidR="00256EC8" w:rsidRPr="0084644C" w:rsidRDefault="00256EC8" w:rsidP="00256EC8">
      <w:pPr>
        <w:jc w:val="both"/>
        <w:rPr>
          <w:rFonts w:ascii="Open Sans" w:hAnsi="Open Sans" w:cs="Arial"/>
          <w:b/>
          <w:sz w:val="22"/>
          <w:szCs w:val="22"/>
          <w:u w:val="single"/>
        </w:rPr>
      </w:pPr>
      <w:r w:rsidRPr="0084644C">
        <w:rPr>
          <w:rFonts w:ascii="Open Sans" w:hAnsi="Open Sans" w:cs="Arial"/>
          <w:b/>
          <w:sz w:val="22"/>
          <w:szCs w:val="22"/>
          <w:u w:val="single"/>
        </w:rPr>
        <w:t>4. Análisis</w:t>
      </w:r>
    </w:p>
    <w:p w14:paraId="5ECB44FE" w14:textId="77777777" w:rsidR="00256EC8" w:rsidRPr="0084644C" w:rsidRDefault="00256EC8" w:rsidP="00256EC8">
      <w:pPr>
        <w:jc w:val="both"/>
        <w:rPr>
          <w:rFonts w:ascii="Open Sans" w:hAnsi="Open Sans" w:cs="Arial"/>
          <w:b/>
        </w:rPr>
      </w:pPr>
    </w:p>
    <w:p w14:paraId="3722AC0D"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Para el análisis de la fiscalidad de Abertis, desde el punto de vista de la responsabilidad social, no sólo es necesario detenerse en la existencia de una política fiscal propia o el cumplimiento de las obligaciones fiscales del grupo, sino que también se han considerado aspectos como la presencia territorial en paraísos y nichos fiscales tanto de la matriz, como de las filiales y empresas participadas. Carecería de rigor aplicar el apelativo de “empresa responsable” a aquella que practicara estrategias de elusión fiscal que, no siendo ilegales en sí mismas, pondría de manifiesto una incoherencia con el concepto de responsabilidad, al no estar contribuyendo a través del pago de impuestos, al país en el que desarrolla su actividad.</w:t>
      </w:r>
    </w:p>
    <w:p w14:paraId="482F3827"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 xml:space="preserve"> </w:t>
      </w:r>
    </w:p>
    <w:p w14:paraId="568A0A4E" w14:textId="77777777" w:rsidR="00256EC8" w:rsidRPr="0084644C" w:rsidRDefault="00256EC8" w:rsidP="00256EC8">
      <w:pPr>
        <w:jc w:val="both"/>
        <w:rPr>
          <w:rFonts w:ascii="Open Sans" w:hAnsi="Open Sans" w:cs="Open Sans"/>
          <w:sz w:val="20"/>
          <w:szCs w:val="20"/>
        </w:rPr>
      </w:pPr>
      <w:r w:rsidRPr="0084644C">
        <w:rPr>
          <w:rFonts w:ascii="Open Sans" w:hAnsi="Open Sans" w:cs="Arial"/>
          <w:sz w:val="20"/>
          <w:szCs w:val="20"/>
        </w:rPr>
        <w:t>A pesar de que en su informe de RSC, Abertis apunta que su política fiscal “</w:t>
      </w:r>
      <w:r w:rsidRPr="0084644C">
        <w:rPr>
          <w:rFonts w:ascii="Open Sans" w:hAnsi="Open Sans" w:cs="Open Sans"/>
          <w:i/>
          <w:sz w:val="20"/>
          <w:szCs w:val="20"/>
        </w:rPr>
        <w:t>se basa en los principios de transparencia y aplicación de la ley tributaria de forma responsable y prudente</w:t>
      </w:r>
      <w:r w:rsidRPr="0084644C">
        <w:rPr>
          <w:rFonts w:ascii="Open Sans" w:hAnsi="Open Sans" w:cs="Open Sans"/>
          <w:sz w:val="20"/>
          <w:szCs w:val="20"/>
        </w:rPr>
        <w:t>” y de estar adherida al Código de Buenas Prácticas Tributarias de la Agencia Tributaria española, la empresa no se posiciona respecto a la presencia en paraísos o nichos fiscales.</w:t>
      </w:r>
    </w:p>
    <w:p w14:paraId="08BA3FE3" w14:textId="77777777" w:rsidR="00256EC8" w:rsidRPr="0084644C" w:rsidRDefault="00256EC8" w:rsidP="00256EC8">
      <w:pPr>
        <w:jc w:val="both"/>
        <w:rPr>
          <w:rFonts w:ascii="Open Sans" w:hAnsi="Open Sans" w:cs="Open Sans"/>
          <w:sz w:val="20"/>
          <w:szCs w:val="20"/>
        </w:rPr>
      </w:pPr>
    </w:p>
    <w:p w14:paraId="6C318A01"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 xml:space="preserve">Según la información aportada en el Anexo I de las Cuentas Anuales sobre sociedades dependientes, Abertis cuenta con trece sociedades ubicadas en paraísos o nichos fiscales según la metodología del Observatorio de RSC. </w:t>
      </w:r>
      <w:r w:rsidRPr="0084644C">
        <w:rPr>
          <w:rFonts w:ascii="Open Sans" w:hAnsi="Open Sans" w:cs="Arial"/>
          <w:bCs/>
          <w:sz w:val="20"/>
          <w:szCs w:val="20"/>
        </w:rPr>
        <w:t xml:space="preserve">Entre estas trece sociedades </w:t>
      </w:r>
      <w:r w:rsidRPr="0084644C">
        <w:rPr>
          <w:rFonts w:ascii="Open Sans" w:hAnsi="Open Sans" w:cs="Open Sans"/>
          <w:sz w:val="20"/>
          <w:szCs w:val="20"/>
        </w:rPr>
        <w:t>ubicadas en paraísos o nichos fiscales se considera que existe un grupo de 9 empresas que ofrecen dudas en cuanto a que su actividad tenga que ver con la operativa propia de negocio, puesto que tanto la declaración de la actividad (no operativa) como su ubicación generan dudas sobre su posible utilización dentro de una estrategia fiscal planificada y que no son susceptibles de resolverse al no aportar la empresa mayor información.</w:t>
      </w:r>
    </w:p>
    <w:p w14:paraId="43883E73" w14:textId="77777777" w:rsidR="00256EC8" w:rsidRPr="0084644C" w:rsidRDefault="00256EC8" w:rsidP="00256EC8">
      <w:pPr>
        <w:jc w:val="both"/>
        <w:rPr>
          <w:rFonts w:ascii="Open Sans" w:hAnsi="Open Sans" w:cs="Open Sans"/>
          <w:sz w:val="20"/>
          <w:szCs w:val="20"/>
        </w:rPr>
      </w:pPr>
    </w:p>
    <w:p w14:paraId="5CD0A5CE"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En Países Bajos cuenta con 2 filiales, “Abertis Infraestructuras Finance, B.V.” y  “Abertis Netherlands B.V.” cuya actividad declarada es servicios financieros y tenencia de acciones, respectivamente. En el caso de las empresas domiciliadas en EEUU (7), tras la verificación de sus datos en fuentes como opencorporates.com, se encuentran al menos en dos domicilios, siendo uno de ellos el de actividad y el otro Delaware, no teniendo aparentemente actividad operativa en este emplazamiento. Estas son: Consultek Inc., Abertis USA Corp., TBI Overseas (Bolivia) LLC, TBI Overseas (UK) LLC.</w:t>
      </w:r>
    </w:p>
    <w:p w14:paraId="4B75BC7B" w14:textId="77777777" w:rsidR="00256EC8" w:rsidRPr="0084644C" w:rsidRDefault="00256EC8" w:rsidP="00256EC8">
      <w:pPr>
        <w:jc w:val="both"/>
        <w:rPr>
          <w:rFonts w:ascii="Open Sans" w:hAnsi="Open Sans" w:cs="Open Sans"/>
          <w:sz w:val="20"/>
          <w:szCs w:val="20"/>
        </w:rPr>
      </w:pPr>
    </w:p>
    <w:p w14:paraId="7ECCA30E"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De estas trece compañías, once están participadas por Abertis al 100% y en las otras cinco ejerce una participación superior al 50%.</w:t>
      </w:r>
    </w:p>
    <w:p w14:paraId="0B985144" w14:textId="77777777" w:rsidR="00256EC8" w:rsidRPr="0084644C" w:rsidRDefault="00256EC8" w:rsidP="00256EC8">
      <w:pPr>
        <w:jc w:val="both"/>
        <w:rPr>
          <w:rFonts w:ascii="Open Sans" w:hAnsi="Open Sans" w:cs="Open Sans"/>
          <w:sz w:val="20"/>
          <w:szCs w:val="20"/>
        </w:rPr>
      </w:pPr>
    </w:p>
    <w:p w14:paraId="6D7256DF"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De las empresas recogidas en la siguiente tabla, todas ellas están domiciliadas en nichos fiscales, al respecto de los cuales la Agencia Tributaria indica: “</w:t>
      </w:r>
      <w:r w:rsidRPr="0084644C">
        <w:rPr>
          <w:rFonts w:ascii="Open Sans" w:hAnsi="Open Sans" w:cs="Open Sans"/>
          <w:i/>
          <w:sz w:val="20"/>
          <w:szCs w:val="20"/>
        </w:rPr>
        <w:t>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84644C">
        <w:rPr>
          <w:rFonts w:ascii="Open Sans" w:hAnsi="Open Sans" w:cs="Open Sans"/>
          <w:sz w:val="20"/>
          <w:szCs w:val="20"/>
        </w:rPr>
        <w:t>”.</w:t>
      </w:r>
    </w:p>
    <w:p w14:paraId="567B998E" w14:textId="77777777" w:rsidR="00256EC8" w:rsidRPr="0084644C" w:rsidRDefault="00256EC8" w:rsidP="00256EC8">
      <w:pPr>
        <w:jc w:val="both"/>
        <w:rPr>
          <w:rFonts w:ascii="Open Sans" w:hAnsi="Open Sans" w:cs="Open Sans"/>
          <w:sz w:val="20"/>
          <w:szCs w:val="20"/>
        </w:rPr>
      </w:pPr>
    </w:p>
    <w:p w14:paraId="5EBEAFD4" w14:textId="77777777" w:rsidR="00256EC8" w:rsidRPr="0084644C" w:rsidRDefault="00256EC8" w:rsidP="00256EC8">
      <w:pPr>
        <w:jc w:val="both"/>
        <w:rPr>
          <w:rFonts w:ascii="Open Sans" w:hAnsi="Open Sans" w:cs="Open Sans"/>
          <w:sz w:val="20"/>
          <w:szCs w:val="20"/>
        </w:rPr>
      </w:pPr>
    </w:p>
    <w:tbl>
      <w:tblPr>
        <w:tblW w:w="8510" w:type="dxa"/>
        <w:tblInd w:w="65" w:type="dxa"/>
        <w:tblLayout w:type="fixed"/>
        <w:tblCellMar>
          <w:left w:w="70" w:type="dxa"/>
          <w:right w:w="70" w:type="dxa"/>
        </w:tblCellMar>
        <w:tblLook w:val="04A0" w:firstRow="1" w:lastRow="0" w:firstColumn="1" w:lastColumn="0" w:noHBand="0" w:noVBand="1"/>
      </w:tblPr>
      <w:tblGrid>
        <w:gridCol w:w="3124"/>
        <w:gridCol w:w="2693"/>
        <w:gridCol w:w="2693"/>
      </w:tblGrid>
      <w:tr w:rsidR="00256EC8" w:rsidRPr="0084644C" w14:paraId="2A431037" w14:textId="77777777" w:rsidTr="00256EC8">
        <w:trPr>
          <w:trHeight w:val="298"/>
        </w:trPr>
        <w:tc>
          <w:tcPr>
            <w:tcW w:w="3124" w:type="dxa"/>
            <w:tcBorders>
              <w:top w:val="single" w:sz="4" w:space="0" w:color="auto"/>
              <w:left w:val="single" w:sz="4" w:space="0" w:color="auto"/>
              <w:bottom w:val="single" w:sz="4" w:space="0" w:color="auto"/>
              <w:right w:val="single" w:sz="4" w:space="0" w:color="auto"/>
            </w:tcBorders>
            <w:shd w:val="clear" w:color="000000" w:fill="C0C0C0"/>
            <w:noWrap/>
            <w:hideMark/>
          </w:tcPr>
          <w:p w14:paraId="546C50A6" w14:textId="77777777" w:rsidR="00256EC8" w:rsidRPr="0084644C" w:rsidRDefault="00256EC8" w:rsidP="00256EC8">
            <w:pPr>
              <w:jc w:val="center"/>
              <w:rPr>
                <w:rFonts w:ascii="Open Sans" w:hAnsi="Open Sans" w:cs="Arial"/>
                <w:b/>
                <w:bCs/>
                <w:color w:val="000000"/>
                <w:sz w:val="20"/>
                <w:szCs w:val="20"/>
              </w:rPr>
            </w:pPr>
            <w:r w:rsidRPr="0084644C">
              <w:rPr>
                <w:rFonts w:ascii="Open Sans" w:hAnsi="Open Sans" w:cs="Arial"/>
                <w:b/>
                <w:bCs/>
                <w:color w:val="000000"/>
                <w:sz w:val="20"/>
                <w:szCs w:val="20"/>
              </w:rPr>
              <w:t>Nombre de la Sociedad</w:t>
            </w:r>
          </w:p>
        </w:tc>
        <w:tc>
          <w:tcPr>
            <w:tcW w:w="2693" w:type="dxa"/>
            <w:tcBorders>
              <w:top w:val="single" w:sz="4" w:space="0" w:color="auto"/>
              <w:left w:val="nil"/>
              <w:bottom w:val="single" w:sz="4" w:space="0" w:color="auto"/>
              <w:right w:val="single" w:sz="4" w:space="0" w:color="auto"/>
            </w:tcBorders>
            <w:shd w:val="clear" w:color="000000" w:fill="C0C0C0"/>
            <w:noWrap/>
            <w:hideMark/>
          </w:tcPr>
          <w:p w14:paraId="5A5EDB14" w14:textId="77777777" w:rsidR="00256EC8" w:rsidRPr="0084644C" w:rsidRDefault="00256EC8" w:rsidP="00256EC8">
            <w:pPr>
              <w:jc w:val="center"/>
              <w:rPr>
                <w:rFonts w:ascii="Open Sans" w:hAnsi="Open Sans" w:cs="Arial"/>
                <w:b/>
                <w:bCs/>
                <w:color w:val="000000"/>
                <w:sz w:val="20"/>
                <w:szCs w:val="20"/>
              </w:rPr>
            </w:pPr>
            <w:r w:rsidRPr="0084644C">
              <w:rPr>
                <w:rFonts w:ascii="Open Sans" w:hAnsi="Open Sans" w:cs="Arial"/>
                <w:b/>
                <w:bCs/>
                <w:color w:val="000000"/>
                <w:sz w:val="20"/>
                <w:szCs w:val="20"/>
              </w:rPr>
              <w:t>Jurisdicción</w:t>
            </w:r>
          </w:p>
        </w:tc>
        <w:tc>
          <w:tcPr>
            <w:tcW w:w="2693" w:type="dxa"/>
            <w:tcBorders>
              <w:top w:val="single" w:sz="4" w:space="0" w:color="auto"/>
              <w:left w:val="nil"/>
              <w:bottom w:val="single" w:sz="4" w:space="0" w:color="auto"/>
              <w:right w:val="single" w:sz="4" w:space="0" w:color="auto"/>
            </w:tcBorders>
            <w:shd w:val="clear" w:color="000000" w:fill="C0C0C0"/>
            <w:noWrap/>
            <w:hideMark/>
          </w:tcPr>
          <w:p w14:paraId="040761E4" w14:textId="77777777" w:rsidR="00256EC8" w:rsidRPr="0084644C" w:rsidRDefault="00256EC8" w:rsidP="00256EC8">
            <w:pPr>
              <w:jc w:val="center"/>
              <w:rPr>
                <w:rFonts w:ascii="Open Sans" w:hAnsi="Open Sans" w:cs="Arial"/>
                <w:b/>
                <w:bCs/>
                <w:color w:val="000000"/>
                <w:sz w:val="20"/>
                <w:szCs w:val="20"/>
              </w:rPr>
            </w:pPr>
            <w:r w:rsidRPr="0084644C">
              <w:rPr>
                <w:rFonts w:ascii="Open Sans" w:hAnsi="Open Sans" w:cs="Arial"/>
                <w:b/>
                <w:bCs/>
                <w:color w:val="000000"/>
                <w:sz w:val="20"/>
                <w:szCs w:val="20"/>
              </w:rPr>
              <w:t>Actividad</w:t>
            </w:r>
          </w:p>
        </w:tc>
      </w:tr>
      <w:tr w:rsidR="00256EC8" w:rsidRPr="0084644C" w14:paraId="2CDD78C5"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69D1E425"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Abertis Infraestructuras Finance, B.V.</w:t>
            </w:r>
          </w:p>
        </w:tc>
        <w:tc>
          <w:tcPr>
            <w:tcW w:w="2693" w:type="dxa"/>
            <w:tcBorders>
              <w:top w:val="nil"/>
              <w:left w:val="nil"/>
              <w:bottom w:val="single" w:sz="4" w:space="0" w:color="auto"/>
              <w:right w:val="single" w:sz="4" w:space="0" w:color="auto"/>
            </w:tcBorders>
            <w:shd w:val="clear" w:color="auto" w:fill="auto"/>
            <w:vAlign w:val="bottom"/>
            <w:hideMark/>
          </w:tcPr>
          <w:p w14:paraId="342A5B4D"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Países Bajos</w:t>
            </w:r>
          </w:p>
        </w:tc>
        <w:tc>
          <w:tcPr>
            <w:tcW w:w="2693" w:type="dxa"/>
            <w:tcBorders>
              <w:top w:val="nil"/>
              <w:left w:val="nil"/>
              <w:bottom w:val="single" w:sz="4" w:space="0" w:color="auto"/>
              <w:right w:val="single" w:sz="4" w:space="0" w:color="auto"/>
            </w:tcBorders>
            <w:shd w:val="clear" w:color="auto" w:fill="auto"/>
            <w:vAlign w:val="bottom"/>
            <w:hideMark/>
          </w:tcPr>
          <w:p w14:paraId="57FD561D"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Servicios financieros</w:t>
            </w:r>
          </w:p>
        </w:tc>
      </w:tr>
      <w:tr w:rsidR="00256EC8" w:rsidRPr="0084644C" w14:paraId="7BB1E666"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476ED610"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Autopistas de Puerto Rico y Compañía, S.E. (APR)</w:t>
            </w:r>
          </w:p>
        </w:tc>
        <w:tc>
          <w:tcPr>
            <w:tcW w:w="2693" w:type="dxa"/>
            <w:tcBorders>
              <w:top w:val="nil"/>
              <w:left w:val="nil"/>
              <w:bottom w:val="single" w:sz="4" w:space="0" w:color="auto"/>
              <w:right w:val="single" w:sz="4" w:space="0" w:color="auto"/>
            </w:tcBorders>
            <w:shd w:val="clear" w:color="auto" w:fill="auto"/>
            <w:vAlign w:val="bottom"/>
            <w:hideMark/>
          </w:tcPr>
          <w:p w14:paraId="0216FC02"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Puerto Rico</w:t>
            </w:r>
          </w:p>
        </w:tc>
        <w:tc>
          <w:tcPr>
            <w:tcW w:w="2693" w:type="dxa"/>
            <w:tcBorders>
              <w:top w:val="nil"/>
              <w:left w:val="nil"/>
              <w:bottom w:val="single" w:sz="4" w:space="0" w:color="auto"/>
              <w:right w:val="single" w:sz="4" w:space="0" w:color="auto"/>
            </w:tcBorders>
            <w:shd w:val="clear" w:color="auto" w:fill="auto"/>
            <w:vAlign w:val="bottom"/>
            <w:hideMark/>
          </w:tcPr>
          <w:p w14:paraId="46CE842F"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Concesionaria de infraestructuras</w:t>
            </w:r>
          </w:p>
        </w:tc>
      </w:tr>
      <w:tr w:rsidR="00256EC8" w:rsidRPr="0084644C" w14:paraId="38F1722B"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72E0DA67"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Autopistas Metropolitanas de Puerto Rico</w:t>
            </w:r>
          </w:p>
        </w:tc>
        <w:tc>
          <w:tcPr>
            <w:tcW w:w="2693" w:type="dxa"/>
            <w:tcBorders>
              <w:top w:val="nil"/>
              <w:left w:val="nil"/>
              <w:bottom w:val="single" w:sz="4" w:space="0" w:color="auto"/>
              <w:right w:val="single" w:sz="4" w:space="0" w:color="auto"/>
            </w:tcBorders>
            <w:shd w:val="clear" w:color="auto" w:fill="auto"/>
            <w:vAlign w:val="bottom"/>
            <w:hideMark/>
          </w:tcPr>
          <w:p w14:paraId="37278B4B"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Puerto Rico</w:t>
            </w:r>
          </w:p>
        </w:tc>
        <w:tc>
          <w:tcPr>
            <w:tcW w:w="2693" w:type="dxa"/>
            <w:tcBorders>
              <w:top w:val="nil"/>
              <w:left w:val="nil"/>
              <w:bottom w:val="single" w:sz="4" w:space="0" w:color="auto"/>
              <w:right w:val="single" w:sz="4" w:space="0" w:color="auto"/>
            </w:tcBorders>
            <w:shd w:val="clear" w:color="auto" w:fill="auto"/>
            <w:vAlign w:val="bottom"/>
            <w:hideMark/>
          </w:tcPr>
          <w:p w14:paraId="0317890D"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Concesionaria de autopistas de peaje</w:t>
            </w:r>
          </w:p>
        </w:tc>
      </w:tr>
      <w:tr w:rsidR="00256EC8" w:rsidRPr="0084644C" w14:paraId="2E4D9216"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21B5A92D"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Sanef-its Operations Ireland Ltd</w:t>
            </w:r>
          </w:p>
        </w:tc>
        <w:tc>
          <w:tcPr>
            <w:tcW w:w="2693" w:type="dxa"/>
            <w:tcBorders>
              <w:top w:val="nil"/>
              <w:left w:val="nil"/>
              <w:bottom w:val="single" w:sz="4" w:space="0" w:color="auto"/>
              <w:right w:val="single" w:sz="4" w:space="0" w:color="auto"/>
            </w:tcBorders>
            <w:shd w:val="clear" w:color="auto" w:fill="auto"/>
            <w:vAlign w:val="bottom"/>
            <w:hideMark/>
          </w:tcPr>
          <w:p w14:paraId="5127EDC0"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Irlanda</w:t>
            </w:r>
          </w:p>
        </w:tc>
        <w:tc>
          <w:tcPr>
            <w:tcW w:w="2693" w:type="dxa"/>
            <w:tcBorders>
              <w:top w:val="nil"/>
              <w:left w:val="nil"/>
              <w:bottom w:val="single" w:sz="4" w:space="0" w:color="auto"/>
              <w:right w:val="single" w:sz="4" w:space="0" w:color="auto"/>
            </w:tcBorders>
            <w:shd w:val="clear" w:color="auto" w:fill="auto"/>
            <w:vAlign w:val="bottom"/>
            <w:hideMark/>
          </w:tcPr>
          <w:p w14:paraId="03D8C6C1"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Operador de peajes</w:t>
            </w:r>
          </w:p>
        </w:tc>
      </w:tr>
      <w:tr w:rsidR="00256EC8" w:rsidRPr="0084644C" w14:paraId="55B201FC"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70EA23C4"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Sanef its technologies America</w:t>
            </w:r>
          </w:p>
        </w:tc>
        <w:tc>
          <w:tcPr>
            <w:tcW w:w="2693" w:type="dxa"/>
            <w:tcBorders>
              <w:top w:val="nil"/>
              <w:left w:val="nil"/>
              <w:bottom w:val="single" w:sz="4" w:space="0" w:color="auto"/>
              <w:right w:val="single" w:sz="4" w:space="0" w:color="auto"/>
            </w:tcBorders>
            <w:shd w:val="clear" w:color="auto" w:fill="auto"/>
            <w:vAlign w:val="bottom"/>
            <w:hideMark/>
          </w:tcPr>
          <w:p w14:paraId="616B04DF"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61A6C3CA"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Proveedor de sistemas de peaje</w:t>
            </w:r>
          </w:p>
        </w:tc>
      </w:tr>
      <w:tr w:rsidR="00256EC8" w:rsidRPr="0084644C" w14:paraId="7CF3573D"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29030614"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Sanef its technologies Caribe, Inc.</w:t>
            </w:r>
          </w:p>
        </w:tc>
        <w:tc>
          <w:tcPr>
            <w:tcW w:w="2693" w:type="dxa"/>
            <w:tcBorders>
              <w:top w:val="nil"/>
              <w:left w:val="nil"/>
              <w:bottom w:val="single" w:sz="4" w:space="0" w:color="auto"/>
              <w:right w:val="single" w:sz="4" w:space="0" w:color="auto"/>
            </w:tcBorders>
            <w:shd w:val="clear" w:color="auto" w:fill="auto"/>
            <w:vAlign w:val="bottom"/>
            <w:hideMark/>
          </w:tcPr>
          <w:p w14:paraId="740CE576"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2DCBC28D"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Operadora de sistemas de peaje</w:t>
            </w:r>
          </w:p>
        </w:tc>
      </w:tr>
      <w:tr w:rsidR="00256EC8" w:rsidRPr="0084644C" w14:paraId="73217BE6"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1E66ABF5"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Sanef-its technologies Ireland Limited</w:t>
            </w:r>
          </w:p>
        </w:tc>
        <w:tc>
          <w:tcPr>
            <w:tcW w:w="2693" w:type="dxa"/>
            <w:tcBorders>
              <w:top w:val="nil"/>
              <w:left w:val="nil"/>
              <w:bottom w:val="single" w:sz="4" w:space="0" w:color="auto"/>
              <w:right w:val="single" w:sz="4" w:space="0" w:color="auto"/>
            </w:tcBorders>
            <w:shd w:val="clear" w:color="auto" w:fill="auto"/>
            <w:vAlign w:val="bottom"/>
            <w:hideMark/>
          </w:tcPr>
          <w:p w14:paraId="63DFA5F3"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Irlanda</w:t>
            </w:r>
          </w:p>
        </w:tc>
        <w:tc>
          <w:tcPr>
            <w:tcW w:w="2693" w:type="dxa"/>
            <w:tcBorders>
              <w:top w:val="nil"/>
              <w:left w:val="nil"/>
              <w:bottom w:val="single" w:sz="4" w:space="0" w:color="auto"/>
              <w:right w:val="single" w:sz="4" w:space="0" w:color="auto"/>
            </w:tcBorders>
            <w:shd w:val="clear" w:color="auto" w:fill="auto"/>
            <w:vAlign w:val="bottom"/>
            <w:hideMark/>
          </w:tcPr>
          <w:p w14:paraId="15EE5437"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Mantenimiento de sistemas de peaje</w:t>
            </w:r>
          </w:p>
        </w:tc>
      </w:tr>
      <w:tr w:rsidR="00256EC8" w:rsidRPr="0084644C" w14:paraId="300F9FF4"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669B100D"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Abertis Netherlands B.V.</w:t>
            </w:r>
          </w:p>
        </w:tc>
        <w:tc>
          <w:tcPr>
            <w:tcW w:w="2693" w:type="dxa"/>
            <w:tcBorders>
              <w:top w:val="nil"/>
              <w:left w:val="nil"/>
              <w:bottom w:val="single" w:sz="4" w:space="0" w:color="auto"/>
              <w:right w:val="single" w:sz="4" w:space="0" w:color="auto"/>
            </w:tcBorders>
            <w:shd w:val="clear" w:color="auto" w:fill="auto"/>
            <w:vAlign w:val="bottom"/>
            <w:hideMark/>
          </w:tcPr>
          <w:p w14:paraId="65C3B955"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Países Bajos</w:t>
            </w:r>
          </w:p>
        </w:tc>
        <w:tc>
          <w:tcPr>
            <w:tcW w:w="2693" w:type="dxa"/>
            <w:tcBorders>
              <w:top w:val="nil"/>
              <w:left w:val="nil"/>
              <w:bottom w:val="single" w:sz="4" w:space="0" w:color="auto"/>
              <w:right w:val="single" w:sz="4" w:space="0" w:color="auto"/>
            </w:tcBorders>
            <w:shd w:val="clear" w:color="auto" w:fill="auto"/>
            <w:vAlign w:val="bottom"/>
            <w:hideMark/>
          </w:tcPr>
          <w:p w14:paraId="20A9E053"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Tenencia de acciones</w:t>
            </w:r>
          </w:p>
        </w:tc>
      </w:tr>
      <w:tr w:rsidR="00256EC8" w:rsidRPr="0084644C" w14:paraId="41128D9F" w14:textId="77777777" w:rsidTr="00256EC8">
        <w:trPr>
          <w:trHeight w:val="240"/>
        </w:trPr>
        <w:tc>
          <w:tcPr>
            <w:tcW w:w="3124" w:type="dxa"/>
            <w:tcBorders>
              <w:top w:val="nil"/>
              <w:left w:val="single" w:sz="4" w:space="0" w:color="auto"/>
              <w:bottom w:val="single" w:sz="4" w:space="0" w:color="auto"/>
              <w:right w:val="single" w:sz="4" w:space="0" w:color="auto"/>
            </w:tcBorders>
            <w:shd w:val="clear" w:color="000000" w:fill="FFFFFF"/>
            <w:hideMark/>
          </w:tcPr>
          <w:p w14:paraId="62781846"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TBI (US) Inc</w:t>
            </w:r>
          </w:p>
        </w:tc>
        <w:tc>
          <w:tcPr>
            <w:tcW w:w="2693" w:type="dxa"/>
            <w:tcBorders>
              <w:top w:val="nil"/>
              <w:left w:val="nil"/>
              <w:bottom w:val="single" w:sz="4" w:space="0" w:color="auto"/>
              <w:right w:val="single" w:sz="4" w:space="0" w:color="auto"/>
            </w:tcBorders>
            <w:shd w:val="clear" w:color="auto" w:fill="auto"/>
            <w:vAlign w:val="bottom"/>
            <w:hideMark/>
          </w:tcPr>
          <w:p w14:paraId="34481DF5"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4DB20264"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Tenencia de acciones</w:t>
            </w:r>
          </w:p>
        </w:tc>
      </w:tr>
      <w:tr w:rsidR="00256EC8" w:rsidRPr="0084644C" w14:paraId="7A039420"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7FCFD7B0"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Consultek Inc.</w:t>
            </w:r>
          </w:p>
        </w:tc>
        <w:tc>
          <w:tcPr>
            <w:tcW w:w="2693" w:type="dxa"/>
            <w:tcBorders>
              <w:top w:val="nil"/>
              <w:left w:val="nil"/>
              <w:bottom w:val="single" w:sz="4" w:space="0" w:color="auto"/>
              <w:right w:val="single" w:sz="4" w:space="0" w:color="auto"/>
            </w:tcBorders>
            <w:shd w:val="clear" w:color="auto" w:fill="auto"/>
            <w:hideMark/>
          </w:tcPr>
          <w:p w14:paraId="63926D5A"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0379FDA0"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Servicios de consultoría técnica</w:t>
            </w:r>
          </w:p>
        </w:tc>
      </w:tr>
      <w:tr w:rsidR="00256EC8" w:rsidRPr="0084644C" w14:paraId="52A7BF15"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765687E2"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Abertis USA Corp.</w:t>
            </w:r>
          </w:p>
        </w:tc>
        <w:tc>
          <w:tcPr>
            <w:tcW w:w="2693" w:type="dxa"/>
            <w:tcBorders>
              <w:top w:val="nil"/>
              <w:left w:val="nil"/>
              <w:bottom w:val="single" w:sz="4" w:space="0" w:color="auto"/>
              <w:right w:val="single" w:sz="4" w:space="0" w:color="auto"/>
            </w:tcBorders>
            <w:shd w:val="clear" w:color="auto" w:fill="auto"/>
            <w:hideMark/>
          </w:tcPr>
          <w:p w14:paraId="70A7D778"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720205DC"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Desarrollo y gestión de infraestructuras de transportes y comunicaciones</w:t>
            </w:r>
          </w:p>
        </w:tc>
      </w:tr>
      <w:tr w:rsidR="00256EC8" w:rsidRPr="0084644C" w14:paraId="5C56F694"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085A73B5"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TBI Overseas (Bolivia) LLC</w:t>
            </w:r>
          </w:p>
        </w:tc>
        <w:tc>
          <w:tcPr>
            <w:tcW w:w="2693" w:type="dxa"/>
            <w:tcBorders>
              <w:top w:val="nil"/>
              <w:left w:val="nil"/>
              <w:bottom w:val="single" w:sz="4" w:space="0" w:color="auto"/>
              <w:right w:val="single" w:sz="4" w:space="0" w:color="auto"/>
            </w:tcBorders>
            <w:shd w:val="clear" w:color="auto" w:fill="auto"/>
            <w:hideMark/>
          </w:tcPr>
          <w:p w14:paraId="11158986"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024997F3"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Tenencia de acciones</w:t>
            </w:r>
          </w:p>
        </w:tc>
      </w:tr>
      <w:tr w:rsidR="00256EC8" w:rsidRPr="0084644C" w14:paraId="1043A226" w14:textId="77777777" w:rsidTr="00256EC8">
        <w:trPr>
          <w:trHeight w:val="240"/>
        </w:trPr>
        <w:tc>
          <w:tcPr>
            <w:tcW w:w="3124" w:type="dxa"/>
            <w:tcBorders>
              <w:top w:val="nil"/>
              <w:left w:val="single" w:sz="4" w:space="0" w:color="auto"/>
              <w:bottom w:val="single" w:sz="4" w:space="0" w:color="auto"/>
              <w:right w:val="single" w:sz="4" w:space="0" w:color="auto"/>
            </w:tcBorders>
            <w:shd w:val="clear" w:color="auto" w:fill="auto"/>
            <w:hideMark/>
          </w:tcPr>
          <w:p w14:paraId="0F3E798B"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TBI Overseas (UK) LLC</w:t>
            </w:r>
          </w:p>
        </w:tc>
        <w:tc>
          <w:tcPr>
            <w:tcW w:w="2693" w:type="dxa"/>
            <w:tcBorders>
              <w:top w:val="nil"/>
              <w:left w:val="nil"/>
              <w:bottom w:val="single" w:sz="4" w:space="0" w:color="auto"/>
              <w:right w:val="single" w:sz="4" w:space="0" w:color="auto"/>
            </w:tcBorders>
            <w:shd w:val="clear" w:color="auto" w:fill="auto"/>
            <w:hideMark/>
          </w:tcPr>
          <w:p w14:paraId="6AC97195" w14:textId="77777777" w:rsidR="00256EC8" w:rsidRPr="0084644C" w:rsidRDefault="00256EC8" w:rsidP="00256EC8">
            <w:pPr>
              <w:rPr>
                <w:rFonts w:ascii="Open Sans" w:hAnsi="Open Sans" w:cs="Arial"/>
                <w:sz w:val="20"/>
                <w:szCs w:val="20"/>
              </w:rPr>
            </w:pPr>
            <w:r w:rsidRPr="0084644C">
              <w:rPr>
                <w:rFonts w:ascii="Open Sans" w:hAnsi="Open Sans" w:cs="Arial"/>
                <w:sz w:val="20"/>
                <w:szCs w:val="20"/>
              </w:rPr>
              <w:t>Estados Unidos</w:t>
            </w:r>
          </w:p>
        </w:tc>
        <w:tc>
          <w:tcPr>
            <w:tcW w:w="2693" w:type="dxa"/>
            <w:tcBorders>
              <w:top w:val="nil"/>
              <w:left w:val="nil"/>
              <w:bottom w:val="single" w:sz="4" w:space="0" w:color="auto"/>
              <w:right w:val="single" w:sz="4" w:space="0" w:color="auto"/>
            </w:tcBorders>
            <w:shd w:val="clear" w:color="auto" w:fill="auto"/>
            <w:vAlign w:val="bottom"/>
            <w:hideMark/>
          </w:tcPr>
          <w:p w14:paraId="4D1741C9" w14:textId="77777777" w:rsidR="00256EC8" w:rsidRPr="0084644C" w:rsidRDefault="00256EC8" w:rsidP="00256EC8">
            <w:pPr>
              <w:rPr>
                <w:rFonts w:ascii="Open Sans" w:hAnsi="Open Sans" w:cs="Arial"/>
                <w:sz w:val="20"/>
                <w:szCs w:val="20"/>
                <w:lang w:val="en-US"/>
              </w:rPr>
            </w:pPr>
            <w:r w:rsidRPr="0084644C">
              <w:rPr>
                <w:rFonts w:ascii="Open Sans" w:hAnsi="Open Sans" w:cs="Arial"/>
                <w:sz w:val="20"/>
                <w:szCs w:val="20"/>
                <w:lang w:val="en-US"/>
              </w:rPr>
              <w:t>Integración global</w:t>
            </w:r>
          </w:p>
        </w:tc>
      </w:tr>
    </w:tbl>
    <w:p w14:paraId="0DB05563" w14:textId="77777777" w:rsidR="00256EC8" w:rsidRPr="0084644C" w:rsidRDefault="00256EC8" w:rsidP="00256EC8">
      <w:pPr>
        <w:ind w:left="708"/>
        <w:jc w:val="both"/>
        <w:rPr>
          <w:rFonts w:ascii="Open Sans" w:hAnsi="Open Sans" w:cs="Open Sans"/>
          <w:sz w:val="20"/>
          <w:szCs w:val="20"/>
        </w:rPr>
      </w:pPr>
    </w:p>
    <w:p w14:paraId="40C878AD" w14:textId="77777777" w:rsidR="00256EC8" w:rsidRPr="0084644C" w:rsidRDefault="00256EC8" w:rsidP="00256EC8">
      <w:pPr>
        <w:jc w:val="both"/>
        <w:rPr>
          <w:rFonts w:ascii="Open Sans" w:hAnsi="Open Sans" w:cs="Arial"/>
          <w:bCs/>
          <w:sz w:val="20"/>
          <w:szCs w:val="20"/>
        </w:rPr>
      </w:pPr>
      <w:r w:rsidRPr="0084644C">
        <w:rPr>
          <w:rFonts w:ascii="Open Sans" w:hAnsi="Open Sans" w:cs="Arial"/>
          <w:bCs/>
          <w:sz w:val="20"/>
          <w:szCs w:val="20"/>
        </w:rPr>
        <w:t>Si bien la presencia de empresas internacionales en territorios considerados paraísos o nichos fiscales no es en sí misma ilegal, puede representar, si se utilizasen para desempeñar estrategias de elusión fiscal, una contradicción con los valores y compromisos asumidos por la empresa en lo relativo a un modelo fiscal basado en prácticas éticas y que potencie el desarrollo económico y social de los países con una contribución fiscal justa.  Por ello, y para despejar cualquier tipo de duda, sería deseable que Abertis presentase información detallada de su operativa a través de estas sociedades, facturación, empleados, resultado contable, conciliación con el impuesto de sociedades a pagar y operaciones realizadas con otras sociedades del grupo, así como un posicionamiento explícito respecto a la presencia en paraísos fiscales.</w:t>
      </w:r>
    </w:p>
    <w:p w14:paraId="65CA6A26" w14:textId="77777777" w:rsidR="00256EC8" w:rsidRPr="0084644C" w:rsidRDefault="00256EC8" w:rsidP="00256EC8">
      <w:pPr>
        <w:jc w:val="both"/>
        <w:rPr>
          <w:rFonts w:ascii="Open Sans" w:hAnsi="Open Sans" w:cs="Open Sans"/>
          <w:sz w:val="20"/>
          <w:szCs w:val="20"/>
        </w:rPr>
      </w:pPr>
    </w:p>
    <w:p w14:paraId="215723D3"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En el Reglamento del Consejo de Administración</w:t>
      </w:r>
      <w:r w:rsidRPr="0084644C">
        <w:rPr>
          <w:rStyle w:val="Refdenotaalpie"/>
          <w:rFonts w:ascii="Open Sans" w:hAnsi="Open Sans" w:cs="Open Sans"/>
          <w:sz w:val="20"/>
          <w:szCs w:val="20"/>
        </w:rPr>
        <w:footnoteReference w:id="608"/>
      </w:r>
      <w:r w:rsidRPr="0084644C">
        <w:rPr>
          <w:rFonts w:ascii="Open Sans" w:hAnsi="Open Sans" w:cs="Open Sans"/>
          <w:sz w:val="20"/>
          <w:szCs w:val="20"/>
        </w:rPr>
        <w:t>, Abertis expone en su Capítulo II cuál es la Misión del Consejo, especificando en el artículo 3 que éste no podrá delegar “</w:t>
      </w:r>
      <w:r w:rsidRPr="0084644C">
        <w:rPr>
          <w:rFonts w:ascii="Open Sans" w:hAnsi="Open Sans" w:cs="Open Sans"/>
          <w:i/>
          <w:sz w:val="20"/>
          <w:szCs w:val="20"/>
        </w:rPr>
        <w:t>la aprobación de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 la sociedad y su grupo</w:t>
      </w:r>
      <w:r w:rsidRPr="0084644C">
        <w:rPr>
          <w:rFonts w:ascii="Open Sans" w:hAnsi="Open Sans" w:cs="Open Sans"/>
          <w:sz w:val="20"/>
          <w:szCs w:val="20"/>
        </w:rPr>
        <w:t xml:space="preserve">”, siendo por tanto una función del Consejo aprobar la constitución de empresas en paraísos fiscales. </w:t>
      </w:r>
    </w:p>
    <w:p w14:paraId="27061E56" w14:textId="77777777" w:rsidR="00256EC8" w:rsidRPr="0084644C" w:rsidRDefault="00256EC8" w:rsidP="00256EC8">
      <w:pPr>
        <w:jc w:val="both"/>
        <w:rPr>
          <w:rFonts w:ascii="Open Sans" w:hAnsi="Open Sans" w:cs="Arial"/>
          <w:sz w:val="20"/>
          <w:szCs w:val="20"/>
        </w:rPr>
      </w:pPr>
    </w:p>
    <w:p w14:paraId="30C68410"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Respecto a la política fiscal de Abertis, a pesar de que se hace alusión a ella en el informe de RSC y la página web de la entidad indicando que “</w:t>
      </w:r>
      <w:r w:rsidRPr="0084644C">
        <w:rPr>
          <w:rFonts w:ascii="Open Sans" w:hAnsi="Open Sans" w:cs="Arial"/>
          <w:i/>
          <w:sz w:val="20"/>
          <w:szCs w:val="20"/>
        </w:rPr>
        <w:t>se basa en los principios de transparencia y aplicación de la ley tributaria de forma responsable y prudente</w:t>
      </w:r>
      <w:r w:rsidRPr="0084644C">
        <w:rPr>
          <w:rFonts w:ascii="Open Sans" w:hAnsi="Open Sans" w:cs="Arial"/>
          <w:sz w:val="20"/>
          <w:szCs w:val="20"/>
        </w:rPr>
        <w:t>”, no hay evidencia de que exista un documento público en el que se recoja dicha política.</w:t>
      </w:r>
    </w:p>
    <w:p w14:paraId="4AC523D7" w14:textId="77777777" w:rsidR="00256EC8" w:rsidRPr="0084644C" w:rsidRDefault="00256EC8" w:rsidP="00256EC8">
      <w:pPr>
        <w:jc w:val="both"/>
        <w:rPr>
          <w:rFonts w:ascii="Open Sans" w:hAnsi="Open Sans" w:cs="Arial"/>
          <w:sz w:val="20"/>
          <w:szCs w:val="20"/>
        </w:rPr>
      </w:pPr>
    </w:p>
    <w:p w14:paraId="07FCDAA2" w14:textId="77777777" w:rsidR="00256EC8" w:rsidRPr="0084644C" w:rsidRDefault="00256EC8" w:rsidP="00256EC8">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Arial"/>
          <w:bCs/>
          <w:sz w:val="20"/>
          <w:szCs w:val="20"/>
        </w:rPr>
      </w:pPr>
      <w:r w:rsidRPr="0084644C">
        <w:rPr>
          <w:rFonts w:ascii="Open Sans" w:hAnsi="Open Sans" w:cs="Arial"/>
          <w:sz w:val="20"/>
          <w:szCs w:val="20"/>
        </w:rPr>
        <w:t>En cuanto a los riesgos fiscales, Abertis indica en su Informe Anual de Gobierno corporativo que: "</w:t>
      </w:r>
      <w:r w:rsidRPr="0084644C">
        <w:rPr>
          <w:rFonts w:ascii="Open Sans" w:hAnsi="Open Sans" w:cs="Arial"/>
          <w:i/>
          <w:sz w:val="20"/>
          <w:szCs w:val="20"/>
        </w:rPr>
        <w:t>Los mapas de riesgos son contrastados y aprobados por los Directores Generales de la unidad de negocio o los Directores de áreas corporativas, incluido el mapa de riesgos fiscales que es objeto de seguimiento y monitorización por parte de la Dirección de Asesoría fiscal de Abertis. Dichos mapas sirven de guía para establecer el contenido de los Comités de Dirección y son sometidos a revisión periódica por parte de la Comisión de Auditoría y Control que, además, efectúa un seguimiento de los principales riesgos con una mayor frecuencia</w:t>
      </w:r>
      <w:r w:rsidRPr="0084644C">
        <w:rPr>
          <w:rFonts w:ascii="Open Sans" w:hAnsi="Open Sans" w:cs="Arial"/>
          <w:sz w:val="20"/>
          <w:szCs w:val="20"/>
        </w:rPr>
        <w:t>.". Abertis informa en el informe de gobierno corporativo de los principales riesgos del grupo. Entre ellos solo menciona los de carácter fiscal de manera genérica dentro de los riesgos del entorno, pero no hay mayor explicación de riesgos específicos en materia fiscal. En la información analizada no hay constancia de que se haya realizado una revisión de los riesgos en el ejercicio. Solo se indica que se ha puesto en marcha una dirección de Compliance cuyo objetivo es “</w:t>
      </w:r>
      <w:r w:rsidRPr="0084644C">
        <w:rPr>
          <w:rFonts w:ascii="Open Sans" w:hAnsi="Open Sans" w:cs="Arial"/>
          <w:i/>
          <w:iCs/>
          <w:sz w:val="20"/>
          <w:szCs w:val="20"/>
        </w:rPr>
        <w:t>identificar la normativa legal que le es aplicable para trasladarla a las normativas internas, controlar su implementación, evaluar los riesgos de incumplimiento normativo, verificar que los controles funcionan y formar en materia de cumplimiento a todos los empleados del Grupo siendo el Código Ético la norma fundamental que constituye una de las principales manifestaciones de buen gobierno”.</w:t>
      </w:r>
      <w:r w:rsidRPr="0084644C">
        <w:rPr>
          <w:rFonts w:ascii="Open Sans" w:hAnsi="Open Sans" w:cs="Arial"/>
          <w:sz w:val="20"/>
          <w:szCs w:val="20"/>
        </w:rPr>
        <w:t xml:space="preserve"> Sin embargo se desconoce si también se encargará del control de los riesgos fiscales. </w:t>
      </w:r>
    </w:p>
    <w:p w14:paraId="0A5C1F12"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 xml:space="preserve"> </w:t>
      </w:r>
    </w:p>
    <w:p w14:paraId="0B209B15"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Con la información publicada por Abertis, se desconoce la manera en que el Consejo de Administración aborda el tema de la fiscalidad. En el Reglamento del Consejo únicamente se enumeran las facultades que no podrán ser delegadas respecto a esta materia</w:t>
      </w:r>
      <w:r w:rsidRPr="0084644C">
        <w:rPr>
          <w:rStyle w:val="Refdenotaalpie"/>
          <w:rFonts w:ascii="Open Sans" w:hAnsi="Open Sans" w:cs="Arial"/>
          <w:sz w:val="20"/>
          <w:szCs w:val="20"/>
        </w:rPr>
        <w:footnoteReference w:id="609"/>
      </w:r>
      <w:r w:rsidRPr="0084644C">
        <w:rPr>
          <w:rFonts w:ascii="Open Sans" w:hAnsi="Open Sans" w:cs="Arial"/>
          <w:sz w:val="20"/>
          <w:szCs w:val="20"/>
        </w:rPr>
        <w:t xml:space="preserve">. </w:t>
      </w:r>
    </w:p>
    <w:p w14:paraId="7CEA282D" w14:textId="77777777" w:rsidR="00256EC8" w:rsidRPr="0084644C" w:rsidRDefault="00256EC8" w:rsidP="00256EC8">
      <w:pPr>
        <w:jc w:val="both"/>
        <w:rPr>
          <w:rFonts w:ascii="Open Sans" w:hAnsi="Open Sans" w:cs="Arial"/>
          <w:sz w:val="20"/>
          <w:szCs w:val="20"/>
        </w:rPr>
      </w:pPr>
    </w:p>
    <w:p w14:paraId="3E14455A"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 xml:space="preserve">En lo concerniente a la estructura societaria del grupo, en el Anexo I de sus Cuentas Anuales Consolidadas se detallan un total de 74 sociedades en las que existe una participación indirecta, aportando información sobre la sociedad titular así como de su porcentaje de participación </w:t>
      </w:r>
    </w:p>
    <w:p w14:paraId="2AB5630A" w14:textId="77777777" w:rsidR="00256EC8" w:rsidRPr="0084644C" w:rsidRDefault="00256EC8" w:rsidP="00256EC8">
      <w:pPr>
        <w:jc w:val="both"/>
        <w:rPr>
          <w:rFonts w:ascii="Open Sans" w:hAnsi="Open Sans" w:cs="Arial"/>
          <w:sz w:val="20"/>
          <w:szCs w:val="20"/>
        </w:rPr>
      </w:pPr>
    </w:p>
    <w:p w14:paraId="0BA54C34" w14:textId="77777777" w:rsidR="00256EC8" w:rsidRPr="0084644C" w:rsidRDefault="00256EC8" w:rsidP="00256EC8">
      <w:pPr>
        <w:jc w:val="both"/>
        <w:rPr>
          <w:rFonts w:ascii="Open Sans" w:hAnsi="Open Sans" w:cs="Arial"/>
          <w:bCs/>
          <w:sz w:val="20"/>
          <w:szCs w:val="20"/>
        </w:rPr>
      </w:pPr>
      <w:r w:rsidRPr="0084644C">
        <w:rPr>
          <w:rFonts w:ascii="Open Sans" w:hAnsi="Open Sans" w:cs="Arial"/>
          <w:bCs/>
          <w:sz w:val="20"/>
          <w:szCs w:val="20"/>
        </w:rPr>
        <w:t>Abertis no aporta información desglosada de los impuestos pagados por país. En el informe de RSC solo indica el porcentaje que representa en</w:t>
      </w:r>
      <w:r w:rsidRPr="0084644C">
        <w:rPr>
          <w:rFonts w:ascii="Open Sans" w:hAnsi="Open Sans" w:cs="Arial"/>
          <w:sz w:val="20"/>
          <w:szCs w:val="20"/>
        </w:rPr>
        <w:t xml:space="preserve"> España, Francia, Brasil y Chile</w:t>
      </w:r>
      <w:r w:rsidRPr="0084644C">
        <w:rPr>
          <w:rStyle w:val="Refdenotaalpie"/>
          <w:rFonts w:ascii="Open Sans" w:hAnsi="Open Sans" w:cs="Arial"/>
          <w:sz w:val="20"/>
          <w:szCs w:val="20"/>
        </w:rPr>
        <w:footnoteReference w:id="610"/>
      </w:r>
      <w:r w:rsidRPr="0084644C">
        <w:rPr>
          <w:rFonts w:ascii="Open Sans" w:hAnsi="Open Sans" w:cs="Arial"/>
          <w:sz w:val="20"/>
          <w:szCs w:val="20"/>
        </w:rPr>
        <w:t>.</w:t>
      </w:r>
      <w:r w:rsidRPr="0084644C">
        <w:rPr>
          <w:rFonts w:ascii="Open Sans" w:hAnsi="Open Sans" w:cs="Arial"/>
          <w:bCs/>
          <w:sz w:val="20"/>
          <w:szCs w:val="20"/>
        </w:rPr>
        <w:t xml:space="preserve"> Con la información así presentada es imposible conocer cual es la contribución real del grupo en los diferentes países en los que realiza actividades,  mostrando una posible contradicción con el compromiso de transparencia que dice tener a través de su política fiscal. </w:t>
      </w:r>
    </w:p>
    <w:p w14:paraId="5F692B00" w14:textId="77777777" w:rsidR="00256EC8" w:rsidRPr="0084644C" w:rsidRDefault="00256EC8" w:rsidP="00256EC8">
      <w:pPr>
        <w:jc w:val="both"/>
        <w:rPr>
          <w:rFonts w:ascii="Open Sans" w:hAnsi="Open Sans" w:cs="Arial"/>
          <w:sz w:val="20"/>
          <w:szCs w:val="20"/>
        </w:rPr>
      </w:pPr>
    </w:p>
    <w:p w14:paraId="60A37D1C" w14:textId="77777777" w:rsidR="00256EC8" w:rsidRDefault="00256EC8" w:rsidP="00256EC8">
      <w:pPr>
        <w:jc w:val="both"/>
        <w:rPr>
          <w:rFonts w:ascii="Open Sans" w:hAnsi="Open Sans" w:cs="Arial"/>
          <w:bCs/>
          <w:sz w:val="20"/>
          <w:szCs w:val="20"/>
        </w:rPr>
      </w:pPr>
      <w:r w:rsidRPr="0084644C">
        <w:rPr>
          <w:rFonts w:ascii="Open Sans" w:hAnsi="Open Sans" w:cs="Arial"/>
          <w:sz w:val="20"/>
          <w:szCs w:val="20"/>
        </w:rPr>
        <w:t>Asimismo, se indica vagamente la información relativa a las subvenciones de capital recibidas, apareciendo desglosada en dos conceptos "Del segmento de telecomunicaciones" y "Resto". Respecto al primero de ellos, indica: "</w:t>
      </w:r>
      <w:r w:rsidRPr="0084644C">
        <w:rPr>
          <w:rFonts w:ascii="Open Sans" w:hAnsi="Open Sans" w:cs="Arial"/>
          <w:i/>
          <w:sz w:val="20"/>
          <w:szCs w:val="20"/>
        </w:rPr>
        <w:t>Al cierre de 2015 corresponde a subvenciones concedidas por la Agencia Espacial Europea y al cierre de 2014 a subvenciones concedidas por el Fondo Europeo de Desarrollo Regional (FEDER) a sociedades del segmento de telecomunicaciones terrestres discontinuado en 2015 y por la Agencia Espacial Europea. Éstas últimas, tanto en 2015 como en 2014, están asociadas a satélites en construcción por lo que no presentan imputación a resultados</w:t>
      </w:r>
      <w:r w:rsidRPr="0084644C">
        <w:rPr>
          <w:rFonts w:ascii="Open Sans" w:hAnsi="Open Sans" w:cs="Arial"/>
          <w:sz w:val="20"/>
          <w:szCs w:val="20"/>
        </w:rPr>
        <w:t>". En la página 104 vuelve a hacer alusión a las Subvenciones de Capital diciendo que: "</w:t>
      </w:r>
      <w:r w:rsidRPr="0084644C">
        <w:rPr>
          <w:rFonts w:ascii="Open Sans" w:hAnsi="Open Sans" w:cs="Arial"/>
          <w:i/>
          <w:sz w:val="20"/>
          <w:szCs w:val="20"/>
        </w:rPr>
        <w:t>se hallan registradas minorando los otros activos intangibles (principalmente en el epígrafe de “Concesiones administrativas”)</w:t>
      </w:r>
      <w:r w:rsidRPr="0084644C">
        <w:rPr>
          <w:rFonts w:ascii="Open Sans" w:hAnsi="Open Sans" w:cs="Arial"/>
          <w:sz w:val="20"/>
          <w:szCs w:val="20"/>
        </w:rPr>
        <w:t xml:space="preserve">" por un valor de 126.061 miles de €. </w:t>
      </w:r>
      <w:r w:rsidRPr="0084644C">
        <w:rPr>
          <w:rFonts w:ascii="Open Sans" w:hAnsi="Open Sans" w:cs="Arial"/>
          <w:bCs/>
          <w:sz w:val="20"/>
          <w:szCs w:val="20"/>
        </w:rPr>
        <w:t xml:space="preserve">Aparecen cantidades diferentes en conceptos diferentes, no quedando claro si percibe la suma de ambas o si una está incluida en la otra, lo que genera confusión. </w:t>
      </w:r>
    </w:p>
    <w:p w14:paraId="03B8E201" w14:textId="77777777" w:rsidR="00256EC8" w:rsidRPr="0084644C" w:rsidRDefault="00256EC8" w:rsidP="00256EC8">
      <w:pPr>
        <w:jc w:val="both"/>
        <w:rPr>
          <w:rFonts w:ascii="Open Sans" w:hAnsi="Open Sans" w:cs="Arial"/>
          <w:bCs/>
          <w:sz w:val="20"/>
          <w:szCs w:val="20"/>
        </w:rPr>
      </w:pPr>
    </w:p>
    <w:p w14:paraId="7B037A67" w14:textId="77777777" w:rsidR="00256EC8" w:rsidRPr="0084644C" w:rsidRDefault="00256EC8" w:rsidP="00256EC8">
      <w:pPr>
        <w:jc w:val="both"/>
        <w:rPr>
          <w:rFonts w:ascii="Open Sans" w:hAnsi="Open Sans" w:cs="Arial"/>
          <w:bCs/>
          <w:sz w:val="20"/>
          <w:szCs w:val="20"/>
        </w:rPr>
      </w:pPr>
      <w:r w:rsidRPr="0084644C">
        <w:rPr>
          <w:rFonts w:ascii="Open Sans" w:hAnsi="Open Sans" w:cs="Arial"/>
          <w:bCs/>
          <w:sz w:val="20"/>
          <w:szCs w:val="20"/>
        </w:rPr>
        <w:t>Por todo ello, sería deseable que en aras de una mayor transparencia, Abertis expusiera la información desglosada por país, detallando cuál es la entidad u organismo que otorga la subvención, para qué proyecto y en qué cuantía, con el fin de mitigar riesgos en lo relativo a la corrupción en la relación público-privada.</w:t>
      </w:r>
    </w:p>
    <w:p w14:paraId="4F7BBC73" w14:textId="77777777" w:rsidR="00256EC8" w:rsidRPr="0084644C" w:rsidRDefault="00256EC8" w:rsidP="00256EC8">
      <w:pPr>
        <w:jc w:val="both"/>
        <w:rPr>
          <w:rFonts w:ascii="Open Sans" w:hAnsi="Open Sans" w:cs="Arial"/>
          <w:sz w:val="20"/>
          <w:szCs w:val="20"/>
        </w:rPr>
      </w:pPr>
    </w:p>
    <w:p w14:paraId="58F96B81" w14:textId="77777777" w:rsidR="00256EC8" w:rsidRPr="0084644C" w:rsidRDefault="00256EC8" w:rsidP="00256EC8">
      <w:pPr>
        <w:jc w:val="both"/>
        <w:rPr>
          <w:rFonts w:ascii="Open Sans" w:hAnsi="Open Sans"/>
          <w:sz w:val="20"/>
          <w:szCs w:val="20"/>
        </w:rPr>
      </w:pPr>
      <w:r w:rsidRPr="0084644C">
        <w:rPr>
          <w:rFonts w:ascii="Open Sans" w:hAnsi="Open Sans" w:cs="Arial"/>
          <w:bCs/>
          <w:sz w:val="20"/>
          <w:szCs w:val="22"/>
        </w:rPr>
        <w:t xml:space="preserve">En cuanto a los incentivos fiscales, Abertis no facilita información desglosada por países informando de las deducciones y exenciones fiscales que le han sido concedidas, así como los créditos fiscales obtenidos. </w:t>
      </w:r>
      <w:r w:rsidRPr="0084644C">
        <w:rPr>
          <w:rFonts w:ascii="Open Sans" w:hAnsi="Open Sans"/>
          <w:sz w:val="20"/>
          <w:szCs w:val="20"/>
        </w:rPr>
        <w:t>Esta información es relevante pues en algunos casos puede condicionar la imputación de beneficios en un país u en otro en base a este tipo de incentivos fiscales, sin embargo, la empresa se limita a indicar en sus cuentas anuales</w:t>
      </w:r>
      <w:r w:rsidRPr="0084644C">
        <w:rPr>
          <w:rStyle w:val="Refdenotaalpie"/>
          <w:rFonts w:ascii="Open Sans" w:hAnsi="Open Sans"/>
          <w:sz w:val="20"/>
          <w:szCs w:val="20"/>
        </w:rPr>
        <w:footnoteReference w:id="611"/>
      </w:r>
      <w:r w:rsidRPr="0084644C">
        <w:rPr>
          <w:rFonts w:ascii="Open Sans" w:hAnsi="Open Sans"/>
          <w:sz w:val="20"/>
          <w:szCs w:val="20"/>
        </w:rPr>
        <w:t xml:space="preserve"> que “</w:t>
      </w:r>
      <w:r w:rsidRPr="0084644C">
        <w:rPr>
          <w:rFonts w:ascii="Open Sans" w:hAnsi="Open Sans"/>
          <w:i/>
          <w:sz w:val="20"/>
          <w:szCs w:val="20"/>
        </w:rPr>
        <w:t>las partidas “Ingresos no tributables” y “Gastos no deducibles a efectos fiscales” del ejercicio 2015 y 2014 incluyen partidas que, de acuerdo a las legislaciones fiscales de las respectivas sociedades consolidadas, no son objeto de tributación y deducibilidad. En este sentido, señalar que la partida de “Gastos no deducibles a efectos fiscales” del presente ejercicio 2015 corresponde principalmente al deterioro registrado sobre la totalidad del fondo de comercio asignado al subgrupo Arteris por importe de 681.663 miles de euros (ver Nota 8), generando un gasto fiscal no deducible de 231.765 miles de euros</w:t>
      </w:r>
      <w:r w:rsidRPr="0084644C">
        <w:rPr>
          <w:rFonts w:ascii="Open Sans" w:hAnsi="Open Sans"/>
          <w:sz w:val="20"/>
          <w:szCs w:val="20"/>
        </w:rPr>
        <w:t>”, careciendo de información sobre cuáles son el resto de partidas no sujetas a tributación.</w:t>
      </w:r>
    </w:p>
    <w:p w14:paraId="739E2AFF" w14:textId="77777777" w:rsidR="00256EC8" w:rsidRPr="0084644C" w:rsidRDefault="00256EC8" w:rsidP="00256EC8">
      <w:pPr>
        <w:jc w:val="both"/>
        <w:rPr>
          <w:rFonts w:ascii="Open Sans" w:hAnsi="Open Sans" w:cs="Arial"/>
          <w:bCs/>
          <w:sz w:val="20"/>
          <w:szCs w:val="22"/>
        </w:rPr>
      </w:pPr>
    </w:p>
    <w:p w14:paraId="15E47180" w14:textId="77777777" w:rsidR="00256EC8" w:rsidRPr="0084644C" w:rsidRDefault="00256EC8" w:rsidP="00256EC8">
      <w:pPr>
        <w:jc w:val="both"/>
        <w:rPr>
          <w:rFonts w:ascii="Open Sans" w:hAnsi="Open Sans" w:cs="Arial"/>
          <w:bCs/>
          <w:sz w:val="20"/>
          <w:szCs w:val="22"/>
        </w:rPr>
      </w:pPr>
      <w:r w:rsidRPr="0084644C">
        <w:rPr>
          <w:rFonts w:ascii="Open Sans" w:hAnsi="Open Sans" w:cs="Arial"/>
          <w:bCs/>
          <w:sz w:val="20"/>
          <w:szCs w:val="22"/>
        </w:rPr>
        <w:t xml:space="preserve">Más allá del cumplimiento del Código de buenas prácticas de la Agencia Tributaria, Abertis no aporta más información sobre su relación de cooperación con las administraciones tributarias de los distintos países en los que opera. Tampoco informa sobre las contingencias fiscales existentes, es decir, sobre aquellas operaciones o transacciones en las que existe riesgo significativo de que no coincida el criterio aplicado o que piense aplicar la empresa con el de la administración ni sobre si existen deudas tributarias en el período ejecutivo. </w:t>
      </w:r>
    </w:p>
    <w:p w14:paraId="77E2EE86" w14:textId="77777777" w:rsidR="00256EC8" w:rsidRPr="0084644C" w:rsidRDefault="00256EC8" w:rsidP="00256EC8">
      <w:pPr>
        <w:jc w:val="both"/>
        <w:rPr>
          <w:rFonts w:ascii="Open Sans" w:hAnsi="Open Sans" w:cs="Arial"/>
          <w:bCs/>
          <w:sz w:val="20"/>
          <w:szCs w:val="22"/>
        </w:rPr>
      </w:pPr>
    </w:p>
    <w:p w14:paraId="57E57F44" w14:textId="77777777" w:rsidR="00256EC8" w:rsidRPr="0084644C" w:rsidRDefault="00256EC8" w:rsidP="00256EC8">
      <w:pPr>
        <w:jc w:val="both"/>
        <w:rPr>
          <w:rFonts w:ascii="Open Sans" w:hAnsi="Open Sans" w:cs="Arial"/>
          <w:bCs/>
          <w:sz w:val="20"/>
          <w:szCs w:val="22"/>
        </w:rPr>
      </w:pPr>
      <w:r w:rsidRPr="0084644C">
        <w:rPr>
          <w:rFonts w:ascii="Open Sans" w:hAnsi="Open Sans" w:cs="Arial"/>
          <w:bCs/>
          <w:sz w:val="20"/>
          <w:szCs w:val="22"/>
        </w:rPr>
        <w:t>Respecto a litigios existentes, Abertis hace mención a que "</w:t>
      </w:r>
      <w:r w:rsidRPr="0084644C">
        <w:rPr>
          <w:rFonts w:ascii="Open Sans" w:hAnsi="Open Sans" w:cs="Arial"/>
          <w:bCs/>
          <w:i/>
          <w:sz w:val="20"/>
          <w:szCs w:val="22"/>
        </w:rPr>
        <w:t>tiene abiertas actuaciones inspectoras de carácter general en relación con el Impuesto sobre Sociedades para los ejercicios 2010 a 2011 y, en relación con el IVA para el ejercicio 2011 (desde julio a diciembre). Adicionalmente, las sociedades francesas Sanef y Sapn también están siendo objeto de actuaciones inspectoras de todos los impuestos que le son de aplicación para los ejercicios 2012 a 2014</w:t>
      </w:r>
      <w:r w:rsidRPr="0084644C">
        <w:rPr>
          <w:rFonts w:ascii="Open Sans" w:hAnsi="Open Sans" w:cs="Arial"/>
          <w:bCs/>
          <w:sz w:val="20"/>
          <w:szCs w:val="22"/>
        </w:rPr>
        <w:t>"</w:t>
      </w:r>
      <w:r w:rsidRPr="0084644C">
        <w:rPr>
          <w:rStyle w:val="Refdenotaalpie"/>
          <w:rFonts w:ascii="Open Sans" w:hAnsi="Open Sans" w:cs="Arial"/>
          <w:bCs/>
          <w:sz w:val="20"/>
          <w:szCs w:val="22"/>
        </w:rPr>
        <w:footnoteReference w:id="612"/>
      </w:r>
      <w:r w:rsidRPr="0084644C">
        <w:rPr>
          <w:rFonts w:ascii="Open Sans" w:hAnsi="Open Sans" w:cs="Arial"/>
          <w:bCs/>
          <w:sz w:val="20"/>
          <w:szCs w:val="22"/>
        </w:rPr>
        <w:t>. En cuanto a esta situación, no existe evidencia expresa sobre la dotación de provisiones para esta posible contingencia, limitándose a enunciar en sus Cuentas Anuales que “</w:t>
      </w:r>
      <w:r w:rsidRPr="0084644C">
        <w:rPr>
          <w:rFonts w:ascii="Open Sans" w:hAnsi="Open Sans" w:cs="Arial"/>
          <w:bCs/>
          <w:i/>
          <w:sz w:val="20"/>
          <w:szCs w:val="22"/>
        </w:rPr>
        <w:t>Las provisiones registradas corresponden a los importes estimados para hacer frente a responsabilidades probables o ciertas nacidas de litigios en curso, por indemnizaciones u otros conceptos derivados de la actividad del Grupo que supondrán unos pagos futuros que han sido valorados en base a la información disponible a la fecha actual. Su registro se efectúa al nacimiento de la responsabilidad o de la obligación frente a un tercero que determina la indemnización o pago y teniendo en consideración el resto de condiciones establecidas por las NIIF”</w:t>
      </w:r>
      <w:r w:rsidRPr="0084644C">
        <w:rPr>
          <w:rStyle w:val="Refdenotaalpie"/>
          <w:rFonts w:ascii="Open Sans" w:hAnsi="Open Sans" w:cs="Arial"/>
          <w:bCs/>
          <w:sz w:val="20"/>
          <w:szCs w:val="22"/>
        </w:rPr>
        <w:footnoteReference w:id="613"/>
      </w:r>
    </w:p>
    <w:p w14:paraId="1A5045D2" w14:textId="77777777" w:rsidR="00256EC8" w:rsidRPr="0084644C" w:rsidRDefault="00256EC8" w:rsidP="00256EC8">
      <w:pPr>
        <w:jc w:val="both"/>
        <w:rPr>
          <w:rFonts w:ascii="Open Sans" w:hAnsi="Open Sans" w:cs="Arial"/>
          <w:bCs/>
          <w:sz w:val="20"/>
          <w:szCs w:val="22"/>
        </w:rPr>
      </w:pPr>
    </w:p>
    <w:p w14:paraId="14935545" w14:textId="77777777" w:rsidR="00256EC8" w:rsidRPr="0084644C" w:rsidRDefault="00256EC8" w:rsidP="00256EC8">
      <w:pPr>
        <w:jc w:val="both"/>
        <w:rPr>
          <w:rFonts w:ascii="Open Sans" w:hAnsi="Open Sans" w:cs="Arial"/>
          <w:bCs/>
          <w:sz w:val="20"/>
          <w:szCs w:val="22"/>
        </w:rPr>
      </w:pPr>
      <w:r w:rsidRPr="0084644C">
        <w:rPr>
          <w:rFonts w:ascii="Open Sans" w:hAnsi="Open Sans" w:cs="Arial"/>
          <w:bCs/>
          <w:sz w:val="20"/>
          <w:szCs w:val="22"/>
        </w:rPr>
        <w:t>De otro lado, "</w:t>
      </w:r>
      <w:r w:rsidRPr="0084644C">
        <w:rPr>
          <w:rFonts w:ascii="Open Sans" w:hAnsi="Open Sans" w:cs="Arial"/>
          <w:bCs/>
          <w:i/>
          <w:sz w:val="20"/>
          <w:szCs w:val="22"/>
        </w:rPr>
        <w:t>en fecha 2 de marzo de 2015, Abertis recibió sentencia desestimatoria del Tribunal Supremo en relación con las Actas de Inspección por comprobaciones efectuadas a la sociedad Aurea Concesiones de Infraestructuras, S.A. en el Impuesto sobre Sociedades del ejercicio 2001, por la indebida aplicación de la deducción por actividades exportadoras. El importe de este Acta se encontraba totalmente provisionado y ascendía a un importe de 576 miles euros, el cual ha sido satisfecho en su totalidad durante el ejercicio 2015. Esta era la única Acta de inspección incoada a la Sociedad que quedaba pendiente de resolución tal y como se indicaba en la Nota 19.a de las cuentas anuales consolidadas del ejercicio 2014</w:t>
      </w:r>
      <w:r w:rsidRPr="0084644C">
        <w:rPr>
          <w:rFonts w:ascii="Open Sans" w:hAnsi="Open Sans" w:cs="Arial"/>
          <w:bCs/>
          <w:sz w:val="20"/>
          <w:szCs w:val="22"/>
        </w:rPr>
        <w:t>"</w:t>
      </w:r>
      <w:r w:rsidRPr="0084644C">
        <w:rPr>
          <w:rStyle w:val="Refdenotaalpie"/>
          <w:rFonts w:ascii="Open Sans" w:hAnsi="Open Sans" w:cs="Arial"/>
          <w:bCs/>
          <w:sz w:val="20"/>
          <w:szCs w:val="22"/>
        </w:rPr>
        <w:footnoteReference w:id="614"/>
      </w:r>
    </w:p>
    <w:p w14:paraId="733AF295" w14:textId="77777777" w:rsidR="00256EC8" w:rsidRPr="0084644C" w:rsidRDefault="00256EC8" w:rsidP="00256EC8">
      <w:pPr>
        <w:jc w:val="both"/>
        <w:rPr>
          <w:rFonts w:ascii="Open Sans" w:hAnsi="Open Sans" w:cs="Arial"/>
          <w:bCs/>
          <w:sz w:val="20"/>
          <w:szCs w:val="22"/>
        </w:rPr>
      </w:pPr>
    </w:p>
    <w:p w14:paraId="37793903" w14:textId="77777777" w:rsidR="00256EC8" w:rsidRPr="0084644C" w:rsidRDefault="00256EC8" w:rsidP="00256EC8">
      <w:pPr>
        <w:jc w:val="both"/>
        <w:rPr>
          <w:rFonts w:ascii="Open Sans" w:hAnsi="Open Sans" w:cs="Arial"/>
          <w:bCs/>
          <w:sz w:val="20"/>
          <w:szCs w:val="22"/>
        </w:rPr>
      </w:pPr>
      <w:r w:rsidRPr="0084644C">
        <w:rPr>
          <w:rFonts w:ascii="Open Sans" w:hAnsi="Open Sans" w:cs="Arial"/>
          <w:bCs/>
          <w:sz w:val="20"/>
          <w:szCs w:val="22"/>
        </w:rPr>
        <w:t>Asimismo, en relación a “</w:t>
      </w:r>
      <w:r w:rsidRPr="0084644C">
        <w:rPr>
          <w:rFonts w:ascii="Open Sans" w:hAnsi="Open Sans" w:cs="Arial"/>
          <w:bCs/>
          <w:i/>
          <w:sz w:val="20"/>
          <w:szCs w:val="22"/>
        </w:rPr>
        <w:t>parte de los derechos de venta mantenidos por el Grupo con el resto de accionistas de Alazor, en ejercicios anteriores se inició un arbitraje que fue resuelto en fecha 20 de mayo de 2014 desestimando la ejecución de esas opciones de venta reclamadas por Abertis, laudo contra el que el Grupo presentó el oportuno recurso para su anulación. A este respecto con fecha 2 de septiembre de 2015 el Tribunal Superior de Justicia de Madrid dictó sentencia desestimando el recurso presentado por Abertis, si bien dicha sentencia ha sido anulada, tras el escrito presentado por el Grupo con fecha 8 de octubre de 2015, mediante auto de fecha 1 de diciembre de 2015, retrotrayéndose las actuaciones para practicar prueba testifical que fue indebidamente denegada, tras la cual corresponderá al Tribunal Superior de Justicia de Madrid dictar nueva sentencia sobre el asunto</w:t>
      </w:r>
      <w:r w:rsidRPr="0084644C">
        <w:rPr>
          <w:rFonts w:ascii="Open Sans" w:hAnsi="Open Sans" w:cs="Arial"/>
          <w:bCs/>
          <w:sz w:val="20"/>
          <w:szCs w:val="22"/>
        </w:rPr>
        <w:t>”. (…) “</w:t>
      </w:r>
      <w:r w:rsidRPr="0084644C">
        <w:rPr>
          <w:rFonts w:ascii="Open Sans" w:hAnsi="Open Sans" w:cs="Arial"/>
          <w:bCs/>
          <w:i/>
          <w:sz w:val="20"/>
          <w:szCs w:val="22"/>
        </w:rPr>
        <w:t xml:space="preserve">Ante la negativa evolución durante el presente ejercicio 2015 de los procedimientos judiciales en curso y ante una eventual adhesión como parte demandante del resto de entidades financieras acreedoras de Alazor, </w:t>
      </w:r>
      <w:r w:rsidRPr="0084644C">
        <w:rPr>
          <w:rFonts w:ascii="Open Sans" w:hAnsi="Open Sans" w:cs="Arial"/>
          <w:bCs/>
          <w:sz w:val="20"/>
          <w:szCs w:val="22"/>
        </w:rPr>
        <w:t xml:space="preserve">(el Grupo) </w:t>
      </w:r>
      <w:r w:rsidRPr="0084644C">
        <w:rPr>
          <w:rFonts w:ascii="Open Sans" w:hAnsi="Open Sans" w:cs="Arial"/>
          <w:bCs/>
          <w:i/>
          <w:sz w:val="20"/>
          <w:szCs w:val="22"/>
        </w:rPr>
        <w:t>ha estimado necesario el registro de una provisión adicional por un importe total de 117 millones de euros al 31 de diciembre de 2015</w:t>
      </w:r>
      <w:r w:rsidRPr="0084644C">
        <w:rPr>
          <w:rFonts w:ascii="Open Sans" w:hAnsi="Open Sans" w:cs="Arial"/>
          <w:bCs/>
          <w:sz w:val="20"/>
          <w:szCs w:val="22"/>
        </w:rPr>
        <w:t>”</w:t>
      </w:r>
      <w:r w:rsidRPr="0084644C">
        <w:rPr>
          <w:rStyle w:val="Refdenotaalpie"/>
          <w:rFonts w:ascii="Open Sans" w:hAnsi="Open Sans" w:cs="Arial"/>
          <w:bCs/>
          <w:sz w:val="20"/>
          <w:szCs w:val="22"/>
        </w:rPr>
        <w:footnoteReference w:id="615"/>
      </w:r>
      <w:r w:rsidRPr="0084644C">
        <w:rPr>
          <w:rFonts w:ascii="Open Sans" w:hAnsi="Open Sans" w:cs="Arial"/>
          <w:bCs/>
          <w:sz w:val="20"/>
          <w:szCs w:val="22"/>
        </w:rPr>
        <w:t>.</w:t>
      </w:r>
    </w:p>
    <w:p w14:paraId="408CFDBC" w14:textId="77777777" w:rsidR="00256EC8" w:rsidRPr="0084644C" w:rsidRDefault="00256EC8" w:rsidP="00256EC8">
      <w:pPr>
        <w:jc w:val="both"/>
        <w:rPr>
          <w:rFonts w:ascii="Open Sans" w:hAnsi="Open Sans" w:cs="Arial"/>
          <w:bCs/>
          <w:sz w:val="20"/>
          <w:szCs w:val="22"/>
        </w:rPr>
      </w:pPr>
    </w:p>
    <w:p w14:paraId="7BEEE05F" w14:textId="77777777" w:rsidR="00256EC8" w:rsidRPr="0084644C" w:rsidRDefault="00256EC8" w:rsidP="00256EC8">
      <w:pPr>
        <w:jc w:val="both"/>
        <w:rPr>
          <w:rFonts w:ascii="Open Sans" w:hAnsi="Open Sans" w:cs="Arial"/>
          <w:bCs/>
          <w:sz w:val="20"/>
          <w:szCs w:val="22"/>
        </w:rPr>
      </w:pPr>
      <w:r w:rsidRPr="0084644C">
        <w:rPr>
          <w:rFonts w:ascii="Open Sans" w:hAnsi="Open Sans" w:cs="Arial"/>
          <w:bCs/>
          <w:sz w:val="20"/>
          <w:szCs w:val="22"/>
        </w:rPr>
        <w:t>Por último, la empresa no se ha encontrado  información sobre su operativa en lo concerniente a las compras intragrupo y los mecanismos de fijación de precios de transferencia, la gestión de la propiedad intelectual y la estructura de propiedad que gobierna los activos de propiedad intelectual o cuál es el volumen de endeudamiento intragrupo respecto al volumen de endeudamiento total, lo que supone una carencia informativa relevante, puesto que todas ellas constituyen operaciones de financiación, siendo potenciales vías, utilizadas en numerosos casos por empresas multinacionales tal y como se ha puesto en relevancia por parte de la OCDE</w:t>
      </w:r>
      <w:r w:rsidRPr="0084644C">
        <w:rPr>
          <w:rStyle w:val="Refdenotaalpie"/>
          <w:rFonts w:ascii="Open Sans" w:hAnsi="Open Sans" w:cs="Arial"/>
          <w:bCs/>
          <w:sz w:val="20"/>
          <w:szCs w:val="22"/>
        </w:rPr>
        <w:footnoteReference w:id="616"/>
      </w:r>
      <w:r w:rsidRPr="0084644C">
        <w:rPr>
          <w:rFonts w:ascii="Open Sans" w:hAnsi="Open Sans" w:cs="Arial"/>
          <w:bCs/>
          <w:sz w:val="20"/>
          <w:szCs w:val="22"/>
        </w:rPr>
        <w:t>, para llevar a cabo estrategias de elusión fiscal.</w:t>
      </w:r>
    </w:p>
    <w:p w14:paraId="16229CDE" w14:textId="77777777" w:rsidR="00256EC8" w:rsidRPr="0084644C" w:rsidRDefault="00256EC8" w:rsidP="00256EC8">
      <w:pPr>
        <w:jc w:val="both"/>
        <w:rPr>
          <w:rFonts w:ascii="Open Sans" w:hAnsi="Open Sans" w:cs="Arial"/>
          <w:bCs/>
          <w:sz w:val="20"/>
          <w:szCs w:val="22"/>
        </w:rPr>
      </w:pPr>
    </w:p>
    <w:p w14:paraId="48E8A9F8" w14:textId="77777777" w:rsidR="00256EC8" w:rsidRDefault="00256EC8" w:rsidP="00256EC8">
      <w:pPr>
        <w:jc w:val="both"/>
        <w:rPr>
          <w:rFonts w:ascii="Open Sans" w:hAnsi="Open Sans" w:cs="Arial"/>
          <w:bCs/>
          <w:sz w:val="20"/>
          <w:szCs w:val="22"/>
        </w:rPr>
      </w:pPr>
    </w:p>
    <w:p w14:paraId="66C2EDD8" w14:textId="77777777" w:rsidR="00256EC8" w:rsidRPr="0084644C" w:rsidRDefault="00256EC8" w:rsidP="00256EC8">
      <w:pPr>
        <w:jc w:val="both"/>
        <w:rPr>
          <w:rFonts w:ascii="Open Sans" w:hAnsi="Open Sans" w:cs="Arial"/>
          <w:bCs/>
          <w:sz w:val="20"/>
          <w:szCs w:val="22"/>
        </w:rPr>
      </w:pPr>
    </w:p>
    <w:p w14:paraId="20CD6736" w14:textId="77777777" w:rsidR="00256EC8" w:rsidRPr="0084644C" w:rsidRDefault="00256EC8" w:rsidP="00256EC8">
      <w:pPr>
        <w:rPr>
          <w:rFonts w:ascii="Open Sans" w:hAnsi="Open Sans" w:cs="Arial"/>
          <w:bCs/>
          <w:sz w:val="22"/>
          <w:szCs w:val="22"/>
          <w:u w:val="single"/>
        </w:rPr>
      </w:pPr>
      <w:r w:rsidRPr="0084644C">
        <w:rPr>
          <w:rFonts w:ascii="Open Sans" w:hAnsi="Open Sans" w:cs="Arial"/>
          <w:b/>
          <w:sz w:val="22"/>
          <w:szCs w:val="22"/>
          <w:u w:val="single"/>
        </w:rPr>
        <w:t>5. Conclusiones</w:t>
      </w:r>
    </w:p>
    <w:p w14:paraId="02FD4D79" w14:textId="77777777" w:rsidR="00256EC8" w:rsidRPr="0084644C" w:rsidRDefault="00256EC8" w:rsidP="00256EC8">
      <w:pPr>
        <w:rPr>
          <w:rFonts w:ascii="Open Sans" w:hAnsi="Open Sans" w:cs="Arial"/>
          <w:bCs/>
          <w:sz w:val="22"/>
          <w:szCs w:val="22"/>
        </w:rPr>
      </w:pPr>
    </w:p>
    <w:p w14:paraId="4A91E00A" w14:textId="77777777" w:rsidR="00256EC8" w:rsidRPr="0084644C" w:rsidRDefault="00256EC8" w:rsidP="00256EC8">
      <w:pPr>
        <w:pStyle w:val="Default"/>
        <w:jc w:val="both"/>
        <w:rPr>
          <w:rFonts w:ascii="Open Sans" w:hAnsi="Open Sans" w:cs="Open Sans"/>
          <w:color w:val="auto"/>
          <w:sz w:val="20"/>
          <w:szCs w:val="20"/>
        </w:rPr>
      </w:pPr>
      <w:r w:rsidRPr="0084644C">
        <w:rPr>
          <w:rFonts w:ascii="Open Sans" w:hAnsi="Open Sans" w:cs="Open Sans"/>
          <w:color w:val="auto"/>
          <w:sz w:val="20"/>
          <w:szCs w:val="20"/>
        </w:rPr>
        <w:t xml:space="preserve">La valoración global de la transparencia de Abertis en el ámbito fiscal es de </w:t>
      </w:r>
      <w:r w:rsidRPr="0084644C">
        <w:rPr>
          <w:rFonts w:ascii="Open Sans" w:hAnsi="Open Sans" w:cs="Open Sans"/>
          <w:b/>
          <w:color w:val="auto"/>
          <w:sz w:val="20"/>
          <w:szCs w:val="20"/>
        </w:rPr>
        <w:t>0,39</w:t>
      </w:r>
      <w:r w:rsidRPr="0084644C">
        <w:rPr>
          <w:rFonts w:ascii="Open Sans" w:hAnsi="Open Sans" w:cs="Open Sans"/>
          <w:color w:val="auto"/>
          <w:sz w:val="20"/>
          <w:szCs w:val="20"/>
        </w:rPr>
        <w:t xml:space="preserve"> sobre un máximo de 3, lo que equivale a una </w:t>
      </w:r>
      <w:r w:rsidRPr="0084644C">
        <w:rPr>
          <w:rFonts w:ascii="Open Sans" w:hAnsi="Open Sans" w:cs="Open Sans"/>
          <w:i/>
          <w:color w:val="auto"/>
          <w:sz w:val="20"/>
          <w:szCs w:val="20"/>
        </w:rPr>
        <w:t>información escasa</w:t>
      </w:r>
      <w:r w:rsidRPr="0084644C">
        <w:rPr>
          <w:rFonts w:ascii="Open Sans" w:hAnsi="Open Sans" w:cs="Open Sans"/>
          <w:color w:val="auto"/>
          <w:sz w:val="20"/>
          <w:szCs w:val="20"/>
        </w:rPr>
        <w:t xml:space="preserve"> de acuerdo con la metodología utilizada. De las dimensiones analizadas, la máxima puntuación se obtiene en los aspectos relacionados con la “política y estrategia fiscal” (1,00), seguidos por aquellos que miden su comportamiento en las “relaciones con Administraciones Tributarias” (0,40) y los relacionados con “impuestos e incentivos” (0,17). Llama la atención que, pese a tener presencia en jurisdicciones consideradas como paraísos y/o nichos fiscales, la valoración de su transparencia en este ámbito es de cero.</w:t>
      </w:r>
    </w:p>
    <w:p w14:paraId="594CCB9B" w14:textId="77777777" w:rsidR="00256EC8" w:rsidRPr="0084644C" w:rsidRDefault="00256EC8" w:rsidP="00256EC8">
      <w:pPr>
        <w:pStyle w:val="Default"/>
        <w:jc w:val="both"/>
        <w:rPr>
          <w:rFonts w:ascii="Open Sans" w:hAnsi="Open Sans" w:cs="Open Sans"/>
          <w:color w:val="auto"/>
          <w:sz w:val="20"/>
          <w:szCs w:val="20"/>
        </w:rPr>
      </w:pPr>
    </w:p>
    <w:p w14:paraId="722BE055"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Tras analizar la documentación publicada por Abertis en relación a su actividad fiscal en 2015 (Informe de Sostenibilidad, Informe de Gobierno Corporativo e Informe de Cuentas Anuales, principalmente), se observa que la compañía cuenta con compromiso limitado en relación a la fiscalidad responsable, ya que, aunque está adherida al Código de Buenas Prácticas Tributarias elaborado por el Foro de Grandes Empresas junto con la Administración Tributaria española, no existe un desarrollo detallado de las iniciativas concretas que la empresa ha puesto en marcha para su cumplimiento.</w:t>
      </w:r>
    </w:p>
    <w:p w14:paraId="184A13B8" w14:textId="77777777" w:rsidR="00256EC8" w:rsidRPr="0084644C" w:rsidRDefault="00256EC8" w:rsidP="00256EC8">
      <w:pPr>
        <w:jc w:val="both"/>
        <w:rPr>
          <w:rFonts w:ascii="Open Sans" w:hAnsi="Open Sans" w:cs="Open Sans"/>
          <w:sz w:val="20"/>
          <w:szCs w:val="20"/>
        </w:rPr>
      </w:pPr>
    </w:p>
    <w:p w14:paraId="6CE3309D"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Asimismo, se han encontrado afirmaciones como que posee política fiscal y que efectúa un seguimiento de sus principales riesgos con frecuencia, pero no se ha encontrado evidencia documental que constate tales enunciados.</w:t>
      </w:r>
    </w:p>
    <w:p w14:paraId="62CCEEC5" w14:textId="77777777" w:rsidR="00256EC8" w:rsidRPr="0084644C" w:rsidRDefault="00256EC8" w:rsidP="00256EC8">
      <w:pPr>
        <w:jc w:val="both"/>
        <w:rPr>
          <w:rFonts w:ascii="Open Sans" w:hAnsi="Open Sans" w:cs="Open Sans"/>
          <w:sz w:val="20"/>
          <w:szCs w:val="20"/>
        </w:rPr>
      </w:pPr>
    </w:p>
    <w:p w14:paraId="6AF0DF98"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De otro lado, se facilita información general sobre facturación, beneficios alcanzados en el ejercicio, impuestos soportados, número de personas trabajadoras…, pero no para todas las empresas del grupo ni desglosado por países, lo que afecta especialmente en el análisis de aquellas sociedades participadas que se encuentran en nichos fiscales (13), desconociéndose el volumen de negocio real que suponen con respecto a la totalidad del grupo.</w:t>
      </w:r>
    </w:p>
    <w:p w14:paraId="35BEB6DE" w14:textId="77777777" w:rsidR="00256EC8" w:rsidRPr="0084644C" w:rsidRDefault="00256EC8" w:rsidP="00256EC8">
      <w:pPr>
        <w:jc w:val="both"/>
        <w:rPr>
          <w:rFonts w:ascii="Open Sans" w:hAnsi="Open Sans" w:cs="Open Sans"/>
          <w:sz w:val="20"/>
          <w:szCs w:val="20"/>
        </w:rPr>
      </w:pPr>
    </w:p>
    <w:p w14:paraId="707A24CF" w14:textId="77777777" w:rsidR="00256EC8" w:rsidRPr="0084644C" w:rsidRDefault="00256EC8" w:rsidP="00256EC8">
      <w:pPr>
        <w:jc w:val="both"/>
        <w:rPr>
          <w:rFonts w:ascii="Open Sans" w:hAnsi="Open Sans" w:cs="Open Sans"/>
          <w:sz w:val="20"/>
          <w:szCs w:val="20"/>
        </w:rPr>
      </w:pPr>
      <w:r w:rsidRPr="0084644C">
        <w:rPr>
          <w:rFonts w:ascii="Open Sans" w:hAnsi="Open Sans" w:cs="Open Sans"/>
          <w:sz w:val="20"/>
          <w:szCs w:val="20"/>
        </w:rPr>
        <w:t>Existe carencia informativa en cuanto a los incentivos fiscales de Abertis (deducciones y exenciones fiscales concedidas), a la cooperación con las administraciones tributarias y a la operativa intragrupo (política de compras y fijación de precios, volumen de endeudamiento frente al total o estructura de la propiedad intelectual), todo ello desglosado por países.</w:t>
      </w:r>
    </w:p>
    <w:p w14:paraId="18E301F4" w14:textId="77777777" w:rsidR="00256EC8" w:rsidRPr="0084644C" w:rsidRDefault="00256EC8" w:rsidP="00256EC8">
      <w:pPr>
        <w:jc w:val="both"/>
        <w:rPr>
          <w:rFonts w:ascii="Open Sans" w:hAnsi="Open Sans" w:cs="Open Sans"/>
          <w:sz w:val="20"/>
          <w:szCs w:val="20"/>
        </w:rPr>
      </w:pPr>
    </w:p>
    <w:p w14:paraId="57CE9EB8" w14:textId="77777777" w:rsidR="00256EC8" w:rsidRPr="0084644C" w:rsidRDefault="00256EC8" w:rsidP="00256EC8">
      <w:pPr>
        <w:jc w:val="both"/>
        <w:rPr>
          <w:rFonts w:ascii="Open Sans" w:hAnsi="Open Sans" w:cs="Arial"/>
          <w:sz w:val="20"/>
          <w:szCs w:val="20"/>
        </w:rPr>
      </w:pPr>
      <w:r w:rsidRPr="0084644C">
        <w:rPr>
          <w:rFonts w:ascii="Open Sans" w:hAnsi="Open Sans" w:cs="Open Sans"/>
          <w:sz w:val="20"/>
          <w:szCs w:val="20"/>
        </w:rPr>
        <w:t>Estas circunstancias contribuyen a dificultar la comprensión de la información facilitada a los grupos de interés y reducen la cantidad y calidad de los datos facilitados por la empresa.</w:t>
      </w:r>
    </w:p>
    <w:p w14:paraId="2CABD1B6" w14:textId="77777777" w:rsidR="00256EC8" w:rsidRPr="0084644C" w:rsidRDefault="00256EC8" w:rsidP="00256EC8">
      <w:pPr>
        <w:pStyle w:val="WW-Predeterminado"/>
        <w:jc w:val="both"/>
        <w:rPr>
          <w:rFonts w:ascii="Open Sans" w:hAnsi="Open Sans" w:cs="Open Sans"/>
          <w:bCs/>
        </w:rPr>
      </w:pPr>
    </w:p>
    <w:p w14:paraId="5698F6ED" w14:textId="77777777" w:rsidR="00256EC8" w:rsidRPr="0084644C" w:rsidRDefault="00256EC8" w:rsidP="00256EC8">
      <w:pPr>
        <w:pStyle w:val="WW-Predeterminado"/>
        <w:jc w:val="both"/>
        <w:rPr>
          <w:rFonts w:ascii="Open Sans" w:hAnsi="Open Sans" w:cs="Open Sans"/>
          <w:bCs/>
        </w:rPr>
      </w:pPr>
      <w:r w:rsidRPr="0084644C">
        <w:rPr>
          <w:rFonts w:ascii="Open Sans" w:hAnsi="Open Sans" w:cs="Open Sans"/>
          <w:bCs/>
        </w:rPr>
        <w:t>Con todo ello, se identifican como áreas de mejora para el próximo ejercicio:</w:t>
      </w:r>
    </w:p>
    <w:p w14:paraId="4545CAB3" w14:textId="77777777" w:rsidR="00256EC8" w:rsidRPr="0084644C" w:rsidRDefault="00256EC8" w:rsidP="00256EC8">
      <w:pPr>
        <w:pStyle w:val="WW-Predeterminado"/>
        <w:jc w:val="both"/>
        <w:rPr>
          <w:rFonts w:ascii="Open Sans" w:hAnsi="Open Sans" w:cs="Open Sans"/>
          <w:bCs/>
        </w:rPr>
      </w:pPr>
    </w:p>
    <w:p w14:paraId="217DFE62"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Mayor claridad en la información</w:t>
      </w:r>
    </w:p>
    <w:p w14:paraId="7994C8C5"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transparencia y desglose suficiente en los datos aportados</w:t>
      </w:r>
    </w:p>
    <w:p w14:paraId="5BE71F3B"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elaboración de políticas, y en su caso publicación,  concretas que recojan los compromisos adoptados</w:t>
      </w:r>
    </w:p>
    <w:p w14:paraId="4CA60967"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establecimiento de indicadores que permitan una medición y análisis objetivo de la realidad a lo largo de los años</w:t>
      </w:r>
    </w:p>
    <w:p w14:paraId="18C38EA2"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mención expresa de sus grupos de interés así como de los canales de participación y diálogo en materia de fiscalidad</w:t>
      </w:r>
    </w:p>
    <w:p w14:paraId="2143AB01"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traslado de la información fiscal mostrada en las cuentas anuales al informe de RSC, con el fin de hacerla más accesible a los grupos de interés</w:t>
      </w:r>
    </w:p>
    <w:p w14:paraId="3C040A26"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exposición de la información de manera comprensible y comparable con años anteriores</w:t>
      </w:r>
    </w:p>
    <w:p w14:paraId="020623E8"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mención de los procesos operativos intragrupo</w:t>
      </w:r>
    </w:p>
    <w:p w14:paraId="409C356D" w14:textId="77777777" w:rsidR="00256EC8" w:rsidRPr="0084644C" w:rsidRDefault="00256EC8" w:rsidP="000B70C9">
      <w:pPr>
        <w:pStyle w:val="WW-Predeterminado"/>
        <w:numPr>
          <w:ilvl w:val="0"/>
          <w:numId w:val="71"/>
        </w:numPr>
        <w:jc w:val="both"/>
        <w:rPr>
          <w:rFonts w:ascii="Open Sans" w:hAnsi="Open Sans" w:cs="Open Sans"/>
          <w:bCs/>
        </w:rPr>
      </w:pPr>
      <w:r w:rsidRPr="0084644C">
        <w:rPr>
          <w:rFonts w:ascii="Open Sans" w:hAnsi="Open Sans" w:cs="Open Sans"/>
          <w:bCs/>
        </w:rPr>
        <w:t>creación de un plan de mejora para aplicar en el próximo año</w:t>
      </w:r>
    </w:p>
    <w:p w14:paraId="43BA6EA4" w14:textId="77777777" w:rsidR="00256EC8" w:rsidRPr="0084644C" w:rsidRDefault="00256EC8" w:rsidP="00256EC8">
      <w:pPr>
        <w:jc w:val="both"/>
        <w:rPr>
          <w:rFonts w:ascii="Open Sans" w:hAnsi="Open Sans" w:cs="Arial"/>
          <w:sz w:val="20"/>
          <w:szCs w:val="20"/>
        </w:rPr>
      </w:pPr>
    </w:p>
    <w:p w14:paraId="62336477" w14:textId="77777777" w:rsidR="00256EC8" w:rsidRPr="0084644C" w:rsidRDefault="00256EC8" w:rsidP="00256EC8">
      <w:pPr>
        <w:jc w:val="both"/>
        <w:rPr>
          <w:rFonts w:ascii="Open Sans" w:hAnsi="Open Sans" w:cs="Arial"/>
          <w:sz w:val="20"/>
          <w:szCs w:val="20"/>
        </w:rPr>
      </w:pPr>
      <w:r w:rsidRPr="0084644C">
        <w:rPr>
          <w:rFonts w:ascii="Open Sans" w:hAnsi="Open Sans" w:cs="Arial"/>
          <w:sz w:val="20"/>
          <w:szCs w:val="20"/>
        </w:rPr>
        <w:t>Cabe añadir a las líneas anteriores que la elusión fiscal ha sido identificada como una práctica de Abertis, constatada de manera expresa a través de su presencia en países considerados nichos fiscales. Este hecho es incompatible con identificar al grupo como “empresa responsable”, puesto que tributar en países ajenos a aquél en el que por el desarrollo de la actividad procedería, implica no contribuir al desarrollo de dicho país, poniendo de manifiesto una falta de responsabilidad hacia los lugares donde ejerce su actividad y, por lo tanto, en los que genera impacto.</w:t>
      </w:r>
    </w:p>
    <w:p w14:paraId="046E63F0" w14:textId="77777777" w:rsidR="00B77D5E" w:rsidRDefault="00B77D5E" w:rsidP="00B77D5E">
      <w:pPr>
        <w:jc w:val="both"/>
        <w:rPr>
          <w:rFonts w:ascii="Open Sans" w:eastAsia="Arial" w:hAnsi="Open Sans" w:cs="Open Sans"/>
          <w:sz w:val="20"/>
          <w:szCs w:val="20"/>
        </w:rPr>
      </w:pPr>
    </w:p>
    <w:p w14:paraId="19FCB107" w14:textId="1C7D78E8" w:rsidR="005A5D6D" w:rsidRDefault="005A5D6D">
      <w:pPr>
        <w:rPr>
          <w:rFonts w:ascii="Open Sans" w:hAnsi="Open Sans"/>
          <w:sz w:val="20"/>
          <w:szCs w:val="20"/>
        </w:rPr>
      </w:pPr>
      <w:r>
        <w:rPr>
          <w:rFonts w:ascii="Open Sans" w:hAnsi="Open Sans"/>
          <w:sz w:val="20"/>
          <w:szCs w:val="20"/>
        </w:rPr>
        <w:br w:type="page"/>
      </w:r>
    </w:p>
    <w:p w14:paraId="5E8A9318" w14:textId="219912BB" w:rsidR="005A5D6D" w:rsidRPr="00F7530E" w:rsidRDefault="001F7023" w:rsidP="005A5D6D">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olor w:val="FFFFFF"/>
          <w:lang w:val="es-ES"/>
        </w:rPr>
      </w:pPr>
      <w:bookmarkStart w:id="108" w:name="Aena"/>
      <w:r w:rsidRPr="00F7530E">
        <w:rPr>
          <w:rFonts w:ascii="Open Sans" w:hAnsi="Open Sans" w:cs="Open Sans"/>
          <w:b/>
          <w:color w:val="FFFFFF"/>
          <w:lang w:val="es-ES"/>
        </w:rPr>
        <w:t>AENA</w:t>
      </w:r>
      <w:r w:rsidR="005A5D6D" w:rsidRPr="00F7530E">
        <w:rPr>
          <w:rFonts w:ascii="Open Sans" w:hAnsi="Open Sans" w:cs="Open Sans"/>
          <w:b/>
          <w:color w:val="FFFFFF"/>
          <w:lang w:val="es-ES"/>
        </w:rPr>
        <w:t>, S.A.</w:t>
      </w:r>
      <w:bookmarkEnd w:id="108"/>
    </w:p>
    <w:p w14:paraId="0539D91D" w14:textId="77777777" w:rsidR="005A5D6D" w:rsidRPr="00E87996" w:rsidRDefault="005A5D6D" w:rsidP="005A5D6D">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i/>
          <w:caps/>
          <w:color w:val="FFFFFF"/>
        </w:rPr>
      </w:pPr>
      <w:r w:rsidRPr="00F7530E">
        <w:rPr>
          <w:rFonts w:ascii="Open Sans" w:hAnsi="Open Sans" w:cs="Open Sans"/>
          <w:b/>
          <w:i/>
          <w:color w:val="FFFFFF"/>
          <w:lang w:val="es-ES"/>
        </w:rPr>
        <w:t>(Aena)</w:t>
      </w:r>
    </w:p>
    <w:p w14:paraId="174AD566" w14:textId="77777777" w:rsidR="005A5D6D" w:rsidRDefault="005A5D6D" w:rsidP="005A5D6D">
      <w:pPr>
        <w:jc w:val="both"/>
        <w:outlineLvl w:val="5"/>
        <w:rPr>
          <w:rFonts w:ascii="Open Sans" w:hAnsi="Open Sans" w:cs="Open Sans"/>
          <w:b/>
          <w:sz w:val="20"/>
          <w:szCs w:val="20"/>
          <w:u w:val="single"/>
        </w:rPr>
      </w:pPr>
    </w:p>
    <w:p w14:paraId="42F360D4" w14:textId="77777777" w:rsidR="003E002C" w:rsidRDefault="003E002C" w:rsidP="005A5D6D">
      <w:pPr>
        <w:jc w:val="both"/>
        <w:rPr>
          <w:rFonts w:ascii="Open Sans" w:hAnsi="Open Sans" w:cs="Open Sans"/>
          <w:sz w:val="20"/>
          <w:szCs w:val="20"/>
        </w:rPr>
      </w:pPr>
    </w:p>
    <w:p w14:paraId="0DD67737" w14:textId="77777777" w:rsidR="003E002C" w:rsidRPr="00E87996" w:rsidRDefault="003E002C" w:rsidP="003E002C">
      <w:pPr>
        <w:jc w:val="both"/>
        <w:outlineLvl w:val="5"/>
        <w:rPr>
          <w:rFonts w:ascii="Open Sans" w:hAnsi="Open Sans" w:cs="Open Sans"/>
          <w:b/>
          <w:sz w:val="22"/>
          <w:szCs w:val="22"/>
          <w:u w:val="single"/>
        </w:rPr>
      </w:pPr>
      <w:r w:rsidRPr="00E87996">
        <w:rPr>
          <w:rFonts w:ascii="Open Sans" w:hAnsi="Open Sans" w:cs="Open Sans"/>
          <w:b/>
          <w:sz w:val="22"/>
          <w:szCs w:val="22"/>
          <w:u w:val="single"/>
        </w:rPr>
        <w:t>1. Datos generales de la entidad</w:t>
      </w:r>
    </w:p>
    <w:p w14:paraId="77A8366B" w14:textId="77777777" w:rsidR="003E002C" w:rsidRPr="00744B55" w:rsidRDefault="003E002C" w:rsidP="003E002C">
      <w:pPr>
        <w:jc w:val="both"/>
        <w:rPr>
          <w:rFonts w:ascii="Open Sans" w:hAnsi="Open Sans" w:cs="Open Sans"/>
          <w:sz w:val="20"/>
          <w:szCs w:val="20"/>
          <w:u w:val="single"/>
        </w:rPr>
      </w:pPr>
    </w:p>
    <w:p w14:paraId="0B3CA4FB" w14:textId="77777777" w:rsidR="003E002C" w:rsidRPr="00744B55" w:rsidRDefault="003E002C" w:rsidP="003E002C">
      <w:pPr>
        <w:jc w:val="both"/>
        <w:rPr>
          <w:rFonts w:ascii="Open Sans" w:hAnsi="Open Sans" w:cs="Open Sans"/>
          <w:sz w:val="20"/>
          <w:szCs w:val="20"/>
        </w:rPr>
      </w:pPr>
      <w:r w:rsidRPr="00744B55">
        <w:rPr>
          <w:rFonts w:ascii="Open Sans" w:hAnsi="Open Sans" w:cs="Open Sans"/>
          <w:sz w:val="20"/>
          <w:szCs w:val="20"/>
          <w:u w:val="single"/>
        </w:rPr>
        <w:t>Productos/servicios</w:t>
      </w:r>
    </w:p>
    <w:p w14:paraId="3091D946" w14:textId="77777777" w:rsidR="003E002C" w:rsidRPr="00744B55" w:rsidRDefault="003E002C" w:rsidP="003E002C">
      <w:pPr>
        <w:jc w:val="both"/>
        <w:rPr>
          <w:rFonts w:ascii="Open Sans" w:hAnsi="Open Sans" w:cs="Open Sans"/>
          <w:sz w:val="20"/>
          <w:szCs w:val="20"/>
        </w:rPr>
      </w:pPr>
    </w:p>
    <w:p w14:paraId="66490CB9" w14:textId="77777777" w:rsidR="003E002C" w:rsidRPr="000B2988" w:rsidRDefault="003E002C" w:rsidP="003E002C">
      <w:pPr>
        <w:jc w:val="both"/>
        <w:rPr>
          <w:rFonts w:ascii="Open Sans" w:hAnsi="Open Sans" w:cs="Open Sans"/>
          <w:sz w:val="20"/>
          <w:szCs w:val="20"/>
        </w:rPr>
      </w:pPr>
      <w:r w:rsidRPr="000B2988">
        <w:rPr>
          <w:rFonts w:ascii="Open Sans" w:hAnsi="Open Sans" w:cs="Open Sans"/>
          <w:sz w:val="20"/>
          <w:szCs w:val="20"/>
        </w:rPr>
        <w:t>Aena ofrece a sus clientes los siguientes productos/ servicios:</w:t>
      </w:r>
    </w:p>
    <w:p w14:paraId="1B79FB30" w14:textId="77777777" w:rsidR="003E002C" w:rsidRPr="000B2988" w:rsidRDefault="003E002C" w:rsidP="003E002C">
      <w:pPr>
        <w:jc w:val="both"/>
        <w:rPr>
          <w:rFonts w:ascii="Open Sans" w:hAnsi="Open Sans" w:cs="Open Sans"/>
          <w:color w:val="000000"/>
          <w:sz w:val="20"/>
          <w:szCs w:val="20"/>
        </w:rPr>
      </w:pPr>
    </w:p>
    <w:p w14:paraId="31A61C15" w14:textId="77777777" w:rsidR="003E002C" w:rsidRPr="00E87996" w:rsidRDefault="003E002C" w:rsidP="000B70C9">
      <w:pPr>
        <w:pStyle w:val="Prrafodelista"/>
        <w:numPr>
          <w:ilvl w:val="0"/>
          <w:numId w:val="72"/>
        </w:numPr>
        <w:jc w:val="both"/>
        <w:rPr>
          <w:rFonts w:ascii="Open Sans" w:hAnsi="Open Sans" w:cs="Open Sans"/>
          <w:sz w:val="20"/>
          <w:szCs w:val="20"/>
        </w:rPr>
      </w:pPr>
      <w:r w:rsidRPr="00E87996">
        <w:rPr>
          <w:rFonts w:ascii="Open Sans" w:hAnsi="Open Sans" w:cs="Open Sans"/>
          <w:color w:val="000000"/>
          <w:sz w:val="20"/>
          <w:szCs w:val="20"/>
        </w:rPr>
        <w:t>Negocio aeronáutico. Es el principal negocio de la empresa e incluye pasajeros, aterrizajes, seguridad, pasarelas, handling, carburantes, estacionamientos, carga y otros servicios aeroportuarios</w:t>
      </w:r>
    </w:p>
    <w:p w14:paraId="4C901B95" w14:textId="77777777" w:rsidR="003E002C" w:rsidRPr="00E87996" w:rsidRDefault="003E002C" w:rsidP="000B70C9">
      <w:pPr>
        <w:pStyle w:val="Prrafodelista"/>
        <w:numPr>
          <w:ilvl w:val="0"/>
          <w:numId w:val="72"/>
        </w:numPr>
        <w:jc w:val="both"/>
        <w:rPr>
          <w:rFonts w:ascii="Open Sans" w:hAnsi="Open Sans" w:cs="Open Sans"/>
          <w:sz w:val="20"/>
          <w:szCs w:val="20"/>
        </w:rPr>
      </w:pPr>
      <w:r w:rsidRPr="00E87996">
        <w:rPr>
          <w:rFonts w:ascii="Open Sans" w:hAnsi="Open Sans" w:cs="Open Sans"/>
          <w:color w:val="000000"/>
          <w:sz w:val="20"/>
          <w:szCs w:val="20"/>
        </w:rPr>
        <w:t>Comercial. La línea de negocio comercial incluye tiendas libres de impuestos, tiendas especializadas, servicios de restauración, publicidad, alquiler de vehículos, salas vip, servicios bancarios y consumos/suministros.</w:t>
      </w:r>
    </w:p>
    <w:p w14:paraId="4F7F07AF" w14:textId="77777777" w:rsidR="003E002C" w:rsidRPr="00E87996" w:rsidRDefault="003E002C" w:rsidP="000B70C9">
      <w:pPr>
        <w:pStyle w:val="Prrafodelista"/>
        <w:numPr>
          <w:ilvl w:val="0"/>
          <w:numId w:val="72"/>
        </w:numPr>
        <w:jc w:val="both"/>
        <w:rPr>
          <w:rFonts w:ascii="Open Sans" w:hAnsi="Open Sans" w:cs="Open Sans"/>
          <w:sz w:val="20"/>
          <w:szCs w:val="20"/>
        </w:rPr>
      </w:pPr>
      <w:r w:rsidRPr="00E87996">
        <w:rPr>
          <w:rFonts w:ascii="Open Sans" w:hAnsi="Open Sans" w:cs="Open Sans"/>
          <w:color w:val="000000"/>
          <w:sz w:val="20"/>
          <w:szCs w:val="20"/>
        </w:rPr>
        <w:t>Servicios fuera de la terminal. Los servicios fuera de terminal incluyen aparcamientos y la explotación de activos diversos de naturaleza industrial e inmobiliaria como terrenos, almacenes, hangares y carga aérea.</w:t>
      </w:r>
    </w:p>
    <w:p w14:paraId="57569545" w14:textId="77777777" w:rsidR="003E002C" w:rsidRPr="00E87996" w:rsidRDefault="003E002C" w:rsidP="000B70C9">
      <w:pPr>
        <w:pStyle w:val="Prrafodelista"/>
        <w:numPr>
          <w:ilvl w:val="0"/>
          <w:numId w:val="72"/>
        </w:numPr>
        <w:jc w:val="both"/>
        <w:rPr>
          <w:rFonts w:ascii="Open Sans" w:hAnsi="Open Sans" w:cs="Open Sans"/>
          <w:sz w:val="20"/>
          <w:szCs w:val="20"/>
        </w:rPr>
      </w:pPr>
      <w:r w:rsidRPr="00E87996">
        <w:rPr>
          <w:rFonts w:ascii="Open Sans" w:hAnsi="Open Sans" w:cs="Open Sans"/>
          <w:color w:val="000000"/>
          <w:sz w:val="20"/>
          <w:szCs w:val="20"/>
        </w:rPr>
        <w:t>negocio internacional</w:t>
      </w:r>
    </w:p>
    <w:p w14:paraId="2FA969F5" w14:textId="77777777" w:rsidR="003E002C" w:rsidRPr="00744B55" w:rsidRDefault="003E002C" w:rsidP="003E002C">
      <w:pPr>
        <w:jc w:val="both"/>
        <w:rPr>
          <w:rFonts w:ascii="Open Sans" w:hAnsi="Open Sans" w:cs="Open Sans"/>
          <w:sz w:val="20"/>
          <w:szCs w:val="20"/>
        </w:rPr>
      </w:pPr>
    </w:p>
    <w:p w14:paraId="1152B971" w14:textId="77777777" w:rsidR="003E002C" w:rsidRPr="00744B55" w:rsidRDefault="003E002C" w:rsidP="003E002C">
      <w:pPr>
        <w:jc w:val="both"/>
        <w:rPr>
          <w:rFonts w:ascii="Open Sans" w:hAnsi="Open Sans" w:cs="Open Sans"/>
          <w:sz w:val="20"/>
          <w:szCs w:val="20"/>
        </w:rPr>
      </w:pPr>
    </w:p>
    <w:p w14:paraId="2DA0EAEF" w14:textId="77777777" w:rsidR="003E002C" w:rsidRPr="00744B55" w:rsidRDefault="003E002C" w:rsidP="003E002C">
      <w:pPr>
        <w:jc w:val="both"/>
        <w:rPr>
          <w:rFonts w:ascii="Open Sans" w:hAnsi="Open Sans" w:cs="Open Sans"/>
          <w:sz w:val="20"/>
          <w:szCs w:val="20"/>
        </w:rPr>
      </w:pPr>
      <w:r w:rsidRPr="00744B55">
        <w:rPr>
          <w:rFonts w:ascii="Open Sans" w:hAnsi="Open Sans" w:cs="Open Sans"/>
          <w:sz w:val="20"/>
          <w:szCs w:val="20"/>
          <w:u w:val="single"/>
        </w:rPr>
        <w:t xml:space="preserve">Alcance geográfico </w:t>
      </w:r>
      <w:r w:rsidRPr="00744B55">
        <w:rPr>
          <w:rStyle w:val="Refdenotaalpie"/>
          <w:rFonts w:ascii="Open Sans" w:hAnsi="Open Sans" w:cs="Open Sans"/>
          <w:sz w:val="20"/>
          <w:szCs w:val="20"/>
          <w:u w:val="single"/>
        </w:rPr>
        <w:footnoteReference w:id="617"/>
      </w:r>
    </w:p>
    <w:p w14:paraId="1161A639" w14:textId="77777777" w:rsidR="003E002C" w:rsidRPr="00744B55" w:rsidRDefault="003E002C" w:rsidP="003E002C">
      <w:pPr>
        <w:jc w:val="both"/>
        <w:rPr>
          <w:rFonts w:ascii="Open Sans" w:hAnsi="Open Sans" w:cs="Open Sans"/>
          <w:sz w:val="20"/>
          <w:szCs w:val="20"/>
        </w:rPr>
      </w:pPr>
    </w:p>
    <w:p w14:paraId="6A32928D" w14:textId="77777777" w:rsidR="003E002C" w:rsidRPr="000B2988" w:rsidRDefault="003E002C" w:rsidP="003E002C">
      <w:pPr>
        <w:jc w:val="both"/>
        <w:rPr>
          <w:rFonts w:ascii="Open Sans" w:hAnsi="Open Sans" w:cs="Open Sans"/>
          <w:sz w:val="20"/>
          <w:szCs w:val="20"/>
        </w:rPr>
      </w:pPr>
      <w:r w:rsidRPr="000B2988">
        <w:rPr>
          <w:rFonts w:ascii="Open Sans" w:hAnsi="Open Sans" w:cs="Open Sans"/>
          <w:sz w:val="20"/>
          <w:szCs w:val="20"/>
        </w:rPr>
        <w:t xml:space="preserve">Aena opera o tiene presencia en los siguientes países: </w:t>
      </w:r>
    </w:p>
    <w:p w14:paraId="312D0DC1" w14:textId="77777777" w:rsidR="003E002C" w:rsidRPr="000B2988" w:rsidRDefault="003E002C" w:rsidP="003E002C">
      <w:pPr>
        <w:jc w:val="both"/>
        <w:rPr>
          <w:rFonts w:ascii="Open Sans" w:hAnsi="Open Sans" w:cs="Open Sans"/>
          <w:sz w:val="20"/>
          <w:szCs w:val="20"/>
        </w:rPr>
      </w:pPr>
    </w:p>
    <w:p w14:paraId="2875797C" w14:textId="77777777" w:rsidR="003E002C" w:rsidRPr="00E87996" w:rsidRDefault="003E002C" w:rsidP="000B70C9">
      <w:pPr>
        <w:pStyle w:val="Prrafodelista"/>
        <w:numPr>
          <w:ilvl w:val="0"/>
          <w:numId w:val="73"/>
        </w:numPr>
        <w:jc w:val="both"/>
        <w:rPr>
          <w:rFonts w:ascii="Open Sans" w:hAnsi="Open Sans" w:cs="Open Sans"/>
          <w:sz w:val="20"/>
          <w:szCs w:val="20"/>
        </w:rPr>
      </w:pPr>
      <w:r w:rsidRPr="00E87996">
        <w:rPr>
          <w:rFonts w:ascii="Open Sans" w:hAnsi="Open Sans" w:cs="Open Sans"/>
          <w:sz w:val="20"/>
          <w:szCs w:val="20"/>
        </w:rPr>
        <w:t>Reino Unido</w:t>
      </w:r>
    </w:p>
    <w:p w14:paraId="3DC251C1" w14:textId="77777777" w:rsidR="003E002C" w:rsidRPr="00E87996" w:rsidRDefault="003E002C" w:rsidP="000B70C9">
      <w:pPr>
        <w:pStyle w:val="Prrafodelista"/>
        <w:numPr>
          <w:ilvl w:val="0"/>
          <w:numId w:val="73"/>
        </w:numPr>
        <w:jc w:val="both"/>
        <w:rPr>
          <w:rFonts w:ascii="Open Sans" w:hAnsi="Open Sans" w:cs="Open Sans"/>
          <w:sz w:val="20"/>
          <w:szCs w:val="20"/>
        </w:rPr>
      </w:pPr>
      <w:r w:rsidRPr="00E87996">
        <w:rPr>
          <w:rFonts w:ascii="Open Sans" w:hAnsi="Open Sans" w:cs="Open Sans"/>
          <w:sz w:val="20"/>
          <w:szCs w:val="20"/>
        </w:rPr>
        <w:t>Colombia</w:t>
      </w:r>
    </w:p>
    <w:p w14:paraId="62C72C6F" w14:textId="77777777" w:rsidR="003E002C" w:rsidRPr="00E87996" w:rsidRDefault="003E002C" w:rsidP="000B70C9">
      <w:pPr>
        <w:pStyle w:val="Prrafodelista"/>
        <w:numPr>
          <w:ilvl w:val="0"/>
          <w:numId w:val="73"/>
        </w:numPr>
        <w:jc w:val="both"/>
        <w:rPr>
          <w:rFonts w:ascii="Open Sans" w:hAnsi="Open Sans" w:cs="Open Sans"/>
          <w:sz w:val="20"/>
          <w:szCs w:val="20"/>
        </w:rPr>
      </w:pPr>
      <w:r w:rsidRPr="00E87996">
        <w:rPr>
          <w:rFonts w:ascii="Open Sans" w:hAnsi="Open Sans" w:cs="Open Sans"/>
          <w:sz w:val="20"/>
          <w:szCs w:val="20"/>
        </w:rPr>
        <w:t>México</w:t>
      </w:r>
    </w:p>
    <w:p w14:paraId="0E007791" w14:textId="77777777" w:rsidR="003E002C" w:rsidRPr="00E87996" w:rsidRDefault="003E002C" w:rsidP="000B70C9">
      <w:pPr>
        <w:pStyle w:val="Prrafodelista"/>
        <w:numPr>
          <w:ilvl w:val="0"/>
          <w:numId w:val="73"/>
        </w:numPr>
        <w:jc w:val="both"/>
        <w:rPr>
          <w:rFonts w:ascii="Open Sans" w:hAnsi="Open Sans" w:cs="Open Sans"/>
          <w:sz w:val="20"/>
          <w:szCs w:val="20"/>
        </w:rPr>
      </w:pPr>
      <w:r w:rsidRPr="00E87996">
        <w:rPr>
          <w:rFonts w:ascii="Open Sans" w:hAnsi="Open Sans" w:cs="Open Sans"/>
          <w:sz w:val="20"/>
          <w:szCs w:val="20"/>
        </w:rPr>
        <w:t>Jamaica</w:t>
      </w:r>
    </w:p>
    <w:p w14:paraId="42F7B5F7" w14:textId="77777777" w:rsidR="003E002C" w:rsidRPr="00744B55" w:rsidRDefault="003E002C" w:rsidP="003E002C">
      <w:pPr>
        <w:jc w:val="both"/>
        <w:rPr>
          <w:rFonts w:ascii="Open Sans" w:hAnsi="Open Sans" w:cs="Open Sans"/>
          <w:sz w:val="20"/>
          <w:szCs w:val="20"/>
        </w:rPr>
      </w:pPr>
    </w:p>
    <w:p w14:paraId="340C98BA" w14:textId="77777777" w:rsidR="003E002C" w:rsidRPr="00724C1E" w:rsidRDefault="003E002C" w:rsidP="003E002C">
      <w:pPr>
        <w:jc w:val="both"/>
        <w:rPr>
          <w:rFonts w:ascii="Open Sans" w:hAnsi="Open Sans" w:cs="Open Sans"/>
          <w:sz w:val="20"/>
          <w:szCs w:val="20"/>
          <w:u w:val="single"/>
        </w:rPr>
      </w:pPr>
    </w:p>
    <w:p w14:paraId="624BE2CC" w14:textId="77777777" w:rsidR="003E002C" w:rsidRPr="00724C1E" w:rsidRDefault="003E002C" w:rsidP="003E002C">
      <w:pPr>
        <w:jc w:val="both"/>
        <w:rPr>
          <w:rFonts w:ascii="Open Sans" w:hAnsi="Open Sans" w:cs="Open Sans"/>
          <w:sz w:val="20"/>
          <w:szCs w:val="20"/>
          <w:u w:val="single"/>
        </w:rPr>
      </w:pPr>
      <w:r w:rsidRPr="00724C1E">
        <w:rPr>
          <w:rFonts w:ascii="Open Sans" w:hAnsi="Open Sans" w:cs="Open Sans"/>
          <w:sz w:val="20"/>
          <w:szCs w:val="20"/>
          <w:u w:val="single"/>
        </w:rPr>
        <w:t>Estándares voluntarios relacionados con fiscalidad responsable</w:t>
      </w:r>
    </w:p>
    <w:p w14:paraId="1448940A" w14:textId="77777777" w:rsidR="003E002C" w:rsidRPr="00724C1E" w:rsidRDefault="003E002C" w:rsidP="003E002C">
      <w:pPr>
        <w:jc w:val="both"/>
        <w:rPr>
          <w:rFonts w:ascii="Open Sans" w:hAnsi="Open Sans" w:cs="Open Sans"/>
          <w:sz w:val="20"/>
          <w:szCs w:val="20"/>
          <w:u w:val="single"/>
        </w:rPr>
      </w:pPr>
    </w:p>
    <w:p w14:paraId="3F63F4A3" w14:textId="77777777" w:rsidR="003E002C" w:rsidRDefault="003E002C" w:rsidP="003E002C">
      <w:pPr>
        <w:jc w:val="both"/>
        <w:rPr>
          <w:rFonts w:ascii="Open Sans" w:hAnsi="Open Sans" w:cs="Open Sans"/>
          <w:sz w:val="20"/>
          <w:szCs w:val="20"/>
        </w:rPr>
      </w:pPr>
      <w:r>
        <w:rPr>
          <w:rFonts w:ascii="Open Sans" w:hAnsi="Open Sans" w:cs="Open Sans"/>
          <w:sz w:val="20"/>
          <w:szCs w:val="20"/>
        </w:rPr>
        <w:t xml:space="preserve">Aena no </w:t>
      </w:r>
      <w:r w:rsidRPr="00724C1E">
        <w:rPr>
          <w:rFonts w:ascii="Open Sans" w:hAnsi="Open Sans" w:cs="Open Sans"/>
          <w:sz w:val="20"/>
          <w:szCs w:val="20"/>
        </w:rPr>
        <w:t xml:space="preserve"> informa </w:t>
      </w:r>
      <w:r>
        <w:rPr>
          <w:rFonts w:ascii="Open Sans" w:hAnsi="Open Sans" w:cs="Open Sans"/>
          <w:sz w:val="20"/>
          <w:szCs w:val="20"/>
        </w:rPr>
        <w:t xml:space="preserve">si </w:t>
      </w:r>
      <w:r w:rsidRPr="00724C1E">
        <w:rPr>
          <w:rFonts w:ascii="Open Sans" w:hAnsi="Open Sans" w:cs="Open Sans"/>
          <w:sz w:val="20"/>
          <w:szCs w:val="20"/>
        </w:rPr>
        <w:t xml:space="preserve">se ha adherido voluntariamente </w:t>
      </w:r>
      <w:r>
        <w:rPr>
          <w:rFonts w:ascii="Open Sans" w:hAnsi="Open Sans" w:cs="Open Sans"/>
          <w:sz w:val="20"/>
          <w:szCs w:val="20"/>
        </w:rPr>
        <w:t xml:space="preserve">a </w:t>
      </w:r>
      <w:r w:rsidRPr="00724C1E">
        <w:rPr>
          <w:rFonts w:ascii="Open Sans" w:hAnsi="Open Sans" w:cs="Open Sans"/>
          <w:sz w:val="20"/>
          <w:szCs w:val="20"/>
        </w:rPr>
        <w:t xml:space="preserve">estándares </w:t>
      </w:r>
      <w:r>
        <w:rPr>
          <w:rFonts w:ascii="Open Sans" w:hAnsi="Open Sans" w:cs="Open Sans"/>
          <w:sz w:val="20"/>
          <w:szCs w:val="20"/>
        </w:rPr>
        <w:t xml:space="preserve">o códigos </w:t>
      </w:r>
      <w:r w:rsidRPr="00724C1E">
        <w:rPr>
          <w:rFonts w:ascii="Open Sans" w:hAnsi="Open Sans" w:cs="Open Sans"/>
          <w:sz w:val="20"/>
          <w:szCs w:val="20"/>
        </w:rPr>
        <w:t>relacionados con contenidos y sistemas de ge</w:t>
      </w:r>
      <w:r>
        <w:rPr>
          <w:rFonts w:ascii="Open Sans" w:hAnsi="Open Sans" w:cs="Open Sans"/>
          <w:sz w:val="20"/>
          <w:szCs w:val="20"/>
        </w:rPr>
        <w:t>stión de fiscalidad responsable.</w:t>
      </w:r>
    </w:p>
    <w:p w14:paraId="78ACE31C" w14:textId="77777777" w:rsidR="003E002C" w:rsidRDefault="003E002C" w:rsidP="003E002C">
      <w:pPr>
        <w:spacing w:after="200" w:line="276" w:lineRule="auto"/>
        <w:rPr>
          <w:rFonts w:ascii="Open Sans" w:hAnsi="Open Sans" w:cs="Open Sans"/>
          <w:sz w:val="20"/>
          <w:szCs w:val="20"/>
        </w:rPr>
      </w:pPr>
      <w:r>
        <w:rPr>
          <w:rFonts w:ascii="Open Sans" w:hAnsi="Open Sans" w:cs="Open Sans"/>
          <w:sz w:val="20"/>
          <w:szCs w:val="20"/>
        </w:rPr>
        <w:br w:type="page"/>
      </w:r>
    </w:p>
    <w:p w14:paraId="1B919778" w14:textId="77777777" w:rsidR="003E002C" w:rsidRDefault="003E002C" w:rsidP="003E002C">
      <w:pPr>
        <w:jc w:val="both"/>
        <w:rPr>
          <w:rFonts w:ascii="Open Sans" w:hAnsi="Open Sans" w:cs="Open Sans"/>
          <w:sz w:val="20"/>
          <w:szCs w:val="20"/>
        </w:rPr>
      </w:pPr>
    </w:p>
    <w:p w14:paraId="3B6C9875" w14:textId="77777777" w:rsidR="003E002C" w:rsidRPr="00724C1E" w:rsidRDefault="003E002C" w:rsidP="003E002C">
      <w:pPr>
        <w:jc w:val="both"/>
        <w:rPr>
          <w:rFonts w:ascii="Open Sans" w:hAnsi="Open Sans" w:cs="Open Sans"/>
          <w:sz w:val="20"/>
          <w:szCs w:val="20"/>
          <w:u w:val="single"/>
        </w:rPr>
      </w:pPr>
      <w:r w:rsidRPr="00724C1E">
        <w:rPr>
          <w:rFonts w:ascii="Open Sans" w:hAnsi="Open Sans" w:cs="Open Sans"/>
          <w:sz w:val="20"/>
          <w:szCs w:val="20"/>
          <w:u w:val="single"/>
        </w:rPr>
        <w:t>Documentos incluidos en el análisis</w:t>
      </w:r>
    </w:p>
    <w:p w14:paraId="50218D61" w14:textId="77777777" w:rsidR="003E002C" w:rsidRPr="00724C1E" w:rsidRDefault="003E002C" w:rsidP="003E002C">
      <w:pPr>
        <w:ind w:firstLine="709"/>
        <w:jc w:val="both"/>
        <w:rPr>
          <w:rFonts w:ascii="Open Sans" w:hAnsi="Open Sans" w:cs="Open Sans"/>
          <w:sz w:val="20"/>
          <w:szCs w:val="20"/>
        </w:rPr>
      </w:pPr>
    </w:p>
    <w:p w14:paraId="3239AA04" w14:textId="77777777" w:rsidR="003E002C" w:rsidRPr="00724C1E" w:rsidRDefault="003E002C" w:rsidP="003E002C">
      <w:pPr>
        <w:jc w:val="both"/>
        <w:rPr>
          <w:rFonts w:ascii="Open Sans" w:hAnsi="Open Sans" w:cs="Open Sans"/>
          <w:sz w:val="20"/>
          <w:szCs w:val="20"/>
        </w:rPr>
      </w:pPr>
      <w:r w:rsidRPr="00724C1E">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693C24E1" w14:textId="77777777" w:rsidR="003E002C" w:rsidRPr="00724C1E" w:rsidRDefault="003E002C" w:rsidP="003E002C">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3E002C" w:rsidRPr="00724C1E" w14:paraId="0C8541AA" w14:textId="77777777" w:rsidTr="003E002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435FCC3E" w14:textId="77777777" w:rsidR="003E002C" w:rsidRPr="00724C1E" w:rsidRDefault="003E002C" w:rsidP="003E002C">
            <w:pPr>
              <w:jc w:val="center"/>
              <w:rPr>
                <w:rFonts w:ascii="Open Sans" w:hAnsi="Open Sans" w:cs="Open Sans"/>
                <w:b/>
                <w:sz w:val="20"/>
                <w:szCs w:val="20"/>
              </w:rPr>
            </w:pPr>
            <w:r w:rsidRPr="00724C1E">
              <w:rPr>
                <w:rFonts w:ascii="Open Sans" w:hAnsi="Open Sans" w:cs="Open Sans"/>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D2B2DB4" w14:textId="77777777" w:rsidR="003E002C" w:rsidRPr="00724C1E" w:rsidRDefault="003E002C" w:rsidP="003E002C">
            <w:pPr>
              <w:jc w:val="center"/>
              <w:rPr>
                <w:rFonts w:ascii="Open Sans" w:hAnsi="Open Sans" w:cs="Open Sans"/>
                <w:b/>
                <w:sz w:val="20"/>
                <w:szCs w:val="20"/>
              </w:rPr>
            </w:pPr>
            <w:r w:rsidRPr="00724C1E">
              <w:rPr>
                <w:rFonts w:ascii="Open Sans" w:hAnsi="Open Sans" w:cs="Open Sans"/>
                <w:b/>
                <w:sz w:val="20"/>
                <w:szCs w:val="20"/>
              </w:rPr>
              <w:t>OBSERVACIONES</w:t>
            </w:r>
          </w:p>
        </w:tc>
      </w:tr>
      <w:tr w:rsidR="003E002C" w:rsidRPr="00724C1E" w14:paraId="0737CAD3" w14:textId="77777777" w:rsidTr="003E002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6F34C01E" w14:textId="77777777" w:rsidR="003E002C" w:rsidRPr="00724C1E" w:rsidRDefault="003E002C" w:rsidP="003E002C">
            <w:pPr>
              <w:rPr>
                <w:rFonts w:ascii="Open Sans" w:eastAsia="Arial Unicode MS" w:hAnsi="Open Sans" w:cs="Open Sans"/>
                <w:sz w:val="20"/>
                <w:szCs w:val="20"/>
              </w:rPr>
            </w:pPr>
            <w:r w:rsidRPr="00724C1E">
              <w:rPr>
                <w:rFonts w:ascii="Open Sans" w:eastAsia="Arial Unicode MS" w:hAnsi="Open Sans" w:cs="Open Sans"/>
                <w:sz w:val="20"/>
                <w:szCs w:val="20"/>
              </w:rPr>
              <w:t>Cuentas anuales</w:t>
            </w:r>
            <w:r>
              <w:rPr>
                <w:rFonts w:ascii="Open Sans" w:eastAsia="Arial Unicode MS" w:hAnsi="Open Sans" w:cs="Open Sans"/>
                <w:sz w:val="20"/>
                <w:szCs w:val="20"/>
              </w:rPr>
              <w:t xml:space="preserve"> consolidadas</w:t>
            </w:r>
            <w:r w:rsidRPr="00724C1E">
              <w:rPr>
                <w:rFonts w:ascii="Open Sans" w:eastAsia="Arial Unicode MS" w:hAnsi="Open Sans" w:cs="Open Sans"/>
                <w:sz w:val="20"/>
                <w:szCs w:val="20"/>
              </w:rPr>
              <w:t xml:space="preserve"> e informe de gestión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5BB22ED" w14:textId="77777777" w:rsidR="003E002C" w:rsidRPr="00724C1E" w:rsidRDefault="003E002C" w:rsidP="003E002C">
            <w:pPr>
              <w:jc w:val="both"/>
              <w:rPr>
                <w:rFonts w:ascii="Open Sans" w:eastAsia="Arial Unicode MS" w:hAnsi="Open Sans" w:cs="Open Sans"/>
                <w:sz w:val="20"/>
                <w:szCs w:val="20"/>
              </w:rPr>
            </w:pPr>
          </w:p>
        </w:tc>
      </w:tr>
      <w:tr w:rsidR="003E002C" w:rsidRPr="00724C1E" w14:paraId="1BE64664" w14:textId="77777777" w:rsidTr="003E002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26CA346" w14:textId="77777777" w:rsidR="003E002C" w:rsidRPr="00724C1E" w:rsidRDefault="003E002C" w:rsidP="003E002C">
            <w:pPr>
              <w:rPr>
                <w:rFonts w:ascii="Open Sans" w:eastAsia="Arial Unicode MS" w:hAnsi="Open Sans" w:cs="Open Sans"/>
                <w:sz w:val="20"/>
                <w:szCs w:val="20"/>
              </w:rPr>
            </w:pPr>
            <w:r>
              <w:rPr>
                <w:rFonts w:ascii="Open Sans" w:eastAsia="Arial Unicode MS" w:hAnsi="Open Sans" w:cs="Open Sans"/>
                <w:sz w:val="20"/>
                <w:szCs w:val="20"/>
              </w:rPr>
              <w:t>Informe Global 2015. Análisis de la actividad empresarial financiera y de sostenibilidad</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CC064C3" w14:textId="77777777" w:rsidR="003E002C" w:rsidRPr="00724C1E" w:rsidRDefault="003E002C" w:rsidP="003E002C">
            <w:pPr>
              <w:jc w:val="both"/>
              <w:rPr>
                <w:rFonts w:ascii="Open Sans" w:eastAsia="Arial Unicode MS" w:hAnsi="Open Sans" w:cs="Open Sans"/>
                <w:sz w:val="20"/>
                <w:szCs w:val="20"/>
              </w:rPr>
            </w:pPr>
          </w:p>
        </w:tc>
      </w:tr>
      <w:tr w:rsidR="003E002C" w:rsidRPr="00724C1E" w14:paraId="5C45221D" w14:textId="77777777" w:rsidTr="003E002C">
        <w:trPr>
          <w:trHeight w:val="522"/>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6C27219F" w14:textId="77777777" w:rsidR="003E002C" w:rsidRPr="00724C1E" w:rsidRDefault="003E002C" w:rsidP="003E002C">
            <w:pPr>
              <w:rPr>
                <w:rFonts w:ascii="Open Sans" w:hAnsi="Open Sans" w:cs="Open Sans"/>
                <w:sz w:val="20"/>
                <w:szCs w:val="20"/>
              </w:rPr>
            </w:pPr>
            <w:r w:rsidRPr="00724C1E">
              <w:rPr>
                <w:rFonts w:ascii="Open Sans" w:hAnsi="Open Sans" w:cs="Open Sans"/>
                <w:sz w:val="20"/>
                <w:szCs w:val="20"/>
              </w:rPr>
              <w:t xml:space="preserve">Informe de Gobierno Corporativo </w:t>
            </w:r>
            <w:r>
              <w:rPr>
                <w:rFonts w:ascii="Open Sans" w:hAnsi="Open Sans" w:cs="Open Sans"/>
                <w:sz w:val="20"/>
                <w:szCs w:val="20"/>
              </w:rPr>
              <w:t>ACS</w:t>
            </w:r>
            <w:r w:rsidRPr="00724C1E">
              <w:rPr>
                <w:rFonts w:ascii="Open Sans" w:hAnsi="Open Sans" w:cs="Open Sans"/>
                <w:sz w:val="20"/>
                <w:szCs w:val="20"/>
              </w:rPr>
              <w:t xml:space="preserve">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441D2EA" w14:textId="77777777" w:rsidR="003E002C" w:rsidRPr="00724C1E" w:rsidRDefault="003E002C" w:rsidP="003E002C">
            <w:pPr>
              <w:jc w:val="both"/>
              <w:rPr>
                <w:rFonts w:ascii="Open Sans" w:eastAsia="Arial Unicode MS" w:hAnsi="Open Sans" w:cs="Open Sans"/>
                <w:sz w:val="20"/>
                <w:szCs w:val="20"/>
              </w:rPr>
            </w:pPr>
          </w:p>
        </w:tc>
      </w:tr>
      <w:tr w:rsidR="003E002C" w:rsidRPr="00724C1E" w14:paraId="37257926" w14:textId="77777777" w:rsidTr="003E002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633A9AD5" w14:textId="77777777" w:rsidR="003E002C" w:rsidRPr="00724C1E" w:rsidRDefault="003E002C" w:rsidP="003E002C">
            <w:pPr>
              <w:rPr>
                <w:rFonts w:ascii="Open Sans" w:hAnsi="Open Sans" w:cs="Open Sans"/>
                <w:sz w:val="20"/>
                <w:szCs w:val="20"/>
              </w:rPr>
            </w:pPr>
            <w:r w:rsidRPr="00724C1E">
              <w:rPr>
                <w:rFonts w:ascii="Open Sans" w:hAnsi="Open Sans" w:cs="Open Sans"/>
                <w:sz w:val="20"/>
                <w:szCs w:val="20"/>
              </w:rPr>
              <w:t>Otras fuentes como bases de datos de empresas registradas o informes aparecidos en medios de comunicación</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5A52D796" w14:textId="77777777" w:rsidR="003E002C" w:rsidRPr="00724C1E" w:rsidRDefault="003E002C" w:rsidP="003E002C">
            <w:pPr>
              <w:jc w:val="both"/>
              <w:rPr>
                <w:rFonts w:ascii="Open Sans" w:eastAsia="Arial Unicode MS" w:hAnsi="Open Sans" w:cs="Open Sans"/>
                <w:sz w:val="20"/>
                <w:szCs w:val="20"/>
              </w:rPr>
            </w:pPr>
          </w:p>
        </w:tc>
      </w:tr>
    </w:tbl>
    <w:p w14:paraId="33A5709C" w14:textId="77777777" w:rsidR="003E002C" w:rsidRDefault="003E002C" w:rsidP="003E002C">
      <w:pPr>
        <w:jc w:val="both"/>
        <w:rPr>
          <w:rFonts w:ascii="Open Sans" w:hAnsi="Open Sans" w:cs="Open Sans"/>
          <w:b/>
          <w:sz w:val="20"/>
          <w:szCs w:val="20"/>
        </w:rPr>
      </w:pPr>
    </w:p>
    <w:p w14:paraId="6CDDE749" w14:textId="77777777" w:rsidR="003E002C" w:rsidRPr="00724C1E" w:rsidRDefault="003E002C" w:rsidP="003E002C">
      <w:pPr>
        <w:jc w:val="both"/>
        <w:rPr>
          <w:rFonts w:ascii="Open Sans" w:hAnsi="Open Sans" w:cs="Open Sans"/>
          <w:b/>
          <w:sz w:val="20"/>
          <w:szCs w:val="20"/>
        </w:rPr>
      </w:pPr>
    </w:p>
    <w:p w14:paraId="17FEDAD3" w14:textId="77777777" w:rsidR="003E002C" w:rsidRPr="00724C1E" w:rsidRDefault="003E002C" w:rsidP="003E002C">
      <w:pPr>
        <w:jc w:val="both"/>
        <w:rPr>
          <w:rFonts w:ascii="Open Sans" w:hAnsi="Open Sans" w:cs="Open Sans"/>
          <w:b/>
          <w:sz w:val="20"/>
          <w:szCs w:val="20"/>
        </w:rPr>
      </w:pPr>
    </w:p>
    <w:p w14:paraId="271D9B82" w14:textId="77777777" w:rsidR="003E002C" w:rsidRPr="00E87996" w:rsidRDefault="003E002C" w:rsidP="003E002C">
      <w:pPr>
        <w:jc w:val="both"/>
        <w:rPr>
          <w:rFonts w:ascii="Open Sans" w:hAnsi="Open Sans" w:cs="Open Sans"/>
          <w:b/>
          <w:sz w:val="22"/>
          <w:szCs w:val="22"/>
          <w:u w:val="single"/>
        </w:rPr>
      </w:pPr>
      <w:r w:rsidRPr="00E87996">
        <w:rPr>
          <w:rFonts w:ascii="Open Sans" w:hAnsi="Open Sans" w:cs="Open Sans"/>
          <w:b/>
          <w:sz w:val="22"/>
          <w:szCs w:val="22"/>
          <w:u w:val="single"/>
        </w:rPr>
        <w:t>2. Tablas de resultados</w:t>
      </w:r>
    </w:p>
    <w:p w14:paraId="35E38F50" w14:textId="77777777" w:rsidR="003E002C" w:rsidRDefault="003E002C" w:rsidP="003E002C">
      <w:pPr>
        <w:jc w:val="center"/>
        <w:rPr>
          <w:rFonts w:ascii="Open Sans" w:hAnsi="Open Sans" w:cs="Open Sans"/>
          <w:b/>
          <w:color w:val="FF0000"/>
          <w:sz w:val="20"/>
          <w:szCs w:val="20"/>
        </w:rPr>
      </w:pPr>
    </w:p>
    <w:p w14:paraId="5A9AE8ED" w14:textId="77777777" w:rsidR="00EE6C92" w:rsidRDefault="00EE6C92" w:rsidP="003E002C">
      <w:pPr>
        <w:jc w:val="center"/>
        <w:rPr>
          <w:rFonts w:ascii="Open Sans" w:hAnsi="Open Sans" w:cs="Open Sans"/>
          <w:b/>
          <w:color w:val="FF0000"/>
          <w:sz w:val="20"/>
          <w:szCs w:val="20"/>
        </w:rPr>
      </w:pPr>
    </w:p>
    <w:p w14:paraId="75FDB5AB" w14:textId="77777777" w:rsidR="003E002C" w:rsidRPr="007829A9" w:rsidRDefault="003E002C" w:rsidP="003E002C">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212F5783" w14:textId="77777777" w:rsidR="003E002C" w:rsidRPr="00732FD5" w:rsidRDefault="003E002C" w:rsidP="003E002C">
      <w:pPr>
        <w:rPr>
          <w:rFonts w:ascii="Open Sans" w:hAnsi="Open Sans" w:cs="Arial"/>
          <w:b/>
        </w:rPr>
      </w:pPr>
    </w:p>
    <w:p w14:paraId="303CEFC4" w14:textId="77777777" w:rsidR="003E002C" w:rsidRDefault="003E002C" w:rsidP="003E002C">
      <w:pPr>
        <w:jc w:val="center"/>
      </w:pPr>
    </w:p>
    <w:p w14:paraId="2CC70E5E" w14:textId="77777777" w:rsidR="003E002C" w:rsidRDefault="003E002C" w:rsidP="003E002C">
      <w:pPr>
        <w:jc w:val="center"/>
        <w:rPr>
          <w:rFonts w:ascii="Open Sans" w:hAnsi="Open Sans" w:cs="Open Sans"/>
          <w:b/>
          <w:color w:val="FF0000"/>
          <w:sz w:val="20"/>
          <w:szCs w:val="20"/>
        </w:rPr>
      </w:pPr>
      <w:r w:rsidRPr="00B61D9F">
        <w:rPr>
          <w:noProof/>
          <w:lang w:val="es-ES"/>
        </w:rPr>
        <w:drawing>
          <wp:inline distT="0" distB="0" distL="0" distR="0" wp14:anchorId="0480CB05" wp14:editId="5BF92866">
            <wp:extent cx="3686175" cy="18288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6B7EEFA8" w14:textId="77777777" w:rsidR="003E002C" w:rsidRDefault="003E002C" w:rsidP="003E002C">
      <w:pPr>
        <w:jc w:val="center"/>
        <w:rPr>
          <w:rFonts w:ascii="Open Sans" w:hAnsi="Open Sans" w:cs="Open Sans"/>
          <w:b/>
          <w:sz w:val="20"/>
          <w:szCs w:val="20"/>
        </w:rPr>
      </w:pPr>
    </w:p>
    <w:p w14:paraId="7FBCF31E" w14:textId="03E69FCC" w:rsidR="00EE6C92" w:rsidRDefault="00EE6C92">
      <w:pPr>
        <w:rPr>
          <w:rFonts w:ascii="Open Sans" w:hAnsi="Open Sans" w:cs="Open Sans"/>
          <w:b/>
          <w:sz w:val="20"/>
          <w:szCs w:val="20"/>
        </w:rPr>
      </w:pPr>
      <w:r>
        <w:rPr>
          <w:rFonts w:ascii="Open Sans" w:hAnsi="Open Sans" w:cs="Open Sans"/>
          <w:b/>
          <w:sz w:val="20"/>
          <w:szCs w:val="20"/>
        </w:rPr>
        <w:br w:type="page"/>
      </w:r>
    </w:p>
    <w:p w14:paraId="0EC7C61B" w14:textId="77777777" w:rsidR="003E002C" w:rsidRPr="00724C1E" w:rsidRDefault="003E002C" w:rsidP="00EE6C92">
      <w:pPr>
        <w:rPr>
          <w:rFonts w:ascii="Open Sans" w:hAnsi="Open Sans" w:cs="Open Sans"/>
          <w:b/>
          <w:sz w:val="20"/>
          <w:szCs w:val="20"/>
        </w:rPr>
      </w:pPr>
    </w:p>
    <w:p w14:paraId="2107A532" w14:textId="77777777" w:rsidR="003E002C" w:rsidRPr="00E87996" w:rsidRDefault="003E002C" w:rsidP="003E002C">
      <w:pPr>
        <w:tabs>
          <w:tab w:val="left" w:pos="4068"/>
        </w:tabs>
        <w:jc w:val="both"/>
        <w:rPr>
          <w:rFonts w:ascii="Open Sans" w:hAnsi="Open Sans" w:cs="Open Sans"/>
          <w:b/>
          <w:sz w:val="22"/>
          <w:szCs w:val="22"/>
        </w:rPr>
      </w:pPr>
      <w:r w:rsidRPr="00E87996">
        <w:rPr>
          <w:rFonts w:ascii="Open Sans" w:hAnsi="Open Sans" w:cs="Open Sans"/>
          <w:b/>
          <w:sz w:val="22"/>
          <w:szCs w:val="22"/>
          <w:u w:val="single"/>
        </w:rPr>
        <w:t>3. Contexto general</w:t>
      </w:r>
    </w:p>
    <w:p w14:paraId="3D592929" w14:textId="77777777" w:rsidR="003E002C" w:rsidRPr="00724C1E" w:rsidRDefault="003E002C" w:rsidP="003E002C">
      <w:pPr>
        <w:jc w:val="both"/>
        <w:rPr>
          <w:rFonts w:ascii="Open Sans" w:hAnsi="Open Sans" w:cs="Open Sans"/>
          <w:b/>
          <w:sz w:val="20"/>
          <w:szCs w:val="20"/>
        </w:rPr>
      </w:pPr>
    </w:p>
    <w:p w14:paraId="208CD400" w14:textId="77777777" w:rsidR="003E002C" w:rsidRDefault="003E002C" w:rsidP="003E002C">
      <w:pPr>
        <w:jc w:val="both"/>
        <w:rPr>
          <w:rFonts w:ascii="Open Sans" w:hAnsi="Open Sans" w:cs="Open Sans"/>
          <w:sz w:val="20"/>
          <w:szCs w:val="20"/>
        </w:rPr>
      </w:pPr>
      <w:r w:rsidRPr="003B523D">
        <w:rPr>
          <w:rFonts w:ascii="Open Sans" w:hAnsi="Open Sans" w:cs="Open Sans"/>
          <w:sz w:val="20"/>
          <w:szCs w:val="20"/>
        </w:rPr>
        <w:t xml:space="preserve">Aena es el principal operador aeroportuario del mundo por número de pasajeros. Gestiona 46 aeropuertos, dos de ellos (Adolfo Suarez y El Prat) entre los diez más importantes de Europa, y dos helipuertos. 16 aeropuertos los gestiona fuera de España, doce en México, dos en Colombia, uno en Reino Unido y uno indirectamente a través de GAP en Jamaica. En 2015 los ingresos comerciales ordinarios alcanzaron 907,9 millones de euros, un 14,9% más que en 2014. Los ingresos totales fueron de 3.517.788 miles de euros, lo que supuso un 11,1% más que en 2014. Su fuente de negocio son principalmente las tasas aeroportuarias, los ingresos de la actividad comercial (publicidad, cesión de espacios…) y el aportado por el negocio internacional. </w:t>
      </w:r>
    </w:p>
    <w:p w14:paraId="55ADD020" w14:textId="77777777" w:rsidR="003E002C" w:rsidRPr="003B523D" w:rsidRDefault="003E002C" w:rsidP="003E002C">
      <w:pPr>
        <w:jc w:val="both"/>
        <w:rPr>
          <w:rFonts w:ascii="Open Sans" w:hAnsi="Open Sans" w:cs="Open Sans"/>
          <w:sz w:val="20"/>
          <w:szCs w:val="20"/>
        </w:rPr>
      </w:pPr>
    </w:p>
    <w:p w14:paraId="08164A73" w14:textId="77777777" w:rsidR="003E002C" w:rsidRDefault="003E002C" w:rsidP="003E002C">
      <w:pPr>
        <w:jc w:val="both"/>
        <w:rPr>
          <w:rFonts w:ascii="Open Sans" w:hAnsi="Open Sans" w:cs="Open Sans"/>
          <w:sz w:val="20"/>
          <w:szCs w:val="20"/>
        </w:rPr>
      </w:pPr>
      <w:r w:rsidRPr="003B523D">
        <w:rPr>
          <w:rFonts w:ascii="Open Sans" w:hAnsi="Open Sans" w:cs="Open Sans"/>
          <w:sz w:val="20"/>
          <w:szCs w:val="20"/>
        </w:rPr>
        <w:t xml:space="preserve">La compañía se constituyó en 1991 y, desde sus orígenes, una de sus principales características ha sido la simbiosis entre sus funciones públicas, para lo que se rige por la legislación pública; y sus relaciones patrimoniales y de contratación, para lo que se rige por el ordenamiento jurídico privado. En 2011 se creó, mediante el Real Decreto-ley 13/2010, Aena Aeropuertos, S.A., que en 2014 pasó a denominarse Aena S.A. En este mismo año, la entidad pública empresarial Aeropuertos Españoles y Navegación Aérea, Aena, pasó a denominarse Enaire. Las competencias de Enaire abarcan materias de navegación y espacio aéreo, además de la coordinación operativa nacional e internacional de la red nacional de gestión del tráfico aéreo. </w:t>
      </w:r>
    </w:p>
    <w:p w14:paraId="5A32C3B1" w14:textId="77777777" w:rsidR="003E002C" w:rsidRPr="003B523D" w:rsidRDefault="003E002C" w:rsidP="003E002C">
      <w:pPr>
        <w:jc w:val="both"/>
        <w:rPr>
          <w:rFonts w:ascii="Open Sans" w:hAnsi="Open Sans" w:cs="Open Sans"/>
          <w:sz w:val="20"/>
          <w:szCs w:val="20"/>
        </w:rPr>
      </w:pPr>
    </w:p>
    <w:p w14:paraId="688A33B1" w14:textId="77777777" w:rsidR="003E002C" w:rsidRPr="006979F3" w:rsidRDefault="003E002C" w:rsidP="003E002C">
      <w:pPr>
        <w:jc w:val="both"/>
        <w:rPr>
          <w:rFonts w:ascii="Open Sans" w:hAnsi="Open Sans" w:cs="Open Sans"/>
          <w:sz w:val="20"/>
          <w:szCs w:val="20"/>
        </w:rPr>
      </w:pPr>
      <w:r w:rsidRPr="003B523D">
        <w:rPr>
          <w:rFonts w:ascii="Open Sans" w:hAnsi="Open Sans" w:cs="Open Sans"/>
          <w:sz w:val="20"/>
          <w:szCs w:val="20"/>
        </w:rPr>
        <w:t>El 11 de febrero de 2015 Aena S.A. inició su cotización en las cuatro bolsas españolas tras la Oferta Pública de Venta por el 49% de su capital, permaneciendo el 51% restante en propiedad del Estado, a través de la Entidad Pública Empresarial Enaire. Posteriormente, en junio de 2015, Aena entró a formar parte del Ibex 35 y por eso la empresa es objeto de este análisis por primer año. El debut en el parqué fue todo un éxito, como demuestra la evolución de la cotización, con una revalorización al cierre del ejercicio del 81,7%, alcanzando los 105,4 euros por acción, frente a una evolución a la baja de 7,9% del IBEX 35.</w:t>
      </w:r>
      <w:r>
        <w:rPr>
          <w:rFonts w:ascii="Open Sans" w:hAnsi="Open Sans" w:cs="Open Sans"/>
          <w:sz w:val="20"/>
          <w:szCs w:val="20"/>
        </w:rPr>
        <w:t xml:space="preserve"> El proceso de privatización no ha estado exento de polémica por diversos motivos, entre ellos el precio de venta de la Oferta Pública de Venta (OPV) que según distintas fuentes estaba infravalorado. </w:t>
      </w:r>
      <w:r w:rsidRPr="006979F3">
        <w:rPr>
          <w:rFonts w:ascii="Open Sans" w:hAnsi="Open Sans" w:cs="Open Sans"/>
          <w:sz w:val="20"/>
          <w:szCs w:val="20"/>
        </w:rPr>
        <w:t>El sindicato CSIF pide la apertura de una comisión de investigación sobre la privatización de Aena</w:t>
      </w:r>
      <w:r>
        <w:rPr>
          <w:rStyle w:val="Refdenotaalpie"/>
          <w:rFonts w:ascii="Open Sans" w:hAnsi="Open Sans" w:cs="Open Sans"/>
          <w:sz w:val="20"/>
          <w:szCs w:val="20"/>
        </w:rPr>
        <w:footnoteReference w:id="618"/>
      </w:r>
    </w:p>
    <w:p w14:paraId="18EDF7B4" w14:textId="77777777" w:rsidR="003E002C" w:rsidRPr="003B523D" w:rsidRDefault="003E002C" w:rsidP="003E002C">
      <w:pPr>
        <w:jc w:val="both"/>
        <w:rPr>
          <w:rFonts w:ascii="Open Sans" w:hAnsi="Open Sans" w:cs="Open Sans"/>
          <w:sz w:val="20"/>
          <w:szCs w:val="20"/>
        </w:rPr>
      </w:pPr>
    </w:p>
    <w:p w14:paraId="7C44652A" w14:textId="77777777" w:rsidR="003E002C" w:rsidRDefault="003E002C" w:rsidP="003E002C">
      <w:pPr>
        <w:jc w:val="both"/>
        <w:rPr>
          <w:rFonts w:ascii="Open Sans" w:hAnsi="Open Sans" w:cs="Open Sans"/>
          <w:sz w:val="20"/>
          <w:szCs w:val="20"/>
        </w:rPr>
      </w:pPr>
      <w:r>
        <w:rPr>
          <w:rFonts w:ascii="Open Sans" w:hAnsi="Open Sans" w:cs="Open Sans"/>
          <w:sz w:val="20"/>
          <w:szCs w:val="20"/>
        </w:rPr>
        <w:t xml:space="preserve">A 31 de diciembre de 2015 no hay constancia de que Aena  tenga </w:t>
      </w:r>
      <w:r w:rsidRPr="00724C1E">
        <w:rPr>
          <w:rFonts w:ascii="Open Sans" w:hAnsi="Open Sans" w:cs="Open Sans"/>
          <w:sz w:val="20"/>
          <w:szCs w:val="20"/>
        </w:rPr>
        <w:t xml:space="preserve">presencia </w:t>
      </w:r>
      <w:r>
        <w:rPr>
          <w:rFonts w:ascii="Open Sans" w:hAnsi="Open Sans" w:cs="Open Sans"/>
          <w:sz w:val="20"/>
          <w:szCs w:val="20"/>
        </w:rPr>
        <w:t>en índices</w:t>
      </w:r>
      <w:r w:rsidRPr="00724C1E">
        <w:rPr>
          <w:rFonts w:ascii="Open Sans" w:hAnsi="Open Sans" w:cs="Open Sans"/>
          <w:sz w:val="20"/>
          <w:szCs w:val="20"/>
        </w:rPr>
        <w:t xml:space="preserve"> de sostenibilidad</w:t>
      </w:r>
      <w:r>
        <w:rPr>
          <w:rFonts w:ascii="Open Sans" w:hAnsi="Open Sans" w:cs="Open Sans"/>
          <w:sz w:val="20"/>
          <w:szCs w:val="20"/>
        </w:rPr>
        <w:t xml:space="preserve"> como el Dow Jones Sustainability o el FTSE4good. </w:t>
      </w:r>
      <w:r w:rsidRPr="00724C1E">
        <w:rPr>
          <w:rFonts w:ascii="Open Sans" w:hAnsi="Open Sans" w:cs="Open Sans"/>
          <w:sz w:val="20"/>
          <w:szCs w:val="20"/>
        </w:rPr>
        <w:t>Es importante señalar que varios de estos índices comienzan a contemplar los aspectos relativos a transparencia fiscal y fiscalidad responsable como criterio</w:t>
      </w:r>
      <w:r>
        <w:rPr>
          <w:rFonts w:ascii="Open Sans" w:hAnsi="Open Sans" w:cs="Open Sans"/>
          <w:sz w:val="20"/>
          <w:szCs w:val="20"/>
        </w:rPr>
        <w:t>s para la selección de empresas</w:t>
      </w:r>
      <w:r w:rsidRPr="00724C1E">
        <w:rPr>
          <w:rStyle w:val="Refdenotaalpie"/>
          <w:rFonts w:ascii="Open Sans" w:hAnsi="Open Sans" w:cs="Open Sans"/>
          <w:sz w:val="20"/>
          <w:szCs w:val="20"/>
        </w:rPr>
        <w:footnoteReference w:id="619"/>
      </w:r>
      <w:r>
        <w:rPr>
          <w:rFonts w:ascii="Open Sans" w:hAnsi="Open Sans" w:cs="Open Sans"/>
          <w:sz w:val="20"/>
          <w:szCs w:val="20"/>
        </w:rPr>
        <w:t>.</w:t>
      </w:r>
    </w:p>
    <w:p w14:paraId="66EA05F9" w14:textId="77777777" w:rsidR="003E002C" w:rsidRDefault="003E002C" w:rsidP="003E002C">
      <w:pPr>
        <w:jc w:val="both"/>
        <w:rPr>
          <w:rFonts w:ascii="Open Sans" w:hAnsi="Open Sans" w:cs="Open Sans"/>
          <w:sz w:val="20"/>
          <w:szCs w:val="20"/>
        </w:rPr>
      </w:pPr>
    </w:p>
    <w:p w14:paraId="3AF41C1E" w14:textId="77777777" w:rsidR="003E002C" w:rsidRPr="00724C1E" w:rsidRDefault="003E002C" w:rsidP="003E002C">
      <w:pPr>
        <w:jc w:val="both"/>
        <w:rPr>
          <w:rFonts w:ascii="Open Sans" w:hAnsi="Open Sans" w:cs="Open Sans"/>
          <w:sz w:val="20"/>
          <w:szCs w:val="20"/>
        </w:rPr>
      </w:pPr>
      <w:r w:rsidRPr="00E616E3">
        <w:rPr>
          <w:rFonts w:ascii="Open Sans" w:hAnsi="Open Sans" w:cs="Open Sans"/>
          <w:sz w:val="20"/>
          <w:szCs w:val="20"/>
        </w:rPr>
        <w:t xml:space="preserve">A nivel interno, </w:t>
      </w:r>
      <w:r>
        <w:rPr>
          <w:rFonts w:ascii="Open Sans" w:hAnsi="Open Sans" w:cs="Open Sans"/>
          <w:sz w:val="20"/>
          <w:szCs w:val="20"/>
        </w:rPr>
        <w:t>Aena</w:t>
      </w:r>
      <w:r w:rsidRPr="00E616E3">
        <w:rPr>
          <w:rFonts w:ascii="Open Sans" w:hAnsi="Open Sans" w:cs="Open Sans"/>
          <w:sz w:val="20"/>
          <w:szCs w:val="20"/>
        </w:rPr>
        <w:t xml:space="preserve"> a través de la información publicada</w:t>
      </w:r>
      <w:r>
        <w:rPr>
          <w:rFonts w:ascii="Open Sans" w:hAnsi="Open Sans" w:cs="Open Sans"/>
          <w:sz w:val="20"/>
          <w:szCs w:val="20"/>
        </w:rPr>
        <w:t>,</w:t>
      </w:r>
      <w:r w:rsidRPr="00E616E3">
        <w:rPr>
          <w:rFonts w:ascii="Open Sans" w:hAnsi="Open Sans" w:cs="Open Sans"/>
          <w:sz w:val="20"/>
          <w:szCs w:val="20"/>
        </w:rPr>
        <w:t xml:space="preserve"> manifiesta contar con algunos procedimientos en marcha para asegurar la adopción de buenas prácticas en el ámbito económico, social y medioambiental, como son el</w:t>
      </w:r>
      <w:r>
        <w:rPr>
          <w:rFonts w:ascii="Open Sans" w:hAnsi="Open Sans" w:cs="Open Sans"/>
          <w:sz w:val="20"/>
          <w:szCs w:val="20"/>
        </w:rPr>
        <w:t xml:space="preserve"> Código de Conducta, la  </w:t>
      </w:r>
      <w:r w:rsidRPr="003B523D">
        <w:rPr>
          <w:rFonts w:ascii="Open Sans" w:hAnsi="Open Sans" w:cs="Open Sans"/>
          <w:sz w:val="20"/>
          <w:szCs w:val="20"/>
        </w:rPr>
        <w:t xml:space="preserve">política marco de Responsabilidad Corporativa, el modelo de cumplimiento normativo o la existencia de un canal de denuncias, </w:t>
      </w:r>
      <w:r>
        <w:rPr>
          <w:rFonts w:ascii="Open Sans" w:hAnsi="Open Sans" w:cs="Open Sans"/>
          <w:sz w:val="20"/>
          <w:szCs w:val="20"/>
        </w:rPr>
        <w:t>n</w:t>
      </w:r>
      <w:r w:rsidRPr="00E616E3">
        <w:rPr>
          <w:rFonts w:ascii="Open Sans" w:hAnsi="Open Sans" w:cs="Open Sans"/>
          <w:sz w:val="20"/>
          <w:szCs w:val="20"/>
        </w:rPr>
        <w:t>o obstante, la información facilitada al respecto es escasa, no estando disponible al público mayor información sobre los mismos.</w:t>
      </w:r>
    </w:p>
    <w:p w14:paraId="41E76BA3" w14:textId="77777777" w:rsidR="003E002C" w:rsidRDefault="003E002C" w:rsidP="003E002C">
      <w:pPr>
        <w:autoSpaceDE w:val="0"/>
        <w:autoSpaceDN w:val="0"/>
        <w:adjustRightInd w:val="0"/>
        <w:jc w:val="both"/>
        <w:rPr>
          <w:rFonts w:ascii="Open Sans" w:hAnsi="Open Sans" w:cs="Open Sans"/>
          <w:sz w:val="20"/>
          <w:szCs w:val="20"/>
        </w:rPr>
      </w:pPr>
    </w:p>
    <w:p w14:paraId="6D79BCE5" w14:textId="77777777" w:rsidR="003E002C" w:rsidRDefault="003E002C" w:rsidP="003E002C">
      <w:pPr>
        <w:autoSpaceDE w:val="0"/>
        <w:autoSpaceDN w:val="0"/>
        <w:adjustRightInd w:val="0"/>
        <w:jc w:val="both"/>
        <w:rPr>
          <w:rFonts w:ascii="Open Sans" w:hAnsi="Open Sans" w:cs="Open Sans"/>
          <w:sz w:val="20"/>
          <w:szCs w:val="20"/>
        </w:rPr>
      </w:pPr>
    </w:p>
    <w:p w14:paraId="7250875D" w14:textId="77777777" w:rsidR="003E002C" w:rsidRPr="00E87996" w:rsidRDefault="003E002C" w:rsidP="003E002C">
      <w:pPr>
        <w:jc w:val="both"/>
        <w:rPr>
          <w:rFonts w:ascii="Open Sans" w:hAnsi="Open Sans" w:cs="Open Sans"/>
          <w:b/>
          <w:sz w:val="22"/>
          <w:szCs w:val="22"/>
          <w:u w:val="single"/>
        </w:rPr>
      </w:pPr>
      <w:r w:rsidRPr="00E87996">
        <w:rPr>
          <w:rFonts w:ascii="Open Sans" w:hAnsi="Open Sans" w:cs="Open Sans"/>
          <w:b/>
          <w:sz w:val="22"/>
          <w:szCs w:val="22"/>
          <w:u w:val="single"/>
        </w:rPr>
        <w:t>4. Análisis</w:t>
      </w:r>
    </w:p>
    <w:p w14:paraId="1665E376" w14:textId="77777777" w:rsidR="003E002C" w:rsidRDefault="003E002C" w:rsidP="003E002C"/>
    <w:p w14:paraId="5DD3F644" w14:textId="77777777" w:rsidR="003E002C" w:rsidRPr="00724C1E" w:rsidRDefault="003E002C" w:rsidP="003E002C">
      <w:pPr>
        <w:jc w:val="both"/>
        <w:rPr>
          <w:rFonts w:ascii="Open Sans" w:hAnsi="Open Sans" w:cs="Open Sans"/>
          <w:sz w:val="20"/>
          <w:szCs w:val="20"/>
        </w:rPr>
      </w:pPr>
      <w:r w:rsidRPr="00724C1E">
        <w:rPr>
          <w:rFonts w:ascii="Open Sans" w:hAnsi="Open Sans" w:cs="Open San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279B64B9" w14:textId="77777777" w:rsidR="003E002C" w:rsidRPr="00724C1E" w:rsidRDefault="003E002C" w:rsidP="003E002C">
      <w:pPr>
        <w:jc w:val="both"/>
        <w:rPr>
          <w:rFonts w:ascii="Open Sans" w:hAnsi="Open Sans" w:cs="Open Sans"/>
          <w:sz w:val="20"/>
          <w:szCs w:val="20"/>
        </w:rPr>
      </w:pPr>
    </w:p>
    <w:p w14:paraId="0F73D4C4" w14:textId="77777777" w:rsidR="003E002C" w:rsidRDefault="003E002C" w:rsidP="003E002C">
      <w:pPr>
        <w:jc w:val="both"/>
        <w:rPr>
          <w:rFonts w:ascii="Open Sans" w:hAnsi="Open Sans" w:cs="Open Sans"/>
          <w:sz w:val="20"/>
          <w:szCs w:val="20"/>
        </w:rPr>
      </w:pPr>
      <w:r w:rsidRPr="00724C1E">
        <w:rPr>
          <w:rFonts w:ascii="Open Sans" w:hAnsi="Open Sans" w:cs="Open Sans"/>
          <w:sz w:val="20"/>
          <w:szCs w:val="20"/>
        </w:rPr>
        <w:t xml:space="preserve">Con respecto a la presencia territorial de </w:t>
      </w:r>
      <w:r>
        <w:rPr>
          <w:rFonts w:ascii="Open Sans" w:hAnsi="Open Sans" w:cs="Open Sans"/>
          <w:sz w:val="20"/>
          <w:szCs w:val="20"/>
        </w:rPr>
        <w:t>Aena</w:t>
      </w:r>
      <w:r w:rsidRPr="00724C1E">
        <w:rPr>
          <w:rFonts w:ascii="Open Sans" w:hAnsi="Open Sans" w:cs="Open Sans"/>
          <w:sz w:val="20"/>
          <w:szCs w:val="20"/>
        </w:rPr>
        <w:t xml:space="preserve">, el grupo </w:t>
      </w:r>
      <w:r>
        <w:rPr>
          <w:rFonts w:ascii="Open Sans" w:hAnsi="Open Sans" w:cs="Open Sans"/>
          <w:sz w:val="20"/>
          <w:szCs w:val="20"/>
        </w:rPr>
        <w:t xml:space="preserve">no </w:t>
      </w:r>
      <w:r w:rsidRPr="00724C1E">
        <w:rPr>
          <w:rFonts w:ascii="Open Sans" w:hAnsi="Open Sans" w:cs="Open Sans"/>
          <w:sz w:val="20"/>
          <w:szCs w:val="20"/>
        </w:rPr>
        <w:t xml:space="preserve">cuenta con sociedades domiciliadas en países y territorios considerados </w:t>
      </w:r>
      <w:r>
        <w:rPr>
          <w:rFonts w:ascii="Open Sans" w:hAnsi="Open Sans" w:cs="Open Sans"/>
          <w:sz w:val="20"/>
          <w:szCs w:val="20"/>
        </w:rPr>
        <w:t xml:space="preserve">paraísos y </w:t>
      </w:r>
      <w:r w:rsidRPr="00724C1E">
        <w:rPr>
          <w:rFonts w:ascii="Open Sans" w:hAnsi="Open Sans" w:cs="Open Sans"/>
          <w:sz w:val="20"/>
          <w:szCs w:val="20"/>
        </w:rPr>
        <w:t xml:space="preserve">nicho fiscal de acuerdo con la metodología del Observatorio de RSC. </w:t>
      </w:r>
    </w:p>
    <w:p w14:paraId="69B62896" w14:textId="77777777" w:rsidR="003E002C" w:rsidRDefault="003E002C" w:rsidP="003E002C">
      <w:pPr>
        <w:jc w:val="both"/>
        <w:rPr>
          <w:rFonts w:ascii="Open Sans" w:hAnsi="Open Sans" w:cs="Open Sans"/>
          <w:sz w:val="20"/>
          <w:szCs w:val="20"/>
        </w:rPr>
      </w:pPr>
    </w:p>
    <w:p w14:paraId="0C3FE3FA" w14:textId="77777777" w:rsidR="003E002C" w:rsidRDefault="003E002C" w:rsidP="003E002C">
      <w:pPr>
        <w:jc w:val="both"/>
        <w:rPr>
          <w:rFonts w:ascii="Open Sans" w:hAnsi="Open Sans" w:cs="Open Sans"/>
          <w:sz w:val="20"/>
          <w:szCs w:val="20"/>
        </w:rPr>
      </w:pPr>
      <w:r>
        <w:rPr>
          <w:rFonts w:ascii="Open Sans" w:hAnsi="Open Sans" w:cs="Open Sans"/>
          <w:sz w:val="20"/>
          <w:szCs w:val="20"/>
        </w:rPr>
        <w:t>En relación a una fiscalidad responsable, la única referencia es la que Aena hace e</w:t>
      </w:r>
      <w:r w:rsidRPr="003A5D37">
        <w:rPr>
          <w:rFonts w:ascii="Open Sans" w:hAnsi="Open Sans" w:cs="Open Sans"/>
          <w:sz w:val="20"/>
          <w:szCs w:val="20"/>
        </w:rPr>
        <w:t xml:space="preserve">n su código de conducta en el punto 4.22 </w:t>
      </w:r>
      <w:r>
        <w:rPr>
          <w:rFonts w:ascii="Open Sans" w:hAnsi="Open Sans" w:cs="Open Sans"/>
          <w:sz w:val="20"/>
          <w:szCs w:val="20"/>
        </w:rPr>
        <w:t xml:space="preserve">en donde </w:t>
      </w:r>
      <w:r w:rsidRPr="003A5D37">
        <w:rPr>
          <w:rFonts w:ascii="Open Sans" w:hAnsi="Open Sans" w:cs="Open Sans"/>
          <w:sz w:val="20"/>
          <w:szCs w:val="20"/>
        </w:rPr>
        <w:t xml:space="preserve">establece que </w:t>
      </w:r>
      <w:r>
        <w:rPr>
          <w:rFonts w:ascii="Open Sans" w:hAnsi="Open Sans" w:cs="Open Sans"/>
          <w:sz w:val="20"/>
          <w:szCs w:val="20"/>
        </w:rPr>
        <w:t>“</w:t>
      </w:r>
      <w:r w:rsidRPr="003A5D37">
        <w:rPr>
          <w:rFonts w:ascii="Open Sans" w:hAnsi="Open Sans" w:cs="Open Sans"/>
          <w:sz w:val="20"/>
          <w:szCs w:val="20"/>
        </w:rPr>
        <w:t>prohíbe expresamente todas aquellas prácticas que supongan la elusión del pago de tributos o impuestos en perjuicio de la agencia tributaria, la seguridad social, o cualquier otro ente administrativo de las administraciones locales o regionales, por lo que las personas sujetas deberán evitar esas prácticas en todo momento</w:t>
      </w:r>
      <w:r>
        <w:rPr>
          <w:rFonts w:ascii="Open Sans" w:hAnsi="Open Sans" w:cs="Open Sans"/>
          <w:sz w:val="20"/>
          <w:szCs w:val="20"/>
        </w:rPr>
        <w:t>”</w:t>
      </w:r>
      <w:r w:rsidRPr="003A5D37">
        <w:rPr>
          <w:rFonts w:ascii="Open Sans" w:hAnsi="Open Sans" w:cs="Open Sans"/>
          <w:sz w:val="20"/>
          <w:szCs w:val="20"/>
        </w:rPr>
        <w:t xml:space="preserve">. </w:t>
      </w:r>
      <w:r>
        <w:rPr>
          <w:rFonts w:ascii="Open Sans" w:hAnsi="Open Sans" w:cs="Open Sans"/>
          <w:sz w:val="20"/>
          <w:szCs w:val="20"/>
        </w:rPr>
        <w:t xml:space="preserve"> </w:t>
      </w:r>
    </w:p>
    <w:p w14:paraId="0A19AD5D" w14:textId="77777777" w:rsidR="003E002C" w:rsidRDefault="003E002C" w:rsidP="003E002C">
      <w:pPr>
        <w:jc w:val="both"/>
        <w:rPr>
          <w:rFonts w:ascii="Open Sans" w:hAnsi="Open Sans" w:cs="Open Sans"/>
          <w:sz w:val="20"/>
          <w:szCs w:val="20"/>
        </w:rPr>
      </w:pPr>
    </w:p>
    <w:p w14:paraId="161C7D76" w14:textId="77777777" w:rsidR="003E002C"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La única información de Aena en relación a su estructura societaria y su presencia en paraísos fiscales se encuentra recogida en su informe de Buen Gobierno: “</w:t>
      </w:r>
      <w:r w:rsidRPr="00B21D6C">
        <w:rPr>
          <w:rFonts w:ascii="Open Sans" w:hAnsi="Open Sans" w:cs="Open Sans"/>
          <w:sz w:val="20"/>
          <w:szCs w:val="20"/>
        </w:rPr>
        <w:t>Es cometido de la Comisión de Auditoría informar, con carácter previo al Consejo de Administración, la creación o adquisición de</w:t>
      </w:r>
      <w:r>
        <w:rPr>
          <w:rFonts w:ascii="Open Sans" w:hAnsi="Open Sans" w:cs="Open Sans"/>
          <w:sz w:val="20"/>
          <w:szCs w:val="20"/>
        </w:rPr>
        <w:t xml:space="preserve"> </w:t>
      </w:r>
      <w:r w:rsidRPr="00B21D6C">
        <w:rPr>
          <w:rFonts w:ascii="Open Sans" w:hAnsi="Open Sans" w:cs="Open Sans"/>
          <w:sz w:val="20"/>
          <w:szCs w:val="20"/>
        </w:rPr>
        <w:t>participaciones en entidades de propósito especial o domiciliadas en países o territorios que teng</w:t>
      </w:r>
      <w:r>
        <w:rPr>
          <w:rFonts w:ascii="Open Sans" w:hAnsi="Open Sans" w:cs="Open Sans"/>
          <w:sz w:val="20"/>
          <w:szCs w:val="20"/>
        </w:rPr>
        <w:t xml:space="preserve">an la consideración de paraísos </w:t>
      </w:r>
      <w:r w:rsidRPr="00B21D6C">
        <w:rPr>
          <w:rFonts w:ascii="Open Sans" w:hAnsi="Open Sans" w:cs="Open Sans"/>
          <w:sz w:val="20"/>
          <w:szCs w:val="20"/>
        </w:rPr>
        <w:t>fiscales</w:t>
      </w:r>
      <w:r>
        <w:rPr>
          <w:rFonts w:ascii="Open Sans" w:hAnsi="Open Sans" w:cs="Open Sans"/>
          <w:sz w:val="20"/>
          <w:szCs w:val="20"/>
        </w:rPr>
        <w:t>”</w:t>
      </w:r>
      <w:r w:rsidRPr="00B21D6C">
        <w:rPr>
          <w:rFonts w:ascii="Open Sans" w:hAnsi="Open Sans" w:cs="Open Sans"/>
          <w:sz w:val="20"/>
          <w:szCs w:val="20"/>
        </w:rPr>
        <w:t>.</w:t>
      </w:r>
      <w:r>
        <w:rPr>
          <w:rFonts w:ascii="Open Sans" w:hAnsi="Open Sans" w:cs="Open Sans"/>
          <w:sz w:val="20"/>
          <w:szCs w:val="20"/>
        </w:rPr>
        <w:t xml:space="preserve"> S</w:t>
      </w:r>
      <w:r w:rsidRPr="00724C1E">
        <w:rPr>
          <w:rFonts w:ascii="Open Sans" w:hAnsi="Open Sans" w:cs="Open Sans"/>
          <w:sz w:val="20"/>
          <w:szCs w:val="20"/>
        </w:rPr>
        <w:t xml:space="preserve">in embargo </w:t>
      </w:r>
      <w:r>
        <w:rPr>
          <w:rFonts w:ascii="Open Sans" w:hAnsi="Open Sans" w:cs="Open Sans"/>
          <w:sz w:val="20"/>
          <w:szCs w:val="20"/>
        </w:rPr>
        <w:t xml:space="preserve">la empresa </w:t>
      </w:r>
      <w:r w:rsidRPr="00724C1E">
        <w:rPr>
          <w:rFonts w:ascii="Open Sans" w:hAnsi="Open Sans" w:cs="Open Sans"/>
          <w:sz w:val="20"/>
          <w:szCs w:val="20"/>
        </w:rPr>
        <w:t>no se posiciona con respecto a qué considera paraíso fiscal</w:t>
      </w:r>
      <w:r>
        <w:rPr>
          <w:rFonts w:ascii="Open Sans" w:hAnsi="Open Sans" w:cs="Open Sans"/>
          <w:sz w:val="20"/>
          <w:szCs w:val="20"/>
        </w:rPr>
        <w:t>,</w:t>
      </w:r>
      <w:r w:rsidRPr="00724C1E">
        <w:rPr>
          <w:rFonts w:ascii="Open Sans" w:hAnsi="Open Sans" w:cs="Open Sans"/>
          <w:sz w:val="20"/>
          <w:szCs w:val="20"/>
        </w:rPr>
        <w:t xml:space="preserve"> ni nicho fiscal</w:t>
      </w:r>
      <w:r>
        <w:rPr>
          <w:rFonts w:ascii="Open Sans" w:hAnsi="Open Sans" w:cs="Open Sans"/>
          <w:sz w:val="20"/>
          <w:szCs w:val="20"/>
        </w:rPr>
        <w:t xml:space="preserve">.  </w:t>
      </w:r>
      <w:r w:rsidRPr="00724C1E">
        <w:rPr>
          <w:rFonts w:ascii="Open Sans" w:hAnsi="Open Sans" w:cs="Open Sans"/>
          <w:sz w:val="20"/>
          <w:szCs w:val="20"/>
        </w:rPr>
        <w:t xml:space="preserve">El uso cada vez más frecuente de los nichos fiscales </w:t>
      </w:r>
      <w:r>
        <w:rPr>
          <w:rFonts w:ascii="Open Sans" w:hAnsi="Open Sans" w:cs="Open Sans"/>
          <w:sz w:val="20"/>
          <w:szCs w:val="20"/>
        </w:rPr>
        <w:t>por parte de las empresas multinacionales es puesto</w:t>
      </w:r>
      <w:r w:rsidRPr="00724C1E">
        <w:rPr>
          <w:rFonts w:ascii="Open Sans" w:hAnsi="Open Sans" w:cs="Open Sans"/>
          <w:sz w:val="20"/>
          <w:szCs w:val="20"/>
        </w:rPr>
        <w:t xml:space="preserve">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685552">
        <w:rPr>
          <w:vertAlign w:val="superscript"/>
        </w:rPr>
        <w:footnoteReference w:id="620"/>
      </w:r>
      <w:r w:rsidRPr="00724C1E">
        <w:rPr>
          <w:rFonts w:ascii="Open Sans" w:hAnsi="Open Sans" w:cs="Open Sans"/>
          <w:sz w:val="20"/>
          <w:szCs w:val="20"/>
        </w:rPr>
        <w:t>.</w:t>
      </w:r>
    </w:p>
    <w:p w14:paraId="5E05E5F1" w14:textId="77777777" w:rsidR="003E002C" w:rsidRDefault="003E002C" w:rsidP="003E002C">
      <w:pPr>
        <w:autoSpaceDE w:val="0"/>
        <w:autoSpaceDN w:val="0"/>
        <w:adjustRightInd w:val="0"/>
        <w:jc w:val="both"/>
        <w:rPr>
          <w:rFonts w:ascii="Open Sans" w:hAnsi="Open Sans" w:cs="Open Sans"/>
          <w:sz w:val="20"/>
          <w:szCs w:val="20"/>
        </w:rPr>
      </w:pPr>
    </w:p>
    <w:p w14:paraId="235332BB" w14:textId="77777777" w:rsidR="003E002C" w:rsidRPr="00724C1E"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Pese a que no se han identificado sociedades dependientes en territorios considerados paraísos o nichos fiscales, el segundo principal accionista por detrás de la entidad pública empresarial Enaire es la sociedad </w:t>
      </w:r>
      <w:r w:rsidRPr="00386181">
        <w:rPr>
          <w:rFonts w:ascii="Open Sans" w:hAnsi="Open Sans" w:cs="Open Sans"/>
          <w:sz w:val="20"/>
          <w:szCs w:val="20"/>
        </w:rPr>
        <w:t xml:space="preserve">The Children's Investment Fund </w:t>
      </w:r>
      <w:r>
        <w:rPr>
          <w:rFonts w:ascii="Open Sans" w:hAnsi="Open Sans" w:cs="Open Sans"/>
          <w:sz w:val="20"/>
          <w:szCs w:val="20"/>
        </w:rPr>
        <w:t xml:space="preserve"> (</w:t>
      </w:r>
      <w:r w:rsidRPr="00386181">
        <w:rPr>
          <w:rFonts w:ascii="Open Sans" w:hAnsi="Open Sans" w:cs="Open Sans"/>
          <w:sz w:val="20"/>
          <w:szCs w:val="20"/>
        </w:rPr>
        <w:t>TCI</w:t>
      </w:r>
      <w:r>
        <w:rPr>
          <w:rFonts w:ascii="Open Sans" w:hAnsi="Open Sans" w:cs="Open Sans"/>
          <w:sz w:val="20"/>
          <w:szCs w:val="20"/>
        </w:rPr>
        <w:t>)</w:t>
      </w:r>
      <w:r w:rsidRPr="00386181">
        <w:rPr>
          <w:rFonts w:ascii="Open Sans" w:hAnsi="Open Sans" w:cs="Open Sans"/>
          <w:sz w:val="20"/>
          <w:szCs w:val="20"/>
        </w:rPr>
        <w:t xml:space="preserve"> </w:t>
      </w:r>
      <w:r>
        <w:rPr>
          <w:rFonts w:ascii="Open Sans" w:hAnsi="Open Sans" w:cs="Open Sans"/>
          <w:sz w:val="20"/>
          <w:szCs w:val="20"/>
        </w:rPr>
        <w:t xml:space="preserve">con un </w:t>
      </w:r>
      <w:r w:rsidRPr="00386181">
        <w:rPr>
          <w:rFonts w:ascii="Open Sans" w:hAnsi="Open Sans" w:cs="Open Sans"/>
          <w:sz w:val="20"/>
          <w:szCs w:val="20"/>
        </w:rPr>
        <w:t xml:space="preserve">11,32% del capital. </w:t>
      </w:r>
      <w:r>
        <w:rPr>
          <w:rFonts w:ascii="Open Sans" w:hAnsi="Open Sans" w:cs="Open Sans"/>
          <w:sz w:val="20"/>
          <w:szCs w:val="20"/>
        </w:rPr>
        <w:t>Esta s</w:t>
      </w:r>
      <w:r w:rsidRPr="00386181">
        <w:rPr>
          <w:rFonts w:ascii="Open Sans" w:hAnsi="Open Sans" w:cs="Open Sans"/>
          <w:sz w:val="20"/>
          <w:szCs w:val="20"/>
        </w:rPr>
        <w:t xml:space="preserve">ociedad </w:t>
      </w:r>
      <w:r>
        <w:rPr>
          <w:rFonts w:ascii="Open Sans" w:hAnsi="Open Sans" w:cs="Open Sans"/>
          <w:sz w:val="20"/>
          <w:szCs w:val="20"/>
        </w:rPr>
        <w:t xml:space="preserve">está </w:t>
      </w:r>
      <w:r w:rsidRPr="00386181">
        <w:rPr>
          <w:rFonts w:ascii="Open Sans" w:hAnsi="Open Sans" w:cs="Open Sans"/>
          <w:sz w:val="20"/>
          <w:szCs w:val="20"/>
        </w:rPr>
        <w:t xml:space="preserve">radicada en Luxemburgo </w:t>
      </w:r>
      <w:r>
        <w:rPr>
          <w:rFonts w:ascii="Open Sans" w:hAnsi="Open Sans" w:cs="Open Sans"/>
          <w:sz w:val="20"/>
          <w:szCs w:val="20"/>
        </w:rPr>
        <w:t>y c</w:t>
      </w:r>
      <w:r w:rsidRPr="00386181">
        <w:rPr>
          <w:rFonts w:ascii="Open Sans" w:hAnsi="Open Sans" w:cs="Open Sans"/>
          <w:sz w:val="20"/>
          <w:szCs w:val="20"/>
        </w:rPr>
        <w:t>uyo único accionista es una filial radicada en las Islas Caimán, territorio británico dependiente del Reino Unido al que la Agencia Tributaria española considera un </w:t>
      </w:r>
      <w:hyperlink r:id="rId131" w:history="1">
        <w:r w:rsidRPr="00386181">
          <w:rPr>
            <w:rFonts w:ascii="Open Sans" w:hAnsi="Open Sans" w:cs="Open Sans"/>
            <w:sz w:val="20"/>
            <w:szCs w:val="20"/>
          </w:rPr>
          <w:t>paraíso fiscal</w:t>
        </w:r>
      </w:hyperlink>
      <w:r w:rsidRPr="00386181">
        <w:rPr>
          <w:rFonts w:ascii="Open Sans" w:hAnsi="Open Sans" w:cs="Open Sans"/>
          <w:sz w:val="20"/>
          <w:szCs w:val="20"/>
        </w:rPr>
        <w:t>.</w:t>
      </w:r>
      <w:r>
        <w:rPr>
          <w:rFonts w:ascii="Open Sans" w:hAnsi="Open Sans" w:cs="Open Sans"/>
          <w:sz w:val="20"/>
          <w:szCs w:val="20"/>
        </w:rPr>
        <w:t xml:space="preserve"> </w:t>
      </w:r>
      <w:r w:rsidRPr="002C6115">
        <w:rPr>
          <w:rFonts w:ascii="Open Sans" w:hAnsi="Open Sans" w:cs="Open Sans"/>
          <w:sz w:val="20"/>
          <w:szCs w:val="20"/>
        </w:rPr>
        <w:t>La sede de ese fondo</w:t>
      </w:r>
      <w:r>
        <w:rPr>
          <w:rFonts w:ascii="Open Sans" w:hAnsi="Open Sans" w:cs="Open Sans"/>
          <w:sz w:val="20"/>
          <w:szCs w:val="20"/>
        </w:rPr>
        <w:t>, de acuerdo con información aparecida en prensa,</w:t>
      </w:r>
      <w:r w:rsidRPr="002C6115">
        <w:rPr>
          <w:rFonts w:ascii="Open Sans" w:hAnsi="Open Sans" w:cs="Open Sans"/>
          <w:sz w:val="20"/>
          <w:szCs w:val="20"/>
        </w:rPr>
        <w:t xml:space="preserve"> está en Ugland House, un edificio de cinco plantas donde están registradas más de 18.000 empresas que utilizan este territorio completamente opaco como tapadera fiscal</w:t>
      </w:r>
      <w:r>
        <w:rPr>
          <w:rStyle w:val="Refdenotaalpie"/>
          <w:rFonts w:ascii="Open Sans" w:hAnsi="Open Sans" w:cs="Open Sans"/>
          <w:sz w:val="20"/>
          <w:szCs w:val="20"/>
        </w:rPr>
        <w:footnoteReference w:id="621"/>
      </w:r>
      <w:r w:rsidRPr="002C6115">
        <w:rPr>
          <w:rFonts w:ascii="Open Sans" w:hAnsi="Open Sans" w:cs="Open Sans"/>
          <w:sz w:val="20"/>
          <w:szCs w:val="20"/>
        </w:rPr>
        <w:t>.</w:t>
      </w:r>
    </w:p>
    <w:p w14:paraId="49CE0427" w14:textId="77777777" w:rsidR="003E002C" w:rsidRDefault="003E002C" w:rsidP="003E002C">
      <w:pPr>
        <w:jc w:val="both"/>
        <w:rPr>
          <w:rFonts w:ascii="Open Sans" w:hAnsi="Open Sans" w:cs="Open Sans"/>
          <w:sz w:val="20"/>
          <w:szCs w:val="20"/>
        </w:rPr>
      </w:pPr>
    </w:p>
    <w:p w14:paraId="7F822C4C" w14:textId="77777777" w:rsidR="003E002C"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Aena considera entidades dependientes aquellas sobre las que el Grupo tiene poder para dirigir las políticas financieras y de explotación que generalmente viene acompañado de una participación superior a la mitad de los derechos de voto. En sus cuentas anuales detalla </w:t>
      </w:r>
      <w:proofErr w:type="gramStart"/>
      <w:r>
        <w:rPr>
          <w:rFonts w:ascii="Open Sans" w:hAnsi="Open Sans" w:cs="Open Sans"/>
          <w:sz w:val="20"/>
          <w:szCs w:val="20"/>
        </w:rPr>
        <w:t>la estructura societaria de aquellas filiales</w:t>
      </w:r>
      <w:proofErr w:type="gramEnd"/>
      <w:r>
        <w:rPr>
          <w:rFonts w:ascii="Open Sans" w:hAnsi="Open Sans" w:cs="Open Sans"/>
          <w:sz w:val="20"/>
          <w:szCs w:val="20"/>
        </w:rPr>
        <w:t xml:space="preserve"> con una participación superior al 50% y su participación en sociedades asociadas a través de las que gestiona una parte importante del negocio internacional. No obstante no es posible conocer el </w:t>
      </w:r>
      <w:r w:rsidRPr="00724C1E">
        <w:rPr>
          <w:rFonts w:ascii="Open Sans" w:hAnsi="Open Sans" w:cs="Open Sans"/>
          <w:sz w:val="20"/>
          <w:szCs w:val="20"/>
        </w:rPr>
        <w:t xml:space="preserve">número de empleados vinculados con </w:t>
      </w:r>
      <w:r>
        <w:rPr>
          <w:rFonts w:ascii="Open Sans" w:hAnsi="Open Sans" w:cs="Open Sans"/>
          <w:sz w:val="20"/>
          <w:szCs w:val="20"/>
        </w:rPr>
        <w:t>las sociedades dependientes</w:t>
      </w:r>
      <w:r w:rsidRPr="00724C1E">
        <w:rPr>
          <w:rFonts w:ascii="Open Sans" w:hAnsi="Open Sans" w:cs="Open Sans"/>
          <w:sz w:val="20"/>
          <w:szCs w:val="20"/>
        </w:rPr>
        <w:t xml:space="preserve">, facturación, beneficios e impuestos pagados. </w:t>
      </w:r>
      <w:r>
        <w:rPr>
          <w:rFonts w:ascii="Open Sans" w:hAnsi="Open Sans" w:cs="Open Sans"/>
          <w:sz w:val="20"/>
          <w:szCs w:val="20"/>
        </w:rPr>
        <w:t>L</w:t>
      </w:r>
      <w:r w:rsidRPr="002F3B1E">
        <w:rPr>
          <w:rFonts w:ascii="Open Sans" w:hAnsi="Open Sans" w:cs="Open Sans"/>
          <w:sz w:val="20"/>
          <w:szCs w:val="20"/>
        </w:rPr>
        <w:t>a empresa no detalla el número de trabajadores, directos e indirectos, adscritos a cada país</w:t>
      </w:r>
      <w:r>
        <w:rPr>
          <w:rFonts w:ascii="Open Sans" w:hAnsi="Open Sans" w:cs="Open Sans"/>
          <w:sz w:val="20"/>
          <w:szCs w:val="20"/>
        </w:rPr>
        <w:t xml:space="preserve">, </w:t>
      </w:r>
      <w:r w:rsidRPr="002F3B1E">
        <w:rPr>
          <w:rFonts w:ascii="Open Sans" w:hAnsi="Open Sans" w:cs="Open Sans"/>
          <w:sz w:val="20"/>
          <w:szCs w:val="20"/>
        </w:rPr>
        <w:t xml:space="preserve"> y</w:t>
      </w:r>
      <w:r>
        <w:rPr>
          <w:rFonts w:ascii="Open Sans" w:hAnsi="Open Sans" w:cs="Open Sans"/>
          <w:sz w:val="20"/>
          <w:szCs w:val="20"/>
        </w:rPr>
        <w:t xml:space="preserve"> a cada una de las sociedades. </w:t>
      </w:r>
    </w:p>
    <w:p w14:paraId="3FEA6189" w14:textId="77777777" w:rsidR="003E002C" w:rsidRPr="00724C1E" w:rsidRDefault="003E002C" w:rsidP="003E002C">
      <w:pPr>
        <w:autoSpaceDE w:val="0"/>
        <w:autoSpaceDN w:val="0"/>
        <w:adjustRightInd w:val="0"/>
        <w:jc w:val="both"/>
        <w:rPr>
          <w:rFonts w:ascii="Open Sans" w:hAnsi="Open Sans" w:cs="Open Sans"/>
          <w:sz w:val="20"/>
          <w:szCs w:val="20"/>
        </w:rPr>
      </w:pPr>
    </w:p>
    <w:p w14:paraId="1DAC9D43" w14:textId="77777777" w:rsidR="003E002C"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No hay constancia de la existencia de una política o estrategia fiscal por parte de Aena. En relación a los riesgos de carácter fiscal, </w:t>
      </w:r>
      <w:r w:rsidRPr="00932DC2">
        <w:rPr>
          <w:rFonts w:ascii="Open Sans" w:hAnsi="Open Sans" w:cs="Open Sans"/>
          <w:sz w:val="20"/>
          <w:szCs w:val="20"/>
        </w:rPr>
        <w:t>en el informe de buen gobierno</w:t>
      </w:r>
      <w:r>
        <w:rPr>
          <w:rFonts w:ascii="Open Sans" w:hAnsi="Open Sans" w:cs="Open Sans"/>
          <w:sz w:val="20"/>
          <w:szCs w:val="20"/>
        </w:rPr>
        <w:t xml:space="preserve"> afirma que l</w:t>
      </w:r>
      <w:r w:rsidRPr="00932DC2">
        <w:rPr>
          <w:rFonts w:ascii="Open Sans" w:hAnsi="Open Sans" w:cs="Open Sans"/>
          <w:sz w:val="20"/>
          <w:szCs w:val="20"/>
        </w:rPr>
        <w:t>a</w:t>
      </w:r>
      <w:r>
        <w:rPr>
          <w:rFonts w:ascii="Open Sans" w:hAnsi="Open Sans" w:cs="Open Sans"/>
          <w:sz w:val="20"/>
          <w:szCs w:val="20"/>
        </w:rPr>
        <w:t xml:space="preserve"> organización tiene establecida </w:t>
      </w:r>
      <w:r w:rsidRPr="00932DC2">
        <w:rPr>
          <w:rFonts w:ascii="Open Sans" w:hAnsi="Open Sans" w:cs="Open Sans"/>
          <w:sz w:val="20"/>
          <w:szCs w:val="20"/>
        </w:rPr>
        <w:t xml:space="preserve">una </w:t>
      </w:r>
      <w:r>
        <w:rPr>
          <w:rFonts w:ascii="Open Sans" w:hAnsi="Open Sans" w:cs="Open Sans"/>
          <w:sz w:val="20"/>
          <w:szCs w:val="20"/>
        </w:rPr>
        <w:t xml:space="preserve">activa gestión de riesgos, incluidos los fiscales. Sin embargo no los enumera y no detalla las medidas adoptadas para que el riesgo no sea efectivo. En sus cuentas anuales hace referencia a los </w:t>
      </w:r>
      <w:r w:rsidRPr="00742ED4">
        <w:rPr>
          <w:rFonts w:ascii="Open Sans" w:hAnsi="Open Sans" w:cs="Open Sans"/>
          <w:sz w:val="20"/>
          <w:szCs w:val="20"/>
        </w:rPr>
        <w:t xml:space="preserve">riesgos de tipo regulatorio, operativo y financieros (de mercado, de crédito, de liquidez) pero no </w:t>
      </w:r>
      <w:r>
        <w:rPr>
          <w:rFonts w:ascii="Open Sans" w:hAnsi="Open Sans" w:cs="Open Sans"/>
          <w:sz w:val="20"/>
          <w:szCs w:val="20"/>
        </w:rPr>
        <w:t>a los riesgos de tipo fiscal</w:t>
      </w:r>
      <w:r w:rsidRPr="00742ED4">
        <w:rPr>
          <w:rFonts w:ascii="Open Sans" w:hAnsi="Open Sans" w:cs="Open Sans"/>
          <w:sz w:val="20"/>
          <w:szCs w:val="20"/>
        </w:rPr>
        <w:t>. En el informe de buen gobierno menciona como riesgo fiscal "</w:t>
      </w:r>
      <w:r w:rsidRPr="00E87996">
        <w:rPr>
          <w:rFonts w:ascii="Open Sans" w:hAnsi="Open Sans" w:cs="Open Sans"/>
          <w:i/>
          <w:sz w:val="20"/>
          <w:szCs w:val="20"/>
        </w:rPr>
        <w:t>cambios en la legislación fiscal podrían dar lugar a impuestos adicionales u otros perjuicios para la situación fiscal de Aena</w:t>
      </w:r>
      <w:r>
        <w:rPr>
          <w:rFonts w:ascii="Open Sans" w:hAnsi="Open Sans" w:cs="Open Sans"/>
          <w:sz w:val="20"/>
          <w:szCs w:val="20"/>
        </w:rPr>
        <w:t>". Afirma que no se ha materia</w:t>
      </w:r>
      <w:r w:rsidRPr="00742ED4">
        <w:rPr>
          <w:rFonts w:ascii="Open Sans" w:hAnsi="Open Sans" w:cs="Open Sans"/>
          <w:sz w:val="20"/>
          <w:szCs w:val="20"/>
        </w:rPr>
        <w:t>li</w:t>
      </w:r>
      <w:r>
        <w:rPr>
          <w:rFonts w:ascii="Open Sans" w:hAnsi="Open Sans" w:cs="Open Sans"/>
          <w:sz w:val="20"/>
          <w:szCs w:val="20"/>
        </w:rPr>
        <w:t>za</w:t>
      </w:r>
      <w:r w:rsidRPr="00742ED4">
        <w:rPr>
          <w:rFonts w:ascii="Open Sans" w:hAnsi="Open Sans" w:cs="Open Sans"/>
          <w:sz w:val="20"/>
          <w:szCs w:val="20"/>
        </w:rPr>
        <w:t>do ningún riesgo fiscal durante el ejercicio.</w:t>
      </w:r>
      <w:r w:rsidRPr="00386181">
        <w:rPr>
          <w:rFonts w:ascii="Open Sans" w:hAnsi="Open Sans" w:cs="Open Sans"/>
          <w:sz w:val="20"/>
          <w:szCs w:val="20"/>
        </w:rPr>
        <w:t xml:space="preserve"> </w:t>
      </w:r>
      <w:r>
        <w:rPr>
          <w:rFonts w:ascii="Open Sans" w:hAnsi="Open Sans" w:cs="Open Sans"/>
          <w:sz w:val="20"/>
          <w:szCs w:val="20"/>
        </w:rPr>
        <w:t xml:space="preserve">No obstante, en la información analizada no se han  encontrado evidencias de qué considera Aena riesgo fiscal,  el </w:t>
      </w:r>
      <w:r w:rsidRPr="00724C1E">
        <w:rPr>
          <w:rFonts w:ascii="Open Sans" w:hAnsi="Open Sans" w:cs="Open Sans"/>
          <w:sz w:val="20"/>
          <w:szCs w:val="20"/>
        </w:rPr>
        <w:t xml:space="preserve"> sistema de identificación de riesgos</w:t>
      </w:r>
      <w:r w:rsidRPr="00386181">
        <w:rPr>
          <w:rFonts w:ascii="Open Sans" w:hAnsi="Open Sans" w:cs="Open Sans"/>
          <w:sz w:val="20"/>
          <w:szCs w:val="20"/>
        </w:rPr>
        <w:t xml:space="preserve"> </w:t>
      </w:r>
      <w:r w:rsidRPr="00724C1E">
        <w:rPr>
          <w:rFonts w:ascii="Open Sans" w:hAnsi="Open Sans" w:cs="Open Sans"/>
          <w:sz w:val="20"/>
          <w:szCs w:val="20"/>
        </w:rPr>
        <w:t xml:space="preserve">y </w:t>
      </w:r>
      <w:r>
        <w:rPr>
          <w:rFonts w:ascii="Open Sans" w:hAnsi="Open Sans" w:cs="Open Sans"/>
          <w:sz w:val="20"/>
          <w:szCs w:val="20"/>
        </w:rPr>
        <w:t xml:space="preserve">el </w:t>
      </w:r>
      <w:r w:rsidRPr="00724C1E">
        <w:rPr>
          <w:rFonts w:ascii="Open Sans" w:hAnsi="Open Sans" w:cs="Open Sans"/>
          <w:sz w:val="20"/>
          <w:szCs w:val="20"/>
        </w:rPr>
        <w:t xml:space="preserve">proceso de monitorización y mejora </w:t>
      </w:r>
      <w:proofErr w:type="gramStart"/>
      <w:r>
        <w:rPr>
          <w:rFonts w:ascii="Open Sans" w:hAnsi="Open Sans" w:cs="Open Sans"/>
          <w:sz w:val="20"/>
          <w:szCs w:val="20"/>
        </w:rPr>
        <w:t>continua</w:t>
      </w:r>
      <w:proofErr w:type="gramEnd"/>
      <w:r w:rsidRPr="00724C1E">
        <w:rPr>
          <w:rFonts w:ascii="Open Sans" w:hAnsi="Open Sans" w:cs="Open Sans"/>
          <w:sz w:val="20"/>
          <w:szCs w:val="20"/>
        </w:rPr>
        <w:t xml:space="preserve"> de la efectivida</w:t>
      </w:r>
      <w:r>
        <w:rPr>
          <w:rFonts w:ascii="Open Sans" w:hAnsi="Open Sans" w:cs="Open Sans"/>
          <w:sz w:val="20"/>
          <w:szCs w:val="20"/>
        </w:rPr>
        <w:t>d de los controles establecidos</w:t>
      </w:r>
      <w:r w:rsidRPr="00724C1E">
        <w:rPr>
          <w:rFonts w:ascii="Open Sans" w:hAnsi="Open Sans" w:cs="Open Sans"/>
          <w:sz w:val="20"/>
          <w:szCs w:val="20"/>
        </w:rPr>
        <w:t>,</w:t>
      </w:r>
      <w:r>
        <w:rPr>
          <w:rFonts w:ascii="Open Sans" w:hAnsi="Open Sans" w:cs="Open Sans"/>
          <w:sz w:val="20"/>
          <w:szCs w:val="20"/>
        </w:rPr>
        <w:t xml:space="preserve"> en caso de que éstos existiesen.</w:t>
      </w:r>
    </w:p>
    <w:p w14:paraId="0219DAAD" w14:textId="77777777" w:rsidR="003E002C" w:rsidRDefault="003E002C" w:rsidP="003E002C">
      <w:pPr>
        <w:autoSpaceDE w:val="0"/>
        <w:autoSpaceDN w:val="0"/>
        <w:adjustRightInd w:val="0"/>
        <w:jc w:val="both"/>
        <w:rPr>
          <w:rFonts w:ascii="Open Sans" w:hAnsi="Open Sans" w:cs="Open Sans"/>
          <w:sz w:val="20"/>
          <w:szCs w:val="20"/>
        </w:rPr>
      </w:pPr>
    </w:p>
    <w:p w14:paraId="34E6CF54" w14:textId="77777777" w:rsidR="003E002C" w:rsidRPr="00724C1E"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Aena no está adherida </w:t>
      </w:r>
      <w:r w:rsidRPr="00724C1E">
        <w:rPr>
          <w:rFonts w:ascii="Open Sans" w:hAnsi="Open Sans" w:cs="Open Sans"/>
          <w:sz w:val="20"/>
          <w:szCs w:val="20"/>
        </w:rPr>
        <w:t>al Código de Buenas Prácticas Tributarias</w:t>
      </w:r>
      <w:r>
        <w:rPr>
          <w:rFonts w:ascii="Open Sans" w:hAnsi="Open Sans" w:cs="Open Sans"/>
          <w:sz w:val="20"/>
          <w:szCs w:val="20"/>
        </w:rPr>
        <w:t xml:space="preserve"> desarrollado por la agencia tributaria</w:t>
      </w:r>
      <w:r w:rsidRPr="00724C1E">
        <w:rPr>
          <w:rFonts w:ascii="Open Sans" w:hAnsi="Open Sans" w:cs="Open Sans"/>
          <w:sz w:val="20"/>
          <w:szCs w:val="20"/>
        </w:rPr>
        <w:t>.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w:t>
      </w:r>
      <w:r w:rsidRPr="00386181">
        <w:rPr>
          <w:rFonts w:ascii="Open Sans" w:hAnsi="Open Sans" w:cs="Open Sans"/>
          <w:sz w:val="20"/>
          <w:szCs w:val="20"/>
        </w:rPr>
        <w:t>offshore</w:t>
      </w:r>
      <w:r w:rsidRPr="00724C1E">
        <w:rPr>
          <w:rFonts w:ascii="Open Sans" w:hAnsi="Open Sans" w:cs="Open Sans"/>
          <w:sz w:val="20"/>
          <w:szCs w:val="20"/>
        </w:rPr>
        <w:t>, que favorecen la evasión fiscal</w:t>
      </w:r>
      <w:r>
        <w:rPr>
          <w:rFonts w:ascii="Open Sans" w:hAnsi="Open Sans" w:cs="Open Sans"/>
          <w:sz w:val="20"/>
          <w:szCs w:val="20"/>
        </w:rPr>
        <w:t xml:space="preserve">. No obstante, AENA afirma en su </w:t>
      </w:r>
      <w:r w:rsidRPr="002C6115">
        <w:rPr>
          <w:rFonts w:ascii="Open Sans" w:hAnsi="Open Sans" w:cs="Open Sans"/>
          <w:sz w:val="20"/>
          <w:szCs w:val="20"/>
        </w:rPr>
        <w:t xml:space="preserve">informe de buen gobierno que </w:t>
      </w:r>
      <w:r>
        <w:rPr>
          <w:rFonts w:ascii="Open Sans" w:hAnsi="Open Sans" w:cs="Open Sans"/>
          <w:sz w:val="20"/>
          <w:szCs w:val="20"/>
        </w:rPr>
        <w:t>“</w:t>
      </w:r>
      <w:r w:rsidRPr="002C6115">
        <w:rPr>
          <w:rFonts w:ascii="Open Sans" w:hAnsi="Open Sans" w:cs="Open Sans"/>
          <w:sz w:val="20"/>
          <w:szCs w:val="20"/>
        </w:rPr>
        <w:t>está plenamente comprometida a cumplir con las mejores prácticas de Gobierno Corporativo, transparencia, cooperación en asuntos fiscales y en colaboración con la agencia estatal de la administración tributaria, en la detención del fraude</w:t>
      </w:r>
      <w:r>
        <w:rPr>
          <w:rFonts w:ascii="Open Sans" w:hAnsi="Open Sans" w:cs="Open Sans"/>
          <w:sz w:val="20"/>
          <w:szCs w:val="20"/>
        </w:rPr>
        <w:t xml:space="preserve">”. Por otro lado, en su  código de conducta </w:t>
      </w:r>
      <w:r w:rsidRPr="002C6115">
        <w:rPr>
          <w:rFonts w:ascii="Open Sans" w:hAnsi="Open Sans" w:cs="Open Sans"/>
          <w:sz w:val="20"/>
          <w:szCs w:val="20"/>
        </w:rPr>
        <w:t xml:space="preserve">en </w:t>
      </w:r>
      <w:r>
        <w:rPr>
          <w:rFonts w:ascii="Open Sans" w:hAnsi="Open Sans" w:cs="Open Sans"/>
          <w:sz w:val="20"/>
          <w:szCs w:val="20"/>
        </w:rPr>
        <w:t>el punto 4.22 establece que Aena</w:t>
      </w:r>
      <w:r w:rsidRPr="002C6115">
        <w:rPr>
          <w:rFonts w:ascii="Open Sans" w:hAnsi="Open Sans" w:cs="Open Sans"/>
          <w:sz w:val="20"/>
          <w:szCs w:val="20"/>
        </w:rPr>
        <w:t xml:space="preserve"> prohíbe expresamente todas aquellas prácticas que supongan la elusión del pago de tributos o impuestos en perjuicio de la agencia tributaria, la seguridad social, o cualquier otro ente administrativo de las administraciones locales o regionales, por lo que las personas sujetas deberán evitar esas prácticas en todo momento.</w:t>
      </w:r>
    </w:p>
    <w:p w14:paraId="15AC9101" w14:textId="77777777" w:rsidR="003E002C" w:rsidRDefault="003E002C" w:rsidP="003E002C">
      <w:pPr>
        <w:autoSpaceDE w:val="0"/>
        <w:autoSpaceDN w:val="0"/>
        <w:adjustRightInd w:val="0"/>
        <w:jc w:val="both"/>
        <w:rPr>
          <w:rFonts w:ascii="Open Sans" w:hAnsi="Open Sans" w:cs="Open Sans"/>
          <w:sz w:val="20"/>
          <w:szCs w:val="20"/>
        </w:rPr>
      </w:pPr>
    </w:p>
    <w:p w14:paraId="1843826C" w14:textId="77777777" w:rsidR="003E002C"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De acuerdo con la información suministrada por Aena en su informe de Buen Gobierno la empresa cuenta con </w:t>
      </w:r>
      <w:r w:rsidRPr="00705DF9">
        <w:rPr>
          <w:rFonts w:ascii="Open Sans" w:hAnsi="Open Sans" w:cs="Open Sans"/>
          <w:sz w:val="20"/>
          <w:szCs w:val="20"/>
        </w:rPr>
        <w:t xml:space="preserve"> un </w:t>
      </w:r>
      <w:r>
        <w:rPr>
          <w:rFonts w:ascii="Open Sans" w:hAnsi="Open Sans" w:cs="Open Sans"/>
          <w:sz w:val="20"/>
          <w:szCs w:val="20"/>
        </w:rPr>
        <w:t xml:space="preserve">canal de denuncia limitado </w:t>
      </w:r>
      <w:r w:rsidRPr="00705DF9">
        <w:rPr>
          <w:rFonts w:ascii="Open Sans" w:hAnsi="Open Sans" w:cs="Open Sans"/>
          <w:sz w:val="20"/>
          <w:szCs w:val="20"/>
        </w:rPr>
        <w:t>a empleados</w:t>
      </w:r>
      <w:r>
        <w:rPr>
          <w:rFonts w:ascii="Open Sans" w:hAnsi="Open Sans" w:cs="Open Sans"/>
          <w:sz w:val="20"/>
          <w:szCs w:val="20"/>
        </w:rPr>
        <w:t xml:space="preserve">, sin embargo en la información facilitada </w:t>
      </w:r>
      <w:r w:rsidRPr="00705DF9">
        <w:rPr>
          <w:rFonts w:ascii="Open Sans" w:hAnsi="Open Sans" w:cs="Open Sans"/>
          <w:sz w:val="20"/>
          <w:szCs w:val="20"/>
        </w:rPr>
        <w:t>no queda claro el procedimiento</w:t>
      </w:r>
      <w:r>
        <w:rPr>
          <w:rFonts w:ascii="Open Sans" w:hAnsi="Open Sans" w:cs="Open Sans"/>
          <w:sz w:val="20"/>
          <w:szCs w:val="20"/>
        </w:rPr>
        <w:t xml:space="preserve"> y funcionamiento del mismo. </w:t>
      </w:r>
      <w:r w:rsidRPr="00705DF9">
        <w:rPr>
          <w:rFonts w:ascii="Open Sans" w:hAnsi="Open Sans" w:cs="Open Sans"/>
          <w:sz w:val="20"/>
          <w:szCs w:val="20"/>
        </w:rPr>
        <w:t xml:space="preserve">Menciona que </w:t>
      </w:r>
      <w:r>
        <w:rPr>
          <w:rFonts w:ascii="Open Sans" w:hAnsi="Open Sans" w:cs="Open Sans"/>
          <w:sz w:val="20"/>
          <w:szCs w:val="20"/>
        </w:rPr>
        <w:t xml:space="preserve">está gestionado por un Comité Gestor, formado por 5 miembros de la dirección. No obstante no explica el procedimiento para garantizar la confidencialidad del denunciante ni la gestión  verdaderamente independiente de las denuncias tramitadas. Tampoco informa sobre si existe conexión, en relación a las denuncias, entre el comité gestor y el consejo de administración.   No se ha encontrado en la documentación analizada información </w:t>
      </w:r>
      <w:r w:rsidRPr="00705DF9">
        <w:rPr>
          <w:rFonts w:ascii="Open Sans" w:hAnsi="Open Sans" w:cs="Open Sans"/>
          <w:sz w:val="20"/>
          <w:szCs w:val="20"/>
        </w:rPr>
        <w:t xml:space="preserve">sobre el número de denuncias recibidas, naturaleza de las mismas, </w:t>
      </w:r>
      <w:r>
        <w:rPr>
          <w:rFonts w:ascii="Open Sans" w:hAnsi="Open Sans" w:cs="Open Sans"/>
          <w:sz w:val="20"/>
          <w:szCs w:val="20"/>
        </w:rPr>
        <w:t xml:space="preserve">si existiese alguna en materia fiscal, </w:t>
      </w:r>
      <w:r w:rsidRPr="00705DF9">
        <w:rPr>
          <w:rFonts w:ascii="Open Sans" w:hAnsi="Open Sans" w:cs="Open Sans"/>
          <w:sz w:val="20"/>
          <w:szCs w:val="20"/>
        </w:rPr>
        <w:t xml:space="preserve">y </w:t>
      </w:r>
      <w:r>
        <w:rPr>
          <w:rFonts w:ascii="Open Sans" w:hAnsi="Open Sans" w:cs="Open Sans"/>
          <w:sz w:val="20"/>
          <w:szCs w:val="20"/>
        </w:rPr>
        <w:t xml:space="preserve">su </w:t>
      </w:r>
      <w:r w:rsidRPr="00705DF9">
        <w:rPr>
          <w:rFonts w:ascii="Open Sans" w:hAnsi="Open Sans" w:cs="Open Sans"/>
          <w:sz w:val="20"/>
          <w:szCs w:val="20"/>
        </w:rPr>
        <w:t>resolución</w:t>
      </w:r>
      <w:r>
        <w:rPr>
          <w:rFonts w:ascii="Open Sans" w:hAnsi="Open Sans" w:cs="Open Sans"/>
          <w:sz w:val="20"/>
          <w:szCs w:val="20"/>
        </w:rPr>
        <w:t>.</w:t>
      </w:r>
    </w:p>
    <w:p w14:paraId="70EF1F68" w14:textId="77777777" w:rsidR="003E002C" w:rsidRDefault="003E002C" w:rsidP="003E002C">
      <w:pPr>
        <w:autoSpaceDE w:val="0"/>
        <w:autoSpaceDN w:val="0"/>
        <w:adjustRightInd w:val="0"/>
        <w:jc w:val="both"/>
        <w:rPr>
          <w:rFonts w:ascii="Open Sans" w:hAnsi="Open Sans" w:cs="Open Sans"/>
          <w:sz w:val="20"/>
          <w:szCs w:val="20"/>
        </w:rPr>
      </w:pPr>
    </w:p>
    <w:p w14:paraId="2094BF23" w14:textId="77777777" w:rsidR="003E002C" w:rsidRDefault="003E002C" w:rsidP="003E002C">
      <w:pPr>
        <w:autoSpaceDE w:val="0"/>
        <w:autoSpaceDN w:val="0"/>
        <w:adjustRightInd w:val="0"/>
        <w:jc w:val="both"/>
        <w:rPr>
          <w:rFonts w:ascii="Open Sans" w:hAnsi="Open Sans" w:cs="Open Sans"/>
          <w:sz w:val="20"/>
          <w:szCs w:val="20"/>
        </w:rPr>
      </w:pPr>
      <w:r w:rsidRPr="002706BD">
        <w:rPr>
          <w:rFonts w:ascii="Open Sans" w:hAnsi="Open Sans" w:cs="Open Sans"/>
          <w:sz w:val="20"/>
          <w:szCs w:val="20"/>
        </w:rPr>
        <w:t>En relación a operacione</w:t>
      </w:r>
      <w:r>
        <w:rPr>
          <w:rFonts w:ascii="Open Sans" w:hAnsi="Open Sans" w:cs="Open Sans"/>
          <w:sz w:val="20"/>
          <w:szCs w:val="20"/>
        </w:rPr>
        <w:t xml:space="preserve">s intragrupo, </w:t>
      </w:r>
      <w:r w:rsidRPr="002706BD">
        <w:rPr>
          <w:rFonts w:ascii="Open Sans" w:hAnsi="Open Sans" w:cs="Open Sans"/>
          <w:sz w:val="20"/>
          <w:szCs w:val="20"/>
        </w:rPr>
        <w:t xml:space="preserve">la empresa presenta información de las ventas de bienes y servicios con partes vinculadas por valor de 8.331 miles de euros, en concepto de compras de bienes y servicios la cuantía asciende a </w:t>
      </w:r>
      <w:r>
        <w:rPr>
          <w:rFonts w:ascii="Open Sans" w:hAnsi="Open Sans" w:cs="Open Sans"/>
          <w:sz w:val="20"/>
          <w:szCs w:val="20"/>
        </w:rPr>
        <w:t>159.394 miles de euros</w:t>
      </w:r>
      <w:r w:rsidRPr="002706BD">
        <w:rPr>
          <w:rFonts w:ascii="Open Sans" w:hAnsi="Open Sans" w:cs="Open Sans"/>
          <w:sz w:val="20"/>
          <w:szCs w:val="20"/>
        </w:rPr>
        <w:t xml:space="preserve">. Informa que </w:t>
      </w:r>
      <w:r>
        <w:rPr>
          <w:rFonts w:ascii="Open Sans" w:hAnsi="Open Sans" w:cs="Open Sans"/>
          <w:sz w:val="20"/>
          <w:szCs w:val="20"/>
        </w:rPr>
        <w:t xml:space="preserve">el groso más importante de </w:t>
      </w:r>
      <w:r w:rsidRPr="002706BD">
        <w:rPr>
          <w:rFonts w:ascii="Open Sans" w:hAnsi="Open Sans" w:cs="Open Sans"/>
          <w:sz w:val="20"/>
          <w:szCs w:val="20"/>
        </w:rPr>
        <w:t>estas operaciones</w:t>
      </w:r>
      <w:r>
        <w:rPr>
          <w:rFonts w:ascii="Open Sans" w:hAnsi="Open Sans" w:cs="Open Sans"/>
          <w:sz w:val="20"/>
          <w:szCs w:val="20"/>
        </w:rPr>
        <w:t xml:space="preserve">, </w:t>
      </w:r>
      <w:r w:rsidRPr="002706BD">
        <w:rPr>
          <w:rFonts w:ascii="Open Sans" w:hAnsi="Open Sans" w:cs="Open Sans"/>
          <w:sz w:val="20"/>
          <w:szCs w:val="20"/>
        </w:rPr>
        <w:t>146.561 miles de euros</w:t>
      </w:r>
      <w:r>
        <w:rPr>
          <w:rFonts w:ascii="Open Sans" w:hAnsi="Open Sans" w:cs="Open Sans"/>
          <w:sz w:val="20"/>
          <w:szCs w:val="20"/>
        </w:rPr>
        <w:t>, corresponde</w:t>
      </w:r>
      <w:r w:rsidRPr="002706BD">
        <w:rPr>
          <w:rFonts w:ascii="Open Sans" w:hAnsi="Open Sans" w:cs="Open Sans"/>
          <w:sz w:val="20"/>
          <w:szCs w:val="20"/>
        </w:rPr>
        <w:t xml:space="preserve"> al servicio realizado por Enaire</w:t>
      </w:r>
      <w:r>
        <w:rPr>
          <w:rFonts w:ascii="Open Sans" w:hAnsi="Open Sans" w:cs="Open Sans"/>
          <w:sz w:val="20"/>
          <w:szCs w:val="20"/>
        </w:rPr>
        <w:t>, empresa pública y accionista mayoritario de la compañía,</w:t>
      </w:r>
      <w:r w:rsidRPr="002706BD">
        <w:rPr>
          <w:rFonts w:ascii="Open Sans" w:hAnsi="Open Sans" w:cs="Open Sans"/>
          <w:sz w:val="20"/>
          <w:szCs w:val="20"/>
        </w:rPr>
        <w:t xml:space="preserve"> </w:t>
      </w:r>
      <w:r>
        <w:rPr>
          <w:rFonts w:ascii="Open Sans" w:hAnsi="Open Sans" w:cs="Open Sans"/>
          <w:sz w:val="20"/>
          <w:szCs w:val="20"/>
        </w:rPr>
        <w:t xml:space="preserve">por el </w:t>
      </w:r>
      <w:r w:rsidRPr="002706BD">
        <w:rPr>
          <w:rFonts w:ascii="Open Sans" w:hAnsi="Open Sans" w:cs="Open Sans"/>
          <w:sz w:val="20"/>
          <w:szCs w:val="20"/>
        </w:rPr>
        <w:t xml:space="preserve">control de tránsito aéreo de aeródromo. En concepto de préstamos y derivados con partes vinculadas tiene contabilizados la cantidad de 9.461.518 miles de euros, todos ellos mantenidos con la empresa pública Enaire. Informa que los préstamos están formalizados en un 80% a tipo de interés fijo que oscilan entre el 0,29% y el 4,88%. </w:t>
      </w:r>
      <w:r>
        <w:rPr>
          <w:rFonts w:ascii="Open Sans" w:hAnsi="Open Sans" w:cs="Open Sans"/>
          <w:sz w:val="20"/>
          <w:szCs w:val="20"/>
        </w:rPr>
        <w:t>En relación a la fijación de los precios de transferencia, la empresa afirma en sus cuentas anuales que “</w:t>
      </w:r>
      <w:r w:rsidRPr="00B15CBC">
        <w:rPr>
          <w:rFonts w:ascii="Open Sans" w:hAnsi="Open Sans" w:cs="Open Sans"/>
          <w:sz w:val="20"/>
          <w:szCs w:val="20"/>
        </w:rPr>
        <w:t>todas las operaciones intragrupo se realizan a valores de mercado</w:t>
      </w:r>
      <w:r>
        <w:rPr>
          <w:rFonts w:ascii="Open Sans" w:hAnsi="Open Sans" w:cs="Open Sans"/>
          <w:sz w:val="20"/>
          <w:szCs w:val="20"/>
        </w:rPr>
        <w:t>”</w:t>
      </w:r>
      <w:r w:rsidRPr="00B15CBC">
        <w:rPr>
          <w:rFonts w:ascii="Open Sans" w:hAnsi="Open Sans" w:cs="Open Sans"/>
          <w:sz w:val="20"/>
          <w:szCs w:val="20"/>
        </w:rPr>
        <w:t>. Adicionalmente</w:t>
      </w:r>
      <w:r>
        <w:rPr>
          <w:rFonts w:ascii="Open Sans" w:hAnsi="Open Sans" w:cs="Open Sans"/>
          <w:sz w:val="20"/>
          <w:szCs w:val="20"/>
        </w:rPr>
        <w:t>, añade</w:t>
      </w:r>
      <w:r w:rsidRPr="00B15CBC">
        <w:rPr>
          <w:rFonts w:ascii="Open Sans" w:hAnsi="Open Sans" w:cs="Open Sans"/>
          <w:sz w:val="20"/>
          <w:szCs w:val="20"/>
        </w:rPr>
        <w:t xml:space="preserve"> </w:t>
      </w:r>
      <w:r>
        <w:rPr>
          <w:rFonts w:ascii="Open Sans" w:hAnsi="Open Sans" w:cs="Open Sans"/>
          <w:sz w:val="20"/>
          <w:szCs w:val="20"/>
        </w:rPr>
        <w:t>“</w:t>
      </w:r>
      <w:r w:rsidRPr="00B15CBC">
        <w:rPr>
          <w:rFonts w:ascii="Open Sans" w:hAnsi="Open Sans" w:cs="Open Sans"/>
          <w:sz w:val="20"/>
          <w:szCs w:val="20"/>
        </w:rPr>
        <w:t>los precios de transferencia se encuentran adecuadamente soportados</w:t>
      </w:r>
      <w:r>
        <w:rPr>
          <w:rFonts w:ascii="Open Sans" w:hAnsi="Open Sans" w:cs="Open Sans"/>
          <w:sz w:val="20"/>
          <w:szCs w:val="20"/>
        </w:rPr>
        <w:t xml:space="preserve">”. Sin embargo en la información analizada no especifica cómo se ajustan los “valores de mercado” y el procedimiento para fijar los precios de transferencia. </w:t>
      </w:r>
    </w:p>
    <w:p w14:paraId="057559D7" w14:textId="77777777" w:rsidR="003E002C" w:rsidRDefault="003E002C" w:rsidP="003E002C">
      <w:pPr>
        <w:autoSpaceDE w:val="0"/>
        <w:autoSpaceDN w:val="0"/>
        <w:adjustRightInd w:val="0"/>
        <w:jc w:val="both"/>
        <w:rPr>
          <w:rFonts w:ascii="Open Sans" w:hAnsi="Open Sans" w:cs="Open Sans"/>
          <w:sz w:val="20"/>
          <w:szCs w:val="20"/>
        </w:rPr>
      </w:pPr>
    </w:p>
    <w:p w14:paraId="02044275" w14:textId="77777777" w:rsidR="003E002C" w:rsidRDefault="003E002C" w:rsidP="003E002C">
      <w:p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Pese a los compromisos de Aena</w:t>
      </w:r>
      <w:r w:rsidRPr="00724C1E">
        <w:rPr>
          <w:rFonts w:ascii="Open Sans" w:eastAsia="Calibri" w:hAnsi="Open Sans" w:cs="Open Sans"/>
          <w:sz w:val="20"/>
          <w:szCs w:val="20"/>
        </w:rPr>
        <w:t xml:space="preserve"> </w:t>
      </w:r>
      <w:r>
        <w:rPr>
          <w:rFonts w:ascii="Open Sans" w:eastAsia="Calibri" w:hAnsi="Open Sans" w:cs="Open Sans"/>
          <w:sz w:val="20"/>
          <w:szCs w:val="20"/>
        </w:rPr>
        <w:t xml:space="preserve">en materia fiscal y de responsabilidad social, </w:t>
      </w:r>
      <w:r w:rsidRPr="00724C1E">
        <w:rPr>
          <w:rFonts w:ascii="Open Sans" w:eastAsia="Calibri" w:hAnsi="Open Sans" w:cs="Open Sans"/>
          <w:sz w:val="20"/>
          <w:szCs w:val="20"/>
        </w:rPr>
        <w:t xml:space="preserve">la </w:t>
      </w:r>
      <w:r>
        <w:rPr>
          <w:rFonts w:ascii="Open Sans" w:eastAsia="Calibri" w:hAnsi="Open Sans" w:cs="Open Sans"/>
          <w:sz w:val="20"/>
          <w:szCs w:val="20"/>
        </w:rPr>
        <w:t xml:space="preserve">empresa no presenta </w:t>
      </w:r>
      <w:r w:rsidRPr="00724C1E">
        <w:rPr>
          <w:rFonts w:ascii="Open Sans" w:eastAsia="Calibri" w:hAnsi="Open Sans" w:cs="Open Sans"/>
          <w:sz w:val="20"/>
          <w:szCs w:val="20"/>
        </w:rPr>
        <w:t xml:space="preserve">información en relación a su contribución en los países en los que tiene presencia y a través de sus sociedades dependientes.  </w:t>
      </w:r>
      <w:r>
        <w:rPr>
          <w:rFonts w:ascii="Open Sans" w:eastAsia="Calibri" w:hAnsi="Open Sans" w:cs="Open Sans"/>
          <w:sz w:val="20"/>
          <w:szCs w:val="20"/>
        </w:rPr>
        <w:t xml:space="preserve">No hay información del pago de impuestos desglosado por país, ni de ninguna otra partida relevante como facturación, beneficios, cálculo de base imponible o número de empleados. </w:t>
      </w:r>
    </w:p>
    <w:p w14:paraId="78764291" w14:textId="77777777" w:rsidR="003E002C" w:rsidRDefault="003E002C" w:rsidP="003E002C">
      <w:pPr>
        <w:autoSpaceDE w:val="0"/>
        <w:autoSpaceDN w:val="0"/>
        <w:adjustRightInd w:val="0"/>
        <w:jc w:val="both"/>
        <w:rPr>
          <w:rFonts w:ascii="Open Sans" w:eastAsia="Calibri" w:hAnsi="Open Sans" w:cs="Open Sans"/>
          <w:sz w:val="20"/>
          <w:szCs w:val="20"/>
        </w:rPr>
      </w:pPr>
    </w:p>
    <w:p w14:paraId="6BE49A21" w14:textId="77777777" w:rsidR="003E002C" w:rsidRDefault="003E002C" w:rsidP="003E002C">
      <w:pPr>
        <w:autoSpaceDE w:val="0"/>
        <w:autoSpaceDN w:val="0"/>
        <w:adjustRightInd w:val="0"/>
        <w:jc w:val="both"/>
        <w:rPr>
          <w:rFonts w:ascii="Open Sans" w:hAnsi="Open Sans" w:cs="Open Sans"/>
          <w:sz w:val="20"/>
          <w:szCs w:val="20"/>
        </w:rPr>
      </w:pPr>
      <w:r>
        <w:rPr>
          <w:rFonts w:ascii="Open Sans" w:eastAsia="Calibri" w:hAnsi="Open Sans" w:cs="Open Sans"/>
          <w:sz w:val="20"/>
          <w:szCs w:val="20"/>
        </w:rPr>
        <w:t xml:space="preserve">En relación al impuesto de sociedades, en las cuentas anuales consolidadas del Grupo, Aena informa en las cuentas anuales </w:t>
      </w:r>
      <w:r w:rsidRPr="0019286D">
        <w:rPr>
          <w:rFonts w:ascii="Open Sans" w:eastAsia="Calibri" w:hAnsi="Open Sans" w:cs="Open Sans"/>
          <w:sz w:val="20"/>
          <w:szCs w:val="20"/>
        </w:rPr>
        <w:t>que el tipo nominal es del 28%</w:t>
      </w:r>
      <w:r>
        <w:rPr>
          <w:rFonts w:ascii="Open Sans" w:eastAsia="Calibri" w:hAnsi="Open Sans" w:cs="Open Sans"/>
          <w:sz w:val="20"/>
          <w:szCs w:val="20"/>
        </w:rPr>
        <w:t xml:space="preserve"> para España</w:t>
      </w:r>
      <w:r w:rsidRPr="0019286D">
        <w:rPr>
          <w:rFonts w:ascii="Open Sans" w:eastAsia="Calibri" w:hAnsi="Open Sans" w:cs="Open Sans"/>
          <w:sz w:val="20"/>
          <w:szCs w:val="20"/>
        </w:rPr>
        <w:t xml:space="preserve"> </w:t>
      </w:r>
      <w:r>
        <w:rPr>
          <w:rFonts w:ascii="Open Sans" w:eastAsia="Calibri" w:hAnsi="Open Sans" w:cs="Open Sans"/>
          <w:sz w:val="20"/>
          <w:szCs w:val="20"/>
        </w:rPr>
        <w:t xml:space="preserve">pero no facilita información sobre el tipo efectivo. En las cuentas anuales se puede acceder a la información sobre </w:t>
      </w:r>
      <w:r w:rsidRPr="00810EF6">
        <w:rPr>
          <w:rFonts w:ascii="Open Sans" w:eastAsia="Calibri" w:hAnsi="Open Sans" w:cs="Open Sans"/>
          <w:sz w:val="20"/>
          <w:szCs w:val="20"/>
        </w:rPr>
        <w:t xml:space="preserve"> la conciliación </w:t>
      </w:r>
      <w:r>
        <w:rPr>
          <w:rFonts w:ascii="Open Sans" w:eastAsia="Calibri" w:hAnsi="Open Sans" w:cs="Open Sans"/>
          <w:sz w:val="20"/>
          <w:szCs w:val="20"/>
        </w:rPr>
        <w:t>del</w:t>
      </w:r>
      <w:r w:rsidRPr="00810EF6">
        <w:rPr>
          <w:rFonts w:ascii="Open Sans" w:eastAsia="Calibri" w:hAnsi="Open Sans" w:cs="Open Sans"/>
          <w:sz w:val="20"/>
          <w:szCs w:val="20"/>
        </w:rPr>
        <w:t xml:space="preserve"> resultado contable y el impuesto a pagar. Facilita información sobre el cálculo de la base imponible</w:t>
      </w:r>
      <w:r>
        <w:rPr>
          <w:rFonts w:ascii="Open Sans" w:eastAsia="Calibri" w:hAnsi="Open Sans" w:cs="Open Sans"/>
          <w:sz w:val="20"/>
          <w:szCs w:val="20"/>
        </w:rPr>
        <w:t xml:space="preserve">. No facilita información del impuesto sobre beneficios pagado por país ni el tipo nominal y efectivo en todos los países donde la empresa está presente. </w:t>
      </w:r>
      <w:r w:rsidRPr="00B20768">
        <w:rPr>
          <w:rFonts w:ascii="Open Sans" w:hAnsi="Open Sans" w:cs="Open Sans"/>
          <w:sz w:val="20"/>
          <w:szCs w:val="20"/>
        </w:rPr>
        <w:t>La empresa no informa sobre la existencia, en su caso,  de Tax rullin</w:t>
      </w:r>
      <w:r>
        <w:rPr>
          <w:rFonts w:ascii="Open Sans" w:hAnsi="Open Sans" w:cs="Open Sans"/>
          <w:sz w:val="20"/>
          <w:szCs w:val="20"/>
        </w:rPr>
        <w:t>g</w:t>
      </w:r>
      <w:r w:rsidRPr="00B20768">
        <w:rPr>
          <w:rFonts w:ascii="Open Sans" w:hAnsi="Open Sans" w:cs="Open Sans"/>
          <w:sz w:val="20"/>
          <w:szCs w:val="20"/>
        </w:rPr>
        <w:t xml:space="preserve">s. </w:t>
      </w:r>
    </w:p>
    <w:p w14:paraId="3BF9D282" w14:textId="77777777" w:rsidR="003E002C" w:rsidRDefault="003E002C" w:rsidP="003E002C">
      <w:pPr>
        <w:autoSpaceDE w:val="0"/>
        <w:autoSpaceDN w:val="0"/>
        <w:adjustRightInd w:val="0"/>
        <w:jc w:val="both"/>
        <w:rPr>
          <w:rFonts w:ascii="Open Sans" w:hAnsi="Open Sans" w:cs="Open Sans"/>
          <w:sz w:val="20"/>
          <w:szCs w:val="20"/>
        </w:rPr>
      </w:pPr>
    </w:p>
    <w:p w14:paraId="7A0D9C11" w14:textId="77777777" w:rsidR="003E002C"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Informa claramente de las deducciones </w:t>
      </w:r>
      <w:r w:rsidRPr="00810EF6">
        <w:rPr>
          <w:rFonts w:ascii="Open Sans" w:hAnsi="Open Sans" w:cs="Open Sans"/>
          <w:sz w:val="20"/>
          <w:szCs w:val="20"/>
        </w:rPr>
        <w:t>por conceptos: Canarias por inversión en activos fijos, doble imposición internacional y recuperación del 30% de no deducibilidad. Informa sobre el año generado, año de vencimiento, importe reconocido, registrado y aplicado en 2015.</w:t>
      </w:r>
    </w:p>
    <w:p w14:paraId="77292605" w14:textId="77777777" w:rsidR="003E002C" w:rsidRDefault="003E002C" w:rsidP="003E002C">
      <w:pPr>
        <w:autoSpaceDE w:val="0"/>
        <w:autoSpaceDN w:val="0"/>
        <w:adjustRightInd w:val="0"/>
        <w:jc w:val="both"/>
        <w:rPr>
          <w:rFonts w:ascii="Open Sans" w:hAnsi="Open Sans" w:cs="Open Sans"/>
          <w:sz w:val="20"/>
          <w:szCs w:val="20"/>
        </w:rPr>
      </w:pPr>
    </w:p>
    <w:p w14:paraId="00A47299" w14:textId="77777777" w:rsidR="003E002C" w:rsidRDefault="003E002C" w:rsidP="003E002C">
      <w:pPr>
        <w:autoSpaceDE w:val="0"/>
        <w:autoSpaceDN w:val="0"/>
        <w:adjustRightInd w:val="0"/>
        <w:jc w:val="both"/>
        <w:rPr>
          <w:rFonts w:ascii="Open Sans" w:hAnsi="Open Sans" w:cs="Open Sans"/>
          <w:sz w:val="20"/>
          <w:szCs w:val="20"/>
        </w:rPr>
      </w:pPr>
      <w:r w:rsidRPr="00724C1E">
        <w:rPr>
          <w:rFonts w:ascii="Open Sans" w:hAnsi="Open Sans" w:cs="Open Sans"/>
          <w:sz w:val="20"/>
          <w:szCs w:val="20"/>
        </w:rPr>
        <w:t>En cuanto a subvenciones recibidas</w:t>
      </w:r>
      <w:r>
        <w:rPr>
          <w:rFonts w:ascii="Open Sans" w:hAnsi="Open Sans" w:cs="Open Sans"/>
          <w:sz w:val="20"/>
          <w:szCs w:val="20"/>
        </w:rPr>
        <w:t>,</w:t>
      </w:r>
      <w:r w:rsidRPr="00724C1E">
        <w:rPr>
          <w:rFonts w:ascii="Open Sans" w:hAnsi="Open Sans" w:cs="Open Sans"/>
          <w:sz w:val="20"/>
          <w:szCs w:val="20"/>
        </w:rPr>
        <w:t xml:space="preserve"> </w:t>
      </w:r>
      <w:r w:rsidRPr="00810EF6">
        <w:rPr>
          <w:rFonts w:ascii="Open Sans" w:hAnsi="Open Sans" w:cs="Open Sans"/>
          <w:sz w:val="20"/>
          <w:szCs w:val="20"/>
        </w:rPr>
        <w:t xml:space="preserve">solamente menciona las subvenciones de capital de </w:t>
      </w:r>
      <w:r>
        <w:rPr>
          <w:rFonts w:ascii="Open Sans" w:hAnsi="Open Sans" w:cs="Open Sans"/>
          <w:sz w:val="20"/>
          <w:szCs w:val="20"/>
        </w:rPr>
        <w:t>organismos oficiales europeos. T</w:t>
      </w:r>
      <w:r w:rsidRPr="00810EF6">
        <w:rPr>
          <w:rFonts w:ascii="Open Sans" w:hAnsi="Open Sans" w:cs="Open Sans"/>
          <w:sz w:val="20"/>
          <w:szCs w:val="20"/>
        </w:rPr>
        <w:t xml:space="preserve">iene contabilizados a 31 de diciembre 610.250 miles de euros y ha imputado durante el ejercicio 45.928 miles de euros. </w:t>
      </w:r>
      <w:r>
        <w:rPr>
          <w:rFonts w:ascii="Open Sans" w:hAnsi="Open Sans" w:cs="Open Sans"/>
          <w:sz w:val="20"/>
          <w:szCs w:val="20"/>
        </w:rPr>
        <w:t xml:space="preserve">Afirma </w:t>
      </w:r>
      <w:r w:rsidRPr="00810EF6">
        <w:rPr>
          <w:rFonts w:ascii="Open Sans" w:hAnsi="Open Sans" w:cs="Open Sans"/>
          <w:sz w:val="20"/>
          <w:szCs w:val="20"/>
        </w:rPr>
        <w:t xml:space="preserve">que las subvenciones corresponden principalmente a recursos otorgados por el fondo de desarrollo regional para el desarrollo de infraestructuras aeroportuarias. </w:t>
      </w:r>
      <w:r>
        <w:rPr>
          <w:rFonts w:ascii="Open Sans" w:hAnsi="Open Sans" w:cs="Open Sans"/>
          <w:sz w:val="20"/>
          <w:szCs w:val="20"/>
        </w:rPr>
        <w:t xml:space="preserve"> La empresa m</w:t>
      </w:r>
      <w:r w:rsidRPr="00810EF6">
        <w:rPr>
          <w:rFonts w:ascii="Open Sans" w:hAnsi="Open Sans" w:cs="Open Sans"/>
          <w:sz w:val="20"/>
          <w:szCs w:val="20"/>
        </w:rPr>
        <w:t xml:space="preserve">antiene préstamos con el </w:t>
      </w:r>
      <w:r>
        <w:rPr>
          <w:rFonts w:ascii="Open Sans" w:hAnsi="Open Sans" w:cs="Open Sans"/>
          <w:sz w:val="20"/>
          <w:szCs w:val="20"/>
        </w:rPr>
        <w:t>Banco Europeo de Inversiones</w:t>
      </w:r>
      <w:r w:rsidRPr="00810EF6">
        <w:rPr>
          <w:rFonts w:ascii="Open Sans" w:hAnsi="Open Sans" w:cs="Open Sans"/>
          <w:sz w:val="20"/>
          <w:szCs w:val="20"/>
        </w:rPr>
        <w:t xml:space="preserve"> </w:t>
      </w:r>
      <w:r>
        <w:rPr>
          <w:rFonts w:ascii="Open Sans" w:hAnsi="Open Sans" w:cs="Open Sans"/>
          <w:sz w:val="20"/>
          <w:szCs w:val="20"/>
        </w:rPr>
        <w:t>y el Instituto de Crédito Oficial, s</w:t>
      </w:r>
      <w:r w:rsidRPr="00810EF6">
        <w:rPr>
          <w:rFonts w:ascii="Open Sans" w:hAnsi="Open Sans" w:cs="Open Sans"/>
          <w:sz w:val="20"/>
          <w:szCs w:val="20"/>
        </w:rPr>
        <w:t>e desconoce si el interés de estos préstamos o p</w:t>
      </w:r>
      <w:r>
        <w:rPr>
          <w:rFonts w:ascii="Open Sans" w:hAnsi="Open Sans" w:cs="Open Sans"/>
          <w:sz w:val="20"/>
          <w:szCs w:val="20"/>
        </w:rPr>
        <w:t xml:space="preserve">arte de él están subvencionados. Por otro lado </w:t>
      </w:r>
      <w:r w:rsidRPr="00810EF6">
        <w:rPr>
          <w:rFonts w:ascii="Open Sans" w:hAnsi="Open Sans" w:cs="Open Sans"/>
          <w:sz w:val="20"/>
          <w:szCs w:val="20"/>
        </w:rPr>
        <w:t xml:space="preserve"> </w:t>
      </w:r>
      <w:r>
        <w:rPr>
          <w:rFonts w:ascii="Open Sans" w:hAnsi="Open Sans" w:cs="Open Sans"/>
          <w:sz w:val="20"/>
          <w:szCs w:val="20"/>
        </w:rPr>
        <w:t xml:space="preserve">menciona </w:t>
      </w:r>
      <w:r w:rsidRPr="00810EF6">
        <w:rPr>
          <w:rFonts w:ascii="Open Sans" w:hAnsi="Open Sans" w:cs="Open Sans"/>
          <w:sz w:val="20"/>
          <w:szCs w:val="20"/>
        </w:rPr>
        <w:t xml:space="preserve">que entre los </w:t>
      </w:r>
      <w:r>
        <w:rPr>
          <w:rFonts w:ascii="Open Sans" w:hAnsi="Open Sans" w:cs="Open Sans"/>
          <w:sz w:val="20"/>
          <w:szCs w:val="20"/>
        </w:rPr>
        <w:t>objetiv</w:t>
      </w:r>
      <w:r w:rsidRPr="00810EF6">
        <w:rPr>
          <w:rFonts w:ascii="Open Sans" w:hAnsi="Open Sans" w:cs="Open Sans"/>
          <w:sz w:val="20"/>
          <w:szCs w:val="20"/>
        </w:rPr>
        <w:t>os del grupo de gestión de innovación sostenible de Aena se encuentran "Apoyar a las diferentes</w:t>
      </w:r>
      <w:r>
        <w:rPr>
          <w:rFonts w:ascii="Open Sans" w:hAnsi="Open Sans" w:cs="Open Sans"/>
          <w:sz w:val="20"/>
          <w:szCs w:val="20"/>
        </w:rPr>
        <w:t xml:space="preserve"> </w:t>
      </w:r>
      <w:r w:rsidRPr="00810EF6">
        <w:rPr>
          <w:rFonts w:ascii="Open Sans" w:hAnsi="Open Sans" w:cs="Open Sans"/>
          <w:sz w:val="20"/>
          <w:szCs w:val="20"/>
        </w:rPr>
        <w:t>unidades para la obtención de subvenciones europeas (EUROPA2020) y Nacionales (ayudas y deducciones fiscales)</w:t>
      </w:r>
      <w:r>
        <w:rPr>
          <w:rFonts w:ascii="Open Sans" w:hAnsi="Open Sans" w:cs="Open Sans"/>
          <w:sz w:val="20"/>
          <w:szCs w:val="20"/>
        </w:rPr>
        <w:t>”</w:t>
      </w:r>
      <w:r w:rsidRPr="00810EF6">
        <w:rPr>
          <w:rFonts w:ascii="Open Sans" w:hAnsi="Open Sans" w:cs="Open Sans"/>
          <w:sz w:val="20"/>
          <w:szCs w:val="20"/>
        </w:rPr>
        <w:t xml:space="preserve">.  </w:t>
      </w:r>
    </w:p>
    <w:p w14:paraId="3FCD16E6" w14:textId="77777777" w:rsidR="003E002C" w:rsidRDefault="003E002C" w:rsidP="003E002C">
      <w:pPr>
        <w:autoSpaceDE w:val="0"/>
        <w:autoSpaceDN w:val="0"/>
        <w:adjustRightInd w:val="0"/>
        <w:jc w:val="both"/>
        <w:rPr>
          <w:rFonts w:ascii="Open Sans" w:hAnsi="Open Sans" w:cs="Open Sans"/>
          <w:sz w:val="20"/>
          <w:szCs w:val="20"/>
        </w:rPr>
      </w:pPr>
    </w:p>
    <w:p w14:paraId="39F43BB0" w14:textId="77777777" w:rsidR="003E002C" w:rsidRDefault="003E002C" w:rsidP="003E002C">
      <w:pPr>
        <w:autoSpaceDE w:val="0"/>
        <w:autoSpaceDN w:val="0"/>
        <w:adjustRightInd w:val="0"/>
        <w:jc w:val="both"/>
        <w:rPr>
          <w:rFonts w:ascii="Open Sans" w:hAnsi="Open Sans" w:cs="Open Sans"/>
          <w:sz w:val="20"/>
          <w:szCs w:val="20"/>
        </w:rPr>
      </w:pPr>
      <w:r>
        <w:rPr>
          <w:rFonts w:ascii="Open Sans" w:hAnsi="Open Sans" w:cs="Open Sans"/>
          <w:sz w:val="20"/>
          <w:szCs w:val="20"/>
        </w:rPr>
        <w:t xml:space="preserve">En relación a las contingencias y litigios con las diversas agencias tributarias AENA informa que de </w:t>
      </w:r>
      <w:r w:rsidRPr="00810EF6">
        <w:rPr>
          <w:rFonts w:ascii="Open Sans" w:hAnsi="Open Sans" w:cs="Open Sans"/>
          <w:sz w:val="20"/>
          <w:szCs w:val="20"/>
        </w:rPr>
        <w:t xml:space="preserve"> la cifra total de provisiones por contingencias fiscales que asciende a la cantidad de   17</w:t>
      </w:r>
      <w:r>
        <w:rPr>
          <w:rFonts w:ascii="Open Sans" w:hAnsi="Open Sans" w:cs="Open Sans"/>
          <w:sz w:val="20"/>
          <w:szCs w:val="20"/>
        </w:rPr>
        <w:t>.</w:t>
      </w:r>
      <w:r w:rsidRPr="00810EF6">
        <w:rPr>
          <w:rFonts w:ascii="Open Sans" w:hAnsi="Open Sans" w:cs="Open Sans"/>
          <w:sz w:val="20"/>
          <w:szCs w:val="20"/>
        </w:rPr>
        <w:t>367 miles de</w:t>
      </w:r>
      <w:r>
        <w:rPr>
          <w:rFonts w:ascii="Open Sans" w:hAnsi="Open Sans" w:cs="Open Sans"/>
          <w:sz w:val="20"/>
          <w:szCs w:val="20"/>
        </w:rPr>
        <w:t xml:space="preserve"> </w:t>
      </w:r>
      <w:r w:rsidRPr="00810EF6">
        <w:rPr>
          <w:rFonts w:ascii="Open Sans" w:hAnsi="Open Sans" w:cs="Open Sans"/>
          <w:sz w:val="20"/>
          <w:szCs w:val="20"/>
        </w:rPr>
        <w:t>euros  por disconformidad con las liquidaciones recibidas por la administración fiscal de ciertos tributos locales ligados a los activos aeroportuario</w:t>
      </w:r>
      <w:r>
        <w:rPr>
          <w:rFonts w:ascii="Open Sans" w:hAnsi="Open Sans" w:cs="Open Sans"/>
          <w:sz w:val="20"/>
          <w:szCs w:val="20"/>
        </w:rPr>
        <w:t>.</w:t>
      </w:r>
    </w:p>
    <w:p w14:paraId="69A2B4D6" w14:textId="77777777" w:rsidR="003E002C" w:rsidRDefault="003E002C" w:rsidP="003E002C">
      <w:pPr>
        <w:autoSpaceDE w:val="0"/>
        <w:autoSpaceDN w:val="0"/>
        <w:adjustRightInd w:val="0"/>
        <w:jc w:val="both"/>
        <w:rPr>
          <w:rFonts w:ascii="Open Sans" w:hAnsi="Open Sans" w:cs="Open Sans"/>
          <w:sz w:val="20"/>
          <w:szCs w:val="20"/>
        </w:rPr>
      </w:pPr>
    </w:p>
    <w:p w14:paraId="22007725" w14:textId="77777777" w:rsidR="003E002C" w:rsidRDefault="003E002C" w:rsidP="003E002C">
      <w:pPr>
        <w:autoSpaceDE w:val="0"/>
        <w:autoSpaceDN w:val="0"/>
        <w:adjustRightInd w:val="0"/>
        <w:jc w:val="both"/>
        <w:rPr>
          <w:rFonts w:ascii="Open Sans" w:hAnsi="Open Sans" w:cs="Open Sans"/>
          <w:color w:val="000000"/>
          <w:sz w:val="20"/>
          <w:szCs w:val="20"/>
        </w:rPr>
      </w:pPr>
      <w:r>
        <w:rPr>
          <w:rFonts w:ascii="Open Sans" w:hAnsi="Open Sans" w:cs="Open Sans"/>
          <w:sz w:val="20"/>
          <w:szCs w:val="20"/>
        </w:rPr>
        <w:t>E</w:t>
      </w:r>
      <w:r w:rsidRPr="00F358CE">
        <w:rPr>
          <w:rFonts w:ascii="Open Sans" w:hAnsi="Open Sans" w:cs="Open Sans"/>
          <w:sz w:val="20"/>
          <w:szCs w:val="20"/>
        </w:rPr>
        <w:t>n</w:t>
      </w:r>
      <w:r>
        <w:rPr>
          <w:rFonts w:ascii="Open Sans" w:hAnsi="Open Sans" w:cs="Open Sans"/>
          <w:sz w:val="20"/>
          <w:szCs w:val="20"/>
        </w:rPr>
        <w:t xml:space="preserve"> referencia  a </w:t>
      </w:r>
      <w:r w:rsidRPr="00F358CE">
        <w:rPr>
          <w:rFonts w:ascii="Open Sans" w:hAnsi="Open Sans" w:cs="Open Sans"/>
          <w:sz w:val="20"/>
          <w:szCs w:val="20"/>
        </w:rPr>
        <w:t xml:space="preserve"> qué iniciativas de relación cooperativa con administraciones tributarias en las que participa en cada uno de los países en los que opera</w:t>
      </w:r>
      <w:r>
        <w:rPr>
          <w:rFonts w:ascii="Open Sans" w:hAnsi="Open Sans" w:cs="Open Sans"/>
          <w:sz w:val="20"/>
          <w:szCs w:val="20"/>
        </w:rPr>
        <w:t xml:space="preserve">, </w:t>
      </w:r>
      <w:r w:rsidRPr="00F358CE">
        <w:rPr>
          <w:rFonts w:ascii="Open Sans" w:hAnsi="Open Sans" w:cs="Open Sans"/>
          <w:sz w:val="20"/>
          <w:szCs w:val="20"/>
        </w:rPr>
        <w:t xml:space="preserve">lo único que menciona </w:t>
      </w:r>
      <w:r>
        <w:rPr>
          <w:rFonts w:ascii="Open Sans" w:hAnsi="Open Sans" w:cs="Open Sans"/>
          <w:sz w:val="20"/>
          <w:szCs w:val="20"/>
        </w:rPr>
        <w:t xml:space="preserve">Aena </w:t>
      </w:r>
      <w:r w:rsidRPr="00F358CE">
        <w:rPr>
          <w:rFonts w:ascii="Open Sans" w:hAnsi="Open Sans" w:cs="Open Sans"/>
          <w:sz w:val="20"/>
          <w:szCs w:val="20"/>
        </w:rPr>
        <w:t>en su código de conducta es que "Las relaciones con las administraciones deben estar guiadas por el respeto institucional y la transparencia..."las personas sujetas a este deberán mantener en todo momento una actitud de colaboración y transparencia con cualesquiera Administración Pública u órgano supervisor...</w:t>
      </w:r>
      <w:r>
        <w:rPr>
          <w:rFonts w:ascii="Open Sans" w:hAnsi="Open Sans" w:cs="Open Sans"/>
          <w:sz w:val="20"/>
          <w:szCs w:val="20"/>
        </w:rPr>
        <w:t xml:space="preserve"> </w:t>
      </w:r>
      <w:r>
        <w:rPr>
          <w:rFonts w:ascii="Open Sans" w:hAnsi="Open Sans" w:cs="Open Sans"/>
          <w:color w:val="000000"/>
          <w:sz w:val="20"/>
          <w:szCs w:val="20"/>
        </w:rPr>
        <w:t xml:space="preserve">Pese a este posicionamiento, la empresa no facilita información detallada sobre qué tipo de relación han mantenido, reuniones celebradas y asuntos tratados. </w:t>
      </w:r>
    </w:p>
    <w:p w14:paraId="06E79485" w14:textId="77777777" w:rsidR="003E002C" w:rsidRDefault="003E002C" w:rsidP="003E002C">
      <w:pPr>
        <w:autoSpaceDE w:val="0"/>
        <w:autoSpaceDN w:val="0"/>
        <w:adjustRightInd w:val="0"/>
        <w:jc w:val="both"/>
        <w:rPr>
          <w:rFonts w:ascii="Open Sans" w:hAnsi="Open Sans" w:cs="Open Sans"/>
          <w:color w:val="000000"/>
          <w:sz w:val="20"/>
          <w:szCs w:val="20"/>
        </w:rPr>
      </w:pPr>
    </w:p>
    <w:p w14:paraId="7D397021" w14:textId="77777777" w:rsidR="003E002C" w:rsidRPr="00724C1E" w:rsidRDefault="003E002C" w:rsidP="003E002C">
      <w:pPr>
        <w:rPr>
          <w:rFonts w:ascii="Open Sans" w:hAnsi="Open Sans" w:cs="Open Sans"/>
          <w:bCs/>
          <w:sz w:val="20"/>
          <w:szCs w:val="20"/>
        </w:rPr>
      </w:pPr>
    </w:p>
    <w:p w14:paraId="1F8F9C93" w14:textId="77777777" w:rsidR="003E002C" w:rsidRPr="00E87996" w:rsidRDefault="003E002C" w:rsidP="003E002C">
      <w:pPr>
        <w:rPr>
          <w:rFonts w:ascii="Open Sans" w:hAnsi="Open Sans" w:cs="Open Sans"/>
          <w:bCs/>
          <w:sz w:val="22"/>
          <w:szCs w:val="22"/>
          <w:u w:val="single"/>
        </w:rPr>
      </w:pPr>
      <w:r w:rsidRPr="00E87996">
        <w:rPr>
          <w:rFonts w:ascii="Open Sans" w:hAnsi="Open Sans" w:cs="Open Sans"/>
          <w:b/>
          <w:sz w:val="22"/>
          <w:szCs w:val="22"/>
          <w:u w:val="single"/>
        </w:rPr>
        <w:t>5. Conclusiones</w:t>
      </w:r>
    </w:p>
    <w:p w14:paraId="63766D2C" w14:textId="77777777" w:rsidR="003E002C" w:rsidRPr="00724C1E" w:rsidRDefault="003E002C" w:rsidP="003E002C">
      <w:pPr>
        <w:rPr>
          <w:rFonts w:ascii="Open Sans" w:hAnsi="Open Sans" w:cs="Open Sans"/>
          <w:bCs/>
          <w:sz w:val="20"/>
          <w:szCs w:val="20"/>
        </w:rPr>
      </w:pPr>
    </w:p>
    <w:p w14:paraId="51470C8C" w14:textId="77777777" w:rsidR="003E002C" w:rsidRDefault="003E002C" w:rsidP="003E002C">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Aena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0,81</w:t>
      </w:r>
      <w:r>
        <w:rPr>
          <w:rFonts w:ascii="Open Sans" w:hAnsi="Open Sans" w:cs="Open Sans"/>
          <w:color w:val="auto"/>
          <w:sz w:val="20"/>
          <w:szCs w:val="20"/>
        </w:rPr>
        <w:t xml:space="preserve"> sobre un máximo de 3 lo que sitúa a la información  en un estado de escasa de acuerdo con la metodología del Observatorio de RSC. De las dimensiones analizadas, la máxima puntuación se obtiene en los aspectos relacionados con las “relaciones con Administraciones Tributarias” (1,00), seguidos por “impuestos e incentivos” (0,83) y la “política y estrategia fiscal” (0,60). No tiene valoración en el apartado de “paraísos y nichos fiscales” porque no tiene filiales en estos territorios. </w:t>
      </w:r>
    </w:p>
    <w:p w14:paraId="2DB92F5A" w14:textId="77777777" w:rsidR="003E002C" w:rsidRDefault="003E002C" w:rsidP="003E002C">
      <w:pPr>
        <w:jc w:val="both"/>
        <w:rPr>
          <w:rFonts w:ascii="Open Sans" w:hAnsi="Open Sans" w:cs="Open Sans"/>
          <w:sz w:val="20"/>
          <w:szCs w:val="20"/>
        </w:rPr>
      </w:pPr>
    </w:p>
    <w:p w14:paraId="345A5707" w14:textId="77777777" w:rsidR="003E002C" w:rsidRDefault="003E002C" w:rsidP="003E002C">
      <w:pPr>
        <w:jc w:val="both"/>
        <w:rPr>
          <w:rFonts w:ascii="Open Sans" w:hAnsi="Open Sans" w:cs="Open Sans"/>
          <w:sz w:val="20"/>
          <w:szCs w:val="20"/>
        </w:rPr>
      </w:pPr>
      <w:r w:rsidRPr="00724C1E">
        <w:rPr>
          <w:rFonts w:ascii="Open Sans" w:hAnsi="Open Sans" w:cs="Open Sans"/>
          <w:sz w:val="20"/>
          <w:szCs w:val="20"/>
        </w:rPr>
        <w:t xml:space="preserve">Tras analizar la documentación publicada por </w:t>
      </w:r>
      <w:r>
        <w:rPr>
          <w:rFonts w:ascii="Open Sans" w:hAnsi="Open Sans" w:cs="Open Sans"/>
          <w:sz w:val="20"/>
          <w:szCs w:val="20"/>
        </w:rPr>
        <w:t xml:space="preserve">Aena </w:t>
      </w:r>
      <w:r w:rsidRPr="00724C1E">
        <w:rPr>
          <w:rFonts w:ascii="Open Sans" w:hAnsi="Open Sans" w:cs="Open Sans"/>
          <w:sz w:val="20"/>
          <w:szCs w:val="20"/>
        </w:rPr>
        <w:t>en relación a su actividad fiscal en 2015 (</w:t>
      </w:r>
      <w:r>
        <w:rPr>
          <w:rFonts w:ascii="Open Sans" w:hAnsi="Open Sans" w:cs="Open Sans"/>
          <w:sz w:val="20"/>
          <w:szCs w:val="20"/>
        </w:rPr>
        <w:t>Informe Anual y de Responsabilidad Corporativa</w:t>
      </w:r>
      <w:r w:rsidRPr="00724C1E">
        <w:rPr>
          <w:rFonts w:ascii="Open Sans" w:hAnsi="Open Sans" w:cs="Open Sans"/>
          <w:sz w:val="20"/>
          <w:szCs w:val="20"/>
        </w:rPr>
        <w:t>, I</w:t>
      </w:r>
      <w:r>
        <w:rPr>
          <w:rFonts w:ascii="Open Sans" w:hAnsi="Open Sans" w:cs="Open Sans"/>
          <w:sz w:val="20"/>
          <w:szCs w:val="20"/>
        </w:rPr>
        <w:t xml:space="preserve">nforme de Gobierno Corporativo </w:t>
      </w:r>
      <w:r w:rsidRPr="00724C1E">
        <w:rPr>
          <w:rFonts w:ascii="Open Sans" w:hAnsi="Open Sans" w:cs="Open Sans"/>
          <w:sz w:val="20"/>
          <w:szCs w:val="20"/>
        </w:rPr>
        <w:t>e Informe de Cue</w:t>
      </w:r>
      <w:r>
        <w:rPr>
          <w:rFonts w:ascii="Open Sans" w:hAnsi="Open Sans" w:cs="Open Sans"/>
          <w:sz w:val="20"/>
          <w:szCs w:val="20"/>
        </w:rPr>
        <w:t>ntas Anuales y Código de Conducta,</w:t>
      </w:r>
      <w:r w:rsidRPr="00724C1E">
        <w:rPr>
          <w:rFonts w:ascii="Open Sans" w:hAnsi="Open Sans" w:cs="Open Sans"/>
          <w:sz w:val="20"/>
          <w:szCs w:val="20"/>
        </w:rPr>
        <w:t xml:space="preserve"> principalmente), se observa que </w:t>
      </w:r>
      <w:r>
        <w:rPr>
          <w:rFonts w:ascii="Open Sans" w:hAnsi="Open Sans" w:cs="Open Sans"/>
          <w:sz w:val="20"/>
          <w:szCs w:val="20"/>
        </w:rPr>
        <w:t xml:space="preserve">pese al posicionamiento, </w:t>
      </w:r>
      <w:r w:rsidRPr="00724C1E">
        <w:rPr>
          <w:rFonts w:ascii="Open Sans" w:hAnsi="Open Sans" w:cs="Open Sans"/>
          <w:sz w:val="20"/>
          <w:szCs w:val="20"/>
        </w:rPr>
        <w:t xml:space="preserve">la información </w:t>
      </w:r>
      <w:r>
        <w:rPr>
          <w:rFonts w:ascii="Open Sans" w:hAnsi="Open Sans" w:cs="Open Sans"/>
          <w:sz w:val="20"/>
          <w:szCs w:val="20"/>
        </w:rPr>
        <w:t xml:space="preserve">no </w:t>
      </w:r>
      <w:r w:rsidRPr="00724C1E">
        <w:rPr>
          <w:rFonts w:ascii="Open Sans" w:hAnsi="Open Sans" w:cs="Open Sans"/>
          <w:sz w:val="20"/>
          <w:szCs w:val="20"/>
        </w:rPr>
        <w:t xml:space="preserve">cuenta con un desglose suficiente que permita evaluar el cumplimiento de los compromisos asumidos por la compañía. No hay un documento </w:t>
      </w:r>
      <w:r>
        <w:rPr>
          <w:rFonts w:ascii="Open Sans" w:hAnsi="Open Sans" w:cs="Open Sans"/>
          <w:sz w:val="20"/>
          <w:szCs w:val="20"/>
        </w:rPr>
        <w:t xml:space="preserve">independiente </w:t>
      </w:r>
      <w:r w:rsidRPr="00724C1E">
        <w:rPr>
          <w:rFonts w:ascii="Open Sans" w:hAnsi="Open Sans" w:cs="Open Sans"/>
          <w:sz w:val="20"/>
          <w:szCs w:val="20"/>
        </w:rPr>
        <w:t xml:space="preserve">de las cuentas anuales dedicado al reporte fiscal. La mayor parte de la información objeto de análisis hay que extraerla de las cuentas anuales que </w:t>
      </w:r>
      <w:r>
        <w:rPr>
          <w:rFonts w:ascii="Open Sans" w:hAnsi="Open Sans" w:cs="Open Sans"/>
          <w:sz w:val="20"/>
          <w:szCs w:val="20"/>
        </w:rPr>
        <w:t xml:space="preserve">adoptan </w:t>
      </w:r>
      <w:r w:rsidRPr="00724C1E">
        <w:rPr>
          <w:rFonts w:ascii="Open Sans" w:hAnsi="Open Sans" w:cs="Open Sans"/>
          <w:sz w:val="20"/>
          <w:szCs w:val="20"/>
        </w:rPr>
        <w:t xml:space="preserve">un lenguaje técnico y difícilmente comprensible para los no expertos en la materia. </w:t>
      </w:r>
      <w:r>
        <w:rPr>
          <w:rFonts w:ascii="Open Sans" w:hAnsi="Open Sans" w:cs="Open Sans"/>
          <w:sz w:val="20"/>
          <w:szCs w:val="20"/>
        </w:rPr>
        <w:t xml:space="preserve">Aena </w:t>
      </w:r>
      <w:r w:rsidRPr="00724C1E">
        <w:rPr>
          <w:rFonts w:ascii="Open Sans" w:hAnsi="Open Sans" w:cs="Open Sans"/>
          <w:sz w:val="20"/>
          <w:szCs w:val="20"/>
        </w:rPr>
        <w:t>no sigue los estándares internacionales del country by country que promueven que la empresa presente info</w:t>
      </w:r>
      <w:r>
        <w:rPr>
          <w:rFonts w:ascii="Open Sans" w:hAnsi="Open Sans" w:cs="Open Sans"/>
          <w:sz w:val="20"/>
          <w:szCs w:val="20"/>
        </w:rPr>
        <w:t>rmación país a país de una serie</w:t>
      </w:r>
      <w:r w:rsidRPr="00724C1E">
        <w:rPr>
          <w:rFonts w:ascii="Open Sans" w:hAnsi="Open Sans" w:cs="Open Sans"/>
          <w:sz w:val="20"/>
          <w:szCs w:val="20"/>
        </w:rPr>
        <w:t xml:space="preserve"> de partidas financieras y de la actividad que realiza en los territorios donde está presente. </w:t>
      </w:r>
      <w:r>
        <w:rPr>
          <w:rFonts w:ascii="Open Sans" w:hAnsi="Open Sans" w:cs="Open Sans"/>
          <w:sz w:val="20"/>
          <w:szCs w:val="20"/>
        </w:rPr>
        <w:t xml:space="preserve"> </w:t>
      </w:r>
    </w:p>
    <w:p w14:paraId="08C97E63" w14:textId="77777777" w:rsidR="003E002C" w:rsidRDefault="003E002C" w:rsidP="003E002C">
      <w:pPr>
        <w:jc w:val="both"/>
        <w:rPr>
          <w:rFonts w:ascii="Open Sans" w:hAnsi="Open Sans" w:cs="Open Sans"/>
          <w:sz w:val="20"/>
          <w:szCs w:val="20"/>
        </w:rPr>
      </w:pPr>
    </w:p>
    <w:p w14:paraId="35026373" w14:textId="77777777" w:rsidR="003E002C" w:rsidRDefault="003E002C" w:rsidP="003E002C">
      <w:pPr>
        <w:jc w:val="both"/>
        <w:rPr>
          <w:rFonts w:ascii="Open Sans" w:hAnsi="Open Sans" w:cs="Open Sans"/>
          <w:sz w:val="20"/>
          <w:szCs w:val="20"/>
        </w:rPr>
      </w:pPr>
      <w:r w:rsidRPr="00724C1E">
        <w:rPr>
          <w:rFonts w:ascii="Open Sans" w:hAnsi="Open Sans" w:cs="Open Sans"/>
          <w:sz w:val="20"/>
          <w:szCs w:val="20"/>
        </w:rPr>
        <w:t xml:space="preserve">En la documentación analizada no se han encontrado evidencias de que </w:t>
      </w:r>
      <w:r>
        <w:rPr>
          <w:rFonts w:ascii="Open Sans" w:hAnsi="Open Sans" w:cs="Open Sans"/>
          <w:sz w:val="20"/>
          <w:szCs w:val="20"/>
        </w:rPr>
        <w:t xml:space="preserve">Aena </w:t>
      </w:r>
      <w:r w:rsidRPr="00724C1E">
        <w:rPr>
          <w:rFonts w:ascii="Open Sans" w:hAnsi="Open Sans" w:cs="Open Sans"/>
          <w:sz w:val="20"/>
          <w:szCs w:val="20"/>
        </w:rPr>
        <w:t>haya establecido un diálogo, más allá de con la agencia tributaria, con sus grupos de interés en relación a los aspectos fiscales.</w:t>
      </w:r>
    </w:p>
    <w:p w14:paraId="37ADF132" w14:textId="77777777" w:rsidR="003E002C" w:rsidRDefault="003E002C" w:rsidP="003E002C">
      <w:pPr>
        <w:jc w:val="both"/>
        <w:rPr>
          <w:rFonts w:ascii="Open Sans" w:hAnsi="Open Sans" w:cs="Open Sans"/>
          <w:sz w:val="20"/>
          <w:szCs w:val="20"/>
        </w:rPr>
      </w:pPr>
    </w:p>
    <w:p w14:paraId="270ACA68" w14:textId="77777777" w:rsidR="003E002C" w:rsidRPr="000B2988" w:rsidRDefault="003E002C" w:rsidP="003E002C">
      <w:pPr>
        <w:pStyle w:val="Default"/>
        <w:jc w:val="both"/>
        <w:rPr>
          <w:rFonts w:ascii="Open Sans" w:hAnsi="Open Sans" w:cs="Open Sans"/>
          <w:sz w:val="20"/>
          <w:szCs w:val="20"/>
        </w:rPr>
      </w:pPr>
      <w:r>
        <w:rPr>
          <w:rFonts w:ascii="Open Sans" w:hAnsi="Open Sans" w:cs="Open Sans"/>
          <w:color w:val="auto"/>
          <w:sz w:val="20"/>
          <w:szCs w:val="20"/>
        </w:rPr>
        <w:t>En el</w:t>
      </w:r>
      <w:r w:rsidRPr="000B2988">
        <w:rPr>
          <w:rFonts w:ascii="Open Sans" w:hAnsi="Open Sans" w:cs="Open Sans"/>
          <w:color w:val="auto"/>
          <w:sz w:val="20"/>
          <w:szCs w:val="20"/>
        </w:rPr>
        <w:t xml:space="preserve"> Informe Anual y de RC 2015, Aena señala que con carácter general la información facilitada se circunscribe a las actividades desarrolladas por la compañía en España, sin incluir la contribución internacional</w:t>
      </w:r>
      <w:r>
        <w:rPr>
          <w:rFonts w:ascii="Open Sans" w:hAnsi="Open Sans" w:cs="Open Sans"/>
          <w:color w:val="auto"/>
          <w:sz w:val="20"/>
          <w:szCs w:val="20"/>
        </w:rPr>
        <w:t xml:space="preserve"> y no facilita información sobre aspectos fiscales. </w:t>
      </w:r>
      <w:r w:rsidRPr="000B2988">
        <w:rPr>
          <w:rFonts w:ascii="Open Sans" w:hAnsi="Open Sans" w:cs="Open Sans"/>
          <w:sz w:val="20"/>
          <w:szCs w:val="20"/>
        </w:rPr>
        <w:t>Por lo que respecta a la metodología para la elaboración del informe, Aena dice haber realizado un análisis de materialidad “con el objetivo de identificar aquellos asuntos que pueden afectar a la capacidad para crear valor”. Dice sobre ello que “Este Informe se articula en torno a estos asuntos materiales para la creación de valor: aporta información sobre su impacto en el negocio, las interacciones entre ellos, la posición de Aena, su enfoque de gestión y las posibles implicaciones futuras”</w:t>
      </w:r>
      <w:r>
        <w:rPr>
          <w:rFonts w:ascii="Open Sans" w:hAnsi="Open Sans" w:cs="Open Sans"/>
          <w:sz w:val="20"/>
          <w:szCs w:val="20"/>
        </w:rPr>
        <w:t>, la fiscalidad pese a ser un tema de creciente preocupación en la sociedad y estar abierto un intenso debate institucional en torno a la temática no es mencionada por Aena como asunto material</w:t>
      </w:r>
      <w:r w:rsidRPr="000B2988">
        <w:rPr>
          <w:rFonts w:ascii="Open Sans" w:hAnsi="Open Sans" w:cs="Open Sans"/>
          <w:sz w:val="20"/>
          <w:szCs w:val="20"/>
        </w:rPr>
        <w:t>. Al tiempo que aclara que para el análisis de materialidad utilizó como base las directrices de GRI sobre el sector, la Guía G4 de GRi además de las directrices establecidas en el International Integrated Report Council (IIRC)</w:t>
      </w:r>
      <w:r>
        <w:rPr>
          <w:rFonts w:ascii="Open Sans" w:hAnsi="Open Sans" w:cs="Open Sans"/>
          <w:sz w:val="20"/>
          <w:szCs w:val="20"/>
        </w:rPr>
        <w:t>.</w:t>
      </w:r>
    </w:p>
    <w:p w14:paraId="6403B6F2" w14:textId="77777777" w:rsidR="003E002C" w:rsidRPr="000B2988" w:rsidRDefault="003E002C" w:rsidP="003E002C">
      <w:pPr>
        <w:pStyle w:val="Default"/>
        <w:jc w:val="both"/>
        <w:rPr>
          <w:rFonts w:ascii="Open Sans" w:hAnsi="Open Sans" w:cs="Open Sans"/>
          <w:sz w:val="20"/>
          <w:szCs w:val="20"/>
        </w:rPr>
      </w:pPr>
    </w:p>
    <w:p w14:paraId="7D8E4078" w14:textId="77777777" w:rsidR="003E002C" w:rsidRPr="000B2988" w:rsidRDefault="003E002C" w:rsidP="003E002C">
      <w:pPr>
        <w:jc w:val="both"/>
        <w:rPr>
          <w:rFonts w:ascii="Open Sans" w:eastAsia="Calibri" w:hAnsi="Open Sans" w:cs="Open Sans"/>
          <w:sz w:val="20"/>
          <w:szCs w:val="20"/>
          <w:lang w:eastAsia="en-US"/>
        </w:rPr>
      </w:pPr>
      <w:r w:rsidRPr="000B2988">
        <w:rPr>
          <w:rFonts w:ascii="Open Sans" w:eastAsia="Calibri" w:hAnsi="Open Sans" w:cs="Open Sans"/>
          <w:sz w:val="20"/>
          <w:szCs w:val="20"/>
          <w:lang w:eastAsia="en-US"/>
        </w:rPr>
        <w:t xml:space="preserve">En relación con la identificación de los grupos de interés La compañía considera grupos de interés a pasajeros, empleados, aerolíneas, administraciones públicas, inversores, asociaciones de la industria del transporte aéreo, organizaciones sindicales y empresariales, socios prestadores de servicios a los clientes de Aena, sociedad/comunidades locales, proveedores y organismos internacionales y creadores de opinión. Más allá de la identificación, no se encuentra evidencia de que estos hubiesen participado en el proceso de identificación de los asuntos materiales ni en la elaboración del Informe. </w:t>
      </w:r>
    </w:p>
    <w:p w14:paraId="554C44A3" w14:textId="77777777" w:rsidR="003E002C" w:rsidRDefault="003E002C" w:rsidP="003E002C">
      <w:pPr>
        <w:jc w:val="both"/>
        <w:rPr>
          <w:rFonts w:ascii="Open Sans" w:hAnsi="Open Sans" w:cs="Open Sans"/>
          <w:sz w:val="20"/>
          <w:szCs w:val="20"/>
        </w:rPr>
      </w:pPr>
    </w:p>
    <w:p w14:paraId="784A331E" w14:textId="69F20398" w:rsidR="005A5D6D" w:rsidRDefault="003E002C" w:rsidP="003E002C">
      <w:pPr>
        <w:jc w:val="both"/>
      </w:pPr>
      <w:r>
        <w:rPr>
          <w:rFonts w:ascii="Open Sans" w:hAnsi="Open Sans" w:cs="Open Sans"/>
          <w:sz w:val="20"/>
          <w:szCs w:val="20"/>
        </w:rPr>
        <w:t xml:space="preserve">La información facilitada por Aena en relación  a los incentivos fiscales (deducciones y exenciones fiscales concedidas) es amplia y detallada. </w:t>
      </w:r>
      <w:r w:rsidR="005A5D6D">
        <w:rPr>
          <w:rFonts w:ascii="Open Sans" w:hAnsi="Open Sans" w:cs="Open Sans"/>
          <w:sz w:val="20"/>
          <w:szCs w:val="20"/>
        </w:rPr>
        <w:t xml:space="preserve"> </w:t>
      </w:r>
    </w:p>
    <w:p w14:paraId="149417B4" w14:textId="77777777" w:rsidR="00B77D5E" w:rsidRPr="0024142E" w:rsidRDefault="00B77D5E" w:rsidP="00B77D5E">
      <w:pPr>
        <w:rPr>
          <w:rFonts w:ascii="Open Sans" w:hAnsi="Open Sans"/>
          <w:sz w:val="20"/>
          <w:szCs w:val="20"/>
        </w:rPr>
      </w:pPr>
    </w:p>
    <w:p w14:paraId="6AA53B09" w14:textId="09FA3462" w:rsidR="005A5D6D" w:rsidRDefault="005A5D6D">
      <w:pPr>
        <w:rPr>
          <w:rFonts w:ascii="Open Sans" w:eastAsia="Arial" w:hAnsi="Open Sans" w:cs="Open Sans"/>
          <w:sz w:val="20"/>
          <w:szCs w:val="20"/>
        </w:rPr>
      </w:pPr>
      <w:r>
        <w:rPr>
          <w:rFonts w:ascii="Open Sans" w:eastAsia="Arial" w:hAnsi="Open Sans" w:cs="Open Sans"/>
          <w:sz w:val="20"/>
          <w:szCs w:val="20"/>
        </w:rPr>
        <w:br w:type="page"/>
      </w:r>
    </w:p>
    <w:p w14:paraId="581C4A39" w14:textId="77777777" w:rsidR="005A5D6D" w:rsidRPr="00F36A94" w:rsidRDefault="005A5D6D" w:rsidP="005A5D6D">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caps/>
          <w:color w:val="FFFFFF"/>
          <w:szCs w:val="20"/>
          <w:lang w:val="en-US"/>
        </w:rPr>
      </w:pPr>
      <w:bookmarkStart w:id="109" w:name="Amadeus"/>
      <w:r>
        <w:rPr>
          <w:rFonts w:ascii="Open Sans" w:eastAsia="MS Mincho" w:hAnsi="Open Sans" w:cs="Open Sans"/>
          <w:b/>
          <w:bCs/>
          <w:caps/>
          <w:color w:val="FFFFFF"/>
          <w:szCs w:val="20"/>
          <w:lang w:val="en-GB"/>
        </w:rPr>
        <w:t>Amadeus</w:t>
      </w:r>
      <w:r w:rsidRPr="00F36A94">
        <w:rPr>
          <w:rFonts w:ascii="Open Sans" w:eastAsia="MS Mincho" w:hAnsi="Open Sans" w:cs="Open Sans"/>
          <w:b/>
          <w:bCs/>
          <w:caps/>
          <w:color w:val="FFFFFF"/>
          <w:szCs w:val="20"/>
          <w:lang w:val="en-GB"/>
        </w:rPr>
        <w:t xml:space="preserve"> IT HOLDING, S.A</w:t>
      </w:r>
      <w:bookmarkEnd w:id="109"/>
      <w:r w:rsidRPr="00F36A94">
        <w:rPr>
          <w:rFonts w:ascii="Open Sans" w:eastAsia="MS Mincho" w:hAnsi="Open Sans" w:cs="Open Sans"/>
          <w:b/>
          <w:bCs/>
          <w:caps/>
          <w:color w:val="FFFFFF"/>
          <w:szCs w:val="20"/>
          <w:lang w:val="en-GB"/>
        </w:rPr>
        <w:t>.</w:t>
      </w:r>
    </w:p>
    <w:p w14:paraId="50585E26" w14:textId="77777777" w:rsidR="005A5D6D" w:rsidRPr="00914337" w:rsidRDefault="005A5D6D" w:rsidP="005A5D6D">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sidRPr="00F36A94">
        <w:rPr>
          <w:rFonts w:ascii="Open Sans" w:hAnsi="Open Sans" w:cs="Open Sans"/>
          <w:b/>
          <w:i/>
          <w:color w:val="FFFFFF"/>
          <w:szCs w:val="20"/>
        </w:rPr>
        <w:t>(Amadeus)</w:t>
      </w:r>
    </w:p>
    <w:p w14:paraId="6920B1CB" w14:textId="77777777" w:rsidR="005A5D6D" w:rsidRDefault="005A5D6D" w:rsidP="005A5D6D">
      <w:pPr>
        <w:jc w:val="both"/>
        <w:outlineLvl w:val="5"/>
        <w:rPr>
          <w:rFonts w:ascii="Open Sans" w:hAnsi="Open Sans" w:cs="Open Sans"/>
          <w:b/>
          <w:sz w:val="20"/>
          <w:szCs w:val="20"/>
          <w:u w:val="single"/>
        </w:rPr>
      </w:pPr>
    </w:p>
    <w:p w14:paraId="04CECBB0" w14:textId="77777777" w:rsidR="005A5D6D" w:rsidRDefault="005A5D6D" w:rsidP="005A5D6D">
      <w:pPr>
        <w:jc w:val="both"/>
        <w:rPr>
          <w:rFonts w:ascii="Open Sans" w:hAnsi="Open Sans" w:cs="Open Sans"/>
        </w:rPr>
      </w:pPr>
    </w:p>
    <w:p w14:paraId="3FC4D21E" w14:textId="77777777" w:rsidR="00256EC8" w:rsidRPr="00AD47A4" w:rsidRDefault="00256EC8" w:rsidP="00256EC8">
      <w:pPr>
        <w:jc w:val="both"/>
        <w:outlineLvl w:val="5"/>
        <w:rPr>
          <w:rFonts w:ascii="Open Sans" w:hAnsi="Open Sans" w:cs="Open Sans"/>
          <w:b/>
          <w:sz w:val="22"/>
          <w:szCs w:val="22"/>
          <w:u w:val="single"/>
        </w:rPr>
      </w:pPr>
      <w:r w:rsidRPr="00AD47A4">
        <w:rPr>
          <w:rFonts w:ascii="Open Sans" w:hAnsi="Open Sans" w:cs="Open Sans"/>
          <w:b/>
          <w:sz w:val="22"/>
          <w:szCs w:val="22"/>
          <w:u w:val="single"/>
        </w:rPr>
        <w:t>1. Datos generales de la entidad</w:t>
      </w:r>
    </w:p>
    <w:p w14:paraId="7CBD994B" w14:textId="77777777" w:rsidR="00256EC8" w:rsidRPr="00AD47A4" w:rsidRDefault="00256EC8" w:rsidP="00256EC8">
      <w:pPr>
        <w:jc w:val="both"/>
        <w:rPr>
          <w:rFonts w:ascii="Open Sans" w:hAnsi="Open Sans" w:cs="Open Sans"/>
          <w:sz w:val="20"/>
          <w:szCs w:val="20"/>
          <w:u w:val="single"/>
        </w:rPr>
      </w:pPr>
    </w:p>
    <w:p w14:paraId="10AECEA1"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u w:val="single"/>
        </w:rPr>
        <w:t>Productos/servicios</w:t>
      </w:r>
    </w:p>
    <w:p w14:paraId="1D39BE0C" w14:textId="77777777" w:rsidR="00256EC8" w:rsidRPr="00AD47A4" w:rsidRDefault="00256EC8" w:rsidP="00256EC8">
      <w:pPr>
        <w:jc w:val="both"/>
        <w:rPr>
          <w:rFonts w:ascii="Open Sans" w:hAnsi="Open Sans" w:cs="Open Sans"/>
          <w:sz w:val="20"/>
          <w:szCs w:val="20"/>
        </w:rPr>
      </w:pPr>
    </w:p>
    <w:p w14:paraId="4B3C97BE" w14:textId="77777777" w:rsidR="00256EC8" w:rsidRPr="00AD47A4" w:rsidRDefault="00256EC8" w:rsidP="00256EC8">
      <w:pPr>
        <w:jc w:val="both"/>
        <w:rPr>
          <w:rFonts w:ascii="Open Sans" w:hAnsi="Open Sans" w:cs="Open Sans"/>
          <w:sz w:val="20"/>
          <w:szCs w:val="20"/>
          <w:shd w:val="clear" w:color="auto" w:fill="FFFFFF"/>
        </w:rPr>
      </w:pPr>
      <w:r w:rsidRPr="00AD47A4">
        <w:rPr>
          <w:rFonts w:ascii="Open Sans" w:hAnsi="Open Sans" w:cs="Open Sans"/>
          <w:sz w:val="20"/>
          <w:szCs w:val="20"/>
          <w:shd w:val="clear" w:color="auto" w:fill="FFFFFF"/>
        </w:rPr>
        <w:t>Amadeus provee de soluciones tecnológicas para el sector mundial de los viajes y el turismo. Entre los grupos de clientes de la compañía, destacan proveedores, como aerolíneas (regulares,</w:t>
      </w:r>
      <w:r w:rsidRPr="00AD47A4">
        <w:rPr>
          <w:rStyle w:val="apple-converted-space"/>
          <w:rFonts w:ascii="Open Sans" w:hAnsi="Open Sans" w:cs="Open Sans"/>
          <w:i/>
          <w:iCs/>
          <w:sz w:val="20"/>
          <w:szCs w:val="20"/>
          <w:bdr w:val="none" w:sz="0" w:space="0" w:color="auto" w:frame="1"/>
          <w:shd w:val="clear" w:color="auto" w:fill="FFFFFF"/>
        </w:rPr>
        <w:t> </w:t>
      </w:r>
      <w:r w:rsidRPr="00AD47A4">
        <w:rPr>
          <w:rStyle w:val="nfasis"/>
          <w:rFonts w:ascii="Open Sans" w:hAnsi="Open Sans" w:cs="Open Sans"/>
          <w:sz w:val="20"/>
          <w:szCs w:val="20"/>
          <w:bdr w:val="none" w:sz="0" w:space="0" w:color="auto" w:frame="1"/>
          <w:shd w:val="clear" w:color="auto" w:fill="FFFFFF"/>
        </w:rPr>
        <w:t>low cost</w:t>
      </w:r>
      <w:r w:rsidRPr="00AD47A4">
        <w:rPr>
          <w:rStyle w:val="apple-converted-space"/>
          <w:rFonts w:ascii="Open Sans" w:hAnsi="Open Sans" w:cs="Open Sans"/>
          <w:i/>
          <w:iCs/>
          <w:sz w:val="20"/>
          <w:szCs w:val="20"/>
          <w:bdr w:val="none" w:sz="0" w:space="0" w:color="auto" w:frame="1"/>
          <w:shd w:val="clear" w:color="auto" w:fill="FFFFFF"/>
        </w:rPr>
        <w:t> </w:t>
      </w:r>
      <w:r w:rsidRPr="00AD47A4">
        <w:rPr>
          <w:rFonts w:ascii="Open Sans" w:hAnsi="Open Sans" w:cs="Open Sans"/>
          <w:sz w:val="20"/>
          <w:szCs w:val="20"/>
          <w:shd w:val="clear" w:color="auto" w:fill="FFFFFF"/>
        </w:rPr>
        <w:t>y de vuelos chárter), hoteles (independientes y cadenas), empresas de alquiler de coches, compañías ferroviarias, líneas de ferry, líneas de crucero, compañías de seguros, tour operadores; distribuidores de productos turísticos, como agencias de viajes tradicionales y</w:t>
      </w:r>
      <w:r w:rsidRPr="00AD47A4">
        <w:rPr>
          <w:rStyle w:val="apple-converted-space"/>
          <w:rFonts w:ascii="Open Sans" w:hAnsi="Open Sans" w:cs="Open Sans"/>
          <w:sz w:val="20"/>
          <w:szCs w:val="20"/>
          <w:shd w:val="clear" w:color="auto" w:fill="FFFFFF"/>
        </w:rPr>
        <w:t> </w:t>
      </w:r>
      <w:r w:rsidRPr="00AD47A4">
        <w:rPr>
          <w:rStyle w:val="nfasis"/>
          <w:rFonts w:ascii="Open Sans" w:hAnsi="Open Sans" w:cs="Open Sans"/>
          <w:sz w:val="20"/>
          <w:szCs w:val="20"/>
          <w:bdr w:val="none" w:sz="0" w:space="0" w:color="auto" w:frame="1"/>
          <w:shd w:val="clear" w:color="auto" w:fill="FFFFFF"/>
        </w:rPr>
        <w:t>online</w:t>
      </w:r>
      <w:r w:rsidRPr="00AD47A4">
        <w:rPr>
          <w:rFonts w:ascii="Open Sans" w:hAnsi="Open Sans" w:cs="Open Sans"/>
          <w:sz w:val="20"/>
          <w:szCs w:val="20"/>
          <w:shd w:val="clear" w:color="auto" w:fill="FFFFFF"/>
        </w:rPr>
        <w:t>, y viajeros (de empresas y particulares).</w:t>
      </w:r>
    </w:p>
    <w:p w14:paraId="6E963581" w14:textId="77777777" w:rsidR="00256EC8" w:rsidRPr="00AD47A4" w:rsidRDefault="00256EC8" w:rsidP="00256EC8">
      <w:pPr>
        <w:jc w:val="both"/>
        <w:rPr>
          <w:rFonts w:ascii="Open Sans" w:hAnsi="Open Sans" w:cs="Open Sans"/>
          <w:sz w:val="20"/>
          <w:szCs w:val="20"/>
          <w:shd w:val="clear" w:color="auto" w:fill="FFFFFF"/>
        </w:rPr>
      </w:pPr>
    </w:p>
    <w:p w14:paraId="138F7BC5"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Amadeus ofrece a sus clientes servicios a través de dos líneas de negocio: </w:t>
      </w:r>
    </w:p>
    <w:p w14:paraId="028BE93F" w14:textId="77777777" w:rsidR="00256EC8" w:rsidRPr="00AD47A4" w:rsidRDefault="00256EC8" w:rsidP="00256EC8">
      <w:pPr>
        <w:jc w:val="both"/>
        <w:rPr>
          <w:rFonts w:ascii="Open Sans" w:hAnsi="Open Sans" w:cs="Open Sans"/>
          <w:sz w:val="20"/>
          <w:szCs w:val="20"/>
        </w:rPr>
      </w:pPr>
    </w:p>
    <w:p w14:paraId="4C7FBD99"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 Distribución: Prestación de servicios de distribución indirecta. Actúan como una red mundial ofreciendo soluciones completas de búsqueda, precios, reservas, emisión de billetes y otras soluciones de procesamiento en tiempo real para proveedores de viajes y agencias de viajes. </w:t>
      </w:r>
    </w:p>
    <w:p w14:paraId="5B997AC3" w14:textId="77777777" w:rsidR="00256EC8" w:rsidRPr="00AD47A4" w:rsidRDefault="00256EC8" w:rsidP="00256EC8">
      <w:pPr>
        <w:jc w:val="both"/>
        <w:rPr>
          <w:rFonts w:ascii="Open Sans" w:hAnsi="Open Sans" w:cs="Open Sans"/>
          <w:sz w:val="20"/>
          <w:szCs w:val="20"/>
        </w:rPr>
      </w:pPr>
    </w:p>
    <w:p w14:paraId="2A077610"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 Soluciones tecnológicas: Ofrecen a los proveedores de viajes una cartera de soluciones que facilitan ciertos procesos empresariales esenciales, como reservas, emisión de billetes, gestión de inventario, control de salidas de vuelos y tecnologías de comercio electrónico. </w:t>
      </w:r>
    </w:p>
    <w:p w14:paraId="7B491AE0" w14:textId="77777777" w:rsidR="00256EC8" w:rsidRPr="00AD47A4" w:rsidRDefault="00256EC8" w:rsidP="00256EC8">
      <w:pPr>
        <w:jc w:val="both"/>
        <w:rPr>
          <w:rFonts w:ascii="Open Sans" w:hAnsi="Open Sans" w:cs="Open Sans"/>
          <w:sz w:val="20"/>
          <w:szCs w:val="20"/>
        </w:rPr>
      </w:pPr>
    </w:p>
    <w:p w14:paraId="3E990620" w14:textId="77777777" w:rsidR="00256EC8" w:rsidRPr="00AD47A4" w:rsidRDefault="00256EC8" w:rsidP="00256EC8">
      <w:pPr>
        <w:jc w:val="both"/>
        <w:rPr>
          <w:rFonts w:ascii="Open Sans" w:hAnsi="Open Sans" w:cs="Open Sans"/>
          <w:sz w:val="20"/>
          <w:szCs w:val="20"/>
        </w:rPr>
      </w:pPr>
    </w:p>
    <w:p w14:paraId="0F8CD21E"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u w:val="single"/>
        </w:rPr>
        <w:t xml:space="preserve">Alcance geográfico </w:t>
      </w:r>
      <w:r w:rsidRPr="00AD47A4">
        <w:rPr>
          <w:rStyle w:val="Refdenotaalpie"/>
          <w:rFonts w:ascii="Open Sans" w:hAnsi="Open Sans" w:cs="Open Sans"/>
          <w:sz w:val="20"/>
          <w:szCs w:val="20"/>
          <w:u w:val="single"/>
        </w:rPr>
        <w:footnoteReference w:id="622"/>
      </w:r>
    </w:p>
    <w:p w14:paraId="2865903B" w14:textId="77777777" w:rsidR="00256EC8" w:rsidRPr="00AD47A4" w:rsidRDefault="00256EC8" w:rsidP="00256EC8">
      <w:pPr>
        <w:jc w:val="both"/>
        <w:rPr>
          <w:rFonts w:ascii="Open Sans" w:hAnsi="Open Sans" w:cs="Open Sans"/>
          <w:sz w:val="20"/>
          <w:szCs w:val="20"/>
        </w:rPr>
      </w:pPr>
    </w:p>
    <w:p w14:paraId="5B5AFE46"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La compañía cuenta con 70 organizaciones comerciales, 3 oficinas principales y 4 oficinas regionales. El grupo tiene empresas en 77 países de los cinco continentes. Amadeus opera o tiene presencia en los siguientes países: </w:t>
      </w:r>
    </w:p>
    <w:p w14:paraId="4CD9B146" w14:textId="77777777" w:rsidR="00256EC8" w:rsidRPr="00AD47A4" w:rsidRDefault="00256EC8" w:rsidP="00256EC8">
      <w:pPr>
        <w:jc w:val="both"/>
        <w:rPr>
          <w:rFonts w:ascii="Open Sans" w:hAnsi="Open Sans" w:cs="Open Sans"/>
          <w:sz w:val="20"/>
          <w:szCs w:val="20"/>
        </w:rPr>
      </w:pPr>
    </w:p>
    <w:p w14:paraId="5672AF35"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 Asia: Arabia Saudí, Catar, China, Corea del Sur, EAU, Filipinas, Hong Kong, India, Israel, Japón, Jordania, Líbano, Malasia, Singapur, Siria, Tailandia, Taiwán, Yemen. </w:t>
      </w:r>
    </w:p>
    <w:p w14:paraId="08B869DC"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 África: Argelia, Costa de Marfil, Egipto, Ghana, Kenia, Libia, Marruecos, Nigeria, Sudáfrica, Sudán, Túnez. </w:t>
      </w:r>
    </w:p>
    <w:p w14:paraId="25C1DC17"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 América: Argentina, Bolivia, Brasil, Canadá, Chile, Colombia, Costa Rica, Ecuador, EEUU, Honduras, México, Paraguay, Perú, Venezuela. </w:t>
      </w:r>
    </w:p>
    <w:p w14:paraId="1925168E"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 Europa: Alemania, Austria, Irlanda, Bélgica, Bosnia Herzegovina, Holanda, Bulgaria, Dinamarca, Eslovenia, España, Estonia, Finlandia, Francia, Grecia, Hungría, Irlanda, Islandia, Italia, Letonia, Lituania, Malta, Noruega, Polonia, Reino Unido, República Checa, Rumanía, Rusia, Suecia, Suiza, Turquía, Ucrania. </w:t>
      </w:r>
    </w:p>
    <w:p w14:paraId="3EDF01E7"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Oceanía: Australia</w:t>
      </w:r>
    </w:p>
    <w:p w14:paraId="0C58DD3A" w14:textId="77777777" w:rsidR="00256EC8" w:rsidRPr="00AD47A4" w:rsidRDefault="00256EC8" w:rsidP="00256EC8">
      <w:pPr>
        <w:jc w:val="both"/>
        <w:rPr>
          <w:rFonts w:ascii="Open Sans" w:hAnsi="Open Sans" w:cs="Open Sans"/>
          <w:sz w:val="20"/>
          <w:szCs w:val="20"/>
        </w:rPr>
      </w:pPr>
    </w:p>
    <w:p w14:paraId="482BB989" w14:textId="77777777" w:rsidR="00256EC8" w:rsidRPr="00AD47A4" w:rsidRDefault="00256EC8" w:rsidP="00256EC8">
      <w:pPr>
        <w:jc w:val="both"/>
        <w:rPr>
          <w:rFonts w:ascii="Open Sans" w:hAnsi="Open Sans" w:cs="Open Sans"/>
          <w:sz w:val="20"/>
          <w:szCs w:val="20"/>
        </w:rPr>
      </w:pPr>
    </w:p>
    <w:p w14:paraId="507990D7" w14:textId="321CD80D" w:rsidR="00256EC8" w:rsidRPr="00AD47A4" w:rsidRDefault="00256EC8" w:rsidP="00256EC8">
      <w:pPr>
        <w:jc w:val="both"/>
        <w:rPr>
          <w:rFonts w:ascii="Open Sans" w:hAnsi="Open Sans" w:cs="Open Sans"/>
          <w:sz w:val="20"/>
          <w:szCs w:val="20"/>
          <w:u w:val="single"/>
        </w:rPr>
      </w:pPr>
      <w:r>
        <w:rPr>
          <w:rFonts w:ascii="Open Sans" w:hAnsi="Open Sans" w:cs="Open Sans"/>
          <w:sz w:val="20"/>
          <w:szCs w:val="20"/>
          <w:u w:val="single"/>
        </w:rPr>
        <w:t>Cifras relevantes de la empresa</w:t>
      </w:r>
    </w:p>
    <w:p w14:paraId="62B65A4D" w14:textId="77777777" w:rsidR="00256EC8" w:rsidRPr="00AD47A4" w:rsidRDefault="00256EC8" w:rsidP="00256EC8">
      <w:pPr>
        <w:jc w:val="both"/>
        <w:rPr>
          <w:rFonts w:ascii="Open Sans" w:hAnsi="Open Sans" w:cs="Open Sans"/>
          <w:sz w:val="20"/>
          <w:szCs w:val="20"/>
          <w:u w:val="single"/>
        </w:rPr>
      </w:pPr>
    </w:p>
    <w:p w14:paraId="08B31FC8"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Amadeus ha obtenido unos ingresos en 2015 de 3.912,7</w:t>
      </w:r>
      <w:r w:rsidRPr="00AD47A4">
        <w:rPr>
          <w:rFonts w:ascii="Open Sans" w:eastAsia="Calibri" w:hAnsi="Open Sans" w:cs="Open Sans"/>
          <w:sz w:val="20"/>
          <w:szCs w:val="20"/>
        </w:rPr>
        <w:t xml:space="preserve"> </w:t>
      </w:r>
      <w:r w:rsidRPr="00AD47A4">
        <w:rPr>
          <w:rFonts w:ascii="Open Sans" w:hAnsi="Open Sans" w:cs="Open Sans"/>
          <w:sz w:val="20"/>
          <w:szCs w:val="20"/>
        </w:rPr>
        <w:t>millones de euros lo que le ha generado unos beneficios antes de impuestos al grupo consolidado de 1.003,8 miles de euros. Al 31 de diciembre de 2015 el grupo cuenta con un total de 14.251</w:t>
      </w:r>
      <w:r w:rsidRPr="00AD47A4">
        <w:rPr>
          <w:rFonts w:ascii="Open Sans" w:eastAsia="Calibri" w:hAnsi="Open Sans" w:cs="Open Sans"/>
          <w:sz w:val="20"/>
          <w:szCs w:val="20"/>
        </w:rPr>
        <w:t xml:space="preserve"> </w:t>
      </w:r>
      <w:r w:rsidRPr="00AD47A4">
        <w:rPr>
          <w:rFonts w:ascii="Open Sans" w:hAnsi="Open Sans" w:cs="Open Sans"/>
          <w:sz w:val="20"/>
          <w:szCs w:val="20"/>
        </w:rPr>
        <w:t>empleados.</w:t>
      </w:r>
    </w:p>
    <w:p w14:paraId="5AD6ED08" w14:textId="77777777" w:rsidR="00256EC8" w:rsidRPr="00AD47A4" w:rsidRDefault="00256EC8" w:rsidP="00256EC8">
      <w:pPr>
        <w:jc w:val="both"/>
        <w:rPr>
          <w:rFonts w:ascii="Open Sans" w:hAnsi="Open Sans" w:cs="Open Sans"/>
          <w:sz w:val="20"/>
          <w:szCs w:val="20"/>
          <w:u w:val="single"/>
        </w:rPr>
      </w:pPr>
    </w:p>
    <w:p w14:paraId="025040A6" w14:textId="77777777" w:rsidR="00256EC8" w:rsidRPr="00AD47A4" w:rsidRDefault="00256EC8" w:rsidP="00256EC8">
      <w:pPr>
        <w:jc w:val="both"/>
        <w:rPr>
          <w:rFonts w:ascii="Open Sans" w:hAnsi="Open Sans" w:cs="Open Sans"/>
          <w:sz w:val="20"/>
          <w:szCs w:val="20"/>
          <w:u w:val="single"/>
        </w:rPr>
      </w:pPr>
    </w:p>
    <w:p w14:paraId="5BCCD3A1" w14:textId="77777777" w:rsidR="00256EC8" w:rsidRPr="00AD47A4" w:rsidRDefault="00256EC8" w:rsidP="00256EC8">
      <w:pPr>
        <w:jc w:val="both"/>
        <w:rPr>
          <w:rFonts w:ascii="Open Sans" w:hAnsi="Open Sans" w:cs="Open Sans"/>
          <w:sz w:val="20"/>
          <w:szCs w:val="20"/>
          <w:u w:val="single"/>
        </w:rPr>
      </w:pPr>
      <w:r w:rsidRPr="00AD47A4">
        <w:rPr>
          <w:rFonts w:ascii="Open Sans" w:hAnsi="Open Sans" w:cs="Open Sans"/>
          <w:sz w:val="20"/>
          <w:szCs w:val="20"/>
          <w:u w:val="single"/>
        </w:rPr>
        <w:t>Estándares voluntarios relacionados con fiscalidad responsable</w:t>
      </w:r>
    </w:p>
    <w:p w14:paraId="5BDFB196" w14:textId="77777777" w:rsidR="00256EC8" w:rsidRPr="00AD47A4" w:rsidRDefault="00256EC8" w:rsidP="00256EC8">
      <w:pPr>
        <w:jc w:val="both"/>
        <w:rPr>
          <w:rFonts w:ascii="Open Sans" w:hAnsi="Open Sans" w:cs="Open Sans"/>
          <w:sz w:val="20"/>
          <w:szCs w:val="20"/>
          <w:u w:val="single"/>
        </w:rPr>
      </w:pPr>
    </w:p>
    <w:p w14:paraId="2FACC021"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Amadeus no informa si se ha adherido voluntariamente a estándares o códigos relacionados con contenidos y sistemas de gestión de fiscalidad responsable.</w:t>
      </w:r>
    </w:p>
    <w:p w14:paraId="11537667" w14:textId="77777777" w:rsidR="00256EC8" w:rsidRPr="00AD47A4" w:rsidRDefault="00256EC8" w:rsidP="00256EC8">
      <w:pPr>
        <w:jc w:val="both"/>
        <w:rPr>
          <w:rFonts w:ascii="Open Sans" w:hAnsi="Open Sans" w:cs="Open Sans"/>
          <w:sz w:val="20"/>
          <w:szCs w:val="20"/>
        </w:rPr>
      </w:pPr>
    </w:p>
    <w:p w14:paraId="49F1FAAD" w14:textId="77777777" w:rsidR="00256EC8" w:rsidRPr="00AD47A4" w:rsidRDefault="00256EC8" w:rsidP="00256EC8">
      <w:pPr>
        <w:jc w:val="both"/>
        <w:rPr>
          <w:rFonts w:ascii="Open Sans" w:hAnsi="Open Sans" w:cs="Open Sans"/>
          <w:sz w:val="20"/>
          <w:szCs w:val="20"/>
          <w:u w:val="single"/>
        </w:rPr>
      </w:pPr>
    </w:p>
    <w:p w14:paraId="632A8D98" w14:textId="77777777" w:rsidR="00256EC8" w:rsidRPr="00AD47A4" w:rsidRDefault="00256EC8" w:rsidP="00256EC8">
      <w:pPr>
        <w:jc w:val="both"/>
        <w:rPr>
          <w:rFonts w:ascii="Open Sans" w:hAnsi="Open Sans" w:cs="Open Sans"/>
          <w:sz w:val="20"/>
          <w:szCs w:val="20"/>
          <w:u w:val="single"/>
        </w:rPr>
      </w:pPr>
      <w:r w:rsidRPr="00AD47A4">
        <w:rPr>
          <w:rFonts w:ascii="Open Sans" w:hAnsi="Open Sans" w:cs="Open Sans"/>
          <w:sz w:val="20"/>
          <w:szCs w:val="20"/>
          <w:u w:val="single"/>
        </w:rPr>
        <w:t>Documentos incluidos en el análisis</w:t>
      </w:r>
    </w:p>
    <w:p w14:paraId="7286FCBF" w14:textId="77777777" w:rsidR="00256EC8" w:rsidRPr="00AD47A4" w:rsidRDefault="00256EC8" w:rsidP="00256EC8">
      <w:pPr>
        <w:ind w:firstLine="709"/>
        <w:jc w:val="both"/>
        <w:rPr>
          <w:rFonts w:ascii="Open Sans" w:hAnsi="Open Sans" w:cs="Open Sans"/>
          <w:sz w:val="20"/>
          <w:szCs w:val="20"/>
        </w:rPr>
      </w:pPr>
    </w:p>
    <w:p w14:paraId="3F9B273E"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Para el análisis de la calidad de la información relacionada con fiscalidad de la empresa, se ha tenido en cuenta la información contenida en la siguiente documentación:</w:t>
      </w:r>
    </w:p>
    <w:p w14:paraId="3E3D591B" w14:textId="77777777" w:rsidR="00256EC8" w:rsidRPr="00AD47A4" w:rsidRDefault="00256EC8" w:rsidP="00256EC8">
      <w:pPr>
        <w:ind w:firstLine="709"/>
        <w:jc w:val="both"/>
        <w:rPr>
          <w:rFonts w:ascii="Open Sans" w:hAnsi="Open Sans" w:cs="Open Sans"/>
          <w:sz w:val="20"/>
          <w:szCs w:val="20"/>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256EC8" w:rsidRPr="00AD47A4" w14:paraId="65C82AC6" w14:textId="77777777" w:rsidTr="00256EC8">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529023A5" w14:textId="77777777" w:rsidR="00256EC8" w:rsidRPr="00AD47A4" w:rsidRDefault="00256EC8" w:rsidP="00256EC8">
            <w:pPr>
              <w:jc w:val="center"/>
              <w:rPr>
                <w:rFonts w:ascii="Open Sans" w:hAnsi="Open Sans" w:cs="Open Sans"/>
                <w:b/>
                <w:sz w:val="20"/>
                <w:szCs w:val="20"/>
              </w:rPr>
            </w:pPr>
            <w:r w:rsidRPr="00AD47A4">
              <w:rPr>
                <w:rFonts w:ascii="Open Sans" w:hAnsi="Open Sans" w:cs="Open Sans"/>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7EB44BAD" w14:textId="77777777" w:rsidR="00256EC8" w:rsidRPr="00AD47A4" w:rsidRDefault="00256EC8" w:rsidP="00256EC8">
            <w:pPr>
              <w:jc w:val="center"/>
              <w:rPr>
                <w:rFonts w:ascii="Open Sans" w:hAnsi="Open Sans" w:cs="Open Sans"/>
                <w:b/>
                <w:sz w:val="20"/>
                <w:szCs w:val="20"/>
              </w:rPr>
            </w:pPr>
            <w:r w:rsidRPr="00AD47A4">
              <w:rPr>
                <w:rFonts w:ascii="Open Sans" w:hAnsi="Open Sans" w:cs="Open Sans"/>
                <w:b/>
                <w:sz w:val="20"/>
                <w:szCs w:val="20"/>
              </w:rPr>
              <w:t>OBSERVACIONES</w:t>
            </w:r>
          </w:p>
        </w:tc>
      </w:tr>
      <w:tr w:rsidR="00256EC8" w:rsidRPr="00AD47A4" w14:paraId="44B2C030" w14:textId="77777777" w:rsidTr="00256EC8">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bottom"/>
          </w:tcPr>
          <w:p w14:paraId="4B1DE2BE" w14:textId="77777777" w:rsidR="00256EC8" w:rsidRPr="00AD47A4" w:rsidRDefault="00256EC8" w:rsidP="00256EC8">
            <w:pPr>
              <w:rPr>
                <w:rFonts w:ascii="Open Sans" w:eastAsia="Arial Unicode MS" w:hAnsi="Open Sans" w:cs="Open Sans"/>
                <w:sz w:val="20"/>
                <w:szCs w:val="20"/>
              </w:rPr>
            </w:pPr>
            <w:r w:rsidRPr="00AD47A4">
              <w:rPr>
                <w:rFonts w:ascii="Open Sans" w:eastAsia="Arial Unicode MS" w:hAnsi="Open Sans" w:cs="Open Sans"/>
                <w:sz w:val="20"/>
                <w:szCs w:val="20"/>
              </w:rPr>
              <w:t>Cuentas anuales consolidadas e informe de gestión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549073AE" w14:textId="77777777" w:rsidR="00256EC8" w:rsidRPr="00AD47A4" w:rsidRDefault="00256EC8" w:rsidP="00256EC8">
            <w:pPr>
              <w:jc w:val="both"/>
              <w:rPr>
                <w:rFonts w:ascii="Open Sans" w:eastAsia="Arial Unicode MS" w:hAnsi="Open Sans" w:cs="Open Sans"/>
                <w:sz w:val="20"/>
                <w:szCs w:val="20"/>
              </w:rPr>
            </w:pPr>
          </w:p>
        </w:tc>
      </w:tr>
      <w:tr w:rsidR="00256EC8" w:rsidRPr="00AD47A4" w14:paraId="6356A8B3" w14:textId="77777777" w:rsidTr="00256EC8">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883D372" w14:textId="77777777" w:rsidR="00256EC8" w:rsidRPr="00AD47A4" w:rsidRDefault="00256EC8" w:rsidP="00256EC8">
            <w:pPr>
              <w:rPr>
                <w:rFonts w:ascii="Open Sans" w:eastAsia="Arial Unicode MS" w:hAnsi="Open Sans" w:cs="Open Sans"/>
                <w:sz w:val="20"/>
                <w:szCs w:val="20"/>
              </w:rPr>
            </w:pPr>
            <w:r w:rsidRPr="00AD47A4">
              <w:rPr>
                <w:rFonts w:ascii="Open Sans" w:eastAsia="Arial Unicode MS" w:hAnsi="Open Sans" w:cs="Open Sans"/>
                <w:sz w:val="20"/>
                <w:szCs w:val="20"/>
              </w:rPr>
              <w:t>Informe Global 2015. Análisis de la actividad empresarial financiera y de sostenibilidad</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1453865F" w14:textId="77777777" w:rsidR="00256EC8" w:rsidRPr="00AD47A4" w:rsidRDefault="00256EC8" w:rsidP="00256EC8">
            <w:pPr>
              <w:jc w:val="both"/>
              <w:rPr>
                <w:rFonts w:ascii="Open Sans" w:eastAsia="Arial Unicode MS" w:hAnsi="Open Sans" w:cs="Open Sans"/>
                <w:sz w:val="20"/>
                <w:szCs w:val="20"/>
              </w:rPr>
            </w:pPr>
          </w:p>
        </w:tc>
      </w:tr>
      <w:tr w:rsidR="00256EC8" w:rsidRPr="00AD47A4" w14:paraId="5D73C689" w14:textId="77777777" w:rsidTr="00256EC8">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E92D217" w14:textId="77777777" w:rsidR="00256EC8" w:rsidRPr="00AD47A4" w:rsidRDefault="00256EC8" w:rsidP="00256EC8">
            <w:pPr>
              <w:rPr>
                <w:rFonts w:ascii="Open Sans" w:hAnsi="Open Sans" w:cs="Open Sans"/>
                <w:sz w:val="20"/>
                <w:szCs w:val="20"/>
              </w:rPr>
            </w:pPr>
            <w:r w:rsidRPr="00AD47A4">
              <w:rPr>
                <w:rFonts w:ascii="Open Sans" w:hAnsi="Open Sans" w:cs="Open Sans"/>
                <w:sz w:val="20"/>
                <w:szCs w:val="20"/>
              </w:rPr>
              <w:t>Informe de Gobierno Corporativo ACS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vAlign w:val="bottom"/>
          </w:tcPr>
          <w:p w14:paraId="319287E2" w14:textId="77777777" w:rsidR="00256EC8" w:rsidRPr="00AD47A4" w:rsidRDefault="00256EC8" w:rsidP="00256EC8">
            <w:pPr>
              <w:jc w:val="both"/>
              <w:rPr>
                <w:rFonts w:ascii="Open Sans" w:eastAsia="Arial Unicode MS" w:hAnsi="Open Sans" w:cs="Open Sans"/>
                <w:sz w:val="20"/>
                <w:szCs w:val="20"/>
              </w:rPr>
            </w:pPr>
          </w:p>
        </w:tc>
      </w:tr>
      <w:tr w:rsidR="00256EC8" w:rsidRPr="00AD47A4" w14:paraId="30AE5C0B" w14:textId="77777777" w:rsidTr="00256EC8">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3D946304" w14:textId="77777777" w:rsidR="00256EC8" w:rsidRPr="00AD47A4" w:rsidRDefault="00256EC8" w:rsidP="00256EC8">
            <w:pPr>
              <w:rPr>
                <w:rFonts w:ascii="Open Sans" w:hAnsi="Open Sans" w:cs="Open Sans"/>
                <w:sz w:val="20"/>
                <w:szCs w:val="20"/>
              </w:rPr>
            </w:pPr>
            <w:r w:rsidRPr="00AD47A4">
              <w:rPr>
                <w:rFonts w:ascii="Open Sans" w:hAnsi="Open Sans" w:cs="Open Sans"/>
                <w:sz w:val="20"/>
                <w:szCs w:val="20"/>
              </w:rPr>
              <w:t>Otras fuentes como bases de datos de empresas registradas o informes aparecidos en medios de comunicación</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vAlign w:val="center"/>
          </w:tcPr>
          <w:p w14:paraId="00A763DA" w14:textId="77777777" w:rsidR="00256EC8" w:rsidRPr="00AD47A4" w:rsidRDefault="00256EC8" w:rsidP="00256EC8">
            <w:pPr>
              <w:jc w:val="both"/>
              <w:rPr>
                <w:rFonts w:ascii="Open Sans" w:eastAsia="Arial Unicode MS" w:hAnsi="Open Sans" w:cs="Open Sans"/>
                <w:sz w:val="20"/>
                <w:szCs w:val="20"/>
              </w:rPr>
            </w:pPr>
          </w:p>
        </w:tc>
      </w:tr>
    </w:tbl>
    <w:p w14:paraId="2C0DCE2B" w14:textId="77777777" w:rsidR="00256EC8" w:rsidRPr="00AD47A4" w:rsidRDefault="00256EC8" w:rsidP="00256EC8">
      <w:pPr>
        <w:jc w:val="both"/>
        <w:rPr>
          <w:rFonts w:ascii="Open Sans" w:hAnsi="Open Sans" w:cs="Open Sans"/>
          <w:b/>
          <w:sz w:val="20"/>
          <w:szCs w:val="20"/>
        </w:rPr>
      </w:pPr>
    </w:p>
    <w:p w14:paraId="28AB0121" w14:textId="77777777" w:rsidR="00256EC8" w:rsidRPr="00AD47A4" w:rsidRDefault="00256EC8" w:rsidP="00256EC8">
      <w:pPr>
        <w:jc w:val="both"/>
        <w:rPr>
          <w:rFonts w:ascii="Open Sans" w:hAnsi="Open Sans" w:cs="Open Sans"/>
          <w:b/>
          <w:sz w:val="20"/>
          <w:szCs w:val="20"/>
        </w:rPr>
      </w:pPr>
    </w:p>
    <w:p w14:paraId="43572558" w14:textId="77777777" w:rsidR="00256EC8" w:rsidRPr="00AD47A4" w:rsidRDefault="00256EC8" w:rsidP="00256EC8">
      <w:pPr>
        <w:jc w:val="both"/>
        <w:rPr>
          <w:rFonts w:ascii="Open Sans" w:hAnsi="Open Sans" w:cs="Open Sans"/>
          <w:b/>
          <w:sz w:val="22"/>
          <w:szCs w:val="22"/>
          <w:u w:val="single"/>
        </w:rPr>
      </w:pPr>
      <w:r w:rsidRPr="00AD47A4">
        <w:rPr>
          <w:rFonts w:ascii="Open Sans" w:hAnsi="Open Sans" w:cs="Open Sans"/>
          <w:b/>
          <w:sz w:val="22"/>
          <w:szCs w:val="22"/>
          <w:u w:val="single"/>
        </w:rPr>
        <w:t>2. Tabla de resultados</w:t>
      </w:r>
    </w:p>
    <w:p w14:paraId="014074B5" w14:textId="77777777" w:rsidR="00256EC8" w:rsidRPr="00AD47A4" w:rsidRDefault="00256EC8" w:rsidP="00256EC8">
      <w:pPr>
        <w:jc w:val="center"/>
        <w:rPr>
          <w:rFonts w:ascii="Open Sans" w:hAnsi="Open Sans" w:cs="Open Sans"/>
          <w:b/>
          <w:color w:val="FF0000"/>
          <w:sz w:val="20"/>
          <w:szCs w:val="20"/>
        </w:rPr>
      </w:pPr>
    </w:p>
    <w:p w14:paraId="20C9E360" w14:textId="77777777" w:rsidR="00256EC8" w:rsidRPr="00AD47A4" w:rsidRDefault="00256EC8" w:rsidP="00256EC8">
      <w:pPr>
        <w:jc w:val="center"/>
        <w:rPr>
          <w:rFonts w:ascii="Open Sans" w:hAnsi="Open Sans" w:cs="Open Sans"/>
          <w:b/>
          <w:color w:val="FF0000"/>
          <w:sz w:val="20"/>
          <w:szCs w:val="20"/>
        </w:rPr>
      </w:pPr>
    </w:p>
    <w:p w14:paraId="7C24A660" w14:textId="77777777" w:rsidR="00256EC8" w:rsidRPr="00AD47A4" w:rsidRDefault="00256EC8" w:rsidP="00256EC8">
      <w:pPr>
        <w:suppressAutoHyphens/>
        <w:jc w:val="center"/>
        <w:rPr>
          <w:rFonts w:ascii="Open Sans" w:hAnsi="Open Sans" w:cs="Arial"/>
          <w:b/>
          <w:sz w:val="20"/>
          <w:szCs w:val="22"/>
          <w:u w:val="single"/>
          <w:lang w:eastAsia="ar-SA"/>
        </w:rPr>
      </w:pPr>
      <w:r w:rsidRPr="00AD47A4">
        <w:rPr>
          <w:rFonts w:ascii="Open Sans" w:hAnsi="Open Sans" w:cs="Arial"/>
          <w:b/>
          <w:sz w:val="20"/>
          <w:szCs w:val="22"/>
          <w:u w:val="single"/>
          <w:lang w:eastAsia="ar-SA"/>
        </w:rPr>
        <w:t>TABLA 1: Valoraciones por dimensión</w:t>
      </w:r>
    </w:p>
    <w:p w14:paraId="250FA7AD" w14:textId="77777777" w:rsidR="00256EC8" w:rsidRPr="00AD47A4" w:rsidRDefault="00256EC8" w:rsidP="00256EC8">
      <w:pPr>
        <w:rPr>
          <w:rFonts w:ascii="Open Sans" w:hAnsi="Open Sans" w:cs="Arial"/>
          <w:b/>
        </w:rPr>
      </w:pPr>
    </w:p>
    <w:p w14:paraId="64A05E34" w14:textId="77777777" w:rsidR="00256EC8" w:rsidRPr="00AD47A4" w:rsidRDefault="00256EC8" w:rsidP="00256EC8">
      <w:pPr>
        <w:jc w:val="center"/>
        <w:rPr>
          <w:rFonts w:ascii="Open Sans" w:hAnsi="Open Sans" w:cs="Open Sans"/>
          <w:b/>
          <w:color w:val="FF0000"/>
          <w:sz w:val="20"/>
          <w:szCs w:val="20"/>
        </w:rPr>
      </w:pPr>
      <w:r w:rsidRPr="00AD47A4">
        <w:rPr>
          <w:rFonts w:ascii="Open Sans" w:hAnsi="Open Sans"/>
          <w:noProof/>
          <w:lang w:val="es-ES"/>
        </w:rPr>
        <w:drawing>
          <wp:inline distT="0" distB="0" distL="0" distR="0" wp14:anchorId="454CE610" wp14:editId="3222CA35">
            <wp:extent cx="3686175" cy="18288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a:ext>
                      </a:extLst>
                    </a:blip>
                    <a:srcRect/>
                    <a:stretch>
                      <a:fillRect/>
                    </a:stretch>
                  </pic:blipFill>
                  <pic:spPr bwMode="auto">
                    <a:xfrm>
                      <a:off x="0" y="0"/>
                      <a:ext cx="3686175" cy="1828800"/>
                    </a:xfrm>
                    <a:prstGeom prst="rect">
                      <a:avLst/>
                    </a:prstGeom>
                    <a:noFill/>
                    <a:ln>
                      <a:noFill/>
                    </a:ln>
                  </pic:spPr>
                </pic:pic>
              </a:graphicData>
            </a:graphic>
          </wp:inline>
        </w:drawing>
      </w:r>
    </w:p>
    <w:p w14:paraId="774AE03B" w14:textId="77777777" w:rsidR="00256EC8" w:rsidRPr="00AD47A4" w:rsidRDefault="00256EC8" w:rsidP="00256EC8">
      <w:pPr>
        <w:jc w:val="center"/>
        <w:rPr>
          <w:rFonts w:ascii="Open Sans" w:hAnsi="Open Sans" w:cs="Open Sans"/>
          <w:b/>
          <w:sz w:val="20"/>
          <w:szCs w:val="20"/>
        </w:rPr>
      </w:pPr>
    </w:p>
    <w:p w14:paraId="0E89347E" w14:textId="77777777" w:rsidR="00256EC8" w:rsidRPr="00AD47A4" w:rsidRDefault="00256EC8" w:rsidP="00256EC8">
      <w:pPr>
        <w:spacing w:after="200" w:line="276" w:lineRule="auto"/>
        <w:rPr>
          <w:rFonts w:ascii="Open Sans" w:hAnsi="Open Sans" w:cs="Open Sans"/>
          <w:b/>
          <w:sz w:val="20"/>
          <w:szCs w:val="20"/>
        </w:rPr>
      </w:pPr>
      <w:r w:rsidRPr="00AD47A4">
        <w:rPr>
          <w:rFonts w:ascii="Open Sans" w:hAnsi="Open Sans" w:cs="Open Sans"/>
          <w:b/>
          <w:sz w:val="20"/>
          <w:szCs w:val="20"/>
        </w:rPr>
        <w:br w:type="page"/>
      </w:r>
    </w:p>
    <w:p w14:paraId="40AF7F65" w14:textId="77777777" w:rsidR="00256EC8" w:rsidRPr="00AD47A4" w:rsidRDefault="00256EC8" w:rsidP="00256EC8">
      <w:pPr>
        <w:rPr>
          <w:rFonts w:ascii="Open Sans" w:hAnsi="Open Sans" w:cs="Open Sans"/>
          <w:b/>
          <w:sz w:val="20"/>
          <w:szCs w:val="20"/>
        </w:rPr>
      </w:pPr>
    </w:p>
    <w:p w14:paraId="27B71352" w14:textId="77777777" w:rsidR="00256EC8" w:rsidRPr="00AD47A4" w:rsidRDefault="00256EC8" w:rsidP="00256EC8">
      <w:pPr>
        <w:tabs>
          <w:tab w:val="left" w:pos="4068"/>
        </w:tabs>
        <w:jc w:val="both"/>
        <w:rPr>
          <w:rFonts w:ascii="Open Sans" w:hAnsi="Open Sans" w:cs="Open Sans"/>
          <w:b/>
          <w:sz w:val="22"/>
          <w:szCs w:val="22"/>
        </w:rPr>
      </w:pPr>
      <w:r w:rsidRPr="00AD47A4">
        <w:rPr>
          <w:rFonts w:ascii="Open Sans" w:hAnsi="Open Sans" w:cs="Open Sans"/>
          <w:b/>
          <w:sz w:val="22"/>
          <w:szCs w:val="22"/>
          <w:u w:val="single"/>
        </w:rPr>
        <w:t>3. Contexto general</w:t>
      </w:r>
    </w:p>
    <w:p w14:paraId="356CEB29" w14:textId="77777777" w:rsidR="00256EC8" w:rsidRPr="00AD47A4" w:rsidRDefault="00256EC8" w:rsidP="00256EC8">
      <w:pPr>
        <w:jc w:val="both"/>
        <w:rPr>
          <w:rFonts w:ascii="Open Sans" w:hAnsi="Open Sans" w:cs="Open Sans"/>
          <w:b/>
          <w:sz w:val="20"/>
          <w:szCs w:val="20"/>
        </w:rPr>
      </w:pPr>
    </w:p>
    <w:p w14:paraId="2E864A7A"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Amadeus cuenta con una capitalización a diciembre de 2015 de 8.501 millones de euros. Ha obtenido unos ingresos durante el periodo analizado de 3.913 millones de euros. La división de soluciones tecnológicas aporta el 30% de los ingresos del Grupo y el restante 70% es aportado por Distribución. La empresa tiene un 42,5% de cuota de mercado a nivel mundial en el servicio de distribución de viaje. El Grupo cotiza en el selectivo Ibex 35. </w:t>
      </w:r>
    </w:p>
    <w:p w14:paraId="70E40834" w14:textId="77777777" w:rsidR="00256EC8" w:rsidRPr="00AD47A4" w:rsidRDefault="00256EC8" w:rsidP="00256EC8">
      <w:pPr>
        <w:autoSpaceDE w:val="0"/>
        <w:autoSpaceDN w:val="0"/>
        <w:adjustRightInd w:val="0"/>
        <w:jc w:val="both"/>
        <w:rPr>
          <w:rFonts w:ascii="Open Sans" w:hAnsi="Open Sans" w:cs="Open Sans"/>
          <w:sz w:val="20"/>
          <w:szCs w:val="20"/>
        </w:rPr>
      </w:pPr>
    </w:p>
    <w:p w14:paraId="771BA394"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Amadeus es líder en el mercado de distribución y soluciones tecnológicas en el sector turístico europeo y con fuerte presencia en regiones emergentes como Oriente Medio, África o Asia-Pacífico. El Grupo desarrolla su actividad en un entorno global y cambiante. Con presencia en 77 países, abarcando los cinco continentes, y con operaciones en 195 países, cuenta con una plantilla a diciembre de 2015 de 14.251  empleados de 123  nacionalidades que se concentran principalmente en sus tres oficinas de Madrid (España), Niza (Francia) y Erding (Alemania), pero también con importante presencia en India a través de su sede en Bangalore. Pese a su fuerte presencia internacional, 11 oficinas concentran el consumo total de recursos de Amadeus en todo el mundo y el 80% de los empleados</w:t>
      </w:r>
    </w:p>
    <w:p w14:paraId="7A5F6C28" w14:textId="77777777" w:rsidR="00256EC8" w:rsidRPr="00AD47A4" w:rsidRDefault="00256EC8" w:rsidP="00256EC8">
      <w:pPr>
        <w:autoSpaceDE w:val="0"/>
        <w:autoSpaceDN w:val="0"/>
        <w:adjustRightInd w:val="0"/>
        <w:jc w:val="both"/>
        <w:rPr>
          <w:rFonts w:ascii="Open Sans" w:hAnsi="Open Sans" w:cs="Open Sans"/>
          <w:sz w:val="20"/>
          <w:szCs w:val="20"/>
        </w:rPr>
      </w:pPr>
    </w:p>
    <w:p w14:paraId="39C5436D"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A 31 de diciembre de 2015, el Grupo Amadeus tiene un saldo de deuda corriente y no corriente que asciende a 2.322.901 miles de euros, de los cuales 1.150 millones de euros corresponden a bonos. En 2014 Amadeus emitió a través Amadeus Financie B.V (domiciliada en Holanda) en el Mercado de valores regulado de Luxemburgo un total de deuda por valor de 400 millones de euros. Esta misma sociedad también en 2014 realizó una emisión de deuda a corto plazo por valor de 500 millones de euros. </w:t>
      </w:r>
    </w:p>
    <w:p w14:paraId="5FB8810A" w14:textId="77777777" w:rsidR="00256EC8" w:rsidRPr="00AD47A4" w:rsidRDefault="00256EC8" w:rsidP="00256EC8">
      <w:pPr>
        <w:autoSpaceDE w:val="0"/>
        <w:autoSpaceDN w:val="0"/>
        <w:adjustRightInd w:val="0"/>
        <w:jc w:val="both"/>
        <w:rPr>
          <w:rFonts w:ascii="Open Sans" w:hAnsi="Open Sans" w:cs="Open Sans"/>
          <w:sz w:val="20"/>
          <w:szCs w:val="20"/>
        </w:rPr>
      </w:pPr>
    </w:p>
    <w:p w14:paraId="443B51AC"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Amadeus es una empresa con un fuerte componente tecnológico que como se ha señalado anteriormente opera en 195 países y tiene presencia en más de 70. En la actualidad hay un fuerte debate sobre las consecuencias tributarias que pueden derivarse de la realización de transacciones comerciales electrónicas. El comercio electrónico de bienes y servicios ha favorecido la deslocalización de las actividades económicas y la creación de un mercado global han generado un  riesgo importante en relación a la disminución de los ingresos tributarios por parte de los Estados por cuatro factores como señala Noceta (2006)</w:t>
      </w:r>
      <w:r w:rsidRPr="00AD47A4">
        <w:rPr>
          <w:rFonts w:ascii="Open Sans" w:hAnsi="Open Sans"/>
          <w:vertAlign w:val="superscript"/>
        </w:rPr>
        <w:footnoteReference w:id="623"/>
      </w:r>
      <w:r w:rsidRPr="00AD47A4">
        <w:rPr>
          <w:rFonts w:ascii="Open Sans" w:hAnsi="Open Sans" w:cs="Open Sans"/>
          <w:sz w:val="20"/>
          <w:szCs w:val="20"/>
        </w:rPr>
        <w:t xml:space="preserve">: Dificultades en la calificación de las rentas obtenidas por la realización de transacciones telemáticas; Dificultades en la localización de las actividades comerciales telemáticas; Dificultades en la cuantificación de las transacciones telemáticas; Dificultades en el control de las transacciones telemáticas.  </w:t>
      </w:r>
    </w:p>
    <w:p w14:paraId="32B902AF" w14:textId="77777777" w:rsidR="00256EC8" w:rsidRPr="00AD47A4" w:rsidRDefault="00256EC8" w:rsidP="00256EC8">
      <w:pPr>
        <w:autoSpaceDE w:val="0"/>
        <w:autoSpaceDN w:val="0"/>
        <w:adjustRightInd w:val="0"/>
        <w:jc w:val="both"/>
        <w:rPr>
          <w:rFonts w:ascii="Open Sans" w:hAnsi="Open Sans" w:cs="Open Sans"/>
          <w:sz w:val="20"/>
          <w:szCs w:val="20"/>
        </w:rPr>
      </w:pPr>
    </w:p>
    <w:p w14:paraId="7EA8CD2F"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Amadeus asume un compromiso explícito con la sostenibilidad aunque en la documentación consultada no hay un compromiso explícito en relación a los criterios de fiscalidad responsable. </w:t>
      </w:r>
    </w:p>
    <w:p w14:paraId="2CD48D92" w14:textId="77777777" w:rsidR="00256EC8" w:rsidRPr="00AD47A4" w:rsidRDefault="00256EC8" w:rsidP="00256EC8">
      <w:pPr>
        <w:jc w:val="both"/>
        <w:rPr>
          <w:rFonts w:ascii="Open Sans" w:hAnsi="Open Sans" w:cs="Open Sans"/>
          <w:sz w:val="20"/>
          <w:szCs w:val="20"/>
        </w:rPr>
      </w:pPr>
    </w:p>
    <w:p w14:paraId="7147D980"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Amadeus cuenta con presencia en el índice de sostenibilidad Dow Jones Sustainability. Es importante señalar que varios de estos índices comienzan a contemplar los aspectos relativos a transparencia fiscal y fiscalidad responsable como criterios para la selección de empresas. Entre los índices que incluyen estos criterios se encuentra el Dow Jones Sustainability y el FTSE4good</w:t>
      </w:r>
      <w:r w:rsidRPr="00AD47A4">
        <w:rPr>
          <w:rStyle w:val="Refdenotaalpie"/>
          <w:rFonts w:ascii="Open Sans" w:hAnsi="Open Sans" w:cs="Open Sans"/>
          <w:sz w:val="20"/>
          <w:szCs w:val="20"/>
        </w:rPr>
        <w:footnoteReference w:id="624"/>
      </w:r>
      <w:r w:rsidRPr="00AD47A4">
        <w:rPr>
          <w:rFonts w:ascii="Open Sans" w:hAnsi="Open Sans" w:cs="Open Sans"/>
          <w:sz w:val="20"/>
          <w:szCs w:val="20"/>
        </w:rPr>
        <w:t>.</w:t>
      </w:r>
    </w:p>
    <w:p w14:paraId="6C6FFDEE" w14:textId="77777777" w:rsidR="00256EC8" w:rsidRPr="00AD47A4" w:rsidRDefault="00256EC8" w:rsidP="00256EC8">
      <w:pPr>
        <w:jc w:val="both"/>
        <w:rPr>
          <w:rFonts w:ascii="Open Sans" w:hAnsi="Open Sans" w:cs="Open Sans"/>
          <w:sz w:val="20"/>
          <w:szCs w:val="20"/>
        </w:rPr>
      </w:pPr>
    </w:p>
    <w:p w14:paraId="1F6D8C2C"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A nivel interno, Amadeus a través de la información publicada manifiesta contar con algunos procedimientos en marcha para asegurar la adopción de buenas prácticas en el ámbito económico, social y medioambiental, como son el Código de Conducta Profesional. No obstante, la información facilitada al respecto es escasa, no estando disponible al público parte de la información contenida en estos documentos.</w:t>
      </w:r>
    </w:p>
    <w:p w14:paraId="48A73F70" w14:textId="77777777" w:rsidR="00256EC8" w:rsidRPr="00AD47A4" w:rsidRDefault="00256EC8" w:rsidP="00256EC8">
      <w:pPr>
        <w:autoSpaceDE w:val="0"/>
        <w:autoSpaceDN w:val="0"/>
        <w:adjustRightInd w:val="0"/>
        <w:jc w:val="both"/>
        <w:rPr>
          <w:rFonts w:ascii="Open Sans" w:hAnsi="Open Sans" w:cs="Open Sans"/>
          <w:sz w:val="20"/>
          <w:szCs w:val="20"/>
        </w:rPr>
      </w:pPr>
    </w:p>
    <w:p w14:paraId="60430388" w14:textId="77777777" w:rsidR="00256EC8" w:rsidRPr="00AD47A4" w:rsidRDefault="00256EC8" w:rsidP="00256EC8">
      <w:pPr>
        <w:autoSpaceDE w:val="0"/>
        <w:autoSpaceDN w:val="0"/>
        <w:adjustRightInd w:val="0"/>
        <w:jc w:val="both"/>
        <w:rPr>
          <w:rFonts w:ascii="Open Sans" w:hAnsi="Open Sans" w:cs="Open Sans"/>
          <w:sz w:val="20"/>
          <w:szCs w:val="20"/>
        </w:rPr>
      </w:pPr>
    </w:p>
    <w:p w14:paraId="05EB71CB" w14:textId="77777777" w:rsidR="00256EC8" w:rsidRPr="00AD47A4" w:rsidRDefault="00256EC8" w:rsidP="00256EC8">
      <w:pPr>
        <w:jc w:val="both"/>
        <w:rPr>
          <w:rFonts w:ascii="Open Sans" w:hAnsi="Open Sans" w:cs="Open Sans"/>
          <w:b/>
          <w:sz w:val="22"/>
          <w:szCs w:val="22"/>
          <w:u w:val="single"/>
        </w:rPr>
      </w:pPr>
      <w:r w:rsidRPr="00AD47A4">
        <w:rPr>
          <w:rFonts w:ascii="Open Sans" w:hAnsi="Open Sans" w:cs="Open Sans"/>
          <w:b/>
          <w:sz w:val="22"/>
          <w:szCs w:val="22"/>
          <w:u w:val="single"/>
        </w:rPr>
        <w:t>4. Análisis</w:t>
      </w:r>
    </w:p>
    <w:p w14:paraId="3479361D" w14:textId="77777777" w:rsidR="00256EC8" w:rsidRPr="00AD47A4" w:rsidRDefault="00256EC8" w:rsidP="00256EC8">
      <w:pPr>
        <w:rPr>
          <w:rFonts w:ascii="Open Sans" w:hAnsi="Open Sans"/>
        </w:rPr>
      </w:pPr>
    </w:p>
    <w:p w14:paraId="291DC74F"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7673F431" w14:textId="77777777" w:rsidR="00256EC8" w:rsidRPr="00AD47A4" w:rsidRDefault="00256EC8" w:rsidP="00256EC8">
      <w:pPr>
        <w:jc w:val="both"/>
        <w:rPr>
          <w:rFonts w:ascii="Open Sans" w:hAnsi="Open Sans" w:cs="Open Sans"/>
          <w:sz w:val="20"/>
          <w:szCs w:val="20"/>
        </w:rPr>
      </w:pPr>
    </w:p>
    <w:p w14:paraId="596BFB7A"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Con respecto a la presencia territorial de Amadeus, el grupo cuenta con 26 sociedades domiciliadas en países y territorios considerados paraísos (2) y nicho fiscal (24) de acuerdo con la metodología del Observatorio de RSC. La presencia de empresas internacionales en territorios considerados paraísos o nichos fiscales no es en sí misma ilegal, pero podría representar, si se utilizan para desempeñar estrategias de elusión fiscal, una contradicción con los valores y compromisos asumidos por la empresa en materia de RSC, en especial en lo relativo a la contribución económica y social a los países donde opera y obtiene sus beneficios. La información de Amadeus sobre su presencia internacional es confusa y resulta difícil de interpretar: afirma que está presente en más de 70 `países pero en un mapa de presencia en su informe global solamente facilita información de 16 países en donde tiene sus sedes principales, oficinas regionales y centros de I+D. En relación a las oficinas comerciales se deduce de un apartado dedicado a “Amadeus websites” al que se accede a través de su “global website” y un menú arriba a la derecha en el que deja la opción de “change country”.   No se ha encontrado en su web, ni en la referida a España ni en la globalwebsite ninguna información detallada acerca de la presencia por países. </w:t>
      </w:r>
    </w:p>
    <w:p w14:paraId="1E9B64F1" w14:textId="77777777" w:rsidR="00256EC8" w:rsidRPr="00AD47A4" w:rsidRDefault="00256EC8" w:rsidP="00256EC8">
      <w:pPr>
        <w:rPr>
          <w:rFonts w:ascii="Open Sans" w:hAnsi="Open Sans"/>
        </w:rPr>
      </w:pPr>
    </w:p>
    <w:p w14:paraId="4A7C416D" w14:textId="77777777" w:rsidR="00256EC8" w:rsidRPr="00AD47A4" w:rsidRDefault="00256EC8" w:rsidP="00256EC8">
      <w:pPr>
        <w:rPr>
          <w:rFonts w:ascii="Open Sans" w:hAnsi="Open Sans"/>
        </w:rPr>
      </w:pPr>
    </w:p>
    <w:tbl>
      <w:tblPr>
        <w:tblW w:w="8520" w:type="dxa"/>
        <w:tblInd w:w="55" w:type="dxa"/>
        <w:tblLayout w:type="fixed"/>
        <w:tblCellMar>
          <w:left w:w="70" w:type="dxa"/>
          <w:right w:w="70" w:type="dxa"/>
        </w:tblCellMar>
        <w:tblLook w:val="04A0" w:firstRow="1" w:lastRow="0" w:firstColumn="1" w:lastColumn="0" w:noHBand="0" w:noVBand="1"/>
      </w:tblPr>
      <w:tblGrid>
        <w:gridCol w:w="3120"/>
        <w:gridCol w:w="2460"/>
        <w:gridCol w:w="2940"/>
      </w:tblGrid>
      <w:tr w:rsidR="00256EC8" w:rsidRPr="00AD47A4" w14:paraId="7F133355" w14:textId="77777777" w:rsidTr="00256EC8">
        <w:trPr>
          <w:trHeight w:val="364"/>
        </w:trPr>
        <w:tc>
          <w:tcPr>
            <w:tcW w:w="312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E6BE34" w14:textId="77777777" w:rsidR="00256EC8" w:rsidRPr="00AD47A4" w:rsidRDefault="00256EC8" w:rsidP="00256EC8">
            <w:pPr>
              <w:rPr>
                <w:rFonts w:ascii="Open Sans" w:hAnsi="Open Sans"/>
                <w:b/>
                <w:bCs/>
                <w:color w:val="000000"/>
                <w:sz w:val="20"/>
                <w:szCs w:val="20"/>
              </w:rPr>
            </w:pPr>
            <w:r w:rsidRPr="00AD47A4">
              <w:rPr>
                <w:rFonts w:ascii="Open Sans" w:hAnsi="Open Sans"/>
                <w:b/>
                <w:bCs/>
                <w:color w:val="000000"/>
                <w:sz w:val="20"/>
                <w:szCs w:val="20"/>
              </w:rPr>
              <w:t>Nombre de la Sociedad</w:t>
            </w:r>
          </w:p>
        </w:tc>
        <w:tc>
          <w:tcPr>
            <w:tcW w:w="2460" w:type="dxa"/>
            <w:tcBorders>
              <w:top w:val="single" w:sz="4" w:space="0" w:color="auto"/>
              <w:left w:val="nil"/>
              <w:bottom w:val="single" w:sz="4" w:space="0" w:color="auto"/>
              <w:right w:val="single" w:sz="4" w:space="0" w:color="auto"/>
            </w:tcBorders>
            <w:shd w:val="clear" w:color="000000" w:fill="D9D9D9"/>
            <w:noWrap/>
            <w:vAlign w:val="center"/>
            <w:hideMark/>
          </w:tcPr>
          <w:p w14:paraId="7E1B8EEE" w14:textId="77777777" w:rsidR="00256EC8" w:rsidRPr="00AD47A4" w:rsidRDefault="00256EC8" w:rsidP="00256EC8">
            <w:pPr>
              <w:rPr>
                <w:rFonts w:ascii="Open Sans" w:hAnsi="Open Sans"/>
                <w:b/>
                <w:bCs/>
                <w:color w:val="000000"/>
                <w:sz w:val="20"/>
                <w:szCs w:val="20"/>
              </w:rPr>
            </w:pPr>
            <w:r w:rsidRPr="00AD47A4">
              <w:rPr>
                <w:rFonts w:ascii="Open Sans" w:hAnsi="Open Sans"/>
                <w:b/>
                <w:bCs/>
                <w:color w:val="000000"/>
                <w:sz w:val="20"/>
                <w:szCs w:val="20"/>
              </w:rPr>
              <w:t>Jurisdicción</w:t>
            </w:r>
          </w:p>
        </w:tc>
        <w:tc>
          <w:tcPr>
            <w:tcW w:w="2940" w:type="dxa"/>
            <w:tcBorders>
              <w:top w:val="single" w:sz="4" w:space="0" w:color="auto"/>
              <w:left w:val="nil"/>
              <w:bottom w:val="single" w:sz="4" w:space="0" w:color="auto"/>
              <w:right w:val="single" w:sz="4" w:space="0" w:color="auto"/>
            </w:tcBorders>
            <w:shd w:val="clear" w:color="000000" w:fill="D9D9D9"/>
            <w:noWrap/>
            <w:vAlign w:val="center"/>
            <w:hideMark/>
          </w:tcPr>
          <w:p w14:paraId="02472997" w14:textId="77777777" w:rsidR="00256EC8" w:rsidRPr="00AD47A4" w:rsidRDefault="00256EC8" w:rsidP="00256EC8">
            <w:pPr>
              <w:rPr>
                <w:rFonts w:ascii="Open Sans" w:hAnsi="Open Sans"/>
                <w:b/>
                <w:bCs/>
                <w:color w:val="000000"/>
                <w:sz w:val="20"/>
                <w:szCs w:val="20"/>
              </w:rPr>
            </w:pPr>
            <w:r w:rsidRPr="00AD47A4">
              <w:rPr>
                <w:rFonts w:ascii="Open Sans" w:hAnsi="Open Sans"/>
                <w:b/>
                <w:bCs/>
                <w:color w:val="000000"/>
                <w:sz w:val="20"/>
                <w:szCs w:val="20"/>
              </w:rPr>
              <w:t>Actividad</w:t>
            </w:r>
          </w:p>
        </w:tc>
      </w:tr>
      <w:tr w:rsidR="00256EC8" w:rsidRPr="00AD47A4" w14:paraId="02AB68E7" w14:textId="77777777" w:rsidTr="00256EC8">
        <w:trPr>
          <w:trHeight w:val="681"/>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1EA54DE7" w14:textId="77777777" w:rsidR="00256EC8" w:rsidRPr="00AD47A4" w:rsidRDefault="00256EC8" w:rsidP="00256EC8">
            <w:pPr>
              <w:rPr>
                <w:rFonts w:ascii="Open Sans" w:hAnsi="Open Sans" w:cs="Arial"/>
                <w:color w:val="000000"/>
                <w:sz w:val="20"/>
                <w:szCs w:val="20"/>
                <w:lang w:val="en-GB"/>
              </w:rPr>
            </w:pPr>
            <w:r w:rsidRPr="00AD47A4">
              <w:rPr>
                <w:rFonts w:ascii="Open Sans" w:hAnsi="Open Sans" w:cs="Arial"/>
                <w:color w:val="000000"/>
                <w:sz w:val="20"/>
                <w:szCs w:val="20"/>
                <w:lang w:val="en-GB"/>
              </w:rPr>
              <w:t>Amadeus Integrated Solutions Pty Ltd.</w:t>
            </w:r>
          </w:p>
        </w:tc>
        <w:tc>
          <w:tcPr>
            <w:tcW w:w="2460" w:type="dxa"/>
            <w:tcBorders>
              <w:top w:val="nil"/>
              <w:left w:val="nil"/>
              <w:bottom w:val="single" w:sz="4" w:space="0" w:color="auto"/>
              <w:right w:val="single" w:sz="4" w:space="0" w:color="auto"/>
            </w:tcBorders>
            <w:shd w:val="clear" w:color="auto" w:fill="auto"/>
            <w:vAlign w:val="center"/>
            <w:hideMark/>
          </w:tcPr>
          <w:p w14:paraId="46AA5170"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Sudáfrica</w:t>
            </w:r>
          </w:p>
        </w:tc>
        <w:tc>
          <w:tcPr>
            <w:tcW w:w="2940" w:type="dxa"/>
            <w:tcBorders>
              <w:top w:val="nil"/>
              <w:left w:val="nil"/>
              <w:bottom w:val="single" w:sz="4" w:space="0" w:color="auto"/>
              <w:right w:val="single" w:sz="4" w:space="0" w:color="auto"/>
            </w:tcBorders>
            <w:shd w:val="clear" w:color="auto" w:fill="auto"/>
            <w:vAlign w:val="center"/>
            <w:hideMark/>
          </w:tcPr>
          <w:p w14:paraId="0F030A36"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467006EA" w14:textId="77777777" w:rsidTr="00256EC8">
        <w:trPr>
          <w:trHeight w:val="422"/>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04E40AA3"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Americas, Inc.</w:t>
            </w:r>
          </w:p>
        </w:tc>
        <w:tc>
          <w:tcPr>
            <w:tcW w:w="2460" w:type="dxa"/>
            <w:tcBorders>
              <w:top w:val="nil"/>
              <w:left w:val="nil"/>
              <w:bottom w:val="single" w:sz="4" w:space="0" w:color="auto"/>
              <w:right w:val="single" w:sz="4" w:space="0" w:color="auto"/>
            </w:tcBorders>
            <w:shd w:val="clear" w:color="auto" w:fill="auto"/>
            <w:vAlign w:val="center"/>
            <w:hideMark/>
          </w:tcPr>
          <w:p w14:paraId="3B78C2D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Delaware</w:t>
            </w:r>
          </w:p>
        </w:tc>
        <w:tc>
          <w:tcPr>
            <w:tcW w:w="2940" w:type="dxa"/>
            <w:tcBorders>
              <w:top w:val="nil"/>
              <w:left w:val="nil"/>
              <w:bottom w:val="single" w:sz="4" w:space="0" w:color="auto"/>
              <w:right w:val="single" w:sz="4" w:space="0" w:color="auto"/>
            </w:tcBorders>
            <w:shd w:val="clear" w:color="auto" w:fill="auto"/>
            <w:vAlign w:val="center"/>
            <w:hideMark/>
          </w:tcPr>
          <w:p w14:paraId="22D7A8B6"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Apoyo Regional</w:t>
            </w:r>
          </w:p>
        </w:tc>
      </w:tr>
      <w:tr w:rsidR="00256EC8" w:rsidRPr="00AD47A4" w14:paraId="48057EFD"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52C60CB5"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Finance B.V.</w:t>
            </w:r>
          </w:p>
        </w:tc>
        <w:tc>
          <w:tcPr>
            <w:tcW w:w="2460" w:type="dxa"/>
            <w:tcBorders>
              <w:top w:val="nil"/>
              <w:left w:val="nil"/>
              <w:bottom w:val="single" w:sz="4" w:space="0" w:color="auto"/>
              <w:right w:val="single" w:sz="4" w:space="0" w:color="auto"/>
            </w:tcBorders>
            <w:shd w:val="clear" w:color="auto" w:fill="auto"/>
            <w:vAlign w:val="center"/>
            <w:hideMark/>
          </w:tcPr>
          <w:p w14:paraId="12E26375"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Holanda</w:t>
            </w:r>
          </w:p>
        </w:tc>
        <w:tc>
          <w:tcPr>
            <w:tcW w:w="2940" w:type="dxa"/>
            <w:tcBorders>
              <w:top w:val="nil"/>
              <w:left w:val="nil"/>
              <w:bottom w:val="single" w:sz="4" w:space="0" w:color="auto"/>
              <w:right w:val="single" w:sz="4" w:space="0" w:color="auto"/>
            </w:tcBorders>
            <w:shd w:val="clear" w:color="auto" w:fill="auto"/>
            <w:vAlign w:val="center"/>
            <w:hideMark/>
          </w:tcPr>
          <w:p w14:paraId="120E41F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Actividades financieras</w:t>
            </w:r>
          </w:p>
        </w:tc>
      </w:tr>
      <w:tr w:rsidR="00256EC8" w:rsidRPr="00AD47A4" w14:paraId="736FC0A9" w14:textId="77777777" w:rsidTr="00256EC8">
        <w:trPr>
          <w:trHeight w:val="835"/>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15E59D15"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Global Operations Americas, Inc.</w:t>
            </w:r>
          </w:p>
        </w:tc>
        <w:tc>
          <w:tcPr>
            <w:tcW w:w="2460" w:type="dxa"/>
            <w:tcBorders>
              <w:top w:val="nil"/>
              <w:left w:val="nil"/>
              <w:bottom w:val="single" w:sz="4" w:space="0" w:color="auto"/>
              <w:right w:val="single" w:sz="4" w:space="0" w:color="auto"/>
            </w:tcBorders>
            <w:shd w:val="clear" w:color="auto" w:fill="auto"/>
            <w:vAlign w:val="center"/>
            <w:hideMark/>
          </w:tcPr>
          <w:p w14:paraId="24C7FB0F"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Delaware</w:t>
            </w:r>
          </w:p>
        </w:tc>
        <w:tc>
          <w:tcPr>
            <w:tcW w:w="2940" w:type="dxa"/>
            <w:tcBorders>
              <w:top w:val="nil"/>
              <w:left w:val="nil"/>
              <w:bottom w:val="single" w:sz="4" w:space="0" w:color="auto"/>
              <w:right w:val="single" w:sz="4" w:space="0" w:color="auto"/>
            </w:tcBorders>
            <w:shd w:val="clear" w:color="auto" w:fill="auto"/>
            <w:vAlign w:val="center"/>
            <w:hideMark/>
          </w:tcPr>
          <w:p w14:paraId="26F72C6B"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 xml:space="preserve">Proceso de datos </w:t>
            </w:r>
          </w:p>
        </w:tc>
      </w:tr>
      <w:tr w:rsidR="00256EC8" w:rsidRPr="00AD47A4" w14:paraId="2F596A35" w14:textId="77777777" w:rsidTr="00256EC8">
        <w:trPr>
          <w:trHeight w:val="30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13F11A7"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Bolivia S.R.L.</w:t>
            </w:r>
          </w:p>
        </w:tc>
        <w:tc>
          <w:tcPr>
            <w:tcW w:w="2460" w:type="dxa"/>
            <w:tcBorders>
              <w:top w:val="nil"/>
              <w:left w:val="nil"/>
              <w:bottom w:val="single" w:sz="4" w:space="0" w:color="auto"/>
              <w:right w:val="single" w:sz="4" w:space="0" w:color="auto"/>
            </w:tcBorders>
            <w:shd w:val="clear" w:color="auto" w:fill="auto"/>
            <w:vAlign w:val="center"/>
            <w:hideMark/>
          </w:tcPr>
          <w:p w14:paraId="0B94E9B2"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Bolivia</w:t>
            </w:r>
          </w:p>
        </w:tc>
        <w:tc>
          <w:tcPr>
            <w:tcW w:w="2940" w:type="dxa"/>
            <w:tcBorders>
              <w:top w:val="nil"/>
              <w:left w:val="nil"/>
              <w:bottom w:val="single" w:sz="4" w:space="0" w:color="auto"/>
              <w:right w:val="single" w:sz="4" w:space="0" w:color="auto"/>
            </w:tcBorders>
            <w:shd w:val="clear" w:color="auto" w:fill="auto"/>
            <w:vAlign w:val="center"/>
            <w:hideMark/>
          </w:tcPr>
          <w:p w14:paraId="6AD603B7"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37728050" w14:textId="77777777" w:rsidTr="00256EC8">
        <w:trPr>
          <w:trHeight w:val="30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144C4E4B"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Paraguay S.R.L.</w:t>
            </w:r>
          </w:p>
        </w:tc>
        <w:tc>
          <w:tcPr>
            <w:tcW w:w="2460" w:type="dxa"/>
            <w:tcBorders>
              <w:top w:val="nil"/>
              <w:left w:val="nil"/>
              <w:bottom w:val="single" w:sz="4" w:space="0" w:color="auto"/>
              <w:right w:val="single" w:sz="4" w:space="0" w:color="auto"/>
            </w:tcBorders>
            <w:shd w:val="clear" w:color="auto" w:fill="auto"/>
            <w:vAlign w:val="center"/>
            <w:hideMark/>
          </w:tcPr>
          <w:p w14:paraId="4E646152"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Paraguay</w:t>
            </w:r>
          </w:p>
        </w:tc>
        <w:tc>
          <w:tcPr>
            <w:tcW w:w="2940" w:type="dxa"/>
            <w:tcBorders>
              <w:top w:val="nil"/>
              <w:left w:val="nil"/>
              <w:bottom w:val="single" w:sz="4" w:space="0" w:color="auto"/>
              <w:right w:val="single" w:sz="4" w:space="0" w:color="auto"/>
            </w:tcBorders>
            <w:shd w:val="clear" w:color="auto" w:fill="auto"/>
            <w:vAlign w:val="center"/>
            <w:hideMark/>
          </w:tcPr>
          <w:p w14:paraId="7BF66AF7"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24F7B725" w14:textId="77777777" w:rsidTr="00256EC8">
        <w:trPr>
          <w:trHeight w:val="30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3EB15D32"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Saudi Arabia Limited</w:t>
            </w:r>
          </w:p>
        </w:tc>
        <w:tc>
          <w:tcPr>
            <w:tcW w:w="2460" w:type="dxa"/>
            <w:tcBorders>
              <w:top w:val="nil"/>
              <w:left w:val="nil"/>
              <w:bottom w:val="single" w:sz="4" w:space="0" w:color="auto"/>
              <w:right w:val="single" w:sz="4" w:space="0" w:color="auto"/>
            </w:tcBorders>
            <w:shd w:val="clear" w:color="auto" w:fill="auto"/>
            <w:vAlign w:val="center"/>
            <w:hideMark/>
          </w:tcPr>
          <w:p w14:paraId="355122BA"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Arabia Saudí</w:t>
            </w:r>
          </w:p>
        </w:tc>
        <w:tc>
          <w:tcPr>
            <w:tcW w:w="2940" w:type="dxa"/>
            <w:tcBorders>
              <w:top w:val="nil"/>
              <w:left w:val="nil"/>
              <w:bottom w:val="single" w:sz="4" w:space="0" w:color="auto"/>
              <w:right w:val="single" w:sz="4" w:space="0" w:color="auto"/>
            </w:tcBorders>
            <w:shd w:val="clear" w:color="auto" w:fill="auto"/>
            <w:vAlign w:val="center"/>
            <w:hideMark/>
          </w:tcPr>
          <w:p w14:paraId="04AE1211"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4BF254E5" w14:textId="77777777" w:rsidTr="00256EC8">
        <w:trPr>
          <w:trHeight w:val="30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4E39DD4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Marketing (Ghana) Ltd.</w:t>
            </w:r>
          </w:p>
        </w:tc>
        <w:tc>
          <w:tcPr>
            <w:tcW w:w="2460" w:type="dxa"/>
            <w:tcBorders>
              <w:top w:val="nil"/>
              <w:left w:val="nil"/>
              <w:bottom w:val="single" w:sz="4" w:space="0" w:color="auto"/>
              <w:right w:val="single" w:sz="4" w:space="0" w:color="auto"/>
            </w:tcBorders>
            <w:shd w:val="clear" w:color="auto" w:fill="auto"/>
            <w:vAlign w:val="center"/>
            <w:hideMark/>
          </w:tcPr>
          <w:p w14:paraId="1CEB0101"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Ghana</w:t>
            </w:r>
          </w:p>
        </w:tc>
        <w:tc>
          <w:tcPr>
            <w:tcW w:w="2940" w:type="dxa"/>
            <w:tcBorders>
              <w:top w:val="nil"/>
              <w:left w:val="nil"/>
              <w:bottom w:val="single" w:sz="4" w:space="0" w:color="auto"/>
              <w:right w:val="single" w:sz="4" w:space="0" w:color="auto"/>
            </w:tcBorders>
            <w:shd w:val="clear" w:color="auto" w:fill="auto"/>
            <w:vAlign w:val="center"/>
            <w:hideMark/>
          </w:tcPr>
          <w:p w14:paraId="7E9241C6"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1272C664"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AAFBAB9"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Sistemas de Reservaciones CRS de Venezuela, C.A.</w:t>
            </w:r>
          </w:p>
        </w:tc>
        <w:tc>
          <w:tcPr>
            <w:tcW w:w="2460" w:type="dxa"/>
            <w:tcBorders>
              <w:top w:val="nil"/>
              <w:left w:val="nil"/>
              <w:bottom w:val="single" w:sz="4" w:space="0" w:color="auto"/>
              <w:right w:val="single" w:sz="4" w:space="0" w:color="auto"/>
            </w:tcBorders>
            <w:shd w:val="clear" w:color="auto" w:fill="auto"/>
            <w:vAlign w:val="center"/>
            <w:hideMark/>
          </w:tcPr>
          <w:p w14:paraId="329B036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Venezuela</w:t>
            </w:r>
          </w:p>
        </w:tc>
        <w:tc>
          <w:tcPr>
            <w:tcW w:w="2940" w:type="dxa"/>
            <w:tcBorders>
              <w:top w:val="nil"/>
              <w:left w:val="nil"/>
              <w:bottom w:val="single" w:sz="4" w:space="0" w:color="auto"/>
              <w:right w:val="single" w:sz="4" w:space="0" w:color="auto"/>
            </w:tcBorders>
            <w:shd w:val="clear" w:color="auto" w:fill="auto"/>
            <w:vAlign w:val="center"/>
            <w:hideMark/>
          </w:tcPr>
          <w:p w14:paraId="7FDE691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1AEA6112" w14:textId="77777777" w:rsidTr="00256EC8">
        <w:trPr>
          <w:trHeight w:val="646"/>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5831A9CB"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North America Inc.</w:t>
            </w:r>
          </w:p>
        </w:tc>
        <w:tc>
          <w:tcPr>
            <w:tcW w:w="2460" w:type="dxa"/>
            <w:tcBorders>
              <w:top w:val="nil"/>
              <w:left w:val="nil"/>
              <w:bottom w:val="single" w:sz="4" w:space="0" w:color="auto"/>
              <w:right w:val="single" w:sz="4" w:space="0" w:color="auto"/>
            </w:tcBorders>
            <w:shd w:val="clear" w:color="auto" w:fill="auto"/>
            <w:vAlign w:val="center"/>
            <w:hideMark/>
          </w:tcPr>
          <w:p w14:paraId="044BA4D2"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Delaware</w:t>
            </w:r>
          </w:p>
        </w:tc>
        <w:tc>
          <w:tcPr>
            <w:tcW w:w="2940" w:type="dxa"/>
            <w:tcBorders>
              <w:top w:val="nil"/>
              <w:left w:val="nil"/>
              <w:bottom w:val="single" w:sz="4" w:space="0" w:color="auto"/>
              <w:right w:val="single" w:sz="4" w:space="0" w:color="auto"/>
            </w:tcBorders>
            <w:shd w:val="clear" w:color="auto" w:fill="auto"/>
            <w:vAlign w:val="center"/>
            <w:hideMark/>
          </w:tcPr>
          <w:p w14:paraId="64FEB81F"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3480C500"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C9AA0EB" w14:textId="77777777" w:rsidR="00256EC8" w:rsidRPr="00AD47A4" w:rsidRDefault="00256EC8" w:rsidP="00256EC8">
            <w:pPr>
              <w:rPr>
                <w:rFonts w:ascii="Open Sans" w:hAnsi="Open Sans" w:cs="Arial"/>
                <w:color w:val="000000"/>
                <w:sz w:val="20"/>
                <w:szCs w:val="20"/>
                <w:lang w:val="en-GB"/>
              </w:rPr>
            </w:pPr>
            <w:r w:rsidRPr="00AD47A4">
              <w:rPr>
                <w:rFonts w:ascii="Open Sans" w:hAnsi="Open Sans" w:cs="Arial"/>
                <w:color w:val="000000"/>
                <w:sz w:val="20"/>
                <w:szCs w:val="20"/>
                <w:lang w:val="en-GB"/>
              </w:rPr>
              <w:t>Amadeus Lebanon S.A.R.L.</w:t>
            </w:r>
          </w:p>
        </w:tc>
        <w:tc>
          <w:tcPr>
            <w:tcW w:w="2460" w:type="dxa"/>
            <w:tcBorders>
              <w:top w:val="nil"/>
              <w:left w:val="nil"/>
              <w:bottom w:val="single" w:sz="4" w:space="0" w:color="auto"/>
              <w:right w:val="single" w:sz="4" w:space="0" w:color="auto"/>
            </w:tcBorders>
            <w:shd w:val="clear" w:color="auto" w:fill="auto"/>
            <w:vAlign w:val="center"/>
            <w:hideMark/>
          </w:tcPr>
          <w:p w14:paraId="431C25BF"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Libano</w:t>
            </w:r>
          </w:p>
        </w:tc>
        <w:tc>
          <w:tcPr>
            <w:tcW w:w="2940" w:type="dxa"/>
            <w:tcBorders>
              <w:top w:val="nil"/>
              <w:left w:val="nil"/>
              <w:bottom w:val="single" w:sz="4" w:space="0" w:color="auto"/>
              <w:right w:val="single" w:sz="4" w:space="0" w:color="auto"/>
            </w:tcBorders>
            <w:shd w:val="clear" w:color="auto" w:fill="auto"/>
            <w:vAlign w:val="center"/>
            <w:hideMark/>
          </w:tcPr>
          <w:p w14:paraId="29E0EA14"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2B36DEE3" w14:textId="77777777" w:rsidTr="00256EC8">
        <w:trPr>
          <w:trHeight w:val="30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4B1272A2"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Marketing Ireland</w:t>
            </w:r>
          </w:p>
        </w:tc>
        <w:tc>
          <w:tcPr>
            <w:tcW w:w="2460" w:type="dxa"/>
            <w:tcBorders>
              <w:top w:val="nil"/>
              <w:left w:val="nil"/>
              <w:bottom w:val="single" w:sz="4" w:space="0" w:color="auto"/>
              <w:right w:val="single" w:sz="4" w:space="0" w:color="auto"/>
            </w:tcBorders>
            <w:shd w:val="clear" w:color="auto" w:fill="auto"/>
            <w:vAlign w:val="center"/>
            <w:hideMark/>
          </w:tcPr>
          <w:p w14:paraId="1DC47E54"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 xml:space="preserve">Irlanda </w:t>
            </w:r>
          </w:p>
        </w:tc>
        <w:tc>
          <w:tcPr>
            <w:tcW w:w="2940" w:type="dxa"/>
            <w:tcBorders>
              <w:top w:val="nil"/>
              <w:left w:val="nil"/>
              <w:bottom w:val="single" w:sz="4" w:space="0" w:color="auto"/>
              <w:right w:val="single" w:sz="4" w:space="0" w:color="auto"/>
            </w:tcBorders>
            <w:shd w:val="clear" w:color="auto" w:fill="auto"/>
            <w:vAlign w:val="center"/>
            <w:hideMark/>
          </w:tcPr>
          <w:p w14:paraId="162F2F50"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0A4F49CB" w14:textId="77777777" w:rsidTr="00256EC8">
        <w:trPr>
          <w:trHeight w:val="615"/>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73118799"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CRS Amadeus América S.A.</w:t>
            </w:r>
          </w:p>
        </w:tc>
        <w:tc>
          <w:tcPr>
            <w:tcW w:w="2460" w:type="dxa"/>
            <w:tcBorders>
              <w:top w:val="nil"/>
              <w:left w:val="nil"/>
              <w:bottom w:val="single" w:sz="4" w:space="0" w:color="auto"/>
              <w:right w:val="single" w:sz="4" w:space="0" w:color="auto"/>
            </w:tcBorders>
            <w:shd w:val="clear" w:color="auto" w:fill="auto"/>
            <w:vAlign w:val="center"/>
            <w:hideMark/>
          </w:tcPr>
          <w:p w14:paraId="028BF052"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Uruguay</w:t>
            </w:r>
          </w:p>
        </w:tc>
        <w:tc>
          <w:tcPr>
            <w:tcW w:w="2940" w:type="dxa"/>
            <w:tcBorders>
              <w:top w:val="nil"/>
              <w:left w:val="nil"/>
              <w:bottom w:val="single" w:sz="4" w:space="0" w:color="auto"/>
              <w:right w:val="single" w:sz="4" w:space="0" w:color="auto"/>
            </w:tcBorders>
            <w:shd w:val="clear" w:color="auto" w:fill="auto"/>
            <w:vAlign w:val="center"/>
            <w:hideMark/>
          </w:tcPr>
          <w:p w14:paraId="4D8F3774"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Apoyo Regional</w:t>
            </w:r>
          </w:p>
        </w:tc>
      </w:tr>
      <w:tr w:rsidR="00256EC8" w:rsidRPr="00AD47A4" w14:paraId="433686A2" w14:textId="77777777" w:rsidTr="00256EC8">
        <w:trPr>
          <w:trHeight w:val="294"/>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1ECEA366"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iTesso B.V.</w:t>
            </w:r>
          </w:p>
        </w:tc>
        <w:tc>
          <w:tcPr>
            <w:tcW w:w="2460" w:type="dxa"/>
            <w:tcBorders>
              <w:top w:val="nil"/>
              <w:left w:val="nil"/>
              <w:bottom w:val="single" w:sz="4" w:space="0" w:color="auto"/>
              <w:right w:val="single" w:sz="4" w:space="0" w:color="auto"/>
            </w:tcBorders>
            <w:shd w:val="clear" w:color="auto" w:fill="auto"/>
            <w:vAlign w:val="center"/>
            <w:hideMark/>
          </w:tcPr>
          <w:p w14:paraId="785F51CC"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Holanda</w:t>
            </w:r>
          </w:p>
        </w:tc>
        <w:tc>
          <w:tcPr>
            <w:tcW w:w="2940" w:type="dxa"/>
            <w:tcBorders>
              <w:top w:val="nil"/>
              <w:left w:val="nil"/>
              <w:bottom w:val="single" w:sz="4" w:space="0" w:color="auto"/>
              <w:right w:val="single" w:sz="4" w:space="0" w:color="auto"/>
            </w:tcBorders>
            <w:shd w:val="clear" w:color="auto" w:fill="auto"/>
            <w:vAlign w:val="center"/>
            <w:hideMark/>
          </w:tcPr>
          <w:p w14:paraId="7BD205D4"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 y desarrollo</w:t>
            </w:r>
            <w:r w:rsidRPr="00AD47A4">
              <w:rPr>
                <w:rFonts w:ascii="Open Sans" w:hAnsi="Open Sans" w:cs="Arial"/>
                <w:color w:val="000000"/>
                <w:sz w:val="20"/>
                <w:szCs w:val="20"/>
              </w:rPr>
              <w:br/>
              <w:t>informático</w:t>
            </w:r>
          </w:p>
        </w:tc>
      </w:tr>
      <w:tr w:rsidR="00256EC8" w:rsidRPr="00AD47A4" w14:paraId="39F2CDF2" w14:textId="77777777" w:rsidTr="00256EC8">
        <w:trPr>
          <w:trHeight w:val="141"/>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1DD7CEFE"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ITS RezExchange B.V.</w:t>
            </w:r>
          </w:p>
        </w:tc>
        <w:tc>
          <w:tcPr>
            <w:tcW w:w="2460" w:type="dxa"/>
            <w:tcBorders>
              <w:top w:val="nil"/>
              <w:left w:val="nil"/>
              <w:bottom w:val="single" w:sz="4" w:space="0" w:color="auto"/>
              <w:right w:val="single" w:sz="4" w:space="0" w:color="auto"/>
            </w:tcBorders>
            <w:shd w:val="clear" w:color="auto" w:fill="auto"/>
            <w:vAlign w:val="center"/>
            <w:hideMark/>
          </w:tcPr>
          <w:p w14:paraId="7B2CAD74"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Holanda</w:t>
            </w:r>
          </w:p>
        </w:tc>
        <w:tc>
          <w:tcPr>
            <w:tcW w:w="2940" w:type="dxa"/>
            <w:tcBorders>
              <w:top w:val="nil"/>
              <w:left w:val="nil"/>
              <w:bottom w:val="single" w:sz="4" w:space="0" w:color="auto"/>
              <w:right w:val="single" w:sz="4" w:space="0" w:color="auto"/>
            </w:tcBorders>
            <w:shd w:val="clear" w:color="auto" w:fill="auto"/>
            <w:vAlign w:val="center"/>
            <w:hideMark/>
          </w:tcPr>
          <w:p w14:paraId="7C072A6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 y desarrollo</w:t>
            </w:r>
            <w:r w:rsidRPr="00AD47A4">
              <w:rPr>
                <w:rFonts w:ascii="Open Sans" w:hAnsi="Open Sans" w:cs="Arial"/>
                <w:color w:val="000000"/>
                <w:sz w:val="20"/>
                <w:szCs w:val="20"/>
              </w:rPr>
              <w:br/>
              <w:t>informático</w:t>
            </w:r>
          </w:p>
        </w:tc>
      </w:tr>
      <w:tr w:rsidR="00256EC8" w:rsidRPr="00AD47A4" w14:paraId="4D189C44" w14:textId="77777777" w:rsidTr="00256EC8">
        <w:trPr>
          <w:trHeight w:val="765"/>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32D381A0" w14:textId="77777777" w:rsidR="00256EC8" w:rsidRPr="00AD47A4" w:rsidRDefault="00256EC8" w:rsidP="00256EC8">
            <w:pPr>
              <w:rPr>
                <w:rFonts w:ascii="Open Sans" w:hAnsi="Open Sans" w:cs="Arial"/>
                <w:color w:val="000000"/>
                <w:sz w:val="20"/>
                <w:szCs w:val="20"/>
                <w:lang w:val="en-GB"/>
              </w:rPr>
            </w:pPr>
            <w:r w:rsidRPr="00AD47A4">
              <w:rPr>
                <w:rFonts w:ascii="Open Sans" w:hAnsi="Open Sans" w:cs="Arial"/>
                <w:color w:val="000000"/>
                <w:sz w:val="20"/>
                <w:szCs w:val="20"/>
                <w:lang w:val="en-GB"/>
              </w:rPr>
              <w:t>Tshire Travel Solutions and Services (PTY) Ltd.</w:t>
            </w:r>
          </w:p>
        </w:tc>
        <w:tc>
          <w:tcPr>
            <w:tcW w:w="2460" w:type="dxa"/>
            <w:tcBorders>
              <w:top w:val="nil"/>
              <w:left w:val="nil"/>
              <w:bottom w:val="single" w:sz="4" w:space="0" w:color="auto"/>
              <w:right w:val="single" w:sz="4" w:space="0" w:color="auto"/>
            </w:tcBorders>
            <w:shd w:val="clear" w:color="auto" w:fill="auto"/>
            <w:vAlign w:val="center"/>
            <w:hideMark/>
          </w:tcPr>
          <w:p w14:paraId="7720A041"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Sudáfrica</w:t>
            </w:r>
          </w:p>
        </w:tc>
        <w:tc>
          <w:tcPr>
            <w:tcW w:w="2940" w:type="dxa"/>
            <w:tcBorders>
              <w:top w:val="nil"/>
              <w:left w:val="nil"/>
              <w:bottom w:val="single" w:sz="4" w:space="0" w:color="auto"/>
              <w:right w:val="single" w:sz="4" w:space="0" w:color="auto"/>
            </w:tcBorders>
            <w:shd w:val="clear" w:color="auto" w:fill="auto"/>
            <w:vAlign w:val="center"/>
            <w:hideMark/>
          </w:tcPr>
          <w:p w14:paraId="39B0C23E"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71AD754A" w14:textId="77777777" w:rsidTr="00256EC8">
        <w:trPr>
          <w:trHeight w:val="765"/>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442FAB14" w14:textId="77777777" w:rsidR="00256EC8" w:rsidRPr="00AD47A4" w:rsidRDefault="00256EC8" w:rsidP="00256EC8">
            <w:pPr>
              <w:rPr>
                <w:rFonts w:ascii="Open Sans" w:hAnsi="Open Sans" w:cs="Arial"/>
                <w:color w:val="000000"/>
                <w:sz w:val="20"/>
                <w:szCs w:val="20"/>
                <w:lang w:val="en-GB"/>
              </w:rPr>
            </w:pPr>
            <w:r w:rsidRPr="00AD47A4">
              <w:rPr>
                <w:rFonts w:ascii="Open Sans" w:hAnsi="Open Sans" w:cs="Arial"/>
                <w:color w:val="000000"/>
                <w:sz w:val="20"/>
                <w:szCs w:val="20"/>
                <w:lang w:val="en-GB"/>
              </w:rPr>
              <w:t>Jordanian National Touristic Marketing Private Shareholding Company</w:t>
            </w:r>
          </w:p>
        </w:tc>
        <w:tc>
          <w:tcPr>
            <w:tcW w:w="2460" w:type="dxa"/>
            <w:tcBorders>
              <w:top w:val="nil"/>
              <w:left w:val="nil"/>
              <w:bottom w:val="single" w:sz="4" w:space="0" w:color="auto"/>
              <w:right w:val="single" w:sz="4" w:space="0" w:color="auto"/>
            </w:tcBorders>
            <w:shd w:val="clear" w:color="auto" w:fill="auto"/>
            <w:vAlign w:val="center"/>
            <w:hideMark/>
          </w:tcPr>
          <w:p w14:paraId="73C2F7F4"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Jordania</w:t>
            </w:r>
          </w:p>
        </w:tc>
        <w:tc>
          <w:tcPr>
            <w:tcW w:w="2940" w:type="dxa"/>
            <w:tcBorders>
              <w:top w:val="nil"/>
              <w:left w:val="nil"/>
              <w:bottom w:val="single" w:sz="4" w:space="0" w:color="auto"/>
              <w:right w:val="single" w:sz="4" w:space="0" w:color="auto"/>
            </w:tcBorders>
            <w:shd w:val="clear" w:color="auto" w:fill="auto"/>
            <w:vAlign w:val="center"/>
            <w:hideMark/>
          </w:tcPr>
          <w:p w14:paraId="19AF35BE"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33DD865B"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6798BB9"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Moneydirect Americas Inc</w:t>
            </w:r>
          </w:p>
        </w:tc>
        <w:tc>
          <w:tcPr>
            <w:tcW w:w="2460" w:type="dxa"/>
            <w:tcBorders>
              <w:top w:val="nil"/>
              <w:left w:val="nil"/>
              <w:bottom w:val="single" w:sz="4" w:space="0" w:color="auto"/>
              <w:right w:val="single" w:sz="4" w:space="0" w:color="auto"/>
            </w:tcBorders>
            <w:shd w:val="clear" w:color="auto" w:fill="auto"/>
            <w:vAlign w:val="center"/>
            <w:hideMark/>
          </w:tcPr>
          <w:p w14:paraId="1FF20B2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Delaware</w:t>
            </w:r>
          </w:p>
        </w:tc>
        <w:tc>
          <w:tcPr>
            <w:tcW w:w="2940" w:type="dxa"/>
            <w:tcBorders>
              <w:top w:val="nil"/>
              <w:left w:val="nil"/>
              <w:bottom w:val="single" w:sz="4" w:space="0" w:color="auto"/>
              <w:right w:val="single" w:sz="4" w:space="0" w:color="auto"/>
            </w:tcBorders>
            <w:shd w:val="clear" w:color="auto" w:fill="auto"/>
            <w:vAlign w:val="center"/>
            <w:hideMark/>
          </w:tcPr>
          <w:p w14:paraId="23A2B3EE"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Desarrollo Informático</w:t>
            </w:r>
          </w:p>
        </w:tc>
      </w:tr>
      <w:tr w:rsidR="00256EC8" w:rsidRPr="00AD47A4" w14:paraId="2DE77D35"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5478232E"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Amadeus Marketing (Schweiz) AG</w:t>
            </w:r>
          </w:p>
        </w:tc>
        <w:tc>
          <w:tcPr>
            <w:tcW w:w="2460" w:type="dxa"/>
            <w:tcBorders>
              <w:top w:val="nil"/>
              <w:left w:val="nil"/>
              <w:bottom w:val="single" w:sz="4" w:space="0" w:color="auto"/>
              <w:right w:val="single" w:sz="4" w:space="0" w:color="auto"/>
            </w:tcBorders>
            <w:shd w:val="clear" w:color="auto" w:fill="auto"/>
            <w:vAlign w:val="center"/>
            <w:hideMark/>
          </w:tcPr>
          <w:p w14:paraId="1FEA788D"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Suiza</w:t>
            </w:r>
          </w:p>
        </w:tc>
        <w:tc>
          <w:tcPr>
            <w:tcW w:w="2940" w:type="dxa"/>
            <w:tcBorders>
              <w:top w:val="nil"/>
              <w:left w:val="nil"/>
              <w:bottom w:val="single" w:sz="4" w:space="0" w:color="auto"/>
              <w:right w:val="single" w:sz="4" w:space="0" w:color="auto"/>
            </w:tcBorders>
            <w:shd w:val="clear" w:color="auto" w:fill="auto"/>
            <w:vAlign w:val="center"/>
            <w:hideMark/>
          </w:tcPr>
          <w:p w14:paraId="011F6EBA"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11F29760"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4BB377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Moneydirect Limited</w:t>
            </w:r>
          </w:p>
        </w:tc>
        <w:tc>
          <w:tcPr>
            <w:tcW w:w="2460" w:type="dxa"/>
            <w:tcBorders>
              <w:top w:val="nil"/>
              <w:left w:val="nil"/>
              <w:bottom w:val="single" w:sz="4" w:space="0" w:color="auto"/>
              <w:right w:val="single" w:sz="4" w:space="0" w:color="auto"/>
            </w:tcBorders>
            <w:shd w:val="clear" w:color="auto" w:fill="auto"/>
            <w:vAlign w:val="center"/>
            <w:hideMark/>
          </w:tcPr>
          <w:p w14:paraId="3D4BB413"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 xml:space="preserve">Irlanda </w:t>
            </w:r>
          </w:p>
        </w:tc>
        <w:tc>
          <w:tcPr>
            <w:tcW w:w="2940" w:type="dxa"/>
            <w:tcBorders>
              <w:top w:val="nil"/>
              <w:left w:val="nil"/>
              <w:bottom w:val="single" w:sz="4" w:space="0" w:color="auto"/>
              <w:right w:val="single" w:sz="4" w:space="0" w:color="auto"/>
            </w:tcBorders>
            <w:shd w:val="clear" w:color="auto" w:fill="auto"/>
            <w:vAlign w:val="center"/>
            <w:hideMark/>
          </w:tcPr>
          <w:p w14:paraId="1C4804F3"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Servicios de pago electrónico</w:t>
            </w:r>
          </w:p>
        </w:tc>
      </w:tr>
      <w:tr w:rsidR="00256EC8" w:rsidRPr="00AD47A4" w14:paraId="01C10CF1" w14:textId="77777777" w:rsidTr="00256EC8">
        <w:trPr>
          <w:trHeight w:val="626"/>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2A60116"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Newmarket International, Inc.</w:t>
            </w:r>
          </w:p>
        </w:tc>
        <w:tc>
          <w:tcPr>
            <w:tcW w:w="2460" w:type="dxa"/>
            <w:tcBorders>
              <w:top w:val="nil"/>
              <w:left w:val="nil"/>
              <w:bottom w:val="single" w:sz="4" w:space="0" w:color="auto"/>
              <w:right w:val="single" w:sz="4" w:space="0" w:color="auto"/>
            </w:tcBorders>
            <w:shd w:val="clear" w:color="auto" w:fill="auto"/>
            <w:vAlign w:val="center"/>
            <w:hideMark/>
          </w:tcPr>
          <w:p w14:paraId="55848035"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Delaware</w:t>
            </w:r>
          </w:p>
        </w:tc>
        <w:tc>
          <w:tcPr>
            <w:tcW w:w="2940" w:type="dxa"/>
            <w:tcBorders>
              <w:top w:val="nil"/>
              <w:left w:val="nil"/>
              <w:bottom w:val="single" w:sz="4" w:space="0" w:color="auto"/>
              <w:right w:val="single" w:sz="4" w:space="0" w:color="auto"/>
            </w:tcBorders>
            <w:shd w:val="clear" w:color="auto" w:fill="auto"/>
            <w:vAlign w:val="center"/>
            <w:hideMark/>
          </w:tcPr>
          <w:p w14:paraId="57375B93"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 y Desarrollo informático</w:t>
            </w:r>
          </w:p>
        </w:tc>
      </w:tr>
      <w:tr w:rsidR="00256EC8" w:rsidRPr="00AD47A4" w14:paraId="145611F1"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661A3AA9" w14:textId="77777777" w:rsidR="00256EC8" w:rsidRPr="00AD47A4" w:rsidRDefault="00256EC8" w:rsidP="00256EC8">
            <w:pPr>
              <w:rPr>
                <w:rFonts w:ascii="Open Sans" w:hAnsi="Open Sans" w:cs="Arial"/>
                <w:color w:val="000000"/>
                <w:sz w:val="20"/>
                <w:szCs w:val="20"/>
                <w:lang w:val="en-GB"/>
              </w:rPr>
            </w:pPr>
            <w:r w:rsidRPr="00AD47A4">
              <w:rPr>
                <w:rFonts w:ascii="Open Sans" w:hAnsi="Open Sans" w:cs="Arial"/>
                <w:color w:val="000000"/>
                <w:sz w:val="20"/>
                <w:szCs w:val="20"/>
                <w:lang w:val="en-GB"/>
              </w:rPr>
              <w:t>NMC Eastern European CRS B.V.</w:t>
            </w:r>
          </w:p>
        </w:tc>
        <w:tc>
          <w:tcPr>
            <w:tcW w:w="2460" w:type="dxa"/>
            <w:tcBorders>
              <w:top w:val="nil"/>
              <w:left w:val="nil"/>
              <w:bottom w:val="single" w:sz="4" w:space="0" w:color="auto"/>
              <w:right w:val="single" w:sz="4" w:space="0" w:color="auto"/>
            </w:tcBorders>
            <w:shd w:val="clear" w:color="auto" w:fill="auto"/>
            <w:vAlign w:val="center"/>
            <w:hideMark/>
          </w:tcPr>
          <w:p w14:paraId="17495FAF"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Holanda</w:t>
            </w:r>
          </w:p>
        </w:tc>
        <w:tc>
          <w:tcPr>
            <w:tcW w:w="2940" w:type="dxa"/>
            <w:tcBorders>
              <w:top w:val="nil"/>
              <w:left w:val="nil"/>
              <w:bottom w:val="single" w:sz="4" w:space="0" w:color="auto"/>
              <w:right w:val="single" w:sz="4" w:space="0" w:color="auto"/>
            </w:tcBorders>
            <w:shd w:val="clear" w:color="auto" w:fill="auto"/>
            <w:vAlign w:val="center"/>
            <w:hideMark/>
          </w:tcPr>
          <w:p w14:paraId="74E87178"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238E848B"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44FAFC14" w14:textId="77777777" w:rsidR="00256EC8" w:rsidRPr="00AD47A4" w:rsidRDefault="00256EC8" w:rsidP="00256EC8">
            <w:pPr>
              <w:rPr>
                <w:rFonts w:ascii="Open Sans" w:hAnsi="Open Sans" w:cs="Arial"/>
                <w:color w:val="000000"/>
                <w:sz w:val="20"/>
                <w:szCs w:val="20"/>
                <w:lang w:val="en-GB"/>
              </w:rPr>
            </w:pPr>
            <w:r w:rsidRPr="00AD47A4">
              <w:rPr>
                <w:rFonts w:ascii="Open Sans" w:hAnsi="Open Sans" w:cs="Arial"/>
                <w:color w:val="000000"/>
                <w:sz w:val="20"/>
                <w:szCs w:val="20"/>
                <w:lang w:val="en-GB"/>
              </w:rPr>
              <w:t>Pyton Communication Services B.V.</w:t>
            </w:r>
          </w:p>
        </w:tc>
        <w:tc>
          <w:tcPr>
            <w:tcW w:w="2460" w:type="dxa"/>
            <w:tcBorders>
              <w:top w:val="nil"/>
              <w:left w:val="nil"/>
              <w:bottom w:val="single" w:sz="4" w:space="0" w:color="auto"/>
              <w:right w:val="single" w:sz="4" w:space="0" w:color="auto"/>
            </w:tcBorders>
            <w:shd w:val="clear" w:color="auto" w:fill="auto"/>
            <w:vAlign w:val="center"/>
            <w:hideMark/>
          </w:tcPr>
          <w:p w14:paraId="6BA56793"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Holanda</w:t>
            </w:r>
          </w:p>
        </w:tc>
        <w:tc>
          <w:tcPr>
            <w:tcW w:w="2940" w:type="dxa"/>
            <w:tcBorders>
              <w:top w:val="nil"/>
              <w:left w:val="nil"/>
              <w:bottom w:val="single" w:sz="4" w:space="0" w:color="auto"/>
              <w:right w:val="single" w:sz="4" w:space="0" w:color="auto"/>
            </w:tcBorders>
            <w:shd w:val="clear" w:color="auto" w:fill="auto"/>
            <w:vAlign w:val="center"/>
            <w:hideMark/>
          </w:tcPr>
          <w:p w14:paraId="43836A36"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r w:rsidR="00256EC8" w:rsidRPr="00AD47A4" w14:paraId="0074745A" w14:textId="77777777" w:rsidTr="00256EC8">
        <w:trPr>
          <w:trHeight w:val="3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2D7F83B1"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NMTI Holdings, Inc.</w:t>
            </w:r>
          </w:p>
        </w:tc>
        <w:tc>
          <w:tcPr>
            <w:tcW w:w="2460" w:type="dxa"/>
            <w:tcBorders>
              <w:top w:val="nil"/>
              <w:left w:val="nil"/>
              <w:bottom w:val="single" w:sz="4" w:space="0" w:color="auto"/>
              <w:right w:val="single" w:sz="4" w:space="0" w:color="auto"/>
            </w:tcBorders>
            <w:shd w:val="clear" w:color="auto" w:fill="auto"/>
            <w:vAlign w:val="center"/>
            <w:hideMark/>
          </w:tcPr>
          <w:p w14:paraId="0FEBE3D0"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Delaware</w:t>
            </w:r>
          </w:p>
        </w:tc>
        <w:tc>
          <w:tcPr>
            <w:tcW w:w="2940" w:type="dxa"/>
            <w:tcBorders>
              <w:top w:val="nil"/>
              <w:left w:val="nil"/>
              <w:bottom w:val="single" w:sz="4" w:space="0" w:color="auto"/>
              <w:right w:val="single" w:sz="4" w:space="0" w:color="auto"/>
            </w:tcBorders>
            <w:shd w:val="clear" w:color="auto" w:fill="auto"/>
            <w:vAlign w:val="center"/>
            <w:hideMark/>
          </w:tcPr>
          <w:p w14:paraId="678F531D"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Tenencia de valores</w:t>
            </w:r>
          </w:p>
        </w:tc>
      </w:tr>
      <w:tr w:rsidR="00256EC8" w:rsidRPr="00AD47A4" w14:paraId="7F2EFF05" w14:textId="77777777" w:rsidTr="00256EC8">
        <w:trPr>
          <w:trHeight w:val="510"/>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0EA05AFE" w14:textId="77777777" w:rsidR="00256EC8" w:rsidRPr="00AD47A4" w:rsidRDefault="00256EC8" w:rsidP="00256EC8">
            <w:pPr>
              <w:rPr>
                <w:rFonts w:ascii="Open Sans" w:hAnsi="Open Sans" w:cs="Arial"/>
                <w:sz w:val="20"/>
                <w:szCs w:val="20"/>
                <w:lang w:val="en-GB"/>
              </w:rPr>
            </w:pPr>
            <w:r w:rsidRPr="00AD47A4">
              <w:rPr>
                <w:rFonts w:ascii="Open Sans" w:hAnsi="Open Sans" w:cs="Arial"/>
                <w:sz w:val="20"/>
                <w:szCs w:val="20"/>
                <w:lang w:val="en-GB"/>
              </w:rPr>
              <w:t>Newmarket International Software Pte. Ltd.</w:t>
            </w:r>
          </w:p>
        </w:tc>
        <w:tc>
          <w:tcPr>
            <w:tcW w:w="2460" w:type="dxa"/>
            <w:tcBorders>
              <w:top w:val="nil"/>
              <w:left w:val="nil"/>
              <w:bottom w:val="single" w:sz="4" w:space="0" w:color="auto"/>
              <w:right w:val="single" w:sz="4" w:space="0" w:color="auto"/>
            </w:tcBorders>
            <w:shd w:val="clear" w:color="auto" w:fill="auto"/>
            <w:vAlign w:val="center"/>
            <w:hideMark/>
          </w:tcPr>
          <w:p w14:paraId="38CF81E4" w14:textId="77777777" w:rsidR="00256EC8" w:rsidRPr="00AD47A4" w:rsidRDefault="00256EC8" w:rsidP="00256EC8">
            <w:pPr>
              <w:rPr>
                <w:rFonts w:ascii="Open Sans" w:hAnsi="Open Sans" w:cs="Arial"/>
                <w:sz w:val="20"/>
                <w:szCs w:val="20"/>
              </w:rPr>
            </w:pPr>
            <w:r w:rsidRPr="00AD47A4">
              <w:rPr>
                <w:rFonts w:ascii="Open Sans" w:hAnsi="Open Sans" w:cs="Arial"/>
                <w:sz w:val="20"/>
                <w:szCs w:val="20"/>
              </w:rPr>
              <w:t>Singapur</w:t>
            </w:r>
          </w:p>
        </w:tc>
        <w:tc>
          <w:tcPr>
            <w:tcW w:w="2940" w:type="dxa"/>
            <w:tcBorders>
              <w:top w:val="nil"/>
              <w:left w:val="nil"/>
              <w:bottom w:val="single" w:sz="4" w:space="0" w:color="auto"/>
              <w:right w:val="single" w:sz="4" w:space="0" w:color="auto"/>
            </w:tcBorders>
            <w:shd w:val="clear" w:color="auto" w:fill="auto"/>
            <w:vAlign w:val="center"/>
            <w:hideMark/>
          </w:tcPr>
          <w:p w14:paraId="0BB6CEFA"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 y Desarrollo informático</w:t>
            </w:r>
          </w:p>
        </w:tc>
      </w:tr>
      <w:tr w:rsidR="00256EC8" w:rsidRPr="00AD47A4" w14:paraId="2BEA3D5D" w14:textId="77777777" w:rsidTr="00256EC8">
        <w:trPr>
          <w:trHeight w:val="544"/>
        </w:trPr>
        <w:tc>
          <w:tcPr>
            <w:tcW w:w="3120" w:type="dxa"/>
            <w:tcBorders>
              <w:top w:val="nil"/>
              <w:left w:val="single" w:sz="4" w:space="0" w:color="auto"/>
              <w:bottom w:val="single" w:sz="4" w:space="0" w:color="auto"/>
              <w:right w:val="single" w:sz="4" w:space="0" w:color="auto"/>
            </w:tcBorders>
            <w:shd w:val="clear" w:color="auto" w:fill="auto"/>
            <w:vAlign w:val="center"/>
            <w:hideMark/>
          </w:tcPr>
          <w:p w14:paraId="48FA577B" w14:textId="77777777" w:rsidR="00256EC8" w:rsidRPr="00AD47A4" w:rsidRDefault="00256EC8" w:rsidP="00256EC8">
            <w:pPr>
              <w:rPr>
                <w:rFonts w:ascii="Open Sans" w:hAnsi="Open Sans" w:cs="Arial"/>
                <w:sz w:val="20"/>
                <w:szCs w:val="20"/>
                <w:lang w:val="en-GB"/>
              </w:rPr>
            </w:pPr>
            <w:r w:rsidRPr="00AD47A4">
              <w:rPr>
                <w:rFonts w:ascii="Open Sans" w:hAnsi="Open Sans" w:cs="Arial"/>
                <w:sz w:val="20"/>
                <w:szCs w:val="20"/>
                <w:lang w:val="en-GB"/>
              </w:rPr>
              <w:t>Amadeus Gulf L.L.C.</w:t>
            </w:r>
          </w:p>
        </w:tc>
        <w:tc>
          <w:tcPr>
            <w:tcW w:w="2460" w:type="dxa"/>
            <w:tcBorders>
              <w:top w:val="nil"/>
              <w:left w:val="nil"/>
              <w:bottom w:val="single" w:sz="4" w:space="0" w:color="auto"/>
              <w:right w:val="single" w:sz="4" w:space="0" w:color="auto"/>
            </w:tcBorders>
            <w:shd w:val="clear" w:color="auto" w:fill="auto"/>
            <w:vAlign w:val="center"/>
            <w:hideMark/>
          </w:tcPr>
          <w:p w14:paraId="46FADC7B" w14:textId="77777777" w:rsidR="00256EC8" w:rsidRPr="00AD47A4" w:rsidRDefault="00256EC8" w:rsidP="00256EC8">
            <w:pPr>
              <w:rPr>
                <w:rFonts w:ascii="Open Sans" w:hAnsi="Open Sans" w:cs="Arial"/>
                <w:sz w:val="20"/>
                <w:szCs w:val="20"/>
              </w:rPr>
            </w:pPr>
            <w:r w:rsidRPr="00AD47A4">
              <w:rPr>
                <w:rFonts w:ascii="Open Sans" w:hAnsi="Open Sans" w:cs="Arial"/>
                <w:sz w:val="20"/>
                <w:szCs w:val="20"/>
              </w:rPr>
              <w:t>Emiratos Árabes Unidos</w:t>
            </w:r>
          </w:p>
        </w:tc>
        <w:tc>
          <w:tcPr>
            <w:tcW w:w="2940" w:type="dxa"/>
            <w:tcBorders>
              <w:top w:val="nil"/>
              <w:left w:val="nil"/>
              <w:bottom w:val="single" w:sz="4" w:space="0" w:color="auto"/>
              <w:right w:val="single" w:sz="4" w:space="0" w:color="auto"/>
            </w:tcBorders>
            <w:shd w:val="clear" w:color="auto" w:fill="auto"/>
            <w:vAlign w:val="center"/>
            <w:hideMark/>
          </w:tcPr>
          <w:p w14:paraId="20E92983" w14:textId="77777777" w:rsidR="00256EC8" w:rsidRPr="00AD47A4" w:rsidRDefault="00256EC8" w:rsidP="00256EC8">
            <w:pPr>
              <w:rPr>
                <w:rFonts w:ascii="Open Sans" w:hAnsi="Open Sans" w:cs="Arial"/>
                <w:color w:val="000000"/>
                <w:sz w:val="20"/>
                <w:szCs w:val="20"/>
              </w:rPr>
            </w:pPr>
            <w:r w:rsidRPr="00AD47A4">
              <w:rPr>
                <w:rFonts w:ascii="Open Sans" w:hAnsi="Open Sans" w:cs="Arial"/>
                <w:color w:val="000000"/>
                <w:sz w:val="20"/>
                <w:szCs w:val="20"/>
              </w:rPr>
              <w:t>Distribución</w:t>
            </w:r>
          </w:p>
        </w:tc>
      </w:tr>
    </w:tbl>
    <w:p w14:paraId="5440EA28" w14:textId="77777777" w:rsidR="00256EC8" w:rsidRPr="00AD47A4" w:rsidRDefault="00256EC8" w:rsidP="00256EC8">
      <w:pPr>
        <w:rPr>
          <w:rFonts w:ascii="Open Sans" w:hAnsi="Open Sans"/>
        </w:rPr>
      </w:pPr>
    </w:p>
    <w:p w14:paraId="5963E469"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En relación a una fiscalidad responsable, Amadeus en su Código de Conducta afirma que “La Sociedad se compromete a cumplir con las leyes y regulaciones vigentes en los países en los que opera. Éstas incluyen, aunque no están limitadas, a leyes y regulaciones relacionadas con seguridad y salud, trabajo, discriminación, información privilegiada, fiscalidad, privacidad, competencia y antimonopolio, cuestiones medioambientales, licitaciones públicas y antifraude”. La empresa no aporta información sobre las actividades de compañía  en paraísos y nichos fiscales ni en la Memoria de Sostenibilidad ni en ningún otro documento de los analizados, salvo en el caso de las sociedades localizadas en el Líbano y Jordania. En la página 24 del informe de Buen Gobierno informa que ha mantenido operaciones vinculadas en concepto de tráfico comercial relativas a la distribución del Sistema Amadeus por un cantidad total de 4.537 miles de euros. Afirma en este mismo informe que “Todas las operaciones realizadas con empresas del Grupo establecidas en territorios que tienen la consideración de paraíso fiscal en el ejercicio 2015, corresponden al curso normal de sus negocios en dichos territorios”. </w:t>
      </w:r>
    </w:p>
    <w:p w14:paraId="683E6EDA" w14:textId="77777777" w:rsidR="00256EC8" w:rsidRPr="00AD47A4" w:rsidRDefault="00256EC8" w:rsidP="00256EC8">
      <w:pPr>
        <w:autoSpaceDE w:val="0"/>
        <w:autoSpaceDN w:val="0"/>
        <w:adjustRightInd w:val="0"/>
        <w:jc w:val="both"/>
        <w:rPr>
          <w:rFonts w:ascii="Open Sans" w:hAnsi="Open Sans" w:cs="Open Sans"/>
          <w:sz w:val="20"/>
          <w:szCs w:val="20"/>
        </w:rPr>
      </w:pPr>
    </w:p>
    <w:p w14:paraId="3E2F91D0"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A pesar de las limitaciones sobre la información en materia fiscal, en función de la información aportada en el Anexo I de las Cuentas Anuales sobre sociedades dependientes, se considera que 10 sociedades ubicadas en paraísos o nichos fiscales ofrecen dudas en cuanto a que su actividad tenga que ver con la operativa propia de negocio debido a su actividad (financiera o instrumental) o a la ubicación de las mismas y a la gestión de operativa en terceros países. Estas dudas no son susceptibles de disipar  al no aportar la empresa mayor información sobre su actividad en estos territorios. Este es el caso de Delaware con ocho sociedades, una sociedad en Holanda, una en Uruguay y una en Irlanda. </w:t>
      </w:r>
    </w:p>
    <w:p w14:paraId="41F9B2A0" w14:textId="77777777" w:rsidR="00256EC8" w:rsidRPr="00AD47A4" w:rsidRDefault="00256EC8" w:rsidP="00256EC8">
      <w:pPr>
        <w:autoSpaceDE w:val="0"/>
        <w:autoSpaceDN w:val="0"/>
        <w:adjustRightInd w:val="0"/>
        <w:jc w:val="both"/>
        <w:rPr>
          <w:rFonts w:ascii="Open Sans" w:hAnsi="Open Sans" w:cs="Open Sans"/>
          <w:sz w:val="20"/>
          <w:szCs w:val="20"/>
        </w:rPr>
      </w:pPr>
    </w:p>
    <w:p w14:paraId="23468AB4"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De la información facilitada por Amadeus no es posible conocer la titularidad y dependencia de las sociedades localizadas en nichos y paraísos fiscales ni la participación en terceras sociedades del grupo que Amadeus tiene de forma indirecta, en su caso, a través de las sociedades localizadas a través de estos territorios. Tampoco se tiene acceso al número de empleados vinculados con las sociedades situadas en paraísos y/o nichos fiscales, facturación, beneficios e impuestos pagados. La empresa no detalla el número de trabajadores, directos e indirectos, adscritos a cada país,  y a cada una de las sociedades. </w:t>
      </w:r>
    </w:p>
    <w:p w14:paraId="6443E86A" w14:textId="77777777" w:rsidR="00256EC8" w:rsidRPr="00AD47A4" w:rsidRDefault="00256EC8" w:rsidP="00256EC8">
      <w:pPr>
        <w:autoSpaceDE w:val="0"/>
        <w:autoSpaceDN w:val="0"/>
        <w:adjustRightInd w:val="0"/>
        <w:jc w:val="both"/>
        <w:rPr>
          <w:rFonts w:ascii="Open Sans" w:hAnsi="Open Sans" w:cs="Open Sans"/>
          <w:sz w:val="20"/>
          <w:szCs w:val="20"/>
        </w:rPr>
      </w:pPr>
    </w:p>
    <w:p w14:paraId="1C382039"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La única información de Amadeus en relación a su estructura societaria y su presencia en paraísos fiscales se encuentra recogida en su informe de Buen Gobierno: “El Grupo supervisa y actualiza periódicamente su estructura corporativa, y ha establecido un proceso detallado para la presentación y aprobación de los cambios de la estructura de filiales y de inversiones significativas en las que el grupo puede ejercer control, independientemente de los medios legales para obtener este control, incluidas tanto las entidades instrumentales como las de propósito especial y otros vehículos, caso de existir… Es cometido de la Comisión de Auditoría informar, con carácter previo al Consejo de Administración, la creación o adquisición de participaciones en entidades de propósito especial o domiciliadas en países o territorios que tengan la consideración de paraísos fiscales”. Sin embargo la empresa no se posiciona con respecto a qué considera paraíso fiscal, ni nicho fiscal.  El uso cada vez más frecuente de los nichos fiscales por parte de las empresas multinacionales es puesto en evidencia por parte de la agencia tributaria: “Con independencia de los territorios considerados como paraísos fiscales, existen Estados y territorios con estatutos singulares de imposición y regímenes fiscales preferenciales o de privilegio en los que la tributación real y la opacidad fiscal es similar a la de los denominados paraísos fiscales. El uso de estos territorios de baja tributación es cada vez más frecuente en la planificación fiscal abusiva internacional más sofisticada, ya que las inversiones directas en los paraísos fiscales clásicos o desde éstos se suele producir fundamentalmente en los casos de planificación fiscal abusiva más elementales, en ocasiones, relacionados directamente con entornos delictivos. A modo de ejemplo, se han detectado casos en los que las sociedades interpuestas o conductoras de rentas desde o hacia el exterior se ubican normalmente en territorios de baja tributación, en lugar de en los paraísos fiscales tradicionales, en cuyos territorios únicamente se localizan las sociedades base o de cierre de las cadenas societarias diseñadas para la defraudación. En consecuencia, las actividades con incidencia fiscal en España desarrolladas en los territorios de baja tributación, entendiendo por tales no sólo aquellos en los que existan regímenes fiscales preferenciales o de privilegio, sino también los Estados en los que existe una fuerte opacidad informativa, deben constituir una prioridad para la Agencia Tributaria”</w:t>
      </w:r>
      <w:r w:rsidRPr="00AD47A4">
        <w:rPr>
          <w:rFonts w:ascii="Open Sans" w:hAnsi="Open Sans"/>
          <w:vertAlign w:val="superscript"/>
        </w:rPr>
        <w:footnoteReference w:id="625"/>
      </w:r>
      <w:r w:rsidRPr="00AD47A4">
        <w:rPr>
          <w:rFonts w:ascii="Open Sans" w:hAnsi="Open Sans" w:cs="Open Sans"/>
          <w:sz w:val="20"/>
          <w:szCs w:val="20"/>
        </w:rPr>
        <w:t>.</w:t>
      </w:r>
    </w:p>
    <w:p w14:paraId="3038EBE5" w14:textId="77777777" w:rsidR="00256EC8" w:rsidRPr="00AD47A4" w:rsidRDefault="00256EC8" w:rsidP="00256EC8">
      <w:pPr>
        <w:jc w:val="both"/>
        <w:rPr>
          <w:rFonts w:ascii="Open Sans" w:hAnsi="Open Sans" w:cs="Open Sans"/>
          <w:sz w:val="20"/>
          <w:szCs w:val="20"/>
        </w:rPr>
      </w:pPr>
    </w:p>
    <w:p w14:paraId="12BE8B15"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No hay constancia de la existencia de una política o estrategia fiscal por parte de Amadeus. La única mención a las mismas es en informe de Buen Gobierno Corporativo cuando afirma que es el Consejo de Administración el responsable de fijar la política y estrategia fiscal del grupo. </w:t>
      </w:r>
    </w:p>
    <w:p w14:paraId="32EA64C5" w14:textId="77777777" w:rsidR="00256EC8" w:rsidRPr="00AD47A4" w:rsidRDefault="00256EC8" w:rsidP="00256EC8">
      <w:pPr>
        <w:autoSpaceDE w:val="0"/>
        <w:autoSpaceDN w:val="0"/>
        <w:adjustRightInd w:val="0"/>
        <w:jc w:val="both"/>
        <w:rPr>
          <w:rFonts w:ascii="Open Sans" w:hAnsi="Open Sans" w:cs="Open Sans"/>
          <w:sz w:val="20"/>
          <w:szCs w:val="20"/>
        </w:rPr>
      </w:pPr>
    </w:p>
    <w:p w14:paraId="65289F9F"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En relación a los riesgos de carácter fiscal, en el informe de buen gobierno afirma que la organización tiene establecida una lista de opciones para cada riesgo y facilita algunos ejemplos para cada uno de ellos: La decisión de no implementar estructuras fiscales complejas inconsistentes con el negocio para lograr ahorros fiscales para evitar sucesos imprevistos. Contar con una política o estrategia fiscal adecuada para reducir la probabilidad de que ocurra un suceso. No se sabe qué quiere decir la empresa con "adecuada", ni consta que el Consejo haya aprobado una política o estrategia fiscal.  La empresa afirma que “No existe un riesgo fiscal específico que pudiera afectar a la consecución de los objetivos de negocio, pero el modelo de negocio de la Sociedad y la presencia del Grupo, a través de subsidiarias/filiales en muy distintas jurisdicciones locales, hace necesario prestar atención a un diseño apropiado de las políticas de precios de transferencia”.   Identifica como riesgo del entorno las contingencias fiscales. Menciona que no se han materializado riesgos durante 2015. No obstante, salvo lo mencionado en relación a los precios de transferencia, en la información analizada no se han  encontrado evidencias de qué considera Amadeus riesgo fiscal,  el  sistema de identificación de riesgos, salvo la mención de que los riesgos fiscales son incluidos en un mapa de riesgos corporativos,  y el proceso de monitorización y mejora continua de la efectividad de los controles establecidos, en caso de que éstos existiesen. </w:t>
      </w:r>
    </w:p>
    <w:p w14:paraId="62809098" w14:textId="77777777" w:rsidR="00256EC8" w:rsidRPr="00AD47A4" w:rsidRDefault="00256EC8" w:rsidP="00256EC8">
      <w:pPr>
        <w:autoSpaceDE w:val="0"/>
        <w:autoSpaceDN w:val="0"/>
        <w:adjustRightInd w:val="0"/>
        <w:jc w:val="both"/>
        <w:rPr>
          <w:rFonts w:ascii="Open Sans" w:hAnsi="Open Sans" w:cs="Open Sans"/>
          <w:sz w:val="20"/>
          <w:szCs w:val="20"/>
        </w:rPr>
      </w:pPr>
    </w:p>
    <w:p w14:paraId="7937FE64"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De acuerdo con la información suministrada por Amadeus,  el Código de Ética y Conducta Profesional,  la Sociedad se compromete a cumplir con las leyes y regulaciones vigentes en los países en los que opera. Éstas incluyen, leyes y regulaciones relacionadas  con la fiscalidad. Afirma que es la “comisión de auditoria es la encargada de Supervisar la eficacia del control interno de la sociedad, la auditoría interna, en su caso, y los sistemas de gestión de riesgos. Para este fin la Comisión de Auditoría establece y supervisar un canal de denuncia limitado a empleados, sin embargo en la información facilitada no queda claro el procedimiento y funcionamiento del mismo. Menciona que existe un correo electrónico y que es el Comité de Ética el que prepara con carácter anual un informe sobre las incidencias más significativas que hayan sido objeto de investigación en el ámbito de su competencia, así como de aquellas irregularidades que, en su caso, se hubieren producido y que pudieran tener trascendencia, sobre todo en el área contable y financiera. Dicho informe, en caso de producirse alguna incidencia, se elevará con carácter anual a la Comisión de Auditoría para su información y seguimiento. Sin embargo no hay información sobre en base a qué se determina el umbral de “significativa” o “transcendente”. No se ha encontrado información sobre el número de denuncias recibidas, naturaleza de las mismas, y resolución.</w:t>
      </w:r>
    </w:p>
    <w:p w14:paraId="74274719" w14:textId="77777777" w:rsidR="00256EC8" w:rsidRPr="00AD47A4" w:rsidRDefault="00256EC8" w:rsidP="00256EC8">
      <w:pPr>
        <w:autoSpaceDE w:val="0"/>
        <w:autoSpaceDN w:val="0"/>
        <w:adjustRightInd w:val="0"/>
        <w:jc w:val="both"/>
        <w:rPr>
          <w:rFonts w:ascii="Open Sans" w:hAnsi="Open Sans" w:cs="Open Sans"/>
          <w:sz w:val="20"/>
          <w:szCs w:val="20"/>
        </w:rPr>
      </w:pPr>
    </w:p>
    <w:p w14:paraId="21DF8531"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El Consejo de Administración acordó en enero de 2011 la adhesión de Amadeus al Código de Buenas Prácticas Tributarias desarrollado por la agencia tributaria. Este Código no es vinculante para sus firmantes, no establece un seguimiento de las actuaciones de las empresas firmantes y tampoco tiene previsto un sistema sancionador o de expulsión por incumplimiento. El Código incluye, entre otros compromisos, la prohibición de operar con estructuras instrumentales </w:t>
      </w:r>
      <w:r w:rsidRPr="00AD47A4">
        <w:rPr>
          <w:rFonts w:ascii="Open Sans" w:hAnsi="Open Sans" w:cs="Open Sans"/>
          <w:i/>
          <w:iCs/>
          <w:sz w:val="20"/>
          <w:szCs w:val="20"/>
        </w:rPr>
        <w:t>offshore</w:t>
      </w:r>
      <w:r w:rsidRPr="00AD47A4">
        <w:rPr>
          <w:rFonts w:ascii="Open Sans" w:hAnsi="Open Sans" w:cs="Open Sans"/>
          <w:sz w:val="20"/>
          <w:szCs w:val="20"/>
        </w:rPr>
        <w:t>, que favorecen la evasión fiscal.</w:t>
      </w:r>
    </w:p>
    <w:p w14:paraId="17056D10" w14:textId="77777777" w:rsidR="00256EC8" w:rsidRPr="00AD47A4" w:rsidRDefault="00256EC8" w:rsidP="00256EC8">
      <w:pPr>
        <w:jc w:val="both"/>
        <w:rPr>
          <w:rFonts w:ascii="Open Sans" w:hAnsi="Open Sans" w:cs="Open Sans"/>
          <w:sz w:val="20"/>
          <w:szCs w:val="20"/>
        </w:rPr>
      </w:pPr>
    </w:p>
    <w:p w14:paraId="4635C47F"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 xml:space="preserve">Amadeus no detalla su estructura societaria a través de participaciones directas e indirectas en aquellas sociedades con una participación superior al 5% del capital. De la información que aparecen en los anexos de las cuentas anuales se extrae que el grupo está confirmado por más de 120 sociedades entre dependientes, asociadas y Unión Temporal de Empresas. En los anexos de las cuentas anuales, Amadeus estructura las sociedades dependientes  en Desarrollo informático, apoyo regional, distribución, intermediación, tenencia de valores, actividades financiera, gestión del grupo, procesos de datos, servicios de pago, entre otros. Sería deseable que Amadeus informase de la estructura societaria con el cruce entre participadas para poder conocer a través de qué empresas Amadeus es accionista sobre el resto de entidades dependientes, cuando la participación es indirecta. </w:t>
      </w:r>
    </w:p>
    <w:p w14:paraId="17C01322" w14:textId="77777777" w:rsidR="00256EC8" w:rsidRPr="00AD47A4" w:rsidRDefault="00256EC8" w:rsidP="00256EC8">
      <w:pPr>
        <w:jc w:val="both"/>
        <w:rPr>
          <w:rFonts w:ascii="Open Sans" w:eastAsia="Calibri" w:hAnsi="Open Sans" w:cs="Open Sans"/>
          <w:sz w:val="20"/>
          <w:szCs w:val="20"/>
        </w:rPr>
      </w:pPr>
    </w:p>
    <w:p w14:paraId="3EAAAE68" w14:textId="77777777" w:rsidR="00256EC8" w:rsidRPr="00AD47A4" w:rsidRDefault="00256EC8" w:rsidP="00256EC8">
      <w:pPr>
        <w:jc w:val="both"/>
        <w:rPr>
          <w:rFonts w:ascii="Open Sans" w:eastAsia="Calibri" w:hAnsi="Open Sans" w:cs="Open Sans"/>
          <w:sz w:val="20"/>
          <w:szCs w:val="20"/>
        </w:rPr>
      </w:pPr>
      <w:r w:rsidRPr="00AD47A4">
        <w:rPr>
          <w:rFonts w:ascii="Open Sans" w:eastAsia="Calibri" w:hAnsi="Open Sans" w:cs="Open Sans"/>
          <w:sz w:val="20"/>
          <w:szCs w:val="20"/>
        </w:rPr>
        <w:t xml:space="preserve">Amadeus informa que las cuentas anuales consolidadas incluyen todas las sociedades dependientes sobre las cuales el Grupo tiene control. </w:t>
      </w:r>
    </w:p>
    <w:p w14:paraId="34F1A852" w14:textId="77777777" w:rsidR="00256EC8" w:rsidRPr="00AD47A4" w:rsidRDefault="00256EC8" w:rsidP="00256EC8">
      <w:pPr>
        <w:jc w:val="both"/>
        <w:rPr>
          <w:rFonts w:ascii="Open Sans" w:eastAsia="Calibri" w:hAnsi="Open Sans" w:cs="Open Sans"/>
          <w:sz w:val="20"/>
          <w:szCs w:val="20"/>
        </w:rPr>
      </w:pPr>
    </w:p>
    <w:p w14:paraId="35D311C7" w14:textId="77777777" w:rsidR="00256EC8" w:rsidRPr="00AD47A4" w:rsidRDefault="00256EC8" w:rsidP="00256EC8">
      <w:pPr>
        <w:jc w:val="both"/>
        <w:rPr>
          <w:rFonts w:ascii="Open Sans" w:eastAsia="Calibri" w:hAnsi="Open Sans" w:cs="Open Sans"/>
          <w:sz w:val="20"/>
          <w:szCs w:val="20"/>
        </w:rPr>
      </w:pPr>
      <w:r w:rsidRPr="00AD47A4">
        <w:rPr>
          <w:rFonts w:ascii="Open Sans" w:eastAsia="Calibri" w:hAnsi="Open Sans" w:cs="Open Sans"/>
          <w:sz w:val="20"/>
          <w:szCs w:val="20"/>
        </w:rPr>
        <w:t xml:space="preserve">En relación a operaciones intragrupo,  la empresa no presenta información detallada sobre las compras intragrupo, desde qué sociedades gestiona los derechos de marca y propiedad intelectual y condiciones asignadas a las mismas. Tener conocimiento de estas operaciones es fundamental para poder deducir si la empresa está operando a través de su estructura societaria para implementar estrategias de optimización fiscal. </w:t>
      </w:r>
    </w:p>
    <w:p w14:paraId="7D5DDDC6" w14:textId="77777777" w:rsidR="00256EC8" w:rsidRPr="00AD47A4" w:rsidRDefault="00256EC8" w:rsidP="00256EC8">
      <w:pPr>
        <w:jc w:val="both"/>
        <w:rPr>
          <w:rFonts w:ascii="Open Sans" w:eastAsia="Calibri" w:hAnsi="Open Sans" w:cs="Open Sans"/>
          <w:sz w:val="20"/>
          <w:szCs w:val="20"/>
        </w:rPr>
      </w:pPr>
    </w:p>
    <w:p w14:paraId="1511F702" w14:textId="77777777" w:rsidR="00256EC8" w:rsidRPr="00AD47A4" w:rsidRDefault="00256EC8" w:rsidP="00256EC8">
      <w:pPr>
        <w:jc w:val="both"/>
        <w:rPr>
          <w:rFonts w:ascii="Open Sans" w:eastAsia="Calibri" w:hAnsi="Open Sans" w:cs="Open Sans"/>
          <w:sz w:val="20"/>
          <w:szCs w:val="20"/>
        </w:rPr>
      </w:pPr>
      <w:r w:rsidRPr="00AD47A4">
        <w:rPr>
          <w:rFonts w:ascii="Open Sans" w:eastAsia="Calibri" w:hAnsi="Open Sans" w:cs="Open Sans"/>
          <w:sz w:val="20"/>
          <w:szCs w:val="20"/>
        </w:rPr>
        <w:t xml:space="preserve">Amadeus en sus cuentas anuales consolidadas afirma que “Las transacciones entre el Grupo y sus sociedades dependientes, las cuales son entidades relacionadas de la Sociedad, han sido eliminadas en la consolidación”. Hay que irse a las cuentas anuales de sociedad matriz: Amadeus IT Holding, S.A. en donde menciona que el volumen de las operaciones realizadas con empresas del grupo, no con quién ni conceptos, asciende a las cantidad de 1.533 miles de euros por prestación de servicios y de 976  miles de euros por recepción de servicios. Sin embargo estas cantidades no se corresponden con las facilitadas en el informe de buen gobierno en relación a las operaciones mantenidas con dos sociedades erradicadas en paraísos fiscales (Jordania y Líbano). </w:t>
      </w:r>
    </w:p>
    <w:p w14:paraId="6D3DC7CA" w14:textId="77777777" w:rsidR="00256EC8" w:rsidRPr="00AD47A4" w:rsidRDefault="00256EC8" w:rsidP="00256EC8">
      <w:pPr>
        <w:jc w:val="both"/>
        <w:rPr>
          <w:rFonts w:ascii="Open Sans" w:eastAsia="Calibri" w:hAnsi="Open Sans" w:cs="Open Sans"/>
          <w:sz w:val="20"/>
          <w:szCs w:val="20"/>
        </w:rPr>
      </w:pPr>
    </w:p>
    <w:p w14:paraId="762675D5" w14:textId="77777777" w:rsidR="00256EC8" w:rsidRPr="00AD47A4" w:rsidRDefault="00256EC8" w:rsidP="00256EC8">
      <w:pPr>
        <w:autoSpaceDE w:val="0"/>
        <w:autoSpaceDN w:val="0"/>
        <w:adjustRightInd w:val="0"/>
        <w:jc w:val="both"/>
        <w:rPr>
          <w:rFonts w:ascii="Open Sans" w:eastAsia="Calibri" w:hAnsi="Open Sans" w:cs="Open Sans"/>
          <w:sz w:val="20"/>
          <w:szCs w:val="20"/>
        </w:rPr>
      </w:pPr>
      <w:r w:rsidRPr="00AD47A4">
        <w:rPr>
          <w:rFonts w:ascii="Open Sans" w:eastAsia="Calibri" w:hAnsi="Open Sans" w:cs="Open Sans"/>
          <w:sz w:val="20"/>
          <w:szCs w:val="20"/>
        </w:rPr>
        <w:t xml:space="preserve">Amadeus  afirma, en relación a los precios de transferencia de las operaciones intragrupo, en su informe buen gobierno que estos pueden suponer un riesgos: “No existe un riesgo fiscal específico que pudiera afectar a la consecución de los objetivos de negocio, pero el modelo de negocio de la Sociedad y la presencia del Grupo, a través de subsidiarias/filiales en muy distintas jurisdicciones locales, hace necesario prestar atención a un diseño apropiado de las políticas de precios de transferencia”. A lo anterior añade que “Las operaciones con compañías del grupo responden al tráfico ordinario y se eliminan en el proceso de consolidación, realizándose estudios de precios de transferencia para justificar su realización a precios de mercado. En aquellos supuestos con volumen significativo intragrupo, (caso de España, Francia y Alemania), se han llegado a acuerdos previos con las administraciones (APAs), de cuyo contenido y alcance se informa a la Comisión de Auditoría”. </w:t>
      </w:r>
    </w:p>
    <w:p w14:paraId="3C836A7C" w14:textId="77777777" w:rsidR="00256EC8" w:rsidRPr="00AD47A4" w:rsidRDefault="00256EC8" w:rsidP="00256EC8">
      <w:pPr>
        <w:jc w:val="both"/>
        <w:rPr>
          <w:rFonts w:ascii="Open Sans" w:eastAsiaTheme="minorHAnsi" w:hAnsi="Open Sans" w:cs="Amadeus-Regular"/>
          <w:color w:val="0380FF"/>
          <w:sz w:val="18"/>
          <w:szCs w:val="18"/>
          <w:lang w:eastAsia="en-US"/>
        </w:rPr>
      </w:pPr>
    </w:p>
    <w:p w14:paraId="1898E580" w14:textId="77777777" w:rsidR="00256EC8" w:rsidRPr="00AD47A4" w:rsidRDefault="00256EC8" w:rsidP="00256EC8">
      <w:pPr>
        <w:jc w:val="both"/>
        <w:rPr>
          <w:rFonts w:ascii="Open Sans" w:eastAsia="Calibri" w:hAnsi="Open Sans" w:cs="Open Sans"/>
          <w:sz w:val="20"/>
          <w:szCs w:val="20"/>
        </w:rPr>
      </w:pPr>
      <w:r w:rsidRPr="00AD47A4">
        <w:rPr>
          <w:rFonts w:ascii="Open Sans" w:eastAsia="Calibri" w:hAnsi="Open Sans" w:cs="Open Sans"/>
          <w:sz w:val="20"/>
          <w:szCs w:val="20"/>
        </w:rPr>
        <w:t xml:space="preserve">En relación a las operaciones de financiación entre sociedades del mismo grupo, en las cuentas anuales de Amadeus IT Holding SA, matriz del grupo y no en las cuentas anuales consolidadas, informa que  el importe por los ingresos por créditos que han ascendido a 37.802 miles de euros y los gastos por deudas a 39.474 miles de euros. Ha recibido dividendos por 363.137 miles de euros lo que ha provocado que la base imponible de la empresa matriz sea negativa por valor de 11.495 miles de euros y mantiene créditos a empresas del grupo por importe de 748.708 miles de euros. Explica que la sociedad del Grupo, Amadeus Capital Markets, S.A., al amparo del programa de emisión de deuda Euro Medium Term Note Programme, efectuó una emisión de bonos en el Euromercado por importe de 750.000 miles de euros. Dicha sociedad cedió el importe obtenido en la emisión, neto de todos los gastos asociados, a través de un contrato de préstamo. A su vez, la Sociedad cedió a Amadeus IT Group, S.A., mediante otro contrato de préstamo, el principal recibido por el contrato de préstamo firmado con Amadeus Capital Markets, </w:t>
      </w:r>
      <w:proofErr w:type="gramStart"/>
      <w:r w:rsidRPr="00AD47A4">
        <w:rPr>
          <w:rFonts w:ascii="Open Sans" w:eastAsia="Calibri" w:hAnsi="Open Sans" w:cs="Open Sans"/>
          <w:sz w:val="20"/>
          <w:szCs w:val="20"/>
        </w:rPr>
        <w:t>S.A..</w:t>
      </w:r>
      <w:proofErr w:type="gramEnd"/>
      <w:r w:rsidRPr="00AD47A4">
        <w:rPr>
          <w:rFonts w:ascii="Open Sans" w:eastAsia="Calibri" w:hAnsi="Open Sans" w:cs="Open Sans"/>
          <w:sz w:val="20"/>
          <w:szCs w:val="20"/>
        </w:rPr>
        <w:t xml:space="preserve"> Afirma que ambos contratos de préstamo tienen las mismas condiciones financieras. </w:t>
      </w:r>
    </w:p>
    <w:p w14:paraId="3CA919CB" w14:textId="77777777" w:rsidR="00256EC8" w:rsidRPr="00AD47A4" w:rsidRDefault="00256EC8" w:rsidP="00256EC8">
      <w:pPr>
        <w:jc w:val="both"/>
        <w:rPr>
          <w:rFonts w:ascii="Open Sans" w:eastAsia="Calibri" w:hAnsi="Open Sans" w:cs="Open Sans"/>
          <w:sz w:val="20"/>
          <w:szCs w:val="20"/>
        </w:rPr>
      </w:pPr>
    </w:p>
    <w:p w14:paraId="3E4F66B9" w14:textId="77777777" w:rsidR="00256EC8" w:rsidRPr="00AD47A4" w:rsidRDefault="00256EC8" w:rsidP="00256EC8">
      <w:pPr>
        <w:jc w:val="both"/>
        <w:rPr>
          <w:rFonts w:ascii="Open Sans" w:eastAsia="Calibri" w:hAnsi="Open Sans" w:cs="Open Sans"/>
          <w:sz w:val="20"/>
          <w:szCs w:val="20"/>
        </w:rPr>
      </w:pPr>
      <w:r w:rsidRPr="00AD47A4">
        <w:rPr>
          <w:rFonts w:ascii="Open Sans" w:eastAsia="Calibri" w:hAnsi="Open Sans" w:cs="Open Sans"/>
          <w:sz w:val="20"/>
          <w:szCs w:val="20"/>
        </w:rPr>
        <w:t xml:space="preserve">Las sociedades dependientes que forman el Grupo son individualmente responsables de sus obligaciones fiscales en su respectivo país de residencia, sin que exista tributación consolidada del Grupo. Señala La conciliación entre el tipo impositivo estatutario vigente en España y el tipo impositivo efectivo aplicable al Grupo al 31 de diciembre de 2015. Menciona que el tipo nominal es del 28% y el tipo efectivo es del 30,9%. Menciona que la principal diferencia entre el tipo estatutario de España y el tipo efectivo se debe a la liquidación de la auditoría fiscal relativa al Impuesto de Sociedades de los ejercicios fiscales 2005 a 2010, que continúa bajo recurso. </w:t>
      </w:r>
    </w:p>
    <w:p w14:paraId="0724A938" w14:textId="77777777" w:rsidR="00256EC8" w:rsidRPr="00AD47A4" w:rsidRDefault="00256EC8" w:rsidP="00256EC8">
      <w:pPr>
        <w:jc w:val="both"/>
        <w:rPr>
          <w:rFonts w:ascii="Open Sans" w:eastAsia="Calibri" w:hAnsi="Open Sans" w:cs="Open Sans"/>
          <w:sz w:val="20"/>
          <w:szCs w:val="20"/>
        </w:rPr>
      </w:pPr>
    </w:p>
    <w:p w14:paraId="247C6CF0" w14:textId="77777777" w:rsidR="00256EC8" w:rsidRPr="00AD47A4" w:rsidRDefault="00256EC8" w:rsidP="00256EC8">
      <w:pPr>
        <w:autoSpaceDE w:val="0"/>
        <w:autoSpaceDN w:val="0"/>
        <w:adjustRightInd w:val="0"/>
        <w:jc w:val="both"/>
        <w:rPr>
          <w:rFonts w:ascii="Open Sans" w:eastAsia="Calibri" w:hAnsi="Open Sans" w:cs="Open Sans"/>
          <w:sz w:val="20"/>
          <w:szCs w:val="20"/>
        </w:rPr>
      </w:pPr>
      <w:r w:rsidRPr="00AD47A4">
        <w:rPr>
          <w:rFonts w:ascii="Open Sans" w:eastAsia="Calibri" w:hAnsi="Open Sans" w:cs="Open Sans"/>
          <w:sz w:val="20"/>
          <w:szCs w:val="20"/>
        </w:rPr>
        <w:t xml:space="preserve">Pese a los compromisos de Amadeus en materia fiscal y de responsabilidad social, la información de la compañía en relación a su contribución en los países en los que tiene presencia y a través de sus sociedades dependientes es nula.  No hay información del pago de impuestos desglosado por país, ni de ninguna otra partida relevante como facturación, beneficios, cálculo de base imponible o número de empleados. </w:t>
      </w:r>
    </w:p>
    <w:p w14:paraId="546BF161" w14:textId="77777777" w:rsidR="00256EC8" w:rsidRPr="00AD47A4" w:rsidRDefault="00256EC8" w:rsidP="00256EC8">
      <w:pPr>
        <w:autoSpaceDE w:val="0"/>
        <w:autoSpaceDN w:val="0"/>
        <w:adjustRightInd w:val="0"/>
        <w:jc w:val="both"/>
        <w:rPr>
          <w:rFonts w:ascii="Open Sans" w:eastAsia="Calibri" w:hAnsi="Open Sans" w:cs="Open Sans"/>
          <w:sz w:val="20"/>
          <w:szCs w:val="20"/>
        </w:rPr>
      </w:pPr>
    </w:p>
    <w:p w14:paraId="4C17E6F0" w14:textId="77777777" w:rsidR="00256EC8" w:rsidRPr="00AD47A4" w:rsidRDefault="00256EC8" w:rsidP="00256EC8">
      <w:pPr>
        <w:autoSpaceDE w:val="0"/>
        <w:autoSpaceDN w:val="0"/>
        <w:adjustRightInd w:val="0"/>
        <w:jc w:val="both"/>
        <w:rPr>
          <w:rFonts w:ascii="Open Sans" w:eastAsia="Calibri" w:hAnsi="Open Sans" w:cs="Open Sans"/>
          <w:sz w:val="20"/>
          <w:szCs w:val="20"/>
        </w:rPr>
      </w:pPr>
      <w:r w:rsidRPr="00AD47A4">
        <w:rPr>
          <w:rFonts w:ascii="Open Sans" w:eastAsia="Calibri" w:hAnsi="Open Sans" w:cs="Open Sans"/>
          <w:sz w:val="20"/>
          <w:szCs w:val="20"/>
        </w:rPr>
        <w:t xml:space="preserve">En relación al impuesto de sociedades, en las cuentas anuales consolidadas del Grupo, Amadeus informa que “Las sociedades dependientes que forman el Grupo son individualmente responsables de sus obligaciones fiscales en su respectivo país de residencia, sin que exista tributación consolidada del Grupo”. Menciona que el tipo nominal es del 28% y el tipo efectivo es del 30,9%. Afirma que la principal diferencia entre el tipo estatutario de España y el tipo efectivo se debe a la liquidación de la auditoría fiscal relativa al Impuesto de Sociedades de los ejercicios fiscales 2005 a 2010, que continúa bajo recurso. En las cuentas anuales consolidadas no se ha encontrado referencia a la conciliación entre el resultado contable y la base imponible, sin embargo Amadeus dedica un apartado a explicar esta conciliación en las Cuentas Anuales del ejercicio 2015 de la matriz Amadeus IT Holding SA. De acuerdo con la información facilitada por la empresa la conciliación arroja una base imponible negativa por importe de 11.495 miles de euros provocada por los dividendos recibidos del grupo fiscal por importe de 363.137 miles de euros. </w:t>
      </w:r>
    </w:p>
    <w:p w14:paraId="4C0350B7" w14:textId="77777777" w:rsidR="00256EC8" w:rsidRPr="00AD47A4" w:rsidRDefault="00256EC8" w:rsidP="00256EC8">
      <w:pPr>
        <w:autoSpaceDE w:val="0"/>
        <w:autoSpaceDN w:val="0"/>
        <w:adjustRightInd w:val="0"/>
        <w:jc w:val="both"/>
        <w:rPr>
          <w:rFonts w:ascii="Open Sans" w:eastAsia="Calibri" w:hAnsi="Open Sans" w:cs="Open Sans"/>
          <w:sz w:val="20"/>
          <w:szCs w:val="20"/>
        </w:rPr>
      </w:pPr>
    </w:p>
    <w:p w14:paraId="363C59EB"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La empresa no informa sobre la existencia, en su caso,  de Tax rullings. Según una información del diario El Confidencial en diciembre de 2014 los fondos de inversión </w:t>
      </w:r>
      <w:r w:rsidRPr="00AD47A4">
        <w:rPr>
          <w:rFonts w:ascii="Open Sans" w:hAnsi="Open Sans" w:cs="Open Sans"/>
          <w:bCs/>
          <w:sz w:val="20"/>
          <w:szCs w:val="20"/>
        </w:rPr>
        <w:t>Cinven y BC Partners, accionistas significativos de Amadeus,</w:t>
      </w:r>
      <w:r w:rsidRPr="00AD47A4">
        <w:rPr>
          <w:rFonts w:ascii="Open Sans" w:hAnsi="Open Sans" w:cs="Open Sans"/>
          <w:sz w:val="20"/>
          <w:szCs w:val="20"/>
        </w:rPr>
        <w:t> utilizaron sociedades en Luxemburgo para eludir el pago de impuestos por alrededor de 1.600 millones obtenido en varias desinversiones en la empresa española. Así se recoge en varios acuerdos (</w:t>
      </w:r>
      <w:r w:rsidRPr="00AD47A4">
        <w:rPr>
          <w:rFonts w:ascii="Open Sans" w:hAnsi="Open Sans" w:cs="Open Sans"/>
          <w:i/>
          <w:iCs/>
          <w:sz w:val="20"/>
          <w:szCs w:val="20"/>
        </w:rPr>
        <w:t>tax rulings</w:t>
      </w:r>
      <w:r w:rsidRPr="00AD47A4">
        <w:rPr>
          <w:rFonts w:ascii="Open Sans" w:hAnsi="Open Sans" w:cs="Open Sans"/>
          <w:sz w:val="20"/>
          <w:szCs w:val="20"/>
        </w:rPr>
        <w:t>) alcanzados por estos inversores con las autoridades fiscales del Gran Ducado, diseñados primero por Ernst &amp; Young y después por Deloitte. El caso de Amadeus se añade así a otros de empresas adquiridas por fondos desde Luxemburgo, como Recoletos, CLH, Privalia, Lanetro o SAR</w:t>
      </w:r>
      <w:r w:rsidRPr="00AD47A4">
        <w:rPr>
          <w:rStyle w:val="Refdenotaalpie"/>
          <w:rFonts w:ascii="Open Sans" w:hAnsi="Open Sans" w:cs="Open Sans"/>
          <w:sz w:val="20"/>
          <w:szCs w:val="20"/>
        </w:rPr>
        <w:footnoteReference w:id="626"/>
      </w:r>
      <w:r w:rsidRPr="00AD47A4">
        <w:rPr>
          <w:rFonts w:ascii="Open Sans" w:hAnsi="Open Sans" w:cs="Open Sans"/>
          <w:sz w:val="20"/>
          <w:szCs w:val="20"/>
        </w:rPr>
        <w:t xml:space="preserve">. </w:t>
      </w:r>
    </w:p>
    <w:p w14:paraId="44525341" w14:textId="77777777" w:rsidR="00256EC8" w:rsidRPr="00AD47A4" w:rsidRDefault="00256EC8" w:rsidP="00256EC8">
      <w:pPr>
        <w:autoSpaceDE w:val="0"/>
        <w:autoSpaceDN w:val="0"/>
        <w:adjustRightInd w:val="0"/>
        <w:jc w:val="both"/>
        <w:rPr>
          <w:rFonts w:ascii="Open Sans" w:eastAsia="Calibri" w:hAnsi="Open Sans" w:cs="Open Sans"/>
          <w:sz w:val="20"/>
          <w:szCs w:val="20"/>
        </w:rPr>
      </w:pPr>
    </w:p>
    <w:p w14:paraId="2550B803" w14:textId="77777777" w:rsidR="00256EC8" w:rsidRPr="00AD47A4" w:rsidRDefault="00256EC8" w:rsidP="00256EC8">
      <w:pPr>
        <w:autoSpaceDE w:val="0"/>
        <w:autoSpaceDN w:val="0"/>
        <w:adjustRightInd w:val="0"/>
        <w:jc w:val="both"/>
        <w:rPr>
          <w:rFonts w:ascii="Open Sans" w:hAnsi="Open Sans" w:cs="Open Sans"/>
          <w:sz w:val="20"/>
          <w:szCs w:val="20"/>
        </w:rPr>
      </w:pPr>
      <w:r w:rsidRPr="00AD47A4">
        <w:rPr>
          <w:rFonts w:ascii="Open Sans" w:hAnsi="Open Sans" w:cs="Open Sans"/>
          <w:sz w:val="20"/>
          <w:szCs w:val="20"/>
        </w:rPr>
        <w:t xml:space="preserve">En cuanto a subvenciones recibidas, la única información en la documentación de Amadeus analizada es la que aparece  en el índice GRI del informe global en el que afirma que ha recibido una subvención de la hacienda francesa de 18.528 miles de euros. Menciona que El Grupo recibe incentivos fiscales como disminución de impuestos a pagar en relación a los gastos de investigación y desarrollo incurridos por el Grupo. Afirma que “estos incentivos son, en sustancia, subvenciones públicas”, sin embargo en el análisis realizado no se ha podido contrastar la cuantía de los incentivos que ha recibido la empresa por país, ni en concepto de qué le han sido otorgados. Tampoco se ha encontrado información relativa a deducciones fiscales. En cuanto a los créditos fiscales, la empresa tiene contabilizados activos diferidos en concepto de pérdidas fiscales no utilizadas por 861 mil euros, créditos fiscales por inversión por la cantidad de 2.154 miles de euros  y 796 mil euros por créditos fiscales por dividendos.  Sin embargo aquí se vuelve a echar en falta información relativa los créditos fiscales por país.  Esta información es relevante pues en algunos casos puede condicionar la imputación de beneficios en un país u en otro en base a este tipo de incentivos fiscales. </w:t>
      </w:r>
    </w:p>
    <w:p w14:paraId="24B004F0" w14:textId="77777777" w:rsidR="00256EC8" w:rsidRPr="00AD47A4" w:rsidRDefault="00256EC8" w:rsidP="00256EC8">
      <w:pPr>
        <w:autoSpaceDE w:val="0"/>
        <w:autoSpaceDN w:val="0"/>
        <w:adjustRightInd w:val="0"/>
        <w:jc w:val="both"/>
        <w:rPr>
          <w:rFonts w:ascii="Open Sans" w:hAnsi="Open Sans" w:cs="Open Sans"/>
          <w:sz w:val="20"/>
          <w:szCs w:val="20"/>
        </w:rPr>
      </w:pPr>
    </w:p>
    <w:p w14:paraId="0FBA275C" w14:textId="77777777" w:rsidR="00256EC8" w:rsidRPr="00AD47A4" w:rsidRDefault="00256EC8" w:rsidP="00256EC8">
      <w:pPr>
        <w:autoSpaceDE w:val="0"/>
        <w:autoSpaceDN w:val="0"/>
        <w:adjustRightInd w:val="0"/>
        <w:jc w:val="both"/>
        <w:rPr>
          <w:rFonts w:ascii="Open Sans" w:hAnsi="Open Sans" w:cs="Open Sans"/>
          <w:bCs/>
          <w:sz w:val="20"/>
          <w:szCs w:val="20"/>
        </w:rPr>
      </w:pPr>
      <w:r w:rsidRPr="00AD47A4">
        <w:rPr>
          <w:rFonts w:ascii="Open Sans" w:hAnsi="Open Sans" w:cs="Open Sans"/>
          <w:sz w:val="20"/>
          <w:szCs w:val="20"/>
        </w:rPr>
        <w:t xml:space="preserve">En relación a las contingencias y litigios con las diversas agencias tributarias la única información que proporciona Amadeus es que  al 31 de diciembre de 2015 la Sociedad tiene abiertos a inspección los últimos cuatro años excepto para aquellos impuestos que han sido objeto de inspecciones de carácter total o parcial y que han concluido con la firma de actas en disconformidad, que se encuentran recurridas en vía Contenciosa-Administrativa. Menciona que la principal diferencia entre el tipo estatutario de España y el tipo efectivo se debe a la liquidación de la auditoría fiscal relativa al Impuesto de Sociedades de los ejercicios fiscales 2005 a 2010, que continúa bajo recurso. En junio de 2015 afirma que recibió notificación del Tribunal Económico-Administrativo Central desestimando la reclamación interpuesta ante el mismo en relación al acta firmada en disconformidad por el Impuesto sobre la Renta de No Residentes del ejercicio 2007. En julio de 2015 la Sociedad procedió a presentar ante dicho Tribunal un Recurso extraordinario de nulidad por considerar que dicha Resolución no resultaba ajustada a Derecho en la medida en que se han declarado inexistentes, por omisión, las alegaciones o pruebas presentadas ante dicho Tribunal en noviembre de 2013 y que pueden resultar esenciales para la resolución de la reclamación interpuesta. No se ha encontrado información sobre cantidades en litigio, ni de las provisiones para solventar las contingencias específicas en los diferentes países en los que Amadeus está presente. </w:t>
      </w:r>
    </w:p>
    <w:p w14:paraId="7384A26D" w14:textId="77777777" w:rsidR="00256EC8" w:rsidRPr="00AD47A4" w:rsidRDefault="00256EC8" w:rsidP="00256EC8">
      <w:pPr>
        <w:rPr>
          <w:rFonts w:ascii="Open Sans" w:hAnsi="Open Sans" w:cs="Open Sans"/>
          <w:bCs/>
          <w:sz w:val="20"/>
          <w:szCs w:val="20"/>
        </w:rPr>
      </w:pPr>
    </w:p>
    <w:p w14:paraId="42581DAB" w14:textId="17992A90" w:rsidR="00256EC8" w:rsidRDefault="00256EC8">
      <w:pPr>
        <w:rPr>
          <w:rFonts w:ascii="Open Sans" w:hAnsi="Open Sans" w:cs="Open Sans"/>
          <w:bCs/>
          <w:sz w:val="20"/>
          <w:szCs w:val="20"/>
        </w:rPr>
      </w:pPr>
      <w:r>
        <w:rPr>
          <w:rFonts w:ascii="Open Sans" w:hAnsi="Open Sans" w:cs="Open Sans"/>
          <w:bCs/>
          <w:sz w:val="20"/>
          <w:szCs w:val="20"/>
        </w:rPr>
        <w:br w:type="page"/>
      </w:r>
    </w:p>
    <w:p w14:paraId="6A02A6DC" w14:textId="77777777" w:rsidR="00256EC8" w:rsidRPr="00AD47A4" w:rsidRDefault="00256EC8" w:rsidP="00256EC8">
      <w:pPr>
        <w:rPr>
          <w:rFonts w:ascii="Open Sans" w:hAnsi="Open Sans" w:cs="Open Sans"/>
          <w:bCs/>
          <w:sz w:val="20"/>
          <w:szCs w:val="20"/>
        </w:rPr>
      </w:pPr>
    </w:p>
    <w:p w14:paraId="4976FC84" w14:textId="77777777" w:rsidR="00256EC8" w:rsidRPr="00AD47A4" w:rsidRDefault="00256EC8" w:rsidP="00256EC8">
      <w:pPr>
        <w:rPr>
          <w:rFonts w:ascii="Open Sans" w:hAnsi="Open Sans" w:cs="Open Sans"/>
          <w:bCs/>
          <w:sz w:val="22"/>
          <w:szCs w:val="22"/>
          <w:u w:val="single"/>
        </w:rPr>
      </w:pPr>
      <w:r w:rsidRPr="00AD47A4">
        <w:rPr>
          <w:rFonts w:ascii="Open Sans" w:hAnsi="Open Sans" w:cs="Open Sans"/>
          <w:b/>
          <w:sz w:val="22"/>
          <w:szCs w:val="22"/>
          <w:u w:val="single"/>
        </w:rPr>
        <w:t>5. Conclusiones</w:t>
      </w:r>
    </w:p>
    <w:p w14:paraId="74C23428" w14:textId="77777777" w:rsidR="00256EC8" w:rsidRPr="00AD47A4" w:rsidRDefault="00256EC8" w:rsidP="00256EC8">
      <w:pPr>
        <w:rPr>
          <w:rFonts w:ascii="Open Sans" w:hAnsi="Open Sans" w:cs="Open Sans"/>
          <w:bCs/>
          <w:sz w:val="20"/>
          <w:szCs w:val="20"/>
        </w:rPr>
      </w:pPr>
    </w:p>
    <w:p w14:paraId="5957EB6D" w14:textId="77777777" w:rsidR="00256EC8" w:rsidRPr="00AD47A4" w:rsidRDefault="00256EC8" w:rsidP="00256EC8">
      <w:pPr>
        <w:pStyle w:val="Default"/>
        <w:jc w:val="both"/>
        <w:rPr>
          <w:rFonts w:ascii="Open Sans" w:hAnsi="Open Sans" w:cs="Open Sans"/>
          <w:color w:val="auto"/>
          <w:sz w:val="20"/>
          <w:szCs w:val="20"/>
        </w:rPr>
      </w:pPr>
      <w:r w:rsidRPr="00AD47A4">
        <w:rPr>
          <w:rFonts w:ascii="Open Sans" w:hAnsi="Open Sans" w:cs="Open Sans"/>
          <w:color w:val="auto"/>
          <w:sz w:val="20"/>
          <w:szCs w:val="20"/>
        </w:rPr>
        <w:t xml:space="preserve">La valoración global de la transparencia de Amadeus en el ámbito fiscal es de </w:t>
      </w:r>
      <w:r w:rsidRPr="00AD47A4">
        <w:rPr>
          <w:rFonts w:ascii="Open Sans" w:hAnsi="Open Sans" w:cs="Open Sans"/>
          <w:b/>
          <w:color w:val="auto"/>
          <w:sz w:val="20"/>
          <w:szCs w:val="20"/>
        </w:rPr>
        <w:t>0,31</w:t>
      </w:r>
      <w:r w:rsidRPr="00AD47A4">
        <w:rPr>
          <w:rFonts w:ascii="Open Sans" w:hAnsi="Open Sans" w:cs="Open Sans"/>
          <w:color w:val="auto"/>
          <w:sz w:val="20"/>
          <w:szCs w:val="20"/>
        </w:rPr>
        <w:t xml:space="preserve"> sobre un máximo de 3 situándose la información en el estadio de escasa de acuerdo con la metodología del Observatorio de RSC. De las dimensiones analizadas, la máxima puntuación se obtiene en los aspectos relacionados con “relaciones con Administraciones Tributarias” (0,75), en  “paraísos y nichos fiscales” (0,14), “política y estrategia fiscal” (0,20) e “impuestos e incentivos” (0,17).</w:t>
      </w:r>
    </w:p>
    <w:p w14:paraId="1CEF890B" w14:textId="77777777" w:rsidR="00256EC8" w:rsidRPr="00AD47A4" w:rsidRDefault="00256EC8" w:rsidP="00256EC8">
      <w:pPr>
        <w:jc w:val="both"/>
        <w:rPr>
          <w:rFonts w:ascii="Open Sans" w:hAnsi="Open Sans" w:cs="Open Sans"/>
          <w:sz w:val="20"/>
          <w:szCs w:val="20"/>
        </w:rPr>
      </w:pPr>
    </w:p>
    <w:p w14:paraId="2C6939AC"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Tras analizar la documentación publicada por Amadeus en relación a su actividad fiscal en 2015 (Informe Global, Informe de Gobierno Corporativo e Informe de Cuentas Anuales, principalmente), se observa que pese a la adhesión de la compañía al Código de buenas Prácticas Tributarias, la información no es clara, ni es precisa, ni  cuenta con un desglose suficiente que permita evaluar el cumplimiento de los compromisos asumidos por la compañía. No hay un documento independiente de las cuentas anuales dedicado al reporte fiscal. La mayor parte de la información objeto de análisis hay que extraerla de las cuentas anuales que adoptan un lenguaje técnico y difícilmente comprensible para los no expertos en la materia. Amadeus  no sigue los estándares internacionales del country by country que promueven que la empresa presente información país a país de una serie de partidas financieras y de la actividad que realiza en los territorios donde está presente. Tampoco presenta información relevante y material sobre su actividad en territorios considerados paraísos o nichos fiscales.</w:t>
      </w:r>
    </w:p>
    <w:p w14:paraId="5BD64AAF" w14:textId="77777777" w:rsidR="00256EC8" w:rsidRPr="00AD47A4" w:rsidRDefault="00256EC8" w:rsidP="00256EC8">
      <w:pPr>
        <w:jc w:val="both"/>
        <w:rPr>
          <w:rFonts w:ascii="Open Sans" w:hAnsi="Open Sans" w:cs="Open Sans"/>
          <w:sz w:val="20"/>
          <w:szCs w:val="20"/>
        </w:rPr>
      </w:pPr>
    </w:p>
    <w:p w14:paraId="46FBF530"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En la documentación analizada no se han encontrado evidencias de que Amadeus haya establecido un diálogo, más allá de con la agencia tributaria, con sus grupos de interés en relación a los aspectos fiscales.</w:t>
      </w:r>
    </w:p>
    <w:p w14:paraId="4AFA1591" w14:textId="77777777" w:rsidR="00256EC8" w:rsidRPr="00AD47A4" w:rsidRDefault="00256EC8" w:rsidP="00256EC8">
      <w:pPr>
        <w:jc w:val="both"/>
        <w:rPr>
          <w:rFonts w:ascii="Open Sans" w:hAnsi="Open Sans" w:cs="Open Sans"/>
          <w:sz w:val="20"/>
          <w:szCs w:val="20"/>
        </w:rPr>
      </w:pPr>
    </w:p>
    <w:p w14:paraId="771A416D" w14:textId="77777777" w:rsidR="00256EC8" w:rsidRPr="00AD47A4" w:rsidRDefault="00256EC8" w:rsidP="00256EC8">
      <w:pPr>
        <w:jc w:val="both"/>
        <w:rPr>
          <w:rFonts w:ascii="Open Sans" w:hAnsi="Open Sans" w:cs="Open Sans"/>
          <w:sz w:val="20"/>
          <w:szCs w:val="20"/>
        </w:rPr>
      </w:pPr>
      <w:r w:rsidRPr="00AD47A4">
        <w:rPr>
          <w:rFonts w:ascii="Open Sans" w:hAnsi="Open Sans" w:cs="Open Sans"/>
          <w:sz w:val="20"/>
          <w:szCs w:val="20"/>
        </w:rPr>
        <w:t>Existe carencia informativa en cuanto a los incentivos fiscales de Amadeus (deducciones y exenciones fiscales concedidas), a la cooperación con las administraciones tributarias y a la operativa intragrupo (política de compras y fijación de precios, volumen de endeudamiento frente al total o estructura de la propiedad intelectual), todo ello desglosado por países.</w:t>
      </w:r>
    </w:p>
    <w:p w14:paraId="5B03E714" w14:textId="77777777" w:rsidR="00256EC8" w:rsidRPr="00724C1E" w:rsidRDefault="00256EC8" w:rsidP="005A5D6D">
      <w:pPr>
        <w:jc w:val="both"/>
        <w:rPr>
          <w:rFonts w:ascii="Open Sans" w:hAnsi="Open Sans" w:cs="Open Sans"/>
        </w:rPr>
      </w:pPr>
    </w:p>
    <w:p w14:paraId="0C68C4C8" w14:textId="44340DA9" w:rsidR="005A5D6D" w:rsidRDefault="005A5D6D">
      <w:pPr>
        <w:rPr>
          <w:rFonts w:ascii="Open Sans" w:hAnsi="Open Sans" w:cs="Open Sans"/>
          <w:sz w:val="20"/>
          <w:szCs w:val="20"/>
        </w:rPr>
      </w:pPr>
      <w:r>
        <w:rPr>
          <w:rFonts w:ascii="Open Sans" w:hAnsi="Open Sans" w:cs="Open Sans"/>
          <w:sz w:val="20"/>
          <w:szCs w:val="20"/>
        </w:rPr>
        <w:br w:type="page"/>
      </w:r>
    </w:p>
    <w:p w14:paraId="2DB50E53" w14:textId="77777777" w:rsidR="003B3C8B" w:rsidRDefault="003B3C8B" w:rsidP="003B3C8B">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rPr>
      </w:pPr>
      <w:bookmarkStart w:id="110" w:name="DIA"/>
      <w:r w:rsidRPr="00395010">
        <w:rPr>
          <w:rFonts w:ascii="Open Sans" w:hAnsi="Open Sans" w:cs="Arial"/>
          <w:b/>
          <w:caps/>
          <w:color w:val="FFFFFF"/>
        </w:rPr>
        <w:t>DISTRIBUIDORA INTERNACIONAL DE ALIMENTACIÓN S.A.</w:t>
      </w:r>
    </w:p>
    <w:bookmarkEnd w:id="110"/>
    <w:p w14:paraId="15F34D0A" w14:textId="77777777" w:rsidR="003B3C8B" w:rsidRPr="00EE1EF7" w:rsidRDefault="003B3C8B" w:rsidP="003B3C8B">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sidRPr="00EE1EF7">
        <w:rPr>
          <w:rFonts w:ascii="Open Sans" w:hAnsi="Open Sans" w:cs="Arial"/>
          <w:b/>
          <w:i/>
          <w:color w:val="FFFFFF"/>
        </w:rPr>
        <w:t>(</w:t>
      </w:r>
      <w:r>
        <w:rPr>
          <w:rFonts w:ascii="Open Sans" w:hAnsi="Open Sans" w:cs="Arial"/>
          <w:b/>
          <w:i/>
          <w:color w:val="FFFFFF"/>
        </w:rPr>
        <w:t>DIA</w:t>
      </w:r>
      <w:r w:rsidRPr="00EE1EF7">
        <w:rPr>
          <w:rFonts w:ascii="Open Sans" w:hAnsi="Open Sans" w:cs="Arial"/>
          <w:b/>
          <w:i/>
          <w:color w:val="FFFFFF"/>
        </w:rPr>
        <w:t>)</w:t>
      </w:r>
    </w:p>
    <w:p w14:paraId="31DF25AA" w14:textId="77777777" w:rsidR="003B3C8B" w:rsidRDefault="003B3C8B" w:rsidP="003B3C8B">
      <w:pPr>
        <w:spacing w:before="120" w:after="120" w:line="360" w:lineRule="auto"/>
        <w:jc w:val="both"/>
        <w:rPr>
          <w:rFonts w:ascii="Open Sans" w:hAnsi="Open Sans" w:cs="Tahoma"/>
          <w:b/>
          <w:bCs/>
          <w:color w:val="002060"/>
          <w:sz w:val="28"/>
          <w:szCs w:val="28"/>
        </w:rPr>
      </w:pPr>
    </w:p>
    <w:p w14:paraId="0A24264E" w14:textId="77777777" w:rsidR="003E002C" w:rsidRPr="00732FD5" w:rsidRDefault="003E002C" w:rsidP="003E002C">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27DE4478" w14:textId="77777777" w:rsidR="003E002C" w:rsidRDefault="003E002C" w:rsidP="003E002C">
      <w:pPr>
        <w:jc w:val="both"/>
        <w:rPr>
          <w:rFonts w:ascii="Open Sans" w:hAnsi="Open Sans" w:cs="Arial"/>
          <w:sz w:val="22"/>
          <w:szCs w:val="22"/>
          <w:u w:val="single"/>
        </w:rPr>
      </w:pPr>
    </w:p>
    <w:p w14:paraId="14F58A09" w14:textId="77777777" w:rsidR="003E002C" w:rsidRDefault="003E002C" w:rsidP="003E002C">
      <w:pPr>
        <w:autoSpaceDE w:val="0"/>
        <w:autoSpaceDN w:val="0"/>
        <w:adjustRightInd w:val="0"/>
        <w:jc w:val="both"/>
        <w:rPr>
          <w:rFonts w:ascii="Open Sans" w:eastAsia="Calibri" w:hAnsi="Open Sans" w:cs="Open Sans"/>
          <w:sz w:val="20"/>
          <w:szCs w:val="20"/>
        </w:rPr>
      </w:pPr>
      <w:r w:rsidRPr="008F5A79">
        <w:rPr>
          <w:rFonts w:ascii="Open Sans" w:eastAsia="Calibri" w:hAnsi="Open Sans" w:cs="Open Sans"/>
          <w:sz w:val="20"/>
          <w:szCs w:val="20"/>
        </w:rPr>
        <w:t>Distribuidora Internacional de Alimentación, S.A</w:t>
      </w:r>
      <w:r>
        <w:rPr>
          <w:rFonts w:ascii="Open Sans" w:eastAsia="Calibri" w:hAnsi="Open Sans" w:cs="Open Sans"/>
          <w:sz w:val="20"/>
          <w:szCs w:val="20"/>
        </w:rPr>
        <w:t xml:space="preserve">. (DIA) </w:t>
      </w:r>
      <w:r w:rsidRPr="008F5A79">
        <w:rPr>
          <w:rFonts w:ascii="Open Sans" w:eastAsia="Calibri" w:hAnsi="Open Sans" w:cs="Open Sans"/>
          <w:sz w:val="20"/>
          <w:szCs w:val="20"/>
        </w:rPr>
        <w:t>se constituyó en</w:t>
      </w:r>
      <w:r>
        <w:rPr>
          <w:rFonts w:ascii="Open Sans" w:eastAsia="Calibri" w:hAnsi="Open Sans" w:cs="Open Sans"/>
          <w:sz w:val="20"/>
          <w:szCs w:val="20"/>
        </w:rPr>
        <w:t xml:space="preserve"> </w:t>
      </w:r>
      <w:r w:rsidRPr="008F5A79">
        <w:rPr>
          <w:rFonts w:ascii="Open Sans" w:eastAsia="Calibri" w:hAnsi="Open Sans" w:cs="Open Sans"/>
          <w:sz w:val="20"/>
          <w:szCs w:val="20"/>
        </w:rPr>
        <w:t>España el día 24 de julio de 1966 como sociedad an</w:t>
      </w:r>
      <w:r>
        <w:rPr>
          <w:rFonts w:ascii="Open Sans" w:eastAsia="Calibri" w:hAnsi="Open Sans" w:cs="Open Sans"/>
          <w:sz w:val="20"/>
          <w:szCs w:val="20"/>
        </w:rPr>
        <w:t xml:space="preserve">ónima. Su </w:t>
      </w:r>
      <w:r w:rsidRPr="008F5A79">
        <w:rPr>
          <w:rFonts w:ascii="Open Sans" w:eastAsia="Calibri" w:hAnsi="Open Sans" w:cs="Open Sans"/>
          <w:sz w:val="20"/>
          <w:szCs w:val="20"/>
        </w:rPr>
        <w:t>domicilio social y fiscal está situado en Las Rozas de Madrid.</w:t>
      </w:r>
      <w:r>
        <w:rPr>
          <w:rFonts w:ascii="Open Sans" w:eastAsia="Calibri" w:hAnsi="Open Sans" w:cs="Open Sans"/>
          <w:sz w:val="20"/>
          <w:szCs w:val="20"/>
        </w:rPr>
        <w:t xml:space="preserve"> </w:t>
      </w:r>
      <w:r w:rsidRPr="001F1797">
        <w:rPr>
          <w:rFonts w:ascii="Open Sans" w:eastAsia="Calibri" w:hAnsi="Open Sans" w:cs="Open Sans"/>
          <w:sz w:val="20"/>
          <w:szCs w:val="20"/>
        </w:rPr>
        <w:t>Su actividad principal es el comercio al por menor de produc</w:t>
      </w:r>
      <w:r>
        <w:rPr>
          <w:rFonts w:ascii="Open Sans" w:eastAsia="Calibri" w:hAnsi="Open Sans" w:cs="Open Sans"/>
          <w:sz w:val="20"/>
          <w:szCs w:val="20"/>
        </w:rPr>
        <w:t xml:space="preserve">tos de alimentación a través de </w:t>
      </w:r>
      <w:r w:rsidRPr="001F1797">
        <w:rPr>
          <w:rFonts w:ascii="Open Sans" w:eastAsia="Calibri" w:hAnsi="Open Sans" w:cs="Open Sans"/>
          <w:sz w:val="20"/>
          <w:szCs w:val="20"/>
        </w:rPr>
        <w:t>autoservicios, propios o en régimen de franquicia, que utilizan el rót</w:t>
      </w:r>
      <w:r>
        <w:rPr>
          <w:rFonts w:ascii="Open Sans" w:eastAsia="Calibri" w:hAnsi="Open Sans" w:cs="Open Sans"/>
          <w:sz w:val="20"/>
          <w:szCs w:val="20"/>
        </w:rPr>
        <w:t xml:space="preserve">ulo </w:t>
      </w:r>
      <w:r w:rsidRPr="002F0C56">
        <w:rPr>
          <w:rFonts w:ascii="Open Sans" w:eastAsia="Calibri" w:hAnsi="Open Sans" w:cs="Open Sans"/>
          <w:sz w:val="20"/>
          <w:szCs w:val="20"/>
        </w:rPr>
        <w:t>de las enseñas del Grupo DIA</w:t>
      </w:r>
      <w:r>
        <w:rPr>
          <w:rFonts w:ascii="Open Sans" w:eastAsia="Calibri" w:hAnsi="Open Sans" w:cs="Open Sans"/>
          <w:sz w:val="20"/>
          <w:szCs w:val="20"/>
        </w:rPr>
        <w:t xml:space="preserve"> (</w:t>
      </w:r>
      <w:r w:rsidRPr="001D01F7">
        <w:rPr>
          <w:rFonts w:ascii="Open Sans" w:eastAsia="Calibri" w:hAnsi="Open Sans" w:cs="Open Sans"/>
          <w:sz w:val="20"/>
          <w:szCs w:val="20"/>
        </w:rPr>
        <w:t>DIA Market, DIA Fresh y Fresh by DIA, DIA Maxi, La Plaza de</w:t>
      </w:r>
      <w:r>
        <w:rPr>
          <w:rFonts w:ascii="Open Sans" w:eastAsia="Calibri" w:hAnsi="Open Sans" w:cs="Open Sans"/>
          <w:sz w:val="20"/>
          <w:szCs w:val="20"/>
        </w:rPr>
        <w:t xml:space="preserve"> </w:t>
      </w:r>
      <w:r w:rsidRPr="001D01F7">
        <w:rPr>
          <w:rFonts w:ascii="Open Sans" w:eastAsia="Calibri" w:hAnsi="Open Sans" w:cs="Open Sans"/>
          <w:sz w:val="20"/>
          <w:szCs w:val="20"/>
        </w:rPr>
        <w:t>DIA, Max Descuento, Clarel, El Árbol, Cada DIA, Minipreço y Mais Perto</w:t>
      </w:r>
      <w:r>
        <w:rPr>
          <w:rFonts w:ascii="Open Sans" w:eastAsia="Calibri" w:hAnsi="Open Sans" w:cs="Open Sans"/>
          <w:sz w:val="20"/>
          <w:szCs w:val="20"/>
        </w:rPr>
        <w:t>).</w:t>
      </w:r>
    </w:p>
    <w:p w14:paraId="2ABD37F7" w14:textId="77777777" w:rsidR="003E002C" w:rsidRPr="00732FD5" w:rsidRDefault="003E002C" w:rsidP="003E002C">
      <w:pPr>
        <w:jc w:val="both"/>
        <w:rPr>
          <w:rFonts w:ascii="Open Sans" w:hAnsi="Open Sans" w:cs="Arial"/>
          <w:sz w:val="22"/>
          <w:szCs w:val="22"/>
          <w:u w:val="single"/>
        </w:rPr>
      </w:pPr>
    </w:p>
    <w:p w14:paraId="3818B727" w14:textId="77777777" w:rsidR="003E002C" w:rsidRPr="00EE1EF7" w:rsidRDefault="003E002C" w:rsidP="003E002C">
      <w:pPr>
        <w:jc w:val="both"/>
        <w:rPr>
          <w:rFonts w:ascii="Open Sans" w:hAnsi="Open Sans" w:cs="Arial"/>
          <w:sz w:val="20"/>
          <w:szCs w:val="20"/>
        </w:rPr>
      </w:pPr>
      <w:r w:rsidRPr="00EE1EF7">
        <w:rPr>
          <w:rFonts w:ascii="Open Sans" w:hAnsi="Open Sans" w:cs="Arial"/>
          <w:sz w:val="20"/>
          <w:szCs w:val="20"/>
          <w:u w:val="single"/>
        </w:rPr>
        <w:t>Productos/servicios</w:t>
      </w:r>
    </w:p>
    <w:p w14:paraId="27372464" w14:textId="77777777" w:rsidR="003E002C" w:rsidRPr="00EE1EF7" w:rsidRDefault="003E002C" w:rsidP="003E002C">
      <w:pPr>
        <w:jc w:val="both"/>
        <w:rPr>
          <w:rFonts w:ascii="Open Sans" w:hAnsi="Open Sans" w:cs="Arial"/>
          <w:sz w:val="20"/>
          <w:szCs w:val="20"/>
        </w:rPr>
      </w:pPr>
    </w:p>
    <w:p w14:paraId="097BE646" w14:textId="77777777" w:rsidR="003E002C" w:rsidRDefault="003E002C" w:rsidP="003E002C">
      <w:pPr>
        <w:jc w:val="both"/>
        <w:rPr>
          <w:rFonts w:ascii="Open Sans" w:hAnsi="Open Sans" w:cs="Arial"/>
          <w:sz w:val="20"/>
          <w:szCs w:val="20"/>
        </w:rPr>
      </w:pPr>
      <w:r w:rsidRPr="0036347B">
        <w:rPr>
          <w:rFonts w:ascii="Open Sans" w:hAnsi="Open Sans" w:cs="Arial"/>
          <w:sz w:val="20"/>
          <w:szCs w:val="20"/>
        </w:rPr>
        <w:t>DIA ofrece a sus clientes los siguientes productos/ servicios:</w:t>
      </w:r>
    </w:p>
    <w:p w14:paraId="713DCC04" w14:textId="77777777" w:rsidR="003E002C" w:rsidRDefault="003E002C" w:rsidP="003E002C">
      <w:pPr>
        <w:jc w:val="both"/>
        <w:rPr>
          <w:rFonts w:ascii="Open Sans" w:hAnsi="Open Sans" w:cs="Arial"/>
          <w:sz w:val="20"/>
          <w:szCs w:val="20"/>
        </w:rPr>
      </w:pPr>
    </w:p>
    <w:p w14:paraId="6AC8A552" w14:textId="77777777" w:rsidR="003E002C" w:rsidRDefault="003E002C" w:rsidP="000B70C9">
      <w:pPr>
        <w:numPr>
          <w:ilvl w:val="0"/>
          <w:numId w:val="74"/>
        </w:numPr>
        <w:autoSpaceDE w:val="0"/>
        <w:autoSpaceDN w:val="0"/>
        <w:adjustRightInd w:val="0"/>
        <w:jc w:val="both"/>
        <w:rPr>
          <w:rFonts w:ascii="Open Sans" w:eastAsia="Calibri" w:hAnsi="Open Sans" w:cs="Open Sans"/>
          <w:sz w:val="20"/>
          <w:szCs w:val="20"/>
        </w:rPr>
      </w:pPr>
      <w:r w:rsidRPr="00CB17A7">
        <w:rPr>
          <w:rFonts w:ascii="Open Sans" w:eastAsia="Calibri" w:hAnsi="Open Sans" w:cs="Open Sans"/>
          <w:sz w:val="20"/>
          <w:szCs w:val="20"/>
        </w:rPr>
        <w:t>La comercialización al por mayor o por menor en el mercado interno y externo de productos del ramo de alimentación y de cualesquiera otros productos destinados al consumo.</w:t>
      </w:r>
    </w:p>
    <w:p w14:paraId="2E7B1BF9" w14:textId="77777777" w:rsidR="003E002C" w:rsidRDefault="003E002C" w:rsidP="000B70C9">
      <w:pPr>
        <w:numPr>
          <w:ilvl w:val="0"/>
          <w:numId w:val="74"/>
        </w:numPr>
        <w:autoSpaceDE w:val="0"/>
        <w:autoSpaceDN w:val="0"/>
        <w:adjustRightInd w:val="0"/>
        <w:jc w:val="both"/>
        <w:rPr>
          <w:rFonts w:ascii="Open Sans" w:eastAsia="Calibri" w:hAnsi="Open Sans" w:cs="Open Sans"/>
          <w:sz w:val="20"/>
          <w:szCs w:val="20"/>
        </w:rPr>
      </w:pPr>
      <w:r w:rsidRPr="000C1963">
        <w:rPr>
          <w:rFonts w:ascii="Open Sans" w:eastAsia="Calibri" w:hAnsi="Open Sans" w:cs="Open Sans"/>
          <w:sz w:val="20"/>
          <w:szCs w:val="20"/>
        </w:rPr>
        <w:t>La prestación de servicios de colaboración empresarial de todo tipo para la comercialización de productos y servicios de telecomunicaciones, y muy especial</w:t>
      </w:r>
      <w:r>
        <w:rPr>
          <w:rFonts w:ascii="Open Sans" w:eastAsia="Calibri" w:hAnsi="Open Sans" w:cs="Open Sans"/>
          <w:sz w:val="20"/>
          <w:szCs w:val="20"/>
        </w:rPr>
        <w:t>mente de telefonía.</w:t>
      </w:r>
    </w:p>
    <w:p w14:paraId="43ECE990" w14:textId="77777777" w:rsidR="003E002C" w:rsidRPr="000C1963" w:rsidRDefault="003E002C" w:rsidP="000B70C9">
      <w:pPr>
        <w:numPr>
          <w:ilvl w:val="0"/>
          <w:numId w:val="74"/>
        </w:numPr>
        <w:autoSpaceDE w:val="0"/>
        <w:autoSpaceDN w:val="0"/>
        <w:adjustRightInd w:val="0"/>
        <w:jc w:val="both"/>
        <w:rPr>
          <w:rFonts w:ascii="Open Sans" w:eastAsia="Calibri" w:hAnsi="Open Sans" w:cs="Open Sans"/>
          <w:sz w:val="20"/>
          <w:szCs w:val="20"/>
        </w:rPr>
      </w:pPr>
      <w:r w:rsidRPr="000C1963">
        <w:rPr>
          <w:rFonts w:ascii="Open Sans" w:eastAsia="Calibri" w:hAnsi="Open Sans" w:cs="Open Sans"/>
          <w:sz w:val="20"/>
          <w:szCs w:val="20"/>
        </w:rPr>
        <w:t>La realización de actividades relacionadas con comercialización y/o la venta a través de Internet o cualesquiera medios telemáticos de toda clase de productos y ser</w:t>
      </w:r>
      <w:r>
        <w:rPr>
          <w:rFonts w:ascii="Open Sans" w:eastAsia="Calibri" w:hAnsi="Open Sans" w:cs="Open Sans"/>
          <w:sz w:val="20"/>
          <w:szCs w:val="20"/>
        </w:rPr>
        <w:t>vicios de lícito comercio.</w:t>
      </w:r>
    </w:p>
    <w:p w14:paraId="72C90570" w14:textId="77777777" w:rsidR="003E002C" w:rsidRDefault="003E002C" w:rsidP="000B70C9">
      <w:pPr>
        <w:numPr>
          <w:ilvl w:val="0"/>
          <w:numId w:val="74"/>
        </w:numPr>
        <w:autoSpaceDE w:val="0"/>
        <w:autoSpaceDN w:val="0"/>
        <w:adjustRightInd w:val="0"/>
        <w:jc w:val="both"/>
        <w:rPr>
          <w:rFonts w:ascii="Open Sans" w:eastAsia="Calibri" w:hAnsi="Open Sans" w:cs="Open Sans"/>
          <w:sz w:val="20"/>
          <w:szCs w:val="20"/>
        </w:rPr>
      </w:pPr>
      <w:r w:rsidRPr="00CB17A7">
        <w:rPr>
          <w:rFonts w:ascii="Open Sans" w:eastAsia="Calibri" w:hAnsi="Open Sans" w:cs="Open Sans"/>
          <w:sz w:val="20"/>
          <w:szCs w:val="20"/>
        </w:rPr>
        <w:t>La realización de actividades propias de agencias de viajes, tanto mayoristas como minoristas, incluyendo entre otras, la organización y venta de los denominados viajes combinados.</w:t>
      </w:r>
    </w:p>
    <w:p w14:paraId="24E28882" w14:textId="77777777" w:rsidR="003E002C" w:rsidRDefault="003E002C" w:rsidP="000B70C9">
      <w:pPr>
        <w:numPr>
          <w:ilvl w:val="0"/>
          <w:numId w:val="74"/>
        </w:numPr>
        <w:autoSpaceDE w:val="0"/>
        <w:autoSpaceDN w:val="0"/>
        <w:adjustRightInd w:val="0"/>
        <w:jc w:val="both"/>
        <w:rPr>
          <w:rFonts w:ascii="Open Sans" w:eastAsia="Calibri" w:hAnsi="Open Sans" w:cs="Open Sans"/>
          <w:sz w:val="20"/>
          <w:szCs w:val="20"/>
        </w:rPr>
      </w:pPr>
      <w:r w:rsidRPr="00CB17A7">
        <w:rPr>
          <w:rFonts w:ascii="Open Sans" w:eastAsia="Calibri" w:hAnsi="Open Sans" w:cs="Open Sans"/>
          <w:sz w:val="20"/>
          <w:szCs w:val="20"/>
        </w:rPr>
        <w:t>La actividad de distribución al por menor de productos petrolíferos así como la explotación de estaciones de servicio y el comercio al por menor de carburantes y combustibles de venta al público.</w:t>
      </w:r>
    </w:p>
    <w:p w14:paraId="219BAF95" w14:textId="77777777" w:rsidR="003E002C" w:rsidRDefault="003E002C" w:rsidP="000B70C9">
      <w:pPr>
        <w:numPr>
          <w:ilvl w:val="0"/>
          <w:numId w:val="74"/>
        </w:numPr>
        <w:autoSpaceDE w:val="0"/>
        <w:autoSpaceDN w:val="0"/>
        <w:adjustRightInd w:val="0"/>
        <w:jc w:val="both"/>
        <w:rPr>
          <w:rFonts w:ascii="Open Sans" w:eastAsia="Calibri" w:hAnsi="Open Sans" w:cs="Open Sans"/>
          <w:sz w:val="20"/>
          <w:szCs w:val="20"/>
        </w:rPr>
      </w:pPr>
      <w:r w:rsidRPr="00CB17A7">
        <w:rPr>
          <w:rFonts w:ascii="Open Sans" w:eastAsia="Calibri" w:hAnsi="Open Sans" w:cs="Open Sans"/>
          <w:sz w:val="20"/>
          <w:szCs w:val="20"/>
        </w:rPr>
        <w:t>La adquisición, tenencia, disfrute, gestión, administración, y enajenación de valores representativos del capital de entidades residentes y no residentes en territorio españ</w:t>
      </w:r>
      <w:r>
        <w:rPr>
          <w:rFonts w:ascii="Open Sans" w:eastAsia="Calibri" w:hAnsi="Open Sans" w:cs="Open Sans"/>
          <w:sz w:val="20"/>
          <w:szCs w:val="20"/>
        </w:rPr>
        <w:t>ol</w:t>
      </w:r>
      <w:r w:rsidRPr="00CB17A7">
        <w:rPr>
          <w:rFonts w:ascii="Open Sans" w:eastAsia="Calibri" w:hAnsi="Open Sans" w:cs="Open Sans"/>
          <w:sz w:val="20"/>
          <w:szCs w:val="20"/>
        </w:rPr>
        <w:t>.</w:t>
      </w:r>
    </w:p>
    <w:p w14:paraId="6CAB9E20" w14:textId="77777777" w:rsidR="003E002C" w:rsidRDefault="003E002C" w:rsidP="000B70C9">
      <w:pPr>
        <w:numPr>
          <w:ilvl w:val="0"/>
          <w:numId w:val="74"/>
        </w:numPr>
        <w:autoSpaceDE w:val="0"/>
        <w:autoSpaceDN w:val="0"/>
        <w:adjustRightInd w:val="0"/>
        <w:jc w:val="both"/>
        <w:rPr>
          <w:rFonts w:ascii="Open Sans" w:eastAsia="Calibri" w:hAnsi="Open Sans" w:cs="Open Sans"/>
          <w:sz w:val="20"/>
          <w:szCs w:val="20"/>
        </w:rPr>
      </w:pPr>
      <w:r w:rsidRPr="00CB17A7">
        <w:rPr>
          <w:rFonts w:ascii="Open Sans" w:eastAsia="Calibri" w:hAnsi="Open Sans" w:cs="Open Sans"/>
          <w:sz w:val="20"/>
          <w:szCs w:val="20"/>
        </w:rPr>
        <w:t>La dirección, coordinación, asesoramiento y apoyo a sociedades participadas o aquellas sociedades con las que colabore en virtud de relaciones contractuales como contratos de franquicias y similares.</w:t>
      </w:r>
    </w:p>
    <w:p w14:paraId="0EDE17E8" w14:textId="77777777" w:rsidR="003E002C" w:rsidRPr="00CB17A7" w:rsidRDefault="003E002C" w:rsidP="000B70C9">
      <w:pPr>
        <w:numPr>
          <w:ilvl w:val="0"/>
          <w:numId w:val="74"/>
        </w:numPr>
        <w:autoSpaceDE w:val="0"/>
        <w:autoSpaceDN w:val="0"/>
        <w:adjustRightInd w:val="0"/>
        <w:jc w:val="both"/>
        <w:rPr>
          <w:rFonts w:ascii="Open Sans" w:hAnsi="Open Sans" w:cs="Arial"/>
          <w:sz w:val="22"/>
          <w:szCs w:val="22"/>
        </w:rPr>
      </w:pPr>
      <w:r w:rsidRPr="00CB17A7">
        <w:rPr>
          <w:rFonts w:ascii="Open Sans" w:eastAsia="Calibri" w:hAnsi="Open Sans" w:cs="Open Sans"/>
          <w:sz w:val="20"/>
          <w:szCs w:val="20"/>
        </w:rPr>
        <w:t>La realización de actividades de depósito y almacenaje de toda clase de mercancías y productos, tanto para la Sociedad como para otras empresas</w:t>
      </w:r>
      <w:r>
        <w:rPr>
          <w:rFonts w:ascii="Open Sans" w:hAnsi="Open Sans" w:cs="Arial"/>
          <w:sz w:val="20"/>
          <w:szCs w:val="20"/>
        </w:rPr>
        <w:t>.</w:t>
      </w:r>
    </w:p>
    <w:p w14:paraId="7947D082" w14:textId="77777777" w:rsidR="003E002C" w:rsidRPr="00EE1EF7" w:rsidRDefault="003E002C" w:rsidP="003E002C">
      <w:pPr>
        <w:jc w:val="both"/>
        <w:rPr>
          <w:rFonts w:ascii="Open Sans" w:hAnsi="Open Sans" w:cs="Arial"/>
          <w:sz w:val="20"/>
          <w:szCs w:val="20"/>
        </w:rPr>
      </w:pPr>
    </w:p>
    <w:p w14:paraId="5316F207" w14:textId="77777777" w:rsidR="003E002C" w:rsidRPr="00EE1EF7" w:rsidRDefault="003E002C" w:rsidP="003E002C">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324FD87A" w14:textId="77777777" w:rsidR="003E002C" w:rsidRPr="00EE1EF7" w:rsidRDefault="003E002C" w:rsidP="003E002C">
      <w:pPr>
        <w:jc w:val="both"/>
        <w:rPr>
          <w:rFonts w:ascii="Open Sans" w:hAnsi="Open Sans" w:cs="Arial"/>
          <w:sz w:val="20"/>
          <w:szCs w:val="20"/>
        </w:rPr>
      </w:pPr>
    </w:p>
    <w:p w14:paraId="3C30834F" w14:textId="77777777" w:rsidR="003E002C" w:rsidRPr="00914337" w:rsidRDefault="003E002C" w:rsidP="003E002C">
      <w:pPr>
        <w:jc w:val="both"/>
        <w:rPr>
          <w:rFonts w:ascii="Open Sans" w:hAnsi="Open Sans" w:cs="Arial"/>
          <w:sz w:val="20"/>
          <w:szCs w:val="20"/>
        </w:rPr>
      </w:pPr>
      <w:r>
        <w:rPr>
          <w:rFonts w:ascii="Open Sans" w:hAnsi="Open Sans" w:cs="Arial"/>
          <w:sz w:val="20"/>
          <w:szCs w:val="20"/>
        </w:rPr>
        <w:t>A 31 diciembre 2015 DIA</w:t>
      </w:r>
      <w:r w:rsidRPr="00914337">
        <w:rPr>
          <w:rFonts w:ascii="Open Sans" w:hAnsi="Open Sans" w:cs="Arial"/>
          <w:sz w:val="20"/>
          <w:szCs w:val="20"/>
        </w:rPr>
        <w:t xml:space="preserve"> opera o tiene presencia en los siguientes países: </w:t>
      </w:r>
    </w:p>
    <w:p w14:paraId="2C2A3003" w14:textId="77777777" w:rsidR="003E002C" w:rsidRDefault="003E002C" w:rsidP="003E002C">
      <w:pPr>
        <w:numPr>
          <w:ilvl w:val="0"/>
          <w:numId w:val="12"/>
        </w:numPr>
        <w:jc w:val="both"/>
        <w:rPr>
          <w:rFonts w:ascii="Open Sans" w:hAnsi="Open Sans" w:cs="Arial"/>
          <w:sz w:val="20"/>
          <w:szCs w:val="20"/>
        </w:rPr>
      </w:pPr>
      <w:r>
        <w:rPr>
          <w:rFonts w:ascii="Open Sans" w:hAnsi="Open Sans" w:cs="Arial"/>
          <w:sz w:val="20"/>
          <w:szCs w:val="20"/>
        </w:rPr>
        <w:t>España (segmento Iberia).</w:t>
      </w:r>
    </w:p>
    <w:p w14:paraId="6980B369" w14:textId="77777777" w:rsidR="003E002C" w:rsidRPr="003D4A56" w:rsidRDefault="003E002C" w:rsidP="003E002C">
      <w:pPr>
        <w:numPr>
          <w:ilvl w:val="0"/>
          <w:numId w:val="12"/>
        </w:numPr>
        <w:jc w:val="both"/>
        <w:rPr>
          <w:rFonts w:ascii="Open Sans" w:hAnsi="Open Sans" w:cs="Arial"/>
          <w:sz w:val="20"/>
          <w:szCs w:val="20"/>
        </w:rPr>
      </w:pPr>
      <w:r>
        <w:rPr>
          <w:rFonts w:ascii="Open Sans" w:hAnsi="Open Sans" w:cs="Arial"/>
          <w:sz w:val="20"/>
          <w:szCs w:val="20"/>
        </w:rPr>
        <w:t>Portugal (segmento Iberia).</w:t>
      </w:r>
    </w:p>
    <w:p w14:paraId="096FB890" w14:textId="77777777" w:rsidR="003E002C" w:rsidRDefault="003E002C" w:rsidP="003E002C">
      <w:pPr>
        <w:numPr>
          <w:ilvl w:val="0"/>
          <w:numId w:val="12"/>
        </w:numPr>
        <w:jc w:val="both"/>
        <w:rPr>
          <w:rFonts w:ascii="Open Sans" w:hAnsi="Open Sans" w:cs="Arial"/>
          <w:sz w:val="20"/>
          <w:szCs w:val="20"/>
        </w:rPr>
      </w:pPr>
      <w:r>
        <w:rPr>
          <w:rFonts w:ascii="Open Sans" w:hAnsi="Open Sans" w:cs="Arial"/>
          <w:sz w:val="20"/>
          <w:szCs w:val="20"/>
        </w:rPr>
        <w:t>Suiza (segmento Iberia).</w:t>
      </w:r>
    </w:p>
    <w:p w14:paraId="1E0811A1" w14:textId="77777777" w:rsidR="003E002C" w:rsidRDefault="003E002C" w:rsidP="003E002C">
      <w:pPr>
        <w:numPr>
          <w:ilvl w:val="0"/>
          <w:numId w:val="12"/>
        </w:numPr>
        <w:jc w:val="both"/>
        <w:rPr>
          <w:rFonts w:ascii="Open Sans" w:hAnsi="Open Sans" w:cs="Arial"/>
          <w:sz w:val="20"/>
          <w:szCs w:val="20"/>
        </w:rPr>
      </w:pPr>
      <w:r>
        <w:rPr>
          <w:rFonts w:ascii="Open Sans" w:hAnsi="Open Sans" w:cs="Arial"/>
          <w:sz w:val="20"/>
          <w:szCs w:val="20"/>
        </w:rPr>
        <w:t>Argentina (segmento Países Emergentes).</w:t>
      </w:r>
    </w:p>
    <w:p w14:paraId="36991280" w14:textId="77777777" w:rsidR="003E002C" w:rsidRPr="003D4A56" w:rsidRDefault="003E002C" w:rsidP="003E002C">
      <w:pPr>
        <w:numPr>
          <w:ilvl w:val="0"/>
          <w:numId w:val="12"/>
        </w:numPr>
        <w:jc w:val="both"/>
        <w:rPr>
          <w:rFonts w:ascii="Open Sans" w:hAnsi="Open Sans" w:cs="Arial"/>
          <w:sz w:val="20"/>
          <w:szCs w:val="20"/>
        </w:rPr>
      </w:pPr>
      <w:r w:rsidRPr="003D4A56">
        <w:rPr>
          <w:rFonts w:ascii="Open Sans" w:hAnsi="Open Sans" w:cs="Arial"/>
          <w:sz w:val="20"/>
          <w:szCs w:val="20"/>
        </w:rPr>
        <w:t>Brasil</w:t>
      </w:r>
      <w:r>
        <w:rPr>
          <w:rFonts w:ascii="Open Sans" w:hAnsi="Open Sans" w:cs="Arial"/>
          <w:sz w:val="20"/>
          <w:szCs w:val="20"/>
        </w:rPr>
        <w:t xml:space="preserve"> (segmento Países Emergentes).</w:t>
      </w:r>
    </w:p>
    <w:p w14:paraId="29677724" w14:textId="77777777" w:rsidR="003E002C" w:rsidRDefault="003E002C" w:rsidP="003E002C">
      <w:pPr>
        <w:numPr>
          <w:ilvl w:val="0"/>
          <w:numId w:val="12"/>
        </w:numPr>
        <w:jc w:val="both"/>
        <w:rPr>
          <w:rFonts w:ascii="Open Sans" w:hAnsi="Open Sans" w:cs="Arial"/>
          <w:sz w:val="20"/>
          <w:szCs w:val="20"/>
        </w:rPr>
      </w:pPr>
      <w:r>
        <w:rPr>
          <w:rFonts w:ascii="Open Sans" w:hAnsi="Open Sans" w:cs="Arial"/>
          <w:sz w:val="20"/>
          <w:szCs w:val="20"/>
        </w:rPr>
        <w:t>China (segmento Países Emergentes).</w:t>
      </w:r>
    </w:p>
    <w:p w14:paraId="0152743A" w14:textId="77777777" w:rsidR="003E002C" w:rsidRDefault="003E002C" w:rsidP="003E002C">
      <w:pPr>
        <w:jc w:val="both"/>
        <w:rPr>
          <w:rFonts w:ascii="Open Sans" w:hAnsi="Open Sans" w:cs="Arial"/>
          <w:sz w:val="20"/>
          <w:szCs w:val="20"/>
        </w:rPr>
      </w:pPr>
    </w:p>
    <w:p w14:paraId="534187DF" w14:textId="77777777" w:rsidR="003E002C" w:rsidRDefault="003E002C" w:rsidP="003E002C">
      <w:p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E</w:t>
      </w:r>
      <w:r w:rsidRPr="0017455C">
        <w:rPr>
          <w:rFonts w:ascii="Open Sans" w:eastAsia="Calibri" w:hAnsi="Open Sans" w:cs="Open Sans"/>
          <w:sz w:val="20"/>
          <w:szCs w:val="20"/>
        </w:rPr>
        <w:t>l Grupo está organizado en unidades de negocios sobre la base de los países donde</w:t>
      </w:r>
      <w:r>
        <w:rPr>
          <w:rFonts w:ascii="Open Sans" w:eastAsia="Calibri" w:hAnsi="Open Sans" w:cs="Open Sans"/>
          <w:sz w:val="20"/>
          <w:szCs w:val="20"/>
        </w:rPr>
        <w:t xml:space="preserve"> </w:t>
      </w:r>
      <w:r w:rsidRPr="0017455C">
        <w:rPr>
          <w:rFonts w:ascii="Open Sans" w:eastAsia="Calibri" w:hAnsi="Open Sans" w:cs="Open Sans"/>
          <w:sz w:val="20"/>
          <w:szCs w:val="20"/>
        </w:rPr>
        <w:t>opera</w:t>
      </w:r>
      <w:r>
        <w:rPr>
          <w:rFonts w:ascii="Open Sans" w:eastAsia="Calibri" w:hAnsi="Open Sans" w:cs="Open Sans"/>
          <w:sz w:val="20"/>
          <w:szCs w:val="20"/>
        </w:rPr>
        <w:t>: segmento Iberia y segmento de Países Emergentes.</w:t>
      </w:r>
      <w:r w:rsidRPr="0017455C">
        <w:rPr>
          <w:rFonts w:ascii="Open Sans" w:eastAsia="Calibri" w:hAnsi="Open Sans" w:cs="Open Sans"/>
          <w:sz w:val="20"/>
          <w:szCs w:val="20"/>
        </w:rPr>
        <w:t xml:space="preserve"> </w:t>
      </w:r>
      <w:r>
        <w:rPr>
          <w:rFonts w:ascii="Open Sans" w:eastAsia="Calibri" w:hAnsi="Open Sans" w:cs="Open Sans"/>
          <w:sz w:val="20"/>
          <w:szCs w:val="20"/>
        </w:rPr>
        <w:t>El segmento Iberia</w:t>
      </w:r>
      <w:r w:rsidRPr="00AC4495">
        <w:rPr>
          <w:rFonts w:ascii="Open Sans" w:eastAsia="Calibri" w:hAnsi="Open Sans" w:cs="Open Sans"/>
          <w:sz w:val="20"/>
          <w:szCs w:val="20"/>
        </w:rPr>
        <w:t xml:space="preserve"> está compuesto por España, Portugal y</w:t>
      </w:r>
      <w:r>
        <w:rPr>
          <w:rFonts w:ascii="Open Sans" w:eastAsia="Calibri" w:hAnsi="Open Sans" w:cs="Open Sans"/>
          <w:sz w:val="20"/>
          <w:szCs w:val="20"/>
        </w:rPr>
        <w:t xml:space="preserve"> Suiza. El segmento</w:t>
      </w:r>
      <w:r w:rsidRPr="00AC4495">
        <w:rPr>
          <w:rFonts w:ascii="Open Sans" w:eastAsia="Calibri" w:hAnsi="Open Sans" w:cs="Open Sans"/>
          <w:sz w:val="20"/>
          <w:szCs w:val="20"/>
        </w:rPr>
        <w:t xml:space="preserve"> Países E</w:t>
      </w:r>
      <w:r>
        <w:rPr>
          <w:rFonts w:ascii="Open Sans" w:eastAsia="Calibri" w:hAnsi="Open Sans" w:cs="Open Sans"/>
          <w:sz w:val="20"/>
          <w:szCs w:val="20"/>
        </w:rPr>
        <w:t>mergentes</w:t>
      </w:r>
      <w:r w:rsidRPr="00AC4495">
        <w:rPr>
          <w:rFonts w:ascii="Open Sans" w:eastAsia="Calibri" w:hAnsi="Open Sans" w:cs="Open Sans"/>
          <w:sz w:val="20"/>
          <w:szCs w:val="20"/>
        </w:rPr>
        <w:t xml:space="preserve"> está compuesto por Brasil, Arg</w:t>
      </w:r>
      <w:r>
        <w:rPr>
          <w:rFonts w:ascii="Open Sans" w:eastAsia="Calibri" w:hAnsi="Open Sans" w:cs="Open Sans"/>
          <w:sz w:val="20"/>
          <w:szCs w:val="20"/>
        </w:rPr>
        <w:t xml:space="preserve">entina y China; estos países se caracterizan </w:t>
      </w:r>
      <w:r w:rsidRPr="00AC4495">
        <w:rPr>
          <w:rFonts w:ascii="Open Sans" w:eastAsia="Calibri" w:hAnsi="Open Sans" w:cs="Open Sans"/>
          <w:sz w:val="20"/>
          <w:szCs w:val="20"/>
        </w:rPr>
        <w:t>por un fuerte potencial de expansión.</w:t>
      </w:r>
    </w:p>
    <w:p w14:paraId="140655B3" w14:textId="77777777" w:rsidR="003E002C" w:rsidRDefault="003E002C" w:rsidP="003E002C">
      <w:pPr>
        <w:autoSpaceDE w:val="0"/>
        <w:autoSpaceDN w:val="0"/>
        <w:adjustRightInd w:val="0"/>
        <w:jc w:val="both"/>
        <w:rPr>
          <w:rFonts w:ascii="Open Sans" w:eastAsia="Calibri" w:hAnsi="Open Sans" w:cs="Open Sans"/>
          <w:sz w:val="20"/>
          <w:szCs w:val="20"/>
        </w:rPr>
      </w:pPr>
    </w:p>
    <w:p w14:paraId="5212713E" w14:textId="77777777" w:rsidR="003E002C" w:rsidRDefault="003E002C" w:rsidP="003E002C">
      <w:pPr>
        <w:autoSpaceDE w:val="0"/>
        <w:autoSpaceDN w:val="0"/>
        <w:adjustRightInd w:val="0"/>
        <w:rPr>
          <w:rFonts w:ascii="Open Sans" w:eastAsia="Calibri" w:hAnsi="Open Sans" w:cs="Open Sans"/>
          <w:sz w:val="20"/>
          <w:szCs w:val="20"/>
        </w:rPr>
      </w:pPr>
      <w:r>
        <w:rPr>
          <w:rFonts w:ascii="Open Sans" w:eastAsia="Calibri" w:hAnsi="Open Sans" w:cs="Open Sans"/>
          <w:sz w:val="20"/>
          <w:szCs w:val="20"/>
        </w:rPr>
        <w:t>La composición de las tiendas por países del grupo presenta la siguiente distribución (a 31 diciembre 2015):</w:t>
      </w:r>
    </w:p>
    <w:p w14:paraId="288F40B9" w14:textId="77777777" w:rsidR="003E002C" w:rsidRDefault="003E002C" w:rsidP="003E002C">
      <w:pPr>
        <w:autoSpaceDE w:val="0"/>
        <w:autoSpaceDN w:val="0"/>
        <w:adjustRightInd w:val="0"/>
        <w:jc w:val="both"/>
        <w:rPr>
          <w:rFonts w:ascii="Open Sans" w:eastAsia="Calibri" w:hAnsi="Open Sans" w:cs="Open Sans"/>
          <w:sz w:val="20"/>
          <w:szCs w:val="20"/>
        </w:rPr>
      </w:pPr>
    </w:p>
    <w:p w14:paraId="1AB2D3F3" w14:textId="77777777" w:rsidR="003E002C" w:rsidRPr="00310D63" w:rsidRDefault="003E002C" w:rsidP="003E002C">
      <w:pPr>
        <w:numPr>
          <w:ilvl w:val="0"/>
          <w:numId w:val="12"/>
        </w:num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 xml:space="preserve">España: 4.941 tiendas (+3,4% vs. 2014) con una plantilla media de 28.765 </w:t>
      </w:r>
      <w:r w:rsidRPr="00310D63">
        <w:rPr>
          <w:rFonts w:ascii="Open Sans" w:eastAsia="Calibri" w:hAnsi="Open Sans" w:cs="Open Sans"/>
          <w:sz w:val="20"/>
          <w:szCs w:val="20"/>
        </w:rPr>
        <w:t>(+</w:t>
      </w:r>
      <w:r>
        <w:rPr>
          <w:rFonts w:ascii="Open Sans" w:eastAsia="Calibri" w:hAnsi="Open Sans" w:cs="Open Sans"/>
          <w:sz w:val="20"/>
          <w:szCs w:val="20"/>
        </w:rPr>
        <w:t>23,9</w:t>
      </w:r>
      <w:r w:rsidRPr="00310D63">
        <w:rPr>
          <w:rFonts w:ascii="Open Sans" w:eastAsia="Calibri" w:hAnsi="Open Sans" w:cs="Open Sans"/>
          <w:sz w:val="20"/>
          <w:szCs w:val="20"/>
        </w:rPr>
        <w:t>% vs. 201</w:t>
      </w:r>
      <w:r>
        <w:rPr>
          <w:rFonts w:ascii="Open Sans" w:eastAsia="Calibri" w:hAnsi="Open Sans" w:cs="Open Sans"/>
          <w:sz w:val="20"/>
          <w:szCs w:val="20"/>
        </w:rPr>
        <w:t>4</w:t>
      </w:r>
      <w:r w:rsidRPr="00310D63">
        <w:rPr>
          <w:rFonts w:ascii="Open Sans" w:eastAsia="Calibri" w:hAnsi="Open Sans" w:cs="Open Sans"/>
          <w:sz w:val="20"/>
          <w:szCs w:val="20"/>
        </w:rPr>
        <w:t>).</w:t>
      </w:r>
    </w:p>
    <w:p w14:paraId="5979C37A" w14:textId="77777777" w:rsidR="003E002C" w:rsidRDefault="003E002C" w:rsidP="003E002C">
      <w:pPr>
        <w:numPr>
          <w:ilvl w:val="0"/>
          <w:numId w:val="12"/>
        </w:num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Portugal: 621 tiendas (-2,1% vs. 2014) con una plantilla media de 3.716 (+10,7% vs. 2014).</w:t>
      </w:r>
    </w:p>
    <w:p w14:paraId="2F4D13FC" w14:textId="77777777" w:rsidR="003E002C" w:rsidRDefault="003E002C" w:rsidP="003E002C">
      <w:pPr>
        <w:numPr>
          <w:ilvl w:val="0"/>
          <w:numId w:val="12"/>
        </w:num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Argentina: 846 tiendas (+16,9% vs. 2014) con una plantilla media de 4.811  (+5,3% vs. 2014).</w:t>
      </w:r>
    </w:p>
    <w:p w14:paraId="3B047D45" w14:textId="77777777" w:rsidR="003E002C" w:rsidRDefault="003E002C" w:rsidP="003E002C">
      <w:pPr>
        <w:numPr>
          <w:ilvl w:val="0"/>
          <w:numId w:val="12"/>
        </w:num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Brasil: 929 tiendas (+16,3% vs. 2014) con una plantilla media de 7.633  (+ 0,3% vs. 2014).</w:t>
      </w:r>
    </w:p>
    <w:p w14:paraId="364687EC" w14:textId="77777777" w:rsidR="003E002C" w:rsidRDefault="003E002C" w:rsidP="003E002C">
      <w:pPr>
        <w:numPr>
          <w:ilvl w:val="0"/>
          <w:numId w:val="12"/>
        </w:numPr>
        <w:autoSpaceDE w:val="0"/>
        <w:autoSpaceDN w:val="0"/>
        <w:adjustRightInd w:val="0"/>
        <w:jc w:val="both"/>
        <w:rPr>
          <w:rFonts w:ascii="Open Sans" w:eastAsia="Calibri" w:hAnsi="Open Sans" w:cs="Open Sans"/>
          <w:sz w:val="20"/>
          <w:szCs w:val="20"/>
        </w:rPr>
      </w:pPr>
      <w:r>
        <w:rPr>
          <w:rFonts w:ascii="Open Sans" w:eastAsia="Calibri" w:hAnsi="Open Sans" w:cs="Open Sans"/>
          <w:sz w:val="20"/>
          <w:szCs w:val="20"/>
        </w:rPr>
        <w:t>China: 381 tiendas (+3,5% vs. 2014) con una plantilla media de 1.333 (-30,0% vs. 2014).</w:t>
      </w:r>
    </w:p>
    <w:p w14:paraId="4AD949FE" w14:textId="77777777" w:rsidR="003E002C" w:rsidRDefault="003E002C" w:rsidP="003E002C">
      <w:pPr>
        <w:autoSpaceDE w:val="0"/>
        <w:autoSpaceDN w:val="0"/>
        <w:adjustRightInd w:val="0"/>
        <w:jc w:val="both"/>
        <w:rPr>
          <w:rFonts w:ascii="Open Sans" w:eastAsia="Calibri" w:hAnsi="Open Sans" w:cs="Open Sans"/>
          <w:sz w:val="20"/>
          <w:szCs w:val="20"/>
        </w:rPr>
      </w:pPr>
    </w:p>
    <w:p w14:paraId="0CF86646" w14:textId="77777777" w:rsidR="003E002C" w:rsidRDefault="003E002C" w:rsidP="003E002C">
      <w:pPr>
        <w:jc w:val="both"/>
        <w:rPr>
          <w:rFonts w:ascii="Open Sans" w:hAnsi="Open Sans" w:cs="Arial"/>
          <w:sz w:val="20"/>
          <w:szCs w:val="20"/>
          <w:u w:val="single"/>
        </w:rPr>
      </w:pPr>
      <w:r>
        <w:rPr>
          <w:rFonts w:ascii="Open Sans" w:hAnsi="Open Sans" w:cs="Arial"/>
          <w:sz w:val="20"/>
          <w:szCs w:val="20"/>
          <w:u w:val="single"/>
        </w:rPr>
        <w:t>Cifras relevantes de la empresa:</w:t>
      </w:r>
    </w:p>
    <w:p w14:paraId="30784C78" w14:textId="77777777" w:rsidR="003E002C" w:rsidRDefault="003E002C" w:rsidP="003E002C">
      <w:pPr>
        <w:jc w:val="both"/>
        <w:rPr>
          <w:rFonts w:ascii="Open Sans" w:hAnsi="Open Sans" w:cs="Arial"/>
          <w:sz w:val="20"/>
          <w:szCs w:val="20"/>
          <w:u w:val="single"/>
        </w:rPr>
      </w:pPr>
    </w:p>
    <w:p w14:paraId="121A648C" w14:textId="77777777" w:rsidR="003E002C" w:rsidRDefault="003E002C" w:rsidP="003E002C">
      <w:pPr>
        <w:jc w:val="both"/>
        <w:rPr>
          <w:rFonts w:ascii="Open Sans" w:hAnsi="Open Sans" w:cs="Arial"/>
          <w:sz w:val="20"/>
          <w:szCs w:val="20"/>
        </w:rPr>
      </w:pPr>
      <w:r>
        <w:rPr>
          <w:rFonts w:ascii="Open Sans" w:hAnsi="Open Sans" w:cs="Arial"/>
          <w:sz w:val="20"/>
          <w:szCs w:val="20"/>
        </w:rPr>
        <w:t>DIA</w:t>
      </w:r>
      <w:r w:rsidRPr="009E6F04">
        <w:rPr>
          <w:rFonts w:ascii="Open Sans" w:hAnsi="Open Sans" w:cs="Arial"/>
          <w:sz w:val="20"/>
          <w:szCs w:val="20"/>
        </w:rPr>
        <w:t xml:space="preserve"> ha obtenido una facturación en 2015 de </w:t>
      </w:r>
      <w:r>
        <w:rPr>
          <w:rFonts w:ascii="Open Sans" w:hAnsi="Open Sans" w:cs="Arial"/>
          <w:sz w:val="20"/>
          <w:szCs w:val="20"/>
        </w:rPr>
        <w:t>8.925 millones de euros lo que le ha generado un beneficio antes de impuestos al grupo consolidado de 218 millones de euros.</w:t>
      </w:r>
    </w:p>
    <w:p w14:paraId="1990173E" w14:textId="77777777" w:rsidR="003E002C" w:rsidRDefault="003E002C" w:rsidP="003E002C">
      <w:pPr>
        <w:jc w:val="both"/>
        <w:rPr>
          <w:rFonts w:ascii="Open Sans" w:hAnsi="Open Sans" w:cs="Arial"/>
          <w:sz w:val="20"/>
          <w:szCs w:val="20"/>
        </w:rPr>
      </w:pPr>
    </w:p>
    <w:p w14:paraId="47D86AD5" w14:textId="77777777" w:rsidR="003E002C" w:rsidRDefault="003E002C" w:rsidP="003E002C">
      <w:pPr>
        <w:jc w:val="both"/>
        <w:rPr>
          <w:rFonts w:ascii="Open Sans" w:hAnsi="Open Sans" w:cs="Arial"/>
          <w:sz w:val="20"/>
          <w:szCs w:val="20"/>
          <w:u w:val="single"/>
        </w:rPr>
      </w:pPr>
      <w:r w:rsidRPr="009E6F04">
        <w:rPr>
          <w:rFonts w:ascii="Open Sans" w:hAnsi="Open Sans" w:cs="Arial"/>
          <w:sz w:val="20"/>
          <w:szCs w:val="20"/>
        </w:rPr>
        <w:t xml:space="preserve">Al </w:t>
      </w:r>
      <w:r>
        <w:rPr>
          <w:rFonts w:ascii="Open Sans" w:hAnsi="Open Sans" w:cs="Arial"/>
          <w:sz w:val="20"/>
          <w:szCs w:val="20"/>
        </w:rPr>
        <w:t xml:space="preserve">cierre del ejercicio </w:t>
      </w:r>
      <w:r w:rsidRPr="009E6F04">
        <w:rPr>
          <w:rFonts w:ascii="Open Sans" w:hAnsi="Open Sans" w:cs="Arial"/>
          <w:sz w:val="20"/>
          <w:szCs w:val="20"/>
        </w:rPr>
        <w:t xml:space="preserve">el grupo cuenta con un total de </w:t>
      </w:r>
      <w:r>
        <w:rPr>
          <w:rFonts w:ascii="Open Sans" w:hAnsi="Open Sans" w:cs="Arial"/>
          <w:sz w:val="20"/>
          <w:szCs w:val="20"/>
        </w:rPr>
        <w:t xml:space="preserve">45.732 </w:t>
      </w:r>
      <w:r w:rsidRPr="009E6F04">
        <w:rPr>
          <w:rFonts w:ascii="Open Sans" w:hAnsi="Open Sans" w:cs="Arial"/>
          <w:sz w:val="20"/>
          <w:szCs w:val="20"/>
        </w:rPr>
        <w:t>empleados.</w:t>
      </w:r>
    </w:p>
    <w:p w14:paraId="548747E4" w14:textId="77777777" w:rsidR="003E002C" w:rsidRDefault="003E002C" w:rsidP="003E002C">
      <w:pPr>
        <w:jc w:val="both"/>
        <w:rPr>
          <w:rFonts w:ascii="Open Sans" w:hAnsi="Open Sans" w:cs="Arial"/>
          <w:sz w:val="20"/>
          <w:szCs w:val="20"/>
          <w:u w:val="single"/>
        </w:rPr>
      </w:pPr>
    </w:p>
    <w:p w14:paraId="64DDDFDA" w14:textId="77777777" w:rsidR="003E002C" w:rsidRPr="00EE1EF7" w:rsidRDefault="003E002C" w:rsidP="003E002C">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2EE188DC" w14:textId="77777777" w:rsidR="003E002C" w:rsidRPr="00EE1EF7" w:rsidRDefault="003E002C" w:rsidP="003E002C">
      <w:pPr>
        <w:jc w:val="both"/>
        <w:rPr>
          <w:rFonts w:ascii="Open Sans" w:hAnsi="Open Sans" w:cs="Arial"/>
          <w:sz w:val="20"/>
          <w:szCs w:val="20"/>
          <w:u w:val="single"/>
        </w:rPr>
      </w:pPr>
    </w:p>
    <w:p w14:paraId="1D4C3185" w14:textId="77777777" w:rsidR="003E002C" w:rsidRDefault="003E002C" w:rsidP="003E002C">
      <w:pPr>
        <w:jc w:val="both"/>
        <w:rPr>
          <w:rFonts w:ascii="Open Sans" w:hAnsi="Open Sans" w:cs="Arial"/>
          <w:sz w:val="20"/>
          <w:szCs w:val="20"/>
        </w:rPr>
      </w:pPr>
      <w:r>
        <w:rPr>
          <w:rFonts w:ascii="Open Sans" w:hAnsi="Open Sans" w:cs="Arial"/>
          <w:sz w:val="20"/>
          <w:szCs w:val="20"/>
        </w:rPr>
        <w:t>En los documentos analizados no se encuentra evidencia de que DIA en el ejercicio 2015 estuviese adherida a estándares</w:t>
      </w:r>
      <w:r w:rsidRPr="00EE1EF7">
        <w:rPr>
          <w:rFonts w:ascii="Open Sans" w:hAnsi="Open Sans" w:cs="Arial"/>
          <w:sz w:val="20"/>
          <w:szCs w:val="20"/>
        </w:rPr>
        <w:t xml:space="preserve"> </w:t>
      </w:r>
      <w:r>
        <w:rPr>
          <w:rFonts w:ascii="Open Sans" w:hAnsi="Open Sans" w:cs="Arial"/>
          <w:sz w:val="20"/>
          <w:szCs w:val="20"/>
        </w:rPr>
        <w:t>específicos sobre</w:t>
      </w:r>
      <w:r w:rsidRPr="00EE1EF7">
        <w:rPr>
          <w:rFonts w:ascii="Open Sans" w:hAnsi="Open Sans" w:cs="Arial"/>
          <w:sz w:val="20"/>
          <w:szCs w:val="20"/>
        </w:rPr>
        <w:t xml:space="preserve"> </w:t>
      </w:r>
      <w:r>
        <w:rPr>
          <w:rFonts w:ascii="Open Sans" w:hAnsi="Open Sans" w:cs="Arial"/>
          <w:sz w:val="20"/>
          <w:szCs w:val="20"/>
        </w:rPr>
        <w:t>fiscalidad responsable ni de que participase en iniciativas de cumplimiento cooperativo en el ámbito de la fiscalidad con Administraciones Tributarias.</w:t>
      </w:r>
    </w:p>
    <w:p w14:paraId="0F148DBE" w14:textId="77777777" w:rsidR="003E002C" w:rsidRDefault="003E002C" w:rsidP="003E002C">
      <w:pPr>
        <w:rPr>
          <w:rFonts w:ascii="Open Sans" w:hAnsi="Open Sans" w:cs="Arial"/>
          <w:sz w:val="20"/>
          <w:szCs w:val="20"/>
        </w:rPr>
      </w:pPr>
      <w:r>
        <w:rPr>
          <w:rFonts w:ascii="Open Sans" w:hAnsi="Open Sans" w:cs="Arial"/>
          <w:sz w:val="20"/>
          <w:szCs w:val="20"/>
        </w:rPr>
        <w:br w:type="page"/>
      </w:r>
    </w:p>
    <w:p w14:paraId="228E5E02" w14:textId="77777777" w:rsidR="003E002C" w:rsidRDefault="003E002C" w:rsidP="003E002C">
      <w:pPr>
        <w:jc w:val="both"/>
        <w:rPr>
          <w:rFonts w:ascii="Open Sans" w:hAnsi="Open Sans" w:cs="Arial"/>
          <w:sz w:val="20"/>
          <w:szCs w:val="20"/>
        </w:rPr>
      </w:pPr>
    </w:p>
    <w:p w14:paraId="4AB93E1B" w14:textId="77777777" w:rsidR="003E002C" w:rsidRDefault="003E002C" w:rsidP="003E002C">
      <w:pPr>
        <w:jc w:val="both"/>
        <w:rPr>
          <w:rFonts w:ascii="Open Sans" w:hAnsi="Open Sans" w:cs="Arial"/>
          <w:sz w:val="20"/>
          <w:szCs w:val="20"/>
          <w:u w:val="single"/>
        </w:rPr>
      </w:pPr>
    </w:p>
    <w:p w14:paraId="3F90614F" w14:textId="77777777" w:rsidR="003E002C" w:rsidRPr="00EE1EF7" w:rsidRDefault="003E002C" w:rsidP="003E002C">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20F1E2D3" w14:textId="77777777" w:rsidR="003E002C" w:rsidRPr="00EE1EF7" w:rsidRDefault="003E002C" w:rsidP="003E002C">
      <w:pPr>
        <w:ind w:firstLine="709"/>
        <w:jc w:val="both"/>
        <w:rPr>
          <w:rFonts w:ascii="Open Sans" w:hAnsi="Open Sans" w:cs="Arial"/>
          <w:sz w:val="20"/>
          <w:szCs w:val="20"/>
        </w:rPr>
      </w:pPr>
    </w:p>
    <w:p w14:paraId="7A978B4C" w14:textId="77777777" w:rsidR="003E002C" w:rsidRPr="00EE1EF7" w:rsidRDefault="003E002C" w:rsidP="003E002C">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22C7C9DD" w14:textId="77777777" w:rsidR="003E002C" w:rsidRPr="00732FD5" w:rsidRDefault="003E002C" w:rsidP="003E002C">
      <w:pPr>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3E002C" w:rsidRPr="00732FD5" w14:paraId="1472D625" w14:textId="77777777" w:rsidTr="003E002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6597E24C" w14:textId="77777777" w:rsidR="003E002C" w:rsidRPr="00732FD5" w:rsidRDefault="003E002C" w:rsidP="003E002C">
            <w:pPr>
              <w:jc w:val="center"/>
              <w:rPr>
                <w:rFonts w:ascii="Open Sans" w:hAnsi="Open Sans" w:cs="Arial"/>
                <w:b/>
                <w:sz w:val="20"/>
                <w:szCs w:val="22"/>
              </w:rPr>
            </w:pPr>
            <w:r w:rsidRPr="00732FD5">
              <w:rPr>
                <w:rFonts w:ascii="Open Sans" w:hAnsi="Open Sans" w:cs="Arial"/>
                <w:b/>
                <w:sz w:val="20"/>
                <w:szCs w:val="22"/>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0ED17499" w14:textId="77777777" w:rsidR="003E002C" w:rsidRPr="00732FD5" w:rsidRDefault="003E002C" w:rsidP="003E002C">
            <w:pPr>
              <w:jc w:val="center"/>
              <w:rPr>
                <w:rFonts w:ascii="Open Sans" w:hAnsi="Open Sans" w:cs="Arial"/>
                <w:b/>
                <w:sz w:val="20"/>
                <w:szCs w:val="22"/>
              </w:rPr>
            </w:pPr>
            <w:r w:rsidRPr="00732FD5">
              <w:rPr>
                <w:rFonts w:ascii="Open Sans" w:hAnsi="Open Sans" w:cs="Arial"/>
                <w:b/>
                <w:sz w:val="20"/>
                <w:szCs w:val="22"/>
              </w:rPr>
              <w:t>OBSERVACIONES</w:t>
            </w:r>
          </w:p>
        </w:tc>
      </w:tr>
      <w:tr w:rsidR="003E002C" w:rsidRPr="00732FD5" w14:paraId="75B33B1F" w14:textId="77777777" w:rsidTr="003E002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48E04A3"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Cuentas anuales consolidadas. Informe de Gestión consolidado</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754A7B9" w14:textId="77777777" w:rsidR="003E002C" w:rsidRPr="009651ED" w:rsidRDefault="003E002C" w:rsidP="003E002C">
            <w:pPr>
              <w:rPr>
                <w:rFonts w:ascii="Calibri" w:hAnsi="Calibri"/>
                <w:color w:val="0000FF"/>
                <w:sz w:val="20"/>
                <w:szCs w:val="20"/>
                <w:u w:val="single"/>
              </w:rPr>
            </w:pPr>
          </w:p>
        </w:tc>
      </w:tr>
      <w:tr w:rsidR="003E002C" w:rsidRPr="00732FD5" w14:paraId="5E6D79DF" w14:textId="77777777" w:rsidTr="003E002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7F00912"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Informe de Desarrollo Sostenible</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E98FEA2" w14:textId="77777777" w:rsidR="003E002C" w:rsidRPr="009651ED" w:rsidRDefault="003E002C" w:rsidP="003E002C">
            <w:pPr>
              <w:rPr>
                <w:rFonts w:ascii="Calibri" w:hAnsi="Calibri"/>
                <w:color w:val="0000FF"/>
                <w:sz w:val="20"/>
                <w:szCs w:val="20"/>
                <w:u w:val="single"/>
              </w:rPr>
            </w:pPr>
          </w:p>
        </w:tc>
      </w:tr>
      <w:tr w:rsidR="003E002C" w:rsidRPr="00732FD5" w14:paraId="62BDB8F7" w14:textId="77777777" w:rsidTr="003E002C">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8E944DE"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Informe Anual de Gobierno Corporativo de las sociedades anónimas cotizadas.</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803BEDC" w14:textId="77777777" w:rsidR="003E002C" w:rsidRPr="009651ED" w:rsidRDefault="003E002C" w:rsidP="003E002C">
            <w:pPr>
              <w:rPr>
                <w:rFonts w:ascii="Calibri" w:hAnsi="Calibri"/>
                <w:color w:val="0000FF"/>
                <w:sz w:val="20"/>
                <w:szCs w:val="20"/>
                <w:u w:val="single"/>
              </w:rPr>
            </w:pPr>
          </w:p>
        </w:tc>
      </w:tr>
      <w:tr w:rsidR="003E002C" w:rsidRPr="00732FD5" w14:paraId="42A70712" w14:textId="77777777" w:rsidTr="003E002C">
        <w:trPr>
          <w:trHeight w:val="179"/>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36DBAAB"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Política para la prevención de delitos y anticorrupción</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39EEAEB" w14:textId="77777777" w:rsidR="003E002C" w:rsidRPr="009651ED" w:rsidRDefault="003E002C" w:rsidP="003E002C">
            <w:pPr>
              <w:rPr>
                <w:rFonts w:ascii="Calibri" w:hAnsi="Calibri"/>
                <w:color w:val="0000FF"/>
                <w:sz w:val="20"/>
                <w:szCs w:val="20"/>
                <w:u w:val="single"/>
              </w:rPr>
            </w:pPr>
          </w:p>
        </w:tc>
      </w:tr>
      <w:tr w:rsidR="003E002C" w:rsidRPr="00732FD5" w14:paraId="71AA0ACE" w14:textId="77777777" w:rsidTr="003E002C">
        <w:trPr>
          <w:trHeight w:val="179"/>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CC7253E"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Política General de Responsabilidad Social</w:t>
            </w:r>
            <w:r w:rsidRPr="009651ED">
              <w:rPr>
                <w:rFonts w:ascii="Open Sans" w:hAnsi="Open Sans" w:cs="Arial"/>
                <w:sz w:val="20"/>
                <w:szCs w:val="20"/>
              </w:rPr>
              <w:br/>
              <w:t>Corporativa</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EEC7DFD" w14:textId="77777777" w:rsidR="003E002C" w:rsidRPr="009651ED" w:rsidRDefault="003E002C" w:rsidP="003E002C">
            <w:pPr>
              <w:rPr>
                <w:rFonts w:ascii="Calibri" w:hAnsi="Calibri"/>
                <w:color w:val="0000FF"/>
                <w:sz w:val="20"/>
                <w:szCs w:val="20"/>
                <w:u w:val="single"/>
              </w:rPr>
            </w:pPr>
          </w:p>
        </w:tc>
      </w:tr>
      <w:tr w:rsidR="003E002C" w:rsidRPr="00732FD5" w14:paraId="0DAF0F5F" w14:textId="77777777" w:rsidTr="003E002C">
        <w:trPr>
          <w:trHeight w:val="179"/>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36D6E02"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 xml:space="preserve">Estrategia fiscal </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38220F3B" w14:textId="77777777" w:rsidR="003E002C" w:rsidRPr="009651ED" w:rsidRDefault="003E002C" w:rsidP="003E002C">
            <w:pPr>
              <w:rPr>
                <w:rFonts w:ascii="Calibri" w:hAnsi="Calibri"/>
                <w:color w:val="0000FF"/>
                <w:sz w:val="20"/>
                <w:szCs w:val="20"/>
                <w:u w:val="single"/>
              </w:rPr>
            </w:pPr>
          </w:p>
        </w:tc>
      </w:tr>
      <w:tr w:rsidR="003E002C" w:rsidRPr="00732FD5" w14:paraId="04763866" w14:textId="77777777" w:rsidTr="003E002C">
        <w:trPr>
          <w:trHeight w:val="179"/>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FED6730"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Política de Gestión de Riesgos</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19C4E58" w14:textId="77777777" w:rsidR="003E002C" w:rsidRPr="009651ED" w:rsidRDefault="003E002C" w:rsidP="003E002C">
            <w:pPr>
              <w:rPr>
                <w:rFonts w:ascii="Calibri" w:hAnsi="Calibri"/>
                <w:color w:val="0000FF"/>
                <w:sz w:val="20"/>
                <w:szCs w:val="20"/>
                <w:u w:val="single"/>
              </w:rPr>
            </w:pPr>
          </w:p>
        </w:tc>
      </w:tr>
      <w:tr w:rsidR="003E002C" w:rsidRPr="00732FD5" w14:paraId="4C2707FD" w14:textId="77777777" w:rsidTr="003E002C">
        <w:trPr>
          <w:trHeight w:val="179"/>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65E5DE5" w14:textId="77777777" w:rsidR="003E002C" w:rsidRPr="009651ED" w:rsidRDefault="003E002C" w:rsidP="003E002C">
            <w:pPr>
              <w:rPr>
                <w:rFonts w:ascii="Open Sans" w:hAnsi="Open Sans" w:cs="Arial"/>
                <w:sz w:val="20"/>
                <w:szCs w:val="20"/>
              </w:rPr>
            </w:pPr>
            <w:r w:rsidRPr="009651ED">
              <w:rPr>
                <w:rFonts w:ascii="Open Sans" w:hAnsi="Open Sans" w:cs="Arial"/>
                <w:sz w:val="20"/>
                <w:szCs w:val="20"/>
              </w:rPr>
              <w:t>Informe Anual de la Comisión de Auditoría y Cumplimiento</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D4506EA" w14:textId="77777777" w:rsidR="003E002C" w:rsidRPr="009651ED" w:rsidRDefault="003E002C" w:rsidP="003E002C">
            <w:pPr>
              <w:rPr>
                <w:rFonts w:ascii="Calibri" w:hAnsi="Calibri"/>
                <w:color w:val="0000FF"/>
                <w:sz w:val="20"/>
                <w:szCs w:val="20"/>
                <w:u w:val="single"/>
              </w:rPr>
            </w:pPr>
          </w:p>
        </w:tc>
      </w:tr>
    </w:tbl>
    <w:p w14:paraId="106A4B9B" w14:textId="77777777" w:rsidR="003E002C" w:rsidRDefault="003E002C" w:rsidP="003E002C">
      <w:pPr>
        <w:jc w:val="both"/>
        <w:rPr>
          <w:rFonts w:ascii="Open Sans" w:hAnsi="Open Sans" w:cs="Arial"/>
          <w:b/>
        </w:rPr>
      </w:pPr>
    </w:p>
    <w:p w14:paraId="58E332DA" w14:textId="77777777" w:rsidR="003E002C" w:rsidRPr="00732FD5" w:rsidRDefault="003E002C" w:rsidP="003E002C">
      <w:pPr>
        <w:jc w:val="both"/>
        <w:rPr>
          <w:rFonts w:ascii="Open Sans" w:hAnsi="Open Sans" w:cs="Arial"/>
          <w:b/>
        </w:rPr>
      </w:pPr>
    </w:p>
    <w:p w14:paraId="1F22C238" w14:textId="77777777" w:rsidR="003E002C" w:rsidRPr="00EE1EF7" w:rsidRDefault="003E002C" w:rsidP="003E002C">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13819CD6" w14:textId="77777777" w:rsidR="003E002C" w:rsidRDefault="003E002C" w:rsidP="003E002C">
      <w:pPr>
        <w:jc w:val="both"/>
        <w:rPr>
          <w:rFonts w:ascii="Open Sans" w:hAnsi="Open Sans" w:cs="Arial"/>
          <w:b/>
          <w:color w:val="FF0000"/>
          <w:sz w:val="22"/>
          <w:szCs w:val="22"/>
        </w:rPr>
      </w:pPr>
    </w:p>
    <w:p w14:paraId="6E6A83F3" w14:textId="77777777" w:rsidR="003E002C" w:rsidRDefault="003E002C" w:rsidP="003E002C">
      <w:pPr>
        <w:jc w:val="both"/>
        <w:rPr>
          <w:rFonts w:ascii="Open Sans" w:hAnsi="Open Sans" w:cs="Arial"/>
          <w:b/>
          <w:u w:val="single"/>
        </w:rPr>
      </w:pPr>
    </w:p>
    <w:p w14:paraId="0754E2B0" w14:textId="77777777" w:rsidR="003E002C" w:rsidRPr="007829A9" w:rsidRDefault="003E002C" w:rsidP="003E002C">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5E893282" w14:textId="77777777" w:rsidR="003E002C" w:rsidRPr="00732FD5" w:rsidRDefault="003E002C" w:rsidP="003E002C">
      <w:pPr>
        <w:rPr>
          <w:rFonts w:ascii="Open Sans" w:hAnsi="Open Sans" w:cs="Arial"/>
          <w:b/>
        </w:rPr>
      </w:pPr>
    </w:p>
    <w:p w14:paraId="50638463" w14:textId="77777777" w:rsidR="003E002C" w:rsidRDefault="003E002C" w:rsidP="003E002C">
      <w:pPr>
        <w:jc w:val="center"/>
      </w:pPr>
      <w:r>
        <w:rPr>
          <w:noProof/>
          <w:lang w:val="es-ES"/>
        </w:rPr>
        <w:drawing>
          <wp:inline distT="0" distB="0" distL="0" distR="0" wp14:anchorId="33EF3BDF" wp14:editId="7BD8A22A">
            <wp:extent cx="3688080" cy="185928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14DA97AB" w14:textId="77777777" w:rsidR="003E002C" w:rsidRDefault="003E002C" w:rsidP="003E002C">
      <w:pPr>
        <w:jc w:val="both"/>
      </w:pPr>
    </w:p>
    <w:p w14:paraId="20F93C76" w14:textId="77777777" w:rsidR="003E002C" w:rsidRDefault="003E002C" w:rsidP="003E002C">
      <w:r>
        <w:br w:type="page"/>
      </w:r>
    </w:p>
    <w:p w14:paraId="14913D55" w14:textId="77777777" w:rsidR="003E002C" w:rsidRDefault="003E002C" w:rsidP="003E002C">
      <w:pPr>
        <w:jc w:val="both"/>
      </w:pPr>
    </w:p>
    <w:p w14:paraId="22EA9DC7" w14:textId="77777777" w:rsidR="003E002C" w:rsidRPr="00EE1EF7" w:rsidRDefault="003E002C" w:rsidP="003E002C">
      <w:pPr>
        <w:jc w:val="both"/>
        <w:rPr>
          <w:rFonts w:ascii="Open Sans" w:hAnsi="Open Sans" w:cs="Arial"/>
          <w:b/>
          <w:sz w:val="22"/>
          <w:szCs w:val="22"/>
        </w:rPr>
      </w:pPr>
      <w:r w:rsidRPr="00EE1EF7">
        <w:rPr>
          <w:rFonts w:ascii="Open Sans" w:hAnsi="Open Sans" w:cs="Arial"/>
          <w:b/>
          <w:sz w:val="22"/>
          <w:szCs w:val="22"/>
          <w:u w:val="single"/>
        </w:rPr>
        <w:t>3. Contexto general</w:t>
      </w:r>
    </w:p>
    <w:p w14:paraId="1DB3A21A" w14:textId="77777777" w:rsidR="003E002C" w:rsidRPr="00732FD5" w:rsidRDefault="003E002C" w:rsidP="003E002C">
      <w:pPr>
        <w:jc w:val="both"/>
        <w:rPr>
          <w:rFonts w:ascii="Open Sans" w:hAnsi="Open Sans" w:cs="Arial"/>
          <w:b/>
        </w:rPr>
      </w:pPr>
    </w:p>
    <w:p w14:paraId="0F5E8BE0" w14:textId="77777777" w:rsidR="003E002C" w:rsidRPr="002B0B9F" w:rsidRDefault="003E002C" w:rsidP="003E002C">
      <w:pPr>
        <w:jc w:val="both"/>
        <w:rPr>
          <w:rFonts w:ascii="Open Sans" w:hAnsi="Open Sans" w:cs="Open Sans"/>
          <w:sz w:val="20"/>
          <w:szCs w:val="20"/>
        </w:rPr>
      </w:pPr>
      <w:r w:rsidRPr="002B0B9F">
        <w:rPr>
          <w:rFonts w:ascii="Open Sans" w:eastAsia="Calibri" w:hAnsi="Open Sans" w:cs="Open Sans"/>
          <w:sz w:val="20"/>
          <w:szCs w:val="20"/>
        </w:rPr>
        <w:t xml:space="preserve">La actividad principal del Grupo DIA se centra en el comercio al por menor de productos de alimentación. Según reflejan sus Cuenta Anuales, </w:t>
      </w:r>
      <w:r w:rsidRPr="002B0B9F">
        <w:rPr>
          <w:rFonts w:ascii="Open Sans" w:hAnsi="Open Sans" w:cs="Open Sans"/>
          <w:sz w:val="20"/>
          <w:szCs w:val="20"/>
        </w:rPr>
        <w:t xml:space="preserve">DIA y sus sociedades dependientes tienen presencia física y desarrollan actividad en 6 países: España, Portugal, Suiza, Argentina, Brasil y China. España y Portugal son los países más antiguos del Grupo y los que sirven de modelo para los otros países; según afirma la compañía, tienen una rentabilidad muy elevada y parecida entre ellos. </w:t>
      </w:r>
    </w:p>
    <w:p w14:paraId="3928CE57" w14:textId="77777777" w:rsidR="003E002C" w:rsidRPr="002B0B9F" w:rsidRDefault="003E002C" w:rsidP="003E002C">
      <w:pPr>
        <w:jc w:val="both"/>
        <w:rPr>
          <w:rFonts w:ascii="Open Sans" w:hAnsi="Open Sans" w:cs="Open Sans"/>
          <w:sz w:val="20"/>
          <w:szCs w:val="20"/>
        </w:rPr>
      </w:pPr>
    </w:p>
    <w:p w14:paraId="6D80C1C2" w14:textId="77777777" w:rsidR="003E002C" w:rsidRPr="002B0B9F" w:rsidRDefault="003E002C" w:rsidP="003E002C">
      <w:pPr>
        <w:jc w:val="both"/>
        <w:rPr>
          <w:rFonts w:ascii="Open Sans" w:eastAsia="Calibri" w:hAnsi="Open Sans" w:cs="Open Sans"/>
          <w:sz w:val="20"/>
          <w:szCs w:val="20"/>
        </w:rPr>
      </w:pPr>
      <w:r w:rsidRPr="002B0B9F">
        <w:rPr>
          <w:rFonts w:ascii="Open Sans" w:hAnsi="Open Sans" w:cs="Open Sans"/>
          <w:sz w:val="20"/>
          <w:szCs w:val="20"/>
        </w:rPr>
        <w:t xml:space="preserve">En Suiza, se encuentran las sociedades DIA World Trade, S.A., que presta servicios a los proveedores de las sociedades del Grupo DIA, e ICDC </w:t>
      </w:r>
      <w:r w:rsidRPr="002B0B9F">
        <w:rPr>
          <w:rFonts w:ascii="Open Sans" w:eastAsia="Calibri" w:hAnsi="Open Sans" w:cs="Open Sans"/>
          <w:sz w:val="20"/>
          <w:szCs w:val="20"/>
        </w:rPr>
        <w:t>Services, Sàrl</w:t>
      </w:r>
      <w:r w:rsidRPr="002B0B9F">
        <w:rPr>
          <w:rFonts w:ascii="Open Sans" w:hAnsi="Open Sans" w:cs="Open Sans"/>
          <w:sz w:val="20"/>
          <w:szCs w:val="20"/>
        </w:rPr>
        <w:t xml:space="preserve"> que compra mercancía conjuntamente con Casino. </w:t>
      </w:r>
      <w:r w:rsidRPr="002B0B9F">
        <w:rPr>
          <w:rFonts w:ascii="Open Sans" w:eastAsia="Calibri" w:hAnsi="Open Sans" w:cs="Open Sans"/>
          <w:sz w:val="20"/>
          <w:szCs w:val="20"/>
        </w:rPr>
        <w:t>La sociedad ICDC Services, Sàrl se constituyó el 30 de noviembre de 2015 con domicilio en Ginebra para la negociación con proveedores internacionales. Esta sociedad está participada al 50% por los grupos DIA y Casino. Las actividades de esta nueva sociedad comenzarán en 2016.</w:t>
      </w:r>
    </w:p>
    <w:p w14:paraId="7F962DBA" w14:textId="77777777" w:rsidR="003E002C" w:rsidRPr="002B0B9F" w:rsidRDefault="003E002C" w:rsidP="003E002C">
      <w:pPr>
        <w:autoSpaceDE w:val="0"/>
        <w:autoSpaceDN w:val="0"/>
        <w:adjustRightInd w:val="0"/>
        <w:jc w:val="both"/>
        <w:rPr>
          <w:rFonts w:ascii="Open Sans" w:eastAsia="Calibri" w:hAnsi="Open Sans" w:cs="Open Sans"/>
          <w:sz w:val="20"/>
          <w:szCs w:val="20"/>
        </w:rPr>
      </w:pPr>
    </w:p>
    <w:p w14:paraId="3F653B52" w14:textId="77777777" w:rsidR="003E002C" w:rsidRPr="002B0B9F" w:rsidRDefault="003E002C" w:rsidP="003E002C">
      <w:pPr>
        <w:autoSpaceDE w:val="0"/>
        <w:autoSpaceDN w:val="0"/>
        <w:adjustRightInd w:val="0"/>
        <w:jc w:val="both"/>
        <w:rPr>
          <w:rFonts w:ascii="Open Sans" w:eastAsia="Calibri" w:hAnsi="Open Sans" w:cs="Open Sans"/>
          <w:sz w:val="20"/>
          <w:szCs w:val="20"/>
        </w:rPr>
      </w:pPr>
      <w:r w:rsidRPr="002B0B9F">
        <w:rPr>
          <w:rFonts w:ascii="Open Sans" w:eastAsia="Calibri" w:hAnsi="Open Sans" w:cs="Open Sans"/>
          <w:sz w:val="20"/>
          <w:szCs w:val="20"/>
        </w:rPr>
        <w:t>También en 2015 se constituyó CINDIA, como una agrupación de empresas constituida en Portugal entre las sociedades DIA Portugal e ITMP Alimentar, cuyo objeto social es mejorar las condiciones del ejercicio de la actividad económica de las entidades agrupadas mencionadas, negociando en su nombre con los proveedores comunes las condiciones de adquisición de los productos necesarios para su comercio respectivo. La agrupación se ha constituido sin capital propio, siendo la participación de cada una de las Agrupadas del 50% sobre los activos y pasivos de la misma.</w:t>
      </w:r>
    </w:p>
    <w:p w14:paraId="29A19148" w14:textId="77777777" w:rsidR="003E002C" w:rsidRPr="002B0B9F" w:rsidRDefault="003E002C" w:rsidP="003E002C">
      <w:pPr>
        <w:jc w:val="both"/>
        <w:rPr>
          <w:rFonts w:ascii="Open Sans" w:hAnsi="Open Sans" w:cs="Open Sans"/>
          <w:sz w:val="20"/>
          <w:szCs w:val="20"/>
        </w:rPr>
      </w:pPr>
    </w:p>
    <w:p w14:paraId="364F3E7D" w14:textId="77777777" w:rsidR="003E002C" w:rsidRPr="002B0B9F" w:rsidRDefault="003E002C" w:rsidP="003E002C">
      <w:pPr>
        <w:jc w:val="both"/>
        <w:rPr>
          <w:rFonts w:ascii="Open Sans" w:hAnsi="Open Sans" w:cs="Open Sans"/>
          <w:sz w:val="20"/>
          <w:szCs w:val="20"/>
        </w:rPr>
      </w:pPr>
      <w:r w:rsidRPr="002B0B9F">
        <w:rPr>
          <w:rFonts w:ascii="Open Sans" w:hAnsi="Open Sans" w:cs="Open Sans"/>
          <w:sz w:val="20"/>
          <w:szCs w:val="20"/>
        </w:rPr>
        <w:t>A cierre del ejercicio 2015, la composición de capital se reparte de la siguiente manera: 10,488% en posesión de Baillie Gifford &amp; CO; 4,935% pertenece a Blackrock INC.; 3,069% a Black Creek Investment Management INC; 3,054% a Ameriprise Financial, INC.; y 1,017% a Fidelity International Limited, quedando el capital restante en manos de pequeños accionistas sin participaciones significativas.</w:t>
      </w:r>
    </w:p>
    <w:p w14:paraId="191D1841" w14:textId="77777777" w:rsidR="003E002C" w:rsidRPr="002B0B9F" w:rsidRDefault="003E002C" w:rsidP="003E002C">
      <w:pPr>
        <w:jc w:val="both"/>
        <w:rPr>
          <w:rFonts w:ascii="Open Sans" w:hAnsi="Open Sans" w:cs="Open Sans"/>
          <w:sz w:val="20"/>
          <w:szCs w:val="20"/>
        </w:rPr>
      </w:pPr>
    </w:p>
    <w:p w14:paraId="0C383D19" w14:textId="77777777" w:rsidR="003E002C" w:rsidRPr="002B0B9F" w:rsidRDefault="003E002C" w:rsidP="003E002C">
      <w:pPr>
        <w:jc w:val="both"/>
        <w:rPr>
          <w:rFonts w:ascii="Open Sans" w:hAnsi="Open Sans" w:cs="Open Sans"/>
          <w:sz w:val="20"/>
          <w:szCs w:val="20"/>
        </w:rPr>
      </w:pPr>
      <w:r w:rsidRPr="002B0B9F">
        <w:rPr>
          <w:rFonts w:ascii="Open Sans" w:hAnsi="Open Sans" w:cs="Open Sans"/>
          <w:sz w:val="20"/>
          <w:szCs w:val="20"/>
        </w:rPr>
        <w:t>La cifra de ventas se situó a 31 de diciembre de 2015 en 8.925.454 miles de €. La mayor parte de los ingresos por ventas se produjeron en España (56,88% del total), seguidos por Argentina (17,17%), Brasil (16,08%), Portugal (7,60%) y, finalmente, China (2,27%).</w:t>
      </w:r>
    </w:p>
    <w:p w14:paraId="648CA67F" w14:textId="77777777" w:rsidR="003E002C" w:rsidRPr="002B0B9F" w:rsidRDefault="003E002C" w:rsidP="003E002C">
      <w:pPr>
        <w:jc w:val="both"/>
        <w:rPr>
          <w:rFonts w:ascii="Open Sans" w:hAnsi="Open Sans" w:cs="Open Sans"/>
          <w:sz w:val="20"/>
          <w:szCs w:val="20"/>
        </w:rPr>
      </w:pPr>
    </w:p>
    <w:p w14:paraId="02DC3BBE" w14:textId="77777777" w:rsidR="003E002C" w:rsidRPr="002B0B9F" w:rsidRDefault="003E002C" w:rsidP="003E002C">
      <w:pPr>
        <w:jc w:val="both"/>
        <w:rPr>
          <w:rFonts w:ascii="Open Sans" w:hAnsi="Open Sans" w:cs="Open Sans"/>
          <w:sz w:val="20"/>
          <w:szCs w:val="20"/>
        </w:rPr>
      </w:pPr>
      <w:r w:rsidRPr="002B0B9F">
        <w:rPr>
          <w:rFonts w:ascii="Open Sans" w:hAnsi="Open Sans" w:cs="Open Sans"/>
          <w:sz w:val="20"/>
          <w:szCs w:val="20"/>
        </w:rPr>
        <w:t>El beneficio antes de impuesto de las actividades continuadas alcanzó los 218.116 miles de € y el EBITDA se situó en 511.521 miles de €, lo que supone un 5,7% de la cifra de ventas. A pesar de los beneficios alcanzados, las cuentas consolidadas muestran que el impuesto sobre beneficios supuso un ingreso para DIA de 82.610 miles de €.</w:t>
      </w:r>
    </w:p>
    <w:p w14:paraId="55ECA730" w14:textId="77777777" w:rsidR="003E002C" w:rsidRPr="002B0B9F" w:rsidRDefault="003E002C" w:rsidP="003E002C">
      <w:pPr>
        <w:jc w:val="both"/>
        <w:rPr>
          <w:rFonts w:ascii="Open Sans" w:hAnsi="Open Sans" w:cs="Open Sans"/>
          <w:sz w:val="20"/>
          <w:szCs w:val="20"/>
        </w:rPr>
      </w:pPr>
    </w:p>
    <w:p w14:paraId="72D6BAFF" w14:textId="77777777" w:rsidR="003E002C" w:rsidRPr="002B0B9F" w:rsidRDefault="003E002C" w:rsidP="003E002C">
      <w:pPr>
        <w:jc w:val="both"/>
        <w:rPr>
          <w:rFonts w:ascii="Open Sans" w:hAnsi="Open Sans" w:cs="Open Sans"/>
          <w:sz w:val="20"/>
          <w:szCs w:val="20"/>
        </w:rPr>
      </w:pPr>
      <w:r w:rsidRPr="002B0B9F">
        <w:rPr>
          <w:rFonts w:ascii="Open Sans" w:hAnsi="Open Sans" w:cs="Open Sans"/>
          <w:sz w:val="20"/>
          <w:szCs w:val="20"/>
        </w:rPr>
        <w:t>El contexto internacionalizado de la operativa del grupo hace que se enfrente a riesgos de diferente índole, entre ellos, a gran variedad de riesgos fiscales: interpretación de las diferentes normativas tributarias de los países en los que opera, operaciones intragrupo (precios de transferencia, traslado de beneficios entre filiales, etc.),  consolidación de la información fiscal, que la información externa sobre la posición fiscal y su desempeño sea apropiada y coherente al cada vez mayor escrutinio público de una fiscalidad responsable de las multinacionales. Adecuación de gestión empresarial a las nuevas disposiciones legislativas</w:t>
      </w:r>
      <w:r w:rsidRPr="002B0B9F">
        <w:rPr>
          <w:rStyle w:val="Refdenotaalpie"/>
          <w:rFonts w:ascii="Open Sans" w:hAnsi="Open Sans" w:cs="Open Sans"/>
          <w:sz w:val="20"/>
          <w:szCs w:val="20"/>
        </w:rPr>
        <w:footnoteReference w:id="627"/>
      </w:r>
      <w:r w:rsidRPr="002B0B9F">
        <w:rPr>
          <w:rFonts w:ascii="Open Sans" w:hAnsi="Open Sans" w:cs="Open Sans"/>
          <w:sz w:val="20"/>
          <w:szCs w:val="20"/>
        </w:rPr>
        <w:t xml:space="preserve"> que incrementa la responsabilidad tributaria de los miembros del consejo de administración que no podrán, en ningún caso, alegar su ignorancia en estas materias. </w:t>
      </w:r>
    </w:p>
    <w:p w14:paraId="32D0C252" w14:textId="77777777" w:rsidR="003E002C" w:rsidRPr="002B0B9F" w:rsidRDefault="003E002C" w:rsidP="003E002C">
      <w:pPr>
        <w:jc w:val="both"/>
        <w:rPr>
          <w:rFonts w:ascii="Open Sans" w:hAnsi="Open Sans" w:cs="Open Sans"/>
          <w:sz w:val="20"/>
          <w:szCs w:val="20"/>
        </w:rPr>
      </w:pPr>
    </w:p>
    <w:p w14:paraId="0DBB9D08" w14:textId="77777777" w:rsidR="003E002C" w:rsidRPr="002B0B9F" w:rsidRDefault="003E002C" w:rsidP="003E002C">
      <w:pPr>
        <w:jc w:val="both"/>
        <w:rPr>
          <w:rFonts w:ascii="Open Sans" w:hAnsi="Open Sans" w:cs="Open Sans"/>
          <w:sz w:val="20"/>
          <w:szCs w:val="20"/>
        </w:rPr>
      </w:pPr>
      <w:r w:rsidRPr="002B0B9F">
        <w:rPr>
          <w:rFonts w:ascii="Open Sans" w:hAnsi="Open Sans" w:cs="Open Sans"/>
          <w:sz w:val="20"/>
          <w:szCs w:val="20"/>
        </w:rPr>
        <w:t>Los principales compromisos en relación con una fiscalidad responsable se encuentran en la Estrategia Fiscal del Grupo DIA aprobada en 2015.  También durante el ejercicio 2015 DIA aprobó una nueva política de RSC, a partir de la cual se desarrollaron, adaptaron e hicieron públicas las políticas de Gestión de Riesgos, Política de Relaciones con los Inversores, Política Fiscal y Política de Medio Ambiente. En el Informe de Desarrollo Sostenible se indica que en el año 2015 DIA estaba trabajando en la elaboración de un Plan Director Estratégico de Desarrollo Sostenible que le permita desarrollar sus políticas corporativas relacionadas con la RSC.</w:t>
      </w:r>
    </w:p>
    <w:p w14:paraId="7183FC31" w14:textId="77777777" w:rsidR="003E002C" w:rsidRPr="002B0B9F" w:rsidRDefault="003E002C" w:rsidP="003E002C">
      <w:pPr>
        <w:jc w:val="both"/>
        <w:rPr>
          <w:rFonts w:ascii="Open Sans" w:hAnsi="Open Sans" w:cs="Open Sans"/>
          <w:sz w:val="20"/>
          <w:szCs w:val="20"/>
        </w:rPr>
      </w:pPr>
    </w:p>
    <w:p w14:paraId="6F6EDE28" w14:textId="77777777" w:rsidR="003E002C" w:rsidRPr="00673DDA" w:rsidRDefault="003E002C" w:rsidP="003E002C">
      <w:pPr>
        <w:spacing w:after="120"/>
        <w:jc w:val="both"/>
        <w:rPr>
          <w:rFonts w:ascii="Open Sans" w:hAnsi="Open Sans" w:cs="Open Sans"/>
          <w:sz w:val="20"/>
          <w:szCs w:val="20"/>
        </w:rPr>
      </w:pPr>
      <w:r w:rsidRPr="00673DDA">
        <w:rPr>
          <w:rFonts w:ascii="Open Sans" w:hAnsi="Open Sans" w:cs="Open Sans"/>
          <w:sz w:val="20"/>
          <w:szCs w:val="20"/>
        </w:rPr>
        <w:t xml:space="preserve">Entre los doce principios básicos de la Política de RSC publicada por DIA, no hay ninguna mención expresa a los aspectos tributarios, aunque podrían considerarse implícitos en los siguientes: </w:t>
      </w:r>
    </w:p>
    <w:p w14:paraId="0B4D9633" w14:textId="77777777" w:rsidR="003E002C" w:rsidRPr="00673DDA" w:rsidRDefault="003E002C" w:rsidP="000B70C9">
      <w:pPr>
        <w:numPr>
          <w:ilvl w:val="0"/>
          <w:numId w:val="75"/>
        </w:numPr>
        <w:spacing w:after="120"/>
        <w:ind w:left="714" w:hanging="357"/>
        <w:jc w:val="both"/>
        <w:rPr>
          <w:rFonts w:ascii="Open Sans" w:hAnsi="Open Sans" w:cs="Open Sans"/>
          <w:sz w:val="20"/>
          <w:szCs w:val="20"/>
        </w:rPr>
      </w:pPr>
      <w:r w:rsidRPr="00673DDA">
        <w:rPr>
          <w:rFonts w:ascii="Open Sans" w:hAnsi="Open Sans" w:cs="Open Sans"/>
          <w:sz w:val="20"/>
          <w:szCs w:val="20"/>
        </w:rPr>
        <w:t>Promover las mejores prácticas de gobierno corporativo, dando prioridad a la trasparencia la gestión ética en los negocios y la adecuada gestión de riesgos.</w:t>
      </w:r>
    </w:p>
    <w:p w14:paraId="3A87EB22" w14:textId="77777777" w:rsidR="003E002C" w:rsidRPr="002B0B9F" w:rsidRDefault="003E002C" w:rsidP="000B70C9">
      <w:pPr>
        <w:numPr>
          <w:ilvl w:val="0"/>
          <w:numId w:val="75"/>
        </w:numPr>
        <w:spacing w:after="120"/>
        <w:ind w:left="714" w:hanging="357"/>
        <w:jc w:val="both"/>
        <w:rPr>
          <w:rFonts w:ascii="Open Sans" w:hAnsi="Open Sans" w:cs="Open Sans"/>
          <w:sz w:val="20"/>
          <w:szCs w:val="20"/>
        </w:rPr>
      </w:pPr>
      <w:r w:rsidRPr="002B0B9F">
        <w:rPr>
          <w:rFonts w:ascii="Open Sans" w:hAnsi="Open Sans" w:cs="Open Sans"/>
          <w:sz w:val="20"/>
          <w:szCs w:val="20"/>
        </w:rPr>
        <w:t>Gestionar de forma responsable tanto los riesgos financieros y no financieros como las oportunidades derivadas de la evolución del Grupo y del entorno.</w:t>
      </w:r>
    </w:p>
    <w:p w14:paraId="0B545192" w14:textId="77777777" w:rsidR="003E002C" w:rsidRPr="002B0B9F" w:rsidRDefault="003E002C" w:rsidP="000B70C9">
      <w:pPr>
        <w:numPr>
          <w:ilvl w:val="0"/>
          <w:numId w:val="75"/>
        </w:numPr>
        <w:spacing w:after="120"/>
        <w:ind w:left="714" w:hanging="357"/>
        <w:jc w:val="both"/>
        <w:rPr>
          <w:rFonts w:ascii="Open Sans" w:hAnsi="Open Sans" w:cs="Open Sans"/>
          <w:sz w:val="20"/>
          <w:szCs w:val="20"/>
        </w:rPr>
      </w:pPr>
      <w:r w:rsidRPr="002B0B9F">
        <w:rPr>
          <w:rFonts w:ascii="Open Sans" w:hAnsi="Open Sans" w:cs="Open Sans"/>
          <w:sz w:val="20"/>
          <w:szCs w:val="20"/>
        </w:rPr>
        <w:t>Crear y mantener una comunicación responsable, fluida y bidireccional con los grupos de interés (consumidores, empleados, franquiciados, proveedores, sociedad civil y accionistas) para conocer mejor sus expectativas y adaptar el funcionamiento del negocio de manera eficiente a la satisfacción de las mismas.</w:t>
      </w:r>
    </w:p>
    <w:p w14:paraId="3CC9F5D4" w14:textId="77777777" w:rsidR="003E002C" w:rsidRPr="002B0B9F" w:rsidRDefault="003E002C" w:rsidP="003E002C">
      <w:pPr>
        <w:spacing w:after="120"/>
        <w:jc w:val="both"/>
        <w:rPr>
          <w:rFonts w:ascii="Open Sans" w:hAnsi="Open Sans" w:cs="Open Sans"/>
          <w:sz w:val="20"/>
          <w:szCs w:val="20"/>
        </w:rPr>
      </w:pPr>
      <w:r w:rsidRPr="002B0B9F">
        <w:rPr>
          <w:rFonts w:ascii="Open Sans" w:hAnsi="Open Sans" w:cs="Open Sans"/>
          <w:sz w:val="20"/>
          <w:szCs w:val="20"/>
        </w:rPr>
        <w:t>Sin embargo, la escasa información que se aporta en la documentación analizada sobre la adecuada inclusión de los aspectos fiscales en el sistema de gestión de riesgos global de la compañía no parece evidenciar que así sea.</w:t>
      </w:r>
    </w:p>
    <w:p w14:paraId="2AE88ACD" w14:textId="77777777" w:rsidR="003E002C" w:rsidRDefault="003E002C" w:rsidP="003E002C">
      <w:pPr>
        <w:spacing w:after="120"/>
        <w:jc w:val="both"/>
        <w:rPr>
          <w:rFonts w:ascii="Open Sans" w:hAnsi="Open Sans" w:cs="Open Sans"/>
          <w:sz w:val="20"/>
          <w:szCs w:val="20"/>
        </w:rPr>
      </w:pPr>
    </w:p>
    <w:p w14:paraId="587E16D7" w14:textId="77777777" w:rsidR="003E002C" w:rsidRPr="002B0B9F" w:rsidRDefault="003E002C" w:rsidP="003E002C">
      <w:pPr>
        <w:spacing w:after="120"/>
        <w:jc w:val="both"/>
        <w:rPr>
          <w:rFonts w:ascii="Open Sans" w:hAnsi="Open Sans" w:cs="Open Sans"/>
          <w:sz w:val="20"/>
          <w:szCs w:val="20"/>
        </w:rPr>
      </w:pPr>
    </w:p>
    <w:p w14:paraId="3621AA92" w14:textId="77777777" w:rsidR="003E002C" w:rsidRPr="00EE1EF7" w:rsidRDefault="003E002C" w:rsidP="003E002C">
      <w:pPr>
        <w:jc w:val="both"/>
        <w:rPr>
          <w:rFonts w:ascii="Open Sans" w:hAnsi="Open Sans" w:cs="Arial"/>
          <w:b/>
          <w:sz w:val="22"/>
          <w:szCs w:val="22"/>
          <w:u w:val="single"/>
        </w:rPr>
      </w:pPr>
      <w:r w:rsidRPr="00EE1EF7">
        <w:rPr>
          <w:rFonts w:ascii="Open Sans" w:hAnsi="Open Sans" w:cs="Arial"/>
          <w:b/>
          <w:sz w:val="22"/>
          <w:szCs w:val="22"/>
          <w:u w:val="single"/>
        </w:rPr>
        <w:t>4. Análisis</w:t>
      </w:r>
    </w:p>
    <w:p w14:paraId="4499838C" w14:textId="77777777" w:rsidR="003E002C" w:rsidRDefault="003E002C" w:rsidP="003E002C">
      <w:pPr>
        <w:jc w:val="both"/>
        <w:rPr>
          <w:rFonts w:ascii="Open Sans" w:hAnsi="Open Sans" w:cs="Arial"/>
          <w:b/>
          <w:sz w:val="22"/>
          <w:szCs w:val="22"/>
        </w:rPr>
      </w:pPr>
    </w:p>
    <w:p w14:paraId="505869E6" w14:textId="77777777" w:rsidR="003E002C" w:rsidRPr="005955A1" w:rsidRDefault="003E002C" w:rsidP="003E002C">
      <w:pPr>
        <w:jc w:val="both"/>
        <w:rPr>
          <w:rFonts w:ascii="Open Sans" w:hAnsi="Open Sans" w:cs="Arial"/>
          <w:b/>
          <w:sz w:val="20"/>
          <w:szCs w:val="20"/>
        </w:rPr>
      </w:pPr>
      <w:r w:rsidRPr="005955A1">
        <w:rPr>
          <w:rFonts w:ascii="Open Sans" w:hAnsi="Open Sans" w:cs="Arial"/>
          <w:b/>
          <w:sz w:val="20"/>
          <w:szCs w:val="20"/>
        </w:rPr>
        <w:t>Paraísos Fiscales</w:t>
      </w:r>
    </w:p>
    <w:p w14:paraId="6AE386CD" w14:textId="77777777" w:rsidR="003E002C" w:rsidRDefault="003E002C" w:rsidP="003E002C">
      <w:pPr>
        <w:jc w:val="both"/>
        <w:rPr>
          <w:rFonts w:ascii="Open Sans" w:hAnsi="Open Sans" w:cs="Arial"/>
          <w:b/>
          <w:sz w:val="22"/>
          <w:szCs w:val="22"/>
        </w:rPr>
      </w:pPr>
    </w:p>
    <w:p w14:paraId="35B7560B" w14:textId="77777777" w:rsidR="003E002C" w:rsidRPr="002B0B9F" w:rsidRDefault="003E002C" w:rsidP="003E002C">
      <w:pPr>
        <w:jc w:val="both"/>
        <w:rPr>
          <w:rFonts w:ascii="Open Sans" w:hAnsi="Open Sans" w:cs="Open Sans"/>
          <w:sz w:val="20"/>
          <w:szCs w:val="20"/>
        </w:rPr>
      </w:pPr>
      <w:r w:rsidRPr="002B0B9F">
        <w:rPr>
          <w:rFonts w:ascii="Open Sans" w:hAnsi="Open Sans" w:cs="Open Sans"/>
          <w:sz w:val="20"/>
          <w:szCs w:val="20"/>
        </w:rPr>
        <w:t>En la información analizada no se evidencia una definición explícita de paraíso/nicho fiscal por parte de la empresa pero sí se encuentran menciones puntuales a “paraísos fiscales”, en las que se limita el alcance del término al ámbito de la transparencia. En este sentido, la primera práctica tributaria reflejada en la política fiscal de DIA establece que «</w:t>
      </w:r>
      <w:r w:rsidRPr="002B0B9F">
        <w:rPr>
          <w:rFonts w:ascii="Open Sans" w:hAnsi="Open Sans" w:cs="Open Sans"/>
          <w:i/>
          <w:sz w:val="20"/>
          <w:szCs w:val="20"/>
        </w:rPr>
        <w:t>DIA no hace uso de estructuras societarias opacas o radicadas en paraísos fiscales cuyo propósito sea ocultar información relevante a las administraciones tributarias</w:t>
      </w:r>
      <w:r w:rsidRPr="002B0B9F">
        <w:rPr>
          <w:rFonts w:ascii="Open Sans" w:hAnsi="Open Sans" w:cs="Open Sans"/>
          <w:sz w:val="20"/>
          <w:szCs w:val="20"/>
        </w:rPr>
        <w:t>».</w:t>
      </w:r>
    </w:p>
    <w:p w14:paraId="556CA94E" w14:textId="77777777" w:rsidR="003E002C" w:rsidRPr="002B0B9F" w:rsidRDefault="003E002C" w:rsidP="003E002C">
      <w:pPr>
        <w:jc w:val="both"/>
        <w:rPr>
          <w:rFonts w:ascii="Open Sans" w:hAnsi="Open Sans" w:cs="Open Sans"/>
          <w:sz w:val="20"/>
          <w:szCs w:val="20"/>
        </w:rPr>
      </w:pPr>
    </w:p>
    <w:p w14:paraId="44A7EFD9" w14:textId="77777777" w:rsidR="003E002C" w:rsidRPr="002B0B9F" w:rsidRDefault="003E002C" w:rsidP="003E002C">
      <w:pPr>
        <w:jc w:val="both"/>
        <w:rPr>
          <w:rFonts w:ascii="Open Sans" w:eastAsia="Calibri" w:hAnsi="Open Sans" w:cs="Open Sans"/>
          <w:sz w:val="20"/>
          <w:szCs w:val="20"/>
        </w:rPr>
      </w:pPr>
      <w:r w:rsidRPr="002B0B9F">
        <w:rPr>
          <w:rFonts w:ascii="Open Sans" w:hAnsi="Open Sans" w:cs="Open Sans"/>
          <w:sz w:val="20"/>
          <w:szCs w:val="20"/>
        </w:rPr>
        <w:t xml:space="preserve">Aunque DIA no reconoce expresamente poseer empresas en paraísos o nichos fiscales, a través de la información de sociedades de las cuentas anuales se identifica que el Grupo DIA cuenta con dos sociedades en Suiza: DIA World Trade, S.A. e </w:t>
      </w:r>
      <w:r w:rsidRPr="002B0B9F">
        <w:rPr>
          <w:rFonts w:ascii="Open Sans" w:eastAsia="Calibri" w:hAnsi="Open Sans" w:cs="Open Sans"/>
          <w:sz w:val="20"/>
          <w:szCs w:val="20"/>
        </w:rPr>
        <w:t xml:space="preserve">ICDC Services, Sàrl. Se trata de dos sociedades instrumentales cuyas actividades son, respectivamente, </w:t>
      </w:r>
      <w:r w:rsidRPr="002B0B9F">
        <w:rPr>
          <w:rFonts w:ascii="Open Sans" w:hAnsi="Open Sans" w:cs="Open Sans"/>
          <w:sz w:val="20"/>
          <w:szCs w:val="20"/>
        </w:rPr>
        <w:t>prestar servicios a los proveedores de las sociedades del Grupo DIA</w:t>
      </w:r>
      <w:r w:rsidRPr="002B0B9F">
        <w:rPr>
          <w:rFonts w:ascii="Open Sans" w:eastAsia="Calibri" w:hAnsi="Open Sans" w:cs="Open Sans"/>
          <w:sz w:val="20"/>
          <w:szCs w:val="20"/>
        </w:rPr>
        <w:t xml:space="preserve"> y la negociación con proveedores internacionales. En las Cuentas Anuales se indica que la cifra de ventas en Suiza es inexistente y en ninguno de los documentos analizados se ha encontrado evidencia de que DIA posea establecimientos o franquiciados en Suiza que le permita desarrollar su actividad principal.</w:t>
      </w:r>
    </w:p>
    <w:p w14:paraId="79A941DA" w14:textId="77777777" w:rsidR="003E002C" w:rsidRPr="002B0B9F" w:rsidRDefault="003E002C" w:rsidP="003E002C">
      <w:pPr>
        <w:jc w:val="both"/>
        <w:rPr>
          <w:rFonts w:ascii="Open Sans" w:eastAsia="Calibri" w:hAnsi="Open Sans" w:cs="Open Sans"/>
          <w:sz w:val="20"/>
          <w:szCs w:val="20"/>
        </w:rPr>
      </w:pPr>
    </w:p>
    <w:p w14:paraId="6D504938" w14:textId="77777777" w:rsidR="003E002C" w:rsidRPr="002B0B9F" w:rsidRDefault="003E002C" w:rsidP="003E002C">
      <w:pPr>
        <w:jc w:val="both"/>
        <w:rPr>
          <w:rFonts w:ascii="Open Sans" w:hAnsi="Open Sans" w:cs="Open Sans"/>
          <w:b/>
          <w:sz w:val="20"/>
          <w:szCs w:val="20"/>
        </w:rPr>
      </w:pPr>
    </w:p>
    <w:tbl>
      <w:tblPr>
        <w:tblW w:w="8510" w:type="dxa"/>
        <w:tblInd w:w="65" w:type="dxa"/>
        <w:tblLayout w:type="fixed"/>
        <w:tblCellMar>
          <w:left w:w="70" w:type="dxa"/>
          <w:right w:w="70" w:type="dxa"/>
        </w:tblCellMar>
        <w:tblLook w:val="04A0" w:firstRow="1" w:lastRow="0" w:firstColumn="1" w:lastColumn="0" w:noHBand="0" w:noVBand="1"/>
      </w:tblPr>
      <w:tblGrid>
        <w:gridCol w:w="2840"/>
        <w:gridCol w:w="2410"/>
        <w:gridCol w:w="3260"/>
      </w:tblGrid>
      <w:tr w:rsidR="003E002C" w:rsidRPr="002B0B9F" w14:paraId="32F01EEC" w14:textId="77777777" w:rsidTr="003E002C">
        <w:trPr>
          <w:trHeight w:val="298"/>
        </w:trPr>
        <w:tc>
          <w:tcPr>
            <w:tcW w:w="2840" w:type="dxa"/>
            <w:tcBorders>
              <w:top w:val="single" w:sz="4" w:space="0" w:color="auto"/>
              <w:left w:val="single" w:sz="4" w:space="0" w:color="auto"/>
              <w:bottom w:val="single" w:sz="4" w:space="0" w:color="auto"/>
              <w:right w:val="single" w:sz="4" w:space="0" w:color="auto"/>
            </w:tcBorders>
            <w:shd w:val="clear" w:color="000000" w:fill="C0C0C0"/>
            <w:noWrap/>
            <w:hideMark/>
          </w:tcPr>
          <w:p w14:paraId="3C15E14E" w14:textId="77777777" w:rsidR="003E002C" w:rsidRPr="002B0B9F" w:rsidRDefault="003E002C" w:rsidP="003E002C">
            <w:pPr>
              <w:jc w:val="center"/>
              <w:rPr>
                <w:rFonts w:ascii="Open Sans" w:hAnsi="Open Sans" w:cs="Open Sans"/>
                <w:b/>
                <w:bCs/>
                <w:color w:val="000000"/>
                <w:sz w:val="20"/>
                <w:szCs w:val="20"/>
              </w:rPr>
            </w:pPr>
            <w:r w:rsidRPr="002B0B9F">
              <w:rPr>
                <w:rFonts w:ascii="Open Sans" w:hAnsi="Open Sans" w:cs="Open Sans"/>
                <w:b/>
                <w:bCs/>
                <w:color w:val="000000"/>
                <w:sz w:val="20"/>
                <w:szCs w:val="20"/>
              </w:rPr>
              <w:t>Nombre de la Sociedad</w:t>
            </w:r>
          </w:p>
        </w:tc>
        <w:tc>
          <w:tcPr>
            <w:tcW w:w="2410" w:type="dxa"/>
            <w:tcBorders>
              <w:top w:val="single" w:sz="4" w:space="0" w:color="auto"/>
              <w:left w:val="nil"/>
              <w:bottom w:val="single" w:sz="4" w:space="0" w:color="auto"/>
              <w:right w:val="single" w:sz="4" w:space="0" w:color="auto"/>
            </w:tcBorders>
            <w:shd w:val="clear" w:color="000000" w:fill="C0C0C0"/>
            <w:noWrap/>
            <w:hideMark/>
          </w:tcPr>
          <w:p w14:paraId="2E713FD5" w14:textId="77777777" w:rsidR="003E002C" w:rsidRPr="002B0B9F" w:rsidRDefault="003E002C" w:rsidP="003E002C">
            <w:pPr>
              <w:jc w:val="center"/>
              <w:rPr>
                <w:rFonts w:ascii="Open Sans" w:hAnsi="Open Sans" w:cs="Open Sans"/>
                <w:b/>
                <w:bCs/>
                <w:color w:val="000000"/>
                <w:sz w:val="20"/>
                <w:szCs w:val="20"/>
              </w:rPr>
            </w:pPr>
            <w:r w:rsidRPr="002B0B9F">
              <w:rPr>
                <w:rFonts w:ascii="Open Sans" w:hAnsi="Open Sans" w:cs="Open Sans"/>
                <w:b/>
                <w:bCs/>
                <w:color w:val="000000"/>
                <w:sz w:val="20"/>
                <w:szCs w:val="20"/>
              </w:rPr>
              <w:t>Jurisdicción</w:t>
            </w:r>
          </w:p>
        </w:tc>
        <w:tc>
          <w:tcPr>
            <w:tcW w:w="3260" w:type="dxa"/>
            <w:tcBorders>
              <w:top w:val="single" w:sz="4" w:space="0" w:color="auto"/>
              <w:left w:val="nil"/>
              <w:bottom w:val="single" w:sz="4" w:space="0" w:color="auto"/>
              <w:right w:val="single" w:sz="4" w:space="0" w:color="auto"/>
            </w:tcBorders>
            <w:shd w:val="clear" w:color="000000" w:fill="C0C0C0"/>
            <w:noWrap/>
            <w:hideMark/>
          </w:tcPr>
          <w:p w14:paraId="49AAA7B1" w14:textId="77777777" w:rsidR="003E002C" w:rsidRPr="002B0B9F" w:rsidRDefault="003E002C" w:rsidP="003E002C">
            <w:pPr>
              <w:jc w:val="center"/>
              <w:rPr>
                <w:rFonts w:ascii="Open Sans" w:hAnsi="Open Sans" w:cs="Open Sans"/>
                <w:b/>
                <w:bCs/>
                <w:color w:val="000000"/>
                <w:sz w:val="20"/>
                <w:szCs w:val="20"/>
              </w:rPr>
            </w:pPr>
            <w:r w:rsidRPr="002B0B9F">
              <w:rPr>
                <w:rFonts w:ascii="Open Sans" w:hAnsi="Open Sans" w:cs="Open Sans"/>
                <w:b/>
                <w:bCs/>
                <w:color w:val="000000"/>
                <w:sz w:val="20"/>
                <w:szCs w:val="20"/>
              </w:rPr>
              <w:t>Actividad</w:t>
            </w:r>
          </w:p>
        </w:tc>
      </w:tr>
      <w:tr w:rsidR="003E002C" w:rsidRPr="002B0B9F" w14:paraId="7726FC80" w14:textId="77777777" w:rsidTr="003E002C">
        <w:trPr>
          <w:trHeight w:val="24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40DF139C" w14:textId="77777777" w:rsidR="003E002C" w:rsidRPr="002B0B9F" w:rsidRDefault="003E002C" w:rsidP="003E002C">
            <w:pPr>
              <w:rPr>
                <w:rFonts w:ascii="Open Sans" w:hAnsi="Open Sans" w:cs="Open Sans"/>
                <w:sz w:val="20"/>
                <w:szCs w:val="20"/>
              </w:rPr>
            </w:pPr>
            <w:r w:rsidRPr="002B0B9F">
              <w:rPr>
                <w:rFonts w:ascii="Open Sans" w:hAnsi="Open Sans" w:cs="Open Sans"/>
                <w:sz w:val="20"/>
                <w:szCs w:val="20"/>
              </w:rPr>
              <w:t>DIA WorldTrade</w:t>
            </w:r>
          </w:p>
        </w:tc>
        <w:tc>
          <w:tcPr>
            <w:tcW w:w="2410" w:type="dxa"/>
            <w:tcBorders>
              <w:top w:val="nil"/>
              <w:left w:val="nil"/>
              <w:bottom w:val="single" w:sz="4" w:space="0" w:color="auto"/>
              <w:right w:val="single" w:sz="4" w:space="0" w:color="auto"/>
            </w:tcBorders>
            <w:shd w:val="clear" w:color="auto" w:fill="auto"/>
            <w:vAlign w:val="center"/>
            <w:hideMark/>
          </w:tcPr>
          <w:p w14:paraId="49001346" w14:textId="77777777" w:rsidR="003E002C" w:rsidRPr="002B0B9F" w:rsidRDefault="003E002C" w:rsidP="003E002C">
            <w:pPr>
              <w:rPr>
                <w:rFonts w:ascii="Open Sans" w:hAnsi="Open Sans" w:cs="Open Sans"/>
                <w:sz w:val="20"/>
                <w:szCs w:val="20"/>
              </w:rPr>
            </w:pPr>
            <w:r w:rsidRPr="002B0B9F">
              <w:rPr>
                <w:rFonts w:ascii="Open Sans" w:hAnsi="Open Sans" w:cs="Open Sans"/>
                <w:sz w:val="20"/>
                <w:szCs w:val="20"/>
              </w:rPr>
              <w:t>Ginebra (Suiza)</w:t>
            </w:r>
          </w:p>
        </w:tc>
        <w:tc>
          <w:tcPr>
            <w:tcW w:w="3260" w:type="dxa"/>
            <w:tcBorders>
              <w:top w:val="nil"/>
              <w:left w:val="nil"/>
              <w:bottom w:val="single" w:sz="4" w:space="0" w:color="auto"/>
              <w:right w:val="single" w:sz="4" w:space="0" w:color="auto"/>
            </w:tcBorders>
            <w:shd w:val="clear" w:color="auto" w:fill="auto"/>
            <w:vAlign w:val="center"/>
            <w:hideMark/>
          </w:tcPr>
          <w:p w14:paraId="22F048D6" w14:textId="77777777" w:rsidR="003E002C" w:rsidRPr="002B0B9F" w:rsidRDefault="003E002C" w:rsidP="003E002C">
            <w:pPr>
              <w:rPr>
                <w:rFonts w:ascii="Open Sans" w:hAnsi="Open Sans" w:cs="Open Sans"/>
                <w:sz w:val="20"/>
                <w:szCs w:val="20"/>
              </w:rPr>
            </w:pPr>
            <w:r w:rsidRPr="002B0B9F">
              <w:rPr>
                <w:rFonts w:ascii="Open Sans" w:hAnsi="Open Sans" w:cs="Open Sans"/>
                <w:sz w:val="20"/>
                <w:szCs w:val="20"/>
              </w:rPr>
              <w:t>Prestación de servicios de proveedores de las sociedades del Grupo DIA</w:t>
            </w:r>
          </w:p>
        </w:tc>
      </w:tr>
      <w:tr w:rsidR="003E002C" w:rsidRPr="002B0B9F" w14:paraId="5BB920B1" w14:textId="77777777" w:rsidTr="003E002C">
        <w:trPr>
          <w:trHeight w:val="240"/>
        </w:trPr>
        <w:tc>
          <w:tcPr>
            <w:tcW w:w="2840" w:type="dxa"/>
            <w:tcBorders>
              <w:top w:val="nil"/>
              <w:left w:val="single" w:sz="4" w:space="0" w:color="auto"/>
              <w:bottom w:val="single" w:sz="4" w:space="0" w:color="auto"/>
              <w:right w:val="single" w:sz="4" w:space="0" w:color="auto"/>
            </w:tcBorders>
            <w:shd w:val="clear" w:color="auto" w:fill="auto"/>
            <w:vAlign w:val="center"/>
            <w:hideMark/>
          </w:tcPr>
          <w:p w14:paraId="2DB1B4A2" w14:textId="77777777" w:rsidR="003E002C" w:rsidRPr="002B0B9F" w:rsidRDefault="003E002C" w:rsidP="003E002C">
            <w:pPr>
              <w:rPr>
                <w:rFonts w:ascii="Open Sans" w:hAnsi="Open Sans" w:cs="Open Sans"/>
                <w:sz w:val="20"/>
                <w:szCs w:val="20"/>
              </w:rPr>
            </w:pPr>
            <w:r w:rsidRPr="002B0B9F">
              <w:rPr>
                <w:rFonts w:ascii="Open Sans" w:hAnsi="Open Sans" w:cs="Open Sans"/>
                <w:sz w:val="20"/>
                <w:szCs w:val="20"/>
              </w:rPr>
              <w:t>ICDC Services Sàrl</w:t>
            </w:r>
          </w:p>
        </w:tc>
        <w:tc>
          <w:tcPr>
            <w:tcW w:w="2410" w:type="dxa"/>
            <w:tcBorders>
              <w:top w:val="nil"/>
              <w:left w:val="nil"/>
              <w:bottom w:val="single" w:sz="4" w:space="0" w:color="auto"/>
              <w:right w:val="single" w:sz="4" w:space="0" w:color="auto"/>
            </w:tcBorders>
            <w:shd w:val="clear" w:color="auto" w:fill="auto"/>
            <w:vAlign w:val="center"/>
            <w:hideMark/>
          </w:tcPr>
          <w:p w14:paraId="156B878A" w14:textId="77777777" w:rsidR="003E002C" w:rsidRPr="002B0B9F" w:rsidRDefault="003E002C" w:rsidP="003E002C">
            <w:pPr>
              <w:rPr>
                <w:rFonts w:ascii="Open Sans" w:hAnsi="Open Sans" w:cs="Open Sans"/>
                <w:sz w:val="20"/>
                <w:szCs w:val="20"/>
              </w:rPr>
            </w:pPr>
            <w:r w:rsidRPr="002B0B9F">
              <w:rPr>
                <w:rFonts w:ascii="Open Sans" w:hAnsi="Open Sans" w:cs="Open Sans"/>
                <w:sz w:val="20"/>
                <w:szCs w:val="20"/>
              </w:rPr>
              <w:t>Ginebra (Suiza)</w:t>
            </w:r>
          </w:p>
        </w:tc>
        <w:tc>
          <w:tcPr>
            <w:tcW w:w="3260" w:type="dxa"/>
            <w:tcBorders>
              <w:top w:val="nil"/>
              <w:left w:val="nil"/>
              <w:bottom w:val="single" w:sz="4" w:space="0" w:color="auto"/>
              <w:right w:val="single" w:sz="4" w:space="0" w:color="auto"/>
            </w:tcBorders>
            <w:shd w:val="clear" w:color="auto" w:fill="auto"/>
            <w:vAlign w:val="center"/>
            <w:hideMark/>
          </w:tcPr>
          <w:p w14:paraId="593B870F" w14:textId="77777777" w:rsidR="003E002C" w:rsidRPr="002B0B9F" w:rsidRDefault="003E002C" w:rsidP="003E002C">
            <w:pPr>
              <w:rPr>
                <w:rFonts w:ascii="Open Sans" w:hAnsi="Open Sans" w:cs="Open Sans"/>
                <w:sz w:val="20"/>
                <w:szCs w:val="20"/>
              </w:rPr>
            </w:pPr>
            <w:r w:rsidRPr="002B0B9F">
              <w:rPr>
                <w:rFonts w:ascii="Open Sans" w:hAnsi="Open Sans" w:cs="Open Sans"/>
                <w:sz w:val="20"/>
                <w:szCs w:val="20"/>
              </w:rPr>
              <w:t>Negociación con proveedores internacionales</w:t>
            </w:r>
          </w:p>
        </w:tc>
      </w:tr>
    </w:tbl>
    <w:p w14:paraId="682802C3" w14:textId="77777777" w:rsidR="003E002C" w:rsidRPr="002B0B9F" w:rsidRDefault="003E002C" w:rsidP="003E002C">
      <w:pPr>
        <w:jc w:val="both"/>
        <w:rPr>
          <w:rFonts w:ascii="Open Sans" w:hAnsi="Open Sans" w:cs="Open Sans"/>
          <w:sz w:val="20"/>
          <w:szCs w:val="20"/>
        </w:rPr>
      </w:pPr>
    </w:p>
    <w:p w14:paraId="61FED239" w14:textId="77777777" w:rsidR="003E002C" w:rsidRPr="002B0B9F" w:rsidRDefault="003E002C" w:rsidP="003E002C">
      <w:pPr>
        <w:autoSpaceDE w:val="0"/>
        <w:autoSpaceDN w:val="0"/>
        <w:adjustRightInd w:val="0"/>
        <w:jc w:val="both"/>
        <w:rPr>
          <w:rFonts w:ascii="Open Sans" w:eastAsia="Calibri" w:hAnsi="Open Sans" w:cs="Open Sans"/>
          <w:sz w:val="20"/>
          <w:szCs w:val="20"/>
        </w:rPr>
      </w:pPr>
      <w:r w:rsidRPr="002B0B9F">
        <w:rPr>
          <w:rFonts w:ascii="Open Sans" w:eastAsia="Calibri" w:hAnsi="Open Sans" w:cs="Open Sans"/>
          <w:sz w:val="20"/>
          <w:szCs w:val="20"/>
        </w:rPr>
        <w:t>Llama la atención que estas sociedades radicadas en Suiza únicamente se citan en las Cuentas Anuales y en el Informe de Gestión, donde se proporciona información genérica sobre las actividades que realizan y los accionistas de las mismas. En otro tipo de informes, como el de Desarrollo Sostenible, únicamente se indica que el grupo opera en España, Portugal, Argentina, Brasil y China. Tampoco se ha encontrado información cuantitativa que muestre el comportamiento fiscal de la empresa en Suiza ni siquiera en las Cuentas Anuales.</w:t>
      </w:r>
    </w:p>
    <w:p w14:paraId="07D3B751" w14:textId="77777777" w:rsidR="003E002C" w:rsidRPr="002B0B9F" w:rsidRDefault="003E002C" w:rsidP="003E002C">
      <w:pPr>
        <w:autoSpaceDE w:val="0"/>
        <w:autoSpaceDN w:val="0"/>
        <w:adjustRightInd w:val="0"/>
        <w:jc w:val="both"/>
        <w:rPr>
          <w:rFonts w:ascii="Open Sans" w:eastAsia="Calibri" w:hAnsi="Open Sans" w:cs="Open Sans"/>
          <w:sz w:val="20"/>
          <w:szCs w:val="20"/>
        </w:rPr>
      </w:pPr>
    </w:p>
    <w:p w14:paraId="602C5366" w14:textId="77777777" w:rsidR="003E002C" w:rsidRPr="002B0B9F" w:rsidRDefault="003E002C" w:rsidP="003E002C">
      <w:pPr>
        <w:jc w:val="both"/>
        <w:rPr>
          <w:rFonts w:ascii="Open Sans" w:hAnsi="Open Sans" w:cs="Open Sans"/>
          <w:bCs/>
          <w:sz w:val="20"/>
          <w:szCs w:val="20"/>
        </w:rPr>
      </w:pPr>
      <w:r w:rsidRPr="002B0B9F">
        <w:rPr>
          <w:rFonts w:ascii="Open Sans" w:eastAsia="Calibri" w:hAnsi="Open Sans" w:cs="Open Sans"/>
          <w:sz w:val="20"/>
          <w:szCs w:val="20"/>
        </w:rPr>
        <w:t xml:space="preserve">A efectos de una mayor transparencia con la que dice estar comprometida en su política de RSC, sería recomendable que DIA </w:t>
      </w:r>
      <w:r w:rsidRPr="002B0B9F">
        <w:rPr>
          <w:rFonts w:ascii="Open Sans" w:hAnsi="Open Sans" w:cs="Open Sans"/>
          <w:bCs/>
          <w:sz w:val="20"/>
          <w:szCs w:val="20"/>
        </w:rPr>
        <w:t xml:space="preserve">presentase información detallada de su operativa a través de estas sociedades, facturación, empleados, resultado contable, conciliación con el impuesto de sociedades a pagar y operaciones realizadas con otras sociedades del grupo. </w:t>
      </w:r>
    </w:p>
    <w:p w14:paraId="1F885A01" w14:textId="77777777" w:rsidR="003E002C" w:rsidRPr="002B0B9F" w:rsidRDefault="003E002C" w:rsidP="003E002C">
      <w:pPr>
        <w:autoSpaceDE w:val="0"/>
        <w:autoSpaceDN w:val="0"/>
        <w:adjustRightInd w:val="0"/>
        <w:jc w:val="both"/>
        <w:rPr>
          <w:rFonts w:ascii="Open Sans" w:eastAsia="Calibri" w:hAnsi="Open Sans" w:cs="Open Sans"/>
          <w:sz w:val="20"/>
          <w:szCs w:val="20"/>
        </w:rPr>
      </w:pPr>
    </w:p>
    <w:p w14:paraId="4CF1AC0F" w14:textId="77777777" w:rsidR="003E002C" w:rsidRDefault="003E002C" w:rsidP="003E002C">
      <w:pPr>
        <w:jc w:val="both"/>
        <w:rPr>
          <w:rFonts w:ascii="Open Sans" w:eastAsia="Calibri" w:hAnsi="Open Sans" w:cs="Open Sans"/>
          <w:sz w:val="20"/>
          <w:szCs w:val="20"/>
        </w:rPr>
      </w:pPr>
    </w:p>
    <w:p w14:paraId="6E62912A" w14:textId="77777777" w:rsidR="003E002C" w:rsidRPr="005955A1" w:rsidRDefault="003E002C" w:rsidP="003E002C">
      <w:pPr>
        <w:jc w:val="both"/>
        <w:rPr>
          <w:rFonts w:ascii="Open Sans" w:hAnsi="Open Sans" w:cs="Arial"/>
          <w:b/>
          <w:sz w:val="20"/>
          <w:szCs w:val="20"/>
        </w:rPr>
      </w:pPr>
      <w:r w:rsidRPr="005955A1">
        <w:rPr>
          <w:rFonts w:ascii="Open Sans" w:hAnsi="Open Sans" w:cs="Arial"/>
          <w:b/>
          <w:sz w:val="20"/>
          <w:szCs w:val="20"/>
        </w:rPr>
        <w:t>Política y estrategia</w:t>
      </w:r>
    </w:p>
    <w:p w14:paraId="5667F0AB" w14:textId="77777777" w:rsidR="003E002C" w:rsidRPr="002B0B9F" w:rsidRDefault="003E002C" w:rsidP="003E002C">
      <w:pPr>
        <w:rPr>
          <w:rFonts w:ascii="Open Sans" w:hAnsi="Open Sans" w:cs="Open Sans"/>
          <w:bCs/>
          <w:sz w:val="20"/>
          <w:szCs w:val="20"/>
        </w:rPr>
      </w:pPr>
    </w:p>
    <w:p w14:paraId="6C88A610" w14:textId="77777777" w:rsidR="003E002C" w:rsidRPr="002B0B9F" w:rsidRDefault="003E002C" w:rsidP="003E002C">
      <w:pPr>
        <w:jc w:val="both"/>
        <w:rPr>
          <w:rFonts w:ascii="Open Sans" w:hAnsi="Open Sans" w:cs="Open Sans"/>
          <w:bCs/>
          <w:sz w:val="20"/>
          <w:szCs w:val="20"/>
        </w:rPr>
      </w:pPr>
      <w:r w:rsidRPr="002B0B9F">
        <w:rPr>
          <w:rFonts w:ascii="Open Sans" w:hAnsi="Open Sans" w:cs="Open Sans"/>
          <w:bCs/>
          <w:sz w:val="20"/>
          <w:szCs w:val="20"/>
        </w:rPr>
        <w:t>El Grupo DIA cuenta con una estrategia/política fiscal pública que, tal y como se refleja en la documentación analizada, fue objeto de trabajo durante el año 2015 en la Comisión de Auditoría para su sometimiento a la aprobación del Consejo.</w:t>
      </w:r>
    </w:p>
    <w:p w14:paraId="51579AC3" w14:textId="77777777" w:rsidR="003E002C" w:rsidRPr="002B0B9F" w:rsidRDefault="003E002C" w:rsidP="003E002C">
      <w:pPr>
        <w:jc w:val="both"/>
        <w:rPr>
          <w:rFonts w:ascii="Open Sans" w:hAnsi="Open Sans" w:cs="Open Sans"/>
          <w:bCs/>
          <w:sz w:val="20"/>
          <w:szCs w:val="20"/>
        </w:rPr>
      </w:pPr>
    </w:p>
    <w:p w14:paraId="28D91AB6" w14:textId="77777777" w:rsidR="003E002C" w:rsidRPr="002B0B9F" w:rsidRDefault="003E002C" w:rsidP="003E002C">
      <w:pPr>
        <w:jc w:val="both"/>
        <w:rPr>
          <w:rFonts w:ascii="Open Sans" w:hAnsi="Open Sans" w:cs="Open Sans"/>
          <w:bCs/>
          <w:sz w:val="20"/>
          <w:szCs w:val="20"/>
        </w:rPr>
      </w:pPr>
      <w:r w:rsidRPr="002B0B9F">
        <w:rPr>
          <w:rFonts w:ascii="Open Sans" w:hAnsi="Open Sans" w:cs="Open Sans"/>
          <w:bCs/>
          <w:sz w:val="20"/>
          <w:szCs w:val="20"/>
        </w:rPr>
        <w:t>Se trata de un documento de dos páginas y media al que la empresa denomina indistintamente “estrategia” y “política” fiscal. En él se afirma recoger los fines, los principios y las buenas prácticas tributarias que conforman la estrategia fiscal de DIA. A lo largo del documento no se cita expresamente ningún estándar o iniciativa relacionado con la responsabilidad ni la transparencia fiscal que sirvan de fundamento a lo que en él se expone. Los principios consisten en declaraciones de intenciones genéricas centradas, fundamentalmente, en el cumplimiento normativo basado en una interpretación razonable y responsable, la relación colaborativa con las administraciones tributarias y la gestión de riesgos fiscales.</w:t>
      </w:r>
    </w:p>
    <w:p w14:paraId="2BE272DD" w14:textId="77777777" w:rsidR="003E002C" w:rsidRPr="002B0B9F" w:rsidRDefault="003E002C" w:rsidP="003E002C">
      <w:pPr>
        <w:jc w:val="both"/>
        <w:rPr>
          <w:rFonts w:ascii="Open Sans" w:hAnsi="Open Sans" w:cs="Open Sans"/>
          <w:bCs/>
          <w:sz w:val="20"/>
          <w:szCs w:val="20"/>
        </w:rPr>
      </w:pPr>
    </w:p>
    <w:p w14:paraId="295D4B59" w14:textId="77777777" w:rsidR="003E002C" w:rsidRPr="002B0B9F" w:rsidRDefault="003E002C" w:rsidP="003E002C">
      <w:pPr>
        <w:jc w:val="both"/>
        <w:rPr>
          <w:rFonts w:ascii="Open Sans" w:hAnsi="Open Sans" w:cs="Open Sans"/>
          <w:bCs/>
          <w:sz w:val="20"/>
          <w:szCs w:val="20"/>
        </w:rPr>
      </w:pPr>
      <w:r w:rsidRPr="002B0B9F">
        <w:rPr>
          <w:rFonts w:ascii="Open Sans" w:hAnsi="Open Sans" w:cs="Open Sans"/>
          <w:bCs/>
          <w:sz w:val="20"/>
          <w:szCs w:val="20"/>
        </w:rPr>
        <w:t>Pese a que, según publica la compañía, la gestión de riesgos fiscales es uno de los aspectos clave de la estrategia fiscal y de afirmar que cuenta con un Modelo de Gestión de Riesgos que asegura la identificación de los riesgos fiscales, en la documentación analizada no hay evidencia de cómo se gestionan y minimizan este tipo de riesgos</w:t>
      </w:r>
      <w:r w:rsidRPr="00673DDA">
        <w:rPr>
          <w:rFonts w:ascii="Open Sans" w:hAnsi="Open Sans" w:cs="Open Sans"/>
          <w:bCs/>
          <w:sz w:val="20"/>
          <w:szCs w:val="20"/>
        </w:rPr>
        <w:t>, ni información detallada sobre el mapa de riesgos. Las únicas menciones sobre los riesgos fiscales son</w:t>
      </w:r>
      <w:r w:rsidRPr="002B0B9F">
        <w:rPr>
          <w:rFonts w:ascii="Open Sans" w:hAnsi="Open Sans" w:cs="Open Sans"/>
          <w:bCs/>
          <w:sz w:val="20"/>
          <w:szCs w:val="20"/>
        </w:rPr>
        <w:t xml:space="preserve"> las que se publican de forma genérica en el Informe de Gobierno Corporativo y el compromiso de DIA expresado a través de los principios antes indicados de su política fiscal. Concretamente, en la política fiscal se indica que: «</w:t>
      </w:r>
      <w:r w:rsidRPr="002B0B9F">
        <w:rPr>
          <w:rFonts w:ascii="Open Sans" w:hAnsi="Open Sans" w:cs="Open Sans"/>
          <w:bCs/>
          <w:i/>
          <w:sz w:val="20"/>
          <w:szCs w:val="20"/>
        </w:rPr>
        <w:t>DIA desarrollará la Política de Gestión de Riesgos y establecerá un sistema de control y gestión de riesgos fiscales con el fin de prevenir y minimizar los riesgos fiscales significativos</w:t>
      </w:r>
      <w:r w:rsidRPr="002B0B9F">
        <w:rPr>
          <w:rFonts w:ascii="Open Sans" w:hAnsi="Open Sans" w:cs="Open Sans"/>
          <w:bCs/>
          <w:sz w:val="20"/>
          <w:szCs w:val="20"/>
        </w:rPr>
        <w:t>» (Principio 5) y que «</w:t>
      </w:r>
      <w:r w:rsidRPr="002B0B9F">
        <w:rPr>
          <w:rFonts w:ascii="Open Sans" w:hAnsi="Open Sans" w:cs="Open Sans"/>
          <w:bCs/>
          <w:i/>
          <w:sz w:val="20"/>
          <w:szCs w:val="20"/>
        </w:rPr>
        <w:t>DIA se compromete a seguir, en el marco de su actividad, buenas prácticas tributarias que conduzcan a la reducción de riesgos fiscales significativos y a la prevención de aquellas conductas susceptibles de generarlos</w:t>
      </w:r>
      <w:r w:rsidRPr="002B0B9F">
        <w:rPr>
          <w:rFonts w:ascii="Open Sans" w:hAnsi="Open Sans" w:cs="Open Sans"/>
          <w:bCs/>
          <w:sz w:val="20"/>
          <w:szCs w:val="20"/>
        </w:rPr>
        <w:t>» (Principio 6).</w:t>
      </w:r>
    </w:p>
    <w:p w14:paraId="7B205E9C" w14:textId="77777777" w:rsidR="003E002C" w:rsidRPr="002B0B9F" w:rsidRDefault="003E002C" w:rsidP="003E002C">
      <w:pPr>
        <w:jc w:val="both"/>
        <w:rPr>
          <w:rFonts w:ascii="Open Sans" w:hAnsi="Open Sans" w:cs="Open Sans"/>
          <w:bCs/>
          <w:sz w:val="20"/>
          <w:szCs w:val="20"/>
        </w:rPr>
      </w:pPr>
    </w:p>
    <w:p w14:paraId="23DA793D" w14:textId="77777777" w:rsidR="003E002C" w:rsidRPr="002B0B9F" w:rsidRDefault="003E002C" w:rsidP="003E002C">
      <w:pPr>
        <w:jc w:val="both"/>
        <w:rPr>
          <w:rFonts w:ascii="Open Sans" w:hAnsi="Open Sans" w:cs="Open Sans"/>
          <w:bCs/>
          <w:sz w:val="20"/>
          <w:szCs w:val="20"/>
        </w:rPr>
      </w:pPr>
      <w:r w:rsidRPr="00673DDA">
        <w:rPr>
          <w:rFonts w:ascii="Open Sans" w:hAnsi="Open Sans" w:cs="Open Sans"/>
          <w:bCs/>
          <w:sz w:val="20"/>
          <w:szCs w:val="20"/>
        </w:rPr>
        <w:t>Por lo que se refiere a los órganos relacionados con su gestión, en la estrategia fiscal de la compañía se establece que la Comisión de Auditoría y Cumplimiento, es la encargada de supervisar la eficacia del sistema de control y gestión de riesgos fiscales e informar al Consejo de Administración sobre las cuestiones que sobre esta materia prevé la Ley. Asimismo, en la política corporativa de gestión de riesgos se indica que entre los miembros que componen el Comité de Riesgos se encuentra un responsable de área fiscal.</w:t>
      </w:r>
    </w:p>
    <w:p w14:paraId="0F69E8AA" w14:textId="77777777" w:rsidR="003E002C" w:rsidRDefault="003E002C" w:rsidP="003E002C">
      <w:pPr>
        <w:jc w:val="both"/>
        <w:rPr>
          <w:rFonts w:ascii="Open Sans" w:hAnsi="Open Sans" w:cs="Arial"/>
          <w:bCs/>
          <w:sz w:val="20"/>
          <w:szCs w:val="20"/>
        </w:rPr>
      </w:pPr>
    </w:p>
    <w:p w14:paraId="6D0F6A84" w14:textId="77777777" w:rsidR="003E002C" w:rsidRDefault="003E002C" w:rsidP="003E002C">
      <w:pPr>
        <w:rPr>
          <w:rFonts w:ascii="Open Sans" w:hAnsi="Open Sans" w:cs="Arial"/>
          <w:bCs/>
          <w:sz w:val="20"/>
          <w:szCs w:val="20"/>
        </w:rPr>
      </w:pPr>
    </w:p>
    <w:p w14:paraId="037642F7" w14:textId="77777777" w:rsidR="003E002C" w:rsidRPr="00536AE3" w:rsidRDefault="003E002C" w:rsidP="003E002C">
      <w:pPr>
        <w:jc w:val="both"/>
        <w:rPr>
          <w:rFonts w:ascii="Open Sans" w:hAnsi="Open Sans" w:cs="Arial"/>
          <w:b/>
          <w:sz w:val="20"/>
          <w:szCs w:val="20"/>
        </w:rPr>
      </w:pPr>
      <w:r w:rsidRPr="00536AE3">
        <w:rPr>
          <w:rFonts w:ascii="Open Sans" w:hAnsi="Open Sans" w:cs="Arial"/>
          <w:b/>
          <w:sz w:val="20"/>
          <w:szCs w:val="20"/>
        </w:rPr>
        <w:t>Impuestos e incentivos</w:t>
      </w:r>
    </w:p>
    <w:p w14:paraId="6AF3BEB1" w14:textId="77777777" w:rsidR="003E002C" w:rsidRDefault="003E002C" w:rsidP="003E002C">
      <w:pPr>
        <w:ind w:left="2520"/>
        <w:jc w:val="both"/>
        <w:rPr>
          <w:rFonts w:ascii="Open Sans" w:hAnsi="Open Sans" w:cs="Arial"/>
          <w:bCs/>
          <w:sz w:val="20"/>
          <w:szCs w:val="20"/>
        </w:rPr>
      </w:pPr>
    </w:p>
    <w:p w14:paraId="23E778A6" w14:textId="77777777" w:rsidR="003E002C" w:rsidRDefault="003E002C" w:rsidP="003E002C">
      <w:pPr>
        <w:jc w:val="both"/>
        <w:rPr>
          <w:rFonts w:ascii="Open Sans" w:hAnsi="Open Sans" w:cs="Arial"/>
          <w:bCs/>
          <w:sz w:val="20"/>
          <w:szCs w:val="20"/>
        </w:rPr>
      </w:pPr>
      <w:r>
        <w:rPr>
          <w:rFonts w:ascii="Open Sans" w:hAnsi="Open Sans" w:cs="Arial"/>
          <w:bCs/>
          <w:sz w:val="20"/>
          <w:szCs w:val="20"/>
        </w:rPr>
        <w:t>La información concreta sobre impuestos e incentivos fiscales del grupo se encuentra, fundamentalmente, en las cuentas anuales. Esta información se publica, en la mayor parte de los casos, de forma agregada. Esto impide al lector tener una imagen clara y completa de la responsabilidad fiscal de las empresas del grupo y de su contribución a las finanzas de los países en los que desarrolla sus actividades principales.</w:t>
      </w:r>
    </w:p>
    <w:p w14:paraId="020C44D0" w14:textId="77777777" w:rsidR="003E002C" w:rsidRDefault="003E002C" w:rsidP="003E002C">
      <w:pPr>
        <w:jc w:val="both"/>
        <w:rPr>
          <w:rFonts w:ascii="Open Sans" w:hAnsi="Open Sans" w:cs="Arial"/>
          <w:bCs/>
          <w:sz w:val="20"/>
          <w:szCs w:val="20"/>
        </w:rPr>
      </w:pPr>
    </w:p>
    <w:p w14:paraId="2BB87E23" w14:textId="77777777" w:rsidR="003E002C" w:rsidRDefault="003E002C" w:rsidP="003E002C">
      <w:pPr>
        <w:jc w:val="both"/>
        <w:rPr>
          <w:rFonts w:ascii="Open Sans" w:hAnsi="Open Sans" w:cs="Arial"/>
          <w:sz w:val="20"/>
          <w:szCs w:val="20"/>
        </w:rPr>
      </w:pPr>
      <w:r>
        <w:rPr>
          <w:rFonts w:ascii="Open Sans" w:hAnsi="Open Sans" w:cs="Arial"/>
          <w:bCs/>
          <w:sz w:val="20"/>
          <w:szCs w:val="20"/>
        </w:rPr>
        <w:t>Respecto al impuesto sobre beneficios el Grupo publica la cifra agregada de</w:t>
      </w:r>
      <w:r w:rsidRPr="005D4BCD">
        <w:rPr>
          <w:rFonts w:ascii="Open Sans" w:hAnsi="Open Sans" w:cs="Arial"/>
          <w:bCs/>
          <w:sz w:val="20"/>
          <w:szCs w:val="20"/>
        </w:rPr>
        <w:t xml:space="preserve"> la totalidad de los cargos o abonos derivados del</w:t>
      </w:r>
      <w:r>
        <w:rPr>
          <w:rFonts w:ascii="Open Sans" w:hAnsi="Open Sans" w:cs="Arial"/>
          <w:bCs/>
          <w:sz w:val="20"/>
          <w:szCs w:val="20"/>
        </w:rPr>
        <w:t xml:space="preserve"> </w:t>
      </w:r>
      <w:r w:rsidRPr="005D4BCD">
        <w:rPr>
          <w:rFonts w:ascii="Open Sans" w:hAnsi="Open Sans" w:cs="Arial"/>
          <w:bCs/>
          <w:sz w:val="20"/>
          <w:szCs w:val="20"/>
        </w:rPr>
        <w:t>Impuesto sobre Sociedades que grava a las compañías españolas del Grupo y aquellos de naturaleza similar de las</w:t>
      </w:r>
      <w:r>
        <w:rPr>
          <w:rFonts w:ascii="Open Sans" w:hAnsi="Open Sans" w:cs="Arial"/>
          <w:bCs/>
          <w:sz w:val="20"/>
          <w:szCs w:val="20"/>
        </w:rPr>
        <w:t xml:space="preserve"> </w:t>
      </w:r>
      <w:r w:rsidRPr="005D4BCD">
        <w:rPr>
          <w:rFonts w:ascii="Open Sans" w:hAnsi="Open Sans" w:cs="Arial"/>
          <w:bCs/>
          <w:sz w:val="20"/>
          <w:szCs w:val="20"/>
        </w:rPr>
        <w:t>sociedades extranjeras</w:t>
      </w:r>
      <w:r>
        <w:rPr>
          <w:rFonts w:ascii="Open Sans" w:hAnsi="Open Sans" w:cs="Arial"/>
          <w:bCs/>
          <w:sz w:val="20"/>
          <w:szCs w:val="20"/>
        </w:rPr>
        <w:t>.</w:t>
      </w:r>
      <w:r>
        <w:rPr>
          <w:rFonts w:ascii="Open Sans" w:hAnsi="Open Sans" w:cs="Arial"/>
          <w:sz w:val="20"/>
          <w:szCs w:val="20"/>
        </w:rPr>
        <w:t xml:space="preserve"> Las cuentas consolidadas muestran que, debido a la activación de bases imponibles negativas </w:t>
      </w:r>
      <w:r w:rsidRPr="008226BD">
        <w:rPr>
          <w:rFonts w:ascii="Open Sans" w:hAnsi="Open Sans" w:cs="Arial"/>
          <w:sz w:val="20"/>
          <w:szCs w:val="20"/>
        </w:rPr>
        <w:t>y otros ajustes de impuesto diferido</w:t>
      </w:r>
      <w:r>
        <w:rPr>
          <w:rFonts w:ascii="Open Sans" w:hAnsi="Open Sans" w:cs="Arial"/>
          <w:sz w:val="20"/>
          <w:szCs w:val="20"/>
        </w:rPr>
        <w:t xml:space="preserve">, el impuesto sobre beneficios </w:t>
      </w:r>
      <w:r w:rsidRPr="00B21CF0">
        <w:rPr>
          <w:rFonts w:ascii="Open Sans" w:hAnsi="Open Sans" w:cs="Arial"/>
          <w:sz w:val="20"/>
          <w:szCs w:val="20"/>
        </w:rPr>
        <w:t>supuso un ingreso para DIA de 82.610 miles de €,</w:t>
      </w:r>
      <w:r>
        <w:rPr>
          <w:rFonts w:ascii="Open Sans" w:hAnsi="Open Sans" w:cs="Arial"/>
          <w:sz w:val="20"/>
          <w:szCs w:val="20"/>
        </w:rPr>
        <w:t xml:space="preserve"> pese a haber obtenido unos beneficios antes de impuesto de las actividades continuadas de 218.116 miles de € en el año 2015. Sin embargo, la información publicada no es lo suficientemente clara en la explicación de este ingreso para el Grupo.</w:t>
      </w:r>
    </w:p>
    <w:p w14:paraId="5FCBBC63" w14:textId="77777777" w:rsidR="003E002C" w:rsidRDefault="003E002C" w:rsidP="003E002C">
      <w:pPr>
        <w:jc w:val="both"/>
        <w:rPr>
          <w:rFonts w:ascii="Open Sans" w:hAnsi="Open Sans" w:cs="Arial"/>
          <w:bCs/>
          <w:sz w:val="20"/>
          <w:szCs w:val="20"/>
        </w:rPr>
      </w:pPr>
    </w:p>
    <w:p w14:paraId="2607113C" w14:textId="77777777" w:rsidR="003E002C" w:rsidRDefault="003E002C" w:rsidP="003E002C">
      <w:pPr>
        <w:jc w:val="both"/>
        <w:rPr>
          <w:rFonts w:ascii="Open Sans" w:hAnsi="Open Sans" w:cs="Arial"/>
          <w:bCs/>
          <w:sz w:val="20"/>
          <w:szCs w:val="20"/>
        </w:rPr>
      </w:pPr>
      <w:r>
        <w:rPr>
          <w:rFonts w:ascii="Open Sans" w:hAnsi="Open Sans" w:cs="Arial"/>
          <w:bCs/>
          <w:sz w:val="20"/>
          <w:szCs w:val="20"/>
        </w:rPr>
        <w:t xml:space="preserve">En el Informe de Sostenibilidad únicamente se indica el resultado del impuesto sobre sociedades, publicándolo de una forma que puede causar confusión ya que se califica como “valor </w:t>
      </w:r>
      <w:r w:rsidRPr="006965CA">
        <w:rPr>
          <w:rFonts w:ascii="Open Sans" w:hAnsi="Open Sans" w:cs="Arial"/>
          <w:bCs/>
          <w:sz w:val="20"/>
          <w:szCs w:val="20"/>
        </w:rPr>
        <w:t>económico generado” sin aclarar que ese importe supone un ingreso</w:t>
      </w:r>
      <w:r>
        <w:rPr>
          <w:rFonts w:ascii="Open Sans" w:hAnsi="Open Sans" w:cs="Arial"/>
          <w:bCs/>
          <w:sz w:val="20"/>
          <w:szCs w:val="20"/>
        </w:rPr>
        <w:t xml:space="preserve"> para la empresa y que no es el pago de impuestos que la empresa realiza</w:t>
      </w:r>
      <w:r w:rsidRPr="006965CA">
        <w:rPr>
          <w:rFonts w:ascii="Open Sans" w:hAnsi="Open Sans" w:cs="Arial"/>
          <w:bCs/>
          <w:sz w:val="20"/>
          <w:szCs w:val="20"/>
        </w:rPr>
        <w:t>.</w:t>
      </w:r>
    </w:p>
    <w:p w14:paraId="782CFA84" w14:textId="77777777" w:rsidR="003E002C" w:rsidRDefault="003E002C" w:rsidP="003E002C">
      <w:pPr>
        <w:jc w:val="both"/>
        <w:rPr>
          <w:rFonts w:ascii="Open Sans" w:hAnsi="Open Sans" w:cs="Arial"/>
          <w:bCs/>
          <w:sz w:val="20"/>
          <w:szCs w:val="20"/>
        </w:rPr>
      </w:pPr>
    </w:p>
    <w:p w14:paraId="7093A458" w14:textId="77777777" w:rsidR="003E002C" w:rsidRDefault="003E002C" w:rsidP="003E002C">
      <w:pPr>
        <w:jc w:val="both"/>
        <w:rPr>
          <w:rFonts w:ascii="Open Sans" w:hAnsi="Open Sans" w:cs="Arial"/>
          <w:bCs/>
          <w:sz w:val="20"/>
          <w:szCs w:val="20"/>
        </w:rPr>
      </w:pPr>
      <w:r>
        <w:rPr>
          <w:rFonts w:ascii="Open Sans" w:hAnsi="Open Sans" w:cs="Arial"/>
          <w:bCs/>
          <w:sz w:val="20"/>
          <w:szCs w:val="20"/>
        </w:rPr>
        <w:t>En las cuentas anuales se reflejan las tasas nominales de cada uno de los países en los que están presentes las empresas del grupo y se ofrece una cifra agregada del impuesto calculado a la tas</w:t>
      </w:r>
      <w:r w:rsidRPr="006965CA">
        <w:rPr>
          <w:rFonts w:ascii="Open Sans" w:hAnsi="Open Sans" w:cs="Arial"/>
          <w:bCs/>
          <w:sz w:val="20"/>
          <w:szCs w:val="20"/>
        </w:rPr>
        <w:t>a impositiva de cada país</w:t>
      </w:r>
      <w:r>
        <w:rPr>
          <w:rFonts w:ascii="Open Sans" w:hAnsi="Open Sans" w:cs="Arial"/>
          <w:bCs/>
          <w:sz w:val="20"/>
          <w:szCs w:val="20"/>
        </w:rPr>
        <w:t>. Sin embargo, no se ofrece información detallada para cada uno de los países ni la tasa efectiva pagada en cada uno de ellos.</w:t>
      </w:r>
    </w:p>
    <w:p w14:paraId="6B14B0B0" w14:textId="77777777" w:rsidR="003E002C" w:rsidRDefault="003E002C" w:rsidP="003E002C">
      <w:pPr>
        <w:jc w:val="both"/>
        <w:rPr>
          <w:rFonts w:ascii="Open Sans" w:hAnsi="Open Sans" w:cs="Arial"/>
          <w:bCs/>
          <w:sz w:val="20"/>
          <w:szCs w:val="20"/>
        </w:rPr>
      </w:pPr>
    </w:p>
    <w:p w14:paraId="13CB3F5C" w14:textId="77777777" w:rsidR="003E002C" w:rsidRDefault="003E002C" w:rsidP="003E002C">
      <w:pPr>
        <w:jc w:val="both"/>
        <w:rPr>
          <w:rFonts w:ascii="Open Sans" w:hAnsi="Open Sans" w:cs="Arial"/>
          <w:bCs/>
          <w:sz w:val="20"/>
          <w:szCs w:val="20"/>
        </w:rPr>
      </w:pPr>
      <w:r>
        <w:rPr>
          <w:rFonts w:ascii="Open Sans" w:hAnsi="Open Sans" w:cs="Arial"/>
          <w:bCs/>
          <w:sz w:val="20"/>
          <w:szCs w:val="20"/>
        </w:rPr>
        <w:t xml:space="preserve">Las cuentas anuales consolidadas proporcionan la información sobre bases imponibles negativas agregando en una misma cifra </w:t>
      </w:r>
      <w:r w:rsidRPr="008A099F">
        <w:rPr>
          <w:rFonts w:ascii="Open Sans" w:hAnsi="Open Sans" w:cs="Arial"/>
          <w:bCs/>
          <w:sz w:val="20"/>
          <w:szCs w:val="20"/>
        </w:rPr>
        <w:t>bases imponibles acumuladas, deducciones y exenciones a compensar en los ejercicios</w:t>
      </w:r>
      <w:r>
        <w:rPr>
          <w:rFonts w:ascii="Open Sans" w:hAnsi="Open Sans" w:cs="Arial"/>
          <w:bCs/>
          <w:sz w:val="20"/>
          <w:szCs w:val="20"/>
        </w:rPr>
        <w:t xml:space="preserve"> </w:t>
      </w:r>
      <w:r w:rsidRPr="008A099F">
        <w:rPr>
          <w:rFonts w:ascii="Open Sans" w:hAnsi="Open Sans" w:cs="Arial"/>
          <w:bCs/>
          <w:sz w:val="20"/>
          <w:szCs w:val="20"/>
        </w:rPr>
        <w:t>futuros</w:t>
      </w:r>
      <w:r>
        <w:rPr>
          <w:rFonts w:ascii="Open Sans" w:hAnsi="Open Sans" w:cs="Arial"/>
          <w:bCs/>
          <w:sz w:val="20"/>
          <w:szCs w:val="20"/>
        </w:rPr>
        <w:t>. La cifra agregada de todos estos conceptos sin embargo sí se detallan para cada una de las empresas del grupo, indicando ejercicios de generación, ejercicios de prescripción y diferenciando entre “activadas” y “pendientes de activar”.</w:t>
      </w:r>
    </w:p>
    <w:p w14:paraId="774A63CA" w14:textId="77777777" w:rsidR="003E002C" w:rsidRDefault="003E002C" w:rsidP="003E002C">
      <w:pPr>
        <w:jc w:val="both"/>
        <w:rPr>
          <w:rFonts w:ascii="Open Sans" w:hAnsi="Open Sans" w:cs="Arial"/>
          <w:bCs/>
          <w:sz w:val="20"/>
          <w:szCs w:val="20"/>
        </w:rPr>
      </w:pPr>
    </w:p>
    <w:p w14:paraId="7BE34580" w14:textId="77777777" w:rsidR="003E002C" w:rsidRDefault="003E002C" w:rsidP="003E002C">
      <w:pPr>
        <w:jc w:val="both"/>
        <w:rPr>
          <w:rFonts w:ascii="Open Sans" w:hAnsi="Open Sans" w:cs="Arial"/>
          <w:bCs/>
          <w:sz w:val="20"/>
          <w:szCs w:val="20"/>
        </w:rPr>
      </w:pPr>
      <w:r>
        <w:rPr>
          <w:rFonts w:ascii="Open Sans" w:hAnsi="Open Sans" w:cs="Arial"/>
          <w:bCs/>
          <w:sz w:val="20"/>
          <w:szCs w:val="20"/>
        </w:rPr>
        <w:t xml:space="preserve">Por lo que se refiere a subvenciones públicas concedidas, los documentos analizados no muestran información suficiente. </w:t>
      </w:r>
      <w:r w:rsidRPr="006965CA">
        <w:rPr>
          <w:rFonts w:ascii="Open Sans" w:hAnsi="Open Sans" w:cs="Arial"/>
          <w:bCs/>
          <w:sz w:val="20"/>
          <w:szCs w:val="20"/>
        </w:rPr>
        <w:t>En</w:t>
      </w:r>
      <w:r>
        <w:rPr>
          <w:rFonts w:ascii="Open Sans" w:hAnsi="Open Sans" w:cs="Arial"/>
          <w:bCs/>
          <w:sz w:val="20"/>
          <w:szCs w:val="20"/>
        </w:rPr>
        <w:t xml:space="preserve"> las cuentas anuales se refleja que el grupo ha recibido</w:t>
      </w:r>
      <w:r w:rsidRPr="006965CA">
        <w:rPr>
          <w:rFonts w:ascii="Open Sans" w:hAnsi="Open Sans" w:cs="Arial"/>
          <w:bCs/>
          <w:sz w:val="20"/>
          <w:szCs w:val="20"/>
        </w:rPr>
        <w:t xml:space="preserve"> sub</w:t>
      </w:r>
      <w:r>
        <w:rPr>
          <w:rFonts w:ascii="Open Sans" w:hAnsi="Open Sans" w:cs="Arial"/>
          <w:bCs/>
          <w:sz w:val="20"/>
          <w:szCs w:val="20"/>
        </w:rPr>
        <w:t>venciones por 1.306 miles de € pero no se detalla si son públicas o privadas y no se da ningún detalle de las mismas.</w:t>
      </w:r>
    </w:p>
    <w:p w14:paraId="58EE28C6" w14:textId="77777777" w:rsidR="003E002C" w:rsidRDefault="003E002C" w:rsidP="003E002C">
      <w:pPr>
        <w:jc w:val="both"/>
        <w:rPr>
          <w:rFonts w:ascii="Open Sans" w:hAnsi="Open Sans" w:cs="Arial"/>
          <w:bCs/>
          <w:sz w:val="20"/>
          <w:szCs w:val="20"/>
        </w:rPr>
      </w:pPr>
    </w:p>
    <w:p w14:paraId="439F15B6" w14:textId="77777777" w:rsidR="003E002C" w:rsidRDefault="003E002C" w:rsidP="003E002C">
      <w:pPr>
        <w:jc w:val="both"/>
        <w:rPr>
          <w:rFonts w:ascii="Open Sans" w:hAnsi="Open Sans" w:cs="Arial"/>
          <w:b/>
          <w:sz w:val="22"/>
          <w:szCs w:val="22"/>
        </w:rPr>
      </w:pPr>
    </w:p>
    <w:p w14:paraId="4910C288" w14:textId="77777777" w:rsidR="003E002C" w:rsidRPr="00C166D0" w:rsidRDefault="003E002C" w:rsidP="003E002C">
      <w:pPr>
        <w:jc w:val="both"/>
        <w:rPr>
          <w:rFonts w:ascii="Open Sans" w:hAnsi="Open Sans" w:cs="Arial"/>
          <w:bCs/>
          <w:sz w:val="20"/>
          <w:szCs w:val="20"/>
        </w:rPr>
      </w:pPr>
      <w:r w:rsidRPr="00C166D0">
        <w:rPr>
          <w:rFonts w:ascii="Open Sans" w:hAnsi="Open Sans" w:cs="Arial"/>
          <w:b/>
          <w:sz w:val="20"/>
          <w:szCs w:val="20"/>
        </w:rPr>
        <w:t>Relación con la Administración Tributaria</w:t>
      </w:r>
    </w:p>
    <w:p w14:paraId="2303A5F6" w14:textId="77777777" w:rsidR="003E002C" w:rsidRDefault="003E002C" w:rsidP="003E002C">
      <w:pPr>
        <w:rPr>
          <w:rFonts w:ascii="Open Sans" w:hAnsi="Open Sans" w:cs="Arial"/>
          <w:bCs/>
          <w:sz w:val="20"/>
          <w:szCs w:val="20"/>
        </w:rPr>
      </w:pPr>
    </w:p>
    <w:p w14:paraId="5E029DF1" w14:textId="77777777" w:rsidR="003E002C" w:rsidRDefault="003E002C" w:rsidP="003E002C">
      <w:pPr>
        <w:jc w:val="both"/>
        <w:rPr>
          <w:rFonts w:ascii="Open Sans" w:hAnsi="Open Sans" w:cs="Arial"/>
          <w:bCs/>
          <w:sz w:val="20"/>
          <w:szCs w:val="20"/>
        </w:rPr>
      </w:pPr>
      <w:r>
        <w:rPr>
          <w:rFonts w:ascii="Open Sans" w:hAnsi="Open Sans" w:cs="Arial"/>
          <w:bCs/>
          <w:sz w:val="20"/>
          <w:szCs w:val="20"/>
        </w:rPr>
        <w:t>En el documento de la política/estrategia fiscal del Grupo se ofrece un marco para la relación de las empresas que lo constituyen con las administraciones tributarias de los países en los que operan. En este sentido, el cuarto principio rector indica que «</w:t>
      </w:r>
      <w:r w:rsidRPr="002263DE">
        <w:rPr>
          <w:rFonts w:ascii="Open Sans" w:hAnsi="Open Sans" w:cs="Arial"/>
          <w:bCs/>
          <w:i/>
          <w:sz w:val="20"/>
          <w:szCs w:val="20"/>
        </w:rPr>
        <w:t>DIA procurará impulsar un clima de buena fe, transparencia, colaboración, y reciprocidad en sus relaciones con las autoridades tributarias, de acuerdo con la ley y sin perjuicio de la defensa de sus intereses legítimos y, en su caso, de la razonabilidad de las interpretaciones realizadas, procurando alcanzar acuerdos o consensos con dichas autoridades para la eventual resolución de conflictos</w:t>
      </w:r>
      <w:r>
        <w:rPr>
          <w:rFonts w:ascii="Open Sans" w:hAnsi="Open Sans" w:cs="Arial"/>
          <w:bCs/>
          <w:sz w:val="20"/>
          <w:szCs w:val="20"/>
        </w:rPr>
        <w:t>». En este documento también se reflejan entre las buenas prácticas tributarias que «</w:t>
      </w:r>
      <w:r w:rsidRPr="002263DE">
        <w:rPr>
          <w:rFonts w:ascii="Open Sans" w:hAnsi="Open Sans" w:cs="Arial"/>
          <w:bCs/>
          <w:i/>
          <w:sz w:val="20"/>
          <w:szCs w:val="20"/>
        </w:rPr>
        <w:t>DIA reconoce la utilidad de los instrumentos jurídicos de consulta tributaria y acuerdo previo tributario previstos en las leyes para determinar la fiscalidad aplicable, cuando ello sea razonable en función de los instrumentos disponibles, el asunto de que se trate y los plazos previsibles</w:t>
      </w:r>
      <w:r>
        <w:rPr>
          <w:rFonts w:ascii="Open Sans" w:hAnsi="Open Sans" w:cs="Arial"/>
          <w:bCs/>
          <w:sz w:val="20"/>
          <w:szCs w:val="20"/>
        </w:rPr>
        <w:t>» y que «</w:t>
      </w:r>
      <w:r w:rsidRPr="002263DE">
        <w:rPr>
          <w:rFonts w:ascii="Open Sans" w:hAnsi="Open Sans" w:cs="Arial"/>
          <w:bCs/>
          <w:i/>
          <w:sz w:val="20"/>
          <w:szCs w:val="20"/>
        </w:rPr>
        <w:t>DIA facilitará a la Administración tributaria la información que ésta requiera de acuerdo con los procedimientos legalmente establecidos y en el menor plazo que sea razonablemente posible</w:t>
      </w:r>
      <w:r>
        <w:rPr>
          <w:rFonts w:ascii="Open Sans" w:hAnsi="Open Sans" w:cs="Arial"/>
          <w:bCs/>
          <w:sz w:val="20"/>
          <w:szCs w:val="20"/>
        </w:rPr>
        <w:t>»</w:t>
      </w:r>
    </w:p>
    <w:p w14:paraId="2571FCA5" w14:textId="77777777" w:rsidR="003E002C" w:rsidRDefault="003E002C" w:rsidP="003E002C">
      <w:pPr>
        <w:jc w:val="both"/>
        <w:rPr>
          <w:rFonts w:ascii="Open Sans" w:hAnsi="Open Sans" w:cs="Arial"/>
          <w:bCs/>
          <w:sz w:val="20"/>
          <w:szCs w:val="20"/>
        </w:rPr>
      </w:pPr>
    </w:p>
    <w:p w14:paraId="20F61478" w14:textId="77777777" w:rsidR="003E002C" w:rsidRDefault="003E002C" w:rsidP="003E002C">
      <w:pPr>
        <w:jc w:val="both"/>
        <w:rPr>
          <w:rFonts w:ascii="Open Sans" w:hAnsi="Open Sans" w:cs="Arial"/>
          <w:bCs/>
          <w:sz w:val="20"/>
          <w:szCs w:val="20"/>
        </w:rPr>
      </w:pPr>
      <w:r>
        <w:rPr>
          <w:rFonts w:ascii="Open Sans" w:hAnsi="Open Sans" w:cs="Arial"/>
          <w:bCs/>
          <w:sz w:val="20"/>
          <w:szCs w:val="20"/>
        </w:rPr>
        <w:t xml:space="preserve">No obstante no se ha encontrado evidencias que muestren la participación de DIA en iniciativas de cumplimiento cooperativo con administraciones tributarias ni su adhesión a </w:t>
      </w:r>
      <w:r w:rsidRPr="00485897">
        <w:rPr>
          <w:rFonts w:ascii="Open Sans" w:hAnsi="Open Sans" w:cs="Arial"/>
          <w:bCs/>
          <w:sz w:val="20"/>
          <w:szCs w:val="20"/>
        </w:rPr>
        <w:t>códigos de buenas prácticas impulsados por administraciones tributari</w:t>
      </w:r>
      <w:r>
        <w:rPr>
          <w:rFonts w:ascii="Open Sans" w:hAnsi="Open Sans" w:cs="Arial"/>
          <w:bCs/>
          <w:sz w:val="20"/>
          <w:szCs w:val="20"/>
        </w:rPr>
        <w:t>as u organismos internacionales.</w:t>
      </w:r>
    </w:p>
    <w:p w14:paraId="1B7C00DC" w14:textId="77777777" w:rsidR="003E002C" w:rsidRDefault="003E002C" w:rsidP="003E002C">
      <w:pPr>
        <w:jc w:val="both"/>
        <w:rPr>
          <w:rFonts w:ascii="Open Sans" w:hAnsi="Open Sans" w:cs="Arial"/>
          <w:bCs/>
          <w:sz w:val="20"/>
          <w:szCs w:val="20"/>
        </w:rPr>
      </w:pPr>
    </w:p>
    <w:p w14:paraId="7F39B369" w14:textId="77777777" w:rsidR="003E002C" w:rsidRDefault="003E002C" w:rsidP="003E002C">
      <w:pPr>
        <w:jc w:val="both"/>
        <w:rPr>
          <w:rFonts w:ascii="Open Sans" w:hAnsi="Open Sans" w:cs="Arial"/>
          <w:bCs/>
          <w:sz w:val="20"/>
          <w:szCs w:val="20"/>
        </w:rPr>
      </w:pPr>
      <w:r>
        <w:rPr>
          <w:rFonts w:ascii="Open Sans" w:hAnsi="Open Sans" w:cs="Arial"/>
          <w:bCs/>
          <w:sz w:val="20"/>
          <w:szCs w:val="20"/>
        </w:rPr>
        <w:t xml:space="preserve">En las cuentas anuales consolidadas del ejercicio 2015 se publica la existencia de provisiones fiscales por </w:t>
      </w:r>
      <w:r w:rsidRPr="00B57036">
        <w:rPr>
          <w:rFonts w:ascii="Open Sans" w:hAnsi="Open Sans" w:cs="Arial"/>
          <w:bCs/>
          <w:sz w:val="20"/>
          <w:szCs w:val="20"/>
        </w:rPr>
        <w:t>24.316 miles de euros para cubrir los riesgos derivados de las actuaciones inspectoras</w:t>
      </w:r>
      <w:r>
        <w:rPr>
          <w:rFonts w:ascii="Open Sans" w:hAnsi="Open Sans" w:cs="Arial"/>
          <w:bCs/>
          <w:sz w:val="20"/>
          <w:szCs w:val="20"/>
        </w:rPr>
        <w:t xml:space="preserve"> </w:t>
      </w:r>
      <w:r w:rsidRPr="00B57036">
        <w:rPr>
          <w:rFonts w:ascii="Open Sans" w:hAnsi="Open Sans" w:cs="Arial"/>
          <w:bCs/>
          <w:sz w:val="20"/>
          <w:szCs w:val="20"/>
        </w:rPr>
        <w:t xml:space="preserve">de la </w:t>
      </w:r>
      <w:r>
        <w:rPr>
          <w:rFonts w:ascii="Open Sans" w:hAnsi="Open Sans" w:cs="Arial"/>
          <w:bCs/>
          <w:sz w:val="20"/>
          <w:szCs w:val="20"/>
        </w:rPr>
        <w:t>Administración Tributaria. Sin embargo, la información sobre litigios abiertos y en curso puede calificarse como escasa. Se publican casos puntuales con implicaciones contables en las cuentas anuales pero no se evidencia que la información publicada sea completa, detallada y permita la trazabilidad de los mismos. Únicamente se ha encontrado información escueta de tres casos: el pago d</w:t>
      </w:r>
      <w:r w:rsidRPr="00B57036">
        <w:rPr>
          <w:rFonts w:ascii="Open Sans" w:hAnsi="Open Sans" w:cs="Arial"/>
          <w:bCs/>
          <w:sz w:val="20"/>
          <w:szCs w:val="20"/>
        </w:rPr>
        <w:t xml:space="preserve">urante el ejercicio 2015 </w:t>
      </w:r>
      <w:r>
        <w:rPr>
          <w:rFonts w:ascii="Open Sans" w:hAnsi="Open Sans" w:cs="Arial"/>
          <w:bCs/>
          <w:sz w:val="20"/>
          <w:szCs w:val="20"/>
        </w:rPr>
        <w:t xml:space="preserve">la cantidad de </w:t>
      </w:r>
      <w:r w:rsidRPr="00B57036">
        <w:rPr>
          <w:rFonts w:ascii="Open Sans" w:hAnsi="Open Sans" w:cs="Arial"/>
          <w:bCs/>
          <w:sz w:val="20"/>
          <w:szCs w:val="20"/>
        </w:rPr>
        <w:t>7.020 miles de euros en</w:t>
      </w:r>
      <w:r>
        <w:rPr>
          <w:rFonts w:ascii="Open Sans" w:hAnsi="Open Sans" w:cs="Arial"/>
          <w:bCs/>
          <w:sz w:val="20"/>
          <w:szCs w:val="20"/>
        </w:rPr>
        <w:t xml:space="preserve"> </w:t>
      </w:r>
      <w:r w:rsidRPr="00B57036">
        <w:rPr>
          <w:rFonts w:ascii="Open Sans" w:hAnsi="Open Sans" w:cs="Arial"/>
          <w:bCs/>
          <w:sz w:val="20"/>
          <w:szCs w:val="20"/>
        </w:rPr>
        <w:t>relación a las actuaciones inspectoras de la Administración relativas al Impuesto sobre Sociedades del ejercicio</w:t>
      </w:r>
      <w:r>
        <w:rPr>
          <w:rFonts w:ascii="Open Sans" w:hAnsi="Open Sans" w:cs="Arial"/>
          <w:bCs/>
          <w:sz w:val="20"/>
          <w:szCs w:val="20"/>
        </w:rPr>
        <w:t xml:space="preserve"> </w:t>
      </w:r>
      <w:r w:rsidRPr="00B57036">
        <w:rPr>
          <w:rFonts w:ascii="Open Sans" w:hAnsi="Open Sans" w:cs="Arial"/>
          <w:bCs/>
          <w:sz w:val="20"/>
          <w:szCs w:val="20"/>
        </w:rPr>
        <w:t>2005</w:t>
      </w:r>
      <w:r>
        <w:rPr>
          <w:rFonts w:ascii="Open Sans" w:hAnsi="Open Sans" w:cs="Arial"/>
          <w:bCs/>
          <w:sz w:val="20"/>
          <w:szCs w:val="20"/>
        </w:rPr>
        <w:t xml:space="preserve">, el pago de 5.800 miles de euros </w:t>
      </w:r>
      <w:r w:rsidRPr="00B57036">
        <w:rPr>
          <w:rFonts w:ascii="Open Sans" w:hAnsi="Open Sans" w:cs="Arial"/>
          <w:bCs/>
          <w:sz w:val="20"/>
          <w:szCs w:val="20"/>
        </w:rPr>
        <w:t>para afrontar riesgos fiscales derivados</w:t>
      </w:r>
      <w:r>
        <w:rPr>
          <w:rFonts w:ascii="Open Sans" w:hAnsi="Open Sans" w:cs="Arial"/>
          <w:bCs/>
          <w:sz w:val="20"/>
          <w:szCs w:val="20"/>
        </w:rPr>
        <w:t xml:space="preserve"> </w:t>
      </w:r>
      <w:r w:rsidRPr="00B57036">
        <w:rPr>
          <w:rFonts w:ascii="Open Sans" w:hAnsi="Open Sans" w:cs="Arial"/>
          <w:bCs/>
          <w:sz w:val="20"/>
          <w:szCs w:val="20"/>
        </w:rPr>
        <w:t>de la venta de DIA Franci</w:t>
      </w:r>
      <w:r>
        <w:rPr>
          <w:rFonts w:ascii="Open Sans" w:hAnsi="Open Sans" w:cs="Arial"/>
          <w:bCs/>
          <w:sz w:val="20"/>
          <w:szCs w:val="20"/>
        </w:rPr>
        <w:t>a y que «</w:t>
      </w:r>
      <w:r w:rsidRPr="00462855">
        <w:rPr>
          <w:rFonts w:ascii="Open Sans" w:hAnsi="Open Sans" w:cs="Arial"/>
          <w:bCs/>
          <w:i/>
          <w:sz w:val="20"/>
          <w:szCs w:val="20"/>
        </w:rPr>
        <w:t>en el ejercicio 2014 DIA Brasil fue objeto de una inspección local y como resultado de la misma recibió dos notificaciones de las autoridades fiscales brasileñas, una por importe de 9.984 miles de euros (43.054 miles de reales brasileños) en relación a la discrepancia del impuesto correspondiente a los ingresos por descuentos recibidos de proveedores, y la otra por importe de 58.104 miles de euros (250.551 miles de reales brasileños) en relación al reflejo de los movimientos de mercancías y su repercusión en inventarios</w:t>
      </w:r>
      <w:r>
        <w:rPr>
          <w:rFonts w:ascii="Open Sans" w:hAnsi="Open Sans" w:cs="Arial"/>
          <w:bCs/>
          <w:sz w:val="20"/>
          <w:szCs w:val="20"/>
        </w:rPr>
        <w:t>».</w:t>
      </w:r>
      <w:r w:rsidRPr="00D078FA">
        <w:rPr>
          <w:rFonts w:ascii="Open Sans" w:hAnsi="Open Sans" w:cs="Arial"/>
          <w:bCs/>
          <w:sz w:val="20"/>
          <w:szCs w:val="20"/>
        </w:rPr>
        <w:t xml:space="preserve"> </w:t>
      </w:r>
    </w:p>
    <w:p w14:paraId="63A4CBE3" w14:textId="77777777" w:rsidR="003E002C" w:rsidRDefault="003E002C" w:rsidP="003E002C">
      <w:pPr>
        <w:jc w:val="both"/>
        <w:rPr>
          <w:rFonts w:ascii="Open Sans" w:hAnsi="Open Sans" w:cs="Arial"/>
          <w:bCs/>
          <w:sz w:val="20"/>
          <w:szCs w:val="20"/>
        </w:rPr>
      </w:pPr>
    </w:p>
    <w:p w14:paraId="442EB056" w14:textId="02F4DFFC" w:rsidR="003E002C" w:rsidRDefault="003E002C">
      <w:pPr>
        <w:rPr>
          <w:rFonts w:ascii="Open Sans" w:hAnsi="Open Sans" w:cs="Arial"/>
          <w:bCs/>
          <w:sz w:val="20"/>
          <w:szCs w:val="20"/>
        </w:rPr>
      </w:pPr>
      <w:r>
        <w:rPr>
          <w:rFonts w:ascii="Open Sans" w:hAnsi="Open Sans" w:cs="Arial"/>
          <w:bCs/>
          <w:sz w:val="20"/>
          <w:szCs w:val="20"/>
        </w:rPr>
        <w:br w:type="page"/>
      </w:r>
    </w:p>
    <w:p w14:paraId="074173F5" w14:textId="77777777" w:rsidR="003E002C" w:rsidRDefault="003E002C" w:rsidP="003E002C">
      <w:pPr>
        <w:rPr>
          <w:rFonts w:ascii="Open Sans" w:hAnsi="Open Sans" w:cs="Arial"/>
          <w:bCs/>
          <w:sz w:val="20"/>
          <w:szCs w:val="20"/>
        </w:rPr>
      </w:pPr>
    </w:p>
    <w:p w14:paraId="4E2FAA29" w14:textId="77777777" w:rsidR="003E002C" w:rsidRPr="00AC4B55" w:rsidRDefault="003E002C" w:rsidP="003E002C">
      <w:pPr>
        <w:jc w:val="both"/>
        <w:rPr>
          <w:rFonts w:ascii="Open Sans" w:hAnsi="Open Sans" w:cs="Arial"/>
          <w:b/>
          <w:sz w:val="20"/>
          <w:szCs w:val="20"/>
        </w:rPr>
      </w:pPr>
      <w:r w:rsidRPr="00AC4B55">
        <w:rPr>
          <w:rFonts w:ascii="Open Sans" w:hAnsi="Open Sans" w:cs="Arial"/>
          <w:b/>
          <w:sz w:val="20"/>
          <w:szCs w:val="20"/>
        </w:rPr>
        <w:t>Operativa de la empresa</w:t>
      </w:r>
    </w:p>
    <w:p w14:paraId="159FB559" w14:textId="77777777" w:rsidR="003E002C" w:rsidRDefault="003E002C" w:rsidP="003E002C">
      <w:pPr>
        <w:rPr>
          <w:rFonts w:ascii="Open Sans" w:hAnsi="Open Sans" w:cs="Arial"/>
          <w:bCs/>
          <w:sz w:val="20"/>
          <w:szCs w:val="20"/>
        </w:rPr>
      </w:pPr>
    </w:p>
    <w:p w14:paraId="2AFCD1A1" w14:textId="77777777" w:rsidR="003E002C" w:rsidRDefault="003E002C" w:rsidP="003E002C">
      <w:pPr>
        <w:jc w:val="both"/>
        <w:rPr>
          <w:rFonts w:ascii="Open Sans" w:hAnsi="Open Sans" w:cs="Arial"/>
          <w:bCs/>
          <w:sz w:val="20"/>
          <w:szCs w:val="20"/>
        </w:rPr>
      </w:pPr>
      <w:r>
        <w:rPr>
          <w:rFonts w:ascii="Open Sans" w:hAnsi="Open Sans" w:cs="Arial"/>
          <w:bCs/>
          <w:sz w:val="20"/>
          <w:szCs w:val="20"/>
        </w:rPr>
        <w:t>En los documentos del grupo consolidado se muestra escasa información que pueda evidenciar el uso o no de prácticas de elusión fiscal a través de actividades como las compras intragrupo, la gestión de propiedad intelectual o las operaciones de financiación intragrupo. Únicamente cabe mencionar la afirmación genérica reflejada en las cuentas anuales de que «</w:t>
      </w:r>
      <w:r w:rsidRPr="0035696D">
        <w:rPr>
          <w:rFonts w:ascii="Open Sans" w:hAnsi="Open Sans" w:cs="Arial"/>
          <w:bCs/>
          <w:i/>
          <w:sz w:val="20"/>
          <w:szCs w:val="20"/>
        </w:rPr>
        <w:t>los precios de transferencia entre los segmentos de operación son pactados de manera similar a la que se pactan con terceros</w:t>
      </w:r>
      <w:r>
        <w:rPr>
          <w:rFonts w:ascii="Open Sans" w:hAnsi="Open Sans" w:cs="Arial"/>
          <w:bCs/>
          <w:sz w:val="20"/>
          <w:szCs w:val="20"/>
        </w:rPr>
        <w:t>».</w:t>
      </w:r>
    </w:p>
    <w:p w14:paraId="4002CD1A" w14:textId="77777777" w:rsidR="003E002C" w:rsidRDefault="003E002C" w:rsidP="003E002C">
      <w:pPr>
        <w:jc w:val="both"/>
        <w:rPr>
          <w:rFonts w:ascii="Open Sans" w:hAnsi="Open Sans" w:cs="Arial"/>
          <w:bCs/>
          <w:sz w:val="20"/>
          <w:szCs w:val="20"/>
        </w:rPr>
      </w:pPr>
    </w:p>
    <w:p w14:paraId="46834074" w14:textId="77777777" w:rsidR="003E002C" w:rsidRPr="00EE1EF7" w:rsidRDefault="003E002C" w:rsidP="003E002C">
      <w:pPr>
        <w:jc w:val="both"/>
        <w:rPr>
          <w:rFonts w:ascii="Open Sans" w:hAnsi="Open Sans" w:cs="Arial"/>
          <w:bCs/>
          <w:sz w:val="20"/>
          <w:szCs w:val="20"/>
        </w:rPr>
      </w:pPr>
      <w:r>
        <w:rPr>
          <w:rFonts w:ascii="Open Sans" w:hAnsi="Open Sans" w:cs="Arial"/>
          <w:bCs/>
          <w:sz w:val="20"/>
          <w:szCs w:val="20"/>
        </w:rPr>
        <w:t>No obstante, en las cuentas anuales e informe de gestión de la sociedad dominante se encuentra información adicional, aunque también genérica, sobre los créditos intragrupo. Sobre este aspecto, DIA indica que «</w:t>
      </w:r>
      <w:r w:rsidRPr="001D36A9">
        <w:rPr>
          <w:rFonts w:ascii="Open Sans" w:hAnsi="Open Sans" w:cs="Arial"/>
          <w:bCs/>
          <w:i/>
          <w:sz w:val="20"/>
          <w:szCs w:val="20"/>
        </w:rPr>
        <w:t>las cuentas corrientes con el grupo devengan un tipo de interés nominal anual que oscila, tanto en 2015 como en 2014, entre el Euribor a 1 mes más un diferencial que fluctúa entre el -0,125%, con un mínimo del 0%, para los saldos acreedores y el 0,2% para los saldos deudores</w:t>
      </w:r>
      <w:r>
        <w:rPr>
          <w:rFonts w:ascii="Open Sans" w:hAnsi="Open Sans" w:cs="Arial"/>
          <w:bCs/>
          <w:sz w:val="20"/>
          <w:szCs w:val="20"/>
        </w:rPr>
        <w:t>».</w:t>
      </w:r>
    </w:p>
    <w:p w14:paraId="344C6C19" w14:textId="77777777" w:rsidR="003E002C" w:rsidRPr="00732FD5" w:rsidRDefault="003E002C" w:rsidP="003E002C">
      <w:pPr>
        <w:rPr>
          <w:rFonts w:ascii="Open Sans" w:hAnsi="Open Sans" w:cs="Arial"/>
          <w:bCs/>
          <w:sz w:val="22"/>
          <w:szCs w:val="22"/>
        </w:rPr>
      </w:pPr>
    </w:p>
    <w:p w14:paraId="72DBB945" w14:textId="77777777" w:rsidR="003E002C" w:rsidRPr="0024142E" w:rsidRDefault="003E002C" w:rsidP="003E002C">
      <w:pPr>
        <w:jc w:val="both"/>
        <w:rPr>
          <w:rFonts w:ascii="Open Sans" w:hAnsi="Open Sans" w:cs="Arial"/>
          <w:sz w:val="20"/>
          <w:szCs w:val="20"/>
        </w:rPr>
      </w:pPr>
    </w:p>
    <w:p w14:paraId="725F8320" w14:textId="77777777" w:rsidR="003E002C" w:rsidRPr="0024142E" w:rsidRDefault="003E002C" w:rsidP="003E002C">
      <w:pPr>
        <w:rPr>
          <w:rFonts w:ascii="Open Sans" w:hAnsi="Open Sans" w:cs="Arial"/>
          <w:bCs/>
          <w:sz w:val="22"/>
          <w:szCs w:val="22"/>
          <w:u w:val="single"/>
        </w:rPr>
      </w:pPr>
      <w:r w:rsidRPr="0024142E">
        <w:rPr>
          <w:rFonts w:ascii="Open Sans" w:hAnsi="Open Sans" w:cs="Arial"/>
          <w:b/>
          <w:sz w:val="22"/>
          <w:szCs w:val="22"/>
          <w:u w:val="single"/>
        </w:rPr>
        <w:t>5. Conclusiones</w:t>
      </w:r>
    </w:p>
    <w:p w14:paraId="55365497" w14:textId="77777777" w:rsidR="003E002C" w:rsidRPr="00732FD5" w:rsidRDefault="003E002C" w:rsidP="003E002C">
      <w:pPr>
        <w:rPr>
          <w:rFonts w:ascii="Open Sans" w:hAnsi="Open Sans" w:cs="Arial"/>
          <w:bCs/>
          <w:sz w:val="22"/>
          <w:szCs w:val="22"/>
        </w:rPr>
      </w:pPr>
    </w:p>
    <w:p w14:paraId="20580956" w14:textId="77777777" w:rsidR="003E002C" w:rsidRDefault="003E002C" w:rsidP="003E002C">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DIA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0,42</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la “política y estrategia fiscal” (0,60), seguidos por los relacionados con “paraísos y nichos fiscales” (0,50), con las “relaciones con Administraciones Tributarias” (0,40) y con “impuestos e incentivos” (0,17). </w:t>
      </w:r>
    </w:p>
    <w:p w14:paraId="6C6AF1F8" w14:textId="77777777" w:rsidR="003E002C" w:rsidRPr="004B7A07" w:rsidRDefault="003E002C" w:rsidP="003E002C">
      <w:pPr>
        <w:pStyle w:val="Default"/>
        <w:jc w:val="both"/>
        <w:rPr>
          <w:rFonts w:ascii="Open Sans" w:hAnsi="Open Sans" w:cs="Open Sans"/>
          <w:color w:val="auto"/>
          <w:sz w:val="20"/>
          <w:szCs w:val="20"/>
        </w:rPr>
      </w:pPr>
    </w:p>
    <w:p w14:paraId="5DD1AD1B" w14:textId="77777777" w:rsidR="003E002C" w:rsidRDefault="003E002C" w:rsidP="003E002C">
      <w:pPr>
        <w:jc w:val="both"/>
        <w:rPr>
          <w:rFonts w:ascii="Open Sans" w:hAnsi="Open Sans" w:cs="Arial"/>
          <w:sz w:val="20"/>
          <w:szCs w:val="20"/>
        </w:rPr>
      </w:pPr>
      <w:r>
        <w:rPr>
          <w:rFonts w:ascii="Open Sans" w:hAnsi="Open Sans" w:cs="Arial"/>
          <w:sz w:val="20"/>
          <w:szCs w:val="20"/>
        </w:rPr>
        <w:t xml:space="preserve">La información relacionada con el ámbito fiscal se publica fundamentalmente en las cuentas anuales del Grupo. En el Informe de Desarrollo Sostenible y en el de Gobierno Corporativo se encuentran menciones genéricas a los riesgos y las responsabilidades del Consejo en el ámbito fiscal, en su mayor parte derivadas de la Ley de Sociedades de Capital. Destaca la existencia de un documento específico para plasmar públicamente su estrategia fiscal. También se encuentran menciones a aspectos relacionados con la fiscalidad en documentos más específicos como son el </w:t>
      </w:r>
      <w:r w:rsidRPr="00CD0FA0">
        <w:rPr>
          <w:rFonts w:ascii="Open Sans" w:hAnsi="Open Sans" w:cs="Arial"/>
          <w:sz w:val="20"/>
          <w:szCs w:val="20"/>
        </w:rPr>
        <w:t>Informe Anual de la Comisión de Auditoría y Cumplimiento</w:t>
      </w:r>
      <w:r>
        <w:rPr>
          <w:rFonts w:ascii="Open Sans" w:hAnsi="Open Sans" w:cs="Arial"/>
          <w:sz w:val="20"/>
          <w:szCs w:val="20"/>
        </w:rPr>
        <w:t xml:space="preserve"> y la </w:t>
      </w:r>
      <w:r w:rsidRPr="00CD0FA0">
        <w:rPr>
          <w:rFonts w:ascii="Open Sans" w:hAnsi="Open Sans" w:cs="Arial"/>
          <w:sz w:val="20"/>
          <w:szCs w:val="20"/>
        </w:rPr>
        <w:t>Política de Gestión de Riesgos</w:t>
      </w:r>
      <w:r>
        <w:rPr>
          <w:rFonts w:ascii="Open Sans" w:hAnsi="Open Sans" w:cs="Arial"/>
          <w:sz w:val="20"/>
          <w:szCs w:val="20"/>
        </w:rPr>
        <w:t>.</w:t>
      </w:r>
    </w:p>
    <w:p w14:paraId="4FEAC1F2" w14:textId="77777777" w:rsidR="003E002C" w:rsidRDefault="003E002C" w:rsidP="003E002C">
      <w:pPr>
        <w:jc w:val="both"/>
        <w:rPr>
          <w:rFonts w:ascii="Open Sans" w:hAnsi="Open Sans" w:cs="Arial"/>
          <w:sz w:val="20"/>
          <w:szCs w:val="20"/>
        </w:rPr>
      </w:pPr>
    </w:p>
    <w:p w14:paraId="7C1F3248" w14:textId="77777777" w:rsidR="003E002C" w:rsidRDefault="003E002C" w:rsidP="003E002C">
      <w:pPr>
        <w:jc w:val="both"/>
        <w:rPr>
          <w:rFonts w:ascii="Open Sans" w:hAnsi="Open Sans" w:cs="Arial"/>
          <w:sz w:val="20"/>
          <w:szCs w:val="20"/>
        </w:rPr>
      </w:pPr>
      <w:r>
        <w:rPr>
          <w:rFonts w:ascii="Open Sans" w:hAnsi="Open Sans" w:cs="Arial"/>
          <w:sz w:val="20"/>
          <w:szCs w:val="20"/>
        </w:rPr>
        <w:t>Destaca la existencia de una estrategia pública de fiscalidad en la que se recogen una serie de principios y prácticas genéricos que debe cumplir la empresa. No obstante no se han encontrado evidencias que permitan valorar el grado de implementación de dicha política. Este documento se menciona por DIA de dos formas distintas: en algunos casos como estrategia fiscal y en otros como política fiscal.</w:t>
      </w:r>
    </w:p>
    <w:p w14:paraId="53D8FE66" w14:textId="77777777" w:rsidR="003E002C" w:rsidRDefault="003E002C" w:rsidP="003E002C">
      <w:pPr>
        <w:jc w:val="both"/>
        <w:rPr>
          <w:rFonts w:ascii="Open Sans" w:hAnsi="Open Sans" w:cs="Arial"/>
          <w:sz w:val="20"/>
          <w:szCs w:val="20"/>
        </w:rPr>
      </w:pPr>
    </w:p>
    <w:p w14:paraId="46A46DD7" w14:textId="77777777" w:rsidR="003E002C" w:rsidRDefault="003E002C" w:rsidP="003E002C">
      <w:pPr>
        <w:jc w:val="both"/>
        <w:rPr>
          <w:rFonts w:ascii="Open Sans" w:hAnsi="Open Sans" w:cs="Arial"/>
          <w:sz w:val="20"/>
          <w:szCs w:val="20"/>
        </w:rPr>
      </w:pPr>
      <w:r>
        <w:rPr>
          <w:rFonts w:ascii="Open Sans" w:hAnsi="Open Sans" w:cs="Arial"/>
          <w:sz w:val="20"/>
          <w:szCs w:val="20"/>
        </w:rPr>
        <w:t xml:space="preserve">En la información analizada también se reflejan en diversos puntos las responsabilidades que la Ley de Sociedades de Capital atribuye al Consejo de Administración en el ámbito de fiscalidad. La </w:t>
      </w:r>
      <w:r w:rsidRPr="00474A96">
        <w:rPr>
          <w:rFonts w:ascii="Open Sans" w:hAnsi="Open Sans" w:cs="Arial"/>
          <w:bCs/>
          <w:sz w:val="20"/>
          <w:szCs w:val="20"/>
        </w:rPr>
        <w:t xml:space="preserve">Comisión de Auditoría y Cumplimiento </w:t>
      </w:r>
      <w:r>
        <w:rPr>
          <w:rFonts w:ascii="Open Sans" w:hAnsi="Open Sans" w:cs="Arial"/>
          <w:bCs/>
          <w:sz w:val="20"/>
          <w:szCs w:val="20"/>
        </w:rPr>
        <w:t>es la encargada de supervisar</w:t>
      </w:r>
      <w:r w:rsidRPr="00474A96">
        <w:rPr>
          <w:rFonts w:ascii="Open Sans" w:hAnsi="Open Sans" w:cs="Arial"/>
          <w:bCs/>
          <w:sz w:val="20"/>
          <w:szCs w:val="20"/>
        </w:rPr>
        <w:t xml:space="preserve"> la eficacia del sistema de control y gestión de riesgos </w:t>
      </w:r>
      <w:r>
        <w:rPr>
          <w:rFonts w:ascii="Open Sans" w:hAnsi="Open Sans" w:cs="Arial"/>
          <w:bCs/>
          <w:sz w:val="20"/>
          <w:szCs w:val="20"/>
        </w:rPr>
        <w:t xml:space="preserve">fiscales e informar </w:t>
      </w:r>
      <w:r w:rsidRPr="00474A96">
        <w:rPr>
          <w:rFonts w:ascii="Open Sans" w:hAnsi="Open Sans" w:cs="Arial"/>
          <w:bCs/>
          <w:sz w:val="20"/>
          <w:szCs w:val="20"/>
        </w:rPr>
        <w:t>al Consejo de Administración sobre las cuestiones que sobre esta materia prevé la Ley.</w:t>
      </w:r>
      <w:r>
        <w:rPr>
          <w:rFonts w:ascii="Open Sans" w:hAnsi="Open Sans" w:cs="Arial"/>
          <w:bCs/>
          <w:sz w:val="20"/>
          <w:szCs w:val="20"/>
        </w:rPr>
        <w:t xml:space="preserve"> </w:t>
      </w:r>
      <w:r w:rsidRPr="00F16834">
        <w:rPr>
          <w:rFonts w:ascii="Open Sans" w:hAnsi="Open Sans" w:cs="Arial"/>
          <w:bCs/>
          <w:sz w:val="20"/>
          <w:szCs w:val="20"/>
        </w:rPr>
        <w:t>En el informe de la Comis</w:t>
      </w:r>
      <w:r>
        <w:rPr>
          <w:rFonts w:ascii="Open Sans" w:hAnsi="Open Sans" w:cs="Arial"/>
          <w:bCs/>
          <w:sz w:val="20"/>
          <w:szCs w:val="20"/>
        </w:rPr>
        <w:t>ión de Auditoría se indica que «</w:t>
      </w:r>
      <w:r w:rsidRPr="00F16834">
        <w:rPr>
          <w:rFonts w:ascii="Open Sans" w:hAnsi="Open Sans" w:cs="Arial"/>
          <w:bCs/>
          <w:i/>
          <w:sz w:val="20"/>
          <w:szCs w:val="20"/>
        </w:rPr>
        <w:t>durante 2015 se ha trabajado intensamente en la elaboración de la política y estrategia fiscales y se han aprobado los borradores de las Políticas de Gestión de Riesgos y de estrategia fiscal para su sometimiento al Consejo</w:t>
      </w:r>
      <w:r>
        <w:rPr>
          <w:rFonts w:ascii="Open Sans" w:hAnsi="Open Sans" w:cs="Arial"/>
          <w:bCs/>
          <w:sz w:val="20"/>
          <w:szCs w:val="20"/>
        </w:rPr>
        <w:t>» pero no se aporta información adicional al respecto ni se indica el número de reuniones en las que se han abordado temas de fiscalidad.</w:t>
      </w:r>
    </w:p>
    <w:p w14:paraId="2D16A254" w14:textId="77777777" w:rsidR="003E002C" w:rsidRDefault="003E002C" w:rsidP="003E002C">
      <w:pPr>
        <w:jc w:val="both"/>
        <w:rPr>
          <w:rFonts w:ascii="Open Sans" w:hAnsi="Open Sans" w:cs="Arial"/>
          <w:sz w:val="20"/>
          <w:szCs w:val="20"/>
        </w:rPr>
      </w:pPr>
    </w:p>
    <w:p w14:paraId="585E4675" w14:textId="77777777" w:rsidR="003E002C" w:rsidRDefault="003E002C" w:rsidP="003E002C">
      <w:pPr>
        <w:jc w:val="both"/>
        <w:rPr>
          <w:rFonts w:ascii="Open Sans" w:hAnsi="Open Sans" w:cs="Arial"/>
          <w:sz w:val="20"/>
          <w:szCs w:val="20"/>
        </w:rPr>
      </w:pPr>
      <w:r>
        <w:rPr>
          <w:rFonts w:ascii="Open Sans" w:hAnsi="Open Sans" w:cs="Arial"/>
          <w:sz w:val="20"/>
          <w:szCs w:val="20"/>
        </w:rPr>
        <w:t>Por lo que se refiere a los riesgos fiscales, también se citan de forma genérica en diversos documentos como el Informe de Gobierno Corporativo, la estrategia fiscal y la memoria de RSC. Sin embargo no se ha encontrado evidencia de la identificación de riesgos concretos es este ámbito ni de su incorporación en un sistema de control de riesgos ni tampoco de su grado de materialización.</w:t>
      </w:r>
    </w:p>
    <w:p w14:paraId="33C1DD75" w14:textId="77777777" w:rsidR="003E002C" w:rsidRDefault="003E002C" w:rsidP="003E002C">
      <w:pPr>
        <w:jc w:val="both"/>
        <w:rPr>
          <w:rFonts w:ascii="Open Sans" w:hAnsi="Open Sans" w:cs="Arial"/>
          <w:sz w:val="20"/>
          <w:szCs w:val="20"/>
        </w:rPr>
      </w:pPr>
    </w:p>
    <w:p w14:paraId="2F599B03" w14:textId="77777777" w:rsidR="003E002C" w:rsidRDefault="003E002C" w:rsidP="003E002C">
      <w:pPr>
        <w:jc w:val="both"/>
        <w:rPr>
          <w:rFonts w:ascii="Open Sans" w:hAnsi="Open Sans" w:cs="Arial"/>
          <w:sz w:val="20"/>
          <w:szCs w:val="20"/>
        </w:rPr>
      </w:pPr>
      <w:r>
        <w:rPr>
          <w:rFonts w:ascii="Open Sans" w:hAnsi="Open Sans" w:cs="Arial"/>
          <w:sz w:val="20"/>
          <w:szCs w:val="20"/>
        </w:rPr>
        <w:t>No hay evidencia que la empresa siga algún tipo de modelo de reporte o de gestión en el ámbito fiscal alineado con iniciativas de transparencia fiscal o de responsabilidad fiscal ni de que la empresa forme parte de iniciativas que fomenten la relación de cumplimiento cooperativo entre empresas y Administraciones Tributarias.</w:t>
      </w:r>
    </w:p>
    <w:p w14:paraId="1B9C7CD6" w14:textId="77777777" w:rsidR="003E002C" w:rsidRDefault="003E002C" w:rsidP="003E002C">
      <w:pPr>
        <w:jc w:val="both"/>
        <w:rPr>
          <w:rFonts w:ascii="Open Sans" w:hAnsi="Open Sans" w:cs="Arial"/>
          <w:sz w:val="20"/>
          <w:szCs w:val="20"/>
        </w:rPr>
      </w:pPr>
    </w:p>
    <w:p w14:paraId="5D6DE0CD" w14:textId="77777777" w:rsidR="003E002C" w:rsidRDefault="003E002C" w:rsidP="003E002C">
      <w:pPr>
        <w:jc w:val="both"/>
        <w:rPr>
          <w:rFonts w:ascii="Open Sans" w:hAnsi="Open Sans" w:cs="Arial"/>
          <w:sz w:val="20"/>
          <w:szCs w:val="20"/>
        </w:rPr>
      </w:pPr>
      <w:r>
        <w:rPr>
          <w:rFonts w:ascii="Open Sans" w:hAnsi="Open Sans" w:cs="Arial"/>
          <w:sz w:val="20"/>
          <w:szCs w:val="20"/>
        </w:rPr>
        <w:t xml:space="preserve">Por lo que se refiere a las principales magnitudes en el ámbito fiscal, la información es insuficiente. Fundamentalmente en lo que se refiere al ingreso que supone el impuesto sobre sociedades para el Grupo en el año 2015 ya que se presenta de forma que pueda causar confusión en la identificación de que es un ingreso (y no un gasto) y no se encuentra información clara y fácilmente entendible por cualquier persona sobre los motivos que han causado que </w:t>
      </w:r>
      <w:r w:rsidRPr="00CB08E1">
        <w:rPr>
          <w:rFonts w:ascii="Open Sans" w:hAnsi="Open Sans" w:cs="Arial"/>
          <w:sz w:val="20"/>
          <w:szCs w:val="20"/>
        </w:rPr>
        <w:t xml:space="preserve">el impuesto sobre sociedades suponga un ingreso para las cuentas </w:t>
      </w:r>
      <w:r>
        <w:rPr>
          <w:rFonts w:ascii="Open Sans" w:hAnsi="Open Sans" w:cs="Arial"/>
          <w:sz w:val="20"/>
          <w:szCs w:val="20"/>
        </w:rPr>
        <w:t xml:space="preserve">consolidadas </w:t>
      </w:r>
      <w:r w:rsidRPr="00CB08E1">
        <w:rPr>
          <w:rFonts w:ascii="Open Sans" w:hAnsi="Open Sans" w:cs="Arial"/>
          <w:sz w:val="20"/>
          <w:szCs w:val="20"/>
        </w:rPr>
        <w:t>del Grupo</w:t>
      </w:r>
      <w:r>
        <w:rPr>
          <w:rFonts w:ascii="Open Sans" w:hAnsi="Open Sans" w:cs="Arial"/>
          <w:sz w:val="20"/>
          <w:szCs w:val="20"/>
        </w:rPr>
        <w:t xml:space="preserve">. A pesar de que la información sobre deducciones, exenciones y créditos fiscales se publica de forma agrupada bajo el concepto “bases imponibles negativas” y esto dificulta el traslado de una imagen completa de la misma, sí se valora positivamente que la empresa detalle la cifra para cada empresa que ha generado este tipo de bases, así como la información proporcionada de los </w:t>
      </w:r>
      <w:r w:rsidRPr="00D82BDD">
        <w:rPr>
          <w:rFonts w:ascii="Open Sans" w:hAnsi="Open Sans" w:cs="Arial"/>
          <w:sz w:val="20"/>
          <w:szCs w:val="20"/>
        </w:rPr>
        <w:t>ejercicios de generación, ejercicios de prescripción y diferenciando entre “activadas” y “pendientes de activar”.</w:t>
      </w:r>
    </w:p>
    <w:p w14:paraId="5B56081D" w14:textId="77777777" w:rsidR="003E002C" w:rsidRDefault="003E002C" w:rsidP="003E002C">
      <w:pPr>
        <w:jc w:val="both"/>
        <w:rPr>
          <w:rFonts w:ascii="Open Sans" w:hAnsi="Open Sans" w:cs="Arial"/>
          <w:sz w:val="20"/>
          <w:szCs w:val="20"/>
        </w:rPr>
      </w:pPr>
    </w:p>
    <w:p w14:paraId="628A9153" w14:textId="0E82331B" w:rsidR="003B3C8B" w:rsidRPr="00F921DC" w:rsidRDefault="003E002C" w:rsidP="003E002C">
      <w:pPr>
        <w:jc w:val="both"/>
        <w:rPr>
          <w:rFonts w:ascii="Open Sans" w:hAnsi="Open Sans" w:cs="Arial"/>
          <w:b/>
          <w:sz w:val="20"/>
          <w:szCs w:val="20"/>
          <w:highlight w:val="yellow"/>
        </w:rPr>
      </w:pPr>
      <w:r>
        <w:rPr>
          <w:rFonts w:ascii="Open Sans" w:hAnsi="Open Sans" w:cs="Arial"/>
          <w:sz w:val="20"/>
          <w:szCs w:val="20"/>
        </w:rPr>
        <w:t>Por lo que se refiere a su presencia en paraísos y nichos fiscales, DIA centra sus compromisos en el ámbito de la transparencia y no reconoce expresamente poseer empresas en paraísos o nichos fiscales.</w:t>
      </w:r>
    </w:p>
    <w:p w14:paraId="78F616C2" w14:textId="261ABD26" w:rsidR="003B3C8B" w:rsidRDefault="003B3C8B">
      <w:pPr>
        <w:rPr>
          <w:rFonts w:ascii="Open Sans" w:hAnsi="Open Sans"/>
          <w:sz w:val="20"/>
          <w:szCs w:val="20"/>
        </w:rPr>
      </w:pPr>
      <w:r>
        <w:rPr>
          <w:rFonts w:ascii="Open Sans" w:hAnsi="Open Sans"/>
          <w:sz w:val="20"/>
          <w:szCs w:val="20"/>
        </w:rPr>
        <w:br w:type="page"/>
      </w:r>
    </w:p>
    <w:p w14:paraId="367957A8" w14:textId="77777777" w:rsidR="00F042E9" w:rsidRPr="00EF3F76" w:rsidRDefault="00F042E9" w:rsidP="00F042E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caps/>
          <w:color w:val="FFFFFF"/>
          <w:lang w:val="en-GB"/>
        </w:rPr>
      </w:pPr>
      <w:bookmarkStart w:id="111" w:name="IAG"/>
      <w:r w:rsidRPr="00EF3F76">
        <w:rPr>
          <w:rFonts w:ascii="Open Sans" w:hAnsi="Open Sans" w:cs="Arial"/>
          <w:b/>
          <w:caps/>
          <w:color w:val="FFFFFF"/>
          <w:lang w:val="en-GB"/>
        </w:rPr>
        <w:t>INTERNATIONAL AIRLINES GROUP, S.A.</w:t>
      </w:r>
      <w:bookmarkEnd w:id="111"/>
    </w:p>
    <w:p w14:paraId="682499A0" w14:textId="77777777" w:rsidR="00F042E9" w:rsidRPr="00EE1EF7" w:rsidRDefault="00F042E9" w:rsidP="00F042E9">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sidRPr="00EE1EF7">
        <w:rPr>
          <w:rFonts w:ascii="Open Sans" w:hAnsi="Open Sans" w:cs="Arial"/>
          <w:b/>
          <w:i/>
          <w:color w:val="FFFFFF"/>
        </w:rPr>
        <w:t>(</w:t>
      </w:r>
      <w:r>
        <w:rPr>
          <w:rFonts w:ascii="Open Sans" w:hAnsi="Open Sans" w:cs="Arial"/>
          <w:b/>
          <w:i/>
          <w:color w:val="FFFFFF"/>
        </w:rPr>
        <w:t>IAG</w:t>
      </w:r>
      <w:r w:rsidRPr="00EE1EF7">
        <w:rPr>
          <w:rFonts w:ascii="Open Sans" w:hAnsi="Open Sans" w:cs="Arial"/>
          <w:b/>
          <w:i/>
          <w:color w:val="FFFFFF"/>
        </w:rPr>
        <w:t>)</w:t>
      </w:r>
    </w:p>
    <w:p w14:paraId="5F2687E8" w14:textId="77777777" w:rsidR="00F042E9" w:rsidRDefault="00F042E9" w:rsidP="00F042E9">
      <w:pPr>
        <w:spacing w:before="120" w:after="120" w:line="360" w:lineRule="auto"/>
        <w:jc w:val="both"/>
        <w:rPr>
          <w:rFonts w:ascii="Open Sans" w:hAnsi="Open Sans" w:cs="Tahoma"/>
          <w:b/>
          <w:bCs/>
          <w:color w:val="002060"/>
          <w:sz w:val="28"/>
          <w:szCs w:val="28"/>
        </w:rPr>
      </w:pPr>
    </w:p>
    <w:p w14:paraId="35C30B5A" w14:textId="77777777" w:rsidR="00256EC8" w:rsidRPr="00732FD5" w:rsidRDefault="00256EC8" w:rsidP="00256EC8">
      <w:pPr>
        <w:jc w:val="both"/>
        <w:outlineLvl w:val="5"/>
        <w:rPr>
          <w:rFonts w:ascii="Open Sans" w:hAnsi="Open Sans" w:cs="Arial"/>
          <w:b/>
          <w:sz w:val="26"/>
          <w:szCs w:val="22"/>
          <w:u w:val="single"/>
        </w:rPr>
      </w:pPr>
      <w:r w:rsidRPr="00EE1EF7">
        <w:rPr>
          <w:rFonts w:ascii="Open Sans" w:hAnsi="Open Sans" w:cs="Arial"/>
          <w:b/>
          <w:sz w:val="22"/>
          <w:szCs w:val="22"/>
          <w:u w:val="single"/>
        </w:rPr>
        <w:t>1. Datos generales de la entidad</w:t>
      </w:r>
    </w:p>
    <w:p w14:paraId="16973CBC" w14:textId="77777777" w:rsidR="00256EC8" w:rsidRPr="00732FD5" w:rsidRDefault="00256EC8" w:rsidP="00256EC8">
      <w:pPr>
        <w:jc w:val="both"/>
        <w:rPr>
          <w:rFonts w:ascii="Open Sans" w:hAnsi="Open Sans" w:cs="Arial"/>
          <w:sz w:val="22"/>
          <w:szCs w:val="22"/>
          <w:u w:val="single"/>
        </w:rPr>
      </w:pPr>
    </w:p>
    <w:p w14:paraId="4301C540" w14:textId="77777777" w:rsidR="00256EC8" w:rsidRPr="00EE1EF7" w:rsidRDefault="00256EC8" w:rsidP="00256EC8">
      <w:pPr>
        <w:jc w:val="both"/>
        <w:rPr>
          <w:rFonts w:ascii="Open Sans" w:hAnsi="Open Sans" w:cs="Arial"/>
          <w:sz w:val="20"/>
          <w:szCs w:val="20"/>
        </w:rPr>
      </w:pPr>
      <w:r w:rsidRPr="00EE1EF7">
        <w:rPr>
          <w:rFonts w:ascii="Open Sans" w:hAnsi="Open Sans" w:cs="Arial"/>
          <w:sz w:val="20"/>
          <w:szCs w:val="20"/>
          <w:u w:val="single"/>
        </w:rPr>
        <w:t>Productos/servicios</w:t>
      </w:r>
    </w:p>
    <w:p w14:paraId="35F8F0A2" w14:textId="77777777" w:rsidR="00256EC8" w:rsidRDefault="00256EC8" w:rsidP="00256EC8">
      <w:pPr>
        <w:jc w:val="both"/>
        <w:rPr>
          <w:rFonts w:ascii="Open Sans" w:hAnsi="Open Sans" w:cs="Arial"/>
          <w:sz w:val="20"/>
          <w:szCs w:val="20"/>
        </w:rPr>
      </w:pPr>
    </w:p>
    <w:p w14:paraId="2A343C29" w14:textId="77777777" w:rsidR="00256EC8" w:rsidRDefault="00256EC8" w:rsidP="00256EC8">
      <w:pPr>
        <w:jc w:val="both"/>
        <w:rPr>
          <w:rFonts w:ascii="Open Sans" w:hAnsi="Open Sans" w:cs="Arial"/>
          <w:sz w:val="20"/>
          <w:szCs w:val="20"/>
        </w:rPr>
      </w:pPr>
      <w:r w:rsidRPr="00EF3F76">
        <w:rPr>
          <w:rFonts w:ascii="Open Sans" w:hAnsi="Open Sans" w:cs="Arial"/>
          <w:sz w:val="20"/>
          <w:szCs w:val="20"/>
        </w:rPr>
        <w:t xml:space="preserve">International Airlines Group S.A. </w:t>
      </w:r>
      <w:r>
        <w:rPr>
          <w:rFonts w:ascii="Open Sans" w:hAnsi="Open Sans" w:cs="Arial"/>
          <w:sz w:val="20"/>
          <w:szCs w:val="20"/>
        </w:rPr>
        <w:t xml:space="preserve">(IAG) es un grupo de aerolíneas </w:t>
      </w:r>
      <w:r w:rsidRPr="00EF3F76">
        <w:rPr>
          <w:rFonts w:ascii="Open Sans" w:hAnsi="Open Sans" w:cs="Arial"/>
          <w:sz w:val="20"/>
          <w:szCs w:val="20"/>
        </w:rPr>
        <w:t>creado para la tenencia de participaciones accionariales en aerolíneas y otros negocios auxiliares.</w:t>
      </w:r>
    </w:p>
    <w:p w14:paraId="30F4CB69" w14:textId="77777777" w:rsidR="00256EC8" w:rsidRDefault="00256EC8" w:rsidP="00256EC8">
      <w:pPr>
        <w:jc w:val="both"/>
        <w:rPr>
          <w:rFonts w:ascii="Open Sans" w:hAnsi="Open Sans" w:cs="Arial"/>
          <w:sz w:val="20"/>
          <w:szCs w:val="20"/>
        </w:rPr>
      </w:pPr>
    </w:p>
    <w:p w14:paraId="3A2C3ECE" w14:textId="77777777" w:rsidR="00256EC8" w:rsidRDefault="00256EC8" w:rsidP="00256EC8">
      <w:pPr>
        <w:jc w:val="both"/>
        <w:rPr>
          <w:rFonts w:ascii="Open Sans" w:hAnsi="Open Sans" w:cs="Arial"/>
          <w:sz w:val="20"/>
          <w:szCs w:val="20"/>
        </w:rPr>
      </w:pPr>
      <w:r>
        <w:rPr>
          <w:rFonts w:ascii="Open Sans" w:hAnsi="Open Sans" w:cs="Arial"/>
          <w:sz w:val="20"/>
          <w:szCs w:val="20"/>
        </w:rPr>
        <w:t>IAG tiene los siguientes negocios:</w:t>
      </w:r>
    </w:p>
    <w:p w14:paraId="4E723F80" w14:textId="77777777" w:rsidR="00256EC8" w:rsidRDefault="00256EC8" w:rsidP="00256EC8">
      <w:pPr>
        <w:jc w:val="both"/>
        <w:rPr>
          <w:rFonts w:ascii="Open Sans" w:hAnsi="Open Sans" w:cs="Arial"/>
          <w:sz w:val="20"/>
          <w:szCs w:val="20"/>
        </w:rPr>
      </w:pPr>
    </w:p>
    <w:p w14:paraId="0FFAE31A" w14:textId="77777777" w:rsidR="00256EC8" w:rsidRDefault="00256EC8" w:rsidP="00256EC8">
      <w:pPr>
        <w:numPr>
          <w:ilvl w:val="0"/>
          <w:numId w:val="21"/>
        </w:numPr>
        <w:jc w:val="both"/>
        <w:rPr>
          <w:rFonts w:ascii="Open Sans" w:hAnsi="Open Sans" w:cs="Arial"/>
          <w:sz w:val="20"/>
          <w:szCs w:val="20"/>
        </w:rPr>
      </w:pPr>
      <w:r>
        <w:rPr>
          <w:rFonts w:ascii="Open Sans" w:hAnsi="Open Sans" w:cs="Arial"/>
          <w:sz w:val="20"/>
          <w:szCs w:val="20"/>
        </w:rPr>
        <w:t>Transporte de viajeros a través de cuatro marcas de aerolíneas independientes: British Airways, Iberia, Aer Lingus y Vueling.</w:t>
      </w:r>
    </w:p>
    <w:p w14:paraId="26E70881" w14:textId="77777777" w:rsidR="00256EC8" w:rsidRDefault="00256EC8" w:rsidP="00256EC8">
      <w:pPr>
        <w:numPr>
          <w:ilvl w:val="0"/>
          <w:numId w:val="21"/>
        </w:numPr>
        <w:jc w:val="both"/>
        <w:rPr>
          <w:rFonts w:ascii="Open Sans" w:hAnsi="Open Sans" w:cs="Arial"/>
          <w:sz w:val="20"/>
          <w:szCs w:val="20"/>
        </w:rPr>
      </w:pPr>
      <w:r>
        <w:rPr>
          <w:rFonts w:ascii="Open Sans" w:hAnsi="Open Sans" w:cs="Arial"/>
          <w:sz w:val="20"/>
          <w:szCs w:val="20"/>
        </w:rPr>
        <w:t xml:space="preserve">Transporte de carga aérea: IAG Cargo. </w:t>
      </w:r>
    </w:p>
    <w:p w14:paraId="083E0F37" w14:textId="77777777" w:rsidR="00256EC8" w:rsidRDefault="00256EC8" w:rsidP="00256EC8">
      <w:pPr>
        <w:numPr>
          <w:ilvl w:val="0"/>
          <w:numId w:val="21"/>
        </w:numPr>
        <w:jc w:val="both"/>
        <w:rPr>
          <w:rFonts w:ascii="Open Sans" w:hAnsi="Open Sans" w:cs="Arial"/>
          <w:sz w:val="20"/>
          <w:szCs w:val="20"/>
        </w:rPr>
      </w:pPr>
      <w:r>
        <w:rPr>
          <w:rFonts w:ascii="Open Sans" w:hAnsi="Open Sans" w:cs="Arial"/>
          <w:sz w:val="20"/>
          <w:szCs w:val="20"/>
        </w:rPr>
        <w:t>Fidelización de clientes: Avio. Tiene cinco</w:t>
      </w:r>
      <w:r w:rsidRPr="0008113F">
        <w:rPr>
          <w:rFonts w:ascii="Open Sans" w:hAnsi="Open Sans" w:cs="Arial"/>
          <w:sz w:val="20"/>
          <w:szCs w:val="20"/>
        </w:rPr>
        <w:t xml:space="preserve"> programas principales de fidelización de clientes: Executive Club, Iberia Plus, Avios, Punto y Gold Circle Club</w:t>
      </w:r>
      <w:r>
        <w:rPr>
          <w:rFonts w:ascii="Open Sans" w:hAnsi="Open Sans" w:cs="Arial"/>
          <w:sz w:val="20"/>
          <w:szCs w:val="20"/>
        </w:rPr>
        <w:t>.</w:t>
      </w:r>
    </w:p>
    <w:p w14:paraId="4FDA55FF" w14:textId="77777777" w:rsidR="00256EC8" w:rsidRPr="00325257" w:rsidRDefault="00256EC8" w:rsidP="00256EC8">
      <w:pPr>
        <w:numPr>
          <w:ilvl w:val="0"/>
          <w:numId w:val="21"/>
        </w:numPr>
        <w:jc w:val="both"/>
        <w:rPr>
          <w:rFonts w:ascii="Open Sans" w:hAnsi="Open Sans" w:cs="Arial"/>
          <w:sz w:val="20"/>
          <w:szCs w:val="20"/>
        </w:rPr>
      </w:pPr>
      <w:r>
        <w:rPr>
          <w:rFonts w:ascii="Open Sans" w:hAnsi="Open Sans" w:cs="Arial"/>
          <w:sz w:val="20"/>
          <w:szCs w:val="20"/>
        </w:rPr>
        <w:t xml:space="preserve">Negocio de carga. IAG Cargo: </w:t>
      </w:r>
      <w:r w:rsidRPr="00325257">
        <w:rPr>
          <w:rFonts w:ascii="Open Sans" w:hAnsi="Open Sans" w:cs="Arial"/>
          <w:sz w:val="20"/>
          <w:szCs w:val="20"/>
        </w:rPr>
        <w:t>transportistas intern</w:t>
      </w:r>
      <w:r>
        <w:rPr>
          <w:rFonts w:ascii="Open Sans" w:hAnsi="Open Sans" w:cs="Arial"/>
          <w:sz w:val="20"/>
          <w:szCs w:val="20"/>
        </w:rPr>
        <w:t xml:space="preserve">acionales </w:t>
      </w:r>
      <w:r w:rsidRPr="00325257">
        <w:rPr>
          <w:rFonts w:ascii="Open Sans" w:hAnsi="Open Sans" w:cs="Arial"/>
          <w:sz w:val="20"/>
          <w:szCs w:val="20"/>
        </w:rPr>
        <w:t>de carga aérea líderes a nivel mundial</w:t>
      </w:r>
      <w:r>
        <w:rPr>
          <w:rFonts w:ascii="Open Sans" w:hAnsi="Open Sans" w:cs="Arial"/>
          <w:sz w:val="20"/>
          <w:szCs w:val="20"/>
        </w:rPr>
        <w:t>.</w:t>
      </w:r>
    </w:p>
    <w:p w14:paraId="0621E724" w14:textId="77777777" w:rsidR="00256EC8" w:rsidRDefault="00256EC8" w:rsidP="00256EC8">
      <w:pPr>
        <w:jc w:val="both"/>
        <w:rPr>
          <w:rFonts w:ascii="Open Sans" w:hAnsi="Open Sans" w:cs="Arial"/>
          <w:sz w:val="20"/>
          <w:szCs w:val="20"/>
        </w:rPr>
      </w:pPr>
    </w:p>
    <w:p w14:paraId="5DACF8D6" w14:textId="77777777" w:rsidR="00256EC8" w:rsidRPr="00EE1EF7" w:rsidRDefault="00256EC8" w:rsidP="00256EC8">
      <w:pPr>
        <w:jc w:val="both"/>
        <w:rPr>
          <w:rFonts w:ascii="Open Sans" w:hAnsi="Open Sans" w:cs="Arial"/>
          <w:sz w:val="20"/>
          <w:szCs w:val="20"/>
        </w:rPr>
      </w:pPr>
    </w:p>
    <w:p w14:paraId="4FD322C0" w14:textId="77777777" w:rsidR="00256EC8" w:rsidRPr="00EE1EF7" w:rsidRDefault="00256EC8" w:rsidP="00256EC8">
      <w:pPr>
        <w:jc w:val="both"/>
        <w:rPr>
          <w:rFonts w:ascii="Open Sans" w:hAnsi="Open Sans" w:cs="Arial"/>
          <w:sz w:val="20"/>
          <w:szCs w:val="20"/>
        </w:rPr>
      </w:pPr>
      <w:r w:rsidRPr="00EE1EF7">
        <w:rPr>
          <w:rFonts w:ascii="Open Sans" w:hAnsi="Open Sans" w:cs="Arial"/>
          <w:sz w:val="20"/>
          <w:szCs w:val="20"/>
          <w:u w:val="single"/>
        </w:rPr>
        <w:t xml:space="preserve">Alcance geográfico </w:t>
      </w:r>
    </w:p>
    <w:p w14:paraId="71E90700" w14:textId="77777777" w:rsidR="00256EC8" w:rsidRPr="00EE1EF7" w:rsidRDefault="00256EC8" w:rsidP="00256EC8">
      <w:pPr>
        <w:jc w:val="both"/>
        <w:rPr>
          <w:rFonts w:ascii="Open Sans" w:hAnsi="Open Sans" w:cs="Arial"/>
          <w:sz w:val="20"/>
          <w:szCs w:val="20"/>
        </w:rPr>
      </w:pPr>
    </w:p>
    <w:p w14:paraId="13BE7062"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El grupo IAG </w:t>
      </w:r>
      <w:r w:rsidRPr="00914337">
        <w:rPr>
          <w:rFonts w:ascii="Open Sans" w:hAnsi="Open Sans" w:cs="Arial"/>
          <w:sz w:val="20"/>
          <w:szCs w:val="20"/>
        </w:rPr>
        <w:t xml:space="preserve">tiene presencia </w:t>
      </w:r>
      <w:r>
        <w:rPr>
          <w:rFonts w:ascii="Open Sans" w:hAnsi="Open Sans" w:cs="Arial"/>
          <w:sz w:val="20"/>
          <w:szCs w:val="20"/>
        </w:rPr>
        <w:t xml:space="preserve">a través de sus dependientes y asociadas </w:t>
      </w:r>
      <w:r w:rsidRPr="00914337">
        <w:rPr>
          <w:rFonts w:ascii="Open Sans" w:hAnsi="Open Sans" w:cs="Arial"/>
          <w:sz w:val="20"/>
          <w:szCs w:val="20"/>
        </w:rPr>
        <w:t xml:space="preserve">en los siguientes países: </w:t>
      </w:r>
      <w:r>
        <w:rPr>
          <w:rFonts w:ascii="Open Sans" w:hAnsi="Open Sans" w:cs="Arial"/>
          <w:sz w:val="20"/>
          <w:szCs w:val="20"/>
        </w:rPr>
        <w:t xml:space="preserve">España, Inglaterra, República de Irlanda, Irlanda del Norte, India, Guinea Ecuatorial, Sudáfrica, Cuba, EEUU, Islas Bermudas (UK), México, Alemania, Francia, Holanda, Isla de Man (UK), </w:t>
      </w:r>
      <w:r w:rsidRPr="00CA38ED">
        <w:rPr>
          <w:rFonts w:ascii="Open Sans" w:hAnsi="Open Sans" w:cs="Arial"/>
          <w:sz w:val="20"/>
          <w:szCs w:val="20"/>
        </w:rPr>
        <w:t>Jersey (UK)</w:t>
      </w:r>
      <w:r>
        <w:rPr>
          <w:rFonts w:ascii="Open Sans" w:hAnsi="Open Sans" w:cs="Arial"/>
          <w:sz w:val="20"/>
          <w:szCs w:val="20"/>
        </w:rPr>
        <w:t xml:space="preserve">, Polonia e Islas Caimán. </w:t>
      </w:r>
    </w:p>
    <w:p w14:paraId="0BEA09F1" w14:textId="77777777" w:rsidR="00256EC8" w:rsidRDefault="00256EC8" w:rsidP="00256EC8">
      <w:pPr>
        <w:jc w:val="both"/>
        <w:rPr>
          <w:rFonts w:ascii="Open Sans" w:hAnsi="Open Sans" w:cs="Arial"/>
          <w:sz w:val="20"/>
          <w:szCs w:val="20"/>
        </w:rPr>
      </w:pPr>
    </w:p>
    <w:p w14:paraId="2C8C07B7"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Además realiza operaciones en 274 destinos a nivel mundial. </w:t>
      </w:r>
    </w:p>
    <w:p w14:paraId="1310D4EB" w14:textId="77777777" w:rsidR="00256EC8" w:rsidRDefault="00256EC8" w:rsidP="00256EC8">
      <w:pPr>
        <w:jc w:val="both"/>
        <w:rPr>
          <w:rFonts w:ascii="Open Sans" w:hAnsi="Open Sans" w:cs="Arial"/>
          <w:sz w:val="20"/>
          <w:szCs w:val="20"/>
        </w:rPr>
      </w:pPr>
    </w:p>
    <w:p w14:paraId="07C50242" w14:textId="77777777" w:rsidR="00256EC8" w:rsidRPr="00EE1EF7" w:rsidRDefault="00256EC8" w:rsidP="00256EC8">
      <w:pPr>
        <w:jc w:val="both"/>
        <w:rPr>
          <w:rFonts w:ascii="Open Sans" w:hAnsi="Open Sans" w:cs="Arial"/>
          <w:sz w:val="20"/>
          <w:szCs w:val="20"/>
        </w:rPr>
      </w:pPr>
    </w:p>
    <w:p w14:paraId="2BF44B03" w14:textId="77777777" w:rsidR="00256EC8" w:rsidRDefault="00256EC8" w:rsidP="00256EC8">
      <w:pPr>
        <w:jc w:val="both"/>
        <w:rPr>
          <w:rFonts w:ascii="Open Sans" w:hAnsi="Open Sans" w:cs="Arial"/>
          <w:sz w:val="20"/>
          <w:szCs w:val="20"/>
          <w:u w:val="single"/>
        </w:rPr>
      </w:pPr>
      <w:r>
        <w:rPr>
          <w:rFonts w:ascii="Open Sans" w:hAnsi="Open Sans" w:cs="Arial"/>
          <w:sz w:val="20"/>
          <w:szCs w:val="20"/>
          <w:u w:val="single"/>
        </w:rPr>
        <w:t>Cifras relevantes de la empresa:</w:t>
      </w:r>
    </w:p>
    <w:p w14:paraId="55EE6BEF" w14:textId="77777777" w:rsidR="00256EC8" w:rsidRDefault="00256EC8" w:rsidP="00256EC8">
      <w:pPr>
        <w:jc w:val="both"/>
        <w:rPr>
          <w:rFonts w:ascii="Open Sans" w:hAnsi="Open Sans" w:cs="Arial"/>
          <w:sz w:val="20"/>
          <w:szCs w:val="20"/>
          <w:u w:val="single"/>
        </w:rPr>
      </w:pPr>
    </w:p>
    <w:p w14:paraId="36AF925B" w14:textId="77777777" w:rsidR="00256EC8" w:rsidRPr="00B80586" w:rsidRDefault="00256EC8" w:rsidP="00256EC8">
      <w:pPr>
        <w:jc w:val="both"/>
        <w:rPr>
          <w:rFonts w:ascii="Open Sans" w:hAnsi="Open Sans" w:cs="Arial"/>
          <w:sz w:val="20"/>
          <w:szCs w:val="20"/>
        </w:rPr>
      </w:pPr>
      <w:r w:rsidRPr="00B80586">
        <w:rPr>
          <w:rFonts w:ascii="Open Sans" w:hAnsi="Open Sans" w:cs="Arial"/>
          <w:sz w:val="20"/>
          <w:szCs w:val="20"/>
        </w:rPr>
        <w:t>IAG ha obtenido una facturación en 2015 de 22.858 millones de euros lo que le ha generado unos beneficios antes de impuestos al grupo consolidado de 1.801 millones de euros.</w:t>
      </w:r>
    </w:p>
    <w:p w14:paraId="088E816E" w14:textId="77777777" w:rsidR="00256EC8" w:rsidRPr="00756678" w:rsidRDefault="00256EC8" w:rsidP="00256EC8">
      <w:pPr>
        <w:jc w:val="both"/>
        <w:rPr>
          <w:rFonts w:ascii="Open Sans" w:hAnsi="Open Sans" w:cs="Arial"/>
          <w:sz w:val="20"/>
          <w:szCs w:val="20"/>
          <w:highlight w:val="yellow"/>
        </w:rPr>
      </w:pPr>
    </w:p>
    <w:p w14:paraId="5E0820AA" w14:textId="77777777" w:rsidR="00256EC8" w:rsidRPr="009E6F04" w:rsidRDefault="00256EC8" w:rsidP="00256EC8">
      <w:pPr>
        <w:jc w:val="both"/>
        <w:rPr>
          <w:rFonts w:ascii="Open Sans" w:hAnsi="Open Sans" w:cs="Arial"/>
          <w:sz w:val="20"/>
          <w:szCs w:val="20"/>
        </w:rPr>
      </w:pPr>
      <w:r>
        <w:rPr>
          <w:rFonts w:ascii="Open Sans" w:hAnsi="Open Sans" w:cs="Arial"/>
          <w:sz w:val="20"/>
          <w:szCs w:val="20"/>
        </w:rPr>
        <w:t xml:space="preserve">Durante el ejercicio 2015 ha contado con una plantilla media de </w:t>
      </w:r>
      <w:r w:rsidRPr="00B80586">
        <w:rPr>
          <w:rFonts w:ascii="Open Sans" w:hAnsi="Open Sans" w:cs="Arial"/>
          <w:sz w:val="20"/>
          <w:szCs w:val="20"/>
        </w:rPr>
        <w:t>60.892 empleados.</w:t>
      </w:r>
      <w:r>
        <w:rPr>
          <w:rFonts w:ascii="Open Sans" w:hAnsi="Open Sans" w:cs="Arial"/>
          <w:sz w:val="20"/>
          <w:szCs w:val="20"/>
        </w:rPr>
        <w:t xml:space="preserve"> IAG no aporta el dato exacto de empleados a 31 diciembre.</w:t>
      </w:r>
    </w:p>
    <w:p w14:paraId="78DA1370" w14:textId="77777777" w:rsidR="00256EC8" w:rsidRDefault="00256EC8" w:rsidP="00256EC8">
      <w:pPr>
        <w:jc w:val="both"/>
        <w:rPr>
          <w:rFonts w:ascii="Open Sans" w:hAnsi="Open Sans" w:cs="Arial"/>
          <w:sz w:val="20"/>
          <w:szCs w:val="20"/>
          <w:u w:val="single"/>
        </w:rPr>
      </w:pPr>
    </w:p>
    <w:p w14:paraId="6128AF4A" w14:textId="77777777" w:rsidR="00256EC8" w:rsidRDefault="00256EC8" w:rsidP="00256EC8">
      <w:pPr>
        <w:jc w:val="both"/>
        <w:rPr>
          <w:rFonts w:ascii="Open Sans" w:hAnsi="Open Sans" w:cs="Arial"/>
          <w:sz w:val="20"/>
          <w:szCs w:val="20"/>
          <w:u w:val="single"/>
        </w:rPr>
      </w:pPr>
    </w:p>
    <w:p w14:paraId="70D9909B" w14:textId="77777777" w:rsidR="00256EC8" w:rsidRPr="00EE1EF7" w:rsidRDefault="00256EC8" w:rsidP="00256EC8">
      <w:pPr>
        <w:jc w:val="both"/>
        <w:rPr>
          <w:rFonts w:ascii="Open Sans" w:hAnsi="Open Sans" w:cs="Arial"/>
          <w:sz w:val="20"/>
          <w:szCs w:val="20"/>
          <w:u w:val="single"/>
        </w:rPr>
      </w:pPr>
      <w:r w:rsidRPr="00EE1EF7">
        <w:rPr>
          <w:rFonts w:ascii="Open Sans" w:hAnsi="Open Sans" w:cs="Arial"/>
          <w:sz w:val="20"/>
          <w:szCs w:val="20"/>
          <w:u w:val="single"/>
        </w:rPr>
        <w:t>Estándares voluntarios</w:t>
      </w:r>
      <w:r>
        <w:rPr>
          <w:rFonts w:ascii="Open Sans" w:hAnsi="Open Sans" w:cs="Arial"/>
          <w:sz w:val="20"/>
          <w:szCs w:val="20"/>
          <w:u w:val="single"/>
        </w:rPr>
        <w:t xml:space="preserve"> relacionados con fiscalidad responsable</w:t>
      </w:r>
    </w:p>
    <w:p w14:paraId="658D8BA2" w14:textId="77777777" w:rsidR="00256EC8" w:rsidRPr="00EE1EF7" w:rsidRDefault="00256EC8" w:rsidP="00256EC8">
      <w:pPr>
        <w:jc w:val="both"/>
        <w:rPr>
          <w:rFonts w:ascii="Open Sans" w:hAnsi="Open Sans" w:cs="Arial"/>
          <w:sz w:val="20"/>
          <w:szCs w:val="20"/>
          <w:u w:val="single"/>
        </w:rPr>
      </w:pPr>
    </w:p>
    <w:p w14:paraId="0232B37A" w14:textId="77777777" w:rsidR="00256EC8" w:rsidRPr="00EE1EF7" w:rsidRDefault="00256EC8" w:rsidP="00256EC8">
      <w:pPr>
        <w:jc w:val="both"/>
        <w:rPr>
          <w:rFonts w:ascii="Open Sans" w:hAnsi="Open Sans" w:cs="Arial"/>
          <w:sz w:val="20"/>
          <w:szCs w:val="20"/>
        </w:rPr>
      </w:pPr>
      <w:r>
        <w:rPr>
          <w:rFonts w:ascii="Open Sans" w:hAnsi="Open Sans" w:cs="Arial"/>
          <w:sz w:val="20"/>
          <w:szCs w:val="20"/>
        </w:rPr>
        <w:t>IAG</w:t>
      </w:r>
      <w:r w:rsidRPr="00EE1EF7">
        <w:rPr>
          <w:rFonts w:ascii="Open Sans" w:hAnsi="Open Sans" w:cs="Arial"/>
          <w:sz w:val="20"/>
          <w:szCs w:val="20"/>
        </w:rPr>
        <w:t xml:space="preserve"> informa que se ha adherido voluntariamente a los siguientes estándares relacionados con contenidos y sistemas de gestión de </w:t>
      </w:r>
      <w:r>
        <w:rPr>
          <w:rFonts w:ascii="Open Sans" w:hAnsi="Open Sans" w:cs="Arial"/>
          <w:sz w:val="20"/>
          <w:szCs w:val="20"/>
        </w:rPr>
        <w:t>fiscalidad responsable</w:t>
      </w:r>
      <w:r w:rsidRPr="00EE1EF7">
        <w:rPr>
          <w:rFonts w:ascii="Open Sans" w:hAnsi="Open Sans" w:cs="Arial"/>
          <w:sz w:val="20"/>
          <w:szCs w:val="20"/>
        </w:rPr>
        <w:t>:</w:t>
      </w:r>
    </w:p>
    <w:p w14:paraId="6E1BF8D4" w14:textId="77777777" w:rsidR="00256EC8" w:rsidRPr="00EE1EF7" w:rsidRDefault="00256EC8" w:rsidP="00256EC8">
      <w:pPr>
        <w:jc w:val="both"/>
        <w:rPr>
          <w:rFonts w:ascii="Open Sans" w:hAnsi="Open Sans" w:cs="Arial"/>
          <w:sz w:val="20"/>
          <w:szCs w:val="20"/>
        </w:rPr>
      </w:pPr>
    </w:p>
    <w:p w14:paraId="4225CEFC" w14:textId="77777777" w:rsidR="00256EC8" w:rsidRPr="000E3E10" w:rsidRDefault="00256EC8" w:rsidP="00256EC8">
      <w:pPr>
        <w:numPr>
          <w:ilvl w:val="0"/>
          <w:numId w:val="12"/>
        </w:numPr>
        <w:jc w:val="both"/>
        <w:rPr>
          <w:rFonts w:ascii="Open Sans" w:hAnsi="Open Sans" w:cs="Arial"/>
          <w:sz w:val="20"/>
          <w:szCs w:val="20"/>
        </w:rPr>
      </w:pPr>
      <w:r w:rsidRPr="000E3E10">
        <w:rPr>
          <w:rFonts w:ascii="Open Sans" w:hAnsi="Open Sans" w:cs="Arial"/>
          <w:sz w:val="20"/>
          <w:szCs w:val="20"/>
        </w:rPr>
        <w:t>Iberia, en representación de IAG, se ha adherido al Código de Buenas Prácticas Tributaria</w:t>
      </w:r>
      <w:r>
        <w:rPr>
          <w:rFonts w:ascii="Open Sans" w:hAnsi="Open Sans" w:cs="Arial"/>
          <w:sz w:val="20"/>
          <w:szCs w:val="20"/>
        </w:rPr>
        <w:t>s</w:t>
      </w:r>
      <w:r w:rsidRPr="000E3E10">
        <w:rPr>
          <w:rFonts w:ascii="Open Sans" w:hAnsi="Open Sans" w:cs="Arial"/>
          <w:sz w:val="20"/>
          <w:szCs w:val="20"/>
        </w:rPr>
        <w:t xml:space="preserve">. </w:t>
      </w:r>
    </w:p>
    <w:p w14:paraId="3F826E97" w14:textId="77777777" w:rsidR="00256EC8" w:rsidRDefault="00256EC8" w:rsidP="00256EC8">
      <w:pPr>
        <w:jc w:val="both"/>
        <w:rPr>
          <w:rFonts w:ascii="Open Sans" w:hAnsi="Open Sans" w:cs="Arial"/>
          <w:sz w:val="20"/>
          <w:szCs w:val="20"/>
          <w:u w:val="single"/>
        </w:rPr>
      </w:pPr>
    </w:p>
    <w:p w14:paraId="09D976EB" w14:textId="77777777" w:rsidR="00256EC8" w:rsidRDefault="00256EC8" w:rsidP="00256EC8">
      <w:pPr>
        <w:jc w:val="both"/>
        <w:rPr>
          <w:rFonts w:ascii="Open Sans" w:hAnsi="Open Sans" w:cs="Arial"/>
          <w:sz w:val="20"/>
          <w:szCs w:val="20"/>
          <w:u w:val="single"/>
        </w:rPr>
      </w:pPr>
    </w:p>
    <w:p w14:paraId="29301125" w14:textId="77777777" w:rsidR="00256EC8" w:rsidRPr="00EE1EF7" w:rsidRDefault="00256EC8" w:rsidP="00256EC8">
      <w:pPr>
        <w:jc w:val="both"/>
        <w:rPr>
          <w:rFonts w:ascii="Open Sans" w:hAnsi="Open Sans" w:cs="Arial"/>
          <w:sz w:val="20"/>
          <w:szCs w:val="20"/>
          <w:u w:val="single"/>
        </w:rPr>
      </w:pPr>
      <w:r w:rsidRPr="00EE1EF7">
        <w:rPr>
          <w:rFonts w:ascii="Open Sans" w:hAnsi="Open Sans" w:cs="Arial"/>
          <w:sz w:val="20"/>
          <w:szCs w:val="20"/>
          <w:u w:val="single"/>
        </w:rPr>
        <w:t>Documentos incluidos en el análisis</w:t>
      </w:r>
    </w:p>
    <w:p w14:paraId="340E7CED" w14:textId="77777777" w:rsidR="00256EC8" w:rsidRPr="00EE1EF7" w:rsidRDefault="00256EC8" w:rsidP="00256EC8">
      <w:pPr>
        <w:ind w:firstLine="709"/>
        <w:jc w:val="both"/>
        <w:rPr>
          <w:rFonts w:ascii="Open Sans" w:hAnsi="Open Sans" w:cs="Arial"/>
          <w:sz w:val="20"/>
          <w:szCs w:val="20"/>
        </w:rPr>
      </w:pPr>
    </w:p>
    <w:p w14:paraId="2ADB6AB0" w14:textId="77777777" w:rsidR="00256EC8" w:rsidRPr="00EE1EF7" w:rsidRDefault="00256EC8" w:rsidP="00256EC8">
      <w:pPr>
        <w:jc w:val="both"/>
        <w:rPr>
          <w:rFonts w:ascii="Open Sans" w:hAnsi="Open Sans" w:cs="Arial"/>
          <w:sz w:val="20"/>
          <w:szCs w:val="20"/>
        </w:rPr>
      </w:pPr>
      <w:r w:rsidRPr="00EE1EF7">
        <w:rPr>
          <w:rFonts w:ascii="Open Sans" w:hAnsi="Open Sans" w:cs="Arial"/>
          <w:sz w:val="20"/>
          <w:szCs w:val="20"/>
        </w:rPr>
        <w:t xml:space="preserve">Para el análisis de la calidad de la información relacionada con </w:t>
      </w:r>
      <w:r>
        <w:rPr>
          <w:rFonts w:ascii="Open Sans" w:hAnsi="Open Sans" w:cs="Arial"/>
          <w:sz w:val="20"/>
          <w:szCs w:val="20"/>
        </w:rPr>
        <w:t xml:space="preserve">fiscalidad </w:t>
      </w:r>
      <w:r w:rsidRPr="00EE1EF7">
        <w:rPr>
          <w:rFonts w:ascii="Open Sans" w:hAnsi="Open Sans" w:cs="Arial"/>
          <w:sz w:val="20"/>
          <w:szCs w:val="20"/>
        </w:rPr>
        <w:t>de la empresa, se ha tenido en cuenta la información contenida en la siguiente documentación:</w:t>
      </w:r>
    </w:p>
    <w:p w14:paraId="3E98AC91" w14:textId="77777777" w:rsidR="00256EC8" w:rsidRPr="00732FD5" w:rsidRDefault="00256EC8" w:rsidP="00256EC8">
      <w:pPr>
        <w:ind w:firstLine="709"/>
        <w:jc w:val="both"/>
        <w:rPr>
          <w:rFonts w:ascii="Open Sans" w:hAnsi="Open Sans" w:cs="Arial"/>
          <w:sz w:val="22"/>
          <w:szCs w:val="22"/>
        </w:rPr>
      </w:pPr>
    </w:p>
    <w:tbl>
      <w:tblPr>
        <w:tblW w:w="8377" w:type="dxa"/>
        <w:tblLayout w:type="fixed"/>
        <w:tblCellMar>
          <w:left w:w="0" w:type="dxa"/>
          <w:right w:w="0" w:type="dxa"/>
        </w:tblCellMar>
        <w:tblLook w:val="0000" w:firstRow="0" w:lastRow="0" w:firstColumn="0" w:lastColumn="0" w:noHBand="0" w:noVBand="0"/>
      </w:tblPr>
      <w:tblGrid>
        <w:gridCol w:w="4360"/>
        <w:gridCol w:w="4017"/>
      </w:tblGrid>
      <w:tr w:rsidR="00256EC8" w:rsidRPr="00732FD5" w14:paraId="5D5DC553" w14:textId="77777777" w:rsidTr="00256EC8">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vAlign w:val="center"/>
          </w:tcPr>
          <w:p w14:paraId="02210D39" w14:textId="77777777" w:rsidR="00256EC8" w:rsidRPr="00732FD5" w:rsidRDefault="00256EC8" w:rsidP="00256EC8">
            <w:pPr>
              <w:jc w:val="center"/>
              <w:rPr>
                <w:rFonts w:ascii="Open Sans" w:hAnsi="Open Sans" w:cs="Arial"/>
                <w:b/>
                <w:sz w:val="20"/>
                <w:szCs w:val="22"/>
              </w:rPr>
            </w:pPr>
            <w:r w:rsidRPr="00732FD5">
              <w:rPr>
                <w:rFonts w:ascii="Open Sans" w:hAnsi="Open Sans" w:cs="Arial"/>
                <w:b/>
                <w:sz w:val="20"/>
                <w:szCs w:val="22"/>
              </w:rPr>
              <w:t>DOCUMENTACIÓN</w:t>
            </w:r>
          </w:p>
        </w:tc>
        <w:tc>
          <w:tcPr>
            <w:tcW w:w="4017"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vAlign w:val="center"/>
          </w:tcPr>
          <w:p w14:paraId="4904EF51" w14:textId="77777777" w:rsidR="00256EC8" w:rsidRPr="00732FD5" w:rsidRDefault="00256EC8" w:rsidP="00256EC8">
            <w:pPr>
              <w:jc w:val="center"/>
              <w:rPr>
                <w:rFonts w:ascii="Open Sans" w:hAnsi="Open Sans" w:cs="Arial"/>
                <w:b/>
                <w:sz w:val="20"/>
                <w:szCs w:val="22"/>
              </w:rPr>
            </w:pPr>
            <w:r w:rsidRPr="00732FD5">
              <w:rPr>
                <w:rFonts w:ascii="Open Sans" w:hAnsi="Open Sans" w:cs="Arial"/>
                <w:b/>
                <w:sz w:val="20"/>
                <w:szCs w:val="22"/>
              </w:rPr>
              <w:t>OBSERVACIONES</w:t>
            </w:r>
          </w:p>
        </w:tc>
      </w:tr>
      <w:tr w:rsidR="00256EC8" w:rsidRPr="00732FD5" w14:paraId="28AEABE9" w14:textId="77777777" w:rsidTr="00256EC8">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167FC42" w14:textId="77777777" w:rsidR="00256EC8" w:rsidRPr="004A5F3E" w:rsidRDefault="00256EC8" w:rsidP="00256EC8">
            <w:pPr>
              <w:jc w:val="both"/>
              <w:rPr>
                <w:rFonts w:ascii="Open Sans" w:hAnsi="Open Sans" w:cs="Arial"/>
                <w:sz w:val="20"/>
                <w:szCs w:val="20"/>
              </w:rPr>
            </w:pPr>
            <w:r w:rsidRPr="004A5F3E">
              <w:rPr>
                <w:rFonts w:ascii="Open Sans" w:hAnsi="Open Sans" w:cs="Arial"/>
                <w:sz w:val="20"/>
                <w:szCs w:val="20"/>
              </w:rPr>
              <w:t>Informe y cuentas anuales 2015</w:t>
            </w:r>
          </w:p>
        </w:tc>
        <w:tc>
          <w:tcPr>
            <w:tcW w:w="401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3D455A86" w14:textId="77777777" w:rsidR="00256EC8" w:rsidRPr="00732FD5" w:rsidRDefault="00256EC8" w:rsidP="00256EC8">
            <w:pPr>
              <w:jc w:val="both"/>
              <w:rPr>
                <w:rFonts w:ascii="Open Sans" w:eastAsia="Arial Unicode MS" w:hAnsi="Open Sans" w:cs="Arial"/>
                <w:sz w:val="22"/>
                <w:szCs w:val="22"/>
              </w:rPr>
            </w:pPr>
          </w:p>
        </w:tc>
      </w:tr>
      <w:tr w:rsidR="00256EC8" w:rsidRPr="00732FD5" w14:paraId="0DECE506" w14:textId="77777777" w:rsidTr="00256EC8">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005CC54" w14:textId="77777777" w:rsidR="00256EC8" w:rsidRPr="004A5F3E" w:rsidRDefault="00256EC8" w:rsidP="00256EC8">
            <w:pPr>
              <w:jc w:val="both"/>
              <w:rPr>
                <w:rFonts w:ascii="Open Sans" w:hAnsi="Open Sans" w:cs="Arial"/>
                <w:sz w:val="20"/>
                <w:szCs w:val="20"/>
              </w:rPr>
            </w:pPr>
            <w:r w:rsidRPr="004A5F3E">
              <w:rPr>
                <w:rFonts w:ascii="Open Sans" w:hAnsi="Open Sans" w:cs="Arial"/>
                <w:sz w:val="20"/>
                <w:szCs w:val="20"/>
              </w:rPr>
              <w:t xml:space="preserve">Reglamento del Consejo de Administración </w:t>
            </w:r>
          </w:p>
        </w:tc>
        <w:tc>
          <w:tcPr>
            <w:tcW w:w="4017"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vAlign w:val="center"/>
          </w:tcPr>
          <w:p w14:paraId="097CA5AF" w14:textId="77777777" w:rsidR="00256EC8" w:rsidRPr="00732FD5" w:rsidRDefault="00256EC8" w:rsidP="00256EC8">
            <w:pPr>
              <w:jc w:val="both"/>
              <w:rPr>
                <w:rFonts w:ascii="Open Sans" w:eastAsia="Arial Unicode MS" w:hAnsi="Open Sans" w:cs="Arial"/>
                <w:sz w:val="22"/>
                <w:szCs w:val="22"/>
              </w:rPr>
            </w:pPr>
            <w:r w:rsidRPr="0073567F">
              <w:rPr>
                <w:rFonts w:ascii="Open Sans" w:hAnsi="Open Sans" w:cs="Arial"/>
                <w:sz w:val="20"/>
                <w:szCs w:val="20"/>
              </w:rPr>
              <w:t>Actualizado en 2015</w:t>
            </w:r>
          </w:p>
        </w:tc>
      </w:tr>
    </w:tbl>
    <w:p w14:paraId="541ABE5E" w14:textId="77777777" w:rsidR="00256EC8" w:rsidRPr="00732FD5" w:rsidRDefault="00256EC8" w:rsidP="00256EC8">
      <w:pPr>
        <w:jc w:val="both"/>
        <w:rPr>
          <w:rFonts w:ascii="Open Sans" w:hAnsi="Open Sans" w:cs="Arial"/>
          <w:b/>
        </w:rPr>
      </w:pPr>
    </w:p>
    <w:p w14:paraId="2105F5EA" w14:textId="77777777" w:rsidR="00256EC8" w:rsidRDefault="00256EC8" w:rsidP="00256EC8">
      <w:pPr>
        <w:jc w:val="both"/>
        <w:rPr>
          <w:rFonts w:ascii="Open Sans" w:hAnsi="Open Sans" w:cs="Arial"/>
          <w:b/>
        </w:rPr>
      </w:pPr>
    </w:p>
    <w:p w14:paraId="39703880" w14:textId="77777777" w:rsidR="00256EC8" w:rsidRPr="00732FD5" w:rsidRDefault="00256EC8" w:rsidP="00256EC8">
      <w:pPr>
        <w:jc w:val="both"/>
        <w:rPr>
          <w:rFonts w:ascii="Open Sans" w:hAnsi="Open Sans" w:cs="Arial"/>
          <w:b/>
        </w:rPr>
      </w:pPr>
    </w:p>
    <w:p w14:paraId="7CB7DCB5" w14:textId="77777777" w:rsidR="00256EC8" w:rsidRPr="00EE1EF7" w:rsidRDefault="00256EC8" w:rsidP="00256EC8">
      <w:pPr>
        <w:jc w:val="both"/>
        <w:rPr>
          <w:rFonts w:ascii="Open Sans" w:hAnsi="Open Sans" w:cs="Arial"/>
          <w:b/>
          <w:sz w:val="22"/>
          <w:szCs w:val="22"/>
          <w:u w:val="single"/>
        </w:rPr>
      </w:pPr>
      <w:r w:rsidRPr="00EE1EF7">
        <w:rPr>
          <w:rFonts w:ascii="Open Sans" w:hAnsi="Open Sans" w:cs="Arial"/>
          <w:b/>
          <w:sz w:val="22"/>
          <w:szCs w:val="22"/>
          <w:u w:val="single"/>
        </w:rPr>
        <w:t>2. Tablas de resultados</w:t>
      </w:r>
    </w:p>
    <w:p w14:paraId="349B0FA1" w14:textId="77777777" w:rsidR="00256EC8" w:rsidRDefault="00256EC8" w:rsidP="00256EC8">
      <w:pPr>
        <w:jc w:val="center"/>
        <w:rPr>
          <w:rFonts w:ascii="Open Sans" w:hAnsi="Open Sans" w:cs="Arial"/>
          <w:b/>
        </w:rPr>
      </w:pPr>
    </w:p>
    <w:p w14:paraId="213468BC" w14:textId="77777777" w:rsidR="00256EC8" w:rsidRDefault="00256EC8" w:rsidP="00256EC8">
      <w:pPr>
        <w:jc w:val="center"/>
        <w:rPr>
          <w:rFonts w:ascii="Open Sans" w:hAnsi="Open Sans" w:cs="Arial"/>
          <w:b/>
        </w:rPr>
      </w:pPr>
    </w:p>
    <w:p w14:paraId="3BB36157" w14:textId="77777777" w:rsidR="00256EC8" w:rsidRPr="007829A9" w:rsidRDefault="00256EC8" w:rsidP="00256EC8">
      <w:pPr>
        <w:suppressAutoHyphens/>
        <w:jc w:val="center"/>
        <w:rPr>
          <w:rFonts w:ascii="Open Sans" w:hAnsi="Open Sans" w:cs="Arial"/>
          <w:b/>
          <w:sz w:val="20"/>
          <w:szCs w:val="22"/>
          <w:u w:val="single"/>
          <w:lang w:eastAsia="ar-SA"/>
        </w:rPr>
      </w:pPr>
      <w:r w:rsidRPr="007829A9">
        <w:rPr>
          <w:rFonts w:ascii="Open Sans" w:hAnsi="Open Sans" w:cs="Arial"/>
          <w:b/>
          <w:sz w:val="20"/>
          <w:szCs w:val="22"/>
          <w:u w:val="single"/>
          <w:lang w:eastAsia="ar-SA"/>
        </w:rPr>
        <w:t>TABLA 1: Valoraciones por dimensión</w:t>
      </w:r>
    </w:p>
    <w:p w14:paraId="6BAA15E1" w14:textId="77777777" w:rsidR="00256EC8" w:rsidRPr="00732FD5" w:rsidRDefault="00256EC8" w:rsidP="00256EC8">
      <w:pPr>
        <w:rPr>
          <w:rFonts w:ascii="Open Sans" w:hAnsi="Open Sans" w:cs="Arial"/>
          <w:b/>
        </w:rPr>
      </w:pPr>
    </w:p>
    <w:p w14:paraId="77163951" w14:textId="703B992D" w:rsidR="00256EC8" w:rsidRDefault="00256EC8" w:rsidP="00256EC8">
      <w:pPr>
        <w:jc w:val="center"/>
      </w:pPr>
      <w:r>
        <w:rPr>
          <w:noProof/>
          <w:lang w:val="es-ES"/>
        </w:rPr>
        <w:drawing>
          <wp:inline distT="0" distB="0" distL="0" distR="0" wp14:anchorId="57DF8A21" wp14:editId="24190E05">
            <wp:extent cx="3688080" cy="1828800"/>
            <wp:effectExtent l="0" t="0" r="0" b="0"/>
            <wp:docPr id="1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a:ext>
                      </a:extLst>
                    </a:blip>
                    <a:srcRect/>
                    <a:stretch>
                      <a:fillRect/>
                    </a:stretch>
                  </pic:blipFill>
                  <pic:spPr bwMode="auto">
                    <a:xfrm>
                      <a:off x="0" y="0"/>
                      <a:ext cx="3688080" cy="1828800"/>
                    </a:xfrm>
                    <a:prstGeom prst="rect">
                      <a:avLst/>
                    </a:prstGeom>
                    <a:noFill/>
                    <a:ln>
                      <a:noFill/>
                    </a:ln>
                  </pic:spPr>
                </pic:pic>
              </a:graphicData>
            </a:graphic>
          </wp:inline>
        </w:drawing>
      </w:r>
    </w:p>
    <w:p w14:paraId="2AA1DDE0" w14:textId="77777777" w:rsidR="00256EC8" w:rsidRDefault="00256EC8" w:rsidP="00256EC8">
      <w:pPr>
        <w:jc w:val="both"/>
      </w:pPr>
    </w:p>
    <w:p w14:paraId="1EC9A12F" w14:textId="77777777" w:rsidR="00256EC8" w:rsidRDefault="00256EC8" w:rsidP="00256EC8">
      <w:pPr>
        <w:jc w:val="both"/>
      </w:pPr>
    </w:p>
    <w:p w14:paraId="38395480" w14:textId="77777777" w:rsidR="00256EC8" w:rsidRPr="007829A9" w:rsidRDefault="00256EC8" w:rsidP="00256EC8">
      <w:pPr>
        <w:jc w:val="center"/>
      </w:pPr>
    </w:p>
    <w:p w14:paraId="0A6B96D5" w14:textId="77777777" w:rsidR="00256EC8" w:rsidRDefault="00256EC8" w:rsidP="00256EC8">
      <w:pPr>
        <w:jc w:val="center"/>
        <w:rPr>
          <w:rFonts w:ascii="Open Sans" w:hAnsi="Open Sans" w:cs="Arial"/>
          <w:b/>
        </w:rPr>
      </w:pPr>
    </w:p>
    <w:p w14:paraId="5C86252C" w14:textId="77777777" w:rsidR="00256EC8" w:rsidRPr="00732FD5" w:rsidRDefault="00256EC8" w:rsidP="00256EC8">
      <w:pPr>
        <w:jc w:val="center"/>
        <w:rPr>
          <w:rFonts w:ascii="Open Sans" w:hAnsi="Open Sans" w:cs="Arial"/>
          <w:b/>
        </w:rPr>
      </w:pPr>
    </w:p>
    <w:p w14:paraId="214CE0E1" w14:textId="77777777" w:rsidR="00256EC8" w:rsidRDefault="00256EC8" w:rsidP="00256EC8">
      <w:pPr>
        <w:rPr>
          <w:rFonts w:ascii="Open Sans" w:hAnsi="Open Sans" w:cs="Arial"/>
          <w:b/>
        </w:rPr>
      </w:pPr>
    </w:p>
    <w:p w14:paraId="1D5BCDB0" w14:textId="77777777" w:rsidR="00256EC8" w:rsidRPr="00732FD5" w:rsidRDefault="00256EC8" w:rsidP="00256EC8">
      <w:pPr>
        <w:rPr>
          <w:rFonts w:ascii="Open Sans" w:hAnsi="Open Sans" w:cs="Arial"/>
          <w:b/>
        </w:rPr>
      </w:pPr>
      <w:r>
        <w:rPr>
          <w:rFonts w:ascii="Open Sans" w:hAnsi="Open Sans" w:cs="Arial"/>
          <w:b/>
        </w:rPr>
        <w:br w:type="page"/>
      </w:r>
    </w:p>
    <w:p w14:paraId="65EEAA62" w14:textId="77777777" w:rsidR="00256EC8" w:rsidRPr="00EE1EF7" w:rsidRDefault="00256EC8" w:rsidP="00256EC8">
      <w:pPr>
        <w:jc w:val="both"/>
        <w:rPr>
          <w:rFonts w:ascii="Open Sans" w:hAnsi="Open Sans" w:cs="Arial"/>
          <w:b/>
          <w:sz w:val="22"/>
          <w:szCs w:val="22"/>
        </w:rPr>
      </w:pPr>
      <w:r w:rsidRPr="00EE1EF7">
        <w:rPr>
          <w:rFonts w:ascii="Open Sans" w:hAnsi="Open Sans" w:cs="Arial"/>
          <w:b/>
          <w:sz w:val="22"/>
          <w:szCs w:val="22"/>
          <w:u w:val="single"/>
        </w:rPr>
        <w:t>3. Contexto general</w:t>
      </w:r>
    </w:p>
    <w:p w14:paraId="100B5C74" w14:textId="77777777" w:rsidR="00256EC8" w:rsidRPr="00732FD5" w:rsidRDefault="00256EC8" w:rsidP="00256EC8">
      <w:pPr>
        <w:jc w:val="both"/>
        <w:rPr>
          <w:rFonts w:ascii="Open Sans" w:hAnsi="Open Sans" w:cs="Arial"/>
          <w:b/>
        </w:rPr>
      </w:pPr>
    </w:p>
    <w:p w14:paraId="1EE6825E" w14:textId="77777777" w:rsidR="00256EC8" w:rsidRDefault="00256EC8" w:rsidP="00256EC8">
      <w:pPr>
        <w:jc w:val="both"/>
        <w:rPr>
          <w:rFonts w:ascii="Open Sans" w:hAnsi="Open Sans" w:cs="Arial"/>
          <w:sz w:val="20"/>
          <w:szCs w:val="20"/>
        </w:rPr>
      </w:pPr>
      <w:r w:rsidRPr="006A3756">
        <w:rPr>
          <w:rFonts w:ascii="Open Sans" w:hAnsi="Open Sans" w:cs="Arial"/>
          <w:sz w:val="20"/>
          <w:szCs w:val="20"/>
        </w:rPr>
        <w:t>International C</w:t>
      </w:r>
      <w:r>
        <w:rPr>
          <w:rFonts w:ascii="Open Sans" w:hAnsi="Open Sans" w:cs="Arial"/>
          <w:sz w:val="20"/>
          <w:szCs w:val="20"/>
        </w:rPr>
        <w:t xml:space="preserve">onsolidated Airlines Group S.A. </w:t>
      </w:r>
      <w:r w:rsidRPr="006A3756">
        <w:rPr>
          <w:rFonts w:ascii="Open Sans" w:hAnsi="Open Sans" w:cs="Arial"/>
          <w:sz w:val="20"/>
          <w:szCs w:val="20"/>
        </w:rPr>
        <w:t xml:space="preserve">es un grupo de aerolíneas líder en Europa creado para la tenencia de participaciones accionariales en aerolíneas y otros negocios auxiliares. </w:t>
      </w:r>
      <w:r>
        <w:rPr>
          <w:rFonts w:ascii="Open Sans" w:hAnsi="Open Sans" w:cs="Arial"/>
          <w:sz w:val="20"/>
          <w:szCs w:val="20"/>
        </w:rPr>
        <w:t xml:space="preserve">Tiene su sede social en Madrid y la sede corporativa en Londres. </w:t>
      </w:r>
    </w:p>
    <w:p w14:paraId="0C241AC8" w14:textId="77777777" w:rsidR="00256EC8" w:rsidRDefault="00256EC8" w:rsidP="00256EC8">
      <w:pPr>
        <w:jc w:val="both"/>
        <w:rPr>
          <w:rFonts w:ascii="Open Sans" w:hAnsi="Open Sans" w:cs="Arial"/>
          <w:sz w:val="20"/>
          <w:szCs w:val="20"/>
        </w:rPr>
      </w:pPr>
    </w:p>
    <w:p w14:paraId="60241AD5"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En 2015 se completa la adquisición de la aerolínea Aer Lingus y se crea Avios como una unidad operativa independiente. </w:t>
      </w:r>
    </w:p>
    <w:p w14:paraId="642655B6" w14:textId="77777777" w:rsidR="00256EC8" w:rsidRDefault="00256EC8" w:rsidP="00256EC8">
      <w:pPr>
        <w:jc w:val="both"/>
        <w:rPr>
          <w:rFonts w:ascii="Open Sans" w:hAnsi="Open Sans" w:cs="Arial"/>
          <w:sz w:val="20"/>
          <w:szCs w:val="20"/>
        </w:rPr>
      </w:pPr>
    </w:p>
    <w:p w14:paraId="2DB31C62"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Las cifras del grupo son muy positivas. IAG ha obtenido un resultado operativo de 2.300 millones de euros (excluyendo Aer Lingus que terminó su integración el 18 de agosto de 2015), cifra que supera ampliamente el objetivo inicial de 1.500 millones de euros para 2015. Los ingresos del ejercicio aumentaron un 13,3% con respecto al ejercicio 2014, alcanzando los 22.858 millones de euros. Se transportó casi 95 millones de pasajeros entre las cuatro aerolíneas. La flota de aviones ha pasado de </w:t>
      </w:r>
      <w:r w:rsidRPr="0010243B">
        <w:rPr>
          <w:rFonts w:ascii="Open Sans" w:hAnsi="Open Sans" w:cs="Arial"/>
          <w:sz w:val="20"/>
          <w:szCs w:val="20"/>
        </w:rPr>
        <w:t>459</w:t>
      </w:r>
      <w:r>
        <w:rPr>
          <w:rFonts w:ascii="Open Sans" w:hAnsi="Open Sans" w:cs="Arial"/>
          <w:sz w:val="20"/>
          <w:szCs w:val="20"/>
        </w:rPr>
        <w:t xml:space="preserve"> a 529 aeronaves y se ha empleado a unas 60.892 personas. </w:t>
      </w:r>
    </w:p>
    <w:p w14:paraId="4B549958" w14:textId="77777777" w:rsidR="00256EC8" w:rsidRDefault="00256EC8" w:rsidP="00256EC8">
      <w:pPr>
        <w:jc w:val="both"/>
        <w:rPr>
          <w:rFonts w:ascii="Open Sans" w:hAnsi="Open Sans" w:cs="Arial"/>
          <w:sz w:val="20"/>
          <w:szCs w:val="20"/>
        </w:rPr>
      </w:pPr>
    </w:p>
    <w:p w14:paraId="078B9239" w14:textId="77777777" w:rsidR="00256EC8" w:rsidRDefault="00256EC8" w:rsidP="00256EC8">
      <w:pPr>
        <w:jc w:val="both"/>
        <w:rPr>
          <w:rFonts w:ascii="Open Sans" w:hAnsi="Open Sans" w:cs="Arial"/>
          <w:sz w:val="20"/>
          <w:szCs w:val="20"/>
        </w:rPr>
      </w:pPr>
      <w:r w:rsidRPr="00835B33">
        <w:rPr>
          <w:rFonts w:ascii="Open Sans" w:hAnsi="Open Sans" w:cs="Arial"/>
          <w:sz w:val="20"/>
          <w:szCs w:val="20"/>
        </w:rPr>
        <w:t xml:space="preserve">Las acciones de IAG se negocian </w:t>
      </w:r>
      <w:r>
        <w:rPr>
          <w:rFonts w:ascii="Open Sans" w:hAnsi="Open Sans" w:cs="Arial"/>
          <w:sz w:val="20"/>
          <w:szCs w:val="20"/>
        </w:rPr>
        <w:t>en</w:t>
      </w:r>
      <w:r w:rsidRPr="00835B33">
        <w:rPr>
          <w:rFonts w:ascii="Open Sans" w:hAnsi="Open Sans" w:cs="Arial"/>
          <w:sz w:val="20"/>
          <w:szCs w:val="20"/>
        </w:rPr>
        <w:t xml:space="preserve"> la Bolsa de Londres, así como en las bolsas de Madri</w:t>
      </w:r>
      <w:r>
        <w:rPr>
          <w:rFonts w:ascii="Open Sans" w:hAnsi="Open Sans" w:cs="Arial"/>
          <w:sz w:val="20"/>
          <w:szCs w:val="20"/>
        </w:rPr>
        <w:t xml:space="preserve">d, Barcelona, Bilbao y Valencia. </w:t>
      </w:r>
    </w:p>
    <w:p w14:paraId="1075529A" w14:textId="77777777" w:rsidR="00256EC8" w:rsidRDefault="00256EC8" w:rsidP="00256EC8">
      <w:pPr>
        <w:jc w:val="both"/>
        <w:rPr>
          <w:rFonts w:ascii="Open Sans" w:hAnsi="Open Sans" w:cs="Arial"/>
          <w:sz w:val="20"/>
          <w:szCs w:val="20"/>
        </w:rPr>
      </w:pPr>
    </w:p>
    <w:p w14:paraId="7FEE92C4"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Los ingresos por segmento geográfico son los siguientes: Reino Unido un 36%, Estados Unidos un 15%, España un 15% y resto del mundo un 34%. </w:t>
      </w:r>
      <w:r w:rsidRPr="00764CB1">
        <w:rPr>
          <w:rFonts w:ascii="Open Sans" w:hAnsi="Open Sans" w:cs="Arial"/>
          <w:sz w:val="20"/>
          <w:szCs w:val="20"/>
        </w:rPr>
        <w:t>Por unidades de negocio British Airways  aporta el 69,4%, Iberia el 19,3%, Vueling el 8,6%, Aer Lingus 2,7%.</w:t>
      </w:r>
      <w:r>
        <w:rPr>
          <w:rFonts w:ascii="Open Sans" w:hAnsi="Open Sans" w:cs="Arial"/>
          <w:sz w:val="20"/>
          <w:szCs w:val="20"/>
        </w:rPr>
        <w:t xml:space="preserve"> </w:t>
      </w:r>
    </w:p>
    <w:p w14:paraId="7E816B93" w14:textId="77777777" w:rsidR="00256EC8" w:rsidRDefault="00256EC8" w:rsidP="00256EC8">
      <w:pPr>
        <w:jc w:val="both"/>
        <w:rPr>
          <w:rFonts w:ascii="Open Sans" w:hAnsi="Open Sans" w:cs="Arial"/>
          <w:sz w:val="20"/>
          <w:szCs w:val="20"/>
        </w:rPr>
      </w:pPr>
    </w:p>
    <w:p w14:paraId="4608E8B4" w14:textId="77777777" w:rsidR="00256EC8" w:rsidRDefault="00256EC8" w:rsidP="00256EC8">
      <w:pPr>
        <w:jc w:val="both"/>
        <w:rPr>
          <w:rStyle w:val="Fuentedeprrafopredeter1"/>
          <w:rFonts w:ascii="Open Sans" w:hAnsi="Open Sans" w:cs="Open Sans"/>
          <w:sz w:val="20"/>
          <w:szCs w:val="20"/>
        </w:rPr>
      </w:pPr>
      <w:r>
        <w:rPr>
          <w:rStyle w:val="Fuentedeprrafopredeter1"/>
          <w:rFonts w:ascii="Open Sans" w:hAnsi="Open Sans" w:cs="Open Sans"/>
          <w:sz w:val="20"/>
          <w:szCs w:val="20"/>
        </w:rPr>
        <w:t xml:space="preserve">La actividad que realiza IAG y su contexto tan internacionalizado hace que se enfrente a riesgos de diferente índole, entre ellos lo de carácter fiscal. </w:t>
      </w:r>
    </w:p>
    <w:p w14:paraId="5ED4166F" w14:textId="77777777" w:rsidR="00256EC8" w:rsidRDefault="00256EC8" w:rsidP="00256EC8">
      <w:pPr>
        <w:jc w:val="both"/>
        <w:rPr>
          <w:rStyle w:val="Fuentedeprrafopredeter1"/>
          <w:rFonts w:ascii="Open Sans" w:hAnsi="Open Sans" w:cs="Open Sans"/>
          <w:sz w:val="20"/>
          <w:szCs w:val="20"/>
        </w:rPr>
      </w:pPr>
    </w:p>
    <w:p w14:paraId="096D8063" w14:textId="77777777" w:rsidR="00256EC8" w:rsidRDefault="00256EC8" w:rsidP="00256EC8">
      <w:pPr>
        <w:jc w:val="both"/>
        <w:rPr>
          <w:rStyle w:val="Fuentedeprrafopredeter1"/>
          <w:rFonts w:ascii="Open Sans" w:hAnsi="Open Sans" w:cs="Open Sans"/>
          <w:sz w:val="20"/>
          <w:szCs w:val="20"/>
        </w:rPr>
      </w:pPr>
      <w:r>
        <w:rPr>
          <w:rStyle w:val="Fuentedeprrafopredeter1"/>
          <w:rFonts w:ascii="Open Sans" w:hAnsi="Open Sans" w:cs="Open Sans"/>
          <w:sz w:val="20"/>
          <w:szCs w:val="20"/>
        </w:rPr>
        <w:t>En relación a la ubicación geográfica de sus filiales, IAG cuenta con un gran número de filiales en paraísos y nichos fiscales. Si bien este aspecto no es en sí mismo ilegal pudiera afectar de manera significativa a la tributación del grupo al utilizar estos territorios en busca de una baja o nula tributación, como ponen de relieve numerosas instituciones nacionales e internacionales e investigaciones</w:t>
      </w:r>
      <w:r>
        <w:rPr>
          <w:rStyle w:val="Refdenotaalpie"/>
          <w:rFonts w:ascii="Open Sans" w:hAnsi="Open Sans" w:cs="Open Sans"/>
          <w:sz w:val="20"/>
          <w:szCs w:val="20"/>
        </w:rPr>
        <w:footnoteReference w:id="628"/>
      </w:r>
      <w:r>
        <w:rPr>
          <w:rStyle w:val="Fuentedeprrafopredeter1"/>
          <w:rFonts w:ascii="Open Sans" w:hAnsi="Open Sans" w:cs="Open Sans"/>
          <w:sz w:val="20"/>
          <w:szCs w:val="20"/>
        </w:rPr>
        <w:t>. En el caso de IAG, algunos medios de comunicación</w:t>
      </w:r>
      <w:r>
        <w:rPr>
          <w:rStyle w:val="Refdenotaalpie"/>
          <w:rFonts w:ascii="Open Sans" w:hAnsi="Open Sans" w:cs="Open Sans"/>
          <w:sz w:val="20"/>
          <w:szCs w:val="20"/>
        </w:rPr>
        <w:footnoteReference w:id="629"/>
      </w:r>
      <w:r>
        <w:rPr>
          <w:rStyle w:val="Fuentedeprrafopredeter1"/>
          <w:rFonts w:ascii="Open Sans" w:hAnsi="Open Sans" w:cs="Open Sans"/>
          <w:sz w:val="20"/>
          <w:szCs w:val="20"/>
        </w:rPr>
        <w:t xml:space="preserve"> se hacen eco de esta realidad.  </w:t>
      </w:r>
    </w:p>
    <w:p w14:paraId="48E30432" w14:textId="77777777" w:rsidR="00256EC8" w:rsidRDefault="00256EC8" w:rsidP="00256EC8">
      <w:pPr>
        <w:jc w:val="both"/>
        <w:rPr>
          <w:rFonts w:ascii="Open Sans" w:hAnsi="Open Sans" w:cs="Arial"/>
          <w:sz w:val="20"/>
          <w:szCs w:val="20"/>
        </w:rPr>
      </w:pPr>
    </w:p>
    <w:p w14:paraId="4824CEC6"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El grupo IAG también se enfrenta a riesgos de carácter fiscal derivados de la interpretación de las diferentes normativas tributarias de los países en los que opera, las operaciones intragrupo (precios de transferencia, operaciones de financiación y reaseguros, traslado de beneficios entre filiales, etc.),  consolidación de la información fiscal o un mayor escrutinio público en relación a sus prácticas fiscales, entre otros. </w:t>
      </w:r>
    </w:p>
    <w:p w14:paraId="471D6F40" w14:textId="77777777" w:rsidR="00256EC8" w:rsidRDefault="00256EC8" w:rsidP="00256EC8">
      <w:pPr>
        <w:jc w:val="both"/>
        <w:rPr>
          <w:rFonts w:ascii="Open Sans" w:hAnsi="Open Sans" w:cs="Arial"/>
          <w:sz w:val="20"/>
          <w:szCs w:val="20"/>
        </w:rPr>
      </w:pPr>
    </w:p>
    <w:p w14:paraId="4F41C49D" w14:textId="77777777" w:rsidR="00256EC8" w:rsidRDefault="00256EC8" w:rsidP="00256EC8">
      <w:pPr>
        <w:jc w:val="both"/>
        <w:rPr>
          <w:rFonts w:ascii="Open Sans" w:hAnsi="Open Sans" w:cs="Arial"/>
          <w:sz w:val="20"/>
          <w:szCs w:val="20"/>
        </w:rPr>
      </w:pPr>
      <w:r w:rsidRPr="00FE140D">
        <w:rPr>
          <w:rFonts w:ascii="Open Sans" w:hAnsi="Open Sans" w:cs="Arial"/>
          <w:sz w:val="20"/>
          <w:szCs w:val="20"/>
        </w:rPr>
        <w:t>En la actualidad hay un fuerte debate sobre las consecuencias tributarias que pueden derivarse de la realización de transacciones comerciales electrónicas.</w:t>
      </w:r>
      <w:r>
        <w:rPr>
          <w:rFonts w:ascii="Open Sans" w:hAnsi="Open Sans" w:cs="Arial"/>
          <w:sz w:val="20"/>
          <w:szCs w:val="20"/>
        </w:rPr>
        <w:t xml:space="preserve"> </w:t>
      </w:r>
      <w:r w:rsidRPr="00FE140D">
        <w:rPr>
          <w:rFonts w:ascii="Open Sans" w:hAnsi="Open Sans" w:cs="Arial"/>
          <w:sz w:val="20"/>
          <w:szCs w:val="20"/>
        </w:rPr>
        <w:t xml:space="preserve">El comercio electrónico de bienes y servicios ha favorecido la deslocalización de las actividades económicas y la creación de un mercado global han generado un  riesgo importante en relación a la disminución de los ingresos tributarios por parte de los Estados </w:t>
      </w:r>
      <w:r>
        <w:rPr>
          <w:rFonts w:ascii="Open Sans" w:hAnsi="Open Sans" w:cs="Arial"/>
          <w:sz w:val="20"/>
          <w:szCs w:val="20"/>
        </w:rPr>
        <w:t>derivado de cuatro factores como señala Noceta (2006)</w:t>
      </w:r>
      <w:r>
        <w:rPr>
          <w:rStyle w:val="Refdenotaalpie"/>
          <w:rFonts w:ascii="Open Sans" w:hAnsi="Open Sans" w:cs="Arial"/>
          <w:sz w:val="20"/>
          <w:szCs w:val="20"/>
        </w:rPr>
        <w:footnoteReference w:id="630"/>
      </w:r>
      <w:r w:rsidRPr="00FE140D">
        <w:rPr>
          <w:rFonts w:ascii="Open Sans" w:hAnsi="Open Sans" w:cs="Arial"/>
          <w:sz w:val="20"/>
          <w:szCs w:val="20"/>
        </w:rPr>
        <w:t>: Dificultades en la calificación de las rentas obtenidas por la realización</w:t>
      </w:r>
      <w:r>
        <w:rPr>
          <w:rFonts w:ascii="Open Sans" w:hAnsi="Open Sans" w:cs="Arial"/>
          <w:sz w:val="20"/>
          <w:szCs w:val="20"/>
        </w:rPr>
        <w:t xml:space="preserve"> de transacciones telemáticas; d</w:t>
      </w:r>
      <w:r w:rsidRPr="00FE140D">
        <w:rPr>
          <w:rFonts w:ascii="Open Sans" w:hAnsi="Open Sans" w:cs="Arial"/>
          <w:sz w:val="20"/>
          <w:szCs w:val="20"/>
        </w:rPr>
        <w:t>ificultades en la localización de las activi</w:t>
      </w:r>
      <w:r>
        <w:rPr>
          <w:rFonts w:ascii="Open Sans" w:hAnsi="Open Sans" w:cs="Arial"/>
          <w:sz w:val="20"/>
          <w:szCs w:val="20"/>
        </w:rPr>
        <w:t>dades comerciales telemáticas; d</w:t>
      </w:r>
      <w:r w:rsidRPr="00FE140D">
        <w:rPr>
          <w:rFonts w:ascii="Open Sans" w:hAnsi="Open Sans" w:cs="Arial"/>
          <w:sz w:val="20"/>
          <w:szCs w:val="20"/>
        </w:rPr>
        <w:t xml:space="preserve">ificultades en la cuantificación de </w:t>
      </w:r>
      <w:r>
        <w:rPr>
          <w:rFonts w:ascii="Open Sans" w:hAnsi="Open Sans" w:cs="Arial"/>
          <w:sz w:val="20"/>
          <w:szCs w:val="20"/>
        </w:rPr>
        <w:t>las transacciones telemáticas; d</w:t>
      </w:r>
      <w:r w:rsidRPr="00FE140D">
        <w:rPr>
          <w:rFonts w:ascii="Open Sans" w:hAnsi="Open Sans" w:cs="Arial"/>
          <w:sz w:val="20"/>
          <w:szCs w:val="20"/>
        </w:rPr>
        <w:t xml:space="preserve">ificultades en el control de las transacciones telemáticas.  </w:t>
      </w:r>
      <w:r>
        <w:rPr>
          <w:rFonts w:ascii="Open Sans" w:hAnsi="Open Sans" w:cs="Arial"/>
          <w:sz w:val="20"/>
          <w:szCs w:val="20"/>
        </w:rPr>
        <w:t>En IAG, sus  principales ingresos proceden de las ventas a pasajeros de billetes de avión y viajes (</w:t>
      </w:r>
      <w:r w:rsidRPr="00FE140D">
        <w:rPr>
          <w:rFonts w:ascii="Open Sans" w:hAnsi="Open Sans" w:cs="Arial"/>
          <w:sz w:val="20"/>
          <w:szCs w:val="20"/>
        </w:rPr>
        <w:t>20.350</w:t>
      </w:r>
      <w:r>
        <w:rPr>
          <w:rFonts w:ascii="Open Sans" w:hAnsi="Open Sans" w:cs="Arial"/>
          <w:sz w:val="20"/>
          <w:szCs w:val="20"/>
        </w:rPr>
        <w:t xml:space="preserve"> millones de euros en 2015).</w:t>
      </w:r>
    </w:p>
    <w:p w14:paraId="29209720" w14:textId="77777777" w:rsidR="00256EC8" w:rsidRDefault="00256EC8" w:rsidP="00256EC8">
      <w:pPr>
        <w:jc w:val="both"/>
        <w:rPr>
          <w:rFonts w:ascii="Open Sans" w:hAnsi="Open Sans" w:cs="Arial"/>
          <w:sz w:val="20"/>
          <w:szCs w:val="20"/>
        </w:rPr>
      </w:pPr>
    </w:p>
    <w:p w14:paraId="6252632A" w14:textId="77777777" w:rsidR="00256EC8" w:rsidRDefault="00256EC8" w:rsidP="00256EC8">
      <w:pPr>
        <w:jc w:val="both"/>
        <w:rPr>
          <w:rFonts w:ascii="Open Sans" w:hAnsi="Open Sans"/>
          <w:sz w:val="20"/>
          <w:szCs w:val="20"/>
        </w:rPr>
      </w:pPr>
      <w:r>
        <w:rPr>
          <w:rFonts w:ascii="Open Sans" w:hAnsi="Open Sans" w:cs="Arial"/>
          <w:sz w:val="20"/>
          <w:szCs w:val="20"/>
        </w:rPr>
        <w:t>IAG expresa un compromiso con la sostenibilidad. También indica que</w:t>
      </w:r>
      <w:r w:rsidRPr="00E67825">
        <w:rPr>
          <w:rFonts w:ascii="Open Sans" w:hAnsi="Open Sans"/>
          <w:sz w:val="20"/>
          <w:szCs w:val="20"/>
        </w:rPr>
        <w:t xml:space="preserve"> contrib</w:t>
      </w:r>
      <w:r>
        <w:rPr>
          <w:rFonts w:ascii="Open Sans" w:hAnsi="Open Sans"/>
          <w:sz w:val="20"/>
          <w:szCs w:val="20"/>
        </w:rPr>
        <w:t xml:space="preserve">uye activamente al desarrollo </w:t>
      </w:r>
      <w:r w:rsidRPr="00E67825">
        <w:rPr>
          <w:rFonts w:ascii="Open Sans" w:hAnsi="Open Sans"/>
          <w:sz w:val="20"/>
          <w:szCs w:val="20"/>
        </w:rPr>
        <w:t>y el so</w:t>
      </w:r>
      <w:r>
        <w:rPr>
          <w:rFonts w:ascii="Open Sans" w:hAnsi="Open Sans"/>
          <w:sz w:val="20"/>
          <w:szCs w:val="20"/>
        </w:rPr>
        <w:t xml:space="preserve">stenimiento de las comunidades </w:t>
      </w:r>
      <w:r w:rsidRPr="00E67825">
        <w:rPr>
          <w:rFonts w:ascii="Open Sans" w:hAnsi="Open Sans"/>
          <w:sz w:val="20"/>
          <w:szCs w:val="20"/>
        </w:rPr>
        <w:t>loca</w:t>
      </w:r>
      <w:r>
        <w:rPr>
          <w:rFonts w:ascii="Open Sans" w:hAnsi="Open Sans"/>
          <w:sz w:val="20"/>
          <w:szCs w:val="20"/>
        </w:rPr>
        <w:t xml:space="preserve">les, incluidas aquellas que se </w:t>
      </w:r>
      <w:r w:rsidRPr="00E67825">
        <w:rPr>
          <w:rFonts w:ascii="Open Sans" w:hAnsi="Open Sans"/>
          <w:sz w:val="20"/>
          <w:szCs w:val="20"/>
        </w:rPr>
        <w:t>encuentra</w:t>
      </w:r>
      <w:r>
        <w:rPr>
          <w:rFonts w:ascii="Open Sans" w:hAnsi="Open Sans"/>
          <w:sz w:val="20"/>
          <w:szCs w:val="20"/>
        </w:rPr>
        <w:t xml:space="preserve">n en los lugares de destino y  </w:t>
      </w:r>
      <w:r w:rsidRPr="00E67825">
        <w:rPr>
          <w:rFonts w:ascii="Open Sans" w:hAnsi="Open Sans"/>
          <w:sz w:val="20"/>
          <w:szCs w:val="20"/>
        </w:rPr>
        <w:t>en</w:t>
      </w:r>
      <w:r>
        <w:rPr>
          <w:rFonts w:ascii="Open Sans" w:hAnsi="Open Sans"/>
          <w:sz w:val="20"/>
          <w:szCs w:val="20"/>
        </w:rPr>
        <w:t xml:space="preserve"> las zonas donde el Grupo opera</w:t>
      </w:r>
      <w:r>
        <w:rPr>
          <w:rStyle w:val="Refdenotaalpie"/>
          <w:rFonts w:ascii="Open Sans" w:hAnsi="Open Sans"/>
          <w:sz w:val="20"/>
          <w:szCs w:val="20"/>
        </w:rPr>
        <w:footnoteReference w:id="631"/>
      </w:r>
      <w:r>
        <w:rPr>
          <w:rFonts w:ascii="Open Sans" w:hAnsi="Open Sans"/>
          <w:sz w:val="20"/>
          <w:szCs w:val="20"/>
        </w:rPr>
        <w:t>, aunque este compromiso lo expresa en relación a su acción social.</w:t>
      </w:r>
    </w:p>
    <w:p w14:paraId="0DB33979" w14:textId="77777777" w:rsidR="00256EC8" w:rsidRDefault="00256EC8" w:rsidP="00256EC8">
      <w:pPr>
        <w:jc w:val="both"/>
        <w:rPr>
          <w:rFonts w:ascii="Open Sans" w:hAnsi="Open Sans"/>
          <w:sz w:val="20"/>
          <w:szCs w:val="20"/>
        </w:rPr>
      </w:pPr>
    </w:p>
    <w:p w14:paraId="2FB08A0F" w14:textId="77777777" w:rsidR="00256EC8" w:rsidRDefault="00256EC8" w:rsidP="00256EC8">
      <w:pPr>
        <w:jc w:val="both"/>
        <w:rPr>
          <w:rFonts w:ascii="Open Sans" w:hAnsi="Open Sans" w:cs="Arial"/>
          <w:sz w:val="20"/>
          <w:szCs w:val="20"/>
        </w:rPr>
      </w:pPr>
      <w:r>
        <w:rPr>
          <w:rFonts w:ascii="Open Sans" w:hAnsi="Open Sans" w:cs="Arial"/>
          <w:sz w:val="20"/>
          <w:szCs w:val="20"/>
        </w:rPr>
        <w:t>En 2015 se ha aprobado una política de sostenibilidad del grupo c</w:t>
      </w:r>
      <w:r w:rsidRPr="00F84464">
        <w:rPr>
          <w:rFonts w:ascii="Open Sans" w:hAnsi="Open Sans" w:cs="Arial"/>
          <w:sz w:val="20"/>
          <w:szCs w:val="20"/>
        </w:rPr>
        <w:t>uyo cumplimiento será supervisado por la Comis</w:t>
      </w:r>
      <w:r>
        <w:rPr>
          <w:rFonts w:ascii="Open Sans" w:hAnsi="Open Sans" w:cs="Arial"/>
          <w:sz w:val="20"/>
          <w:szCs w:val="20"/>
        </w:rPr>
        <w:t>ión de Auditoría y Cumplimiento y la estrategia Pathway 2020 que define las prioridades en la materia del grupo. Sin embargo son las aerolíneas individuales y sus propios consejos de administración quienes gestionan sus propios programas de sostenibilidad. Esta política y estrategia no son documentos públicos por lo que no se ha podido verificar si en su contenido se incluyen aspectos relacionados con una fiscalidad responsable. También se ha consultado las páginas webs individuales de las cuatro compañías, así como informes de RSC disponibles. No se ha encontrado igualmente ninguna referencia a este respecto.</w:t>
      </w:r>
    </w:p>
    <w:p w14:paraId="22AD36A5" w14:textId="77777777" w:rsidR="00256EC8" w:rsidRDefault="00256EC8" w:rsidP="00256EC8">
      <w:pPr>
        <w:jc w:val="both"/>
        <w:rPr>
          <w:rFonts w:ascii="Open Sans" w:hAnsi="Open Sans" w:cs="Arial"/>
          <w:sz w:val="20"/>
          <w:szCs w:val="20"/>
        </w:rPr>
      </w:pPr>
    </w:p>
    <w:p w14:paraId="6A161F92"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En 2014 se estableció una nueva política fiscal del grupo, sin embargo este documento no es público por lo que no se ha podido acceder a su contenido. </w:t>
      </w:r>
    </w:p>
    <w:p w14:paraId="6DC616C0" w14:textId="77777777" w:rsidR="00256EC8" w:rsidRDefault="00256EC8" w:rsidP="00256EC8">
      <w:pPr>
        <w:jc w:val="both"/>
        <w:rPr>
          <w:rFonts w:ascii="Open Sans" w:hAnsi="Open Sans" w:cs="Arial"/>
          <w:sz w:val="20"/>
          <w:szCs w:val="20"/>
        </w:rPr>
      </w:pPr>
    </w:p>
    <w:p w14:paraId="6363C779"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Han realizado en 2015 varias modificaciones en el Reglamento del Consejo (junio y diciembre de 2015) para </w:t>
      </w:r>
      <w:r w:rsidRPr="002A4D89">
        <w:rPr>
          <w:rFonts w:ascii="Open Sans" w:hAnsi="Open Sans" w:cs="Arial"/>
          <w:sz w:val="20"/>
          <w:szCs w:val="20"/>
        </w:rPr>
        <w:t>adecuar su redacción a las reformas operadas por la Ley 31/2014 por la que se mo</w:t>
      </w:r>
      <w:r>
        <w:rPr>
          <w:rFonts w:ascii="Open Sans" w:hAnsi="Open Sans" w:cs="Arial"/>
          <w:sz w:val="20"/>
          <w:szCs w:val="20"/>
        </w:rPr>
        <w:t xml:space="preserve">difica la Ley de Sociedades de Capital y para </w:t>
      </w:r>
      <w:r w:rsidRPr="002A4D89">
        <w:rPr>
          <w:rFonts w:ascii="Open Sans" w:hAnsi="Open Sans" w:cs="Arial"/>
          <w:sz w:val="20"/>
          <w:szCs w:val="20"/>
        </w:rPr>
        <w:t>adaptar su redacción a determinadas recomendaciones del nuevo Código de Buen G</w:t>
      </w:r>
      <w:r>
        <w:rPr>
          <w:rFonts w:ascii="Open Sans" w:hAnsi="Open Sans" w:cs="Arial"/>
          <w:sz w:val="20"/>
          <w:szCs w:val="20"/>
        </w:rPr>
        <w:t xml:space="preserve">obierno Corporativo español de </w:t>
      </w:r>
      <w:r w:rsidRPr="002A4D89">
        <w:rPr>
          <w:rFonts w:ascii="Open Sans" w:hAnsi="Open Sans" w:cs="Arial"/>
          <w:sz w:val="20"/>
          <w:szCs w:val="20"/>
        </w:rPr>
        <w:t>las Sociedades Cotizadas.</w:t>
      </w:r>
      <w:r>
        <w:rPr>
          <w:rFonts w:ascii="Open Sans" w:hAnsi="Open Sans" w:cs="Arial"/>
          <w:sz w:val="20"/>
          <w:szCs w:val="20"/>
        </w:rPr>
        <w:t xml:space="preserve"> Ya en el ejercicio 2016 han aprobado varias políticas corporativas, entre ellas la política de gestión de riesgos, aprobada por el consejo de administración del 28 de enero de 2016). </w:t>
      </w:r>
    </w:p>
    <w:p w14:paraId="05E85363" w14:textId="77777777" w:rsidR="00256EC8" w:rsidRDefault="00256EC8" w:rsidP="00256EC8">
      <w:pPr>
        <w:jc w:val="both"/>
        <w:rPr>
          <w:rFonts w:ascii="Helvetica" w:eastAsia="Calibri" w:hAnsi="Helvetica" w:cs="Helvetica"/>
          <w:color w:val="000000"/>
          <w:sz w:val="16"/>
          <w:szCs w:val="16"/>
        </w:rPr>
      </w:pPr>
    </w:p>
    <w:p w14:paraId="3CD3BC0E" w14:textId="77777777" w:rsidR="00256EC8" w:rsidRDefault="00256EC8" w:rsidP="00256EC8">
      <w:pPr>
        <w:jc w:val="both"/>
        <w:rPr>
          <w:rFonts w:ascii="Open Sans" w:hAnsi="Open Sans" w:cs="Arial"/>
          <w:sz w:val="20"/>
          <w:szCs w:val="20"/>
        </w:rPr>
      </w:pPr>
      <w:r w:rsidRPr="003A136A">
        <w:rPr>
          <w:rFonts w:ascii="Open Sans" w:hAnsi="Open Sans" w:cs="Arial"/>
          <w:sz w:val="20"/>
          <w:szCs w:val="20"/>
        </w:rPr>
        <w:t>Iberia, en representación de IAG, se ha adherido al Código de Buenas Prácticas Tributarias aprobado por el Foro Español de Grandes Empresas.</w:t>
      </w:r>
    </w:p>
    <w:p w14:paraId="21E23CAE" w14:textId="77777777" w:rsidR="00256EC8" w:rsidRDefault="00256EC8" w:rsidP="00256EC8">
      <w:pPr>
        <w:jc w:val="both"/>
        <w:rPr>
          <w:rFonts w:ascii="Arial" w:hAnsi="Arial" w:cs="Arial"/>
        </w:rPr>
      </w:pPr>
    </w:p>
    <w:p w14:paraId="7F3E9FA5" w14:textId="77777777" w:rsidR="00256EC8" w:rsidRPr="00224CAF" w:rsidRDefault="00256EC8" w:rsidP="00256EC8">
      <w:pPr>
        <w:jc w:val="both"/>
        <w:rPr>
          <w:rFonts w:ascii="Open Sans" w:hAnsi="Open Sans"/>
          <w:sz w:val="20"/>
          <w:szCs w:val="20"/>
        </w:rPr>
      </w:pPr>
    </w:p>
    <w:p w14:paraId="207F853D" w14:textId="77777777" w:rsidR="00256EC8" w:rsidRPr="009E084D" w:rsidRDefault="00256EC8" w:rsidP="00256EC8">
      <w:pPr>
        <w:jc w:val="both"/>
        <w:rPr>
          <w:rFonts w:ascii="Open Sans" w:hAnsi="Open Sans" w:cs="Arial"/>
          <w:b/>
          <w:sz w:val="22"/>
          <w:szCs w:val="22"/>
          <w:u w:val="single"/>
        </w:rPr>
      </w:pPr>
      <w:r w:rsidRPr="00EE1EF7">
        <w:rPr>
          <w:rFonts w:ascii="Open Sans" w:hAnsi="Open Sans" w:cs="Arial"/>
          <w:b/>
          <w:sz w:val="22"/>
          <w:szCs w:val="22"/>
          <w:u w:val="single"/>
        </w:rPr>
        <w:t>4. Análisis</w:t>
      </w:r>
      <w:r>
        <w:rPr>
          <w:rFonts w:ascii="Open Sans" w:hAnsi="Open Sans"/>
          <w:b/>
          <w:sz w:val="22"/>
        </w:rPr>
        <w:t xml:space="preserve"> </w:t>
      </w:r>
    </w:p>
    <w:p w14:paraId="57273838" w14:textId="77777777" w:rsidR="00256EC8" w:rsidRPr="00732FD5" w:rsidRDefault="00256EC8" w:rsidP="00256EC8">
      <w:pPr>
        <w:jc w:val="both"/>
        <w:rPr>
          <w:rFonts w:ascii="Open Sans" w:hAnsi="Open Sans" w:cs="Arial"/>
          <w:b/>
          <w:sz w:val="22"/>
          <w:szCs w:val="22"/>
        </w:rPr>
      </w:pPr>
    </w:p>
    <w:p w14:paraId="16A4ABFD" w14:textId="77777777" w:rsidR="00256EC8" w:rsidRPr="00BF6B92" w:rsidRDefault="00256EC8" w:rsidP="00256EC8">
      <w:pPr>
        <w:jc w:val="both"/>
        <w:rPr>
          <w:rFonts w:ascii="Open Sans" w:hAnsi="Open Sans" w:cs="Arial"/>
          <w:bCs/>
          <w:sz w:val="20"/>
          <w:szCs w:val="20"/>
        </w:rPr>
      </w:pPr>
      <w:r w:rsidRPr="00BF6B92">
        <w:rPr>
          <w:rFonts w:ascii="Open Sans" w:hAnsi="Open Sans" w:cs="Arial"/>
          <w:bCs/>
          <w:sz w:val="20"/>
          <w:szCs w:val="20"/>
        </w:rPr>
        <w:t>En el ámbito fiscal de una empresa y bajo la óptica de la responsabilidad social, existen varios aspectos relevantes: en primer lugar, la presencia o no de la compañía, o de sus filiales, en paraísos o nichos fiscales; el impacto económico y contribución de la empresa en un país a través del pago de impuestos; la estrategia y política fiscal y la estructura societaria y operaciones intragrupo que realiza.</w:t>
      </w:r>
    </w:p>
    <w:p w14:paraId="4666D51D" w14:textId="77777777" w:rsidR="00256EC8" w:rsidRDefault="00256EC8" w:rsidP="00256EC8">
      <w:pPr>
        <w:rPr>
          <w:rFonts w:ascii="Open Sans" w:hAnsi="Open Sans" w:cs="Arial"/>
          <w:bCs/>
          <w:sz w:val="20"/>
          <w:szCs w:val="20"/>
        </w:rPr>
      </w:pPr>
    </w:p>
    <w:p w14:paraId="720A88F5" w14:textId="77777777" w:rsidR="00256EC8" w:rsidRDefault="00256EC8" w:rsidP="00256EC8">
      <w:pPr>
        <w:jc w:val="both"/>
        <w:rPr>
          <w:rFonts w:ascii="Open Sans" w:hAnsi="Open Sans" w:cs="Arial"/>
          <w:bCs/>
          <w:sz w:val="20"/>
          <w:szCs w:val="20"/>
        </w:rPr>
      </w:pPr>
      <w:r>
        <w:rPr>
          <w:rFonts w:ascii="Open Sans" w:hAnsi="Open Sans" w:cs="Arial"/>
          <w:bCs/>
          <w:sz w:val="20"/>
          <w:szCs w:val="20"/>
        </w:rPr>
        <w:t>No se ha encontrado ningún posicionamiento de IAG en relación a lo que entiende el grupo por paraíso y nicho fiscal ni tampoco en relación a su actividad en dichos territorios. Solamente se hace referencia a este asunto en el informe de gobierno corporativo que indica que es obligación de la comisión de auditoría y cumplimiento “</w:t>
      </w:r>
      <w:r w:rsidRPr="003C43BC">
        <w:rPr>
          <w:rFonts w:ascii="Open Sans" w:hAnsi="Open Sans" w:cs="Arial"/>
          <w:bCs/>
          <w:i/>
          <w:sz w:val="20"/>
          <w:szCs w:val="20"/>
        </w:rPr>
        <w:t>informar al Consejo, con carácter previo a la adopción por este de las correspondientes decisiones, sobre la creación o adquisición de participaciones en entidades de propósito especial o domiciliadas en países o territorios que tengan la consideración de paraísos fiscales, así como cualesquiera otras transacciones u operaciones de naturaleza análoga que, por su complejidad, pudieran menoscabar la transparencia del Grupo</w:t>
      </w:r>
      <w:r>
        <w:rPr>
          <w:rFonts w:ascii="Open Sans" w:hAnsi="Open Sans" w:cs="Arial"/>
          <w:bCs/>
          <w:sz w:val="20"/>
          <w:szCs w:val="20"/>
        </w:rPr>
        <w:t>”</w:t>
      </w:r>
      <w:r w:rsidRPr="003C43BC">
        <w:rPr>
          <w:rFonts w:ascii="Open Sans" w:hAnsi="Open Sans" w:cs="Arial"/>
          <w:bCs/>
          <w:sz w:val="20"/>
          <w:szCs w:val="20"/>
        </w:rPr>
        <w:t>.</w:t>
      </w:r>
    </w:p>
    <w:p w14:paraId="19350D87" w14:textId="77777777" w:rsidR="00256EC8" w:rsidRDefault="00256EC8" w:rsidP="00256EC8">
      <w:pPr>
        <w:jc w:val="both"/>
        <w:rPr>
          <w:rFonts w:ascii="Open Sans" w:hAnsi="Open Sans" w:cs="Arial"/>
          <w:bCs/>
          <w:sz w:val="20"/>
          <w:szCs w:val="20"/>
        </w:rPr>
      </w:pPr>
    </w:p>
    <w:p w14:paraId="2354A486"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Esta falta de transparencia en relación a su operativa en estos territorios es llamativa ya que cuenta con numerosas filiales en países y territorios con esa consideración. </w:t>
      </w:r>
    </w:p>
    <w:p w14:paraId="0138702A" w14:textId="77777777" w:rsidR="00256EC8" w:rsidRDefault="00256EC8" w:rsidP="00256EC8">
      <w:pPr>
        <w:jc w:val="both"/>
        <w:rPr>
          <w:rFonts w:ascii="Open Sans" w:hAnsi="Open Sans" w:cs="Arial"/>
          <w:bCs/>
          <w:sz w:val="20"/>
          <w:szCs w:val="20"/>
        </w:rPr>
      </w:pPr>
    </w:p>
    <w:p w14:paraId="6D33B9AC" w14:textId="77777777" w:rsidR="00256EC8" w:rsidRDefault="00256EC8" w:rsidP="00256EC8">
      <w:pPr>
        <w:jc w:val="both"/>
        <w:rPr>
          <w:rFonts w:ascii="Open Sans" w:hAnsi="Open Sans" w:cs="Arial"/>
          <w:bCs/>
          <w:sz w:val="20"/>
          <w:szCs w:val="20"/>
        </w:rPr>
      </w:pPr>
      <w:r>
        <w:rPr>
          <w:rFonts w:ascii="Open Sans" w:hAnsi="Open Sans" w:cs="Open Sans"/>
          <w:sz w:val="20"/>
          <w:szCs w:val="20"/>
        </w:rPr>
        <w:t xml:space="preserve">A través de la información del Anexo I de las cuentas anuales sobre la composición del grupo,  IAG </w:t>
      </w:r>
      <w:r w:rsidRPr="00BF6B92">
        <w:rPr>
          <w:rFonts w:ascii="Open Sans" w:hAnsi="Open Sans" w:cs="Arial"/>
          <w:bCs/>
          <w:sz w:val="20"/>
          <w:szCs w:val="20"/>
        </w:rPr>
        <w:t>cuenta con</w:t>
      </w:r>
      <w:r>
        <w:rPr>
          <w:rFonts w:ascii="Open Sans" w:hAnsi="Open Sans" w:cs="Arial"/>
          <w:bCs/>
          <w:sz w:val="20"/>
          <w:szCs w:val="20"/>
        </w:rPr>
        <w:t xml:space="preserve"> un total de </w:t>
      </w:r>
      <w:r w:rsidRPr="00BF6B92">
        <w:rPr>
          <w:rFonts w:ascii="Open Sans" w:hAnsi="Open Sans" w:cs="Arial"/>
          <w:bCs/>
          <w:sz w:val="20"/>
          <w:szCs w:val="20"/>
        </w:rPr>
        <w:t xml:space="preserve"> </w:t>
      </w:r>
      <w:r>
        <w:rPr>
          <w:rFonts w:ascii="Open Sans" w:hAnsi="Open Sans" w:cs="Arial"/>
          <w:bCs/>
          <w:sz w:val="20"/>
          <w:szCs w:val="20"/>
        </w:rPr>
        <w:t>41</w:t>
      </w:r>
      <w:r w:rsidRPr="00BF6B92">
        <w:rPr>
          <w:rFonts w:ascii="Open Sans" w:hAnsi="Open Sans" w:cs="Arial"/>
          <w:bCs/>
          <w:sz w:val="20"/>
          <w:szCs w:val="20"/>
        </w:rPr>
        <w:t xml:space="preserve"> sociedades domiciliadas en países y territorios considerados paraíso</w:t>
      </w:r>
      <w:r>
        <w:rPr>
          <w:rFonts w:ascii="Open Sans" w:hAnsi="Open Sans" w:cs="Arial"/>
          <w:bCs/>
          <w:sz w:val="20"/>
          <w:szCs w:val="20"/>
        </w:rPr>
        <w:t xml:space="preserve"> fiscal</w:t>
      </w:r>
      <w:r w:rsidRPr="00BF6B92">
        <w:rPr>
          <w:rFonts w:ascii="Open Sans" w:hAnsi="Open Sans" w:cs="Arial"/>
          <w:bCs/>
          <w:sz w:val="20"/>
          <w:szCs w:val="20"/>
        </w:rPr>
        <w:t xml:space="preserve"> (</w:t>
      </w:r>
      <w:r>
        <w:rPr>
          <w:rFonts w:ascii="Open Sans" w:hAnsi="Open Sans" w:cs="Arial"/>
          <w:bCs/>
          <w:sz w:val="20"/>
          <w:szCs w:val="20"/>
        </w:rPr>
        <w:t>13 sociedades</w:t>
      </w:r>
      <w:r w:rsidRPr="00BF6B92">
        <w:rPr>
          <w:rFonts w:ascii="Open Sans" w:hAnsi="Open Sans" w:cs="Arial"/>
          <w:bCs/>
          <w:sz w:val="20"/>
          <w:szCs w:val="20"/>
        </w:rPr>
        <w:t>) o nicho fiscal (</w:t>
      </w:r>
      <w:r>
        <w:rPr>
          <w:rFonts w:ascii="Open Sans" w:hAnsi="Open Sans" w:cs="Arial"/>
          <w:bCs/>
          <w:sz w:val="20"/>
          <w:szCs w:val="20"/>
        </w:rPr>
        <w:t>28 sociedades</w:t>
      </w:r>
      <w:r w:rsidRPr="00BF6B92">
        <w:rPr>
          <w:rFonts w:ascii="Open Sans" w:hAnsi="Open Sans" w:cs="Arial"/>
          <w:bCs/>
          <w:sz w:val="20"/>
          <w:szCs w:val="20"/>
        </w:rPr>
        <w:t>)</w:t>
      </w:r>
      <w:r>
        <w:rPr>
          <w:rFonts w:ascii="Open Sans" w:hAnsi="Open Sans" w:cs="Arial"/>
          <w:bCs/>
          <w:sz w:val="20"/>
          <w:szCs w:val="20"/>
        </w:rPr>
        <w:t>,</w:t>
      </w:r>
      <w:r w:rsidRPr="00BF6B92">
        <w:rPr>
          <w:rFonts w:ascii="Open Sans" w:hAnsi="Open Sans" w:cs="Arial"/>
          <w:bCs/>
          <w:sz w:val="20"/>
          <w:szCs w:val="20"/>
        </w:rPr>
        <w:t xml:space="preserve"> de acuerdo con la metodología del Observatorio de RSC. </w:t>
      </w:r>
    </w:p>
    <w:p w14:paraId="7466E116" w14:textId="77777777" w:rsidR="00256EC8" w:rsidRDefault="00256EC8" w:rsidP="00256EC8">
      <w:pPr>
        <w:rPr>
          <w:rFonts w:ascii="Open Sans" w:hAnsi="Open Sans" w:cs="Arial"/>
          <w:bCs/>
          <w:sz w:val="20"/>
          <w:szCs w:val="20"/>
        </w:rPr>
      </w:pPr>
    </w:p>
    <w:p w14:paraId="29D5FA10"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IAG tiene filiales en los siguientes países considerados paraísos fiscales según el Real Decreto </w:t>
      </w:r>
      <w:r w:rsidRPr="00900CF9">
        <w:rPr>
          <w:rFonts w:ascii="Open Sans" w:hAnsi="Open Sans" w:cs="Arial"/>
          <w:bCs/>
          <w:sz w:val="20"/>
          <w:szCs w:val="20"/>
        </w:rPr>
        <w:t xml:space="preserve"> 1080/91</w:t>
      </w:r>
      <w:r>
        <w:rPr>
          <w:rFonts w:ascii="Open Sans" w:hAnsi="Open Sans" w:cs="Arial"/>
          <w:bCs/>
          <w:sz w:val="20"/>
          <w:szCs w:val="20"/>
        </w:rPr>
        <w:t xml:space="preserve"> y sus posteriores modificaciones</w:t>
      </w:r>
      <w:r>
        <w:rPr>
          <w:rStyle w:val="Refdenotaalpie"/>
          <w:rFonts w:ascii="Open Sans" w:hAnsi="Open Sans"/>
          <w:bCs/>
          <w:sz w:val="20"/>
          <w:szCs w:val="20"/>
        </w:rPr>
        <w:footnoteReference w:id="632"/>
      </w:r>
      <w:r>
        <w:rPr>
          <w:rFonts w:ascii="Open Sans" w:hAnsi="Open Sans" w:cs="Arial"/>
          <w:bCs/>
          <w:sz w:val="20"/>
          <w:szCs w:val="20"/>
        </w:rPr>
        <w:t xml:space="preserve"> y listado de la OCDE: </w:t>
      </w:r>
    </w:p>
    <w:p w14:paraId="10E6EF0A" w14:textId="77777777" w:rsidR="00256EC8" w:rsidRDefault="00256EC8" w:rsidP="00256EC8">
      <w:pPr>
        <w:jc w:val="both"/>
        <w:rPr>
          <w:rFonts w:ascii="Open Sans" w:hAnsi="Open Sans" w:cs="Arial"/>
          <w:bCs/>
          <w:sz w:val="20"/>
          <w:szCs w:val="20"/>
        </w:rPr>
      </w:pPr>
    </w:p>
    <w:p w14:paraId="066D0118"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 </w:t>
      </w:r>
      <w:r>
        <w:rPr>
          <w:rFonts w:ascii="Open Sans" w:hAnsi="Open Sans" w:cs="Arial"/>
          <w:sz w:val="20"/>
          <w:szCs w:val="20"/>
        </w:rPr>
        <w:t>Bermuda, Gibraltar, Isla de Man, Islas Caimán y Jersey</w:t>
      </w:r>
    </w:p>
    <w:p w14:paraId="1ECF9A83" w14:textId="77777777" w:rsidR="00256EC8" w:rsidRDefault="00256EC8" w:rsidP="00256EC8">
      <w:pPr>
        <w:jc w:val="both"/>
        <w:rPr>
          <w:rFonts w:ascii="Open Sans" w:hAnsi="Open Sans" w:cs="Arial"/>
          <w:bCs/>
          <w:sz w:val="20"/>
          <w:szCs w:val="20"/>
        </w:rPr>
      </w:pPr>
    </w:p>
    <w:p w14:paraId="1D674E30" w14:textId="77777777" w:rsidR="00256EC8" w:rsidRDefault="00256EC8" w:rsidP="00256EC8">
      <w:pPr>
        <w:jc w:val="both"/>
        <w:rPr>
          <w:rFonts w:ascii="Open Sans" w:hAnsi="Open Sans" w:cs="Arial"/>
          <w:bCs/>
          <w:sz w:val="20"/>
          <w:szCs w:val="20"/>
        </w:rPr>
      </w:pPr>
      <w:r>
        <w:rPr>
          <w:rFonts w:ascii="Open Sans" w:hAnsi="Open Sans" w:cs="Arial"/>
          <w:bCs/>
          <w:sz w:val="20"/>
          <w:szCs w:val="20"/>
        </w:rPr>
        <w:t>IAG tiene filiales en los siguientes países considerados nichos fiscales según la organización Tax Justice Network</w:t>
      </w:r>
      <w:r>
        <w:rPr>
          <w:rStyle w:val="Refdenotaalpie"/>
          <w:rFonts w:ascii="Open Sans" w:hAnsi="Open Sans"/>
          <w:bCs/>
          <w:sz w:val="20"/>
          <w:szCs w:val="20"/>
        </w:rPr>
        <w:footnoteReference w:id="633"/>
      </w:r>
      <w:r>
        <w:rPr>
          <w:rFonts w:ascii="Open Sans" w:hAnsi="Open Sans" w:cs="Arial"/>
          <w:bCs/>
          <w:sz w:val="20"/>
          <w:szCs w:val="20"/>
        </w:rPr>
        <w:t xml:space="preserve"> y Parlamento Europeo.</w:t>
      </w:r>
    </w:p>
    <w:p w14:paraId="1F2F3C90" w14:textId="77777777" w:rsidR="00256EC8" w:rsidRDefault="00256EC8" w:rsidP="00256EC8">
      <w:pPr>
        <w:jc w:val="both"/>
        <w:rPr>
          <w:rFonts w:ascii="Open Sans" w:hAnsi="Open Sans" w:cs="Arial"/>
          <w:bCs/>
          <w:sz w:val="20"/>
          <w:szCs w:val="20"/>
        </w:rPr>
      </w:pPr>
    </w:p>
    <w:p w14:paraId="723331D5" w14:textId="77777777" w:rsidR="00256EC8" w:rsidRDefault="00256EC8" w:rsidP="00256EC8">
      <w:pPr>
        <w:jc w:val="both"/>
        <w:rPr>
          <w:rFonts w:ascii="Open Sans" w:hAnsi="Open Sans" w:cs="Arial"/>
          <w:bCs/>
          <w:sz w:val="20"/>
          <w:szCs w:val="20"/>
        </w:rPr>
      </w:pPr>
      <w:r>
        <w:rPr>
          <w:rFonts w:ascii="Open Sans" w:hAnsi="Open Sans" w:cs="Arial"/>
          <w:bCs/>
          <w:sz w:val="20"/>
          <w:szCs w:val="20"/>
        </w:rPr>
        <w:t>- Bahamas, Barbados, Chipre, Delaware (EEUU), Holanda, Hong Kong, Irlanda, Luxemburgo, Singapur, Sudáfrica y Suiza.</w:t>
      </w:r>
    </w:p>
    <w:p w14:paraId="310BAA32" w14:textId="77777777" w:rsidR="00256EC8" w:rsidRDefault="00256EC8" w:rsidP="00256EC8">
      <w:pPr>
        <w:rPr>
          <w:rFonts w:ascii="Open Sans" w:hAnsi="Open Sans" w:cs="Arial"/>
          <w:bCs/>
          <w:sz w:val="20"/>
          <w:szCs w:val="20"/>
        </w:rPr>
      </w:pPr>
    </w:p>
    <w:p w14:paraId="278D16B5"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IAG no aporta información sobre la actividad principal de la mayoría de estas filiales con lo que no se puede comprobar si la actividad de estas filiales está relacionada con la actividad principal del grupo por lo que, a falta de mayor información, existen dudas en relación a 40 filiales del grupo. </w:t>
      </w:r>
    </w:p>
    <w:p w14:paraId="6AACEFB9" w14:textId="77777777" w:rsidR="00256EC8" w:rsidRDefault="00256EC8" w:rsidP="00256EC8">
      <w:pPr>
        <w:rPr>
          <w:rFonts w:ascii="Open Sans" w:hAnsi="Open Sans" w:cs="Arial"/>
          <w:bCs/>
          <w:sz w:val="22"/>
          <w:szCs w:val="22"/>
        </w:rPr>
      </w:pPr>
    </w:p>
    <w:tbl>
      <w:tblPr>
        <w:tblW w:w="8662" w:type="dxa"/>
        <w:tblInd w:w="55" w:type="dxa"/>
        <w:tblLayout w:type="fixed"/>
        <w:tblCellMar>
          <w:left w:w="70" w:type="dxa"/>
          <w:right w:w="70" w:type="dxa"/>
        </w:tblCellMar>
        <w:tblLook w:val="04A0" w:firstRow="1" w:lastRow="0" w:firstColumn="1" w:lastColumn="0" w:noHBand="0" w:noVBand="1"/>
      </w:tblPr>
      <w:tblGrid>
        <w:gridCol w:w="4268"/>
        <w:gridCol w:w="2126"/>
        <w:gridCol w:w="2268"/>
      </w:tblGrid>
      <w:tr w:rsidR="00256EC8" w:rsidRPr="005F2FB3" w14:paraId="1630440D" w14:textId="77777777" w:rsidTr="00256EC8">
        <w:trPr>
          <w:trHeight w:val="328"/>
        </w:trPr>
        <w:tc>
          <w:tcPr>
            <w:tcW w:w="426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7758179" w14:textId="77777777" w:rsidR="00256EC8" w:rsidRPr="005F2FB3" w:rsidRDefault="00256EC8" w:rsidP="00256EC8">
            <w:pPr>
              <w:jc w:val="center"/>
              <w:rPr>
                <w:rFonts w:ascii="Open Sans" w:hAnsi="Open Sans"/>
                <w:b/>
                <w:bCs/>
                <w:color w:val="000000"/>
                <w:sz w:val="20"/>
                <w:szCs w:val="20"/>
              </w:rPr>
            </w:pPr>
            <w:r w:rsidRPr="005F2FB3">
              <w:rPr>
                <w:rFonts w:ascii="Open Sans" w:hAnsi="Open Sans"/>
                <w:b/>
                <w:bCs/>
                <w:color w:val="000000"/>
                <w:sz w:val="20"/>
                <w:szCs w:val="20"/>
              </w:rPr>
              <w:t>Nombre de la Sociedad</w:t>
            </w:r>
          </w:p>
        </w:tc>
        <w:tc>
          <w:tcPr>
            <w:tcW w:w="2126" w:type="dxa"/>
            <w:tcBorders>
              <w:top w:val="single" w:sz="4" w:space="0" w:color="auto"/>
              <w:left w:val="nil"/>
              <w:bottom w:val="single" w:sz="4" w:space="0" w:color="auto"/>
              <w:right w:val="single" w:sz="4" w:space="0" w:color="auto"/>
            </w:tcBorders>
            <w:shd w:val="clear" w:color="000000" w:fill="D9D9D9"/>
            <w:noWrap/>
            <w:vAlign w:val="center"/>
            <w:hideMark/>
          </w:tcPr>
          <w:p w14:paraId="41F4BCB3" w14:textId="77777777" w:rsidR="00256EC8" w:rsidRPr="005F2FB3" w:rsidRDefault="00256EC8" w:rsidP="00256EC8">
            <w:pPr>
              <w:jc w:val="center"/>
              <w:rPr>
                <w:rFonts w:ascii="Open Sans" w:hAnsi="Open Sans"/>
                <w:b/>
                <w:bCs/>
                <w:color w:val="000000"/>
                <w:sz w:val="20"/>
                <w:szCs w:val="20"/>
              </w:rPr>
            </w:pPr>
            <w:r w:rsidRPr="005F2FB3">
              <w:rPr>
                <w:rFonts w:ascii="Open Sans" w:hAnsi="Open Sans"/>
                <w:b/>
                <w:bCs/>
                <w:color w:val="000000"/>
                <w:sz w:val="20"/>
                <w:szCs w:val="20"/>
              </w:rPr>
              <w:t>Jurisdicción</w:t>
            </w:r>
          </w:p>
        </w:tc>
        <w:tc>
          <w:tcPr>
            <w:tcW w:w="2268" w:type="dxa"/>
            <w:tcBorders>
              <w:top w:val="single" w:sz="4" w:space="0" w:color="auto"/>
              <w:left w:val="nil"/>
              <w:bottom w:val="single" w:sz="4" w:space="0" w:color="auto"/>
              <w:right w:val="single" w:sz="4" w:space="0" w:color="auto"/>
            </w:tcBorders>
            <w:shd w:val="clear" w:color="000000" w:fill="D9D9D9"/>
            <w:noWrap/>
            <w:vAlign w:val="center"/>
            <w:hideMark/>
          </w:tcPr>
          <w:p w14:paraId="64F7EC47" w14:textId="77777777" w:rsidR="00256EC8" w:rsidRPr="005F2FB3" w:rsidRDefault="00256EC8" w:rsidP="00256EC8">
            <w:pPr>
              <w:jc w:val="center"/>
              <w:rPr>
                <w:rFonts w:ascii="Open Sans" w:hAnsi="Open Sans"/>
                <w:b/>
                <w:bCs/>
                <w:color w:val="000000"/>
                <w:sz w:val="20"/>
                <w:szCs w:val="20"/>
              </w:rPr>
            </w:pPr>
            <w:r w:rsidRPr="005F2FB3">
              <w:rPr>
                <w:rFonts w:ascii="Open Sans" w:hAnsi="Open Sans"/>
                <w:b/>
                <w:bCs/>
                <w:color w:val="000000"/>
                <w:sz w:val="20"/>
                <w:szCs w:val="20"/>
              </w:rPr>
              <w:t>Actividad</w:t>
            </w:r>
          </w:p>
        </w:tc>
      </w:tr>
      <w:tr w:rsidR="00256EC8" w:rsidRPr="005F2FB3" w14:paraId="73787A3E"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54AF5B8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Aer Lingus (Ireland) Limited</w:t>
            </w:r>
          </w:p>
        </w:tc>
        <w:tc>
          <w:tcPr>
            <w:tcW w:w="2126" w:type="dxa"/>
            <w:tcBorders>
              <w:top w:val="nil"/>
              <w:left w:val="nil"/>
              <w:bottom w:val="single" w:sz="4" w:space="0" w:color="auto"/>
              <w:right w:val="single" w:sz="4" w:space="0" w:color="auto"/>
            </w:tcBorders>
            <w:shd w:val="clear" w:color="auto" w:fill="auto"/>
            <w:noWrap/>
            <w:vAlign w:val="center"/>
            <w:hideMark/>
          </w:tcPr>
          <w:p w14:paraId="6657E5D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551A77F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630BC2F7"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6FF69BF9" w14:textId="77777777" w:rsidR="00256EC8" w:rsidRPr="00FE140D" w:rsidRDefault="00256EC8" w:rsidP="00256EC8">
            <w:pPr>
              <w:rPr>
                <w:rFonts w:ascii="Open Sans" w:hAnsi="Open Sans"/>
                <w:color w:val="000000"/>
                <w:sz w:val="20"/>
                <w:szCs w:val="20"/>
                <w:lang w:val="en-GB"/>
              </w:rPr>
            </w:pPr>
            <w:r w:rsidRPr="00FE140D">
              <w:rPr>
                <w:rFonts w:ascii="Open Sans" w:hAnsi="Open Sans"/>
                <w:color w:val="000000"/>
                <w:sz w:val="20"/>
                <w:szCs w:val="20"/>
                <w:lang w:val="en-GB"/>
              </w:rPr>
              <w:t>Aer Lingus 2009 DCS Trustee Limited</w:t>
            </w:r>
          </w:p>
        </w:tc>
        <w:tc>
          <w:tcPr>
            <w:tcW w:w="2126" w:type="dxa"/>
            <w:tcBorders>
              <w:top w:val="nil"/>
              <w:left w:val="nil"/>
              <w:bottom w:val="single" w:sz="4" w:space="0" w:color="auto"/>
              <w:right w:val="single" w:sz="4" w:space="0" w:color="auto"/>
            </w:tcBorders>
            <w:shd w:val="clear" w:color="auto" w:fill="auto"/>
            <w:noWrap/>
            <w:vAlign w:val="center"/>
            <w:hideMark/>
          </w:tcPr>
          <w:p w14:paraId="62CA9E9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1233A9F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1F66B07F"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554368F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Aer Lingus Beachey Limited</w:t>
            </w:r>
          </w:p>
        </w:tc>
        <w:tc>
          <w:tcPr>
            <w:tcW w:w="2126" w:type="dxa"/>
            <w:tcBorders>
              <w:top w:val="nil"/>
              <w:left w:val="nil"/>
              <w:bottom w:val="single" w:sz="4" w:space="0" w:color="auto"/>
              <w:right w:val="single" w:sz="4" w:space="0" w:color="auto"/>
            </w:tcBorders>
            <w:shd w:val="clear" w:color="auto" w:fill="auto"/>
            <w:noWrap/>
            <w:vAlign w:val="center"/>
            <w:hideMark/>
          </w:tcPr>
          <w:p w14:paraId="161E2FB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Isla de Man</w:t>
            </w:r>
          </w:p>
        </w:tc>
        <w:tc>
          <w:tcPr>
            <w:tcW w:w="2268" w:type="dxa"/>
            <w:tcBorders>
              <w:top w:val="nil"/>
              <w:left w:val="nil"/>
              <w:bottom w:val="single" w:sz="4" w:space="0" w:color="auto"/>
              <w:right w:val="single" w:sz="4" w:space="0" w:color="auto"/>
            </w:tcBorders>
            <w:shd w:val="clear" w:color="auto" w:fill="auto"/>
            <w:noWrap/>
            <w:vAlign w:val="center"/>
            <w:hideMark/>
          </w:tcPr>
          <w:p w14:paraId="1F190F25"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1B1209E"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418DB88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Aer Lingus Group DAC</w:t>
            </w:r>
          </w:p>
        </w:tc>
        <w:tc>
          <w:tcPr>
            <w:tcW w:w="2126" w:type="dxa"/>
            <w:tcBorders>
              <w:top w:val="nil"/>
              <w:left w:val="nil"/>
              <w:bottom w:val="single" w:sz="4" w:space="0" w:color="auto"/>
              <w:right w:val="single" w:sz="4" w:space="0" w:color="auto"/>
            </w:tcBorders>
            <w:shd w:val="clear" w:color="auto" w:fill="auto"/>
            <w:noWrap/>
            <w:vAlign w:val="center"/>
            <w:hideMark/>
          </w:tcPr>
          <w:p w14:paraId="74EBE17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18355957"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B2DBA6D"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133D2837"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Aer Lingus Limited</w:t>
            </w:r>
          </w:p>
        </w:tc>
        <w:tc>
          <w:tcPr>
            <w:tcW w:w="2126" w:type="dxa"/>
            <w:tcBorders>
              <w:top w:val="nil"/>
              <w:left w:val="nil"/>
              <w:bottom w:val="single" w:sz="4" w:space="0" w:color="auto"/>
              <w:right w:val="single" w:sz="4" w:space="0" w:color="auto"/>
            </w:tcBorders>
            <w:shd w:val="clear" w:color="auto" w:fill="auto"/>
            <w:noWrap/>
            <w:vAlign w:val="center"/>
            <w:hideMark/>
          </w:tcPr>
          <w:p w14:paraId="2C3C7F27"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27E6C559"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005C0090"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0455D24D"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ALG Trustee Limited</w:t>
            </w:r>
          </w:p>
        </w:tc>
        <w:tc>
          <w:tcPr>
            <w:tcW w:w="2126" w:type="dxa"/>
            <w:tcBorders>
              <w:top w:val="nil"/>
              <w:left w:val="nil"/>
              <w:bottom w:val="single" w:sz="4" w:space="0" w:color="auto"/>
              <w:right w:val="single" w:sz="4" w:space="0" w:color="auto"/>
            </w:tcBorders>
            <w:shd w:val="clear" w:color="auto" w:fill="auto"/>
            <w:noWrap/>
            <w:vAlign w:val="center"/>
            <w:hideMark/>
          </w:tcPr>
          <w:p w14:paraId="6B717A4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7B6C2F35"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F277D66"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648E54F9" w14:textId="77777777" w:rsidR="00256EC8" w:rsidRPr="00FE140D" w:rsidRDefault="00256EC8" w:rsidP="00256EC8">
            <w:pPr>
              <w:rPr>
                <w:rFonts w:ascii="Open Sans" w:hAnsi="Open Sans"/>
                <w:color w:val="000000"/>
                <w:sz w:val="20"/>
                <w:szCs w:val="20"/>
                <w:lang w:val="en-GB"/>
              </w:rPr>
            </w:pPr>
            <w:r w:rsidRPr="00FE140D">
              <w:rPr>
                <w:rFonts w:ascii="Open Sans" w:hAnsi="Open Sans"/>
                <w:color w:val="000000"/>
                <w:sz w:val="20"/>
                <w:szCs w:val="20"/>
                <w:lang w:val="en-GB"/>
              </w:rPr>
              <w:t>Avios South Africa Proprietary Limited</w:t>
            </w:r>
          </w:p>
        </w:tc>
        <w:tc>
          <w:tcPr>
            <w:tcW w:w="2126" w:type="dxa"/>
            <w:tcBorders>
              <w:top w:val="nil"/>
              <w:left w:val="nil"/>
              <w:bottom w:val="single" w:sz="4" w:space="0" w:color="auto"/>
              <w:right w:val="single" w:sz="4" w:space="0" w:color="auto"/>
            </w:tcBorders>
            <w:shd w:val="clear" w:color="auto" w:fill="auto"/>
            <w:noWrap/>
            <w:vAlign w:val="center"/>
            <w:hideMark/>
          </w:tcPr>
          <w:p w14:paraId="435ECB4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Sudáfrica</w:t>
            </w:r>
          </w:p>
        </w:tc>
        <w:tc>
          <w:tcPr>
            <w:tcW w:w="2268" w:type="dxa"/>
            <w:tcBorders>
              <w:top w:val="nil"/>
              <w:left w:val="nil"/>
              <w:bottom w:val="single" w:sz="4" w:space="0" w:color="auto"/>
              <w:right w:val="single" w:sz="4" w:space="0" w:color="auto"/>
            </w:tcBorders>
            <w:shd w:val="clear" w:color="auto" w:fill="auto"/>
            <w:noWrap/>
            <w:vAlign w:val="center"/>
            <w:hideMark/>
          </w:tcPr>
          <w:p w14:paraId="26A9E79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283C777B"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0902AC91"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BA Number Two Limited</w:t>
            </w:r>
          </w:p>
        </w:tc>
        <w:tc>
          <w:tcPr>
            <w:tcW w:w="2126" w:type="dxa"/>
            <w:tcBorders>
              <w:top w:val="nil"/>
              <w:left w:val="nil"/>
              <w:bottom w:val="single" w:sz="4" w:space="0" w:color="auto"/>
              <w:right w:val="single" w:sz="4" w:space="0" w:color="auto"/>
            </w:tcBorders>
            <w:shd w:val="clear" w:color="auto" w:fill="auto"/>
            <w:noWrap/>
            <w:vAlign w:val="center"/>
            <w:hideMark/>
          </w:tcPr>
          <w:p w14:paraId="46A2E97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Jersey</w:t>
            </w:r>
          </w:p>
        </w:tc>
        <w:tc>
          <w:tcPr>
            <w:tcW w:w="2268" w:type="dxa"/>
            <w:tcBorders>
              <w:top w:val="nil"/>
              <w:left w:val="nil"/>
              <w:bottom w:val="single" w:sz="4" w:space="0" w:color="auto"/>
              <w:right w:val="single" w:sz="4" w:space="0" w:color="auto"/>
            </w:tcBorders>
            <w:shd w:val="clear" w:color="auto" w:fill="auto"/>
            <w:noWrap/>
            <w:vAlign w:val="center"/>
            <w:hideMark/>
          </w:tcPr>
          <w:p w14:paraId="72E3CD0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683D4AA"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32C0748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Binter Finance B.V</w:t>
            </w:r>
          </w:p>
        </w:tc>
        <w:tc>
          <w:tcPr>
            <w:tcW w:w="2126" w:type="dxa"/>
            <w:tcBorders>
              <w:top w:val="nil"/>
              <w:left w:val="nil"/>
              <w:bottom w:val="single" w:sz="4" w:space="0" w:color="auto"/>
              <w:right w:val="single" w:sz="4" w:space="0" w:color="auto"/>
            </w:tcBorders>
            <w:shd w:val="clear" w:color="auto" w:fill="auto"/>
            <w:noWrap/>
            <w:vAlign w:val="center"/>
            <w:hideMark/>
          </w:tcPr>
          <w:p w14:paraId="1C439738"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Países Bajos</w:t>
            </w:r>
          </w:p>
        </w:tc>
        <w:tc>
          <w:tcPr>
            <w:tcW w:w="2268" w:type="dxa"/>
            <w:tcBorders>
              <w:top w:val="nil"/>
              <w:left w:val="nil"/>
              <w:bottom w:val="single" w:sz="4" w:space="0" w:color="auto"/>
              <w:right w:val="single" w:sz="4" w:space="0" w:color="auto"/>
            </w:tcBorders>
            <w:shd w:val="clear" w:color="auto" w:fill="auto"/>
            <w:noWrap/>
            <w:vAlign w:val="center"/>
            <w:hideMark/>
          </w:tcPr>
          <w:p w14:paraId="680D04F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Financiación y tesorería</w:t>
            </w:r>
          </w:p>
        </w:tc>
      </w:tr>
      <w:tr w:rsidR="00256EC8" w:rsidRPr="005F2FB3" w14:paraId="011238C8"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1A82574D"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Capital Limited</w:t>
            </w:r>
          </w:p>
        </w:tc>
        <w:tc>
          <w:tcPr>
            <w:tcW w:w="2126" w:type="dxa"/>
            <w:tcBorders>
              <w:top w:val="nil"/>
              <w:left w:val="nil"/>
              <w:bottom w:val="single" w:sz="4" w:space="0" w:color="auto"/>
              <w:right w:val="single" w:sz="4" w:space="0" w:color="auto"/>
            </w:tcBorders>
            <w:shd w:val="clear" w:color="auto" w:fill="auto"/>
            <w:noWrap/>
            <w:vAlign w:val="center"/>
            <w:hideMark/>
          </w:tcPr>
          <w:p w14:paraId="155BDAC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Jersey</w:t>
            </w:r>
          </w:p>
        </w:tc>
        <w:tc>
          <w:tcPr>
            <w:tcW w:w="2268" w:type="dxa"/>
            <w:tcBorders>
              <w:top w:val="nil"/>
              <w:left w:val="nil"/>
              <w:bottom w:val="single" w:sz="4" w:space="0" w:color="auto"/>
              <w:right w:val="single" w:sz="4" w:space="0" w:color="auto"/>
            </w:tcBorders>
            <w:shd w:val="clear" w:color="auto" w:fill="auto"/>
            <w:noWrap/>
            <w:vAlign w:val="center"/>
            <w:hideMark/>
          </w:tcPr>
          <w:p w14:paraId="7FE4A17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62A41C73"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33190422" w14:textId="77777777" w:rsidR="00256EC8" w:rsidRPr="00FE140D" w:rsidRDefault="00256EC8" w:rsidP="00256EC8">
            <w:pPr>
              <w:rPr>
                <w:rFonts w:ascii="Open Sans" w:hAnsi="Open Sans"/>
                <w:color w:val="000000"/>
                <w:sz w:val="20"/>
                <w:szCs w:val="20"/>
                <w:lang w:val="en-GB"/>
              </w:rPr>
            </w:pPr>
            <w:r w:rsidRPr="00FE140D">
              <w:rPr>
                <w:rFonts w:ascii="Open Sans" w:hAnsi="Open Sans"/>
                <w:color w:val="000000"/>
                <w:sz w:val="20"/>
                <w:szCs w:val="20"/>
                <w:lang w:val="en-GB"/>
              </w:rPr>
              <w:t>British Airways E-Jets Leasing Limited</w:t>
            </w:r>
          </w:p>
        </w:tc>
        <w:tc>
          <w:tcPr>
            <w:tcW w:w="2126" w:type="dxa"/>
            <w:tcBorders>
              <w:top w:val="nil"/>
              <w:left w:val="nil"/>
              <w:bottom w:val="single" w:sz="4" w:space="0" w:color="auto"/>
              <w:right w:val="single" w:sz="4" w:space="0" w:color="auto"/>
            </w:tcBorders>
            <w:shd w:val="clear" w:color="auto" w:fill="auto"/>
            <w:noWrap/>
            <w:vAlign w:val="center"/>
            <w:hideMark/>
          </w:tcPr>
          <w:p w14:paraId="61C05E0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Bermuda</w:t>
            </w:r>
          </w:p>
        </w:tc>
        <w:tc>
          <w:tcPr>
            <w:tcW w:w="2268" w:type="dxa"/>
            <w:tcBorders>
              <w:top w:val="nil"/>
              <w:left w:val="nil"/>
              <w:bottom w:val="single" w:sz="4" w:space="0" w:color="auto"/>
              <w:right w:val="single" w:sz="4" w:space="0" w:color="auto"/>
            </w:tcBorders>
            <w:shd w:val="clear" w:color="auto" w:fill="auto"/>
            <w:noWrap/>
            <w:vAlign w:val="center"/>
            <w:hideMark/>
          </w:tcPr>
          <w:p w14:paraId="2BE3F11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Financiación de aviones</w:t>
            </w:r>
          </w:p>
        </w:tc>
      </w:tr>
      <w:tr w:rsidR="00256EC8" w:rsidRPr="005F2FB3" w14:paraId="32E58C18"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4CE44A9B" w14:textId="77777777" w:rsidR="00256EC8" w:rsidRPr="00FE140D" w:rsidRDefault="00256EC8" w:rsidP="00256EC8">
            <w:pPr>
              <w:rPr>
                <w:rFonts w:ascii="Open Sans" w:hAnsi="Open Sans"/>
                <w:color w:val="000000"/>
                <w:sz w:val="20"/>
                <w:szCs w:val="20"/>
                <w:lang w:val="en-GB"/>
              </w:rPr>
            </w:pPr>
            <w:r w:rsidRPr="00FE140D">
              <w:rPr>
                <w:rFonts w:ascii="Open Sans" w:hAnsi="Open Sans"/>
                <w:color w:val="000000"/>
                <w:sz w:val="20"/>
                <w:szCs w:val="20"/>
                <w:lang w:val="en-GB"/>
              </w:rPr>
              <w:t>British Airways Employee Benefit Trustees (Jersey) Limited</w:t>
            </w:r>
          </w:p>
        </w:tc>
        <w:tc>
          <w:tcPr>
            <w:tcW w:w="2126" w:type="dxa"/>
            <w:tcBorders>
              <w:top w:val="nil"/>
              <w:left w:val="nil"/>
              <w:bottom w:val="single" w:sz="4" w:space="0" w:color="auto"/>
              <w:right w:val="single" w:sz="4" w:space="0" w:color="auto"/>
            </w:tcBorders>
            <w:shd w:val="clear" w:color="auto" w:fill="auto"/>
            <w:noWrap/>
            <w:vAlign w:val="center"/>
            <w:hideMark/>
          </w:tcPr>
          <w:p w14:paraId="6D0F0C8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Jersey</w:t>
            </w:r>
          </w:p>
        </w:tc>
        <w:tc>
          <w:tcPr>
            <w:tcW w:w="2268" w:type="dxa"/>
            <w:tcBorders>
              <w:top w:val="nil"/>
              <w:left w:val="nil"/>
              <w:bottom w:val="single" w:sz="4" w:space="0" w:color="auto"/>
              <w:right w:val="single" w:sz="4" w:space="0" w:color="auto"/>
            </w:tcBorders>
            <w:shd w:val="clear" w:color="auto" w:fill="auto"/>
            <w:noWrap/>
            <w:vAlign w:val="center"/>
            <w:hideMark/>
          </w:tcPr>
          <w:p w14:paraId="75615AC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6F2F87B5"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2B3C46EB" w14:textId="77777777" w:rsidR="00256EC8" w:rsidRPr="00FE140D" w:rsidRDefault="00256EC8" w:rsidP="00256EC8">
            <w:pPr>
              <w:rPr>
                <w:rFonts w:ascii="Open Sans" w:hAnsi="Open Sans"/>
                <w:color w:val="000000"/>
                <w:sz w:val="20"/>
                <w:szCs w:val="20"/>
                <w:lang w:val="en-GB"/>
              </w:rPr>
            </w:pPr>
            <w:r w:rsidRPr="00FE140D">
              <w:rPr>
                <w:rFonts w:ascii="Open Sans" w:hAnsi="Open Sans"/>
                <w:color w:val="000000"/>
                <w:sz w:val="20"/>
                <w:szCs w:val="20"/>
                <w:lang w:val="en-GB"/>
              </w:rPr>
              <w:t>British Airways Finance (Jersey) Limited Partnership</w:t>
            </w:r>
          </w:p>
        </w:tc>
        <w:tc>
          <w:tcPr>
            <w:tcW w:w="2126" w:type="dxa"/>
            <w:tcBorders>
              <w:top w:val="nil"/>
              <w:left w:val="nil"/>
              <w:bottom w:val="single" w:sz="4" w:space="0" w:color="auto"/>
              <w:right w:val="single" w:sz="4" w:space="0" w:color="auto"/>
            </w:tcBorders>
            <w:shd w:val="clear" w:color="auto" w:fill="auto"/>
            <w:noWrap/>
            <w:vAlign w:val="center"/>
            <w:hideMark/>
          </w:tcPr>
          <w:p w14:paraId="427962D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Jersey</w:t>
            </w:r>
          </w:p>
        </w:tc>
        <w:tc>
          <w:tcPr>
            <w:tcW w:w="2268" w:type="dxa"/>
            <w:tcBorders>
              <w:top w:val="nil"/>
              <w:left w:val="nil"/>
              <w:bottom w:val="single" w:sz="4" w:space="0" w:color="auto"/>
              <w:right w:val="single" w:sz="4" w:space="0" w:color="auto"/>
            </w:tcBorders>
            <w:shd w:val="clear" w:color="auto" w:fill="auto"/>
            <w:noWrap/>
            <w:vAlign w:val="center"/>
            <w:hideMark/>
          </w:tcPr>
          <w:p w14:paraId="45D09D4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36A843DF"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0D762ACF" w14:textId="77777777" w:rsidR="00256EC8" w:rsidRPr="00FE140D" w:rsidRDefault="00256EC8" w:rsidP="00256EC8">
            <w:pPr>
              <w:rPr>
                <w:rFonts w:ascii="Open Sans" w:hAnsi="Open Sans"/>
                <w:color w:val="000000"/>
                <w:sz w:val="20"/>
                <w:szCs w:val="20"/>
                <w:lang w:val="en-GB"/>
              </w:rPr>
            </w:pPr>
            <w:r w:rsidRPr="00FE140D">
              <w:rPr>
                <w:rFonts w:ascii="Open Sans" w:hAnsi="Open Sans"/>
                <w:color w:val="000000"/>
                <w:sz w:val="20"/>
                <w:szCs w:val="20"/>
                <w:lang w:val="en-GB"/>
              </w:rPr>
              <w:t>British Airways Holdings B.V.</w:t>
            </w:r>
          </w:p>
        </w:tc>
        <w:tc>
          <w:tcPr>
            <w:tcW w:w="2126" w:type="dxa"/>
            <w:tcBorders>
              <w:top w:val="nil"/>
              <w:left w:val="nil"/>
              <w:bottom w:val="single" w:sz="4" w:space="0" w:color="auto"/>
              <w:right w:val="single" w:sz="4" w:space="0" w:color="auto"/>
            </w:tcBorders>
            <w:shd w:val="clear" w:color="auto" w:fill="auto"/>
            <w:noWrap/>
            <w:vAlign w:val="center"/>
            <w:hideMark/>
          </w:tcPr>
          <w:p w14:paraId="09550B0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Países Bajos</w:t>
            </w:r>
          </w:p>
        </w:tc>
        <w:tc>
          <w:tcPr>
            <w:tcW w:w="2268" w:type="dxa"/>
            <w:tcBorders>
              <w:top w:val="nil"/>
              <w:left w:val="nil"/>
              <w:bottom w:val="single" w:sz="4" w:space="0" w:color="auto"/>
              <w:right w:val="single" w:sz="4" w:space="0" w:color="auto"/>
            </w:tcBorders>
            <w:shd w:val="clear" w:color="auto" w:fill="auto"/>
            <w:noWrap/>
            <w:vAlign w:val="center"/>
            <w:hideMark/>
          </w:tcPr>
          <w:p w14:paraId="1E94345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085B94C3"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040952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Holdings Limited</w:t>
            </w:r>
          </w:p>
        </w:tc>
        <w:tc>
          <w:tcPr>
            <w:tcW w:w="2126" w:type="dxa"/>
            <w:tcBorders>
              <w:top w:val="nil"/>
              <w:left w:val="nil"/>
              <w:bottom w:val="single" w:sz="4" w:space="0" w:color="auto"/>
              <w:right w:val="single" w:sz="4" w:space="0" w:color="auto"/>
            </w:tcBorders>
            <w:shd w:val="clear" w:color="auto" w:fill="auto"/>
            <w:noWrap/>
            <w:vAlign w:val="center"/>
            <w:hideMark/>
          </w:tcPr>
          <w:p w14:paraId="78A7F76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Jersey</w:t>
            </w:r>
          </w:p>
        </w:tc>
        <w:tc>
          <w:tcPr>
            <w:tcW w:w="2268" w:type="dxa"/>
            <w:tcBorders>
              <w:top w:val="nil"/>
              <w:left w:val="nil"/>
              <w:bottom w:val="single" w:sz="4" w:space="0" w:color="auto"/>
              <w:right w:val="single" w:sz="4" w:space="0" w:color="auto"/>
            </w:tcBorders>
            <w:shd w:val="clear" w:color="auto" w:fill="auto"/>
            <w:noWrap/>
            <w:vAlign w:val="center"/>
            <w:hideMark/>
          </w:tcPr>
          <w:p w14:paraId="5ECA0CD8"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compañía holding</w:t>
            </w:r>
          </w:p>
        </w:tc>
      </w:tr>
      <w:tr w:rsidR="00256EC8" w:rsidRPr="005F2FB3" w14:paraId="0CE93869"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3C66AB98"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49D1CD3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Bahamas</w:t>
            </w:r>
          </w:p>
        </w:tc>
        <w:tc>
          <w:tcPr>
            <w:tcW w:w="2268" w:type="dxa"/>
            <w:tcBorders>
              <w:top w:val="nil"/>
              <w:left w:val="nil"/>
              <w:bottom w:val="single" w:sz="4" w:space="0" w:color="auto"/>
              <w:right w:val="single" w:sz="4" w:space="0" w:color="auto"/>
            </w:tcBorders>
            <w:shd w:val="clear" w:color="auto" w:fill="auto"/>
            <w:noWrap/>
            <w:vAlign w:val="center"/>
            <w:hideMark/>
          </w:tcPr>
          <w:p w14:paraId="10BBBA5D"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276A14E6"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6A25D79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48CC34E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Barbados</w:t>
            </w:r>
          </w:p>
        </w:tc>
        <w:tc>
          <w:tcPr>
            <w:tcW w:w="2268" w:type="dxa"/>
            <w:tcBorders>
              <w:top w:val="nil"/>
              <w:left w:val="nil"/>
              <w:bottom w:val="single" w:sz="4" w:space="0" w:color="auto"/>
              <w:right w:val="single" w:sz="4" w:space="0" w:color="auto"/>
            </w:tcBorders>
            <w:shd w:val="clear" w:color="auto" w:fill="auto"/>
            <w:noWrap/>
            <w:vAlign w:val="center"/>
            <w:hideMark/>
          </w:tcPr>
          <w:p w14:paraId="5D15C66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722E7F11"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2BB0721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2B163247"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Bermuda</w:t>
            </w:r>
          </w:p>
        </w:tc>
        <w:tc>
          <w:tcPr>
            <w:tcW w:w="2268" w:type="dxa"/>
            <w:tcBorders>
              <w:top w:val="nil"/>
              <w:left w:val="nil"/>
              <w:bottom w:val="single" w:sz="4" w:space="0" w:color="auto"/>
              <w:right w:val="single" w:sz="4" w:space="0" w:color="auto"/>
            </w:tcBorders>
            <w:shd w:val="clear" w:color="auto" w:fill="auto"/>
            <w:noWrap/>
            <w:vAlign w:val="center"/>
            <w:hideMark/>
          </w:tcPr>
          <w:p w14:paraId="0D9397AD"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333252DB"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CCDAA5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790D569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Chipre</w:t>
            </w:r>
          </w:p>
        </w:tc>
        <w:tc>
          <w:tcPr>
            <w:tcW w:w="2268" w:type="dxa"/>
            <w:tcBorders>
              <w:top w:val="nil"/>
              <w:left w:val="nil"/>
              <w:bottom w:val="single" w:sz="4" w:space="0" w:color="auto"/>
              <w:right w:val="single" w:sz="4" w:space="0" w:color="auto"/>
            </w:tcBorders>
            <w:shd w:val="clear" w:color="auto" w:fill="auto"/>
            <w:noWrap/>
            <w:vAlign w:val="center"/>
            <w:hideMark/>
          </w:tcPr>
          <w:p w14:paraId="0FBF267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735B57CA"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2CA16FE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484FC52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Gibraltar</w:t>
            </w:r>
          </w:p>
        </w:tc>
        <w:tc>
          <w:tcPr>
            <w:tcW w:w="2268" w:type="dxa"/>
            <w:tcBorders>
              <w:top w:val="nil"/>
              <w:left w:val="nil"/>
              <w:bottom w:val="single" w:sz="4" w:space="0" w:color="auto"/>
              <w:right w:val="single" w:sz="4" w:space="0" w:color="auto"/>
            </w:tcBorders>
            <w:shd w:val="clear" w:color="auto" w:fill="auto"/>
            <w:noWrap/>
            <w:vAlign w:val="center"/>
            <w:hideMark/>
          </w:tcPr>
          <w:p w14:paraId="374BD5F1"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47DCD2B"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1243C70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4D37786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Holanda</w:t>
            </w:r>
          </w:p>
        </w:tc>
        <w:tc>
          <w:tcPr>
            <w:tcW w:w="2268" w:type="dxa"/>
            <w:tcBorders>
              <w:top w:val="nil"/>
              <w:left w:val="nil"/>
              <w:bottom w:val="single" w:sz="4" w:space="0" w:color="auto"/>
              <w:right w:val="single" w:sz="4" w:space="0" w:color="auto"/>
            </w:tcBorders>
            <w:shd w:val="clear" w:color="auto" w:fill="auto"/>
            <w:noWrap/>
            <w:vAlign w:val="center"/>
            <w:hideMark/>
          </w:tcPr>
          <w:p w14:paraId="641353A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171AED31"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934C2B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781F978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Hong Kong</w:t>
            </w:r>
          </w:p>
        </w:tc>
        <w:tc>
          <w:tcPr>
            <w:tcW w:w="2268" w:type="dxa"/>
            <w:tcBorders>
              <w:top w:val="nil"/>
              <w:left w:val="nil"/>
              <w:bottom w:val="single" w:sz="4" w:space="0" w:color="auto"/>
              <w:right w:val="single" w:sz="4" w:space="0" w:color="auto"/>
            </w:tcBorders>
            <w:shd w:val="clear" w:color="auto" w:fill="auto"/>
            <w:noWrap/>
            <w:vAlign w:val="center"/>
            <w:hideMark/>
          </w:tcPr>
          <w:p w14:paraId="6F04681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48D55613"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F0A1D61"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4216155D"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Luxemburgo</w:t>
            </w:r>
          </w:p>
        </w:tc>
        <w:tc>
          <w:tcPr>
            <w:tcW w:w="2268" w:type="dxa"/>
            <w:tcBorders>
              <w:top w:val="nil"/>
              <w:left w:val="nil"/>
              <w:bottom w:val="single" w:sz="4" w:space="0" w:color="auto"/>
              <w:right w:val="single" w:sz="4" w:space="0" w:color="auto"/>
            </w:tcBorders>
            <w:shd w:val="clear" w:color="auto" w:fill="auto"/>
            <w:noWrap/>
            <w:vAlign w:val="center"/>
            <w:hideMark/>
          </w:tcPr>
          <w:p w14:paraId="643E65D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00A1711F"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3B53EB7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1D7E43C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Singapur</w:t>
            </w:r>
          </w:p>
        </w:tc>
        <w:tc>
          <w:tcPr>
            <w:tcW w:w="2268" w:type="dxa"/>
            <w:tcBorders>
              <w:top w:val="nil"/>
              <w:left w:val="nil"/>
              <w:bottom w:val="single" w:sz="4" w:space="0" w:color="auto"/>
              <w:right w:val="single" w:sz="4" w:space="0" w:color="auto"/>
            </w:tcBorders>
            <w:shd w:val="clear" w:color="auto" w:fill="auto"/>
            <w:noWrap/>
            <w:vAlign w:val="center"/>
            <w:hideMark/>
          </w:tcPr>
          <w:p w14:paraId="0FF9E3B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678C1297"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4C7D67FC"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w:t>
            </w:r>
          </w:p>
        </w:tc>
        <w:tc>
          <w:tcPr>
            <w:tcW w:w="2126" w:type="dxa"/>
            <w:tcBorders>
              <w:top w:val="nil"/>
              <w:left w:val="nil"/>
              <w:bottom w:val="single" w:sz="4" w:space="0" w:color="auto"/>
              <w:right w:val="single" w:sz="4" w:space="0" w:color="auto"/>
            </w:tcBorders>
            <w:shd w:val="clear" w:color="auto" w:fill="auto"/>
            <w:noWrap/>
            <w:vAlign w:val="center"/>
            <w:hideMark/>
          </w:tcPr>
          <w:p w14:paraId="020B1175"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Sudáfrica</w:t>
            </w:r>
          </w:p>
        </w:tc>
        <w:tc>
          <w:tcPr>
            <w:tcW w:w="2268" w:type="dxa"/>
            <w:tcBorders>
              <w:top w:val="nil"/>
              <w:left w:val="nil"/>
              <w:bottom w:val="single" w:sz="4" w:space="0" w:color="auto"/>
              <w:right w:val="single" w:sz="4" w:space="0" w:color="auto"/>
            </w:tcBorders>
            <w:shd w:val="clear" w:color="auto" w:fill="auto"/>
            <w:noWrap/>
            <w:vAlign w:val="center"/>
            <w:hideMark/>
          </w:tcPr>
          <w:p w14:paraId="7DA96B7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7B974789"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03B20659"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Airways Plc Limited</w:t>
            </w:r>
          </w:p>
        </w:tc>
        <w:tc>
          <w:tcPr>
            <w:tcW w:w="2126" w:type="dxa"/>
            <w:tcBorders>
              <w:top w:val="nil"/>
              <w:left w:val="nil"/>
              <w:bottom w:val="single" w:sz="4" w:space="0" w:color="auto"/>
              <w:right w:val="single" w:sz="4" w:space="0" w:color="auto"/>
            </w:tcBorders>
            <w:shd w:val="clear" w:color="auto" w:fill="auto"/>
            <w:noWrap/>
            <w:vAlign w:val="center"/>
            <w:hideMark/>
          </w:tcPr>
          <w:p w14:paraId="5FAA2F7D"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Bahamas</w:t>
            </w:r>
          </w:p>
        </w:tc>
        <w:tc>
          <w:tcPr>
            <w:tcW w:w="2268" w:type="dxa"/>
            <w:tcBorders>
              <w:top w:val="nil"/>
              <w:left w:val="nil"/>
              <w:bottom w:val="single" w:sz="4" w:space="0" w:color="auto"/>
              <w:right w:val="single" w:sz="4" w:space="0" w:color="auto"/>
            </w:tcBorders>
            <w:shd w:val="clear" w:color="auto" w:fill="auto"/>
            <w:noWrap/>
            <w:vAlign w:val="center"/>
            <w:hideMark/>
          </w:tcPr>
          <w:p w14:paraId="1EECC03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39FA413"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5A0442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British Midland Airways Limited</w:t>
            </w:r>
          </w:p>
        </w:tc>
        <w:tc>
          <w:tcPr>
            <w:tcW w:w="2126" w:type="dxa"/>
            <w:tcBorders>
              <w:top w:val="nil"/>
              <w:left w:val="nil"/>
              <w:bottom w:val="single" w:sz="4" w:space="0" w:color="auto"/>
              <w:right w:val="single" w:sz="4" w:space="0" w:color="auto"/>
            </w:tcBorders>
            <w:shd w:val="clear" w:color="auto" w:fill="auto"/>
            <w:noWrap/>
            <w:vAlign w:val="center"/>
            <w:hideMark/>
          </w:tcPr>
          <w:p w14:paraId="2062C5D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Barbados</w:t>
            </w:r>
          </w:p>
        </w:tc>
        <w:tc>
          <w:tcPr>
            <w:tcW w:w="2268" w:type="dxa"/>
            <w:tcBorders>
              <w:top w:val="nil"/>
              <w:left w:val="nil"/>
              <w:bottom w:val="single" w:sz="4" w:space="0" w:color="auto"/>
              <w:right w:val="single" w:sz="4" w:space="0" w:color="auto"/>
            </w:tcBorders>
            <w:shd w:val="clear" w:color="auto" w:fill="auto"/>
            <w:noWrap/>
            <w:vAlign w:val="center"/>
            <w:hideMark/>
          </w:tcPr>
          <w:p w14:paraId="084B80F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0C8D171F"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2E66620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Comair Limited</w:t>
            </w:r>
          </w:p>
        </w:tc>
        <w:tc>
          <w:tcPr>
            <w:tcW w:w="2126" w:type="dxa"/>
            <w:tcBorders>
              <w:top w:val="nil"/>
              <w:left w:val="nil"/>
              <w:bottom w:val="single" w:sz="4" w:space="0" w:color="auto"/>
              <w:right w:val="single" w:sz="4" w:space="0" w:color="auto"/>
            </w:tcBorders>
            <w:shd w:val="clear" w:color="auto" w:fill="auto"/>
            <w:noWrap/>
            <w:vAlign w:val="center"/>
            <w:hideMark/>
          </w:tcPr>
          <w:p w14:paraId="28CB099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Sudáfrica</w:t>
            </w:r>
          </w:p>
        </w:tc>
        <w:tc>
          <w:tcPr>
            <w:tcW w:w="2268" w:type="dxa"/>
            <w:tcBorders>
              <w:top w:val="nil"/>
              <w:left w:val="nil"/>
              <w:bottom w:val="single" w:sz="4" w:space="0" w:color="auto"/>
              <w:right w:val="single" w:sz="4" w:space="0" w:color="auto"/>
            </w:tcBorders>
            <w:shd w:val="clear" w:color="auto" w:fill="auto"/>
            <w:noWrap/>
            <w:vAlign w:val="center"/>
            <w:hideMark/>
          </w:tcPr>
          <w:p w14:paraId="103CEE4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3F727D00"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1BBCBC2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Diamond Insurance Company Limited</w:t>
            </w:r>
          </w:p>
        </w:tc>
        <w:tc>
          <w:tcPr>
            <w:tcW w:w="2126" w:type="dxa"/>
            <w:tcBorders>
              <w:top w:val="nil"/>
              <w:left w:val="nil"/>
              <w:bottom w:val="single" w:sz="4" w:space="0" w:color="auto"/>
              <w:right w:val="single" w:sz="4" w:space="0" w:color="auto"/>
            </w:tcBorders>
            <w:shd w:val="clear" w:color="auto" w:fill="auto"/>
            <w:noWrap/>
            <w:vAlign w:val="center"/>
            <w:hideMark/>
          </w:tcPr>
          <w:p w14:paraId="328A1CD9"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Isla de Man</w:t>
            </w:r>
          </w:p>
        </w:tc>
        <w:tc>
          <w:tcPr>
            <w:tcW w:w="2268" w:type="dxa"/>
            <w:tcBorders>
              <w:top w:val="nil"/>
              <w:left w:val="nil"/>
              <w:bottom w:val="single" w:sz="4" w:space="0" w:color="auto"/>
              <w:right w:val="single" w:sz="4" w:space="0" w:color="auto"/>
            </w:tcBorders>
            <w:shd w:val="clear" w:color="auto" w:fill="auto"/>
            <w:noWrap/>
            <w:vAlign w:val="center"/>
            <w:hideMark/>
          </w:tcPr>
          <w:p w14:paraId="77818905"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563DE65F"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2632505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Dirnan Insurance Company Limited</w:t>
            </w:r>
          </w:p>
        </w:tc>
        <w:tc>
          <w:tcPr>
            <w:tcW w:w="2126" w:type="dxa"/>
            <w:tcBorders>
              <w:top w:val="nil"/>
              <w:left w:val="nil"/>
              <w:bottom w:val="single" w:sz="4" w:space="0" w:color="auto"/>
              <w:right w:val="single" w:sz="4" w:space="0" w:color="auto"/>
            </w:tcBorders>
            <w:shd w:val="clear" w:color="auto" w:fill="auto"/>
            <w:noWrap/>
            <w:vAlign w:val="center"/>
            <w:hideMark/>
          </w:tcPr>
          <w:p w14:paraId="73406C7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Bermuda</w:t>
            </w:r>
          </w:p>
        </w:tc>
        <w:tc>
          <w:tcPr>
            <w:tcW w:w="2268" w:type="dxa"/>
            <w:tcBorders>
              <w:top w:val="nil"/>
              <w:left w:val="nil"/>
              <w:bottom w:val="single" w:sz="4" w:space="0" w:color="auto"/>
              <w:right w:val="single" w:sz="4" w:space="0" w:color="auto"/>
            </w:tcBorders>
            <w:shd w:val="clear" w:color="auto" w:fill="auto"/>
            <w:noWrap/>
            <w:vAlign w:val="center"/>
            <w:hideMark/>
          </w:tcPr>
          <w:p w14:paraId="098F3701"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Gestión reclamación de seguros</w:t>
            </w:r>
          </w:p>
        </w:tc>
      </w:tr>
      <w:tr w:rsidR="00256EC8" w:rsidRPr="005F2FB3" w14:paraId="26D66FB9"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1FBBAF8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IAG Cargo Limited</w:t>
            </w:r>
          </w:p>
        </w:tc>
        <w:tc>
          <w:tcPr>
            <w:tcW w:w="2126" w:type="dxa"/>
            <w:tcBorders>
              <w:top w:val="nil"/>
              <w:left w:val="nil"/>
              <w:bottom w:val="single" w:sz="4" w:space="0" w:color="auto"/>
              <w:right w:val="single" w:sz="4" w:space="0" w:color="auto"/>
            </w:tcBorders>
            <w:shd w:val="clear" w:color="auto" w:fill="auto"/>
            <w:noWrap/>
            <w:vAlign w:val="center"/>
            <w:hideMark/>
          </w:tcPr>
          <w:p w14:paraId="7E492F18"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Hong Kong</w:t>
            </w:r>
          </w:p>
        </w:tc>
        <w:tc>
          <w:tcPr>
            <w:tcW w:w="2268" w:type="dxa"/>
            <w:tcBorders>
              <w:top w:val="nil"/>
              <w:left w:val="nil"/>
              <w:bottom w:val="single" w:sz="4" w:space="0" w:color="auto"/>
              <w:right w:val="single" w:sz="4" w:space="0" w:color="auto"/>
            </w:tcBorders>
            <w:shd w:val="clear" w:color="auto" w:fill="auto"/>
            <w:noWrap/>
            <w:vAlign w:val="center"/>
            <w:hideMark/>
          </w:tcPr>
          <w:p w14:paraId="58A0AB3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306DC312"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0B88CBE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IAG Cargo Limited</w:t>
            </w:r>
          </w:p>
        </w:tc>
        <w:tc>
          <w:tcPr>
            <w:tcW w:w="2126" w:type="dxa"/>
            <w:tcBorders>
              <w:top w:val="nil"/>
              <w:left w:val="nil"/>
              <w:bottom w:val="single" w:sz="4" w:space="0" w:color="auto"/>
              <w:right w:val="single" w:sz="4" w:space="0" w:color="auto"/>
            </w:tcBorders>
            <w:shd w:val="clear" w:color="auto" w:fill="auto"/>
            <w:noWrap/>
            <w:vAlign w:val="center"/>
            <w:hideMark/>
          </w:tcPr>
          <w:p w14:paraId="1A02F92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Singapur</w:t>
            </w:r>
          </w:p>
        </w:tc>
        <w:tc>
          <w:tcPr>
            <w:tcW w:w="2268" w:type="dxa"/>
            <w:tcBorders>
              <w:top w:val="nil"/>
              <w:left w:val="nil"/>
              <w:bottom w:val="single" w:sz="4" w:space="0" w:color="auto"/>
              <w:right w:val="single" w:sz="4" w:space="0" w:color="auto"/>
            </w:tcBorders>
            <w:shd w:val="clear" w:color="auto" w:fill="auto"/>
            <w:noWrap/>
            <w:vAlign w:val="center"/>
            <w:hideMark/>
          </w:tcPr>
          <w:p w14:paraId="7F1DAC7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2C1C122C"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DE156C9"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IAG Cargo Limited</w:t>
            </w:r>
          </w:p>
        </w:tc>
        <w:tc>
          <w:tcPr>
            <w:tcW w:w="2126" w:type="dxa"/>
            <w:tcBorders>
              <w:top w:val="nil"/>
              <w:left w:val="nil"/>
              <w:bottom w:val="single" w:sz="4" w:space="0" w:color="auto"/>
              <w:right w:val="single" w:sz="4" w:space="0" w:color="auto"/>
            </w:tcBorders>
            <w:shd w:val="clear" w:color="auto" w:fill="auto"/>
            <w:noWrap/>
            <w:vAlign w:val="center"/>
            <w:hideMark/>
          </w:tcPr>
          <w:p w14:paraId="48CB67A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Suiza</w:t>
            </w:r>
          </w:p>
        </w:tc>
        <w:tc>
          <w:tcPr>
            <w:tcW w:w="2268" w:type="dxa"/>
            <w:tcBorders>
              <w:top w:val="nil"/>
              <w:left w:val="nil"/>
              <w:bottom w:val="single" w:sz="4" w:space="0" w:color="auto"/>
              <w:right w:val="single" w:sz="4" w:space="0" w:color="auto"/>
            </w:tcBorders>
            <w:shd w:val="clear" w:color="auto" w:fill="auto"/>
            <w:noWrap/>
            <w:vAlign w:val="center"/>
            <w:hideMark/>
          </w:tcPr>
          <w:p w14:paraId="3E53B38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431B4E18"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4BF1F5A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Illiad Inc</w:t>
            </w:r>
          </w:p>
        </w:tc>
        <w:tc>
          <w:tcPr>
            <w:tcW w:w="2126" w:type="dxa"/>
            <w:tcBorders>
              <w:top w:val="nil"/>
              <w:left w:val="nil"/>
              <w:bottom w:val="single" w:sz="4" w:space="0" w:color="auto"/>
              <w:right w:val="single" w:sz="4" w:space="0" w:color="auto"/>
            </w:tcBorders>
            <w:shd w:val="clear" w:color="auto" w:fill="auto"/>
            <w:noWrap/>
            <w:vAlign w:val="center"/>
            <w:hideMark/>
          </w:tcPr>
          <w:p w14:paraId="1C6AE9EE"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Delaware</w:t>
            </w:r>
          </w:p>
        </w:tc>
        <w:tc>
          <w:tcPr>
            <w:tcW w:w="2268" w:type="dxa"/>
            <w:tcBorders>
              <w:top w:val="nil"/>
              <w:left w:val="nil"/>
              <w:bottom w:val="single" w:sz="4" w:space="0" w:color="auto"/>
              <w:right w:val="single" w:sz="4" w:space="0" w:color="auto"/>
            </w:tcBorders>
            <w:shd w:val="clear" w:color="auto" w:fill="auto"/>
            <w:noWrap/>
            <w:vAlign w:val="center"/>
            <w:hideMark/>
          </w:tcPr>
          <w:p w14:paraId="4C9D2182"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6AFA8F18"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098FCEB5"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Propius Holding Limited</w:t>
            </w:r>
          </w:p>
        </w:tc>
        <w:tc>
          <w:tcPr>
            <w:tcW w:w="2126" w:type="dxa"/>
            <w:tcBorders>
              <w:top w:val="nil"/>
              <w:left w:val="nil"/>
              <w:bottom w:val="single" w:sz="4" w:space="0" w:color="auto"/>
              <w:right w:val="single" w:sz="4" w:space="0" w:color="auto"/>
            </w:tcBorders>
            <w:shd w:val="clear" w:color="auto" w:fill="auto"/>
            <w:noWrap/>
            <w:vAlign w:val="center"/>
            <w:hideMark/>
          </w:tcPr>
          <w:p w14:paraId="6CF99D04"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Islas Caimán</w:t>
            </w:r>
          </w:p>
        </w:tc>
        <w:tc>
          <w:tcPr>
            <w:tcW w:w="2268" w:type="dxa"/>
            <w:tcBorders>
              <w:top w:val="nil"/>
              <w:left w:val="nil"/>
              <w:bottom w:val="single" w:sz="4" w:space="0" w:color="auto"/>
              <w:right w:val="single" w:sz="4" w:space="0" w:color="auto"/>
            </w:tcBorders>
            <w:shd w:val="clear" w:color="auto" w:fill="auto"/>
            <w:noWrap/>
            <w:vAlign w:val="center"/>
            <w:hideMark/>
          </w:tcPr>
          <w:p w14:paraId="3F09833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1E52D0FC"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2950709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Santain Developments Limited</w:t>
            </w:r>
          </w:p>
        </w:tc>
        <w:tc>
          <w:tcPr>
            <w:tcW w:w="2126" w:type="dxa"/>
            <w:tcBorders>
              <w:top w:val="nil"/>
              <w:left w:val="nil"/>
              <w:bottom w:val="single" w:sz="4" w:space="0" w:color="auto"/>
              <w:right w:val="single" w:sz="4" w:space="0" w:color="auto"/>
            </w:tcBorders>
            <w:shd w:val="clear" w:color="auto" w:fill="auto"/>
            <w:noWrap/>
            <w:vAlign w:val="center"/>
            <w:hideMark/>
          </w:tcPr>
          <w:p w14:paraId="0DFB7DC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04146AD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actividad</w:t>
            </w:r>
          </w:p>
        </w:tc>
      </w:tr>
      <w:tr w:rsidR="00256EC8" w:rsidRPr="005F2FB3" w14:paraId="4B896F24"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6A280D17"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Shinagh Limited</w:t>
            </w:r>
          </w:p>
        </w:tc>
        <w:tc>
          <w:tcPr>
            <w:tcW w:w="2126" w:type="dxa"/>
            <w:tcBorders>
              <w:top w:val="nil"/>
              <w:left w:val="nil"/>
              <w:bottom w:val="single" w:sz="4" w:space="0" w:color="auto"/>
              <w:right w:val="single" w:sz="4" w:space="0" w:color="auto"/>
            </w:tcBorders>
            <w:shd w:val="clear" w:color="auto" w:fill="auto"/>
            <w:noWrap/>
            <w:vAlign w:val="center"/>
            <w:hideMark/>
          </w:tcPr>
          <w:p w14:paraId="1D8B1861"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7C32FFB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actividad</w:t>
            </w:r>
          </w:p>
        </w:tc>
      </w:tr>
      <w:tr w:rsidR="00256EC8" w:rsidRPr="005F2FB3" w14:paraId="25A5A1E0"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7279998F"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Speedbird Insurance Company Limited</w:t>
            </w:r>
          </w:p>
        </w:tc>
        <w:tc>
          <w:tcPr>
            <w:tcW w:w="2126" w:type="dxa"/>
            <w:tcBorders>
              <w:top w:val="nil"/>
              <w:left w:val="nil"/>
              <w:bottom w:val="single" w:sz="4" w:space="0" w:color="auto"/>
              <w:right w:val="single" w:sz="4" w:space="0" w:color="auto"/>
            </w:tcBorders>
            <w:shd w:val="clear" w:color="auto" w:fill="auto"/>
            <w:noWrap/>
            <w:vAlign w:val="center"/>
            <w:hideMark/>
          </w:tcPr>
          <w:p w14:paraId="3E04E8DA"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Bermuda</w:t>
            </w:r>
          </w:p>
        </w:tc>
        <w:tc>
          <w:tcPr>
            <w:tcW w:w="2268" w:type="dxa"/>
            <w:tcBorders>
              <w:top w:val="nil"/>
              <w:left w:val="nil"/>
              <w:bottom w:val="single" w:sz="4" w:space="0" w:color="auto"/>
              <w:right w:val="single" w:sz="4" w:space="0" w:color="auto"/>
            </w:tcBorders>
            <w:shd w:val="clear" w:color="auto" w:fill="auto"/>
            <w:noWrap/>
            <w:vAlign w:val="center"/>
            <w:hideMark/>
          </w:tcPr>
          <w:p w14:paraId="5D65CE3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seguros</w:t>
            </w:r>
          </w:p>
        </w:tc>
      </w:tr>
      <w:tr w:rsidR="00256EC8" w:rsidRPr="005F2FB3" w14:paraId="42AF90D7"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5E3FCC30"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The Plimsoll Line Limited</w:t>
            </w:r>
          </w:p>
        </w:tc>
        <w:tc>
          <w:tcPr>
            <w:tcW w:w="2126" w:type="dxa"/>
            <w:tcBorders>
              <w:top w:val="nil"/>
              <w:left w:val="nil"/>
              <w:bottom w:val="single" w:sz="4" w:space="0" w:color="auto"/>
              <w:right w:val="single" w:sz="4" w:space="0" w:color="auto"/>
            </w:tcBorders>
            <w:shd w:val="clear" w:color="auto" w:fill="auto"/>
            <w:noWrap/>
            <w:vAlign w:val="center"/>
            <w:hideMark/>
          </w:tcPr>
          <w:p w14:paraId="50894805"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Irlanda</w:t>
            </w:r>
          </w:p>
        </w:tc>
        <w:tc>
          <w:tcPr>
            <w:tcW w:w="2268" w:type="dxa"/>
            <w:tcBorders>
              <w:top w:val="nil"/>
              <w:left w:val="nil"/>
              <w:bottom w:val="single" w:sz="4" w:space="0" w:color="auto"/>
              <w:right w:val="single" w:sz="4" w:space="0" w:color="auto"/>
            </w:tcBorders>
            <w:shd w:val="clear" w:color="auto" w:fill="auto"/>
            <w:noWrap/>
            <w:vAlign w:val="center"/>
            <w:hideMark/>
          </w:tcPr>
          <w:p w14:paraId="3D9CC7F3"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0F7091AE"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64546098"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Vueling Airlines, S.A</w:t>
            </w:r>
          </w:p>
        </w:tc>
        <w:tc>
          <w:tcPr>
            <w:tcW w:w="2126" w:type="dxa"/>
            <w:tcBorders>
              <w:top w:val="nil"/>
              <w:left w:val="nil"/>
              <w:bottom w:val="single" w:sz="4" w:space="0" w:color="auto"/>
              <w:right w:val="single" w:sz="4" w:space="0" w:color="auto"/>
            </w:tcBorders>
            <w:shd w:val="clear" w:color="auto" w:fill="auto"/>
            <w:noWrap/>
            <w:vAlign w:val="center"/>
            <w:hideMark/>
          </w:tcPr>
          <w:p w14:paraId="140A94EB"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Holanda</w:t>
            </w:r>
          </w:p>
        </w:tc>
        <w:tc>
          <w:tcPr>
            <w:tcW w:w="2268" w:type="dxa"/>
            <w:tcBorders>
              <w:top w:val="nil"/>
              <w:left w:val="nil"/>
              <w:bottom w:val="single" w:sz="4" w:space="0" w:color="auto"/>
              <w:right w:val="single" w:sz="4" w:space="0" w:color="auto"/>
            </w:tcBorders>
            <w:shd w:val="clear" w:color="auto" w:fill="auto"/>
            <w:noWrap/>
            <w:vAlign w:val="center"/>
            <w:hideMark/>
          </w:tcPr>
          <w:p w14:paraId="74FFABD9"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sin información</w:t>
            </w:r>
          </w:p>
        </w:tc>
      </w:tr>
      <w:tr w:rsidR="00256EC8" w:rsidRPr="005F2FB3" w14:paraId="199A1BCB" w14:textId="77777777" w:rsidTr="00256EC8">
        <w:trPr>
          <w:trHeight w:val="280"/>
        </w:trPr>
        <w:tc>
          <w:tcPr>
            <w:tcW w:w="4268" w:type="dxa"/>
            <w:tcBorders>
              <w:top w:val="nil"/>
              <w:left w:val="single" w:sz="4" w:space="0" w:color="auto"/>
              <w:bottom w:val="single" w:sz="4" w:space="0" w:color="auto"/>
              <w:right w:val="single" w:sz="4" w:space="0" w:color="auto"/>
            </w:tcBorders>
            <w:shd w:val="clear" w:color="auto" w:fill="auto"/>
            <w:noWrap/>
            <w:vAlign w:val="center"/>
            <w:hideMark/>
          </w:tcPr>
          <w:p w14:paraId="6C917EC6"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Aer Lingus Group Plc</w:t>
            </w:r>
          </w:p>
        </w:tc>
        <w:tc>
          <w:tcPr>
            <w:tcW w:w="2126" w:type="dxa"/>
            <w:tcBorders>
              <w:top w:val="nil"/>
              <w:left w:val="nil"/>
              <w:bottom w:val="single" w:sz="4" w:space="0" w:color="auto"/>
              <w:right w:val="single" w:sz="4" w:space="0" w:color="auto"/>
            </w:tcBorders>
            <w:shd w:val="clear" w:color="auto" w:fill="auto"/>
            <w:noWrap/>
            <w:vAlign w:val="center"/>
            <w:hideMark/>
          </w:tcPr>
          <w:p w14:paraId="24B96579"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República de Irlanda</w:t>
            </w:r>
          </w:p>
        </w:tc>
        <w:tc>
          <w:tcPr>
            <w:tcW w:w="2268" w:type="dxa"/>
            <w:tcBorders>
              <w:top w:val="nil"/>
              <w:left w:val="nil"/>
              <w:bottom w:val="single" w:sz="4" w:space="0" w:color="auto"/>
              <w:right w:val="single" w:sz="4" w:space="0" w:color="auto"/>
            </w:tcBorders>
            <w:shd w:val="clear" w:color="auto" w:fill="auto"/>
            <w:noWrap/>
            <w:vAlign w:val="center"/>
            <w:hideMark/>
          </w:tcPr>
          <w:p w14:paraId="77768A07" w14:textId="77777777" w:rsidR="00256EC8" w:rsidRPr="005F2FB3" w:rsidRDefault="00256EC8" w:rsidP="00256EC8">
            <w:pPr>
              <w:rPr>
                <w:rFonts w:ascii="Open Sans" w:hAnsi="Open Sans"/>
                <w:color w:val="000000"/>
                <w:sz w:val="20"/>
                <w:szCs w:val="20"/>
              </w:rPr>
            </w:pPr>
            <w:r w:rsidRPr="005F2FB3">
              <w:rPr>
                <w:rFonts w:ascii="Open Sans" w:hAnsi="Open Sans"/>
                <w:color w:val="000000"/>
                <w:sz w:val="20"/>
                <w:szCs w:val="20"/>
              </w:rPr>
              <w:t>Operaciones de aerolíneas</w:t>
            </w:r>
          </w:p>
        </w:tc>
      </w:tr>
    </w:tbl>
    <w:p w14:paraId="4828E7ED" w14:textId="77777777" w:rsidR="00256EC8" w:rsidRDefault="00256EC8" w:rsidP="00256EC8">
      <w:pPr>
        <w:rPr>
          <w:rFonts w:ascii="Open Sans" w:hAnsi="Open Sans" w:cs="Arial"/>
          <w:bCs/>
          <w:sz w:val="22"/>
          <w:szCs w:val="22"/>
        </w:rPr>
      </w:pPr>
    </w:p>
    <w:p w14:paraId="64565D3E" w14:textId="77777777" w:rsidR="00256EC8" w:rsidRDefault="00256EC8" w:rsidP="00256EC8">
      <w:pPr>
        <w:rPr>
          <w:rFonts w:ascii="Open Sans" w:hAnsi="Open Sans" w:cs="Arial"/>
          <w:bCs/>
          <w:sz w:val="22"/>
          <w:szCs w:val="22"/>
        </w:rPr>
      </w:pPr>
    </w:p>
    <w:p w14:paraId="6043EDCF" w14:textId="77777777" w:rsidR="00256EC8" w:rsidRDefault="00256EC8" w:rsidP="00256EC8">
      <w:pPr>
        <w:jc w:val="both"/>
        <w:rPr>
          <w:rFonts w:ascii="Open Sans" w:hAnsi="Open Sans" w:cs="Arial"/>
          <w:bCs/>
          <w:sz w:val="20"/>
          <w:szCs w:val="20"/>
        </w:rPr>
      </w:pPr>
      <w:r>
        <w:rPr>
          <w:rFonts w:ascii="Open Sans" w:hAnsi="Open Sans" w:cs="Arial"/>
          <w:bCs/>
          <w:sz w:val="20"/>
          <w:szCs w:val="20"/>
        </w:rPr>
        <w:t>El número de filiales en estos territorios se ha ampliado en relación al ejercicio anterior. Una de las principales razones es la adquisición de la aerolínea Aer Lingus con 7 filiales domiciliadas en Irlanda. Sin embargo pese a que Irlanda es su sede operativa, no se informa de las actividades que realizan dichas filiales. Además de Irlanda,  Aer Lingus tiene filiales domiciliadas en Isla de Man (</w:t>
      </w:r>
      <w:r w:rsidRPr="005F2FB3">
        <w:rPr>
          <w:rFonts w:ascii="Open Sans" w:hAnsi="Open Sans"/>
          <w:color w:val="000000"/>
          <w:sz w:val="20"/>
          <w:szCs w:val="20"/>
        </w:rPr>
        <w:t>Aer Lingus Beachey Limited</w:t>
      </w:r>
      <w:r>
        <w:rPr>
          <w:rFonts w:ascii="Open Sans" w:hAnsi="Open Sans" w:cs="Arial"/>
          <w:bCs/>
          <w:sz w:val="20"/>
          <w:szCs w:val="20"/>
        </w:rPr>
        <w:t>) y en Bermuda (</w:t>
      </w:r>
      <w:r w:rsidRPr="005F2FB3">
        <w:rPr>
          <w:rFonts w:ascii="Open Sans" w:hAnsi="Open Sans"/>
          <w:color w:val="000000"/>
          <w:sz w:val="20"/>
          <w:szCs w:val="20"/>
        </w:rPr>
        <w:t>Dirnan Insurance Company Limited</w:t>
      </w:r>
      <w:r>
        <w:rPr>
          <w:rFonts w:ascii="Open Sans" w:hAnsi="Open Sans" w:cs="Arial"/>
          <w:bCs/>
          <w:sz w:val="20"/>
          <w:szCs w:val="20"/>
        </w:rPr>
        <w:t xml:space="preserve">). </w:t>
      </w:r>
    </w:p>
    <w:p w14:paraId="290719AF" w14:textId="77777777" w:rsidR="00256EC8" w:rsidRDefault="00256EC8" w:rsidP="00256EC8">
      <w:pPr>
        <w:jc w:val="both"/>
        <w:rPr>
          <w:rFonts w:ascii="Open Sans" w:hAnsi="Open Sans" w:cs="Arial"/>
          <w:bCs/>
          <w:sz w:val="20"/>
          <w:szCs w:val="20"/>
        </w:rPr>
      </w:pPr>
    </w:p>
    <w:p w14:paraId="10710F3E" w14:textId="77777777" w:rsidR="00256EC8" w:rsidRDefault="00256EC8" w:rsidP="00256EC8">
      <w:pPr>
        <w:jc w:val="both"/>
        <w:rPr>
          <w:rFonts w:ascii="Open Sans" w:hAnsi="Open Sans" w:cs="Arial"/>
          <w:bCs/>
          <w:sz w:val="20"/>
          <w:szCs w:val="20"/>
        </w:rPr>
      </w:pPr>
      <w:r>
        <w:rPr>
          <w:rFonts w:ascii="Open Sans" w:hAnsi="Open Sans" w:cs="Arial"/>
          <w:bCs/>
          <w:sz w:val="20"/>
          <w:szCs w:val="20"/>
        </w:rPr>
        <w:t>Con la incorporación de Aer Lingus IAG entra de lleno en un país considerado nicho fiscal con una baja tributación en el impuesto de sociedades (12,5%) y que según su consejero delegado se trata de un país estratégico para el grupo con grandes perspectivas de crecimiento por la atracción de inversiones de multinacionales estadounidenses, especialmente en los sectores farmacéutico, IT y digital.</w:t>
      </w:r>
      <w:r>
        <w:rPr>
          <w:rStyle w:val="Refdenotaalpie"/>
          <w:rFonts w:ascii="Open Sans" w:hAnsi="Open Sans" w:cs="Arial"/>
          <w:bCs/>
          <w:sz w:val="20"/>
          <w:szCs w:val="20"/>
        </w:rPr>
        <w:footnoteReference w:id="634"/>
      </w:r>
      <w:r>
        <w:rPr>
          <w:rFonts w:ascii="Open Sans" w:hAnsi="Open Sans" w:cs="Arial"/>
          <w:bCs/>
          <w:sz w:val="20"/>
          <w:szCs w:val="20"/>
        </w:rPr>
        <w:t xml:space="preserve"> </w:t>
      </w:r>
    </w:p>
    <w:p w14:paraId="5C6267A2" w14:textId="77777777" w:rsidR="00256EC8" w:rsidRDefault="00256EC8" w:rsidP="00256EC8">
      <w:pPr>
        <w:jc w:val="both"/>
        <w:rPr>
          <w:rFonts w:ascii="Open Sans" w:hAnsi="Open Sans" w:cs="Arial"/>
          <w:bCs/>
          <w:sz w:val="20"/>
          <w:szCs w:val="20"/>
        </w:rPr>
      </w:pPr>
    </w:p>
    <w:p w14:paraId="462E8ED6" w14:textId="77777777" w:rsidR="00256EC8" w:rsidRDefault="00256EC8" w:rsidP="00256EC8">
      <w:pPr>
        <w:jc w:val="both"/>
        <w:rPr>
          <w:rFonts w:ascii="Open Sans" w:hAnsi="Open Sans" w:cs="Arial"/>
          <w:bCs/>
          <w:sz w:val="20"/>
          <w:szCs w:val="20"/>
        </w:rPr>
      </w:pPr>
      <w:r>
        <w:rPr>
          <w:rFonts w:ascii="Open Sans" w:hAnsi="Open Sans" w:cs="Arial"/>
          <w:bCs/>
          <w:sz w:val="20"/>
          <w:szCs w:val="20"/>
        </w:rPr>
        <w:t>También se ha detectado el caso de filiales que en cuentas anuales indica que están domiciliadas en Inglaterra y España, sin embargo, a través de búsquedas externas</w:t>
      </w:r>
      <w:r>
        <w:rPr>
          <w:rStyle w:val="Refdenotaalpie"/>
          <w:rFonts w:ascii="Open Sans" w:hAnsi="Open Sans" w:cs="Arial"/>
          <w:bCs/>
          <w:sz w:val="20"/>
          <w:szCs w:val="20"/>
        </w:rPr>
        <w:footnoteReference w:id="635"/>
      </w:r>
      <w:r>
        <w:rPr>
          <w:rFonts w:ascii="Open Sans" w:hAnsi="Open Sans" w:cs="Arial"/>
          <w:bCs/>
          <w:sz w:val="20"/>
          <w:szCs w:val="20"/>
        </w:rPr>
        <w:t xml:space="preserve"> se han localizado también domiciliadas en paraísos y nichos fiscales. Tal es el caso de </w:t>
      </w:r>
      <w:r w:rsidRPr="0085703C">
        <w:rPr>
          <w:rFonts w:ascii="Open Sans" w:hAnsi="Open Sans" w:cs="Arial"/>
          <w:bCs/>
          <w:sz w:val="20"/>
          <w:szCs w:val="20"/>
        </w:rPr>
        <w:t>British Airways Plc</w:t>
      </w:r>
      <w:r>
        <w:rPr>
          <w:rFonts w:ascii="Open Sans" w:hAnsi="Open Sans" w:cs="Arial"/>
          <w:bCs/>
          <w:sz w:val="20"/>
          <w:szCs w:val="20"/>
        </w:rPr>
        <w:t xml:space="preserve">, que además de estar en Inglaterra, también se encuentra en Bahamas, Barbados, Bermuda, Gibraltar, Holanda, Hong Kong, Luxemburgo, Singapur y Sudáfrica. También Vueling Airlines SA, en cuentas anuales indica que está en España pero se ha encontrado una filial en Holanda. En el caso de IAG Cargo Limited, las cuentas anuales indica que se encuentra en Inglaterra, pero se ha localizados dos filiales, una en Singapur y otra en Suiza. </w:t>
      </w:r>
    </w:p>
    <w:p w14:paraId="032A918C" w14:textId="77777777" w:rsidR="00256EC8" w:rsidRDefault="00256EC8" w:rsidP="00256EC8">
      <w:pPr>
        <w:jc w:val="both"/>
        <w:rPr>
          <w:rFonts w:ascii="Open Sans" w:hAnsi="Open Sans" w:cs="Arial"/>
          <w:bCs/>
          <w:sz w:val="20"/>
          <w:szCs w:val="20"/>
        </w:rPr>
      </w:pPr>
    </w:p>
    <w:p w14:paraId="131E4742" w14:textId="77777777" w:rsidR="00256EC8" w:rsidRPr="007945CC" w:rsidRDefault="00256EC8" w:rsidP="00256EC8">
      <w:pPr>
        <w:jc w:val="both"/>
        <w:rPr>
          <w:rFonts w:ascii="Open Sans" w:hAnsi="Open Sans" w:cs="Arial"/>
          <w:bCs/>
          <w:sz w:val="20"/>
          <w:szCs w:val="20"/>
        </w:rPr>
      </w:pPr>
      <w:r w:rsidRPr="007945CC">
        <w:rPr>
          <w:rFonts w:ascii="Open Sans" w:hAnsi="Open Sans" w:cs="Arial"/>
          <w:bCs/>
          <w:sz w:val="20"/>
          <w:szCs w:val="20"/>
        </w:rPr>
        <w:t xml:space="preserve">De la información facilitada por </w:t>
      </w:r>
      <w:r>
        <w:rPr>
          <w:rFonts w:ascii="Open Sans" w:hAnsi="Open Sans" w:cs="Arial"/>
          <w:bCs/>
          <w:sz w:val="20"/>
          <w:szCs w:val="20"/>
        </w:rPr>
        <w:t>IAG</w:t>
      </w:r>
      <w:r w:rsidRPr="007945CC">
        <w:rPr>
          <w:rFonts w:ascii="Open Sans" w:hAnsi="Open Sans" w:cs="Arial"/>
          <w:bCs/>
          <w:sz w:val="20"/>
          <w:szCs w:val="20"/>
        </w:rPr>
        <w:t xml:space="preserve"> no es posible conocer el total de la titularidad de las sociedades dependientes localizadas en nichos y paraísos fiscales, tampoco se tiene acceso al número de emple</w:t>
      </w:r>
      <w:r>
        <w:rPr>
          <w:rFonts w:ascii="Open Sans" w:hAnsi="Open Sans" w:cs="Arial"/>
          <w:bCs/>
          <w:sz w:val="20"/>
          <w:szCs w:val="20"/>
        </w:rPr>
        <w:t xml:space="preserve">ados vinculados con las mismas ni </w:t>
      </w:r>
      <w:r w:rsidRPr="007945CC">
        <w:rPr>
          <w:rFonts w:ascii="Open Sans" w:hAnsi="Open Sans" w:cs="Arial"/>
          <w:bCs/>
          <w:sz w:val="20"/>
          <w:szCs w:val="20"/>
        </w:rPr>
        <w:t xml:space="preserve">datos de facturación, beneficios e impuestos pagados. </w:t>
      </w:r>
    </w:p>
    <w:p w14:paraId="0BA06694" w14:textId="77777777" w:rsidR="00256EC8" w:rsidRDefault="00256EC8" w:rsidP="00256EC8">
      <w:pPr>
        <w:jc w:val="both"/>
        <w:rPr>
          <w:rFonts w:ascii="Open Sans" w:hAnsi="Open Sans" w:cs="Arial"/>
          <w:bCs/>
          <w:sz w:val="20"/>
          <w:szCs w:val="20"/>
        </w:rPr>
      </w:pPr>
    </w:p>
    <w:p w14:paraId="238BFDB4"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Por otro el mayor accionista de IAG, </w:t>
      </w:r>
      <w:r w:rsidRPr="00514244">
        <w:rPr>
          <w:rFonts w:ascii="Open Sans" w:hAnsi="Open Sans" w:cs="Arial"/>
          <w:bCs/>
          <w:sz w:val="20"/>
          <w:szCs w:val="20"/>
        </w:rPr>
        <w:t>Qatar Airways (Q.C.S.C.)</w:t>
      </w:r>
      <w:r>
        <w:rPr>
          <w:rFonts w:ascii="Open Sans" w:hAnsi="Open Sans" w:cs="Arial"/>
          <w:bCs/>
          <w:sz w:val="20"/>
          <w:szCs w:val="20"/>
        </w:rPr>
        <w:t xml:space="preserve"> con una participación indirecta del </w:t>
      </w:r>
      <w:r w:rsidRPr="00514244">
        <w:rPr>
          <w:rFonts w:ascii="Open Sans" w:hAnsi="Open Sans" w:cs="Arial"/>
          <w:bCs/>
          <w:sz w:val="20"/>
          <w:szCs w:val="20"/>
        </w:rPr>
        <w:t>9,993</w:t>
      </w:r>
      <w:r>
        <w:rPr>
          <w:rFonts w:ascii="Open Sans" w:hAnsi="Open Sans" w:cs="Arial"/>
          <w:bCs/>
          <w:sz w:val="20"/>
          <w:szCs w:val="20"/>
        </w:rPr>
        <w:t xml:space="preserve"> </w:t>
      </w:r>
      <w:r w:rsidRPr="00514244">
        <w:rPr>
          <w:rFonts w:ascii="Open Sans" w:hAnsi="Open Sans" w:cs="Arial"/>
          <w:bCs/>
          <w:sz w:val="20"/>
          <w:szCs w:val="20"/>
        </w:rPr>
        <w:t xml:space="preserve">% </w:t>
      </w:r>
      <w:r>
        <w:rPr>
          <w:rFonts w:ascii="Open Sans" w:hAnsi="Open Sans" w:cs="Arial"/>
          <w:bCs/>
          <w:sz w:val="20"/>
          <w:szCs w:val="20"/>
        </w:rPr>
        <w:t xml:space="preserve">a través de </w:t>
      </w:r>
      <w:r w:rsidRPr="00514244">
        <w:rPr>
          <w:rFonts w:ascii="Open Sans" w:hAnsi="Open Sans" w:cs="Arial"/>
          <w:bCs/>
          <w:sz w:val="20"/>
          <w:szCs w:val="20"/>
        </w:rPr>
        <w:t xml:space="preserve"> Qatar Airways Luxembourg S.à.r.l.</w:t>
      </w:r>
      <w:r>
        <w:rPr>
          <w:rFonts w:ascii="Open Sans" w:hAnsi="Open Sans" w:cs="Arial"/>
          <w:bCs/>
          <w:sz w:val="20"/>
          <w:szCs w:val="20"/>
        </w:rPr>
        <w:t xml:space="preserve"> tiene sede en Luxemburgo. Otros accionistas significativos son gestoras de fondos que cuentan con filiales en paraísos y nichos fiscales. Así </w:t>
      </w:r>
      <w:r w:rsidRPr="006046DF">
        <w:rPr>
          <w:rFonts w:ascii="Open Sans" w:hAnsi="Open Sans" w:cs="Arial"/>
          <w:bCs/>
          <w:sz w:val="20"/>
          <w:szCs w:val="20"/>
        </w:rPr>
        <w:t>Standard Life Investment (Holdings) Limited</w:t>
      </w:r>
      <w:r>
        <w:rPr>
          <w:rFonts w:ascii="Open Sans" w:hAnsi="Open Sans" w:cs="Arial"/>
          <w:bCs/>
          <w:sz w:val="20"/>
          <w:szCs w:val="20"/>
        </w:rPr>
        <w:t xml:space="preserve"> con un </w:t>
      </w:r>
      <w:r w:rsidRPr="006046DF">
        <w:rPr>
          <w:rFonts w:ascii="Open Sans" w:hAnsi="Open Sans" w:cs="Arial"/>
          <w:bCs/>
          <w:sz w:val="20"/>
          <w:szCs w:val="20"/>
        </w:rPr>
        <w:t>6,008%</w:t>
      </w:r>
      <w:r>
        <w:rPr>
          <w:rFonts w:ascii="Open Sans" w:hAnsi="Open Sans" w:cs="Arial"/>
          <w:bCs/>
          <w:sz w:val="20"/>
          <w:szCs w:val="20"/>
        </w:rPr>
        <w:t xml:space="preserve"> aparece en Jersey, Hong Kong, Irlanda, Suiza y Singapur. </w:t>
      </w:r>
      <w:r w:rsidRPr="006046DF">
        <w:rPr>
          <w:rFonts w:ascii="Open Sans" w:hAnsi="Open Sans" w:cs="Arial"/>
          <w:bCs/>
          <w:sz w:val="20"/>
          <w:szCs w:val="20"/>
        </w:rPr>
        <w:t>Europacific Growth Fund</w:t>
      </w:r>
      <w:r>
        <w:rPr>
          <w:rFonts w:ascii="Open Sans" w:hAnsi="Open Sans" w:cs="Arial"/>
          <w:bCs/>
          <w:sz w:val="20"/>
          <w:szCs w:val="20"/>
        </w:rPr>
        <w:t xml:space="preserve"> con un  </w:t>
      </w:r>
      <w:r w:rsidRPr="006046DF">
        <w:rPr>
          <w:rFonts w:ascii="Open Sans" w:hAnsi="Open Sans" w:cs="Arial"/>
          <w:bCs/>
          <w:sz w:val="20"/>
          <w:szCs w:val="20"/>
        </w:rPr>
        <w:t>5,26</w:t>
      </w:r>
      <w:r>
        <w:rPr>
          <w:rFonts w:ascii="Open Sans" w:hAnsi="Open Sans" w:cs="Arial"/>
          <w:bCs/>
          <w:sz w:val="20"/>
          <w:szCs w:val="20"/>
        </w:rPr>
        <w:tab/>
      </w:r>
      <w:r w:rsidRPr="006046DF">
        <w:rPr>
          <w:rFonts w:ascii="Open Sans" w:hAnsi="Open Sans" w:cs="Arial"/>
          <w:bCs/>
          <w:sz w:val="20"/>
          <w:szCs w:val="20"/>
        </w:rPr>
        <w:t>1%</w:t>
      </w:r>
      <w:r>
        <w:rPr>
          <w:rFonts w:ascii="Open Sans" w:hAnsi="Open Sans" w:cs="Arial"/>
          <w:bCs/>
          <w:sz w:val="20"/>
          <w:szCs w:val="20"/>
        </w:rPr>
        <w:t xml:space="preserve">, </w:t>
      </w:r>
      <w:r w:rsidRPr="006046DF">
        <w:rPr>
          <w:rFonts w:ascii="Open Sans" w:hAnsi="Open Sans" w:cs="Arial"/>
          <w:bCs/>
          <w:sz w:val="20"/>
          <w:szCs w:val="20"/>
        </w:rPr>
        <w:t>Capital Research and Management Company</w:t>
      </w:r>
      <w:r>
        <w:rPr>
          <w:rFonts w:ascii="Open Sans" w:hAnsi="Open Sans" w:cs="Arial"/>
          <w:bCs/>
          <w:sz w:val="20"/>
          <w:szCs w:val="20"/>
        </w:rPr>
        <w:t xml:space="preserve">  con un </w:t>
      </w:r>
      <w:r w:rsidRPr="006046DF">
        <w:rPr>
          <w:rFonts w:ascii="Open Sans" w:hAnsi="Open Sans" w:cs="Arial"/>
          <w:bCs/>
          <w:sz w:val="20"/>
          <w:szCs w:val="20"/>
        </w:rPr>
        <w:t>5,049%</w:t>
      </w:r>
      <w:r>
        <w:rPr>
          <w:rFonts w:ascii="Open Sans" w:hAnsi="Open Sans" w:cs="Arial"/>
          <w:bCs/>
          <w:sz w:val="20"/>
          <w:szCs w:val="20"/>
        </w:rPr>
        <w:t xml:space="preserve">, </w:t>
      </w:r>
      <w:r w:rsidRPr="006046DF">
        <w:rPr>
          <w:rFonts w:ascii="Open Sans" w:hAnsi="Open Sans" w:cs="Arial"/>
          <w:bCs/>
          <w:sz w:val="20"/>
          <w:szCs w:val="20"/>
        </w:rPr>
        <w:t>BlackRock Inc.</w:t>
      </w:r>
      <w:r>
        <w:rPr>
          <w:rFonts w:ascii="Open Sans" w:hAnsi="Open Sans" w:cs="Arial"/>
          <w:bCs/>
          <w:sz w:val="20"/>
          <w:szCs w:val="20"/>
        </w:rPr>
        <w:t xml:space="preserve"> </w:t>
      </w:r>
      <w:r w:rsidRPr="00786319">
        <w:rPr>
          <w:rFonts w:ascii="Open Sans" w:hAnsi="Open Sans" w:cs="Arial"/>
          <w:bCs/>
          <w:sz w:val="20"/>
          <w:szCs w:val="20"/>
        </w:rPr>
        <w:t>3,024%</w:t>
      </w:r>
      <w:r>
        <w:rPr>
          <w:rFonts w:ascii="Open Sans" w:hAnsi="Open Sans" w:cs="Arial"/>
          <w:bCs/>
          <w:sz w:val="20"/>
          <w:szCs w:val="20"/>
        </w:rPr>
        <w:t xml:space="preserve">, </w:t>
      </w:r>
      <w:r w:rsidRPr="006046DF">
        <w:rPr>
          <w:rFonts w:ascii="Open Sans" w:hAnsi="Open Sans" w:cs="Arial"/>
          <w:bCs/>
          <w:sz w:val="20"/>
          <w:szCs w:val="20"/>
        </w:rPr>
        <w:t>Legal &amp; General Investment Management Limited</w:t>
      </w:r>
      <w:r>
        <w:rPr>
          <w:rFonts w:ascii="Open Sans" w:hAnsi="Open Sans" w:cs="Arial"/>
          <w:bCs/>
          <w:sz w:val="20"/>
          <w:szCs w:val="20"/>
        </w:rPr>
        <w:t xml:space="preserve"> con un </w:t>
      </w:r>
      <w:r w:rsidRPr="006046DF">
        <w:rPr>
          <w:rFonts w:ascii="Open Sans" w:hAnsi="Open Sans" w:cs="Arial"/>
          <w:bCs/>
          <w:sz w:val="20"/>
          <w:szCs w:val="20"/>
        </w:rPr>
        <w:t>3,236%</w:t>
      </w:r>
      <w:r>
        <w:rPr>
          <w:rFonts w:ascii="Open Sans" w:hAnsi="Open Sans" w:cs="Arial"/>
          <w:bCs/>
          <w:sz w:val="20"/>
          <w:szCs w:val="20"/>
        </w:rPr>
        <w:t xml:space="preserve"> e </w:t>
      </w:r>
      <w:r w:rsidRPr="006046DF">
        <w:rPr>
          <w:rFonts w:ascii="Open Sans" w:hAnsi="Open Sans" w:cs="Arial"/>
          <w:bCs/>
          <w:sz w:val="20"/>
          <w:szCs w:val="20"/>
        </w:rPr>
        <w:t>Invesco Limited</w:t>
      </w:r>
      <w:r>
        <w:rPr>
          <w:rFonts w:ascii="Open Sans" w:hAnsi="Open Sans" w:cs="Arial"/>
          <w:bCs/>
          <w:sz w:val="20"/>
          <w:szCs w:val="20"/>
        </w:rPr>
        <w:t xml:space="preserve"> con un </w:t>
      </w:r>
      <w:r w:rsidRPr="006046DF">
        <w:rPr>
          <w:rFonts w:ascii="Open Sans" w:hAnsi="Open Sans" w:cs="Arial"/>
          <w:bCs/>
          <w:sz w:val="20"/>
          <w:szCs w:val="20"/>
        </w:rPr>
        <w:t>1,082%</w:t>
      </w:r>
      <w:r>
        <w:rPr>
          <w:rFonts w:ascii="Open Sans" w:hAnsi="Open Sans" w:cs="Arial"/>
          <w:bCs/>
          <w:sz w:val="20"/>
          <w:szCs w:val="20"/>
        </w:rPr>
        <w:t xml:space="preserve"> todas ellas tienen filiales domiciliadas en Delaware (EEUU). Más del 25% de las acciones de IAG están en manos de fondos de inversión y de pensiones.</w:t>
      </w:r>
    </w:p>
    <w:p w14:paraId="4C90B63C" w14:textId="77777777" w:rsidR="00256EC8" w:rsidRDefault="00256EC8" w:rsidP="00256EC8">
      <w:pPr>
        <w:rPr>
          <w:rFonts w:ascii="Open Sans" w:hAnsi="Open Sans" w:cs="Arial"/>
          <w:bCs/>
          <w:sz w:val="20"/>
          <w:szCs w:val="20"/>
        </w:rPr>
      </w:pPr>
    </w:p>
    <w:p w14:paraId="66ABFF73"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IAG informa que en el año 2014 se estableció una política fiscal del grupo y que tras su revisión por la comisión de auditoría y cumplimiento se han incorporado los riesgos fiscales a la nueva política de gestión de riesgos empresariales. Tanto la política impositiva de 2014 como la nueva política de gestión de riesgos, aprobaba el 28 de  enero de 2016, no son documentos públicos. </w:t>
      </w:r>
    </w:p>
    <w:p w14:paraId="6F73CEF1" w14:textId="77777777" w:rsidR="00256EC8" w:rsidRDefault="00256EC8" w:rsidP="00256EC8">
      <w:pPr>
        <w:jc w:val="both"/>
        <w:rPr>
          <w:rFonts w:ascii="Open Sans" w:hAnsi="Open Sans" w:cs="Arial"/>
          <w:bCs/>
          <w:sz w:val="20"/>
          <w:szCs w:val="20"/>
        </w:rPr>
      </w:pPr>
    </w:p>
    <w:p w14:paraId="48D6F088" w14:textId="77777777" w:rsidR="00256EC8" w:rsidRDefault="00256EC8" w:rsidP="00256EC8">
      <w:pPr>
        <w:jc w:val="both"/>
        <w:rPr>
          <w:rFonts w:ascii="Open Sans" w:hAnsi="Open Sans" w:cs="Arial"/>
          <w:bCs/>
          <w:sz w:val="20"/>
          <w:szCs w:val="20"/>
        </w:rPr>
      </w:pPr>
      <w:r>
        <w:rPr>
          <w:rFonts w:ascii="Open Sans" w:hAnsi="Open Sans" w:cs="Arial"/>
          <w:bCs/>
          <w:sz w:val="20"/>
          <w:szCs w:val="20"/>
        </w:rPr>
        <w:t>En el Informe y cuentas anuales de 2015, IAG informa con detalle de los principales riesgos del grupo</w:t>
      </w:r>
      <w:r>
        <w:rPr>
          <w:rStyle w:val="Refdenotaalpie"/>
          <w:rFonts w:ascii="Open Sans" w:hAnsi="Open Sans" w:cs="Arial"/>
          <w:bCs/>
          <w:sz w:val="20"/>
          <w:szCs w:val="20"/>
        </w:rPr>
        <w:footnoteReference w:id="636"/>
      </w:r>
      <w:r>
        <w:rPr>
          <w:rFonts w:ascii="Open Sans" w:hAnsi="Open Sans" w:cs="Arial"/>
          <w:bCs/>
          <w:sz w:val="20"/>
          <w:szCs w:val="20"/>
        </w:rPr>
        <w:t xml:space="preserve">. Identifica dentro de los riesgos financieros los de carácter fiscal y más en concreto menciona riesgos fiscales sistémicos como consecuencia de cambios en las legislaciones fiscales o cuando las autoridades fiscales cuestionan la interpretación de dicha </w:t>
      </w:r>
      <w:proofErr w:type="gramStart"/>
      <w:r>
        <w:rPr>
          <w:rFonts w:ascii="Open Sans" w:hAnsi="Open Sans" w:cs="Arial"/>
          <w:bCs/>
          <w:sz w:val="20"/>
          <w:szCs w:val="20"/>
        </w:rPr>
        <w:t>legislación .</w:t>
      </w:r>
      <w:proofErr w:type="gramEnd"/>
      <w:r>
        <w:rPr>
          <w:rFonts w:ascii="Open Sans" w:hAnsi="Open Sans" w:cs="Arial"/>
          <w:bCs/>
          <w:sz w:val="20"/>
          <w:szCs w:val="20"/>
        </w:rPr>
        <w:t xml:space="preserve"> También menciona como riego fiscal el riesgo reputacional derivado de cuando los medios de comunicación cuestionan los asuntos tributarios del grupo. </w:t>
      </w:r>
    </w:p>
    <w:p w14:paraId="78D66A58" w14:textId="77777777" w:rsidR="00256EC8" w:rsidRDefault="00256EC8" w:rsidP="00256EC8">
      <w:pPr>
        <w:jc w:val="both"/>
        <w:rPr>
          <w:rFonts w:ascii="Open Sans" w:hAnsi="Open Sans" w:cs="Arial"/>
          <w:bCs/>
          <w:sz w:val="20"/>
          <w:szCs w:val="20"/>
        </w:rPr>
      </w:pPr>
    </w:p>
    <w:p w14:paraId="54BAA31C" w14:textId="77777777" w:rsidR="00256EC8" w:rsidRDefault="00256EC8" w:rsidP="00256EC8">
      <w:pPr>
        <w:jc w:val="both"/>
        <w:rPr>
          <w:rFonts w:ascii="Open Sans" w:hAnsi="Open Sans" w:cs="Arial"/>
          <w:bCs/>
          <w:sz w:val="20"/>
          <w:szCs w:val="20"/>
        </w:rPr>
      </w:pPr>
      <w:r>
        <w:rPr>
          <w:rFonts w:ascii="Open Sans" w:hAnsi="Open Sans" w:cs="Arial"/>
          <w:bCs/>
          <w:sz w:val="20"/>
          <w:szCs w:val="20"/>
        </w:rPr>
        <w:t>Para su mitigación indica que la política fiscal contempla la colaboración entre el departamento fiscal y el negocio, el cumplimiento de las obligaciones tributarias, la planificación fiscal, la reputación y la transparencia.  El seguimiento de esta política es responsabilidad del director del departamento fiscal y el comité de dirección y la comisión de auditoría y cumplimiento son informados dos veces al año sobre este tipo de riesgos.</w:t>
      </w:r>
    </w:p>
    <w:p w14:paraId="17104DCE" w14:textId="77777777" w:rsidR="00256EC8" w:rsidRDefault="00256EC8" w:rsidP="00256EC8">
      <w:pPr>
        <w:jc w:val="both"/>
        <w:rPr>
          <w:rFonts w:ascii="Open Sans" w:hAnsi="Open Sans" w:cs="Arial"/>
          <w:bCs/>
          <w:sz w:val="20"/>
          <w:szCs w:val="20"/>
        </w:rPr>
      </w:pPr>
    </w:p>
    <w:p w14:paraId="67858923"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Como se ha mencionado dicha política fiscal no es de acceso público y no se ha podido confirmar tales puntos. </w:t>
      </w:r>
    </w:p>
    <w:p w14:paraId="08EAF17D" w14:textId="77777777" w:rsidR="00256EC8" w:rsidRDefault="00256EC8" w:rsidP="00256EC8">
      <w:pPr>
        <w:jc w:val="both"/>
        <w:rPr>
          <w:rFonts w:ascii="Open Sans" w:hAnsi="Open Sans" w:cs="Arial"/>
          <w:bCs/>
          <w:sz w:val="20"/>
          <w:szCs w:val="20"/>
        </w:rPr>
      </w:pPr>
    </w:p>
    <w:p w14:paraId="383EFFDC" w14:textId="77777777" w:rsidR="00256EC8" w:rsidRPr="008F1601" w:rsidRDefault="00256EC8" w:rsidP="00256EC8">
      <w:pPr>
        <w:jc w:val="both"/>
        <w:rPr>
          <w:rFonts w:ascii="Open Sans" w:hAnsi="Open Sans" w:cs="Arial"/>
          <w:bCs/>
          <w:sz w:val="20"/>
          <w:szCs w:val="20"/>
        </w:rPr>
      </w:pPr>
      <w:r>
        <w:rPr>
          <w:rFonts w:ascii="Open Sans" w:hAnsi="Open Sans" w:cs="Arial"/>
          <w:bCs/>
          <w:sz w:val="20"/>
          <w:szCs w:val="20"/>
        </w:rPr>
        <w:t xml:space="preserve">Se informa que Iberia, </w:t>
      </w:r>
      <w:r w:rsidRPr="00820ABD">
        <w:rPr>
          <w:rFonts w:ascii="Open Sans" w:hAnsi="Open Sans" w:cs="Arial"/>
          <w:bCs/>
          <w:sz w:val="20"/>
          <w:szCs w:val="20"/>
        </w:rPr>
        <w:t>en representación de IAG, se ha adherido al Código de Buenas Prácticas Tributarias en España</w:t>
      </w:r>
      <w:r>
        <w:rPr>
          <w:rFonts w:ascii="Open Sans" w:hAnsi="Open Sans" w:cs="Arial"/>
          <w:bCs/>
          <w:sz w:val="20"/>
          <w:szCs w:val="20"/>
        </w:rPr>
        <w:t xml:space="preserve">, aunque no se menciona desde que fecha. Llama la atención que sea una de las empresas del grupo la que se encuentre adherida a este código y no el grupo y que las otras compañías del grupo no estén adheridas a códigos similares. IAG no menciona los aspectos a los que se compromete con su adhesión a dicho código y no informa de las acciones emprendidas para darle seguimiento. Es conveniente puntualizar que se trata de un código voluntario y que no establece un seguimiento de las actuaciones de las empresas firmante. Este código, entre </w:t>
      </w:r>
      <w:r w:rsidRPr="00724C1E">
        <w:rPr>
          <w:rFonts w:ascii="Open Sans" w:hAnsi="Open Sans" w:cs="Open Sans"/>
          <w:sz w:val="20"/>
          <w:szCs w:val="20"/>
        </w:rPr>
        <w:t xml:space="preserve"> otros compromisos, </w:t>
      </w:r>
      <w:r>
        <w:rPr>
          <w:rFonts w:ascii="Open Sans" w:hAnsi="Open Sans" w:cs="Open Sans"/>
          <w:sz w:val="20"/>
          <w:szCs w:val="20"/>
        </w:rPr>
        <w:t xml:space="preserve">incluye </w:t>
      </w:r>
      <w:r w:rsidRPr="00724C1E">
        <w:rPr>
          <w:rFonts w:ascii="Open Sans" w:hAnsi="Open Sans" w:cs="Open Sans"/>
          <w:sz w:val="20"/>
          <w:szCs w:val="20"/>
        </w:rPr>
        <w:t>la prohibición de operar con estructuras instrumentales </w:t>
      </w:r>
      <w:r w:rsidRPr="00724C1E">
        <w:rPr>
          <w:rFonts w:ascii="Open Sans" w:hAnsi="Open Sans" w:cs="Open Sans"/>
          <w:i/>
          <w:iCs/>
          <w:sz w:val="20"/>
          <w:szCs w:val="20"/>
        </w:rPr>
        <w:t>offshore</w:t>
      </w:r>
      <w:r w:rsidRPr="00724C1E">
        <w:rPr>
          <w:rFonts w:ascii="Open Sans" w:hAnsi="Open Sans" w:cs="Open Sans"/>
          <w:sz w:val="20"/>
          <w:szCs w:val="20"/>
        </w:rPr>
        <w:t>, que favorecen la evasión fiscal</w:t>
      </w:r>
      <w:r>
        <w:rPr>
          <w:rFonts w:ascii="Open Sans" w:hAnsi="Open Sans" w:cs="Open Sans"/>
          <w:sz w:val="20"/>
          <w:szCs w:val="20"/>
        </w:rPr>
        <w:t>.</w:t>
      </w:r>
    </w:p>
    <w:p w14:paraId="63EA5E48" w14:textId="77777777" w:rsidR="00256EC8" w:rsidRDefault="00256EC8" w:rsidP="00256EC8">
      <w:pPr>
        <w:jc w:val="both"/>
        <w:rPr>
          <w:rFonts w:ascii="Open Sans" w:hAnsi="Open Sans" w:cs="Arial"/>
          <w:bCs/>
          <w:sz w:val="20"/>
          <w:szCs w:val="20"/>
        </w:rPr>
      </w:pPr>
    </w:p>
    <w:p w14:paraId="312FD550" w14:textId="77777777" w:rsidR="00256EC8" w:rsidRDefault="00256EC8" w:rsidP="00256EC8">
      <w:pPr>
        <w:jc w:val="both"/>
        <w:rPr>
          <w:rFonts w:ascii="Open Sans" w:hAnsi="Open Sans" w:cs="Arial"/>
          <w:bCs/>
          <w:sz w:val="20"/>
          <w:szCs w:val="20"/>
        </w:rPr>
      </w:pPr>
      <w:r>
        <w:rPr>
          <w:rFonts w:ascii="Open Sans" w:hAnsi="Open Sans" w:cs="Arial"/>
          <w:bCs/>
          <w:sz w:val="20"/>
          <w:szCs w:val="20"/>
        </w:rPr>
        <w:t>En relación a la estructura societaria de IAG, se informa de los accionistas significativos con participaciones directas e indirectas superiores al 1%. Se informa del titular de las acciones tanto directas como indirectas pero no hay información sobre la ubicación geográfica de los mismos. Las cuentas anuales detallan la estructura de filiales del grupo a través de sociedades dependientes, asociadas y negocios conjuntos. Sin embargo, tal y como se ha apuntado anteriormente, a través de terceras fuentes parece que existen filiales del grupo no reflejadas en las cuentas anuales  en numerosas ubicaciones, algunas de ellas consideradas paraíso o nicho fiscal. La falta de información en relación a las actividades de la filiales, no permite conocer a sus grupos de interés la dimensión real de la empresa y las implicaciones que pudiera tener su operativa a través de paraísos  y nichos fiscales que, si bien no es ilegal, pudiera responder a una estrategia fiscal dirigida a aprovechar las ventajas tributarias y en algunos casos la nula tributación. Sería deseable para despejar cualquier duda que IAG facilitase información detallada sobre su estructura societaria y operaciones de las filiales incluyendo facturación, operaciones con otras empresas del grupo, resultado contable, base imponible, impuesto de sociedades y número de empleados.</w:t>
      </w:r>
    </w:p>
    <w:p w14:paraId="131719C9" w14:textId="77777777" w:rsidR="00256EC8" w:rsidRDefault="00256EC8" w:rsidP="00256EC8">
      <w:pPr>
        <w:rPr>
          <w:rFonts w:ascii="Open Sans" w:hAnsi="Open Sans" w:cs="Arial"/>
          <w:bCs/>
          <w:sz w:val="20"/>
          <w:szCs w:val="20"/>
        </w:rPr>
      </w:pPr>
    </w:p>
    <w:p w14:paraId="7844DE93"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IAG expresa un compromiso con la contribución a la sociedad y a la prosperidad económica pero no hay evidencia de un compromiso alguno con una fiscalidad justa y responsable en aquellos países en los que tiene operaciones. El grupo menciona que </w:t>
      </w:r>
      <w:r w:rsidRPr="00936772">
        <w:rPr>
          <w:rFonts w:ascii="Open Sans" w:hAnsi="Open Sans" w:cs="Arial"/>
          <w:bCs/>
          <w:sz w:val="20"/>
          <w:szCs w:val="20"/>
        </w:rPr>
        <w:t>contribuye activamente al desarrollo y el sostenimiento de las comunidades locales, incluidas aquellas que se encuentran en los lugares de destino y en</w:t>
      </w:r>
      <w:r>
        <w:rPr>
          <w:rFonts w:ascii="Open Sans" w:hAnsi="Open Sans" w:cs="Arial"/>
          <w:bCs/>
          <w:sz w:val="20"/>
          <w:szCs w:val="20"/>
        </w:rPr>
        <w:t xml:space="preserve"> las zonas donde el Grupo opera, pero esta afirmación se encuentra acotada a su acción social. </w:t>
      </w:r>
    </w:p>
    <w:p w14:paraId="051BB434" w14:textId="77777777" w:rsidR="00256EC8" w:rsidRDefault="00256EC8" w:rsidP="00256EC8">
      <w:pPr>
        <w:jc w:val="both"/>
        <w:rPr>
          <w:rFonts w:ascii="Open Sans" w:hAnsi="Open Sans" w:cs="Arial"/>
          <w:bCs/>
          <w:sz w:val="20"/>
          <w:szCs w:val="20"/>
        </w:rPr>
      </w:pPr>
    </w:p>
    <w:p w14:paraId="12DCD9AE" w14:textId="77777777" w:rsidR="00256EC8" w:rsidRDefault="00256EC8" w:rsidP="00256EC8">
      <w:pPr>
        <w:jc w:val="both"/>
        <w:rPr>
          <w:rFonts w:ascii="Open Sans" w:hAnsi="Open Sans" w:cs="Arial"/>
          <w:bCs/>
          <w:sz w:val="20"/>
          <w:szCs w:val="20"/>
        </w:rPr>
      </w:pPr>
      <w:r>
        <w:rPr>
          <w:rFonts w:ascii="Open Sans" w:hAnsi="Open Sans" w:cs="Arial"/>
          <w:bCs/>
          <w:sz w:val="20"/>
          <w:szCs w:val="20"/>
        </w:rPr>
        <w:t>IAG no aporta ninguna información relativa a ingresos, beneficios e impuestos pagados de manera desglosada por país. A través de su balance y análisis financiero de las cuentas anuales consolidadas se conoce que la cifra global de impuestos pagados ha sido de 285 millones de euros, de los cuales 245 millones de euros corresponden al impuesto de sociedades</w:t>
      </w:r>
      <w:r>
        <w:rPr>
          <w:rStyle w:val="Refdenotaalpie"/>
          <w:rFonts w:ascii="Open Sans" w:hAnsi="Open Sans" w:cs="Arial"/>
          <w:bCs/>
          <w:sz w:val="20"/>
          <w:szCs w:val="20"/>
        </w:rPr>
        <w:footnoteReference w:id="637"/>
      </w:r>
      <w:r>
        <w:rPr>
          <w:rFonts w:ascii="Open Sans" w:hAnsi="Open Sans" w:cs="Arial"/>
          <w:bCs/>
          <w:sz w:val="20"/>
          <w:szCs w:val="20"/>
        </w:rPr>
        <w:t xml:space="preserve">. </w:t>
      </w:r>
    </w:p>
    <w:p w14:paraId="3D9790D3" w14:textId="77777777" w:rsidR="00256EC8" w:rsidRDefault="00256EC8" w:rsidP="00256EC8">
      <w:pPr>
        <w:jc w:val="both"/>
        <w:rPr>
          <w:rFonts w:ascii="Open Sans" w:hAnsi="Open Sans" w:cs="Arial"/>
          <w:bCs/>
          <w:sz w:val="20"/>
          <w:szCs w:val="20"/>
        </w:rPr>
      </w:pPr>
    </w:p>
    <w:p w14:paraId="7A9BB35C" w14:textId="77777777" w:rsidR="00256EC8" w:rsidRDefault="00256EC8" w:rsidP="00256EC8">
      <w:pPr>
        <w:jc w:val="both"/>
        <w:rPr>
          <w:rFonts w:ascii="Open Sans" w:hAnsi="Open Sans"/>
          <w:sz w:val="20"/>
          <w:szCs w:val="20"/>
        </w:rPr>
      </w:pPr>
      <w:r>
        <w:rPr>
          <w:rFonts w:ascii="Open Sans" w:hAnsi="Open Sans" w:cs="Arial"/>
          <w:bCs/>
          <w:sz w:val="20"/>
          <w:szCs w:val="20"/>
        </w:rPr>
        <w:t xml:space="preserve">IAG explica que </w:t>
      </w:r>
      <w:r w:rsidRPr="00B773BD">
        <w:rPr>
          <w:rFonts w:ascii="Open Sans" w:hAnsi="Open Sans"/>
          <w:sz w:val="20"/>
          <w:szCs w:val="20"/>
        </w:rPr>
        <w:t>"</w:t>
      </w:r>
      <w:r>
        <w:rPr>
          <w:rFonts w:ascii="Open Sans" w:hAnsi="Open Sans"/>
          <w:sz w:val="20"/>
          <w:szCs w:val="20"/>
        </w:rPr>
        <w:t>l</w:t>
      </w:r>
      <w:r w:rsidRPr="00171C57">
        <w:rPr>
          <w:rFonts w:ascii="Open Sans" w:hAnsi="Open Sans"/>
          <w:sz w:val="20"/>
          <w:szCs w:val="20"/>
        </w:rPr>
        <w:t xml:space="preserve">a mayor parte de las operaciones del Grupo están sujetas a impuestos en los países donde se lleva a cabo la gestión efectiva de las principales operaciones de las aerolíneas (Reino Unido, España o Irlanda, con tipos impositivos en 2015 del 20,25%, el 28% y el 12,5%, respectivamente). </w:t>
      </w:r>
      <w:r w:rsidRPr="00D9011E">
        <w:rPr>
          <w:rFonts w:ascii="Open Sans" w:hAnsi="Open Sans"/>
          <w:sz w:val="20"/>
          <w:szCs w:val="20"/>
        </w:rPr>
        <w:t>Tras la conciliación de los impuestos IAG informa que el tipo impositivo efectivo del Grupo para el ejercicio ha sido del 20%, sin embargo nuestros cálculos indican que ha sido del 16%.</w:t>
      </w:r>
    </w:p>
    <w:p w14:paraId="423CBFEA" w14:textId="77777777" w:rsidR="00256EC8" w:rsidRDefault="00256EC8" w:rsidP="00256EC8">
      <w:pPr>
        <w:jc w:val="both"/>
        <w:rPr>
          <w:rFonts w:ascii="Open Sans" w:hAnsi="Open Sans"/>
          <w:sz w:val="20"/>
          <w:szCs w:val="20"/>
        </w:rPr>
      </w:pPr>
    </w:p>
    <w:p w14:paraId="2F9B58A3" w14:textId="77777777" w:rsidR="00256EC8" w:rsidRDefault="00256EC8" w:rsidP="00256EC8">
      <w:pPr>
        <w:jc w:val="both"/>
        <w:rPr>
          <w:rFonts w:ascii="Open Sans" w:hAnsi="Open Sans"/>
          <w:sz w:val="20"/>
          <w:szCs w:val="20"/>
        </w:rPr>
      </w:pPr>
      <w:r>
        <w:rPr>
          <w:rFonts w:ascii="Open Sans" w:hAnsi="Open Sans"/>
          <w:sz w:val="20"/>
          <w:szCs w:val="20"/>
        </w:rPr>
        <w:t>Con esta falta de detalle sobre información fiscal es imposible conocer cual es la contribución real del grupo en cada uno de los países en los que opera. Añadido a esto, el gran número de filiales que tiene domiciliadas en paraísos y nichos fiscales podría inducir a pensar que el grupo pudiera contar con una planificación fiscal agresiva, aspecto que no se puede confirmar.  Es llamativo que IAG considere  que puede tener riesgo reputacional por las informaciones que aparecen en los medios de comunicación y que cuestionan su tributación</w:t>
      </w:r>
      <w:r>
        <w:rPr>
          <w:rStyle w:val="Refdenotaalpie"/>
          <w:rFonts w:ascii="Open Sans" w:hAnsi="Open Sans"/>
          <w:sz w:val="20"/>
          <w:szCs w:val="20"/>
        </w:rPr>
        <w:footnoteReference w:id="638"/>
      </w:r>
      <w:r>
        <w:rPr>
          <w:rFonts w:ascii="Open Sans" w:hAnsi="Open Sans"/>
          <w:sz w:val="20"/>
          <w:szCs w:val="20"/>
        </w:rPr>
        <w:t xml:space="preserve">, sin embargo para revertir esta situación debería facilitar una mayor transparencia sobre las cuestiones fiscales. </w:t>
      </w:r>
    </w:p>
    <w:p w14:paraId="75A43CE1" w14:textId="77777777" w:rsidR="00256EC8" w:rsidRDefault="00256EC8" w:rsidP="00256EC8">
      <w:pPr>
        <w:jc w:val="both"/>
        <w:rPr>
          <w:rFonts w:ascii="Open Sans" w:hAnsi="Open Sans"/>
          <w:sz w:val="20"/>
          <w:szCs w:val="20"/>
        </w:rPr>
      </w:pPr>
    </w:p>
    <w:p w14:paraId="38C07182" w14:textId="77777777" w:rsidR="00256EC8" w:rsidRDefault="00256EC8" w:rsidP="00256EC8">
      <w:pPr>
        <w:jc w:val="both"/>
        <w:rPr>
          <w:rFonts w:ascii="Open Sans" w:hAnsi="Open Sans"/>
          <w:sz w:val="20"/>
          <w:szCs w:val="20"/>
        </w:rPr>
      </w:pPr>
      <w:r>
        <w:rPr>
          <w:rFonts w:ascii="Open Sans" w:hAnsi="Open Sans"/>
          <w:sz w:val="20"/>
          <w:szCs w:val="20"/>
        </w:rPr>
        <w:t xml:space="preserve">IAG no aporta ninguna información relativa a las subvenciones recibidas por parte de administraciones públicas. </w:t>
      </w:r>
    </w:p>
    <w:p w14:paraId="49CF661D" w14:textId="77777777" w:rsidR="00256EC8" w:rsidRDefault="00256EC8" w:rsidP="00256EC8">
      <w:pPr>
        <w:jc w:val="both"/>
        <w:rPr>
          <w:rFonts w:ascii="Open Sans" w:hAnsi="Open Sans"/>
          <w:sz w:val="20"/>
          <w:szCs w:val="20"/>
        </w:rPr>
      </w:pPr>
    </w:p>
    <w:p w14:paraId="348D30DD" w14:textId="77777777" w:rsidR="00256EC8" w:rsidRDefault="00256EC8" w:rsidP="00256EC8">
      <w:pPr>
        <w:jc w:val="both"/>
        <w:rPr>
          <w:rFonts w:ascii="Open Sans" w:hAnsi="Open Sans"/>
          <w:sz w:val="20"/>
          <w:szCs w:val="20"/>
        </w:rPr>
      </w:pPr>
      <w:r w:rsidRPr="006E5115">
        <w:rPr>
          <w:rFonts w:ascii="Open Sans" w:hAnsi="Open Sans"/>
          <w:sz w:val="20"/>
          <w:szCs w:val="20"/>
        </w:rPr>
        <w:t xml:space="preserve">En </w:t>
      </w:r>
      <w:r>
        <w:rPr>
          <w:rFonts w:ascii="Open Sans" w:hAnsi="Open Sans"/>
          <w:sz w:val="20"/>
          <w:szCs w:val="20"/>
        </w:rPr>
        <w:t xml:space="preserve">relación a las </w:t>
      </w:r>
      <w:r w:rsidRPr="006E5115">
        <w:rPr>
          <w:rFonts w:ascii="Open Sans" w:hAnsi="Open Sans"/>
          <w:sz w:val="20"/>
          <w:szCs w:val="20"/>
        </w:rPr>
        <w:t xml:space="preserve">deducciones, exenciones y créditos fiscales la empresa no presenta información por país y en concepto de qué se </w:t>
      </w:r>
      <w:r>
        <w:rPr>
          <w:rFonts w:ascii="Open Sans" w:hAnsi="Open Sans"/>
          <w:sz w:val="20"/>
          <w:szCs w:val="20"/>
        </w:rPr>
        <w:t>han generado</w:t>
      </w:r>
      <w:r w:rsidRPr="006E5115">
        <w:rPr>
          <w:rFonts w:ascii="Open Sans" w:hAnsi="Open Sans"/>
          <w:sz w:val="20"/>
          <w:szCs w:val="20"/>
        </w:rPr>
        <w:t xml:space="preserve">. Esta información es relevante pues en algunos casos puede condicionar la imputación de beneficios en un país u en otro en base a este tipo de incentivos fiscales. </w:t>
      </w:r>
    </w:p>
    <w:p w14:paraId="27986F52" w14:textId="77777777" w:rsidR="00256EC8" w:rsidRDefault="00256EC8" w:rsidP="00256EC8">
      <w:pPr>
        <w:jc w:val="both"/>
        <w:rPr>
          <w:rFonts w:ascii="Open Sans" w:hAnsi="Open Sans"/>
          <w:sz w:val="20"/>
          <w:szCs w:val="20"/>
        </w:rPr>
      </w:pPr>
    </w:p>
    <w:p w14:paraId="1DF358E2" w14:textId="77777777" w:rsidR="00256EC8" w:rsidRDefault="00256EC8" w:rsidP="00256EC8">
      <w:pPr>
        <w:jc w:val="both"/>
        <w:rPr>
          <w:rFonts w:ascii="Open Sans" w:hAnsi="Open Sans"/>
          <w:sz w:val="20"/>
          <w:szCs w:val="20"/>
        </w:rPr>
      </w:pPr>
      <w:r>
        <w:rPr>
          <w:rFonts w:ascii="Open Sans" w:hAnsi="Open Sans"/>
          <w:sz w:val="20"/>
          <w:szCs w:val="20"/>
        </w:rPr>
        <w:t xml:space="preserve">Se informa que tras compensar pérdidas fiscales y otros activos fiscales con las ganancias fiscales, el grupo en 2015 ha abonado  245 millones de euros en concepto de impuestos de sociedades. Sin embargo no hay mayor información sobre dónde se originan dichas pérdidas fiscales y a qué son debidas. Para tener un mejor conocimiento de esta información es necesario acudir a las cuentas anuales individuales de cada aerolínea. Así, por ejemplo Iberia ha aplicado deducciones de la cuota a pagar en concepto de impuestos de sociedades por bases imponibles negativas y por reinversión de beneficios, entre otras deducciones.  En el caso de Vueling también se ha aplicado reducción de la cuota por compensación de bases imponibles negativas. </w:t>
      </w:r>
    </w:p>
    <w:p w14:paraId="1BA5A381" w14:textId="77777777" w:rsidR="00256EC8" w:rsidRDefault="00256EC8" w:rsidP="00256EC8">
      <w:pPr>
        <w:rPr>
          <w:rFonts w:ascii="Open Sans" w:hAnsi="Open Sans" w:cs="Arial"/>
          <w:bCs/>
          <w:sz w:val="20"/>
          <w:szCs w:val="20"/>
        </w:rPr>
      </w:pPr>
    </w:p>
    <w:p w14:paraId="3C7E57B1"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IAG indica que para mitigar el riesgo fiscal el grupo trata de cumplir con la ley, actuar con integridad en todos los asuntos fiscales y mantener una relación abierta con los reguladores. Más allá de este compromiso genérico y de su adhesión al código de buenas prácticas tributarias en España, no hay ninguna otra información sobre iniciativas en las que participe en cada uno de los países en los que opera ni reuniones que haya mantenido en relación a estas cuestiones. </w:t>
      </w:r>
    </w:p>
    <w:p w14:paraId="55F6F43F" w14:textId="77777777" w:rsidR="00256EC8" w:rsidRDefault="00256EC8" w:rsidP="00256EC8">
      <w:pPr>
        <w:jc w:val="both"/>
        <w:rPr>
          <w:rFonts w:ascii="Open Sans" w:hAnsi="Open Sans" w:cs="Arial"/>
          <w:bCs/>
          <w:sz w:val="20"/>
          <w:szCs w:val="20"/>
        </w:rPr>
      </w:pPr>
    </w:p>
    <w:p w14:paraId="7E04F1A5"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Declara que varias autoridades fiscales están revisando el impuesto de sociedades en algunas </w:t>
      </w:r>
      <w:r w:rsidRPr="00F30A11">
        <w:rPr>
          <w:rFonts w:ascii="Open Sans" w:hAnsi="Open Sans" w:cs="Arial"/>
          <w:bCs/>
          <w:sz w:val="20"/>
          <w:szCs w:val="20"/>
        </w:rPr>
        <w:t xml:space="preserve">jurisdicciones, pero no indica cuales. </w:t>
      </w:r>
      <w:r>
        <w:rPr>
          <w:rFonts w:ascii="Open Sans" w:hAnsi="Open Sans" w:cs="Arial"/>
          <w:bCs/>
          <w:sz w:val="20"/>
          <w:szCs w:val="20"/>
        </w:rPr>
        <w:t xml:space="preserve">Los motivos son que los impuestos declarados contienen aspectos que podrían estar sujetos </w:t>
      </w:r>
      <w:r w:rsidRPr="00F30A11">
        <w:rPr>
          <w:rFonts w:ascii="Open Sans" w:hAnsi="Open Sans" w:cs="Arial"/>
          <w:bCs/>
          <w:sz w:val="20"/>
          <w:szCs w:val="20"/>
        </w:rPr>
        <w:t>a interpretaciones diversas de la legislación y</w:t>
      </w:r>
      <w:r>
        <w:rPr>
          <w:rFonts w:ascii="Open Sans" w:hAnsi="Open Sans" w:cs="Arial"/>
          <w:bCs/>
          <w:sz w:val="20"/>
          <w:szCs w:val="20"/>
        </w:rPr>
        <w:t xml:space="preserve"> la normativa fiscal aplicable. Indica que la </w:t>
      </w:r>
      <w:r w:rsidRPr="00F30A11">
        <w:rPr>
          <w:rFonts w:ascii="Open Sans" w:hAnsi="Open Sans" w:cs="Arial"/>
          <w:bCs/>
          <w:sz w:val="20"/>
          <w:szCs w:val="20"/>
        </w:rPr>
        <w:t>resolución de posturas fiscales mediante negociación con las autoridades fiscales pertinentes o mediante litigio puede ta</w:t>
      </w:r>
      <w:r>
        <w:rPr>
          <w:rFonts w:ascii="Open Sans" w:hAnsi="Open Sans" w:cs="Arial"/>
          <w:bCs/>
          <w:sz w:val="20"/>
          <w:szCs w:val="20"/>
        </w:rPr>
        <w:t xml:space="preserve">rdar varios años en producirse pero que no prevé un impacto importante sobre la situación financiera o resultados del grupo. </w:t>
      </w:r>
    </w:p>
    <w:p w14:paraId="1EB74233" w14:textId="77777777" w:rsidR="00256EC8" w:rsidRDefault="00256EC8" w:rsidP="00256EC8">
      <w:pPr>
        <w:jc w:val="both"/>
        <w:rPr>
          <w:rFonts w:ascii="Open Sans" w:hAnsi="Open Sans" w:cs="Arial"/>
          <w:bCs/>
          <w:sz w:val="20"/>
          <w:szCs w:val="20"/>
        </w:rPr>
      </w:pPr>
    </w:p>
    <w:p w14:paraId="777370B8" w14:textId="77777777" w:rsidR="00256EC8" w:rsidRDefault="00256EC8" w:rsidP="00256EC8">
      <w:pPr>
        <w:jc w:val="both"/>
        <w:rPr>
          <w:rFonts w:ascii="Open Sans" w:hAnsi="Open Sans" w:cs="Arial"/>
          <w:bCs/>
          <w:sz w:val="20"/>
          <w:szCs w:val="20"/>
        </w:rPr>
      </w:pPr>
      <w:r>
        <w:rPr>
          <w:rFonts w:ascii="Open Sans" w:hAnsi="Open Sans" w:cs="Arial"/>
          <w:bCs/>
          <w:sz w:val="20"/>
          <w:szCs w:val="20"/>
        </w:rPr>
        <w:t xml:space="preserve">Tiene provisiones por demandas judiciales por 235 millones de euros, entre ellas </w:t>
      </w:r>
      <w:r w:rsidRPr="00495E7B">
        <w:rPr>
          <w:rFonts w:ascii="Open Sans" w:hAnsi="Open Sans" w:cs="Arial"/>
          <w:bCs/>
          <w:sz w:val="20"/>
          <w:szCs w:val="20"/>
        </w:rPr>
        <w:t>relacionadas con las inspecciones abiertas por una serie de organismos reguladores de la competencia en relación con prácticas de supuesta competencia desleal en los negocios de transporte de carga y pasajeros</w:t>
      </w:r>
      <w:r>
        <w:rPr>
          <w:rFonts w:ascii="Open Sans" w:hAnsi="Open Sans" w:cs="Arial"/>
          <w:bCs/>
          <w:sz w:val="20"/>
          <w:szCs w:val="20"/>
        </w:rPr>
        <w:t xml:space="preserve"> (Inglaterra</w:t>
      </w:r>
      <w:r>
        <w:rPr>
          <w:rStyle w:val="Refdenotaalpie"/>
          <w:rFonts w:ascii="Open Sans" w:hAnsi="Open Sans" w:cs="Arial"/>
          <w:bCs/>
          <w:sz w:val="20"/>
          <w:szCs w:val="20"/>
        </w:rPr>
        <w:footnoteReference w:id="639"/>
      </w:r>
      <w:r>
        <w:rPr>
          <w:rFonts w:ascii="Open Sans" w:hAnsi="Open Sans" w:cs="Arial"/>
          <w:bCs/>
          <w:sz w:val="20"/>
          <w:szCs w:val="20"/>
        </w:rPr>
        <w:t>, Alemania, Países Bajos y Canadá)</w:t>
      </w:r>
      <w:r w:rsidRPr="00495E7B">
        <w:rPr>
          <w:rFonts w:ascii="Open Sans" w:hAnsi="Open Sans" w:cs="Arial"/>
          <w:bCs/>
          <w:sz w:val="20"/>
          <w:szCs w:val="20"/>
        </w:rPr>
        <w:t xml:space="preserve">, y provisiones relacionadas a estimaciones de las bases imponibles. </w:t>
      </w:r>
    </w:p>
    <w:p w14:paraId="22B84D03" w14:textId="77777777" w:rsidR="00256EC8" w:rsidRDefault="00256EC8" w:rsidP="00256EC8">
      <w:pPr>
        <w:jc w:val="both"/>
        <w:rPr>
          <w:rFonts w:ascii="Open Sans" w:hAnsi="Open Sans" w:cs="Arial"/>
          <w:bCs/>
          <w:sz w:val="20"/>
          <w:szCs w:val="20"/>
        </w:rPr>
      </w:pPr>
    </w:p>
    <w:p w14:paraId="136F43D5" w14:textId="77777777" w:rsidR="00256EC8" w:rsidRDefault="00256EC8" w:rsidP="00256EC8">
      <w:pPr>
        <w:jc w:val="both"/>
        <w:rPr>
          <w:rFonts w:ascii="Open Sans" w:hAnsi="Open Sans" w:cs="Open Sans"/>
          <w:sz w:val="20"/>
          <w:szCs w:val="20"/>
        </w:rPr>
      </w:pPr>
      <w:r>
        <w:rPr>
          <w:rFonts w:ascii="Open Sans" w:hAnsi="Open Sans" w:cs="Open Sans"/>
          <w:sz w:val="20"/>
          <w:szCs w:val="20"/>
        </w:rPr>
        <w:t>Aunque IAG tiene una actividad activa</w:t>
      </w:r>
      <w:r>
        <w:rPr>
          <w:rStyle w:val="Refdenotaalpie"/>
          <w:rFonts w:ascii="Open Sans" w:hAnsi="Open Sans" w:cs="Open Sans"/>
          <w:sz w:val="20"/>
          <w:szCs w:val="20"/>
        </w:rPr>
        <w:footnoteReference w:id="640"/>
      </w:r>
      <w:r>
        <w:rPr>
          <w:rFonts w:ascii="Open Sans" w:hAnsi="Open Sans" w:cs="Open Sans"/>
          <w:sz w:val="20"/>
          <w:szCs w:val="20"/>
        </w:rPr>
        <w:t xml:space="preserve"> en materia de lobby y explica su participación y posición en relación a diferentes temáticas</w:t>
      </w:r>
      <w:proofErr w:type="gramStart"/>
      <w:r>
        <w:rPr>
          <w:rFonts w:ascii="Open Sans" w:hAnsi="Open Sans" w:cs="Open Sans"/>
          <w:sz w:val="20"/>
          <w:szCs w:val="20"/>
        </w:rPr>
        <w:t xml:space="preserve">:  </w:t>
      </w:r>
      <w:r w:rsidRPr="00DE6EB1">
        <w:rPr>
          <w:rFonts w:ascii="Open Sans" w:hAnsi="Open Sans" w:cs="Open Sans"/>
          <w:sz w:val="20"/>
          <w:szCs w:val="20"/>
        </w:rPr>
        <w:t>Imp</w:t>
      </w:r>
      <w:r>
        <w:rPr>
          <w:rFonts w:ascii="Open Sans" w:hAnsi="Open Sans" w:cs="Open Sans"/>
          <w:sz w:val="20"/>
          <w:szCs w:val="20"/>
        </w:rPr>
        <w:t>uesto</w:t>
      </w:r>
      <w:proofErr w:type="gramEnd"/>
      <w:r>
        <w:rPr>
          <w:rFonts w:ascii="Open Sans" w:hAnsi="Open Sans" w:cs="Open Sans"/>
          <w:sz w:val="20"/>
          <w:szCs w:val="20"/>
        </w:rPr>
        <w:t xml:space="preserve"> para los pasajeros aéreos, </w:t>
      </w:r>
      <w:r w:rsidRPr="00DE6EB1">
        <w:rPr>
          <w:rFonts w:ascii="Open Sans" w:hAnsi="Open Sans" w:cs="Open Sans"/>
          <w:sz w:val="20"/>
          <w:szCs w:val="20"/>
        </w:rPr>
        <w:t>política de visados</w:t>
      </w:r>
      <w:r>
        <w:rPr>
          <w:rFonts w:ascii="Open Sans" w:hAnsi="Open Sans" w:cs="Open Sans"/>
          <w:sz w:val="20"/>
          <w:szCs w:val="20"/>
        </w:rPr>
        <w:t xml:space="preserve"> y política de aviación</w:t>
      </w:r>
      <w:r w:rsidRPr="00DE6EB1">
        <w:rPr>
          <w:rFonts w:ascii="Open Sans" w:hAnsi="Open Sans" w:cs="Open Sans"/>
          <w:sz w:val="20"/>
          <w:szCs w:val="20"/>
        </w:rPr>
        <w:t xml:space="preserve"> en Reino Unido, el Régimen de comercio de derechos </w:t>
      </w:r>
      <w:r>
        <w:rPr>
          <w:rFonts w:ascii="Open Sans" w:hAnsi="Open Sans" w:cs="Open Sans"/>
          <w:sz w:val="20"/>
          <w:szCs w:val="20"/>
        </w:rPr>
        <w:t xml:space="preserve">de emisión de la Unión Europea y la </w:t>
      </w:r>
      <w:r w:rsidRPr="00DE6EB1">
        <w:rPr>
          <w:rFonts w:ascii="Open Sans" w:hAnsi="Open Sans" w:cs="Open Sans"/>
          <w:sz w:val="20"/>
          <w:szCs w:val="20"/>
        </w:rPr>
        <w:t>Política europea de aviación</w:t>
      </w:r>
      <w:r>
        <w:rPr>
          <w:rFonts w:ascii="Open Sans" w:hAnsi="Open Sans" w:cs="Open Sans"/>
          <w:sz w:val="20"/>
          <w:szCs w:val="20"/>
        </w:rPr>
        <w:t>, no se ha encontrado una postura común del grupo en relación con su actividad de lobby en materia fiscal.</w:t>
      </w:r>
    </w:p>
    <w:p w14:paraId="2E8A10C1" w14:textId="77777777" w:rsidR="00256EC8" w:rsidRDefault="00256EC8" w:rsidP="00256EC8">
      <w:pPr>
        <w:rPr>
          <w:rFonts w:ascii="Open Sans" w:hAnsi="Open Sans" w:cs="Arial"/>
          <w:bCs/>
          <w:sz w:val="22"/>
          <w:szCs w:val="22"/>
        </w:rPr>
      </w:pPr>
    </w:p>
    <w:p w14:paraId="01B195CE" w14:textId="77777777" w:rsidR="00256EC8" w:rsidRDefault="00256EC8" w:rsidP="00256EC8">
      <w:pPr>
        <w:jc w:val="both"/>
        <w:rPr>
          <w:rFonts w:ascii="Open Sans" w:hAnsi="Open Sans" w:cs="Arial"/>
          <w:color w:val="000000"/>
          <w:sz w:val="20"/>
          <w:szCs w:val="20"/>
        </w:rPr>
      </w:pPr>
      <w:r w:rsidRPr="000112B2">
        <w:rPr>
          <w:rFonts w:ascii="Open Sans" w:hAnsi="Open Sans" w:cs="Arial"/>
          <w:bCs/>
          <w:sz w:val="20"/>
          <w:szCs w:val="20"/>
        </w:rPr>
        <w:t xml:space="preserve">IAG informa que tiene </w:t>
      </w:r>
      <w:r w:rsidRPr="000112B2">
        <w:rPr>
          <w:rFonts w:ascii="Open Sans" w:hAnsi="Open Sans" w:cs="Arial"/>
          <w:color w:val="000000"/>
          <w:sz w:val="20"/>
          <w:szCs w:val="20"/>
        </w:rPr>
        <w:t xml:space="preserve">transacciones con partes vinculadas que se realizan en condiciones de mercado en el curso ordinario de la actividad del transporte aéreo, incluida  la provisión de servicios de aerolíneas y servicios relacionados. </w:t>
      </w:r>
      <w:r>
        <w:rPr>
          <w:rFonts w:ascii="Open Sans" w:hAnsi="Open Sans" w:cs="Arial"/>
          <w:color w:val="000000"/>
          <w:sz w:val="20"/>
          <w:szCs w:val="20"/>
        </w:rPr>
        <w:t xml:space="preserve">Aporta información sobre ventas totales a filiales por </w:t>
      </w:r>
      <w:r w:rsidRPr="000112B2">
        <w:rPr>
          <w:rFonts w:ascii="Open Sans" w:hAnsi="Open Sans" w:cs="Arial"/>
          <w:color w:val="000000"/>
          <w:sz w:val="20"/>
          <w:szCs w:val="20"/>
        </w:rPr>
        <w:t xml:space="preserve">8.473 miles de € y un total de compras a las </w:t>
      </w:r>
      <w:r>
        <w:rPr>
          <w:rFonts w:ascii="Open Sans" w:hAnsi="Open Sans" w:cs="Arial"/>
          <w:color w:val="000000"/>
          <w:sz w:val="20"/>
          <w:szCs w:val="20"/>
        </w:rPr>
        <w:t xml:space="preserve">filiales de 57.192 miles de € pero no aporta mayor desglose sobre estas operaciones. No se ha encontrado información en relación a la financiación entre sociedades del grupo ni operativa relacionada con su actividad aseguradora. </w:t>
      </w:r>
    </w:p>
    <w:p w14:paraId="14CCC393" w14:textId="77777777" w:rsidR="00256EC8" w:rsidRDefault="00256EC8" w:rsidP="00256EC8">
      <w:pPr>
        <w:jc w:val="both"/>
        <w:rPr>
          <w:rFonts w:ascii="Open Sans" w:hAnsi="Open Sans" w:cs="Arial"/>
          <w:color w:val="000000"/>
          <w:sz w:val="20"/>
          <w:szCs w:val="20"/>
        </w:rPr>
      </w:pPr>
    </w:p>
    <w:p w14:paraId="0E7799AD" w14:textId="77777777" w:rsidR="00256EC8" w:rsidRPr="002630ED" w:rsidRDefault="00256EC8" w:rsidP="00256EC8">
      <w:pPr>
        <w:jc w:val="both"/>
        <w:rPr>
          <w:rFonts w:ascii="Open Sans" w:hAnsi="Open Sans" w:cs="Arial"/>
          <w:color w:val="000000"/>
          <w:sz w:val="20"/>
          <w:szCs w:val="20"/>
        </w:rPr>
      </w:pPr>
      <w:r>
        <w:rPr>
          <w:rFonts w:ascii="Open Sans" w:hAnsi="Open Sans" w:cs="Arial"/>
          <w:color w:val="000000"/>
          <w:sz w:val="20"/>
          <w:szCs w:val="20"/>
        </w:rPr>
        <w:t xml:space="preserve">IAG informa que </w:t>
      </w:r>
      <w:r w:rsidRPr="007E1C03">
        <w:rPr>
          <w:rFonts w:ascii="Open Sans" w:hAnsi="Open Sans" w:cs="Arial"/>
          <w:color w:val="000000"/>
          <w:sz w:val="20"/>
          <w:szCs w:val="20"/>
        </w:rPr>
        <w:t>todos los saldos de cuentas intragrupo, incluidos los beneficios intragrupo, se eliminan al elaborar l</w:t>
      </w:r>
      <w:r>
        <w:rPr>
          <w:rFonts w:ascii="Open Sans" w:hAnsi="Open Sans" w:cs="Arial"/>
          <w:color w:val="000000"/>
          <w:sz w:val="20"/>
          <w:szCs w:val="20"/>
        </w:rPr>
        <w:t xml:space="preserve">as cuentas anuales consolidadas, por lo que se desconoce el detalle de cuales han sido las operaciones que se han realizado entre empresas del grupo, llamando la atención de nuevo que muchas de ellas se encuentran radicadas en territorios considerados paraísos y nichos fiscales. </w:t>
      </w:r>
      <w:r w:rsidRPr="00724C1E">
        <w:rPr>
          <w:rFonts w:ascii="Open Sans" w:eastAsia="Calibri" w:hAnsi="Open Sans" w:cs="Open Sans"/>
          <w:sz w:val="20"/>
          <w:szCs w:val="20"/>
        </w:rPr>
        <w:t xml:space="preserve">Tener conocimiento de estas operaciones es fundamental para poder </w:t>
      </w:r>
      <w:r>
        <w:rPr>
          <w:rFonts w:ascii="Open Sans" w:eastAsia="Calibri" w:hAnsi="Open Sans" w:cs="Open Sans"/>
          <w:sz w:val="20"/>
          <w:szCs w:val="20"/>
        </w:rPr>
        <w:t>concluir</w:t>
      </w:r>
      <w:r w:rsidRPr="00724C1E">
        <w:rPr>
          <w:rFonts w:ascii="Open Sans" w:eastAsia="Calibri" w:hAnsi="Open Sans" w:cs="Open Sans"/>
          <w:sz w:val="20"/>
          <w:szCs w:val="20"/>
        </w:rPr>
        <w:t xml:space="preserve"> si la empresa está </w:t>
      </w:r>
      <w:r>
        <w:rPr>
          <w:rFonts w:ascii="Open Sans" w:eastAsia="Calibri" w:hAnsi="Open Sans" w:cs="Open Sans"/>
          <w:sz w:val="20"/>
          <w:szCs w:val="20"/>
        </w:rPr>
        <w:t xml:space="preserve">utilizando su </w:t>
      </w:r>
      <w:r w:rsidRPr="00724C1E">
        <w:rPr>
          <w:rFonts w:ascii="Open Sans" w:eastAsia="Calibri" w:hAnsi="Open Sans" w:cs="Open Sans"/>
          <w:sz w:val="20"/>
          <w:szCs w:val="20"/>
        </w:rPr>
        <w:t>estructura societaria para implementar estrategias de optimización fiscal.</w:t>
      </w:r>
    </w:p>
    <w:p w14:paraId="1D4F3FF7" w14:textId="77777777" w:rsidR="00256EC8" w:rsidRDefault="00256EC8" w:rsidP="00256EC8">
      <w:pPr>
        <w:jc w:val="both"/>
        <w:rPr>
          <w:rFonts w:ascii="Open Sans" w:hAnsi="Open Sans" w:cs="Arial"/>
          <w:color w:val="000000"/>
          <w:sz w:val="20"/>
          <w:szCs w:val="20"/>
        </w:rPr>
      </w:pPr>
    </w:p>
    <w:p w14:paraId="0455B077" w14:textId="77777777" w:rsidR="00256EC8" w:rsidRDefault="00256EC8" w:rsidP="00256EC8">
      <w:pPr>
        <w:jc w:val="both"/>
        <w:rPr>
          <w:rFonts w:ascii="Open Sans" w:hAnsi="Open Sans" w:cs="Arial"/>
          <w:color w:val="000000"/>
          <w:sz w:val="20"/>
          <w:szCs w:val="20"/>
        </w:rPr>
      </w:pPr>
      <w:r>
        <w:rPr>
          <w:rFonts w:ascii="Open Sans" w:hAnsi="Open Sans" w:cs="Arial"/>
          <w:color w:val="000000"/>
          <w:sz w:val="20"/>
          <w:szCs w:val="20"/>
        </w:rPr>
        <w:t>Por el contrario sí que aporta detalle de las operaciones y cantidades con empresas asociadas y con accionistas significativos</w:t>
      </w:r>
      <w:r>
        <w:rPr>
          <w:rStyle w:val="Refdenotaalpie"/>
          <w:rFonts w:ascii="Open Sans" w:hAnsi="Open Sans" w:cs="Arial"/>
          <w:color w:val="000000"/>
          <w:sz w:val="20"/>
          <w:szCs w:val="20"/>
        </w:rPr>
        <w:footnoteReference w:id="641"/>
      </w:r>
      <w:r>
        <w:rPr>
          <w:rFonts w:ascii="Open Sans" w:hAnsi="Open Sans" w:cs="Arial"/>
          <w:color w:val="000000"/>
          <w:sz w:val="20"/>
          <w:szCs w:val="20"/>
        </w:rPr>
        <w:t xml:space="preserve">. </w:t>
      </w:r>
    </w:p>
    <w:p w14:paraId="665F6E84" w14:textId="77777777" w:rsidR="00256EC8" w:rsidRPr="007E1C03" w:rsidRDefault="00256EC8" w:rsidP="00256EC8">
      <w:pPr>
        <w:rPr>
          <w:rFonts w:ascii="Open Sans" w:hAnsi="Open Sans" w:cs="Arial"/>
          <w:color w:val="000000"/>
          <w:sz w:val="20"/>
          <w:szCs w:val="20"/>
        </w:rPr>
      </w:pPr>
    </w:p>
    <w:p w14:paraId="761F9B03" w14:textId="77777777" w:rsidR="00256EC8" w:rsidRPr="0024142E" w:rsidRDefault="00256EC8" w:rsidP="00256EC8">
      <w:pPr>
        <w:jc w:val="both"/>
        <w:rPr>
          <w:rFonts w:ascii="Open Sans" w:hAnsi="Open Sans" w:cs="Arial"/>
          <w:sz w:val="20"/>
          <w:szCs w:val="20"/>
        </w:rPr>
      </w:pPr>
    </w:p>
    <w:p w14:paraId="358AB2DC" w14:textId="77777777" w:rsidR="00256EC8" w:rsidRPr="0024142E" w:rsidRDefault="00256EC8" w:rsidP="00256EC8">
      <w:pPr>
        <w:rPr>
          <w:rFonts w:ascii="Open Sans" w:hAnsi="Open Sans" w:cs="Arial"/>
          <w:bCs/>
          <w:sz w:val="22"/>
          <w:szCs w:val="22"/>
          <w:u w:val="single"/>
        </w:rPr>
      </w:pPr>
      <w:r w:rsidRPr="0024142E">
        <w:rPr>
          <w:rFonts w:ascii="Open Sans" w:hAnsi="Open Sans" w:cs="Arial"/>
          <w:b/>
          <w:sz w:val="22"/>
          <w:szCs w:val="22"/>
          <w:u w:val="single"/>
        </w:rPr>
        <w:t>5. Conclusiones</w:t>
      </w:r>
    </w:p>
    <w:p w14:paraId="24FC63A3" w14:textId="77777777" w:rsidR="00256EC8" w:rsidRPr="00732FD5" w:rsidRDefault="00256EC8" w:rsidP="00256EC8">
      <w:pPr>
        <w:rPr>
          <w:rFonts w:ascii="Open Sans" w:hAnsi="Open Sans" w:cs="Arial"/>
          <w:bCs/>
          <w:sz w:val="22"/>
          <w:szCs w:val="22"/>
        </w:rPr>
      </w:pPr>
    </w:p>
    <w:p w14:paraId="01872329" w14:textId="77777777" w:rsidR="00256EC8" w:rsidRDefault="00256EC8" w:rsidP="00256EC8">
      <w:pPr>
        <w:pStyle w:val="Default"/>
        <w:jc w:val="both"/>
        <w:rPr>
          <w:rFonts w:ascii="Open Sans" w:hAnsi="Open Sans" w:cs="Open Sans"/>
          <w:color w:val="auto"/>
          <w:sz w:val="20"/>
          <w:szCs w:val="20"/>
        </w:rPr>
      </w:pPr>
      <w:r w:rsidRPr="005E6A4B">
        <w:rPr>
          <w:rFonts w:ascii="Open Sans" w:hAnsi="Open Sans" w:cs="Open Sans"/>
          <w:color w:val="auto"/>
          <w:sz w:val="20"/>
          <w:szCs w:val="20"/>
        </w:rPr>
        <w:t xml:space="preserve">La valoración global de la </w:t>
      </w:r>
      <w:r>
        <w:rPr>
          <w:rFonts w:ascii="Open Sans" w:hAnsi="Open Sans" w:cs="Open Sans"/>
          <w:color w:val="auto"/>
          <w:sz w:val="20"/>
          <w:szCs w:val="20"/>
        </w:rPr>
        <w:t>transparencia de IAG en el ámbito fiscal</w:t>
      </w:r>
      <w:r w:rsidRPr="005E6A4B">
        <w:rPr>
          <w:rFonts w:ascii="Open Sans" w:hAnsi="Open Sans" w:cs="Open Sans"/>
          <w:color w:val="auto"/>
          <w:sz w:val="20"/>
          <w:szCs w:val="20"/>
        </w:rPr>
        <w:t xml:space="preserve"> es de </w:t>
      </w:r>
      <w:r>
        <w:rPr>
          <w:rFonts w:ascii="Open Sans" w:hAnsi="Open Sans" w:cs="Open Sans"/>
          <w:b/>
          <w:color w:val="auto"/>
          <w:sz w:val="20"/>
          <w:szCs w:val="20"/>
        </w:rPr>
        <w:t>0,40</w:t>
      </w:r>
      <w:r>
        <w:rPr>
          <w:rFonts w:ascii="Open Sans" w:hAnsi="Open Sans" w:cs="Open Sans"/>
          <w:color w:val="auto"/>
          <w:sz w:val="20"/>
          <w:szCs w:val="20"/>
        </w:rPr>
        <w:t xml:space="preserve"> sobre un máximo de 3, lo que equivale a una </w:t>
      </w:r>
      <w:r w:rsidRPr="00957624">
        <w:rPr>
          <w:rFonts w:ascii="Open Sans" w:hAnsi="Open Sans" w:cs="Open Sans"/>
          <w:i/>
          <w:color w:val="auto"/>
          <w:sz w:val="20"/>
          <w:szCs w:val="20"/>
        </w:rPr>
        <w:t>información escasa</w:t>
      </w:r>
      <w:r>
        <w:rPr>
          <w:rFonts w:ascii="Open Sans" w:hAnsi="Open Sans" w:cs="Open Sans"/>
          <w:color w:val="auto"/>
          <w:sz w:val="20"/>
          <w:szCs w:val="20"/>
        </w:rPr>
        <w:t xml:space="preserve"> de acuerdo con la metodología utilizada. De las dimensiones analizadas, la máxima puntuación se obtiene en los aspectos relacionados con “política y estrategia fiscal” (1,00), seguidos de “relaciones con Administraciones Tributarias” (0,60), “paraísos y nichos fiscales” e “impuestos e incentivos” ambas con un 0.</w:t>
      </w:r>
    </w:p>
    <w:p w14:paraId="385C7F30" w14:textId="77777777" w:rsidR="00256EC8" w:rsidRDefault="00256EC8" w:rsidP="00256EC8">
      <w:pPr>
        <w:rPr>
          <w:rFonts w:ascii="Open Sans" w:hAnsi="Open Sans"/>
        </w:rPr>
      </w:pPr>
    </w:p>
    <w:p w14:paraId="4F881D1E" w14:textId="77777777" w:rsidR="00256EC8" w:rsidRDefault="00256EC8" w:rsidP="00256EC8">
      <w:pPr>
        <w:jc w:val="both"/>
        <w:rPr>
          <w:rFonts w:ascii="Open Sans" w:hAnsi="Open Sans" w:cs="Arial"/>
          <w:sz w:val="20"/>
          <w:szCs w:val="20"/>
        </w:rPr>
      </w:pPr>
      <w:r>
        <w:rPr>
          <w:rFonts w:ascii="Open Sans" w:hAnsi="Open Sans" w:cs="Arial"/>
          <w:sz w:val="20"/>
          <w:szCs w:val="20"/>
        </w:rPr>
        <w:t>No se ha encontrado ninguna evidencia en la documentación analizada que el grupo IAG tenga un compromiso expreso con una fiscalidad responsable. Los aspectos relacionados con la responsabilidad social corporativa son delegados a cada una de las aerolíneas que integran el grupo, si bien existe una directriz a nivel grupo, pero tampoco se ha encontrado un compromiso en relación con la fiscalidad responsable en los documentos y webs relativos a RSC de cada una de las aerolíneas.</w:t>
      </w:r>
    </w:p>
    <w:p w14:paraId="33D1F48C" w14:textId="77777777" w:rsidR="00256EC8" w:rsidRDefault="00256EC8" w:rsidP="00256EC8">
      <w:pPr>
        <w:jc w:val="both"/>
        <w:rPr>
          <w:rFonts w:ascii="Open Sans" w:hAnsi="Open Sans" w:cs="Arial"/>
          <w:sz w:val="20"/>
          <w:szCs w:val="20"/>
        </w:rPr>
      </w:pPr>
    </w:p>
    <w:p w14:paraId="189F60E0"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Relacionado con aspectos fiscales en los últimos años IAG ha acometido reformas en sus códigos internos así como la aprobación de políticas corporativas (política fiscal, política de gestión de riesgos y la política de sostenibilidad) pero se entiende, por falta de una mayor información, que está relacionado con los nuevos requerimientos legales y de gobierno corporativo más que con compromisos de mayor responsabilidad social hacia sus grupos de interés y la sociedad en general. Además ninguno de estos documentos </w:t>
      </w:r>
      <w:proofErr w:type="gramStart"/>
      <w:r>
        <w:rPr>
          <w:rFonts w:ascii="Open Sans" w:hAnsi="Open Sans" w:cs="Arial"/>
          <w:sz w:val="20"/>
          <w:szCs w:val="20"/>
        </w:rPr>
        <w:t>son</w:t>
      </w:r>
      <w:proofErr w:type="gramEnd"/>
      <w:r>
        <w:rPr>
          <w:rFonts w:ascii="Open Sans" w:hAnsi="Open Sans" w:cs="Arial"/>
          <w:sz w:val="20"/>
          <w:szCs w:val="20"/>
        </w:rPr>
        <w:t xml:space="preserve"> públicos.</w:t>
      </w:r>
    </w:p>
    <w:p w14:paraId="355425D3" w14:textId="77777777" w:rsidR="00256EC8" w:rsidRDefault="00256EC8" w:rsidP="00256EC8">
      <w:pPr>
        <w:jc w:val="both"/>
        <w:rPr>
          <w:rFonts w:ascii="Open Sans" w:hAnsi="Open Sans" w:cs="Arial"/>
          <w:sz w:val="20"/>
          <w:szCs w:val="20"/>
        </w:rPr>
      </w:pPr>
    </w:p>
    <w:p w14:paraId="783BEF2F" w14:textId="77777777" w:rsidR="00256EC8" w:rsidRDefault="00256EC8" w:rsidP="00256EC8">
      <w:pPr>
        <w:jc w:val="both"/>
        <w:rPr>
          <w:rFonts w:ascii="Open Sans" w:hAnsi="Open Sans" w:cs="Arial"/>
          <w:sz w:val="20"/>
          <w:szCs w:val="20"/>
        </w:rPr>
      </w:pPr>
      <w:r>
        <w:rPr>
          <w:rFonts w:ascii="Open Sans" w:hAnsi="Open Sans" w:cs="Arial"/>
          <w:sz w:val="20"/>
          <w:szCs w:val="20"/>
        </w:rPr>
        <w:t>La fiscalidad responsable es un aspecto cada vez más material para todas las empresas y para sus grupos de interés, además este aspecto ha transcendido en los últimos años a las agendas públicas y desde la Comisión Europea</w:t>
      </w:r>
      <w:r>
        <w:rPr>
          <w:rStyle w:val="Refdenotaalpie"/>
          <w:rFonts w:ascii="Open Sans" w:hAnsi="Open Sans" w:cs="Arial"/>
          <w:sz w:val="20"/>
          <w:szCs w:val="20"/>
        </w:rPr>
        <w:footnoteReference w:id="642"/>
      </w:r>
      <w:r>
        <w:rPr>
          <w:rFonts w:ascii="Open Sans" w:hAnsi="Open Sans" w:cs="Arial"/>
          <w:sz w:val="20"/>
          <w:szCs w:val="20"/>
        </w:rPr>
        <w:t>, OCDE</w:t>
      </w:r>
      <w:r>
        <w:rPr>
          <w:rStyle w:val="Refdenotaalpie"/>
          <w:rFonts w:ascii="Open Sans" w:hAnsi="Open Sans" w:cs="Arial"/>
          <w:sz w:val="20"/>
          <w:szCs w:val="20"/>
        </w:rPr>
        <w:footnoteReference w:id="643"/>
      </w:r>
      <w:r>
        <w:rPr>
          <w:rFonts w:ascii="Open Sans" w:hAnsi="Open Sans" w:cs="Arial"/>
          <w:sz w:val="20"/>
          <w:szCs w:val="20"/>
        </w:rPr>
        <w:t xml:space="preserve"> y otras instituciones</w:t>
      </w:r>
      <w:r>
        <w:rPr>
          <w:rStyle w:val="Refdenotaalpie"/>
          <w:rFonts w:ascii="Open Sans" w:hAnsi="Open Sans" w:cs="Arial"/>
          <w:sz w:val="20"/>
          <w:szCs w:val="20"/>
        </w:rPr>
        <w:footnoteReference w:id="644"/>
      </w:r>
      <w:r>
        <w:rPr>
          <w:rFonts w:ascii="Open Sans" w:hAnsi="Open Sans" w:cs="Arial"/>
          <w:sz w:val="20"/>
          <w:szCs w:val="20"/>
        </w:rPr>
        <w:t xml:space="preserve"> se está trabajando para que las empresas estén obligadas a aportar mayor información. En el caso de IAG, el grupo </w:t>
      </w:r>
      <w:r w:rsidRPr="00724C1E">
        <w:rPr>
          <w:rFonts w:ascii="Open Sans" w:hAnsi="Open Sans" w:cs="Open Sans"/>
          <w:sz w:val="20"/>
          <w:szCs w:val="20"/>
        </w:rPr>
        <w:t xml:space="preserve">no sigue los estándares internacionales </w:t>
      </w:r>
      <w:r>
        <w:rPr>
          <w:rFonts w:ascii="Open Sans" w:hAnsi="Open Sans" w:cs="Open Sans"/>
          <w:sz w:val="20"/>
          <w:szCs w:val="20"/>
        </w:rPr>
        <w:t>en relación a la información país a país</w:t>
      </w:r>
      <w:r w:rsidRPr="00724C1E">
        <w:rPr>
          <w:rFonts w:ascii="Open Sans" w:hAnsi="Open Sans" w:cs="Open Sans"/>
          <w:sz w:val="20"/>
          <w:szCs w:val="20"/>
        </w:rPr>
        <w:t xml:space="preserve"> que promueven que la empresa presente infor</w:t>
      </w:r>
      <w:r>
        <w:rPr>
          <w:rFonts w:ascii="Open Sans" w:hAnsi="Open Sans" w:cs="Open Sans"/>
          <w:sz w:val="20"/>
          <w:szCs w:val="20"/>
        </w:rPr>
        <w:t xml:space="preserve">mación país a país de una serie </w:t>
      </w:r>
      <w:r w:rsidRPr="00724C1E">
        <w:rPr>
          <w:rFonts w:ascii="Open Sans" w:hAnsi="Open Sans" w:cs="Open Sans"/>
          <w:sz w:val="20"/>
          <w:szCs w:val="20"/>
        </w:rPr>
        <w:t>de partidas financieras y de la actividad que realiza en los territorios donde está presente.</w:t>
      </w:r>
      <w:r>
        <w:rPr>
          <w:rFonts w:ascii="Open Sans" w:hAnsi="Open Sans" w:cs="Open Sans"/>
          <w:sz w:val="20"/>
          <w:szCs w:val="20"/>
        </w:rPr>
        <w:t xml:space="preserve"> </w:t>
      </w:r>
    </w:p>
    <w:p w14:paraId="2E53CE9E" w14:textId="77777777" w:rsidR="00256EC8" w:rsidRDefault="00256EC8" w:rsidP="00256EC8">
      <w:pPr>
        <w:jc w:val="both"/>
        <w:rPr>
          <w:rFonts w:ascii="Open Sans" w:hAnsi="Open Sans" w:cs="Arial"/>
          <w:sz w:val="20"/>
          <w:szCs w:val="20"/>
        </w:rPr>
      </w:pPr>
    </w:p>
    <w:p w14:paraId="602A56A4" w14:textId="77777777" w:rsidR="00256EC8" w:rsidRDefault="00256EC8" w:rsidP="00256EC8">
      <w:pPr>
        <w:jc w:val="both"/>
        <w:rPr>
          <w:rFonts w:ascii="Open Sans" w:hAnsi="Open Sans" w:cs="Arial"/>
          <w:sz w:val="20"/>
          <w:szCs w:val="20"/>
        </w:rPr>
      </w:pPr>
      <w:r>
        <w:rPr>
          <w:rFonts w:ascii="Open Sans" w:hAnsi="Open Sans" w:cs="Open Sans"/>
          <w:sz w:val="20"/>
          <w:szCs w:val="20"/>
        </w:rPr>
        <w:t>La</w:t>
      </w:r>
      <w:r>
        <w:rPr>
          <w:rFonts w:ascii="Open Sans" w:hAnsi="Open Sans" w:cs="Arial"/>
          <w:sz w:val="20"/>
          <w:szCs w:val="20"/>
        </w:rPr>
        <w:t xml:space="preserve"> información en materia fiscal se limita a la información legal de las cuentas anuales consolidadas. Esta información de carácter técnico y no accesible por su dificultad de entendimiento para el gran público, impide conocer muchos aspectos a sus grupos de interés como son la operativa que realiza a través de filiales domiciliadas en paraísos fiscales o cual es la contribución a las haciendas públicas en todos los países en los que tiene filiales, entre otros.</w:t>
      </w:r>
    </w:p>
    <w:p w14:paraId="534ACA36" w14:textId="77777777" w:rsidR="00256EC8" w:rsidRDefault="00256EC8" w:rsidP="00256EC8">
      <w:pPr>
        <w:jc w:val="both"/>
        <w:rPr>
          <w:rFonts w:ascii="Open Sans" w:hAnsi="Open Sans" w:cs="Arial"/>
          <w:sz w:val="20"/>
          <w:szCs w:val="20"/>
        </w:rPr>
      </w:pPr>
    </w:p>
    <w:p w14:paraId="773C6463" w14:textId="77777777" w:rsidR="00256EC8" w:rsidRDefault="00256EC8" w:rsidP="00256EC8">
      <w:pPr>
        <w:jc w:val="both"/>
        <w:rPr>
          <w:rFonts w:ascii="Open Sans" w:hAnsi="Open Sans" w:cs="Arial"/>
          <w:sz w:val="20"/>
          <w:szCs w:val="20"/>
        </w:rPr>
      </w:pPr>
      <w:r>
        <w:rPr>
          <w:rFonts w:ascii="Open Sans" w:hAnsi="Open Sans" w:cs="Arial"/>
          <w:sz w:val="20"/>
          <w:szCs w:val="20"/>
        </w:rPr>
        <w:t xml:space="preserve">La falta de un compromiso explícito en relación con una fiscalidad responsable con acciones y resultados concretos y la falta de una mayor transparencia ante estas cuestiones podría generar suspicacias sobre sí el grupo está o no beneficiándose de su estructura societaria para practicar una fiscalidad agresiva. Esta desconfianza de la sociedad hacia su sistema fiscal es un aspecto que el propio grupo considera como un posible riesgo reputacional, sin embargo, llama la atención que en su último informe anual no haya optado por una mayor transparencia hacia estas cuestiones. </w:t>
      </w:r>
    </w:p>
    <w:p w14:paraId="1A393276" w14:textId="77777777" w:rsidR="00F042E9" w:rsidRDefault="00F042E9" w:rsidP="00F042E9">
      <w:pPr>
        <w:jc w:val="both"/>
        <w:rPr>
          <w:rFonts w:ascii="Open Sans" w:hAnsi="Open Sans" w:cs="Arial"/>
          <w:sz w:val="20"/>
          <w:szCs w:val="20"/>
        </w:rPr>
      </w:pPr>
    </w:p>
    <w:p w14:paraId="1F518EBE" w14:textId="1046F4A2" w:rsidR="00F042E9" w:rsidRDefault="00F042E9">
      <w:pPr>
        <w:rPr>
          <w:rFonts w:ascii="Open Sans" w:hAnsi="Open Sans" w:cs="Arial"/>
          <w:sz w:val="20"/>
          <w:szCs w:val="20"/>
        </w:rPr>
      </w:pPr>
      <w:r>
        <w:rPr>
          <w:rFonts w:ascii="Open Sans" w:hAnsi="Open Sans" w:cs="Arial"/>
          <w:sz w:val="20"/>
          <w:szCs w:val="20"/>
        </w:rPr>
        <w:br w:type="page"/>
      </w:r>
    </w:p>
    <w:p w14:paraId="79D7A343" w14:textId="77777777" w:rsidR="00C52EA4" w:rsidRPr="00BC0CDA" w:rsidRDefault="00C52EA4" w:rsidP="00C52EA4">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Open Sans"/>
          <w:b/>
          <w:szCs w:val="20"/>
        </w:rPr>
      </w:pPr>
      <w:bookmarkStart w:id="112" w:name="Mediaset"/>
      <w:r w:rsidRPr="00BC0CDA">
        <w:rPr>
          <w:rFonts w:ascii="Open Sans" w:hAnsi="Open Sans" w:cs="Open Sans"/>
          <w:b/>
          <w:szCs w:val="20"/>
        </w:rPr>
        <w:t xml:space="preserve">MEDIASET ESPAÑA COMUNICACIÓN, S.A. </w:t>
      </w:r>
      <w:bookmarkEnd w:id="112"/>
    </w:p>
    <w:p w14:paraId="609F3926" w14:textId="77777777" w:rsidR="00C52EA4" w:rsidRPr="00BC0CDA" w:rsidRDefault="00C52EA4" w:rsidP="00C52EA4">
      <w:pPr>
        <w:pBdr>
          <w:top w:val="single" w:sz="4" w:space="1" w:color="auto"/>
          <w:left w:val="single" w:sz="4" w:space="4" w:color="auto"/>
          <w:bottom w:val="single" w:sz="4" w:space="1" w:color="auto"/>
          <w:right w:val="single" w:sz="4" w:space="4" w:color="auto"/>
        </w:pBdr>
        <w:shd w:val="clear" w:color="auto" w:fill="000080"/>
        <w:jc w:val="center"/>
        <w:outlineLvl w:val="4"/>
        <w:rPr>
          <w:rFonts w:ascii="Open Sans" w:hAnsi="Open Sans" w:cs="Arial"/>
          <w:b/>
          <w:i/>
          <w:caps/>
          <w:color w:val="FFFFFF"/>
        </w:rPr>
      </w:pPr>
      <w:r w:rsidRPr="00BC0CDA">
        <w:rPr>
          <w:rFonts w:ascii="Open Sans" w:hAnsi="Open Sans" w:cs="Arial"/>
          <w:b/>
          <w:i/>
          <w:color w:val="FFFFFF"/>
        </w:rPr>
        <w:t>(Mediaset)</w:t>
      </w:r>
    </w:p>
    <w:p w14:paraId="576051BA" w14:textId="77777777" w:rsidR="00C52EA4" w:rsidRPr="00BC0CDA" w:rsidRDefault="00C52EA4" w:rsidP="00C52EA4">
      <w:pPr>
        <w:spacing w:before="120"/>
        <w:jc w:val="both"/>
        <w:outlineLvl w:val="5"/>
        <w:rPr>
          <w:rFonts w:ascii="Open Sans" w:hAnsi="Open Sans" w:cs="Arial"/>
          <w:b/>
          <w:sz w:val="22"/>
          <w:szCs w:val="22"/>
          <w:u w:val="single"/>
        </w:rPr>
      </w:pPr>
    </w:p>
    <w:p w14:paraId="27FE127E" w14:textId="77777777" w:rsidR="008A4E8A" w:rsidRDefault="008A4E8A" w:rsidP="00FE521A">
      <w:pPr>
        <w:jc w:val="both"/>
        <w:rPr>
          <w:rFonts w:ascii="Open Sans" w:eastAsia="Arial" w:hAnsi="Open Sans" w:cs="Open Sans"/>
          <w:sz w:val="20"/>
          <w:szCs w:val="20"/>
        </w:rPr>
      </w:pPr>
    </w:p>
    <w:p w14:paraId="10A37175" w14:textId="77777777" w:rsidR="0099187E" w:rsidRDefault="0099187E" w:rsidP="0099187E">
      <w:pPr>
        <w:spacing w:before="120"/>
        <w:jc w:val="both"/>
        <w:outlineLvl w:val="5"/>
        <w:rPr>
          <w:rFonts w:ascii="Open Sans" w:hAnsi="Open Sans" w:cs="Arial"/>
          <w:b/>
          <w:sz w:val="22"/>
          <w:szCs w:val="22"/>
          <w:u w:val="single"/>
        </w:rPr>
      </w:pPr>
      <w:r w:rsidRPr="00BC0CDA">
        <w:rPr>
          <w:rFonts w:ascii="Open Sans" w:hAnsi="Open Sans" w:cs="Arial"/>
          <w:b/>
          <w:sz w:val="22"/>
          <w:szCs w:val="22"/>
          <w:u w:val="single"/>
        </w:rPr>
        <w:t>1. Datos generales de la entidad</w:t>
      </w:r>
    </w:p>
    <w:p w14:paraId="69443CEA" w14:textId="77777777" w:rsidR="0099187E" w:rsidRPr="00BC0CDA" w:rsidRDefault="0099187E" w:rsidP="0099187E">
      <w:pPr>
        <w:spacing w:before="120"/>
        <w:jc w:val="both"/>
        <w:outlineLvl w:val="5"/>
        <w:rPr>
          <w:rFonts w:ascii="Open Sans" w:hAnsi="Open Sans" w:cs="Arial"/>
          <w:b/>
          <w:sz w:val="22"/>
          <w:szCs w:val="22"/>
          <w:u w:val="single"/>
        </w:rPr>
      </w:pPr>
    </w:p>
    <w:p w14:paraId="79E1CBAC" w14:textId="77777777" w:rsidR="0099187E" w:rsidRPr="00BC0CDA" w:rsidRDefault="0099187E" w:rsidP="0099187E">
      <w:pPr>
        <w:jc w:val="both"/>
        <w:rPr>
          <w:rFonts w:ascii="Open Sans" w:hAnsi="Open Sans" w:cs="Arial"/>
          <w:sz w:val="20"/>
          <w:szCs w:val="20"/>
          <w:u w:val="single"/>
        </w:rPr>
      </w:pPr>
      <w:r w:rsidRPr="00BC0CDA">
        <w:rPr>
          <w:rFonts w:ascii="Open Sans" w:hAnsi="Open Sans" w:cs="Arial"/>
          <w:sz w:val="20"/>
          <w:szCs w:val="20"/>
          <w:u w:val="single"/>
        </w:rPr>
        <w:t>Productos/servicios</w:t>
      </w:r>
    </w:p>
    <w:p w14:paraId="664F908D"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El Grupo Mediaset España es un grupo de comunicación formado por un conjunto de empresas dedicadas al desarrollo de negocios vinculados con el sector audiovisual, cuya actividad se centra en la producción y emisión de contenidos televisivos, siendo su principal línea de negocio la explotación del espacio publicitario de las cadenas de televisión en las que opera. Además realiza actividades complementarias relacionadas: gestión publicitaria (Publiespaña), agencia de noticias (Atlas), producción audiovisual (Telecinco Cinema) y juego online (Premiere Megaplex)</w:t>
      </w:r>
      <w:r>
        <w:rPr>
          <w:rFonts w:ascii="Open Sans" w:hAnsi="Open Sans" w:cs="Arial"/>
          <w:sz w:val="20"/>
          <w:szCs w:val="20"/>
        </w:rPr>
        <w:t>.</w:t>
      </w:r>
    </w:p>
    <w:p w14:paraId="15694FDC" w14:textId="77777777" w:rsidR="0099187E" w:rsidRPr="00BC0CDA" w:rsidRDefault="0099187E" w:rsidP="0099187E">
      <w:pPr>
        <w:jc w:val="both"/>
        <w:rPr>
          <w:rFonts w:ascii="Open Sans" w:hAnsi="Open Sans" w:cs="Arial"/>
          <w:sz w:val="20"/>
          <w:szCs w:val="20"/>
        </w:rPr>
      </w:pPr>
    </w:p>
    <w:p w14:paraId="04296E36"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Actualmente explota comercialmente los canales de televisión Telecinco, Cuatro, Factoría de Ficción, Boing, Divinity y Energy, contando con las correspondientes licencias concedidas para prestar el servicio de comunicación audiovisual.</w:t>
      </w:r>
    </w:p>
    <w:p w14:paraId="4475C570" w14:textId="77777777" w:rsidR="0099187E" w:rsidRDefault="0099187E" w:rsidP="0099187E">
      <w:pPr>
        <w:jc w:val="both"/>
        <w:rPr>
          <w:rFonts w:ascii="Open Sans" w:hAnsi="Open Sans" w:cs="Arial"/>
          <w:sz w:val="20"/>
          <w:szCs w:val="20"/>
        </w:rPr>
      </w:pPr>
    </w:p>
    <w:p w14:paraId="75243FE3" w14:textId="77777777" w:rsidR="0099187E" w:rsidRPr="00BC0CDA" w:rsidRDefault="0099187E" w:rsidP="0099187E">
      <w:pPr>
        <w:jc w:val="both"/>
        <w:rPr>
          <w:rFonts w:ascii="Open Sans" w:hAnsi="Open Sans" w:cs="Arial"/>
          <w:sz w:val="20"/>
          <w:szCs w:val="20"/>
        </w:rPr>
      </w:pPr>
    </w:p>
    <w:p w14:paraId="0AB3DE61" w14:textId="77777777" w:rsidR="0099187E" w:rsidRDefault="0099187E" w:rsidP="0099187E">
      <w:pPr>
        <w:jc w:val="both"/>
        <w:rPr>
          <w:rFonts w:ascii="Open Sans" w:hAnsi="Open Sans" w:cs="Arial"/>
          <w:sz w:val="20"/>
          <w:szCs w:val="20"/>
          <w:u w:val="single"/>
        </w:rPr>
      </w:pPr>
      <w:r w:rsidRPr="00BC0CDA">
        <w:rPr>
          <w:rFonts w:ascii="Open Sans" w:hAnsi="Open Sans" w:cs="Arial"/>
          <w:sz w:val="20"/>
          <w:szCs w:val="20"/>
          <w:u w:val="single"/>
        </w:rPr>
        <w:t xml:space="preserve">Alcance geográfico </w:t>
      </w:r>
    </w:p>
    <w:p w14:paraId="3166ECE8" w14:textId="77777777" w:rsidR="0099187E" w:rsidRPr="00BC0CDA" w:rsidRDefault="0099187E" w:rsidP="0099187E">
      <w:pPr>
        <w:jc w:val="both"/>
        <w:rPr>
          <w:rFonts w:ascii="Open Sans" w:hAnsi="Open Sans" w:cs="Arial"/>
          <w:sz w:val="20"/>
          <w:szCs w:val="20"/>
          <w:u w:val="single"/>
        </w:rPr>
      </w:pPr>
    </w:p>
    <w:p w14:paraId="549B4690" w14:textId="77777777" w:rsidR="0099187E" w:rsidRDefault="0099187E" w:rsidP="0099187E">
      <w:pPr>
        <w:jc w:val="both"/>
        <w:rPr>
          <w:rFonts w:ascii="Open Sans" w:eastAsia="Arial" w:hAnsi="Open Sans" w:cs="Open Sans"/>
          <w:sz w:val="20"/>
          <w:szCs w:val="20"/>
        </w:rPr>
      </w:pPr>
      <w:r w:rsidRPr="00BC0CDA">
        <w:rPr>
          <w:rFonts w:ascii="Open Sans" w:eastAsia="Arial" w:hAnsi="Open Sans" w:cs="Open Sans"/>
          <w:sz w:val="20"/>
          <w:szCs w:val="20"/>
        </w:rPr>
        <w:t>A la vista de la descripción de las empresas que conforman el grupo, Mediaset España Comunicación S.A. opera o tiene presencia en los siguientes países:</w:t>
      </w:r>
    </w:p>
    <w:p w14:paraId="63EEEAB0" w14:textId="77777777" w:rsidR="0099187E" w:rsidRPr="00BC0CDA" w:rsidRDefault="0099187E" w:rsidP="0099187E">
      <w:pPr>
        <w:jc w:val="both"/>
        <w:rPr>
          <w:rFonts w:ascii="Open Sans" w:eastAsia="Arial" w:hAnsi="Open Sans" w:cs="Open Sans"/>
          <w:sz w:val="20"/>
          <w:szCs w:val="20"/>
        </w:rPr>
      </w:pPr>
    </w:p>
    <w:p w14:paraId="5FAE3CC0" w14:textId="77777777" w:rsidR="0099187E" w:rsidRPr="00BC0CDA" w:rsidRDefault="0099187E" w:rsidP="000B70C9">
      <w:pPr>
        <w:numPr>
          <w:ilvl w:val="0"/>
          <w:numId w:val="76"/>
        </w:numPr>
        <w:suppressAutoHyphens/>
        <w:autoSpaceDE w:val="0"/>
        <w:jc w:val="both"/>
        <w:rPr>
          <w:rFonts w:ascii="Open Sans" w:eastAsia="Arial" w:hAnsi="Open Sans" w:cs="Open Sans"/>
          <w:sz w:val="20"/>
          <w:szCs w:val="20"/>
        </w:rPr>
      </w:pPr>
      <w:r w:rsidRPr="00BC0CDA">
        <w:rPr>
          <w:rFonts w:ascii="Open Sans" w:eastAsia="Arial" w:hAnsi="Open Sans" w:cs="Open Sans"/>
          <w:sz w:val="20"/>
          <w:szCs w:val="20"/>
        </w:rPr>
        <w:t>España.</w:t>
      </w:r>
    </w:p>
    <w:p w14:paraId="3A5D7149" w14:textId="77777777" w:rsidR="0099187E" w:rsidRPr="00BC0CDA" w:rsidRDefault="0099187E" w:rsidP="000B70C9">
      <w:pPr>
        <w:numPr>
          <w:ilvl w:val="0"/>
          <w:numId w:val="76"/>
        </w:numPr>
        <w:suppressAutoHyphens/>
        <w:autoSpaceDE w:val="0"/>
        <w:jc w:val="both"/>
        <w:rPr>
          <w:rFonts w:ascii="Open Sans" w:eastAsia="Arial" w:hAnsi="Open Sans" w:cs="Open Sans"/>
          <w:sz w:val="20"/>
          <w:szCs w:val="20"/>
        </w:rPr>
      </w:pPr>
      <w:r w:rsidRPr="00BC0CDA">
        <w:rPr>
          <w:rFonts w:ascii="Open Sans" w:eastAsia="Arial" w:hAnsi="Open Sans" w:cs="Open Sans"/>
          <w:sz w:val="20"/>
          <w:szCs w:val="20"/>
        </w:rPr>
        <w:t>Estados Unidos</w:t>
      </w:r>
    </w:p>
    <w:p w14:paraId="2DCFC7B3" w14:textId="77777777" w:rsidR="0099187E" w:rsidRDefault="0099187E" w:rsidP="0099187E">
      <w:pPr>
        <w:suppressAutoHyphens/>
        <w:autoSpaceDE w:val="0"/>
        <w:ind w:left="720"/>
        <w:jc w:val="both"/>
        <w:rPr>
          <w:rFonts w:ascii="Open Sans" w:eastAsia="Arial" w:hAnsi="Open Sans" w:cs="Open Sans"/>
          <w:sz w:val="20"/>
          <w:szCs w:val="20"/>
        </w:rPr>
      </w:pPr>
    </w:p>
    <w:p w14:paraId="172CF120" w14:textId="77777777" w:rsidR="0099187E" w:rsidRPr="00BC0CDA" w:rsidRDefault="0099187E" w:rsidP="0099187E">
      <w:pPr>
        <w:suppressAutoHyphens/>
        <w:autoSpaceDE w:val="0"/>
        <w:ind w:left="720"/>
        <w:jc w:val="both"/>
        <w:rPr>
          <w:rFonts w:ascii="Open Sans" w:eastAsia="Arial" w:hAnsi="Open Sans" w:cs="Open Sans"/>
          <w:sz w:val="20"/>
          <w:szCs w:val="20"/>
        </w:rPr>
      </w:pPr>
    </w:p>
    <w:p w14:paraId="322B1CF6" w14:textId="77777777" w:rsidR="0099187E" w:rsidRDefault="0099187E" w:rsidP="0099187E">
      <w:pPr>
        <w:jc w:val="both"/>
        <w:rPr>
          <w:rFonts w:ascii="Open Sans" w:hAnsi="Open Sans" w:cs="Arial"/>
          <w:sz w:val="20"/>
          <w:szCs w:val="20"/>
          <w:u w:val="single"/>
        </w:rPr>
      </w:pPr>
      <w:r w:rsidRPr="00BC0CDA">
        <w:rPr>
          <w:rFonts w:ascii="Open Sans" w:hAnsi="Open Sans" w:cs="Arial"/>
          <w:sz w:val="20"/>
          <w:szCs w:val="20"/>
          <w:u w:val="single"/>
        </w:rPr>
        <w:t>Cifras relevantes de la empresa:</w:t>
      </w:r>
    </w:p>
    <w:p w14:paraId="3B02D605" w14:textId="77777777" w:rsidR="0099187E" w:rsidRPr="00BC0CDA" w:rsidRDefault="0099187E" w:rsidP="0099187E">
      <w:pPr>
        <w:jc w:val="both"/>
        <w:rPr>
          <w:rFonts w:ascii="Open Sans" w:hAnsi="Open Sans" w:cs="Arial"/>
          <w:sz w:val="20"/>
          <w:szCs w:val="20"/>
          <w:u w:val="single"/>
        </w:rPr>
      </w:pPr>
    </w:p>
    <w:p w14:paraId="76D950AF" w14:textId="77777777" w:rsidR="0099187E" w:rsidRPr="00BC0CDA" w:rsidRDefault="0099187E" w:rsidP="0099187E">
      <w:pPr>
        <w:jc w:val="both"/>
        <w:rPr>
          <w:rFonts w:ascii="Open Sans" w:hAnsi="Open Sans" w:cs="Arial"/>
          <w:sz w:val="20"/>
          <w:szCs w:val="20"/>
          <w:u w:val="single"/>
        </w:rPr>
      </w:pPr>
    </w:p>
    <w:tbl>
      <w:tblPr>
        <w:tblW w:w="0" w:type="auto"/>
        <w:jc w:val="center"/>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7"/>
        <w:gridCol w:w="2693"/>
      </w:tblGrid>
      <w:tr w:rsidR="0099187E" w:rsidRPr="00BC0CDA" w14:paraId="61A8EEE5" w14:textId="77777777" w:rsidTr="003E002C">
        <w:trPr>
          <w:jc w:val="center"/>
        </w:trPr>
        <w:tc>
          <w:tcPr>
            <w:tcW w:w="2377" w:type="dxa"/>
            <w:shd w:val="clear" w:color="auto" w:fill="auto"/>
            <w:vAlign w:val="center"/>
          </w:tcPr>
          <w:p w14:paraId="09F945BC"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Activos totales</w:t>
            </w:r>
          </w:p>
        </w:tc>
        <w:tc>
          <w:tcPr>
            <w:tcW w:w="2693" w:type="dxa"/>
            <w:shd w:val="clear" w:color="auto" w:fill="auto"/>
            <w:vAlign w:val="center"/>
          </w:tcPr>
          <w:p w14:paraId="3AF4F006"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1.386.145.000 €</w:t>
            </w:r>
          </w:p>
        </w:tc>
      </w:tr>
      <w:tr w:rsidR="0099187E" w:rsidRPr="00BC0CDA" w14:paraId="18A420A9" w14:textId="77777777" w:rsidTr="003E002C">
        <w:trPr>
          <w:jc w:val="center"/>
        </w:trPr>
        <w:tc>
          <w:tcPr>
            <w:tcW w:w="2377" w:type="dxa"/>
            <w:shd w:val="clear" w:color="auto" w:fill="auto"/>
            <w:vAlign w:val="center"/>
          </w:tcPr>
          <w:p w14:paraId="28E1A36E"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Total ingresos de explotación</w:t>
            </w:r>
          </w:p>
        </w:tc>
        <w:tc>
          <w:tcPr>
            <w:tcW w:w="2693" w:type="dxa"/>
            <w:shd w:val="clear" w:color="auto" w:fill="auto"/>
            <w:vAlign w:val="center"/>
          </w:tcPr>
          <w:p w14:paraId="73477D70" w14:textId="77777777" w:rsidR="0099187E" w:rsidRPr="00BC0CDA" w:rsidRDefault="0099187E" w:rsidP="003E002C">
            <w:pPr>
              <w:ind w:left="176"/>
              <w:jc w:val="both"/>
              <w:rPr>
                <w:rFonts w:ascii="Open Sans" w:hAnsi="Open Sans" w:cs="Arial"/>
                <w:sz w:val="20"/>
                <w:szCs w:val="20"/>
              </w:rPr>
            </w:pPr>
            <w:r w:rsidRPr="00BC0CDA">
              <w:rPr>
                <w:rFonts w:ascii="Open Sans" w:hAnsi="Open Sans" w:cs="Arial"/>
                <w:sz w:val="20"/>
                <w:szCs w:val="20"/>
              </w:rPr>
              <w:t>971.931.000 €</w:t>
            </w:r>
          </w:p>
        </w:tc>
      </w:tr>
      <w:tr w:rsidR="0099187E" w:rsidRPr="00BC0CDA" w14:paraId="5EFEB04E" w14:textId="77777777" w:rsidTr="003E002C">
        <w:trPr>
          <w:jc w:val="center"/>
        </w:trPr>
        <w:tc>
          <w:tcPr>
            <w:tcW w:w="2377" w:type="dxa"/>
            <w:shd w:val="clear" w:color="auto" w:fill="auto"/>
            <w:vAlign w:val="center"/>
          </w:tcPr>
          <w:p w14:paraId="6B85A751"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Número de empleados</w:t>
            </w:r>
          </w:p>
        </w:tc>
        <w:tc>
          <w:tcPr>
            <w:tcW w:w="2693" w:type="dxa"/>
            <w:shd w:val="clear" w:color="auto" w:fill="auto"/>
            <w:vAlign w:val="center"/>
          </w:tcPr>
          <w:p w14:paraId="0170C9E9" w14:textId="77777777" w:rsidR="0099187E" w:rsidRPr="00BC0CDA" w:rsidRDefault="0099187E" w:rsidP="003E002C">
            <w:pPr>
              <w:ind w:left="176"/>
              <w:jc w:val="both"/>
              <w:rPr>
                <w:rFonts w:ascii="Open Sans" w:hAnsi="Open Sans" w:cs="Arial"/>
                <w:sz w:val="20"/>
                <w:szCs w:val="20"/>
              </w:rPr>
            </w:pPr>
            <w:r w:rsidRPr="00BC0CDA">
              <w:rPr>
                <w:rFonts w:ascii="Open Sans" w:hAnsi="Open Sans" w:cs="Arial"/>
                <w:sz w:val="20"/>
                <w:szCs w:val="20"/>
              </w:rPr>
              <w:t>1.266</w:t>
            </w:r>
          </w:p>
        </w:tc>
      </w:tr>
      <w:tr w:rsidR="0099187E" w:rsidRPr="00BC0CDA" w14:paraId="4D52931B" w14:textId="77777777" w:rsidTr="003E002C">
        <w:trPr>
          <w:jc w:val="center"/>
        </w:trPr>
        <w:tc>
          <w:tcPr>
            <w:tcW w:w="2377" w:type="dxa"/>
            <w:shd w:val="clear" w:color="auto" w:fill="auto"/>
            <w:vAlign w:val="center"/>
          </w:tcPr>
          <w:p w14:paraId="6BBE972C"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Beneficio antes de impuesto</w:t>
            </w:r>
          </w:p>
        </w:tc>
        <w:tc>
          <w:tcPr>
            <w:tcW w:w="2693" w:type="dxa"/>
            <w:shd w:val="clear" w:color="auto" w:fill="auto"/>
            <w:vAlign w:val="center"/>
          </w:tcPr>
          <w:p w14:paraId="09BA5B70" w14:textId="77777777" w:rsidR="0099187E" w:rsidRPr="00BC0CDA" w:rsidRDefault="0099187E" w:rsidP="003E002C">
            <w:pPr>
              <w:ind w:left="176"/>
              <w:jc w:val="both"/>
              <w:rPr>
                <w:rFonts w:ascii="Open Sans" w:hAnsi="Open Sans" w:cs="Arial"/>
                <w:sz w:val="20"/>
                <w:szCs w:val="20"/>
              </w:rPr>
            </w:pPr>
            <w:r w:rsidRPr="00BC0CDA">
              <w:rPr>
                <w:rFonts w:ascii="Open Sans" w:hAnsi="Open Sans" w:cs="Arial"/>
                <w:sz w:val="20"/>
                <w:szCs w:val="20"/>
              </w:rPr>
              <w:t>219.140.000 €</w:t>
            </w:r>
          </w:p>
        </w:tc>
      </w:tr>
      <w:tr w:rsidR="0099187E" w:rsidRPr="00BC0CDA" w14:paraId="5EB9F8FD" w14:textId="77777777" w:rsidTr="003E002C">
        <w:trPr>
          <w:jc w:val="center"/>
        </w:trPr>
        <w:tc>
          <w:tcPr>
            <w:tcW w:w="2377" w:type="dxa"/>
            <w:shd w:val="clear" w:color="auto" w:fill="auto"/>
            <w:vAlign w:val="center"/>
          </w:tcPr>
          <w:p w14:paraId="73E24E38"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Impuesto de sociedades</w:t>
            </w:r>
          </w:p>
        </w:tc>
        <w:tc>
          <w:tcPr>
            <w:tcW w:w="2693" w:type="dxa"/>
            <w:shd w:val="clear" w:color="auto" w:fill="auto"/>
            <w:vAlign w:val="center"/>
          </w:tcPr>
          <w:p w14:paraId="4BDFAB43" w14:textId="77777777" w:rsidR="0099187E" w:rsidRPr="00BC0CDA" w:rsidRDefault="0099187E" w:rsidP="003E002C">
            <w:pPr>
              <w:ind w:left="176"/>
              <w:jc w:val="both"/>
              <w:rPr>
                <w:rFonts w:ascii="Open Sans" w:hAnsi="Open Sans" w:cs="Arial"/>
                <w:sz w:val="20"/>
                <w:szCs w:val="20"/>
              </w:rPr>
            </w:pPr>
            <w:r w:rsidRPr="00BC0CDA">
              <w:rPr>
                <w:rFonts w:ascii="Open Sans" w:hAnsi="Open Sans" w:cs="Arial"/>
                <w:sz w:val="20"/>
                <w:szCs w:val="20"/>
              </w:rPr>
              <w:t>53.187.000  €</w:t>
            </w:r>
          </w:p>
        </w:tc>
      </w:tr>
      <w:tr w:rsidR="0099187E" w:rsidRPr="00BC0CDA" w14:paraId="08AA9FED" w14:textId="77777777" w:rsidTr="003E002C">
        <w:trPr>
          <w:jc w:val="center"/>
        </w:trPr>
        <w:tc>
          <w:tcPr>
            <w:tcW w:w="2377" w:type="dxa"/>
            <w:shd w:val="clear" w:color="auto" w:fill="auto"/>
            <w:vAlign w:val="center"/>
          </w:tcPr>
          <w:p w14:paraId="1F91DEF9" w14:textId="77777777" w:rsidR="0099187E" w:rsidRPr="00BC0CDA" w:rsidRDefault="0099187E" w:rsidP="003E002C">
            <w:pPr>
              <w:ind w:left="34"/>
              <w:rPr>
                <w:rFonts w:ascii="Open Sans" w:hAnsi="Open Sans" w:cs="Arial"/>
                <w:sz w:val="20"/>
                <w:szCs w:val="20"/>
              </w:rPr>
            </w:pPr>
            <w:r w:rsidRPr="00BC0CDA">
              <w:rPr>
                <w:rFonts w:ascii="Open Sans" w:hAnsi="Open Sans" w:cs="Arial"/>
                <w:sz w:val="20"/>
                <w:szCs w:val="20"/>
              </w:rPr>
              <w:t>Tasa efectiva</w:t>
            </w:r>
          </w:p>
        </w:tc>
        <w:tc>
          <w:tcPr>
            <w:tcW w:w="2693" w:type="dxa"/>
            <w:shd w:val="clear" w:color="auto" w:fill="auto"/>
            <w:vAlign w:val="center"/>
          </w:tcPr>
          <w:p w14:paraId="3A23C0DD" w14:textId="77777777" w:rsidR="0099187E" w:rsidRPr="00BC0CDA" w:rsidRDefault="0099187E" w:rsidP="003E002C">
            <w:pPr>
              <w:ind w:left="176"/>
              <w:jc w:val="both"/>
              <w:rPr>
                <w:rFonts w:ascii="Open Sans" w:hAnsi="Open Sans" w:cs="Arial"/>
                <w:sz w:val="20"/>
                <w:szCs w:val="20"/>
              </w:rPr>
            </w:pPr>
            <w:r w:rsidRPr="00BC0CDA">
              <w:rPr>
                <w:rFonts w:ascii="Open Sans" w:hAnsi="Open Sans" w:cs="Arial"/>
                <w:sz w:val="20"/>
                <w:szCs w:val="20"/>
              </w:rPr>
              <w:t>24%</w:t>
            </w:r>
          </w:p>
        </w:tc>
      </w:tr>
    </w:tbl>
    <w:p w14:paraId="14C5FF12" w14:textId="77777777" w:rsidR="0099187E" w:rsidRDefault="0099187E" w:rsidP="0099187E">
      <w:pPr>
        <w:jc w:val="both"/>
        <w:rPr>
          <w:rFonts w:ascii="Open Sans" w:hAnsi="Open Sans" w:cs="Arial"/>
          <w:sz w:val="20"/>
          <w:szCs w:val="20"/>
          <w:u w:val="single"/>
        </w:rPr>
      </w:pPr>
    </w:p>
    <w:p w14:paraId="0AD72351" w14:textId="77777777" w:rsidR="0099187E" w:rsidRDefault="0099187E" w:rsidP="0099187E">
      <w:pPr>
        <w:rPr>
          <w:rFonts w:ascii="Open Sans" w:hAnsi="Open Sans" w:cs="Arial"/>
          <w:sz w:val="20"/>
          <w:szCs w:val="20"/>
          <w:u w:val="single"/>
        </w:rPr>
      </w:pPr>
      <w:r>
        <w:rPr>
          <w:rFonts w:ascii="Open Sans" w:hAnsi="Open Sans" w:cs="Arial"/>
          <w:sz w:val="20"/>
          <w:szCs w:val="20"/>
          <w:u w:val="single"/>
        </w:rPr>
        <w:br w:type="page"/>
      </w:r>
    </w:p>
    <w:p w14:paraId="7A72A2BA" w14:textId="77777777" w:rsidR="0099187E" w:rsidRPr="00BC0CDA" w:rsidRDefault="0099187E" w:rsidP="0099187E">
      <w:pPr>
        <w:jc w:val="both"/>
        <w:rPr>
          <w:rFonts w:ascii="Open Sans" w:hAnsi="Open Sans" w:cs="Arial"/>
          <w:sz w:val="20"/>
          <w:szCs w:val="20"/>
          <w:u w:val="single"/>
        </w:rPr>
      </w:pPr>
    </w:p>
    <w:p w14:paraId="1AD9C4A4" w14:textId="77777777" w:rsidR="0099187E" w:rsidRDefault="0099187E" w:rsidP="0099187E">
      <w:pPr>
        <w:jc w:val="both"/>
        <w:rPr>
          <w:rFonts w:ascii="Open Sans" w:hAnsi="Open Sans" w:cs="Arial"/>
          <w:sz w:val="20"/>
          <w:szCs w:val="20"/>
          <w:u w:val="single"/>
        </w:rPr>
      </w:pPr>
      <w:r w:rsidRPr="00BC0CDA">
        <w:rPr>
          <w:rFonts w:ascii="Open Sans" w:hAnsi="Open Sans" w:cs="Arial"/>
          <w:sz w:val="20"/>
          <w:szCs w:val="20"/>
          <w:u w:val="single"/>
        </w:rPr>
        <w:t>Estándares voluntarios relacionados con fiscalidad responsable</w:t>
      </w:r>
    </w:p>
    <w:p w14:paraId="2F597FDA" w14:textId="77777777" w:rsidR="0099187E" w:rsidRPr="00BC0CDA" w:rsidRDefault="0099187E" w:rsidP="0099187E">
      <w:pPr>
        <w:jc w:val="both"/>
        <w:rPr>
          <w:rFonts w:ascii="Open Sans" w:hAnsi="Open Sans" w:cs="Arial"/>
          <w:sz w:val="20"/>
          <w:szCs w:val="20"/>
          <w:u w:val="single"/>
        </w:rPr>
      </w:pPr>
    </w:p>
    <w:p w14:paraId="178A917C"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Mediaset informa en su Documento Política y Estrategia Fiscal (2016), que: </w:t>
      </w:r>
    </w:p>
    <w:p w14:paraId="39FBF9DF" w14:textId="77777777" w:rsidR="0099187E" w:rsidRPr="00BC0CDA" w:rsidRDefault="0099187E" w:rsidP="0099187E">
      <w:pPr>
        <w:jc w:val="both"/>
        <w:rPr>
          <w:rFonts w:ascii="Open Sans" w:hAnsi="Open Sans" w:cs="Arial"/>
          <w:sz w:val="20"/>
          <w:szCs w:val="20"/>
        </w:rPr>
      </w:pPr>
    </w:p>
    <w:p w14:paraId="12AD9FDB" w14:textId="77777777" w:rsidR="0099187E" w:rsidRPr="00BC0CDA" w:rsidRDefault="0099187E" w:rsidP="000B70C9">
      <w:pPr>
        <w:pStyle w:val="Prrafodelista"/>
        <w:numPr>
          <w:ilvl w:val="0"/>
          <w:numId w:val="77"/>
        </w:numPr>
        <w:rPr>
          <w:rFonts w:ascii="Open Sans" w:hAnsi="Open Sans" w:cs="Arial"/>
          <w:sz w:val="20"/>
          <w:szCs w:val="20"/>
        </w:rPr>
      </w:pPr>
      <w:r w:rsidRPr="00BC0CDA">
        <w:rPr>
          <w:rFonts w:ascii="Open Sans" w:hAnsi="Open Sans" w:cs="Arial"/>
          <w:sz w:val="20"/>
          <w:szCs w:val="20"/>
        </w:rPr>
        <w:t xml:space="preserve">Asume el cumplimiento de las “Líneas Directrices de la OCDE para empresas multinacionales” y </w:t>
      </w:r>
    </w:p>
    <w:p w14:paraId="29DA3EBF" w14:textId="77777777" w:rsidR="0099187E" w:rsidRPr="00BC0CDA" w:rsidRDefault="0099187E" w:rsidP="000B70C9">
      <w:pPr>
        <w:pStyle w:val="Prrafodelista"/>
        <w:numPr>
          <w:ilvl w:val="0"/>
          <w:numId w:val="77"/>
        </w:numPr>
        <w:rPr>
          <w:rFonts w:ascii="Open Sans" w:hAnsi="Open Sans"/>
          <w:color w:val="000000"/>
        </w:rPr>
      </w:pPr>
      <w:r w:rsidRPr="00BC0CDA">
        <w:rPr>
          <w:rFonts w:ascii="Open Sans" w:hAnsi="Open Sans" w:cs="Arial"/>
          <w:sz w:val="20"/>
          <w:szCs w:val="20"/>
        </w:rPr>
        <w:t>se adhiere al “Código de Buenas Prácticas Tributarias de la Administración Pública”.</w:t>
      </w:r>
    </w:p>
    <w:p w14:paraId="34A5E2FB" w14:textId="77777777" w:rsidR="0099187E" w:rsidRPr="00BC0CDA" w:rsidRDefault="0099187E" w:rsidP="0099187E">
      <w:pPr>
        <w:pStyle w:val="Prrafodelista"/>
        <w:spacing w:before="120"/>
        <w:ind w:left="420"/>
        <w:rPr>
          <w:rFonts w:ascii="Open Sans" w:hAnsi="Open Sans"/>
          <w:color w:val="000000"/>
        </w:rPr>
      </w:pPr>
    </w:p>
    <w:p w14:paraId="5B01767F" w14:textId="77777777" w:rsidR="0099187E" w:rsidRPr="00BC0CDA" w:rsidRDefault="0099187E" w:rsidP="0099187E">
      <w:pPr>
        <w:spacing w:before="120"/>
        <w:jc w:val="both"/>
        <w:rPr>
          <w:rFonts w:ascii="Open Sans" w:hAnsi="Open Sans" w:cs="Arial"/>
          <w:sz w:val="20"/>
          <w:szCs w:val="20"/>
          <w:u w:val="single"/>
        </w:rPr>
      </w:pPr>
      <w:r w:rsidRPr="00BC0CDA">
        <w:rPr>
          <w:rFonts w:ascii="Open Sans" w:hAnsi="Open Sans" w:cs="Arial"/>
          <w:sz w:val="20"/>
          <w:szCs w:val="20"/>
          <w:u w:val="single"/>
        </w:rPr>
        <w:t>Documentos incluidos en el análisis</w:t>
      </w:r>
    </w:p>
    <w:p w14:paraId="622BD2A2" w14:textId="77777777" w:rsidR="0099187E" w:rsidRPr="00BC0CDA" w:rsidRDefault="0099187E" w:rsidP="0099187E">
      <w:pPr>
        <w:spacing w:before="120"/>
        <w:jc w:val="both"/>
        <w:rPr>
          <w:rFonts w:ascii="Open Sans" w:hAnsi="Open Sans" w:cs="Arial"/>
          <w:sz w:val="20"/>
          <w:szCs w:val="20"/>
        </w:rPr>
      </w:pPr>
      <w:r w:rsidRPr="00BC0CDA">
        <w:rPr>
          <w:rFonts w:ascii="Open Sans" w:hAnsi="Open Sans" w:cs="Arial"/>
          <w:sz w:val="20"/>
          <w:szCs w:val="20"/>
        </w:rPr>
        <w:t>Para el análisis de la calidad de la información relacionada con fiscalidad de la empresa, se ha tenido en cuenta la información contenida en la siguiente documentación:</w:t>
      </w:r>
    </w:p>
    <w:p w14:paraId="463C6B4A" w14:textId="77777777" w:rsidR="0099187E" w:rsidRPr="00BC0CDA" w:rsidRDefault="0099187E" w:rsidP="0099187E">
      <w:pPr>
        <w:spacing w:before="120"/>
        <w:ind w:firstLine="709"/>
        <w:jc w:val="both"/>
        <w:rPr>
          <w:rFonts w:ascii="Open Sans" w:hAnsi="Open Sans" w:cs="Arial"/>
          <w:sz w:val="22"/>
          <w:szCs w:val="22"/>
        </w:rPr>
      </w:pPr>
    </w:p>
    <w:tbl>
      <w:tblPr>
        <w:tblW w:w="8518" w:type="dxa"/>
        <w:tblLayout w:type="fixed"/>
        <w:tblCellMar>
          <w:left w:w="0" w:type="dxa"/>
          <w:right w:w="0" w:type="dxa"/>
        </w:tblCellMar>
        <w:tblLook w:val="0000" w:firstRow="0" w:lastRow="0" w:firstColumn="0" w:lastColumn="0" w:noHBand="0" w:noVBand="0"/>
      </w:tblPr>
      <w:tblGrid>
        <w:gridCol w:w="4360"/>
        <w:gridCol w:w="4158"/>
      </w:tblGrid>
      <w:tr w:rsidR="0099187E" w:rsidRPr="00BC0CDA" w14:paraId="3EFB1AAE" w14:textId="77777777" w:rsidTr="003E002C">
        <w:trPr>
          <w:trHeight w:val="327"/>
        </w:trPr>
        <w:tc>
          <w:tcPr>
            <w:tcW w:w="4360" w:type="dxa"/>
            <w:tcBorders>
              <w:top w:val="single" w:sz="8" w:space="0" w:color="auto"/>
              <w:left w:val="single" w:sz="8" w:space="0" w:color="auto"/>
              <w:bottom w:val="single" w:sz="4" w:space="0" w:color="auto"/>
              <w:right w:val="nil"/>
            </w:tcBorders>
            <w:shd w:val="clear" w:color="auto" w:fill="000080"/>
            <w:tcMar>
              <w:top w:w="13" w:type="dxa"/>
              <w:left w:w="13" w:type="dxa"/>
              <w:bottom w:w="0" w:type="dxa"/>
              <w:right w:w="13" w:type="dxa"/>
            </w:tcMar>
          </w:tcPr>
          <w:p w14:paraId="16ECD8F1" w14:textId="77777777" w:rsidR="0099187E" w:rsidRPr="00BC0CDA" w:rsidRDefault="0099187E" w:rsidP="003E002C">
            <w:pPr>
              <w:spacing w:before="120"/>
              <w:jc w:val="center"/>
              <w:rPr>
                <w:rFonts w:ascii="Open Sans" w:hAnsi="Open Sans" w:cs="Arial"/>
                <w:b/>
                <w:sz w:val="20"/>
                <w:szCs w:val="20"/>
              </w:rPr>
            </w:pPr>
            <w:r w:rsidRPr="00BC0CDA">
              <w:rPr>
                <w:rFonts w:ascii="Open Sans" w:hAnsi="Open Sans" w:cs="Arial"/>
                <w:b/>
                <w:sz w:val="20"/>
                <w:szCs w:val="20"/>
              </w:rPr>
              <w:t>DOCUMENTACIÓN</w:t>
            </w:r>
          </w:p>
        </w:tc>
        <w:tc>
          <w:tcPr>
            <w:tcW w:w="4158" w:type="dxa"/>
            <w:tcBorders>
              <w:top w:val="single" w:sz="8" w:space="0" w:color="auto"/>
              <w:left w:val="single" w:sz="8" w:space="0" w:color="auto"/>
              <w:bottom w:val="single" w:sz="4" w:space="0" w:color="auto"/>
              <w:right w:val="single" w:sz="8" w:space="0" w:color="000000"/>
            </w:tcBorders>
            <w:shd w:val="clear" w:color="auto" w:fill="000080"/>
            <w:tcMar>
              <w:top w:w="13" w:type="dxa"/>
              <w:left w:w="13" w:type="dxa"/>
              <w:bottom w:w="0" w:type="dxa"/>
              <w:right w:w="13" w:type="dxa"/>
            </w:tcMar>
          </w:tcPr>
          <w:p w14:paraId="174B4DF9" w14:textId="77777777" w:rsidR="0099187E" w:rsidRPr="00BC0CDA" w:rsidRDefault="0099187E" w:rsidP="003E002C">
            <w:pPr>
              <w:spacing w:before="120"/>
              <w:jc w:val="center"/>
              <w:rPr>
                <w:rFonts w:ascii="Open Sans" w:hAnsi="Open Sans" w:cs="Arial"/>
                <w:b/>
                <w:sz w:val="20"/>
                <w:szCs w:val="20"/>
              </w:rPr>
            </w:pPr>
            <w:r w:rsidRPr="00BC0CDA">
              <w:rPr>
                <w:rFonts w:ascii="Open Sans" w:hAnsi="Open Sans" w:cs="Arial"/>
                <w:b/>
                <w:sz w:val="20"/>
                <w:szCs w:val="20"/>
              </w:rPr>
              <w:t>OBSERVACIONES</w:t>
            </w:r>
          </w:p>
        </w:tc>
      </w:tr>
      <w:tr w:rsidR="0099187E" w:rsidRPr="00BC0CDA" w14:paraId="4BCEF462" w14:textId="77777777" w:rsidTr="003E002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423B5B27"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Cuentas Anuales individuales 2015 MEDIASET España Comunicación, S.A.</w:t>
            </w:r>
          </w:p>
          <w:p w14:paraId="7A24CE1E"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Cuentas Anuales Consolidadas 2015 MEDIASET España Comunicación, S.A.</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10444C4" w14:textId="77777777" w:rsidR="0099187E" w:rsidRPr="00BC0CDA" w:rsidRDefault="0099187E" w:rsidP="003E002C">
            <w:pPr>
              <w:spacing w:before="120"/>
              <w:jc w:val="both"/>
              <w:rPr>
                <w:rFonts w:ascii="Open Sans" w:hAnsi="Open Sans" w:cs="Arial"/>
                <w:sz w:val="20"/>
                <w:szCs w:val="20"/>
              </w:rPr>
            </w:pPr>
          </w:p>
        </w:tc>
      </w:tr>
      <w:tr w:rsidR="0099187E" w:rsidRPr="00BC0CDA" w14:paraId="0FF69294" w14:textId="77777777" w:rsidTr="003E002C">
        <w:trPr>
          <w:trHeight w:val="315"/>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D824411"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Informe anual de Gobierno Corporativo 2015 MEDIASET España Comunicación, S.A.</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97A32AA" w14:textId="77777777" w:rsidR="0099187E" w:rsidRPr="00BC0CDA" w:rsidRDefault="0099187E" w:rsidP="003E002C">
            <w:pPr>
              <w:spacing w:before="120"/>
              <w:jc w:val="both"/>
              <w:rPr>
                <w:rFonts w:ascii="Open Sans" w:hAnsi="Open Sans" w:cs="Arial"/>
                <w:sz w:val="20"/>
                <w:szCs w:val="20"/>
              </w:rPr>
            </w:pPr>
          </w:p>
        </w:tc>
      </w:tr>
      <w:tr w:rsidR="0099187E" w:rsidRPr="00BC0CDA" w14:paraId="04AFF05E" w14:textId="77777777" w:rsidTr="003E002C">
        <w:trPr>
          <w:trHeight w:val="300"/>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0162040C"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Informe de Responsabilidad Corporativa 2015</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2841F064" w14:textId="77777777" w:rsidR="0099187E" w:rsidRPr="00BC0CDA" w:rsidRDefault="0099187E" w:rsidP="003E002C">
            <w:pPr>
              <w:spacing w:before="120"/>
              <w:jc w:val="both"/>
              <w:rPr>
                <w:rFonts w:ascii="Open Sans" w:hAnsi="Open Sans" w:cs="Arial"/>
                <w:sz w:val="20"/>
                <w:szCs w:val="20"/>
              </w:rPr>
            </w:pPr>
          </w:p>
        </w:tc>
      </w:tr>
      <w:tr w:rsidR="0099187E" w:rsidRPr="00BC0CDA" w14:paraId="6B5945B0" w14:textId="77777777" w:rsidTr="003E002C">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6CA5026D"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Empresas Participadas MEDIASET España</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115B019B" w14:textId="77777777" w:rsidR="0099187E" w:rsidRPr="00BC0CDA" w:rsidRDefault="0099187E" w:rsidP="003E002C">
            <w:pPr>
              <w:spacing w:before="120"/>
              <w:jc w:val="both"/>
              <w:rPr>
                <w:rFonts w:ascii="Open Sans" w:hAnsi="Open Sans" w:cs="Arial"/>
                <w:sz w:val="20"/>
                <w:szCs w:val="20"/>
              </w:rPr>
            </w:pPr>
          </w:p>
        </w:tc>
      </w:tr>
      <w:tr w:rsidR="0099187E" w:rsidRPr="00BC0CDA" w14:paraId="60BE6BBC" w14:textId="77777777" w:rsidTr="003E002C">
        <w:trPr>
          <w:trHeight w:val="264"/>
        </w:trPr>
        <w:tc>
          <w:tcPr>
            <w:tcW w:w="4360"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5AD35B7C"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Sociedades Dependientes MEDIASET España</w:t>
            </w:r>
          </w:p>
        </w:tc>
        <w:tc>
          <w:tcPr>
            <w:tcW w:w="4158" w:type="dxa"/>
            <w:tcBorders>
              <w:top w:val="single" w:sz="4" w:space="0" w:color="auto"/>
              <w:left w:val="single" w:sz="4" w:space="0" w:color="auto"/>
              <w:bottom w:val="single" w:sz="4" w:space="0" w:color="auto"/>
              <w:right w:val="single" w:sz="4" w:space="0" w:color="auto"/>
            </w:tcBorders>
            <w:tcMar>
              <w:top w:w="13" w:type="dxa"/>
              <w:left w:w="13" w:type="dxa"/>
              <w:bottom w:w="0" w:type="dxa"/>
              <w:right w:w="13" w:type="dxa"/>
            </w:tcMar>
          </w:tcPr>
          <w:p w14:paraId="7969891F" w14:textId="77777777" w:rsidR="0099187E" w:rsidRPr="00BC0CDA" w:rsidRDefault="0099187E" w:rsidP="003E002C">
            <w:pPr>
              <w:spacing w:before="120"/>
              <w:jc w:val="both"/>
              <w:rPr>
                <w:rFonts w:ascii="Open Sans" w:hAnsi="Open Sans" w:cs="Arial"/>
                <w:sz w:val="20"/>
                <w:szCs w:val="20"/>
              </w:rPr>
            </w:pPr>
          </w:p>
        </w:tc>
      </w:tr>
      <w:tr w:rsidR="0099187E" w:rsidRPr="00BC0CDA" w14:paraId="09389B60" w14:textId="77777777" w:rsidTr="003E002C">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043806B5"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Informe anual de la comisión de auditoria y cumplimiento Ejercicio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74660772" w14:textId="77777777" w:rsidR="0099187E" w:rsidRPr="00BC0CDA" w:rsidRDefault="0099187E" w:rsidP="003E002C">
            <w:pPr>
              <w:spacing w:before="120"/>
              <w:jc w:val="both"/>
              <w:rPr>
                <w:rFonts w:ascii="Open Sans" w:hAnsi="Open Sans" w:cs="Arial"/>
                <w:sz w:val="20"/>
                <w:szCs w:val="20"/>
              </w:rPr>
            </w:pPr>
          </w:p>
        </w:tc>
      </w:tr>
      <w:tr w:rsidR="0099187E" w:rsidRPr="00BC0CDA" w14:paraId="13664A63" w14:textId="77777777" w:rsidTr="003E002C">
        <w:trPr>
          <w:trHeight w:val="270"/>
        </w:trPr>
        <w:tc>
          <w:tcPr>
            <w:tcW w:w="4360"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5BAD6832"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Informe anual sobre operaciones vinculadas. MEDIASET España Comunicación, S.A. 2015</w:t>
            </w:r>
          </w:p>
        </w:tc>
        <w:tc>
          <w:tcPr>
            <w:tcW w:w="4158" w:type="dxa"/>
            <w:tcBorders>
              <w:top w:val="single" w:sz="4" w:space="0" w:color="auto"/>
              <w:left w:val="single" w:sz="4" w:space="0" w:color="auto"/>
              <w:bottom w:val="single" w:sz="4" w:space="0" w:color="auto"/>
              <w:right w:val="single" w:sz="4" w:space="0" w:color="auto"/>
            </w:tcBorders>
            <w:noWrap/>
            <w:tcMar>
              <w:top w:w="13" w:type="dxa"/>
              <w:left w:w="13" w:type="dxa"/>
              <w:bottom w:w="0" w:type="dxa"/>
              <w:right w:w="13" w:type="dxa"/>
            </w:tcMar>
          </w:tcPr>
          <w:p w14:paraId="26833A74" w14:textId="77777777" w:rsidR="0099187E" w:rsidRPr="00BC0CDA" w:rsidRDefault="0099187E" w:rsidP="003E002C">
            <w:pPr>
              <w:spacing w:before="120"/>
              <w:jc w:val="both"/>
              <w:rPr>
                <w:rFonts w:ascii="Open Sans" w:hAnsi="Open Sans" w:cs="Arial"/>
                <w:sz w:val="20"/>
                <w:szCs w:val="20"/>
              </w:rPr>
            </w:pPr>
          </w:p>
        </w:tc>
      </w:tr>
      <w:tr w:rsidR="0099187E" w:rsidRPr="00BC0CDA" w14:paraId="0FAACFC6" w14:textId="77777777" w:rsidTr="003E002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56406E10"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Política y estrategia fiscal, MEDIASET España Comunicación, S.A.</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00CB3B33" w14:textId="77777777" w:rsidR="0099187E" w:rsidRPr="00BC0CDA" w:rsidRDefault="0099187E" w:rsidP="003E002C">
            <w:pPr>
              <w:spacing w:before="120"/>
              <w:jc w:val="both"/>
              <w:rPr>
                <w:rFonts w:ascii="Open Sans" w:hAnsi="Open Sans" w:cs="Arial"/>
                <w:sz w:val="20"/>
                <w:szCs w:val="20"/>
              </w:rPr>
            </w:pPr>
          </w:p>
        </w:tc>
      </w:tr>
      <w:tr w:rsidR="0099187E" w:rsidRPr="00BC0CDA" w14:paraId="2568CA7E" w14:textId="77777777" w:rsidTr="003E002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26F193E8"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Política de responsabilidad social “MEDIASET España Comunicación, S.A.</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1CC3FA5F" w14:textId="77777777" w:rsidR="0099187E" w:rsidRPr="00BC0CDA" w:rsidRDefault="0099187E" w:rsidP="003E002C">
            <w:pPr>
              <w:spacing w:before="120"/>
              <w:jc w:val="both"/>
              <w:rPr>
                <w:rFonts w:ascii="Open Sans" w:hAnsi="Open Sans" w:cs="Arial"/>
                <w:sz w:val="20"/>
                <w:szCs w:val="20"/>
              </w:rPr>
            </w:pPr>
          </w:p>
        </w:tc>
      </w:tr>
      <w:tr w:rsidR="0099187E" w:rsidRPr="00BC0CDA" w14:paraId="5EA33C97" w14:textId="77777777" w:rsidTr="003E002C">
        <w:trPr>
          <w:trHeight w:val="179"/>
        </w:trPr>
        <w:tc>
          <w:tcPr>
            <w:tcW w:w="4360" w:type="dxa"/>
            <w:tcBorders>
              <w:top w:val="single" w:sz="4" w:space="0" w:color="auto"/>
              <w:left w:val="single" w:sz="8" w:space="0" w:color="auto"/>
              <w:bottom w:val="single" w:sz="4" w:space="0" w:color="auto"/>
              <w:right w:val="nil"/>
            </w:tcBorders>
            <w:tcMar>
              <w:top w:w="13" w:type="dxa"/>
              <w:left w:w="13" w:type="dxa"/>
              <w:bottom w:w="0" w:type="dxa"/>
              <w:right w:w="13" w:type="dxa"/>
            </w:tcMar>
          </w:tcPr>
          <w:p w14:paraId="402D19E7" w14:textId="77777777" w:rsidR="0099187E" w:rsidRPr="00BC0CDA" w:rsidRDefault="0099187E" w:rsidP="003E002C">
            <w:pPr>
              <w:spacing w:before="120"/>
              <w:jc w:val="both"/>
              <w:rPr>
                <w:rFonts w:ascii="Open Sans" w:hAnsi="Open Sans" w:cs="Arial"/>
                <w:sz w:val="20"/>
                <w:szCs w:val="20"/>
              </w:rPr>
            </w:pPr>
            <w:r w:rsidRPr="00BC0CDA">
              <w:rPr>
                <w:rFonts w:ascii="Open Sans" w:hAnsi="Open Sans" w:cs="Arial"/>
                <w:sz w:val="20"/>
                <w:szCs w:val="20"/>
              </w:rPr>
              <w:t>Código ético</w:t>
            </w:r>
          </w:p>
        </w:tc>
        <w:tc>
          <w:tcPr>
            <w:tcW w:w="4158" w:type="dxa"/>
            <w:tcBorders>
              <w:top w:val="single" w:sz="4" w:space="0" w:color="auto"/>
              <w:left w:val="single" w:sz="8" w:space="0" w:color="auto"/>
              <w:bottom w:val="single" w:sz="4" w:space="0" w:color="auto"/>
              <w:right w:val="single" w:sz="8" w:space="0" w:color="000000"/>
            </w:tcBorders>
            <w:tcMar>
              <w:top w:w="13" w:type="dxa"/>
              <w:left w:w="13" w:type="dxa"/>
              <w:bottom w:w="0" w:type="dxa"/>
              <w:right w:w="13" w:type="dxa"/>
            </w:tcMar>
          </w:tcPr>
          <w:p w14:paraId="1D47981C" w14:textId="77777777" w:rsidR="0099187E" w:rsidRPr="00BC0CDA" w:rsidRDefault="0099187E" w:rsidP="003E002C">
            <w:pPr>
              <w:spacing w:before="120"/>
              <w:jc w:val="both"/>
              <w:rPr>
                <w:rFonts w:ascii="Open Sans" w:hAnsi="Open Sans" w:cs="Arial"/>
                <w:sz w:val="20"/>
                <w:szCs w:val="20"/>
              </w:rPr>
            </w:pPr>
          </w:p>
        </w:tc>
      </w:tr>
    </w:tbl>
    <w:p w14:paraId="37586591" w14:textId="77777777" w:rsidR="0099187E" w:rsidRDefault="0099187E" w:rsidP="0099187E">
      <w:pPr>
        <w:spacing w:before="120"/>
        <w:jc w:val="both"/>
        <w:outlineLvl w:val="5"/>
        <w:rPr>
          <w:rFonts w:ascii="Open Sans" w:hAnsi="Open Sans" w:cs="Arial"/>
          <w:b/>
          <w:sz w:val="20"/>
          <w:szCs w:val="20"/>
          <w:u w:val="single"/>
        </w:rPr>
      </w:pPr>
    </w:p>
    <w:p w14:paraId="553D370D" w14:textId="77777777" w:rsidR="0099187E" w:rsidRDefault="0099187E" w:rsidP="0099187E">
      <w:pPr>
        <w:rPr>
          <w:rFonts w:ascii="Open Sans" w:hAnsi="Open Sans" w:cs="Arial"/>
          <w:b/>
          <w:sz w:val="20"/>
          <w:szCs w:val="20"/>
          <w:u w:val="single"/>
        </w:rPr>
      </w:pPr>
      <w:r>
        <w:rPr>
          <w:rFonts w:ascii="Open Sans" w:hAnsi="Open Sans" w:cs="Arial"/>
          <w:b/>
          <w:sz w:val="20"/>
          <w:szCs w:val="20"/>
          <w:u w:val="single"/>
        </w:rPr>
        <w:br w:type="page"/>
      </w:r>
    </w:p>
    <w:p w14:paraId="2875E396" w14:textId="77777777" w:rsidR="0099187E" w:rsidRPr="00BC0CDA" w:rsidRDefault="0099187E" w:rsidP="0099187E">
      <w:pPr>
        <w:spacing w:before="120"/>
        <w:jc w:val="both"/>
        <w:outlineLvl w:val="5"/>
        <w:rPr>
          <w:rFonts w:ascii="Open Sans" w:hAnsi="Open Sans" w:cs="Arial"/>
          <w:b/>
          <w:sz w:val="20"/>
          <w:szCs w:val="20"/>
          <w:u w:val="single"/>
        </w:rPr>
      </w:pPr>
    </w:p>
    <w:p w14:paraId="4DA8C09E" w14:textId="77777777" w:rsidR="0099187E" w:rsidRPr="00BC0CDA" w:rsidRDefault="0099187E" w:rsidP="0099187E">
      <w:pPr>
        <w:spacing w:before="120"/>
        <w:jc w:val="both"/>
        <w:outlineLvl w:val="5"/>
        <w:rPr>
          <w:rFonts w:ascii="Open Sans" w:hAnsi="Open Sans" w:cs="Arial"/>
          <w:b/>
          <w:sz w:val="22"/>
          <w:szCs w:val="22"/>
          <w:u w:val="single"/>
        </w:rPr>
      </w:pPr>
      <w:r w:rsidRPr="00BC0CDA">
        <w:rPr>
          <w:rFonts w:ascii="Open Sans" w:hAnsi="Open Sans" w:cs="Arial"/>
          <w:b/>
          <w:sz w:val="22"/>
          <w:szCs w:val="22"/>
          <w:u w:val="single"/>
        </w:rPr>
        <w:t>2. Tablas de resultados</w:t>
      </w:r>
    </w:p>
    <w:p w14:paraId="5DF2400B" w14:textId="77777777" w:rsidR="0099187E" w:rsidRDefault="0099187E" w:rsidP="0099187E">
      <w:pPr>
        <w:spacing w:before="120"/>
        <w:jc w:val="both"/>
        <w:rPr>
          <w:rFonts w:ascii="Open Sans" w:hAnsi="Open Sans" w:cs="Arial"/>
          <w:b/>
          <w:color w:val="FF0000"/>
          <w:sz w:val="22"/>
          <w:szCs w:val="22"/>
        </w:rPr>
      </w:pPr>
    </w:p>
    <w:p w14:paraId="318FCD40" w14:textId="77777777" w:rsidR="0099187E" w:rsidRDefault="0099187E" w:rsidP="0099187E">
      <w:pPr>
        <w:spacing w:before="120"/>
        <w:jc w:val="center"/>
        <w:rPr>
          <w:rFonts w:ascii="Open Sans" w:hAnsi="Open Sans" w:cs="Arial"/>
          <w:b/>
          <w:color w:val="FF0000"/>
          <w:sz w:val="22"/>
          <w:szCs w:val="22"/>
        </w:rPr>
      </w:pPr>
      <w:r w:rsidRPr="007829A9">
        <w:rPr>
          <w:rFonts w:ascii="Open Sans" w:hAnsi="Open Sans" w:cs="Arial"/>
          <w:b/>
          <w:sz w:val="20"/>
          <w:szCs w:val="22"/>
          <w:u w:val="single"/>
          <w:lang w:eastAsia="ar-SA"/>
        </w:rPr>
        <w:t>TABLA 1: Valoraciones por dimensión</w:t>
      </w:r>
    </w:p>
    <w:p w14:paraId="74C1CF43" w14:textId="77777777" w:rsidR="0099187E" w:rsidRDefault="0099187E" w:rsidP="0099187E">
      <w:pPr>
        <w:spacing w:before="120"/>
        <w:jc w:val="center"/>
        <w:rPr>
          <w:rFonts w:ascii="Open Sans" w:hAnsi="Open Sans" w:cs="Arial"/>
          <w:b/>
          <w:color w:val="FF0000"/>
          <w:sz w:val="22"/>
          <w:szCs w:val="22"/>
        </w:rPr>
      </w:pPr>
    </w:p>
    <w:p w14:paraId="4A393453" w14:textId="77777777" w:rsidR="0099187E" w:rsidRDefault="0099187E" w:rsidP="0099187E">
      <w:pPr>
        <w:spacing w:before="120"/>
        <w:ind w:left="1416"/>
        <w:jc w:val="both"/>
        <w:rPr>
          <w:rFonts w:ascii="Open Sans" w:hAnsi="Open Sans" w:cs="Arial"/>
          <w:b/>
          <w:color w:val="FF0000"/>
          <w:sz w:val="22"/>
          <w:szCs w:val="22"/>
        </w:rPr>
      </w:pPr>
      <w:r>
        <w:rPr>
          <w:rFonts w:ascii="Open Sans" w:hAnsi="Open Sans" w:cs="Arial"/>
          <w:b/>
          <w:noProof/>
          <w:color w:val="FF0000"/>
          <w:sz w:val="22"/>
          <w:szCs w:val="22"/>
          <w:lang w:val="es-ES"/>
        </w:rPr>
        <w:drawing>
          <wp:inline distT="0" distB="0" distL="0" distR="0" wp14:anchorId="1DF3EB12" wp14:editId="318DE1F0">
            <wp:extent cx="3688080" cy="185928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a:ext>
                      </a:extLst>
                    </a:blip>
                    <a:srcRect/>
                    <a:stretch>
                      <a:fillRect/>
                    </a:stretch>
                  </pic:blipFill>
                  <pic:spPr bwMode="auto">
                    <a:xfrm>
                      <a:off x="0" y="0"/>
                      <a:ext cx="3688080" cy="1859280"/>
                    </a:xfrm>
                    <a:prstGeom prst="rect">
                      <a:avLst/>
                    </a:prstGeom>
                    <a:noFill/>
                    <a:ln>
                      <a:noFill/>
                    </a:ln>
                  </pic:spPr>
                </pic:pic>
              </a:graphicData>
            </a:graphic>
          </wp:inline>
        </w:drawing>
      </w:r>
    </w:p>
    <w:p w14:paraId="0F993F14" w14:textId="77777777" w:rsidR="0099187E" w:rsidRPr="00BC0CDA" w:rsidRDefault="0099187E" w:rsidP="0099187E">
      <w:pPr>
        <w:spacing w:before="120"/>
        <w:jc w:val="both"/>
        <w:rPr>
          <w:rFonts w:ascii="Open Sans" w:hAnsi="Open Sans" w:cs="Arial"/>
          <w:b/>
          <w:u w:val="single"/>
        </w:rPr>
      </w:pPr>
    </w:p>
    <w:p w14:paraId="05159D77" w14:textId="77777777" w:rsidR="0099187E" w:rsidRPr="00BC0CDA" w:rsidRDefault="0099187E" w:rsidP="0099187E">
      <w:pPr>
        <w:spacing w:before="120"/>
        <w:jc w:val="both"/>
        <w:rPr>
          <w:rFonts w:ascii="Open Sans" w:hAnsi="Open Sans" w:cs="Arial"/>
          <w:b/>
          <w:u w:val="single"/>
        </w:rPr>
      </w:pPr>
    </w:p>
    <w:p w14:paraId="29467E60" w14:textId="77777777" w:rsidR="0099187E" w:rsidRPr="00BC0CDA" w:rsidRDefault="0099187E" w:rsidP="0099187E">
      <w:pPr>
        <w:jc w:val="both"/>
        <w:outlineLvl w:val="5"/>
        <w:rPr>
          <w:rFonts w:ascii="Open Sans" w:hAnsi="Open Sans" w:cs="Arial"/>
          <w:b/>
          <w:sz w:val="22"/>
          <w:szCs w:val="22"/>
          <w:u w:val="single"/>
        </w:rPr>
      </w:pPr>
      <w:r w:rsidRPr="00BC0CDA">
        <w:rPr>
          <w:rFonts w:ascii="Open Sans" w:hAnsi="Open Sans" w:cs="Arial"/>
          <w:b/>
          <w:sz w:val="22"/>
          <w:szCs w:val="22"/>
          <w:u w:val="single"/>
        </w:rPr>
        <w:t>3. Contexto general</w:t>
      </w:r>
    </w:p>
    <w:p w14:paraId="106AFFCC" w14:textId="77777777" w:rsidR="0099187E" w:rsidRPr="00BC0CDA" w:rsidRDefault="0099187E" w:rsidP="0099187E">
      <w:pPr>
        <w:jc w:val="both"/>
        <w:outlineLvl w:val="5"/>
        <w:rPr>
          <w:rFonts w:ascii="Open Sans" w:hAnsi="Open Sans" w:cs="Arial"/>
          <w:b/>
          <w:sz w:val="22"/>
          <w:szCs w:val="22"/>
          <w:u w:val="single"/>
        </w:rPr>
      </w:pPr>
    </w:p>
    <w:p w14:paraId="73E3DD31"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 xml:space="preserve">El sector audiovisual  en España se caracteriza por una alta  concentración  en torno a las plataformas televisivas Mediaset España y Atresmedia Comunicación, las cuales dominan más del 90% del mercado publicitario y más del 68% de la audiencia. </w:t>
      </w:r>
    </w:p>
    <w:p w14:paraId="07A9A7D3" w14:textId="77777777" w:rsidR="0099187E" w:rsidRPr="00BC0CDA" w:rsidRDefault="0099187E" w:rsidP="0099187E">
      <w:pPr>
        <w:jc w:val="both"/>
        <w:rPr>
          <w:rFonts w:ascii="Open Sans" w:hAnsi="Open Sans" w:cs="Arial"/>
          <w:sz w:val="20"/>
          <w:szCs w:val="20"/>
        </w:rPr>
      </w:pPr>
    </w:p>
    <w:p w14:paraId="12980945"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Entre los principales indicadores de desempeño de la compañía destacamos:</w:t>
      </w:r>
    </w:p>
    <w:p w14:paraId="6DA857B5" w14:textId="77777777" w:rsidR="0099187E" w:rsidRPr="00BC0CDA" w:rsidRDefault="0099187E" w:rsidP="0099187E">
      <w:pPr>
        <w:jc w:val="both"/>
        <w:rPr>
          <w:rFonts w:ascii="Open Sans" w:hAnsi="Open Sans" w:cs="Arial"/>
          <w:sz w:val="20"/>
          <w:szCs w:val="20"/>
        </w:rPr>
      </w:pPr>
    </w:p>
    <w:p w14:paraId="6E39AB12" w14:textId="77777777" w:rsidR="0099187E" w:rsidRPr="00BC0CDA" w:rsidRDefault="0099187E" w:rsidP="000B70C9">
      <w:pPr>
        <w:pStyle w:val="Prrafodelista"/>
        <w:numPr>
          <w:ilvl w:val="0"/>
          <w:numId w:val="82"/>
        </w:numPr>
        <w:jc w:val="both"/>
        <w:rPr>
          <w:rFonts w:ascii="Open Sans" w:hAnsi="Open Sans" w:cs="Arial"/>
          <w:sz w:val="20"/>
          <w:szCs w:val="20"/>
        </w:rPr>
      </w:pPr>
      <w:r w:rsidRPr="00BC0CDA">
        <w:rPr>
          <w:rFonts w:ascii="Open Sans" w:hAnsi="Open Sans" w:cs="Arial"/>
          <w:sz w:val="20"/>
          <w:szCs w:val="20"/>
        </w:rPr>
        <w:t xml:space="preserve">Mediaset declara unos ingresos del Grupo para 2015 de 971.931.000 euros, de los que el 93% (901.788.000 €) corresponden a ingresos publicitarios, el 5% (48.824 €) a prestación de servicios y un 2% (21.319.000 €) a Otros (no especificado a qué tipo de actividad corresponde). </w:t>
      </w:r>
    </w:p>
    <w:p w14:paraId="3564B62B" w14:textId="77777777" w:rsidR="0099187E" w:rsidRPr="00BC0CDA" w:rsidRDefault="0099187E" w:rsidP="000B70C9">
      <w:pPr>
        <w:pStyle w:val="Prrafodelista"/>
        <w:numPr>
          <w:ilvl w:val="0"/>
          <w:numId w:val="82"/>
        </w:numPr>
        <w:jc w:val="both"/>
        <w:rPr>
          <w:rFonts w:ascii="Open Sans" w:hAnsi="Open Sans" w:cs="Arial"/>
          <w:sz w:val="20"/>
          <w:szCs w:val="20"/>
        </w:rPr>
      </w:pPr>
      <w:r w:rsidRPr="00BC0CDA">
        <w:rPr>
          <w:rFonts w:ascii="Open Sans" w:hAnsi="Open Sans" w:cs="Arial"/>
          <w:sz w:val="20"/>
          <w:szCs w:val="20"/>
        </w:rPr>
        <w:t>En 2015 ha sido líder en cuota media de pantalla,  con un 31%, una cifra 0,3 puntos superior a la alcanzada en 2014. En target comercial, ha crecido hasta el 33,1% de share en target comercial, segmento que también ha liderado con 2 décimas más que el año anterior.</w:t>
      </w:r>
    </w:p>
    <w:p w14:paraId="73AD675C" w14:textId="77777777" w:rsidR="0099187E" w:rsidRPr="00BC0CDA" w:rsidRDefault="0099187E" w:rsidP="000B70C9">
      <w:pPr>
        <w:pStyle w:val="Prrafodelista"/>
        <w:numPr>
          <w:ilvl w:val="0"/>
          <w:numId w:val="82"/>
        </w:numPr>
        <w:jc w:val="both"/>
        <w:rPr>
          <w:rFonts w:ascii="Open Sans" w:hAnsi="Open Sans" w:cs="Arial"/>
          <w:sz w:val="20"/>
          <w:szCs w:val="20"/>
        </w:rPr>
      </w:pPr>
      <w:r w:rsidRPr="00BC0CDA">
        <w:rPr>
          <w:rFonts w:ascii="Open Sans" w:hAnsi="Open Sans" w:cs="Arial"/>
          <w:sz w:val="20"/>
          <w:szCs w:val="20"/>
        </w:rPr>
        <w:t>Con un beneficio antes de impuestos de 219.140.000 euros, presenta un gasto por impuesto sobre beneficios  de  53.187.000 euros, lo que resulta una la tasa efectiva del 24%.</w:t>
      </w:r>
    </w:p>
    <w:p w14:paraId="5E632929" w14:textId="77777777" w:rsidR="0099187E" w:rsidRPr="00BC0CDA" w:rsidRDefault="0099187E" w:rsidP="000B70C9">
      <w:pPr>
        <w:pStyle w:val="Prrafodelista"/>
        <w:numPr>
          <w:ilvl w:val="0"/>
          <w:numId w:val="82"/>
        </w:numPr>
        <w:jc w:val="both"/>
        <w:rPr>
          <w:rFonts w:ascii="Open Sans" w:hAnsi="Open Sans" w:cs="Arial"/>
          <w:sz w:val="20"/>
          <w:szCs w:val="20"/>
        </w:rPr>
      </w:pPr>
      <w:r w:rsidRPr="00BC0CDA">
        <w:rPr>
          <w:rFonts w:ascii="Open Sans" w:hAnsi="Open Sans" w:cs="Arial"/>
          <w:sz w:val="20"/>
          <w:szCs w:val="20"/>
        </w:rPr>
        <w:t>En cuanto a capitalización bursátil de Mediaset España, a 31 de diciembre, fue de 3.672,7 millones de euros; una reducción del 13,6% justificada principalmente por la reducción del 10% del capital de la compañía aprobada en la Junta General de Accionistas.</w:t>
      </w:r>
    </w:p>
    <w:p w14:paraId="1D2EE396" w14:textId="77777777" w:rsidR="0099187E" w:rsidRPr="00BC0CDA" w:rsidRDefault="0099187E" w:rsidP="000B70C9">
      <w:pPr>
        <w:pStyle w:val="Prrafodelista"/>
        <w:numPr>
          <w:ilvl w:val="0"/>
          <w:numId w:val="82"/>
        </w:numPr>
        <w:jc w:val="both"/>
        <w:rPr>
          <w:rFonts w:ascii="Open Sans" w:hAnsi="Open Sans" w:cs="Arial"/>
          <w:sz w:val="20"/>
          <w:szCs w:val="20"/>
        </w:rPr>
      </w:pPr>
      <w:r w:rsidRPr="00BC0CDA">
        <w:rPr>
          <w:rFonts w:ascii="Open Sans" w:hAnsi="Open Sans" w:cs="Arial"/>
          <w:sz w:val="20"/>
          <w:szCs w:val="20"/>
        </w:rPr>
        <w:t>La plantilla media en  2015 es de 1.266 personas.</w:t>
      </w:r>
    </w:p>
    <w:p w14:paraId="2ADDB53B" w14:textId="77777777" w:rsidR="0099187E" w:rsidRPr="00BC0CDA" w:rsidRDefault="0099187E" w:rsidP="000B70C9">
      <w:pPr>
        <w:pStyle w:val="Prrafodelista"/>
        <w:numPr>
          <w:ilvl w:val="0"/>
          <w:numId w:val="82"/>
        </w:numPr>
        <w:jc w:val="both"/>
        <w:rPr>
          <w:rFonts w:ascii="Open Sans" w:hAnsi="Open Sans" w:cs="Arial"/>
          <w:sz w:val="20"/>
          <w:szCs w:val="20"/>
        </w:rPr>
      </w:pPr>
      <w:r w:rsidRPr="00BC0CDA">
        <w:rPr>
          <w:rFonts w:ascii="Open Sans" w:hAnsi="Open Sans" w:cs="Arial"/>
          <w:sz w:val="20"/>
          <w:szCs w:val="20"/>
        </w:rPr>
        <w:t>Con presencia en la actualidad en las Bolsas de Madrid, Barcelona, Bilbao y Valencia, forma parte del Índice IBEX35 desde el 3 de enero de 2005.</w:t>
      </w:r>
    </w:p>
    <w:p w14:paraId="167E53B4" w14:textId="77777777" w:rsidR="0099187E" w:rsidRPr="00BC0CDA" w:rsidRDefault="0099187E" w:rsidP="0099187E">
      <w:pPr>
        <w:pStyle w:val="Prrafodelista"/>
        <w:jc w:val="both"/>
        <w:rPr>
          <w:rFonts w:ascii="Open Sans" w:hAnsi="Open Sans" w:cs="Arial"/>
          <w:sz w:val="20"/>
          <w:szCs w:val="20"/>
        </w:rPr>
      </w:pPr>
    </w:p>
    <w:p w14:paraId="075DEDDF"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En la memoria de Responsabilidad Corporativa 2015 informa que desde el año 2008 Mediaset España forma parte del FTSE4Good Ibex. Este índice contempla los aspectos relativos a transparencia fiscal y fiscalidad responsable como criterios para la selección de empresas.</w:t>
      </w:r>
    </w:p>
    <w:p w14:paraId="397B3072" w14:textId="77777777" w:rsidR="0099187E" w:rsidRPr="00BC0CDA" w:rsidRDefault="0099187E" w:rsidP="0099187E">
      <w:pPr>
        <w:jc w:val="both"/>
        <w:rPr>
          <w:rFonts w:ascii="Open Sans" w:hAnsi="Open Sans" w:cs="Arial"/>
          <w:sz w:val="20"/>
          <w:szCs w:val="20"/>
        </w:rPr>
      </w:pPr>
    </w:p>
    <w:p w14:paraId="45FE543D"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La compañía describe los principales riesgos de su modelo de negocio identificando grandes bloques de asuntos los derivados de: (1) Entorno regulatorio, (2) concentración de mercado, (3) riesgos inherentes al negocio audiovisual (rentabilidad) (4) entorno político y macroeconómico, (5) Reputacional, Financiero (vinculados a los riesgos de divisa).  En lo que se refiere a el tema que nos ocupa en el presente análisis, los riegos fiscales quedan encuadrados en el primer grupo, al incorporar las modificaciones regulatorias a las que se encuentra sometida la compañía a nivel fiscal (entre otras), e incluso las propias del sector audiovisual, que pueden constituir un riesgo que puede amenazar la estabilidad del negocio y el cumplimiento de los objetivos estratégicos. En este sentido, señalar que entre los materializados este año con incidencia sobre la compañía </w:t>
      </w:r>
      <w:proofErr w:type="gramStart"/>
      <w:r w:rsidRPr="00BC0CDA">
        <w:rPr>
          <w:rFonts w:ascii="Open Sans" w:hAnsi="Open Sans" w:cs="Arial"/>
          <w:sz w:val="20"/>
          <w:szCs w:val="20"/>
        </w:rPr>
        <w:t>están</w:t>
      </w:r>
      <w:proofErr w:type="gramEnd"/>
      <w:r w:rsidRPr="00BC0CDA">
        <w:rPr>
          <w:rFonts w:ascii="Open Sans" w:hAnsi="Open Sans" w:cs="Arial"/>
          <w:sz w:val="20"/>
          <w:szCs w:val="20"/>
        </w:rPr>
        <w:t>:</w:t>
      </w:r>
    </w:p>
    <w:p w14:paraId="48F2854C" w14:textId="77777777" w:rsidR="0099187E" w:rsidRPr="00BC0CDA" w:rsidRDefault="0099187E" w:rsidP="0099187E">
      <w:pPr>
        <w:jc w:val="both"/>
        <w:rPr>
          <w:rFonts w:ascii="Open Sans" w:hAnsi="Open Sans" w:cs="Arial"/>
          <w:sz w:val="20"/>
          <w:szCs w:val="20"/>
        </w:rPr>
      </w:pPr>
    </w:p>
    <w:p w14:paraId="1AF085FC" w14:textId="77777777" w:rsidR="0099187E" w:rsidRDefault="0099187E" w:rsidP="000B70C9">
      <w:pPr>
        <w:pStyle w:val="Prrafodelista"/>
        <w:numPr>
          <w:ilvl w:val="0"/>
          <w:numId w:val="79"/>
        </w:numPr>
        <w:ind w:left="714" w:hanging="357"/>
        <w:contextualSpacing w:val="0"/>
        <w:jc w:val="both"/>
        <w:rPr>
          <w:rFonts w:ascii="Open Sans" w:hAnsi="Open Sans" w:cs="Arial"/>
          <w:sz w:val="20"/>
          <w:szCs w:val="20"/>
        </w:rPr>
      </w:pPr>
      <w:r w:rsidRPr="00BC0CDA">
        <w:rPr>
          <w:rFonts w:ascii="Open Sans" w:hAnsi="Open Sans" w:cs="Arial"/>
          <w:sz w:val="20"/>
          <w:szCs w:val="20"/>
        </w:rPr>
        <w:t>Continuados cambios regulatorios en materia audiovisual e inspecciones editoriales por parte de la Secretaría de Estado para las Telecomunicaciones (SETSI) y de la Comisión Nacional de los Mercados y la Competencia (CNMC). Por lo que la compañía ha implementado dos procedimientos internos para asegurar el cumplimiento de lo establecido por la regulación en materia audiovisual y mitigar posibles sanciones por incoación de expedientes sancionadores. Dichos procedimientos regulan las formas de actuar a la hora de realizar integraciones publicitarias en los programas, así como la metodología para calificar los contenidos a efectos de cumplir con el código de autorregulación en dicha materia.</w:t>
      </w:r>
    </w:p>
    <w:p w14:paraId="1850D211" w14:textId="77777777" w:rsidR="0099187E" w:rsidRPr="00BC0CDA" w:rsidRDefault="0099187E" w:rsidP="0099187E">
      <w:pPr>
        <w:pStyle w:val="Prrafodelista"/>
        <w:ind w:left="714"/>
        <w:contextualSpacing w:val="0"/>
        <w:jc w:val="both"/>
        <w:rPr>
          <w:rFonts w:ascii="Open Sans" w:hAnsi="Open Sans" w:cs="Arial"/>
          <w:sz w:val="20"/>
          <w:szCs w:val="20"/>
        </w:rPr>
      </w:pPr>
    </w:p>
    <w:p w14:paraId="6F978E85" w14:textId="77777777" w:rsidR="0099187E" w:rsidRDefault="0099187E" w:rsidP="000B70C9">
      <w:pPr>
        <w:pStyle w:val="Prrafodelista"/>
        <w:numPr>
          <w:ilvl w:val="0"/>
          <w:numId w:val="79"/>
        </w:numPr>
        <w:ind w:left="714" w:hanging="357"/>
        <w:contextualSpacing w:val="0"/>
        <w:jc w:val="both"/>
        <w:rPr>
          <w:rFonts w:ascii="Open Sans" w:hAnsi="Open Sans" w:cs="Arial"/>
          <w:sz w:val="20"/>
          <w:szCs w:val="20"/>
        </w:rPr>
      </w:pPr>
      <w:r w:rsidRPr="00BC0CDA">
        <w:rPr>
          <w:rFonts w:ascii="Open Sans" w:hAnsi="Open Sans" w:cs="Arial"/>
          <w:sz w:val="20"/>
          <w:szCs w:val="20"/>
        </w:rPr>
        <w:t>Aprobación del Real Decreto 988/2015, de 30 de octubre, por el que se regula el régimen jurídico de la obligación de financiación anticipada de determinadas obras audiovisuales europeas, en el que se indica que las películas rodadas en lengua no castellana no serían consideradas películas españolas a efectos del cómputo de la obligación del 5% de inversión obligatoria anual en obras audiovisuales europeas. Para lo que la compañía ha decidido desarrollar una estrategia de selección individualizada de aquellos proyectos cinematográficos que, estimando que pueden ser rentables, a su vez, garantizan el cumplimiento sistemático de la obligación de inversión anual.</w:t>
      </w:r>
    </w:p>
    <w:p w14:paraId="244374F0" w14:textId="77777777" w:rsidR="0099187E" w:rsidRPr="00BC0CDA" w:rsidRDefault="0099187E" w:rsidP="0099187E">
      <w:pPr>
        <w:pStyle w:val="Prrafodelista"/>
        <w:ind w:left="714"/>
        <w:contextualSpacing w:val="0"/>
        <w:jc w:val="both"/>
        <w:rPr>
          <w:rFonts w:ascii="Open Sans" w:hAnsi="Open Sans" w:cs="Arial"/>
          <w:sz w:val="20"/>
          <w:szCs w:val="20"/>
        </w:rPr>
      </w:pPr>
    </w:p>
    <w:p w14:paraId="4AE9CEF6" w14:textId="77777777" w:rsidR="0099187E" w:rsidRPr="00BC0CDA" w:rsidRDefault="0099187E" w:rsidP="000B70C9">
      <w:pPr>
        <w:pStyle w:val="Prrafodelista"/>
        <w:numPr>
          <w:ilvl w:val="0"/>
          <w:numId w:val="79"/>
        </w:numPr>
        <w:ind w:left="714" w:hanging="357"/>
        <w:contextualSpacing w:val="0"/>
        <w:jc w:val="both"/>
        <w:rPr>
          <w:rFonts w:ascii="Open Sans" w:hAnsi="Open Sans" w:cs="Arial"/>
          <w:sz w:val="20"/>
          <w:szCs w:val="20"/>
        </w:rPr>
      </w:pPr>
      <w:r w:rsidRPr="00BC0CDA">
        <w:rPr>
          <w:rFonts w:ascii="Open Sans" w:hAnsi="Open Sans" w:cs="Arial"/>
          <w:sz w:val="20"/>
          <w:szCs w:val="20"/>
        </w:rPr>
        <w:t>Condiciones establecidas por la CNMC tras la compra de Cuatro, y la apertura de expedientes sancionadores por considerar el incumplimiento de las mismas. El 23 de febrero de 2016 dichas condiciones expiran. La sociedad tiene recurridos los expedientes sancionadores ante los tribunales correspondientes.</w:t>
      </w:r>
    </w:p>
    <w:p w14:paraId="06B5A0EB" w14:textId="77777777" w:rsidR="0099187E" w:rsidRPr="00BC0CDA" w:rsidRDefault="0099187E" w:rsidP="0099187E">
      <w:pPr>
        <w:pStyle w:val="Prrafodelista"/>
        <w:ind w:left="714"/>
        <w:contextualSpacing w:val="0"/>
        <w:jc w:val="both"/>
        <w:rPr>
          <w:rFonts w:ascii="Open Sans" w:hAnsi="Open Sans" w:cs="Arial"/>
          <w:sz w:val="20"/>
          <w:szCs w:val="20"/>
        </w:rPr>
      </w:pPr>
    </w:p>
    <w:p w14:paraId="00EAF9EB"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En la elaboración de la memoria de Responsabilidad Corporativa de 2015, Mediaset España ha realizado un ejercicio de análisis de materialidad para la identificación de asuntos relevantes; para ello ha tenido en cuenta los temas identificados por los siguientes agentes: Principales áreas de negocio de Mediaset España, Informes globales, sectoriales y estándares internacionales: GRI, SASB, Media CSR Forum, RobecoSam, World Economic Forum, Forbes Índices de inversión sostenible: FTSE 4Good, DJSI Población española:  CIS, clipping de prensa, quejas y sugerencias recibidas y principales actores del sector Media a nivel internacional. Prevé avanzar en la inclusión de otros grupos de interés que no han podido ser incorporados en este último proceso de reporting, tales como proveedores, </w:t>
      </w:r>
      <w:r>
        <w:rPr>
          <w:rFonts w:ascii="Open Sans" w:hAnsi="Open Sans" w:cs="Arial"/>
          <w:sz w:val="20"/>
          <w:szCs w:val="20"/>
        </w:rPr>
        <w:t>ONL y ONG</w:t>
      </w:r>
      <w:r w:rsidRPr="00BC0CDA">
        <w:rPr>
          <w:rFonts w:ascii="Open Sans" w:hAnsi="Open Sans" w:cs="Arial"/>
          <w:sz w:val="20"/>
          <w:szCs w:val="20"/>
        </w:rPr>
        <w:t>, así como extender a toda la plantilla la valoración de los asuntos relevantes.</w:t>
      </w:r>
    </w:p>
    <w:p w14:paraId="518255BB" w14:textId="77777777" w:rsidR="0099187E" w:rsidRPr="00BC0CDA" w:rsidRDefault="0099187E" w:rsidP="0099187E">
      <w:pPr>
        <w:jc w:val="both"/>
        <w:rPr>
          <w:rFonts w:ascii="Open Sans" w:hAnsi="Open Sans" w:cs="Arial"/>
          <w:sz w:val="20"/>
          <w:szCs w:val="20"/>
        </w:rPr>
      </w:pPr>
    </w:p>
    <w:p w14:paraId="101FCAF8"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Destacamos que en la matriz de materialidad, la fiscalidad aparece en el puesto 7 de los 29 asuntos identificados, ordenados por criterio de relevancia/importancia tanto para los grupos de interés consultados, como para Mediaset España.</w:t>
      </w:r>
    </w:p>
    <w:p w14:paraId="2EBA377B" w14:textId="77777777" w:rsidR="0099187E" w:rsidRPr="00BC0CDA" w:rsidRDefault="0099187E" w:rsidP="0099187E">
      <w:pPr>
        <w:jc w:val="both"/>
        <w:rPr>
          <w:rFonts w:ascii="Open Sans" w:hAnsi="Open Sans" w:cs="Arial"/>
          <w:sz w:val="20"/>
          <w:szCs w:val="20"/>
        </w:rPr>
      </w:pPr>
    </w:p>
    <w:p w14:paraId="38EF23AE"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Los riesgos fiscales y en concreto y su gestión, se recogen más adelante en este documento en el apartado de Política y estrategia fiscal.</w:t>
      </w:r>
    </w:p>
    <w:p w14:paraId="49389451" w14:textId="77777777" w:rsidR="0099187E" w:rsidRPr="00BC0CDA" w:rsidRDefault="0099187E" w:rsidP="0099187E">
      <w:pPr>
        <w:jc w:val="both"/>
        <w:rPr>
          <w:rFonts w:ascii="Open Sans" w:hAnsi="Open Sans" w:cs="Arial"/>
          <w:sz w:val="20"/>
          <w:szCs w:val="20"/>
        </w:rPr>
      </w:pPr>
    </w:p>
    <w:p w14:paraId="1A9EB38E"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Los compromisos públicos de Mediaset con áreas relacionadas con la RSC se centran en la adhesión al Pacto Mundial de las Naciones Unidas (UN Global Compact). Asimismo se ha adherido a ciertas iniciativas orientadas, especialmente, a la calidad de los contenidos y de autorregulación publicitaria (Asociación para la Autorregulación de Comunicación Comercial (AUTOCONTROL), para anunciantes  y la Comisión Mixta de Seguimiento del Código de Autorregulación sobre Contenidos Televisivos e Infancia, con las principales empresas del sector</w:t>
      </w:r>
      <w:r w:rsidRPr="00BC0CDA">
        <w:rPr>
          <w:rStyle w:val="Refdenotaalpie"/>
          <w:rFonts w:ascii="Open Sans" w:hAnsi="Open Sans" w:cs="Arial"/>
          <w:sz w:val="20"/>
          <w:szCs w:val="20"/>
        </w:rPr>
        <w:footnoteReference w:id="645"/>
      </w:r>
      <w:r w:rsidRPr="00BC0CDA">
        <w:rPr>
          <w:rFonts w:ascii="Open Sans" w:hAnsi="Open Sans" w:cs="Arial"/>
          <w:sz w:val="20"/>
          <w:szCs w:val="20"/>
        </w:rPr>
        <w:t>.</w:t>
      </w:r>
    </w:p>
    <w:p w14:paraId="555B170A" w14:textId="77777777" w:rsidR="0099187E" w:rsidRPr="00BC0CDA" w:rsidRDefault="0099187E" w:rsidP="0099187E">
      <w:pPr>
        <w:jc w:val="both"/>
        <w:rPr>
          <w:rFonts w:ascii="Open Sans" w:hAnsi="Open Sans" w:cs="Arial"/>
          <w:sz w:val="20"/>
          <w:szCs w:val="20"/>
        </w:rPr>
      </w:pPr>
    </w:p>
    <w:p w14:paraId="228FCD46" w14:textId="77777777" w:rsidR="0099187E" w:rsidRDefault="0099187E" w:rsidP="0099187E">
      <w:pPr>
        <w:jc w:val="both"/>
        <w:rPr>
          <w:rFonts w:ascii="Open Sans" w:hAnsi="Open Sans"/>
          <w:sz w:val="20"/>
          <w:szCs w:val="20"/>
        </w:rPr>
      </w:pPr>
      <w:r w:rsidRPr="00BC0CDA">
        <w:rPr>
          <w:rFonts w:ascii="Open Sans" w:hAnsi="Open Sans" w:cs="Arial"/>
          <w:sz w:val="20"/>
          <w:szCs w:val="20"/>
        </w:rPr>
        <w:t xml:space="preserve">Mediaset España informa de las sociedades sobre las que tiene al menos un 20% de participación. La Sociedad es la cabecera de un grupo de sociedades conocido como Grupo Mediaset España Comunicación. Las sociedades consolidadas  (sociedades dependientes) del Grupo son 11, todas ellas con participación del 100%, excepto </w:t>
      </w:r>
      <w:r w:rsidRPr="00BC0CDA">
        <w:rPr>
          <w:rFonts w:ascii="Open Sans" w:hAnsi="Open Sans"/>
          <w:sz w:val="20"/>
          <w:szCs w:val="20"/>
        </w:rPr>
        <w:t xml:space="preserve">Netsonic, S.L., sobre la que tiene un 69,86%. Además cuenta con 7 sociedades asociadas, </w:t>
      </w:r>
      <w:r w:rsidRPr="00BC0CDA">
        <w:rPr>
          <w:rFonts w:ascii="Open Sans" w:hAnsi="Open Sans" w:cs="Arial"/>
          <w:sz w:val="20"/>
          <w:szCs w:val="20"/>
        </w:rPr>
        <w:t>entidades sobre las que Mediaset España tiene capacidad para ejercer una influencia significativa (lo que se presupone cuando la participación es, al menos, del 20%) sin tener control sobre las mismas, y que consolida por el método de la participación.</w:t>
      </w:r>
      <w:r w:rsidRPr="00BC0CDA">
        <w:rPr>
          <w:rFonts w:ascii="Open Sans" w:hAnsi="Open Sans"/>
          <w:sz w:val="20"/>
          <w:szCs w:val="20"/>
        </w:rPr>
        <w:t xml:space="preserve"> </w:t>
      </w:r>
    </w:p>
    <w:p w14:paraId="01C2CCD3" w14:textId="77777777" w:rsidR="0099187E" w:rsidRPr="00BC0CDA" w:rsidRDefault="0099187E" w:rsidP="0099187E">
      <w:pPr>
        <w:jc w:val="both"/>
        <w:rPr>
          <w:rFonts w:ascii="Open Sans" w:hAnsi="Open Sans" w:cs="Arial"/>
          <w:sz w:val="20"/>
          <w:szCs w:val="20"/>
        </w:rPr>
      </w:pPr>
    </w:p>
    <w:p w14:paraId="29387EB0"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 xml:space="preserve">Como sociedad dominante del Grupo, Mediaset España está obligada a elaborar, además de sus propias Cuentas Anuales, las Cuentas Anuales Consolidadas del Grupo. Las sociedades consolidadas del Grupo son: (11) Sociedades dependientes, consolidadas por integración global y </w:t>
      </w:r>
      <w:r>
        <w:rPr>
          <w:rFonts w:ascii="Open Sans" w:hAnsi="Open Sans" w:cs="Arial"/>
          <w:sz w:val="20"/>
          <w:szCs w:val="20"/>
        </w:rPr>
        <w:t>7</w:t>
      </w:r>
      <w:r w:rsidRPr="00BC0CDA">
        <w:rPr>
          <w:rFonts w:ascii="Open Sans" w:hAnsi="Open Sans" w:cs="Arial"/>
          <w:sz w:val="20"/>
          <w:szCs w:val="20"/>
        </w:rPr>
        <w:t xml:space="preserve"> Sociedades asociadas, que consolida por el método de la participación dado que el Grupo no posee en estas ni la mayoría accionarial ni el control. </w:t>
      </w:r>
    </w:p>
    <w:p w14:paraId="7760FD14"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No obstante, destacar que en las Cuentas anuales Consolidadas de 2015,  se indica que la sociedad dominante Mediaset España Comunicación, S.A. presenta el Impuesto sobre sociedades en base consolidada con una lista de 10 sociedades filiales en las que no se incluye Netsonic, S.L. </w:t>
      </w:r>
    </w:p>
    <w:p w14:paraId="5ED9E29F" w14:textId="77777777" w:rsidR="0099187E" w:rsidRPr="00BC0CDA" w:rsidRDefault="0099187E" w:rsidP="0099187E">
      <w:pPr>
        <w:jc w:val="both"/>
        <w:rPr>
          <w:rFonts w:ascii="Open Sans" w:hAnsi="Open Sans" w:cs="Arial"/>
          <w:sz w:val="20"/>
          <w:szCs w:val="20"/>
        </w:rPr>
      </w:pPr>
    </w:p>
    <w:p w14:paraId="67D7DF6D"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Emite un Informe de operaciones vinculadas</w:t>
      </w:r>
      <w:r w:rsidRPr="00BC0CDA">
        <w:rPr>
          <w:rFonts w:ascii="Open Sans" w:hAnsi="Open Sans"/>
          <w:sz w:val="20"/>
          <w:szCs w:val="20"/>
          <w:vertAlign w:val="superscript"/>
        </w:rPr>
        <w:footnoteReference w:id="646"/>
      </w:r>
      <w:r w:rsidRPr="00BC0CDA">
        <w:rPr>
          <w:rFonts w:ascii="Open Sans" w:hAnsi="Open Sans" w:cs="Arial"/>
          <w:sz w:val="20"/>
          <w:szCs w:val="20"/>
        </w:rPr>
        <w:t xml:space="preserve"> en el que se desglosan las operaciones significativas por su cuantía, o relevantes por su materia, realizadas entre Mediaset España y/o entidades de su grupo y su accionista significativo, la sociedad Mediaset Spa, durante el ejercicio 2015. </w:t>
      </w:r>
    </w:p>
    <w:p w14:paraId="5FA3477D" w14:textId="77777777" w:rsidR="0099187E" w:rsidRDefault="0099187E" w:rsidP="0099187E">
      <w:pPr>
        <w:rPr>
          <w:rFonts w:ascii="Open Sans" w:hAnsi="Open Sans" w:cs="Arial"/>
          <w:sz w:val="20"/>
          <w:szCs w:val="20"/>
        </w:rPr>
      </w:pPr>
      <w:r>
        <w:rPr>
          <w:rFonts w:ascii="Open Sans" w:hAnsi="Open Sans" w:cs="Arial"/>
          <w:sz w:val="20"/>
          <w:szCs w:val="20"/>
        </w:rPr>
        <w:br w:type="page"/>
      </w:r>
    </w:p>
    <w:p w14:paraId="15FA8006" w14:textId="77777777" w:rsidR="0099187E" w:rsidRPr="00BC0CDA" w:rsidRDefault="0099187E" w:rsidP="0099187E">
      <w:pPr>
        <w:spacing w:before="120"/>
        <w:jc w:val="both"/>
        <w:rPr>
          <w:rFonts w:ascii="Open Sans" w:hAnsi="Open Sans" w:cs="Arial"/>
          <w:sz w:val="20"/>
          <w:szCs w:val="20"/>
        </w:rPr>
      </w:pPr>
    </w:p>
    <w:p w14:paraId="460E1216" w14:textId="77777777" w:rsidR="0099187E" w:rsidRDefault="0099187E" w:rsidP="0099187E">
      <w:pPr>
        <w:spacing w:before="120"/>
        <w:jc w:val="both"/>
        <w:outlineLvl w:val="5"/>
        <w:rPr>
          <w:rFonts w:ascii="Open Sans" w:hAnsi="Open Sans" w:cs="Arial"/>
          <w:b/>
          <w:sz w:val="22"/>
          <w:szCs w:val="22"/>
          <w:u w:val="single"/>
        </w:rPr>
      </w:pPr>
      <w:r w:rsidRPr="00BC0CDA">
        <w:rPr>
          <w:rFonts w:ascii="Open Sans" w:hAnsi="Open Sans" w:cs="Arial"/>
          <w:b/>
          <w:sz w:val="22"/>
          <w:szCs w:val="22"/>
          <w:u w:val="single"/>
        </w:rPr>
        <w:t>4. Análisis</w:t>
      </w:r>
    </w:p>
    <w:p w14:paraId="24D8C0C4" w14:textId="77777777" w:rsidR="0099187E" w:rsidRPr="00BC0CDA" w:rsidRDefault="0099187E" w:rsidP="0099187E">
      <w:pPr>
        <w:spacing w:before="120"/>
        <w:jc w:val="both"/>
        <w:outlineLvl w:val="5"/>
        <w:rPr>
          <w:rFonts w:ascii="Open Sans" w:hAnsi="Open Sans" w:cs="Arial"/>
          <w:b/>
          <w:sz w:val="22"/>
          <w:szCs w:val="22"/>
          <w:u w:val="single"/>
        </w:rPr>
      </w:pPr>
    </w:p>
    <w:p w14:paraId="2A67F2D3" w14:textId="77777777" w:rsidR="0099187E" w:rsidRDefault="0099187E" w:rsidP="0099187E">
      <w:pPr>
        <w:jc w:val="both"/>
        <w:rPr>
          <w:rFonts w:ascii="Open Sans" w:hAnsi="Open Sans" w:cs="Arial"/>
          <w:sz w:val="20"/>
          <w:szCs w:val="20"/>
          <w:u w:val="single"/>
        </w:rPr>
      </w:pPr>
      <w:r>
        <w:rPr>
          <w:rFonts w:ascii="Open Sans" w:hAnsi="Open Sans" w:cs="Arial"/>
          <w:sz w:val="20"/>
          <w:szCs w:val="20"/>
          <w:u w:val="single"/>
        </w:rPr>
        <w:t>Política y estrategia</w:t>
      </w:r>
    </w:p>
    <w:p w14:paraId="70DB5766" w14:textId="77777777" w:rsidR="0099187E" w:rsidRPr="00BC0CDA" w:rsidRDefault="0099187E" w:rsidP="0099187E">
      <w:pPr>
        <w:jc w:val="both"/>
        <w:rPr>
          <w:rFonts w:ascii="Open Sans" w:hAnsi="Open Sans" w:cs="Arial"/>
          <w:sz w:val="20"/>
          <w:szCs w:val="20"/>
          <w:u w:val="single"/>
        </w:rPr>
      </w:pPr>
    </w:p>
    <w:p w14:paraId="29B4E096" w14:textId="77777777" w:rsidR="0099187E" w:rsidRDefault="0099187E" w:rsidP="0099187E">
      <w:pPr>
        <w:jc w:val="both"/>
        <w:rPr>
          <w:rFonts w:ascii="Open Sans" w:hAnsi="Open Sans" w:cs="Arial"/>
          <w:sz w:val="20"/>
          <w:szCs w:val="20"/>
        </w:rPr>
      </w:pPr>
      <w:r>
        <w:rPr>
          <w:rFonts w:ascii="Open Sans" w:hAnsi="Open Sans" w:cs="Arial"/>
          <w:sz w:val="20"/>
          <w:szCs w:val="20"/>
        </w:rPr>
        <w:t>El d</w:t>
      </w:r>
      <w:r w:rsidRPr="00BC0CDA">
        <w:rPr>
          <w:rFonts w:ascii="Open Sans" w:hAnsi="Open Sans" w:cs="Arial"/>
          <w:sz w:val="20"/>
          <w:szCs w:val="20"/>
        </w:rPr>
        <w:t>ocumento Política y Estrategia Fiscal de Mediaset España Comunicación, S.A.” (2016) que publica en la web, define como pilares fundamentales de la política fiscal de Mediaset: El cumplimiento de obligaciones tributarias,  la Colaboración con las Administraciones Públicas,  el Control de riesgos fiscales y la Transparencia. Todos ellos determinan los siguientes principios de actuación de la política y estrategia fiscal del Grupo:</w:t>
      </w:r>
    </w:p>
    <w:p w14:paraId="1B18AFFD" w14:textId="77777777" w:rsidR="0099187E" w:rsidRPr="00BC0CDA" w:rsidRDefault="0099187E" w:rsidP="0099187E">
      <w:pPr>
        <w:jc w:val="both"/>
        <w:rPr>
          <w:rFonts w:ascii="Open Sans" w:hAnsi="Open Sans" w:cs="Arial"/>
          <w:sz w:val="20"/>
          <w:szCs w:val="20"/>
        </w:rPr>
      </w:pPr>
    </w:p>
    <w:p w14:paraId="1D243A0E" w14:textId="77777777" w:rsidR="0099187E" w:rsidRPr="00BC0CDA" w:rsidRDefault="0099187E" w:rsidP="000B70C9">
      <w:pPr>
        <w:pStyle w:val="Prrafodelista"/>
        <w:numPr>
          <w:ilvl w:val="0"/>
          <w:numId w:val="78"/>
        </w:numPr>
        <w:ind w:left="714" w:hanging="357"/>
        <w:jc w:val="both"/>
        <w:rPr>
          <w:rFonts w:ascii="Open Sans" w:hAnsi="Open Sans" w:cs="Arial"/>
          <w:sz w:val="20"/>
          <w:szCs w:val="20"/>
        </w:rPr>
      </w:pPr>
      <w:r w:rsidRPr="00BC0CDA">
        <w:rPr>
          <w:rFonts w:ascii="Open Sans" w:hAnsi="Open Sans" w:cs="Arial"/>
          <w:sz w:val="20"/>
          <w:szCs w:val="20"/>
        </w:rPr>
        <w:t>Cumplimiento estricto de la normativa tributaria aplicable a la actividad de Mediaset España y su Grupo.</w:t>
      </w:r>
    </w:p>
    <w:p w14:paraId="11D3E6F5" w14:textId="77777777" w:rsidR="0099187E" w:rsidRPr="00BC0CDA" w:rsidRDefault="0099187E" w:rsidP="000B70C9">
      <w:pPr>
        <w:pStyle w:val="Prrafodelista"/>
        <w:numPr>
          <w:ilvl w:val="0"/>
          <w:numId w:val="78"/>
        </w:numPr>
        <w:ind w:left="714" w:hanging="357"/>
        <w:jc w:val="both"/>
        <w:rPr>
          <w:rFonts w:ascii="Open Sans" w:hAnsi="Open Sans" w:cs="Arial"/>
          <w:sz w:val="20"/>
          <w:szCs w:val="20"/>
        </w:rPr>
      </w:pPr>
      <w:r w:rsidRPr="00BC0CDA">
        <w:rPr>
          <w:rFonts w:ascii="Open Sans" w:hAnsi="Open Sans" w:cs="Arial"/>
          <w:sz w:val="20"/>
          <w:szCs w:val="20"/>
        </w:rPr>
        <w:t>Cumplimiento de la obligación de satisfacer los tributos que correspondan, que constituyen la aportación principal de Mediaset España y su Grupo al sostenimiento de las cargas públicas y, por tanto, al desarrollo económico, social y ambiental de España.</w:t>
      </w:r>
    </w:p>
    <w:p w14:paraId="094FFD81" w14:textId="77777777" w:rsidR="0099187E" w:rsidRPr="00BC0CDA" w:rsidRDefault="0099187E" w:rsidP="000B70C9">
      <w:pPr>
        <w:pStyle w:val="Prrafodelista"/>
        <w:numPr>
          <w:ilvl w:val="0"/>
          <w:numId w:val="78"/>
        </w:numPr>
        <w:ind w:left="714" w:hanging="357"/>
        <w:jc w:val="both"/>
        <w:rPr>
          <w:rFonts w:ascii="Open Sans" w:hAnsi="Open Sans" w:cs="Arial"/>
          <w:sz w:val="20"/>
          <w:szCs w:val="20"/>
        </w:rPr>
      </w:pPr>
      <w:r w:rsidRPr="00BC0CDA">
        <w:rPr>
          <w:rFonts w:ascii="Open Sans" w:hAnsi="Open Sans" w:cs="Arial"/>
          <w:sz w:val="20"/>
          <w:szCs w:val="20"/>
        </w:rPr>
        <w:t>Colaboración con la Administración Tributaria, basada en el cumplimiento fiel de la legislación, el diálogo, la reciprocidad y la buena fe.</w:t>
      </w:r>
    </w:p>
    <w:p w14:paraId="5CBCEFB0" w14:textId="77777777" w:rsidR="0099187E" w:rsidRPr="00BC0CDA" w:rsidRDefault="0099187E" w:rsidP="000B70C9">
      <w:pPr>
        <w:pStyle w:val="Prrafodelista"/>
        <w:numPr>
          <w:ilvl w:val="0"/>
          <w:numId w:val="78"/>
        </w:numPr>
        <w:ind w:left="714" w:hanging="357"/>
        <w:jc w:val="both"/>
        <w:rPr>
          <w:rFonts w:ascii="Open Sans" w:hAnsi="Open Sans" w:cs="Arial"/>
          <w:sz w:val="20"/>
          <w:szCs w:val="20"/>
        </w:rPr>
      </w:pPr>
      <w:r w:rsidRPr="00BC0CDA">
        <w:rPr>
          <w:rFonts w:ascii="Open Sans" w:hAnsi="Open Sans" w:cs="Arial"/>
          <w:sz w:val="20"/>
          <w:szCs w:val="20"/>
        </w:rPr>
        <w:t>Transparencia en la comunicación sobre el cumplimiento de las obligaciones tributarias que resulten aplicables, de acuerdo con lo establecido en la legislación vigente y las recomendaciones que pueda dictarse por los órganos supervisores y reguladores.</w:t>
      </w:r>
    </w:p>
    <w:p w14:paraId="57442B1F" w14:textId="77777777" w:rsidR="0099187E" w:rsidRPr="00BC0CDA" w:rsidRDefault="0099187E" w:rsidP="000B70C9">
      <w:pPr>
        <w:pStyle w:val="Prrafodelista"/>
        <w:numPr>
          <w:ilvl w:val="0"/>
          <w:numId w:val="78"/>
        </w:numPr>
        <w:ind w:left="714" w:hanging="357"/>
        <w:jc w:val="both"/>
        <w:rPr>
          <w:rFonts w:ascii="Open Sans" w:hAnsi="Open Sans" w:cs="Arial"/>
          <w:sz w:val="20"/>
          <w:szCs w:val="20"/>
        </w:rPr>
      </w:pPr>
      <w:r w:rsidRPr="00BC0CDA">
        <w:rPr>
          <w:rFonts w:ascii="Open Sans" w:hAnsi="Open Sans" w:cs="Arial"/>
          <w:sz w:val="20"/>
          <w:szCs w:val="20"/>
        </w:rPr>
        <w:t>Compromiso de no implementar ni utilizar estructuras societarias opacas con fines tributarios, entiendo por tales las destinadas a impedir el conocimiento por parte de las Administraciones Públicas de actividades económicas y de su responsable final.</w:t>
      </w:r>
    </w:p>
    <w:p w14:paraId="6D372B96" w14:textId="77777777" w:rsidR="0099187E" w:rsidRPr="00BC0CDA" w:rsidRDefault="0099187E" w:rsidP="000B70C9">
      <w:pPr>
        <w:pStyle w:val="Prrafodelista"/>
        <w:numPr>
          <w:ilvl w:val="0"/>
          <w:numId w:val="78"/>
        </w:numPr>
        <w:ind w:left="714" w:hanging="357"/>
        <w:jc w:val="both"/>
        <w:rPr>
          <w:rFonts w:ascii="Open Sans" w:hAnsi="Open Sans" w:cs="Arial"/>
          <w:sz w:val="20"/>
          <w:szCs w:val="20"/>
        </w:rPr>
      </w:pPr>
      <w:r w:rsidRPr="00BC0CDA">
        <w:rPr>
          <w:rFonts w:ascii="Open Sans" w:hAnsi="Open Sans" w:cs="Arial"/>
          <w:sz w:val="20"/>
          <w:szCs w:val="20"/>
        </w:rPr>
        <w:t>Aprobación por el Consejo de Administración de las operaciones con impacto tributario relevante para la Sociedad o su Grupo, así como de las operaciones e inversiones que pudieran presentar especial riesgo fiscal.</w:t>
      </w:r>
    </w:p>
    <w:p w14:paraId="789005D6" w14:textId="77777777" w:rsidR="0099187E" w:rsidRPr="00BC0CDA" w:rsidRDefault="0099187E" w:rsidP="000B70C9">
      <w:pPr>
        <w:pStyle w:val="Prrafodelista"/>
        <w:numPr>
          <w:ilvl w:val="0"/>
          <w:numId w:val="78"/>
        </w:numPr>
        <w:jc w:val="both"/>
        <w:rPr>
          <w:rFonts w:ascii="Open Sans" w:hAnsi="Open Sans" w:cs="Arial"/>
          <w:sz w:val="20"/>
          <w:szCs w:val="20"/>
        </w:rPr>
      </w:pPr>
      <w:r w:rsidRPr="00BC0CDA">
        <w:rPr>
          <w:rFonts w:ascii="Open Sans" w:hAnsi="Open Sans" w:cs="Arial"/>
          <w:sz w:val="20"/>
          <w:szCs w:val="20"/>
        </w:rPr>
        <w:t>Control y prevención del riesgo fiscal: la política de control y gestión de riesgos identificará los riesgos financieros y no financieros, incluidos los del carácter fiscal, estableciendo el nivel de riesgo asumible, la adopción de medidas preventivas o mitigadoras, así como los sistemas de detección oportunos, entre ellos el control de la información y los procedimientos de actuación oportunos.</w:t>
      </w:r>
    </w:p>
    <w:p w14:paraId="483CD59B" w14:textId="77777777" w:rsidR="0099187E" w:rsidRDefault="0099187E" w:rsidP="000B70C9">
      <w:pPr>
        <w:pStyle w:val="Prrafodelista"/>
        <w:numPr>
          <w:ilvl w:val="0"/>
          <w:numId w:val="78"/>
        </w:numPr>
        <w:jc w:val="both"/>
        <w:rPr>
          <w:rFonts w:ascii="Open Sans" w:hAnsi="Open Sans" w:cs="Arial"/>
          <w:sz w:val="20"/>
          <w:szCs w:val="20"/>
        </w:rPr>
      </w:pPr>
      <w:r w:rsidRPr="00BC0CDA">
        <w:rPr>
          <w:rFonts w:ascii="Open Sans" w:hAnsi="Open Sans" w:cs="Arial"/>
          <w:sz w:val="20"/>
          <w:szCs w:val="20"/>
        </w:rPr>
        <w:t>Mediaset España asume el cumplimiento de las “Líneas Directrices de la OCDE para empresas multinacionales” y se adhiere al “Código de Buenas Prácticas Tributarias de la Administración Pública”.</w:t>
      </w:r>
    </w:p>
    <w:p w14:paraId="60DB86AE" w14:textId="77777777" w:rsidR="0099187E" w:rsidRPr="00BC0CDA" w:rsidRDefault="0099187E" w:rsidP="0099187E">
      <w:pPr>
        <w:pStyle w:val="Prrafodelista"/>
        <w:jc w:val="both"/>
        <w:rPr>
          <w:rFonts w:ascii="Open Sans" w:hAnsi="Open Sans" w:cs="Arial"/>
          <w:sz w:val="20"/>
          <w:szCs w:val="20"/>
        </w:rPr>
      </w:pPr>
    </w:p>
    <w:p w14:paraId="60CAA636"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 xml:space="preserve">En cuanto a los órganos competentes, se  señala que entre  las competencias indelegables del Consejo de Administración están: determinar la estrategia fiscal de la Sociedad, La aprobación de la creación o adquisición de participaciones en entidades de propósito especial o domiciliadas en países o territorios que tengan la consideración de paraísos fiscales, así como cualquier transacción u operación de naturaleza análoga que, por su complejidad, pudiera menoscabar la transparencia del Grupo. </w:t>
      </w:r>
    </w:p>
    <w:p w14:paraId="59576020" w14:textId="77777777" w:rsidR="0099187E" w:rsidRDefault="0099187E" w:rsidP="0099187E">
      <w:pPr>
        <w:rPr>
          <w:rFonts w:ascii="Open Sans" w:hAnsi="Open Sans" w:cs="Arial"/>
          <w:sz w:val="20"/>
          <w:szCs w:val="20"/>
        </w:rPr>
      </w:pPr>
      <w:r>
        <w:rPr>
          <w:rFonts w:ascii="Open Sans" w:hAnsi="Open Sans" w:cs="Arial"/>
          <w:sz w:val="20"/>
          <w:szCs w:val="20"/>
        </w:rPr>
        <w:br w:type="page"/>
      </w:r>
    </w:p>
    <w:p w14:paraId="080F84CB" w14:textId="77777777" w:rsidR="0099187E" w:rsidRPr="00BC0CDA" w:rsidRDefault="0099187E" w:rsidP="0099187E">
      <w:pPr>
        <w:spacing w:before="120"/>
        <w:jc w:val="both"/>
        <w:rPr>
          <w:rFonts w:ascii="Open Sans" w:hAnsi="Open Sans" w:cs="Arial"/>
          <w:sz w:val="20"/>
          <w:szCs w:val="20"/>
        </w:rPr>
      </w:pPr>
    </w:p>
    <w:p w14:paraId="56661911" w14:textId="77777777" w:rsidR="0099187E" w:rsidRDefault="0099187E" w:rsidP="0099187E">
      <w:pPr>
        <w:jc w:val="both"/>
        <w:rPr>
          <w:rFonts w:ascii="Open Sans" w:hAnsi="Open Sans" w:cs="Arial"/>
          <w:sz w:val="20"/>
          <w:szCs w:val="20"/>
          <w:u w:val="single"/>
        </w:rPr>
      </w:pPr>
      <w:r w:rsidRPr="00BC0CDA">
        <w:rPr>
          <w:rFonts w:ascii="Open Sans" w:hAnsi="Open Sans" w:cs="Arial"/>
          <w:sz w:val="20"/>
          <w:szCs w:val="20"/>
          <w:u w:val="single"/>
        </w:rPr>
        <w:t>Presenci</w:t>
      </w:r>
      <w:r>
        <w:rPr>
          <w:rFonts w:ascii="Open Sans" w:hAnsi="Open Sans" w:cs="Arial"/>
          <w:sz w:val="20"/>
          <w:szCs w:val="20"/>
          <w:u w:val="single"/>
        </w:rPr>
        <w:t>a en paraísos y nichos fiscales</w:t>
      </w:r>
    </w:p>
    <w:p w14:paraId="25DC794B" w14:textId="77777777" w:rsidR="0099187E" w:rsidRPr="00BC0CDA" w:rsidRDefault="0099187E" w:rsidP="0099187E">
      <w:pPr>
        <w:jc w:val="both"/>
        <w:rPr>
          <w:rFonts w:ascii="Open Sans" w:hAnsi="Open Sans" w:cs="Arial"/>
          <w:sz w:val="20"/>
          <w:szCs w:val="20"/>
          <w:u w:val="single"/>
        </w:rPr>
      </w:pPr>
    </w:p>
    <w:p w14:paraId="1625FD1A" w14:textId="77777777" w:rsidR="0099187E" w:rsidRDefault="0099187E" w:rsidP="0099187E">
      <w:pPr>
        <w:jc w:val="both"/>
        <w:rPr>
          <w:rFonts w:ascii="Open Sans" w:hAnsi="Open Sans" w:cs="Arial"/>
          <w:bCs/>
          <w:sz w:val="20"/>
          <w:szCs w:val="20"/>
        </w:rPr>
      </w:pPr>
      <w:r w:rsidRPr="00BC0CDA">
        <w:rPr>
          <w:rFonts w:ascii="Open Sans" w:hAnsi="Open Sans" w:cs="Arial"/>
          <w:sz w:val="20"/>
          <w:szCs w:val="20"/>
        </w:rPr>
        <w:t>Los contenidos de la Política y Estrategia Fiscal</w:t>
      </w:r>
      <w:r w:rsidRPr="00BC0CDA">
        <w:rPr>
          <w:rFonts w:ascii="Open Sans" w:hAnsi="Open Sans" w:cs="Arial"/>
          <w:bCs/>
          <w:sz w:val="20"/>
          <w:szCs w:val="20"/>
        </w:rPr>
        <w:t xml:space="preserve"> referidos </w:t>
      </w:r>
      <w:r w:rsidRPr="00BC0CDA">
        <w:rPr>
          <w:rFonts w:ascii="Open Sans" w:hAnsi="Open Sans" w:cs="Arial"/>
          <w:sz w:val="20"/>
          <w:szCs w:val="20"/>
        </w:rPr>
        <w:t>conviven con la existencia de una sociedad domiciliada en Delaware, según información recabada en una fuente pública consultada</w:t>
      </w:r>
      <w:r w:rsidRPr="00BC0CDA">
        <w:rPr>
          <w:rStyle w:val="Refdenotaalpie"/>
          <w:rFonts w:ascii="Open Sans" w:hAnsi="Open Sans" w:cs="Arial"/>
          <w:sz w:val="20"/>
          <w:szCs w:val="20"/>
        </w:rPr>
        <w:footnoteReference w:id="647"/>
      </w:r>
      <w:r w:rsidRPr="00BC0CDA">
        <w:rPr>
          <w:rFonts w:ascii="Open Sans" w:hAnsi="Open Sans" w:cs="Arial"/>
          <w:bCs/>
          <w:sz w:val="20"/>
          <w:szCs w:val="20"/>
        </w:rPr>
        <w:t>.</w:t>
      </w:r>
    </w:p>
    <w:p w14:paraId="4A6B9387" w14:textId="77777777" w:rsidR="0099187E" w:rsidRPr="00BC0CDA" w:rsidRDefault="0099187E" w:rsidP="0099187E">
      <w:pPr>
        <w:jc w:val="both"/>
        <w:rPr>
          <w:rFonts w:ascii="Open Sans" w:hAnsi="Open Sans" w:cs="Arial"/>
          <w:sz w:val="20"/>
          <w:szCs w:val="20"/>
        </w:rPr>
      </w:pPr>
    </w:p>
    <w:p w14:paraId="1C078E04" w14:textId="77777777" w:rsidR="0099187E" w:rsidRDefault="0099187E" w:rsidP="0099187E">
      <w:pPr>
        <w:widowControl w:val="0"/>
        <w:autoSpaceDE w:val="0"/>
        <w:autoSpaceDN w:val="0"/>
        <w:adjustRightInd w:val="0"/>
        <w:jc w:val="both"/>
        <w:rPr>
          <w:rFonts w:ascii="Open Sans" w:hAnsi="Open Sans" w:cs="Open Sans"/>
          <w:sz w:val="20"/>
          <w:szCs w:val="20"/>
        </w:rPr>
      </w:pPr>
      <w:r w:rsidRPr="00BC0CDA">
        <w:rPr>
          <w:rFonts w:ascii="Open Sans" w:hAnsi="Open Sans" w:cs="Open Sans"/>
          <w:sz w:val="20"/>
          <w:szCs w:val="20"/>
        </w:rPr>
        <w:t>En el informe de Responsabilidad Corporativa 2015, en el apartado relativo a la Fiscalidad de Mediaset España, se afirma que la fiscalidad del Grupo refleja una mecánica de actuación transparente y exenta de litigiosidad, que se circunscribe al ámbito territorial español.</w:t>
      </w:r>
    </w:p>
    <w:p w14:paraId="68DFFF79" w14:textId="77777777" w:rsidR="0099187E" w:rsidRPr="00BC0CDA" w:rsidRDefault="0099187E" w:rsidP="0099187E">
      <w:pPr>
        <w:widowControl w:val="0"/>
        <w:autoSpaceDE w:val="0"/>
        <w:autoSpaceDN w:val="0"/>
        <w:adjustRightInd w:val="0"/>
        <w:jc w:val="both"/>
        <w:rPr>
          <w:rFonts w:ascii="Open Sans" w:hAnsi="Open Sans" w:cs="Open Sans"/>
          <w:sz w:val="20"/>
          <w:szCs w:val="20"/>
        </w:rPr>
      </w:pPr>
    </w:p>
    <w:p w14:paraId="7458C4DB" w14:textId="77777777" w:rsidR="0099187E" w:rsidRPr="00BC0CDA" w:rsidRDefault="0099187E" w:rsidP="0099187E">
      <w:pPr>
        <w:pStyle w:val="Pa8"/>
        <w:spacing w:line="240" w:lineRule="auto"/>
        <w:jc w:val="both"/>
        <w:rPr>
          <w:rFonts w:ascii="Open Sans" w:hAnsi="Open Sans" w:cs="Open Sans"/>
          <w:color w:val="000000"/>
          <w:sz w:val="20"/>
          <w:szCs w:val="20"/>
        </w:rPr>
      </w:pPr>
      <w:r w:rsidRPr="00BC0CDA">
        <w:rPr>
          <w:rFonts w:ascii="Open Sans" w:hAnsi="Open Sans" w:cs="Open Sans"/>
          <w:sz w:val="20"/>
          <w:szCs w:val="20"/>
        </w:rPr>
        <w:t xml:space="preserve">En dicho informe también se recoge que el Grupo no tiene actividad económica real en otros países aparte de España, salvo en el caso de Pegaso TV; una un joint venture que tiene como objetivo la gestión de un proyecto de televisión privada en abierto con base en Miami y emisión en otras localizaciones de Estados Unidos, tales como Nueva York y Puerto Rico. La cadena de televisión en concreto se denomina América CV y Mediaset España posee un 18,21% del capital de la misma. </w:t>
      </w:r>
    </w:p>
    <w:p w14:paraId="0C850816" w14:textId="77777777" w:rsidR="0099187E" w:rsidRPr="00BC0CDA" w:rsidRDefault="0099187E" w:rsidP="0099187E">
      <w:pPr>
        <w:spacing w:before="120"/>
        <w:jc w:val="both"/>
        <w:rPr>
          <w:rFonts w:ascii="Open Sans" w:eastAsia="Arial" w:hAnsi="Open Sans" w:cs="Open Sans"/>
          <w:color w:val="C0504D" w:themeColor="accent2"/>
          <w:sz w:val="20"/>
          <w:szCs w:val="20"/>
        </w:rPr>
      </w:pPr>
    </w:p>
    <w:tbl>
      <w:tblPr>
        <w:tblW w:w="85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09"/>
        <w:gridCol w:w="2268"/>
        <w:gridCol w:w="3543"/>
      </w:tblGrid>
      <w:tr w:rsidR="0099187E" w:rsidRPr="00BC0CDA" w14:paraId="0D998C57" w14:textId="77777777" w:rsidTr="003E002C">
        <w:trPr>
          <w:trHeight w:val="435"/>
        </w:trPr>
        <w:tc>
          <w:tcPr>
            <w:tcW w:w="2709" w:type="dxa"/>
            <w:shd w:val="clear" w:color="000000" w:fill="D9D9D9"/>
            <w:noWrap/>
            <w:vAlign w:val="center"/>
            <w:hideMark/>
          </w:tcPr>
          <w:p w14:paraId="6693F780" w14:textId="77777777" w:rsidR="0099187E" w:rsidRPr="00BC0CDA" w:rsidRDefault="0099187E" w:rsidP="003E002C">
            <w:pPr>
              <w:spacing w:before="120"/>
              <w:jc w:val="center"/>
              <w:rPr>
                <w:rFonts w:ascii="Open Sans" w:hAnsi="Open Sans" w:cs="Open Sans"/>
                <w:b/>
                <w:bCs/>
                <w:sz w:val="20"/>
                <w:szCs w:val="20"/>
              </w:rPr>
            </w:pPr>
            <w:r w:rsidRPr="00BC0CDA">
              <w:rPr>
                <w:rFonts w:ascii="Open Sans" w:hAnsi="Open Sans" w:cs="Open Sans"/>
                <w:b/>
                <w:bCs/>
                <w:sz w:val="20"/>
                <w:szCs w:val="20"/>
              </w:rPr>
              <w:t>Nombre de la Sociedad</w:t>
            </w:r>
          </w:p>
        </w:tc>
        <w:tc>
          <w:tcPr>
            <w:tcW w:w="2268" w:type="dxa"/>
            <w:shd w:val="clear" w:color="000000" w:fill="D9D9D9"/>
          </w:tcPr>
          <w:p w14:paraId="558ADC97" w14:textId="77777777" w:rsidR="0099187E" w:rsidRPr="00BC0CDA" w:rsidRDefault="0099187E" w:rsidP="003E002C">
            <w:pPr>
              <w:spacing w:before="120"/>
              <w:jc w:val="center"/>
              <w:rPr>
                <w:rFonts w:ascii="Open Sans" w:hAnsi="Open Sans" w:cs="Open Sans"/>
                <w:b/>
                <w:bCs/>
                <w:sz w:val="20"/>
                <w:szCs w:val="20"/>
              </w:rPr>
            </w:pPr>
            <w:r w:rsidRPr="00BC0CDA">
              <w:rPr>
                <w:rFonts w:ascii="Open Sans" w:hAnsi="Open Sans" w:cs="Open Sans"/>
                <w:b/>
                <w:bCs/>
                <w:sz w:val="20"/>
                <w:szCs w:val="20"/>
              </w:rPr>
              <w:t>Jurisdicción</w:t>
            </w:r>
          </w:p>
        </w:tc>
        <w:tc>
          <w:tcPr>
            <w:tcW w:w="3543" w:type="dxa"/>
            <w:shd w:val="clear" w:color="000000" w:fill="D9D9D9"/>
            <w:noWrap/>
            <w:vAlign w:val="center"/>
            <w:hideMark/>
          </w:tcPr>
          <w:p w14:paraId="4B3D66B2" w14:textId="77777777" w:rsidR="0099187E" w:rsidRPr="00BC0CDA" w:rsidRDefault="0099187E" w:rsidP="003E002C">
            <w:pPr>
              <w:spacing w:before="120"/>
              <w:jc w:val="center"/>
              <w:rPr>
                <w:rFonts w:ascii="Open Sans" w:hAnsi="Open Sans" w:cs="Open Sans"/>
                <w:b/>
                <w:bCs/>
                <w:sz w:val="20"/>
                <w:szCs w:val="20"/>
              </w:rPr>
            </w:pPr>
            <w:r w:rsidRPr="00BC0CDA">
              <w:rPr>
                <w:rFonts w:ascii="Open Sans" w:hAnsi="Open Sans" w:cs="Open Sans"/>
                <w:b/>
                <w:bCs/>
                <w:sz w:val="20"/>
                <w:szCs w:val="20"/>
              </w:rPr>
              <w:t>Actividad</w:t>
            </w:r>
          </w:p>
        </w:tc>
      </w:tr>
      <w:tr w:rsidR="0099187E" w:rsidRPr="00BC0CDA" w14:paraId="1B9ABFCC" w14:textId="77777777" w:rsidTr="003E002C">
        <w:trPr>
          <w:trHeight w:val="1396"/>
        </w:trPr>
        <w:tc>
          <w:tcPr>
            <w:tcW w:w="2709" w:type="dxa"/>
            <w:shd w:val="clear" w:color="auto" w:fill="auto"/>
            <w:noWrap/>
            <w:vAlign w:val="center"/>
            <w:hideMark/>
          </w:tcPr>
          <w:p w14:paraId="56A998A1" w14:textId="77777777" w:rsidR="0099187E" w:rsidRPr="00BC0CDA" w:rsidRDefault="0099187E" w:rsidP="003E002C">
            <w:pPr>
              <w:spacing w:before="120"/>
              <w:rPr>
                <w:rFonts w:ascii="Open Sans" w:hAnsi="Open Sans" w:cs="Open Sans"/>
                <w:sz w:val="20"/>
                <w:szCs w:val="20"/>
              </w:rPr>
            </w:pPr>
            <w:r w:rsidRPr="00BC0CDA">
              <w:rPr>
                <w:rFonts w:ascii="Open Sans" w:hAnsi="Open Sans" w:cs="Open Sans"/>
                <w:sz w:val="20"/>
                <w:szCs w:val="20"/>
              </w:rPr>
              <w:t>Pegaso Televisión Inc.</w:t>
            </w:r>
          </w:p>
        </w:tc>
        <w:tc>
          <w:tcPr>
            <w:tcW w:w="2268" w:type="dxa"/>
            <w:vAlign w:val="center"/>
          </w:tcPr>
          <w:p w14:paraId="43514D14" w14:textId="77777777" w:rsidR="0099187E" w:rsidRPr="00BC0CDA" w:rsidRDefault="0099187E" w:rsidP="003E002C">
            <w:pPr>
              <w:spacing w:before="120"/>
              <w:rPr>
                <w:rFonts w:ascii="Open Sans" w:hAnsi="Open Sans" w:cs="Open Sans"/>
                <w:sz w:val="20"/>
                <w:szCs w:val="20"/>
                <w:lang w:val="en-US"/>
              </w:rPr>
            </w:pPr>
            <w:r w:rsidRPr="00BC0CDA">
              <w:rPr>
                <w:rFonts w:ascii="Open Sans" w:hAnsi="Open Sans" w:cs="Open Sans"/>
                <w:sz w:val="20"/>
                <w:szCs w:val="20"/>
              </w:rPr>
              <w:t>Delaware (EE. UU)</w:t>
            </w:r>
          </w:p>
        </w:tc>
        <w:tc>
          <w:tcPr>
            <w:tcW w:w="3543" w:type="dxa"/>
            <w:shd w:val="clear" w:color="auto" w:fill="auto"/>
            <w:vAlign w:val="center"/>
            <w:hideMark/>
          </w:tcPr>
          <w:p w14:paraId="2106C405" w14:textId="77777777" w:rsidR="0099187E" w:rsidRPr="00BC0CDA" w:rsidRDefault="0099187E" w:rsidP="003E002C">
            <w:pPr>
              <w:spacing w:before="120"/>
              <w:jc w:val="both"/>
              <w:rPr>
                <w:rFonts w:ascii="Open Sans" w:hAnsi="Open Sans" w:cs="Open Sans"/>
                <w:sz w:val="20"/>
                <w:szCs w:val="20"/>
              </w:rPr>
            </w:pPr>
            <w:r w:rsidRPr="00BC0CDA">
              <w:rPr>
                <w:rFonts w:ascii="Open Sans" w:hAnsi="Open Sans" w:cs="Open Sans"/>
                <w:sz w:val="20"/>
                <w:szCs w:val="20"/>
              </w:rPr>
              <w:t>Sociedad a través de la cual se canaliza la inversión en Caribevisión Network, un canal de televisión de habla hispana que emite en la costa este de Estados Unidos y en Puerto Rico</w:t>
            </w:r>
          </w:p>
        </w:tc>
      </w:tr>
    </w:tbl>
    <w:p w14:paraId="1ABCAFA2" w14:textId="77777777" w:rsidR="0099187E" w:rsidRPr="00BC0CDA" w:rsidRDefault="0099187E" w:rsidP="0099187E">
      <w:pPr>
        <w:spacing w:before="120"/>
        <w:rPr>
          <w:rFonts w:ascii="Open Sans" w:hAnsi="Open Sans" w:cs="Open Sans"/>
          <w:color w:val="C0504D" w:themeColor="accent2"/>
          <w:sz w:val="20"/>
          <w:szCs w:val="20"/>
        </w:rPr>
      </w:pPr>
    </w:p>
    <w:p w14:paraId="53AA8802" w14:textId="77777777" w:rsidR="0099187E" w:rsidRDefault="0099187E" w:rsidP="0099187E">
      <w:pPr>
        <w:jc w:val="both"/>
        <w:rPr>
          <w:rFonts w:ascii="Open Sans" w:hAnsi="Open Sans" w:cs="Open Sans"/>
          <w:sz w:val="20"/>
          <w:szCs w:val="20"/>
        </w:rPr>
      </w:pPr>
      <w:r w:rsidRPr="00BC0CDA">
        <w:rPr>
          <w:rFonts w:ascii="Open Sans" w:hAnsi="Open Sans" w:cs="Open Sans"/>
          <w:sz w:val="20"/>
          <w:szCs w:val="20"/>
        </w:rPr>
        <w:t>Pegaso Televisión Inc., en el Informe de Cuentas Consolidadas 2015 se describe con  domicilio  en Miami,</w:t>
      </w:r>
      <w:r w:rsidRPr="00BC0CDA">
        <w:rPr>
          <w:rFonts w:ascii="Open Sans" w:hAnsi="Open Sans" w:cs="Arial"/>
          <w:sz w:val="20"/>
          <w:szCs w:val="20"/>
        </w:rPr>
        <w:t xml:space="preserve"> Estados Unidos</w:t>
      </w:r>
      <w:r w:rsidRPr="00BC0CDA">
        <w:rPr>
          <w:rFonts w:ascii="Open Sans" w:hAnsi="Open Sans" w:cs="Open Sans"/>
          <w:sz w:val="20"/>
          <w:szCs w:val="20"/>
        </w:rPr>
        <w:t>. No obstante, tanto en nuestro análisis de  2014 como en el actual de 2015,  hemos realizado consulta en fuentes públicas</w:t>
      </w:r>
      <w:r w:rsidRPr="00BC0CDA">
        <w:rPr>
          <w:rStyle w:val="Refdenotaalpie"/>
          <w:rFonts w:ascii="Open Sans" w:hAnsi="Open Sans" w:cs="Open Sans"/>
          <w:sz w:val="20"/>
          <w:szCs w:val="20"/>
        </w:rPr>
        <w:footnoteReference w:id="648"/>
      </w:r>
      <w:r w:rsidRPr="00BC0CDA">
        <w:rPr>
          <w:rFonts w:ascii="Open Sans" w:hAnsi="Open Sans" w:cs="Open Sans"/>
          <w:sz w:val="20"/>
          <w:szCs w:val="20"/>
        </w:rPr>
        <w:t xml:space="preserve"> sobre la jurisdicción y domicilio de esta sociedad, resultando que sigue figurando con domicilio en Delaware, </w:t>
      </w:r>
      <w:r w:rsidRPr="00BC0CDA">
        <w:rPr>
          <w:rFonts w:ascii="Open Sans" w:eastAsia="Arial" w:hAnsi="Open Sans" w:cs="Open Sans"/>
          <w:sz w:val="20"/>
          <w:szCs w:val="20"/>
        </w:rPr>
        <w:t>territorio considerado como paraíso/nicho fiscal de acuerdo con la metodología empleada por el Observatorio de RSC</w:t>
      </w:r>
      <w:r w:rsidRPr="00BC0CDA">
        <w:rPr>
          <w:rStyle w:val="Refdenotaalpie"/>
          <w:rFonts w:ascii="Open Sans" w:eastAsia="Arial" w:hAnsi="Open Sans" w:cs="Open Sans"/>
          <w:sz w:val="20"/>
          <w:szCs w:val="20"/>
        </w:rPr>
        <w:footnoteReference w:id="649"/>
      </w:r>
      <w:r w:rsidRPr="00BC0CDA">
        <w:rPr>
          <w:rFonts w:ascii="Open Sans" w:hAnsi="Open Sans" w:cs="Open Sans"/>
          <w:sz w:val="20"/>
          <w:szCs w:val="20"/>
        </w:rPr>
        <w:t xml:space="preserve">. El Grupo tiene una participación del 43,7% en esta sociedad a través de Mediaset España Comunicación, S.A. Este dato puede resultar relevante, ya que, al explicar la "política de fiscalidad" del grupo se dice que "el domicilio social viene determinado por la estructura empresarial de los socios mayoritarios locales; Mediaset España afirma no tener capacidad de gestión en la compañía, ni personal desplazado y que el impacto de la actividad de Pegaso TV en el Grupo es mínimo".  </w:t>
      </w:r>
    </w:p>
    <w:p w14:paraId="50308A5E" w14:textId="77777777" w:rsidR="0099187E" w:rsidRPr="00BC0CDA" w:rsidRDefault="0099187E" w:rsidP="0099187E">
      <w:pPr>
        <w:jc w:val="both"/>
        <w:rPr>
          <w:rFonts w:ascii="Open Sans" w:hAnsi="Open Sans" w:cs="Open Sans"/>
          <w:sz w:val="20"/>
          <w:szCs w:val="20"/>
        </w:rPr>
      </w:pPr>
    </w:p>
    <w:p w14:paraId="71392996" w14:textId="77777777" w:rsidR="0099187E" w:rsidRDefault="0099187E" w:rsidP="0099187E">
      <w:pPr>
        <w:jc w:val="both"/>
        <w:rPr>
          <w:rFonts w:ascii="Open Sans" w:hAnsi="Open Sans" w:cs="Open Sans"/>
          <w:sz w:val="20"/>
          <w:szCs w:val="20"/>
        </w:rPr>
      </w:pPr>
      <w:r w:rsidRPr="00BC0CDA">
        <w:rPr>
          <w:rFonts w:ascii="Open Sans" w:hAnsi="Open Sans" w:cs="Open Sans"/>
          <w:sz w:val="20"/>
          <w:szCs w:val="20"/>
        </w:rPr>
        <w:t>De todo ello resulta que la Sociedad no publica información de los impuestos directos e indirectos pagados en paraísos/nichos fiscales ni volumen de operaciones, ni el número de trabajadores en las mismas.</w:t>
      </w:r>
    </w:p>
    <w:p w14:paraId="38FD5FD8" w14:textId="77777777" w:rsidR="0099187E" w:rsidRPr="00BC0CDA" w:rsidRDefault="0099187E" w:rsidP="0099187E">
      <w:pPr>
        <w:jc w:val="both"/>
        <w:rPr>
          <w:rFonts w:ascii="Open Sans" w:hAnsi="Open Sans" w:cs="Open Sans"/>
          <w:sz w:val="20"/>
          <w:szCs w:val="20"/>
        </w:rPr>
      </w:pPr>
    </w:p>
    <w:p w14:paraId="6B52C126" w14:textId="77777777" w:rsidR="0099187E" w:rsidRDefault="0099187E" w:rsidP="0099187E">
      <w:pPr>
        <w:jc w:val="both"/>
        <w:rPr>
          <w:rFonts w:ascii="Open Sans" w:hAnsi="Open Sans" w:cs="Open Sans"/>
          <w:sz w:val="20"/>
          <w:szCs w:val="20"/>
        </w:rPr>
      </w:pPr>
      <w:r w:rsidRPr="00BC0CDA">
        <w:rPr>
          <w:rFonts w:ascii="Open Sans" w:hAnsi="Open Sans" w:cs="Open Sans"/>
          <w:sz w:val="20"/>
          <w:szCs w:val="20"/>
        </w:rPr>
        <w:t xml:space="preserve">El Consejo de Administración, máximo órgano de gobierno de Mediaset España, tiene la misión de identificar los principales riesgos del Grupo, así como implantar y efectuar un seguimiento de los sistemas de información y de control interno implantados, con el objetivo de adoptar las medidas oportunas para garantizar el sistema de control interno y el desarrollo de mejoras de dicho sistema. En cuanto </w:t>
      </w:r>
      <w:proofErr w:type="gramStart"/>
      <w:r w:rsidRPr="00BC0CDA">
        <w:rPr>
          <w:rFonts w:ascii="Open Sans" w:hAnsi="Open Sans" w:cs="Open Sans"/>
          <w:sz w:val="20"/>
          <w:szCs w:val="20"/>
        </w:rPr>
        <w:t>a el</w:t>
      </w:r>
      <w:proofErr w:type="gramEnd"/>
      <w:r w:rsidRPr="00BC0CDA">
        <w:rPr>
          <w:rFonts w:ascii="Open Sans" w:hAnsi="Open Sans" w:cs="Open Sans"/>
          <w:sz w:val="20"/>
          <w:szCs w:val="20"/>
        </w:rPr>
        <w:t xml:space="preserve"> alcance del Sistema de Gestión de Riesgos de la sociedad, incluidos los de materia fiscal, en el Informe de Gobierno Corporativo, describe los principales órganos de control:</w:t>
      </w:r>
    </w:p>
    <w:p w14:paraId="60C8CD48" w14:textId="77777777" w:rsidR="0099187E" w:rsidRPr="00BC0CDA" w:rsidRDefault="0099187E" w:rsidP="0099187E">
      <w:pPr>
        <w:jc w:val="both"/>
        <w:rPr>
          <w:rFonts w:ascii="Open Sans" w:hAnsi="Open Sans" w:cs="Open Sans"/>
          <w:sz w:val="20"/>
          <w:szCs w:val="20"/>
        </w:rPr>
      </w:pPr>
    </w:p>
    <w:p w14:paraId="12783460" w14:textId="77777777" w:rsidR="0099187E" w:rsidRDefault="0099187E" w:rsidP="0099187E">
      <w:pPr>
        <w:jc w:val="both"/>
        <w:rPr>
          <w:rFonts w:ascii="Open Sans" w:hAnsi="Open Sans" w:cs="Open Sans"/>
          <w:sz w:val="20"/>
          <w:szCs w:val="20"/>
        </w:rPr>
      </w:pPr>
      <w:r w:rsidRPr="00BC0CDA">
        <w:rPr>
          <w:rFonts w:ascii="Open Sans" w:hAnsi="Open Sans" w:cs="Open Sans"/>
          <w:sz w:val="20"/>
          <w:szCs w:val="20"/>
        </w:rPr>
        <w:t>1. El Consejo de Administración 2. La Comisión Ejecutiva. 3. La Comisión de Auditoría y Cumplimiento. 4. El Comité de Riesgos. 5. La Dirección de Cumplimiento Normativo. 6. El Comité de Blanqueo de Capitales (Premiere: juego online). 7. La Dirección de Auditoría Interna.</w:t>
      </w:r>
    </w:p>
    <w:p w14:paraId="287E0BF6" w14:textId="77777777" w:rsidR="0099187E" w:rsidRPr="00BC0CDA" w:rsidRDefault="0099187E" w:rsidP="0099187E">
      <w:pPr>
        <w:jc w:val="both"/>
        <w:rPr>
          <w:rFonts w:ascii="Open Sans" w:hAnsi="Open Sans" w:cs="Open Sans"/>
          <w:sz w:val="20"/>
          <w:szCs w:val="20"/>
        </w:rPr>
      </w:pPr>
    </w:p>
    <w:p w14:paraId="069DA1FB" w14:textId="77777777" w:rsidR="0099187E" w:rsidRDefault="0099187E" w:rsidP="0099187E">
      <w:pPr>
        <w:jc w:val="both"/>
        <w:rPr>
          <w:rFonts w:ascii="Open Sans" w:hAnsi="Open Sans" w:cs="Open Sans"/>
          <w:sz w:val="20"/>
          <w:szCs w:val="20"/>
        </w:rPr>
      </w:pPr>
      <w:r w:rsidRPr="00BC0CDA">
        <w:rPr>
          <w:rFonts w:ascii="Open Sans" w:hAnsi="Open Sans" w:cs="Open Sans"/>
          <w:sz w:val="20"/>
          <w:szCs w:val="20"/>
        </w:rPr>
        <w:t xml:space="preserve">La Política de Gestión Integral de Riesgos del Grupo Mediaset, tiene como principal  instrumento la elaboración de un Mapa de Riesgos, basado en el marco Enterprise Risk Management (ERM). Dentro del mapa de riesgos de Mediaset España, se contempla o integra el mapa de riesgos fiscales. Aunque la Sociedad expresa que “en el mismo se analizan aquellos riesgos que por su naturaleza corporativa, transaccional, operacional, de cumplimiento, financiera, contable, organizacional y/o reputacional, puedan tener implicaciones relevantes fiscales para el Grupo” , no se detallan dichos riesgos fiscales en ninguno de los documentos públicos, no obstante, entre las actividades de 2015 de la Comisión de Auditoría y Cumplimiento está la presentación del mapa de riesgos fiscales del Grupo Mediaset España. </w:t>
      </w:r>
    </w:p>
    <w:p w14:paraId="685BC3D7" w14:textId="77777777" w:rsidR="0099187E" w:rsidRPr="00BC0CDA" w:rsidRDefault="0099187E" w:rsidP="0099187E">
      <w:pPr>
        <w:jc w:val="both"/>
        <w:rPr>
          <w:rFonts w:ascii="Open Sans" w:hAnsi="Open Sans" w:cs="Open Sans"/>
          <w:sz w:val="20"/>
          <w:szCs w:val="20"/>
        </w:rPr>
      </w:pPr>
    </w:p>
    <w:p w14:paraId="23750F03" w14:textId="77777777" w:rsidR="0099187E" w:rsidRDefault="0099187E" w:rsidP="0099187E">
      <w:pPr>
        <w:jc w:val="both"/>
        <w:rPr>
          <w:rFonts w:ascii="Open Sans" w:hAnsi="Open Sans" w:cs="Open Sans"/>
          <w:sz w:val="20"/>
          <w:szCs w:val="20"/>
        </w:rPr>
      </w:pPr>
      <w:r w:rsidRPr="00BC0CDA">
        <w:rPr>
          <w:rFonts w:ascii="Open Sans" w:hAnsi="Open Sans" w:cs="Open Sans"/>
          <w:sz w:val="20"/>
          <w:szCs w:val="20"/>
        </w:rPr>
        <w:t>La Comisión de auditoría y Cumplimiento publica informe anual en el que además de explicitar las funciones de la comisión, informa del número de reuniones realizadas en el año y los contenidos de estas.</w:t>
      </w:r>
    </w:p>
    <w:p w14:paraId="5CCD9BE3" w14:textId="77777777" w:rsidR="0099187E" w:rsidRPr="00BC0CDA" w:rsidRDefault="0099187E" w:rsidP="0099187E">
      <w:pPr>
        <w:jc w:val="both"/>
        <w:rPr>
          <w:rFonts w:ascii="Open Sans" w:hAnsi="Open Sans" w:cs="Open Sans"/>
          <w:sz w:val="20"/>
          <w:szCs w:val="20"/>
        </w:rPr>
      </w:pPr>
    </w:p>
    <w:p w14:paraId="56E23D56"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Mediaset cuenta con un Código Ético (actualización aprobada por el Consejo de Administración celebrado el 21-12-2016) de aplicación a todos los grupos de interés de Mediaset España y sus empresas participadas, entre los que se incluyen los empleados, directivos y miembros del Consejo de Administración de Mediaset España</w:t>
      </w:r>
      <w:r w:rsidRPr="00BC0CDA">
        <w:rPr>
          <w:rStyle w:val="Refdenotaalpie"/>
          <w:rFonts w:ascii="Open Sans" w:hAnsi="Open Sans" w:cs="Arial"/>
          <w:sz w:val="20"/>
          <w:szCs w:val="20"/>
        </w:rPr>
        <w:footnoteReference w:id="650"/>
      </w:r>
      <w:r w:rsidRPr="00BC0CDA">
        <w:rPr>
          <w:rFonts w:ascii="Open Sans" w:hAnsi="Open Sans" w:cs="Arial"/>
          <w:sz w:val="20"/>
          <w:szCs w:val="20"/>
        </w:rPr>
        <w:t xml:space="preserve">. </w:t>
      </w:r>
      <w:r w:rsidRPr="00BC0CDA">
        <w:rPr>
          <w:rFonts w:ascii="Open Sans" w:hAnsi="Open Sans" w:cs="Open Sans"/>
          <w:sz w:val="20"/>
          <w:szCs w:val="20"/>
        </w:rPr>
        <w:t>La empresa menciona la existencia de un Canal de Denuncia</w:t>
      </w:r>
      <w:r w:rsidRPr="00BC0CDA">
        <w:rPr>
          <w:rStyle w:val="Refdenotaalpie"/>
          <w:rFonts w:ascii="Open Sans" w:hAnsi="Open Sans" w:cs="Open Sans"/>
          <w:sz w:val="20"/>
          <w:szCs w:val="20"/>
        </w:rPr>
        <w:footnoteReference w:id="651"/>
      </w:r>
      <w:r w:rsidRPr="00BC0CDA">
        <w:rPr>
          <w:rFonts w:ascii="Open Sans" w:hAnsi="Open Sans" w:cs="Open Sans"/>
          <w:sz w:val="20"/>
          <w:szCs w:val="20"/>
        </w:rPr>
        <w:t xml:space="preserve"> para todo el grupo como parte del Código Ético y que cuenta con un procedimiento a seguir para empleados, directivos, administradores o grupos de interés, para fundadas sospechas de la existencia de prácticas contrarias a los principios y valores del código, a la ética y la buena fe en los negocios. Este procedimiento depende de la Dirección de Auditoría Interna, quien garantizará y asegurará la correcta y completa protección de la privacidad y confidencialidad de la información comunicada a las personas implicadas</w:t>
      </w:r>
      <w:r w:rsidRPr="00BC0CDA">
        <w:rPr>
          <w:rFonts w:ascii="Open Sans" w:hAnsi="Open Sans" w:cs="Arial"/>
          <w:sz w:val="20"/>
          <w:szCs w:val="20"/>
        </w:rPr>
        <w:t xml:space="preserve">. El documento se encuentra disponible tanto en la intranet de la compañía como en su web y tanto empleados como directivos han ratificado conocer su contenido y el hecho de estar sujetos a sus disposiciones. </w:t>
      </w:r>
    </w:p>
    <w:p w14:paraId="4057FF55" w14:textId="77777777" w:rsidR="0099187E" w:rsidRPr="00BC0CDA" w:rsidRDefault="0099187E" w:rsidP="0099187E">
      <w:pPr>
        <w:jc w:val="both"/>
        <w:rPr>
          <w:rFonts w:ascii="Open Sans" w:hAnsi="Open Sans" w:cs="Arial"/>
          <w:sz w:val="20"/>
          <w:szCs w:val="20"/>
        </w:rPr>
      </w:pPr>
    </w:p>
    <w:p w14:paraId="0AEB39B9"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En 2015 se ha vuelto a realizar una evaluación y diagnóstico del modelo de prevención y detección de delitos, como consecuencia de la aprobación en dicho ejercicio del nuevo Código Penal. Derivado de dicho trabajo la compañía está implementando nuevos protocolos de actuación al objeto de fortalecer medidas que prevengan actuaciones de fraude o similar.</w:t>
      </w:r>
    </w:p>
    <w:p w14:paraId="7D121983" w14:textId="77777777" w:rsidR="0099187E" w:rsidRPr="00BC0CDA" w:rsidRDefault="0099187E" w:rsidP="0099187E">
      <w:pPr>
        <w:spacing w:before="120"/>
        <w:jc w:val="both"/>
        <w:rPr>
          <w:rFonts w:ascii="Open Sans" w:hAnsi="Open Sans" w:cs="Arial"/>
          <w:sz w:val="20"/>
          <w:szCs w:val="20"/>
        </w:rPr>
      </w:pPr>
    </w:p>
    <w:p w14:paraId="3A69B658" w14:textId="77777777" w:rsidR="0099187E" w:rsidRDefault="0099187E" w:rsidP="0099187E">
      <w:pPr>
        <w:jc w:val="both"/>
        <w:rPr>
          <w:rFonts w:ascii="Open Sans" w:hAnsi="Open Sans" w:cs="Arial"/>
          <w:sz w:val="20"/>
          <w:szCs w:val="20"/>
          <w:u w:val="single"/>
        </w:rPr>
      </w:pPr>
      <w:r>
        <w:rPr>
          <w:rFonts w:ascii="Open Sans" w:hAnsi="Open Sans" w:cs="Arial"/>
          <w:sz w:val="20"/>
          <w:szCs w:val="20"/>
          <w:u w:val="single"/>
        </w:rPr>
        <w:t>Impuestos e incentivos</w:t>
      </w:r>
    </w:p>
    <w:p w14:paraId="04851C46" w14:textId="77777777" w:rsidR="0099187E" w:rsidRPr="00BC0CDA" w:rsidRDefault="0099187E" w:rsidP="0099187E">
      <w:pPr>
        <w:jc w:val="both"/>
        <w:rPr>
          <w:rFonts w:ascii="Open Sans" w:hAnsi="Open Sans" w:cs="Arial"/>
          <w:sz w:val="20"/>
          <w:szCs w:val="20"/>
          <w:u w:val="single"/>
        </w:rPr>
      </w:pPr>
    </w:p>
    <w:p w14:paraId="019A55CB" w14:textId="77777777" w:rsidR="0099187E" w:rsidRDefault="0099187E" w:rsidP="0099187E">
      <w:pPr>
        <w:pStyle w:val="Pa7"/>
        <w:spacing w:line="240" w:lineRule="auto"/>
        <w:jc w:val="both"/>
        <w:rPr>
          <w:rFonts w:ascii="Open Sans" w:hAnsi="Open Sans" w:cs="Arial"/>
          <w:sz w:val="20"/>
          <w:szCs w:val="20"/>
        </w:rPr>
      </w:pPr>
      <w:r w:rsidRPr="00BC0CDA">
        <w:rPr>
          <w:rFonts w:ascii="Open Sans" w:hAnsi="Open Sans" w:cs="Arial"/>
          <w:sz w:val="20"/>
          <w:szCs w:val="20"/>
        </w:rPr>
        <w:t>La sociedad dominante Mediaset España Comunicación, S.A. presenta el Impuesto sobre sociedades en base consolidada con las sociedades filiales</w:t>
      </w:r>
      <w:r w:rsidRPr="00BC0CDA">
        <w:rPr>
          <w:rStyle w:val="Refdenotaalpie"/>
          <w:rFonts w:ascii="Open Sans" w:hAnsi="Open Sans" w:cs="Arial"/>
          <w:sz w:val="20"/>
          <w:szCs w:val="20"/>
        </w:rPr>
        <w:footnoteReference w:id="652"/>
      </w:r>
      <w:r w:rsidRPr="00BC0CDA">
        <w:rPr>
          <w:rFonts w:ascii="Open Sans" w:hAnsi="Open Sans" w:cs="Arial"/>
          <w:sz w:val="20"/>
          <w:szCs w:val="20"/>
        </w:rPr>
        <w:t>, todas ellas radicadas en España. Explica que el resto de las entidades dependientes del Grupo presenta individualmente sus declaraciones de impuestos de acuerdo con las normas fiscales aplicables. Publica la cifra total de euros del impuestos de sociedades que soporta y aporta información separada de  impuestos en el extranjero (“Impuesto sobre beneficios extranjero”) en las Cuentas Anuales separadas</w:t>
      </w:r>
      <w:r>
        <w:rPr>
          <w:rFonts w:ascii="Open Sans" w:hAnsi="Open Sans" w:cs="Arial"/>
          <w:sz w:val="20"/>
          <w:szCs w:val="20"/>
        </w:rPr>
        <w:t xml:space="preserve"> individuales, por importe de 116</w:t>
      </w:r>
      <w:r w:rsidRPr="00BC0CDA">
        <w:rPr>
          <w:rFonts w:ascii="Open Sans" w:hAnsi="Open Sans" w:cs="Arial"/>
          <w:sz w:val="20"/>
          <w:szCs w:val="20"/>
        </w:rPr>
        <w:t xml:space="preserve">.000€. </w:t>
      </w:r>
    </w:p>
    <w:p w14:paraId="18D9EE3E" w14:textId="77777777" w:rsidR="0099187E" w:rsidRPr="00BC0CDA" w:rsidRDefault="0099187E" w:rsidP="0099187E">
      <w:pPr>
        <w:pStyle w:val="Default"/>
      </w:pPr>
    </w:p>
    <w:p w14:paraId="7B957B6A"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En cuanto a las tasas impositivas pagadas en el impuesto sobre sociedades, el informe de Cuentas Anuales Consolidadas del periodo analizado presenta información sobre la diferencia entre la tasa impositiva efectiva y la tasa impositiva nominal del impuesto sobre sociedades</w:t>
      </w:r>
      <w:r w:rsidRPr="00BC0CDA">
        <w:rPr>
          <w:rStyle w:val="Refdenotaalpie"/>
          <w:rFonts w:ascii="Open Sans" w:hAnsi="Open Sans" w:cs="Arial"/>
          <w:sz w:val="20"/>
          <w:szCs w:val="20"/>
        </w:rPr>
        <w:footnoteReference w:id="653"/>
      </w:r>
      <w:r w:rsidRPr="00BC0CDA">
        <w:rPr>
          <w:rFonts w:ascii="Open Sans" w:hAnsi="Open Sans" w:cs="Arial"/>
          <w:sz w:val="20"/>
          <w:szCs w:val="20"/>
        </w:rPr>
        <w:t xml:space="preserve"> </w:t>
      </w:r>
      <w:proofErr w:type="gramStart"/>
      <w:r w:rsidRPr="00BC0CDA">
        <w:rPr>
          <w:rFonts w:ascii="Open Sans" w:hAnsi="Open Sans" w:cs="Arial"/>
          <w:sz w:val="20"/>
          <w:szCs w:val="20"/>
        </w:rPr>
        <w:t>detallando :</w:t>
      </w:r>
      <w:proofErr w:type="gramEnd"/>
      <w:r w:rsidRPr="00BC0CDA">
        <w:rPr>
          <w:rFonts w:ascii="Open Sans" w:hAnsi="Open Sans" w:cs="Arial"/>
          <w:sz w:val="20"/>
          <w:szCs w:val="20"/>
        </w:rPr>
        <w:t xml:space="preserve"> </w:t>
      </w:r>
    </w:p>
    <w:p w14:paraId="30AC945F" w14:textId="77777777" w:rsidR="0099187E" w:rsidRPr="00BC0CDA" w:rsidRDefault="0099187E" w:rsidP="0099187E">
      <w:pPr>
        <w:jc w:val="both"/>
        <w:rPr>
          <w:rFonts w:ascii="Open Sans" w:hAnsi="Open Sans" w:cs="Arial"/>
          <w:sz w:val="20"/>
          <w:szCs w:val="20"/>
        </w:rPr>
      </w:pPr>
    </w:p>
    <w:p w14:paraId="67C4D029" w14:textId="77777777" w:rsidR="0099187E" w:rsidRPr="00BC0CDA" w:rsidRDefault="0099187E" w:rsidP="000B70C9">
      <w:pPr>
        <w:pStyle w:val="Prrafodelista"/>
        <w:numPr>
          <w:ilvl w:val="0"/>
          <w:numId w:val="80"/>
        </w:numPr>
        <w:jc w:val="both"/>
        <w:rPr>
          <w:rFonts w:ascii="Open Sans" w:hAnsi="Open Sans" w:cs="Arial"/>
          <w:sz w:val="20"/>
          <w:szCs w:val="20"/>
        </w:rPr>
      </w:pPr>
      <w:r w:rsidRPr="00BC0CDA">
        <w:rPr>
          <w:rFonts w:ascii="Open Sans" w:hAnsi="Open Sans" w:cs="Arial"/>
          <w:sz w:val="20"/>
          <w:szCs w:val="20"/>
        </w:rPr>
        <w:t>La base imponible (resultado fiscal) de 154.49000€, resultante de aplicar al resultado consolidado antes de impuestos (219.140000€) las diferencias permanentes y las diferencias temporarias.</w:t>
      </w:r>
    </w:p>
    <w:p w14:paraId="047291F6" w14:textId="77777777" w:rsidR="0099187E" w:rsidRPr="00BC0CDA" w:rsidRDefault="0099187E" w:rsidP="000B70C9">
      <w:pPr>
        <w:pStyle w:val="Prrafodelista"/>
        <w:numPr>
          <w:ilvl w:val="0"/>
          <w:numId w:val="80"/>
        </w:numPr>
        <w:jc w:val="both"/>
        <w:rPr>
          <w:rFonts w:ascii="Open Sans" w:hAnsi="Open Sans" w:cs="Arial"/>
          <w:sz w:val="20"/>
          <w:szCs w:val="20"/>
        </w:rPr>
      </w:pPr>
      <w:r w:rsidRPr="00BC0CDA">
        <w:rPr>
          <w:rFonts w:ascii="Open Sans" w:hAnsi="Open Sans" w:cs="Arial"/>
          <w:sz w:val="20"/>
          <w:szCs w:val="20"/>
        </w:rPr>
        <w:t xml:space="preserve">Cuota íntegra 43.257.000 € (28%) </w:t>
      </w:r>
    </w:p>
    <w:p w14:paraId="3A562E69" w14:textId="77777777" w:rsidR="0099187E" w:rsidRPr="00BC0CDA" w:rsidRDefault="0099187E" w:rsidP="000B70C9">
      <w:pPr>
        <w:pStyle w:val="Prrafodelista"/>
        <w:numPr>
          <w:ilvl w:val="0"/>
          <w:numId w:val="80"/>
        </w:numPr>
        <w:jc w:val="both"/>
        <w:rPr>
          <w:rFonts w:ascii="Open Sans" w:hAnsi="Open Sans" w:cs="Arial"/>
          <w:sz w:val="20"/>
          <w:szCs w:val="20"/>
        </w:rPr>
      </w:pPr>
      <w:r w:rsidRPr="00BC0CDA">
        <w:rPr>
          <w:rFonts w:ascii="Open Sans" w:hAnsi="Open Sans" w:cs="Arial"/>
          <w:sz w:val="20"/>
          <w:szCs w:val="20"/>
        </w:rPr>
        <w:t>La compensación de bases imponibles negativas, por un valor de 10.814.000 €</w:t>
      </w:r>
    </w:p>
    <w:p w14:paraId="173F33C9" w14:textId="77777777" w:rsidR="0099187E" w:rsidRPr="00BC0CDA" w:rsidRDefault="0099187E" w:rsidP="000B70C9">
      <w:pPr>
        <w:pStyle w:val="Prrafodelista"/>
        <w:numPr>
          <w:ilvl w:val="0"/>
          <w:numId w:val="80"/>
        </w:numPr>
        <w:jc w:val="both"/>
        <w:rPr>
          <w:rFonts w:ascii="Open Sans" w:hAnsi="Open Sans" w:cs="Arial"/>
          <w:sz w:val="20"/>
          <w:szCs w:val="20"/>
        </w:rPr>
      </w:pPr>
      <w:r w:rsidRPr="00BC0CDA">
        <w:rPr>
          <w:rFonts w:ascii="Open Sans" w:hAnsi="Open Sans" w:cs="Arial"/>
          <w:sz w:val="20"/>
          <w:szCs w:val="20"/>
        </w:rPr>
        <w:t>Las deducciones y bonificaciones y retenciones por valor de 9.852.000 €</w:t>
      </w:r>
    </w:p>
    <w:p w14:paraId="6EB25DFD" w14:textId="77777777" w:rsidR="0099187E" w:rsidRDefault="0099187E" w:rsidP="000B70C9">
      <w:pPr>
        <w:pStyle w:val="Prrafodelista"/>
        <w:numPr>
          <w:ilvl w:val="0"/>
          <w:numId w:val="80"/>
        </w:numPr>
        <w:jc w:val="both"/>
        <w:rPr>
          <w:rFonts w:ascii="Open Sans" w:hAnsi="Open Sans" w:cs="Arial"/>
          <w:sz w:val="20"/>
          <w:szCs w:val="20"/>
        </w:rPr>
      </w:pPr>
      <w:r w:rsidRPr="00BC0CDA">
        <w:rPr>
          <w:rFonts w:ascii="Open Sans" w:hAnsi="Open Sans" w:cs="Arial"/>
          <w:sz w:val="20"/>
          <w:szCs w:val="20"/>
        </w:rPr>
        <w:t>Las retenciones (29.470.000 €)</w:t>
      </w:r>
    </w:p>
    <w:p w14:paraId="4BCCA70C" w14:textId="77777777" w:rsidR="0099187E" w:rsidRPr="00BC0CDA" w:rsidRDefault="0099187E" w:rsidP="0099187E">
      <w:pPr>
        <w:pStyle w:val="Prrafodelista"/>
        <w:jc w:val="both"/>
        <w:rPr>
          <w:rFonts w:ascii="Open Sans" w:hAnsi="Open Sans" w:cs="Arial"/>
          <w:sz w:val="20"/>
          <w:szCs w:val="20"/>
        </w:rPr>
      </w:pPr>
    </w:p>
    <w:p w14:paraId="05316608"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El gasto por impuesto sobre beneficios  en 2015 ha sido 53.187.000 € (24% del Beneficio antes de impuestos declarado</w:t>
      </w:r>
      <w:proofErr w:type="gramStart"/>
      <w:r w:rsidRPr="00BC0CDA">
        <w:rPr>
          <w:rFonts w:ascii="Open Sans" w:hAnsi="Open Sans" w:cs="Arial"/>
          <w:sz w:val="20"/>
          <w:szCs w:val="20"/>
        </w:rPr>
        <w:t>) .</w:t>
      </w:r>
      <w:proofErr w:type="gramEnd"/>
      <w:r w:rsidRPr="00BC0CDA">
        <w:rPr>
          <w:rFonts w:ascii="Open Sans" w:hAnsi="Open Sans" w:cs="Arial"/>
          <w:sz w:val="20"/>
          <w:szCs w:val="20"/>
        </w:rPr>
        <w:t xml:space="preserve"> </w:t>
      </w:r>
    </w:p>
    <w:p w14:paraId="5323FF3F" w14:textId="77777777" w:rsidR="0099187E" w:rsidRPr="00BC0CDA" w:rsidRDefault="0099187E" w:rsidP="0099187E">
      <w:pPr>
        <w:jc w:val="both"/>
        <w:rPr>
          <w:rFonts w:ascii="Open Sans" w:hAnsi="Open Sans" w:cs="Arial"/>
          <w:sz w:val="20"/>
          <w:szCs w:val="20"/>
        </w:rPr>
      </w:pPr>
    </w:p>
    <w:p w14:paraId="2703F286"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La Sociedad reporta en su informe de Cuentas Anuales Consolidadas del ejercicio 2015 una activación en 2015 de créditos fiscales por deducciones y bonificaciones de 9.852.000 €.</w:t>
      </w:r>
    </w:p>
    <w:p w14:paraId="5D7BC1F7" w14:textId="77777777" w:rsidR="0099187E" w:rsidRPr="00BC0CDA" w:rsidRDefault="0099187E" w:rsidP="0099187E">
      <w:pPr>
        <w:jc w:val="both"/>
        <w:rPr>
          <w:rFonts w:ascii="Open Sans" w:hAnsi="Open Sans" w:cs="Arial"/>
          <w:sz w:val="20"/>
          <w:szCs w:val="20"/>
        </w:rPr>
      </w:pPr>
    </w:p>
    <w:p w14:paraId="6FCCFEEA"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Las deducciones pendientes de aplicar a 2015 ascienden a 51.506.000€, desglosando las correspondientes a los años 2011 a 2015. Se indica que corresponden principalmente a deducciones por inversiones en producciones cinematográficas y que dichas deducciones pueden ser aplicadas durante un período de 15 años desde su devengo.</w:t>
      </w:r>
    </w:p>
    <w:p w14:paraId="265C3D36" w14:textId="77777777" w:rsidR="0099187E" w:rsidRPr="00BC0CDA" w:rsidRDefault="0099187E" w:rsidP="0099187E">
      <w:pPr>
        <w:jc w:val="both"/>
        <w:rPr>
          <w:rFonts w:ascii="Open Sans" w:hAnsi="Open Sans" w:cs="Arial"/>
          <w:sz w:val="20"/>
          <w:szCs w:val="20"/>
        </w:rPr>
      </w:pPr>
    </w:p>
    <w:p w14:paraId="3BA5112A"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El saldo de créditos fiscales por perdidas a compensar a 31 de 12 de 2015 es de 65.690.000€. La compensación de bases imponibles negativas en el ejercicio asciende a 10.814.000 euros. Estas bases negativas, no se desglosan por sociedades, ni se indica vencimiento.</w:t>
      </w:r>
    </w:p>
    <w:p w14:paraId="46905C36" w14:textId="77777777" w:rsidR="0099187E" w:rsidRPr="00BC0CDA" w:rsidRDefault="0099187E" w:rsidP="0099187E">
      <w:pPr>
        <w:jc w:val="both"/>
        <w:rPr>
          <w:rFonts w:ascii="Open Sans" w:hAnsi="Open Sans" w:cs="Arial"/>
          <w:sz w:val="20"/>
          <w:szCs w:val="20"/>
        </w:rPr>
      </w:pPr>
    </w:p>
    <w:p w14:paraId="2B2E694C"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No publica información sobre exenciones fiscales concedidas. </w:t>
      </w:r>
    </w:p>
    <w:p w14:paraId="2E8A4EBE" w14:textId="77777777" w:rsidR="0099187E" w:rsidRPr="00BC0CDA" w:rsidRDefault="0099187E" w:rsidP="0099187E">
      <w:pPr>
        <w:jc w:val="both"/>
        <w:rPr>
          <w:rFonts w:ascii="Open Sans" w:hAnsi="Open Sans" w:cs="Arial"/>
          <w:sz w:val="20"/>
          <w:szCs w:val="20"/>
        </w:rPr>
      </w:pPr>
    </w:p>
    <w:p w14:paraId="0AFBA977"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En el Informe de Responsabilidad Corporativa 2015 informa de subvenciones recibidas por parte del Instituto de la Cinematografía y de las Artes Audiovisuales, para la actividad de coproducción cinematográfica por importe de 706.820 € que corresponde a ayudas recibidas por Telecinco Cinema, en el marco de las ayudas para la amortización de películas cinematográficas de largometraje. También informa de ayudas recibidas de fuentes no gubernamentales por importe de 17.347 €</w:t>
      </w:r>
      <w:r>
        <w:rPr>
          <w:rFonts w:ascii="Open Sans" w:hAnsi="Open Sans" w:cs="Arial"/>
          <w:sz w:val="20"/>
          <w:szCs w:val="20"/>
        </w:rPr>
        <w:t xml:space="preserve"> (Fundación Biodiversidad)</w:t>
      </w:r>
      <w:r w:rsidRPr="00BC0CDA">
        <w:rPr>
          <w:rFonts w:ascii="Open Sans" w:hAnsi="Open Sans" w:cs="Arial"/>
          <w:sz w:val="20"/>
          <w:szCs w:val="20"/>
        </w:rPr>
        <w:t xml:space="preserve">. </w:t>
      </w:r>
    </w:p>
    <w:p w14:paraId="73A0F6EB" w14:textId="77777777" w:rsidR="0099187E" w:rsidRPr="00BC0CDA" w:rsidRDefault="0099187E" w:rsidP="0099187E">
      <w:pPr>
        <w:jc w:val="both"/>
        <w:rPr>
          <w:rFonts w:ascii="Open Sans" w:hAnsi="Open Sans" w:cs="Arial"/>
          <w:sz w:val="20"/>
          <w:szCs w:val="20"/>
        </w:rPr>
      </w:pPr>
    </w:p>
    <w:p w14:paraId="012D9A86"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Explica que en 2015 se ha ampliado el alcance de la información reportada en el Informe de Responsabilidad Corporativa, reflejando todas las subvenciones recibidas por las empresas del Grupo Mediaset España al 31 dic. 2015.</w:t>
      </w:r>
    </w:p>
    <w:p w14:paraId="4D8DB19D" w14:textId="77777777" w:rsidR="0099187E" w:rsidRPr="00BC0CDA" w:rsidRDefault="0099187E" w:rsidP="0099187E">
      <w:pPr>
        <w:jc w:val="both"/>
        <w:rPr>
          <w:rFonts w:ascii="Open Sans" w:hAnsi="Open Sans" w:cs="Arial"/>
          <w:sz w:val="20"/>
          <w:szCs w:val="20"/>
        </w:rPr>
      </w:pPr>
    </w:p>
    <w:p w14:paraId="4FE3B0F2" w14:textId="77777777" w:rsidR="0099187E" w:rsidRDefault="0099187E" w:rsidP="0099187E">
      <w:pPr>
        <w:jc w:val="both"/>
        <w:rPr>
          <w:rFonts w:ascii="Open Sans" w:hAnsi="Open Sans" w:cs="Arial"/>
          <w:sz w:val="20"/>
          <w:szCs w:val="20"/>
          <w:u w:val="single"/>
        </w:rPr>
      </w:pPr>
      <w:r w:rsidRPr="00BC0CDA">
        <w:rPr>
          <w:rFonts w:ascii="Open Sans" w:hAnsi="Open Sans" w:cs="Arial"/>
          <w:sz w:val="20"/>
          <w:szCs w:val="20"/>
          <w:u w:val="single"/>
        </w:rPr>
        <w:t>Relación co</w:t>
      </w:r>
      <w:r>
        <w:rPr>
          <w:rFonts w:ascii="Open Sans" w:hAnsi="Open Sans" w:cs="Arial"/>
          <w:sz w:val="20"/>
          <w:szCs w:val="20"/>
          <w:u w:val="single"/>
        </w:rPr>
        <w:t>n la Administración Tributaria</w:t>
      </w:r>
    </w:p>
    <w:p w14:paraId="6D082235" w14:textId="77777777" w:rsidR="0099187E" w:rsidRPr="00BC0CDA" w:rsidRDefault="0099187E" w:rsidP="0099187E">
      <w:pPr>
        <w:jc w:val="both"/>
        <w:rPr>
          <w:rFonts w:ascii="Open Sans" w:hAnsi="Open Sans" w:cs="Arial"/>
          <w:sz w:val="20"/>
          <w:szCs w:val="20"/>
          <w:u w:val="single"/>
        </w:rPr>
      </w:pPr>
    </w:p>
    <w:p w14:paraId="6C15337A"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Como ya se ha señalado, Mediaset asume el cumplimiento de las “Líneas Directrices de la OCDE para empresas multinacionales” y se adhiere al “Código de Buenas Prácticas Tributarias de la Administración Pública”. Además de este compromiso, en el documento Política y Estrategia Fiscal, declara como uno de los pilares fundamentales la “Colaboración con la Administración Tributaria, basada en el cumplimiento fiel de la legislación, el diálogo, la reciprocidad y la buena fe”.</w:t>
      </w:r>
    </w:p>
    <w:p w14:paraId="0464C2A4" w14:textId="77777777" w:rsidR="0099187E" w:rsidRPr="00BC0CDA" w:rsidRDefault="0099187E" w:rsidP="0099187E">
      <w:pPr>
        <w:jc w:val="both"/>
        <w:rPr>
          <w:rFonts w:ascii="Open Sans" w:hAnsi="Open Sans" w:cs="Arial"/>
          <w:sz w:val="20"/>
          <w:szCs w:val="20"/>
        </w:rPr>
      </w:pPr>
    </w:p>
    <w:p w14:paraId="288BAFAC"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Informa de los ejercicios sujetos a inspección fiscal, afirmando en su Informe de Responsabilidad Corporativa que que en 2015 no se ha abierto ningún litigio fiscal, ni existe ninguno pendiente de ejercicios anteriores.</w:t>
      </w:r>
    </w:p>
    <w:p w14:paraId="11DF25C4" w14:textId="77777777" w:rsidR="0099187E" w:rsidRPr="00BC0CDA" w:rsidRDefault="0099187E" w:rsidP="0099187E">
      <w:pPr>
        <w:jc w:val="both"/>
        <w:rPr>
          <w:rFonts w:ascii="Open Sans" w:hAnsi="Open Sans" w:cs="Arial"/>
          <w:sz w:val="20"/>
          <w:szCs w:val="20"/>
        </w:rPr>
      </w:pPr>
    </w:p>
    <w:p w14:paraId="38B8803C"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No obstante esto, encontramos en el apartado de Situación Fiscal de la cuentas anuales consolidadas la  mención a la situación de la finalizaron las actuaciones de comprobación por parte de la Dependencia de Control Tributario y Aduanero de la Delegación Central de Grandes Contribuyentes, realizadas en el 2013, por los conceptos tributarios “Tasa juegos, suerte, envite o azar: Rifas y tómbolas” y “Tasa juegos: apuestas y combinaciones aleatorias”, periodos 06/2008 a 12/2011. Las actas levantadas por la inspección son por importe de 9.029.000€.</w:t>
      </w:r>
      <w:r w:rsidRPr="00BC0CDA">
        <w:rPr>
          <w:rFonts w:ascii="Open Sans" w:eastAsia="Calibri" w:hAnsi="Open Sans" w:cs="Arial"/>
          <w:color w:val="000000"/>
          <w:sz w:val="20"/>
          <w:szCs w:val="20"/>
        </w:rPr>
        <w:t xml:space="preserve"> </w:t>
      </w:r>
      <w:r w:rsidRPr="00BC0CDA">
        <w:rPr>
          <w:rFonts w:ascii="Open Sans" w:hAnsi="Open Sans" w:cs="Arial"/>
          <w:sz w:val="20"/>
          <w:szCs w:val="20"/>
        </w:rPr>
        <w:t>El grupo ha constituido un aval por dicho importe debido al recurso interpuesto</w:t>
      </w:r>
      <w:r w:rsidRPr="00BC0CDA">
        <w:rPr>
          <w:rStyle w:val="Refdenotaalpie"/>
          <w:rFonts w:ascii="Open Sans" w:hAnsi="Open Sans" w:cs="Arial"/>
          <w:sz w:val="20"/>
          <w:szCs w:val="20"/>
        </w:rPr>
        <w:footnoteReference w:id="654"/>
      </w:r>
      <w:r w:rsidRPr="00BC0CDA">
        <w:rPr>
          <w:rFonts w:ascii="Open Sans" w:hAnsi="Open Sans" w:cs="Arial"/>
          <w:sz w:val="20"/>
          <w:szCs w:val="20"/>
        </w:rPr>
        <w:t>.</w:t>
      </w:r>
    </w:p>
    <w:p w14:paraId="191C41D6" w14:textId="77777777" w:rsidR="0099187E" w:rsidRPr="00BC0CDA" w:rsidRDefault="0099187E" w:rsidP="0099187E">
      <w:pPr>
        <w:jc w:val="both"/>
        <w:rPr>
          <w:rFonts w:ascii="Open Sans" w:eastAsia="Calibri" w:hAnsi="Open Sans" w:cs="Arial"/>
          <w:color w:val="000000"/>
          <w:sz w:val="20"/>
          <w:szCs w:val="20"/>
        </w:rPr>
      </w:pPr>
    </w:p>
    <w:p w14:paraId="6C165F85"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En lo relativo a contingencias fiscales, “en opinión de los Administradores de la Sociedad dominante, así como de sus asesores fiscales, sobre la base de la mejor interpretación de las normas actualmente en vigor, no existen contingencias fiscales de importes significativos que pudieran derivarse de posibles interpretaciones diferentes de la normativa fiscal aplicable a las operaciones realizadas por el Grupo. Por tanto, no se ha estimado necesario incluir provisión alguna por contingencias fiscales en el Estado de Situación Financiera Consolidado”. </w:t>
      </w:r>
    </w:p>
    <w:p w14:paraId="315B54AC" w14:textId="77777777" w:rsidR="0099187E" w:rsidRPr="00BC0CDA" w:rsidRDefault="0099187E" w:rsidP="0099187E">
      <w:pPr>
        <w:jc w:val="both"/>
        <w:rPr>
          <w:rFonts w:ascii="Open Sans" w:hAnsi="Open Sans" w:cs="Arial"/>
          <w:sz w:val="20"/>
          <w:szCs w:val="20"/>
        </w:rPr>
      </w:pPr>
    </w:p>
    <w:p w14:paraId="17CC1EC8"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En el apartado de Provisiones no corrientes y contingencias</w:t>
      </w:r>
      <w:r w:rsidRPr="00BC0CDA">
        <w:rPr>
          <w:rStyle w:val="Refdenotaalpie"/>
          <w:rFonts w:ascii="Open Sans" w:hAnsi="Open Sans" w:cs="Arial"/>
          <w:sz w:val="20"/>
          <w:szCs w:val="20"/>
        </w:rPr>
        <w:footnoteReference w:id="655"/>
      </w:r>
      <w:r w:rsidRPr="00BC0CDA">
        <w:rPr>
          <w:rFonts w:ascii="Open Sans" w:hAnsi="Open Sans" w:cs="Arial"/>
          <w:sz w:val="20"/>
          <w:szCs w:val="20"/>
        </w:rPr>
        <w:t xml:space="preserve"> se informa sobre las dotaciones realizadas en 2015 y ejercicios anteriores para cubrir los riesgos contingentes derivados de litigios en curso o de actas fiscales pendientes de resolución definitiva. Informa de la situación de cada una de las contingencias, ninguna de las que refiere en este apartado derivan de actas fiscales.</w:t>
      </w:r>
    </w:p>
    <w:p w14:paraId="0CC59F66" w14:textId="77777777" w:rsidR="0099187E" w:rsidRPr="00BC0CDA" w:rsidRDefault="0099187E" w:rsidP="0099187E">
      <w:pPr>
        <w:jc w:val="both"/>
        <w:rPr>
          <w:rFonts w:ascii="Open Sans" w:hAnsi="Open Sans" w:cs="Arial"/>
          <w:sz w:val="20"/>
          <w:szCs w:val="20"/>
        </w:rPr>
      </w:pPr>
    </w:p>
    <w:p w14:paraId="1480BD23"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 xml:space="preserve">La Sociedad explica cómo se relaciona con legisladores y políticos dando información sobre el los interlocutores y asuntos. Dicha información no se acompaña de cifra de gasto asociada a las mismas. Las cuestiones se centran en garantizar la representación de los intereses de Mediaset España ante la Comisión Nacional de los Mercados y la Competencia (CNMC); la Dirección General de Ordenación del Juego (DGOJ); la Presidencia del Gobierno y los Ministerios (Cultura, Industria o Economía y Competitividad); el Instituto de la Cinematografía y de las Artes Audiovisuales, el Congreso de los Diputados y el Senado, así como ante la Comisión Europea, entre otros entes de carácter público. En el informe se detallan los objetivos que han regido las actuaciones de Mediaset España durante 2015, que afectan fundamentalmente a mecanismos de control de contenidos y cumplimiento de normativa vigente, en especial en materia publicitaria, gestión de la propiedad intelectual, revisión de la Directiva europea sobre servicios de comunicación audiovisual, participación en el proceso de desarrollo normativo de la Ley del Cine, aplicación de la Ley General de la Comunicación Audiovisual y de su desarrollo normativo, seguimiento del cumplimiento y vigilancia de los compromisos asumidos ante la CNMC y aplicación de la regulación de los juegos de azar y la implantación responsable de los servicios de juego online. </w:t>
      </w:r>
    </w:p>
    <w:p w14:paraId="29E49A38" w14:textId="77777777" w:rsidR="0099187E" w:rsidRPr="00BC0CDA" w:rsidRDefault="0099187E" w:rsidP="0099187E">
      <w:pPr>
        <w:spacing w:before="120"/>
        <w:jc w:val="both"/>
        <w:rPr>
          <w:rFonts w:ascii="Open Sans" w:hAnsi="Open Sans" w:cs="Arial"/>
          <w:sz w:val="20"/>
          <w:szCs w:val="20"/>
        </w:rPr>
      </w:pPr>
    </w:p>
    <w:p w14:paraId="41FD1A27" w14:textId="77777777" w:rsidR="0099187E" w:rsidRDefault="0099187E" w:rsidP="0099187E">
      <w:pPr>
        <w:jc w:val="both"/>
        <w:rPr>
          <w:rFonts w:ascii="Open Sans" w:hAnsi="Open Sans" w:cs="Arial"/>
          <w:sz w:val="20"/>
          <w:szCs w:val="20"/>
          <w:u w:val="single"/>
        </w:rPr>
      </w:pPr>
      <w:r>
        <w:rPr>
          <w:rFonts w:ascii="Open Sans" w:hAnsi="Open Sans" w:cs="Arial"/>
          <w:sz w:val="20"/>
          <w:szCs w:val="20"/>
          <w:u w:val="single"/>
        </w:rPr>
        <w:t>Operativa de la empresa</w:t>
      </w:r>
    </w:p>
    <w:p w14:paraId="25E132C5" w14:textId="77777777" w:rsidR="0099187E" w:rsidRPr="00BC0CDA" w:rsidRDefault="0099187E" w:rsidP="0099187E">
      <w:pPr>
        <w:jc w:val="both"/>
        <w:rPr>
          <w:rFonts w:ascii="Open Sans" w:hAnsi="Open Sans" w:cs="Arial"/>
          <w:sz w:val="20"/>
          <w:szCs w:val="20"/>
          <w:u w:val="single"/>
        </w:rPr>
      </w:pPr>
    </w:p>
    <w:p w14:paraId="4B6578EC"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Las operaciones entre el Grupo y sus empresas asociadas y otras partes vinculadas se desglosan en el informe de Cuentas Anuales Consolidadas. Las operaciones entre la Sociedad y sus sociedades dependientes y empresas asociadas, en los Estados Financieros Individuales.</w:t>
      </w:r>
    </w:p>
    <w:p w14:paraId="0EDCC8E8" w14:textId="77777777" w:rsidR="0099187E" w:rsidRPr="00BC0CDA" w:rsidRDefault="0099187E" w:rsidP="0099187E">
      <w:pPr>
        <w:jc w:val="both"/>
        <w:rPr>
          <w:rFonts w:ascii="Open Sans" w:hAnsi="Open Sans" w:cs="Arial"/>
          <w:sz w:val="20"/>
          <w:szCs w:val="20"/>
        </w:rPr>
      </w:pPr>
    </w:p>
    <w:p w14:paraId="47143796"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En el informe de Cuentas Consolidadas se informa de:</w:t>
      </w:r>
    </w:p>
    <w:p w14:paraId="6DA53E05" w14:textId="77777777" w:rsidR="0099187E" w:rsidRPr="00BC0CDA" w:rsidRDefault="0099187E" w:rsidP="0099187E">
      <w:pPr>
        <w:jc w:val="both"/>
        <w:rPr>
          <w:rFonts w:ascii="Open Sans" w:hAnsi="Open Sans" w:cs="Arial"/>
          <w:sz w:val="20"/>
          <w:szCs w:val="20"/>
        </w:rPr>
      </w:pPr>
    </w:p>
    <w:p w14:paraId="77493F6C" w14:textId="77777777" w:rsidR="0099187E" w:rsidRPr="00BC0CDA" w:rsidRDefault="0099187E" w:rsidP="000B70C9">
      <w:pPr>
        <w:pStyle w:val="Prrafodelista"/>
        <w:numPr>
          <w:ilvl w:val="0"/>
          <w:numId w:val="81"/>
        </w:numPr>
        <w:jc w:val="both"/>
        <w:rPr>
          <w:rFonts w:ascii="Open Sans" w:hAnsi="Open Sans" w:cs="Arial"/>
          <w:sz w:val="20"/>
          <w:szCs w:val="20"/>
        </w:rPr>
      </w:pPr>
      <w:r w:rsidRPr="00BC0CDA">
        <w:rPr>
          <w:rFonts w:ascii="Open Sans" w:hAnsi="Open Sans" w:cs="Arial"/>
          <w:sz w:val="20"/>
          <w:szCs w:val="20"/>
        </w:rPr>
        <w:t>Créditos a empresas vinculadas, detallando empresa e importe</w:t>
      </w:r>
    </w:p>
    <w:p w14:paraId="50130AF1" w14:textId="77777777" w:rsidR="0099187E" w:rsidRPr="00BC0CDA" w:rsidRDefault="0099187E" w:rsidP="000B70C9">
      <w:pPr>
        <w:pStyle w:val="Prrafodelista"/>
        <w:numPr>
          <w:ilvl w:val="0"/>
          <w:numId w:val="81"/>
        </w:numPr>
        <w:jc w:val="both"/>
        <w:rPr>
          <w:rFonts w:ascii="Open Sans" w:hAnsi="Open Sans" w:cs="Arial"/>
          <w:sz w:val="20"/>
          <w:szCs w:val="20"/>
        </w:rPr>
      </w:pPr>
      <w:r w:rsidRPr="00BC0CDA">
        <w:rPr>
          <w:rFonts w:ascii="Open Sans" w:hAnsi="Open Sans" w:cs="Arial"/>
          <w:sz w:val="20"/>
          <w:szCs w:val="20"/>
        </w:rPr>
        <w:t>Deudas con partes vinculadas detallando importe global, dispuesto y fecha vencimiento y tipos de interés aplicables.</w:t>
      </w:r>
    </w:p>
    <w:p w14:paraId="0597B15F" w14:textId="77777777" w:rsidR="0099187E" w:rsidRPr="00BC0CDA" w:rsidRDefault="0099187E" w:rsidP="000B70C9">
      <w:pPr>
        <w:pStyle w:val="Prrafodelista"/>
        <w:numPr>
          <w:ilvl w:val="0"/>
          <w:numId w:val="81"/>
        </w:numPr>
        <w:jc w:val="both"/>
        <w:rPr>
          <w:rFonts w:ascii="Open Sans" w:hAnsi="Open Sans" w:cs="Arial"/>
          <w:sz w:val="20"/>
          <w:szCs w:val="20"/>
        </w:rPr>
      </w:pPr>
      <w:r w:rsidRPr="00BC0CDA">
        <w:rPr>
          <w:rFonts w:ascii="Open Sans" w:hAnsi="Open Sans" w:cs="Arial"/>
          <w:sz w:val="20"/>
          <w:szCs w:val="20"/>
        </w:rPr>
        <w:t>clientes con todas las empresas vinculadas por vencimientos: desglosando saldos y vencimientos de Sociedades participadas  y grupo Mediaset</w:t>
      </w:r>
    </w:p>
    <w:p w14:paraId="277C399E" w14:textId="77777777" w:rsidR="0099187E" w:rsidRPr="00BC0CDA" w:rsidRDefault="0099187E" w:rsidP="000B70C9">
      <w:pPr>
        <w:pStyle w:val="Prrafodelista"/>
        <w:numPr>
          <w:ilvl w:val="0"/>
          <w:numId w:val="81"/>
        </w:numPr>
        <w:jc w:val="both"/>
        <w:rPr>
          <w:rFonts w:ascii="Open Sans" w:hAnsi="Open Sans" w:cs="Arial"/>
          <w:sz w:val="20"/>
          <w:szCs w:val="20"/>
        </w:rPr>
      </w:pPr>
      <w:r w:rsidRPr="00BC0CDA">
        <w:rPr>
          <w:rFonts w:ascii="Open Sans" w:hAnsi="Open Sans" w:cs="Arial"/>
          <w:sz w:val="20"/>
          <w:szCs w:val="20"/>
        </w:rPr>
        <w:t>Las deudas corrientes con todas las empresas vinculadas por vencimientos: desglosando saldos y vencimientos de Sociedades participadas  y grupo Mediaset</w:t>
      </w:r>
    </w:p>
    <w:p w14:paraId="63BB2D66" w14:textId="77777777" w:rsidR="0099187E" w:rsidRPr="00BC0CDA" w:rsidRDefault="0099187E" w:rsidP="000B70C9">
      <w:pPr>
        <w:pStyle w:val="Prrafodelista"/>
        <w:numPr>
          <w:ilvl w:val="0"/>
          <w:numId w:val="81"/>
        </w:numPr>
        <w:jc w:val="both"/>
        <w:rPr>
          <w:rFonts w:ascii="Open Sans" w:hAnsi="Open Sans" w:cs="Arial"/>
          <w:sz w:val="20"/>
          <w:szCs w:val="20"/>
        </w:rPr>
      </w:pPr>
      <w:r w:rsidRPr="00BC0CDA">
        <w:rPr>
          <w:rFonts w:ascii="Open Sans" w:hAnsi="Open Sans" w:cs="Arial"/>
          <w:sz w:val="20"/>
          <w:szCs w:val="20"/>
        </w:rPr>
        <w:t>Operaciones con partes vinculadas de compras, ventas de bienes y derechos: desglosado por empresa e importes por concepto</w:t>
      </w:r>
    </w:p>
    <w:p w14:paraId="1EC99B71" w14:textId="77777777" w:rsidR="0099187E" w:rsidRPr="00BC0CDA" w:rsidRDefault="0099187E" w:rsidP="000B70C9">
      <w:pPr>
        <w:pStyle w:val="Prrafodelista"/>
        <w:numPr>
          <w:ilvl w:val="0"/>
          <w:numId w:val="81"/>
        </w:numPr>
        <w:jc w:val="both"/>
        <w:rPr>
          <w:rFonts w:ascii="Open Sans" w:hAnsi="Open Sans" w:cs="Arial"/>
          <w:color w:val="9BBB59" w:themeColor="accent3"/>
          <w:sz w:val="20"/>
          <w:szCs w:val="20"/>
        </w:rPr>
      </w:pPr>
      <w:r w:rsidRPr="00BC0CDA">
        <w:rPr>
          <w:rFonts w:ascii="Open Sans" w:hAnsi="Open Sans" w:cs="Arial"/>
          <w:sz w:val="20"/>
          <w:szCs w:val="20"/>
        </w:rPr>
        <w:t>Dividendos recibidos de partes vinculadas en los ejercicios</w:t>
      </w:r>
    </w:p>
    <w:p w14:paraId="375CFB6B" w14:textId="77777777" w:rsidR="0099187E" w:rsidRPr="00BC0CDA" w:rsidRDefault="0099187E" w:rsidP="0099187E">
      <w:pPr>
        <w:pStyle w:val="Prrafodelista"/>
        <w:jc w:val="both"/>
        <w:rPr>
          <w:rFonts w:ascii="Open Sans" w:hAnsi="Open Sans" w:cs="Arial"/>
          <w:color w:val="9BBB59" w:themeColor="accent3"/>
          <w:sz w:val="20"/>
          <w:szCs w:val="20"/>
        </w:rPr>
      </w:pPr>
    </w:p>
    <w:p w14:paraId="052608A6"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Las operaciones relativas a tráfico ordinario, han sido realizadas en condiciones normales de mercado.</w:t>
      </w:r>
    </w:p>
    <w:p w14:paraId="1F267471" w14:textId="77777777" w:rsidR="0099187E" w:rsidRPr="00BC0CDA" w:rsidRDefault="0099187E" w:rsidP="0099187E">
      <w:pPr>
        <w:jc w:val="both"/>
        <w:rPr>
          <w:rFonts w:ascii="Open Sans" w:hAnsi="Open Sans" w:cs="Arial"/>
          <w:sz w:val="20"/>
          <w:szCs w:val="20"/>
        </w:rPr>
      </w:pPr>
    </w:p>
    <w:p w14:paraId="214DC601"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Además de la información sobre operaciones con partes vinculadas</w:t>
      </w:r>
      <w:r w:rsidRPr="00BC0CDA">
        <w:rPr>
          <w:rFonts w:ascii="Open Sans" w:hAnsi="Open Sans"/>
          <w:vertAlign w:val="superscript"/>
        </w:rPr>
        <w:footnoteReference w:id="656"/>
      </w:r>
      <w:r w:rsidRPr="00BC0CDA">
        <w:rPr>
          <w:rFonts w:ascii="Open Sans" w:hAnsi="Open Sans" w:cs="Arial"/>
          <w:sz w:val="20"/>
          <w:szCs w:val="20"/>
        </w:rPr>
        <w:t xml:space="preserve"> reflejadas en las Cuentas anuales Consolidadas, Mediaset hace público un Informe anual de Operaciones Vinculadas y Operaciones Intragrupo</w:t>
      </w:r>
      <w:r w:rsidRPr="00BC0CDA">
        <w:rPr>
          <w:rFonts w:ascii="Open Sans" w:hAnsi="Open Sans"/>
          <w:vertAlign w:val="superscript"/>
        </w:rPr>
        <w:footnoteReference w:id="657"/>
      </w:r>
      <w:r w:rsidRPr="00BC0CDA">
        <w:rPr>
          <w:rFonts w:ascii="Open Sans" w:hAnsi="Open Sans" w:cs="Arial"/>
          <w:sz w:val="20"/>
          <w:szCs w:val="20"/>
          <w:vertAlign w:val="superscript"/>
        </w:rPr>
        <w:t xml:space="preserve"> </w:t>
      </w:r>
      <w:r w:rsidRPr="00BC0CDA">
        <w:rPr>
          <w:rFonts w:ascii="Open Sans" w:hAnsi="Open Sans" w:cs="Arial"/>
          <w:sz w:val="20"/>
          <w:szCs w:val="20"/>
        </w:rPr>
        <w:t xml:space="preserve">emitido por la Comisión de Auditoría y Cumplimiento, la en el que que incluye, al menos, el tipo de operación, cuantía, sujetos afectados e impacto sobre la compañía. </w:t>
      </w:r>
    </w:p>
    <w:p w14:paraId="3FB1DB9F" w14:textId="77777777" w:rsidR="0099187E" w:rsidRPr="00BC0CDA" w:rsidRDefault="0099187E" w:rsidP="0099187E">
      <w:pPr>
        <w:jc w:val="both"/>
        <w:rPr>
          <w:rFonts w:ascii="Open Sans" w:hAnsi="Open Sans" w:cs="Arial"/>
          <w:sz w:val="20"/>
          <w:szCs w:val="20"/>
        </w:rPr>
      </w:pPr>
    </w:p>
    <w:p w14:paraId="254332A3" w14:textId="77777777" w:rsidR="0099187E" w:rsidRDefault="0099187E" w:rsidP="0099187E">
      <w:pPr>
        <w:jc w:val="both"/>
        <w:rPr>
          <w:rFonts w:ascii="Open Sans" w:hAnsi="Open Sans" w:cs="Arial"/>
          <w:sz w:val="20"/>
          <w:szCs w:val="20"/>
        </w:rPr>
      </w:pPr>
      <w:r w:rsidRPr="00BC0CDA">
        <w:rPr>
          <w:rFonts w:ascii="Open Sans" w:hAnsi="Open Sans" w:cs="Arial"/>
          <w:sz w:val="20"/>
          <w:szCs w:val="20"/>
        </w:rPr>
        <w:t xml:space="preserve">No informa sobre cuál es el porcentaje que representan las compras intragrupo respecto al total de comprar realizadas. </w:t>
      </w:r>
    </w:p>
    <w:p w14:paraId="1DFA62D2" w14:textId="77777777" w:rsidR="0099187E" w:rsidRPr="00BC0CDA" w:rsidRDefault="0099187E" w:rsidP="0099187E">
      <w:pPr>
        <w:jc w:val="both"/>
        <w:rPr>
          <w:rFonts w:ascii="Open Sans" w:hAnsi="Open Sans" w:cs="Arial"/>
          <w:sz w:val="20"/>
          <w:szCs w:val="20"/>
        </w:rPr>
      </w:pPr>
    </w:p>
    <w:p w14:paraId="29ADD055" w14:textId="77777777" w:rsidR="0099187E" w:rsidRPr="00BC0CDA" w:rsidRDefault="0099187E" w:rsidP="0099187E">
      <w:pPr>
        <w:jc w:val="both"/>
        <w:rPr>
          <w:rFonts w:ascii="Open Sans" w:hAnsi="Open Sans" w:cs="Arial"/>
          <w:sz w:val="20"/>
          <w:szCs w:val="20"/>
        </w:rPr>
      </w:pPr>
      <w:r w:rsidRPr="00BC0CDA">
        <w:rPr>
          <w:rFonts w:ascii="Open Sans" w:hAnsi="Open Sans" w:cs="Arial"/>
          <w:sz w:val="20"/>
          <w:szCs w:val="20"/>
        </w:rPr>
        <w:t>La Compañía no informa sobre porcentaje que representa el volumen de endeudamiento intragrupo respecto al volumen de endeudamiento total ni sobre del coste financiero de la deuda intragrupo, así como del coste financiero del total de la deuda.</w:t>
      </w:r>
    </w:p>
    <w:p w14:paraId="0C1E0FA5" w14:textId="77777777" w:rsidR="0099187E" w:rsidRPr="00BC0CDA" w:rsidRDefault="0099187E" w:rsidP="0099187E">
      <w:pPr>
        <w:spacing w:before="120"/>
        <w:jc w:val="both"/>
        <w:rPr>
          <w:rFonts w:ascii="Open Sans" w:hAnsi="Open Sans" w:cs="Arial"/>
          <w:sz w:val="20"/>
          <w:szCs w:val="20"/>
        </w:rPr>
      </w:pPr>
    </w:p>
    <w:p w14:paraId="784ADA58" w14:textId="77777777" w:rsidR="0099187E" w:rsidRPr="00BC0CDA" w:rsidRDefault="0099187E" w:rsidP="0099187E">
      <w:pPr>
        <w:spacing w:before="120"/>
        <w:jc w:val="both"/>
        <w:rPr>
          <w:rFonts w:ascii="Open Sans" w:hAnsi="Open Sans" w:cs="Arial"/>
          <w:b/>
          <w:sz w:val="22"/>
          <w:szCs w:val="22"/>
        </w:rPr>
      </w:pPr>
    </w:p>
    <w:p w14:paraId="6AA76504" w14:textId="77777777" w:rsidR="0099187E" w:rsidRPr="00BC0CDA" w:rsidRDefault="0099187E" w:rsidP="0099187E">
      <w:pPr>
        <w:jc w:val="both"/>
        <w:outlineLvl w:val="5"/>
        <w:rPr>
          <w:rFonts w:ascii="Open Sans" w:hAnsi="Open Sans" w:cs="Arial"/>
          <w:b/>
          <w:sz w:val="22"/>
          <w:szCs w:val="22"/>
          <w:u w:val="single"/>
        </w:rPr>
      </w:pPr>
      <w:r w:rsidRPr="00BC0CDA">
        <w:rPr>
          <w:rFonts w:ascii="Open Sans" w:hAnsi="Open Sans" w:cs="Arial"/>
          <w:b/>
          <w:sz w:val="22"/>
          <w:szCs w:val="22"/>
          <w:u w:val="single"/>
        </w:rPr>
        <w:t>5. Conclusiones</w:t>
      </w:r>
    </w:p>
    <w:p w14:paraId="32DB3ED1" w14:textId="77777777" w:rsidR="0099187E" w:rsidRPr="00BC0CDA" w:rsidRDefault="0099187E" w:rsidP="0099187E">
      <w:pPr>
        <w:rPr>
          <w:rFonts w:ascii="Open Sans" w:hAnsi="Open Sans" w:cs="Arial"/>
          <w:bCs/>
          <w:sz w:val="22"/>
          <w:szCs w:val="22"/>
        </w:rPr>
      </w:pPr>
    </w:p>
    <w:p w14:paraId="2005B524" w14:textId="77777777" w:rsidR="0099187E" w:rsidRPr="00BC0CDA" w:rsidRDefault="0099187E" w:rsidP="0099187E">
      <w:pPr>
        <w:pStyle w:val="Default"/>
        <w:jc w:val="both"/>
        <w:rPr>
          <w:rFonts w:ascii="Open Sans" w:hAnsi="Open Sans" w:cs="Open Sans"/>
          <w:color w:val="auto"/>
          <w:sz w:val="20"/>
          <w:szCs w:val="20"/>
        </w:rPr>
      </w:pPr>
      <w:r w:rsidRPr="00BC0CDA">
        <w:rPr>
          <w:rFonts w:ascii="Open Sans" w:hAnsi="Open Sans" w:cs="Open Sans"/>
          <w:color w:val="auto"/>
          <w:sz w:val="20"/>
          <w:szCs w:val="20"/>
        </w:rPr>
        <w:t xml:space="preserve">La valoración global de la transparencia de </w:t>
      </w:r>
      <w:r>
        <w:rPr>
          <w:rFonts w:ascii="Open Sans" w:hAnsi="Open Sans" w:cs="Open Sans"/>
          <w:color w:val="auto"/>
          <w:sz w:val="20"/>
          <w:szCs w:val="20"/>
        </w:rPr>
        <w:t>Mediaset</w:t>
      </w:r>
      <w:r w:rsidRPr="00BC0CDA">
        <w:rPr>
          <w:rFonts w:ascii="Open Sans" w:hAnsi="Open Sans" w:cs="Open Sans"/>
          <w:color w:val="auto"/>
          <w:sz w:val="20"/>
          <w:szCs w:val="20"/>
        </w:rPr>
        <w:t xml:space="preserve"> en el ámbito fiscal es de </w:t>
      </w:r>
      <w:r>
        <w:rPr>
          <w:rFonts w:ascii="Open Sans" w:hAnsi="Open Sans" w:cs="Open Sans"/>
          <w:b/>
          <w:color w:val="auto"/>
          <w:sz w:val="20"/>
          <w:szCs w:val="20"/>
        </w:rPr>
        <w:t>0,85</w:t>
      </w:r>
      <w:r w:rsidRPr="00BC0CDA">
        <w:rPr>
          <w:rFonts w:ascii="Open Sans" w:hAnsi="Open Sans" w:cs="Open Sans"/>
          <w:color w:val="auto"/>
          <w:sz w:val="20"/>
          <w:szCs w:val="20"/>
        </w:rPr>
        <w:t xml:space="preserve"> sobre un máximo de 3</w:t>
      </w:r>
      <w:r>
        <w:rPr>
          <w:rFonts w:ascii="Open Sans" w:hAnsi="Open Sans" w:cs="Open Sans"/>
          <w:color w:val="auto"/>
          <w:sz w:val="20"/>
          <w:szCs w:val="20"/>
        </w:rPr>
        <w:t xml:space="preserve"> lo que sitúa la información en un estadio de </w:t>
      </w:r>
      <w:r w:rsidRPr="000972AA">
        <w:rPr>
          <w:rFonts w:ascii="Open Sans" w:hAnsi="Open Sans" w:cs="Open Sans"/>
          <w:i/>
          <w:color w:val="auto"/>
          <w:sz w:val="20"/>
          <w:szCs w:val="20"/>
        </w:rPr>
        <w:t>escasa</w:t>
      </w:r>
      <w:r>
        <w:rPr>
          <w:rFonts w:ascii="Open Sans" w:hAnsi="Open Sans" w:cs="Open Sans"/>
          <w:color w:val="auto"/>
          <w:sz w:val="20"/>
          <w:szCs w:val="20"/>
        </w:rPr>
        <w:t xml:space="preserve"> de acuerdo con la metodología del Observatorio de RSC</w:t>
      </w:r>
      <w:r w:rsidRPr="00BC0CDA">
        <w:rPr>
          <w:rFonts w:ascii="Open Sans" w:hAnsi="Open Sans" w:cs="Open Sans"/>
          <w:color w:val="auto"/>
          <w:sz w:val="20"/>
          <w:szCs w:val="20"/>
        </w:rPr>
        <w:t>. De las dimensiones analizadas, la máxima puntuación se obtiene en los aspectos relacionados con la “po</w:t>
      </w:r>
      <w:r>
        <w:rPr>
          <w:rFonts w:ascii="Open Sans" w:hAnsi="Open Sans" w:cs="Open Sans"/>
          <w:color w:val="auto"/>
          <w:sz w:val="20"/>
          <w:szCs w:val="20"/>
        </w:rPr>
        <w:t>lítica y estrategia fiscal” (1,4</w:t>
      </w:r>
      <w:r w:rsidRPr="00BC0CDA">
        <w:rPr>
          <w:rFonts w:ascii="Open Sans" w:hAnsi="Open Sans" w:cs="Open Sans"/>
          <w:color w:val="auto"/>
          <w:sz w:val="20"/>
          <w:szCs w:val="20"/>
        </w:rPr>
        <w:t>0), seguidos por “relaciones con Adm</w:t>
      </w:r>
      <w:r>
        <w:rPr>
          <w:rFonts w:ascii="Open Sans" w:hAnsi="Open Sans" w:cs="Open Sans"/>
          <w:color w:val="auto"/>
          <w:sz w:val="20"/>
          <w:szCs w:val="20"/>
        </w:rPr>
        <w:t>inistraciones Tributarias” (1,00</w:t>
      </w:r>
      <w:r w:rsidRPr="00BC0CDA">
        <w:rPr>
          <w:rFonts w:ascii="Open Sans" w:hAnsi="Open Sans" w:cs="Open Sans"/>
          <w:color w:val="auto"/>
          <w:sz w:val="20"/>
          <w:szCs w:val="20"/>
        </w:rPr>
        <w:t>),  “impuestos e incentivos” (0,83) y “paraísos y nichos fiscales” (0</w:t>
      </w:r>
      <w:r>
        <w:rPr>
          <w:rFonts w:ascii="Open Sans" w:hAnsi="Open Sans" w:cs="Open Sans"/>
          <w:color w:val="auto"/>
          <w:sz w:val="20"/>
          <w:szCs w:val="20"/>
        </w:rPr>
        <w:t>,17</w:t>
      </w:r>
      <w:r w:rsidRPr="00BC0CDA">
        <w:rPr>
          <w:rFonts w:ascii="Open Sans" w:hAnsi="Open Sans" w:cs="Open Sans"/>
          <w:color w:val="auto"/>
          <w:sz w:val="20"/>
          <w:szCs w:val="20"/>
        </w:rPr>
        <w:t xml:space="preserve">). </w:t>
      </w:r>
    </w:p>
    <w:p w14:paraId="1602D80F" w14:textId="77777777" w:rsidR="0099187E" w:rsidRPr="00BC0CDA" w:rsidRDefault="0099187E" w:rsidP="0099187E">
      <w:pPr>
        <w:pStyle w:val="Default"/>
        <w:jc w:val="both"/>
        <w:rPr>
          <w:rFonts w:ascii="Open Sans" w:hAnsi="Open Sans" w:cs="Open Sans"/>
          <w:color w:val="auto"/>
          <w:sz w:val="20"/>
          <w:szCs w:val="20"/>
        </w:rPr>
      </w:pPr>
    </w:p>
    <w:p w14:paraId="062770D9" w14:textId="77777777" w:rsidR="0099187E" w:rsidRDefault="0099187E" w:rsidP="0099187E">
      <w:pPr>
        <w:pStyle w:val="Default"/>
        <w:jc w:val="both"/>
        <w:rPr>
          <w:rFonts w:ascii="Open Sans" w:hAnsi="Open Sans"/>
          <w:bCs/>
          <w:sz w:val="20"/>
          <w:szCs w:val="20"/>
        </w:rPr>
      </w:pPr>
      <w:r w:rsidRPr="00BC0CDA">
        <w:rPr>
          <w:rFonts w:ascii="Open Sans" w:hAnsi="Open Sans"/>
          <w:bCs/>
          <w:sz w:val="20"/>
          <w:szCs w:val="20"/>
        </w:rPr>
        <w:t xml:space="preserve">El ejercicio de transparencia que supone la información a la actividad fiscal en 2015 de Mediaset en la información pública analizada (Informe de Responsabilidad Corporativa, Informe de Gobierno Corporativo, y  Cuentas anuales, principalmente), se soporta fundamentalmente en la información aportada en las cuentas anuales, que lógicamente tienen un lenguaje técnico y difícilmente comprensible para los no expertos en la materia. Teniendo en cuenta la limitación propia de este tipo de informes como herramienta de comunicación, ya que no es esa su finalidad, sería el Informe de Responsabilidad Corporativa un medio más idóneo a tal fin. No obstante, la apuesta del Grupo por a una fiscalidad responsable y su vinculación con la RSC, no queda suficientemente </w:t>
      </w:r>
      <w:r>
        <w:rPr>
          <w:rFonts w:ascii="Open Sans" w:hAnsi="Open Sans"/>
          <w:bCs/>
          <w:sz w:val="20"/>
          <w:szCs w:val="20"/>
        </w:rPr>
        <w:t xml:space="preserve">reflejado </w:t>
      </w:r>
      <w:r w:rsidRPr="00BC0CDA">
        <w:rPr>
          <w:rFonts w:ascii="Open Sans" w:hAnsi="Open Sans"/>
          <w:bCs/>
          <w:sz w:val="20"/>
          <w:szCs w:val="20"/>
        </w:rPr>
        <w:t xml:space="preserve"> en el Informe de Responsabilidad Corporativa. </w:t>
      </w:r>
    </w:p>
    <w:p w14:paraId="3220ED8E" w14:textId="77777777" w:rsidR="0099187E" w:rsidRPr="00BC0CDA" w:rsidRDefault="0099187E" w:rsidP="0099187E">
      <w:pPr>
        <w:pStyle w:val="Default"/>
        <w:jc w:val="both"/>
        <w:rPr>
          <w:rFonts w:ascii="Open Sans" w:hAnsi="Open Sans" w:cs="Open Sans"/>
          <w:color w:val="auto"/>
          <w:sz w:val="20"/>
          <w:szCs w:val="20"/>
        </w:rPr>
      </w:pPr>
    </w:p>
    <w:p w14:paraId="34462752" w14:textId="77777777" w:rsidR="0099187E" w:rsidRDefault="0099187E" w:rsidP="0099187E">
      <w:pPr>
        <w:jc w:val="both"/>
        <w:rPr>
          <w:rFonts w:ascii="Open Sans" w:hAnsi="Open Sans" w:cs="Arial"/>
          <w:sz w:val="20"/>
          <w:szCs w:val="20"/>
        </w:rPr>
      </w:pPr>
      <w:r w:rsidRPr="00BC0CDA">
        <w:rPr>
          <w:rFonts w:ascii="Open Sans" w:hAnsi="Open Sans" w:cs="Arial"/>
          <w:bCs/>
          <w:sz w:val="20"/>
          <w:szCs w:val="20"/>
        </w:rPr>
        <w:t xml:space="preserve">Tanto de los contenidos del documento de </w:t>
      </w:r>
      <w:r w:rsidRPr="00BC0CDA">
        <w:rPr>
          <w:rFonts w:ascii="Open Sans" w:hAnsi="Open Sans" w:cs="Arial"/>
          <w:sz w:val="20"/>
          <w:szCs w:val="20"/>
        </w:rPr>
        <w:t>Política y Estrategia Fiscal</w:t>
      </w:r>
      <w:r w:rsidRPr="00BC0CDA">
        <w:rPr>
          <w:rFonts w:ascii="Open Sans" w:hAnsi="Open Sans" w:cs="Arial"/>
          <w:bCs/>
          <w:sz w:val="20"/>
          <w:szCs w:val="20"/>
        </w:rPr>
        <w:t xml:space="preserve"> como de las Cuentas Consolidadas y del Informe de gobierno Corporativo, no se deduce un posicionamiento claro respecto a los paraísos fiscales por parte de la Mediaset España: dado que no es solo un tema de cumplimiento legal, al que hacen referencia la mayoría de los principios de actuación detallados en su documento de Estrategia y política fiscal,  requeriría explicitar que se entiende por paraíso fiscal y distinguir entre paraíso y nicho fiscal (ej referencias a listado de paraísos y nichos fiscales) y no </w:t>
      </w:r>
      <w:r w:rsidRPr="00BC0CDA">
        <w:rPr>
          <w:rFonts w:ascii="Open Sans" w:hAnsi="Open Sans" w:cs="Arial"/>
          <w:sz w:val="20"/>
          <w:szCs w:val="20"/>
        </w:rPr>
        <w:t>únicamente la expresión genérica del compromiso  de cumplimiento de las líneas Directrices de OCDE y la adhesión con el código de Buenas Prácticas Tributarias.</w:t>
      </w:r>
    </w:p>
    <w:p w14:paraId="025F3A40" w14:textId="77777777" w:rsidR="0099187E" w:rsidRPr="00BC0CDA" w:rsidRDefault="0099187E" w:rsidP="0099187E">
      <w:pPr>
        <w:jc w:val="both"/>
        <w:rPr>
          <w:rFonts w:ascii="Open Sans" w:hAnsi="Open Sans" w:cs="Arial"/>
          <w:sz w:val="20"/>
          <w:szCs w:val="20"/>
        </w:rPr>
      </w:pPr>
    </w:p>
    <w:p w14:paraId="1A4A6B57" w14:textId="77777777" w:rsidR="0099187E" w:rsidRDefault="0099187E" w:rsidP="0099187E">
      <w:pPr>
        <w:jc w:val="both"/>
        <w:rPr>
          <w:rFonts w:ascii="Open Sans" w:hAnsi="Open Sans" w:cs="Arial"/>
          <w:sz w:val="20"/>
          <w:szCs w:val="20"/>
        </w:rPr>
      </w:pPr>
      <w:r w:rsidRPr="00BC0CDA">
        <w:rPr>
          <w:rFonts w:ascii="Open Sans" w:hAnsi="Open Sans" w:cs="Open Sans"/>
          <w:sz w:val="20"/>
          <w:szCs w:val="20"/>
        </w:rPr>
        <w:t>Existiendo un mapa de riesgos fiscales se echa en falta que se expliciten estos en alguno de los documentos públicos</w:t>
      </w:r>
      <w:r w:rsidRPr="00BC0CDA">
        <w:rPr>
          <w:rFonts w:ascii="Open Sans" w:hAnsi="Open Sans" w:cs="Arial"/>
          <w:sz w:val="20"/>
          <w:szCs w:val="20"/>
        </w:rPr>
        <w:t xml:space="preserve">. </w:t>
      </w:r>
    </w:p>
    <w:p w14:paraId="3404A407" w14:textId="77777777" w:rsidR="0099187E" w:rsidRPr="00BC0CDA" w:rsidRDefault="0099187E" w:rsidP="0099187E">
      <w:pPr>
        <w:jc w:val="both"/>
        <w:rPr>
          <w:rFonts w:ascii="Open Sans" w:hAnsi="Open Sans" w:cs="Arial"/>
          <w:bCs/>
          <w:sz w:val="22"/>
          <w:szCs w:val="22"/>
        </w:rPr>
      </w:pPr>
    </w:p>
    <w:p w14:paraId="3F10D2DD" w14:textId="31156C99" w:rsidR="0099187E" w:rsidRDefault="0099187E" w:rsidP="0099187E">
      <w:pPr>
        <w:jc w:val="both"/>
        <w:rPr>
          <w:rFonts w:ascii="Open Sans" w:eastAsia="Arial" w:hAnsi="Open Sans" w:cs="Open Sans"/>
          <w:sz w:val="20"/>
          <w:szCs w:val="20"/>
        </w:rPr>
      </w:pPr>
      <w:r w:rsidRPr="00BC0CDA">
        <w:rPr>
          <w:rFonts w:ascii="Open Sans" w:hAnsi="Open Sans" w:cs="Arial"/>
          <w:bCs/>
          <w:sz w:val="20"/>
          <w:szCs w:val="20"/>
        </w:rPr>
        <w:t>En la documentación analizada no se han encontrado evidencias de que Mediaset haya establecido un diálogo, más allá de con la agencia tributaria, con sus grupos de interés en relación a los aspectos fiscales, a pesar de que para la elaboración de el Informe de Responsabilidad Corporativa 2015, ha llevado a cabo un ejercicio de diálogo que ha dado como resultado una Matriz de materialidad, que reconoce mejorable en cuanto a dar entrada a otros actores.</w:t>
      </w:r>
    </w:p>
    <w:p w14:paraId="03762EB9" w14:textId="77777777" w:rsidR="0099187E" w:rsidRDefault="0099187E" w:rsidP="00FE521A">
      <w:pPr>
        <w:jc w:val="both"/>
        <w:rPr>
          <w:rFonts w:ascii="Open Sans" w:eastAsia="Arial" w:hAnsi="Open Sans" w:cs="Open Sans"/>
          <w:sz w:val="20"/>
          <w:szCs w:val="20"/>
        </w:rPr>
      </w:pPr>
    </w:p>
    <w:p w14:paraId="02F0657C" w14:textId="77777777" w:rsidR="00202049" w:rsidRDefault="00202049">
      <w:pPr>
        <w:rPr>
          <w:rFonts w:ascii="Arial" w:eastAsia="Arial" w:hAnsi="Arial" w:cs="Arial"/>
          <w:sz w:val="20"/>
          <w:szCs w:val="20"/>
        </w:rPr>
        <w:sectPr w:rsidR="00202049" w:rsidSect="00CA4DA8">
          <w:footerReference w:type="default" r:id="rId136"/>
          <w:pgSz w:w="11900" w:h="16840"/>
          <w:pgMar w:top="1418" w:right="1701" w:bottom="1418" w:left="1701" w:header="708" w:footer="708" w:gutter="0"/>
          <w:cols w:space="708"/>
          <w:docGrid w:linePitch="360"/>
        </w:sectPr>
      </w:pPr>
    </w:p>
    <w:p w14:paraId="0CFD3DD4" w14:textId="36B3114A" w:rsidR="00A54764" w:rsidRDefault="000C54D0" w:rsidP="00635B8D">
      <w:r w:rsidRPr="000C54D0">
        <w:rPr>
          <w:noProof/>
          <w:lang w:val="es-ES"/>
        </w:rPr>
        <w:drawing>
          <wp:anchor distT="0" distB="0" distL="114300" distR="114300" simplePos="0" relativeHeight="251677696" behindDoc="0" locked="0" layoutInCell="1" allowOverlap="1" wp14:anchorId="36EDA43D" wp14:editId="7152BF54">
            <wp:simplePos x="0" y="0"/>
            <wp:positionH relativeFrom="column">
              <wp:posOffset>-123825</wp:posOffset>
            </wp:positionH>
            <wp:positionV relativeFrom="paragraph">
              <wp:posOffset>-178434</wp:posOffset>
            </wp:positionV>
            <wp:extent cx="7686866" cy="10875010"/>
            <wp:effectExtent l="0" t="0" r="9525"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cstate="email">
                      <a:extLst>
                        <a:ext uri="{28A0092B-C50C-407E-A947-70E740481C1C}">
                          <a14:useLocalDpi xmlns:a14="http://schemas.microsoft.com/office/drawing/2010/main"/>
                        </a:ext>
                      </a:extLst>
                    </a:blip>
                    <a:stretch>
                      <a:fillRect/>
                    </a:stretch>
                  </pic:blipFill>
                  <pic:spPr bwMode="auto">
                    <a:xfrm>
                      <a:off x="0" y="0"/>
                      <a:ext cx="7687276" cy="1087559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54764" w:rsidSect="00CA4DA8">
      <w:headerReference w:type="default" r:id="rId138"/>
      <w:footerReference w:type="default" r:id="rId139"/>
      <w:pgSz w:w="11900" w:h="16840"/>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86D75E" w14:textId="77777777" w:rsidR="007F55EB" w:rsidRDefault="007F55EB" w:rsidP="00980726">
      <w:r>
        <w:separator/>
      </w:r>
    </w:p>
  </w:endnote>
  <w:endnote w:type="continuationSeparator" w:id="0">
    <w:p w14:paraId="038BA611" w14:textId="77777777" w:rsidR="007F55EB" w:rsidRDefault="007F55EB" w:rsidP="009807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Garamond">
    <w:panose1 w:val="02020404030301010803"/>
    <w:charset w:val="00"/>
    <w:family w:val="roman"/>
    <w:pitch w:val="variable"/>
    <w:sig w:usb0="00000287" w:usb1="00000000" w:usb2="00000000" w:usb3="00000000" w:csb0="0000009F" w:csb1="00000000"/>
  </w:font>
  <w:font w:name="Bliss">
    <w:altName w:val="Bliss"/>
    <w:panose1 w:val="00000000000000000000"/>
    <w:charset w:val="00"/>
    <w:family w:val="swiss"/>
    <w:notTrueType/>
    <w:pitch w:val="default"/>
    <w:sig w:usb0="00000003" w:usb1="00000000" w:usb2="00000000" w:usb3="00000000" w:csb0="00000001" w:csb1="00000000"/>
  </w:font>
  <w:font w:name="Univers LT Std 45 Light">
    <w:altName w:val="Cambria"/>
    <w:panose1 w:val="00000000000000000000"/>
    <w:charset w:val="00"/>
    <w:family w:val="swiss"/>
    <w:notTrueType/>
    <w:pitch w:val="default"/>
    <w:sig w:usb0="00000003" w:usb1="00000000" w:usb2="00000000" w:usb3="00000000" w:csb0="00000001" w:csb1="00000000"/>
  </w:font>
  <w:font w:name="GillSans Light">
    <w:altName w:val="Cambria"/>
    <w:charset w:val="00"/>
    <w:family w:val="swiss"/>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Repsol">
    <w:altName w:val="Repsol"/>
    <w:panose1 w:val="00000000000000000000"/>
    <w:charset w:val="00"/>
    <w:family w:val="swiss"/>
    <w:notTrueType/>
    <w:pitch w:val="default"/>
    <w:sig w:usb0="00000003" w:usb1="00000000" w:usb2="00000000" w:usb3="00000000" w:csb0="00000001" w:csb1="00000000"/>
  </w:font>
  <w:font w:name="Univers LT Std 55">
    <w:altName w:val="Univers LT Std 55"/>
    <w:panose1 w:val="00000000000000000000"/>
    <w:charset w:val="00"/>
    <w:family w:val="swiss"/>
    <w:notTrueType/>
    <w:pitch w:val="default"/>
    <w:sig w:usb0="00000003" w:usb1="00000000" w:usb2="00000000" w:usb3="00000000" w:csb0="00000001" w:csb1="00000000"/>
  </w:font>
  <w:font w:name="Dialog">
    <w:altName w:val="Dialog"/>
    <w:panose1 w:val="00000000000000000000"/>
    <w:charset w:val="00"/>
    <w:family w:val="swiss"/>
    <w:notTrueType/>
    <w:pitch w:val="default"/>
    <w:sig w:usb0="00000003" w:usb1="00000000" w:usb2="00000000" w:usb3="00000000" w:csb0="00000001" w:csb1="00000000"/>
  </w:font>
  <w:font w:name="Gotham">
    <w:altName w:val="Gotham"/>
    <w:panose1 w:val="00000000000000000000"/>
    <w:charset w:val="00"/>
    <w:family w:val="swiss"/>
    <w:notTrueType/>
    <w:pitch w:val="default"/>
    <w:sig w:usb0="00000003" w:usb1="00000000" w:usb2="00000000" w:usb3="00000000" w:csb0="00000001" w:csb1="00000000"/>
  </w:font>
  <w:font w:name="Gotham Condensed">
    <w:altName w:val="Gotham Condensed"/>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emento">
    <w:altName w:val="Cambria"/>
    <w:panose1 w:val="00000000000000000000"/>
    <w:charset w:val="00"/>
    <w:family w:val="roman"/>
    <w:notTrueType/>
    <w:pitch w:val="default"/>
    <w:sig w:usb0="00000003" w:usb1="00000000" w:usb2="00000000" w:usb3="00000000" w:csb0="00000001" w:csb1="00000000"/>
  </w:font>
  <w:font w:name="Monotype Sorts">
    <w:charset w:val="02"/>
    <w:family w:val="auto"/>
    <w:pitch w:val="variable"/>
    <w:sig w:usb0="00000000" w:usb1="10000000" w:usb2="00000000" w:usb3="00000000" w:csb0="80000000" w:csb1="00000000"/>
  </w:font>
  <w:font w:name="Liberation Sans">
    <w:altName w:val="Arial"/>
    <w:charset w:val="00"/>
    <w:family w:val="roman"/>
    <w:pitch w:val="variable"/>
  </w:font>
  <w:font w:name="Droid Sans Fallback">
    <w:charset w:val="01"/>
    <w:family w:val="auto"/>
    <w:pitch w:val="variable"/>
  </w:font>
  <w:font w:name="FreeSans">
    <w:altName w:val="Times New Roman"/>
    <w:charset w:val="01"/>
    <w:family w:val="auto"/>
    <w:pitch w:val="variable"/>
  </w:font>
  <w:font w:name="Frutiger 45 Light">
    <w:altName w:val="Frutiger 45 Light"/>
    <w:panose1 w:val="00000000000000000000"/>
    <w:charset w:val="00"/>
    <w:family w:val="swiss"/>
    <w:notTrueType/>
    <w:pitch w:val="default"/>
    <w:sig w:usb0="00000003" w:usb1="00000000" w:usb2="00000000" w:usb3="00000000" w:csb0="00000001" w:csb1="00000000"/>
  </w:font>
  <w:font w:name="VAG Rounded Light">
    <w:altName w:val="VAG Rounded Light"/>
    <w:panose1 w:val="00000000000000000000"/>
    <w:charset w:val="00"/>
    <w:family w:val="swiss"/>
    <w:notTrueType/>
    <w:pitch w:val="default"/>
    <w:sig w:usb0="00000003" w:usb1="00000000" w:usb2="00000000" w:usb3="00000000" w:csb0="00000001" w:csb1="00000000"/>
  </w:font>
  <w:font w:name="DDMAO J+ Amplitude">
    <w:altName w:val="Amplitude"/>
    <w:panose1 w:val="00000000000000000000"/>
    <w:charset w:val="00"/>
    <w:family w:val="swiss"/>
    <w:notTrueType/>
    <w:pitch w:val="default"/>
    <w:sig w:usb0="00000003" w:usb1="00000000" w:usb2="00000000" w:usb3="00000000" w:csb0="00000001" w:csb1="00000000"/>
  </w:font>
  <w:font w:name="Gill Sans">
    <w:charset w:val="00"/>
    <w:family w:val="auto"/>
    <w:pitch w:val="variable"/>
    <w:sig w:usb0="80000267" w:usb1="00000000" w:usb2="00000000" w:usb3="00000000" w:csb0="000001F7" w:csb1="00000000"/>
  </w:font>
  <w:font w:name="Univers LT Std 47 Cn Lt">
    <w:altName w:val="Univers LT Std 47 Cn Lt"/>
    <w:panose1 w:val="00000000000000000000"/>
    <w:charset w:val="00"/>
    <w:family w:val="swiss"/>
    <w:notTrueType/>
    <w:pitch w:val="default"/>
    <w:sig w:usb0="00000003" w:usb1="00000000" w:usb2="00000000" w:usb3="00000000" w:csb0="00000001" w:csb1="00000000"/>
  </w:font>
  <w:font w:name="OpenSymbol">
    <w:altName w:val="Arial Unicode MS"/>
    <w:charset w:val="80"/>
    <w:family w:val="auto"/>
    <w:pitch w:val="default"/>
  </w:font>
  <w:font w:name="Lucida Sans">
    <w:altName w:val="Lucida Sans Unicode"/>
    <w:charset w:val="00"/>
    <w:family w:val="auto"/>
    <w:pitch w:val="variable"/>
    <w:sig w:usb0="00000003" w:usb1="00000000" w:usb2="00000000" w:usb3="00000000" w:csb0="00000001" w:csb1="00000000"/>
  </w:font>
  <w:font w:name="Telefonica">
    <w:altName w:val="Cambria"/>
    <w:panose1 w:val="00000000000000000000"/>
    <w:charset w:val="00"/>
    <w:family w:val="swiss"/>
    <w:notTrueType/>
    <w:pitch w:val="default"/>
    <w:sig w:usb0="00000003" w:usb1="00000000" w:usb2="00000000" w:usb3="00000000" w:csb0="00000001" w:csb1="00000000"/>
  </w:font>
  <w:font w:name="Telefonica Light">
    <w:altName w:val="Cambria"/>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Helvetica Neue">
    <w:charset w:val="00"/>
    <w:family w:val="auto"/>
    <w:pitch w:val="variable"/>
    <w:sig w:usb0="80000067"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T1CEt00">
    <w:altName w:val="Calibri"/>
    <w:panose1 w:val="00000000000000000000"/>
    <w:charset w:val="00"/>
    <w:family w:val="auto"/>
    <w:notTrueType/>
    <w:pitch w:val="default"/>
    <w:sig w:usb0="00000003" w:usb1="00000000" w:usb2="00000000" w:usb3="00000000" w:csb0="00000001" w:csb1="00000000"/>
  </w:font>
  <w:font w:name="TT1D0t00">
    <w:altName w:val="Calibri"/>
    <w:panose1 w:val="00000000000000000000"/>
    <w:charset w:val="00"/>
    <w:family w:val="auto"/>
    <w:notTrueType/>
    <w:pitch w:val="default"/>
    <w:sig w:usb0="00000003" w:usb1="00000000" w:usb2="00000000" w:usb3="00000000" w:csb0="00000001" w:csb1="00000000"/>
  </w:font>
  <w:font w:name="Helvetica-Bold">
    <w:altName w:val="Arial"/>
    <w:panose1 w:val="00000000000000000000"/>
    <w:charset w:val="00"/>
    <w:family w:val="auto"/>
    <w:notTrueType/>
    <w:pitch w:val="default"/>
    <w:sig w:usb0="00000003" w:usb1="00000000" w:usb2="00000000" w:usb3="00000000" w:csb0="00000001" w:csb1="00000000"/>
  </w:font>
  <w:font w:name="Open Sans;Tahoma">
    <w:altName w:val="Times New Roman"/>
    <w:panose1 w:val="00000000000000000000"/>
    <w:charset w:val="00"/>
    <w:family w:val="roman"/>
    <w:notTrueType/>
    <w:pitch w:val="default"/>
  </w:font>
  <w:font w:name="KlavikaBasic-Light">
    <w:altName w:val="Arial"/>
    <w:panose1 w:val="00000000000000000000"/>
    <w:charset w:val="00"/>
    <w:family w:val="swiss"/>
    <w:notTrueType/>
    <w:pitch w:val="default"/>
    <w:sig w:usb0="00000007" w:usb1="00000000" w:usb2="00000000" w:usb3="00000000" w:csb0="00000003" w:csb1="00000000"/>
  </w:font>
  <w:font w:name="DINCond-Light">
    <w:altName w:val="Open Sans"/>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f1kqzd6w-q0w-djt-1rm2lwrgwy56i">
    <w:altName w:val="Open Sans"/>
    <w:panose1 w:val="00000000000000000000"/>
    <w:charset w:val="00"/>
    <w:family w:val="auto"/>
    <w:notTrueType/>
    <w:pitch w:val="default"/>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Ferrovial-Light">
    <w:altName w:val="MS Gothic"/>
    <w:panose1 w:val="00000000000000000000"/>
    <w:charset w:val="80"/>
    <w:family w:val="swiss"/>
    <w:notTrueType/>
    <w:pitch w:val="default"/>
    <w:sig w:usb0="00000001" w:usb1="08070000" w:usb2="00000010" w:usb3="00000000" w:csb0="00020000" w:csb1="00000000"/>
  </w:font>
  <w:font w:name="Open Sans Light">
    <w:panose1 w:val="020B0306030504020204"/>
    <w:charset w:val="00"/>
    <w:family w:val="swiss"/>
    <w:pitch w:val="variable"/>
    <w:sig w:usb0="E00002EF" w:usb1="4000205B" w:usb2="00000028" w:usb3="00000000" w:csb0="0000019F" w:csb1="00000000"/>
  </w:font>
  <w:font w:name="Bliss2-Light">
    <w:altName w:val="Open Sans"/>
    <w:panose1 w:val="00000000000000000000"/>
    <w:charset w:val="00"/>
    <w:family w:val="swiss"/>
    <w:notTrueType/>
    <w:pitch w:val="default"/>
    <w:sig w:usb0="00000003" w:usb1="00000000" w:usb2="00000000" w:usb3="00000000" w:csb0="00000001" w:csb1="00000000"/>
  </w:font>
  <w:font w:name="OpenSans">
    <w:altName w:val="Arial"/>
    <w:charset w:val="00"/>
    <w:family w:val="swiss"/>
    <w:pitch w:val="default"/>
  </w:font>
  <w:font w:name="Roboto-Light">
    <w:altName w:val="Calibri"/>
    <w:panose1 w:val="00000000000000000000"/>
    <w:charset w:val="00"/>
    <w:family w:val="swiss"/>
    <w:notTrueType/>
    <w:pitch w:val="default"/>
    <w:sig w:usb0="00000003" w:usb1="00000000" w:usb2="00000000" w:usb3="00000000" w:csb0="00000001" w:csb1="00000000"/>
  </w:font>
  <w:font w:name="ScalaSansPro-Light">
    <w:altName w:val="Open Sans"/>
    <w:panose1 w:val="00000000000000000000"/>
    <w:charset w:val="00"/>
    <w:family w:val="swiss"/>
    <w:notTrueType/>
    <w:pitch w:val="default"/>
    <w:sig w:usb0="00000003" w:usb1="00000000" w:usb2="00000000" w:usb3="00000000" w:csb0="00000001" w:csb1="00000000"/>
  </w:font>
  <w:font w:name="BBVAWebBook">
    <w:altName w:val="Calibri"/>
    <w:panose1 w:val="00000000000000000000"/>
    <w:charset w:val="00"/>
    <w:family w:val="auto"/>
    <w:notTrueType/>
    <w:pitch w:val="default"/>
    <w:sig w:usb0="00000003" w:usb1="00000000" w:usb2="00000000" w:usb3="00000000" w:csb0="00000001" w:csb1="00000000"/>
  </w:font>
  <w:font w:name="TT26Ft00">
    <w:altName w:val="Calibri"/>
    <w:panose1 w:val="00000000000000000000"/>
    <w:charset w:val="00"/>
    <w:family w:val="auto"/>
    <w:notTrueType/>
    <w:pitch w:val="default"/>
    <w:sig w:usb0="00000003" w:usb1="00000000" w:usb2="00000000" w:usb3="00000000" w:csb0="00000001" w:csb1="00000000"/>
  </w:font>
  <w:font w:name="TT270t00">
    <w:altName w:val="Calibri"/>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madeus-Regular">
    <w:altName w:val="Open Sans"/>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BFA42" w14:textId="082756B1" w:rsidR="007F55EB" w:rsidRPr="00CB5F59" w:rsidRDefault="007F55EB" w:rsidP="00141B49">
    <w:pPr>
      <w:pStyle w:val="Piedepgina"/>
      <w:pBdr>
        <w:top w:val="single" w:sz="2" w:space="1" w:color="000000"/>
      </w:pBdr>
      <w:ind w:right="360"/>
      <w:jc w:val="both"/>
      <w:rPr>
        <w:rFonts w:ascii="Open Sans" w:hAnsi="Open Sans"/>
        <w:i/>
        <w:color w:val="000080"/>
        <w:sz w:val="16"/>
        <w:szCs w:val="16"/>
      </w:rPr>
    </w:pPr>
    <w:r w:rsidRPr="001C1608">
      <w:rPr>
        <w:i/>
        <w:color w:val="000080"/>
        <w:szCs w:val="16"/>
      </w:rPr>
      <w:tab/>
    </w:r>
    <w:r w:rsidRPr="001C1608">
      <w:rPr>
        <w:i/>
        <w:color w:val="000080"/>
        <w:szCs w:val="16"/>
      </w:rPr>
      <w:tab/>
    </w:r>
    <w:r w:rsidRPr="009349A9">
      <w:rPr>
        <w:rFonts w:ascii="Open Sans" w:hAnsi="Open Sans"/>
        <w:color w:val="000080"/>
        <w:sz w:val="16"/>
      </w:rPr>
      <w:fldChar w:fldCharType="begin"/>
    </w:r>
    <w:r w:rsidRPr="009349A9">
      <w:rPr>
        <w:rFonts w:ascii="Open Sans" w:hAnsi="Open Sans"/>
        <w:color w:val="000080"/>
        <w:sz w:val="16"/>
      </w:rPr>
      <w:instrText xml:space="preserve"> PAGE \*ARABIC </w:instrText>
    </w:r>
    <w:r w:rsidRPr="009349A9">
      <w:rPr>
        <w:rFonts w:ascii="Open Sans" w:hAnsi="Open Sans"/>
        <w:color w:val="000080"/>
        <w:sz w:val="16"/>
      </w:rPr>
      <w:fldChar w:fldCharType="separate"/>
    </w:r>
    <w:r w:rsidR="00552D36">
      <w:rPr>
        <w:rFonts w:ascii="Open Sans" w:hAnsi="Open Sans"/>
        <w:noProof/>
        <w:color w:val="000080"/>
        <w:sz w:val="16"/>
      </w:rPr>
      <w:t>7</w:t>
    </w:r>
    <w:r w:rsidRPr="009349A9">
      <w:rPr>
        <w:rFonts w:ascii="Open Sans" w:hAnsi="Open Sans"/>
        <w:color w:val="000080"/>
        <w:sz w:val="16"/>
      </w:rPr>
      <w:fldChar w:fldCharType="end"/>
    </w:r>
  </w:p>
  <w:p w14:paraId="77CC80D4" w14:textId="77777777" w:rsidR="007F55EB" w:rsidRDefault="007F55EB" w:rsidP="005E72A0">
    <w:pPr>
      <w:pStyle w:val="Piedepgina"/>
    </w:pPr>
  </w:p>
  <w:p w14:paraId="2CF6129D" w14:textId="77777777" w:rsidR="007F55EB" w:rsidRDefault="007F55E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53127" w14:textId="0250EF28" w:rsidR="007F55EB" w:rsidRPr="00CB5F59" w:rsidRDefault="007F55EB" w:rsidP="00141B49">
    <w:pPr>
      <w:pStyle w:val="Piedepgina"/>
      <w:pBdr>
        <w:top w:val="single" w:sz="2" w:space="1" w:color="000000"/>
      </w:pBdr>
      <w:ind w:right="360"/>
      <w:jc w:val="both"/>
      <w:rPr>
        <w:rFonts w:ascii="Open Sans" w:hAnsi="Open Sans"/>
        <w:i/>
        <w:color w:val="000080"/>
        <w:sz w:val="16"/>
        <w:szCs w:val="16"/>
      </w:rPr>
    </w:pPr>
    <w:r w:rsidRPr="001C1608">
      <w:rPr>
        <w:i/>
        <w:color w:val="000080"/>
        <w:szCs w:val="16"/>
      </w:rPr>
      <w:tab/>
    </w:r>
    <w:r w:rsidRPr="001C1608">
      <w:rPr>
        <w:i/>
        <w:color w:val="000080"/>
        <w:szCs w:val="16"/>
      </w:rPr>
      <w:tab/>
    </w:r>
    <w:r w:rsidRPr="009349A9">
      <w:rPr>
        <w:rFonts w:ascii="Open Sans" w:hAnsi="Open Sans"/>
        <w:color w:val="000080"/>
        <w:sz w:val="16"/>
      </w:rPr>
      <w:fldChar w:fldCharType="begin"/>
    </w:r>
    <w:r w:rsidRPr="009349A9">
      <w:rPr>
        <w:rFonts w:ascii="Open Sans" w:hAnsi="Open Sans"/>
        <w:color w:val="000080"/>
        <w:sz w:val="16"/>
      </w:rPr>
      <w:instrText xml:space="preserve"> PAGE \*ARABIC </w:instrText>
    </w:r>
    <w:r w:rsidRPr="009349A9">
      <w:rPr>
        <w:rFonts w:ascii="Open Sans" w:hAnsi="Open Sans"/>
        <w:color w:val="000080"/>
        <w:sz w:val="16"/>
      </w:rPr>
      <w:fldChar w:fldCharType="separate"/>
    </w:r>
    <w:r w:rsidR="00552D36">
      <w:rPr>
        <w:rFonts w:ascii="Open Sans" w:hAnsi="Open Sans"/>
        <w:noProof/>
        <w:color w:val="000080"/>
        <w:sz w:val="16"/>
      </w:rPr>
      <w:t>97</w:t>
    </w:r>
    <w:r w:rsidRPr="009349A9">
      <w:rPr>
        <w:rFonts w:ascii="Open Sans" w:hAnsi="Open Sans"/>
        <w:color w:val="000080"/>
        <w:sz w:val="16"/>
      </w:rPr>
      <w:fldChar w:fldCharType="end"/>
    </w:r>
  </w:p>
  <w:p w14:paraId="539BA1D9" w14:textId="77777777" w:rsidR="007F55EB" w:rsidRDefault="007F55EB" w:rsidP="005E72A0">
    <w:pPr>
      <w:pStyle w:val="Piedepgina"/>
    </w:pPr>
  </w:p>
  <w:p w14:paraId="149CE544" w14:textId="77777777" w:rsidR="007F55EB" w:rsidRDefault="007F55E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E4962" w14:textId="77777777" w:rsidR="007F55EB" w:rsidRDefault="007F55EB" w:rsidP="00F9480D">
    <w:pPr>
      <w:pStyle w:val="Piedepgina"/>
      <w:pBdr>
        <w:top w:val="single" w:sz="2" w:space="1" w:color="000000"/>
      </w:pBdr>
      <w:ind w:right="360"/>
      <w:rPr>
        <w:i/>
        <w:color w:val="000080"/>
        <w:szCs w:val="16"/>
      </w:rPr>
    </w:pPr>
  </w:p>
  <w:p w14:paraId="51D3BB85" w14:textId="2C7FC5D3" w:rsidR="007F55EB" w:rsidRPr="009349A9" w:rsidRDefault="007F55EB" w:rsidP="009349A9">
    <w:pPr>
      <w:pStyle w:val="Piedepgina"/>
      <w:pBdr>
        <w:top w:val="single" w:sz="2" w:space="1" w:color="000000"/>
      </w:pBdr>
      <w:ind w:right="360"/>
      <w:jc w:val="both"/>
      <w:rPr>
        <w:rFonts w:ascii="Open Sans" w:hAnsi="Open Sans"/>
        <w:i/>
        <w:color w:val="000080"/>
        <w:sz w:val="16"/>
        <w:szCs w:val="16"/>
      </w:rPr>
    </w:pPr>
    <w:r>
      <w:rPr>
        <w:rFonts w:ascii="Open Sans" w:hAnsi="Open Sans"/>
        <w:i/>
        <w:color w:val="000080"/>
        <w:sz w:val="16"/>
        <w:szCs w:val="16"/>
      </w:rPr>
      <w:tab/>
    </w:r>
    <w:r>
      <w:rPr>
        <w:rFonts w:ascii="Open Sans" w:hAnsi="Open Sans"/>
        <w:i/>
        <w:color w:val="000080"/>
        <w:sz w:val="16"/>
        <w:szCs w:val="16"/>
      </w:rPr>
      <w:tab/>
    </w:r>
    <w:r w:rsidRPr="009349A9">
      <w:rPr>
        <w:rFonts w:ascii="Open Sans" w:hAnsi="Open Sans"/>
        <w:color w:val="000080"/>
        <w:sz w:val="16"/>
      </w:rPr>
      <w:fldChar w:fldCharType="begin"/>
    </w:r>
    <w:r w:rsidRPr="009349A9">
      <w:rPr>
        <w:rFonts w:ascii="Open Sans" w:hAnsi="Open Sans"/>
        <w:color w:val="000080"/>
        <w:sz w:val="16"/>
      </w:rPr>
      <w:instrText xml:space="preserve"> PAGE \*ARABIC </w:instrText>
    </w:r>
    <w:r w:rsidRPr="009349A9">
      <w:rPr>
        <w:rFonts w:ascii="Open Sans" w:hAnsi="Open Sans"/>
        <w:color w:val="000080"/>
        <w:sz w:val="16"/>
      </w:rPr>
      <w:fldChar w:fldCharType="separate"/>
    </w:r>
    <w:r w:rsidR="00552D36">
      <w:rPr>
        <w:rFonts w:ascii="Open Sans" w:hAnsi="Open Sans"/>
        <w:noProof/>
        <w:color w:val="000080"/>
        <w:sz w:val="16"/>
      </w:rPr>
      <w:t>208</w:t>
    </w:r>
    <w:r w:rsidRPr="009349A9">
      <w:rPr>
        <w:rFonts w:ascii="Open Sans" w:hAnsi="Open Sans"/>
        <w:color w:val="000080"/>
        <w:sz w:val="16"/>
      </w:rPr>
      <w:fldChar w:fldCharType="end"/>
    </w:r>
  </w:p>
  <w:p w14:paraId="61AC57C2" w14:textId="42CDC94A" w:rsidR="007F55EB" w:rsidRDefault="007F55EB" w:rsidP="00F9480D">
    <w:pPr>
      <w:pStyle w:val="Piedepgina"/>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5BC5F" w14:textId="77777777" w:rsidR="007F55EB" w:rsidRPr="00390CF3" w:rsidRDefault="007F55EB" w:rsidP="00390CF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FAA6F6F" w14:textId="77777777" w:rsidR="007F55EB" w:rsidRDefault="007F55EB" w:rsidP="00980726">
      <w:r>
        <w:separator/>
      </w:r>
    </w:p>
  </w:footnote>
  <w:footnote w:type="continuationSeparator" w:id="0">
    <w:p w14:paraId="744C0E94" w14:textId="77777777" w:rsidR="007F55EB" w:rsidRDefault="007F55EB" w:rsidP="00980726">
      <w:r>
        <w:continuationSeparator/>
      </w:r>
    </w:p>
  </w:footnote>
  <w:footnote w:id="1">
    <w:p w14:paraId="29CDF98B" w14:textId="77777777" w:rsidR="007F55EB" w:rsidRPr="00B06ECB" w:rsidRDefault="007F55EB" w:rsidP="00983E8F">
      <w:pPr>
        <w:pStyle w:val="Normal1"/>
        <w:jc w:val="both"/>
        <w:rPr>
          <w:rFonts w:ascii="Open Sans" w:eastAsia="Arial" w:hAnsi="Open Sans" w:cs="Open Sans"/>
          <w:sz w:val="18"/>
          <w:szCs w:val="18"/>
        </w:rPr>
      </w:pPr>
      <w:r w:rsidRPr="00A642E3">
        <w:rPr>
          <w:rFonts w:ascii="Open Sans" w:hAnsi="Open Sans" w:cs="Open Sans"/>
          <w:sz w:val="18"/>
          <w:szCs w:val="18"/>
          <w:vertAlign w:val="superscript"/>
        </w:rPr>
        <w:footnoteRef/>
      </w:r>
      <w:r w:rsidRPr="00A642E3">
        <w:rPr>
          <w:rFonts w:ascii="Open Sans" w:hAnsi="Open Sans" w:cs="Open Sans"/>
          <w:sz w:val="18"/>
          <w:szCs w:val="18"/>
        </w:rPr>
        <w:t xml:space="preserve"> </w:t>
      </w:r>
      <w:r w:rsidRPr="00A642E3">
        <w:rPr>
          <w:rFonts w:ascii="Open Sans" w:eastAsia="Arial" w:hAnsi="Open Sans" w:cs="Open Sans"/>
          <w:sz w:val="18"/>
          <w:szCs w:val="18"/>
        </w:rPr>
        <w:t xml:space="preserve">Véase, </w:t>
      </w:r>
      <w:r w:rsidRPr="00B06ECB">
        <w:rPr>
          <w:rFonts w:ascii="Open Sans" w:eastAsia="Arial" w:hAnsi="Open Sans" w:cs="Open Sans"/>
          <w:sz w:val="18"/>
          <w:szCs w:val="18"/>
          <w:lang w:val="es-ES_tradnl"/>
        </w:rPr>
        <w:t>Informe de la Relatora Especial sobre la extrema pobreza y los derechos humanos</w:t>
      </w:r>
      <w:r>
        <w:rPr>
          <w:rFonts w:ascii="Open Sans" w:eastAsia="Arial" w:hAnsi="Open Sans" w:cs="Open Sans"/>
          <w:sz w:val="18"/>
          <w:szCs w:val="18"/>
          <w:lang w:val="es-ES_tradnl"/>
        </w:rPr>
        <w:t xml:space="preserve">, </w:t>
      </w:r>
      <w:hyperlink r:id="rId1" w:history="1">
        <w:r w:rsidRPr="005933E5">
          <w:rPr>
            <w:rStyle w:val="Hipervnculo"/>
            <w:rFonts w:ascii="Open Sans" w:eastAsia="Arial" w:hAnsi="Open Sans" w:cs="Open Sans"/>
            <w:sz w:val="18"/>
            <w:szCs w:val="18"/>
          </w:rPr>
          <w:t>A/HRC/26/28</w:t>
        </w:r>
      </w:hyperlink>
      <w:r w:rsidRPr="005933E5">
        <w:rPr>
          <w:rFonts w:ascii="Open Sans" w:eastAsia="Arial" w:hAnsi="Open Sans" w:cs="Open Sans"/>
          <w:sz w:val="18"/>
          <w:szCs w:val="18"/>
        </w:rPr>
        <w:t xml:space="preserve"> o International Bar Association, Tax Abuses, Poverty and Human Rights - </w:t>
      </w:r>
      <w:hyperlink r:id="rId2" w:history="1">
        <w:r w:rsidRPr="005933E5">
          <w:rPr>
            <w:rStyle w:val="Hipervnculo"/>
            <w:rFonts w:ascii="Open Sans" w:eastAsia="Arial" w:hAnsi="Open Sans" w:cs="Open Sans"/>
            <w:sz w:val="18"/>
            <w:szCs w:val="18"/>
          </w:rPr>
          <w:t>IBAHRI Task Force report</w:t>
        </w:r>
      </w:hyperlink>
      <w:r w:rsidRPr="005933E5">
        <w:rPr>
          <w:rFonts w:ascii="Open Sans" w:eastAsia="Arial" w:hAnsi="Open Sans" w:cs="Open Sans"/>
          <w:sz w:val="18"/>
          <w:szCs w:val="18"/>
        </w:rPr>
        <w:t xml:space="preserve"> (2014) </w:t>
      </w:r>
    </w:p>
  </w:footnote>
  <w:footnote w:id="2">
    <w:p w14:paraId="5DEB0570" w14:textId="77777777" w:rsidR="007F55EB" w:rsidRPr="005933E5" w:rsidRDefault="007F55EB" w:rsidP="00983E8F">
      <w:pPr>
        <w:pStyle w:val="Textonotapie"/>
        <w:rPr>
          <w:rFonts w:ascii="Open Sans" w:hAnsi="Open Sans" w:cs="Open Sans"/>
          <w:sz w:val="18"/>
          <w:szCs w:val="18"/>
        </w:rPr>
      </w:pPr>
      <w:r w:rsidRPr="00A642E3">
        <w:rPr>
          <w:rStyle w:val="Refdenotaalpie"/>
          <w:rFonts w:ascii="Open Sans" w:hAnsi="Open Sans" w:cs="Open Sans"/>
          <w:sz w:val="18"/>
          <w:szCs w:val="18"/>
        </w:rPr>
        <w:footnoteRef/>
      </w:r>
      <w:r w:rsidRPr="005933E5">
        <w:rPr>
          <w:rFonts w:ascii="Open Sans" w:hAnsi="Open Sans" w:cs="Open Sans"/>
          <w:sz w:val="18"/>
          <w:szCs w:val="18"/>
        </w:rPr>
        <w:t xml:space="preserve"> </w:t>
      </w:r>
      <w:hyperlink r:id="rId3" w:history="1">
        <w:r w:rsidRPr="005933E5">
          <w:rPr>
            <w:rStyle w:val="Hipervnculo"/>
            <w:rFonts w:ascii="Open Sans" w:hAnsi="Open Sans" w:cs="Open Sans"/>
            <w:sz w:val="18"/>
            <w:szCs w:val="18"/>
          </w:rPr>
          <w:t>http://www.elespanol.com/economia/20160118/95490466_0.html</w:t>
        </w:r>
      </w:hyperlink>
    </w:p>
  </w:footnote>
  <w:footnote w:id="3">
    <w:p w14:paraId="1C3C7F84"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http://economia.elpais.com/economia/2015/10/04/actualidad/1443993794_537451.html</w:t>
      </w:r>
    </w:p>
  </w:footnote>
  <w:footnote w:id="4">
    <w:p w14:paraId="57F4BF06"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http://economia.elpais.com/economia/2016/11/27/actualidad/1480267430_581377.html</w:t>
      </w:r>
    </w:p>
  </w:footnote>
  <w:footnote w:id="5">
    <w:p w14:paraId="63511B60"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http://economia.elpais.com/economia/2017/02/06/actualidad/1486402331_351344.html</w:t>
      </w:r>
    </w:p>
  </w:footnote>
  <w:footnote w:id="6">
    <w:p w14:paraId="399415AE"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http://www.broseta.com/wp-content/uploads/2014/12/Reforma-LSC.pdf</w:t>
      </w:r>
    </w:p>
  </w:footnote>
  <w:footnote w:id="7">
    <w:p w14:paraId="01108BF5"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http://economia.elpais.com/economia/2016/05/24/actualidad/1464082093_364713.html</w:t>
      </w:r>
    </w:p>
  </w:footnote>
  <w:footnote w:id="8">
    <w:p w14:paraId="72D5DE03"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4" w:history="1">
        <w:r w:rsidRPr="00A642E3">
          <w:rPr>
            <w:rStyle w:val="Hipervnculo"/>
            <w:rFonts w:ascii="Open Sans" w:hAnsi="Open Sans" w:cstheme="minorBidi"/>
            <w:sz w:val="18"/>
            <w:szCs w:val="18"/>
          </w:rPr>
          <w:t>http://www.elperiodico.com/es/noticias/economia/desigualdad-social-aumenta-espana-crecimiento-davos-oxfam-5742308</w:t>
        </w:r>
      </w:hyperlink>
    </w:p>
    <w:p w14:paraId="11B31926" w14:textId="77777777" w:rsidR="007F55EB" w:rsidRPr="00A642E3" w:rsidRDefault="007F55EB" w:rsidP="00983E8F">
      <w:pPr>
        <w:pStyle w:val="Textonotapie"/>
        <w:rPr>
          <w:rFonts w:ascii="Open Sans" w:hAnsi="Open Sans"/>
          <w:sz w:val="18"/>
          <w:szCs w:val="18"/>
        </w:rPr>
      </w:pPr>
      <w:r w:rsidRPr="00A642E3">
        <w:rPr>
          <w:rFonts w:ascii="Open Sans" w:hAnsi="Open Sans"/>
          <w:sz w:val="18"/>
          <w:szCs w:val="18"/>
        </w:rPr>
        <w:t>http://www.lavanguardia.com/economia/20160118/301484073871/espana-desigual-ocde.html</w:t>
      </w:r>
    </w:p>
  </w:footnote>
  <w:footnote w:id="9">
    <w:p w14:paraId="1ED86FCB"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http://www.thebostonconsultinggroup.es/</w:t>
      </w:r>
    </w:p>
  </w:footnote>
  <w:footnote w:id="10">
    <w:p w14:paraId="70457FEE"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http://economia.elpais.com/economia/2016/06/22/actualidad/1466596940_617656.html</w:t>
      </w:r>
    </w:p>
  </w:footnote>
  <w:footnote w:id="11">
    <w:p w14:paraId="3549CEB7"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http://www.fiscal-impuestos.com/elecciones-generales-2015-programas-materia-economia-empleo.html</w:t>
      </w:r>
    </w:p>
  </w:footnote>
  <w:footnote w:id="12">
    <w:p w14:paraId="6B8C02B1"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5" w:history="1">
        <w:r w:rsidRPr="00A642E3">
          <w:rPr>
            <w:rStyle w:val="Hipervnculo"/>
            <w:rFonts w:ascii="Open Sans" w:hAnsi="Open Sans"/>
            <w:sz w:val="18"/>
            <w:szCs w:val="18"/>
          </w:rPr>
          <w:t>http://www.parlamentodenavarra.es/inicio/comunicacion/resoluciones.aspx?idnoticia=3509</w:t>
        </w:r>
      </w:hyperlink>
      <w:r w:rsidRPr="00A642E3">
        <w:rPr>
          <w:rFonts w:ascii="Open Sans" w:hAnsi="Open Sans"/>
          <w:sz w:val="18"/>
          <w:szCs w:val="18"/>
        </w:rPr>
        <w:t xml:space="preserve"> </w:t>
      </w:r>
    </w:p>
  </w:footnote>
  <w:footnote w:id="13">
    <w:p w14:paraId="755033B0"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6" w:history="1">
        <w:r w:rsidRPr="00A642E3">
          <w:rPr>
            <w:rStyle w:val="Hipervnculo"/>
            <w:rFonts w:ascii="Open Sans" w:hAnsi="Open Sans"/>
            <w:sz w:val="18"/>
            <w:szCs w:val="18"/>
          </w:rPr>
          <w:t>http://www.agorarsc.org/avanza-la-lucha-contra-los-paraisos-fiscales-en-la-contratacion-publica/</w:t>
        </w:r>
      </w:hyperlink>
      <w:r w:rsidRPr="00A642E3">
        <w:rPr>
          <w:rFonts w:ascii="Open Sans" w:hAnsi="Open Sans"/>
          <w:sz w:val="18"/>
          <w:szCs w:val="18"/>
        </w:rPr>
        <w:t xml:space="preserve"> </w:t>
      </w:r>
    </w:p>
  </w:footnote>
  <w:footnote w:id="14">
    <w:p w14:paraId="20DBDCA7"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7" w:history="1">
        <w:r w:rsidRPr="00A642E3">
          <w:rPr>
            <w:rStyle w:val="Hipervnculo"/>
            <w:rFonts w:ascii="Open Sans" w:hAnsi="Open Sans"/>
            <w:sz w:val="18"/>
            <w:szCs w:val="18"/>
          </w:rPr>
          <w:t>http://www.fiscalitatjusta.cat/zoneslliures/</w:t>
        </w:r>
      </w:hyperlink>
      <w:r w:rsidRPr="00A642E3">
        <w:rPr>
          <w:rFonts w:ascii="Open Sans" w:hAnsi="Open Sans"/>
          <w:sz w:val="18"/>
          <w:szCs w:val="18"/>
        </w:rPr>
        <w:t xml:space="preserve"> </w:t>
      </w:r>
    </w:p>
  </w:footnote>
  <w:footnote w:id="15">
    <w:p w14:paraId="2DACB3EF"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8" w:history="1">
        <w:r w:rsidRPr="00A642E3">
          <w:rPr>
            <w:rStyle w:val="Hipervnculo"/>
            <w:rFonts w:ascii="Open Sans" w:hAnsi="Open Sans"/>
            <w:sz w:val="18"/>
            <w:szCs w:val="18"/>
          </w:rPr>
          <w:t>http://acordem.org/descarrega/ada_bcn.jpg</w:t>
        </w:r>
      </w:hyperlink>
      <w:r w:rsidRPr="00A642E3">
        <w:rPr>
          <w:rFonts w:ascii="Open Sans" w:hAnsi="Open Sans"/>
          <w:sz w:val="18"/>
          <w:szCs w:val="18"/>
        </w:rPr>
        <w:t xml:space="preserve"> </w:t>
      </w:r>
    </w:p>
  </w:footnote>
  <w:footnote w:id="16">
    <w:p w14:paraId="557F9351"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9" w:history="1">
        <w:r w:rsidRPr="00A642E3">
          <w:rPr>
            <w:rStyle w:val="Hipervnculo"/>
            <w:rFonts w:ascii="Open Sans" w:hAnsi="Open Sans"/>
            <w:sz w:val="18"/>
            <w:szCs w:val="18"/>
          </w:rPr>
          <w:t>https://www.zaragoza.es/ciudad/noticias/detalle_Noticia?id=223848</w:t>
        </w:r>
      </w:hyperlink>
      <w:r w:rsidRPr="00A642E3">
        <w:rPr>
          <w:rFonts w:ascii="Open Sans" w:hAnsi="Open Sans"/>
          <w:sz w:val="18"/>
          <w:szCs w:val="18"/>
        </w:rPr>
        <w:t xml:space="preserve"> </w:t>
      </w:r>
    </w:p>
  </w:footnote>
  <w:footnote w:id="17">
    <w:p w14:paraId="1A436CCF"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10" w:history="1">
        <w:r w:rsidRPr="00A642E3">
          <w:rPr>
            <w:rStyle w:val="Hipervnculo"/>
            <w:rFonts w:ascii="Open Sans" w:hAnsi="Open Sans" w:cstheme="minorBidi"/>
            <w:sz w:val="18"/>
            <w:szCs w:val="18"/>
          </w:rPr>
          <w:t>http://economia.elpais.com/economia/2014/11/09/actualidad/1415561932_157228.html</w:t>
        </w:r>
      </w:hyperlink>
    </w:p>
    <w:p w14:paraId="27B207A2" w14:textId="77777777" w:rsidR="007F55EB" w:rsidRPr="00A642E3" w:rsidRDefault="007F55EB" w:rsidP="00983E8F">
      <w:pPr>
        <w:pStyle w:val="Textonotapie"/>
        <w:rPr>
          <w:rFonts w:ascii="Open Sans" w:hAnsi="Open Sans"/>
          <w:sz w:val="18"/>
          <w:szCs w:val="18"/>
        </w:rPr>
      </w:pPr>
      <w:hyperlink r:id="rId11" w:history="1">
        <w:r w:rsidRPr="00A642E3">
          <w:rPr>
            <w:rStyle w:val="Hipervnculo"/>
            <w:rFonts w:ascii="Open Sans" w:hAnsi="Open Sans" w:cstheme="minorBidi"/>
            <w:sz w:val="18"/>
            <w:szCs w:val="18"/>
          </w:rPr>
          <w:t>http://economia.elpais.com/economia/2016/07/13/actualidad/1468437173_165265.html</w:t>
        </w:r>
      </w:hyperlink>
    </w:p>
    <w:p w14:paraId="73DBA1CC" w14:textId="77777777" w:rsidR="007F55EB" w:rsidRPr="00A642E3" w:rsidRDefault="007F55EB" w:rsidP="00983E8F">
      <w:pPr>
        <w:pStyle w:val="Textonotapie"/>
        <w:rPr>
          <w:rFonts w:ascii="Open Sans" w:hAnsi="Open Sans"/>
          <w:sz w:val="18"/>
          <w:szCs w:val="18"/>
        </w:rPr>
      </w:pPr>
      <w:r w:rsidRPr="00A642E3">
        <w:rPr>
          <w:rFonts w:ascii="Open Sans" w:hAnsi="Open Sans"/>
          <w:sz w:val="18"/>
          <w:szCs w:val="18"/>
        </w:rPr>
        <w:t>http://economia.elpais.com/economia/2016/09/05/actualidad/1473097495_350474.html</w:t>
      </w:r>
    </w:p>
  </w:footnote>
  <w:footnote w:id="18">
    <w:p w14:paraId="4BDB080B"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http://www.elconfidencial.com/empresas/2015-02-10/la-cnmc-cifra-en-el-4-5-del-pib-el-coste-de-la-corrupcion-en-la-contratacion-publica_706560/</w:t>
      </w:r>
    </w:p>
  </w:footnote>
  <w:footnote w:id="19">
    <w:p w14:paraId="2CD06E6E"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http://webantigua.transparencia.org.es/ipc__s/ipc_2014/aspectos_destacados_ipc_2014.pdf</w:t>
      </w:r>
    </w:p>
  </w:footnote>
  <w:footnote w:id="20">
    <w:p w14:paraId="53294308" w14:textId="77777777" w:rsidR="007F55EB" w:rsidRPr="00A642E3" w:rsidRDefault="007F55EB" w:rsidP="00983E8F">
      <w:pPr>
        <w:pStyle w:val="Textonotapie"/>
        <w:rPr>
          <w:rFonts w:ascii="Open Sans" w:hAnsi="Open Sans"/>
          <w:sz w:val="18"/>
          <w:szCs w:val="18"/>
        </w:rPr>
      </w:pPr>
      <w:r w:rsidRPr="00471D96">
        <w:rPr>
          <w:rFonts w:ascii="Open Sans" w:hAnsi="Open Sans"/>
          <w:sz w:val="18"/>
          <w:szCs w:val="18"/>
          <w:vertAlign w:val="superscript"/>
        </w:rPr>
        <w:footnoteRef/>
      </w:r>
      <w:r w:rsidRPr="00471D96">
        <w:rPr>
          <w:rFonts w:ascii="Open Sans" w:hAnsi="Open Sans"/>
          <w:sz w:val="18"/>
          <w:szCs w:val="18"/>
          <w:vertAlign w:val="superscript"/>
        </w:rPr>
        <w:t xml:space="preserve"> </w:t>
      </w:r>
      <w:r w:rsidRPr="00471D96">
        <w:rPr>
          <w:rFonts w:ascii="Open Sans" w:hAnsi="Open Sans"/>
          <w:sz w:val="18"/>
          <w:szCs w:val="18"/>
        </w:rPr>
        <w:t>http://www.diariolanube.com/suiza-se-niega-facilitar-la-justicia-espanola-la-informacion-bancaria-de-barcenas-y-correa/2015/01/16/</w:t>
      </w:r>
    </w:p>
  </w:footnote>
  <w:footnote w:id="21">
    <w:p w14:paraId="70FD7846"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http://www.vozpopuli.com/actualidad/nacional/Mariano_Rajoy-Andorra-Visitas-Antoni_Marti-visita-oficial-cuentas-Pujol-investigacion_0_769123095.html</w:t>
      </w:r>
    </w:p>
  </w:footnote>
  <w:footnote w:id="22">
    <w:p w14:paraId="46FC04A0"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http://www.agesfi.es/files/El-nuevo-marco-europeo-para-la-fiscalidad-del-ahorro.pdf</w:t>
      </w:r>
    </w:p>
  </w:footnote>
  <w:footnote w:id="23">
    <w:p w14:paraId="4D4A36E1"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https://www.boe.es/doue/2014/219/L00040-00041.pdf</w:t>
      </w:r>
    </w:p>
  </w:footnote>
  <w:footnote w:id="24">
    <w:p w14:paraId="33283DE4"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http://www.legalisfiscal.com/es/3671/normativa/normativa-fiscal/reforma-de-la-directiva-matriu-filial-com-a-mesura-anti-abus.html</w:t>
      </w:r>
    </w:p>
  </w:footnote>
  <w:footnote w:id="25">
    <w:p w14:paraId="29DB19BD"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w:t>
      </w:r>
      <w:hyperlink r:id="rId12" w:history="1">
        <w:r w:rsidRPr="00A642E3">
          <w:rPr>
            <w:rStyle w:val="Hipervnculo"/>
            <w:rFonts w:ascii="Open Sans" w:hAnsi="Open Sans" w:cs="Arial"/>
            <w:sz w:val="18"/>
            <w:szCs w:val="18"/>
          </w:rPr>
          <w:t>http://europa.eu/rapid/press-release_IP-15-5188_es.htm</w:t>
        </w:r>
      </w:hyperlink>
    </w:p>
    <w:p w14:paraId="55772D31" w14:textId="77777777" w:rsidR="007F55EB" w:rsidRPr="00A642E3" w:rsidRDefault="007F55EB" w:rsidP="00983E8F">
      <w:pPr>
        <w:pStyle w:val="Textonotapie"/>
        <w:rPr>
          <w:rFonts w:ascii="Open Sans" w:hAnsi="Open Sans" w:cs="Arial"/>
          <w:sz w:val="18"/>
          <w:szCs w:val="18"/>
        </w:rPr>
      </w:pPr>
      <w:r w:rsidRPr="00A642E3">
        <w:rPr>
          <w:rFonts w:ascii="Open Sans" w:hAnsi="Open Sans" w:cs="Arial"/>
          <w:sz w:val="18"/>
          <w:szCs w:val="18"/>
        </w:rPr>
        <w:t>http://europa.eu/rapid/press-release_IP-16-3471_es.htm</w:t>
      </w:r>
    </w:p>
  </w:footnote>
  <w:footnote w:id="26">
    <w:p w14:paraId="580DA038"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http://www.controlcapital.net/noticia/3159/</w:t>
      </w:r>
    </w:p>
  </w:footnote>
  <w:footnote w:id="27">
    <w:p w14:paraId="1DC86202"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hyperlink r:id="rId13" w:history="1">
        <w:r w:rsidRPr="00A642E3">
          <w:rPr>
            <w:rStyle w:val="Hipervnculo"/>
            <w:rFonts w:ascii="Open Sans" w:hAnsi="Open Sans"/>
            <w:sz w:val="18"/>
            <w:szCs w:val="18"/>
          </w:rPr>
          <w:t>http://programa.ahoramadrid.org/propuesta.php?id=130</w:t>
        </w:r>
      </w:hyperlink>
      <w:r w:rsidRPr="00A642E3">
        <w:rPr>
          <w:rFonts w:ascii="Open Sans" w:hAnsi="Open Sans"/>
          <w:sz w:val="18"/>
          <w:szCs w:val="18"/>
        </w:rPr>
        <w:t xml:space="preserve"> ; </w:t>
      </w:r>
      <w:hyperlink r:id="rId14" w:history="1">
        <w:r w:rsidRPr="00A642E3">
          <w:rPr>
            <w:rStyle w:val="Hipervnculo"/>
            <w:rFonts w:ascii="Open Sans" w:hAnsi="Open Sans"/>
            <w:sz w:val="18"/>
            <w:szCs w:val="18"/>
          </w:rPr>
          <w:t>http://ccaa.elpais.com/ccaa/2016/05/20/catalunya/1463738697_751252.html</w:t>
        </w:r>
      </w:hyperlink>
    </w:p>
  </w:footnote>
  <w:footnote w:id="28">
    <w:p w14:paraId="2B649C27"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15" w:history="1">
        <w:r w:rsidRPr="00A642E3">
          <w:rPr>
            <w:rStyle w:val="Hipervnculo"/>
            <w:rFonts w:ascii="Open Sans" w:hAnsi="Open Sans"/>
            <w:sz w:val="18"/>
            <w:szCs w:val="18"/>
          </w:rPr>
          <w:t>http://taxhavenfree.org/</w:t>
        </w:r>
      </w:hyperlink>
      <w:r w:rsidRPr="00A642E3">
        <w:rPr>
          <w:rFonts w:ascii="Open Sans" w:hAnsi="Open Sans"/>
          <w:sz w:val="18"/>
          <w:szCs w:val="18"/>
        </w:rPr>
        <w:t xml:space="preserve"> </w:t>
      </w:r>
    </w:p>
  </w:footnote>
  <w:footnote w:id="29">
    <w:p w14:paraId="4DC74B33"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w:t>
      </w:r>
      <w:hyperlink r:id="rId16" w:history="1">
        <w:r w:rsidRPr="00A642E3">
          <w:rPr>
            <w:rStyle w:val="Hipervnculo"/>
            <w:rFonts w:ascii="Open Sans" w:hAnsi="Open Sans"/>
            <w:sz w:val="18"/>
            <w:szCs w:val="18"/>
          </w:rPr>
          <w:t>http://taxhavenfree.org/france/</w:t>
        </w:r>
      </w:hyperlink>
      <w:r w:rsidRPr="00A642E3">
        <w:rPr>
          <w:rFonts w:ascii="Open Sans" w:hAnsi="Open Sans"/>
          <w:sz w:val="18"/>
          <w:szCs w:val="18"/>
        </w:rPr>
        <w:t xml:space="preserve"> </w:t>
      </w:r>
    </w:p>
  </w:footnote>
  <w:footnote w:id="30">
    <w:p w14:paraId="719CC4DB"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http://www.lavanguardia.com/economia/20141210/54421271677/ce-cree-que-caso-luxleaks-es-consecuencia-de-la-falta-de-armonizacion-fiscal.html</w:t>
      </w:r>
    </w:p>
  </w:footnote>
  <w:footnote w:id="31">
    <w:p w14:paraId="263903E4"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http://www.liberation.fr/france/2015/09/30/luxleaks-antoine-deltour-decore-et-mis-en-examen_1394328</w:t>
      </w:r>
    </w:p>
  </w:footnote>
  <w:footnote w:id="32">
    <w:p w14:paraId="7456FEE4"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http://www.infolibre.es/noticias/mundo/2014/12/18/campana_internacional_para_proteger_uno_los_filtradores_lux_leaks_25560_1022.html</w:t>
      </w:r>
    </w:p>
  </w:footnote>
  <w:footnote w:id="33">
    <w:p w14:paraId="487D7274"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http://europa.eu/rapid/press-release_IP-16-2923_es.htm</w:t>
      </w:r>
    </w:p>
  </w:footnote>
  <w:footnote w:id="34">
    <w:p w14:paraId="0F9CAF46" w14:textId="77777777" w:rsidR="007F55EB" w:rsidRPr="00A642E3" w:rsidRDefault="007F55EB" w:rsidP="00983E8F">
      <w:pPr>
        <w:pStyle w:val="Textonotapie"/>
        <w:rPr>
          <w:rFonts w:ascii="Open Sans" w:hAnsi="Open Sans" w:cs="Arial"/>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http://www.oecd.org/centrodemexico/medios/la-ocde-emite-un-nuevo-estandar-global-unico-sobre-el-intercambio-automatico-de-informacion.htm</w:t>
      </w:r>
    </w:p>
  </w:footnote>
  <w:footnote w:id="35">
    <w:p w14:paraId="08FCCFD3" w14:textId="77777777" w:rsidR="007F55EB" w:rsidRPr="00A642E3" w:rsidRDefault="007F55EB" w:rsidP="00983E8F">
      <w:pPr>
        <w:jc w:val="both"/>
        <w:rPr>
          <w:rFonts w:ascii="Open Sans" w:hAnsi="Open Sans" w:cs="Times New Roman"/>
          <w:color w:val="FF0000"/>
          <w:sz w:val="18"/>
          <w:szCs w:val="18"/>
        </w:rPr>
      </w:pPr>
      <w:r w:rsidRPr="00A642E3">
        <w:rPr>
          <w:rStyle w:val="Refdenotaalpie"/>
          <w:rFonts w:ascii="Open Sans" w:hAnsi="Open Sans" w:cs="Arial"/>
          <w:sz w:val="18"/>
          <w:szCs w:val="18"/>
        </w:rPr>
        <w:footnoteRef/>
      </w:r>
      <w:r w:rsidRPr="00A642E3">
        <w:rPr>
          <w:rFonts w:ascii="Open Sans" w:hAnsi="Open Sans" w:cs="Arial"/>
          <w:sz w:val="18"/>
          <w:szCs w:val="18"/>
        </w:rPr>
        <w:t xml:space="preserve"> https://eiti.org/document/eiti-progress-report-2015</w:t>
      </w:r>
    </w:p>
  </w:footnote>
  <w:footnote w:id="36">
    <w:p w14:paraId="65BD7863" w14:textId="77777777" w:rsidR="007F55EB" w:rsidRPr="00A642E3" w:rsidRDefault="007F55EB" w:rsidP="00983E8F">
      <w:pPr>
        <w:pStyle w:val="Textonotapie"/>
        <w:rPr>
          <w:rFonts w:ascii="Open Sans" w:hAnsi="Open Sans"/>
          <w:sz w:val="18"/>
          <w:szCs w:val="18"/>
        </w:rPr>
      </w:pPr>
      <w:r w:rsidRPr="00A642E3">
        <w:rPr>
          <w:rStyle w:val="Refdenotaalpie"/>
          <w:rFonts w:ascii="Open Sans" w:hAnsi="Open Sans"/>
          <w:sz w:val="18"/>
          <w:szCs w:val="18"/>
        </w:rPr>
        <w:footnoteRef/>
      </w:r>
      <w:r w:rsidRPr="00A642E3">
        <w:rPr>
          <w:rFonts w:ascii="Open Sans" w:hAnsi="Open Sans"/>
          <w:sz w:val="18"/>
          <w:szCs w:val="18"/>
        </w:rPr>
        <w:t xml:space="preserve"> http://economia.elpais.com/economia/2016/04/14/actualidad/1460651122_077675.html</w:t>
      </w:r>
    </w:p>
  </w:footnote>
  <w:footnote w:id="37">
    <w:p w14:paraId="6BB0D29F" w14:textId="6D16D77A" w:rsidR="007F55EB" w:rsidRPr="00423A2B" w:rsidRDefault="007F55EB">
      <w:pPr>
        <w:pStyle w:val="Textonotapie"/>
        <w:rPr>
          <w:rFonts w:ascii="Open Sans" w:hAnsi="Open Sans"/>
          <w:sz w:val="18"/>
          <w:szCs w:val="18"/>
        </w:rPr>
      </w:pPr>
      <w:r w:rsidRPr="00423A2B">
        <w:rPr>
          <w:rStyle w:val="Refdenotaalpie"/>
          <w:rFonts w:ascii="Open Sans" w:hAnsi="Open Sans"/>
          <w:sz w:val="18"/>
          <w:szCs w:val="18"/>
        </w:rPr>
        <w:footnoteRef/>
      </w:r>
      <w:r w:rsidRPr="00423A2B">
        <w:rPr>
          <w:rFonts w:ascii="Open Sans" w:hAnsi="Open Sans"/>
          <w:sz w:val="18"/>
          <w:szCs w:val="18"/>
        </w:rPr>
        <w:t xml:space="preserve"> http://economia.elpais.com/economia/2016/04/04/actualidad/1459779874_526065.html</w:t>
      </w:r>
    </w:p>
  </w:footnote>
  <w:footnote w:id="38">
    <w:p w14:paraId="4A6161E6" w14:textId="418EA76C" w:rsidR="007F55EB" w:rsidRPr="00B9264C" w:rsidRDefault="007F55EB" w:rsidP="00F46A0D">
      <w:pPr>
        <w:pStyle w:val="Textonotapie"/>
        <w:rPr>
          <w:rFonts w:ascii="Open Sans" w:hAnsi="Open Sans"/>
          <w:sz w:val="18"/>
          <w:szCs w:val="18"/>
        </w:rPr>
      </w:pPr>
      <w:r w:rsidRPr="00B9264C">
        <w:rPr>
          <w:rStyle w:val="Refdenotaalpie"/>
          <w:rFonts w:ascii="Open Sans" w:hAnsi="Open Sans"/>
          <w:sz w:val="18"/>
          <w:szCs w:val="18"/>
        </w:rPr>
        <w:footnoteRef/>
      </w:r>
      <w:r w:rsidRPr="00B9264C">
        <w:rPr>
          <w:rFonts w:ascii="Open Sans" w:hAnsi="Open Sans"/>
          <w:sz w:val="18"/>
          <w:szCs w:val="18"/>
        </w:rPr>
        <w:t xml:space="preserve"> </w:t>
      </w:r>
      <w:hyperlink r:id="rId17" w:history="1">
        <w:r w:rsidRPr="00B9264C">
          <w:rPr>
            <w:rStyle w:val="Hipervnculo"/>
            <w:rFonts w:ascii="Open Sans" w:hAnsi="Open Sans"/>
            <w:sz w:val="18"/>
            <w:szCs w:val="18"/>
          </w:rPr>
          <w:t>Plan de prevención del fraude fiscal</w:t>
        </w:r>
      </w:hyperlink>
      <w:r w:rsidRPr="00B9264C">
        <w:rPr>
          <w:rFonts w:ascii="Open Sans" w:hAnsi="Open Sans"/>
          <w:sz w:val="18"/>
          <w:szCs w:val="18"/>
        </w:rPr>
        <w:t xml:space="preserve">. Agencia Tributaria </w:t>
      </w:r>
    </w:p>
  </w:footnote>
  <w:footnote w:id="39">
    <w:p w14:paraId="060B5F88" w14:textId="60665594" w:rsidR="007F55EB" w:rsidRPr="008434D6" w:rsidRDefault="007F55EB" w:rsidP="008434D6">
      <w:pPr>
        <w:pStyle w:val="Textonotapie"/>
        <w:rPr>
          <w:rFonts w:ascii="Open Sans" w:hAnsi="Open Sans"/>
          <w:sz w:val="18"/>
          <w:szCs w:val="18"/>
        </w:rPr>
      </w:pPr>
      <w:r w:rsidRPr="008434D6">
        <w:rPr>
          <w:rStyle w:val="Refdenotaalpie"/>
          <w:rFonts w:ascii="Open Sans" w:hAnsi="Open Sans"/>
          <w:sz w:val="18"/>
          <w:szCs w:val="18"/>
        </w:rPr>
        <w:footnoteRef/>
      </w:r>
      <w:r w:rsidRPr="008434D6">
        <w:rPr>
          <w:rFonts w:ascii="Open Sans" w:hAnsi="Open Sans"/>
          <w:sz w:val="18"/>
          <w:szCs w:val="18"/>
        </w:rPr>
        <w:t xml:space="preserve"> </w:t>
      </w:r>
      <w:hyperlink r:id="rId18" w:history="1">
        <w:r w:rsidRPr="008434D6">
          <w:rPr>
            <w:rStyle w:val="Hipervnculo"/>
            <w:rFonts w:ascii="Open Sans" w:hAnsi="Open Sans"/>
            <w:sz w:val="18"/>
            <w:szCs w:val="18"/>
          </w:rPr>
          <w:t>https://www.boe.es/diario_boe/txt.php?id=BOE-A-2014-12589</w:t>
        </w:r>
      </w:hyperlink>
    </w:p>
  </w:footnote>
  <w:footnote w:id="40">
    <w:p w14:paraId="64DC8387" w14:textId="4FF47278" w:rsidR="007F55EB" w:rsidRPr="00C61A20" w:rsidRDefault="007F55EB" w:rsidP="008434D6">
      <w:pPr>
        <w:pStyle w:val="Textonotapie"/>
        <w:rPr>
          <w:rFonts w:ascii="Open Sans" w:hAnsi="Open Sans"/>
          <w:sz w:val="18"/>
          <w:szCs w:val="18"/>
        </w:rPr>
      </w:pPr>
      <w:r w:rsidRPr="00C61A20">
        <w:rPr>
          <w:rStyle w:val="Refdenotaalpie"/>
          <w:rFonts w:ascii="Open Sans" w:hAnsi="Open Sans"/>
          <w:sz w:val="18"/>
          <w:szCs w:val="18"/>
        </w:rPr>
        <w:footnoteRef/>
      </w:r>
      <w:r w:rsidRPr="00C61A20">
        <w:rPr>
          <w:rFonts w:ascii="Open Sans" w:hAnsi="Open Sans"/>
          <w:sz w:val="18"/>
          <w:szCs w:val="18"/>
        </w:rPr>
        <w:t xml:space="preserve"> </w:t>
      </w:r>
      <w:hyperlink r:id="rId19" w:history="1">
        <w:r w:rsidRPr="00C61A20">
          <w:rPr>
            <w:rStyle w:val="Hipervnculo"/>
            <w:rFonts w:ascii="Open Sans" w:hAnsi="Open Sans"/>
            <w:sz w:val="18"/>
            <w:szCs w:val="18"/>
          </w:rPr>
          <w:t>http://www.elderecho.com/tribuna/mercantil/Responsabilidad-Reforma-Ley-Sociedades-Capital_11_811180002.html</w:t>
        </w:r>
      </w:hyperlink>
    </w:p>
  </w:footnote>
  <w:footnote w:id="41">
    <w:p w14:paraId="7AAED158" w14:textId="77777777" w:rsidR="007F55EB" w:rsidRPr="00C61A20" w:rsidRDefault="007F55EB" w:rsidP="008434D6">
      <w:pPr>
        <w:pStyle w:val="Textonotapie"/>
        <w:rPr>
          <w:rFonts w:ascii="Open Sans" w:hAnsi="Open Sans"/>
          <w:sz w:val="18"/>
          <w:szCs w:val="18"/>
        </w:rPr>
      </w:pPr>
      <w:r w:rsidRPr="00C61A20">
        <w:rPr>
          <w:rStyle w:val="Refdenotaalpie"/>
          <w:rFonts w:ascii="Open Sans" w:hAnsi="Open Sans"/>
          <w:sz w:val="18"/>
          <w:szCs w:val="18"/>
        </w:rPr>
        <w:footnoteRef/>
      </w:r>
      <w:r w:rsidRPr="00C61A20">
        <w:rPr>
          <w:rFonts w:ascii="Open Sans" w:hAnsi="Open Sans"/>
          <w:sz w:val="18"/>
          <w:szCs w:val="18"/>
        </w:rPr>
        <w:t xml:space="preserve"> </w:t>
      </w:r>
      <w:hyperlink r:id="rId20" w:history="1">
        <w:r w:rsidRPr="00C61A20">
          <w:rPr>
            <w:rStyle w:val="Hipervnculo"/>
            <w:rFonts w:ascii="Open Sans" w:hAnsi="Open Sans"/>
            <w:sz w:val="18"/>
            <w:szCs w:val="18"/>
          </w:rPr>
          <w:t>http://www.obrasweb.mx/construccion/2012/03/16/evasion-fiscal-la-cruz-que-cargan-las-constructoras</w:t>
        </w:r>
      </w:hyperlink>
    </w:p>
    <w:p w14:paraId="1FA20E1D" w14:textId="77777777" w:rsidR="007F55EB" w:rsidRPr="00C61A20" w:rsidRDefault="007F55EB" w:rsidP="008434D6">
      <w:pPr>
        <w:pStyle w:val="Textonotapie"/>
        <w:rPr>
          <w:rFonts w:ascii="Open Sans" w:hAnsi="Open Sans"/>
          <w:sz w:val="18"/>
          <w:szCs w:val="18"/>
        </w:rPr>
      </w:pPr>
      <w:hyperlink r:id="rId21" w:history="1">
        <w:r w:rsidRPr="00C61A20">
          <w:rPr>
            <w:rStyle w:val="Hipervnculo"/>
            <w:rFonts w:ascii="Open Sans" w:hAnsi="Open Sans"/>
            <w:sz w:val="18"/>
            <w:szCs w:val="18"/>
          </w:rPr>
          <w:t>http://www.ecuadorinmediato.com/Noticias/news_user_view/ecuadorinmediato_noticias--60534</w:t>
        </w:r>
      </w:hyperlink>
    </w:p>
    <w:p w14:paraId="27042CCD" w14:textId="77777777" w:rsidR="007F55EB" w:rsidRPr="00C61A20" w:rsidRDefault="007F55EB" w:rsidP="008434D6">
      <w:pPr>
        <w:pStyle w:val="Textonotapie"/>
        <w:rPr>
          <w:rFonts w:ascii="Open Sans" w:hAnsi="Open Sans"/>
          <w:sz w:val="18"/>
          <w:szCs w:val="18"/>
        </w:rPr>
      </w:pPr>
      <w:hyperlink r:id="rId22" w:history="1">
        <w:r w:rsidRPr="00C61A20">
          <w:rPr>
            <w:rStyle w:val="Hipervnculo"/>
            <w:rFonts w:ascii="Open Sans" w:hAnsi="Open Sans"/>
            <w:sz w:val="18"/>
            <w:szCs w:val="18"/>
          </w:rPr>
          <w:t>http://www.lavanguardia.com/economia/20150422/54430781555/detienen-a-director-del-mayor-grupo-de-construccion-griego-por-evasion-fiscal.html</w:t>
        </w:r>
      </w:hyperlink>
    </w:p>
    <w:p w14:paraId="66378C23" w14:textId="77777777" w:rsidR="007F55EB" w:rsidRPr="00C61A20" w:rsidRDefault="007F55EB" w:rsidP="008434D6">
      <w:pPr>
        <w:pStyle w:val="Textonotapie"/>
        <w:rPr>
          <w:rFonts w:ascii="Open Sans" w:hAnsi="Open Sans"/>
          <w:sz w:val="18"/>
          <w:szCs w:val="18"/>
        </w:rPr>
      </w:pPr>
      <w:hyperlink r:id="rId23" w:history="1">
        <w:r w:rsidRPr="00C61A20">
          <w:rPr>
            <w:rStyle w:val="Hipervnculo"/>
            <w:rFonts w:ascii="Open Sans" w:hAnsi="Open Sans"/>
            <w:sz w:val="18"/>
            <w:szCs w:val="18"/>
          </w:rPr>
          <w:t>http://www.sat.gob.mx/administracion_sat/estudios_evasion_fiscal/Documents/InformeFinal19012012const.pdf</w:t>
        </w:r>
      </w:hyperlink>
    </w:p>
  </w:footnote>
  <w:footnote w:id="42">
    <w:p w14:paraId="7C08087B" w14:textId="77777777" w:rsidR="007F55EB" w:rsidRPr="00C61A20" w:rsidRDefault="007F55EB" w:rsidP="008434D6">
      <w:pPr>
        <w:pStyle w:val="Textonotapie"/>
        <w:rPr>
          <w:rFonts w:ascii="Open Sans" w:hAnsi="Open Sans"/>
          <w:sz w:val="18"/>
          <w:szCs w:val="18"/>
        </w:rPr>
      </w:pPr>
      <w:r w:rsidRPr="00C61A20">
        <w:rPr>
          <w:rStyle w:val="Refdenotaalpie"/>
          <w:rFonts w:ascii="Open Sans" w:hAnsi="Open Sans"/>
          <w:sz w:val="18"/>
          <w:szCs w:val="18"/>
        </w:rPr>
        <w:footnoteRef/>
      </w:r>
      <w:r w:rsidRPr="00C61A20">
        <w:rPr>
          <w:rFonts w:ascii="Open Sans" w:hAnsi="Open Sans"/>
          <w:sz w:val="18"/>
          <w:szCs w:val="18"/>
        </w:rPr>
        <w:t xml:space="preserve"> </w:t>
      </w:r>
      <w:hyperlink r:id="rId24" w:history="1">
        <w:r w:rsidRPr="00C61A20">
          <w:rPr>
            <w:rStyle w:val="Hipervnculo"/>
            <w:rFonts w:ascii="Open Sans" w:hAnsi="Open Sans"/>
            <w:sz w:val="18"/>
            <w:szCs w:val="18"/>
          </w:rPr>
          <w:t>http://www.europapress.es/internacional/noticia-portugal-agencias-tributarias-espana-portugal-firman-acuerdo-combatir-fraude-evasion-fiscal-20061102165258.html</w:t>
        </w:r>
      </w:hyperlink>
    </w:p>
  </w:footnote>
  <w:footnote w:id="43">
    <w:p w14:paraId="5B3A5ADB" w14:textId="77777777" w:rsidR="007F55EB" w:rsidRPr="00C61A20" w:rsidRDefault="007F55EB" w:rsidP="008434D6">
      <w:pPr>
        <w:pStyle w:val="Textonotapie"/>
        <w:rPr>
          <w:rFonts w:ascii="Open Sans" w:hAnsi="Open Sans"/>
          <w:sz w:val="18"/>
          <w:szCs w:val="18"/>
        </w:rPr>
      </w:pPr>
      <w:r w:rsidRPr="00C61A20">
        <w:rPr>
          <w:rStyle w:val="Refdenotaalpie"/>
          <w:rFonts w:ascii="Open Sans" w:hAnsi="Open Sans"/>
          <w:sz w:val="18"/>
          <w:szCs w:val="18"/>
        </w:rPr>
        <w:footnoteRef/>
      </w:r>
      <w:r w:rsidRPr="00C61A20">
        <w:rPr>
          <w:rFonts w:ascii="Open Sans" w:hAnsi="Open Sans"/>
          <w:sz w:val="18"/>
          <w:szCs w:val="18"/>
        </w:rPr>
        <w:t xml:space="preserve"> </w:t>
      </w:r>
      <w:hyperlink r:id="rId25" w:history="1">
        <w:r w:rsidRPr="00C61A20">
          <w:rPr>
            <w:rStyle w:val="Hipervnculo"/>
            <w:rFonts w:ascii="Open Sans" w:hAnsi="Open Sans"/>
            <w:sz w:val="18"/>
            <w:szCs w:val="18"/>
          </w:rPr>
          <w:t>http://www.expansion.com/empresas/inmobiliario/2015/03/30/55199b0c268e3ea0738b4571.html</w:t>
        </w:r>
      </w:hyperlink>
    </w:p>
  </w:footnote>
  <w:footnote w:id="44">
    <w:p w14:paraId="68BC6D48" w14:textId="77777777" w:rsidR="007F55EB" w:rsidRPr="00C61A20" w:rsidRDefault="007F55EB" w:rsidP="008434D6">
      <w:pPr>
        <w:pStyle w:val="Textonotapie"/>
        <w:rPr>
          <w:rFonts w:ascii="Open Sans" w:hAnsi="Open Sans"/>
          <w:sz w:val="18"/>
          <w:szCs w:val="18"/>
        </w:rPr>
      </w:pPr>
      <w:r w:rsidRPr="00C61A20">
        <w:rPr>
          <w:rStyle w:val="Refdenotaalpie"/>
          <w:rFonts w:ascii="Open Sans" w:hAnsi="Open Sans"/>
          <w:sz w:val="18"/>
          <w:szCs w:val="18"/>
        </w:rPr>
        <w:footnoteRef/>
      </w:r>
      <w:r w:rsidRPr="00C61A20">
        <w:rPr>
          <w:rFonts w:ascii="Open Sans" w:hAnsi="Open Sans"/>
          <w:sz w:val="18"/>
          <w:szCs w:val="18"/>
        </w:rPr>
        <w:t xml:space="preserve"> </w:t>
      </w:r>
      <w:hyperlink r:id="rId26" w:history="1">
        <w:r w:rsidRPr="00C61A20">
          <w:rPr>
            <w:rStyle w:val="Hipervnculo"/>
            <w:rFonts w:ascii="Open Sans" w:hAnsi="Open Sans"/>
            <w:sz w:val="18"/>
            <w:szCs w:val="18"/>
          </w:rPr>
          <w:t>http://www.transparency.org/cpi2015/</w:t>
        </w:r>
      </w:hyperlink>
    </w:p>
  </w:footnote>
  <w:footnote w:id="45">
    <w:p w14:paraId="1FB94850" w14:textId="77777777" w:rsidR="007F55EB" w:rsidRPr="00C61A20" w:rsidRDefault="007F55EB" w:rsidP="008434D6">
      <w:pPr>
        <w:pStyle w:val="Textonotapie"/>
        <w:rPr>
          <w:rFonts w:ascii="Open Sans" w:hAnsi="Open Sans"/>
          <w:sz w:val="18"/>
          <w:szCs w:val="18"/>
        </w:rPr>
      </w:pPr>
      <w:r w:rsidRPr="00C61A20">
        <w:rPr>
          <w:rStyle w:val="Refdenotaalpie"/>
          <w:rFonts w:ascii="Open Sans" w:hAnsi="Open Sans"/>
          <w:sz w:val="18"/>
          <w:szCs w:val="18"/>
        </w:rPr>
        <w:footnoteRef/>
      </w:r>
      <w:r w:rsidRPr="00C61A20">
        <w:rPr>
          <w:rFonts w:ascii="Open Sans" w:hAnsi="Open Sans"/>
          <w:sz w:val="18"/>
          <w:szCs w:val="18"/>
        </w:rPr>
        <w:t xml:space="preserve"> </w:t>
      </w:r>
      <w:hyperlink r:id="rId27" w:history="1">
        <w:r w:rsidRPr="00C61A20">
          <w:rPr>
            <w:rStyle w:val="Hipervnculo"/>
            <w:rFonts w:ascii="Open Sans" w:hAnsi="Open Sans"/>
            <w:sz w:val="18"/>
            <w:szCs w:val="18"/>
          </w:rPr>
          <w:t>http://www.elconfidencial.com/espana/2016-01-12/empresas-de-acs-amanaban-contratos-publicos-en-cadiz-bajo-el-mandato-del-pp_1133944/</w:t>
        </w:r>
      </w:hyperlink>
    </w:p>
    <w:p w14:paraId="2217E0C8" w14:textId="77777777" w:rsidR="007F55EB" w:rsidRPr="00C61A20" w:rsidRDefault="007F55EB" w:rsidP="008434D6">
      <w:pPr>
        <w:pStyle w:val="Textonotapie"/>
        <w:rPr>
          <w:rFonts w:ascii="Open Sans" w:hAnsi="Open Sans"/>
          <w:sz w:val="18"/>
          <w:szCs w:val="18"/>
        </w:rPr>
      </w:pPr>
      <w:hyperlink r:id="rId28" w:history="1">
        <w:r w:rsidRPr="00C61A20">
          <w:rPr>
            <w:rStyle w:val="Hipervnculo"/>
            <w:rFonts w:ascii="Open Sans" w:hAnsi="Open Sans"/>
            <w:sz w:val="18"/>
            <w:szCs w:val="18"/>
          </w:rPr>
          <w:t>http://economia.elpais.com/economia/2015/12/14/actualidad/1450111008_698606.html</w:t>
        </w:r>
      </w:hyperlink>
    </w:p>
    <w:p w14:paraId="09172995" w14:textId="77777777" w:rsidR="007F55EB" w:rsidRPr="00C61A20" w:rsidRDefault="007F55EB" w:rsidP="008434D6">
      <w:pPr>
        <w:pStyle w:val="Textonotapie"/>
        <w:rPr>
          <w:rFonts w:ascii="Open Sans" w:hAnsi="Open Sans"/>
          <w:sz w:val="18"/>
          <w:szCs w:val="18"/>
        </w:rPr>
      </w:pPr>
      <w:hyperlink r:id="rId29" w:history="1">
        <w:r w:rsidRPr="00C61A20">
          <w:rPr>
            <w:rStyle w:val="Hipervnculo"/>
            <w:rFonts w:ascii="Open Sans" w:hAnsi="Open Sans"/>
            <w:sz w:val="18"/>
            <w:szCs w:val="18"/>
          </w:rPr>
          <w:t>http://www.eldiario.es/economia/Tecnicas-Reunidas-ACS-salpicadas-industria_0_514449474.html</w:t>
        </w:r>
      </w:hyperlink>
    </w:p>
    <w:p w14:paraId="58A2F332" w14:textId="77777777" w:rsidR="007F55EB" w:rsidRPr="00C61A20" w:rsidRDefault="007F55EB" w:rsidP="008434D6">
      <w:pPr>
        <w:pStyle w:val="Textonotapie"/>
        <w:rPr>
          <w:rFonts w:ascii="Open Sans" w:hAnsi="Open Sans"/>
          <w:sz w:val="18"/>
          <w:szCs w:val="18"/>
        </w:rPr>
      </w:pPr>
      <w:hyperlink r:id="rId30" w:history="1">
        <w:r w:rsidRPr="00C61A20">
          <w:rPr>
            <w:rStyle w:val="Hipervnculo"/>
            <w:rFonts w:ascii="Open Sans" w:hAnsi="Open Sans"/>
            <w:sz w:val="18"/>
            <w:szCs w:val="18"/>
          </w:rPr>
          <w:t>http://consalud.es/comunidades-autonomas/el-juez-de-son-espases-investiga-la-trama-de-corrupcion-de-acs-en-cadiz--23727</w:t>
        </w:r>
      </w:hyperlink>
    </w:p>
    <w:p w14:paraId="7E58BC99" w14:textId="77777777" w:rsidR="007F55EB" w:rsidRPr="00C61A20" w:rsidRDefault="007F55EB" w:rsidP="008434D6">
      <w:pPr>
        <w:pStyle w:val="Textonotapie"/>
        <w:rPr>
          <w:rFonts w:ascii="Open Sans" w:hAnsi="Open Sans"/>
          <w:sz w:val="18"/>
          <w:szCs w:val="18"/>
        </w:rPr>
      </w:pPr>
      <w:hyperlink r:id="rId31" w:history="1">
        <w:r w:rsidRPr="00C61A20">
          <w:rPr>
            <w:rStyle w:val="Hipervnculo"/>
            <w:rFonts w:ascii="Open Sans" w:hAnsi="Open Sans"/>
            <w:sz w:val="18"/>
            <w:szCs w:val="18"/>
          </w:rPr>
          <w:t>http://www.smh.com.au/business/mining-and-resources/leighton-holdings-former-executive-alleges-corruption-20160422-gock2o.html7</w:t>
        </w:r>
      </w:hyperlink>
    </w:p>
    <w:p w14:paraId="2D4827F4" w14:textId="77777777" w:rsidR="007F55EB" w:rsidRPr="00C61A20" w:rsidRDefault="007F55EB" w:rsidP="008434D6">
      <w:pPr>
        <w:pStyle w:val="Textonotapie"/>
        <w:rPr>
          <w:rFonts w:ascii="Open Sans" w:hAnsi="Open Sans"/>
          <w:sz w:val="18"/>
          <w:szCs w:val="18"/>
        </w:rPr>
      </w:pPr>
      <w:hyperlink r:id="rId32" w:history="1">
        <w:r w:rsidRPr="00C61A20">
          <w:rPr>
            <w:rStyle w:val="Hipervnculo"/>
            <w:rFonts w:ascii="Open Sans" w:hAnsi="Open Sans"/>
            <w:sz w:val="18"/>
            <w:szCs w:val="18"/>
          </w:rPr>
          <w:t>http://www.altmedia.net.au/questions-to-be-answered-over-leightons-involvement-in-westconnex/114897</w:t>
        </w:r>
      </w:hyperlink>
    </w:p>
    <w:p w14:paraId="4431848C" w14:textId="77777777" w:rsidR="007F55EB" w:rsidRPr="00C61A20" w:rsidRDefault="007F55EB" w:rsidP="008434D6">
      <w:pPr>
        <w:pStyle w:val="Textonotapie"/>
        <w:rPr>
          <w:rFonts w:ascii="Open Sans" w:hAnsi="Open Sans"/>
          <w:sz w:val="18"/>
          <w:szCs w:val="18"/>
        </w:rPr>
      </w:pPr>
      <w:hyperlink r:id="rId33" w:history="1">
        <w:r w:rsidRPr="00C61A20">
          <w:rPr>
            <w:rStyle w:val="Hipervnculo"/>
            <w:rFonts w:ascii="Open Sans" w:hAnsi="Open Sans"/>
            <w:sz w:val="18"/>
            <w:szCs w:val="18"/>
          </w:rPr>
          <w:t>http://www.theherald.com.au/story/3837923/corruption-helicopter-drops-and-the-proletariat/</w:t>
        </w:r>
      </w:hyperlink>
    </w:p>
    <w:p w14:paraId="3AB6BE95" w14:textId="77777777" w:rsidR="007F55EB" w:rsidRPr="00C61A20" w:rsidRDefault="007F55EB" w:rsidP="008434D6">
      <w:pPr>
        <w:pStyle w:val="Textonotapie"/>
        <w:rPr>
          <w:rFonts w:ascii="Open Sans" w:hAnsi="Open Sans"/>
          <w:sz w:val="18"/>
          <w:szCs w:val="18"/>
        </w:rPr>
      </w:pPr>
      <w:hyperlink r:id="rId34" w:history="1">
        <w:r w:rsidRPr="00C61A20">
          <w:rPr>
            <w:rStyle w:val="Hipervnculo"/>
            <w:rFonts w:ascii="Open Sans" w:hAnsi="Open Sans"/>
            <w:sz w:val="18"/>
            <w:szCs w:val="18"/>
          </w:rPr>
          <w:t>http://www.edenmagnet.com.au/story/4029702/cimic-faces-lawsuit-from-middle-east-partner/?cs=9</w:t>
        </w:r>
      </w:hyperlink>
    </w:p>
    <w:p w14:paraId="0FBA3E29" w14:textId="77777777" w:rsidR="007F55EB" w:rsidRPr="00C61A20" w:rsidRDefault="007F55EB" w:rsidP="008434D6">
      <w:pPr>
        <w:pStyle w:val="Textonotapie"/>
        <w:rPr>
          <w:rFonts w:ascii="Open Sans" w:hAnsi="Open Sans"/>
          <w:sz w:val="18"/>
          <w:szCs w:val="18"/>
        </w:rPr>
      </w:pPr>
      <w:hyperlink r:id="rId35" w:history="1">
        <w:r w:rsidRPr="00C61A20">
          <w:rPr>
            <w:rStyle w:val="Hipervnculo"/>
            <w:rFonts w:ascii="Open Sans" w:hAnsi="Open Sans"/>
            <w:sz w:val="18"/>
            <w:szCs w:val="18"/>
          </w:rPr>
          <w:t>http://www.smh.com.au/business/leighton-to-change-name-to-cimic-in-wake-of-corruption-allegations-20150320-1m40j3.html</w:t>
        </w:r>
      </w:hyperlink>
    </w:p>
    <w:p w14:paraId="76EF712D" w14:textId="77777777" w:rsidR="007F55EB" w:rsidRPr="00C61A20" w:rsidRDefault="007F55EB" w:rsidP="008434D6">
      <w:pPr>
        <w:pStyle w:val="Textonotapie"/>
        <w:rPr>
          <w:rFonts w:ascii="Open Sans" w:hAnsi="Open Sans"/>
          <w:sz w:val="18"/>
          <w:szCs w:val="18"/>
        </w:rPr>
      </w:pPr>
      <w:hyperlink r:id="rId36" w:history="1">
        <w:r w:rsidRPr="00C61A20">
          <w:rPr>
            <w:rStyle w:val="Hipervnculo"/>
            <w:rFonts w:ascii="Open Sans" w:hAnsi="Open Sans"/>
            <w:sz w:val="18"/>
            <w:szCs w:val="18"/>
          </w:rPr>
          <w:t>http://en.protothema.gr/german-hochtiefs-tax-evasion-in-parliament/</w:t>
        </w:r>
      </w:hyperlink>
    </w:p>
    <w:p w14:paraId="5AD5B3B9" w14:textId="77777777" w:rsidR="007F55EB" w:rsidRPr="00C61A20" w:rsidRDefault="007F55EB" w:rsidP="008434D6">
      <w:pPr>
        <w:pStyle w:val="Textonotapie"/>
        <w:rPr>
          <w:rFonts w:ascii="Open Sans" w:hAnsi="Open Sans"/>
          <w:sz w:val="18"/>
          <w:szCs w:val="18"/>
        </w:rPr>
      </w:pPr>
      <w:hyperlink r:id="rId37" w:history="1">
        <w:r w:rsidRPr="00C61A20">
          <w:rPr>
            <w:rStyle w:val="Hipervnculo"/>
            <w:rFonts w:ascii="Open Sans" w:hAnsi="Open Sans"/>
            <w:sz w:val="18"/>
            <w:szCs w:val="18"/>
          </w:rPr>
          <w:t>http://www.diariodecadiz.es/cadiz/Policia-estima-millon-fraude-alumbrado_0_989301188.html</w:t>
        </w:r>
      </w:hyperlink>
    </w:p>
    <w:p w14:paraId="535C9B18" w14:textId="77777777" w:rsidR="007F55EB" w:rsidRPr="00C61A20" w:rsidRDefault="007F55EB" w:rsidP="008434D6">
      <w:pPr>
        <w:pStyle w:val="Textonotapie"/>
        <w:rPr>
          <w:rFonts w:ascii="Open Sans" w:hAnsi="Open Sans"/>
          <w:sz w:val="18"/>
          <w:szCs w:val="18"/>
        </w:rPr>
      </w:pPr>
      <w:hyperlink r:id="rId38" w:history="1">
        <w:r w:rsidRPr="00C61A20">
          <w:rPr>
            <w:rStyle w:val="Hipervnculo"/>
            <w:rFonts w:ascii="Open Sans" w:hAnsi="Open Sans"/>
            <w:sz w:val="18"/>
            <w:szCs w:val="18"/>
          </w:rPr>
          <w:t>http://www.lne.es/espana/2015/10/21/detenido-tesorero-cdc-trama-3/1829978.html</w:t>
        </w:r>
      </w:hyperlink>
    </w:p>
    <w:p w14:paraId="22B6CE39" w14:textId="77777777" w:rsidR="007F55EB" w:rsidRPr="00C61A20" w:rsidRDefault="007F55EB" w:rsidP="008434D6">
      <w:pPr>
        <w:pStyle w:val="Textonotapie"/>
        <w:rPr>
          <w:rFonts w:ascii="Open Sans" w:hAnsi="Open Sans"/>
          <w:sz w:val="18"/>
          <w:szCs w:val="18"/>
        </w:rPr>
      </w:pPr>
      <w:hyperlink r:id="rId39" w:history="1">
        <w:r w:rsidRPr="00C61A20">
          <w:rPr>
            <w:rStyle w:val="Hipervnculo"/>
            <w:rFonts w:ascii="Open Sans" w:hAnsi="Open Sans"/>
            <w:sz w:val="18"/>
            <w:szCs w:val="18"/>
          </w:rPr>
          <w:t>http://www.elconfidencial.com/espana/2015-04-29/florentino-perez-reconoce-que-pago-300-000-euros-a-la-trama-punica_785225/</w:t>
        </w:r>
      </w:hyperlink>
    </w:p>
    <w:p w14:paraId="5A1226C4" w14:textId="77777777" w:rsidR="007F55EB" w:rsidRPr="00C61A20" w:rsidRDefault="007F55EB" w:rsidP="008434D6">
      <w:pPr>
        <w:pStyle w:val="Textonotapie"/>
        <w:rPr>
          <w:rFonts w:ascii="Open Sans" w:hAnsi="Open Sans"/>
          <w:sz w:val="18"/>
          <w:szCs w:val="18"/>
        </w:rPr>
      </w:pPr>
      <w:hyperlink r:id="rId40" w:history="1">
        <w:r w:rsidRPr="00C61A20">
          <w:rPr>
            <w:rStyle w:val="Hipervnculo"/>
            <w:rFonts w:ascii="Open Sans" w:hAnsi="Open Sans"/>
            <w:sz w:val="18"/>
            <w:szCs w:val="18"/>
          </w:rPr>
          <w:t>http://www.laopiniondemurcia.es/comunidad/2016/02/10/fiscal-aprecia-indicios-malversacion-falsedad/712811.html</w:t>
        </w:r>
      </w:hyperlink>
    </w:p>
  </w:footnote>
  <w:footnote w:id="46">
    <w:p w14:paraId="056600AD" w14:textId="5AAFF1AE" w:rsidR="007F55EB" w:rsidRPr="00F7530E" w:rsidRDefault="007F55EB" w:rsidP="008434D6">
      <w:pPr>
        <w:pStyle w:val="Textonotapie"/>
        <w:rPr>
          <w:rFonts w:ascii="Open Sans" w:hAnsi="Open Sans"/>
          <w:sz w:val="18"/>
          <w:szCs w:val="18"/>
          <w:lang w:val="en-GB"/>
        </w:rPr>
      </w:pPr>
      <w:r w:rsidRPr="00C61A20">
        <w:rPr>
          <w:rStyle w:val="Caracteresdenotaalpie"/>
          <w:rFonts w:ascii="Open Sans" w:hAnsi="Open Sans"/>
          <w:sz w:val="18"/>
          <w:szCs w:val="18"/>
        </w:rPr>
        <w:footnoteRef/>
      </w:r>
      <w:r w:rsidRPr="00F7530E">
        <w:rPr>
          <w:rFonts w:ascii="Open Sans" w:hAnsi="Open Sans" w:cs="Open Sans"/>
          <w:sz w:val="18"/>
          <w:szCs w:val="18"/>
          <w:lang w:val="en-GB"/>
        </w:rPr>
        <w:t xml:space="preserve"> IGC2015, pg. 34</w:t>
      </w:r>
    </w:p>
  </w:footnote>
  <w:footnote w:id="47">
    <w:p w14:paraId="3534ADA9" w14:textId="77777777" w:rsidR="007F55EB" w:rsidRPr="00F7530E" w:rsidRDefault="007F55EB" w:rsidP="008434D6">
      <w:pPr>
        <w:pStyle w:val="Textonotapie"/>
        <w:rPr>
          <w:lang w:val="en-GB"/>
        </w:rPr>
      </w:pPr>
      <w:r w:rsidRPr="00C61A20">
        <w:rPr>
          <w:rStyle w:val="Refdenotaalpie"/>
          <w:rFonts w:ascii="Open Sans" w:hAnsi="Open Sans"/>
          <w:sz w:val="18"/>
          <w:szCs w:val="18"/>
        </w:rPr>
        <w:footnoteRef/>
      </w:r>
      <w:r w:rsidRPr="00F7530E">
        <w:rPr>
          <w:rFonts w:ascii="Open Sans" w:hAnsi="Open Sans"/>
          <w:sz w:val="18"/>
          <w:szCs w:val="18"/>
          <w:lang w:val="en-GB"/>
        </w:rPr>
        <w:t xml:space="preserve"> </w:t>
      </w:r>
      <w:hyperlink r:id="rId41" w:history="1">
        <w:r w:rsidRPr="00F7530E">
          <w:rPr>
            <w:rStyle w:val="Hipervnculo"/>
            <w:rFonts w:ascii="Open Sans" w:hAnsi="Open Sans" w:cs="Open Sans"/>
            <w:sz w:val="18"/>
            <w:szCs w:val="18"/>
            <w:lang w:val="en-GB"/>
          </w:rPr>
          <w:t>http://epoca1.valenciaplaza.com/ver/164219/gas-natural-fenosa-es-reconocida-como-lider-mundial-en-el-sector--utilities-.html</w:t>
        </w:r>
      </w:hyperlink>
    </w:p>
  </w:footnote>
  <w:footnote w:id="48">
    <w:p w14:paraId="40F70ACE" w14:textId="77777777" w:rsidR="007F55EB" w:rsidRPr="00C61A20" w:rsidRDefault="007F55EB" w:rsidP="008434D6">
      <w:pPr>
        <w:pStyle w:val="Textonotapie"/>
        <w:rPr>
          <w:rFonts w:ascii="Open Sans" w:hAnsi="Open Sans"/>
          <w:sz w:val="18"/>
          <w:szCs w:val="18"/>
          <w:lang w:val="ca-ES"/>
        </w:rPr>
      </w:pPr>
      <w:r w:rsidRPr="00C61A20">
        <w:rPr>
          <w:rStyle w:val="Refdenotaalpie"/>
          <w:rFonts w:ascii="Open Sans" w:hAnsi="Open Sans"/>
          <w:sz w:val="18"/>
          <w:szCs w:val="18"/>
        </w:rPr>
        <w:footnoteRef/>
      </w:r>
      <w:r w:rsidRPr="00F7530E">
        <w:rPr>
          <w:rFonts w:ascii="Open Sans" w:hAnsi="Open Sans"/>
          <w:sz w:val="18"/>
          <w:szCs w:val="18"/>
          <w:lang w:val="en-GB"/>
        </w:rPr>
        <w:t xml:space="preserve"> </w:t>
      </w:r>
      <w:hyperlink r:id="rId42" w:history="1">
        <w:r w:rsidRPr="00F7530E">
          <w:rPr>
            <w:rStyle w:val="Hipervnculo"/>
            <w:rFonts w:ascii="Open Sans" w:hAnsi="Open Sans"/>
            <w:sz w:val="18"/>
            <w:szCs w:val="18"/>
            <w:lang w:val="en-GB"/>
          </w:rPr>
          <w:t>https://www.bbva.com/es/noticias/economia/sistema_financiero/fiscalidad/bbva-se-adelanta-a-la-normativa-en-transparencia-fiscal/</w:t>
        </w:r>
      </w:hyperlink>
      <w:r w:rsidRPr="00F7530E">
        <w:rPr>
          <w:rFonts w:ascii="Open Sans" w:hAnsi="Open Sans"/>
          <w:sz w:val="18"/>
          <w:szCs w:val="18"/>
          <w:lang w:val="en-GB"/>
        </w:rPr>
        <w:t xml:space="preserve"> </w:t>
      </w:r>
    </w:p>
  </w:footnote>
  <w:footnote w:id="49">
    <w:p w14:paraId="1F57B5B8" w14:textId="04C698AB" w:rsidR="007F55EB" w:rsidRPr="00F7530E" w:rsidRDefault="007F55EB" w:rsidP="00FD0760">
      <w:pPr>
        <w:pStyle w:val="Textonotapie"/>
        <w:rPr>
          <w:rFonts w:ascii="Open Sans" w:hAnsi="Open Sans"/>
          <w:sz w:val="18"/>
          <w:szCs w:val="18"/>
          <w:lang w:val="ca-ES"/>
        </w:rPr>
      </w:pPr>
      <w:r w:rsidRPr="007A63BA">
        <w:rPr>
          <w:rStyle w:val="Refdenotaalpie"/>
          <w:rFonts w:ascii="Open Sans" w:hAnsi="Open Sans"/>
          <w:sz w:val="18"/>
          <w:szCs w:val="18"/>
        </w:rPr>
        <w:footnoteRef/>
      </w:r>
      <w:r w:rsidRPr="00F7530E">
        <w:rPr>
          <w:rFonts w:ascii="Open Sans" w:hAnsi="Open Sans"/>
          <w:sz w:val="18"/>
          <w:szCs w:val="18"/>
          <w:lang w:val="ca-ES"/>
        </w:rPr>
        <w:t xml:space="preserve"> </w:t>
      </w:r>
      <w:hyperlink r:id="rId43" w:history="1">
        <w:r w:rsidRPr="00F7530E">
          <w:rPr>
            <w:rStyle w:val="Hipervnculo"/>
            <w:rFonts w:ascii="Open Sans" w:hAnsi="Open Sans"/>
            <w:sz w:val="18"/>
            <w:szCs w:val="18"/>
            <w:lang w:val="ca-ES"/>
          </w:rPr>
          <w:t>https://www.boe.es/diario_boe/txt.php?id=BOE-A-2014-12589</w:t>
        </w:r>
      </w:hyperlink>
    </w:p>
  </w:footnote>
  <w:footnote w:id="50">
    <w:p w14:paraId="7241C746" w14:textId="77777777" w:rsidR="007F55EB" w:rsidRPr="00DA38AD" w:rsidRDefault="007F55EB" w:rsidP="00D06B0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eastAsia="Calibri" w:hAnsi="Open Sans" w:cs="Helvetica"/>
          <w:color w:val="141413"/>
          <w:sz w:val="18"/>
          <w:szCs w:val="18"/>
        </w:rPr>
      </w:pPr>
      <w:r w:rsidRPr="00DA38AD">
        <w:rPr>
          <w:rStyle w:val="Refdenotaalpie"/>
          <w:rFonts w:ascii="Open Sans" w:hAnsi="Open Sans"/>
          <w:szCs w:val="18"/>
        </w:rPr>
        <w:footnoteRef/>
      </w:r>
      <w:r w:rsidRPr="00DA38AD">
        <w:rPr>
          <w:rFonts w:ascii="Open Sans" w:hAnsi="Open Sans"/>
          <w:sz w:val="18"/>
          <w:szCs w:val="18"/>
        </w:rPr>
        <w:t xml:space="preserve"> </w:t>
      </w:r>
      <w:r w:rsidRPr="00DA38AD">
        <w:rPr>
          <w:rFonts w:ascii="Open Sans" w:eastAsia="Calibri" w:hAnsi="Open Sans" w:cs="Helvetica"/>
          <w:color w:val="141413"/>
          <w:sz w:val="18"/>
          <w:szCs w:val="18"/>
        </w:rPr>
        <w:t>Ley 31/2014, de 3 de diciembre, por la que se reforma la Ley de Sociedades de Capital para la mejora del gobierno corporativo y publicación del nuevo Código de Buen Gobierno de Sociedades Cotizadas, aprobado por acuerdo del Consejo de la Comisión Nacional del Mercado de Valores de 18 de febrero de 2015.</w:t>
      </w:r>
    </w:p>
  </w:footnote>
  <w:footnote w:id="51">
    <w:p w14:paraId="02E30B38" w14:textId="77777777" w:rsidR="007F55EB" w:rsidRPr="007A63BA" w:rsidRDefault="007F55EB" w:rsidP="00FD0760">
      <w:pPr>
        <w:pStyle w:val="Textonotapie"/>
        <w:rPr>
          <w:rFonts w:ascii="Open Sans" w:hAnsi="Open Sans"/>
          <w:sz w:val="18"/>
          <w:szCs w:val="18"/>
          <w:lang w:val="es-ES_tradnl"/>
        </w:rPr>
      </w:pPr>
      <w:r w:rsidRPr="007A63BA">
        <w:rPr>
          <w:rStyle w:val="Refdenotaalpie"/>
          <w:rFonts w:ascii="Open Sans" w:hAnsi="Open Sans"/>
          <w:sz w:val="18"/>
          <w:szCs w:val="18"/>
        </w:rPr>
        <w:footnoteRef/>
      </w:r>
      <w:r w:rsidRPr="007A63BA">
        <w:rPr>
          <w:rFonts w:ascii="Open Sans" w:hAnsi="Open Sans"/>
          <w:sz w:val="18"/>
          <w:szCs w:val="18"/>
        </w:rPr>
        <w:t xml:space="preserve"> </w:t>
      </w:r>
      <w:r w:rsidRPr="007A63BA">
        <w:rPr>
          <w:rFonts w:ascii="Open Sans" w:hAnsi="Open Sans"/>
          <w:sz w:val="18"/>
          <w:szCs w:val="18"/>
          <w:lang w:val="es-ES_tradnl"/>
        </w:rPr>
        <w:t>Informe y cuentas anuales, págs. 47 y siguientes.</w:t>
      </w:r>
    </w:p>
  </w:footnote>
  <w:footnote w:id="52">
    <w:p w14:paraId="00932291" w14:textId="77777777" w:rsidR="007F55EB" w:rsidRPr="007A63BA" w:rsidRDefault="007F55EB" w:rsidP="003912B6">
      <w:pPr>
        <w:pStyle w:val="Textonotapie"/>
        <w:rPr>
          <w:rFonts w:ascii="Open Sans" w:hAnsi="Open Sans"/>
          <w:bCs/>
          <w:sz w:val="18"/>
          <w:szCs w:val="18"/>
          <w:lang w:val="es-ES_tradnl"/>
        </w:rPr>
      </w:pPr>
      <w:r w:rsidRPr="007A63BA">
        <w:rPr>
          <w:rStyle w:val="Refdenotaalpie"/>
          <w:rFonts w:ascii="Open Sans" w:hAnsi="Open Sans"/>
          <w:sz w:val="18"/>
          <w:szCs w:val="18"/>
        </w:rPr>
        <w:footnoteRef/>
      </w:r>
      <w:r w:rsidRPr="007A63BA">
        <w:rPr>
          <w:rFonts w:ascii="Open Sans" w:hAnsi="Open Sans"/>
          <w:sz w:val="18"/>
          <w:szCs w:val="18"/>
        </w:rPr>
        <w:t xml:space="preserve"> </w:t>
      </w:r>
      <w:hyperlink r:id="rId44" w:history="1">
        <w:r w:rsidRPr="007A63BA">
          <w:rPr>
            <w:rStyle w:val="Hipervnculo"/>
            <w:rFonts w:ascii="Open Sans" w:hAnsi="Open Sans"/>
            <w:bCs/>
            <w:sz w:val="18"/>
            <w:szCs w:val="18"/>
            <w:lang w:val="es-ES_tradnl"/>
          </w:rPr>
          <w:t>IAG escruta el gasto en impuestos ante su salto al 'paraíso' de Irlanda</w:t>
        </w:r>
      </w:hyperlink>
    </w:p>
  </w:footnote>
  <w:footnote w:id="53">
    <w:p w14:paraId="2CF85893" w14:textId="77777777" w:rsidR="007F55EB" w:rsidRPr="00B11C42" w:rsidRDefault="007F55EB" w:rsidP="00FD0760">
      <w:pPr>
        <w:pStyle w:val="Textonotapie"/>
        <w:rPr>
          <w:rFonts w:ascii="Open Sans" w:hAnsi="Open Sans" w:cs="Open Sans"/>
          <w:sz w:val="18"/>
          <w:szCs w:val="18"/>
          <w:lang w:val="ca-ES"/>
        </w:rPr>
      </w:pPr>
      <w:r w:rsidRPr="00B11C42">
        <w:rPr>
          <w:rStyle w:val="Refdenotaalpie"/>
          <w:rFonts w:ascii="Open Sans" w:hAnsi="Open Sans" w:cs="Open Sans"/>
          <w:sz w:val="18"/>
          <w:szCs w:val="18"/>
        </w:rPr>
        <w:footnoteRef/>
      </w:r>
      <w:r w:rsidRPr="00B11C42">
        <w:rPr>
          <w:rFonts w:ascii="Open Sans" w:hAnsi="Open Sans" w:cs="Open Sans"/>
          <w:sz w:val="18"/>
          <w:szCs w:val="18"/>
        </w:rPr>
        <w:t xml:space="preserve"> </w:t>
      </w:r>
      <w:hyperlink r:id="rId45" w:history="1">
        <w:r w:rsidRPr="00B11C42">
          <w:rPr>
            <w:rStyle w:val="Hipervnculo"/>
            <w:rFonts w:ascii="Open Sans" w:hAnsi="Open Sans" w:cs="Open Sans"/>
            <w:sz w:val="18"/>
            <w:szCs w:val="18"/>
          </w:rPr>
          <w:t>http://www.elconfidencial.com/economia/papeles-panama/2016-04-05/panama-papers-mossack-fonseca-santander-bbva-sabadell-clientes-cuentas_1178459/</w:t>
        </w:r>
      </w:hyperlink>
      <w:r w:rsidRPr="00B11C42">
        <w:rPr>
          <w:rFonts w:ascii="Open Sans" w:hAnsi="Open Sans" w:cs="Open Sans"/>
          <w:sz w:val="18"/>
          <w:szCs w:val="18"/>
        </w:rPr>
        <w:t xml:space="preserve"> </w:t>
      </w:r>
    </w:p>
  </w:footnote>
  <w:footnote w:id="54">
    <w:p w14:paraId="4E6AD1BF" w14:textId="77777777" w:rsidR="007F55EB" w:rsidRPr="00B11C42" w:rsidRDefault="007F55EB" w:rsidP="00FD0760">
      <w:pPr>
        <w:pStyle w:val="Textonotapie"/>
        <w:rPr>
          <w:rFonts w:ascii="Open Sans" w:hAnsi="Open Sans"/>
          <w:sz w:val="18"/>
          <w:szCs w:val="18"/>
          <w:lang w:val="ca-ES"/>
        </w:rPr>
      </w:pPr>
      <w:r w:rsidRPr="00B11C42">
        <w:rPr>
          <w:rStyle w:val="Refdenotaalpie"/>
          <w:rFonts w:ascii="Open Sans" w:hAnsi="Open Sans"/>
          <w:sz w:val="18"/>
          <w:szCs w:val="18"/>
        </w:rPr>
        <w:footnoteRef/>
      </w:r>
      <w:r w:rsidRPr="00B11C42">
        <w:rPr>
          <w:rFonts w:ascii="Open Sans" w:hAnsi="Open Sans"/>
          <w:sz w:val="18"/>
          <w:szCs w:val="18"/>
          <w:lang w:val="ca-ES"/>
        </w:rPr>
        <w:t xml:space="preserve"> </w:t>
      </w:r>
      <w:hyperlink r:id="rId46" w:history="1">
        <w:r w:rsidRPr="00B11C42">
          <w:rPr>
            <w:rStyle w:val="Hipervnculo"/>
            <w:rFonts w:ascii="Open Sans" w:hAnsi="Open Sans" w:cs="Open Sans"/>
            <w:sz w:val="18"/>
            <w:szCs w:val="18"/>
            <w:lang w:val="ca-ES"/>
          </w:rPr>
          <w:t>http://www.elconfidencial.com/economia/papeles-panama/2016-04-11/papeles-panama-papers-ministro-soria-offshore-hermano_1179326/</w:t>
        </w:r>
      </w:hyperlink>
      <w:r w:rsidRPr="00B11C42">
        <w:rPr>
          <w:rFonts w:ascii="Open Sans" w:hAnsi="Open Sans"/>
          <w:sz w:val="18"/>
          <w:szCs w:val="18"/>
          <w:lang w:val="ca-ES"/>
        </w:rPr>
        <w:t xml:space="preserve"> </w:t>
      </w:r>
    </w:p>
  </w:footnote>
  <w:footnote w:id="55">
    <w:p w14:paraId="72FD7E20" w14:textId="77777777" w:rsidR="007F55EB" w:rsidRPr="00B11C42" w:rsidRDefault="007F55EB" w:rsidP="00FD0760">
      <w:pPr>
        <w:pStyle w:val="Textonotapie"/>
        <w:rPr>
          <w:rFonts w:ascii="Open Sans" w:hAnsi="Open Sans"/>
          <w:sz w:val="18"/>
          <w:szCs w:val="18"/>
          <w:lang w:val="ca-ES"/>
        </w:rPr>
      </w:pPr>
      <w:r w:rsidRPr="00B11C42">
        <w:rPr>
          <w:rStyle w:val="Refdenotaalpie"/>
          <w:rFonts w:ascii="Open Sans" w:hAnsi="Open Sans"/>
          <w:sz w:val="18"/>
          <w:szCs w:val="18"/>
        </w:rPr>
        <w:footnoteRef/>
      </w:r>
      <w:r w:rsidRPr="00B11C42">
        <w:rPr>
          <w:rFonts w:ascii="Open Sans" w:hAnsi="Open Sans"/>
          <w:sz w:val="18"/>
          <w:szCs w:val="18"/>
          <w:lang w:val="ca-ES"/>
        </w:rPr>
        <w:t xml:space="preserve"> </w:t>
      </w:r>
      <w:hyperlink r:id="rId47" w:history="1">
        <w:r w:rsidRPr="00B11C42">
          <w:rPr>
            <w:rStyle w:val="Hipervnculo"/>
            <w:rFonts w:ascii="Open Sans" w:hAnsi="Open Sans" w:cs="Open Sans"/>
            <w:sz w:val="18"/>
            <w:szCs w:val="18"/>
            <w:lang w:val="ca-ES"/>
          </w:rPr>
          <w:t>http://www.eldiario.es/economia/caso-BBV-Privanza-acabo_0_505350505.html</w:t>
        </w:r>
      </w:hyperlink>
      <w:r w:rsidRPr="00B11C42">
        <w:rPr>
          <w:rFonts w:ascii="Open Sans" w:hAnsi="Open Sans"/>
          <w:sz w:val="18"/>
          <w:szCs w:val="18"/>
          <w:lang w:val="ca-ES"/>
        </w:rPr>
        <w:t xml:space="preserve"> </w:t>
      </w:r>
    </w:p>
  </w:footnote>
  <w:footnote w:id="56">
    <w:p w14:paraId="08583855" w14:textId="77777777" w:rsidR="007F55EB" w:rsidRPr="005933E5" w:rsidRDefault="007F55EB" w:rsidP="00870D3F">
      <w:pPr>
        <w:pStyle w:val="Textonotapie"/>
        <w:rPr>
          <w:rFonts w:ascii="Open Sans" w:hAnsi="Open Sans"/>
          <w:sz w:val="18"/>
          <w:szCs w:val="18"/>
          <w:lang w:val="ca-ES"/>
        </w:rPr>
      </w:pPr>
      <w:r w:rsidRPr="00B11C42">
        <w:rPr>
          <w:rStyle w:val="Refdenotaalpie"/>
          <w:rFonts w:ascii="Open Sans" w:hAnsi="Open Sans"/>
          <w:sz w:val="18"/>
          <w:szCs w:val="18"/>
        </w:rPr>
        <w:footnoteRef/>
      </w:r>
      <w:r w:rsidRPr="005933E5">
        <w:rPr>
          <w:rFonts w:ascii="Open Sans" w:hAnsi="Open Sans"/>
          <w:sz w:val="18"/>
          <w:szCs w:val="18"/>
          <w:lang w:val="ca-ES"/>
        </w:rPr>
        <w:t xml:space="preserve"> </w:t>
      </w:r>
      <w:hyperlink r:id="rId48" w:history="1">
        <w:r w:rsidRPr="005933E5">
          <w:rPr>
            <w:rStyle w:val="Hipervnculo"/>
            <w:rFonts w:ascii="Open Sans" w:hAnsi="Open Sans"/>
            <w:sz w:val="18"/>
            <w:szCs w:val="18"/>
            <w:lang w:val="ca-ES"/>
          </w:rPr>
          <w:t>http://www.elconfidencial.com/espana/2016-06-04/lista-falciani-salpica-santander-an-investiga-blanqueo-fondos-hsbc_1211513/</w:t>
        </w:r>
      </w:hyperlink>
    </w:p>
    <w:p w14:paraId="316BCA07" w14:textId="667E42EF" w:rsidR="007F55EB" w:rsidRPr="005933E5" w:rsidRDefault="007F55EB" w:rsidP="00870D3F">
      <w:pPr>
        <w:pStyle w:val="Textonotapie"/>
        <w:rPr>
          <w:rFonts w:ascii="Open Sans" w:hAnsi="Open Sans"/>
          <w:sz w:val="18"/>
          <w:szCs w:val="18"/>
          <w:lang w:val="ca-ES"/>
        </w:rPr>
      </w:pPr>
      <w:hyperlink r:id="rId49" w:history="1">
        <w:r w:rsidRPr="005933E5">
          <w:rPr>
            <w:rStyle w:val="Hipervnculo"/>
            <w:rFonts w:ascii="Open Sans" w:hAnsi="Open Sans"/>
            <w:sz w:val="18"/>
            <w:szCs w:val="18"/>
            <w:lang w:val="ca-ES"/>
          </w:rPr>
          <w:t>http://www.elconfidencial.com/empresas/2016-06-03/banco-santander-registro-hsbc-blanqueo-dinero_1211006/</w:t>
        </w:r>
      </w:hyperlink>
    </w:p>
  </w:footnote>
  <w:footnote w:id="57">
    <w:p w14:paraId="786FD3EC" w14:textId="14DAA890" w:rsidR="007F55EB" w:rsidRPr="005933E5" w:rsidRDefault="007F55EB" w:rsidP="00870D3F">
      <w:pPr>
        <w:pStyle w:val="Textonotapie"/>
        <w:rPr>
          <w:lang w:val="ca-ES"/>
        </w:rPr>
      </w:pPr>
      <w:r w:rsidRPr="00B11C42">
        <w:rPr>
          <w:rStyle w:val="Refdenotaalpie"/>
          <w:rFonts w:ascii="Open Sans" w:hAnsi="Open Sans"/>
          <w:sz w:val="18"/>
          <w:szCs w:val="18"/>
        </w:rPr>
        <w:footnoteRef/>
      </w:r>
      <w:r w:rsidRPr="005933E5">
        <w:rPr>
          <w:rFonts w:ascii="Open Sans" w:hAnsi="Open Sans"/>
          <w:sz w:val="18"/>
          <w:szCs w:val="18"/>
          <w:lang w:val="ca-ES"/>
        </w:rPr>
        <w:t xml:space="preserve"> </w:t>
      </w:r>
      <w:hyperlink r:id="rId50" w:history="1">
        <w:r w:rsidRPr="005933E5">
          <w:rPr>
            <w:rStyle w:val="Hipervnculo"/>
            <w:rFonts w:ascii="Open Sans" w:hAnsi="Open Sans"/>
            <w:sz w:val="18"/>
            <w:szCs w:val="18"/>
            <w:lang w:val="ca-ES"/>
          </w:rPr>
          <w:t>http://www.elconfidencial.com/empresas/2016-09-22/banco-santander-sociedades-bahamas-botin_1263600/</w:t>
        </w:r>
      </w:hyperlink>
    </w:p>
  </w:footnote>
  <w:footnote w:id="58">
    <w:p w14:paraId="01DC877E" w14:textId="77777777" w:rsidR="007F55EB" w:rsidRPr="007A63BA" w:rsidRDefault="007F55EB" w:rsidP="00FD0760">
      <w:pPr>
        <w:pStyle w:val="Textonotapie"/>
        <w:rPr>
          <w:rFonts w:ascii="Open Sans" w:hAnsi="Open Sans"/>
          <w:sz w:val="18"/>
          <w:szCs w:val="18"/>
          <w:lang w:val="ca-ES"/>
        </w:rPr>
      </w:pPr>
      <w:r w:rsidRPr="007A63BA">
        <w:rPr>
          <w:rStyle w:val="Refdenotaalpie"/>
          <w:rFonts w:ascii="Open Sans" w:hAnsi="Open Sans"/>
          <w:sz w:val="18"/>
          <w:szCs w:val="18"/>
        </w:rPr>
        <w:footnoteRef/>
      </w:r>
      <w:r w:rsidRPr="00F7530E">
        <w:rPr>
          <w:rFonts w:ascii="Open Sans" w:hAnsi="Open Sans" w:cs="Open Sans"/>
          <w:sz w:val="18"/>
          <w:szCs w:val="18"/>
          <w:lang w:val="ca-ES"/>
        </w:rPr>
        <w:t xml:space="preserve"> </w:t>
      </w:r>
      <w:hyperlink r:id="rId51" w:history="1">
        <w:r w:rsidRPr="00F7530E">
          <w:rPr>
            <w:rStyle w:val="Hipervnculo"/>
            <w:rFonts w:ascii="Open Sans" w:hAnsi="Open Sans" w:cs="Open Sans"/>
            <w:sz w:val="18"/>
            <w:szCs w:val="18"/>
            <w:lang w:val="ca-ES"/>
          </w:rPr>
          <w:t>http://ctxt.es/es/20160914/Politica/8453/Preferentes-estafa-paraiso-fiscal-banca-crisis.htm</w:t>
        </w:r>
      </w:hyperlink>
      <w:r w:rsidRPr="00F7530E">
        <w:rPr>
          <w:rFonts w:ascii="Open Sans" w:hAnsi="Open Sans"/>
          <w:sz w:val="18"/>
          <w:szCs w:val="18"/>
          <w:lang w:val="ca-ES"/>
        </w:rPr>
        <w:t xml:space="preserve"> </w:t>
      </w:r>
    </w:p>
  </w:footnote>
  <w:footnote w:id="59">
    <w:p w14:paraId="0446959D" w14:textId="77777777" w:rsidR="007F55EB" w:rsidRPr="007A63BA" w:rsidRDefault="007F55EB" w:rsidP="00FD0760">
      <w:pPr>
        <w:pStyle w:val="Textonotapie"/>
        <w:rPr>
          <w:rFonts w:ascii="Open Sans" w:hAnsi="Open Sans"/>
          <w:sz w:val="18"/>
          <w:szCs w:val="18"/>
        </w:rPr>
      </w:pPr>
      <w:r w:rsidRPr="007A63BA">
        <w:rPr>
          <w:rStyle w:val="Refdenotaalpie"/>
          <w:rFonts w:ascii="Open Sans" w:hAnsi="Open Sans"/>
          <w:sz w:val="18"/>
          <w:szCs w:val="18"/>
        </w:rPr>
        <w:footnoteRef/>
      </w:r>
      <w:r w:rsidRPr="007A63BA">
        <w:rPr>
          <w:rFonts w:ascii="Open Sans" w:hAnsi="Open Sans"/>
          <w:sz w:val="18"/>
          <w:szCs w:val="18"/>
        </w:rPr>
        <w:t xml:space="preserve"> </w:t>
      </w:r>
      <w:r w:rsidRPr="007A63BA">
        <w:rPr>
          <w:rFonts w:ascii="Open Sans" w:hAnsi="Open Sans" w:cs="Open Sans"/>
          <w:sz w:val="18"/>
          <w:szCs w:val="18"/>
        </w:rPr>
        <w:t>Cuentas anuales consolidadas 2015. Página 95.</w:t>
      </w:r>
    </w:p>
  </w:footnote>
  <w:footnote w:id="60">
    <w:p w14:paraId="7A48F9A4" w14:textId="22827E14" w:rsidR="007F55EB" w:rsidRPr="007A63BA" w:rsidRDefault="007F55EB" w:rsidP="00FD0760">
      <w:pPr>
        <w:pStyle w:val="Textonotapie"/>
        <w:rPr>
          <w:rFonts w:ascii="Open Sans" w:hAnsi="Open Sans"/>
          <w:sz w:val="18"/>
          <w:szCs w:val="18"/>
        </w:rPr>
      </w:pPr>
      <w:r w:rsidRPr="007A63BA">
        <w:rPr>
          <w:rStyle w:val="Refdenotaalpie"/>
          <w:rFonts w:ascii="Open Sans" w:hAnsi="Open Sans"/>
          <w:sz w:val="18"/>
          <w:szCs w:val="18"/>
        </w:rPr>
        <w:footnoteRef/>
      </w:r>
      <w:r w:rsidRPr="007A63BA">
        <w:rPr>
          <w:rFonts w:ascii="Open Sans" w:hAnsi="Open Sans"/>
          <w:sz w:val="18"/>
          <w:szCs w:val="18"/>
        </w:rPr>
        <w:t xml:space="preserve"> </w:t>
      </w:r>
      <w:hyperlink r:id="rId52" w:history="1">
        <w:r w:rsidRPr="007A63BA">
          <w:rPr>
            <w:rStyle w:val="Hipervnculo"/>
            <w:rFonts w:ascii="Open Sans" w:hAnsi="Open Sans"/>
            <w:sz w:val="18"/>
            <w:szCs w:val="18"/>
          </w:rPr>
          <w:t>http://www.elconfidencial.com/empresas/2014-12-14/no-es-solo-pwc-deloitte-e-y-y-kpmg-tambien-ayudan-a-las-empresas-a-eludir-impuestos_589746/</w:t>
        </w:r>
      </w:hyperlink>
    </w:p>
  </w:footnote>
  <w:footnote w:id="61">
    <w:p w14:paraId="33E7F7C5" w14:textId="032B8974" w:rsidR="007F55EB" w:rsidRPr="007A63BA" w:rsidRDefault="007F55EB" w:rsidP="00FD0760">
      <w:pPr>
        <w:pStyle w:val="Textonotapie"/>
        <w:rPr>
          <w:rFonts w:ascii="Open Sans" w:hAnsi="Open Sans"/>
          <w:sz w:val="18"/>
          <w:szCs w:val="18"/>
        </w:rPr>
      </w:pPr>
      <w:r w:rsidRPr="007A63BA">
        <w:rPr>
          <w:rStyle w:val="Refdenotaalpie"/>
          <w:rFonts w:ascii="Open Sans" w:hAnsi="Open Sans"/>
          <w:sz w:val="18"/>
          <w:szCs w:val="18"/>
        </w:rPr>
        <w:footnoteRef/>
      </w:r>
      <w:r w:rsidRPr="007A63BA">
        <w:rPr>
          <w:rFonts w:ascii="Open Sans" w:hAnsi="Open Sans"/>
          <w:sz w:val="18"/>
          <w:szCs w:val="18"/>
        </w:rPr>
        <w:t xml:space="preserve"> </w:t>
      </w:r>
      <w:hyperlink r:id="rId53" w:history="1">
        <w:r w:rsidRPr="007A63BA">
          <w:rPr>
            <w:rStyle w:val="Hipervnculo"/>
            <w:rFonts w:ascii="Open Sans" w:hAnsi="Open Sans"/>
            <w:sz w:val="18"/>
            <w:szCs w:val="18"/>
          </w:rPr>
          <w:t>http://www.elconfidencial.com/empresas/2014-12-14/no-es-solo-pwc-deloitte-e-y-y-kpmg-tambien-ayudan-a-las-empresas-a-eludir-impuestos_589746/</w:t>
        </w:r>
      </w:hyperlink>
    </w:p>
  </w:footnote>
  <w:footnote w:id="62">
    <w:p w14:paraId="651914EF" w14:textId="77777777" w:rsidR="007F55EB" w:rsidRPr="007A63BA" w:rsidRDefault="007F55EB" w:rsidP="00FD0760">
      <w:pPr>
        <w:pStyle w:val="Textonotapie"/>
        <w:rPr>
          <w:rFonts w:ascii="Open Sans" w:hAnsi="Open Sans"/>
          <w:sz w:val="18"/>
          <w:szCs w:val="18"/>
        </w:rPr>
      </w:pPr>
      <w:r w:rsidRPr="007A63BA">
        <w:rPr>
          <w:rStyle w:val="Refdenotaalpie"/>
          <w:rFonts w:ascii="Open Sans" w:hAnsi="Open Sans"/>
          <w:sz w:val="18"/>
          <w:szCs w:val="18"/>
        </w:rPr>
        <w:footnoteRef/>
      </w:r>
      <w:r w:rsidRPr="007A63BA">
        <w:rPr>
          <w:rFonts w:ascii="Open Sans" w:hAnsi="Open Sans"/>
          <w:sz w:val="18"/>
          <w:szCs w:val="18"/>
        </w:rPr>
        <w:t xml:space="preserve"> </w:t>
      </w:r>
      <w:hyperlink r:id="rId54" w:history="1">
        <w:r w:rsidRPr="007A63BA">
          <w:rPr>
            <w:rStyle w:val="Hipervnculo"/>
            <w:rFonts w:ascii="Open Sans" w:hAnsi="Open Sans"/>
            <w:sz w:val="18"/>
            <w:szCs w:val="18"/>
          </w:rPr>
          <w:t>http://www.elmundo.es/economia/2016/05/19/573dab66268e3e8c598b45fe.html</w:t>
        </w:r>
      </w:hyperlink>
    </w:p>
    <w:p w14:paraId="088CDE84" w14:textId="3844E5DB" w:rsidR="007F55EB" w:rsidRPr="007A63BA" w:rsidRDefault="007F55EB" w:rsidP="00FD0760">
      <w:pPr>
        <w:pStyle w:val="Textonotapie"/>
        <w:rPr>
          <w:rFonts w:ascii="Open Sans" w:hAnsi="Open Sans"/>
          <w:sz w:val="18"/>
          <w:szCs w:val="18"/>
        </w:rPr>
      </w:pPr>
      <w:hyperlink r:id="rId55" w:history="1">
        <w:r w:rsidRPr="007A63BA">
          <w:rPr>
            <w:rStyle w:val="Hipervnculo"/>
            <w:rFonts w:ascii="Open Sans" w:hAnsi="Open Sans"/>
            <w:sz w:val="18"/>
            <w:szCs w:val="18"/>
          </w:rPr>
          <w:t>http://www.elconfidencial.com/empresas/2013-09-08/cuanto-ha-costado-de-verdad-el-rescate-de-la-banca-100-000-millones-de-euros_25562/</w:t>
        </w:r>
      </w:hyperlink>
    </w:p>
  </w:footnote>
  <w:footnote w:id="63">
    <w:p w14:paraId="1F4120D5" w14:textId="77777777" w:rsidR="007F55EB" w:rsidRPr="007A63BA" w:rsidRDefault="007F55EB" w:rsidP="00FD0760">
      <w:pPr>
        <w:pStyle w:val="Textonotapie"/>
        <w:rPr>
          <w:rFonts w:ascii="Open Sans" w:hAnsi="Open Sans"/>
          <w:sz w:val="18"/>
          <w:szCs w:val="18"/>
        </w:rPr>
      </w:pPr>
      <w:r w:rsidRPr="007A63BA">
        <w:rPr>
          <w:rStyle w:val="Refdenotaalpie"/>
          <w:rFonts w:ascii="Open Sans" w:hAnsi="Open Sans"/>
          <w:sz w:val="18"/>
          <w:szCs w:val="18"/>
        </w:rPr>
        <w:footnoteRef/>
      </w:r>
      <w:r w:rsidRPr="007A63BA">
        <w:rPr>
          <w:rFonts w:ascii="Open Sans" w:hAnsi="Open Sans"/>
          <w:sz w:val="18"/>
          <w:szCs w:val="18"/>
        </w:rPr>
        <w:t xml:space="preserve"> </w:t>
      </w:r>
      <w:hyperlink r:id="rId56" w:history="1">
        <w:r w:rsidRPr="007A63BA">
          <w:rPr>
            <w:rStyle w:val="Hipervnculo"/>
            <w:rFonts w:ascii="Open Sans" w:hAnsi="Open Sans"/>
            <w:sz w:val="18"/>
            <w:szCs w:val="18"/>
          </w:rPr>
          <w:t>http://www.elconfidencial.com/empresas/2014-12-14/no-es-solo-pwc-deloitte-e-y-y-kpmg-tambien-ayudan-a-las-empresas-a-eludir-impuestos_589746/</w:t>
        </w:r>
      </w:hyperlink>
    </w:p>
    <w:p w14:paraId="6FD85120" w14:textId="4632DDAC" w:rsidR="007F55EB" w:rsidRDefault="007F55EB" w:rsidP="00FD0760">
      <w:pPr>
        <w:pStyle w:val="Textonotapie"/>
      </w:pPr>
      <w:hyperlink r:id="rId57" w:history="1">
        <w:r w:rsidRPr="007A63BA">
          <w:rPr>
            <w:rStyle w:val="Hipervnculo"/>
            <w:rFonts w:ascii="Open Sans" w:hAnsi="Open Sans"/>
            <w:sz w:val="18"/>
            <w:szCs w:val="18"/>
          </w:rPr>
          <w:t>http://www.cbc.ca/news/business/kpmg-documents-insider-1.3615582</w:t>
        </w:r>
      </w:hyperlink>
    </w:p>
  </w:footnote>
  <w:footnote w:id="64">
    <w:p w14:paraId="33ABEA28" w14:textId="77777777" w:rsidR="007F55EB" w:rsidRPr="002324A0" w:rsidRDefault="007F55EB" w:rsidP="007A63BA">
      <w:pPr>
        <w:pStyle w:val="Textonotapie"/>
        <w:rPr>
          <w:rFonts w:ascii="Open Sans" w:hAnsi="Open Sans"/>
          <w:sz w:val="18"/>
          <w:szCs w:val="18"/>
        </w:rPr>
      </w:pPr>
      <w:r w:rsidRPr="002324A0">
        <w:rPr>
          <w:rStyle w:val="Refdenotaalpie"/>
          <w:rFonts w:ascii="Open Sans" w:hAnsi="Open Sans"/>
          <w:sz w:val="18"/>
          <w:szCs w:val="18"/>
        </w:rPr>
        <w:footnoteRef/>
      </w:r>
      <w:r w:rsidRPr="002324A0">
        <w:rPr>
          <w:rFonts w:ascii="Open Sans" w:hAnsi="Open Sans"/>
          <w:sz w:val="18"/>
          <w:szCs w:val="18"/>
        </w:rPr>
        <w:t xml:space="preserve"> Memoria Anual 2015, pág. 270</w:t>
      </w:r>
    </w:p>
  </w:footnote>
  <w:footnote w:id="65">
    <w:p w14:paraId="1CE26569" w14:textId="77777777" w:rsidR="007F55EB" w:rsidRPr="006022CB" w:rsidRDefault="007F55EB" w:rsidP="008846F4">
      <w:pPr>
        <w:pStyle w:val="Textonotapie"/>
        <w:rPr>
          <w:rFonts w:ascii="Open Sans" w:hAnsi="Open Sans" w:cs="Open Sans"/>
          <w:b/>
          <w:bC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58" w:history="1">
        <w:r w:rsidRPr="006022CB">
          <w:rPr>
            <w:rStyle w:val="Hipervnculo"/>
            <w:rFonts w:ascii="Open Sans" w:hAnsi="Open Sans" w:cs="Open Sans"/>
            <w:bCs/>
            <w:sz w:val="18"/>
            <w:szCs w:val="18"/>
            <w:lang w:val="es-ES_tradnl"/>
          </w:rPr>
          <w:t>Multinacionales y Hacienda pactan más transparencia para evitar conflictos</w:t>
        </w:r>
      </w:hyperlink>
    </w:p>
  </w:footnote>
  <w:footnote w:id="66">
    <w:p w14:paraId="0B48B1AB" w14:textId="77777777" w:rsidR="007F55EB" w:rsidRPr="001A77FC" w:rsidRDefault="007F55EB" w:rsidP="002324A0">
      <w:pPr>
        <w:pStyle w:val="Textonotapie"/>
        <w:rPr>
          <w:rFonts w:ascii="Open Sans" w:hAnsi="Open Sans"/>
          <w:sz w:val="18"/>
          <w:szCs w:val="18"/>
          <w:lang w:val="es-ES_tradnl"/>
        </w:rPr>
      </w:pPr>
      <w:r w:rsidRPr="001A77FC">
        <w:rPr>
          <w:rStyle w:val="Refdenotaalpie"/>
          <w:rFonts w:ascii="Open Sans" w:hAnsi="Open Sans"/>
          <w:sz w:val="18"/>
          <w:szCs w:val="18"/>
        </w:rPr>
        <w:footnoteRef/>
      </w:r>
      <w:r w:rsidRPr="001A77FC">
        <w:rPr>
          <w:rFonts w:ascii="Open Sans" w:hAnsi="Open Sans"/>
          <w:sz w:val="18"/>
          <w:szCs w:val="18"/>
        </w:rPr>
        <w:t xml:space="preserve"> </w:t>
      </w:r>
      <w:r w:rsidRPr="001A77FC">
        <w:rPr>
          <w:rFonts w:ascii="Open Sans" w:hAnsi="Open Sans"/>
          <w:sz w:val="18"/>
          <w:szCs w:val="18"/>
          <w:lang w:val="es-ES_tradnl"/>
        </w:rPr>
        <w:t>Informe de Responsabilidad Social Corporativa 2015, pág. 9 y Cuentas Anules Consolidadas 2015, pág. 93</w:t>
      </w:r>
    </w:p>
  </w:footnote>
  <w:footnote w:id="67">
    <w:p w14:paraId="753B8582" w14:textId="77777777" w:rsidR="007F55EB" w:rsidRPr="00DC4EDD" w:rsidRDefault="007F55EB" w:rsidP="00DC4EDD">
      <w:pPr>
        <w:pStyle w:val="Textonotapie"/>
        <w:rPr>
          <w:rFonts w:ascii="Open Sans" w:hAnsi="Open Sans"/>
          <w:sz w:val="18"/>
          <w:szCs w:val="18"/>
        </w:rPr>
      </w:pPr>
      <w:r w:rsidRPr="00DC4EDD">
        <w:rPr>
          <w:rStyle w:val="Refdenotaalpie"/>
          <w:rFonts w:ascii="Open Sans" w:hAnsi="Open Sans"/>
          <w:sz w:val="18"/>
          <w:szCs w:val="18"/>
        </w:rPr>
        <w:footnoteRef/>
      </w:r>
      <w:r w:rsidRPr="00DC4EDD">
        <w:rPr>
          <w:rFonts w:ascii="Open Sans" w:hAnsi="Open Sans"/>
          <w:sz w:val="18"/>
          <w:szCs w:val="18"/>
        </w:rPr>
        <w:t xml:space="preserve"> Estrategia fiscal de Enagás, página 1</w:t>
      </w:r>
    </w:p>
  </w:footnote>
  <w:footnote w:id="68">
    <w:p w14:paraId="077DC132" w14:textId="77777777" w:rsidR="007F55EB" w:rsidRPr="00DC4EDD" w:rsidRDefault="007F55EB" w:rsidP="00DC4EDD">
      <w:pPr>
        <w:pStyle w:val="Textonotapie"/>
        <w:rPr>
          <w:rFonts w:ascii="Open Sans" w:hAnsi="Open Sans"/>
          <w:sz w:val="18"/>
          <w:szCs w:val="18"/>
          <w:lang w:val="ca-ES"/>
        </w:rPr>
      </w:pPr>
      <w:r w:rsidRPr="00DC4EDD">
        <w:rPr>
          <w:rStyle w:val="Refdenotaalpie"/>
          <w:rFonts w:ascii="Open Sans" w:hAnsi="Open Sans"/>
          <w:sz w:val="18"/>
          <w:szCs w:val="18"/>
        </w:rPr>
        <w:footnoteRef/>
      </w:r>
      <w:r w:rsidRPr="00DC4EDD">
        <w:rPr>
          <w:rFonts w:ascii="Open Sans" w:hAnsi="Open Sans"/>
          <w:sz w:val="18"/>
          <w:szCs w:val="18"/>
        </w:rPr>
        <w:t xml:space="preserve"> </w:t>
      </w:r>
      <w:r w:rsidRPr="00DC4EDD">
        <w:rPr>
          <w:rFonts w:ascii="Open Sans" w:hAnsi="Open Sans"/>
          <w:sz w:val="18"/>
          <w:szCs w:val="18"/>
          <w:lang w:val="ca-ES"/>
        </w:rPr>
        <w:t>Contribución fiscal global correspondiente al ejercicio 2015. Pg. 8</w:t>
      </w:r>
    </w:p>
  </w:footnote>
  <w:footnote w:id="69">
    <w:p w14:paraId="7E693D1A" w14:textId="77777777" w:rsidR="007F55EB" w:rsidRPr="00DC4EDD" w:rsidRDefault="007F55EB" w:rsidP="00DC4EDD">
      <w:pPr>
        <w:autoSpaceDE w:val="0"/>
        <w:autoSpaceDN w:val="0"/>
        <w:adjustRightInd w:val="0"/>
        <w:jc w:val="both"/>
        <w:rPr>
          <w:rFonts w:ascii="Open Sans" w:hAnsi="Open Sans"/>
          <w:sz w:val="18"/>
          <w:szCs w:val="18"/>
          <w:lang w:val="ca-ES"/>
        </w:rPr>
      </w:pPr>
      <w:r w:rsidRPr="00DC4EDD">
        <w:rPr>
          <w:rStyle w:val="Refdenotaalpie"/>
          <w:rFonts w:ascii="Open Sans" w:hAnsi="Open Sans"/>
          <w:sz w:val="18"/>
          <w:szCs w:val="18"/>
        </w:rPr>
        <w:footnoteRef/>
      </w:r>
      <w:r w:rsidRPr="00DC4EDD">
        <w:rPr>
          <w:rFonts w:ascii="Open Sans" w:hAnsi="Open Sans"/>
          <w:sz w:val="18"/>
          <w:szCs w:val="18"/>
        </w:rPr>
        <w:t xml:space="preserve"> </w:t>
      </w:r>
      <w:r w:rsidRPr="00DC4EDD">
        <w:rPr>
          <w:rFonts w:ascii="Open Sans" w:hAnsi="Open Sans" w:cs="TT1D0t00"/>
          <w:sz w:val="18"/>
          <w:szCs w:val="18"/>
        </w:rPr>
        <w:t>De acuerdo con lo dispuesto en el artículo 89 de la Directiva 2013/36/UE del Parlamento Europeo y del Consejo de 26 de junio de 2013 relativa al acceso a la actividad de las entidades de crédito y a la supervisión prudencial de las entidades de crédito y las empresas de inversión, y su trasposición al ordenamiento jurídico español mediante la Ley 10/2014 de Ordenación, Supervisión y Solvencia de Entidades de Crédito de 26 de junio, se adjunta la información requerida por el artículo 87.1, de la citada norma.</w:t>
      </w:r>
    </w:p>
  </w:footnote>
  <w:footnote w:id="70">
    <w:p w14:paraId="265A1984" w14:textId="77777777" w:rsidR="007F55EB" w:rsidRPr="00DC4EDD" w:rsidRDefault="007F55EB" w:rsidP="00DC4EDD">
      <w:pPr>
        <w:pStyle w:val="Textonotapie"/>
        <w:rPr>
          <w:rFonts w:ascii="Open Sans" w:hAnsi="Open Sans" w:cs="Open Sans"/>
          <w:sz w:val="18"/>
          <w:szCs w:val="18"/>
        </w:rPr>
      </w:pPr>
      <w:r w:rsidRPr="00DC4EDD">
        <w:rPr>
          <w:rStyle w:val="Refdenotaalpie"/>
          <w:rFonts w:ascii="Open Sans" w:hAnsi="Open Sans" w:cs="Open Sans"/>
          <w:sz w:val="18"/>
          <w:szCs w:val="18"/>
        </w:rPr>
        <w:footnoteRef/>
      </w:r>
      <w:r w:rsidRPr="00DC4EDD">
        <w:rPr>
          <w:rFonts w:ascii="Open Sans" w:hAnsi="Open Sans" w:cs="Open Sans"/>
          <w:sz w:val="18"/>
          <w:szCs w:val="18"/>
        </w:rPr>
        <w:t xml:space="preserve"> “Otros” incluye Holanda, Curaçao, Grupo Garanti (parte en Turquía, Rumania, Islas Cayman y Holanda) y CIFH (sociedad china vendida íntegramente en noviembre de 2015</w:t>
      </w:r>
    </w:p>
  </w:footnote>
  <w:footnote w:id="71">
    <w:p w14:paraId="69919539" w14:textId="77777777" w:rsidR="007F55EB" w:rsidRPr="00DC4EDD" w:rsidRDefault="007F55EB" w:rsidP="00DC4EDD">
      <w:pPr>
        <w:rPr>
          <w:rFonts w:ascii="Open Sans" w:hAnsi="Open Sans" w:cs="Open Sans"/>
          <w:sz w:val="18"/>
          <w:szCs w:val="18"/>
        </w:rPr>
      </w:pPr>
      <w:r w:rsidRPr="00DC4EDD">
        <w:rPr>
          <w:rStyle w:val="Refdenotaalpie"/>
          <w:rFonts w:ascii="Open Sans" w:hAnsi="Open Sans" w:cs="Open Sans"/>
          <w:sz w:val="18"/>
          <w:szCs w:val="18"/>
        </w:rPr>
        <w:footnoteRef/>
      </w:r>
      <w:r w:rsidRPr="00DC4EDD">
        <w:rPr>
          <w:rFonts w:ascii="Open Sans" w:hAnsi="Open Sans" w:cs="Open Sans"/>
          <w:sz w:val="18"/>
          <w:szCs w:val="18"/>
        </w:rPr>
        <w:t xml:space="preserve"> </w:t>
      </w:r>
      <w:hyperlink r:id="rId59" w:history="1">
        <w:r w:rsidRPr="00DC4EDD">
          <w:rPr>
            <w:rStyle w:val="Hipervnculo"/>
            <w:rFonts w:ascii="Open Sans" w:hAnsi="Open Sans" w:cs="Open Sans"/>
            <w:sz w:val="18"/>
            <w:szCs w:val="18"/>
          </w:rPr>
          <w:t>Cuentas Anuales Consolidadas, Informe de Gestión e Informe de Auditoría correspondientes al ejercicio anual 2014</w:t>
        </w:r>
      </w:hyperlink>
      <w:r w:rsidRPr="00DC4EDD">
        <w:rPr>
          <w:rFonts w:ascii="Open Sans" w:hAnsi="Open Sans" w:cs="Open Sans"/>
          <w:sz w:val="18"/>
          <w:szCs w:val="18"/>
        </w:rPr>
        <w:t xml:space="preserve"> </w:t>
      </w:r>
    </w:p>
  </w:footnote>
  <w:footnote w:id="72">
    <w:p w14:paraId="1116955C" w14:textId="77777777" w:rsidR="007F55EB" w:rsidRPr="00DC4EDD" w:rsidRDefault="007F55EB" w:rsidP="00DC4EDD">
      <w:pPr>
        <w:pStyle w:val="Textonotapie"/>
        <w:rPr>
          <w:rFonts w:ascii="Open Sans" w:hAnsi="Open Sans"/>
          <w:bCs/>
          <w:sz w:val="18"/>
          <w:szCs w:val="18"/>
          <w:lang w:val="es-ES_tradnl"/>
        </w:rPr>
      </w:pPr>
      <w:r w:rsidRPr="00DC4EDD">
        <w:rPr>
          <w:rStyle w:val="Refdenotaalpie"/>
          <w:rFonts w:ascii="Open Sans" w:hAnsi="Open Sans"/>
          <w:sz w:val="18"/>
          <w:szCs w:val="18"/>
        </w:rPr>
        <w:footnoteRef/>
      </w:r>
      <w:r w:rsidRPr="00DC4EDD">
        <w:rPr>
          <w:rFonts w:ascii="Open Sans" w:hAnsi="Open Sans"/>
          <w:sz w:val="18"/>
          <w:szCs w:val="18"/>
        </w:rPr>
        <w:t xml:space="preserve">  </w:t>
      </w:r>
      <w:hyperlink r:id="rId60" w:history="1">
        <w:r w:rsidRPr="00DC4EDD">
          <w:rPr>
            <w:rStyle w:val="Hipervnculo"/>
            <w:rFonts w:ascii="Open Sans" w:hAnsi="Open Sans"/>
            <w:bCs/>
            <w:sz w:val="18"/>
            <w:szCs w:val="18"/>
            <w:lang w:val="es-ES_tradnl"/>
          </w:rPr>
          <w:t>Inditex suma ya 15 sociedades cartera en las plazas 'off shore' de Amsterdam y Friburgo</w:t>
        </w:r>
      </w:hyperlink>
    </w:p>
  </w:footnote>
  <w:footnote w:id="73">
    <w:p w14:paraId="2A6CA23F" w14:textId="77777777" w:rsidR="007F55EB" w:rsidRPr="000F44D4" w:rsidRDefault="007F55EB" w:rsidP="00DC4EDD">
      <w:pPr>
        <w:pStyle w:val="Textonotapie"/>
        <w:rPr>
          <w:b/>
          <w:bCs/>
          <w:lang w:val="es-ES_tradnl"/>
        </w:rPr>
      </w:pPr>
      <w:r w:rsidRPr="00DC4EDD">
        <w:rPr>
          <w:rStyle w:val="Refdenotaalpie"/>
          <w:rFonts w:ascii="Open Sans" w:hAnsi="Open Sans"/>
          <w:sz w:val="18"/>
          <w:szCs w:val="18"/>
        </w:rPr>
        <w:footnoteRef/>
      </w:r>
      <w:r w:rsidRPr="00DC4EDD">
        <w:rPr>
          <w:rFonts w:ascii="Open Sans" w:hAnsi="Open Sans"/>
          <w:sz w:val="18"/>
          <w:szCs w:val="18"/>
        </w:rPr>
        <w:t xml:space="preserve"> </w:t>
      </w:r>
      <w:hyperlink r:id="rId61" w:history="1">
        <w:r w:rsidRPr="00DC4EDD">
          <w:rPr>
            <w:rStyle w:val="Hipervnculo"/>
            <w:rFonts w:ascii="Open Sans" w:hAnsi="Open Sans"/>
            <w:bCs/>
            <w:sz w:val="18"/>
            <w:szCs w:val="18"/>
            <w:lang w:val="es-ES_tradnl"/>
          </w:rPr>
          <w:t>Los Verdes en la Eurocámara acusan a Inditex de eludir 600 millones en impuestos</w:t>
        </w:r>
      </w:hyperlink>
    </w:p>
  </w:footnote>
  <w:footnote w:id="74">
    <w:p w14:paraId="39876299" w14:textId="75C50983" w:rsidR="007F55EB" w:rsidRPr="004C6AD8" w:rsidRDefault="007F55EB">
      <w:pPr>
        <w:pStyle w:val="Textonotapie"/>
        <w:rPr>
          <w:rFonts w:ascii="Open Sans" w:hAnsi="Open Sans"/>
          <w:sz w:val="18"/>
          <w:szCs w:val="18"/>
        </w:rPr>
      </w:pPr>
      <w:r w:rsidRPr="004C6AD8">
        <w:rPr>
          <w:rStyle w:val="Refdenotaalpie"/>
          <w:rFonts w:ascii="Open Sans" w:hAnsi="Open Sans"/>
          <w:sz w:val="18"/>
          <w:szCs w:val="18"/>
        </w:rPr>
        <w:footnoteRef/>
      </w:r>
      <w:r w:rsidRPr="004C6AD8">
        <w:rPr>
          <w:rFonts w:ascii="Open Sans" w:hAnsi="Open Sans"/>
          <w:sz w:val="18"/>
          <w:szCs w:val="18"/>
        </w:rPr>
        <w:t xml:space="preserve"> </w:t>
      </w:r>
      <w:hyperlink r:id="rId62" w:history="1">
        <w:r w:rsidRPr="004C6AD8">
          <w:rPr>
            <w:rStyle w:val="Hipervnculo"/>
            <w:rFonts w:ascii="Open Sans" w:hAnsi="Open Sans"/>
            <w:sz w:val="18"/>
            <w:szCs w:val="18"/>
          </w:rPr>
          <w:t>http://guiasjuridicas.wolterskluwer.es/Content/Documento.aspx?params=H4sIAAAAAAAEAMtMSbF1jTAAAQsTMyNDtbLUouLM_DxbIwNDYwNzAyOQQGZapUt-ckhlQaptWmJOcSoAzU6exDUAAAA=WKE</w:t>
        </w:r>
      </w:hyperlink>
    </w:p>
  </w:footnote>
  <w:footnote w:id="75">
    <w:p w14:paraId="3712B538" w14:textId="77777777" w:rsidR="007F55EB" w:rsidRPr="009D34FE" w:rsidRDefault="007F55EB" w:rsidP="00F7530E">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r w:rsidRPr="009D34FE">
        <w:rPr>
          <w:rFonts w:ascii="Open Sans" w:hAnsi="Open Sans" w:cs="Open Sans"/>
          <w:sz w:val="18"/>
          <w:szCs w:val="18"/>
        </w:rPr>
        <w:t>Las subvenciones de capital son aquellas que se conceden para adquirir un elemento de inmovilizado o para financiar gastos estructurales derivados del establecimiento de la empresa</w:t>
      </w:r>
    </w:p>
  </w:footnote>
  <w:footnote w:id="76">
    <w:p w14:paraId="63BF0254" w14:textId="77777777" w:rsidR="007F55EB" w:rsidRPr="009D34FE" w:rsidRDefault="007F55EB" w:rsidP="00F7530E">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63" w:history="1">
        <w:r w:rsidRPr="009D34FE">
          <w:rPr>
            <w:rStyle w:val="Hipervnculo"/>
            <w:rFonts w:ascii="Open Sans" w:hAnsi="Open Sans"/>
            <w:sz w:val="18"/>
            <w:szCs w:val="18"/>
          </w:rPr>
          <w:t>http://www.elconfidencial.com/empresas/2015-03-19/florentino-le-echa-un-pulso-al-gobierno-y-pide-el-preconcurso-de-acreedores-del-ave-a-paris_731050/</w:t>
        </w:r>
      </w:hyperlink>
    </w:p>
  </w:footnote>
  <w:footnote w:id="77">
    <w:p w14:paraId="31C93A51" w14:textId="77777777" w:rsidR="007F55EB" w:rsidRPr="009D34FE" w:rsidRDefault="007F55EB" w:rsidP="00F7530E">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64" w:history="1">
        <w:r w:rsidRPr="009D34FE">
          <w:rPr>
            <w:rStyle w:val="Hipervnculo"/>
            <w:rFonts w:ascii="Open Sans" w:hAnsi="Open Sans"/>
            <w:sz w:val="18"/>
            <w:szCs w:val="18"/>
          </w:rPr>
          <w:t>http://www.elconfidencial.com/empresas/2016-05-06/florentino-perez-costes-cierre-castor_1194978/</w:t>
        </w:r>
      </w:hyperlink>
    </w:p>
  </w:footnote>
  <w:footnote w:id="78">
    <w:p w14:paraId="0FCEFB30" w14:textId="77777777" w:rsidR="007F55EB" w:rsidRPr="009D34FE" w:rsidRDefault="007F55EB" w:rsidP="00F7530E">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65" w:history="1">
        <w:r w:rsidRPr="009D34FE">
          <w:rPr>
            <w:rStyle w:val="Hipervnculo"/>
            <w:rFonts w:ascii="Open Sans" w:hAnsi="Open Sans"/>
            <w:sz w:val="18"/>
            <w:szCs w:val="18"/>
          </w:rPr>
          <w:t>http://sabemos.es/2015/09/29/otro-proyecto-castor-murcia-investiga-por-que-florentino-perez-cobrara-600-millones-por-una-desaladora-inactiva_7258/</w:t>
        </w:r>
      </w:hyperlink>
    </w:p>
  </w:footnote>
  <w:footnote w:id="79">
    <w:p w14:paraId="1287180A" w14:textId="77777777" w:rsidR="007F55EB" w:rsidRPr="00F7530E" w:rsidRDefault="007F55EB" w:rsidP="00F7530E">
      <w:pPr>
        <w:pStyle w:val="Textonotapie"/>
        <w:rPr>
          <w:rFonts w:ascii="Open Sans" w:hAnsi="Open Sans" w:cs="Open Sans"/>
          <w:sz w:val="18"/>
          <w:szCs w:val="18"/>
        </w:rPr>
      </w:pPr>
      <w:r w:rsidRPr="00F7530E">
        <w:rPr>
          <w:rStyle w:val="Refdenotaalpie"/>
          <w:rFonts w:ascii="Open Sans" w:hAnsi="Open Sans" w:cs="Open Sans"/>
          <w:sz w:val="18"/>
          <w:szCs w:val="18"/>
        </w:rPr>
        <w:footnoteRef/>
      </w:r>
      <w:r w:rsidRPr="00F7530E">
        <w:rPr>
          <w:rFonts w:ascii="Open Sans" w:hAnsi="Open Sans" w:cs="Open Sans"/>
          <w:sz w:val="18"/>
          <w:szCs w:val="18"/>
        </w:rPr>
        <w:t xml:space="preserve"> Banco de España. 12/6/14. Nota informativa sobre las ayudas financieras públicas en el proceso de recapitalización del sistema bancario español (2009-2013).</w:t>
      </w:r>
    </w:p>
  </w:footnote>
  <w:footnote w:id="80">
    <w:p w14:paraId="63B1E291" w14:textId="77777777" w:rsidR="007F55EB" w:rsidRDefault="007F55EB" w:rsidP="00F7530E">
      <w:pPr>
        <w:pStyle w:val="Textonotapie"/>
      </w:pPr>
      <w:r w:rsidRPr="00C67337">
        <w:rPr>
          <w:rStyle w:val="Refdenotaalpie"/>
          <w:rFonts w:ascii="Open Sans" w:hAnsi="Open Sans"/>
          <w:sz w:val="18"/>
          <w:szCs w:val="18"/>
        </w:rPr>
        <w:footnoteRef/>
      </w:r>
      <w:r w:rsidRPr="00C67337">
        <w:rPr>
          <w:rFonts w:ascii="Open Sans" w:hAnsi="Open Sans"/>
          <w:sz w:val="18"/>
          <w:szCs w:val="18"/>
        </w:rPr>
        <w:t xml:space="preserve"> </w:t>
      </w:r>
      <w:hyperlink r:id="rId66" w:history="1">
        <w:r w:rsidRPr="00C67337">
          <w:rPr>
            <w:rStyle w:val="Hipervnculo"/>
            <w:rFonts w:ascii="Open Sans" w:hAnsi="Open Sans"/>
            <w:sz w:val="18"/>
            <w:szCs w:val="18"/>
          </w:rPr>
          <w:t>http://sabemos.es/2015/06/19/el-rescate-encubierto-a-caixabank-gracias-a-la-compra-de-banco-de-valencia_2983/</w:t>
        </w:r>
      </w:hyperlink>
    </w:p>
  </w:footnote>
  <w:footnote w:id="81">
    <w:p w14:paraId="2911A28A" w14:textId="41A78EAE" w:rsidR="007F55EB" w:rsidRPr="004C6AD8" w:rsidRDefault="007F55EB">
      <w:pPr>
        <w:pStyle w:val="Textonotapie"/>
        <w:rPr>
          <w:rFonts w:ascii="Open Sans" w:hAnsi="Open Sans"/>
          <w:sz w:val="18"/>
          <w:szCs w:val="18"/>
        </w:rPr>
      </w:pPr>
      <w:r w:rsidRPr="004C6AD8">
        <w:rPr>
          <w:rStyle w:val="Refdenotaalpie"/>
          <w:rFonts w:ascii="Open Sans" w:hAnsi="Open Sans"/>
          <w:sz w:val="18"/>
          <w:szCs w:val="18"/>
        </w:rPr>
        <w:footnoteRef/>
      </w:r>
      <w:r w:rsidRPr="004C6AD8">
        <w:rPr>
          <w:rFonts w:ascii="Open Sans" w:hAnsi="Open Sans"/>
          <w:sz w:val="18"/>
          <w:szCs w:val="18"/>
        </w:rPr>
        <w:t xml:space="preserve"> http://economia.elpais.com/economia/2016/03/13/actualidad/1457897488_983933.html</w:t>
      </w:r>
    </w:p>
  </w:footnote>
  <w:footnote w:id="82">
    <w:p w14:paraId="5F9C88C0" w14:textId="2EDFC1CC" w:rsidR="007F55EB" w:rsidRPr="004C6AD8" w:rsidRDefault="007F55EB" w:rsidP="00F7530E">
      <w:pPr>
        <w:pStyle w:val="Textonotapie"/>
        <w:rPr>
          <w:rFonts w:ascii="Open Sans" w:hAnsi="Open Sans" w:cs="Open Sans"/>
          <w:sz w:val="18"/>
          <w:szCs w:val="18"/>
        </w:rPr>
      </w:pPr>
      <w:r w:rsidRPr="004C6AD8">
        <w:rPr>
          <w:rStyle w:val="Refdenotaalpie"/>
          <w:rFonts w:ascii="Open Sans" w:hAnsi="Open Sans" w:cs="Open Sans"/>
          <w:sz w:val="18"/>
          <w:szCs w:val="18"/>
        </w:rPr>
        <w:footnoteRef/>
      </w:r>
      <w:r w:rsidRPr="004C6AD8">
        <w:rPr>
          <w:rFonts w:ascii="Open Sans" w:hAnsi="Open Sans" w:cs="Open Sans"/>
          <w:sz w:val="18"/>
          <w:szCs w:val="18"/>
        </w:rPr>
        <w:t xml:space="preserve"> </w:t>
      </w:r>
      <w:hyperlink r:id="rId67" w:history="1">
        <w:r w:rsidRPr="004C6AD8">
          <w:rPr>
            <w:rStyle w:val="Hipervnculo"/>
            <w:rFonts w:ascii="Open Sans" w:hAnsi="Open Sans" w:cs="Open Sans"/>
            <w:sz w:val="18"/>
            <w:szCs w:val="18"/>
          </w:rPr>
          <w:t>http://www.ara.cat/2015/03/05/1315148474.pdf?hash=4feddfc88194459d57d425cbd45e41b60a3a8e98</w:t>
        </w:r>
      </w:hyperlink>
    </w:p>
  </w:footnote>
  <w:footnote w:id="83">
    <w:p w14:paraId="13371C92" w14:textId="77777777" w:rsidR="007F55EB" w:rsidRPr="004C6AD8" w:rsidRDefault="007F55EB" w:rsidP="00F7530E">
      <w:pPr>
        <w:pStyle w:val="Textonotapie"/>
        <w:rPr>
          <w:rFonts w:ascii="Open Sans" w:hAnsi="Open Sans" w:cs="Open Sans"/>
          <w:sz w:val="18"/>
          <w:szCs w:val="18"/>
        </w:rPr>
      </w:pPr>
      <w:r w:rsidRPr="004C6AD8">
        <w:rPr>
          <w:rStyle w:val="Refdenotaalpie"/>
          <w:rFonts w:ascii="Open Sans" w:hAnsi="Open Sans" w:cs="Open Sans"/>
          <w:sz w:val="18"/>
          <w:szCs w:val="18"/>
        </w:rPr>
        <w:footnoteRef/>
      </w:r>
      <w:r w:rsidRPr="004C6AD8">
        <w:rPr>
          <w:rFonts w:ascii="Open Sans" w:hAnsi="Open Sans" w:cs="Open Sans"/>
          <w:sz w:val="18"/>
          <w:szCs w:val="18"/>
        </w:rPr>
        <w:t xml:space="preserve"> </w:t>
      </w:r>
      <w:hyperlink r:id="rId68" w:history="1">
        <w:r w:rsidRPr="004C6AD8">
          <w:rPr>
            <w:rStyle w:val="Hipervnculo"/>
            <w:rFonts w:ascii="Open Sans" w:hAnsi="Open Sans" w:cs="Open Sans"/>
            <w:sz w:val="18"/>
            <w:szCs w:val="18"/>
          </w:rPr>
          <w:t>http://www.abc.es/economia/20150411/abci-creditos-fiscales-201504102155.html</w:t>
        </w:r>
      </w:hyperlink>
    </w:p>
    <w:p w14:paraId="444FD951" w14:textId="77777777" w:rsidR="007F55EB" w:rsidRPr="004C6AD8" w:rsidRDefault="007F55EB" w:rsidP="00F7530E">
      <w:pPr>
        <w:pStyle w:val="Textonotapie"/>
        <w:rPr>
          <w:rFonts w:ascii="Open Sans" w:hAnsi="Open Sans" w:cs="Open Sans"/>
          <w:sz w:val="18"/>
          <w:szCs w:val="18"/>
        </w:rPr>
      </w:pPr>
      <w:r w:rsidRPr="004C6AD8">
        <w:rPr>
          <w:rFonts w:ascii="Open Sans" w:hAnsi="Open Sans" w:cs="Open Sans"/>
          <w:sz w:val="18"/>
          <w:szCs w:val="18"/>
        </w:rPr>
        <w:t>http://www.abc.es/economia/20150407/abci-garantias-banca-espanola-201504071404.html</w:t>
      </w:r>
    </w:p>
  </w:footnote>
  <w:footnote w:id="84">
    <w:p w14:paraId="4650CED1" w14:textId="77777777" w:rsidR="007F55EB" w:rsidRPr="004C6AD8" w:rsidRDefault="007F55EB" w:rsidP="00F7530E">
      <w:pPr>
        <w:pStyle w:val="Textonotapie"/>
        <w:rPr>
          <w:rFonts w:ascii="Open Sans" w:hAnsi="Open Sans" w:cs="Open Sans"/>
          <w:sz w:val="18"/>
          <w:szCs w:val="18"/>
        </w:rPr>
      </w:pPr>
      <w:r w:rsidRPr="004C6AD8">
        <w:rPr>
          <w:rStyle w:val="Refdenotaalpie"/>
          <w:rFonts w:ascii="Open Sans" w:hAnsi="Open Sans" w:cs="Open Sans"/>
          <w:sz w:val="18"/>
          <w:szCs w:val="18"/>
        </w:rPr>
        <w:footnoteRef/>
      </w:r>
      <w:r w:rsidRPr="004C6AD8">
        <w:rPr>
          <w:rFonts w:ascii="Open Sans" w:hAnsi="Open Sans" w:cs="Open Sans"/>
          <w:sz w:val="18"/>
          <w:szCs w:val="18"/>
        </w:rPr>
        <w:t xml:space="preserve"> En relación a este contencioso ver las siguientes noticias :</w:t>
      </w:r>
    </w:p>
    <w:p w14:paraId="251B1253" w14:textId="3C99FF93" w:rsidR="007F55EB" w:rsidRPr="004C6AD8" w:rsidRDefault="007F55EB" w:rsidP="00F7530E">
      <w:pPr>
        <w:pStyle w:val="Textonotapie"/>
        <w:rPr>
          <w:rFonts w:ascii="Open Sans" w:hAnsi="Open Sans" w:cs="Open Sans"/>
          <w:sz w:val="18"/>
          <w:szCs w:val="18"/>
        </w:rPr>
      </w:pPr>
      <w:hyperlink r:id="rId69" w:history="1">
        <w:r w:rsidRPr="004C6AD8">
          <w:rPr>
            <w:rStyle w:val="Hipervnculo"/>
            <w:rFonts w:ascii="Open Sans" w:hAnsi="Open Sans" w:cs="Open Sans"/>
            <w:sz w:val="18"/>
            <w:szCs w:val="18"/>
          </w:rPr>
          <w:t>Bruselas exige a España que recupere bonificaciones millonarias a empresas tras un fallo europeo</w:t>
        </w:r>
      </w:hyperlink>
    </w:p>
    <w:p w14:paraId="405C0D9A" w14:textId="7AEE7F25" w:rsidR="007F55EB" w:rsidRPr="004C6AD8" w:rsidRDefault="007F55EB" w:rsidP="00F7530E">
      <w:pPr>
        <w:pStyle w:val="Textonotapie"/>
        <w:rPr>
          <w:rFonts w:ascii="Open Sans" w:hAnsi="Open Sans" w:cs="Open Sans"/>
          <w:sz w:val="18"/>
          <w:szCs w:val="18"/>
        </w:rPr>
      </w:pPr>
      <w:r w:rsidRPr="004C6AD8">
        <w:rPr>
          <w:rFonts w:ascii="Open Sans" w:hAnsi="Open Sans" w:cs="Open Sans"/>
          <w:sz w:val="18"/>
          <w:szCs w:val="18"/>
        </w:rPr>
        <w:t xml:space="preserve">Bruselas 21 DIC 2016 - 19:07 </w:t>
      </w:r>
    </w:p>
    <w:p w14:paraId="7C708842" w14:textId="0BC21C34" w:rsidR="007F55EB" w:rsidRPr="004C6AD8" w:rsidRDefault="007F55EB" w:rsidP="00F7530E">
      <w:pPr>
        <w:pStyle w:val="Textonotapie"/>
        <w:rPr>
          <w:rFonts w:ascii="Open Sans" w:hAnsi="Open Sans" w:cs="Open Sans"/>
          <w:sz w:val="18"/>
          <w:szCs w:val="18"/>
        </w:rPr>
      </w:pPr>
      <w:hyperlink r:id="rId70" w:history="1">
        <w:r w:rsidRPr="004C6AD8">
          <w:rPr>
            <w:rStyle w:val="Hipervnculo"/>
            <w:rFonts w:ascii="Open Sans" w:hAnsi="Open Sans" w:cs="Open Sans"/>
            <w:sz w:val="18"/>
            <w:szCs w:val="18"/>
          </w:rPr>
          <w:t>Bruselas anula ayudas millonarias a Telefónica, Santander e Iberdrola</w:t>
        </w:r>
      </w:hyperlink>
      <w:r w:rsidRPr="004C6AD8">
        <w:rPr>
          <w:rFonts w:ascii="Open Sans" w:hAnsi="Open Sans" w:cs="Open Sans"/>
          <w:sz w:val="18"/>
          <w:szCs w:val="18"/>
        </w:rPr>
        <w:t xml:space="preserve"> fecha Bruselas 13 OCT 2014 </w:t>
      </w:r>
    </w:p>
  </w:footnote>
  <w:footnote w:id="85">
    <w:p w14:paraId="5D210BE6" w14:textId="30C0BFB9" w:rsidR="007F55EB" w:rsidRPr="00E90732" w:rsidRDefault="007F55EB" w:rsidP="00F7530E">
      <w:pPr>
        <w:pStyle w:val="Textonotapie"/>
        <w:rPr>
          <w:rFonts w:ascii="Open Sans" w:hAnsi="Open Sans"/>
          <w:sz w:val="18"/>
          <w:szCs w:val="18"/>
        </w:rPr>
      </w:pPr>
      <w:r w:rsidRPr="00E90732">
        <w:rPr>
          <w:rStyle w:val="Refdenotaalpie"/>
          <w:rFonts w:ascii="Open Sans" w:hAnsi="Open Sans"/>
          <w:sz w:val="18"/>
          <w:szCs w:val="18"/>
        </w:rPr>
        <w:footnoteRef/>
      </w:r>
      <w:r w:rsidRPr="00E90732">
        <w:rPr>
          <w:rFonts w:ascii="Open Sans" w:hAnsi="Open Sans"/>
          <w:sz w:val="18"/>
          <w:szCs w:val="18"/>
        </w:rPr>
        <w:t xml:space="preserve"> </w:t>
      </w:r>
      <w:hyperlink r:id="rId71" w:history="1">
        <w:r w:rsidRPr="00E90732">
          <w:rPr>
            <w:rStyle w:val="Refdenotaalpie"/>
            <w:rFonts w:ascii="Open Sans" w:hAnsi="Open Sans" w:cs="Open Sans"/>
            <w:sz w:val="18"/>
            <w:szCs w:val="18"/>
            <w:vertAlign w:val="baseline"/>
          </w:rPr>
          <w:t>http://www.agenciatributaria.es/static_files/AEAT/Estudios/Estadisticas/Informes_Estadisticos/Informes_Anuales_de_Recaudacion_Tributaria/Ejercicio_2015/IART15.pdf</w:t>
        </w:r>
      </w:hyperlink>
    </w:p>
  </w:footnote>
  <w:footnote w:id="86">
    <w:p w14:paraId="57D266A5" w14:textId="77777777" w:rsidR="007F55EB" w:rsidRDefault="007F55EB" w:rsidP="00F7530E">
      <w:pPr>
        <w:pStyle w:val="Textonotapie"/>
        <w:rPr>
          <w:rFonts w:ascii="Open Sans" w:hAnsi="Open Sans"/>
          <w:sz w:val="18"/>
          <w:szCs w:val="18"/>
          <w:lang w:val="es-ES_tradnl"/>
        </w:rPr>
      </w:pPr>
      <w:r>
        <w:rPr>
          <w:rStyle w:val="Refdenotaalpie"/>
          <w:rFonts w:ascii="Open Sans" w:hAnsi="Open Sans"/>
          <w:sz w:val="18"/>
          <w:szCs w:val="18"/>
        </w:rPr>
        <w:footnoteRef/>
      </w:r>
      <w:r>
        <w:rPr>
          <w:rFonts w:ascii="Open Sans" w:hAnsi="Open Sans"/>
          <w:sz w:val="18"/>
          <w:szCs w:val="18"/>
        </w:rPr>
        <w:t xml:space="preserve"> </w:t>
      </w:r>
      <w:r>
        <w:rPr>
          <w:rFonts w:ascii="Open Sans" w:hAnsi="Open Sans" w:cs="Arial"/>
          <w:sz w:val="18"/>
          <w:szCs w:val="18"/>
          <w:lang w:val="es-ES_tradnl"/>
        </w:rPr>
        <w:t>Informe Financiero 2015. Página 75. Conciliación entre el resultado contable y el gasto por impuesto devengado</w:t>
      </w:r>
    </w:p>
  </w:footnote>
  <w:footnote w:id="87">
    <w:p w14:paraId="18B65E77" w14:textId="77777777" w:rsidR="007F55EB" w:rsidRPr="00F7530E" w:rsidRDefault="007F55EB" w:rsidP="00F7530E">
      <w:pPr>
        <w:pStyle w:val="Textonotapie"/>
        <w:rPr>
          <w:rFonts w:ascii="Open Sans" w:hAnsi="Open Sans" w:cs="Open Sans"/>
          <w:sz w:val="18"/>
          <w:szCs w:val="18"/>
          <w:lang w:eastAsia="zh-CN"/>
        </w:rPr>
      </w:pPr>
      <w:r w:rsidRPr="00F7530E">
        <w:rPr>
          <w:rStyle w:val="Refdenotaalpie"/>
          <w:rFonts w:ascii="Open Sans" w:hAnsi="Open Sans" w:cs="Open Sans"/>
          <w:sz w:val="18"/>
          <w:szCs w:val="18"/>
        </w:rPr>
        <w:footnoteRef/>
      </w:r>
      <w:r w:rsidRPr="00F7530E">
        <w:rPr>
          <w:rFonts w:ascii="Open Sans" w:hAnsi="Open Sans" w:cs="Open Sans"/>
          <w:sz w:val="18"/>
          <w:szCs w:val="18"/>
        </w:rPr>
        <w:t xml:space="preserve"> </w:t>
      </w:r>
      <w:hyperlink r:id="rId72" w:history="1">
        <w:r w:rsidRPr="00F7530E">
          <w:rPr>
            <w:rStyle w:val="Hipervnculo"/>
            <w:rFonts w:ascii="Open Sans" w:hAnsi="Open Sans" w:cs="Open Sans"/>
            <w:sz w:val="18"/>
            <w:szCs w:val="18"/>
          </w:rPr>
          <w:t>EEUU, Brasil y Panamá, en la lista provisional de paraísos fiscales de la UE</w:t>
        </w:r>
      </w:hyperlink>
    </w:p>
    <w:p w14:paraId="2752B214" w14:textId="77777777" w:rsidR="007F55EB" w:rsidRPr="00F7530E" w:rsidRDefault="007F55EB" w:rsidP="00F7530E">
      <w:pPr>
        <w:pStyle w:val="Textonotapie"/>
        <w:rPr>
          <w:rFonts w:ascii="Open Sans" w:hAnsi="Open Sans" w:cs="Open Sans"/>
          <w:sz w:val="18"/>
          <w:szCs w:val="18"/>
        </w:rPr>
      </w:pPr>
      <w:hyperlink r:id="rId73" w:history="1">
        <w:r w:rsidRPr="00F7530E">
          <w:rPr>
            <w:rStyle w:val="Hipervnculo"/>
            <w:rFonts w:ascii="Open Sans" w:hAnsi="Open Sans" w:cs="Open Sans"/>
            <w:sz w:val="18"/>
            <w:szCs w:val="18"/>
          </w:rPr>
          <w:t>Bruselas publica una 'lista negra' de paraísos fiscales en la que figuran Andorra, Mónaco y Liechtenstein</w:t>
        </w:r>
      </w:hyperlink>
    </w:p>
  </w:footnote>
  <w:footnote w:id="88">
    <w:p w14:paraId="2A86819C" w14:textId="77777777" w:rsidR="007F55EB" w:rsidRPr="00F7530E" w:rsidRDefault="007F55EB" w:rsidP="00F7530E">
      <w:pPr>
        <w:pStyle w:val="Textonotapie"/>
        <w:rPr>
          <w:rFonts w:ascii="Open Sans" w:hAnsi="Open Sans" w:cs="Open Sans"/>
          <w:sz w:val="18"/>
          <w:szCs w:val="18"/>
        </w:rPr>
      </w:pPr>
      <w:r w:rsidRPr="00F7530E">
        <w:rPr>
          <w:rStyle w:val="Refdenotaalpie"/>
          <w:rFonts w:ascii="Open Sans" w:hAnsi="Open Sans" w:cs="Open Sans"/>
          <w:sz w:val="18"/>
          <w:szCs w:val="18"/>
        </w:rPr>
        <w:footnoteRef/>
      </w:r>
      <w:hyperlink r:id="rId74" w:history="1">
        <w:r w:rsidRPr="00F7530E">
          <w:rPr>
            <w:rStyle w:val="Hipervnculo"/>
            <w:rFonts w:ascii="Open Sans" w:hAnsi="Open Sans" w:cs="Open Sans"/>
            <w:sz w:val="18"/>
            <w:szCs w:val="18"/>
          </w:rPr>
          <w:t>http://www.europarl.europa.eu/sides/getDoc.do?pubRef=-//EP//TEXT+REPORT+A7-2013-0162+0+DOC+XML+V0//ES</w:t>
        </w:r>
      </w:hyperlink>
    </w:p>
  </w:footnote>
  <w:footnote w:id="89">
    <w:p w14:paraId="132D9074" w14:textId="271C79C6" w:rsidR="007F55EB" w:rsidRPr="00FD7B63" w:rsidRDefault="007F55EB">
      <w:pPr>
        <w:pStyle w:val="Textonotapie"/>
        <w:rPr>
          <w:rFonts w:ascii="Open Sans" w:hAnsi="Open Sans"/>
          <w:sz w:val="18"/>
          <w:szCs w:val="18"/>
        </w:rPr>
      </w:pPr>
      <w:r w:rsidRPr="00FD7B63">
        <w:rPr>
          <w:rStyle w:val="Refdenotaalpie"/>
          <w:rFonts w:ascii="Open Sans" w:hAnsi="Open Sans"/>
          <w:sz w:val="18"/>
          <w:szCs w:val="18"/>
        </w:rPr>
        <w:footnoteRef/>
      </w:r>
      <w:r w:rsidRPr="00FD7B63">
        <w:rPr>
          <w:rFonts w:ascii="Open Sans" w:hAnsi="Open Sans"/>
          <w:sz w:val="18"/>
          <w:szCs w:val="18"/>
        </w:rPr>
        <w:t xml:space="preserve"> </w:t>
      </w:r>
      <w:hyperlink r:id="rId75" w:history="1">
        <w:r w:rsidRPr="00FD7B63">
          <w:rPr>
            <w:rStyle w:val="Hipervnculo"/>
            <w:rFonts w:ascii="Open Sans" w:hAnsi="Open Sans"/>
            <w:sz w:val="18"/>
            <w:szCs w:val="18"/>
          </w:rPr>
          <w:t>http://www.oecd.org/tax/transparency/44430243.pdf</w:t>
        </w:r>
      </w:hyperlink>
    </w:p>
  </w:footnote>
  <w:footnote w:id="90">
    <w:p w14:paraId="0526F712" w14:textId="77777777" w:rsidR="007F55EB" w:rsidRDefault="007F55EB" w:rsidP="00F7530E">
      <w:pPr>
        <w:pStyle w:val="Textonotapie"/>
        <w:rPr>
          <w:szCs w:val="18"/>
          <w:lang w:eastAsia="zh-CN"/>
        </w:rPr>
      </w:pPr>
      <w:r w:rsidRPr="00F7530E">
        <w:rPr>
          <w:rStyle w:val="Refdenotaalpie"/>
          <w:rFonts w:ascii="Open Sans" w:hAnsi="Open Sans" w:cs="Open Sans"/>
          <w:sz w:val="18"/>
          <w:szCs w:val="18"/>
        </w:rPr>
        <w:footnoteRef/>
      </w:r>
      <w:r w:rsidRPr="00F7530E">
        <w:rPr>
          <w:rFonts w:ascii="Open Sans" w:hAnsi="Open Sans" w:cs="Open Sans"/>
          <w:sz w:val="18"/>
          <w:szCs w:val="18"/>
        </w:rPr>
        <w:t xml:space="preserve"> Estrategia fiscal de Enagás, página 2</w:t>
      </w:r>
    </w:p>
  </w:footnote>
  <w:footnote w:id="91">
    <w:p w14:paraId="42E12643" w14:textId="77777777" w:rsidR="007F55EB" w:rsidRDefault="007F55EB" w:rsidP="00F7530E">
      <w:pPr>
        <w:pStyle w:val="Textonotapie"/>
        <w:rPr>
          <w:rFonts w:ascii="Open Sans" w:hAnsi="Open Sans"/>
          <w:sz w:val="18"/>
          <w:szCs w:val="18"/>
        </w:rPr>
      </w:pPr>
      <w:r>
        <w:rPr>
          <w:rStyle w:val="Refdenotaalpie"/>
          <w:rFonts w:ascii="Open Sans" w:eastAsiaTheme="majorEastAsia" w:hAnsi="Open Sans"/>
          <w:sz w:val="18"/>
          <w:szCs w:val="18"/>
        </w:rPr>
        <w:footnoteRef/>
      </w:r>
      <w:r>
        <w:rPr>
          <w:rFonts w:ascii="Open Sans" w:hAnsi="Open Sans"/>
          <w:sz w:val="18"/>
          <w:szCs w:val="18"/>
        </w:rPr>
        <w:t xml:space="preserve"> </w:t>
      </w:r>
      <w:hyperlink r:id="rId76" w:history="1">
        <w:r>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92">
    <w:p w14:paraId="4F39C4F9" w14:textId="77777777" w:rsidR="007F55EB" w:rsidRDefault="007F55EB" w:rsidP="00F7530E">
      <w:pPr>
        <w:pStyle w:val="Textonotapie"/>
        <w:rPr>
          <w:rFonts w:ascii="Open Sans" w:hAnsi="Open Sans"/>
          <w:sz w:val="18"/>
          <w:szCs w:val="18"/>
          <w:lang w:val="es-ES_tradnl"/>
        </w:rPr>
      </w:pPr>
      <w:r>
        <w:rPr>
          <w:rStyle w:val="Refdenotaalpie"/>
          <w:rFonts w:ascii="Open Sans" w:hAnsi="Open Sans"/>
          <w:sz w:val="18"/>
          <w:szCs w:val="18"/>
        </w:rPr>
        <w:footnoteRef/>
      </w:r>
      <w:r>
        <w:rPr>
          <w:rFonts w:ascii="Open Sans" w:hAnsi="Open Sans"/>
          <w:sz w:val="18"/>
          <w:szCs w:val="18"/>
        </w:rPr>
        <w:t xml:space="preserve"> https://opencorporates.com/</w:t>
      </w:r>
    </w:p>
  </w:footnote>
  <w:footnote w:id="93">
    <w:p w14:paraId="6D03790E" w14:textId="004DEED6" w:rsidR="007F55EB" w:rsidRDefault="007F55EB" w:rsidP="00710DFC">
      <w:pPr>
        <w:ind w:hanging="1"/>
        <w:jc w:val="both"/>
        <w:rPr>
          <w:rFonts w:ascii="Open Sans" w:hAnsi="Open Sans" w:cs="Arial"/>
          <w:color w:val="000000"/>
          <w:sz w:val="18"/>
          <w:szCs w:val="18"/>
        </w:rPr>
      </w:pPr>
      <w:r w:rsidRPr="00710DFC">
        <w:rPr>
          <w:rFonts w:ascii="Open Sans" w:hAnsi="Open Sans" w:cs="Arial"/>
          <w:color w:val="000000"/>
          <w:sz w:val="18"/>
          <w:szCs w:val="18"/>
          <w:vertAlign w:val="superscript"/>
        </w:rPr>
        <w:footnoteRef/>
      </w:r>
      <w:r w:rsidRPr="00710DFC">
        <w:rPr>
          <w:rFonts w:ascii="Open Sans" w:hAnsi="Open Sans" w:cs="Arial"/>
          <w:color w:val="000000"/>
          <w:sz w:val="18"/>
          <w:szCs w:val="18"/>
          <w:vertAlign w:val="superscript"/>
        </w:rPr>
        <w:t xml:space="preserve"> </w:t>
      </w:r>
      <w:r w:rsidR="005933E5">
        <w:rPr>
          <w:rFonts w:ascii="Open Sans" w:hAnsi="Open Sans" w:cs="Arial"/>
          <w:color w:val="000000"/>
          <w:sz w:val="18"/>
          <w:szCs w:val="18"/>
        </w:rPr>
        <w:t>NO SE HAN INCLUIDO 12</w:t>
      </w:r>
      <w:r w:rsidRPr="00710DFC">
        <w:rPr>
          <w:rFonts w:ascii="Open Sans" w:hAnsi="Open Sans" w:cs="Arial"/>
          <w:color w:val="000000"/>
          <w:sz w:val="18"/>
          <w:szCs w:val="18"/>
        </w:rPr>
        <w:t xml:space="preserve"> sociedades</w:t>
      </w:r>
      <w:r>
        <w:t xml:space="preserve"> </w:t>
      </w:r>
      <w:r w:rsidRPr="00710DFC">
        <w:rPr>
          <w:rFonts w:ascii="Open Sans" w:hAnsi="Open Sans" w:cs="Arial"/>
          <w:color w:val="000000"/>
          <w:sz w:val="18"/>
          <w:szCs w:val="18"/>
        </w:rPr>
        <w:t>sitas en Panamá, Suiza, Países Bajos, Puerto Rico, Panamá, Islas Virgenes Británizas e Islas Caymán</w:t>
      </w:r>
      <w:r w:rsidR="005933E5">
        <w:rPr>
          <w:rFonts w:ascii="Open Sans" w:hAnsi="Open Sans" w:cs="Arial"/>
          <w:color w:val="000000"/>
          <w:sz w:val="18"/>
          <w:szCs w:val="18"/>
        </w:rPr>
        <w:t xml:space="preserve"> QUE SI BIEN</w:t>
      </w:r>
      <w:r>
        <w:t xml:space="preserve">  </w:t>
      </w:r>
      <w:r>
        <w:rPr>
          <w:rFonts w:ascii="Open Sans" w:hAnsi="Open Sans" w:cs="Arial"/>
          <w:color w:val="000000"/>
          <w:sz w:val="18"/>
          <w:szCs w:val="18"/>
        </w:rPr>
        <w:t>n</w:t>
      </w:r>
      <w:r w:rsidRPr="00B83DE6">
        <w:rPr>
          <w:rFonts w:ascii="Open Sans" w:hAnsi="Open Sans" w:cs="Arial"/>
          <w:color w:val="000000"/>
          <w:sz w:val="18"/>
          <w:szCs w:val="18"/>
        </w:rPr>
        <w:t>o están incluidas en el listado de principales sociedades que se reportan en el anexo correspondiente del Informe Financiero 2015. Son subsidiarias identificadas en la página de la SEC (Securities Exchange Commission)</w:t>
      </w:r>
      <w:r w:rsidRPr="00B83DE6">
        <w:rPr>
          <w:rStyle w:val="Refdenotaalpie"/>
          <w:rFonts w:ascii="Open Sans" w:hAnsi="Open Sans" w:cs="Arial"/>
          <w:color w:val="000000"/>
          <w:sz w:val="18"/>
          <w:szCs w:val="18"/>
        </w:rPr>
        <w:footnoteRef/>
      </w:r>
      <w:r w:rsidRPr="00B83DE6">
        <w:rPr>
          <w:rFonts w:ascii="Open Sans" w:hAnsi="Open Sans" w:cs="Arial"/>
          <w:color w:val="000000"/>
          <w:sz w:val="18"/>
          <w:szCs w:val="18"/>
        </w:rPr>
        <w:t xml:space="preserve">  y contrastadas después a través de consulta en Bloomberg. </w:t>
      </w:r>
      <w:r>
        <w:rPr>
          <w:rFonts w:ascii="Open Sans" w:hAnsi="Open Sans" w:cs="Arial"/>
          <w:color w:val="000000"/>
          <w:sz w:val="18"/>
          <w:szCs w:val="18"/>
        </w:rPr>
        <w:t xml:space="preserve"> No obstante no se puede asegurar que formen parte de la estructura de la matriz de Telefónica</w:t>
      </w:r>
    </w:p>
    <w:p w14:paraId="0C971790" w14:textId="7A74C701" w:rsidR="007F55EB" w:rsidRDefault="007F55EB">
      <w:pPr>
        <w:pStyle w:val="Textonotapie"/>
      </w:pPr>
    </w:p>
  </w:footnote>
  <w:footnote w:id="94">
    <w:p w14:paraId="3886F9F3" w14:textId="641A5E73" w:rsidR="007F55EB" w:rsidRDefault="007F55EB" w:rsidP="009436FC">
      <w:pPr>
        <w:pStyle w:val="Textonotapie"/>
        <w:rPr>
          <w:rFonts w:ascii="Open Sans" w:hAnsi="Open Sans"/>
          <w:sz w:val="18"/>
          <w:szCs w:val="18"/>
        </w:rPr>
      </w:pPr>
      <w:r>
        <w:rPr>
          <w:rStyle w:val="Refdenotaalpie"/>
          <w:rFonts w:ascii="Open Sans" w:hAnsi="Open Sans"/>
          <w:sz w:val="18"/>
          <w:szCs w:val="18"/>
        </w:rPr>
        <w:footnoteRef/>
      </w:r>
      <w:r>
        <w:rPr>
          <w:rFonts w:ascii="Open Sans" w:hAnsi="Open Sans"/>
          <w:sz w:val="18"/>
          <w:szCs w:val="18"/>
        </w:rPr>
        <w:t xml:space="preserve"> </w:t>
      </w:r>
      <w:hyperlink r:id="rId77" w:history="1">
        <w:r w:rsidRPr="009436FC">
          <w:rPr>
            <w:rStyle w:val="Hipervnculo"/>
            <w:rFonts w:ascii="Open Sans" w:hAnsi="Open Sans" w:cs="Arial"/>
            <w:sz w:val="18"/>
            <w:szCs w:val="18"/>
          </w:rPr>
          <w:t>Líneas Directrices de la OCDE para empresas multinacionales</w:t>
        </w:r>
      </w:hyperlink>
      <w:r>
        <w:rPr>
          <w:rFonts w:ascii="Open Sans" w:hAnsi="Open Sans" w:cs="Arial"/>
          <w:color w:val="000000"/>
          <w:sz w:val="18"/>
          <w:szCs w:val="18"/>
        </w:rPr>
        <w:t xml:space="preserve"> </w:t>
      </w:r>
    </w:p>
  </w:footnote>
  <w:footnote w:id="95">
    <w:p w14:paraId="2D2FB0C3" w14:textId="77777777" w:rsidR="007F55EB" w:rsidRDefault="007F55EB" w:rsidP="009436FC">
      <w:pPr>
        <w:pStyle w:val="Textonotapie"/>
        <w:rPr>
          <w:rFonts w:ascii="Open Sans" w:hAnsi="Open Sans"/>
          <w:bCs/>
          <w:sz w:val="18"/>
          <w:szCs w:val="18"/>
          <w:lang w:val="es-ES_tradnl" w:eastAsia="zh-CN"/>
        </w:rPr>
      </w:pPr>
      <w:r>
        <w:rPr>
          <w:rStyle w:val="Refdenotaalpie"/>
          <w:rFonts w:ascii="Open Sans" w:hAnsi="Open Sans"/>
          <w:sz w:val="18"/>
          <w:szCs w:val="18"/>
        </w:rPr>
        <w:footnoteRef/>
      </w:r>
      <w:r>
        <w:rPr>
          <w:rFonts w:ascii="Open Sans" w:hAnsi="Open Sans"/>
          <w:sz w:val="18"/>
          <w:szCs w:val="18"/>
        </w:rPr>
        <w:t xml:space="preserve"> </w:t>
      </w:r>
      <w:hyperlink r:id="rId78" w:history="1">
        <w:r>
          <w:rPr>
            <w:rStyle w:val="Hipervnculo"/>
            <w:rFonts w:ascii="Open Sans" w:hAnsi="Open Sans"/>
            <w:bCs/>
            <w:sz w:val="18"/>
            <w:szCs w:val="18"/>
            <w:lang w:val="es-ES_tradnl"/>
          </w:rPr>
          <w:t>Exención fiscal en Gibraltar</w:t>
        </w:r>
      </w:hyperlink>
    </w:p>
  </w:footnote>
  <w:footnote w:id="96">
    <w:p w14:paraId="199CED07" w14:textId="77777777" w:rsidR="007F55EB" w:rsidRDefault="007F55EB" w:rsidP="009436FC">
      <w:pPr>
        <w:pStyle w:val="Textonotapie"/>
        <w:rPr>
          <w:rFonts w:ascii="Open Sans" w:hAnsi="Open Sans"/>
          <w:bCs/>
          <w:sz w:val="18"/>
          <w:szCs w:val="18"/>
          <w:lang w:val="es-ES_tradnl"/>
        </w:rPr>
      </w:pPr>
      <w:r>
        <w:rPr>
          <w:rStyle w:val="Refdenotaalpie"/>
          <w:rFonts w:ascii="Open Sans" w:hAnsi="Open Sans"/>
          <w:sz w:val="18"/>
          <w:szCs w:val="18"/>
        </w:rPr>
        <w:footnoteRef/>
      </w:r>
      <w:r>
        <w:rPr>
          <w:rFonts w:ascii="Open Sans" w:hAnsi="Open Sans"/>
          <w:sz w:val="18"/>
          <w:szCs w:val="18"/>
        </w:rPr>
        <w:t xml:space="preserve"> </w:t>
      </w:r>
      <w:hyperlink r:id="rId79" w:history="1">
        <w:r>
          <w:rPr>
            <w:rStyle w:val="Hipervnculo"/>
            <w:rFonts w:ascii="Open Sans" w:hAnsi="Open Sans"/>
            <w:bCs/>
            <w:sz w:val="18"/>
            <w:szCs w:val="18"/>
            <w:lang w:val="es-ES_tradnl"/>
          </w:rPr>
          <w:t>La reforma fiscal beneficia a las entidades holding</w:t>
        </w:r>
      </w:hyperlink>
    </w:p>
  </w:footnote>
  <w:footnote w:id="97">
    <w:p w14:paraId="0E90B261" w14:textId="77777777" w:rsidR="007F55EB" w:rsidRPr="009436FC" w:rsidRDefault="007F55EB" w:rsidP="009436FC">
      <w:pPr>
        <w:pStyle w:val="Textonotapie"/>
        <w:rPr>
          <w:rFonts w:ascii="Open Sans" w:hAnsi="Open Sans" w:cs="Open Sans"/>
          <w:sz w:val="18"/>
          <w:szCs w:val="18"/>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Véase el artículo en The New York Times titulado “How Delaware Thrives as a Corporate Tax Haven”, disponible en el siguiente enlace: </w:t>
      </w:r>
      <w:hyperlink r:id="rId80" w:history="1">
        <w:r w:rsidRPr="009436FC">
          <w:rPr>
            <w:rStyle w:val="Hipervnculo"/>
            <w:rFonts w:ascii="Open Sans" w:hAnsi="Open Sans" w:cs="Open Sans"/>
            <w:sz w:val="18"/>
            <w:szCs w:val="18"/>
          </w:rPr>
          <w:t>http://www.nytimes.com/2012/07/01/business/how-delaware-thrives-as-a-corporate-tax-haven.html?pagewanted=all&amp;_r=0</w:t>
        </w:r>
      </w:hyperlink>
      <w:r w:rsidRPr="009436FC">
        <w:rPr>
          <w:rFonts w:ascii="Open Sans" w:hAnsi="Open Sans" w:cs="Open Sans"/>
          <w:sz w:val="18"/>
          <w:szCs w:val="18"/>
        </w:rPr>
        <w:t xml:space="preserve"> </w:t>
      </w:r>
    </w:p>
  </w:footnote>
  <w:footnote w:id="98">
    <w:p w14:paraId="6017E297" w14:textId="77777777" w:rsidR="007F55EB" w:rsidRPr="009436FC" w:rsidRDefault="007F55EB" w:rsidP="009436FC">
      <w:pPr>
        <w:pStyle w:val="Textonotapie"/>
        <w:rPr>
          <w:rFonts w:ascii="Open Sans" w:hAnsi="Open Sans" w:cs="Open Sans"/>
          <w:sz w:val="18"/>
          <w:szCs w:val="18"/>
          <w:lang w:val="es-ES_tradnl"/>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r w:rsidRPr="009436FC">
        <w:rPr>
          <w:rFonts w:ascii="Open Sans" w:hAnsi="Open Sans" w:cs="Open Sans"/>
          <w:sz w:val="18"/>
          <w:szCs w:val="18"/>
          <w:lang w:val="es-ES_tradnl"/>
        </w:rPr>
        <w:t>Variación del perímetro de consolidación. Informe Económico 2015, pág. 21</w:t>
      </w:r>
    </w:p>
  </w:footnote>
  <w:footnote w:id="99">
    <w:p w14:paraId="0F5CB345" w14:textId="77777777" w:rsidR="007F55EB" w:rsidRPr="009436FC" w:rsidRDefault="007F55EB" w:rsidP="009436FC">
      <w:pPr>
        <w:pStyle w:val="Textonotapie"/>
        <w:rPr>
          <w:rFonts w:ascii="Open Sans" w:hAnsi="Open Sans" w:cs="Open Sans"/>
          <w:bCs/>
          <w:sz w:val="18"/>
          <w:szCs w:val="18"/>
          <w:lang w:val="es-ES_tradnl"/>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hyperlink r:id="rId81" w:history="1">
        <w:r w:rsidRPr="009436FC">
          <w:rPr>
            <w:rStyle w:val="Hipervnculo"/>
            <w:rFonts w:ascii="Open Sans" w:hAnsi="Open Sans" w:cs="Open Sans"/>
            <w:bCs/>
            <w:sz w:val="18"/>
            <w:szCs w:val="18"/>
            <w:lang w:val="es-ES_tradnl"/>
          </w:rPr>
          <w:t>Sacyr entra en Estados Unidos con su constructora al aliarse con Manhattan Group</w:t>
        </w:r>
      </w:hyperlink>
    </w:p>
  </w:footnote>
  <w:footnote w:id="100">
    <w:p w14:paraId="72560D91" w14:textId="77777777" w:rsidR="007F55EB" w:rsidRPr="009436FC" w:rsidRDefault="007F55EB" w:rsidP="009436FC">
      <w:pPr>
        <w:pStyle w:val="Textonotapie"/>
        <w:rPr>
          <w:rFonts w:ascii="Open Sans" w:hAnsi="Open Sans" w:cs="Open Sans"/>
          <w:bCs/>
          <w:sz w:val="18"/>
          <w:szCs w:val="18"/>
          <w:lang w:val="es-ES_tradnl"/>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hyperlink r:id="rId82" w:history="1">
        <w:r w:rsidRPr="009436FC">
          <w:rPr>
            <w:rStyle w:val="Hipervnculo"/>
            <w:rFonts w:ascii="Open Sans" w:hAnsi="Open Sans" w:cs="Open Sans"/>
            <w:bCs/>
            <w:sz w:val="18"/>
            <w:szCs w:val="18"/>
            <w:lang w:val="es-ES_tradnl"/>
          </w:rPr>
          <w:t>Ventajas fiscales de Delaware</w:t>
        </w:r>
      </w:hyperlink>
    </w:p>
  </w:footnote>
  <w:footnote w:id="101">
    <w:p w14:paraId="6A537A05" w14:textId="77777777" w:rsidR="007F55EB" w:rsidRPr="009436FC" w:rsidRDefault="007F55EB" w:rsidP="009436FC">
      <w:pPr>
        <w:pStyle w:val="Textonotapie"/>
        <w:rPr>
          <w:rFonts w:ascii="Open Sans" w:hAnsi="Open Sans" w:cs="Open Sans"/>
          <w:sz w:val="18"/>
          <w:szCs w:val="18"/>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hyperlink r:id="rId83" w:history="1">
        <w:r w:rsidRPr="009436FC">
          <w:rPr>
            <w:rStyle w:val="Hipervnculo"/>
            <w:rFonts w:ascii="Open Sans" w:hAnsi="Open Sans" w:cs="Open Sans"/>
            <w:sz w:val="18"/>
            <w:szCs w:val="18"/>
          </w:rPr>
          <w:t>http://www.nytimes.com/2012/07/01/business/how-delaware-thrives-as-a-corporate-tax-haven.html</w:t>
        </w:r>
      </w:hyperlink>
    </w:p>
  </w:footnote>
  <w:footnote w:id="102">
    <w:p w14:paraId="1F7D05E2" w14:textId="77777777" w:rsidR="007F55EB" w:rsidRPr="009436FC" w:rsidRDefault="007F55EB" w:rsidP="009436FC">
      <w:pPr>
        <w:pStyle w:val="Textonotapie"/>
        <w:rPr>
          <w:rFonts w:ascii="Open Sans" w:hAnsi="Open Sans" w:cs="Open Sans"/>
          <w:sz w:val="18"/>
          <w:szCs w:val="18"/>
          <w:lang w:val="es-ES_tradnl"/>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r w:rsidRPr="009436FC">
        <w:rPr>
          <w:rFonts w:ascii="Open Sans" w:hAnsi="Open Sans" w:cs="Open Sans"/>
          <w:sz w:val="18"/>
          <w:szCs w:val="18"/>
          <w:lang w:val="es-ES_tradnl"/>
        </w:rPr>
        <w:t>bizapedia, opencorporates</w:t>
      </w:r>
    </w:p>
  </w:footnote>
  <w:footnote w:id="103">
    <w:p w14:paraId="1A577071" w14:textId="77777777" w:rsidR="007F55EB" w:rsidRPr="009436FC" w:rsidRDefault="007F55EB" w:rsidP="009436FC">
      <w:pPr>
        <w:pStyle w:val="Textonotapie"/>
        <w:rPr>
          <w:rFonts w:ascii="Open Sans" w:hAnsi="Open Sans" w:cs="Open Sans"/>
          <w:sz w:val="18"/>
          <w:szCs w:val="18"/>
          <w:lang w:val="es-ES_tradnl"/>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hyperlink r:id="rId84" w:history="1">
        <w:r w:rsidRPr="009436FC">
          <w:rPr>
            <w:rStyle w:val="Hipervnculo"/>
            <w:rFonts w:ascii="Open Sans" w:hAnsi="Open Sans" w:cs="Open Sans"/>
            <w:sz w:val="18"/>
            <w:szCs w:val="18"/>
          </w:rPr>
          <w:t>Centros de plasma de Grifols</w:t>
        </w:r>
      </w:hyperlink>
    </w:p>
  </w:footnote>
  <w:footnote w:id="104">
    <w:p w14:paraId="27816184" w14:textId="77777777" w:rsidR="007F55EB" w:rsidRPr="009436FC" w:rsidRDefault="007F55EB" w:rsidP="009436FC">
      <w:pPr>
        <w:pStyle w:val="Textonotapie"/>
        <w:rPr>
          <w:rFonts w:ascii="Open Sans" w:hAnsi="Open Sans" w:cs="Open Sans"/>
          <w:sz w:val="18"/>
          <w:szCs w:val="18"/>
          <w:lang w:val="es-ES_tradnl"/>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r w:rsidRPr="009436FC">
        <w:rPr>
          <w:rFonts w:ascii="Open Sans" w:hAnsi="Open Sans" w:cs="Open Sans"/>
          <w:sz w:val="18"/>
          <w:szCs w:val="18"/>
          <w:lang w:val="es-ES_tradnl"/>
        </w:rPr>
        <w:t>Cuentas anuales 2015, pág. 72</w:t>
      </w:r>
    </w:p>
  </w:footnote>
  <w:footnote w:id="105">
    <w:p w14:paraId="2986BCDA" w14:textId="77777777" w:rsidR="007F55EB" w:rsidRPr="009436FC" w:rsidRDefault="007F55EB" w:rsidP="009436FC">
      <w:pPr>
        <w:rPr>
          <w:rFonts w:ascii="Open Sans" w:hAnsi="Open Sans" w:cs="Open Sans"/>
          <w:sz w:val="18"/>
          <w:szCs w:val="18"/>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Opencorporate.com</w:t>
      </w:r>
    </w:p>
  </w:footnote>
  <w:footnote w:id="106">
    <w:p w14:paraId="3107BE01" w14:textId="77777777" w:rsidR="007F55EB" w:rsidRPr="009436FC" w:rsidRDefault="007F55EB" w:rsidP="009436FC">
      <w:pPr>
        <w:pStyle w:val="Textonotapie"/>
        <w:rPr>
          <w:rFonts w:ascii="Open Sans" w:hAnsi="Open Sans" w:cs="Open Sans"/>
          <w:sz w:val="18"/>
          <w:szCs w:val="18"/>
          <w:lang w:val="es-ES_tradnl"/>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s-ES_tradnl"/>
        </w:rPr>
        <w:t xml:space="preserve"> NY Times </w:t>
      </w:r>
      <w:hyperlink r:id="rId85" w:history="1">
        <w:r w:rsidRPr="009436FC">
          <w:rPr>
            <w:rStyle w:val="Hipervnculo"/>
            <w:rFonts w:ascii="Open Sans" w:eastAsia="MS Gothic" w:hAnsi="Open Sans" w:cs="Open Sans"/>
            <w:sz w:val="18"/>
            <w:szCs w:val="18"/>
            <w:lang w:val="es-ES_tradnl"/>
          </w:rPr>
          <w:t>http://www.nytimes.com/2012/07/01/business/how-delaware-thrives-as-a-corporate-tax-haven.html?pagewanted=1&amp;_r=1</w:t>
        </w:r>
      </w:hyperlink>
      <w:r w:rsidRPr="009436FC">
        <w:rPr>
          <w:rFonts w:ascii="Open Sans" w:hAnsi="Open Sans" w:cs="Open Sans"/>
          <w:sz w:val="18"/>
          <w:szCs w:val="18"/>
          <w:lang w:val="es-ES_tradnl"/>
        </w:rPr>
        <w:t xml:space="preserve"> </w:t>
      </w:r>
    </w:p>
  </w:footnote>
  <w:footnote w:id="107">
    <w:p w14:paraId="1110F8CB" w14:textId="77777777" w:rsidR="007F55EB" w:rsidRPr="009436FC" w:rsidRDefault="007F55EB" w:rsidP="009436FC">
      <w:pPr>
        <w:pStyle w:val="Textonotapie"/>
        <w:rPr>
          <w:rFonts w:ascii="Open Sans" w:hAnsi="Open Sans" w:cs="Open Sans"/>
          <w:sz w:val="18"/>
          <w:szCs w:val="18"/>
          <w:lang w:val="es-ES_tradnl"/>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s-ES_tradnl"/>
        </w:rPr>
        <w:t xml:space="preserve"> </w:t>
      </w:r>
      <w:hyperlink r:id="rId86" w:history="1">
        <w:r w:rsidRPr="009436FC">
          <w:rPr>
            <w:rStyle w:val="Hipervnculo"/>
            <w:rFonts w:ascii="Open Sans" w:eastAsia="MS Gothic" w:hAnsi="Open Sans" w:cs="Open Sans"/>
            <w:sz w:val="18"/>
            <w:szCs w:val="18"/>
            <w:lang w:val="es-ES_tradnl"/>
          </w:rPr>
          <w:t>http://maps.google.es/maps?q=1209+North+Orange+Street+delaware&amp;rls=com.microsoft:*:IE-SearchBox&amp;oe=UTF-8&amp;rlz=1I7ACPW_esES352&amp;redir_esc=&amp;um=1&amp;ie=UTF-8&amp;hq=&amp;hnear=1209+N+Orange+St,+Wilmington,+DE+19801,+USA&amp;gl=es&amp;ei=JXJRTPv2FNK84Abj8py7Aw&amp;sa=X&amp;oi=geocode_result&amp;ct=title&amp;resnum=1&amp;ved=0CBYQ8gEwAA</w:t>
        </w:r>
      </w:hyperlink>
    </w:p>
  </w:footnote>
  <w:footnote w:id="108">
    <w:p w14:paraId="532541B6" w14:textId="77777777" w:rsidR="007F55EB" w:rsidRPr="009436FC" w:rsidRDefault="007F55EB" w:rsidP="009436FC">
      <w:pPr>
        <w:rPr>
          <w:rFonts w:ascii="Open Sans" w:hAnsi="Open Sans" w:cs="Open Sans"/>
          <w:sz w:val="18"/>
          <w:szCs w:val="18"/>
        </w:rPr>
      </w:pPr>
      <w:r w:rsidRPr="009436FC">
        <w:rPr>
          <w:rStyle w:val="Refdenotaalpie"/>
          <w:rFonts w:ascii="Open Sans" w:hAnsi="Open Sans" w:cs="Open Sans"/>
          <w:sz w:val="18"/>
          <w:szCs w:val="18"/>
        </w:rPr>
        <w:footnoteRef/>
      </w:r>
      <w:r w:rsidRPr="009436FC">
        <w:rPr>
          <w:rFonts w:ascii="Open Sans" w:hAnsi="Open Sans" w:cs="Open Sans"/>
          <w:sz w:val="18"/>
          <w:szCs w:val="18"/>
        </w:rPr>
        <w:t xml:space="preserve"> </w:t>
      </w:r>
      <w:r w:rsidRPr="009436FC">
        <w:rPr>
          <w:rStyle w:val="Hipervnculo"/>
          <w:rFonts w:ascii="Open Sans" w:eastAsia="MS Gothic" w:hAnsi="Open Sans" w:cs="Open Sans"/>
          <w:sz w:val="18"/>
          <w:szCs w:val="18"/>
        </w:rPr>
        <w:t>http://www.nytimes.com/2012/07/01/business/how-delaware-thrives-as-a-corporate-tax-haven.html?_r=0</w:t>
      </w:r>
    </w:p>
  </w:footnote>
  <w:footnote w:id="109">
    <w:p w14:paraId="5756C546" w14:textId="77777777" w:rsidR="007F55EB" w:rsidRPr="009436FC" w:rsidRDefault="007F55EB" w:rsidP="009436FC">
      <w:pPr>
        <w:pStyle w:val="Textonotapie"/>
        <w:rPr>
          <w:rFonts w:ascii="Open Sans" w:hAnsi="Open Sans" w:cs="Open Sans"/>
          <w:sz w:val="18"/>
          <w:szCs w:val="18"/>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rPr>
        <w:t xml:space="preserve"> Grupo financiero privado “</w:t>
      </w:r>
      <w:r w:rsidRPr="009436FC">
        <w:rPr>
          <w:rFonts w:ascii="Open Sans" w:hAnsi="Open Sans" w:cs="Open Sans"/>
          <w:color w:val="000000"/>
          <w:sz w:val="18"/>
          <w:szCs w:val="18"/>
          <w:shd w:val="clear" w:color="auto" w:fill="FFFFFF"/>
        </w:rPr>
        <w:t>Capital Conservator Group”.</w:t>
      </w:r>
    </w:p>
  </w:footnote>
  <w:footnote w:id="110">
    <w:p w14:paraId="36DAE652" w14:textId="77777777" w:rsidR="007F55EB" w:rsidRPr="009436FC" w:rsidRDefault="007F55EB" w:rsidP="009436FC">
      <w:pPr>
        <w:pStyle w:val="Textonotapie"/>
        <w:rPr>
          <w:rFonts w:ascii="Open Sans" w:hAnsi="Open Sans" w:cs="Open Sans"/>
          <w:sz w:val="18"/>
          <w:szCs w:val="18"/>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rPr>
        <w:t xml:space="preserve"> Grupo financiero privado “</w:t>
      </w:r>
      <w:r w:rsidRPr="009436FC">
        <w:rPr>
          <w:rFonts w:ascii="Open Sans" w:hAnsi="Open Sans" w:cs="Open Sans"/>
          <w:color w:val="000000"/>
          <w:sz w:val="18"/>
          <w:szCs w:val="18"/>
          <w:shd w:val="clear" w:color="auto" w:fill="FFFFFF"/>
        </w:rPr>
        <w:t>Capital Conservator Group”.</w:t>
      </w:r>
    </w:p>
  </w:footnote>
  <w:footnote w:id="111">
    <w:p w14:paraId="06C2B41B"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Is Delaware a Tax Haven? </w:t>
      </w:r>
      <w:proofErr w:type="gramStart"/>
      <w:r w:rsidRPr="009436FC">
        <w:rPr>
          <w:rFonts w:ascii="Open Sans" w:hAnsi="Open Sans" w:cs="Open Sans"/>
          <w:sz w:val="18"/>
          <w:szCs w:val="18"/>
          <w:lang w:val="en-US"/>
        </w:rPr>
        <w:t>Maybe.</w:t>
      </w:r>
      <w:proofErr w:type="gramEnd"/>
      <w:r w:rsidRPr="009436FC">
        <w:rPr>
          <w:rFonts w:ascii="Open Sans" w:hAnsi="Open Sans" w:cs="Open Sans"/>
          <w:sz w:val="18"/>
          <w:szCs w:val="18"/>
          <w:lang w:val="en-US"/>
        </w:rPr>
        <w:t xml:space="preserve"> </w:t>
      </w:r>
      <w:hyperlink r:id="rId87" w:history="1">
        <w:r w:rsidRPr="009436FC">
          <w:rPr>
            <w:rStyle w:val="Hipervnculo"/>
            <w:rFonts w:ascii="Open Sans" w:hAnsi="Open Sans" w:cs="Open Sans"/>
            <w:sz w:val="18"/>
            <w:szCs w:val="18"/>
            <w:lang w:val="en-US"/>
          </w:rPr>
          <w:t>http://www.delawareonline.com/story/opinion/contributors/2014/07/12/delaware-tax-haven-maybe/12551227/</w:t>
        </w:r>
      </w:hyperlink>
      <w:r w:rsidRPr="009436FC">
        <w:rPr>
          <w:rFonts w:ascii="Open Sans" w:hAnsi="Open Sans" w:cs="Open Sans"/>
          <w:sz w:val="18"/>
          <w:szCs w:val="18"/>
          <w:lang w:val="en-US"/>
        </w:rPr>
        <w:t xml:space="preserve"> </w:t>
      </w:r>
    </w:p>
  </w:footnote>
  <w:footnote w:id="112">
    <w:p w14:paraId="76841AE4" w14:textId="77777777" w:rsidR="007F55EB" w:rsidRPr="009436FC" w:rsidRDefault="007F55EB" w:rsidP="009436FC">
      <w:pPr>
        <w:rPr>
          <w:rFonts w:ascii="Open Sans" w:hAnsi="Open Sans" w:cs="Open Sans"/>
          <w:sz w:val="18"/>
          <w:szCs w:val="18"/>
          <w:lang w:val="en-US"/>
        </w:rPr>
      </w:pPr>
      <w:r w:rsidRPr="009436FC">
        <w:rPr>
          <w:rStyle w:val="Refdenotaalpie"/>
          <w:rFonts w:ascii="Open Sans" w:hAnsi="Open Sans" w:cs="Open Sans"/>
          <w:sz w:val="18"/>
          <w:szCs w:val="18"/>
        </w:rPr>
        <w:footnoteRef/>
      </w:r>
      <w:r w:rsidRPr="009436FC">
        <w:rPr>
          <w:rFonts w:ascii="Open Sans" w:hAnsi="Open Sans" w:cs="Open Sans"/>
          <w:sz w:val="18"/>
          <w:szCs w:val="18"/>
          <w:lang w:val="en-US"/>
        </w:rPr>
        <w:t xml:space="preserve"> </w:t>
      </w:r>
      <w:r w:rsidRPr="009436FC">
        <w:rPr>
          <w:rStyle w:val="Hipervnculo"/>
          <w:rFonts w:ascii="Open Sans" w:eastAsia="MS Gothic" w:hAnsi="Open Sans" w:cs="Open Sans"/>
          <w:sz w:val="18"/>
          <w:szCs w:val="18"/>
          <w:lang w:val="en-US"/>
        </w:rPr>
        <w:t>http://www.volkskrant.nl/vk/nl/2664/Nieuws/article/detail/3381348/2013/01/23/Buitenlandse-bedrijven-sluisden-in-2011-zeker-57-miljard-door-Nederland.dhtml?utm_source=scherm1&amp;utm_medium=button&amp;utm_campaign=Cookiecheck</w:t>
      </w:r>
    </w:p>
  </w:footnote>
  <w:footnote w:id="113">
    <w:p w14:paraId="450887AD"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w:t>
      </w:r>
      <w:hyperlink r:id="rId88" w:history="1">
        <w:r w:rsidRPr="009436FC">
          <w:rPr>
            <w:rStyle w:val="Hipervnculo"/>
            <w:rFonts w:ascii="Open Sans" w:hAnsi="Open Sans" w:cs="Open Sans"/>
            <w:sz w:val="18"/>
            <w:szCs w:val="18"/>
            <w:lang w:val="en-US"/>
          </w:rPr>
          <w:t>http://www.elconfidencial.com/empresas/2014-12-14/no-es-solo-pwc-deloitte-e-y-y-kpmg-tambien-ayudan-a-las-empresas-a-eludir-impuestos_589746/</w:t>
        </w:r>
      </w:hyperlink>
    </w:p>
  </w:footnote>
  <w:footnote w:id="114">
    <w:p w14:paraId="7349D26F"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w:t>
      </w:r>
      <w:hyperlink r:id="rId89" w:history="1">
        <w:r w:rsidRPr="009436FC">
          <w:rPr>
            <w:rStyle w:val="Hipervnculo"/>
            <w:rFonts w:ascii="Open Sans" w:hAnsi="Open Sans" w:cs="Open Sans"/>
            <w:sz w:val="18"/>
            <w:szCs w:val="18"/>
            <w:lang w:val="en-US"/>
          </w:rPr>
          <w:t>http://www.elconfidencial.com/empresas/2014-12-14/guia-rapida-para-no-perderse-en-los-papeles-de-luxleaks_590143/</w:t>
        </w:r>
      </w:hyperlink>
    </w:p>
  </w:footnote>
  <w:footnote w:id="115">
    <w:p w14:paraId="721ADD50"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w:t>
      </w:r>
      <w:hyperlink r:id="rId90" w:history="1">
        <w:r w:rsidRPr="009436FC">
          <w:rPr>
            <w:rStyle w:val="Hipervnculo"/>
            <w:rFonts w:ascii="Open Sans" w:hAnsi="Open Sans" w:cs="Open Sans"/>
            <w:sz w:val="18"/>
            <w:szCs w:val="18"/>
            <w:lang w:val="en-US"/>
          </w:rPr>
          <w:t>http://www.elconfidencial.com/empresas/2014-12-10/amadeus-los-fondos-no-tributaron-por-el-pelotazo-de-1-600-millones-en-la-opv_552950/</w:t>
        </w:r>
      </w:hyperlink>
    </w:p>
  </w:footnote>
  <w:footnote w:id="116">
    <w:p w14:paraId="0BA942F9"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w:t>
      </w:r>
      <w:hyperlink r:id="rId91" w:history="1">
        <w:r w:rsidRPr="009436FC">
          <w:rPr>
            <w:rStyle w:val="Hipervnculo"/>
            <w:rFonts w:ascii="Open Sans" w:hAnsi="Open Sans" w:cs="Open Sans"/>
            <w:sz w:val="18"/>
            <w:szCs w:val="18"/>
            <w:lang w:val="en-US"/>
          </w:rPr>
          <w:t>http://www.eleconomista.es/economia/noticias/6221631/11/14/Luxemburgo-un-paraiso-de-elusion-fiscal-dentro-de-la-UE-casi-350-multinacionales-afincadas.html</w:t>
        </w:r>
      </w:hyperlink>
    </w:p>
  </w:footnote>
  <w:footnote w:id="117">
    <w:p w14:paraId="777AF623"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w:t>
      </w:r>
      <w:hyperlink r:id="rId92" w:history="1">
        <w:r w:rsidRPr="009436FC">
          <w:rPr>
            <w:rStyle w:val="Hipervnculo"/>
            <w:rFonts w:ascii="Open Sans" w:hAnsi="Open Sans" w:cs="Open Sans"/>
            <w:sz w:val="18"/>
            <w:szCs w:val="18"/>
            <w:lang w:val="en-US"/>
          </w:rPr>
          <w:t>http://internacional.elpais.com/internacional/2014/11/07/actualidad/1415392696_437334.html</w:t>
        </w:r>
      </w:hyperlink>
    </w:p>
  </w:footnote>
  <w:footnote w:id="118">
    <w:p w14:paraId="434198F2" w14:textId="77777777" w:rsidR="007F55EB" w:rsidRPr="009436FC" w:rsidRDefault="007F55EB" w:rsidP="009436FC">
      <w:pPr>
        <w:pStyle w:val="Textonotapie"/>
        <w:rPr>
          <w:rFonts w:ascii="Open Sans" w:hAnsi="Open Sans" w:cs="Open Sans"/>
          <w:sz w:val="18"/>
          <w:szCs w:val="18"/>
          <w:lang w:val="en-US"/>
        </w:rPr>
      </w:pPr>
      <w:r w:rsidRPr="009436FC">
        <w:rPr>
          <w:rStyle w:val="Refdenotaalpie"/>
          <w:rFonts w:ascii="Open Sans" w:eastAsiaTheme="minorEastAsia" w:hAnsi="Open Sans" w:cs="Open Sans"/>
          <w:sz w:val="18"/>
          <w:szCs w:val="18"/>
        </w:rPr>
        <w:footnoteRef/>
      </w:r>
      <w:r w:rsidRPr="009436FC">
        <w:rPr>
          <w:rFonts w:ascii="Open Sans" w:hAnsi="Open Sans" w:cs="Open Sans"/>
          <w:sz w:val="18"/>
          <w:szCs w:val="18"/>
          <w:lang w:val="en-US"/>
        </w:rPr>
        <w:t xml:space="preserve"> </w:t>
      </w:r>
      <w:hyperlink r:id="rId93" w:history="1">
        <w:r w:rsidRPr="009436FC">
          <w:rPr>
            <w:rStyle w:val="Hipervnculo"/>
            <w:rFonts w:ascii="Open Sans" w:hAnsi="Open Sans" w:cs="Open Sans"/>
            <w:sz w:val="18"/>
            <w:szCs w:val="18"/>
            <w:lang w:val="en-US"/>
          </w:rPr>
          <w:t>http://www.inspectoresdehacienda.org/attachments/Documento26.pdf</w:t>
        </w:r>
      </w:hyperlink>
      <w:r w:rsidRPr="009436FC">
        <w:rPr>
          <w:rFonts w:ascii="Open Sans" w:hAnsi="Open Sans" w:cs="Open Sans"/>
          <w:sz w:val="18"/>
          <w:szCs w:val="18"/>
          <w:lang w:val="en-US"/>
        </w:rPr>
        <w:t xml:space="preserve"> </w:t>
      </w:r>
    </w:p>
  </w:footnote>
  <w:footnote w:id="119">
    <w:p w14:paraId="4CA21EEE" w14:textId="77777777" w:rsidR="007F55EB" w:rsidRPr="0090659A" w:rsidRDefault="007F55EB" w:rsidP="0090659A">
      <w:pPr>
        <w:pStyle w:val="Textonotapie"/>
        <w:rPr>
          <w:rFonts w:ascii="Open Sans" w:hAnsi="Open Sans" w:cs="Open Sans"/>
          <w:sz w:val="18"/>
          <w:szCs w:val="18"/>
          <w:lang w:val="es-ES_tradnl"/>
        </w:rPr>
      </w:pPr>
      <w:r w:rsidRPr="0090659A">
        <w:rPr>
          <w:rStyle w:val="Refdenotaalpie"/>
          <w:rFonts w:ascii="Open Sans" w:hAnsi="Open Sans" w:cs="Open Sans"/>
          <w:sz w:val="18"/>
          <w:szCs w:val="18"/>
        </w:rPr>
        <w:footnoteRef/>
      </w:r>
      <w:r w:rsidRPr="0090659A">
        <w:rPr>
          <w:rFonts w:ascii="Open Sans" w:hAnsi="Open Sans" w:cs="Open Sans"/>
          <w:sz w:val="18"/>
          <w:szCs w:val="18"/>
        </w:rPr>
        <w:t xml:space="preserve"> </w:t>
      </w:r>
      <w:r w:rsidRPr="0090659A">
        <w:rPr>
          <w:rFonts w:ascii="Open Sans" w:eastAsia="Calibri" w:hAnsi="Open Sans" w:cs="Open Sans"/>
          <w:color w:val="000000"/>
          <w:sz w:val="18"/>
          <w:szCs w:val="18"/>
        </w:rPr>
        <w:t>Informe y cuentas anuales 2015, pág. 16</w:t>
      </w:r>
    </w:p>
  </w:footnote>
  <w:footnote w:id="120">
    <w:p w14:paraId="6C4CE2D1" w14:textId="732181AB" w:rsidR="007F55EB" w:rsidRPr="0090659A" w:rsidRDefault="007F55EB" w:rsidP="0090659A">
      <w:pPr>
        <w:pStyle w:val="Textonotapie"/>
        <w:rPr>
          <w:rFonts w:ascii="Open Sans" w:hAnsi="Open Sans" w:cs="Open Sans"/>
          <w:sz w:val="18"/>
          <w:szCs w:val="18"/>
        </w:rPr>
      </w:pPr>
      <w:r w:rsidRPr="0090659A">
        <w:rPr>
          <w:rStyle w:val="Refdenotaalpie"/>
          <w:rFonts w:ascii="Open Sans" w:hAnsi="Open Sans" w:cs="Open Sans"/>
          <w:sz w:val="18"/>
          <w:szCs w:val="18"/>
        </w:rPr>
        <w:footnoteRef/>
      </w:r>
      <w:r w:rsidRPr="0090659A">
        <w:rPr>
          <w:rFonts w:ascii="Open Sans" w:hAnsi="Open Sans" w:cs="Open Sans"/>
          <w:sz w:val="18"/>
          <w:szCs w:val="18"/>
        </w:rPr>
        <w:t xml:space="preserve"> </w:t>
      </w:r>
      <w:hyperlink r:id="rId94" w:history="1">
        <w:r w:rsidRPr="0090659A">
          <w:rPr>
            <w:rStyle w:val="Hipervnculo"/>
            <w:rFonts w:ascii="Open Sans" w:hAnsi="Open Sans" w:cs="Open Sans"/>
            <w:sz w:val="18"/>
            <w:szCs w:val="18"/>
          </w:rPr>
          <w:t>http://www.eleconomista.es/empresas-finanzas/noticias/6873544/07/15/IAG-escruta-el-gasto-en-impuestos-ante-su-salto-al-paraiso-de-Irlanda-.html</w:t>
        </w:r>
      </w:hyperlink>
    </w:p>
  </w:footnote>
  <w:footnote w:id="121">
    <w:p w14:paraId="5CA650B5" w14:textId="77777777" w:rsidR="007F55EB" w:rsidRDefault="007F55EB" w:rsidP="0090659A">
      <w:pPr>
        <w:pStyle w:val="Textonotapie"/>
        <w:rPr>
          <w:rFonts w:cs="Open Sans"/>
          <w:szCs w:val="18"/>
        </w:rPr>
      </w:pPr>
      <w:r w:rsidRPr="0090659A">
        <w:rPr>
          <w:rStyle w:val="Refdenotaalpie"/>
          <w:rFonts w:ascii="Open Sans" w:hAnsi="Open Sans" w:cs="Open Sans"/>
          <w:sz w:val="18"/>
          <w:szCs w:val="18"/>
        </w:rPr>
        <w:footnoteRef/>
      </w:r>
      <w:r w:rsidRPr="0090659A">
        <w:rPr>
          <w:rFonts w:ascii="Open Sans" w:hAnsi="Open Sans" w:cs="Open Sans"/>
          <w:sz w:val="18"/>
          <w:szCs w:val="18"/>
        </w:rPr>
        <w:t xml:space="preserve"> Informe anual 2015, página 168.</w:t>
      </w:r>
    </w:p>
  </w:footnote>
  <w:footnote w:id="122">
    <w:p w14:paraId="737305FE" w14:textId="77777777" w:rsidR="007F55EB" w:rsidRPr="00FD6A83" w:rsidRDefault="007F55EB" w:rsidP="0090659A">
      <w:pPr>
        <w:pStyle w:val="Textonotapie"/>
        <w:rPr>
          <w:rFonts w:ascii="Open Sans" w:hAnsi="Open Sans" w:cs="Open Sans"/>
          <w:sz w:val="18"/>
          <w:szCs w:val="18"/>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Política General de Responsabilidad Social Corporativa de Acerinox, página 6.</w:t>
      </w:r>
    </w:p>
  </w:footnote>
  <w:footnote w:id="123">
    <w:p w14:paraId="1EB9E41A" w14:textId="77777777" w:rsidR="007F55EB" w:rsidRPr="00FD6A83" w:rsidRDefault="007F55EB" w:rsidP="0090659A">
      <w:pPr>
        <w:pStyle w:val="Textonotapie"/>
        <w:rPr>
          <w:rFonts w:ascii="Open Sans" w:hAnsi="Open Sans" w:cs="Open Sans"/>
          <w:sz w:val="18"/>
          <w:szCs w:val="18"/>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Política General de Responsabilidad Social Corporativa de Acerinox, página 5.</w:t>
      </w:r>
    </w:p>
  </w:footnote>
  <w:footnote w:id="124">
    <w:p w14:paraId="5C707277" w14:textId="77777777" w:rsidR="007F55EB" w:rsidRPr="00FD6A83" w:rsidRDefault="007F55EB" w:rsidP="0090659A">
      <w:pPr>
        <w:pStyle w:val="Textonotapie"/>
        <w:rPr>
          <w:rFonts w:ascii="Open Sans" w:hAnsi="Open Sans" w:cs="Open Sans"/>
          <w:bCs/>
          <w:sz w:val="18"/>
          <w:szCs w:val="18"/>
          <w:lang w:val="es-ES_tradnl"/>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hyperlink r:id="rId95" w:history="1">
        <w:r w:rsidRPr="00FD6A83">
          <w:rPr>
            <w:rStyle w:val="Hipervnculo"/>
            <w:rFonts w:ascii="Open Sans" w:hAnsi="Open Sans" w:cs="Open Sans"/>
            <w:bCs/>
            <w:sz w:val="18"/>
            <w:szCs w:val="18"/>
            <w:lang w:val="es-ES_tradnl"/>
          </w:rPr>
          <w:t>Irlanda se revela como refugio fiscal y productivo entre las ‘Big Pharma’</w:t>
        </w:r>
      </w:hyperlink>
    </w:p>
  </w:footnote>
  <w:footnote w:id="125">
    <w:p w14:paraId="60E421D6" w14:textId="77777777" w:rsidR="007F55EB" w:rsidRPr="00FD6A83" w:rsidRDefault="007F55EB" w:rsidP="0090659A">
      <w:pPr>
        <w:pStyle w:val="Textonotapie"/>
        <w:rPr>
          <w:rFonts w:ascii="Open Sans" w:hAnsi="Open Sans" w:cs="Open Sans"/>
          <w:sz w:val="18"/>
          <w:szCs w:val="18"/>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hyperlink r:id="rId96" w:history="1">
        <w:r w:rsidRPr="00FD6A83">
          <w:rPr>
            <w:rStyle w:val="Hipervnculo"/>
            <w:rFonts w:ascii="Open Sans" w:hAnsi="Open Sans" w:cs="Open Sans"/>
            <w:sz w:val="18"/>
            <w:szCs w:val="18"/>
          </w:rPr>
          <w:t>http://cincodias.com/cincodias/2015/02/19/empresas/1424376289_923285.html</w:t>
        </w:r>
      </w:hyperlink>
    </w:p>
  </w:footnote>
  <w:footnote w:id="126">
    <w:p w14:paraId="2AF2EA15" w14:textId="77777777" w:rsidR="007F55EB" w:rsidRPr="00FD6A83" w:rsidRDefault="007F55EB" w:rsidP="0090659A">
      <w:pPr>
        <w:pStyle w:val="Textonotapie"/>
        <w:rPr>
          <w:rFonts w:ascii="Open Sans" w:hAnsi="Open Sans" w:cs="Open Sans"/>
          <w:sz w:val="18"/>
          <w:szCs w:val="18"/>
          <w:lang w:eastAsia="zh-CN"/>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hyperlink r:id="rId97" w:history="1">
        <w:r w:rsidRPr="00FD6A83">
          <w:rPr>
            <w:rStyle w:val="Hipervnculo"/>
            <w:rFonts w:ascii="Open Sans" w:hAnsi="Open Sans" w:cs="Open Sans"/>
            <w:sz w:val="18"/>
            <w:szCs w:val="18"/>
          </w:rPr>
          <w:t>http://www.eltriangle.eu/es/notices/2016/12/acciona-confiesa-que-tiene-40-filiales-radicadas-en-ocho-paraisos-fiscales-6969.php</w:t>
        </w:r>
      </w:hyperlink>
    </w:p>
    <w:p w14:paraId="440AEB37" w14:textId="77777777" w:rsidR="007F55EB" w:rsidRPr="00FD6A83" w:rsidRDefault="007F55EB" w:rsidP="0090659A">
      <w:pPr>
        <w:pStyle w:val="Textonotapie"/>
        <w:rPr>
          <w:rFonts w:ascii="Open Sans" w:hAnsi="Open Sans" w:cs="Open Sans"/>
          <w:sz w:val="18"/>
          <w:szCs w:val="18"/>
        </w:rPr>
      </w:pPr>
      <w:hyperlink r:id="rId98" w:history="1">
        <w:r w:rsidRPr="00FD6A83">
          <w:rPr>
            <w:rStyle w:val="Hipervnculo"/>
            <w:rFonts w:ascii="Open Sans" w:hAnsi="Open Sans" w:cs="Open Sans"/>
            <w:sz w:val="18"/>
            <w:szCs w:val="18"/>
          </w:rPr>
          <w:t>http://www.eltriangle.eu/es/notices/2016/12/acciona-confiesa-que-tiene-40-filiales-radicadas-en-ocho-paraisos-fiscales-6969.php</w:t>
        </w:r>
      </w:hyperlink>
    </w:p>
    <w:p w14:paraId="71EE70AC" w14:textId="77777777" w:rsidR="007F55EB" w:rsidRPr="00FD6A83" w:rsidRDefault="007F55EB" w:rsidP="0090659A">
      <w:pPr>
        <w:pStyle w:val="Textonotapie"/>
        <w:rPr>
          <w:rFonts w:ascii="Open Sans" w:hAnsi="Open Sans" w:cs="Open Sans"/>
          <w:sz w:val="18"/>
          <w:szCs w:val="18"/>
        </w:rPr>
      </w:pPr>
      <w:hyperlink r:id="rId99" w:history="1">
        <w:r w:rsidRPr="00FD6A83">
          <w:rPr>
            <w:rStyle w:val="Hipervnculo"/>
            <w:rFonts w:ascii="Open Sans" w:hAnsi="Open Sans" w:cs="Open Sans"/>
            <w:sz w:val="18"/>
            <w:szCs w:val="18"/>
          </w:rPr>
          <w:t>http://www.economiadigital.es/es/notices/2016/01/aigues-de-catalunya-limited-la-empresa-con-matriz-en-cayman-y-bermuda-constituida-para-adquirir-atl-81416.php</w:t>
        </w:r>
      </w:hyperlink>
    </w:p>
  </w:footnote>
  <w:footnote w:id="127">
    <w:p w14:paraId="63657290" w14:textId="77777777" w:rsidR="007F55EB" w:rsidRPr="00FD6A83" w:rsidRDefault="007F55EB" w:rsidP="0090659A">
      <w:pPr>
        <w:pStyle w:val="Textonotapie"/>
        <w:rPr>
          <w:rFonts w:ascii="Open Sans" w:hAnsi="Open Sans" w:cs="Open Sans"/>
          <w:sz w:val="18"/>
          <w:szCs w:val="18"/>
          <w:lang w:val="es-ES_tradnl"/>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r w:rsidRPr="00FD6A83">
        <w:rPr>
          <w:rFonts w:ascii="Open Sans" w:hAnsi="Open Sans" w:cs="Open Sans"/>
          <w:sz w:val="18"/>
          <w:szCs w:val="18"/>
          <w:lang w:val="es-ES_tradnl"/>
        </w:rPr>
        <w:t>Memoria Anual 2015, pág. 158</w:t>
      </w:r>
    </w:p>
  </w:footnote>
  <w:footnote w:id="128">
    <w:p w14:paraId="45E8F6B9" w14:textId="77777777" w:rsidR="007F55EB" w:rsidRPr="00FD6A83" w:rsidRDefault="007F55EB" w:rsidP="0090659A">
      <w:pPr>
        <w:pStyle w:val="Textonotapie"/>
        <w:rPr>
          <w:rFonts w:ascii="Open Sans" w:hAnsi="Open Sans" w:cs="Open Sans"/>
          <w:b/>
          <w:bCs/>
          <w:sz w:val="18"/>
          <w:szCs w:val="18"/>
          <w:lang w:val="es-ES_tradnl"/>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hyperlink r:id="rId100" w:history="1">
        <w:r w:rsidRPr="00FD6A83">
          <w:rPr>
            <w:rStyle w:val="Hipervnculo"/>
            <w:rFonts w:ascii="Open Sans" w:hAnsi="Open Sans" w:cs="Open Sans"/>
            <w:bCs/>
            <w:sz w:val="18"/>
            <w:szCs w:val="18"/>
            <w:lang w:val="es-ES_tradnl"/>
          </w:rPr>
          <w:t>Goa Invest, la constructora de Zara, gana el doble que Copasa y el triple que San José</w:t>
        </w:r>
      </w:hyperlink>
    </w:p>
  </w:footnote>
  <w:footnote w:id="129">
    <w:p w14:paraId="154DED14" w14:textId="77777777" w:rsidR="007F55EB" w:rsidRPr="00FD6A83" w:rsidRDefault="007F55EB" w:rsidP="0090659A">
      <w:pPr>
        <w:pStyle w:val="Textonotapie"/>
        <w:rPr>
          <w:rFonts w:ascii="Open Sans" w:hAnsi="Open Sans" w:cs="Open Sans"/>
          <w:sz w:val="18"/>
          <w:szCs w:val="18"/>
          <w:lang w:val="es-ES_tradnl"/>
        </w:rPr>
      </w:pPr>
      <w:r w:rsidRPr="00FD6A83">
        <w:rPr>
          <w:rStyle w:val="Refdenotaalpie"/>
          <w:rFonts w:ascii="Open Sans" w:hAnsi="Open Sans" w:cs="Open Sans"/>
          <w:sz w:val="18"/>
          <w:szCs w:val="18"/>
        </w:rPr>
        <w:footnoteRef/>
      </w:r>
      <w:r w:rsidRPr="00FD6A83">
        <w:rPr>
          <w:rFonts w:ascii="Open Sans" w:hAnsi="Open Sans" w:cs="Open Sans"/>
          <w:sz w:val="18"/>
          <w:szCs w:val="18"/>
          <w:lang w:val="es-ES_tradnl"/>
        </w:rPr>
        <w:t xml:space="preserve"> https://appls.fr.ch/hrcmatic/hrcintapp/externalCompanyReport.action?companyOfrcId13=CH-217-0190429-1&amp;ofrcLanguage=1</w:t>
      </w:r>
    </w:p>
  </w:footnote>
  <w:footnote w:id="130">
    <w:p w14:paraId="698CD1E2" w14:textId="77777777" w:rsidR="007F55EB" w:rsidRPr="00FD6A83" w:rsidRDefault="007F55EB" w:rsidP="0090659A">
      <w:pPr>
        <w:pStyle w:val="Textonotapie"/>
        <w:rPr>
          <w:rFonts w:ascii="Open Sans" w:hAnsi="Open Sans" w:cs="Open Sans"/>
          <w:sz w:val="18"/>
          <w:szCs w:val="18"/>
          <w:lang w:val="en-GB"/>
        </w:rPr>
      </w:pPr>
      <w:r w:rsidRPr="00FD6A83">
        <w:rPr>
          <w:rStyle w:val="Refdenotaalpie"/>
          <w:rFonts w:ascii="Open Sans" w:hAnsi="Open Sans" w:cs="Open Sans"/>
          <w:sz w:val="18"/>
          <w:szCs w:val="18"/>
        </w:rPr>
        <w:footnoteRef/>
      </w:r>
      <w:r w:rsidRPr="00FD6A83">
        <w:rPr>
          <w:rFonts w:ascii="Open Sans" w:hAnsi="Open Sans" w:cs="Open Sans"/>
          <w:sz w:val="18"/>
          <w:szCs w:val="18"/>
          <w:lang w:val="en-GB"/>
        </w:rPr>
        <w:t xml:space="preserve"> </w:t>
      </w:r>
      <w:hyperlink r:id="rId101" w:history="1">
        <w:proofErr w:type="gramStart"/>
        <w:r w:rsidRPr="00FD6A83">
          <w:rPr>
            <w:rStyle w:val="Hipervnculo"/>
            <w:rFonts w:ascii="Open Sans" w:hAnsi="Open Sans" w:cs="Open Sans"/>
            <w:sz w:val="18"/>
            <w:szCs w:val="18"/>
            <w:lang w:val="en-GB"/>
          </w:rPr>
          <w:t>Financial secrecy index</w:t>
        </w:r>
      </w:hyperlink>
      <w:r w:rsidRPr="00FD6A83">
        <w:rPr>
          <w:rFonts w:ascii="Open Sans" w:hAnsi="Open Sans" w:cs="Open Sans"/>
          <w:sz w:val="18"/>
          <w:szCs w:val="18"/>
          <w:lang w:val="en-GB"/>
        </w:rPr>
        <w:t>.</w:t>
      </w:r>
      <w:proofErr w:type="gramEnd"/>
      <w:r w:rsidRPr="00FD6A83">
        <w:rPr>
          <w:rFonts w:ascii="Open Sans" w:hAnsi="Open Sans" w:cs="Open Sans"/>
          <w:sz w:val="18"/>
          <w:szCs w:val="18"/>
          <w:lang w:val="en-GB"/>
        </w:rPr>
        <w:t xml:space="preserve"> Alemania, Tax Justice Network. </w:t>
      </w:r>
    </w:p>
  </w:footnote>
  <w:footnote w:id="131">
    <w:p w14:paraId="5A5CBF17" w14:textId="77777777" w:rsidR="007F55EB" w:rsidRPr="00FD6A83" w:rsidRDefault="007F55EB" w:rsidP="0090659A">
      <w:pPr>
        <w:pStyle w:val="Textonotapie"/>
        <w:jc w:val="both"/>
        <w:rPr>
          <w:rFonts w:ascii="Open Sans" w:hAnsi="Open Sans" w:cs="Open Sans"/>
          <w:sz w:val="18"/>
          <w:szCs w:val="18"/>
          <w:lang w:val="es-ES_tradnl"/>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r w:rsidRPr="00FD6A83">
        <w:rPr>
          <w:rFonts w:ascii="Open Sans" w:hAnsi="Open Sans" w:cs="Open Sans"/>
          <w:sz w:val="18"/>
          <w:szCs w:val="18"/>
          <w:lang w:val="es-ES_tradnl"/>
        </w:rPr>
        <w:t xml:space="preserve">Indra sigue el último listado (2015) de la organización Tax Justice Network para considerar un país como paraíso fiscal. </w:t>
      </w:r>
    </w:p>
  </w:footnote>
  <w:footnote w:id="132">
    <w:p w14:paraId="331BB617" w14:textId="77777777" w:rsidR="007F55EB" w:rsidRPr="00FD6A83" w:rsidRDefault="007F55EB" w:rsidP="0090659A">
      <w:pPr>
        <w:pStyle w:val="Textonotapie"/>
        <w:rPr>
          <w:rFonts w:ascii="Open Sans" w:hAnsi="Open Sans" w:cs="Open Sans"/>
          <w:sz w:val="18"/>
          <w:szCs w:val="18"/>
          <w:lang w:eastAsia="zh-CN"/>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w:t>
      </w:r>
      <w:hyperlink r:id="rId102" w:history="1">
        <w:r w:rsidRPr="00FD6A83">
          <w:rPr>
            <w:rStyle w:val="Hipervnculo"/>
            <w:rFonts w:ascii="Open Sans" w:hAnsi="Open Sans" w:cs="Open Sans"/>
            <w:sz w:val="18"/>
            <w:szCs w:val="18"/>
          </w:rPr>
          <w:t>https://www.repsol.com/es_es/corporacion/responsabilidad-corporativa/nuestros-compromisos/fiscalidad/paraisos-fiscales/</w:t>
        </w:r>
      </w:hyperlink>
      <w:r w:rsidRPr="00FD6A83">
        <w:rPr>
          <w:rFonts w:ascii="Open Sans" w:hAnsi="Open Sans" w:cs="Open Sans"/>
          <w:sz w:val="18"/>
          <w:szCs w:val="18"/>
        </w:rPr>
        <w:t xml:space="preserve"> </w:t>
      </w:r>
    </w:p>
  </w:footnote>
  <w:footnote w:id="133">
    <w:p w14:paraId="19300EA4" w14:textId="77777777" w:rsidR="007F55EB" w:rsidRPr="00FD6A83" w:rsidRDefault="007F55EB" w:rsidP="0045726F">
      <w:pPr>
        <w:pStyle w:val="Textonotapie"/>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Sistema Fiscal en Países Bajos. Oficina Económica y Comercial de la Embajada de España en La Haya. </w:t>
      </w:r>
      <w:hyperlink r:id="rId103" w:history="1">
        <w:r w:rsidRPr="00FD6A83">
          <w:rPr>
            <w:rStyle w:val="Hipervnculo"/>
            <w:rFonts w:ascii="Open Sans" w:hAnsi="Open Sans" w:cs="Open Sans"/>
            <w:sz w:val="18"/>
            <w:szCs w:val="18"/>
            <w:lang w:val="fr-FR"/>
          </w:rPr>
          <w:t>http://www.observatoriorli.org/docs/PAISES_BAJOS/FISCALIDAD_Paises_Bajos.pdf</w:t>
        </w:r>
      </w:hyperlink>
      <w:r w:rsidRPr="00FD6A83">
        <w:rPr>
          <w:rFonts w:ascii="Open Sans" w:hAnsi="Open Sans" w:cs="Open Sans"/>
          <w:sz w:val="18"/>
          <w:szCs w:val="18"/>
          <w:lang w:val="fr-FR"/>
        </w:rPr>
        <w:t xml:space="preserve"> </w:t>
      </w:r>
    </w:p>
  </w:footnote>
  <w:footnote w:id="134">
    <w:p w14:paraId="492556F0" w14:textId="77777777" w:rsidR="007F55EB" w:rsidRPr="00FD6A83" w:rsidRDefault="007F55EB" w:rsidP="0090659A">
      <w:pPr>
        <w:pStyle w:val="Textonotapie"/>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04" w:history="1">
        <w:r w:rsidRPr="00FD6A83">
          <w:rPr>
            <w:rStyle w:val="Hipervnculo"/>
            <w:rFonts w:ascii="Open Sans" w:hAnsi="Open Sans" w:cs="Open Sans"/>
            <w:sz w:val="18"/>
            <w:szCs w:val="18"/>
            <w:lang w:val="fr-FR"/>
          </w:rPr>
          <w:t>https://opencorporates.com/companies/us_de/3626949</w:t>
        </w:r>
      </w:hyperlink>
      <w:r w:rsidRPr="00FD6A83">
        <w:rPr>
          <w:rFonts w:ascii="Open Sans" w:hAnsi="Open Sans" w:cs="Open Sans"/>
          <w:sz w:val="18"/>
          <w:szCs w:val="18"/>
          <w:lang w:val="fr-FR"/>
        </w:rPr>
        <w:t xml:space="preserve"> </w:t>
      </w:r>
    </w:p>
  </w:footnote>
  <w:footnote w:id="135">
    <w:p w14:paraId="38851313" w14:textId="77777777" w:rsidR="007F55EB" w:rsidRPr="00FD6A83" w:rsidRDefault="007F55EB" w:rsidP="0090659A">
      <w:pPr>
        <w:pStyle w:val="Textonotapie"/>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05" w:history="1">
        <w:r w:rsidRPr="00FD6A83">
          <w:rPr>
            <w:rStyle w:val="Hipervnculo"/>
            <w:rFonts w:ascii="Open Sans" w:hAnsi="Open Sans" w:cs="Open Sans"/>
            <w:sz w:val="18"/>
            <w:szCs w:val="18"/>
            <w:lang w:val="fr-FR"/>
          </w:rPr>
          <w:t>http://www.cnmv.es/Portal/HR/verDoc.axd?t={7cdefdd6-fb42-49e9-ae80-5f766522c002}</w:t>
        </w:r>
      </w:hyperlink>
      <w:r w:rsidRPr="00FD6A83">
        <w:rPr>
          <w:rFonts w:ascii="Open Sans" w:hAnsi="Open Sans" w:cs="Open Sans"/>
          <w:sz w:val="18"/>
          <w:szCs w:val="18"/>
          <w:lang w:val="fr-FR"/>
        </w:rPr>
        <w:t xml:space="preserve"> </w:t>
      </w:r>
    </w:p>
  </w:footnote>
  <w:footnote w:id="136">
    <w:p w14:paraId="0E78DA78" w14:textId="77777777" w:rsidR="007F55EB" w:rsidRPr="00FD6A83" w:rsidRDefault="007F55EB" w:rsidP="0090659A">
      <w:pPr>
        <w:pStyle w:val="Textonotapie"/>
        <w:rPr>
          <w:rFonts w:ascii="Open Sans" w:hAnsi="Open Sans" w:cs="Open Sans"/>
          <w:sz w:val="18"/>
          <w:szCs w:val="18"/>
          <w:lang w:val="fr-FR" w:eastAsia="zh-CN"/>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06" w:history="1">
        <w:r w:rsidRPr="00FD6A83">
          <w:rPr>
            <w:rStyle w:val="Hipervnculo"/>
            <w:rFonts w:ascii="Open Sans" w:hAnsi="Open Sans" w:cs="Open Sans"/>
            <w:sz w:val="18"/>
            <w:szCs w:val="18"/>
            <w:lang w:val="fr-FR"/>
          </w:rPr>
          <w:t>http://www.eldiario.es/economia/Gobierno-Aena-radicado-Islas-Caiman_0_349965739.html</w:t>
        </w:r>
      </w:hyperlink>
    </w:p>
  </w:footnote>
  <w:footnote w:id="137">
    <w:p w14:paraId="4D61E9B0" w14:textId="77777777" w:rsidR="007F55EB" w:rsidRPr="00FD6A83" w:rsidRDefault="007F55EB" w:rsidP="0090659A">
      <w:pPr>
        <w:pStyle w:val="Textonotapie"/>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07" w:history="1">
        <w:r w:rsidRPr="00FD6A83">
          <w:rPr>
            <w:rStyle w:val="Hipervnculo"/>
            <w:rFonts w:ascii="Open Sans" w:hAnsi="Open Sans" w:cs="Open Sans"/>
            <w:sz w:val="18"/>
            <w:szCs w:val="18"/>
            <w:lang w:val="fr-FR"/>
          </w:rPr>
          <w:t>https://opencorporates.com/companies/pa/142853</w:t>
        </w:r>
      </w:hyperlink>
    </w:p>
  </w:footnote>
  <w:footnote w:id="138">
    <w:p w14:paraId="404ED257" w14:textId="77777777" w:rsidR="007F55EB" w:rsidRPr="00FD6A83" w:rsidRDefault="007F55EB" w:rsidP="0090659A">
      <w:pPr>
        <w:pStyle w:val="Textonotapie"/>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08" w:history="1">
        <w:r w:rsidRPr="00FD6A83">
          <w:rPr>
            <w:rStyle w:val="Hipervnculo"/>
            <w:rFonts w:ascii="Open Sans" w:hAnsi="Open Sans" w:cs="Open Sans"/>
            <w:sz w:val="18"/>
            <w:szCs w:val="18"/>
            <w:lang w:val="fr-FR"/>
          </w:rPr>
          <w:t>http://www.registro-publico.gob.pa/consultasweb/api/index.php/ObtenerFolio/1199778/1</w:t>
        </w:r>
      </w:hyperlink>
    </w:p>
  </w:footnote>
  <w:footnote w:id="139">
    <w:p w14:paraId="2AE81F6F" w14:textId="77777777" w:rsidR="007F55EB" w:rsidRPr="00FD6A83" w:rsidRDefault="007F55EB" w:rsidP="0090659A">
      <w:pPr>
        <w:pStyle w:val="Textonotapie"/>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09" w:history="1">
        <w:r w:rsidRPr="00FD6A83">
          <w:rPr>
            <w:rStyle w:val="Hipervnculo"/>
            <w:rFonts w:ascii="Open Sans" w:hAnsi="Open Sans" w:cs="Open Sans"/>
            <w:sz w:val="18"/>
            <w:szCs w:val="18"/>
            <w:lang w:val="fr-FR"/>
          </w:rPr>
          <w:t>https://opencorporates.com/companies/bm/29530</w:t>
        </w:r>
      </w:hyperlink>
    </w:p>
  </w:footnote>
  <w:footnote w:id="140">
    <w:p w14:paraId="260AB846" w14:textId="77777777" w:rsidR="007F55EB" w:rsidRPr="00FD6A83" w:rsidRDefault="007F55EB" w:rsidP="0090659A">
      <w:pPr>
        <w:rPr>
          <w:rFonts w:ascii="Open Sans" w:hAnsi="Open Sans" w:cs="Open Sans"/>
          <w:sz w:val="18"/>
          <w:szCs w:val="18"/>
          <w:lang w:val="fr-FR" w:eastAsia="en-US"/>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10" w:history="1">
        <w:r w:rsidRPr="00FD6A83">
          <w:rPr>
            <w:rStyle w:val="Hipervnculo"/>
            <w:rFonts w:ascii="Open Sans" w:hAnsi="Open Sans" w:cs="Open Sans"/>
            <w:sz w:val="18"/>
            <w:szCs w:val="18"/>
            <w:lang w:val="fr-FR"/>
          </w:rPr>
          <w:t>http://www.grupovillarmir.es/Divisiones/Concesiones,Construcci%C3%B3nyServicios/tabid/88/Default.aspx</w:t>
        </w:r>
      </w:hyperlink>
      <w:r w:rsidRPr="00FD6A83">
        <w:rPr>
          <w:rFonts w:ascii="Open Sans" w:hAnsi="Open Sans" w:cs="Open Sans"/>
          <w:sz w:val="18"/>
          <w:szCs w:val="18"/>
          <w:lang w:val="fr-FR"/>
        </w:rPr>
        <w:t xml:space="preserve"> </w:t>
      </w:r>
    </w:p>
  </w:footnote>
  <w:footnote w:id="141">
    <w:p w14:paraId="044C0BD5" w14:textId="77777777" w:rsidR="007F55EB" w:rsidRPr="00FD6A83" w:rsidRDefault="007F55EB" w:rsidP="0090659A">
      <w:pPr>
        <w:rPr>
          <w:rFonts w:ascii="Open Sans" w:hAnsi="Open Sans" w:cs="Open Sans"/>
          <w:sz w:val="18"/>
          <w:szCs w:val="18"/>
          <w:lang w:val="fr-FR"/>
        </w:rPr>
      </w:pPr>
      <w:r w:rsidRPr="00FD6A83">
        <w:rPr>
          <w:rStyle w:val="Refdenotaalpie"/>
          <w:rFonts w:ascii="Open Sans" w:hAnsi="Open Sans" w:cs="Open Sans"/>
          <w:sz w:val="18"/>
          <w:szCs w:val="18"/>
        </w:rPr>
        <w:footnoteRef/>
      </w:r>
      <w:r w:rsidRPr="00FD6A83">
        <w:rPr>
          <w:rFonts w:ascii="Open Sans" w:hAnsi="Open Sans" w:cs="Open Sans"/>
          <w:sz w:val="18"/>
          <w:szCs w:val="18"/>
          <w:lang w:val="fr-FR"/>
        </w:rPr>
        <w:t xml:space="preserve"> </w:t>
      </w:r>
      <w:hyperlink r:id="rId111" w:history="1">
        <w:r w:rsidRPr="00FD6A83">
          <w:rPr>
            <w:rStyle w:val="Hipervnculo"/>
            <w:rFonts w:ascii="Open Sans" w:hAnsi="Open Sans" w:cs="Open Sans"/>
            <w:sz w:val="18"/>
            <w:szCs w:val="18"/>
            <w:lang w:val="fr-FR"/>
          </w:rPr>
          <w:t>http://www.eldiario.es/economia/Villar-Mir-CEO-OHL-Mauricio_0_576042961.html</w:t>
        </w:r>
      </w:hyperlink>
    </w:p>
  </w:footnote>
  <w:footnote w:id="142">
    <w:p w14:paraId="746E98E8" w14:textId="77777777" w:rsidR="007F55EB" w:rsidRPr="00FD6A83" w:rsidRDefault="007F55EB" w:rsidP="0090659A">
      <w:pPr>
        <w:pStyle w:val="PIePagina-Informe"/>
        <w:rPr>
          <w:sz w:val="18"/>
          <w:szCs w:val="18"/>
          <w:lang w:val="en-US"/>
        </w:rPr>
      </w:pPr>
      <w:r w:rsidRPr="00FD6A83">
        <w:rPr>
          <w:sz w:val="18"/>
          <w:szCs w:val="18"/>
          <w:vertAlign w:val="superscript"/>
        </w:rPr>
        <w:footnoteRef/>
      </w:r>
      <w:r w:rsidRPr="00FD6A83">
        <w:rPr>
          <w:sz w:val="18"/>
          <w:szCs w:val="18"/>
          <w:lang w:val="en-US"/>
        </w:rPr>
        <w:t xml:space="preserve"> Richard Brooks, The great tax robbery.</w:t>
      </w:r>
    </w:p>
  </w:footnote>
  <w:footnote w:id="143">
    <w:p w14:paraId="51ECF4C4" w14:textId="77777777" w:rsidR="007F55EB" w:rsidRPr="00F5507F" w:rsidRDefault="007F55EB" w:rsidP="0090659A">
      <w:pPr>
        <w:pStyle w:val="Textonotapie"/>
        <w:rPr>
          <w:rFonts w:ascii="Open Sans" w:hAnsi="Open Sans" w:cs="Open Sans"/>
          <w:sz w:val="18"/>
          <w:szCs w:val="18"/>
          <w:lang w:val="en-US"/>
        </w:rPr>
      </w:pPr>
      <w:r w:rsidRPr="00F5507F">
        <w:rPr>
          <w:rStyle w:val="Refdenotaalpie"/>
          <w:rFonts w:ascii="Open Sans" w:hAnsi="Open Sans" w:cs="Open Sans"/>
          <w:sz w:val="18"/>
          <w:szCs w:val="18"/>
        </w:rPr>
        <w:footnoteRef/>
      </w:r>
      <w:r w:rsidRPr="00F5507F">
        <w:rPr>
          <w:rFonts w:ascii="Open Sans" w:hAnsi="Open Sans" w:cs="Open Sans"/>
          <w:sz w:val="18"/>
          <w:szCs w:val="18"/>
          <w:lang w:val="en-US"/>
        </w:rPr>
        <w:t xml:space="preserve"> </w:t>
      </w:r>
      <w:hyperlink r:id="rId112" w:history="1">
        <w:r w:rsidRPr="00F5507F">
          <w:rPr>
            <w:rStyle w:val="Hipervnculo"/>
            <w:rFonts w:ascii="Open Sans" w:hAnsi="Open Sans" w:cs="Open Sans"/>
            <w:sz w:val="18"/>
            <w:szCs w:val="18"/>
            <w:lang w:val="en-US"/>
          </w:rPr>
          <w:t>http://www.inspectoresdehacienda.org/attachments/Documento26.pdf</w:t>
        </w:r>
      </w:hyperlink>
    </w:p>
  </w:footnote>
  <w:footnote w:id="144">
    <w:p w14:paraId="38CA56BB" w14:textId="47A2E524" w:rsidR="007F55EB" w:rsidRPr="005933E5" w:rsidRDefault="007F55EB">
      <w:pPr>
        <w:pStyle w:val="Textonotapie"/>
        <w:rPr>
          <w:rFonts w:ascii="Open Sans" w:hAnsi="Open Sans"/>
          <w:sz w:val="18"/>
          <w:szCs w:val="18"/>
          <w:lang w:val="en-US"/>
        </w:rPr>
      </w:pPr>
      <w:r w:rsidRPr="00F5507F">
        <w:rPr>
          <w:rStyle w:val="Refdenotaalpie"/>
          <w:rFonts w:ascii="Open Sans" w:hAnsi="Open Sans"/>
          <w:sz w:val="18"/>
          <w:szCs w:val="18"/>
        </w:rPr>
        <w:footnoteRef/>
      </w:r>
      <w:r w:rsidRPr="005933E5">
        <w:rPr>
          <w:rFonts w:ascii="Open Sans" w:hAnsi="Open Sans"/>
          <w:sz w:val="18"/>
          <w:szCs w:val="18"/>
          <w:lang w:val="en-US"/>
        </w:rPr>
        <w:t xml:space="preserve"> http://economia.elpais.com/economia/2015/10/23/actualidad/1445603926_032821.html</w:t>
      </w:r>
    </w:p>
  </w:footnote>
  <w:footnote w:id="145">
    <w:p w14:paraId="0A76E00B" w14:textId="77777777" w:rsidR="007F55EB" w:rsidRPr="00FD6A83" w:rsidRDefault="007F55EB" w:rsidP="0090659A">
      <w:pPr>
        <w:pStyle w:val="Textonotapie"/>
        <w:rPr>
          <w:rFonts w:ascii="Open Sans" w:hAnsi="Open Sans" w:cs="Open Sans"/>
          <w:sz w:val="18"/>
          <w:szCs w:val="18"/>
          <w:lang w:val="ca-ES"/>
        </w:rPr>
      </w:pPr>
      <w:r w:rsidRPr="00FD6A83">
        <w:rPr>
          <w:rStyle w:val="Refdenotaalpie"/>
          <w:rFonts w:ascii="Open Sans" w:hAnsi="Open Sans" w:cs="Open Sans"/>
          <w:sz w:val="18"/>
          <w:szCs w:val="18"/>
        </w:rPr>
        <w:footnoteRef/>
      </w:r>
      <w:r w:rsidRPr="00FD6A83">
        <w:rPr>
          <w:rFonts w:ascii="Open Sans" w:hAnsi="Open Sans" w:cs="Open Sans"/>
          <w:sz w:val="18"/>
          <w:szCs w:val="18"/>
          <w:lang w:val="en-US"/>
        </w:rPr>
        <w:t xml:space="preserve"> http://www.invertia.com/latibex/banco_frances.asp?id=3</w:t>
      </w:r>
    </w:p>
  </w:footnote>
  <w:footnote w:id="146">
    <w:p w14:paraId="0D7DBB80" w14:textId="77777777" w:rsidR="007F55EB" w:rsidRDefault="007F55EB" w:rsidP="0090659A">
      <w:pPr>
        <w:pStyle w:val="Textonotapie"/>
        <w:rPr>
          <w:rFonts w:ascii="Open Sans" w:hAnsi="Open Sans" w:cs="Open Sans"/>
          <w:sz w:val="16"/>
          <w:szCs w:val="16"/>
          <w:lang w:val="ca-ES"/>
        </w:rPr>
      </w:pPr>
      <w:r w:rsidRPr="00FD6A83">
        <w:rPr>
          <w:rStyle w:val="Refdenotaalpie"/>
          <w:rFonts w:ascii="Open Sans" w:hAnsi="Open Sans" w:cs="Open Sans"/>
          <w:sz w:val="18"/>
          <w:szCs w:val="18"/>
        </w:rPr>
        <w:footnoteRef/>
      </w:r>
      <w:r w:rsidRPr="00FD6A83">
        <w:rPr>
          <w:rFonts w:ascii="Open Sans" w:hAnsi="Open Sans" w:cs="Open Sans"/>
          <w:sz w:val="18"/>
          <w:szCs w:val="18"/>
          <w:lang w:val="ca-ES"/>
        </w:rPr>
        <w:t xml:space="preserve"> http://es.bic-swift.com/bcmrkyk1/</w:t>
      </w:r>
    </w:p>
  </w:footnote>
  <w:footnote w:id="147">
    <w:p w14:paraId="2B8EC523" w14:textId="77777777" w:rsidR="007F55EB" w:rsidRPr="00FD6A83" w:rsidRDefault="007F55EB" w:rsidP="0090659A">
      <w:pPr>
        <w:pStyle w:val="Textonotapie"/>
        <w:rPr>
          <w:rFonts w:ascii="Open Sans" w:hAnsi="Open Sans" w:cs="Open Sans"/>
          <w:sz w:val="18"/>
          <w:szCs w:val="18"/>
          <w:lang w:eastAsia="zh-CN"/>
        </w:rPr>
      </w:pPr>
      <w:r w:rsidRPr="00FD6A83">
        <w:rPr>
          <w:rStyle w:val="Refdenotaalpie"/>
          <w:rFonts w:ascii="Open Sans" w:hAnsi="Open Sans" w:cs="Open Sans"/>
          <w:sz w:val="18"/>
          <w:szCs w:val="18"/>
        </w:rPr>
        <w:footnoteRef/>
      </w:r>
      <w:r w:rsidRPr="00FD6A83">
        <w:rPr>
          <w:rFonts w:ascii="Open Sans" w:hAnsi="Open Sans" w:cs="Open Sans"/>
          <w:sz w:val="18"/>
          <w:szCs w:val="18"/>
        </w:rPr>
        <w:t xml:space="preserve"> “Otros” incluye Holanda, Curaçao, Grupo Garanti (parte en Turquía, Rumania, Islas Cayman y Holanda) y CIFH (sociedad china vendida íntegramente en noviembre de 2015</w:t>
      </w:r>
    </w:p>
  </w:footnote>
  <w:footnote w:id="148">
    <w:p w14:paraId="1F2DACEE" w14:textId="48A00A1C" w:rsidR="007F55EB" w:rsidRPr="00FD6A83" w:rsidRDefault="007F55EB" w:rsidP="0090659A">
      <w:pPr>
        <w:pStyle w:val="Textonotapie"/>
        <w:rPr>
          <w:rFonts w:ascii="Open Sans" w:hAnsi="Open Sans" w:cs="Open Sans"/>
          <w:sz w:val="18"/>
          <w:szCs w:val="18"/>
        </w:rPr>
      </w:pPr>
      <w:r w:rsidRPr="00FD6A83">
        <w:rPr>
          <w:rStyle w:val="Caracteresdenotaalpie"/>
          <w:rFonts w:ascii="Open Sans" w:eastAsiaTheme="minorEastAsia" w:hAnsi="Open Sans" w:cs="Open Sans"/>
          <w:sz w:val="18"/>
          <w:szCs w:val="18"/>
        </w:rPr>
        <w:footnoteRef/>
      </w:r>
      <w:r w:rsidRPr="00FD6A83">
        <w:rPr>
          <w:rFonts w:ascii="Open Sans" w:hAnsi="Open Sans" w:cs="Open Sans"/>
          <w:sz w:val="18"/>
          <w:szCs w:val="18"/>
        </w:rPr>
        <w:t xml:space="preserve">  I</w:t>
      </w:r>
      <w:r w:rsidRPr="00FD6A83">
        <w:rPr>
          <w:rFonts w:ascii="Open Sans" w:hAnsi="Open Sans" w:cs="Open Sans"/>
          <w:bCs/>
          <w:sz w:val="18"/>
          <w:szCs w:val="18"/>
        </w:rPr>
        <w:t>ncluido como Anexo VI de las CCAA Consolidadas 2015</w:t>
      </w:r>
    </w:p>
  </w:footnote>
  <w:footnote w:id="149">
    <w:p w14:paraId="302F2072" w14:textId="535AB0FC" w:rsidR="007F55EB" w:rsidRPr="00FD6A83" w:rsidRDefault="007F55EB" w:rsidP="00FD6A83">
      <w:pPr>
        <w:rPr>
          <w:rFonts w:ascii="Open Sans" w:hAnsi="Open Sans" w:cs="Open Sans"/>
          <w:sz w:val="18"/>
          <w:szCs w:val="18"/>
        </w:rPr>
      </w:pPr>
      <w:r w:rsidRPr="00FD6A83">
        <w:rPr>
          <w:rStyle w:val="Caracteresdenotaalpie"/>
          <w:rFonts w:ascii="Open Sans" w:hAnsi="Open Sans" w:cs="Open Sans"/>
          <w:sz w:val="18"/>
          <w:szCs w:val="18"/>
        </w:rPr>
        <w:footnoteRef/>
      </w:r>
      <w:r>
        <w:rPr>
          <w:rFonts w:ascii="Open Sans" w:hAnsi="Open Sans" w:cs="Open Sans"/>
          <w:sz w:val="18"/>
          <w:szCs w:val="18"/>
        </w:rPr>
        <w:t xml:space="preserve"> </w:t>
      </w:r>
      <w:hyperlink r:id="rId113" w:history="1">
        <w:r w:rsidRPr="00AB4DF6">
          <w:rPr>
            <w:rStyle w:val="Hipervnculo"/>
            <w:rFonts w:ascii="Open Sans" w:hAnsi="Open Sans" w:cs="Open Sans"/>
            <w:sz w:val="18"/>
            <w:szCs w:val="18"/>
          </w:rPr>
          <w:t>http://www.euroabs.com/OpenIssueAccess.aspx?issueid=8810</w:t>
        </w:r>
      </w:hyperlink>
      <w:r>
        <w:rPr>
          <w:rFonts w:ascii="Open Sans" w:hAnsi="Open Sans" w:cs="Open Sans"/>
          <w:sz w:val="18"/>
          <w:szCs w:val="18"/>
        </w:rPr>
        <w:t xml:space="preserve"> </w:t>
      </w:r>
      <w:hyperlink r:id="rId114" w:history="1">
        <w:r w:rsidRPr="00FD6A83">
          <w:rPr>
            <w:rStyle w:val="Hipervnculo"/>
            <w:rFonts w:ascii="Open Sans" w:hAnsi="Open Sans" w:cs="Open Sans"/>
            <w:sz w:val="18"/>
            <w:szCs w:val="18"/>
          </w:rPr>
          <w:t>http://www.bloomberg.com/apps/news?pid=newsarchive&amp;sid=a22uWetA9lWU</w:t>
        </w:r>
      </w:hyperlink>
    </w:p>
  </w:footnote>
  <w:footnote w:id="150">
    <w:p w14:paraId="1AFC9480" w14:textId="3FD90162" w:rsidR="007F55EB" w:rsidRPr="00FD6A83" w:rsidRDefault="007F55EB" w:rsidP="00FD6A83">
      <w:pPr>
        <w:rPr>
          <w:rFonts w:ascii="Open Sans" w:hAnsi="Open Sans" w:cs="Open Sans"/>
          <w:sz w:val="18"/>
          <w:szCs w:val="18"/>
        </w:rPr>
      </w:pPr>
      <w:r w:rsidRPr="00FD6A83">
        <w:rPr>
          <w:rStyle w:val="Caracteresdenotaalpie"/>
          <w:rFonts w:ascii="Open Sans" w:hAnsi="Open Sans" w:cs="Open Sans"/>
          <w:sz w:val="18"/>
          <w:szCs w:val="18"/>
        </w:rPr>
        <w:footnoteRef/>
      </w:r>
      <w:r>
        <w:rPr>
          <w:rFonts w:ascii="Open Sans" w:hAnsi="Open Sans" w:cs="Open Sans"/>
          <w:sz w:val="18"/>
          <w:szCs w:val="18"/>
          <w:vertAlign w:val="superscript"/>
        </w:rPr>
        <w:t xml:space="preserve"> </w:t>
      </w:r>
      <w:r w:rsidRPr="00FD6A83">
        <w:rPr>
          <w:rFonts w:ascii="Open Sans" w:hAnsi="Open Sans" w:cs="Open Sans"/>
          <w:sz w:val="18"/>
          <w:szCs w:val="18"/>
        </w:rPr>
        <w:t>CACG2013, pg. 209.</w:t>
      </w:r>
    </w:p>
  </w:footnote>
  <w:footnote w:id="151">
    <w:p w14:paraId="66D9B93B" w14:textId="1FCDD458" w:rsidR="007F55EB" w:rsidRDefault="007F55EB" w:rsidP="0090659A">
      <w:r w:rsidRPr="00FD6A83">
        <w:rPr>
          <w:rStyle w:val="Caracteresdenotaalpie"/>
          <w:rFonts w:ascii="Open Sans" w:hAnsi="Open Sans"/>
          <w:sz w:val="18"/>
          <w:szCs w:val="18"/>
        </w:rPr>
        <w:footnoteRef/>
      </w:r>
      <w:r w:rsidRPr="00FD6A83">
        <w:rPr>
          <w:rStyle w:val="Caracteresdenotaalpie"/>
          <w:sz w:val="18"/>
          <w:szCs w:val="18"/>
        </w:rPr>
        <w:t xml:space="preserve"> </w:t>
      </w:r>
      <w:r w:rsidRPr="00E556BB">
        <w:rPr>
          <w:rFonts w:ascii="Open Sans" w:hAnsi="Open Sans" w:cs="Open Sans"/>
          <w:sz w:val="16"/>
          <w:szCs w:val="16"/>
        </w:rPr>
        <w:t>CACG2013, pg. 63.</w:t>
      </w:r>
    </w:p>
  </w:footnote>
  <w:footnote w:id="152">
    <w:p w14:paraId="49A3F841" w14:textId="33EB934F" w:rsidR="007F55EB" w:rsidRPr="00FD6A83" w:rsidRDefault="007F55EB" w:rsidP="0090659A">
      <w:pPr>
        <w:rPr>
          <w:sz w:val="18"/>
          <w:szCs w:val="18"/>
        </w:rPr>
      </w:pPr>
      <w:r w:rsidRPr="00FD6A83">
        <w:rPr>
          <w:rStyle w:val="Caracteresdenotaalpie"/>
          <w:rFonts w:ascii="Open Sans" w:hAnsi="Open Sans"/>
          <w:sz w:val="18"/>
          <w:szCs w:val="18"/>
        </w:rPr>
        <w:footnoteRef/>
      </w:r>
      <w:r w:rsidRPr="00FD6A83">
        <w:rPr>
          <w:rStyle w:val="Caracteresdenotaalpie"/>
          <w:sz w:val="18"/>
          <w:szCs w:val="18"/>
        </w:rPr>
        <w:t xml:space="preserve"> </w:t>
      </w:r>
      <w:r w:rsidRPr="00FD6A83">
        <w:rPr>
          <w:rFonts w:ascii="Open Sans" w:hAnsi="Open Sans" w:cs="Open Sans"/>
          <w:sz w:val="18"/>
          <w:szCs w:val="18"/>
        </w:rPr>
        <w:t>CACG2015, pg. 62.</w:t>
      </w:r>
    </w:p>
  </w:footnote>
  <w:footnote w:id="153">
    <w:p w14:paraId="3277BE11" w14:textId="090BD7A9" w:rsidR="007F55EB" w:rsidRPr="00FD6A83" w:rsidRDefault="007F55EB" w:rsidP="0090659A">
      <w:pPr>
        <w:jc w:val="both"/>
        <w:rPr>
          <w:sz w:val="18"/>
          <w:szCs w:val="18"/>
        </w:rPr>
      </w:pPr>
      <w:r w:rsidRPr="00FD6A83">
        <w:rPr>
          <w:rStyle w:val="Caracteresdenotaalpie"/>
          <w:rFonts w:ascii="Open Sans" w:hAnsi="Open Sans"/>
          <w:sz w:val="18"/>
          <w:szCs w:val="18"/>
        </w:rPr>
        <w:footnoteRef/>
      </w:r>
      <w:r w:rsidRPr="00FD6A83">
        <w:rPr>
          <w:rFonts w:ascii="Open Sans" w:hAnsi="Open Sans" w:cs="Open Sans"/>
          <w:sz w:val="18"/>
          <w:szCs w:val="18"/>
          <w:vertAlign w:val="superscript"/>
        </w:rPr>
        <w:t xml:space="preserve"> </w:t>
      </w:r>
      <w:r w:rsidRPr="00FD6A83">
        <w:rPr>
          <w:rFonts w:ascii="Open Sans" w:eastAsia="Open Sans" w:hAnsi="Open Sans" w:cs="Open Sans"/>
          <w:sz w:val="18"/>
          <w:szCs w:val="18"/>
        </w:rPr>
        <w:t>CACG2013, pg. 115. “En relación con los acuerdos de imposición de sanciones por retenciones correspondientes a los depósitos contratados por clientes del banco en nuestra sucursal de Dublín, Bankinter presentó el 9 de febrero de 2010 escrito de Queja ante el Consejo para la Defensa del Contribuyente, habiendo recibido con fecha 13 de julio de 2010 contestación favorable a nuestras peticiones. No obstante, con fecha 18 de diciembre de 2012 han sido notificadas Resoluciones del TEAC desestimando las reclamaciones interpuestas por este concepto por los ejercicios 2002 a 2005 que serán recurridas igualmente ante la Audiencia Nacional por un importe total de 7.727 miles de euros. En cualquier caso, los pasivos fiscales que pudieran derivarse como resultado de las reclamaciones interpuestas contra los conceptos suscritos en disconformidad están adecuadamente provisionados a la fecha de cierre del ejercicio 2013 y anteriores”.</w:t>
      </w:r>
    </w:p>
  </w:footnote>
  <w:footnote w:id="154">
    <w:p w14:paraId="36C34D98" w14:textId="5CAD07E8" w:rsidR="007F55EB" w:rsidRDefault="007F55EB" w:rsidP="0090659A">
      <w:pPr>
        <w:pStyle w:val="Textonotapie"/>
      </w:pPr>
      <w:r w:rsidRPr="00FD6A83">
        <w:rPr>
          <w:rStyle w:val="Caracteresdenotaalpie"/>
          <w:rFonts w:ascii="Open Sans" w:hAnsi="Open Sans"/>
          <w:sz w:val="18"/>
          <w:szCs w:val="18"/>
        </w:rPr>
        <w:footnoteRef/>
      </w:r>
      <w:r w:rsidRPr="00FD6A83">
        <w:rPr>
          <w:rFonts w:ascii="Open Sans" w:hAnsi="Open Sans" w:cs="Open Sans"/>
          <w:sz w:val="18"/>
          <w:szCs w:val="18"/>
        </w:rPr>
        <w:t xml:space="preserve"> IAI2015, pg. 81</w:t>
      </w:r>
    </w:p>
  </w:footnote>
  <w:footnote w:id="155">
    <w:p w14:paraId="40243242" w14:textId="77777777" w:rsidR="007F55EB" w:rsidRPr="006022CB" w:rsidRDefault="007F55EB" w:rsidP="006022CB">
      <w:pPr>
        <w:pStyle w:val="Textonotapie"/>
        <w:rPr>
          <w:rFonts w:ascii="Open Sans" w:hAnsi="Open Sans" w:cs="Open Sans"/>
          <w:bC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15" w:history="1">
        <w:r w:rsidRPr="006022CB">
          <w:rPr>
            <w:rStyle w:val="Hipervnculo"/>
            <w:rFonts w:ascii="Open Sans" w:hAnsi="Open Sans" w:cs="Open Sans"/>
            <w:bCs/>
            <w:sz w:val="18"/>
            <w:szCs w:val="18"/>
            <w:lang w:val="es-ES_tradnl"/>
          </w:rPr>
          <w:t>El Gobierno hace lobby en favor de las constructoras en las negociaciones del TTIP</w:t>
        </w:r>
      </w:hyperlink>
    </w:p>
  </w:footnote>
  <w:footnote w:id="156">
    <w:p w14:paraId="47A8D54F" w14:textId="77777777" w:rsidR="007F55EB" w:rsidRPr="006022CB" w:rsidRDefault="007F55EB" w:rsidP="006022CB">
      <w:pPr>
        <w:pStyle w:val="Textonotapie"/>
        <w:rPr>
          <w:rFonts w:ascii="Open Sans" w:hAnsi="Open Sans" w:cs="Open San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r w:rsidRPr="006022CB">
        <w:rPr>
          <w:rFonts w:ascii="Open Sans" w:hAnsi="Open Sans" w:cs="Open Sans"/>
          <w:color w:val="000000"/>
          <w:sz w:val="18"/>
          <w:szCs w:val="18"/>
        </w:rPr>
        <w:t>informe integrado 2015.  pág: 56</w:t>
      </w:r>
    </w:p>
  </w:footnote>
  <w:footnote w:id="157">
    <w:p w14:paraId="330C0E8B" w14:textId="77777777" w:rsidR="007F55EB" w:rsidRPr="006022CB" w:rsidRDefault="007F55EB" w:rsidP="006022CB">
      <w:pPr>
        <w:pStyle w:val="PIePagina-Informe"/>
        <w:rPr>
          <w:sz w:val="18"/>
          <w:szCs w:val="18"/>
        </w:rPr>
      </w:pPr>
      <w:r w:rsidRPr="006022CB">
        <w:rPr>
          <w:rStyle w:val="Refdenotaalpie"/>
          <w:sz w:val="18"/>
          <w:szCs w:val="18"/>
        </w:rPr>
        <w:footnoteRef/>
      </w:r>
      <w:r w:rsidRPr="006022CB">
        <w:rPr>
          <w:sz w:val="18"/>
          <w:szCs w:val="18"/>
        </w:rPr>
        <w:t xml:space="preserve"> </w:t>
      </w:r>
      <w:hyperlink r:id="rId116" w:history="1">
        <w:r w:rsidRPr="006022CB">
          <w:rPr>
            <w:rStyle w:val="Hipervnculo"/>
            <w:rFonts w:cs="Open Sans"/>
            <w:sz w:val="18"/>
            <w:szCs w:val="18"/>
          </w:rPr>
          <w:t>http://ec.europa.eu/transparencyregister/public/consultation/displaylobbyist.do?id=23527541824-60</w:t>
        </w:r>
      </w:hyperlink>
      <w:r w:rsidRPr="006022CB">
        <w:rPr>
          <w:sz w:val="18"/>
          <w:szCs w:val="18"/>
        </w:rPr>
        <w:t xml:space="preserve"> </w:t>
      </w:r>
    </w:p>
  </w:footnote>
  <w:footnote w:id="158">
    <w:p w14:paraId="7096B1FA" w14:textId="77777777" w:rsidR="007F55EB" w:rsidRPr="006022CB" w:rsidRDefault="007F55EB" w:rsidP="006022CB">
      <w:pPr>
        <w:pStyle w:val="PIePagina-Informe"/>
        <w:rPr>
          <w:sz w:val="18"/>
          <w:szCs w:val="18"/>
        </w:rPr>
      </w:pPr>
      <w:r w:rsidRPr="006022CB">
        <w:rPr>
          <w:rStyle w:val="Refdenotaalpie"/>
          <w:sz w:val="18"/>
          <w:szCs w:val="18"/>
        </w:rPr>
        <w:footnoteRef/>
      </w:r>
      <w:r w:rsidRPr="006022CB">
        <w:rPr>
          <w:sz w:val="18"/>
          <w:szCs w:val="18"/>
        </w:rPr>
        <w:t xml:space="preserve"> </w:t>
      </w:r>
      <w:hyperlink r:id="rId117" w:history="1">
        <w:r w:rsidRPr="006022CB">
          <w:rPr>
            <w:rStyle w:val="Hipervnculo"/>
            <w:rFonts w:cs="Open Sans"/>
            <w:sz w:val="18"/>
            <w:szCs w:val="18"/>
          </w:rPr>
          <w:t>http://soprweb.senate.gov/index.cfm?event=selectfields</w:t>
        </w:r>
      </w:hyperlink>
    </w:p>
  </w:footnote>
  <w:footnote w:id="159">
    <w:p w14:paraId="6036A899" w14:textId="77777777" w:rsidR="007F55EB" w:rsidRPr="006022CB" w:rsidRDefault="007F55EB" w:rsidP="006022CB">
      <w:pPr>
        <w:pStyle w:val="Textonotapie"/>
        <w:rPr>
          <w:rFonts w:ascii="Open Sans" w:hAnsi="Open Sans" w:cs="Open Sans"/>
          <w:bC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18" w:history="1">
        <w:r w:rsidRPr="006022CB">
          <w:rPr>
            <w:rStyle w:val="Hipervnculo"/>
            <w:rFonts w:ascii="Open Sans" w:hAnsi="Open Sans" w:cs="Open Sans"/>
            <w:bCs/>
            <w:sz w:val="18"/>
            <w:szCs w:val="18"/>
            <w:lang w:val="es-ES_tradnl"/>
          </w:rPr>
          <w:t>Cuatro empresas españolas, entre las que controlan el negocio de la seguridad en las fronteras</w:t>
        </w:r>
      </w:hyperlink>
      <w:r w:rsidRPr="006022CB">
        <w:rPr>
          <w:rFonts w:ascii="Open Sans" w:hAnsi="Open Sans" w:cs="Open Sans"/>
          <w:bCs/>
          <w:sz w:val="18"/>
          <w:szCs w:val="18"/>
          <w:lang w:val="es-ES_tradnl"/>
        </w:rPr>
        <w:t xml:space="preserve">. Bez Diario,  </w:t>
      </w:r>
    </w:p>
  </w:footnote>
  <w:footnote w:id="160">
    <w:p w14:paraId="2BEEDB43" w14:textId="77777777" w:rsidR="007F55EB" w:rsidRPr="006022CB" w:rsidRDefault="007F55EB" w:rsidP="006022CB">
      <w:pPr>
        <w:pStyle w:val="Textonotapie"/>
        <w:rPr>
          <w:rFonts w:ascii="Open Sans" w:hAnsi="Open Sans" w:cs="Open San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19" w:history="1">
        <w:r w:rsidRPr="006022CB">
          <w:rPr>
            <w:rStyle w:val="Hipervnculo"/>
            <w:rFonts w:ascii="Open Sans" w:hAnsi="Open Sans" w:cs="Open Sans"/>
            <w:sz w:val="18"/>
            <w:szCs w:val="18"/>
            <w:lang w:val="es-ES_tradnl"/>
          </w:rPr>
          <w:t>Registro de Transparencia de la Unión Europea</w:t>
        </w:r>
      </w:hyperlink>
      <w:r w:rsidRPr="006022CB">
        <w:rPr>
          <w:rFonts w:ascii="Open Sans" w:hAnsi="Open Sans" w:cs="Open Sans"/>
          <w:sz w:val="18"/>
          <w:szCs w:val="18"/>
          <w:lang w:val="es-ES_tradnl"/>
        </w:rPr>
        <w:t xml:space="preserve">. </w:t>
      </w:r>
    </w:p>
  </w:footnote>
  <w:footnote w:id="161">
    <w:p w14:paraId="055E5F7A" w14:textId="77777777" w:rsidR="007F55EB" w:rsidRPr="006022CB" w:rsidRDefault="007F55EB" w:rsidP="006022CB">
      <w:pPr>
        <w:pStyle w:val="Textonotapie"/>
        <w:rPr>
          <w:rFonts w:ascii="Open Sans" w:hAnsi="Open Sans" w:cs="Open San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http://www.eucope.org/en/</w:t>
      </w:r>
    </w:p>
  </w:footnote>
  <w:footnote w:id="162">
    <w:p w14:paraId="10817F66" w14:textId="77777777" w:rsidR="007F55EB" w:rsidRPr="006022CB" w:rsidRDefault="007F55EB" w:rsidP="006022CB">
      <w:pPr>
        <w:pStyle w:val="Textonotapie"/>
        <w:rPr>
          <w:rFonts w:ascii="Open Sans" w:hAnsi="Open Sans" w:cs="Open San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r w:rsidRPr="006022CB">
        <w:rPr>
          <w:rFonts w:ascii="Open Sans" w:hAnsi="Open Sans" w:cs="Open Sans"/>
          <w:color w:val="000000"/>
          <w:sz w:val="18"/>
          <w:szCs w:val="18"/>
        </w:rPr>
        <w:t>http://www.phrma.org/about/members</w:t>
      </w:r>
    </w:p>
  </w:footnote>
  <w:footnote w:id="163">
    <w:p w14:paraId="530128BF" w14:textId="77777777" w:rsidR="007F55EB" w:rsidRPr="005933E5" w:rsidRDefault="007F55EB" w:rsidP="006022CB">
      <w:pPr>
        <w:pStyle w:val="Textonotapie"/>
        <w:rPr>
          <w:rFonts w:ascii="Open Sans" w:hAnsi="Open Sans" w:cs="Open Sans"/>
          <w:sz w:val="18"/>
          <w:szCs w:val="18"/>
          <w:lang w:val="en-GB"/>
        </w:rPr>
      </w:pPr>
      <w:r w:rsidRPr="006022CB">
        <w:rPr>
          <w:rStyle w:val="Refdenotaalpie"/>
          <w:rFonts w:ascii="Open Sans" w:hAnsi="Open Sans" w:cs="Open Sans"/>
          <w:sz w:val="18"/>
          <w:szCs w:val="18"/>
        </w:rPr>
        <w:footnoteRef/>
      </w:r>
      <w:r w:rsidRPr="005933E5">
        <w:rPr>
          <w:rFonts w:ascii="Open Sans" w:hAnsi="Open Sans" w:cs="Open Sans"/>
          <w:sz w:val="18"/>
          <w:szCs w:val="18"/>
          <w:lang w:val="en-GB"/>
        </w:rPr>
        <w:t xml:space="preserve"> </w:t>
      </w:r>
      <w:r w:rsidRPr="005933E5">
        <w:rPr>
          <w:rFonts w:ascii="Open Sans" w:hAnsi="Open Sans" w:cs="Open Sans"/>
          <w:color w:val="000000"/>
          <w:sz w:val="18"/>
          <w:szCs w:val="18"/>
          <w:lang w:val="en-GB"/>
        </w:rPr>
        <w:t>http://www.pptaglobal.org/</w:t>
      </w:r>
    </w:p>
  </w:footnote>
  <w:footnote w:id="164">
    <w:p w14:paraId="5D323E42" w14:textId="77777777" w:rsidR="007F55EB" w:rsidRPr="00185B60" w:rsidRDefault="007F55EB" w:rsidP="00A10D31">
      <w:pPr>
        <w:pStyle w:val="Textonotapie"/>
        <w:rPr>
          <w:rFonts w:ascii="Open Sans" w:hAnsi="Open Sans"/>
          <w:sz w:val="18"/>
          <w:szCs w:val="18"/>
          <w:lang w:val="es-ES_tradnl"/>
        </w:rPr>
      </w:pPr>
      <w:r w:rsidRPr="00185B60">
        <w:rPr>
          <w:rStyle w:val="Refdenotaalpie"/>
          <w:rFonts w:ascii="Open Sans" w:hAnsi="Open Sans"/>
          <w:sz w:val="18"/>
          <w:szCs w:val="18"/>
        </w:rPr>
        <w:footnoteRef/>
      </w:r>
      <w:r w:rsidRPr="00547828">
        <w:rPr>
          <w:rFonts w:ascii="Open Sans" w:hAnsi="Open Sans"/>
          <w:sz w:val="18"/>
          <w:szCs w:val="18"/>
          <w:lang w:val="en-GB"/>
        </w:rPr>
        <w:t xml:space="preserve"> Policy prescriptions: the firepower of the EU pharmaceutical lobby and implications for public health', septiembre 2015. </w:t>
      </w:r>
      <w:r w:rsidRPr="00185B60">
        <w:rPr>
          <w:rFonts w:ascii="Open Sans" w:hAnsi="Open Sans"/>
          <w:sz w:val="18"/>
          <w:szCs w:val="18"/>
        </w:rPr>
        <w:t>Corporate Europe Observatory</w:t>
      </w:r>
    </w:p>
  </w:footnote>
  <w:footnote w:id="165">
    <w:p w14:paraId="6B8B4217" w14:textId="77777777" w:rsidR="007F55EB" w:rsidRPr="00FC44A2" w:rsidRDefault="007F55EB" w:rsidP="00A10D31">
      <w:pPr>
        <w:pStyle w:val="Textonotapie"/>
        <w:rPr>
          <w:rFonts w:ascii="Open Sans" w:hAnsi="Open Sans"/>
          <w:sz w:val="18"/>
          <w:szCs w:val="18"/>
          <w:lang w:val="es-ES_tradnl"/>
        </w:rPr>
      </w:pPr>
      <w:r w:rsidRPr="00FC44A2">
        <w:rPr>
          <w:rStyle w:val="Refdenotaalpie"/>
          <w:rFonts w:ascii="Open Sans" w:hAnsi="Open Sans"/>
          <w:sz w:val="18"/>
          <w:szCs w:val="18"/>
        </w:rPr>
        <w:footnoteRef/>
      </w:r>
      <w:r w:rsidRPr="00FC44A2">
        <w:rPr>
          <w:rFonts w:ascii="Open Sans" w:hAnsi="Open Sans"/>
          <w:sz w:val="18"/>
          <w:szCs w:val="18"/>
        </w:rPr>
        <w:t xml:space="preserve"> </w:t>
      </w:r>
      <w:r w:rsidRPr="00FC44A2">
        <w:rPr>
          <w:rFonts w:ascii="Open Sans" w:hAnsi="Open Sans"/>
          <w:sz w:val="18"/>
          <w:szCs w:val="18"/>
          <w:lang w:val="es-ES_tradnl"/>
        </w:rPr>
        <w:t xml:space="preserve">Riqueza: Tenerlo todo y querer más. Enero 2015, </w:t>
      </w:r>
      <w:r>
        <w:rPr>
          <w:rFonts w:ascii="Open Sans" w:hAnsi="Open Sans"/>
          <w:sz w:val="18"/>
          <w:szCs w:val="18"/>
          <w:lang w:val="es-ES_tradnl"/>
        </w:rPr>
        <w:t>Oxfa</w:t>
      </w:r>
      <w:r w:rsidRPr="00FC44A2">
        <w:rPr>
          <w:rFonts w:ascii="Open Sans" w:hAnsi="Open Sans"/>
          <w:sz w:val="18"/>
          <w:szCs w:val="18"/>
          <w:lang w:val="es-ES_tradnl"/>
        </w:rPr>
        <w:t>m</w:t>
      </w:r>
    </w:p>
  </w:footnote>
  <w:footnote w:id="166">
    <w:p w14:paraId="6E85062B" w14:textId="77777777" w:rsidR="007F55EB" w:rsidRPr="006022CB" w:rsidRDefault="007F55EB" w:rsidP="006022CB">
      <w:pPr>
        <w:pStyle w:val="Textonotapie"/>
        <w:rPr>
          <w:rFonts w:ascii="Open Sans" w:hAnsi="Open Sans" w:cs="Open Sans"/>
          <w:b/>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20" w:history="1">
        <w:r w:rsidRPr="006022CB">
          <w:rPr>
            <w:rStyle w:val="Hipervnculo"/>
            <w:rFonts w:ascii="Open Sans" w:hAnsi="Open Sans" w:cs="Open Sans"/>
            <w:bCs/>
            <w:sz w:val="18"/>
            <w:szCs w:val="18"/>
            <w:lang w:val="es-ES_tradnl"/>
          </w:rPr>
          <w:t>El ‘lobby’ europeo de la distribución de moda suma a Desigual a sus filas</w:t>
        </w:r>
      </w:hyperlink>
    </w:p>
  </w:footnote>
  <w:footnote w:id="167">
    <w:p w14:paraId="004A9736" w14:textId="77777777" w:rsidR="007F55EB" w:rsidRPr="00146B78" w:rsidRDefault="007F55EB" w:rsidP="006022CB">
      <w:pPr>
        <w:pStyle w:val="Textonotapie"/>
        <w:rPr>
          <w:b/>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21" w:history="1">
        <w:r w:rsidRPr="006022CB">
          <w:rPr>
            <w:rStyle w:val="Hipervnculo"/>
            <w:rFonts w:ascii="Open Sans" w:hAnsi="Open Sans" w:cs="Open Sans"/>
            <w:bCs/>
            <w:sz w:val="18"/>
            <w:szCs w:val="18"/>
            <w:lang w:val="es-ES_tradnl"/>
          </w:rPr>
          <w:t>¿En qué se están gastando el dinero los lobbies de la moda y de qué quieren convencer a los gobiernos?</w:t>
        </w:r>
      </w:hyperlink>
    </w:p>
  </w:footnote>
  <w:footnote w:id="168">
    <w:p w14:paraId="4897A232" w14:textId="77777777" w:rsidR="007F55EB" w:rsidRPr="006022CB" w:rsidRDefault="007F55EB" w:rsidP="006022CB">
      <w:pPr>
        <w:pStyle w:val="Textonotapie"/>
        <w:rPr>
          <w:rFonts w:ascii="Open Sans" w:hAnsi="Open Sans" w:cs="Open Sans"/>
          <w:sz w:val="18"/>
          <w:szCs w:val="18"/>
          <w:lang w:val="es-ES_tradnl"/>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22" w:history="1">
        <w:r w:rsidRPr="006022CB">
          <w:rPr>
            <w:rStyle w:val="Hipervnculo"/>
            <w:rFonts w:ascii="Open Sans" w:hAnsi="Open Sans" w:cs="Open Sans"/>
            <w:sz w:val="18"/>
            <w:szCs w:val="18"/>
          </w:rPr>
          <w:t>http://ec.europa.eu/transparencyregister/public/consultation/displaylobbyist.do?id=824053621298-40</w:t>
        </w:r>
      </w:hyperlink>
      <w:r w:rsidRPr="006022CB">
        <w:rPr>
          <w:rFonts w:ascii="Open Sans" w:hAnsi="Open Sans" w:cs="Open Sans"/>
          <w:sz w:val="18"/>
          <w:szCs w:val="18"/>
        </w:rPr>
        <w:t xml:space="preserve"> </w:t>
      </w:r>
    </w:p>
  </w:footnote>
  <w:footnote w:id="169">
    <w:p w14:paraId="7C363F1D" w14:textId="77777777" w:rsidR="007F55EB" w:rsidRPr="006022CB" w:rsidRDefault="007F55EB" w:rsidP="006022CB">
      <w:pPr>
        <w:pStyle w:val="Textonotapie"/>
        <w:rPr>
          <w:rFonts w:ascii="Open Sans" w:hAnsi="Open Sans" w:cs="Open Sans"/>
          <w:sz w:val="18"/>
          <w:szCs w:val="18"/>
          <w:lang w:val="ca-ES"/>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hyperlink r:id="rId123" w:history="1">
        <w:r w:rsidRPr="006022CB">
          <w:rPr>
            <w:rStyle w:val="Hipervnculo"/>
            <w:rFonts w:ascii="Open Sans" w:hAnsi="Open Sans" w:cs="Open Sans"/>
            <w:sz w:val="18"/>
            <w:szCs w:val="18"/>
          </w:rPr>
          <w:t>http://www.lacelosia.com/canete-desvela-sus-proximos-encuentros-con-altos-cargos-del-bbva-y-anfac/</w:t>
        </w:r>
      </w:hyperlink>
      <w:r w:rsidRPr="006022CB">
        <w:rPr>
          <w:rFonts w:ascii="Open Sans" w:hAnsi="Open Sans" w:cs="Open Sans"/>
          <w:sz w:val="18"/>
          <w:szCs w:val="18"/>
        </w:rPr>
        <w:t xml:space="preserve"> </w:t>
      </w:r>
    </w:p>
  </w:footnote>
  <w:footnote w:id="170">
    <w:p w14:paraId="482039CA" w14:textId="77777777" w:rsidR="007F55EB" w:rsidRPr="006022CB" w:rsidRDefault="007F55EB" w:rsidP="006022CB">
      <w:pPr>
        <w:pStyle w:val="Textonotapie"/>
        <w:jc w:val="both"/>
        <w:rPr>
          <w:rFonts w:ascii="Open Sans" w:hAnsi="Open Sans" w:cs="Open Sans"/>
          <w:bCs/>
          <w:sz w:val="18"/>
          <w:szCs w:val="18"/>
        </w:rPr>
      </w:pPr>
      <w:r w:rsidRPr="006022CB">
        <w:rPr>
          <w:rStyle w:val="Refdenotaalpie"/>
          <w:rFonts w:ascii="Open Sans" w:hAnsi="Open Sans" w:cs="Open Sans"/>
          <w:sz w:val="18"/>
          <w:szCs w:val="18"/>
        </w:rPr>
        <w:footnoteRef/>
      </w:r>
      <w:r w:rsidRPr="006022CB">
        <w:rPr>
          <w:rFonts w:ascii="Open Sans" w:hAnsi="Open Sans" w:cs="Open Sans"/>
          <w:sz w:val="18"/>
          <w:szCs w:val="18"/>
        </w:rPr>
        <w:t xml:space="preserve"> </w:t>
      </w:r>
      <w:r w:rsidRPr="006022CB">
        <w:rPr>
          <w:rFonts w:ascii="Open Sans" w:hAnsi="Open Sans" w:cs="Open Sans"/>
          <w:bCs/>
          <w:sz w:val="18"/>
          <w:szCs w:val="18"/>
        </w:rPr>
        <w:t>"BBVA Compass acaba de emprender una campaña en contra de las exigencias de la normativa para las entidades con más de 50.000 millones de dólares en activos. Lo ha hecho a través de la Coalición de Bancos Regionales de la que forma parte, junto a American Expresss, SunTrust, Huntington, Regions, Fifth Third, Capital One, BMO Financial Group, BBT y Bank of the West"</w:t>
      </w:r>
    </w:p>
    <w:p w14:paraId="1755D6C6" w14:textId="77777777" w:rsidR="007F55EB" w:rsidRPr="006022CB" w:rsidRDefault="007F55EB" w:rsidP="006022CB">
      <w:pPr>
        <w:pStyle w:val="Textonotapie"/>
        <w:jc w:val="both"/>
        <w:rPr>
          <w:rFonts w:ascii="Open Sans" w:hAnsi="Open Sans" w:cs="Open Sans"/>
          <w:sz w:val="18"/>
          <w:szCs w:val="18"/>
          <w:lang w:val="ca-ES"/>
        </w:rPr>
      </w:pPr>
      <w:r w:rsidRPr="006022CB">
        <w:rPr>
          <w:rFonts w:ascii="Open Sans" w:hAnsi="Open Sans" w:cs="Open Sans"/>
          <w:bCs/>
          <w:sz w:val="18"/>
          <w:szCs w:val="18"/>
        </w:rPr>
        <w:t xml:space="preserve">  </w:t>
      </w:r>
      <w:hyperlink r:id="rId124" w:history="1">
        <w:r w:rsidRPr="006022CB">
          <w:rPr>
            <w:rStyle w:val="Hipervnculo"/>
            <w:rFonts w:ascii="Open Sans" w:hAnsi="Open Sans" w:cs="Open Sans"/>
            <w:sz w:val="18"/>
            <w:szCs w:val="18"/>
          </w:rPr>
          <w:t>http://www.expansion.com/empresas/banca/2015/03/25/551314f9e2704e3e6f8b4570.html</w:t>
        </w:r>
      </w:hyperlink>
      <w:r w:rsidRPr="006022CB">
        <w:rPr>
          <w:rFonts w:ascii="Open Sans" w:hAnsi="Open Sans" w:cs="Open Sans"/>
          <w:sz w:val="18"/>
          <w:szCs w:val="18"/>
        </w:rPr>
        <w:t xml:space="preserve"> </w:t>
      </w:r>
    </w:p>
  </w:footnote>
  <w:footnote w:id="171">
    <w:p w14:paraId="531D1BFB" w14:textId="77777777" w:rsidR="007F55EB" w:rsidRPr="006022CB" w:rsidRDefault="007F55EB" w:rsidP="006022CB">
      <w:pPr>
        <w:pStyle w:val="Textonotapie"/>
        <w:rPr>
          <w:rFonts w:ascii="Open Sans" w:hAnsi="Open Sans" w:cs="Open Sans"/>
          <w:sz w:val="18"/>
          <w:szCs w:val="18"/>
          <w:lang w:val="ca-ES"/>
        </w:rPr>
      </w:pPr>
      <w:r w:rsidRPr="006022CB">
        <w:rPr>
          <w:rStyle w:val="Refdenotaalpie"/>
          <w:rFonts w:ascii="Open Sans" w:hAnsi="Open Sans" w:cs="Open Sans"/>
          <w:sz w:val="18"/>
          <w:szCs w:val="18"/>
        </w:rPr>
        <w:footnoteRef/>
      </w:r>
      <w:r w:rsidRPr="006022CB">
        <w:rPr>
          <w:rFonts w:ascii="Open Sans" w:hAnsi="Open Sans" w:cs="Open Sans"/>
          <w:sz w:val="18"/>
          <w:szCs w:val="18"/>
          <w:lang w:val="ca-ES"/>
        </w:rPr>
        <w:t xml:space="preserve"> </w:t>
      </w:r>
      <w:hyperlink r:id="rId125" w:history="1">
        <w:r w:rsidRPr="006022CB">
          <w:rPr>
            <w:rStyle w:val="Hipervnculo"/>
            <w:rFonts w:ascii="Open Sans" w:hAnsi="Open Sans" w:cs="Open Sans"/>
            <w:sz w:val="18"/>
            <w:szCs w:val="18"/>
            <w:lang w:val="ca-ES"/>
          </w:rPr>
          <w:t>http://www.fedea.net/</w:t>
        </w:r>
      </w:hyperlink>
      <w:r w:rsidRPr="006022CB">
        <w:rPr>
          <w:rFonts w:ascii="Open Sans" w:hAnsi="Open Sans" w:cs="Open Sans"/>
          <w:sz w:val="18"/>
          <w:szCs w:val="18"/>
          <w:lang w:val="ca-ES"/>
        </w:rPr>
        <w:t xml:space="preserve"> </w:t>
      </w:r>
    </w:p>
  </w:footnote>
  <w:footnote w:id="172">
    <w:p w14:paraId="1EC752EA" w14:textId="77777777" w:rsidR="007F55EB" w:rsidRPr="006022CB" w:rsidRDefault="007F55EB" w:rsidP="006022CB">
      <w:pPr>
        <w:pStyle w:val="Textonotapie"/>
        <w:rPr>
          <w:rFonts w:ascii="Open Sans" w:hAnsi="Open Sans" w:cs="Open Sans"/>
          <w:sz w:val="18"/>
          <w:szCs w:val="18"/>
          <w:lang w:val="ca-ES"/>
        </w:rPr>
      </w:pPr>
      <w:r w:rsidRPr="006022CB">
        <w:rPr>
          <w:rStyle w:val="Refdenotaalpie"/>
          <w:rFonts w:ascii="Open Sans" w:hAnsi="Open Sans" w:cs="Open Sans"/>
          <w:sz w:val="18"/>
          <w:szCs w:val="18"/>
        </w:rPr>
        <w:footnoteRef/>
      </w:r>
      <w:r w:rsidRPr="006022CB">
        <w:rPr>
          <w:rFonts w:ascii="Open Sans" w:hAnsi="Open Sans" w:cs="Open Sans"/>
          <w:sz w:val="18"/>
          <w:szCs w:val="18"/>
          <w:lang w:val="ca-ES"/>
        </w:rPr>
        <w:t xml:space="preserve"> </w:t>
      </w:r>
      <w:hyperlink r:id="rId126" w:history="1">
        <w:r w:rsidRPr="006022CB">
          <w:rPr>
            <w:rStyle w:val="Hipervnculo"/>
            <w:rFonts w:ascii="Open Sans" w:hAnsi="Open Sans" w:cs="Open Sans"/>
            <w:sz w:val="18"/>
            <w:szCs w:val="18"/>
            <w:lang w:val="ca-ES"/>
          </w:rPr>
          <w:t>http://www.vozpopuli.com/economia-y-finanzas/empresas/Iberdrola-Ignacio_Sanchez_Galan-Reformas_0_609239081.html</w:t>
        </w:r>
      </w:hyperlink>
      <w:r w:rsidRPr="006022CB">
        <w:rPr>
          <w:rFonts w:ascii="Open Sans" w:hAnsi="Open Sans" w:cs="Open Sans"/>
          <w:sz w:val="18"/>
          <w:szCs w:val="18"/>
          <w:lang w:val="ca-ES"/>
        </w:rPr>
        <w:t xml:space="preserve"> </w:t>
      </w:r>
    </w:p>
  </w:footnote>
  <w:footnote w:id="173">
    <w:p w14:paraId="5FC48F9B" w14:textId="77777777" w:rsidR="007F55EB" w:rsidRPr="006022CB" w:rsidRDefault="007F55EB" w:rsidP="006022CB">
      <w:pPr>
        <w:pStyle w:val="Textonotapie"/>
        <w:rPr>
          <w:rFonts w:ascii="Open Sans" w:hAnsi="Open Sans" w:cs="Open Sans"/>
          <w:sz w:val="18"/>
          <w:szCs w:val="18"/>
          <w:lang w:val="ca-ES"/>
        </w:rPr>
      </w:pPr>
      <w:r w:rsidRPr="006022CB">
        <w:rPr>
          <w:rStyle w:val="Refdenotaalpie"/>
          <w:rFonts w:ascii="Open Sans" w:hAnsi="Open Sans" w:cs="Open Sans"/>
          <w:sz w:val="18"/>
          <w:szCs w:val="18"/>
        </w:rPr>
        <w:footnoteRef/>
      </w:r>
      <w:r w:rsidRPr="006022CB">
        <w:rPr>
          <w:rFonts w:ascii="Open Sans" w:hAnsi="Open Sans" w:cs="Open Sans"/>
          <w:sz w:val="18"/>
          <w:szCs w:val="18"/>
          <w:lang w:val="ca-ES"/>
        </w:rPr>
        <w:t xml:space="preserve"> </w:t>
      </w:r>
      <w:hyperlink r:id="rId127" w:history="1">
        <w:r w:rsidRPr="006022CB">
          <w:rPr>
            <w:rStyle w:val="Hipervnculo"/>
            <w:rFonts w:ascii="Open Sans" w:hAnsi="Open Sans" w:cs="Open Sans"/>
            <w:sz w:val="18"/>
            <w:szCs w:val="18"/>
            <w:lang w:val="ca-ES"/>
          </w:rPr>
          <w:t>http://www.expansion.com/2007/02/20/opinion/firmas/963601.html</w:t>
        </w:r>
      </w:hyperlink>
      <w:r w:rsidRPr="006022CB">
        <w:rPr>
          <w:rFonts w:ascii="Open Sans" w:hAnsi="Open Sans" w:cs="Open Sans"/>
          <w:sz w:val="18"/>
          <w:szCs w:val="18"/>
          <w:lang w:val="ca-ES"/>
        </w:rPr>
        <w:t xml:space="preserve"> </w:t>
      </w:r>
    </w:p>
  </w:footnote>
  <w:footnote w:id="174">
    <w:p w14:paraId="12C61AC8" w14:textId="77777777" w:rsidR="007F55EB" w:rsidRPr="006022CB" w:rsidRDefault="007F55EB" w:rsidP="006022CB">
      <w:pPr>
        <w:pStyle w:val="Textonotapie"/>
        <w:rPr>
          <w:rFonts w:ascii="Open Sans" w:hAnsi="Open Sans" w:cs="Open Sans"/>
          <w:sz w:val="18"/>
          <w:szCs w:val="18"/>
          <w:lang w:val="ca-ES"/>
        </w:rPr>
      </w:pPr>
      <w:r w:rsidRPr="006022CB">
        <w:rPr>
          <w:rStyle w:val="Refdenotaalpie"/>
          <w:rFonts w:ascii="Open Sans" w:hAnsi="Open Sans" w:cs="Open Sans"/>
          <w:sz w:val="18"/>
          <w:szCs w:val="18"/>
        </w:rPr>
        <w:footnoteRef/>
      </w:r>
      <w:r w:rsidRPr="006022CB">
        <w:rPr>
          <w:rFonts w:ascii="Open Sans" w:hAnsi="Open Sans" w:cs="Open Sans"/>
          <w:sz w:val="18"/>
          <w:szCs w:val="18"/>
          <w:lang w:val="ca-ES"/>
        </w:rPr>
        <w:t xml:space="preserve"> </w:t>
      </w:r>
      <w:hyperlink r:id="rId128" w:history="1">
        <w:r w:rsidRPr="006022CB">
          <w:rPr>
            <w:rStyle w:val="Hipervnculo"/>
            <w:rFonts w:ascii="Open Sans" w:hAnsi="Open Sans" w:cs="Open Sans"/>
            <w:sz w:val="18"/>
            <w:szCs w:val="18"/>
            <w:lang w:val="ca-ES"/>
          </w:rPr>
          <w:t>http://www.vozpopuli.com/economia-y-finanzas/empresas/Iberdrola-Gamesa-Lobbys-Estados_Unidos-Barack_Obama_0_664133628.html</w:t>
        </w:r>
      </w:hyperlink>
    </w:p>
  </w:footnote>
  <w:footnote w:id="175">
    <w:p w14:paraId="6EF504B4" w14:textId="77777777" w:rsidR="007F55EB" w:rsidRPr="008D6B8D" w:rsidRDefault="007F55EB" w:rsidP="008D6B8D">
      <w:pPr>
        <w:widowControl w:val="0"/>
        <w:autoSpaceDE w:val="0"/>
        <w:autoSpaceDN w:val="0"/>
        <w:adjustRightInd w:val="0"/>
        <w:spacing w:after="160" w:line="181" w:lineRule="atLeast"/>
        <w:rPr>
          <w:rFonts w:ascii="Open Sans" w:hAnsi="Open Sans" w:cs="Open Sans"/>
          <w:sz w:val="18"/>
          <w:szCs w:val="18"/>
        </w:rPr>
      </w:pPr>
      <w:r w:rsidRPr="008D6B8D">
        <w:rPr>
          <w:rStyle w:val="Refdenotaalpie"/>
          <w:rFonts w:ascii="Open Sans" w:hAnsi="Open Sans" w:cs="Open Sans"/>
          <w:sz w:val="18"/>
          <w:szCs w:val="18"/>
        </w:rPr>
        <w:footnoteRef/>
      </w:r>
      <w:r w:rsidRPr="008D6B8D">
        <w:rPr>
          <w:rFonts w:ascii="Open Sans" w:hAnsi="Open Sans" w:cs="Open Sans"/>
          <w:sz w:val="18"/>
          <w:szCs w:val="18"/>
        </w:rPr>
        <w:t xml:space="preserve"> </w:t>
      </w:r>
      <w:r w:rsidRPr="008D6B8D">
        <w:rPr>
          <w:rFonts w:ascii="Open Sans" w:hAnsi="Open Sans" w:cs="Open Sans"/>
          <w:color w:val="1F497D" w:themeColor="text2"/>
          <w:sz w:val="18"/>
          <w:szCs w:val="18"/>
        </w:rPr>
        <w:t xml:space="preserve">Hacienda multa a Telefónica con 206 millones por impuestos mal contabilizados </w:t>
      </w:r>
      <w:hyperlink r:id="rId129" w:history="1">
        <w:r w:rsidRPr="008D6B8D">
          <w:rPr>
            <w:rStyle w:val="Hipervnculo"/>
            <w:rFonts w:ascii="Open Sans" w:hAnsi="Open Sans" w:cs="Open Sans"/>
            <w:bCs/>
            <w:sz w:val="18"/>
            <w:szCs w:val="18"/>
          </w:rPr>
          <w:t>http://www.elconfidencial.com/empresas/2016-02-28/hacienda-multa-a-telefonica-con-una-sancion-de-206-por-impuestos-mal-contabilizados_1159825/</w:t>
        </w:r>
      </w:hyperlink>
    </w:p>
  </w:footnote>
  <w:footnote w:id="176">
    <w:p w14:paraId="48C271F0" w14:textId="77777777" w:rsidR="007F55EB" w:rsidRPr="008D6B8D" w:rsidRDefault="007F55EB" w:rsidP="008D6B8D">
      <w:pPr>
        <w:pStyle w:val="Textonotapie"/>
        <w:rPr>
          <w:rFonts w:ascii="Open Sans" w:hAnsi="Open Sans" w:cs="Open Sans"/>
          <w:sz w:val="18"/>
          <w:szCs w:val="18"/>
        </w:rPr>
      </w:pPr>
      <w:r w:rsidRPr="008D6B8D">
        <w:rPr>
          <w:rStyle w:val="Refdenotaalpie"/>
          <w:rFonts w:ascii="Open Sans" w:hAnsi="Open Sans" w:cs="Open Sans"/>
          <w:sz w:val="18"/>
          <w:szCs w:val="18"/>
        </w:rPr>
        <w:footnoteRef/>
      </w:r>
      <w:r w:rsidRPr="008D6B8D">
        <w:rPr>
          <w:rFonts w:ascii="Open Sans" w:hAnsi="Open Sans" w:cs="Open Sans"/>
          <w:sz w:val="18"/>
          <w:szCs w:val="18"/>
        </w:rPr>
        <w:t xml:space="preserve"> </w:t>
      </w:r>
      <w:hyperlink r:id="rId130" w:history="1">
        <w:r w:rsidRPr="008D6B8D">
          <w:rPr>
            <w:rStyle w:val="Hipervnculo"/>
            <w:rFonts w:ascii="Open Sans" w:hAnsi="Open Sans" w:cs="Open Sans"/>
            <w:sz w:val="18"/>
            <w:szCs w:val="18"/>
          </w:rPr>
          <w:t>https://www.thepressproject.gr/article/67522/How-much-did-the-Hochtief-managed-Athens-airport-dodge-in-taxes--12-150-or-600-million</w:t>
        </w:r>
      </w:hyperlink>
    </w:p>
  </w:footnote>
  <w:footnote w:id="177">
    <w:p w14:paraId="6699EA76" w14:textId="77777777" w:rsidR="007F55EB" w:rsidRPr="008D6B8D" w:rsidRDefault="007F55EB" w:rsidP="008D6B8D">
      <w:pPr>
        <w:rPr>
          <w:rFonts w:ascii="Open Sans" w:hAnsi="Open Sans" w:cs="Open Sans"/>
          <w:sz w:val="18"/>
          <w:szCs w:val="18"/>
          <w:lang w:val="ca-ES"/>
        </w:rPr>
      </w:pPr>
      <w:r w:rsidRPr="008D6B8D">
        <w:rPr>
          <w:rStyle w:val="Refdenotaalpie"/>
          <w:rFonts w:ascii="Open Sans" w:hAnsi="Open Sans" w:cs="Open Sans"/>
          <w:sz w:val="18"/>
          <w:szCs w:val="18"/>
        </w:rPr>
        <w:footnoteRef/>
      </w:r>
      <w:r w:rsidRPr="008D6B8D">
        <w:rPr>
          <w:rFonts w:ascii="Open Sans" w:hAnsi="Open Sans" w:cs="Open Sans"/>
          <w:sz w:val="18"/>
          <w:szCs w:val="18"/>
        </w:rPr>
        <w:t xml:space="preserve"> </w:t>
      </w:r>
      <w:hyperlink r:id="rId131" w:history="1">
        <w:r w:rsidRPr="008D6B8D">
          <w:rPr>
            <w:rStyle w:val="Hipervnculo"/>
            <w:rFonts w:ascii="Open Sans" w:hAnsi="Open Sans" w:cs="Open Sans"/>
            <w:sz w:val="18"/>
            <w:szCs w:val="18"/>
          </w:rPr>
          <w:t>http://www.expansion.com/empresas/banca/2015/10/16/56213353268e3ef64e8b45f7.html</w:t>
        </w:r>
      </w:hyperlink>
    </w:p>
  </w:footnote>
  <w:footnote w:id="178">
    <w:p w14:paraId="03E50B66" w14:textId="378B99FD" w:rsidR="007F55EB" w:rsidRPr="008D6B8D" w:rsidRDefault="007F55EB" w:rsidP="008D6B8D">
      <w:pPr>
        <w:rPr>
          <w:rFonts w:ascii="Open Sans" w:hAnsi="Open Sans" w:cs="Open Sans"/>
          <w:b/>
          <w:sz w:val="18"/>
          <w:szCs w:val="18"/>
          <w:lang w:val="ca-ES"/>
        </w:rPr>
      </w:pPr>
      <w:r w:rsidRPr="008D6B8D">
        <w:rPr>
          <w:rStyle w:val="Refdenotaalpie"/>
          <w:rFonts w:ascii="Open Sans" w:hAnsi="Open Sans" w:cs="Open Sans"/>
          <w:sz w:val="18"/>
          <w:szCs w:val="18"/>
        </w:rPr>
        <w:footnoteRef/>
      </w:r>
      <w:r w:rsidRPr="008D6B8D">
        <w:rPr>
          <w:rFonts w:ascii="Open Sans" w:hAnsi="Open Sans" w:cs="Open Sans"/>
          <w:sz w:val="18"/>
          <w:szCs w:val="18"/>
          <w:lang w:val="ca-ES"/>
        </w:rPr>
        <w:t xml:space="preserve"> </w:t>
      </w:r>
      <w:hyperlink r:id="rId132" w:history="1">
        <w:r w:rsidRPr="008D6B8D">
          <w:rPr>
            <w:rStyle w:val="Hipervnculo"/>
            <w:rFonts w:ascii="Open Sans" w:hAnsi="Open Sans" w:cs="Open Sans"/>
            <w:sz w:val="18"/>
            <w:szCs w:val="18"/>
            <w:lang w:val="ca-ES"/>
          </w:rPr>
          <w:t>http://www.elconfidencial.com/empresas/2015-09-16/la-union-europea-implica-a-bbva-en-un-caso-de-fraude-masivo-de-iva_1018401/</w:t>
        </w:r>
      </w:hyperlink>
      <w:r w:rsidRPr="008D6B8D">
        <w:rPr>
          <w:rFonts w:ascii="Open Sans" w:hAnsi="Open Sans" w:cs="Open Sans"/>
          <w:b/>
          <w:sz w:val="18"/>
          <w:szCs w:val="18"/>
          <w:lang w:val="ca-ES"/>
        </w:rPr>
        <w:t xml:space="preserve"> </w:t>
      </w:r>
    </w:p>
  </w:footnote>
  <w:footnote w:id="179">
    <w:p w14:paraId="04F30AAB" w14:textId="77777777" w:rsidR="007F55EB" w:rsidRPr="008D6B8D" w:rsidRDefault="007F55EB" w:rsidP="008D6B8D">
      <w:pPr>
        <w:pStyle w:val="Textonotapie"/>
        <w:rPr>
          <w:rFonts w:ascii="Open Sans" w:hAnsi="Open Sans" w:cs="Open Sans"/>
          <w:bCs/>
          <w:sz w:val="18"/>
          <w:szCs w:val="18"/>
          <w:lang w:val="es-ES_tradnl"/>
        </w:rPr>
      </w:pPr>
      <w:r w:rsidRPr="008D6B8D">
        <w:rPr>
          <w:rStyle w:val="Refdenotaalpie"/>
          <w:rFonts w:ascii="Open Sans" w:hAnsi="Open Sans" w:cs="Open Sans"/>
          <w:sz w:val="18"/>
          <w:szCs w:val="18"/>
        </w:rPr>
        <w:footnoteRef/>
      </w:r>
      <w:r w:rsidRPr="008D6B8D">
        <w:rPr>
          <w:rFonts w:ascii="Open Sans" w:hAnsi="Open Sans" w:cs="Open Sans"/>
          <w:sz w:val="18"/>
          <w:szCs w:val="18"/>
        </w:rPr>
        <w:t xml:space="preserve"> </w:t>
      </w:r>
      <w:hyperlink r:id="rId133" w:history="1">
        <w:r w:rsidRPr="008D6B8D">
          <w:rPr>
            <w:rStyle w:val="Hipervnculo"/>
            <w:rFonts w:ascii="Open Sans" w:hAnsi="Open Sans" w:cs="Open Sans"/>
            <w:bCs/>
            <w:sz w:val="18"/>
            <w:szCs w:val="18"/>
            <w:lang w:val="es-ES_tradnl"/>
          </w:rPr>
          <w:t>Hacienda pone el foco sobre Inditex con inspecciones del IVA e Impuesto de Sociedades</w:t>
        </w:r>
      </w:hyperlink>
    </w:p>
  </w:footnote>
  <w:footnote w:id="180">
    <w:p w14:paraId="7AED07F3" w14:textId="77777777" w:rsidR="007F55EB" w:rsidRPr="008D6B8D" w:rsidRDefault="007F55EB" w:rsidP="008D6B8D">
      <w:pPr>
        <w:pStyle w:val="Textonotapie"/>
        <w:rPr>
          <w:rFonts w:ascii="Open Sans" w:hAnsi="Open Sans" w:cs="Open Sans"/>
          <w:b/>
          <w:bCs/>
          <w:sz w:val="18"/>
          <w:szCs w:val="18"/>
          <w:lang w:val="es-ES_tradnl"/>
        </w:rPr>
      </w:pPr>
      <w:r w:rsidRPr="008D6B8D">
        <w:rPr>
          <w:rStyle w:val="Refdenotaalpie"/>
          <w:rFonts w:ascii="Open Sans" w:hAnsi="Open Sans" w:cs="Open Sans"/>
          <w:sz w:val="18"/>
          <w:szCs w:val="18"/>
        </w:rPr>
        <w:footnoteRef/>
      </w:r>
      <w:r w:rsidRPr="008D6B8D">
        <w:rPr>
          <w:rFonts w:ascii="Open Sans" w:hAnsi="Open Sans" w:cs="Open Sans"/>
          <w:sz w:val="18"/>
          <w:szCs w:val="18"/>
        </w:rPr>
        <w:t xml:space="preserve"> </w:t>
      </w:r>
      <w:hyperlink r:id="rId134" w:history="1">
        <w:r w:rsidRPr="008D6B8D">
          <w:rPr>
            <w:rStyle w:val="Hipervnculo"/>
            <w:rFonts w:ascii="Open Sans" w:hAnsi="Open Sans" w:cs="Open Sans"/>
            <w:bCs/>
            <w:sz w:val="18"/>
            <w:szCs w:val="18"/>
            <w:lang w:val="es-ES_tradnl"/>
          </w:rPr>
          <w:t>Hacienda estrecha el cerco sobre Inditex en su cruzada contra las grandes empresas</w:t>
        </w:r>
      </w:hyperlink>
    </w:p>
  </w:footnote>
  <w:footnote w:id="181">
    <w:p w14:paraId="01615BCB" w14:textId="77777777" w:rsidR="007F55EB" w:rsidRPr="0060302B" w:rsidRDefault="007F55EB" w:rsidP="0060302B">
      <w:pPr>
        <w:pStyle w:val="Textonotapie"/>
        <w:rPr>
          <w:rFonts w:ascii="Open Sans" w:hAnsi="Open Sans" w:cs="Open Sans"/>
          <w:sz w:val="18"/>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http://europa.eu/rapid/press-release_IP-16-3471_es.htm</w:t>
      </w:r>
    </w:p>
  </w:footnote>
  <w:footnote w:id="182">
    <w:p w14:paraId="0F0B1CFE" w14:textId="77777777" w:rsidR="007F55EB" w:rsidRPr="0060302B" w:rsidRDefault="007F55EB" w:rsidP="0060302B">
      <w:pPr>
        <w:pStyle w:val="Textonotapie"/>
        <w:rPr>
          <w:rFonts w:ascii="Open Sans" w:hAnsi="Open Sans" w:cs="Open Sans"/>
          <w:sz w:val="18"/>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http://www.expansion.com/blogs/garrigues/2016/02/01/medidas-europeas-contra-la-elusion.html</w:t>
      </w:r>
    </w:p>
  </w:footnote>
  <w:footnote w:id="183">
    <w:p w14:paraId="3863F020" w14:textId="77777777" w:rsidR="007F55EB" w:rsidRPr="0060302B" w:rsidRDefault="007F55EB" w:rsidP="0060302B">
      <w:pPr>
        <w:pStyle w:val="Textonotapie"/>
        <w:rPr>
          <w:rFonts w:ascii="Open Sans" w:hAnsi="Open Sans" w:cs="Open Sans"/>
          <w:sz w:val="18"/>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w:t>
      </w:r>
      <w:hyperlink r:id="rId135" w:history="1">
        <w:r w:rsidRPr="0060302B">
          <w:rPr>
            <w:rStyle w:val="Hipervnculo"/>
            <w:rFonts w:ascii="Open Sans" w:hAnsi="Open Sans" w:cs="Open Sans"/>
            <w:sz w:val="18"/>
            <w:szCs w:val="18"/>
          </w:rPr>
          <w:t>http://www.elconfidencial.com/empresas/2016-05-06/florentino-perez-costes-cierre-castor_1194978/</w:t>
        </w:r>
      </w:hyperlink>
    </w:p>
  </w:footnote>
  <w:footnote w:id="184">
    <w:p w14:paraId="6CFFD546" w14:textId="77777777" w:rsidR="007F55EB" w:rsidRPr="0060302B" w:rsidRDefault="007F55EB" w:rsidP="0060302B">
      <w:pPr>
        <w:pStyle w:val="Textonotapie"/>
        <w:rPr>
          <w:rFonts w:ascii="Open Sans" w:hAnsi="Open Sans" w:cs="Open Sans"/>
          <w:sz w:val="18"/>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w:t>
      </w:r>
      <w:hyperlink r:id="rId136" w:history="1">
        <w:r w:rsidRPr="0060302B">
          <w:rPr>
            <w:rStyle w:val="Hipervnculo"/>
            <w:rFonts w:ascii="Open Sans" w:hAnsi="Open Sans" w:cs="Open Sans"/>
            <w:sz w:val="18"/>
            <w:szCs w:val="18"/>
          </w:rPr>
          <w:t>http://www.elconfidencial.com/empresas/2015-01-26/imputan-a-18-personas-por-prevaricacion-medioambiental-en-el-proyecto-castor_630022/</w:t>
        </w:r>
      </w:hyperlink>
    </w:p>
  </w:footnote>
  <w:footnote w:id="185">
    <w:p w14:paraId="2DA5D844" w14:textId="77777777" w:rsidR="007F55EB" w:rsidRPr="0060302B" w:rsidRDefault="007F55EB" w:rsidP="0060302B">
      <w:pPr>
        <w:pStyle w:val="Textonotapie"/>
        <w:rPr>
          <w:rFonts w:ascii="Open Sans" w:hAnsi="Open Sans" w:cs="Open Sans"/>
          <w:sz w:val="18"/>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Cuentas anuales consolidadas, p. 125</w:t>
      </w:r>
    </w:p>
  </w:footnote>
  <w:footnote w:id="186">
    <w:p w14:paraId="4E666984" w14:textId="77777777" w:rsidR="007F55EB" w:rsidRPr="0060302B" w:rsidRDefault="007F55EB" w:rsidP="0060302B">
      <w:pPr>
        <w:pStyle w:val="Textonotapie"/>
        <w:rPr>
          <w:rFonts w:ascii="Open Sans" w:hAnsi="Open Sans" w:cs="Open Sans"/>
          <w:sz w:val="18"/>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Informe anual de Acerinox 2015, página 151</w:t>
      </w:r>
    </w:p>
  </w:footnote>
  <w:footnote w:id="187">
    <w:p w14:paraId="49EACB5D" w14:textId="77777777" w:rsidR="007F55EB" w:rsidRPr="0082661D" w:rsidRDefault="007F55EB" w:rsidP="0060302B">
      <w:pPr>
        <w:pStyle w:val="Textonotapie"/>
        <w:rPr>
          <w:rFonts w:cs="Open Sans"/>
          <w:szCs w:val="18"/>
        </w:rPr>
      </w:pPr>
      <w:r w:rsidRPr="0060302B">
        <w:rPr>
          <w:rStyle w:val="Refdenotaalpie"/>
          <w:rFonts w:ascii="Open Sans" w:hAnsi="Open Sans" w:cs="Open Sans"/>
          <w:sz w:val="18"/>
          <w:szCs w:val="18"/>
        </w:rPr>
        <w:footnoteRef/>
      </w:r>
      <w:r w:rsidRPr="0060302B">
        <w:rPr>
          <w:rFonts w:ascii="Open Sans" w:hAnsi="Open Sans" w:cs="Open Sans"/>
          <w:sz w:val="18"/>
          <w:szCs w:val="18"/>
        </w:rPr>
        <w:t xml:space="preserve"> Informe anual de Acerinox 2015, página 151</w:t>
      </w:r>
    </w:p>
  </w:footnote>
  <w:footnote w:id="188">
    <w:p w14:paraId="4F888387" w14:textId="77777777" w:rsidR="007F55EB" w:rsidRPr="0060302B" w:rsidRDefault="007F55EB" w:rsidP="0060302B">
      <w:pPr>
        <w:pStyle w:val="Textonotapie"/>
        <w:rPr>
          <w:rFonts w:ascii="Open Sans" w:hAnsi="Open Sans" w:cs="Open Sans"/>
          <w:sz w:val="18"/>
          <w:szCs w:val="18"/>
          <w:lang w:val="en-GB"/>
        </w:rPr>
      </w:pPr>
      <w:r w:rsidRPr="0060302B">
        <w:rPr>
          <w:rStyle w:val="Refdenotaalpie"/>
          <w:rFonts w:ascii="Open Sans" w:hAnsi="Open Sans" w:cs="Open Sans"/>
          <w:sz w:val="18"/>
          <w:szCs w:val="18"/>
        </w:rPr>
        <w:footnoteRef/>
      </w:r>
      <w:r w:rsidRPr="0060302B">
        <w:rPr>
          <w:rFonts w:ascii="Open Sans" w:hAnsi="Open Sans" w:cs="Open Sans"/>
          <w:sz w:val="18"/>
          <w:szCs w:val="18"/>
          <w:lang w:val="en-GB"/>
        </w:rPr>
        <w:t xml:space="preserve"> Informe anual 2015 Enagás, página 168</w:t>
      </w:r>
    </w:p>
  </w:footnote>
  <w:footnote w:id="189">
    <w:p w14:paraId="432ABC97" w14:textId="77777777" w:rsidR="007F55EB" w:rsidRPr="00BC63A1" w:rsidRDefault="007F55EB" w:rsidP="0060302B">
      <w:pPr>
        <w:pStyle w:val="Textonotapie"/>
        <w:rPr>
          <w:rFonts w:ascii="Open Sans" w:hAnsi="Open Sans" w:cs="Open Sans"/>
          <w:sz w:val="18"/>
          <w:szCs w:val="18"/>
          <w:lang w:val="en-GB"/>
        </w:rPr>
      </w:pPr>
      <w:r w:rsidRPr="00BC63A1">
        <w:rPr>
          <w:rStyle w:val="Refdenotaalpie"/>
          <w:rFonts w:ascii="Open Sans" w:hAnsi="Open Sans" w:cs="Open Sans"/>
          <w:sz w:val="18"/>
          <w:szCs w:val="18"/>
        </w:rPr>
        <w:footnoteRef/>
      </w:r>
      <w:r w:rsidRPr="00BC63A1">
        <w:rPr>
          <w:rFonts w:ascii="Open Sans" w:hAnsi="Open Sans" w:cs="Open Sans"/>
          <w:sz w:val="18"/>
          <w:szCs w:val="18"/>
          <w:lang w:val="en-GB"/>
        </w:rPr>
        <w:t xml:space="preserve"> </w:t>
      </w:r>
      <w:hyperlink r:id="rId137" w:history="1">
        <w:r w:rsidRPr="00BC63A1">
          <w:rPr>
            <w:rStyle w:val="Hipervnculo"/>
            <w:rFonts w:ascii="Open Sans" w:hAnsi="Open Sans" w:cs="Open Sans"/>
            <w:bCs/>
            <w:sz w:val="18"/>
            <w:szCs w:val="18"/>
            <w:lang w:val="en-GB"/>
          </w:rPr>
          <w:t>Ortega’s Zara Fashions Tax Avoidance by Shifting Profits to Alps</w:t>
        </w:r>
      </w:hyperlink>
    </w:p>
  </w:footnote>
  <w:footnote w:id="190">
    <w:p w14:paraId="7C9841CB" w14:textId="77777777" w:rsidR="007F55EB" w:rsidRPr="00ED32E7" w:rsidRDefault="007F55EB" w:rsidP="00BC63A1">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Estrategia renovada de la UE para 2011-2014 sobre la responsabilidad social de las empresas  (COM  (2011)  681  final)  señala que  las  empresas  deberían  trabajar  por implementar  una  buena gobernanza  fiscal  y  a  difundir  la  información  relativa  a  la </w:t>
      </w:r>
      <w:r w:rsidRPr="00ED32E7">
        <w:rPr>
          <w:rFonts w:ascii="Open Sans" w:hAnsi="Open Sans"/>
          <w:sz w:val="18"/>
          <w:szCs w:val="18"/>
        </w:rPr>
        <w:t xml:space="preserve">implementación de las normas sobre buena gobernanza fiscal.  </w:t>
      </w:r>
    </w:p>
  </w:footnote>
  <w:footnote w:id="191">
    <w:p w14:paraId="7821092C" w14:textId="77777777" w:rsidR="007F55EB" w:rsidRPr="00ED32E7" w:rsidRDefault="007F55EB" w:rsidP="00BC63A1">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OCDE, </w:t>
      </w:r>
      <w:r w:rsidRPr="00ED32E7">
        <w:rPr>
          <w:rFonts w:ascii="Open Sans" w:hAnsi="Open Sans" w:cs="Arial"/>
          <w:sz w:val="18"/>
          <w:szCs w:val="18"/>
        </w:rPr>
        <w:t>Líneas  directrices  para  empresas  multinacionales  (2011) dedica el capítulo IX a las cuestiones relacionadas con la tributación.</w:t>
      </w:r>
    </w:p>
  </w:footnote>
  <w:footnote w:id="192">
    <w:p w14:paraId="2669C390" w14:textId="77777777" w:rsidR="007F55EB" w:rsidRPr="00ED32E7" w:rsidRDefault="007F55EB" w:rsidP="00BC63A1">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A favor de la información país a país se han manifestado diversas instituciones, destacándose,  “The  extractive  industries </w:t>
      </w:r>
      <w:r w:rsidRPr="004A5B7C">
        <w:rPr>
          <w:rFonts w:ascii="Open Sans" w:hAnsi="Open Sans" w:cs="Arial"/>
          <w:sz w:val="18"/>
          <w:szCs w:val="18"/>
        </w:rPr>
        <w:t>transparency initiative” (EITI); “The EU Accounting</w:t>
      </w:r>
      <w:r>
        <w:rPr>
          <w:rFonts w:ascii="Open Sans" w:hAnsi="Open Sans" w:cs="Arial"/>
          <w:sz w:val="18"/>
          <w:szCs w:val="18"/>
        </w:rPr>
        <w:t xml:space="preserve"> and Transparency directive”; “T</w:t>
      </w:r>
      <w:r w:rsidRPr="004A5B7C">
        <w:rPr>
          <w:rFonts w:ascii="Open Sans" w:hAnsi="Open Sans" w:cs="Arial"/>
          <w:sz w:val="18"/>
          <w:szCs w:val="18"/>
        </w:rPr>
        <w:t>he Dodd-</w:t>
      </w:r>
      <w:r>
        <w:rPr>
          <w:rFonts w:ascii="Open Sans" w:hAnsi="Open Sans" w:cs="Arial"/>
          <w:sz w:val="18"/>
          <w:szCs w:val="18"/>
        </w:rPr>
        <w:t>Frank  Act”;  y  “T</w:t>
      </w:r>
      <w:r w:rsidRPr="00ED32E7">
        <w:rPr>
          <w:rFonts w:ascii="Open Sans" w:hAnsi="Open Sans" w:cs="Arial"/>
          <w:sz w:val="18"/>
          <w:szCs w:val="18"/>
        </w:rPr>
        <w:t>he  EU  Capital  Requirements  directive  IV”  (CRD  IV),  el  Proyecto  BEPS  de  la OCDE.  También  pueden  destacarse  iniciativas  de  otros  países  a  nivel  individual,  de  la sociedad civil (p.e. “Publish what you pay”) u organizaciones como Tax Justice Network.</w:t>
      </w:r>
    </w:p>
  </w:footnote>
  <w:footnote w:id="193">
    <w:p w14:paraId="4280386A" w14:textId="77777777" w:rsidR="007F55EB" w:rsidRPr="00147BA6" w:rsidRDefault="007F55EB" w:rsidP="00BC63A1">
      <w:pPr>
        <w:jc w:val="both"/>
        <w:rPr>
          <w:rFonts w:ascii="Open Sans" w:hAnsi="Open Sans" w:cs="Arial"/>
          <w:sz w:val="18"/>
          <w:szCs w:val="18"/>
        </w:rPr>
      </w:pPr>
      <w:r w:rsidRPr="00147BA6">
        <w:rPr>
          <w:rStyle w:val="Refdenotaalpie"/>
          <w:rFonts w:ascii="Open Sans" w:hAnsi="Open Sans"/>
          <w:sz w:val="18"/>
          <w:szCs w:val="18"/>
        </w:rPr>
        <w:footnoteRef/>
      </w:r>
      <w:r w:rsidRPr="00147BA6">
        <w:rPr>
          <w:rFonts w:ascii="Open Sans" w:hAnsi="Open Sans"/>
          <w:sz w:val="18"/>
          <w:szCs w:val="18"/>
        </w:rPr>
        <w:t xml:space="preserve"> </w:t>
      </w:r>
      <w:r w:rsidRPr="00147BA6">
        <w:rPr>
          <w:rFonts w:ascii="Open Sans" w:hAnsi="Open Sans" w:cs="Arial"/>
          <w:sz w:val="18"/>
          <w:szCs w:val="18"/>
        </w:rPr>
        <w:t>A favor de la información país a país se han manifestado diversas instituciones, destacándose,  “The  extractive  industries transparency initiative” (EITI); “The EU Accounting and Transparency directive”; “the Dodd-Frank  Act”;  y  “the  EU  Capital  Requirements  directive  IV”  (CRD  IV),  el  Proyecto  BEPS  de  la OCDE.  También  pueden  destacarse  iniciativas  de  otros  países  a  nivel  individual,  de  la sociedad civil (p.e. “Publish what you pay”) u organizaciones como Tax Justice Network.</w:t>
      </w:r>
    </w:p>
  </w:footnote>
  <w:footnote w:id="194">
    <w:p w14:paraId="4C0110D3" w14:textId="77777777" w:rsidR="007F55EB" w:rsidRPr="00D06498" w:rsidRDefault="007F55EB" w:rsidP="00BC63A1">
      <w:pPr>
        <w:pStyle w:val="Textonotapie"/>
        <w:rPr>
          <w:rFonts w:ascii="Open Sans" w:hAnsi="Open Sans" w:cs="Arial"/>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https://www.telefonica.com/es/web/negocio-responsable/-/contenido-transparencia-fiscal</w:t>
      </w:r>
    </w:p>
  </w:footnote>
  <w:footnote w:id="195">
    <w:p w14:paraId="5FEF5215" w14:textId="77777777" w:rsidR="007F55EB" w:rsidRPr="00D06498" w:rsidRDefault="007F55EB" w:rsidP="00BC63A1">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https://www.telefonica.com/es/web/negocio-responsable/el-negocio-responsable-en-telefonica/estrategia</w:t>
      </w:r>
    </w:p>
  </w:footnote>
  <w:footnote w:id="196">
    <w:p w14:paraId="3802F466" w14:textId="77777777" w:rsidR="007F55EB" w:rsidRPr="00CE7B15" w:rsidRDefault="007F55EB" w:rsidP="00BA0792">
      <w:pPr>
        <w:pStyle w:val="Textonotapie"/>
        <w:rPr>
          <w:rFonts w:ascii="Open Sans" w:hAnsi="Open Sans"/>
          <w:bCs/>
          <w:sz w:val="18"/>
          <w:szCs w:val="18"/>
          <w:lang w:val="es-ES_tradnl"/>
        </w:rPr>
      </w:pPr>
      <w:r w:rsidRPr="00CE7B15">
        <w:rPr>
          <w:rStyle w:val="Refdenotaalpie"/>
          <w:rFonts w:ascii="Open Sans" w:hAnsi="Open Sans"/>
          <w:sz w:val="18"/>
          <w:szCs w:val="18"/>
        </w:rPr>
        <w:footnoteRef/>
      </w:r>
      <w:r w:rsidRPr="00CE7B15">
        <w:rPr>
          <w:rFonts w:ascii="Open Sans" w:hAnsi="Open Sans"/>
          <w:sz w:val="18"/>
          <w:szCs w:val="18"/>
        </w:rPr>
        <w:t xml:space="preserve"> </w:t>
      </w:r>
      <w:hyperlink r:id="rId138" w:history="1">
        <w:r w:rsidRPr="00CE7B15">
          <w:rPr>
            <w:rStyle w:val="Hipervnculo"/>
            <w:rFonts w:ascii="Open Sans" w:hAnsi="Open Sans"/>
            <w:bCs/>
            <w:sz w:val="18"/>
            <w:szCs w:val="18"/>
            <w:lang w:val="es-ES_tradnl"/>
          </w:rPr>
          <w:t>Grifols 'pasa' de que le acusen de trabajar en paraísos fiscales</w:t>
        </w:r>
      </w:hyperlink>
    </w:p>
  </w:footnote>
  <w:footnote w:id="197">
    <w:p w14:paraId="6466CFBC" w14:textId="77777777" w:rsidR="007F55EB" w:rsidRPr="00C664A7" w:rsidRDefault="007F55EB" w:rsidP="00BA0792">
      <w:pPr>
        <w:pStyle w:val="Textonotapie"/>
        <w:rPr>
          <w:rFonts w:ascii="Open Sans" w:hAnsi="Open Sans"/>
          <w:bCs/>
          <w:sz w:val="18"/>
          <w:szCs w:val="18"/>
          <w:lang w:val="es-ES_tradnl"/>
        </w:rPr>
      </w:pPr>
      <w:r w:rsidRPr="00C664A7">
        <w:rPr>
          <w:rStyle w:val="Refdenotaalpie"/>
          <w:rFonts w:ascii="Open Sans" w:hAnsi="Open Sans"/>
          <w:sz w:val="18"/>
          <w:szCs w:val="18"/>
        </w:rPr>
        <w:footnoteRef/>
      </w:r>
      <w:r w:rsidRPr="00C664A7">
        <w:rPr>
          <w:rFonts w:ascii="Open Sans" w:hAnsi="Open Sans"/>
          <w:sz w:val="18"/>
          <w:szCs w:val="18"/>
        </w:rPr>
        <w:t xml:space="preserve"> </w:t>
      </w:r>
      <w:hyperlink r:id="rId139" w:history="1">
        <w:r w:rsidRPr="00C664A7">
          <w:rPr>
            <w:rStyle w:val="Hipervnculo"/>
            <w:rFonts w:ascii="Open Sans" w:hAnsi="Open Sans"/>
            <w:bCs/>
            <w:sz w:val="18"/>
            <w:szCs w:val="18"/>
            <w:lang w:val="es-ES_tradnl"/>
          </w:rPr>
          <w:t>Los fiscos de España y EE UU inspeccionan los impuestos de Grifols</w:t>
        </w:r>
      </w:hyperlink>
    </w:p>
  </w:footnote>
  <w:footnote w:id="198">
    <w:p w14:paraId="573C419A" w14:textId="77777777" w:rsidR="007F55EB" w:rsidRPr="00DA38AD" w:rsidRDefault="007F55EB" w:rsidP="00BA0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eastAsia="Calibri" w:hAnsi="Open Sans" w:cs="Helvetica"/>
          <w:color w:val="141413"/>
          <w:sz w:val="18"/>
          <w:szCs w:val="18"/>
        </w:rPr>
      </w:pPr>
      <w:r w:rsidRPr="00DA38AD">
        <w:rPr>
          <w:rStyle w:val="Refdenotaalpie"/>
          <w:rFonts w:ascii="Open Sans" w:hAnsi="Open Sans"/>
          <w:szCs w:val="18"/>
        </w:rPr>
        <w:footnoteRef/>
      </w:r>
      <w:r w:rsidRPr="00DA38AD">
        <w:rPr>
          <w:rFonts w:ascii="Open Sans" w:hAnsi="Open Sans"/>
          <w:sz w:val="18"/>
          <w:szCs w:val="18"/>
        </w:rPr>
        <w:t xml:space="preserve"> </w:t>
      </w:r>
      <w:r w:rsidRPr="00DA38AD">
        <w:rPr>
          <w:rFonts w:ascii="Open Sans" w:eastAsia="Calibri" w:hAnsi="Open Sans" w:cs="Helvetica"/>
          <w:color w:val="141413"/>
          <w:sz w:val="18"/>
          <w:szCs w:val="18"/>
        </w:rPr>
        <w:t>Ley 31/2014, de 3 de diciembre, por la que se reforma la Ley de Sociedades de Capital para la mejora del gobierno corporativo y publicación del nuevo Código de Buen Gobierno de Sociedades Cotizadas, aprobado por acuerdo del Consejo de la Comisión Nacional del Mercado de Valores de 18 de febrero de 2015.</w:t>
      </w:r>
    </w:p>
  </w:footnote>
  <w:footnote w:id="199">
    <w:p w14:paraId="3DAD96C6" w14:textId="77777777" w:rsidR="007F55EB" w:rsidRPr="0064271F" w:rsidRDefault="007F55EB" w:rsidP="00BA0792">
      <w:pPr>
        <w:pStyle w:val="Textonotapie"/>
        <w:rPr>
          <w:rFonts w:ascii="Open Sans" w:hAnsi="Open Sans"/>
          <w:bCs/>
          <w:sz w:val="18"/>
          <w:szCs w:val="18"/>
          <w:lang w:val="es-ES_tradnl"/>
        </w:rPr>
      </w:pPr>
      <w:r w:rsidRPr="006D1D04">
        <w:rPr>
          <w:rStyle w:val="Refdenotaalpie"/>
          <w:rFonts w:ascii="Open Sans" w:hAnsi="Open Sans"/>
          <w:sz w:val="18"/>
          <w:szCs w:val="18"/>
        </w:rPr>
        <w:footnoteRef/>
      </w:r>
      <w:r w:rsidRPr="006D1D04">
        <w:rPr>
          <w:rFonts w:ascii="Open Sans" w:hAnsi="Open Sans"/>
          <w:sz w:val="18"/>
          <w:szCs w:val="18"/>
        </w:rPr>
        <w:t xml:space="preserve"> </w:t>
      </w:r>
      <w:hyperlink r:id="rId140" w:history="1">
        <w:r w:rsidRPr="006D1D04">
          <w:rPr>
            <w:rStyle w:val="Hipervnculo"/>
            <w:rFonts w:ascii="Open Sans" w:hAnsi="Open Sans"/>
            <w:bCs/>
            <w:sz w:val="18"/>
            <w:szCs w:val="18"/>
            <w:lang w:val="es-ES_tradnl"/>
          </w:rPr>
          <w:t>Irlanda se revela como refugio fiscal y productivo entre las ‘Big Pharma’</w:t>
        </w:r>
      </w:hyperlink>
    </w:p>
  </w:footnote>
  <w:footnote w:id="200">
    <w:p w14:paraId="477DFE00" w14:textId="77777777" w:rsidR="007F55EB" w:rsidRPr="00185B60" w:rsidRDefault="007F55EB" w:rsidP="00BA0792">
      <w:pPr>
        <w:pStyle w:val="Textonotapie"/>
        <w:rPr>
          <w:rFonts w:ascii="Open Sans" w:hAnsi="Open Sans"/>
          <w:sz w:val="18"/>
          <w:szCs w:val="18"/>
          <w:lang w:val="es-ES_tradnl"/>
        </w:rPr>
      </w:pPr>
      <w:r w:rsidRPr="00185B60">
        <w:rPr>
          <w:rStyle w:val="Refdenotaalpie"/>
          <w:rFonts w:ascii="Open Sans" w:hAnsi="Open Sans"/>
          <w:sz w:val="18"/>
          <w:szCs w:val="18"/>
        </w:rPr>
        <w:footnoteRef/>
      </w:r>
      <w:r w:rsidRPr="00547828">
        <w:rPr>
          <w:rFonts w:ascii="Open Sans" w:hAnsi="Open Sans"/>
          <w:sz w:val="18"/>
          <w:szCs w:val="18"/>
          <w:lang w:val="en-GB"/>
        </w:rPr>
        <w:t xml:space="preserve"> Policy prescriptions: the firepower of the EU pharmaceutical lobby and implications for public health', septiembre 2015. </w:t>
      </w:r>
      <w:r w:rsidRPr="00185B60">
        <w:rPr>
          <w:rFonts w:ascii="Open Sans" w:hAnsi="Open Sans"/>
          <w:sz w:val="18"/>
          <w:szCs w:val="18"/>
        </w:rPr>
        <w:t>Corporate Europe Observatory</w:t>
      </w:r>
    </w:p>
  </w:footnote>
  <w:footnote w:id="201">
    <w:p w14:paraId="47861832" w14:textId="77777777" w:rsidR="007F55EB" w:rsidRPr="00FC44A2" w:rsidRDefault="007F55EB" w:rsidP="00BA0792">
      <w:pPr>
        <w:pStyle w:val="Textonotapie"/>
        <w:rPr>
          <w:rFonts w:ascii="Open Sans" w:hAnsi="Open Sans"/>
          <w:sz w:val="18"/>
          <w:szCs w:val="18"/>
          <w:lang w:val="es-ES_tradnl"/>
        </w:rPr>
      </w:pPr>
      <w:r w:rsidRPr="00FC44A2">
        <w:rPr>
          <w:rStyle w:val="Refdenotaalpie"/>
          <w:rFonts w:ascii="Open Sans" w:hAnsi="Open Sans"/>
          <w:sz w:val="18"/>
          <w:szCs w:val="18"/>
        </w:rPr>
        <w:footnoteRef/>
      </w:r>
      <w:r w:rsidRPr="00FC44A2">
        <w:rPr>
          <w:rFonts w:ascii="Open Sans" w:hAnsi="Open Sans"/>
          <w:sz w:val="18"/>
          <w:szCs w:val="18"/>
        </w:rPr>
        <w:t xml:space="preserve"> </w:t>
      </w:r>
      <w:r w:rsidRPr="00FC44A2">
        <w:rPr>
          <w:rFonts w:ascii="Open Sans" w:hAnsi="Open Sans"/>
          <w:sz w:val="18"/>
          <w:szCs w:val="18"/>
          <w:lang w:val="es-ES_tradnl"/>
        </w:rPr>
        <w:t xml:space="preserve">Riqueza: Tenerlo todo y querer más. Enero 2015, </w:t>
      </w:r>
      <w:r>
        <w:rPr>
          <w:rFonts w:ascii="Open Sans" w:hAnsi="Open Sans"/>
          <w:sz w:val="18"/>
          <w:szCs w:val="18"/>
          <w:lang w:val="es-ES_tradnl"/>
        </w:rPr>
        <w:t>Oxfa</w:t>
      </w:r>
      <w:r w:rsidRPr="00FC44A2">
        <w:rPr>
          <w:rFonts w:ascii="Open Sans" w:hAnsi="Open Sans"/>
          <w:sz w:val="18"/>
          <w:szCs w:val="18"/>
          <w:lang w:val="es-ES_tradnl"/>
        </w:rPr>
        <w:t>m</w:t>
      </w:r>
    </w:p>
  </w:footnote>
  <w:footnote w:id="202">
    <w:p w14:paraId="7E5B19F7" w14:textId="77777777" w:rsidR="007F55EB" w:rsidRPr="006B62D3" w:rsidRDefault="007F55EB" w:rsidP="00BA0792">
      <w:pPr>
        <w:pStyle w:val="Textonotapie"/>
        <w:rPr>
          <w:rFonts w:ascii="Open Sans" w:hAnsi="Open Sans"/>
          <w:sz w:val="18"/>
          <w:szCs w:val="18"/>
          <w:lang w:val="es-ES_tradnl"/>
        </w:rPr>
      </w:pPr>
      <w:r w:rsidRPr="006B62D3">
        <w:rPr>
          <w:rStyle w:val="Refdenotaalpie"/>
          <w:rFonts w:ascii="Open Sans" w:hAnsi="Open Sans"/>
          <w:sz w:val="18"/>
          <w:szCs w:val="18"/>
        </w:rPr>
        <w:footnoteRef/>
      </w:r>
      <w:r w:rsidRPr="006B62D3">
        <w:rPr>
          <w:rFonts w:ascii="Open Sans" w:hAnsi="Open Sans"/>
          <w:sz w:val="18"/>
          <w:szCs w:val="18"/>
        </w:rPr>
        <w:t xml:space="preserve"> </w:t>
      </w:r>
      <w:r w:rsidRPr="006B62D3">
        <w:rPr>
          <w:rFonts w:ascii="Open Sans" w:hAnsi="Open Sans"/>
          <w:sz w:val="18"/>
          <w:szCs w:val="18"/>
          <w:lang w:val="es-ES_tradnl"/>
        </w:rPr>
        <w:t>bizapedia, opencorporates</w:t>
      </w:r>
    </w:p>
  </w:footnote>
  <w:footnote w:id="203">
    <w:p w14:paraId="080016D7" w14:textId="77777777" w:rsidR="007F55EB" w:rsidRPr="00462BE1" w:rsidRDefault="007F55EB" w:rsidP="00BA0792">
      <w:pPr>
        <w:pStyle w:val="Textonotapie"/>
        <w:rPr>
          <w:lang w:val="es-ES_tradnl"/>
        </w:rPr>
      </w:pPr>
      <w:r w:rsidRPr="006B62D3">
        <w:rPr>
          <w:rStyle w:val="Refdenotaalpie"/>
          <w:rFonts w:ascii="Open Sans" w:hAnsi="Open Sans"/>
          <w:sz w:val="18"/>
          <w:szCs w:val="18"/>
        </w:rPr>
        <w:footnoteRef/>
      </w:r>
      <w:r w:rsidRPr="006B62D3">
        <w:rPr>
          <w:rFonts w:ascii="Open Sans" w:hAnsi="Open Sans"/>
          <w:sz w:val="18"/>
          <w:szCs w:val="18"/>
        </w:rPr>
        <w:t xml:space="preserve"> </w:t>
      </w:r>
      <w:hyperlink r:id="rId141" w:history="1">
        <w:r w:rsidRPr="006B62D3">
          <w:rPr>
            <w:rStyle w:val="Hipervnculo"/>
            <w:rFonts w:ascii="Open Sans" w:hAnsi="Open Sans"/>
            <w:sz w:val="18"/>
            <w:szCs w:val="18"/>
          </w:rPr>
          <w:t>Centros de plasma de Grifols</w:t>
        </w:r>
      </w:hyperlink>
    </w:p>
  </w:footnote>
  <w:footnote w:id="204">
    <w:p w14:paraId="0678DE32" w14:textId="77777777" w:rsidR="007F55EB" w:rsidRPr="00AA20F4" w:rsidRDefault="007F55EB" w:rsidP="00BA0792">
      <w:pPr>
        <w:pStyle w:val="Textonotapie"/>
        <w:rPr>
          <w:rFonts w:ascii="Open Sans" w:hAnsi="Open Sans"/>
          <w:sz w:val="18"/>
          <w:szCs w:val="18"/>
          <w:lang w:val="es-ES_tradnl"/>
        </w:rPr>
      </w:pPr>
      <w:r w:rsidRPr="00AA20F4">
        <w:rPr>
          <w:rStyle w:val="Refdenotaalpie"/>
          <w:rFonts w:ascii="Open Sans" w:hAnsi="Open Sans"/>
          <w:sz w:val="18"/>
          <w:szCs w:val="18"/>
        </w:rPr>
        <w:footnoteRef/>
      </w:r>
      <w:r w:rsidRPr="00AA20F4">
        <w:rPr>
          <w:rFonts w:ascii="Open Sans" w:hAnsi="Open Sans"/>
          <w:sz w:val="18"/>
          <w:szCs w:val="18"/>
        </w:rPr>
        <w:t xml:space="preserve"> </w:t>
      </w:r>
      <w:r w:rsidRPr="00AA20F4">
        <w:rPr>
          <w:rFonts w:ascii="Open Sans" w:hAnsi="Open Sans"/>
          <w:sz w:val="18"/>
          <w:szCs w:val="18"/>
          <w:lang w:val="es-ES_tradnl"/>
        </w:rPr>
        <w:t>Cuentas anuales 2015, pág. 72</w:t>
      </w:r>
    </w:p>
  </w:footnote>
  <w:footnote w:id="205">
    <w:p w14:paraId="65F0DE75" w14:textId="77777777" w:rsidR="007F55EB" w:rsidRPr="00BD1CE9" w:rsidRDefault="007F55EB" w:rsidP="00BA0792">
      <w:pPr>
        <w:pStyle w:val="Textonotapie"/>
        <w:rPr>
          <w:rFonts w:ascii="Open Sans" w:hAnsi="Open Sans"/>
          <w:bCs/>
          <w:sz w:val="18"/>
          <w:szCs w:val="18"/>
          <w:lang w:val="es-ES_tradnl"/>
        </w:rPr>
      </w:pPr>
      <w:r w:rsidRPr="0039138E">
        <w:rPr>
          <w:rStyle w:val="Refdenotaalpie"/>
          <w:rFonts w:ascii="Open Sans" w:hAnsi="Open Sans"/>
          <w:sz w:val="18"/>
          <w:szCs w:val="18"/>
        </w:rPr>
        <w:footnoteRef/>
      </w:r>
      <w:r w:rsidRPr="0039138E">
        <w:rPr>
          <w:rFonts w:ascii="Open Sans" w:hAnsi="Open Sans"/>
          <w:sz w:val="18"/>
          <w:szCs w:val="18"/>
        </w:rPr>
        <w:t xml:space="preserve"> </w:t>
      </w:r>
      <w:r w:rsidRPr="0039138E">
        <w:rPr>
          <w:rFonts w:ascii="Open Sans" w:hAnsi="Open Sans"/>
          <w:sz w:val="18"/>
          <w:szCs w:val="18"/>
          <w:lang w:val="es-ES_tradnl"/>
        </w:rPr>
        <w:t>Nota prensa Grifols</w:t>
      </w:r>
      <w:r>
        <w:rPr>
          <w:rFonts w:ascii="Open Sans" w:hAnsi="Open Sans"/>
          <w:sz w:val="18"/>
          <w:szCs w:val="18"/>
          <w:lang w:val="es-ES_tradnl"/>
        </w:rPr>
        <w:t xml:space="preserve"> 22/10/2015</w:t>
      </w:r>
      <w:r w:rsidRPr="0039138E">
        <w:rPr>
          <w:rFonts w:ascii="Open Sans" w:hAnsi="Open Sans"/>
          <w:sz w:val="18"/>
          <w:szCs w:val="18"/>
          <w:lang w:val="es-ES_tradnl"/>
        </w:rPr>
        <w:t xml:space="preserve">. </w:t>
      </w:r>
      <w:hyperlink r:id="rId142" w:history="1">
        <w:r w:rsidRPr="0039138E">
          <w:rPr>
            <w:rStyle w:val="Hipervnculo"/>
            <w:rFonts w:ascii="Open Sans" w:hAnsi="Open Sans"/>
            <w:bCs/>
            <w:sz w:val="18"/>
            <w:szCs w:val="18"/>
            <w:lang w:val="es-ES_tradnl"/>
          </w:rPr>
          <w:t>Grifols inaugura oficialmente el centro mundial de operaciones de su División Bioscience en Irlanda</w:t>
        </w:r>
      </w:hyperlink>
      <w:r>
        <w:rPr>
          <w:rFonts w:ascii="Open Sans" w:hAnsi="Open Sans"/>
          <w:bCs/>
          <w:sz w:val="18"/>
          <w:szCs w:val="18"/>
          <w:lang w:val="es-ES_tradnl"/>
        </w:rPr>
        <w:t>.</w:t>
      </w:r>
    </w:p>
  </w:footnote>
  <w:footnote w:id="206">
    <w:p w14:paraId="6493147B" w14:textId="77777777" w:rsidR="007F55EB" w:rsidRPr="00235E6F" w:rsidRDefault="007F55EB" w:rsidP="00BA0792">
      <w:pPr>
        <w:pStyle w:val="Textonotapie"/>
        <w:rPr>
          <w:rFonts w:ascii="Open Sans" w:hAnsi="Open Sans"/>
          <w:sz w:val="18"/>
          <w:szCs w:val="18"/>
          <w:lang w:val="es-ES_tradnl"/>
        </w:rPr>
      </w:pPr>
      <w:r w:rsidRPr="00235E6F">
        <w:rPr>
          <w:rStyle w:val="Refdenotaalpie"/>
          <w:rFonts w:ascii="Open Sans" w:hAnsi="Open Sans"/>
          <w:sz w:val="18"/>
          <w:szCs w:val="18"/>
        </w:rPr>
        <w:footnoteRef/>
      </w:r>
      <w:r w:rsidRPr="00235E6F">
        <w:rPr>
          <w:rFonts w:ascii="Open Sans" w:hAnsi="Open Sans"/>
          <w:sz w:val="18"/>
          <w:szCs w:val="18"/>
        </w:rPr>
        <w:t xml:space="preserve"> </w:t>
      </w:r>
      <w:r w:rsidRPr="00235E6F">
        <w:rPr>
          <w:rFonts w:ascii="Open Sans" w:hAnsi="Open Sans"/>
          <w:sz w:val="18"/>
          <w:szCs w:val="18"/>
          <w:lang w:val="es-ES_tradnl"/>
        </w:rPr>
        <w:t>Cuentas anuales Grifols S.A. 2015, pág. 50</w:t>
      </w:r>
    </w:p>
  </w:footnote>
  <w:footnote w:id="207">
    <w:p w14:paraId="798594B0" w14:textId="77777777" w:rsidR="007F55EB" w:rsidRPr="006C536F" w:rsidRDefault="007F55EB" w:rsidP="00BA0792">
      <w:pPr>
        <w:pStyle w:val="Textonotapie"/>
        <w:rPr>
          <w:lang w:val="es-ES_tradnl"/>
        </w:rPr>
      </w:pPr>
      <w:r>
        <w:rPr>
          <w:rStyle w:val="Refdenotaalpie"/>
        </w:rPr>
        <w:footnoteRef/>
      </w:r>
      <w:r>
        <w:t xml:space="preserve"> </w:t>
      </w:r>
      <w:r w:rsidRPr="00235E6F">
        <w:rPr>
          <w:rFonts w:ascii="Open Sans" w:hAnsi="Open Sans"/>
          <w:sz w:val="18"/>
          <w:szCs w:val="18"/>
          <w:lang w:val="es-ES_tradnl"/>
        </w:rPr>
        <w:t>Cuen</w:t>
      </w:r>
      <w:r>
        <w:rPr>
          <w:rFonts w:ascii="Open Sans" w:hAnsi="Open Sans"/>
          <w:sz w:val="18"/>
          <w:szCs w:val="18"/>
          <w:lang w:val="es-ES_tradnl"/>
        </w:rPr>
        <w:t>tas anuales Grifols S.A. 2015, Anexo X</w:t>
      </w:r>
    </w:p>
  </w:footnote>
  <w:footnote w:id="208">
    <w:p w14:paraId="14A61442" w14:textId="77777777" w:rsidR="007F55EB" w:rsidRPr="003D0EC7" w:rsidRDefault="007F55EB" w:rsidP="00BA0792">
      <w:pPr>
        <w:pStyle w:val="Textonotapie"/>
        <w:rPr>
          <w:rFonts w:ascii="Open Sans" w:hAnsi="Open Sans"/>
          <w:sz w:val="18"/>
          <w:szCs w:val="18"/>
          <w:lang w:val="es-ES_tradnl"/>
        </w:rPr>
      </w:pPr>
      <w:r w:rsidRPr="003D0EC7">
        <w:rPr>
          <w:rStyle w:val="Refdenotaalpie"/>
          <w:rFonts w:ascii="Open Sans" w:hAnsi="Open Sans"/>
          <w:sz w:val="18"/>
          <w:szCs w:val="18"/>
        </w:rPr>
        <w:footnoteRef/>
      </w:r>
      <w:r w:rsidRPr="003D0EC7">
        <w:rPr>
          <w:rFonts w:ascii="Open Sans" w:hAnsi="Open Sans"/>
          <w:sz w:val="18"/>
          <w:szCs w:val="18"/>
        </w:rPr>
        <w:t xml:space="preserve"> </w:t>
      </w:r>
      <w:r w:rsidRPr="003D0EC7">
        <w:rPr>
          <w:rFonts w:ascii="Open Sans" w:hAnsi="Open Sans"/>
          <w:bCs/>
          <w:sz w:val="18"/>
          <w:szCs w:val="18"/>
        </w:rPr>
        <w:t>Memoria de las Cuentas Anuales Consolidadas 2015, pág. 2</w:t>
      </w:r>
    </w:p>
  </w:footnote>
  <w:footnote w:id="209">
    <w:p w14:paraId="4263E63E" w14:textId="77777777" w:rsidR="007F55EB" w:rsidRPr="005F71A4" w:rsidRDefault="007F55EB" w:rsidP="00BA0792">
      <w:pPr>
        <w:pStyle w:val="Textonotapie"/>
        <w:rPr>
          <w:rFonts w:ascii="Open Sans" w:hAnsi="Open Sans"/>
          <w:sz w:val="18"/>
          <w:szCs w:val="18"/>
          <w:lang w:val="es-ES_tradnl"/>
        </w:rPr>
      </w:pPr>
      <w:r w:rsidRPr="005F71A4">
        <w:rPr>
          <w:rStyle w:val="Refdenotaalpie"/>
          <w:rFonts w:ascii="Open Sans" w:hAnsi="Open Sans"/>
          <w:sz w:val="18"/>
          <w:szCs w:val="18"/>
        </w:rPr>
        <w:footnoteRef/>
      </w:r>
      <w:r w:rsidRPr="005F71A4">
        <w:rPr>
          <w:rFonts w:ascii="Open Sans" w:hAnsi="Open Sans"/>
          <w:sz w:val="18"/>
          <w:szCs w:val="18"/>
        </w:rPr>
        <w:t xml:space="preserve"> http://www.eucope.org/en/</w:t>
      </w:r>
    </w:p>
  </w:footnote>
  <w:footnote w:id="210">
    <w:p w14:paraId="0D84B031" w14:textId="77777777" w:rsidR="007F55EB" w:rsidRPr="005F71A4" w:rsidRDefault="007F55EB" w:rsidP="00BA0792">
      <w:pPr>
        <w:pStyle w:val="Textonotapie"/>
        <w:rPr>
          <w:rFonts w:ascii="Open Sans" w:hAnsi="Open Sans"/>
          <w:sz w:val="18"/>
          <w:szCs w:val="18"/>
          <w:lang w:val="es-ES_tradnl"/>
        </w:rPr>
      </w:pPr>
      <w:r w:rsidRPr="005F71A4">
        <w:rPr>
          <w:rStyle w:val="Refdenotaalpie"/>
          <w:rFonts w:ascii="Open Sans" w:hAnsi="Open Sans"/>
          <w:sz w:val="18"/>
          <w:szCs w:val="18"/>
        </w:rPr>
        <w:footnoteRef/>
      </w:r>
      <w:r w:rsidRPr="005F71A4">
        <w:rPr>
          <w:rFonts w:ascii="Open Sans" w:hAnsi="Open Sans"/>
          <w:sz w:val="18"/>
          <w:szCs w:val="18"/>
        </w:rPr>
        <w:t xml:space="preserve"> </w:t>
      </w:r>
      <w:r w:rsidRPr="005F71A4">
        <w:rPr>
          <w:rFonts w:ascii="Open Sans" w:hAnsi="Open Sans" w:cs="Lucida Grande"/>
          <w:color w:val="000000"/>
          <w:sz w:val="18"/>
          <w:szCs w:val="18"/>
        </w:rPr>
        <w:t>http://www.phrma.org/about/members</w:t>
      </w:r>
    </w:p>
  </w:footnote>
  <w:footnote w:id="211">
    <w:p w14:paraId="36680F35" w14:textId="77777777" w:rsidR="007F55EB" w:rsidRPr="005F71A4" w:rsidRDefault="007F55EB" w:rsidP="00BA0792">
      <w:pPr>
        <w:pStyle w:val="Textonotapie"/>
        <w:rPr>
          <w:lang w:val="es-ES_tradnl"/>
        </w:rPr>
      </w:pPr>
      <w:r w:rsidRPr="005F71A4">
        <w:rPr>
          <w:rStyle w:val="Refdenotaalpie"/>
          <w:rFonts w:ascii="Open Sans" w:hAnsi="Open Sans"/>
          <w:sz w:val="18"/>
          <w:szCs w:val="18"/>
        </w:rPr>
        <w:footnoteRef/>
      </w:r>
      <w:r w:rsidRPr="005F71A4">
        <w:rPr>
          <w:rFonts w:ascii="Open Sans" w:hAnsi="Open Sans"/>
          <w:sz w:val="18"/>
          <w:szCs w:val="18"/>
        </w:rPr>
        <w:t xml:space="preserve"> </w:t>
      </w:r>
      <w:r w:rsidRPr="005F71A4">
        <w:rPr>
          <w:rFonts w:ascii="Open Sans" w:hAnsi="Open Sans" w:cs="Lucida Grande"/>
          <w:color w:val="000000"/>
          <w:sz w:val="18"/>
          <w:szCs w:val="18"/>
        </w:rPr>
        <w:t>http://www.pptaglobal.org/</w:t>
      </w:r>
    </w:p>
  </w:footnote>
  <w:footnote w:id="212">
    <w:p w14:paraId="511C4210" w14:textId="77777777" w:rsidR="007F55EB" w:rsidRPr="00ED32E7" w:rsidRDefault="007F55EB" w:rsidP="00BA0792">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Estrategia renovada de la UE para 2011-2014 sobre la responsabilidad social de las empresas  (COM  (2011)  681  final)  señala que  las  empresas  deberían  trabajar  por implementar  una  buena gobernanza  fiscal  y  a  difundir  la  información  relativa  a  la </w:t>
      </w:r>
      <w:r w:rsidRPr="00ED32E7">
        <w:rPr>
          <w:rFonts w:ascii="Open Sans" w:hAnsi="Open Sans"/>
          <w:sz w:val="18"/>
          <w:szCs w:val="18"/>
        </w:rPr>
        <w:t xml:space="preserve">implementación de las normas sobre buena gobernanza fiscal.  </w:t>
      </w:r>
    </w:p>
  </w:footnote>
  <w:footnote w:id="213">
    <w:p w14:paraId="441F4989" w14:textId="77777777" w:rsidR="007F55EB" w:rsidRPr="00ED32E7" w:rsidRDefault="007F55EB" w:rsidP="00BA0792">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OCDE, </w:t>
      </w:r>
      <w:r w:rsidRPr="00ED32E7">
        <w:rPr>
          <w:rFonts w:ascii="Open Sans" w:hAnsi="Open Sans" w:cs="Arial"/>
          <w:sz w:val="18"/>
          <w:szCs w:val="18"/>
        </w:rPr>
        <w:t>Líneas  directrices  para  empresas  multinacionales  (2011) dedica el capítulo IX a las cuestiones relacionadas con la tributación.</w:t>
      </w:r>
    </w:p>
  </w:footnote>
  <w:footnote w:id="214">
    <w:p w14:paraId="7F54F1EB" w14:textId="77777777" w:rsidR="007F55EB" w:rsidRPr="00ED32E7" w:rsidRDefault="007F55EB" w:rsidP="00BA0792">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A favor de la información país a país se han manifestado diversas instituciones, destacándose,  “The  extractive  industries </w:t>
      </w:r>
      <w:r w:rsidRPr="004A5B7C">
        <w:rPr>
          <w:rFonts w:ascii="Open Sans" w:hAnsi="Open Sans" w:cs="Arial"/>
          <w:sz w:val="18"/>
          <w:szCs w:val="18"/>
        </w:rPr>
        <w:t>transparency initiative” (EITI); “The EU Accounting and Transparency directive”; “the Dodd-</w:t>
      </w:r>
      <w:r w:rsidRPr="00ED32E7">
        <w:rPr>
          <w:rFonts w:ascii="Open Sans" w:hAnsi="Open Sans" w:cs="Arial"/>
          <w:sz w:val="18"/>
          <w:szCs w:val="18"/>
        </w:rPr>
        <w:t>Frank  Act”;  y  “the  EU  Capital  Requirements  directive  IV”  (CRD  IV),  el  Proyecto  BEPS  de  la OCDE.  También  pueden  destacarse  iniciativas  de  otros  países  a  nivel  individual,  de  la sociedad civil (p.e. “Publish what you pay”) u organizaciones como Tax Justice Network.</w:t>
      </w:r>
    </w:p>
  </w:footnote>
  <w:footnote w:id="215">
    <w:p w14:paraId="12B348EE" w14:textId="77777777" w:rsidR="007F55EB" w:rsidRPr="00BA0792" w:rsidRDefault="007F55EB" w:rsidP="00BA0792">
      <w:pPr>
        <w:jc w:val="both"/>
        <w:rPr>
          <w:rFonts w:ascii="Open Sans" w:hAnsi="Open Sans"/>
          <w:sz w:val="18"/>
          <w:szCs w:val="18"/>
        </w:rPr>
      </w:pPr>
      <w:r w:rsidRPr="00BA0792">
        <w:rPr>
          <w:rStyle w:val="Refdenotaalpie"/>
          <w:rFonts w:ascii="Open Sans" w:hAnsi="Open Sans"/>
          <w:sz w:val="18"/>
          <w:szCs w:val="18"/>
        </w:rPr>
        <w:footnoteRef/>
      </w:r>
      <w:r w:rsidRPr="00BA0792">
        <w:rPr>
          <w:rFonts w:ascii="Open Sans" w:hAnsi="Open Sans"/>
          <w:sz w:val="18"/>
          <w:szCs w:val="18"/>
        </w:rPr>
        <w:t xml:space="preserve"> Según el Artículo 2.1 a) de los Estatutos Sociales de INDITEX, S.A., la Sociedad tiene por objeto “La fabricación, comercialización en cualquiera de sus fases, importación, exportación y venta al mayor y al detalle de toda clase de materias primas textiles, hilados, telas, tejidos y productos acabados de vestir y del hogar así como de cualesquiera otros productos complementarios de los anteriores, incluidos los de cosmética y marroquinería.” En los apartados b y sucesivos señala otros objetos: la participación en el capital social de otras sociedades, la explotación de dichas acciones, servicios de administración, estudios y proyectos y la creación de diseños industriales y comerciales, explotación o cesión de diseños y de la propiedad industrial, la adquisición y enajenación de bienes muebles e inmuebles, derechos, títulos en cuanto sirvan al tráfico que constituye su objeto.</w:t>
      </w:r>
    </w:p>
  </w:footnote>
  <w:footnote w:id="216">
    <w:p w14:paraId="03019779" w14:textId="77777777" w:rsidR="007F55EB" w:rsidRPr="00BA0792" w:rsidRDefault="007F55EB" w:rsidP="00BA0792">
      <w:pPr>
        <w:jc w:val="both"/>
        <w:rPr>
          <w:rFonts w:ascii="Open Sans" w:hAnsi="Open Sans"/>
          <w:sz w:val="18"/>
          <w:szCs w:val="18"/>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43" w:history="1">
        <w:r w:rsidRPr="00BA0792">
          <w:rPr>
            <w:rStyle w:val="Hipervnculo"/>
            <w:rFonts w:ascii="Open Sans" w:hAnsi="Open Sans"/>
            <w:sz w:val="18"/>
            <w:szCs w:val="18"/>
          </w:rPr>
          <w:t>http://www.lefties.com/es/util/empresa-c1119511.html</w:t>
        </w:r>
      </w:hyperlink>
      <w:r w:rsidRPr="00BA0792">
        <w:rPr>
          <w:rFonts w:ascii="Open Sans" w:hAnsi="Open Sans"/>
          <w:sz w:val="18"/>
          <w:szCs w:val="18"/>
        </w:rPr>
        <w:t xml:space="preserve"> </w:t>
      </w:r>
    </w:p>
  </w:footnote>
  <w:footnote w:id="217">
    <w:p w14:paraId="6F1CBB98" w14:textId="77777777" w:rsidR="007F55EB" w:rsidRPr="00BA0792" w:rsidRDefault="007F55EB" w:rsidP="00BA079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eastAsia="Calibri" w:hAnsi="Open Sans" w:cs="Helvetica"/>
          <w:color w:val="141413"/>
          <w:sz w:val="18"/>
          <w:szCs w:val="18"/>
        </w:rPr>
      </w:pPr>
      <w:r w:rsidRPr="00BA0792">
        <w:rPr>
          <w:rStyle w:val="Refdenotaalpie"/>
          <w:rFonts w:ascii="Open Sans" w:hAnsi="Open Sans"/>
          <w:sz w:val="18"/>
          <w:szCs w:val="18"/>
        </w:rPr>
        <w:footnoteRef/>
      </w:r>
      <w:r w:rsidRPr="00BA0792">
        <w:rPr>
          <w:rFonts w:ascii="Open Sans" w:hAnsi="Open Sans"/>
          <w:sz w:val="18"/>
          <w:szCs w:val="18"/>
        </w:rPr>
        <w:t xml:space="preserve"> </w:t>
      </w:r>
      <w:r w:rsidRPr="00BA0792">
        <w:rPr>
          <w:rFonts w:ascii="Open Sans" w:eastAsia="Calibri" w:hAnsi="Open Sans" w:cs="Helvetica"/>
          <w:color w:val="141413"/>
          <w:sz w:val="18"/>
          <w:szCs w:val="18"/>
        </w:rPr>
        <w:t>Ley 31/2014, de 3 de diciembre, por la que se reforma la Ley de Sociedades de Capital para la mejora del gobierno corporativo y publicación del nuevo Código de Buen Gobierno de Sociedades Cotizadas, aprobado por acuerdo del Consejo de la Comisión Nacional del Mercado de Valores de 18 de febrero de 2015.</w:t>
      </w:r>
    </w:p>
  </w:footnote>
  <w:footnote w:id="218">
    <w:p w14:paraId="3C55B0BB" w14:textId="77777777" w:rsidR="007F55EB" w:rsidRPr="00BA0792" w:rsidRDefault="007F55EB" w:rsidP="00BA0792">
      <w:pPr>
        <w:pStyle w:val="Textonotapie"/>
        <w:rPr>
          <w:rFonts w:ascii="Open Sans" w:hAnsi="Open San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r w:rsidRPr="00BA0792">
        <w:rPr>
          <w:rFonts w:ascii="Open Sans" w:hAnsi="Open Sans"/>
          <w:sz w:val="18"/>
          <w:szCs w:val="18"/>
          <w:lang w:val="es-ES_tradnl"/>
        </w:rPr>
        <w:t>Memoria Anual 2015, pág. 158</w:t>
      </w:r>
    </w:p>
  </w:footnote>
  <w:footnote w:id="219">
    <w:p w14:paraId="3E69BFBD" w14:textId="77777777" w:rsidR="007F55EB" w:rsidRPr="00BA0792" w:rsidRDefault="007F55EB" w:rsidP="00BA0792">
      <w:pPr>
        <w:pStyle w:val="Textonotapie"/>
        <w:rPr>
          <w:rFonts w:ascii="Open Sans" w:hAnsi="Open San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r w:rsidRPr="00BA0792">
        <w:rPr>
          <w:rFonts w:ascii="Open Sans" w:hAnsi="Open Sans"/>
          <w:sz w:val="18"/>
          <w:szCs w:val="18"/>
          <w:lang w:val="es-ES_tradnl"/>
        </w:rPr>
        <w:t>Memoria Anual 2015, pág. 213 a 221</w:t>
      </w:r>
    </w:p>
  </w:footnote>
  <w:footnote w:id="220">
    <w:p w14:paraId="79ED8C46" w14:textId="77777777" w:rsidR="007F55EB" w:rsidRPr="00BA0792" w:rsidRDefault="007F55EB" w:rsidP="00BA0792">
      <w:pPr>
        <w:pStyle w:val="Textonotapie"/>
        <w:rPr>
          <w:rFonts w:ascii="Open Sans" w:hAnsi="Open Sans"/>
          <w:b/>
          <w:sz w:val="18"/>
          <w:szCs w:val="18"/>
          <w:lang w:val="es-ES_tradnl"/>
        </w:rPr>
      </w:pPr>
      <w:r w:rsidRPr="00BA0792">
        <w:rPr>
          <w:rStyle w:val="Refdenotaalpie"/>
          <w:rFonts w:ascii="Open Sans" w:hAnsi="Open Sans" w:cs="Open Sans"/>
          <w:sz w:val="18"/>
          <w:szCs w:val="18"/>
        </w:rPr>
        <w:footnoteRef/>
      </w:r>
      <w:r w:rsidRPr="00BA0792">
        <w:rPr>
          <w:rFonts w:ascii="Open Sans" w:hAnsi="Open Sans"/>
          <w:sz w:val="18"/>
          <w:szCs w:val="18"/>
        </w:rPr>
        <w:t xml:space="preserve"> </w:t>
      </w:r>
      <w:hyperlink r:id="rId144" w:history="1">
        <w:r w:rsidRPr="00BA0792">
          <w:rPr>
            <w:rStyle w:val="Hipervnculo"/>
            <w:rFonts w:ascii="Open Sans" w:hAnsi="Open Sans"/>
            <w:sz w:val="18"/>
            <w:szCs w:val="18"/>
            <w:lang w:val="es-ES_tradnl"/>
          </w:rPr>
          <w:t>Informe de la Dirección General de Tributos, de 23 de diciembre de 2014, sobre la vigencia de la lista actual de paraísos fiscales respecto a la entrada en vigor de la disposición final segunda de la Ley 26/2014</w:t>
        </w:r>
      </w:hyperlink>
    </w:p>
  </w:footnote>
  <w:footnote w:id="221">
    <w:p w14:paraId="292B58BC" w14:textId="77777777" w:rsidR="007F55EB" w:rsidRPr="00BA0792" w:rsidRDefault="007F55EB" w:rsidP="00BA0792">
      <w:pPr>
        <w:pStyle w:val="Textonotapie"/>
        <w:rPr>
          <w:rFonts w:ascii="Open Sans" w:hAnsi="Open Sans"/>
          <w:sz w:val="18"/>
          <w:szCs w:val="18"/>
          <w:lang w:val="en-GB"/>
        </w:rPr>
      </w:pPr>
      <w:r w:rsidRPr="00BA0792">
        <w:rPr>
          <w:rStyle w:val="Refdenotaalpie"/>
          <w:rFonts w:ascii="Open Sans" w:hAnsi="Open Sans" w:cs="Open Sans"/>
          <w:sz w:val="18"/>
          <w:szCs w:val="18"/>
        </w:rPr>
        <w:footnoteRef/>
      </w:r>
      <w:r w:rsidRPr="00BA0792">
        <w:rPr>
          <w:rFonts w:ascii="Open Sans" w:hAnsi="Open Sans"/>
          <w:sz w:val="18"/>
          <w:szCs w:val="18"/>
          <w:lang w:val="en-GB"/>
        </w:rPr>
        <w:t xml:space="preserve"> Tax Justice Network. </w:t>
      </w:r>
      <w:proofErr w:type="gramStart"/>
      <w:r w:rsidRPr="00BA0792">
        <w:rPr>
          <w:rFonts w:ascii="Open Sans" w:hAnsi="Open Sans"/>
          <w:sz w:val="18"/>
          <w:szCs w:val="18"/>
          <w:lang w:val="en-GB"/>
        </w:rPr>
        <w:t>Financial Secrecy Index - 2015 Results.</w:t>
      </w:r>
      <w:proofErr w:type="gramEnd"/>
      <w:r w:rsidRPr="00BA0792">
        <w:rPr>
          <w:rFonts w:ascii="Open Sans" w:hAnsi="Open Sans"/>
          <w:sz w:val="18"/>
          <w:szCs w:val="18"/>
          <w:lang w:val="en-GB"/>
        </w:rPr>
        <w:t xml:space="preserve"> </w:t>
      </w:r>
    </w:p>
  </w:footnote>
  <w:footnote w:id="222">
    <w:p w14:paraId="7EF7EF26" w14:textId="77777777" w:rsidR="007F55EB" w:rsidRPr="00BA0792" w:rsidRDefault="007F55EB" w:rsidP="00BA0792">
      <w:pPr>
        <w:pStyle w:val="Textonotapie"/>
        <w:rPr>
          <w:rFonts w:ascii="Open Sans" w:hAnsi="Open Sans"/>
          <w:sz w:val="18"/>
          <w:szCs w:val="18"/>
          <w:lang w:val="en-GB"/>
        </w:rPr>
      </w:pPr>
      <w:r w:rsidRPr="00BA0792">
        <w:rPr>
          <w:rStyle w:val="Refdenotaalpie"/>
          <w:rFonts w:ascii="Open Sans" w:hAnsi="Open Sans"/>
          <w:sz w:val="18"/>
          <w:szCs w:val="18"/>
        </w:rPr>
        <w:footnoteRef/>
      </w:r>
      <w:r w:rsidRPr="00BA0792">
        <w:rPr>
          <w:rFonts w:ascii="Open Sans" w:hAnsi="Open Sans"/>
          <w:sz w:val="18"/>
          <w:szCs w:val="18"/>
          <w:lang w:val="en-GB"/>
        </w:rPr>
        <w:t xml:space="preserve"> https://appls.fr.ch/hrcmatic/hrcintapp/externalCompanyReport.action?companyOfrcId13=CH-217-0190429-1&amp;ofrcLanguage=1</w:t>
      </w:r>
    </w:p>
  </w:footnote>
  <w:footnote w:id="223">
    <w:p w14:paraId="089E7041" w14:textId="77777777" w:rsidR="007F55EB" w:rsidRPr="00BA0792" w:rsidRDefault="007F55EB" w:rsidP="00BA0792">
      <w:pPr>
        <w:pStyle w:val="Textonotapie"/>
        <w:rPr>
          <w:rFonts w:ascii="Open Sans" w:hAnsi="Open San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r w:rsidRPr="00BA0792">
        <w:rPr>
          <w:rFonts w:ascii="Open Sans" w:hAnsi="Open Sans"/>
          <w:sz w:val="18"/>
          <w:szCs w:val="18"/>
          <w:lang w:val="es-ES_tradnl"/>
        </w:rPr>
        <w:t>Memoria anual, pág. 202</w:t>
      </w:r>
    </w:p>
  </w:footnote>
  <w:footnote w:id="224">
    <w:p w14:paraId="4145335F" w14:textId="77777777" w:rsidR="007F55EB" w:rsidRPr="00BA0792" w:rsidRDefault="007F55EB" w:rsidP="00BA0792">
      <w:pPr>
        <w:pStyle w:val="Textonotapie"/>
        <w:rPr>
          <w:rFonts w:ascii="Open Sans" w:hAnsi="Open Sans"/>
          <w:sz w:val="18"/>
          <w:szCs w:val="18"/>
        </w:rPr>
      </w:pPr>
      <w:r w:rsidRPr="00BA0792">
        <w:rPr>
          <w:rStyle w:val="Refdenotaalpie"/>
          <w:rFonts w:ascii="Open Sans" w:hAnsi="Open Sans" w:cs="Open Sans"/>
          <w:sz w:val="18"/>
          <w:szCs w:val="18"/>
        </w:rPr>
        <w:footnoteRef/>
      </w:r>
      <w:r w:rsidRPr="00BA0792">
        <w:rPr>
          <w:rFonts w:ascii="Open Sans" w:hAnsi="Open Sans"/>
          <w:sz w:val="18"/>
          <w:szCs w:val="18"/>
        </w:rPr>
        <w:t xml:space="preserve"> </w:t>
      </w:r>
      <w:hyperlink r:id="rId145" w:history="1">
        <w:r w:rsidRPr="00BA0792">
          <w:rPr>
            <w:rStyle w:val="Hipervnculo"/>
            <w:rFonts w:ascii="Open Sans" w:hAnsi="Open Sans"/>
            <w:sz w:val="18"/>
            <w:szCs w:val="18"/>
          </w:rPr>
          <w:t>Financial secrecy index</w:t>
        </w:r>
      </w:hyperlink>
      <w:r w:rsidRPr="00BA0792">
        <w:rPr>
          <w:rFonts w:ascii="Open Sans" w:hAnsi="Open Sans"/>
          <w:sz w:val="18"/>
          <w:szCs w:val="18"/>
        </w:rPr>
        <w:t xml:space="preserve">. Alemania, Tax Justice Network. </w:t>
      </w:r>
    </w:p>
  </w:footnote>
  <w:footnote w:id="225">
    <w:p w14:paraId="16D0A17A" w14:textId="77777777" w:rsidR="007F55EB" w:rsidRPr="00BA0792" w:rsidRDefault="007F55EB" w:rsidP="00BA0792">
      <w:pPr>
        <w:pStyle w:val="Textonotapie"/>
        <w:rPr>
          <w:rFonts w:ascii="Open Sans" w:hAnsi="Open Sans"/>
          <w:sz w:val="18"/>
          <w:szCs w:val="18"/>
        </w:rPr>
      </w:pPr>
      <w:r w:rsidRPr="00BA0792">
        <w:rPr>
          <w:rStyle w:val="Refdenotaalpie"/>
          <w:rFonts w:ascii="Open Sans" w:hAnsi="Open Sans"/>
          <w:sz w:val="18"/>
          <w:szCs w:val="18"/>
        </w:rPr>
        <w:footnoteRef/>
      </w:r>
      <w:r w:rsidRPr="00BA0792">
        <w:rPr>
          <w:rFonts w:ascii="Open Sans" w:hAnsi="Open Sans"/>
          <w:sz w:val="18"/>
          <w:szCs w:val="18"/>
        </w:rPr>
        <w:t xml:space="preserve"> Memoria Anual 2015, pág. 270</w:t>
      </w:r>
    </w:p>
  </w:footnote>
  <w:footnote w:id="226">
    <w:p w14:paraId="5CCF7041" w14:textId="77777777" w:rsidR="007F55EB" w:rsidRPr="00BA0792" w:rsidRDefault="007F55EB" w:rsidP="00BA0792">
      <w:pPr>
        <w:pStyle w:val="Textonotapie"/>
        <w:rPr>
          <w:rFonts w:ascii="Open Sans" w:hAnsi="Open Sans"/>
          <w:b/>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46" w:history="1">
        <w:r w:rsidRPr="00BA0792">
          <w:rPr>
            <w:rStyle w:val="Hipervnculo"/>
            <w:rFonts w:ascii="Open Sans" w:hAnsi="Open Sans"/>
            <w:bCs/>
            <w:sz w:val="18"/>
            <w:szCs w:val="18"/>
            <w:lang w:val="es-ES_tradnl"/>
          </w:rPr>
          <w:t>Amancio Ortega, el nuevo rey de los más ricos</w:t>
        </w:r>
      </w:hyperlink>
    </w:p>
  </w:footnote>
  <w:footnote w:id="227">
    <w:p w14:paraId="1D124A87" w14:textId="77777777" w:rsidR="007F55EB" w:rsidRPr="00BA0792" w:rsidRDefault="007F55EB" w:rsidP="00BA0792">
      <w:pPr>
        <w:pStyle w:val="Textonotapie"/>
        <w:rPr>
          <w:rFonts w:ascii="Open Sans" w:hAnsi="Open San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47" w:history="1">
        <w:r w:rsidRPr="00BA0792">
          <w:rPr>
            <w:rStyle w:val="Hipervnculo"/>
            <w:rFonts w:ascii="Open Sans" w:hAnsi="Open Sans"/>
            <w:bCs/>
            <w:sz w:val="18"/>
            <w:szCs w:val="18"/>
            <w:lang w:val="es-ES_tradnl"/>
          </w:rPr>
          <w:t>Pontegadea Inversiones: una fortuna de 7.000 millones en activos</w:t>
        </w:r>
      </w:hyperlink>
    </w:p>
  </w:footnote>
  <w:footnote w:id="228">
    <w:p w14:paraId="61C1D982" w14:textId="77777777" w:rsidR="007F55EB" w:rsidRPr="00BA0792" w:rsidRDefault="007F55EB" w:rsidP="00BA0792">
      <w:pPr>
        <w:pStyle w:val="Textonotapie"/>
        <w:rPr>
          <w:rFonts w:ascii="Open Sans" w:hAnsi="Open San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48" w:history="1">
        <w:r w:rsidRPr="00BA0792">
          <w:rPr>
            <w:rStyle w:val="Hipervnculo"/>
            <w:rFonts w:ascii="Open Sans" w:hAnsi="Open Sans"/>
            <w:bCs/>
            <w:sz w:val="18"/>
            <w:szCs w:val="18"/>
            <w:lang w:val="es-ES_tradnl"/>
          </w:rPr>
          <w:t>La inmobiliaria de Amancio Ortega ya tiene más de 6.000 millones en inmuebles</w:t>
        </w:r>
      </w:hyperlink>
    </w:p>
  </w:footnote>
  <w:footnote w:id="229">
    <w:p w14:paraId="64C24078" w14:textId="77777777" w:rsidR="007F55EB" w:rsidRPr="00BA0792" w:rsidRDefault="007F55EB" w:rsidP="00BA0792">
      <w:pPr>
        <w:pStyle w:val="Textonotapie"/>
        <w:rPr>
          <w:rFonts w:ascii="Open Sans" w:hAnsi="Open Sans"/>
          <w:b/>
          <w:bC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49" w:history="1">
        <w:r w:rsidRPr="00BA0792">
          <w:rPr>
            <w:rStyle w:val="Hipervnculo"/>
            <w:rFonts w:ascii="Open Sans" w:hAnsi="Open Sans"/>
            <w:bCs/>
            <w:sz w:val="18"/>
            <w:szCs w:val="18"/>
            <w:lang w:val="es-ES_tradnl"/>
          </w:rPr>
          <w:t>Multinacionales y Hacienda pactan más transparencia para evitar conflictos</w:t>
        </w:r>
      </w:hyperlink>
    </w:p>
  </w:footnote>
  <w:footnote w:id="230">
    <w:p w14:paraId="0B30192F" w14:textId="77777777" w:rsidR="007F55EB" w:rsidRPr="00BA0792" w:rsidRDefault="007F55EB" w:rsidP="00BA0792">
      <w:pPr>
        <w:pStyle w:val="Textonotapie"/>
        <w:rPr>
          <w:rFonts w:ascii="Open Sans" w:hAnsi="Open Sans"/>
          <w:bC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0" w:history="1">
        <w:r w:rsidRPr="00BA0792">
          <w:rPr>
            <w:rStyle w:val="Hipervnculo"/>
            <w:rFonts w:ascii="Open Sans" w:hAnsi="Open Sans"/>
            <w:bCs/>
            <w:sz w:val="18"/>
            <w:szCs w:val="18"/>
            <w:lang w:val="es-ES_tradnl"/>
          </w:rPr>
          <w:t>Inditex suma ya 15 sociedades cartera en las plazas 'off shore' de Amsterdam y Friburgo</w:t>
        </w:r>
      </w:hyperlink>
    </w:p>
  </w:footnote>
  <w:footnote w:id="231">
    <w:p w14:paraId="4F42CE87" w14:textId="77777777" w:rsidR="007F55EB" w:rsidRPr="00BA0792" w:rsidRDefault="007F55EB" w:rsidP="00BA0792">
      <w:pPr>
        <w:pStyle w:val="Textonotapie"/>
        <w:rPr>
          <w:rFonts w:ascii="Open Sans" w:hAnsi="Open Sans"/>
          <w:b/>
          <w:bC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1" w:history="1">
        <w:r w:rsidRPr="00BA0792">
          <w:rPr>
            <w:rStyle w:val="Hipervnculo"/>
            <w:rFonts w:ascii="Open Sans" w:hAnsi="Open Sans"/>
            <w:bCs/>
            <w:sz w:val="18"/>
            <w:szCs w:val="18"/>
            <w:lang w:val="es-ES_tradnl"/>
          </w:rPr>
          <w:t>Los Verdes en la Eurocámara acusan a Inditex de eludir 600 millones en impuestos</w:t>
        </w:r>
      </w:hyperlink>
    </w:p>
  </w:footnote>
  <w:footnote w:id="232">
    <w:p w14:paraId="50FA028F" w14:textId="77777777" w:rsidR="007F55EB" w:rsidRPr="00BA0792" w:rsidRDefault="007F55EB" w:rsidP="00BA0792">
      <w:pPr>
        <w:pStyle w:val="Textonotapie"/>
        <w:rPr>
          <w:rFonts w:ascii="Open Sans" w:hAnsi="Open Sans"/>
          <w:bC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2" w:history="1">
        <w:r w:rsidRPr="00BA0792">
          <w:rPr>
            <w:rStyle w:val="Hipervnculo"/>
            <w:rFonts w:ascii="Open Sans" w:hAnsi="Open Sans"/>
            <w:bCs/>
            <w:sz w:val="18"/>
            <w:szCs w:val="18"/>
            <w:lang w:val="es-ES_tradnl"/>
          </w:rPr>
          <w:t>Hacienda pone el foco sobre Inditex con inspecciones del IVA e Impuesto de Sociedades</w:t>
        </w:r>
      </w:hyperlink>
    </w:p>
  </w:footnote>
  <w:footnote w:id="233">
    <w:p w14:paraId="224108E9" w14:textId="77777777" w:rsidR="007F55EB" w:rsidRPr="00BA0792" w:rsidRDefault="007F55EB" w:rsidP="00BA0792">
      <w:pPr>
        <w:pStyle w:val="Textonotapie"/>
        <w:rPr>
          <w:rFonts w:ascii="Open Sans" w:hAnsi="Open Sans"/>
          <w:b/>
          <w:bC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3" w:history="1">
        <w:r w:rsidRPr="00BA0792">
          <w:rPr>
            <w:rStyle w:val="Hipervnculo"/>
            <w:rFonts w:ascii="Open Sans" w:hAnsi="Open Sans"/>
            <w:bCs/>
            <w:sz w:val="18"/>
            <w:szCs w:val="18"/>
            <w:lang w:val="es-ES_tradnl"/>
          </w:rPr>
          <w:t>Hacienda estrecha el cerco sobre Inditex en su cruzada contra las grandes empresas</w:t>
        </w:r>
      </w:hyperlink>
    </w:p>
  </w:footnote>
  <w:footnote w:id="234">
    <w:p w14:paraId="33FF87C5" w14:textId="77777777" w:rsidR="007F55EB" w:rsidRPr="00BA0792" w:rsidRDefault="007F55EB" w:rsidP="00BA0792">
      <w:pPr>
        <w:pStyle w:val="Textonotapie"/>
        <w:rPr>
          <w:rFonts w:ascii="Open Sans" w:hAnsi="Open San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r w:rsidRPr="00BA0792">
        <w:rPr>
          <w:rFonts w:ascii="Open Sans" w:hAnsi="Open Sans"/>
          <w:sz w:val="18"/>
          <w:szCs w:val="18"/>
          <w:lang w:val="es-ES_tradnl"/>
        </w:rPr>
        <w:t>Memoria Anual, pág. 306</w:t>
      </w:r>
    </w:p>
  </w:footnote>
  <w:footnote w:id="235">
    <w:p w14:paraId="6D086216" w14:textId="77777777" w:rsidR="007F55EB" w:rsidRPr="00BA0792" w:rsidRDefault="007F55EB" w:rsidP="00BA0792">
      <w:pPr>
        <w:pStyle w:val="Textonotapie"/>
        <w:rPr>
          <w:rFonts w:ascii="Open Sans" w:hAnsi="Open Sans"/>
          <w:b/>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4" w:history="1">
        <w:r w:rsidRPr="00BA0792">
          <w:rPr>
            <w:rStyle w:val="Hipervnculo"/>
            <w:rFonts w:ascii="Open Sans" w:hAnsi="Open Sans"/>
            <w:bCs/>
            <w:sz w:val="18"/>
            <w:szCs w:val="18"/>
            <w:lang w:val="es-ES_tradnl"/>
          </w:rPr>
          <w:t>El ‘lobby’ europeo de la distribución de moda suma a Desigual a sus filas</w:t>
        </w:r>
      </w:hyperlink>
    </w:p>
  </w:footnote>
  <w:footnote w:id="236">
    <w:p w14:paraId="75A7D7CE" w14:textId="77777777" w:rsidR="007F55EB" w:rsidRPr="00BA0792" w:rsidRDefault="007F55EB" w:rsidP="00BA0792">
      <w:pPr>
        <w:pStyle w:val="Textonotapie"/>
        <w:rPr>
          <w:rFonts w:ascii="Open Sans" w:hAnsi="Open Sans"/>
          <w:b/>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5" w:history="1">
        <w:r w:rsidRPr="00BA0792">
          <w:rPr>
            <w:rStyle w:val="Hipervnculo"/>
            <w:rFonts w:ascii="Open Sans" w:hAnsi="Open Sans"/>
            <w:bCs/>
            <w:sz w:val="18"/>
            <w:szCs w:val="18"/>
            <w:lang w:val="es-ES_tradnl"/>
          </w:rPr>
          <w:t>¿En qué se están gastando el dinero los lobbies de la moda y de qué quieren convencer a los gobiernos?</w:t>
        </w:r>
      </w:hyperlink>
    </w:p>
  </w:footnote>
  <w:footnote w:id="237">
    <w:p w14:paraId="430EF6BE" w14:textId="77777777" w:rsidR="007F55EB" w:rsidRPr="00BA0792" w:rsidRDefault="007F55EB" w:rsidP="00BA0792">
      <w:pPr>
        <w:pStyle w:val="Textonotapie"/>
        <w:rPr>
          <w:rFonts w:ascii="Open Sans" w:hAnsi="Open Sans"/>
          <w:b/>
          <w:bCs/>
          <w:sz w:val="18"/>
          <w:szCs w:val="18"/>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w:t>
      </w:r>
      <w:hyperlink r:id="rId156" w:history="1">
        <w:r w:rsidRPr="00BA0792">
          <w:rPr>
            <w:rStyle w:val="Hipervnculo"/>
            <w:rFonts w:ascii="Open Sans" w:hAnsi="Open Sans"/>
            <w:bCs/>
            <w:sz w:val="18"/>
            <w:szCs w:val="18"/>
            <w:lang w:val="es-ES_tradnl"/>
          </w:rPr>
          <w:t>Goa Invest, la constructora de Zara, gana el doble que Copasa y el triple que San José</w:t>
        </w:r>
      </w:hyperlink>
    </w:p>
  </w:footnote>
  <w:footnote w:id="238">
    <w:p w14:paraId="301CA912" w14:textId="77777777" w:rsidR="007F55EB" w:rsidRPr="00BA0792" w:rsidRDefault="007F55EB" w:rsidP="00BA0792">
      <w:pPr>
        <w:pStyle w:val="Textonotapie"/>
        <w:rPr>
          <w:rFonts w:ascii="Open Sans" w:hAnsi="Open Sans"/>
          <w:sz w:val="18"/>
          <w:szCs w:val="18"/>
          <w:lang w:val="en-GB"/>
        </w:rPr>
      </w:pPr>
      <w:r w:rsidRPr="00BA0792">
        <w:rPr>
          <w:rStyle w:val="Refdenotaalpie"/>
          <w:rFonts w:ascii="Open Sans" w:hAnsi="Open Sans"/>
          <w:sz w:val="18"/>
          <w:szCs w:val="18"/>
        </w:rPr>
        <w:footnoteRef/>
      </w:r>
      <w:r w:rsidRPr="00BA0792">
        <w:rPr>
          <w:rFonts w:ascii="Open Sans" w:hAnsi="Open Sans"/>
          <w:sz w:val="18"/>
          <w:szCs w:val="18"/>
          <w:lang w:val="en-GB"/>
        </w:rPr>
        <w:t xml:space="preserve"> </w:t>
      </w:r>
      <w:hyperlink r:id="rId157" w:history="1">
        <w:r w:rsidRPr="00BA0792">
          <w:rPr>
            <w:rStyle w:val="Hipervnculo"/>
            <w:rFonts w:ascii="Open Sans" w:hAnsi="Open Sans"/>
            <w:bCs/>
            <w:sz w:val="18"/>
            <w:szCs w:val="18"/>
            <w:lang w:val="en-GB"/>
          </w:rPr>
          <w:t>Ortega’s Zara Fashions Tax Avoidance by Shifting Profits to Alps</w:t>
        </w:r>
      </w:hyperlink>
    </w:p>
  </w:footnote>
  <w:footnote w:id="239">
    <w:p w14:paraId="568EED68" w14:textId="77777777" w:rsidR="007F55EB" w:rsidRPr="00A1554D" w:rsidRDefault="007F55EB" w:rsidP="00BA0792">
      <w:pPr>
        <w:pStyle w:val="Textonotapie"/>
        <w:rPr>
          <w:rFonts w:ascii="Open Sans" w:hAnsi="Open Sans"/>
          <w:sz w:val="18"/>
          <w:szCs w:val="18"/>
          <w:lang w:val="en-GB"/>
        </w:rPr>
      </w:pPr>
      <w:r w:rsidRPr="00BA0792">
        <w:rPr>
          <w:rStyle w:val="Refdenotaalpie"/>
          <w:rFonts w:ascii="Open Sans" w:hAnsi="Open Sans"/>
          <w:sz w:val="18"/>
          <w:szCs w:val="18"/>
        </w:rPr>
        <w:footnoteRef/>
      </w:r>
      <w:r w:rsidRPr="00A1554D">
        <w:rPr>
          <w:rFonts w:ascii="Open Sans" w:hAnsi="Open Sans"/>
          <w:sz w:val="18"/>
          <w:szCs w:val="18"/>
          <w:lang w:val="en-GB"/>
        </w:rPr>
        <w:t xml:space="preserve"> Memoria Anual 2015, pág. 199</w:t>
      </w:r>
    </w:p>
  </w:footnote>
  <w:footnote w:id="240">
    <w:p w14:paraId="44368EC4" w14:textId="77777777" w:rsidR="007F55EB" w:rsidRPr="00A1554D" w:rsidRDefault="007F55EB" w:rsidP="00BA0792">
      <w:pPr>
        <w:pStyle w:val="Textonotapie"/>
        <w:rPr>
          <w:rFonts w:ascii="Open Sans" w:hAnsi="Open Sans"/>
          <w:b/>
          <w:bCs/>
          <w:sz w:val="18"/>
          <w:szCs w:val="18"/>
          <w:lang w:val="en-GB"/>
        </w:rPr>
      </w:pPr>
      <w:r w:rsidRPr="00BA0792">
        <w:rPr>
          <w:rStyle w:val="Refdenotaalpie"/>
          <w:rFonts w:ascii="Open Sans" w:hAnsi="Open Sans"/>
          <w:sz w:val="18"/>
          <w:szCs w:val="18"/>
        </w:rPr>
        <w:footnoteRef/>
      </w:r>
      <w:r w:rsidRPr="00A1554D">
        <w:rPr>
          <w:rFonts w:ascii="Open Sans" w:hAnsi="Open Sans"/>
          <w:sz w:val="18"/>
          <w:szCs w:val="18"/>
          <w:lang w:val="en-GB"/>
        </w:rPr>
        <w:t xml:space="preserve"> </w:t>
      </w:r>
      <w:hyperlink r:id="rId158" w:history="1">
        <w:r w:rsidRPr="00A1554D">
          <w:rPr>
            <w:rStyle w:val="Hipervnculo"/>
            <w:rFonts w:ascii="Open Sans" w:hAnsi="Open Sans"/>
            <w:bCs/>
            <w:sz w:val="18"/>
            <w:szCs w:val="18"/>
            <w:lang w:val="en-GB"/>
          </w:rPr>
          <w:t>Top 100 fashion companies Index</w:t>
        </w:r>
      </w:hyperlink>
    </w:p>
  </w:footnote>
  <w:footnote w:id="241">
    <w:p w14:paraId="7C0FC2D3" w14:textId="77777777" w:rsidR="007F55EB" w:rsidRPr="006D2E2C" w:rsidRDefault="007F55EB" w:rsidP="00BA0792">
      <w:pPr>
        <w:pStyle w:val="Textonotapie"/>
        <w:rPr>
          <w:lang w:val="es-ES_tradnl"/>
        </w:rPr>
      </w:pPr>
      <w:r w:rsidRPr="00BA0792">
        <w:rPr>
          <w:rStyle w:val="Refdenotaalpie"/>
          <w:rFonts w:ascii="Open Sans" w:hAnsi="Open Sans"/>
          <w:sz w:val="18"/>
          <w:szCs w:val="18"/>
        </w:rPr>
        <w:footnoteRef/>
      </w:r>
      <w:r w:rsidRPr="00BA0792">
        <w:rPr>
          <w:rFonts w:ascii="Open Sans" w:hAnsi="Open Sans"/>
          <w:sz w:val="18"/>
          <w:szCs w:val="18"/>
        </w:rPr>
        <w:t xml:space="preserve"> El 11 de julio de 2015 se publicó en el Boletín Oficial del Estado, el Real Decreto 634/2015, de 10 de julio, por el que se aprueba el Reglamento del Impuesto sobre Sociedades. Dicho Real Decreto introduce importantes modificaciones que se alinean con las iniciativas de la OCDE en el marco del Proyecto BEPS en relación con los requisitos de documentación y valoración de operaciones vinculadas e Información país por país (“</w:t>
      </w:r>
      <w:r w:rsidRPr="00BA0792">
        <w:rPr>
          <w:rStyle w:val="nfasis"/>
          <w:rFonts w:ascii="Open Sans" w:hAnsi="Open Sans"/>
          <w:sz w:val="18"/>
          <w:szCs w:val="18"/>
        </w:rPr>
        <w:t>Country by Country – CbC-Reporting</w:t>
      </w:r>
      <w:r w:rsidRPr="00BA0792">
        <w:rPr>
          <w:rFonts w:ascii="Open Sans" w:hAnsi="Open Sans"/>
          <w:sz w:val="18"/>
          <w:szCs w:val="18"/>
        </w:rPr>
        <w:t>”)</w:t>
      </w:r>
    </w:p>
  </w:footnote>
  <w:footnote w:id="242">
    <w:p w14:paraId="64D386EC"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59" w:history="1">
        <w:r w:rsidRPr="00A45035">
          <w:rPr>
            <w:rStyle w:val="Hipervnculo"/>
            <w:rFonts w:ascii="Open Sans" w:hAnsi="Open Sans"/>
            <w:sz w:val="18"/>
            <w:szCs w:val="18"/>
          </w:rPr>
          <w:t>http://www.obrasweb.mx/construccion/2012/03/16/evasion-fiscal-la-cruz-que-cargan-las-constructoras</w:t>
        </w:r>
      </w:hyperlink>
    </w:p>
    <w:p w14:paraId="21EC0AE4" w14:textId="77777777" w:rsidR="007F55EB" w:rsidRPr="00A45035" w:rsidRDefault="007F55EB" w:rsidP="00B96A46">
      <w:pPr>
        <w:pStyle w:val="Textonotapie"/>
        <w:rPr>
          <w:rFonts w:ascii="Open Sans" w:hAnsi="Open Sans"/>
          <w:sz w:val="18"/>
          <w:szCs w:val="18"/>
        </w:rPr>
      </w:pPr>
      <w:hyperlink r:id="rId160" w:history="1">
        <w:r w:rsidRPr="00A45035">
          <w:rPr>
            <w:rStyle w:val="Hipervnculo"/>
            <w:rFonts w:ascii="Open Sans" w:hAnsi="Open Sans"/>
            <w:sz w:val="18"/>
            <w:szCs w:val="18"/>
          </w:rPr>
          <w:t>http://www.ecuadorinmediato.com/Noticias/news_user_view/ecuadorinmediato_noticias--60534</w:t>
        </w:r>
      </w:hyperlink>
    </w:p>
    <w:p w14:paraId="776A89AB" w14:textId="77777777" w:rsidR="007F55EB" w:rsidRPr="00A45035" w:rsidRDefault="007F55EB" w:rsidP="00B96A46">
      <w:pPr>
        <w:pStyle w:val="Textonotapie"/>
        <w:rPr>
          <w:rFonts w:ascii="Open Sans" w:hAnsi="Open Sans"/>
          <w:sz w:val="18"/>
          <w:szCs w:val="18"/>
        </w:rPr>
      </w:pPr>
      <w:hyperlink r:id="rId161" w:history="1">
        <w:r w:rsidRPr="00A45035">
          <w:rPr>
            <w:rStyle w:val="Hipervnculo"/>
            <w:rFonts w:ascii="Open Sans" w:hAnsi="Open Sans"/>
            <w:sz w:val="18"/>
            <w:szCs w:val="18"/>
          </w:rPr>
          <w:t>http://www.lavanguardia.com/economia/20150422/54430781555/detienen-a-director-del-mayor-grupo-de-construccion-griego-por-evasion-fiscal.html</w:t>
        </w:r>
      </w:hyperlink>
    </w:p>
    <w:p w14:paraId="4D3051D7" w14:textId="77777777" w:rsidR="007F55EB" w:rsidRPr="00A45035" w:rsidRDefault="007F55EB" w:rsidP="00B96A46">
      <w:pPr>
        <w:pStyle w:val="Textonotapie"/>
        <w:rPr>
          <w:rFonts w:ascii="Open Sans" w:hAnsi="Open Sans"/>
          <w:sz w:val="18"/>
          <w:szCs w:val="18"/>
        </w:rPr>
      </w:pPr>
      <w:hyperlink r:id="rId162" w:history="1">
        <w:r w:rsidRPr="00A45035">
          <w:rPr>
            <w:rStyle w:val="Hipervnculo"/>
            <w:rFonts w:ascii="Open Sans" w:hAnsi="Open Sans"/>
            <w:sz w:val="18"/>
            <w:szCs w:val="18"/>
          </w:rPr>
          <w:t>http://www.sat.gob.mx/administracion_sat/estudios_evasion_fiscal/Documents/InformeFinal19012012const.pdf</w:t>
        </w:r>
      </w:hyperlink>
    </w:p>
  </w:footnote>
  <w:footnote w:id="243">
    <w:p w14:paraId="51C09486"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63" w:history="1">
        <w:r w:rsidRPr="00A45035">
          <w:rPr>
            <w:rStyle w:val="Hipervnculo"/>
            <w:rFonts w:ascii="Open Sans" w:hAnsi="Open Sans"/>
            <w:sz w:val="18"/>
            <w:szCs w:val="18"/>
          </w:rPr>
          <w:t>http://www.europapress.es/internacional/noticia-portugal-agencias-tributarias-espana-portugal-firman-acuerdo-combatir-fraude-evasion-fiscal-20061102165258.html</w:t>
        </w:r>
      </w:hyperlink>
    </w:p>
  </w:footnote>
  <w:footnote w:id="244">
    <w:p w14:paraId="640EB657"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64" w:history="1">
        <w:r w:rsidRPr="00A45035">
          <w:rPr>
            <w:rStyle w:val="Hipervnculo"/>
            <w:rFonts w:ascii="Open Sans" w:hAnsi="Open Sans"/>
            <w:sz w:val="18"/>
            <w:szCs w:val="18"/>
          </w:rPr>
          <w:t>http://www.expansion.com/empresas/inmobiliario/2015/03/30/55199b0c268e3ea0738b4571.html</w:t>
        </w:r>
      </w:hyperlink>
    </w:p>
  </w:footnote>
  <w:footnote w:id="245">
    <w:p w14:paraId="23760365"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65" w:history="1">
        <w:r w:rsidRPr="00A45035">
          <w:rPr>
            <w:rStyle w:val="Hipervnculo"/>
            <w:rFonts w:ascii="Open Sans" w:hAnsi="Open Sans"/>
            <w:sz w:val="18"/>
            <w:szCs w:val="18"/>
          </w:rPr>
          <w:t>http://www.transparency.org/cpi2015/</w:t>
        </w:r>
      </w:hyperlink>
    </w:p>
  </w:footnote>
  <w:footnote w:id="246">
    <w:p w14:paraId="016D00BA"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66" w:history="1">
        <w:r w:rsidRPr="00A45035">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247">
    <w:p w14:paraId="4DC19A8A"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67" w:history="1">
        <w:r w:rsidRPr="00A45035">
          <w:rPr>
            <w:rStyle w:val="Hipervnculo"/>
            <w:rFonts w:ascii="Open Sans" w:hAnsi="Open Sans"/>
            <w:sz w:val="18"/>
            <w:szCs w:val="18"/>
          </w:rPr>
          <w:t>http://www.cbsnews.com/news/report-big-business-no-stranger-to-offshore-tax-havens/</w:t>
        </w:r>
      </w:hyperlink>
    </w:p>
    <w:p w14:paraId="1752781A" w14:textId="77777777" w:rsidR="007F55EB" w:rsidRPr="00A45035" w:rsidRDefault="007F55EB" w:rsidP="00B96A46">
      <w:pPr>
        <w:pStyle w:val="Textonotapie"/>
        <w:rPr>
          <w:rFonts w:ascii="Open Sans" w:hAnsi="Open Sans"/>
          <w:sz w:val="18"/>
          <w:szCs w:val="18"/>
        </w:rPr>
      </w:pPr>
      <w:hyperlink r:id="rId168" w:history="1">
        <w:r w:rsidRPr="00A45035">
          <w:rPr>
            <w:rStyle w:val="Hipervnculo"/>
            <w:rFonts w:ascii="Open Sans" w:hAnsi="Open Sans"/>
            <w:sz w:val="18"/>
            <w:szCs w:val="18"/>
          </w:rPr>
          <w:t>http://www.nytimes.com/2002/01/17/business/enron-s-collapse-the-havens-enron-avoided-income-taxes-in-4-of-5-years.html</w:t>
        </w:r>
      </w:hyperlink>
    </w:p>
    <w:p w14:paraId="51D645D3" w14:textId="77777777" w:rsidR="007F55EB" w:rsidRPr="00A45035" w:rsidRDefault="007F55EB" w:rsidP="00B96A46">
      <w:pPr>
        <w:pStyle w:val="Textonotapie"/>
        <w:rPr>
          <w:rFonts w:ascii="Open Sans" w:hAnsi="Open Sans"/>
          <w:sz w:val="18"/>
          <w:szCs w:val="18"/>
        </w:rPr>
      </w:pPr>
      <w:hyperlink r:id="rId169" w:history="1">
        <w:r w:rsidRPr="00A45035">
          <w:rPr>
            <w:rStyle w:val="Hipervnculo"/>
            <w:rFonts w:ascii="Open Sans" w:hAnsi="Open Sans"/>
            <w:sz w:val="18"/>
            <w:szCs w:val="18"/>
          </w:rPr>
          <w:t>http://adsabs.harvard.edu/abs/2000PhDT.......155D</w:t>
        </w:r>
      </w:hyperlink>
    </w:p>
    <w:p w14:paraId="24419B54" w14:textId="77777777" w:rsidR="007F55EB" w:rsidRPr="00A45035" w:rsidRDefault="007F55EB" w:rsidP="00B96A46">
      <w:pPr>
        <w:pStyle w:val="Textonotapie"/>
        <w:rPr>
          <w:rFonts w:ascii="Open Sans" w:hAnsi="Open Sans"/>
          <w:sz w:val="18"/>
          <w:szCs w:val="18"/>
        </w:rPr>
      </w:pPr>
      <w:hyperlink r:id="rId170" w:history="1">
        <w:r w:rsidRPr="00A45035">
          <w:rPr>
            <w:rStyle w:val="Hipervnculo"/>
            <w:rFonts w:ascii="Open Sans" w:hAnsi="Open Sans"/>
            <w:sz w:val="18"/>
            <w:szCs w:val="18"/>
          </w:rPr>
          <w:t>http://www.europarl.europa.eu/sides/getDoc.do?pubRef=-//EP//TEXT+WQ+P-2016-001711+0+DOC+XML+V0//EN</w:t>
        </w:r>
      </w:hyperlink>
    </w:p>
    <w:p w14:paraId="03F099AB" w14:textId="77777777" w:rsidR="007F55EB" w:rsidRPr="00A45035" w:rsidRDefault="007F55EB" w:rsidP="00B96A46">
      <w:pPr>
        <w:pStyle w:val="Textonotapie"/>
        <w:rPr>
          <w:rFonts w:ascii="Open Sans" w:hAnsi="Open Sans"/>
          <w:sz w:val="18"/>
          <w:szCs w:val="18"/>
        </w:rPr>
      </w:pPr>
      <w:hyperlink r:id="rId171" w:history="1">
        <w:r w:rsidRPr="00A45035">
          <w:rPr>
            <w:rStyle w:val="Hipervnculo"/>
            <w:rFonts w:ascii="Open Sans" w:hAnsi="Open Sans"/>
            <w:sz w:val="18"/>
            <w:szCs w:val="18"/>
          </w:rPr>
          <w:t>https://earthtrack.net/blog/mlps-and-continuing-growth-of-corporate-tax-avoidance-energy-sector</w:t>
        </w:r>
      </w:hyperlink>
    </w:p>
  </w:footnote>
  <w:footnote w:id="248">
    <w:p w14:paraId="4043F8C8"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2" w:history="1">
        <w:r w:rsidRPr="00A45035">
          <w:rPr>
            <w:rStyle w:val="Hipervnculo"/>
            <w:rFonts w:ascii="Open Sans" w:hAnsi="Open Sans"/>
            <w:sz w:val="18"/>
            <w:szCs w:val="18"/>
          </w:rPr>
          <w:t>https://www.ft.com/content/58e80fe4-ca34-11e3-bb92-00144feabdc0</w:t>
        </w:r>
      </w:hyperlink>
    </w:p>
  </w:footnote>
  <w:footnote w:id="249">
    <w:p w14:paraId="0AABEB53"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3" w:history="1">
        <w:r w:rsidRPr="00A45035">
          <w:rPr>
            <w:rStyle w:val="Hipervnculo"/>
            <w:rFonts w:ascii="Open Sans" w:hAnsi="Open Sans"/>
            <w:sz w:val="18"/>
            <w:szCs w:val="18"/>
          </w:rPr>
          <w:t>http://www.acciona.com/es/sostenibilidad/plan-director/</w:t>
        </w:r>
      </w:hyperlink>
    </w:p>
  </w:footnote>
  <w:footnote w:id="250">
    <w:p w14:paraId="006F7A64"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4" w:anchor="_ga=1.205191440.1099330375.1483006939" w:history="1">
        <w:r w:rsidRPr="00A45035">
          <w:rPr>
            <w:rStyle w:val="Hipervnculo"/>
            <w:rFonts w:ascii="Open Sans" w:hAnsi="Open Sans"/>
            <w:sz w:val="18"/>
            <w:szCs w:val="18"/>
          </w:rPr>
          <w:t>http://pds2020.acciona.com/#_ga=1.205191440.1099330375.1483006939</w:t>
        </w:r>
      </w:hyperlink>
    </w:p>
  </w:footnote>
  <w:footnote w:id="251">
    <w:p w14:paraId="4FB6FA63"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5" w:history="1">
        <w:r w:rsidRPr="00A45035">
          <w:rPr>
            <w:rStyle w:val="Hipervnculo"/>
            <w:rFonts w:ascii="Open Sans" w:hAnsi="Open Sans"/>
            <w:sz w:val="18"/>
            <w:szCs w:val="18"/>
          </w:rPr>
          <w:t>http://www.sustainability-indices.com/images/DJSI_Review_Presentation_09_2014_final.pdf</w:t>
        </w:r>
      </w:hyperlink>
    </w:p>
    <w:p w14:paraId="39B07A50" w14:textId="77777777" w:rsidR="007F55EB" w:rsidRPr="00A45035" w:rsidRDefault="007F55EB" w:rsidP="00B96A46">
      <w:pPr>
        <w:pStyle w:val="Textonotapie"/>
        <w:rPr>
          <w:rFonts w:ascii="Open Sans" w:hAnsi="Open Sans"/>
          <w:sz w:val="18"/>
          <w:szCs w:val="18"/>
        </w:rPr>
      </w:pPr>
      <w:hyperlink r:id="rId176" w:history="1">
        <w:r w:rsidRPr="00A45035">
          <w:rPr>
            <w:rStyle w:val="Hipervnculo"/>
            <w:rFonts w:ascii="Open Sans" w:hAnsi="Open Sans"/>
            <w:sz w:val="18"/>
            <w:szCs w:val="18"/>
          </w:rPr>
          <w:t>http://www.ftse.com/products/downloads/F4G-Index-Inclusion-Rules.pdf</w:t>
        </w:r>
      </w:hyperlink>
    </w:p>
  </w:footnote>
  <w:footnote w:id="252">
    <w:p w14:paraId="425125E8"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7" w:history="1">
        <w:r w:rsidRPr="00A45035">
          <w:rPr>
            <w:rStyle w:val="Hipervnculo"/>
            <w:rFonts w:ascii="Open Sans" w:hAnsi="Open Sans"/>
            <w:sz w:val="18"/>
            <w:szCs w:val="18"/>
          </w:rPr>
          <w:t>http://cincodias.com/cincodias/2015/02/19/empresas/1424376289_923285.html</w:t>
        </w:r>
      </w:hyperlink>
    </w:p>
  </w:footnote>
  <w:footnote w:id="253">
    <w:p w14:paraId="3E27FCC3"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8" w:history="1">
        <w:r w:rsidRPr="00A45035">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254">
    <w:p w14:paraId="1F18A99F"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79" w:history="1">
        <w:r w:rsidRPr="00A45035">
          <w:rPr>
            <w:rStyle w:val="Hipervnculo"/>
            <w:rFonts w:ascii="Open Sans" w:hAnsi="Open Sans"/>
            <w:sz w:val="18"/>
            <w:szCs w:val="18"/>
          </w:rPr>
          <w:t>http://www.eltriangle.eu/es/notices/2016/12/acciona-confiesa-que-tiene-40-filiales-radicadas-en-ocho-paraisos-fiscales-6969.php</w:t>
        </w:r>
      </w:hyperlink>
    </w:p>
    <w:p w14:paraId="102FF801" w14:textId="77777777" w:rsidR="007F55EB" w:rsidRPr="00A45035" w:rsidRDefault="007F55EB" w:rsidP="00B96A46">
      <w:pPr>
        <w:pStyle w:val="Textonotapie"/>
        <w:rPr>
          <w:rFonts w:ascii="Open Sans" w:hAnsi="Open Sans"/>
          <w:sz w:val="18"/>
          <w:szCs w:val="18"/>
        </w:rPr>
      </w:pPr>
      <w:hyperlink r:id="rId180" w:history="1">
        <w:r w:rsidRPr="00A45035">
          <w:rPr>
            <w:rStyle w:val="Hipervnculo"/>
            <w:rFonts w:ascii="Open Sans" w:hAnsi="Open Sans"/>
            <w:sz w:val="18"/>
            <w:szCs w:val="18"/>
          </w:rPr>
          <w:t>http://www.eltriangle.eu/es/notices/2016/12/acciona-confiesa-que-tiene-40-filiales-radicadas-en-ocho-paraisos-fiscales-6969.php</w:t>
        </w:r>
      </w:hyperlink>
    </w:p>
    <w:p w14:paraId="1B49FD88" w14:textId="77777777" w:rsidR="007F55EB" w:rsidRPr="00A45035" w:rsidRDefault="007F55EB" w:rsidP="00B96A46">
      <w:pPr>
        <w:pStyle w:val="Textonotapie"/>
        <w:rPr>
          <w:rFonts w:ascii="Open Sans" w:hAnsi="Open Sans"/>
          <w:sz w:val="18"/>
          <w:szCs w:val="18"/>
        </w:rPr>
      </w:pPr>
      <w:hyperlink r:id="rId181" w:history="1">
        <w:r w:rsidRPr="00A45035">
          <w:rPr>
            <w:rStyle w:val="Hipervnculo"/>
            <w:rFonts w:ascii="Open Sans" w:hAnsi="Open Sans"/>
            <w:sz w:val="18"/>
            <w:szCs w:val="18"/>
          </w:rPr>
          <w:t>http://www.economiadigital.es/es/notices/2016/01/aigues-de-catalunya-limited-la-empresa-con-matriz-en-cayman-y-bermuda-constituida-para-adquirir-atl-81416.php</w:t>
        </w:r>
      </w:hyperlink>
    </w:p>
  </w:footnote>
  <w:footnote w:id="255">
    <w:p w14:paraId="0090029B" w14:textId="77777777" w:rsidR="007F55EB" w:rsidRPr="00A45035" w:rsidRDefault="007F55EB" w:rsidP="00B96A46">
      <w:pPr>
        <w:pStyle w:val="Textonotapie"/>
        <w:rPr>
          <w:rFonts w:ascii="Open Sans" w:hAnsi="Open Sans"/>
          <w:sz w:val="18"/>
          <w:szCs w:val="18"/>
        </w:rPr>
      </w:pPr>
      <w:r w:rsidRPr="00A45035">
        <w:rPr>
          <w:rStyle w:val="Refdenotaalpie"/>
          <w:rFonts w:ascii="Open Sans" w:hAnsi="Open Sans"/>
          <w:sz w:val="18"/>
          <w:szCs w:val="18"/>
        </w:rPr>
        <w:footnoteRef/>
      </w:r>
      <w:r w:rsidRPr="00A45035">
        <w:rPr>
          <w:rFonts w:ascii="Open Sans" w:hAnsi="Open Sans"/>
          <w:sz w:val="18"/>
          <w:szCs w:val="18"/>
        </w:rPr>
        <w:t xml:space="preserve"> </w:t>
      </w:r>
      <w:hyperlink r:id="rId182" w:history="1">
        <w:r w:rsidRPr="00A45035">
          <w:rPr>
            <w:rStyle w:val="Hipervnculo"/>
            <w:rFonts w:ascii="Open Sans" w:hAnsi="Open Sans"/>
            <w:sz w:val="18"/>
            <w:szCs w:val="18"/>
          </w:rPr>
          <w:t>https://intereconomia.com/empresas/construccion/acciona-lios-la-corrupcion-20160628-1328/</w:t>
        </w:r>
      </w:hyperlink>
    </w:p>
  </w:footnote>
  <w:footnote w:id="256">
    <w:p w14:paraId="436FAE39"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2015, página 38.</w:t>
      </w:r>
    </w:p>
  </w:footnote>
  <w:footnote w:id="257">
    <w:p w14:paraId="2E7BA2B7"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de sostenibilidad página 6.</w:t>
      </w:r>
    </w:p>
  </w:footnote>
  <w:footnote w:id="258">
    <w:p w14:paraId="581E106F"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de sostenibilidad página 7.</w:t>
      </w:r>
    </w:p>
  </w:footnote>
  <w:footnote w:id="259">
    <w:p w14:paraId="146956E2"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Política General de Responsabilidad Social Corporativa de Acerinox, página 2.</w:t>
      </w:r>
    </w:p>
  </w:footnote>
  <w:footnote w:id="260">
    <w:p w14:paraId="2836C670"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Política General de Responsabilidad Social Corporativa de Acerinox, página 6.</w:t>
      </w:r>
    </w:p>
  </w:footnote>
  <w:footnote w:id="261">
    <w:p w14:paraId="58678237"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w:t>
      </w:r>
      <w:hyperlink r:id="rId183" w:history="1">
        <w:r w:rsidRPr="00DA619E">
          <w:rPr>
            <w:rStyle w:val="Hipervnculo"/>
            <w:rFonts w:ascii="Open Sans" w:hAnsi="Open Sans" w:cs="Open Sans"/>
            <w:sz w:val="18"/>
            <w:szCs w:val="18"/>
          </w:rPr>
          <w:t>Índice de Percepción de la Corrupción 2015 de Transparency International</w:t>
        </w:r>
      </w:hyperlink>
      <w:r w:rsidRPr="0082661D">
        <w:rPr>
          <w:rFonts w:ascii="Open Sans" w:hAnsi="Open Sans" w:cs="Open Sans"/>
          <w:sz w:val="18"/>
          <w:szCs w:val="18"/>
        </w:rPr>
        <w:t xml:space="preserve"> </w:t>
      </w:r>
    </w:p>
  </w:footnote>
  <w:footnote w:id="262">
    <w:p w14:paraId="15FB556B"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2015, página 168.</w:t>
      </w:r>
    </w:p>
  </w:footnote>
  <w:footnote w:id="263">
    <w:p w14:paraId="6608B0C0"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2015, página 168.</w:t>
      </w:r>
    </w:p>
  </w:footnote>
  <w:footnote w:id="264">
    <w:p w14:paraId="7671AF81"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2015, página 109.</w:t>
      </w:r>
    </w:p>
  </w:footnote>
  <w:footnote w:id="265">
    <w:p w14:paraId="0266EE70" w14:textId="77777777" w:rsidR="007F55EB" w:rsidRPr="00DD3365"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DD3365">
        <w:rPr>
          <w:rFonts w:ascii="Open Sans" w:hAnsi="Open Sans" w:cs="Open Sans"/>
          <w:sz w:val="18"/>
          <w:szCs w:val="18"/>
        </w:rPr>
        <w:t xml:space="preserve"> </w:t>
      </w:r>
      <w:hyperlink r:id="rId184" w:history="1">
        <w:r w:rsidRPr="00DD3365">
          <w:rPr>
            <w:rStyle w:val="Hipervnculo"/>
            <w:rFonts w:ascii="Open Sans" w:hAnsi="Open Sans" w:cs="Open Sans"/>
            <w:sz w:val="18"/>
            <w:szCs w:val="18"/>
          </w:rPr>
          <w:t>https://opencorporates.com/companies/us_ky/0847465</w:t>
        </w:r>
      </w:hyperlink>
      <w:r w:rsidRPr="00DD3365">
        <w:rPr>
          <w:rFonts w:ascii="Open Sans" w:hAnsi="Open Sans" w:cs="Open Sans"/>
          <w:sz w:val="18"/>
          <w:szCs w:val="18"/>
        </w:rPr>
        <w:t xml:space="preserve"> </w:t>
      </w:r>
    </w:p>
    <w:p w14:paraId="41D5FADB" w14:textId="77777777" w:rsidR="007F55EB" w:rsidRPr="00DD3365" w:rsidRDefault="007F55EB" w:rsidP="007359B0">
      <w:pPr>
        <w:pStyle w:val="Textonotapie"/>
        <w:rPr>
          <w:rFonts w:ascii="Open Sans" w:hAnsi="Open Sans" w:cs="Open Sans"/>
          <w:sz w:val="18"/>
          <w:szCs w:val="18"/>
        </w:rPr>
      </w:pPr>
      <w:hyperlink r:id="rId185" w:history="1">
        <w:r w:rsidRPr="00DD3365">
          <w:rPr>
            <w:rStyle w:val="Hipervnculo"/>
            <w:rFonts w:ascii="Open Sans" w:hAnsi="Open Sans" w:cs="Open Sans"/>
            <w:sz w:val="18"/>
            <w:szCs w:val="18"/>
          </w:rPr>
          <w:t>https://www.bizapedia.com/de/north-american-stainless-financial-investments-inc.html</w:t>
        </w:r>
      </w:hyperlink>
      <w:r w:rsidRPr="00DD3365">
        <w:rPr>
          <w:rFonts w:ascii="Open Sans" w:hAnsi="Open Sans" w:cs="Open Sans"/>
          <w:sz w:val="18"/>
          <w:szCs w:val="18"/>
        </w:rPr>
        <w:t xml:space="preserve"> </w:t>
      </w:r>
    </w:p>
  </w:footnote>
  <w:footnote w:id="266">
    <w:p w14:paraId="490577EE"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Política General de Responsabilidad Social Corporativa de Acerinox, página 6.</w:t>
      </w:r>
    </w:p>
  </w:footnote>
  <w:footnote w:id="267">
    <w:p w14:paraId="71D6C42B"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Política General de Responsabilidad Social Corporativa de Acerinox, página 5.</w:t>
      </w:r>
    </w:p>
  </w:footnote>
  <w:footnote w:id="268">
    <w:p w14:paraId="5730963D"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w:t>
      </w:r>
      <w:hyperlink r:id="rId186" w:history="1">
        <w:r w:rsidRPr="0082661D">
          <w:rPr>
            <w:rStyle w:val="Hipervnculo"/>
            <w:rFonts w:ascii="Open Sans" w:hAnsi="Open Sans" w:cs="Open Sans"/>
            <w:sz w:val="18"/>
            <w:szCs w:val="18"/>
          </w:rPr>
          <w:t>http://www.agenciatributaria.es/static_files/AEAT/Contenidos_Comunes/Ficheros/Informacion_Institucional/Campanias/Plan_de_prevencion_del_fraude/ppff.pdf</w:t>
        </w:r>
      </w:hyperlink>
    </w:p>
  </w:footnote>
  <w:footnote w:id="269">
    <w:p w14:paraId="7E007C4C"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financiero anual 2015, página 139.</w:t>
      </w:r>
    </w:p>
  </w:footnote>
  <w:footnote w:id="270">
    <w:p w14:paraId="73AD5D27"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Política General de Control y Gestión de Riesgos de Acerinox, S.A.</w:t>
      </w:r>
    </w:p>
  </w:footnote>
  <w:footnote w:id="271">
    <w:p w14:paraId="5CDB9096"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de sostenibilidad de Acerinox 2015, página 32.</w:t>
      </w:r>
    </w:p>
  </w:footnote>
  <w:footnote w:id="272">
    <w:p w14:paraId="6E46A83A"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de Acerinox 2015, página 151</w:t>
      </w:r>
    </w:p>
  </w:footnote>
  <w:footnote w:id="273">
    <w:p w14:paraId="27B09BD4"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de Acerinox 2015, página 151</w:t>
      </w:r>
    </w:p>
  </w:footnote>
  <w:footnote w:id="274">
    <w:p w14:paraId="3D56D714"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de Acerinox 2015 ,página 167</w:t>
      </w:r>
    </w:p>
  </w:footnote>
  <w:footnote w:id="275">
    <w:p w14:paraId="4785E38C"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w:t>
      </w:r>
      <w:hyperlink r:id="rId187" w:history="1">
        <w:r w:rsidRPr="0082661D">
          <w:rPr>
            <w:rStyle w:val="Hipervnculo"/>
            <w:rFonts w:ascii="Open Sans" w:hAnsi="Open Sans" w:cs="Open Sans"/>
            <w:sz w:val="18"/>
            <w:szCs w:val="18"/>
          </w:rPr>
          <w:t>Proyecto BEPS</w:t>
        </w:r>
      </w:hyperlink>
      <w:r w:rsidRPr="0082661D">
        <w:rPr>
          <w:rFonts w:ascii="Open Sans" w:hAnsi="Open Sans" w:cs="Open Sans"/>
          <w:sz w:val="18"/>
          <w:szCs w:val="18"/>
        </w:rPr>
        <w:t xml:space="preserve"> </w:t>
      </w:r>
    </w:p>
  </w:footnote>
  <w:footnote w:id="276">
    <w:p w14:paraId="76773E0F" w14:textId="77777777" w:rsidR="007F55EB" w:rsidRDefault="007F55EB" w:rsidP="007359B0">
      <w:pPr>
        <w:pStyle w:val="Textonotapie"/>
      </w:pPr>
      <w:r>
        <w:rPr>
          <w:rStyle w:val="Refdenotaalpie"/>
        </w:rPr>
        <w:footnoteRef/>
      </w:r>
      <w:r>
        <w:t xml:space="preserve"> </w:t>
      </w:r>
      <w:r w:rsidRPr="00145F24">
        <w:rPr>
          <w:rFonts w:ascii="Open Sans" w:hAnsi="Open Sans" w:cs="Open Sans"/>
          <w:sz w:val="16"/>
          <w:szCs w:val="16"/>
        </w:rPr>
        <w:t>Informe anual de Acerinox 2015</w:t>
      </w:r>
      <w:r>
        <w:rPr>
          <w:rFonts w:ascii="Open Sans" w:hAnsi="Open Sans" w:cs="Open Sans"/>
          <w:sz w:val="16"/>
          <w:szCs w:val="16"/>
        </w:rPr>
        <w:t>,</w:t>
      </w:r>
      <w:r w:rsidRPr="00145F24">
        <w:rPr>
          <w:rFonts w:ascii="Open Sans" w:hAnsi="Open Sans" w:cs="Open Sans"/>
          <w:sz w:val="16"/>
          <w:szCs w:val="16"/>
        </w:rPr>
        <w:t xml:space="preserve"> página 1</w:t>
      </w:r>
      <w:r>
        <w:rPr>
          <w:rFonts w:ascii="Open Sans" w:hAnsi="Open Sans" w:cs="Open Sans"/>
          <w:sz w:val="16"/>
          <w:szCs w:val="16"/>
        </w:rPr>
        <w:t>44.</w:t>
      </w:r>
    </w:p>
  </w:footnote>
  <w:footnote w:id="277">
    <w:p w14:paraId="5794BB3C" w14:textId="77777777" w:rsidR="007F55EB" w:rsidRPr="0082661D" w:rsidRDefault="007F55EB" w:rsidP="007359B0">
      <w:pPr>
        <w:pStyle w:val="Textonotapie"/>
        <w:rPr>
          <w:rFonts w:ascii="Open Sans" w:hAnsi="Open Sans" w:cs="Open Sans"/>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anual de Acerinox 2015, página 140</w:t>
      </w:r>
    </w:p>
  </w:footnote>
  <w:footnote w:id="278">
    <w:p w14:paraId="7FDFDB50" w14:textId="77777777" w:rsidR="007F55EB" w:rsidRPr="0082661D" w:rsidRDefault="007F55EB" w:rsidP="007359B0">
      <w:pPr>
        <w:pStyle w:val="Textonotapie"/>
        <w:rPr>
          <w:sz w:val="18"/>
          <w:szCs w:val="18"/>
        </w:rPr>
      </w:pPr>
      <w:r w:rsidRPr="0082661D">
        <w:rPr>
          <w:rStyle w:val="Refdenotaalpie"/>
          <w:rFonts w:ascii="Open Sans" w:hAnsi="Open Sans" w:cs="Open Sans"/>
          <w:sz w:val="18"/>
          <w:szCs w:val="18"/>
        </w:rPr>
        <w:footnoteRef/>
      </w:r>
      <w:r w:rsidRPr="0082661D">
        <w:rPr>
          <w:rFonts w:ascii="Open Sans" w:hAnsi="Open Sans" w:cs="Open Sans"/>
          <w:sz w:val="18"/>
          <w:szCs w:val="18"/>
        </w:rPr>
        <w:t xml:space="preserve"> Informe financiero anual 2015, página 210</w:t>
      </w:r>
    </w:p>
  </w:footnote>
  <w:footnote w:id="279">
    <w:p w14:paraId="3D367CC7"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88" w:history="1">
        <w:r w:rsidRPr="009D34FE">
          <w:rPr>
            <w:rStyle w:val="Hipervnculo"/>
            <w:rFonts w:ascii="Open Sans" w:hAnsi="Open Sans"/>
            <w:sz w:val="18"/>
            <w:szCs w:val="18"/>
          </w:rPr>
          <w:t>http://www.nytimes.com/2012/08/15/business/spanish-construction-rivals-battle-on-new-york-turf.html</w:t>
        </w:r>
      </w:hyperlink>
    </w:p>
  </w:footnote>
  <w:footnote w:id="280">
    <w:p w14:paraId="6E5DA59F"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89" w:history="1">
        <w:r w:rsidRPr="009D34FE">
          <w:rPr>
            <w:rStyle w:val="Hipervnculo"/>
            <w:rFonts w:ascii="Open Sans" w:hAnsi="Open Sans"/>
            <w:sz w:val="18"/>
            <w:szCs w:val="18"/>
          </w:rPr>
          <w:t>http://www.obrasweb.mx/construccion/2012/03/16/evasion-fiscal-la-cruz-que-cargan-las-constructoras</w:t>
        </w:r>
      </w:hyperlink>
    </w:p>
    <w:p w14:paraId="19A7C1F8" w14:textId="77777777" w:rsidR="007F55EB" w:rsidRPr="009D34FE" w:rsidRDefault="007F55EB" w:rsidP="007359B0">
      <w:pPr>
        <w:pStyle w:val="Textonotapie"/>
        <w:rPr>
          <w:rFonts w:ascii="Open Sans" w:hAnsi="Open Sans"/>
          <w:sz w:val="18"/>
          <w:szCs w:val="18"/>
        </w:rPr>
      </w:pPr>
      <w:hyperlink r:id="rId190" w:history="1">
        <w:r w:rsidRPr="009D34FE">
          <w:rPr>
            <w:rStyle w:val="Hipervnculo"/>
            <w:rFonts w:ascii="Open Sans" w:hAnsi="Open Sans"/>
            <w:sz w:val="18"/>
            <w:szCs w:val="18"/>
          </w:rPr>
          <w:t>http://www.ecuadorinmediato.com/Noticias/news_user_view/ecuadorinmediato_noticias--60534</w:t>
        </w:r>
      </w:hyperlink>
    </w:p>
    <w:p w14:paraId="53C90EA6" w14:textId="77777777" w:rsidR="007F55EB" w:rsidRPr="009D34FE" w:rsidRDefault="007F55EB" w:rsidP="007359B0">
      <w:pPr>
        <w:pStyle w:val="Textonotapie"/>
        <w:rPr>
          <w:rFonts w:ascii="Open Sans" w:hAnsi="Open Sans"/>
          <w:sz w:val="18"/>
          <w:szCs w:val="18"/>
        </w:rPr>
      </w:pPr>
      <w:hyperlink r:id="rId191" w:history="1">
        <w:r w:rsidRPr="009D34FE">
          <w:rPr>
            <w:rStyle w:val="Hipervnculo"/>
            <w:rFonts w:ascii="Open Sans" w:hAnsi="Open Sans"/>
            <w:sz w:val="18"/>
            <w:szCs w:val="18"/>
          </w:rPr>
          <w:t>http://www.lavanguardia.com/economia/20150422/54430781555/detienen-a-director-del-mayor-grupo-de-construccion-griego-por-evasion-fiscal.html</w:t>
        </w:r>
      </w:hyperlink>
    </w:p>
    <w:p w14:paraId="6343E20D" w14:textId="77777777" w:rsidR="007F55EB" w:rsidRPr="009D34FE" w:rsidRDefault="007F55EB" w:rsidP="007359B0">
      <w:pPr>
        <w:pStyle w:val="Textonotapie"/>
        <w:rPr>
          <w:rFonts w:ascii="Open Sans" w:hAnsi="Open Sans"/>
          <w:sz w:val="18"/>
          <w:szCs w:val="18"/>
        </w:rPr>
      </w:pPr>
      <w:hyperlink r:id="rId192" w:history="1">
        <w:r w:rsidRPr="009D34FE">
          <w:rPr>
            <w:rStyle w:val="Hipervnculo"/>
            <w:rFonts w:ascii="Open Sans" w:hAnsi="Open Sans"/>
            <w:sz w:val="18"/>
            <w:szCs w:val="18"/>
          </w:rPr>
          <w:t>http://www.sat.gob.mx/administracion_sat/estudios_evasion_fiscal/Documents/InformeFinal19012012const.pdf</w:t>
        </w:r>
      </w:hyperlink>
    </w:p>
  </w:footnote>
  <w:footnote w:id="281">
    <w:p w14:paraId="3E43EE34"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93" w:history="1">
        <w:r w:rsidRPr="009D34FE">
          <w:rPr>
            <w:rStyle w:val="Hipervnculo"/>
            <w:rFonts w:ascii="Open Sans" w:hAnsi="Open Sans"/>
            <w:sz w:val="18"/>
            <w:szCs w:val="18"/>
          </w:rPr>
          <w:t>http://www.europapress.es/internacional/noticia-portugal-agencias-tributarias-espana-portugal-firman-acuerdo-combatir-fraude-evasion-fiscal-20061102165258.html</w:t>
        </w:r>
      </w:hyperlink>
    </w:p>
  </w:footnote>
  <w:footnote w:id="282">
    <w:p w14:paraId="4F1626CB"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94" w:history="1">
        <w:r w:rsidRPr="009D34FE">
          <w:rPr>
            <w:rStyle w:val="Hipervnculo"/>
            <w:rFonts w:ascii="Open Sans" w:hAnsi="Open Sans"/>
            <w:sz w:val="18"/>
            <w:szCs w:val="18"/>
          </w:rPr>
          <w:t>http://www.expansion.com/empresas/inmobiliario/2015/03/30/55199b0c268e3ea0738b4571.html</w:t>
        </w:r>
      </w:hyperlink>
    </w:p>
  </w:footnote>
  <w:footnote w:id="283">
    <w:p w14:paraId="1FDB14C9"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95" w:history="1">
        <w:r w:rsidRPr="009D34FE">
          <w:rPr>
            <w:rStyle w:val="Hipervnculo"/>
            <w:rFonts w:ascii="Open Sans" w:hAnsi="Open Sans"/>
            <w:sz w:val="18"/>
            <w:szCs w:val="18"/>
          </w:rPr>
          <w:t>http://www.transparency.org/cpi2015/</w:t>
        </w:r>
      </w:hyperlink>
    </w:p>
  </w:footnote>
  <w:footnote w:id="284">
    <w:p w14:paraId="32B93119"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96" w:history="1">
        <w:r w:rsidRPr="009D34FE">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285">
    <w:p w14:paraId="059D49E7"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97" w:history="1">
        <w:r w:rsidRPr="009D34FE">
          <w:rPr>
            <w:rStyle w:val="Hipervnculo"/>
            <w:rFonts w:ascii="Open Sans" w:hAnsi="Open Sans"/>
            <w:sz w:val="18"/>
            <w:szCs w:val="18"/>
          </w:rPr>
          <w:t>http://www.sustainability-indices.com/images/DJSI_Review_Presentation_09_2014_final.pdf</w:t>
        </w:r>
      </w:hyperlink>
    </w:p>
    <w:p w14:paraId="7E28D0C5" w14:textId="77777777" w:rsidR="007F55EB" w:rsidRPr="009D34FE" w:rsidRDefault="007F55EB" w:rsidP="007359B0">
      <w:pPr>
        <w:pStyle w:val="Textonotapie"/>
        <w:rPr>
          <w:rFonts w:ascii="Open Sans" w:hAnsi="Open Sans"/>
          <w:sz w:val="18"/>
          <w:szCs w:val="18"/>
        </w:rPr>
      </w:pPr>
      <w:hyperlink r:id="rId198" w:history="1">
        <w:r w:rsidRPr="009D34FE">
          <w:rPr>
            <w:rStyle w:val="Hipervnculo"/>
            <w:rFonts w:ascii="Open Sans" w:hAnsi="Open Sans"/>
            <w:sz w:val="18"/>
            <w:szCs w:val="18"/>
          </w:rPr>
          <w:t>http://www.ftse.com/products/downloads/F4G-Index-Inclusion-Rules.pdf</w:t>
        </w:r>
      </w:hyperlink>
    </w:p>
  </w:footnote>
  <w:footnote w:id="286">
    <w:p w14:paraId="7EDE1C0F"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199" w:history="1">
        <w:r w:rsidRPr="009D34FE">
          <w:rPr>
            <w:rStyle w:val="Hipervnculo"/>
            <w:rFonts w:ascii="Open Sans" w:hAnsi="Open Sans"/>
            <w:sz w:val="18"/>
            <w:szCs w:val="18"/>
          </w:rPr>
          <w:t>http://www.nytimes.com/2012/07/01/business/how-delaware-thrives-as-a-corporate-tax-haven.html</w:t>
        </w:r>
      </w:hyperlink>
    </w:p>
  </w:footnote>
  <w:footnote w:id="287">
    <w:p w14:paraId="29E76D74" w14:textId="77777777" w:rsidR="007F55EB" w:rsidRPr="004032B0"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0" w:history="1">
        <w:r w:rsidRPr="004032B0">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288">
    <w:p w14:paraId="2E5EB450" w14:textId="77777777" w:rsidR="007F55EB" w:rsidRPr="009D34FE" w:rsidRDefault="007F55EB" w:rsidP="007359B0">
      <w:pPr>
        <w:pStyle w:val="Textonotapie"/>
        <w:rPr>
          <w:rFonts w:ascii="Open Sans" w:hAnsi="Open Sans"/>
          <w:sz w:val="18"/>
          <w:szCs w:val="18"/>
        </w:rPr>
      </w:pPr>
      <w:r w:rsidRPr="004032B0">
        <w:rPr>
          <w:rStyle w:val="Refdenotaalpie"/>
          <w:rFonts w:ascii="Open Sans" w:hAnsi="Open Sans"/>
          <w:sz w:val="18"/>
          <w:szCs w:val="18"/>
        </w:rPr>
        <w:footnoteRef/>
      </w:r>
      <w:r w:rsidRPr="004032B0">
        <w:rPr>
          <w:rStyle w:val="Refdenotaalpie"/>
          <w:rFonts w:ascii="Open Sans" w:hAnsi="Open Sans"/>
          <w:sz w:val="18"/>
          <w:szCs w:val="18"/>
        </w:rPr>
        <w:t xml:space="preserve"> </w:t>
      </w:r>
      <w:hyperlink r:id="rId201" w:history="1">
        <w:r w:rsidRPr="004032B0">
          <w:rPr>
            <w:rStyle w:val="Refdenotaalpie"/>
            <w:rFonts w:ascii="Open Sans" w:hAnsi="Open Sans"/>
            <w:sz w:val="18"/>
            <w:szCs w:val="18"/>
          </w:rPr>
          <w:t>http://www.grupoacs.com/ficheros_editor/File/05_responsabilidad_corporativa/1-2-Analisis%20de%20rentabilidad/anexo_13_1_esp.pdf</w:t>
        </w:r>
      </w:hyperlink>
    </w:p>
  </w:footnote>
  <w:footnote w:id="289">
    <w:p w14:paraId="02382B3F"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2" w:history="1">
        <w:r w:rsidRPr="009D34FE">
          <w:rPr>
            <w:rStyle w:val="Hipervnculo"/>
            <w:rFonts w:ascii="Open Sans" w:hAnsi="Open Sans"/>
            <w:sz w:val="18"/>
            <w:szCs w:val="18"/>
          </w:rPr>
          <w:t>http://www.elconfidencial.com/empresas/2016-05-06/florentino-perez-costes-cierre-castor_1194978/</w:t>
        </w:r>
      </w:hyperlink>
    </w:p>
  </w:footnote>
  <w:footnote w:id="290">
    <w:p w14:paraId="3FDFBC9F"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3" w:history="1">
        <w:r w:rsidRPr="009D34FE">
          <w:rPr>
            <w:rStyle w:val="Hipervnculo"/>
            <w:rFonts w:ascii="Open Sans" w:hAnsi="Open Sans"/>
            <w:sz w:val="18"/>
            <w:szCs w:val="18"/>
          </w:rPr>
          <w:t>http://www.elconfidencial.com/empresas/2015-01-26/imputan-a-18-personas-por-prevaricacion-medioambiental-en-el-proyecto-castor_630022/</w:t>
        </w:r>
      </w:hyperlink>
    </w:p>
  </w:footnote>
  <w:footnote w:id="291">
    <w:p w14:paraId="0553E41A"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4" w:history="1">
        <w:r w:rsidRPr="009D34FE">
          <w:rPr>
            <w:rStyle w:val="Hipervnculo"/>
            <w:rFonts w:ascii="Open Sans" w:hAnsi="Open Sans"/>
            <w:sz w:val="18"/>
            <w:szCs w:val="18"/>
          </w:rPr>
          <w:t>http://www.eldiario.es/economia/ACS-manipular-cuentas-constructora-demanda_0_459154817.html</w:t>
        </w:r>
      </w:hyperlink>
    </w:p>
  </w:footnote>
  <w:footnote w:id="292">
    <w:p w14:paraId="7E6276BC"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5" w:history="1">
        <w:r w:rsidRPr="009D34FE">
          <w:rPr>
            <w:rStyle w:val="Hipervnculo"/>
            <w:rFonts w:ascii="Open Sans" w:hAnsi="Open Sans"/>
            <w:sz w:val="18"/>
            <w:szCs w:val="18"/>
          </w:rPr>
          <w:t>http://www.smh.com.au/business/the-economy/atos-private-company-list-kicks-up-more-questions-about-artistry-of-tax-arrangements-20160322-gnoi9m.html</w:t>
        </w:r>
      </w:hyperlink>
    </w:p>
  </w:footnote>
  <w:footnote w:id="293">
    <w:p w14:paraId="2271FA77"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r w:rsidRPr="009D34FE">
        <w:rPr>
          <w:rFonts w:ascii="Open Sans" w:hAnsi="Open Sans" w:cs="Open Sans"/>
          <w:sz w:val="18"/>
          <w:szCs w:val="18"/>
        </w:rPr>
        <w:t>Las subvenciones de capital son aquellas que se conceden para adquirir un elemento de inmovilizado o para financiar gastos estructurales derivados del establecimiento de la empresa</w:t>
      </w:r>
    </w:p>
  </w:footnote>
  <w:footnote w:id="294">
    <w:p w14:paraId="09A27DED"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6" w:history="1">
        <w:r w:rsidRPr="009D34FE">
          <w:rPr>
            <w:rStyle w:val="Hipervnculo"/>
            <w:rFonts w:ascii="Open Sans" w:hAnsi="Open Sans"/>
            <w:sz w:val="18"/>
            <w:szCs w:val="18"/>
          </w:rPr>
          <w:t>http://www.elconfidencial.com/empresas/2015-03-19/florentino-le-echa-un-pulso-al-gobierno-y-pide-el-preconcurso-de-acreedores-del-ave-a-paris_731050/</w:t>
        </w:r>
      </w:hyperlink>
    </w:p>
  </w:footnote>
  <w:footnote w:id="295">
    <w:p w14:paraId="39C5A6A5"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7" w:history="1">
        <w:r w:rsidRPr="009D34FE">
          <w:rPr>
            <w:rStyle w:val="Hipervnculo"/>
            <w:rFonts w:ascii="Open Sans" w:hAnsi="Open Sans"/>
            <w:sz w:val="18"/>
            <w:szCs w:val="18"/>
          </w:rPr>
          <w:t>http://www.elconfidencial.com/empresas/2016-05-06/florentino-perez-costes-cierre-castor_1194978/</w:t>
        </w:r>
      </w:hyperlink>
    </w:p>
  </w:footnote>
  <w:footnote w:id="296">
    <w:p w14:paraId="6E96CE99"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8" w:history="1">
        <w:r w:rsidRPr="009D34FE">
          <w:rPr>
            <w:rStyle w:val="Hipervnculo"/>
            <w:rFonts w:ascii="Open Sans" w:hAnsi="Open Sans"/>
            <w:sz w:val="18"/>
            <w:szCs w:val="18"/>
          </w:rPr>
          <w:t>http://sabemos.es/2015/09/29/otro-proyecto-castor-murcia-investiga-por-que-florentino-perez-cobrara-600-millones-por-una-desaladora-inactiva_7258/</w:t>
        </w:r>
      </w:hyperlink>
    </w:p>
  </w:footnote>
  <w:footnote w:id="297">
    <w:p w14:paraId="2A80A870"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09" w:history="1">
        <w:r w:rsidRPr="009D34FE">
          <w:rPr>
            <w:rStyle w:val="Hipervnculo"/>
            <w:rFonts w:ascii="Open Sans" w:hAnsi="Open Sans"/>
            <w:sz w:val="18"/>
            <w:szCs w:val="18"/>
          </w:rPr>
          <w:t>https://www.thepressproject.gr/article/67522/How-much-did-the-Hochtief-managed-Athens-airport-dodge-in-taxes--12-150-or-600-million</w:t>
        </w:r>
      </w:hyperlink>
    </w:p>
  </w:footnote>
  <w:footnote w:id="298">
    <w:p w14:paraId="24CA970C" w14:textId="77777777" w:rsidR="007F55EB" w:rsidRPr="009D34FE" w:rsidRDefault="007F55EB" w:rsidP="007359B0">
      <w:pPr>
        <w:pStyle w:val="Textonotapie"/>
        <w:rPr>
          <w:rFonts w:ascii="Open Sans" w:hAnsi="Open Sans"/>
          <w:sz w:val="18"/>
          <w:szCs w:val="18"/>
        </w:rPr>
      </w:pPr>
      <w:r w:rsidRPr="009D34FE">
        <w:rPr>
          <w:rStyle w:val="Refdenotaalpie"/>
          <w:rFonts w:ascii="Open Sans" w:hAnsi="Open Sans"/>
          <w:sz w:val="18"/>
          <w:szCs w:val="18"/>
        </w:rPr>
        <w:footnoteRef/>
      </w:r>
      <w:r w:rsidRPr="009D34FE">
        <w:rPr>
          <w:rFonts w:ascii="Open Sans" w:hAnsi="Open Sans"/>
          <w:sz w:val="18"/>
          <w:szCs w:val="18"/>
        </w:rPr>
        <w:t xml:space="preserve"> </w:t>
      </w:r>
      <w:hyperlink r:id="rId210" w:history="1">
        <w:r w:rsidRPr="009D34FE">
          <w:rPr>
            <w:rStyle w:val="Hipervnculo"/>
            <w:rFonts w:ascii="Open Sans" w:hAnsi="Open Sans"/>
            <w:sz w:val="18"/>
            <w:szCs w:val="18"/>
          </w:rPr>
          <w:t>http://www.elconfidencial.com/espana/2016-01-12/empresas-de-acs-amanaban-contratos-publicos-en-cadiz-bajo-el-mandato-del-pp_1133944/</w:t>
        </w:r>
      </w:hyperlink>
    </w:p>
    <w:p w14:paraId="0B117058" w14:textId="77777777" w:rsidR="007F55EB" w:rsidRPr="009D34FE" w:rsidRDefault="007F55EB" w:rsidP="007359B0">
      <w:pPr>
        <w:pStyle w:val="Textonotapie"/>
        <w:rPr>
          <w:rFonts w:ascii="Open Sans" w:hAnsi="Open Sans"/>
          <w:sz w:val="18"/>
          <w:szCs w:val="18"/>
        </w:rPr>
      </w:pPr>
      <w:hyperlink r:id="rId211" w:history="1">
        <w:r w:rsidRPr="009D34FE">
          <w:rPr>
            <w:rStyle w:val="Hipervnculo"/>
            <w:rFonts w:ascii="Open Sans" w:hAnsi="Open Sans"/>
            <w:sz w:val="18"/>
            <w:szCs w:val="18"/>
          </w:rPr>
          <w:t>http://economia.elpais.com/economia/2015/12/14/actualidad/1450111008_698606.html</w:t>
        </w:r>
      </w:hyperlink>
    </w:p>
    <w:p w14:paraId="370F904C" w14:textId="77777777" w:rsidR="007F55EB" w:rsidRPr="009D34FE" w:rsidRDefault="007F55EB" w:rsidP="007359B0">
      <w:pPr>
        <w:pStyle w:val="Textonotapie"/>
        <w:rPr>
          <w:rFonts w:ascii="Open Sans" w:hAnsi="Open Sans"/>
          <w:sz w:val="18"/>
          <w:szCs w:val="18"/>
        </w:rPr>
      </w:pPr>
      <w:hyperlink r:id="rId212" w:history="1">
        <w:r w:rsidRPr="009D34FE">
          <w:rPr>
            <w:rStyle w:val="Hipervnculo"/>
            <w:rFonts w:ascii="Open Sans" w:hAnsi="Open Sans"/>
            <w:sz w:val="18"/>
            <w:szCs w:val="18"/>
          </w:rPr>
          <w:t>http://www.eldiario.es/economia/Tecnicas-Reunidas-ACS-salpicadas-industria_0_514449474.html</w:t>
        </w:r>
      </w:hyperlink>
    </w:p>
    <w:p w14:paraId="6B1F9384" w14:textId="77777777" w:rsidR="007F55EB" w:rsidRPr="009D34FE" w:rsidRDefault="007F55EB" w:rsidP="007359B0">
      <w:pPr>
        <w:pStyle w:val="Textonotapie"/>
        <w:rPr>
          <w:rFonts w:ascii="Open Sans" w:hAnsi="Open Sans"/>
          <w:sz w:val="18"/>
          <w:szCs w:val="18"/>
        </w:rPr>
      </w:pPr>
      <w:hyperlink r:id="rId213" w:history="1">
        <w:r w:rsidRPr="009D34FE">
          <w:rPr>
            <w:rStyle w:val="Hipervnculo"/>
            <w:rFonts w:ascii="Open Sans" w:hAnsi="Open Sans"/>
            <w:sz w:val="18"/>
            <w:szCs w:val="18"/>
          </w:rPr>
          <w:t>http://consalud.es/comunidades-autonomas/el-juez-de-son-espases-investiga-la-trama-de-corrupcion-de-acs-en-cadiz--23727</w:t>
        </w:r>
      </w:hyperlink>
    </w:p>
    <w:p w14:paraId="356B1BFA" w14:textId="77777777" w:rsidR="007F55EB" w:rsidRPr="009D34FE" w:rsidRDefault="007F55EB" w:rsidP="007359B0">
      <w:pPr>
        <w:pStyle w:val="Textonotapie"/>
        <w:rPr>
          <w:rFonts w:ascii="Open Sans" w:hAnsi="Open Sans"/>
          <w:sz w:val="18"/>
          <w:szCs w:val="18"/>
        </w:rPr>
      </w:pPr>
      <w:hyperlink r:id="rId214" w:history="1">
        <w:r w:rsidRPr="009D34FE">
          <w:rPr>
            <w:rStyle w:val="Hipervnculo"/>
            <w:rFonts w:ascii="Open Sans" w:hAnsi="Open Sans"/>
            <w:sz w:val="18"/>
            <w:szCs w:val="18"/>
          </w:rPr>
          <w:t>http://www.smh.com.au/business/mining-and-resources/leighton-holdings-former-executive-alleges-corruption-20160422-gock2o.html7</w:t>
        </w:r>
      </w:hyperlink>
    </w:p>
    <w:p w14:paraId="691D0462" w14:textId="77777777" w:rsidR="007F55EB" w:rsidRPr="009D34FE" w:rsidRDefault="007F55EB" w:rsidP="007359B0">
      <w:pPr>
        <w:pStyle w:val="Textonotapie"/>
        <w:rPr>
          <w:rFonts w:ascii="Open Sans" w:hAnsi="Open Sans"/>
          <w:sz w:val="18"/>
          <w:szCs w:val="18"/>
        </w:rPr>
      </w:pPr>
      <w:hyperlink r:id="rId215" w:history="1">
        <w:r w:rsidRPr="009D34FE">
          <w:rPr>
            <w:rStyle w:val="Hipervnculo"/>
            <w:rFonts w:ascii="Open Sans" w:hAnsi="Open Sans"/>
            <w:sz w:val="18"/>
            <w:szCs w:val="18"/>
          </w:rPr>
          <w:t>http://www.altmedia.net.au/questions-to-be-answered-over-leightons-involvement-in-westconnex/114897</w:t>
        </w:r>
      </w:hyperlink>
    </w:p>
    <w:p w14:paraId="193E1725" w14:textId="77777777" w:rsidR="007F55EB" w:rsidRPr="009D34FE" w:rsidRDefault="007F55EB" w:rsidP="007359B0">
      <w:pPr>
        <w:pStyle w:val="Textonotapie"/>
        <w:rPr>
          <w:rFonts w:ascii="Open Sans" w:hAnsi="Open Sans"/>
          <w:sz w:val="18"/>
          <w:szCs w:val="18"/>
        </w:rPr>
      </w:pPr>
      <w:hyperlink r:id="rId216" w:history="1">
        <w:r w:rsidRPr="009D34FE">
          <w:rPr>
            <w:rStyle w:val="Hipervnculo"/>
            <w:rFonts w:ascii="Open Sans" w:hAnsi="Open Sans"/>
            <w:sz w:val="18"/>
            <w:szCs w:val="18"/>
          </w:rPr>
          <w:t>http://www.theherald.com.au/story/3837923/corruption-helicopter-drops-and-the-proletariat/</w:t>
        </w:r>
      </w:hyperlink>
    </w:p>
    <w:p w14:paraId="7E0A9D5C" w14:textId="77777777" w:rsidR="007F55EB" w:rsidRPr="009D34FE" w:rsidRDefault="007F55EB" w:rsidP="007359B0">
      <w:pPr>
        <w:pStyle w:val="Textonotapie"/>
        <w:rPr>
          <w:rFonts w:ascii="Open Sans" w:hAnsi="Open Sans"/>
          <w:sz w:val="18"/>
          <w:szCs w:val="18"/>
        </w:rPr>
      </w:pPr>
      <w:hyperlink r:id="rId217" w:history="1">
        <w:r w:rsidRPr="009D34FE">
          <w:rPr>
            <w:rStyle w:val="Hipervnculo"/>
            <w:rFonts w:ascii="Open Sans" w:hAnsi="Open Sans"/>
            <w:sz w:val="18"/>
            <w:szCs w:val="18"/>
          </w:rPr>
          <w:t>http://www.edenmagnet.com.au/story/4029702/cimic-faces-lawsuit-from-middle-east-partner/?cs=9</w:t>
        </w:r>
      </w:hyperlink>
    </w:p>
    <w:p w14:paraId="7843D817" w14:textId="77777777" w:rsidR="007F55EB" w:rsidRPr="009D34FE" w:rsidRDefault="007F55EB" w:rsidP="007359B0">
      <w:pPr>
        <w:pStyle w:val="Textonotapie"/>
        <w:rPr>
          <w:rFonts w:ascii="Open Sans" w:hAnsi="Open Sans"/>
          <w:sz w:val="18"/>
          <w:szCs w:val="18"/>
        </w:rPr>
      </w:pPr>
      <w:hyperlink r:id="rId218" w:history="1">
        <w:r w:rsidRPr="009D34FE">
          <w:rPr>
            <w:rStyle w:val="Hipervnculo"/>
            <w:rFonts w:ascii="Open Sans" w:hAnsi="Open Sans"/>
            <w:sz w:val="18"/>
            <w:szCs w:val="18"/>
          </w:rPr>
          <w:t>http://www.smh.com.au/business/leighton-to-change-name-to-cimic-in-wake-of-corruption-allegations-20150320-1m40j3.html</w:t>
        </w:r>
      </w:hyperlink>
    </w:p>
    <w:p w14:paraId="5DC5EC5B" w14:textId="77777777" w:rsidR="007F55EB" w:rsidRPr="009D34FE" w:rsidRDefault="007F55EB" w:rsidP="007359B0">
      <w:pPr>
        <w:pStyle w:val="Textonotapie"/>
        <w:rPr>
          <w:rFonts w:ascii="Open Sans" w:hAnsi="Open Sans"/>
          <w:sz w:val="18"/>
          <w:szCs w:val="18"/>
        </w:rPr>
      </w:pPr>
      <w:hyperlink r:id="rId219" w:history="1">
        <w:r w:rsidRPr="009D34FE">
          <w:rPr>
            <w:rStyle w:val="Hipervnculo"/>
            <w:rFonts w:ascii="Open Sans" w:hAnsi="Open Sans"/>
            <w:sz w:val="18"/>
            <w:szCs w:val="18"/>
          </w:rPr>
          <w:t>http://en.protothema.gr/german-hochtiefs-tax-evasion-in-parliament/</w:t>
        </w:r>
      </w:hyperlink>
    </w:p>
    <w:p w14:paraId="0D093E98" w14:textId="77777777" w:rsidR="007F55EB" w:rsidRPr="009D34FE" w:rsidRDefault="007F55EB" w:rsidP="007359B0">
      <w:pPr>
        <w:pStyle w:val="Textonotapie"/>
        <w:rPr>
          <w:rFonts w:ascii="Open Sans" w:hAnsi="Open Sans"/>
          <w:sz w:val="18"/>
          <w:szCs w:val="18"/>
        </w:rPr>
      </w:pPr>
      <w:hyperlink r:id="rId220" w:history="1">
        <w:r w:rsidRPr="009D34FE">
          <w:rPr>
            <w:rStyle w:val="Hipervnculo"/>
            <w:rFonts w:ascii="Open Sans" w:hAnsi="Open Sans"/>
            <w:sz w:val="18"/>
            <w:szCs w:val="18"/>
          </w:rPr>
          <w:t>http://www.diariodecadiz.es/cadiz/Policia-estima-millon-fraude-alumbrado_0_989301188.html</w:t>
        </w:r>
      </w:hyperlink>
    </w:p>
    <w:p w14:paraId="36B31766" w14:textId="77777777" w:rsidR="007F55EB" w:rsidRPr="009D34FE" w:rsidRDefault="007F55EB" w:rsidP="007359B0">
      <w:pPr>
        <w:pStyle w:val="Textonotapie"/>
        <w:rPr>
          <w:rFonts w:ascii="Open Sans" w:hAnsi="Open Sans"/>
          <w:sz w:val="18"/>
          <w:szCs w:val="18"/>
        </w:rPr>
      </w:pPr>
      <w:hyperlink r:id="rId221" w:history="1">
        <w:r w:rsidRPr="009D34FE">
          <w:rPr>
            <w:rStyle w:val="Hipervnculo"/>
            <w:rFonts w:ascii="Open Sans" w:hAnsi="Open Sans"/>
            <w:sz w:val="18"/>
            <w:szCs w:val="18"/>
          </w:rPr>
          <w:t>http://www.lne.es/espana/2015/10/21/detenido-tesorero-cdc-trama-3/1829978.html</w:t>
        </w:r>
      </w:hyperlink>
    </w:p>
    <w:p w14:paraId="0F957727" w14:textId="77777777" w:rsidR="007F55EB" w:rsidRPr="009D34FE" w:rsidRDefault="007F55EB" w:rsidP="007359B0">
      <w:pPr>
        <w:pStyle w:val="Textonotapie"/>
        <w:rPr>
          <w:rFonts w:ascii="Open Sans" w:hAnsi="Open Sans"/>
          <w:sz w:val="18"/>
          <w:szCs w:val="18"/>
        </w:rPr>
      </w:pPr>
      <w:hyperlink r:id="rId222" w:history="1">
        <w:r w:rsidRPr="009D34FE">
          <w:rPr>
            <w:rStyle w:val="Hipervnculo"/>
            <w:rFonts w:ascii="Open Sans" w:hAnsi="Open Sans"/>
            <w:sz w:val="18"/>
            <w:szCs w:val="18"/>
          </w:rPr>
          <w:t>http://www.elconfidencial.com/espana/2015-04-29/florentino-perez-reconoce-que-pago-300-000-euros-a-la-trama-punica_785225/</w:t>
        </w:r>
      </w:hyperlink>
    </w:p>
    <w:p w14:paraId="7408D780" w14:textId="77777777" w:rsidR="007F55EB" w:rsidRDefault="007F55EB" w:rsidP="007359B0">
      <w:pPr>
        <w:pStyle w:val="Textonotapie"/>
      </w:pPr>
      <w:hyperlink r:id="rId223" w:history="1">
        <w:r w:rsidRPr="009D34FE">
          <w:rPr>
            <w:rStyle w:val="Hipervnculo"/>
            <w:rFonts w:ascii="Open Sans" w:hAnsi="Open Sans"/>
            <w:sz w:val="18"/>
            <w:szCs w:val="18"/>
          </w:rPr>
          <w:t>http://www.laopiniondemurcia.es/comunidad/2016/02/10/fiscal-aprecia-indicios-malversacion-falsedad/712811.html</w:t>
        </w:r>
      </w:hyperlink>
    </w:p>
  </w:footnote>
  <w:footnote w:id="299">
    <w:p w14:paraId="717634F1" w14:textId="77777777" w:rsidR="007F55EB" w:rsidRPr="0046282D" w:rsidRDefault="007F55EB" w:rsidP="006E3A41">
      <w:pPr>
        <w:pStyle w:val="Textonotapie"/>
        <w:jc w:val="both"/>
        <w:rPr>
          <w:rFonts w:ascii="Open Sans" w:hAnsi="Open Sans" w:cs="Arial"/>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w:t>
      </w:r>
      <w:r w:rsidRPr="0046282D">
        <w:rPr>
          <w:rFonts w:ascii="Open Sans" w:hAnsi="Open Sans" w:cs="Arial"/>
          <w:sz w:val="18"/>
          <w:szCs w:val="18"/>
        </w:rPr>
        <w:t xml:space="preserve">No aparece en el Mapa Interactivo ni en el documento 20-F  su presencia en Mozambique, de la que sí queda constancia en la subsidiaria de ArcelorMittal South Africa. , en su Informe Integrado </w:t>
      </w:r>
      <w:proofErr w:type="gramStart"/>
      <w:r w:rsidRPr="0046282D">
        <w:rPr>
          <w:rFonts w:ascii="Open Sans" w:hAnsi="Open Sans" w:cs="Arial"/>
          <w:sz w:val="18"/>
          <w:szCs w:val="18"/>
        </w:rPr>
        <w:t>p.80 .</w:t>
      </w:r>
      <w:proofErr w:type="gramEnd"/>
      <w:r w:rsidRPr="0046282D">
        <w:rPr>
          <w:rFonts w:ascii="Open Sans" w:hAnsi="Open Sans" w:cs="Arial"/>
          <w:sz w:val="18"/>
          <w:szCs w:val="18"/>
        </w:rPr>
        <w:t xml:space="preserve"> Lo que conlleva a no poder asegurar que la presencia de ArcelorMittal se limite a los países de los que informa en su Web, Informe Anual o Documento 20-F.</w:t>
      </w:r>
    </w:p>
  </w:footnote>
  <w:footnote w:id="300">
    <w:p w14:paraId="5ED9F623" w14:textId="77777777" w:rsidR="007F55EB" w:rsidRPr="0046282D" w:rsidRDefault="007F55EB" w:rsidP="006E3A41">
      <w:pPr>
        <w:jc w:val="both"/>
        <w:rPr>
          <w:rFonts w:ascii="Open Sans" w:hAnsi="Open Sans" w:cs="Arial"/>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w:t>
      </w:r>
      <w:r w:rsidRPr="0046282D">
        <w:rPr>
          <w:rFonts w:ascii="Open Sans" w:hAnsi="Open Sans" w:cs="Arial"/>
          <w:sz w:val="18"/>
          <w:szCs w:val="18"/>
        </w:rPr>
        <w:t>En 2015 ha variado el perímetro de presentación de datos y no incluyen  las siguientes ubicaciones por haber sido vendidas a Diciembre de 2014 : Indiana Harbour long carbon (USA); Georgetown (USA); Point Lisas (Trinidad &amp; Tobago) y la mina en Kusbass (Russia)</w:t>
      </w:r>
    </w:p>
  </w:footnote>
  <w:footnote w:id="301">
    <w:p w14:paraId="6AC48ED4" w14:textId="77777777" w:rsidR="007F55EB" w:rsidRPr="0046282D" w:rsidRDefault="007F55EB" w:rsidP="006E3A41">
      <w:pPr>
        <w:pStyle w:val="Textonotapie"/>
        <w:jc w:val="both"/>
        <w:rPr>
          <w:rFonts w:ascii="Open Sans" w:hAnsi="Open Sans"/>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Formato 20-</w:t>
      </w:r>
      <w:proofErr w:type="gramStart"/>
      <w:r w:rsidRPr="0046282D">
        <w:rPr>
          <w:rFonts w:ascii="Open Sans" w:hAnsi="Open Sans"/>
          <w:sz w:val="18"/>
          <w:szCs w:val="18"/>
        </w:rPr>
        <w:t>F :</w:t>
      </w:r>
      <w:proofErr w:type="gramEnd"/>
      <w:r w:rsidRPr="0046282D">
        <w:rPr>
          <w:rFonts w:ascii="Open Sans" w:hAnsi="Open Sans"/>
          <w:sz w:val="18"/>
          <w:szCs w:val="18"/>
        </w:rPr>
        <w:t xml:space="preserve"> Informe Financiero y de Gobierno Corporativo que tiene la obligación de cumplimentar la empresa en Estados Unidos, por cotizar sus acciones en la Bolsa de Nueva York.</w:t>
      </w:r>
    </w:p>
  </w:footnote>
  <w:footnote w:id="302">
    <w:p w14:paraId="11A84D5C" w14:textId="77777777" w:rsidR="007F55EB" w:rsidRPr="0046282D" w:rsidRDefault="007F55EB" w:rsidP="006E3A41">
      <w:pPr>
        <w:pStyle w:val="Textonotapie"/>
        <w:jc w:val="both"/>
        <w:rPr>
          <w:rFonts w:ascii="Open Sans" w:hAnsi="Open Sans"/>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CIS en inglés, Comunidad de Estados Independientes</w:t>
      </w:r>
    </w:p>
  </w:footnote>
  <w:footnote w:id="303">
    <w:p w14:paraId="00AC7CF2" w14:textId="77777777" w:rsidR="007F55EB" w:rsidRPr="0046282D" w:rsidRDefault="007F55EB" w:rsidP="006E3A41">
      <w:pPr>
        <w:pStyle w:val="PIePagina-Informe"/>
        <w:rPr>
          <w:sz w:val="18"/>
          <w:szCs w:val="18"/>
        </w:rPr>
      </w:pPr>
      <w:r w:rsidRPr="0046282D">
        <w:rPr>
          <w:rStyle w:val="Refdenotaalpie"/>
          <w:sz w:val="18"/>
          <w:szCs w:val="18"/>
        </w:rPr>
        <w:footnoteRef/>
      </w:r>
      <w:r w:rsidRPr="0046282D">
        <w:rPr>
          <w:sz w:val="18"/>
          <w:szCs w:val="18"/>
        </w:rPr>
        <w:t xml:space="preserve"> Según el “Listado de paraísos fiscales del OBRSC”, que figura en el apartado Metodología, del presente informe.</w:t>
      </w:r>
    </w:p>
  </w:footnote>
  <w:footnote w:id="304">
    <w:p w14:paraId="7441FE11" w14:textId="77777777" w:rsidR="007F55EB" w:rsidRPr="0046282D" w:rsidRDefault="007F55EB" w:rsidP="006E3A41">
      <w:pPr>
        <w:jc w:val="both"/>
        <w:rPr>
          <w:rFonts w:ascii="Open Sans" w:hAnsi="Open Sans"/>
          <w:sz w:val="18"/>
          <w:szCs w:val="18"/>
        </w:rPr>
      </w:pPr>
      <w:r w:rsidRPr="0046282D">
        <w:rPr>
          <w:rStyle w:val="Refdenotaalpie"/>
          <w:rFonts w:ascii="Open Sans" w:eastAsia="MS Mincho" w:hAnsi="Open Sans" w:cs="Open Sans"/>
          <w:sz w:val="18"/>
          <w:szCs w:val="18"/>
        </w:rPr>
        <w:footnoteRef/>
      </w:r>
      <w:r w:rsidRPr="0046282D">
        <w:rPr>
          <w:rFonts w:ascii="Open Sans" w:hAnsi="Open Sans"/>
          <w:sz w:val="18"/>
          <w:szCs w:val="18"/>
        </w:rPr>
        <w:t xml:space="preserve"> </w:t>
      </w:r>
      <w:hyperlink r:id="rId224" w:history="1">
        <w:r w:rsidRPr="0046282D">
          <w:rPr>
            <w:rStyle w:val="Hipervnculo"/>
            <w:rFonts w:ascii="Open Sans" w:hAnsi="Open Sans"/>
            <w:sz w:val="18"/>
            <w:szCs w:val="18"/>
          </w:rPr>
          <w:t>https://opencorporates.com/</w:t>
        </w:r>
      </w:hyperlink>
    </w:p>
  </w:footnote>
  <w:footnote w:id="305">
    <w:p w14:paraId="22BCCE2F" w14:textId="77777777" w:rsidR="007F55EB" w:rsidRPr="0046282D" w:rsidRDefault="007F55EB" w:rsidP="006E3A41">
      <w:pPr>
        <w:pStyle w:val="Textonotapie"/>
        <w:jc w:val="both"/>
        <w:rPr>
          <w:rFonts w:ascii="Open Sans" w:hAnsi="Open Sans"/>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Constan Sin Información, las empresas de las que no se ha localizado información en la web y documentos publicados por ArcelorMittal</w:t>
      </w:r>
    </w:p>
  </w:footnote>
  <w:footnote w:id="306">
    <w:p w14:paraId="403EB7C4" w14:textId="77777777" w:rsidR="007F55EB" w:rsidRPr="0046282D" w:rsidRDefault="007F55EB" w:rsidP="006E3A41">
      <w:pPr>
        <w:pStyle w:val="Textonotapie"/>
        <w:rPr>
          <w:rFonts w:ascii="Open Sans" w:hAnsi="Open Sans"/>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w:t>
      </w:r>
      <w:r w:rsidRPr="0046282D">
        <w:rPr>
          <w:rFonts w:ascii="Open Sans" w:hAnsi="Open Sans" w:cs="Open Sans"/>
          <w:color w:val="000000"/>
          <w:sz w:val="18"/>
          <w:szCs w:val="18"/>
        </w:rPr>
        <w:t xml:space="preserve">Se </w:t>
      </w:r>
      <w:hyperlink r:id="rId225" w:history="1">
        <w:r w:rsidRPr="0046282D">
          <w:rPr>
            <w:rStyle w:val="Hipervnculo"/>
            <w:rFonts w:ascii="Open Sans" w:hAnsi="Open Sans" w:cs="Open Sans"/>
            <w:sz w:val="18"/>
            <w:szCs w:val="18"/>
          </w:rPr>
          <w:t>anuncia</w:t>
        </w:r>
      </w:hyperlink>
      <w:r w:rsidRPr="0046282D">
        <w:rPr>
          <w:rFonts w:ascii="Open Sans" w:hAnsi="Open Sans" w:cs="Open Sans"/>
          <w:color w:val="000000"/>
          <w:sz w:val="18"/>
          <w:szCs w:val="18"/>
        </w:rPr>
        <w:t xml:space="preserve"> que para el ejercicio 2016 se publicará la información siguiendo el estándar “Total tax contribution”.</w:t>
      </w:r>
    </w:p>
  </w:footnote>
  <w:footnote w:id="307">
    <w:p w14:paraId="411CBA1D" w14:textId="77777777" w:rsidR="007F55EB" w:rsidRPr="0046282D" w:rsidRDefault="007F55EB" w:rsidP="006E3A41">
      <w:pPr>
        <w:pStyle w:val="Textonotapie"/>
        <w:rPr>
          <w:rFonts w:ascii="Open Sans" w:hAnsi="Open Sans"/>
          <w:sz w:val="18"/>
          <w:szCs w:val="18"/>
        </w:rPr>
      </w:pPr>
      <w:r w:rsidRPr="0046282D">
        <w:rPr>
          <w:rStyle w:val="Refdenotaalpie"/>
          <w:rFonts w:ascii="Open Sans" w:hAnsi="Open Sans"/>
          <w:sz w:val="18"/>
          <w:szCs w:val="18"/>
        </w:rPr>
        <w:footnoteRef/>
      </w:r>
      <w:r w:rsidRPr="0046282D">
        <w:rPr>
          <w:rFonts w:ascii="Open Sans" w:hAnsi="Open Sans"/>
          <w:sz w:val="18"/>
          <w:szCs w:val="18"/>
        </w:rPr>
        <w:t xml:space="preserve"> </w:t>
      </w:r>
      <w:hyperlink r:id="rId226" w:history="1">
        <w:r w:rsidRPr="0046282D">
          <w:rPr>
            <w:rStyle w:val="Hipervnculo"/>
            <w:rFonts w:ascii="Open Sans" w:hAnsi="Open Sans" w:cs="Open Sans"/>
            <w:sz w:val="18"/>
            <w:szCs w:val="18"/>
          </w:rPr>
          <w:t>http://www.agenciatributaria.es/AEAT.internet/Inicio/_Segmentos_/Empresas_y_profesionales/Foro_Grandes_Empresas/Codigo_de_Buenas_Practicas_Tributarias/Adhesiones_al_Codigo_de_Buenas_Practicas_Tributarias.shtml</w:t>
        </w:r>
      </w:hyperlink>
    </w:p>
  </w:footnote>
  <w:footnote w:id="308">
    <w:p w14:paraId="061CB132" w14:textId="77777777" w:rsidR="007F55EB" w:rsidRPr="00550F41" w:rsidRDefault="007F55EB" w:rsidP="006E3A41">
      <w:pPr>
        <w:pStyle w:val="PIePagina-Informe"/>
        <w:rPr>
          <w:sz w:val="18"/>
          <w:szCs w:val="18"/>
        </w:rPr>
      </w:pPr>
      <w:r w:rsidRPr="0046282D">
        <w:rPr>
          <w:rStyle w:val="Refdenotaalpie"/>
          <w:sz w:val="18"/>
          <w:szCs w:val="18"/>
        </w:rPr>
        <w:footnoteRef/>
      </w:r>
      <w:r w:rsidRPr="0046282D">
        <w:rPr>
          <w:sz w:val="18"/>
          <w:szCs w:val="18"/>
        </w:rPr>
        <w:t xml:space="preserve"> Formato 20-F, pág 131.</w:t>
      </w:r>
    </w:p>
  </w:footnote>
  <w:footnote w:id="309">
    <w:p w14:paraId="15C689A8" w14:textId="77777777" w:rsidR="007F55EB" w:rsidRPr="00550F41" w:rsidRDefault="007F55EB" w:rsidP="006E3A41">
      <w:pPr>
        <w:shd w:val="clear" w:color="auto" w:fill="FFFFFF"/>
        <w:rPr>
          <w:rFonts w:ascii="Open Sans" w:hAnsi="Open Sans" w:cs="Arial"/>
          <w:color w:val="222222"/>
          <w:sz w:val="18"/>
          <w:szCs w:val="18"/>
        </w:rPr>
      </w:pPr>
      <w:r w:rsidRPr="00550F41">
        <w:rPr>
          <w:rStyle w:val="Refdenotaalpie"/>
          <w:rFonts w:ascii="Open Sans" w:hAnsi="Open Sans"/>
          <w:sz w:val="18"/>
          <w:szCs w:val="18"/>
        </w:rPr>
        <w:footnoteRef/>
      </w:r>
      <w:r w:rsidRPr="00550F41">
        <w:rPr>
          <w:rFonts w:ascii="Open Sans" w:hAnsi="Open Sans"/>
          <w:sz w:val="18"/>
          <w:szCs w:val="18"/>
        </w:rPr>
        <w:t xml:space="preserve"> </w:t>
      </w:r>
      <w:hyperlink r:id="rId227" w:history="1">
        <w:r w:rsidRPr="00550F41">
          <w:rPr>
            <w:rStyle w:val="Hipervnculo"/>
            <w:rFonts w:ascii="Open Sans" w:hAnsi="Open Sans" w:cs="Arial"/>
            <w:sz w:val="18"/>
            <w:szCs w:val="18"/>
          </w:rPr>
          <w:t>https://www.mediapart.fr/en/journal/mot-cle/arcelormittal</w:t>
        </w:r>
      </w:hyperlink>
    </w:p>
  </w:footnote>
  <w:footnote w:id="310">
    <w:p w14:paraId="7C9BB83C" w14:textId="77777777" w:rsidR="007F55EB" w:rsidRPr="00550F41" w:rsidRDefault="007F55EB" w:rsidP="006E3A41">
      <w:pPr>
        <w:pStyle w:val="PIePagina-Informe"/>
        <w:rPr>
          <w:sz w:val="18"/>
          <w:szCs w:val="18"/>
        </w:rPr>
      </w:pPr>
      <w:r w:rsidRPr="00550F41">
        <w:rPr>
          <w:rStyle w:val="Refdenotaalpie"/>
          <w:sz w:val="18"/>
          <w:szCs w:val="18"/>
        </w:rPr>
        <w:footnoteRef/>
      </w:r>
      <w:r>
        <w:rPr>
          <w:sz w:val="18"/>
          <w:szCs w:val="18"/>
        </w:rPr>
        <w:t xml:space="preserve"> </w:t>
      </w:r>
      <w:hyperlink r:id="rId228" w:history="1">
        <w:r w:rsidRPr="00550F41">
          <w:rPr>
            <w:rStyle w:val="Hipervnculo"/>
            <w:sz w:val="18"/>
            <w:szCs w:val="18"/>
          </w:rPr>
          <w:t>http://ec.europa.eu/transparencyregister/public/consultation/displaylobbyist.do?id=23527541824-60</w:t>
        </w:r>
      </w:hyperlink>
      <w:r w:rsidRPr="00550F41">
        <w:rPr>
          <w:sz w:val="18"/>
          <w:szCs w:val="18"/>
        </w:rPr>
        <w:t xml:space="preserve"> </w:t>
      </w:r>
    </w:p>
  </w:footnote>
  <w:footnote w:id="311">
    <w:p w14:paraId="7CF7DD90" w14:textId="77777777" w:rsidR="007F55EB" w:rsidRPr="00946310" w:rsidRDefault="007F55EB" w:rsidP="006E3A41">
      <w:pPr>
        <w:pStyle w:val="PIePagina-Informe"/>
        <w:rPr>
          <w:sz w:val="16"/>
          <w:szCs w:val="16"/>
        </w:rPr>
      </w:pPr>
      <w:r w:rsidRPr="00550F41">
        <w:rPr>
          <w:rStyle w:val="Refdenotaalpie"/>
          <w:sz w:val="18"/>
          <w:szCs w:val="18"/>
        </w:rPr>
        <w:footnoteRef/>
      </w:r>
      <w:r w:rsidRPr="00550F41">
        <w:rPr>
          <w:sz w:val="18"/>
          <w:szCs w:val="18"/>
        </w:rPr>
        <w:t xml:space="preserve"> </w:t>
      </w:r>
      <w:hyperlink r:id="rId229" w:history="1">
        <w:r w:rsidRPr="00550F41">
          <w:rPr>
            <w:rStyle w:val="Hipervnculo"/>
            <w:sz w:val="18"/>
            <w:szCs w:val="18"/>
          </w:rPr>
          <w:t>http://soprweb.senate.gov/index.cfm?event=selectfields</w:t>
        </w:r>
      </w:hyperlink>
    </w:p>
  </w:footnote>
  <w:footnote w:id="312">
    <w:p w14:paraId="42D9BF09" w14:textId="77777777" w:rsidR="007F55EB" w:rsidRDefault="007F55EB" w:rsidP="00E32033">
      <w:pPr>
        <w:pStyle w:val="Textonotapie"/>
      </w:pPr>
      <w:r>
        <w:rPr>
          <w:rStyle w:val="Refdenotaalpie"/>
        </w:rPr>
        <w:footnoteRef/>
      </w:r>
      <w:r>
        <w:t xml:space="preserve"> </w:t>
      </w:r>
      <w:r w:rsidRPr="00DB3D89">
        <w:rPr>
          <w:rFonts w:ascii="Open Sans" w:hAnsi="Open Sans" w:cs="Open Sans"/>
          <w:sz w:val="16"/>
          <w:szCs w:val="16"/>
        </w:rPr>
        <w:t xml:space="preserve">Según se indica en el documento se trata de la versión aprobada por el Consejo de Administración de Ferrovial, S.A. de 29 de octubre de 2015 que incluye las modificaciones a los artículos 11, 12, 19, 23 y 26 aprobadas por el Consejo de Administración de 3 y 4 de mayo de 2016. Accesible desde: </w:t>
      </w:r>
      <w:hyperlink r:id="rId230" w:history="1">
        <w:r w:rsidRPr="00DB3D89">
          <w:rPr>
            <w:rStyle w:val="Hipervnculo"/>
            <w:rFonts w:ascii="Open Sans" w:hAnsi="Open Sans" w:cs="Open Sans"/>
            <w:sz w:val="16"/>
            <w:szCs w:val="16"/>
          </w:rPr>
          <w:t>http://www.ferrovial.com/wp-content/uploads/2014/06/Reglamento-del-Consejo-de-Administraci%C3%B3n-espa%C3%B1ol-04.05.2016.pdf</w:t>
        </w:r>
      </w:hyperlink>
      <w:r>
        <w:t xml:space="preserve"> </w:t>
      </w:r>
    </w:p>
  </w:footnote>
  <w:footnote w:id="313">
    <w:p w14:paraId="7BF43EBF"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r w:rsidRPr="006C0F89">
        <w:rPr>
          <w:rFonts w:ascii="Open Sans" w:hAnsi="Open Sans"/>
          <w:sz w:val="18"/>
          <w:szCs w:val="18"/>
        </w:rPr>
        <w:t xml:space="preserve"> </w:t>
      </w:r>
      <w:r w:rsidRPr="006C0F89">
        <w:rPr>
          <w:rFonts w:ascii="Open Sans" w:hAnsi="Open Sans" w:cs="Open Sans"/>
          <w:sz w:val="18"/>
          <w:szCs w:val="18"/>
        </w:rPr>
        <w:t>http://www.fcc.es/es/presencia-en-el-mundo</w:t>
      </w:r>
    </w:p>
  </w:footnote>
  <w:footnote w:id="314">
    <w:p w14:paraId="6418133B"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r w:rsidRPr="006C0F89">
        <w:rPr>
          <w:rFonts w:ascii="Open Sans" w:hAnsi="Open Sans"/>
          <w:sz w:val="18"/>
          <w:szCs w:val="18"/>
        </w:rPr>
        <w:t xml:space="preserve"> </w:t>
      </w:r>
      <w:r w:rsidRPr="006C0F89">
        <w:rPr>
          <w:rFonts w:ascii="Open Sans" w:hAnsi="Open Sans" w:cs="Open Sans"/>
          <w:sz w:val="18"/>
          <w:szCs w:val="18"/>
        </w:rPr>
        <w:t>FCC_Informe Anual_2015 Cuentas Anuales _ Grupo FCC consolidado _ Memoria consolidada. Página 109 de 137</w:t>
      </w:r>
    </w:p>
  </w:footnote>
  <w:footnote w:id="315">
    <w:p w14:paraId="0AA6A35E"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FCC en cifras. Página 5 de 6</w:t>
      </w:r>
    </w:p>
  </w:footnote>
  <w:footnote w:id="316">
    <w:p w14:paraId="35D5F3F6"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https://www.transparency.org/cpi2015/</w:t>
      </w:r>
    </w:p>
  </w:footnote>
  <w:footnote w:id="317">
    <w:p w14:paraId="6BFD01A7"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http://cincodias.com/cincodias/2015/02/10/economia/1423593528_946596.html</w:t>
      </w:r>
    </w:p>
  </w:footnote>
  <w:footnote w:id="318">
    <w:p w14:paraId="643542FA"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http://www.eldiario.es/cultura/tecnologia/privacidad/LuxLeaks-Revelacion-secretos-servicio-publico_0_515499332.html</w:t>
      </w:r>
    </w:p>
  </w:footnote>
  <w:footnote w:id="319">
    <w:p w14:paraId="6A574C75"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http://www.bancomundial.org/es/events/2016/04/29/winning-the-tax-wars-global-solutions-for-developing-countries</w:t>
      </w:r>
    </w:p>
  </w:footnote>
  <w:footnote w:id="320">
    <w:p w14:paraId="321D03F7" w14:textId="77777777" w:rsidR="007F55EB" w:rsidRPr="006C0F89" w:rsidRDefault="007F55EB" w:rsidP="00E32033">
      <w:pPr>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Informe de Gobierno Corporativo. Página 60 de 113</w:t>
      </w:r>
    </w:p>
  </w:footnote>
  <w:footnote w:id="321">
    <w:p w14:paraId="1E2DDDF2"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http://www.sustainability-indices.com/images/DJSI_Review_Presentation_09_2014_final.pdf</w:t>
      </w:r>
    </w:p>
  </w:footnote>
  <w:footnote w:id="322">
    <w:p w14:paraId="60A83DC4"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r w:rsidRPr="006C0F89">
        <w:rPr>
          <w:rFonts w:ascii="Open Sans" w:hAnsi="Open Sans"/>
          <w:sz w:val="18"/>
          <w:szCs w:val="18"/>
        </w:rPr>
        <w:t xml:space="preserve"> </w:t>
      </w:r>
      <w:r w:rsidRPr="006C0F89">
        <w:rPr>
          <w:rFonts w:ascii="Open Sans" w:hAnsi="Open Sans" w:cs="Open Sans"/>
          <w:sz w:val="18"/>
          <w:szCs w:val="18"/>
        </w:rPr>
        <w:t>http://www.taxjustice.net/about/who-we-are/</w:t>
      </w:r>
    </w:p>
  </w:footnote>
  <w:footnote w:id="323">
    <w:p w14:paraId="31567287"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hyperlink r:id="rId231" w:history="1">
        <w:r w:rsidRPr="006C0F89">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324">
    <w:p w14:paraId="5C747537"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I. Perfil del Grupo FCC. Página 3 de 6</w:t>
      </w:r>
    </w:p>
  </w:footnote>
  <w:footnote w:id="325">
    <w:p w14:paraId="7AC1A674"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http://economia.elpais.com/economia/2015/05/08/actualidad/1431079630_091473.html</w:t>
      </w:r>
    </w:p>
  </w:footnote>
  <w:footnote w:id="326">
    <w:p w14:paraId="721BAA6C"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r w:rsidRPr="006C0F89">
        <w:rPr>
          <w:rFonts w:ascii="Open Sans" w:hAnsi="Open Sans"/>
          <w:sz w:val="18"/>
          <w:szCs w:val="18"/>
        </w:rPr>
        <w:t xml:space="preserve"> </w:t>
      </w:r>
      <w:r w:rsidRPr="006C0F89">
        <w:rPr>
          <w:rFonts w:ascii="Open Sans" w:hAnsi="Open Sans" w:cs="Open Sans"/>
          <w:sz w:val="18"/>
          <w:szCs w:val="18"/>
        </w:rPr>
        <w:t>http://www.fcc.es/documents/21301/154414/Codigo+Etico+FCC.pdf</w:t>
      </w:r>
    </w:p>
  </w:footnote>
  <w:footnote w:id="327">
    <w:p w14:paraId="2A65DBDC" w14:textId="77777777" w:rsidR="007F55EB" w:rsidRPr="006C0F89" w:rsidRDefault="007F55EB" w:rsidP="00E32033">
      <w:pPr>
        <w:rPr>
          <w:rFonts w:ascii="Open Sans" w:hAnsi="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Informe de Gobierno Corporativo. Página 110 de 113</w:t>
      </w:r>
    </w:p>
  </w:footnote>
  <w:footnote w:id="328">
    <w:p w14:paraId="20B04CAF"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http://www.oecd.org/tax/beps/beps-about.htm</w:t>
      </w:r>
    </w:p>
  </w:footnote>
  <w:footnote w:id="329">
    <w:p w14:paraId="267A8D2C"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http://www.fcc.es/documents/21301/154414/Reglamento+del+Consejo+de+Administraci%C3%B3n.pdf/b9589aa1-cb5e-4b61-9d12-a3d1c981a1ca</w:t>
      </w:r>
    </w:p>
  </w:footnote>
  <w:footnote w:id="330">
    <w:p w14:paraId="4686A248"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Informe de Gobierno Corporativo. Página 60 de 113</w:t>
      </w:r>
    </w:p>
  </w:footnote>
  <w:footnote w:id="331">
    <w:p w14:paraId="360C8111"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http://www.agenciatributaria.es/static_files/AEAT/Contenidos_Comunes/La_Agencia_Tributaria/Segmentos_Usuarios/Empresas_y_profesionales/Foro_grandes_empresas/CBPT_publicacion_web_es_es.pdf</w:t>
      </w:r>
    </w:p>
  </w:footnote>
  <w:footnote w:id="332">
    <w:p w14:paraId="18C04C02"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r w:rsidRPr="006C0F89">
        <w:rPr>
          <w:rFonts w:ascii="Open Sans" w:hAnsi="Open Sans"/>
          <w:sz w:val="18"/>
          <w:szCs w:val="18"/>
        </w:rPr>
        <w:t xml:space="preserve"> </w:t>
      </w:r>
      <w:r w:rsidRPr="006C0F89">
        <w:rPr>
          <w:rFonts w:ascii="Open Sans" w:hAnsi="Open Sans" w:cs="Open Sans"/>
          <w:sz w:val="18"/>
          <w:szCs w:val="18"/>
        </w:rPr>
        <w:t>Página 37 de 68 del Informe Anual De Gobierno Corporativo De Las Sociedades Anónimas Cotizadas</w:t>
      </w:r>
    </w:p>
  </w:footnote>
  <w:footnote w:id="333">
    <w:p w14:paraId="2430B29C" w14:textId="77777777" w:rsidR="007F55EB" w:rsidRPr="006C0F89" w:rsidRDefault="007F55EB" w:rsidP="00E32033">
      <w:pPr>
        <w:pStyle w:val="Textonotapie"/>
        <w:rPr>
          <w:rFonts w:ascii="Open Sans" w:hAnsi="Open Sans"/>
          <w:sz w:val="18"/>
          <w:szCs w:val="18"/>
        </w:rPr>
      </w:pPr>
      <w:r w:rsidRPr="006C0F89">
        <w:rPr>
          <w:rStyle w:val="Refdenotaalpie"/>
          <w:rFonts w:ascii="Open Sans" w:hAnsi="Open Sans"/>
          <w:sz w:val="18"/>
          <w:szCs w:val="18"/>
        </w:rPr>
        <w:footnoteRef/>
      </w:r>
      <w:r w:rsidRPr="006C0F89">
        <w:rPr>
          <w:rFonts w:ascii="Open Sans" w:hAnsi="Open Sans"/>
          <w:sz w:val="18"/>
          <w:szCs w:val="18"/>
        </w:rPr>
        <w:t xml:space="preserve"> </w:t>
      </w:r>
      <w:r w:rsidRPr="006C0F89">
        <w:rPr>
          <w:rFonts w:ascii="Open Sans" w:hAnsi="Open Sans" w:cs="Open Sans"/>
          <w:sz w:val="18"/>
          <w:szCs w:val="18"/>
        </w:rPr>
        <w:t>FCC_Informe Anual_2015  Gestión del agua _ Actividad de FCC Aqualia. Página 3 de 3</w:t>
      </w:r>
    </w:p>
  </w:footnote>
  <w:footnote w:id="334">
    <w:p w14:paraId="7B40C1E4"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Cuentas Anuales _ Fomento de Construcciones y Contratas, S.A. _ Memoria individual. Página 31 de 65</w:t>
      </w:r>
    </w:p>
  </w:footnote>
  <w:footnote w:id="335">
    <w:p w14:paraId="7E5B4302"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Cuentas Anuales _ Grupo FCC consolidado _ Memoria consolidada. Página 81 de 137</w:t>
      </w:r>
    </w:p>
  </w:footnote>
  <w:footnote w:id="336">
    <w:p w14:paraId="0E26953F"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Cuentas Anuales _ Grupo FCC consolidado _ Memoria consolidada. Página 5 de 137</w:t>
      </w:r>
    </w:p>
  </w:footnote>
  <w:footnote w:id="337">
    <w:p w14:paraId="79384C8D"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http://europa.eu/rapid/press-release_IP-16-3471_es.htm</w:t>
      </w:r>
    </w:p>
  </w:footnote>
  <w:footnote w:id="338">
    <w:p w14:paraId="7FDDC60A"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http://www.expansion.com/blogs/garrigues/2016/02/01/medidas-europeas-contra-la-elusion.html</w:t>
      </w:r>
    </w:p>
  </w:footnote>
  <w:footnote w:id="339">
    <w:p w14:paraId="7A03618B" w14:textId="77777777" w:rsidR="007F55EB" w:rsidRPr="006C0F89" w:rsidRDefault="007F55EB" w:rsidP="00E32033">
      <w:pPr>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IV. Comportamiento ejemplar. Página 4 de 20</w:t>
      </w:r>
    </w:p>
    <w:p w14:paraId="6EC211B2" w14:textId="77777777" w:rsidR="007F55EB" w:rsidRPr="006C0F89" w:rsidRDefault="007F55EB" w:rsidP="00E32033">
      <w:pPr>
        <w:pStyle w:val="Textonotapie"/>
        <w:rPr>
          <w:rFonts w:ascii="Open Sans" w:hAnsi="Open Sans"/>
          <w:sz w:val="18"/>
          <w:szCs w:val="18"/>
        </w:rPr>
      </w:pPr>
    </w:p>
  </w:footnote>
  <w:footnote w:id="340">
    <w:p w14:paraId="46D5795D" w14:textId="1B4CE13A" w:rsidR="007F55EB" w:rsidRPr="00E32033" w:rsidRDefault="007F55EB" w:rsidP="00E32033">
      <w:pPr>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FCC_Informe Anual_2015 Informe de Gobierno Corporativo. Página 110 de 113</w:t>
      </w:r>
    </w:p>
  </w:footnote>
  <w:footnote w:id="341">
    <w:p w14:paraId="069DB5DD" w14:textId="77777777" w:rsidR="007F55EB" w:rsidRPr="006C0F89" w:rsidRDefault="007F55EB" w:rsidP="00E32033">
      <w:pPr>
        <w:pStyle w:val="Textonotapie"/>
        <w:rPr>
          <w:rFonts w:ascii="Open Sans" w:hAnsi="Open Sans" w:cs="Open Sans"/>
          <w:sz w:val="18"/>
          <w:szCs w:val="18"/>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http://www.oecd.org/ctp/beps/</w:t>
      </w:r>
    </w:p>
  </w:footnote>
  <w:footnote w:id="342">
    <w:p w14:paraId="6B5680ED" w14:textId="77777777" w:rsidR="007F55EB" w:rsidRPr="00A35EA9" w:rsidRDefault="007F55EB" w:rsidP="00E32033">
      <w:pPr>
        <w:pStyle w:val="Textonotapie"/>
        <w:rPr>
          <w:rFonts w:ascii="Open Sans" w:hAnsi="Open Sans" w:cs="Open Sans"/>
          <w:sz w:val="16"/>
          <w:szCs w:val="16"/>
        </w:rPr>
      </w:pPr>
      <w:r w:rsidRPr="006C0F89">
        <w:rPr>
          <w:rStyle w:val="Refdenotaalpie"/>
          <w:rFonts w:ascii="Open Sans" w:hAnsi="Open Sans" w:cs="Open Sans"/>
          <w:sz w:val="18"/>
          <w:szCs w:val="18"/>
        </w:rPr>
        <w:footnoteRef/>
      </w:r>
      <w:r w:rsidRPr="006C0F89">
        <w:rPr>
          <w:rFonts w:ascii="Open Sans" w:hAnsi="Open Sans" w:cs="Open Sans"/>
          <w:sz w:val="18"/>
          <w:szCs w:val="18"/>
        </w:rPr>
        <w:t xml:space="preserve"> http://www.oecd.org/tax/beps/country-by-country-reporting.htm</w:t>
      </w:r>
    </w:p>
  </w:footnote>
  <w:footnote w:id="343">
    <w:p w14:paraId="4762A408" w14:textId="2BF42B01" w:rsidR="007F55EB" w:rsidRPr="00D639E4" w:rsidRDefault="007F55EB" w:rsidP="00D639E4">
      <w:pPr>
        <w:rPr>
          <w:rFonts w:ascii="Open Sans" w:hAnsi="Open Sans"/>
          <w:bC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2" w:history="1">
        <w:r w:rsidRPr="00D639E4">
          <w:rPr>
            <w:rStyle w:val="Hipervnculo"/>
            <w:rFonts w:ascii="Open Sans" w:hAnsi="Open Sans"/>
            <w:bCs/>
            <w:sz w:val="18"/>
            <w:szCs w:val="18"/>
          </w:rPr>
          <w:t>Evasión fiscal, 'la cruz' que cargan las constructoras</w:t>
        </w:r>
      </w:hyperlink>
      <w:r>
        <w:rPr>
          <w:rFonts w:ascii="Open Sans" w:hAnsi="Open Sans"/>
          <w:bCs/>
          <w:sz w:val="18"/>
          <w:szCs w:val="18"/>
        </w:rPr>
        <w:t>.</w:t>
      </w:r>
      <w:r w:rsidRPr="00D639E4">
        <w:rPr>
          <w:rFonts w:ascii="Open Sans" w:hAnsi="Open Sans"/>
          <w:sz w:val="18"/>
          <w:szCs w:val="18"/>
        </w:rPr>
        <w:t xml:space="preserve"> </w:t>
      </w:r>
      <w:hyperlink r:id="rId233" w:history="1">
        <w:r w:rsidRPr="00D639E4">
          <w:rPr>
            <w:rStyle w:val="Hipervnculo"/>
            <w:rFonts w:ascii="Open Sans" w:hAnsi="Open Sans"/>
            <w:sz w:val="18"/>
            <w:szCs w:val="18"/>
          </w:rPr>
          <w:t>Estudio de evasión fiscal en el sector de la construcción 2002-2010</w:t>
        </w:r>
      </w:hyperlink>
      <w:r w:rsidRPr="00D639E4">
        <w:rPr>
          <w:rFonts w:ascii="Open Sans" w:hAnsi="Open Sans"/>
          <w:sz w:val="18"/>
          <w:szCs w:val="18"/>
        </w:rPr>
        <w:t xml:space="preserve">. </w:t>
      </w:r>
    </w:p>
  </w:footnote>
  <w:footnote w:id="344">
    <w:p w14:paraId="2E3B9F66" w14:textId="77777777" w:rsidR="007F55EB" w:rsidRPr="00D639E4" w:rsidRDefault="007F55EB" w:rsidP="00D639E4">
      <w:pPr>
        <w:rPr>
          <w:rFonts w:ascii="Open Sans" w:hAnsi="Open Sans"/>
          <w:bC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4" w:history="1">
        <w:r w:rsidRPr="00D639E4">
          <w:rPr>
            <w:rStyle w:val="Hipervnculo"/>
            <w:rFonts w:ascii="Open Sans" w:hAnsi="Open Sans"/>
            <w:bCs/>
            <w:sz w:val="18"/>
            <w:szCs w:val="18"/>
          </w:rPr>
          <w:t>Las agencias tributarias de España y Portugal firman un acuerdo para combatir fraude y evasión fiscal</w:t>
        </w:r>
      </w:hyperlink>
    </w:p>
  </w:footnote>
  <w:footnote w:id="345">
    <w:p w14:paraId="405ED363" w14:textId="77777777" w:rsidR="007F55EB" w:rsidRPr="00D639E4" w:rsidRDefault="007F55EB" w:rsidP="00D639E4">
      <w:pPr>
        <w:rPr>
          <w:rFonts w:ascii="Open Sans" w:hAnsi="Open Sans"/>
          <w:bC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5" w:history="1">
        <w:r w:rsidRPr="00D639E4">
          <w:rPr>
            <w:rStyle w:val="Hipervnculo"/>
            <w:rFonts w:ascii="Open Sans" w:hAnsi="Open Sans"/>
            <w:bCs/>
            <w:sz w:val="18"/>
            <w:szCs w:val="18"/>
          </w:rPr>
          <w:t>¿Quiénes son los líderes de la obra pública en España?</w:t>
        </w:r>
      </w:hyperlink>
    </w:p>
  </w:footnote>
  <w:footnote w:id="346">
    <w:p w14:paraId="10E053CF" w14:textId="77777777" w:rsidR="007F55EB" w:rsidRPr="00D639E4" w:rsidRDefault="007F55EB" w:rsidP="00D639E4">
      <w:pPr>
        <w:rPr>
          <w:rFonts w:ascii="Open Sans" w:hAnsi="Open San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6" w:history="1">
        <w:r w:rsidRPr="00D639E4">
          <w:rPr>
            <w:rStyle w:val="Hipervnculo"/>
            <w:rFonts w:ascii="Open Sans" w:hAnsi="Open Sans"/>
            <w:sz w:val="18"/>
            <w:szCs w:val="18"/>
          </w:rPr>
          <w:t>Índice de percepción de la corrupción 2015. Transparencia Internacional</w:t>
        </w:r>
      </w:hyperlink>
      <w:r w:rsidRPr="00D639E4">
        <w:rPr>
          <w:rFonts w:ascii="Open Sans" w:hAnsi="Open Sans"/>
          <w:sz w:val="18"/>
          <w:szCs w:val="18"/>
        </w:rPr>
        <w:t xml:space="preserve"> </w:t>
      </w:r>
    </w:p>
  </w:footnote>
  <w:footnote w:id="347">
    <w:p w14:paraId="08FBF3AF" w14:textId="77777777" w:rsidR="007F55EB" w:rsidRPr="00D639E4" w:rsidRDefault="007F55EB" w:rsidP="00D639E4">
      <w:pPr>
        <w:rPr>
          <w:rFonts w:ascii="Open Sans" w:hAnsi="Open San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7" w:history="1">
        <w:r w:rsidRPr="00D639E4">
          <w:rPr>
            <w:rStyle w:val="Hipervnculo"/>
            <w:rFonts w:ascii="Open Sans" w:hAnsi="Open Sans"/>
            <w:sz w:val="18"/>
            <w:szCs w:val="18"/>
          </w:rPr>
          <w:t>Plan de prevención del fraude fiscal</w:t>
        </w:r>
      </w:hyperlink>
      <w:r w:rsidRPr="00D639E4">
        <w:rPr>
          <w:rFonts w:ascii="Open Sans" w:hAnsi="Open Sans"/>
          <w:sz w:val="18"/>
          <w:szCs w:val="18"/>
        </w:rPr>
        <w:t xml:space="preserve">. Agencia Tributaria </w:t>
      </w:r>
    </w:p>
  </w:footnote>
  <w:footnote w:id="348">
    <w:p w14:paraId="44C03EFD" w14:textId="77777777" w:rsidR="007F55EB" w:rsidRPr="00D639E4" w:rsidRDefault="007F55EB" w:rsidP="00D639E4">
      <w:pPr>
        <w:rPr>
          <w:rFonts w:ascii="Open Sans" w:hAnsi="Open Sans"/>
          <w:b/>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8" w:history="1">
        <w:r w:rsidRPr="00D639E4">
          <w:rPr>
            <w:rStyle w:val="Hipervnculo"/>
            <w:rFonts w:ascii="Open Sans" w:hAnsi="Open Sans"/>
            <w:sz w:val="18"/>
            <w:szCs w:val="18"/>
          </w:rPr>
          <w:t>Informe de la Dirección General de Tributos, de 23 de diciembre de 2014, sobre la vigencia de la lista actual de paraísos fiscales respecto a la entrada en vigor de la disposición final segunda de la Ley 26/2014</w:t>
        </w:r>
      </w:hyperlink>
    </w:p>
  </w:footnote>
  <w:footnote w:id="349">
    <w:p w14:paraId="1E3D5584" w14:textId="77777777" w:rsidR="007F55EB" w:rsidRPr="00D639E4" w:rsidRDefault="007F55EB" w:rsidP="00D639E4">
      <w:pPr>
        <w:rPr>
          <w:rFonts w:ascii="Open Sans" w:hAnsi="Open Sans"/>
          <w:lang w:val="en-GB"/>
        </w:rPr>
      </w:pPr>
      <w:r w:rsidRPr="00D639E4">
        <w:rPr>
          <w:rStyle w:val="Refdenotaalpie"/>
          <w:rFonts w:ascii="Open Sans" w:hAnsi="Open Sans"/>
          <w:sz w:val="18"/>
          <w:szCs w:val="18"/>
        </w:rPr>
        <w:footnoteRef/>
      </w:r>
      <w:r w:rsidRPr="00D639E4">
        <w:rPr>
          <w:rFonts w:ascii="Open Sans" w:hAnsi="Open Sans"/>
          <w:sz w:val="18"/>
          <w:szCs w:val="18"/>
          <w:lang w:val="en-GB"/>
        </w:rPr>
        <w:t xml:space="preserve"> Tax Justice Network. </w:t>
      </w:r>
      <w:proofErr w:type="gramStart"/>
      <w:r w:rsidRPr="00D639E4">
        <w:rPr>
          <w:rFonts w:ascii="Open Sans" w:hAnsi="Open Sans"/>
          <w:sz w:val="18"/>
          <w:szCs w:val="18"/>
          <w:lang w:val="en-GB"/>
        </w:rPr>
        <w:t>Financial Secrecy Index - 2015 Results.</w:t>
      </w:r>
      <w:proofErr w:type="gramEnd"/>
      <w:r w:rsidRPr="00D639E4">
        <w:rPr>
          <w:rFonts w:ascii="Open Sans" w:hAnsi="Open Sans"/>
          <w:lang w:val="en-GB"/>
        </w:rPr>
        <w:t xml:space="preserve"> </w:t>
      </w:r>
    </w:p>
  </w:footnote>
  <w:footnote w:id="350">
    <w:p w14:paraId="3206681E" w14:textId="77777777" w:rsidR="007F55EB" w:rsidRPr="00D639E4" w:rsidRDefault="007F55EB" w:rsidP="00D639E4">
      <w:pPr>
        <w:rPr>
          <w:rFonts w:ascii="Open Sans" w:hAnsi="Open San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Opencorporate.com</w:t>
      </w:r>
    </w:p>
  </w:footnote>
  <w:footnote w:id="351">
    <w:p w14:paraId="3AD52575" w14:textId="77777777" w:rsidR="007F55EB" w:rsidRPr="00D639E4" w:rsidRDefault="007F55EB" w:rsidP="00D639E4">
      <w:pPr>
        <w:rPr>
          <w:rFonts w:ascii="Open Sans" w:hAnsi="Open Sans"/>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39" w:history="1">
        <w:r w:rsidRPr="00D639E4">
          <w:rPr>
            <w:rStyle w:val="Hipervnculo"/>
            <w:rFonts w:ascii="Open Sans" w:hAnsi="Open Sans"/>
            <w:sz w:val="18"/>
            <w:szCs w:val="18"/>
          </w:rPr>
          <w:t>Villar Mir tiene en Luxemburgo cinco firmas con activos por 1.100 millones</w:t>
        </w:r>
      </w:hyperlink>
    </w:p>
  </w:footnote>
  <w:footnote w:id="352">
    <w:p w14:paraId="1E0ADC30" w14:textId="77777777" w:rsidR="007F55EB" w:rsidRPr="00992212" w:rsidRDefault="007F55EB" w:rsidP="00D639E4">
      <w:pPr>
        <w:rPr>
          <w:sz w:val="18"/>
          <w:szCs w:val="18"/>
        </w:rPr>
      </w:pPr>
      <w:r w:rsidRPr="00D639E4">
        <w:rPr>
          <w:rStyle w:val="Refdenotaalpie"/>
          <w:rFonts w:ascii="Open Sans" w:hAnsi="Open Sans"/>
          <w:sz w:val="18"/>
          <w:szCs w:val="18"/>
        </w:rPr>
        <w:footnoteRef/>
      </w:r>
      <w:r w:rsidRPr="00D639E4">
        <w:rPr>
          <w:rFonts w:ascii="Open Sans" w:hAnsi="Open Sans"/>
          <w:sz w:val="18"/>
          <w:szCs w:val="18"/>
        </w:rPr>
        <w:t xml:space="preserve"> </w:t>
      </w:r>
      <w:hyperlink r:id="rId240" w:history="1">
        <w:r w:rsidRPr="00D639E4">
          <w:rPr>
            <w:rStyle w:val="Hipervnculo"/>
            <w:rFonts w:ascii="Open Sans" w:hAnsi="Open Sans"/>
            <w:sz w:val="18"/>
            <w:szCs w:val="18"/>
          </w:rPr>
          <w:t>http://www.eldiario.es/economia/Villar-Mir-CEO-OHL-Mauricio_0_576042961.html</w:t>
        </w:r>
      </w:hyperlink>
    </w:p>
  </w:footnote>
  <w:footnote w:id="353">
    <w:p w14:paraId="62945270" w14:textId="77777777" w:rsidR="007F55EB" w:rsidRPr="00465BBA" w:rsidRDefault="007F55EB" w:rsidP="004F7C2D">
      <w:pPr>
        <w:pStyle w:val="Textonotapie"/>
        <w:rPr>
          <w:rFonts w:ascii="Open Sans" w:hAnsi="Open Sans"/>
          <w:sz w:val="18"/>
          <w:szCs w:val="18"/>
          <w:lang w:val="es-ES_tradnl"/>
        </w:rPr>
      </w:pPr>
      <w:r w:rsidRPr="00465BBA">
        <w:rPr>
          <w:rStyle w:val="Refdenotaalpie"/>
          <w:rFonts w:ascii="Open Sans" w:hAnsi="Open Sans"/>
          <w:sz w:val="18"/>
          <w:szCs w:val="18"/>
        </w:rPr>
        <w:footnoteRef/>
      </w:r>
      <w:r w:rsidRPr="00465BBA">
        <w:rPr>
          <w:rFonts w:ascii="Open Sans" w:hAnsi="Open Sans"/>
          <w:sz w:val="18"/>
          <w:szCs w:val="18"/>
        </w:rPr>
        <w:t xml:space="preserve"> </w:t>
      </w:r>
      <w:r>
        <w:rPr>
          <w:rFonts w:ascii="Open Sans" w:hAnsi="Open Sans"/>
          <w:sz w:val="18"/>
          <w:szCs w:val="18"/>
        </w:rPr>
        <w:t>Sobre e</w:t>
      </w:r>
      <w:r w:rsidRPr="00465BBA">
        <w:rPr>
          <w:rFonts w:ascii="Open Sans" w:hAnsi="Open Sans"/>
          <w:sz w:val="18"/>
          <w:szCs w:val="18"/>
        </w:rPr>
        <w:t>l estado de este y otros procesos abiertos sobre esta cuestión</w:t>
      </w:r>
      <w:r>
        <w:rPr>
          <w:rFonts w:ascii="Open Sans" w:hAnsi="Open Sans"/>
          <w:sz w:val="18"/>
          <w:szCs w:val="18"/>
        </w:rPr>
        <w:t>,</w:t>
      </w:r>
      <w:r w:rsidRPr="00465BBA">
        <w:rPr>
          <w:rFonts w:ascii="Open Sans" w:hAnsi="Open Sans"/>
          <w:sz w:val="18"/>
          <w:szCs w:val="18"/>
        </w:rPr>
        <w:t xml:space="preserve"> la empresa aporta información completa en el informe económico 2015, págs. 141 y 142.</w:t>
      </w:r>
    </w:p>
  </w:footnote>
  <w:footnote w:id="354">
    <w:p w14:paraId="6F2B8E2B" w14:textId="77777777" w:rsidR="007F55EB" w:rsidRPr="00417873" w:rsidRDefault="007F55EB" w:rsidP="004F7C2D">
      <w:pPr>
        <w:pStyle w:val="Textonotapie"/>
        <w:rPr>
          <w:rFonts w:ascii="Open Sans" w:hAnsi="Open Sans"/>
          <w:bCs/>
          <w:sz w:val="18"/>
          <w:szCs w:val="18"/>
          <w:lang w:val="es-ES_tradnl"/>
        </w:rPr>
      </w:pPr>
      <w:r w:rsidRPr="00417873">
        <w:rPr>
          <w:rStyle w:val="Refdenotaalpie"/>
          <w:rFonts w:ascii="Open Sans" w:hAnsi="Open Sans"/>
          <w:sz w:val="18"/>
          <w:szCs w:val="18"/>
        </w:rPr>
        <w:footnoteRef/>
      </w:r>
      <w:r w:rsidRPr="00417873">
        <w:rPr>
          <w:rFonts w:ascii="Open Sans" w:hAnsi="Open Sans"/>
          <w:sz w:val="18"/>
          <w:szCs w:val="18"/>
        </w:rPr>
        <w:t xml:space="preserve"> </w:t>
      </w:r>
      <w:hyperlink r:id="rId241" w:history="1">
        <w:r w:rsidRPr="00417873">
          <w:rPr>
            <w:rStyle w:val="Hipervnculo"/>
            <w:rFonts w:ascii="Open Sans" w:hAnsi="Open Sans"/>
            <w:bCs/>
            <w:sz w:val="18"/>
            <w:szCs w:val="18"/>
            <w:lang w:val="es-ES_tradnl"/>
          </w:rPr>
          <w:t>Evasión fiscal, 'la cruz' que cargan las constructoras</w:t>
        </w:r>
      </w:hyperlink>
    </w:p>
    <w:p w14:paraId="74F9EEA5" w14:textId="77777777" w:rsidR="007F55EB" w:rsidRDefault="007F55EB" w:rsidP="004F7C2D">
      <w:pPr>
        <w:pStyle w:val="Textonotapie"/>
      </w:pPr>
      <w:r w:rsidRPr="00417873">
        <w:rPr>
          <w:rFonts w:ascii="Open Sans" w:hAnsi="Open Sans"/>
          <w:sz w:val="18"/>
          <w:szCs w:val="18"/>
        </w:rPr>
        <w:t xml:space="preserve"> </w:t>
      </w:r>
      <w:hyperlink r:id="rId242" w:history="1">
        <w:r w:rsidRPr="00417873">
          <w:rPr>
            <w:rStyle w:val="Hipervnculo"/>
            <w:rFonts w:ascii="Open Sans" w:hAnsi="Open Sans"/>
            <w:sz w:val="18"/>
            <w:szCs w:val="18"/>
          </w:rPr>
          <w:t>Estudio de evasión fiscal en el sector de la construcción 2002-2010</w:t>
        </w:r>
      </w:hyperlink>
      <w:r>
        <w:t xml:space="preserve">. </w:t>
      </w:r>
    </w:p>
  </w:footnote>
  <w:footnote w:id="355">
    <w:p w14:paraId="334526DB" w14:textId="77777777" w:rsidR="007F55EB" w:rsidRPr="00417873" w:rsidRDefault="007F55EB" w:rsidP="004F7C2D">
      <w:pPr>
        <w:pStyle w:val="Textonotapie"/>
        <w:rPr>
          <w:rFonts w:ascii="Open Sans" w:hAnsi="Open Sans"/>
          <w:bCs/>
          <w:sz w:val="18"/>
          <w:szCs w:val="18"/>
          <w:lang w:val="es-ES_tradnl"/>
        </w:rPr>
      </w:pPr>
      <w:r w:rsidRPr="00417873">
        <w:rPr>
          <w:rStyle w:val="Refdenotaalpie"/>
          <w:rFonts w:ascii="Open Sans" w:hAnsi="Open Sans"/>
          <w:sz w:val="18"/>
          <w:szCs w:val="18"/>
        </w:rPr>
        <w:footnoteRef/>
      </w:r>
      <w:r w:rsidRPr="00417873">
        <w:rPr>
          <w:rFonts w:ascii="Open Sans" w:hAnsi="Open Sans"/>
          <w:sz w:val="18"/>
          <w:szCs w:val="18"/>
        </w:rPr>
        <w:t xml:space="preserve"> </w:t>
      </w:r>
      <w:hyperlink r:id="rId243" w:history="1">
        <w:r w:rsidRPr="00417873">
          <w:rPr>
            <w:rStyle w:val="Hipervnculo"/>
            <w:rFonts w:ascii="Open Sans" w:hAnsi="Open Sans"/>
            <w:bCs/>
            <w:sz w:val="18"/>
            <w:szCs w:val="18"/>
            <w:lang w:val="es-ES_tradnl"/>
          </w:rPr>
          <w:t>Las agencias tributarias de España y Portugal firman un acuerdo para combatir fraude y evasión fiscal</w:t>
        </w:r>
      </w:hyperlink>
    </w:p>
  </w:footnote>
  <w:footnote w:id="356">
    <w:p w14:paraId="7EF05D39" w14:textId="77777777" w:rsidR="007F55EB" w:rsidRPr="00D75299" w:rsidRDefault="007F55EB" w:rsidP="004F7C2D">
      <w:pPr>
        <w:pStyle w:val="Textonotapie"/>
        <w:rPr>
          <w:rFonts w:ascii="Open Sans" w:hAnsi="Open Sans"/>
          <w:bCs/>
          <w:sz w:val="18"/>
          <w:szCs w:val="18"/>
          <w:lang w:val="es-ES_tradnl"/>
        </w:rPr>
      </w:pPr>
      <w:r w:rsidRPr="006D0B02">
        <w:rPr>
          <w:rStyle w:val="Refdenotaalpie"/>
          <w:rFonts w:ascii="Open Sans" w:hAnsi="Open Sans"/>
          <w:sz w:val="18"/>
          <w:szCs w:val="18"/>
        </w:rPr>
        <w:footnoteRef/>
      </w:r>
      <w:r w:rsidRPr="006D0B02">
        <w:rPr>
          <w:rFonts w:ascii="Open Sans" w:hAnsi="Open Sans"/>
          <w:sz w:val="18"/>
          <w:szCs w:val="18"/>
        </w:rPr>
        <w:t xml:space="preserve"> </w:t>
      </w:r>
      <w:hyperlink r:id="rId244" w:history="1">
        <w:r w:rsidRPr="006D0B02">
          <w:rPr>
            <w:rStyle w:val="Hipervnculo"/>
            <w:rFonts w:ascii="Open Sans" w:hAnsi="Open Sans"/>
            <w:bCs/>
            <w:sz w:val="18"/>
            <w:szCs w:val="18"/>
            <w:lang w:val="es-ES_tradnl"/>
          </w:rPr>
          <w:t>¿Quiénes son los líderes de la obra pública en España?</w:t>
        </w:r>
      </w:hyperlink>
    </w:p>
  </w:footnote>
  <w:footnote w:id="357">
    <w:p w14:paraId="6635405A" w14:textId="77777777" w:rsidR="007F55EB" w:rsidRPr="00D75299" w:rsidRDefault="007F55EB" w:rsidP="004F7C2D">
      <w:pPr>
        <w:pStyle w:val="Textonotapie"/>
        <w:rPr>
          <w:rFonts w:ascii="Open Sans" w:hAnsi="Open Sans"/>
          <w:sz w:val="18"/>
          <w:szCs w:val="18"/>
        </w:rPr>
      </w:pPr>
      <w:r w:rsidRPr="00D75299">
        <w:rPr>
          <w:rStyle w:val="Refdenotaalpie"/>
          <w:rFonts w:ascii="Open Sans" w:hAnsi="Open Sans"/>
          <w:sz w:val="18"/>
          <w:szCs w:val="18"/>
        </w:rPr>
        <w:footnoteRef/>
      </w:r>
      <w:r w:rsidRPr="00D75299">
        <w:rPr>
          <w:rFonts w:ascii="Open Sans" w:hAnsi="Open Sans"/>
          <w:sz w:val="18"/>
          <w:szCs w:val="18"/>
        </w:rPr>
        <w:t xml:space="preserve"> </w:t>
      </w:r>
      <w:hyperlink r:id="rId245" w:history="1">
        <w:r w:rsidRPr="00D75299">
          <w:rPr>
            <w:rStyle w:val="Hipervnculo"/>
            <w:rFonts w:ascii="Open Sans" w:hAnsi="Open Sans"/>
            <w:sz w:val="18"/>
            <w:szCs w:val="18"/>
          </w:rPr>
          <w:t>Índice de percepción de la corrupción 2015. Transparencia Internacional</w:t>
        </w:r>
      </w:hyperlink>
      <w:r w:rsidRPr="00D75299">
        <w:rPr>
          <w:rFonts w:ascii="Open Sans" w:hAnsi="Open Sans"/>
          <w:sz w:val="18"/>
          <w:szCs w:val="18"/>
        </w:rPr>
        <w:t xml:space="preserve"> </w:t>
      </w:r>
    </w:p>
  </w:footnote>
  <w:footnote w:id="358">
    <w:p w14:paraId="23F2A539" w14:textId="77777777" w:rsidR="007F55EB" w:rsidRPr="00D75299" w:rsidRDefault="007F55EB" w:rsidP="004F7C2D">
      <w:pPr>
        <w:pStyle w:val="Textonotapie"/>
        <w:rPr>
          <w:rFonts w:ascii="Open Sans" w:hAnsi="Open Sans"/>
          <w:sz w:val="18"/>
          <w:szCs w:val="18"/>
        </w:rPr>
      </w:pPr>
      <w:r w:rsidRPr="00D75299">
        <w:rPr>
          <w:rStyle w:val="Refdenotaalpie"/>
          <w:rFonts w:ascii="Open Sans" w:hAnsi="Open Sans"/>
          <w:sz w:val="18"/>
          <w:szCs w:val="18"/>
        </w:rPr>
        <w:footnoteRef/>
      </w:r>
      <w:r w:rsidRPr="00D75299">
        <w:rPr>
          <w:rFonts w:ascii="Open Sans" w:hAnsi="Open Sans"/>
          <w:sz w:val="18"/>
          <w:szCs w:val="18"/>
        </w:rPr>
        <w:t xml:space="preserve"> </w:t>
      </w:r>
      <w:hyperlink r:id="rId246" w:history="1">
        <w:r w:rsidRPr="00D75299">
          <w:rPr>
            <w:rStyle w:val="Hipervnculo"/>
            <w:rFonts w:ascii="Open Sans" w:hAnsi="Open Sans"/>
            <w:sz w:val="18"/>
            <w:szCs w:val="18"/>
          </w:rPr>
          <w:t>Plan de prevención del fraude fiscal</w:t>
        </w:r>
      </w:hyperlink>
      <w:r w:rsidRPr="00D75299">
        <w:rPr>
          <w:rFonts w:ascii="Open Sans" w:hAnsi="Open Sans"/>
          <w:sz w:val="18"/>
          <w:szCs w:val="18"/>
        </w:rPr>
        <w:t xml:space="preserve">. Agencia Tributaria </w:t>
      </w:r>
    </w:p>
  </w:footnote>
  <w:footnote w:id="359">
    <w:p w14:paraId="2EB93E18" w14:textId="77777777" w:rsidR="007F55EB" w:rsidRPr="00C75AFB" w:rsidRDefault="007F55EB" w:rsidP="004F7C2D">
      <w:pPr>
        <w:pStyle w:val="Textonotapie"/>
        <w:rPr>
          <w:rFonts w:ascii="Open Sans" w:hAnsi="Open Sans"/>
          <w:sz w:val="18"/>
          <w:szCs w:val="18"/>
        </w:rPr>
      </w:pPr>
      <w:r w:rsidRPr="00C75AFB">
        <w:rPr>
          <w:rStyle w:val="Refdenotaalpie"/>
          <w:rFonts w:ascii="Open Sans" w:hAnsi="Open Sans"/>
          <w:sz w:val="18"/>
          <w:szCs w:val="18"/>
        </w:rPr>
        <w:footnoteRef/>
      </w:r>
      <w:r w:rsidRPr="00C75AFB">
        <w:rPr>
          <w:rFonts w:ascii="Open Sans" w:hAnsi="Open Sans"/>
          <w:sz w:val="18"/>
          <w:szCs w:val="18"/>
        </w:rPr>
        <w:t xml:space="preserve"> </w:t>
      </w:r>
      <w:hyperlink r:id="rId247" w:history="1">
        <w:r w:rsidRPr="00C75AFB">
          <w:rPr>
            <w:rStyle w:val="Hipervnculo"/>
            <w:rFonts w:ascii="Open Sans" w:hAnsi="Open Sans"/>
            <w:sz w:val="18"/>
            <w:szCs w:val="18"/>
          </w:rPr>
          <w:t>http://www.sustainability-indices.com/images/DJSI_Review_Presentation_09_2014_final.pdf</w:t>
        </w:r>
      </w:hyperlink>
    </w:p>
    <w:p w14:paraId="138FF603" w14:textId="77777777" w:rsidR="007F55EB" w:rsidRPr="00C75AFB" w:rsidRDefault="007F55EB" w:rsidP="004F7C2D">
      <w:pPr>
        <w:pStyle w:val="Textonotapie"/>
        <w:rPr>
          <w:rFonts w:ascii="Open Sans" w:hAnsi="Open Sans"/>
          <w:sz w:val="18"/>
          <w:szCs w:val="18"/>
        </w:rPr>
      </w:pPr>
      <w:hyperlink r:id="rId248" w:history="1">
        <w:r w:rsidRPr="00C75AFB">
          <w:rPr>
            <w:rStyle w:val="Hipervnculo"/>
            <w:rFonts w:ascii="Open Sans" w:hAnsi="Open Sans"/>
            <w:sz w:val="18"/>
            <w:szCs w:val="18"/>
          </w:rPr>
          <w:t>http://www.ftse.com/products/downloads/F4G-Index-Inclusion-Rules.pdf</w:t>
        </w:r>
      </w:hyperlink>
    </w:p>
  </w:footnote>
  <w:footnote w:id="360">
    <w:p w14:paraId="14DD9C05" w14:textId="77777777" w:rsidR="007F55EB" w:rsidRPr="00865A99" w:rsidRDefault="007F55EB" w:rsidP="004F7C2D">
      <w:pPr>
        <w:pStyle w:val="Textonotapie"/>
        <w:jc w:val="both"/>
        <w:rPr>
          <w:rFonts w:ascii="Open Sans" w:hAnsi="Open Sans"/>
          <w:b/>
          <w:sz w:val="18"/>
          <w:szCs w:val="18"/>
          <w:lang w:val="es-ES_tradnl"/>
        </w:rPr>
      </w:pPr>
      <w:r w:rsidRPr="00865A99">
        <w:rPr>
          <w:rStyle w:val="Refdenotaalpie"/>
          <w:rFonts w:ascii="Open Sans" w:hAnsi="Open Sans" w:cs="Open Sans"/>
          <w:sz w:val="18"/>
          <w:szCs w:val="18"/>
        </w:rPr>
        <w:footnoteRef/>
      </w:r>
      <w:r w:rsidRPr="00865A99">
        <w:rPr>
          <w:rFonts w:ascii="Open Sans" w:hAnsi="Open Sans"/>
          <w:sz w:val="18"/>
          <w:szCs w:val="18"/>
        </w:rPr>
        <w:t xml:space="preserve"> </w:t>
      </w:r>
      <w:hyperlink r:id="rId249" w:history="1">
        <w:r w:rsidRPr="00865A99">
          <w:rPr>
            <w:rStyle w:val="Hipervnculo"/>
            <w:rFonts w:ascii="Open Sans" w:hAnsi="Open Sans"/>
            <w:sz w:val="18"/>
            <w:szCs w:val="18"/>
            <w:lang w:val="es-ES_tradnl"/>
          </w:rPr>
          <w:t>Informe de la Dirección General de Tributos, de 23 de diciembre de 2014, sobre la vigencia de la lista actual de paraísos fiscales respecto a la entrada en vigor de la disposición final segunda de la Ley 26/2014</w:t>
        </w:r>
      </w:hyperlink>
    </w:p>
  </w:footnote>
  <w:footnote w:id="361">
    <w:p w14:paraId="14B737DF" w14:textId="77777777" w:rsidR="007F55EB" w:rsidRPr="00ED32E7" w:rsidRDefault="007F55EB" w:rsidP="004F7C2D">
      <w:pPr>
        <w:pStyle w:val="Textonotapie"/>
        <w:jc w:val="both"/>
        <w:rPr>
          <w:lang w:val="en-GB"/>
        </w:rPr>
      </w:pPr>
      <w:r w:rsidRPr="00865A99">
        <w:rPr>
          <w:rStyle w:val="Refdenotaalpie"/>
          <w:rFonts w:ascii="Open Sans" w:hAnsi="Open Sans" w:cs="Open Sans"/>
          <w:sz w:val="18"/>
          <w:szCs w:val="18"/>
        </w:rPr>
        <w:footnoteRef/>
      </w:r>
      <w:r w:rsidRPr="00865A99">
        <w:rPr>
          <w:rFonts w:ascii="Open Sans" w:hAnsi="Open Sans"/>
          <w:sz w:val="18"/>
          <w:szCs w:val="18"/>
          <w:lang w:val="en-GB"/>
        </w:rPr>
        <w:t xml:space="preserve"> Tax Justice Network. </w:t>
      </w:r>
      <w:proofErr w:type="gramStart"/>
      <w:r w:rsidRPr="00865A99">
        <w:rPr>
          <w:rFonts w:ascii="Open Sans" w:hAnsi="Open Sans"/>
          <w:sz w:val="18"/>
          <w:szCs w:val="18"/>
          <w:lang w:val="en-GB"/>
        </w:rPr>
        <w:t>Financial Secrecy Index - 2015 Results.</w:t>
      </w:r>
      <w:proofErr w:type="gramEnd"/>
      <w:r w:rsidRPr="00ED32E7">
        <w:rPr>
          <w:lang w:val="en-GB"/>
        </w:rPr>
        <w:t xml:space="preserve"> </w:t>
      </w:r>
    </w:p>
  </w:footnote>
  <w:footnote w:id="362">
    <w:p w14:paraId="53E72780" w14:textId="77777777" w:rsidR="007F55EB" w:rsidRPr="006E5AC9" w:rsidRDefault="007F55EB" w:rsidP="004F7C2D">
      <w:pPr>
        <w:pStyle w:val="Textonotapie"/>
        <w:rPr>
          <w:rFonts w:ascii="Open Sans" w:hAnsi="Open Sans"/>
          <w:bCs/>
          <w:sz w:val="18"/>
          <w:szCs w:val="18"/>
          <w:lang w:val="es-ES_tradnl"/>
        </w:rPr>
      </w:pPr>
      <w:r w:rsidRPr="00214708">
        <w:rPr>
          <w:rStyle w:val="Refdenotaalpie"/>
          <w:rFonts w:ascii="Open Sans" w:hAnsi="Open Sans"/>
          <w:sz w:val="18"/>
          <w:szCs w:val="18"/>
        </w:rPr>
        <w:footnoteRef/>
      </w:r>
      <w:r w:rsidRPr="00214708">
        <w:rPr>
          <w:rFonts w:ascii="Open Sans" w:hAnsi="Open Sans"/>
          <w:sz w:val="18"/>
          <w:szCs w:val="18"/>
        </w:rPr>
        <w:t xml:space="preserve"> </w:t>
      </w:r>
      <w:hyperlink r:id="rId250" w:history="1">
        <w:r w:rsidRPr="00214708">
          <w:rPr>
            <w:rStyle w:val="Hipervnculo"/>
            <w:rFonts w:ascii="Open Sans" w:hAnsi="Open Sans"/>
            <w:bCs/>
            <w:sz w:val="18"/>
            <w:szCs w:val="18"/>
            <w:lang w:val="es-ES_tradnl"/>
          </w:rPr>
          <w:t>Exención fiscal en Gibraltar</w:t>
        </w:r>
      </w:hyperlink>
    </w:p>
  </w:footnote>
  <w:footnote w:id="363">
    <w:p w14:paraId="65E329E5" w14:textId="77777777" w:rsidR="007F55EB" w:rsidRPr="006E5AC9" w:rsidRDefault="007F55EB" w:rsidP="004F7C2D">
      <w:pPr>
        <w:pStyle w:val="Textonotapie"/>
        <w:rPr>
          <w:rFonts w:ascii="Open Sans" w:hAnsi="Open Sans"/>
          <w:bCs/>
          <w:sz w:val="18"/>
          <w:szCs w:val="18"/>
          <w:lang w:val="es-ES_tradnl"/>
        </w:rPr>
      </w:pPr>
      <w:r w:rsidRPr="006E5AC9">
        <w:rPr>
          <w:rStyle w:val="Refdenotaalpie"/>
          <w:rFonts w:ascii="Open Sans" w:hAnsi="Open Sans"/>
          <w:sz w:val="18"/>
          <w:szCs w:val="18"/>
        </w:rPr>
        <w:footnoteRef/>
      </w:r>
      <w:r w:rsidRPr="006E5AC9">
        <w:rPr>
          <w:rFonts w:ascii="Open Sans" w:hAnsi="Open Sans"/>
          <w:sz w:val="18"/>
          <w:szCs w:val="18"/>
        </w:rPr>
        <w:t xml:space="preserve"> </w:t>
      </w:r>
      <w:hyperlink r:id="rId251" w:history="1">
        <w:r w:rsidRPr="006E5AC9">
          <w:rPr>
            <w:rStyle w:val="Hipervnculo"/>
            <w:rFonts w:ascii="Open Sans" w:hAnsi="Open Sans"/>
            <w:bCs/>
            <w:sz w:val="18"/>
            <w:szCs w:val="18"/>
            <w:lang w:val="es-ES_tradnl"/>
          </w:rPr>
          <w:t>La reforma fiscal beneficia a las entidades holding</w:t>
        </w:r>
      </w:hyperlink>
    </w:p>
  </w:footnote>
  <w:footnote w:id="364">
    <w:p w14:paraId="56CB3292" w14:textId="77777777" w:rsidR="007F55EB" w:rsidRPr="00D729DF" w:rsidRDefault="007F55EB" w:rsidP="004F7C2D">
      <w:pPr>
        <w:pStyle w:val="Textonotapie"/>
        <w:rPr>
          <w:rFonts w:ascii="Open Sans" w:hAnsi="Open Sans"/>
          <w:sz w:val="18"/>
          <w:szCs w:val="18"/>
          <w:lang w:val="es-ES_tradnl"/>
        </w:rPr>
      </w:pPr>
      <w:r w:rsidRPr="00D729DF">
        <w:rPr>
          <w:rStyle w:val="Refdenotaalpie"/>
          <w:rFonts w:ascii="Open Sans" w:hAnsi="Open Sans"/>
          <w:sz w:val="18"/>
          <w:szCs w:val="18"/>
        </w:rPr>
        <w:footnoteRef/>
      </w:r>
      <w:r w:rsidRPr="00D729DF">
        <w:rPr>
          <w:rFonts w:ascii="Open Sans" w:hAnsi="Open Sans"/>
          <w:sz w:val="18"/>
          <w:szCs w:val="18"/>
        </w:rPr>
        <w:t xml:space="preserve"> </w:t>
      </w:r>
      <w:r w:rsidRPr="00D729DF">
        <w:rPr>
          <w:rFonts w:ascii="Open Sans" w:hAnsi="Open Sans"/>
          <w:sz w:val="18"/>
          <w:szCs w:val="18"/>
          <w:lang w:val="es-ES_tradnl"/>
        </w:rPr>
        <w:t>Variación del perímetro de consolidación. Informe Económico 2015, pág. 21</w:t>
      </w:r>
    </w:p>
  </w:footnote>
  <w:footnote w:id="365">
    <w:p w14:paraId="4C5FF8F5" w14:textId="77777777" w:rsidR="007F55EB" w:rsidRPr="003A55B5" w:rsidRDefault="007F55EB" w:rsidP="004F7C2D">
      <w:pPr>
        <w:pStyle w:val="Textonotapie"/>
        <w:rPr>
          <w:rFonts w:ascii="Open Sans" w:hAnsi="Open Sans"/>
          <w:bCs/>
          <w:sz w:val="18"/>
          <w:szCs w:val="18"/>
          <w:lang w:val="es-ES_tradnl"/>
        </w:rPr>
      </w:pPr>
      <w:r w:rsidRPr="00BF4340">
        <w:rPr>
          <w:rStyle w:val="Refdenotaalpie"/>
          <w:rFonts w:ascii="Open Sans" w:hAnsi="Open Sans"/>
          <w:sz w:val="18"/>
          <w:szCs w:val="18"/>
        </w:rPr>
        <w:footnoteRef/>
      </w:r>
      <w:r w:rsidRPr="00BF4340">
        <w:rPr>
          <w:rFonts w:ascii="Open Sans" w:hAnsi="Open Sans"/>
          <w:sz w:val="18"/>
          <w:szCs w:val="18"/>
        </w:rPr>
        <w:t xml:space="preserve"> </w:t>
      </w:r>
      <w:hyperlink r:id="rId252" w:history="1">
        <w:r w:rsidRPr="00BF4340">
          <w:rPr>
            <w:rStyle w:val="Hipervnculo"/>
            <w:rFonts w:ascii="Open Sans" w:hAnsi="Open Sans"/>
            <w:bCs/>
            <w:sz w:val="18"/>
            <w:szCs w:val="18"/>
            <w:lang w:val="es-ES_tradnl"/>
          </w:rPr>
          <w:t>Sacyr entra en Estados Unidos con su constructora al aliarse con Manhattan Group</w:t>
        </w:r>
      </w:hyperlink>
    </w:p>
  </w:footnote>
  <w:footnote w:id="366">
    <w:p w14:paraId="18DEBAC1" w14:textId="77777777" w:rsidR="007F55EB" w:rsidRPr="009003A3" w:rsidRDefault="007F55EB" w:rsidP="004F7C2D">
      <w:pPr>
        <w:pStyle w:val="Textonotapie"/>
        <w:rPr>
          <w:rFonts w:ascii="Open Sans" w:hAnsi="Open Sans"/>
          <w:bCs/>
          <w:sz w:val="18"/>
          <w:szCs w:val="18"/>
          <w:lang w:val="es-ES_tradnl"/>
        </w:rPr>
      </w:pPr>
      <w:r w:rsidRPr="003A55B5">
        <w:rPr>
          <w:rStyle w:val="Refdenotaalpie"/>
          <w:rFonts w:ascii="Open Sans" w:hAnsi="Open Sans"/>
          <w:sz w:val="18"/>
          <w:szCs w:val="18"/>
        </w:rPr>
        <w:footnoteRef/>
      </w:r>
      <w:r w:rsidRPr="003A55B5">
        <w:rPr>
          <w:rFonts w:ascii="Open Sans" w:hAnsi="Open Sans"/>
          <w:sz w:val="18"/>
          <w:szCs w:val="18"/>
        </w:rPr>
        <w:t xml:space="preserve"> </w:t>
      </w:r>
      <w:hyperlink r:id="rId253" w:history="1">
        <w:r w:rsidRPr="003A55B5">
          <w:rPr>
            <w:rStyle w:val="Hipervnculo"/>
            <w:rFonts w:ascii="Open Sans" w:hAnsi="Open Sans"/>
            <w:bCs/>
            <w:sz w:val="18"/>
            <w:szCs w:val="18"/>
            <w:lang w:val="es-ES_tradnl"/>
          </w:rPr>
          <w:t>Ventajas fiscales de Delaware</w:t>
        </w:r>
      </w:hyperlink>
    </w:p>
  </w:footnote>
  <w:footnote w:id="367">
    <w:p w14:paraId="33AF393C" w14:textId="77777777" w:rsidR="007F55EB" w:rsidRPr="007619FE" w:rsidRDefault="007F55EB" w:rsidP="004F7C2D">
      <w:pPr>
        <w:pStyle w:val="Textonotapie"/>
        <w:rPr>
          <w:rFonts w:ascii="Open Sans" w:hAnsi="Open Sans"/>
          <w:sz w:val="18"/>
          <w:szCs w:val="18"/>
          <w:lang w:val="es-ES_tradnl"/>
        </w:rPr>
      </w:pPr>
      <w:r w:rsidRPr="007619FE">
        <w:rPr>
          <w:rStyle w:val="Refdenotaalpie"/>
          <w:rFonts w:ascii="Open Sans" w:hAnsi="Open Sans"/>
          <w:sz w:val="18"/>
          <w:szCs w:val="18"/>
        </w:rPr>
        <w:footnoteRef/>
      </w:r>
      <w:r w:rsidRPr="007619FE">
        <w:rPr>
          <w:rFonts w:ascii="Open Sans" w:hAnsi="Open Sans"/>
          <w:sz w:val="18"/>
          <w:szCs w:val="18"/>
        </w:rPr>
        <w:t xml:space="preserve"> </w:t>
      </w:r>
      <w:r w:rsidRPr="007619FE">
        <w:rPr>
          <w:rFonts w:ascii="Open Sans" w:eastAsia="Calibri" w:hAnsi="Open Sans" w:cs="Open Sans Light"/>
          <w:color w:val="000000"/>
          <w:sz w:val="18"/>
          <w:szCs w:val="18"/>
        </w:rPr>
        <w:t>Información de ingresos externos, activos brutos y adquisición de inmovilizado por actividad y área geográfica para los ejercicios 2015 y 2014. Informe Económico 2015 pág. 220</w:t>
      </w:r>
    </w:p>
  </w:footnote>
  <w:footnote w:id="368">
    <w:p w14:paraId="64337256" w14:textId="77777777" w:rsidR="007F55EB" w:rsidRPr="00914A1A" w:rsidRDefault="007F55EB" w:rsidP="004F7C2D">
      <w:pPr>
        <w:pStyle w:val="Textonotapie"/>
        <w:rPr>
          <w:rFonts w:ascii="Open Sans" w:hAnsi="Open Sans"/>
          <w:sz w:val="18"/>
          <w:szCs w:val="18"/>
          <w:lang w:val="es-ES_tradnl"/>
        </w:rPr>
      </w:pPr>
      <w:r w:rsidRPr="00914A1A">
        <w:rPr>
          <w:rStyle w:val="Refdenotaalpie"/>
          <w:rFonts w:ascii="Open Sans" w:hAnsi="Open Sans"/>
          <w:sz w:val="18"/>
          <w:szCs w:val="18"/>
        </w:rPr>
        <w:footnoteRef/>
      </w:r>
      <w:r w:rsidRPr="00914A1A">
        <w:rPr>
          <w:rFonts w:ascii="Open Sans" w:hAnsi="Open Sans"/>
          <w:sz w:val="18"/>
          <w:szCs w:val="18"/>
        </w:rPr>
        <w:t xml:space="preserve"> </w:t>
      </w:r>
      <w:r w:rsidRPr="00914A1A">
        <w:rPr>
          <w:rFonts w:ascii="Open Sans" w:hAnsi="Open Sans"/>
          <w:sz w:val="18"/>
          <w:szCs w:val="18"/>
          <w:lang w:val="es-ES_tradnl"/>
        </w:rPr>
        <w:t>Informe Económico 2015, pág. 106 a 112</w:t>
      </w:r>
    </w:p>
  </w:footnote>
  <w:footnote w:id="369">
    <w:p w14:paraId="24B62848" w14:textId="77777777" w:rsidR="007F55EB" w:rsidRPr="0035057B" w:rsidRDefault="007F55EB" w:rsidP="004F7C2D">
      <w:pPr>
        <w:pStyle w:val="Textonotapie"/>
        <w:rPr>
          <w:rFonts w:ascii="Open Sans" w:hAnsi="Open Sans" w:cs="Open Sans"/>
          <w:sz w:val="18"/>
          <w:szCs w:val="18"/>
        </w:rPr>
      </w:pPr>
      <w:r w:rsidRPr="0035057B">
        <w:rPr>
          <w:rStyle w:val="Refdenotaalpie"/>
          <w:rFonts w:ascii="Open Sans" w:hAnsi="Open Sans" w:cs="Open Sans"/>
          <w:sz w:val="18"/>
          <w:szCs w:val="18"/>
        </w:rPr>
        <w:footnoteRef/>
      </w:r>
      <w:r w:rsidRPr="0035057B">
        <w:rPr>
          <w:rFonts w:ascii="Open Sans" w:hAnsi="Open Sans" w:cs="Open Sans"/>
          <w:sz w:val="18"/>
          <w:szCs w:val="18"/>
        </w:rPr>
        <w:t xml:space="preserve"> </w:t>
      </w:r>
      <w:hyperlink r:id="rId254" w:history="1">
        <w:r w:rsidRPr="0035057B">
          <w:rPr>
            <w:rStyle w:val="Hipervnculo"/>
            <w:rFonts w:ascii="Open Sans" w:hAnsi="Open Sans" w:cs="Open Sans"/>
            <w:sz w:val="18"/>
            <w:szCs w:val="18"/>
          </w:rPr>
          <w:t>Los 'señores del ladrillo' están implicados en los grandes casos de corrupción de la última década</w:t>
        </w:r>
      </w:hyperlink>
    </w:p>
  </w:footnote>
  <w:footnote w:id="370">
    <w:p w14:paraId="7B34203A" w14:textId="77777777" w:rsidR="007F55EB" w:rsidRPr="003C6DE0" w:rsidRDefault="007F55EB" w:rsidP="004F7C2D">
      <w:pPr>
        <w:pStyle w:val="Textonotapie"/>
        <w:rPr>
          <w:rFonts w:ascii="Open Sans" w:hAnsi="Open Sans" w:cs="Open Sans"/>
          <w:sz w:val="18"/>
          <w:szCs w:val="18"/>
        </w:rPr>
      </w:pPr>
      <w:r w:rsidRPr="003C6DE0">
        <w:rPr>
          <w:rStyle w:val="Refdenotaalpie"/>
          <w:rFonts w:ascii="Open Sans" w:hAnsi="Open Sans" w:cs="Open Sans"/>
          <w:sz w:val="18"/>
          <w:szCs w:val="18"/>
        </w:rPr>
        <w:footnoteRef/>
      </w:r>
      <w:r w:rsidRPr="003C6DE0">
        <w:rPr>
          <w:rFonts w:ascii="Open Sans" w:hAnsi="Open Sans" w:cs="Open Sans"/>
          <w:sz w:val="18"/>
          <w:szCs w:val="18"/>
        </w:rPr>
        <w:t xml:space="preserve"> </w:t>
      </w:r>
      <w:hyperlink r:id="rId255" w:history="1">
        <w:r w:rsidRPr="003C6DE0">
          <w:rPr>
            <w:rStyle w:val="Hipervnculo"/>
            <w:rFonts w:ascii="Open Sans" w:hAnsi="Open Sans" w:cs="Open Sans"/>
            <w:sz w:val="18"/>
            <w:szCs w:val="18"/>
          </w:rPr>
          <w:t>La CNMC desmonta el ‘cártel de la basura’ formado por ACS, FCC, Ferrovial y Sacyr</w:t>
        </w:r>
      </w:hyperlink>
    </w:p>
  </w:footnote>
  <w:footnote w:id="371">
    <w:p w14:paraId="19C55B9E" w14:textId="77777777" w:rsidR="007F55EB" w:rsidRPr="000B2292" w:rsidRDefault="007F55EB" w:rsidP="004F7C2D">
      <w:pPr>
        <w:pStyle w:val="Textonotapie"/>
        <w:rPr>
          <w:rFonts w:ascii="Open Sans" w:hAnsi="Open Sans"/>
          <w:bCs/>
          <w:sz w:val="18"/>
          <w:szCs w:val="18"/>
          <w:lang w:val="es-ES_tradnl"/>
        </w:rPr>
      </w:pPr>
      <w:r w:rsidRPr="00C4536D">
        <w:rPr>
          <w:rStyle w:val="Refdenotaalpie"/>
          <w:rFonts w:ascii="Open Sans" w:hAnsi="Open Sans"/>
          <w:sz w:val="18"/>
          <w:szCs w:val="18"/>
        </w:rPr>
        <w:footnoteRef/>
      </w:r>
      <w:r w:rsidRPr="00C4536D">
        <w:rPr>
          <w:rFonts w:ascii="Open Sans" w:hAnsi="Open Sans"/>
          <w:sz w:val="18"/>
          <w:szCs w:val="18"/>
        </w:rPr>
        <w:t xml:space="preserve"> </w:t>
      </w:r>
      <w:hyperlink r:id="rId256" w:history="1">
        <w:r w:rsidRPr="00C4536D">
          <w:rPr>
            <w:rStyle w:val="Hipervnculo"/>
            <w:rFonts w:ascii="Open Sans" w:hAnsi="Open Sans"/>
            <w:bCs/>
            <w:sz w:val="18"/>
            <w:szCs w:val="18"/>
            <w:lang w:val="es-ES_tradnl"/>
          </w:rPr>
          <w:t>El Gobierno hace lobby en favor de las constructoras en las negociaciones del TTIP</w:t>
        </w:r>
      </w:hyperlink>
    </w:p>
  </w:footnote>
  <w:footnote w:id="372">
    <w:p w14:paraId="43586A54" w14:textId="77777777" w:rsidR="007F55EB" w:rsidRPr="000B2292" w:rsidRDefault="007F55EB" w:rsidP="004F7C2D">
      <w:pPr>
        <w:pStyle w:val="Textonotapie"/>
        <w:rPr>
          <w:lang w:val="es-ES_tradnl"/>
        </w:rPr>
      </w:pPr>
      <w:r w:rsidRPr="000B2292">
        <w:rPr>
          <w:rStyle w:val="Refdenotaalpie"/>
          <w:rFonts w:ascii="Open Sans" w:hAnsi="Open Sans"/>
          <w:sz w:val="18"/>
          <w:szCs w:val="18"/>
        </w:rPr>
        <w:footnoteRef/>
      </w:r>
      <w:r w:rsidRPr="000B2292">
        <w:rPr>
          <w:rFonts w:ascii="Open Sans" w:hAnsi="Open Sans"/>
          <w:sz w:val="18"/>
          <w:szCs w:val="18"/>
        </w:rPr>
        <w:t xml:space="preserve"> </w:t>
      </w:r>
      <w:hyperlink r:id="rId257" w:history="1">
        <w:r w:rsidRPr="000B2292">
          <w:rPr>
            <w:rStyle w:val="Hipervnculo"/>
            <w:rFonts w:ascii="Open Sans" w:hAnsi="Open Sans"/>
            <w:sz w:val="18"/>
            <w:szCs w:val="18"/>
          </w:rPr>
          <w:t>http://ec.europa.eu/transparencyregister/public/consultation/displaylobbyist.do?id=824053621298-40</w:t>
        </w:r>
      </w:hyperlink>
      <w:r>
        <w:t xml:space="preserve"> </w:t>
      </w:r>
    </w:p>
  </w:footnote>
  <w:footnote w:id="373">
    <w:p w14:paraId="31F3FF9E" w14:textId="77777777" w:rsidR="007F55EB" w:rsidRPr="00ED32E7" w:rsidRDefault="007F55EB" w:rsidP="004F7C2D">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Estrategia renovada de la UE para 2011-2014 sobre la responsabilidad social de las empresas  (COM  (2011)  681  final)  señala que  las  empresas  deberían  trabajar  por implementar  una  buena gobernanza  fiscal  y  a  difundir  la  información  relativa  a  la </w:t>
      </w:r>
      <w:r w:rsidRPr="00ED32E7">
        <w:rPr>
          <w:rFonts w:ascii="Open Sans" w:hAnsi="Open Sans"/>
          <w:sz w:val="18"/>
          <w:szCs w:val="18"/>
        </w:rPr>
        <w:t xml:space="preserve">implementación de las normas sobre buena gobernanza fiscal.  </w:t>
      </w:r>
    </w:p>
  </w:footnote>
  <w:footnote w:id="374">
    <w:p w14:paraId="78A227D6" w14:textId="77777777" w:rsidR="007F55EB" w:rsidRPr="00ED32E7" w:rsidRDefault="007F55EB" w:rsidP="004F7C2D">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OCDE, </w:t>
      </w:r>
      <w:r w:rsidRPr="00ED32E7">
        <w:rPr>
          <w:rFonts w:ascii="Open Sans" w:hAnsi="Open Sans" w:cs="Arial"/>
          <w:sz w:val="18"/>
          <w:szCs w:val="18"/>
        </w:rPr>
        <w:t>Líneas  directrices  para  empresas  multinacionales  (2011) dedica el capítulo IX a las cuestiones relacionadas con la tributación.</w:t>
      </w:r>
    </w:p>
  </w:footnote>
  <w:footnote w:id="375">
    <w:p w14:paraId="7FDF3BF8" w14:textId="77777777" w:rsidR="007F55EB" w:rsidRPr="00ED32E7" w:rsidRDefault="007F55EB" w:rsidP="004F7C2D">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A favor de la información país a país se han manifestado diversas instituciones, destacándose,  “The  extractive  industries </w:t>
      </w:r>
      <w:r w:rsidRPr="004A5B7C">
        <w:rPr>
          <w:rFonts w:ascii="Open Sans" w:hAnsi="Open Sans" w:cs="Arial"/>
          <w:sz w:val="18"/>
          <w:szCs w:val="18"/>
        </w:rPr>
        <w:t>transparency initiative” (EITI); “The EU Accounting</w:t>
      </w:r>
      <w:r>
        <w:rPr>
          <w:rFonts w:ascii="Open Sans" w:hAnsi="Open Sans" w:cs="Arial"/>
          <w:sz w:val="18"/>
          <w:szCs w:val="18"/>
        </w:rPr>
        <w:t xml:space="preserve"> and Transparency directive”; “T</w:t>
      </w:r>
      <w:r w:rsidRPr="004A5B7C">
        <w:rPr>
          <w:rFonts w:ascii="Open Sans" w:hAnsi="Open Sans" w:cs="Arial"/>
          <w:sz w:val="18"/>
          <w:szCs w:val="18"/>
        </w:rPr>
        <w:t>he Dodd-</w:t>
      </w:r>
      <w:r>
        <w:rPr>
          <w:rFonts w:ascii="Open Sans" w:hAnsi="Open Sans" w:cs="Arial"/>
          <w:sz w:val="18"/>
          <w:szCs w:val="18"/>
        </w:rPr>
        <w:t>Frank  Act”;  y  “T</w:t>
      </w:r>
      <w:r w:rsidRPr="00ED32E7">
        <w:rPr>
          <w:rFonts w:ascii="Open Sans" w:hAnsi="Open Sans" w:cs="Arial"/>
          <w:sz w:val="18"/>
          <w:szCs w:val="18"/>
        </w:rPr>
        <w:t>he  EU  Capital  Requirements  directive  IV”  (CRD  IV),  el  Proyecto  BEPS  de  la OCDE.  También  pueden  destacarse  iniciativas  de  otros  países  a  nivel  individual,  de  la sociedad civil (p.e. “Publish what you pay”) u organizaciones como Tax Justice Network.</w:t>
      </w:r>
    </w:p>
  </w:footnote>
  <w:footnote w:id="376">
    <w:p w14:paraId="3A0EB4BE" w14:textId="77777777" w:rsidR="007F55EB" w:rsidRPr="004F7C2D" w:rsidRDefault="007F55EB" w:rsidP="004F7C2D">
      <w:pPr>
        <w:pStyle w:val="Textonotapie"/>
        <w:rPr>
          <w:rFonts w:ascii="Open Sans" w:hAnsi="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hyperlink r:id="rId258" w:history="1">
        <w:r w:rsidRPr="004F7C2D">
          <w:rPr>
            <w:rStyle w:val="Hipervnculo"/>
            <w:rFonts w:ascii="Open Sans" w:hAnsi="Open Sans" w:cs="Open Sans"/>
            <w:sz w:val="18"/>
            <w:szCs w:val="18"/>
          </w:rPr>
          <w:t>Índice de Percepción de la Corrupción 2015 - Transparencia Internacional</w:t>
        </w:r>
      </w:hyperlink>
    </w:p>
  </w:footnote>
  <w:footnote w:id="377">
    <w:p w14:paraId="6138BB0F" w14:textId="77777777" w:rsidR="007F55EB" w:rsidRPr="004F7C2D" w:rsidRDefault="007F55EB" w:rsidP="004F7C2D">
      <w:pPr>
        <w:pStyle w:val="Textonotapie"/>
        <w:rPr>
          <w:rFonts w:ascii="Open Sans" w:hAnsi="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hyperlink r:id="rId259" w:history="1">
        <w:r w:rsidRPr="004F7C2D">
          <w:rPr>
            <w:rStyle w:val="Hipervnculo"/>
            <w:rFonts w:ascii="Open Sans" w:hAnsi="Open Sans" w:cs="Open Sans"/>
            <w:sz w:val="18"/>
            <w:szCs w:val="18"/>
          </w:rPr>
          <w:t>Informe anual de Gobierno Corporativo, pág. 32</w:t>
        </w:r>
      </w:hyperlink>
    </w:p>
  </w:footnote>
  <w:footnote w:id="378">
    <w:p w14:paraId="586D06B7" w14:textId="77777777" w:rsidR="007F55EB" w:rsidRPr="004F7C2D" w:rsidRDefault="007F55EB" w:rsidP="004F7C2D">
      <w:pPr>
        <w:pStyle w:val="Textonotapie"/>
        <w:rPr>
          <w:rFonts w:ascii="Open Sans" w:hAnsi="Open Sans" w:cs="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r w:rsidRPr="004F7C2D">
        <w:rPr>
          <w:rFonts w:ascii="Open Sans" w:hAnsi="Open Sans" w:cs="Open Sans"/>
          <w:sz w:val="18"/>
          <w:szCs w:val="18"/>
        </w:rPr>
        <w:t>Informe de Progreso 2015, pág. 29</w:t>
      </w:r>
    </w:p>
  </w:footnote>
  <w:footnote w:id="379">
    <w:p w14:paraId="69A77345" w14:textId="77777777" w:rsidR="007F55EB" w:rsidRPr="004F7C2D" w:rsidRDefault="007F55EB" w:rsidP="004F7C2D">
      <w:pPr>
        <w:pStyle w:val="Textonotapie"/>
        <w:rPr>
          <w:rFonts w:ascii="Open Sans" w:hAnsi="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r w:rsidRPr="004F7C2D">
        <w:rPr>
          <w:rFonts w:ascii="Open Sans" w:hAnsi="Open Sans" w:cs="Open Sans"/>
          <w:sz w:val="18"/>
          <w:szCs w:val="18"/>
        </w:rPr>
        <w:t>Informe de Progreso 2015, pág. 26</w:t>
      </w:r>
    </w:p>
  </w:footnote>
  <w:footnote w:id="380">
    <w:p w14:paraId="57FE0145" w14:textId="77777777" w:rsidR="007F55EB" w:rsidRPr="004F7C2D" w:rsidRDefault="007F55EB" w:rsidP="004F7C2D">
      <w:pPr>
        <w:pStyle w:val="Textonotapie"/>
        <w:rPr>
          <w:rFonts w:ascii="Open Sans" w:hAnsi="Open Sans" w:cs="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r w:rsidRPr="004F7C2D">
        <w:rPr>
          <w:rFonts w:ascii="Open Sans" w:hAnsi="Open Sans" w:cs="Open Sans"/>
          <w:sz w:val="18"/>
          <w:szCs w:val="18"/>
        </w:rPr>
        <w:t>Cuentas anuales consolidadas 2015, pág. 69</w:t>
      </w:r>
    </w:p>
  </w:footnote>
  <w:footnote w:id="381">
    <w:p w14:paraId="4683A0CA" w14:textId="77777777" w:rsidR="007F55EB" w:rsidRPr="004F7C2D" w:rsidRDefault="007F55EB" w:rsidP="004F7C2D">
      <w:pPr>
        <w:pStyle w:val="Textonotapie"/>
        <w:rPr>
          <w:rFonts w:ascii="Open Sans" w:hAnsi="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r w:rsidRPr="004F7C2D">
        <w:rPr>
          <w:rFonts w:ascii="Open Sans" w:hAnsi="Open Sans" w:cs="Open Sans"/>
          <w:sz w:val="18"/>
          <w:szCs w:val="18"/>
        </w:rPr>
        <w:t>Cuentas anuales consolidadas 2015, pág. 74</w:t>
      </w:r>
    </w:p>
  </w:footnote>
  <w:footnote w:id="382">
    <w:p w14:paraId="42BC2E5D" w14:textId="77777777" w:rsidR="007F55EB" w:rsidRPr="004F7C2D" w:rsidRDefault="007F55EB" w:rsidP="004F7C2D">
      <w:pPr>
        <w:pStyle w:val="Textonotapie"/>
        <w:rPr>
          <w:rFonts w:ascii="Open Sans" w:hAnsi="Open Sans"/>
          <w:sz w:val="18"/>
          <w:szCs w:val="18"/>
        </w:rPr>
      </w:pPr>
      <w:r w:rsidRPr="004F7C2D">
        <w:rPr>
          <w:rStyle w:val="Refdenotaalpie"/>
          <w:rFonts w:ascii="Open Sans" w:hAnsi="Open Sans"/>
          <w:sz w:val="18"/>
          <w:szCs w:val="18"/>
        </w:rPr>
        <w:footnoteRef/>
      </w:r>
      <w:r w:rsidRPr="004F7C2D">
        <w:rPr>
          <w:rFonts w:ascii="Open Sans" w:hAnsi="Open Sans"/>
          <w:sz w:val="18"/>
          <w:szCs w:val="18"/>
        </w:rPr>
        <w:t xml:space="preserve"> </w:t>
      </w:r>
      <w:r w:rsidRPr="004F7C2D">
        <w:rPr>
          <w:rFonts w:ascii="Open Sans" w:hAnsi="Open Sans" w:cs="Open Sans"/>
          <w:sz w:val="18"/>
          <w:szCs w:val="18"/>
        </w:rPr>
        <w:t>Cuentas anuales consolidadas 2015, pág. 76</w:t>
      </w:r>
    </w:p>
  </w:footnote>
  <w:footnote w:id="383">
    <w:p w14:paraId="484B7C7A" w14:textId="77777777" w:rsidR="007F55EB" w:rsidRDefault="007F55EB" w:rsidP="004F7C2D">
      <w:pPr>
        <w:pStyle w:val="Textonotapie"/>
      </w:pPr>
      <w:r w:rsidRPr="004F7C2D">
        <w:rPr>
          <w:rStyle w:val="Refdenotaalpie"/>
          <w:rFonts w:ascii="Open Sans" w:hAnsi="Open Sans"/>
          <w:sz w:val="18"/>
          <w:szCs w:val="18"/>
        </w:rPr>
        <w:footnoteRef/>
      </w:r>
      <w:r w:rsidRPr="004F7C2D">
        <w:rPr>
          <w:rFonts w:ascii="Open Sans" w:hAnsi="Open Sans"/>
          <w:sz w:val="18"/>
          <w:szCs w:val="18"/>
        </w:rPr>
        <w:t xml:space="preserve"> </w:t>
      </w:r>
      <w:r w:rsidRPr="004F7C2D">
        <w:rPr>
          <w:rFonts w:ascii="Open Sans" w:hAnsi="Open Sans" w:cs="Open Sans"/>
          <w:sz w:val="18"/>
          <w:szCs w:val="18"/>
        </w:rPr>
        <w:t>Cuentas anuales consolidadas 2015, pág. 28</w:t>
      </w:r>
    </w:p>
  </w:footnote>
  <w:footnote w:id="384">
    <w:p w14:paraId="21A2D331"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w:t>
      </w:r>
      <w:hyperlink r:id="rId260" w:anchor="economy=MEX" w:history="1">
        <w:r w:rsidRPr="00142AAC">
          <w:rPr>
            <w:rStyle w:val="Hipervnculo"/>
            <w:rFonts w:ascii="Open Sans" w:hAnsi="Open Sans"/>
            <w:sz w:val="18"/>
            <w:szCs w:val="18"/>
          </w:rPr>
          <w:t>Informe de Competitividad Global - Foro Económico Mundial - México</w:t>
        </w:r>
      </w:hyperlink>
      <w:r w:rsidRPr="00142AAC">
        <w:rPr>
          <w:rFonts w:ascii="Open Sans" w:hAnsi="Open Sans"/>
          <w:sz w:val="18"/>
          <w:szCs w:val="18"/>
        </w:rPr>
        <w:t xml:space="preserve"> </w:t>
      </w:r>
    </w:p>
    <w:p w14:paraId="7E8CC0E2" w14:textId="77777777" w:rsidR="007F55EB" w:rsidRPr="00142AAC" w:rsidRDefault="007F55EB" w:rsidP="00F32F9C">
      <w:pPr>
        <w:pStyle w:val="Textonotapie"/>
        <w:rPr>
          <w:rFonts w:ascii="Open Sans" w:hAnsi="Open Sans"/>
          <w:sz w:val="18"/>
          <w:szCs w:val="18"/>
        </w:rPr>
      </w:pPr>
      <w:hyperlink r:id="rId261" w:history="1">
        <w:r w:rsidRPr="00142AAC">
          <w:rPr>
            <w:rStyle w:val="Hipervnculo"/>
            <w:rFonts w:ascii="Open Sans" w:hAnsi="Open Sans"/>
            <w:sz w:val="18"/>
            <w:szCs w:val="18"/>
          </w:rPr>
          <w:t>Lucha contra la Corrupción en el Sector de Energía de México</w:t>
        </w:r>
      </w:hyperlink>
      <w:r w:rsidRPr="00142AAC">
        <w:rPr>
          <w:rFonts w:ascii="Open Sans" w:hAnsi="Open Sans"/>
          <w:sz w:val="18"/>
          <w:szCs w:val="18"/>
        </w:rPr>
        <w:t xml:space="preserve"> </w:t>
      </w:r>
    </w:p>
  </w:footnote>
  <w:footnote w:id="385">
    <w:p w14:paraId="78D0A63E"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w:t>
      </w:r>
      <w:hyperlink r:id="rId262" w:history="1">
        <w:r w:rsidRPr="00142AAC">
          <w:rPr>
            <w:rStyle w:val="Hipervnculo"/>
            <w:rFonts w:ascii="Open Sans" w:hAnsi="Open Sans"/>
            <w:sz w:val="18"/>
            <w:szCs w:val="18"/>
          </w:rPr>
          <w:t>https://www.bizapedia.com/de/enagas-usa-llc.html</w:t>
        </w:r>
      </w:hyperlink>
    </w:p>
    <w:p w14:paraId="77869A5F" w14:textId="77777777" w:rsidR="007F55EB" w:rsidRPr="00142AAC" w:rsidRDefault="007F55EB" w:rsidP="00F32F9C">
      <w:pPr>
        <w:pStyle w:val="Textonotapie"/>
        <w:rPr>
          <w:rFonts w:ascii="Open Sans" w:hAnsi="Open Sans"/>
          <w:sz w:val="18"/>
          <w:szCs w:val="18"/>
        </w:rPr>
      </w:pPr>
      <w:hyperlink r:id="rId263" w:history="1">
        <w:r w:rsidRPr="00142AAC">
          <w:rPr>
            <w:rStyle w:val="Hipervnculo"/>
            <w:rFonts w:ascii="Open Sans" w:hAnsi="Open Sans"/>
            <w:sz w:val="18"/>
            <w:szCs w:val="18"/>
          </w:rPr>
          <w:t>https://opencorporates.com/companies/us_de/5880735</w:t>
        </w:r>
      </w:hyperlink>
    </w:p>
  </w:footnote>
  <w:footnote w:id="386">
    <w:p w14:paraId="01DD267A"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w:t>
      </w:r>
      <w:hyperlink r:id="rId264" w:history="1">
        <w:r w:rsidRPr="00142AAC">
          <w:rPr>
            <w:rStyle w:val="Hipervnculo"/>
            <w:rFonts w:ascii="Open Sans" w:hAnsi="Open Sans"/>
            <w:sz w:val="18"/>
            <w:szCs w:val="18"/>
          </w:rPr>
          <w:t>https://www.bizapedia.com/tx/enagas-usa-llc.html</w:t>
        </w:r>
      </w:hyperlink>
    </w:p>
  </w:footnote>
  <w:footnote w:id="387">
    <w:p w14:paraId="1C19C275"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Estrategia fiscal de Enagás, página 2</w:t>
      </w:r>
    </w:p>
  </w:footnote>
  <w:footnote w:id="388">
    <w:p w14:paraId="2345B576"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w:t>
      </w:r>
      <w:hyperlink r:id="rId265" w:history="1">
        <w:r w:rsidRPr="00142AAC">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389">
    <w:p w14:paraId="444F27C4"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Informe anual 2015 Enagás, página 167</w:t>
      </w:r>
    </w:p>
  </w:footnote>
  <w:footnote w:id="390">
    <w:p w14:paraId="2BB55103"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Informe anual 2015 Enagás, página 168</w:t>
      </w:r>
    </w:p>
  </w:footnote>
  <w:footnote w:id="391">
    <w:p w14:paraId="65F1AC84"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Estrategia fiscal de Enagás, página 1</w:t>
      </w:r>
    </w:p>
  </w:footnote>
  <w:footnote w:id="392">
    <w:p w14:paraId="03742849"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Estrategia fiscal de Enagás, página 1</w:t>
      </w:r>
    </w:p>
  </w:footnote>
  <w:footnote w:id="393">
    <w:p w14:paraId="1A3A3451"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Informe anual 2015 Enagás, página 106</w:t>
      </w:r>
    </w:p>
  </w:footnote>
  <w:footnote w:id="394">
    <w:p w14:paraId="45F5B8F4"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Estrategia fiscal de Enagás, página 2</w:t>
      </w:r>
    </w:p>
  </w:footnote>
  <w:footnote w:id="395">
    <w:p w14:paraId="7EC544F3" w14:textId="77777777" w:rsidR="007F55EB" w:rsidRDefault="007F55EB" w:rsidP="00F32F9C">
      <w:pPr>
        <w:pStyle w:val="Textonotapie"/>
      </w:pPr>
      <w:r>
        <w:rPr>
          <w:rStyle w:val="Refdenotaalpie"/>
        </w:rPr>
        <w:footnoteRef/>
      </w:r>
      <w:r>
        <w:t xml:space="preserve"> </w:t>
      </w:r>
      <w:r w:rsidRPr="00142AAC">
        <w:rPr>
          <w:rFonts w:ascii="Open Sans" w:hAnsi="Open Sans"/>
          <w:sz w:val="18"/>
          <w:szCs w:val="18"/>
        </w:rPr>
        <w:t>Info</w:t>
      </w:r>
      <w:r>
        <w:rPr>
          <w:rFonts w:ascii="Open Sans" w:hAnsi="Open Sans"/>
          <w:sz w:val="18"/>
          <w:szCs w:val="18"/>
        </w:rPr>
        <w:t>rme anual 2015 Enagás, página 28</w:t>
      </w:r>
    </w:p>
  </w:footnote>
  <w:footnote w:id="396">
    <w:p w14:paraId="70F31616"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Informe anual 2015 Enagás, página 104</w:t>
      </w:r>
    </w:p>
  </w:footnote>
  <w:footnote w:id="397">
    <w:p w14:paraId="38A334EA" w14:textId="77777777" w:rsidR="007F55EB" w:rsidRPr="00142AAC" w:rsidRDefault="007F55EB" w:rsidP="00F32F9C">
      <w:pPr>
        <w:pStyle w:val="Textonotapie"/>
        <w:rPr>
          <w:rFonts w:ascii="Open Sans" w:hAnsi="Open Sans"/>
          <w:sz w:val="18"/>
          <w:szCs w:val="18"/>
        </w:rPr>
      </w:pPr>
      <w:r w:rsidRPr="00142AAC">
        <w:rPr>
          <w:rStyle w:val="Refdenotaalpie"/>
          <w:rFonts w:ascii="Open Sans" w:hAnsi="Open Sans"/>
          <w:sz w:val="18"/>
          <w:szCs w:val="18"/>
        </w:rPr>
        <w:footnoteRef/>
      </w:r>
      <w:r w:rsidRPr="00142AAC">
        <w:rPr>
          <w:rFonts w:ascii="Open Sans" w:hAnsi="Open Sans"/>
          <w:sz w:val="18"/>
          <w:szCs w:val="18"/>
        </w:rPr>
        <w:t xml:space="preserve"> </w:t>
      </w:r>
      <w:hyperlink r:id="rId266" w:history="1">
        <w:r w:rsidRPr="00142AAC">
          <w:rPr>
            <w:rStyle w:val="Hipervnculo"/>
            <w:rFonts w:ascii="Open Sans" w:hAnsi="Open Sans"/>
            <w:sz w:val="18"/>
            <w:szCs w:val="18"/>
          </w:rPr>
          <w:t>EEUU, Brasil y Panamá, en la lista provisional de paraísos fiscales de la UE</w:t>
        </w:r>
      </w:hyperlink>
    </w:p>
    <w:p w14:paraId="6831D6A3" w14:textId="77777777" w:rsidR="007F55EB" w:rsidRDefault="007F55EB" w:rsidP="00F32F9C">
      <w:pPr>
        <w:pStyle w:val="Textonotapie"/>
      </w:pPr>
      <w:hyperlink r:id="rId267" w:history="1">
        <w:r w:rsidRPr="00142AAC">
          <w:rPr>
            <w:rStyle w:val="Hipervnculo"/>
            <w:rFonts w:ascii="Open Sans" w:hAnsi="Open Sans"/>
            <w:sz w:val="18"/>
            <w:szCs w:val="18"/>
          </w:rPr>
          <w:t>Bruselas publica una 'lista negra' de paraísos fiscales en la que figuran Andorra, Mónaco y Liechtenstein</w:t>
        </w:r>
      </w:hyperlink>
    </w:p>
  </w:footnote>
  <w:footnote w:id="398">
    <w:p w14:paraId="00C2C74F"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rPr>
        <w:t xml:space="preserve"> </w:t>
      </w:r>
      <w:r w:rsidRPr="00AD646E">
        <w:rPr>
          <w:rFonts w:ascii="Open Sans" w:hAnsi="Open Sans" w:cs="Open Sans"/>
          <w:sz w:val="18"/>
          <w:szCs w:val="18"/>
          <w:lang w:val="fr-FR"/>
        </w:rPr>
        <w:t>Pag. 55 del Informe de Sostenibilidad.</w:t>
      </w:r>
    </w:p>
  </w:footnote>
  <w:footnote w:id="399">
    <w:p w14:paraId="4B64D1E1"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68" w:history="1">
        <w:r w:rsidRPr="00AD646E">
          <w:rPr>
            <w:rStyle w:val="Hipervnculo"/>
            <w:rFonts w:ascii="Open Sans" w:hAnsi="Open Sans" w:cs="Open Sans"/>
            <w:sz w:val="18"/>
            <w:szCs w:val="18"/>
            <w:lang w:val="fr-FR"/>
          </w:rPr>
          <w:t>https://www.endesa.com/es/inversores/a201611-politicas-corporativas.html</w:t>
        </w:r>
      </w:hyperlink>
      <w:r w:rsidRPr="00AD646E">
        <w:rPr>
          <w:rFonts w:ascii="Open Sans" w:hAnsi="Open Sans" w:cs="Open Sans"/>
          <w:sz w:val="18"/>
          <w:szCs w:val="18"/>
          <w:lang w:val="fr-FR"/>
        </w:rPr>
        <w:t xml:space="preserve"> </w:t>
      </w:r>
    </w:p>
  </w:footnote>
  <w:footnote w:id="400">
    <w:p w14:paraId="75D28172"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69" w:history="1">
        <w:r w:rsidRPr="00AD646E">
          <w:rPr>
            <w:rStyle w:val="Hipervnculo"/>
            <w:rFonts w:ascii="Open Sans" w:hAnsi="Open Sans" w:cs="Open Sans"/>
            <w:sz w:val="18"/>
            <w:szCs w:val="18"/>
            <w:lang w:val="fr-FR"/>
          </w:rPr>
          <w:t>https://www.elblogsalmon.com/sectores/casi-el-60-del-recibo-de-la-luz-son-impuestos</w:t>
        </w:r>
      </w:hyperlink>
      <w:r w:rsidRPr="00AD646E">
        <w:rPr>
          <w:rFonts w:ascii="Open Sans" w:hAnsi="Open Sans" w:cs="Open Sans"/>
          <w:sz w:val="18"/>
          <w:szCs w:val="18"/>
          <w:lang w:val="fr-FR"/>
        </w:rPr>
        <w:t xml:space="preserve"> </w:t>
      </w:r>
    </w:p>
  </w:footnote>
  <w:footnote w:id="401">
    <w:p w14:paraId="27BCF744"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70" w:history="1">
        <w:r w:rsidRPr="00AD646E">
          <w:rPr>
            <w:rStyle w:val="Hipervnculo"/>
            <w:rFonts w:ascii="Open Sans" w:hAnsi="Open Sans" w:cs="Open Sans"/>
            <w:sz w:val="18"/>
            <w:szCs w:val="18"/>
            <w:lang w:val="fr-FR"/>
          </w:rPr>
          <w:t>https://www.endesa.com/es/sobre-endesa/a201610-sociedades.html</w:t>
        </w:r>
      </w:hyperlink>
      <w:r w:rsidRPr="00AD646E">
        <w:rPr>
          <w:rFonts w:ascii="Open Sans" w:hAnsi="Open Sans" w:cs="Open Sans"/>
          <w:sz w:val="18"/>
          <w:szCs w:val="18"/>
          <w:lang w:val="fr-FR"/>
        </w:rPr>
        <w:t xml:space="preserve"> </w:t>
      </w:r>
    </w:p>
  </w:footnote>
  <w:footnote w:id="402">
    <w:p w14:paraId="1766A121"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71" w:history="1">
        <w:r w:rsidRPr="00AD646E">
          <w:rPr>
            <w:rStyle w:val="Hipervnculo"/>
            <w:rFonts w:ascii="Open Sans" w:hAnsi="Open Sans" w:cs="Open Sans"/>
            <w:sz w:val="18"/>
            <w:szCs w:val="18"/>
            <w:lang w:val="fr-FR"/>
          </w:rPr>
          <w:t>http://www.bloomberg.com/research/stocks/private/snapshot.asp?privcapId=20506627</w:t>
        </w:r>
      </w:hyperlink>
      <w:r w:rsidRPr="00AD646E">
        <w:rPr>
          <w:rFonts w:ascii="Open Sans" w:hAnsi="Open Sans" w:cs="Open Sans"/>
          <w:sz w:val="18"/>
          <w:szCs w:val="18"/>
          <w:lang w:val="fr-FR"/>
        </w:rPr>
        <w:t xml:space="preserve"> </w:t>
      </w:r>
    </w:p>
  </w:footnote>
  <w:footnote w:id="403">
    <w:p w14:paraId="57403605" w14:textId="77777777" w:rsidR="007F55EB" w:rsidRPr="00AD646E" w:rsidRDefault="007F55EB" w:rsidP="00F737BF">
      <w:pPr>
        <w:pStyle w:val="Textonotapie"/>
        <w:rPr>
          <w:rFonts w:ascii="Open Sans" w:hAnsi="Open Sans" w:cs="Open Sans"/>
          <w:sz w:val="18"/>
          <w:szCs w:val="18"/>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72" w:history="1">
        <w:r w:rsidRPr="00AD646E">
          <w:rPr>
            <w:rStyle w:val="Hipervnculo"/>
            <w:rFonts w:ascii="Open Sans" w:hAnsi="Open Sans" w:cs="Open Sans"/>
            <w:sz w:val="18"/>
            <w:szCs w:val="18"/>
            <w:lang w:val="fr-FR"/>
          </w:rPr>
          <w:t>http://www.lavanguardia.com/vida/20160727/403506969957/comunicado-international-endesa-bv-iebv-publica-el-informe-de-la-primera-mitad-de-2016.html</w:t>
        </w:r>
      </w:hyperlink>
      <w:r w:rsidRPr="00AD646E">
        <w:rPr>
          <w:rFonts w:ascii="Open Sans" w:hAnsi="Open Sans" w:cs="Open Sans"/>
          <w:sz w:val="18"/>
          <w:szCs w:val="18"/>
          <w:lang w:val="fr-FR"/>
        </w:rPr>
        <w:t xml:space="preserve"> . </w:t>
      </w:r>
      <w:r w:rsidRPr="00AD646E">
        <w:rPr>
          <w:rFonts w:ascii="Open Sans" w:hAnsi="Open Sans" w:cs="Open Sans"/>
          <w:sz w:val="18"/>
          <w:szCs w:val="18"/>
        </w:rPr>
        <w:t xml:space="preserve">A pesar de que indica que el informe anual 2015 puede verse y descargarse en el siguiente enlace: </w:t>
      </w:r>
      <w:hyperlink r:id="rId273" w:history="1">
        <w:r w:rsidRPr="00AD646E">
          <w:rPr>
            <w:rStyle w:val="Hipervnculo"/>
            <w:rFonts w:ascii="Open Sans" w:hAnsi="Open Sans" w:cs="Open Sans"/>
            <w:sz w:val="18"/>
            <w:szCs w:val="18"/>
          </w:rPr>
          <w:t>https://www.endesa.com/content/dam/enel-en/home/inversores/rentafijayrating/fixedincome/documents/IE-BV-Annual-Report-2014_AFM.PDF</w:t>
        </w:r>
      </w:hyperlink>
      <w:r w:rsidRPr="00AD646E">
        <w:rPr>
          <w:rFonts w:ascii="Open Sans" w:hAnsi="Open Sans" w:cs="Open Sans"/>
          <w:sz w:val="18"/>
          <w:szCs w:val="18"/>
        </w:rPr>
        <w:t xml:space="preserve"> , No se puede obtener de la web.</w:t>
      </w:r>
    </w:p>
  </w:footnote>
  <w:footnote w:id="404">
    <w:p w14:paraId="55653F26" w14:textId="77777777" w:rsidR="007F55EB" w:rsidRPr="005933E5" w:rsidRDefault="007F55EB" w:rsidP="00F737BF">
      <w:pPr>
        <w:pStyle w:val="Textonotapie"/>
        <w:rPr>
          <w:rFonts w:ascii="Open Sans" w:hAnsi="Open Sans" w:cs="Open Sans"/>
          <w:sz w:val="18"/>
          <w:szCs w:val="18"/>
          <w:lang w:val="en-GB"/>
        </w:rPr>
      </w:pPr>
      <w:r w:rsidRPr="00AD646E">
        <w:rPr>
          <w:rStyle w:val="Refdenotaalpie"/>
          <w:rFonts w:ascii="Open Sans" w:hAnsi="Open Sans" w:cs="Open Sans"/>
          <w:sz w:val="18"/>
          <w:szCs w:val="18"/>
        </w:rPr>
        <w:footnoteRef/>
      </w:r>
      <w:r w:rsidRPr="00AD646E">
        <w:rPr>
          <w:rFonts w:ascii="Open Sans" w:hAnsi="Open Sans" w:cs="Open Sans"/>
          <w:sz w:val="18"/>
          <w:szCs w:val="18"/>
        </w:rPr>
        <w:t xml:space="preserve"> Cuentas anuales e Informe de Gestión del Grupo Consolidado Endesa correspondiente al ejercicio 2015. </w:t>
      </w:r>
      <w:proofErr w:type="gramStart"/>
      <w:r w:rsidRPr="005933E5">
        <w:rPr>
          <w:rFonts w:ascii="Open Sans" w:hAnsi="Open Sans" w:cs="Open Sans"/>
          <w:sz w:val="18"/>
          <w:szCs w:val="18"/>
          <w:lang w:val="en-GB"/>
        </w:rPr>
        <w:t>Pag.</w:t>
      </w:r>
      <w:proofErr w:type="gramEnd"/>
      <w:r w:rsidRPr="005933E5">
        <w:rPr>
          <w:rFonts w:ascii="Open Sans" w:hAnsi="Open Sans" w:cs="Open Sans"/>
          <w:sz w:val="18"/>
          <w:szCs w:val="18"/>
          <w:lang w:val="en-GB"/>
        </w:rPr>
        <w:t xml:space="preserve"> 28.</w:t>
      </w:r>
    </w:p>
  </w:footnote>
  <w:footnote w:id="405">
    <w:p w14:paraId="28346CC6"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74" w:history="1">
        <w:r w:rsidRPr="00AD646E">
          <w:rPr>
            <w:rStyle w:val="Hipervnculo"/>
            <w:rFonts w:ascii="Open Sans" w:hAnsi="Open Sans" w:cs="Open Sans"/>
            <w:sz w:val="18"/>
            <w:szCs w:val="18"/>
            <w:lang w:val="fr-FR"/>
          </w:rPr>
          <w:t>https://opencorporates.com/companies/us_de/3626949</w:t>
        </w:r>
      </w:hyperlink>
      <w:r w:rsidRPr="00AD646E">
        <w:rPr>
          <w:rFonts w:ascii="Open Sans" w:hAnsi="Open Sans" w:cs="Open Sans"/>
          <w:sz w:val="18"/>
          <w:szCs w:val="18"/>
          <w:lang w:val="fr-FR"/>
        </w:rPr>
        <w:t xml:space="preserve"> ; DELAWARE EEUU Suite 204-F, 850 Library Avenue, Newark, Delaware 19711.</w:t>
      </w:r>
    </w:p>
  </w:footnote>
  <w:footnote w:id="406">
    <w:p w14:paraId="7E3DA4D8"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ENDESA, S.A. y Sociedades Dependientes. Informe de Gestión Consolidado correspondiente al período de tres meses terminado a 31 de marzo de 2016.   </w:t>
      </w:r>
      <w:hyperlink r:id="rId275" w:history="1">
        <w:r w:rsidRPr="00AD646E">
          <w:rPr>
            <w:rStyle w:val="Hipervnculo"/>
            <w:rFonts w:ascii="Open Sans" w:hAnsi="Open Sans" w:cs="Open Sans"/>
            <w:sz w:val="18"/>
            <w:szCs w:val="18"/>
            <w:lang w:val="fr-FR"/>
          </w:rPr>
          <w:t>https://www.endesa.com/content/dam/enel-es/home/inversores/infoeconomicafinanciera/resultadosfinancieros/documentos/2016/1T%202016%20Informe%20Gesti%C3%B3n%20Consolidado.pdf</w:t>
        </w:r>
      </w:hyperlink>
      <w:r w:rsidRPr="00AD646E">
        <w:rPr>
          <w:rFonts w:ascii="Open Sans" w:hAnsi="Open Sans" w:cs="Open Sans"/>
          <w:sz w:val="18"/>
          <w:szCs w:val="18"/>
          <w:lang w:val="fr-FR"/>
        </w:rPr>
        <w:t xml:space="preserve"> </w:t>
      </w:r>
    </w:p>
  </w:footnote>
  <w:footnote w:id="407">
    <w:p w14:paraId="1DE9E629"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Sistema Fiscal en Países Bajos. Oficina Económica y Comercial de la Embajada de España en La Haya. </w:t>
      </w:r>
      <w:hyperlink r:id="rId276" w:history="1">
        <w:r w:rsidRPr="00AD646E">
          <w:rPr>
            <w:rStyle w:val="Hipervnculo"/>
            <w:rFonts w:ascii="Open Sans" w:hAnsi="Open Sans" w:cs="Open Sans"/>
            <w:sz w:val="18"/>
            <w:szCs w:val="18"/>
            <w:lang w:val="fr-FR"/>
          </w:rPr>
          <w:t>http://www.observatoriorli.org/docs/PAISES_BAJOS/FISCALIDAD_Paises_Bajos.pdf</w:t>
        </w:r>
      </w:hyperlink>
      <w:r w:rsidRPr="00AD646E">
        <w:rPr>
          <w:rFonts w:ascii="Open Sans" w:hAnsi="Open Sans" w:cs="Open Sans"/>
          <w:sz w:val="18"/>
          <w:szCs w:val="18"/>
          <w:lang w:val="fr-FR"/>
        </w:rPr>
        <w:t xml:space="preserve"> </w:t>
      </w:r>
    </w:p>
  </w:footnote>
  <w:footnote w:id="408">
    <w:p w14:paraId="312F77C1"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77" w:history="1">
        <w:r w:rsidRPr="00AD646E">
          <w:rPr>
            <w:rStyle w:val="Hipervnculo"/>
            <w:rFonts w:ascii="Open Sans" w:hAnsi="Open Sans" w:cs="Open Sans"/>
            <w:sz w:val="18"/>
            <w:szCs w:val="18"/>
            <w:lang w:val="fr-FR"/>
          </w:rPr>
          <w:t>http://www.agenciatributaria.es/AEAT.internet/Inicio/_Segmentos_/Empresas_y_profesionales/Empresas/Impuesto_sobre_Sociedades/Periodos_impositivos_a_partir_de_1_1_2015/Tipos_de_gravamen/Tipos_de_gravamen_aplicable_a_periodos_impositivos_iniciados_en_el_ano_2015_y_2016__Art__29_y_DT_34__LIS_.shtml</w:t>
        </w:r>
      </w:hyperlink>
      <w:r w:rsidRPr="00AD646E">
        <w:rPr>
          <w:rFonts w:ascii="Open Sans" w:hAnsi="Open Sans" w:cs="Open Sans"/>
          <w:sz w:val="18"/>
          <w:szCs w:val="18"/>
          <w:lang w:val="fr-FR"/>
        </w:rPr>
        <w:t xml:space="preserve"> </w:t>
      </w:r>
    </w:p>
  </w:footnote>
  <w:footnote w:id="409">
    <w:p w14:paraId="0511FE2F" w14:textId="77777777" w:rsidR="007F55EB" w:rsidRPr="00AD646E" w:rsidRDefault="007F55EB" w:rsidP="00F737BF">
      <w:pPr>
        <w:pStyle w:val="Textonotapie"/>
        <w:rPr>
          <w:rFonts w:ascii="Open Sans" w:hAnsi="Open Sans" w:cs="Open Sans"/>
          <w:sz w:val="18"/>
          <w:szCs w:val="18"/>
          <w:lang w:val="fr-FR"/>
        </w:rPr>
      </w:pPr>
      <w:r w:rsidRPr="00AD646E">
        <w:rPr>
          <w:rStyle w:val="Refdenotaalpie"/>
          <w:rFonts w:ascii="Open Sans" w:hAnsi="Open Sans" w:cs="Open Sans"/>
          <w:sz w:val="18"/>
          <w:szCs w:val="18"/>
        </w:rPr>
        <w:footnoteRef/>
      </w:r>
      <w:r w:rsidRPr="00AD646E">
        <w:rPr>
          <w:rFonts w:ascii="Open Sans" w:hAnsi="Open Sans" w:cs="Open Sans"/>
          <w:sz w:val="18"/>
          <w:szCs w:val="18"/>
          <w:lang w:val="fr-FR"/>
        </w:rPr>
        <w:t xml:space="preserve"> </w:t>
      </w:r>
      <w:hyperlink r:id="rId278" w:history="1">
        <w:r w:rsidRPr="00AD646E">
          <w:rPr>
            <w:rStyle w:val="Hipervnculo"/>
            <w:rFonts w:ascii="Open Sans" w:hAnsi="Open Sans" w:cs="Open Sans"/>
            <w:sz w:val="18"/>
            <w:szCs w:val="18"/>
            <w:lang w:val="fr-FR"/>
          </w:rPr>
          <w:t>https://rgi.cnmc.es/gruposdeinteres/asociacion-espanola-de-la-industria-electrica-unesa-0</w:t>
        </w:r>
      </w:hyperlink>
      <w:r w:rsidRPr="00AD646E">
        <w:rPr>
          <w:rFonts w:ascii="Open Sans" w:hAnsi="Open Sans" w:cs="Open Sans"/>
          <w:sz w:val="18"/>
          <w:szCs w:val="18"/>
          <w:lang w:val="fr-FR"/>
        </w:rPr>
        <w:t xml:space="preserve"> </w:t>
      </w:r>
    </w:p>
  </w:footnote>
  <w:footnote w:id="410">
    <w:p w14:paraId="1E51071A" w14:textId="77777777" w:rsidR="007F55EB" w:rsidRPr="00AD646E" w:rsidRDefault="007F55EB" w:rsidP="00F737BF">
      <w:pPr>
        <w:pStyle w:val="Textonotapie"/>
        <w:rPr>
          <w:rFonts w:ascii="Open Sans" w:hAnsi="Open Sans" w:cs="Open Sans"/>
          <w:sz w:val="18"/>
          <w:szCs w:val="18"/>
        </w:rPr>
      </w:pPr>
      <w:r w:rsidRPr="00AD646E">
        <w:rPr>
          <w:rStyle w:val="Refdenotaalpie"/>
          <w:rFonts w:ascii="Open Sans" w:hAnsi="Open Sans" w:cs="Open Sans"/>
          <w:sz w:val="18"/>
          <w:szCs w:val="18"/>
        </w:rPr>
        <w:footnoteRef/>
      </w:r>
      <w:r w:rsidRPr="00AD646E">
        <w:rPr>
          <w:rFonts w:ascii="Open Sans" w:hAnsi="Open Sans" w:cs="Open Sans"/>
          <w:sz w:val="18"/>
          <w:szCs w:val="18"/>
        </w:rPr>
        <w:t xml:space="preserve"> En la Nota 34.1.3 de la memoria del año 2015 </w:t>
      </w:r>
    </w:p>
  </w:footnote>
  <w:footnote w:id="411">
    <w:p w14:paraId="4D644776" w14:textId="77777777" w:rsidR="007F55EB" w:rsidRPr="0099187E" w:rsidRDefault="007F55EB" w:rsidP="0099187E">
      <w:pPr>
        <w:pStyle w:val="Textonotapie"/>
        <w:rPr>
          <w:rFonts w:ascii="Open Sans" w:hAnsi="Open Sans"/>
          <w:sz w:val="18"/>
          <w:szCs w:val="18"/>
          <w:lang w:val="fr-FR"/>
        </w:rPr>
      </w:pPr>
      <w:r w:rsidRPr="007725D0">
        <w:rPr>
          <w:rStyle w:val="Refdenotaalpie"/>
          <w:rFonts w:ascii="Open Sans" w:hAnsi="Open Sans"/>
          <w:sz w:val="18"/>
          <w:szCs w:val="18"/>
        </w:rPr>
        <w:footnoteRef/>
      </w:r>
      <w:r w:rsidRPr="0099187E">
        <w:rPr>
          <w:rFonts w:ascii="Open Sans" w:hAnsi="Open Sans"/>
          <w:sz w:val="18"/>
          <w:szCs w:val="18"/>
          <w:lang w:val="fr-FR"/>
        </w:rPr>
        <w:t xml:space="preserve"> </w:t>
      </w:r>
      <w:hyperlink r:id="rId279" w:history="1">
        <w:r w:rsidRPr="0099187E">
          <w:rPr>
            <w:rStyle w:val="Hipervnculo"/>
            <w:rFonts w:ascii="Open Sans" w:hAnsi="Open Sans"/>
            <w:sz w:val="18"/>
            <w:szCs w:val="18"/>
            <w:lang w:val="fr-FR"/>
          </w:rPr>
          <w:t>http://www.transparency.org/cpi2015/</w:t>
        </w:r>
      </w:hyperlink>
    </w:p>
  </w:footnote>
  <w:footnote w:id="412">
    <w:p w14:paraId="1B165A4D" w14:textId="77777777" w:rsidR="007F55EB" w:rsidRPr="0099187E" w:rsidRDefault="007F55EB" w:rsidP="0099187E">
      <w:pPr>
        <w:pStyle w:val="Textonotapie"/>
        <w:rPr>
          <w:rFonts w:ascii="Open Sans" w:hAnsi="Open Sans"/>
          <w:sz w:val="18"/>
          <w:szCs w:val="18"/>
          <w:lang w:val="fr-FR"/>
        </w:rPr>
      </w:pPr>
      <w:r w:rsidRPr="007725D0">
        <w:rPr>
          <w:rStyle w:val="Refdenotaalpie"/>
          <w:rFonts w:ascii="Open Sans" w:hAnsi="Open Sans"/>
          <w:sz w:val="18"/>
          <w:szCs w:val="18"/>
        </w:rPr>
        <w:footnoteRef/>
      </w:r>
      <w:r w:rsidRPr="0099187E">
        <w:rPr>
          <w:rFonts w:ascii="Open Sans" w:hAnsi="Open Sans"/>
          <w:sz w:val="18"/>
          <w:szCs w:val="18"/>
          <w:lang w:val="fr-FR"/>
        </w:rPr>
        <w:t xml:space="preserve"> </w:t>
      </w:r>
      <w:hyperlink r:id="rId280" w:history="1">
        <w:r w:rsidRPr="0099187E">
          <w:rPr>
            <w:rStyle w:val="Hipervnculo"/>
            <w:rFonts w:ascii="Open Sans" w:hAnsi="Open Sans"/>
            <w:sz w:val="18"/>
            <w:szCs w:val="18"/>
            <w:lang w:val="fr-FR"/>
          </w:rPr>
          <w:t>http://www.sustainability-indices.com/images/DJSI_Review_Presentation_09_2014_final.pdf</w:t>
        </w:r>
      </w:hyperlink>
    </w:p>
    <w:p w14:paraId="43930D0C" w14:textId="77777777" w:rsidR="007F55EB" w:rsidRPr="0099187E" w:rsidRDefault="007F55EB" w:rsidP="0099187E">
      <w:pPr>
        <w:pStyle w:val="Textonotapie"/>
        <w:rPr>
          <w:lang w:val="fr-FR"/>
        </w:rPr>
      </w:pPr>
      <w:hyperlink r:id="rId281" w:history="1">
        <w:r w:rsidRPr="0099187E">
          <w:rPr>
            <w:rStyle w:val="Hipervnculo"/>
            <w:rFonts w:ascii="Open Sans" w:hAnsi="Open Sans"/>
            <w:sz w:val="18"/>
            <w:szCs w:val="18"/>
            <w:lang w:val="fr-FR"/>
          </w:rPr>
          <w:t>http://www.ftse.com/products/downloads/F4G-Index-Inclusion-Rules.pdf</w:t>
        </w:r>
      </w:hyperlink>
    </w:p>
  </w:footnote>
  <w:footnote w:id="413">
    <w:p w14:paraId="25A6C4B0" w14:textId="77777777" w:rsidR="007F55EB" w:rsidRPr="00A1554D" w:rsidRDefault="007F55EB" w:rsidP="00A1554D">
      <w:pPr>
        <w:pStyle w:val="Textonotapie"/>
        <w:rPr>
          <w:rFonts w:ascii="Open Sans" w:hAnsi="Open Sans"/>
          <w:sz w:val="18"/>
          <w:szCs w:val="18"/>
          <w:lang w:val="fr-FR"/>
        </w:rPr>
      </w:pPr>
      <w:r w:rsidRPr="00DD3371">
        <w:rPr>
          <w:rStyle w:val="Refdenotaalpie"/>
          <w:rFonts w:ascii="Open Sans" w:hAnsi="Open Sans"/>
          <w:sz w:val="18"/>
          <w:szCs w:val="18"/>
        </w:rPr>
        <w:footnoteRef/>
      </w:r>
      <w:r w:rsidRPr="00A1554D">
        <w:rPr>
          <w:rFonts w:ascii="Open Sans" w:hAnsi="Open Sans"/>
          <w:sz w:val="18"/>
          <w:szCs w:val="18"/>
          <w:lang w:val="fr-FR"/>
        </w:rPr>
        <w:t xml:space="preserve"> </w:t>
      </w:r>
      <w:hyperlink r:id="rId282" w:history="1">
        <w:r w:rsidRPr="00A1554D">
          <w:rPr>
            <w:rStyle w:val="Hipervnculo"/>
            <w:rFonts w:ascii="Open Sans" w:hAnsi="Open Sans"/>
            <w:sz w:val="18"/>
            <w:szCs w:val="18"/>
            <w:lang w:val="fr-FR"/>
          </w:rPr>
          <w:t>http://www.transparency.org/cpi2015/</w:t>
        </w:r>
      </w:hyperlink>
    </w:p>
  </w:footnote>
  <w:footnote w:id="414">
    <w:p w14:paraId="09D46730" w14:textId="77777777" w:rsidR="007F55EB" w:rsidRPr="00A1554D" w:rsidRDefault="007F55EB" w:rsidP="00A1554D">
      <w:pPr>
        <w:pStyle w:val="Textonotapie"/>
        <w:rPr>
          <w:rFonts w:ascii="Open Sans" w:hAnsi="Open Sans"/>
          <w:sz w:val="18"/>
          <w:szCs w:val="18"/>
          <w:lang w:val="fr-FR"/>
        </w:rPr>
      </w:pPr>
      <w:r w:rsidRPr="00DD3371">
        <w:rPr>
          <w:rStyle w:val="Refdenotaalpie"/>
          <w:rFonts w:ascii="Open Sans" w:hAnsi="Open Sans"/>
          <w:sz w:val="18"/>
          <w:szCs w:val="18"/>
        </w:rPr>
        <w:footnoteRef/>
      </w:r>
      <w:r w:rsidRPr="00A1554D">
        <w:rPr>
          <w:rFonts w:ascii="Open Sans" w:hAnsi="Open Sans"/>
          <w:sz w:val="18"/>
          <w:szCs w:val="18"/>
          <w:lang w:val="fr-FR"/>
        </w:rPr>
        <w:t xml:space="preserve"> </w:t>
      </w:r>
      <w:hyperlink r:id="rId283" w:history="1">
        <w:r w:rsidRPr="00A1554D">
          <w:rPr>
            <w:rStyle w:val="Hipervnculo"/>
            <w:rFonts w:ascii="Open Sans" w:hAnsi="Open Sans"/>
            <w:sz w:val="18"/>
            <w:szCs w:val="18"/>
            <w:lang w:val="fr-FR"/>
          </w:rPr>
          <w:t>http://www.smh.com.au/federal-politics/political-news/oil-and-gas-giants-to-face-parliamentary-inquiry-into-the-tax-and-royalties-they-pay-20161129-gszyob.html</w:t>
        </w:r>
      </w:hyperlink>
      <w:r w:rsidRPr="00A1554D">
        <w:rPr>
          <w:rFonts w:ascii="Open Sans" w:hAnsi="Open Sans"/>
          <w:sz w:val="18"/>
          <w:szCs w:val="18"/>
          <w:lang w:val="fr-FR"/>
        </w:rPr>
        <w:t xml:space="preserve"> </w:t>
      </w:r>
    </w:p>
  </w:footnote>
  <w:footnote w:id="415">
    <w:p w14:paraId="34874859" w14:textId="77777777" w:rsidR="007F55EB" w:rsidRPr="00A1554D" w:rsidRDefault="007F55EB" w:rsidP="00A1554D">
      <w:pPr>
        <w:pStyle w:val="Textonotapie"/>
        <w:rPr>
          <w:rFonts w:ascii="Open Sans" w:hAnsi="Open Sans"/>
          <w:sz w:val="18"/>
          <w:szCs w:val="18"/>
          <w:lang w:val="fr-FR"/>
        </w:rPr>
      </w:pPr>
      <w:r w:rsidRPr="00DD3371">
        <w:rPr>
          <w:rStyle w:val="Refdenotaalpie"/>
          <w:rFonts w:ascii="Open Sans" w:hAnsi="Open Sans"/>
          <w:sz w:val="18"/>
          <w:szCs w:val="18"/>
        </w:rPr>
        <w:footnoteRef/>
      </w:r>
      <w:r w:rsidRPr="00A1554D">
        <w:rPr>
          <w:rFonts w:ascii="Open Sans" w:hAnsi="Open Sans"/>
          <w:sz w:val="18"/>
          <w:szCs w:val="18"/>
          <w:lang w:val="fr-FR"/>
        </w:rPr>
        <w:t xml:space="preserve"> </w:t>
      </w:r>
      <w:hyperlink r:id="rId284" w:history="1">
        <w:r w:rsidRPr="00A1554D">
          <w:rPr>
            <w:rStyle w:val="Hipervnculo"/>
            <w:rFonts w:ascii="Open Sans" w:hAnsi="Open Sans"/>
            <w:sz w:val="18"/>
            <w:szCs w:val="18"/>
            <w:lang w:val="fr-FR"/>
          </w:rPr>
          <w:t>http://www.sustainability-indices.com/images/DJSI_Review_Presentation_09_2014_final.pdf</w:t>
        </w:r>
      </w:hyperlink>
    </w:p>
    <w:p w14:paraId="44EF42BE" w14:textId="77777777" w:rsidR="007F55EB" w:rsidRPr="00A1554D" w:rsidRDefault="007F55EB" w:rsidP="00A1554D">
      <w:pPr>
        <w:pStyle w:val="Textonotapie"/>
        <w:rPr>
          <w:rFonts w:ascii="Open Sans" w:hAnsi="Open Sans"/>
          <w:sz w:val="18"/>
          <w:szCs w:val="18"/>
          <w:lang w:val="fr-FR"/>
        </w:rPr>
      </w:pPr>
      <w:hyperlink r:id="rId285" w:history="1">
        <w:r w:rsidRPr="00A1554D">
          <w:rPr>
            <w:rStyle w:val="Hipervnculo"/>
            <w:rFonts w:ascii="Open Sans" w:hAnsi="Open Sans"/>
            <w:sz w:val="18"/>
            <w:szCs w:val="18"/>
            <w:lang w:val="fr-FR"/>
          </w:rPr>
          <w:t>http://www.ftse.com/products/downloads/F4G-Index-Inclusion-Rules.pdf</w:t>
        </w:r>
      </w:hyperlink>
    </w:p>
  </w:footnote>
  <w:footnote w:id="416">
    <w:p w14:paraId="29E046A5" w14:textId="77777777" w:rsidR="007F55EB" w:rsidRPr="00A1554D" w:rsidRDefault="007F55EB" w:rsidP="00A1554D">
      <w:pPr>
        <w:pStyle w:val="Textonotapie"/>
        <w:rPr>
          <w:rFonts w:ascii="Open Sans" w:hAnsi="Open Sans"/>
          <w:sz w:val="18"/>
          <w:szCs w:val="18"/>
          <w:lang w:val="fr-FR"/>
        </w:rPr>
      </w:pPr>
      <w:r w:rsidRPr="00DD3371">
        <w:rPr>
          <w:rStyle w:val="Refdenotaalpie"/>
          <w:rFonts w:ascii="Open Sans" w:hAnsi="Open Sans"/>
          <w:sz w:val="18"/>
          <w:szCs w:val="18"/>
        </w:rPr>
        <w:footnoteRef/>
      </w:r>
      <w:r w:rsidRPr="00A1554D">
        <w:rPr>
          <w:rFonts w:ascii="Open Sans" w:hAnsi="Open Sans"/>
          <w:sz w:val="18"/>
          <w:szCs w:val="18"/>
          <w:lang w:val="fr-FR"/>
        </w:rPr>
        <w:t xml:space="preserve"> </w:t>
      </w:r>
      <w:hyperlink r:id="rId286" w:history="1">
        <w:r w:rsidRPr="00A1554D">
          <w:rPr>
            <w:rStyle w:val="Hipervnculo"/>
            <w:rFonts w:ascii="Open Sans" w:hAnsi="Open Sans" w:cs="Open Sans"/>
            <w:sz w:val="18"/>
            <w:szCs w:val="18"/>
            <w:lang w:val="fr-FR"/>
          </w:rPr>
          <w:t>http://epoca1.valenciaplaza.com/ver/164219/gas-natural-fenosa-es-reconocida-como-lider-mundial-en-el-sector--utilities-.html</w:t>
        </w:r>
      </w:hyperlink>
    </w:p>
  </w:footnote>
  <w:footnote w:id="417">
    <w:p w14:paraId="1C02F6B2" w14:textId="77777777" w:rsidR="007F55EB" w:rsidRPr="00DD3371" w:rsidRDefault="007F55EB" w:rsidP="00A1554D">
      <w:pPr>
        <w:jc w:val="both"/>
        <w:rPr>
          <w:rFonts w:ascii="Open Sans" w:hAnsi="Open Sans" w:cs="Open Sans"/>
          <w:sz w:val="18"/>
          <w:szCs w:val="18"/>
        </w:rPr>
      </w:pPr>
      <w:r w:rsidRPr="00DD3371">
        <w:rPr>
          <w:rStyle w:val="Refdenotaalpie"/>
          <w:rFonts w:ascii="Open Sans" w:hAnsi="Open Sans"/>
          <w:sz w:val="18"/>
          <w:szCs w:val="18"/>
        </w:rPr>
        <w:footnoteRef/>
      </w:r>
      <w:r w:rsidRPr="00DD3371">
        <w:rPr>
          <w:rFonts w:ascii="Open Sans" w:hAnsi="Open Sans"/>
          <w:sz w:val="18"/>
          <w:szCs w:val="18"/>
        </w:rPr>
        <w:t xml:space="preserve"> </w:t>
      </w:r>
      <w:r w:rsidRPr="00DD3371">
        <w:rPr>
          <w:rFonts w:ascii="Open Sans" w:hAnsi="Open Sans" w:cs="Open Sans"/>
          <w:sz w:val="18"/>
          <w:szCs w:val="18"/>
        </w:rPr>
        <w:t>Fuente: Informe Anual Integrado (2015), pg. 301</w:t>
      </w:r>
    </w:p>
    <w:p w14:paraId="38BEBA78" w14:textId="77777777" w:rsidR="007F55EB" w:rsidRPr="00DD3371" w:rsidRDefault="007F55EB" w:rsidP="00A1554D">
      <w:pPr>
        <w:pStyle w:val="Textonotapie"/>
        <w:rPr>
          <w:rFonts w:ascii="Open Sans" w:hAnsi="Open Sans"/>
          <w:sz w:val="18"/>
          <w:szCs w:val="18"/>
        </w:rPr>
      </w:pPr>
    </w:p>
  </w:footnote>
  <w:footnote w:id="418">
    <w:p w14:paraId="08046317" w14:textId="77777777" w:rsidR="007F55EB" w:rsidRDefault="007F55EB" w:rsidP="00A1554D">
      <w:pPr>
        <w:pStyle w:val="Textonotapie"/>
      </w:pPr>
      <w:r w:rsidRPr="00DD3371">
        <w:rPr>
          <w:rStyle w:val="Refdenotaalpie"/>
          <w:rFonts w:ascii="Open Sans" w:hAnsi="Open Sans"/>
          <w:sz w:val="18"/>
          <w:szCs w:val="18"/>
        </w:rPr>
        <w:footnoteRef/>
      </w:r>
      <w:r w:rsidRPr="00DD3371">
        <w:rPr>
          <w:rFonts w:ascii="Open Sans" w:hAnsi="Open Sans"/>
          <w:sz w:val="18"/>
          <w:szCs w:val="18"/>
        </w:rPr>
        <w:t xml:space="preserve"> Informe Anual integrado, p. 218</w:t>
      </w:r>
    </w:p>
  </w:footnote>
  <w:footnote w:id="419">
    <w:p w14:paraId="04EB65DD"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w:t>
      </w:r>
      <w:hyperlink r:id="rId287" w:history="1">
        <w:r w:rsidRPr="0084699D">
          <w:rPr>
            <w:rStyle w:val="Hipervnculo"/>
            <w:rFonts w:ascii="Open Sans" w:hAnsi="Open Sans"/>
            <w:sz w:val="18"/>
            <w:szCs w:val="18"/>
          </w:rPr>
          <w:t>http://www.transparency.org/cpi2015/</w:t>
        </w:r>
      </w:hyperlink>
    </w:p>
  </w:footnote>
  <w:footnote w:id="420">
    <w:p w14:paraId="55AF908C"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w:t>
      </w:r>
      <w:hyperlink r:id="rId288" w:history="1">
        <w:r w:rsidRPr="0084699D">
          <w:rPr>
            <w:rStyle w:val="Hipervnculo"/>
            <w:rFonts w:ascii="Open Sans" w:hAnsi="Open Sans"/>
            <w:sz w:val="18"/>
            <w:szCs w:val="18"/>
          </w:rPr>
          <w:t>http://www.sustainability-indices.com/images/DJSI_Review_Presentation_09_2014_final.pdf</w:t>
        </w:r>
      </w:hyperlink>
    </w:p>
    <w:p w14:paraId="4B492CB7" w14:textId="77777777" w:rsidR="007F55EB" w:rsidRPr="0084699D" w:rsidRDefault="007F55EB" w:rsidP="00B837E7">
      <w:pPr>
        <w:pStyle w:val="Textonotapie"/>
        <w:rPr>
          <w:rFonts w:ascii="Open Sans" w:hAnsi="Open Sans"/>
          <w:sz w:val="18"/>
          <w:szCs w:val="18"/>
        </w:rPr>
      </w:pPr>
      <w:hyperlink r:id="rId289" w:history="1">
        <w:r w:rsidRPr="0084699D">
          <w:rPr>
            <w:rStyle w:val="Hipervnculo"/>
            <w:rFonts w:ascii="Open Sans" w:hAnsi="Open Sans"/>
            <w:sz w:val="18"/>
            <w:szCs w:val="18"/>
          </w:rPr>
          <w:t>http://www.ftse.com/products/downloads/F4G-Index-Inclusion-Rules.pdf</w:t>
        </w:r>
      </w:hyperlink>
    </w:p>
  </w:footnote>
  <w:footnote w:id="421">
    <w:p w14:paraId="51454ADC"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https://tethys.pnnl.gov/institution/atlantic-renewable-energy-corporation</w:t>
      </w:r>
    </w:p>
  </w:footnote>
  <w:footnote w:id="422">
    <w:p w14:paraId="6A55C6B7" w14:textId="77777777" w:rsidR="007F55EB" w:rsidRPr="00DD65EF" w:rsidRDefault="007F55EB" w:rsidP="00B837E7">
      <w:pPr>
        <w:pStyle w:val="Textonotapie"/>
        <w:rPr>
          <w:rFonts w:ascii="Open Sans" w:hAnsi="Open Sans"/>
          <w:sz w:val="18"/>
          <w:szCs w:val="18"/>
          <w:lang w:val="es-ES_tradnl"/>
        </w:rPr>
      </w:pPr>
      <w:r w:rsidRPr="00DD65EF">
        <w:rPr>
          <w:rStyle w:val="Refdenotaalpie"/>
          <w:rFonts w:ascii="Open Sans" w:hAnsi="Open Sans"/>
          <w:sz w:val="18"/>
          <w:szCs w:val="18"/>
        </w:rPr>
        <w:footnoteRef/>
      </w:r>
      <w:r w:rsidRPr="00DD65EF">
        <w:rPr>
          <w:rFonts w:ascii="Open Sans" w:hAnsi="Open Sans"/>
          <w:sz w:val="18"/>
          <w:szCs w:val="18"/>
        </w:rPr>
        <w:t xml:space="preserve"> http://www.bloomberg.com/research/stocks/private/snapshot.asp?privcapId=41638795</w:t>
      </w:r>
    </w:p>
  </w:footnote>
  <w:footnote w:id="423">
    <w:p w14:paraId="77B550CA"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Cuentas anuales consolidadas, p. 124</w:t>
      </w:r>
    </w:p>
  </w:footnote>
  <w:footnote w:id="424">
    <w:p w14:paraId="01E94E52"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w:t>
      </w:r>
      <w:hyperlink r:id="rId290" w:history="1">
        <w:r w:rsidRPr="0084699D">
          <w:rPr>
            <w:rStyle w:val="Hipervnculo"/>
            <w:rFonts w:ascii="Open Sans" w:hAnsi="Open Sans"/>
            <w:sz w:val="18"/>
            <w:szCs w:val="18"/>
          </w:rPr>
          <w:t>http://www.vozpopuli.com/economia-y-finanzas/empresas/Iberdrola-Ignacio_Sanchez_Galan-Reformas_0_609239081.html</w:t>
        </w:r>
      </w:hyperlink>
      <w:r w:rsidRPr="0084699D">
        <w:rPr>
          <w:rFonts w:ascii="Open Sans" w:hAnsi="Open Sans"/>
          <w:sz w:val="18"/>
          <w:szCs w:val="18"/>
        </w:rPr>
        <w:t xml:space="preserve"> </w:t>
      </w:r>
    </w:p>
  </w:footnote>
  <w:footnote w:id="425">
    <w:p w14:paraId="6E6E59B5"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w:t>
      </w:r>
      <w:hyperlink r:id="rId291" w:history="1">
        <w:r w:rsidRPr="0084699D">
          <w:rPr>
            <w:rStyle w:val="Hipervnculo"/>
            <w:rFonts w:ascii="Open Sans" w:hAnsi="Open Sans"/>
            <w:sz w:val="18"/>
            <w:szCs w:val="18"/>
          </w:rPr>
          <w:t>http://www.expansion.com/2007/02/20/opinion/firmas/963601.html</w:t>
        </w:r>
      </w:hyperlink>
      <w:r w:rsidRPr="0084699D">
        <w:rPr>
          <w:rFonts w:ascii="Open Sans" w:hAnsi="Open Sans"/>
          <w:sz w:val="18"/>
          <w:szCs w:val="18"/>
        </w:rPr>
        <w:t xml:space="preserve"> </w:t>
      </w:r>
    </w:p>
  </w:footnote>
  <w:footnote w:id="426">
    <w:p w14:paraId="1A745E42"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w:t>
      </w:r>
      <w:hyperlink r:id="rId292" w:history="1">
        <w:r w:rsidRPr="0084699D">
          <w:rPr>
            <w:rStyle w:val="Hipervnculo"/>
            <w:rFonts w:ascii="Open Sans" w:hAnsi="Open Sans"/>
            <w:sz w:val="18"/>
            <w:szCs w:val="18"/>
          </w:rPr>
          <w:t>http://www.vozpopuli.com/economia-y-finanzas/empresas/Iberdrola-Gamesa-Lobbys-Estados_Unidos-Barack_Obama_0_664133628.html</w:t>
        </w:r>
      </w:hyperlink>
    </w:p>
  </w:footnote>
  <w:footnote w:id="427">
    <w:p w14:paraId="7D50CAC9" w14:textId="77777777" w:rsidR="007F55EB" w:rsidRPr="0084699D" w:rsidRDefault="007F55EB" w:rsidP="00B837E7">
      <w:pPr>
        <w:pStyle w:val="Textonotapie"/>
        <w:rPr>
          <w:rFonts w:ascii="Open Sans" w:hAnsi="Open Sans"/>
          <w:sz w:val="18"/>
          <w:szCs w:val="18"/>
        </w:rPr>
      </w:pPr>
      <w:r w:rsidRPr="0084699D">
        <w:rPr>
          <w:rStyle w:val="Refdenotaalpie"/>
          <w:rFonts w:ascii="Open Sans" w:hAnsi="Open Sans"/>
          <w:sz w:val="18"/>
          <w:szCs w:val="18"/>
        </w:rPr>
        <w:footnoteRef/>
      </w:r>
      <w:r w:rsidRPr="0084699D">
        <w:rPr>
          <w:rFonts w:ascii="Open Sans" w:hAnsi="Open Sans"/>
          <w:sz w:val="18"/>
          <w:szCs w:val="18"/>
        </w:rPr>
        <w:t xml:space="preserve"> Cuentas anuales consolidadas, p. 124</w:t>
      </w:r>
    </w:p>
  </w:footnote>
  <w:footnote w:id="428">
    <w:p w14:paraId="1F8085CB" w14:textId="77777777" w:rsidR="007F55EB" w:rsidRDefault="007F55EB" w:rsidP="00B837E7">
      <w:pPr>
        <w:pStyle w:val="Textonotapie"/>
      </w:pPr>
      <w:r w:rsidRPr="0084699D">
        <w:rPr>
          <w:rStyle w:val="Refdenotaalpie"/>
          <w:rFonts w:ascii="Open Sans" w:hAnsi="Open Sans"/>
          <w:sz w:val="18"/>
          <w:szCs w:val="18"/>
        </w:rPr>
        <w:footnoteRef/>
      </w:r>
      <w:r w:rsidRPr="0084699D">
        <w:rPr>
          <w:rFonts w:ascii="Open Sans" w:hAnsi="Open Sans"/>
          <w:sz w:val="18"/>
          <w:szCs w:val="18"/>
        </w:rPr>
        <w:t xml:space="preserve"> Cuentas anuales consolidadas, p. 125</w:t>
      </w:r>
    </w:p>
  </w:footnote>
  <w:footnote w:id="429">
    <w:p w14:paraId="2099917E" w14:textId="77777777" w:rsidR="007F55EB" w:rsidRPr="00ED32E7" w:rsidRDefault="007F55EB" w:rsidP="00B837E7">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Estrategia renovada de la UE para 2011-2014 sobre la responsabilidad social de las empresas  (COM  (2011)  681  final)  señala que  las  empresas  deberían  trabajar  por implementar  una  buena gobernanza  fiscal  y  a  difundir  la  información  relativa  a  la </w:t>
      </w:r>
      <w:r w:rsidRPr="00ED32E7">
        <w:rPr>
          <w:rFonts w:ascii="Open Sans" w:hAnsi="Open Sans"/>
          <w:sz w:val="18"/>
          <w:szCs w:val="18"/>
        </w:rPr>
        <w:t xml:space="preserve">implementación de las normas sobre buena gobernanza fiscal.  </w:t>
      </w:r>
    </w:p>
  </w:footnote>
  <w:footnote w:id="430">
    <w:p w14:paraId="3E6F52F5" w14:textId="77777777" w:rsidR="007F55EB" w:rsidRPr="00ED32E7" w:rsidRDefault="007F55EB" w:rsidP="00B837E7">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OCDE, </w:t>
      </w:r>
      <w:r w:rsidRPr="00ED32E7">
        <w:rPr>
          <w:rFonts w:ascii="Open Sans" w:hAnsi="Open Sans" w:cs="Arial"/>
          <w:sz w:val="18"/>
          <w:szCs w:val="18"/>
        </w:rPr>
        <w:t>Líneas  directrices  para  empresas  multinacionales  (2011) dedica el capítulo IX a las cuestiones relacionadas con la tributación.</w:t>
      </w:r>
    </w:p>
  </w:footnote>
  <w:footnote w:id="431">
    <w:p w14:paraId="4FCE6615" w14:textId="77777777" w:rsidR="007F55EB" w:rsidRPr="00ED32E7" w:rsidRDefault="007F55EB" w:rsidP="00B837E7">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A favor de la información país a país se han manifestado diversas instituciones, destacándose,  “The  extractive  industries </w:t>
      </w:r>
      <w:r w:rsidRPr="004A5B7C">
        <w:rPr>
          <w:rFonts w:ascii="Open Sans" w:hAnsi="Open Sans" w:cs="Arial"/>
          <w:sz w:val="18"/>
          <w:szCs w:val="18"/>
        </w:rPr>
        <w:t>transparency initiative” (EITI); “The EU Accounting and Transparency directive”; “the Dodd-</w:t>
      </w:r>
      <w:r w:rsidRPr="00ED32E7">
        <w:rPr>
          <w:rFonts w:ascii="Open Sans" w:hAnsi="Open Sans" w:cs="Arial"/>
          <w:sz w:val="18"/>
          <w:szCs w:val="18"/>
        </w:rPr>
        <w:t>Frank  Act”;  y  “the  EU  Capital  Requirements  directive  IV”  (CRD  IV),  el  Proyecto  BEPS  de  la OCDE.  También  pueden  destacarse  iniciativas  de  otros  países  a  nivel  individual,  de  la sociedad civil (p.e. “Publish what you pay”) u organizaciones como Tax Justice Network.</w:t>
      </w:r>
    </w:p>
  </w:footnote>
  <w:footnote w:id="432">
    <w:p w14:paraId="43A5D10F" w14:textId="77777777" w:rsidR="007F55EB" w:rsidRPr="00C75AFB" w:rsidRDefault="007F55EB" w:rsidP="00DA58FD">
      <w:pPr>
        <w:pStyle w:val="Textonotapie"/>
        <w:rPr>
          <w:rFonts w:ascii="Open Sans" w:hAnsi="Open Sans"/>
          <w:sz w:val="18"/>
          <w:szCs w:val="18"/>
        </w:rPr>
      </w:pPr>
      <w:r w:rsidRPr="00C75AFB">
        <w:rPr>
          <w:rStyle w:val="Refdenotaalpie"/>
          <w:rFonts w:ascii="Open Sans" w:hAnsi="Open Sans"/>
          <w:sz w:val="18"/>
          <w:szCs w:val="18"/>
        </w:rPr>
        <w:footnoteRef/>
      </w:r>
      <w:r w:rsidRPr="00C75AFB">
        <w:rPr>
          <w:rFonts w:ascii="Open Sans" w:hAnsi="Open Sans"/>
          <w:sz w:val="18"/>
          <w:szCs w:val="18"/>
        </w:rPr>
        <w:t xml:space="preserve"> </w:t>
      </w:r>
      <w:hyperlink r:id="rId293" w:history="1">
        <w:r w:rsidRPr="00C75AFB">
          <w:rPr>
            <w:rStyle w:val="Hipervnculo"/>
            <w:rFonts w:ascii="Open Sans" w:hAnsi="Open Sans"/>
            <w:sz w:val="18"/>
            <w:szCs w:val="18"/>
          </w:rPr>
          <w:t>http://www.sustainability-indices.com/images/DJSI_Review_Presentation_09_2014_final.pdf</w:t>
        </w:r>
      </w:hyperlink>
    </w:p>
    <w:p w14:paraId="4B52002E" w14:textId="77777777" w:rsidR="007F55EB" w:rsidRPr="00C75AFB" w:rsidRDefault="007F55EB" w:rsidP="00DA58FD">
      <w:pPr>
        <w:pStyle w:val="Textonotapie"/>
        <w:rPr>
          <w:rFonts w:ascii="Open Sans" w:hAnsi="Open Sans"/>
          <w:sz w:val="18"/>
          <w:szCs w:val="18"/>
        </w:rPr>
      </w:pPr>
      <w:hyperlink r:id="rId294" w:history="1">
        <w:r w:rsidRPr="00C75AFB">
          <w:rPr>
            <w:rStyle w:val="Hipervnculo"/>
            <w:rFonts w:ascii="Open Sans" w:hAnsi="Open Sans"/>
            <w:sz w:val="18"/>
            <w:szCs w:val="18"/>
          </w:rPr>
          <w:t>http://www.ftse.com/products/downloads/F4G-Index-Inclusion-Rules.pdf</w:t>
        </w:r>
      </w:hyperlink>
    </w:p>
  </w:footnote>
  <w:footnote w:id="433">
    <w:p w14:paraId="23DDD10F" w14:textId="77777777" w:rsidR="007F55EB" w:rsidRPr="00C75096" w:rsidRDefault="007F55EB" w:rsidP="00DA58FD">
      <w:pPr>
        <w:pStyle w:val="Textonotapie"/>
        <w:rPr>
          <w:rFonts w:ascii="Open Sans" w:hAnsi="Open Sans"/>
          <w:sz w:val="18"/>
          <w:szCs w:val="18"/>
          <w:lang w:val="es-ES_tradnl"/>
        </w:rPr>
      </w:pPr>
      <w:r w:rsidRPr="00C75096">
        <w:rPr>
          <w:rStyle w:val="Refdenotaalpie"/>
          <w:rFonts w:ascii="Open Sans" w:hAnsi="Open Sans"/>
          <w:sz w:val="18"/>
          <w:szCs w:val="18"/>
        </w:rPr>
        <w:footnoteRef/>
      </w:r>
      <w:r w:rsidRPr="00C75096">
        <w:rPr>
          <w:rFonts w:ascii="Open Sans" w:hAnsi="Open Sans"/>
          <w:sz w:val="18"/>
          <w:szCs w:val="18"/>
        </w:rPr>
        <w:t xml:space="preserve"> </w:t>
      </w:r>
      <w:r w:rsidRPr="00C75096">
        <w:rPr>
          <w:rFonts w:ascii="Open Sans" w:hAnsi="Open Sans"/>
          <w:sz w:val="18"/>
          <w:szCs w:val="18"/>
          <w:lang w:val="es-ES_tradnl"/>
        </w:rPr>
        <w:t>Informe de Responsabilidad Social Corporativa 2015, pág. 42</w:t>
      </w:r>
    </w:p>
  </w:footnote>
  <w:footnote w:id="434">
    <w:p w14:paraId="0FA9F8F4" w14:textId="77777777" w:rsidR="007F55EB" w:rsidRPr="001A77FC" w:rsidRDefault="007F55EB" w:rsidP="00DA58FD">
      <w:pPr>
        <w:pStyle w:val="Textonotapie"/>
        <w:rPr>
          <w:rFonts w:ascii="Open Sans" w:hAnsi="Open Sans"/>
          <w:sz w:val="18"/>
          <w:szCs w:val="18"/>
          <w:lang w:val="es-ES_tradnl"/>
        </w:rPr>
      </w:pPr>
      <w:r w:rsidRPr="001A77FC">
        <w:rPr>
          <w:rStyle w:val="Refdenotaalpie"/>
          <w:rFonts w:ascii="Open Sans" w:hAnsi="Open Sans"/>
          <w:sz w:val="18"/>
          <w:szCs w:val="18"/>
        </w:rPr>
        <w:footnoteRef/>
      </w:r>
      <w:r w:rsidRPr="001A77FC">
        <w:rPr>
          <w:rFonts w:ascii="Open Sans" w:hAnsi="Open Sans"/>
          <w:sz w:val="18"/>
          <w:szCs w:val="18"/>
        </w:rPr>
        <w:t xml:space="preserve"> </w:t>
      </w:r>
      <w:r w:rsidRPr="001A77FC">
        <w:rPr>
          <w:rFonts w:ascii="Open Sans" w:hAnsi="Open Sans"/>
          <w:sz w:val="18"/>
          <w:szCs w:val="18"/>
          <w:lang w:val="es-ES_tradnl"/>
        </w:rPr>
        <w:t>Informe de Responsabilidad Social Corporativa 2015, pág. 9 y Cuentas Anules Consolidadas 2015, pág. 93</w:t>
      </w:r>
    </w:p>
  </w:footnote>
  <w:footnote w:id="435">
    <w:p w14:paraId="06C06D94" w14:textId="77777777" w:rsidR="007F55EB" w:rsidRPr="00147BA6" w:rsidRDefault="007F55EB" w:rsidP="00DA58FD">
      <w:pPr>
        <w:jc w:val="both"/>
        <w:rPr>
          <w:rFonts w:ascii="Open Sans" w:hAnsi="Open Sans" w:cs="Arial"/>
          <w:sz w:val="18"/>
          <w:szCs w:val="18"/>
        </w:rPr>
      </w:pPr>
      <w:r w:rsidRPr="00147BA6">
        <w:rPr>
          <w:rStyle w:val="Refdenotaalpie"/>
          <w:rFonts w:ascii="Open Sans" w:hAnsi="Open Sans"/>
          <w:sz w:val="18"/>
          <w:szCs w:val="18"/>
        </w:rPr>
        <w:footnoteRef/>
      </w:r>
      <w:r w:rsidRPr="00147BA6">
        <w:rPr>
          <w:rFonts w:ascii="Open Sans" w:hAnsi="Open Sans"/>
          <w:sz w:val="18"/>
          <w:szCs w:val="18"/>
        </w:rPr>
        <w:t xml:space="preserve"> </w:t>
      </w:r>
      <w:r w:rsidRPr="00147BA6">
        <w:rPr>
          <w:rFonts w:ascii="Open Sans" w:hAnsi="Open Sans" w:cs="Arial"/>
          <w:sz w:val="18"/>
          <w:szCs w:val="18"/>
        </w:rPr>
        <w:t>A favor de la información país a país se han manifestado diversas instituciones, destacándose,  “The  extractive  industries transparency initiative” (EITI); “The EU Accounting and Transparency directive”; “the Dodd-Frank  Act”;  y  “the  EU  Capital  Requirements  directive  IV”  (CRD  IV),  el  Proyecto  BEPS  de  la OCDE.  También  pueden  destacarse  iniciativas  de  otros  países  a  nivel  individual,  de  la sociedad civil (p.e. “Publish what you pay”) u organizaciones como Tax Justice Network.</w:t>
      </w:r>
    </w:p>
  </w:footnote>
  <w:footnote w:id="436">
    <w:p w14:paraId="1F387E71" w14:textId="77777777" w:rsidR="007F55EB" w:rsidRPr="00AF73EC" w:rsidRDefault="007F55EB" w:rsidP="00DA58FD">
      <w:pPr>
        <w:pStyle w:val="Textonotapie"/>
        <w:rPr>
          <w:lang w:val="es-ES_tradnl"/>
        </w:rPr>
      </w:pPr>
      <w:r w:rsidRPr="00AF73EC">
        <w:rPr>
          <w:rFonts w:ascii="Open Sans" w:hAnsi="Open Sans"/>
          <w:sz w:val="18"/>
          <w:szCs w:val="18"/>
          <w:vertAlign w:val="superscript"/>
          <w:lang w:val="es-ES_tradnl"/>
        </w:rPr>
        <w:footnoteRef/>
      </w:r>
      <w:r w:rsidRPr="00AF73EC">
        <w:rPr>
          <w:rFonts w:ascii="Open Sans" w:hAnsi="Open Sans"/>
          <w:sz w:val="18"/>
          <w:szCs w:val="18"/>
          <w:vertAlign w:val="superscript"/>
          <w:lang w:val="es-ES_tradnl"/>
        </w:rPr>
        <w:t xml:space="preserve"> </w:t>
      </w:r>
      <w:r w:rsidRPr="00AF73EC">
        <w:rPr>
          <w:rFonts w:ascii="Open Sans" w:hAnsi="Open Sans"/>
          <w:sz w:val="18"/>
          <w:szCs w:val="18"/>
          <w:lang w:val="es-ES_tradnl"/>
        </w:rPr>
        <w:t xml:space="preserve">Contribución Tributaria Total. </w:t>
      </w:r>
      <w:r w:rsidRPr="001A77FC">
        <w:rPr>
          <w:rFonts w:ascii="Open Sans" w:hAnsi="Open Sans"/>
          <w:sz w:val="18"/>
          <w:szCs w:val="18"/>
          <w:lang w:val="es-ES_tradnl"/>
        </w:rPr>
        <w:t xml:space="preserve">Informe de Responsabilidad Social Corporativa 2015, pág. </w:t>
      </w:r>
      <w:r>
        <w:rPr>
          <w:rFonts w:ascii="Open Sans" w:hAnsi="Open Sans"/>
          <w:sz w:val="18"/>
          <w:szCs w:val="18"/>
          <w:lang w:val="es-ES_tradnl"/>
        </w:rPr>
        <w:t>143</w:t>
      </w:r>
      <w:r w:rsidRPr="001A77FC">
        <w:rPr>
          <w:rFonts w:ascii="Open Sans" w:hAnsi="Open Sans"/>
          <w:sz w:val="18"/>
          <w:szCs w:val="18"/>
          <w:lang w:val="es-ES_tradnl"/>
        </w:rPr>
        <w:t xml:space="preserve"> </w:t>
      </w:r>
    </w:p>
  </w:footnote>
  <w:footnote w:id="437">
    <w:p w14:paraId="7BD90195" w14:textId="77777777" w:rsidR="007F55EB" w:rsidRPr="00A33975" w:rsidRDefault="007F55EB" w:rsidP="00903D51">
      <w:pPr>
        <w:pStyle w:val="Textonotapie"/>
        <w:rPr>
          <w:rFonts w:ascii="Open Sans" w:hAnsi="Open Sans"/>
          <w:sz w:val="18"/>
          <w:szCs w:val="18"/>
        </w:rPr>
      </w:pPr>
      <w:r w:rsidRPr="00A33975">
        <w:rPr>
          <w:rStyle w:val="Refdenotaalpie"/>
          <w:rFonts w:ascii="Open Sans" w:hAnsi="Open Sans"/>
          <w:szCs w:val="18"/>
        </w:rPr>
        <w:footnoteRef/>
      </w:r>
      <w:r w:rsidRPr="00A33975">
        <w:rPr>
          <w:rFonts w:ascii="Open Sans" w:hAnsi="Open Sans"/>
          <w:sz w:val="18"/>
          <w:szCs w:val="18"/>
        </w:rPr>
        <w:t xml:space="preserve"> </w:t>
      </w:r>
      <w:hyperlink r:id="rId295" w:history="1">
        <w:r w:rsidRPr="00A33975">
          <w:rPr>
            <w:rStyle w:val="Hipervnculo"/>
            <w:rFonts w:ascii="Open Sans" w:hAnsi="Open Sans"/>
            <w:sz w:val="18"/>
            <w:szCs w:val="18"/>
          </w:rPr>
          <w:t>https://www.repsol.com/es_es/corporacion/responsabilidad-corporativa/nuestros-compromisos/fiscalidad/paraisos-fiscales/</w:t>
        </w:r>
      </w:hyperlink>
      <w:r w:rsidRPr="00A33975">
        <w:rPr>
          <w:rFonts w:ascii="Open Sans" w:hAnsi="Open Sans"/>
          <w:sz w:val="18"/>
          <w:szCs w:val="18"/>
        </w:rPr>
        <w:t xml:space="preserve"> </w:t>
      </w:r>
    </w:p>
  </w:footnote>
  <w:footnote w:id="438">
    <w:p w14:paraId="4F1EB5FA" w14:textId="77777777" w:rsidR="007F55EB" w:rsidRPr="00BE65A1" w:rsidRDefault="007F55EB" w:rsidP="00903D51">
      <w:pPr>
        <w:pStyle w:val="Textocomentario"/>
        <w:rPr>
          <w:rFonts w:ascii="Open Sans" w:hAnsi="Open Sans" w:cs="Open Sans"/>
          <w:sz w:val="18"/>
          <w:szCs w:val="18"/>
        </w:rPr>
      </w:pPr>
      <w:r w:rsidRPr="00BE65A1">
        <w:rPr>
          <w:rStyle w:val="Refdenotaalpie"/>
          <w:rFonts w:ascii="Open Sans" w:hAnsi="Open Sans" w:cs="Open Sans"/>
          <w:szCs w:val="18"/>
        </w:rPr>
        <w:footnoteRef/>
      </w:r>
      <w:r w:rsidRPr="00BE65A1">
        <w:rPr>
          <w:rFonts w:ascii="Open Sans" w:hAnsi="Open Sans" w:cs="Open Sans"/>
          <w:sz w:val="18"/>
          <w:szCs w:val="18"/>
        </w:rPr>
        <w:t xml:space="preserve"> Se trata de una sociedad, de la que Repsol posee un 33% que es propietaria de una gasolinera.</w:t>
      </w:r>
    </w:p>
  </w:footnote>
  <w:footnote w:id="439">
    <w:p w14:paraId="6838139B" w14:textId="77777777" w:rsidR="007F55EB" w:rsidRPr="00A33975" w:rsidRDefault="007F55EB" w:rsidP="00903D51">
      <w:pPr>
        <w:pStyle w:val="Textonotapie"/>
        <w:rPr>
          <w:rFonts w:ascii="Open Sans" w:hAnsi="Open Sans" w:cs="Open Sans"/>
          <w:sz w:val="18"/>
          <w:szCs w:val="18"/>
        </w:rPr>
      </w:pPr>
      <w:r w:rsidRPr="00A33975">
        <w:rPr>
          <w:rStyle w:val="Refdenotaalpie"/>
          <w:rFonts w:ascii="Open Sans" w:hAnsi="Open Sans" w:cs="Open Sans"/>
          <w:szCs w:val="18"/>
        </w:rPr>
        <w:footnoteRef/>
      </w:r>
      <w:r w:rsidRPr="00A33975">
        <w:rPr>
          <w:rFonts w:ascii="Open Sans" w:hAnsi="Open Sans" w:cs="Open Sans"/>
          <w:sz w:val="18"/>
          <w:szCs w:val="18"/>
        </w:rPr>
        <w:t xml:space="preserve"> </w:t>
      </w:r>
      <w:hyperlink r:id="rId296" w:history="1">
        <w:r w:rsidRPr="00A33975">
          <w:rPr>
            <w:rStyle w:val="Hipervnculo"/>
            <w:rFonts w:ascii="Open Sans" w:hAnsi="Open Sans" w:cs="Open Sans"/>
            <w:sz w:val="18"/>
            <w:szCs w:val="18"/>
          </w:rPr>
          <w:t>https://www.repsol.com/es_es/corporacion/responsabilidad-corporativa/nuestros-compromisos/fiscalidad/estrategia/default.aspx</w:t>
        </w:r>
      </w:hyperlink>
      <w:r w:rsidRPr="00A33975">
        <w:rPr>
          <w:rFonts w:ascii="Open Sans" w:hAnsi="Open Sans" w:cs="Open Sans"/>
          <w:sz w:val="18"/>
          <w:szCs w:val="18"/>
        </w:rPr>
        <w:t xml:space="preserve"> </w:t>
      </w:r>
    </w:p>
    <w:p w14:paraId="4A550EB4" w14:textId="77777777" w:rsidR="007F55EB" w:rsidRPr="00A33975" w:rsidRDefault="007F55EB" w:rsidP="00903D51">
      <w:pPr>
        <w:pStyle w:val="Textonotapie"/>
        <w:rPr>
          <w:rFonts w:ascii="Open Sans" w:hAnsi="Open Sans" w:cs="Open Sans"/>
          <w:sz w:val="18"/>
          <w:szCs w:val="18"/>
        </w:rPr>
      </w:pPr>
      <w:hyperlink r:id="rId297" w:history="1">
        <w:r w:rsidRPr="00A33975">
          <w:rPr>
            <w:rStyle w:val="Hipervnculo"/>
            <w:rFonts w:ascii="Open Sans" w:hAnsi="Open Sans" w:cs="Open Sans"/>
            <w:sz w:val="18"/>
            <w:szCs w:val="18"/>
          </w:rPr>
          <w:t>https://www.repsol.com/es_es/corporacion/responsabilidad-corporativa/nuestros-compromisos/fiscalidad/politica-fiscal-corporativa/</w:t>
        </w:r>
      </w:hyperlink>
      <w:r w:rsidRPr="00A33975">
        <w:rPr>
          <w:rFonts w:ascii="Open Sans" w:hAnsi="Open Sans" w:cs="Open Sans"/>
          <w:sz w:val="18"/>
          <w:szCs w:val="18"/>
        </w:rPr>
        <w:t xml:space="preserve"> </w:t>
      </w:r>
    </w:p>
  </w:footnote>
  <w:footnote w:id="440">
    <w:p w14:paraId="5D33B3B5" w14:textId="77777777" w:rsidR="007F55EB" w:rsidRPr="00BD2FDB" w:rsidRDefault="007F55EB" w:rsidP="008E68EC">
      <w:pPr>
        <w:pStyle w:val="Textonotapie"/>
        <w:jc w:val="both"/>
        <w:rPr>
          <w:rFonts w:ascii="Open Sans" w:hAnsi="Open Sans"/>
          <w:sz w:val="18"/>
          <w:szCs w:val="18"/>
        </w:rPr>
      </w:pPr>
      <w:r w:rsidRPr="00BD2FDB">
        <w:rPr>
          <w:rStyle w:val="Refdenotaalpie"/>
          <w:rFonts w:ascii="Open Sans" w:hAnsi="Open Sans"/>
          <w:sz w:val="18"/>
          <w:szCs w:val="18"/>
        </w:rPr>
        <w:footnoteRef/>
      </w:r>
      <w:r w:rsidRPr="00BD2FDB">
        <w:rPr>
          <w:rFonts w:ascii="Open Sans" w:hAnsi="Open Sans"/>
          <w:sz w:val="18"/>
          <w:szCs w:val="18"/>
        </w:rPr>
        <w:t xml:space="preserve"> </w:t>
      </w:r>
      <w:hyperlink r:id="rId298" w:history="1">
        <w:r w:rsidRPr="00BD2FDB">
          <w:rPr>
            <w:rStyle w:val="Hipervnculo"/>
            <w:rFonts w:ascii="Open Sans" w:hAnsi="Open Sans"/>
            <w:sz w:val="18"/>
            <w:szCs w:val="18"/>
          </w:rPr>
          <w:t>http://www.sustainability-indices.com/images/DJSI_Review_Presentation_09_2014_final.pdf</w:t>
        </w:r>
      </w:hyperlink>
    </w:p>
    <w:p w14:paraId="238205B1" w14:textId="77777777" w:rsidR="007F55EB" w:rsidRPr="00BD2FDB" w:rsidRDefault="007F55EB" w:rsidP="008E68EC">
      <w:pPr>
        <w:pStyle w:val="Textonotapie"/>
        <w:jc w:val="both"/>
        <w:rPr>
          <w:rFonts w:ascii="Open Sans" w:hAnsi="Open Sans"/>
          <w:sz w:val="18"/>
          <w:szCs w:val="18"/>
        </w:rPr>
      </w:pPr>
      <w:hyperlink r:id="rId299" w:history="1">
        <w:r w:rsidRPr="00BD2FDB">
          <w:rPr>
            <w:rStyle w:val="Hipervnculo"/>
            <w:rFonts w:ascii="Open Sans" w:hAnsi="Open Sans"/>
            <w:sz w:val="18"/>
            <w:szCs w:val="18"/>
          </w:rPr>
          <w:t>http://www.ftse.com/products/downloads/F4G-Index-Inclusion-Rules.pdf</w:t>
        </w:r>
      </w:hyperlink>
    </w:p>
  </w:footnote>
  <w:footnote w:id="441">
    <w:p w14:paraId="4E211019" w14:textId="77777777" w:rsidR="007F55EB" w:rsidRPr="00BD2FDB" w:rsidRDefault="007F55EB" w:rsidP="008E68EC">
      <w:pPr>
        <w:pStyle w:val="Textonotapie"/>
        <w:jc w:val="both"/>
        <w:rPr>
          <w:rFonts w:ascii="Open Sans" w:hAnsi="Open Sans" w:cs="Open Sans"/>
          <w:sz w:val="18"/>
          <w:szCs w:val="18"/>
        </w:rPr>
      </w:pPr>
      <w:r w:rsidRPr="00BD2FDB">
        <w:rPr>
          <w:rStyle w:val="Refdenotaalpie"/>
          <w:rFonts w:ascii="Open Sans" w:hAnsi="Open Sans" w:cs="Open Sans"/>
          <w:sz w:val="18"/>
          <w:szCs w:val="18"/>
        </w:rPr>
        <w:footnoteRef/>
      </w:r>
      <w:r w:rsidRPr="00BD2FDB">
        <w:rPr>
          <w:rFonts w:ascii="Open Sans" w:hAnsi="Open Sans" w:cs="Open Sans"/>
          <w:sz w:val="18"/>
          <w:szCs w:val="18"/>
        </w:rPr>
        <w:t xml:space="preserve"> Memorando de Entendimiento (Memorandum of Understanding), impuesto en 2012 por las autoridades españolas y europeas.</w:t>
      </w:r>
    </w:p>
  </w:footnote>
  <w:footnote w:id="442">
    <w:p w14:paraId="65735CC8" w14:textId="77777777" w:rsidR="007F55EB" w:rsidRPr="00BD2FDB" w:rsidRDefault="007F55EB" w:rsidP="008E68EC">
      <w:pPr>
        <w:pStyle w:val="Textonotapie"/>
        <w:jc w:val="both"/>
        <w:rPr>
          <w:rFonts w:ascii="Open Sans" w:hAnsi="Open Sans"/>
          <w:sz w:val="18"/>
          <w:szCs w:val="18"/>
        </w:rPr>
      </w:pPr>
      <w:r w:rsidRPr="00BD2FDB">
        <w:rPr>
          <w:rStyle w:val="Refdenotaalpie"/>
          <w:rFonts w:ascii="Open Sans" w:hAnsi="Open Sans"/>
          <w:sz w:val="18"/>
          <w:szCs w:val="18"/>
        </w:rPr>
        <w:footnoteRef/>
      </w:r>
      <w:r w:rsidRPr="00BD2FDB">
        <w:rPr>
          <w:rFonts w:ascii="Open Sans" w:hAnsi="Open Sans"/>
          <w:sz w:val="18"/>
          <w:szCs w:val="18"/>
        </w:rPr>
        <w:t xml:space="preserve"> </w:t>
      </w:r>
      <w:hyperlink r:id="rId300" w:history="1">
        <w:r w:rsidRPr="00BD2FDB">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443">
    <w:p w14:paraId="15BB4C5C" w14:textId="77777777" w:rsidR="007F55EB" w:rsidRPr="00BD2FDB" w:rsidRDefault="007F55EB" w:rsidP="008E68EC">
      <w:pPr>
        <w:pStyle w:val="Textonotapie"/>
        <w:rPr>
          <w:rFonts w:ascii="Open Sans" w:hAnsi="Open Sans"/>
          <w:sz w:val="18"/>
          <w:szCs w:val="18"/>
        </w:rPr>
      </w:pPr>
      <w:r w:rsidRPr="00BD2FDB">
        <w:rPr>
          <w:rStyle w:val="Refdenotaalpie"/>
          <w:rFonts w:ascii="Open Sans" w:hAnsi="Open Sans"/>
          <w:sz w:val="18"/>
          <w:szCs w:val="18"/>
        </w:rPr>
        <w:footnoteRef/>
      </w:r>
      <w:r w:rsidRPr="00BD2FDB">
        <w:rPr>
          <w:rFonts w:ascii="Open Sans" w:hAnsi="Open Sans"/>
          <w:sz w:val="18"/>
          <w:szCs w:val="18"/>
        </w:rPr>
        <w:t xml:space="preserve"> </w:t>
      </w:r>
      <w:hyperlink r:id="rId301" w:history="1">
        <w:r w:rsidRPr="00BD2FDB">
          <w:rPr>
            <w:rStyle w:val="Hipervnculo"/>
            <w:rFonts w:ascii="Open Sans" w:hAnsi="Open Sans"/>
            <w:sz w:val="18"/>
            <w:szCs w:val="18"/>
          </w:rPr>
          <w:t>http://www.elconfidencial.com/empresas/2014-12-14/no-es-solo-pwc-deloitte-e-y-y-kpmg-tambien-ayudan-a-las-empresas-a-eludir-impuestos_589746/</w:t>
        </w:r>
      </w:hyperlink>
    </w:p>
  </w:footnote>
  <w:footnote w:id="444">
    <w:p w14:paraId="4D6D27E2" w14:textId="77777777" w:rsidR="007F55EB" w:rsidRPr="00BD2FDB" w:rsidRDefault="007F55EB" w:rsidP="008E68EC">
      <w:pPr>
        <w:pStyle w:val="Textonotapie"/>
        <w:jc w:val="both"/>
        <w:rPr>
          <w:rFonts w:ascii="Open Sans" w:hAnsi="Open Sans"/>
          <w:sz w:val="18"/>
          <w:szCs w:val="18"/>
        </w:rPr>
      </w:pPr>
      <w:r w:rsidRPr="00BD2FDB">
        <w:rPr>
          <w:rStyle w:val="Refdenotaalpie"/>
          <w:rFonts w:ascii="Open Sans" w:hAnsi="Open Sans"/>
          <w:sz w:val="18"/>
          <w:szCs w:val="18"/>
        </w:rPr>
        <w:footnoteRef/>
      </w:r>
      <w:r w:rsidRPr="00BD2FDB">
        <w:rPr>
          <w:rFonts w:ascii="Open Sans" w:hAnsi="Open Sans"/>
          <w:sz w:val="18"/>
          <w:szCs w:val="18"/>
        </w:rPr>
        <w:t xml:space="preserve"> </w:t>
      </w:r>
      <w:hyperlink r:id="rId302" w:history="1">
        <w:r w:rsidRPr="00BD2FDB">
          <w:rPr>
            <w:rStyle w:val="Hipervnculo"/>
            <w:rFonts w:ascii="Open Sans" w:hAnsi="Open Sans"/>
            <w:sz w:val="18"/>
            <w:szCs w:val="18"/>
          </w:rPr>
          <w:t>http://www.elmundo.es/economia/2016/05/19/573dab66268e3e8c598b45fe.html</w:t>
        </w:r>
      </w:hyperlink>
    </w:p>
    <w:p w14:paraId="6F9FE75C" w14:textId="77777777" w:rsidR="007F55EB" w:rsidRPr="00BD2FDB" w:rsidRDefault="007F55EB" w:rsidP="008E68EC">
      <w:pPr>
        <w:pStyle w:val="Textonotapie"/>
        <w:jc w:val="both"/>
        <w:rPr>
          <w:rFonts w:ascii="Open Sans" w:hAnsi="Open Sans"/>
          <w:sz w:val="18"/>
          <w:szCs w:val="18"/>
        </w:rPr>
      </w:pPr>
      <w:hyperlink r:id="rId303" w:history="1">
        <w:r w:rsidRPr="00BD2FDB">
          <w:rPr>
            <w:rStyle w:val="Hipervnculo"/>
            <w:rFonts w:ascii="Open Sans" w:hAnsi="Open Sans"/>
            <w:sz w:val="18"/>
            <w:szCs w:val="18"/>
          </w:rPr>
          <w:t>http://www.elconfidencial.com/empresas/2013-09-08/cuanto-ha-costado-de-verdad-el-rescate-de-la-banca-100-000-millones-de-euros_25562/</w:t>
        </w:r>
      </w:hyperlink>
    </w:p>
  </w:footnote>
  <w:footnote w:id="445">
    <w:p w14:paraId="647BA197" w14:textId="77777777" w:rsidR="007F55EB" w:rsidRPr="002E26B5" w:rsidRDefault="007F55EB" w:rsidP="008E68EC">
      <w:pPr>
        <w:pStyle w:val="Textonotapie"/>
        <w:jc w:val="both"/>
        <w:rPr>
          <w:rFonts w:ascii="Open Sans" w:hAnsi="Open Sans" w:cs="Open Sans"/>
          <w:sz w:val="16"/>
          <w:szCs w:val="16"/>
        </w:rPr>
      </w:pPr>
      <w:r w:rsidRPr="00BD2FDB">
        <w:rPr>
          <w:rStyle w:val="Refdenotaalpie"/>
          <w:rFonts w:ascii="Open Sans" w:hAnsi="Open Sans" w:cs="Open Sans"/>
          <w:sz w:val="18"/>
          <w:szCs w:val="18"/>
        </w:rPr>
        <w:footnoteRef/>
      </w:r>
      <w:r w:rsidRPr="00BD2FDB">
        <w:rPr>
          <w:rFonts w:ascii="Open Sans" w:hAnsi="Open Sans" w:cs="Open Sans"/>
          <w:sz w:val="18"/>
          <w:szCs w:val="18"/>
        </w:rPr>
        <w:t xml:space="preserve"> Banco de España. 12/6/14. Nota informativa sobre las ayudas financieras públicas en el proceso de recapitalización del sistema bancario español (2009-2013).</w:t>
      </w:r>
    </w:p>
  </w:footnote>
  <w:footnote w:id="446">
    <w:p w14:paraId="7F0708CD" w14:textId="77777777" w:rsidR="007F55EB" w:rsidRPr="00186AFD" w:rsidRDefault="007F55EB" w:rsidP="008E68EC">
      <w:pPr>
        <w:rPr>
          <w:rFonts w:ascii="Open Sans" w:hAnsi="Open Sans"/>
          <w:sz w:val="18"/>
          <w:szCs w:val="18"/>
        </w:rPr>
      </w:pPr>
      <w:r w:rsidRPr="00385F65">
        <w:rPr>
          <w:rStyle w:val="Caracteresdenotaalpie"/>
          <w:rFonts w:ascii="Open Sans" w:hAnsi="Open Sans"/>
          <w:sz w:val="18"/>
          <w:szCs w:val="18"/>
        </w:rPr>
        <w:footnoteRef/>
      </w:r>
      <w:r>
        <w:rPr>
          <w:rFonts w:ascii="Open Sans" w:eastAsia="Open Sans" w:hAnsi="Open Sans"/>
          <w:sz w:val="18"/>
          <w:szCs w:val="18"/>
        </w:rPr>
        <w:t xml:space="preserve"> </w:t>
      </w:r>
      <w:r w:rsidRPr="00186AFD">
        <w:rPr>
          <w:rFonts w:ascii="Open Sans" w:eastAsia="Open Sans" w:hAnsi="Open Sans"/>
          <w:sz w:val="18"/>
          <w:szCs w:val="18"/>
        </w:rPr>
        <w:t>CCAA Consolidadas 2015, Pg. 9</w:t>
      </w:r>
    </w:p>
  </w:footnote>
  <w:footnote w:id="447">
    <w:p w14:paraId="4BE9A7B8" w14:textId="77777777" w:rsidR="007F55EB" w:rsidRPr="00186AFD" w:rsidRDefault="007F55EB" w:rsidP="008E68EC">
      <w:pPr>
        <w:rPr>
          <w:rFonts w:ascii="Open Sans" w:hAnsi="Open Sans"/>
          <w:sz w:val="18"/>
          <w:szCs w:val="18"/>
        </w:rPr>
      </w:pPr>
      <w:r w:rsidRPr="00385F65">
        <w:rPr>
          <w:rStyle w:val="Caracteresdenotaalpie"/>
          <w:rFonts w:ascii="Open Sans" w:hAnsi="Open Sans"/>
          <w:sz w:val="18"/>
          <w:szCs w:val="18"/>
        </w:rPr>
        <w:footnoteRef/>
      </w:r>
      <w:r w:rsidRPr="00385F65">
        <w:rPr>
          <w:rFonts w:ascii="Open Sans" w:hAnsi="Open Sans"/>
          <w:sz w:val="18"/>
          <w:szCs w:val="18"/>
          <w:vertAlign w:val="superscript"/>
        </w:rPr>
        <w:t xml:space="preserve"> </w:t>
      </w:r>
      <w:r w:rsidRPr="00186AFD">
        <w:rPr>
          <w:rFonts w:ascii="Open Sans" w:eastAsia="Open Sans" w:hAnsi="Open Sans"/>
          <w:sz w:val="18"/>
          <w:szCs w:val="18"/>
        </w:rPr>
        <w:t>Es propietario del 100% de Línea Directa Aseguradora, LDA, CCAA Consolidadas 2015, Pg. 60.</w:t>
      </w:r>
    </w:p>
  </w:footnote>
  <w:footnote w:id="448">
    <w:p w14:paraId="5DD41270" w14:textId="77777777" w:rsidR="007F55EB" w:rsidRPr="00186AFD" w:rsidRDefault="007F55EB" w:rsidP="008E68EC">
      <w:pPr>
        <w:rPr>
          <w:rFonts w:ascii="Open Sans" w:hAnsi="Open Sans"/>
          <w:sz w:val="18"/>
          <w:szCs w:val="18"/>
        </w:rPr>
      </w:pPr>
      <w:r w:rsidRPr="00385F65">
        <w:rPr>
          <w:rStyle w:val="Caracteresdenotaalpie"/>
          <w:rFonts w:ascii="Open Sans" w:hAnsi="Open Sans"/>
          <w:sz w:val="18"/>
          <w:szCs w:val="18"/>
        </w:rPr>
        <w:footnoteRef/>
      </w:r>
      <w:r w:rsidRPr="00385F65">
        <w:rPr>
          <w:rFonts w:ascii="Open Sans" w:hAnsi="Open Sans"/>
          <w:sz w:val="18"/>
          <w:szCs w:val="18"/>
          <w:vertAlign w:val="superscript"/>
        </w:rPr>
        <w:t xml:space="preserve">  </w:t>
      </w:r>
      <w:hyperlink r:id="rId304" w:history="1">
        <w:r w:rsidRPr="00186AFD">
          <w:rPr>
            <w:rStyle w:val="Hipervnculo"/>
            <w:rFonts w:ascii="Open Sans" w:hAnsi="Open Sans" w:cs="Open Sans"/>
            <w:sz w:val="18"/>
            <w:szCs w:val="18"/>
          </w:rPr>
          <w:t>https://webcorporativa.bankinter.com/www2/corporativa/es/gobierno_corporativo/paticipadas_filiales</w:t>
        </w:r>
      </w:hyperlink>
      <w:r w:rsidRPr="00186AFD">
        <w:rPr>
          <w:rFonts w:ascii="Open Sans" w:hAnsi="Open Sans"/>
          <w:sz w:val="18"/>
          <w:szCs w:val="18"/>
        </w:rPr>
        <w:t xml:space="preserve"> </w:t>
      </w:r>
    </w:p>
  </w:footnote>
  <w:footnote w:id="449">
    <w:p w14:paraId="2BD42F4D" w14:textId="77777777" w:rsidR="007F55EB" w:rsidRPr="00186AFD" w:rsidRDefault="007F55EB" w:rsidP="008E68EC">
      <w:pPr>
        <w:jc w:val="both"/>
        <w:rPr>
          <w:rFonts w:ascii="Open Sans" w:hAnsi="Open Sans"/>
          <w:sz w:val="18"/>
          <w:szCs w:val="18"/>
        </w:rPr>
      </w:pPr>
      <w:r w:rsidRPr="00385F65">
        <w:rPr>
          <w:rStyle w:val="Caracteresdenotaalpie"/>
          <w:rFonts w:ascii="Open Sans" w:hAnsi="Open Sans"/>
          <w:sz w:val="18"/>
          <w:szCs w:val="18"/>
        </w:rPr>
        <w:footnoteRef/>
      </w:r>
      <w:r w:rsidRPr="00385F65">
        <w:rPr>
          <w:rFonts w:ascii="Open Sans" w:hAnsi="Open Sans"/>
          <w:sz w:val="18"/>
          <w:szCs w:val="18"/>
          <w:vertAlign w:val="superscript"/>
        </w:rPr>
        <w:t xml:space="preserve"> </w:t>
      </w:r>
      <w:r w:rsidRPr="00186AFD">
        <w:rPr>
          <w:rFonts w:ascii="Open Sans" w:hAnsi="Open Sans"/>
          <w:sz w:val="18"/>
          <w:szCs w:val="18"/>
        </w:rPr>
        <w:t>Antes denominada Gneis Global Services, S.A</w:t>
      </w:r>
    </w:p>
  </w:footnote>
  <w:footnote w:id="450">
    <w:p w14:paraId="062763EF" w14:textId="77777777" w:rsidR="007F55EB" w:rsidRPr="00186AFD" w:rsidRDefault="007F55EB" w:rsidP="008E68EC">
      <w:pPr>
        <w:jc w:val="both"/>
        <w:rPr>
          <w:rFonts w:ascii="Open Sans" w:hAnsi="Open Sans"/>
          <w:sz w:val="18"/>
          <w:szCs w:val="18"/>
        </w:rPr>
      </w:pPr>
      <w:r w:rsidRPr="00385F65">
        <w:rPr>
          <w:rStyle w:val="Caracteresdenotaalpie"/>
          <w:rFonts w:ascii="Open Sans" w:hAnsi="Open Sans"/>
          <w:sz w:val="18"/>
          <w:szCs w:val="18"/>
        </w:rPr>
        <w:footnoteRef/>
      </w:r>
      <w:r>
        <w:rPr>
          <w:rFonts w:ascii="Open Sans" w:eastAsia="Open Sans" w:hAnsi="Open Sans"/>
          <w:sz w:val="18"/>
          <w:szCs w:val="18"/>
          <w:vertAlign w:val="superscript"/>
        </w:rPr>
        <w:t xml:space="preserve"> </w:t>
      </w:r>
      <w:r w:rsidRPr="00186AFD">
        <w:rPr>
          <w:rFonts w:ascii="Open Sans" w:eastAsia="Open Sans" w:hAnsi="Open Sans"/>
          <w:sz w:val="18"/>
          <w:szCs w:val="18"/>
        </w:rPr>
        <w:t>A través de la participada Castellana Finance Ltd., vehículo de propósito especial integrada en el grupo el 30/06/2013.</w:t>
      </w:r>
    </w:p>
  </w:footnote>
  <w:footnote w:id="451">
    <w:p w14:paraId="30317BD3" w14:textId="77777777" w:rsidR="007F55EB" w:rsidRPr="00186AFD" w:rsidRDefault="007F55EB" w:rsidP="008E68EC">
      <w:pPr>
        <w:jc w:val="both"/>
        <w:rPr>
          <w:rFonts w:ascii="Open Sans" w:hAnsi="Open Sans"/>
          <w:sz w:val="18"/>
          <w:szCs w:val="18"/>
        </w:rPr>
      </w:pPr>
      <w:r w:rsidRPr="00385F65">
        <w:rPr>
          <w:rStyle w:val="Caracteresdenotaalpie"/>
          <w:rFonts w:ascii="Open Sans" w:hAnsi="Open Sans"/>
          <w:sz w:val="18"/>
          <w:szCs w:val="18"/>
        </w:rPr>
        <w:footnoteRef/>
      </w:r>
      <w:r w:rsidRPr="00385F65">
        <w:rPr>
          <w:rFonts w:ascii="Open Sans" w:eastAsia="Open Sans" w:hAnsi="Open Sans"/>
          <w:sz w:val="18"/>
          <w:szCs w:val="18"/>
          <w:vertAlign w:val="superscript"/>
        </w:rPr>
        <w:t xml:space="preserve"> </w:t>
      </w:r>
      <w:r w:rsidRPr="00186AFD">
        <w:rPr>
          <w:rFonts w:ascii="Open Sans" w:eastAsia="Open Sans" w:hAnsi="Open Sans"/>
          <w:sz w:val="18"/>
          <w:szCs w:val="18"/>
        </w:rPr>
        <w:t>A través de la filial Bankinter Luxembourg, S.A., que se incorporó al grupo el primer semestre de 2013. Esta filial es fruto del acuerdo con el banco holandés Van Lanschot Bankiers N.V para adquirir su filial en Luxemburgo Van Lanschot Bankier (Luxembourg) S.A.</w:t>
      </w:r>
    </w:p>
  </w:footnote>
  <w:footnote w:id="452">
    <w:p w14:paraId="756829BC" w14:textId="77777777" w:rsidR="007F55EB" w:rsidRDefault="007F55EB" w:rsidP="008E68EC">
      <w:pPr>
        <w:jc w:val="both"/>
      </w:pPr>
      <w:r w:rsidRPr="00385F65">
        <w:rPr>
          <w:rStyle w:val="Caracteresdenotaalpie"/>
          <w:rFonts w:ascii="Open Sans" w:hAnsi="Open Sans"/>
          <w:sz w:val="18"/>
          <w:szCs w:val="18"/>
        </w:rPr>
        <w:footnoteRef/>
      </w:r>
      <w:r>
        <w:rPr>
          <w:rFonts w:ascii="Open Sans" w:hAnsi="Open Sans"/>
          <w:sz w:val="18"/>
          <w:szCs w:val="18"/>
        </w:rPr>
        <w:t xml:space="preserve"> </w:t>
      </w:r>
      <w:r w:rsidRPr="00186AFD">
        <w:rPr>
          <w:rFonts w:ascii="Open Sans" w:hAnsi="Open Sans"/>
          <w:sz w:val="18"/>
          <w:szCs w:val="18"/>
        </w:rPr>
        <w:t>“El 2 de septiembre de 2015 Bankinter, S.A., alcanzó un acuerdo con Barclays PLC para la adquisición por Bankinter, S.A. de la red minorista de Barclays en Portugal, y por otra parte para la adquisición por Bankinter Seguros de Vida, compagina conjunta de Mapfre con Bankinter del negocio asegurador de Barclays en el país luso.”  A la fecha de formulación de las cuentas anuales del ejercicio 2015 aún no se ha materializado dicha adquisición, que está prevista para principios del 2016. CCAA Consolidadas 2015, Pg.186-187, 203.</w:t>
      </w:r>
    </w:p>
  </w:footnote>
  <w:footnote w:id="453">
    <w:p w14:paraId="38161A91" w14:textId="77777777" w:rsidR="007F55EB" w:rsidRPr="00186AFD" w:rsidRDefault="007F55EB" w:rsidP="008E68EC">
      <w:pPr>
        <w:rPr>
          <w:rFonts w:ascii="Open Sans" w:hAnsi="Open Sans"/>
          <w:sz w:val="18"/>
          <w:szCs w:val="18"/>
        </w:rPr>
      </w:pPr>
      <w:r w:rsidRPr="00186AFD">
        <w:rPr>
          <w:rStyle w:val="Caracteresdenotaalpie"/>
          <w:rFonts w:ascii="Open Sans" w:hAnsi="Open Sans"/>
          <w:sz w:val="18"/>
          <w:szCs w:val="18"/>
        </w:rPr>
        <w:footnoteRef/>
      </w:r>
      <w:r>
        <w:rPr>
          <w:rFonts w:ascii="Open Sans" w:hAnsi="Open Sans"/>
          <w:sz w:val="18"/>
          <w:szCs w:val="18"/>
        </w:rPr>
        <w:t xml:space="preserve"> </w:t>
      </w:r>
      <w:r w:rsidRPr="00186AFD">
        <w:rPr>
          <w:rFonts w:ascii="Open Sans" w:hAnsi="Open Sans"/>
          <w:sz w:val="18"/>
          <w:szCs w:val="18"/>
        </w:rPr>
        <w:t>IGC2015, pg. 34</w:t>
      </w:r>
    </w:p>
  </w:footnote>
  <w:footnote w:id="454">
    <w:p w14:paraId="4305FD86" w14:textId="77777777" w:rsidR="007F55EB" w:rsidRPr="004F5924" w:rsidRDefault="007F55EB" w:rsidP="008E68EC">
      <w:pPr>
        <w:rPr>
          <w:lang w:val="ca-ES"/>
        </w:rPr>
      </w:pPr>
      <w:r w:rsidRPr="00186AFD">
        <w:rPr>
          <w:rStyle w:val="Refdenotaalpie"/>
          <w:rFonts w:ascii="Open Sans" w:hAnsi="Open Sans" w:cs="Open Sans"/>
          <w:sz w:val="18"/>
          <w:szCs w:val="18"/>
        </w:rPr>
        <w:footnoteRef/>
      </w:r>
      <w:r w:rsidRPr="00186AFD">
        <w:rPr>
          <w:rFonts w:ascii="Open Sans" w:hAnsi="Open Sans"/>
          <w:sz w:val="18"/>
          <w:szCs w:val="18"/>
        </w:rPr>
        <w:t xml:space="preserve"> http://www.oecd.org/tax/administration/buildingtransparenttaxcompliancebybanks.htm</w:t>
      </w:r>
    </w:p>
  </w:footnote>
  <w:footnote w:id="455">
    <w:p w14:paraId="57DBD725" w14:textId="77777777" w:rsidR="007F55EB" w:rsidRPr="00186AFD" w:rsidRDefault="007F55EB" w:rsidP="008E68EC">
      <w:pPr>
        <w:rPr>
          <w:rFonts w:ascii="Open Sans" w:hAnsi="Open Sans"/>
          <w:sz w:val="18"/>
          <w:szCs w:val="18"/>
          <w:vertAlign w:val="superscript"/>
        </w:rPr>
      </w:pPr>
      <w:r w:rsidRPr="00186AFD">
        <w:rPr>
          <w:rStyle w:val="Caracteresdenotaalpie"/>
          <w:rFonts w:ascii="Open Sans" w:hAnsi="Open Sans"/>
          <w:sz w:val="18"/>
          <w:szCs w:val="18"/>
        </w:rPr>
        <w:footnoteRef/>
      </w:r>
    </w:p>
    <w:p w14:paraId="27D97BA3" w14:textId="77777777" w:rsidR="007F55EB" w:rsidRPr="00186AFD" w:rsidRDefault="007F55EB" w:rsidP="008E68EC">
      <w:pPr>
        <w:rPr>
          <w:rFonts w:ascii="Open Sans" w:hAnsi="Open Sans"/>
          <w:sz w:val="18"/>
          <w:szCs w:val="18"/>
        </w:rPr>
      </w:pPr>
      <w:hyperlink r:id="rId305" w:history="1">
        <w:r w:rsidRPr="00A1554D">
          <w:rPr>
            <w:rStyle w:val="Hipervnculo"/>
            <w:rFonts w:ascii="Open Sans" w:hAnsi="Open Sans" w:cs="Open Sans"/>
            <w:sz w:val="18"/>
            <w:szCs w:val="18"/>
          </w:rPr>
          <w:t>http://www.euroabs.com/OpenIssueAccess.aspx?issueid=8810</w:t>
        </w:r>
      </w:hyperlink>
      <w:r w:rsidRPr="00A1554D">
        <w:rPr>
          <w:rFonts w:ascii="Open Sans" w:hAnsi="Open Sans" w:cs="Open Sans"/>
          <w:sz w:val="18"/>
          <w:szCs w:val="18"/>
        </w:rPr>
        <w:t xml:space="preserve"> </w:t>
      </w:r>
      <w:hyperlink r:id="rId306" w:history="1">
        <w:r w:rsidRPr="00A1554D">
          <w:rPr>
            <w:rStyle w:val="Hipervnculo"/>
            <w:rFonts w:ascii="Open Sans" w:hAnsi="Open Sans" w:cs="Open Sans"/>
            <w:sz w:val="18"/>
            <w:szCs w:val="18"/>
          </w:rPr>
          <w:t>http://www.bloomberg.com/apps/news?pid=newsarchive&amp;sid=a22uWetA9lWU</w:t>
        </w:r>
      </w:hyperlink>
    </w:p>
  </w:footnote>
  <w:footnote w:id="456">
    <w:p w14:paraId="5D68E3D8" w14:textId="77777777" w:rsidR="007F55EB" w:rsidRDefault="007F55EB" w:rsidP="008E68EC">
      <w:r w:rsidRPr="00186AFD">
        <w:rPr>
          <w:rStyle w:val="Caracteresdenotaalpie"/>
          <w:rFonts w:ascii="Open Sans" w:hAnsi="Open Sans"/>
          <w:sz w:val="18"/>
          <w:szCs w:val="18"/>
        </w:rPr>
        <w:footnoteRef/>
      </w:r>
      <w:r>
        <w:rPr>
          <w:rFonts w:ascii="Open Sans" w:hAnsi="Open Sans" w:cs="Open Sans"/>
          <w:sz w:val="18"/>
          <w:szCs w:val="18"/>
          <w:vertAlign w:val="superscript"/>
        </w:rPr>
        <w:t xml:space="preserve"> </w:t>
      </w:r>
      <w:r w:rsidRPr="00A1554D">
        <w:rPr>
          <w:rFonts w:ascii="Open Sans" w:hAnsi="Open Sans" w:cs="Open Sans"/>
          <w:sz w:val="18"/>
          <w:szCs w:val="18"/>
        </w:rPr>
        <w:t>CACG2013, pg. 209.</w:t>
      </w:r>
    </w:p>
  </w:footnote>
  <w:footnote w:id="457">
    <w:p w14:paraId="1BF9C830" w14:textId="77777777" w:rsidR="007F55EB" w:rsidRPr="00186AFD" w:rsidRDefault="007F55EB" w:rsidP="008E68EC">
      <w:pPr>
        <w:jc w:val="both"/>
        <w:rPr>
          <w:rFonts w:ascii="Open Sans" w:hAnsi="Open Sans"/>
          <w:sz w:val="18"/>
          <w:szCs w:val="18"/>
        </w:rPr>
      </w:pPr>
      <w:r w:rsidRPr="00186AFD">
        <w:rPr>
          <w:rStyle w:val="Caracteresdenotaalpie"/>
          <w:rFonts w:ascii="Open Sans" w:hAnsi="Open Sans"/>
          <w:sz w:val="18"/>
          <w:szCs w:val="18"/>
        </w:rPr>
        <w:footnoteRef/>
      </w:r>
      <w:r w:rsidRPr="00A1554D">
        <w:rPr>
          <w:rStyle w:val="Caracteresdenotaalpie"/>
          <w:rFonts w:ascii="Open Sans" w:hAnsi="Open Sans"/>
          <w:sz w:val="18"/>
          <w:szCs w:val="18"/>
        </w:rPr>
        <w:t xml:space="preserve"> </w:t>
      </w:r>
      <w:r w:rsidRPr="00A1554D">
        <w:rPr>
          <w:rFonts w:ascii="Open Sans" w:hAnsi="Open Sans"/>
          <w:sz w:val="18"/>
          <w:szCs w:val="18"/>
        </w:rPr>
        <w:t>CACG2013, pg. 63.</w:t>
      </w:r>
    </w:p>
  </w:footnote>
  <w:footnote w:id="458">
    <w:p w14:paraId="5881906F" w14:textId="77777777" w:rsidR="007F55EB" w:rsidRPr="00186AFD" w:rsidRDefault="007F55EB" w:rsidP="008E68EC">
      <w:pPr>
        <w:jc w:val="both"/>
        <w:rPr>
          <w:rFonts w:ascii="Open Sans" w:hAnsi="Open Sans"/>
          <w:sz w:val="18"/>
          <w:szCs w:val="18"/>
        </w:rPr>
      </w:pPr>
      <w:r w:rsidRPr="00186AFD">
        <w:rPr>
          <w:rStyle w:val="Caracteresdenotaalpie"/>
          <w:rFonts w:ascii="Open Sans" w:hAnsi="Open Sans"/>
          <w:sz w:val="18"/>
          <w:szCs w:val="18"/>
        </w:rPr>
        <w:footnoteRef/>
      </w:r>
      <w:r w:rsidRPr="00A1554D">
        <w:rPr>
          <w:rStyle w:val="Caracteresdenotaalpie"/>
          <w:rFonts w:ascii="Open Sans" w:hAnsi="Open Sans"/>
          <w:sz w:val="18"/>
          <w:szCs w:val="18"/>
        </w:rPr>
        <w:t xml:space="preserve"> </w:t>
      </w:r>
      <w:r w:rsidRPr="00A1554D">
        <w:rPr>
          <w:rFonts w:ascii="Open Sans" w:hAnsi="Open Sans"/>
          <w:sz w:val="18"/>
          <w:szCs w:val="18"/>
        </w:rPr>
        <w:t>CACG2015, pg. 62.</w:t>
      </w:r>
    </w:p>
  </w:footnote>
  <w:footnote w:id="459">
    <w:p w14:paraId="7D8ED899" w14:textId="77777777" w:rsidR="007F55EB" w:rsidRPr="00186AFD" w:rsidRDefault="007F55EB" w:rsidP="008E68EC">
      <w:pPr>
        <w:jc w:val="both"/>
        <w:rPr>
          <w:rFonts w:ascii="Open Sans" w:hAnsi="Open Sans"/>
          <w:sz w:val="18"/>
          <w:szCs w:val="18"/>
        </w:rPr>
      </w:pPr>
      <w:r w:rsidRPr="00186AFD">
        <w:rPr>
          <w:rStyle w:val="Caracteresdenotaalpie"/>
          <w:rFonts w:ascii="Open Sans" w:hAnsi="Open Sans"/>
          <w:sz w:val="18"/>
          <w:szCs w:val="18"/>
        </w:rPr>
        <w:footnoteRef/>
      </w:r>
      <w:r w:rsidRPr="00186AFD">
        <w:rPr>
          <w:rFonts w:ascii="Open Sans" w:hAnsi="Open Sans"/>
          <w:sz w:val="18"/>
          <w:szCs w:val="18"/>
          <w:vertAlign w:val="superscript"/>
        </w:rPr>
        <w:t xml:space="preserve"> </w:t>
      </w:r>
      <w:r w:rsidRPr="00186AFD">
        <w:rPr>
          <w:rFonts w:ascii="Open Sans" w:eastAsia="Open Sans" w:hAnsi="Open Sans"/>
          <w:sz w:val="18"/>
          <w:szCs w:val="18"/>
        </w:rPr>
        <w:t>CACG2013, pg. 115. “En relación con los acuerdos de imposición de sanciones por retenciones correspondientes a los depósitos contratados por clientes del banco en nuestra sucursal de Dublín, Bankinter presentó el 9 de febrero de 2010 escrito de Queja ante el Consejo para la Defensa del Contribuyente, habiendo recibido con fecha 13 de julio de 2010 contestación favorable a nuestras peticiones. No obstante, con fecha 18 de diciembre de 2012 han sido notificadas Resoluciones del TEAC desestimando las reclamaciones interpuestas por este concepto por los ejercicios 2002 a 2005 que serán recurridas igualmente ante la Audiencia Nacional por un importe total de 7.727 miles de euros. En cualquier caso, los pasivos fiscales que pudieran derivarse como resultado de las reclamaciones interpuestas contra los conceptos suscritos en disconformidad están adecuadamente provisionados a la fecha de cierre del ejercicio 2013 y anteriores”.</w:t>
      </w:r>
    </w:p>
  </w:footnote>
  <w:footnote w:id="460">
    <w:p w14:paraId="6C186376" w14:textId="77777777" w:rsidR="007F55EB" w:rsidRPr="00186AFD" w:rsidRDefault="007F55EB" w:rsidP="008E68EC">
      <w:pPr>
        <w:jc w:val="both"/>
        <w:rPr>
          <w:rFonts w:ascii="Open Sans" w:hAnsi="Open Sans"/>
          <w:sz w:val="18"/>
          <w:szCs w:val="18"/>
        </w:rPr>
      </w:pPr>
      <w:r w:rsidRPr="00186AFD">
        <w:rPr>
          <w:rStyle w:val="Caracteresdenotaalpie"/>
          <w:rFonts w:ascii="Open Sans" w:hAnsi="Open Sans"/>
          <w:sz w:val="18"/>
          <w:szCs w:val="18"/>
        </w:rPr>
        <w:footnoteRef/>
      </w:r>
      <w:r w:rsidRPr="00186AFD">
        <w:rPr>
          <w:rFonts w:ascii="Open Sans" w:hAnsi="Open Sans"/>
          <w:sz w:val="18"/>
          <w:szCs w:val="18"/>
          <w:vertAlign w:val="superscript"/>
        </w:rPr>
        <w:t xml:space="preserve"> </w:t>
      </w:r>
      <w:r w:rsidRPr="00186AFD">
        <w:rPr>
          <w:rFonts w:ascii="Open Sans" w:hAnsi="Open Sans"/>
          <w:sz w:val="18"/>
          <w:szCs w:val="18"/>
        </w:rPr>
        <w:t>IAI2015, pg. 81</w:t>
      </w:r>
    </w:p>
  </w:footnote>
  <w:footnote w:id="461">
    <w:p w14:paraId="7EAC85B2" w14:textId="77777777" w:rsidR="007F55EB" w:rsidRPr="00186AFD" w:rsidRDefault="007F55EB" w:rsidP="008E68EC">
      <w:pPr>
        <w:rPr>
          <w:rFonts w:ascii="Open Sans" w:hAnsi="Open Sans"/>
          <w:sz w:val="18"/>
          <w:szCs w:val="18"/>
        </w:rPr>
      </w:pPr>
      <w:r w:rsidRPr="00186AFD">
        <w:rPr>
          <w:rStyle w:val="Caracteresdenotaalpie"/>
          <w:rFonts w:ascii="Open Sans" w:hAnsi="Open Sans"/>
          <w:sz w:val="18"/>
          <w:szCs w:val="18"/>
        </w:rPr>
        <w:footnoteRef/>
      </w:r>
      <w:r w:rsidRPr="00186AFD">
        <w:rPr>
          <w:rFonts w:ascii="Open Sans" w:hAnsi="Open Sans"/>
          <w:sz w:val="18"/>
          <w:szCs w:val="18"/>
          <w:vertAlign w:val="superscript"/>
        </w:rPr>
        <w:t xml:space="preserve"> </w:t>
      </w:r>
      <w:r w:rsidRPr="00186AFD">
        <w:rPr>
          <w:rFonts w:ascii="Open Sans" w:hAnsi="Open Sans"/>
          <w:sz w:val="18"/>
          <w:szCs w:val="18"/>
        </w:rPr>
        <w:t>CCAA Consolidadas 2015, Anexo V, pg. 201</w:t>
      </w:r>
    </w:p>
  </w:footnote>
  <w:footnote w:id="462">
    <w:p w14:paraId="3B920A28" w14:textId="77777777" w:rsidR="007F55EB" w:rsidRPr="00A1554D" w:rsidRDefault="007F55EB" w:rsidP="008E68EC">
      <w:pPr>
        <w:rPr>
          <w:rFonts w:ascii="Open Sans" w:hAnsi="Open Sans"/>
          <w:sz w:val="18"/>
          <w:szCs w:val="18"/>
          <w:lang w:val="en-GB"/>
        </w:rPr>
      </w:pPr>
      <w:r w:rsidRPr="00186AFD">
        <w:rPr>
          <w:rStyle w:val="Caracteresdenotaalpie"/>
          <w:rFonts w:ascii="Open Sans" w:hAnsi="Open Sans"/>
          <w:sz w:val="18"/>
          <w:szCs w:val="18"/>
        </w:rPr>
        <w:footnoteRef/>
      </w:r>
      <w:r w:rsidRPr="00A1554D">
        <w:rPr>
          <w:rFonts w:ascii="Open Sans" w:hAnsi="Open Sans"/>
          <w:sz w:val="18"/>
          <w:szCs w:val="18"/>
          <w:lang w:val="en-GB"/>
        </w:rPr>
        <w:t xml:space="preserve"> IGC2015, pg. 34</w:t>
      </w:r>
    </w:p>
  </w:footnote>
  <w:footnote w:id="463">
    <w:p w14:paraId="6C9C6A2F" w14:textId="77777777" w:rsidR="007F55EB" w:rsidRPr="00186AFD" w:rsidRDefault="007F55EB" w:rsidP="008E68EC">
      <w:pPr>
        <w:rPr>
          <w:rFonts w:ascii="Open Sans" w:hAnsi="Open Sans"/>
          <w:sz w:val="18"/>
          <w:szCs w:val="18"/>
          <w:lang w:val="ca-ES"/>
        </w:rPr>
      </w:pPr>
      <w:r w:rsidRPr="00186AFD">
        <w:rPr>
          <w:rStyle w:val="Refdenotaalpie"/>
          <w:rFonts w:ascii="Open Sans" w:hAnsi="Open Sans"/>
          <w:sz w:val="18"/>
          <w:szCs w:val="18"/>
        </w:rPr>
        <w:footnoteRef/>
      </w:r>
      <w:r w:rsidRPr="00A1554D">
        <w:rPr>
          <w:rFonts w:ascii="Open Sans" w:hAnsi="Open Sans"/>
          <w:sz w:val="18"/>
          <w:szCs w:val="18"/>
          <w:lang w:val="en-GB"/>
        </w:rPr>
        <w:t xml:space="preserve"> </w:t>
      </w:r>
      <w:hyperlink r:id="rId307" w:history="1">
        <w:r w:rsidRPr="00A1554D">
          <w:rPr>
            <w:rStyle w:val="Hipervnculo"/>
            <w:rFonts w:ascii="Open Sans" w:hAnsi="Open Sans" w:cs="Open Sans"/>
            <w:sz w:val="18"/>
            <w:szCs w:val="18"/>
            <w:lang w:val="en-GB"/>
          </w:rPr>
          <w:t>http://www.vozpopuli.com/actualidad/nacional/Mercedes_Alaya-UCO-Guardia_Civil-Caso_Enredadera-Fitonovo-juez_Mercedes_Alaya-Operacion_Enredadera-blanqueo-dinero_negro_0_757724273.html</w:t>
        </w:r>
      </w:hyperlink>
      <w:r w:rsidRPr="00A1554D">
        <w:rPr>
          <w:rFonts w:ascii="Open Sans" w:hAnsi="Open Sans"/>
          <w:sz w:val="18"/>
          <w:szCs w:val="18"/>
          <w:lang w:val="en-GB"/>
        </w:rPr>
        <w:t xml:space="preserve"> </w:t>
      </w:r>
    </w:p>
  </w:footnote>
  <w:footnote w:id="464">
    <w:p w14:paraId="47A27C1E" w14:textId="77777777" w:rsidR="007F55EB" w:rsidRPr="002D2EC2" w:rsidRDefault="007F55EB" w:rsidP="008E68EC">
      <w:pPr>
        <w:rPr>
          <w:lang w:val="ca-ES"/>
        </w:rPr>
      </w:pPr>
      <w:r w:rsidRPr="00186AFD">
        <w:rPr>
          <w:rStyle w:val="Refdenotaalpie"/>
          <w:rFonts w:ascii="Open Sans" w:hAnsi="Open Sans"/>
          <w:sz w:val="18"/>
          <w:szCs w:val="18"/>
        </w:rPr>
        <w:footnoteRef/>
      </w:r>
      <w:r w:rsidRPr="00A1554D">
        <w:rPr>
          <w:rFonts w:ascii="Open Sans" w:hAnsi="Open Sans"/>
          <w:sz w:val="18"/>
          <w:szCs w:val="18"/>
          <w:lang w:val="ca-ES"/>
        </w:rPr>
        <w:t xml:space="preserve"> </w:t>
      </w:r>
      <w:hyperlink r:id="rId308" w:history="1">
        <w:r w:rsidRPr="00A1554D">
          <w:rPr>
            <w:rStyle w:val="Hipervnculo"/>
            <w:rFonts w:ascii="Open Sans" w:hAnsi="Open Sans" w:cs="Open Sans"/>
            <w:sz w:val="18"/>
            <w:szCs w:val="18"/>
            <w:lang w:val="ca-ES"/>
          </w:rPr>
          <w:t>http://www.vozpopuli.com/economia-y-finanzas/empresas/Bankia-lista_Falciani-Banco_Sabadell-Santander-Bankinter-bancos-registro-sede-policia-udef_0_922707816.html</w:t>
        </w:r>
      </w:hyperlink>
      <w:r w:rsidRPr="00A1554D">
        <w:rPr>
          <w:lang w:val="ca-ES"/>
        </w:rPr>
        <w:t xml:space="preserve"> </w:t>
      </w:r>
    </w:p>
  </w:footnote>
  <w:footnote w:id="465">
    <w:p w14:paraId="3F806C3B" w14:textId="77777777" w:rsidR="007F55EB" w:rsidRPr="00186AFD" w:rsidRDefault="007F55EB" w:rsidP="008E68EC">
      <w:pPr>
        <w:jc w:val="both"/>
        <w:rPr>
          <w:rFonts w:ascii="Open Sans" w:hAnsi="Open Sans"/>
          <w:sz w:val="18"/>
          <w:szCs w:val="18"/>
        </w:rPr>
      </w:pPr>
      <w:r w:rsidRPr="00186AFD">
        <w:rPr>
          <w:rStyle w:val="Caracteresdenotaalpie"/>
          <w:rFonts w:ascii="Open Sans" w:hAnsi="Open Sans"/>
          <w:sz w:val="18"/>
          <w:szCs w:val="18"/>
        </w:rPr>
        <w:footnoteRef/>
      </w:r>
      <w:r w:rsidRPr="00186AFD">
        <w:rPr>
          <w:rFonts w:ascii="Open Sans" w:hAnsi="Open Sans" w:cs="Open Sans"/>
          <w:bCs/>
          <w:sz w:val="18"/>
          <w:szCs w:val="18"/>
        </w:rPr>
        <w:t xml:space="preserve"> IGC2015, pg.32 “En mayo 2015 se informó al Consejo de Bankinter, S.A del encargo a la entidad KPMG Abogados, S.L de la elaboración de un informe para efectuar un diagnóstico acerca de las políticas de control del riesgo fiscal existentes en el Grupo Bankinter, y en su caso definir las posibles áreas de mejora relativas a (i) la organización que resultaría más adecuada para controlar el área fiscal y (ii) los procedimientos existentes para gestionar y controlar el área fiscal teniendo en cuenta la obligatoriedad de determinación y supervisión última de esta política de control y gestión de riesgos que la LSC establece”. </w:t>
      </w:r>
    </w:p>
  </w:footnote>
  <w:footnote w:id="466">
    <w:p w14:paraId="3CC4EB66" w14:textId="77777777" w:rsidR="007F55EB" w:rsidRPr="00186AFD" w:rsidRDefault="007F55EB" w:rsidP="008E68EC">
      <w:pPr>
        <w:jc w:val="both"/>
        <w:rPr>
          <w:rFonts w:ascii="Open Sans" w:hAnsi="Open Sans"/>
          <w:sz w:val="18"/>
          <w:szCs w:val="18"/>
        </w:rPr>
      </w:pPr>
      <w:r w:rsidRPr="00186AFD">
        <w:rPr>
          <w:rStyle w:val="Caracteresdenotaalpie"/>
          <w:rFonts w:ascii="Open Sans" w:hAnsi="Open Sans"/>
          <w:sz w:val="18"/>
          <w:szCs w:val="18"/>
        </w:rPr>
        <w:footnoteRef/>
      </w:r>
      <w:r w:rsidRPr="00186AFD">
        <w:rPr>
          <w:rFonts w:ascii="Open Sans" w:hAnsi="Open Sans"/>
          <w:sz w:val="18"/>
          <w:szCs w:val="18"/>
          <w:vertAlign w:val="superscript"/>
        </w:rPr>
        <w:tab/>
      </w:r>
      <w:r w:rsidRPr="00186AFD">
        <w:rPr>
          <w:rFonts w:ascii="Open Sans" w:hAnsi="Open Sans"/>
          <w:sz w:val="18"/>
          <w:szCs w:val="18"/>
        </w:rPr>
        <w:t>Grupo fiscal que se ha visto modificado para el ejercicio 2015. En 2014 estaba formado por 20 sociedades filiales de las que sólo se ha mantenido</w:t>
      </w:r>
      <w:proofErr w:type="gramStart"/>
      <w:r w:rsidRPr="00186AFD">
        <w:rPr>
          <w:rFonts w:ascii="Open Sans" w:hAnsi="Open Sans"/>
          <w:sz w:val="18"/>
          <w:szCs w:val="18"/>
        </w:rPr>
        <w:t>:  Bankinter</w:t>
      </w:r>
      <w:proofErr w:type="gramEnd"/>
      <w:r w:rsidRPr="00186AFD">
        <w:rPr>
          <w:rFonts w:ascii="Open Sans" w:hAnsi="Open Sans"/>
          <w:sz w:val="18"/>
          <w:szCs w:val="18"/>
        </w:rPr>
        <w:t xml:space="preserve"> S.A., Bankinter Consumer Finance E.F.C., S.A. e Intermobiliaria S.A, el resto pasan a tributar de forma individual excepto las vinculadas al negocio asegurador que han constituido un grupo propio. </w:t>
      </w:r>
    </w:p>
  </w:footnote>
  <w:footnote w:id="467">
    <w:p w14:paraId="69878B55" w14:textId="77777777" w:rsidR="007F55EB" w:rsidRPr="00186AFD" w:rsidRDefault="007F55EB" w:rsidP="008E68EC">
      <w:pPr>
        <w:rPr>
          <w:rFonts w:ascii="Open Sans" w:hAnsi="Open Sans"/>
          <w:sz w:val="18"/>
          <w:szCs w:val="18"/>
        </w:rPr>
      </w:pPr>
      <w:r w:rsidRPr="00186AFD">
        <w:rPr>
          <w:rStyle w:val="Caracteresdenotaalpie"/>
          <w:rFonts w:ascii="Open Sans" w:hAnsi="Open Sans"/>
          <w:sz w:val="18"/>
          <w:szCs w:val="18"/>
        </w:rPr>
        <w:footnoteRef/>
      </w:r>
      <w:r>
        <w:rPr>
          <w:rFonts w:ascii="Open Sans" w:hAnsi="Open Sans"/>
          <w:sz w:val="18"/>
          <w:szCs w:val="18"/>
          <w:vertAlign w:val="superscript"/>
        </w:rPr>
        <w:t xml:space="preserve"> </w:t>
      </w:r>
      <w:r w:rsidRPr="00186AFD">
        <w:rPr>
          <w:rFonts w:ascii="Open Sans" w:hAnsi="Open Sans"/>
          <w:sz w:val="18"/>
          <w:szCs w:val="18"/>
        </w:rPr>
        <w:t>Empresa registrada en Escocia.</w:t>
      </w:r>
    </w:p>
  </w:footnote>
  <w:footnote w:id="468">
    <w:p w14:paraId="0FF92F92" w14:textId="77777777" w:rsidR="007F55EB" w:rsidRPr="00385F65" w:rsidRDefault="007F55EB" w:rsidP="008E68EC">
      <w:pPr>
        <w:rPr>
          <w:rFonts w:ascii="Open Sans" w:hAnsi="Open Sans"/>
          <w:sz w:val="18"/>
          <w:szCs w:val="18"/>
        </w:rPr>
      </w:pPr>
      <w:r w:rsidRPr="00186AFD">
        <w:rPr>
          <w:rStyle w:val="Refdenotaalpie"/>
          <w:rFonts w:ascii="Open Sans" w:hAnsi="Open Sans"/>
          <w:sz w:val="18"/>
          <w:szCs w:val="18"/>
        </w:rPr>
        <w:footnoteRef/>
      </w:r>
      <w:r w:rsidRPr="00186AFD">
        <w:rPr>
          <w:rFonts w:ascii="Open Sans" w:hAnsi="Open Sans"/>
          <w:sz w:val="18"/>
          <w:szCs w:val="18"/>
        </w:rPr>
        <w:t xml:space="preserve"> </w:t>
      </w:r>
      <w:hyperlink r:id="rId309" w:history="1">
        <w:r w:rsidRPr="00186AFD">
          <w:rPr>
            <w:rStyle w:val="Hipervnculo"/>
            <w:rFonts w:ascii="Open Sans" w:hAnsi="Open Sans" w:cs="Open Sans"/>
            <w:sz w:val="18"/>
            <w:szCs w:val="18"/>
          </w:rPr>
          <w:t>http://www.elconfidencial.com/empresas/2013-09-21/la-moral-de-jaime-botin_30518/</w:t>
        </w:r>
      </w:hyperlink>
      <w:r w:rsidRPr="00186AFD">
        <w:rPr>
          <w:rFonts w:ascii="Open Sans" w:hAnsi="Open Sans"/>
          <w:sz w:val="18"/>
          <w:szCs w:val="18"/>
        </w:rPr>
        <w:t xml:space="preserve"> </w:t>
      </w:r>
    </w:p>
  </w:footnote>
  <w:footnote w:id="469">
    <w:p w14:paraId="65A2B8E5" w14:textId="77777777" w:rsidR="007F55EB" w:rsidRPr="00186AFD" w:rsidRDefault="007F55EB" w:rsidP="008E68EC">
      <w:pPr>
        <w:rPr>
          <w:rFonts w:ascii="Open Sans" w:hAnsi="Open Sans" w:cs="Open Sans"/>
          <w:sz w:val="18"/>
          <w:szCs w:val="18"/>
          <w:lang w:val="ca-ES"/>
        </w:rPr>
      </w:pPr>
      <w:r w:rsidRPr="00186AFD">
        <w:rPr>
          <w:rStyle w:val="Refdenotaalpie"/>
          <w:rFonts w:ascii="Open Sans" w:hAnsi="Open Sans"/>
          <w:sz w:val="18"/>
          <w:szCs w:val="18"/>
        </w:rPr>
        <w:footnoteRef/>
      </w:r>
      <w:r w:rsidRPr="00186AFD">
        <w:rPr>
          <w:rFonts w:ascii="Open Sans" w:hAnsi="Open Sans" w:cs="Open Sans"/>
          <w:sz w:val="18"/>
          <w:szCs w:val="18"/>
        </w:rPr>
        <w:t xml:space="preserve"> </w:t>
      </w:r>
      <w:hyperlink r:id="rId310" w:history="1">
        <w:r w:rsidRPr="00186AFD">
          <w:rPr>
            <w:rStyle w:val="Hipervnculo"/>
            <w:rFonts w:ascii="Open Sans" w:hAnsi="Open Sans" w:cs="Open Sans"/>
            <w:sz w:val="18"/>
            <w:szCs w:val="18"/>
          </w:rPr>
          <w:t>http://www.eldiario.es/economia/Acusan-Jaime-Botin-impuestos-privados_0_309719962.html</w:t>
        </w:r>
      </w:hyperlink>
      <w:r w:rsidRPr="00186AFD">
        <w:rPr>
          <w:rFonts w:ascii="Open Sans" w:hAnsi="Open Sans" w:cs="Open Sans"/>
          <w:sz w:val="18"/>
          <w:szCs w:val="18"/>
        </w:rPr>
        <w:t xml:space="preserve"> </w:t>
      </w:r>
    </w:p>
  </w:footnote>
  <w:footnote w:id="470">
    <w:p w14:paraId="2E9C269F" w14:textId="77777777" w:rsidR="007F55EB" w:rsidRPr="00186AFD" w:rsidRDefault="007F55EB" w:rsidP="008E68EC">
      <w:pPr>
        <w:rPr>
          <w:rFonts w:ascii="Open Sans" w:hAnsi="Open Sans"/>
          <w:sz w:val="18"/>
          <w:szCs w:val="18"/>
        </w:rPr>
      </w:pPr>
      <w:r w:rsidRPr="00186AFD">
        <w:rPr>
          <w:rStyle w:val="Caracteresdenotaalpie"/>
          <w:rFonts w:ascii="Open Sans" w:hAnsi="Open Sans"/>
          <w:sz w:val="18"/>
          <w:szCs w:val="18"/>
        </w:rPr>
        <w:footnoteRef/>
      </w:r>
      <w:r>
        <w:rPr>
          <w:rFonts w:ascii="Open Sans" w:hAnsi="Open Sans" w:cs="Open Sans"/>
          <w:sz w:val="18"/>
          <w:szCs w:val="18"/>
        </w:rPr>
        <w:t xml:space="preserve"> </w:t>
      </w:r>
      <w:r w:rsidRPr="00186AFD">
        <w:rPr>
          <w:rFonts w:ascii="Open Sans" w:hAnsi="Open Sans" w:cs="Open Sans"/>
          <w:sz w:val="18"/>
          <w:szCs w:val="18"/>
        </w:rPr>
        <w:t>Reserva de capitalización, Exención DDID, Exención régimen ETVE´s  e Imputación de BIN´s de AIE´s</w:t>
      </w:r>
    </w:p>
  </w:footnote>
  <w:footnote w:id="471">
    <w:p w14:paraId="37827E26" w14:textId="77777777" w:rsidR="007F55EB" w:rsidRDefault="007F55EB" w:rsidP="008E68EC">
      <w:r w:rsidRPr="00186AFD">
        <w:rPr>
          <w:rStyle w:val="Caracteresdenotaalpie"/>
          <w:rFonts w:ascii="Open Sans" w:hAnsi="Open Sans"/>
          <w:sz w:val="18"/>
          <w:szCs w:val="18"/>
        </w:rPr>
        <w:footnoteRef/>
      </w:r>
      <w:r>
        <w:rPr>
          <w:rFonts w:ascii="Open Sans" w:hAnsi="Open Sans"/>
          <w:sz w:val="18"/>
          <w:szCs w:val="18"/>
        </w:rPr>
        <w:t xml:space="preserve"> </w:t>
      </w:r>
      <w:r w:rsidRPr="00186AFD">
        <w:rPr>
          <w:rFonts w:ascii="Open Sans" w:hAnsi="Open Sans"/>
          <w:sz w:val="18"/>
          <w:szCs w:val="18"/>
        </w:rPr>
        <w:t xml:space="preserve">A remarcar la gran diferencia que existe entre el importe contabilizado por Bankinter SA (128.858m€) y el del Grupo que se reduce a 38m€. El resto de partidas contables recoge importes muy próximos entre matriz y grupo. </w:t>
      </w:r>
    </w:p>
  </w:footnote>
  <w:footnote w:id="472">
    <w:p w14:paraId="242E5039" w14:textId="77777777" w:rsidR="007F55EB" w:rsidRPr="00186AFD" w:rsidRDefault="007F55EB" w:rsidP="008E68EC">
      <w:pPr>
        <w:rPr>
          <w:rFonts w:ascii="Open Sans" w:hAnsi="Open Sans"/>
          <w:sz w:val="18"/>
          <w:szCs w:val="18"/>
        </w:rPr>
      </w:pPr>
      <w:r w:rsidRPr="00186AFD">
        <w:rPr>
          <w:rStyle w:val="Caracteresdenotaalpie"/>
          <w:rFonts w:ascii="Open Sans" w:hAnsi="Open Sans"/>
          <w:sz w:val="18"/>
          <w:szCs w:val="18"/>
        </w:rPr>
        <w:footnoteRef/>
      </w:r>
      <w:r w:rsidRPr="00186AFD">
        <w:rPr>
          <w:rFonts w:ascii="Open Sans" w:hAnsi="Open Sans"/>
          <w:sz w:val="18"/>
          <w:szCs w:val="18"/>
          <w:vertAlign w:val="superscript"/>
        </w:rPr>
        <w:t xml:space="preserve"> </w:t>
      </w:r>
      <w:r w:rsidRPr="00186AFD">
        <w:rPr>
          <w:rFonts w:ascii="Open Sans" w:hAnsi="Open Sans"/>
          <w:sz w:val="18"/>
          <w:szCs w:val="18"/>
        </w:rPr>
        <w:t>CCAA Consolidadas 2015, pg. 121</w:t>
      </w:r>
    </w:p>
  </w:footnote>
  <w:footnote w:id="473">
    <w:p w14:paraId="6A022EF9" w14:textId="77777777" w:rsidR="007F55EB" w:rsidRPr="00075216" w:rsidRDefault="007F55EB" w:rsidP="00C86459">
      <w:pPr>
        <w:rPr>
          <w:rFonts w:ascii="Open Sans" w:hAnsi="Open Sans"/>
          <w:sz w:val="18"/>
          <w:szCs w:val="18"/>
        </w:rPr>
      </w:pPr>
      <w:r w:rsidRPr="00075216">
        <w:rPr>
          <w:rStyle w:val="Refdenotaalpie"/>
          <w:rFonts w:ascii="Open Sans" w:hAnsi="Open Sans"/>
          <w:sz w:val="18"/>
          <w:szCs w:val="18"/>
        </w:rPr>
        <w:footnoteRef/>
      </w:r>
      <w:r w:rsidRPr="00075216">
        <w:rPr>
          <w:rFonts w:ascii="Open Sans" w:hAnsi="Open Sans"/>
          <w:sz w:val="18"/>
          <w:szCs w:val="18"/>
        </w:rPr>
        <w:t xml:space="preserve"> México (27,90%), España (23,85%), Turquía (16%) y EEUU (8,08%)</w:t>
      </w:r>
    </w:p>
  </w:footnote>
  <w:footnote w:id="474">
    <w:p w14:paraId="70D1066F" w14:textId="77777777" w:rsidR="007F55EB" w:rsidRPr="00075216" w:rsidRDefault="007F55EB" w:rsidP="00C86459">
      <w:pPr>
        <w:rPr>
          <w:rFonts w:ascii="Open Sans" w:hAnsi="Open Sans" w:cs="Open Sans"/>
          <w:sz w:val="18"/>
          <w:szCs w:val="18"/>
          <w:lang w:val="ca-ES"/>
        </w:rPr>
      </w:pPr>
      <w:r w:rsidRPr="00075216">
        <w:rPr>
          <w:rStyle w:val="Refdenotaalpie"/>
          <w:rFonts w:ascii="Open Sans" w:hAnsi="Open Sans" w:cs="Open Sans"/>
          <w:sz w:val="18"/>
          <w:szCs w:val="18"/>
        </w:rPr>
        <w:footnoteRef/>
      </w:r>
      <w:r w:rsidRPr="00075216">
        <w:rPr>
          <w:rFonts w:ascii="Open Sans" w:hAnsi="Open Sans" w:cs="Open Sans"/>
          <w:sz w:val="18"/>
          <w:szCs w:val="18"/>
        </w:rPr>
        <w:t xml:space="preserve"> </w:t>
      </w:r>
      <w:hyperlink r:id="rId311" w:history="1">
        <w:r w:rsidRPr="00075216">
          <w:rPr>
            <w:rStyle w:val="Hipervnculo"/>
            <w:rFonts w:ascii="Open Sans" w:hAnsi="Open Sans" w:cs="Open Sans"/>
            <w:sz w:val="18"/>
            <w:szCs w:val="18"/>
          </w:rPr>
          <w:t>http://www.elconfidencial.com/economia/papeles-panama/2016-04-05/panama-papers-mossack-fonseca-santander-bbva-sabadell-clientes-cuentas_1178459/</w:t>
        </w:r>
      </w:hyperlink>
      <w:r w:rsidRPr="00075216">
        <w:rPr>
          <w:rFonts w:ascii="Open Sans" w:hAnsi="Open Sans" w:cs="Open Sans"/>
          <w:sz w:val="18"/>
          <w:szCs w:val="18"/>
        </w:rPr>
        <w:t xml:space="preserve"> </w:t>
      </w:r>
    </w:p>
  </w:footnote>
  <w:footnote w:id="475">
    <w:p w14:paraId="1DF0B375" w14:textId="77777777" w:rsidR="007F55EB" w:rsidRPr="00075216" w:rsidRDefault="007F55EB" w:rsidP="00C86459">
      <w:pPr>
        <w:rPr>
          <w:rFonts w:ascii="Open Sans" w:hAnsi="Open Sans"/>
          <w:sz w:val="18"/>
          <w:szCs w:val="18"/>
          <w:lang w:val="ca-ES"/>
        </w:rPr>
      </w:pPr>
      <w:r w:rsidRPr="00075216">
        <w:rPr>
          <w:rStyle w:val="Refdenotaalpie"/>
          <w:rFonts w:ascii="Open Sans" w:hAnsi="Open Sans"/>
          <w:sz w:val="18"/>
          <w:szCs w:val="18"/>
        </w:rPr>
        <w:footnoteRef/>
      </w:r>
      <w:r w:rsidRPr="00A1554D">
        <w:rPr>
          <w:rFonts w:ascii="Open Sans" w:hAnsi="Open Sans"/>
          <w:sz w:val="18"/>
          <w:szCs w:val="18"/>
          <w:lang w:val="ca-ES"/>
        </w:rPr>
        <w:t xml:space="preserve"> </w:t>
      </w:r>
      <w:hyperlink r:id="rId312" w:history="1">
        <w:r w:rsidRPr="00A1554D">
          <w:rPr>
            <w:rStyle w:val="Hipervnculo"/>
            <w:rFonts w:ascii="Open Sans" w:hAnsi="Open Sans" w:cs="Open Sans"/>
            <w:sz w:val="18"/>
            <w:szCs w:val="18"/>
            <w:lang w:val="ca-ES"/>
          </w:rPr>
          <w:t>http://www.elconfidencial.com/economia/papeles-panama/2016-04-11/papeles-panama-papers-ministro-soria-offshore-hermano_1179326/</w:t>
        </w:r>
      </w:hyperlink>
      <w:r w:rsidRPr="00A1554D">
        <w:rPr>
          <w:rFonts w:ascii="Open Sans" w:hAnsi="Open Sans"/>
          <w:sz w:val="18"/>
          <w:szCs w:val="18"/>
          <w:lang w:val="ca-ES"/>
        </w:rPr>
        <w:t xml:space="preserve"> </w:t>
      </w:r>
    </w:p>
  </w:footnote>
  <w:footnote w:id="476">
    <w:p w14:paraId="36214EF8" w14:textId="77777777" w:rsidR="007F55EB" w:rsidRPr="006B6BC7" w:rsidRDefault="007F55EB" w:rsidP="00C86459">
      <w:pPr>
        <w:rPr>
          <w:lang w:val="ca-ES"/>
        </w:rPr>
      </w:pPr>
      <w:r w:rsidRPr="00075216">
        <w:rPr>
          <w:rStyle w:val="Refdenotaalpie"/>
          <w:rFonts w:ascii="Open Sans" w:hAnsi="Open Sans"/>
          <w:sz w:val="18"/>
          <w:szCs w:val="18"/>
        </w:rPr>
        <w:footnoteRef/>
      </w:r>
      <w:r w:rsidRPr="00A1554D">
        <w:rPr>
          <w:rFonts w:ascii="Open Sans" w:hAnsi="Open Sans"/>
          <w:sz w:val="18"/>
          <w:szCs w:val="18"/>
          <w:lang w:val="ca-ES"/>
        </w:rPr>
        <w:t xml:space="preserve"> </w:t>
      </w:r>
      <w:hyperlink r:id="rId313" w:history="1">
        <w:r w:rsidRPr="00A1554D">
          <w:rPr>
            <w:rStyle w:val="Hipervnculo"/>
            <w:rFonts w:ascii="Open Sans" w:hAnsi="Open Sans" w:cs="Open Sans"/>
            <w:sz w:val="18"/>
            <w:szCs w:val="18"/>
            <w:lang w:val="ca-ES"/>
          </w:rPr>
          <w:t>http://www.eldiario.es/economia/caso-BBV-Privanza-acabo_0_505350505.html</w:t>
        </w:r>
      </w:hyperlink>
      <w:r w:rsidRPr="00A1554D">
        <w:rPr>
          <w:lang w:val="ca-ES"/>
        </w:rPr>
        <w:t xml:space="preserve"> </w:t>
      </w:r>
    </w:p>
  </w:footnote>
  <w:footnote w:id="477">
    <w:p w14:paraId="36DF542A" w14:textId="77777777" w:rsidR="007F55EB" w:rsidRPr="00075216" w:rsidRDefault="007F55EB" w:rsidP="00C86459">
      <w:pPr>
        <w:rPr>
          <w:rFonts w:ascii="Open Sans" w:hAnsi="Open Sans"/>
          <w:sz w:val="18"/>
          <w:szCs w:val="18"/>
          <w:lang w:val="ca-ES"/>
        </w:rPr>
      </w:pPr>
      <w:r w:rsidRPr="00075216">
        <w:rPr>
          <w:rStyle w:val="Refdenotaalpie"/>
          <w:rFonts w:ascii="Open Sans" w:hAnsi="Open Sans"/>
          <w:sz w:val="18"/>
          <w:szCs w:val="18"/>
        </w:rPr>
        <w:footnoteRef/>
      </w:r>
      <w:r w:rsidRPr="00A1554D">
        <w:rPr>
          <w:rFonts w:ascii="Open Sans" w:hAnsi="Open Sans" w:cs="Open Sans"/>
          <w:sz w:val="18"/>
          <w:szCs w:val="18"/>
          <w:lang w:val="ca-ES"/>
        </w:rPr>
        <w:t xml:space="preserve"> </w:t>
      </w:r>
      <w:hyperlink r:id="rId314" w:history="1">
        <w:r w:rsidRPr="00A1554D">
          <w:rPr>
            <w:rStyle w:val="Hipervnculo"/>
            <w:rFonts w:ascii="Open Sans" w:hAnsi="Open Sans" w:cs="Open Sans"/>
            <w:sz w:val="18"/>
            <w:szCs w:val="18"/>
            <w:lang w:val="ca-ES"/>
          </w:rPr>
          <w:t>http://ctxt.es/es/20160914/Politica/8453/Preferentes-estafa-paraiso-fiscal-banca-crisis.htm</w:t>
        </w:r>
      </w:hyperlink>
      <w:r w:rsidRPr="00A1554D">
        <w:rPr>
          <w:rFonts w:ascii="Open Sans" w:hAnsi="Open Sans"/>
          <w:sz w:val="18"/>
          <w:szCs w:val="18"/>
          <w:lang w:val="ca-ES"/>
        </w:rPr>
        <w:t xml:space="preserve"> </w:t>
      </w:r>
    </w:p>
  </w:footnote>
  <w:footnote w:id="478">
    <w:p w14:paraId="30ACA175" w14:textId="77777777" w:rsidR="007F55EB" w:rsidRPr="00075216" w:rsidRDefault="007F55EB" w:rsidP="00C86459">
      <w:pPr>
        <w:rPr>
          <w:rFonts w:ascii="Open Sans" w:hAnsi="Open Sans"/>
          <w:sz w:val="18"/>
          <w:szCs w:val="18"/>
          <w:lang w:val="ca-ES"/>
        </w:rPr>
      </w:pPr>
      <w:r w:rsidRPr="00075216">
        <w:rPr>
          <w:rStyle w:val="Refdenotaalpie"/>
          <w:rFonts w:ascii="Open Sans" w:hAnsi="Open Sans"/>
          <w:sz w:val="18"/>
          <w:szCs w:val="18"/>
        </w:rPr>
        <w:footnoteRef/>
      </w:r>
      <w:r w:rsidRPr="00075216">
        <w:rPr>
          <w:rFonts w:ascii="Open Sans" w:hAnsi="Open Sans"/>
          <w:sz w:val="18"/>
          <w:szCs w:val="18"/>
        </w:rPr>
        <w:t xml:space="preserve"> </w:t>
      </w:r>
      <w:r w:rsidRPr="00075216">
        <w:rPr>
          <w:rFonts w:ascii="Open Sans" w:hAnsi="Open Sans"/>
          <w:sz w:val="18"/>
          <w:szCs w:val="18"/>
          <w:lang w:val="ca-ES"/>
        </w:rPr>
        <w:t>Contribución fiscal global correspondiente al ejercicio 2015. Pg. 8</w:t>
      </w:r>
    </w:p>
  </w:footnote>
  <w:footnote w:id="479">
    <w:p w14:paraId="69BAC2F1" w14:textId="77777777" w:rsidR="007F55EB" w:rsidRPr="00075216" w:rsidRDefault="007F55EB" w:rsidP="00C86459">
      <w:pPr>
        <w:rPr>
          <w:rFonts w:ascii="Open Sans" w:hAnsi="Open Sans" w:cs="Open Sans"/>
          <w:sz w:val="18"/>
          <w:szCs w:val="18"/>
          <w:lang w:val="ca-ES"/>
        </w:rPr>
      </w:pPr>
      <w:r w:rsidRPr="00075216">
        <w:rPr>
          <w:rStyle w:val="Refdenotaalpie"/>
          <w:rFonts w:ascii="Open Sans" w:hAnsi="Open Sans" w:cs="Open Sans"/>
          <w:sz w:val="18"/>
          <w:szCs w:val="18"/>
        </w:rPr>
        <w:footnoteRef/>
      </w:r>
      <w:r w:rsidRPr="00A1554D">
        <w:rPr>
          <w:rFonts w:ascii="Open Sans" w:hAnsi="Open Sans" w:cs="Open Sans"/>
          <w:sz w:val="18"/>
          <w:szCs w:val="18"/>
          <w:lang w:val="en-GB"/>
        </w:rPr>
        <w:t xml:space="preserve"> </w:t>
      </w:r>
      <w:hyperlink r:id="rId315" w:history="1">
        <w:r w:rsidRPr="00A1554D">
          <w:rPr>
            <w:rStyle w:val="Hipervnculo"/>
            <w:rFonts w:ascii="Open Sans" w:hAnsi="Open Sans" w:cs="Open Sans"/>
            <w:sz w:val="18"/>
            <w:szCs w:val="18"/>
            <w:lang w:val="en-GB"/>
          </w:rPr>
          <w:t>https://www.bbva.com/es/noticias/economia/sistema_financiero/fiscalidad/bbva-se-adelanta-a-la-normativa-en-transparencia-fiscal/</w:t>
        </w:r>
      </w:hyperlink>
      <w:r w:rsidRPr="00A1554D">
        <w:rPr>
          <w:rFonts w:ascii="Open Sans" w:hAnsi="Open Sans" w:cs="Open Sans"/>
          <w:sz w:val="18"/>
          <w:szCs w:val="18"/>
          <w:lang w:val="en-GB"/>
        </w:rPr>
        <w:t xml:space="preserve"> </w:t>
      </w:r>
    </w:p>
  </w:footnote>
  <w:footnote w:id="480">
    <w:p w14:paraId="3CD595A8" w14:textId="77777777" w:rsidR="007F55EB" w:rsidRPr="00516CA5" w:rsidRDefault="007F55EB" w:rsidP="00C86459">
      <w:pPr>
        <w:jc w:val="both"/>
        <w:rPr>
          <w:i/>
          <w:lang w:val="ca-ES"/>
        </w:rPr>
      </w:pPr>
      <w:r w:rsidRPr="00075216">
        <w:rPr>
          <w:rStyle w:val="Refdenotaalpie"/>
          <w:rFonts w:ascii="Open Sans" w:hAnsi="Open Sans"/>
          <w:sz w:val="18"/>
          <w:szCs w:val="18"/>
        </w:rPr>
        <w:footnoteRef/>
      </w:r>
      <w:r w:rsidRPr="00075216">
        <w:rPr>
          <w:rFonts w:ascii="Open Sans" w:hAnsi="Open Sans"/>
          <w:sz w:val="18"/>
          <w:szCs w:val="18"/>
        </w:rPr>
        <w:t xml:space="preserve">  CSR Europe </w:t>
      </w:r>
      <w:r w:rsidRPr="00075216">
        <w:rPr>
          <w:rFonts w:ascii="Open Sans" w:hAnsi="Open Sans"/>
          <w:i/>
          <w:sz w:val="18"/>
          <w:szCs w:val="18"/>
          <w:lang w:val="ca-ES"/>
        </w:rPr>
        <w:t>“Actúa como una plataforma para aquellas empresas que buscan mejorar el crecimiento sostenible y contribuir positivamente a la sociedad. En su misión de llevar la agenda de la RSE hacia adelante, CSR Europe va más allá de las fronteras europeas y coopera con organizaciones de RSE en otras regiones del mundo”</w:t>
      </w:r>
      <w:r w:rsidRPr="00075216">
        <w:rPr>
          <w:rFonts w:ascii="Open Sans" w:hAnsi="Open Sans"/>
          <w:sz w:val="18"/>
          <w:szCs w:val="18"/>
        </w:rPr>
        <w:t xml:space="preserve"> </w:t>
      </w:r>
      <w:hyperlink r:id="rId316" w:history="1">
        <w:r w:rsidRPr="00075216">
          <w:rPr>
            <w:rStyle w:val="Hipervnculo"/>
            <w:rFonts w:ascii="Open Sans" w:hAnsi="Open Sans"/>
            <w:sz w:val="18"/>
            <w:szCs w:val="18"/>
          </w:rPr>
          <w:t>http://www.csreurope.org/</w:t>
        </w:r>
      </w:hyperlink>
    </w:p>
  </w:footnote>
  <w:footnote w:id="481">
    <w:p w14:paraId="68DB1C67" w14:textId="77777777" w:rsidR="007F55EB" w:rsidRPr="00F31F2E" w:rsidRDefault="007F55EB" w:rsidP="00C86459">
      <w:pPr>
        <w:autoSpaceDE w:val="0"/>
        <w:autoSpaceDN w:val="0"/>
        <w:adjustRightInd w:val="0"/>
        <w:jc w:val="both"/>
        <w:rPr>
          <w:rFonts w:ascii="Open Sans" w:hAnsi="Open Sans"/>
          <w:sz w:val="16"/>
          <w:szCs w:val="16"/>
          <w:lang w:val="ca-ES"/>
        </w:rPr>
      </w:pPr>
      <w:r>
        <w:rPr>
          <w:rStyle w:val="Refdenotaalpie"/>
        </w:rPr>
        <w:footnoteRef/>
      </w:r>
      <w:r>
        <w:t xml:space="preserve"> </w:t>
      </w:r>
      <w:r w:rsidRPr="00F31F2E">
        <w:rPr>
          <w:rFonts w:ascii="Open Sans" w:hAnsi="Open Sans" w:cs="TT1D0t00"/>
          <w:sz w:val="16"/>
          <w:szCs w:val="16"/>
        </w:rPr>
        <w:t>De acuerdo con lo dispuesto en el artículo 89 de la Directiva 2013/36/UE del Parlamento Europeo y del Consejo de 26 de junio de 2013 relativa al acceso a la actividad de las entidades de crédito y a la supervisión prudencial de las entidades de crédito y las empresas de inversión, y su trasposición al ordenamiento jurídico español mediante la Ley 10/2014 de Ordenación, Supervisión y Solvencia de Entidades de Crédito de 26 de junio, se adjunta la información requerida por el artículo 87.1, de la citada norma.</w:t>
      </w:r>
    </w:p>
  </w:footnote>
  <w:footnote w:id="482">
    <w:p w14:paraId="38DD9B79"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http://www.invertia.com/latibex/banco_frances.asp?id=3</w:t>
      </w:r>
    </w:p>
  </w:footnote>
  <w:footnote w:id="483">
    <w:p w14:paraId="28A234B2"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cs="Open Sans"/>
          <w:sz w:val="18"/>
          <w:szCs w:val="18"/>
        </w:rPr>
        <w:footnoteRef/>
      </w:r>
      <w:r w:rsidRPr="00A1554D">
        <w:rPr>
          <w:rFonts w:ascii="Open Sans" w:hAnsi="Open Sans"/>
          <w:sz w:val="18"/>
          <w:szCs w:val="18"/>
          <w:lang w:val="ca-ES"/>
        </w:rPr>
        <w:t xml:space="preserve"> http://es.bic-swift.com/bcmrkyk1/</w:t>
      </w:r>
    </w:p>
  </w:footnote>
  <w:footnote w:id="484">
    <w:p w14:paraId="71CC4BEE"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http://www.invertia.com/latibex/bbva_bancomer.asp?id=5</w:t>
      </w:r>
    </w:p>
  </w:footnote>
  <w:footnote w:id="485">
    <w:p w14:paraId="4589DD4D"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http://www.hacienda.gob.mx/POLITICAFINANCIERA/casfim_new/catalogo_pdf/sector79.pdf</w:t>
      </w:r>
    </w:p>
  </w:footnote>
  <w:footnote w:id="486">
    <w:p w14:paraId="54FBA5EB"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http://www.invertia.com/latibex/banco_frances.asp?id=3</w:t>
      </w:r>
    </w:p>
  </w:footnote>
  <w:footnote w:id="487">
    <w:p w14:paraId="55190522" w14:textId="77777777" w:rsidR="007F55EB" w:rsidRPr="006B6BC7" w:rsidRDefault="007F55EB" w:rsidP="00C86459">
      <w:pPr>
        <w:rPr>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http://www.letrap.com.ar/nota/2015-9-9-el-gobierno-apunta-al-presidente-del-bbva-banco-frances-por-trabajar-con-paraisos-fiscales</w:t>
      </w:r>
    </w:p>
  </w:footnote>
  <w:footnote w:id="488">
    <w:p w14:paraId="3BE6BE3F" w14:textId="77777777" w:rsidR="007F55EB" w:rsidRPr="00A1554D" w:rsidRDefault="007F55EB" w:rsidP="00C86459">
      <w:pPr>
        <w:rPr>
          <w:rFonts w:ascii="Open Sans" w:hAnsi="Open Sans" w:cs="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w:t>
      </w:r>
      <w:hyperlink r:id="rId317" w:history="1">
        <w:r w:rsidRPr="00A1554D">
          <w:rPr>
            <w:rStyle w:val="Hipervnculo"/>
            <w:rFonts w:ascii="Open Sans" w:hAnsi="Open Sans" w:cs="Open Sans"/>
            <w:sz w:val="18"/>
            <w:szCs w:val="18"/>
            <w:lang w:val="ca-ES"/>
          </w:rPr>
          <w:t>https://opencorporates.com/companies/gi?q=BBVA</w:t>
        </w:r>
      </w:hyperlink>
    </w:p>
    <w:p w14:paraId="1E1D4903" w14:textId="77777777" w:rsidR="007F55EB" w:rsidRPr="006B6BC7" w:rsidRDefault="007F55EB" w:rsidP="00C86459">
      <w:pPr>
        <w:rPr>
          <w:rFonts w:ascii="Open Sans" w:hAnsi="Open Sans" w:cs="Open Sans"/>
          <w:sz w:val="16"/>
          <w:szCs w:val="16"/>
          <w:lang w:val="ca-ES"/>
        </w:rPr>
      </w:pPr>
      <w:r w:rsidRPr="00BD1825">
        <w:rPr>
          <w:rFonts w:ascii="Open Sans" w:hAnsi="Open Sans" w:cs="Open Sans"/>
          <w:sz w:val="18"/>
          <w:szCs w:val="18"/>
          <w:lang w:val="ca-ES"/>
        </w:rPr>
        <w:t>http://www.bloomberg.com/research/stocks/private/snapshot.asp?privcapId=3216013</w:t>
      </w:r>
    </w:p>
  </w:footnote>
  <w:footnote w:id="489">
    <w:p w14:paraId="6486AE90" w14:textId="77777777" w:rsidR="007F55EB" w:rsidRPr="00BD1825" w:rsidRDefault="007F55EB" w:rsidP="00C86459">
      <w:pPr>
        <w:rPr>
          <w:rFonts w:ascii="Open Sans" w:hAnsi="Open Sans"/>
          <w:sz w:val="18"/>
          <w:szCs w:val="18"/>
        </w:rPr>
      </w:pPr>
      <w:r w:rsidRPr="00BD1825">
        <w:rPr>
          <w:rStyle w:val="Refdenotaalpie"/>
          <w:rFonts w:ascii="Open Sans" w:hAnsi="Open Sans" w:cs="Open Sans"/>
          <w:sz w:val="18"/>
          <w:szCs w:val="18"/>
        </w:rPr>
        <w:footnoteRef/>
      </w:r>
      <w:r w:rsidRPr="00BD1825">
        <w:rPr>
          <w:rFonts w:ascii="Open Sans" w:hAnsi="Open Sans"/>
          <w:sz w:val="18"/>
          <w:szCs w:val="18"/>
        </w:rPr>
        <w:t xml:space="preserve"> “Otros” incluye Holanda, Curaçao, Grupo Garanti (parte en Turquía, Rumania, Islas Cayman y Holanda) y CIFH (sociedad china vendida íntegramente en noviembre de 2015</w:t>
      </w:r>
    </w:p>
  </w:footnote>
  <w:footnote w:id="490">
    <w:p w14:paraId="1DE3A62D" w14:textId="77777777" w:rsidR="007F55EB" w:rsidRPr="00036A01" w:rsidRDefault="007F55EB" w:rsidP="00C86459">
      <w:pPr>
        <w:rPr>
          <w:lang w:val="ca-ES"/>
        </w:rPr>
      </w:pPr>
      <w:r w:rsidRPr="00BD1825">
        <w:rPr>
          <w:rStyle w:val="Refdenotaalpie"/>
          <w:rFonts w:ascii="Open Sans" w:hAnsi="Open Sans"/>
          <w:sz w:val="18"/>
          <w:szCs w:val="18"/>
        </w:rPr>
        <w:footnoteRef/>
      </w:r>
      <w:r w:rsidRPr="00BD1825">
        <w:rPr>
          <w:rFonts w:ascii="Open Sans" w:hAnsi="Open Sans"/>
          <w:sz w:val="18"/>
          <w:szCs w:val="18"/>
        </w:rPr>
        <w:t xml:space="preserve"> </w:t>
      </w:r>
      <w:hyperlink r:id="rId318" w:history="1">
        <w:r w:rsidRPr="00BD1825">
          <w:rPr>
            <w:rStyle w:val="Hipervnculo"/>
            <w:rFonts w:ascii="Open Sans" w:hAnsi="Open Sans" w:cs="Open Sans"/>
            <w:sz w:val="18"/>
            <w:szCs w:val="18"/>
          </w:rPr>
          <w:t>https://www.bbva.com/es/noticias/economia/sistema_financiero/fiscalidad/bbva-se-adelanta-a-la-normativa-en-transparencia-fiscal/</w:t>
        </w:r>
      </w:hyperlink>
      <w:r w:rsidRPr="006B6BC7">
        <w:t xml:space="preserve"> </w:t>
      </w:r>
    </w:p>
  </w:footnote>
  <w:footnote w:id="491">
    <w:p w14:paraId="416ADA59" w14:textId="77777777" w:rsidR="007F55EB" w:rsidRPr="00241BDC" w:rsidRDefault="007F55EB" w:rsidP="00C86459">
      <w:pPr>
        <w:jc w:val="both"/>
        <w:rPr>
          <w:lang w:val="ca-ES"/>
        </w:rPr>
      </w:pPr>
      <w:r w:rsidRPr="00BD1825">
        <w:rPr>
          <w:rStyle w:val="Refdenotaalpie"/>
          <w:rFonts w:ascii="Open Sans" w:hAnsi="Open Sans"/>
          <w:sz w:val="18"/>
          <w:szCs w:val="18"/>
        </w:rPr>
        <w:footnoteRef/>
      </w:r>
      <w:r w:rsidRPr="00BD1825">
        <w:rPr>
          <w:rFonts w:ascii="Open Sans" w:hAnsi="Open Sans"/>
          <w:sz w:val="18"/>
          <w:szCs w:val="18"/>
        </w:rPr>
        <w:t xml:space="preserve"> </w:t>
      </w:r>
      <w:r w:rsidRPr="00BD1825">
        <w:rPr>
          <w:rFonts w:ascii="Open Sans" w:hAnsi="Open Sans" w:cs="Arial"/>
          <w:color w:val="000000"/>
          <w:sz w:val="18"/>
          <w:szCs w:val="18"/>
        </w:rPr>
        <w:t>Esta declaración se realiza a los efectos de lo establecido en el artículo 89 de la Directiva 2013/36/UE del Parlamento Europeo y del Consejo de 26 de junio (relativa al acceso a la actividad de las entidades de crédito y a la supervisión prudencial de las entidades de crédito y las empresas de inversión) y su transposición al ordenamiento jurídico español mediante la Ley 10/2014 de Ordenación, Supervisión y Solvencia de Entidades de Crédito de 26 de junio.</w:t>
      </w:r>
    </w:p>
  </w:footnote>
  <w:footnote w:id="492">
    <w:p w14:paraId="3B47658B" w14:textId="77777777" w:rsidR="007F55EB" w:rsidRPr="00BD1825" w:rsidRDefault="007F55EB" w:rsidP="00C86459">
      <w:pPr>
        <w:jc w:val="both"/>
        <w:rPr>
          <w:rFonts w:ascii="Open Sans" w:hAnsi="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w:t>
      </w:r>
      <w:hyperlink r:id="rId319" w:history="1">
        <w:r w:rsidRPr="00A1554D">
          <w:rPr>
            <w:rStyle w:val="Hipervnculo"/>
            <w:rFonts w:ascii="Open Sans" w:hAnsi="Open Sans"/>
            <w:sz w:val="18"/>
            <w:szCs w:val="18"/>
            <w:lang w:val="ca-ES"/>
          </w:rPr>
          <w:t>http://www.lacelosia.com/canete-desvela-sus-proximos-encuentros-con-altos-cargos-del-bbva-y-anfac/</w:t>
        </w:r>
      </w:hyperlink>
      <w:r w:rsidRPr="00A1554D">
        <w:rPr>
          <w:rFonts w:ascii="Open Sans" w:hAnsi="Open Sans"/>
          <w:sz w:val="18"/>
          <w:szCs w:val="18"/>
          <w:lang w:val="ca-ES"/>
        </w:rPr>
        <w:t xml:space="preserve"> </w:t>
      </w:r>
    </w:p>
  </w:footnote>
  <w:footnote w:id="493">
    <w:p w14:paraId="3D0F5DD6" w14:textId="77777777" w:rsidR="007F55EB" w:rsidRPr="00BD1825" w:rsidRDefault="007F55EB" w:rsidP="00C86459">
      <w:pPr>
        <w:jc w:val="both"/>
        <w:rPr>
          <w:rFonts w:ascii="Open Sans" w:hAnsi="Open Sans" w:cs="Arial"/>
          <w:bCs/>
          <w:sz w:val="18"/>
          <w:szCs w:val="18"/>
        </w:rPr>
      </w:pPr>
      <w:r w:rsidRPr="00BD1825">
        <w:rPr>
          <w:rStyle w:val="Refdenotaalpie"/>
          <w:rFonts w:ascii="Open Sans" w:hAnsi="Open Sans"/>
          <w:sz w:val="18"/>
          <w:szCs w:val="18"/>
        </w:rPr>
        <w:footnoteRef/>
      </w:r>
      <w:r w:rsidRPr="00BD1825">
        <w:rPr>
          <w:rFonts w:ascii="Open Sans" w:hAnsi="Open Sans"/>
          <w:sz w:val="18"/>
          <w:szCs w:val="18"/>
        </w:rPr>
        <w:t xml:space="preserve"> </w:t>
      </w:r>
      <w:r w:rsidRPr="00BD1825">
        <w:rPr>
          <w:rFonts w:ascii="Open Sans" w:hAnsi="Open Sans" w:cs="Arial"/>
          <w:bCs/>
          <w:sz w:val="18"/>
          <w:szCs w:val="18"/>
        </w:rPr>
        <w:t>"BBVA Compass acaba de emprender una campaña en contra de las exigencias de la normativa para las entidades con más de 50.000 millones de dólares en activos. Lo ha hecho a través de la Coalición de Bancos Regionales de la que forma parte, junto a American Expresss, SunTrust, Huntington, Regions, Fifth Third, Capital One, BMO Financial Group, BBT y Bank of the West"</w:t>
      </w:r>
    </w:p>
    <w:p w14:paraId="118FBA81" w14:textId="77777777" w:rsidR="007F55EB" w:rsidRPr="00BD1825" w:rsidRDefault="007F55EB" w:rsidP="00C86459">
      <w:pPr>
        <w:jc w:val="both"/>
        <w:rPr>
          <w:rFonts w:ascii="Open Sans" w:hAnsi="Open Sans"/>
          <w:sz w:val="18"/>
          <w:szCs w:val="18"/>
          <w:lang w:val="ca-ES"/>
        </w:rPr>
      </w:pPr>
      <w:r w:rsidRPr="00BD1825">
        <w:rPr>
          <w:rFonts w:ascii="Open Sans" w:hAnsi="Open Sans" w:cs="Arial"/>
          <w:bCs/>
          <w:sz w:val="18"/>
          <w:szCs w:val="18"/>
        </w:rPr>
        <w:t xml:space="preserve">  </w:t>
      </w:r>
      <w:hyperlink r:id="rId320" w:history="1">
        <w:r w:rsidRPr="00BD1825">
          <w:rPr>
            <w:rStyle w:val="Hipervnculo"/>
            <w:rFonts w:ascii="Open Sans" w:hAnsi="Open Sans"/>
            <w:sz w:val="18"/>
            <w:szCs w:val="18"/>
          </w:rPr>
          <w:t>http://www.expansion.com/empresas/banca/2015/03/25/551314f9e2704e3e6f8b4570.html</w:t>
        </w:r>
      </w:hyperlink>
      <w:r w:rsidRPr="00BD1825">
        <w:rPr>
          <w:rFonts w:ascii="Open Sans" w:hAnsi="Open Sans"/>
          <w:sz w:val="18"/>
          <w:szCs w:val="18"/>
        </w:rPr>
        <w:t xml:space="preserve"> </w:t>
      </w:r>
    </w:p>
  </w:footnote>
  <w:footnote w:id="494">
    <w:p w14:paraId="51F29F95" w14:textId="77777777" w:rsidR="007F55EB" w:rsidRPr="00B04031" w:rsidRDefault="007F55EB" w:rsidP="00C86459">
      <w:pPr>
        <w:jc w:val="both"/>
        <w:rPr>
          <w:rFonts w:ascii="Open Sans" w:hAnsi="Open Sans"/>
          <w:sz w:val="16"/>
          <w:szCs w:val="16"/>
          <w:lang w:val="ca-ES"/>
        </w:rPr>
      </w:pPr>
      <w:r w:rsidRPr="00BD1825">
        <w:rPr>
          <w:rStyle w:val="Refdenotaalpie"/>
          <w:rFonts w:ascii="Open Sans" w:hAnsi="Open Sans"/>
          <w:sz w:val="18"/>
          <w:szCs w:val="18"/>
        </w:rPr>
        <w:footnoteRef/>
      </w:r>
      <w:r w:rsidRPr="00BD1825">
        <w:rPr>
          <w:rFonts w:ascii="Open Sans" w:hAnsi="Open Sans"/>
          <w:sz w:val="18"/>
          <w:szCs w:val="18"/>
        </w:rPr>
        <w:t xml:space="preserve"> </w:t>
      </w:r>
      <w:hyperlink r:id="rId321" w:history="1">
        <w:r w:rsidRPr="00BD1825">
          <w:rPr>
            <w:rStyle w:val="Hipervnculo"/>
            <w:rFonts w:ascii="Open Sans" w:hAnsi="Open Sans"/>
            <w:sz w:val="18"/>
            <w:szCs w:val="18"/>
          </w:rPr>
          <w:t>http://www.fedea.net/</w:t>
        </w:r>
      </w:hyperlink>
      <w:r>
        <w:rPr>
          <w:rFonts w:ascii="Open Sans" w:hAnsi="Open Sans"/>
          <w:sz w:val="16"/>
          <w:szCs w:val="16"/>
        </w:rPr>
        <w:t xml:space="preserve"> </w:t>
      </w:r>
    </w:p>
  </w:footnote>
  <w:footnote w:id="495">
    <w:p w14:paraId="63E10439"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sz w:val="18"/>
          <w:szCs w:val="18"/>
        </w:rPr>
        <w:footnoteRef/>
      </w:r>
      <w:r w:rsidRPr="00BD1825">
        <w:rPr>
          <w:rFonts w:ascii="Open Sans" w:hAnsi="Open Sans"/>
          <w:sz w:val="18"/>
          <w:szCs w:val="18"/>
        </w:rPr>
        <w:t xml:space="preserve"> </w:t>
      </w:r>
      <w:r w:rsidRPr="00BD1825">
        <w:rPr>
          <w:rFonts w:ascii="Open Sans" w:hAnsi="Open Sans"/>
          <w:sz w:val="18"/>
          <w:szCs w:val="18"/>
          <w:lang w:val="ca-ES"/>
        </w:rPr>
        <w:t>CCAA Consolidadas 2015, pg. 104-105</w:t>
      </w:r>
    </w:p>
  </w:footnote>
  <w:footnote w:id="496">
    <w:p w14:paraId="4A6BEA87" w14:textId="77777777" w:rsidR="007F55EB" w:rsidRPr="00BD1825" w:rsidRDefault="007F55EB" w:rsidP="00C86459">
      <w:pPr>
        <w:rPr>
          <w:rFonts w:ascii="Open Sans" w:hAnsi="Open Sans"/>
          <w:sz w:val="18"/>
          <w:szCs w:val="18"/>
          <w:lang w:val="ca-ES"/>
        </w:rPr>
      </w:pPr>
      <w:r w:rsidRPr="00BD1825">
        <w:rPr>
          <w:rStyle w:val="Refdenotaalpie"/>
          <w:rFonts w:ascii="Open Sans" w:hAnsi="Open Sans"/>
          <w:sz w:val="18"/>
          <w:szCs w:val="18"/>
        </w:rPr>
        <w:footnoteRef/>
      </w:r>
      <w:r w:rsidRPr="00A1554D">
        <w:rPr>
          <w:rFonts w:ascii="Open Sans" w:hAnsi="Open Sans"/>
          <w:sz w:val="18"/>
          <w:szCs w:val="18"/>
          <w:lang w:val="ca-ES"/>
        </w:rPr>
        <w:t xml:space="preserve"> </w:t>
      </w:r>
      <w:hyperlink r:id="rId322" w:history="1">
        <w:r w:rsidRPr="00A1554D">
          <w:rPr>
            <w:rStyle w:val="Hipervnculo"/>
            <w:rFonts w:ascii="Open Sans" w:hAnsi="Open Sans" w:cs="Open Sans"/>
            <w:sz w:val="18"/>
            <w:szCs w:val="18"/>
            <w:lang w:val="ca-ES"/>
          </w:rPr>
          <w:t>http://www.expansion.com/empresas/banca/2015/10/16/56213353268e3ef64e8b45f7.html</w:t>
        </w:r>
      </w:hyperlink>
    </w:p>
  </w:footnote>
  <w:footnote w:id="497">
    <w:p w14:paraId="2911257F" w14:textId="77777777" w:rsidR="007F55EB" w:rsidRPr="00A1554D" w:rsidRDefault="007F55EB" w:rsidP="00C86459">
      <w:pPr>
        <w:rPr>
          <w:rFonts w:cs="Open Sans"/>
          <w:b/>
          <w:sz w:val="20"/>
          <w:szCs w:val="20"/>
          <w:lang w:val="ca-ES"/>
        </w:rPr>
      </w:pPr>
      <w:r w:rsidRPr="00BD1825">
        <w:rPr>
          <w:rStyle w:val="Refdenotaalpie"/>
          <w:rFonts w:ascii="Open Sans" w:hAnsi="Open Sans"/>
          <w:sz w:val="18"/>
          <w:szCs w:val="18"/>
        </w:rPr>
        <w:footnoteRef/>
      </w:r>
      <w:hyperlink r:id="rId323" w:history="1">
        <w:r w:rsidRPr="00A1554D">
          <w:rPr>
            <w:rStyle w:val="Hipervnculo"/>
            <w:rFonts w:ascii="Open Sans" w:hAnsi="Open Sans" w:cs="Open Sans"/>
            <w:sz w:val="18"/>
            <w:szCs w:val="18"/>
            <w:lang w:val="ca-ES"/>
          </w:rPr>
          <w:t>http://www.elconfidencial.com/empresas/2015-09-16/la-union-europea-implica-a-bbva-en-un-caso-de-fraude-masivo-de-iva_1018401/</w:t>
        </w:r>
      </w:hyperlink>
      <w:r w:rsidRPr="00A1554D">
        <w:rPr>
          <w:rFonts w:cs="Open Sans"/>
          <w:b/>
          <w:sz w:val="20"/>
          <w:szCs w:val="20"/>
          <w:lang w:val="ca-ES"/>
        </w:rPr>
        <w:t xml:space="preserve"> </w:t>
      </w:r>
    </w:p>
  </w:footnote>
  <w:footnote w:id="498">
    <w:p w14:paraId="77E4DBC0" w14:textId="77777777" w:rsidR="007F55EB" w:rsidRPr="004C253A" w:rsidRDefault="007F55EB" w:rsidP="00C86459">
      <w:pPr>
        <w:pStyle w:val="Textonotapie"/>
        <w:rPr>
          <w:rFonts w:ascii="Open Sans" w:hAnsi="Open Sans"/>
          <w:sz w:val="18"/>
          <w:szCs w:val="18"/>
        </w:rPr>
      </w:pPr>
      <w:r w:rsidRPr="004C253A">
        <w:rPr>
          <w:rStyle w:val="Refdenotaalpie"/>
          <w:rFonts w:ascii="Open Sans" w:hAnsi="Open Sans"/>
          <w:sz w:val="18"/>
          <w:szCs w:val="18"/>
        </w:rPr>
        <w:footnoteRef/>
      </w:r>
      <w:r w:rsidRPr="004C253A">
        <w:rPr>
          <w:rFonts w:ascii="Open Sans" w:hAnsi="Open Sans"/>
          <w:sz w:val="18"/>
          <w:szCs w:val="18"/>
        </w:rPr>
        <w:t xml:space="preserve"> </w:t>
      </w:r>
      <w:r w:rsidRPr="004C253A">
        <w:rPr>
          <w:rFonts w:ascii="Open Sans" w:hAnsi="Open Sans" w:cs="Arial"/>
          <w:sz w:val="18"/>
          <w:szCs w:val="18"/>
        </w:rPr>
        <w:t>Negocio Internacional. Nuestra red internacional. http://www.bancopopular.es/empresas/negocio-internacional/nuestra-red-internacional.</w:t>
      </w:r>
    </w:p>
  </w:footnote>
  <w:footnote w:id="499">
    <w:p w14:paraId="21CF4838"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Integrado de Responsabilidad Corporativa 2015, pag. 74.</w:t>
      </w:r>
    </w:p>
  </w:footnote>
  <w:footnote w:id="500">
    <w:p w14:paraId="28124A03"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w:t>
      </w:r>
      <w:hyperlink r:id="rId324" w:history="1">
        <w:r w:rsidRPr="00C86459">
          <w:rPr>
            <w:rStyle w:val="Hipervnculo"/>
            <w:rFonts w:ascii="Open Sans" w:hAnsi="Open Sans"/>
            <w:sz w:val="18"/>
            <w:szCs w:val="18"/>
          </w:rPr>
          <w:t>http://www.sustainability-indices.com/images/DJSI_Review_Presentation_09_2014_final.pdf</w:t>
        </w:r>
      </w:hyperlink>
    </w:p>
    <w:p w14:paraId="60AE1B5F" w14:textId="77777777" w:rsidR="007F55EB" w:rsidRPr="00C86459" w:rsidRDefault="007F55EB" w:rsidP="00C86459">
      <w:pPr>
        <w:pStyle w:val="Textonotapie"/>
        <w:rPr>
          <w:rFonts w:ascii="Open Sans" w:hAnsi="Open Sans"/>
          <w:sz w:val="18"/>
          <w:szCs w:val="18"/>
        </w:rPr>
      </w:pPr>
      <w:hyperlink r:id="rId325" w:history="1">
        <w:r w:rsidRPr="00C86459">
          <w:rPr>
            <w:rStyle w:val="Hipervnculo"/>
            <w:rFonts w:ascii="Open Sans" w:hAnsi="Open Sans"/>
            <w:sz w:val="18"/>
            <w:szCs w:val="18"/>
          </w:rPr>
          <w:t>http://www.ftse.com/products/downloads/F4G-Index-Inclusion-Rules.pdf</w:t>
        </w:r>
      </w:hyperlink>
    </w:p>
  </w:footnote>
  <w:footnote w:id="501">
    <w:p w14:paraId="125CF3E4"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w:t>
      </w:r>
      <w:r w:rsidRPr="00C86459">
        <w:rPr>
          <w:rFonts w:ascii="Open Sans" w:hAnsi="Open Sans" w:cs="Arial"/>
          <w:sz w:val="18"/>
          <w:szCs w:val="18"/>
        </w:rPr>
        <w:t>Informe Anual 2015 - Informe de Gestión Individual. pág. 315.</w:t>
      </w:r>
    </w:p>
  </w:footnote>
  <w:footnote w:id="502">
    <w:p w14:paraId="13052648" w14:textId="77777777" w:rsidR="007F55EB" w:rsidRPr="00C86459" w:rsidRDefault="007F55EB" w:rsidP="00C86459">
      <w:pPr>
        <w:pStyle w:val="Textonotapie"/>
        <w:jc w:val="both"/>
        <w:rPr>
          <w:rFonts w:ascii="Open Sans" w:hAnsi="Open Sans" w:cs="Open Sans"/>
          <w:sz w:val="18"/>
          <w:szCs w:val="18"/>
        </w:rPr>
      </w:pPr>
      <w:r w:rsidRPr="00C86459">
        <w:rPr>
          <w:rStyle w:val="Refdenotaalpie"/>
          <w:rFonts w:ascii="Open Sans" w:hAnsi="Open Sans" w:cs="Open Sans"/>
          <w:sz w:val="18"/>
          <w:szCs w:val="18"/>
        </w:rPr>
        <w:footnoteRef/>
      </w:r>
      <w:r w:rsidRPr="00C86459">
        <w:rPr>
          <w:rFonts w:ascii="Open Sans" w:hAnsi="Open Sans" w:cs="Open Sans"/>
          <w:sz w:val="18"/>
          <w:szCs w:val="18"/>
        </w:rPr>
        <w:t xml:space="preserve"> </w:t>
      </w:r>
      <w:hyperlink r:id="rId326" w:history="1">
        <w:r w:rsidRPr="00C86459">
          <w:rPr>
            <w:rStyle w:val="Hipervnculo"/>
            <w:rFonts w:ascii="Open Sans" w:hAnsi="Open Sans" w:cs="Open Sans"/>
            <w:sz w:val="18"/>
            <w:szCs w:val="18"/>
          </w:rPr>
          <w:t>http://www.bancopopular.es/empresas/negocio-internacional/nuestra-red-internacional</w:t>
        </w:r>
      </w:hyperlink>
    </w:p>
  </w:footnote>
  <w:footnote w:id="503">
    <w:p w14:paraId="479A5154"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w:t>
      </w:r>
      <w:hyperlink r:id="rId327" w:history="1">
        <w:r w:rsidRPr="00C86459">
          <w:rPr>
            <w:rStyle w:val="Hipervnculo"/>
            <w:rFonts w:ascii="Open Sans" w:hAnsi="Open Sans" w:cs="Arial"/>
            <w:sz w:val="18"/>
            <w:szCs w:val="18"/>
          </w:rPr>
          <w:t>http://www.expansion.com/empresas/banca/2016/10/17/5804a852468aeb782f8b45bb.html</w:t>
        </w:r>
      </w:hyperlink>
      <w:r w:rsidRPr="00C86459">
        <w:rPr>
          <w:rFonts w:ascii="Open Sans" w:hAnsi="Open Sans"/>
          <w:sz w:val="18"/>
          <w:szCs w:val="18"/>
        </w:rPr>
        <w:t xml:space="preserve"> </w:t>
      </w:r>
    </w:p>
  </w:footnote>
  <w:footnote w:id="504">
    <w:p w14:paraId="062ECDB3"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Integrado de Responsabilidad Corporativa 2015, Pag.67</w:t>
      </w:r>
      <w:proofErr w:type="gramStart"/>
      <w:r w:rsidRPr="00C86459">
        <w:rPr>
          <w:rFonts w:ascii="Open Sans" w:hAnsi="Open Sans"/>
          <w:sz w:val="18"/>
          <w:szCs w:val="18"/>
        </w:rPr>
        <w:t>..</w:t>
      </w:r>
      <w:proofErr w:type="gramEnd"/>
    </w:p>
  </w:footnote>
  <w:footnote w:id="505">
    <w:p w14:paraId="4C95F8C2"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w:t>
      </w:r>
      <w:hyperlink r:id="rId328" w:history="1">
        <w:r w:rsidRPr="00C86459">
          <w:rPr>
            <w:rStyle w:val="Hipervnculo"/>
            <w:rFonts w:ascii="Open Sans" w:hAnsi="Open Sans"/>
            <w:sz w:val="18"/>
            <w:szCs w:val="18"/>
          </w:rPr>
          <w:t>http://cincodias.com/cincodias/2016/12/01/mercados/1480602274_022078.html</w:t>
        </w:r>
      </w:hyperlink>
      <w:r w:rsidRPr="00C86459">
        <w:rPr>
          <w:rFonts w:ascii="Open Sans" w:hAnsi="Open Sans"/>
          <w:sz w:val="18"/>
          <w:szCs w:val="18"/>
        </w:rPr>
        <w:t xml:space="preserve"> </w:t>
      </w:r>
    </w:p>
  </w:footnote>
  <w:footnote w:id="506">
    <w:p w14:paraId="3075152D"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Anual 2015 - Informe de Gestión Individual, pág. 810.</w:t>
      </w:r>
    </w:p>
  </w:footnote>
  <w:footnote w:id="507">
    <w:p w14:paraId="16BA2C01"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Anual 2015 , pág. 674</w:t>
      </w:r>
    </w:p>
  </w:footnote>
  <w:footnote w:id="508">
    <w:p w14:paraId="7F36CEDE"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Anual 2015 - Informe de Gestión Individual, pág. 280.</w:t>
      </w:r>
    </w:p>
  </w:footnote>
  <w:footnote w:id="509">
    <w:p w14:paraId="74AB16CD"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Integrado de Responsabilidad Corporativa 2015, pág. 74.</w:t>
      </w:r>
    </w:p>
  </w:footnote>
  <w:footnote w:id="510">
    <w:p w14:paraId="6296B5ED"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Anual 2015 - Informe de Gestión Individual, pág. 279</w:t>
      </w:r>
    </w:p>
  </w:footnote>
  <w:footnote w:id="511">
    <w:p w14:paraId="4ACE1DE3"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La entidad indica expresamente que uno de los objetivos para el Grupo de Interés clientes, </w:t>
      </w:r>
      <w:proofErr w:type="gramStart"/>
      <w:r w:rsidRPr="00C86459">
        <w:rPr>
          <w:rFonts w:ascii="Open Sans" w:hAnsi="Open Sans"/>
          <w:sz w:val="18"/>
          <w:szCs w:val="18"/>
        </w:rPr>
        <w:t>es ”</w:t>
      </w:r>
      <w:proofErr w:type="gramEnd"/>
      <w:r w:rsidRPr="00C86459">
        <w:rPr>
          <w:rFonts w:ascii="Open Sans" w:hAnsi="Open Sans"/>
          <w:sz w:val="18"/>
          <w:szCs w:val="18"/>
        </w:rPr>
        <w:t xml:space="preserve"> Ofrecer productos y servicios adecuados a sus Necesidades” . Informe Integrado de Responsabilidad Corporativa 2015, pág. 56.</w:t>
      </w:r>
    </w:p>
  </w:footnote>
  <w:footnote w:id="512">
    <w:p w14:paraId="7BB83CD7" w14:textId="5DBE8534"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w:t>
      </w:r>
      <w:hyperlink r:id="rId329" w:history="1">
        <w:r w:rsidRPr="00C86459">
          <w:rPr>
            <w:rStyle w:val="Hipervnculo"/>
            <w:rFonts w:ascii="Open Sans" w:hAnsi="Open Sans"/>
            <w:sz w:val="18"/>
            <w:szCs w:val="18"/>
          </w:rPr>
          <w:t>http://www.elconfidencial.com/empresas/2016-12-04/el-popular-financiaba-a-clientes-vips-a-cambio-de-comprar-acciones-a-credito_1298947/</w:t>
        </w:r>
      </w:hyperlink>
    </w:p>
  </w:footnote>
  <w:footnote w:id="513">
    <w:p w14:paraId="6602F372" w14:textId="77777777" w:rsidR="007F55EB" w:rsidRPr="00C86459" w:rsidRDefault="007F55EB" w:rsidP="00C86459">
      <w:pPr>
        <w:pStyle w:val="Textonotapie"/>
        <w:rPr>
          <w:rFonts w:ascii="Open Sans" w:hAnsi="Open Sans"/>
          <w:sz w:val="18"/>
          <w:szCs w:val="18"/>
        </w:rPr>
      </w:pPr>
      <w:r w:rsidRPr="00C86459">
        <w:rPr>
          <w:rStyle w:val="Refdenotaalpie"/>
          <w:rFonts w:ascii="Open Sans" w:hAnsi="Open Sans"/>
          <w:sz w:val="18"/>
          <w:szCs w:val="18"/>
        </w:rPr>
        <w:footnoteRef/>
      </w:r>
      <w:r w:rsidRPr="00C86459">
        <w:rPr>
          <w:rFonts w:ascii="Open Sans" w:hAnsi="Open Sans"/>
          <w:sz w:val="18"/>
          <w:szCs w:val="18"/>
        </w:rPr>
        <w:t xml:space="preserve"> Informe Anual 2015 – Grupo, pág. 280.</w:t>
      </w:r>
    </w:p>
  </w:footnote>
  <w:footnote w:id="514">
    <w:p w14:paraId="1A42599F" w14:textId="77777777" w:rsidR="007F55EB" w:rsidRDefault="007F55EB" w:rsidP="00C86459">
      <w:pPr>
        <w:pStyle w:val="Textonotapie"/>
      </w:pPr>
      <w:r w:rsidRPr="00C86459">
        <w:rPr>
          <w:rStyle w:val="Refdenotaalpie"/>
          <w:rFonts w:ascii="Open Sans" w:hAnsi="Open Sans"/>
          <w:sz w:val="18"/>
          <w:szCs w:val="18"/>
        </w:rPr>
        <w:footnoteRef/>
      </w:r>
      <w:r w:rsidRPr="00C86459">
        <w:rPr>
          <w:rFonts w:ascii="Open Sans" w:hAnsi="Open Sans"/>
          <w:sz w:val="18"/>
          <w:szCs w:val="18"/>
        </w:rPr>
        <w:t xml:space="preserve"> Informe Anual 2015 – Grupo, </w:t>
      </w:r>
      <w:proofErr w:type="gramStart"/>
      <w:r w:rsidRPr="00C86459">
        <w:rPr>
          <w:rFonts w:ascii="Open Sans" w:hAnsi="Open Sans"/>
          <w:sz w:val="18"/>
          <w:szCs w:val="18"/>
        </w:rPr>
        <w:t>pág..</w:t>
      </w:r>
      <w:proofErr w:type="gramEnd"/>
      <w:r w:rsidRPr="00C86459">
        <w:rPr>
          <w:rFonts w:ascii="Open Sans" w:hAnsi="Open Sans"/>
          <w:sz w:val="18"/>
          <w:szCs w:val="18"/>
        </w:rPr>
        <w:t>435.</w:t>
      </w:r>
    </w:p>
  </w:footnote>
  <w:footnote w:id="515">
    <w:p w14:paraId="31F3E558"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rPr>
        <w:t xml:space="preserve"> Datos extraídos del Anexo I, Anexo II y Anexo VI de las CCAA Consolidadas 2015</w:t>
      </w:r>
    </w:p>
  </w:footnote>
  <w:footnote w:id="516">
    <w:p w14:paraId="74B22A05" w14:textId="77777777" w:rsidR="007F55EB" w:rsidRPr="00A85716" w:rsidRDefault="007F55EB" w:rsidP="00C86459">
      <w:pPr>
        <w:jc w:val="both"/>
        <w:rPr>
          <w:rFonts w:ascii="Open Sans" w:hAnsi="Open Sans"/>
          <w:sz w:val="18"/>
          <w:szCs w:val="18"/>
        </w:rPr>
      </w:pPr>
      <w:r w:rsidRPr="00A85716">
        <w:rPr>
          <w:rStyle w:val="Caracteresdenotaalpie"/>
          <w:rFonts w:ascii="Open Sans" w:hAnsi="Open Sans"/>
          <w:sz w:val="18"/>
          <w:szCs w:val="18"/>
        </w:rPr>
        <w:footnoteRef/>
      </w:r>
      <w:r w:rsidRPr="00A85716">
        <w:rPr>
          <w:rStyle w:val="Refdenotaalpie1"/>
          <w:rFonts w:ascii="Open Sans" w:hAnsi="Open Sans" w:cs="Open Sans"/>
          <w:sz w:val="18"/>
          <w:szCs w:val="18"/>
        </w:rPr>
        <w:t xml:space="preserve"> A través de un </w:t>
      </w:r>
      <w:r w:rsidRPr="00A85716">
        <w:rPr>
          <w:rFonts w:ascii="Open Sans" w:hAnsi="Open Sans" w:cs="Open Sans"/>
          <w:sz w:val="18"/>
          <w:szCs w:val="18"/>
        </w:rPr>
        <w:t>programa de microcréditos.</w:t>
      </w:r>
    </w:p>
  </w:footnote>
  <w:footnote w:id="517">
    <w:p w14:paraId="720305D6"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vertAlign w:val="superscript"/>
        </w:rPr>
        <w:t xml:space="preserve"> </w:t>
      </w:r>
      <w:r w:rsidRPr="00A85716">
        <w:rPr>
          <w:rFonts w:ascii="Open Sans" w:hAnsi="Open Sans"/>
          <w:sz w:val="18"/>
          <w:szCs w:val="18"/>
        </w:rPr>
        <w:t>Informe de Sostenibilidad 2015, pg. 17</w:t>
      </w:r>
    </w:p>
  </w:footnote>
  <w:footnote w:id="518">
    <w:p w14:paraId="7903E50A" w14:textId="77777777" w:rsidR="007F55EB" w:rsidRPr="00A85716" w:rsidRDefault="007F55EB" w:rsidP="00C86459">
      <w:pPr>
        <w:rPr>
          <w:rFonts w:ascii="Open Sans" w:hAnsi="Open Sans"/>
          <w:sz w:val="18"/>
          <w:szCs w:val="18"/>
        </w:rPr>
      </w:pPr>
      <w:r w:rsidRPr="00A85716">
        <w:rPr>
          <w:rStyle w:val="Refdenotaalpie"/>
          <w:rFonts w:ascii="Open Sans" w:hAnsi="Open Sans"/>
          <w:sz w:val="18"/>
          <w:szCs w:val="18"/>
        </w:rPr>
        <w:footnoteRef/>
      </w:r>
      <w:r w:rsidRPr="00A85716">
        <w:rPr>
          <w:rFonts w:ascii="Open Sans" w:hAnsi="Open Sans"/>
          <w:sz w:val="18"/>
          <w:szCs w:val="18"/>
        </w:rPr>
        <w:t xml:space="preserve"> </w:t>
      </w:r>
      <w:hyperlink r:id="rId330" w:history="1">
        <w:r w:rsidRPr="00A85716">
          <w:rPr>
            <w:rFonts w:ascii="Open Sans" w:hAnsi="Open Sans"/>
            <w:sz w:val="18"/>
            <w:szCs w:val="18"/>
          </w:rPr>
          <w:t>http://www.elconfidencial.com/empresas/2016-09-22/banco-santander-sociedades-bahamas-botin_1263600/</w:t>
        </w:r>
      </w:hyperlink>
    </w:p>
  </w:footnote>
  <w:footnote w:id="519">
    <w:p w14:paraId="2576AC0B" w14:textId="77777777" w:rsidR="007F55EB" w:rsidRPr="00A85716" w:rsidRDefault="007F55EB" w:rsidP="00C86459">
      <w:pPr>
        <w:rPr>
          <w:rFonts w:ascii="Open Sans" w:hAnsi="Open Sans"/>
          <w:sz w:val="18"/>
          <w:szCs w:val="18"/>
          <w:lang w:val="ca-ES"/>
        </w:rPr>
      </w:pPr>
      <w:r w:rsidRPr="00A85716">
        <w:rPr>
          <w:rStyle w:val="Refdenotaalpie"/>
          <w:rFonts w:ascii="Open Sans" w:hAnsi="Open Sans"/>
          <w:sz w:val="18"/>
          <w:szCs w:val="18"/>
        </w:rPr>
        <w:footnoteRef/>
      </w:r>
      <w:r w:rsidRPr="00A85716">
        <w:rPr>
          <w:rFonts w:ascii="Open Sans" w:hAnsi="Open Sans"/>
          <w:sz w:val="18"/>
          <w:szCs w:val="18"/>
        </w:rPr>
        <w:t xml:space="preserve">  http://ctxt.es/es/20160914/Politica/8453/Preferentes-estafa-paraiso-fiscal-banca-crisis.htm</w:t>
      </w:r>
    </w:p>
  </w:footnote>
  <w:footnote w:id="520">
    <w:p w14:paraId="54B2DBC4" w14:textId="77777777" w:rsidR="007F55EB" w:rsidRPr="00A1554D" w:rsidRDefault="007F55EB" w:rsidP="00C86459">
      <w:pPr>
        <w:pStyle w:val="Normal1"/>
        <w:jc w:val="both"/>
        <w:rPr>
          <w:rFonts w:ascii="Open Sans" w:hAnsi="Open Sans"/>
          <w:sz w:val="18"/>
          <w:szCs w:val="18"/>
          <w:lang w:val="en-GB"/>
        </w:rPr>
      </w:pPr>
      <w:r w:rsidRPr="00A85716">
        <w:rPr>
          <w:rStyle w:val="Caracteresdenotaalpie"/>
          <w:rFonts w:ascii="Open Sans" w:hAnsi="Open Sans"/>
          <w:sz w:val="18"/>
          <w:szCs w:val="18"/>
        </w:rPr>
        <w:footnoteRef/>
      </w:r>
      <w:r w:rsidRPr="00A1554D">
        <w:rPr>
          <w:rFonts w:ascii="Open Sans" w:hAnsi="Open Sans" w:cs="Open Sans"/>
          <w:sz w:val="18"/>
          <w:szCs w:val="18"/>
          <w:vertAlign w:val="superscript"/>
          <w:lang w:val="en-GB"/>
        </w:rPr>
        <w:t xml:space="preserve"> </w:t>
      </w:r>
      <w:r w:rsidRPr="00A1554D">
        <w:rPr>
          <w:rFonts w:ascii="Open Sans" w:hAnsi="Open Sans" w:cs="Open Sans"/>
          <w:sz w:val="18"/>
          <w:szCs w:val="18"/>
          <w:lang w:val="en-GB"/>
        </w:rPr>
        <w:t>Richard Brooks, The great tax robbery.</w:t>
      </w:r>
    </w:p>
  </w:footnote>
  <w:footnote w:id="521">
    <w:p w14:paraId="6CA5C9C3" w14:textId="77777777" w:rsidR="007F55EB" w:rsidRPr="00A85716" w:rsidRDefault="007F55EB" w:rsidP="00C86459">
      <w:pPr>
        <w:pStyle w:val="Normal1"/>
        <w:tabs>
          <w:tab w:val="left" w:pos="7000"/>
        </w:tabs>
        <w:rPr>
          <w:rFonts w:ascii="Open Sans" w:hAnsi="Open Sans"/>
          <w:sz w:val="18"/>
          <w:szCs w:val="18"/>
          <w:lang w:val="ca-ES"/>
        </w:rPr>
      </w:pPr>
      <w:r w:rsidRPr="00A85716">
        <w:rPr>
          <w:rStyle w:val="Refdenotaalpie"/>
          <w:rFonts w:ascii="Open Sans" w:hAnsi="Open Sans"/>
          <w:sz w:val="18"/>
          <w:szCs w:val="18"/>
        </w:rPr>
        <w:footnoteRef/>
      </w:r>
      <w:r w:rsidRPr="00A1554D">
        <w:rPr>
          <w:rFonts w:ascii="Open Sans" w:hAnsi="Open Sans"/>
          <w:sz w:val="18"/>
          <w:szCs w:val="18"/>
          <w:lang w:val="en-GB"/>
        </w:rPr>
        <w:t xml:space="preserve"> </w:t>
      </w:r>
      <w:r w:rsidRPr="00A1554D">
        <w:rPr>
          <w:rFonts w:ascii="Open Sans" w:eastAsia="Arial" w:hAnsi="Open Sans" w:cs="Open Sans"/>
          <w:sz w:val="18"/>
          <w:szCs w:val="18"/>
          <w:lang w:val="en-GB"/>
        </w:rPr>
        <w:t>http://www.vozpopuli.com/economia-y-finanzas/empresas/Bankia-lista_Falciani-Banco_Sabadell-Santander-Bankinter-bancos-registro-sede-policia-udef_0_922707816.html</w:t>
      </w:r>
    </w:p>
  </w:footnote>
  <w:footnote w:id="522">
    <w:p w14:paraId="2F3A3CB2" w14:textId="77777777" w:rsidR="007F55EB" w:rsidRPr="00A85716" w:rsidRDefault="007F55EB" w:rsidP="00C86459">
      <w:pPr>
        <w:rPr>
          <w:rFonts w:ascii="Open Sans" w:hAnsi="Open Sans"/>
          <w:sz w:val="18"/>
          <w:szCs w:val="18"/>
          <w:lang w:val="ca-ES"/>
        </w:rPr>
      </w:pPr>
      <w:r w:rsidRPr="00A85716">
        <w:rPr>
          <w:rStyle w:val="Refdenotaalpie"/>
          <w:rFonts w:ascii="Open Sans" w:hAnsi="Open Sans" w:cs="Open Sans"/>
          <w:sz w:val="18"/>
          <w:szCs w:val="18"/>
        </w:rPr>
        <w:footnoteRef/>
      </w:r>
      <w:r w:rsidRPr="00A1554D">
        <w:rPr>
          <w:rFonts w:ascii="Open Sans" w:hAnsi="Open Sans"/>
          <w:sz w:val="18"/>
          <w:szCs w:val="18"/>
          <w:lang w:val="ca-ES"/>
        </w:rPr>
        <w:t xml:space="preserve"> </w:t>
      </w:r>
      <w:r w:rsidRPr="00A85716">
        <w:rPr>
          <w:rFonts w:ascii="Open Sans" w:hAnsi="Open Sans"/>
          <w:sz w:val="18"/>
          <w:szCs w:val="18"/>
          <w:lang w:val="ca-ES"/>
        </w:rPr>
        <w:t xml:space="preserve"> https://www.theguardian.com/business/2016/jun/03/police-search-santanders-madrid-hq-in-money-laundering-inquiry-falciani-hsbc-geneva</w:t>
      </w:r>
    </w:p>
  </w:footnote>
  <w:footnote w:id="523">
    <w:p w14:paraId="68374012" w14:textId="77777777" w:rsidR="007F55EB" w:rsidRPr="00A85716" w:rsidRDefault="007F55EB" w:rsidP="00C86459">
      <w:pPr>
        <w:rPr>
          <w:rFonts w:ascii="Open Sans" w:hAnsi="Open Sans"/>
          <w:sz w:val="18"/>
          <w:szCs w:val="18"/>
          <w:lang w:val="ca-ES"/>
        </w:rPr>
      </w:pPr>
      <w:r w:rsidRPr="00A85716">
        <w:rPr>
          <w:rStyle w:val="Refdenotaalpie"/>
          <w:rFonts w:ascii="Open Sans" w:hAnsi="Open Sans"/>
          <w:sz w:val="18"/>
          <w:szCs w:val="18"/>
        </w:rPr>
        <w:footnoteRef/>
      </w:r>
      <w:r w:rsidRPr="00A1554D">
        <w:rPr>
          <w:rFonts w:ascii="Open Sans" w:hAnsi="Open Sans"/>
          <w:sz w:val="18"/>
          <w:szCs w:val="18"/>
          <w:lang w:val="ca-ES"/>
        </w:rPr>
        <w:t xml:space="preserve"> https://www.bloomberg.com/news/articles/2016-06-16/spain-said-to-probe-bnp-santander-staff-over-roles-in-tax-case</w:t>
      </w:r>
    </w:p>
  </w:footnote>
  <w:footnote w:id="524">
    <w:p w14:paraId="2AA1D05A" w14:textId="77777777" w:rsidR="007F55EB" w:rsidRPr="00A85716" w:rsidRDefault="007F55EB" w:rsidP="00C86459">
      <w:pPr>
        <w:rPr>
          <w:rFonts w:ascii="Open Sans" w:hAnsi="Open Sans"/>
          <w:sz w:val="18"/>
          <w:szCs w:val="18"/>
          <w:lang w:val="ca-ES"/>
        </w:rPr>
      </w:pPr>
      <w:r w:rsidRPr="00A85716">
        <w:rPr>
          <w:rStyle w:val="Refdenotaalpie"/>
          <w:rFonts w:ascii="Open Sans" w:hAnsi="Open Sans"/>
          <w:sz w:val="18"/>
          <w:szCs w:val="18"/>
        </w:rPr>
        <w:footnoteRef/>
      </w:r>
      <w:r w:rsidRPr="00A1554D">
        <w:rPr>
          <w:rFonts w:ascii="Open Sans" w:hAnsi="Open Sans"/>
          <w:sz w:val="18"/>
          <w:szCs w:val="18"/>
          <w:lang w:val="ca-ES"/>
        </w:rPr>
        <w:t xml:space="preserve"> http://www.vozpopuli.com/actualidad/nacional/Caso_Rato-Rodrigo_Rato-ONIF-Santander-Fiscalia_Anticorrupcion-rodrigo_rato-telefonica-plaza_de_castilla_0_936506355.html</w:t>
      </w:r>
    </w:p>
  </w:footnote>
  <w:footnote w:id="525">
    <w:p w14:paraId="1CC2D00F" w14:textId="77777777" w:rsidR="007F55EB" w:rsidRPr="00A1554D" w:rsidRDefault="007F55EB" w:rsidP="00C86459">
      <w:pPr>
        <w:rPr>
          <w:rFonts w:ascii="Open Sans" w:hAnsi="Open Sans"/>
          <w:sz w:val="18"/>
          <w:szCs w:val="18"/>
          <w:lang w:val="ca-ES"/>
        </w:rPr>
      </w:pPr>
    </w:p>
    <w:p w14:paraId="78B48E3C"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rPr>
        <w:t xml:space="preserve"> </w:t>
      </w:r>
      <w:r w:rsidRPr="00A85716">
        <w:rPr>
          <w:rFonts w:ascii="Open Sans" w:hAnsi="Open Sans" w:cs="Open Sans"/>
          <w:sz w:val="18"/>
          <w:szCs w:val="18"/>
        </w:rPr>
        <w:t>IAGC201, pg. 13</w:t>
      </w:r>
    </w:p>
  </w:footnote>
  <w:footnote w:id="526">
    <w:p w14:paraId="41C19C3E"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rPr>
        <w:t xml:space="preserve"> I</w:t>
      </w:r>
      <w:r w:rsidRPr="00A85716">
        <w:rPr>
          <w:rFonts w:ascii="Open Sans" w:hAnsi="Open Sans" w:cs="Open Sans"/>
          <w:bCs/>
          <w:sz w:val="18"/>
          <w:szCs w:val="18"/>
        </w:rPr>
        <w:t>ncluido como Anexo VI de las CCAA Consolidadas 2015</w:t>
      </w:r>
    </w:p>
  </w:footnote>
  <w:footnote w:id="527">
    <w:p w14:paraId="3B93C786"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vertAlign w:val="superscript"/>
        </w:rPr>
        <w:t xml:space="preserve"> </w:t>
      </w:r>
      <w:r w:rsidRPr="00A85716">
        <w:rPr>
          <w:rFonts w:ascii="Open Sans" w:hAnsi="Open Sans"/>
          <w:sz w:val="18"/>
          <w:szCs w:val="18"/>
        </w:rPr>
        <w:t>Superiores al 3% del capital social o que permitan una influencia notable en el Banco.</w:t>
      </w:r>
    </w:p>
  </w:footnote>
  <w:footnote w:id="528">
    <w:p w14:paraId="2F5A20B8"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rPr>
        <w:t xml:space="preserve"> I</w:t>
      </w:r>
      <w:r w:rsidRPr="00A85716">
        <w:rPr>
          <w:rFonts w:ascii="Open Sans" w:hAnsi="Open Sans"/>
          <w:bCs/>
          <w:sz w:val="18"/>
          <w:szCs w:val="18"/>
        </w:rPr>
        <w:t>ncluido como Anexo VI de las CCAA Consolidadas 2015</w:t>
      </w:r>
    </w:p>
  </w:footnote>
  <w:footnote w:id="529">
    <w:p w14:paraId="2FA5FFCC"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vertAlign w:val="superscript"/>
        </w:rPr>
        <w:t xml:space="preserve"> </w:t>
      </w:r>
      <w:r w:rsidRPr="00A85716">
        <w:rPr>
          <w:rFonts w:ascii="Open Sans" w:hAnsi="Open Sans"/>
          <w:sz w:val="18"/>
          <w:szCs w:val="18"/>
        </w:rPr>
        <w:t>CCAA Consolidadas 2015 pg.540</w:t>
      </w:r>
    </w:p>
  </w:footnote>
  <w:footnote w:id="530">
    <w:p w14:paraId="0E52FD7E"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hyperlink r:id="rId331" w:history="1">
        <w:r w:rsidRPr="00A85716">
          <w:rPr>
            <w:rStyle w:val="Hipervnculo"/>
            <w:rFonts w:ascii="Open Sans" w:hAnsi="Open Sans" w:cs="Open Sans"/>
            <w:sz w:val="18"/>
            <w:szCs w:val="18"/>
          </w:rPr>
          <w:t xml:space="preserve"> http://www.fedea.net/</w:t>
        </w:r>
      </w:hyperlink>
      <w:r w:rsidRPr="00A85716">
        <w:rPr>
          <w:rFonts w:ascii="Open Sans" w:hAnsi="Open Sans" w:cs="Open Sans"/>
          <w:sz w:val="18"/>
          <w:szCs w:val="18"/>
        </w:rPr>
        <w:t xml:space="preserve"> </w:t>
      </w:r>
    </w:p>
  </w:footnote>
  <w:footnote w:id="531">
    <w:p w14:paraId="20D39016" w14:textId="77777777" w:rsidR="007F55EB" w:rsidRPr="00A85716"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vertAlign w:val="superscript"/>
        </w:rPr>
        <w:t xml:space="preserve"> </w:t>
      </w:r>
      <w:r w:rsidRPr="00A85716">
        <w:rPr>
          <w:rFonts w:ascii="Open Sans" w:hAnsi="Open Sans"/>
          <w:sz w:val="18"/>
          <w:szCs w:val="18"/>
        </w:rPr>
        <w:t>CCAA Consolidadas 2015, pg. 242-243 y CCAA Banco Santander 2015, pg. 177</w:t>
      </w:r>
    </w:p>
  </w:footnote>
  <w:footnote w:id="532">
    <w:p w14:paraId="6F4B5024" w14:textId="77777777" w:rsidR="007F55EB" w:rsidRPr="00F2662E" w:rsidRDefault="007F55EB" w:rsidP="00C86459">
      <w:pPr>
        <w:rPr>
          <w:rFonts w:ascii="Open Sans" w:hAnsi="Open Sans"/>
          <w:sz w:val="18"/>
          <w:szCs w:val="18"/>
        </w:rPr>
      </w:pPr>
      <w:r w:rsidRPr="00A85716">
        <w:rPr>
          <w:rStyle w:val="Caracteresdenotaalpie"/>
          <w:rFonts w:ascii="Open Sans" w:hAnsi="Open Sans"/>
          <w:sz w:val="18"/>
          <w:szCs w:val="18"/>
        </w:rPr>
        <w:footnoteRef/>
      </w:r>
      <w:r w:rsidRPr="00A85716">
        <w:rPr>
          <w:rFonts w:ascii="Open Sans" w:hAnsi="Open Sans"/>
          <w:sz w:val="18"/>
          <w:szCs w:val="18"/>
          <w:vertAlign w:val="superscript"/>
        </w:rPr>
        <w:t xml:space="preserve"> </w:t>
      </w:r>
      <w:r w:rsidRPr="00A85716">
        <w:rPr>
          <w:rFonts w:ascii="Open Sans" w:hAnsi="Open Sans"/>
          <w:sz w:val="18"/>
          <w:szCs w:val="18"/>
        </w:rPr>
        <w:t>Adhesión al Código de Buenas Prácticas en materia fiscal aplicable a entidades bancarias del Reino Unido.</w:t>
      </w:r>
    </w:p>
  </w:footnote>
  <w:footnote w:id="533">
    <w:p w14:paraId="030CCC52" w14:textId="77777777" w:rsidR="007F55EB" w:rsidRPr="00C67337" w:rsidRDefault="007F55EB" w:rsidP="00C86459">
      <w:pPr>
        <w:pStyle w:val="Textonotapie"/>
        <w:rPr>
          <w:rFonts w:ascii="Open Sans" w:hAnsi="Open Sans"/>
          <w:sz w:val="18"/>
          <w:szCs w:val="18"/>
        </w:rPr>
      </w:pPr>
      <w:r w:rsidRPr="00C67337">
        <w:rPr>
          <w:rStyle w:val="Refdenotaalpie"/>
          <w:rFonts w:ascii="Open Sans" w:hAnsi="Open Sans"/>
          <w:sz w:val="18"/>
          <w:szCs w:val="18"/>
        </w:rPr>
        <w:footnoteRef/>
      </w:r>
      <w:r w:rsidRPr="00C67337">
        <w:rPr>
          <w:rFonts w:ascii="Open Sans" w:hAnsi="Open Sans"/>
          <w:sz w:val="18"/>
          <w:szCs w:val="18"/>
        </w:rPr>
        <w:t xml:space="preserve"> </w:t>
      </w:r>
      <w:hyperlink r:id="rId332" w:history="1">
        <w:r w:rsidRPr="00C67337">
          <w:rPr>
            <w:rStyle w:val="Hipervnculo"/>
            <w:rFonts w:ascii="Open Sans" w:hAnsi="Open Sans"/>
            <w:sz w:val="18"/>
            <w:szCs w:val="18"/>
          </w:rPr>
          <w:t>http://www.inspectoresdehacienda.org/attachments/Documento26.pdf</w:t>
        </w:r>
      </w:hyperlink>
    </w:p>
  </w:footnote>
  <w:footnote w:id="534">
    <w:p w14:paraId="1D0726E7" w14:textId="77777777" w:rsidR="007F55EB" w:rsidRPr="00C67337" w:rsidRDefault="007F55EB" w:rsidP="00C86459">
      <w:pPr>
        <w:pStyle w:val="Textonotapie"/>
        <w:rPr>
          <w:rFonts w:ascii="Open Sans" w:hAnsi="Open Sans"/>
          <w:sz w:val="18"/>
          <w:szCs w:val="18"/>
        </w:rPr>
      </w:pPr>
      <w:r w:rsidRPr="00C67337">
        <w:rPr>
          <w:rStyle w:val="Refdenotaalpie"/>
          <w:rFonts w:ascii="Open Sans" w:hAnsi="Open Sans"/>
          <w:sz w:val="18"/>
          <w:szCs w:val="18"/>
        </w:rPr>
        <w:footnoteRef/>
      </w:r>
      <w:r w:rsidRPr="00C67337">
        <w:rPr>
          <w:rFonts w:ascii="Open Sans" w:hAnsi="Open Sans"/>
          <w:sz w:val="18"/>
          <w:szCs w:val="18"/>
        </w:rPr>
        <w:t xml:space="preserve"> Disponible en http://www.oecd.org/tax/administration/buildingtransparenttaxcompliancebybanks.htm</w:t>
      </w:r>
    </w:p>
  </w:footnote>
  <w:footnote w:id="535">
    <w:p w14:paraId="366C3FD7" w14:textId="77777777" w:rsidR="007F55EB" w:rsidRPr="00412B20" w:rsidRDefault="007F55EB" w:rsidP="00C86459">
      <w:pPr>
        <w:pStyle w:val="Textonotapie"/>
        <w:rPr>
          <w:rFonts w:ascii="Open Sans" w:hAnsi="Open Sans"/>
          <w:sz w:val="18"/>
          <w:szCs w:val="18"/>
          <w:lang w:val="en-GB"/>
        </w:rPr>
      </w:pPr>
      <w:r w:rsidRPr="00C67337">
        <w:rPr>
          <w:rStyle w:val="Refdenotaalpie"/>
          <w:rFonts w:ascii="Open Sans" w:hAnsi="Open Sans"/>
          <w:sz w:val="18"/>
          <w:szCs w:val="18"/>
        </w:rPr>
        <w:footnoteRef/>
      </w:r>
      <w:r w:rsidRPr="00412B20">
        <w:rPr>
          <w:rFonts w:ascii="Open Sans" w:hAnsi="Open Sans"/>
          <w:sz w:val="18"/>
          <w:szCs w:val="18"/>
          <w:lang w:val="en-GB"/>
        </w:rPr>
        <w:t xml:space="preserve"> Richard Brooks, The great tax robbery.</w:t>
      </w:r>
    </w:p>
  </w:footnote>
  <w:footnote w:id="536">
    <w:p w14:paraId="71D9F65E" w14:textId="77777777" w:rsidR="007F55EB" w:rsidRPr="00412B20" w:rsidRDefault="007F55EB" w:rsidP="00C86459">
      <w:pPr>
        <w:pStyle w:val="Textonotapie"/>
        <w:rPr>
          <w:rFonts w:ascii="Open Sans" w:hAnsi="Open Sans"/>
          <w:sz w:val="18"/>
          <w:szCs w:val="18"/>
          <w:lang w:val="en-GB"/>
        </w:rPr>
      </w:pPr>
      <w:r w:rsidRPr="00C67337">
        <w:rPr>
          <w:rStyle w:val="Refdenotaalpie"/>
          <w:rFonts w:ascii="Open Sans" w:hAnsi="Open Sans"/>
          <w:sz w:val="18"/>
          <w:szCs w:val="18"/>
        </w:rPr>
        <w:footnoteRef/>
      </w:r>
      <w:r w:rsidRPr="00412B20">
        <w:rPr>
          <w:rFonts w:ascii="Open Sans" w:hAnsi="Open Sans"/>
          <w:sz w:val="18"/>
          <w:szCs w:val="18"/>
          <w:lang w:val="en-GB"/>
        </w:rPr>
        <w:t xml:space="preserve"> </w:t>
      </w:r>
      <w:hyperlink r:id="rId333" w:history="1">
        <w:r w:rsidRPr="00412B20">
          <w:rPr>
            <w:rStyle w:val="Hipervnculo"/>
            <w:rFonts w:ascii="Open Sans" w:hAnsi="Open Sans"/>
            <w:sz w:val="18"/>
            <w:szCs w:val="18"/>
            <w:lang w:val="en-GB"/>
          </w:rPr>
          <w:t>http://www.sustainability-indices.com/images/DJSI_Review_Presentation_09_2014_final.pdf</w:t>
        </w:r>
      </w:hyperlink>
    </w:p>
    <w:p w14:paraId="51CD5721" w14:textId="77777777" w:rsidR="007F55EB" w:rsidRPr="00412B20" w:rsidRDefault="007F55EB" w:rsidP="00C86459">
      <w:pPr>
        <w:pStyle w:val="Textonotapie"/>
        <w:rPr>
          <w:rFonts w:ascii="Open Sans" w:hAnsi="Open Sans"/>
          <w:sz w:val="18"/>
          <w:szCs w:val="18"/>
          <w:lang w:val="en-GB"/>
        </w:rPr>
      </w:pPr>
      <w:hyperlink r:id="rId334" w:history="1">
        <w:r w:rsidRPr="00412B20">
          <w:rPr>
            <w:rStyle w:val="Hipervnculo"/>
            <w:rFonts w:ascii="Open Sans" w:hAnsi="Open Sans"/>
            <w:sz w:val="18"/>
            <w:szCs w:val="18"/>
            <w:lang w:val="en-GB"/>
          </w:rPr>
          <w:t>http://www.ftse.com/products/downloads/F4G-Index-Inclusion-Rules.pdf</w:t>
        </w:r>
      </w:hyperlink>
    </w:p>
  </w:footnote>
  <w:footnote w:id="537">
    <w:p w14:paraId="4D9464E1" w14:textId="77777777" w:rsidR="007F55EB" w:rsidRPr="00412B20" w:rsidRDefault="007F55EB" w:rsidP="00C86459">
      <w:pPr>
        <w:pStyle w:val="Textonotapie"/>
        <w:rPr>
          <w:rFonts w:ascii="Open Sans" w:hAnsi="Open Sans"/>
          <w:sz w:val="18"/>
          <w:szCs w:val="18"/>
          <w:lang w:val="en-GB"/>
        </w:rPr>
      </w:pPr>
      <w:r w:rsidRPr="00C67337">
        <w:rPr>
          <w:rStyle w:val="Refdenotaalpie"/>
          <w:rFonts w:ascii="Open Sans" w:hAnsi="Open Sans"/>
          <w:sz w:val="18"/>
          <w:szCs w:val="18"/>
        </w:rPr>
        <w:footnoteRef/>
      </w:r>
      <w:r w:rsidRPr="00412B20">
        <w:rPr>
          <w:rFonts w:ascii="Open Sans" w:hAnsi="Open Sans"/>
          <w:sz w:val="18"/>
          <w:szCs w:val="18"/>
          <w:lang w:val="en-GB"/>
        </w:rPr>
        <w:t xml:space="preserve"> </w:t>
      </w:r>
      <w:hyperlink r:id="rId335" w:history="1">
        <w:r w:rsidRPr="00412B20">
          <w:rPr>
            <w:rStyle w:val="Hipervnculo"/>
            <w:rFonts w:ascii="Open Sans" w:hAnsi="Open Sans"/>
            <w:sz w:val="18"/>
            <w:szCs w:val="18"/>
            <w:lang w:val="en-GB"/>
          </w:rPr>
          <w:t>http://www.agenciatributaria.es/static_files/AEAT/Contenidos_Comunes/Ficheros/Informacion_Institucional/Campanias/Plan_de_prevencion_del_fraude/ppff.pdf</w:t>
        </w:r>
      </w:hyperlink>
    </w:p>
  </w:footnote>
  <w:footnote w:id="538">
    <w:p w14:paraId="50EEE80D" w14:textId="77777777" w:rsidR="007F55EB" w:rsidRPr="00412B20" w:rsidRDefault="007F55EB" w:rsidP="00C86459">
      <w:pPr>
        <w:pStyle w:val="Textonotapie"/>
        <w:rPr>
          <w:rFonts w:ascii="Open Sans" w:hAnsi="Open Sans"/>
          <w:sz w:val="18"/>
          <w:szCs w:val="18"/>
          <w:lang w:val="en-GB"/>
        </w:rPr>
      </w:pPr>
      <w:r w:rsidRPr="00C67337">
        <w:rPr>
          <w:rStyle w:val="Refdenotaalpie"/>
          <w:rFonts w:ascii="Open Sans" w:hAnsi="Open Sans"/>
          <w:sz w:val="18"/>
          <w:szCs w:val="18"/>
        </w:rPr>
        <w:footnoteRef/>
      </w:r>
      <w:r w:rsidRPr="00412B20">
        <w:rPr>
          <w:rFonts w:ascii="Open Sans" w:hAnsi="Open Sans"/>
          <w:sz w:val="18"/>
          <w:szCs w:val="18"/>
          <w:lang w:val="en-GB"/>
        </w:rPr>
        <w:t xml:space="preserve"> </w:t>
      </w:r>
      <w:hyperlink r:id="rId336" w:history="1">
        <w:r w:rsidRPr="00412B20">
          <w:rPr>
            <w:rStyle w:val="Hipervnculo"/>
            <w:rFonts w:ascii="Open Sans" w:hAnsi="Open Sans"/>
            <w:sz w:val="18"/>
            <w:szCs w:val="18"/>
            <w:lang w:val="en-GB"/>
          </w:rPr>
          <w:t>http://www.elconfidencial.com/empresas/2015-10-13/el-bce-obliga-a-faine-a-reformular-la-estructura-contable-de-la-caixa_1057165/</w:t>
        </w:r>
      </w:hyperlink>
    </w:p>
  </w:footnote>
  <w:footnote w:id="539">
    <w:p w14:paraId="78490C2B" w14:textId="77777777" w:rsidR="007F55EB" w:rsidRPr="00412B20" w:rsidRDefault="007F55EB" w:rsidP="00C86459">
      <w:pPr>
        <w:pStyle w:val="Textonotapie"/>
        <w:rPr>
          <w:lang w:val="en-GB"/>
        </w:rPr>
      </w:pPr>
      <w:r w:rsidRPr="00C67337">
        <w:rPr>
          <w:rStyle w:val="Refdenotaalpie"/>
          <w:rFonts w:ascii="Open Sans" w:hAnsi="Open Sans"/>
          <w:sz w:val="18"/>
          <w:szCs w:val="18"/>
        </w:rPr>
        <w:footnoteRef/>
      </w:r>
      <w:r w:rsidRPr="00412B20">
        <w:rPr>
          <w:rFonts w:ascii="Open Sans" w:hAnsi="Open Sans"/>
          <w:sz w:val="18"/>
          <w:szCs w:val="18"/>
          <w:lang w:val="en-GB"/>
        </w:rPr>
        <w:t xml:space="preserve"> </w:t>
      </w:r>
      <w:hyperlink r:id="rId337" w:history="1">
        <w:r w:rsidRPr="00412B20">
          <w:rPr>
            <w:rStyle w:val="Hipervnculo"/>
            <w:rFonts w:ascii="Open Sans" w:hAnsi="Open Sans"/>
            <w:sz w:val="18"/>
            <w:szCs w:val="18"/>
            <w:lang w:val="en-GB"/>
          </w:rPr>
          <w:t>http://sabemos.es/2015/06/19/el-rescate-encubierto-a-caixabank-gracias-a-la-compra-de-banco-de-valencia_2983/</w:t>
        </w:r>
      </w:hyperlink>
    </w:p>
  </w:footnote>
  <w:footnote w:id="540">
    <w:p w14:paraId="12C40F4D"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rPr>
        <w:t xml:space="preserve"> IA2015, PG. 61</w:t>
      </w:r>
    </w:p>
  </w:footnote>
  <w:footnote w:id="541">
    <w:p w14:paraId="068BC31C"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rPr>
        <w:t xml:space="preserve"> IA2015, pg. 66</w:t>
      </w:r>
    </w:p>
  </w:footnote>
  <w:footnote w:id="542">
    <w:p w14:paraId="3AC8BD3F" w14:textId="77777777" w:rsidR="007F55EB" w:rsidRPr="00773F0D" w:rsidRDefault="007F55EB" w:rsidP="003720EE">
      <w:pPr>
        <w:pStyle w:val="Textonotapie"/>
        <w:rPr>
          <w:rFonts w:ascii="Open Sans" w:hAnsi="Open Sans"/>
          <w:sz w:val="18"/>
          <w:szCs w:val="18"/>
          <w:lang w:val="ca-ES"/>
        </w:rPr>
      </w:pPr>
      <w:r w:rsidRPr="00773F0D">
        <w:rPr>
          <w:rStyle w:val="Refdenotaalpie"/>
          <w:rFonts w:ascii="Open Sans" w:hAnsi="Open Sans"/>
          <w:sz w:val="18"/>
          <w:szCs w:val="18"/>
        </w:rPr>
        <w:footnoteRef/>
      </w:r>
      <w:r w:rsidRPr="00773F0D">
        <w:rPr>
          <w:rFonts w:ascii="Open Sans" w:hAnsi="Open Sans"/>
          <w:sz w:val="18"/>
          <w:szCs w:val="18"/>
        </w:rPr>
        <w:t xml:space="preserve"> </w:t>
      </w:r>
      <w:r w:rsidRPr="00773F0D">
        <w:rPr>
          <w:rFonts w:ascii="Open Sans" w:hAnsi="Open Sans" w:cs="Open Sans"/>
          <w:sz w:val="18"/>
          <w:szCs w:val="18"/>
        </w:rPr>
        <w:t>http://ctxt.es/es/20160914/Politica/8453/Preferentes-estafa-paraiso-fiscal-banca-crisis.htm</w:t>
      </w:r>
    </w:p>
  </w:footnote>
  <w:footnote w:id="543">
    <w:p w14:paraId="4210FCF1" w14:textId="77777777" w:rsidR="007F55EB" w:rsidRPr="00773F0D" w:rsidRDefault="007F55EB" w:rsidP="003720EE">
      <w:pPr>
        <w:pStyle w:val="Textonotapie"/>
        <w:rPr>
          <w:rFonts w:ascii="Open Sans" w:hAnsi="Open Sans"/>
          <w:sz w:val="18"/>
          <w:szCs w:val="18"/>
          <w:lang w:val="ca-ES"/>
        </w:rPr>
      </w:pPr>
      <w:r w:rsidRPr="00773F0D">
        <w:rPr>
          <w:rStyle w:val="Refdenotaalpie"/>
          <w:rFonts w:ascii="Open Sans" w:hAnsi="Open Sans"/>
          <w:sz w:val="18"/>
          <w:szCs w:val="18"/>
        </w:rPr>
        <w:footnoteRef/>
      </w:r>
      <w:r w:rsidRPr="00A1554D">
        <w:rPr>
          <w:rFonts w:ascii="Open Sans" w:hAnsi="Open Sans"/>
          <w:sz w:val="18"/>
          <w:szCs w:val="18"/>
          <w:lang w:val="ca-ES"/>
        </w:rPr>
        <w:t xml:space="preserve"> </w:t>
      </w:r>
      <w:r w:rsidRPr="00A1554D">
        <w:rPr>
          <w:rFonts w:ascii="Open Sans" w:hAnsi="Open Sans" w:cs="Open Sans"/>
          <w:sz w:val="18"/>
          <w:szCs w:val="18"/>
          <w:lang w:val="ca-ES"/>
        </w:rPr>
        <w:t>http://bancabasura.es/wp-content/uploads/2015/08/cloaca-banca-esp.pdf</w:t>
      </w:r>
    </w:p>
  </w:footnote>
  <w:footnote w:id="544">
    <w:p w14:paraId="20C48856" w14:textId="77777777" w:rsidR="007F55EB" w:rsidRPr="00773F0D" w:rsidRDefault="007F55EB" w:rsidP="003720EE">
      <w:pPr>
        <w:pStyle w:val="Textonotapie"/>
        <w:rPr>
          <w:rFonts w:ascii="Open Sans" w:hAnsi="Open Sans"/>
          <w:sz w:val="18"/>
          <w:szCs w:val="18"/>
          <w:lang w:val="ca-ES"/>
        </w:rPr>
      </w:pPr>
      <w:r w:rsidRPr="00773F0D">
        <w:rPr>
          <w:rStyle w:val="Refdenotaalpie"/>
          <w:rFonts w:ascii="Open Sans" w:hAnsi="Open Sans"/>
          <w:sz w:val="18"/>
          <w:szCs w:val="18"/>
        </w:rPr>
        <w:footnoteRef/>
      </w:r>
      <w:r w:rsidRPr="00A1554D">
        <w:rPr>
          <w:rFonts w:ascii="Open Sans" w:hAnsi="Open Sans"/>
          <w:sz w:val="18"/>
          <w:szCs w:val="18"/>
          <w:lang w:val="ca-ES"/>
        </w:rPr>
        <w:t xml:space="preserve"> </w:t>
      </w:r>
      <w:r w:rsidRPr="00A1554D">
        <w:rPr>
          <w:rFonts w:ascii="Open Sans" w:hAnsi="Open Sans" w:cs="Open Sans"/>
          <w:sz w:val="18"/>
          <w:szCs w:val="18"/>
          <w:lang w:val="ca-ES"/>
        </w:rPr>
        <w:t>http://www.vozpopuli.com/actualidad/nacional/UCO-Mirabaud-Banco_Sabadell-Jose_de_la_Mata-banca_mirabaud-lista_falciani-juez_jose_de_la_mata-uco-banco_sabadell_0_930507018.html</w:t>
      </w:r>
    </w:p>
  </w:footnote>
  <w:footnote w:id="545">
    <w:p w14:paraId="2EAF1C77" w14:textId="77777777" w:rsidR="007F55EB" w:rsidRPr="00773F0D" w:rsidRDefault="007F55EB" w:rsidP="003720EE">
      <w:pPr>
        <w:pStyle w:val="Textonotapie"/>
        <w:jc w:val="both"/>
        <w:rPr>
          <w:rFonts w:ascii="Open Sans" w:hAnsi="Open Sans" w:cs="Open Sans"/>
          <w:sz w:val="18"/>
          <w:szCs w:val="18"/>
        </w:rPr>
      </w:pPr>
      <w:r w:rsidRPr="00773F0D">
        <w:rPr>
          <w:rStyle w:val="Refdenotaalpie"/>
          <w:rFonts w:ascii="Open Sans" w:hAnsi="Open Sans"/>
          <w:sz w:val="18"/>
          <w:szCs w:val="18"/>
        </w:rPr>
        <w:footnoteRef/>
      </w:r>
      <w:r w:rsidRPr="00773F0D">
        <w:rPr>
          <w:rFonts w:ascii="Open Sans" w:hAnsi="Open Sans"/>
          <w:sz w:val="18"/>
          <w:szCs w:val="18"/>
        </w:rPr>
        <w:t xml:space="preserve"> </w:t>
      </w:r>
      <w:r w:rsidRPr="00773F0D">
        <w:rPr>
          <w:rFonts w:ascii="Open Sans" w:hAnsi="Open Sans" w:cs="Open Sans"/>
          <w:sz w:val="18"/>
          <w:szCs w:val="18"/>
        </w:rPr>
        <w:t xml:space="preserve">Nicho fiscal es un concepto más amplio al de Paraíso Fiscal, dando cabida a   situaciones y operaciones que implican un régimen fiscal favorable en  detrimento de los ingresos públicos del país de residencia, del país en que se opera o de ambos, y en que el único elemento común es el privilegio tributario de hecho o de derecho.  </w:t>
      </w:r>
    </w:p>
    <w:p w14:paraId="0EE3D72D" w14:textId="77777777" w:rsidR="007F55EB" w:rsidRPr="00773F0D" w:rsidRDefault="007F55EB" w:rsidP="003720EE">
      <w:pPr>
        <w:pStyle w:val="Textonotapie"/>
        <w:jc w:val="both"/>
        <w:rPr>
          <w:rFonts w:ascii="Open Sans" w:hAnsi="Open Sans"/>
          <w:sz w:val="18"/>
          <w:szCs w:val="18"/>
          <w:lang w:val="ca-ES"/>
        </w:rPr>
      </w:pPr>
      <w:hyperlink r:id="rId338" w:history="1">
        <w:r w:rsidRPr="00773F0D">
          <w:rPr>
            <w:rStyle w:val="Hipervnculo"/>
            <w:rFonts w:ascii="Open Sans" w:hAnsi="Open Sans" w:cs="Open Sans"/>
            <w:sz w:val="18"/>
            <w:szCs w:val="18"/>
          </w:rPr>
          <w:t>http://www.ief.es/documentos/recursos/publicaciones/revistas/cuadernos_formacion/11_2010/33_10.pdf</w:t>
        </w:r>
      </w:hyperlink>
      <w:r w:rsidRPr="00773F0D">
        <w:rPr>
          <w:rFonts w:ascii="Open Sans" w:hAnsi="Open Sans"/>
          <w:sz w:val="18"/>
          <w:szCs w:val="18"/>
          <w:lang w:val="ca-ES"/>
        </w:rPr>
        <w:t xml:space="preserve"> </w:t>
      </w:r>
    </w:p>
  </w:footnote>
  <w:footnote w:id="546">
    <w:p w14:paraId="55C299EF" w14:textId="77777777" w:rsidR="007F55EB" w:rsidRPr="00A1554D" w:rsidRDefault="007F55EB" w:rsidP="003720EE">
      <w:pPr>
        <w:pStyle w:val="Normal1"/>
        <w:rPr>
          <w:rFonts w:ascii="Open Sans" w:hAnsi="Open Sans"/>
          <w:sz w:val="18"/>
          <w:szCs w:val="18"/>
          <w:lang w:val="ca-ES"/>
        </w:rPr>
      </w:pPr>
      <w:r w:rsidRPr="00773F0D">
        <w:rPr>
          <w:rFonts w:ascii="Open Sans" w:hAnsi="Open Sans"/>
          <w:sz w:val="18"/>
          <w:szCs w:val="18"/>
          <w:vertAlign w:val="superscript"/>
        </w:rPr>
        <w:footnoteRef/>
      </w:r>
      <w:r w:rsidRPr="00A1554D">
        <w:rPr>
          <w:rFonts w:ascii="Open Sans" w:eastAsia="Open Sans" w:hAnsi="Open Sans" w:cs="Open Sans"/>
          <w:sz w:val="18"/>
          <w:szCs w:val="18"/>
          <w:lang w:val="ca-ES"/>
        </w:rPr>
        <w:t xml:space="preserve"> </w:t>
      </w:r>
      <w:hyperlink r:id="rId339">
        <w:r w:rsidRPr="00A1554D">
          <w:rPr>
            <w:rStyle w:val="EnlacedeInternet"/>
            <w:rFonts w:ascii="Open Sans" w:eastAsia="Open Sans" w:hAnsi="Open Sans" w:cs="Open Sans"/>
            <w:sz w:val="18"/>
            <w:szCs w:val="18"/>
            <w:lang w:val="ca-ES"/>
          </w:rPr>
          <w:t>http://www.inspectoresdehacienda.org/attachments/Documento26.pdf</w:t>
        </w:r>
      </w:hyperlink>
    </w:p>
  </w:footnote>
  <w:footnote w:id="547">
    <w:p w14:paraId="259855B2"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Pr>
          <w:rFonts w:ascii="Open Sans" w:hAnsi="Open Sans"/>
          <w:sz w:val="18"/>
          <w:szCs w:val="18"/>
        </w:rPr>
        <w:t xml:space="preserve"> </w:t>
      </w:r>
      <w:r w:rsidRPr="00773F0D">
        <w:rPr>
          <w:rFonts w:ascii="Open Sans" w:hAnsi="Open Sans"/>
          <w:sz w:val="18"/>
          <w:szCs w:val="18"/>
        </w:rPr>
        <w:t>E</w:t>
      </w:r>
      <w:r w:rsidRPr="00773F0D">
        <w:rPr>
          <w:rFonts w:ascii="Open Sans" w:hAnsi="Open Sans" w:cs="Open Sans;Tahoma"/>
          <w:bCs/>
          <w:sz w:val="18"/>
          <w:szCs w:val="18"/>
        </w:rPr>
        <w:t>l Risk Appetite Statement se define como la cantidad y diversidad de riesgos que el grupo Banco Sabadell busca y tolera para alcanzar sus objetivos de negocio, manteniendo el equilibrio entre rentabilidad y riesgo. IA2015, pg. 116.</w:t>
      </w:r>
    </w:p>
  </w:footnote>
  <w:footnote w:id="548">
    <w:p w14:paraId="601C4868"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vertAlign w:val="superscript"/>
        </w:rPr>
        <w:t xml:space="preserve"> </w:t>
      </w:r>
      <w:r w:rsidRPr="00773F0D">
        <w:rPr>
          <w:rFonts w:ascii="Open Sans" w:hAnsi="Open Sans"/>
          <w:sz w:val="18"/>
          <w:szCs w:val="18"/>
        </w:rPr>
        <w:t>IA2015, pg. 120</w:t>
      </w:r>
    </w:p>
  </w:footnote>
  <w:footnote w:id="549">
    <w:p w14:paraId="3812A735"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Pr>
          <w:rFonts w:ascii="Open Sans" w:hAnsi="Open Sans"/>
          <w:sz w:val="18"/>
          <w:szCs w:val="18"/>
        </w:rPr>
        <w:t xml:space="preserve"> </w:t>
      </w:r>
      <w:r w:rsidRPr="00773F0D">
        <w:rPr>
          <w:rFonts w:ascii="Open Sans" w:hAnsi="Open Sans" w:cs="Open Sans;Tahoma"/>
          <w:bCs/>
          <w:sz w:val="18"/>
          <w:szCs w:val="18"/>
        </w:rPr>
        <w:t>CCAA Consolidadas 2015, pg. 234</w:t>
      </w:r>
    </w:p>
  </w:footnote>
  <w:footnote w:id="550">
    <w:p w14:paraId="3EA56589"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vertAlign w:val="superscript"/>
        </w:rPr>
        <w:t xml:space="preserve"> </w:t>
      </w:r>
      <w:r w:rsidRPr="00773F0D">
        <w:rPr>
          <w:rFonts w:ascii="Open Sans" w:hAnsi="Open Sans"/>
          <w:sz w:val="18"/>
          <w:szCs w:val="18"/>
        </w:rPr>
        <w:t>CCAA Consolidadas 2015, Nota 38. Situación Fiscal (Impuesto sobre beneficios</w:t>
      </w:r>
      <w:proofErr w:type="gramStart"/>
      <w:r w:rsidRPr="00773F0D">
        <w:rPr>
          <w:rFonts w:ascii="Open Sans" w:hAnsi="Open Sans"/>
          <w:sz w:val="18"/>
          <w:szCs w:val="18"/>
        </w:rPr>
        <w:t>)pg</w:t>
      </w:r>
      <w:proofErr w:type="gramEnd"/>
      <w:r w:rsidRPr="00773F0D">
        <w:rPr>
          <w:rFonts w:ascii="Open Sans" w:hAnsi="Open Sans"/>
          <w:sz w:val="18"/>
          <w:szCs w:val="18"/>
        </w:rPr>
        <w:t>. 186</w:t>
      </w:r>
    </w:p>
  </w:footnote>
  <w:footnote w:id="551">
    <w:p w14:paraId="6A3504F8"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vertAlign w:val="superscript"/>
        </w:rPr>
        <w:t xml:space="preserve"> </w:t>
      </w:r>
      <w:r w:rsidRPr="00773F0D">
        <w:rPr>
          <w:rFonts w:ascii="Open Sans" w:hAnsi="Open Sans"/>
          <w:sz w:val="18"/>
          <w:szCs w:val="18"/>
        </w:rPr>
        <w:t>CCAA Consolidadas 2015, Nota 38. Situación Fiscal (Impuesto sobre beneficios). pg. 186</w:t>
      </w:r>
    </w:p>
  </w:footnote>
  <w:footnote w:id="552">
    <w:p w14:paraId="0F0C93E2"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vertAlign w:val="superscript"/>
        </w:rPr>
        <w:t xml:space="preserve"> </w:t>
      </w:r>
      <w:r w:rsidRPr="00773F0D">
        <w:rPr>
          <w:rFonts w:ascii="Open Sans" w:hAnsi="Open Sans"/>
          <w:sz w:val="18"/>
          <w:szCs w:val="18"/>
        </w:rPr>
        <w:t>CCAA Consolidadas 2015, Nota 38. Situación Fiscal (Impuesto sobre beneficios) pg. 186</w:t>
      </w:r>
    </w:p>
  </w:footnote>
  <w:footnote w:id="553">
    <w:p w14:paraId="70920D41" w14:textId="77777777" w:rsidR="007F55EB" w:rsidRPr="00773F0D" w:rsidRDefault="007F55EB" w:rsidP="003720EE">
      <w:pPr>
        <w:pStyle w:val="Normal1"/>
        <w:rPr>
          <w:rFonts w:ascii="Open Sans" w:hAnsi="Open Sans"/>
          <w:sz w:val="18"/>
          <w:szCs w:val="18"/>
        </w:rPr>
      </w:pPr>
      <w:r w:rsidRPr="00773F0D">
        <w:rPr>
          <w:rFonts w:ascii="Open Sans" w:hAnsi="Open Sans"/>
          <w:sz w:val="18"/>
          <w:szCs w:val="18"/>
          <w:vertAlign w:val="superscript"/>
        </w:rPr>
        <w:footnoteRef/>
      </w:r>
      <w:r>
        <w:rPr>
          <w:rFonts w:ascii="Open Sans" w:hAnsi="Open Sans"/>
          <w:sz w:val="18"/>
          <w:szCs w:val="18"/>
          <w:vertAlign w:val="superscript"/>
        </w:rPr>
        <w:t xml:space="preserve"> </w:t>
      </w:r>
      <w:hyperlink r:id="rId340">
        <w:r w:rsidRPr="00773F0D">
          <w:rPr>
            <w:rStyle w:val="EnlacedeInternet"/>
            <w:rFonts w:ascii="Open Sans" w:eastAsia="Open Sans" w:hAnsi="Open Sans" w:cs="Open Sans"/>
            <w:sz w:val="18"/>
            <w:szCs w:val="18"/>
          </w:rPr>
          <w:t>Bankia, Sabadell o Abanca incumplirían los mínimos de solvencia sin créditos fiscales</w:t>
        </w:r>
      </w:hyperlink>
    </w:p>
  </w:footnote>
  <w:footnote w:id="554">
    <w:p w14:paraId="2E1373BF" w14:textId="77777777" w:rsidR="007F55EB" w:rsidRPr="00773F0D" w:rsidRDefault="007F55EB" w:rsidP="003720EE">
      <w:pPr>
        <w:pStyle w:val="Textonotapie"/>
        <w:rPr>
          <w:rFonts w:ascii="Open Sans" w:hAnsi="Open Sans"/>
          <w:sz w:val="18"/>
          <w:szCs w:val="18"/>
        </w:rPr>
      </w:pPr>
      <w:r w:rsidRPr="00773F0D">
        <w:rPr>
          <w:rFonts w:ascii="Open Sans" w:hAnsi="Open Sans"/>
          <w:sz w:val="18"/>
          <w:szCs w:val="18"/>
          <w:vertAlign w:val="superscript"/>
        </w:rPr>
        <w:footnoteRef/>
      </w:r>
      <w:r w:rsidRPr="00773F0D">
        <w:rPr>
          <w:rFonts w:ascii="Open Sans" w:hAnsi="Open Sans"/>
          <w:sz w:val="18"/>
          <w:szCs w:val="18"/>
          <w:vertAlign w:val="superscript"/>
        </w:rPr>
        <w:t xml:space="preserve"> </w:t>
      </w:r>
      <w:hyperlink r:id="rId341">
        <w:r w:rsidRPr="00773F0D">
          <w:rPr>
            <w:rStyle w:val="EnlacedeInternet"/>
            <w:rFonts w:ascii="Open Sans" w:hAnsi="Open Sans"/>
            <w:sz w:val="18"/>
            <w:szCs w:val="18"/>
          </w:rPr>
          <w:t>http://www.fedea.net/</w:t>
        </w:r>
      </w:hyperlink>
      <w:hyperlink>
        <w:r w:rsidRPr="00773F0D">
          <w:rPr>
            <w:rFonts w:ascii="Open Sans" w:hAnsi="Open Sans"/>
            <w:sz w:val="18"/>
            <w:szCs w:val="18"/>
          </w:rPr>
          <w:t xml:space="preserve"> </w:t>
        </w:r>
      </w:hyperlink>
    </w:p>
  </w:footnote>
  <w:footnote w:id="555">
    <w:p w14:paraId="3B4C270D" w14:textId="77777777" w:rsidR="007F55EB" w:rsidRDefault="007F55EB" w:rsidP="003720EE">
      <w:pPr>
        <w:pStyle w:val="Textonotapie"/>
        <w:rPr>
          <w:rFonts w:ascii="Open Sans" w:hAnsi="Open Sans"/>
          <w:sz w:val="16"/>
          <w:szCs w:val="16"/>
        </w:rPr>
      </w:pPr>
      <w:r w:rsidRPr="00773F0D">
        <w:rPr>
          <w:rFonts w:ascii="Open Sans" w:hAnsi="Open Sans"/>
          <w:sz w:val="18"/>
          <w:szCs w:val="18"/>
          <w:vertAlign w:val="superscript"/>
        </w:rPr>
        <w:footnoteRef/>
      </w:r>
      <w:r>
        <w:rPr>
          <w:rFonts w:ascii="Open Sans" w:hAnsi="Open Sans"/>
          <w:sz w:val="18"/>
          <w:szCs w:val="18"/>
        </w:rPr>
        <w:t xml:space="preserve"> </w:t>
      </w:r>
      <w:r w:rsidRPr="00773F0D">
        <w:rPr>
          <w:rFonts w:ascii="Open Sans" w:hAnsi="Open Sans"/>
          <w:sz w:val="18"/>
          <w:szCs w:val="18"/>
        </w:rPr>
        <w:t>CCAA Consolidadas 2015 pg. 512.</w:t>
      </w:r>
    </w:p>
  </w:footnote>
  <w:footnote w:id="556">
    <w:p w14:paraId="560773ED" w14:textId="77777777" w:rsidR="007F55EB" w:rsidRPr="00FC4BAD" w:rsidRDefault="007F55EB" w:rsidP="003720EE">
      <w:pPr>
        <w:pStyle w:val="Textonotapie"/>
        <w:rPr>
          <w:rFonts w:ascii="Open Sans" w:hAnsi="Open Sans" w:cs="Open Sans"/>
          <w:sz w:val="16"/>
          <w:szCs w:val="16"/>
        </w:rPr>
      </w:pPr>
      <w:r w:rsidRPr="00FC4BAD">
        <w:rPr>
          <w:rStyle w:val="Refdenotaalpie"/>
          <w:rFonts w:ascii="Open Sans" w:hAnsi="Open Sans" w:cs="Open Sans"/>
          <w:sz w:val="16"/>
          <w:szCs w:val="16"/>
        </w:rPr>
        <w:footnoteRef/>
      </w:r>
      <w:r w:rsidRPr="00FC4BAD">
        <w:rPr>
          <w:rFonts w:ascii="Open Sans" w:hAnsi="Open Sans" w:cs="Open Sans"/>
          <w:sz w:val="16"/>
          <w:szCs w:val="16"/>
        </w:rPr>
        <w:t xml:space="preserve"> </w:t>
      </w:r>
      <w:r w:rsidRPr="00526B5D">
        <w:rPr>
          <w:rFonts w:ascii="Open Sans" w:hAnsi="Open Sans" w:cs="Open Sans"/>
          <w:sz w:val="16"/>
          <w:szCs w:val="16"/>
        </w:rPr>
        <w:t>MAPFRE: Informe Anual 2015: Responsabilidad Social.</w:t>
      </w:r>
      <w:r>
        <w:rPr>
          <w:rFonts w:ascii="Open Sans" w:hAnsi="Open Sans" w:cs="Open Sans"/>
          <w:sz w:val="16"/>
          <w:szCs w:val="16"/>
        </w:rPr>
        <w:t xml:space="preserve"> (Pág.</w:t>
      </w:r>
      <w:r w:rsidRPr="00FC4BAD">
        <w:rPr>
          <w:rFonts w:ascii="Open Sans" w:hAnsi="Open Sans" w:cs="Open Sans"/>
          <w:sz w:val="16"/>
          <w:szCs w:val="16"/>
        </w:rPr>
        <w:t xml:space="preserve"> 24</w:t>
      </w:r>
      <w:r>
        <w:rPr>
          <w:rFonts w:ascii="Open Sans" w:hAnsi="Open Sans" w:cs="Open Sans"/>
          <w:sz w:val="16"/>
          <w:szCs w:val="16"/>
        </w:rPr>
        <w:t>)</w:t>
      </w:r>
      <w:r w:rsidRPr="00FC4BAD">
        <w:rPr>
          <w:rFonts w:ascii="Open Sans" w:hAnsi="Open Sans" w:cs="Open Sans"/>
          <w:sz w:val="16"/>
          <w:szCs w:val="16"/>
        </w:rPr>
        <w:t>.</w:t>
      </w:r>
    </w:p>
  </w:footnote>
  <w:footnote w:id="557">
    <w:p w14:paraId="76F73BB6" w14:textId="77777777" w:rsidR="007F55EB" w:rsidRDefault="007F55EB" w:rsidP="003720EE">
      <w:pPr>
        <w:pStyle w:val="Textonotapie"/>
      </w:pPr>
      <w:r>
        <w:rPr>
          <w:rStyle w:val="Refdenotaalpie"/>
        </w:rPr>
        <w:footnoteRef/>
      </w:r>
      <w:r>
        <w:t xml:space="preserve"> </w:t>
      </w:r>
      <w:r w:rsidRPr="00526B5D">
        <w:rPr>
          <w:rFonts w:ascii="Open Sans" w:hAnsi="Open Sans" w:cs="Open Sans"/>
          <w:sz w:val="16"/>
          <w:szCs w:val="16"/>
        </w:rPr>
        <w:t>MAPFRE: Informe Anual 2015: Responsabilidad Social.</w:t>
      </w:r>
      <w:r>
        <w:rPr>
          <w:rFonts w:ascii="Open Sans" w:hAnsi="Open Sans" w:cs="Open Sans"/>
          <w:sz w:val="16"/>
          <w:szCs w:val="16"/>
        </w:rPr>
        <w:t xml:space="preserve"> (Pág.</w:t>
      </w:r>
      <w:r w:rsidRPr="00FC4BAD">
        <w:rPr>
          <w:rFonts w:ascii="Open Sans" w:hAnsi="Open Sans" w:cs="Open Sans"/>
          <w:sz w:val="16"/>
          <w:szCs w:val="16"/>
        </w:rPr>
        <w:t xml:space="preserve"> </w:t>
      </w:r>
      <w:r>
        <w:rPr>
          <w:rFonts w:ascii="Open Sans" w:hAnsi="Open Sans" w:cs="Open Sans"/>
          <w:sz w:val="16"/>
          <w:szCs w:val="16"/>
        </w:rPr>
        <w:t>46)</w:t>
      </w:r>
      <w:r w:rsidRPr="00FC4BAD">
        <w:rPr>
          <w:rFonts w:ascii="Open Sans" w:hAnsi="Open Sans" w:cs="Open Sans"/>
          <w:sz w:val="16"/>
          <w:szCs w:val="16"/>
        </w:rPr>
        <w:t>.</w:t>
      </w:r>
    </w:p>
  </w:footnote>
  <w:footnote w:id="558">
    <w:p w14:paraId="05BAB58C" w14:textId="77777777" w:rsidR="007F55EB" w:rsidRDefault="007F55EB" w:rsidP="003720EE">
      <w:pPr>
        <w:pStyle w:val="Textonotapie"/>
      </w:pPr>
      <w:r>
        <w:rPr>
          <w:rStyle w:val="Refdenotaalpie"/>
        </w:rPr>
        <w:footnoteRef/>
      </w:r>
      <w:r>
        <w:t xml:space="preserve"> </w:t>
      </w:r>
      <w:r w:rsidRPr="00526B5D">
        <w:rPr>
          <w:rFonts w:ascii="Open Sans" w:hAnsi="Open Sans" w:cs="Open Sans"/>
          <w:sz w:val="16"/>
          <w:szCs w:val="16"/>
        </w:rPr>
        <w:t>MAPFRE: Informe Anual 2015: Responsabilidad Social.</w:t>
      </w:r>
      <w:r>
        <w:rPr>
          <w:rFonts w:ascii="Open Sans" w:hAnsi="Open Sans" w:cs="Open Sans"/>
          <w:sz w:val="16"/>
          <w:szCs w:val="16"/>
        </w:rPr>
        <w:t xml:space="preserve"> (Pág.</w:t>
      </w:r>
      <w:r w:rsidRPr="00FC4BAD">
        <w:rPr>
          <w:rFonts w:ascii="Open Sans" w:hAnsi="Open Sans" w:cs="Open Sans"/>
          <w:sz w:val="16"/>
          <w:szCs w:val="16"/>
        </w:rPr>
        <w:t xml:space="preserve"> </w:t>
      </w:r>
      <w:r>
        <w:rPr>
          <w:rFonts w:ascii="Open Sans" w:hAnsi="Open Sans" w:cs="Open Sans"/>
          <w:sz w:val="16"/>
          <w:szCs w:val="16"/>
        </w:rPr>
        <w:t>48)</w:t>
      </w:r>
      <w:r w:rsidRPr="00FC4BAD">
        <w:rPr>
          <w:rFonts w:ascii="Open Sans" w:hAnsi="Open Sans" w:cs="Open Sans"/>
          <w:sz w:val="16"/>
          <w:szCs w:val="16"/>
        </w:rPr>
        <w:t>.</w:t>
      </w:r>
    </w:p>
  </w:footnote>
  <w:footnote w:id="559">
    <w:p w14:paraId="66D37C39" w14:textId="77777777" w:rsidR="007F55EB" w:rsidRPr="003E1BC5" w:rsidRDefault="007F55EB" w:rsidP="003720EE">
      <w:pPr>
        <w:pStyle w:val="Textonotapie"/>
        <w:rPr>
          <w:rFonts w:ascii="Open Sans" w:hAnsi="Open Sans" w:cs="Open Sans"/>
          <w:sz w:val="16"/>
          <w:szCs w:val="16"/>
        </w:rPr>
      </w:pPr>
      <w:r w:rsidRPr="003E1BC5">
        <w:rPr>
          <w:rStyle w:val="Refdenotaalpie"/>
          <w:rFonts w:ascii="Open Sans" w:hAnsi="Open Sans" w:cs="Open Sans"/>
          <w:sz w:val="16"/>
          <w:szCs w:val="16"/>
        </w:rPr>
        <w:footnoteRef/>
      </w:r>
      <w:r w:rsidRPr="003E1BC5">
        <w:rPr>
          <w:rFonts w:ascii="Open Sans" w:hAnsi="Open Sans" w:cs="Open Sans"/>
          <w:sz w:val="16"/>
          <w:szCs w:val="16"/>
        </w:rPr>
        <w:t xml:space="preserve"> Cuentas anuales consolidadas 2015. Página 116.</w:t>
      </w:r>
    </w:p>
  </w:footnote>
  <w:footnote w:id="560">
    <w:p w14:paraId="5A5171AB" w14:textId="77777777" w:rsidR="007F55EB" w:rsidRDefault="007F55EB" w:rsidP="003720EE">
      <w:pPr>
        <w:pStyle w:val="Textonotapie"/>
      </w:pPr>
      <w:r>
        <w:rPr>
          <w:rStyle w:val="Refdenotaalpie"/>
        </w:rPr>
        <w:footnoteRef/>
      </w:r>
      <w:r>
        <w:t xml:space="preserve"> </w:t>
      </w:r>
      <w:r w:rsidRPr="003E1BC5">
        <w:rPr>
          <w:rFonts w:ascii="Open Sans" w:hAnsi="Open Sans" w:cs="Open Sans"/>
          <w:sz w:val="16"/>
          <w:szCs w:val="16"/>
        </w:rPr>
        <w:t>Cuentas anu</w:t>
      </w:r>
      <w:r>
        <w:rPr>
          <w:rFonts w:ascii="Open Sans" w:hAnsi="Open Sans" w:cs="Open Sans"/>
          <w:sz w:val="16"/>
          <w:szCs w:val="16"/>
        </w:rPr>
        <w:t>ales consolidadas 2015. Página 95</w:t>
      </w:r>
      <w:r w:rsidRPr="003E1BC5">
        <w:rPr>
          <w:rFonts w:ascii="Open Sans" w:hAnsi="Open Sans" w:cs="Open Sans"/>
          <w:sz w:val="16"/>
          <w:szCs w:val="16"/>
        </w:rPr>
        <w:t>.</w:t>
      </w:r>
    </w:p>
  </w:footnote>
  <w:footnote w:id="561">
    <w:p w14:paraId="3EE44EE7" w14:textId="77777777" w:rsidR="007F55EB" w:rsidRPr="002863F4" w:rsidRDefault="007F55EB" w:rsidP="003720EE">
      <w:pPr>
        <w:pStyle w:val="Textonotapie"/>
        <w:rPr>
          <w:rFonts w:ascii="Open Sans" w:hAnsi="Open Sans"/>
          <w:sz w:val="18"/>
          <w:szCs w:val="18"/>
        </w:rPr>
      </w:pPr>
      <w:r w:rsidRPr="002863F4">
        <w:rPr>
          <w:rStyle w:val="Refdenotaalpie"/>
          <w:rFonts w:ascii="Open Sans" w:hAnsi="Open Sans"/>
          <w:sz w:val="18"/>
          <w:szCs w:val="18"/>
        </w:rPr>
        <w:footnoteRef/>
      </w:r>
      <w:r w:rsidRPr="002863F4">
        <w:rPr>
          <w:rFonts w:ascii="Open Sans" w:hAnsi="Open Sans"/>
          <w:sz w:val="18"/>
          <w:szCs w:val="18"/>
        </w:rPr>
        <w:t xml:space="preserve"> </w:t>
      </w:r>
      <w:hyperlink r:id="rId342" w:history="1">
        <w:r w:rsidRPr="002863F4">
          <w:rPr>
            <w:rStyle w:val="Hipervnculo"/>
            <w:rFonts w:ascii="Open Sans" w:hAnsi="Open Sans" w:cs="Arial"/>
            <w:sz w:val="18"/>
            <w:szCs w:val="18"/>
          </w:rPr>
          <w:t>https://www.boe.es/diario_boe/txt.php?id=BOE-A-2009-17000</w:t>
        </w:r>
      </w:hyperlink>
      <w:r w:rsidRPr="002863F4">
        <w:rPr>
          <w:rFonts w:ascii="Open Sans" w:hAnsi="Open Sans"/>
          <w:sz w:val="18"/>
          <w:szCs w:val="18"/>
        </w:rPr>
        <w:t xml:space="preserve"> </w:t>
      </w:r>
    </w:p>
  </w:footnote>
  <w:footnote w:id="562">
    <w:p w14:paraId="57B3DBB1" w14:textId="77777777" w:rsidR="007F55EB" w:rsidRPr="002863F4" w:rsidRDefault="007F55EB" w:rsidP="003720EE">
      <w:pPr>
        <w:pStyle w:val="Textonotapie"/>
        <w:rPr>
          <w:rFonts w:ascii="Open Sans" w:hAnsi="Open Sans"/>
          <w:sz w:val="18"/>
          <w:szCs w:val="18"/>
        </w:rPr>
      </w:pPr>
      <w:r w:rsidRPr="002863F4">
        <w:rPr>
          <w:rStyle w:val="Refdenotaalpie"/>
          <w:rFonts w:ascii="Open Sans" w:hAnsi="Open Sans"/>
          <w:sz w:val="18"/>
          <w:szCs w:val="18"/>
        </w:rPr>
        <w:footnoteRef/>
      </w:r>
      <w:hyperlink r:id="rId343" w:history="1">
        <w:r w:rsidRPr="002863F4">
          <w:rPr>
            <w:rStyle w:val="Hipervnculo"/>
            <w:rFonts w:ascii="Open Sans" w:hAnsi="Open Sans"/>
            <w:sz w:val="18"/>
            <w:szCs w:val="18"/>
          </w:rPr>
          <w:t>http://www.agenciatributaria.es/AEAT.internet/Inicio/_Segmentos_/Empresas_y_profesionales/Empresas/Impuesto_sobre_Sociedades/Periodos_impositivos_iniciados_hasta_31_12_2014/Regimenes_tributarios_especiales/Regimen_Especial_de_SOCIMI.shtml</w:t>
        </w:r>
      </w:hyperlink>
      <w:r w:rsidRPr="002863F4">
        <w:rPr>
          <w:rFonts w:ascii="Open Sans" w:hAnsi="Open Sans"/>
          <w:sz w:val="18"/>
          <w:szCs w:val="18"/>
        </w:rPr>
        <w:t xml:space="preserve"> </w:t>
      </w:r>
    </w:p>
  </w:footnote>
  <w:footnote w:id="563">
    <w:p w14:paraId="2A000518" w14:textId="77777777" w:rsidR="007F55EB" w:rsidRPr="00B67013" w:rsidRDefault="007F55EB" w:rsidP="003720EE">
      <w:pPr>
        <w:pStyle w:val="Textonotapie"/>
        <w:rPr>
          <w:rFonts w:ascii="Open Sans" w:hAnsi="Open Sans"/>
          <w:sz w:val="18"/>
          <w:szCs w:val="18"/>
          <w:lang w:val="es-ES_tradnl"/>
        </w:rPr>
      </w:pPr>
      <w:r w:rsidRPr="00B67013">
        <w:rPr>
          <w:rStyle w:val="Refdenotaalpie"/>
          <w:rFonts w:ascii="Open Sans" w:hAnsi="Open Sans"/>
          <w:sz w:val="18"/>
          <w:szCs w:val="18"/>
        </w:rPr>
        <w:footnoteRef/>
      </w:r>
      <w:r w:rsidRPr="00B67013">
        <w:rPr>
          <w:rFonts w:ascii="Open Sans" w:hAnsi="Open Sans"/>
          <w:sz w:val="18"/>
          <w:szCs w:val="18"/>
        </w:rPr>
        <w:t xml:space="preserve"> </w:t>
      </w:r>
      <w:hyperlink r:id="rId344" w:history="1">
        <w:r w:rsidRPr="00B67013">
          <w:rPr>
            <w:rStyle w:val="Hipervnculo"/>
            <w:rFonts w:ascii="Open Sans" w:hAnsi="Open Sans"/>
            <w:sz w:val="18"/>
            <w:szCs w:val="18"/>
          </w:rPr>
          <w:t>https://opencorporates.com/companies/us_de/3518239</w:t>
        </w:r>
      </w:hyperlink>
    </w:p>
  </w:footnote>
  <w:footnote w:id="564">
    <w:p w14:paraId="5DD043DB" w14:textId="77777777" w:rsidR="007F55EB" w:rsidRPr="009003A3" w:rsidRDefault="007F55EB" w:rsidP="003720EE">
      <w:pPr>
        <w:pStyle w:val="Textonotapie"/>
        <w:rPr>
          <w:rFonts w:ascii="Open Sans" w:hAnsi="Open Sans"/>
          <w:bCs/>
          <w:sz w:val="18"/>
          <w:szCs w:val="18"/>
          <w:lang w:val="es-ES_tradnl"/>
        </w:rPr>
      </w:pPr>
      <w:r w:rsidRPr="003A55B5">
        <w:rPr>
          <w:rStyle w:val="Refdenotaalpie"/>
          <w:rFonts w:ascii="Open Sans" w:hAnsi="Open Sans"/>
          <w:sz w:val="18"/>
          <w:szCs w:val="18"/>
        </w:rPr>
        <w:footnoteRef/>
      </w:r>
      <w:r w:rsidRPr="003A55B5">
        <w:rPr>
          <w:rFonts w:ascii="Open Sans" w:hAnsi="Open Sans"/>
          <w:sz w:val="18"/>
          <w:szCs w:val="18"/>
        </w:rPr>
        <w:t xml:space="preserve"> </w:t>
      </w:r>
      <w:hyperlink r:id="rId345" w:history="1">
        <w:r w:rsidRPr="003A55B5">
          <w:rPr>
            <w:rStyle w:val="Hipervnculo"/>
            <w:rFonts w:ascii="Open Sans" w:hAnsi="Open Sans"/>
            <w:bCs/>
            <w:sz w:val="18"/>
            <w:szCs w:val="18"/>
            <w:lang w:val="es-ES_tradnl"/>
          </w:rPr>
          <w:t>Ventajas fiscales de Delaware</w:t>
        </w:r>
      </w:hyperlink>
    </w:p>
  </w:footnote>
  <w:footnote w:id="565">
    <w:p w14:paraId="7F7084C5" w14:textId="77777777" w:rsidR="007F55EB" w:rsidRPr="00437892" w:rsidRDefault="007F55EB" w:rsidP="00A764EF">
      <w:pPr>
        <w:pStyle w:val="Textonotapie"/>
        <w:rPr>
          <w:rFonts w:ascii="Open Sans" w:hAnsi="Open Sans"/>
        </w:rPr>
      </w:pPr>
      <w:r w:rsidRPr="00437892">
        <w:rPr>
          <w:rStyle w:val="Refdenotaalpie"/>
          <w:rFonts w:ascii="Open Sans" w:hAnsi="Open Sans"/>
        </w:rPr>
        <w:footnoteRef/>
      </w:r>
      <w:r w:rsidRPr="00437892">
        <w:rPr>
          <w:rFonts w:ascii="Open Sans" w:hAnsi="Open Sans"/>
        </w:rPr>
        <w:t xml:space="preserve"> </w:t>
      </w:r>
      <w:hyperlink r:id="rId346" w:history="1">
        <w:r w:rsidRPr="00437892">
          <w:rPr>
            <w:rStyle w:val="Hipervnculo"/>
            <w:rFonts w:ascii="Open Sans" w:hAnsi="Open Sans"/>
          </w:rPr>
          <w:t>http://www.sustainability-indices.com/images/DJSI_Review_Presentation_09_2014_final.pdf</w:t>
        </w:r>
      </w:hyperlink>
    </w:p>
    <w:p w14:paraId="1AA27593" w14:textId="77777777" w:rsidR="007F55EB" w:rsidRPr="00BF6B92" w:rsidRDefault="007F55EB" w:rsidP="00A764EF">
      <w:pPr>
        <w:pStyle w:val="Textonotapie"/>
        <w:rPr>
          <w:rFonts w:ascii="Open Sans" w:hAnsi="Open Sans"/>
        </w:rPr>
      </w:pPr>
      <w:hyperlink r:id="rId347" w:history="1">
        <w:r w:rsidRPr="00437892">
          <w:rPr>
            <w:rStyle w:val="Hipervnculo"/>
            <w:rFonts w:ascii="Open Sans" w:hAnsi="Open Sans"/>
          </w:rPr>
          <w:t>http://www.ftse.com/products/downloads/F4G-Index-Inclusion-Rules.pdf</w:t>
        </w:r>
      </w:hyperlink>
    </w:p>
  </w:footnote>
  <w:footnote w:id="566">
    <w:p w14:paraId="6585538E" w14:textId="77777777" w:rsidR="007F55EB" w:rsidRPr="00ED32E7" w:rsidRDefault="007F55EB" w:rsidP="00A764EF">
      <w:pPr>
        <w:pStyle w:val="Textonotapie"/>
        <w:jc w:val="both"/>
        <w:rPr>
          <w:rFonts w:ascii="Open Sans" w:hAnsi="Open Sans" w:cs="Open Sans"/>
          <w:szCs w:val="18"/>
          <w:lang w:val="es-ES_tradnl"/>
        </w:rPr>
      </w:pPr>
      <w:r w:rsidRPr="007044FD">
        <w:rPr>
          <w:rStyle w:val="Refdenotaalpie"/>
          <w:rFonts w:ascii="Open Sans" w:hAnsi="Open Sans" w:cs="Open Sans"/>
        </w:rPr>
        <w:footnoteRef/>
      </w:r>
      <w:r w:rsidRPr="007044FD">
        <w:rPr>
          <w:rFonts w:ascii="Open Sans" w:hAnsi="Open Sans" w:cs="Open Sans"/>
        </w:rPr>
        <w:t xml:space="preserve"> </w:t>
      </w:r>
      <w:hyperlink r:id="rId348" w:history="1">
        <w:r w:rsidRPr="00ED32E7">
          <w:rPr>
            <w:rStyle w:val="Hipervnculo"/>
            <w:rFonts w:ascii="Open Sans" w:hAnsi="Open Sans" w:cs="Open Sans"/>
            <w:szCs w:val="18"/>
          </w:rPr>
          <w:t>http://www.agenciatributaria.es/AEAT.internet/Inicio/Novedades/2015/Enero/23_01_2015_Informe_de_la_Direccion_General_de_Tributos__de_23_de_diciembre_de_2014__sobre_la_vigencia_de_la_lista_actual_de_p___la_Ley_26_2014.shtml</w:t>
        </w:r>
      </w:hyperlink>
      <w:r w:rsidRPr="00ED32E7">
        <w:rPr>
          <w:rFonts w:ascii="Open Sans" w:hAnsi="Open Sans" w:cs="Open Sans"/>
          <w:szCs w:val="18"/>
        </w:rPr>
        <w:t xml:space="preserve"> </w:t>
      </w:r>
    </w:p>
  </w:footnote>
  <w:footnote w:id="567">
    <w:p w14:paraId="46E34F8B" w14:textId="77777777" w:rsidR="007F55EB" w:rsidRPr="00ED32E7" w:rsidRDefault="007F55EB" w:rsidP="00A764EF">
      <w:pPr>
        <w:pStyle w:val="Textonotapie"/>
        <w:jc w:val="both"/>
        <w:rPr>
          <w:rFonts w:ascii="Open Sans" w:hAnsi="Open Sans"/>
          <w:szCs w:val="18"/>
          <w:lang w:val="en-GB"/>
        </w:rPr>
      </w:pPr>
      <w:r w:rsidRPr="00ED32E7">
        <w:rPr>
          <w:rStyle w:val="Refdenotaalpie"/>
          <w:rFonts w:ascii="Open Sans" w:hAnsi="Open Sans" w:cs="Open Sans"/>
          <w:szCs w:val="18"/>
        </w:rPr>
        <w:footnoteRef/>
      </w:r>
      <w:r w:rsidRPr="00ED32E7">
        <w:rPr>
          <w:rFonts w:ascii="Open Sans" w:hAnsi="Open Sans"/>
          <w:szCs w:val="18"/>
          <w:lang w:val="en-GB"/>
        </w:rPr>
        <w:t xml:space="preserve"> Tax Justice Network. </w:t>
      </w:r>
      <w:proofErr w:type="gramStart"/>
      <w:r w:rsidRPr="00ED32E7">
        <w:rPr>
          <w:rFonts w:ascii="Open Sans" w:hAnsi="Open Sans"/>
          <w:szCs w:val="18"/>
          <w:lang w:val="en-GB"/>
        </w:rPr>
        <w:t>Financial Secrecy Index - 2015 Results.</w:t>
      </w:r>
      <w:proofErr w:type="gramEnd"/>
      <w:r w:rsidRPr="00ED32E7">
        <w:rPr>
          <w:rFonts w:ascii="Open Sans" w:hAnsi="Open Sans"/>
          <w:szCs w:val="18"/>
          <w:lang w:val="en-GB"/>
        </w:rPr>
        <w:t xml:space="preserve"> </w:t>
      </w:r>
    </w:p>
  </w:footnote>
  <w:footnote w:id="568">
    <w:p w14:paraId="196F62FC" w14:textId="77777777" w:rsidR="007F55EB" w:rsidRPr="006D03E2" w:rsidRDefault="007F55EB" w:rsidP="00A764EF">
      <w:pPr>
        <w:pStyle w:val="Textonotapie"/>
        <w:rPr>
          <w:rFonts w:ascii="Open Sans" w:hAnsi="Open Sans"/>
          <w:lang w:val="es-ES_tradnl"/>
        </w:rPr>
      </w:pPr>
      <w:r w:rsidRPr="006D03E2">
        <w:rPr>
          <w:rStyle w:val="Refdenotaalpie"/>
          <w:rFonts w:ascii="Open Sans" w:hAnsi="Open Sans"/>
        </w:rPr>
        <w:footnoteRef/>
      </w:r>
      <w:r w:rsidRPr="006D03E2">
        <w:rPr>
          <w:rFonts w:ascii="Open Sans" w:hAnsi="Open Sans"/>
        </w:rPr>
        <w:t xml:space="preserve"> </w:t>
      </w:r>
      <w:r w:rsidRPr="006D03E2">
        <w:rPr>
          <w:rFonts w:ascii="Open Sans" w:hAnsi="Open Sans"/>
          <w:lang w:val="es-ES_tradnl"/>
        </w:rPr>
        <w:t>Bizapedia, Opencorporates</w:t>
      </w:r>
    </w:p>
  </w:footnote>
  <w:footnote w:id="569">
    <w:p w14:paraId="61352F11" w14:textId="77777777" w:rsidR="007F55EB" w:rsidRPr="00ED32E7" w:rsidRDefault="007F55EB" w:rsidP="00A764EF">
      <w:pPr>
        <w:pStyle w:val="Textonotapie"/>
        <w:jc w:val="both"/>
        <w:rPr>
          <w:rFonts w:ascii="Open Sans" w:hAnsi="Open Sans"/>
          <w:szCs w:val="18"/>
          <w:lang w:val="es-ES_tradnl"/>
        </w:rPr>
      </w:pPr>
      <w:r w:rsidRPr="00ED32E7">
        <w:rPr>
          <w:rStyle w:val="Refdenotaalpie"/>
          <w:rFonts w:ascii="Open Sans" w:hAnsi="Open Sans" w:cs="Open Sans"/>
          <w:szCs w:val="18"/>
        </w:rPr>
        <w:footnoteRef/>
      </w:r>
      <w:r w:rsidRPr="00ED32E7">
        <w:rPr>
          <w:rFonts w:ascii="Open Sans" w:hAnsi="Open Sans"/>
          <w:szCs w:val="18"/>
        </w:rPr>
        <w:t xml:space="preserve"> </w:t>
      </w:r>
      <w:r w:rsidRPr="00ED32E7">
        <w:rPr>
          <w:rFonts w:ascii="Open Sans" w:hAnsi="Open Sans"/>
          <w:szCs w:val="18"/>
          <w:lang w:val="es-ES_tradnl"/>
        </w:rPr>
        <w:t xml:space="preserve">Indra sigue el último listado (2015) de la organización Tax Justice Network para considerar un país como paraíso fiscal. </w:t>
      </w:r>
    </w:p>
  </w:footnote>
  <w:footnote w:id="570">
    <w:p w14:paraId="505B90FE" w14:textId="77777777" w:rsidR="007F55EB" w:rsidRPr="00ED32E7" w:rsidRDefault="007F55EB" w:rsidP="00A764EF">
      <w:pPr>
        <w:pStyle w:val="Textonotapie"/>
        <w:jc w:val="both"/>
        <w:rPr>
          <w:rFonts w:ascii="Open Sans" w:hAnsi="Open Sans"/>
          <w:szCs w:val="18"/>
        </w:rPr>
      </w:pPr>
      <w:r w:rsidRPr="00ED32E7">
        <w:rPr>
          <w:rStyle w:val="Refdenotaalpie"/>
          <w:rFonts w:ascii="Open Sans" w:hAnsi="Open Sans" w:cs="Open Sans"/>
          <w:szCs w:val="18"/>
        </w:rPr>
        <w:footnoteRef/>
      </w:r>
      <w:r w:rsidRPr="00ED32E7">
        <w:rPr>
          <w:rFonts w:ascii="Open Sans" w:hAnsi="Open Sans"/>
          <w:szCs w:val="18"/>
        </w:rPr>
        <w:t xml:space="preserve"> Informe anual integrado 2014, pág. 94</w:t>
      </w:r>
    </w:p>
  </w:footnote>
  <w:footnote w:id="571">
    <w:p w14:paraId="63D636BD" w14:textId="77777777" w:rsidR="007F55EB" w:rsidRPr="00ED32E7" w:rsidRDefault="007F55EB" w:rsidP="00A764EF">
      <w:pPr>
        <w:pStyle w:val="Textonotapie"/>
        <w:jc w:val="both"/>
        <w:rPr>
          <w:rFonts w:ascii="Open Sans" w:hAnsi="Open Sans"/>
          <w:szCs w:val="18"/>
        </w:rPr>
      </w:pPr>
      <w:r w:rsidRPr="00ED32E7">
        <w:rPr>
          <w:rStyle w:val="Refdenotaalpie"/>
          <w:rFonts w:ascii="Open Sans" w:hAnsi="Open Sans" w:cs="Open Sans"/>
          <w:szCs w:val="18"/>
        </w:rPr>
        <w:footnoteRef/>
      </w:r>
      <w:r w:rsidRPr="00ED32E7">
        <w:rPr>
          <w:rFonts w:ascii="Open Sans" w:hAnsi="Open Sans"/>
          <w:szCs w:val="18"/>
        </w:rPr>
        <w:t xml:space="preserve"> Cuentas Anuales Consolidadas 2015, pág. 42</w:t>
      </w:r>
    </w:p>
  </w:footnote>
  <w:footnote w:id="572">
    <w:p w14:paraId="2BFEE207" w14:textId="77777777" w:rsidR="007F55EB" w:rsidRPr="00ED32E7" w:rsidRDefault="007F55EB" w:rsidP="00A764EF">
      <w:pPr>
        <w:pStyle w:val="Textonotapie"/>
        <w:jc w:val="both"/>
        <w:rPr>
          <w:rFonts w:ascii="Open Sans" w:hAnsi="Open Sans" w:cs="Open Sans"/>
          <w:szCs w:val="18"/>
        </w:rPr>
      </w:pPr>
      <w:r w:rsidRPr="00ED32E7">
        <w:rPr>
          <w:rStyle w:val="Refdenotaalpie"/>
          <w:rFonts w:ascii="Open Sans" w:hAnsi="Open Sans" w:cs="Open Sans"/>
          <w:szCs w:val="18"/>
        </w:rPr>
        <w:footnoteRef/>
      </w:r>
      <w:r w:rsidRPr="00ED32E7">
        <w:rPr>
          <w:rFonts w:ascii="Open Sans" w:hAnsi="Open Sans" w:cs="Open Sans"/>
          <w:szCs w:val="18"/>
        </w:rPr>
        <w:t xml:space="preserve"> </w:t>
      </w:r>
      <w:hyperlink r:id="rId349" w:history="1">
        <w:r w:rsidRPr="00ED32E7">
          <w:rPr>
            <w:rStyle w:val="Hipervnculo"/>
            <w:rFonts w:ascii="Open Sans" w:hAnsi="Open Sans" w:cs="Open Sans"/>
            <w:szCs w:val="18"/>
          </w:rPr>
          <w:t>http://www.indracompany.com/es/indra/proyectos</w:t>
        </w:r>
      </w:hyperlink>
      <w:r w:rsidRPr="00ED32E7">
        <w:rPr>
          <w:rFonts w:ascii="Open Sans" w:hAnsi="Open Sans" w:cs="Open Sans"/>
          <w:szCs w:val="18"/>
        </w:rPr>
        <w:t xml:space="preserve"> </w:t>
      </w:r>
    </w:p>
  </w:footnote>
  <w:footnote w:id="573">
    <w:p w14:paraId="6C31F990" w14:textId="77777777" w:rsidR="007F55EB" w:rsidRPr="007606C9" w:rsidRDefault="007F55EB" w:rsidP="00A764E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hAnsi="Open Sans" w:cs="Helvetica"/>
          <w:color w:val="000000"/>
          <w:sz w:val="18"/>
          <w:szCs w:val="18"/>
          <w:lang w:eastAsia="ja-JP"/>
        </w:rPr>
      </w:pPr>
      <w:r w:rsidRPr="007606C9">
        <w:rPr>
          <w:rStyle w:val="Refdenotaalpie"/>
          <w:rFonts w:ascii="Open Sans" w:hAnsi="Open Sans"/>
          <w:sz w:val="18"/>
          <w:szCs w:val="18"/>
        </w:rPr>
        <w:footnoteRef/>
      </w:r>
      <w:r w:rsidRPr="007606C9">
        <w:rPr>
          <w:rFonts w:ascii="Open Sans" w:hAnsi="Open Sans"/>
          <w:sz w:val="18"/>
          <w:szCs w:val="18"/>
        </w:rPr>
        <w:t xml:space="preserve"> </w:t>
      </w:r>
      <w:r w:rsidRPr="007606C9">
        <w:rPr>
          <w:rFonts w:ascii="Open Sans" w:hAnsi="Open Sans" w:cs="Helvetica"/>
          <w:color w:val="000000"/>
          <w:sz w:val="18"/>
          <w:szCs w:val="18"/>
          <w:lang w:eastAsia="ja-JP"/>
        </w:rPr>
        <w:t>La Ley 27/2014, de 27 de noviembre, del Impuesto sobre Sociedades ha eliminado con efectos 1 de enero del 2015 el plazo para la compensación de las bases imponibles negativas, que estaba fijado en 18 años, por lo que pasa a ser ilimitado.</w:t>
      </w:r>
    </w:p>
  </w:footnote>
  <w:footnote w:id="574">
    <w:p w14:paraId="543FED0B" w14:textId="77777777" w:rsidR="007F55EB" w:rsidRPr="000B28BE" w:rsidRDefault="007F55EB" w:rsidP="00A764EF">
      <w:pPr>
        <w:pStyle w:val="Textonotapie"/>
        <w:rPr>
          <w:rFonts w:ascii="Open Sans" w:hAnsi="Open Sans"/>
          <w:bCs/>
          <w:lang w:val="es-ES_tradnl"/>
        </w:rPr>
      </w:pPr>
      <w:r w:rsidRPr="00581168">
        <w:rPr>
          <w:rStyle w:val="Refdenotaalpie"/>
          <w:rFonts w:ascii="Open Sans" w:hAnsi="Open Sans"/>
        </w:rPr>
        <w:footnoteRef/>
      </w:r>
      <w:r w:rsidRPr="00581168">
        <w:rPr>
          <w:rFonts w:ascii="Open Sans" w:hAnsi="Open Sans"/>
        </w:rPr>
        <w:t xml:space="preserve"> </w:t>
      </w:r>
      <w:hyperlink r:id="rId350" w:history="1">
        <w:r w:rsidRPr="00581168">
          <w:rPr>
            <w:rStyle w:val="Hipervnculo"/>
            <w:rFonts w:ascii="Open Sans" w:hAnsi="Open Sans"/>
            <w:bCs/>
            <w:lang w:val="es-ES_tradnl"/>
          </w:rPr>
          <w:t>Cuatro empresas españolas, entre las que controlan el negocio de la seguridad en las fronteras</w:t>
        </w:r>
      </w:hyperlink>
      <w:r>
        <w:rPr>
          <w:rFonts w:ascii="Open Sans" w:hAnsi="Open Sans"/>
          <w:bCs/>
          <w:lang w:val="es-ES_tradnl"/>
        </w:rPr>
        <w:t xml:space="preserve">. Bez Diario,  </w:t>
      </w:r>
    </w:p>
  </w:footnote>
  <w:footnote w:id="575">
    <w:p w14:paraId="33758FD8" w14:textId="77777777" w:rsidR="007F55EB" w:rsidRPr="000B28BE" w:rsidRDefault="007F55EB" w:rsidP="00A764EF">
      <w:pPr>
        <w:pStyle w:val="Textonotapie"/>
        <w:rPr>
          <w:lang w:val="es-ES_tradnl"/>
        </w:rPr>
      </w:pPr>
      <w:r w:rsidRPr="000B28BE">
        <w:rPr>
          <w:rStyle w:val="Refdenotaalpie"/>
          <w:rFonts w:ascii="Open Sans" w:hAnsi="Open Sans"/>
        </w:rPr>
        <w:footnoteRef/>
      </w:r>
      <w:r w:rsidRPr="000B28BE">
        <w:rPr>
          <w:rFonts w:ascii="Open Sans" w:hAnsi="Open Sans"/>
        </w:rPr>
        <w:t xml:space="preserve"> </w:t>
      </w:r>
      <w:hyperlink r:id="rId351" w:history="1">
        <w:r w:rsidRPr="000B28BE">
          <w:rPr>
            <w:rStyle w:val="Hipervnculo"/>
            <w:rFonts w:ascii="Open Sans" w:hAnsi="Open Sans"/>
            <w:lang w:val="es-ES_tradnl"/>
          </w:rPr>
          <w:t>Registro de Transparencia de la Unión Europea</w:t>
        </w:r>
      </w:hyperlink>
      <w:r w:rsidRPr="000B28BE">
        <w:rPr>
          <w:rFonts w:ascii="Open Sans" w:hAnsi="Open Sans"/>
          <w:lang w:val="es-ES_tradnl"/>
        </w:rPr>
        <w:t>.</w:t>
      </w:r>
      <w:r>
        <w:rPr>
          <w:lang w:val="es-ES_tradnl"/>
        </w:rPr>
        <w:t xml:space="preserve"> </w:t>
      </w:r>
    </w:p>
  </w:footnote>
  <w:footnote w:id="576">
    <w:p w14:paraId="401C2AEF" w14:textId="77777777" w:rsidR="007F55EB" w:rsidRPr="00ED32E7" w:rsidRDefault="007F55EB" w:rsidP="00A764EF">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Estrategia renovada de la UE para 2011-2014 sobre la responsabilidad social de las empresas  (COM  (2011)  681  final)  señala que  las  empresas  deberían  trabajar  por implementar  una  buena gobernanza  fiscal  y  a  difundir  la  información  relativa  a  la </w:t>
      </w:r>
      <w:r w:rsidRPr="00ED32E7">
        <w:rPr>
          <w:rFonts w:ascii="Open Sans" w:hAnsi="Open Sans"/>
          <w:sz w:val="18"/>
          <w:szCs w:val="18"/>
        </w:rPr>
        <w:t xml:space="preserve">implementación de las normas sobre buena gobernanza fiscal.  </w:t>
      </w:r>
    </w:p>
  </w:footnote>
  <w:footnote w:id="577">
    <w:p w14:paraId="13A7E805" w14:textId="77777777" w:rsidR="007F55EB" w:rsidRPr="00ED32E7" w:rsidRDefault="007F55EB" w:rsidP="00A764EF">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OCDE, </w:t>
      </w:r>
      <w:r w:rsidRPr="00ED32E7">
        <w:rPr>
          <w:rFonts w:ascii="Open Sans" w:hAnsi="Open Sans" w:cs="Arial"/>
          <w:sz w:val="18"/>
          <w:szCs w:val="18"/>
        </w:rPr>
        <w:t>Líneas  directrices  para  empresas  multinacionales  (2011) dedica el capítulo IX a las cuestiones relacionadas con la tributación.</w:t>
      </w:r>
    </w:p>
  </w:footnote>
  <w:footnote w:id="578">
    <w:p w14:paraId="2B7CCF73" w14:textId="77777777" w:rsidR="007F55EB" w:rsidRPr="000D6842" w:rsidRDefault="007F55EB" w:rsidP="00A764EF">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A favor de la información país a país se han manifestado diversas instituciones, destacándose,  “The  extractive  industries </w:t>
      </w:r>
      <w:r w:rsidRPr="004A5B7C">
        <w:rPr>
          <w:rFonts w:ascii="Open Sans" w:hAnsi="Open Sans" w:cs="Arial"/>
          <w:sz w:val="18"/>
          <w:szCs w:val="18"/>
        </w:rPr>
        <w:t>transparency initiative” (EITI); “The EU Accounting and Transparency directive”; “the Dodd-</w:t>
      </w:r>
      <w:r w:rsidRPr="00ED32E7">
        <w:rPr>
          <w:rFonts w:ascii="Open Sans" w:hAnsi="Open Sans" w:cs="Arial"/>
          <w:sz w:val="18"/>
          <w:szCs w:val="18"/>
        </w:rPr>
        <w:t xml:space="preserve">Frank  Act”;  y  “the  EU  Capital  Requirements  directive  IV”  (CRD  IV),  el  Proyecto  BEPS  de  la OCDE.  También  pueden  destacarse  iniciativas  de  otros  países  a  nivel  individual,  de  la sociedad civil (p.e. “Publish what you pay”) u organizaciones como Tax Justice </w:t>
      </w:r>
      <w:r w:rsidRPr="000D6842">
        <w:rPr>
          <w:rFonts w:ascii="Open Sans" w:hAnsi="Open Sans" w:cs="Arial"/>
          <w:sz w:val="18"/>
          <w:szCs w:val="18"/>
        </w:rPr>
        <w:t>Network.</w:t>
      </w:r>
    </w:p>
  </w:footnote>
  <w:footnote w:id="579">
    <w:p w14:paraId="6E2F3B20" w14:textId="77777777" w:rsidR="007F55EB" w:rsidRPr="00C543D8" w:rsidRDefault="007F55EB" w:rsidP="00A764EF">
      <w:pPr>
        <w:pStyle w:val="Textonotapie"/>
        <w:rPr>
          <w:rFonts w:ascii="Open Sans" w:hAnsi="Open Sans"/>
          <w:bCs/>
          <w:sz w:val="16"/>
          <w:lang w:val="es-ES_tradnl"/>
        </w:rPr>
      </w:pPr>
      <w:r w:rsidRPr="000D6842">
        <w:rPr>
          <w:rStyle w:val="Refdenotaalpie"/>
          <w:rFonts w:ascii="Open Sans" w:hAnsi="Open Sans"/>
          <w:szCs w:val="18"/>
        </w:rPr>
        <w:footnoteRef/>
      </w:r>
      <w:r w:rsidRPr="000D6842">
        <w:rPr>
          <w:rFonts w:ascii="Open Sans" w:hAnsi="Open Sans"/>
          <w:szCs w:val="18"/>
        </w:rPr>
        <w:t xml:space="preserve"> </w:t>
      </w:r>
      <w:r w:rsidRPr="000D6842">
        <w:rPr>
          <w:rFonts w:ascii="Open Sans" w:hAnsi="Open Sans"/>
          <w:bCs/>
          <w:szCs w:val="18"/>
          <w:lang w:val="es-ES_tradnl"/>
        </w:rPr>
        <w:t>Real Decreto 634/2015, de 10 de julio, por el que se aprueba el Reglamento del Impuesto sobre Sociedades. Artículo 14. Información país a país</w:t>
      </w:r>
    </w:p>
  </w:footnote>
  <w:footnote w:id="580">
    <w:p w14:paraId="6027BA98" w14:textId="77777777" w:rsidR="007F55EB" w:rsidRPr="00D06498" w:rsidRDefault="007F55EB" w:rsidP="00A764EF">
      <w:pPr>
        <w:pStyle w:val="Textonotapie"/>
        <w:rPr>
          <w:rFonts w:ascii="Open Sans" w:hAnsi="Open Sans" w:cs="Arial"/>
          <w:sz w:val="18"/>
          <w:szCs w:val="18"/>
          <w:lang w:val="es-ES_tradnl"/>
        </w:rPr>
      </w:pPr>
      <w:r w:rsidRPr="00D06498">
        <w:rPr>
          <w:rStyle w:val="Refdenotaalpie"/>
          <w:rFonts w:ascii="Open Sans" w:hAnsi="Open Sans" w:cs="Arial"/>
          <w:sz w:val="18"/>
          <w:szCs w:val="18"/>
        </w:rPr>
        <w:footnoteRef/>
      </w:r>
      <w:r w:rsidRPr="00D06498">
        <w:rPr>
          <w:rFonts w:ascii="Open Sans" w:hAnsi="Open Sans" w:cs="Arial"/>
          <w:sz w:val="18"/>
          <w:szCs w:val="18"/>
        </w:rPr>
        <w:t xml:space="preserve"> https://www.telefonica.com/documents/364672/2777615/politica_negocio_responsable_telefonica_ok.pdf/6bd5df65-a68d-4dea-881e-ad3538bf7f37</w:t>
      </w:r>
    </w:p>
  </w:footnote>
  <w:footnote w:id="581">
    <w:p w14:paraId="6F2E39F3" w14:textId="77777777" w:rsidR="007F55EB" w:rsidRPr="00D06498" w:rsidRDefault="007F55EB" w:rsidP="00A764EF">
      <w:pPr>
        <w:pStyle w:val="Textonotapie"/>
        <w:jc w:val="both"/>
        <w:rPr>
          <w:rFonts w:ascii="Open Sans" w:hAnsi="Open Sans" w:cs="Arial"/>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lang w:val="es-ES_tradnl"/>
        </w:rPr>
        <w:t>Informe integrado 2015. Página 11: Es importante destacar que en los últimos meses del ejercicio se han producido algunos factores extraordinarios que han impactado en el beneficio neto reportado de la Compañía. Entre estos factores destacan la provisión por gastos de reestructuración (-3.212 millones de euros), la provisión para los próximos ejercicios de Fundación Telefónica (-325 millones), la provisión para la optimización de la Red de distribución en España (-30 millones), ajustes en la valoración de algunas compañías (-23 millones),el acuerdo final relacionado con el precio de compra de E-plus (+102 millones),el resultado del intercambio de espectro en México (+79 millones); la prescripción de una obligación de pago en Brasil (+98 millones) la plusvalía por venta de inmuebles y torres</w:t>
      </w:r>
    </w:p>
    <w:p w14:paraId="5B720C39" w14:textId="77777777" w:rsidR="007F55EB" w:rsidRPr="00D06498" w:rsidRDefault="007F55EB" w:rsidP="00A764EF">
      <w:pPr>
        <w:pStyle w:val="Textonotapie"/>
        <w:jc w:val="both"/>
        <w:rPr>
          <w:rFonts w:ascii="Open Sans" w:hAnsi="Open Sans" w:cs="Arial"/>
          <w:sz w:val="18"/>
          <w:szCs w:val="18"/>
          <w:lang w:val="es-ES_tradnl"/>
        </w:rPr>
      </w:pPr>
      <w:r w:rsidRPr="00D06498">
        <w:rPr>
          <w:rFonts w:ascii="Open Sans" w:hAnsi="Open Sans" w:cs="Arial"/>
          <w:sz w:val="18"/>
          <w:szCs w:val="18"/>
          <w:lang w:val="es-ES_tradnl"/>
        </w:rPr>
        <w:t>(+100 millones).</w:t>
      </w:r>
    </w:p>
  </w:footnote>
  <w:footnote w:id="582">
    <w:p w14:paraId="414BC4BE" w14:textId="77777777" w:rsidR="007F55EB" w:rsidRPr="00D06498" w:rsidRDefault="007F55EB" w:rsidP="00A764EF">
      <w:pPr>
        <w:pStyle w:val="Textonotapie"/>
        <w:jc w:val="both"/>
        <w:rPr>
          <w:rFonts w:ascii="Open Sans" w:hAnsi="Open Sans" w:cs="Arial"/>
          <w:sz w:val="18"/>
          <w:szCs w:val="18"/>
          <w:lang w:val="es-ES_tradnl"/>
        </w:rPr>
      </w:pPr>
      <w:r w:rsidRPr="00D06498">
        <w:rPr>
          <w:rStyle w:val="Refdenotaalpie"/>
          <w:rFonts w:ascii="Open Sans" w:hAnsi="Open Sans" w:cs="Arial"/>
          <w:sz w:val="18"/>
          <w:szCs w:val="18"/>
        </w:rPr>
        <w:footnoteRef/>
      </w:r>
      <w:r w:rsidRPr="00D06498">
        <w:rPr>
          <w:rFonts w:ascii="Open Sans" w:hAnsi="Open Sans" w:cs="Arial"/>
          <w:sz w:val="18"/>
          <w:szCs w:val="18"/>
        </w:rPr>
        <w:t xml:space="preserve"> </w:t>
      </w:r>
      <w:r w:rsidRPr="00D06498">
        <w:rPr>
          <w:rFonts w:ascii="Open Sans" w:hAnsi="Open Sans" w:cs="Arial"/>
          <w:sz w:val="18"/>
          <w:szCs w:val="18"/>
          <w:lang w:val="es-ES_tradnl"/>
        </w:rPr>
        <w:t>Informe Financiero 2015. Página 152</w:t>
      </w:r>
    </w:p>
  </w:footnote>
  <w:footnote w:id="583">
    <w:p w14:paraId="12C7854B" w14:textId="77777777" w:rsidR="007F55EB" w:rsidRPr="00D06498" w:rsidRDefault="007F55EB" w:rsidP="00A764EF">
      <w:pPr>
        <w:pStyle w:val="NormalWeb"/>
        <w:rPr>
          <w:rFonts w:ascii="Open Sans" w:hAnsi="Open Sans" w:cs="Arial"/>
          <w:sz w:val="18"/>
          <w:szCs w:val="18"/>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Reflejado en el documento Política de Negocio Responsable. Política corporativa Aprobada por el Consejo de Administración de Telefónica S.A. en su reunión del 24 de febrero de 2016. https://www.telefonica.com/documents/364672/2777615/politica_negocio_responsable_telefonica_ok.pdf/6bd5df65-a68d-4dea-881e-ad3538bf7f37</w:t>
      </w:r>
    </w:p>
  </w:footnote>
  <w:footnote w:id="584">
    <w:p w14:paraId="0B5140AD" w14:textId="77777777" w:rsidR="007F55EB" w:rsidRPr="00D06498" w:rsidRDefault="007F55EB" w:rsidP="00A764EF">
      <w:pPr>
        <w:pStyle w:val="Textonotapie"/>
        <w:rPr>
          <w:rFonts w:ascii="Open Sans" w:hAnsi="Open Sans"/>
          <w:sz w:val="18"/>
          <w:szCs w:val="18"/>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“Líneas Directrices de la OCDE para empresas multinacionales”</w:t>
      </w:r>
      <w:r w:rsidRPr="00D06498">
        <w:rPr>
          <w:rFonts w:ascii="Open Sans" w:hAnsi="Open Sans" w:cs="Arial"/>
          <w:color w:val="000000"/>
          <w:sz w:val="18"/>
          <w:szCs w:val="18"/>
        </w:rPr>
        <w:t xml:space="preserve"> </w:t>
      </w:r>
      <w:hyperlink r:id="rId352" w:history="1">
        <w:r w:rsidRPr="00D06498">
          <w:rPr>
            <w:rStyle w:val="Hipervnculo"/>
            <w:rFonts w:ascii="Open Sans" w:hAnsi="Open Sans" w:cs="Arial"/>
            <w:sz w:val="18"/>
            <w:szCs w:val="18"/>
          </w:rPr>
          <w:t>http://www.google.es/url?sa=t&amp;rct=j&amp;q=&amp;esrc=s&amp;source=web&amp;cd=2&amp;cad=rja&amp;uact=8&amp;ved=0CCcQFjAB&amp;url=http%3A%2F%2Fwww.oecd.org%2Fdaf%2Finv%2Fmne%2FMNEguidelinesESPANOL.pdf&amp;ei=xXwrVdKYBon6PPPegLAP&amp;usg=AFQjCNHDeYVD1bvfKWyKQVrEQkt-xCVq8g&amp;bvm=bv.90491159,d.ZWU</w:t>
        </w:r>
      </w:hyperlink>
      <w:r w:rsidRPr="00D06498">
        <w:rPr>
          <w:rFonts w:ascii="Open Sans" w:hAnsi="Open Sans" w:cs="Lucida Grande"/>
          <w:color w:val="000000"/>
          <w:sz w:val="18"/>
          <w:szCs w:val="18"/>
        </w:rPr>
        <w:t xml:space="preserve"> </w:t>
      </w:r>
    </w:p>
  </w:footnote>
  <w:footnote w:id="585">
    <w:p w14:paraId="472AE9B0" w14:textId="77777777" w:rsidR="007F55EB" w:rsidRPr="00D06498" w:rsidRDefault="007F55EB" w:rsidP="00A764EF">
      <w:pPr>
        <w:jc w:val="both"/>
        <w:rPr>
          <w:rFonts w:ascii="Open Sans" w:hAnsi="Open Sans" w:cs="Arial"/>
          <w:color w:val="000000"/>
          <w:sz w:val="18"/>
          <w:szCs w:val="18"/>
        </w:rPr>
      </w:pPr>
      <w:r w:rsidRPr="00D06498">
        <w:rPr>
          <w:rStyle w:val="Refdenotaalpie"/>
          <w:rFonts w:ascii="Open Sans" w:hAnsi="Open Sans"/>
          <w:sz w:val="18"/>
          <w:szCs w:val="18"/>
        </w:rPr>
        <w:footnoteRef/>
      </w:r>
      <w:r w:rsidRPr="00D06498">
        <w:rPr>
          <w:rFonts w:ascii="Open Sans" w:hAnsi="Open Sans"/>
          <w:sz w:val="18"/>
          <w:szCs w:val="18"/>
        </w:rPr>
        <w:t xml:space="preserve"> </w:t>
      </w:r>
      <w:hyperlink r:id="rId353" w:history="1">
        <w:r w:rsidRPr="00D06498">
          <w:rPr>
            <w:rFonts w:ascii="Open Sans" w:hAnsi="Open Sans" w:cs="Arial"/>
            <w:color w:val="000000"/>
            <w:sz w:val="18"/>
            <w:szCs w:val="18"/>
          </w:rPr>
          <w:t>https://www.sec.gov/Archives/edgar/data/1127866/000119312506078410/dex81.htm</w:t>
        </w:r>
      </w:hyperlink>
      <w:r w:rsidRPr="00D06498">
        <w:rPr>
          <w:rFonts w:ascii="Open Sans" w:hAnsi="Open Sans"/>
          <w:color w:val="000000"/>
          <w:sz w:val="18"/>
          <w:szCs w:val="18"/>
        </w:rPr>
        <w:t xml:space="preserve"> </w:t>
      </w:r>
    </w:p>
  </w:footnote>
  <w:footnote w:id="586">
    <w:p w14:paraId="5453F1A8" w14:textId="77777777" w:rsidR="007F55EB" w:rsidRPr="00D06498" w:rsidRDefault="007F55EB" w:rsidP="00A764EF">
      <w:pPr>
        <w:pStyle w:val="Textonotapie"/>
        <w:rPr>
          <w:rFonts w:ascii="Open Sans" w:hAnsi="Open Sans"/>
          <w:sz w:val="18"/>
          <w:szCs w:val="18"/>
        </w:rPr>
      </w:pPr>
      <w:r w:rsidRPr="00D06498">
        <w:rPr>
          <w:rStyle w:val="Refdenotaalpie"/>
          <w:rFonts w:ascii="Open Sans" w:hAnsi="Open Sans"/>
          <w:sz w:val="18"/>
          <w:szCs w:val="18"/>
        </w:rPr>
        <w:footnoteRef/>
      </w:r>
      <w:r w:rsidRPr="00D06498">
        <w:rPr>
          <w:rFonts w:ascii="Open Sans" w:hAnsi="Open Sans"/>
          <w:sz w:val="18"/>
          <w:szCs w:val="18"/>
        </w:rPr>
        <w:t xml:space="preserve"> </w:t>
      </w:r>
      <w:hyperlink r:id="rId354" w:history="1">
        <w:r w:rsidRPr="00D06498">
          <w:rPr>
            <w:rStyle w:val="Hipervnculo"/>
            <w:rFonts w:ascii="Open Sans" w:hAnsi="Open Sans" w:cs="Arial"/>
            <w:sz w:val="18"/>
            <w:szCs w:val="18"/>
          </w:rPr>
          <w:t>http://cincodias.com/cincodias/2016/12/30/empresas/1483119624_163141.html</w:t>
        </w:r>
      </w:hyperlink>
      <w:r w:rsidRPr="00D06498">
        <w:rPr>
          <w:rFonts w:ascii="Open Sans" w:hAnsi="Open Sans" w:cs="Arial"/>
          <w:color w:val="000000"/>
          <w:sz w:val="18"/>
          <w:szCs w:val="18"/>
        </w:rPr>
        <w:t xml:space="preserve"> </w:t>
      </w:r>
    </w:p>
  </w:footnote>
  <w:footnote w:id="587">
    <w:p w14:paraId="336AA960" w14:textId="77777777" w:rsidR="007F55EB" w:rsidRPr="00D06498" w:rsidRDefault="007F55EB" w:rsidP="00A764EF">
      <w:pPr>
        <w:pStyle w:val="Textonotapie"/>
        <w:rPr>
          <w:rFonts w:ascii="Open Sans" w:hAnsi="Open Sans" w:cs="Arial"/>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https://www.telefonica.com/es/web/negocio-responsable/-/contenido-transparencia-fiscal</w:t>
      </w:r>
    </w:p>
  </w:footnote>
  <w:footnote w:id="588">
    <w:p w14:paraId="1DF09E92"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https://www.telefonica.com/es/web/negocio-responsable/el-negocio-responsable-en-telefonica/estrategia</w:t>
      </w:r>
    </w:p>
  </w:footnote>
  <w:footnote w:id="589">
    <w:p w14:paraId="33000096" w14:textId="77777777" w:rsidR="007F55EB" w:rsidRPr="00D06498" w:rsidRDefault="007F55EB" w:rsidP="00A764EF">
      <w:pPr>
        <w:pStyle w:val="Textonotapie"/>
        <w:rPr>
          <w:rFonts w:ascii="Open Sans" w:hAnsi="Open Sans" w:cs="Arial"/>
          <w:sz w:val="18"/>
          <w:szCs w:val="18"/>
          <w:lang w:val="es-ES_tradnl"/>
        </w:rPr>
      </w:pPr>
      <w:r w:rsidRPr="00D06498">
        <w:rPr>
          <w:rStyle w:val="Refdenotaalpie"/>
          <w:rFonts w:ascii="Open Sans" w:hAnsi="Open Sans" w:cs="Arial"/>
          <w:sz w:val="18"/>
          <w:szCs w:val="18"/>
        </w:rPr>
        <w:footnoteRef/>
      </w:r>
      <w:r w:rsidRPr="00D06498">
        <w:rPr>
          <w:rFonts w:ascii="Open Sans" w:hAnsi="Open Sans" w:cs="Arial"/>
          <w:sz w:val="18"/>
          <w:szCs w:val="18"/>
        </w:rPr>
        <w:t xml:space="preserve"> en relación a este enunciado, señalamos que  </w:t>
      </w:r>
      <w:r w:rsidRPr="00D06498">
        <w:rPr>
          <w:rFonts w:ascii="Open Sans" w:hAnsi="Open Sans" w:cs="Arial"/>
          <w:sz w:val="18"/>
          <w:szCs w:val="18"/>
          <w:lang w:val="es-ES_tradnl"/>
        </w:rPr>
        <w:t xml:space="preserve">no se ha encontrado un documento público de </w:t>
      </w:r>
      <w:r w:rsidRPr="00D06498">
        <w:rPr>
          <w:rFonts w:ascii="Open Sans" w:hAnsi="Open Sans" w:cs="Arial"/>
          <w:color w:val="434343"/>
          <w:sz w:val="18"/>
          <w:szCs w:val="18"/>
        </w:rPr>
        <w:t>Política de Gestión de Riesgos Fiscales del Grupo Telefónica.</w:t>
      </w:r>
    </w:p>
  </w:footnote>
  <w:footnote w:id="590">
    <w:p w14:paraId="22234127"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https://www.telefonica.com/es/web/negocio-responsable/-/contenido-transparencia-fiscal</w:t>
      </w:r>
    </w:p>
  </w:footnote>
  <w:footnote w:id="591">
    <w:p w14:paraId="3D8733A9" w14:textId="77777777" w:rsidR="007F55EB" w:rsidRPr="00D06498" w:rsidRDefault="007F55EB" w:rsidP="00A764EF">
      <w:pPr>
        <w:pStyle w:val="Textonotapie"/>
        <w:rPr>
          <w:rFonts w:ascii="Open Sans" w:hAnsi="Open Sans" w:cs="Arial"/>
          <w:sz w:val="18"/>
          <w:szCs w:val="18"/>
          <w:lang w:val="es-ES_tradnl"/>
        </w:rPr>
      </w:pPr>
      <w:r w:rsidRPr="00D06498">
        <w:rPr>
          <w:rStyle w:val="Refdenotaalpie"/>
          <w:rFonts w:ascii="Open Sans" w:hAnsi="Open Sans" w:cs="Arial"/>
          <w:sz w:val="18"/>
          <w:szCs w:val="18"/>
        </w:rPr>
        <w:footnoteRef/>
      </w:r>
      <w:r w:rsidRPr="00D06498">
        <w:rPr>
          <w:rFonts w:ascii="Open Sans" w:hAnsi="Open Sans" w:cs="Arial"/>
          <w:sz w:val="18"/>
          <w:szCs w:val="18"/>
        </w:rPr>
        <w:t xml:space="preserve"> Informe de gobierno corporativo  2015 pág.41</w:t>
      </w:r>
    </w:p>
  </w:footnote>
  <w:footnote w:id="592">
    <w:p w14:paraId="06D5A09B" w14:textId="77777777" w:rsidR="007F55EB" w:rsidRPr="00D06498" w:rsidRDefault="007F55EB" w:rsidP="00A764EF">
      <w:pPr>
        <w:rPr>
          <w:rFonts w:ascii="Open Sans" w:hAnsi="Open Sans" w:cs="Arial"/>
          <w:sz w:val="18"/>
          <w:szCs w:val="18"/>
        </w:rPr>
      </w:pPr>
      <w:r w:rsidRPr="00D06498">
        <w:rPr>
          <w:rStyle w:val="Refdenotaalpie"/>
          <w:rFonts w:ascii="Open Sans" w:hAnsi="Open Sans" w:cs="Arial"/>
          <w:sz w:val="18"/>
          <w:szCs w:val="18"/>
        </w:rPr>
        <w:footnoteRef/>
      </w:r>
      <w:r w:rsidRPr="00D06498">
        <w:rPr>
          <w:rFonts w:ascii="Open Sans" w:hAnsi="Open Sans" w:cs="Arial"/>
          <w:sz w:val="18"/>
          <w:szCs w:val="18"/>
        </w:rPr>
        <w:t xml:space="preserve"> INFORME INTEGRADO </w:t>
      </w:r>
      <w:r w:rsidRPr="00D06498">
        <w:rPr>
          <w:rFonts w:ascii="Open Sans" w:hAnsi="Open Sans" w:cs="Arial"/>
          <w:bCs/>
          <w:sz w:val="18"/>
          <w:szCs w:val="18"/>
        </w:rPr>
        <w:t>2015 pagina  35</w:t>
      </w:r>
    </w:p>
  </w:footnote>
  <w:footnote w:id="593">
    <w:p w14:paraId="4C7F155A" w14:textId="77777777" w:rsidR="007F55EB" w:rsidRPr="00D06498" w:rsidRDefault="007F55EB" w:rsidP="00A764EF">
      <w:pPr>
        <w:jc w:val="both"/>
        <w:rPr>
          <w:rFonts w:ascii="Open Sans" w:hAnsi="Open Sans" w:cs="Arial"/>
          <w:sz w:val="18"/>
          <w:szCs w:val="18"/>
        </w:rPr>
      </w:pPr>
      <w:r w:rsidRPr="00D06498">
        <w:rPr>
          <w:rStyle w:val="Refdenotaalpie"/>
          <w:rFonts w:ascii="Open Sans" w:hAnsi="Open Sans" w:cs="Arial"/>
          <w:sz w:val="18"/>
          <w:szCs w:val="18"/>
        </w:rPr>
        <w:footnoteRef/>
      </w:r>
      <w:r w:rsidRPr="00D06498">
        <w:rPr>
          <w:rFonts w:ascii="Open Sans" w:hAnsi="Open Sans" w:cs="Arial"/>
          <w:sz w:val="18"/>
          <w:szCs w:val="18"/>
        </w:rPr>
        <w:t xml:space="preserve">  SENTENCIA DEL TRIBUNAL DE JUSTICIA (Gran Sala) de 21 de diciembre de 2016</w:t>
      </w:r>
    </w:p>
    <w:p w14:paraId="4262FCA1" w14:textId="77777777" w:rsidR="007F55EB" w:rsidRPr="00D06498" w:rsidRDefault="007F55EB" w:rsidP="00A764EF">
      <w:pPr>
        <w:jc w:val="both"/>
        <w:rPr>
          <w:rFonts w:ascii="Open Sans" w:hAnsi="Open Sans" w:cs="Arial"/>
          <w:sz w:val="18"/>
          <w:szCs w:val="18"/>
        </w:rPr>
      </w:pPr>
      <w:r w:rsidRPr="00D06498">
        <w:rPr>
          <w:rFonts w:ascii="Open Sans" w:hAnsi="Open Sans" w:cs="Arial"/>
          <w:sz w:val="18"/>
          <w:szCs w:val="18"/>
        </w:rPr>
        <w:t>http://curia.europa.eu/juris/document/document_print.jsf?doclang=ES&amp;text=&amp;pageIndex=0&amp;part=1&amp;mode=req&amp;docid=186482&amp;occ=first&amp;dir=&amp;cid=511433Bruselas anula ayudas millonarias a Telefónica, Santander e Iberdrola</w:t>
      </w:r>
    </w:p>
    <w:p w14:paraId="6A828BA5" w14:textId="77777777" w:rsidR="007F55EB" w:rsidRPr="00D06498" w:rsidRDefault="007F55EB" w:rsidP="00A764EF">
      <w:pPr>
        <w:jc w:val="both"/>
        <w:rPr>
          <w:rStyle w:val="A12"/>
          <w:rFonts w:ascii="Open Sans" w:hAnsi="Open Sans" w:cs="Arial"/>
          <w:sz w:val="18"/>
          <w:szCs w:val="18"/>
        </w:rPr>
      </w:pPr>
      <w:hyperlink r:id="rId355" w:history="1">
        <w:r w:rsidRPr="00D06498">
          <w:rPr>
            <w:rStyle w:val="Hipervnculo"/>
            <w:rFonts w:ascii="Open Sans" w:hAnsi="Open Sans" w:cs="Arial"/>
            <w:sz w:val="18"/>
            <w:szCs w:val="18"/>
          </w:rPr>
          <w:t>http://economia.elpais.com/economia/2014/10/13/actualidad/1413227302_641453.html</w:t>
        </w:r>
      </w:hyperlink>
    </w:p>
    <w:p w14:paraId="2D342D02" w14:textId="77777777" w:rsidR="007F55EB" w:rsidRPr="00D06498" w:rsidRDefault="007F55EB" w:rsidP="00A764EF">
      <w:pPr>
        <w:pStyle w:val="Textonotapie"/>
        <w:rPr>
          <w:rFonts w:ascii="Open Sans" w:hAnsi="Open Sans" w:cs="Arial"/>
          <w:sz w:val="18"/>
          <w:szCs w:val="18"/>
          <w:lang w:val="es-ES_tradnl"/>
        </w:rPr>
      </w:pPr>
      <w:r w:rsidRPr="00D06498">
        <w:rPr>
          <w:rStyle w:val="A12"/>
          <w:rFonts w:ascii="Open Sans" w:hAnsi="Open Sans" w:cs="Arial"/>
          <w:sz w:val="18"/>
          <w:szCs w:val="18"/>
        </w:rPr>
        <w:t>fecha</w:t>
      </w:r>
      <w:r w:rsidRPr="00D06498">
        <w:rPr>
          <w:rFonts w:ascii="Open Sans" w:hAnsi="Open Sans" w:cs="Arial"/>
          <w:sz w:val="18"/>
          <w:szCs w:val="18"/>
        </w:rPr>
        <w:t xml:space="preserve"> </w:t>
      </w:r>
      <w:hyperlink r:id="rId356" w:history="1">
        <w:r w:rsidRPr="00D06498">
          <w:rPr>
            <w:rFonts w:ascii="Open Sans" w:hAnsi="Open Sans" w:cs="Arial"/>
            <w:sz w:val="18"/>
            <w:szCs w:val="18"/>
          </w:rPr>
          <w:t>13 OCT 2014 - 21:08 CEST</w:t>
        </w:r>
      </w:hyperlink>
    </w:p>
  </w:footnote>
  <w:footnote w:id="594">
    <w:p w14:paraId="45AF6710"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color w:val="000000"/>
          <w:sz w:val="18"/>
          <w:szCs w:val="18"/>
        </w:rPr>
        <w:t>INFORME INTEGRADO  2015. Página 56, apartado Etica y Cumplimiento</w:t>
      </w:r>
    </w:p>
  </w:footnote>
  <w:footnote w:id="595">
    <w:p w14:paraId="7511B9A2"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color w:val="000000"/>
          <w:sz w:val="18"/>
          <w:szCs w:val="18"/>
        </w:rPr>
        <w:t>Informe Financiero 2015. página 74 Deducciones</w:t>
      </w:r>
    </w:p>
  </w:footnote>
  <w:footnote w:id="596">
    <w:p w14:paraId="440B807A" w14:textId="77777777" w:rsidR="007F55EB" w:rsidRPr="00D06498" w:rsidRDefault="007F55EB" w:rsidP="00A764EF">
      <w:pPr>
        <w:pStyle w:val="Textonotapie"/>
        <w:ind w:left="284" w:hanging="284"/>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lang w:val="es-ES_tradnl"/>
        </w:rPr>
        <w:t>Informe Financiero 2015. Página 75. Conciliación entre el resultado contable y el gasto por impuesto devengado</w:t>
      </w:r>
    </w:p>
  </w:footnote>
  <w:footnote w:id="597">
    <w:p w14:paraId="084C8F48"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lang w:val="es-ES_tradnl"/>
        </w:rPr>
        <w:t>Informe Financiero 2015. Página 75. Conciliación entre el resultado contable y el gasto por impuesto devengado</w:t>
      </w:r>
    </w:p>
  </w:footnote>
  <w:footnote w:id="598">
    <w:p w14:paraId="7C217127" w14:textId="77777777" w:rsidR="007F55EB" w:rsidRPr="00D06498" w:rsidRDefault="007F55EB" w:rsidP="00A764EF">
      <w:pPr>
        <w:widowControl w:val="0"/>
        <w:autoSpaceDE w:val="0"/>
        <w:autoSpaceDN w:val="0"/>
        <w:adjustRightInd w:val="0"/>
        <w:spacing w:after="160" w:line="181" w:lineRule="atLeast"/>
        <w:rPr>
          <w:rFonts w:ascii="Open Sans" w:hAnsi="Open Sans"/>
          <w:sz w:val="18"/>
          <w:szCs w:val="18"/>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color w:val="1F497D" w:themeColor="text2"/>
          <w:sz w:val="18"/>
          <w:szCs w:val="18"/>
        </w:rPr>
        <w:t xml:space="preserve">Hacienda multa a Telefónica con 206 millones por impuestos mal contabilizados </w:t>
      </w:r>
      <w:hyperlink r:id="rId357" w:history="1">
        <w:r w:rsidRPr="00D06498">
          <w:rPr>
            <w:rStyle w:val="Hipervnculo"/>
            <w:rFonts w:ascii="Open Sans" w:hAnsi="Open Sans" w:cs="Arial"/>
            <w:bCs/>
            <w:sz w:val="18"/>
            <w:szCs w:val="18"/>
          </w:rPr>
          <w:t>http://www.elconfidencial.com/empresas/2016-02-28/hacienda-multa-a-telefonica-con-una-sancion-de-206-por-impuestos-mal-contabilizados_1159825/</w:t>
        </w:r>
      </w:hyperlink>
    </w:p>
  </w:footnote>
  <w:footnote w:id="599">
    <w:p w14:paraId="29FEE79F" w14:textId="77777777" w:rsidR="007F55EB" w:rsidRPr="00D06498" w:rsidRDefault="007F55EB" w:rsidP="00A764EF">
      <w:pPr>
        <w:pStyle w:val="Textonotapie"/>
        <w:rPr>
          <w:rFonts w:ascii="Open Sans" w:hAnsi="Open Sans" w:cs="Arial"/>
          <w:sz w:val="18"/>
          <w:szCs w:val="18"/>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rPr>
        <w:t>En relación a este contencioso ver las siguientes noticias :</w:t>
      </w:r>
    </w:p>
    <w:p w14:paraId="33087B61" w14:textId="77777777" w:rsidR="007F55EB" w:rsidRPr="00D06498" w:rsidRDefault="007F55EB" w:rsidP="00A764EF">
      <w:pPr>
        <w:pStyle w:val="Textonotapie"/>
        <w:rPr>
          <w:rFonts w:ascii="Open Sans" w:hAnsi="Open Sans" w:cs="Arial"/>
          <w:sz w:val="18"/>
          <w:szCs w:val="18"/>
        </w:rPr>
      </w:pPr>
      <w:r w:rsidRPr="00D06498">
        <w:rPr>
          <w:rFonts w:ascii="Open Sans" w:hAnsi="Open Sans" w:cs="Arial"/>
          <w:sz w:val="18"/>
          <w:szCs w:val="18"/>
        </w:rPr>
        <w:t>Bruselas exige a España que recupere bonificaciones millonarias a empresas tras un fallo europeo</w:t>
      </w:r>
    </w:p>
    <w:p w14:paraId="6772100D" w14:textId="77777777" w:rsidR="007F55EB" w:rsidRPr="00D06498" w:rsidRDefault="007F55EB" w:rsidP="00A764EF">
      <w:pPr>
        <w:pStyle w:val="Textonotapie"/>
        <w:rPr>
          <w:rFonts w:ascii="Open Sans" w:hAnsi="Open Sans" w:cs="Arial"/>
          <w:sz w:val="18"/>
          <w:szCs w:val="18"/>
        </w:rPr>
      </w:pPr>
      <w:r w:rsidRPr="00D06498">
        <w:rPr>
          <w:rFonts w:ascii="Open Sans" w:hAnsi="Open Sans" w:cs="Arial"/>
          <w:sz w:val="18"/>
          <w:szCs w:val="18"/>
        </w:rPr>
        <w:t xml:space="preserve">Bruselas 21 DIC 2016 - 19:07 </w:t>
      </w:r>
    </w:p>
    <w:p w14:paraId="1DDEBE6F" w14:textId="77777777" w:rsidR="007F55EB" w:rsidRPr="00D06498" w:rsidRDefault="007F55EB" w:rsidP="00A764EF">
      <w:pPr>
        <w:pStyle w:val="Textonotapie"/>
        <w:rPr>
          <w:rFonts w:ascii="Open Sans" w:hAnsi="Open Sans" w:cs="Arial"/>
          <w:sz w:val="18"/>
          <w:szCs w:val="18"/>
        </w:rPr>
      </w:pPr>
      <w:hyperlink r:id="rId358" w:history="1">
        <w:r w:rsidRPr="00D06498">
          <w:rPr>
            <w:rStyle w:val="Hipervnculo"/>
            <w:rFonts w:ascii="Open Sans" w:hAnsi="Open Sans" w:cs="Arial"/>
            <w:sz w:val="18"/>
            <w:szCs w:val="18"/>
          </w:rPr>
          <w:t>http://economia.elpais.com/economia/2016/12/21/actualidad/1482307249_082586.html</w:t>
        </w:r>
      </w:hyperlink>
    </w:p>
    <w:p w14:paraId="053C5788" w14:textId="77777777" w:rsidR="007F55EB" w:rsidRPr="00D06498" w:rsidRDefault="007F55EB" w:rsidP="00A764EF">
      <w:pPr>
        <w:pStyle w:val="Textonotapie"/>
        <w:rPr>
          <w:rFonts w:ascii="Open Sans" w:hAnsi="Open Sans" w:cs="Arial"/>
          <w:sz w:val="18"/>
          <w:szCs w:val="18"/>
        </w:rPr>
      </w:pPr>
      <w:r w:rsidRPr="00D06498">
        <w:rPr>
          <w:rFonts w:ascii="Open Sans" w:hAnsi="Open Sans" w:cs="Arial"/>
          <w:sz w:val="18"/>
          <w:szCs w:val="18"/>
        </w:rPr>
        <w:t xml:space="preserve">Bruselas anula ayudas millonarias a Telefónica, Santander e Iberdrola fecha Bruselas 13 OCT 2014 </w:t>
      </w:r>
    </w:p>
    <w:p w14:paraId="76F6C083" w14:textId="77777777" w:rsidR="007F55EB" w:rsidRPr="00D06498" w:rsidRDefault="007F55EB" w:rsidP="00A764EF">
      <w:pPr>
        <w:pStyle w:val="Textonotapie"/>
        <w:rPr>
          <w:rFonts w:ascii="Open Sans" w:hAnsi="Open Sans" w:cs="Arial"/>
          <w:sz w:val="18"/>
          <w:szCs w:val="18"/>
        </w:rPr>
      </w:pPr>
      <w:hyperlink r:id="rId359" w:history="1">
        <w:r w:rsidRPr="00D06498">
          <w:rPr>
            <w:rStyle w:val="Hipervnculo"/>
            <w:rFonts w:ascii="Open Sans" w:hAnsi="Open Sans" w:cs="Arial"/>
            <w:sz w:val="18"/>
            <w:szCs w:val="18"/>
          </w:rPr>
          <w:t>http://economia.elpais.com/economia/2014/10/13/actualidad/1413227302_641453.html</w:t>
        </w:r>
      </w:hyperlink>
      <w:r w:rsidRPr="00D06498">
        <w:rPr>
          <w:rFonts w:ascii="Open Sans" w:hAnsi="Open Sans" w:cs="Arial"/>
          <w:sz w:val="18"/>
          <w:szCs w:val="18"/>
        </w:rPr>
        <w:t xml:space="preserve"> </w:t>
      </w:r>
    </w:p>
  </w:footnote>
  <w:footnote w:id="600">
    <w:p w14:paraId="7344660F"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sz w:val="18"/>
          <w:szCs w:val="18"/>
          <w:lang w:val="es-ES_tradnl"/>
        </w:rPr>
        <w:t>Informe Financiero 2015.  Nota 17. Situación fiscal. Pág 77</w:t>
      </w:r>
    </w:p>
  </w:footnote>
  <w:footnote w:id="601">
    <w:p w14:paraId="220C530C"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color w:val="000000"/>
          <w:sz w:val="18"/>
          <w:szCs w:val="18"/>
        </w:rPr>
        <w:t>informe integrado 2015.  pág: 56</w:t>
      </w:r>
    </w:p>
  </w:footnote>
  <w:footnote w:id="602">
    <w:p w14:paraId="4DDAC81A"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color w:val="000000"/>
          <w:sz w:val="18"/>
          <w:szCs w:val="18"/>
        </w:rPr>
        <w:t>Informe Financiero 2015. Pág. 22</w:t>
      </w:r>
    </w:p>
  </w:footnote>
  <w:footnote w:id="603">
    <w:p w14:paraId="5D3B77FE" w14:textId="77777777" w:rsidR="007F55EB" w:rsidRPr="00D06498" w:rsidRDefault="007F55EB" w:rsidP="00A764EF">
      <w:pPr>
        <w:pStyle w:val="Textonotapie"/>
        <w:rPr>
          <w:rFonts w:ascii="Open Sans" w:hAnsi="Open Sans"/>
          <w:sz w:val="18"/>
          <w:szCs w:val="18"/>
          <w:lang w:val="es-ES_tradnl"/>
        </w:rPr>
      </w:pPr>
      <w:r w:rsidRPr="00D06498">
        <w:rPr>
          <w:rStyle w:val="Refdenotaalpie"/>
          <w:rFonts w:ascii="Open Sans" w:hAnsi="Open Sans"/>
          <w:sz w:val="18"/>
          <w:szCs w:val="18"/>
        </w:rPr>
        <w:footnoteRef/>
      </w:r>
      <w:r w:rsidRPr="00D06498">
        <w:rPr>
          <w:rFonts w:ascii="Open Sans" w:hAnsi="Open Sans"/>
          <w:sz w:val="18"/>
          <w:szCs w:val="18"/>
        </w:rPr>
        <w:t xml:space="preserve"> </w:t>
      </w:r>
      <w:r w:rsidRPr="00D06498">
        <w:rPr>
          <w:rFonts w:ascii="Open Sans" w:hAnsi="Open Sans" w:cs="Arial"/>
          <w:color w:val="000000"/>
          <w:sz w:val="18"/>
          <w:szCs w:val="18"/>
        </w:rPr>
        <w:t>Informe Financiero 2015 pág. 261</w:t>
      </w:r>
    </w:p>
  </w:footnote>
  <w:footnote w:id="604">
    <w:p w14:paraId="68A20FBB" w14:textId="77777777" w:rsidR="007F55EB" w:rsidRPr="00F5664E" w:rsidRDefault="007F55EB" w:rsidP="00256EC8">
      <w:pPr>
        <w:pStyle w:val="Textonotapie"/>
        <w:rPr>
          <w:rFonts w:ascii="Open Sans" w:hAnsi="Open Sans"/>
          <w:bCs/>
          <w:sz w:val="18"/>
          <w:szCs w:val="18"/>
          <w:lang w:val="es-ES_tradnl"/>
        </w:rPr>
      </w:pPr>
      <w:r w:rsidRPr="00F5664E">
        <w:rPr>
          <w:rStyle w:val="Refdenotaalpie"/>
          <w:rFonts w:ascii="Open Sans" w:hAnsi="Open Sans"/>
          <w:sz w:val="18"/>
          <w:szCs w:val="18"/>
        </w:rPr>
        <w:footnoteRef/>
      </w:r>
      <w:r w:rsidRPr="00F5664E">
        <w:rPr>
          <w:rFonts w:ascii="Open Sans" w:hAnsi="Open Sans"/>
          <w:sz w:val="18"/>
          <w:szCs w:val="18"/>
        </w:rPr>
        <w:t xml:space="preserve"> </w:t>
      </w:r>
      <w:hyperlink r:id="rId360" w:history="1">
        <w:r w:rsidRPr="00F5664E">
          <w:rPr>
            <w:rStyle w:val="Hipervnculo"/>
            <w:rFonts w:ascii="Open Sans" w:hAnsi="Open Sans"/>
            <w:bCs/>
            <w:sz w:val="18"/>
            <w:szCs w:val="18"/>
            <w:lang w:val="es-ES_tradnl"/>
          </w:rPr>
          <w:t>Evasión fiscal, 'la cruz' que cargan las constructoras</w:t>
        </w:r>
      </w:hyperlink>
    </w:p>
    <w:p w14:paraId="2C42655B" w14:textId="77777777" w:rsidR="007F55EB" w:rsidRPr="00F5664E" w:rsidRDefault="007F55EB" w:rsidP="00256EC8">
      <w:pPr>
        <w:pStyle w:val="Textonotapie"/>
        <w:rPr>
          <w:rFonts w:ascii="Open Sans" w:hAnsi="Open Sans"/>
          <w:sz w:val="18"/>
          <w:szCs w:val="18"/>
        </w:rPr>
      </w:pPr>
      <w:r w:rsidRPr="00F5664E">
        <w:rPr>
          <w:rFonts w:ascii="Open Sans" w:hAnsi="Open Sans"/>
          <w:sz w:val="18"/>
          <w:szCs w:val="18"/>
        </w:rPr>
        <w:t xml:space="preserve"> </w:t>
      </w:r>
      <w:hyperlink r:id="rId361" w:history="1">
        <w:r w:rsidRPr="00F5664E">
          <w:rPr>
            <w:rStyle w:val="Hipervnculo"/>
            <w:rFonts w:ascii="Open Sans" w:hAnsi="Open Sans"/>
            <w:sz w:val="18"/>
            <w:szCs w:val="18"/>
          </w:rPr>
          <w:t>Estudio de evasión fiscal en el sector de la construcción 2002-2010</w:t>
        </w:r>
      </w:hyperlink>
      <w:r w:rsidRPr="00F5664E">
        <w:rPr>
          <w:rFonts w:ascii="Open Sans" w:hAnsi="Open Sans"/>
          <w:sz w:val="18"/>
          <w:szCs w:val="18"/>
        </w:rPr>
        <w:t xml:space="preserve">. </w:t>
      </w:r>
    </w:p>
  </w:footnote>
  <w:footnote w:id="605">
    <w:p w14:paraId="0A372788" w14:textId="77777777" w:rsidR="007F55EB" w:rsidRPr="00F5664E" w:rsidRDefault="007F55EB" w:rsidP="00256EC8">
      <w:pPr>
        <w:pStyle w:val="Textonotapie"/>
        <w:rPr>
          <w:rFonts w:ascii="Open Sans" w:hAnsi="Open Sans"/>
          <w:bCs/>
          <w:sz w:val="18"/>
          <w:szCs w:val="18"/>
          <w:lang w:val="es-ES_tradnl"/>
        </w:rPr>
      </w:pPr>
      <w:r w:rsidRPr="00F5664E">
        <w:rPr>
          <w:rStyle w:val="Refdenotaalpie"/>
          <w:rFonts w:ascii="Open Sans" w:hAnsi="Open Sans"/>
          <w:sz w:val="18"/>
          <w:szCs w:val="18"/>
        </w:rPr>
        <w:footnoteRef/>
      </w:r>
      <w:r w:rsidRPr="00F5664E">
        <w:rPr>
          <w:rFonts w:ascii="Open Sans" w:hAnsi="Open Sans"/>
          <w:sz w:val="18"/>
          <w:szCs w:val="18"/>
        </w:rPr>
        <w:t xml:space="preserve"> </w:t>
      </w:r>
      <w:hyperlink r:id="rId362" w:history="1">
        <w:r w:rsidRPr="00F5664E">
          <w:rPr>
            <w:rStyle w:val="Hipervnculo"/>
            <w:rFonts w:ascii="Open Sans" w:hAnsi="Open Sans"/>
            <w:bCs/>
            <w:sz w:val="18"/>
            <w:szCs w:val="18"/>
            <w:lang w:val="es-ES_tradnl"/>
          </w:rPr>
          <w:t>Las agencias tributarias de España y Portugal firman un acuerdo para combatir fraude y evasión fiscal</w:t>
        </w:r>
      </w:hyperlink>
    </w:p>
  </w:footnote>
  <w:footnote w:id="606">
    <w:p w14:paraId="00F44D39"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w:t>
      </w:r>
      <w:hyperlink r:id="rId363" w:history="1">
        <w:r w:rsidRPr="00F5664E">
          <w:rPr>
            <w:rStyle w:val="Hipervnculo"/>
            <w:rFonts w:ascii="Open Sans" w:hAnsi="Open Sans"/>
            <w:sz w:val="18"/>
            <w:szCs w:val="18"/>
          </w:rPr>
          <w:t>Índice de percepción de la corrupción 2015. Transparencia Internacional</w:t>
        </w:r>
      </w:hyperlink>
      <w:r w:rsidRPr="00F5664E">
        <w:rPr>
          <w:rFonts w:ascii="Open Sans" w:hAnsi="Open Sans"/>
          <w:sz w:val="18"/>
          <w:szCs w:val="18"/>
        </w:rPr>
        <w:t xml:space="preserve"> </w:t>
      </w:r>
    </w:p>
  </w:footnote>
  <w:footnote w:id="607">
    <w:p w14:paraId="37433BC1"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w:t>
      </w:r>
      <w:hyperlink r:id="rId364" w:history="1">
        <w:r w:rsidRPr="00F5664E">
          <w:rPr>
            <w:rStyle w:val="Hipervnculo"/>
            <w:rFonts w:ascii="Open Sans" w:hAnsi="Open Sans"/>
            <w:sz w:val="18"/>
            <w:szCs w:val="18"/>
          </w:rPr>
          <w:t>Código de Buenas Prácticas Tributarias – Agencia Tributaria</w:t>
        </w:r>
      </w:hyperlink>
    </w:p>
  </w:footnote>
  <w:footnote w:id="608">
    <w:p w14:paraId="29582FDC"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w:t>
      </w:r>
      <w:hyperlink r:id="rId365" w:history="1">
        <w:r w:rsidRPr="00F5664E">
          <w:rPr>
            <w:rStyle w:val="Hipervnculo"/>
            <w:rFonts w:ascii="Open Sans" w:hAnsi="Open Sans"/>
            <w:sz w:val="18"/>
            <w:szCs w:val="18"/>
          </w:rPr>
          <w:t>Reglamento del Consejo de Administración</w:t>
        </w:r>
      </w:hyperlink>
      <w:r w:rsidRPr="00F5664E">
        <w:rPr>
          <w:rFonts w:ascii="Open Sans" w:hAnsi="Open Sans"/>
          <w:sz w:val="18"/>
          <w:szCs w:val="18"/>
        </w:rPr>
        <w:t>. Página 3</w:t>
      </w:r>
    </w:p>
  </w:footnote>
  <w:footnote w:id="609">
    <w:p w14:paraId="3730DA92"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Artículo 4.3 del Reglamento.</w:t>
      </w:r>
    </w:p>
  </w:footnote>
  <w:footnote w:id="610">
    <w:p w14:paraId="683DF019"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Página 184 de las </w:t>
      </w:r>
      <w:hyperlink r:id="rId366" w:history="1">
        <w:r w:rsidRPr="00F5664E">
          <w:rPr>
            <w:rStyle w:val="Hipervnculo"/>
            <w:rFonts w:ascii="Open Sans" w:hAnsi="Open Sans"/>
            <w:sz w:val="18"/>
            <w:szCs w:val="18"/>
          </w:rPr>
          <w:t>Cuentas Anuales Consolidadas 2015</w:t>
        </w:r>
      </w:hyperlink>
      <w:r w:rsidRPr="00F5664E">
        <w:rPr>
          <w:rFonts w:ascii="Open Sans" w:hAnsi="Open Sans"/>
          <w:sz w:val="18"/>
          <w:szCs w:val="18"/>
        </w:rPr>
        <w:t>.</w:t>
      </w:r>
    </w:p>
  </w:footnote>
  <w:footnote w:id="611">
    <w:p w14:paraId="2B30DFDA"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Página 185 de las Cuentas Anuales Consolidadas 2015</w:t>
      </w:r>
    </w:p>
  </w:footnote>
  <w:footnote w:id="612">
    <w:p w14:paraId="0D086FD6"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Página 183 de las </w:t>
      </w:r>
      <w:hyperlink r:id="rId367" w:history="1">
        <w:r w:rsidRPr="00F5664E">
          <w:rPr>
            <w:rStyle w:val="Hipervnculo"/>
            <w:rFonts w:ascii="Open Sans" w:hAnsi="Open Sans"/>
            <w:sz w:val="18"/>
            <w:szCs w:val="18"/>
          </w:rPr>
          <w:t>Cuentas Anuales Consolidadas 2015</w:t>
        </w:r>
      </w:hyperlink>
    </w:p>
  </w:footnote>
  <w:footnote w:id="613">
    <w:p w14:paraId="17B71CB7"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Página 58 de las Cuentas Anuales Consolidadas 2015</w:t>
      </w:r>
    </w:p>
  </w:footnote>
  <w:footnote w:id="614">
    <w:p w14:paraId="66D56641" w14:textId="77777777" w:rsidR="007F55EB" w:rsidRPr="00F5664E" w:rsidRDefault="007F55EB" w:rsidP="00256EC8">
      <w:pPr>
        <w:pStyle w:val="Textonotapie"/>
        <w:rPr>
          <w:rFonts w:ascii="Open Sans" w:hAnsi="Open Sans"/>
          <w:sz w:val="18"/>
          <w:szCs w:val="18"/>
        </w:rPr>
      </w:pPr>
      <w:r w:rsidRPr="00F5664E">
        <w:rPr>
          <w:rStyle w:val="Refdenotaalpie"/>
          <w:rFonts w:ascii="Open Sans" w:hAnsi="Open Sans"/>
          <w:sz w:val="18"/>
          <w:szCs w:val="18"/>
        </w:rPr>
        <w:footnoteRef/>
      </w:r>
      <w:r w:rsidRPr="00F5664E">
        <w:rPr>
          <w:rFonts w:ascii="Open Sans" w:hAnsi="Open Sans"/>
          <w:sz w:val="18"/>
          <w:szCs w:val="18"/>
        </w:rPr>
        <w:t xml:space="preserve"> Página 184 de las </w:t>
      </w:r>
      <w:hyperlink r:id="rId368" w:history="1">
        <w:r w:rsidRPr="00F5664E">
          <w:rPr>
            <w:rStyle w:val="Hipervnculo"/>
            <w:rFonts w:ascii="Open Sans" w:hAnsi="Open Sans"/>
            <w:sz w:val="18"/>
            <w:szCs w:val="18"/>
          </w:rPr>
          <w:t>Cuentas Anuales Consolidadas 2015</w:t>
        </w:r>
      </w:hyperlink>
    </w:p>
  </w:footnote>
  <w:footnote w:id="615">
    <w:p w14:paraId="23C0BA49" w14:textId="77777777" w:rsidR="007F55EB" w:rsidRDefault="007F55EB" w:rsidP="00256EC8">
      <w:pPr>
        <w:pStyle w:val="Textonotapie"/>
      </w:pPr>
      <w:r w:rsidRPr="00F5664E">
        <w:rPr>
          <w:rStyle w:val="Refdenotaalpie"/>
          <w:rFonts w:ascii="Open Sans" w:hAnsi="Open Sans"/>
          <w:sz w:val="18"/>
          <w:szCs w:val="18"/>
        </w:rPr>
        <w:footnoteRef/>
      </w:r>
      <w:r w:rsidRPr="00F5664E">
        <w:rPr>
          <w:rFonts w:ascii="Open Sans" w:hAnsi="Open Sans"/>
          <w:sz w:val="18"/>
          <w:szCs w:val="18"/>
        </w:rPr>
        <w:t xml:space="preserve"> Página 113 de las </w:t>
      </w:r>
      <w:hyperlink r:id="rId369" w:history="1">
        <w:r w:rsidRPr="00F5664E">
          <w:rPr>
            <w:rStyle w:val="Hipervnculo"/>
            <w:rFonts w:ascii="Open Sans" w:hAnsi="Open Sans"/>
            <w:sz w:val="18"/>
            <w:szCs w:val="18"/>
          </w:rPr>
          <w:t>Cuentas Anuales Consolidadas 2015</w:t>
        </w:r>
      </w:hyperlink>
    </w:p>
  </w:footnote>
  <w:footnote w:id="616">
    <w:p w14:paraId="33B740DC" w14:textId="77777777" w:rsidR="007F55EB" w:rsidRDefault="007F55EB" w:rsidP="00256EC8">
      <w:pPr>
        <w:pStyle w:val="Textonotapie"/>
      </w:pPr>
      <w:r>
        <w:rPr>
          <w:rStyle w:val="Refdenotaalpie"/>
        </w:rPr>
        <w:footnoteRef/>
      </w:r>
      <w:r>
        <w:t xml:space="preserve"> </w:t>
      </w:r>
      <w:hyperlink r:id="rId370" w:history="1">
        <w:r w:rsidRPr="0040690F">
          <w:rPr>
            <w:rStyle w:val="Hipervnculo"/>
          </w:rPr>
          <w:t>https://www.oecd.org/ctp/beps-resumenes-informes-finales-2015.pdf</w:t>
        </w:r>
      </w:hyperlink>
    </w:p>
    <w:p w14:paraId="1840168F" w14:textId="77777777" w:rsidR="007F55EB" w:rsidRDefault="007F55EB" w:rsidP="00256EC8">
      <w:pPr>
        <w:pStyle w:val="Textonotapie"/>
      </w:pPr>
    </w:p>
  </w:footnote>
  <w:footnote w:id="617">
    <w:p w14:paraId="008FC9FE" w14:textId="77777777" w:rsidR="007F55EB" w:rsidRPr="00B32FEA" w:rsidRDefault="007F55EB" w:rsidP="003E002C">
      <w:pPr>
        <w:pStyle w:val="Textonotapie"/>
        <w:rPr>
          <w:rFonts w:ascii="Open Sans" w:hAnsi="Open Sans"/>
          <w:sz w:val="18"/>
          <w:szCs w:val="18"/>
        </w:rPr>
      </w:pPr>
      <w:r w:rsidRPr="00B32FEA">
        <w:rPr>
          <w:rStyle w:val="Refdenotaalpie"/>
          <w:rFonts w:ascii="Open Sans" w:hAnsi="Open Sans"/>
          <w:sz w:val="18"/>
          <w:szCs w:val="18"/>
        </w:rPr>
        <w:footnoteRef/>
      </w:r>
      <w:r w:rsidRPr="00B32FEA">
        <w:rPr>
          <w:rFonts w:ascii="Open Sans" w:hAnsi="Open Sans"/>
          <w:sz w:val="18"/>
          <w:szCs w:val="18"/>
        </w:rPr>
        <w:t xml:space="preserve"> </w:t>
      </w:r>
      <w:hyperlink r:id="rId371" w:history="1">
        <w:r w:rsidRPr="00B32FEA">
          <w:rPr>
            <w:rStyle w:val="Hipervnculo"/>
            <w:rFonts w:ascii="Open Sans" w:hAnsi="Open Sans"/>
            <w:sz w:val="18"/>
            <w:szCs w:val="18"/>
          </w:rPr>
          <w:t>http://www.amadeus.com/web/amadeus/en_1A-corporate/Amadeus-Home/Change-Country/1319560218675-Page-AMAD_LocalWebsitesPpal</w:t>
        </w:r>
      </w:hyperlink>
    </w:p>
    <w:p w14:paraId="2744CF32" w14:textId="77777777" w:rsidR="007F55EB" w:rsidRPr="00B32FEA" w:rsidRDefault="007F55EB" w:rsidP="003E002C">
      <w:pPr>
        <w:pStyle w:val="Textonotapie"/>
        <w:rPr>
          <w:rFonts w:ascii="Open Sans" w:hAnsi="Open Sans"/>
          <w:sz w:val="18"/>
          <w:szCs w:val="18"/>
        </w:rPr>
      </w:pPr>
      <w:hyperlink r:id="rId372" w:history="1">
        <w:r w:rsidRPr="00B32FEA">
          <w:rPr>
            <w:rStyle w:val="Hipervnculo"/>
            <w:rFonts w:ascii="Open Sans" w:hAnsi="Open Sans"/>
            <w:sz w:val="18"/>
            <w:szCs w:val="18"/>
          </w:rPr>
          <w:t>http://www.amadeus.com/web/amadeus/es_ES-ES/P%C3%A1gina-inicial-de-Amadeus/Qui%C3%A9nes-somos/Contacto/Oficinas-locales-de-Amadeus/1259071607076-Page-AMAD_LocalOfficesPpal</w:t>
        </w:r>
      </w:hyperlink>
    </w:p>
  </w:footnote>
  <w:footnote w:id="618">
    <w:p w14:paraId="15CD744E" w14:textId="77777777" w:rsidR="007F55EB" w:rsidRPr="00B32FEA" w:rsidRDefault="007F55EB" w:rsidP="003E002C">
      <w:pPr>
        <w:pStyle w:val="Textonotapie"/>
        <w:rPr>
          <w:rFonts w:ascii="Open Sans" w:hAnsi="Open Sans"/>
          <w:sz w:val="18"/>
          <w:szCs w:val="18"/>
        </w:rPr>
      </w:pPr>
      <w:r w:rsidRPr="00B32FEA">
        <w:rPr>
          <w:rStyle w:val="Refdenotaalpie"/>
          <w:rFonts w:ascii="Open Sans" w:hAnsi="Open Sans"/>
          <w:sz w:val="18"/>
          <w:szCs w:val="18"/>
        </w:rPr>
        <w:footnoteRef/>
      </w:r>
      <w:r w:rsidRPr="00B32FEA">
        <w:rPr>
          <w:rFonts w:ascii="Open Sans" w:hAnsi="Open Sans"/>
          <w:sz w:val="18"/>
          <w:szCs w:val="18"/>
        </w:rPr>
        <w:t xml:space="preserve"> </w:t>
      </w:r>
      <w:hyperlink r:id="rId373" w:history="1">
        <w:r w:rsidRPr="00B32FEA">
          <w:rPr>
            <w:rStyle w:val="Hipervnculo"/>
            <w:rFonts w:ascii="Open Sans" w:hAnsi="Open Sans"/>
            <w:sz w:val="18"/>
            <w:szCs w:val="18"/>
          </w:rPr>
          <w:t>http://fly-news.es/aeropuertos/el-sindicato-csif-pide-la-apertura-de-una-comision-de-investigacion-sobre-la-privatizacion-de-aena/</w:t>
        </w:r>
      </w:hyperlink>
    </w:p>
    <w:p w14:paraId="05F389BA" w14:textId="77777777" w:rsidR="007F55EB" w:rsidRPr="00B32FEA" w:rsidRDefault="007F55EB" w:rsidP="003E002C">
      <w:pPr>
        <w:pStyle w:val="Textonotapie"/>
        <w:rPr>
          <w:rFonts w:ascii="Open Sans" w:hAnsi="Open Sans"/>
          <w:sz w:val="18"/>
          <w:szCs w:val="18"/>
        </w:rPr>
      </w:pPr>
      <w:hyperlink r:id="rId374" w:history="1">
        <w:r w:rsidRPr="00B32FEA">
          <w:rPr>
            <w:rStyle w:val="Hipervnculo"/>
            <w:rFonts w:ascii="Open Sans" w:hAnsi="Open Sans"/>
            <w:sz w:val="18"/>
            <w:szCs w:val="18"/>
          </w:rPr>
          <w:t>http://www.publico.es/politica/guindos-salpicado-trama-punica.html</w:t>
        </w:r>
      </w:hyperlink>
    </w:p>
    <w:p w14:paraId="6AF754EF" w14:textId="77777777" w:rsidR="007F55EB" w:rsidRPr="00B32FEA" w:rsidRDefault="007F55EB" w:rsidP="003E002C">
      <w:pPr>
        <w:pStyle w:val="Textonotapie"/>
        <w:rPr>
          <w:rFonts w:ascii="Open Sans" w:hAnsi="Open Sans"/>
          <w:sz w:val="18"/>
          <w:szCs w:val="18"/>
        </w:rPr>
      </w:pPr>
      <w:hyperlink r:id="rId375" w:history="1">
        <w:r w:rsidRPr="00B32FEA">
          <w:rPr>
            <w:rStyle w:val="Hipervnculo"/>
            <w:rFonts w:ascii="Open Sans" w:hAnsi="Open Sans"/>
            <w:sz w:val="18"/>
            <w:szCs w:val="18"/>
          </w:rPr>
          <w:t>http://blogs.elconfidencial.com/mercados/valor-anadido/2013-10-30/algo-huele-a-podrido-en-la-privatizacion-de-aena_47982/</w:t>
        </w:r>
      </w:hyperlink>
    </w:p>
  </w:footnote>
  <w:footnote w:id="619">
    <w:p w14:paraId="2D824B66" w14:textId="77777777" w:rsidR="007F55EB" w:rsidRPr="00B32FEA" w:rsidRDefault="007F55EB" w:rsidP="003E002C">
      <w:pPr>
        <w:pStyle w:val="Textonotapie"/>
        <w:rPr>
          <w:rFonts w:ascii="Open Sans" w:hAnsi="Open Sans"/>
          <w:sz w:val="18"/>
          <w:szCs w:val="18"/>
        </w:rPr>
      </w:pPr>
      <w:r w:rsidRPr="00B32FEA">
        <w:rPr>
          <w:rStyle w:val="Refdenotaalpie"/>
          <w:rFonts w:ascii="Open Sans" w:hAnsi="Open Sans"/>
          <w:sz w:val="18"/>
          <w:szCs w:val="18"/>
        </w:rPr>
        <w:footnoteRef/>
      </w:r>
      <w:r w:rsidRPr="00B32FEA">
        <w:rPr>
          <w:rFonts w:ascii="Open Sans" w:hAnsi="Open Sans"/>
          <w:sz w:val="18"/>
          <w:szCs w:val="18"/>
        </w:rPr>
        <w:t xml:space="preserve"> </w:t>
      </w:r>
      <w:hyperlink r:id="rId376" w:history="1">
        <w:r w:rsidRPr="00B32FEA">
          <w:rPr>
            <w:rStyle w:val="Hipervnculo"/>
            <w:rFonts w:ascii="Open Sans" w:hAnsi="Open Sans"/>
            <w:sz w:val="18"/>
            <w:szCs w:val="18"/>
          </w:rPr>
          <w:t>http://www.sustainability-indices.com/images/DJSI_Review_Presentation_09_2014_final.pdf</w:t>
        </w:r>
      </w:hyperlink>
    </w:p>
    <w:p w14:paraId="7A935FCB" w14:textId="77777777" w:rsidR="007F55EB" w:rsidRPr="00B32FEA" w:rsidRDefault="007F55EB" w:rsidP="003E002C">
      <w:pPr>
        <w:pStyle w:val="Textonotapie"/>
        <w:rPr>
          <w:rFonts w:ascii="Open Sans" w:hAnsi="Open Sans"/>
          <w:sz w:val="18"/>
          <w:szCs w:val="18"/>
        </w:rPr>
      </w:pPr>
      <w:hyperlink r:id="rId377" w:history="1">
        <w:r w:rsidRPr="00B32FEA">
          <w:rPr>
            <w:rStyle w:val="Hipervnculo"/>
            <w:rFonts w:ascii="Open Sans" w:hAnsi="Open Sans"/>
            <w:sz w:val="18"/>
            <w:szCs w:val="18"/>
          </w:rPr>
          <w:t>http://www.ftse.com/products/downloads/F4G-Index-Inclusion-Rules.pdf</w:t>
        </w:r>
      </w:hyperlink>
    </w:p>
  </w:footnote>
  <w:footnote w:id="620">
    <w:p w14:paraId="02CEE37D" w14:textId="77777777" w:rsidR="007F55EB" w:rsidRPr="00B32FEA" w:rsidRDefault="007F55EB" w:rsidP="003E002C">
      <w:pPr>
        <w:pStyle w:val="Textonotapie"/>
        <w:rPr>
          <w:rFonts w:ascii="Open Sans" w:hAnsi="Open Sans"/>
          <w:sz w:val="18"/>
          <w:szCs w:val="18"/>
        </w:rPr>
      </w:pPr>
      <w:r w:rsidRPr="00B32FEA">
        <w:rPr>
          <w:rStyle w:val="Refdenotaalpie"/>
          <w:rFonts w:ascii="Open Sans" w:hAnsi="Open Sans"/>
          <w:sz w:val="18"/>
          <w:szCs w:val="18"/>
        </w:rPr>
        <w:footnoteRef/>
      </w:r>
      <w:r w:rsidRPr="00B32FEA">
        <w:rPr>
          <w:rFonts w:ascii="Open Sans" w:hAnsi="Open Sans"/>
          <w:sz w:val="18"/>
          <w:szCs w:val="18"/>
        </w:rPr>
        <w:t xml:space="preserve"> </w:t>
      </w:r>
      <w:hyperlink r:id="rId378" w:history="1">
        <w:r w:rsidRPr="00B32FEA">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621">
    <w:p w14:paraId="55F9E5BC" w14:textId="77777777" w:rsidR="007F55EB" w:rsidRDefault="007F55EB" w:rsidP="003E002C">
      <w:pPr>
        <w:pStyle w:val="Textonotapie"/>
      </w:pPr>
      <w:r w:rsidRPr="00B32FEA">
        <w:rPr>
          <w:rStyle w:val="Refdenotaalpie"/>
          <w:rFonts w:ascii="Open Sans" w:hAnsi="Open Sans"/>
          <w:sz w:val="18"/>
          <w:szCs w:val="18"/>
        </w:rPr>
        <w:footnoteRef/>
      </w:r>
      <w:r w:rsidRPr="00B32FEA">
        <w:rPr>
          <w:rFonts w:ascii="Open Sans" w:hAnsi="Open Sans"/>
          <w:sz w:val="18"/>
          <w:szCs w:val="18"/>
        </w:rPr>
        <w:t xml:space="preserve"> </w:t>
      </w:r>
      <w:hyperlink r:id="rId379" w:history="1">
        <w:r w:rsidRPr="00B32FEA">
          <w:rPr>
            <w:rStyle w:val="Hipervnculo"/>
            <w:rFonts w:ascii="Open Sans" w:hAnsi="Open Sans"/>
            <w:sz w:val="18"/>
            <w:szCs w:val="18"/>
          </w:rPr>
          <w:t>http://www.eldiario.es/economia/Gobierno-Aena-radicado-Islas-Caiman_0_349965739.html</w:t>
        </w:r>
      </w:hyperlink>
    </w:p>
  </w:footnote>
  <w:footnote w:id="622">
    <w:p w14:paraId="7BB41749" w14:textId="77777777" w:rsidR="007F55EB" w:rsidRPr="00B41282" w:rsidRDefault="007F55EB" w:rsidP="00256EC8">
      <w:pPr>
        <w:pStyle w:val="Textonotapie"/>
        <w:rPr>
          <w:rFonts w:ascii="Open Sans" w:hAnsi="Open Sans"/>
          <w:sz w:val="18"/>
          <w:szCs w:val="18"/>
        </w:rPr>
      </w:pPr>
      <w:r w:rsidRPr="00B41282">
        <w:rPr>
          <w:rStyle w:val="Refdenotaalpie"/>
          <w:rFonts w:ascii="Open Sans" w:hAnsi="Open Sans"/>
          <w:sz w:val="18"/>
          <w:szCs w:val="18"/>
        </w:rPr>
        <w:footnoteRef/>
      </w:r>
      <w:r w:rsidRPr="00B41282">
        <w:rPr>
          <w:rFonts w:ascii="Open Sans" w:hAnsi="Open Sans"/>
          <w:sz w:val="18"/>
          <w:szCs w:val="18"/>
        </w:rPr>
        <w:t xml:space="preserve"> </w:t>
      </w:r>
      <w:hyperlink r:id="rId380" w:history="1">
        <w:r w:rsidRPr="00B41282">
          <w:rPr>
            <w:rStyle w:val="Hipervnculo"/>
            <w:rFonts w:ascii="Open Sans" w:hAnsi="Open Sans"/>
            <w:sz w:val="18"/>
            <w:szCs w:val="18"/>
          </w:rPr>
          <w:t>http://www.amadeus.com/web/amadeus/en_1A-corporate/Amadeus-Home/Change-Country/1319560218675-Page-AMAD_LocalWebsitesPpal</w:t>
        </w:r>
      </w:hyperlink>
    </w:p>
    <w:p w14:paraId="46EE4906" w14:textId="77777777" w:rsidR="007F55EB" w:rsidRPr="00B41282" w:rsidRDefault="007F55EB" w:rsidP="00256EC8">
      <w:pPr>
        <w:pStyle w:val="Textonotapie"/>
        <w:rPr>
          <w:rFonts w:ascii="Open Sans" w:hAnsi="Open Sans"/>
          <w:sz w:val="18"/>
          <w:szCs w:val="18"/>
        </w:rPr>
      </w:pPr>
      <w:hyperlink r:id="rId381" w:history="1">
        <w:r w:rsidRPr="00B41282">
          <w:rPr>
            <w:rStyle w:val="Hipervnculo"/>
            <w:rFonts w:ascii="Open Sans" w:hAnsi="Open Sans"/>
            <w:sz w:val="18"/>
            <w:szCs w:val="18"/>
          </w:rPr>
          <w:t>http://www.amadeus.com/web/amadeus/es_ES-ES/P%C3%A1gina-inicial-de-Amadeus/Qui%C3%A9nes-somos/Contacto/Oficinas-locales-de-Amadeus/1259071607076-Page-AMAD_LocalOfficesPpal</w:t>
        </w:r>
      </w:hyperlink>
    </w:p>
  </w:footnote>
  <w:footnote w:id="623">
    <w:p w14:paraId="3E744E9C" w14:textId="77777777" w:rsidR="007F55EB" w:rsidRPr="00B41282" w:rsidRDefault="007F55EB" w:rsidP="00256EC8">
      <w:pPr>
        <w:pStyle w:val="Textonotapie"/>
        <w:rPr>
          <w:rFonts w:ascii="Open Sans" w:hAnsi="Open Sans"/>
          <w:sz w:val="18"/>
          <w:szCs w:val="18"/>
        </w:rPr>
      </w:pPr>
      <w:r w:rsidRPr="00B41282">
        <w:rPr>
          <w:rStyle w:val="Refdenotaalpie"/>
          <w:rFonts w:ascii="Open Sans" w:hAnsi="Open Sans"/>
          <w:sz w:val="18"/>
          <w:szCs w:val="18"/>
        </w:rPr>
        <w:footnoteRef/>
      </w:r>
      <w:r w:rsidRPr="00B41282">
        <w:rPr>
          <w:rFonts w:ascii="Open Sans" w:hAnsi="Open Sans"/>
          <w:sz w:val="18"/>
          <w:szCs w:val="18"/>
        </w:rPr>
        <w:t xml:space="preserve"> http://www.ief.es/documentos/recursos/publicaciones/fiscalidad_internacional/120_Nocete.pdf</w:t>
      </w:r>
    </w:p>
  </w:footnote>
  <w:footnote w:id="624">
    <w:p w14:paraId="0EF891F0" w14:textId="77777777" w:rsidR="007F55EB" w:rsidRPr="00B41282" w:rsidRDefault="007F55EB" w:rsidP="00256EC8">
      <w:pPr>
        <w:pStyle w:val="Textonotapie"/>
        <w:rPr>
          <w:rFonts w:ascii="Open Sans" w:hAnsi="Open Sans"/>
          <w:sz w:val="18"/>
          <w:szCs w:val="18"/>
        </w:rPr>
      </w:pPr>
      <w:r w:rsidRPr="00B41282">
        <w:rPr>
          <w:rStyle w:val="Refdenotaalpie"/>
          <w:rFonts w:ascii="Open Sans" w:hAnsi="Open Sans"/>
          <w:sz w:val="18"/>
          <w:szCs w:val="18"/>
        </w:rPr>
        <w:footnoteRef/>
      </w:r>
      <w:r w:rsidRPr="00B41282">
        <w:rPr>
          <w:rFonts w:ascii="Open Sans" w:hAnsi="Open Sans"/>
          <w:sz w:val="18"/>
          <w:szCs w:val="18"/>
        </w:rPr>
        <w:t xml:space="preserve"> </w:t>
      </w:r>
      <w:hyperlink r:id="rId382" w:history="1">
        <w:r w:rsidRPr="00B41282">
          <w:rPr>
            <w:rStyle w:val="Hipervnculo"/>
            <w:rFonts w:ascii="Open Sans" w:hAnsi="Open Sans"/>
            <w:sz w:val="18"/>
            <w:szCs w:val="18"/>
          </w:rPr>
          <w:t>http://www.sustainability-indices.com/images/DJSI_Review_Presentation_09_2014_final.pdf</w:t>
        </w:r>
      </w:hyperlink>
    </w:p>
    <w:p w14:paraId="710360CD" w14:textId="77777777" w:rsidR="007F55EB" w:rsidRPr="00B41282" w:rsidRDefault="007F55EB" w:rsidP="00256EC8">
      <w:pPr>
        <w:pStyle w:val="Textonotapie"/>
        <w:rPr>
          <w:rFonts w:ascii="Open Sans" w:hAnsi="Open Sans"/>
          <w:sz w:val="18"/>
          <w:szCs w:val="18"/>
        </w:rPr>
      </w:pPr>
      <w:hyperlink r:id="rId383" w:history="1">
        <w:r w:rsidRPr="00B41282">
          <w:rPr>
            <w:rStyle w:val="Hipervnculo"/>
            <w:rFonts w:ascii="Open Sans" w:hAnsi="Open Sans"/>
            <w:sz w:val="18"/>
            <w:szCs w:val="18"/>
          </w:rPr>
          <w:t>http://www.ftse.com/products/downloads/F4G-Index-Inclusion-Rules.pdf</w:t>
        </w:r>
      </w:hyperlink>
    </w:p>
    <w:p w14:paraId="29A596A7" w14:textId="77777777" w:rsidR="007F55EB" w:rsidRPr="00B41282" w:rsidRDefault="007F55EB" w:rsidP="00256EC8">
      <w:pPr>
        <w:pStyle w:val="Textonotapie"/>
        <w:rPr>
          <w:rFonts w:ascii="Open Sans" w:hAnsi="Open Sans"/>
          <w:sz w:val="18"/>
          <w:szCs w:val="18"/>
        </w:rPr>
      </w:pPr>
    </w:p>
  </w:footnote>
  <w:footnote w:id="625">
    <w:p w14:paraId="50915A03" w14:textId="77777777" w:rsidR="007F55EB" w:rsidRPr="00B41282" w:rsidRDefault="007F55EB" w:rsidP="00256EC8">
      <w:pPr>
        <w:pStyle w:val="Textonotapie"/>
        <w:rPr>
          <w:rFonts w:ascii="Open Sans" w:hAnsi="Open Sans"/>
          <w:sz w:val="18"/>
          <w:szCs w:val="18"/>
        </w:rPr>
      </w:pPr>
      <w:r w:rsidRPr="00B41282">
        <w:rPr>
          <w:rStyle w:val="Refdenotaalpie"/>
          <w:rFonts w:ascii="Open Sans" w:hAnsi="Open Sans"/>
          <w:sz w:val="18"/>
          <w:szCs w:val="18"/>
        </w:rPr>
        <w:footnoteRef/>
      </w:r>
      <w:r w:rsidRPr="00B41282">
        <w:rPr>
          <w:rFonts w:ascii="Open Sans" w:hAnsi="Open Sans"/>
          <w:sz w:val="18"/>
          <w:szCs w:val="18"/>
        </w:rPr>
        <w:t xml:space="preserve"> </w:t>
      </w:r>
      <w:hyperlink r:id="rId384" w:history="1">
        <w:r w:rsidRPr="00B41282">
          <w:rPr>
            <w:rStyle w:val="Hipervnculo"/>
            <w:rFonts w:ascii="Open Sans" w:hAnsi="Open Sans"/>
            <w:sz w:val="18"/>
            <w:szCs w:val="18"/>
          </w:rPr>
          <w:t>http://www.agenciatributaria.es/static_files/AEAT/Contenidos_Comunes/Ficheros/Informacion_Institucional/Campanias/Plan_de_prevencion_del_fraude/ppff.pdf</w:t>
        </w:r>
      </w:hyperlink>
    </w:p>
  </w:footnote>
  <w:footnote w:id="626">
    <w:p w14:paraId="7336FAA8" w14:textId="77777777" w:rsidR="007F55EB" w:rsidRDefault="007F55EB" w:rsidP="00256EC8">
      <w:pPr>
        <w:pStyle w:val="Textonotapie"/>
      </w:pPr>
      <w:r w:rsidRPr="00B41282">
        <w:rPr>
          <w:rStyle w:val="Refdenotaalpie"/>
          <w:rFonts w:ascii="Open Sans" w:hAnsi="Open Sans"/>
          <w:sz w:val="18"/>
          <w:szCs w:val="18"/>
        </w:rPr>
        <w:footnoteRef/>
      </w:r>
      <w:r w:rsidRPr="00B41282">
        <w:rPr>
          <w:rFonts w:ascii="Open Sans" w:hAnsi="Open Sans"/>
          <w:sz w:val="18"/>
          <w:szCs w:val="18"/>
        </w:rPr>
        <w:t xml:space="preserve"> </w:t>
      </w:r>
      <w:hyperlink r:id="rId385" w:history="1">
        <w:r w:rsidRPr="00B41282">
          <w:rPr>
            <w:rStyle w:val="Hipervnculo"/>
            <w:rFonts w:ascii="Open Sans" w:hAnsi="Open Sans"/>
            <w:sz w:val="18"/>
            <w:szCs w:val="18"/>
          </w:rPr>
          <w:t>http://www.elconfidencial.com/empresas/2014-12-10/amadeus-los-fondos-no-tributaron-por-el-pelotazo-de-1-600-millones-en-la-opv_552950/</w:t>
        </w:r>
      </w:hyperlink>
    </w:p>
  </w:footnote>
  <w:footnote w:id="627">
    <w:p w14:paraId="40D22263" w14:textId="77777777" w:rsidR="007F55EB" w:rsidRPr="003E002C" w:rsidRDefault="007F55EB" w:rsidP="003E00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Open Sans" w:eastAsia="Calibri" w:hAnsi="Open Sans" w:cs="Helvetica"/>
          <w:color w:val="141413"/>
          <w:sz w:val="18"/>
          <w:szCs w:val="18"/>
        </w:rPr>
      </w:pPr>
      <w:r w:rsidRPr="003E002C">
        <w:rPr>
          <w:rStyle w:val="Refdenotaalpie"/>
          <w:rFonts w:ascii="Open Sans" w:hAnsi="Open Sans"/>
          <w:sz w:val="18"/>
          <w:szCs w:val="18"/>
        </w:rPr>
        <w:footnoteRef/>
      </w:r>
      <w:r w:rsidRPr="003E002C">
        <w:rPr>
          <w:rFonts w:ascii="Open Sans" w:hAnsi="Open Sans"/>
          <w:sz w:val="18"/>
          <w:szCs w:val="18"/>
        </w:rPr>
        <w:t xml:space="preserve"> </w:t>
      </w:r>
      <w:r w:rsidRPr="003E002C">
        <w:rPr>
          <w:rFonts w:ascii="Open Sans" w:eastAsia="Calibri" w:hAnsi="Open Sans" w:cs="Helvetica"/>
          <w:color w:val="141413"/>
          <w:sz w:val="18"/>
          <w:szCs w:val="18"/>
        </w:rPr>
        <w:t>Ley 31/2014, de 3 de diciembre, por la que se reforma la Ley de Sociedades de Capital para la mejora del gobierno corporativo y publicación del nuevo Código de Buen Gobierno de Sociedades Cotizadas, aprobado por acuerdo del Consejo de la Comisión Nacional del Mercado de Valores de 18 de febrero de 2015.</w:t>
      </w:r>
    </w:p>
  </w:footnote>
  <w:footnote w:id="628">
    <w:p w14:paraId="62E423F2" w14:textId="77777777" w:rsidR="007F55EB" w:rsidRPr="00BD2107" w:rsidRDefault="007F55EB" w:rsidP="00256EC8">
      <w:pPr>
        <w:pStyle w:val="Textonotapie"/>
        <w:rPr>
          <w:rFonts w:ascii="Open Sans" w:hAnsi="Open Sans" w:cs="Open Sans"/>
          <w:sz w:val="18"/>
          <w:szCs w:val="18"/>
        </w:rPr>
      </w:pPr>
      <w:r w:rsidRPr="00BD2107">
        <w:rPr>
          <w:rStyle w:val="Refdenotaalpie"/>
          <w:rFonts w:ascii="Open Sans" w:hAnsi="Open Sans" w:cs="Open Sans"/>
          <w:sz w:val="18"/>
          <w:szCs w:val="18"/>
        </w:rPr>
        <w:footnoteRef/>
      </w:r>
      <w:hyperlink r:id="rId386" w:history="1">
        <w:r w:rsidRPr="00CB03D6">
          <w:rPr>
            <w:rStyle w:val="Hipervnculo"/>
            <w:rFonts w:ascii="Open Sans" w:hAnsi="Open Sans" w:cs="Open Sans"/>
            <w:sz w:val="18"/>
            <w:szCs w:val="18"/>
          </w:rPr>
          <w:t>Paraísos fiscales: una línea de contradicción entre la formalidad y la materialidad</w:t>
        </w:r>
      </w:hyperlink>
      <w:r w:rsidRPr="00BD2107">
        <w:rPr>
          <w:rFonts w:ascii="Open Sans" w:hAnsi="Open Sans" w:cs="Open Sans"/>
          <w:sz w:val="18"/>
          <w:szCs w:val="18"/>
        </w:rPr>
        <w:t xml:space="preserve">.  </w:t>
      </w:r>
      <w:r>
        <w:rPr>
          <w:rFonts w:ascii="Open Sans" w:hAnsi="Open Sans" w:cs="Open Sans"/>
          <w:sz w:val="18"/>
          <w:szCs w:val="18"/>
        </w:rPr>
        <w:t>Instituto de estudios fiscales.</w:t>
      </w:r>
    </w:p>
  </w:footnote>
  <w:footnote w:id="629">
    <w:p w14:paraId="6543F006" w14:textId="77777777" w:rsidR="007F55EB" w:rsidRPr="009F4F6F" w:rsidRDefault="007F55EB" w:rsidP="00256EC8">
      <w:pPr>
        <w:pStyle w:val="Textonotapie"/>
        <w:rPr>
          <w:rFonts w:ascii="Open Sans" w:hAnsi="Open Sans" w:cs="Open Sans"/>
          <w:sz w:val="18"/>
          <w:szCs w:val="18"/>
        </w:rPr>
      </w:pPr>
      <w:r w:rsidRPr="009F4F6F">
        <w:rPr>
          <w:rStyle w:val="Refdenotaalpie"/>
          <w:rFonts w:ascii="Open Sans" w:hAnsi="Open Sans" w:cs="Open Sans"/>
          <w:sz w:val="18"/>
          <w:szCs w:val="18"/>
        </w:rPr>
        <w:footnoteRef/>
      </w:r>
      <w:r w:rsidRPr="009F4F6F">
        <w:rPr>
          <w:rFonts w:ascii="Open Sans" w:hAnsi="Open Sans" w:cs="Open Sans"/>
          <w:sz w:val="18"/>
          <w:szCs w:val="18"/>
        </w:rPr>
        <w:t xml:space="preserve"> </w:t>
      </w:r>
      <w:hyperlink r:id="rId387" w:history="1">
        <w:r w:rsidRPr="009F4F6F">
          <w:rPr>
            <w:rStyle w:val="Hipervnculo"/>
            <w:rFonts w:ascii="Open Sans" w:hAnsi="Open Sans" w:cs="Open Sans"/>
            <w:sz w:val="18"/>
            <w:szCs w:val="18"/>
          </w:rPr>
          <w:t>IAG escruta el gasto en impuestos ante su salto al 'paraíso' de Irlanda</w:t>
        </w:r>
      </w:hyperlink>
    </w:p>
  </w:footnote>
  <w:footnote w:id="630">
    <w:p w14:paraId="7A5C12B5" w14:textId="77777777" w:rsidR="007F55EB" w:rsidRPr="00D4709C" w:rsidRDefault="007F55EB" w:rsidP="00256EC8">
      <w:pPr>
        <w:pStyle w:val="Textonotapie"/>
        <w:rPr>
          <w:rFonts w:ascii="Open Sans" w:hAnsi="Open Sans" w:cs="Open Sans"/>
          <w:sz w:val="18"/>
          <w:szCs w:val="18"/>
        </w:rPr>
      </w:pPr>
      <w:r w:rsidRPr="00D4709C">
        <w:rPr>
          <w:rStyle w:val="Refdenotaalpie"/>
          <w:rFonts w:ascii="Open Sans" w:hAnsi="Open Sans" w:cs="Open Sans"/>
          <w:sz w:val="18"/>
          <w:szCs w:val="18"/>
        </w:rPr>
        <w:footnoteRef/>
      </w:r>
      <w:r w:rsidRPr="00D4709C">
        <w:rPr>
          <w:rFonts w:ascii="Open Sans" w:hAnsi="Open Sans" w:cs="Open Sans"/>
          <w:sz w:val="18"/>
          <w:szCs w:val="18"/>
        </w:rPr>
        <w:t xml:space="preserve"> </w:t>
      </w:r>
      <w:hyperlink r:id="rId388" w:history="1">
        <w:r w:rsidRPr="00D4709C">
          <w:rPr>
            <w:rStyle w:val="Hipervnculo"/>
            <w:rFonts w:ascii="Open Sans" w:hAnsi="Open Sans" w:cs="Open Sans"/>
            <w:sz w:val="18"/>
            <w:szCs w:val="18"/>
          </w:rPr>
          <w:t>La fiscalidad internacional del comercio electrónico</w:t>
        </w:r>
      </w:hyperlink>
      <w:r>
        <w:rPr>
          <w:rFonts w:ascii="Open Sans" w:hAnsi="Open Sans" w:cs="Open Sans"/>
          <w:sz w:val="18"/>
          <w:szCs w:val="18"/>
        </w:rPr>
        <w:t>. Instituto de estudios fiscales.</w:t>
      </w:r>
    </w:p>
  </w:footnote>
  <w:footnote w:id="631">
    <w:p w14:paraId="3946A59C" w14:textId="77777777" w:rsidR="007F55EB" w:rsidRPr="00A32091" w:rsidRDefault="007F55EB" w:rsidP="00256EC8">
      <w:pPr>
        <w:pStyle w:val="Textonotapie"/>
        <w:rPr>
          <w:rFonts w:ascii="Open Sans" w:hAnsi="Open Sans"/>
          <w:sz w:val="18"/>
          <w:szCs w:val="18"/>
          <w:lang w:val="es-ES_tradnl"/>
        </w:rPr>
      </w:pPr>
      <w:r w:rsidRPr="00A32091">
        <w:rPr>
          <w:rStyle w:val="Refdenotaalpie"/>
          <w:rFonts w:ascii="Open Sans" w:hAnsi="Open Sans"/>
          <w:sz w:val="18"/>
          <w:szCs w:val="18"/>
        </w:rPr>
        <w:footnoteRef/>
      </w:r>
      <w:r w:rsidRPr="00A32091">
        <w:rPr>
          <w:rFonts w:ascii="Open Sans" w:hAnsi="Open Sans"/>
          <w:sz w:val="18"/>
          <w:szCs w:val="18"/>
        </w:rPr>
        <w:t xml:space="preserve"> </w:t>
      </w:r>
      <w:r w:rsidRPr="00A32091">
        <w:rPr>
          <w:rFonts w:ascii="Open Sans" w:hAnsi="Open Sans"/>
          <w:sz w:val="18"/>
          <w:szCs w:val="18"/>
          <w:lang w:val="es-ES_tradnl"/>
        </w:rPr>
        <w:t>Informe y cuentas anuales 2015, pág. 33</w:t>
      </w:r>
    </w:p>
  </w:footnote>
  <w:footnote w:id="632">
    <w:p w14:paraId="664C3540" w14:textId="77777777" w:rsidR="007F55EB" w:rsidRPr="00865A99" w:rsidRDefault="007F55EB" w:rsidP="00256EC8">
      <w:pPr>
        <w:pStyle w:val="Textonotapie"/>
        <w:jc w:val="both"/>
        <w:rPr>
          <w:rFonts w:ascii="Open Sans" w:hAnsi="Open Sans"/>
          <w:b/>
          <w:sz w:val="18"/>
          <w:szCs w:val="18"/>
          <w:lang w:val="es-ES_tradnl"/>
        </w:rPr>
      </w:pPr>
      <w:r w:rsidRPr="00865A99">
        <w:rPr>
          <w:rStyle w:val="Refdenotaalpie"/>
          <w:rFonts w:ascii="Open Sans" w:hAnsi="Open Sans" w:cs="Open Sans"/>
          <w:sz w:val="18"/>
          <w:szCs w:val="18"/>
        </w:rPr>
        <w:footnoteRef/>
      </w:r>
      <w:r w:rsidRPr="00865A99">
        <w:rPr>
          <w:rFonts w:ascii="Open Sans" w:hAnsi="Open Sans"/>
          <w:sz w:val="18"/>
          <w:szCs w:val="18"/>
        </w:rPr>
        <w:t xml:space="preserve"> </w:t>
      </w:r>
      <w:hyperlink r:id="rId389" w:history="1">
        <w:r w:rsidRPr="00865A99">
          <w:rPr>
            <w:rStyle w:val="Hipervnculo"/>
            <w:rFonts w:ascii="Open Sans" w:hAnsi="Open Sans"/>
            <w:sz w:val="18"/>
            <w:szCs w:val="18"/>
            <w:lang w:val="es-ES_tradnl"/>
          </w:rPr>
          <w:t>Informe de la Dirección General de Tributos, de 23 de diciembre de 2014, sobre la vigencia de la lista actual de paraísos fiscales respecto a la entrada en vigor de la disposición final segunda de la Ley 26/2014</w:t>
        </w:r>
      </w:hyperlink>
    </w:p>
  </w:footnote>
  <w:footnote w:id="633">
    <w:p w14:paraId="14A3C174" w14:textId="77777777" w:rsidR="007F55EB" w:rsidRPr="00ED32E7" w:rsidRDefault="007F55EB" w:rsidP="00256EC8">
      <w:pPr>
        <w:pStyle w:val="Textonotapie"/>
        <w:jc w:val="both"/>
        <w:rPr>
          <w:lang w:val="en-GB"/>
        </w:rPr>
      </w:pPr>
      <w:r w:rsidRPr="00865A99">
        <w:rPr>
          <w:rStyle w:val="Refdenotaalpie"/>
          <w:rFonts w:ascii="Open Sans" w:hAnsi="Open Sans" w:cs="Open Sans"/>
          <w:sz w:val="18"/>
          <w:szCs w:val="18"/>
        </w:rPr>
        <w:footnoteRef/>
      </w:r>
      <w:r w:rsidRPr="00865A99">
        <w:rPr>
          <w:rFonts w:ascii="Open Sans" w:hAnsi="Open Sans"/>
          <w:sz w:val="18"/>
          <w:szCs w:val="18"/>
          <w:lang w:val="en-GB"/>
        </w:rPr>
        <w:t xml:space="preserve"> Tax Justice Network. </w:t>
      </w:r>
      <w:proofErr w:type="gramStart"/>
      <w:r w:rsidRPr="00865A99">
        <w:rPr>
          <w:rFonts w:ascii="Open Sans" w:hAnsi="Open Sans"/>
          <w:sz w:val="18"/>
          <w:szCs w:val="18"/>
          <w:lang w:val="en-GB"/>
        </w:rPr>
        <w:t>Financial Secrecy Index - 2015 Results.</w:t>
      </w:r>
      <w:proofErr w:type="gramEnd"/>
      <w:r w:rsidRPr="00ED32E7">
        <w:rPr>
          <w:lang w:val="en-GB"/>
        </w:rPr>
        <w:t xml:space="preserve"> </w:t>
      </w:r>
    </w:p>
  </w:footnote>
  <w:footnote w:id="634">
    <w:p w14:paraId="69413383" w14:textId="77777777" w:rsidR="007F55EB" w:rsidRPr="00764CB1" w:rsidRDefault="007F55EB" w:rsidP="00256EC8">
      <w:pPr>
        <w:pStyle w:val="Textonotapie"/>
        <w:rPr>
          <w:rFonts w:ascii="Open Sans" w:hAnsi="Open Sans"/>
          <w:sz w:val="18"/>
          <w:szCs w:val="18"/>
          <w:lang w:val="es-ES_tradnl"/>
        </w:rPr>
      </w:pPr>
      <w:r w:rsidRPr="00764CB1">
        <w:rPr>
          <w:rStyle w:val="Refdenotaalpie"/>
          <w:rFonts w:ascii="Open Sans" w:hAnsi="Open Sans"/>
          <w:sz w:val="18"/>
          <w:szCs w:val="18"/>
        </w:rPr>
        <w:footnoteRef/>
      </w:r>
      <w:r w:rsidRPr="00764CB1">
        <w:rPr>
          <w:rFonts w:ascii="Open Sans" w:hAnsi="Open Sans"/>
          <w:sz w:val="18"/>
          <w:szCs w:val="18"/>
        </w:rPr>
        <w:t xml:space="preserve"> </w:t>
      </w:r>
      <w:r w:rsidRPr="00764CB1">
        <w:rPr>
          <w:rFonts w:ascii="Open Sans" w:eastAsia="Calibri" w:hAnsi="Open Sans" w:cs="Helvetica"/>
          <w:color w:val="000000"/>
          <w:sz w:val="18"/>
          <w:szCs w:val="18"/>
        </w:rPr>
        <w:t>Informe y cuentas anuales 2015, pág. 16</w:t>
      </w:r>
    </w:p>
  </w:footnote>
  <w:footnote w:id="635">
    <w:p w14:paraId="05622786" w14:textId="77777777" w:rsidR="007F55EB" w:rsidRPr="00591BAB" w:rsidRDefault="007F55EB" w:rsidP="00256EC8">
      <w:pPr>
        <w:pStyle w:val="Textonotapie"/>
        <w:rPr>
          <w:rFonts w:ascii="Open Sans" w:hAnsi="Open Sans"/>
          <w:sz w:val="18"/>
          <w:szCs w:val="18"/>
          <w:lang w:val="es-ES_tradnl"/>
        </w:rPr>
      </w:pPr>
      <w:r w:rsidRPr="00591BAB">
        <w:rPr>
          <w:rStyle w:val="Refdenotaalpie"/>
          <w:rFonts w:ascii="Open Sans" w:hAnsi="Open Sans"/>
          <w:sz w:val="18"/>
          <w:szCs w:val="18"/>
        </w:rPr>
        <w:footnoteRef/>
      </w:r>
      <w:r w:rsidRPr="00591BAB">
        <w:rPr>
          <w:rFonts w:ascii="Open Sans" w:hAnsi="Open Sans"/>
          <w:sz w:val="18"/>
          <w:szCs w:val="18"/>
        </w:rPr>
        <w:t xml:space="preserve"> https://opencorporates.com/</w:t>
      </w:r>
    </w:p>
  </w:footnote>
  <w:footnote w:id="636">
    <w:p w14:paraId="2192E79E" w14:textId="77777777" w:rsidR="007F55EB" w:rsidRPr="00517E08" w:rsidRDefault="007F55EB" w:rsidP="00256EC8">
      <w:pPr>
        <w:pStyle w:val="Textonotapie"/>
        <w:rPr>
          <w:rFonts w:ascii="Open Sans" w:hAnsi="Open Sans"/>
          <w:sz w:val="18"/>
          <w:szCs w:val="18"/>
          <w:lang w:val="es-ES_tradnl"/>
        </w:rPr>
      </w:pPr>
      <w:r w:rsidRPr="00517E08">
        <w:rPr>
          <w:rStyle w:val="Refdenotaalpie"/>
          <w:rFonts w:ascii="Open Sans" w:hAnsi="Open Sans"/>
          <w:sz w:val="18"/>
          <w:szCs w:val="18"/>
        </w:rPr>
        <w:footnoteRef/>
      </w:r>
      <w:r w:rsidRPr="00517E08">
        <w:rPr>
          <w:rFonts w:ascii="Open Sans" w:hAnsi="Open Sans"/>
          <w:sz w:val="18"/>
          <w:szCs w:val="18"/>
        </w:rPr>
        <w:t xml:space="preserve"> </w:t>
      </w:r>
      <w:r w:rsidRPr="00517E08">
        <w:rPr>
          <w:rFonts w:ascii="Open Sans" w:hAnsi="Open Sans"/>
          <w:sz w:val="18"/>
          <w:szCs w:val="18"/>
          <w:lang w:val="es-ES_tradnl"/>
        </w:rPr>
        <w:t>Informe y cuentas anuales, págs. 47 y siguientes.</w:t>
      </w:r>
    </w:p>
  </w:footnote>
  <w:footnote w:id="637">
    <w:p w14:paraId="1BCC6B1F" w14:textId="77777777" w:rsidR="007F55EB" w:rsidRPr="00925C93" w:rsidRDefault="007F55EB" w:rsidP="00256EC8">
      <w:pPr>
        <w:pStyle w:val="Textonotapie"/>
        <w:rPr>
          <w:rFonts w:ascii="Open Sans" w:hAnsi="Open Sans"/>
          <w:sz w:val="18"/>
          <w:szCs w:val="18"/>
          <w:lang w:val="es-ES_tradnl"/>
        </w:rPr>
      </w:pPr>
      <w:r w:rsidRPr="00925C93">
        <w:rPr>
          <w:rStyle w:val="Refdenotaalpie"/>
          <w:rFonts w:ascii="Open Sans" w:hAnsi="Open Sans"/>
          <w:sz w:val="18"/>
          <w:szCs w:val="18"/>
        </w:rPr>
        <w:footnoteRef/>
      </w:r>
      <w:r w:rsidRPr="00925C93">
        <w:rPr>
          <w:rFonts w:ascii="Open Sans" w:hAnsi="Open Sans"/>
          <w:sz w:val="18"/>
          <w:szCs w:val="18"/>
        </w:rPr>
        <w:t xml:space="preserve"> Informe y cuentas anuales 2015, pág. 44</w:t>
      </w:r>
    </w:p>
  </w:footnote>
  <w:footnote w:id="638">
    <w:p w14:paraId="0C364C1F" w14:textId="77777777" w:rsidR="007F55EB" w:rsidRPr="00E06CFF" w:rsidRDefault="007F55EB" w:rsidP="00256EC8">
      <w:pPr>
        <w:pStyle w:val="Textonotapie"/>
        <w:rPr>
          <w:rFonts w:ascii="Open Sans" w:hAnsi="Open Sans"/>
          <w:bCs/>
          <w:sz w:val="18"/>
          <w:szCs w:val="18"/>
          <w:lang w:val="es-ES_tradnl"/>
        </w:rPr>
      </w:pPr>
      <w:r w:rsidRPr="00E06CFF">
        <w:rPr>
          <w:rStyle w:val="Refdenotaalpie"/>
          <w:rFonts w:ascii="Open Sans" w:hAnsi="Open Sans"/>
          <w:sz w:val="18"/>
          <w:szCs w:val="18"/>
        </w:rPr>
        <w:footnoteRef/>
      </w:r>
      <w:r w:rsidRPr="00E06CFF">
        <w:rPr>
          <w:rFonts w:ascii="Open Sans" w:hAnsi="Open Sans"/>
          <w:sz w:val="18"/>
          <w:szCs w:val="18"/>
        </w:rPr>
        <w:t xml:space="preserve"> </w:t>
      </w:r>
      <w:hyperlink r:id="rId390" w:history="1">
        <w:r w:rsidRPr="00E06CFF">
          <w:rPr>
            <w:rStyle w:val="Hipervnculo"/>
            <w:rFonts w:ascii="Open Sans" w:hAnsi="Open Sans"/>
            <w:bCs/>
            <w:sz w:val="18"/>
            <w:szCs w:val="18"/>
            <w:lang w:val="es-ES_tradnl"/>
          </w:rPr>
          <w:t>IAG escruta el gasto en impuestos ante su salto al 'paraíso' de Irlanda</w:t>
        </w:r>
      </w:hyperlink>
    </w:p>
  </w:footnote>
  <w:footnote w:id="639">
    <w:p w14:paraId="1A12FC28" w14:textId="77777777" w:rsidR="007F55EB" w:rsidRPr="00480195" w:rsidRDefault="007F55EB" w:rsidP="00256EC8">
      <w:pPr>
        <w:pStyle w:val="Textonotapie"/>
        <w:rPr>
          <w:rFonts w:ascii="Open Sans" w:eastAsia="Calibri" w:hAnsi="Open Sans" w:cs="Helvetica"/>
          <w:bCs/>
          <w:color w:val="000000"/>
          <w:sz w:val="18"/>
          <w:szCs w:val="18"/>
          <w:lang w:val="es-ES_tradnl"/>
        </w:rPr>
      </w:pPr>
      <w:r w:rsidRPr="00480195">
        <w:rPr>
          <w:rStyle w:val="Refdenotaalpie"/>
          <w:rFonts w:ascii="Open Sans" w:hAnsi="Open Sans"/>
          <w:sz w:val="18"/>
          <w:szCs w:val="18"/>
        </w:rPr>
        <w:footnoteRef/>
      </w:r>
      <w:r w:rsidRPr="00480195">
        <w:rPr>
          <w:rFonts w:ascii="Open Sans" w:hAnsi="Open Sans"/>
          <w:sz w:val="18"/>
          <w:szCs w:val="18"/>
        </w:rPr>
        <w:t xml:space="preserve"> </w:t>
      </w:r>
      <w:r w:rsidRPr="00480195">
        <w:rPr>
          <w:rFonts w:ascii="Open Sans" w:eastAsia="Calibri" w:hAnsi="Open Sans" w:cs="Helvetica"/>
          <w:color w:val="000000"/>
          <w:sz w:val="18"/>
          <w:szCs w:val="18"/>
        </w:rPr>
        <w:t xml:space="preserve">La Comisión Europea en 2010 multó a British Airways y a otros diez grupos de aerolíneas por pactar precios en el transporte aéreo de mercancías. Esta decisión fue tumbada tras apelar algunas aerolíneas al Tribunal General de la Unión Europea. Aún está pendiente la resolución del proceso. </w:t>
      </w:r>
      <w:hyperlink r:id="rId391" w:history="1">
        <w:r w:rsidRPr="00480195">
          <w:rPr>
            <w:rStyle w:val="Hipervnculo"/>
            <w:rFonts w:ascii="Open Sans" w:eastAsia="Calibri" w:hAnsi="Open Sans" w:cs="Helvetica"/>
            <w:bCs/>
            <w:sz w:val="18"/>
            <w:szCs w:val="18"/>
            <w:lang w:val="es-ES_tradnl"/>
          </w:rPr>
          <w:t>Bruselas multa con 800 millones a 11 aerolíneas por pactar los precios de los servicios de carga</w:t>
        </w:r>
      </w:hyperlink>
    </w:p>
  </w:footnote>
  <w:footnote w:id="640">
    <w:p w14:paraId="65605B87" w14:textId="77777777" w:rsidR="007F55EB" w:rsidRPr="00480195" w:rsidRDefault="007F55EB" w:rsidP="00256EC8">
      <w:pPr>
        <w:pStyle w:val="Textonotapie"/>
        <w:rPr>
          <w:rFonts w:ascii="Open Sans" w:hAnsi="Open Sans"/>
          <w:sz w:val="18"/>
          <w:szCs w:val="18"/>
          <w:lang w:val="es-ES_tradnl"/>
        </w:rPr>
      </w:pPr>
      <w:r w:rsidRPr="00480195">
        <w:rPr>
          <w:rStyle w:val="Refdenotaalpie"/>
          <w:rFonts w:ascii="Open Sans" w:hAnsi="Open Sans"/>
          <w:sz w:val="18"/>
          <w:szCs w:val="18"/>
        </w:rPr>
        <w:footnoteRef/>
      </w:r>
      <w:r w:rsidRPr="00480195">
        <w:rPr>
          <w:rFonts w:ascii="Open Sans" w:hAnsi="Open Sans"/>
          <w:sz w:val="18"/>
          <w:szCs w:val="18"/>
        </w:rPr>
        <w:t xml:space="preserve"> </w:t>
      </w:r>
      <w:r w:rsidRPr="00480195">
        <w:rPr>
          <w:rFonts w:ascii="Open Sans" w:hAnsi="Open Sans"/>
          <w:sz w:val="18"/>
          <w:szCs w:val="18"/>
          <w:lang w:val="es-ES_tradnl"/>
        </w:rPr>
        <w:t>Informe anual y cuentas anuales 2015, pág. 37</w:t>
      </w:r>
    </w:p>
  </w:footnote>
  <w:footnote w:id="641">
    <w:p w14:paraId="3CA43172" w14:textId="77777777" w:rsidR="007F55EB" w:rsidRPr="007E1C03" w:rsidRDefault="007F55EB" w:rsidP="00256EC8">
      <w:pPr>
        <w:pStyle w:val="Textonotapie"/>
        <w:rPr>
          <w:rFonts w:ascii="Open Sans" w:hAnsi="Open Sans"/>
          <w:sz w:val="18"/>
          <w:szCs w:val="18"/>
          <w:lang w:val="es-ES_tradnl"/>
        </w:rPr>
      </w:pPr>
      <w:r w:rsidRPr="007E1C03">
        <w:rPr>
          <w:rStyle w:val="Refdenotaalpie"/>
          <w:rFonts w:ascii="Open Sans" w:hAnsi="Open Sans"/>
          <w:sz w:val="18"/>
          <w:szCs w:val="18"/>
        </w:rPr>
        <w:footnoteRef/>
      </w:r>
      <w:r w:rsidRPr="007E1C03">
        <w:rPr>
          <w:rFonts w:ascii="Open Sans" w:hAnsi="Open Sans"/>
          <w:sz w:val="18"/>
          <w:szCs w:val="18"/>
        </w:rPr>
        <w:t xml:space="preserve"> </w:t>
      </w:r>
      <w:r w:rsidRPr="007E1C03">
        <w:rPr>
          <w:rFonts w:ascii="Open Sans" w:hAnsi="Open Sans"/>
          <w:sz w:val="18"/>
          <w:szCs w:val="18"/>
          <w:lang w:val="es-ES_tradnl"/>
        </w:rPr>
        <w:t>Informe y cuentas anuales 2015, págs. 160 y 161.</w:t>
      </w:r>
    </w:p>
  </w:footnote>
  <w:footnote w:id="642">
    <w:p w14:paraId="0209AF5F" w14:textId="77777777" w:rsidR="007F55EB" w:rsidRPr="00ED32E7" w:rsidRDefault="007F55EB" w:rsidP="00256EC8">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Estrategia renovada de la UE para 2011-2014 sobre la responsabilidad social de las empresas  (COM  (2011)  681  final)  señala que  las  empresas  deberían  trabajar  por implementar  una  buena gobernanza  fiscal  y  a  difundir  la  información  relativa  a  la </w:t>
      </w:r>
      <w:r w:rsidRPr="00ED32E7">
        <w:rPr>
          <w:rFonts w:ascii="Open Sans" w:hAnsi="Open Sans"/>
          <w:sz w:val="18"/>
          <w:szCs w:val="18"/>
        </w:rPr>
        <w:t xml:space="preserve">implementación de las normas sobre buena gobernanza fiscal.  </w:t>
      </w:r>
    </w:p>
  </w:footnote>
  <w:footnote w:id="643">
    <w:p w14:paraId="48997187" w14:textId="77777777" w:rsidR="007F55EB" w:rsidRPr="00ED32E7" w:rsidRDefault="007F55EB" w:rsidP="00256EC8">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OCDE, </w:t>
      </w:r>
      <w:r w:rsidRPr="00ED32E7">
        <w:rPr>
          <w:rFonts w:ascii="Open Sans" w:hAnsi="Open Sans" w:cs="Arial"/>
          <w:sz w:val="18"/>
          <w:szCs w:val="18"/>
        </w:rPr>
        <w:t>Líneas  directrices  para  empresas  multinacionales  (2011) dedica el capítulo IX a las cuestiones relacionadas con la tributación.</w:t>
      </w:r>
    </w:p>
  </w:footnote>
  <w:footnote w:id="644">
    <w:p w14:paraId="41A533B8" w14:textId="77777777" w:rsidR="007F55EB" w:rsidRPr="00ED32E7" w:rsidRDefault="007F55EB" w:rsidP="00256EC8">
      <w:pPr>
        <w:jc w:val="both"/>
        <w:rPr>
          <w:rFonts w:ascii="Open Sans" w:hAnsi="Open Sans" w:cs="Arial"/>
          <w:sz w:val="18"/>
          <w:szCs w:val="18"/>
        </w:rPr>
      </w:pPr>
      <w:r w:rsidRPr="00ED32E7">
        <w:rPr>
          <w:rStyle w:val="Refdenotaalpie"/>
          <w:rFonts w:ascii="Open Sans" w:hAnsi="Open Sans"/>
          <w:sz w:val="18"/>
          <w:szCs w:val="18"/>
        </w:rPr>
        <w:footnoteRef/>
      </w:r>
      <w:r w:rsidRPr="00ED32E7">
        <w:rPr>
          <w:rFonts w:ascii="Open Sans" w:hAnsi="Open Sans"/>
          <w:sz w:val="18"/>
          <w:szCs w:val="18"/>
        </w:rPr>
        <w:t xml:space="preserve"> </w:t>
      </w:r>
      <w:r w:rsidRPr="00ED32E7">
        <w:rPr>
          <w:rFonts w:ascii="Open Sans" w:hAnsi="Open Sans" w:cs="Arial"/>
          <w:sz w:val="18"/>
          <w:szCs w:val="18"/>
        </w:rPr>
        <w:t xml:space="preserve">A favor de la información país a país se han manifestado diversas instituciones, destacándose,  “The  extractive  industries </w:t>
      </w:r>
      <w:r w:rsidRPr="004A5B7C">
        <w:rPr>
          <w:rFonts w:ascii="Open Sans" w:hAnsi="Open Sans" w:cs="Arial"/>
          <w:sz w:val="18"/>
          <w:szCs w:val="18"/>
        </w:rPr>
        <w:t>transparency initiative” (EITI); “The EU Accounting and Transparency directive”; “the Dodd-</w:t>
      </w:r>
      <w:r w:rsidRPr="00ED32E7">
        <w:rPr>
          <w:rFonts w:ascii="Open Sans" w:hAnsi="Open Sans" w:cs="Arial"/>
          <w:sz w:val="18"/>
          <w:szCs w:val="18"/>
        </w:rPr>
        <w:t>Frank  Act”;  y  “the  EU  Capital  Requirements  directive  IV”  (CRD  IV),  el  Proyecto  BEPS  de  la OCDE.  También  pueden  destacarse  iniciativas  de  otros  países  a  nivel  individual,  de  la sociedad civil (p.e. “Publish what you pay”) u organizaciones como Tax Justice Network.</w:t>
      </w:r>
    </w:p>
  </w:footnote>
  <w:footnote w:id="645">
    <w:p w14:paraId="2B218A35" w14:textId="77777777" w:rsidR="007F55EB" w:rsidRPr="00885BCB" w:rsidRDefault="007F55EB" w:rsidP="0099187E">
      <w:pPr>
        <w:widowControl w:val="0"/>
        <w:autoSpaceDE w:val="0"/>
        <w:autoSpaceDN w:val="0"/>
        <w:adjustRightInd w:val="0"/>
        <w:jc w:val="both"/>
        <w:rPr>
          <w:rFonts w:ascii="Open Sans" w:eastAsia="Calibri" w:hAnsi="Open Sans" w:cs="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eastAsia="Calibri" w:hAnsi="Open Sans" w:cs="Open Sans"/>
          <w:sz w:val="18"/>
          <w:szCs w:val="18"/>
        </w:rPr>
        <w:t>Otros:</w:t>
      </w:r>
      <w:r w:rsidRPr="00885BCB">
        <w:rPr>
          <w:rFonts w:ascii="Open Sans" w:hAnsi="Open Sans"/>
          <w:sz w:val="18"/>
          <w:szCs w:val="18"/>
        </w:rPr>
        <w:t xml:space="preserve"> </w:t>
      </w:r>
      <w:r w:rsidRPr="00885BCB">
        <w:rPr>
          <w:rFonts w:ascii="Open Sans" w:eastAsia="Calibri" w:hAnsi="Open Sans" w:cs="Open Sans"/>
          <w:sz w:val="18"/>
          <w:szCs w:val="18"/>
        </w:rPr>
        <w:t>Procedimiento para la Comercialización y la Gestión de Espacios Publicitarios en Televisiones Generalistas. Código de Autorregulación de la Publicidad de Alimentos dirigida a menores, prevención de la obesidad y salud (Código PAOS). Código ético de comercio electrónico y publicidad interactiva (Confianza online). Código de Conducta sobre Comunicaciones Comerciales de las Actividades de Juego. Código Deontológico de Buenas Prácticas Comerciales para la Promoción de los Productos Dietéticos Infantiles.</w:t>
      </w:r>
    </w:p>
  </w:footnote>
  <w:footnote w:id="646">
    <w:p w14:paraId="40BFDAD0" w14:textId="77777777" w:rsidR="007F55EB" w:rsidRPr="00885BCB" w:rsidRDefault="007F55EB" w:rsidP="0099187E">
      <w:pPr>
        <w:pStyle w:val="Textonotapie"/>
        <w:ind w:left="142" w:hanging="142"/>
        <w:rPr>
          <w:rFonts w:ascii="Open Sans" w:hAnsi="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hAnsi="Open Sans" w:cs="Arial"/>
          <w:sz w:val="18"/>
          <w:szCs w:val="18"/>
        </w:rPr>
        <w:t>Por operación vinculada se entiende cualquier transacción reali</w:t>
      </w:r>
      <w:r>
        <w:rPr>
          <w:rFonts w:ascii="Open Sans" w:hAnsi="Open Sans" w:cs="Arial"/>
          <w:sz w:val="18"/>
          <w:szCs w:val="18"/>
        </w:rPr>
        <w:t xml:space="preserve">zada entre personas o entidades </w:t>
      </w:r>
      <w:r w:rsidRPr="00885BCB">
        <w:rPr>
          <w:rFonts w:ascii="Open Sans" w:hAnsi="Open Sans" w:cs="Arial"/>
          <w:sz w:val="18"/>
          <w:szCs w:val="18"/>
        </w:rPr>
        <w:t>que tienen una relación, bien sea de participación, de control o de consanguinidad.</w:t>
      </w:r>
    </w:p>
  </w:footnote>
  <w:footnote w:id="647">
    <w:p w14:paraId="1B3A22F3" w14:textId="77777777" w:rsidR="007F55EB" w:rsidRPr="00885BCB" w:rsidRDefault="007F55EB" w:rsidP="0099187E">
      <w:pPr>
        <w:pStyle w:val="Textonotapie"/>
        <w:rPr>
          <w:rFonts w:ascii="Open Sans" w:hAnsi="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eastAsia="Arial" w:hAnsi="Open Sans" w:cs="Open Sans"/>
          <w:sz w:val="18"/>
          <w:szCs w:val="18"/>
        </w:rPr>
        <w:t>https://opencorporates.com/companies/us_de/4249108#source</w:t>
      </w:r>
    </w:p>
  </w:footnote>
  <w:footnote w:id="648">
    <w:p w14:paraId="205B7F66" w14:textId="77777777" w:rsidR="007F55EB" w:rsidRPr="00885BCB" w:rsidRDefault="007F55EB" w:rsidP="0099187E">
      <w:pPr>
        <w:pStyle w:val="Textonotapie"/>
        <w:rPr>
          <w:rFonts w:ascii="Open Sans" w:hAnsi="Open Sans"/>
          <w:sz w:val="18"/>
          <w:szCs w:val="18"/>
        </w:rPr>
      </w:pPr>
      <w:r w:rsidRPr="00885BCB">
        <w:rPr>
          <w:rFonts w:ascii="Open Sans" w:eastAsia="Arial" w:hAnsi="Open Sans" w:cs="Open Sans"/>
          <w:sz w:val="18"/>
          <w:szCs w:val="18"/>
          <w:vertAlign w:val="superscript"/>
        </w:rPr>
        <w:footnoteRef/>
      </w:r>
      <w:r w:rsidRPr="00885BCB">
        <w:rPr>
          <w:rFonts w:ascii="Open Sans" w:eastAsia="Arial" w:hAnsi="Open Sans" w:cs="Open Sans"/>
          <w:sz w:val="18"/>
          <w:szCs w:val="18"/>
          <w:vertAlign w:val="superscript"/>
        </w:rPr>
        <w:t xml:space="preserve"> </w:t>
      </w:r>
      <w:r w:rsidRPr="00885BCB">
        <w:rPr>
          <w:rFonts w:ascii="Open Sans" w:eastAsia="Arial" w:hAnsi="Open Sans" w:cs="Open Sans"/>
          <w:sz w:val="18"/>
          <w:szCs w:val="18"/>
        </w:rPr>
        <w:t>https://opencorporates.com/companies/us_de/4249108#source</w:t>
      </w:r>
    </w:p>
  </w:footnote>
  <w:footnote w:id="649">
    <w:p w14:paraId="71332B97" w14:textId="77777777" w:rsidR="007F55EB" w:rsidRPr="00885BCB" w:rsidRDefault="007F55EB" w:rsidP="0099187E">
      <w:pPr>
        <w:autoSpaceDE w:val="0"/>
        <w:rPr>
          <w:rFonts w:ascii="Open Sans" w:eastAsia="Arial" w:hAnsi="Open Sans" w:cs="Open Sans"/>
          <w:sz w:val="18"/>
          <w:szCs w:val="18"/>
        </w:rPr>
      </w:pPr>
      <w:r w:rsidRPr="00885BCB">
        <w:rPr>
          <w:rStyle w:val="Refdenotaalpie"/>
          <w:rFonts w:ascii="Open Sans" w:hAnsi="Open Sans" w:cs="Open Sans"/>
          <w:sz w:val="18"/>
          <w:szCs w:val="18"/>
        </w:rPr>
        <w:footnoteRef/>
      </w:r>
      <w:r w:rsidRPr="00885BCB">
        <w:rPr>
          <w:rFonts w:ascii="Open Sans" w:hAnsi="Open Sans" w:cs="Open Sans"/>
          <w:sz w:val="18"/>
          <w:szCs w:val="18"/>
        </w:rPr>
        <w:t xml:space="preserve"> </w:t>
      </w:r>
      <w:r w:rsidRPr="00885BCB">
        <w:rPr>
          <w:rFonts w:ascii="Open Sans" w:eastAsia="Arial" w:hAnsi="Open Sans" w:cs="Open Sans"/>
          <w:sz w:val="18"/>
          <w:szCs w:val="18"/>
        </w:rPr>
        <w:t>Según el “Listado de paraísos fiscales del OBRSC” que figura en el apartado Metodología, del presente informe.</w:t>
      </w:r>
    </w:p>
  </w:footnote>
  <w:footnote w:id="650">
    <w:p w14:paraId="531C4141" w14:textId="77777777" w:rsidR="007F55EB" w:rsidRPr="00885BCB" w:rsidRDefault="007F55EB" w:rsidP="0099187E">
      <w:pPr>
        <w:widowControl w:val="0"/>
        <w:autoSpaceDE w:val="0"/>
        <w:autoSpaceDN w:val="0"/>
        <w:adjustRightInd w:val="0"/>
        <w:rPr>
          <w:rFonts w:ascii="Open Sans" w:eastAsia="Calibri" w:hAnsi="Open Sans" w:cs="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eastAsia="Calibri" w:hAnsi="Open Sans" w:cs="Open Sans"/>
          <w:sz w:val="18"/>
          <w:szCs w:val="18"/>
        </w:rPr>
        <w:t>Asimismo, están sujetos al cumplimiento de este Código todas aquellas personas, físicas o jurídicas, que mantengan cualquier tipo de relación con Mediaset España en el desempeño de sus actividades profesionales o empresariales</w:t>
      </w:r>
    </w:p>
  </w:footnote>
  <w:footnote w:id="651">
    <w:p w14:paraId="7E004F20" w14:textId="77777777" w:rsidR="007F55EB" w:rsidRPr="00885BCB" w:rsidRDefault="007F55EB" w:rsidP="0099187E">
      <w:pPr>
        <w:pStyle w:val="Textonotapie"/>
        <w:rPr>
          <w:rFonts w:ascii="Open Sans" w:eastAsia="Calibri" w:hAnsi="Open Sans" w:cs="Open Sans"/>
          <w:sz w:val="18"/>
          <w:szCs w:val="18"/>
        </w:rPr>
      </w:pPr>
      <w:r w:rsidRPr="00885BCB">
        <w:rPr>
          <w:rFonts w:ascii="Open Sans" w:eastAsia="Calibri" w:hAnsi="Open Sans" w:cs="Open Sans"/>
          <w:sz w:val="18"/>
          <w:szCs w:val="18"/>
          <w:vertAlign w:val="superscript"/>
        </w:rPr>
        <w:footnoteRef/>
      </w:r>
      <w:r w:rsidRPr="00885BCB">
        <w:rPr>
          <w:rFonts w:ascii="Open Sans" w:eastAsia="Calibri" w:hAnsi="Open Sans" w:cs="Open Sans"/>
          <w:sz w:val="18"/>
          <w:szCs w:val="18"/>
          <w:vertAlign w:val="superscript"/>
        </w:rPr>
        <w:t xml:space="preserve"> </w:t>
      </w:r>
      <w:r w:rsidRPr="00885BCB">
        <w:rPr>
          <w:rFonts w:ascii="Open Sans" w:eastAsia="Calibri" w:hAnsi="Open Sans" w:cs="Open Sans"/>
          <w:sz w:val="18"/>
          <w:szCs w:val="18"/>
        </w:rPr>
        <w:t>Informe de Responsabilidad Corporativa 2015. Pagina 25.  “Durante 2015 no se han recibido denuncias a través de este canal.”</w:t>
      </w:r>
    </w:p>
  </w:footnote>
  <w:footnote w:id="652">
    <w:p w14:paraId="6CE869C5" w14:textId="77777777" w:rsidR="007F55EB" w:rsidRPr="00885BCB" w:rsidRDefault="007F55EB" w:rsidP="0099187E">
      <w:pPr>
        <w:pStyle w:val="Textonotapie"/>
        <w:rPr>
          <w:rFonts w:ascii="Open Sans" w:hAnsi="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hAnsi="Open Sans" w:cs="Arial"/>
          <w:sz w:val="18"/>
          <w:szCs w:val="18"/>
        </w:rPr>
        <w:t>En la pagina 43 del Informe de Cuentas Anuales Consolidadas lista las 10 sociedades filiales (sociedades dependientes) que consolidan por integración global.</w:t>
      </w:r>
    </w:p>
  </w:footnote>
  <w:footnote w:id="653">
    <w:p w14:paraId="2B2EA108" w14:textId="77777777" w:rsidR="007F55EB" w:rsidRPr="00885BCB" w:rsidRDefault="007F55EB" w:rsidP="0099187E">
      <w:pPr>
        <w:pStyle w:val="Textonotapie"/>
        <w:rPr>
          <w:rFonts w:ascii="Open Sans" w:hAnsi="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hAnsi="Open Sans" w:cs="Arial"/>
          <w:sz w:val="18"/>
          <w:szCs w:val="18"/>
        </w:rPr>
        <w:t>Aunque no presenta detalle de EEUU, la presencia el grupo en España es mayor al 80%</w:t>
      </w:r>
    </w:p>
  </w:footnote>
  <w:footnote w:id="654">
    <w:p w14:paraId="36E46A20" w14:textId="77777777" w:rsidR="007F55EB" w:rsidRPr="00885BCB" w:rsidRDefault="007F55EB" w:rsidP="0099187E">
      <w:pPr>
        <w:pStyle w:val="Textonotapie"/>
        <w:rPr>
          <w:rFonts w:ascii="Open Sans" w:hAnsi="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hAnsi="Open Sans" w:cs="Arial"/>
          <w:sz w:val="18"/>
          <w:szCs w:val="18"/>
        </w:rPr>
        <w:t>Informe de Cuentas Anuales Consolidadas 2015: Avales constituidos. Página 70</w:t>
      </w:r>
    </w:p>
  </w:footnote>
  <w:footnote w:id="655">
    <w:p w14:paraId="73C82CA2" w14:textId="77777777" w:rsidR="007F55EB" w:rsidRPr="00885BCB" w:rsidRDefault="007F55EB" w:rsidP="0099187E">
      <w:pPr>
        <w:jc w:val="both"/>
        <w:rPr>
          <w:rFonts w:ascii="Open Sans" w:hAnsi="Open Sans" w:cs="Arial"/>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eastAsia="MS Mincho" w:hAnsi="Open Sans" w:cs="Arial"/>
          <w:sz w:val="18"/>
          <w:szCs w:val="18"/>
        </w:rPr>
        <w:t>Informe de Cuentas Anuales Consolidadas 2015: Provisiones no corrientes y contingencias. Página 59</w:t>
      </w:r>
      <w:r w:rsidRPr="00885BCB">
        <w:rPr>
          <w:rFonts w:ascii="Open Sans" w:hAnsi="Open Sans" w:cs="Arial"/>
          <w:sz w:val="18"/>
          <w:szCs w:val="18"/>
        </w:rPr>
        <w:t xml:space="preserve"> </w:t>
      </w:r>
    </w:p>
  </w:footnote>
  <w:footnote w:id="656">
    <w:p w14:paraId="616528FA" w14:textId="77777777" w:rsidR="007F55EB" w:rsidRPr="00885BCB" w:rsidRDefault="007F55EB" w:rsidP="0099187E">
      <w:pPr>
        <w:pStyle w:val="Textonotapie"/>
        <w:rPr>
          <w:rFonts w:ascii="Open Sans" w:hAnsi="Open Sans"/>
          <w:sz w:val="18"/>
          <w:szCs w:val="18"/>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hAnsi="Open Sans" w:cs="Open Sans"/>
          <w:sz w:val="18"/>
          <w:szCs w:val="18"/>
        </w:rPr>
        <w:t>Cuentas anuales Consolidadas, pag 88: Operaciones Con Partes Vinculadas 2015.</w:t>
      </w:r>
    </w:p>
  </w:footnote>
  <w:footnote w:id="657">
    <w:p w14:paraId="00E1EED8" w14:textId="77777777" w:rsidR="007F55EB" w:rsidRPr="007E7A30" w:rsidRDefault="007F55EB" w:rsidP="0099187E">
      <w:pPr>
        <w:pStyle w:val="Textonotapie"/>
        <w:rPr>
          <w:rFonts w:ascii="Open Sans" w:hAnsi="Open Sans" w:cs="Open Sans"/>
          <w:sz w:val="16"/>
          <w:szCs w:val="16"/>
        </w:rPr>
      </w:pPr>
      <w:r w:rsidRPr="00885BCB">
        <w:rPr>
          <w:rStyle w:val="Refdenotaalpie"/>
          <w:rFonts w:ascii="Open Sans" w:hAnsi="Open Sans"/>
          <w:sz w:val="18"/>
          <w:szCs w:val="18"/>
        </w:rPr>
        <w:footnoteRef/>
      </w:r>
      <w:r w:rsidRPr="00885BCB">
        <w:rPr>
          <w:rFonts w:ascii="Open Sans" w:hAnsi="Open Sans"/>
          <w:sz w:val="18"/>
          <w:szCs w:val="18"/>
        </w:rPr>
        <w:t xml:space="preserve"> </w:t>
      </w:r>
      <w:r w:rsidRPr="00885BCB">
        <w:rPr>
          <w:rFonts w:ascii="Open Sans" w:hAnsi="Open Sans" w:cs="Open Sans"/>
          <w:sz w:val="18"/>
          <w:szCs w:val="18"/>
        </w:rPr>
        <w:t>Por operación vinculada se entiende cualquier transacción realizada entre personas o entidades que tienen una relación, bien sea de participación, de control o de consanguinidad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AC3C75" w14:textId="77777777" w:rsidR="007F55EB" w:rsidRDefault="007F55EB">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483EB" w14:textId="506B4EAC" w:rsidR="007F55EB" w:rsidRDefault="007F55EB" w:rsidP="001C1608">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59264" behindDoc="0" locked="0" layoutInCell="1" allowOverlap="1" wp14:anchorId="51D04CDC" wp14:editId="02EB82D0">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 xml:space="preserve">La </w:t>
    </w:r>
    <w:r>
      <w:rPr>
        <w:rFonts w:ascii="Open Sans" w:hAnsi="Open Sans" w:cs="Open Sans"/>
        <w:i/>
        <w:color w:val="657597"/>
        <w:sz w:val="18"/>
        <w:szCs w:val="18"/>
      </w:rPr>
      <w:t>información fiscal</w:t>
    </w:r>
    <w:r w:rsidRPr="00C0099F">
      <w:rPr>
        <w:rFonts w:ascii="Open Sans" w:hAnsi="Open Sans" w:cs="Open Sans"/>
        <w:i/>
        <w:color w:val="657597"/>
        <w:sz w:val="18"/>
        <w:szCs w:val="18"/>
      </w:rPr>
      <w:t xml:space="preserve">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ejercicio 2015</w:t>
    </w:r>
  </w:p>
  <w:p w14:paraId="4B00608B" w14:textId="77777777" w:rsidR="007F55EB" w:rsidRDefault="007F55EB">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8E9CB" w14:textId="510F4EE4" w:rsidR="007F55EB" w:rsidRDefault="007F55EB" w:rsidP="00C01995">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63360" behindDoc="0" locked="0" layoutInCell="1" allowOverlap="1" wp14:anchorId="68D1A952" wp14:editId="4E599D9C">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La responsabilidad Social Corporativa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del ejercicio 2015</w:t>
    </w:r>
  </w:p>
  <w:p w14:paraId="2DC32B05" w14:textId="148DE781" w:rsidR="007F55EB" w:rsidRPr="00F853BD" w:rsidRDefault="007F55EB" w:rsidP="00F853B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67769" w14:textId="282C454C" w:rsidR="007F55EB" w:rsidRDefault="007F55EB" w:rsidP="001C1608">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67456" behindDoc="0" locked="0" layoutInCell="1" allowOverlap="1" wp14:anchorId="51EF1743" wp14:editId="5C5C4FD0">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 xml:space="preserve">La </w:t>
    </w:r>
    <w:r>
      <w:rPr>
        <w:rFonts w:ascii="Open Sans" w:hAnsi="Open Sans" w:cs="Open Sans"/>
        <w:i/>
        <w:color w:val="657597"/>
        <w:sz w:val="18"/>
        <w:szCs w:val="18"/>
      </w:rPr>
      <w:t>información fiscal</w:t>
    </w:r>
    <w:r w:rsidRPr="00C0099F">
      <w:rPr>
        <w:rFonts w:ascii="Open Sans" w:hAnsi="Open Sans" w:cs="Open Sans"/>
        <w:i/>
        <w:color w:val="657597"/>
        <w:sz w:val="18"/>
        <w:szCs w:val="18"/>
      </w:rPr>
      <w:t xml:space="preserve">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ejercicio 2015</w:t>
    </w:r>
  </w:p>
  <w:p w14:paraId="039FB3EA" w14:textId="77777777" w:rsidR="007F55EB" w:rsidRDefault="007F55EB">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B3F4ED" w14:textId="0F266B36" w:rsidR="007F55EB" w:rsidRDefault="007F55EB" w:rsidP="00C01995">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68480" behindDoc="0" locked="0" layoutInCell="1" allowOverlap="1" wp14:anchorId="5C6EBCAC" wp14:editId="1F48F1B8">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 xml:space="preserve">La </w:t>
    </w:r>
    <w:r>
      <w:rPr>
        <w:rFonts w:ascii="Open Sans" w:hAnsi="Open Sans" w:cs="Open Sans"/>
        <w:i/>
        <w:color w:val="657597"/>
        <w:sz w:val="18"/>
        <w:szCs w:val="18"/>
      </w:rPr>
      <w:t>información fiscal</w:t>
    </w:r>
    <w:r w:rsidRPr="00C0099F">
      <w:rPr>
        <w:rFonts w:ascii="Open Sans" w:hAnsi="Open Sans" w:cs="Open Sans"/>
        <w:i/>
        <w:color w:val="657597"/>
        <w:sz w:val="18"/>
        <w:szCs w:val="18"/>
      </w:rPr>
      <w:t xml:space="preserve">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ejercicio 2015</w:t>
    </w:r>
  </w:p>
  <w:p w14:paraId="0DC7FFEB" w14:textId="77777777" w:rsidR="007F55EB" w:rsidRPr="00F853BD" w:rsidRDefault="007F55EB" w:rsidP="00F853B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C3383" w14:textId="1FBDE2D3" w:rsidR="007F55EB" w:rsidRPr="00C01995" w:rsidRDefault="007F55EB" w:rsidP="00C01995">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65408" behindDoc="0" locked="0" layoutInCell="1" allowOverlap="1" wp14:anchorId="3A1C6EF6" wp14:editId="6FD99FA4">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 xml:space="preserve">La </w:t>
    </w:r>
    <w:r>
      <w:rPr>
        <w:rFonts w:ascii="Open Sans" w:hAnsi="Open Sans" w:cs="Open Sans"/>
        <w:i/>
        <w:color w:val="657597"/>
        <w:sz w:val="18"/>
        <w:szCs w:val="18"/>
      </w:rPr>
      <w:t>información fiscal</w:t>
    </w:r>
    <w:r w:rsidRPr="00C0099F">
      <w:rPr>
        <w:rFonts w:ascii="Open Sans" w:hAnsi="Open Sans" w:cs="Open Sans"/>
        <w:i/>
        <w:color w:val="657597"/>
        <w:sz w:val="18"/>
        <w:szCs w:val="18"/>
      </w:rPr>
      <w:t xml:space="preserve">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ejercicio 2015</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4E63DE" w14:textId="48817D13" w:rsidR="007F55EB" w:rsidRPr="00C01995" w:rsidRDefault="007F55EB" w:rsidP="00C01995">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70528" behindDoc="0" locked="0" layoutInCell="1" allowOverlap="1" wp14:anchorId="2F651735" wp14:editId="54382BC9">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 xml:space="preserve">La </w:t>
    </w:r>
    <w:r>
      <w:rPr>
        <w:rFonts w:ascii="Open Sans" w:hAnsi="Open Sans" w:cs="Open Sans"/>
        <w:i/>
        <w:color w:val="657597"/>
        <w:sz w:val="18"/>
        <w:szCs w:val="18"/>
      </w:rPr>
      <w:t>información fiscal</w:t>
    </w:r>
    <w:r w:rsidRPr="00C0099F">
      <w:rPr>
        <w:rFonts w:ascii="Open Sans" w:hAnsi="Open Sans" w:cs="Open Sans"/>
        <w:i/>
        <w:color w:val="657597"/>
        <w:sz w:val="18"/>
        <w:szCs w:val="18"/>
      </w:rPr>
      <w:t xml:space="preserve">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ejercicio 2015</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DCCF82" w14:textId="0D51644E" w:rsidR="007F55EB" w:rsidRPr="00C01995" w:rsidRDefault="007F55EB" w:rsidP="00C01995">
    <w:pPr>
      <w:pBdr>
        <w:bottom w:val="single" w:sz="2" w:space="1" w:color="000000"/>
      </w:pBdr>
      <w:tabs>
        <w:tab w:val="right" w:pos="8460"/>
      </w:tabs>
      <w:spacing w:after="280"/>
      <w:jc w:val="right"/>
      <w:rPr>
        <w:rFonts w:ascii="Trebuchet MS" w:hAnsi="Trebuchet MS"/>
        <w:i/>
        <w:color w:val="000080"/>
        <w:spacing w:val="-10"/>
        <w:sz w:val="18"/>
        <w:szCs w:val="18"/>
      </w:rPr>
    </w:pPr>
    <w:r w:rsidRPr="00C01995">
      <w:rPr>
        <w:noProof/>
        <w:lang w:val="es-ES"/>
      </w:rPr>
      <w:drawing>
        <wp:anchor distT="0" distB="0" distL="114300" distR="114300" simplePos="0" relativeHeight="251672576" behindDoc="0" locked="0" layoutInCell="1" allowOverlap="1" wp14:anchorId="5AF65F4F" wp14:editId="38B332A4">
          <wp:simplePos x="0" y="0"/>
          <wp:positionH relativeFrom="column">
            <wp:posOffset>-571500</wp:posOffset>
          </wp:positionH>
          <wp:positionV relativeFrom="paragraph">
            <wp:posOffset>-234950</wp:posOffset>
          </wp:positionV>
          <wp:extent cx="474345" cy="718820"/>
          <wp:effectExtent l="0" t="0" r="8255" b="0"/>
          <wp:wrapThrough wrapText="bothSides">
            <wp:wrapPolygon edited="0">
              <wp:start x="0" y="0"/>
              <wp:lineTo x="0" y="20608"/>
              <wp:lineTo x="20819" y="20608"/>
              <wp:lineTo x="20819" y="0"/>
              <wp:lineTo x="0" y="0"/>
            </wp:wrapPolygon>
          </wp:wrapThrough>
          <wp:docPr id="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4345" cy="718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rebuchet MS" w:hAnsi="Trebuchet MS"/>
        <w:sz w:val="18"/>
        <w:szCs w:val="18"/>
      </w:rPr>
      <w:tab/>
    </w:r>
    <w:r w:rsidRPr="00C0099F">
      <w:rPr>
        <w:rFonts w:ascii="Open Sans" w:hAnsi="Open Sans" w:cs="Open Sans"/>
        <w:i/>
        <w:color w:val="657597"/>
        <w:sz w:val="18"/>
        <w:szCs w:val="18"/>
      </w:rPr>
      <w:t xml:space="preserve">La </w:t>
    </w:r>
    <w:r>
      <w:rPr>
        <w:rFonts w:ascii="Open Sans" w:hAnsi="Open Sans" w:cs="Open Sans"/>
        <w:i/>
        <w:color w:val="657597"/>
        <w:sz w:val="18"/>
        <w:szCs w:val="18"/>
      </w:rPr>
      <w:t>información fiscal</w:t>
    </w:r>
    <w:r w:rsidRPr="00C0099F">
      <w:rPr>
        <w:rFonts w:ascii="Open Sans" w:hAnsi="Open Sans" w:cs="Open Sans"/>
        <w:i/>
        <w:color w:val="657597"/>
        <w:sz w:val="18"/>
        <w:szCs w:val="18"/>
      </w:rPr>
      <w:t xml:space="preserve"> en las memorias anuales de las empresas del IBEX</w:t>
    </w:r>
    <w:r>
      <w:rPr>
        <w:rFonts w:ascii="Open Sans" w:hAnsi="Open Sans" w:cs="Open Sans"/>
        <w:i/>
        <w:color w:val="657597"/>
        <w:sz w:val="18"/>
        <w:szCs w:val="18"/>
      </w:rPr>
      <w:t xml:space="preserve"> 35</w:t>
    </w:r>
    <w:r>
      <w:rPr>
        <w:rFonts w:ascii="Open Sans" w:hAnsi="Open Sans" w:cs="Open Sans"/>
        <w:i/>
        <w:color w:val="657597"/>
        <w:sz w:val="18"/>
        <w:szCs w:val="18"/>
      </w:rPr>
      <w:br/>
      <w:t>Análisis ejercicio 2015</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9015D" w14:textId="77777777" w:rsidR="007F55EB" w:rsidRPr="00390CF3" w:rsidRDefault="007F55EB" w:rsidP="00390CF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1"/>
      <w:numFmt w:val="bullet"/>
      <w:lvlText w:val="-"/>
      <w:lvlJc w:val="left"/>
      <w:pPr>
        <w:tabs>
          <w:tab w:val="num" w:pos="720"/>
        </w:tabs>
        <w:ind w:left="720" w:hanging="360"/>
      </w:pPr>
      <w:rPr>
        <w:rFonts w:ascii="Arial" w:hAnsi="Arial" w:cs="Symbol"/>
        <w:lang w:val="es-ES"/>
      </w:rPr>
    </w:lvl>
  </w:abstractNum>
  <w:abstractNum w:abstractNumId="1">
    <w:nsid w:val="00000002"/>
    <w:multiLevelType w:val="multilevel"/>
    <w:tmpl w:val="00000002"/>
    <w:name w:val="WWNum3"/>
    <w:lvl w:ilvl="0">
      <w:start w:val="1"/>
      <w:numFmt w:val="bullet"/>
      <w:lvlText w:val="-"/>
      <w:lvlJc w:val="left"/>
      <w:pPr>
        <w:tabs>
          <w:tab w:val="num" w:pos="720"/>
        </w:tabs>
        <w:ind w:left="720" w:hanging="360"/>
      </w:pPr>
      <w:rPr>
        <w:rFonts w:ascii="Arial" w:hAnsi="Arial"/>
      </w:rPr>
    </w:lvl>
    <w:lvl w:ilvl="1">
      <w:start w:val="1"/>
      <w:numFmt w:val="bullet"/>
      <w:lvlText w:val="o"/>
      <w:lvlJc w:val="left"/>
      <w:pPr>
        <w:tabs>
          <w:tab w:val="num" w:pos="1800"/>
        </w:tabs>
        <w:ind w:left="1800" w:hanging="360"/>
      </w:pPr>
      <w:rPr>
        <w:rFonts w:ascii="Courier New" w:hAnsi="Courier New" w:cs="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cs="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cs="Courier New"/>
      </w:rPr>
    </w:lvl>
    <w:lvl w:ilvl="8">
      <w:start w:val="1"/>
      <w:numFmt w:val="bullet"/>
      <w:lvlText w:val=""/>
      <w:lvlJc w:val="left"/>
      <w:pPr>
        <w:tabs>
          <w:tab w:val="num" w:pos="6840"/>
        </w:tabs>
        <w:ind w:left="6840" w:hanging="360"/>
      </w:pPr>
      <w:rPr>
        <w:rFonts w:ascii="Wingdings" w:hAnsi="Wingdings"/>
      </w:rPr>
    </w:lvl>
  </w:abstractNum>
  <w:abstractNum w:abstractNumId="2">
    <w:nsid w:val="00000003"/>
    <w:multiLevelType w:val="multilevel"/>
    <w:tmpl w:val="00000003"/>
    <w:name w:val="WWNum5"/>
    <w:lvl w:ilvl="0">
      <w:start w:val="4"/>
      <w:numFmt w:val="bullet"/>
      <w:lvlText w:val="-"/>
      <w:lvlJc w:val="left"/>
      <w:pPr>
        <w:tabs>
          <w:tab w:val="num" w:pos="436"/>
        </w:tabs>
        <w:ind w:left="436" w:hanging="360"/>
      </w:pPr>
      <w:rPr>
        <w:rFonts w:ascii="Arial" w:hAnsi="Arial"/>
        <w:sz w:val="24"/>
        <w:szCs w:val="24"/>
      </w:rPr>
    </w:lvl>
    <w:lvl w:ilvl="1">
      <w:start w:val="1"/>
      <w:numFmt w:val="bullet"/>
      <w:lvlText w:val="o"/>
      <w:lvlJc w:val="left"/>
      <w:pPr>
        <w:tabs>
          <w:tab w:val="num" w:pos="1156"/>
        </w:tabs>
        <w:ind w:left="1156" w:hanging="360"/>
      </w:pPr>
      <w:rPr>
        <w:rFonts w:ascii="Courier New" w:hAnsi="Courier New" w:cs="Courier New"/>
      </w:rPr>
    </w:lvl>
    <w:lvl w:ilvl="2">
      <w:start w:val="1"/>
      <w:numFmt w:val="bullet"/>
      <w:lvlText w:val=""/>
      <w:lvlJc w:val="left"/>
      <w:pPr>
        <w:tabs>
          <w:tab w:val="num" w:pos="1876"/>
        </w:tabs>
        <w:ind w:left="1876" w:hanging="360"/>
      </w:pPr>
      <w:rPr>
        <w:rFonts w:ascii="Wingdings" w:hAnsi="Wingdings"/>
      </w:rPr>
    </w:lvl>
    <w:lvl w:ilvl="3">
      <w:start w:val="1"/>
      <w:numFmt w:val="bullet"/>
      <w:lvlText w:val=""/>
      <w:lvlJc w:val="left"/>
      <w:pPr>
        <w:tabs>
          <w:tab w:val="num" w:pos="2596"/>
        </w:tabs>
        <w:ind w:left="2596" w:hanging="360"/>
      </w:pPr>
      <w:rPr>
        <w:rFonts w:ascii="Symbol" w:hAnsi="Symbol"/>
      </w:rPr>
    </w:lvl>
    <w:lvl w:ilvl="4">
      <w:start w:val="1"/>
      <w:numFmt w:val="bullet"/>
      <w:lvlText w:val="o"/>
      <w:lvlJc w:val="left"/>
      <w:pPr>
        <w:tabs>
          <w:tab w:val="num" w:pos="3316"/>
        </w:tabs>
        <w:ind w:left="3316" w:hanging="360"/>
      </w:pPr>
      <w:rPr>
        <w:rFonts w:ascii="Courier New" w:hAnsi="Courier New" w:cs="Courier New"/>
      </w:rPr>
    </w:lvl>
    <w:lvl w:ilvl="5">
      <w:start w:val="1"/>
      <w:numFmt w:val="bullet"/>
      <w:lvlText w:val=""/>
      <w:lvlJc w:val="left"/>
      <w:pPr>
        <w:tabs>
          <w:tab w:val="num" w:pos="4036"/>
        </w:tabs>
        <w:ind w:left="4036" w:hanging="360"/>
      </w:pPr>
      <w:rPr>
        <w:rFonts w:ascii="Wingdings" w:hAnsi="Wingdings"/>
      </w:rPr>
    </w:lvl>
    <w:lvl w:ilvl="6">
      <w:start w:val="1"/>
      <w:numFmt w:val="bullet"/>
      <w:lvlText w:val=""/>
      <w:lvlJc w:val="left"/>
      <w:pPr>
        <w:tabs>
          <w:tab w:val="num" w:pos="4756"/>
        </w:tabs>
        <w:ind w:left="4756" w:hanging="360"/>
      </w:pPr>
      <w:rPr>
        <w:rFonts w:ascii="Symbol" w:hAnsi="Symbol"/>
      </w:rPr>
    </w:lvl>
    <w:lvl w:ilvl="7">
      <w:start w:val="1"/>
      <w:numFmt w:val="bullet"/>
      <w:lvlText w:val="o"/>
      <w:lvlJc w:val="left"/>
      <w:pPr>
        <w:tabs>
          <w:tab w:val="num" w:pos="5476"/>
        </w:tabs>
        <w:ind w:left="5476" w:hanging="360"/>
      </w:pPr>
      <w:rPr>
        <w:rFonts w:ascii="Courier New" w:hAnsi="Courier New" w:cs="Courier New"/>
      </w:rPr>
    </w:lvl>
    <w:lvl w:ilvl="8">
      <w:start w:val="1"/>
      <w:numFmt w:val="bullet"/>
      <w:lvlText w:val=""/>
      <w:lvlJc w:val="left"/>
      <w:pPr>
        <w:tabs>
          <w:tab w:val="num" w:pos="6196"/>
        </w:tabs>
        <w:ind w:left="6196" w:hanging="360"/>
      </w:pPr>
      <w:rPr>
        <w:rFonts w:ascii="Wingdings" w:hAnsi="Wingdings"/>
      </w:rPr>
    </w:lvl>
  </w:abstractNum>
  <w:abstractNum w:abstractNumId="3">
    <w:nsid w:val="00000004"/>
    <w:multiLevelType w:val="singleLevel"/>
    <w:tmpl w:val="00000004"/>
    <w:name w:val="WW8Num3"/>
    <w:lvl w:ilvl="0">
      <w:start w:val="1"/>
      <w:numFmt w:val="bullet"/>
      <w:lvlText w:val=""/>
      <w:lvlJc w:val="left"/>
      <w:pPr>
        <w:tabs>
          <w:tab w:val="num" w:pos="0"/>
        </w:tabs>
        <w:ind w:left="720" w:hanging="360"/>
      </w:pPr>
      <w:rPr>
        <w:rFonts w:ascii="Symbol" w:hAnsi="Symbol" w:cs="Symbol"/>
        <w:color w:val="000000"/>
        <w:sz w:val="22"/>
        <w:szCs w:val="22"/>
        <w:lang w:val="es-ES"/>
      </w:rPr>
    </w:lvl>
  </w:abstractNum>
  <w:abstractNum w:abstractNumId="4">
    <w:nsid w:val="00000005"/>
    <w:multiLevelType w:val="multilevel"/>
    <w:tmpl w:val="00000005"/>
    <w:name w:val="WW8Num4"/>
    <w:lvl w:ilvl="0">
      <w:start w:val="1"/>
      <w:numFmt w:val="bullet"/>
      <w:lvlText w:val=""/>
      <w:lvlJc w:val="left"/>
      <w:pPr>
        <w:tabs>
          <w:tab w:val="num" w:pos="720"/>
        </w:tabs>
        <w:ind w:left="720" w:hanging="360"/>
      </w:pPr>
      <w:rPr>
        <w:rFonts w:ascii="Symbol" w:hAnsi="Symbol" w:cs="Symbol"/>
        <w:lang w:val="es-ES"/>
      </w:rPr>
    </w:lvl>
    <w:lvl w:ilvl="1">
      <w:start w:val="1"/>
      <w:numFmt w:val="bullet"/>
      <w:lvlText w:val=""/>
      <w:lvlJc w:val="left"/>
      <w:pPr>
        <w:tabs>
          <w:tab w:val="num" w:pos="1080"/>
        </w:tabs>
        <w:ind w:left="1080" w:hanging="360"/>
      </w:pPr>
      <w:rPr>
        <w:rFonts w:ascii="Symbol" w:hAnsi="Symbol" w:cs="Symbol"/>
        <w:lang w:val="es-ES"/>
      </w:rPr>
    </w:lvl>
    <w:lvl w:ilvl="2">
      <w:start w:val="1"/>
      <w:numFmt w:val="bullet"/>
      <w:lvlText w:val=""/>
      <w:lvlJc w:val="left"/>
      <w:pPr>
        <w:tabs>
          <w:tab w:val="num" w:pos="1440"/>
        </w:tabs>
        <w:ind w:left="1440" w:hanging="360"/>
      </w:pPr>
      <w:rPr>
        <w:rFonts w:ascii="Symbol" w:hAnsi="Symbol" w:cs="Symbol"/>
        <w:lang w:val="es-ES"/>
      </w:rPr>
    </w:lvl>
    <w:lvl w:ilvl="3">
      <w:start w:val="1"/>
      <w:numFmt w:val="bullet"/>
      <w:lvlText w:val=""/>
      <w:lvlJc w:val="left"/>
      <w:pPr>
        <w:tabs>
          <w:tab w:val="num" w:pos="1800"/>
        </w:tabs>
        <w:ind w:left="1800" w:hanging="360"/>
      </w:pPr>
      <w:rPr>
        <w:rFonts w:ascii="Symbol" w:hAnsi="Symbol" w:cs="Symbol"/>
        <w:lang w:val="es-ES"/>
      </w:rPr>
    </w:lvl>
    <w:lvl w:ilvl="4">
      <w:start w:val="1"/>
      <w:numFmt w:val="bullet"/>
      <w:lvlText w:val=""/>
      <w:lvlJc w:val="left"/>
      <w:pPr>
        <w:tabs>
          <w:tab w:val="num" w:pos="2160"/>
        </w:tabs>
        <w:ind w:left="2160" w:hanging="360"/>
      </w:pPr>
      <w:rPr>
        <w:rFonts w:ascii="Symbol" w:hAnsi="Symbol" w:cs="Symbol"/>
        <w:lang w:val="es-ES"/>
      </w:rPr>
    </w:lvl>
    <w:lvl w:ilvl="5">
      <w:start w:val="1"/>
      <w:numFmt w:val="bullet"/>
      <w:lvlText w:val=""/>
      <w:lvlJc w:val="left"/>
      <w:pPr>
        <w:tabs>
          <w:tab w:val="num" w:pos="2520"/>
        </w:tabs>
        <w:ind w:left="2520" w:hanging="360"/>
      </w:pPr>
      <w:rPr>
        <w:rFonts w:ascii="Symbol" w:hAnsi="Symbol" w:cs="Symbol"/>
        <w:lang w:val="es-ES"/>
      </w:rPr>
    </w:lvl>
    <w:lvl w:ilvl="6">
      <w:start w:val="1"/>
      <w:numFmt w:val="bullet"/>
      <w:lvlText w:val=""/>
      <w:lvlJc w:val="left"/>
      <w:pPr>
        <w:tabs>
          <w:tab w:val="num" w:pos="2880"/>
        </w:tabs>
        <w:ind w:left="2880" w:hanging="360"/>
      </w:pPr>
      <w:rPr>
        <w:rFonts w:ascii="Symbol" w:hAnsi="Symbol" w:cs="Symbol"/>
        <w:lang w:val="es-ES"/>
      </w:rPr>
    </w:lvl>
    <w:lvl w:ilvl="7">
      <w:start w:val="1"/>
      <w:numFmt w:val="bullet"/>
      <w:lvlText w:val=""/>
      <w:lvlJc w:val="left"/>
      <w:pPr>
        <w:tabs>
          <w:tab w:val="num" w:pos="3240"/>
        </w:tabs>
        <w:ind w:left="3240" w:hanging="360"/>
      </w:pPr>
      <w:rPr>
        <w:rFonts w:ascii="Symbol" w:hAnsi="Symbol" w:cs="Symbol"/>
        <w:lang w:val="es-ES"/>
      </w:rPr>
    </w:lvl>
    <w:lvl w:ilvl="8">
      <w:start w:val="1"/>
      <w:numFmt w:val="bullet"/>
      <w:lvlText w:val=""/>
      <w:lvlJc w:val="left"/>
      <w:pPr>
        <w:tabs>
          <w:tab w:val="num" w:pos="3600"/>
        </w:tabs>
        <w:ind w:left="3600" w:hanging="360"/>
      </w:pPr>
      <w:rPr>
        <w:rFonts w:ascii="Symbol" w:hAnsi="Symbol" w:cs="Symbol"/>
        <w:lang w:val="es-ES"/>
      </w:rPr>
    </w:lvl>
  </w:abstractNum>
  <w:abstractNum w:abstractNumId="5">
    <w:nsid w:val="00000006"/>
    <w:multiLevelType w:val="multilevel"/>
    <w:tmpl w:val="00000006"/>
    <w:name w:val="WW8Num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nsid w:val="00000007"/>
    <w:multiLevelType w:val="singleLevel"/>
    <w:tmpl w:val="00000007"/>
    <w:name w:val="WW8Num2"/>
    <w:lvl w:ilvl="0">
      <w:start w:val="1"/>
      <w:numFmt w:val="bullet"/>
      <w:lvlText w:val="-"/>
      <w:lvlJc w:val="left"/>
      <w:pPr>
        <w:tabs>
          <w:tab w:val="num" w:pos="720"/>
        </w:tabs>
      </w:pPr>
      <w:rPr>
        <w:rFonts w:ascii="Times New Roman" w:hAnsi="Times New Roman"/>
      </w:rPr>
    </w:lvl>
  </w:abstractNum>
  <w:abstractNum w:abstractNumId="7">
    <w:nsid w:val="00000015"/>
    <w:multiLevelType w:val="multilevel"/>
    <w:tmpl w:val="00000015"/>
    <w:name w:val="WW8Num24"/>
    <w:lvl w:ilvl="0">
      <w:start w:val="1"/>
      <w:numFmt w:val="bullet"/>
      <w:lvlText w:val="-"/>
      <w:lvlJc w:val="left"/>
      <w:pPr>
        <w:tabs>
          <w:tab w:val="num" w:pos="720"/>
        </w:tabs>
      </w:pPr>
      <w:rPr>
        <w:rFonts w:ascii="Arial" w:hAnsi="Arial"/>
      </w:rPr>
    </w:lvl>
    <w:lvl w:ilvl="1">
      <w:start w:val="1"/>
      <w:numFmt w:val="bullet"/>
      <w:lvlText w:val="o"/>
      <w:lvlJc w:val="left"/>
      <w:pPr>
        <w:tabs>
          <w:tab w:val="num" w:pos="1800"/>
        </w:tabs>
      </w:pPr>
      <w:rPr>
        <w:rFonts w:ascii="Courier New" w:hAnsi="Courier New"/>
      </w:rPr>
    </w:lvl>
    <w:lvl w:ilvl="2">
      <w:start w:val="1"/>
      <w:numFmt w:val="bullet"/>
      <w:lvlText w:val="§"/>
      <w:lvlJc w:val="left"/>
      <w:pPr>
        <w:tabs>
          <w:tab w:val="num" w:pos="2520"/>
        </w:tabs>
      </w:pPr>
      <w:rPr>
        <w:rFonts w:ascii="Wingdings" w:hAnsi="Wingdings"/>
      </w:rPr>
    </w:lvl>
    <w:lvl w:ilvl="3">
      <w:start w:val="1"/>
      <w:numFmt w:val="bullet"/>
      <w:lvlText w:val="·"/>
      <w:lvlJc w:val="left"/>
      <w:pPr>
        <w:tabs>
          <w:tab w:val="num" w:pos="3240"/>
        </w:tabs>
      </w:pPr>
      <w:rPr>
        <w:rFonts w:ascii="Symbol" w:hAnsi="Symbol"/>
      </w:rPr>
    </w:lvl>
    <w:lvl w:ilvl="4">
      <w:start w:val="1"/>
      <w:numFmt w:val="bullet"/>
      <w:lvlText w:val="o"/>
      <w:lvlJc w:val="left"/>
      <w:pPr>
        <w:tabs>
          <w:tab w:val="num" w:pos="3960"/>
        </w:tabs>
      </w:pPr>
      <w:rPr>
        <w:rFonts w:ascii="Courier New" w:hAnsi="Courier New"/>
      </w:rPr>
    </w:lvl>
    <w:lvl w:ilvl="5">
      <w:start w:val="1"/>
      <w:numFmt w:val="bullet"/>
      <w:lvlText w:val="§"/>
      <w:lvlJc w:val="left"/>
      <w:pPr>
        <w:tabs>
          <w:tab w:val="num" w:pos="4680"/>
        </w:tabs>
      </w:pPr>
      <w:rPr>
        <w:rFonts w:ascii="Wingdings" w:hAnsi="Wingdings"/>
      </w:rPr>
    </w:lvl>
    <w:lvl w:ilvl="6">
      <w:start w:val="1"/>
      <w:numFmt w:val="bullet"/>
      <w:lvlText w:val="·"/>
      <w:lvlJc w:val="left"/>
      <w:pPr>
        <w:tabs>
          <w:tab w:val="num" w:pos="5400"/>
        </w:tabs>
      </w:pPr>
      <w:rPr>
        <w:rFonts w:ascii="Symbol" w:hAnsi="Symbol"/>
      </w:rPr>
    </w:lvl>
    <w:lvl w:ilvl="7">
      <w:start w:val="1"/>
      <w:numFmt w:val="bullet"/>
      <w:lvlText w:val="o"/>
      <w:lvlJc w:val="left"/>
      <w:pPr>
        <w:tabs>
          <w:tab w:val="num" w:pos="6120"/>
        </w:tabs>
      </w:pPr>
      <w:rPr>
        <w:rFonts w:ascii="Courier New" w:hAnsi="Courier New"/>
      </w:rPr>
    </w:lvl>
    <w:lvl w:ilvl="8">
      <w:start w:val="1"/>
      <w:numFmt w:val="bullet"/>
      <w:lvlText w:val="§"/>
      <w:lvlJc w:val="left"/>
      <w:pPr>
        <w:tabs>
          <w:tab w:val="num" w:pos="6840"/>
        </w:tabs>
      </w:pPr>
      <w:rPr>
        <w:rFonts w:ascii="Wingdings" w:hAnsi="Wingdings"/>
      </w:rPr>
    </w:lvl>
  </w:abstractNum>
  <w:abstractNum w:abstractNumId="8">
    <w:nsid w:val="0000001A"/>
    <w:multiLevelType w:val="singleLevel"/>
    <w:tmpl w:val="0000001A"/>
    <w:name w:val="WW8Num30"/>
    <w:lvl w:ilvl="0">
      <w:start w:val="4"/>
      <w:numFmt w:val="bullet"/>
      <w:lvlText w:val="-"/>
      <w:lvlJc w:val="left"/>
      <w:pPr>
        <w:tabs>
          <w:tab w:val="num" w:pos="360"/>
        </w:tabs>
      </w:pPr>
      <w:rPr>
        <w:rFonts w:ascii="Arial" w:hAnsi="Arial"/>
      </w:rPr>
    </w:lvl>
  </w:abstractNum>
  <w:abstractNum w:abstractNumId="9">
    <w:nsid w:val="00000021"/>
    <w:multiLevelType w:val="singleLevel"/>
    <w:tmpl w:val="00000021"/>
    <w:name w:val="WW8Num38"/>
    <w:lvl w:ilvl="0">
      <w:start w:val="2"/>
      <w:numFmt w:val="bullet"/>
      <w:lvlText w:val="-"/>
      <w:lvlJc w:val="left"/>
      <w:pPr>
        <w:tabs>
          <w:tab w:val="num" w:pos="720"/>
        </w:tabs>
      </w:pPr>
      <w:rPr>
        <w:rFonts w:ascii="Arial" w:hAnsi="Arial"/>
      </w:rPr>
    </w:lvl>
  </w:abstractNum>
  <w:abstractNum w:abstractNumId="10">
    <w:nsid w:val="00000028"/>
    <w:multiLevelType w:val="singleLevel"/>
    <w:tmpl w:val="00000028"/>
    <w:name w:val="WW8Num45"/>
    <w:lvl w:ilvl="0">
      <w:start w:val="4"/>
      <w:numFmt w:val="bullet"/>
      <w:lvlText w:val="-"/>
      <w:lvlJc w:val="left"/>
      <w:pPr>
        <w:tabs>
          <w:tab w:val="num" w:pos="360"/>
        </w:tabs>
      </w:pPr>
      <w:rPr>
        <w:rFonts w:ascii="Arial" w:hAnsi="Arial"/>
      </w:rPr>
    </w:lvl>
  </w:abstractNum>
  <w:abstractNum w:abstractNumId="11">
    <w:nsid w:val="00000031"/>
    <w:multiLevelType w:val="singleLevel"/>
    <w:tmpl w:val="00000031"/>
    <w:name w:val="WW8Num53"/>
    <w:lvl w:ilvl="0">
      <w:start w:val="4"/>
      <w:numFmt w:val="bullet"/>
      <w:lvlText w:val="-"/>
      <w:lvlJc w:val="left"/>
      <w:pPr>
        <w:tabs>
          <w:tab w:val="num" w:pos="360"/>
        </w:tabs>
      </w:pPr>
      <w:rPr>
        <w:rFonts w:ascii="Arial" w:hAnsi="Arial"/>
      </w:rPr>
    </w:lvl>
  </w:abstractNum>
  <w:abstractNum w:abstractNumId="12">
    <w:nsid w:val="00000034"/>
    <w:multiLevelType w:val="singleLevel"/>
    <w:tmpl w:val="00000034"/>
    <w:name w:val="WW8Num65"/>
    <w:lvl w:ilvl="0">
      <w:start w:val="1"/>
      <w:numFmt w:val="bullet"/>
      <w:lvlText w:val="·"/>
      <w:lvlJc w:val="left"/>
      <w:pPr>
        <w:tabs>
          <w:tab w:val="num" w:pos="720"/>
        </w:tabs>
      </w:pPr>
      <w:rPr>
        <w:rFonts w:ascii="Symbol" w:hAnsi="Symbol"/>
      </w:rPr>
    </w:lvl>
  </w:abstractNum>
  <w:abstractNum w:abstractNumId="13">
    <w:nsid w:val="00F31BFA"/>
    <w:multiLevelType w:val="hybridMultilevel"/>
    <w:tmpl w:val="1C3C99EA"/>
    <w:lvl w:ilvl="0" w:tplc="EFB6C156">
      <w:start w:val="4"/>
      <w:numFmt w:val="bullet"/>
      <w:lvlText w:val="-"/>
      <w:lvlJc w:val="left"/>
      <w:pPr>
        <w:tabs>
          <w:tab w:val="num" w:pos="720"/>
        </w:tabs>
        <w:ind w:left="720" w:hanging="360"/>
      </w:pPr>
      <w:rPr>
        <w:rFonts w:ascii="Arial" w:hAnsi="Arial" w:cs="Times New Roman" w:hint="default"/>
        <w:sz w:val="24"/>
        <w:szCs w:val="24"/>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4">
    <w:nsid w:val="01AD6EC3"/>
    <w:multiLevelType w:val="hybridMultilevel"/>
    <w:tmpl w:val="113EB950"/>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5">
    <w:nsid w:val="025F3354"/>
    <w:multiLevelType w:val="hybridMultilevel"/>
    <w:tmpl w:val="8FFC4FA2"/>
    <w:lvl w:ilvl="0" w:tplc="B3541BB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6">
    <w:nsid w:val="02E3633C"/>
    <w:multiLevelType w:val="hybridMultilevel"/>
    <w:tmpl w:val="80AA844A"/>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0336523B"/>
    <w:multiLevelType w:val="hybridMultilevel"/>
    <w:tmpl w:val="F57AD9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04526518"/>
    <w:multiLevelType w:val="hybridMultilevel"/>
    <w:tmpl w:val="A4028A0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049A49BC"/>
    <w:multiLevelType w:val="hybridMultilevel"/>
    <w:tmpl w:val="F2CE707A"/>
    <w:lvl w:ilvl="0" w:tplc="EFB6C156">
      <w:start w:val="4"/>
      <w:numFmt w:val="bullet"/>
      <w:lvlText w:val="-"/>
      <w:lvlJc w:val="left"/>
      <w:pPr>
        <w:ind w:left="720" w:hanging="360"/>
      </w:pPr>
      <w:rPr>
        <w:rFonts w:ascii="Arial" w:hAnsi="Arial" w:cs="Times New Roman" w:hint="default"/>
        <w:sz w:val="24"/>
        <w:szCs w:val="24"/>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0">
    <w:nsid w:val="09582705"/>
    <w:multiLevelType w:val="hybridMultilevel"/>
    <w:tmpl w:val="6F08DFF4"/>
    <w:lvl w:ilvl="0" w:tplc="1E4A474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0A296C28"/>
    <w:multiLevelType w:val="hybridMultilevel"/>
    <w:tmpl w:val="0910F3FE"/>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0AF74B8A"/>
    <w:multiLevelType w:val="hybridMultilevel"/>
    <w:tmpl w:val="6AC8DBEE"/>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0B322631"/>
    <w:multiLevelType w:val="hybridMultilevel"/>
    <w:tmpl w:val="37F6482E"/>
    <w:lvl w:ilvl="0" w:tplc="28D62448">
      <w:start w:val="2"/>
      <w:numFmt w:val="bullet"/>
      <w:lvlText w:val="-"/>
      <w:lvlJc w:val="left"/>
      <w:pPr>
        <w:ind w:left="720" w:hanging="360"/>
      </w:pPr>
      <w:rPr>
        <w:rFonts w:ascii="Open Sans" w:eastAsia="Times New Roman" w:hAnsi="Open Sans" w:cs="Open San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24">
    <w:nsid w:val="0B735F4C"/>
    <w:multiLevelType w:val="hybridMultilevel"/>
    <w:tmpl w:val="758AA6E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0BC3795B"/>
    <w:multiLevelType w:val="hybridMultilevel"/>
    <w:tmpl w:val="D7206EF8"/>
    <w:lvl w:ilvl="0" w:tplc="B3541BB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0EA62760"/>
    <w:multiLevelType w:val="hybridMultilevel"/>
    <w:tmpl w:val="74B6D18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0F54449E"/>
    <w:multiLevelType w:val="hybridMultilevel"/>
    <w:tmpl w:val="67604DB4"/>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0FA25A6C"/>
    <w:multiLevelType w:val="hybridMultilevel"/>
    <w:tmpl w:val="FC0E2CFE"/>
    <w:lvl w:ilvl="0" w:tplc="E9B0AC48">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29">
    <w:nsid w:val="10A128B7"/>
    <w:multiLevelType w:val="hybridMultilevel"/>
    <w:tmpl w:val="A29CA970"/>
    <w:lvl w:ilvl="0" w:tplc="03A66080">
      <w:start w:val="2"/>
      <w:numFmt w:val="bullet"/>
      <w:lvlText w:val="-"/>
      <w:lvlJc w:val="left"/>
      <w:pPr>
        <w:ind w:left="720" w:hanging="360"/>
      </w:pPr>
      <w:rPr>
        <w:rFonts w:ascii="Open Sans" w:eastAsia="Times New Roman" w:hAnsi="Open Sans" w:cs="Open San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0">
    <w:nsid w:val="10EB3534"/>
    <w:multiLevelType w:val="hybridMultilevel"/>
    <w:tmpl w:val="9F3E82B0"/>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1">
    <w:nsid w:val="10F35AE8"/>
    <w:multiLevelType w:val="hybridMultilevel"/>
    <w:tmpl w:val="63866C8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11B61702"/>
    <w:multiLevelType w:val="hybridMultilevel"/>
    <w:tmpl w:val="939650B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11CD232A"/>
    <w:multiLevelType w:val="hybridMultilevel"/>
    <w:tmpl w:val="5F3CE9BA"/>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34">
    <w:nsid w:val="16D21F86"/>
    <w:multiLevelType w:val="hybridMultilevel"/>
    <w:tmpl w:val="8BCCA7CE"/>
    <w:lvl w:ilvl="0" w:tplc="7A64E736">
      <w:numFmt w:val="bullet"/>
      <w:lvlText w:val="-"/>
      <w:lvlJc w:val="left"/>
      <w:pPr>
        <w:ind w:left="405" w:hanging="360"/>
      </w:pPr>
      <w:rPr>
        <w:rFonts w:ascii="Open Sans" w:eastAsia="Times New Roman" w:hAnsi="Open Sans" w:cs="Open Sans"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35">
    <w:nsid w:val="16DC24E0"/>
    <w:multiLevelType w:val="hybridMultilevel"/>
    <w:tmpl w:val="C818E536"/>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182D22D2"/>
    <w:multiLevelType w:val="hybridMultilevel"/>
    <w:tmpl w:val="15221E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1917327E"/>
    <w:multiLevelType w:val="hybridMultilevel"/>
    <w:tmpl w:val="9B4AFD98"/>
    <w:lvl w:ilvl="0" w:tplc="1E4A474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19B61B2F"/>
    <w:multiLevelType w:val="hybridMultilevel"/>
    <w:tmpl w:val="199A903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1A9B6171"/>
    <w:multiLevelType w:val="hybridMultilevel"/>
    <w:tmpl w:val="FB7EBE70"/>
    <w:lvl w:ilvl="0" w:tplc="0C0A0001">
      <w:start w:val="1"/>
      <w:numFmt w:val="bullet"/>
      <w:lvlText w:val=""/>
      <w:lvlJc w:val="left"/>
      <w:pPr>
        <w:ind w:left="720" w:hanging="360"/>
      </w:pPr>
      <w:rPr>
        <w:rFonts w:ascii="Symbol" w:hAnsi="Symbol" w:hint="default"/>
      </w:rPr>
    </w:lvl>
    <w:lvl w:ilvl="1" w:tplc="0C0A0003">
      <w:start w:val="1"/>
      <w:numFmt w:val="decimal"/>
      <w:lvlText w:val="%2."/>
      <w:lvlJc w:val="left"/>
      <w:pPr>
        <w:tabs>
          <w:tab w:val="num" w:pos="1440"/>
        </w:tabs>
        <w:ind w:left="1440" w:hanging="360"/>
      </w:pPr>
    </w:lvl>
    <w:lvl w:ilvl="2" w:tplc="0C0A0005">
      <w:start w:val="1"/>
      <w:numFmt w:val="decimal"/>
      <w:lvlText w:val="%3."/>
      <w:lvlJc w:val="left"/>
      <w:pPr>
        <w:tabs>
          <w:tab w:val="num" w:pos="2160"/>
        </w:tabs>
        <w:ind w:left="2160" w:hanging="360"/>
      </w:pPr>
    </w:lvl>
    <w:lvl w:ilvl="3" w:tplc="0C0A0001">
      <w:start w:val="1"/>
      <w:numFmt w:val="decimal"/>
      <w:lvlText w:val="%4."/>
      <w:lvlJc w:val="left"/>
      <w:pPr>
        <w:tabs>
          <w:tab w:val="num" w:pos="2880"/>
        </w:tabs>
        <w:ind w:left="2880" w:hanging="360"/>
      </w:pPr>
    </w:lvl>
    <w:lvl w:ilvl="4" w:tplc="0C0A0003">
      <w:start w:val="1"/>
      <w:numFmt w:val="decimal"/>
      <w:lvlText w:val="%5."/>
      <w:lvlJc w:val="left"/>
      <w:pPr>
        <w:tabs>
          <w:tab w:val="num" w:pos="3600"/>
        </w:tabs>
        <w:ind w:left="3600" w:hanging="360"/>
      </w:pPr>
    </w:lvl>
    <w:lvl w:ilvl="5" w:tplc="0C0A0005">
      <w:start w:val="1"/>
      <w:numFmt w:val="decimal"/>
      <w:lvlText w:val="%6."/>
      <w:lvlJc w:val="left"/>
      <w:pPr>
        <w:tabs>
          <w:tab w:val="num" w:pos="4320"/>
        </w:tabs>
        <w:ind w:left="4320" w:hanging="360"/>
      </w:pPr>
    </w:lvl>
    <w:lvl w:ilvl="6" w:tplc="0C0A0001">
      <w:start w:val="1"/>
      <w:numFmt w:val="decimal"/>
      <w:lvlText w:val="%7."/>
      <w:lvlJc w:val="left"/>
      <w:pPr>
        <w:tabs>
          <w:tab w:val="num" w:pos="5040"/>
        </w:tabs>
        <w:ind w:left="5040" w:hanging="360"/>
      </w:pPr>
    </w:lvl>
    <w:lvl w:ilvl="7" w:tplc="0C0A0003">
      <w:start w:val="1"/>
      <w:numFmt w:val="decimal"/>
      <w:lvlText w:val="%8."/>
      <w:lvlJc w:val="left"/>
      <w:pPr>
        <w:tabs>
          <w:tab w:val="num" w:pos="5760"/>
        </w:tabs>
        <w:ind w:left="5760" w:hanging="360"/>
      </w:pPr>
    </w:lvl>
    <w:lvl w:ilvl="8" w:tplc="0C0A0005">
      <w:start w:val="1"/>
      <w:numFmt w:val="decimal"/>
      <w:lvlText w:val="%9."/>
      <w:lvlJc w:val="left"/>
      <w:pPr>
        <w:tabs>
          <w:tab w:val="num" w:pos="6480"/>
        </w:tabs>
        <w:ind w:left="6480" w:hanging="360"/>
      </w:pPr>
    </w:lvl>
  </w:abstractNum>
  <w:abstractNum w:abstractNumId="40">
    <w:nsid w:val="1E8C0720"/>
    <w:multiLevelType w:val="hybridMultilevel"/>
    <w:tmpl w:val="82E4D7C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1EEB54A4"/>
    <w:multiLevelType w:val="hybridMultilevel"/>
    <w:tmpl w:val="A306A0A0"/>
    <w:lvl w:ilvl="0" w:tplc="EFB6C156">
      <w:start w:val="4"/>
      <w:numFmt w:val="bullet"/>
      <w:lvlText w:val="-"/>
      <w:lvlJc w:val="left"/>
      <w:pPr>
        <w:tabs>
          <w:tab w:val="num" w:pos="720"/>
        </w:tabs>
        <w:ind w:left="720" w:hanging="360"/>
      </w:pPr>
      <w:rPr>
        <w:rFonts w:ascii="Arial" w:hAnsi="Arial" w:hint="default"/>
        <w:sz w:val="24"/>
        <w:szCs w:val="24"/>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1FD44AFF"/>
    <w:multiLevelType w:val="hybridMultilevel"/>
    <w:tmpl w:val="AE380B84"/>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nsid w:val="21027BF0"/>
    <w:multiLevelType w:val="hybridMultilevel"/>
    <w:tmpl w:val="706669C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2223471B"/>
    <w:multiLevelType w:val="hybridMultilevel"/>
    <w:tmpl w:val="365238E2"/>
    <w:lvl w:ilvl="0" w:tplc="A8D450C6">
      <w:numFmt w:val="bullet"/>
      <w:lvlText w:val="-"/>
      <w:lvlJc w:val="left"/>
      <w:pPr>
        <w:tabs>
          <w:tab w:val="num" w:pos="0"/>
        </w:tabs>
        <w:ind w:left="0" w:hanging="360"/>
      </w:pPr>
      <w:rPr>
        <w:rFonts w:ascii="Arial" w:eastAsia="Times New Roman" w:hAnsi="Arial" w:hint="default"/>
      </w:rPr>
    </w:lvl>
    <w:lvl w:ilvl="1" w:tplc="EFB6C156">
      <w:start w:val="4"/>
      <w:numFmt w:val="bullet"/>
      <w:lvlText w:val="-"/>
      <w:lvlJc w:val="left"/>
      <w:pPr>
        <w:ind w:left="720" w:hanging="360"/>
      </w:pPr>
      <w:rPr>
        <w:rFonts w:ascii="Arial" w:hAnsi="Arial" w:hint="default"/>
        <w:sz w:val="24"/>
        <w:szCs w:val="24"/>
      </w:rPr>
    </w:lvl>
    <w:lvl w:ilvl="2" w:tplc="6FF69C26">
      <w:start w:val="1"/>
      <w:numFmt w:val="bullet"/>
      <w:lvlText w:val=""/>
      <w:lvlJc w:val="left"/>
      <w:pPr>
        <w:tabs>
          <w:tab w:val="num" w:pos="1440"/>
        </w:tabs>
        <w:ind w:left="1440" w:hanging="360"/>
      </w:pPr>
      <w:rPr>
        <w:rFonts w:ascii="Wingdings" w:hAnsi="Wingdings" w:hint="default"/>
      </w:rPr>
    </w:lvl>
    <w:lvl w:ilvl="3" w:tplc="FA3432B6">
      <w:start w:val="1"/>
      <w:numFmt w:val="bullet"/>
      <w:lvlText w:val=""/>
      <w:lvlJc w:val="left"/>
      <w:pPr>
        <w:tabs>
          <w:tab w:val="num" w:pos="2160"/>
        </w:tabs>
        <w:ind w:left="2160" w:hanging="360"/>
      </w:pPr>
      <w:rPr>
        <w:rFonts w:ascii="Symbol" w:hAnsi="Symbol" w:hint="default"/>
      </w:rPr>
    </w:lvl>
    <w:lvl w:ilvl="4" w:tplc="FE942EA4">
      <w:start w:val="1"/>
      <w:numFmt w:val="bullet"/>
      <w:lvlText w:val="o"/>
      <w:lvlJc w:val="left"/>
      <w:pPr>
        <w:tabs>
          <w:tab w:val="num" w:pos="2880"/>
        </w:tabs>
        <w:ind w:left="2880" w:hanging="360"/>
      </w:pPr>
      <w:rPr>
        <w:rFonts w:ascii="Courier New" w:hAnsi="Courier New" w:hint="default"/>
      </w:rPr>
    </w:lvl>
    <w:lvl w:ilvl="5" w:tplc="D584D36E">
      <w:start w:val="1"/>
      <w:numFmt w:val="bullet"/>
      <w:lvlText w:val=""/>
      <w:lvlJc w:val="left"/>
      <w:pPr>
        <w:tabs>
          <w:tab w:val="num" w:pos="3600"/>
        </w:tabs>
        <w:ind w:left="3600" w:hanging="360"/>
      </w:pPr>
      <w:rPr>
        <w:rFonts w:ascii="Wingdings" w:hAnsi="Wingdings" w:hint="default"/>
      </w:rPr>
    </w:lvl>
    <w:lvl w:ilvl="6" w:tplc="CAEEA276">
      <w:start w:val="1"/>
      <w:numFmt w:val="bullet"/>
      <w:lvlText w:val=""/>
      <w:lvlJc w:val="left"/>
      <w:pPr>
        <w:tabs>
          <w:tab w:val="num" w:pos="4320"/>
        </w:tabs>
        <w:ind w:left="4320" w:hanging="360"/>
      </w:pPr>
      <w:rPr>
        <w:rFonts w:ascii="Symbol" w:hAnsi="Symbol" w:hint="default"/>
      </w:rPr>
    </w:lvl>
    <w:lvl w:ilvl="7" w:tplc="FE28120E">
      <w:start w:val="1"/>
      <w:numFmt w:val="bullet"/>
      <w:lvlText w:val="o"/>
      <w:lvlJc w:val="left"/>
      <w:pPr>
        <w:tabs>
          <w:tab w:val="num" w:pos="5040"/>
        </w:tabs>
        <w:ind w:left="5040" w:hanging="360"/>
      </w:pPr>
      <w:rPr>
        <w:rFonts w:ascii="Courier New" w:hAnsi="Courier New" w:hint="default"/>
      </w:rPr>
    </w:lvl>
    <w:lvl w:ilvl="8" w:tplc="1AE2D466">
      <w:start w:val="1"/>
      <w:numFmt w:val="bullet"/>
      <w:lvlText w:val=""/>
      <w:lvlJc w:val="left"/>
      <w:pPr>
        <w:tabs>
          <w:tab w:val="num" w:pos="5760"/>
        </w:tabs>
        <w:ind w:left="5760" w:hanging="360"/>
      </w:pPr>
      <w:rPr>
        <w:rFonts w:ascii="Wingdings" w:hAnsi="Wingdings" w:hint="default"/>
      </w:rPr>
    </w:lvl>
  </w:abstractNum>
  <w:abstractNum w:abstractNumId="45">
    <w:nsid w:val="2342440D"/>
    <w:multiLevelType w:val="hybridMultilevel"/>
    <w:tmpl w:val="CFFEC1DC"/>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46">
    <w:nsid w:val="2368785E"/>
    <w:multiLevelType w:val="hybridMultilevel"/>
    <w:tmpl w:val="0D9452D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245914A1"/>
    <w:multiLevelType w:val="hybridMultilevel"/>
    <w:tmpl w:val="3216CB36"/>
    <w:lvl w:ilvl="0" w:tplc="EFB6C156">
      <w:start w:val="4"/>
      <w:numFmt w:val="bullet"/>
      <w:lvlText w:val="-"/>
      <w:lvlJc w:val="left"/>
      <w:pPr>
        <w:ind w:left="720" w:hanging="360"/>
      </w:pPr>
      <w:rPr>
        <w:rFonts w:ascii="Arial" w:hAnsi="Arial" w:hint="default"/>
        <w:sz w:val="24"/>
        <w:szCs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26954C6C"/>
    <w:multiLevelType w:val="hybridMultilevel"/>
    <w:tmpl w:val="1E8EB4F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273C676F"/>
    <w:multiLevelType w:val="hybridMultilevel"/>
    <w:tmpl w:val="E530FE42"/>
    <w:lvl w:ilvl="0" w:tplc="B3541BB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0">
    <w:nsid w:val="28D24444"/>
    <w:multiLevelType w:val="multilevel"/>
    <w:tmpl w:val="52A2894E"/>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51">
    <w:nsid w:val="295430DA"/>
    <w:multiLevelType w:val="hybridMultilevel"/>
    <w:tmpl w:val="20EA1C36"/>
    <w:lvl w:ilvl="0" w:tplc="A8D450C6">
      <w:numFmt w:val="bullet"/>
      <w:lvlText w:val="-"/>
      <w:lvlJc w:val="left"/>
      <w:pPr>
        <w:tabs>
          <w:tab w:val="num" w:pos="0"/>
        </w:tabs>
        <w:ind w:left="0" w:hanging="360"/>
      </w:pPr>
      <w:rPr>
        <w:rFonts w:ascii="Arial" w:eastAsia="Times New Roman" w:hAnsi="Arial" w:hint="default"/>
      </w:rPr>
    </w:lvl>
    <w:lvl w:ilvl="1" w:tplc="3E2434EA">
      <w:start w:val="1"/>
      <w:numFmt w:val="bullet"/>
      <w:lvlText w:val="o"/>
      <w:lvlJc w:val="left"/>
      <w:pPr>
        <w:tabs>
          <w:tab w:val="num" w:pos="720"/>
        </w:tabs>
        <w:ind w:left="720" w:hanging="360"/>
      </w:pPr>
      <w:rPr>
        <w:rFonts w:ascii="Courier New" w:hAnsi="Courier New" w:hint="default"/>
      </w:rPr>
    </w:lvl>
    <w:lvl w:ilvl="2" w:tplc="6FF69C26">
      <w:start w:val="1"/>
      <w:numFmt w:val="bullet"/>
      <w:lvlText w:val=""/>
      <w:lvlJc w:val="left"/>
      <w:pPr>
        <w:tabs>
          <w:tab w:val="num" w:pos="1440"/>
        </w:tabs>
        <w:ind w:left="1440" w:hanging="360"/>
      </w:pPr>
      <w:rPr>
        <w:rFonts w:ascii="Wingdings" w:hAnsi="Wingdings" w:hint="default"/>
      </w:rPr>
    </w:lvl>
    <w:lvl w:ilvl="3" w:tplc="FA3432B6">
      <w:start w:val="1"/>
      <w:numFmt w:val="bullet"/>
      <w:lvlText w:val=""/>
      <w:lvlJc w:val="left"/>
      <w:pPr>
        <w:tabs>
          <w:tab w:val="num" w:pos="2160"/>
        </w:tabs>
        <w:ind w:left="2160" w:hanging="360"/>
      </w:pPr>
      <w:rPr>
        <w:rFonts w:ascii="Symbol" w:hAnsi="Symbol" w:hint="default"/>
      </w:rPr>
    </w:lvl>
    <w:lvl w:ilvl="4" w:tplc="FE942EA4">
      <w:start w:val="1"/>
      <w:numFmt w:val="bullet"/>
      <w:lvlText w:val="o"/>
      <w:lvlJc w:val="left"/>
      <w:pPr>
        <w:tabs>
          <w:tab w:val="num" w:pos="2880"/>
        </w:tabs>
        <w:ind w:left="2880" w:hanging="360"/>
      </w:pPr>
      <w:rPr>
        <w:rFonts w:ascii="Courier New" w:hAnsi="Courier New" w:hint="default"/>
      </w:rPr>
    </w:lvl>
    <w:lvl w:ilvl="5" w:tplc="D584D36E">
      <w:start w:val="1"/>
      <w:numFmt w:val="bullet"/>
      <w:lvlText w:val=""/>
      <w:lvlJc w:val="left"/>
      <w:pPr>
        <w:tabs>
          <w:tab w:val="num" w:pos="3600"/>
        </w:tabs>
        <w:ind w:left="3600" w:hanging="360"/>
      </w:pPr>
      <w:rPr>
        <w:rFonts w:ascii="Wingdings" w:hAnsi="Wingdings" w:hint="default"/>
      </w:rPr>
    </w:lvl>
    <w:lvl w:ilvl="6" w:tplc="CAEEA276">
      <w:start w:val="1"/>
      <w:numFmt w:val="bullet"/>
      <w:lvlText w:val=""/>
      <w:lvlJc w:val="left"/>
      <w:pPr>
        <w:tabs>
          <w:tab w:val="num" w:pos="4320"/>
        </w:tabs>
        <w:ind w:left="4320" w:hanging="360"/>
      </w:pPr>
      <w:rPr>
        <w:rFonts w:ascii="Symbol" w:hAnsi="Symbol" w:hint="default"/>
      </w:rPr>
    </w:lvl>
    <w:lvl w:ilvl="7" w:tplc="FE28120E">
      <w:start w:val="1"/>
      <w:numFmt w:val="bullet"/>
      <w:lvlText w:val="o"/>
      <w:lvlJc w:val="left"/>
      <w:pPr>
        <w:tabs>
          <w:tab w:val="num" w:pos="5040"/>
        </w:tabs>
        <w:ind w:left="5040" w:hanging="360"/>
      </w:pPr>
      <w:rPr>
        <w:rFonts w:ascii="Courier New" w:hAnsi="Courier New" w:hint="default"/>
      </w:rPr>
    </w:lvl>
    <w:lvl w:ilvl="8" w:tplc="1AE2D466">
      <w:start w:val="1"/>
      <w:numFmt w:val="bullet"/>
      <w:lvlText w:val=""/>
      <w:lvlJc w:val="left"/>
      <w:pPr>
        <w:tabs>
          <w:tab w:val="num" w:pos="5760"/>
        </w:tabs>
        <w:ind w:left="5760" w:hanging="360"/>
      </w:pPr>
      <w:rPr>
        <w:rFonts w:ascii="Wingdings" w:hAnsi="Wingdings" w:hint="default"/>
      </w:rPr>
    </w:lvl>
  </w:abstractNum>
  <w:abstractNum w:abstractNumId="52">
    <w:nsid w:val="29FC6369"/>
    <w:multiLevelType w:val="hybridMultilevel"/>
    <w:tmpl w:val="12C454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2A0949C6"/>
    <w:multiLevelType w:val="hybridMultilevel"/>
    <w:tmpl w:val="31A26D58"/>
    <w:lvl w:ilvl="0" w:tplc="3EB643BE">
      <w:numFmt w:val="bullet"/>
      <w:lvlText w:val="-"/>
      <w:lvlJc w:val="left"/>
      <w:pPr>
        <w:ind w:left="720" w:hanging="360"/>
      </w:pPr>
      <w:rPr>
        <w:rFonts w:ascii="Open Sans" w:eastAsia="Times New Roman" w:hAnsi="Open Sans" w:cs="Open San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2A552ADD"/>
    <w:multiLevelType w:val="hybridMultilevel"/>
    <w:tmpl w:val="4734E7B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2B2742E6"/>
    <w:multiLevelType w:val="hybridMultilevel"/>
    <w:tmpl w:val="78C82572"/>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6">
    <w:nsid w:val="2DB955BE"/>
    <w:multiLevelType w:val="hybridMultilevel"/>
    <w:tmpl w:val="2CEEEE24"/>
    <w:lvl w:ilvl="0" w:tplc="00000001">
      <w:start w:val="1"/>
      <w:numFmt w:val="bullet"/>
      <w:lvlText w:val="-"/>
      <w:lvlJc w:val="left"/>
      <w:pPr>
        <w:ind w:left="720" w:hanging="360"/>
      </w:pPr>
      <w:rPr>
        <w:rFonts w:ascii="Arial"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7">
    <w:nsid w:val="2DED0648"/>
    <w:multiLevelType w:val="hybridMultilevel"/>
    <w:tmpl w:val="4678CEE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2EAB0A1E"/>
    <w:multiLevelType w:val="hybridMultilevel"/>
    <w:tmpl w:val="B14AD64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31DB65C0"/>
    <w:multiLevelType w:val="hybridMultilevel"/>
    <w:tmpl w:val="73224B48"/>
    <w:lvl w:ilvl="0" w:tplc="00000001">
      <w:start w:val="4"/>
      <w:numFmt w:val="bullet"/>
      <w:lvlText w:val="-"/>
      <w:lvlJc w:val="left"/>
      <w:pPr>
        <w:ind w:left="720" w:hanging="360"/>
      </w:pPr>
      <w:rPr>
        <w:rFonts w:ascii="Arial" w:hAnsi="Arial" w:cs="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31F24492"/>
    <w:multiLevelType w:val="hybridMultilevel"/>
    <w:tmpl w:val="A4F00612"/>
    <w:lvl w:ilvl="0" w:tplc="00000001">
      <w:start w:val="4"/>
      <w:numFmt w:val="bullet"/>
      <w:lvlText w:val="-"/>
      <w:lvlJc w:val="left"/>
      <w:pPr>
        <w:ind w:left="720" w:hanging="360"/>
      </w:pPr>
      <w:rPr>
        <w:rFonts w:ascii="Arial" w:hAnsi="Arial" w:cs="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nsid w:val="34EB5FDF"/>
    <w:multiLevelType w:val="hybridMultilevel"/>
    <w:tmpl w:val="4E72EBE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62">
    <w:nsid w:val="35066766"/>
    <w:multiLevelType w:val="hybridMultilevel"/>
    <w:tmpl w:val="2848A7D2"/>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355719AD"/>
    <w:multiLevelType w:val="hybridMultilevel"/>
    <w:tmpl w:val="8A625BB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nsid w:val="35B51EAE"/>
    <w:multiLevelType w:val="hybridMultilevel"/>
    <w:tmpl w:val="6ED8E82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nsid w:val="36883D39"/>
    <w:multiLevelType w:val="hybridMultilevel"/>
    <w:tmpl w:val="0E08C016"/>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66">
    <w:nsid w:val="37073BA7"/>
    <w:multiLevelType w:val="hybridMultilevel"/>
    <w:tmpl w:val="822AEF4A"/>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nsid w:val="372D0A72"/>
    <w:multiLevelType w:val="hybridMultilevel"/>
    <w:tmpl w:val="D2BC2FAC"/>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nsid w:val="38A4354B"/>
    <w:multiLevelType w:val="hybridMultilevel"/>
    <w:tmpl w:val="749618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nsid w:val="3A047A46"/>
    <w:multiLevelType w:val="hybridMultilevel"/>
    <w:tmpl w:val="37E83088"/>
    <w:lvl w:ilvl="0" w:tplc="E6644CD2">
      <w:numFmt w:val="bullet"/>
      <w:lvlText w:val="-"/>
      <w:lvlJc w:val="left"/>
      <w:pPr>
        <w:ind w:left="720" w:hanging="360"/>
      </w:pPr>
      <w:rPr>
        <w:rFonts w:ascii="Arial" w:eastAsia="Calibri"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0">
    <w:nsid w:val="3A051B08"/>
    <w:multiLevelType w:val="hybridMultilevel"/>
    <w:tmpl w:val="3CF4B90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nsid w:val="3A96583E"/>
    <w:multiLevelType w:val="hybridMultilevel"/>
    <w:tmpl w:val="1CFE9CCE"/>
    <w:lvl w:ilvl="0" w:tplc="1E4A474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
    <w:nsid w:val="3DD24F28"/>
    <w:multiLevelType w:val="hybridMultilevel"/>
    <w:tmpl w:val="07047906"/>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
    <w:nsid w:val="3E5753A2"/>
    <w:multiLevelType w:val="hybridMultilevel"/>
    <w:tmpl w:val="89840E2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nsid w:val="3E6732F1"/>
    <w:multiLevelType w:val="hybridMultilevel"/>
    <w:tmpl w:val="414E9FA2"/>
    <w:lvl w:ilvl="0" w:tplc="AFF256C6">
      <w:start w:val="2015"/>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5">
    <w:nsid w:val="3F3751A8"/>
    <w:multiLevelType w:val="hybridMultilevel"/>
    <w:tmpl w:val="BE9874BC"/>
    <w:lvl w:ilvl="0" w:tplc="E9B0AC48">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6">
    <w:nsid w:val="40AA706E"/>
    <w:multiLevelType w:val="hybridMultilevel"/>
    <w:tmpl w:val="09BA7C9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40FB2B6E"/>
    <w:multiLevelType w:val="hybridMultilevel"/>
    <w:tmpl w:val="9E827D8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8">
    <w:nsid w:val="412A2CA6"/>
    <w:multiLevelType w:val="hybridMultilevel"/>
    <w:tmpl w:val="245C490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9">
    <w:nsid w:val="41FD56BB"/>
    <w:multiLevelType w:val="hybridMultilevel"/>
    <w:tmpl w:val="FE22E6D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nsid w:val="4322419F"/>
    <w:multiLevelType w:val="hybridMultilevel"/>
    <w:tmpl w:val="6F56C9E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nsid w:val="43543E83"/>
    <w:multiLevelType w:val="hybridMultilevel"/>
    <w:tmpl w:val="E7509DAE"/>
    <w:lvl w:ilvl="0" w:tplc="EFB6C156">
      <w:start w:val="4"/>
      <w:numFmt w:val="bullet"/>
      <w:lvlText w:val="-"/>
      <w:lvlJc w:val="left"/>
      <w:pPr>
        <w:ind w:left="720" w:hanging="360"/>
      </w:pPr>
      <w:rPr>
        <w:rFonts w:ascii="Arial" w:hAnsi="Arial" w:hint="default"/>
        <w:sz w:val="24"/>
        <w:szCs w:val="24"/>
      </w:rPr>
    </w:lvl>
    <w:lvl w:ilvl="1" w:tplc="0C0A0003">
      <w:start w:val="1"/>
      <w:numFmt w:val="bullet"/>
      <w:lvlText w:val="o"/>
      <w:lvlJc w:val="left"/>
      <w:pPr>
        <w:ind w:left="1440" w:hanging="360"/>
      </w:pPr>
      <w:rPr>
        <w:rFonts w:ascii="Courier New" w:hAnsi="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nsid w:val="43F43AF8"/>
    <w:multiLevelType w:val="hybridMultilevel"/>
    <w:tmpl w:val="E1FC22D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nsid w:val="451749DF"/>
    <w:multiLevelType w:val="hybridMultilevel"/>
    <w:tmpl w:val="4D0AF02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
    <w:nsid w:val="452C6170"/>
    <w:multiLevelType w:val="hybridMultilevel"/>
    <w:tmpl w:val="8188E60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5">
    <w:nsid w:val="48911498"/>
    <w:multiLevelType w:val="hybridMultilevel"/>
    <w:tmpl w:val="593A73DA"/>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nsid w:val="48FE0C4B"/>
    <w:multiLevelType w:val="hybridMultilevel"/>
    <w:tmpl w:val="9D5E85F6"/>
    <w:lvl w:ilvl="0" w:tplc="A8D450C6">
      <w:numFmt w:val="bullet"/>
      <w:lvlText w:val="-"/>
      <w:lvlJc w:val="left"/>
      <w:pPr>
        <w:tabs>
          <w:tab w:val="num" w:pos="0"/>
        </w:tabs>
        <w:ind w:left="0" w:hanging="360"/>
      </w:pPr>
      <w:rPr>
        <w:rFonts w:ascii="Arial" w:eastAsia="Times New Roman" w:hAnsi="Arial" w:hint="default"/>
      </w:rPr>
    </w:lvl>
    <w:lvl w:ilvl="1" w:tplc="EFB6C156">
      <w:start w:val="4"/>
      <w:numFmt w:val="bullet"/>
      <w:lvlText w:val="-"/>
      <w:lvlJc w:val="left"/>
      <w:pPr>
        <w:ind w:left="720" w:hanging="360"/>
      </w:pPr>
      <w:rPr>
        <w:rFonts w:ascii="Arial" w:hAnsi="Arial" w:hint="default"/>
        <w:sz w:val="24"/>
        <w:szCs w:val="24"/>
      </w:rPr>
    </w:lvl>
    <w:lvl w:ilvl="2" w:tplc="0000001A">
      <w:start w:val="4"/>
      <w:numFmt w:val="bullet"/>
      <w:lvlText w:val="-"/>
      <w:lvlJc w:val="left"/>
      <w:pPr>
        <w:ind w:left="1440" w:hanging="360"/>
      </w:pPr>
      <w:rPr>
        <w:rFonts w:ascii="Arial" w:hAnsi="Arial" w:hint="default"/>
      </w:rPr>
    </w:lvl>
    <w:lvl w:ilvl="3" w:tplc="FA3432B6">
      <w:start w:val="1"/>
      <w:numFmt w:val="bullet"/>
      <w:lvlText w:val=""/>
      <w:lvlJc w:val="left"/>
      <w:pPr>
        <w:tabs>
          <w:tab w:val="num" w:pos="2160"/>
        </w:tabs>
        <w:ind w:left="2160" w:hanging="360"/>
      </w:pPr>
      <w:rPr>
        <w:rFonts w:ascii="Symbol" w:hAnsi="Symbol" w:hint="default"/>
      </w:rPr>
    </w:lvl>
    <w:lvl w:ilvl="4" w:tplc="FE942EA4">
      <w:start w:val="1"/>
      <w:numFmt w:val="bullet"/>
      <w:lvlText w:val="o"/>
      <w:lvlJc w:val="left"/>
      <w:pPr>
        <w:tabs>
          <w:tab w:val="num" w:pos="2880"/>
        </w:tabs>
        <w:ind w:left="2880" w:hanging="360"/>
      </w:pPr>
      <w:rPr>
        <w:rFonts w:ascii="Courier New" w:hAnsi="Courier New" w:hint="default"/>
      </w:rPr>
    </w:lvl>
    <w:lvl w:ilvl="5" w:tplc="D584D36E">
      <w:start w:val="1"/>
      <w:numFmt w:val="bullet"/>
      <w:lvlText w:val=""/>
      <w:lvlJc w:val="left"/>
      <w:pPr>
        <w:tabs>
          <w:tab w:val="num" w:pos="3600"/>
        </w:tabs>
        <w:ind w:left="3600" w:hanging="360"/>
      </w:pPr>
      <w:rPr>
        <w:rFonts w:ascii="Wingdings" w:hAnsi="Wingdings" w:hint="default"/>
      </w:rPr>
    </w:lvl>
    <w:lvl w:ilvl="6" w:tplc="CAEEA276">
      <w:start w:val="1"/>
      <w:numFmt w:val="bullet"/>
      <w:lvlText w:val=""/>
      <w:lvlJc w:val="left"/>
      <w:pPr>
        <w:tabs>
          <w:tab w:val="num" w:pos="4320"/>
        </w:tabs>
        <w:ind w:left="4320" w:hanging="360"/>
      </w:pPr>
      <w:rPr>
        <w:rFonts w:ascii="Symbol" w:hAnsi="Symbol" w:hint="default"/>
      </w:rPr>
    </w:lvl>
    <w:lvl w:ilvl="7" w:tplc="FE28120E">
      <w:start w:val="1"/>
      <w:numFmt w:val="bullet"/>
      <w:lvlText w:val="o"/>
      <w:lvlJc w:val="left"/>
      <w:pPr>
        <w:tabs>
          <w:tab w:val="num" w:pos="5040"/>
        </w:tabs>
        <w:ind w:left="5040" w:hanging="360"/>
      </w:pPr>
      <w:rPr>
        <w:rFonts w:ascii="Courier New" w:hAnsi="Courier New" w:hint="default"/>
      </w:rPr>
    </w:lvl>
    <w:lvl w:ilvl="8" w:tplc="1AE2D466">
      <w:start w:val="1"/>
      <w:numFmt w:val="bullet"/>
      <w:lvlText w:val=""/>
      <w:lvlJc w:val="left"/>
      <w:pPr>
        <w:tabs>
          <w:tab w:val="num" w:pos="5760"/>
        </w:tabs>
        <w:ind w:left="5760" w:hanging="360"/>
      </w:pPr>
      <w:rPr>
        <w:rFonts w:ascii="Wingdings" w:hAnsi="Wingdings" w:hint="default"/>
      </w:rPr>
    </w:lvl>
  </w:abstractNum>
  <w:abstractNum w:abstractNumId="87">
    <w:nsid w:val="492712A5"/>
    <w:multiLevelType w:val="hybridMultilevel"/>
    <w:tmpl w:val="F886E43E"/>
    <w:lvl w:ilvl="0" w:tplc="B3541BB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49F213EB"/>
    <w:multiLevelType w:val="hybridMultilevel"/>
    <w:tmpl w:val="89A0446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
    <w:nsid w:val="4BC34789"/>
    <w:multiLevelType w:val="multilevel"/>
    <w:tmpl w:val="2D768D3E"/>
    <w:lvl w:ilvl="0">
      <w:start w:val="4"/>
      <w:numFmt w:val="bullet"/>
      <w:lvlText w:val="-"/>
      <w:lvlJc w:val="left"/>
      <w:pPr>
        <w:tabs>
          <w:tab w:val="num" w:pos="720"/>
        </w:tabs>
        <w:ind w:left="720" w:hanging="360"/>
      </w:pPr>
      <w:rPr>
        <w:rFonts w:ascii="Arial" w:hAnsi="Arial" w:cs="Arial" w:hint="default"/>
        <w:b/>
        <w:sz w:val="22"/>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90">
    <w:nsid w:val="4EB83346"/>
    <w:multiLevelType w:val="hybridMultilevel"/>
    <w:tmpl w:val="6C86AC6C"/>
    <w:lvl w:ilvl="0" w:tplc="2208FB70">
      <w:start w:val="4"/>
      <w:numFmt w:val="bullet"/>
      <w:lvlText w:val="-"/>
      <w:lvlJc w:val="left"/>
      <w:pPr>
        <w:tabs>
          <w:tab w:val="num" w:pos="360"/>
        </w:tabs>
      </w:pPr>
      <w:rPr>
        <w:rFonts w:ascii="Arial" w:hAnsi="Arial"/>
      </w:rPr>
    </w:lvl>
    <w:lvl w:ilvl="1" w:tplc="B476B014" w:tentative="1">
      <w:start w:val="1"/>
      <w:numFmt w:val="bullet"/>
      <w:lvlText w:val="o"/>
      <w:lvlJc w:val="left"/>
      <w:pPr>
        <w:ind w:left="1440" w:hanging="360"/>
      </w:pPr>
      <w:rPr>
        <w:rFonts w:ascii="Courier New" w:hAnsi="Courier New" w:hint="default"/>
      </w:rPr>
    </w:lvl>
    <w:lvl w:ilvl="2" w:tplc="8BE2D5FA" w:tentative="1">
      <w:start w:val="1"/>
      <w:numFmt w:val="bullet"/>
      <w:lvlText w:val=""/>
      <w:lvlJc w:val="left"/>
      <w:pPr>
        <w:ind w:left="2160" w:hanging="360"/>
      </w:pPr>
      <w:rPr>
        <w:rFonts w:ascii="Wingdings" w:hAnsi="Wingdings" w:hint="default"/>
      </w:rPr>
    </w:lvl>
    <w:lvl w:ilvl="3" w:tplc="7F16F0AA" w:tentative="1">
      <w:start w:val="1"/>
      <w:numFmt w:val="bullet"/>
      <w:lvlText w:val=""/>
      <w:lvlJc w:val="left"/>
      <w:pPr>
        <w:ind w:left="2880" w:hanging="360"/>
      </w:pPr>
      <w:rPr>
        <w:rFonts w:ascii="Symbol" w:hAnsi="Symbol" w:hint="default"/>
      </w:rPr>
    </w:lvl>
    <w:lvl w:ilvl="4" w:tplc="52A4DEB4" w:tentative="1">
      <w:start w:val="1"/>
      <w:numFmt w:val="bullet"/>
      <w:lvlText w:val="o"/>
      <w:lvlJc w:val="left"/>
      <w:pPr>
        <w:ind w:left="3600" w:hanging="360"/>
      </w:pPr>
      <w:rPr>
        <w:rFonts w:ascii="Courier New" w:hAnsi="Courier New" w:hint="default"/>
      </w:rPr>
    </w:lvl>
    <w:lvl w:ilvl="5" w:tplc="5A04C67C" w:tentative="1">
      <w:start w:val="1"/>
      <w:numFmt w:val="bullet"/>
      <w:lvlText w:val=""/>
      <w:lvlJc w:val="left"/>
      <w:pPr>
        <w:ind w:left="4320" w:hanging="360"/>
      </w:pPr>
      <w:rPr>
        <w:rFonts w:ascii="Wingdings" w:hAnsi="Wingdings" w:hint="default"/>
      </w:rPr>
    </w:lvl>
    <w:lvl w:ilvl="6" w:tplc="36222D3E" w:tentative="1">
      <w:start w:val="1"/>
      <w:numFmt w:val="bullet"/>
      <w:lvlText w:val=""/>
      <w:lvlJc w:val="left"/>
      <w:pPr>
        <w:ind w:left="5040" w:hanging="360"/>
      </w:pPr>
      <w:rPr>
        <w:rFonts w:ascii="Symbol" w:hAnsi="Symbol" w:hint="default"/>
      </w:rPr>
    </w:lvl>
    <w:lvl w:ilvl="7" w:tplc="178E1556" w:tentative="1">
      <w:start w:val="1"/>
      <w:numFmt w:val="bullet"/>
      <w:lvlText w:val="o"/>
      <w:lvlJc w:val="left"/>
      <w:pPr>
        <w:ind w:left="5760" w:hanging="360"/>
      </w:pPr>
      <w:rPr>
        <w:rFonts w:ascii="Courier New" w:hAnsi="Courier New" w:hint="default"/>
      </w:rPr>
    </w:lvl>
    <w:lvl w:ilvl="8" w:tplc="C6820D9C" w:tentative="1">
      <w:start w:val="1"/>
      <w:numFmt w:val="bullet"/>
      <w:lvlText w:val=""/>
      <w:lvlJc w:val="left"/>
      <w:pPr>
        <w:ind w:left="6480" w:hanging="360"/>
      </w:pPr>
      <w:rPr>
        <w:rFonts w:ascii="Wingdings" w:hAnsi="Wingdings" w:hint="default"/>
      </w:rPr>
    </w:lvl>
  </w:abstractNum>
  <w:abstractNum w:abstractNumId="91">
    <w:nsid w:val="4F7D438F"/>
    <w:multiLevelType w:val="hybridMultilevel"/>
    <w:tmpl w:val="244E210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nsid w:val="4FAC3679"/>
    <w:multiLevelType w:val="hybridMultilevel"/>
    <w:tmpl w:val="F104CD1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3">
    <w:nsid w:val="4FEB2905"/>
    <w:multiLevelType w:val="multilevel"/>
    <w:tmpl w:val="70F2949A"/>
    <w:lvl w:ilvl="0">
      <w:start w:val="1"/>
      <w:numFmt w:val="decimal"/>
      <w:pStyle w:val="Ttulo1-InformeIBEX"/>
      <w:lvlText w:val="%1."/>
      <w:lvlJc w:val="left"/>
      <w:pPr>
        <w:ind w:left="360" w:hanging="360"/>
      </w:pPr>
      <w:rPr>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4">
    <w:nsid w:val="50447D31"/>
    <w:multiLevelType w:val="hybridMultilevel"/>
    <w:tmpl w:val="3F3E8D58"/>
    <w:lvl w:ilvl="0" w:tplc="A8D450C6">
      <w:numFmt w:val="bullet"/>
      <w:lvlText w:val="-"/>
      <w:lvlJc w:val="left"/>
      <w:pPr>
        <w:tabs>
          <w:tab w:val="num" w:pos="0"/>
        </w:tabs>
        <w:ind w:left="0" w:hanging="360"/>
      </w:pPr>
      <w:rPr>
        <w:rFonts w:ascii="Arial" w:eastAsia="Times New Roman" w:hAnsi="Arial" w:hint="default"/>
      </w:rPr>
    </w:lvl>
    <w:lvl w:ilvl="1" w:tplc="EFB6C156">
      <w:start w:val="4"/>
      <w:numFmt w:val="bullet"/>
      <w:lvlText w:val="-"/>
      <w:lvlJc w:val="left"/>
      <w:pPr>
        <w:ind w:left="720" w:hanging="360"/>
      </w:pPr>
      <w:rPr>
        <w:rFonts w:ascii="Arial" w:hAnsi="Arial" w:hint="default"/>
        <w:sz w:val="24"/>
        <w:szCs w:val="24"/>
      </w:rPr>
    </w:lvl>
    <w:lvl w:ilvl="2" w:tplc="6FF69C26">
      <w:start w:val="1"/>
      <w:numFmt w:val="bullet"/>
      <w:lvlText w:val=""/>
      <w:lvlJc w:val="left"/>
      <w:pPr>
        <w:tabs>
          <w:tab w:val="num" w:pos="1440"/>
        </w:tabs>
        <w:ind w:left="1440" w:hanging="360"/>
      </w:pPr>
      <w:rPr>
        <w:rFonts w:ascii="Wingdings" w:hAnsi="Wingdings" w:hint="default"/>
      </w:rPr>
    </w:lvl>
    <w:lvl w:ilvl="3" w:tplc="FA3432B6">
      <w:start w:val="1"/>
      <w:numFmt w:val="bullet"/>
      <w:lvlText w:val=""/>
      <w:lvlJc w:val="left"/>
      <w:pPr>
        <w:tabs>
          <w:tab w:val="num" w:pos="2160"/>
        </w:tabs>
        <w:ind w:left="2160" w:hanging="360"/>
      </w:pPr>
      <w:rPr>
        <w:rFonts w:ascii="Symbol" w:hAnsi="Symbol" w:hint="default"/>
      </w:rPr>
    </w:lvl>
    <w:lvl w:ilvl="4" w:tplc="FE942EA4">
      <w:start w:val="1"/>
      <w:numFmt w:val="bullet"/>
      <w:lvlText w:val="o"/>
      <w:lvlJc w:val="left"/>
      <w:pPr>
        <w:tabs>
          <w:tab w:val="num" w:pos="2880"/>
        </w:tabs>
        <w:ind w:left="2880" w:hanging="360"/>
      </w:pPr>
      <w:rPr>
        <w:rFonts w:ascii="Courier New" w:hAnsi="Courier New" w:hint="default"/>
      </w:rPr>
    </w:lvl>
    <w:lvl w:ilvl="5" w:tplc="D584D36E">
      <w:start w:val="1"/>
      <w:numFmt w:val="bullet"/>
      <w:lvlText w:val=""/>
      <w:lvlJc w:val="left"/>
      <w:pPr>
        <w:tabs>
          <w:tab w:val="num" w:pos="3600"/>
        </w:tabs>
        <w:ind w:left="3600" w:hanging="360"/>
      </w:pPr>
      <w:rPr>
        <w:rFonts w:ascii="Wingdings" w:hAnsi="Wingdings" w:hint="default"/>
      </w:rPr>
    </w:lvl>
    <w:lvl w:ilvl="6" w:tplc="CAEEA276">
      <w:start w:val="1"/>
      <w:numFmt w:val="bullet"/>
      <w:lvlText w:val=""/>
      <w:lvlJc w:val="left"/>
      <w:pPr>
        <w:tabs>
          <w:tab w:val="num" w:pos="4320"/>
        </w:tabs>
        <w:ind w:left="4320" w:hanging="360"/>
      </w:pPr>
      <w:rPr>
        <w:rFonts w:ascii="Symbol" w:hAnsi="Symbol" w:hint="default"/>
      </w:rPr>
    </w:lvl>
    <w:lvl w:ilvl="7" w:tplc="FE28120E">
      <w:start w:val="1"/>
      <w:numFmt w:val="bullet"/>
      <w:lvlText w:val="o"/>
      <w:lvlJc w:val="left"/>
      <w:pPr>
        <w:tabs>
          <w:tab w:val="num" w:pos="5040"/>
        </w:tabs>
        <w:ind w:left="5040" w:hanging="360"/>
      </w:pPr>
      <w:rPr>
        <w:rFonts w:ascii="Courier New" w:hAnsi="Courier New" w:hint="default"/>
      </w:rPr>
    </w:lvl>
    <w:lvl w:ilvl="8" w:tplc="1AE2D466">
      <w:start w:val="1"/>
      <w:numFmt w:val="bullet"/>
      <w:lvlText w:val=""/>
      <w:lvlJc w:val="left"/>
      <w:pPr>
        <w:tabs>
          <w:tab w:val="num" w:pos="5760"/>
        </w:tabs>
        <w:ind w:left="5760" w:hanging="360"/>
      </w:pPr>
      <w:rPr>
        <w:rFonts w:ascii="Wingdings" w:hAnsi="Wingdings" w:hint="default"/>
      </w:rPr>
    </w:lvl>
  </w:abstractNum>
  <w:abstractNum w:abstractNumId="95">
    <w:nsid w:val="533438A8"/>
    <w:multiLevelType w:val="hybridMultilevel"/>
    <w:tmpl w:val="7AAA2CB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6">
    <w:nsid w:val="53D303B5"/>
    <w:multiLevelType w:val="hybridMultilevel"/>
    <w:tmpl w:val="C43A8D18"/>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97">
    <w:nsid w:val="5401693D"/>
    <w:multiLevelType w:val="hybridMultilevel"/>
    <w:tmpl w:val="35CE6CE2"/>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nsid w:val="54673E77"/>
    <w:multiLevelType w:val="hybridMultilevel"/>
    <w:tmpl w:val="28F495EE"/>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9">
    <w:nsid w:val="546B58CF"/>
    <w:multiLevelType w:val="hybridMultilevel"/>
    <w:tmpl w:val="97EA6B6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nsid w:val="56774F53"/>
    <w:multiLevelType w:val="hybridMultilevel"/>
    <w:tmpl w:val="D26AC13E"/>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1">
    <w:nsid w:val="5748341A"/>
    <w:multiLevelType w:val="hybridMultilevel"/>
    <w:tmpl w:val="04AEE7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nsid w:val="57FA51EF"/>
    <w:multiLevelType w:val="hybridMultilevel"/>
    <w:tmpl w:val="0DACFCA6"/>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3">
    <w:nsid w:val="59B5353A"/>
    <w:multiLevelType w:val="hybridMultilevel"/>
    <w:tmpl w:val="52E6DBA0"/>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Times New Roman"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Times New Roman"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Times New Roman" w:hint="default"/>
      </w:rPr>
    </w:lvl>
    <w:lvl w:ilvl="8" w:tplc="0C0A0005">
      <w:start w:val="1"/>
      <w:numFmt w:val="bullet"/>
      <w:lvlText w:val=""/>
      <w:lvlJc w:val="left"/>
      <w:pPr>
        <w:ind w:left="6480" w:hanging="360"/>
      </w:pPr>
      <w:rPr>
        <w:rFonts w:ascii="Wingdings" w:hAnsi="Wingdings" w:hint="default"/>
      </w:rPr>
    </w:lvl>
  </w:abstractNum>
  <w:abstractNum w:abstractNumId="104">
    <w:nsid w:val="5A9D6F48"/>
    <w:multiLevelType w:val="hybridMultilevel"/>
    <w:tmpl w:val="BE16D3BE"/>
    <w:lvl w:ilvl="0" w:tplc="EFB6C156">
      <w:start w:val="4"/>
      <w:numFmt w:val="bullet"/>
      <w:lvlText w:val="-"/>
      <w:lvlJc w:val="left"/>
      <w:pPr>
        <w:ind w:left="720" w:hanging="360"/>
      </w:pPr>
      <w:rPr>
        <w:rFonts w:ascii="Arial" w:hAnsi="Arial" w:hint="default"/>
        <w:sz w:val="24"/>
        <w:szCs w:val="24"/>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5">
    <w:nsid w:val="5AC92D14"/>
    <w:multiLevelType w:val="hybridMultilevel"/>
    <w:tmpl w:val="2F844776"/>
    <w:lvl w:ilvl="0" w:tplc="E9B0AC48">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6">
    <w:nsid w:val="5E954BFF"/>
    <w:multiLevelType w:val="hybridMultilevel"/>
    <w:tmpl w:val="7FC08FD0"/>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7">
    <w:nsid w:val="5F336AAF"/>
    <w:multiLevelType w:val="hybridMultilevel"/>
    <w:tmpl w:val="F0DA9B3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8">
    <w:nsid w:val="60C062E4"/>
    <w:multiLevelType w:val="hybridMultilevel"/>
    <w:tmpl w:val="219CB27E"/>
    <w:lvl w:ilvl="0" w:tplc="B3541BB8">
      <w:start w:val="1"/>
      <w:numFmt w:val="bullet"/>
      <w:lvlText w:val=""/>
      <w:lvlJc w:val="left"/>
      <w:pPr>
        <w:ind w:left="765" w:hanging="360"/>
      </w:pPr>
      <w:rPr>
        <w:rFonts w:ascii="Symbol" w:hAnsi="Symbol" w:hint="default"/>
      </w:rPr>
    </w:lvl>
    <w:lvl w:ilvl="1" w:tplc="0C0A0003">
      <w:start w:val="1"/>
      <w:numFmt w:val="bullet"/>
      <w:lvlText w:val="o"/>
      <w:lvlJc w:val="left"/>
      <w:pPr>
        <w:ind w:left="1485" w:hanging="360"/>
      </w:pPr>
      <w:rPr>
        <w:rFonts w:ascii="Courier New" w:hAnsi="Courier New" w:cs="Courier New" w:hint="default"/>
      </w:rPr>
    </w:lvl>
    <w:lvl w:ilvl="2" w:tplc="0C0A0005">
      <w:start w:val="1"/>
      <w:numFmt w:val="bullet"/>
      <w:lvlText w:val=""/>
      <w:lvlJc w:val="left"/>
      <w:pPr>
        <w:ind w:left="2205" w:hanging="360"/>
      </w:pPr>
      <w:rPr>
        <w:rFonts w:ascii="Wingdings" w:hAnsi="Wingdings" w:hint="default"/>
      </w:rPr>
    </w:lvl>
    <w:lvl w:ilvl="3" w:tplc="0C0A0001">
      <w:start w:val="1"/>
      <w:numFmt w:val="bullet"/>
      <w:lvlText w:val=""/>
      <w:lvlJc w:val="left"/>
      <w:pPr>
        <w:ind w:left="2925" w:hanging="360"/>
      </w:pPr>
      <w:rPr>
        <w:rFonts w:ascii="Symbol" w:hAnsi="Symbol" w:hint="default"/>
      </w:rPr>
    </w:lvl>
    <w:lvl w:ilvl="4" w:tplc="0C0A0003">
      <w:start w:val="1"/>
      <w:numFmt w:val="bullet"/>
      <w:lvlText w:val="o"/>
      <w:lvlJc w:val="left"/>
      <w:pPr>
        <w:ind w:left="3645" w:hanging="360"/>
      </w:pPr>
      <w:rPr>
        <w:rFonts w:ascii="Courier New" w:hAnsi="Courier New" w:cs="Courier New" w:hint="default"/>
      </w:rPr>
    </w:lvl>
    <w:lvl w:ilvl="5" w:tplc="0C0A0005">
      <w:start w:val="1"/>
      <w:numFmt w:val="bullet"/>
      <w:lvlText w:val=""/>
      <w:lvlJc w:val="left"/>
      <w:pPr>
        <w:ind w:left="4365" w:hanging="360"/>
      </w:pPr>
      <w:rPr>
        <w:rFonts w:ascii="Wingdings" w:hAnsi="Wingdings" w:hint="default"/>
      </w:rPr>
    </w:lvl>
    <w:lvl w:ilvl="6" w:tplc="0C0A0001">
      <w:start w:val="1"/>
      <w:numFmt w:val="bullet"/>
      <w:lvlText w:val=""/>
      <w:lvlJc w:val="left"/>
      <w:pPr>
        <w:ind w:left="5085" w:hanging="360"/>
      </w:pPr>
      <w:rPr>
        <w:rFonts w:ascii="Symbol" w:hAnsi="Symbol" w:hint="default"/>
      </w:rPr>
    </w:lvl>
    <w:lvl w:ilvl="7" w:tplc="0C0A0003">
      <w:start w:val="1"/>
      <w:numFmt w:val="bullet"/>
      <w:lvlText w:val="o"/>
      <w:lvlJc w:val="left"/>
      <w:pPr>
        <w:ind w:left="5805" w:hanging="360"/>
      </w:pPr>
      <w:rPr>
        <w:rFonts w:ascii="Courier New" w:hAnsi="Courier New" w:cs="Courier New" w:hint="default"/>
      </w:rPr>
    </w:lvl>
    <w:lvl w:ilvl="8" w:tplc="0C0A0005">
      <w:start w:val="1"/>
      <w:numFmt w:val="bullet"/>
      <w:lvlText w:val=""/>
      <w:lvlJc w:val="left"/>
      <w:pPr>
        <w:ind w:left="6525" w:hanging="360"/>
      </w:pPr>
      <w:rPr>
        <w:rFonts w:ascii="Wingdings" w:hAnsi="Wingdings" w:hint="default"/>
      </w:rPr>
    </w:lvl>
  </w:abstractNum>
  <w:abstractNum w:abstractNumId="109">
    <w:nsid w:val="64112C22"/>
    <w:multiLevelType w:val="hybridMultilevel"/>
    <w:tmpl w:val="8B78124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0">
    <w:nsid w:val="644E62EA"/>
    <w:multiLevelType w:val="hybridMultilevel"/>
    <w:tmpl w:val="F3B05042"/>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1">
    <w:nsid w:val="65FB0E45"/>
    <w:multiLevelType w:val="hybridMultilevel"/>
    <w:tmpl w:val="3764530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2">
    <w:nsid w:val="66F814DC"/>
    <w:multiLevelType w:val="hybridMultilevel"/>
    <w:tmpl w:val="E43C85DE"/>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3">
    <w:nsid w:val="67F9781D"/>
    <w:multiLevelType w:val="hybridMultilevel"/>
    <w:tmpl w:val="64CC560C"/>
    <w:lvl w:ilvl="0" w:tplc="E9B0AC48">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14">
    <w:nsid w:val="6A7436BB"/>
    <w:multiLevelType w:val="hybridMultilevel"/>
    <w:tmpl w:val="38581B8C"/>
    <w:lvl w:ilvl="0" w:tplc="E9B0AC48">
      <w:start w:val="1"/>
      <w:numFmt w:val="bullet"/>
      <w:lvlText w:val=""/>
      <w:lvlJc w:val="left"/>
      <w:pPr>
        <w:ind w:left="720" w:hanging="360"/>
      </w:pPr>
      <w:rPr>
        <w:rFonts w:ascii="Symbol" w:hAnsi="Symbol" w:hint="default"/>
      </w:rPr>
    </w:lvl>
    <w:lvl w:ilvl="1" w:tplc="EFB6C156">
      <w:start w:val="4"/>
      <w:numFmt w:val="bullet"/>
      <w:lvlText w:val="-"/>
      <w:lvlJc w:val="left"/>
      <w:pPr>
        <w:ind w:left="1440" w:hanging="360"/>
      </w:pPr>
      <w:rPr>
        <w:rFonts w:ascii="Arial" w:hAnsi="Arial" w:hint="default"/>
        <w:sz w:val="24"/>
        <w:szCs w:val="24"/>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5">
    <w:nsid w:val="6B2C425E"/>
    <w:multiLevelType w:val="hybridMultilevel"/>
    <w:tmpl w:val="4106E33E"/>
    <w:lvl w:ilvl="0" w:tplc="C1184018">
      <w:start w:val="2015"/>
      <w:numFmt w:val="bullet"/>
      <w:lvlText w:val="-"/>
      <w:lvlJc w:val="left"/>
      <w:pPr>
        <w:ind w:left="420" w:hanging="360"/>
      </w:pPr>
      <w:rPr>
        <w:rFonts w:ascii="Calibri" w:eastAsia="Times New Roman" w:hAnsi="Calibri" w:cs="Times New Roman" w:hint="default"/>
      </w:rPr>
    </w:lvl>
    <w:lvl w:ilvl="1" w:tplc="0C0A0003" w:tentative="1">
      <w:start w:val="1"/>
      <w:numFmt w:val="bullet"/>
      <w:lvlText w:val="o"/>
      <w:lvlJc w:val="left"/>
      <w:pPr>
        <w:ind w:left="1140" w:hanging="360"/>
      </w:pPr>
      <w:rPr>
        <w:rFonts w:ascii="Courier New" w:hAnsi="Courier New" w:cs="Courier New" w:hint="default"/>
      </w:rPr>
    </w:lvl>
    <w:lvl w:ilvl="2" w:tplc="0C0A0005" w:tentative="1">
      <w:start w:val="1"/>
      <w:numFmt w:val="bullet"/>
      <w:lvlText w:val=""/>
      <w:lvlJc w:val="left"/>
      <w:pPr>
        <w:ind w:left="1860" w:hanging="360"/>
      </w:pPr>
      <w:rPr>
        <w:rFonts w:ascii="Wingdings" w:hAnsi="Wingdings" w:hint="default"/>
      </w:rPr>
    </w:lvl>
    <w:lvl w:ilvl="3" w:tplc="0C0A0001" w:tentative="1">
      <w:start w:val="1"/>
      <w:numFmt w:val="bullet"/>
      <w:lvlText w:val=""/>
      <w:lvlJc w:val="left"/>
      <w:pPr>
        <w:ind w:left="2580" w:hanging="360"/>
      </w:pPr>
      <w:rPr>
        <w:rFonts w:ascii="Symbol" w:hAnsi="Symbol" w:hint="default"/>
      </w:rPr>
    </w:lvl>
    <w:lvl w:ilvl="4" w:tplc="0C0A0003" w:tentative="1">
      <w:start w:val="1"/>
      <w:numFmt w:val="bullet"/>
      <w:lvlText w:val="o"/>
      <w:lvlJc w:val="left"/>
      <w:pPr>
        <w:ind w:left="3300" w:hanging="360"/>
      </w:pPr>
      <w:rPr>
        <w:rFonts w:ascii="Courier New" w:hAnsi="Courier New" w:cs="Courier New" w:hint="default"/>
      </w:rPr>
    </w:lvl>
    <w:lvl w:ilvl="5" w:tplc="0C0A0005" w:tentative="1">
      <w:start w:val="1"/>
      <w:numFmt w:val="bullet"/>
      <w:lvlText w:val=""/>
      <w:lvlJc w:val="left"/>
      <w:pPr>
        <w:ind w:left="4020" w:hanging="360"/>
      </w:pPr>
      <w:rPr>
        <w:rFonts w:ascii="Wingdings" w:hAnsi="Wingdings" w:hint="default"/>
      </w:rPr>
    </w:lvl>
    <w:lvl w:ilvl="6" w:tplc="0C0A0001" w:tentative="1">
      <w:start w:val="1"/>
      <w:numFmt w:val="bullet"/>
      <w:lvlText w:val=""/>
      <w:lvlJc w:val="left"/>
      <w:pPr>
        <w:ind w:left="4740" w:hanging="360"/>
      </w:pPr>
      <w:rPr>
        <w:rFonts w:ascii="Symbol" w:hAnsi="Symbol" w:hint="default"/>
      </w:rPr>
    </w:lvl>
    <w:lvl w:ilvl="7" w:tplc="0C0A0003" w:tentative="1">
      <w:start w:val="1"/>
      <w:numFmt w:val="bullet"/>
      <w:lvlText w:val="o"/>
      <w:lvlJc w:val="left"/>
      <w:pPr>
        <w:ind w:left="5460" w:hanging="360"/>
      </w:pPr>
      <w:rPr>
        <w:rFonts w:ascii="Courier New" w:hAnsi="Courier New" w:cs="Courier New" w:hint="default"/>
      </w:rPr>
    </w:lvl>
    <w:lvl w:ilvl="8" w:tplc="0C0A0005" w:tentative="1">
      <w:start w:val="1"/>
      <w:numFmt w:val="bullet"/>
      <w:lvlText w:val=""/>
      <w:lvlJc w:val="left"/>
      <w:pPr>
        <w:ind w:left="6180" w:hanging="360"/>
      </w:pPr>
      <w:rPr>
        <w:rFonts w:ascii="Wingdings" w:hAnsi="Wingdings" w:hint="default"/>
      </w:rPr>
    </w:lvl>
  </w:abstractNum>
  <w:abstractNum w:abstractNumId="116">
    <w:nsid w:val="6E336404"/>
    <w:multiLevelType w:val="hybridMultilevel"/>
    <w:tmpl w:val="4EDEF456"/>
    <w:lvl w:ilvl="0" w:tplc="B3541BB8">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7">
    <w:nsid w:val="6EF045AD"/>
    <w:multiLevelType w:val="hybridMultilevel"/>
    <w:tmpl w:val="8C6451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8">
    <w:nsid w:val="71841E55"/>
    <w:multiLevelType w:val="hybridMultilevel"/>
    <w:tmpl w:val="9FE8138A"/>
    <w:lvl w:ilvl="0" w:tplc="1E4A474E">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9">
    <w:nsid w:val="71B75B7A"/>
    <w:multiLevelType w:val="hybridMultilevel"/>
    <w:tmpl w:val="3F3E9774"/>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0">
    <w:nsid w:val="73386C2D"/>
    <w:multiLevelType w:val="hybridMultilevel"/>
    <w:tmpl w:val="7C0A1E78"/>
    <w:lvl w:ilvl="0" w:tplc="343420F0">
      <w:start w:val="1"/>
      <w:numFmt w:val="decimal"/>
      <w:lvlText w:val="%1."/>
      <w:lvlJc w:val="left"/>
      <w:pPr>
        <w:ind w:left="720" w:hanging="360"/>
      </w:pPr>
      <w:rPr>
        <w:rFonts w:ascii="Open Sans" w:hAnsi="Open Sans" w:hint="default"/>
        <w:b w:val="0"/>
        <w:bCs w:val="0"/>
        <w:i w:val="0"/>
        <w:iCs w:val="0"/>
        <w:outline w:val="0"/>
        <w:shadow w:val="0"/>
        <w:emboss w:val="0"/>
        <w:imprint w:val="0"/>
        <w:color w:val="auto"/>
        <w:sz w:val="20"/>
        <w:szCs w:val="2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1">
    <w:nsid w:val="740A6A89"/>
    <w:multiLevelType w:val="multilevel"/>
    <w:tmpl w:val="CFA228D0"/>
    <w:lvl w:ilvl="0">
      <w:start w:val="1"/>
      <w:numFmt w:val="bullet"/>
      <w:lvlText w:val="o"/>
      <w:lvlJc w:val="left"/>
      <w:pPr>
        <w:ind w:left="360" w:hanging="360"/>
      </w:pPr>
      <w:rPr>
        <w:rFonts w:ascii="Courier New" w:hAnsi="Courier New" w:cs="Courier New" w:hint="default"/>
        <w:b/>
        <w:sz w:val="20"/>
        <w:szCs w:val="20"/>
      </w:rPr>
    </w:lvl>
    <w:lvl w:ilvl="1">
      <w:start w:val="1"/>
      <w:numFmt w:val="bullet"/>
      <w:lvlText w:val="o"/>
      <w:lvlJc w:val="left"/>
      <w:pPr>
        <w:tabs>
          <w:tab w:val="num" w:pos="1080"/>
        </w:tabs>
        <w:ind w:left="1080" w:hanging="360"/>
      </w:pPr>
      <w:rPr>
        <w:rFonts w:ascii="Courier New" w:hAnsi="Courier New" w:cs="Courier New" w:hint="default"/>
        <w:sz w:val="20"/>
        <w:szCs w:val="20"/>
      </w:rPr>
    </w:lvl>
    <w:lvl w:ilvl="2">
      <w:start w:val="1"/>
      <w:numFmt w:val="bullet"/>
      <w:lvlText w:val=""/>
      <w:lvlJc w:val="left"/>
      <w:pPr>
        <w:tabs>
          <w:tab w:val="num" w:pos="1800"/>
        </w:tabs>
        <w:ind w:left="1800" w:hanging="360"/>
      </w:pPr>
      <w:rPr>
        <w:rFonts w:ascii="Wingdings" w:hAnsi="Wingdings" w:cs="Wingdings" w:hint="default"/>
        <w:b/>
        <w:sz w:val="20"/>
        <w:szCs w:val="20"/>
      </w:rPr>
    </w:lvl>
    <w:lvl w:ilvl="3">
      <w:start w:val="1"/>
      <w:numFmt w:val="bullet"/>
      <w:lvlText w:val=""/>
      <w:lvlJc w:val="left"/>
      <w:pPr>
        <w:tabs>
          <w:tab w:val="num" w:pos="2520"/>
        </w:tabs>
        <w:ind w:left="2520" w:hanging="360"/>
      </w:pPr>
      <w:rPr>
        <w:rFonts w:ascii="Symbol" w:hAnsi="Symbol" w:cs="Symbol" w:hint="default"/>
        <w:b/>
        <w:sz w:val="20"/>
        <w:szCs w:val="20"/>
      </w:rPr>
    </w:lvl>
    <w:lvl w:ilvl="4">
      <w:start w:val="1"/>
      <w:numFmt w:val="bullet"/>
      <w:lvlText w:val="o"/>
      <w:lvlJc w:val="left"/>
      <w:pPr>
        <w:tabs>
          <w:tab w:val="num" w:pos="3240"/>
        </w:tabs>
        <w:ind w:left="3240" w:hanging="360"/>
      </w:pPr>
      <w:rPr>
        <w:rFonts w:ascii="Courier New" w:hAnsi="Courier New" w:cs="Courier New" w:hint="default"/>
        <w:sz w:val="20"/>
        <w:szCs w:val="20"/>
      </w:rPr>
    </w:lvl>
    <w:lvl w:ilvl="5">
      <w:start w:val="1"/>
      <w:numFmt w:val="bullet"/>
      <w:lvlText w:val=""/>
      <w:lvlJc w:val="left"/>
      <w:pPr>
        <w:tabs>
          <w:tab w:val="num" w:pos="3960"/>
        </w:tabs>
        <w:ind w:left="3960" w:hanging="360"/>
      </w:pPr>
      <w:rPr>
        <w:rFonts w:ascii="Wingdings" w:hAnsi="Wingdings" w:cs="Wingdings" w:hint="default"/>
        <w:sz w:val="20"/>
        <w:szCs w:val="20"/>
      </w:rPr>
    </w:lvl>
    <w:lvl w:ilvl="6">
      <w:start w:val="1"/>
      <w:numFmt w:val="bullet"/>
      <w:lvlText w:val=""/>
      <w:lvlJc w:val="left"/>
      <w:pPr>
        <w:tabs>
          <w:tab w:val="num" w:pos="4680"/>
        </w:tabs>
        <w:ind w:left="4680" w:hanging="360"/>
      </w:pPr>
      <w:rPr>
        <w:rFonts w:ascii="Symbol" w:hAnsi="Symbol" w:cs="Symbol" w:hint="default"/>
        <w:sz w:val="20"/>
        <w:szCs w:val="20"/>
      </w:rPr>
    </w:lvl>
    <w:lvl w:ilvl="7">
      <w:start w:val="1"/>
      <w:numFmt w:val="bullet"/>
      <w:lvlText w:val="o"/>
      <w:lvlJc w:val="left"/>
      <w:pPr>
        <w:tabs>
          <w:tab w:val="num" w:pos="5400"/>
        </w:tabs>
        <w:ind w:left="5400" w:hanging="360"/>
      </w:pPr>
      <w:rPr>
        <w:rFonts w:ascii="Courier New" w:hAnsi="Courier New" w:cs="Courier New" w:hint="default"/>
        <w:sz w:val="20"/>
        <w:szCs w:val="20"/>
      </w:rPr>
    </w:lvl>
    <w:lvl w:ilvl="8">
      <w:start w:val="1"/>
      <w:numFmt w:val="bullet"/>
      <w:lvlText w:val=""/>
      <w:lvlJc w:val="left"/>
      <w:pPr>
        <w:tabs>
          <w:tab w:val="num" w:pos="6120"/>
        </w:tabs>
        <w:ind w:left="6120" w:hanging="360"/>
      </w:pPr>
      <w:rPr>
        <w:rFonts w:ascii="Wingdings" w:hAnsi="Wingdings" w:cs="Wingdings" w:hint="default"/>
        <w:sz w:val="20"/>
        <w:szCs w:val="20"/>
      </w:rPr>
    </w:lvl>
  </w:abstractNum>
  <w:abstractNum w:abstractNumId="122">
    <w:nsid w:val="757011C2"/>
    <w:multiLevelType w:val="hybridMultilevel"/>
    <w:tmpl w:val="FB881798"/>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3">
    <w:nsid w:val="767A7A4B"/>
    <w:multiLevelType w:val="hybridMultilevel"/>
    <w:tmpl w:val="CD3618DC"/>
    <w:lvl w:ilvl="0" w:tplc="E9B0AC4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4">
    <w:nsid w:val="7D30689D"/>
    <w:multiLevelType w:val="hybridMultilevel"/>
    <w:tmpl w:val="26EA67D6"/>
    <w:lvl w:ilvl="0" w:tplc="61BE10B0">
      <w:start w:val="1"/>
      <w:numFmt w:val="bullet"/>
      <w:pStyle w:val="Texto-Informe"/>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5">
    <w:nsid w:val="7E931A46"/>
    <w:multiLevelType w:val="hybridMultilevel"/>
    <w:tmpl w:val="41D85F0E"/>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num w:numId="1">
    <w:abstractNumId w:val="12"/>
  </w:num>
  <w:num w:numId="2">
    <w:abstractNumId w:val="51"/>
  </w:num>
  <w:num w:numId="3">
    <w:abstractNumId w:val="104"/>
  </w:num>
  <w:num w:numId="4">
    <w:abstractNumId w:val="44"/>
  </w:num>
  <w:num w:numId="5">
    <w:abstractNumId w:val="94"/>
  </w:num>
  <w:num w:numId="6">
    <w:abstractNumId w:val="81"/>
  </w:num>
  <w:num w:numId="7">
    <w:abstractNumId w:val="86"/>
  </w:num>
  <w:num w:numId="8">
    <w:abstractNumId w:val="90"/>
  </w:num>
  <w:num w:numId="9">
    <w:abstractNumId w:val="93"/>
  </w:num>
  <w:num w:numId="10">
    <w:abstractNumId w:val="124"/>
  </w:num>
  <w:num w:numId="11">
    <w:abstractNumId w:val="19"/>
  </w:num>
  <w:num w:numId="12">
    <w:abstractNumId w:val="41"/>
  </w:num>
  <w:num w:numId="13">
    <w:abstractNumId w:val="65"/>
  </w:num>
  <w:num w:numId="14">
    <w:abstractNumId w:val="15"/>
  </w:num>
  <w:num w:numId="15">
    <w:abstractNumId w:val="108"/>
  </w:num>
  <w:num w:numId="16">
    <w:abstractNumId w:val="69"/>
  </w:num>
  <w:num w:numId="17">
    <w:abstractNumId w:val="30"/>
  </w:num>
  <w:num w:numId="18">
    <w:abstractNumId w:val="55"/>
  </w:num>
  <w:num w:numId="19">
    <w:abstractNumId w:val="28"/>
  </w:num>
  <w:num w:numId="20">
    <w:abstractNumId w:val="14"/>
  </w:num>
  <w:num w:numId="21">
    <w:abstractNumId w:val="13"/>
  </w:num>
  <w:num w:numId="22">
    <w:abstractNumId w:val="113"/>
  </w:num>
  <w:num w:numId="23">
    <w:abstractNumId w:val="96"/>
  </w:num>
  <w:num w:numId="24">
    <w:abstractNumId w:val="45"/>
  </w:num>
  <w:num w:numId="25">
    <w:abstractNumId w:val="61"/>
  </w:num>
  <w:num w:numId="26">
    <w:abstractNumId w:val="103"/>
  </w:num>
  <w:num w:numId="27">
    <w:abstractNumId w:val="29"/>
  </w:num>
  <w:num w:numId="28">
    <w:abstractNumId w:val="23"/>
  </w:num>
  <w:num w:numId="29">
    <w:abstractNumId w:val="74"/>
  </w:num>
  <w:num w:numId="30">
    <w:abstractNumId w:val="53"/>
  </w:num>
  <w:num w:numId="31">
    <w:abstractNumId w:val="117"/>
  </w:num>
  <w:num w:numId="32">
    <w:abstractNumId w:val="47"/>
  </w:num>
  <w:num w:numId="33">
    <w:abstractNumId w:val="66"/>
  </w:num>
  <w:num w:numId="34">
    <w:abstractNumId w:val="26"/>
  </w:num>
  <w:num w:numId="35">
    <w:abstractNumId w:val="62"/>
  </w:num>
  <w:num w:numId="36">
    <w:abstractNumId w:val="34"/>
  </w:num>
  <w:num w:numId="37">
    <w:abstractNumId w:val="101"/>
  </w:num>
  <w:num w:numId="38">
    <w:abstractNumId w:val="99"/>
  </w:num>
  <w:num w:numId="39">
    <w:abstractNumId w:val="82"/>
  </w:num>
  <w:num w:numId="40">
    <w:abstractNumId w:val="0"/>
  </w:num>
  <w:num w:numId="41">
    <w:abstractNumId w:val="1"/>
  </w:num>
  <w:num w:numId="42">
    <w:abstractNumId w:val="2"/>
  </w:num>
  <w:num w:numId="43">
    <w:abstractNumId w:val="46"/>
  </w:num>
  <w:num w:numId="44">
    <w:abstractNumId w:val="18"/>
  </w:num>
  <w:num w:numId="45">
    <w:abstractNumId w:val="89"/>
  </w:num>
  <w:num w:numId="46">
    <w:abstractNumId w:val="121"/>
  </w:num>
  <w:num w:numId="47">
    <w:abstractNumId w:val="32"/>
  </w:num>
  <w:num w:numId="48">
    <w:abstractNumId w:val="68"/>
  </w:num>
  <w:num w:numId="49">
    <w:abstractNumId w:val="52"/>
  </w:num>
  <w:num w:numId="50">
    <w:abstractNumId w:val="22"/>
  </w:num>
  <w:num w:numId="51">
    <w:abstractNumId w:val="105"/>
  </w:num>
  <w:num w:numId="52">
    <w:abstractNumId w:val="25"/>
  </w:num>
  <w:num w:numId="53">
    <w:abstractNumId w:val="116"/>
  </w:num>
  <w:num w:numId="54">
    <w:abstractNumId w:val="72"/>
  </w:num>
  <w:num w:numId="55">
    <w:abstractNumId w:val="48"/>
  </w:num>
  <w:num w:numId="56">
    <w:abstractNumId w:val="77"/>
  </w:num>
  <w:num w:numId="57">
    <w:abstractNumId w:val="43"/>
  </w:num>
  <w:num w:numId="58">
    <w:abstractNumId w:val="79"/>
  </w:num>
  <w:num w:numId="59">
    <w:abstractNumId w:val="91"/>
  </w:num>
  <w:num w:numId="60">
    <w:abstractNumId w:val="75"/>
  </w:num>
  <w:num w:numId="61">
    <w:abstractNumId w:val="42"/>
  </w:num>
  <w:num w:numId="62">
    <w:abstractNumId w:val="73"/>
  </w:num>
  <w:num w:numId="63">
    <w:abstractNumId w:val="88"/>
  </w:num>
  <w:num w:numId="64">
    <w:abstractNumId w:val="106"/>
  </w:num>
  <w:num w:numId="65">
    <w:abstractNumId w:val="24"/>
  </w:num>
  <w:num w:numId="66">
    <w:abstractNumId w:val="64"/>
  </w:num>
  <w:num w:numId="67">
    <w:abstractNumId w:val="83"/>
  </w:num>
  <w:num w:numId="68">
    <w:abstractNumId w:val="56"/>
  </w:num>
  <w:num w:numId="69">
    <w:abstractNumId w:val="3"/>
  </w:num>
  <w:num w:numId="70">
    <w:abstractNumId w:val="59"/>
  </w:num>
  <w:num w:numId="71">
    <w:abstractNumId w:val="60"/>
  </w:num>
  <w:num w:numId="72">
    <w:abstractNumId w:val="119"/>
  </w:num>
  <w:num w:numId="73">
    <w:abstractNumId w:val="100"/>
  </w:num>
  <w:num w:numId="74">
    <w:abstractNumId w:val="85"/>
  </w:num>
  <w:num w:numId="75">
    <w:abstractNumId w:val="17"/>
  </w:num>
  <w:num w:numId="76">
    <w:abstractNumId w:val="80"/>
  </w:num>
  <w:num w:numId="77">
    <w:abstractNumId w:val="115"/>
  </w:num>
  <w:num w:numId="78">
    <w:abstractNumId w:val="71"/>
  </w:num>
  <w:num w:numId="79">
    <w:abstractNumId w:val="118"/>
  </w:num>
  <w:num w:numId="80">
    <w:abstractNumId w:val="20"/>
  </w:num>
  <w:num w:numId="81">
    <w:abstractNumId w:val="37"/>
  </w:num>
  <w:num w:numId="82">
    <w:abstractNumId w:val="110"/>
  </w:num>
  <w:num w:numId="83">
    <w:abstractNumId w:val="114"/>
  </w:num>
  <w:num w:numId="84">
    <w:abstractNumId w:val="36"/>
  </w:num>
  <w:num w:numId="85">
    <w:abstractNumId w:val="57"/>
  </w:num>
  <w:num w:numId="86">
    <w:abstractNumId w:val="38"/>
  </w:num>
  <w:num w:numId="87">
    <w:abstractNumId w:val="78"/>
  </w:num>
  <w:num w:numId="88">
    <w:abstractNumId w:val="95"/>
  </w:num>
  <w:num w:numId="89">
    <w:abstractNumId w:val="58"/>
  </w:num>
  <w:num w:numId="90">
    <w:abstractNumId w:val="102"/>
  </w:num>
  <w:num w:numId="91">
    <w:abstractNumId w:val="70"/>
  </w:num>
  <w:num w:numId="92">
    <w:abstractNumId w:val="63"/>
  </w:num>
  <w:num w:numId="93">
    <w:abstractNumId w:val="122"/>
  </w:num>
  <w:num w:numId="94">
    <w:abstractNumId w:val="40"/>
  </w:num>
  <w:num w:numId="95">
    <w:abstractNumId w:val="111"/>
  </w:num>
  <w:num w:numId="96">
    <w:abstractNumId w:val="109"/>
  </w:num>
  <w:num w:numId="97">
    <w:abstractNumId w:val="54"/>
  </w:num>
  <w:num w:numId="98">
    <w:abstractNumId w:val="21"/>
  </w:num>
  <w:num w:numId="99">
    <w:abstractNumId w:val="112"/>
  </w:num>
  <w:num w:numId="100">
    <w:abstractNumId w:val="27"/>
  </w:num>
  <w:num w:numId="101">
    <w:abstractNumId w:val="92"/>
  </w:num>
  <w:num w:numId="102">
    <w:abstractNumId w:val="107"/>
  </w:num>
  <w:num w:numId="103">
    <w:abstractNumId w:val="123"/>
  </w:num>
  <w:num w:numId="104">
    <w:abstractNumId w:val="120"/>
  </w:num>
  <w:num w:numId="105">
    <w:abstractNumId w:val="76"/>
  </w:num>
  <w:num w:numId="106">
    <w:abstractNumId w:val="16"/>
  </w:num>
  <w:num w:numId="107">
    <w:abstractNumId w:val="35"/>
  </w:num>
  <w:num w:numId="108">
    <w:abstractNumId w:val="84"/>
  </w:num>
  <w:num w:numId="109">
    <w:abstractNumId w:val="50"/>
  </w:num>
  <w:num w:numId="110">
    <w:abstractNumId w:val="33"/>
  </w:num>
  <w:num w:numId="111">
    <w:abstractNumId w:val="3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67"/>
  </w:num>
  <w:num w:numId="114">
    <w:abstractNumId w:val="98"/>
  </w:num>
  <w:num w:numId="115">
    <w:abstractNumId w:val="97"/>
  </w:num>
  <w:num w:numId="116">
    <w:abstractNumId w:val="49"/>
  </w:num>
  <w:num w:numId="117">
    <w:abstractNumId w:val="87"/>
  </w:num>
  <w:num w:numId="118">
    <w:abstractNumId w:val="31"/>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pt-BR" w:vendorID="64" w:dllVersion="131078" w:nlCheck="1" w:checkStyle="0"/>
  <w:activeWritingStyle w:appName="MSWord" w:lang="es-ES_tradnl"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es-CL" w:vendorID="64" w:dllVersion="131078" w:nlCheck="1" w:checkStyle="1"/>
  <w:activeWritingStyle w:appName="MSWord" w:lang="es-MX" w:vendorID="64" w:dllVersion="131078" w:nlCheck="1" w:checkStyle="1"/>
  <w:activeWritingStyle w:appName="MSWord" w:lang="fr-FR" w:vendorID="64" w:dllVersion="131078" w:nlCheck="1" w:checkStyle="1"/>
  <w:activeWritingStyle w:appName="MSWord" w:lang="es-AR" w:vendorID="64" w:dllVersion="131078" w:nlCheck="1" w:checkStyle="1"/>
  <w:activeWritingStyle w:appName="MSWord" w:lang="fr-LU" w:vendorID="64" w:dllVersion="131078" w:nlCheck="1" w:checkStyle="1"/>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2FCC"/>
    <w:rsid w:val="00001AD7"/>
    <w:rsid w:val="0000424E"/>
    <w:rsid w:val="00005746"/>
    <w:rsid w:val="00010B02"/>
    <w:rsid w:val="00013A52"/>
    <w:rsid w:val="0001559D"/>
    <w:rsid w:val="000158A6"/>
    <w:rsid w:val="00016FD3"/>
    <w:rsid w:val="000200E0"/>
    <w:rsid w:val="0002036C"/>
    <w:rsid w:val="00020EB2"/>
    <w:rsid w:val="00021294"/>
    <w:rsid w:val="0002143E"/>
    <w:rsid w:val="00024AD3"/>
    <w:rsid w:val="00027AB1"/>
    <w:rsid w:val="000356D0"/>
    <w:rsid w:val="000377AA"/>
    <w:rsid w:val="000460A2"/>
    <w:rsid w:val="00054835"/>
    <w:rsid w:val="00061889"/>
    <w:rsid w:val="0006336F"/>
    <w:rsid w:val="000646BA"/>
    <w:rsid w:val="000673D2"/>
    <w:rsid w:val="00067D70"/>
    <w:rsid w:val="00071958"/>
    <w:rsid w:val="000742DE"/>
    <w:rsid w:val="00077509"/>
    <w:rsid w:val="0007751B"/>
    <w:rsid w:val="00082D63"/>
    <w:rsid w:val="000835E3"/>
    <w:rsid w:val="00085370"/>
    <w:rsid w:val="00085F57"/>
    <w:rsid w:val="00090FBF"/>
    <w:rsid w:val="00092060"/>
    <w:rsid w:val="000927AF"/>
    <w:rsid w:val="000958ED"/>
    <w:rsid w:val="000A28F1"/>
    <w:rsid w:val="000A29C6"/>
    <w:rsid w:val="000B30AE"/>
    <w:rsid w:val="000B70C9"/>
    <w:rsid w:val="000C1AC1"/>
    <w:rsid w:val="000C245F"/>
    <w:rsid w:val="000C54D0"/>
    <w:rsid w:val="000D0C1E"/>
    <w:rsid w:val="000D16F9"/>
    <w:rsid w:val="000D2B4C"/>
    <w:rsid w:val="000D4954"/>
    <w:rsid w:val="000D7E1C"/>
    <w:rsid w:val="000E0003"/>
    <w:rsid w:val="000E0CB3"/>
    <w:rsid w:val="000E1720"/>
    <w:rsid w:val="000E4BDB"/>
    <w:rsid w:val="000E628F"/>
    <w:rsid w:val="000F7319"/>
    <w:rsid w:val="0010049D"/>
    <w:rsid w:val="001112F5"/>
    <w:rsid w:val="00111808"/>
    <w:rsid w:val="00111C6F"/>
    <w:rsid w:val="00111C98"/>
    <w:rsid w:val="00111DF0"/>
    <w:rsid w:val="00112460"/>
    <w:rsid w:val="00112660"/>
    <w:rsid w:val="001211AF"/>
    <w:rsid w:val="001224D0"/>
    <w:rsid w:val="00122FF3"/>
    <w:rsid w:val="00123793"/>
    <w:rsid w:val="0012407B"/>
    <w:rsid w:val="001252C8"/>
    <w:rsid w:val="001262A9"/>
    <w:rsid w:val="00127A7C"/>
    <w:rsid w:val="00130C36"/>
    <w:rsid w:val="00130E31"/>
    <w:rsid w:val="00131CED"/>
    <w:rsid w:val="00133623"/>
    <w:rsid w:val="00136ED0"/>
    <w:rsid w:val="00140DF6"/>
    <w:rsid w:val="001410FF"/>
    <w:rsid w:val="00141B49"/>
    <w:rsid w:val="0014633A"/>
    <w:rsid w:val="00151EF5"/>
    <w:rsid w:val="0015402E"/>
    <w:rsid w:val="001540AE"/>
    <w:rsid w:val="00154D3E"/>
    <w:rsid w:val="00160A37"/>
    <w:rsid w:val="00161172"/>
    <w:rsid w:val="001611CB"/>
    <w:rsid w:val="00161527"/>
    <w:rsid w:val="0016172D"/>
    <w:rsid w:val="00162352"/>
    <w:rsid w:val="001638A2"/>
    <w:rsid w:val="00164313"/>
    <w:rsid w:val="001643AE"/>
    <w:rsid w:val="0016706C"/>
    <w:rsid w:val="001673E8"/>
    <w:rsid w:val="00170476"/>
    <w:rsid w:val="00171165"/>
    <w:rsid w:val="001731C2"/>
    <w:rsid w:val="0017612F"/>
    <w:rsid w:val="0018111D"/>
    <w:rsid w:val="00182F90"/>
    <w:rsid w:val="001846FB"/>
    <w:rsid w:val="00184D4F"/>
    <w:rsid w:val="00185B40"/>
    <w:rsid w:val="00190587"/>
    <w:rsid w:val="00193B80"/>
    <w:rsid w:val="00194C35"/>
    <w:rsid w:val="0019519F"/>
    <w:rsid w:val="0019592A"/>
    <w:rsid w:val="00197711"/>
    <w:rsid w:val="00197816"/>
    <w:rsid w:val="001A007F"/>
    <w:rsid w:val="001A48FC"/>
    <w:rsid w:val="001A6A96"/>
    <w:rsid w:val="001B00B6"/>
    <w:rsid w:val="001B0345"/>
    <w:rsid w:val="001B0C96"/>
    <w:rsid w:val="001B1BCA"/>
    <w:rsid w:val="001B2A4B"/>
    <w:rsid w:val="001B4758"/>
    <w:rsid w:val="001B7D90"/>
    <w:rsid w:val="001C1608"/>
    <w:rsid w:val="001C5777"/>
    <w:rsid w:val="001D26F3"/>
    <w:rsid w:val="001D4038"/>
    <w:rsid w:val="001D4A43"/>
    <w:rsid w:val="001E0545"/>
    <w:rsid w:val="001E3949"/>
    <w:rsid w:val="001E6B41"/>
    <w:rsid w:val="001F2EBB"/>
    <w:rsid w:val="001F7023"/>
    <w:rsid w:val="001F7A3A"/>
    <w:rsid w:val="002009F5"/>
    <w:rsid w:val="00201B90"/>
    <w:rsid w:val="00202049"/>
    <w:rsid w:val="002023C5"/>
    <w:rsid w:val="002040CF"/>
    <w:rsid w:val="00204E39"/>
    <w:rsid w:val="002075EA"/>
    <w:rsid w:val="00211BAF"/>
    <w:rsid w:val="002131D6"/>
    <w:rsid w:val="002145B5"/>
    <w:rsid w:val="00222F74"/>
    <w:rsid w:val="00223473"/>
    <w:rsid w:val="00231CA3"/>
    <w:rsid w:val="0023238C"/>
    <w:rsid w:val="002324A0"/>
    <w:rsid w:val="002350DD"/>
    <w:rsid w:val="002410B2"/>
    <w:rsid w:val="00245860"/>
    <w:rsid w:val="0025190C"/>
    <w:rsid w:val="00254660"/>
    <w:rsid w:val="00254D00"/>
    <w:rsid w:val="00256EC8"/>
    <w:rsid w:val="0026117E"/>
    <w:rsid w:val="0026256A"/>
    <w:rsid w:val="00262655"/>
    <w:rsid w:val="00262962"/>
    <w:rsid w:val="00265C4A"/>
    <w:rsid w:val="002710A4"/>
    <w:rsid w:val="002720DF"/>
    <w:rsid w:val="002723FC"/>
    <w:rsid w:val="00273ABB"/>
    <w:rsid w:val="0027777C"/>
    <w:rsid w:val="002777C0"/>
    <w:rsid w:val="002829F7"/>
    <w:rsid w:val="00283D13"/>
    <w:rsid w:val="0028740F"/>
    <w:rsid w:val="00294767"/>
    <w:rsid w:val="002951A4"/>
    <w:rsid w:val="00295573"/>
    <w:rsid w:val="002A23C4"/>
    <w:rsid w:val="002A2A28"/>
    <w:rsid w:val="002A30B1"/>
    <w:rsid w:val="002A4DDF"/>
    <w:rsid w:val="002A697C"/>
    <w:rsid w:val="002B2D71"/>
    <w:rsid w:val="002B3399"/>
    <w:rsid w:val="002B588E"/>
    <w:rsid w:val="002C06A2"/>
    <w:rsid w:val="002C07BE"/>
    <w:rsid w:val="002C16E0"/>
    <w:rsid w:val="002C23E6"/>
    <w:rsid w:val="002C24BC"/>
    <w:rsid w:val="002C33B5"/>
    <w:rsid w:val="002C3788"/>
    <w:rsid w:val="002C6067"/>
    <w:rsid w:val="002C6AB3"/>
    <w:rsid w:val="002D1232"/>
    <w:rsid w:val="002D1701"/>
    <w:rsid w:val="002D1AC9"/>
    <w:rsid w:val="002D55EB"/>
    <w:rsid w:val="002D5C33"/>
    <w:rsid w:val="002E00A8"/>
    <w:rsid w:val="002E2505"/>
    <w:rsid w:val="002E2560"/>
    <w:rsid w:val="002E2BCA"/>
    <w:rsid w:val="002E34C3"/>
    <w:rsid w:val="002E52CA"/>
    <w:rsid w:val="002F08DC"/>
    <w:rsid w:val="002F1355"/>
    <w:rsid w:val="002F1E5E"/>
    <w:rsid w:val="0030164F"/>
    <w:rsid w:val="003025AD"/>
    <w:rsid w:val="00302F25"/>
    <w:rsid w:val="003033FB"/>
    <w:rsid w:val="003044EA"/>
    <w:rsid w:val="003047C4"/>
    <w:rsid w:val="00305D5F"/>
    <w:rsid w:val="003065B9"/>
    <w:rsid w:val="0030792E"/>
    <w:rsid w:val="00310A67"/>
    <w:rsid w:val="003125C9"/>
    <w:rsid w:val="003128D7"/>
    <w:rsid w:val="003146AA"/>
    <w:rsid w:val="00314810"/>
    <w:rsid w:val="003154BC"/>
    <w:rsid w:val="003161E5"/>
    <w:rsid w:val="0032244D"/>
    <w:rsid w:val="0032329D"/>
    <w:rsid w:val="0032612A"/>
    <w:rsid w:val="00327754"/>
    <w:rsid w:val="003306DB"/>
    <w:rsid w:val="00330A5D"/>
    <w:rsid w:val="00330EB5"/>
    <w:rsid w:val="00333DDD"/>
    <w:rsid w:val="00334EE8"/>
    <w:rsid w:val="0033718E"/>
    <w:rsid w:val="00341227"/>
    <w:rsid w:val="00343500"/>
    <w:rsid w:val="00345C82"/>
    <w:rsid w:val="00345E72"/>
    <w:rsid w:val="00351C66"/>
    <w:rsid w:val="00354C8D"/>
    <w:rsid w:val="00356911"/>
    <w:rsid w:val="00356ACF"/>
    <w:rsid w:val="003602B1"/>
    <w:rsid w:val="00363184"/>
    <w:rsid w:val="00365C3B"/>
    <w:rsid w:val="00367C79"/>
    <w:rsid w:val="003700FC"/>
    <w:rsid w:val="0037074E"/>
    <w:rsid w:val="003720EE"/>
    <w:rsid w:val="0037259F"/>
    <w:rsid w:val="003727A8"/>
    <w:rsid w:val="00373F4F"/>
    <w:rsid w:val="0037510B"/>
    <w:rsid w:val="00375C68"/>
    <w:rsid w:val="00377945"/>
    <w:rsid w:val="00377A2A"/>
    <w:rsid w:val="00382500"/>
    <w:rsid w:val="003828F3"/>
    <w:rsid w:val="00382BDC"/>
    <w:rsid w:val="00383AB8"/>
    <w:rsid w:val="003859F4"/>
    <w:rsid w:val="003860B2"/>
    <w:rsid w:val="003876BA"/>
    <w:rsid w:val="00387BAF"/>
    <w:rsid w:val="00390241"/>
    <w:rsid w:val="00390CF3"/>
    <w:rsid w:val="003912B6"/>
    <w:rsid w:val="00393344"/>
    <w:rsid w:val="00395F79"/>
    <w:rsid w:val="003A0CFF"/>
    <w:rsid w:val="003A1AF6"/>
    <w:rsid w:val="003A55EE"/>
    <w:rsid w:val="003A7E2F"/>
    <w:rsid w:val="003A7FCB"/>
    <w:rsid w:val="003B01D5"/>
    <w:rsid w:val="003B12C5"/>
    <w:rsid w:val="003B3C8B"/>
    <w:rsid w:val="003B4D50"/>
    <w:rsid w:val="003B68E3"/>
    <w:rsid w:val="003C18D5"/>
    <w:rsid w:val="003C1F1A"/>
    <w:rsid w:val="003C1F2A"/>
    <w:rsid w:val="003C52D3"/>
    <w:rsid w:val="003C6967"/>
    <w:rsid w:val="003D0035"/>
    <w:rsid w:val="003D1F20"/>
    <w:rsid w:val="003D3BD9"/>
    <w:rsid w:val="003D47CD"/>
    <w:rsid w:val="003D6914"/>
    <w:rsid w:val="003E002C"/>
    <w:rsid w:val="003E1A1E"/>
    <w:rsid w:val="003E3AFB"/>
    <w:rsid w:val="003F0424"/>
    <w:rsid w:val="003F50E4"/>
    <w:rsid w:val="003F6081"/>
    <w:rsid w:val="003F618A"/>
    <w:rsid w:val="003F6FE2"/>
    <w:rsid w:val="004008A6"/>
    <w:rsid w:val="00402D9D"/>
    <w:rsid w:val="00403116"/>
    <w:rsid w:val="00406EFA"/>
    <w:rsid w:val="00411052"/>
    <w:rsid w:val="00411856"/>
    <w:rsid w:val="00412110"/>
    <w:rsid w:val="00414D23"/>
    <w:rsid w:val="00417911"/>
    <w:rsid w:val="004206F5"/>
    <w:rsid w:val="00422DF8"/>
    <w:rsid w:val="004234FB"/>
    <w:rsid w:val="00423A2B"/>
    <w:rsid w:val="004274CF"/>
    <w:rsid w:val="00433DD6"/>
    <w:rsid w:val="004426FB"/>
    <w:rsid w:val="00442879"/>
    <w:rsid w:val="00455193"/>
    <w:rsid w:val="00456AF8"/>
    <w:rsid w:val="00456EC5"/>
    <w:rsid w:val="0045726F"/>
    <w:rsid w:val="0046068F"/>
    <w:rsid w:val="00461D41"/>
    <w:rsid w:val="0046375D"/>
    <w:rsid w:val="00463956"/>
    <w:rsid w:val="00473ED5"/>
    <w:rsid w:val="00482494"/>
    <w:rsid w:val="00483624"/>
    <w:rsid w:val="004847B4"/>
    <w:rsid w:val="00485FCB"/>
    <w:rsid w:val="00486F1C"/>
    <w:rsid w:val="0049051A"/>
    <w:rsid w:val="00490931"/>
    <w:rsid w:val="004918A8"/>
    <w:rsid w:val="00491D06"/>
    <w:rsid w:val="00495748"/>
    <w:rsid w:val="0049669C"/>
    <w:rsid w:val="004969DD"/>
    <w:rsid w:val="00496BD8"/>
    <w:rsid w:val="004975C3"/>
    <w:rsid w:val="004A1735"/>
    <w:rsid w:val="004A2046"/>
    <w:rsid w:val="004A39DA"/>
    <w:rsid w:val="004A5142"/>
    <w:rsid w:val="004A54FF"/>
    <w:rsid w:val="004A5724"/>
    <w:rsid w:val="004A638F"/>
    <w:rsid w:val="004A6D93"/>
    <w:rsid w:val="004B02E7"/>
    <w:rsid w:val="004B4150"/>
    <w:rsid w:val="004B496E"/>
    <w:rsid w:val="004C01DA"/>
    <w:rsid w:val="004C082D"/>
    <w:rsid w:val="004C0C84"/>
    <w:rsid w:val="004C3B06"/>
    <w:rsid w:val="004C50F3"/>
    <w:rsid w:val="004C6977"/>
    <w:rsid w:val="004C6AD8"/>
    <w:rsid w:val="004C7C32"/>
    <w:rsid w:val="004D2E9A"/>
    <w:rsid w:val="004D63BF"/>
    <w:rsid w:val="004D6684"/>
    <w:rsid w:val="004D74B6"/>
    <w:rsid w:val="004E0E44"/>
    <w:rsid w:val="004E1A14"/>
    <w:rsid w:val="004E2CDD"/>
    <w:rsid w:val="004E35B6"/>
    <w:rsid w:val="004E40F3"/>
    <w:rsid w:val="004E726F"/>
    <w:rsid w:val="004E732C"/>
    <w:rsid w:val="004F05B4"/>
    <w:rsid w:val="004F09A3"/>
    <w:rsid w:val="004F23FD"/>
    <w:rsid w:val="004F75D4"/>
    <w:rsid w:val="004F7C2D"/>
    <w:rsid w:val="00500340"/>
    <w:rsid w:val="00501A40"/>
    <w:rsid w:val="00503CE6"/>
    <w:rsid w:val="00504204"/>
    <w:rsid w:val="00506805"/>
    <w:rsid w:val="00510F45"/>
    <w:rsid w:val="0051292D"/>
    <w:rsid w:val="005131F9"/>
    <w:rsid w:val="00515863"/>
    <w:rsid w:val="005174C2"/>
    <w:rsid w:val="005177B7"/>
    <w:rsid w:val="005179D6"/>
    <w:rsid w:val="0052487D"/>
    <w:rsid w:val="00530F38"/>
    <w:rsid w:val="00532E2A"/>
    <w:rsid w:val="005337D5"/>
    <w:rsid w:val="005357A6"/>
    <w:rsid w:val="00537CAF"/>
    <w:rsid w:val="0054598D"/>
    <w:rsid w:val="00546670"/>
    <w:rsid w:val="00546B0E"/>
    <w:rsid w:val="00546B97"/>
    <w:rsid w:val="00550366"/>
    <w:rsid w:val="0055087B"/>
    <w:rsid w:val="00552D36"/>
    <w:rsid w:val="00554629"/>
    <w:rsid w:val="00557492"/>
    <w:rsid w:val="00557F09"/>
    <w:rsid w:val="00560E9C"/>
    <w:rsid w:val="00562F29"/>
    <w:rsid w:val="00563D54"/>
    <w:rsid w:val="00566CB9"/>
    <w:rsid w:val="00570146"/>
    <w:rsid w:val="00570FBF"/>
    <w:rsid w:val="00571049"/>
    <w:rsid w:val="00571375"/>
    <w:rsid w:val="00573B19"/>
    <w:rsid w:val="00575F96"/>
    <w:rsid w:val="0058194E"/>
    <w:rsid w:val="005822C5"/>
    <w:rsid w:val="005834D1"/>
    <w:rsid w:val="005908DE"/>
    <w:rsid w:val="005933E5"/>
    <w:rsid w:val="00594D7D"/>
    <w:rsid w:val="00594E26"/>
    <w:rsid w:val="00595013"/>
    <w:rsid w:val="00595D17"/>
    <w:rsid w:val="0059641F"/>
    <w:rsid w:val="005A25C0"/>
    <w:rsid w:val="005A3485"/>
    <w:rsid w:val="005A3D52"/>
    <w:rsid w:val="005A3E1F"/>
    <w:rsid w:val="005A5D6D"/>
    <w:rsid w:val="005A6500"/>
    <w:rsid w:val="005A6DC3"/>
    <w:rsid w:val="005A7158"/>
    <w:rsid w:val="005A7746"/>
    <w:rsid w:val="005B037B"/>
    <w:rsid w:val="005B207D"/>
    <w:rsid w:val="005B5A2D"/>
    <w:rsid w:val="005B70B4"/>
    <w:rsid w:val="005C05DE"/>
    <w:rsid w:val="005C3E0E"/>
    <w:rsid w:val="005C418B"/>
    <w:rsid w:val="005C54D6"/>
    <w:rsid w:val="005C5BFA"/>
    <w:rsid w:val="005D0047"/>
    <w:rsid w:val="005D01D5"/>
    <w:rsid w:val="005D07EA"/>
    <w:rsid w:val="005D0B81"/>
    <w:rsid w:val="005D3E68"/>
    <w:rsid w:val="005D5447"/>
    <w:rsid w:val="005D560A"/>
    <w:rsid w:val="005E032A"/>
    <w:rsid w:val="005E3178"/>
    <w:rsid w:val="005E516B"/>
    <w:rsid w:val="005E6654"/>
    <w:rsid w:val="005E72A0"/>
    <w:rsid w:val="005F229C"/>
    <w:rsid w:val="005F4DE1"/>
    <w:rsid w:val="005F6DEA"/>
    <w:rsid w:val="0060022F"/>
    <w:rsid w:val="006022CB"/>
    <w:rsid w:val="00602B82"/>
    <w:rsid w:val="0060302B"/>
    <w:rsid w:val="00604788"/>
    <w:rsid w:val="00604DB1"/>
    <w:rsid w:val="00605BB6"/>
    <w:rsid w:val="00606718"/>
    <w:rsid w:val="006111E0"/>
    <w:rsid w:val="00612F7F"/>
    <w:rsid w:val="00613D78"/>
    <w:rsid w:val="0061796F"/>
    <w:rsid w:val="00624491"/>
    <w:rsid w:val="00624595"/>
    <w:rsid w:val="00625382"/>
    <w:rsid w:val="00626A25"/>
    <w:rsid w:val="00630F11"/>
    <w:rsid w:val="00633309"/>
    <w:rsid w:val="0063362D"/>
    <w:rsid w:val="00633A10"/>
    <w:rsid w:val="006343FE"/>
    <w:rsid w:val="00635B8D"/>
    <w:rsid w:val="00640131"/>
    <w:rsid w:val="006402B7"/>
    <w:rsid w:val="006403F9"/>
    <w:rsid w:val="00640995"/>
    <w:rsid w:val="006423BF"/>
    <w:rsid w:val="006458EC"/>
    <w:rsid w:val="006531B3"/>
    <w:rsid w:val="0065535A"/>
    <w:rsid w:val="006570E9"/>
    <w:rsid w:val="00661796"/>
    <w:rsid w:val="006627F8"/>
    <w:rsid w:val="0067042C"/>
    <w:rsid w:val="00670C53"/>
    <w:rsid w:val="0067473E"/>
    <w:rsid w:val="006772AE"/>
    <w:rsid w:val="006825FC"/>
    <w:rsid w:val="00683433"/>
    <w:rsid w:val="00683680"/>
    <w:rsid w:val="006847F2"/>
    <w:rsid w:val="006876B4"/>
    <w:rsid w:val="00692C60"/>
    <w:rsid w:val="00692FEC"/>
    <w:rsid w:val="006966B8"/>
    <w:rsid w:val="006A2263"/>
    <w:rsid w:val="006A322E"/>
    <w:rsid w:val="006A364F"/>
    <w:rsid w:val="006A4F8E"/>
    <w:rsid w:val="006A6A69"/>
    <w:rsid w:val="006A6CA8"/>
    <w:rsid w:val="006B00BA"/>
    <w:rsid w:val="006B338A"/>
    <w:rsid w:val="006B4293"/>
    <w:rsid w:val="006B47CA"/>
    <w:rsid w:val="006B61D3"/>
    <w:rsid w:val="006B649E"/>
    <w:rsid w:val="006B6C3D"/>
    <w:rsid w:val="006B7D2B"/>
    <w:rsid w:val="006C0026"/>
    <w:rsid w:val="006C197D"/>
    <w:rsid w:val="006C1E4E"/>
    <w:rsid w:val="006C26BF"/>
    <w:rsid w:val="006C29B8"/>
    <w:rsid w:val="006C29D6"/>
    <w:rsid w:val="006C2EA1"/>
    <w:rsid w:val="006C30FE"/>
    <w:rsid w:val="006C3F3F"/>
    <w:rsid w:val="006C7D1A"/>
    <w:rsid w:val="006D06F0"/>
    <w:rsid w:val="006D2E0C"/>
    <w:rsid w:val="006D3DB0"/>
    <w:rsid w:val="006D40F0"/>
    <w:rsid w:val="006D44ED"/>
    <w:rsid w:val="006D567B"/>
    <w:rsid w:val="006E01B6"/>
    <w:rsid w:val="006E07EC"/>
    <w:rsid w:val="006E3A41"/>
    <w:rsid w:val="006E3C22"/>
    <w:rsid w:val="006E53BE"/>
    <w:rsid w:val="006E774A"/>
    <w:rsid w:val="006F029F"/>
    <w:rsid w:val="006F2AEA"/>
    <w:rsid w:val="006F2FB5"/>
    <w:rsid w:val="006F3AC8"/>
    <w:rsid w:val="006F730C"/>
    <w:rsid w:val="00700F67"/>
    <w:rsid w:val="0070434A"/>
    <w:rsid w:val="00710DFC"/>
    <w:rsid w:val="0071291C"/>
    <w:rsid w:val="007133B4"/>
    <w:rsid w:val="007175F5"/>
    <w:rsid w:val="0072006E"/>
    <w:rsid w:val="00720AA8"/>
    <w:rsid w:val="007217AE"/>
    <w:rsid w:val="00722331"/>
    <w:rsid w:val="00722910"/>
    <w:rsid w:val="00723887"/>
    <w:rsid w:val="00724AA5"/>
    <w:rsid w:val="00732088"/>
    <w:rsid w:val="0073211E"/>
    <w:rsid w:val="007359B0"/>
    <w:rsid w:val="00742400"/>
    <w:rsid w:val="0074377C"/>
    <w:rsid w:val="00745558"/>
    <w:rsid w:val="00745FB0"/>
    <w:rsid w:val="0075135B"/>
    <w:rsid w:val="00751ACC"/>
    <w:rsid w:val="00755120"/>
    <w:rsid w:val="00761E49"/>
    <w:rsid w:val="00762545"/>
    <w:rsid w:val="007625A4"/>
    <w:rsid w:val="007677CA"/>
    <w:rsid w:val="0077003E"/>
    <w:rsid w:val="0077167E"/>
    <w:rsid w:val="0077222F"/>
    <w:rsid w:val="00775474"/>
    <w:rsid w:val="007816D9"/>
    <w:rsid w:val="0078350A"/>
    <w:rsid w:val="007874C8"/>
    <w:rsid w:val="0079021F"/>
    <w:rsid w:val="00790A58"/>
    <w:rsid w:val="0079310F"/>
    <w:rsid w:val="00795140"/>
    <w:rsid w:val="00796137"/>
    <w:rsid w:val="00796DC1"/>
    <w:rsid w:val="00796E71"/>
    <w:rsid w:val="007A07D5"/>
    <w:rsid w:val="007A1F9C"/>
    <w:rsid w:val="007A63BA"/>
    <w:rsid w:val="007B2658"/>
    <w:rsid w:val="007B33DB"/>
    <w:rsid w:val="007B6A9D"/>
    <w:rsid w:val="007B7FDD"/>
    <w:rsid w:val="007C17E1"/>
    <w:rsid w:val="007C3FAD"/>
    <w:rsid w:val="007C54F8"/>
    <w:rsid w:val="007C604A"/>
    <w:rsid w:val="007C7C8D"/>
    <w:rsid w:val="007C7F9F"/>
    <w:rsid w:val="007D06F4"/>
    <w:rsid w:val="007D7D1E"/>
    <w:rsid w:val="007E5DD9"/>
    <w:rsid w:val="007F2277"/>
    <w:rsid w:val="007F2E24"/>
    <w:rsid w:val="007F4D62"/>
    <w:rsid w:val="007F55EB"/>
    <w:rsid w:val="007F61B3"/>
    <w:rsid w:val="007F7823"/>
    <w:rsid w:val="00800EB7"/>
    <w:rsid w:val="0080258D"/>
    <w:rsid w:val="00802F14"/>
    <w:rsid w:val="00804B4D"/>
    <w:rsid w:val="008055F1"/>
    <w:rsid w:val="008066DB"/>
    <w:rsid w:val="008068E0"/>
    <w:rsid w:val="00811EED"/>
    <w:rsid w:val="008150E9"/>
    <w:rsid w:val="00817666"/>
    <w:rsid w:val="00821CAD"/>
    <w:rsid w:val="00823294"/>
    <w:rsid w:val="00823AB2"/>
    <w:rsid w:val="00826D2B"/>
    <w:rsid w:val="00830205"/>
    <w:rsid w:val="0083026A"/>
    <w:rsid w:val="00831F64"/>
    <w:rsid w:val="008357EB"/>
    <w:rsid w:val="008371B7"/>
    <w:rsid w:val="00837518"/>
    <w:rsid w:val="00837D4A"/>
    <w:rsid w:val="00841317"/>
    <w:rsid w:val="0084176C"/>
    <w:rsid w:val="00841D1F"/>
    <w:rsid w:val="00842817"/>
    <w:rsid w:val="008434D6"/>
    <w:rsid w:val="00843A0A"/>
    <w:rsid w:val="00843F7C"/>
    <w:rsid w:val="00844E6A"/>
    <w:rsid w:val="00845264"/>
    <w:rsid w:val="008457B3"/>
    <w:rsid w:val="00846272"/>
    <w:rsid w:val="00846B40"/>
    <w:rsid w:val="0085158B"/>
    <w:rsid w:val="008561F8"/>
    <w:rsid w:val="008576A3"/>
    <w:rsid w:val="0086077E"/>
    <w:rsid w:val="00861DEE"/>
    <w:rsid w:val="00863922"/>
    <w:rsid w:val="00864950"/>
    <w:rsid w:val="00864A96"/>
    <w:rsid w:val="00865FC3"/>
    <w:rsid w:val="00870D3F"/>
    <w:rsid w:val="00872674"/>
    <w:rsid w:val="00872D39"/>
    <w:rsid w:val="00875735"/>
    <w:rsid w:val="00875F00"/>
    <w:rsid w:val="008846F4"/>
    <w:rsid w:val="00893062"/>
    <w:rsid w:val="00893F59"/>
    <w:rsid w:val="00895916"/>
    <w:rsid w:val="00896E30"/>
    <w:rsid w:val="00897F1D"/>
    <w:rsid w:val="008A12E0"/>
    <w:rsid w:val="008A4E8A"/>
    <w:rsid w:val="008A5E3C"/>
    <w:rsid w:val="008A66F5"/>
    <w:rsid w:val="008A6748"/>
    <w:rsid w:val="008B1503"/>
    <w:rsid w:val="008B2682"/>
    <w:rsid w:val="008B2C82"/>
    <w:rsid w:val="008B457A"/>
    <w:rsid w:val="008B5F54"/>
    <w:rsid w:val="008C18C0"/>
    <w:rsid w:val="008C2BFC"/>
    <w:rsid w:val="008C45A4"/>
    <w:rsid w:val="008C62FB"/>
    <w:rsid w:val="008D247E"/>
    <w:rsid w:val="008D551A"/>
    <w:rsid w:val="008D6B8D"/>
    <w:rsid w:val="008D7155"/>
    <w:rsid w:val="008D7AFA"/>
    <w:rsid w:val="008E2707"/>
    <w:rsid w:val="008E3B9A"/>
    <w:rsid w:val="008E5807"/>
    <w:rsid w:val="008E5854"/>
    <w:rsid w:val="008E68EC"/>
    <w:rsid w:val="008F6574"/>
    <w:rsid w:val="008F7AF5"/>
    <w:rsid w:val="009038CA"/>
    <w:rsid w:val="00903D51"/>
    <w:rsid w:val="00906233"/>
    <w:rsid w:val="0090659A"/>
    <w:rsid w:val="00906FF5"/>
    <w:rsid w:val="0090770F"/>
    <w:rsid w:val="009111E6"/>
    <w:rsid w:val="0091202A"/>
    <w:rsid w:val="009130AF"/>
    <w:rsid w:val="00916E4C"/>
    <w:rsid w:val="009178F4"/>
    <w:rsid w:val="00921E2B"/>
    <w:rsid w:val="00922672"/>
    <w:rsid w:val="00927DF2"/>
    <w:rsid w:val="009330F7"/>
    <w:rsid w:val="009336E3"/>
    <w:rsid w:val="009349A9"/>
    <w:rsid w:val="009349FE"/>
    <w:rsid w:val="009403E4"/>
    <w:rsid w:val="009436FC"/>
    <w:rsid w:val="00943FEF"/>
    <w:rsid w:val="009461DD"/>
    <w:rsid w:val="00950803"/>
    <w:rsid w:val="0095647A"/>
    <w:rsid w:val="00963D4F"/>
    <w:rsid w:val="00966F14"/>
    <w:rsid w:val="009677F2"/>
    <w:rsid w:val="00970D68"/>
    <w:rsid w:val="009763A6"/>
    <w:rsid w:val="00976432"/>
    <w:rsid w:val="00980726"/>
    <w:rsid w:val="00983419"/>
    <w:rsid w:val="009836B2"/>
    <w:rsid w:val="00983E8F"/>
    <w:rsid w:val="00987AC0"/>
    <w:rsid w:val="0099187E"/>
    <w:rsid w:val="009924CD"/>
    <w:rsid w:val="009927D7"/>
    <w:rsid w:val="00992E80"/>
    <w:rsid w:val="00993B7B"/>
    <w:rsid w:val="00993E4D"/>
    <w:rsid w:val="00996CDC"/>
    <w:rsid w:val="00997CD3"/>
    <w:rsid w:val="00997ECD"/>
    <w:rsid w:val="009A0371"/>
    <w:rsid w:val="009A0C3B"/>
    <w:rsid w:val="009A23FD"/>
    <w:rsid w:val="009A4F6B"/>
    <w:rsid w:val="009A50C8"/>
    <w:rsid w:val="009B0D67"/>
    <w:rsid w:val="009B2098"/>
    <w:rsid w:val="009B3A04"/>
    <w:rsid w:val="009B3BC2"/>
    <w:rsid w:val="009B7442"/>
    <w:rsid w:val="009C23FB"/>
    <w:rsid w:val="009C2508"/>
    <w:rsid w:val="009C2AA4"/>
    <w:rsid w:val="009C437F"/>
    <w:rsid w:val="009C450A"/>
    <w:rsid w:val="009C7046"/>
    <w:rsid w:val="009D0473"/>
    <w:rsid w:val="009D0ED3"/>
    <w:rsid w:val="009D3E5B"/>
    <w:rsid w:val="009D4D54"/>
    <w:rsid w:val="009D6A21"/>
    <w:rsid w:val="009D6D29"/>
    <w:rsid w:val="009E1174"/>
    <w:rsid w:val="009E1D39"/>
    <w:rsid w:val="009E5204"/>
    <w:rsid w:val="009E6ED3"/>
    <w:rsid w:val="009F355D"/>
    <w:rsid w:val="009F7017"/>
    <w:rsid w:val="009F7F29"/>
    <w:rsid w:val="00A0053D"/>
    <w:rsid w:val="00A01965"/>
    <w:rsid w:val="00A04DE1"/>
    <w:rsid w:val="00A058A1"/>
    <w:rsid w:val="00A10D31"/>
    <w:rsid w:val="00A112C7"/>
    <w:rsid w:val="00A113E7"/>
    <w:rsid w:val="00A1215A"/>
    <w:rsid w:val="00A12493"/>
    <w:rsid w:val="00A1275D"/>
    <w:rsid w:val="00A13151"/>
    <w:rsid w:val="00A14101"/>
    <w:rsid w:val="00A15294"/>
    <w:rsid w:val="00A1554D"/>
    <w:rsid w:val="00A200C2"/>
    <w:rsid w:val="00A2131E"/>
    <w:rsid w:val="00A248FF"/>
    <w:rsid w:val="00A24DF4"/>
    <w:rsid w:val="00A27E24"/>
    <w:rsid w:val="00A30E4E"/>
    <w:rsid w:val="00A33BC3"/>
    <w:rsid w:val="00A3400C"/>
    <w:rsid w:val="00A345F6"/>
    <w:rsid w:val="00A34685"/>
    <w:rsid w:val="00A35783"/>
    <w:rsid w:val="00A36CCC"/>
    <w:rsid w:val="00A42499"/>
    <w:rsid w:val="00A4529A"/>
    <w:rsid w:val="00A469AB"/>
    <w:rsid w:val="00A46A03"/>
    <w:rsid w:val="00A50FF1"/>
    <w:rsid w:val="00A51319"/>
    <w:rsid w:val="00A51D87"/>
    <w:rsid w:val="00A53E41"/>
    <w:rsid w:val="00A54764"/>
    <w:rsid w:val="00A54E84"/>
    <w:rsid w:val="00A55EC5"/>
    <w:rsid w:val="00A60F57"/>
    <w:rsid w:val="00A61411"/>
    <w:rsid w:val="00A64F90"/>
    <w:rsid w:val="00A663FD"/>
    <w:rsid w:val="00A67460"/>
    <w:rsid w:val="00A711C6"/>
    <w:rsid w:val="00A713BA"/>
    <w:rsid w:val="00A71499"/>
    <w:rsid w:val="00A7255F"/>
    <w:rsid w:val="00A73C1F"/>
    <w:rsid w:val="00A748AA"/>
    <w:rsid w:val="00A75343"/>
    <w:rsid w:val="00A764EF"/>
    <w:rsid w:val="00A84296"/>
    <w:rsid w:val="00A85D2C"/>
    <w:rsid w:val="00A87954"/>
    <w:rsid w:val="00A926D9"/>
    <w:rsid w:val="00A939BA"/>
    <w:rsid w:val="00A93B07"/>
    <w:rsid w:val="00AA1975"/>
    <w:rsid w:val="00AA2D3D"/>
    <w:rsid w:val="00AA34DA"/>
    <w:rsid w:val="00AA4DED"/>
    <w:rsid w:val="00AA60F2"/>
    <w:rsid w:val="00AB12FE"/>
    <w:rsid w:val="00AB40F8"/>
    <w:rsid w:val="00AB4F16"/>
    <w:rsid w:val="00AB7B1C"/>
    <w:rsid w:val="00AB7BE6"/>
    <w:rsid w:val="00AC2E4D"/>
    <w:rsid w:val="00AC485E"/>
    <w:rsid w:val="00AC4EF5"/>
    <w:rsid w:val="00AC71AE"/>
    <w:rsid w:val="00AC7677"/>
    <w:rsid w:val="00AC7FAC"/>
    <w:rsid w:val="00AD1422"/>
    <w:rsid w:val="00AD2B51"/>
    <w:rsid w:val="00AD45FF"/>
    <w:rsid w:val="00AD4D2A"/>
    <w:rsid w:val="00AD62DF"/>
    <w:rsid w:val="00AD7470"/>
    <w:rsid w:val="00AD7B93"/>
    <w:rsid w:val="00AD7D8E"/>
    <w:rsid w:val="00AE16A3"/>
    <w:rsid w:val="00AE3273"/>
    <w:rsid w:val="00AE4F91"/>
    <w:rsid w:val="00AF5B54"/>
    <w:rsid w:val="00B03423"/>
    <w:rsid w:val="00B035CE"/>
    <w:rsid w:val="00B036C7"/>
    <w:rsid w:val="00B042AD"/>
    <w:rsid w:val="00B0598D"/>
    <w:rsid w:val="00B10C68"/>
    <w:rsid w:val="00B11C42"/>
    <w:rsid w:val="00B11E92"/>
    <w:rsid w:val="00B14261"/>
    <w:rsid w:val="00B15469"/>
    <w:rsid w:val="00B156C1"/>
    <w:rsid w:val="00B17483"/>
    <w:rsid w:val="00B205A6"/>
    <w:rsid w:val="00B2103D"/>
    <w:rsid w:val="00B24DE8"/>
    <w:rsid w:val="00B26DBF"/>
    <w:rsid w:val="00B30A3E"/>
    <w:rsid w:val="00B4082D"/>
    <w:rsid w:val="00B410C7"/>
    <w:rsid w:val="00B42A8F"/>
    <w:rsid w:val="00B441C2"/>
    <w:rsid w:val="00B45200"/>
    <w:rsid w:val="00B4774E"/>
    <w:rsid w:val="00B51010"/>
    <w:rsid w:val="00B52432"/>
    <w:rsid w:val="00B525FF"/>
    <w:rsid w:val="00B55759"/>
    <w:rsid w:val="00B57272"/>
    <w:rsid w:val="00B60D9F"/>
    <w:rsid w:val="00B616B7"/>
    <w:rsid w:val="00B64947"/>
    <w:rsid w:val="00B65C80"/>
    <w:rsid w:val="00B66C47"/>
    <w:rsid w:val="00B67076"/>
    <w:rsid w:val="00B702FB"/>
    <w:rsid w:val="00B71365"/>
    <w:rsid w:val="00B72F2E"/>
    <w:rsid w:val="00B765A3"/>
    <w:rsid w:val="00B77D5E"/>
    <w:rsid w:val="00B8321C"/>
    <w:rsid w:val="00B837E7"/>
    <w:rsid w:val="00B8540B"/>
    <w:rsid w:val="00B86F40"/>
    <w:rsid w:val="00B9264C"/>
    <w:rsid w:val="00B9478B"/>
    <w:rsid w:val="00B9593F"/>
    <w:rsid w:val="00B96527"/>
    <w:rsid w:val="00B96A46"/>
    <w:rsid w:val="00B96E73"/>
    <w:rsid w:val="00BA048E"/>
    <w:rsid w:val="00BA0792"/>
    <w:rsid w:val="00BA1015"/>
    <w:rsid w:val="00BA3289"/>
    <w:rsid w:val="00BA4808"/>
    <w:rsid w:val="00BA566D"/>
    <w:rsid w:val="00BA7055"/>
    <w:rsid w:val="00BA77F3"/>
    <w:rsid w:val="00BB1349"/>
    <w:rsid w:val="00BB19B7"/>
    <w:rsid w:val="00BB470D"/>
    <w:rsid w:val="00BB49C9"/>
    <w:rsid w:val="00BB5EDA"/>
    <w:rsid w:val="00BC2D58"/>
    <w:rsid w:val="00BC3FFD"/>
    <w:rsid w:val="00BC63A1"/>
    <w:rsid w:val="00BD12C3"/>
    <w:rsid w:val="00BD1B57"/>
    <w:rsid w:val="00BD1B86"/>
    <w:rsid w:val="00BF007F"/>
    <w:rsid w:val="00BF0214"/>
    <w:rsid w:val="00BF0365"/>
    <w:rsid w:val="00BF0379"/>
    <w:rsid w:val="00BF1607"/>
    <w:rsid w:val="00BF4364"/>
    <w:rsid w:val="00BF650E"/>
    <w:rsid w:val="00C002A7"/>
    <w:rsid w:val="00C01995"/>
    <w:rsid w:val="00C045EF"/>
    <w:rsid w:val="00C1059E"/>
    <w:rsid w:val="00C10D45"/>
    <w:rsid w:val="00C1233E"/>
    <w:rsid w:val="00C140CD"/>
    <w:rsid w:val="00C14670"/>
    <w:rsid w:val="00C14A3A"/>
    <w:rsid w:val="00C15631"/>
    <w:rsid w:val="00C17A36"/>
    <w:rsid w:val="00C17CF0"/>
    <w:rsid w:val="00C2693E"/>
    <w:rsid w:val="00C275FF"/>
    <w:rsid w:val="00C27BD4"/>
    <w:rsid w:val="00C319B2"/>
    <w:rsid w:val="00C34481"/>
    <w:rsid w:val="00C3467D"/>
    <w:rsid w:val="00C34B20"/>
    <w:rsid w:val="00C35ED0"/>
    <w:rsid w:val="00C36ADD"/>
    <w:rsid w:val="00C3791E"/>
    <w:rsid w:val="00C4106B"/>
    <w:rsid w:val="00C411EC"/>
    <w:rsid w:val="00C42E00"/>
    <w:rsid w:val="00C43487"/>
    <w:rsid w:val="00C45675"/>
    <w:rsid w:val="00C458D5"/>
    <w:rsid w:val="00C46ECB"/>
    <w:rsid w:val="00C47211"/>
    <w:rsid w:val="00C47797"/>
    <w:rsid w:val="00C500D5"/>
    <w:rsid w:val="00C50F6E"/>
    <w:rsid w:val="00C517F1"/>
    <w:rsid w:val="00C52EA4"/>
    <w:rsid w:val="00C53601"/>
    <w:rsid w:val="00C55D92"/>
    <w:rsid w:val="00C601C8"/>
    <w:rsid w:val="00C61A20"/>
    <w:rsid w:val="00C61E82"/>
    <w:rsid w:val="00C62902"/>
    <w:rsid w:val="00C6515C"/>
    <w:rsid w:val="00C67989"/>
    <w:rsid w:val="00C67D15"/>
    <w:rsid w:val="00C67D3B"/>
    <w:rsid w:val="00C746AC"/>
    <w:rsid w:val="00C761ED"/>
    <w:rsid w:val="00C77ECA"/>
    <w:rsid w:val="00C80C4F"/>
    <w:rsid w:val="00C83830"/>
    <w:rsid w:val="00C86459"/>
    <w:rsid w:val="00C9099B"/>
    <w:rsid w:val="00C94DEE"/>
    <w:rsid w:val="00C95BC3"/>
    <w:rsid w:val="00CA3546"/>
    <w:rsid w:val="00CA4DA8"/>
    <w:rsid w:val="00CA548E"/>
    <w:rsid w:val="00CA5BE8"/>
    <w:rsid w:val="00CB0869"/>
    <w:rsid w:val="00CB26D8"/>
    <w:rsid w:val="00CB41CD"/>
    <w:rsid w:val="00CB4595"/>
    <w:rsid w:val="00CB5F59"/>
    <w:rsid w:val="00CB7078"/>
    <w:rsid w:val="00CC399E"/>
    <w:rsid w:val="00CC58F5"/>
    <w:rsid w:val="00CC5FA5"/>
    <w:rsid w:val="00CC78FC"/>
    <w:rsid w:val="00CC7A93"/>
    <w:rsid w:val="00CD0335"/>
    <w:rsid w:val="00CD0C17"/>
    <w:rsid w:val="00CD0F1D"/>
    <w:rsid w:val="00CD2860"/>
    <w:rsid w:val="00CD3E3C"/>
    <w:rsid w:val="00CD4BBD"/>
    <w:rsid w:val="00CD4EB9"/>
    <w:rsid w:val="00CD59CC"/>
    <w:rsid w:val="00CD7E15"/>
    <w:rsid w:val="00CE01AC"/>
    <w:rsid w:val="00CE052C"/>
    <w:rsid w:val="00CE1D82"/>
    <w:rsid w:val="00CE2A5B"/>
    <w:rsid w:val="00CE3198"/>
    <w:rsid w:val="00CE36E4"/>
    <w:rsid w:val="00CE75EA"/>
    <w:rsid w:val="00CF1A53"/>
    <w:rsid w:val="00CF32E3"/>
    <w:rsid w:val="00CF3C98"/>
    <w:rsid w:val="00CF5945"/>
    <w:rsid w:val="00CF7DF3"/>
    <w:rsid w:val="00D01848"/>
    <w:rsid w:val="00D043F0"/>
    <w:rsid w:val="00D05090"/>
    <w:rsid w:val="00D05E74"/>
    <w:rsid w:val="00D06A75"/>
    <w:rsid w:val="00D06B0E"/>
    <w:rsid w:val="00D109F3"/>
    <w:rsid w:val="00D11C39"/>
    <w:rsid w:val="00D13541"/>
    <w:rsid w:val="00D13A8C"/>
    <w:rsid w:val="00D13C13"/>
    <w:rsid w:val="00D144D8"/>
    <w:rsid w:val="00D1478F"/>
    <w:rsid w:val="00D158F4"/>
    <w:rsid w:val="00D20B2B"/>
    <w:rsid w:val="00D26633"/>
    <w:rsid w:val="00D30E12"/>
    <w:rsid w:val="00D3201F"/>
    <w:rsid w:val="00D33AF1"/>
    <w:rsid w:val="00D34E10"/>
    <w:rsid w:val="00D35A1D"/>
    <w:rsid w:val="00D36BB9"/>
    <w:rsid w:val="00D4131A"/>
    <w:rsid w:val="00D4318F"/>
    <w:rsid w:val="00D44854"/>
    <w:rsid w:val="00D5004F"/>
    <w:rsid w:val="00D5226C"/>
    <w:rsid w:val="00D5312A"/>
    <w:rsid w:val="00D55D0F"/>
    <w:rsid w:val="00D61EBB"/>
    <w:rsid w:val="00D62BB2"/>
    <w:rsid w:val="00D639E4"/>
    <w:rsid w:val="00D64698"/>
    <w:rsid w:val="00D64F93"/>
    <w:rsid w:val="00D66776"/>
    <w:rsid w:val="00D67FAF"/>
    <w:rsid w:val="00D70955"/>
    <w:rsid w:val="00D75219"/>
    <w:rsid w:val="00D7562C"/>
    <w:rsid w:val="00D82415"/>
    <w:rsid w:val="00D83906"/>
    <w:rsid w:val="00D83DC8"/>
    <w:rsid w:val="00D84926"/>
    <w:rsid w:val="00D84C05"/>
    <w:rsid w:val="00D85431"/>
    <w:rsid w:val="00D859B8"/>
    <w:rsid w:val="00D87A18"/>
    <w:rsid w:val="00D9238B"/>
    <w:rsid w:val="00D94417"/>
    <w:rsid w:val="00D94BA4"/>
    <w:rsid w:val="00DA0985"/>
    <w:rsid w:val="00DA4C3A"/>
    <w:rsid w:val="00DA58FD"/>
    <w:rsid w:val="00DA6FB0"/>
    <w:rsid w:val="00DB24A6"/>
    <w:rsid w:val="00DB4FBC"/>
    <w:rsid w:val="00DB7B9A"/>
    <w:rsid w:val="00DB7D5D"/>
    <w:rsid w:val="00DC33E3"/>
    <w:rsid w:val="00DC36C7"/>
    <w:rsid w:val="00DC4EDD"/>
    <w:rsid w:val="00DC5F85"/>
    <w:rsid w:val="00DC7207"/>
    <w:rsid w:val="00DD1C27"/>
    <w:rsid w:val="00DD317E"/>
    <w:rsid w:val="00DD602D"/>
    <w:rsid w:val="00DD7197"/>
    <w:rsid w:val="00DE012C"/>
    <w:rsid w:val="00DE1666"/>
    <w:rsid w:val="00DE1C48"/>
    <w:rsid w:val="00DE7E84"/>
    <w:rsid w:val="00DF20C0"/>
    <w:rsid w:val="00DF2B89"/>
    <w:rsid w:val="00DF6D00"/>
    <w:rsid w:val="00DF77A7"/>
    <w:rsid w:val="00E0117D"/>
    <w:rsid w:val="00E01FD5"/>
    <w:rsid w:val="00E04720"/>
    <w:rsid w:val="00E04E0E"/>
    <w:rsid w:val="00E052B8"/>
    <w:rsid w:val="00E06AF4"/>
    <w:rsid w:val="00E116C3"/>
    <w:rsid w:val="00E1286F"/>
    <w:rsid w:val="00E151D0"/>
    <w:rsid w:val="00E158C0"/>
    <w:rsid w:val="00E15A8F"/>
    <w:rsid w:val="00E2118F"/>
    <w:rsid w:val="00E2570E"/>
    <w:rsid w:val="00E30172"/>
    <w:rsid w:val="00E30746"/>
    <w:rsid w:val="00E32033"/>
    <w:rsid w:val="00E375C9"/>
    <w:rsid w:val="00E440EE"/>
    <w:rsid w:val="00E52152"/>
    <w:rsid w:val="00E523B5"/>
    <w:rsid w:val="00E5368B"/>
    <w:rsid w:val="00E55390"/>
    <w:rsid w:val="00E6140E"/>
    <w:rsid w:val="00E63E22"/>
    <w:rsid w:val="00E65917"/>
    <w:rsid w:val="00E739FF"/>
    <w:rsid w:val="00E73B36"/>
    <w:rsid w:val="00E73DC3"/>
    <w:rsid w:val="00E74A15"/>
    <w:rsid w:val="00E75060"/>
    <w:rsid w:val="00E750D1"/>
    <w:rsid w:val="00E758AB"/>
    <w:rsid w:val="00E759E3"/>
    <w:rsid w:val="00E75C93"/>
    <w:rsid w:val="00E769A0"/>
    <w:rsid w:val="00E772A8"/>
    <w:rsid w:val="00E829A8"/>
    <w:rsid w:val="00E85AFD"/>
    <w:rsid w:val="00E8623C"/>
    <w:rsid w:val="00E86871"/>
    <w:rsid w:val="00E9016F"/>
    <w:rsid w:val="00E90732"/>
    <w:rsid w:val="00E94F60"/>
    <w:rsid w:val="00E95EB7"/>
    <w:rsid w:val="00E95F22"/>
    <w:rsid w:val="00E96CDF"/>
    <w:rsid w:val="00EA0119"/>
    <w:rsid w:val="00EA0C3E"/>
    <w:rsid w:val="00EA7BE5"/>
    <w:rsid w:val="00EB34C2"/>
    <w:rsid w:val="00EB47E4"/>
    <w:rsid w:val="00EB4BDC"/>
    <w:rsid w:val="00EB7AAB"/>
    <w:rsid w:val="00EC0B3D"/>
    <w:rsid w:val="00EC0E6B"/>
    <w:rsid w:val="00EC275C"/>
    <w:rsid w:val="00ED19C7"/>
    <w:rsid w:val="00ED27C7"/>
    <w:rsid w:val="00ED5013"/>
    <w:rsid w:val="00ED545D"/>
    <w:rsid w:val="00ED56BF"/>
    <w:rsid w:val="00EE0A7A"/>
    <w:rsid w:val="00EE1193"/>
    <w:rsid w:val="00EE122A"/>
    <w:rsid w:val="00EE2426"/>
    <w:rsid w:val="00EE67AD"/>
    <w:rsid w:val="00EE6C92"/>
    <w:rsid w:val="00EF0D79"/>
    <w:rsid w:val="00EF16FA"/>
    <w:rsid w:val="00EF2BF6"/>
    <w:rsid w:val="00EF30E3"/>
    <w:rsid w:val="00EF34E5"/>
    <w:rsid w:val="00EF4969"/>
    <w:rsid w:val="00EF672C"/>
    <w:rsid w:val="00F01A34"/>
    <w:rsid w:val="00F02E17"/>
    <w:rsid w:val="00F03016"/>
    <w:rsid w:val="00F042E9"/>
    <w:rsid w:val="00F04A1C"/>
    <w:rsid w:val="00F057FF"/>
    <w:rsid w:val="00F07420"/>
    <w:rsid w:val="00F07C46"/>
    <w:rsid w:val="00F07FAD"/>
    <w:rsid w:val="00F1095C"/>
    <w:rsid w:val="00F15545"/>
    <w:rsid w:val="00F15622"/>
    <w:rsid w:val="00F1599C"/>
    <w:rsid w:val="00F15B75"/>
    <w:rsid w:val="00F20541"/>
    <w:rsid w:val="00F2590F"/>
    <w:rsid w:val="00F2665C"/>
    <w:rsid w:val="00F32F81"/>
    <w:rsid w:val="00F32F9C"/>
    <w:rsid w:val="00F349F7"/>
    <w:rsid w:val="00F35052"/>
    <w:rsid w:val="00F41AA6"/>
    <w:rsid w:val="00F42FCC"/>
    <w:rsid w:val="00F4350D"/>
    <w:rsid w:val="00F46A0D"/>
    <w:rsid w:val="00F471E1"/>
    <w:rsid w:val="00F520B8"/>
    <w:rsid w:val="00F5507F"/>
    <w:rsid w:val="00F557C4"/>
    <w:rsid w:val="00F56980"/>
    <w:rsid w:val="00F57736"/>
    <w:rsid w:val="00F60C58"/>
    <w:rsid w:val="00F634AD"/>
    <w:rsid w:val="00F64216"/>
    <w:rsid w:val="00F6501D"/>
    <w:rsid w:val="00F656C5"/>
    <w:rsid w:val="00F664AA"/>
    <w:rsid w:val="00F66B3E"/>
    <w:rsid w:val="00F71311"/>
    <w:rsid w:val="00F713E0"/>
    <w:rsid w:val="00F71488"/>
    <w:rsid w:val="00F71E1B"/>
    <w:rsid w:val="00F727B9"/>
    <w:rsid w:val="00F737BF"/>
    <w:rsid w:val="00F74ABB"/>
    <w:rsid w:val="00F7530E"/>
    <w:rsid w:val="00F76F1B"/>
    <w:rsid w:val="00F8108C"/>
    <w:rsid w:val="00F81F53"/>
    <w:rsid w:val="00F83100"/>
    <w:rsid w:val="00F853BD"/>
    <w:rsid w:val="00F900CB"/>
    <w:rsid w:val="00F93C16"/>
    <w:rsid w:val="00F94241"/>
    <w:rsid w:val="00F9480D"/>
    <w:rsid w:val="00F969C1"/>
    <w:rsid w:val="00F97029"/>
    <w:rsid w:val="00FA0205"/>
    <w:rsid w:val="00FA3237"/>
    <w:rsid w:val="00FA3E78"/>
    <w:rsid w:val="00FB0DF0"/>
    <w:rsid w:val="00FB32FD"/>
    <w:rsid w:val="00FB3AC6"/>
    <w:rsid w:val="00FB3C6A"/>
    <w:rsid w:val="00FB661A"/>
    <w:rsid w:val="00FC08CE"/>
    <w:rsid w:val="00FC0AAD"/>
    <w:rsid w:val="00FC1D38"/>
    <w:rsid w:val="00FC3073"/>
    <w:rsid w:val="00FC4EDF"/>
    <w:rsid w:val="00FC767F"/>
    <w:rsid w:val="00FD0760"/>
    <w:rsid w:val="00FD3980"/>
    <w:rsid w:val="00FD474D"/>
    <w:rsid w:val="00FD6A83"/>
    <w:rsid w:val="00FD6FFD"/>
    <w:rsid w:val="00FD7755"/>
    <w:rsid w:val="00FD7B63"/>
    <w:rsid w:val="00FD7D61"/>
    <w:rsid w:val="00FE00E2"/>
    <w:rsid w:val="00FE0E87"/>
    <w:rsid w:val="00FE1406"/>
    <w:rsid w:val="00FE284F"/>
    <w:rsid w:val="00FE521A"/>
    <w:rsid w:val="00FE690E"/>
    <w:rsid w:val="00FE7641"/>
    <w:rsid w:val="00FF020C"/>
    <w:rsid w:val="00FF32F0"/>
    <w:rsid w:val="00FF3B9B"/>
    <w:rsid w:val="00FF3BC6"/>
    <w:rsid w:val="00FF4BA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66656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uiPriority="0" w:qFormat="1"/>
    <w:lsdException w:name="caption" w:uiPriority="0" w:qFormat="1"/>
    <w:lsdException w:name="page number" w:uiPriority="0"/>
    <w:lsdException w:name="endnote reference" w:uiPriority="0"/>
    <w:lsdException w:name="Lis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71"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FAF"/>
  </w:style>
  <w:style w:type="paragraph" w:styleId="Ttulo1">
    <w:name w:val="heading 1"/>
    <w:basedOn w:val="Citadestacada"/>
    <w:next w:val="Normal"/>
    <w:link w:val="Ttulo1Car"/>
    <w:uiPriority w:val="9"/>
    <w:qFormat/>
    <w:rsid w:val="00D67FAF"/>
    <w:pPr>
      <w:keepNext/>
      <w:tabs>
        <w:tab w:val="left" w:pos="8498"/>
      </w:tabs>
      <w:spacing w:before="240" w:after="60"/>
      <w:ind w:left="0"/>
      <w:outlineLvl w:val="0"/>
    </w:pPr>
    <w:rPr>
      <w:rFonts w:ascii="Arial" w:eastAsiaTheme="majorEastAsia" w:hAnsi="Arial" w:cs="Arial"/>
      <w:bCs w:val="0"/>
      <w:i w:val="0"/>
      <w:iCs w:val="0"/>
      <w:color w:val="auto"/>
      <w:kern w:val="32"/>
      <w:sz w:val="32"/>
      <w:szCs w:val="32"/>
      <w:lang w:val="es-ES" w:eastAsia="ar-SA"/>
    </w:rPr>
  </w:style>
  <w:style w:type="paragraph" w:styleId="Ttulo2">
    <w:name w:val="heading 2"/>
    <w:basedOn w:val="Encabezado"/>
    <w:next w:val="Textoindependiente"/>
    <w:link w:val="Ttulo2Car"/>
    <w:uiPriority w:val="9"/>
    <w:qFormat/>
    <w:rsid w:val="00D67FAF"/>
    <w:pPr>
      <w:keepNext/>
      <w:widowControl w:val="0"/>
      <w:tabs>
        <w:tab w:val="clear" w:pos="4252"/>
        <w:tab w:val="clear" w:pos="8504"/>
      </w:tabs>
      <w:suppressAutoHyphens/>
      <w:overflowPunct w:val="0"/>
      <w:autoSpaceDE w:val="0"/>
      <w:autoSpaceDN w:val="0"/>
      <w:adjustRightInd w:val="0"/>
      <w:spacing w:before="240" w:after="120"/>
      <w:textAlignment w:val="baseline"/>
      <w:outlineLvl w:val="1"/>
    </w:pPr>
    <w:rPr>
      <w:rFonts w:ascii="Times New Roman" w:eastAsia="Times New Roman" w:hAnsi="Times New Roman" w:cs="Times New Roman"/>
      <w:b/>
      <w:kern w:val="1"/>
      <w:sz w:val="36"/>
      <w:szCs w:val="20"/>
      <w:lang w:val="es-ES"/>
    </w:rPr>
  </w:style>
  <w:style w:type="paragraph" w:styleId="Ttulo3">
    <w:name w:val="heading 3"/>
    <w:basedOn w:val="Normal"/>
    <w:link w:val="Ttulo3Car"/>
    <w:uiPriority w:val="9"/>
    <w:qFormat/>
    <w:rsid w:val="00D67FAF"/>
    <w:pPr>
      <w:spacing w:before="100" w:beforeAutospacing="1" w:after="100" w:afterAutospacing="1" w:line="300" w:lineRule="atLeast"/>
      <w:outlineLvl w:val="2"/>
    </w:pPr>
    <w:rPr>
      <w:rFonts w:ascii="Arial" w:eastAsia="Times New Roman" w:hAnsi="Arial" w:cs="Times New Roman"/>
      <w:color w:val="1A507F"/>
      <w:lang w:val="es-ES"/>
    </w:rPr>
  </w:style>
  <w:style w:type="paragraph" w:styleId="Ttulo4">
    <w:name w:val="heading 4"/>
    <w:basedOn w:val="Normal"/>
    <w:next w:val="Normal"/>
    <w:link w:val="Ttulo4Car"/>
    <w:uiPriority w:val="9"/>
    <w:semiHidden/>
    <w:unhideWhenUsed/>
    <w:qFormat/>
    <w:rsid w:val="003A7FCB"/>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1"/>
    <w:next w:val="Normal1"/>
    <w:link w:val="Ttulo5Car"/>
    <w:uiPriority w:val="9"/>
    <w:semiHidden/>
    <w:unhideWhenUsed/>
    <w:qFormat/>
    <w:rsid w:val="00D20B2B"/>
    <w:pPr>
      <w:keepNext/>
      <w:keepLines/>
      <w:spacing w:before="200"/>
      <w:outlineLvl w:val="4"/>
    </w:pPr>
    <w:rPr>
      <w:rFonts w:asciiTheme="majorHAnsi" w:eastAsiaTheme="majorEastAsia" w:hAnsiTheme="majorHAnsi" w:cstheme="majorBidi"/>
      <w:color w:val="243F60" w:themeColor="accent1" w:themeShade="7F"/>
      <w:szCs w:val="24"/>
      <w:lang w:val="es-ES_tradnl"/>
    </w:rPr>
  </w:style>
  <w:style w:type="paragraph" w:styleId="Ttulo6">
    <w:name w:val="heading 6"/>
    <w:basedOn w:val="Normal1"/>
    <w:next w:val="Normal1"/>
    <w:link w:val="Ttulo6Car"/>
    <w:uiPriority w:val="9"/>
    <w:semiHidden/>
    <w:unhideWhenUsed/>
    <w:qFormat/>
    <w:rsid w:val="00D20B2B"/>
    <w:pPr>
      <w:keepNext/>
      <w:keepLines/>
      <w:spacing w:before="200"/>
      <w:outlineLvl w:val="5"/>
    </w:pPr>
    <w:rPr>
      <w:rFonts w:asciiTheme="majorHAnsi" w:eastAsiaTheme="majorEastAsia" w:hAnsiTheme="majorHAnsi" w:cstheme="majorBidi"/>
      <w:i/>
      <w:iCs/>
      <w:color w:val="243F60" w:themeColor="accent1" w:themeShade="7F"/>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Citadestacada">
    <w:name w:val="Intense Quote"/>
    <w:basedOn w:val="Normal"/>
    <w:next w:val="Normal"/>
    <w:link w:val="CitadestacadaCar"/>
    <w:autoRedefine/>
    <w:uiPriority w:val="30"/>
    <w:qFormat/>
    <w:rsid w:val="00D67FAF"/>
    <w:pPr>
      <w:pBdr>
        <w:bottom w:val="single" w:sz="4" w:space="4" w:color="4F81BD" w:themeColor="accent1"/>
      </w:pBdr>
      <w:spacing w:before="200" w:after="280"/>
      <w:ind w:left="936" w:right="936"/>
    </w:pPr>
    <w:rPr>
      <w:rFonts w:asciiTheme="majorHAnsi" w:hAnsiTheme="majorHAnsi"/>
      <w:b/>
      <w:bCs/>
      <w:i/>
      <w:iCs/>
      <w:color w:val="000090"/>
      <w:sz w:val="36"/>
    </w:rPr>
  </w:style>
  <w:style w:type="character" w:customStyle="1" w:styleId="CitadestacadaCar">
    <w:name w:val="Cita destacada Car"/>
    <w:basedOn w:val="Fuentedeprrafopredeter"/>
    <w:link w:val="Citadestacada"/>
    <w:uiPriority w:val="30"/>
    <w:rsid w:val="00D67FAF"/>
    <w:rPr>
      <w:rFonts w:asciiTheme="majorHAnsi" w:hAnsiTheme="majorHAnsi"/>
      <w:b/>
      <w:bCs/>
      <w:i/>
      <w:iCs/>
      <w:color w:val="000090"/>
      <w:sz w:val="36"/>
    </w:rPr>
  </w:style>
  <w:style w:type="character" w:customStyle="1" w:styleId="Ttulo1Car">
    <w:name w:val="Título 1 Car"/>
    <w:basedOn w:val="Fuentedeprrafopredeter"/>
    <w:link w:val="Ttulo1"/>
    <w:uiPriority w:val="9"/>
    <w:rsid w:val="00D67FAF"/>
    <w:rPr>
      <w:rFonts w:ascii="Arial" w:eastAsiaTheme="majorEastAsia" w:hAnsi="Arial" w:cs="Arial"/>
      <w:b/>
      <w:kern w:val="32"/>
      <w:sz w:val="32"/>
      <w:szCs w:val="32"/>
      <w:lang w:val="es-ES" w:eastAsia="ar-SA"/>
    </w:rPr>
  </w:style>
  <w:style w:type="paragraph" w:styleId="Encabezado">
    <w:name w:val="header"/>
    <w:basedOn w:val="Normal"/>
    <w:link w:val="EncabezadoCar"/>
    <w:uiPriority w:val="99"/>
    <w:unhideWhenUsed/>
    <w:rsid w:val="00980726"/>
    <w:pPr>
      <w:tabs>
        <w:tab w:val="center" w:pos="4252"/>
        <w:tab w:val="right" w:pos="8504"/>
      </w:tabs>
    </w:pPr>
  </w:style>
  <w:style w:type="character" w:customStyle="1" w:styleId="EncabezadoCar">
    <w:name w:val="Encabezado Car"/>
    <w:basedOn w:val="Fuentedeprrafopredeter"/>
    <w:link w:val="Encabezado"/>
    <w:uiPriority w:val="99"/>
    <w:rsid w:val="00980726"/>
  </w:style>
  <w:style w:type="paragraph" w:styleId="Textoindependiente">
    <w:name w:val="Body Text"/>
    <w:basedOn w:val="Normal"/>
    <w:link w:val="TextoindependienteCar"/>
    <w:rsid w:val="000927AF"/>
    <w:pPr>
      <w:jc w:val="both"/>
    </w:pPr>
    <w:rPr>
      <w:rFonts w:ascii="Arial" w:eastAsia="Times New Roman" w:hAnsi="Arial" w:cs="Arial"/>
      <w:sz w:val="20"/>
      <w:szCs w:val="20"/>
      <w:lang w:val="es-ES"/>
    </w:rPr>
  </w:style>
  <w:style w:type="character" w:customStyle="1" w:styleId="TextoindependienteCar">
    <w:name w:val="Texto independiente Car"/>
    <w:basedOn w:val="Fuentedeprrafopredeter"/>
    <w:link w:val="Textoindependiente"/>
    <w:rsid w:val="000927AF"/>
    <w:rPr>
      <w:rFonts w:ascii="Arial" w:eastAsia="Times New Roman" w:hAnsi="Arial" w:cs="Arial"/>
      <w:sz w:val="20"/>
      <w:szCs w:val="20"/>
      <w:lang w:val="es-ES"/>
    </w:rPr>
  </w:style>
  <w:style w:type="character" w:customStyle="1" w:styleId="Ttulo2Car">
    <w:name w:val="Título 2 Car"/>
    <w:basedOn w:val="Fuentedeprrafopredeter"/>
    <w:link w:val="Ttulo2"/>
    <w:uiPriority w:val="9"/>
    <w:rsid w:val="00D67FAF"/>
    <w:rPr>
      <w:rFonts w:ascii="Times New Roman" w:eastAsia="Times New Roman" w:hAnsi="Times New Roman" w:cs="Times New Roman"/>
      <w:b/>
      <w:kern w:val="1"/>
      <w:sz w:val="36"/>
      <w:szCs w:val="20"/>
      <w:lang w:val="es-ES"/>
    </w:rPr>
  </w:style>
  <w:style w:type="character" w:customStyle="1" w:styleId="Ttulo3Car">
    <w:name w:val="Título 3 Car"/>
    <w:basedOn w:val="Fuentedeprrafopredeter"/>
    <w:link w:val="Ttulo3"/>
    <w:uiPriority w:val="9"/>
    <w:rsid w:val="00D67FAF"/>
    <w:rPr>
      <w:rFonts w:ascii="Arial" w:eastAsia="Times New Roman" w:hAnsi="Arial" w:cs="Times New Roman"/>
      <w:color w:val="1A507F"/>
      <w:lang w:val="es-ES"/>
    </w:rPr>
  </w:style>
  <w:style w:type="character" w:styleId="nfasis">
    <w:name w:val="Emphasis"/>
    <w:basedOn w:val="Fuentedeprrafopredeter"/>
    <w:uiPriority w:val="20"/>
    <w:qFormat/>
    <w:rsid w:val="00D67FAF"/>
    <w:rPr>
      <w:i w:val="0"/>
      <w:iCs/>
    </w:rPr>
  </w:style>
  <w:style w:type="character" w:styleId="nfasisintenso">
    <w:name w:val="Intense Emphasis"/>
    <w:basedOn w:val="Fuentedeprrafopredeter"/>
    <w:uiPriority w:val="21"/>
    <w:qFormat/>
    <w:rsid w:val="00D67FAF"/>
    <w:rPr>
      <w:rFonts w:asciiTheme="majorHAnsi" w:hAnsiTheme="majorHAnsi"/>
      <w:b/>
      <w:bCs/>
      <w:i w:val="0"/>
      <w:iCs/>
      <w:color w:val="000090"/>
      <w:sz w:val="40"/>
    </w:rPr>
  </w:style>
  <w:style w:type="paragraph" w:styleId="Textodeglobo">
    <w:name w:val="Balloon Text"/>
    <w:basedOn w:val="Normal"/>
    <w:link w:val="TextodegloboCar"/>
    <w:uiPriority w:val="99"/>
    <w:unhideWhenUsed/>
    <w:rsid w:val="001643AE"/>
    <w:rPr>
      <w:rFonts w:ascii="Lucida Grande" w:hAnsi="Lucida Grande" w:cs="Lucida Grande"/>
      <w:sz w:val="18"/>
      <w:szCs w:val="18"/>
    </w:rPr>
  </w:style>
  <w:style w:type="character" w:customStyle="1" w:styleId="TextodegloboCar">
    <w:name w:val="Texto de globo Car"/>
    <w:basedOn w:val="Fuentedeprrafopredeter"/>
    <w:link w:val="Textodeglobo"/>
    <w:uiPriority w:val="99"/>
    <w:rsid w:val="001643AE"/>
    <w:rPr>
      <w:rFonts w:ascii="Lucida Grande" w:hAnsi="Lucida Grande" w:cs="Lucida Grande"/>
      <w:sz w:val="18"/>
      <w:szCs w:val="18"/>
    </w:rPr>
  </w:style>
  <w:style w:type="character" w:styleId="Hipervnculo">
    <w:name w:val="Hyperlink"/>
    <w:basedOn w:val="Fuentedeprrafopredeter"/>
    <w:uiPriority w:val="99"/>
    <w:rsid w:val="00796E71"/>
    <w:rPr>
      <w:rFonts w:cs="Times New Roman"/>
      <w:color w:val="0000FF"/>
      <w:u w:val="single"/>
    </w:rPr>
  </w:style>
  <w:style w:type="paragraph" w:styleId="Piedepgina">
    <w:name w:val="footer"/>
    <w:basedOn w:val="Normal"/>
    <w:link w:val="PiedepginaCar"/>
    <w:unhideWhenUsed/>
    <w:qFormat/>
    <w:rsid w:val="00D67FAF"/>
    <w:pPr>
      <w:tabs>
        <w:tab w:val="center" w:pos="4252"/>
        <w:tab w:val="right" w:pos="8504"/>
      </w:tabs>
    </w:pPr>
  </w:style>
  <w:style w:type="character" w:customStyle="1" w:styleId="PiedepginaCar">
    <w:name w:val="Pie de página Car"/>
    <w:basedOn w:val="Fuentedeprrafopredeter"/>
    <w:link w:val="Piedepgina"/>
    <w:rsid w:val="00D67FAF"/>
  </w:style>
  <w:style w:type="character" w:styleId="Nmerodepgina">
    <w:name w:val="page number"/>
    <w:basedOn w:val="Fuentedeprrafopredeter"/>
    <w:rsid w:val="005E72A0"/>
    <w:rPr>
      <w:rFonts w:cs="Times New Roman"/>
    </w:rPr>
  </w:style>
  <w:style w:type="paragraph" w:styleId="TtulodeTDC">
    <w:name w:val="TOC Heading"/>
    <w:basedOn w:val="Ttulo1"/>
    <w:next w:val="Normal"/>
    <w:uiPriority w:val="39"/>
    <w:unhideWhenUsed/>
    <w:qFormat/>
    <w:rsid w:val="00D67FAF"/>
    <w:pPr>
      <w:keepLines/>
      <w:pBdr>
        <w:bottom w:val="none" w:sz="0" w:space="0" w:color="auto"/>
      </w:pBdr>
      <w:spacing w:before="480" w:after="0" w:line="276" w:lineRule="auto"/>
      <w:ind w:right="0"/>
      <w:outlineLvl w:val="9"/>
    </w:pPr>
    <w:rPr>
      <w:bCs/>
      <w:i/>
      <w:color w:val="365F91" w:themeColor="accent1" w:themeShade="BF"/>
      <w:kern w:val="0"/>
      <w:sz w:val="28"/>
      <w:szCs w:val="28"/>
    </w:rPr>
  </w:style>
  <w:style w:type="paragraph" w:styleId="TDC1">
    <w:name w:val="toc 1"/>
    <w:basedOn w:val="Normal"/>
    <w:next w:val="Normal"/>
    <w:autoRedefine/>
    <w:uiPriority w:val="39"/>
    <w:unhideWhenUsed/>
    <w:rsid w:val="00CE36E4"/>
    <w:pPr>
      <w:tabs>
        <w:tab w:val="right" w:leader="dot" w:pos="8488"/>
      </w:tabs>
      <w:spacing w:before="120"/>
    </w:pPr>
    <w:rPr>
      <w:rFonts w:asciiTheme="majorHAnsi" w:hAnsiTheme="majorHAnsi"/>
      <w:b/>
      <w:color w:val="548DD4"/>
    </w:rPr>
  </w:style>
  <w:style w:type="paragraph" w:styleId="TDC2">
    <w:name w:val="toc 2"/>
    <w:basedOn w:val="Normal"/>
    <w:next w:val="Normal"/>
    <w:autoRedefine/>
    <w:uiPriority w:val="39"/>
    <w:unhideWhenUsed/>
    <w:rsid w:val="003F0424"/>
    <w:rPr>
      <w:sz w:val="22"/>
      <w:szCs w:val="22"/>
    </w:rPr>
  </w:style>
  <w:style w:type="paragraph" w:styleId="TDC3">
    <w:name w:val="toc 3"/>
    <w:basedOn w:val="Normal"/>
    <w:next w:val="Normal"/>
    <w:autoRedefine/>
    <w:uiPriority w:val="39"/>
    <w:unhideWhenUsed/>
    <w:rsid w:val="003F0424"/>
    <w:pPr>
      <w:ind w:left="240"/>
    </w:pPr>
    <w:rPr>
      <w:i/>
      <w:sz w:val="22"/>
      <w:szCs w:val="22"/>
    </w:rPr>
  </w:style>
  <w:style w:type="paragraph" w:styleId="TDC4">
    <w:name w:val="toc 4"/>
    <w:basedOn w:val="Normal"/>
    <w:next w:val="Normal"/>
    <w:autoRedefine/>
    <w:uiPriority w:val="39"/>
    <w:semiHidden/>
    <w:unhideWhenUsed/>
    <w:rsid w:val="003F0424"/>
    <w:pPr>
      <w:pBdr>
        <w:between w:val="double" w:sz="6" w:space="0" w:color="auto"/>
      </w:pBdr>
      <w:ind w:left="480"/>
    </w:pPr>
    <w:rPr>
      <w:sz w:val="20"/>
      <w:szCs w:val="20"/>
    </w:rPr>
  </w:style>
  <w:style w:type="paragraph" w:styleId="TDC5">
    <w:name w:val="toc 5"/>
    <w:basedOn w:val="Normal"/>
    <w:next w:val="Normal"/>
    <w:autoRedefine/>
    <w:uiPriority w:val="39"/>
    <w:semiHidden/>
    <w:unhideWhenUsed/>
    <w:rsid w:val="003F0424"/>
    <w:pPr>
      <w:pBdr>
        <w:between w:val="double" w:sz="6" w:space="0" w:color="auto"/>
      </w:pBdr>
      <w:ind w:left="720"/>
    </w:pPr>
    <w:rPr>
      <w:sz w:val="20"/>
      <w:szCs w:val="20"/>
    </w:rPr>
  </w:style>
  <w:style w:type="paragraph" w:styleId="TDC6">
    <w:name w:val="toc 6"/>
    <w:basedOn w:val="Normal"/>
    <w:next w:val="Normal"/>
    <w:autoRedefine/>
    <w:uiPriority w:val="39"/>
    <w:semiHidden/>
    <w:unhideWhenUsed/>
    <w:rsid w:val="003F0424"/>
    <w:pPr>
      <w:pBdr>
        <w:between w:val="double" w:sz="6" w:space="0" w:color="auto"/>
      </w:pBdr>
      <w:ind w:left="960"/>
    </w:pPr>
    <w:rPr>
      <w:sz w:val="20"/>
      <w:szCs w:val="20"/>
    </w:rPr>
  </w:style>
  <w:style w:type="paragraph" w:styleId="TDC7">
    <w:name w:val="toc 7"/>
    <w:basedOn w:val="Normal"/>
    <w:next w:val="Normal"/>
    <w:autoRedefine/>
    <w:uiPriority w:val="39"/>
    <w:semiHidden/>
    <w:unhideWhenUsed/>
    <w:rsid w:val="003F0424"/>
    <w:pPr>
      <w:pBdr>
        <w:between w:val="double" w:sz="6" w:space="0" w:color="auto"/>
      </w:pBdr>
      <w:ind w:left="1200"/>
    </w:pPr>
    <w:rPr>
      <w:sz w:val="20"/>
      <w:szCs w:val="20"/>
    </w:rPr>
  </w:style>
  <w:style w:type="paragraph" w:styleId="TDC8">
    <w:name w:val="toc 8"/>
    <w:basedOn w:val="Normal"/>
    <w:next w:val="Normal"/>
    <w:autoRedefine/>
    <w:uiPriority w:val="39"/>
    <w:semiHidden/>
    <w:unhideWhenUsed/>
    <w:rsid w:val="003F0424"/>
    <w:pPr>
      <w:pBdr>
        <w:between w:val="double" w:sz="6" w:space="0" w:color="auto"/>
      </w:pBdr>
      <w:ind w:left="1440"/>
    </w:pPr>
    <w:rPr>
      <w:sz w:val="20"/>
      <w:szCs w:val="20"/>
    </w:rPr>
  </w:style>
  <w:style w:type="paragraph" w:styleId="TDC9">
    <w:name w:val="toc 9"/>
    <w:basedOn w:val="Normal"/>
    <w:next w:val="Normal"/>
    <w:autoRedefine/>
    <w:uiPriority w:val="39"/>
    <w:semiHidden/>
    <w:unhideWhenUsed/>
    <w:rsid w:val="003F0424"/>
    <w:pPr>
      <w:pBdr>
        <w:between w:val="double" w:sz="6" w:space="0" w:color="auto"/>
      </w:pBdr>
      <w:ind w:left="1680"/>
    </w:pPr>
    <w:rPr>
      <w:sz w:val="20"/>
      <w:szCs w:val="20"/>
    </w:rPr>
  </w:style>
  <w:style w:type="paragraph" w:styleId="Prrafodelista">
    <w:name w:val="List Paragraph"/>
    <w:basedOn w:val="Normal"/>
    <w:uiPriority w:val="34"/>
    <w:qFormat/>
    <w:rsid w:val="00D67FAF"/>
    <w:pPr>
      <w:ind w:left="720"/>
      <w:contextualSpacing/>
    </w:pPr>
  </w:style>
  <w:style w:type="paragraph" w:styleId="Textonotapie">
    <w:name w:val="footnote text"/>
    <w:aliases w:val="Texto nota pie Car Car Car,Texto nota pie Car Car Car Car Car,Texto nota pie Car Car Ca,Texto nota pie ERS"/>
    <w:basedOn w:val="Normal"/>
    <w:link w:val="TextonotapieCar"/>
    <w:uiPriority w:val="99"/>
    <w:qFormat/>
    <w:rsid w:val="006B7D2B"/>
    <w:rPr>
      <w:rFonts w:ascii="Times New Roman" w:eastAsia="Times New Roman" w:hAnsi="Times New Roman" w:cs="Times New Roman"/>
      <w:sz w:val="20"/>
      <w:szCs w:val="20"/>
      <w:lang w:val="es-ES"/>
    </w:rPr>
  </w:style>
  <w:style w:type="character" w:customStyle="1" w:styleId="TextonotapieCar">
    <w:name w:val="Texto nota pie Car"/>
    <w:aliases w:val="Texto nota pie Car Car Car Car,Texto nota pie Car Car Car Car Car Car,Texto nota pie Car Car Ca Car,Texto nota pie ERS Car"/>
    <w:basedOn w:val="Fuentedeprrafopredeter"/>
    <w:link w:val="Textonotapie"/>
    <w:uiPriority w:val="99"/>
    <w:rsid w:val="006B7D2B"/>
    <w:rPr>
      <w:rFonts w:ascii="Times New Roman" w:eastAsia="Times New Roman" w:hAnsi="Times New Roman" w:cs="Times New Roman"/>
      <w:sz w:val="20"/>
      <w:szCs w:val="20"/>
      <w:lang w:val="es-ES"/>
    </w:rPr>
  </w:style>
  <w:style w:type="character" w:styleId="Refdenotaalpie">
    <w:name w:val="footnote reference"/>
    <w:basedOn w:val="Fuentedeprrafopredeter"/>
    <w:uiPriority w:val="99"/>
    <w:rsid w:val="006B7D2B"/>
    <w:rPr>
      <w:vertAlign w:val="superscript"/>
    </w:rPr>
  </w:style>
  <w:style w:type="character" w:styleId="Textoennegrita">
    <w:name w:val="Strong"/>
    <w:basedOn w:val="Fuentedeprrafopredeter"/>
    <w:uiPriority w:val="22"/>
    <w:qFormat/>
    <w:rsid w:val="00D67FAF"/>
    <w:rPr>
      <w:b/>
      <w:bCs/>
    </w:rPr>
  </w:style>
  <w:style w:type="character" w:styleId="Hipervnculovisitado">
    <w:name w:val="FollowedHyperlink"/>
    <w:basedOn w:val="Fuentedeprrafopredeter"/>
    <w:uiPriority w:val="99"/>
    <w:unhideWhenUsed/>
    <w:rsid w:val="000927AF"/>
    <w:rPr>
      <w:color w:val="800080" w:themeColor="followedHyperlink"/>
      <w:u w:val="single"/>
    </w:rPr>
  </w:style>
  <w:style w:type="paragraph" w:customStyle="1" w:styleId="Default">
    <w:name w:val="Default"/>
    <w:qFormat/>
    <w:rsid w:val="000927AF"/>
    <w:pPr>
      <w:autoSpaceDE w:val="0"/>
      <w:autoSpaceDN w:val="0"/>
      <w:adjustRightInd w:val="0"/>
    </w:pPr>
    <w:rPr>
      <w:rFonts w:ascii="Garamond" w:eastAsia="Times New Roman" w:hAnsi="Garamond" w:cs="Times New Roman"/>
      <w:color w:val="000000"/>
      <w:lang w:val="es-ES"/>
    </w:rPr>
  </w:style>
  <w:style w:type="character" w:customStyle="1" w:styleId="titular">
    <w:name w:val="titular"/>
    <w:basedOn w:val="Fuentedeprrafopredeter"/>
    <w:rsid w:val="000927AF"/>
  </w:style>
  <w:style w:type="table" w:styleId="Tablaconcuadrcula">
    <w:name w:val="Table Grid"/>
    <w:basedOn w:val="Tablanormal"/>
    <w:uiPriority w:val="59"/>
    <w:rsid w:val="00027A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A7746"/>
    <w:rPr>
      <w:rFonts w:ascii="Times New Roman" w:eastAsia="Times New Roman" w:hAnsi="Times New Roman" w:cs="Times New Roman"/>
      <w:lang w:val="es-ES"/>
    </w:rPr>
  </w:style>
  <w:style w:type="paragraph" w:customStyle="1" w:styleId="Pa212">
    <w:name w:val="Pa21++2"/>
    <w:basedOn w:val="Default"/>
    <w:next w:val="Default"/>
    <w:uiPriority w:val="99"/>
    <w:rsid w:val="0070434A"/>
    <w:pPr>
      <w:spacing w:line="201" w:lineRule="atLeast"/>
    </w:pPr>
    <w:rPr>
      <w:rFonts w:ascii="Bliss" w:eastAsia="Calibri" w:hAnsi="Bliss"/>
      <w:color w:val="auto"/>
    </w:rPr>
  </w:style>
  <w:style w:type="paragraph" w:customStyle="1" w:styleId="Cuadrculamedia1-nfasis21">
    <w:name w:val="Cuadrícula media 1 - Énfasis 21"/>
    <w:basedOn w:val="Normal"/>
    <w:uiPriority w:val="72"/>
    <w:qFormat/>
    <w:rsid w:val="00D67FAF"/>
    <w:pPr>
      <w:ind w:left="720"/>
      <w:contextualSpacing/>
    </w:pPr>
    <w:rPr>
      <w:rFonts w:ascii="Times New Roman" w:eastAsia="Times New Roman" w:hAnsi="Times New Roman" w:cs="Times New Roman"/>
      <w:lang w:val="es-ES"/>
    </w:rPr>
  </w:style>
  <w:style w:type="paragraph" w:customStyle="1" w:styleId="Listavistosa-nfasis11">
    <w:name w:val="Lista vistosa - Énfasis 11"/>
    <w:basedOn w:val="Normal"/>
    <w:uiPriority w:val="72"/>
    <w:qFormat/>
    <w:rsid w:val="00D67FAF"/>
    <w:pPr>
      <w:ind w:left="708"/>
    </w:pPr>
    <w:rPr>
      <w:rFonts w:ascii="Times New Roman" w:eastAsia="Times New Roman" w:hAnsi="Times New Roman" w:cs="Times New Roman"/>
      <w:lang w:val="es-ES"/>
    </w:rPr>
  </w:style>
  <w:style w:type="character" w:customStyle="1" w:styleId="TextocomentarioCar">
    <w:name w:val="Texto comentario Car"/>
    <w:basedOn w:val="Fuentedeprrafopredeter"/>
    <w:link w:val="Textocomentario"/>
    <w:uiPriority w:val="99"/>
    <w:rsid w:val="00FB0DF0"/>
    <w:rPr>
      <w:rFonts w:ascii="Times New Roman" w:eastAsia="Times New Roman" w:hAnsi="Times New Roman" w:cs="Times New Roman"/>
      <w:lang w:val="es-ES"/>
    </w:rPr>
  </w:style>
  <w:style w:type="paragraph" w:styleId="Textocomentario">
    <w:name w:val="annotation text"/>
    <w:basedOn w:val="Normal"/>
    <w:link w:val="TextocomentarioCar"/>
    <w:uiPriority w:val="99"/>
    <w:unhideWhenUsed/>
    <w:rsid w:val="00FB0DF0"/>
    <w:rPr>
      <w:rFonts w:ascii="Times New Roman" w:eastAsia="Times New Roman" w:hAnsi="Times New Roman" w:cs="Times New Roman"/>
      <w:lang w:val="es-ES"/>
    </w:rPr>
  </w:style>
  <w:style w:type="character" w:customStyle="1" w:styleId="AsuntodelcomentarioCar">
    <w:name w:val="Asunto del comentario Car"/>
    <w:basedOn w:val="TextocomentarioCar"/>
    <w:link w:val="Asuntodelcomentario"/>
    <w:uiPriority w:val="99"/>
    <w:rsid w:val="00FB0DF0"/>
    <w:rPr>
      <w:rFonts w:ascii="Times New Roman" w:eastAsia="Times New Roman" w:hAnsi="Times New Roman" w:cs="Times New Roman"/>
      <w:b/>
      <w:bCs/>
      <w:sz w:val="20"/>
      <w:szCs w:val="20"/>
      <w:lang w:val="es-ES"/>
    </w:rPr>
  </w:style>
  <w:style w:type="paragraph" w:styleId="Asuntodelcomentario">
    <w:name w:val="annotation subject"/>
    <w:basedOn w:val="Textocomentario"/>
    <w:next w:val="Textocomentario"/>
    <w:link w:val="AsuntodelcomentarioCar"/>
    <w:uiPriority w:val="99"/>
    <w:unhideWhenUsed/>
    <w:rsid w:val="00FB0DF0"/>
    <w:rPr>
      <w:b/>
      <w:bCs/>
      <w:sz w:val="20"/>
      <w:szCs w:val="20"/>
    </w:rPr>
  </w:style>
  <w:style w:type="character" w:customStyle="1" w:styleId="mediumtext">
    <w:name w:val="medium_text"/>
    <w:basedOn w:val="Fuentedeprrafopredeter"/>
    <w:rsid w:val="00F2665C"/>
  </w:style>
  <w:style w:type="character" w:customStyle="1" w:styleId="hps">
    <w:name w:val="hps"/>
    <w:basedOn w:val="Fuentedeprrafopredeter"/>
    <w:rsid w:val="00F2665C"/>
  </w:style>
  <w:style w:type="character" w:styleId="Refdecomentario">
    <w:name w:val="annotation reference"/>
    <w:uiPriority w:val="99"/>
    <w:unhideWhenUsed/>
    <w:rsid w:val="007B6A9D"/>
    <w:rPr>
      <w:sz w:val="18"/>
      <w:szCs w:val="18"/>
    </w:rPr>
  </w:style>
  <w:style w:type="paragraph" w:styleId="Sangradetextonormal">
    <w:name w:val="Body Text Indent"/>
    <w:basedOn w:val="Normal"/>
    <w:link w:val="SangradetextonormalCar"/>
    <w:unhideWhenUsed/>
    <w:rsid w:val="0085158B"/>
    <w:pPr>
      <w:spacing w:after="120"/>
      <w:ind w:left="283"/>
    </w:pPr>
  </w:style>
  <w:style w:type="character" w:customStyle="1" w:styleId="SangradetextonormalCar">
    <w:name w:val="Sangría de texto normal Car"/>
    <w:basedOn w:val="Fuentedeprrafopredeter"/>
    <w:link w:val="Sangradetextonormal"/>
    <w:uiPriority w:val="99"/>
    <w:semiHidden/>
    <w:rsid w:val="0085158B"/>
  </w:style>
  <w:style w:type="paragraph" w:styleId="Textodebloque">
    <w:name w:val="Block Text"/>
    <w:basedOn w:val="Normal"/>
    <w:rsid w:val="0085158B"/>
    <w:pPr>
      <w:ind w:left="353" w:right="367"/>
      <w:jc w:val="both"/>
    </w:pPr>
    <w:rPr>
      <w:rFonts w:ascii="Arial" w:eastAsia="Times New Roman" w:hAnsi="Arial" w:cs="Arial"/>
      <w:sz w:val="28"/>
      <w:lang w:val="es-ES"/>
    </w:rPr>
  </w:style>
  <w:style w:type="paragraph" w:styleId="Listaconvietas2">
    <w:name w:val="List Bullet 2"/>
    <w:basedOn w:val="Normal"/>
    <w:rsid w:val="00B8321C"/>
    <w:pPr>
      <w:tabs>
        <w:tab w:val="num" w:pos="643"/>
      </w:tabs>
      <w:ind w:left="643" w:hanging="360"/>
    </w:pPr>
    <w:rPr>
      <w:rFonts w:ascii="Times New Roman" w:eastAsia="Times New Roman" w:hAnsi="Times New Roman" w:cs="Times New Roman"/>
      <w:lang w:val="es-ES"/>
    </w:rPr>
  </w:style>
  <w:style w:type="paragraph" w:styleId="Continuarlista">
    <w:name w:val="List Continue"/>
    <w:basedOn w:val="Normal"/>
    <w:rsid w:val="00B8321C"/>
    <w:pPr>
      <w:spacing w:after="120"/>
      <w:ind w:left="283"/>
    </w:pPr>
    <w:rPr>
      <w:rFonts w:ascii="Times New Roman" w:eastAsia="Times New Roman" w:hAnsi="Times New Roman" w:cs="Times New Roman"/>
      <w:lang w:val="es-ES"/>
    </w:rPr>
  </w:style>
  <w:style w:type="paragraph" w:customStyle="1" w:styleId="Listavistosa-nfasis12">
    <w:name w:val="Lista vistosa - Énfasis 12"/>
    <w:basedOn w:val="Normal"/>
    <w:uiPriority w:val="72"/>
    <w:qFormat/>
    <w:rsid w:val="00D67FAF"/>
    <w:pPr>
      <w:ind w:left="720"/>
      <w:contextualSpacing/>
    </w:pPr>
    <w:rPr>
      <w:rFonts w:ascii="Times New Roman" w:eastAsia="Times New Roman" w:hAnsi="Times New Roman" w:cs="Times New Roman"/>
      <w:lang w:val="es-ES"/>
    </w:rPr>
  </w:style>
  <w:style w:type="paragraph" w:customStyle="1" w:styleId="antetitulo">
    <w:name w:val="antetitulo"/>
    <w:basedOn w:val="Normal"/>
    <w:rsid w:val="00B8321C"/>
    <w:pPr>
      <w:spacing w:before="100" w:beforeAutospacing="1" w:line="225" w:lineRule="atLeast"/>
    </w:pPr>
    <w:rPr>
      <w:rFonts w:ascii="Arial" w:eastAsia="Times New Roman" w:hAnsi="Arial" w:cs="Arial"/>
      <w:color w:val="003470"/>
      <w:sz w:val="29"/>
      <w:szCs w:val="29"/>
      <w:lang w:val="es-ES"/>
    </w:rPr>
  </w:style>
  <w:style w:type="paragraph" w:customStyle="1" w:styleId="Pa113">
    <w:name w:val="Pa1+13"/>
    <w:basedOn w:val="Normal"/>
    <w:next w:val="Normal"/>
    <w:uiPriority w:val="99"/>
    <w:rsid w:val="00B8321C"/>
    <w:pPr>
      <w:autoSpaceDE w:val="0"/>
      <w:autoSpaceDN w:val="0"/>
      <w:adjustRightInd w:val="0"/>
      <w:spacing w:line="181" w:lineRule="atLeast"/>
    </w:pPr>
    <w:rPr>
      <w:rFonts w:ascii="Univers LT Std 45 Light" w:eastAsia="Calibri" w:hAnsi="Univers LT Std 45 Light" w:cs="Times New Roman"/>
      <w:lang w:val="es-ES"/>
    </w:rPr>
  </w:style>
  <w:style w:type="character" w:customStyle="1" w:styleId="A54">
    <w:name w:val="A5+4"/>
    <w:uiPriority w:val="99"/>
    <w:rsid w:val="00B8321C"/>
    <w:rPr>
      <w:rFonts w:cs="Univers LT Std 45 Light"/>
      <w:color w:val="000000"/>
      <w:sz w:val="10"/>
      <w:szCs w:val="10"/>
    </w:rPr>
  </w:style>
  <w:style w:type="character" w:customStyle="1" w:styleId="A20">
    <w:name w:val="A20"/>
    <w:uiPriority w:val="99"/>
    <w:rsid w:val="00B8321C"/>
    <w:rPr>
      <w:rFonts w:cs="Univers LT Std 45 Light"/>
      <w:color w:val="000000"/>
      <w:sz w:val="15"/>
      <w:szCs w:val="15"/>
    </w:rPr>
  </w:style>
  <w:style w:type="paragraph" w:styleId="Sinespaciado">
    <w:name w:val="No Spacing"/>
    <w:uiPriority w:val="1"/>
    <w:qFormat/>
    <w:rsid w:val="00D67FAF"/>
    <w:rPr>
      <w:rFonts w:ascii="Calibri" w:eastAsia="Calibri" w:hAnsi="Calibri" w:cs="Times New Roman"/>
      <w:sz w:val="22"/>
      <w:szCs w:val="22"/>
      <w:lang w:val="es-ES" w:eastAsia="en-US"/>
    </w:rPr>
  </w:style>
  <w:style w:type="paragraph" w:customStyle="1" w:styleId="Estilo1">
    <w:name w:val="Estilo1"/>
    <w:basedOn w:val="Normal"/>
    <w:rsid w:val="00354C8D"/>
    <w:rPr>
      <w:rFonts w:ascii="Arial" w:eastAsia="Times New Roman" w:hAnsi="Arial" w:cs="Arial"/>
      <w:sz w:val="16"/>
      <w:szCs w:val="28"/>
      <w:lang w:val="en-GB"/>
    </w:rPr>
  </w:style>
  <w:style w:type="paragraph" w:customStyle="1" w:styleId="Listamulticolor-nfasis11">
    <w:name w:val="Lista multicolor - Énfasis 11"/>
    <w:basedOn w:val="Normal"/>
    <w:uiPriority w:val="34"/>
    <w:qFormat/>
    <w:rsid w:val="00D67FAF"/>
    <w:pPr>
      <w:ind w:left="720"/>
      <w:contextualSpacing/>
    </w:pPr>
    <w:rPr>
      <w:rFonts w:ascii="Times New Roman" w:eastAsia="Times New Roman" w:hAnsi="Times New Roman" w:cs="Times New Roman"/>
      <w:lang w:val="es-ES"/>
    </w:rPr>
  </w:style>
  <w:style w:type="paragraph" w:customStyle="1" w:styleId="Prrafodelista1">
    <w:name w:val="Párrafo de lista1"/>
    <w:basedOn w:val="Normal"/>
    <w:rsid w:val="009E1174"/>
    <w:pPr>
      <w:suppressAutoHyphens/>
      <w:overflowPunct w:val="0"/>
      <w:autoSpaceDE w:val="0"/>
      <w:autoSpaceDN w:val="0"/>
      <w:adjustRightInd w:val="0"/>
      <w:textAlignment w:val="baseline"/>
    </w:pPr>
    <w:rPr>
      <w:rFonts w:ascii="Times New Roman" w:eastAsia="Times New Roman" w:hAnsi="Times New Roman" w:cs="Times New Roman"/>
      <w:kern w:val="1"/>
      <w:szCs w:val="20"/>
      <w:lang w:val="es-ES"/>
    </w:rPr>
  </w:style>
  <w:style w:type="character" w:customStyle="1" w:styleId="Refdenotaalpie1">
    <w:name w:val="Ref. de nota al pie1"/>
    <w:basedOn w:val="Fuentedeprrafopredeter"/>
    <w:rsid w:val="009E1174"/>
  </w:style>
  <w:style w:type="character" w:customStyle="1" w:styleId="Smbolodenotaalpie">
    <w:name w:val="Símbolo de nota al pie"/>
    <w:rsid w:val="009E1174"/>
  </w:style>
  <w:style w:type="paragraph" w:customStyle="1" w:styleId="Textonotapie1">
    <w:name w:val="Texto nota pie1"/>
    <w:basedOn w:val="Normal"/>
    <w:rsid w:val="009E1174"/>
    <w:pPr>
      <w:suppressAutoHyphens/>
      <w:overflowPunct w:val="0"/>
      <w:autoSpaceDE w:val="0"/>
      <w:autoSpaceDN w:val="0"/>
      <w:adjustRightInd w:val="0"/>
      <w:textAlignment w:val="baseline"/>
    </w:pPr>
    <w:rPr>
      <w:rFonts w:ascii="Times New Roman" w:eastAsia="Times New Roman" w:hAnsi="Times New Roman" w:cs="Times New Roman"/>
      <w:kern w:val="1"/>
      <w:szCs w:val="20"/>
      <w:lang w:val="es-ES"/>
    </w:rPr>
  </w:style>
  <w:style w:type="character" w:customStyle="1" w:styleId="apple-style-span">
    <w:name w:val="apple-style-span"/>
    <w:basedOn w:val="Fuentedeprrafopredeter"/>
    <w:uiPriority w:val="99"/>
    <w:rsid w:val="009E1174"/>
  </w:style>
  <w:style w:type="character" w:customStyle="1" w:styleId="TextonotaalfinalCar">
    <w:name w:val="Texto nota al final Car"/>
    <w:basedOn w:val="Fuentedeprrafopredeter"/>
    <w:link w:val="Textonotaalfinal"/>
    <w:uiPriority w:val="99"/>
    <w:rsid w:val="009E1174"/>
    <w:rPr>
      <w:rFonts w:ascii="Times New Roman" w:eastAsia="Times New Roman" w:hAnsi="Times New Roman" w:cs="Times New Roman"/>
      <w:sz w:val="20"/>
      <w:szCs w:val="20"/>
      <w:lang w:val="es-ES"/>
    </w:rPr>
  </w:style>
  <w:style w:type="paragraph" w:styleId="Textonotaalfinal">
    <w:name w:val="endnote text"/>
    <w:basedOn w:val="Normal"/>
    <w:link w:val="TextonotaalfinalCar"/>
    <w:uiPriority w:val="99"/>
    <w:unhideWhenUsed/>
    <w:rsid w:val="009E1174"/>
    <w:rPr>
      <w:rFonts w:ascii="Times New Roman" w:eastAsia="Times New Roman" w:hAnsi="Times New Roman" w:cs="Times New Roman"/>
      <w:sz w:val="20"/>
      <w:szCs w:val="20"/>
      <w:lang w:val="es-ES"/>
    </w:rPr>
  </w:style>
  <w:style w:type="character" w:customStyle="1" w:styleId="Referenciaintensa1">
    <w:name w:val="Referencia intensa1"/>
    <w:uiPriority w:val="32"/>
    <w:qFormat/>
    <w:rsid w:val="00D67FAF"/>
    <w:rPr>
      <w:b/>
      <w:bCs/>
      <w:smallCaps/>
      <w:color w:val="C0504D"/>
      <w:spacing w:val="5"/>
      <w:u w:val="single"/>
    </w:rPr>
  </w:style>
  <w:style w:type="paragraph" w:customStyle="1" w:styleId="ListParagraph1">
    <w:name w:val="List Paragraph1"/>
    <w:basedOn w:val="Normal"/>
    <w:uiPriority w:val="34"/>
    <w:qFormat/>
    <w:rsid w:val="00D67FAF"/>
    <w:pPr>
      <w:ind w:left="720"/>
      <w:contextualSpacing/>
    </w:pPr>
    <w:rPr>
      <w:rFonts w:ascii="Times New Roman" w:eastAsia="Times New Roman" w:hAnsi="Times New Roman" w:cs="Times New Roman"/>
      <w:lang w:val="es-ES"/>
    </w:rPr>
  </w:style>
  <w:style w:type="character" w:customStyle="1" w:styleId="A3">
    <w:name w:val="A3"/>
    <w:uiPriority w:val="99"/>
    <w:rsid w:val="00D83DC8"/>
    <w:rPr>
      <w:rFonts w:ascii="GillSans Light" w:eastAsia="GillSans Light" w:hAnsi="GillSans Light" w:cs="GillSans Light"/>
      <w:color w:val="000000"/>
      <w:sz w:val="20"/>
      <w:szCs w:val="20"/>
    </w:rPr>
  </w:style>
  <w:style w:type="character" w:customStyle="1" w:styleId="A55">
    <w:name w:val="A5+5"/>
    <w:uiPriority w:val="99"/>
    <w:rsid w:val="00D83DC8"/>
    <w:rPr>
      <w:rFonts w:ascii="GillSans Light" w:eastAsia="GillSans Light" w:hAnsi="GillSans Light" w:cs="GillSans Light"/>
      <w:color w:val="000000"/>
      <w:sz w:val="22"/>
      <w:szCs w:val="22"/>
    </w:rPr>
  </w:style>
  <w:style w:type="paragraph" w:customStyle="1" w:styleId="Pa262">
    <w:name w:val="Pa26+2"/>
    <w:basedOn w:val="Default"/>
    <w:next w:val="Default"/>
    <w:uiPriority w:val="99"/>
    <w:rsid w:val="00D83DC8"/>
    <w:pPr>
      <w:suppressAutoHyphens/>
      <w:autoSpaceDN/>
      <w:adjustRightInd/>
      <w:spacing w:line="241" w:lineRule="atLeast"/>
    </w:pPr>
    <w:rPr>
      <w:rFonts w:ascii="Times New Roman" w:eastAsia="SimSun" w:hAnsi="Times New Roman" w:cs="Mangal"/>
      <w:color w:val="auto"/>
      <w:lang w:eastAsia="hi-IN" w:bidi="hi-IN"/>
    </w:rPr>
  </w:style>
  <w:style w:type="paragraph" w:customStyle="1" w:styleId="Pa107">
    <w:name w:val="Pa10+7"/>
    <w:basedOn w:val="Default"/>
    <w:next w:val="Default"/>
    <w:uiPriority w:val="99"/>
    <w:rsid w:val="00D83DC8"/>
    <w:pPr>
      <w:suppressAutoHyphens/>
      <w:autoSpaceDN/>
      <w:adjustRightInd/>
      <w:spacing w:line="241" w:lineRule="atLeast"/>
    </w:pPr>
    <w:rPr>
      <w:rFonts w:ascii="Times New Roman" w:eastAsia="SimSun" w:hAnsi="Times New Roman" w:cs="Mangal"/>
      <w:color w:val="auto"/>
      <w:lang w:eastAsia="hi-IN" w:bidi="hi-IN"/>
    </w:rPr>
  </w:style>
  <w:style w:type="paragraph" w:customStyle="1" w:styleId="Pa253">
    <w:name w:val="Pa25+3"/>
    <w:basedOn w:val="Default"/>
    <w:next w:val="Default"/>
    <w:uiPriority w:val="99"/>
    <w:rsid w:val="00D83DC8"/>
    <w:pPr>
      <w:suppressAutoHyphens/>
      <w:autoSpaceDN/>
      <w:adjustRightInd/>
      <w:spacing w:line="241" w:lineRule="atLeast"/>
    </w:pPr>
    <w:rPr>
      <w:rFonts w:ascii="Times New Roman" w:eastAsia="SimSun" w:hAnsi="Times New Roman" w:cs="Mangal"/>
      <w:color w:val="auto"/>
      <w:lang w:eastAsia="hi-IN" w:bidi="hi-IN"/>
    </w:rPr>
  </w:style>
  <w:style w:type="paragraph" w:customStyle="1" w:styleId="Pa51">
    <w:name w:val="Pa5+1"/>
    <w:basedOn w:val="Default"/>
    <w:next w:val="Default"/>
    <w:rsid w:val="00D83DC8"/>
    <w:pPr>
      <w:spacing w:line="241" w:lineRule="atLeast"/>
    </w:pPr>
    <w:rPr>
      <w:rFonts w:ascii="GillSans Light" w:hAnsi="GillSans Light"/>
      <w:color w:val="auto"/>
    </w:rPr>
  </w:style>
  <w:style w:type="character" w:customStyle="1" w:styleId="A52">
    <w:name w:val="A5+2"/>
    <w:uiPriority w:val="99"/>
    <w:rsid w:val="00D83DC8"/>
    <w:rPr>
      <w:rFonts w:cs="GillSans Light"/>
      <w:color w:val="000000"/>
      <w:sz w:val="22"/>
      <w:szCs w:val="22"/>
    </w:rPr>
  </w:style>
  <w:style w:type="table" w:styleId="Tablacontema">
    <w:name w:val="Table Theme"/>
    <w:basedOn w:val="Tablanormal"/>
    <w:rsid w:val="006111E0"/>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denotaalpie2">
    <w:name w:val="Ref. de nota al pie2"/>
    <w:rsid w:val="00B042AD"/>
  </w:style>
  <w:style w:type="paragraph" w:customStyle="1" w:styleId="Textonotapie2">
    <w:name w:val="Texto nota pie2"/>
    <w:basedOn w:val="Normal"/>
    <w:rsid w:val="00B042AD"/>
    <w:pPr>
      <w:suppressAutoHyphens/>
    </w:pPr>
    <w:rPr>
      <w:rFonts w:ascii="Times New Roman" w:eastAsia="Times New Roman" w:hAnsi="Times New Roman" w:cs="Times New Roman"/>
      <w:kern w:val="1"/>
      <w:lang w:val="es-ES" w:eastAsia="ar-SA"/>
    </w:rPr>
  </w:style>
  <w:style w:type="paragraph" w:customStyle="1" w:styleId="Contenidodelatabla">
    <w:name w:val="Contenido de la tabla"/>
    <w:basedOn w:val="Normal"/>
    <w:qFormat/>
    <w:rsid w:val="00B042AD"/>
    <w:pPr>
      <w:widowControl w:val="0"/>
      <w:suppressLineNumbers/>
      <w:suppressAutoHyphens/>
    </w:pPr>
    <w:rPr>
      <w:rFonts w:ascii="Times New Roman" w:eastAsia="SimSun" w:hAnsi="Times New Roman" w:cs="Mangal"/>
      <w:kern w:val="1"/>
      <w:lang w:val="es-ES" w:eastAsia="hi-IN" w:bidi="hi-IN"/>
    </w:rPr>
  </w:style>
  <w:style w:type="paragraph" w:customStyle="1" w:styleId="Encabezadodelatabla">
    <w:name w:val="Encabezado de la tabla"/>
    <w:basedOn w:val="Contenidodelatabla"/>
    <w:rsid w:val="00B042AD"/>
    <w:pPr>
      <w:jc w:val="center"/>
    </w:pPr>
    <w:rPr>
      <w:b/>
      <w:bCs/>
    </w:rPr>
  </w:style>
  <w:style w:type="paragraph" w:customStyle="1" w:styleId="Cuadrculamediana1-nfasis21">
    <w:name w:val="Cuadrícula mediana 1 - Énfasis 21"/>
    <w:basedOn w:val="Normal"/>
    <w:uiPriority w:val="72"/>
    <w:qFormat/>
    <w:rsid w:val="00D67FAF"/>
    <w:pPr>
      <w:ind w:left="720"/>
      <w:contextualSpacing/>
    </w:pPr>
    <w:rPr>
      <w:rFonts w:ascii="Times New Roman" w:eastAsia="Times New Roman" w:hAnsi="Times New Roman" w:cs="Times New Roman"/>
      <w:lang w:val="es-ES"/>
    </w:rPr>
  </w:style>
  <w:style w:type="character" w:customStyle="1" w:styleId="Fuentedeprrafopred">
    <w:name w:val="Fuente de p‡rrafo pred"/>
    <w:uiPriority w:val="99"/>
    <w:semiHidden/>
    <w:rsid w:val="00501A40"/>
  </w:style>
  <w:style w:type="character" w:customStyle="1" w:styleId="Fuentedeprrafopred2">
    <w:name w:val="Fuente de p‡rrafo pred2"/>
    <w:uiPriority w:val="99"/>
    <w:semiHidden/>
    <w:rsid w:val="00501A40"/>
  </w:style>
  <w:style w:type="character" w:customStyle="1" w:styleId="Fuentedeprrafopred1">
    <w:name w:val="Fuente de p‡rrafo pred1"/>
    <w:uiPriority w:val="99"/>
    <w:semiHidden/>
    <w:rsid w:val="00501A40"/>
  </w:style>
  <w:style w:type="character" w:customStyle="1" w:styleId="Fuentedeprrafopred0">
    <w:name w:val="Fuente de pàrrafo pred"/>
    <w:uiPriority w:val="99"/>
    <w:semiHidden/>
    <w:rsid w:val="00501A40"/>
  </w:style>
  <w:style w:type="character" w:customStyle="1" w:styleId="Fuentedeprrafopred3">
    <w:name w:val="Fuente de pˆrrafo pred"/>
    <w:uiPriority w:val="99"/>
    <w:semiHidden/>
    <w:rsid w:val="00501A40"/>
  </w:style>
  <w:style w:type="paragraph" w:customStyle="1" w:styleId="Piede">
    <w:name w:val="Pie de"/>
    <w:basedOn w:val="Normal"/>
    <w:uiPriority w:val="99"/>
    <w:rsid w:val="00501A40"/>
    <w:pPr>
      <w:tabs>
        <w:tab w:val="center" w:pos="4252"/>
        <w:tab w:val="right" w:pos="8504"/>
      </w:tabs>
    </w:pPr>
    <w:rPr>
      <w:rFonts w:ascii="Times New Roman" w:eastAsia="Times New Roman" w:hAnsi="Times New Roman" w:cs="Times New Roman"/>
      <w:lang w:val="es-ES" w:eastAsia="es-ES_tradnl"/>
    </w:rPr>
  </w:style>
  <w:style w:type="character" w:customStyle="1" w:styleId="FooterChar">
    <w:name w:val="Footer Char"/>
    <w:rsid w:val="00501A40"/>
    <w:rPr>
      <w:rFonts w:ascii="Times New Roman" w:hAnsi="Times New Roman"/>
      <w:sz w:val="24"/>
      <w:lang w:val="es-ES"/>
    </w:rPr>
  </w:style>
  <w:style w:type="character" w:customStyle="1" w:styleId="Hipervnc">
    <w:name w:val="HipervÍnc"/>
    <w:uiPriority w:val="99"/>
    <w:rsid w:val="00501A40"/>
    <w:rPr>
      <w:color w:val="0000FF"/>
      <w:u w:val="single"/>
    </w:rPr>
  </w:style>
  <w:style w:type="character" w:customStyle="1" w:styleId="FootnoteTextChar5">
    <w:name w:val="Footnote Text Char5"/>
    <w:aliases w:val="Texto nota pie Car Car Car Char5,Texto nota pie Car Car Car Car C Char"/>
    <w:basedOn w:val="Fuentedeprrafopred"/>
    <w:uiPriority w:val="99"/>
    <w:semiHidden/>
    <w:rsid w:val="00501A40"/>
    <w:rPr>
      <w:rFonts w:ascii="Times New Roman" w:hAnsi="Times New Roman" w:cs="Times New Roman"/>
      <w:sz w:val="24"/>
      <w:lang w:val="es-ES" w:eastAsia="es-ES"/>
    </w:rPr>
  </w:style>
  <w:style w:type="character" w:customStyle="1" w:styleId="FootnoteTextChar4">
    <w:name w:val="Footnote Text Char4"/>
    <w:aliases w:val="Texto nota pie Car Car Car Char4,Texto nota pie Car Car Car Car Ca Char"/>
    <w:basedOn w:val="Fuentedeprrafopred2"/>
    <w:uiPriority w:val="99"/>
    <w:semiHidden/>
    <w:rsid w:val="00501A40"/>
    <w:rPr>
      <w:rFonts w:ascii="Times New Roman" w:hAnsi="Times New Roman" w:cs="Times New Roman"/>
      <w:sz w:val="24"/>
      <w:lang w:val="es-ES" w:eastAsia="es-ES"/>
    </w:rPr>
  </w:style>
  <w:style w:type="character" w:customStyle="1" w:styleId="FootnoteTextChar3">
    <w:name w:val="Footnote Text Char3"/>
    <w:aliases w:val="Texto nota pie Car Car Car Char3,Texto nota pie Car Car Car Car Car Char"/>
    <w:basedOn w:val="Fuentedeprrafopred1"/>
    <w:uiPriority w:val="99"/>
    <w:semiHidden/>
    <w:rsid w:val="00501A40"/>
    <w:rPr>
      <w:rFonts w:ascii="Times New Roman" w:hAnsi="Times New Roman" w:cs="Times New Roman"/>
      <w:sz w:val="24"/>
      <w:lang w:val="es-ES" w:eastAsia="es-ES"/>
    </w:rPr>
  </w:style>
  <w:style w:type="character" w:customStyle="1" w:styleId="FootnoteTextChar2">
    <w:name w:val="Footnote Text Char2"/>
    <w:aliases w:val="Texto nota pie Car Car Car Char2,Texto nota pie Car Car Car Car Car Char2,Texto nota pie Car Car Car C Char"/>
    <w:basedOn w:val="Fuentedeprrafopred0"/>
    <w:uiPriority w:val="99"/>
    <w:semiHidden/>
    <w:rsid w:val="00501A40"/>
    <w:rPr>
      <w:rFonts w:ascii="Times New Roman" w:hAnsi="Times New Roman" w:cs="Times New Roman"/>
      <w:sz w:val="24"/>
      <w:lang w:val="es-ES" w:eastAsia="es-ES"/>
    </w:rPr>
  </w:style>
  <w:style w:type="character" w:customStyle="1" w:styleId="Refdenotaalpi">
    <w:name w:val="Ref. de nota al pi"/>
    <w:uiPriority w:val="99"/>
    <w:rsid w:val="00501A40"/>
    <w:rPr>
      <w:vertAlign w:val="superscript"/>
    </w:rPr>
  </w:style>
  <w:style w:type="character" w:customStyle="1" w:styleId="Hipervnc1">
    <w:name w:val="HipervÍnc1"/>
    <w:uiPriority w:val="99"/>
    <w:rsid w:val="00501A40"/>
    <w:rPr>
      <w:color w:val="0000FF"/>
      <w:u w:val="single"/>
    </w:rPr>
  </w:style>
  <w:style w:type="character" w:customStyle="1" w:styleId="Hipervnculovisi">
    <w:name w:val="HipervÍnculo visi"/>
    <w:uiPriority w:val="99"/>
    <w:rsid w:val="00501A40"/>
    <w:rPr>
      <w:color w:val="800080"/>
      <w:u w:val="single"/>
    </w:rPr>
  </w:style>
  <w:style w:type="table" w:customStyle="1" w:styleId="Tablacon">
    <w:name w:val="Tabla con"/>
    <w:uiPriority w:val="99"/>
    <w:rsid w:val="00501A40"/>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uentedeprrafopred10">
    <w:name w:val="Fuente de pˆrrafo pred1"/>
    <w:uiPriority w:val="99"/>
    <w:semiHidden/>
    <w:rsid w:val="00501A40"/>
  </w:style>
  <w:style w:type="character" w:customStyle="1" w:styleId="FootnoteTextChar1">
    <w:name w:val="Footnote Text Char1"/>
    <w:aliases w:val="Texto nota pie Car Car Car Char1,Texto nota pie Car Car Car Car Car Char1,Texto nota pie Car Car Car Car Char1"/>
    <w:uiPriority w:val="99"/>
    <w:rsid w:val="00501A40"/>
    <w:rPr>
      <w:rFonts w:ascii="Arial" w:hAnsi="Arial"/>
      <w:sz w:val="20"/>
      <w:lang w:eastAsia="ar-SA" w:bidi="ar-SA"/>
    </w:rPr>
  </w:style>
  <w:style w:type="character" w:customStyle="1" w:styleId="apple-converted-space">
    <w:name w:val="apple-converted-space"/>
    <w:rsid w:val="00501A40"/>
  </w:style>
  <w:style w:type="character" w:customStyle="1" w:styleId="Texto">
    <w:name w:val="Texto"/>
    <w:uiPriority w:val="99"/>
    <w:rsid w:val="00501A40"/>
    <w:rPr>
      <w:b/>
    </w:rPr>
  </w:style>
  <w:style w:type="character" w:customStyle="1" w:styleId="Refdenotaalpi1">
    <w:name w:val="Ref. de nota al pi1"/>
    <w:uiPriority w:val="99"/>
    <w:semiHidden/>
    <w:rsid w:val="00501A40"/>
    <w:rPr>
      <w:vertAlign w:val="superscript"/>
    </w:rPr>
  </w:style>
  <w:style w:type="paragraph" w:customStyle="1" w:styleId="Textodeglo">
    <w:name w:val="Texto de glo"/>
    <w:basedOn w:val="Normal"/>
    <w:uiPriority w:val="99"/>
    <w:semiHidden/>
    <w:rsid w:val="00501A40"/>
    <w:rPr>
      <w:rFonts w:ascii="Tahoma" w:eastAsia="Times New Roman" w:hAnsi="Tahoma" w:cs="Times New Roman"/>
      <w:sz w:val="16"/>
      <w:szCs w:val="16"/>
      <w:lang w:eastAsia="es-ES_tradnl"/>
    </w:rPr>
  </w:style>
  <w:style w:type="character" w:customStyle="1" w:styleId="BalloonTextChar">
    <w:name w:val="Balloon Text Char"/>
    <w:uiPriority w:val="99"/>
    <w:semiHidden/>
    <w:rsid w:val="00501A40"/>
    <w:rPr>
      <w:rFonts w:ascii="Tahoma" w:hAnsi="Tahoma"/>
      <w:sz w:val="16"/>
    </w:rPr>
  </w:style>
  <w:style w:type="paragraph" w:customStyle="1" w:styleId="Textocomentari">
    <w:name w:val="Texto comentari"/>
    <w:basedOn w:val="Normal"/>
    <w:uiPriority w:val="99"/>
    <w:semiHidden/>
    <w:rsid w:val="00501A40"/>
    <w:rPr>
      <w:rFonts w:ascii="Times New Roman" w:eastAsia="Times New Roman" w:hAnsi="Times New Roman" w:cs="Times New Roman"/>
      <w:sz w:val="20"/>
      <w:szCs w:val="20"/>
      <w:lang w:eastAsia="es-ES_tradnl"/>
    </w:rPr>
  </w:style>
  <w:style w:type="character" w:customStyle="1" w:styleId="CommentTextChar">
    <w:name w:val="Comment Text Char"/>
    <w:uiPriority w:val="99"/>
    <w:semiHidden/>
    <w:rsid w:val="00501A40"/>
    <w:rPr>
      <w:rFonts w:ascii="Times New Roman" w:hAnsi="Times New Roman"/>
    </w:rPr>
  </w:style>
  <w:style w:type="paragraph" w:customStyle="1" w:styleId="Asuntodelcomenta">
    <w:name w:val="Asunto del comenta"/>
    <w:basedOn w:val="Textocomentari"/>
    <w:next w:val="Textocomentari"/>
    <w:uiPriority w:val="99"/>
    <w:semiHidden/>
    <w:rsid w:val="00501A40"/>
    <w:rPr>
      <w:b/>
      <w:bCs/>
    </w:rPr>
  </w:style>
  <w:style w:type="character" w:customStyle="1" w:styleId="CommentSubjectChar">
    <w:name w:val="Comment Subject Char"/>
    <w:uiPriority w:val="99"/>
    <w:semiHidden/>
    <w:rsid w:val="00501A40"/>
    <w:rPr>
      <w:rFonts w:ascii="Times New Roman" w:hAnsi="Times New Roman"/>
      <w:b/>
    </w:rPr>
  </w:style>
  <w:style w:type="paragraph" w:customStyle="1" w:styleId="Textodeglo1">
    <w:name w:val="Texto de glo1"/>
    <w:basedOn w:val="Normal"/>
    <w:uiPriority w:val="99"/>
    <w:semiHidden/>
    <w:rsid w:val="00501A40"/>
    <w:rPr>
      <w:rFonts w:ascii="Lucida Grande" w:eastAsia="Times New Roman" w:hAnsi="Lucida Grande" w:cs="Times New Roman"/>
      <w:sz w:val="18"/>
      <w:szCs w:val="18"/>
      <w:lang w:val="es-ES"/>
    </w:rPr>
  </w:style>
  <w:style w:type="character" w:customStyle="1" w:styleId="BalloonTextChar1">
    <w:name w:val="Balloon Text Char1"/>
    <w:basedOn w:val="Fuentedeprrafopred0"/>
    <w:uiPriority w:val="99"/>
    <w:semiHidden/>
    <w:rsid w:val="00501A40"/>
    <w:rPr>
      <w:rFonts w:ascii="Lucida Grande" w:hAnsi="Lucida Grande" w:cs="Times New Roman"/>
      <w:sz w:val="18"/>
      <w:lang w:val="es-ES" w:eastAsia="es-ES"/>
    </w:rPr>
  </w:style>
  <w:style w:type="character" w:customStyle="1" w:styleId="Refdenotaalpi2">
    <w:name w:val="Ref. de nota al pi2"/>
    <w:basedOn w:val="Fuentedeprrafopred0"/>
    <w:uiPriority w:val="99"/>
    <w:semiHidden/>
    <w:rsid w:val="00501A40"/>
    <w:rPr>
      <w:rFonts w:cs="Times New Roman"/>
      <w:vertAlign w:val="superscript"/>
    </w:rPr>
  </w:style>
  <w:style w:type="paragraph" w:customStyle="1" w:styleId="Textocomentari1">
    <w:name w:val="Texto comentari1"/>
    <w:basedOn w:val="Normal"/>
    <w:uiPriority w:val="99"/>
    <w:semiHidden/>
    <w:rsid w:val="00501A40"/>
    <w:rPr>
      <w:rFonts w:ascii="Times New Roman" w:eastAsia="Times New Roman" w:hAnsi="Times New Roman" w:cs="Times New Roman"/>
      <w:lang w:val="es-ES"/>
    </w:rPr>
  </w:style>
  <w:style w:type="character" w:customStyle="1" w:styleId="CommentTextChar1">
    <w:name w:val="Comment Text Char1"/>
    <w:basedOn w:val="Fuentedeprrafopred0"/>
    <w:uiPriority w:val="99"/>
    <w:semiHidden/>
    <w:rsid w:val="00501A40"/>
    <w:rPr>
      <w:rFonts w:ascii="Times New Roman" w:hAnsi="Times New Roman" w:cs="Times New Roman"/>
      <w:sz w:val="24"/>
      <w:lang w:val="es-ES" w:eastAsia="es-ES"/>
    </w:rPr>
  </w:style>
  <w:style w:type="paragraph" w:customStyle="1" w:styleId="Asuntodelcomenta1">
    <w:name w:val="Asunto del comenta1"/>
    <w:basedOn w:val="Textocomentari1"/>
    <w:next w:val="Textocomentari1"/>
    <w:uiPriority w:val="99"/>
    <w:semiHidden/>
    <w:rsid w:val="00501A40"/>
  </w:style>
  <w:style w:type="character" w:customStyle="1" w:styleId="CommentSubjectChar1">
    <w:name w:val="Comment Subject Char1"/>
    <w:basedOn w:val="CommentTextChar1"/>
    <w:uiPriority w:val="99"/>
    <w:semiHidden/>
    <w:rsid w:val="00501A40"/>
    <w:rPr>
      <w:rFonts w:ascii="Times New Roman" w:hAnsi="Times New Roman" w:cs="Times New Roman"/>
      <w:b/>
      <w:bCs/>
      <w:sz w:val="24"/>
      <w:lang w:val="es-ES" w:eastAsia="es-ES"/>
    </w:rPr>
  </w:style>
  <w:style w:type="character" w:customStyle="1" w:styleId="Hipervnc0">
    <w:name w:val="HipervÕnc"/>
    <w:basedOn w:val="Fuentedeprrafopred0"/>
    <w:uiPriority w:val="99"/>
    <w:rsid w:val="00501A40"/>
    <w:rPr>
      <w:rFonts w:cs="Times New Roman"/>
      <w:color w:val="0000FF"/>
      <w:u w:val="single"/>
    </w:rPr>
  </w:style>
  <w:style w:type="paragraph" w:customStyle="1" w:styleId="Textodeglo2">
    <w:name w:val="Texto de glo2"/>
    <w:basedOn w:val="Normal"/>
    <w:uiPriority w:val="99"/>
    <w:semiHidden/>
    <w:rsid w:val="00501A40"/>
    <w:rPr>
      <w:rFonts w:ascii="Lucida Grande" w:eastAsia="Times New Roman" w:hAnsi="Lucida Grande" w:cs="Times New Roman"/>
      <w:sz w:val="18"/>
      <w:szCs w:val="18"/>
      <w:lang w:val="es-ES"/>
    </w:rPr>
  </w:style>
  <w:style w:type="character" w:customStyle="1" w:styleId="BalloonTextChar2">
    <w:name w:val="Balloon Text Char2"/>
    <w:basedOn w:val="Fuentedeprrafopred1"/>
    <w:uiPriority w:val="99"/>
    <w:semiHidden/>
    <w:rsid w:val="00501A40"/>
    <w:rPr>
      <w:rFonts w:ascii="Lucida Grande" w:hAnsi="Lucida Grande" w:cs="Times New Roman"/>
      <w:sz w:val="18"/>
      <w:lang w:val="es-ES" w:eastAsia="es-ES"/>
    </w:rPr>
  </w:style>
  <w:style w:type="paragraph" w:customStyle="1" w:styleId="Textocomentari2">
    <w:name w:val="Texto comentari2"/>
    <w:basedOn w:val="Normal"/>
    <w:uiPriority w:val="99"/>
    <w:semiHidden/>
    <w:rsid w:val="00501A40"/>
    <w:rPr>
      <w:rFonts w:ascii="Times New Roman" w:eastAsia="Times New Roman" w:hAnsi="Times New Roman" w:cs="Times New Roman"/>
      <w:lang w:val="es-ES"/>
    </w:rPr>
  </w:style>
  <w:style w:type="character" w:customStyle="1" w:styleId="CommentTextChar2">
    <w:name w:val="Comment Text Char2"/>
    <w:basedOn w:val="Fuentedeprrafopred1"/>
    <w:uiPriority w:val="99"/>
    <w:semiHidden/>
    <w:rsid w:val="00501A40"/>
    <w:rPr>
      <w:rFonts w:ascii="Times New Roman" w:hAnsi="Times New Roman" w:cs="Times New Roman"/>
      <w:sz w:val="24"/>
      <w:lang w:val="es-ES" w:eastAsia="es-ES"/>
    </w:rPr>
  </w:style>
  <w:style w:type="paragraph" w:customStyle="1" w:styleId="Asuntodelcomenta2">
    <w:name w:val="Asunto del comenta2"/>
    <w:basedOn w:val="Textocomentari2"/>
    <w:next w:val="Textocomentari2"/>
    <w:uiPriority w:val="99"/>
    <w:semiHidden/>
    <w:rsid w:val="00501A40"/>
    <w:rPr>
      <w:b/>
      <w:bCs/>
      <w:sz w:val="20"/>
      <w:szCs w:val="20"/>
    </w:rPr>
  </w:style>
  <w:style w:type="character" w:customStyle="1" w:styleId="CommentSubjectChar2">
    <w:name w:val="Comment Subject Char2"/>
    <w:basedOn w:val="CommentTextChar2"/>
    <w:uiPriority w:val="99"/>
    <w:semiHidden/>
    <w:rsid w:val="00501A40"/>
    <w:rPr>
      <w:rFonts w:ascii="Times New Roman" w:hAnsi="Times New Roman" w:cs="Times New Roman"/>
      <w:b/>
      <w:bCs/>
      <w:sz w:val="24"/>
      <w:lang w:val="es-ES" w:eastAsia="es-ES"/>
    </w:rPr>
  </w:style>
  <w:style w:type="paragraph" w:customStyle="1" w:styleId="Textodeglo3">
    <w:name w:val="Texto de glo3"/>
    <w:basedOn w:val="Normal"/>
    <w:uiPriority w:val="99"/>
    <w:semiHidden/>
    <w:rsid w:val="00501A40"/>
    <w:rPr>
      <w:rFonts w:ascii="Lucida Grande" w:eastAsia="Times New Roman" w:hAnsi="Lucida Grande" w:cs="Times New Roman"/>
      <w:sz w:val="18"/>
      <w:szCs w:val="18"/>
      <w:lang w:val="es-ES"/>
    </w:rPr>
  </w:style>
  <w:style w:type="character" w:customStyle="1" w:styleId="BalloonTextChar3">
    <w:name w:val="Balloon Text Char3"/>
    <w:basedOn w:val="Fuentedeprrafopred2"/>
    <w:uiPriority w:val="99"/>
    <w:semiHidden/>
    <w:rsid w:val="00501A40"/>
    <w:rPr>
      <w:rFonts w:ascii="Lucida Grande" w:hAnsi="Lucida Grande" w:cs="Times New Roman"/>
      <w:sz w:val="18"/>
      <w:lang w:val="es-ES" w:eastAsia="es-ES"/>
    </w:rPr>
  </w:style>
  <w:style w:type="paragraph" w:customStyle="1" w:styleId="Textocomentari3">
    <w:name w:val="Texto comentari3"/>
    <w:basedOn w:val="Normal"/>
    <w:uiPriority w:val="99"/>
    <w:semiHidden/>
    <w:rsid w:val="00501A40"/>
    <w:rPr>
      <w:rFonts w:ascii="Times New Roman" w:eastAsia="Times New Roman" w:hAnsi="Times New Roman" w:cs="Times New Roman"/>
      <w:lang w:val="es-ES"/>
    </w:rPr>
  </w:style>
  <w:style w:type="character" w:customStyle="1" w:styleId="CommentTextChar3">
    <w:name w:val="Comment Text Char3"/>
    <w:basedOn w:val="Fuentedeprrafopred2"/>
    <w:uiPriority w:val="99"/>
    <w:semiHidden/>
    <w:rsid w:val="00501A40"/>
    <w:rPr>
      <w:rFonts w:ascii="Times New Roman" w:hAnsi="Times New Roman" w:cs="Times New Roman"/>
      <w:sz w:val="24"/>
      <w:lang w:val="es-ES" w:eastAsia="es-ES"/>
    </w:rPr>
  </w:style>
  <w:style w:type="paragraph" w:customStyle="1" w:styleId="Textodeglo4">
    <w:name w:val="Texto de glo4"/>
    <w:basedOn w:val="Normal"/>
    <w:uiPriority w:val="99"/>
    <w:semiHidden/>
    <w:rsid w:val="00501A40"/>
    <w:rPr>
      <w:rFonts w:ascii="Lucida Grande" w:eastAsia="Times New Roman" w:hAnsi="Lucida Grande" w:cs="Times New Roman"/>
      <w:sz w:val="18"/>
      <w:szCs w:val="18"/>
      <w:lang w:val="es-ES"/>
    </w:rPr>
  </w:style>
  <w:style w:type="character" w:customStyle="1" w:styleId="BalloonTextChar4">
    <w:name w:val="Balloon Text Char4"/>
    <w:basedOn w:val="Fuentedeprrafopred"/>
    <w:uiPriority w:val="99"/>
    <w:semiHidden/>
    <w:rsid w:val="00501A40"/>
    <w:rPr>
      <w:rFonts w:ascii="Lucida Grande" w:hAnsi="Lucida Grande" w:cs="Times New Roman"/>
      <w:sz w:val="18"/>
      <w:lang w:val="es-ES" w:eastAsia="es-ES"/>
    </w:rPr>
  </w:style>
  <w:style w:type="paragraph" w:customStyle="1" w:styleId="Textocomentari4">
    <w:name w:val="Texto comentari4"/>
    <w:basedOn w:val="Normal"/>
    <w:uiPriority w:val="99"/>
    <w:semiHidden/>
    <w:rsid w:val="00501A40"/>
    <w:rPr>
      <w:rFonts w:ascii="Times New Roman" w:eastAsia="Times New Roman" w:hAnsi="Times New Roman" w:cs="Times New Roman"/>
      <w:lang w:val="es-ES"/>
    </w:rPr>
  </w:style>
  <w:style w:type="character" w:customStyle="1" w:styleId="CommentTextChar4">
    <w:name w:val="Comment Text Char4"/>
    <w:basedOn w:val="Fuentedeprrafopred"/>
    <w:uiPriority w:val="99"/>
    <w:semiHidden/>
    <w:rsid w:val="00501A40"/>
    <w:rPr>
      <w:rFonts w:ascii="Times New Roman" w:hAnsi="Times New Roman" w:cs="Times New Roman"/>
      <w:sz w:val="24"/>
      <w:lang w:val="es-ES" w:eastAsia="es-ES"/>
    </w:rPr>
  </w:style>
  <w:style w:type="paragraph" w:customStyle="1" w:styleId="Asuntodelcomenta3">
    <w:name w:val="Asunto del comenta3"/>
    <w:basedOn w:val="Textocomentari4"/>
    <w:next w:val="Textocomentari4"/>
    <w:uiPriority w:val="99"/>
    <w:semiHidden/>
    <w:rsid w:val="00501A40"/>
    <w:rPr>
      <w:b/>
      <w:bCs/>
      <w:sz w:val="20"/>
      <w:szCs w:val="20"/>
    </w:rPr>
  </w:style>
  <w:style w:type="character" w:customStyle="1" w:styleId="CommentSubjectChar3">
    <w:name w:val="Comment Subject Char3"/>
    <w:basedOn w:val="CommentTextChar4"/>
    <w:uiPriority w:val="99"/>
    <w:semiHidden/>
    <w:rsid w:val="00501A40"/>
    <w:rPr>
      <w:rFonts w:ascii="Times New Roman" w:hAnsi="Times New Roman" w:cs="Times New Roman"/>
      <w:b/>
      <w:bCs/>
      <w:sz w:val="24"/>
      <w:lang w:val="es-ES" w:eastAsia="es-ES"/>
    </w:rPr>
  </w:style>
  <w:style w:type="character" w:styleId="CitaHTML">
    <w:name w:val="HTML Cite"/>
    <w:basedOn w:val="Fuentedeprrafopredeter"/>
    <w:uiPriority w:val="99"/>
    <w:semiHidden/>
    <w:unhideWhenUsed/>
    <w:rsid w:val="00506805"/>
    <w:rPr>
      <w:i/>
      <w:iCs/>
    </w:rPr>
  </w:style>
  <w:style w:type="character" w:styleId="Referenciasutil">
    <w:name w:val="Subtle Reference"/>
    <w:basedOn w:val="Fuentedeprrafopredeter"/>
    <w:uiPriority w:val="67"/>
    <w:qFormat/>
    <w:rsid w:val="00D67FAF"/>
    <w:rPr>
      <w:smallCaps/>
      <w:color w:val="C0504D" w:themeColor="accent2"/>
      <w:u w:val="single"/>
    </w:rPr>
  </w:style>
  <w:style w:type="paragraph" w:styleId="Revisin">
    <w:name w:val="Revision"/>
    <w:hidden/>
    <w:uiPriority w:val="71"/>
    <w:rsid w:val="00506805"/>
    <w:rPr>
      <w:rFonts w:ascii="Times New Roman" w:eastAsia="Times New Roman" w:hAnsi="Times New Roman" w:cs="Arial"/>
      <w:lang w:val="es-ES"/>
    </w:rPr>
  </w:style>
  <w:style w:type="numbering" w:customStyle="1" w:styleId="Sinlista1">
    <w:name w:val="Sin lista1"/>
    <w:next w:val="Sinlista"/>
    <w:uiPriority w:val="99"/>
    <w:semiHidden/>
    <w:unhideWhenUsed/>
    <w:rsid w:val="00185B40"/>
  </w:style>
  <w:style w:type="table" w:customStyle="1" w:styleId="Tablaconcuadrcula1">
    <w:name w:val="Tabla con cuadrícula1"/>
    <w:basedOn w:val="Tablanormal"/>
    <w:next w:val="Tablaconcuadrcula"/>
    <w:uiPriority w:val="59"/>
    <w:rsid w:val="00185B40"/>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ipsurligne">
    <w:name w:val="spip_surligne"/>
    <w:basedOn w:val="Fuentedeprrafopredeter"/>
    <w:rsid w:val="00185B40"/>
  </w:style>
  <w:style w:type="character" w:customStyle="1" w:styleId="Referenciaintensa2">
    <w:name w:val="Referencia intensa2"/>
    <w:basedOn w:val="Fuentedeprrafopredeter"/>
    <w:uiPriority w:val="68"/>
    <w:qFormat/>
    <w:rsid w:val="00D67FAF"/>
    <w:rPr>
      <w:b/>
      <w:bCs/>
      <w:smallCaps/>
      <w:color w:val="C0504D"/>
      <w:spacing w:val="5"/>
      <w:u w:val="single"/>
    </w:rPr>
  </w:style>
  <w:style w:type="character" w:customStyle="1" w:styleId="glossarytooltips">
    <w:name w:val="glossarytooltips"/>
    <w:basedOn w:val="Fuentedeprrafopredeter"/>
    <w:rsid w:val="00185B40"/>
  </w:style>
  <w:style w:type="character" w:customStyle="1" w:styleId="true-parameter">
    <w:name w:val="true-parameter"/>
    <w:basedOn w:val="Fuentedeprrafopredeter"/>
    <w:rsid w:val="00185B40"/>
  </w:style>
  <w:style w:type="character" w:styleId="Referenciaintensa">
    <w:name w:val="Intense Reference"/>
    <w:basedOn w:val="Fuentedeprrafopredeter"/>
    <w:uiPriority w:val="68"/>
    <w:qFormat/>
    <w:rsid w:val="00D67FAF"/>
    <w:rPr>
      <w:b/>
      <w:bCs/>
      <w:smallCaps/>
      <w:color w:val="C0504D" w:themeColor="accent2"/>
      <w:spacing w:val="5"/>
      <w:u w:val="single"/>
    </w:rPr>
  </w:style>
  <w:style w:type="numbering" w:customStyle="1" w:styleId="Sinlista2">
    <w:name w:val="Sin lista2"/>
    <w:next w:val="Sinlista"/>
    <w:uiPriority w:val="99"/>
    <w:semiHidden/>
    <w:unhideWhenUsed/>
    <w:rsid w:val="003727A8"/>
  </w:style>
  <w:style w:type="paragraph" w:customStyle="1" w:styleId="WW-Textoindependiente3">
    <w:name w:val="WW-Texto independiente 3"/>
    <w:basedOn w:val="Normal"/>
    <w:rsid w:val="003727A8"/>
    <w:pPr>
      <w:suppressAutoHyphens/>
      <w:spacing w:after="120"/>
      <w:jc w:val="both"/>
    </w:pPr>
    <w:rPr>
      <w:rFonts w:ascii="Arial" w:eastAsia="Times New Roman" w:hAnsi="Arial" w:cs="Times New Roman"/>
      <w:sz w:val="16"/>
      <w:szCs w:val="16"/>
      <w:lang w:val="es-ES" w:eastAsia="ar-SA"/>
    </w:rPr>
  </w:style>
  <w:style w:type="character" w:customStyle="1" w:styleId="highlight">
    <w:name w:val="highlight"/>
    <w:basedOn w:val="Fuentedeprrafopredeter"/>
    <w:rsid w:val="003727A8"/>
  </w:style>
  <w:style w:type="table" w:customStyle="1" w:styleId="Tablaconcuadrcula2">
    <w:name w:val="Tabla con cuadrícula2"/>
    <w:basedOn w:val="Tablanormal"/>
    <w:next w:val="Tablaconcuadrcula"/>
    <w:uiPriority w:val="59"/>
    <w:rsid w:val="003727A8"/>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p">
    <w:name w:val="sup"/>
    <w:basedOn w:val="Fuentedeprrafopredeter"/>
    <w:rsid w:val="00823294"/>
  </w:style>
  <w:style w:type="numbering" w:customStyle="1" w:styleId="Sinlista3">
    <w:name w:val="Sin lista3"/>
    <w:next w:val="Sinlista"/>
    <w:uiPriority w:val="99"/>
    <w:semiHidden/>
    <w:unhideWhenUsed/>
    <w:rsid w:val="007677CA"/>
  </w:style>
  <w:style w:type="table" w:customStyle="1" w:styleId="Tablaconcuadrcula3">
    <w:name w:val="Tabla con cuadrícula3"/>
    <w:basedOn w:val="Tablanormal"/>
    <w:next w:val="Tablaconcuadrcula"/>
    <w:uiPriority w:val="59"/>
    <w:rsid w:val="007677CA"/>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8C18C0"/>
  </w:style>
  <w:style w:type="table" w:customStyle="1" w:styleId="Tablaconcuadrcula4">
    <w:name w:val="Tabla con cuadrícula4"/>
    <w:basedOn w:val="Tablanormal"/>
    <w:next w:val="Tablaconcuadrcula"/>
    <w:uiPriority w:val="59"/>
    <w:rsid w:val="008C18C0"/>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final">
    <w:name w:val="endnote reference"/>
    <w:basedOn w:val="Fuentedeprrafopredeter"/>
    <w:unhideWhenUsed/>
    <w:rsid w:val="00F32F81"/>
    <w:rPr>
      <w:vertAlign w:val="superscript"/>
    </w:rPr>
  </w:style>
  <w:style w:type="numbering" w:customStyle="1" w:styleId="Sinlista5">
    <w:name w:val="Sin lista5"/>
    <w:next w:val="Sinlista"/>
    <w:uiPriority w:val="99"/>
    <w:semiHidden/>
    <w:unhideWhenUsed/>
    <w:rsid w:val="00BC3FFD"/>
  </w:style>
  <w:style w:type="table" w:customStyle="1" w:styleId="Tablaconcuadrcula5">
    <w:name w:val="Tabla con cuadrícula5"/>
    <w:basedOn w:val="Tablanormal"/>
    <w:next w:val="Tablaconcuadrcula"/>
    <w:uiPriority w:val="59"/>
    <w:rsid w:val="00BC3FFD"/>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clara-nfasis31">
    <w:name w:val="Cuadrícula clara - Énfasis 31"/>
    <w:basedOn w:val="Normal"/>
    <w:uiPriority w:val="72"/>
    <w:qFormat/>
    <w:rsid w:val="00D67FAF"/>
    <w:pPr>
      <w:ind w:left="708"/>
    </w:pPr>
    <w:rPr>
      <w:rFonts w:ascii="Times New Roman" w:eastAsia="Times New Roman" w:hAnsi="Times New Roman" w:cs="Times New Roman"/>
      <w:lang w:val="es-ES"/>
    </w:rPr>
  </w:style>
  <w:style w:type="character" w:customStyle="1" w:styleId="Refdenotaalpie3">
    <w:name w:val="Ref. de nota al pie3"/>
    <w:rsid w:val="008B2682"/>
  </w:style>
  <w:style w:type="paragraph" w:customStyle="1" w:styleId="Textonotapie3">
    <w:name w:val="Texto nota pie3"/>
    <w:basedOn w:val="Normal"/>
    <w:rsid w:val="008B2682"/>
    <w:pPr>
      <w:suppressAutoHyphens/>
    </w:pPr>
    <w:rPr>
      <w:rFonts w:ascii="Times New Roman" w:eastAsia="Times New Roman" w:hAnsi="Times New Roman" w:cs="Times New Roman"/>
      <w:kern w:val="1"/>
      <w:lang w:val="es-ES" w:eastAsia="ar-SA"/>
    </w:rPr>
  </w:style>
  <w:style w:type="numbering" w:customStyle="1" w:styleId="Sinlista6">
    <w:name w:val="Sin lista6"/>
    <w:next w:val="Sinlista"/>
    <w:uiPriority w:val="99"/>
    <w:semiHidden/>
    <w:unhideWhenUsed/>
    <w:rsid w:val="002E52CA"/>
  </w:style>
  <w:style w:type="table" w:customStyle="1" w:styleId="Tablaconcuadrcula6">
    <w:name w:val="Tabla con cuadrícula6"/>
    <w:basedOn w:val="Tablanormal"/>
    <w:next w:val="Tablaconcuadrcula"/>
    <w:uiPriority w:val="59"/>
    <w:rsid w:val="002E52CA"/>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denotaalpie4">
    <w:name w:val="Ref. de nota al pie4"/>
    <w:rsid w:val="002C6AB3"/>
  </w:style>
  <w:style w:type="paragraph" w:customStyle="1" w:styleId="Textonotapie4">
    <w:name w:val="Texto nota pie4"/>
    <w:basedOn w:val="Normal"/>
    <w:rsid w:val="002C6AB3"/>
    <w:pPr>
      <w:suppressAutoHyphens/>
    </w:pPr>
    <w:rPr>
      <w:rFonts w:ascii="Times New Roman" w:eastAsia="Times New Roman" w:hAnsi="Times New Roman" w:cs="Times New Roman"/>
      <w:kern w:val="1"/>
      <w:lang w:val="es-ES" w:eastAsia="ar-SA"/>
    </w:rPr>
  </w:style>
  <w:style w:type="numbering" w:customStyle="1" w:styleId="Sinlista7">
    <w:name w:val="Sin lista7"/>
    <w:next w:val="Sinlista"/>
    <w:uiPriority w:val="99"/>
    <w:semiHidden/>
    <w:unhideWhenUsed/>
    <w:rsid w:val="00CE2A5B"/>
  </w:style>
  <w:style w:type="table" w:customStyle="1" w:styleId="Tablaconcuadrcula7">
    <w:name w:val="Tabla con cuadrícula7"/>
    <w:basedOn w:val="Tablanormal"/>
    <w:next w:val="Tablaconcuadrcula"/>
    <w:uiPriority w:val="59"/>
    <w:rsid w:val="00CE2A5B"/>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
    <w:name w:val="Sin lista8"/>
    <w:next w:val="Sinlista"/>
    <w:uiPriority w:val="99"/>
    <w:semiHidden/>
    <w:unhideWhenUsed/>
    <w:rsid w:val="002145B5"/>
  </w:style>
  <w:style w:type="table" w:customStyle="1" w:styleId="Tablaconcuadrcula8">
    <w:name w:val="Tabla con cuadrícula8"/>
    <w:basedOn w:val="Tablanormal"/>
    <w:next w:val="Tablaconcuadrcula"/>
    <w:uiPriority w:val="59"/>
    <w:rsid w:val="002145B5"/>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10">
    <w:name w:val="Pa3+10"/>
    <w:basedOn w:val="Normal"/>
    <w:next w:val="Normal"/>
    <w:rsid w:val="00BF4364"/>
    <w:pPr>
      <w:autoSpaceDE w:val="0"/>
      <w:autoSpaceDN w:val="0"/>
      <w:adjustRightInd w:val="0"/>
      <w:spacing w:line="171" w:lineRule="atLeast"/>
    </w:pPr>
    <w:rPr>
      <w:rFonts w:ascii="Univers LT Std 45 Light" w:eastAsiaTheme="minorHAnsi" w:hAnsi="Univers LT Std 45 Light" w:cs="Times New Roman"/>
      <w:lang w:val="es-ES" w:eastAsia="en-US"/>
    </w:rPr>
  </w:style>
  <w:style w:type="paragraph" w:customStyle="1" w:styleId="Titulo1-InformeFinal">
    <w:name w:val="Titulo 1 - Informe Final"/>
    <w:basedOn w:val="Ttulo1"/>
    <w:qFormat/>
    <w:rsid w:val="00D67FAF"/>
    <w:rPr>
      <w:rFonts w:ascii="Open Sans" w:hAnsi="Open Sans"/>
    </w:rPr>
  </w:style>
  <w:style w:type="paragraph" w:customStyle="1" w:styleId="Titulo2-InformeFinal">
    <w:name w:val="Titulo 2 - Informe Final"/>
    <w:basedOn w:val="Ttulo1"/>
    <w:qFormat/>
    <w:rsid w:val="00D67FAF"/>
    <w:rPr>
      <w:rFonts w:ascii="Open Sans" w:hAnsi="Open Sans"/>
      <w:sz w:val="28"/>
      <w:szCs w:val="28"/>
    </w:rPr>
  </w:style>
  <w:style w:type="paragraph" w:customStyle="1" w:styleId="Titulo1-informeindividual">
    <w:name w:val="Titulo1-informe_individual"/>
    <w:basedOn w:val="Normal"/>
    <w:qFormat/>
    <w:rsid w:val="00E75060"/>
    <w:pPr>
      <w:jc w:val="both"/>
      <w:outlineLvl w:val="5"/>
    </w:pPr>
    <w:rPr>
      <w:rFonts w:ascii="Open Sans" w:hAnsi="Open Sans" w:cs="Arial"/>
      <w:b/>
      <w:sz w:val="22"/>
      <w:szCs w:val="22"/>
      <w:u w:val="single"/>
    </w:rPr>
  </w:style>
  <w:style w:type="paragraph" w:customStyle="1" w:styleId="PIePagina-Informe">
    <w:name w:val="PIe Pagina - Informe"/>
    <w:basedOn w:val="Textonotapie"/>
    <w:qFormat/>
    <w:rsid w:val="00E75060"/>
    <w:pPr>
      <w:jc w:val="both"/>
    </w:pPr>
    <w:rPr>
      <w:rFonts w:ascii="Open Sans" w:hAnsi="Open Sans" w:cs="Open Sans"/>
      <w:sz w:val="15"/>
      <w:szCs w:val="15"/>
    </w:rPr>
  </w:style>
  <w:style w:type="paragraph" w:customStyle="1" w:styleId="Texto-InformeIBEX">
    <w:name w:val="Texto - Informe IBEX"/>
    <w:basedOn w:val="Normal"/>
    <w:link w:val="Texto-InformeIBEXCar"/>
    <w:qFormat/>
    <w:rsid w:val="006F2AEA"/>
    <w:pPr>
      <w:ind w:right="52"/>
      <w:jc w:val="both"/>
    </w:pPr>
    <w:rPr>
      <w:rFonts w:ascii="Open Sans" w:eastAsia="Times New Roman" w:hAnsi="Open Sans" w:cs="Open Sans"/>
      <w:sz w:val="20"/>
      <w:szCs w:val="20"/>
      <w:lang w:val="es-ES" w:eastAsia="en-US"/>
    </w:rPr>
  </w:style>
  <w:style w:type="character" w:customStyle="1" w:styleId="Texto-InformeIBEXCar">
    <w:name w:val="Texto - Informe IBEX Car"/>
    <w:link w:val="Texto-InformeIBEX"/>
    <w:rsid w:val="006F2AEA"/>
    <w:rPr>
      <w:rFonts w:ascii="Open Sans" w:eastAsia="Times New Roman" w:hAnsi="Open Sans" w:cs="Open Sans"/>
      <w:sz w:val="20"/>
      <w:szCs w:val="20"/>
      <w:lang w:val="es-ES" w:eastAsia="en-US"/>
    </w:rPr>
  </w:style>
  <w:style w:type="paragraph" w:customStyle="1" w:styleId="Normal1">
    <w:name w:val="Normal1"/>
    <w:qFormat/>
    <w:rsid w:val="006F2AEA"/>
    <w:rPr>
      <w:rFonts w:ascii="Times New Roman" w:eastAsia="Times New Roman" w:hAnsi="Times New Roman" w:cs="Times New Roman"/>
      <w:color w:val="000000"/>
      <w:szCs w:val="20"/>
      <w:lang w:val="es-ES"/>
    </w:rPr>
  </w:style>
  <w:style w:type="character" w:customStyle="1" w:styleId="A2">
    <w:name w:val="A2"/>
    <w:uiPriority w:val="99"/>
    <w:rsid w:val="006F2AEA"/>
    <w:rPr>
      <w:rFonts w:cs="Repsol"/>
      <w:color w:val="000000"/>
      <w:sz w:val="22"/>
      <w:szCs w:val="22"/>
    </w:rPr>
  </w:style>
  <w:style w:type="paragraph" w:customStyle="1" w:styleId="Piedepgina-InformeIBEX">
    <w:name w:val="Pie de página - Informe IBEX"/>
    <w:basedOn w:val="Textonotapie"/>
    <w:link w:val="Piedepgina-InformeIBEXCar"/>
    <w:rsid w:val="006F2AEA"/>
    <w:rPr>
      <w:rFonts w:ascii="Open Sans" w:hAnsi="Open Sans" w:cs="Open Sans"/>
      <w:sz w:val="15"/>
      <w:szCs w:val="15"/>
      <w:lang w:val="x-none" w:eastAsia="x-none"/>
    </w:rPr>
  </w:style>
  <w:style w:type="character" w:customStyle="1" w:styleId="Piedepgina-InformeIBEXCar">
    <w:name w:val="Pie de página - Informe IBEX Car"/>
    <w:link w:val="Piedepgina-InformeIBEX"/>
    <w:rsid w:val="006F2AEA"/>
    <w:rPr>
      <w:rFonts w:ascii="Open Sans" w:eastAsia="Times New Roman" w:hAnsi="Open Sans" w:cs="Open Sans"/>
      <w:sz w:val="15"/>
      <w:szCs w:val="15"/>
      <w:lang w:val="x-none" w:eastAsia="x-none"/>
    </w:rPr>
  </w:style>
  <w:style w:type="character" w:customStyle="1" w:styleId="Caracteresdenotaalpie">
    <w:name w:val="Caracteres de nota al pie"/>
    <w:rsid w:val="006F2AEA"/>
    <w:rPr>
      <w:vertAlign w:val="superscript"/>
    </w:rPr>
  </w:style>
  <w:style w:type="character" w:customStyle="1" w:styleId="Fuentedeprrafopredeter1">
    <w:name w:val="Fuente de párrafo predeter.1"/>
    <w:rsid w:val="006F2AEA"/>
  </w:style>
  <w:style w:type="character" w:customStyle="1" w:styleId="Refdecomentario1">
    <w:name w:val="Ref. de comentario1"/>
    <w:rsid w:val="006F2AEA"/>
    <w:rPr>
      <w:sz w:val="18"/>
      <w:szCs w:val="18"/>
    </w:rPr>
  </w:style>
  <w:style w:type="paragraph" w:customStyle="1" w:styleId="Ttulo1-InformeIBEX">
    <w:name w:val="Título 1 - Informe IBEX"/>
    <w:basedOn w:val="Normal"/>
    <w:link w:val="Ttulo1-InformeIBEXCar"/>
    <w:qFormat/>
    <w:rsid w:val="009927D7"/>
    <w:pPr>
      <w:numPr>
        <w:numId w:val="9"/>
      </w:numPr>
      <w:jc w:val="both"/>
      <w:outlineLvl w:val="5"/>
    </w:pPr>
    <w:rPr>
      <w:rFonts w:ascii="Open Sans" w:eastAsia="Times New Roman" w:hAnsi="Open Sans" w:cs="Arial"/>
      <w:b/>
      <w:sz w:val="22"/>
      <w:szCs w:val="22"/>
      <w:u w:val="single"/>
      <w:lang w:val="es-ES" w:eastAsia="en-US"/>
    </w:rPr>
  </w:style>
  <w:style w:type="character" w:customStyle="1" w:styleId="Ttulo1-InformeIBEXCar">
    <w:name w:val="Título 1 - Informe IBEX Car"/>
    <w:link w:val="Ttulo1-InformeIBEX"/>
    <w:rsid w:val="009927D7"/>
    <w:rPr>
      <w:rFonts w:ascii="Open Sans" w:eastAsia="Times New Roman" w:hAnsi="Open Sans" w:cs="Arial"/>
      <w:b/>
      <w:sz w:val="22"/>
      <w:szCs w:val="22"/>
      <w:u w:val="single"/>
      <w:lang w:val="es-ES" w:eastAsia="en-US"/>
    </w:rPr>
  </w:style>
  <w:style w:type="paragraph" w:customStyle="1" w:styleId="Ttulo2-InformeIBEX">
    <w:name w:val="Título 2 - Informe IBEX"/>
    <w:basedOn w:val="Normal"/>
    <w:link w:val="Ttulo2-InformeIBEXCar"/>
    <w:qFormat/>
    <w:rsid w:val="009927D7"/>
    <w:pPr>
      <w:ind w:left="1440" w:hanging="360"/>
      <w:jc w:val="both"/>
    </w:pPr>
    <w:rPr>
      <w:rFonts w:ascii="Open Sans" w:eastAsia="Times New Roman" w:hAnsi="Open Sans" w:cs="Times New Roman"/>
      <w:b/>
      <w:sz w:val="20"/>
      <w:szCs w:val="20"/>
      <w:lang w:val="es-ES" w:eastAsia="en-US"/>
    </w:rPr>
  </w:style>
  <w:style w:type="character" w:customStyle="1" w:styleId="Ttulo2-InformeIBEXCar">
    <w:name w:val="Título 2 - Informe IBEX Car"/>
    <w:link w:val="Ttulo2-InformeIBEX"/>
    <w:rsid w:val="009927D7"/>
    <w:rPr>
      <w:rFonts w:ascii="Open Sans" w:eastAsia="Times New Roman" w:hAnsi="Open Sans" w:cs="Times New Roman"/>
      <w:b/>
      <w:sz w:val="20"/>
      <w:szCs w:val="20"/>
      <w:lang w:val="es-ES" w:eastAsia="en-US"/>
    </w:rPr>
  </w:style>
  <w:style w:type="paragraph" w:customStyle="1" w:styleId="Texto-Informe">
    <w:name w:val="Texto-Informe"/>
    <w:basedOn w:val="Normal"/>
    <w:qFormat/>
    <w:rsid w:val="00E75060"/>
    <w:pPr>
      <w:numPr>
        <w:numId w:val="10"/>
      </w:numPr>
      <w:autoSpaceDE w:val="0"/>
      <w:autoSpaceDN w:val="0"/>
      <w:adjustRightInd w:val="0"/>
      <w:jc w:val="both"/>
    </w:pPr>
    <w:rPr>
      <w:rFonts w:ascii="Open Sans" w:hAnsi="Open Sans" w:cs="Arial"/>
      <w:sz w:val="20"/>
      <w:szCs w:val="20"/>
    </w:rPr>
  </w:style>
  <w:style w:type="paragraph" w:customStyle="1" w:styleId="Titulo2-Informe">
    <w:name w:val="Titulo 2 - Informe"/>
    <w:basedOn w:val="Normal"/>
    <w:qFormat/>
    <w:rsid w:val="00E75060"/>
    <w:pPr>
      <w:jc w:val="both"/>
    </w:pPr>
    <w:rPr>
      <w:rFonts w:ascii="Open Sans" w:hAnsi="Open Sans"/>
      <w:b/>
      <w:sz w:val="20"/>
      <w:szCs w:val="20"/>
    </w:rPr>
  </w:style>
  <w:style w:type="character" w:customStyle="1" w:styleId="resumendcha">
    <w:name w:val="resumen_dcha"/>
    <w:basedOn w:val="Fuentedeprrafopredeter"/>
    <w:rsid w:val="006F2FB5"/>
  </w:style>
  <w:style w:type="paragraph" w:styleId="z-Principiodelformulario">
    <w:name w:val="HTML Top of Form"/>
    <w:basedOn w:val="Normal"/>
    <w:next w:val="Normal"/>
    <w:link w:val="z-PrincipiodelformularioCar"/>
    <w:hidden/>
    <w:uiPriority w:val="99"/>
    <w:semiHidden/>
    <w:unhideWhenUsed/>
    <w:rsid w:val="006F2FB5"/>
    <w:pPr>
      <w:pBdr>
        <w:bottom w:val="single" w:sz="6" w:space="1" w:color="auto"/>
      </w:pBdr>
      <w:jc w:val="center"/>
    </w:pPr>
    <w:rPr>
      <w:rFonts w:cs="Arial"/>
      <w:vanish/>
      <w:sz w:val="16"/>
      <w:szCs w:val="16"/>
      <w:lang w:val="es-ES"/>
    </w:rPr>
  </w:style>
  <w:style w:type="character" w:customStyle="1" w:styleId="z-PrincipiodelformularioCar">
    <w:name w:val="z-Principio del formulario Car"/>
    <w:basedOn w:val="Fuentedeprrafopredeter"/>
    <w:link w:val="z-Principiodelformulario"/>
    <w:uiPriority w:val="99"/>
    <w:semiHidden/>
    <w:rsid w:val="006F2FB5"/>
    <w:rPr>
      <w:rFonts w:cs="Arial"/>
      <w:vanish/>
      <w:sz w:val="16"/>
      <w:szCs w:val="16"/>
      <w:lang w:val="es-ES"/>
    </w:rPr>
  </w:style>
  <w:style w:type="paragraph" w:styleId="z-Finaldelformulario">
    <w:name w:val="HTML Bottom of Form"/>
    <w:basedOn w:val="Normal"/>
    <w:next w:val="Normal"/>
    <w:link w:val="z-FinaldelformularioCar"/>
    <w:hidden/>
    <w:uiPriority w:val="99"/>
    <w:semiHidden/>
    <w:unhideWhenUsed/>
    <w:rsid w:val="006F2FB5"/>
    <w:pPr>
      <w:pBdr>
        <w:top w:val="single" w:sz="6" w:space="1" w:color="auto"/>
      </w:pBdr>
      <w:jc w:val="center"/>
    </w:pPr>
    <w:rPr>
      <w:rFonts w:cs="Arial"/>
      <w:vanish/>
      <w:sz w:val="16"/>
      <w:szCs w:val="16"/>
      <w:lang w:val="es-ES"/>
    </w:rPr>
  </w:style>
  <w:style w:type="character" w:customStyle="1" w:styleId="z-FinaldelformularioCar">
    <w:name w:val="z-Final del formulario Car"/>
    <w:basedOn w:val="Fuentedeprrafopredeter"/>
    <w:link w:val="z-Finaldelformulario"/>
    <w:uiPriority w:val="99"/>
    <w:semiHidden/>
    <w:rsid w:val="006F2FB5"/>
    <w:rPr>
      <w:rFonts w:cs="Arial"/>
      <w:vanish/>
      <w:sz w:val="16"/>
      <w:szCs w:val="16"/>
      <w:lang w:val="es-ES"/>
    </w:rPr>
  </w:style>
  <w:style w:type="paragraph" w:customStyle="1" w:styleId="firm">
    <w:name w:val="firm"/>
    <w:basedOn w:val="Normal"/>
    <w:rsid w:val="006F2FB5"/>
    <w:pPr>
      <w:spacing w:before="100" w:beforeAutospacing="1" w:after="100" w:afterAutospacing="1"/>
    </w:pPr>
    <w:rPr>
      <w:rFonts w:ascii="Times New Roman" w:hAnsi="Times New Roman"/>
      <w:lang w:val="es-ES"/>
    </w:rPr>
  </w:style>
  <w:style w:type="character" w:customStyle="1" w:styleId="fech">
    <w:name w:val="fech"/>
    <w:basedOn w:val="Fuentedeprrafopredeter"/>
    <w:rsid w:val="006F2FB5"/>
  </w:style>
  <w:style w:type="character" w:customStyle="1" w:styleId="numcom">
    <w:name w:val="numcom"/>
    <w:basedOn w:val="Fuentedeprrafopredeter"/>
    <w:rsid w:val="006F2FB5"/>
  </w:style>
  <w:style w:type="character" w:customStyle="1" w:styleId="doc">
    <w:name w:val="doc"/>
    <w:basedOn w:val="Fuentedeprrafopredeter"/>
    <w:rsid w:val="006F2FB5"/>
  </w:style>
  <w:style w:type="paragraph" w:customStyle="1" w:styleId="pie">
    <w:name w:val="pie"/>
    <w:basedOn w:val="Normal"/>
    <w:rsid w:val="006F2FB5"/>
    <w:pPr>
      <w:spacing w:before="100" w:beforeAutospacing="1" w:after="100" w:afterAutospacing="1"/>
    </w:pPr>
    <w:rPr>
      <w:rFonts w:ascii="Times New Roman" w:hAnsi="Times New Roman"/>
      <w:lang w:val="es-ES"/>
    </w:rPr>
  </w:style>
  <w:style w:type="paragraph" w:customStyle="1" w:styleId="Citaintensa1">
    <w:name w:val="Cita intensa1"/>
    <w:basedOn w:val="Normal"/>
    <w:next w:val="Normal"/>
    <w:link w:val="IntenseQuoteChar"/>
    <w:autoRedefine/>
    <w:rsid w:val="00414D23"/>
    <w:pPr>
      <w:widowControl w:val="0"/>
      <w:pBdr>
        <w:bottom w:val="single" w:sz="4" w:space="4" w:color="4F81BD"/>
      </w:pBdr>
      <w:spacing w:before="200" w:after="280" w:line="276" w:lineRule="auto"/>
      <w:ind w:left="936" w:right="936"/>
    </w:pPr>
    <w:rPr>
      <w:rFonts w:ascii="Calibri" w:eastAsia="MS Mincho" w:hAnsi="Calibri" w:cs="Times New Roman"/>
      <w:b/>
      <w:bCs/>
      <w:i/>
      <w:iCs/>
      <w:color w:val="000090"/>
      <w:sz w:val="36"/>
      <w:szCs w:val="22"/>
      <w:lang w:eastAsia="en-US"/>
    </w:rPr>
  </w:style>
  <w:style w:type="character" w:customStyle="1" w:styleId="IntenseQuoteChar">
    <w:name w:val="Intense Quote Char"/>
    <w:link w:val="Citaintensa1"/>
    <w:locked/>
    <w:rsid w:val="00414D23"/>
    <w:rPr>
      <w:rFonts w:ascii="Calibri" w:eastAsia="MS Mincho" w:hAnsi="Calibri" w:cs="Times New Roman"/>
      <w:b/>
      <w:bCs/>
      <w:i/>
      <w:iCs/>
      <w:color w:val="000090"/>
      <w:sz w:val="36"/>
      <w:szCs w:val="22"/>
      <w:lang w:eastAsia="en-US"/>
    </w:rPr>
  </w:style>
  <w:style w:type="character" w:customStyle="1" w:styleId="A101">
    <w:name w:val="A10+1"/>
    <w:rsid w:val="00414D23"/>
    <w:rPr>
      <w:rFonts w:cs="Univers LT Std 45 Light"/>
      <w:color w:val="000000"/>
    </w:rPr>
  </w:style>
  <w:style w:type="character" w:customStyle="1" w:styleId="nfasisintenso1">
    <w:name w:val="Énfasis intenso1"/>
    <w:uiPriority w:val="21"/>
    <w:rsid w:val="00414D23"/>
    <w:rPr>
      <w:rFonts w:ascii="Calibri" w:hAnsi="Calibri" w:cs="Times New Roman"/>
      <w:b/>
      <w:bCs/>
      <w:iCs/>
      <w:color w:val="000090"/>
      <w:sz w:val="40"/>
    </w:rPr>
  </w:style>
  <w:style w:type="paragraph" w:customStyle="1" w:styleId="Prrafodelista2">
    <w:name w:val="Párrafo de lista2"/>
    <w:basedOn w:val="Normal"/>
    <w:rsid w:val="00414D23"/>
    <w:pPr>
      <w:ind w:left="720"/>
    </w:pPr>
    <w:rPr>
      <w:rFonts w:ascii="Cambria" w:eastAsia="MS Mincho" w:hAnsi="Cambria" w:cs="Times New Roman"/>
      <w:lang w:eastAsia="es-ES_tradnl" w:bidi="ks-Deva"/>
    </w:rPr>
  </w:style>
  <w:style w:type="paragraph" w:customStyle="1" w:styleId="Pa26">
    <w:name w:val="Pa26"/>
    <w:basedOn w:val="Default"/>
    <w:next w:val="Default"/>
    <w:uiPriority w:val="99"/>
    <w:rsid w:val="00414D23"/>
    <w:pPr>
      <w:spacing w:line="261" w:lineRule="atLeast"/>
    </w:pPr>
    <w:rPr>
      <w:rFonts w:ascii="Univers LT Std 45 Light" w:hAnsi="Univers LT Std 45 Light"/>
      <w:color w:val="auto"/>
    </w:rPr>
  </w:style>
  <w:style w:type="paragraph" w:customStyle="1" w:styleId="Pa163">
    <w:name w:val="Pa16+3"/>
    <w:basedOn w:val="Default"/>
    <w:next w:val="Default"/>
    <w:rsid w:val="00414D23"/>
    <w:pPr>
      <w:spacing w:line="171" w:lineRule="atLeast"/>
    </w:pPr>
    <w:rPr>
      <w:rFonts w:ascii="Univers LT Std 45 Light" w:hAnsi="Univers LT Std 45 Light"/>
      <w:color w:val="auto"/>
    </w:rPr>
  </w:style>
  <w:style w:type="character" w:customStyle="1" w:styleId="A111">
    <w:name w:val="A11+1"/>
    <w:rsid w:val="00414D23"/>
    <w:rPr>
      <w:rFonts w:cs="Univers LT Std 45 Light"/>
      <w:color w:val="000000"/>
      <w:sz w:val="10"/>
      <w:szCs w:val="10"/>
    </w:rPr>
  </w:style>
  <w:style w:type="character" w:customStyle="1" w:styleId="A9">
    <w:name w:val="A9"/>
    <w:uiPriority w:val="99"/>
    <w:rsid w:val="00414D23"/>
    <w:rPr>
      <w:rFonts w:cs="Univers LT Std 45 Light"/>
      <w:color w:val="000000"/>
      <w:sz w:val="22"/>
      <w:szCs w:val="22"/>
    </w:rPr>
  </w:style>
  <w:style w:type="paragraph" w:customStyle="1" w:styleId="Pa95">
    <w:name w:val="Pa9+5"/>
    <w:basedOn w:val="Default"/>
    <w:next w:val="Default"/>
    <w:rsid w:val="00414D23"/>
    <w:pPr>
      <w:spacing w:line="141" w:lineRule="atLeast"/>
    </w:pPr>
    <w:rPr>
      <w:rFonts w:ascii="Univers LT Std 45 Light" w:hAnsi="Univers LT Std 45 Light"/>
      <w:color w:val="auto"/>
    </w:rPr>
  </w:style>
  <w:style w:type="paragraph" w:customStyle="1" w:styleId="Pa58">
    <w:name w:val="Pa5+8"/>
    <w:basedOn w:val="Default"/>
    <w:next w:val="Default"/>
    <w:rsid w:val="00414D23"/>
    <w:pPr>
      <w:spacing w:line="171" w:lineRule="atLeast"/>
    </w:pPr>
    <w:rPr>
      <w:rFonts w:ascii="Univers LT Std 45 Light" w:hAnsi="Univers LT Std 45 Light"/>
      <w:color w:val="auto"/>
    </w:rPr>
  </w:style>
  <w:style w:type="character" w:customStyle="1" w:styleId="A47">
    <w:name w:val="A4+7"/>
    <w:rsid w:val="00414D23"/>
    <w:rPr>
      <w:rFonts w:cs="Univers LT Std 45 Light"/>
      <w:color w:val="000000"/>
      <w:sz w:val="16"/>
      <w:szCs w:val="16"/>
    </w:rPr>
  </w:style>
  <w:style w:type="paragraph" w:customStyle="1" w:styleId="Pa75">
    <w:name w:val="Pa7+5"/>
    <w:basedOn w:val="Default"/>
    <w:next w:val="Default"/>
    <w:rsid w:val="00414D23"/>
    <w:pPr>
      <w:spacing w:line="171" w:lineRule="atLeast"/>
    </w:pPr>
    <w:rPr>
      <w:rFonts w:ascii="Univers LT Std 45 Light" w:hAnsi="Univers LT Std 45 Light"/>
      <w:color w:val="auto"/>
    </w:rPr>
  </w:style>
  <w:style w:type="character" w:customStyle="1" w:styleId="A32">
    <w:name w:val="A3+2"/>
    <w:rsid w:val="00414D23"/>
    <w:rPr>
      <w:rFonts w:cs="Univers LT Std 45 Light"/>
      <w:color w:val="000000"/>
      <w:sz w:val="16"/>
      <w:szCs w:val="16"/>
    </w:rPr>
  </w:style>
  <w:style w:type="paragraph" w:customStyle="1" w:styleId="Pa72">
    <w:name w:val="Pa7+2"/>
    <w:basedOn w:val="Default"/>
    <w:next w:val="Default"/>
    <w:rsid w:val="00414D23"/>
    <w:pPr>
      <w:spacing w:line="171" w:lineRule="atLeast"/>
    </w:pPr>
    <w:rPr>
      <w:rFonts w:ascii="Univers LT Std 55" w:hAnsi="Univers LT Std 55"/>
      <w:color w:val="auto"/>
    </w:rPr>
  </w:style>
  <w:style w:type="character" w:customStyle="1" w:styleId="A22">
    <w:name w:val="A2+2"/>
    <w:rsid w:val="00414D23"/>
    <w:rPr>
      <w:rFonts w:cs="Univers LT Std 45 Light"/>
      <w:color w:val="000000"/>
      <w:sz w:val="16"/>
      <w:szCs w:val="16"/>
    </w:rPr>
  </w:style>
  <w:style w:type="character" w:customStyle="1" w:styleId="A23">
    <w:name w:val="A2+3"/>
    <w:rsid w:val="00414D23"/>
    <w:rPr>
      <w:rFonts w:cs="Univers LT Std 45 Light"/>
      <w:color w:val="000000"/>
      <w:sz w:val="16"/>
      <w:szCs w:val="16"/>
    </w:rPr>
  </w:style>
  <w:style w:type="paragraph" w:customStyle="1" w:styleId="Pa52">
    <w:name w:val="Pa5+2"/>
    <w:basedOn w:val="Default"/>
    <w:next w:val="Default"/>
    <w:rsid w:val="00414D23"/>
    <w:pPr>
      <w:spacing w:line="181" w:lineRule="atLeast"/>
    </w:pPr>
    <w:rPr>
      <w:rFonts w:ascii="Univers LT Std 45 Light" w:hAnsi="Univers LT Std 45 Light"/>
      <w:color w:val="auto"/>
    </w:rPr>
  </w:style>
  <w:style w:type="character" w:customStyle="1" w:styleId="A31">
    <w:name w:val="A3+1"/>
    <w:rsid w:val="00414D23"/>
    <w:rPr>
      <w:rFonts w:cs="Univers LT Std 45 Light"/>
      <w:color w:val="000000"/>
      <w:sz w:val="17"/>
      <w:szCs w:val="17"/>
    </w:rPr>
  </w:style>
  <w:style w:type="paragraph" w:customStyle="1" w:styleId="Pa183">
    <w:name w:val="Pa18+3"/>
    <w:basedOn w:val="Default"/>
    <w:next w:val="Default"/>
    <w:rsid w:val="00414D23"/>
    <w:pPr>
      <w:spacing w:line="181" w:lineRule="atLeast"/>
    </w:pPr>
    <w:rPr>
      <w:rFonts w:ascii="Univers LT Std 45 Light" w:hAnsi="Univers LT Std 45 Light"/>
      <w:color w:val="auto"/>
    </w:rPr>
  </w:style>
  <w:style w:type="character" w:customStyle="1" w:styleId="A4">
    <w:name w:val="A4"/>
    <w:uiPriority w:val="99"/>
    <w:rsid w:val="00414D23"/>
    <w:rPr>
      <w:rFonts w:cs="Univers LT Std 45 Light"/>
      <w:color w:val="000000"/>
      <w:sz w:val="16"/>
      <w:szCs w:val="16"/>
    </w:rPr>
  </w:style>
  <w:style w:type="character" w:customStyle="1" w:styleId="Cuadrculamediana3-nfasis2Car">
    <w:name w:val="Cuadrícula mediana 3 - Énfasis 2 Car"/>
    <w:link w:val="Cuadrculamedia3-nfasis2"/>
    <w:uiPriority w:val="30"/>
    <w:rsid w:val="00414D23"/>
    <w:rPr>
      <w:rFonts w:ascii="Calibri" w:hAnsi="Calibri"/>
      <w:b/>
      <w:bCs/>
      <w:i/>
      <w:iCs/>
      <w:color w:val="000090"/>
      <w:sz w:val="36"/>
    </w:rPr>
  </w:style>
  <w:style w:type="table" w:styleId="Cuadrculamedia3-nfasis2">
    <w:name w:val="Medium Grid 3 Accent 2"/>
    <w:basedOn w:val="Tablanormal"/>
    <w:link w:val="Cuadrculamediana3-nfasis2Car"/>
    <w:uiPriority w:val="30"/>
    <w:rsid w:val="00414D23"/>
    <w:rPr>
      <w:rFonts w:ascii="Calibri" w:hAnsi="Calibri"/>
      <w:b/>
      <w:bCs/>
      <w:i/>
      <w:iCs/>
      <w:color w:val="000090"/>
      <w:sz w:val="3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paragraph" w:customStyle="1" w:styleId="Pa10">
    <w:name w:val="Pa10"/>
    <w:basedOn w:val="Default"/>
    <w:next w:val="Default"/>
    <w:rsid w:val="00F07FAD"/>
    <w:pPr>
      <w:spacing w:line="221" w:lineRule="atLeast"/>
    </w:pPr>
    <w:rPr>
      <w:rFonts w:ascii="Dialog" w:hAnsi="Dialog"/>
      <w:color w:val="auto"/>
    </w:rPr>
  </w:style>
  <w:style w:type="paragraph" w:customStyle="1" w:styleId="Pa1">
    <w:name w:val="Pa1"/>
    <w:basedOn w:val="Default"/>
    <w:next w:val="Default"/>
    <w:uiPriority w:val="99"/>
    <w:rsid w:val="002D1232"/>
    <w:pPr>
      <w:spacing w:line="241" w:lineRule="atLeast"/>
    </w:pPr>
    <w:rPr>
      <w:rFonts w:ascii="Repsol" w:eastAsiaTheme="minorEastAsia" w:hAnsi="Repsol"/>
      <w:color w:val="auto"/>
      <w:lang w:val="es-ES_tradnl" w:eastAsia="ja-JP"/>
    </w:rPr>
  </w:style>
  <w:style w:type="paragraph" w:styleId="Subttulo">
    <w:name w:val="Subtitle"/>
    <w:basedOn w:val="Normal"/>
    <w:next w:val="Normal"/>
    <w:link w:val="SubttuloCar"/>
    <w:uiPriority w:val="11"/>
    <w:qFormat/>
    <w:rsid w:val="00E75060"/>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E75060"/>
    <w:rPr>
      <w:rFonts w:asciiTheme="majorHAnsi" w:eastAsiaTheme="majorEastAsia" w:hAnsiTheme="majorHAnsi" w:cstheme="majorBidi"/>
      <w:i/>
      <w:iCs/>
      <w:color w:val="4F81BD" w:themeColor="accent1"/>
      <w:spacing w:val="15"/>
    </w:rPr>
  </w:style>
  <w:style w:type="character" w:customStyle="1" w:styleId="caps">
    <w:name w:val="caps"/>
    <w:basedOn w:val="Fuentedeprrafopredeter"/>
    <w:rsid w:val="002D1232"/>
  </w:style>
  <w:style w:type="character" w:customStyle="1" w:styleId="Fecha1">
    <w:name w:val="Fecha1"/>
    <w:basedOn w:val="Fuentedeprrafopredeter"/>
    <w:rsid w:val="002D1232"/>
  </w:style>
  <w:style w:type="character" w:customStyle="1" w:styleId="Refdenotaalpie5">
    <w:name w:val="Ref. de nota al pie5"/>
    <w:rsid w:val="00411856"/>
    <w:rPr>
      <w:vertAlign w:val="superscript"/>
    </w:rPr>
  </w:style>
  <w:style w:type="paragraph" w:customStyle="1" w:styleId="Prrafodelista3">
    <w:name w:val="Párrafo de lista3"/>
    <w:basedOn w:val="Normal"/>
    <w:rsid w:val="00411856"/>
    <w:pPr>
      <w:ind w:left="720"/>
      <w:contextualSpacing/>
    </w:pPr>
    <w:rPr>
      <w:rFonts w:ascii="Cambria" w:eastAsia="MS Mincho" w:hAnsi="Cambria" w:cs="Times New Roman"/>
    </w:rPr>
  </w:style>
  <w:style w:type="character" w:customStyle="1" w:styleId="A13">
    <w:name w:val="A13"/>
    <w:uiPriority w:val="99"/>
    <w:rsid w:val="002C33B5"/>
    <w:rPr>
      <w:rFonts w:cs="GillSans Light"/>
      <w:color w:val="404041"/>
      <w:sz w:val="22"/>
      <w:szCs w:val="22"/>
    </w:rPr>
  </w:style>
  <w:style w:type="paragraph" w:customStyle="1" w:styleId="Pa35">
    <w:name w:val="Pa35"/>
    <w:basedOn w:val="Normal"/>
    <w:next w:val="Normal"/>
    <w:uiPriority w:val="99"/>
    <w:rsid w:val="002C33B5"/>
    <w:pPr>
      <w:widowControl w:val="0"/>
      <w:autoSpaceDE w:val="0"/>
      <w:autoSpaceDN w:val="0"/>
      <w:adjustRightInd w:val="0"/>
      <w:spacing w:line="241" w:lineRule="atLeast"/>
    </w:pPr>
    <w:rPr>
      <w:rFonts w:ascii="GillSans Light" w:eastAsia="Calibri" w:hAnsi="GillSans Light" w:cs="Times New Roman"/>
    </w:rPr>
  </w:style>
  <w:style w:type="character" w:customStyle="1" w:styleId="A18">
    <w:name w:val="A18"/>
    <w:uiPriority w:val="99"/>
    <w:rsid w:val="002C33B5"/>
    <w:rPr>
      <w:rFonts w:cs="GillSans Light"/>
      <w:color w:val="404041"/>
      <w:sz w:val="19"/>
      <w:szCs w:val="19"/>
    </w:rPr>
  </w:style>
  <w:style w:type="paragraph" w:customStyle="1" w:styleId="Pa5">
    <w:name w:val="Pa5"/>
    <w:basedOn w:val="Normal"/>
    <w:next w:val="Normal"/>
    <w:uiPriority w:val="99"/>
    <w:rsid w:val="00EE2426"/>
    <w:pPr>
      <w:autoSpaceDE w:val="0"/>
      <w:autoSpaceDN w:val="0"/>
      <w:adjustRightInd w:val="0"/>
      <w:spacing w:line="161" w:lineRule="atLeast"/>
    </w:pPr>
    <w:rPr>
      <w:rFonts w:ascii="Gotham" w:eastAsia="Calibri" w:hAnsi="Gotham" w:cs="Times New Roman"/>
      <w:lang w:val="es-CL" w:eastAsia="es-CL"/>
    </w:rPr>
  </w:style>
  <w:style w:type="paragraph" w:customStyle="1" w:styleId="Pa14">
    <w:name w:val="Pa14"/>
    <w:basedOn w:val="Normal"/>
    <w:next w:val="Normal"/>
    <w:uiPriority w:val="99"/>
    <w:rsid w:val="00EE2426"/>
    <w:pPr>
      <w:autoSpaceDE w:val="0"/>
      <w:autoSpaceDN w:val="0"/>
      <w:adjustRightInd w:val="0"/>
      <w:spacing w:line="161" w:lineRule="atLeast"/>
    </w:pPr>
    <w:rPr>
      <w:rFonts w:ascii="Gotham Condensed" w:eastAsia="Calibri" w:hAnsi="Gotham Condensed" w:cs="Times New Roman"/>
      <w:lang w:val="es-CL" w:eastAsia="es-CL"/>
    </w:rPr>
  </w:style>
  <w:style w:type="paragraph" w:customStyle="1" w:styleId="Pordefecto">
    <w:name w:val="Por defecto"/>
    <w:link w:val="PordefectoCar"/>
    <w:rsid w:val="0002129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40" w:lineRule="atLeast"/>
      <w:jc w:val="both"/>
    </w:pPr>
    <w:rPr>
      <w:rFonts w:ascii="Helvetica" w:eastAsia="Times New Roman" w:hAnsi="Helvetica" w:cs="Times New Roman"/>
      <w:color w:val="000000"/>
      <w:lang w:val="en-US"/>
    </w:rPr>
  </w:style>
  <w:style w:type="character" w:customStyle="1" w:styleId="PordefectoCar">
    <w:name w:val="Por defecto Car"/>
    <w:basedOn w:val="Fuentedeprrafopredeter"/>
    <w:link w:val="Pordefecto"/>
    <w:rsid w:val="00021294"/>
    <w:rPr>
      <w:rFonts w:ascii="Helvetica" w:eastAsia="Times New Roman" w:hAnsi="Helvetica" w:cs="Times New Roman"/>
      <w:color w:val="000000"/>
      <w:lang w:val="en-US"/>
    </w:rPr>
  </w:style>
  <w:style w:type="paragraph" w:customStyle="1" w:styleId="Citaintensa2">
    <w:name w:val="Cita intensa2"/>
    <w:basedOn w:val="Normal"/>
    <w:next w:val="Normal"/>
    <w:autoRedefine/>
    <w:rsid w:val="00566CB9"/>
    <w:pPr>
      <w:widowControl w:val="0"/>
      <w:pBdr>
        <w:bottom w:val="single" w:sz="4" w:space="4" w:color="4F81BD"/>
      </w:pBdr>
      <w:spacing w:before="200" w:after="280" w:line="276" w:lineRule="auto"/>
      <w:ind w:left="936" w:right="936"/>
    </w:pPr>
    <w:rPr>
      <w:rFonts w:ascii="Calibri" w:eastAsia="MS Mincho" w:hAnsi="Calibri" w:cs="Times New Roman"/>
      <w:b/>
      <w:bCs/>
      <w:i/>
      <w:iCs/>
      <w:color w:val="000090"/>
      <w:sz w:val="36"/>
      <w:szCs w:val="22"/>
      <w:lang w:eastAsia="en-US"/>
    </w:rPr>
  </w:style>
  <w:style w:type="character" w:customStyle="1" w:styleId="nfasisintenso2">
    <w:name w:val="Énfasis intenso2"/>
    <w:rsid w:val="00566CB9"/>
    <w:rPr>
      <w:rFonts w:ascii="Calibri" w:hAnsi="Calibri" w:cs="Times New Roman"/>
      <w:b/>
      <w:bCs/>
      <w:iCs/>
      <w:color w:val="000090"/>
      <w:sz w:val="40"/>
    </w:rPr>
  </w:style>
  <w:style w:type="paragraph" w:customStyle="1" w:styleId="Prrafodelista4">
    <w:name w:val="Párrafo de lista4"/>
    <w:basedOn w:val="Normal"/>
    <w:rsid w:val="00566CB9"/>
    <w:pPr>
      <w:ind w:left="720"/>
    </w:pPr>
    <w:rPr>
      <w:rFonts w:ascii="Cambria" w:eastAsia="MS Mincho" w:hAnsi="Cambria" w:cs="Times New Roman"/>
      <w:lang w:eastAsia="es-ES_tradnl" w:bidi="ks-Deva"/>
    </w:rPr>
  </w:style>
  <w:style w:type="character" w:customStyle="1" w:styleId="Cuadrculamediana2-nfasis4Car">
    <w:name w:val="Cuadrícula mediana 2 - Énfasis 4 Car"/>
    <w:link w:val="Cuadrculamedia2-nfasis4"/>
    <w:uiPriority w:val="30"/>
    <w:rsid w:val="00566CB9"/>
    <w:rPr>
      <w:rFonts w:ascii="Calibri" w:hAnsi="Calibri"/>
      <w:b/>
      <w:bCs/>
      <w:i/>
      <w:iCs/>
      <w:color w:val="000090"/>
      <w:sz w:val="36"/>
    </w:rPr>
  </w:style>
  <w:style w:type="character" w:customStyle="1" w:styleId="Tablanormal41">
    <w:name w:val="Tabla normal 41"/>
    <w:uiPriority w:val="21"/>
    <w:rsid w:val="00566CB9"/>
    <w:rPr>
      <w:rFonts w:ascii="Calibri" w:hAnsi="Calibri"/>
      <w:b/>
      <w:bCs/>
      <w:i w:val="0"/>
      <w:iCs/>
      <w:color w:val="000090"/>
      <w:sz w:val="40"/>
    </w:rPr>
  </w:style>
  <w:style w:type="character" w:customStyle="1" w:styleId="Tablanormal51">
    <w:name w:val="Tabla normal 51"/>
    <w:uiPriority w:val="67"/>
    <w:rsid w:val="00566CB9"/>
    <w:rPr>
      <w:smallCaps/>
      <w:color w:val="C0504D"/>
      <w:u w:val="single"/>
    </w:rPr>
  </w:style>
  <w:style w:type="character" w:customStyle="1" w:styleId="Cuadrculadetablaclara1">
    <w:name w:val="Cuadrícula de tabla clara1"/>
    <w:uiPriority w:val="68"/>
    <w:rsid w:val="00566CB9"/>
    <w:rPr>
      <w:b/>
      <w:bCs/>
      <w:smallCaps/>
      <w:color w:val="C0504D"/>
      <w:spacing w:val="5"/>
      <w:u w:val="single"/>
    </w:rPr>
  </w:style>
  <w:style w:type="paragraph" w:customStyle="1" w:styleId="Tabladecuadrcula31">
    <w:name w:val="Tabla de cuadrícula 31"/>
    <w:basedOn w:val="Ttulo1"/>
    <w:next w:val="Normal"/>
    <w:uiPriority w:val="39"/>
    <w:unhideWhenUsed/>
    <w:rsid w:val="00566CB9"/>
    <w:pPr>
      <w:keepLines/>
      <w:pBdr>
        <w:bottom w:val="none" w:sz="0" w:space="0" w:color="auto"/>
      </w:pBdr>
      <w:spacing w:before="480" w:after="0" w:line="276" w:lineRule="auto"/>
      <w:ind w:right="0"/>
      <w:outlineLvl w:val="9"/>
    </w:pPr>
    <w:rPr>
      <w:rFonts w:eastAsia="MS Gothic" w:cs="Mangal"/>
      <w:bCs/>
      <w:i/>
      <w:color w:val="365F91"/>
      <w:kern w:val="0"/>
      <w:sz w:val="28"/>
      <w:szCs w:val="28"/>
      <w:lang w:bidi="ks-Deva"/>
    </w:rPr>
  </w:style>
  <w:style w:type="table" w:styleId="Cuadrculamedia2-nfasis4">
    <w:name w:val="Medium Grid 2 Accent 4"/>
    <w:basedOn w:val="Tablanormal"/>
    <w:link w:val="Cuadrculamediana2-nfasis4Car"/>
    <w:uiPriority w:val="30"/>
    <w:rsid w:val="00566CB9"/>
    <w:rPr>
      <w:rFonts w:ascii="Calibri" w:hAnsi="Calibri"/>
      <w:b/>
      <w:bCs/>
      <w:i/>
      <w:iCs/>
      <w:color w:val="000090"/>
      <w:sz w:val="36"/>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tblPr/>
      <w:tcPr>
        <w:shd w:val="clear" w:color="auto" w:fill="F2EFF6" w:themeFill="accent4"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character" w:customStyle="1" w:styleId="A51">
    <w:name w:val="A5+1"/>
    <w:rsid w:val="00A51D87"/>
    <w:rPr>
      <w:rFonts w:cs="Memento"/>
      <w:color w:val="000000"/>
      <w:sz w:val="10"/>
      <w:szCs w:val="10"/>
    </w:rPr>
  </w:style>
  <w:style w:type="character" w:customStyle="1" w:styleId="A0">
    <w:name w:val="A0"/>
    <w:rsid w:val="00A51D87"/>
    <w:rPr>
      <w:rFonts w:cs="Dialog"/>
      <w:b/>
      <w:bCs/>
      <w:color w:val="000000"/>
      <w:sz w:val="28"/>
      <w:szCs w:val="28"/>
    </w:rPr>
  </w:style>
  <w:style w:type="paragraph" w:customStyle="1" w:styleId="Pa117">
    <w:name w:val="Pa11+7"/>
    <w:basedOn w:val="Default"/>
    <w:next w:val="Default"/>
    <w:rsid w:val="00A51D87"/>
    <w:pPr>
      <w:spacing w:line="221" w:lineRule="atLeast"/>
    </w:pPr>
    <w:rPr>
      <w:rFonts w:ascii="Dialog" w:hAnsi="Dialog"/>
      <w:color w:val="auto"/>
    </w:rPr>
  </w:style>
  <w:style w:type="character" w:customStyle="1" w:styleId="A93">
    <w:name w:val="A9+3"/>
    <w:rsid w:val="00A51D87"/>
    <w:rPr>
      <w:rFonts w:cs="Memento"/>
      <w:color w:val="000000"/>
      <w:sz w:val="10"/>
      <w:szCs w:val="10"/>
    </w:rPr>
  </w:style>
  <w:style w:type="character" w:customStyle="1" w:styleId="Sombreadomediano2-nfasis3Car">
    <w:name w:val="Sombreado mediano 2 - Énfasis 3 Car"/>
    <w:link w:val="Sombreadomedio2-nfasis3"/>
    <w:uiPriority w:val="30"/>
    <w:rsid w:val="00A85D2C"/>
    <w:rPr>
      <w:rFonts w:ascii="Calibri" w:hAnsi="Calibri"/>
      <w:b/>
      <w:bCs/>
      <w:i/>
      <w:iCs/>
      <w:color w:val="000090"/>
      <w:sz w:val="36"/>
    </w:rPr>
  </w:style>
  <w:style w:type="table" w:styleId="Sombreadomedio2-nfasis3">
    <w:name w:val="Medium Shading 2 Accent 3"/>
    <w:basedOn w:val="Tablanormal"/>
    <w:link w:val="Sombreadomediano2-nfasis3Car"/>
    <w:uiPriority w:val="30"/>
    <w:rsid w:val="00A85D2C"/>
    <w:rPr>
      <w:rFonts w:ascii="Calibri" w:hAnsi="Calibri"/>
      <w:b/>
      <w:bCs/>
      <w:i/>
      <w:iCs/>
      <w:color w:val="000090"/>
      <w:sz w:val="36"/>
    </w:rPr>
    <w:tblPr>
      <w:tblStyleRowBandSize w:val="1"/>
      <w:tblStyleColBandSize w:val="1"/>
      <w:tblBorders>
        <w:top w:val="single" w:sz="18" w:space="0" w:color="auto"/>
        <w:bottom w:val="single" w:sz="18" w:space="0" w:color="auto"/>
      </w:tblBorders>
    </w:tblPr>
    <w:tblStylePr w:type="firstRow">
      <w:pPr>
        <w:spacing w:before="0" w:after="0" w:line="240" w:lineRule="auto"/>
      </w:p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tblPr/>
      <w:tcPr>
        <w:tcBorders>
          <w:top w:val="nil"/>
          <w:left w:val="nil"/>
          <w:bottom w:val="single" w:sz="18" w:space="0" w:color="auto"/>
          <w:right w:val="nil"/>
          <w:insideH w:val="nil"/>
          <w:insideV w:val="nil"/>
        </w:tcBorders>
        <w:shd w:val="clear" w:color="auto" w:fill="9BBB59" w:themeFill="accent3"/>
      </w:tcPr>
    </w:tblStylePr>
    <w:tblStylePr w:type="lastCol">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tblPr/>
      <w:tcPr>
        <w:tcBorders>
          <w:top w:val="single" w:sz="18" w:space="0" w:color="auto"/>
          <w:left w:val="nil"/>
          <w:bottom w:val="single" w:sz="18" w:space="0" w:color="auto"/>
          <w:right w:val="nil"/>
          <w:insideH w:val="nil"/>
          <w:insideV w:val="nil"/>
        </w:tcBorders>
      </w:tcPr>
    </w:tblStylePr>
  </w:style>
  <w:style w:type="character" w:customStyle="1" w:styleId="WW8Num1z0">
    <w:name w:val="WW8Num1z0"/>
    <w:rsid w:val="009B3BC2"/>
    <w:rPr>
      <w:rFonts w:ascii="Arial" w:hAnsi="Arial" w:cs="Arial"/>
    </w:rPr>
  </w:style>
  <w:style w:type="character" w:customStyle="1" w:styleId="WW8Num2z0">
    <w:name w:val="WW8Num2z0"/>
    <w:rsid w:val="009B3BC2"/>
    <w:rPr>
      <w:rFonts w:ascii="Arial" w:hAnsi="Arial" w:cs="Arial"/>
      <w:sz w:val="24"/>
      <w:szCs w:val="24"/>
    </w:rPr>
  </w:style>
  <w:style w:type="character" w:customStyle="1" w:styleId="WW8Num3z0">
    <w:name w:val="WW8Num3z0"/>
    <w:rsid w:val="009B3BC2"/>
    <w:rPr>
      <w:rFonts w:ascii="Open Sans" w:hAnsi="Open Sans" w:cs="Open Sans"/>
      <w:b/>
      <w:sz w:val="26"/>
      <w:szCs w:val="22"/>
    </w:rPr>
  </w:style>
  <w:style w:type="character" w:customStyle="1" w:styleId="WW8Num3z1">
    <w:name w:val="WW8Num3z1"/>
    <w:rsid w:val="009B3BC2"/>
    <w:rPr>
      <w:rFonts w:ascii="Open Sans" w:hAnsi="Open Sans" w:cs="Open Sans"/>
      <w:b/>
    </w:rPr>
  </w:style>
  <w:style w:type="character" w:customStyle="1" w:styleId="WW8Num3z2">
    <w:name w:val="WW8Num3z2"/>
    <w:rsid w:val="009B3BC2"/>
  </w:style>
  <w:style w:type="character" w:customStyle="1" w:styleId="WW8Num3z3">
    <w:name w:val="WW8Num3z3"/>
    <w:rsid w:val="009B3BC2"/>
  </w:style>
  <w:style w:type="character" w:customStyle="1" w:styleId="WW8Num3z4">
    <w:name w:val="WW8Num3z4"/>
    <w:rsid w:val="009B3BC2"/>
  </w:style>
  <w:style w:type="character" w:customStyle="1" w:styleId="WW8Num3z5">
    <w:name w:val="WW8Num3z5"/>
    <w:rsid w:val="009B3BC2"/>
  </w:style>
  <w:style w:type="character" w:customStyle="1" w:styleId="WW8Num3z6">
    <w:name w:val="WW8Num3z6"/>
    <w:rsid w:val="009B3BC2"/>
  </w:style>
  <w:style w:type="character" w:customStyle="1" w:styleId="WW8Num3z7">
    <w:name w:val="WW8Num3z7"/>
    <w:rsid w:val="009B3BC2"/>
  </w:style>
  <w:style w:type="character" w:customStyle="1" w:styleId="WW8Num3z8">
    <w:name w:val="WW8Num3z8"/>
    <w:rsid w:val="009B3BC2"/>
  </w:style>
  <w:style w:type="character" w:customStyle="1" w:styleId="WW8Num4z0">
    <w:name w:val="WW8Num4z0"/>
    <w:rsid w:val="009B3BC2"/>
    <w:rPr>
      <w:rFonts w:ascii="Arial" w:hAnsi="Arial" w:cs="Arial"/>
      <w:sz w:val="24"/>
      <w:szCs w:val="24"/>
    </w:rPr>
  </w:style>
  <w:style w:type="character" w:customStyle="1" w:styleId="WW8Num4z1">
    <w:name w:val="WW8Num4z1"/>
    <w:rsid w:val="009B3BC2"/>
    <w:rPr>
      <w:rFonts w:ascii="Courier New" w:hAnsi="Courier New" w:cs="Courier New"/>
    </w:rPr>
  </w:style>
  <w:style w:type="character" w:customStyle="1" w:styleId="WW8Num4z2">
    <w:name w:val="WW8Num4z2"/>
    <w:rsid w:val="009B3BC2"/>
    <w:rPr>
      <w:rFonts w:ascii="Wingdings" w:hAnsi="Wingdings" w:cs="Wingdings"/>
    </w:rPr>
  </w:style>
  <w:style w:type="character" w:customStyle="1" w:styleId="WW8Num4z3">
    <w:name w:val="WW8Num4z3"/>
    <w:rsid w:val="009B3BC2"/>
    <w:rPr>
      <w:rFonts w:ascii="Symbol" w:hAnsi="Symbol" w:cs="Symbol"/>
    </w:rPr>
  </w:style>
  <w:style w:type="character" w:customStyle="1" w:styleId="WW8Num5z0">
    <w:name w:val="WW8Num5z0"/>
    <w:rsid w:val="009B3BC2"/>
    <w:rPr>
      <w:rFonts w:ascii="Arial" w:hAnsi="Arial" w:cs="Arial"/>
      <w:sz w:val="24"/>
      <w:szCs w:val="24"/>
    </w:rPr>
  </w:style>
  <w:style w:type="character" w:customStyle="1" w:styleId="WW8Num5z1">
    <w:name w:val="WW8Num5z1"/>
    <w:rsid w:val="009B3BC2"/>
    <w:rPr>
      <w:rFonts w:ascii="Courier New" w:hAnsi="Courier New" w:cs="Courier New"/>
    </w:rPr>
  </w:style>
  <w:style w:type="character" w:customStyle="1" w:styleId="WW8Num5z2">
    <w:name w:val="WW8Num5z2"/>
    <w:rsid w:val="009B3BC2"/>
    <w:rPr>
      <w:rFonts w:ascii="Wingdings" w:hAnsi="Wingdings" w:cs="Wingdings"/>
    </w:rPr>
  </w:style>
  <w:style w:type="character" w:customStyle="1" w:styleId="WW8Num5z3">
    <w:name w:val="WW8Num5z3"/>
    <w:rsid w:val="009B3BC2"/>
    <w:rPr>
      <w:rFonts w:ascii="Symbol" w:hAnsi="Symbol" w:cs="Symbol"/>
    </w:rPr>
  </w:style>
  <w:style w:type="character" w:customStyle="1" w:styleId="WW8Num6z0">
    <w:name w:val="WW8Num6z0"/>
    <w:rsid w:val="009B3BC2"/>
    <w:rPr>
      <w:rFonts w:ascii="Symbol" w:hAnsi="Symbol" w:cs="Symbol"/>
    </w:rPr>
  </w:style>
  <w:style w:type="character" w:customStyle="1" w:styleId="WW8Num6z1">
    <w:name w:val="WW8Num6z1"/>
    <w:rsid w:val="009B3BC2"/>
    <w:rPr>
      <w:rFonts w:ascii="Courier New" w:hAnsi="Courier New" w:cs="Courier New"/>
    </w:rPr>
  </w:style>
  <w:style w:type="character" w:customStyle="1" w:styleId="WW8Num6z2">
    <w:name w:val="WW8Num6z2"/>
    <w:rsid w:val="009B3BC2"/>
    <w:rPr>
      <w:rFonts w:ascii="Wingdings" w:hAnsi="Wingdings" w:cs="Wingdings"/>
    </w:rPr>
  </w:style>
  <w:style w:type="character" w:customStyle="1" w:styleId="WW8Num7z0">
    <w:name w:val="WW8Num7z0"/>
    <w:rsid w:val="009B3BC2"/>
  </w:style>
  <w:style w:type="character" w:customStyle="1" w:styleId="WW8Num7z1">
    <w:name w:val="WW8Num7z1"/>
    <w:rsid w:val="009B3BC2"/>
  </w:style>
  <w:style w:type="character" w:customStyle="1" w:styleId="WW8Num7z2">
    <w:name w:val="WW8Num7z2"/>
    <w:rsid w:val="009B3BC2"/>
  </w:style>
  <w:style w:type="character" w:customStyle="1" w:styleId="WW8Num7z3">
    <w:name w:val="WW8Num7z3"/>
    <w:rsid w:val="009B3BC2"/>
  </w:style>
  <w:style w:type="character" w:customStyle="1" w:styleId="WW8Num7z4">
    <w:name w:val="WW8Num7z4"/>
    <w:rsid w:val="009B3BC2"/>
  </w:style>
  <w:style w:type="character" w:customStyle="1" w:styleId="WW8Num7z5">
    <w:name w:val="WW8Num7z5"/>
    <w:rsid w:val="009B3BC2"/>
  </w:style>
  <w:style w:type="character" w:customStyle="1" w:styleId="WW8Num7z6">
    <w:name w:val="WW8Num7z6"/>
    <w:rsid w:val="009B3BC2"/>
  </w:style>
  <w:style w:type="character" w:customStyle="1" w:styleId="WW8Num7z7">
    <w:name w:val="WW8Num7z7"/>
    <w:rsid w:val="009B3BC2"/>
  </w:style>
  <w:style w:type="character" w:customStyle="1" w:styleId="WW8Num7z8">
    <w:name w:val="WW8Num7z8"/>
    <w:rsid w:val="009B3BC2"/>
  </w:style>
  <w:style w:type="character" w:customStyle="1" w:styleId="WW8Num1z1">
    <w:name w:val="WW8Num1z1"/>
    <w:rsid w:val="009B3BC2"/>
    <w:rPr>
      <w:rFonts w:ascii="Courier New" w:hAnsi="Courier New" w:cs="Courier New"/>
    </w:rPr>
  </w:style>
  <w:style w:type="character" w:customStyle="1" w:styleId="WW8Num1z2">
    <w:name w:val="WW8Num1z2"/>
    <w:rsid w:val="009B3BC2"/>
    <w:rPr>
      <w:rFonts w:ascii="Wingdings" w:hAnsi="Wingdings" w:cs="Wingdings"/>
    </w:rPr>
  </w:style>
  <w:style w:type="character" w:customStyle="1" w:styleId="WW8Num1z3">
    <w:name w:val="WW8Num1z3"/>
    <w:rsid w:val="009B3BC2"/>
    <w:rPr>
      <w:rFonts w:ascii="Symbol" w:hAnsi="Symbol" w:cs="Symbol"/>
    </w:rPr>
  </w:style>
  <w:style w:type="character" w:customStyle="1" w:styleId="WW8Num2z1">
    <w:name w:val="WW8Num2z1"/>
    <w:rsid w:val="009B3BC2"/>
    <w:rPr>
      <w:rFonts w:ascii="Courier New" w:hAnsi="Courier New" w:cs="Courier New"/>
    </w:rPr>
  </w:style>
  <w:style w:type="character" w:customStyle="1" w:styleId="WW8Num2z2">
    <w:name w:val="WW8Num2z2"/>
    <w:rsid w:val="009B3BC2"/>
    <w:rPr>
      <w:rFonts w:ascii="Wingdings" w:hAnsi="Wingdings" w:cs="Wingdings"/>
    </w:rPr>
  </w:style>
  <w:style w:type="character" w:customStyle="1" w:styleId="WW8Num6z3">
    <w:name w:val="WW8Num6z3"/>
    <w:rsid w:val="009B3BC2"/>
    <w:rPr>
      <w:rFonts w:ascii="Symbol" w:hAnsi="Symbol" w:cs="Symbol"/>
    </w:rPr>
  </w:style>
  <w:style w:type="character" w:customStyle="1" w:styleId="WW8Num8z0">
    <w:name w:val="WW8Num8z0"/>
    <w:rsid w:val="009B3BC2"/>
    <w:rPr>
      <w:rFonts w:ascii="Symbol" w:hAnsi="Symbol" w:cs="Symbol"/>
    </w:rPr>
  </w:style>
  <w:style w:type="character" w:customStyle="1" w:styleId="WW8Num8z1">
    <w:name w:val="WW8Num8z1"/>
    <w:rsid w:val="009B3BC2"/>
    <w:rPr>
      <w:rFonts w:ascii="Courier New" w:hAnsi="Courier New" w:cs="Courier New"/>
    </w:rPr>
  </w:style>
  <w:style w:type="character" w:customStyle="1" w:styleId="WW8Num8z2">
    <w:name w:val="WW8Num8z2"/>
    <w:rsid w:val="009B3BC2"/>
    <w:rPr>
      <w:rFonts w:ascii="Wingdings" w:hAnsi="Wingdings" w:cs="Wingdings"/>
    </w:rPr>
  </w:style>
  <w:style w:type="character" w:customStyle="1" w:styleId="WW8Num9z0">
    <w:name w:val="WW8Num9z0"/>
    <w:rsid w:val="009B3BC2"/>
  </w:style>
  <w:style w:type="character" w:customStyle="1" w:styleId="WW8Num9z1">
    <w:name w:val="WW8Num9z1"/>
    <w:rsid w:val="009B3BC2"/>
  </w:style>
  <w:style w:type="character" w:customStyle="1" w:styleId="WW8Num9z2">
    <w:name w:val="WW8Num9z2"/>
    <w:rsid w:val="009B3BC2"/>
  </w:style>
  <w:style w:type="character" w:customStyle="1" w:styleId="WW8Num9z3">
    <w:name w:val="WW8Num9z3"/>
    <w:rsid w:val="009B3BC2"/>
  </w:style>
  <w:style w:type="character" w:customStyle="1" w:styleId="WW8Num9z4">
    <w:name w:val="WW8Num9z4"/>
    <w:rsid w:val="009B3BC2"/>
  </w:style>
  <w:style w:type="character" w:customStyle="1" w:styleId="WW8Num9z5">
    <w:name w:val="WW8Num9z5"/>
    <w:rsid w:val="009B3BC2"/>
  </w:style>
  <w:style w:type="character" w:customStyle="1" w:styleId="WW8Num9z6">
    <w:name w:val="WW8Num9z6"/>
    <w:rsid w:val="009B3BC2"/>
  </w:style>
  <w:style w:type="character" w:customStyle="1" w:styleId="WW8Num9z7">
    <w:name w:val="WW8Num9z7"/>
    <w:rsid w:val="009B3BC2"/>
  </w:style>
  <w:style w:type="character" w:customStyle="1" w:styleId="WW8Num9z8">
    <w:name w:val="WW8Num9z8"/>
    <w:rsid w:val="009B3BC2"/>
  </w:style>
  <w:style w:type="character" w:customStyle="1" w:styleId="WW8Num10z0">
    <w:name w:val="WW8Num10z0"/>
    <w:rsid w:val="009B3BC2"/>
    <w:rPr>
      <w:b w:val="0"/>
      <w:bCs w:val="0"/>
      <w:i w:val="0"/>
      <w:iCs w:val="0"/>
      <w:outline w:val="0"/>
      <w:shadow w:val="0"/>
      <w:color w:val="auto"/>
      <w:sz w:val="24"/>
      <w:szCs w:val="24"/>
    </w:rPr>
  </w:style>
  <w:style w:type="character" w:customStyle="1" w:styleId="WW8Num10z1">
    <w:name w:val="WW8Num10z1"/>
    <w:rsid w:val="009B3BC2"/>
  </w:style>
  <w:style w:type="character" w:customStyle="1" w:styleId="WW8Num10z2">
    <w:name w:val="WW8Num10z2"/>
    <w:rsid w:val="009B3BC2"/>
  </w:style>
  <w:style w:type="character" w:customStyle="1" w:styleId="WW8Num10z3">
    <w:name w:val="WW8Num10z3"/>
    <w:rsid w:val="009B3BC2"/>
  </w:style>
  <w:style w:type="character" w:customStyle="1" w:styleId="WW8Num10z4">
    <w:name w:val="WW8Num10z4"/>
    <w:rsid w:val="009B3BC2"/>
  </w:style>
  <w:style w:type="character" w:customStyle="1" w:styleId="WW8Num10z5">
    <w:name w:val="WW8Num10z5"/>
    <w:rsid w:val="009B3BC2"/>
  </w:style>
  <w:style w:type="character" w:customStyle="1" w:styleId="WW8Num10z6">
    <w:name w:val="WW8Num10z6"/>
    <w:rsid w:val="009B3BC2"/>
  </w:style>
  <w:style w:type="character" w:customStyle="1" w:styleId="WW8Num10z7">
    <w:name w:val="WW8Num10z7"/>
    <w:rsid w:val="009B3BC2"/>
  </w:style>
  <w:style w:type="character" w:customStyle="1" w:styleId="WW8Num10z8">
    <w:name w:val="WW8Num10z8"/>
    <w:rsid w:val="009B3BC2"/>
  </w:style>
  <w:style w:type="character" w:customStyle="1" w:styleId="WW8Num11z0">
    <w:name w:val="WW8Num11z0"/>
    <w:rsid w:val="009B3BC2"/>
    <w:rPr>
      <w:rFonts w:ascii="Arial" w:hAnsi="Arial" w:cs="Arial"/>
      <w:sz w:val="24"/>
      <w:szCs w:val="24"/>
    </w:rPr>
  </w:style>
  <w:style w:type="character" w:customStyle="1" w:styleId="WW8Num11z1">
    <w:name w:val="WW8Num11z1"/>
    <w:rsid w:val="009B3BC2"/>
    <w:rPr>
      <w:rFonts w:ascii="Courier New" w:hAnsi="Courier New" w:cs="Courier New"/>
    </w:rPr>
  </w:style>
  <w:style w:type="character" w:customStyle="1" w:styleId="WW8Num11z2">
    <w:name w:val="WW8Num11z2"/>
    <w:rsid w:val="009B3BC2"/>
    <w:rPr>
      <w:rFonts w:ascii="Wingdings" w:hAnsi="Wingdings" w:cs="Wingdings"/>
    </w:rPr>
  </w:style>
  <w:style w:type="character" w:customStyle="1" w:styleId="WW8Num11z3">
    <w:name w:val="WW8Num11z3"/>
    <w:rsid w:val="009B3BC2"/>
    <w:rPr>
      <w:rFonts w:ascii="Symbol" w:hAnsi="Symbol" w:cs="Symbol"/>
    </w:rPr>
  </w:style>
  <w:style w:type="character" w:customStyle="1" w:styleId="WW8Num12z0">
    <w:name w:val="WW8Num12z0"/>
    <w:rsid w:val="009B3BC2"/>
    <w:rPr>
      <w:rFonts w:ascii="Symbol" w:hAnsi="Symbol" w:cs="Symbol"/>
    </w:rPr>
  </w:style>
  <w:style w:type="character" w:customStyle="1" w:styleId="WW8Num12z1">
    <w:name w:val="WW8Num12z1"/>
    <w:rsid w:val="009B3BC2"/>
    <w:rPr>
      <w:rFonts w:ascii="Courier New" w:hAnsi="Courier New" w:cs="Courier New"/>
    </w:rPr>
  </w:style>
  <w:style w:type="character" w:customStyle="1" w:styleId="WW8Num12z2">
    <w:name w:val="WW8Num12z2"/>
    <w:rsid w:val="009B3BC2"/>
    <w:rPr>
      <w:rFonts w:ascii="Wingdings" w:hAnsi="Wingdings" w:cs="Wingdings"/>
    </w:rPr>
  </w:style>
  <w:style w:type="character" w:customStyle="1" w:styleId="WW8Num13z0">
    <w:name w:val="WW8Num13z0"/>
    <w:rsid w:val="009B3BC2"/>
  </w:style>
  <w:style w:type="character" w:customStyle="1" w:styleId="WW8Num13z1">
    <w:name w:val="WW8Num13z1"/>
    <w:rsid w:val="009B3BC2"/>
  </w:style>
  <w:style w:type="character" w:customStyle="1" w:styleId="WW8Num13z2">
    <w:name w:val="WW8Num13z2"/>
    <w:rsid w:val="009B3BC2"/>
  </w:style>
  <w:style w:type="character" w:customStyle="1" w:styleId="WW8Num13z3">
    <w:name w:val="WW8Num13z3"/>
    <w:rsid w:val="009B3BC2"/>
  </w:style>
  <w:style w:type="character" w:customStyle="1" w:styleId="WW8Num13z4">
    <w:name w:val="WW8Num13z4"/>
    <w:rsid w:val="009B3BC2"/>
  </w:style>
  <w:style w:type="character" w:customStyle="1" w:styleId="WW8Num13z5">
    <w:name w:val="WW8Num13z5"/>
    <w:rsid w:val="009B3BC2"/>
  </w:style>
  <w:style w:type="character" w:customStyle="1" w:styleId="WW8Num13z6">
    <w:name w:val="WW8Num13z6"/>
    <w:rsid w:val="009B3BC2"/>
  </w:style>
  <w:style w:type="character" w:customStyle="1" w:styleId="WW8Num13z7">
    <w:name w:val="WW8Num13z7"/>
    <w:rsid w:val="009B3BC2"/>
  </w:style>
  <w:style w:type="character" w:customStyle="1" w:styleId="WW8Num13z8">
    <w:name w:val="WW8Num13z8"/>
    <w:rsid w:val="009B3BC2"/>
  </w:style>
  <w:style w:type="character" w:customStyle="1" w:styleId="WW8Num14z0">
    <w:name w:val="WW8Num14z0"/>
    <w:rsid w:val="009B3BC2"/>
    <w:rPr>
      <w:rFonts w:ascii="Symbol" w:hAnsi="Symbol" w:cs="Symbol"/>
    </w:rPr>
  </w:style>
  <w:style w:type="character" w:customStyle="1" w:styleId="WW8Num14z1">
    <w:name w:val="WW8Num14z1"/>
    <w:rsid w:val="009B3BC2"/>
    <w:rPr>
      <w:rFonts w:ascii="Courier New" w:hAnsi="Courier New" w:cs="Courier New"/>
    </w:rPr>
  </w:style>
  <w:style w:type="character" w:customStyle="1" w:styleId="WW8Num14z2">
    <w:name w:val="WW8Num14z2"/>
    <w:rsid w:val="009B3BC2"/>
    <w:rPr>
      <w:rFonts w:ascii="Wingdings" w:hAnsi="Wingdings" w:cs="Wingdings"/>
    </w:rPr>
  </w:style>
  <w:style w:type="character" w:customStyle="1" w:styleId="WW8Num15z0">
    <w:name w:val="WW8Num15z0"/>
    <w:rsid w:val="009B3BC2"/>
  </w:style>
  <w:style w:type="character" w:customStyle="1" w:styleId="WW8Num15z1">
    <w:name w:val="WW8Num15z1"/>
    <w:rsid w:val="009B3BC2"/>
  </w:style>
  <w:style w:type="character" w:customStyle="1" w:styleId="WW8Num15z2">
    <w:name w:val="WW8Num15z2"/>
    <w:rsid w:val="009B3BC2"/>
  </w:style>
  <w:style w:type="character" w:customStyle="1" w:styleId="WW8Num15z3">
    <w:name w:val="WW8Num15z3"/>
    <w:rsid w:val="009B3BC2"/>
  </w:style>
  <w:style w:type="character" w:customStyle="1" w:styleId="WW8Num15z4">
    <w:name w:val="WW8Num15z4"/>
    <w:rsid w:val="009B3BC2"/>
  </w:style>
  <w:style w:type="character" w:customStyle="1" w:styleId="WW8Num15z5">
    <w:name w:val="WW8Num15z5"/>
    <w:rsid w:val="009B3BC2"/>
  </w:style>
  <w:style w:type="character" w:customStyle="1" w:styleId="WW8Num15z6">
    <w:name w:val="WW8Num15z6"/>
    <w:rsid w:val="009B3BC2"/>
  </w:style>
  <w:style w:type="character" w:customStyle="1" w:styleId="WW8Num15z7">
    <w:name w:val="WW8Num15z7"/>
    <w:rsid w:val="009B3BC2"/>
  </w:style>
  <w:style w:type="character" w:customStyle="1" w:styleId="WW8Num15z8">
    <w:name w:val="WW8Num15z8"/>
    <w:rsid w:val="009B3BC2"/>
  </w:style>
  <w:style w:type="character" w:customStyle="1" w:styleId="WW8Num16z0">
    <w:name w:val="WW8Num16z0"/>
    <w:rsid w:val="009B3BC2"/>
    <w:rPr>
      <w:rFonts w:ascii="Courier New" w:hAnsi="Courier New" w:cs="Courier New"/>
    </w:rPr>
  </w:style>
  <w:style w:type="character" w:customStyle="1" w:styleId="WW8Num16z2">
    <w:name w:val="WW8Num16z2"/>
    <w:rsid w:val="009B3BC2"/>
    <w:rPr>
      <w:rFonts w:ascii="Wingdings" w:hAnsi="Wingdings" w:cs="Wingdings"/>
    </w:rPr>
  </w:style>
  <w:style w:type="character" w:customStyle="1" w:styleId="WW8Num16z3">
    <w:name w:val="WW8Num16z3"/>
    <w:rsid w:val="009B3BC2"/>
    <w:rPr>
      <w:rFonts w:ascii="Symbol" w:hAnsi="Symbol" w:cs="Symbol"/>
    </w:rPr>
  </w:style>
  <w:style w:type="character" w:customStyle="1" w:styleId="WW8Num17z0">
    <w:name w:val="WW8Num17z0"/>
    <w:rsid w:val="009B3BC2"/>
    <w:rPr>
      <w:rFonts w:ascii="Courier New" w:hAnsi="Courier New" w:cs="Courier New"/>
    </w:rPr>
  </w:style>
  <w:style w:type="character" w:customStyle="1" w:styleId="WW8Num17z2">
    <w:name w:val="WW8Num17z2"/>
    <w:rsid w:val="009B3BC2"/>
    <w:rPr>
      <w:rFonts w:ascii="Wingdings" w:hAnsi="Wingdings" w:cs="Wingdings"/>
    </w:rPr>
  </w:style>
  <w:style w:type="character" w:customStyle="1" w:styleId="WW8Num17z3">
    <w:name w:val="WW8Num17z3"/>
    <w:rsid w:val="009B3BC2"/>
    <w:rPr>
      <w:rFonts w:ascii="Symbol" w:hAnsi="Symbol" w:cs="Symbol"/>
    </w:rPr>
  </w:style>
  <w:style w:type="character" w:customStyle="1" w:styleId="WW8Num18z0">
    <w:name w:val="WW8Num18z0"/>
    <w:rsid w:val="009B3BC2"/>
    <w:rPr>
      <w:rFonts w:ascii="Symbol" w:hAnsi="Symbol" w:cs="Symbol"/>
    </w:rPr>
  </w:style>
  <w:style w:type="character" w:customStyle="1" w:styleId="WW8Num18z1">
    <w:name w:val="WW8Num18z1"/>
    <w:rsid w:val="009B3BC2"/>
    <w:rPr>
      <w:rFonts w:ascii="Courier New" w:hAnsi="Courier New" w:cs="Courier New"/>
    </w:rPr>
  </w:style>
  <w:style w:type="character" w:customStyle="1" w:styleId="WW8Num18z2">
    <w:name w:val="WW8Num18z2"/>
    <w:rsid w:val="009B3BC2"/>
    <w:rPr>
      <w:rFonts w:ascii="Wingdings" w:hAnsi="Wingdings" w:cs="Wingdings"/>
    </w:rPr>
  </w:style>
  <w:style w:type="character" w:customStyle="1" w:styleId="WW8Num19z0">
    <w:name w:val="WW8Num19z0"/>
    <w:rsid w:val="009B3BC2"/>
  </w:style>
  <w:style w:type="character" w:customStyle="1" w:styleId="WW8Num20z0">
    <w:name w:val="WW8Num20z0"/>
    <w:rsid w:val="009B3BC2"/>
    <w:rPr>
      <w:rFonts w:ascii="Courier New" w:hAnsi="Courier New" w:cs="Courier New"/>
    </w:rPr>
  </w:style>
  <w:style w:type="character" w:customStyle="1" w:styleId="WW8Num20z2">
    <w:name w:val="WW8Num20z2"/>
    <w:rsid w:val="009B3BC2"/>
    <w:rPr>
      <w:rFonts w:ascii="Wingdings" w:hAnsi="Wingdings" w:cs="Wingdings"/>
    </w:rPr>
  </w:style>
  <w:style w:type="character" w:customStyle="1" w:styleId="WW8Num20z3">
    <w:name w:val="WW8Num20z3"/>
    <w:rsid w:val="009B3BC2"/>
    <w:rPr>
      <w:rFonts w:ascii="Symbol" w:hAnsi="Symbol" w:cs="Symbol"/>
    </w:rPr>
  </w:style>
  <w:style w:type="character" w:customStyle="1" w:styleId="WW8Num21z0">
    <w:name w:val="WW8Num21z0"/>
    <w:rsid w:val="009B3BC2"/>
    <w:rPr>
      <w:rFonts w:ascii="Open Sans" w:hAnsi="Open Sans" w:cs="Open Sans"/>
      <w:b/>
      <w:sz w:val="26"/>
      <w:szCs w:val="22"/>
    </w:rPr>
  </w:style>
  <w:style w:type="character" w:customStyle="1" w:styleId="WW8Num21z1">
    <w:name w:val="WW8Num21z1"/>
    <w:rsid w:val="009B3BC2"/>
    <w:rPr>
      <w:rFonts w:ascii="Open Sans" w:hAnsi="Open Sans" w:cs="Open Sans"/>
      <w:b/>
    </w:rPr>
  </w:style>
  <w:style w:type="character" w:customStyle="1" w:styleId="WW8Num21z2">
    <w:name w:val="WW8Num21z2"/>
    <w:rsid w:val="009B3BC2"/>
  </w:style>
  <w:style w:type="character" w:customStyle="1" w:styleId="WW8Num21z3">
    <w:name w:val="WW8Num21z3"/>
    <w:rsid w:val="009B3BC2"/>
  </w:style>
  <w:style w:type="character" w:customStyle="1" w:styleId="WW8Num21z4">
    <w:name w:val="WW8Num21z4"/>
    <w:rsid w:val="009B3BC2"/>
  </w:style>
  <w:style w:type="character" w:customStyle="1" w:styleId="WW8Num21z5">
    <w:name w:val="WW8Num21z5"/>
    <w:rsid w:val="009B3BC2"/>
  </w:style>
  <w:style w:type="character" w:customStyle="1" w:styleId="WW8Num21z6">
    <w:name w:val="WW8Num21z6"/>
    <w:rsid w:val="009B3BC2"/>
  </w:style>
  <w:style w:type="character" w:customStyle="1" w:styleId="WW8Num21z7">
    <w:name w:val="WW8Num21z7"/>
    <w:rsid w:val="009B3BC2"/>
  </w:style>
  <w:style w:type="character" w:customStyle="1" w:styleId="WW8Num21z8">
    <w:name w:val="WW8Num21z8"/>
    <w:rsid w:val="009B3BC2"/>
  </w:style>
  <w:style w:type="character" w:customStyle="1" w:styleId="WW8Num22z0">
    <w:name w:val="WW8Num22z0"/>
    <w:rsid w:val="009B3BC2"/>
    <w:rPr>
      <w:rFonts w:ascii="Monotype Sorts" w:hAnsi="Monotype Sorts" w:cs="Monotype Sorts"/>
    </w:rPr>
  </w:style>
  <w:style w:type="character" w:customStyle="1" w:styleId="WW8Num23z0">
    <w:name w:val="WW8Num23z0"/>
    <w:rsid w:val="009B3BC2"/>
    <w:rPr>
      <w:rFonts w:ascii="Symbol" w:hAnsi="Symbol" w:cs="Symbol"/>
    </w:rPr>
  </w:style>
  <w:style w:type="character" w:customStyle="1" w:styleId="WW8Num23z1">
    <w:name w:val="WW8Num23z1"/>
    <w:rsid w:val="009B3BC2"/>
    <w:rPr>
      <w:rFonts w:ascii="Courier New" w:hAnsi="Courier New" w:cs="Courier New"/>
    </w:rPr>
  </w:style>
  <w:style w:type="character" w:customStyle="1" w:styleId="WW8Num23z2">
    <w:name w:val="WW8Num23z2"/>
    <w:rsid w:val="009B3BC2"/>
    <w:rPr>
      <w:rFonts w:ascii="Wingdings" w:hAnsi="Wingdings" w:cs="Wingdings"/>
    </w:rPr>
  </w:style>
  <w:style w:type="character" w:customStyle="1" w:styleId="WW8Num24z0">
    <w:name w:val="WW8Num24z0"/>
    <w:rsid w:val="009B3BC2"/>
  </w:style>
  <w:style w:type="character" w:customStyle="1" w:styleId="WW8Num24z1">
    <w:name w:val="WW8Num24z1"/>
    <w:rsid w:val="009B3BC2"/>
  </w:style>
  <w:style w:type="character" w:customStyle="1" w:styleId="WW8Num24z2">
    <w:name w:val="WW8Num24z2"/>
    <w:rsid w:val="009B3BC2"/>
  </w:style>
  <w:style w:type="character" w:customStyle="1" w:styleId="WW8Num24z3">
    <w:name w:val="WW8Num24z3"/>
    <w:rsid w:val="009B3BC2"/>
  </w:style>
  <w:style w:type="character" w:customStyle="1" w:styleId="WW8Num24z4">
    <w:name w:val="WW8Num24z4"/>
    <w:rsid w:val="009B3BC2"/>
  </w:style>
  <w:style w:type="character" w:customStyle="1" w:styleId="WW8Num24z5">
    <w:name w:val="WW8Num24z5"/>
    <w:rsid w:val="009B3BC2"/>
  </w:style>
  <w:style w:type="character" w:customStyle="1" w:styleId="WW8Num24z6">
    <w:name w:val="WW8Num24z6"/>
    <w:rsid w:val="009B3BC2"/>
  </w:style>
  <w:style w:type="character" w:customStyle="1" w:styleId="WW8Num24z7">
    <w:name w:val="WW8Num24z7"/>
    <w:rsid w:val="009B3BC2"/>
  </w:style>
  <w:style w:type="character" w:customStyle="1" w:styleId="WW8Num24z8">
    <w:name w:val="WW8Num24z8"/>
    <w:rsid w:val="009B3BC2"/>
  </w:style>
  <w:style w:type="character" w:customStyle="1" w:styleId="WW8Num25z0">
    <w:name w:val="WW8Num25z0"/>
    <w:rsid w:val="009B3BC2"/>
  </w:style>
  <w:style w:type="character" w:customStyle="1" w:styleId="WW8Num25z1">
    <w:name w:val="WW8Num25z1"/>
    <w:rsid w:val="009B3BC2"/>
  </w:style>
  <w:style w:type="character" w:customStyle="1" w:styleId="WW8Num25z2">
    <w:name w:val="WW8Num25z2"/>
    <w:rsid w:val="009B3BC2"/>
  </w:style>
  <w:style w:type="character" w:customStyle="1" w:styleId="WW8Num25z3">
    <w:name w:val="WW8Num25z3"/>
    <w:rsid w:val="009B3BC2"/>
  </w:style>
  <w:style w:type="character" w:customStyle="1" w:styleId="WW8Num25z4">
    <w:name w:val="WW8Num25z4"/>
    <w:rsid w:val="009B3BC2"/>
  </w:style>
  <w:style w:type="character" w:customStyle="1" w:styleId="WW8Num25z5">
    <w:name w:val="WW8Num25z5"/>
    <w:rsid w:val="009B3BC2"/>
  </w:style>
  <w:style w:type="character" w:customStyle="1" w:styleId="WW8Num25z6">
    <w:name w:val="WW8Num25z6"/>
    <w:rsid w:val="009B3BC2"/>
  </w:style>
  <w:style w:type="character" w:customStyle="1" w:styleId="WW8Num25z7">
    <w:name w:val="WW8Num25z7"/>
    <w:rsid w:val="009B3BC2"/>
  </w:style>
  <w:style w:type="character" w:customStyle="1" w:styleId="WW8Num25z8">
    <w:name w:val="WW8Num25z8"/>
    <w:rsid w:val="009B3BC2"/>
  </w:style>
  <w:style w:type="character" w:customStyle="1" w:styleId="WW8Num26z0">
    <w:name w:val="WW8Num26z0"/>
    <w:rsid w:val="009B3BC2"/>
  </w:style>
  <w:style w:type="character" w:customStyle="1" w:styleId="WW8Num26z1">
    <w:name w:val="WW8Num26z1"/>
    <w:rsid w:val="009B3BC2"/>
  </w:style>
  <w:style w:type="character" w:customStyle="1" w:styleId="WW8Num26z2">
    <w:name w:val="WW8Num26z2"/>
    <w:rsid w:val="009B3BC2"/>
  </w:style>
  <w:style w:type="character" w:customStyle="1" w:styleId="WW8Num26z3">
    <w:name w:val="WW8Num26z3"/>
    <w:rsid w:val="009B3BC2"/>
  </w:style>
  <w:style w:type="character" w:customStyle="1" w:styleId="WW8Num26z4">
    <w:name w:val="WW8Num26z4"/>
    <w:rsid w:val="009B3BC2"/>
  </w:style>
  <w:style w:type="character" w:customStyle="1" w:styleId="WW8Num26z5">
    <w:name w:val="WW8Num26z5"/>
    <w:rsid w:val="009B3BC2"/>
  </w:style>
  <w:style w:type="character" w:customStyle="1" w:styleId="WW8Num26z6">
    <w:name w:val="WW8Num26z6"/>
    <w:rsid w:val="009B3BC2"/>
  </w:style>
  <w:style w:type="character" w:customStyle="1" w:styleId="WW8Num26z7">
    <w:name w:val="WW8Num26z7"/>
    <w:rsid w:val="009B3BC2"/>
  </w:style>
  <w:style w:type="character" w:customStyle="1" w:styleId="WW8Num26z8">
    <w:name w:val="WW8Num26z8"/>
    <w:rsid w:val="009B3BC2"/>
  </w:style>
  <w:style w:type="character" w:customStyle="1" w:styleId="WW8Num27z0">
    <w:name w:val="WW8Num27z0"/>
    <w:rsid w:val="009B3BC2"/>
    <w:rPr>
      <w:rFonts w:ascii="Symbol" w:hAnsi="Symbol" w:cs="Symbol"/>
    </w:rPr>
  </w:style>
  <w:style w:type="character" w:customStyle="1" w:styleId="WW8Num27z1">
    <w:name w:val="WW8Num27z1"/>
    <w:rsid w:val="009B3BC2"/>
  </w:style>
  <w:style w:type="character" w:customStyle="1" w:styleId="WW8Num27z2">
    <w:name w:val="WW8Num27z2"/>
    <w:rsid w:val="009B3BC2"/>
  </w:style>
  <w:style w:type="character" w:customStyle="1" w:styleId="WW8Num27z3">
    <w:name w:val="WW8Num27z3"/>
    <w:rsid w:val="009B3BC2"/>
  </w:style>
  <w:style w:type="character" w:customStyle="1" w:styleId="WW8Num27z4">
    <w:name w:val="WW8Num27z4"/>
    <w:rsid w:val="009B3BC2"/>
  </w:style>
  <w:style w:type="character" w:customStyle="1" w:styleId="WW8Num27z5">
    <w:name w:val="WW8Num27z5"/>
    <w:rsid w:val="009B3BC2"/>
  </w:style>
  <w:style w:type="character" w:customStyle="1" w:styleId="WW8Num27z6">
    <w:name w:val="WW8Num27z6"/>
    <w:rsid w:val="009B3BC2"/>
  </w:style>
  <w:style w:type="character" w:customStyle="1" w:styleId="WW8Num27z7">
    <w:name w:val="WW8Num27z7"/>
    <w:rsid w:val="009B3BC2"/>
  </w:style>
  <w:style w:type="character" w:customStyle="1" w:styleId="WW8Num27z8">
    <w:name w:val="WW8Num27z8"/>
    <w:rsid w:val="009B3BC2"/>
  </w:style>
  <w:style w:type="character" w:customStyle="1" w:styleId="WW8Num28z0">
    <w:name w:val="WW8Num28z0"/>
    <w:rsid w:val="009B3BC2"/>
    <w:rPr>
      <w:rFonts w:ascii="Courier New" w:hAnsi="Courier New" w:cs="Courier New"/>
    </w:rPr>
  </w:style>
  <w:style w:type="character" w:customStyle="1" w:styleId="WW8Num28z2">
    <w:name w:val="WW8Num28z2"/>
    <w:rsid w:val="009B3BC2"/>
    <w:rPr>
      <w:rFonts w:ascii="Wingdings" w:hAnsi="Wingdings" w:cs="Wingdings"/>
    </w:rPr>
  </w:style>
  <w:style w:type="character" w:customStyle="1" w:styleId="WW8Num28z3">
    <w:name w:val="WW8Num28z3"/>
    <w:rsid w:val="009B3BC2"/>
    <w:rPr>
      <w:rFonts w:ascii="Symbol" w:hAnsi="Symbol" w:cs="Symbol"/>
    </w:rPr>
  </w:style>
  <w:style w:type="character" w:customStyle="1" w:styleId="WW8Num29z0">
    <w:name w:val="WW8Num29z0"/>
    <w:rsid w:val="009B3BC2"/>
    <w:rPr>
      <w:rFonts w:ascii="Courier New" w:hAnsi="Courier New" w:cs="Courier New"/>
    </w:rPr>
  </w:style>
  <w:style w:type="character" w:customStyle="1" w:styleId="WW8Num29z2">
    <w:name w:val="WW8Num29z2"/>
    <w:rsid w:val="009B3BC2"/>
    <w:rPr>
      <w:rFonts w:ascii="Wingdings" w:hAnsi="Wingdings" w:cs="Wingdings"/>
    </w:rPr>
  </w:style>
  <w:style w:type="character" w:customStyle="1" w:styleId="WW8Num29z3">
    <w:name w:val="WW8Num29z3"/>
    <w:rsid w:val="009B3BC2"/>
    <w:rPr>
      <w:rFonts w:ascii="Symbol" w:hAnsi="Symbol" w:cs="Symbol"/>
    </w:rPr>
  </w:style>
  <w:style w:type="character" w:customStyle="1" w:styleId="Fuentedeprrafopredeter2">
    <w:name w:val="Fuente de párrafo predeter.2"/>
    <w:rsid w:val="009B3BC2"/>
  </w:style>
  <w:style w:type="character" w:customStyle="1" w:styleId="Refdenotaalpie6">
    <w:name w:val="Ref. de nota al pie6"/>
    <w:rsid w:val="009B3BC2"/>
    <w:rPr>
      <w:vertAlign w:val="superscript"/>
    </w:rPr>
  </w:style>
  <w:style w:type="character" w:customStyle="1" w:styleId="ListLabel1">
    <w:name w:val="ListLabel 1"/>
    <w:rsid w:val="009B3BC2"/>
    <w:rPr>
      <w:sz w:val="24"/>
      <w:szCs w:val="24"/>
    </w:rPr>
  </w:style>
  <w:style w:type="character" w:customStyle="1" w:styleId="ListLabel2">
    <w:name w:val="ListLabel 2"/>
    <w:rsid w:val="009B3BC2"/>
    <w:rPr>
      <w:rFonts w:cs="Courier New"/>
    </w:rPr>
  </w:style>
  <w:style w:type="character" w:customStyle="1" w:styleId="Caracteresdenotafinal">
    <w:name w:val="Caracteres de nota final"/>
    <w:rsid w:val="009B3BC2"/>
    <w:rPr>
      <w:vertAlign w:val="superscript"/>
    </w:rPr>
  </w:style>
  <w:style w:type="character" w:customStyle="1" w:styleId="WW-Caracteresdenotafinal">
    <w:name w:val="WW-Caracteres de nota final"/>
    <w:rsid w:val="009B3BC2"/>
  </w:style>
  <w:style w:type="character" w:customStyle="1" w:styleId="WW8Num20z1">
    <w:name w:val="WW8Num20z1"/>
    <w:rsid w:val="009B3BC2"/>
    <w:rPr>
      <w:rFonts w:ascii="Courier New" w:hAnsi="Courier New" w:cs="Courier New"/>
    </w:rPr>
  </w:style>
  <w:style w:type="character" w:customStyle="1" w:styleId="WW8Num16z1">
    <w:name w:val="WW8Num16z1"/>
    <w:rsid w:val="009B3BC2"/>
    <w:rPr>
      <w:rFonts w:ascii="Courier New" w:hAnsi="Courier New" w:cs="Courier New"/>
    </w:rPr>
  </w:style>
  <w:style w:type="paragraph" w:customStyle="1" w:styleId="Encabezado1">
    <w:name w:val="Encabezado1"/>
    <w:basedOn w:val="Normal"/>
    <w:next w:val="Textoindependiente"/>
    <w:rsid w:val="009B3BC2"/>
    <w:pPr>
      <w:keepNext/>
      <w:spacing w:before="240" w:after="120"/>
    </w:pPr>
    <w:rPr>
      <w:rFonts w:ascii="Liberation Sans" w:eastAsia="Droid Sans Fallback" w:hAnsi="Liberation Sans" w:cs="FreeSans"/>
      <w:sz w:val="28"/>
      <w:szCs w:val="28"/>
    </w:rPr>
  </w:style>
  <w:style w:type="paragraph" w:styleId="Lista">
    <w:name w:val="List"/>
    <w:basedOn w:val="Textoindependiente"/>
    <w:rsid w:val="009B3BC2"/>
    <w:pPr>
      <w:spacing w:after="140" w:line="288" w:lineRule="auto"/>
      <w:jc w:val="left"/>
    </w:pPr>
    <w:rPr>
      <w:rFonts w:ascii="Cambria" w:eastAsia="MS Mincho" w:hAnsi="Cambria" w:cs="FreeSans"/>
      <w:sz w:val="24"/>
      <w:szCs w:val="24"/>
      <w:lang w:val="es-ES_tradnl"/>
    </w:rPr>
  </w:style>
  <w:style w:type="paragraph" w:styleId="Epgrafe">
    <w:name w:val="caption"/>
    <w:basedOn w:val="Normal"/>
    <w:unhideWhenUsed/>
    <w:qFormat/>
    <w:rsid w:val="009B3BC2"/>
    <w:pPr>
      <w:spacing w:after="200"/>
    </w:pPr>
    <w:rPr>
      <w:b/>
      <w:bCs/>
      <w:color w:val="4F81BD" w:themeColor="accent1"/>
      <w:sz w:val="18"/>
      <w:szCs w:val="18"/>
    </w:rPr>
  </w:style>
  <w:style w:type="paragraph" w:customStyle="1" w:styleId="ndice">
    <w:name w:val="Índice"/>
    <w:basedOn w:val="Normal"/>
    <w:rsid w:val="009B3BC2"/>
    <w:pPr>
      <w:suppressLineNumbers/>
    </w:pPr>
    <w:rPr>
      <w:rFonts w:ascii="Cambria" w:eastAsia="MS Mincho" w:hAnsi="Cambria" w:cs="FreeSans"/>
    </w:rPr>
  </w:style>
  <w:style w:type="paragraph" w:customStyle="1" w:styleId="Prrafodelista5">
    <w:name w:val="Párrafo de lista5"/>
    <w:basedOn w:val="Normal"/>
    <w:rsid w:val="009B3BC2"/>
    <w:pPr>
      <w:ind w:left="720"/>
      <w:contextualSpacing/>
    </w:pPr>
    <w:rPr>
      <w:rFonts w:ascii="Cambria" w:eastAsia="MS Mincho" w:hAnsi="Cambria" w:cs="Times New Roman"/>
    </w:rPr>
  </w:style>
  <w:style w:type="paragraph" w:customStyle="1" w:styleId="Textonotapie5">
    <w:name w:val="Texto nota pie5"/>
    <w:basedOn w:val="Normal"/>
    <w:rsid w:val="009B3BC2"/>
    <w:rPr>
      <w:rFonts w:ascii="Cambria" w:eastAsia="MS Mincho" w:hAnsi="Cambria" w:cs="Times New Roman"/>
      <w:sz w:val="20"/>
      <w:szCs w:val="20"/>
    </w:rPr>
  </w:style>
  <w:style w:type="character" w:customStyle="1" w:styleId="Cuadrculamulticolor-nfasis3Car">
    <w:name w:val="Cuadrícula multicolor - Énfasis 3 Car"/>
    <w:link w:val="Cuadrculavistosa-nfasis3"/>
    <w:uiPriority w:val="30"/>
    <w:rsid w:val="009B3BC2"/>
    <w:rPr>
      <w:rFonts w:ascii="Calibri" w:hAnsi="Calibri"/>
      <w:b/>
      <w:bCs/>
      <w:i/>
      <w:iCs/>
      <w:color w:val="000090"/>
      <w:sz w:val="36"/>
    </w:rPr>
  </w:style>
  <w:style w:type="table" w:styleId="Cuadrculavistosa-nfasis3">
    <w:name w:val="Colorful Grid Accent 3"/>
    <w:basedOn w:val="Tablanormal"/>
    <w:link w:val="Cuadrculamulticolor-nfasis3Car"/>
    <w:uiPriority w:val="30"/>
    <w:rsid w:val="009B3BC2"/>
    <w:rPr>
      <w:rFonts w:ascii="Calibri" w:hAnsi="Calibri"/>
      <w:b/>
      <w:bCs/>
      <w:i/>
      <w:iCs/>
      <w:color w:val="000090"/>
      <w:sz w:val="36"/>
    </w:rPr>
    <w:tblPr>
      <w:tblStyleRowBandSize w:val="1"/>
      <w:tblStyleColBandSize w:val="1"/>
      <w:tblBorders>
        <w:insideH w:val="single" w:sz="4" w:space="0" w:color="FFFFFF" w:themeColor="background1"/>
      </w:tblBorders>
    </w:tblPr>
    <w:tcPr>
      <w:shd w:val="clear" w:color="auto" w:fill="EAF1DD" w:themeFill="accent3" w:themeFillTint="33"/>
    </w:tcPr>
    <w:tblStylePr w:type="firstRow">
      <w:tblPr/>
      <w:tcPr>
        <w:shd w:val="clear" w:color="auto" w:fill="D6E3BC" w:themeFill="accent3" w:themeFillTint="66"/>
      </w:tcPr>
    </w:tblStylePr>
    <w:tblStylePr w:type="lastRow">
      <w:tblPr/>
      <w:tcPr>
        <w:shd w:val="clear" w:color="auto" w:fill="D6E3BC" w:themeFill="accent3" w:themeFillTint="66"/>
      </w:tcPr>
    </w:tblStylePr>
    <w:tblStylePr w:type="firstCol">
      <w:tblPr/>
      <w:tcPr>
        <w:shd w:val="clear" w:color="auto" w:fill="76923C" w:themeFill="accent3" w:themeFillShade="BF"/>
      </w:tcPr>
    </w:tblStylePr>
    <w:tblStylePr w:type="lastCol">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A1">
    <w:name w:val="A1"/>
    <w:uiPriority w:val="99"/>
    <w:rsid w:val="00723887"/>
    <w:rPr>
      <w:rFonts w:cs="Frutiger 45 Light"/>
      <w:color w:val="000000"/>
      <w:sz w:val="21"/>
      <w:szCs w:val="21"/>
    </w:rPr>
  </w:style>
  <w:style w:type="paragraph" w:customStyle="1" w:styleId="WW-Predeterminado">
    <w:name w:val="WW-Predeterminado"/>
    <w:rsid w:val="00071958"/>
    <w:pPr>
      <w:suppressAutoHyphens/>
      <w:autoSpaceDE w:val="0"/>
    </w:pPr>
    <w:rPr>
      <w:rFonts w:ascii="Times New Roman" w:eastAsia="Times New Roman" w:hAnsi="Times New Roman" w:cs="Times New Roman"/>
      <w:sz w:val="20"/>
      <w:szCs w:val="20"/>
      <w:lang w:val="es-ES"/>
    </w:rPr>
  </w:style>
  <w:style w:type="character" w:customStyle="1" w:styleId="Ttulo4Car">
    <w:name w:val="Título 4 Car"/>
    <w:basedOn w:val="Fuentedeprrafopredeter"/>
    <w:link w:val="Ttulo4"/>
    <w:uiPriority w:val="9"/>
    <w:semiHidden/>
    <w:rsid w:val="003A7FCB"/>
    <w:rPr>
      <w:rFonts w:asciiTheme="majorHAnsi" w:eastAsiaTheme="majorEastAsia" w:hAnsiTheme="majorHAnsi" w:cstheme="majorBidi"/>
      <w:b/>
      <w:bCs/>
      <w:i/>
      <w:iCs/>
      <w:color w:val="4F81BD" w:themeColor="accent1"/>
    </w:rPr>
  </w:style>
  <w:style w:type="character" w:customStyle="1" w:styleId="sinenlace">
    <w:name w:val="sin_enlace"/>
    <w:basedOn w:val="Fuentedeprrafopredeter"/>
    <w:rsid w:val="003A7FCB"/>
  </w:style>
  <w:style w:type="character" w:customStyle="1" w:styleId="textonoticia">
    <w:name w:val="texto_noticia"/>
    <w:basedOn w:val="Fuentedeprrafopredeter"/>
    <w:rsid w:val="003A7FCB"/>
  </w:style>
  <w:style w:type="character" w:customStyle="1" w:styleId="at2">
    <w:name w:val="a__t2"/>
    <w:basedOn w:val="Fuentedeprrafopredeter"/>
    <w:rsid w:val="003A7FCB"/>
  </w:style>
  <w:style w:type="character" w:customStyle="1" w:styleId="azuloscuro">
    <w:name w:val="azuloscuro"/>
    <w:basedOn w:val="Fuentedeprrafopredeter"/>
    <w:rsid w:val="00C95BC3"/>
  </w:style>
  <w:style w:type="paragraph" w:styleId="HTMLconformatoprevio">
    <w:name w:val="HTML Preformatted"/>
    <w:basedOn w:val="Normal"/>
    <w:link w:val="HTMLconformatoprevioCar"/>
    <w:uiPriority w:val="99"/>
    <w:semiHidden/>
    <w:unhideWhenUsed/>
    <w:rsid w:val="004824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S"/>
    </w:rPr>
  </w:style>
  <w:style w:type="character" w:customStyle="1" w:styleId="HTMLconformatoprevioCar">
    <w:name w:val="HTML con formato previo Car"/>
    <w:basedOn w:val="Fuentedeprrafopredeter"/>
    <w:link w:val="HTMLconformatoprevio"/>
    <w:uiPriority w:val="99"/>
    <w:semiHidden/>
    <w:rsid w:val="00482494"/>
    <w:rPr>
      <w:rFonts w:ascii="Courier New" w:eastAsia="Times New Roman" w:hAnsi="Courier New" w:cs="Courier New"/>
      <w:sz w:val="20"/>
      <w:szCs w:val="20"/>
      <w:lang w:val="es-ES"/>
    </w:rPr>
  </w:style>
  <w:style w:type="paragraph" w:customStyle="1" w:styleId="Pa9">
    <w:name w:val="Pa9"/>
    <w:basedOn w:val="Default"/>
    <w:next w:val="Default"/>
    <w:uiPriority w:val="99"/>
    <w:rsid w:val="00482494"/>
    <w:pPr>
      <w:spacing w:line="261" w:lineRule="atLeast"/>
    </w:pPr>
    <w:rPr>
      <w:rFonts w:ascii="VAG Rounded Light" w:eastAsia="Calibri" w:hAnsi="VAG Rounded Light"/>
      <w:color w:val="auto"/>
    </w:rPr>
  </w:style>
  <w:style w:type="character" w:customStyle="1" w:styleId="A7">
    <w:name w:val="A7"/>
    <w:uiPriority w:val="99"/>
    <w:rsid w:val="00482494"/>
    <w:rPr>
      <w:rFonts w:cs="VAG Rounded Light"/>
      <w:color w:val="000000"/>
      <w:sz w:val="30"/>
      <w:szCs w:val="30"/>
    </w:rPr>
  </w:style>
  <w:style w:type="paragraph" w:styleId="Textoindependiente3">
    <w:name w:val="Body Text 3"/>
    <w:basedOn w:val="Normal"/>
    <w:link w:val="Textoindependiente3Car"/>
    <w:rsid w:val="008561F8"/>
    <w:pPr>
      <w:jc w:val="both"/>
    </w:pPr>
    <w:rPr>
      <w:rFonts w:ascii="Tahoma" w:eastAsia="Times New Roman" w:hAnsi="Tahoma" w:cs="Tahoma"/>
      <w:b/>
      <w:bCs/>
      <w:lang w:val="es-ES"/>
    </w:rPr>
  </w:style>
  <w:style w:type="character" w:customStyle="1" w:styleId="Textoindependiente3Car">
    <w:name w:val="Texto independiente 3 Car"/>
    <w:basedOn w:val="Fuentedeprrafopredeter"/>
    <w:link w:val="Textoindependiente3"/>
    <w:rsid w:val="008561F8"/>
    <w:rPr>
      <w:rFonts w:ascii="Tahoma" w:eastAsia="Times New Roman" w:hAnsi="Tahoma" w:cs="Tahoma"/>
      <w:b/>
      <w:bCs/>
      <w:lang w:val="es-ES"/>
    </w:rPr>
  </w:style>
  <w:style w:type="paragraph" w:customStyle="1" w:styleId="Sombreadovistoso-nfasis11">
    <w:name w:val="Sombreado vistoso - Énfasis 11"/>
    <w:hidden/>
    <w:uiPriority w:val="71"/>
    <w:rsid w:val="008561F8"/>
    <w:rPr>
      <w:rFonts w:ascii="Times New Roman" w:eastAsia="Times New Roman" w:hAnsi="Times New Roman" w:cs="Times New Roman"/>
      <w:lang w:val="es-ES"/>
    </w:rPr>
  </w:style>
  <w:style w:type="paragraph" w:customStyle="1" w:styleId="Sombreadovistoso-nfasis31">
    <w:name w:val="Sombreado vistoso - Énfasis 31"/>
    <w:basedOn w:val="Normal"/>
    <w:uiPriority w:val="72"/>
    <w:qFormat/>
    <w:rsid w:val="00DE1C48"/>
    <w:pPr>
      <w:ind w:left="720"/>
      <w:contextualSpacing/>
    </w:pPr>
    <w:rPr>
      <w:rFonts w:ascii="Cambria" w:eastAsia="MS Mincho" w:hAnsi="Cambria" w:cs="Times New Roman"/>
    </w:rPr>
  </w:style>
  <w:style w:type="paragraph" w:customStyle="1" w:styleId="Listaoscura-nfasis31">
    <w:name w:val="Lista oscura - Énfasis 31"/>
    <w:hidden/>
    <w:uiPriority w:val="99"/>
    <w:semiHidden/>
    <w:rsid w:val="00DE1C48"/>
    <w:rPr>
      <w:rFonts w:ascii="Times New Roman" w:eastAsia="Times New Roman" w:hAnsi="Times New Roman" w:cs="Times New Roman"/>
      <w:lang w:val="es-ES"/>
    </w:rPr>
  </w:style>
  <w:style w:type="paragraph" w:customStyle="1" w:styleId="Sombreadomedio2-nfasis31">
    <w:name w:val="Sombreado medio 2 - Énfasis 31"/>
    <w:basedOn w:val="Normal"/>
    <w:next w:val="Normal"/>
    <w:link w:val="Sombreadomedio2-nfasis3Car"/>
    <w:autoRedefine/>
    <w:uiPriority w:val="30"/>
    <w:rsid w:val="00DE1C48"/>
    <w:pPr>
      <w:pBdr>
        <w:bottom w:val="single" w:sz="4" w:space="4" w:color="4F81BD"/>
      </w:pBdr>
      <w:spacing w:before="200" w:after="280"/>
      <w:ind w:left="936" w:right="936"/>
    </w:pPr>
    <w:rPr>
      <w:rFonts w:ascii="Calibri" w:eastAsia="MS Mincho" w:hAnsi="Calibri" w:cs="Times New Roman"/>
      <w:b/>
      <w:bCs/>
      <w:i/>
      <w:iCs/>
      <w:color w:val="000090"/>
      <w:sz w:val="36"/>
    </w:rPr>
  </w:style>
  <w:style w:type="character" w:customStyle="1" w:styleId="Sombreadomedio2-nfasis3Car">
    <w:name w:val="Sombreado medio 2 - Énfasis 3 Car"/>
    <w:link w:val="Sombreadomedio2-nfasis31"/>
    <w:uiPriority w:val="30"/>
    <w:rsid w:val="00DE1C48"/>
    <w:rPr>
      <w:rFonts w:ascii="Calibri" w:eastAsia="MS Mincho" w:hAnsi="Calibri" w:cs="Times New Roman"/>
      <w:b/>
      <w:bCs/>
      <w:i/>
      <w:iCs/>
      <w:color w:val="000090"/>
      <w:sz w:val="36"/>
    </w:rPr>
  </w:style>
  <w:style w:type="paragraph" w:customStyle="1" w:styleId="Cuadrculamedia2-nfasis11">
    <w:name w:val="Cuadrícula media 2 - Énfasis 11"/>
    <w:uiPriority w:val="1"/>
    <w:rsid w:val="00DE1C48"/>
    <w:rPr>
      <w:rFonts w:ascii="Calibri" w:eastAsia="Calibri" w:hAnsi="Calibri" w:cs="Times New Roman"/>
      <w:sz w:val="22"/>
      <w:szCs w:val="22"/>
      <w:lang w:val="es-ES" w:eastAsia="en-US"/>
    </w:rPr>
  </w:style>
  <w:style w:type="paragraph" w:customStyle="1" w:styleId="Cuadrculaclara-nfasis32">
    <w:name w:val="Cuadrícula clara - Énfasis 32"/>
    <w:basedOn w:val="Normal"/>
    <w:uiPriority w:val="34"/>
    <w:rsid w:val="00DE1C48"/>
    <w:pPr>
      <w:ind w:left="720"/>
      <w:contextualSpacing/>
    </w:pPr>
    <w:rPr>
      <w:rFonts w:ascii="Cambria" w:eastAsia="MS Mincho" w:hAnsi="Cambria" w:cs="Times New Roman"/>
    </w:rPr>
  </w:style>
  <w:style w:type="character" w:customStyle="1" w:styleId="Referenciasutil1">
    <w:name w:val="Referencia sutil1"/>
    <w:uiPriority w:val="67"/>
    <w:rsid w:val="00DE1C48"/>
    <w:rPr>
      <w:smallCaps/>
      <w:color w:val="C0504D"/>
      <w:u w:val="single"/>
    </w:rPr>
  </w:style>
  <w:style w:type="character" w:customStyle="1" w:styleId="Referenciaintensa3">
    <w:name w:val="Referencia intensa3"/>
    <w:uiPriority w:val="68"/>
    <w:rsid w:val="00DE1C48"/>
    <w:rPr>
      <w:b/>
      <w:bCs/>
      <w:smallCaps/>
      <w:color w:val="C0504D"/>
      <w:spacing w:val="5"/>
      <w:u w:val="single"/>
    </w:rPr>
  </w:style>
  <w:style w:type="character" w:customStyle="1" w:styleId="news-info-box-title">
    <w:name w:val="news-info-box-title"/>
    <w:basedOn w:val="Fuentedeprrafopredeter"/>
    <w:rsid w:val="007217AE"/>
  </w:style>
  <w:style w:type="character" w:customStyle="1" w:styleId="date-act">
    <w:name w:val="date-act"/>
    <w:basedOn w:val="Fuentedeprrafopredeter"/>
    <w:rsid w:val="007217AE"/>
  </w:style>
  <w:style w:type="character" w:customStyle="1" w:styleId="date-act-hour">
    <w:name w:val="date-act-hour"/>
    <w:basedOn w:val="Fuentedeprrafopredeter"/>
    <w:rsid w:val="007217AE"/>
  </w:style>
  <w:style w:type="paragraph" w:customStyle="1" w:styleId="CM23">
    <w:name w:val="CM23"/>
    <w:basedOn w:val="Default"/>
    <w:next w:val="Default"/>
    <w:uiPriority w:val="99"/>
    <w:rsid w:val="007F61B3"/>
    <w:rPr>
      <w:rFonts w:ascii="DDMAO J+ Amplitude" w:eastAsia="Calibri" w:hAnsi="DDMAO J+ Amplitude"/>
      <w:color w:val="auto"/>
    </w:rPr>
  </w:style>
  <w:style w:type="character" w:customStyle="1" w:styleId="social-icon">
    <w:name w:val="social-icon"/>
    <w:basedOn w:val="Fuentedeprrafopredeter"/>
    <w:rsid w:val="00A33BC3"/>
  </w:style>
  <w:style w:type="character" w:customStyle="1" w:styleId="icon-text">
    <w:name w:val="icon-text"/>
    <w:basedOn w:val="Fuentedeprrafopredeter"/>
    <w:rsid w:val="00A33BC3"/>
  </w:style>
  <w:style w:type="character" w:customStyle="1" w:styleId="count">
    <w:name w:val="count"/>
    <w:basedOn w:val="Fuentedeprrafopredeter"/>
    <w:rsid w:val="00A33BC3"/>
  </w:style>
  <w:style w:type="character" w:customStyle="1" w:styleId="social-arrow">
    <w:name w:val="social-arrow"/>
    <w:basedOn w:val="Fuentedeprrafopredeter"/>
    <w:rsid w:val="00A33BC3"/>
  </w:style>
  <w:style w:type="character" w:customStyle="1" w:styleId="watch-title">
    <w:name w:val="watch-title"/>
    <w:basedOn w:val="Fuentedeprrafopredeter"/>
    <w:rsid w:val="00A33BC3"/>
  </w:style>
  <w:style w:type="paragraph" w:customStyle="1" w:styleId="soustitre">
    <w:name w:val="soustitre"/>
    <w:basedOn w:val="Normal"/>
    <w:rsid w:val="00A33BC3"/>
    <w:pPr>
      <w:spacing w:before="100" w:beforeAutospacing="1" w:after="100" w:afterAutospacing="1"/>
    </w:pPr>
    <w:rPr>
      <w:rFonts w:ascii="Times New Roman" w:eastAsia="Times New Roman" w:hAnsi="Times New Roman" w:cs="Times New Roman"/>
      <w:lang w:val="es-ES"/>
    </w:rPr>
  </w:style>
  <w:style w:type="character" w:customStyle="1" w:styleId="A17">
    <w:name w:val="A17"/>
    <w:uiPriority w:val="99"/>
    <w:rsid w:val="00A33BC3"/>
    <w:rPr>
      <w:rFonts w:cs="Repsol"/>
      <w:color w:val="000000"/>
      <w:sz w:val="12"/>
      <w:szCs w:val="12"/>
    </w:rPr>
  </w:style>
  <w:style w:type="paragraph" w:customStyle="1" w:styleId="Pa49">
    <w:name w:val="Pa49"/>
    <w:basedOn w:val="Default"/>
    <w:next w:val="Default"/>
    <w:uiPriority w:val="99"/>
    <w:rsid w:val="00A33BC3"/>
    <w:pPr>
      <w:spacing w:line="221" w:lineRule="atLeast"/>
    </w:pPr>
    <w:rPr>
      <w:rFonts w:ascii="Repsol" w:eastAsia="Calibri" w:hAnsi="Repsol"/>
      <w:color w:val="auto"/>
    </w:rPr>
  </w:style>
  <w:style w:type="paragraph" w:customStyle="1" w:styleId="Pa4">
    <w:name w:val="Pa4"/>
    <w:basedOn w:val="Default"/>
    <w:next w:val="Default"/>
    <w:uiPriority w:val="99"/>
    <w:rsid w:val="00A33BC3"/>
    <w:pPr>
      <w:spacing w:line="241" w:lineRule="atLeast"/>
    </w:pPr>
    <w:rPr>
      <w:rFonts w:ascii="Repsol" w:eastAsia="Calibri" w:hAnsi="Repsol"/>
      <w:color w:val="auto"/>
    </w:rPr>
  </w:style>
  <w:style w:type="character" w:customStyle="1" w:styleId="st">
    <w:name w:val="st"/>
    <w:basedOn w:val="Fuentedeprrafopredeter"/>
    <w:rsid w:val="00A33BC3"/>
  </w:style>
  <w:style w:type="character" w:customStyle="1" w:styleId="EnlacedeInternet">
    <w:name w:val="Enlace de Internet"/>
    <w:rsid w:val="00630F11"/>
    <w:rPr>
      <w:color w:val="0000FF"/>
      <w:u w:val="single"/>
    </w:rPr>
  </w:style>
  <w:style w:type="character" w:customStyle="1" w:styleId="Ancladenotaalpie">
    <w:name w:val="Ancla de nota al pie"/>
    <w:rsid w:val="00630F11"/>
    <w:rPr>
      <w:vertAlign w:val="superscript"/>
    </w:rPr>
  </w:style>
  <w:style w:type="paragraph" w:customStyle="1" w:styleId="Notaalpie">
    <w:name w:val="Nota al pie"/>
    <w:basedOn w:val="Normal"/>
    <w:rsid w:val="00630F11"/>
    <w:rPr>
      <w:lang w:val="es-ES"/>
    </w:rPr>
  </w:style>
  <w:style w:type="character" w:customStyle="1" w:styleId="zm-spellcheck-misspelled">
    <w:name w:val="zm-spellcheck-misspelled"/>
    <w:rsid w:val="00D13541"/>
  </w:style>
  <w:style w:type="character" w:customStyle="1" w:styleId="fechahora">
    <w:name w:val="fecha_hora"/>
    <w:rsid w:val="00D13541"/>
  </w:style>
  <w:style w:type="character" w:customStyle="1" w:styleId="autor">
    <w:name w:val="autor"/>
    <w:rsid w:val="00D13541"/>
  </w:style>
  <w:style w:type="character" w:customStyle="1" w:styleId="Ttulo5Car">
    <w:name w:val="Título 5 Car"/>
    <w:basedOn w:val="Fuentedeprrafopredeter"/>
    <w:link w:val="Ttulo5"/>
    <w:uiPriority w:val="9"/>
    <w:semiHidden/>
    <w:rsid w:val="00D20B2B"/>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D20B2B"/>
    <w:rPr>
      <w:rFonts w:asciiTheme="majorHAnsi" w:eastAsiaTheme="majorEastAsia" w:hAnsiTheme="majorHAnsi" w:cstheme="majorBidi"/>
      <w:i/>
      <w:iCs/>
      <w:color w:val="243F60" w:themeColor="accent1" w:themeShade="7F"/>
    </w:rPr>
  </w:style>
  <w:style w:type="table" w:customStyle="1" w:styleId="TableNormal">
    <w:name w:val="Table Normal"/>
    <w:rsid w:val="00D20B2B"/>
    <w:rPr>
      <w:rFonts w:ascii="Times New Roman" w:eastAsia="Times New Roman" w:hAnsi="Times New Roman" w:cs="Times New Roman"/>
      <w:color w:val="000000"/>
      <w:szCs w:val="20"/>
      <w:lang w:val="es-ES"/>
    </w:rPr>
    <w:tblPr>
      <w:tblCellMar>
        <w:top w:w="0" w:type="dxa"/>
        <w:left w:w="0" w:type="dxa"/>
        <w:bottom w:w="0" w:type="dxa"/>
        <w:right w:w="0" w:type="dxa"/>
      </w:tblCellMar>
    </w:tblPr>
  </w:style>
  <w:style w:type="paragraph" w:styleId="Ttulo">
    <w:name w:val="Title"/>
    <w:basedOn w:val="Normal1"/>
    <w:next w:val="Normal1"/>
    <w:link w:val="TtuloCar"/>
    <w:uiPriority w:val="10"/>
    <w:qFormat/>
    <w:rsid w:val="00D20B2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ES_tradnl"/>
    </w:rPr>
  </w:style>
  <w:style w:type="character" w:customStyle="1" w:styleId="TtuloCar">
    <w:name w:val="Título Car"/>
    <w:basedOn w:val="Fuentedeprrafopredeter"/>
    <w:link w:val="Ttulo"/>
    <w:uiPriority w:val="10"/>
    <w:rsid w:val="00D20B2B"/>
    <w:rPr>
      <w:rFonts w:asciiTheme="majorHAnsi" w:eastAsiaTheme="majorEastAsia" w:hAnsiTheme="majorHAnsi" w:cstheme="majorBidi"/>
      <w:color w:val="17365D" w:themeColor="text2" w:themeShade="BF"/>
      <w:spacing w:val="5"/>
      <w:kern w:val="28"/>
      <w:sz w:val="52"/>
      <w:szCs w:val="52"/>
    </w:rPr>
  </w:style>
  <w:style w:type="character" w:customStyle="1" w:styleId="A6">
    <w:name w:val="A6"/>
    <w:uiPriority w:val="99"/>
    <w:rsid w:val="00B77D5E"/>
    <w:rPr>
      <w:rFonts w:cs="Gill Sans"/>
      <w:color w:val="403F41"/>
      <w:sz w:val="22"/>
      <w:szCs w:val="22"/>
    </w:rPr>
  </w:style>
  <w:style w:type="paragraph" w:customStyle="1" w:styleId="western">
    <w:name w:val="western"/>
    <w:basedOn w:val="Normal"/>
    <w:rsid w:val="00AC7677"/>
    <w:pPr>
      <w:spacing w:before="100" w:beforeAutospacing="1" w:after="100" w:afterAutospacing="1"/>
    </w:pPr>
    <w:rPr>
      <w:rFonts w:ascii="Times New Roman" w:eastAsia="Times New Roman" w:hAnsi="Times New Roman" w:cs="Times New Roman"/>
      <w:lang w:val="es-ES"/>
    </w:rPr>
  </w:style>
  <w:style w:type="character" w:customStyle="1" w:styleId="lede-headlinehighlighted">
    <w:name w:val="lede-headline__highlighted"/>
    <w:basedOn w:val="Fuentedeprrafopredeter"/>
    <w:rsid w:val="00AC7677"/>
  </w:style>
  <w:style w:type="character" w:customStyle="1" w:styleId="A71">
    <w:name w:val="A7+1"/>
    <w:uiPriority w:val="99"/>
    <w:rsid w:val="00EF0D79"/>
    <w:rPr>
      <w:rFonts w:cs="Lucida Grande"/>
      <w:color w:val="000000"/>
      <w:sz w:val="22"/>
      <w:szCs w:val="22"/>
    </w:rPr>
  </w:style>
  <w:style w:type="paragraph" w:customStyle="1" w:styleId="Pa11">
    <w:name w:val="Pa11"/>
    <w:basedOn w:val="Normal"/>
    <w:next w:val="Normal"/>
    <w:uiPriority w:val="99"/>
    <w:rsid w:val="00EF0D79"/>
    <w:pPr>
      <w:autoSpaceDE w:val="0"/>
      <w:autoSpaceDN w:val="0"/>
      <w:adjustRightInd w:val="0"/>
      <w:spacing w:line="211" w:lineRule="atLeast"/>
      <w:jc w:val="both"/>
    </w:pPr>
    <w:rPr>
      <w:rFonts w:ascii="Univers LT Std 47 Cn Lt" w:eastAsiaTheme="minorHAnsi" w:hAnsi="Univers LT Std 47 Cn Lt"/>
      <w:lang w:val="es-ES" w:eastAsia="en-US"/>
    </w:rPr>
  </w:style>
  <w:style w:type="paragraph" w:customStyle="1" w:styleId="mce">
    <w:name w:val="mce"/>
    <w:basedOn w:val="Normal"/>
    <w:rsid w:val="00EF0D79"/>
    <w:pPr>
      <w:spacing w:before="100" w:beforeAutospacing="1" w:after="100" w:afterAutospacing="1"/>
    </w:pPr>
    <w:rPr>
      <w:rFonts w:ascii="Times New Roman" w:eastAsia="Times New Roman" w:hAnsi="Times New Roman" w:cs="Times New Roman"/>
      <w:lang w:val="es-ES"/>
    </w:rPr>
  </w:style>
  <w:style w:type="character" w:customStyle="1" w:styleId="summary">
    <w:name w:val="summary"/>
    <w:basedOn w:val="Fuentedeprrafopredeter"/>
    <w:rsid w:val="00661796"/>
  </w:style>
  <w:style w:type="paragraph" w:customStyle="1" w:styleId="DialogosTitulo1">
    <w:name w:val="Dialogos. Titulo 1"/>
    <w:basedOn w:val="Normal"/>
    <w:autoRedefine/>
    <w:rsid w:val="00E75060"/>
    <w:pPr>
      <w:jc w:val="both"/>
      <w:outlineLvl w:val="0"/>
    </w:pPr>
    <w:rPr>
      <w:rFonts w:ascii="Open Sans" w:hAnsi="Open Sans"/>
      <w:b/>
      <w:color w:val="363E87"/>
    </w:rPr>
  </w:style>
  <w:style w:type="paragraph" w:customStyle="1" w:styleId="DialogosTitulo2">
    <w:name w:val="Dialogos. Titulo 2"/>
    <w:basedOn w:val="DialogosTitulo1"/>
    <w:rsid w:val="00E75060"/>
    <w:pPr>
      <w:ind w:left="709"/>
    </w:pPr>
    <w:rPr>
      <w:sz w:val="22"/>
    </w:rPr>
  </w:style>
  <w:style w:type="paragraph" w:customStyle="1" w:styleId="Titulo3-informefinal">
    <w:name w:val="Titulo3-informe final"/>
    <w:basedOn w:val="Ttulo1"/>
    <w:qFormat/>
    <w:rsid w:val="00E75060"/>
    <w:rPr>
      <w:rFonts w:ascii="Open Sans" w:hAnsi="Open Sans"/>
      <w:sz w:val="26"/>
    </w:rPr>
  </w:style>
  <w:style w:type="paragraph" w:styleId="Mapadeldocumento">
    <w:name w:val="Document Map"/>
    <w:basedOn w:val="Normal"/>
    <w:link w:val="MapadeldocumentoCar"/>
    <w:uiPriority w:val="99"/>
    <w:semiHidden/>
    <w:unhideWhenUsed/>
    <w:rsid w:val="00A87954"/>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A87954"/>
    <w:rPr>
      <w:rFonts w:ascii="Lucida Grande" w:hAnsi="Lucida Grande" w:cs="Lucida Grande"/>
    </w:rPr>
  </w:style>
  <w:style w:type="paragraph" w:customStyle="1" w:styleId="Titulo4-informefinal">
    <w:name w:val="Titulo4-informe final"/>
    <w:basedOn w:val="Titulo3-informefinal"/>
    <w:qFormat/>
    <w:rsid w:val="00A87954"/>
    <w:pPr>
      <w:ind w:left="709"/>
    </w:pPr>
    <w:rPr>
      <w:sz w:val="24"/>
      <w:szCs w:val="24"/>
    </w:rPr>
  </w:style>
  <w:style w:type="paragraph" w:customStyle="1" w:styleId="Titulo1-informe">
    <w:name w:val="Titulo1-informe"/>
    <w:basedOn w:val="Normal"/>
    <w:qFormat/>
    <w:rsid w:val="00AA60F2"/>
    <w:pPr>
      <w:jc w:val="both"/>
      <w:outlineLvl w:val="5"/>
    </w:pPr>
    <w:rPr>
      <w:rFonts w:ascii="Open Sans" w:eastAsia="MS Mincho" w:hAnsi="Open Sans" w:cs="Arial"/>
      <w:b/>
      <w:sz w:val="22"/>
      <w:szCs w:val="22"/>
      <w:u w:val="single"/>
    </w:rPr>
  </w:style>
  <w:style w:type="character" w:customStyle="1" w:styleId="Sombreadomediano1-nfasis5Car">
    <w:name w:val="Sombreado mediano 1 - Énfasis 5 Car"/>
    <w:link w:val="Sombreadomedio1-nfasis5"/>
    <w:uiPriority w:val="30"/>
    <w:rsid w:val="00A345F6"/>
    <w:rPr>
      <w:rFonts w:ascii="Calibri" w:hAnsi="Calibri"/>
      <w:b/>
      <w:bCs/>
      <w:i/>
      <w:iCs/>
      <w:color w:val="000090"/>
      <w:sz w:val="36"/>
    </w:rPr>
  </w:style>
  <w:style w:type="table" w:styleId="Sombreadomedio1-nfasis5">
    <w:name w:val="Medium Shading 1 Accent 5"/>
    <w:basedOn w:val="Tablanormal"/>
    <w:link w:val="Sombreadomediano1-nfasis5Car"/>
    <w:uiPriority w:val="30"/>
    <w:rsid w:val="00A345F6"/>
    <w:rPr>
      <w:rFonts w:ascii="Calibri" w:hAnsi="Calibri"/>
      <w:b/>
      <w:bCs/>
      <w:i/>
      <w:iCs/>
      <w:color w:val="000090"/>
      <w:sz w:val="36"/>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Listamedia2-nfasis41">
    <w:name w:val="Lista media 2 - Énfasis 41"/>
    <w:basedOn w:val="Normal"/>
    <w:uiPriority w:val="34"/>
    <w:qFormat/>
    <w:rsid w:val="001262A9"/>
    <w:pPr>
      <w:ind w:left="720"/>
      <w:contextualSpacing/>
    </w:pPr>
    <w:rPr>
      <w:rFonts w:ascii="Times New Roman" w:eastAsia="Times New Roman" w:hAnsi="Times New Roman" w:cs="Times New Roman"/>
      <w:lang w:val="es-ES"/>
    </w:rPr>
  </w:style>
  <w:style w:type="character" w:customStyle="1" w:styleId="WW8Num2z3">
    <w:name w:val="WW8Num2z3"/>
    <w:rsid w:val="00A64F90"/>
    <w:rPr>
      <w:rFonts w:ascii="Symbol" w:hAnsi="Symbol" w:cs="Symbol" w:hint="default"/>
    </w:rPr>
  </w:style>
  <w:style w:type="character" w:customStyle="1" w:styleId="WW8Num11z4">
    <w:name w:val="WW8Num11z4"/>
    <w:rsid w:val="00A64F90"/>
  </w:style>
  <w:style w:type="character" w:customStyle="1" w:styleId="WW8Num11z5">
    <w:name w:val="WW8Num11z5"/>
    <w:rsid w:val="00A64F90"/>
  </w:style>
  <w:style w:type="character" w:customStyle="1" w:styleId="WW8Num11z6">
    <w:name w:val="WW8Num11z6"/>
    <w:rsid w:val="00A64F90"/>
  </w:style>
  <w:style w:type="character" w:customStyle="1" w:styleId="WW8Num11z7">
    <w:name w:val="WW8Num11z7"/>
    <w:rsid w:val="00A64F90"/>
  </w:style>
  <w:style w:type="character" w:customStyle="1" w:styleId="WW8Num11z8">
    <w:name w:val="WW8Num11z8"/>
    <w:rsid w:val="00A64F90"/>
  </w:style>
  <w:style w:type="character" w:customStyle="1" w:styleId="WW8Num12z3">
    <w:name w:val="WW8Num12z3"/>
    <w:rsid w:val="00A64F90"/>
    <w:rPr>
      <w:rFonts w:ascii="Symbol" w:hAnsi="Symbol" w:cs="Symbol" w:hint="default"/>
      <w:sz w:val="20"/>
      <w:szCs w:val="20"/>
    </w:rPr>
  </w:style>
  <w:style w:type="character" w:customStyle="1" w:styleId="WW8Num17z1">
    <w:name w:val="WW8Num17z1"/>
    <w:rsid w:val="00A64F90"/>
  </w:style>
  <w:style w:type="character" w:customStyle="1" w:styleId="WW8Num17z4">
    <w:name w:val="WW8Num17z4"/>
    <w:rsid w:val="00A64F90"/>
  </w:style>
  <w:style w:type="character" w:customStyle="1" w:styleId="WW8Num17z5">
    <w:name w:val="WW8Num17z5"/>
    <w:rsid w:val="00A64F90"/>
  </w:style>
  <w:style w:type="character" w:customStyle="1" w:styleId="WW8Num17z6">
    <w:name w:val="WW8Num17z6"/>
    <w:rsid w:val="00A64F90"/>
  </w:style>
  <w:style w:type="character" w:customStyle="1" w:styleId="WW8Num17z7">
    <w:name w:val="WW8Num17z7"/>
    <w:rsid w:val="00A64F90"/>
  </w:style>
  <w:style w:type="character" w:customStyle="1" w:styleId="WW8Num17z8">
    <w:name w:val="WW8Num17z8"/>
    <w:rsid w:val="00A64F90"/>
  </w:style>
  <w:style w:type="character" w:customStyle="1" w:styleId="WW8Num18z3">
    <w:name w:val="WW8Num18z3"/>
    <w:rsid w:val="00A64F90"/>
    <w:rPr>
      <w:rFonts w:ascii="Symbol" w:hAnsi="Symbol" w:cs="Symbol" w:hint="default"/>
    </w:rPr>
  </w:style>
  <w:style w:type="character" w:customStyle="1" w:styleId="WW8Num19z2">
    <w:name w:val="WW8Num19z2"/>
    <w:rsid w:val="00A64F90"/>
    <w:rPr>
      <w:rFonts w:ascii="Wingdings" w:hAnsi="Wingdings" w:cs="Wingdings" w:hint="default"/>
    </w:rPr>
  </w:style>
  <w:style w:type="character" w:customStyle="1" w:styleId="WW8Num19z3">
    <w:name w:val="WW8Num19z3"/>
    <w:rsid w:val="00A64F90"/>
    <w:rPr>
      <w:rFonts w:ascii="Symbol" w:hAnsi="Symbol" w:cs="Symbol" w:hint="default"/>
    </w:rPr>
  </w:style>
  <w:style w:type="character" w:customStyle="1" w:styleId="WW8Num22z2">
    <w:name w:val="WW8Num22z2"/>
    <w:rsid w:val="00A64F90"/>
    <w:rPr>
      <w:rFonts w:ascii="Wingdings" w:hAnsi="Wingdings" w:cs="Wingdings" w:hint="default"/>
    </w:rPr>
  </w:style>
  <w:style w:type="character" w:customStyle="1" w:styleId="WW8Num22z3">
    <w:name w:val="WW8Num22z3"/>
    <w:rsid w:val="00A64F90"/>
    <w:rPr>
      <w:rFonts w:ascii="Symbol" w:hAnsi="Symbol" w:cs="Symbol" w:hint="default"/>
    </w:rPr>
  </w:style>
  <w:style w:type="character" w:customStyle="1" w:styleId="WW8Num28z1">
    <w:name w:val="WW8Num28z1"/>
    <w:rsid w:val="00A64F90"/>
  </w:style>
  <w:style w:type="character" w:customStyle="1" w:styleId="WW8Num28z4">
    <w:name w:val="WW8Num28z4"/>
    <w:rsid w:val="00A64F90"/>
  </w:style>
  <w:style w:type="character" w:customStyle="1" w:styleId="WW8Num28z5">
    <w:name w:val="WW8Num28z5"/>
    <w:rsid w:val="00A64F90"/>
  </w:style>
  <w:style w:type="character" w:customStyle="1" w:styleId="WW8Num28z6">
    <w:name w:val="WW8Num28z6"/>
    <w:rsid w:val="00A64F90"/>
  </w:style>
  <w:style w:type="character" w:customStyle="1" w:styleId="WW8Num28z7">
    <w:name w:val="WW8Num28z7"/>
    <w:rsid w:val="00A64F90"/>
  </w:style>
  <w:style w:type="character" w:customStyle="1" w:styleId="WW8Num28z8">
    <w:name w:val="WW8Num28z8"/>
    <w:rsid w:val="00A64F90"/>
  </w:style>
  <w:style w:type="character" w:customStyle="1" w:styleId="WW8Num30z0">
    <w:name w:val="WW8Num30z0"/>
    <w:rsid w:val="00A64F90"/>
    <w:rPr>
      <w:rFonts w:ascii="Courier New" w:hAnsi="Courier New" w:cs="Courier New" w:hint="default"/>
    </w:rPr>
  </w:style>
  <w:style w:type="character" w:customStyle="1" w:styleId="WW8Num30z2">
    <w:name w:val="WW8Num30z2"/>
    <w:rsid w:val="00A64F90"/>
    <w:rPr>
      <w:rFonts w:ascii="Wingdings" w:hAnsi="Wingdings" w:cs="Wingdings" w:hint="default"/>
    </w:rPr>
  </w:style>
  <w:style w:type="character" w:customStyle="1" w:styleId="WW8Num30z3">
    <w:name w:val="WW8Num30z3"/>
    <w:rsid w:val="00A64F90"/>
    <w:rPr>
      <w:rFonts w:ascii="Symbol" w:hAnsi="Symbol" w:cs="Symbol" w:hint="default"/>
    </w:rPr>
  </w:style>
  <w:style w:type="character" w:customStyle="1" w:styleId="WW8Num31z0">
    <w:name w:val="WW8Num31z0"/>
    <w:rsid w:val="00A64F90"/>
    <w:rPr>
      <w:rFonts w:ascii="Courier New" w:hAnsi="Courier New" w:cs="Courier New" w:hint="default"/>
      <w:sz w:val="20"/>
      <w:szCs w:val="20"/>
    </w:rPr>
  </w:style>
  <w:style w:type="character" w:customStyle="1" w:styleId="WW8Num31z2">
    <w:name w:val="WW8Num31z2"/>
    <w:rsid w:val="00A64F90"/>
    <w:rPr>
      <w:rFonts w:ascii="Wingdings" w:hAnsi="Wingdings" w:cs="Wingdings" w:hint="default"/>
    </w:rPr>
  </w:style>
  <w:style w:type="character" w:customStyle="1" w:styleId="WW8Num31z3">
    <w:name w:val="WW8Num31z3"/>
    <w:rsid w:val="00A64F90"/>
    <w:rPr>
      <w:rFonts w:ascii="Symbol" w:hAnsi="Symbol" w:cs="Symbol" w:hint="default"/>
    </w:rPr>
  </w:style>
  <w:style w:type="paragraph" w:customStyle="1" w:styleId="Textocomentario1">
    <w:name w:val="Texto comentario1"/>
    <w:basedOn w:val="Normal"/>
    <w:rsid w:val="00A64F90"/>
    <w:pPr>
      <w:suppressAutoHyphens/>
    </w:pPr>
    <w:rPr>
      <w:rFonts w:ascii="Times New Roman" w:eastAsia="Times New Roman" w:hAnsi="Times New Roman" w:cs="Times New Roman"/>
      <w:lang w:val="es-ES" w:eastAsia="zh-CN"/>
    </w:rPr>
  </w:style>
  <w:style w:type="character" w:customStyle="1" w:styleId="Mention">
    <w:name w:val="Mention"/>
    <w:uiPriority w:val="99"/>
    <w:semiHidden/>
    <w:unhideWhenUsed/>
    <w:rsid w:val="00A64F90"/>
    <w:rPr>
      <w:color w:val="2B579A"/>
      <w:shd w:val="clear" w:color="auto" w:fill="E6E6E6"/>
    </w:rPr>
  </w:style>
  <w:style w:type="character" w:customStyle="1" w:styleId="TextocomentarioCar1">
    <w:name w:val="Texto comentario Car1"/>
    <w:uiPriority w:val="99"/>
    <w:semiHidden/>
    <w:rsid w:val="00A64F90"/>
    <w:rPr>
      <w:lang w:eastAsia="zh-CN"/>
    </w:rPr>
  </w:style>
  <w:style w:type="character" w:customStyle="1" w:styleId="WW8Num8z3">
    <w:name w:val="WW8Num8z3"/>
    <w:rsid w:val="00092060"/>
  </w:style>
  <w:style w:type="character" w:customStyle="1" w:styleId="WW8Num8z4">
    <w:name w:val="WW8Num8z4"/>
    <w:rsid w:val="00092060"/>
  </w:style>
  <w:style w:type="character" w:customStyle="1" w:styleId="WW8Num8z5">
    <w:name w:val="WW8Num8z5"/>
    <w:rsid w:val="00092060"/>
  </w:style>
  <w:style w:type="character" w:customStyle="1" w:styleId="WW8Num8z6">
    <w:name w:val="WW8Num8z6"/>
    <w:rsid w:val="00092060"/>
  </w:style>
  <w:style w:type="character" w:customStyle="1" w:styleId="WW8Num8z7">
    <w:name w:val="WW8Num8z7"/>
    <w:rsid w:val="00092060"/>
  </w:style>
  <w:style w:type="character" w:customStyle="1" w:styleId="WW8Num8z8">
    <w:name w:val="WW8Num8z8"/>
    <w:rsid w:val="00092060"/>
  </w:style>
  <w:style w:type="character" w:customStyle="1" w:styleId="ListLabel73">
    <w:name w:val="ListLabel 73"/>
    <w:rsid w:val="00092060"/>
    <w:rPr>
      <w:rFonts w:ascii="Open Sans" w:hAnsi="Open Sans" w:cs="Symbol"/>
      <w:sz w:val="20"/>
    </w:rPr>
  </w:style>
  <w:style w:type="character" w:customStyle="1" w:styleId="ListLabel74">
    <w:name w:val="ListLabel 74"/>
    <w:rsid w:val="00092060"/>
    <w:rPr>
      <w:rFonts w:cs="Courier New"/>
      <w:sz w:val="20"/>
    </w:rPr>
  </w:style>
  <w:style w:type="character" w:customStyle="1" w:styleId="ListLabel75">
    <w:name w:val="ListLabel 75"/>
    <w:rsid w:val="00092060"/>
    <w:rPr>
      <w:rFonts w:cs="Wingdings"/>
      <w:sz w:val="20"/>
    </w:rPr>
  </w:style>
  <w:style w:type="character" w:customStyle="1" w:styleId="ListLabel76">
    <w:name w:val="ListLabel 76"/>
    <w:rsid w:val="00092060"/>
    <w:rPr>
      <w:rFonts w:cs="Wingdings"/>
      <w:sz w:val="20"/>
    </w:rPr>
  </w:style>
  <w:style w:type="character" w:customStyle="1" w:styleId="ListLabel77">
    <w:name w:val="ListLabel 77"/>
    <w:rsid w:val="00092060"/>
    <w:rPr>
      <w:rFonts w:cs="Wingdings"/>
      <w:sz w:val="20"/>
    </w:rPr>
  </w:style>
  <w:style w:type="character" w:customStyle="1" w:styleId="ListLabel78">
    <w:name w:val="ListLabel 78"/>
    <w:rsid w:val="00092060"/>
    <w:rPr>
      <w:rFonts w:cs="Wingdings"/>
      <w:sz w:val="20"/>
    </w:rPr>
  </w:style>
  <w:style w:type="character" w:customStyle="1" w:styleId="ListLabel79">
    <w:name w:val="ListLabel 79"/>
    <w:rsid w:val="00092060"/>
    <w:rPr>
      <w:rFonts w:cs="Wingdings"/>
      <w:sz w:val="20"/>
    </w:rPr>
  </w:style>
  <w:style w:type="character" w:customStyle="1" w:styleId="ListLabel80">
    <w:name w:val="ListLabel 80"/>
    <w:rsid w:val="00092060"/>
    <w:rPr>
      <w:rFonts w:cs="Wingdings"/>
      <w:sz w:val="20"/>
    </w:rPr>
  </w:style>
  <w:style w:type="character" w:customStyle="1" w:styleId="ListLabel81">
    <w:name w:val="ListLabel 81"/>
    <w:rsid w:val="00092060"/>
    <w:rPr>
      <w:rFonts w:cs="Wingdings"/>
      <w:sz w:val="20"/>
    </w:rPr>
  </w:style>
  <w:style w:type="character" w:customStyle="1" w:styleId="Textoennegrita1">
    <w:name w:val="Texto en negrita1"/>
    <w:rsid w:val="00092060"/>
    <w:rPr>
      <w:b/>
      <w:bCs/>
    </w:rPr>
  </w:style>
  <w:style w:type="character" w:customStyle="1" w:styleId="ListLabel46">
    <w:name w:val="ListLabel 46"/>
    <w:rsid w:val="00092060"/>
    <w:rPr>
      <w:rFonts w:ascii="Open Sans" w:hAnsi="Open Sans" w:cs="Symbol"/>
      <w:sz w:val="20"/>
    </w:rPr>
  </w:style>
  <w:style w:type="character" w:customStyle="1" w:styleId="ListLabel47">
    <w:name w:val="ListLabel 47"/>
    <w:rsid w:val="00092060"/>
    <w:rPr>
      <w:rFonts w:cs="Courier New"/>
    </w:rPr>
  </w:style>
  <w:style w:type="character" w:customStyle="1" w:styleId="ListLabel48">
    <w:name w:val="ListLabel 48"/>
    <w:rsid w:val="00092060"/>
    <w:rPr>
      <w:rFonts w:cs="Wingdings"/>
    </w:rPr>
  </w:style>
  <w:style w:type="character" w:customStyle="1" w:styleId="ListLabel49">
    <w:name w:val="ListLabel 49"/>
    <w:rsid w:val="00092060"/>
    <w:rPr>
      <w:rFonts w:cs="Symbol"/>
    </w:rPr>
  </w:style>
  <w:style w:type="character" w:customStyle="1" w:styleId="ListLabel50">
    <w:name w:val="ListLabel 50"/>
    <w:rsid w:val="00092060"/>
    <w:rPr>
      <w:rFonts w:cs="Courier New"/>
    </w:rPr>
  </w:style>
  <w:style w:type="character" w:customStyle="1" w:styleId="ListLabel51">
    <w:name w:val="ListLabel 51"/>
    <w:rsid w:val="00092060"/>
    <w:rPr>
      <w:rFonts w:cs="Wingdings"/>
    </w:rPr>
  </w:style>
  <w:style w:type="character" w:customStyle="1" w:styleId="ListLabel52">
    <w:name w:val="ListLabel 52"/>
    <w:rsid w:val="00092060"/>
    <w:rPr>
      <w:rFonts w:cs="Symbol"/>
    </w:rPr>
  </w:style>
  <w:style w:type="character" w:customStyle="1" w:styleId="ListLabel53">
    <w:name w:val="ListLabel 53"/>
    <w:rsid w:val="00092060"/>
    <w:rPr>
      <w:rFonts w:cs="Courier New"/>
    </w:rPr>
  </w:style>
  <w:style w:type="character" w:customStyle="1" w:styleId="ListLabel54">
    <w:name w:val="ListLabel 54"/>
    <w:rsid w:val="00092060"/>
    <w:rPr>
      <w:rFonts w:cs="Wingdings"/>
    </w:rPr>
  </w:style>
  <w:style w:type="character" w:customStyle="1" w:styleId="ListLabel37">
    <w:name w:val="ListLabel 37"/>
    <w:rsid w:val="00092060"/>
    <w:rPr>
      <w:rFonts w:ascii="Open Sans" w:hAnsi="Open Sans" w:cs="Symbol"/>
      <w:sz w:val="20"/>
    </w:rPr>
  </w:style>
  <w:style w:type="character" w:customStyle="1" w:styleId="ListLabel38">
    <w:name w:val="ListLabel 38"/>
    <w:rsid w:val="00092060"/>
    <w:rPr>
      <w:rFonts w:cs="Courier New"/>
    </w:rPr>
  </w:style>
  <w:style w:type="character" w:customStyle="1" w:styleId="ListLabel39">
    <w:name w:val="ListLabel 39"/>
    <w:rsid w:val="00092060"/>
    <w:rPr>
      <w:rFonts w:cs="Wingdings"/>
    </w:rPr>
  </w:style>
  <w:style w:type="character" w:customStyle="1" w:styleId="ListLabel40">
    <w:name w:val="ListLabel 40"/>
    <w:rsid w:val="00092060"/>
    <w:rPr>
      <w:rFonts w:cs="Symbol"/>
    </w:rPr>
  </w:style>
  <w:style w:type="character" w:customStyle="1" w:styleId="ListLabel41">
    <w:name w:val="ListLabel 41"/>
    <w:rsid w:val="00092060"/>
    <w:rPr>
      <w:rFonts w:cs="Courier New"/>
    </w:rPr>
  </w:style>
  <w:style w:type="character" w:customStyle="1" w:styleId="ListLabel42">
    <w:name w:val="ListLabel 42"/>
    <w:rsid w:val="00092060"/>
    <w:rPr>
      <w:rFonts w:cs="Wingdings"/>
    </w:rPr>
  </w:style>
  <w:style w:type="character" w:customStyle="1" w:styleId="ListLabel43">
    <w:name w:val="ListLabel 43"/>
    <w:rsid w:val="00092060"/>
    <w:rPr>
      <w:rFonts w:cs="Symbol"/>
    </w:rPr>
  </w:style>
  <w:style w:type="character" w:customStyle="1" w:styleId="ListLabel44">
    <w:name w:val="ListLabel 44"/>
    <w:rsid w:val="00092060"/>
    <w:rPr>
      <w:rFonts w:cs="Courier New"/>
    </w:rPr>
  </w:style>
  <w:style w:type="character" w:customStyle="1" w:styleId="ListLabel45">
    <w:name w:val="ListLabel 45"/>
    <w:rsid w:val="00092060"/>
    <w:rPr>
      <w:rFonts w:cs="Wingdings"/>
    </w:rPr>
  </w:style>
  <w:style w:type="character" w:customStyle="1" w:styleId="ListLabel55">
    <w:name w:val="ListLabel 55"/>
    <w:rsid w:val="00092060"/>
    <w:rPr>
      <w:rFonts w:ascii="Open Sans" w:hAnsi="Open Sans" w:cs="Symbol"/>
      <w:sz w:val="20"/>
    </w:rPr>
  </w:style>
  <w:style w:type="character" w:customStyle="1" w:styleId="ListLabel56">
    <w:name w:val="ListLabel 56"/>
    <w:rsid w:val="00092060"/>
    <w:rPr>
      <w:rFonts w:cs="Courier New"/>
    </w:rPr>
  </w:style>
  <w:style w:type="character" w:customStyle="1" w:styleId="ListLabel57">
    <w:name w:val="ListLabel 57"/>
    <w:rsid w:val="00092060"/>
    <w:rPr>
      <w:rFonts w:cs="Wingdings"/>
    </w:rPr>
  </w:style>
  <w:style w:type="character" w:customStyle="1" w:styleId="ListLabel58">
    <w:name w:val="ListLabel 58"/>
    <w:rsid w:val="00092060"/>
    <w:rPr>
      <w:rFonts w:cs="Symbol"/>
    </w:rPr>
  </w:style>
  <w:style w:type="character" w:customStyle="1" w:styleId="ListLabel59">
    <w:name w:val="ListLabel 59"/>
    <w:rsid w:val="00092060"/>
    <w:rPr>
      <w:rFonts w:cs="Courier New"/>
    </w:rPr>
  </w:style>
  <w:style w:type="character" w:customStyle="1" w:styleId="ListLabel60">
    <w:name w:val="ListLabel 60"/>
    <w:rsid w:val="00092060"/>
    <w:rPr>
      <w:rFonts w:cs="Wingdings"/>
    </w:rPr>
  </w:style>
  <w:style w:type="character" w:customStyle="1" w:styleId="ListLabel61">
    <w:name w:val="ListLabel 61"/>
    <w:rsid w:val="00092060"/>
    <w:rPr>
      <w:rFonts w:cs="Symbol"/>
    </w:rPr>
  </w:style>
  <w:style w:type="character" w:customStyle="1" w:styleId="ListLabel62">
    <w:name w:val="ListLabel 62"/>
    <w:rsid w:val="00092060"/>
    <w:rPr>
      <w:rFonts w:cs="Courier New"/>
    </w:rPr>
  </w:style>
  <w:style w:type="character" w:customStyle="1" w:styleId="ListLabel63">
    <w:name w:val="ListLabel 63"/>
    <w:rsid w:val="00092060"/>
    <w:rPr>
      <w:rFonts w:cs="Wingdings"/>
    </w:rPr>
  </w:style>
  <w:style w:type="character" w:customStyle="1" w:styleId="ListLabel64">
    <w:name w:val="ListLabel 64"/>
    <w:rsid w:val="00092060"/>
    <w:rPr>
      <w:rFonts w:ascii="Open Sans" w:hAnsi="Open Sans" w:cs="Symbol"/>
      <w:sz w:val="20"/>
    </w:rPr>
  </w:style>
  <w:style w:type="character" w:customStyle="1" w:styleId="ListLabel65">
    <w:name w:val="ListLabel 65"/>
    <w:rsid w:val="00092060"/>
    <w:rPr>
      <w:rFonts w:cs="Courier New"/>
    </w:rPr>
  </w:style>
  <w:style w:type="character" w:customStyle="1" w:styleId="ListLabel66">
    <w:name w:val="ListLabel 66"/>
    <w:rsid w:val="00092060"/>
    <w:rPr>
      <w:rFonts w:cs="Wingdings"/>
    </w:rPr>
  </w:style>
  <w:style w:type="character" w:customStyle="1" w:styleId="ListLabel67">
    <w:name w:val="ListLabel 67"/>
    <w:rsid w:val="00092060"/>
    <w:rPr>
      <w:rFonts w:cs="Symbol"/>
    </w:rPr>
  </w:style>
  <w:style w:type="character" w:customStyle="1" w:styleId="ListLabel68">
    <w:name w:val="ListLabel 68"/>
    <w:rsid w:val="00092060"/>
    <w:rPr>
      <w:rFonts w:cs="Courier New"/>
    </w:rPr>
  </w:style>
  <w:style w:type="character" w:customStyle="1" w:styleId="ListLabel69">
    <w:name w:val="ListLabel 69"/>
    <w:rsid w:val="00092060"/>
    <w:rPr>
      <w:rFonts w:cs="Wingdings"/>
    </w:rPr>
  </w:style>
  <w:style w:type="character" w:customStyle="1" w:styleId="ListLabel70">
    <w:name w:val="ListLabel 70"/>
    <w:rsid w:val="00092060"/>
    <w:rPr>
      <w:rFonts w:cs="Symbol"/>
    </w:rPr>
  </w:style>
  <w:style w:type="character" w:customStyle="1" w:styleId="ListLabel71">
    <w:name w:val="ListLabel 71"/>
    <w:rsid w:val="00092060"/>
    <w:rPr>
      <w:rFonts w:cs="Courier New"/>
    </w:rPr>
  </w:style>
  <w:style w:type="character" w:customStyle="1" w:styleId="ListLabel72">
    <w:name w:val="ListLabel 72"/>
    <w:rsid w:val="00092060"/>
    <w:rPr>
      <w:rFonts w:cs="Wingdings"/>
    </w:rPr>
  </w:style>
  <w:style w:type="character" w:customStyle="1" w:styleId="Vietas">
    <w:name w:val="Viñetas"/>
    <w:rsid w:val="00092060"/>
    <w:rPr>
      <w:rFonts w:ascii="OpenSymbol" w:eastAsia="OpenSymbol" w:hAnsi="OpenSymbol" w:cs="OpenSymbol"/>
    </w:rPr>
  </w:style>
  <w:style w:type="paragraph" w:customStyle="1" w:styleId="Epgrafe1">
    <w:name w:val="Epígrafe1"/>
    <w:basedOn w:val="Normal"/>
    <w:qFormat/>
    <w:rsid w:val="00092060"/>
    <w:pPr>
      <w:suppressLineNumbers/>
      <w:suppressAutoHyphens/>
      <w:spacing w:before="120" w:after="120"/>
    </w:pPr>
    <w:rPr>
      <w:rFonts w:ascii="Times New Roman" w:eastAsia="Times New Roman" w:hAnsi="Times New Roman" w:cs="Lucida Sans"/>
      <w:i/>
      <w:iCs/>
      <w:lang w:val="es-ES" w:eastAsia="zh-CN"/>
    </w:rPr>
  </w:style>
  <w:style w:type="paragraph" w:customStyle="1" w:styleId="Pa203">
    <w:name w:val="Pa20+3"/>
    <w:basedOn w:val="Default"/>
    <w:rsid w:val="00092060"/>
    <w:pPr>
      <w:suppressAutoHyphens/>
      <w:autoSpaceDN/>
      <w:adjustRightInd/>
      <w:spacing w:line="175" w:lineRule="atLeast"/>
    </w:pPr>
    <w:rPr>
      <w:rFonts w:ascii="Arial" w:hAnsi="Arial" w:cs="Arial"/>
      <w:lang w:eastAsia="zh-CN"/>
    </w:rPr>
  </w:style>
  <w:style w:type="paragraph" w:customStyle="1" w:styleId="Pa204">
    <w:name w:val="Pa20+4"/>
    <w:basedOn w:val="Default"/>
    <w:rsid w:val="00092060"/>
    <w:pPr>
      <w:suppressAutoHyphens/>
      <w:autoSpaceDN/>
      <w:adjustRightInd/>
      <w:spacing w:line="175" w:lineRule="atLeast"/>
    </w:pPr>
    <w:rPr>
      <w:rFonts w:ascii="Arial" w:hAnsi="Arial" w:cs="Arial"/>
      <w:lang w:eastAsia="zh-CN"/>
    </w:rPr>
  </w:style>
  <w:style w:type="paragraph" w:customStyle="1" w:styleId="Pa324">
    <w:name w:val="Pa32+4"/>
    <w:basedOn w:val="Default"/>
    <w:rsid w:val="00092060"/>
    <w:pPr>
      <w:suppressAutoHyphens/>
      <w:autoSpaceDN/>
      <w:adjustRightInd/>
      <w:spacing w:line="251" w:lineRule="atLeast"/>
    </w:pPr>
    <w:rPr>
      <w:rFonts w:ascii="Arial" w:hAnsi="Arial" w:cs="Arial"/>
      <w:lang w:eastAsia="zh-CN"/>
    </w:rPr>
  </w:style>
  <w:style w:type="paragraph" w:customStyle="1" w:styleId="Pa16">
    <w:name w:val="Pa16"/>
    <w:basedOn w:val="Default"/>
    <w:next w:val="Default"/>
    <w:uiPriority w:val="99"/>
    <w:rsid w:val="00473ED5"/>
    <w:pPr>
      <w:widowControl w:val="0"/>
      <w:spacing w:line="181" w:lineRule="atLeast"/>
    </w:pPr>
    <w:rPr>
      <w:rFonts w:ascii="Telefonica" w:eastAsiaTheme="minorEastAsia" w:hAnsi="Telefonica"/>
      <w:color w:val="auto"/>
    </w:rPr>
  </w:style>
  <w:style w:type="paragraph" w:customStyle="1" w:styleId="Pa21">
    <w:name w:val="Pa21"/>
    <w:basedOn w:val="Default"/>
    <w:next w:val="Default"/>
    <w:uiPriority w:val="99"/>
    <w:rsid w:val="00473ED5"/>
    <w:pPr>
      <w:widowControl w:val="0"/>
      <w:spacing w:line="181" w:lineRule="atLeast"/>
    </w:pPr>
    <w:rPr>
      <w:rFonts w:ascii="Telefonica" w:eastAsiaTheme="minorEastAsia" w:hAnsi="Telefonica"/>
      <w:color w:val="auto"/>
    </w:rPr>
  </w:style>
  <w:style w:type="character" w:customStyle="1" w:styleId="A8">
    <w:name w:val="A8"/>
    <w:uiPriority w:val="99"/>
    <w:rsid w:val="00473ED5"/>
    <w:rPr>
      <w:rFonts w:ascii="Telefonica" w:hAnsi="Telefonica" w:cs="Telefonica"/>
      <w:color w:val="000000"/>
      <w:sz w:val="18"/>
      <w:szCs w:val="18"/>
    </w:rPr>
  </w:style>
  <w:style w:type="character" w:customStyle="1" w:styleId="A10">
    <w:name w:val="A10"/>
    <w:uiPriority w:val="99"/>
    <w:rsid w:val="00473ED5"/>
    <w:rPr>
      <w:rFonts w:cs="Telefonica Light"/>
      <w:color w:val="000000"/>
      <w:sz w:val="50"/>
      <w:szCs w:val="50"/>
    </w:rPr>
  </w:style>
  <w:style w:type="character" w:customStyle="1" w:styleId="A12">
    <w:name w:val="A12"/>
    <w:uiPriority w:val="99"/>
    <w:rsid w:val="00473ED5"/>
    <w:rPr>
      <w:rFonts w:cs="Telefonica"/>
      <w:color w:val="000000"/>
      <w:sz w:val="13"/>
      <w:szCs w:val="13"/>
    </w:rPr>
  </w:style>
  <w:style w:type="paragraph" w:customStyle="1" w:styleId="Pa8">
    <w:name w:val="Pa8"/>
    <w:basedOn w:val="Default"/>
    <w:next w:val="Default"/>
    <w:uiPriority w:val="99"/>
    <w:rsid w:val="00C52EA4"/>
    <w:pPr>
      <w:widowControl w:val="0"/>
      <w:spacing w:line="221" w:lineRule="atLeast"/>
    </w:pPr>
    <w:rPr>
      <w:rFonts w:ascii="Gill Sans" w:eastAsia="Calibri" w:hAnsi="Gill Sans"/>
      <w:color w:val="auto"/>
    </w:rPr>
  </w:style>
  <w:style w:type="paragraph" w:customStyle="1" w:styleId="Pa7">
    <w:name w:val="Pa7"/>
    <w:basedOn w:val="Default"/>
    <w:next w:val="Default"/>
    <w:uiPriority w:val="99"/>
    <w:rsid w:val="00C52EA4"/>
    <w:pPr>
      <w:widowControl w:val="0"/>
      <w:spacing w:line="221" w:lineRule="atLeast"/>
    </w:pPr>
    <w:rPr>
      <w:rFonts w:ascii="Gill Sans" w:eastAsia="Calibri" w:hAnsi="Gill Sans"/>
      <w:color w:val="auto"/>
    </w:rPr>
  </w:style>
  <w:style w:type="paragraph" w:customStyle="1" w:styleId="parrafo">
    <w:name w:val="parrafo"/>
    <w:basedOn w:val="Normal"/>
    <w:rsid w:val="007A63BA"/>
    <w:pPr>
      <w:spacing w:before="100" w:beforeAutospacing="1" w:after="100" w:afterAutospacing="1"/>
    </w:pPr>
    <w:rPr>
      <w:rFonts w:ascii="Times New Roman" w:eastAsia="Times New Roman" w:hAnsi="Times New Roman" w:cs="Times New Roman"/>
      <w:lang w:val="es-ES"/>
    </w:rPr>
  </w:style>
  <w:style w:type="paragraph" w:customStyle="1" w:styleId="Listamediana2-nfasis41">
    <w:name w:val="Lista mediana 2 - Énfasis 41"/>
    <w:basedOn w:val="Normal"/>
    <w:uiPriority w:val="34"/>
    <w:qFormat/>
    <w:rsid w:val="00BA0792"/>
    <w:pPr>
      <w:ind w:left="720"/>
      <w:contextualSpacing/>
    </w:pPr>
    <w:rPr>
      <w:rFonts w:ascii="Times New Roman" w:eastAsia="Times New Roman" w:hAnsi="Times New Roman" w:cs="Times New Roman"/>
      <w:lang w:val="es-ES"/>
    </w:rPr>
  </w:style>
  <w:style w:type="paragraph" w:customStyle="1" w:styleId="Sombreadomulticolor-nfasis31">
    <w:name w:val="Sombreado multicolor - Énfasis 31"/>
    <w:basedOn w:val="Normal"/>
    <w:uiPriority w:val="72"/>
    <w:qFormat/>
    <w:rsid w:val="00BA0792"/>
    <w:pPr>
      <w:ind w:left="708"/>
    </w:pPr>
    <w:rPr>
      <w:rFonts w:ascii="Times New Roman" w:eastAsia="Times New Roman" w:hAnsi="Times New Roman" w:cs="Times New Roman"/>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uiPriority="0" w:qFormat="1"/>
    <w:lsdException w:name="caption" w:uiPriority="0" w:qFormat="1"/>
    <w:lsdException w:name="page number" w:uiPriority="0"/>
    <w:lsdException w:name="endnote reference" w:uiPriority="0"/>
    <w:lsdException w:name="List" w:uiPriority="0"/>
    <w:lsdException w:name="List Bullet 2" w:uiPriority="0"/>
    <w:lsdException w:name="Title" w:semiHidden="0" w:uiPriority="10" w:unhideWhenUsed="0" w:qFormat="1"/>
    <w:lsdException w:name="Default Paragraph Font" w:uiPriority="1"/>
    <w:lsdException w:name="Body Text" w:uiPriority="0"/>
    <w:lsdException w:name="Body Text Indent" w:uiPriority="0"/>
    <w:lsdException w:name="List Continue" w:uiPriority="0"/>
    <w:lsdException w:name="Subtitle" w:semiHidden="0" w:uiPriority="11" w:unhideWhenUsed="0" w:qFormat="1"/>
    <w:lsdException w:name="Body Text 3" w:uiPriority="0"/>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71"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67" w:unhideWhenUsed="0" w:qFormat="1"/>
    <w:lsdException w:name="Intense Reference" w:semiHidden="0" w:uiPriority="68"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7FAF"/>
  </w:style>
  <w:style w:type="paragraph" w:styleId="Ttulo1">
    <w:name w:val="heading 1"/>
    <w:basedOn w:val="Citadestacada"/>
    <w:next w:val="Normal"/>
    <w:link w:val="Ttulo1Car"/>
    <w:uiPriority w:val="9"/>
    <w:qFormat/>
    <w:rsid w:val="00D67FAF"/>
    <w:pPr>
      <w:keepNext/>
      <w:tabs>
        <w:tab w:val="left" w:pos="8498"/>
      </w:tabs>
      <w:spacing w:before="240" w:after="60"/>
      <w:ind w:left="0"/>
      <w:outlineLvl w:val="0"/>
    </w:pPr>
    <w:rPr>
      <w:rFonts w:ascii="Arial" w:eastAsiaTheme="majorEastAsia" w:hAnsi="Arial" w:cs="Arial"/>
      <w:bCs w:val="0"/>
      <w:i w:val="0"/>
      <w:iCs w:val="0"/>
      <w:color w:val="auto"/>
      <w:kern w:val="32"/>
      <w:sz w:val="32"/>
      <w:szCs w:val="32"/>
      <w:lang w:val="es-ES" w:eastAsia="ar-SA"/>
    </w:rPr>
  </w:style>
  <w:style w:type="paragraph" w:styleId="Ttulo2">
    <w:name w:val="heading 2"/>
    <w:basedOn w:val="Encabezado"/>
    <w:next w:val="Textoindependiente"/>
    <w:link w:val="Ttulo2Car"/>
    <w:uiPriority w:val="9"/>
    <w:qFormat/>
    <w:rsid w:val="00D67FAF"/>
    <w:pPr>
      <w:keepNext/>
      <w:widowControl w:val="0"/>
      <w:tabs>
        <w:tab w:val="clear" w:pos="4252"/>
        <w:tab w:val="clear" w:pos="8504"/>
      </w:tabs>
      <w:suppressAutoHyphens/>
      <w:overflowPunct w:val="0"/>
      <w:autoSpaceDE w:val="0"/>
      <w:autoSpaceDN w:val="0"/>
      <w:adjustRightInd w:val="0"/>
      <w:spacing w:before="240" w:after="120"/>
      <w:textAlignment w:val="baseline"/>
      <w:outlineLvl w:val="1"/>
    </w:pPr>
    <w:rPr>
      <w:rFonts w:ascii="Times New Roman" w:eastAsia="Times New Roman" w:hAnsi="Times New Roman" w:cs="Times New Roman"/>
      <w:b/>
      <w:kern w:val="1"/>
      <w:sz w:val="36"/>
      <w:szCs w:val="20"/>
      <w:lang w:val="es-ES"/>
    </w:rPr>
  </w:style>
  <w:style w:type="paragraph" w:styleId="Ttulo3">
    <w:name w:val="heading 3"/>
    <w:basedOn w:val="Normal"/>
    <w:link w:val="Ttulo3Car"/>
    <w:uiPriority w:val="9"/>
    <w:qFormat/>
    <w:rsid w:val="00D67FAF"/>
    <w:pPr>
      <w:spacing w:before="100" w:beforeAutospacing="1" w:after="100" w:afterAutospacing="1" w:line="300" w:lineRule="atLeast"/>
      <w:outlineLvl w:val="2"/>
    </w:pPr>
    <w:rPr>
      <w:rFonts w:ascii="Arial" w:eastAsia="Times New Roman" w:hAnsi="Arial" w:cs="Times New Roman"/>
      <w:color w:val="1A507F"/>
      <w:lang w:val="es-ES"/>
    </w:rPr>
  </w:style>
  <w:style w:type="paragraph" w:styleId="Ttulo4">
    <w:name w:val="heading 4"/>
    <w:basedOn w:val="Normal"/>
    <w:next w:val="Normal"/>
    <w:link w:val="Ttulo4Car"/>
    <w:uiPriority w:val="9"/>
    <w:semiHidden/>
    <w:unhideWhenUsed/>
    <w:qFormat/>
    <w:rsid w:val="003A7FCB"/>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1"/>
    <w:next w:val="Normal1"/>
    <w:link w:val="Ttulo5Car"/>
    <w:uiPriority w:val="9"/>
    <w:semiHidden/>
    <w:unhideWhenUsed/>
    <w:qFormat/>
    <w:rsid w:val="00D20B2B"/>
    <w:pPr>
      <w:keepNext/>
      <w:keepLines/>
      <w:spacing w:before="200"/>
      <w:outlineLvl w:val="4"/>
    </w:pPr>
    <w:rPr>
      <w:rFonts w:asciiTheme="majorHAnsi" w:eastAsiaTheme="majorEastAsia" w:hAnsiTheme="majorHAnsi" w:cstheme="majorBidi"/>
      <w:color w:val="243F60" w:themeColor="accent1" w:themeShade="7F"/>
      <w:szCs w:val="24"/>
      <w:lang w:val="es-ES_tradnl"/>
    </w:rPr>
  </w:style>
  <w:style w:type="paragraph" w:styleId="Ttulo6">
    <w:name w:val="heading 6"/>
    <w:basedOn w:val="Normal1"/>
    <w:next w:val="Normal1"/>
    <w:link w:val="Ttulo6Car"/>
    <w:uiPriority w:val="9"/>
    <w:semiHidden/>
    <w:unhideWhenUsed/>
    <w:qFormat/>
    <w:rsid w:val="00D20B2B"/>
    <w:pPr>
      <w:keepNext/>
      <w:keepLines/>
      <w:spacing w:before="200"/>
      <w:outlineLvl w:val="5"/>
    </w:pPr>
    <w:rPr>
      <w:rFonts w:asciiTheme="majorHAnsi" w:eastAsiaTheme="majorEastAsia" w:hAnsiTheme="majorHAnsi" w:cstheme="majorBidi"/>
      <w:i/>
      <w:iCs/>
      <w:color w:val="243F60" w:themeColor="accent1" w:themeShade="7F"/>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Citadestacada">
    <w:name w:val="Intense Quote"/>
    <w:basedOn w:val="Normal"/>
    <w:next w:val="Normal"/>
    <w:link w:val="CitadestacadaCar"/>
    <w:autoRedefine/>
    <w:uiPriority w:val="30"/>
    <w:qFormat/>
    <w:rsid w:val="00D67FAF"/>
    <w:pPr>
      <w:pBdr>
        <w:bottom w:val="single" w:sz="4" w:space="4" w:color="4F81BD" w:themeColor="accent1"/>
      </w:pBdr>
      <w:spacing w:before="200" w:after="280"/>
      <w:ind w:left="936" w:right="936"/>
    </w:pPr>
    <w:rPr>
      <w:rFonts w:asciiTheme="majorHAnsi" w:hAnsiTheme="majorHAnsi"/>
      <w:b/>
      <w:bCs/>
      <w:i/>
      <w:iCs/>
      <w:color w:val="000090"/>
      <w:sz w:val="36"/>
    </w:rPr>
  </w:style>
  <w:style w:type="character" w:customStyle="1" w:styleId="CitadestacadaCar">
    <w:name w:val="Cita destacada Car"/>
    <w:basedOn w:val="Fuentedeprrafopredeter"/>
    <w:link w:val="Citadestacada"/>
    <w:uiPriority w:val="30"/>
    <w:rsid w:val="00D67FAF"/>
    <w:rPr>
      <w:rFonts w:asciiTheme="majorHAnsi" w:hAnsiTheme="majorHAnsi"/>
      <w:b/>
      <w:bCs/>
      <w:i/>
      <w:iCs/>
      <w:color w:val="000090"/>
      <w:sz w:val="36"/>
    </w:rPr>
  </w:style>
  <w:style w:type="character" w:customStyle="1" w:styleId="Ttulo1Car">
    <w:name w:val="Título 1 Car"/>
    <w:basedOn w:val="Fuentedeprrafopredeter"/>
    <w:link w:val="Ttulo1"/>
    <w:uiPriority w:val="9"/>
    <w:rsid w:val="00D67FAF"/>
    <w:rPr>
      <w:rFonts w:ascii="Arial" w:eastAsiaTheme="majorEastAsia" w:hAnsi="Arial" w:cs="Arial"/>
      <w:b/>
      <w:kern w:val="32"/>
      <w:sz w:val="32"/>
      <w:szCs w:val="32"/>
      <w:lang w:val="es-ES" w:eastAsia="ar-SA"/>
    </w:rPr>
  </w:style>
  <w:style w:type="paragraph" w:styleId="Encabezado">
    <w:name w:val="header"/>
    <w:basedOn w:val="Normal"/>
    <w:link w:val="EncabezadoCar"/>
    <w:uiPriority w:val="99"/>
    <w:unhideWhenUsed/>
    <w:rsid w:val="00980726"/>
    <w:pPr>
      <w:tabs>
        <w:tab w:val="center" w:pos="4252"/>
        <w:tab w:val="right" w:pos="8504"/>
      </w:tabs>
    </w:pPr>
  </w:style>
  <w:style w:type="character" w:customStyle="1" w:styleId="EncabezadoCar">
    <w:name w:val="Encabezado Car"/>
    <w:basedOn w:val="Fuentedeprrafopredeter"/>
    <w:link w:val="Encabezado"/>
    <w:uiPriority w:val="99"/>
    <w:rsid w:val="00980726"/>
  </w:style>
  <w:style w:type="paragraph" w:styleId="Textoindependiente">
    <w:name w:val="Body Text"/>
    <w:basedOn w:val="Normal"/>
    <w:link w:val="TextoindependienteCar"/>
    <w:rsid w:val="000927AF"/>
    <w:pPr>
      <w:jc w:val="both"/>
    </w:pPr>
    <w:rPr>
      <w:rFonts w:ascii="Arial" w:eastAsia="Times New Roman" w:hAnsi="Arial" w:cs="Arial"/>
      <w:sz w:val="20"/>
      <w:szCs w:val="20"/>
      <w:lang w:val="es-ES"/>
    </w:rPr>
  </w:style>
  <w:style w:type="character" w:customStyle="1" w:styleId="TextoindependienteCar">
    <w:name w:val="Texto independiente Car"/>
    <w:basedOn w:val="Fuentedeprrafopredeter"/>
    <w:link w:val="Textoindependiente"/>
    <w:rsid w:val="000927AF"/>
    <w:rPr>
      <w:rFonts w:ascii="Arial" w:eastAsia="Times New Roman" w:hAnsi="Arial" w:cs="Arial"/>
      <w:sz w:val="20"/>
      <w:szCs w:val="20"/>
      <w:lang w:val="es-ES"/>
    </w:rPr>
  </w:style>
  <w:style w:type="character" w:customStyle="1" w:styleId="Ttulo2Car">
    <w:name w:val="Título 2 Car"/>
    <w:basedOn w:val="Fuentedeprrafopredeter"/>
    <w:link w:val="Ttulo2"/>
    <w:uiPriority w:val="9"/>
    <w:rsid w:val="00D67FAF"/>
    <w:rPr>
      <w:rFonts w:ascii="Times New Roman" w:eastAsia="Times New Roman" w:hAnsi="Times New Roman" w:cs="Times New Roman"/>
      <w:b/>
      <w:kern w:val="1"/>
      <w:sz w:val="36"/>
      <w:szCs w:val="20"/>
      <w:lang w:val="es-ES"/>
    </w:rPr>
  </w:style>
  <w:style w:type="character" w:customStyle="1" w:styleId="Ttulo3Car">
    <w:name w:val="Título 3 Car"/>
    <w:basedOn w:val="Fuentedeprrafopredeter"/>
    <w:link w:val="Ttulo3"/>
    <w:uiPriority w:val="9"/>
    <w:rsid w:val="00D67FAF"/>
    <w:rPr>
      <w:rFonts w:ascii="Arial" w:eastAsia="Times New Roman" w:hAnsi="Arial" w:cs="Times New Roman"/>
      <w:color w:val="1A507F"/>
      <w:lang w:val="es-ES"/>
    </w:rPr>
  </w:style>
  <w:style w:type="character" w:styleId="nfasis">
    <w:name w:val="Emphasis"/>
    <w:basedOn w:val="Fuentedeprrafopredeter"/>
    <w:uiPriority w:val="20"/>
    <w:qFormat/>
    <w:rsid w:val="00D67FAF"/>
    <w:rPr>
      <w:i w:val="0"/>
      <w:iCs/>
    </w:rPr>
  </w:style>
  <w:style w:type="character" w:styleId="nfasisintenso">
    <w:name w:val="Intense Emphasis"/>
    <w:basedOn w:val="Fuentedeprrafopredeter"/>
    <w:uiPriority w:val="21"/>
    <w:qFormat/>
    <w:rsid w:val="00D67FAF"/>
    <w:rPr>
      <w:rFonts w:asciiTheme="majorHAnsi" w:hAnsiTheme="majorHAnsi"/>
      <w:b/>
      <w:bCs/>
      <w:i w:val="0"/>
      <w:iCs/>
      <w:color w:val="000090"/>
      <w:sz w:val="40"/>
    </w:rPr>
  </w:style>
  <w:style w:type="paragraph" w:styleId="Textodeglobo">
    <w:name w:val="Balloon Text"/>
    <w:basedOn w:val="Normal"/>
    <w:link w:val="TextodegloboCar"/>
    <w:uiPriority w:val="99"/>
    <w:unhideWhenUsed/>
    <w:rsid w:val="001643AE"/>
    <w:rPr>
      <w:rFonts w:ascii="Lucida Grande" w:hAnsi="Lucida Grande" w:cs="Lucida Grande"/>
      <w:sz w:val="18"/>
      <w:szCs w:val="18"/>
    </w:rPr>
  </w:style>
  <w:style w:type="character" w:customStyle="1" w:styleId="TextodegloboCar">
    <w:name w:val="Texto de globo Car"/>
    <w:basedOn w:val="Fuentedeprrafopredeter"/>
    <w:link w:val="Textodeglobo"/>
    <w:uiPriority w:val="99"/>
    <w:rsid w:val="001643AE"/>
    <w:rPr>
      <w:rFonts w:ascii="Lucida Grande" w:hAnsi="Lucida Grande" w:cs="Lucida Grande"/>
      <w:sz w:val="18"/>
      <w:szCs w:val="18"/>
    </w:rPr>
  </w:style>
  <w:style w:type="character" w:styleId="Hipervnculo">
    <w:name w:val="Hyperlink"/>
    <w:basedOn w:val="Fuentedeprrafopredeter"/>
    <w:uiPriority w:val="99"/>
    <w:rsid w:val="00796E71"/>
    <w:rPr>
      <w:rFonts w:cs="Times New Roman"/>
      <w:color w:val="0000FF"/>
      <w:u w:val="single"/>
    </w:rPr>
  </w:style>
  <w:style w:type="paragraph" w:styleId="Piedepgina">
    <w:name w:val="footer"/>
    <w:basedOn w:val="Normal"/>
    <w:link w:val="PiedepginaCar"/>
    <w:unhideWhenUsed/>
    <w:qFormat/>
    <w:rsid w:val="00D67FAF"/>
    <w:pPr>
      <w:tabs>
        <w:tab w:val="center" w:pos="4252"/>
        <w:tab w:val="right" w:pos="8504"/>
      </w:tabs>
    </w:pPr>
  </w:style>
  <w:style w:type="character" w:customStyle="1" w:styleId="PiedepginaCar">
    <w:name w:val="Pie de página Car"/>
    <w:basedOn w:val="Fuentedeprrafopredeter"/>
    <w:link w:val="Piedepgina"/>
    <w:rsid w:val="00D67FAF"/>
  </w:style>
  <w:style w:type="character" w:styleId="Nmerodepgina">
    <w:name w:val="page number"/>
    <w:basedOn w:val="Fuentedeprrafopredeter"/>
    <w:rsid w:val="005E72A0"/>
    <w:rPr>
      <w:rFonts w:cs="Times New Roman"/>
    </w:rPr>
  </w:style>
  <w:style w:type="paragraph" w:styleId="TtulodeTDC">
    <w:name w:val="TOC Heading"/>
    <w:basedOn w:val="Ttulo1"/>
    <w:next w:val="Normal"/>
    <w:uiPriority w:val="39"/>
    <w:unhideWhenUsed/>
    <w:qFormat/>
    <w:rsid w:val="00D67FAF"/>
    <w:pPr>
      <w:keepLines/>
      <w:pBdr>
        <w:bottom w:val="none" w:sz="0" w:space="0" w:color="auto"/>
      </w:pBdr>
      <w:spacing w:before="480" w:after="0" w:line="276" w:lineRule="auto"/>
      <w:ind w:right="0"/>
      <w:outlineLvl w:val="9"/>
    </w:pPr>
    <w:rPr>
      <w:bCs/>
      <w:i/>
      <w:color w:val="365F91" w:themeColor="accent1" w:themeShade="BF"/>
      <w:kern w:val="0"/>
      <w:sz w:val="28"/>
      <w:szCs w:val="28"/>
    </w:rPr>
  </w:style>
  <w:style w:type="paragraph" w:styleId="TDC1">
    <w:name w:val="toc 1"/>
    <w:basedOn w:val="Normal"/>
    <w:next w:val="Normal"/>
    <w:autoRedefine/>
    <w:uiPriority w:val="39"/>
    <w:unhideWhenUsed/>
    <w:rsid w:val="00CE36E4"/>
    <w:pPr>
      <w:tabs>
        <w:tab w:val="right" w:leader="dot" w:pos="8488"/>
      </w:tabs>
      <w:spacing w:before="120"/>
    </w:pPr>
    <w:rPr>
      <w:rFonts w:asciiTheme="majorHAnsi" w:hAnsiTheme="majorHAnsi"/>
      <w:b/>
      <w:color w:val="548DD4"/>
    </w:rPr>
  </w:style>
  <w:style w:type="paragraph" w:styleId="TDC2">
    <w:name w:val="toc 2"/>
    <w:basedOn w:val="Normal"/>
    <w:next w:val="Normal"/>
    <w:autoRedefine/>
    <w:uiPriority w:val="39"/>
    <w:unhideWhenUsed/>
    <w:rsid w:val="003F0424"/>
    <w:rPr>
      <w:sz w:val="22"/>
      <w:szCs w:val="22"/>
    </w:rPr>
  </w:style>
  <w:style w:type="paragraph" w:styleId="TDC3">
    <w:name w:val="toc 3"/>
    <w:basedOn w:val="Normal"/>
    <w:next w:val="Normal"/>
    <w:autoRedefine/>
    <w:uiPriority w:val="39"/>
    <w:unhideWhenUsed/>
    <w:rsid w:val="003F0424"/>
    <w:pPr>
      <w:ind w:left="240"/>
    </w:pPr>
    <w:rPr>
      <w:i/>
      <w:sz w:val="22"/>
      <w:szCs w:val="22"/>
    </w:rPr>
  </w:style>
  <w:style w:type="paragraph" w:styleId="TDC4">
    <w:name w:val="toc 4"/>
    <w:basedOn w:val="Normal"/>
    <w:next w:val="Normal"/>
    <w:autoRedefine/>
    <w:uiPriority w:val="39"/>
    <w:semiHidden/>
    <w:unhideWhenUsed/>
    <w:rsid w:val="003F0424"/>
    <w:pPr>
      <w:pBdr>
        <w:between w:val="double" w:sz="6" w:space="0" w:color="auto"/>
      </w:pBdr>
      <w:ind w:left="480"/>
    </w:pPr>
    <w:rPr>
      <w:sz w:val="20"/>
      <w:szCs w:val="20"/>
    </w:rPr>
  </w:style>
  <w:style w:type="paragraph" w:styleId="TDC5">
    <w:name w:val="toc 5"/>
    <w:basedOn w:val="Normal"/>
    <w:next w:val="Normal"/>
    <w:autoRedefine/>
    <w:uiPriority w:val="39"/>
    <w:semiHidden/>
    <w:unhideWhenUsed/>
    <w:rsid w:val="003F0424"/>
    <w:pPr>
      <w:pBdr>
        <w:between w:val="double" w:sz="6" w:space="0" w:color="auto"/>
      </w:pBdr>
      <w:ind w:left="720"/>
    </w:pPr>
    <w:rPr>
      <w:sz w:val="20"/>
      <w:szCs w:val="20"/>
    </w:rPr>
  </w:style>
  <w:style w:type="paragraph" w:styleId="TDC6">
    <w:name w:val="toc 6"/>
    <w:basedOn w:val="Normal"/>
    <w:next w:val="Normal"/>
    <w:autoRedefine/>
    <w:uiPriority w:val="39"/>
    <w:semiHidden/>
    <w:unhideWhenUsed/>
    <w:rsid w:val="003F0424"/>
    <w:pPr>
      <w:pBdr>
        <w:between w:val="double" w:sz="6" w:space="0" w:color="auto"/>
      </w:pBdr>
      <w:ind w:left="960"/>
    </w:pPr>
    <w:rPr>
      <w:sz w:val="20"/>
      <w:szCs w:val="20"/>
    </w:rPr>
  </w:style>
  <w:style w:type="paragraph" w:styleId="TDC7">
    <w:name w:val="toc 7"/>
    <w:basedOn w:val="Normal"/>
    <w:next w:val="Normal"/>
    <w:autoRedefine/>
    <w:uiPriority w:val="39"/>
    <w:semiHidden/>
    <w:unhideWhenUsed/>
    <w:rsid w:val="003F0424"/>
    <w:pPr>
      <w:pBdr>
        <w:between w:val="double" w:sz="6" w:space="0" w:color="auto"/>
      </w:pBdr>
      <w:ind w:left="1200"/>
    </w:pPr>
    <w:rPr>
      <w:sz w:val="20"/>
      <w:szCs w:val="20"/>
    </w:rPr>
  </w:style>
  <w:style w:type="paragraph" w:styleId="TDC8">
    <w:name w:val="toc 8"/>
    <w:basedOn w:val="Normal"/>
    <w:next w:val="Normal"/>
    <w:autoRedefine/>
    <w:uiPriority w:val="39"/>
    <w:semiHidden/>
    <w:unhideWhenUsed/>
    <w:rsid w:val="003F0424"/>
    <w:pPr>
      <w:pBdr>
        <w:between w:val="double" w:sz="6" w:space="0" w:color="auto"/>
      </w:pBdr>
      <w:ind w:left="1440"/>
    </w:pPr>
    <w:rPr>
      <w:sz w:val="20"/>
      <w:szCs w:val="20"/>
    </w:rPr>
  </w:style>
  <w:style w:type="paragraph" w:styleId="TDC9">
    <w:name w:val="toc 9"/>
    <w:basedOn w:val="Normal"/>
    <w:next w:val="Normal"/>
    <w:autoRedefine/>
    <w:uiPriority w:val="39"/>
    <w:semiHidden/>
    <w:unhideWhenUsed/>
    <w:rsid w:val="003F0424"/>
    <w:pPr>
      <w:pBdr>
        <w:between w:val="double" w:sz="6" w:space="0" w:color="auto"/>
      </w:pBdr>
      <w:ind w:left="1680"/>
    </w:pPr>
    <w:rPr>
      <w:sz w:val="20"/>
      <w:szCs w:val="20"/>
    </w:rPr>
  </w:style>
  <w:style w:type="paragraph" w:styleId="Prrafodelista">
    <w:name w:val="List Paragraph"/>
    <w:basedOn w:val="Normal"/>
    <w:uiPriority w:val="34"/>
    <w:qFormat/>
    <w:rsid w:val="00D67FAF"/>
    <w:pPr>
      <w:ind w:left="720"/>
      <w:contextualSpacing/>
    </w:pPr>
  </w:style>
  <w:style w:type="paragraph" w:styleId="Textonotapie">
    <w:name w:val="footnote text"/>
    <w:aliases w:val="Texto nota pie Car Car Car,Texto nota pie Car Car Car Car Car,Texto nota pie Car Car Ca,Texto nota pie ERS"/>
    <w:basedOn w:val="Normal"/>
    <w:link w:val="TextonotapieCar"/>
    <w:uiPriority w:val="99"/>
    <w:qFormat/>
    <w:rsid w:val="006B7D2B"/>
    <w:rPr>
      <w:rFonts w:ascii="Times New Roman" w:eastAsia="Times New Roman" w:hAnsi="Times New Roman" w:cs="Times New Roman"/>
      <w:sz w:val="20"/>
      <w:szCs w:val="20"/>
      <w:lang w:val="es-ES"/>
    </w:rPr>
  </w:style>
  <w:style w:type="character" w:customStyle="1" w:styleId="TextonotapieCar">
    <w:name w:val="Texto nota pie Car"/>
    <w:aliases w:val="Texto nota pie Car Car Car Car,Texto nota pie Car Car Car Car Car Car,Texto nota pie Car Car Ca Car,Texto nota pie ERS Car"/>
    <w:basedOn w:val="Fuentedeprrafopredeter"/>
    <w:link w:val="Textonotapie"/>
    <w:uiPriority w:val="99"/>
    <w:rsid w:val="006B7D2B"/>
    <w:rPr>
      <w:rFonts w:ascii="Times New Roman" w:eastAsia="Times New Roman" w:hAnsi="Times New Roman" w:cs="Times New Roman"/>
      <w:sz w:val="20"/>
      <w:szCs w:val="20"/>
      <w:lang w:val="es-ES"/>
    </w:rPr>
  </w:style>
  <w:style w:type="character" w:styleId="Refdenotaalpie">
    <w:name w:val="footnote reference"/>
    <w:basedOn w:val="Fuentedeprrafopredeter"/>
    <w:uiPriority w:val="99"/>
    <w:rsid w:val="006B7D2B"/>
    <w:rPr>
      <w:vertAlign w:val="superscript"/>
    </w:rPr>
  </w:style>
  <w:style w:type="character" w:styleId="Textoennegrita">
    <w:name w:val="Strong"/>
    <w:basedOn w:val="Fuentedeprrafopredeter"/>
    <w:uiPriority w:val="22"/>
    <w:qFormat/>
    <w:rsid w:val="00D67FAF"/>
    <w:rPr>
      <w:b/>
      <w:bCs/>
    </w:rPr>
  </w:style>
  <w:style w:type="character" w:styleId="Hipervnculovisitado">
    <w:name w:val="FollowedHyperlink"/>
    <w:basedOn w:val="Fuentedeprrafopredeter"/>
    <w:uiPriority w:val="99"/>
    <w:unhideWhenUsed/>
    <w:rsid w:val="000927AF"/>
    <w:rPr>
      <w:color w:val="800080" w:themeColor="followedHyperlink"/>
      <w:u w:val="single"/>
    </w:rPr>
  </w:style>
  <w:style w:type="paragraph" w:customStyle="1" w:styleId="Default">
    <w:name w:val="Default"/>
    <w:qFormat/>
    <w:rsid w:val="000927AF"/>
    <w:pPr>
      <w:autoSpaceDE w:val="0"/>
      <w:autoSpaceDN w:val="0"/>
      <w:adjustRightInd w:val="0"/>
    </w:pPr>
    <w:rPr>
      <w:rFonts w:ascii="Garamond" w:eastAsia="Times New Roman" w:hAnsi="Garamond" w:cs="Times New Roman"/>
      <w:color w:val="000000"/>
      <w:lang w:val="es-ES"/>
    </w:rPr>
  </w:style>
  <w:style w:type="character" w:customStyle="1" w:styleId="titular">
    <w:name w:val="titular"/>
    <w:basedOn w:val="Fuentedeprrafopredeter"/>
    <w:rsid w:val="000927AF"/>
  </w:style>
  <w:style w:type="table" w:styleId="Tablaconcuadrcula">
    <w:name w:val="Table Grid"/>
    <w:basedOn w:val="Tablanormal"/>
    <w:uiPriority w:val="59"/>
    <w:rsid w:val="00027AB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A7746"/>
    <w:rPr>
      <w:rFonts w:ascii="Times New Roman" w:eastAsia="Times New Roman" w:hAnsi="Times New Roman" w:cs="Times New Roman"/>
      <w:lang w:val="es-ES"/>
    </w:rPr>
  </w:style>
  <w:style w:type="paragraph" w:customStyle="1" w:styleId="Pa212">
    <w:name w:val="Pa21++2"/>
    <w:basedOn w:val="Default"/>
    <w:next w:val="Default"/>
    <w:uiPriority w:val="99"/>
    <w:rsid w:val="0070434A"/>
    <w:pPr>
      <w:spacing w:line="201" w:lineRule="atLeast"/>
    </w:pPr>
    <w:rPr>
      <w:rFonts w:ascii="Bliss" w:eastAsia="Calibri" w:hAnsi="Bliss"/>
      <w:color w:val="auto"/>
    </w:rPr>
  </w:style>
  <w:style w:type="paragraph" w:customStyle="1" w:styleId="Cuadrculamedia1-nfasis21">
    <w:name w:val="Cuadrícula media 1 - Énfasis 21"/>
    <w:basedOn w:val="Normal"/>
    <w:uiPriority w:val="72"/>
    <w:qFormat/>
    <w:rsid w:val="00D67FAF"/>
    <w:pPr>
      <w:ind w:left="720"/>
      <w:contextualSpacing/>
    </w:pPr>
    <w:rPr>
      <w:rFonts w:ascii="Times New Roman" w:eastAsia="Times New Roman" w:hAnsi="Times New Roman" w:cs="Times New Roman"/>
      <w:lang w:val="es-ES"/>
    </w:rPr>
  </w:style>
  <w:style w:type="paragraph" w:customStyle="1" w:styleId="Listavistosa-nfasis11">
    <w:name w:val="Lista vistosa - Énfasis 11"/>
    <w:basedOn w:val="Normal"/>
    <w:uiPriority w:val="72"/>
    <w:qFormat/>
    <w:rsid w:val="00D67FAF"/>
    <w:pPr>
      <w:ind w:left="708"/>
    </w:pPr>
    <w:rPr>
      <w:rFonts w:ascii="Times New Roman" w:eastAsia="Times New Roman" w:hAnsi="Times New Roman" w:cs="Times New Roman"/>
      <w:lang w:val="es-ES"/>
    </w:rPr>
  </w:style>
  <w:style w:type="character" w:customStyle="1" w:styleId="TextocomentarioCar">
    <w:name w:val="Texto comentario Car"/>
    <w:basedOn w:val="Fuentedeprrafopredeter"/>
    <w:link w:val="Textocomentario"/>
    <w:uiPriority w:val="99"/>
    <w:rsid w:val="00FB0DF0"/>
    <w:rPr>
      <w:rFonts w:ascii="Times New Roman" w:eastAsia="Times New Roman" w:hAnsi="Times New Roman" w:cs="Times New Roman"/>
      <w:lang w:val="es-ES"/>
    </w:rPr>
  </w:style>
  <w:style w:type="paragraph" w:styleId="Textocomentario">
    <w:name w:val="annotation text"/>
    <w:basedOn w:val="Normal"/>
    <w:link w:val="TextocomentarioCar"/>
    <w:uiPriority w:val="99"/>
    <w:unhideWhenUsed/>
    <w:rsid w:val="00FB0DF0"/>
    <w:rPr>
      <w:rFonts w:ascii="Times New Roman" w:eastAsia="Times New Roman" w:hAnsi="Times New Roman" w:cs="Times New Roman"/>
      <w:lang w:val="es-ES"/>
    </w:rPr>
  </w:style>
  <w:style w:type="character" w:customStyle="1" w:styleId="AsuntodelcomentarioCar">
    <w:name w:val="Asunto del comentario Car"/>
    <w:basedOn w:val="TextocomentarioCar"/>
    <w:link w:val="Asuntodelcomentario"/>
    <w:uiPriority w:val="99"/>
    <w:rsid w:val="00FB0DF0"/>
    <w:rPr>
      <w:rFonts w:ascii="Times New Roman" w:eastAsia="Times New Roman" w:hAnsi="Times New Roman" w:cs="Times New Roman"/>
      <w:b/>
      <w:bCs/>
      <w:sz w:val="20"/>
      <w:szCs w:val="20"/>
      <w:lang w:val="es-ES"/>
    </w:rPr>
  </w:style>
  <w:style w:type="paragraph" w:styleId="Asuntodelcomentario">
    <w:name w:val="annotation subject"/>
    <w:basedOn w:val="Textocomentario"/>
    <w:next w:val="Textocomentario"/>
    <w:link w:val="AsuntodelcomentarioCar"/>
    <w:uiPriority w:val="99"/>
    <w:unhideWhenUsed/>
    <w:rsid w:val="00FB0DF0"/>
    <w:rPr>
      <w:b/>
      <w:bCs/>
      <w:sz w:val="20"/>
      <w:szCs w:val="20"/>
    </w:rPr>
  </w:style>
  <w:style w:type="character" w:customStyle="1" w:styleId="mediumtext">
    <w:name w:val="medium_text"/>
    <w:basedOn w:val="Fuentedeprrafopredeter"/>
    <w:rsid w:val="00F2665C"/>
  </w:style>
  <w:style w:type="character" w:customStyle="1" w:styleId="hps">
    <w:name w:val="hps"/>
    <w:basedOn w:val="Fuentedeprrafopredeter"/>
    <w:rsid w:val="00F2665C"/>
  </w:style>
  <w:style w:type="character" w:styleId="Refdecomentario">
    <w:name w:val="annotation reference"/>
    <w:uiPriority w:val="99"/>
    <w:unhideWhenUsed/>
    <w:rsid w:val="007B6A9D"/>
    <w:rPr>
      <w:sz w:val="18"/>
      <w:szCs w:val="18"/>
    </w:rPr>
  </w:style>
  <w:style w:type="paragraph" w:styleId="Sangradetextonormal">
    <w:name w:val="Body Text Indent"/>
    <w:basedOn w:val="Normal"/>
    <w:link w:val="SangradetextonormalCar"/>
    <w:unhideWhenUsed/>
    <w:rsid w:val="0085158B"/>
    <w:pPr>
      <w:spacing w:after="120"/>
      <w:ind w:left="283"/>
    </w:pPr>
  </w:style>
  <w:style w:type="character" w:customStyle="1" w:styleId="SangradetextonormalCar">
    <w:name w:val="Sangría de texto normal Car"/>
    <w:basedOn w:val="Fuentedeprrafopredeter"/>
    <w:link w:val="Sangradetextonormal"/>
    <w:uiPriority w:val="99"/>
    <w:semiHidden/>
    <w:rsid w:val="0085158B"/>
  </w:style>
  <w:style w:type="paragraph" w:styleId="Textodebloque">
    <w:name w:val="Block Text"/>
    <w:basedOn w:val="Normal"/>
    <w:rsid w:val="0085158B"/>
    <w:pPr>
      <w:ind w:left="353" w:right="367"/>
      <w:jc w:val="both"/>
    </w:pPr>
    <w:rPr>
      <w:rFonts w:ascii="Arial" w:eastAsia="Times New Roman" w:hAnsi="Arial" w:cs="Arial"/>
      <w:sz w:val="28"/>
      <w:lang w:val="es-ES"/>
    </w:rPr>
  </w:style>
  <w:style w:type="paragraph" w:styleId="Listaconvietas2">
    <w:name w:val="List Bullet 2"/>
    <w:basedOn w:val="Normal"/>
    <w:rsid w:val="00B8321C"/>
    <w:pPr>
      <w:tabs>
        <w:tab w:val="num" w:pos="643"/>
      </w:tabs>
      <w:ind w:left="643" w:hanging="360"/>
    </w:pPr>
    <w:rPr>
      <w:rFonts w:ascii="Times New Roman" w:eastAsia="Times New Roman" w:hAnsi="Times New Roman" w:cs="Times New Roman"/>
      <w:lang w:val="es-ES"/>
    </w:rPr>
  </w:style>
  <w:style w:type="paragraph" w:styleId="Continuarlista">
    <w:name w:val="List Continue"/>
    <w:basedOn w:val="Normal"/>
    <w:rsid w:val="00B8321C"/>
    <w:pPr>
      <w:spacing w:after="120"/>
      <w:ind w:left="283"/>
    </w:pPr>
    <w:rPr>
      <w:rFonts w:ascii="Times New Roman" w:eastAsia="Times New Roman" w:hAnsi="Times New Roman" w:cs="Times New Roman"/>
      <w:lang w:val="es-ES"/>
    </w:rPr>
  </w:style>
  <w:style w:type="paragraph" w:customStyle="1" w:styleId="Listavistosa-nfasis12">
    <w:name w:val="Lista vistosa - Énfasis 12"/>
    <w:basedOn w:val="Normal"/>
    <w:uiPriority w:val="72"/>
    <w:qFormat/>
    <w:rsid w:val="00D67FAF"/>
    <w:pPr>
      <w:ind w:left="720"/>
      <w:contextualSpacing/>
    </w:pPr>
    <w:rPr>
      <w:rFonts w:ascii="Times New Roman" w:eastAsia="Times New Roman" w:hAnsi="Times New Roman" w:cs="Times New Roman"/>
      <w:lang w:val="es-ES"/>
    </w:rPr>
  </w:style>
  <w:style w:type="paragraph" w:customStyle="1" w:styleId="antetitulo">
    <w:name w:val="antetitulo"/>
    <w:basedOn w:val="Normal"/>
    <w:rsid w:val="00B8321C"/>
    <w:pPr>
      <w:spacing w:before="100" w:beforeAutospacing="1" w:line="225" w:lineRule="atLeast"/>
    </w:pPr>
    <w:rPr>
      <w:rFonts w:ascii="Arial" w:eastAsia="Times New Roman" w:hAnsi="Arial" w:cs="Arial"/>
      <w:color w:val="003470"/>
      <w:sz w:val="29"/>
      <w:szCs w:val="29"/>
      <w:lang w:val="es-ES"/>
    </w:rPr>
  </w:style>
  <w:style w:type="paragraph" w:customStyle="1" w:styleId="Pa113">
    <w:name w:val="Pa1+13"/>
    <w:basedOn w:val="Normal"/>
    <w:next w:val="Normal"/>
    <w:uiPriority w:val="99"/>
    <w:rsid w:val="00B8321C"/>
    <w:pPr>
      <w:autoSpaceDE w:val="0"/>
      <w:autoSpaceDN w:val="0"/>
      <w:adjustRightInd w:val="0"/>
      <w:spacing w:line="181" w:lineRule="atLeast"/>
    </w:pPr>
    <w:rPr>
      <w:rFonts w:ascii="Univers LT Std 45 Light" w:eastAsia="Calibri" w:hAnsi="Univers LT Std 45 Light" w:cs="Times New Roman"/>
      <w:lang w:val="es-ES"/>
    </w:rPr>
  </w:style>
  <w:style w:type="character" w:customStyle="1" w:styleId="A54">
    <w:name w:val="A5+4"/>
    <w:uiPriority w:val="99"/>
    <w:rsid w:val="00B8321C"/>
    <w:rPr>
      <w:rFonts w:cs="Univers LT Std 45 Light"/>
      <w:color w:val="000000"/>
      <w:sz w:val="10"/>
      <w:szCs w:val="10"/>
    </w:rPr>
  </w:style>
  <w:style w:type="character" w:customStyle="1" w:styleId="A20">
    <w:name w:val="A20"/>
    <w:uiPriority w:val="99"/>
    <w:rsid w:val="00B8321C"/>
    <w:rPr>
      <w:rFonts w:cs="Univers LT Std 45 Light"/>
      <w:color w:val="000000"/>
      <w:sz w:val="15"/>
      <w:szCs w:val="15"/>
    </w:rPr>
  </w:style>
  <w:style w:type="paragraph" w:styleId="Sinespaciado">
    <w:name w:val="No Spacing"/>
    <w:uiPriority w:val="1"/>
    <w:qFormat/>
    <w:rsid w:val="00D67FAF"/>
    <w:rPr>
      <w:rFonts w:ascii="Calibri" w:eastAsia="Calibri" w:hAnsi="Calibri" w:cs="Times New Roman"/>
      <w:sz w:val="22"/>
      <w:szCs w:val="22"/>
      <w:lang w:val="es-ES" w:eastAsia="en-US"/>
    </w:rPr>
  </w:style>
  <w:style w:type="paragraph" w:customStyle="1" w:styleId="Estilo1">
    <w:name w:val="Estilo1"/>
    <w:basedOn w:val="Normal"/>
    <w:rsid w:val="00354C8D"/>
    <w:rPr>
      <w:rFonts w:ascii="Arial" w:eastAsia="Times New Roman" w:hAnsi="Arial" w:cs="Arial"/>
      <w:sz w:val="16"/>
      <w:szCs w:val="28"/>
      <w:lang w:val="en-GB"/>
    </w:rPr>
  </w:style>
  <w:style w:type="paragraph" w:customStyle="1" w:styleId="Listamulticolor-nfasis11">
    <w:name w:val="Lista multicolor - Énfasis 11"/>
    <w:basedOn w:val="Normal"/>
    <w:uiPriority w:val="34"/>
    <w:qFormat/>
    <w:rsid w:val="00D67FAF"/>
    <w:pPr>
      <w:ind w:left="720"/>
      <w:contextualSpacing/>
    </w:pPr>
    <w:rPr>
      <w:rFonts w:ascii="Times New Roman" w:eastAsia="Times New Roman" w:hAnsi="Times New Roman" w:cs="Times New Roman"/>
      <w:lang w:val="es-ES"/>
    </w:rPr>
  </w:style>
  <w:style w:type="paragraph" w:customStyle="1" w:styleId="Prrafodelista1">
    <w:name w:val="Párrafo de lista1"/>
    <w:basedOn w:val="Normal"/>
    <w:rsid w:val="009E1174"/>
    <w:pPr>
      <w:suppressAutoHyphens/>
      <w:overflowPunct w:val="0"/>
      <w:autoSpaceDE w:val="0"/>
      <w:autoSpaceDN w:val="0"/>
      <w:adjustRightInd w:val="0"/>
      <w:textAlignment w:val="baseline"/>
    </w:pPr>
    <w:rPr>
      <w:rFonts w:ascii="Times New Roman" w:eastAsia="Times New Roman" w:hAnsi="Times New Roman" w:cs="Times New Roman"/>
      <w:kern w:val="1"/>
      <w:szCs w:val="20"/>
      <w:lang w:val="es-ES"/>
    </w:rPr>
  </w:style>
  <w:style w:type="character" w:customStyle="1" w:styleId="Refdenotaalpie1">
    <w:name w:val="Ref. de nota al pie1"/>
    <w:basedOn w:val="Fuentedeprrafopredeter"/>
    <w:rsid w:val="009E1174"/>
  </w:style>
  <w:style w:type="character" w:customStyle="1" w:styleId="Smbolodenotaalpie">
    <w:name w:val="Símbolo de nota al pie"/>
    <w:rsid w:val="009E1174"/>
  </w:style>
  <w:style w:type="paragraph" w:customStyle="1" w:styleId="Textonotapie1">
    <w:name w:val="Texto nota pie1"/>
    <w:basedOn w:val="Normal"/>
    <w:rsid w:val="009E1174"/>
    <w:pPr>
      <w:suppressAutoHyphens/>
      <w:overflowPunct w:val="0"/>
      <w:autoSpaceDE w:val="0"/>
      <w:autoSpaceDN w:val="0"/>
      <w:adjustRightInd w:val="0"/>
      <w:textAlignment w:val="baseline"/>
    </w:pPr>
    <w:rPr>
      <w:rFonts w:ascii="Times New Roman" w:eastAsia="Times New Roman" w:hAnsi="Times New Roman" w:cs="Times New Roman"/>
      <w:kern w:val="1"/>
      <w:szCs w:val="20"/>
      <w:lang w:val="es-ES"/>
    </w:rPr>
  </w:style>
  <w:style w:type="character" w:customStyle="1" w:styleId="apple-style-span">
    <w:name w:val="apple-style-span"/>
    <w:basedOn w:val="Fuentedeprrafopredeter"/>
    <w:uiPriority w:val="99"/>
    <w:rsid w:val="009E1174"/>
  </w:style>
  <w:style w:type="character" w:customStyle="1" w:styleId="TextonotaalfinalCar">
    <w:name w:val="Texto nota al final Car"/>
    <w:basedOn w:val="Fuentedeprrafopredeter"/>
    <w:link w:val="Textonotaalfinal"/>
    <w:uiPriority w:val="99"/>
    <w:rsid w:val="009E1174"/>
    <w:rPr>
      <w:rFonts w:ascii="Times New Roman" w:eastAsia="Times New Roman" w:hAnsi="Times New Roman" w:cs="Times New Roman"/>
      <w:sz w:val="20"/>
      <w:szCs w:val="20"/>
      <w:lang w:val="es-ES"/>
    </w:rPr>
  </w:style>
  <w:style w:type="paragraph" w:styleId="Textonotaalfinal">
    <w:name w:val="endnote text"/>
    <w:basedOn w:val="Normal"/>
    <w:link w:val="TextonotaalfinalCar"/>
    <w:uiPriority w:val="99"/>
    <w:unhideWhenUsed/>
    <w:rsid w:val="009E1174"/>
    <w:rPr>
      <w:rFonts w:ascii="Times New Roman" w:eastAsia="Times New Roman" w:hAnsi="Times New Roman" w:cs="Times New Roman"/>
      <w:sz w:val="20"/>
      <w:szCs w:val="20"/>
      <w:lang w:val="es-ES"/>
    </w:rPr>
  </w:style>
  <w:style w:type="character" w:customStyle="1" w:styleId="Referenciaintensa1">
    <w:name w:val="Referencia intensa1"/>
    <w:uiPriority w:val="32"/>
    <w:qFormat/>
    <w:rsid w:val="00D67FAF"/>
    <w:rPr>
      <w:b/>
      <w:bCs/>
      <w:smallCaps/>
      <w:color w:val="C0504D"/>
      <w:spacing w:val="5"/>
      <w:u w:val="single"/>
    </w:rPr>
  </w:style>
  <w:style w:type="paragraph" w:customStyle="1" w:styleId="ListParagraph1">
    <w:name w:val="List Paragraph1"/>
    <w:basedOn w:val="Normal"/>
    <w:uiPriority w:val="34"/>
    <w:qFormat/>
    <w:rsid w:val="00D67FAF"/>
    <w:pPr>
      <w:ind w:left="720"/>
      <w:contextualSpacing/>
    </w:pPr>
    <w:rPr>
      <w:rFonts w:ascii="Times New Roman" w:eastAsia="Times New Roman" w:hAnsi="Times New Roman" w:cs="Times New Roman"/>
      <w:lang w:val="es-ES"/>
    </w:rPr>
  </w:style>
  <w:style w:type="character" w:customStyle="1" w:styleId="A3">
    <w:name w:val="A3"/>
    <w:uiPriority w:val="99"/>
    <w:rsid w:val="00D83DC8"/>
    <w:rPr>
      <w:rFonts w:ascii="GillSans Light" w:eastAsia="GillSans Light" w:hAnsi="GillSans Light" w:cs="GillSans Light"/>
      <w:color w:val="000000"/>
      <w:sz w:val="20"/>
      <w:szCs w:val="20"/>
    </w:rPr>
  </w:style>
  <w:style w:type="character" w:customStyle="1" w:styleId="A55">
    <w:name w:val="A5+5"/>
    <w:uiPriority w:val="99"/>
    <w:rsid w:val="00D83DC8"/>
    <w:rPr>
      <w:rFonts w:ascii="GillSans Light" w:eastAsia="GillSans Light" w:hAnsi="GillSans Light" w:cs="GillSans Light"/>
      <w:color w:val="000000"/>
      <w:sz w:val="22"/>
      <w:szCs w:val="22"/>
    </w:rPr>
  </w:style>
  <w:style w:type="paragraph" w:customStyle="1" w:styleId="Pa262">
    <w:name w:val="Pa26+2"/>
    <w:basedOn w:val="Default"/>
    <w:next w:val="Default"/>
    <w:uiPriority w:val="99"/>
    <w:rsid w:val="00D83DC8"/>
    <w:pPr>
      <w:suppressAutoHyphens/>
      <w:autoSpaceDN/>
      <w:adjustRightInd/>
      <w:spacing w:line="241" w:lineRule="atLeast"/>
    </w:pPr>
    <w:rPr>
      <w:rFonts w:ascii="Times New Roman" w:eastAsia="SimSun" w:hAnsi="Times New Roman" w:cs="Mangal"/>
      <w:color w:val="auto"/>
      <w:lang w:eastAsia="hi-IN" w:bidi="hi-IN"/>
    </w:rPr>
  </w:style>
  <w:style w:type="paragraph" w:customStyle="1" w:styleId="Pa107">
    <w:name w:val="Pa10+7"/>
    <w:basedOn w:val="Default"/>
    <w:next w:val="Default"/>
    <w:uiPriority w:val="99"/>
    <w:rsid w:val="00D83DC8"/>
    <w:pPr>
      <w:suppressAutoHyphens/>
      <w:autoSpaceDN/>
      <w:adjustRightInd/>
      <w:spacing w:line="241" w:lineRule="atLeast"/>
    </w:pPr>
    <w:rPr>
      <w:rFonts w:ascii="Times New Roman" w:eastAsia="SimSun" w:hAnsi="Times New Roman" w:cs="Mangal"/>
      <w:color w:val="auto"/>
      <w:lang w:eastAsia="hi-IN" w:bidi="hi-IN"/>
    </w:rPr>
  </w:style>
  <w:style w:type="paragraph" w:customStyle="1" w:styleId="Pa253">
    <w:name w:val="Pa25+3"/>
    <w:basedOn w:val="Default"/>
    <w:next w:val="Default"/>
    <w:uiPriority w:val="99"/>
    <w:rsid w:val="00D83DC8"/>
    <w:pPr>
      <w:suppressAutoHyphens/>
      <w:autoSpaceDN/>
      <w:adjustRightInd/>
      <w:spacing w:line="241" w:lineRule="atLeast"/>
    </w:pPr>
    <w:rPr>
      <w:rFonts w:ascii="Times New Roman" w:eastAsia="SimSun" w:hAnsi="Times New Roman" w:cs="Mangal"/>
      <w:color w:val="auto"/>
      <w:lang w:eastAsia="hi-IN" w:bidi="hi-IN"/>
    </w:rPr>
  </w:style>
  <w:style w:type="paragraph" w:customStyle="1" w:styleId="Pa51">
    <w:name w:val="Pa5+1"/>
    <w:basedOn w:val="Default"/>
    <w:next w:val="Default"/>
    <w:rsid w:val="00D83DC8"/>
    <w:pPr>
      <w:spacing w:line="241" w:lineRule="atLeast"/>
    </w:pPr>
    <w:rPr>
      <w:rFonts w:ascii="GillSans Light" w:hAnsi="GillSans Light"/>
      <w:color w:val="auto"/>
    </w:rPr>
  </w:style>
  <w:style w:type="character" w:customStyle="1" w:styleId="A52">
    <w:name w:val="A5+2"/>
    <w:uiPriority w:val="99"/>
    <w:rsid w:val="00D83DC8"/>
    <w:rPr>
      <w:rFonts w:cs="GillSans Light"/>
      <w:color w:val="000000"/>
      <w:sz w:val="22"/>
      <w:szCs w:val="22"/>
    </w:rPr>
  </w:style>
  <w:style w:type="table" w:styleId="Tablacontema">
    <w:name w:val="Table Theme"/>
    <w:basedOn w:val="Tablanormal"/>
    <w:rsid w:val="006111E0"/>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denotaalpie2">
    <w:name w:val="Ref. de nota al pie2"/>
    <w:rsid w:val="00B042AD"/>
  </w:style>
  <w:style w:type="paragraph" w:customStyle="1" w:styleId="Textonotapie2">
    <w:name w:val="Texto nota pie2"/>
    <w:basedOn w:val="Normal"/>
    <w:rsid w:val="00B042AD"/>
    <w:pPr>
      <w:suppressAutoHyphens/>
    </w:pPr>
    <w:rPr>
      <w:rFonts w:ascii="Times New Roman" w:eastAsia="Times New Roman" w:hAnsi="Times New Roman" w:cs="Times New Roman"/>
      <w:kern w:val="1"/>
      <w:lang w:val="es-ES" w:eastAsia="ar-SA"/>
    </w:rPr>
  </w:style>
  <w:style w:type="paragraph" w:customStyle="1" w:styleId="Contenidodelatabla">
    <w:name w:val="Contenido de la tabla"/>
    <w:basedOn w:val="Normal"/>
    <w:qFormat/>
    <w:rsid w:val="00B042AD"/>
    <w:pPr>
      <w:widowControl w:val="0"/>
      <w:suppressLineNumbers/>
      <w:suppressAutoHyphens/>
    </w:pPr>
    <w:rPr>
      <w:rFonts w:ascii="Times New Roman" w:eastAsia="SimSun" w:hAnsi="Times New Roman" w:cs="Mangal"/>
      <w:kern w:val="1"/>
      <w:lang w:val="es-ES" w:eastAsia="hi-IN" w:bidi="hi-IN"/>
    </w:rPr>
  </w:style>
  <w:style w:type="paragraph" w:customStyle="1" w:styleId="Encabezadodelatabla">
    <w:name w:val="Encabezado de la tabla"/>
    <w:basedOn w:val="Contenidodelatabla"/>
    <w:rsid w:val="00B042AD"/>
    <w:pPr>
      <w:jc w:val="center"/>
    </w:pPr>
    <w:rPr>
      <w:b/>
      <w:bCs/>
    </w:rPr>
  </w:style>
  <w:style w:type="paragraph" w:customStyle="1" w:styleId="Cuadrculamediana1-nfasis21">
    <w:name w:val="Cuadrícula mediana 1 - Énfasis 21"/>
    <w:basedOn w:val="Normal"/>
    <w:uiPriority w:val="72"/>
    <w:qFormat/>
    <w:rsid w:val="00D67FAF"/>
    <w:pPr>
      <w:ind w:left="720"/>
      <w:contextualSpacing/>
    </w:pPr>
    <w:rPr>
      <w:rFonts w:ascii="Times New Roman" w:eastAsia="Times New Roman" w:hAnsi="Times New Roman" w:cs="Times New Roman"/>
      <w:lang w:val="es-ES"/>
    </w:rPr>
  </w:style>
  <w:style w:type="character" w:customStyle="1" w:styleId="Fuentedeprrafopred">
    <w:name w:val="Fuente de p‡rrafo pred"/>
    <w:uiPriority w:val="99"/>
    <w:semiHidden/>
    <w:rsid w:val="00501A40"/>
  </w:style>
  <w:style w:type="character" w:customStyle="1" w:styleId="Fuentedeprrafopred2">
    <w:name w:val="Fuente de p‡rrafo pred2"/>
    <w:uiPriority w:val="99"/>
    <w:semiHidden/>
    <w:rsid w:val="00501A40"/>
  </w:style>
  <w:style w:type="character" w:customStyle="1" w:styleId="Fuentedeprrafopred1">
    <w:name w:val="Fuente de p‡rrafo pred1"/>
    <w:uiPriority w:val="99"/>
    <w:semiHidden/>
    <w:rsid w:val="00501A40"/>
  </w:style>
  <w:style w:type="character" w:customStyle="1" w:styleId="Fuentedeprrafopred0">
    <w:name w:val="Fuente de pàrrafo pred"/>
    <w:uiPriority w:val="99"/>
    <w:semiHidden/>
    <w:rsid w:val="00501A40"/>
  </w:style>
  <w:style w:type="character" w:customStyle="1" w:styleId="Fuentedeprrafopred3">
    <w:name w:val="Fuente de pˆrrafo pred"/>
    <w:uiPriority w:val="99"/>
    <w:semiHidden/>
    <w:rsid w:val="00501A40"/>
  </w:style>
  <w:style w:type="paragraph" w:customStyle="1" w:styleId="Piede">
    <w:name w:val="Pie de"/>
    <w:basedOn w:val="Normal"/>
    <w:uiPriority w:val="99"/>
    <w:rsid w:val="00501A40"/>
    <w:pPr>
      <w:tabs>
        <w:tab w:val="center" w:pos="4252"/>
        <w:tab w:val="right" w:pos="8504"/>
      </w:tabs>
    </w:pPr>
    <w:rPr>
      <w:rFonts w:ascii="Times New Roman" w:eastAsia="Times New Roman" w:hAnsi="Times New Roman" w:cs="Times New Roman"/>
      <w:lang w:val="es-ES" w:eastAsia="es-ES_tradnl"/>
    </w:rPr>
  </w:style>
  <w:style w:type="character" w:customStyle="1" w:styleId="FooterChar">
    <w:name w:val="Footer Char"/>
    <w:rsid w:val="00501A40"/>
    <w:rPr>
      <w:rFonts w:ascii="Times New Roman" w:hAnsi="Times New Roman"/>
      <w:sz w:val="24"/>
      <w:lang w:val="es-ES"/>
    </w:rPr>
  </w:style>
  <w:style w:type="character" w:customStyle="1" w:styleId="Hipervnc">
    <w:name w:val="HipervÍnc"/>
    <w:uiPriority w:val="99"/>
    <w:rsid w:val="00501A40"/>
    <w:rPr>
      <w:color w:val="0000FF"/>
      <w:u w:val="single"/>
    </w:rPr>
  </w:style>
  <w:style w:type="character" w:customStyle="1" w:styleId="FootnoteTextChar5">
    <w:name w:val="Footnote Text Char5"/>
    <w:aliases w:val="Texto nota pie Car Car Car Char5,Texto nota pie Car Car Car Car C Char"/>
    <w:basedOn w:val="Fuentedeprrafopred"/>
    <w:uiPriority w:val="99"/>
    <w:semiHidden/>
    <w:rsid w:val="00501A40"/>
    <w:rPr>
      <w:rFonts w:ascii="Times New Roman" w:hAnsi="Times New Roman" w:cs="Times New Roman"/>
      <w:sz w:val="24"/>
      <w:lang w:val="es-ES" w:eastAsia="es-ES"/>
    </w:rPr>
  </w:style>
  <w:style w:type="character" w:customStyle="1" w:styleId="FootnoteTextChar4">
    <w:name w:val="Footnote Text Char4"/>
    <w:aliases w:val="Texto nota pie Car Car Car Char4,Texto nota pie Car Car Car Car Ca Char"/>
    <w:basedOn w:val="Fuentedeprrafopred2"/>
    <w:uiPriority w:val="99"/>
    <w:semiHidden/>
    <w:rsid w:val="00501A40"/>
    <w:rPr>
      <w:rFonts w:ascii="Times New Roman" w:hAnsi="Times New Roman" w:cs="Times New Roman"/>
      <w:sz w:val="24"/>
      <w:lang w:val="es-ES" w:eastAsia="es-ES"/>
    </w:rPr>
  </w:style>
  <w:style w:type="character" w:customStyle="1" w:styleId="FootnoteTextChar3">
    <w:name w:val="Footnote Text Char3"/>
    <w:aliases w:val="Texto nota pie Car Car Car Char3,Texto nota pie Car Car Car Car Car Char"/>
    <w:basedOn w:val="Fuentedeprrafopred1"/>
    <w:uiPriority w:val="99"/>
    <w:semiHidden/>
    <w:rsid w:val="00501A40"/>
    <w:rPr>
      <w:rFonts w:ascii="Times New Roman" w:hAnsi="Times New Roman" w:cs="Times New Roman"/>
      <w:sz w:val="24"/>
      <w:lang w:val="es-ES" w:eastAsia="es-ES"/>
    </w:rPr>
  </w:style>
  <w:style w:type="character" w:customStyle="1" w:styleId="FootnoteTextChar2">
    <w:name w:val="Footnote Text Char2"/>
    <w:aliases w:val="Texto nota pie Car Car Car Char2,Texto nota pie Car Car Car Car Car Char2,Texto nota pie Car Car Car C Char"/>
    <w:basedOn w:val="Fuentedeprrafopred0"/>
    <w:uiPriority w:val="99"/>
    <w:semiHidden/>
    <w:rsid w:val="00501A40"/>
    <w:rPr>
      <w:rFonts w:ascii="Times New Roman" w:hAnsi="Times New Roman" w:cs="Times New Roman"/>
      <w:sz w:val="24"/>
      <w:lang w:val="es-ES" w:eastAsia="es-ES"/>
    </w:rPr>
  </w:style>
  <w:style w:type="character" w:customStyle="1" w:styleId="Refdenotaalpi">
    <w:name w:val="Ref. de nota al pi"/>
    <w:uiPriority w:val="99"/>
    <w:rsid w:val="00501A40"/>
    <w:rPr>
      <w:vertAlign w:val="superscript"/>
    </w:rPr>
  </w:style>
  <w:style w:type="character" w:customStyle="1" w:styleId="Hipervnc1">
    <w:name w:val="HipervÍnc1"/>
    <w:uiPriority w:val="99"/>
    <w:rsid w:val="00501A40"/>
    <w:rPr>
      <w:color w:val="0000FF"/>
      <w:u w:val="single"/>
    </w:rPr>
  </w:style>
  <w:style w:type="character" w:customStyle="1" w:styleId="Hipervnculovisi">
    <w:name w:val="HipervÍnculo visi"/>
    <w:uiPriority w:val="99"/>
    <w:rsid w:val="00501A40"/>
    <w:rPr>
      <w:color w:val="800080"/>
      <w:u w:val="single"/>
    </w:rPr>
  </w:style>
  <w:style w:type="table" w:customStyle="1" w:styleId="Tablacon">
    <w:name w:val="Tabla con"/>
    <w:uiPriority w:val="99"/>
    <w:rsid w:val="00501A40"/>
    <w:rPr>
      <w:rFonts w:ascii="Times New Roman" w:eastAsia="Times New Roman" w:hAnsi="Times New Roman" w:cs="Times New Roman"/>
      <w:sz w:val="20"/>
      <w:szCs w:val="20"/>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uentedeprrafopred10">
    <w:name w:val="Fuente de pˆrrafo pred1"/>
    <w:uiPriority w:val="99"/>
    <w:semiHidden/>
    <w:rsid w:val="00501A40"/>
  </w:style>
  <w:style w:type="character" w:customStyle="1" w:styleId="FootnoteTextChar1">
    <w:name w:val="Footnote Text Char1"/>
    <w:aliases w:val="Texto nota pie Car Car Car Char1,Texto nota pie Car Car Car Car Car Char1,Texto nota pie Car Car Car Car Char1"/>
    <w:uiPriority w:val="99"/>
    <w:rsid w:val="00501A40"/>
    <w:rPr>
      <w:rFonts w:ascii="Arial" w:hAnsi="Arial"/>
      <w:sz w:val="20"/>
      <w:lang w:eastAsia="ar-SA" w:bidi="ar-SA"/>
    </w:rPr>
  </w:style>
  <w:style w:type="character" w:customStyle="1" w:styleId="apple-converted-space">
    <w:name w:val="apple-converted-space"/>
    <w:rsid w:val="00501A40"/>
  </w:style>
  <w:style w:type="character" w:customStyle="1" w:styleId="Texto">
    <w:name w:val="Texto"/>
    <w:uiPriority w:val="99"/>
    <w:rsid w:val="00501A40"/>
    <w:rPr>
      <w:b/>
    </w:rPr>
  </w:style>
  <w:style w:type="character" w:customStyle="1" w:styleId="Refdenotaalpi1">
    <w:name w:val="Ref. de nota al pi1"/>
    <w:uiPriority w:val="99"/>
    <w:semiHidden/>
    <w:rsid w:val="00501A40"/>
    <w:rPr>
      <w:vertAlign w:val="superscript"/>
    </w:rPr>
  </w:style>
  <w:style w:type="paragraph" w:customStyle="1" w:styleId="Textodeglo">
    <w:name w:val="Texto de glo"/>
    <w:basedOn w:val="Normal"/>
    <w:uiPriority w:val="99"/>
    <w:semiHidden/>
    <w:rsid w:val="00501A40"/>
    <w:rPr>
      <w:rFonts w:ascii="Tahoma" w:eastAsia="Times New Roman" w:hAnsi="Tahoma" w:cs="Times New Roman"/>
      <w:sz w:val="16"/>
      <w:szCs w:val="16"/>
      <w:lang w:eastAsia="es-ES_tradnl"/>
    </w:rPr>
  </w:style>
  <w:style w:type="character" w:customStyle="1" w:styleId="BalloonTextChar">
    <w:name w:val="Balloon Text Char"/>
    <w:uiPriority w:val="99"/>
    <w:semiHidden/>
    <w:rsid w:val="00501A40"/>
    <w:rPr>
      <w:rFonts w:ascii="Tahoma" w:hAnsi="Tahoma"/>
      <w:sz w:val="16"/>
    </w:rPr>
  </w:style>
  <w:style w:type="paragraph" w:customStyle="1" w:styleId="Textocomentari">
    <w:name w:val="Texto comentari"/>
    <w:basedOn w:val="Normal"/>
    <w:uiPriority w:val="99"/>
    <w:semiHidden/>
    <w:rsid w:val="00501A40"/>
    <w:rPr>
      <w:rFonts w:ascii="Times New Roman" w:eastAsia="Times New Roman" w:hAnsi="Times New Roman" w:cs="Times New Roman"/>
      <w:sz w:val="20"/>
      <w:szCs w:val="20"/>
      <w:lang w:eastAsia="es-ES_tradnl"/>
    </w:rPr>
  </w:style>
  <w:style w:type="character" w:customStyle="1" w:styleId="CommentTextChar">
    <w:name w:val="Comment Text Char"/>
    <w:uiPriority w:val="99"/>
    <w:semiHidden/>
    <w:rsid w:val="00501A40"/>
    <w:rPr>
      <w:rFonts w:ascii="Times New Roman" w:hAnsi="Times New Roman"/>
    </w:rPr>
  </w:style>
  <w:style w:type="paragraph" w:customStyle="1" w:styleId="Asuntodelcomenta">
    <w:name w:val="Asunto del comenta"/>
    <w:basedOn w:val="Textocomentari"/>
    <w:next w:val="Textocomentari"/>
    <w:uiPriority w:val="99"/>
    <w:semiHidden/>
    <w:rsid w:val="00501A40"/>
    <w:rPr>
      <w:b/>
      <w:bCs/>
    </w:rPr>
  </w:style>
  <w:style w:type="character" w:customStyle="1" w:styleId="CommentSubjectChar">
    <w:name w:val="Comment Subject Char"/>
    <w:uiPriority w:val="99"/>
    <w:semiHidden/>
    <w:rsid w:val="00501A40"/>
    <w:rPr>
      <w:rFonts w:ascii="Times New Roman" w:hAnsi="Times New Roman"/>
      <w:b/>
    </w:rPr>
  </w:style>
  <w:style w:type="paragraph" w:customStyle="1" w:styleId="Textodeglo1">
    <w:name w:val="Texto de glo1"/>
    <w:basedOn w:val="Normal"/>
    <w:uiPriority w:val="99"/>
    <w:semiHidden/>
    <w:rsid w:val="00501A40"/>
    <w:rPr>
      <w:rFonts w:ascii="Lucida Grande" w:eastAsia="Times New Roman" w:hAnsi="Lucida Grande" w:cs="Times New Roman"/>
      <w:sz w:val="18"/>
      <w:szCs w:val="18"/>
      <w:lang w:val="es-ES"/>
    </w:rPr>
  </w:style>
  <w:style w:type="character" w:customStyle="1" w:styleId="BalloonTextChar1">
    <w:name w:val="Balloon Text Char1"/>
    <w:basedOn w:val="Fuentedeprrafopred0"/>
    <w:uiPriority w:val="99"/>
    <w:semiHidden/>
    <w:rsid w:val="00501A40"/>
    <w:rPr>
      <w:rFonts w:ascii="Lucida Grande" w:hAnsi="Lucida Grande" w:cs="Times New Roman"/>
      <w:sz w:val="18"/>
      <w:lang w:val="es-ES" w:eastAsia="es-ES"/>
    </w:rPr>
  </w:style>
  <w:style w:type="character" w:customStyle="1" w:styleId="Refdenotaalpi2">
    <w:name w:val="Ref. de nota al pi2"/>
    <w:basedOn w:val="Fuentedeprrafopred0"/>
    <w:uiPriority w:val="99"/>
    <w:semiHidden/>
    <w:rsid w:val="00501A40"/>
    <w:rPr>
      <w:rFonts w:cs="Times New Roman"/>
      <w:vertAlign w:val="superscript"/>
    </w:rPr>
  </w:style>
  <w:style w:type="paragraph" w:customStyle="1" w:styleId="Textocomentari1">
    <w:name w:val="Texto comentari1"/>
    <w:basedOn w:val="Normal"/>
    <w:uiPriority w:val="99"/>
    <w:semiHidden/>
    <w:rsid w:val="00501A40"/>
    <w:rPr>
      <w:rFonts w:ascii="Times New Roman" w:eastAsia="Times New Roman" w:hAnsi="Times New Roman" w:cs="Times New Roman"/>
      <w:lang w:val="es-ES"/>
    </w:rPr>
  </w:style>
  <w:style w:type="character" w:customStyle="1" w:styleId="CommentTextChar1">
    <w:name w:val="Comment Text Char1"/>
    <w:basedOn w:val="Fuentedeprrafopred0"/>
    <w:uiPriority w:val="99"/>
    <w:semiHidden/>
    <w:rsid w:val="00501A40"/>
    <w:rPr>
      <w:rFonts w:ascii="Times New Roman" w:hAnsi="Times New Roman" w:cs="Times New Roman"/>
      <w:sz w:val="24"/>
      <w:lang w:val="es-ES" w:eastAsia="es-ES"/>
    </w:rPr>
  </w:style>
  <w:style w:type="paragraph" w:customStyle="1" w:styleId="Asuntodelcomenta1">
    <w:name w:val="Asunto del comenta1"/>
    <w:basedOn w:val="Textocomentari1"/>
    <w:next w:val="Textocomentari1"/>
    <w:uiPriority w:val="99"/>
    <w:semiHidden/>
    <w:rsid w:val="00501A40"/>
  </w:style>
  <w:style w:type="character" w:customStyle="1" w:styleId="CommentSubjectChar1">
    <w:name w:val="Comment Subject Char1"/>
    <w:basedOn w:val="CommentTextChar1"/>
    <w:uiPriority w:val="99"/>
    <w:semiHidden/>
    <w:rsid w:val="00501A40"/>
    <w:rPr>
      <w:rFonts w:ascii="Times New Roman" w:hAnsi="Times New Roman" w:cs="Times New Roman"/>
      <w:b/>
      <w:bCs/>
      <w:sz w:val="24"/>
      <w:lang w:val="es-ES" w:eastAsia="es-ES"/>
    </w:rPr>
  </w:style>
  <w:style w:type="character" w:customStyle="1" w:styleId="Hipervnc0">
    <w:name w:val="HipervÕnc"/>
    <w:basedOn w:val="Fuentedeprrafopred0"/>
    <w:uiPriority w:val="99"/>
    <w:rsid w:val="00501A40"/>
    <w:rPr>
      <w:rFonts w:cs="Times New Roman"/>
      <w:color w:val="0000FF"/>
      <w:u w:val="single"/>
    </w:rPr>
  </w:style>
  <w:style w:type="paragraph" w:customStyle="1" w:styleId="Textodeglo2">
    <w:name w:val="Texto de glo2"/>
    <w:basedOn w:val="Normal"/>
    <w:uiPriority w:val="99"/>
    <w:semiHidden/>
    <w:rsid w:val="00501A40"/>
    <w:rPr>
      <w:rFonts w:ascii="Lucida Grande" w:eastAsia="Times New Roman" w:hAnsi="Lucida Grande" w:cs="Times New Roman"/>
      <w:sz w:val="18"/>
      <w:szCs w:val="18"/>
      <w:lang w:val="es-ES"/>
    </w:rPr>
  </w:style>
  <w:style w:type="character" w:customStyle="1" w:styleId="BalloonTextChar2">
    <w:name w:val="Balloon Text Char2"/>
    <w:basedOn w:val="Fuentedeprrafopred1"/>
    <w:uiPriority w:val="99"/>
    <w:semiHidden/>
    <w:rsid w:val="00501A40"/>
    <w:rPr>
      <w:rFonts w:ascii="Lucida Grande" w:hAnsi="Lucida Grande" w:cs="Times New Roman"/>
      <w:sz w:val="18"/>
      <w:lang w:val="es-ES" w:eastAsia="es-ES"/>
    </w:rPr>
  </w:style>
  <w:style w:type="paragraph" w:customStyle="1" w:styleId="Textocomentari2">
    <w:name w:val="Texto comentari2"/>
    <w:basedOn w:val="Normal"/>
    <w:uiPriority w:val="99"/>
    <w:semiHidden/>
    <w:rsid w:val="00501A40"/>
    <w:rPr>
      <w:rFonts w:ascii="Times New Roman" w:eastAsia="Times New Roman" w:hAnsi="Times New Roman" w:cs="Times New Roman"/>
      <w:lang w:val="es-ES"/>
    </w:rPr>
  </w:style>
  <w:style w:type="character" w:customStyle="1" w:styleId="CommentTextChar2">
    <w:name w:val="Comment Text Char2"/>
    <w:basedOn w:val="Fuentedeprrafopred1"/>
    <w:uiPriority w:val="99"/>
    <w:semiHidden/>
    <w:rsid w:val="00501A40"/>
    <w:rPr>
      <w:rFonts w:ascii="Times New Roman" w:hAnsi="Times New Roman" w:cs="Times New Roman"/>
      <w:sz w:val="24"/>
      <w:lang w:val="es-ES" w:eastAsia="es-ES"/>
    </w:rPr>
  </w:style>
  <w:style w:type="paragraph" w:customStyle="1" w:styleId="Asuntodelcomenta2">
    <w:name w:val="Asunto del comenta2"/>
    <w:basedOn w:val="Textocomentari2"/>
    <w:next w:val="Textocomentari2"/>
    <w:uiPriority w:val="99"/>
    <w:semiHidden/>
    <w:rsid w:val="00501A40"/>
    <w:rPr>
      <w:b/>
      <w:bCs/>
      <w:sz w:val="20"/>
      <w:szCs w:val="20"/>
    </w:rPr>
  </w:style>
  <w:style w:type="character" w:customStyle="1" w:styleId="CommentSubjectChar2">
    <w:name w:val="Comment Subject Char2"/>
    <w:basedOn w:val="CommentTextChar2"/>
    <w:uiPriority w:val="99"/>
    <w:semiHidden/>
    <w:rsid w:val="00501A40"/>
    <w:rPr>
      <w:rFonts w:ascii="Times New Roman" w:hAnsi="Times New Roman" w:cs="Times New Roman"/>
      <w:b/>
      <w:bCs/>
      <w:sz w:val="24"/>
      <w:lang w:val="es-ES" w:eastAsia="es-ES"/>
    </w:rPr>
  </w:style>
  <w:style w:type="paragraph" w:customStyle="1" w:styleId="Textodeglo3">
    <w:name w:val="Texto de glo3"/>
    <w:basedOn w:val="Normal"/>
    <w:uiPriority w:val="99"/>
    <w:semiHidden/>
    <w:rsid w:val="00501A40"/>
    <w:rPr>
      <w:rFonts w:ascii="Lucida Grande" w:eastAsia="Times New Roman" w:hAnsi="Lucida Grande" w:cs="Times New Roman"/>
      <w:sz w:val="18"/>
      <w:szCs w:val="18"/>
      <w:lang w:val="es-ES"/>
    </w:rPr>
  </w:style>
  <w:style w:type="character" w:customStyle="1" w:styleId="BalloonTextChar3">
    <w:name w:val="Balloon Text Char3"/>
    <w:basedOn w:val="Fuentedeprrafopred2"/>
    <w:uiPriority w:val="99"/>
    <w:semiHidden/>
    <w:rsid w:val="00501A40"/>
    <w:rPr>
      <w:rFonts w:ascii="Lucida Grande" w:hAnsi="Lucida Grande" w:cs="Times New Roman"/>
      <w:sz w:val="18"/>
      <w:lang w:val="es-ES" w:eastAsia="es-ES"/>
    </w:rPr>
  </w:style>
  <w:style w:type="paragraph" w:customStyle="1" w:styleId="Textocomentari3">
    <w:name w:val="Texto comentari3"/>
    <w:basedOn w:val="Normal"/>
    <w:uiPriority w:val="99"/>
    <w:semiHidden/>
    <w:rsid w:val="00501A40"/>
    <w:rPr>
      <w:rFonts w:ascii="Times New Roman" w:eastAsia="Times New Roman" w:hAnsi="Times New Roman" w:cs="Times New Roman"/>
      <w:lang w:val="es-ES"/>
    </w:rPr>
  </w:style>
  <w:style w:type="character" w:customStyle="1" w:styleId="CommentTextChar3">
    <w:name w:val="Comment Text Char3"/>
    <w:basedOn w:val="Fuentedeprrafopred2"/>
    <w:uiPriority w:val="99"/>
    <w:semiHidden/>
    <w:rsid w:val="00501A40"/>
    <w:rPr>
      <w:rFonts w:ascii="Times New Roman" w:hAnsi="Times New Roman" w:cs="Times New Roman"/>
      <w:sz w:val="24"/>
      <w:lang w:val="es-ES" w:eastAsia="es-ES"/>
    </w:rPr>
  </w:style>
  <w:style w:type="paragraph" w:customStyle="1" w:styleId="Textodeglo4">
    <w:name w:val="Texto de glo4"/>
    <w:basedOn w:val="Normal"/>
    <w:uiPriority w:val="99"/>
    <w:semiHidden/>
    <w:rsid w:val="00501A40"/>
    <w:rPr>
      <w:rFonts w:ascii="Lucida Grande" w:eastAsia="Times New Roman" w:hAnsi="Lucida Grande" w:cs="Times New Roman"/>
      <w:sz w:val="18"/>
      <w:szCs w:val="18"/>
      <w:lang w:val="es-ES"/>
    </w:rPr>
  </w:style>
  <w:style w:type="character" w:customStyle="1" w:styleId="BalloonTextChar4">
    <w:name w:val="Balloon Text Char4"/>
    <w:basedOn w:val="Fuentedeprrafopred"/>
    <w:uiPriority w:val="99"/>
    <w:semiHidden/>
    <w:rsid w:val="00501A40"/>
    <w:rPr>
      <w:rFonts w:ascii="Lucida Grande" w:hAnsi="Lucida Grande" w:cs="Times New Roman"/>
      <w:sz w:val="18"/>
      <w:lang w:val="es-ES" w:eastAsia="es-ES"/>
    </w:rPr>
  </w:style>
  <w:style w:type="paragraph" w:customStyle="1" w:styleId="Textocomentari4">
    <w:name w:val="Texto comentari4"/>
    <w:basedOn w:val="Normal"/>
    <w:uiPriority w:val="99"/>
    <w:semiHidden/>
    <w:rsid w:val="00501A40"/>
    <w:rPr>
      <w:rFonts w:ascii="Times New Roman" w:eastAsia="Times New Roman" w:hAnsi="Times New Roman" w:cs="Times New Roman"/>
      <w:lang w:val="es-ES"/>
    </w:rPr>
  </w:style>
  <w:style w:type="character" w:customStyle="1" w:styleId="CommentTextChar4">
    <w:name w:val="Comment Text Char4"/>
    <w:basedOn w:val="Fuentedeprrafopred"/>
    <w:uiPriority w:val="99"/>
    <w:semiHidden/>
    <w:rsid w:val="00501A40"/>
    <w:rPr>
      <w:rFonts w:ascii="Times New Roman" w:hAnsi="Times New Roman" w:cs="Times New Roman"/>
      <w:sz w:val="24"/>
      <w:lang w:val="es-ES" w:eastAsia="es-ES"/>
    </w:rPr>
  </w:style>
  <w:style w:type="paragraph" w:customStyle="1" w:styleId="Asuntodelcomenta3">
    <w:name w:val="Asunto del comenta3"/>
    <w:basedOn w:val="Textocomentari4"/>
    <w:next w:val="Textocomentari4"/>
    <w:uiPriority w:val="99"/>
    <w:semiHidden/>
    <w:rsid w:val="00501A40"/>
    <w:rPr>
      <w:b/>
      <w:bCs/>
      <w:sz w:val="20"/>
      <w:szCs w:val="20"/>
    </w:rPr>
  </w:style>
  <w:style w:type="character" w:customStyle="1" w:styleId="CommentSubjectChar3">
    <w:name w:val="Comment Subject Char3"/>
    <w:basedOn w:val="CommentTextChar4"/>
    <w:uiPriority w:val="99"/>
    <w:semiHidden/>
    <w:rsid w:val="00501A40"/>
    <w:rPr>
      <w:rFonts w:ascii="Times New Roman" w:hAnsi="Times New Roman" w:cs="Times New Roman"/>
      <w:b/>
      <w:bCs/>
      <w:sz w:val="24"/>
      <w:lang w:val="es-ES" w:eastAsia="es-ES"/>
    </w:rPr>
  </w:style>
  <w:style w:type="character" w:styleId="CitaHTML">
    <w:name w:val="HTML Cite"/>
    <w:basedOn w:val="Fuentedeprrafopredeter"/>
    <w:uiPriority w:val="99"/>
    <w:semiHidden/>
    <w:unhideWhenUsed/>
    <w:rsid w:val="00506805"/>
    <w:rPr>
      <w:i/>
      <w:iCs/>
    </w:rPr>
  </w:style>
  <w:style w:type="character" w:styleId="Referenciasutil">
    <w:name w:val="Subtle Reference"/>
    <w:basedOn w:val="Fuentedeprrafopredeter"/>
    <w:uiPriority w:val="67"/>
    <w:qFormat/>
    <w:rsid w:val="00D67FAF"/>
    <w:rPr>
      <w:smallCaps/>
      <w:color w:val="C0504D" w:themeColor="accent2"/>
      <w:u w:val="single"/>
    </w:rPr>
  </w:style>
  <w:style w:type="paragraph" w:styleId="Revisin">
    <w:name w:val="Revision"/>
    <w:hidden/>
    <w:uiPriority w:val="71"/>
    <w:rsid w:val="00506805"/>
    <w:rPr>
      <w:rFonts w:ascii="Times New Roman" w:eastAsia="Times New Roman" w:hAnsi="Times New Roman" w:cs="Arial"/>
      <w:lang w:val="es-ES"/>
    </w:rPr>
  </w:style>
  <w:style w:type="numbering" w:customStyle="1" w:styleId="Sinlista1">
    <w:name w:val="Sin lista1"/>
    <w:next w:val="Sinlista"/>
    <w:uiPriority w:val="99"/>
    <w:semiHidden/>
    <w:unhideWhenUsed/>
    <w:rsid w:val="00185B40"/>
  </w:style>
  <w:style w:type="table" w:customStyle="1" w:styleId="Tablaconcuadrcula1">
    <w:name w:val="Tabla con cuadrícula1"/>
    <w:basedOn w:val="Tablanormal"/>
    <w:next w:val="Tablaconcuadrcula"/>
    <w:uiPriority w:val="59"/>
    <w:rsid w:val="00185B40"/>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ipsurligne">
    <w:name w:val="spip_surligne"/>
    <w:basedOn w:val="Fuentedeprrafopredeter"/>
    <w:rsid w:val="00185B40"/>
  </w:style>
  <w:style w:type="character" w:customStyle="1" w:styleId="Referenciaintensa2">
    <w:name w:val="Referencia intensa2"/>
    <w:basedOn w:val="Fuentedeprrafopredeter"/>
    <w:uiPriority w:val="68"/>
    <w:qFormat/>
    <w:rsid w:val="00D67FAF"/>
    <w:rPr>
      <w:b/>
      <w:bCs/>
      <w:smallCaps/>
      <w:color w:val="C0504D"/>
      <w:spacing w:val="5"/>
      <w:u w:val="single"/>
    </w:rPr>
  </w:style>
  <w:style w:type="character" w:customStyle="1" w:styleId="glossarytooltips">
    <w:name w:val="glossarytooltips"/>
    <w:basedOn w:val="Fuentedeprrafopredeter"/>
    <w:rsid w:val="00185B40"/>
  </w:style>
  <w:style w:type="character" w:customStyle="1" w:styleId="true-parameter">
    <w:name w:val="true-parameter"/>
    <w:basedOn w:val="Fuentedeprrafopredeter"/>
    <w:rsid w:val="00185B40"/>
  </w:style>
  <w:style w:type="character" w:styleId="Referenciaintensa">
    <w:name w:val="Intense Reference"/>
    <w:basedOn w:val="Fuentedeprrafopredeter"/>
    <w:uiPriority w:val="68"/>
    <w:qFormat/>
    <w:rsid w:val="00D67FAF"/>
    <w:rPr>
      <w:b/>
      <w:bCs/>
      <w:smallCaps/>
      <w:color w:val="C0504D" w:themeColor="accent2"/>
      <w:spacing w:val="5"/>
      <w:u w:val="single"/>
    </w:rPr>
  </w:style>
  <w:style w:type="numbering" w:customStyle="1" w:styleId="Sinlista2">
    <w:name w:val="Sin lista2"/>
    <w:next w:val="Sinlista"/>
    <w:uiPriority w:val="99"/>
    <w:semiHidden/>
    <w:unhideWhenUsed/>
    <w:rsid w:val="003727A8"/>
  </w:style>
  <w:style w:type="paragraph" w:customStyle="1" w:styleId="WW-Textoindependiente3">
    <w:name w:val="WW-Texto independiente 3"/>
    <w:basedOn w:val="Normal"/>
    <w:rsid w:val="003727A8"/>
    <w:pPr>
      <w:suppressAutoHyphens/>
      <w:spacing w:after="120"/>
      <w:jc w:val="both"/>
    </w:pPr>
    <w:rPr>
      <w:rFonts w:ascii="Arial" w:eastAsia="Times New Roman" w:hAnsi="Arial" w:cs="Times New Roman"/>
      <w:sz w:val="16"/>
      <w:szCs w:val="16"/>
      <w:lang w:val="es-ES" w:eastAsia="ar-SA"/>
    </w:rPr>
  </w:style>
  <w:style w:type="character" w:customStyle="1" w:styleId="highlight">
    <w:name w:val="highlight"/>
    <w:basedOn w:val="Fuentedeprrafopredeter"/>
    <w:rsid w:val="003727A8"/>
  </w:style>
  <w:style w:type="table" w:customStyle="1" w:styleId="Tablaconcuadrcula2">
    <w:name w:val="Tabla con cuadrícula2"/>
    <w:basedOn w:val="Tablanormal"/>
    <w:next w:val="Tablaconcuadrcula"/>
    <w:uiPriority w:val="59"/>
    <w:rsid w:val="003727A8"/>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p">
    <w:name w:val="sup"/>
    <w:basedOn w:val="Fuentedeprrafopredeter"/>
    <w:rsid w:val="00823294"/>
  </w:style>
  <w:style w:type="numbering" w:customStyle="1" w:styleId="Sinlista3">
    <w:name w:val="Sin lista3"/>
    <w:next w:val="Sinlista"/>
    <w:uiPriority w:val="99"/>
    <w:semiHidden/>
    <w:unhideWhenUsed/>
    <w:rsid w:val="007677CA"/>
  </w:style>
  <w:style w:type="table" w:customStyle="1" w:styleId="Tablaconcuadrcula3">
    <w:name w:val="Tabla con cuadrícula3"/>
    <w:basedOn w:val="Tablanormal"/>
    <w:next w:val="Tablaconcuadrcula"/>
    <w:uiPriority w:val="59"/>
    <w:rsid w:val="007677CA"/>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8C18C0"/>
  </w:style>
  <w:style w:type="table" w:customStyle="1" w:styleId="Tablaconcuadrcula4">
    <w:name w:val="Tabla con cuadrícula4"/>
    <w:basedOn w:val="Tablanormal"/>
    <w:next w:val="Tablaconcuadrcula"/>
    <w:uiPriority w:val="59"/>
    <w:rsid w:val="008C18C0"/>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notaalfinal">
    <w:name w:val="endnote reference"/>
    <w:basedOn w:val="Fuentedeprrafopredeter"/>
    <w:unhideWhenUsed/>
    <w:rsid w:val="00F32F81"/>
    <w:rPr>
      <w:vertAlign w:val="superscript"/>
    </w:rPr>
  </w:style>
  <w:style w:type="numbering" w:customStyle="1" w:styleId="Sinlista5">
    <w:name w:val="Sin lista5"/>
    <w:next w:val="Sinlista"/>
    <w:uiPriority w:val="99"/>
    <w:semiHidden/>
    <w:unhideWhenUsed/>
    <w:rsid w:val="00BC3FFD"/>
  </w:style>
  <w:style w:type="table" w:customStyle="1" w:styleId="Tablaconcuadrcula5">
    <w:name w:val="Tabla con cuadrícula5"/>
    <w:basedOn w:val="Tablanormal"/>
    <w:next w:val="Tablaconcuadrcula"/>
    <w:uiPriority w:val="59"/>
    <w:rsid w:val="00BC3FFD"/>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adrculaclara-nfasis31">
    <w:name w:val="Cuadrícula clara - Énfasis 31"/>
    <w:basedOn w:val="Normal"/>
    <w:uiPriority w:val="72"/>
    <w:qFormat/>
    <w:rsid w:val="00D67FAF"/>
    <w:pPr>
      <w:ind w:left="708"/>
    </w:pPr>
    <w:rPr>
      <w:rFonts w:ascii="Times New Roman" w:eastAsia="Times New Roman" w:hAnsi="Times New Roman" w:cs="Times New Roman"/>
      <w:lang w:val="es-ES"/>
    </w:rPr>
  </w:style>
  <w:style w:type="character" w:customStyle="1" w:styleId="Refdenotaalpie3">
    <w:name w:val="Ref. de nota al pie3"/>
    <w:rsid w:val="008B2682"/>
  </w:style>
  <w:style w:type="paragraph" w:customStyle="1" w:styleId="Textonotapie3">
    <w:name w:val="Texto nota pie3"/>
    <w:basedOn w:val="Normal"/>
    <w:rsid w:val="008B2682"/>
    <w:pPr>
      <w:suppressAutoHyphens/>
    </w:pPr>
    <w:rPr>
      <w:rFonts w:ascii="Times New Roman" w:eastAsia="Times New Roman" w:hAnsi="Times New Roman" w:cs="Times New Roman"/>
      <w:kern w:val="1"/>
      <w:lang w:val="es-ES" w:eastAsia="ar-SA"/>
    </w:rPr>
  </w:style>
  <w:style w:type="numbering" w:customStyle="1" w:styleId="Sinlista6">
    <w:name w:val="Sin lista6"/>
    <w:next w:val="Sinlista"/>
    <w:uiPriority w:val="99"/>
    <w:semiHidden/>
    <w:unhideWhenUsed/>
    <w:rsid w:val="002E52CA"/>
  </w:style>
  <w:style w:type="table" w:customStyle="1" w:styleId="Tablaconcuadrcula6">
    <w:name w:val="Tabla con cuadrícula6"/>
    <w:basedOn w:val="Tablanormal"/>
    <w:next w:val="Tablaconcuadrcula"/>
    <w:uiPriority w:val="59"/>
    <w:rsid w:val="002E52CA"/>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denotaalpie4">
    <w:name w:val="Ref. de nota al pie4"/>
    <w:rsid w:val="002C6AB3"/>
  </w:style>
  <w:style w:type="paragraph" w:customStyle="1" w:styleId="Textonotapie4">
    <w:name w:val="Texto nota pie4"/>
    <w:basedOn w:val="Normal"/>
    <w:rsid w:val="002C6AB3"/>
    <w:pPr>
      <w:suppressAutoHyphens/>
    </w:pPr>
    <w:rPr>
      <w:rFonts w:ascii="Times New Roman" w:eastAsia="Times New Roman" w:hAnsi="Times New Roman" w:cs="Times New Roman"/>
      <w:kern w:val="1"/>
      <w:lang w:val="es-ES" w:eastAsia="ar-SA"/>
    </w:rPr>
  </w:style>
  <w:style w:type="numbering" w:customStyle="1" w:styleId="Sinlista7">
    <w:name w:val="Sin lista7"/>
    <w:next w:val="Sinlista"/>
    <w:uiPriority w:val="99"/>
    <w:semiHidden/>
    <w:unhideWhenUsed/>
    <w:rsid w:val="00CE2A5B"/>
  </w:style>
  <w:style w:type="table" w:customStyle="1" w:styleId="Tablaconcuadrcula7">
    <w:name w:val="Tabla con cuadrícula7"/>
    <w:basedOn w:val="Tablanormal"/>
    <w:next w:val="Tablaconcuadrcula"/>
    <w:uiPriority w:val="59"/>
    <w:rsid w:val="00CE2A5B"/>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
    <w:name w:val="Sin lista8"/>
    <w:next w:val="Sinlista"/>
    <w:uiPriority w:val="99"/>
    <w:semiHidden/>
    <w:unhideWhenUsed/>
    <w:rsid w:val="002145B5"/>
  </w:style>
  <w:style w:type="table" w:customStyle="1" w:styleId="Tablaconcuadrcula8">
    <w:name w:val="Tabla con cuadrícula8"/>
    <w:basedOn w:val="Tablanormal"/>
    <w:next w:val="Tablaconcuadrcula"/>
    <w:uiPriority w:val="59"/>
    <w:rsid w:val="002145B5"/>
    <w:rPr>
      <w:rFonts w:ascii="Calibri" w:eastAsia="Calibri" w:hAnsi="Calibri" w:cs="Times New Roman"/>
      <w:sz w:val="20"/>
      <w:szCs w:val="20"/>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310">
    <w:name w:val="Pa3+10"/>
    <w:basedOn w:val="Normal"/>
    <w:next w:val="Normal"/>
    <w:rsid w:val="00BF4364"/>
    <w:pPr>
      <w:autoSpaceDE w:val="0"/>
      <w:autoSpaceDN w:val="0"/>
      <w:adjustRightInd w:val="0"/>
      <w:spacing w:line="171" w:lineRule="atLeast"/>
    </w:pPr>
    <w:rPr>
      <w:rFonts w:ascii="Univers LT Std 45 Light" w:eastAsiaTheme="minorHAnsi" w:hAnsi="Univers LT Std 45 Light" w:cs="Times New Roman"/>
      <w:lang w:val="es-ES" w:eastAsia="en-US"/>
    </w:rPr>
  </w:style>
  <w:style w:type="paragraph" w:customStyle="1" w:styleId="Titulo1-InformeFinal">
    <w:name w:val="Titulo 1 - Informe Final"/>
    <w:basedOn w:val="Ttulo1"/>
    <w:qFormat/>
    <w:rsid w:val="00D67FAF"/>
    <w:rPr>
      <w:rFonts w:ascii="Open Sans" w:hAnsi="Open Sans"/>
    </w:rPr>
  </w:style>
  <w:style w:type="paragraph" w:customStyle="1" w:styleId="Titulo2-InformeFinal">
    <w:name w:val="Titulo 2 - Informe Final"/>
    <w:basedOn w:val="Ttulo1"/>
    <w:qFormat/>
    <w:rsid w:val="00D67FAF"/>
    <w:rPr>
      <w:rFonts w:ascii="Open Sans" w:hAnsi="Open Sans"/>
      <w:sz w:val="28"/>
      <w:szCs w:val="28"/>
    </w:rPr>
  </w:style>
  <w:style w:type="paragraph" w:customStyle="1" w:styleId="Titulo1-informeindividual">
    <w:name w:val="Titulo1-informe_individual"/>
    <w:basedOn w:val="Normal"/>
    <w:qFormat/>
    <w:rsid w:val="00E75060"/>
    <w:pPr>
      <w:jc w:val="both"/>
      <w:outlineLvl w:val="5"/>
    </w:pPr>
    <w:rPr>
      <w:rFonts w:ascii="Open Sans" w:hAnsi="Open Sans" w:cs="Arial"/>
      <w:b/>
      <w:sz w:val="22"/>
      <w:szCs w:val="22"/>
      <w:u w:val="single"/>
    </w:rPr>
  </w:style>
  <w:style w:type="paragraph" w:customStyle="1" w:styleId="PIePagina-Informe">
    <w:name w:val="PIe Pagina - Informe"/>
    <w:basedOn w:val="Textonotapie"/>
    <w:qFormat/>
    <w:rsid w:val="00E75060"/>
    <w:pPr>
      <w:jc w:val="both"/>
    </w:pPr>
    <w:rPr>
      <w:rFonts w:ascii="Open Sans" w:hAnsi="Open Sans" w:cs="Open Sans"/>
      <w:sz w:val="15"/>
      <w:szCs w:val="15"/>
    </w:rPr>
  </w:style>
  <w:style w:type="paragraph" w:customStyle="1" w:styleId="Texto-InformeIBEX">
    <w:name w:val="Texto - Informe IBEX"/>
    <w:basedOn w:val="Normal"/>
    <w:link w:val="Texto-InformeIBEXCar"/>
    <w:qFormat/>
    <w:rsid w:val="006F2AEA"/>
    <w:pPr>
      <w:ind w:right="52"/>
      <w:jc w:val="both"/>
    </w:pPr>
    <w:rPr>
      <w:rFonts w:ascii="Open Sans" w:eastAsia="Times New Roman" w:hAnsi="Open Sans" w:cs="Open Sans"/>
      <w:sz w:val="20"/>
      <w:szCs w:val="20"/>
      <w:lang w:val="es-ES" w:eastAsia="en-US"/>
    </w:rPr>
  </w:style>
  <w:style w:type="character" w:customStyle="1" w:styleId="Texto-InformeIBEXCar">
    <w:name w:val="Texto - Informe IBEX Car"/>
    <w:link w:val="Texto-InformeIBEX"/>
    <w:rsid w:val="006F2AEA"/>
    <w:rPr>
      <w:rFonts w:ascii="Open Sans" w:eastAsia="Times New Roman" w:hAnsi="Open Sans" w:cs="Open Sans"/>
      <w:sz w:val="20"/>
      <w:szCs w:val="20"/>
      <w:lang w:val="es-ES" w:eastAsia="en-US"/>
    </w:rPr>
  </w:style>
  <w:style w:type="paragraph" w:customStyle="1" w:styleId="Normal1">
    <w:name w:val="Normal1"/>
    <w:qFormat/>
    <w:rsid w:val="006F2AEA"/>
    <w:rPr>
      <w:rFonts w:ascii="Times New Roman" w:eastAsia="Times New Roman" w:hAnsi="Times New Roman" w:cs="Times New Roman"/>
      <w:color w:val="000000"/>
      <w:szCs w:val="20"/>
      <w:lang w:val="es-ES"/>
    </w:rPr>
  </w:style>
  <w:style w:type="character" w:customStyle="1" w:styleId="A2">
    <w:name w:val="A2"/>
    <w:uiPriority w:val="99"/>
    <w:rsid w:val="006F2AEA"/>
    <w:rPr>
      <w:rFonts w:cs="Repsol"/>
      <w:color w:val="000000"/>
      <w:sz w:val="22"/>
      <w:szCs w:val="22"/>
    </w:rPr>
  </w:style>
  <w:style w:type="paragraph" w:customStyle="1" w:styleId="Piedepgina-InformeIBEX">
    <w:name w:val="Pie de página - Informe IBEX"/>
    <w:basedOn w:val="Textonotapie"/>
    <w:link w:val="Piedepgina-InformeIBEXCar"/>
    <w:rsid w:val="006F2AEA"/>
    <w:rPr>
      <w:rFonts w:ascii="Open Sans" w:hAnsi="Open Sans" w:cs="Open Sans"/>
      <w:sz w:val="15"/>
      <w:szCs w:val="15"/>
      <w:lang w:val="x-none" w:eastAsia="x-none"/>
    </w:rPr>
  </w:style>
  <w:style w:type="character" w:customStyle="1" w:styleId="Piedepgina-InformeIBEXCar">
    <w:name w:val="Pie de página - Informe IBEX Car"/>
    <w:link w:val="Piedepgina-InformeIBEX"/>
    <w:rsid w:val="006F2AEA"/>
    <w:rPr>
      <w:rFonts w:ascii="Open Sans" w:eastAsia="Times New Roman" w:hAnsi="Open Sans" w:cs="Open Sans"/>
      <w:sz w:val="15"/>
      <w:szCs w:val="15"/>
      <w:lang w:val="x-none" w:eastAsia="x-none"/>
    </w:rPr>
  </w:style>
  <w:style w:type="character" w:customStyle="1" w:styleId="Caracteresdenotaalpie">
    <w:name w:val="Caracteres de nota al pie"/>
    <w:rsid w:val="006F2AEA"/>
    <w:rPr>
      <w:vertAlign w:val="superscript"/>
    </w:rPr>
  </w:style>
  <w:style w:type="character" w:customStyle="1" w:styleId="Fuentedeprrafopredeter1">
    <w:name w:val="Fuente de párrafo predeter.1"/>
    <w:rsid w:val="006F2AEA"/>
  </w:style>
  <w:style w:type="character" w:customStyle="1" w:styleId="Refdecomentario1">
    <w:name w:val="Ref. de comentario1"/>
    <w:rsid w:val="006F2AEA"/>
    <w:rPr>
      <w:sz w:val="18"/>
      <w:szCs w:val="18"/>
    </w:rPr>
  </w:style>
  <w:style w:type="paragraph" w:customStyle="1" w:styleId="Ttulo1-InformeIBEX">
    <w:name w:val="Título 1 - Informe IBEX"/>
    <w:basedOn w:val="Normal"/>
    <w:link w:val="Ttulo1-InformeIBEXCar"/>
    <w:qFormat/>
    <w:rsid w:val="009927D7"/>
    <w:pPr>
      <w:numPr>
        <w:numId w:val="9"/>
      </w:numPr>
      <w:jc w:val="both"/>
      <w:outlineLvl w:val="5"/>
    </w:pPr>
    <w:rPr>
      <w:rFonts w:ascii="Open Sans" w:eastAsia="Times New Roman" w:hAnsi="Open Sans" w:cs="Arial"/>
      <w:b/>
      <w:sz w:val="22"/>
      <w:szCs w:val="22"/>
      <w:u w:val="single"/>
      <w:lang w:val="es-ES" w:eastAsia="en-US"/>
    </w:rPr>
  </w:style>
  <w:style w:type="character" w:customStyle="1" w:styleId="Ttulo1-InformeIBEXCar">
    <w:name w:val="Título 1 - Informe IBEX Car"/>
    <w:link w:val="Ttulo1-InformeIBEX"/>
    <w:rsid w:val="009927D7"/>
    <w:rPr>
      <w:rFonts w:ascii="Open Sans" w:eastAsia="Times New Roman" w:hAnsi="Open Sans" w:cs="Arial"/>
      <w:b/>
      <w:sz w:val="22"/>
      <w:szCs w:val="22"/>
      <w:u w:val="single"/>
      <w:lang w:val="es-ES" w:eastAsia="en-US"/>
    </w:rPr>
  </w:style>
  <w:style w:type="paragraph" w:customStyle="1" w:styleId="Ttulo2-InformeIBEX">
    <w:name w:val="Título 2 - Informe IBEX"/>
    <w:basedOn w:val="Normal"/>
    <w:link w:val="Ttulo2-InformeIBEXCar"/>
    <w:qFormat/>
    <w:rsid w:val="009927D7"/>
    <w:pPr>
      <w:ind w:left="1440" w:hanging="360"/>
      <w:jc w:val="both"/>
    </w:pPr>
    <w:rPr>
      <w:rFonts w:ascii="Open Sans" w:eastAsia="Times New Roman" w:hAnsi="Open Sans" w:cs="Times New Roman"/>
      <w:b/>
      <w:sz w:val="20"/>
      <w:szCs w:val="20"/>
      <w:lang w:val="es-ES" w:eastAsia="en-US"/>
    </w:rPr>
  </w:style>
  <w:style w:type="character" w:customStyle="1" w:styleId="Ttulo2-InformeIBEXCar">
    <w:name w:val="Título 2 - Informe IBEX Car"/>
    <w:link w:val="Ttulo2-InformeIBEX"/>
    <w:rsid w:val="009927D7"/>
    <w:rPr>
      <w:rFonts w:ascii="Open Sans" w:eastAsia="Times New Roman" w:hAnsi="Open Sans" w:cs="Times New Roman"/>
      <w:b/>
      <w:sz w:val="20"/>
      <w:szCs w:val="20"/>
      <w:lang w:val="es-ES" w:eastAsia="en-US"/>
    </w:rPr>
  </w:style>
  <w:style w:type="paragraph" w:customStyle="1" w:styleId="Texto-Informe">
    <w:name w:val="Texto-Informe"/>
    <w:basedOn w:val="Normal"/>
    <w:qFormat/>
    <w:rsid w:val="00E75060"/>
    <w:pPr>
      <w:numPr>
        <w:numId w:val="10"/>
      </w:numPr>
      <w:autoSpaceDE w:val="0"/>
      <w:autoSpaceDN w:val="0"/>
      <w:adjustRightInd w:val="0"/>
      <w:jc w:val="both"/>
    </w:pPr>
    <w:rPr>
      <w:rFonts w:ascii="Open Sans" w:hAnsi="Open Sans" w:cs="Arial"/>
      <w:sz w:val="20"/>
      <w:szCs w:val="20"/>
    </w:rPr>
  </w:style>
  <w:style w:type="paragraph" w:customStyle="1" w:styleId="Titulo2-Informe">
    <w:name w:val="Titulo 2 - Informe"/>
    <w:basedOn w:val="Normal"/>
    <w:qFormat/>
    <w:rsid w:val="00E75060"/>
    <w:pPr>
      <w:jc w:val="both"/>
    </w:pPr>
    <w:rPr>
      <w:rFonts w:ascii="Open Sans" w:hAnsi="Open Sans"/>
      <w:b/>
      <w:sz w:val="20"/>
      <w:szCs w:val="20"/>
    </w:rPr>
  </w:style>
  <w:style w:type="character" w:customStyle="1" w:styleId="resumendcha">
    <w:name w:val="resumen_dcha"/>
    <w:basedOn w:val="Fuentedeprrafopredeter"/>
    <w:rsid w:val="006F2FB5"/>
  </w:style>
  <w:style w:type="paragraph" w:styleId="z-Principiodelformulario">
    <w:name w:val="HTML Top of Form"/>
    <w:basedOn w:val="Normal"/>
    <w:next w:val="Normal"/>
    <w:link w:val="z-PrincipiodelformularioCar"/>
    <w:hidden/>
    <w:uiPriority w:val="99"/>
    <w:semiHidden/>
    <w:unhideWhenUsed/>
    <w:rsid w:val="006F2FB5"/>
    <w:pPr>
      <w:pBdr>
        <w:bottom w:val="single" w:sz="6" w:space="1" w:color="auto"/>
      </w:pBdr>
      <w:jc w:val="center"/>
    </w:pPr>
    <w:rPr>
      <w:rFonts w:cs="Arial"/>
      <w:vanish/>
      <w:sz w:val="16"/>
      <w:szCs w:val="16"/>
      <w:lang w:val="es-ES"/>
    </w:rPr>
  </w:style>
  <w:style w:type="character" w:customStyle="1" w:styleId="z-PrincipiodelformularioCar">
    <w:name w:val="z-Principio del formulario Car"/>
    <w:basedOn w:val="Fuentedeprrafopredeter"/>
    <w:link w:val="z-Principiodelformulario"/>
    <w:uiPriority w:val="99"/>
    <w:semiHidden/>
    <w:rsid w:val="006F2FB5"/>
    <w:rPr>
      <w:rFonts w:cs="Arial"/>
      <w:vanish/>
      <w:sz w:val="16"/>
      <w:szCs w:val="16"/>
      <w:lang w:val="es-ES"/>
    </w:rPr>
  </w:style>
  <w:style w:type="paragraph" w:styleId="z-Finaldelformulario">
    <w:name w:val="HTML Bottom of Form"/>
    <w:basedOn w:val="Normal"/>
    <w:next w:val="Normal"/>
    <w:link w:val="z-FinaldelformularioCar"/>
    <w:hidden/>
    <w:uiPriority w:val="99"/>
    <w:semiHidden/>
    <w:unhideWhenUsed/>
    <w:rsid w:val="006F2FB5"/>
    <w:pPr>
      <w:pBdr>
        <w:top w:val="single" w:sz="6" w:space="1" w:color="auto"/>
      </w:pBdr>
      <w:jc w:val="center"/>
    </w:pPr>
    <w:rPr>
      <w:rFonts w:cs="Arial"/>
      <w:vanish/>
      <w:sz w:val="16"/>
      <w:szCs w:val="16"/>
      <w:lang w:val="es-ES"/>
    </w:rPr>
  </w:style>
  <w:style w:type="character" w:customStyle="1" w:styleId="z-FinaldelformularioCar">
    <w:name w:val="z-Final del formulario Car"/>
    <w:basedOn w:val="Fuentedeprrafopredeter"/>
    <w:link w:val="z-Finaldelformulario"/>
    <w:uiPriority w:val="99"/>
    <w:semiHidden/>
    <w:rsid w:val="006F2FB5"/>
    <w:rPr>
      <w:rFonts w:cs="Arial"/>
      <w:vanish/>
      <w:sz w:val="16"/>
      <w:szCs w:val="16"/>
      <w:lang w:val="es-ES"/>
    </w:rPr>
  </w:style>
  <w:style w:type="paragraph" w:customStyle="1" w:styleId="firm">
    <w:name w:val="firm"/>
    <w:basedOn w:val="Normal"/>
    <w:rsid w:val="006F2FB5"/>
    <w:pPr>
      <w:spacing w:before="100" w:beforeAutospacing="1" w:after="100" w:afterAutospacing="1"/>
    </w:pPr>
    <w:rPr>
      <w:rFonts w:ascii="Times New Roman" w:hAnsi="Times New Roman"/>
      <w:lang w:val="es-ES"/>
    </w:rPr>
  </w:style>
  <w:style w:type="character" w:customStyle="1" w:styleId="fech">
    <w:name w:val="fech"/>
    <w:basedOn w:val="Fuentedeprrafopredeter"/>
    <w:rsid w:val="006F2FB5"/>
  </w:style>
  <w:style w:type="character" w:customStyle="1" w:styleId="numcom">
    <w:name w:val="numcom"/>
    <w:basedOn w:val="Fuentedeprrafopredeter"/>
    <w:rsid w:val="006F2FB5"/>
  </w:style>
  <w:style w:type="character" w:customStyle="1" w:styleId="doc">
    <w:name w:val="doc"/>
    <w:basedOn w:val="Fuentedeprrafopredeter"/>
    <w:rsid w:val="006F2FB5"/>
  </w:style>
  <w:style w:type="paragraph" w:customStyle="1" w:styleId="pie">
    <w:name w:val="pie"/>
    <w:basedOn w:val="Normal"/>
    <w:rsid w:val="006F2FB5"/>
    <w:pPr>
      <w:spacing w:before="100" w:beforeAutospacing="1" w:after="100" w:afterAutospacing="1"/>
    </w:pPr>
    <w:rPr>
      <w:rFonts w:ascii="Times New Roman" w:hAnsi="Times New Roman"/>
      <w:lang w:val="es-ES"/>
    </w:rPr>
  </w:style>
  <w:style w:type="paragraph" w:customStyle="1" w:styleId="Citaintensa1">
    <w:name w:val="Cita intensa1"/>
    <w:basedOn w:val="Normal"/>
    <w:next w:val="Normal"/>
    <w:link w:val="IntenseQuoteChar"/>
    <w:autoRedefine/>
    <w:rsid w:val="00414D23"/>
    <w:pPr>
      <w:widowControl w:val="0"/>
      <w:pBdr>
        <w:bottom w:val="single" w:sz="4" w:space="4" w:color="4F81BD"/>
      </w:pBdr>
      <w:spacing w:before="200" w:after="280" w:line="276" w:lineRule="auto"/>
      <w:ind w:left="936" w:right="936"/>
    </w:pPr>
    <w:rPr>
      <w:rFonts w:ascii="Calibri" w:eastAsia="MS Mincho" w:hAnsi="Calibri" w:cs="Times New Roman"/>
      <w:b/>
      <w:bCs/>
      <w:i/>
      <w:iCs/>
      <w:color w:val="000090"/>
      <w:sz w:val="36"/>
      <w:szCs w:val="22"/>
      <w:lang w:eastAsia="en-US"/>
    </w:rPr>
  </w:style>
  <w:style w:type="character" w:customStyle="1" w:styleId="IntenseQuoteChar">
    <w:name w:val="Intense Quote Char"/>
    <w:link w:val="Citaintensa1"/>
    <w:locked/>
    <w:rsid w:val="00414D23"/>
    <w:rPr>
      <w:rFonts w:ascii="Calibri" w:eastAsia="MS Mincho" w:hAnsi="Calibri" w:cs="Times New Roman"/>
      <w:b/>
      <w:bCs/>
      <w:i/>
      <w:iCs/>
      <w:color w:val="000090"/>
      <w:sz w:val="36"/>
      <w:szCs w:val="22"/>
      <w:lang w:eastAsia="en-US"/>
    </w:rPr>
  </w:style>
  <w:style w:type="character" w:customStyle="1" w:styleId="A101">
    <w:name w:val="A10+1"/>
    <w:rsid w:val="00414D23"/>
    <w:rPr>
      <w:rFonts w:cs="Univers LT Std 45 Light"/>
      <w:color w:val="000000"/>
    </w:rPr>
  </w:style>
  <w:style w:type="character" w:customStyle="1" w:styleId="nfasisintenso1">
    <w:name w:val="Énfasis intenso1"/>
    <w:uiPriority w:val="21"/>
    <w:rsid w:val="00414D23"/>
    <w:rPr>
      <w:rFonts w:ascii="Calibri" w:hAnsi="Calibri" w:cs="Times New Roman"/>
      <w:b/>
      <w:bCs/>
      <w:iCs/>
      <w:color w:val="000090"/>
      <w:sz w:val="40"/>
    </w:rPr>
  </w:style>
  <w:style w:type="paragraph" w:customStyle="1" w:styleId="Prrafodelista2">
    <w:name w:val="Párrafo de lista2"/>
    <w:basedOn w:val="Normal"/>
    <w:rsid w:val="00414D23"/>
    <w:pPr>
      <w:ind w:left="720"/>
    </w:pPr>
    <w:rPr>
      <w:rFonts w:ascii="Cambria" w:eastAsia="MS Mincho" w:hAnsi="Cambria" w:cs="Times New Roman"/>
      <w:lang w:eastAsia="es-ES_tradnl" w:bidi="ks-Deva"/>
    </w:rPr>
  </w:style>
  <w:style w:type="paragraph" w:customStyle="1" w:styleId="Pa26">
    <w:name w:val="Pa26"/>
    <w:basedOn w:val="Default"/>
    <w:next w:val="Default"/>
    <w:uiPriority w:val="99"/>
    <w:rsid w:val="00414D23"/>
    <w:pPr>
      <w:spacing w:line="261" w:lineRule="atLeast"/>
    </w:pPr>
    <w:rPr>
      <w:rFonts w:ascii="Univers LT Std 45 Light" w:hAnsi="Univers LT Std 45 Light"/>
      <w:color w:val="auto"/>
    </w:rPr>
  </w:style>
  <w:style w:type="paragraph" w:customStyle="1" w:styleId="Pa163">
    <w:name w:val="Pa16+3"/>
    <w:basedOn w:val="Default"/>
    <w:next w:val="Default"/>
    <w:rsid w:val="00414D23"/>
    <w:pPr>
      <w:spacing w:line="171" w:lineRule="atLeast"/>
    </w:pPr>
    <w:rPr>
      <w:rFonts w:ascii="Univers LT Std 45 Light" w:hAnsi="Univers LT Std 45 Light"/>
      <w:color w:val="auto"/>
    </w:rPr>
  </w:style>
  <w:style w:type="character" w:customStyle="1" w:styleId="A111">
    <w:name w:val="A11+1"/>
    <w:rsid w:val="00414D23"/>
    <w:rPr>
      <w:rFonts w:cs="Univers LT Std 45 Light"/>
      <w:color w:val="000000"/>
      <w:sz w:val="10"/>
      <w:szCs w:val="10"/>
    </w:rPr>
  </w:style>
  <w:style w:type="character" w:customStyle="1" w:styleId="A9">
    <w:name w:val="A9"/>
    <w:uiPriority w:val="99"/>
    <w:rsid w:val="00414D23"/>
    <w:rPr>
      <w:rFonts w:cs="Univers LT Std 45 Light"/>
      <w:color w:val="000000"/>
      <w:sz w:val="22"/>
      <w:szCs w:val="22"/>
    </w:rPr>
  </w:style>
  <w:style w:type="paragraph" w:customStyle="1" w:styleId="Pa95">
    <w:name w:val="Pa9+5"/>
    <w:basedOn w:val="Default"/>
    <w:next w:val="Default"/>
    <w:rsid w:val="00414D23"/>
    <w:pPr>
      <w:spacing w:line="141" w:lineRule="atLeast"/>
    </w:pPr>
    <w:rPr>
      <w:rFonts w:ascii="Univers LT Std 45 Light" w:hAnsi="Univers LT Std 45 Light"/>
      <w:color w:val="auto"/>
    </w:rPr>
  </w:style>
  <w:style w:type="paragraph" w:customStyle="1" w:styleId="Pa58">
    <w:name w:val="Pa5+8"/>
    <w:basedOn w:val="Default"/>
    <w:next w:val="Default"/>
    <w:rsid w:val="00414D23"/>
    <w:pPr>
      <w:spacing w:line="171" w:lineRule="atLeast"/>
    </w:pPr>
    <w:rPr>
      <w:rFonts w:ascii="Univers LT Std 45 Light" w:hAnsi="Univers LT Std 45 Light"/>
      <w:color w:val="auto"/>
    </w:rPr>
  </w:style>
  <w:style w:type="character" w:customStyle="1" w:styleId="A47">
    <w:name w:val="A4+7"/>
    <w:rsid w:val="00414D23"/>
    <w:rPr>
      <w:rFonts w:cs="Univers LT Std 45 Light"/>
      <w:color w:val="000000"/>
      <w:sz w:val="16"/>
      <w:szCs w:val="16"/>
    </w:rPr>
  </w:style>
  <w:style w:type="paragraph" w:customStyle="1" w:styleId="Pa75">
    <w:name w:val="Pa7+5"/>
    <w:basedOn w:val="Default"/>
    <w:next w:val="Default"/>
    <w:rsid w:val="00414D23"/>
    <w:pPr>
      <w:spacing w:line="171" w:lineRule="atLeast"/>
    </w:pPr>
    <w:rPr>
      <w:rFonts w:ascii="Univers LT Std 45 Light" w:hAnsi="Univers LT Std 45 Light"/>
      <w:color w:val="auto"/>
    </w:rPr>
  </w:style>
  <w:style w:type="character" w:customStyle="1" w:styleId="A32">
    <w:name w:val="A3+2"/>
    <w:rsid w:val="00414D23"/>
    <w:rPr>
      <w:rFonts w:cs="Univers LT Std 45 Light"/>
      <w:color w:val="000000"/>
      <w:sz w:val="16"/>
      <w:szCs w:val="16"/>
    </w:rPr>
  </w:style>
  <w:style w:type="paragraph" w:customStyle="1" w:styleId="Pa72">
    <w:name w:val="Pa7+2"/>
    <w:basedOn w:val="Default"/>
    <w:next w:val="Default"/>
    <w:rsid w:val="00414D23"/>
    <w:pPr>
      <w:spacing w:line="171" w:lineRule="atLeast"/>
    </w:pPr>
    <w:rPr>
      <w:rFonts w:ascii="Univers LT Std 55" w:hAnsi="Univers LT Std 55"/>
      <w:color w:val="auto"/>
    </w:rPr>
  </w:style>
  <w:style w:type="character" w:customStyle="1" w:styleId="A22">
    <w:name w:val="A2+2"/>
    <w:rsid w:val="00414D23"/>
    <w:rPr>
      <w:rFonts w:cs="Univers LT Std 45 Light"/>
      <w:color w:val="000000"/>
      <w:sz w:val="16"/>
      <w:szCs w:val="16"/>
    </w:rPr>
  </w:style>
  <w:style w:type="character" w:customStyle="1" w:styleId="A23">
    <w:name w:val="A2+3"/>
    <w:rsid w:val="00414D23"/>
    <w:rPr>
      <w:rFonts w:cs="Univers LT Std 45 Light"/>
      <w:color w:val="000000"/>
      <w:sz w:val="16"/>
      <w:szCs w:val="16"/>
    </w:rPr>
  </w:style>
  <w:style w:type="paragraph" w:customStyle="1" w:styleId="Pa52">
    <w:name w:val="Pa5+2"/>
    <w:basedOn w:val="Default"/>
    <w:next w:val="Default"/>
    <w:rsid w:val="00414D23"/>
    <w:pPr>
      <w:spacing w:line="181" w:lineRule="atLeast"/>
    </w:pPr>
    <w:rPr>
      <w:rFonts w:ascii="Univers LT Std 45 Light" w:hAnsi="Univers LT Std 45 Light"/>
      <w:color w:val="auto"/>
    </w:rPr>
  </w:style>
  <w:style w:type="character" w:customStyle="1" w:styleId="A31">
    <w:name w:val="A3+1"/>
    <w:rsid w:val="00414D23"/>
    <w:rPr>
      <w:rFonts w:cs="Univers LT Std 45 Light"/>
      <w:color w:val="000000"/>
      <w:sz w:val="17"/>
      <w:szCs w:val="17"/>
    </w:rPr>
  </w:style>
  <w:style w:type="paragraph" w:customStyle="1" w:styleId="Pa183">
    <w:name w:val="Pa18+3"/>
    <w:basedOn w:val="Default"/>
    <w:next w:val="Default"/>
    <w:rsid w:val="00414D23"/>
    <w:pPr>
      <w:spacing w:line="181" w:lineRule="atLeast"/>
    </w:pPr>
    <w:rPr>
      <w:rFonts w:ascii="Univers LT Std 45 Light" w:hAnsi="Univers LT Std 45 Light"/>
      <w:color w:val="auto"/>
    </w:rPr>
  </w:style>
  <w:style w:type="character" w:customStyle="1" w:styleId="A4">
    <w:name w:val="A4"/>
    <w:uiPriority w:val="99"/>
    <w:rsid w:val="00414D23"/>
    <w:rPr>
      <w:rFonts w:cs="Univers LT Std 45 Light"/>
      <w:color w:val="000000"/>
      <w:sz w:val="16"/>
      <w:szCs w:val="16"/>
    </w:rPr>
  </w:style>
  <w:style w:type="character" w:customStyle="1" w:styleId="Cuadrculamediana3-nfasis2Car">
    <w:name w:val="Cuadrícula mediana 3 - Énfasis 2 Car"/>
    <w:link w:val="Cuadrculamedia3-nfasis2"/>
    <w:uiPriority w:val="30"/>
    <w:rsid w:val="00414D23"/>
    <w:rPr>
      <w:rFonts w:ascii="Calibri" w:hAnsi="Calibri"/>
      <w:b/>
      <w:bCs/>
      <w:i/>
      <w:iCs/>
      <w:color w:val="000090"/>
      <w:sz w:val="36"/>
    </w:rPr>
  </w:style>
  <w:style w:type="table" w:styleId="Cuadrculamedia3-nfasis2">
    <w:name w:val="Medium Grid 3 Accent 2"/>
    <w:basedOn w:val="Tablanormal"/>
    <w:link w:val="Cuadrculamediana3-nfasis2Car"/>
    <w:uiPriority w:val="30"/>
    <w:rsid w:val="00414D23"/>
    <w:rPr>
      <w:rFonts w:ascii="Calibri" w:hAnsi="Calibri"/>
      <w:b/>
      <w:bCs/>
      <w:i/>
      <w:iCs/>
      <w:color w:val="000090"/>
      <w:sz w:val="36"/>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paragraph" w:customStyle="1" w:styleId="Pa10">
    <w:name w:val="Pa10"/>
    <w:basedOn w:val="Default"/>
    <w:next w:val="Default"/>
    <w:rsid w:val="00F07FAD"/>
    <w:pPr>
      <w:spacing w:line="221" w:lineRule="atLeast"/>
    </w:pPr>
    <w:rPr>
      <w:rFonts w:ascii="Dialog" w:hAnsi="Dialog"/>
      <w:color w:val="auto"/>
    </w:rPr>
  </w:style>
  <w:style w:type="paragraph" w:customStyle="1" w:styleId="Pa1">
    <w:name w:val="Pa1"/>
    <w:basedOn w:val="Default"/>
    <w:next w:val="Default"/>
    <w:uiPriority w:val="99"/>
    <w:rsid w:val="002D1232"/>
    <w:pPr>
      <w:spacing w:line="241" w:lineRule="atLeast"/>
    </w:pPr>
    <w:rPr>
      <w:rFonts w:ascii="Repsol" w:eastAsiaTheme="minorEastAsia" w:hAnsi="Repsol"/>
      <w:color w:val="auto"/>
      <w:lang w:val="es-ES_tradnl" w:eastAsia="ja-JP"/>
    </w:rPr>
  </w:style>
  <w:style w:type="paragraph" w:styleId="Subttulo">
    <w:name w:val="Subtitle"/>
    <w:basedOn w:val="Normal"/>
    <w:next w:val="Normal"/>
    <w:link w:val="SubttuloCar"/>
    <w:uiPriority w:val="11"/>
    <w:qFormat/>
    <w:rsid w:val="00E75060"/>
    <w:pPr>
      <w:numPr>
        <w:ilvl w:val="1"/>
      </w:numPr>
    </w:pPr>
    <w:rPr>
      <w:rFonts w:asciiTheme="majorHAnsi" w:eastAsiaTheme="majorEastAsia" w:hAnsiTheme="majorHAnsi" w:cstheme="majorBidi"/>
      <w:i/>
      <w:iCs/>
      <w:color w:val="4F81BD" w:themeColor="accent1"/>
      <w:spacing w:val="15"/>
    </w:rPr>
  </w:style>
  <w:style w:type="character" w:customStyle="1" w:styleId="SubttuloCar">
    <w:name w:val="Subtítulo Car"/>
    <w:basedOn w:val="Fuentedeprrafopredeter"/>
    <w:link w:val="Subttulo"/>
    <w:uiPriority w:val="11"/>
    <w:rsid w:val="00E75060"/>
    <w:rPr>
      <w:rFonts w:asciiTheme="majorHAnsi" w:eastAsiaTheme="majorEastAsia" w:hAnsiTheme="majorHAnsi" w:cstheme="majorBidi"/>
      <w:i/>
      <w:iCs/>
      <w:color w:val="4F81BD" w:themeColor="accent1"/>
      <w:spacing w:val="15"/>
    </w:rPr>
  </w:style>
  <w:style w:type="character" w:customStyle="1" w:styleId="caps">
    <w:name w:val="caps"/>
    <w:basedOn w:val="Fuentedeprrafopredeter"/>
    <w:rsid w:val="002D1232"/>
  </w:style>
  <w:style w:type="character" w:customStyle="1" w:styleId="Fecha1">
    <w:name w:val="Fecha1"/>
    <w:basedOn w:val="Fuentedeprrafopredeter"/>
    <w:rsid w:val="002D1232"/>
  </w:style>
  <w:style w:type="character" w:customStyle="1" w:styleId="Refdenotaalpie5">
    <w:name w:val="Ref. de nota al pie5"/>
    <w:rsid w:val="00411856"/>
    <w:rPr>
      <w:vertAlign w:val="superscript"/>
    </w:rPr>
  </w:style>
  <w:style w:type="paragraph" w:customStyle="1" w:styleId="Prrafodelista3">
    <w:name w:val="Párrafo de lista3"/>
    <w:basedOn w:val="Normal"/>
    <w:rsid w:val="00411856"/>
    <w:pPr>
      <w:ind w:left="720"/>
      <w:contextualSpacing/>
    </w:pPr>
    <w:rPr>
      <w:rFonts w:ascii="Cambria" w:eastAsia="MS Mincho" w:hAnsi="Cambria" w:cs="Times New Roman"/>
    </w:rPr>
  </w:style>
  <w:style w:type="character" w:customStyle="1" w:styleId="A13">
    <w:name w:val="A13"/>
    <w:uiPriority w:val="99"/>
    <w:rsid w:val="002C33B5"/>
    <w:rPr>
      <w:rFonts w:cs="GillSans Light"/>
      <w:color w:val="404041"/>
      <w:sz w:val="22"/>
      <w:szCs w:val="22"/>
    </w:rPr>
  </w:style>
  <w:style w:type="paragraph" w:customStyle="1" w:styleId="Pa35">
    <w:name w:val="Pa35"/>
    <w:basedOn w:val="Normal"/>
    <w:next w:val="Normal"/>
    <w:uiPriority w:val="99"/>
    <w:rsid w:val="002C33B5"/>
    <w:pPr>
      <w:widowControl w:val="0"/>
      <w:autoSpaceDE w:val="0"/>
      <w:autoSpaceDN w:val="0"/>
      <w:adjustRightInd w:val="0"/>
      <w:spacing w:line="241" w:lineRule="atLeast"/>
    </w:pPr>
    <w:rPr>
      <w:rFonts w:ascii="GillSans Light" w:eastAsia="Calibri" w:hAnsi="GillSans Light" w:cs="Times New Roman"/>
    </w:rPr>
  </w:style>
  <w:style w:type="character" w:customStyle="1" w:styleId="A18">
    <w:name w:val="A18"/>
    <w:uiPriority w:val="99"/>
    <w:rsid w:val="002C33B5"/>
    <w:rPr>
      <w:rFonts w:cs="GillSans Light"/>
      <w:color w:val="404041"/>
      <w:sz w:val="19"/>
      <w:szCs w:val="19"/>
    </w:rPr>
  </w:style>
  <w:style w:type="paragraph" w:customStyle="1" w:styleId="Pa5">
    <w:name w:val="Pa5"/>
    <w:basedOn w:val="Normal"/>
    <w:next w:val="Normal"/>
    <w:uiPriority w:val="99"/>
    <w:rsid w:val="00EE2426"/>
    <w:pPr>
      <w:autoSpaceDE w:val="0"/>
      <w:autoSpaceDN w:val="0"/>
      <w:adjustRightInd w:val="0"/>
      <w:spacing w:line="161" w:lineRule="atLeast"/>
    </w:pPr>
    <w:rPr>
      <w:rFonts w:ascii="Gotham" w:eastAsia="Calibri" w:hAnsi="Gotham" w:cs="Times New Roman"/>
      <w:lang w:val="es-CL" w:eastAsia="es-CL"/>
    </w:rPr>
  </w:style>
  <w:style w:type="paragraph" w:customStyle="1" w:styleId="Pa14">
    <w:name w:val="Pa14"/>
    <w:basedOn w:val="Normal"/>
    <w:next w:val="Normal"/>
    <w:uiPriority w:val="99"/>
    <w:rsid w:val="00EE2426"/>
    <w:pPr>
      <w:autoSpaceDE w:val="0"/>
      <w:autoSpaceDN w:val="0"/>
      <w:adjustRightInd w:val="0"/>
      <w:spacing w:line="161" w:lineRule="atLeast"/>
    </w:pPr>
    <w:rPr>
      <w:rFonts w:ascii="Gotham Condensed" w:eastAsia="Calibri" w:hAnsi="Gotham Condensed" w:cs="Times New Roman"/>
      <w:lang w:val="es-CL" w:eastAsia="es-CL"/>
    </w:rPr>
  </w:style>
  <w:style w:type="paragraph" w:customStyle="1" w:styleId="Pordefecto">
    <w:name w:val="Por defecto"/>
    <w:link w:val="PordefectoCar"/>
    <w:rsid w:val="0002129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line="240" w:lineRule="atLeast"/>
      <w:jc w:val="both"/>
    </w:pPr>
    <w:rPr>
      <w:rFonts w:ascii="Helvetica" w:eastAsia="Times New Roman" w:hAnsi="Helvetica" w:cs="Times New Roman"/>
      <w:color w:val="000000"/>
      <w:lang w:val="en-US"/>
    </w:rPr>
  </w:style>
  <w:style w:type="character" w:customStyle="1" w:styleId="PordefectoCar">
    <w:name w:val="Por defecto Car"/>
    <w:basedOn w:val="Fuentedeprrafopredeter"/>
    <w:link w:val="Pordefecto"/>
    <w:rsid w:val="00021294"/>
    <w:rPr>
      <w:rFonts w:ascii="Helvetica" w:eastAsia="Times New Roman" w:hAnsi="Helvetica" w:cs="Times New Roman"/>
      <w:color w:val="000000"/>
      <w:lang w:val="en-US"/>
    </w:rPr>
  </w:style>
  <w:style w:type="paragraph" w:customStyle="1" w:styleId="Citaintensa2">
    <w:name w:val="Cita intensa2"/>
    <w:basedOn w:val="Normal"/>
    <w:next w:val="Normal"/>
    <w:autoRedefine/>
    <w:rsid w:val="00566CB9"/>
    <w:pPr>
      <w:widowControl w:val="0"/>
      <w:pBdr>
        <w:bottom w:val="single" w:sz="4" w:space="4" w:color="4F81BD"/>
      </w:pBdr>
      <w:spacing w:before="200" w:after="280" w:line="276" w:lineRule="auto"/>
      <w:ind w:left="936" w:right="936"/>
    </w:pPr>
    <w:rPr>
      <w:rFonts w:ascii="Calibri" w:eastAsia="MS Mincho" w:hAnsi="Calibri" w:cs="Times New Roman"/>
      <w:b/>
      <w:bCs/>
      <w:i/>
      <w:iCs/>
      <w:color w:val="000090"/>
      <w:sz w:val="36"/>
      <w:szCs w:val="22"/>
      <w:lang w:eastAsia="en-US"/>
    </w:rPr>
  </w:style>
  <w:style w:type="character" w:customStyle="1" w:styleId="nfasisintenso2">
    <w:name w:val="Énfasis intenso2"/>
    <w:rsid w:val="00566CB9"/>
    <w:rPr>
      <w:rFonts w:ascii="Calibri" w:hAnsi="Calibri" w:cs="Times New Roman"/>
      <w:b/>
      <w:bCs/>
      <w:iCs/>
      <w:color w:val="000090"/>
      <w:sz w:val="40"/>
    </w:rPr>
  </w:style>
  <w:style w:type="paragraph" w:customStyle="1" w:styleId="Prrafodelista4">
    <w:name w:val="Párrafo de lista4"/>
    <w:basedOn w:val="Normal"/>
    <w:rsid w:val="00566CB9"/>
    <w:pPr>
      <w:ind w:left="720"/>
    </w:pPr>
    <w:rPr>
      <w:rFonts w:ascii="Cambria" w:eastAsia="MS Mincho" w:hAnsi="Cambria" w:cs="Times New Roman"/>
      <w:lang w:eastAsia="es-ES_tradnl" w:bidi="ks-Deva"/>
    </w:rPr>
  </w:style>
  <w:style w:type="character" w:customStyle="1" w:styleId="Cuadrculamediana2-nfasis4Car">
    <w:name w:val="Cuadrícula mediana 2 - Énfasis 4 Car"/>
    <w:link w:val="Cuadrculamedia2-nfasis4"/>
    <w:uiPriority w:val="30"/>
    <w:rsid w:val="00566CB9"/>
    <w:rPr>
      <w:rFonts w:ascii="Calibri" w:hAnsi="Calibri"/>
      <w:b/>
      <w:bCs/>
      <w:i/>
      <w:iCs/>
      <w:color w:val="000090"/>
      <w:sz w:val="36"/>
    </w:rPr>
  </w:style>
  <w:style w:type="character" w:customStyle="1" w:styleId="Tablanormal41">
    <w:name w:val="Tabla normal 41"/>
    <w:uiPriority w:val="21"/>
    <w:rsid w:val="00566CB9"/>
    <w:rPr>
      <w:rFonts w:ascii="Calibri" w:hAnsi="Calibri"/>
      <w:b/>
      <w:bCs/>
      <w:i w:val="0"/>
      <w:iCs/>
      <w:color w:val="000090"/>
      <w:sz w:val="40"/>
    </w:rPr>
  </w:style>
  <w:style w:type="character" w:customStyle="1" w:styleId="Tablanormal51">
    <w:name w:val="Tabla normal 51"/>
    <w:uiPriority w:val="67"/>
    <w:rsid w:val="00566CB9"/>
    <w:rPr>
      <w:smallCaps/>
      <w:color w:val="C0504D"/>
      <w:u w:val="single"/>
    </w:rPr>
  </w:style>
  <w:style w:type="character" w:customStyle="1" w:styleId="Cuadrculadetablaclara1">
    <w:name w:val="Cuadrícula de tabla clara1"/>
    <w:uiPriority w:val="68"/>
    <w:rsid w:val="00566CB9"/>
    <w:rPr>
      <w:b/>
      <w:bCs/>
      <w:smallCaps/>
      <w:color w:val="C0504D"/>
      <w:spacing w:val="5"/>
      <w:u w:val="single"/>
    </w:rPr>
  </w:style>
  <w:style w:type="paragraph" w:customStyle="1" w:styleId="Tabladecuadrcula31">
    <w:name w:val="Tabla de cuadrícula 31"/>
    <w:basedOn w:val="Ttulo1"/>
    <w:next w:val="Normal"/>
    <w:uiPriority w:val="39"/>
    <w:unhideWhenUsed/>
    <w:rsid w:val="00566CB9"/>
    <w:pPr>
      <w:keepLines/>
      <w:pBdr>
        <w:bottom w:val="none" w:sz="0" w:space="0" w:color="auto"/>
      </w:pBdr>
      <w:spacing w:before="480" w:after="0" w:line="276" w:lineRule="auto"/>
      <w:ind w:right="0"/>
      <w:outlineLvl w:val="9"/>
    </w:pPr>
    <w:rPr>
      <w:rFonts w:eastAsia="MS Gothic" w:cs="Mangal"/>
      <w:bCs/>
      <w:i/>
      <w:color w:val="365F91"/>
      <w:kern w:val="0"/>
      <w:sz w:val="28"/>
      <w:szCs w:val="28"/>
      <w:lang w:bidi="ks-Deva"/>
    </w:rPr>
  </w:style>
  <w:style w:type="table" w:styleId="Cuadrculamedia2-nfasis4">
    <w:name w:val="Medium Grid 2 Accent 4"/>
    <w:basedOn w:val="Tablanormal"/>
    <w:link w:val="Cuadrculamediana2-nfasis4Car"/>
    <w:uiPriority w:val="30"/>
    <w:rsid w:val="00566CB9"/>
    <w:rPr>
      <w:rFonts w:ascii="Calibri" w:hAnsi="Calibri"/>
      <w:b/>
      <w:bCs/>
      <w:i/>
      <w:iCs/>
      <w:color w:val="000090"/>
      <w:sz w:val="36"/>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tblPr/>
      <w:tcPr>
        <w:shd w:val="clear" w:color="auto" w:fill="F2EFF6" w:themeFill="accent4"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character" w:customStyle="1" w:styleId="A51">
    <w:name w:val="A5+1"/>
    <w:rsid w:val="00A51D87"/>
    <w:rPr>
      <w:rFonts w:cs="Memento"/>
      <w:color w:val="000000"/>
      <w:sz w:val="10"/>
      <w:szCs w:val="10"/>
    </w:rPr>
  </w:style>
  <w:style w:type="character" w:customStyle="1" w:styleId="A0">
    <w:name w:val="A0"/>
    <w:rsid w:val="00A51D87"/>
    <w:rPr>
      <w:rFonts w:cs="Dialog"/>
      <w:b/>
      <w:bCs/>
      <w:color w:val="000000"/>
      <w:sz w:val="28"/>
      <w:szCs w:val="28"/>
    </w:rPr>
  </w:style>
  <w:style w:type="paragraph" w:customStyle="1" w:styleId="Pa117">
    <w:name w:val="Pa11+7"/>
    <w:basedOn w:val="Default"/>
    <w:next w:val="Default"/>
    <w:rsid w:val="00A51D87"/>
    <w:pPr>
      <w:spacing w:line="221" w:lineRule="atLeast"/>
    </w:pPr>
    <w:rPr>
      <w:rFonts w:ascii="Dialog" w:hAnsi="Dialog"/>
      <w:color w:val="auto"/>
    </w:rPr>
  </w:style>
  <w:style w:type="character" w:customStyle="1" w:styleId="A93">
    <w:name w:val="A9+3"/>
    <w:rsid w:val="00A51D87"/>
    <w:rPr>
      <w:rFonts w:cs="Memento"/>
      <w:color w:val="000000"/>
      <w:sz w:val="10"/>
      <w:szCs w:val="10"/>
    </w:rPr>
  </w:style>
  <w:style w:type="character" w:customStyle="1" w:styleId="Sombreadomediano2-nfasis3Car">
    <w:name w:val="Sombreado mediano 2 - Énfasis 3 Car"/>
    <w:link w:val="Sombreadomedio2-nfasis3"/>
    <w:uiPriority w:val="30"/>
    <w:rsid w:val="00A85D2C"/>
    <w:rPr>
      <w:rFonts w:ascii="Calibri" w:hAnsi="Calibri"/>
      <w:b/>
      <w:bCs/>
      <w:i/>
      <w:iCs/>
      <w:color w:val="000090"/>
      <w:sz w:val="36"/>
    </w:rPr>
  </w:style>
  <w:style w:type="table" w:styleId="Sombreadomedio2-nfasis3">
    <w:name w:val="Medium Shading 2 Accent 3"/>
    <w:basedOn w:val="Tablanormal"/>
    <w:link w:val="Sombreadomediano2-nfasis3Car"/>
    <w:uiPriority w:val="30"/>
    <w:rsid w:val="00A85D2C"/>
    <w:rPr>
      <w:rFonts w:ascii="Calibri" w:hAnsi="Calibri"/>
      <w:b/>
      <w:bCs/>
      <w:i/>
      <w:iCs/>
      <w:color w:val="000090"/>
      <w:sz w:val="36"/>
    </w:rPr>
    <w:tblPr>
      <w:tblStyleRowBandSize w:val="1"/>
      <w:tblStyleColBandSize w:val="1"/>
      <w:tblBorders>
        <w:top w:val="single" w:sz="18" w:space="0" w:color="auto"/>
        <w:bottom w:val="single" w:sz="18" w:space="0" w:color="auto"/>
      </w:tblBorders>
    </w:tblPr>
    <w:tblStylePr w:type="firstRow">
      <w:pPr>
        <w:spacing w:before="0" w:after="0" w:line="240" w:lineRule="auto"/>
      </w:p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tblPr/>
      <w:tcPr>
        <w:tcBorders>
          <w:top w:val="nil"/>
          <w:left w:val="nil"/>
          <w:bottom w:val="single" w:sz="18" w:space="0" w:color="auto"/>
          <w:right w:val="nil"/>
          <w:insideH w:val="nil"/>
          <w:insideV w:val="nil"/>
        </w:tcBorders>
        <w:shd w:val="clear" w:color="auto" w:fill="9BBB59" w:themeFill="accent3"/>
      </w:tcPr>
    </w:tblStylePr>
    <w:tblStylePr w:type="lastCol">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tblPr/>
      <w:tcPr>
        <w:tcBorders>
          <w:top w:val="single" w:sz="18" w:space="0" w:color="auto"/>
          <w:left w:val="nil"/>
          <w:bottom w:val="single" w:sz="18" w:space="0" w:color="auto"/>
          <w:right w:val="nil"/>
          <w:insideH w:val="nil"/>
          <w:insideV w:val="nil"/>
        </w:tcBorders>
      </w:tcPr>
    </w:tblStylePr>
  </w:style>
  <w:style w:type="character" w:customStyle="1" w:styleId="WW8Num1z0">
    <w:name w:val="WW8Num1z0"/>
    <w:rsid w:val="009B3BC2"/>
    <w:rPr>
      <w:rFonts w:ascii="Arial" w:hAnsi="Arial" w:cs="Arial"/>
    </w:rPr>
  </w:style>
  <w:style w:type="character" w:customStyle="1" w:styleId="WW8Num2z0">
    <w:name w:val="WW8Num2z0"/>
    <w:rsid w:val="009B3BC2"/>
    <w:rPr>
      <w:rFonts w:ascii="Arial" w:hAnsi="Arial" w:cs="Arial"/>
      <w:sz w:val="24"/>
      <w:szCs w:val="24"/>
    </w:rPr>
  </w:style>
  <w:style w:type="character" w:customStyle="1" w:styleId="WW8Num3z0">
    <w:name w:val="WW8Num3z0"/>
    <w:rsid w:val="009B3BC2"/>
    <w:rPr>
      <w:rFonts w:ascii="Open Sans" w:hAnsi="Open Sans" w:cs="Open Sans"/>
      <w:b/>
      <w:sz w:val="26"/>
      <w:szCs w:val="22"/>
    </w:rPr>
  </w:style>
  <w:style w:type="character" w:customStyle="1" w:styleId="WW8Num3z1">
    <w:name w:val="WW8Num3z1"/>
    <w:rsid w:val="009B3BC2"/>
    <w:rPr>
      <w:rFonts w:ascii="Open Sans" w:hAnsi="Open Sans" w:cs="Open Sans"/>
      <w:b/>
    </w:rPr>
  </w:style>
  <w:style w:type="character" w:customStyle="1" w:styleId="WW8Num3z2">
    <w:name w:val="WW8Num3z2"/>
    <w:rsid w:val="009B3BC2"/>
  </w:style>
  <w:style w:type="character" w:customStyle="1" w:styleId="WW8Num3z3">
    <w:name w:val="WW8Num3z3"/>
    <w:rsid w:val="009B3BC2"/>
  </w:style>
  <w:style w:type="character" w:customStyle="1" w:styleId="WW8Num3z4">
    <w:name w:val="WW8Num3z4"/>
    <w:rsid w:val="009B3BC2"/>
  </w:style>
  <w:style w:type="character" w:customStyle="1" w:styleId="WW8Num3z5">
    <w:name w:val="WW8Num3z5"/>
    <w:rsid w:val="009B3BC2"/>
  </w:style>
  <w:style w:type="character" w:customStyle="1" w:styleId="WW8Num3z6">
    <w:name w:val="WW8Num3z6"/>
    <w:rsid w:val="009B3BC2"/>
  </w:style>
  <w:style w:type="character" w:customStyle="1" w:styleId="WW8Num3z7">
    <w:name w:val="WW8Num3z7"/>
    <w:rsid w:val="009B3BC2"/>
  </w:style>
  <w:style w:type="character" w:customStyle="1" w:styleId="WW8Num3z8">
    <w:name w:val="WW8Num3z8"/>
    <w:rsid w:val="009B3BC2"/>
  </w:style>
  <w:style w:type="character" w:customStyle="1" w:styleId="WW8Num4z0">
    <w:name w:val="WW8Num4z0"/>
    <w:rsid w:val="009B3BC2"/>
    <w:rPr>
      <w:rFonts w:ascii="Arial" w:hAnsi="Arial" w:cs="Arial"/>
      <w:sz w:val="24"/>
      <w:szCs w:val="24"/>
    </w:rPr>
  </w:style>
  <w:style w:type="character" w:customStyle="1" w:styleId="WW8Num4z1">
    <w:name w:val="WW8Num4z1"/>
    <w:rsid w:val="009B3BC2"/>
    <w:rPr>
      <w:rFonts w:ascii="Courier New" w:hAnsi="Courier New" w:cs="Courier New"/>
    </w:rPr>
  </w:style>
  <w:style w:type="character" w:customStyle="1" w:styleId="WW8Num4z2">
    <w:name w:val="WW8Num4z2"/>
    <w:rsid w:val="009B3BC2"/>
    <w:rPr>
      <w:rFonts w:ascii="Wingdings" w:hAnsi="Wingdings" w:cs="Wingdings"/>
    </w:rPr>
  </w:style>
  <w:style w:type="character" w:customStyle="1" w:styleId="WW8Num4z3">
    <w:name w:val="WW8Num4z3"/>
    <w:rsid w:val="009B3BC2"/>
    <w:rPr>
      <w:rFonts w:ascii="Symbol" w:hAnsi="Symbol" w:cs="Symbol"/>
    </w:rPr>
  </w:style>
  <w:style w:type="character" w:customStyle="1" w:styleId="WW8Num5z0">
    <w:name w:val="WW8Num5z0"/>
    <w:rsid w:val="009B3BC2"/>
    <w:rPr>
      <w:rFonts w:ascii="Arial" w:hAnsi="Arial" w:cs="Arial"/>
      <w:sz w:val="24"/>
      <w:szCs w:val="24"/>
    </w:rPr>
  </w:style>
  <w:style w:type="character" w:customStyle="1" w:styleId="WW8Num5z1">
    <w:name w:val="WW8Num5z1"/>
    <w:rsid w:val="009B3BC2"/>
    <w:rPr>
      <w:rFonts w:ascii="Courier New" w:hAnsi="Courier New" w:cs="Courier New"/>
    </w:rPr>
  </w:style>
  <w:style w:type="character" w:customStyle="1" w:styleId="WW8Num5z2">
    <w:name w:val="WW8Num5z2"/>
    <w:rsid w:val="009B3BC2"/>
    <w:rPr>
      <w:rFonts w:ascii="Wingdings" w:hAnsi="Wingdings" w:cs="Wingdings"/>
    </w:rPr>
  </w:style>
  <w:style w:type="character" w:customStyle="1" w:styleId="WW8Num5z3">
    <w:name w:val="WW8Num5z3"/>
    <w:rsid w:val="009B3BC2"/>
    <w:rPr>
      <w:rFonts w:ascii="Symbol" w:hAnsi="Symbol" w:cs="Symbol"/>
    </w:rPr>
  </w:style>
  <w:style w:type="character" w:customStyle="1" w:styleId="WW8Num6z0">
    <w:name w:val="WW8Num6z0"/>
    <w:rsid w:val="009B3BC2"/>
    <w:rPr>
      <w:rFonts w:ascii="Symbol" w:hAnsi="Symbol" w:cs="Symbol"/>
    </w:rPr>
  </w:style>
  <w:style w:type="character" w:customStyle="1" w:styleId="WW8Num6z1">
    <w:name w:val="WW8Num6z1"/>
    <w:rsid w:val="009B3BC2"/>
    <w:rPr>
      <w:rFonts w:ascii="Courier New" w:hAnsi="Courier New" w:cs="Courier New"/>
    </w:rPr>
  </w:style>
  <w:style w:type="character" w:customStyle="1" w:styleId="WW8Num6z2">
    <w:name w:val="WW8Num6z2"/>
    <w:rsid w:val="009B3BC2"/>
    <w:rPr>
      <w:rFonts w:ascii="Wingdings" w:hAnsi="Wingdings" w:cs="Wingdings"/>
    </w:rPr>
  </w:style>
  <w:style w:type="character" w:customStyle="1" w:styleId="WW8Num7z0">
    <w:name w:val="WW8Num7z0"/>
    <w:rsid w:val="009B3BC2"/>
  </w:style>
  <w:style w:type="character" w:customStyle="1" w:styleId="WW8Num7z1">
    <w:name w:val="WW8Num7z1"/>
    <w:rsid w:val="009B3BC2"/>
  </w:style>
  <w:style w:type="character" w:customStyle="1" w:styleId="WW8Num7z2">
    <w:name w:val="WW8Num7z2"/>
    <w:rsid w:val="009B3BC2"/>
  </w:style>
  <w:style w:type="character" w:customStyle="1" w:styleId="WW8Num7z3">
    <w:name w:val="WW8Num7z3"/>
    <w:rsid w:val="009B3BC2"/>
  </w:style>
  <w:style w:type="character" w:customStyle="1" w:styleId="WW8Num7z4">
    <w:name w:val="WW8Num7z4"/>
    <w:rsid w:val="009B3BC2"/>
  </w:style>
  <w:style w:type="character" w:customStyle="1" w:styleId="WW8Num7z5">
    <w:name w:val="WW8Num7z5"/>
    <w:rsid w:val="009B3BC2"/>
  </w:style>
  <w:style w:type="character" w:customStyle="1" w:styleId="WW8Num7z6">
    <w:name w:val="WW8Num7z6"/>
    <w:rsid w:val="009B3BC2"/>
  </w:style>
  <w:style w:type="character" w:customStyle="1" w:styleId="WW8Num7z7">
    <w:name w:val="WW8Num7z7"/>
    <w:rsid w:val="009B3BC2"/>
  </w:style>
  <w:style w:type="character" w:customStyle="1" w:styleId="WW8Num7z8">
    <w:name w:val="WW8Num7z8"/>
    <w:rsid w:val="009B3BC2"/>
  </w:style>
  <w:style w:type="character" w:customStyle="1" w:styleId="WW8Num1z1">
    <w:name w:val="WW8Num1z1"/>
    <w:rsid w:val="009B3BC2"/>
    <w:rPr>
      <w:rFonts w:ascii="Courier New" w:hAnsi="Courier New" w:cs="Courier New"/>
    </w:rPr>
  </w:style>
  <w:style w:type="character" w:customStyle="1" w:styleId="WW8Num1z2">
    <w:name w:val="WW8Num1z2"/>
    <w:rsid w:val="009B3BC2"/>
    <w:rPr>
      <w:rFonts w:ascii="Wingdings" w:hAnsi="Wingdings" w:cs="Wingdings"/>
    </w:rPr>
  </w:style>
  <w:style w:type="character" w:customStyle="1" w:styleId="WW8Num1z3">
    <w:name w:val="WW8Num1z3"/>
    <w:rsid w:val="009B3BC2"/>
    <w:rPr>
      <w:rFonts w:ascii="Symbol" w:hAnsi="Symbol" w:cs="Symbol"/>
    </w:rPr>
  </w:style>
  <w:style w:type="character" w:customStyle="1" w:styleId="WW8Num2z1">
    <w:name w:val="WW8Num2z1"/>
    <w:rsid w:val="009B3BC2"/>
    <w:rPr>
      <w:rFonts w:ascii="Courier New" w:hAnsi="Courier New" w:cs="Courier New"/>
    </w:rPr>
  </w:style>
  <w:style w:type="character" w:customStyle="1" w:styleId="WW8Num2z2">
    <w:name w:val="WW8Num2z2"/>
    <w:rsid w:val="009B3BC2"/>
    <w:rPr>
      <w:rFonts w:ascii="Wingdings" w:hAnsi="Wingdings" w:cs="Wingdings"/>
    </w:rPr>
  </w:style>
  <w:style w:type="character" w:customStyle="1" w:styleId="WW8Num6z3">
    <w:name w:val="WW8Num6z3"/>
    <w:rsid w:val="009B3BC2"/>
    <w:rPr>
      <w:rFonts w:ascii="Symbol" w:hAnsi="Symbol" w:cs="Symbol"/>
    </w:rPr>
  </w:style>
  <w:style w:type="character" w:customStyle="1" w:styleId="WW8Num8z0">
    <w:name w:val="WW8Num8z0"/>
    <w:rsid w:val="009B3BC2"/>
    <w:rPr>
      <w:rFonts w:ascii="Symbol" w:hAnsi="Symbol" w:cs="Symbol"/>
    </w:rPr>
  </w:style>
  <w:style w:type="character" w:customStyle="1" w:styleId="WW8Num8z1">
    <w:name w:val="WW8Num8z1"/>
    <w:rsid w:val="009B3BC2"/>
    <w:rPr>
      <w:rFonts w:ascii="Courier New" w:hAnsi="Courier New" w:cs="Courier New"/>
    </w:rPr>
  </w:style>
  <w:style w:type="character" w:customStyle="1" w:styleId="WW8Num8z2">
    <w:name w:val="WW8Num8z2"/>
    <w:rsid w:val="009B3BC2"/>
    <w:rPr>
      <w:rFonts w:ascii="Wingdings" w:hAnsi="Wingdings" w:cs="Wingdings"/>
    </w:rPr>
  </w:style>
  <w:style w:type="character" w:customStyle="1" w:styleId="WW8Num9z0">
    <w:name w:val="WW8Num9z0"/>
    <w:rsid w:val="009B3BC2"/>
  </w:style>
  <w:style w:type="character" w:customStyle="1" w:styleId="WW8Num9z1">
    <w:name w:val="WW8Num9z1"/>
    <w:rsid w:val="009B3BC2"/>
  </w:style>
  <w:style w:type="character" w:customStyle="1" w:styleId="WW8Num9z2">
    <w:name w:val="WW8Num9z2"/>
    <w:rsid w:val="009B3BC2"/>
  </w:style>
  <w:style w:type="character" w:customStyle="1" w:styleId="WW8Num9z3">
    <w:name w:val="WW8Num9z3"/>
    <w:rsid w:val="009B3BC2"/>
  </w:style>
  <w:style w:type="character" w:customStyle="1" w:styleId="WW8Num9z4">
    <w:name w:val="WW8Num9z4"/>
    <w:rsid w:val="009B3BC2"/>
  </w:style>
  <w:style w:type="character" w:customStyle="1" w:styleId="WW8Num9z5">
    <w:name w:val="WW8Num9z5"/>
    <w:rsid w:val="009B3BC2"/>
  </w:style>
  <w:style w:type="character" w:customStyle="1" w:styleId="WW8Num9z6">
    <w:name w:val="WW8Num9z6"/>
    <w:rsid w:val="009B3BC2"/>
  </w:style>
  <w:style w:type="character" w:customStyle="1" w:styleId="WW8Num9z7">
    <w:name w:val="WW8Num9z7"/>
    <w:rsid w:val="009B3BC2"/>
  </w:style>
  <w:style w:type="character" w:customStyle="1" w:styleId="WW8Num9z8">
    <w:name w:val="WW8Num9z8"/>
    <w:rsid w:val="009B3BC2"/>
  </w:style>
  <w:style w:type="character" w:customStyle="1" w:styleId="WW8Num10z0">
    <w:name w:val="WW8Num10z0"/>
    <w:rsid w:val="009B3BC2"/>
    <w:rPr>
      <w:b w:val="0"/>
      <w:bCs w:val="0"/>
      <w:i w:val="0"/>
      <w:iCs w:val="0"/>
      <w:outline w:val="0"/>
      <w:shadow w:val="0"/>
      <w:color w:val="auto"/>
      <w:sz w:val="24"/>
      <w:szCs w:val="24"/>
    </w:rPr>
  </w:style>
  <w:style w:type="character" w:customStyle="1" w:styleId="WW8Num10z1">
    <w:name w:val="WW8Num10z1"/>
    <w:rsid w:val="009B3BC2"/>
  </w:style>
  <w:style w:type="character" w:customStyle="1" w:styleId="WW8Num10z2">
    <w:name w:val="WW8Num10z2"/>
    <w:rsid w:val="009B3BC2"/>
  </w:style>
  <w:style w:type="character" w:customStyle="1" w:styleId="WW8Num10z3">
    <w:name w:val="WW8Num10z3"/>
    <w:rsid w:val="009B3BC2"/>
  </w:style>
  <w:style w:type="character" w:customStyle="1" w:styleId="WW8Num10z4">
    <w:name w:val="WW8Num10z4"/>
    <w:rsid w:val="009B3BC2"/>
  </w:style>
  <w:style w:type="character" w:customStyle="1" w:styleId="WW8Num10z5">
    <w:name w:val="WW8Num10z5"/>
    <w:rsid w:val="009B3BC2"/>
  </w:style>
  <w:style w:type="character" w:customStyle="1" w:styleId="WW8Num10z6">
    <w:name w:val="WW8Num10z6"/>
    <w:rsid w:val="009B3BC2"/>
  </w:style>
  <w:style w:type="character" w:customStyle="1" w:styleId="WW8Num10z7">
    <w:name w:val="WW8Num10z7"/>
    <w:rsid w:val="009B3BC2"/>
  </w:style>
  <w:style w:type="character" w:customStyle="1" w:styleId="WW8Num10z8">
    <w:name w:val="WW8Num10z8"/>
    <w:rsid w:val="009B3BC2"/>
  </w:style>
  <w:style w:type="character" w:customStyle="1" w:styleId="WW8Num11z0">
    <w:name w:val="WW8Num11z0"/>
    <w:rsid w:val="009B3BC2"/>
    <w:rPr>
      <w:rFonts w:ascii="Arial" w:hAnsi="Arial" w:cs="Arial"/>
      <w:sz w:val="24"/>
      <w:szCs w:val="24"/>
    </w:rPr>
  </w:style>
  <w:style w:type="character" w:customStyle="1" w:styleId="WW8Num11z1">
    <w:name w:val="WW8Num11z1"/>
    <w:rsid w:val="009B3BC2"/>
    <w:rPr>
      <w:rFonts w:ascii="Courier New" w:hAnsi="Courier New" w:cs="Courier New"/>
    </w:rPr>
  </w:style>
  <w:style w:type="character" w:customStyle="1" w:styleId="WW8Num11z2">
    <w:name w:val="WW8Num11z2"/>
    <w:rsid w:val="009B3BC2"/>
    <w:rPr>
      <w:rFonts w:ascii="Wingdings" w:hAnsi="Wingdings" w:cs="Wingdings"/>
    </w:rPr>
  </w:style>
  <w:style w:type="character" w:customStyle="1" w:styleId="WW8Num11z3">
    <w:name w:val="WW8Num11z3"/>
    <w:rsid w:val="009B3BC2"/>
    <w:rPr>
      <w:rFonts w:ascii="Symbol" w:hAnsi="Symbol" w:cs="Symbol"/>
    </w:rPr>
  </w:style>
  <w:style w:type="character" w:customStyle="1" w:styleId="WW8Num12z0">
    <w:name w:val="WW8Num12z0"/>
    <w:rsid w:val="009B3BC2"/>
    <w:rPr>
      <w:rFonts w:ascii="Symbol" w:hAnsi="Symbol" w:cs="Symbol"/>
    </w:rPr>
  </w:style>
  <w:style w:type="character" w:customStyle="1" w:styleId="WW8Num12z1">
    <w:name w:val="WW8Num12z1"/>
    <w:rsid w:val="009B3BC2"/>
    <w:rPr>
      <w:rFonts w:ascii="Courier New" w:hAnsi="Courier New" w:cs="Courier New"/>
    </w:rPr>
  </w:style>
  <w:style w:type="character" w:customStyle="1" w:styleId="WW8Num12z2">
    <w:name w:val="WW8Num12z2"/>
    <w:rsid w:val="009B3BC2"/>
    <w:rPr>
      <w:rFonts w:ascii="Wingdings" w:hAnsi="Wingdings" w:cs="Wingdings"/>
    </w:rPr>
  </w:style>
  <w:style w:type="character" w:customStyle="1" w:styleId="WW8Num13z0">
    <w:name w:val="WW8Num13z0"/>
    <w:rsid w:val="009B3BC2"/>
  </w:style>
  <w:style w:type="character" w:customStyle="1" w:styleId="WW8Num13z1">
    <w:name w:val="WW8Num13z1"/>
    <w:rsid w:val="009B3BC2"/>
  </w:style>
  <w:style w:type="character" w:customStyle="1" w:styleId="WW8Num13z2">
    <w:name w:val="WW8Num13z2"/>
    <w:rsid w:val="009B3BC2"/>
  </w:style>
  <w:style w:type="character" w:customStyle="1" w:styleId="WW8Num13z3">
    <w:name w:val="WW8Num13z3"/>
    <w:rsid w:val="009B3BC2"/>
  </w:style>
  <w:style w:type="character" w:customStyle="1" w:styleId="WW8Num13z4">
    <w:name w:val="WW8Num13z4"/>
    <w:rsid w:val="009B3BC2"/>
  </w:style>
  <w:style w:type="character" w:customStyle="1" w:styleId="WW8Num13z5">
    <w:name w:val="WW8Num13z5"/>
    <w:rsid w:val="009B3BC2"/>
  </w:style>
  <w:style w:type="character" w:customStyle="1" w:styleId="WW8Num13z6">
    <w:name w:val="WW8Num13z6"/>
    <w:rsid w:val="009B3BC2"/>
  </w:style>
  <w:style w:type="character" w:customStyle="1" w:styleId="WW8Num13z7">
    <w:name w:val="WW8Num13z7"/>
    <w:rsid w:val="009B3BC2"/>
  </w:style>
  <w:style w:type="character" w:customStyle="1" w:styleId="WW8Num13z8">
    <w:name w:val="WW8Num13z8"/>
    <w:rsid w:val="009B3BC2"/>
  </w:style>
  <w:style w:type="character" w:customStyle="1" w:styleId="WW8Num14z0">
    <w:name w:val="WW8Num14z0"/>
    <w:rsid w:val="009B3BC2"/>
    <w:rPr>
      <w:rFonts w:ascii="Symbol" w:hAnsi="Symbol" w:cs="Symbol"/>
    </w:rPr>
  </w:style>
  <w:style w:type="character" w:customStyle="1" w:styleId="WW8Num14z1">
    <w:name w:val="WW8Num14z1"/>
    <w:rsid w:val="009B3BC2"/>
    <w:rPr>
      <w:rFonts w:ascii="Courier New" w:hAnsi="Courier New" w:cs="Courier New"/>
    </w:rPr>
  </w:style>
  <w:style w:type="character" w:customStyle="1" w:styleId="WW8Num14z2">
    <w:name w:val="WW8Num14z2"/>
    <w:rsid w:val="009B3BC2"/>
    <w:rPr>
      <w:rFonts w:ascii="Wingdings" w:hAnsi="Wingdings" w:cs="Wingdings"/>
    </w:rPr>
  </w:style>
  <w:style w:type="character" w:customStyle="1" w:styleId="WW8Num15z0">
    <w:name w:val="WW8Num15z0"/>
    <w:rsid w:val="009B3BC2"/>
  </w:style>
  <w:style w:type="character" w:customStyle="1" w:styleId="WW8Num15z1">
    <w:name w:val="WW8Num15z1"/>
    <w:rsid w:val="009B3BC2"/>
  </w:style>
  <w:style w:type="character" w:customStyle="1" w:styleId="WW8Num15z2">
    <w:name w:val="WW8Num15z2"/>
    <w:rsid w:val="009B3BC2"/>
  </w:style>
  <w:style w:type="character" w:customStyle="1" w:styleId="WW8Num15z3">
    <w:name w:val="WW8Num15z3"/>
    <w:rsid w:val="009B3BC2"/>
  </w:style>
  <w:style w:type="character" w:customStyle="1" w:styleId="WW8Num15z4">
    <w:name w:val="WW8Num15z4"/>
    <w:rsid w:val="009B3BC2"/>
  </w:style>
  <w:style w:type="character" w:customStyle="1" w:styleId="WW8Num15z5">
    <w:name w:val="WW8Num15z5"/>
    <w:rsid w:val="009B3BC2"/>
  </w:style>
  <w:style w:type="character" w:customStyle="1" w:styleId="WW8Num15z6">
    <w:name w:val="WW8Num15z6"/>
    <w:rsid w:val="009B3BC2"/>
  </w:style>
  <w:style w:type="character" w:customStyle="1" w:styleId="WW8Num15z7">
    <w:name w:val="WW8Num15z7"/>
    <w:rsid w:val="009B3BC2"/>
  </w:style>
  <w:style w:type="character" w:customStyle="1" w:styleId="WW8Num15z8">
    <w:name w:val="WW8Num15z8"/>
    <w:rsid w:val="009B3BC2"/>
  </w:style>
  <w:style w:type="character" w:customStyle="1" w:styleId="WW8Num16z0">
    <w:name w:val="WW8Num16z0"/>
    <w:rsid w:val="009B3BC2"/>
    <w:rPr>
      <w:rFonts w:ascii="Courier New" w:hAnsi="Courier New" w:cs="Courier New"/>
    </w:rPr>
  </w:style>
  <w:style w:type="character" w:customStyle="1" w:styleId="WW8Num16z2">
    <w:name w:val="WW8Num16z2"/>
    <w:rsid w:val="009B3BC2"/>
    <w:rPr>
      <w:rFonts w:ascii="Wingdings" w:hAnsi="Wingdings" w:cs="Wingdings"/>
    </w:rPr>
  </w:style>
  <w:style w:type="character" w:customStyle="1" w:styleId="WW8Num16z3">
    <w:name w:val="WW8Num16z3"/>
    <w:rsid w:val="009B3BC2"/>
    <w:rPr>
      <w:rFonts w:ascii="Symbol" w:hAnsi="Symbol" w:cs="Symbol"/>
    </w:rPr>
  </w:style>
  <w:style w:type="character" w:customStyle="1" w:styleId="WW8Num17z0">
    <w:name w:val="WW8Num17z0"/>
    <w:rsid w:val="009B3BC2"/>
    <w:rPr>
      <w:rFonts w:ascii="Courier New" w:hAnsi="Courier New" w:cs="Courier New"/>
    </w:rPr>
  </w:style>
  <w:style w:type="character" w:customStyle="1" w:styleId="WW8Num17z2">
    <w:name w:val="WW8Num17z2"/>
    <w:rsid w:val="009B3BC2"/>
    <w:rPr>
      <w:rFonts w:ascii="Wingdings" w:hAnsi="Wingdings" w:cs="Wingdings"/>
    </w:rPr>
  </w:style>
  <w:style w:type="character" w:customStyle="1" w:styleId="WW8Num17z3">
    <w:name w:val="WW8Num17z3"/>
    <w:rsid w:val="009B3BC2"/>
    <w:rPr>
      <w:rFonts w:ascii="Symbol" w:hAnsi="Symbol" w:cs="Symbol"/>
    </w:rPr>
  </w:style>
  <w:style w:type="character" w:customStyle="1" w:styleId="WW8Num18z0">
    <w:name w:val="WW8Num18z0"/>
    <w:rsid w:val="009B3BC2"/>
    <w:rPr>
      <w:rFonts w:ascii="Symbol" w:hAnsi="Symbol" w:cs="Symbol"/>
    </w:rPr>
  </w:style>
  <w:style w:type="character" w:customStyle="1" w:styleId="WW8Num18z1">
    <w:name w:val="WW8Num18z1"/>
    <w:rsid w:val="009B3BC2"/>
    <w:rPr>
      <w:rFonts w:ascii="Courier New" w:hAnsi="Courier New" w:cs="Courier New"/>
    </w:rPr>
  </w:style>
  <w:style w:type="character" w:customStyle="1" w:styleId="WW8Num18z2">
    <w:name w:val="WW8Num18z2"/>
    <w:rsid w:val="009B3BC2"/>
    <w:rPr>
      <w:rFonts w:ascii="Wingdings" w:hAnsi="Wingdings" w:cs="Wingdings"/>
    </w:rPr>
  </w:style>
  <w:style w:type="character" w:customStyle="1" w:styleId="WW8Num19z0">
    <w:name w:val="WW8Num19z0"/>
    <w:rsid w:val="009B3BC2"/>
  </w:style>
  <w:style w:type="character" w:customStyle="1" w:styleId="WW8Num20z0">
    <w:name w:val="WW8Num20z0"/>
    <w:rsid w:val="009B3BC2"/>
    <w:rPr>
      <w:rFonts w:ascii="Courier New" w:hAnsi="Courier New" w:cs="Courier New"/>
    </w:rPr>
  </w:style>
  <w:style w:type="character" w:customStyle="1" w:styleId="WW8Num20z2">
    <w:name w:val="WW8Num20z2"/>
    <w:rsid w:val="009B3BC2"/>
    <w:rPr>
      <w:rFonts w:ascii="Wingdings" w:hAnsi="Wingdings" w:cs="Wingdings"/>
    </w:rPr>
  </w:style>
  <w:style w:type="character" w:customStyle="1" w:styleId="WW8Num20z3">
    <w:name w:val="WW8Num20z3"/>
    <w:rsid w:val="009B3BC2"/>
    <w:rPr>
      <w:rFonts w:ascii="Symbol" w:hAnsi="Symbol" w:cs="Symbol"/>
    </w:rPr>
  </w:style>
  <w:style w:type="character" w:customStyle="1" w:styleId="WW8Num21z0">
    <w:name w:val="WW8Num21z0"/>
    <w:rsid w:val="009B3BC2"/>
    <w:rPr>
      <w:rFonts w:ascii="Open Sans" w:hAnsi="Open Sans" w:cs="Open Sans"/>
      <w:b/>
      <w:sz w:val="26"/>
      <w:szCs w:val="22"/>
    </w:rPr>
  </w:style>
  <w:style w:type="character" w:customStyle="1" w:styleId="WW8Num21z1">
    <w:name w:val="WW8Num21z1"/>
    <w:rsid w:val="009B3BC2"/>
    <w:rPr>
      <w:rFonts w:ascii="Open Sans" w:hAnsi="Open Sans" w:cs="Open Sans"/>
      <w:b/>
    </w:rPr>
  </w:style>
  <w:style w:type="character" w:customStyle="1" w:styleId="WW8Num21z2">
    <w:name w:val="WW8Num21z2"/>
    <w:rsid w:val="009B3BC2"/>
  </w:style>
  <w:style w:type="character" w:customStyle="1" w:styleId="WW8Num21z3">
    <w:name w:val="WW8Num21z3"/>
    <w:rsid w:val="009B3BC2"/>
  </w:style>
  <w:style w:type="character" w:customStyle="1" w:styleId="WW8Num21z4">
    <w:name w:val="WW8Num21z4"/>
    <w:rsid w:val="009B3BC2"/>
  </w:style>
  <w:style w:type="character" w:customStyle="1" w:styleId="WW8Num21z5">
    <w:name w:val="WW8Num21z5"/>
    <w:rsid w:val="009B3BC2"/>
  </w:style>
  <w:style w:type="character" w:customStyle="1" w:styleId="WW8Num21z6">
    <w:name w:val="WW8Num21z6"/>
    <w:rsid w:val="009B3BC2"/>
  </w:style>
  <w:style w:type="character" w:customStyle="1" w:styleId="WW8Num21z7">
    <w:name w:val="WW8Num21z7"/>
    <w:rsid w:val="009B3BC2"/>
  </w:style>
  <w:style w:type="character" w:customStyle="1" w:styleId="WW8Num21z8">
    <w:name w:val="WW8Num21z8"/>
    <w:rsid w:val="009B3BC2"/>
  </w:style>
  <w:style w:type="character" w:customStyle="1" w:styleId="WW8Num22z0">
    <w:name w:val="WW8Num22z0"/>
    <w:rsid w:val="009B3BC2"/>
    <w:rPr>
      <w:rFonts w:ascii="Monotype Sorts" w:hAnsi="Monotype Sorts" w:cs="Monotype Sorts"/>
    </w:rPr>
  </w:style>
  <w:style w:type="character" w:customStyle="1" w:styleId="WW8Num23z0">
    <w:name w:val="WW8Num23z0"/>
    <w:rsid w:val="009B3BC2"/>
    <w:rPr>
      <w:rFonts w:ascii="Symbol" w:hAnsi="Symbol" w:cs="Symbol"/>
    </w:rPr>
  </w:style>
  <w:style w:type="character" w:customStyle="1" w:styleId="WW8Num23z1">
    <w:name w:val="WW8Num23z1"/>
    <w:rsid w:val="009B3BC2"/>
    <w:rPr>
      <w:rFonts w:ascii="Courier New" w:hAnsi="Courier New" w:cs="Courier New"/>
    </w:rPr>
  </w:style>
  <w:style w:type="character" w:customStyle="1" w:styleId="WW8Num23z2">
    <w:name w:val="WW8Num23z2"/>
    <w:rsid w:val="009B3BC2"/>
    <w:rPr>
      <w:rFonts w:ascii="Wingdings" w:hAnsi="Wingdings" w:cs="Wingdings"/>
    </w:rPr>
  </w:style>
  <w:style w:type="character" w:customStyle="1" w:styleId="WW8Num24z0">
    <w:name w:val="WW8Num24z0"/>
    <w:rsid w:val="009B3BC2"/>
  </w:style>
  <w:style w:type="character" w:customStyle="1" w:styleId="WW8Num24z1">
    <w:name w:val="WW8Num24z1"/>
    <w:rsid w:val="009B3BC2"/>
  </w:style>
  <w:style w:type="character" w:customStyle="1" w:styleId="WW8Num24z2">
    <w:name w:val="WW8Num24z2"/>
    <w:rsid w:val="009B3BC2"/>
  </w:style>
  <w:style w:type="character" w:customStyle="1" w:styleId="WW8Num24z3">
    <w:name w:val="WW8Num24z3"/>
    <w:rsid w:val="009B3BC2"/>
  </w:style>
  <w:style w:type="character" w:customStyle="1" w:styleId="WW8Num24z4">
    <w:name w:val="WW8Num24z4"/>
    <w:rsid w:val="009B3BC2"/>
  </w:style>
  <w:style w:type="character" w:customStyle="1" w:styleId="WW8Num24z5">
    <w:name w:val="WW8Num24z5"/>
    <w:rsid w:val="009B3BC2"/>
  </w:style>
  <w:style w:type="character" w:customStyle="1" w:styleId="WW8Num24z6">
    <w:name w:val="WW8Num24z6"/>
    <w:rsid w:val="009B3BC2"/>
  </w:style>
  <w:style w:type="character" w:customStyle="1" w:styleId="WW8Num24z7">
    <w:name w:val="WW8Num24z7"/>
    <w:rsid w:val="009B3BC2"/>
  </w:style>
  <w:style w:type="character" w:customStyle="1" w:styleId="WW8Num24z8">
    <w:name w:val="WW8Num24z8"/>
    <w:rsid w:val="009B3BC2"/>
  </w:style>
  <w:style w:type="character" w:customStyle="1" w:styleId="WW8Num25z0">
    <w:name w:val="WW8Num25z0"/>
    <w:rsid w:val="009B3BC2"/>
  </w:style>
  <w:style w:type="character" w:customStyle="1" w:styleId="WW8Num25z1">
    <w:name w:val="WW8Num25z1"/>
    <w:rsid w:val="009B3BC2"/>
  </w:style>
  <w:style w:type="character" w:customStyle="1" w:styleId="WW8Num25z2">
    <w:name w:val="WW8Num25z2"/>
    <w:rsid w:val="009B3BC2"/>
  </w:style>
  <w:style w:type="character" w:customStyle="1" w:styleId="WW8Num25z3">
    <w:name w:val="WW8Num25z3"/>
    <w:rsid w:val="009B3BC2"/>
  </w:style>
  <w:style w:type="character" w:customStyle="1" w:styleId="WW8Num25z4">
    <w:name w:val="WW8Num25z4"/>
    <w:rsid w:val="009B3BC2"/>
  </w:style>
  <w:style w:type="character" w:customStyle="1" w:styleId="WW8Num25z5">
    <w:name w:val="WW8Num25z5"/>
    <w:rsid w:val="009B3BC2"/>
  </w:style>
  <w:style w:type="character" w:customStyle="1" w:styleId="WW8Num25z6">
    <w:name w:val="WW8Num25z6"/>
    <w:rsid w:val="009B3BC2"/>
  </w:style>
  <w:style w:type="character" w:customStyle="1" w:styleId="WW8Num25z7">
    <w:name w:val="WW8Num25z7"/>
    <w:rsid w:val="009B3BC2"/>
  </w:style>
  <w:style w:type="character" w:customStyle="1" w:styleId="WW8Num25z8">
    <w:name w:val="WW8Num25z8"/>
    <w:rsid w:val="009B3BC2"/>
  </w:style>
  <w:style w:type="character" w:customStyle="1" w:styleId="WW8Num26z0">
    <w:name w:val="WW8Num26z0"/>
    <w:rsid w:val="009B3BC2"/>
  </w:style>
  <w:style w:type="character" w:customStyle="1" w:styleId="WW8Num26z1">
    <w:name w:val="WW8Num26z1"/>
    <w:rsid w:val="009B3BC2"/>
  </w:style>
  <w:style w:type="character" w:customStyle="1" w:styleId="WW8Num26z2">
    <w:name w:val="WW8Num26z2"/>
    <w:rsid w:val="009B3BC2"/>
  </w:style>
  <w:style w:type="character" w:customStyle="1" w:styleId="WW8Num26z3">
    <w:name w:val="WW8Num26z3"/>
    <w:rsid w:val="009B3BC2"/>
  </w:style>
  <w:style w:type="character" w:customStyle="1" w:styleId="WW8Num26z4">
    <w:name w:val="WW8Num26z4"/>
    <w:rsid w:val="009B3BC2"/>
  </w:style>
  <w:style w:type="character" w:customStyle="1" w:styleId="WW8Num26z5">
    <w:name w:val="WW8Num26z5"/>
    <w:rsid w:val="009B3BC2"/>
  </w:style>
  <w:style w:type="character" w:customStyle="1" w:styleId="WW8Num26z6">
    <w:name w:val="WW8Num26z6"/>
    <w:rsid w:val="009B3BC2"/>
  </w:style>
  <w:style w:type="character" w:customStyle="1" w:styleId="WW8Num26z7">
    <w:name w:val="WW8Num26z7"/>
    <w:rsid w:val="009B3BC2"/>
  </w:style>
  <w:style w:type="character" w:customStyle="1" w:styleId="WW8Num26z8">
    <w:name w:val="WW8Num26z8"/>
    <w:rsid w:val="009B3BC2"/>
  </w:style>
  <w:style w:type="character" w:customStyle="1" w:styleId="WW8Num27z0">
    <w:name w:val="WW8Num27z0"/>
    <w:rsid w:val="009B3BC2"/>
    <w:rPr>
      <w:rFonts w:ascii="Symbol" w:hAnsi="Symbol" w:cs="Symbol"/>
    </w:rPr>
  </w:style>
  <w:style w:type="character" w:customStyle="1" w:styleId="WW8Num27z1">
    <w:name w:val="WW8Num27z1"/>
    <w:rsid w:val="009B3BC2"/>
  </w:style>
  <w:style w:type="character" w:customStyle="1" w:styleId="WW8Num27z2">
    <w:name w:val="WW8Num27z2"/>
    <w:rsid w:val="009B3BC2"/>
  </w:style>
  <w:style w:type="character" w:customStyle="1" w:styleId="WW8Num27z3">
    <w:name w:val="WW8Num27z3"/>
    <w:rsid w:val="009B3BC2"/>
  </w:style>
  <w:style w:type="character" w:customStyle="1" w:styleId="WW8Num27z4">
    <w:name w:val="WW8Num27z4"/>
    <w:rsid w:val="009B3BC2"/>
  </w:style>
  <w:style w:type="character" w:customStyle="1" w:styleId="WW8Num27z5">
    <w:name w:val="WW8Num27z5"/>
    <w:rsid w:val="009B3BC2"/>
  </w:style>
  <w:style w:type="character" w:customStyle="1" w:styleId="WW8Num27z6">
    <w:name w:val="WW8Num27z6"/>
    <w:rsid w:val="009B3BC2"/>
  </w:style>
  <w:style w:type="character" w:customStyle="1" w:styleId="WW8Num27z7">
    <w:name w:val="WW8Num27z7"/>
    <w:rsid w:val="009B3BC2"/>
  </w:style>
  <w:style w:type="character" w:customStyle="1" w:styleId="WW8Num27z8">
    <w:name w:val="WW8Num27z8"/>
    <w:rsid w:val="009B3BC2"/>
  </w:style>
  <w:style w:type="character" w:customStyle="1" w:styleId="WW8Num28z0">
    <w:name w:val="WW8Num28z0"/>
    <w:rsid w:val="009B3BC2"/>
    <w:rPr>
      <w:rFonts w:ascii="Courier New" w:hAnsi="Courier New" w:cs="Courier New"/>
    </w:rPr>
  </w:style>
  <w:style w:type="character" w:customStyle="1" w:styleId="WW8Num28z2">
    <w:name w:val="WW8Num28z2"/>
    <w:rsid w:val="009B3BC2"/>
    <w:rPr>
      <w:rFonts w:ascii="Wingdings" w:hAnsi="Wingdings" w:cs="Wingdings"/>
    </w:rPr>
  </w:style>
  <w:style w:type="character" w:customStyle="1" w:styleId="WW8Num28z3">
    <w:name w:val="WW8Num28z3"/>
    <w:rsid w:val="009B3BC2"/>
    <w:rPr>
      <w:rFonts w:ascii="Symbol" w:hAnsi="Symbol" w:cs="Symbol"/>
    </w:rPr>
  </w:style>
  <w:style w:type="character" w:customStyle="1" w:styleId="WW8Num29z0">
    <w:name w:val="WW8Num29z0"/>
    <w:rsid w:val="009B3BC2"/>
    <w:rPr>
      <w:rFonts w:ascii="Courier New" w:hAnsi="Courier New" w:cs="Courier New"/>
    </w:rPr>
  </w:style>
  <w:style w:type="character" w:customStyle="1" w:styleId="WW8Num29z2">
    <w:name w:val="WW8Num29z2"/>
    <w:rsid w:val="009B3BC2"/>
    <w:rPr>
      <w:rFonts w:ascii="Wingdings" w:hAnsi="Wingdings" w:cs="Wingdings"/>
    </w:rPr>
  </w:style>
  <w:style w:type="character" w:customStyle="1" w:styleId="WW8Num29z3">
    <w:name w:val="WW8Num29z3"/>
    <w:rsid w:val="009B3BC2"/>
    <w:rPr>
      <w:rFonts w:ascii="Symbol" w:hAnsi="Symbol" w:cs="Symbol"/>
    </w:rPr>
  </w:style>
  <w:style w:type="character" w:customStyle="1" w:styleId="Fuentedeprrafopredeter2">
    <w:name w:val="Fuente de párrafo predeter.2"/>
    <w:rsid w:val="009B3BC2"/>
  </w:style>
  <w:style w:type="character" w:customStyle="1" w:styleId="Refdenotaalpie6">
    <w:name w:val="Ref. de nota al pie6"/>
    <w:rsid w:val="009B3BC2"/>
    <w:rPr>
      <w:vertAlign w:val="superscript"/>
    </w:rPr>
  </w:style>
  <w:style w:type="character" w:customStyle="1" w:styleId="ListLabel1">
    <w:name w:val="ListLabel 1"/>
    <w:rsid w:val="009B3BC2"/>
    <w:rPr>
      <w:sz w:val="24"/>
      <w:szCs w:val="24"/>
    </w:rPr>
  </w:style>
  <w:style w:type="character" w:customStyle="1" w:styleId="ListLabel2">
    <w:name w:val="ListLabel 2"/>
    <w:rsid w:val="009B3BC2"/>
    <w:rPr>
      <w:rFonts w:cs="Courier New"/>
    </w:rPr>
  </w:style>
  <w:style w:type="character" w:customStyle="1" w:styleId="Caracteresdenotafinal">
    <w:name w:val="Caracteres de nota final"/>
    <w:rsid w:val="009B3BC2"/>
    <w:rPr>
      <w:vertAlign w:val="superscript"/>
    </w:rPr>
  </w:style>
  <w:style w:type="character" w:customStyle="1" w:styleId="WW-Caracteresdenotafinal">
    <w:name w:val="WW-Caracteres de nota final"/>
    <w:rsid w:val="009B3BC2"/>
  </w:style>
  <w:style w:type="character" w:customStyle="1" w:styleId="WW8Num20z1">
    <w:name w:val="WW8Num20z1"/>
    <w:rsid w:val="009B3BC2"/>
    <w:rPr>
      <w:rFonts w:ascii="Courier New" w:hAnsi="Courier New" w:cs="Courier New"/>
    </w:rPr>
  </w:style>
  <w:style w:type="character" w:customStyle="1" w:styleId="WW8Num16z1">
    <w:name w:val="WW8Num16z1"/>
    <w:rsid w:val="009B3BC2"/>
    <w:rPr>
      <w:rFonts w:ascii="Courier New" w:hAnsi="Courier New" w:cs="Courier New"/>
    </w:rPr>
  </w:style>
  <w:style w:type="paragraph" w:customStyle="1" w:styleId="Encabezado1">
    <w:name w:val="Encabezado1"/>
    <w:basedOn w:val="Normal"/>
    <w:next w:val="Textoindependiente"/>
    <w:rsid w:val="009B3BC2"/>
    <w:pPr>
      <w:keepNext/>
      <w:spacing w:before="240" w:after="120"/>
    </w:pPr>
    <w:rPr>
      <w:rFonts w:ascii="Liberation Sans" w:eastAsia="Droid Sans Fallback" w:hAnsi="Liberation Sans" w:cs="FreeSans"/>
      <w:sz w:val="28"/>
      <w:szCs w:val="28"/>
    </w:rPr>
  </w:style>
  <w:style w:type="paragraph" w:styleId="Lista">
    <w:name w:val="List"/>
    <w:basedOn w:val="Textoindependiente"/>
    <w:rsid w:val="009B3BC2"/>
    <w:pPr>
      <w:spacing w:after="140" w:line="288" w:lineRule="auto"/>
      <w:jc w:val="left"/>
    </w:pPr>
    <w:rPr>
      <w:rFonts w:ascii="Cambria" w:eastAsia="MS Mincho" w:hAnsi="Cambria" w:cs="FreeSans"/>
      <w:sz w:val="24"/>
      <w:szCs w:val="24"/>
      <w:lang w:val="es-ES_tradnl"/>
    </w:rPr>
  </w:style>
  <w:style w:type="paragraph" w:styleId="Epgrafe">
    <w:name w:val="caption"/>
    <w:basedOn w:val="Normal"/>
    <w:unhideWhenUsed/>
    <w:qFormat/>
    <w:rsid w:val="009B3BC2"/>
    <w:pPr>
      <w:spacing w:after="200"/>
    </w:pPr>
    <w:rPr>
      <w:b/>
      <w:bCs/>
      <w:color w:val="4F81BD" w:themeColor="accent1"/>
      <w:sz w:val="18"/>
      <w:szCs w:val="18"/>
    </w:rPr>
  </w:style>
  <w:style w:type="paragraph" w:customStyle="1" w:styleId="ndice">
    <w:name w:val="Índice"/>
    <w:basedOn w:val="Normal"/>
    <w:rsid w:val="009B3BC2"/>
    <w:pPr>
      <w:suppressLineNumbers/>
    </w:pPr>
    <w:rPr>
      <w:rFonts w:ascii="Cambria" w:eastAsia="MS Mincho" w:hAnsi="Cambria" w:cs="FreeSans"/>
    </w:rPr>
  </w:style>
  <w:style w:type="paragraph" w:customStyle="1" w:styleId="Prrafodelista5">
    <w:name w:val="Párrafo de lista5"/>
    <w:basedOn w:val="Normal"/>
    <w:rsid w:val="009B3BC2"/>
    <w:pPr>
      <w:ind w:left="720"/>
      <w:contextualSpacing/>
    </w:pPr>
    <w:rPr>
      <w:rFonts w:ascii="Cambria" w:eastAsia="MS Mincho" w:hAnsi="Cambria" w:cs="Times New Roman"/>
    </w:rPr>
  </w:style>
  <w:style w:type="paragraph" w:customStyle="1" w:styleId="Textonotapie5">
    <w:name w:val="Texto nota pie5"/>
    <w:basedOn w:val="Normal"/>
    <w:rsid w:val="009B3BC2"/>
    <w:rPr>
      <w:rFonts w:ascii="Cambria" w:eastAsia="MS Mincho" w:hAnsi="Cambria" w:cs="Times New Roman"/>
      <w:sz w:val="20"/>
      <w:szCs w:val="20"/>
    </w:rPr>
  </w:style>
  <w:style w:type="character" w:customStyle="1" w:styleId="Cuadrculamulticolor-nfasis3Car">
    <w:name w:val="Cuadrícula multicolor - Énfasis 3 Car"/>
    <w:link w:val="Cuadrculavistosa-nfasis3"/>
    <w:uiPriority w:val="30"/>
    <w:rsid w:val="009B3BC2"/>
    <w:rPr>
      <w:rFonts w:ascii="Calibri" w:hAnsi="Calibri"/>
      <w:b/>
      <w:bCs/>
      <w:i/>
      <w:iCs/>
      <w:color w:val="000090"/>
      <w:sz w:val="36"/>
    </w:rPr>
  </w:style>
  <w:style w:type="table" w:styleId="Cuadrculavistosa-nfasis3">
    <w:name w:val="Colorful Grid Accent 3"/>
    <w:basedOn w:val="Tablanormal"/>
    <w:link w:val="Cuadrculamulticolor-nfasis3Car"/>
    <w:uiPriority w:val="30"/>
    <w:rsid w:val="009B3BC2"/>
    <w:rPr>
      <w:rFonts w:ascii="Calibri" w:hAnsi="Calibri"/>
      <w:b/>
      <w:bCs/>
      <w:i/>
      <w:iCs/>
      <w:color w:val="000090"/>
      <w:sz w:val="36"/>
    </w:rPr>
    <w:tblPr>
      <w:tblStyleRowBandSize w:val="1"/>
      <w:tblStyleColBandSize w:val="1"/>
      <w:tblBorders>
        <w:insideH w:val="single" w:sz="4" w:space="0" w:color="FFFFFF" w:themeColor="background1"/>
      </w:tblBorders>
    </w:tblPr>
    <w:tcPr>
      <w:shd w:val="clear" w:color="auto" w:fill="EAF1DD" w:themeFill="accent3" w:themeFillTint="33"/>
    </w:tcPr>
    <w:tblStylePr w:type="firstRow">
      <w:tblPr/>
      <w:tcPr>
        <w:shd w:val="clear" w:color="auto" w:fill="D6E3BC" w:themeFill="accent3" w:themeFillTint="66"/>
      </w:tcPr>
    </w:tblStylePr>
    <w:tblStylePr w:type="lastRow">
      <w:tblPr/>
      <w:tcPr>
        <w:shd w:val="clear" w:color="auto" w:fill="D6E3BC" w:themeFill="accent3" w:themeFillTint="66"/>
      </w:tcPr>
    </w:tblStylePr>
    <w:tblStylePr w:type="firstCol">
      <w:tblPr/>
      <w:tcPr>
        <w:shd w:val="clear" w:color="auto" w:fill="76923C" w:themeFill="accent3" w:themeFillShade="BF"/>
      </w:tcPr>
    </w:tblStylePr>
    <w:tblStylePr w:type="lastCol">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A1">
    <w:name w:val="A1"/>
    <w:uiPriority w:val="99"/>
    <w:rsid w:val="00723887"/>
    <w:rPr>
      <w:rFonts w:cs="Frutiger 45 Light"/>
      <w:color w:val="000000"/>
      <w:sz w:val="21"/>
      <w:szCs w:val="21"/>
    </w:rPr>
  </w:style>
  <w:style w:type="paragraph" w:customStyle="1" w:styleId="WW-Predeterminado">
    <w:name w:val="WW-Predeterminado"/>
    <w:rsid w:val="00071958"/>
    <w:pPr>
      <w:suppressAutoHyphens/>
      <w:autoSpaceDE w:val="0"/>
    </w:pPr>
    <w:rPr>
      <w:rFonts w:ascii="Times New Roman" w:eastAsia="Times New Roman" w:hAnsi="Times New Roman" w:cs="Times New Roman"/>
      <w:sz w:val="20"/>
      <w:szCs w:val="20"/>
      <w:lang w:val="es-ES"/>
    </w:rPr>
  </w:style>
  <w:style w:type="character" w:customStyle="1" w:styleId="Ttulo4Car">
    <w:name w:val="Título 4 Car"/>
    <w:basedOn w:val="Fuentedeprrafopredeter"/>
    <w:link w:val="Ttulo4"/>
    <w:uiPriority w:val="9"/>
    <w:semiHidden/>
    <w:rsid w:val="003A7FCB"/>
    <w:rPr>
      <w:rFonts w:asciiTheme="majorHAnsi" w:eastAsiaTheme="majorEastAsia" w:hAnsiTheme="majorHAnsi" w:cstheme="majorBidi"/>
      <w:b/>
      <w:bCs/>
      <w:i/>
      <w:iCs/>
      <w:color w:val="4F81BD" w:themeColor="accent1"/>
    </w:rPr>
  </w:style>
  <w:style w:type="character" w:customStyle="1" w:styleId="sinenlace">
    <w:name w:val="sin_enlace"/>
    <w:basedOn w:val="Fuentedeprrafopredeter"/>
    <w:rsid w:val="003A7FCB"/>
  </w:style>
  <w:style w:type="character" w:customStyle="1" w:styleId="textonoticia">
    <w:name w:val="texto_noticia"/>
    <w:basedOn w:val="Fuentedeprrafopredeter"/>
    <w:rsid w:val="003A7FCB"/>
  </w:style>
  <w:style w:type="character" w:customStyle="1" w:styleId="at2">
    <w:name w:val="a__t2"/>
    <w:basedOn w:val="Fuentedeprrafopredeter"/>
    <w:rsid w:val="003A7FCB"/>
  </w:style>
  <w:style w:type="character" w:customStyle="1" w:styleId="azuloscuro">
    <w:name w:val="azuloscuro"/>
    <w:basedOn w:val="Fuentedeprrafopredeter"/>
    <w:rsid w:val="00C95BC3"/>
  </w:style>
  <w:style w:type="paragraph" w:styleId="HTMLconformatoprevio">
    <w:name w:val="HTML Preformatted"/>
    <w:basedOn w:val="Normal"/>
    <w:link w:val="HTMLconformatoprevioCar"/>
    <w:uiPriority w:val="99"/>
    <w:semiHidden/>
    <w:unhideWhenUsed/>
    <w:rsid w:val="004824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s-ES"/>
    </w:rPr>
  </w:style>
  <w:style w:type="character" w:customStyle="1" w:styleId="HTMLconformatoprevioCar">
    <w:name w:val="HTML con formato previo Car"/>
    <w:basedOn w:val="Fuentedeprrafopredeter"/>
    <w:link w:val="HTMLconformatoprevio"/>
    <w:uiPriority w:val="99"/>
    <w:semiHidden/>
    <w:rsid w:val="00482494"/>
    <w:rPr>
      <w:rFonts w:ascii="Courier New" w:eastAsia="Times New Roman" w:hAnsi="Courier New" w:cs="Courier New"/>
      <w:sz w:val="20"/>
      <w:szCs w:val="20"/>
      <w:lang w:val="es-ES"/>
    </w:rPr>
  </w:style>
  <w:style w:type="paragraph" w:customStyle="1" w:styleId="Pa9">
    <w:name w:val="Pa9"/>
    <w:basedOn w:val="Default"/>
    <w:next w:val="Default"/>
    <w:uiPriority w:val="99"/>
    <w:rsid w:val="00482494"/>
    <w:pPr>
      <w:spacing w:line="261" w:lineRule="atLeast"/>
    </w:pPr>
    <w:rPr>
      <w:rFonts w:ascii="VAG Rounded Light" w:eastAsia="Calibri" w:hAnsi="VAG Rounded Light"/>
      <w:color w:val="auto"/>
    </w:rPr>
  </w:style>
  <w:style w:type="character" w:customStyle="1" w:styleId="A7">
    <w:name w:val="A7"/>
    <w:uiPriority w:val="99"/>
    <w:rsid w:val="00482494"/>
    <w:rPr>
      <w:rFonts w:cs="VAG Rounded Light"/>
      <w:color w:val="000000"/>
      <w:sz w:val="30"/>
      <w:szCs w:val="30"/>
    </w:rPr>
  </w:style>
  <w:style w:type="paragraph" w:styleId="Textoindependiente3">
    <w:name w:val="Body Text 3"/>
    <w:basedOn w:val="Normal"/>
    <w:link w:val="Textoindependiente3Car"/>
    <w:rsid w:val="008561F8"/>
    <w:pPr>
      <w:jc w:val="both"/>
    </w:pPr>
    <w:rPr>
      <w:rFonts w:ascii="Tahoma" w:eastAsia="Times New Roman" w:hAnsi="Tahoma" w:cs="Tahoma"/>
      <w:b/>
      <w:bCs/>
      <w:lang w:val="es-ES"/>
    </w:rPr>
  </w:style>
  <w:style w:type="character" w:customStyle="1" w:styleId="Textoindependiente3Car">
    <w:name w:val="Texto independiente 3 Car"/>
    <w:basedOn w:val="Fuentedeprrafopredeter"/>
    <w:link w:val="Textoindependiente3"/>
    <w:rsid w:val="008561F8"/>
    <w:rPr>
      <w:rFonts w:ascii="Tahoma" w:eastAsia="Times New Roman" w:hAnsi="Tahoma" w:cs="Tahoma"/>
      <w:b/>
      <w:bCs/>
      <w:lang w:val="es-ES"/>
    </w:rPr>
  </w:style>
  <w:style w:type="paragraph" w:customStyle="1" w:styleId="Sombreadovistoso-nfasis11">
    <w:name w:val="Sombreado vistoso - Énfasis 11"/>
    <w:hidden/>
    <w:uiPriority w:val="71"/>
    <w:rsid w:val="008561F8"/>
    <w:rPr>
      <w:rFonts w:ascii="Times New Roman" w:eastAsia="Times New Roman" w:hAnsi="Times New Roman" w:cs="Times New Roman"/>
      <w:lang w:val="es-ES"/>
    </w:rPr>
  </w:style>
  <w:style w:type="paragraph" w:customStyle="1" w:styleId="Sombreadovistoso-nfasis31">
    <w:name w:val="Sombreado vistoso - Énfasis 31"/>
    <w:basedOn w:val="Normal"/>
    <w:uiPriority w:val="72"/>
    <w:qFormat/>
    <w:rsid w:val="00DE1C48"/>
    <w:pPr>
      <w:ind w:left="720"/>
      <w:contextualSpacing/>
    </w:pPr>
    <w:rPr>
      <w:rFonts w:ascii="Cambria" w:eastAsia="MS Mincho" w:hAnsi="Cambria" w:cs="Times New Roman"/>
    </w:rPr>
  </w:style>
  <w:style w:type="paragraph" w:customStyle="1" w:styleId="Listaoscura-nfasis31">
    <w:name w:val="Lista oscura - Énfasis 31"/>
    <w:hidden/>
    <w:uiPriority w:val="99"/>
    <w:semiHidden/>
    <w:rsid w:val="00DE1C48"/>
    <w:rPr>
      <w:rFonts w:ascii="Times New Roman" w:eastAsia="Times New Roman" w:hAnsi="Times New Roman" w:cs="Times New Roman"/>
      <w:lang w:val="es-ES"/>
    </w:rPr>
  </w:style>
  <w:style w:type="paragraph" w:customStyle="1" w:styleId="Sombreadomedio2-nfasis31">
    <w:name w:val="Sombreado medio 2 - Énfasis 31"/>
    <w:basedOn w:val="Normal"/>
    <w:next w:val="Normal"/>
    <w:link w:val="Sombreadomedio2-nfasis3Car"/>
    <w:autoRedefine/>
    <w:uiPriority w:val="30"/>
    <w:rsid w:val="00DE1C48"/>
    <w:pPr>
      <w:pBdr>
        <w:bottom w:val="single" w:sz="4" w:space="4" w:color="4F81BD"/>
      </w:pBdr>
      <w:spacing w:before="200" w:after="280"/>
      <w:ind w:left="936" w:right="936"/>
    </w:pPr>
    <w:rPr>
      <w:rFonts w:ascii="Calibri" w:eastAsia="MS Mincho" w:hAnsi="Calibri" w:cs="Times New Roman"/>
      <w:b/>
      <w:bCs/>
      <w:i/>
      <w:iCs/>
      <w:color w:val="000090"/>
      <w:sz w:val="36"/>
    </w:rPr>
  </w:style>
  <w:style w:type="character" w:customStyle="1" w:styleId="Sombreadomedio2-nfasis3Car">
    <w:name w:val="Sombreado medio 2 - Énfasis 3 Car"/>
    <w:link w:val="Sombreadomedio2-nfasis31"/>
    <w:uiPriority w:val="30"/>
    <w:rsid w:val="00DE1C48"/>
    <w:rPr>
      <w:rFonts w:ascii="Calibri" w:eastAsia="MS Mincho" w:hAnsi="Calibri" w:cs="Times New Roman"/>
      <w:b/>
      <w:bCs/>
      <w:i/>
      <w:iCs/>
      <w:color w:val="000090"/>
      <w:sz w:val="36"/>
    </w:rPr>
  </w:style>
  <w:style w:type="paragraph" w:customStyle="1" w:styleId="Cuadrculamedia2-nfasis11">
    <w:name w:val="Cuadrícula media 2 - Énfasis 11"/>
    <w:uiPriority w:val="1"/>
    <w:rsid w:val="00DE1C48"/>
    <w:rPr>
      <w:rFonts w:ascii="Calibri" w:eastAsia="Calibri" w:hAnsi="Calibri" w:cs="Times New Roman"/>
      <w:sz w:val="22"/>
      <w:szCs w:val="22"/>
      <w:lang w:val="es-ES" w:eastAsia="en-US"/>
    </w:rPr>
  </w:style>
  <w:style w:type="paragraph" w:customStyle="1" w:styleId="Cuadrculaclara-nfasis32">
    <w:name w:val="Cuadrícula clara - Énfasis 32"/>
    <w:basedOn w:val="Normal"/>
    <w:uiPriority w:val="34"/>
    <w:rsid w:val="00DE1C48"/>
    <w:pPr>
      <w:ind w:left="720"/>
      <w:contextualSpacing/>
    </w:pPr>
    <w:rPr>
      <w:rFonts w:ascii="Cambria" w:eastAsia="MS Mincho" w:hAnsi="Cambria" w:cs="Times New Roman"/>
    </w:rPr>
  </w:style>
  <w:style w:type="character" w:customStyle="1" w:styleId="Referenciasutil1">
    <w:name w:val="Referencia sutil1"/>
    <w:uiPriority w:val="67"/>
    <w:rsid w:val="00DE1C48"/>
    <w:rPr>
      <w:smallCaps/>
      <w:color w:val="C0504D"/>
      <w:u w:val="single"/>
    </w:rPr>
  </w:style>
  <w:style w:type="character" w:customStyle="1" w:styleId="Referenciaintensa3">
    <w:name w:val="Referencia intensa3"/>
    <w:uiPriority w:val="68"/>
    <w:rsid w:val="00DE1C48"/>
    <w:rPr>
      <w:b/>
      <w:bCs/>
      <w:smallCaps/>
      <w:color w:val="C0504D"/>
      <w:spacing w:val="5"/>
      <w:u w:val="single"/>
    </w:rPr>
  </w:style>
  <w:style w:type="character" w:customStyle="1" w:styleId="news-info-box-title">
    <w:name w:val="news-info-box-title"/>
    <w:basedOn w:val="Fuentedeprrafopredeter"/>
    <w:rsid w:val="007217AE"/>
  </w:style>
  <w:style w:type="character" w:customStyle="1" w:styleId="date-act">
    <w:name w:val="date-act"/>
    <w:basedOn w:val="Fuentedeprrafopredeter"/>
    <w:rsid w:val="007217AE"/>
  </w:style>
  <w:style w:type="character" w:customStyle="1" w:styleId="date-act-hour">
    <w:name w:val="date-act-hour"/>
    <w:basedOn w:val="Fuentedeprrafopredeter"/>
    <w:rsid w:val="007217AE"/>
  </w:style>
  <w:style w:type="paragraph" w:customStyle="1" w:styleId="CM23">
    <w:name w:val="CM23"/>
    <w:basedOn w:val="Default"/>
    <w:next w:val="Default"/>
    <w:uiPriority w:val="99"/>
    <w:rsid w:val="007F61B3"/>
    <w:rPr>
      <w:rFonts w:ascii="DDMAO J+ Amplitude" w:eastAsia="Calibri" w:hAnsi="DDMAO J+ Amplitude"/>
      <w:color w:val="auto"/>
    </w:rPr>
  </w:style>
  <w:style w:type="character" w:customStyle="1" w:styleId="social-icon">
    <w:name w:val="social-icon"/>
    <w:basedOn w:val="Fuentedeprrafopredeter"/>
    <w:rsid w:val="00A33BC3"/>
  </w:style>
  <w:style w:type="character" w:customStyle="1" w:styleId="icon-text">
    <w:name w:val="icon-text"/>
    <w:basedOn w:val="Fuentedeprrafopredeter"/>
    <w:rsid w:val="00A33BC3"/>
  </w:style>
  <w:style w:type="character" w:customStyle="1" w:styleId="count">
    <w:name w:val="count"/>
    <w:basedOn w:val="Fuentedeprrafopredeter"/>
    <w:rsid w:val="00A33BC3"/>
  </w:style>
  <w:style w:type="character" w:customStyle="1" w:styleId="social-arrow">
    <w:name w:val="social-arrow"/>
    <w:basedOn w:val="Fuentedeprrafopredeter"/>
    <w:rsid w:val="00A33BC3"/>
  </w:style>
  <w:style w:type="character" w:customStyle="1" w:styleId="watch-title">
    <w:name w:val="watch-title"/>
    <w:basedOn w:val="Fuentedeprrafopredeter"/>
    <w:rsid w:val="00A33BC3"/>
  </w:style>
  <w:style w:type="paragraph" w:customStyle="1" w:styleId="soustitre">
    <w:name w:val="soustitre"/>
    <w:basedOn w:val="Normal"/>
    <w:rsid w:val="00A33BC3"/>
    <w:pPr>
      <w:spacing w:before="100" w:beforeAutospacing="1" w:after="100" w:afterAutospacing="1"/>
    </w:pPr>
    <w:rPr>
      <w:rFonts w:ascii="Times New Roman" w:eastAsia="Times New Roman" w:hAnsi="Times New Roman" w:cs="Times New Roman"/>
      <w:lang w:val="es-ES"/>
    </w:rPr>
  </w:style>
  <w:style w:type="character" w:customStyle="1" w:styleId="A17">
    <w:name w:val="A17"/>
    <w:uiPriority w:val="99"/>
    <w:rsid w:val="00A33BC3"/>
    <w:rPr>
      <w:rFonts w:cs="Repsol"/>
      <w:color w:val="000000"/>
      <w:sz w:val="12"/>
      <w:szCs w:val="12"/>
    </w:rPr>
  </w:style>
  <w:style w:type="paragraph" w:customStyle="1" w:styleId="Pa49">
    <w:name w:val="Pa49"/>
    <w:basedOn w:val="Default"/>
    <w:next w:val="Default"/>
    <w:uiPriority w:val="99"/>
    <w:rsid w:val="00A33BC3"/>
    <w:pPr>
      <w:spacing w:line="221" w:lineRule="atLeast"/>
    </w:pPr>
    <w:rPr>
      <w:rFonts w:ascii="Repsol" w:eastAsia="Calibri" w:hAnsi="Repsol"/>
      <w:color w:val="auto"/>
    </w:rPr>
  </w:style>
  <w:style w:type="paragraph" w:customStyle="1" w:styleId="Pa4">
    <w:name w:val="Pa4"/>
    <w:basedOn w:val="Default"/>
    <w:next w:val="Default"/>
    <w:uiPriority w:val="99"/>
    <w:rsid w:val="00A33BC3"/>
    <w:pPr>
      <w:spacing w:line="241" w:lineRule="atLeast"/>
    </w:pPr>
    <w:rPr>
      <w:rFonts w:ascii="Repsol" w:eastAsia="Calibri" w:hAnsi="Repsol"/>
      <w:color w:val="auto"/>
    </w:rPr>
  </w:style>
  <w:style w:type="character" w:customStyle="1" w:styleId="st">
    <w:name w:val="st"/>
    <w:basedOn w:val="Fuentedeprrafopredeter"/>
    <w:rsid w:val="00A33BC3"/>
  </w:style>
  <w:style w:type="character" w:customStyle="1" w:styleId="EnlacedeInternet">
    <w:name w:val="Enlace de Internet"/>
    <w:rsid w:val="00630F11"/>
    <w:rPr>
      <w:color w:val="0000FF"/>
      <w:u w:val="single"/>
    </w:rPr>
  </w:style>
  <w:style w:type="character" w:customStyle="1" w:styleId="Ancladenotaalpie">
    <w:name w:val="Ancla de nota al pie"/>
    <w:rsid w:val="00630F11"/>
    <w:rPr>
      <w:vertAlign w:val="superscript"/>
    </w:rPr>
  </w:style>
  <w:style w:type="paragraph" w:customStyle="1" w:styleId="Notaalpie">
    <w:name w:val="Nota al pie"/>
    <w:basedOn w:val="Normal"/>
    <w:rsid w:val="00630F11"/>
    <w:rPr>
      <w:lang w:val="es-ES"/>
    </w:rPr>
  </w:style>
  <w:style w:type="character" w:customStyle="1" w:styleId="zm-spellcheck-misspelled">
    <w:name w:val="zm-spellcheck-misspelled"/>
    <w:rsid w:val="00D13541"/>
  </w:style>
  <w:style w:type="character" w:customStyle="1" w:styleId="fechahora">
    <w:name w:val="fecha_hora"/>
    <w:rsid w:val="00D13541"/>
  </w:style>
  <w:style w:type="character" w:customStyle="1" w:styleId="autor">
    <w:name w:val="autor"/>
    <w:rsid w:val="00D13541"/>
  </w:style>
  <w:style w:type="character" w:customStyle="1" w:styleId="Ttulo5Car">
    <w:name w:val="Título 5 Car"/>
    <w:basedOn w:val="Fuentedeprrafopredeter"/>
    <w:link w:val="Ttulo5"/>
    <w:uiPriority w:val="9"/>
    <w:semiHidden/>
    <w:rsid w:val="00D20B2B"/>
    <w:rPr>
      <w:rFonts w:asciiTheme="majorHAnsi" w:eastAsiaTheme="majorEastAsia" w:hAnsiTheme="majorHAnsi" w:cstheme="majorBidi"/>
      <w:color w:val="243F60" w:themeColor="accent1" w:themeShade="7F"/>
    </w:rPr>
  </w:style>
  <w:style w:type="character" w:customStyle="1" w:styleId="Ttulo6Car">
    <w:name w:val="Título 6 Car"/>
    <w:basedOn w:val="Fuentedeprrafopredeter"/>
    <w:link w:val="Ttulo6"/>
    <w:uiPriority w:val="9"/>
    <w:semiHidden/>
    <w:rsid w:val="00D20B2B"/>
    <w:rPr>
      <w:rFonts w:asciiTheme="majorHAnsi" w:eastAsiaTheme="majorEastAsia" w:hAnsiTheme="majorHAnsi" w:cstheme="majorBidi"/>
      <w:i/>
      <w:iCs/>
      <w:color w:val="243F60" w:themeColor="accent1" w:themeShade="7F"/>
    </w:rPr>
  </w:style>
  <w:style w:type="table" w:customStyle="1" w:styleId="TableNormal">
    <w:name w:val="Table Normal"/>
    <w:rsid w:val="00D20B2B"/>
    <w:rPr>
      <w:rFonts w:ascii="Times New Roman" w:eastAsia="Times New Roman" w:hAnsi="Times New Roman" w:cs="Times New Roman"/>
      <w:color w:val="000000"/>
      <w:szCs w:val="20"/>
      <w:lang w:val="es-ES"/>
    </w:rPr>
    <w:tblPr>
      <w:tblCellMar>
        <w:top w:w="0" w:type="dxa"/>
        <w:left w:w="0" w:type="dxa"/>
        <w:bottom w:w="0" w:type="dxa"/>
        <w:right w:w="0" w:type="dxa"/>
      </w:tblCellMar>
    </w:tblPr>
  </w:style>
  <w:style w:type="paragraph" w:styleId="Ttulo">
    <w:name w:val="Title"/>
    <w:basedOn w:val="Normal1"/>
    <w:next w:val="Normal1"/>
    <w:link w:val="TtuloCar"/>
    <w:uiPriority w:val="10"/>
    <w:qFormat/>
    <w:rsid w:val="00D20B2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s-ES_tradnl"/>
    </w:rPr>
  </w:style>
  <w:style w:type="character" w:customStyle="1" w:styleId="TtuloCar">
    <w:name w:val="Título Car"/>
    <w:basedOn w:val="Fuentedeprrafopredeter"/>
    <w:link w:val="Ttulo"/>
    <w:uiPriority w:val="10"/>
    <w:rsid w:val="00D20B2B"/>
    <w:rPr>
      <w:rFonts w:asciiTheme="majorHAnsi" w:eastAsiaTheme="majorEastAsia" w:hAnsiTheme="majorHAnsi" w:cstheme="majorBidi"/>
      <w:color w:val="17365D" w:themeColor="text2" w:themeShade="BF"/>
      <w:spacing w:val="5"/>
      <w:kern w:val="28"/>
      <w:sz w:val="52"/>
      <w:szCs w:val="52"/>
    </w:rPr>
  </w:style>
  <w:style w:type="character" w:customStyle="1" w:styleId="A6">
    <w:name w:val="A6"/>
    <w:uiPriority w:val="99"/>
    <w:rsid w:val="00B77D5E"/>
    <w:rPr>
      <w:rFonts w:cs="Gill Sans"/>
      <w:color w:val="403F41"/>
      <w:sz w:val="22"/>
      <w:szCs w:val="22"/>
    </w:rPr>
  </w:style>
  <w:style w:type="paragraph" w:customStyle="1" w:styleId="western">
    <w:name w:val="western"/>
    <w:basedOn w:val="Normal"/>
    <w:rsid w:val="00AC7677"/>
    <w:pPr>
      <w:spacing w:before="100" w:beforeAutospacing="1" w:after="100" w:afterAutospacing="1"/>
    </w:pPr>
    <w:rPr>
      <w:rFonts w:ascii="Times New Roman" w:eastAsia="Times New Roman" w:hAnsi="Times New Roman" w:cs="Times New Roman"/>
      <w:lang w:val="es-ES"/>
    </w:rPr>
  </w:style>
  <w:style w:type="character" w:customStyle="1" w:styleId="lede-headlinehighlighted">
    <w:name w:val="lede-headline__highlighted"/>
    <w:basedOn w:val="Fuentedeprrafopredeter"/>
    <w:rsid w:val="00AC7677"/>
  </w:style>
  <w:style w:type="character" w:customStyle="1" w:styleId="A71">
    <w:name w:val="A7+1"/>
    <w:uiPriority w:val="99"/>
    <w:rsid w:val="00EF0D79"/>
    <w:rPr>
      <w:rFonts w:cs="Lucida Grande"/>
      <w:color w:val="000000"/>
      <w:sz w:val="22"/>
      <w:szCs w:val="22"/>
    </w:rPr>
  </w:style>
  <w:style w:type="paragraph" w:customStyle="1" w:styleId="Pa11">
    <w:name w:val="Pa11"/>
    <w:basedOn w:val="Normal"/>
    <w:next w:val="Normal"/>
    <w:uiPriority w:val="99"/>
    <w:rsid w:val="00EF0D79"/>
    <w:pPr>
      <w:autoSpaceDE w:val="0"/>
      <w:autoSpaceDN w:val="0"/>
      <w:adjustRightInd w:val="0"/>
      <w:spacing w:line="211" w:lineRule="atLeast"/>
      <w:jc w:val="both"/>
    </w:pPr>
    <w:rPr>
      <w:rFonts w:ascii="Univers LT Std 47 Cn Lt" w:eastAsiaTheme="minorHAnsi" w:hAnsi="Univers LT Std 47 Cn Lt"/>
      <w:lang w:val="es-ES" w:eastAsia="en-US"/>
    </w:rPr>
  </w:style>
  <w:style w:type="paragraph" w:customStyle="1" w:styleId="mce">
    <w:name w:val="mce"/>
    <w:basedOn w:val="Normal"/>
    <w:rsid w:val="00EF0D79"/>
    <w:pPr>
      <w:spacing w:before="100" w:beforeAutospacing="1" w:after="100" w:afterAutospacing="1"/>
    </w:pPr>
    <w:rPr>
      <w:rFonts w:ascii="Times New Roman" w:eastAsia="Times New Roman" w:hAnsi="Times New Roman" w:cs="Times New Roman"/>
      <w:lang w:val="es-ES"/>
    </w:rPr>
  </w:style>
  <w:style w:type="character" w:customStyle="1" w:styleId="summary">
    <w:name w:val="summary"/>
    <w:basedOn w:val="Fuentedeprrafopredeter"/>
    <w:rsid w:val="00661796"/>
  </w:style>
  <w:style w:type="paragraph" w:customStyle="1" w:styleId="DialogosTitulo1">
    <w:name w:val="Dialogos. Titulo 1"/>
    <w:basedOn w:val="Normal"/>
    <w:autoRedefine/>
    <w:rsid w:val="00E75060"/>
    <w:pPr>
      <w:jc w:val="both"/>
      <w:outlineLvl w:val="0"/>
    </w:pPr>
    <w:rPr>
      <w:rFonts w:ascii="Open Sans" w:hAnsi="Open Sans"/>
      <w:b/>
      <w:color w:val="363E87"/>
    </w:rPr>
  </w:style>
  <w:style w:type="paragraph" w:customStyle="1" w:styleId="DialogosTitulo2">
    <w:name w:val="Dialogos. Titulo 2"/>
    <w:basedOn w:val="DialogosTitulo1"/>
    <w:rsid w:val="00E75060"/>
    <w:pPr>
      <w:ind w:left="709"/>
    </w:pPr>
    <w:rPr>
      <w:sz w:val="22"/>
    </w:rPr>
  </w:style>
  <w:style w:type="paragraph" w:customStyle="1" w:styleId="Titulo3-informefinal">
    <w:name w:val="Titulo3-informe final"/>
    <w:basedOn w:val="Ttulo1"/>
    <w:qFormat/>
    <w:rsid w:val="00E75060"/>
    <w:rPr>
      <w:rFonts w:ascii="Open Sans" w:hAnsi="Open Sans"/>
      <w:sz w:val="26"/>
    </w:rPr>
  </w:style>
  <w:style w:type="paragraph" w:styleId="Mapadeldocumento">
    <w:name w:val="Document Map"/>
    <w:basedOn w:val="Normal"/>
    <w:link w:val="MapadeldocumentoCar"/>
    <w:uiPriority w:val="99"/>
    <w:semiHidden/>
    <w:unhideWhenUsed/>
    <w:rsid w:val="00A87954"/>
    <w:rPr>
      <w:rFonts w:ascii="Lucida Grande" w:hAnsi="Lucida Grande" w:cs="Lucida Grande"/>
    </w:rPr>
  </w:style>
  <w:style w:type="character" w:customStyle="1" w:styleId="MapadeldocumentoCar">
    <w:name w:val="Mapa del documento Car"/>
    <w:basedOn w:val="Fuentedeprrafopredeter"/>
    <w:link w:val="Mapadeldocumento"/>
    <w:uiPriority w:val="99"/>
    <w:semiHidden/>
    <w:rsid w:val="00A87954"/>
    <w:rPr>
      <w:rFonts w:ascii="Lucida Grande" w:hAnsi="Lucida Grande" w:cs="Lucida Grande"/>
    </w:rPr>
  </w:style>
  <w:style w:type="paragraph" w:customStyle="1" w:styleId="Titulo4-informefinal">
    <w:name w:val="Titulo4-informe final"/>
    <w:basedOn w:val="Titulo3-informefinal"/>
    <w:qFormat/>
    <w:rsid w:val="00A87954"/>
    <w:pPr>
      <w:ind w:left="709"/>
    </w:pPr>
    <w:rPr>
      <w:sz w:val="24"/>
      <w:szCs w:val="24"/>
    </w:rPr>
  </w:style>
  <w:style w:type="paragraph" w:customStyle="1" w:styleId="Titulo1-informe">
    <w:name w:val="Titulo1-informe"/>
    <w:basedOn w:val="Normal"/>
    <w:qFormat/>
    <w:rsid w:val="00AA60F2"/>
    <w:pPr>
      <w:jc w:val="both"/>
      <w:outlineLvl w:val="5"/>
    </w:pPr>
    <w:rPr>
      <w:rFonts w:ascii="Open Sans" w:eastAsia="MS Mincho" w:hAnsi="Open Sans" w:cs="Arial"/>
      <w:b/>
      <w:sz w:val="22"/>
      <w:szCs w:val="22"/>
      <w:u w:val="single"/>
    </w:rPr>
  </w:style>
  <w:style w:type="character" w:customStyle="1" w:styleId="Sombreadomediano1-nfasis5Car">
    <w:name w:val="Sombreado mediano 1 - Énfasis 5 Car"/>
    <w:link w:val="Sombreadomedio1-nfasis5"/>
    <w:uiPriority w:val="30"/>
    <w:rsid w:val="00A345F6"/>
    <w:rPr>
      <w:rFonts w:ascii="Calibri" w:hAnsi="Calibri"/>
      <w:b/>
      <w:bCs/>
      <w:i/>
      <w:iCs/>
      <w:color w:val="000090"/>
      <w:sz w:val="36"/>
    </w:rPr>
  </w:style>
  <w:style w:type="table" w:styleId="Sombreadomedio1-nfasis5">
    <w:name w:val="Medium Shading 1 Accent 5"/>
    <w:basedOn w:val="Tablanormal"/>
    <w:link w:val="Sombreadomediano1-nfasis5Car"/>
    <w:uiPriority w:val="30"/>
    <w:rsid w:val="00A345F6"/>
    <w:rPr>
      <w:rFonts w:ascii="Calibri" w:hAnsi="Calibri"/>
      <w:b/>
      <w:bCs/>
      <w:i/>
      <w:iCs/>
      <w:color w:val="000090"/>
      <w:sz w:val="36"/>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customStyle="1" w:styleId="Listamedia2-nfasis41">
    <w:name w:val="Lista media 2 - Énfasis 41"/>
    <w:basedOn w:val="Normal"/>
    <w:uiPriority w:val="34"/>
    <w:qFormat/>
    <w:rsid w:val="001262A9"/>
    <w:pPr>
      <w:ind w:left="720"/>
      <w:contextualSpacing/>
    </w:pPr>
    <w:rPr>
      <w:rFonts w:ascii="Times New Roman" w:eastAsia="Times New Roman" w:hAnsi="Times New Roman" w:cs="Times New Roman"/>
      <w:lang w:val="es-ES"/>
    </w:rPr>
  </w:style>
  <w:style w:type="character" w:customStyle="1" w:styleId="WW8Num2z3">
    <w:name w:val="WW8Num2z3"/>
    <w:rsid w:val="00A64F90"/>
    <w:rPr>
      <w:rFonts w:ascii="Symbol" w:hAnsi="Symbol" w:cs="Symbol" w:hint="default"/>
    </w:rPr>
  </w:style>
  <w:style w:type="character" w:customStyle="1" w:styleId="WW8Num11z4">
    <w:name w:val="WW8Num11z4"/>
    <w:rsid w:val="00A64F90"/>
  </w:style>
  <w:style w:type="character" w:customStyle="1" w:styleId="WW8Num11z5">
    <w:name w:val="WW8Num11z5"/>
    <w:rsid w:val="00A64F90"/>
  </w:style>
  <w:style w:type="character" w:customStyle="1" w:styleId="WW8Num11z6">
    <w:name w:val="WW8Num11z6"/>
    <w:rsid w:val="00A64F90"/>
  </w:style>
  <w:style w:type="character" w:customStyle="1" w:styleId="WW8Num11z7">
    <w:name w:val="WW8Num11z7"/>
    <w:rsid w:val="00A64F90"/>
  </w:style>
  <w:style w:type="character" w:customStyle="1" w:styleId="WW8Num11z8">
    <w:name w:val="WW8Num11z8"/>
    <w:rsid w:val="00A64F90"/>
  </w:style>
  <w:style w:type="character" w:customStyle="1" w:styleId="WW8Num12z3">
    <w:name w:val="WW8Num12z3"/>
    <w:rsid w:val="00A64F90"/>
    <w:rPr>
      <w:rFonts w:ascii="Symbol" w:hAnsi="Symbol" w:cs="Symbol" w:hint="default"/>
      <w:sz w:val="20"/>
      <w:szCs w:val="20"/>
    </w:rPr>
  </w:style>
  <w:style w:type="character" w:customStyle="1" w:styleId="WW8Num17z1">
    <w:name w:val="WW8Num17z1"/>
    <w:rsid w:val="00A64F90"/>
  </w:style>
  <w:style w:type="character" w:customStyle="1" w:styleId="WW8Num17z4">
    <w:name w:val="WW8Num17z4"/>
    <w:rsid w:val="00A64F90"/>
  </w:style>
  <w:style w:type="character" w:customStyle="1" w:styleId="WW8Num17z5">
    <w:name w:val="WW8Num17z5"/>
    <w:rsid w:val="00A64F90"/>
  </w:style>
  <w:style w:type="character" w:customStyle="1" w:styleId="WW8Num17z6">
    <w:name w:val="WW8Num17z6"/>
    <w:rsid w:val="00A64F90"/>
  </w:style>
  <w:style w:type="character" w:customStyle="1" w:styleId="WW8Num17z7">
    <w:name w:val="WW8Num17z7"/>
    <w:rsid w:val="00A64F90"/>
  </w:style>
  <w:style w:type="character" w:customStyle="1" w:styleId="WW8Num17z8">
    <w:name w:val="WW8Num17z8"/>
    <w:rsid w:val="00A64F90"/>
  </w:style>
  <w:style w:type="character" w:customStyle="1" w:styleId="WW8Num18z3">
    <w:name w:val="WW8Num18z3"/>
    <w:rsid w:val="00A64F90"/>
    <w:rPr>
      <w:rFonts w:ascii="Symbol" w:hAnsi="Symbol" w:cs="Symbol" w:hint="default"/>
    </w:rPr>
  </w:style>
  <w:style w:type="character" w:customStyle="1" w:styleId="WW8Num19z2">
    <w:name w:val="WW8Num19z2"/>
    <w:rsid w:val="00A64F90"/>
    <w:rPr>
      <w:rFonts w:ascii="Wingdings" w:hAnsi="Wingdings" w:cs="Wingdings" w:hint="default"/>
    </w:rPr>
  </w:style>
  <w:style w:type="character" w:customStyle="1" w:styleId="WW8Num19z3">
    <w:name w:val="WW8Num19z3"/>
    <w:rsid w:val="00A64F90"/>
    <w:rPr>
      <w:rFonts w:ascii="Symbol" w:hAnsi="Symbol" w:cs="Symbol" w:hint="default"/>
    </w:rPr>
  </w:style>
  <w:style w:type="character" w:customStyle="1" w:styleId="WW8Num22z2">
    <w:name w:val="WW8Num22z2"/>
    <w:rsid w:val="00A64F90"/>
    <w:rPr>
      <w:rFonts w:ascii="Wingdings" w:hAnsi="Wingdings" w:cs="Wingdings" w:hint="default"/>
    </w:rPr>
  </w:style>
  <w:style w:type="character" w:customStyle="1" w:styleId="WW8Num22z3">
    <w:name w:val="WW8Num22z3"/>
    <w:rsid w:val="00A64F90"/>
    <w:rPr>
      <w:rFonts w:ascii="Symbol" w:hAnsi="Symbol" w:cs="Symbol" w:hint="default"/>
    </w:rPr>
  </w:style>
  <w:style w:type="character" w:customStyle="1" w:styleId="WW8Num28z1">
    <w:name w:val="WW8Num28z1"/>
    <w:rsid w:val="00A64F90"/>
  </w:style>
  <w:style w:type="character" w:customStyle="1" w:styleId="WW8Num28z4">
    <w:name w:val="WW8Num28z4"/>
    <w:rsid w:val="00A64F90"/>
  </w:style>
  <w:style w:type="character" w:customStyle="1" w:styleId="WW8Num28z5">
    <w:name w:val="WW8Num28z5"/>
    <w:rsid w:val="00A64F90"/>
  </w:style>
  <w:style w:type="character" w:customStyle="1" w:styleId="WW8Num28z6">
    <w:name w:val="WW8Num28z6"/>
    <w:rsid w:val="00A64F90"/>
  </w:style>
  <w:style w:type="character" w:customStyle="1" w:styleId="WW8Num28z7">
    <w:name w:val="WW8Num28z7"/>
    <w:rsid w:val="00A64F90"/>
  </w:style>
  <w:style w:type="character" w:customStyle="1" w:styleId="WW8Num28z8">
    <w:name w:val="WW8Num28z8"/>
    <w:rsid w:val="00A64F90"/>
  </w:style>
  <w:style w:type="character" w:customStyle="1" w:styleId="WW8Num30z0">
    <w:name w:val="WW8Num30z0"/>
    <w:rsid w:val="00A64F90"/>
    <w:rPr>
      <w:rFonts w:ascii="Courier New" w:hAnsi="Courier New" w:cs="Courier New" w:hint="default"/>
    </w:rPr>
  </w:style>
  <w:style w:type="character" w:customStyle="1" w:styleId="WW8Num30z2">
    <w:name w:val="WW8Num30z2"/>
    <w:rsid w:val="00A64F90"/>
    <w:rPr>
      <w:rFonts w:ascii="Wingdings" w:hAnsi="Wingdings" w:cs="Wingdings" w:hint="default"/>
    </w:rPr>
  </w:style>
  <w:style w:type="character" w:customStyle="1" w:styleId="WW8Num30z3">
    <w:name w:val="WW8Num30z3"/>
    <w:rsid w:val="00A64F90"/>
    <w:rPr>
      <w:rFonts w:ascii="Symbol" w:hAnsi="Symbol" w:cs="Symbol" w:hint="default"/>
    </w:rPr>
  </w:style>
  <w:style w:type="character" w:customStyle="1" w:styleId="WW8Num31z0">
    <w:name w:val="WW8Num31z0"/>
    <w:rsid w:val="00A64F90"/>
    <w:rPr>
      <w:rFonts w:ascii="Courier New" w:hAnsi="Courier New" w:cs="Courier New" w:hint="default"/>
      <w:sz w:val="20"/>
      <w:szCs w:val="20"/>
    </w:rPr>
  </w:style>
  <w:style w:type="character" w:customStyle="1" w:styleId="WW8Num31z2">
    <w:name w:val="WW8Num31z2"/>
    <w:rsid w:val="00A64F90"/>
    <w:rPr>
      <w:rFonts w:ascii="Wingdings" w:hAnsi="Wingdings" w:cs="Wingdings" w:hint="default"/>
    </w:rPr>
  </w:style>
  <w:style w:type="character" w:customStyle="1" w:styleId="WW8Num31z3">
    <w:name w:val="WW8Num31z3"/>
    <w:rsid w:val="00A64F90"/>
    <w:rPr>
      <w:rFonts w:ascii="Symbol" w:hAnsi="Symbol" w:cs="Symbol" w:hint="default"/>
    </w:rPr>
  </w:style>
  <w:style w:type="paragraph" w:customStyle="1" w:styleId="Textocomentario1">
    <w:name w:val="Texto comentario1"/>
    <w:basedOn w:val="Normal"/>
    <w:rsid w:val="00A64F90"/>
    <w:pPr>
      <w:suppressAutoHyphens/>
    </w:pPr>
    <w:rPr>
      <w:rFonts w:ascii="Times New Roman" w:eastAsia="Times New Roman" w:hAnsi="Times New Roman" w:cs="Times New Roman"/>
      <w:lang w:val="es-ES" w:eastAsia="zh-CN"/>
    </w:rPr>
  </w:style>
  <w:style w:type="character" w:customStyle="1" w:styleId="Mention">
    <w:name w:val="Mention"/>
    <w:uiPriority w:val="99"/>
    <w:semiHidden/>
    <w:unhideWhenUsed/>
    <w:rsid w:val="00A64F90"/>
    <w:rPr>
      <w:color w:val="2B579A"/>
      <w:shd w:val="clear" w:color="auto" w:fill="E6E6E6"/>
    </w:rPr>
  </w:style>
  <w:style w:type="character" w:customStyle="1" w:styleId="TextocomentarioCar1">
    <w:name w:val="Texto comentario Car1"/>
    <w:uiPriority w:val="99"/>
    <w:semiHidden/>
    <w:rsid w:val="00A64F90"/>
    <w:rPr>
      <w:lang w:eastAsia="zh-CN"/>
    </w:rPr>
  </w:style>
  <w:style w:type="character" w:customStyle="1" w:styleId="WW8Num8z3">
    <w:name w:val="WW8Num8z3"/>
    <w:rsid w:val="00092060"/>
  </w:style>
  <w:style w:type="character" w:customStyle="1" w:styleId="WW8Num8z4">
    <w:name w:val="WW8Num8z4"/>
    <w:rsid w:val="00092060"/>
  </w:style>
  <w:style w:type="character" w:customStyle="1" w:styleId="WW8Num8z5">
    <w:name w:val="WW8Num8z5"/>
    <w:rsid w:val="00092060"/>
  </w:style>
  <w:style w:type="character" w:customStyle="1" w:styleId="WW8Num8z6">
    <w:name w:val="WW8Num8z6"/>
    <w:rsid w:val="00092060"/>
  </w:style>
  <w:style w:type="character" w:customStyle="1" w:styleId="WW8Num8z7">
    <w:name w:val="WW8Num8z7"/>
    <w:rsid w:val="00092060"/>
  </w:style>
  <w:style w:type="character" w:customStyle="1" w:styleId="WW8Num8z8">
    <w:name w:val="WW8Num8z8"/>
    <w:rsid w:val="00092060"/>
  </w:style>
  <w:style w:type="character" w:customStyle="1" w:styleId="ListLabel73">
    <w:name w:val="ListLabel 73"/>
    <w:rsid w:val="00092060"/>
    <w:rPr>
      <w:rFonts w:ascii="Open Sans" w:hAnsi="Open Sans" w:cs="Symbol"/>
      <w:sz w:val="20"/>
    </w:rPr>
  </w:style>
  <w:style w:type="character" w:customStyle="1" w:styleId="ListLabel74">
    <w:name w:val="ListLabel 74"/>
    <w:rsid w:val="00092060"/>
    <w:rPr>
      <w:rFonts w:cs="Courier New"/>
      <w:sz w:val="20"/>
    </w:rPr>
  </w:style>
  <w:style w:type="character" w:customStyle="1" w:styleId="ListLabel75">
    <w:name w:val="ListLabel 75"/>
    <w:rsid w:val="00092060"/>
    <w:rPr>
      <w:rFonts w:cs="Wingdings"/>
      <w:sz w:val="20"/>
    </w:rPr>
  </w:style>
  <w:style w:type="character" w:customStyle="1" w:styleId="ListLabel76">
    <w:name w:val="ListLabel 76"/>
    <w:rsid w:val="00092060"/>
    <w:rPr>
      <w:rFonts w:cs="Wingdings"/>
      <w:sz w:val="20"/>
    </w:rPr>
  </w:style>
  <w:style w:type="character" w:customStyle="1" w:styleId="ListLabel77">
    <w:name w:val="ListLabel 77"/>
    <w:rsid w:val="00092060"/>
    <w:rPr>
      <w:rFonts w:cs="Wingdings"/>
      <w:sz w:val="20"/>
    </w:rPr>
  </w:style>
  <w:style w:type="character" w:customStyle="1" w:styleId="ListLabel78">
    <w:name w:val="ListLabel 78"/>
    <w:rsid w:val="00092060"/>
    <w:rPr>
      <w:rFonts w:cs="Wingdings"/>
      <w:sz w:val="20"/>
    </w:rPr>
  </w:style>
  <w:style w:type="character" w:customStyle="1" w:styleId="ListLabel79">
    <w:name w:val="ListLabel 79"/>
    <w:rsid w:val="00092060"/>
    <w:rPr>
      <w:rFonts w:cs="Wingdings"/>
      <w:sz w:val="20"/>
    </w:rPr>
  </w:style>
  <w:style w:type="character" w:customStyle="1" w:styleId="ListLabel80">
    <w:name w:val="ListLabel 80"/>
    <w:rsid w:val="00092060"/>
    <w:rPr>
      <w:rFonts w:cs="Wingdings"/>
      <w:sz w:val="20"/>
    </w:rPr>
  </w:style>
  <w:style w:type="character" w:customStyle="1" w:styleId="ListLabel81">
    <w:name w:val="ListLabel 81"/>
    <w:rsid w:val="00092060"/>
    <w:rPr>
      <w:rFonts w:cs="Wingdings"/>
      <w:sz w:val="20"/>
    </w:rPr>
  </w:style>
  <w:style w:type="character" w:customStyle="1" w:styleId="Textoennegrita1">
    <w:name w:val="Texto en negrita1"/>
    <w:rsid w:val="00092060"/>
    <w:rPr>
      <w:b/>
      <w:bCs/>
    </w:rPr>
  </w:style>
  <w:style w:type="character" w:customStyle="1" w:styleId="ListLabel46">
    <w:name w:val="ListLabel 46"/>
    <w:rsid w:val="00092060"/>
    <w:rPr>
      <w:rFonts w:ascii="Open Sans" w:hAnsi="Open Sans" w:cs="Symbol"/>
      <w:sz w:val="20"/>
    </w:rPr>
  </w:style>
  <w:style w:type="character" w:customStyle="1" w:styleId="ListLabel47">
    <w:name w:val="ListLabel 47"/>
    <w:rsid w:val="00092060"/>
    <w:rPr>
      <w:rFonts w:cs="Courier New"/>
    </w:rPr>
  </w:style>
  <w:style w:type="character" w:customStyle="1" w:styleId="ListLabel48">
    <w:name w:val="ListLabel 48"/>
    <w:rsid w:val="00092060"/>
    <w:rPr>
      <w:rFonts w:cs="Wingdings"/>
    </w:rPr>
  </w:style>
  <w:style w:type="character" w:customStyle="1" w:styleId="ListLabel49">
    <w:name w:val="ListLabel 49"/>
    <w:rsid w:val="00092060"/>
    <w:rPr>
      <w:rFonts w:cs="Symbol"/>
    </w:rPr>
  </w:style>
  <w:style w:type="character" w:customStyle="1" w:styleId="ListLabel50">
    <w:name w:val="ListLabel 50"/>
    <w:rsid w:val="00092060"/>
    <w:rPr>
      <w:rFonts w:cs="Courier New"/>
    </w:rPr>
  </w:style>
  <w:style w:type="character" w:customStyle="1" w:styleId="ListLabel51">
    <w:name w:val="ListLabel 51"/>
    <w:rsid w:val="00092060"/>
    <w:rPr>
      <w:rFonts w:cs="Wingdings"/>
    </w:rPr>
  </w:style>
  <w:style w:type="character" w:customStyle="1" w:styleId="ListLabel52">
    <w:name w:val="ListLabel 52"/>
    <w:rsid w:val="00092060"/>
    <w:rPr>
      <w:rFonts w:cs="Symbol"/>
    </w:rPr>
  </w:style>
  <w:style w:type="character" w:customStyle="1" w:styleId="ListLabel53">
    <w:name w:val="ListLabel 53"/>
    <w:rsid w:val="00092060"/>
    <w:rPr>
      <w:rFonts w:cs="Courier New"/>
    </w:rPr>
  </w:style>
  <w:style w:type="character" w:customStyle="1" w:styleId="ListLabel54">
    <w:name w:val="ListLabel 54"/>
    <w:rsid w:val="00092060"/>
    <w:rPr>
      <w:rFonts w:cs="Wingdings"/>
    </w:rPr>
  </w:style>
  <w:style w:type="character" w:customStyle="1" w:styleId="ListLabel37">
    <w:name w:val="ListLabel 37"/>
    <w:rsid w:val="00092060"/>
    <w:rPr>
      <w:rFonts w:ascii="Open Sans" w:hAnsi="Open Sans" w:cs="Symbol"/>
      <w:sz w:val="20"/>
    </w:rPr>
  </w:style>
  <w:style w:type="character" w:customStyle="1" w:styleId="ListLabel38">
    <w:name w:val="ListLabel 38"/>
    <w:rsid w:val="00092060"/>
    <w:rPr>
      <w:rFonts w:cs="Courier New"/>
    </w:rPr>
  </w:style>
  <w:style w:type="character" w:customStyle="1" w:styleId="ListLabel39">
    <w:name w:val="ListLabel 39"/>
    <w:rsid w:val="00092060"/>
    <w:rPr>
      <w:rFonts w:cs="Wingdings"/>
    </w:rPr>
  </w:style>
  <w:style w:type="character" w:customStyle="1" w:styleId="ListLabel40">
    <w:name w:val="ListLabel 40"/>
    <w:rsid w:val="00092060"/>
    <w:rPr>
      <w:rFonts w:cs="Symbol"/>
    </w:rPr>
  </w:style>
  <w:style w:type="character" w:customStyle="1" w:styleId="ListLabel41">
    <w:name w:val="ListLabel 41"/>
    <w:rsid w:val="00092060"/>
    <w:rPr>
      <w:rFonts w:cs="Courier New"/>
    </w:rPr>
  </w:style>
  <w:style w:type="character" w:customStyle="1" w:styleId="ListLabel42">
    <w:name w:val="ListLabel 42"/>
    <w:rsid w:val="00092060"/>
    <w:rPr>
      <w:rFonts w:cs="Wingdings"/>
    </w:rPr>
  </w:style>
  <w:style w:type="character" w:customStyle="1" w:styleId="ListLabel43">
    <w:name w:val="ListLabel 43"/>
    <w:rsid w:val="00092060"/>
    <w:rPr>
      <w:rFonts w:cs="Symbol"/>
    </w:rPr>
  </w:style>
  <w:style w:type="character" w:customStyle="1" w:styleId="ListLabel44">
    <w:name w:val="ListLabel 44"/>
    <w:rsid w:val="00092060"/>
    <w:rPr>
      <w:rFonts w:cs="Courier New"/>
    </w:rPr>
  </w:style>
  <w:style w:type="character" w:customStyle="1" w:styleId="ListLabel45">
    <w:name w:val="ListLabel 45"/>
    <w:rsid w:val="00092060"/>
    <w:rPr>
      <w:rFonts w:cs="Wingdings"/>
    </w:rPr>
  </w:style>
  <w:style w:type="character" w:customStyle="1" w:styleId="ListLabel55">
    <w:name w:val="ListLabel 55"/>
    <w:rsid w:val="00092060"/>
    <w:rPr>
      <w:rFonts w:ascii="Open Sans" w:hAnsi="Open Sans" w:cs="Symbol"/>
      <w:sz w:val="20"/>
    </w:rPr>
  </w:style>
  <w:style w:type="character" w:customStyle="1" w:styleId="ListLabel56">
    <w:name w:val="ListLabel 56"/>
    <w:rsid w:val="00092060"/>
    <w:rPr>
      <w:rFonts w:cs="Courier New"/>
    </w:rPr>
  </w:style>
  <w:style w:type="character" w:customStyle="1" w:styleId="ListLabel57">
    <w:name w:val="ListLabel 57"/>
    <w:rsid w:val="00092060"/>
    <w:rPr>
      <w:rFonts w:cs="Wingdings"/>
    </w:rPr>
  </w:style>
  <w:style w:type="character" w:customStyle="1" w:styleId="ListLabel58">
    <w:name w:val="ListLabel 58"/>
    <w:rsid w:val="00092060"/>
    <w:rPr>
      <w:rFonts w:cs="Symbol"/>
    </w:rPr>
  </w:style>
  <w:style w:type="character" w:customStyle="1" w:styleId="ListLabel59">
    <w:name w:val="ListLabel 59"/>
    <w:rsid w:val="00092060"/>
    <w:rPr>
      <w:rFonts w:cs="Courier New"/>
    </w:rPr>
  </w:style>
  <w:style w:type="character" w:customStyle="1" w:styleId="ListLabel60">
    <w:name w:val="ListLabel 60"/>
    <w:rsid w:val="00092060"/>
    <w:rPr>
      <w:rFonts w:cs="Wingdings"/>
    </w:rPr>
  </w:style>
  <w:style w:type="character" w:customStyle="1" w:styleId="ListLabel61">
    <w:name w:val="ListLabel 61"/>
    <w:rsid w:val="00092060"/>
    <w:rPr>
      <w:rFonts w:cs="Symbol"/>
    </w:rPr>
  </w:style>
  <w:style w:type="character" w:customStyle="1" w:styleId="ListLabel62">
    <w:name w:val="ListLabel 62"/>
    <w:rsid w:val="00092060"/>
    <w:rPr>
      <w:rFonts w:cs="Courier New"/>
    </w:rPr>
  </w:style>
  <w:style w:type="character" w:customStyle="1" w:styleId="ListLabel63">
    <w:name w:val="ListLabel 63"/>
    <w:rsid w:val="00092060"/>
    <w:rPr>
      <w:rFonts w:cs="Wingdings"/>
    </w:rPr>
  </w:style>
  <w:style w:type="character" w:customStyle="1" w:styleId="ListLabel64">
    <w:name w:val="ListLabel 64"/>
    <w:rsid w:val="00092060"/>
    <w:rPr>
      <w:rFonts w:ascii="Open Sans" w:hAnsi="Open Sans" w:cs="Symbol"/>
      <w:sz w:val="20"/>
    </w:rPr>
  </w:style>
  <w:style w:type="character" w:customStyle="1" w:styleId="ListLabel65">
    <w:name w:val="ListLabel 65"/>
    <w:rsid w:val="00092060"/>
    <w:rPr>
      <w:rFonts w:cs="Courier New"/>
    </w:rPr>
  </w:style>
  <w:style w:type="character" w:customStyle="1" w:styleId="ListLabel66">
    <w:name w:val="ListLabel 66"/>
    <w:rsid w:val="00092060"/>
    <w:rPr>
      <w:rFonts w:cs="Wingdings"/>
    </w:rPr>
  </w:style>
  <w:style w:type="character" w:customStyle="1" w:styleId="ListLabel67">
    <w:name w:val="ListLabel 67"/>
    <w:rsid w:val="00092060"/>
    <w:rPr>
      <w:rFonts w:cs="Symbol"/>
    </w:rPr>
  </w:style>
  <w:style w:type="character" w:customStyle="1" w:styleId="ListLabel68">
    <w:name w:val="ListLabel 68"/>
    <w:rsid w:val="00092060"/>
    <w:rPr>
      <w:rFonts w:cs="Courier New"/>
    </w:rPr>
  </w:style>
  <w:style w:type="character" w:customStyle="1" w:styleId="ListLabel69">
    <w:name w:val="ListLabel 69"/>
    <w:rsid w:val="00092060"/>
    <w:rPr>
      <w:rFonts w:cs="Wingdings"/>
    </w:rPr>
  </w:style>
  <w:style w:type="character" w:customStyle="1" w:styleId="ListLabel70">
    <w:name w:val="ListLabel 70"/>
    <w:rsid w:val="00092060"/>
    <w:rPr>
      <w:rFonts w:cs="Symbol"/>
    </w:rPr>
  </w:style>
  <w:style w:type="character" w:customStyle="1" w:styleId="ListLabel71">
    <w:name w:val="ListLabel 71"/>
    <w:rsid w:val="00092060"/>
    <w:rPr>
      <w:rFonts w:cs="Courier New"/>
    </w:rPr>
  </w:style>
  <w:style w:type="character" w:customStyle="1" w:styleId="ListLabel72">
    <w:name w:val="ListLabel 72"/>
    <w:rsid w:val="00092060"/>
    <w:rPr>
      <w:rFonts w:cs="Wingdings"/>
    </w:rPr>
  </w:style>
  <w:style w:type="character" w:customStyle="1" w:styleId="Vietas">
    <w:name w:val="Viñetas"/>
    <w:rsid w:val="00092060"/>
    <w:rPr>
      <w:rFonts w:ascii="OpenSymbol" w:eastAsia="OpenSymbol" w:hAnsi="OpenSymbol" w:cs="OpenSymbol"/>
    </w:rPr>
  </w:style>
  <w:style w:type="paragraph" w:customStyle="1" w:styleId="Epgrafe1">
    <w:name w:val="Epígrafe1"/>
    <w:basedOn w:val="Normal"/>
    <w:qFormat/>
    <w:rsid w:val="00092060"/>
    <w:pPr>
      <w:suppressLineNumbers/>
      <w:suppressAutoHyphens/>
      <w:spacing w:before="120" w:after="120"/>
    </w:pPr>
    <w:rPr>
      <w:rFonts w:ascii="Times New Roman" w:eastAsia="Times New Roman" w:hAnsi="Times New Roman" w:cs="Lucida Sans"/>
      <w:i/>
      <w:iCs/>
      <w:lang w:val="es-ES" w:eastAsia="zh-CN"/>
    </w:rPr>
  </w:style>
  <w:style w:type="paragraph" w:customStyle="1" w:styleId="Pa203">
    <w:name w:val="Pa20+3"/>
    <w:basedOn w:val="Default"/>
    <w:rsid w:val="00092060"/>
    <w:pPr>
      <w:suppressAutoHyphens/>
      <w:autoSpaceDN/>
      <w:adjustRightInd/>
      <w:spacing w:line="175" w:lineRule="atLeast"/>
    </w:pPr>
    <w:rPr>
      <w:rFonts w:ascii="Arial" w:hAnsi="Arial" w:cs="Arial"/>
      <w:lang w:eastAsia="zh-CN"/>
    </w:rPr>
  </w:style>
  <w:style w:type="paragraph" w:customStyle="1" w:styleId="Pa204">
    <w:name w:val="Pa20+4"/>
    <w:basedOn w:val="Default"/>
    <w:rsid w:val="00092060"/>
    <w:pPr>
      <w:suppressAutoHyphens/>
      <w:autoSpaceDN/>
      <w:adjustRightInd/>
      <w:spacing w:line="175" w:lineRule="atLeast"/>
    </w:pPr>
    <w:rPr>
      <w:rFonts w:ascii="Arial" w:hAnsi="Arial" w:cs="Arial"/>
      <w:lang w:eastAsia="zh-CN"/>
    </w:rPr>
  </w:style>
  <w:style w:type="paragraph" w:customStyle="1" w:styleId="Pa324">
    <w:name w:val="Pa32+4"/>
    <w:basedOn w:val="Default"/>
    <w:rsid w:val="00092060"/>
    <w:pPr>
      <w:suppressAutoHyphens/>
      <w:autoSpaceDN/>
      <w:adjustRightInd/>
      <w:spacing w:line="251" w:lineRule="atLeast"/>
    </w:pPr>
    <w:rPr>
      <w:rFonts w:ascii="Arial" w:hAnsi="Arial" w:cs="Arial"/>
      <w:lang w:eastAsia="zh-CN"/>
    </w:rPr>
  </w:style>
  <w:style w:type="paragraph" w:customStyle="1" w:styleId="Pa16">
    <w:name w:val="Pa16"/>
    <w:basedOn w:val="Default"/>
    <w:next w:val="Default"/>
    <w:uiPriority w:val="99"/>
    <w:rsid w:val="00473ED5"/>
    <w:pPr>
      <w:widowControl w:val="0"/>
      <w:spacing w:line="181" w:lineRule="atLeast"/>
    </w:pPr>
    <w:rPr>
      <w:rFonts w:ascii="Telefonica" w:eastAsiaTheme="minorEastAsia" w:hAnsi="Telefonica"/>
      <w:color w:val="auto"/>
    </w:rPr>
  </w:style>
  <w:style w:type="paragraph" w:customStyle="1" w:styleId="Pa21">
    <w:name w:val="Pa21"/>
    <w:basedOn w:val="Default"/>
    <w:next w:val="Default"/>
    <w:uiPriority w:val="99"/>
    <w:rsid w:val="00473ED5"/>
    <w:pPr>
      <w:widowControl w:val="0"/>
      <w:spacing w:line="181" w:lineRule="atLeast"/>
    </w:pPr>
    <w:rPr>
      <w:rFonts w:ascii="Telefonica" w:eastAsiaTheme="minorEastAsia" w:hAnsi="Telefonica"/>
      <w:color w:val="auto"/>
    </w:rPr>
  </w:style>
  <w:style w:type="character" w:customStyle="1" w:styleId="A8">
    <w:name w:val="A8"/>
    <w:uiPriority w:val="99"/>
    <w:rsid w:val="00473ED5"/>
    <w:rPr>
      <w:rFonts w:ascii="Telefonica" w:hAnsi="Telefonica" w:cs="Telefonica"/>
      <w:color w:val="000000"/>
      <w:sz w:val="18"/>
      <w:szCs w:val="18"/>
    </w:rPr>
  </w:style>
  <w:style w:type="character" w:customStyle="1" w:styleId="A10">
    <w:name w:val="A10"/>
    <w:uiPriority w:val="99"/>
    <w:rsid w:val="00473ED5"/>
    <w:rPr>
      <w:rFonts w:cs="Telefonica Light"/>
      <w:color w:val="000000"/>
      <w:sz w:val="50"/>
      <w:szCs w:val="50"/>
    </w:rPr>
  </w:style>
  <w:style w:type="character" w:customStyle="1" w:styleId="A12">
    <w:name w:val="A12"/>
    <w:uiPriority w:val="99"/>
    <w:rsid w:val="00473ED5"/>
    <w:rPr>
      <w:rFonts w:cs="Telefonica"/>
      <w:color w:val="000000"/>
      <w:sz w:val="13"/>
      <w:szCs w:val="13"/>
    </w:rPr>
  </w:style>
  <w:style w:type="paragraph" w:customStyle="1" w:styleId="Pa8">
    <w:name w:val="Pa8"/>
    <w:basedOn w:val="Default"/>
    <w:next w:val="Default"/>
    <w:uiPriority w:val="99"/>
    <w:rsid w:val="00C52EA4"/>
    <w:pPr>
      <w:widowControl w:val="0"/>
      <w:spacing w:line="221" w:lineRule="atLeast"/>
    </w:pPr>
    <w:rPr>
      <w:rFonts w:ascii="Gill Sans" w:eastAsia="Calibri" w:hAnsi="Gill Sans"/>
      <w:color w:val="auto"/>
    </w:rPr>
  </w:style>
  <w:style w:type="paragraph" w:customStyle="1" w:styleId="Pa7">
    <w:name w:val="Pa7"/>
    <w:basedOn w:val="Default"/>
    <w:next w:val="Default"/>
    <w:uiPriority w:val="99"/>
    <w:rsid w:val="00C52EA4"/>
    <w:pPr>
      <w:widowControl w:val="0"/>
      <w:spacing w:line="221" w:lineRule="atLeast"/>
    </w:pPr>
    <w:rPr>
      <w:rFonts w:ascii="Gill Sans" w:eastAsia="Calibri" w:hAnsi="Gill Sans"/>
      <w:color w:val="auto"/>
    </w:rPr>
  </w:style>
  <w:style w:type="paragraph" w:customStyle="1" w:styleId="parrafo">
    <w:name w:val="parrafo"/>
    <w:basedOn w:val="Normal"/>
    <w:rsid w:val="007A63BA"/>
    <w:pPr>
      <w:spacing w:before="100" w:beforeAutospacing="1" w:after="100" w:afterAutospacing="1"/>
    </w:pPr>
    <w:rPr>
      <w:rFonts w:ascii="Times New Roman" w:eastAsia="Times New Roman" w:hAnsi="Times New Roman" w:cs="Times New Roman"/>
      <w:lang w:val="es-ES"/>
    </w:rPr>
  </w:style>
  <w:style w:type="paragraph" w:customStyle="1" w:styleId="Listamediana2-nfasis41">
    <w:name w:val="Lista mediana 2 - Énfasis 41"/>
    <w:basedOn w:val="Normal"/>
    <w:uiPriority w:val="34"/>
    <w:qFormat/>
    <w:rsid w:val="00BA0792"/>
    <w:pPr>
      <w:ind w:left="720"/>
      <w:contextualSpacing/>
    </w:pPr>
    <w:rPr>
      <w:rFonts w:ascii="Times New Roman" w:eastAsia="Times New Roman" w:hAnsi="Times New Roman" w:cs="Times New Roman"/>
      <w:lang w:val="es-ES"/>
    </w:rPr>
  </w:style>
  <w:style w:type="paragraph" w:customStyle="1" w:styleId="Sombreadomulticolor-nfasis31">
    <w:name w:val="Sombreado multicolor - Énfasis 31"/>
    <w:basedOn w:val="Normal"/>
    <w:uiPriority w:val="72"/>
    <w:qFormat/>
    <w:rsid w:val="00BA0792"/>
    <w:pPr>
      <w:ind w:left="708"/>
    </w:pPr>
    <w:rPr>
      <w:rFonts w:ascii="Times New Roman" w:eastAsia="Times New Roman" w:hAnsi="Times New Roman" w:cs="Times New Roman"/>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512556">
      <w:bodyDiv w:val="1"/>
      <w:marLeft w:val="0"/>
      <w:marRight w:val="0"/>
      <w:marTop w:val="0"/>
      <w:marBottom w:val="0"/>
      <w:divBdr>
        <w:top w:val="none" w:sz="0" w:space="0" w:color="auto"/>
        <w:left w:val="none" w:sz="0" w:space="0" w:color="auto"/>
        <w:bottom w:val="none" w:sz="0" w:space="0" w:color="auto"/>
        <w:right w:val="none" w:sz="0" w:space="0" w:color="auto"/>
      </w:divBdr>
      <w:divsChild>
        <w:div w:id="158161670">
          <w:marLeft w:val="0"/>
          <w:marRight w:val="0"/>
          <w:marTop w:val="0"/>
          <w:marBottom w:val="0"/>
          <w:divBdr>
            <w:top w:val="none" w:sz="0" w:space="0" w:color="auto"/>
            <w:left w:val="none" w:sz="0" w:space="0" w:color="auto"/>
            <w:bottom w:val="none" w:sz="0" w:space="0" w:color="auto"/>
            <w:right w:val="none" w:sz="0" w:space="0" w:color="auto"/>
          </w:divBdr>
        </w:div>
        <w:div w:id="527960267">
          <w:marLeft w:val="0"/>
          <w:marRight w:val="0"/>
          <w:marTop w:val="0"/>
          <w:marBottom w:val="0"/>
          <w:divBdr>
            <w:top w:val="none" w:sz="0" w:space="0" w:color="auto"/>
            <w:left w:val="none" w:sz="0" w:space="0" w:color="auto"/>
            <w:bottom w:val="none" w:sz="0" w:space="0" w:color="auto"/>
            <w:right w:val="none" w:sz="0" w:space="0" w:color="auto"/>
          </w:divBdr>
        </w:div>
        <w:div w:id="1301493514">
          <w:marLeft w:val="0"/>
          <w:marRight w:val="0"/>
          <w:marTop w:val="0"/>
          <w:marBottom w:val="0"/>
          <w:divBdr>
            <w:top w:val="none" w:sz="0" w:space="0" w:color="auto"/>
            <w:left w:val="none" w:sz="0" w:space="0" w:color="auto"/>
            <w:bottom w:val="none" w:sz="0" w:space="0" w:color="auto"/>
            <w:right w:val="none" w:sz="0" w:space="0" w:color="auto"/>
          </w:divBdr>
        </w:div>
      </w:divsChild>
    </w:div>
    <w:div w:id="67389057">
      <w:bodyDiv w:val="1"/>
      <w:marLeft w:val="0"/>
      <w:marRight w:val="0"/>
      <w:marTop w:val="0"/>
      <w:marBottom w:val="0"/>
      <w:divBdr>
        <w:top w:val="none" w:sz="0" w:space="0" w:color="auto"/>
        <w:left w:val="none" w:sz="0" w:space="0" w:color="auto"/>
        <w:bottom w:val="none" w:sz="0" w:space="0" w:color="auto"/>
        <w:right w:val="none" w:sz="0" w:space="0" w:color="auto"/>
      </w:divBdr>
    </w:div>
    <w:div w:id="134690361">
      <w:bodyDiv w:val="1"/>
      <w:marLeft w:val="0"/>
      <w:marRight w:val="0"/>
      <w:marTop w:val="0"/>
      <w:marBottom w:val="0"/>
      <w:divBdr>
        <w:top w:val="none" w:sz="0" w:space="0" w:color="auto"/>
        <w:left w:val="none" w:sz="0" w:space="0" w:color="auto"/>
        <w:bottom w:val="none" w:sz="0" w:space="0" w:color="auto"/>
        <w:right w:val="none" w:sz="0" w:space="0" w:color="auto"/>
      </w:divBdr>
    </w:div>
    <w:div w:id="142546080">
      <w:bodyDiv w:val="1"/>
      <w:marLeft w:val="0"/>
      <w:marRight w:val="0"/>
      <w:marTop w:val="0"/>
      <w:marBottom w:val="0"/>
      <w:divBdr>
        <w:top w:val="none" w:sz="0" w:space="0" w:color="auto"/>
        <w:left w:val="none" w:sz="0" w:space="0" w:color="auto"/>
        <w:bottom w:val="none" w:sz="0" w:space="0" w:color="auto"/>
        <w:right w:val="none" w:sz="0" w:space="0" w:color="auto"/>
      </w:divBdr>
    </w:div>
    <w:div w:id="212233826">
      <w:bodyDiv w:val="1"/>
      <w:marLeft w:val="0"/>
      <w:marRight w:val="0"/>
      <w:marTop w:val="0"/>
      <w:marBottom w:val="0"/>
      <w:divBdr>
        <w:top w:val="none" w:sz="0" w:space="0" w:color="auto"/>
        <w:left w:val="none" w:sz="0" w:space="0" w:color="auto"/>
        <w:bottom w:val="none" w:sz="0" w:space="0" w:color="auto"/>
        <w:right w:val="none" w:sz="0" w:space="0" w:color="auto"/>
      </w:divBdr>
    </w:div>
    <w:div w:id="245502434">
      <w:bodyDiv w:val="1"/>
      <w:marLeft w:val="0"/>
      <w:marRight w:val="0"/>
      <w:marTop w:val="0"/>
      <w:marBottom w:val="0"/>
      <w:divBdr>
        <w:top w:val="none" w:sz="0" w:space="0" w:color="auto"/>
        <w:left w:val="none" w:sz="0" w:space="0" w:color="auto"/>
        <w:bottom w:val="none" w:sz="0" w:space="0" w:color="auto"/>
        <w:right w:val="none" w:sz="0" w:space="0" w:color="auto"/>
      </w:divBdr>
    </w:div>
    <w:div w:id="268896447">
      <w:bodyDiv w:val="1"/>
      <w:marLeft w:val="0"/>
      <w:marRight w:val="0"/>
      <w:marTop w:val="0"/>
      <w:marBottom w:val="0"/>
      <w:divBdr>
        <w:top w:val="none" w:sz="0" w:space="0" w:color="auto"/>
        <w:left w:val="none" w:sz="0" w:space="0" w:color="auto"/>
        <w:bottom w:val="none" w:sz="0" w:space="0" w:color="auto"/>
        <w:right w:val="none" w:sz="0" w:space="0" w:color="auto"/>
      </w:divBdr>
    </w:div>
    <w:div w:id="446390083">
      <w:bodyDiv w:val="1"/>
      <w:marLeft w:val="0"/>
      <w:marRight w:val="0"/>
      <w:marTop w:val="0"/>
      <w:marBottom w:val="0"/>
      <w:divBdr>
        <w:top w:val="none" w:sz="0" w:space="0" w:color="auto"/>
        <w:left w:val="none" w:sz="0" w:space="0" w:color="auto"/>
        <w:bottom w:val="none" w:sz="0" w:space="0" w:color="auto"/>
        <w:right w:val="none" w:sz="0" w:space="0" w:color="auto"/>
      </w:divBdr>
    </w:div>
    <w:div w:id="653528687">
      <w:bodyDiv w:val="1"/>
      <w:marLeft w:val="0"/>
      <w:marRight w:val="0"/>
      <w:marTop w:val="0"/>
      <w:marBottom w:val="0"/>
      <w:divBdr>
        <w:top w:val="none" w:sz="0" w:space="0" w:color="auto"/>
        <w:left w:val="none" w:sz="0" w:space="0" w:color="auto"/>
        <w:bottom w:val="none" w:sz="0" w:space="0" w:color="auto"/>
        <w:right w:val="none" w:sz="0" w:space="0" w:color="auto"/>
      </w:divBdr>
    </w:div>
    <w:div w:id="659499959">
      <w:bodyDiv w:val="1"/>
      <w:marLeft w:val="0"/>
      <w:marRight w:val="0"/>
      <w:marTop w:val="0"/>
      <w:marBottom w:val="0"/>
      <w:divBdr>
        <w:top w:val="none" w:sz="0" w:space="0" w:color="auto"/>
        <w:left w:val="none" w:sz="0" w:space="0" w:color="auto"/>
        <w:bottom w:val="none" w:sz="0" w:space="0" w:color="auto"/>
        <w:right w:val="none" w:sz="0" w:space="0" w:color="auto"/>
      </w:divBdr>
    </w:div>
    <w:div w:id="781412415">
      <w:bodyDiv w:val="1"/>
      <w:marLeft w:val="0"/>
      <w:marRight w:val="0"/>
      <w:marTop w:val="0"/>
      <w:marBottom w:val="0"/>
      <w:divBdr>
        <w:top w:val="none" w:sz="0" w:space="0" w:color="auto"/>
        <w:left w:val="none" w:sz="0" w:space="0" w:color="auto"/>
        <w:bottom w:val="none" w:sz="0" w:space="0" w:color="auto"/>
        <w:right w:val="none" w:sz="0" w:space="0" w:color="auto"/>
      </w:divBdr>
    </w:div>
    <w:div w:id="810830180">
      <w:bodyDiv w:val="1"/>
      <w:marLeft w:val="0"/>
      <w:marRight w:val="0"/>
      <w:marTop w:val="0"/>
      <w:marBottom w:val="0"/>
      <w:divBdr>
        <w:top w:val="none" w:sz="0" w:space="0" w:color="auto"/>
        <w:left w:val="none" w:sz="0" w:space="0" w:color="auto"/>
        <w:bottom w:val="none" w:sz="0" w:space="0" w:color="auto"/>
        <w:right w:val="none" w:sz="0" w:space="0" w:color="auto"/>
      </w:divBdr>
    </w:div>
    <w:div w:id="826749067">
      <w:bodyDiv w:val="1"/>
      <w:marLeft w:val="0"/>
      <w:marRight w:val="0"/>
      <w:marTop w:val="0"/>
      <w:marBottom w:val="0"/>
      <w:divBdr>
        <w:top w:val="none" w:sz="0" w:space="0" w:color="auto"/>
        <w:left w:val="none" w:sz="0" w:space="0" w:color="auto"/>
        <w:bottom w:val="none" w:sz="0" w:space="0" w:color="auto"/>
        <w:right w:val="none" w:sz="0" w:space="0" w:color="auto"/>
      </w:divBdr>
    </w:div>
    <w:div w:id="894466979">
      <w:bodyDiv w:val="1"/>
      <w:marLeft w:val="0"/>
      <w:marRight w:val="0"/>
      <w:marTop w:val="0"/>
      <w:marBottom w:val="0"/>
      <w:divBdr>
        <w:top w:val="none" w:sz="0" w:space="0" w:color="auto"/>
        <w:left w:val="none" w:sz="0" w:space="0" w:color="auto"/>
        <w:bottom w:val="none" w:sz="0" w:space="0" w:color="auto"/>
        <w:right w:val="none" w:sz="0" w:space="0" w:color="auto"/>
      </w:divBdr>
    </w:div>
    <w:div w:id="896162092">
      <w:bodyDiv w:val="1"/>
      <w:marLeft w:val="0"/>
      <w:marRight w:val="0"/>
      <w:marTop w:val="0"/>
      <w:marBottom w:val="0"/>
      <w:divBdr>
        <w:top w:val="none" w:sz="0" w:space="0" w:color="auto"/>
        <w:left w:val="none" w:sz="0" w:space="0" w:color="auto"/>
        <w:bottom w:val="none" w:sz="0" w:space="0" w:color="auto"/>
        <w:right w:val="none" w:sz="0" w:space="0" w:color="auto"/>
      </w:divBdr>
    </w:div>
    <w:div w:id="915171082">
      <w:bodyDiv w:val="1"/>
      <w:marLeft w:val="0"/>
      <w:marRight w:val="0"/>
      <w:marTop w:val="0"/>
      <w:marBottom w:val="0"/>
      <w:divBdr>
        <w:top w:val="none" w:sz="0" w:space="0" w:color="auto"/>
        <w:left w:val="none" w:sz="0" w:space="0" w:color="auto"/>
        <w:bottom w:val="none" w:sz="0" w:space="0" w:color="auto"/>
        <w:right w:val="none" w:sz="0" w:space="0" w:color="auto"/>
      </w:divBdr>
    </w:div>
    <w:div w:id="924799527">
      <w:bodyDiv w:val="1"/>
      <w:marLeft w:val="0"/>
      <w:marRight w:val="0"/>
      <w:marTop w:val="0"/>
      <w:marBottom w:val="0"/>
      <w:divBdr>
        <w:top w:val="none" w:sz="0" w:space="0" w:color="auto"/>
        <w:left w:val="none" w:sz="0" w:space="0" w:color="auto"/>
        <w:bottom w:val="none" w:sz="0" w:space="0" w:color="auto"/>
        <w:right w:val="none" w:sz="0" w:space="0" w:color="auto"/>
      </w:divBdr>
    </w:div>
    <w:div w:id="998339856">
      <w:bodyDiv w:val="1"/>
      <w:marLeft w:val="0"/>
      <w:marRight w:val="0"/>
      <w:marTop w:val="0"/>
      <w:marBottom w:val="0"/>
      <w:divBdr>
        <w:top w:val="none" w:sz="0" w:space="0" w:color="auto"/>
        <w:left w:val="none" w:sz="0" w:space="0" w:color="auto"/>
        <w:bottom w:val="none" w:sz="0" w:space="0" w:color="auto"/>
        <w:right w:val="none" w:sz="0" w:space="0" w:color="auto"/>
      </w:divBdr>
    </w:div>
    <w:div w:id="1011299938">
      <w:bodyDiv w:val="1"/>
      <w:marLeft w:val="0"/>
      <w:marRight w:val="0"/>
      <w:marTop w:val="0"/>
      <w:marBottom w:val="0"/>
      <w:divBdr>
        <w:top w:val="none" w:sz="0" w:space="0" w:color="auto"/>
        <w:left w:val="none" w:sz="0" w:space="0" w:color="auto"/>
        <w:bottom w:val="none" w:sz="0" w:space="0" w:color="auto"/>
        <w:right w:val="none" w:sz="0" w:space="0" w:color="auto"/>
      </w:divBdr>
    </w:div>
    <w:div w:id="1080910883">
      <w:bodyDiv w:val="1"/>
      <w:marLeft w:val="0"/>
      <w:marRight w:val="0"/>
      <w:marTop w:val="0"/>
      <w:marBottom w:val="0"/>
      <w:divBdr>
        <w:top w:val="none" w:sz="0" w:space="0" w:color="auto"/>
        <w:left w:val="none" w:sz="0" w:space="0" w:color="auto"/>
        <w:bottom w:val="none" w:sz="0" w:space="0" w:color="auto"/>
        <w:right w:val="none" w:sz="0" w:space="0" w:color="auto"/>
      </w:divBdr>
    </w:div>
    <w:div w:id="1084692668">
      <w:bodyDiv w:val="1"/>
      <w:marLeft w:val="0"/>
      <w:marRight w:val="0"/>
      <w:marTop w:val="0"/>
      <w:marBottom w:val="0"/>
      <w:divBdr>
        <w:top w:val="none" w:sz="0" w:space="0" w:color="auto"/>
        <w:left w:val="none" w:sz="0" w:space="0" w:color="auto"/>
        <w:bottom w:val="none" w:sz="0" w:space="0" w:color="auto"/>
        <w:right w:val="none" w:sz="0" w:space="0" w:color="auto"/>
      </w:divBdr>
    </w:div>
    <w:div w:id="1111438657">
      <w:bodyDiv w:val="1"/>
      <w:marLeft w:val="0"/>
      <w:marRight w:val="0"/>
      <w:marTop w:val="0"/>
      <w:marBottom w:val="0"/>
      <w:divBdr>
        <w:top w:val="none" w:sz="0" w:space="0" w:color="auto"/>
        <w:left w:val="none" w:sz="0" w:space="0" w:color="auto"/>
        <w:bottom w:val="none" w:sz="0" w:space="0" w:color="auto"/>
        <w:right w:val="none" w:sz="0" w:space="0" w:color="auto"/>
      </w:divBdr>
    </w:div>
    <w:div w:id="1144808980">
      <w:bodyDiv w:val="1"/>
      <w:marLeft w:val="0"/>
      <w:marRight w:val="0"/>
      <w:marTop w:val="0"/>
      <w:marBottom w:val="0"/>
      <w:divBdr>
        <w:top w:val="none" w:sz="0" w:space="0" w:color="auto"/>
        <w:left w:val="none" w:sz="0" w:space="0" w:color="auto"/>
        <w:bottom w:val="none" w:sz="0" w:space="0" w:color="auto"/>
        <w:right w:val="none" w:sz="0" w:space="0" w:color="auto"/>
      </w:divBdr>
    </w:div>
    <w:div w:id="1193806889">
      <w:bodyDiv w:val="1"/>
      <w:marLeft w:val="0"/>
      <w:marRight w:val="0"/>
      <w:marTop w:val="0"/>
      <w:marBottom w:val="0"/>
      <w:divBdr>
        <w:top w:val="none" w:sz="0" w:space="0" w:color="auto"/>
        <w:left w:val="none" w:sz="0" w:space="0" w:color="auto"/>
        <w:bottom w:val="none" w:sz="0" w:space="0" w:color="auto"/>
        <w:right w:val="none" w:sz="0" w:space="0" w:color="auto"/>
      </w:divBdr>
    </w:div>
    <w:div w:id="1263106527">
      <w:bodyDiv w:val="1"/>
      <w:marLeft w:val="0"/>
      <w:marRight w:val="0"/>
      <w:marTop w:val="0"/>
      <w:marBottom w:val="0"/>
      <w:divBdr>
        <w:top w:val="none" w:sz="0" w:space="0" w:color="auto"/>
        <w:left w:val="none" w:sz="0" w:space="0" w:color="auto"/>
        <w:bottom w:val="none" w:sz="0" w:space="0" w:color="auto"/>
        <w:right w:val="none" w:sz="0" w:space="0" w:color="auto"/>
      </w:divBdr>
    </w:div>
    <w:div w:id="1297417576">
      <w:bodyDiv w:val="1"/>
      <w:marLeft w:val="0"/>
      <w:marRight w:val="0"/>
      <w:marTop w:val="0"/>
      <w:marBottom w:val="0"/>
      <w:divBdr>
        <w:top w:val="none" w:sz="0" w:space="0" w:color="auto"/>
        <w:left w:val="none" w:sz="0" w:space="0" w:color="auto"/>
        <w:bottom w:val="none" w:sz="0" w:space="0" w:color="auto"/>
        <w:right w:val="none" w:sz="0" w:space="0" w:color="auto"/>
      </w:divBdr>
    </w:div>
    <w:div w:id="1307662120">
      <w:bodyDiv w:val="1"/>
      <w:marLeft w:val="0"/>
      <w:marRight w:val="0"/>
      <w:marTop w:val="0"/>
      <w:marBottom w:val="0"/>
      <w:divBdr>
        <w:top w:val="none" w:sz="0" w:space="0" w:color="auto"/>
        <w:left w:val="none" w:sz="0" w:space="0" w:color="auto"/>
        <w:bottom w:val="none" w:sz="0" w:space="0" w:color="auto"/>
        <w:right w:val="none" w:sz="0" w:space="0" w:color="auto"/>
      </w:divBdr>
    </w:div>
    <w:div w:id="1376545542">
      <w:bodyDiv w:val="1"/>
      <w:marLeft w:val="0"/>
      <w:marRight w:val="0"/>
      <w:marTop w:val="0"/>
      <w:marBottom w:val="0"/>
      <w:divBdr>
        <w:top w:val="none" w:sz="0" w:space="0" w:color="auto"/>
        <w:left w:val="none" w:sz="0" w:space="0" w:color="auto"/>
        <w:bottom w:val="none" w:sz="0" w:space="0" w:color="auto"/>
        <w:right w:val="none" w:sz="0" w:space="0" w:color="auto"/>
      </w:divBdr>
    </w:div>
    <w:div w:id="1447046607">
      <w:bodyDiv w:val="1"/>
      <w:marLeft w:val="0"/>
      <w:marRight w:val="0"/>
      <w:marTop w:val="0"/>
      <w:marBottom w:val="0"/>
      <w:divBdr>
        <w:top w:val="none" w:sz="0" w:space="0" w:color="auto"/>
        <w:left w:val="none" w:sz="0" w:space="0" w:color="auto"/>
        <w:bottom w:val="none" w:sz="0" w:space="0" w:color="auto"/>
        <w:right w:val="none" w:sz="0" w:space="0" w:color="auto"/>
      </w:divBdr>
    </w:div>
    <w:div w:id="1495561155">
      <w:bodyDiv w:val="1"/>
      <w:marLeft w:val="0"/>
      <w:marRight w:val="0"/>
      <w:marTop w:val="0"/>
      <w:marBottom w:val="0"/>
      <w:divBdr>
        <w:top w:val="none" w:sz="0" w:space="0" w:color="auto"/>
        <w:left w:val="none" w:sz="0" w:space="0" w:color="auto"/>
        <w:bottom w:val="none" w:sz="0" w:space="0" w:color="auto"/>
        <w:right w:val="none" w:sz="0" w:space="0" w:color="auto"/>
      </w:divBdr>
    </w:div>
    <w:div w:id="1514757484">
      <w:bodyDiv w:val="1"/>
      <w:marLeft w:val="0"/>
      <w:marRight w:val="0"/>
      <w:marTop w:val="0"/>
      <w:marBottom w:val="0"/>
      <w:divBdr>
        <w:top w:val="none" w:sz="0" w:space="0" w:color="auto"/>
        <w:left w:val="none" w:sz="0" w:space="0" w:color="auto"/>
        <w:bottom w:val="none" w:sz="0" w:space="0" w:color="auto"/>
        <w:right w:val="none" w:sz="0" w:space="0" w:color="auto"/>
      </w:divBdr>
    </w:div>
    <w:div w:id="1529759594">
      <w:bodyDiv w:val="1"/>
      <w:marLeft w:val="0"/>
      <w:marRight w:val="0"/>
      <w:marTop w:val="0"/>
      <w:marBottom w:val="0"/>
      <w:divBdr>
        <w:top w:val="none" w:sz="0" w:space="0" w:color="auto"/>
        <w:left w:val="none" w:sz="0" w:space="0" w:color="auto"/>
        <w:bottom w:val="none" w:sz="0" w:space="0" w:color="auto"/>
        <w:right w:val="none" w:sz="0" w:space="0" w:color="auto"/>
      </w:divBdr>
    </w:div>
    <w:div w:id="1675568584">
      <w:bodyDiv w:val="1"/>
      <w:marLeft w:val="0"/>
      <w:marRight w:val="0"/>
      <w:marTop w:val="0"/>
      <w:marBottom w:val="0"/>
      <w:divBdr>
        <w:top w:val="none" w:sz="0" w:space="0" w:color="auto"/>
        <w:left w:val="none" w:sz="0" w:space="0" w:color="auto"/>
        <w:bottom w:val="none" w:sz="0" w:space="0" w:color="auto"/>
        <w:right w:val="none" w:sz="0" w:space="0" w:color="auto"/>
      </w:divBdr>
    </w:div>
    <w:div w:id="1714306273">
      <w:bodyDiv w:val="1"/>
      <w:marLeft w:val="0"/>
      <w:marRight w:val="0"/>
      <w:marTop w:val="0"/>
      <w:marBottom w:val="0"/>
      <w:divBdr>
        <w:top w:val="none" w:sz="0" w:space="0" w:color="auto"/>
        <w:left w:val="none" w:sz="0" w:space="0" w:color="auto"/>
        <w:bottom w:val="none" w:sz="0" w:space="0" w:color="auto"/>
        <w:right w:val="none" w:sz="0" w:space="0" w:color="auto"/>
      </w:divBdr>
    </w:div>
    <w:div w:id="1761943618">
      <w:bodyDiv w:val="1"/>
      <w:marLeft w:val="0"/>
      <w:marRight w:val="0"/>
      <w:marTop w:val="0"/>
      <w:marBottom w:val="0"/>
      <w:divBdr>
        <w:top w:val="none" w:sz="0" w:space="0" w:color="auto"/>
        <w:left w:val="none" w:sz="0" w:space="0" w:color="auto"/>
        <w:bottom w:val="none" w:sz="0" w:space="0" w:color="auto"/>
        <w:right w:val="none" w:sz="0" w:space="0" w:color="auto"/>
      </w:divBdr>
    </w:div>
    <w:div w:id="1803845478">
      <w:bodyDiv w:val="1"/>
      <w:marLeft w:val="0"/>
      <w:marRight w:val="0"/>
      <w:marTop w:val="0"/>
      <w:marBottom w:val="0"/>
      <w:divBdr>
        <w:top w:val="none" w:sz="0" w:space="0" w:color="auto"/>
        <w:left w:val="none" w:sz="0" w:space="0" w:color="auto"/>
        <w:bottom w:val="none" w:sz="0" w:space="0" w:color="auto"/>
        <w:right w:val="none" w:sz="0" w:space="0" w:color="auto"/>
      </w:divBdr>
    </w:div>
    <w:div w:id="1908496477">
      <w:bodyDiv w:val="1"/>
      <w:marLeft w:val="0"/>
      <w:marRight w:val="0"/>
      <w:marTop w:val="0"/>
      <w:marBottom w:val="0"/>
      <w:divBdr>
        <w:top w:val="none" w:sz="0" w:space="0" w:color="auto"/>
        <w:left w:val="none" w:sz="0" w:space="0" w:color="auto"/>
        <w:bottom w:val="none" w:sz="0" w:space="0" w:color="auto"/>
        <w:right w:val="none" w:sz="0" w:space="0" w:color="auto"/>
      </w:divBdr>
    </w:div>
    <w:div w:id="2056730863">
      <w:bodyDiv w:val="1"/>
      <w:marLeft w:val="0"/>
      <w:marRight w:val="0"/>
      <w:marTop w:val="0"/>
      <w:marBottom w:val="0"/>
      <w:divBdr>
        <w:top w:val="none" w:sz="0" w:space="0" w:color="auto"/>
        <w:left w:val="none" w:sz="0" w:space="0" w:color="auto"/>
        <w:bottom w:val="none" w:sz="0" w:space="0" w:color="auto"/>
        <w:right w:val="none" w:sz="0" w:space="0" w:color="auto"/>
      </w:divBdr>
    </w:div>
    <w:div w:id="2067222592">
      <w:bodyDiv w:val="1"/>
      <w:marLeft w:val="0"/>
      <w:marRight w:val="0"/>
      <w:marTop w:val="0"/>
      <w:marBottom w:val="0"/>
      <w:divBdr>
        <w:top w:val="none" w:sz="0" w:space="0" w:color="auto"/>
        <w:left w:val="none" w:sz="0" w:space="0" w:color="auto"/>
        <w:bottom w:val="none" w:sz="0" w:space="0" w:color="auto"/>
        <w:right w:val="none" w:sz="0" w:space="0" w:color="auto"/>
      </w:divBdr>
    </w:div>
    <w:div w:id="21330921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epsol.com/es" TargetMode="External"/><Relationship Id="rId117" Type="http://schemas.openxmlformats.org/officeDocument/2006/relationships/image" Target="media/image52.emf"/><Relationship Id="rId21" Type="http://schemas.openxmlformats.org/officeDocument/2006/relationships/hyperlink" Target="http://www.gasnaturalfenosa.es" TargetMode="External"/><Relationship Id="rId42" Type="http://schemas.openxmlformats.org/officeDocument/2006/relationships/image" Target="media/image11.emf"/><Relationship Id="rId47" Type="http://schemas.openxmlformats.org/officeDocument/2006/relationships/image" Target="media/image15.emf"/><Relationship Id="rId63" Type="http://schemas.openxmlformats.org/officeDocument/2006/relationships/image" Target="media/image23.emf"/><Relationship Id="rId68" Type="http://schemas.openxmlformats.org/officeDocument/2006/relationships/hyperlink" Target="http://www.elconfidencial.com/tags/temas/proyecto-castor-9569/" TargetMode="External"/><Relationship Id="rId84" Type="http://schemas.openxmlformats.org/officeDocument/2006/relationships/hyperlink" Target="http://www.gamesacorp.com/recursos/doc/rsc/principios/codigo-de-conducta.pdf" TargetMode="External"/><Relationship Id="rId89" Type="http://schemas.openxmlformats.org/officeDocument/2006/relationships/hyperlink" Target="http://www.gasnaturalfenosa.com/servlet/ficheros/1297151676458" TargetMode="External"/><Relationship Id="rId112" Type="http://schemas.openxmlformats.org/officeDocument/2006/relationships/image" Target="media/image48.png"/><Relationship Id="rId133" Type="http://schemas.openxmlformats.org/officeDocument/2006/relationships/image" Target="media/image62.emf"/><Relationship Id="rId138" Type="http://schemas.openxmlformats.org/officeDocument/2006/relationships/header" Target="header9.xml"/><Relationship Id="rId16" Type="http://schemas.openxmlformats.org/officeDocument/2006/relationships/hyperlink" Target="http://www.diacorporate.com/es/" TargetMode="External"/><Relationship Id="rId107" Type="http://schemas.openxmlformats.org/officeDocument/2006/relationships/image" Target="media/image43.emf"/><Relationship Id="rId11" Type="http://schemas.openxmlformats.org/officeDocument/2006/relationships/header" Target="header1.xml"/><Relationship Id="rId32" Type="http://schemas.openxmlformats.org/officeDocument/2006/relationships/hyperlink" Target="http://elpais.com/tag/ine_instituto_nacional_estadistica/a/" TargetMode="External"/><Relationship Id="rId37" Type="http://schemas.openxmlformats.org/officeDocument/2006/relationships/image" Target="media/image6.emf"/><Relationship Id="rId53" Type="http://schemas.openxmlformats.org/officeDocument/2006/relationships/hyperlink" Target="http://economia.elpais.com/economia/2010/07/28/actualidad/1280302373_850215.html" TargetMode="External"/><Relationship Id="rId58" Type="http://schemas.openxmlformats.org/officeDocument/2006/relationships/hyperlink" Target="https://www5.aeat.es/ES13/S/IAFRIAFRC11F?REFERENCIA=0112604" TargetMode="External"/><Relationship Id="rId74" Type="http://schemas.openxmlformats.org/officeDocument/2006/relationships/image" Target="media/image30.emf"/><Relationship Id="rId79" Type="http://schemas.openxmlformats.org/officeDocument/2006/relationships/image" Target="media/image35.emf"/><Relationship Id="rId102" Type="http://schemas.openxmlformats.org/officeDocument/2006/relationships/hyperlink" Target="http://www.iberdrola.es/webibd/gc/prod/es/doc/IA_MemoriaActividades2015.pdf" TargetMode="External"/><Relationship Id="rId123" Type="http://schemas.openxmlformats.org/officeDocument/2006/relationships/image" Target="media/image55.emf"/><Relationship Id="rId128" Type="http://schemas.openxmlformats.org/officeDocument/2006/relationships/image" Target="media/image58.emf"/><Relationship Id="rId5" Type="http://schemas.openxmlformats.org/officeDocument/2006/relationships/settings" Target="settings.xml"/><Relationship Id="rId90" Type="http://schemas.openxmlformats.org/officeDocument/2006/relationships/hyperlink" Target="http://www.gasnaturalfenosa.com/es/accionistas+e+inversores/informacion+economica/1285338473206/informes+anuales.html" TargetMode="External"/><Relationship Id="rId95" Type="http://schemas.openxmlformats.org/officeDocument/2006/relationships/image" Target="media/image38.emf"/><Relationship Id="rId22" Type="http://schemas.openxmlformats.org/officeDocument/2006/relationships/hyperlink" Target="http://www.es.iairgroup.com" TargetMode="External"/><Relationship Id="rId27" Type="http://schemas.openxmlformats.org/officeDocument/2006/relationships/hyperlink" Target="http://www.telefonica.es/" TargetMode="External"/><Relationship Id="rId43" Type="http://schemas.openxmlformats.org/officeDocument/2006/relationships/header" Target="header6.xml"/><Relationship Id="rId48" Type="http://schemas.openxmlformats.org/officeDocument/2006/relationships/header" Target="header7.xml"/><Relationship Id="rId64" Type="http://schemas.openxmlformats.org/officeDocument/2006/relationships/image" Target="media/image24.emf"/><Relationship Id="rId69" Type="http://schemas.openxmlformats.org/officeDocument/2006/relationships/hyperlink" Target="http://www.elconfidencial.com/empresas/2014-10-04/florentino-perez-carga-182-euros-a-la-factura-del-gas-de-todos-los-espanoles-por-el-castor_225976/" TargetMode="External"/><Relationship Id="rId113" Type="http://schemas.openxmlformats.org/officeDocument/2006/relationships/image" Target="media/image49.png"/><Relationship Id="rId118" Type="http://schemas.openxmlformats.org/officeDocument/2006/relationships/hyperlink" Target="https://www.fundacionbancarialacaixa.org/index_es.html" TargetMode="External"/><Relationship Id="rId134" Type="http://schemas.openxmlformats.org/officeDocument/2006/relationships/image" Target="media/image63.emf"/><Relationship Id="rId139" Type="http://schemas.openxmlformats.org/officeDocument/2006/relationships/footer" Target="footer4.xml"/><Relationship Id="rId8" Type="http://schemas.openxmlformats.org/officeDocument/2006/relationships/endnotes" Target="endnotes.xml"/><Relationship Id="rId51" Type="http://schemas.openxmlformats.org/officeDocument/2006/relationships/hyperlink" Target="http://www.elconfidencial.com/tags/otros/proyecto-castor-9569/" TargetMode="External"/><Relationship Id="rId72" Type="http://schemas.openxmlformats.org/officeDocument/2006/relationships/image" Target="media/image28.emf"/><Relationship Id="rId80" Type="http://schemas.openxmlformats.org/officeDocument/2006/relationships/hyperlink" Target="http://www.gamesacorp.com/es/accionistas-inversores/informacion-financiera/cuentas-anuales-auditadas/" TargetMode="External"/><Relationship Id="rId85" Type="http://schemas.openxmlformats.org/officeDocument/2006/relationships/hyperlink" Target="file:///C:\Users\hola\Dropbox\COORDINACION%20FISCALIDAD\ANALISIS_FISCALIDAD_2015\Gamesa\Informe%20y%20herramienta%20&#250;ltima\Estatutos%20de%20la%20Sociedad%20Gamesa%20Corporaci&#243;n%20Tecnol&#243;gica,%20S.A" TargetMode="External"/><Relationship Id="rId93" Type="http://schemas.openxmlformats.org/officeDocument/2006/relationships/hyperlink" Target="http://www.gasnaturalfenosa.com/es/accionistas+e+inversores/gobierno+corporativo/1285338473537/informe+anual+de+gobierno+corporativo.html" TargetMode="External"/><Relationship Id="rId98" Type="http://schemas.openxmlformats.org/officeDocument/2006/relationships/hyperlink" Target="http://www.iberdrola.es/accionistas-inversores/informes-anuales/informe-integrado/" TargetMode="External"/><Relationship Id="rId121" Type="http://schemas.openxmlformats.org/officeDocument/2006/relationships/image" Target="media/image53.emf"/><Relationship Id="rId3" Type="http://schemas.openxmlformats.org/officeDocument/2006/relationships/styles" Target="styles.xml"/><Relationship Id="rId12" Type="http://schemas.openxmlformats.org/officeDocument/2006/relationships/hyperlink" Target="http://www.ebankinter.com" TargetMode="External"/><Relationship Id="rId17" Type="http://schemas.openxmlformats.org/officeDocument/2006/relationships/hyperlink" Target="http://www.enagas.es/" TargetMode="External"/><Relationship Id="rId25" Type="http://schemas.openxmlformats.org/officeDocument/2006/relationships/hyperlink" Target="http://www.ree.es/" TargetMode="External"/><Relationship Id="rId33" Type="http://schemas.openxmlformats.org/officeDocument/2006/relationships/header" Target="header4.xml"/><Relationship Id="rId38" Type="http://schemas.openxmlformats.org/officeDocument/2006/relationships/image" Target="media/image7.emf"/><Relationship Id="rId46" Type="http://schemas.openxmlformats.org/officeDocument/2006/relationships/image" Target="media/image14.emf"/><Relationship Id="rId59" Type="http://schemas.openxmlformats.org/officeDocument/2006/relationships/image" Target="media/image21.png"/><Relationship Id="rId67" Type="http://schemas.openxmlformats.org/officeDocument/2006/relationships/image" Target="media/image27.emf"/><Relationship Id="rId103" Type="http://schemas.openxmlformats.org/officeDocument/2006/relationships/hyperlink" Target="https://www.iberdrola.es/webibd/gc/prod/es/doc/corporativo_tributarias.pdf" TargetMode="External"/><Relationship Id="rId108" Type="http://schemas.openxmlformats.org/officeDocument/2006/relationships/image" Target="media/image44.emf"/><Relationship Id="rId116" Type="http://schemas.openxmlformats.org/officeDocument/2006/relationships/hyperlink" Target="http://www.elconfidencial.com/economia/2012-12-07/bruselas-estima-que-los-pisos-en-espana-deben-tener-un-descuento-del-75_374779/" TargetMode="External"/><Relationship Id="rId124" Type="http://schemas.openxmlformats.org/officeDocument/2006/relationships/image" Target="media/image56.emf"/><Relationship Id="rId129" Type="http://schemas.openxmlformats.org/officeDocument/2006/relationships/image" Target="media/image59.emf"/><Relationship Id="rId137" Type="http://schemas.openxmlformats.org/officeDocument/2006/relationships/image" Target="media/image65.jpeg"/><Relationship Id="rId20" Type="http://schemas.openxmlformats.org/officeDocument/2006/relationships/hyperlink" Target="http://www.gamesa.es/" TargetMode="External"/><Relationship Id="rId41" Type="http://schemas.openxmlformats.org/officeDocument/2006/relationships/image" Target="media/image10.emf"/><Relationship Id="rId54" Type="http://schemas.openxmlformats.org/officeDocument/2006/relationships/image" Target="media/image17.png"/><Relationship Id="rId62" Type="http://schemas.openxmlformats.org/officeDocument/2006/relationships/image" Target="media/image22.png"/><Relationship Id="rId70" Type="http://schemas.openxmlformats.org/officeDocument/2006/relationships/hyperlink" Target="http://www.elconfidencial.com/tags/otros/proyecto-castor-9569/" TargetMode="External"/><Relationship Id="rId75" Type="http://schemas.openxmlformats.org/officeDocument/2006/relationships/image" Target="media/image31.emf"/><Relationship Id="rId83" Type="http://schemas.openxmlformats.org/officeDocument/2006/relationships/hyperlink" Target="http://www.gamesacorp.com/es/accionistas-inversores/gobierno-corporativo/informe-anual-de-gobierno-corporativo/" TargetMode="External"/><Relationship Id="rId88" Type="http://schemas.openxmlformats.org/officeDocument/2006/relationships/image" Target="media/image37.png"/><Relationship Id="rId91" Type="http://schemas.openxmlformats.org/officeDocument/2006/relationships/hyperlink" Target="http://www.gasnaturalfenosa.com/es/accionistas+e+inversores/gobierno+corporativo/normas+de+gobierno/1285338473609/estatutos+sociales.html" TargetMode="External"/><Relationship Id="rId96" Type="http://schemas.openxmlformats.org/officeDocument/2006/relationships/image" Target="media/image39.png"/><Relationship Id="rId111" Type="http://schemas.openxmlformats.org/officeDocument/2006/relationships/image" Target="media/image47.png"/><Relationship Id="rId132" Type="http://schemas.openxmlformats.org/officeDocument/2006/relationships/image" Target="media/image61.emf"/><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ancsabadell.com" TargetMode="External"/><Relationship Id="rId23" Type="http://schemas.openxmlformats.org/officeDocument/2006/relationships/hyperlink" Target="http://www.inditex.com/" TargetMode="External"/><Relationship Id="rId28" Type="http://schemas.openxmlformats.org/officeDocument/2006/relationships/header" Target="header2.xml"/><Relationship Id="rId36" Type="http://schemas.openxmlformats.org/officeDocument/2006/relationships/image" Target="media/image5.png"/><Relationship Id="rId49" Type="http://schemas.openxmlformats.org/officeDocument/2006/relationships/image" Target="media/image16.png"/><Relationship Id="rId57" Type="http://schemas.openxmlformats.org/officeDocument/2006/relationships/image" Target="media/image20.png"/><Relationship Id="rId106" Type="http://schemas.openxmlformats.org/officeDocument/2006/relationships/image" Target="media/image42.emf"/><Relationship Id="rId114" Type="http://schemas.openxmlformats.org/officeDocument/2006/relationships/image" Target="media/image50.png"/><Relationship Id="rId119" Type="http://schemas.openxmlformats.org/officeDocument/2006/relationships/hyperlink" Target="http://www.caixabank.com/index_es.html" TargetMode="External"/><Relationship Id="rId127" Type="http://schemas.openxmlformats.org/officeDocument/2006/relationships/hyperlink" Target="https://www.sec.gov/Archives/edgar/data/1127866/000119312506078410/dex81.htm" TargetMode="External"/><Relationship Id="rId10" Type="http://schemas.openxmlformats.org/officeDocument/2006/relationships/image" Target="media/image2.jpeg"/><Relationship Id="rId31" Type="http://schemas.openxmlformats.org/officeDocument/2006/relationships/image" Target="media/image4.png"/><Relationship Id="rId44" Type="http://schemas.openxmlformats.org/officeDocument/2006/relationships/image" Target="media/image12.png"/><Relationship Id="rId52" Type="http://schemas.openxmlformats.org/officeDocument/2006/relationships/hyperlink" Target="https://twitter.com/sclimentse" TargetMode="External"/><Relationship Id="rId60" Type="http://schemas.openxmlformats.org/officeDocument/2006/relationships/hyperlink" Target="http://www.elconfidencial.com/tags/temas/proyecto-castor-9569/" TargetMode="External"/><Relationship Id="rId65" Type="http://schemas.openxmlformats.org/officeDocument/2006/relationships/image" Target="media/image25.emf"/><Relationship Id="rId73" Type="http://schemas.openxmlformats.org/officeDocument/2006/relationships/image" Target="media/image29.emf"/><Relationship Id="rId78" Type="http://schemas.openxmlformats.org/officeDocument/2006/relationships/image" Target="media/image34.emf"/><Relationship Id="rId81" Type="http://schemas.openxmlformats.org/officeDocument/2006/relationships/hyperlink" Target="http://www.gamesacorp.com/es/accionistas-inversores/informacion-financiera/informe-anual/" TargetMode="External"/><Relationship Id="rId86" Type="http://schemas.openxmlformats.org/officeDocument/2006/relationships/hyperlink" Target="http://www.gamesacorp.com/recursos/doc/accionistas-inversores/gobierno-corporativo/politicas-corporativas/politicas-gobierno-corpor/politica-fiscal-corporativa.pdf" TargetMode="External"/><Relationship Id="rId94" Type="http://schemas.openxmlformats.org/officeDocument/2006/relationships/hyperlink" Target="http://www.gasnaturalfenosa.com/es/la+compania/1285338472818/codigo+etico.html" TargetMode="External"/><Relationship Id="rId99" Type="http://schemas.openxmlformats.org/officeDocument/2006/relationships/hyperlink" Target="https://www.iberdrola.com/wcorp/gc/prod/es_ES/inversores/docs/IA_InformeSostenibilidad15.pdf" TargetMode="External"/><Relationship Id="rId101" Type="http://schemas.openxmlformats.org/officeDocument/2006/relationships/hyperlink" Target="https://www.iberdrola.com/wcorp/gc/prod/es_ES/corporativos/docs/estatutos_sociales.pdf" TargetMode="External"/><Relationship Id="rId122" Type="http://schemas.openxmlformats.org/officeDocument/2006/relationships/image" Target="media/image54.png"/><Relationship Id="rId130" Type="http://schemas.openxmlformats.org/officeDocument/2006/relationships/image" Target="media/image60.emf"/><Relationship Id="rId135" Type="http://schemas.openxmlformats.org/officeDocument/2006/relationships/image" Target="media/image64.emf"/><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bbva.es/" TargetMode="External"/><Relationship Id="rId18" Type="http://schemas.openxmlformats.org/officeDocument/2006/relationships/hyperlink" Target="http://www.fcc.es/" TargetMode="External"/><Relationship Id="rId39" Type="http://schemas.openxmlformats.org/officeDocument/2006/relationships/image" Target="media/image8.emf"/><Relationship Id="rId109" Type="http://schemas.openxmlformats.org/officeDocument/2006/relationships/image" Target="media/image45.png"/><Relationship Id="rId34" Type="http://schemas.openxmlformats.org/officeDocument/2006/relationships/footer" Target="footer2.xml"/><Relationship Id="rId50" Type="http://schemas.openxmlformats.org/officeDocument/2006/relationships/hyperlink" Target="http://www.elconfidencial.com/empresas/2014-10-04/florentino-perez-carga-182-euros-a-la-factura-del-gas-de-todos-los-espanoles-por-el-castor_225976/" TargetMode="External"/><Relationship Id="rId55" Type="http://schemas.openxmlformats.org/officeDocument/2006/relationships/image" Target="media/image18.png"/><Relationship Id="rId76" Type="http://schemas.openxmlformats.org/officeDocument/2006/relationships/image" Target="media/image32.emf"/><Relationship Id="rId97" Type="http://schemas.openxmlformats.org/officeDocument/2006/relationships/hyperlink" Target="https://www.iberdrola.com/wcorp/gc/prod/es_ES/inversores/docs/IA_CuentasAnualesConsolidadas2015.pdf" TargetMode="External"/><Relationship Id="rId104" Type="http://schemas.openxmlformats.org/officeDocument/2006/relationships/image" Target="media/image40.emf"/><Relationship Id="rId120" Type="http://schemas.openxmlformats.org/officeDocument/2006/relationships/hyperlink" Target="https://twitter.com/sclimentse" TargetMode="External"/><Relationship Id="rId125" Type="http://schemas.openxmlformats.org/officeDocument/2006/relationships/image" Target="media/image57.emf"/><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corporate.ArcelorMittal.com" TargetMode="External"/><Relationship Id="rId92" Type="http://schemas.openxmlformats.org/officeDocument/2006/relationships/hyperlink" Target="http://www.gasnaturalfenosa.com/es/reputacion+y+responsabilidad+corporativa/informes+y+publicaciones/1285338472647/informes+de+responsabilidad+corporativa.html" TargetMode="Externa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hyperlink" Target="http://www.indra.es/" TargetMode="External"/><Relationship Id="rId40" Type="http://schemas.openxmlformats.org/officeDocument/2006/relationships/image" Target="media/image9.emf"/><Relationship Id="rId45" Type="http://schemas.openxmlformats.org/officeDocument/2006/relationships/image" Target="media/image13.emf"/><Relationship Id="rId66" Type="http://schemas.openxmlformats.org/officeDocument/2006/relationships/image" Target="media/image26.emf"/><Relationship Id="rId87" Type="http://schemas.openxmlformats.org/officeDocument/2006/relationships/image" Target="media/image36.emf"/><Relationship Id="rId110" Type="http://schemas.openxmlformats.org/officeDocument/2006/relationships/image" Target="media/image46.emf"/><Relationship Id="rId115" Type="http://schemas.openxmlformats.org/officeDocument/2006/relationships/image" Target="media/image51.emf"/><Relationship Id="rId131" Type="http://schemas.openxmlformats.org/officeDocument/2006/relationships/hyperlink" Target="https://www5.aeat.es/ES13/S/IAFRIAFRC11F?REFERENCIA=0112604" TargetMode="External"/><Relationship Id="rId136" Type="http://schemas.openxmlformats.org/officeDocument/2006/relationships/footer" Target="footer3.xml"/><Relationship Id="rId61" Type="http://schemas.openxmlformats.org/officeDocument/2006/relationships/header" Target="header8.xml"/><Relationship Id="rId82" Type="http://schemas.openxmlformats.org/officeDocument/2006/relationships/hyperlink" Target="http://www.gamesacorp.com/es/sostenibilidad/publicaciones-reconocimientos/" TargetMode="External"/><Relationship Id="rId19" Type="http://schemas.openxmlformats.org/officeDocument/2006/relationships/hyperlink" Target="http://www.ferrovial.es/" TargetMode="External"/><Relationship Id="rId14" Type="http://schemas.openxmlformats.org/officeDocument/2006/relationships/hyperlink" Target="http://www.bancopopular.es/" TargetMode="External"/><Relationship Id="rId30" Type="http://schemas.openxmlformats.org/officeDocument/2006/relationships/header" Target="header3.xml"/><Relationship Id="rId35" Type="http://schemas.openxmlformats.org/officeDocument/2006/relationships/header" Target="header5.xml"/><Relationship Id="rId56" Type="http://schemas.openxmlformats.org/officeDocument/2006/relationships/image" Target="media/image19.emf"/><Relationship Id="rId77" Type="http://schemas.openxmlformats.org/officeDocument/2006/relationships/image" Target="media/image33.emf"/><Relationship Id="rId100" Type="http://schemas.openxmlformats.org/officeDocument/2006/relationships/hyperlink" Target="https://www.iberdrola.com/wcorp/gc/prod/es_ES/inversores/docs/IAGC_ForCorp2015.pdf" TargetMode="External"/><Relationship Id="rId105" Type="http://schemas.openxmlformats.org/officeDocument/2006/relationships/image" Target="media/image41.emf"/><Relationship Id="rId126" Type="http://schemas.openxmlformats.org/officeDocument/2006/relationships/hyperlink" Target="http://www.google.es/url?sa=t&amp;rct=j&amp;q=&amp;esrc=s&amp;source=web&amp;cd=2&amp;cad=rja&amp;uact=8&amp;ved=0CCcQFjAB&amp;url=http%3A%2F%2Fwww.oecd.org%2Fdaf%2Finv%2Fmne%2FMNEguidelinesESPANOL.pdf&amp;ei=xXwrVdKYBon6PPPegLAP&amp;usg=AFQjCNHDeYVD1bvfKWyKQVrEQkt-xCVq8g&amp;bvm=bv.90491159,d.ZWU"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oprweb.senate.gov/index.cfm?event=selectfields" TargetMode="External"/><Relationship Id="rId299" Type="http://schemas.openxmlformats.org/officeDocument/2006/relationships/hyperlink" Target="http://www.ftse.com/products/downloads/F4G-Index-Inclusion-Rules.pdf" TargetMode="External"/><Relationship Id="rId21" Type="http://schemas.openxmlformats.org/officeDocument/2006/relationships/hyperlink" Target="http://www.ecuadorinmediato.com/Noticias/news_user_view/ecuadorinmediato_noticias--60534" TargetMode="External"/><Relationship Id="rId63" Type="http://schemas.openxmlformats.org/officeDocument/2006/relationships/hyperlink" Target="http://www.elconfidencial.com/empresas/2015-03-19/florentino-le-echa-un-pulso-al-gobierno-y-pide-el-preconcurso-de-acreedores-del-ave-a-paris_731050/" TargetMode="External"/><Relationship Id="rId159" Type="http://schemas.openxmlformats.org/officeDocument/2006/relationships/hyperlink" Target="http://www.obrasweb.mx/construccion/2012/03/16/evasion-fiscal-la-cruz-que-cargan-las-constructoras" TargetMode="External"/><Relationship Id="rId324" Type="http://schemas.openxmlformats.org/officeDocument/2006/relationships/hyperlink" Target="http://www.sustainability-indices.com/images/DJSI_Review_Presentation_09_2014_final.pdf" TargetMode="External"/><Relationship Id="rId366" Type="http://schemas.openxmlformats.org/officeDocument/2006/relationships/hyperlink" Target="https://www.abertis.com/media/general_meetings/2016/Cuentas%20anuales%20consolidadas%20abertis%202015_230216_Final.pdf" TargetMode="External"/><Relationship Id="rId170" Type="http://schemas.openxmlformats.org/officeDocument/2006/relationships/hyperlink" Target="http://www.europarl.europa.eu/sides/getDoc.do?pubRef=-//EP//TEXT+WQ+P-2016-001711+0+DOC+XML+V0//EN" TargetMode="External"/><Relationship Id="rId191" Type="http://schemas.openxmlformats.org/officeDocument/2006/relationships/hyperlink" Target="http://www.lavanguardia.com/economia/20150422/54430781555/detienen-a-director-del-mayor-grupo-de-construccion-griego-por-evasion-fiscal.html" TargetMode="External"/><Relationship Id="rId205" Type="http://schemas.openxmlformats.org/officeDocument/2006/relationships/hyperlink" Target="http://www.smh.com.au/business/the-economy/atos-private-company-list-kicks-up-more-questions-about-artistry-of-tax-arrangements-20160322-gnoi9m.html" TargetMode="External"/><Relationship Id="rId226" Type="http://schemas.openxmlformats.org/officeDocument/2006/relationships/hyperlink" Target="http://www.agenciatributaria.es/AEAT.internet/Inicio/_Segmentos_/Empresas_y_profesionales/Foro_Grandes_Empresas/Codigo_de_Buenas_Practicas_Tributarias/Adhesiones_al_Codigo_de_Buenas_Practicas_Tributarias.shtml" TargetMode="External"/><Relationship Id="rId247" Type="http://schemas.openxmlformats.org/officeDocument/2006/relationships/hyperlink" Target="http://www.sustainability-indices.com/images/DJSI_Review_Presentation_09_2014_final.pdf" TargetMode="External"/><Relationship Id="rId107" Type="http://schemas.openxmlformats.org/officeDocument/2006/relationships/hyperlink" Target="https://opencorporates.com/companies/pa/142853" TargetMode="External"/><Relationship Id="rId268" Type="http://schemas.openxmlformats.org/officeDocument/2006/relationships/hyperlink" Target="https://www.endesa.com/es/inversores/a201611-politicas-corporativas.html" TargetMode="External"/><Relationship Id="rId289" Type="http://schemas.openxmlformats.org/officeDocument/2006/relationships/hyperlink" Target="http://www.ftse.com/products/downloads/F4G-Index-Inclusion-Rules.pdf" TargetMode="External"/><Relationship Id="rId11" Type="http://schemas.openxmlformats.org/officeDocument/2006/relationships/hyperlink" Target="http://economia.elpais.com/economia/2016/07/13/actualidad/1468437173_165265.html" TargetMode="External"/><Relationship Id="rId32" Type="http://schemas.openxmlformats.org/officeDocument/2006/relationships/hyperlink" Target="http://www.altmedia.net.au/questions-to-be-answered-over-leightons-involvement-in-westconnex/114897" TargetMode="External"/><Relationship Id="rId53" Type="http://schemas.openxmlformats.org/officeDocument/2006/relationships/hyperlink" Target="http://www.elconfidencial.com/empresas/2014-12-14/no-es-solo-pwc-deloitte-e-y-y-kpmg-tambien-ayudan-a-las-empresas-a-eludir-impuestos_589746/" TargetMode="External"/><Relationship Id="rId74" Type="http://schemas.openxmlformats.org/officeDocument/2006/relationships/hyperlink" Target="http://www.europarl.europa.eu/sides/getDoc.do?pubRef=-//EP//TEXT+REPORT+A7-2013-0162+0+DOC+XML+V0//ES" TargetMode="External"/><Relationship Id="rId128" Type="http://schemas.openxmlformats.org/officeDocument/2006/relationships/hyperlink" Target="http://www.vozpopuli.com/economia-y-finanzas/empresas/Iberdrola-Gamesa-Lobbys-Estados_Unidos-Barack_Obama_0_664133628.html" TargetMode="External"/><Relationship Id="rId149" Type="http://schemas.openxmlformats.org/officeDocument/2006/relationships/hyperlink" Target="http://www.expansion.com/economia/2015/11/03/56391e32ca4741bd788b45e8.html" TargetMode="External"/><Relationship Id="rId314" Type="http://schemas.openxmlformats.org/officeDocument/2006/relationships/hyperlink" Target="http://ctxt.es/es/20160914/Politica/8453/Preferentes-estafa-paraiso-fiscal-banca-crisis.htm" TargetMode="External"/><Relationship Id="rId335" Type="http://schemas.openxmlformats.org/officeDocument/2006/relationships/hyperlink" Target="http://www.agenciatributaria.es/static_files/AEAT/Contenidos_Comunes/Ficheros/Informacion_Institucional/Campanias/Plan_de_prevencion_del_fraude/ppff.pdf" TargetMode="External"/><Relationship Id="rId356" Type="http://schemas.openxmlformats.org/officeDocument/2006/relationships/hyperlink" Target="http://elpais.com/tag/fecha/20141013" TargetMode="External"/><Relationship Id="rId377" Type="http://schemas.openxmlformats.org/officeDocument/2006/relationships/hyperlink" Target="http://www.ftse.com/products/downloads/F4G-Index-Inclusion-Rules.pdf" TargetMode="External"/><Relationship Id="rId5" Type="http://schemas.openxmlformats.org/officeDocument/2006/relationships/hyperlink" Target="http://www.parlamentodenavarra.es/inicio/comunicacion/resoluciones.aspx?idnoticia=3509" TargetMode="External"/><Relationship Id="rId95" Type="http://schemas.openxmlformats.org/officeDocument/2006/relationships/hyperlink" Target="http://www.elglobal.net/hemeroteca/irlanda-se-revela-como-refugio-fiscal-y-productivo-entre-las-big-pharma-AUEG_953542" TargetMode="External"/><Relationship Id="rId160" Type="http://schemas.openxmlformats.org/officeDocument/2006/relationships/hyperlink" Target="http://www.ecuadorinmediato.com/Noticias/news_user_view/ecuadorinmediato_noticias--60534" TargetMode="External"/><Relationship Id="rId181" Type="http://schemas.openxmlformats.org/officeDocument/2006/relationships/hyperlink" Target="http://www.economiadigital.es/es/notices/2016/01/aigues-de-catalunya-limited-la-empresa-con-matriz-en-cayman-y-bermuda-constituida-para-adquirir-atl-81416.php" TargetMode="External"/><Relationship Id="rId216" Type="http://schemas.openxmlformats.org/officeDocument/2006/relationships/hyperlink" Target="http://www.theherald.com.au/story/3837923/corruption-helicopter-drops-and-the-proletariat/" TargetMode="External"/><Relationship Id="rId237" Type="http://schemas.openxmlformats.org/officeDocument/2006/relationships/hyperlink" Target="http://www.agenciatributaria.es/static_files/AEAT/Contenidos_Comunes/Ficheros/Informacion_Institucional/Campanias/Plan_de_prevencion_del_fraude/ppff.pdf" TargetMode="External"/><Relationship Id="rId258" Type="http://schemas.openxmlformats.org/officeDocument/2006/relationships/hyperlink" Target="http://www.transparency.org/cpi2015/results" TargetMode="External"/><Relationship Id="rId279" Type="http://schemas.openxmlformats.org/officeDocument/2006/relationships/hyperlink" Target="http://www.transparency.org/cpi2015/" TargetMode="External"/><Relationship Id="rId22" Type="http://schemas.openxmlformats.org/officeDocument/2006/relationships/hyperlink" Target="http://www.lavanguardia.com/economia/20150422/54430781555/detienen-a-director-del-mayor-grupo-de-construccion-griego-por-evasion-fiscal.html" TargetMode="External"/><Relationship Id="rId43" Type="http://schemas.openxmlformats.org/officeDocument/2006/relationships/hyperlink" Target="https://www.boe.es/diario_boe/txt.php?id=BOE-A-2014-12589" TargetMode="External"/><Relationship Id="rId64" Type="http://schemas.openxmlformats.org/officeDocument/2006/relationships/hyperlink" Target="http://www.elconfidencial.com/empresas/2016-05-06/florentino-perez-costes-cierre-castor_1194978/" TargetMode="External"/><Relationship Id="rId118" Type="http://schemas.openxmlformats.org/officeDocument/2006/relationships/hyperlink" Target="http://www.bez.es/288495568/El-negocio-de-las-fronteras-cuatro-empresas-espanolas-entre-las-principales-beneficiarias-de-la-UE.html" TargetMode="External"/><Relationship Id="rId139" Type="http://schemas.openxmlformats.org/officeDocument/2006/relationships/hyperlink" Target="http://economia.elpais.com/economia/2016/02/29/actualidad/1456768154_263701.html" TargetMode="External"/><Relationship Id="rId290" Type="http://schemas.openxmlformats.org/officeDocument/2006/relationships/hyperlink" Target="http://www.vozpopuli.com/economia-y-finanzas/empresas/Iberdrola-Ignacio_Sanchez_Galan-Reformas_0_609239081.html" TargetMode="External"/><Relationship Id="rId304" Type="http://schemas.openxmlformats.org/officeDocument/2006/relationships/hyperlink" Target="https://webcorporativa.bankinter.com/www2/corporativa/es/gobierno_corporativo/paticipadas_filiales" TargetMode="External"/><Relationship Id="rId325" Type="http://schemas.openxmlformats.org/officeDocument/2006/relationships/hyperlink" Target="http://www.ftse.com/products/downloads/F4G-Index-Inclusion-Rules.pdf" TargetMode="External"/><Relationship Id="rId346" Type="http://schemas.openxmlformats.org/officeDocument/2006/relationships/hyperlink" Target="http://www.sustainability-indices.com/images/DJSI_Review_Presentation_09_2014_final.pdf" TargetMode="External"/><Relationship Id="rId367" Type="http://schemas.openxmlformats.org/officeDocument/2006/relationships/hyperlink" Target="https://www.abertis.com/media/general_meetings/2016/Cuentas%20anuales%20consolidadas%20abertis%202015_230216_Final.pdf" TargetMode="External"/><Relationship Id="rId388" Type="http://schemas.openxmlformats.org/officeDocument/2006/relationships/hyperlink" Target="http://www.ief.es/documentos/recursos/publicaciones/fiscalidad_internacional/120_Nocete.pdf" TargetMode="External"/><Relationship Id="rId85" Type="http://schemas.openxmlformats.org/officeDocument/2006/relationships/hyperlink" Target="http://www.nytimes.com/2012/07/01/business/how-delaware-thrives-as-a-corporate-tax-haven.html?pagewanted=1&amp;_r=1" TargetMode="External"/><Relationship Id="rId150" Type="http://schemas.openxmlformats.org/officeDocument/2006/relationships/hyperlink" Target="http://www.economiadigital.es/gles/notices/2015/04/inditex-suma-ya-15-sociedades-de-cartera-en-las-plazas-off-shore-de-amsterdam-y-friburgo-61144.php" TargetMode="External"/><Relationship Id="rId171" Type="http://schemas.openxmlformats.org/officeDocument/2006/relationships/hyperlink" Target="https://earthtrack.net/blog/mlps-and-continuing-growth-of-corporate-tax-avoidance-energy-sector" TargetMode="External"/><Relationship Id="rId192" Type="http://schemas.openxmlformats.org/officeDocument/2006/relationships/hyperlink" Target="http://www.sat.gob.mx/administracion_sat/estudios_evasion_fiscal/Documents/InformeFinal19012012const.pdf" TargetMode="External"/><Relationship Id="rId206" Type="http://schemas.openxmlformats.org/officeDocument/2006/relationships/hyperlink" Target="http://www.elconfidencial.com/empresas/2015-03-19/florentino-le-echa-un-pulso-al-gobierno-y-pide-el-preconcurso-de-acreedores-del-ave-a-paris_731050/" TargetMode="External"/><Relationship Id="rId227" Type="http://schemas.openxmlformats.org/officeDocument/2006/relationships/hyperlink" Target="https://www.mediapart.fr/en/journal/mot-cle/arcelormittal" TargetMode="External"/><Relationship Id="rId248" Type="http://schemas.openxmlformats.org/officeDocument/2006/relationships/hyperlink" Target="http://www.ftse.com/products/downloads/F4G-Index-Inclusion-Rules.pdf" TargetMode="External"/><Relationship Id="rId269" Type="http://schemas.openxmlformats.org/officeDocument/2006/relationships/hyperlink" Target="https://www.elblogsalmon.com/sectores/casi-el-60-del-recibo-de-la-luz-son-impuestos" TargetMode="External"/><Relationship Id="rId12" Type="http://schemas.openxmlformats.org/officeDocument/2006/relationships/hyperlink" Target="http://europa.eu/rapid/press-release_IP-15-5188_es.htm" TargetMode="External"/><Relationship Id="rId33" Type="http://schemas.openxmlformats.org/officeDocument/2006/relationships/hyperlink" Target="http://www.theherald.com.au/story/3837923/corruption-helicopter-drops-and-the-proletariat/" TargetMode="External"/><Relationship Id="rId108" Type="http://schemas.openxmlformats.org/officeDocument/2006/relationships/hyperlink" Target="http://www.registro-publico.gob.pa/consultasweb/api/index.php/ObtenerFolio/1199778/1" TargetMode="External"/><Relationship Id="rId129" Type="http://schemas.openxmlformats.org/officeDocument/2006/relationships/hyperlink" Target="http://www.elconfidencial.com/empresas/2016-02-28/hacienda-multa-a-telefonica-con-una-sancion-de-206-por-impuestos-mal-contabilizados_1159825/" TargetMode="External"/><Relationship Id="rId280" Type="http://schemas.openxmlformats.org/officeDocument/2006/relationships/hyperlink" Target="http://www.sustainability-indices.com/images/DJSI_Review_Presentation_09_2014_final.pdf" TargetMode="External"/><Relationship Id="rId315" Type="http://schemas.openxmlformats.org/officeDocument/2006/relationships/hyperlink" Target="https://www.bbva.com/es/noticias/economia/sistema_financiero/fiscalidad/bbva-se-adelanta-a-la-normativa-en-transparencia-fiscal/" TargetMode="External"/><Relationship Id="rId336" Type="http://schemas.openxmlformats.org/officeDocument/2006/relationships/hyperlink" Target="http://www.elconfidencial.com/empresas/2015-10-13/el-bce-obliga-a-faine-a-reformular-la-estructura-contable-de-la-caixa_1057165/" TargetMode="External"/><Relationship Id="rId357" Type="http://schemas.openxmlformats.org/officeDocument/2006/relationships/hyperlink" Target="http://www.elconfidencial.com/empresas/2016-02-28/hacienda-multa-a-telefonica-con-una-sancion-de-206-por-impuestos-mal-contabilizados_1159825/" TargetMode="External"/><Relationship Id="rId54" Type="http://schemas.openxmlformats.org/officeDocument/2006/relationships/hyperlink" Target="http://www.elmundo.es/economia/2016/05/19/573dab66268e3e8c598b45fe.html" TargetMode="External"/><Relationship Id="rId75" Type="http://schemas.openxmlformats.org/officeDocument/2006/relationships/hyperlink" Target="http://www.oecd.org/tax/transparency/44430243.pdf" TargetMode="External"/><Relationship Id="rId96" Type="http://schemas.openxmlformats.org/officeDocument/2006/relationships/hyperlink" Target="http://cincodias.com/cincodias/2015/02/19/empresas/1424376289_923285.html" TargetMode="External"/><Relationship Id="rId140" Type="http://schemas.openxmlformats.org/officeDocument/2006/relationships/hyperlink" Target="http://www.elglobal.net/hemeroteca/irlanda-se-revela-como-refugio-fiscal-y-productivo-entre-las-big-pharma-AUEG_953542" TargetMode="External"/><Relationship Id="rId161" Type="http://schemas.openxmlformats.org/officeDocument/2006/relationships/hyperlink" Target="http://www.lavanguardia.com/economia/20150422/54430781555/detienen-a-director-del-mayor-grupo-de-construccion-griego-por-evasion-fiscal.html" TargetMode="External"/><Relationship Id="rId182" Type="http://schemas.openxmlformats.org/officeDocument/2006/relationships/hyperlink" Target="https://intereconomia.com/empresas/construccion/acciona-lios-la-corrupcion-20160628-1328/" TargetMode="External"/><Relationship Id="rId217" Type="http://schemas.openxmlformats.org/officeDocument/2006/relationships/hyperlink" Target="http://www.edenmagnet.com.au/story/4029702/cimic-faces-lawsuit-from-middle-east-partner/?cs=9" TargetMode="External"/><Relationship Id="rId378" Type="http://schemas.openxmlformats.org/officeDocument/2006/relationships/hyperlink" Target="http://www.agenciatributaria.es/static_files/AEAT/Contenidos_Comunes/Ficheros/Informacion_Institucional/Campanias/Plan_de_prevencion_del_fraude/ppff.pdf" TargetMode="External"/><Relationship Id="rId6" Type="http://schemas.openxmlformats.org/officeDocument/2006/relationships/hyperlink" Target="http://www.agorarsc.org/avanza-la-lucha-contra-los-paraisos-fiscales-en-la-contratacion-publica/" TargetMode="External"/><Relationship Id="rId238" Type="http://schemas.openxmlformats.org/officeDocument/2006/relationships/hyperlink" Target="http://www.agenciatributaria.es/AEAT.internet/Inicio/Novedades/2015/Enero/23_01_2015_Informe_de_la_Direccion_General_de_Tributos__de_23_de_diciembre_de_2014__sobre_la_vigencia_de_la_lista_actual_de_p___la_Ley_26_2014.shtml" TargetMode="External"/><Relationship Id="rId259" Type="http://schemas.openxmlformats.org/officeDocument/2006/relationships/hyperlink" Target="http://www.tecnicasreunidas.es/recursos/doc/accionistas-e-inversores/gobierno-corporativo/2016/jga/informe-anual-de-gobierno-corporativo-ejercicio-2015.pdf" TargetMode="External"/><Relationship Id="rId23" Type="http://schemas.openxmlformats.org/officeDocument/2006/relationships/hyperlink" Target="http://www.sat.gob.mx/administracion_sat/estudios_evasion_fiscal/Documents/InformeFinal19012012const.pdf" TargetMode="External"/><Relationship Id="rId119" Type="http://schemas.openxmlformats.org/officeDocument/2006/relationships/hyperlink" Target="http://ec.europa.eu/transparencyregister/public/consultation/displaylobbyist.do?id=208351410839-33" TargetMode="External"/><Relationship Id="rId270" Type="http://schemas.openxmlformats.org/officeDocument/2006/relationships/hyperlink" Target="https://www.endesa.com/es/sobre-endesa/a201610-sociedades.html" TargetMode="External"/><Relationship Id="rId291" Type="http://schemas.openxmlformats.org/officeDocument/2006/relationships/hyperlink" Target="http://www.expansion.com/2007/02/20/opinion/firmas/963601.html" TargetMode="External"/><Relationship Id="rId305" Type="http://schemas.openxmlformats.org/officeDocument/2006/relationships/hyperlink" Target="http://www.euroabs.com/OpenIssueAccess.aspx?issueid=8810" TargetMode="External"/><Relationship Id="rId326" Type="http://schemas.openxmlformats.org/officeDocument/2006/relationships/hyperlink" Target="http://www.bancopopular.es/empresas/negocio-internacional/nuestra-red-internacional" TargetMode="External"/><Relationship Id="rId347" Type="http://schemas.openxmlformats.org/officeDocument/2006/relationships/hyperlink" Target="http://www.ftse.com/products/downloads/F4G-Index-Inclusion-Rules.pdf" TargetMode="External"/><Relationship Id="rId44" Type="http://schemas.openxmlformats.org/officeDocument/2006/relationships/hyperlink" Target="http://www.eleconomista.es/empresas-finanzas/noticias/6873544/07/15/IAG-escruta-el-gasto-en-impuestos-ante-su-salto-al-paraiso-de-Irlanda-.html" TargetMode="External"/><Relationship Id="rId65" Type="http://schemas.openxmlformats.org/officeDocument/2006/relationships/hyperlink" Target="http://sabemos.es/2015/09/29/otro-proyecto-castor-murcia-investiga-por-que-florentino-perez-cobrara-600-millones-por-una-desaladora-inactiva_7258/" TargetMode="External"/><Relationship Id="rId86" Type="http://schemas.openxmlformats.org/officeDocument/2006/relationships/hyperlink" Target="http://maps.google.es/maps?q=1209+North+Orange+Street+delaware&amp;rls=com.microsoft:*:IE-SearchBox&amp;oe=UTF-8&amp;rlz=1I7ACPW_esES352&amp;redir_esc=&amp;um=1&amp;ie=UTF-8&amp;hq=&amp;hnear=1209+N+Orange+St,+Wilmington,+DE+19801,+USA&amp;gl=es&amp;ei=JXJRTPv2FNK84Abj8py7Aw&amp;sa=X&amp;oi=geocode_result&amp;ct=title&amp;resnum=1&amp;ved=0CBYQ8gEwAA" TargetMode="External"/><Relationship Id="rId130" Type="http://schemas.openxmlformats.org/officeDocument/2006/relationships/hyperlink" Target="https://www.thepressproject.gr/article/67522/How-much-did-the-Hochtief-managed-Athens-airport-dodge-in-taxes--12-150-or-600-million" TargetMode="External"/><Relationship Id="rId151" Type="http://schemas.openxmlformats.org/officeDocument/2006/relationships/hyperlink" Target="http://www.elindependiente.com/economia/2016/12/08/los-verdes-la-eurocamara-acusan-inditex-eludir-pago-600-millones-impuestos/" TargetMode="External"/><Relationship Id="rId368" Type="http://schemas.openxmlformats.org/officeDocument/2006/relationships/hyperlink" Target="https://www.abertis.com/media/general_meetings/2016/Cuentas%20anuales%20consolidadas%20abertis%202015_230216_Final.pdf" TargetMode="External"/><Relationship Id="rId389" Type="http://schemas.openxmlformats.org/officeDocument/2006/relationships/hyperlink" Target="http://www.agenciatributaria.es/AEAT.internet/Inicio/Novedades/2015/Enero/23_01_2015_Informe_de_la_Direccion_General_de_Tributos__de_23_de_diciembre_de_2014__sobre_la_vigencia_de_la_lista_actual_de_p___la_Ley_26_2014.shtml" TargetMode="External"/><Relationship Id="rId172" Type="http://schemas.openxmlformats.org/officeDocument/2006/relationships/hyperlink" Target="https://www.ft.com/content/58e80fe4-ca34-11e3-bb92-00144feabdc0" TargetMode="External"/><Relationship Id="rId193" Type="http://schemas.openxmlformats.org/officeDocument/2006/relationships/hyperlink" Target="http://www.europapress.es/internacional/noticia-portugal-agencias-tributarias-espana-portugal-firman-acuerdo-combatir-fraude-evasion-fiscal-20061102165258.html" TargetMode="External"/><Relationship Id="rId207" Type="http://schemas.openxmlformats.org/officeDocument/2006/relationships/hyperlink" Target="http://www.elconfidencial.com/empresas/2016-05-06/florentino-perez-costes-cierre-castor_1194978/" TargetMode="External"/><Relationship Id="rId228" Type="http://schemas.openxmlformats.org/officeDocument/2006/relationships/hyperlink" Target="http://ec.europa.eu/transparencyregister/public/consultation/displaylobbyist.do?id=23527541824-60" TargetMode="External"/><Relationship Id="rId249" Type="http://schemas.openxmlformats.org/officeDocument/2006/relationships/hyperlink" Target="http://www.agenciatributaria.es/AEAT.internet/Inicio/Novedades/2015/Enero/23_01_2015_Informe_de_la_Direccion_General_de_Tributos__de_23_de_diciembre_de_2014__sobre_la_vigencia_de_la_lista_actual_de_p___la_Ley_26_2014.shtml" TargetMode="External"/><Relationship Id="rId13" Type="http://schemas.openxmlformats.org/officeDocument/2006/relationships/hyperlink" Target="http://programa.ahoramadrid.org/propuesta.php?id=130" TargetMode="External"/><Relationship Id="rId109" Type="http://schemas.openxmlformats.org/officeDocument/2006/relationships/hyperlink" Target="https://opencorporates.com/companies/bm/29530" TargetMode="External"/><Relationship Id="rId260" Type="http://schemas.openxmlformats.org/officeDocument/2006/relationships/hyperlink" Target="http://reports.weforum.org/global-competitiveness-index/country-profiles/" TargetMode="External"/><Relationship Id="rId281" Type="http://schemas.openxmlformats.org/officeDocument/2006/relationships/hyperlink" Target="http://www.ftse.com/products/downloads/F4G-Index-Inclusion-Rules.pdf" TargetMode="External"/><Relationship Id="rId316" Type="http://schemas.openxmlformats.org/officeDocument/2006/relationships/hyperlink" Target="http://www.csreurope.org/" TargetMode="External"/><Relationship Id="rId337" Type="http://schemas.openxmlformats.org/officeDocument/2006/relationships/hyperlink" Target="http://sabemos.es/2015/06/19/el-rescate-encubierto-a-caixabank-gracias-a-la-compra-de-banco-de-valencia_2983/" TargetMode="External"/><Relationship Id="rId34" Type="http://schemas.openxmlformats.org/officeDocument/2006/relationships/hyperlink" Target="http://www.edenmagnet.com.au/story/4029702/cimic-faces-lawsuit-from-middle-east-partner/?cs=9" TargetMode="External"/><Relationship Id="rId55" Type="http://schemas.openxmlformats.org/officeDocument/2006/relationships/hyperlink" Target="http://www.elconfidencial.com/empresas/2013-09-08/cuanto-ha-costado-de-verdad-el-rescate-de-la-banca-100-000-millones-de-euros_25562/" TargetMode="External"/><Relationship Id="rId76" Type="http://schemas.openxmlformats.org/officeDocument/2006/relationships/hyperlink" Target="http://www.agenciatributaria.es/static_files/AEAT/Contenidos_Comunes/Ficheros/Informacion_Institucional/Campanias/Plan_de_prevencion_del_fraude/ppff.pdf" TargetMode="External"/><Relationship Id="rId97" Type="http://schemas.openxmlformats.org/officeDocument/2006/relationships/hyperlink" Target="http://www.eltriangle.eu/es/notices/2016/12/acciona-confiesa-que-tiene-40-filiales-radicadas-en-ocho-paraisos-fiscales-6969.php" TargetMode="External"/><Relationship Id="rId120" Type="http://schemas.openxmlformats.org/officeDocument/2006/relationships/hyperlink" Target="http://www.modaes.es/entorno/20161026/el-lobby-europeo-de-la-distribucion-de-moda-suma-a-desigual-a-sus-filas.html" TargetMode="External"/><Relationship Id="rId141" Type="http://schemas.openxmlformats.org/officeDocument/2006/relationships/hyperlink" Target="https://www.grifolsplasma.com/es/web/plasma/locations/find-a-donation-center" TargetMode="External"/><Relationship Id="rId358" Type="http://schemas.openxmlformats.org/officeDocument/2006/relationships/hyperlink" Target="http://economia.elpais.com/economia/2016/12/21/actualidad/1482307249_082586.html" TargetMode="External"/><Relationship Id="rId379" Type="http://schemas.openxmlformats.org/officeDocument/2006/relationships/hyperlink" Target="http://www.eldiario.es/economia/Gobierno-Aena-radicado-Islas-Caiman_0_349965739.html" TargetMode="External"/><Relationship Id="rId7" Type="http://schemas.openxmlformats.org/officeDocument/2006/relationships/hyperlink" Target="http://www.fiscalitatjusta.cat/zoneslliures/" TargetMode="External"/><Relationship Id="rId162" Type="http://schemas.openxmlformats.org/officeDocument/2006/relationships/hyperlink" Target="http://www.sat.gob.mx/administracion_sat/estudios_evasion_fiscal/Documents/InformeFinal19012012const.pdf" TargetMode="External"/><Relationship Id="rId183" Type="http://schemas.openxmlformats.org/officeDocument/2006/relationships/hyperlink" Target="http://www.transparency.org/cpi2015/" TargetMode="External"/><Relationship Id="rId218" Type="http://schemas.openxmlformats.org/officeDocument/2006/relationships/hyperlink" Target="http://www.smh.com.au/business/leighton-to-change-name-to-cimic-in-wake-of-corruption-allegations-20150320-1m40j3.html" TargetMode="External"/><Relationship Id="rId239" Type="http://schemas.openxmlformats.org/officeDocument/2006/relationships/hyperlink" Target="http://www.eleconomista.es/empresas-finanzas/noticias/6521002/03/15/Villar-Mir-tiene-en-Luxemburgo-cinco-firmas-con-activos-por-1100-millones.html" TargetMode="External"/><Relationship Id="rId390" Type="http://schemas.openxmlformats.org/officeDocument/2006/relationships/hyperlink" Target="http://www.eleconomista.es/empresas-finanzas/noticias/6873544/07/15/IAG-escruta-el-gasto-en-impuestos-ante-su-salto-al-paraiso-de-Irlanda-.html" TargetMode="External"/><Relationship Id="rId250" Type="http://schemas.openxmlformats.org/officeDocument/2006/relationships/hyperlink" Target="https://www.fosterswiss.com/2015/08/25/exencion-fiscal-en-gibraltar/" TargetMode="External"/><Relationship Id="rId271" Type="http://schemas.openxmlformats.org/officeDocument/2006/relationships/hyperlink" Target="http://www.bloomberg.com/research/stocks/private/snapshot.asp?privcapId=20506627" TargetMode="External"/><Relationship Id="rId292" Type="http://schemas.openxmlformats.org/officeDocument/2006/relationships/hyperlink" Target="http://www.vozpopuli.com/economia-y-finanzas/empresas/Iberdrola-Gamesa-Lobbys-Estados_Unidos-Barack_Obama_0_664133628.html" TargetMode="External"/><Relationship Id="rId306" Type="http://schemas.openxmlformats.org/officeDocument/2006/relationships/hyperlink" Target="http://www.bloomberg.com/apps/news?pid=newsarchive&amp;sid=a22uWetA9lWU" TargetMode="External"/><Relationship Id="rId24" Type="http://schemas.openxmlformats.org/officeDocument/2006/relationships/hyperlink" Target="http://www.europapress.es/internacional/noticia-portugal-agencias-tributarias-espana-portugal-firman-acuerdo-combatir-fraude-evasion-fiscal-20061102165258.html" TargetMode="External"/><Relationship Id="rId45" Type="http://schemas.openxmlformats.org/officeDocument/2006/relationships/hyperlink" Target="http://www.elconfidencial.com/economia/papeles-panama/2016-04-05/panama-papers-mossack-fonseca-santander-bbva-sabadell-clientes-cuentas_1178459/" TargetMode="External"/><Relationship Id="rId66" Type="http://schemas.openxmlformats.org/officeDocument/2006/relationships/hyperlink" Target="http://sabemos.es/2015/06/19/el-rescate-encubierto-a-caixabank-gracias-a-la-compra-de-banco-de-valencia_2983/" TargetMode="External"/><Relationship Id="rId87" Type="http://schemas.openxmlformats.org/officeDocument/2006/relationships/hyperlink" Target="http://www.delawareonline.com/story/opinion/contributors/2014/07/12/delaware-tax-haven-maybe/12551227/" TargetMode="External"/><Relationship Id="rId110" Type="http://schemas.openxmlformats.org/officeDocument/2006/relationships/hyperlink" Target="http://www.grupovillarmir.es/Divisiones/Concesiones,Construcci%C3%B3nyServicios/tabid/88/Default.aspx" TargetMode="External"/><Relationship Id="rId131" Type="http://schemas.openxmlformats.org/officeDocument/2006/relationships/hyperlink" Target="http://www.expansion.com/empresas/banca/2015/10/16/56213353268e3ef64e8b45f7.html" TargetMode="External"/><Relationship Id="rId327" Type="http://schemas.openxmlformats.org/officeDocument/2006/relationships/hyperlink" Target="http://www.expansion.com/empresas/banca/2016/10/17/5804a852468aeb782f8b45bb.html" TargetMode="External"/><Relationship Id="rId348" Type="http://schemas.openxmlformats.org/officeDocument/2006/relationships/hyperlink" Target="http://www.agenciatributaria.es/AEAT.internet/Inicio/Novedades/2015/Enero/23_01_2015_Informe_de_la_Direccion_General_de_Tributos__de_23_de_diciembre_de_2014__sobre_la_vigencia_de_la_lista_actual_de_p___la_Ley_26_2014.shtml" TargetMode="External"/><Relationship Id="rId369" Type="http://schemas.openxmlformats.org/officeDocument/2006/relationships/hyperlink" Target="https://www.abertis.com/media/general_meetings/2016/Cuentas%20anuales%20consolidadas%20abertis%202015_230216_Final.pdf" TargetMode="External"/><Relationship Id="rId152" Type="http://schemas.openxmlformats.org/officeDocument/2006/relationships/hyperlink" Target="http://www.economiadigital.es/gles/notices/2015/07/hacienda-pone-el-foco-sobre-inditex-con-inspecciones-del-iva-y-el-impuesto-de-sociedades-65405.php" TargetMode="External"/><Relationship Id="rId173" Type="http://schemas.openxmlformats.org/officeDocument/2006/relationships/hyperlink" Target="http://www.acciona.com/es/sostenibilidad/plan-director/" TargetMode="External"/><Relationship Id="rId194" Type="http://schemas.openxmlformats.org/officeDocument/2006/relationships/hyperlink" Target="http://www.expansion.com/empresas/inmobiliario/2015/03/30/55199b0c268e3ea0738b4571.html" TargetMode="External"/><Relationship Id="rId208" Type="http://schemas.openxmlformats.org/officeDocument/2006/relationships/hyperlink" Target="http://sabemos.es/2015/09/29/otro-proyecto-castor-murcia-investiga-por-que-florentino-perez-cobrara-600-millones-por-una-desaladora-inactiva_7258/" TargetMode="External"/><Relationship Id="rId229" Type="http://schemas.openxmlformats.org/officeDocument/2006/relationships/hyperlink" Target="http://soprweb.senate.gov/index.cfm?event=selectfields" TargetMode="External"/><Relationship Id="rId380" Type="http://schemas.openxmlformats.org/officeDocument/2006/relationships/hyperlink" Target="http://www.amadeus.com/web/amadeus/en_1A-corporate/Amadeus-Home/Change-Country/1319560218675-Page-AMAD_LocalWebsitesPpal" TargetMode="External"/><Relationship Id="rId240" Type="http://schemas.openxmlformats.org/officeDocument/2006/relationships/hyperlink" Target="http://www.eldiario.es/economia/Villar-Mir-CEO-OHL-Mauricio_0_576042961.html" TargetMode="External"/><Relationship Id="rId261" Type="http://schemas.openxmlformats.org/officeDocument/2006/relationships/hyperlink" Target="https://www.oilandgasmagazine.com.mx/2015/03/lucha-contra-la-corrupcion-en-el-sector-de-energia-de-mexico/" TargetMode="External"/><Relationship Id="rId14" Type="http://schemas.openxmlformats.org/officeDocument/2006/relationships/hyperlink" Target="http://ccaa.elpais.com/ccaa/2016/05/20/catalunya/1463738697_751252.html" TargetMode="External"/><Relationship Id="rId35" Type="http://schemas.openxmlformats.org/officeDocument/2006/relationships/hyperlink" Target="http://www.smh.com.au/business/leighton-to-change-name-to-cimic-in-wake-of-corruption-allegations-20150320-1m40j3.html" TargetMode="External"/><Relationship Id="rId56" Type="http://schemas.openxmlformats.org/officeDocument/2006/relationships/hyperlink" Target="http://www.elconfidencial.com/empresas/2014-12-14/no-es-solo-pwc-deloitte-e-y-y-kpmg-tambien-ayudan-a-las-empresas-a-eludir-impuestos_589746/" TargetMode="External"/><Relationship Id="rId77" Type="http://schemas.openxmlformats.org/officeDocument/2006/relationships/hyperlink" Target="http://www.google.es/url?sa=t&amp;rct=j&amp;q=&amp;esrc=s&amp;source=web&amp;cd=2&amp;cad=rja&amp;uact=8&amp;ved=0CCcQFjAB&amp;url=http%3A%2F%2Fwww.oecd.org%2Fdaf%2Finv%2Fmne%2FMNEguidelinesESPANOL.pdf&amp;ei=xXwrVdKYBon6PPPegLAP&amp;usg=AFQjCNHDeYVD1bvfKWyKQVrEQkt-xCVq8g&amp;bvm=bv.90491159,d.ZWU" TargetMode="External"/><Relationship Id="rId100" Type="http://schemas.openxmlformats.org/officeDocument/2006/relationships/hyperlink" Target="http://www.economiadigital.es/gles/notices/2016/05/la-constructora-de-amancio-ortega-es-lider-por-beneficios-en-galicia-74229.php" TargetMode="External"/><Relationship Id="rId282" Type="http://schemas.openxmlformats.org/officeDocument/2006/relationships/hyperlink" Target="http://www.transparency.org/cpi2015/" TargetMode="External"/><Relationship Id="rId317" Type="http://schemas.openxmlformats.org/officeDocument/2006/relationships/hyperlink" Target="https://opencorporates.com/companies/gi?q=BBVA" TargetMode="External"/><Relationship Id="rId338" Type="http://schemas.openxmlformats.org/officeDocument/2006/relationships/hyperlink" Target="http://www.ief.es/documentos/recursos/publicaciones/revistas/cuadernos_formacion/11_2010/33_10.pdf" TargetMode="External"/><Relationship Id="rId359" Type="http://schemas.openxmlformats.org/officeDocument/2006/relationships/hyperlink" Target="http://economia.elpais.com/economia/2014/10/13/actualidad/1413227302_641453.html" TargetMode="External"/><Relationship Id="rId8" Type="http://schemas.openxmlformats.org/officeDocument/2006/relationships/hyperlink" Target="http://acordem.org/descarrega/ada_bcn.jpg" TargetMode="External"/><Relationship Id="rId98" Type="http://schemas.openxmlformats.org/officeDocument/2006/relationships/hyperlink" Target="http://www.eltriangle.eu/es/notices/2016/12/acciona-confiesa-que-tiene-40-filiales-radicadas-en-ocho-paraisos-fiscales-6969.php" TargetMode="External"/><Relationship Id="rId121" Type="http://schemas.openxmlformats.org/officeDocument/2006/relationships/hyperlink" Target="https://www.trendencias.com/noticias-de-la-industria/en-que-se-estan-gastando-el-dinero-los-lobbies-de-la-moda-y-de-que-quieren-convencer-a-los-gobiernos" TargetMode="External"/><Relationship Id="rId142" Type="http://schemas.openxmlformats.org/officeDocument/2006/relationships/hyperlink" Target="https://www.grifols.com/es/web/sweden/view-news/-/new/grifols-official-opening-of-the-bioscience-division-new-worldwide-operations-facility-in-ireland" TargetMode="External"/><Relationship Id="rId163" Type="http://schemas.openxmlformats.org/officeDocument/2006/relationships/hyperlink" Target="http://www.europapress.es/internacional/noticia-portugal-agencias-tributarias-espana-portugal-firman-acuerdo-combatir-fraude-evasion-fiscal-20061102165258.html" TargetMode="External"/><Relationship Id="rId184" Type="http://schemas.openxmlformats.org/officeDocument/2006/relationships/hyperlink" Target="https://opencorporates.com/companies/us_ky/0847465" TargetMode="External"/><Relationship Id="rId219" Type="http://schemas.openxmlformats.org/officeDocument/2006/relationships/hyperlink" Target="http://en.protothema.gr/german-hochtiefs-tax-evasion-in-parliament/" TargetMode="External"/><Relationship Id="rId370" Type="http://schemas.openxmlformats.org/officeDocument/2006/relationships/hyperlink" Target="https://www.oecd.org/ctp/beps-resumenes-informes-finales-2015.pdf" TargetMode="External"/><Relationship Id="rId391" Type="http://schemas.openxmlformats.org/officeDocument/2006/relationships/hyperlink" Target="http://www.europapress.es/internacional/noticia-ue-bruselas-multa-800-millones-11-aerolineas-pactar-precios-servicios-carga-20101109183022.html" TargetMode="External"/><Relationship Id="rId230" Type="http://schemas.openxmlformats.org/officeDocument/2006/relationships/hyperlink" Target="http://www.ferrovial.com/wp-content/uploads/2014/06/Reglamento-del-Consejo-de-Administraci%C3%B3n-espa%C3%B1ol-04.05.2016.pdf" TargetMode="External"/><Relationship Id="rId251" Type="http://schemas.openxmlformats.org/officeDocument/2006/relationships/hyperlink" Target="http://www.expansion.com/2015/01/16/juridico/1421426363.html" TargetMode="External"/><Relationship Id="rId25" Type="http://schemas.openxmlformats.org/officeDocument/2006/relationships/hyperlink" Target="http://www.expansion.com/empresas/inmobiliario/2015/03/30/55199b0c268e3ea0738b4571.html" TargetMode="External"/><Relationship Id="rId46" Type="http://schemas.openxmlformats.org/officeDocument/2006/relationships/hyperlink" Target="http://www.elconfidencial.com/economia/papeles-panama/2016-04-11/papeles-panama-papers-ministro-soria-offshore-hermano_1179326/" TargetMode="External"/><Relationship Id="rId67" Type="http://schemas.openxmlformats.org/officeDocument/2006/relationships/hyperlink" Target="http://www.ara.cat/2015/03/05/1315148474.pdf?hash=4feddfc88194459d57d425cbd45e41b60a3a8e98" TargetMode="External"/><Relationship Id="rId272" Type="http://schemas.openxmlformats.org/officeDocument/2006/relationships/hyperlink" Target="http://www.lavanguardia.com/vida/20160727/403506969957/comunicado-international-endesa-bv-iebv-publica-el-informe-de-la-primera-mitad-de-2016.html" TargetMode="External"/><Relationship Id="rId293" Type="http://schemas.openxmlformats.org/officeDocument/2006/relationships/hyperlink" Target="http://www.sustainability-indices.com/images/DJSI_Review_Presentation_09_2014_final.pdf" TargetMode="External"/><Relationship Id="rId307" Type="http://schemas.openxmlformats.org/officeDocument/2006/relationships/hyperlink" Target="http://www.vozpopuli.com/actualidad/nacional/Mercedes_Alaya-UCO-Guardia_Civil-Caso_Enredadera-Fitonovo-juez_Mercedes_Alaya-Operacion_Enredadera-blanqueo-dinero_negro_0_757724273.html" TargetMode="External"/><Relationship Id="rId328" Type="http://schemas.openxmlformats.org/officeDocument/2006/relationships/hyperlink" Target="http://cincodias.com/cincodias/2016/12/01/mercados/1480602274_022078.html" TargetMode="External"/><Relationship Id="rId349" Type="http://schemas.openxmlformats.org/officeDocument/2006/relationships/hyperlink" Target="http://www.indracompany.com/es/indra/proyectos" TargetMode="External"/><Relationship Id="rId88" Type="http://schemas.openxmlformats.org/officeDocument/2006/relationships/hyperlink" Target="http://www.elconfidencial.com/empresas/2014-12-14/no-es-solo-pwc-deloitte-e-y-y-kpmg-tambien-ayudan-a-las-empresas-a-eludir-impuestos_589746/" TargetMode="External"/><Relationship Id="rId111" Type="http://schemas.openxmlformats.org/officeDocument/2006/relationships/hyperlink" Target="http://www.eldiario.es/economia/Villar-Mir-CEO-OHL-Mauricio_0_576042961.html" TargetMode="External"/><Relationship Id="rId132" Type="http://schemas.openxmlformats.org/officeDocument/2006/relationships/hyperlink" Target="http://www.elconfidencial.com/empresas/2015-09-16/la-union-europea-implica-a-bbva-en-un-caso-de-fraude-masivo-de-iva_1018401/" TargetMode="External"/><Relationship Id="rId153" Type="http://schemas.openxmlformats.org/officeDocument/2006/relationships/hyperlink" Target="http://www.elconfidencial.com/empresas/2015-04-06/hacienda-estrecha-el-cerchttp://www.elconfidencial.com/empresas/2015-04-06/hacienda-estrecha-el-cerco-sobre-inditex-en-su-cruzada-contra-las-grandes-empresas_752817/o-sobre-inditex-en-su-cruzada-contra-las-grandes-empresas_752817/" TargetMode="External"/><Relationship Id="rId174" Type="http://schemas.openxmlformats.org/officeDocument/2006/relationships/hyperlink" Target="http://pds2020.acciona.com/" TargetMode="External"/><Relationship Id="rId195" Type="http://schemas.openxmlformats.org/officeDocument/2006/relationships/hyperlink" Target="http://www.transparency.org/cpi2015/" TargetMode="External"/><Relationship Id="rId209" Type="http://schemas.openxmlformats.org/officeDocument/2006/relationships/hyperlink" Target="https://www.thepressproject.gr/article/67522/How-much-did-the-Hochtief-managed-Athens-airport-dodge-in-taxes--12-150-or-600-million" TargetMode="External"/><Relationship Id="rId360" Type="http://schemas.openxmlformats.org/officeDocument/2006/relationships/hyperlink" Target="http://www.obrasweb.mx/construccion/2012/03/16/evasion-fiscal-la-cruz-que-cargan-las-constructoras" TargetMode="External"/><Relationship Id="rId381" Type="http://schemas.openxmlformats.org/officeDocument/2006/relationships/hyperlink" Target="http://www.amadeus.com/web/amadeus/es_ES-ES/P%C3%A1gina-inicial-de-Amadeus/Qui%C3%A9nes-somos/Contacto/Oficinas-locales-de-Amadeus/1259071607076-Page-AMAD_LocalOfficesPpal" TargetMode="External"/><Relationship Id="rId220" Type="http://schemas.openxmlformats.org/officeDocument/2006/relationships/hyperlink" Target="http://www.diariodecadiz.es/cadiz/Policia-estima-millon-fraude-alumbrado_0_989301188.html" TargetMode="External"/><Relationship Id="rId241" Type="http://schemas.openxmlformats.org/officeDocument/2006/relationships/hyperlink" Target="http://www.obrasweb.mx/construccion/2012/03/16/evasion-fiscal-la-cruz-que-cargan-las-constructoras" TargetMode="External"/><Relationship Id="rId15" Type="http://schemas.openxmlformats.org/officeDocument/2006/relationships/hyperlink" Target="http://taxhavenfree.org/" TargetMode="External"/><Relationship Id="rId36" Type="http://schemas.openxmlformats.org/officeDocument/2006/relationships/hyperlink" Target="http://en.protothema.gr/german-hochtiefs-tax-evasion-in-parliament/" TargetMode="External"/><Relationship Id="rId57" Type="http://schemas.openxmlformats.org/officeDocument/2006/relationships/hyperlink" Target="http://www.cbc.ca/news/business/kpmg-documents-insider-1.3615582" TargetMode="External"/><Relationship Id="rId262" Type="http://schemas.openxmlformats.org/officeDocument/2006/relationships/hyperlink" Target="https://www.bizapedia.com/de/enagas-usa-llc.html" TargetMode="External"/><Relationship Id="rId283" Type="http://schemas.openxmlformats.org/officeDocument/2006/relationships/hyperlink" Target="http://www.smh.com.au/federal-politics/political-news/oil-and-gas-giants-to-face-parliamentary-inquiry-into-the-tax-and-royalties-they-pay-20161129-gszyob.html" TargetMode="External"/><Relationship Id="rId318" Type="http://schemas.openxmlformats.org/officeDocument/2006/relationships/hyperlink" Target="https://www.bbva.com/es/noticias/economia/sistema_financiero/fiscalidad/bbva-se-adelanta-a-la-normativa-en-transparencia-fiscal/" TargetMode="External"/><Relationship Id="rId339" Type="http://schemas.openxmlformats.org/officeDocument/2006/relationships/hyperlink" Target="http://www.inspectoresdehacienda.org/attachments/Documento26.pdf" TargetMode="External"/><Relationship Id="rId78" Type="http://schemas.openxmlformats.org/officeDocument/2006/relationships/hyperlink" Target="https://www.fosterswiss.com/2015/08/25/exencion-fiscal-en-gibraltar/" TargetMode="External"/><Relationship Id="rId99" Type="http://schemas.openxmlformats.org/officeDocument/2006/relationships/hyperlink" Target="http://www.economiadigital.es/es/notices/2016/01/aigues-de-catalunya-limited-la-empresa-con-matriz-en-cayman-y-bermuda-constituida-para-adquirir-atl-81416.php" TargetMode="External"/><Relationship Id="rId101" Type="http://schemas.openxmlformats.org/officeDocument/2006/relationships/hyperlink" Target="http://www.financialsecrecyindex.com/PDF/Germany.pdf" TargetMode="External"/><Relationship Id="rId122" Type="http://schemas.openxmlformats.org/officeDocument/2006/relationships/hyperlink" Target="http://ec.europa.eu/transparencyregister/public/consultation/displaylobbyist.do?id=824053621298-40" TargetMode="External"/><Relationship Id="rId143" Type="http://schemas.openxmlformats.org/officeDocument/2006/relationships/hyperlink" Target="http://www.lefties.com/es/util/empresa-c1119511.html" TargetMode="External"/><Relationship Id="rId164" Type="http://schemas.openxmlformats.org/officeDocument/2006/relationships/hyperlink" Target="http://www.expansion.com/empresas/inmobiliario/2015/03/30/55199b0c268e3ea0738b4571.html" TargetMode="External"/><Relationship Id="rId185" Type="http://schemas.openxmlformats.org/officeDocument/2006/relationships/hyperlink" Target="https://www.bizapedia.com/de/north-american-stainless-financial-investments-inc.html" TargetMode="External"/><Relationship Id="rId350" Type="http://schemas.openxmlformats.org/officeDocument/2006/relationships/hyperlink" Target="http://www.bez.es/288495568/El-negocio-de-las-fronteras-cuatro-empresas-espanolas-entre-las-principales-beneficiarias-de-la-UE.html" TargetMode="External"/><Relationship Id="rId371" Type="http://schemas.openxmlformats.org/officeDocument/2006/relationships/hyperlink" Target="http://www.amadeus.com/web/amadeus/en_1A-corporate/Amadeus-Home/Change-Country/1319560218675-Page-AMAD_LocalWebsitesPpal" TargetMode="External"/><Relationship Id="rId9" Type="http://schemas.openxmlformats.org/officeDocument/2006/relationships/hyperlink" Target="https://www.zaragoza.es/ciudad/noticias/detalle_Noticia?id=223848" TargetMode="External"/><Relationship Id="rId210" Type="http://schemas.openxmlformats.org/officeDocument/2006/relationships/hyperlink" Target="http://www.elconfidencial.com/espana/2016-01-12/empresas-de-acs-amanaban-contratos-publicos-en-cadiz-bajo-el-mandato-del-pp_1133944/" TargetMode="External"/><Relationship Id="rId26" Type="http://schemas.openxmlformats.org/officeDocument/2006/relationships/hyperlink" Target="http://www.transparency.org/cpi2015/" TargetMode="External"/><Relationship Id="rId231" Type="http://schemas.openxmlformats.org/officeDocument/2006/relationships/hyperlink" Target="http://www.agenciatributaria.es/static_files/AEAT/Contenidos_Comunes/Ficheros/Informacion_Institucional/Campanias/Plan_de_prevencion_del_fraude/ppff.pdf" TargetMode="External"/><Relationship Id="rId252" Type="http://schemas.openxmlformats.org/officeDocument/2006/relationships/hyperlink" Target="http://www.elconfidencial.com/empresas/2014-11-18/sacyr-entra-en-estados-unidos-con-su-constructora-aliado-con-manhattan-group_482157/" TargetMode="External"/><Relationship Id="rId273" Type="http://schemas.openxmlformats.org/officeDocument/2006/relationships/hyperlink" Target="https://www.endesa.com/content/dam/enel-en/home/inversores/rentafijayrating/fixedincome/documents/IE-BV-Annual-Report-2014_AFM.PDF" TargetMode="External"/><Relationship Id="rId294" Type="http://schemas.openxmlformats.org/officeDocument/2006/relationships/hyperlink" Target="http://www.ftse.com/products/downloads/F4G-Index-Inclusion-Rules.pdf" TargetMode="External"/><Relationship Id="rId308" Type="http://schemas.openxmlformats.org/officeDocument/2006/relationships/hyperlink" Target="http://www.vozpopuli.com/economia-y-finanzas/empresas/Bankia-lista_Falciani-Banco_Sabadell-Santander-Bankinter-bancos-registro-sede-policia-udef_0_922707816.html" TargetMode="External"/><Relationship Id="rId329" Type="http://schemas.openxmlformats.org/officeDocument/2006/relationships/hyperlink" Target="http://www.elconfidencial.com/empresas/2016-12-04/el-popular-financiaba-a-clientes-vips-a-cambio-de-comprar-acciones-a-credito_1298947/" TargetMode="External"/><Relationship Id="rId47" Type="http://schemas.openxmlformats.org/officeDocument/2006/relationships/hyperlink" Target="http://www.eldiario.es/economia/caso-BBV-Privanza-acabo_0_505350505.html" TargetMode="External"/><Relationship Id="rId68" Type="http://schemas.openxmlformats.org/officeDocument/2006/relationships/hyperlink" Target="http://www.abc.es/economia/20150411/abci-creditos-fiscales-201504102155.html" TargetMode="External"/><Relationship Id="rId89" Type="http://schemas.openxmlformats.org/officeDocument/2006/relationships/hyperlink" Target="http://www.elconfidencial.com/empresas/2014-12-14/guia-rapida-para-no-perderse-en-los-papeles-de-luxleaks_590143/" TargetMode="External"/><Relationship Id="rId112" Type="http://schemas.openxmlformats.org/officeDocument/2006/relationships/hyperlink" Target="http://www.inspectoresdehacienda.org/attachments/Documento26.pdf" TargetMode="External"/><Relationship Id="rId133" Type="http://schemas.openxmlformats.org/officeDocument/2006/relationships/hyperlink" Target="http://www.economiadigital.es/gles/notices/2015/07/hacienda-pone-el-foco-sobre-inditex-con-inspecciones-del-iva-y-el-impuesto-de-sociedades-65405.php" TargetMode="External"/><Relationship Id="rId154" Type="http://schemas.openxmlformats.org/officeDocument/2006/relationships/hyperlink" Target="http://www.modaes.es/entorno/20161026/el-lobby-europeo-de-la-distribucion-de-moda-suma-a-desigual-a-sus-filas.html" TargetMode="External"/><Relationship Id="rId175" Type="http://schemas.openxmlformats.org/officeDocument/2006/relationships/hyperlink" Target="http://www.sustainability-indices.com/images/DJSI_Review_Presentation_09_2014_final.pdf" TargetMode="External"/><Relationship Id="rId340" Type="http://schemas.openxmlformats.org/officeDocument/2006/relationships/hyperlink" Target="http://www.elconfidencial.com/empresas/2015-04-08/bankia-abanca-bmn-sabadell-liberbank-y-caixa-incumplirian-los-minimos-de-solvencia-sin-creditos-fiscales_755193/" TargetMode="External"/><Relationship Id="rId361" Type="http://schemas.openxmlformats.org/officeDocument/2006/relationships/hyperlink" Target="http://www.sat.gob.mx/administracion_sat/estudios_evasion_fiscal/Documents/InformeFinal19012012const.pdf" TargetMode="External"/><Relationship Id="rId196" Type="http://schemas.openxmlformats.org/officeDocument/2006/relationships/hyperlink" Target="http://www.agenciatributaria.es/static_files/AEAT/Contenidos_Comunes/Ficheros/Informacion_Institucional/Campanias/Plan_de_prevencion_del_fraude/ppff.pdf" TargetMode="External"/><Relationship Id="rId200" Type="http://schemas.openxmlformats.org/officeDocument/2006/relationships/hyperlink" Target="http://www.agenciatributaria.es/static_files/AEAT/Contenidos_Comunes/Ficheros/Informacion_Institucional/Campanias/Plan_de_prevencion_del_fraude/ppff.pdf" TargetMode="External"/><Relationship Id="rId382" Type="http://schemas.openxmlformats.org/officeDocument/2006/relationships/hyperlink" Target="http://www.sustainability-indices.com/images/DJSI_Review_Presentation_09_2014_final.pdf" TargetMode="External"/><Relationship Id="rId16" Type="http://schemas.openxmlformats.org/officeDocument/2006/relationships/hyperlink" Target="http://taxhavenfree.org/france/" TargetMode="External"/><Relationship Id="rId221" Type="http://schemas.openxmlformats.org/officeDocument/2006/relationships/hyperlink" Target="http://www.lne.es/espana/2015/10/21/detenido-tesorero-cdc-trama-3/1829978.html" TargetMode="External"/><Relationship Id="rId242" Type="http://schemas.openxmlformats.org/officeDocument/2006/relationships/hyperlink" Target="http://www.sat.gob.mx/administracion_sat/estudios_evasion_fiscal/Documents/InformeFinal19012012const.pdf" TargetMode="External"/><Relationship Id="rId263" Type="http://schemas.openxmlformats.org/officeDocument/2006/relationships/hyperlink" Target="https://opencorporates.com/companies/us_de/5880735" TargetMode="External"/><Relationship Id="rId284" Type="http://schemas.openxmlformats.org/officeDocument/2006/relationships/hyperlink" Target="http://www.sustainability-indices.com/images/DJSI_Review_Presentation_09_2014_final.pdf" TargetMode="External"/><Relationship Id="rId319" Type="http://schemas.openxmlformats.org/officeDocument/2006/relationships/hyperlink" Target="http://www.lacelosia.com/canete-desvela-sus-proximos-encuentros-con-altos-cargos-del-bbva-y-anfac/" TargetMode="External"/><Relationship Id="rId37" Type="http://schemas.openxmlformats.org/officeDocument/2006/relationships/hyperlink" Target="http://www.diariodecadiz.es/cadiz/Policia-estima-millon-fraude-alumbrado_0_989301188.html" TargetMode="External"/><Relationship Id="rId58" Type="http://schemas.openxmlformats.org/officeDocument/2006/relationships/hyperlink" Target="http://www.expansion.com/economia/2015/11/03/56391e32ca4741bd788b45e8.html" TargetMode="External"/><Relationship Id="rId79" Type="http://schemas.openxmlformats.org/officeDocument/2006/relationships/hyperlink" Target="http://www.expansion.com/2015/01/16/juridico/1421426363.html" TargetMode="External"/><Relationship Id="rId102" Type="http://schemas.openxmlformats.org/officeDocument/2006/relationships/hyperlink" Target="https://www.repsol.com/es_es/corporacion/responsabilidad-corporativa/nuestros-compromisos/fiscalidad/paraisos-fiscales/" TargetMode="External"/><Relationship Id="rId123" Type="http://schemas.openxmlformats.org/officeDocument/2006/relationships/hyperlink" Target="http://www.lacelosia.com/canete-desvela-sus-proximos-encuentros-con-altos-cargos-del-bbva-y-anfac/" TargetMode="External"/><Relationship Id="rId144" Type="http://schemas.openxmlformats.org/officeDocument/2006/relationships/hyperlink" Target="http://www.agenciatributaria.es/AEAT.internet/Inicio/Novedades/2015/Enero/23_01_2015_Informe_de_la_Direccion_General_de_Tributos__de_23_de_diciembre_de_2014__sobre_la_vigencia_de_la_lista_actual_de_p___la_Ley_26_2014.shtml" TargetMode="External"/><Relationship Id="rId330" Type="http://schemas.openxmlformats.org/officeDocument/2006/relationships/hyperlink" Target="http://www.elconfidencial.com/empresas/2016-09-22/banco-santander-sociedades-bahamas-botin_1263600/" TargetMode="External"/><Relationship Id="rId90" Type="http://schemas.openxmlformats.org/officeDocument/2006/relationships/hyperlink" Target="http://www.elconfidencial.com/empresas/2014-12-10/amadeus-los-fondos-no-tributaron-por-el-pelotazo-de-1-600-millones-en-la-opv_552950/" TargetMode="External"/><Relationship Id="rId165" Type="http://schemas.openxmlformats.org/officeDocument/2006/relationships/hyperlink" Target="http://www.transparency.org/cpi2015/" TargetMode="External"/><Relationship Id="rId186" Type="http://schemas.openxmlformats.org/officeDocument/2006/relationships/hyperlink" Target="http://www.agenciatributaria.es/static_files/AEAT/Contenidos_Comunes/Ficheros/Informacion_Institucional/Campanias/Plan_de_prevencion_del_fraude/ppff.pdf" TargetMode="External"/><Relationship Id="rId351" Type="http://schemas.openxmlformats.org/officeDocument/2006/relationships/hyperlink" Target="http://ec.europa.eu/transparencyregister/public/consultation/displaylobbyist.do?id=208351410839-33" TargetMode="External"/><Relationship Id="rId372" Type="http://schemas.openxmlformats.org/officeDocument/2006/relationships/hyperlink" Target="http://www.amadeus.com/web/amadeus/es_ES-ES/P%C3%A1gina-inicial-de-Amadeus/Qui%C3%A9nes-somos/Contacto/Oficinas-locales-de-Amadeus/1259071607076-Page-AMAD_LocalOfficesPpal" TargetMode="External"/><Relationship Id="rId211" Type="http://schemas.openxmlformats.org/officeDocument/2006/relationships/hyperlink" Target="http://economia.elpais.com/economia/2015/12/14/actualidad/1450111008_698606.html" TargetMode="External"/><Relationship Id="rId232" Type="http://schemas.openxmlformats.org/officeDocument/2006/relationships/hyperlink" Target="http://www.obrasweb.mx/construccion/2012/03/16/evasion-fiscal-la-cruz-que-cargan-las-constructoras" TargetMode="External"/><Relationship Id="rId253" Type="http://schemas.openxmlformats.org/officeDocument/2006/relationships/hyperlink" Target="https://www.fosterswiss.com/2016/01/19/ventajas-fiscales-de-delaware/" TargetMode="External"/><Relationship Id="rId274" Type="http://schemas.openxmlformats.org/officeDocument/2006/relationships/hyperlink" Target="https://opencorporates.com/companies/us_de/3626949" TargetMode="External"/><Relationship Id="rId295" Type="http://schemas.openxmlformats.org/officeDocument/2006/relationships/hyperlink" Target="https://www.repsol.com/es_es/corporacion/responsabilidad-corporativa/nuestros-compromisos/fiscalidad/paraisos-fiscales/" TargetMode="External"/><Relationship Id="rId309" Type="http://schemas.openxmlformats.org/officeDocument/2006/relationships/hyperlink" Target="http://www.elconfidencial.com/empresas/2013-09-21/la-moral-de-jaime-botin_30518/" TargetMode="External"/><Relationship Id="rId27" Type="http://schemas.openxmlformats.org/officeDocument/2006/relationships/hyperlink" Target="http://www.elconfidencial.com/espana/2016-01-12/empresas-de-acs-amanaban-contratos-publicos-en-cadiz-bajo-el-mandato-del-pp_1133944/" TargetMode="External"/><Relationship Id="rId48" Type="http://schemas.openxmlformats.org/officeDocument/2006/relationships/hyperlink" Target="http://www.elconfidencial.com/espana/2016-06-04/lista-falciani-salpica-santander-an-investiga-blanqueo-fondos-hsbc_1211513/" TargetMode="External"/><Relationship Id="rId69" Type="http://schemas.openxmlformats.org/officeDocument/2006/relationships/hyperlink" Target="http://economia.elpais.com/economia/2016/12/21/actualidad/1482307249_082586.html" TargetMode="External"/><Relationship Id="rId113" Type="http://schemas.openxmlformats.org/officeDocument/2006/relationships/hyperlink" Target="http://www.euroabs.com/OpenIssueAccess.aspx?issueid=8810" TargetMode="External"/><Relationship Id="rId134" Type="http://schemas.openxmlformats.org/officeDocument/2006/relationships/hyperlink" Target="http://www.elconfidencial.com/empresas/2015-04-06/hacienda-estrecha-el-cerchttp://www.elconfidencial.com/empresas/2015-04-06/hacienda-estrecha-el-cerco-sobre-inditex-en-su-cruzada-contra-las-grandes-empresas_752817/o-sobre-inditex-en-su-cruzada-contra-las-grandes-empresas_752817/" TargetMode="External"/><Relationship Id="rId320" Type="http://schemas.openxmlformats.org/officeDocument/2006/relationships/hyperlink" Target="http://www.expansion.com/empresas/banca/2015/03/25/551314f9e2704e3e6f8b4570.html" TargetMode="External"/><Relationship Id="rId80" Type="http://schemas.openxmlformats.org/officeDocument/2006/relationships/hyperlink" Target="http://www.nytimes.com/2012/07/01/business/how-delaware-thrives-as-a-corporate-tax-haven.html?pagewanted=all&amp;_r=0" TargetMode="External"/><Relationship Id="rId155" Type="http://schemas.openxmlformats.org/officeDocument/2006/relationships/hyperlink" Target="https://www.trendencias.com/noticias-de-la-industria/en-que-se-estan-gastando-el-dinero-los-lobbies-de-la-moda-y-de-que-quieren-convencer-a-los-gobiernos" TargetMode="External"/><Relationship Id="rId176" Type="http://schemas.openxmlformats.org/officeDocument/2006/relationships/hyperlink" Target="http://www.ftse.com/products/downloads/F4G-Index-Inclusion-Rules.pdf" TargetMode="External"/><Relationship Id="rId197" Type="http://schemas.openxmlformats.org/officeDocument/2006/relationships/hyperlink" Target="http://www.sustainability-indices.com/images/DJSI_Review_Presentation_09_2014_final.pdf" TargetMode="External"/><Relationship Id="rId341" Type="http://schemas.openxmlformats.org/officeDocument/2006/relationships/hyperlink" Target="http://www.fedea.net/" TargetMode="External"/><Relationship Id="rId362" Type="http://schemas.openxmlformats.org/officeDocument/2006/relationships/hyperlink" Target="http://www.europapress.es/internacional/noticia-portugal-agencias-tributarias-espana-portugal-firman-acuerdo-combatir-fraude-evasion-fiscal-20061102165258.html" TargetMode="External"/><Relationship Id="rId383" Type="http://schemas.openxmlformats.org/officeDocument/2006/relationships/hyperlink" Target="http://www.ftse.com/products/downloads/F4G-Index-Inclusion-Rules.pdf" TargetMode="External"/><Relationship Id="rId201" Type="http://schemas.openxmlformats.org/officeDocument/2006/relationships/hyperlink" Target="http://www.grupoacs.com/ficheros_editor/File/05_responsabilidad_corporativa/1-2-Analisis%20de%20rentabilidad/anexo_13_1_esp.pdf" TargetMode="External"/><Relationship Id="rId222" Type="http://schemas.openxmlformats.org/officeDocument/2006/relationships/hyperlink" Target="http://www.elconfidencial.com/espana/2015-04-29/florentino-perez-reconoce-que-pago-300-000-euros-a-la-trama-punica_785225/" TargetMode="External"/><Relationship Id="rId243" Type="http://schemas.openxmlformats.org/officeDocument/2006/relationships/hyperlink" Target="http://www.europapress.es/internacional/noticia-portugal-agencias-tributarias-espana-portugal-firman-acuerdo-combatir-fraude-evasion-fiscal-20061102165258.html" TargetMode="External"/><Relationship Id="rId264" Type="http://schemas.openxmlformats.org/officeDocument/2006/relationships/hyperlink" Target="https://www.bizapedia.com/tx/enagas-usa-llc.html" TargetMode="External"/><Relationship Id="rId285" Type="http://schemas.openxmlformats.org/officeDocument/2006/relationships/hyperlink" Target="http://www.ftse.com/products/downloads/F4G-Index-Inclusion-Rules.pdf" TargetMode="External"/><Relationship Id="rId17" Type="http://schemas.openxmlformats.org/officeDocument/2006/relationships/hyperlink" Target="http://www.agenciatributaria.es/static_files/AEAT/Contenidos_Comunes/Ficheros/Informacion_Institucional/Campanias/Plan_de_prevencion_del_fraude/ppff.pdf" TargetMode="External"/><Relationship Id="rId38" Type="http://schemas.openxmlformats.org/officeDocument/2006/relationships/hyperlink" Target="http://www.lne.es/espana/2015/10/21/detenido-tesorero-cdc-trama-3/1829978.html" TargetMode="External"/><Relationship Id="rId59" Type="http://schemas.openxmlformats.org/officeDocument/2006/relationships/hyperlink" Target="https://accionistaseinversores.bbva.com/TLBB/fbinir/mult/CuentasAnualesInformedeGestioneInformedeauditoriaGrupo2014_tcm926-510404.pdf" TargetMode="External"/><Relationship Id="rId103" Type="http://schemas.openxmlformats.org/officeDocument/2006/relationships/hyperlink" Target="http://www.observatoriorli.org/docs/PAISES_BAJOS/FISCALIDAD_Paises_Bajos.pdf" TargetMode="External"/><Relationship Id="rId124" Type="http://schemas.openxmlformats.org/officeDocument/2006/relationships/hyperlink" Target="http://www.expansion.com/empresas/banca/2015/03/25/551314f9e2704e3e6f8b4570.html" TargetMode="External"/><Relationship Id="rId310" Type="http://schemas.openxmlformats.org/officeDocument/2006/relationships/hyperlink" Target="http://www.eldiario.es/economia/Acusan-Jaime-Botin-impuestos-privados_0_309719962.html" TargetMode="External"/><Relationship Id="rId70" Type="http://schemas.openxmlformats.org/officeDocument/2006/relationships/hyperlink" Target="http://economia.elpais.com/economia/2014/10/13/actualidad/1413227302_641453.html" TargetMode="External"/><Relationship Id="rId91" Type="http://schemas.openxmlformats.org/officeDocument/2006/relationships/hyperlink" Target="http://www.eleconomista.es/economia/noticias/6221631/11/14/Luxemburgo-un-paraiso-de-elusion-fiscal-dentro-de-la-UE-casi-350-multinacionales-afincadas.html" TargetMode="External"/><Relationship Id="rId145" Type="http://schemas.openxmlformats.org/officeDocument/2006/relationships/hyperlink" Target="http://www.financialsecrecyindex.com/PDF/Germany.pdf" TargetMode="External"/><Relationship Id="rId166" Type="http://schemas.openxmlformats.org/officeDocument/2006/relationships/hyperlink" Target="http://www.agenciatributaria.es/static_files/AEAT/Contenidos_Comunes/Ficheros/Informacion_Institucional/Campanias/Plan_de_prevencion_del_fraude/ppff.pdf" TargetMode="External"/><Relationship Id="rId187" Type="http://schemas.openxmlformats.org/officeDocument/2006/relationships/hyperlink" Target="http://www.oecd.org/ctp/estrategia-fortalecimiento-paises-en-desarrollo.pdf" TargetMode="External"/><Relationship Id="rId331" Type="http://schemas.openxmlformats.org/officeDocument/2006/relationships/hyperlink" Target="%20http://www.fedea.net/" TargetMode="External"/><Relationship Id="rId352" Type="http://schemas.openxmlformats.org/officeDocument/2006/relationships/hyperlink" Target="http://www.google.es/url?sa=t&amp;rct=j&amp;q=&amp;esrc=s&amp;source=web&amp;cd=2&amp;cad=rja&amp;uact=8&amp;ved=0CCcQFjAB&amp;url=http%3A%2F%2Fwww.oecd.org%2Fdaf%2Finv%2Fmne%2FMNEguidelinesESPANOL.pdf&amp;ei=xXwrVdKYBon6PPPegLAP&amp;usg=AFQjCNHDeYVD1bvfKWyKQVrEQkt-xCVq8g&amp;bvm=bv.90491159,d.ZWU" TargetMode="External"/><Relationship Id="rId373" Type="http://schemas.openxmlformats.org/officeDocument/2006/relationships/hyperlink" Target="http://fly-news.es/aeropuertos/el-sindicato-csif-pide-la-apertura-de-una-comision-de-investigacion-sobre-la-privatizacion-de-aena/" TargetMode="External"/><Relationship Id="rId1" Type="http://schemas.openxmlformats.org/officeDocument/2006/relationships/hyperlink" Target="http://daccess-ods.un.org/access.nsf/Get?Open&amp;DS=A/HRC/26/28&amp;Lang=S" TargetMode="External"/><Relationship Id="rId212" Type="http://schemas.openxmlformats.org/officeDocument/2006/relationships/hyperlink" Target="http://www.eldiario.es/economia/Tecnicas-Reunidas-ACS-salpicadas-industria_0_514449474.html" TargetMode="External"/><Relationship Id="rId233" Type="http://schemas.openxmlformats.org/officeDocument/2006/relationships/hyperlink" Target="http://www.sat.gob.mx/administracion_sat/estudios_evasion_fiscal/Documents/InformeFinal19012012const.pdf" TargetMode="External"/><Relationship Id="rId254" Type="http://schemas.openxmlformats.org/officeDocument/2006/relationships/hyperlink" Target="http://www.publico.es/politica/senores-del-ladrillo-implicados-grandes.html" TargetMode="External"/><Relationship Id="rId28" Type="http://schemas.openxmlformats.org/officeDocument/2006/relationships/hyperlink" Target="http://economia.elpais.com/economia/2015/12/14/actualidad/1450111008_698606.html" TargetMode="External"/><Relationship Id="rId49" Type="http://schemas.openxmlformats.org/officeDocument/2006/relationships/hyperlink" Target="http://www.elconfidencial.com/empresas/2016-06-03/banco-santander-registro-hsbc-blanqueo-dinero_1211006/" TargetMode="External"/><Relationship Id="rId114" Type="http://schemas.openxmlformats.org/officeDocument/2006/relationships/hyperlink" Target="http://www.bloomberg.com/apps/news?pid=newsarchive&amp;sid=a22uWetA9lWU" TargetMode="External"/><Relationship Id="rId275" Type="http://schemas.openxmlformats.org/officeDocument/2006/relationships/hyperlink" Target="https://www.endesa.com/content/dam/enel-es/home/inversores/infoeconomicafinanciera/resultadosfinancieros/documentos/2016/1T%202016%20Informe%20Gesti%C3%B3n%20Consolidado.pdf" TargetMode="External"/><Relationship Id="rId296" Type="http://schemas.openxmlformats.org/officeDocument/2006/relationships/hyperlink" Target="https://www.repsol.com/es_es/corporacion/responsabilidad-corporativa/nuestros-compromisos/fiscalidad/estrategia/default.aspx" TargetMode="External"/><Relationship Id="rId300" Type="http://schemas.openxmlformats.org/officeDocument/2006/relationships/hyperlink" Target="http://www.agenciatributaria.es/static_files/AEAT/Contenidos_Comunes/Ficheros/Informacion_Institucional/Campanias/Plan_de_prevencion_del_fraude/ppff.pdf" TargetMode="External"/><Relationship Id="rId60" Type="http://schemas.openxmlformats.org/officeDocument/2006/relationships/hyperlink" Target="http://www.economiadigital.es/gles/notices/2015/04/inditex-suma-ya-15-sociedades-de-cartera-en-las-plazas-off-shore-de-amsterdam-y-friburgo-61144.php" TargetMode="External"/><Relationship Id="rId81" Type="http://schemas.openxmlformats.org/officeDocument/2006/relationships/hyperlink" Target="http://www.elconfidencial.com/empresas/2014-11-18/sacyr-entra-en-estados-unidos-con-su-constructora-aliado-con-manhattan-group_482157/" TargetMode="External"/><Relationship Id="rId135" Type="http://schemas.openxmlformats.org/officeDocument/2006/relationships/hyperlink" Target="http://www.elconfidencial.com/empresas/2016-05-06/florentino-perez-costes-cierre-castor_1194978/" TargetMode="External"/><Relationship Id="rId156" Type="http://schemas.openxmlformats.org/officeDocument/2006/relationships/hyperlink" Target="http://www.economiadigital.es/gles/notices/2016/05/la-constructora-de-amancio-ortega-es-lider-por-beneficios-en-galicia-74229.php" TargetMode="External"/><Relationship Id="rId177" Type="http://schemas.openxmlformats.org/officeDocument/2006/relationships/hyperlink" Target="http://cincodias.com/cincodias/2015/02/19/empresas/1424376289_923285.html" TargetMode="External"/><Relationship Id="rId198" Type="http://schemas.openxmlformats.org/officeDocument/2006/relationships/hyperlink" Target="http://www.ftse.com/products/downloads/F4G-Index-Inclusion-Rules.pdf" TargetMode="External"/><Relationship Id="rId321" Type="http://schemas.openxmlformats.org/officeDocument/2006/relationships/hyperlink" Target="http://www.fedea.net/" TargetMode="External"/><Relationship Id="rId342" Type="http://schemas.openxmlformats.org/officeDocument/2006/relationships/hyperlink" Target="https://www.boe.es/diario_boe/txt.php?id=BOE-A-2009-17000" TargetMode="External"/><Relationship Id="rId363" Type="http://schemas.openxmlformats.org/officeDocument/2006/relationships/hyperlink" Target="http://www.transparency.org/cpi2015/" TargetMode="External"/><Relationship Id="rId384" Type="http://schemas.openxmlformats.org/officeDocument/2006/relationships/hyperlink" Target="http://www.agenciatributaria.es/static_files/AEAT/Contenidos_Comunes/Ficheros/Informacion_Institucional/Campanias/Plan_de_prevencion_del_fraude/ppff.pdf" TargetMode="External"/><Relationship Id="rId202" Type="http://schemas.openxmlformats.org/officeDocument/2006/relationships/hyperlink" Target="http://www.elconfidencial.com/empresas/2016-05-06/florentino-perez-costes-cierre-castor_1194978/" TargetMode="External"/><Relationship Id="rId223" Type="http://schemas.openxmlformats.org/officeDocument/2006/relationships/hyperlink" Target="http://www.laopiniondemurcia.es/comunidad/2016/02/10/fiscal-aprecia-indicios-malversacion-falsedad/712811.html" TargetMode="External"/><Relationship Id="rId244" Type="http://schemas.openxmlformats.org/officeDocument/2006/relationships/hyperlink" Target="http://www.expansion.com/empresas/inmobiliario/2015/03/30/55199b0c268e3ea0738b4571.html" TargetMode="External"/><Relationship Id="rId18" Type="http://schemas.openxmlformats.org/officeDocument/2006/relationships/hyperlink" Target="https://www.boe.es/diario_boe/txt.php?id=BOE-A-2014-12589" TargetMode="External"/><Relationship Id="rId39" Type="http://schemas.openxmlformats.org/officeDocument/2006/relationships/hyperlink" Target="http://www.elconfidencial.com/espana/2015-04-29/florentino-perez-reconoce-que-pago-300-000-euros-a-la-trama-punica_785225/" TargetMode="External"/><Relationship Id="rId265" Type="http://schemas.openxmlformats.org/officeDocument/2006/relationships/hyperlink" Target="http://www.agenciatributaria.es/static_files/AEAT/Contenidos_Comunes/Ficheros/Informacion_Institucional/Campanias/Plan_de_prevencion_del_fraude/ppff.pdf" TargetMode="External"/><Relationship Id="rId286" Type="http://schemas.openxmlformats.org/officeDocument/2006/relationships/hyperlink" Target="http://epoca1.valenciaplaza.com/ver/164219/gas-natural-fenosa-es-reconocida-como-lider-mundial-en-el-sector--utilities-.html" TargetMode="External"/><Relationship Id="rId50" Type="http://schemas.openxmlformats.org/officeDocument/2006/relationships/hyperlink" Target="http://www.elconfidencial.com/empresas/2016-09-22/banco-santander-sociedades-bahamas-botin_1263600/" TargetMode="External"/><Relationship Id="rId104" Type="http://schemas.openxmlformats.org/officeDocument/2006/relationships/hyperlink" Target="https://opencorporates.com/companies/us_de/3626949" TargetMode="External"/><Relationship Id="rId125" Type="http://schemas.openxmlformats.org/officeDocument/2006/relationships/hyperlink" Target="http://www.fedea.net/" TargetMode="External"/><Relationship Id="rId146" Type="http://schemas.openxmlformats.org/officeDocument/2006/relationships/hyperlink" Target="http://www.elespanol.com/enfoques/20151017/72242776_0.html" TargetMode="External"/><Relationship Id="rId167" Type="http://schemas.openxmlformats.org/officeDocument/2006/relationships/hyperlink" Target="http://www.cbsnews.com/news/report-big-business-no-stranger-to-offshore-tax-havens/" TargetMode="External"/><Relationship Id="rId188" Type="http://schemas.openxmlformats.org/officeDocument/2006/relationships/hyperlink" Target="http://www.nytimes.com/2012/08/15/business/spanish-construction-rivals-battle-on-new-york-turf.html" TargetMode="External"/><Relationship Id="rId311" Type="http://schemas.openxmlformats.org/officeDocument/2006/relationships/hyperlink" Target="http://www.elconfidencial.com/economia/papeles-panama/2016-04-05/panama-papers-mossack-fonseca-santander-bbva-sabadell-clientes-cuentas_1178459/" TargetMode="External"/><Relationship Id="rId332" Type="http://schemas.openxmlformats.org/officeDocument/2006/relationships/hyperlink" Target="http://www.inspectoresdehacienda.org/attachments/Documento26.pdf" TargetMode="External"/><Relationship Id="rId353" Type="http://schemas.openxmlformats.org/officeDocument/2006/relationships/hyperlink" Target="https://www.sec.gov/Archives/edgar/data/1127866/000119312506078410/dex81.htm" TargetMode="External"/><Relationship Id="rId374" Type="http://schemas.openxmlformats.org/officeDocument/2006/relationships/hyperlink" Target="http://www.publico.es/politica/guindos-salpicado-trama-punica.html" TargetMode="External"/><Relationship Id="rId71" Type="http://schemas.openxmlformats.org/officeDocument/2006/relationships/hyperlink" Target="http://www.agenciatributaria.es/static_files/AEAT/Estudios/Estadisticas/Informes_Estadisticos/Informes_Anuales_de_Recaudacion_Tributaria/Ejercicio_2015/IART15.pdf" TargetMode="External"/><Relationship Id="rId92" Type="http://schemas.openxmlformats.org/officeDocument/2006/relationships/hyperlink" Target="http://internacional.elpais.com/internacional/2014/11/07/actualidad/1415392696_437334.html" TargetMode="External"/><Relationship Id="rId213" Type="http://schemas.openxmlformats.org/officeDocument/2006/relationships/hyperlink" Target="http://consalud.es/comunidades-autonomas/el-juez-de-son-espases-investiga-la-trama-de-corrupcion-de-acs-en-cadiz--23727" TargetMode="External"/><Relationship Id="rId234" Type="http://schemas.openxmlformats.org/officeDocument/2006/relationships/hyperlink" Target="http://www.europapress.es/internacional/noticia-portugal-agencias-tributarias-espana-portugal-firman-acuerdo-combatir-fraude-evasion-fiscal-20061102165258.html" TargetMode="External"/><Relationship Id="rId2" Type="http://schemas.openxmlformats.org/officeDocument/2006/relationships/hyperlink" Target="http://www.ibanet.org/Article/Detail.aspx?ArticleUid=4A0CF930-A0D1-4784-8D09-F588DCDDFEA4" TargetMode="External"/><Relationship Id="rId29" Type="http://schemas.openxmlformats.org/officeDocument/2006/relationships/hyperlink" Target="http://www.eldiario.es/economia/Tecnicas-Reunidas-ACS-salpicadas-industria_0_514449474.html" TargetMode="External"/><Relationship Id="rId255" Type="http://schemas.openxmlformats.org/officeDocument/2006/relationships/hyperlink" Target="http://www.elconfidencial.com/empresas/2015-01-26/la-cnmc-desmonta-el-cartel-de-la-basura-formado-por-acs-fcc-ferrovial-y-sacyr_630163/" TargetMode="External"/><Relationship Id="rId276" Type="http://schemas.openxmlformats.org/officeDocument/2006/relationships/hyperlink" Target="http://www.observatoriorli.org/docs/PAISES_BAJOS/FISCALIDAD_Paises_Bajos.pdf" TargetMode="External"/><Relationship Id="rId297" Type="http://schemas.openxmlformats.org/officeDocument/2006/relationships/hyperlink" Target="https://www.repsol.com/es_es/corporacion/responsabilidad-corporativa/nuestros-compromisos/fiscalidad/politica-fiscal-corporativa/" TargetMode="External"/><Relationship Id="rId40" Type="http://schemas.openxmlformats.org/officeDocument/2006/relationships/hyperlink" Target="http://www.laopiniondemurcia.es/comunidad/2016/02/10/fiscal-aprecia-indicios-malversacion-falsedad/712811.html" TargetMode="External"/><Relationship Id="rId115" Type="http://schemas.openxmlformats.org/officeDocument/2006/relationships/hyperlink" Target="http://sabemos.es/2015/05/11/el-gobierno-hace-lobby-en-favor-de-las-constructoras-en-las-negociaciones-del-ttip_1761/" TargetMode="External"/><Relationship Id="rId136" Type="http://schemas.openxmlformats.org/officeDocument/2006/relationships/hyperlink" Target="http://www.elconfidencial.com/empresas/2015-01-26/imputan-a-18-personas-por-prevaricacion-medioambiental-en-el-proyecto-castor_630022/" TargetMode="External"/><Relationship Id="rId157" Type="http://schemas.openxmlformats.org/officeDocument/2006/relationships/hyperlink" Target="https://www.bloomberg.com/news/articles/2014-02-26/ortega-s-zara-fashions-tax-avoidance-by-shifting-profits-to-alps" TargetMode="External"/><Relationship Id="rId178" Type="http://schemas.openxmlformats.org/officeDocument/2006/relationships/hyperlink" Target="http://www.agenciatributaria.es/static_files/AEAT/Contenidos_Comunes/Ficheros/Informacion_Institucional/Campanias/Plan_de_prevencion_del_fraude/ppff.pdf" TargetMode="External"/><Relationship Id="rId301" Type="http://schemas.openxmlformats.org/officeDocument/2006/relationships/hyperlink" Target="http://www.elconfidencial.com/empresas/2014-12-14/no-es-solo-pwc-deloitte-e-y-y-kpmg-tambien-ayudan-a-las-empresas-a-eludir-impuestos_589746/" TargetMode="External"/><Relationship Id="rId322" Type="http://schemas.openxmlformats.org/officeDocument/2006/relationships/hyperlink" Target="http://www.expansion.com/empresas/banca/2015/10/16/56213353268e3ef64e8b45f7.html" TargetMode="External"/><Relationship Id="rId343" Type="http://schemas.openxmlformats.org/officeDocument/2006/relationships/hyperlink" Target="http://www.agenciatributaria.es/AEAT.internet/Inicio/_Segmentos_/Empresas_y_profesionales/Empresas/Impuesto_sobre_Sociedades/Periodos_impositivos_iniciados_hasta_31_12_2014/Regimenes_tributarios_especiales/Regimen_Especial_de_SOCIMI.shtml" TargetMode="External"/><Relationship Id="rId364" Type="http://schemas.openxmlformats.org/officeDocument/2006/relationships/hyperlink" Target="http://www.agenciatributaria.es/AEAT.internet/Inicio/_Segmentos_/Empresas_y_profesionales/Foro_Grandes_Empresas/Codigo_de_Buenas_Practicas_Tributarias/Codigo_de_Buenas_Practicas_Tributarias.shtml" TargetMode="External"/><Relationship Id="rId61" Type="http://schemas.openxmlformats.org/officeDocument/2006/relationships/hyperlink" Target="http://www.elindependiente.com/economia/2016/12/08/los-verdes-la-eurocamara-acusan-inditex-eludir-pago-600-millones-impuestos/" TargetMode="External"/><Relationship Id="rId82" Type="http://schemas.openxmlformats.org/officeDocument/2006/relationships/hyperlink" Target="https://www.fosterswiss.com/2016/01/19/ventajas-fiscales-de-delaware/" TargetMode="External"/><Relationship Id="rId199" Type="http://schemas.openxmlformats.org/officeDocument/2006/relationships/hyperlink" Target="http://www.nytimes.com/2012/07/01/business/how-delaware-thrives-as-a-corporate-tax-haven.html" TargetMode="External"/><Relationship Id="rId203" Type="http://schemas.openxmlformats.org/officeDocument/2006/relationships/hyperlink" Target="http://www.elconfidencial.com/empresas/2015-01-26/imputan-a-18-personas-por-prevaricacion-medioambiental-en-el-proyecto-castor_630022/" TargetMode="External"/><Relationship Id="rId385" Type="http://schemas.openxmlformats.org/officeDocument/2006/relationships/hyperlink" Target="http://www.elconfidencial.com/empresas/2014-12-10/amadeus-los-fondos-no-tributaron-por-el-pelotazo-de-1-600-millones-en-la-opv_552950/" TargetMode="External"/><Relationship Id="rId19" Type="http://schemas.openxmlformats.org/officeDocument/2006/relationships/hyperlink" Target="http://www.elderecho.com/tribuna/mercantil/Responsabilidad-Reforma-Ley-Sociedades-Capital_11_811180002.html" TargetMode="External"/><Relationship Id="rId224" Type="http://schemas.openxmlformats.org/officeDocument/2006/relationships/hyperlink" Target="https://opencorporates.com/" TargetMode="External"/><Relationship Id="rId245" Type="http://schemas.openxmlformats.org/officeDocument/2006/relationships/hyperlink" Target="http://www.transparency.org/cpi2015/" TargetMode="External"/><Relationship Id="rId266" Type="http://schemas.openxmlformats.org/officeDocument/2006/relationships/hyperlink" Target="http://www.lainformacion.com/economia/Unidos-Brasil-provisional-paraisos-UE_0_995600876.html" TargetMode="External"/><Relationship Id="rId287" Type="http://schemas.openxmlformats.org/officeDocument/2006/relationships/hyperlink" Target="http://www.transparency.org/cpi2015/" TargetMode="External"/><Relationship Id="rId30" Type="http://schemas.openxmlformats.org/officeDocument/2006/relationships/hyperlink" Target="http://consalud.es/comunidades-autonomas/el-juez-de-son-espases-investiga-la-trama-de-corrupcion-de-acs-en-cadiz--23727" TargetMode="External"/><Relationship Id="rId105" Type="http://schemas.openxmlformats.org/officeDocument/2006/relationships/hyperlink" Target="http://www.cnmv.es/Portal/HR/verDoc.axd?t=%7b7cdefdd6-fb42-49e9-ae80-5f766522c002%7d" TargetMode="External"/><Relationship Id="rId126" Type="http://schemas.openxmlformats.org/officeDocument/2006/relationships/hyperlink" Target="http://www.vozpopuli.com/economia-y-finanzas/empresas/Iberdrola-Ignacio_Sanchez_Galan-Reformas_0_609239081.html" TargetMode="External"/><Relationship Id="rId147" Type="http://schemas.openxmlformats.org/officeDocument/2006/relationships/hyperlink" Target="http://www.abc.es/local-galicia/20150112/abci-pontegadea-fortuna-amancio-ortega-201501121023.html" TargetMode="External"/><Relationship Id="rId168" Type="http://schemas.openxmlformats.org/officeDocument/2006/relationships/hyperlink" Target="http://www.nytimes.com/2002/01/17/business/enron-s-collapse-the-havens-enron-avoided-income-taxes-in-4-of-5-years.html" TargetMode="External"/><Relationship Id="rId312" Type="http://schemas.openxmlformats.org/officeDocument/2006/relationships/hyperlink" Target="http://www.elconfidencial.com/economia/papeles-panama/2016-04-11/papeles-panama-papers-ministro-soria-offshore-hermano_1179326/" TargetMode="External"/><Relationship Id="rId333" Type="http://schemas.openxmlformats.org/officeDocument/2006/relationships/hyperlink" Target="http://www.sustainability-indices.com/images/DJSI_Review_Presentation_09_2014_final.pdf" TargetMode="External"/><Relationship Id="rId354" Type="http://schemas.openxmlformats.org/officeDocument/2006/relationships/hyperlink" Target="http://cincodias.com/cincodias/2016/12/30/empresas/1483119624_163141.html" TargetMode="External"/><Relationship Id="rId51" Type="http://schemas.openxmlformats.org/officeDocument/2006/relationships/hyperlink" Target="http://ctxt.es/es/20160914/Politica/8453/Preferentes-estafa-paraiso-fiscal-banca-crisis.htm" TargetMode="External"/><Relationship Id="rId72" Type="http://schemas.openxmlformats.org/officeDocument/2006/relationships/hyperlink" Target="http://www.lainformacion.com/economia/Unidos-Brasil-provisional-paraisos-UE_0_995600876.html" TargetMode="External"/><Relationship Id="rId93" Type="http://schemas.openxmlformats.org/officeDocument/2006/relationships/hyperlink" Target="http://www.inspectoresdehacienda.org/attachments/Documento26.pdf" TargetMode="External"/><Relationship Id="rId189" Type="http://schemas.openxmlformats.org/officeDocument/2006/relationships/hyperlink" Target="http://www.obrasweb.mx/construccion/2012/03/16/evasion-fiscal-la-cruz-que-cargan-las-constructoras" TargetMode="External"/><Relationship Id="rId375" Type="http://schemas.openxmlformats.org/officeDocument/2006/relationships/hyperlink" Target="http://blogs.elconfidencial.com/mercados/valor-anadido/2013-10-30/algo-huele-a-podrido-en-la-privatizacion-de-aena_47982/" TargetMode="External"/><Relationship Id="rId3" Type="http://schemas.openxmlformats.org/officeDocument/2006/relationships/hyperlink" Target="http://www.elespanol.com/economia/20160118/95490466_0.html" TargetMode="External"/><Relationship Id="rId214" Type="http://schemas.openxmlformats.org/officeDocument/2006/relationships/hyperlink" Target="http://www.smh.com.au/business/mining-and-resources/leighton-holdings-former-executive-alleges-corruption-20160422-gock2o.html7" TargetMode="External"/><Relationship Id="rId235" Type="http://schemas.openxmlformats.org/officeDocument/2006/relationships/hyperlink" Target="http://www.expansion.com/empresas/inmobiliario/2015/03/30/55199b0c268e3ea0738b4571.html" TargetMode="External"/><Relationship Id="rId256" Type="http://schemas.openxmlformats.org/officeDocument/2006/relationships/hyperlink" Target="http://sabemos.es/2015/05/11/el-gobierno-hace-lobby-en-favor-de-las-constructoras-en-las-negociaciones-del-ttip_1761/" TargetMode="External"/><Relationship Id="rId277" Type="http://schemas.openxmlformats.org/officeDocument/2006/relationships/hyperlink" Target="http://www.agenciatributaria.es/AEAT.internet/Inicio/_Segmentos_/Empresas_y_profesionales/Empresas/Impuesto_sobre_Sociedades/Periodos_impositivos_a_partir_de_1_1_2015/Tipos_de_gravamen/Tipos_de_gravamen_aplicable_a_periodos_impositivos_iniciados_en_el_ano_2015_y_2016__Art__29_y_DT_34__LIS_.shtml" TargetMode="External"/><Relationship Id="rId298" Type="http://schemas.openxmlformats.org/officeDocument/2006/relationships/hyperlink" Target="http://www.sustainability-indices.com/images/DJSI_Review_Presentation_09_2014_final.pdf" TargetMode="External"/><Relationship Id="rId116" Type="http://schemas.openxmlformats.org/officeDocument/2006/relationships/hyperlink" Target="http://ec.europa.eu/transparencyregister/public/consultation/displaylobbyist.do?id=23527541824-60" TargetMode="External"/><Relationship Id="rId137" Type="http://schemas.openxmlformats.org/officeDocument/2006/relationships/hyperlink" Target="https://www.bloomberg.com/news/articles/2014-02-26/ortega-s-zara-fashions-tax-avoidance-by-shifting-profits-to-alps" TargetMode="External"/><Relationship Id="rId158" Type="http://schemas.openxmlformats.org/officeDocument/2006/relationships/hyperlink" Target="https://fashionunited.com/i/top100" TargetMode="External"/><Relationship Id="rId302" Type="http://schemas.openxmlformats.org/officeDocument/2006/relationships/hyperlink" Target="http://www.elmundo.es/economia/2016/05/19/573dab66268e3e8c598b45fe.html" TargetMode="External"/><Relationship Id="rId323" Type="http://schemas.openxmlformats.org/officeDocument/2006/relationships/hyperlink" Target="http://www.elconfidencial.com/empresas/2015-09-16/la-union-europea-implica-a-bbva-en-un-caso-de-fraude-masivo-de-iva_1018401/" TargetMode="External"/><Relationship Id="rId344" Type="http://schemas.openxmlformats.org/officeDocument/2006/relationships/hyperlink" Target="https://opencorporates.com/companies/us_de/3518239" TargetMode="External"/><Relationship Id="rId20" Type="http://schemas.openxmlformats.org/officeDocument/2006/relationships/hyperlink" Target="http://www.obrasweb.mx/construccion/2012/03/16/evasion-fiscal-la-cruz-que-cargan-las-constructoras" TargetMode="External"/><Relationship Id="rId41" Type="http://schemas.openxmlformats.org/officeDocument/2006/relationships/hyperlink" Target="http://epoca1.valenciaplaza.com/ver/164219/gas-natural-fenosa-es-reconocida-como-lider-mundial-en-el-sector--utilities-.html" TargetMode="External"/><Relationship Id="rId62" Type="http://schemas.openxmlformats.org/officeDocument/2006/relationships/hyperlink" Target="http://guiasjuridicas.wolterskluwer.es/Content/Documento.aspx?params=H4sIAAAAAAAEAMtMSbF1jTAAAQsTMyNDtbLUouLM_DxbIwNDYwNzAyOQQGZapUt-ckhlQaptWmJOcSoAzU6exDUAAAA=WKE" TargetMode="External"/><Relationship Id="rId83" Type="http://schemas.openxmlformats.org/officeDocument/2006/relationships/hyperlink" Target="http://www.nytimes.com/2012/07/01/business/how-delaware-thrives-as-a-corporate-tax-haven.html" TargetMode="External"/><Relationship Id="rId179" Type="http://schemas.openxmlformats.org/officeDocument/2006/relationships/hyperlink" Target="http://www.eltriangle.eu/es/notices/2016/12/acciona-confiesa-que-tiene-40-filiales-radicadas-en-ocho-paraisos-fiscales-6969.php" TargetMode="External"/><Relationship Id="rId365" Type="http://schemas.openxmlformats.org/officeDocument/2006/relationships/hyperlink" Target="https://www.abertis.com/media/investor_docs/2015/12/2015_Reglament_del_consell__v7.pdf" TargetMode="External"/><Relationship Id="rId386" Type="http://schemas.openxmlformats.org/officeDocument/2006/relationships/hyperlink" Target="http://www.ief.es/documentos/recursos/publicaciones/documentos_trabajo/2015_15.pdf" TargetMode="External"/><Relationship Id="rId190" Type="http://schemas.openxmlformats.org/officeDocument/2006/relationships/hyperlink" Target="http://www.ecuadorinmediato.com/Noticias/news_user_view/ecuadorinmediato_noticias--60534" TargetMode="External"/><Relationship Id="rId204" Type="http://schemas.openxmlformats.org/officeDocument/2006/relationships/hyperlink" Target="http://www.eldiario.es/economia/ACS-manipular-cuentas-constructora-demanda_0_459154817.html" TargetMode="External"/><Relationship Id="rId225" Type="http://schemas.openxmlformats.org/officeDocument/2006/relationships/hyperlink" Target="http://corporate.arcelormittal.com/~/media/Files/A/ArcelorMittal/investors/agm/2016/AGM_20160504_minutes.pdf" TargetMode="External"/><Relationship Id="rId246" Type="http://schemas.openxmlformats.org/officeDocument/2006/relationships/hyperlink" Target="http://www.agenciatributaria.es/static_files/AEAT/Contenidos_Comunes/Ficheros/Informacion_Institucional/Campanias/Plan_de_prevencion_del_fraude/ppff.pdf" TargetMode="External"/><Relationship Id="rId267" Type="http://schemas.openxmlformats.org/officeDocument/2006/relationships/hyperlink" Target="http://www.europapress.es/economia/fiscal-00347/noticia-bruselas-publica-lista-negra-paraisos-fiscales-figuran-andorra-monaco-liechtenstein-20150617143524.html" TargetMode="External"/><Relationship Id="rId288" Type="http://schemas.openxmlformats.org/officeDocument/2006/relationships/hyperlink" Target="http://www.sustainability-indices.com/images/DJSI_Review_Presentation_09_2014_final.pdf" TargetMode="External"/><Relationship Id="rId106" Type="http://schemas.openxmlformats.org/officeDocument/2006/relationships/hyperlink" Target="http://www.eldiario.es/economia/Gobierno-Aena-radicado-Islas-Caiman_0_349965739.html" TargetMode="External"/><Relationship Id="rId127" Type="http://schemas.openxmlformats.org/officeDocument/2006/relationships/hyperlink" Target="http://www.expansion.com/2007/02/20/opinion/firmas/963601.html" TargetMode="External"/><Relationship Id="rId313" Type="http://schemas.openxmlformats.org/officeDocument/2006/relationships/hyperlink" Target="http://www.eldiario.es/economia/caso-BBV-Privanza-acabo_0_505350505.html" TargetMode="External"/><Relationship Id="rId10" Type="http://schemas.openxmlformats.org/officeDocument/2006/relationships/hyperlink" Target="http://economia.elpais.com/economia/2014/11/09/actualidad/1415561932_157228.html" TargetMode="External"/><Relationship Id="rId31" Type="http://schemas.openxmlformats.org/officeDocument/2006/relationships/hyperlink" Target="http://www.smh.com.au/business/mining-and-resources/leighton-holdings-former-executive-alleges-corruption-20160422-gock2o.html7" TargetMode="External"/><Relationship Id="rId52" Type="http://schemas.openxmlformats.org/officeDocument/2006/relationships/hyperlink" Target="http://www.elconfidencial.com/empresas/2014-12-14/no-es-solo-pwc-deloitte-e-y-y-kpmg-tambien-ayudan-a-las-empresas-a-eludir-impuestos_589746/" TargetMode="External"/><Relationship Id="rId73" Type="http://schemas.openxmlformats.org/officeDocument/2006/relationships/hyperlink" Target="http://www.europapress.es/economia/fiscal-00347/noticia-bruselas-publica-lista-negra-paraisos-fiscales-figuran-andorra-monaco-liechtenstein-20150617143524.html" TargetMode="External"/><Relationship Id="rId94" Type="http://schemas.openxmlformats.org/officeDocument/2006/relationships/hyperlink" Target="http://www.eleconomista.es/empresas-finanzas/noticias/6873544/07/15/IAG-escruta-el-gasto-en-impuestos-ante-su-salto-al-paraiso-de-Irlanda-.html" TargetMode="External"/><Relationship Id="rId148" Type="http://schemas.openxmlformats.org/officeDocument/2006/relationships/hyperlink" Target="http://economia.elpais.com/economia/2016/07/18/actualidad/1468842396_941296.html" TargetMode="External"/><Relationship Id="rId169" Type="http://schemas.openxmlformats.org/officeDocument/2006/relationships/hyperlink" Target="http://adsabs.harvard.edu/abs/2000PhDT.......155D" TargetMode="External"/><Relationship Id="rId334" Type="http://schemas.openxmlformats.org/officeDocument/2006/relationships/hyperlink" Target="http://www.ftse.com/products/downloads/F4G-Index-Inclusion-Rules.pdf" TargetMode="External"/><Relationship Id="rId355" Type="http://schemas.openxmlformats.org/officeDocument/2006/relationships/hyperlink" Target="http://economia.elpais.com/economia/2014/10/13/actualidad/1413227302_641453.html" TargetMode="External"/><Relationship Id="rId376" Type="http://schemas.openxmlformats.org/officeDocument/2006/relationships/hyperlink" Target="http://www.sustainability-indices.com/images/DJSI_Review_Presentation_09_2014_final.pdf" TargetMode="External"/><Relationship Id="rId4" Type="http://schemas.openxmlformats.org/officeDocument/2006/relationships/hyperlink" Target="http://www.elperiodico.com/es/noticias/economia/desigualdad-social-aumenta-espana-crecimiento-davos-oxfam-5742308" TargetMode="External"/><Relationship Id="rId180" Type="http://schemas.openxmlformats.org/officeDocument/2006/relationships/hyperlink" Target="http://www.eltriangle.eu/es/notices/2016/12/acciona-confiesa-que-tiene-40-filiales-radicadas-en-ocho-paraisos-fiscales-6969.php" TargetMode="External"/><Relationship Id="rId215" Type="http://schemas.openxmlformats.org/officeDocument/2006/relationships/hyperlink" Target="http://www.altmedia.net.au/questions-to-be-answered-over-leightons-involvement-in-westconnex/114897" TargetMode="External"/><Relationship Id="rId236" Type="http://schemas.openxmlformats.org/officeDocument/2006/relationships/hyperlink" Target="http://www.transparency.org/cpi2015/" TargetMode="External"/><Relationship Id="rId257" Type="http://schemas.openxmlformats.org/officeDocument/2006/relationships/hyperlink" Target="http://ec.europa.eu/transparencyregister/public/consultation/displaylobbyist.do?id=824053621298-40" TargetMode="External"/><Relationship Id="rId278" Type="http://schemas.openxmlformats.org/officeDocument/2006/relationships/hyperlink" Target="https://rgi.cnmc.es/gruposdeinteres/asociacion-espanola-de-la-industria-electrica-unesa-0" TargetMode="External"/><Relationship Id="rId303" Type="http://schemas.openxmlformats.org/officeDocument/2006/relationships/hyperlink" Target="http://www.elconfidencial.com/empresas/2013-09-08/cuanto-ha-costado-de-verdad-el-rescate-de-la-banca-100-000-millones-de-euros_25562/" TargetMode="External"/><Relationship Id="rId42" Type="http://schemas.openxmlformats.org/officeDocument/2006/relationships/hyperlink" Target="https://www.bbva.com/es/noticias/economia/sistema_financiero/fiscalidad/bbva-se-adelanta-a-la-normativa-en-transparencia-fiscal/" TargetMode="External"/><Relationship Id="rId84" Type="http://schemas.openxmlformats.org/officeDocument/2006/relationships/hyperlink" Target="https://www.grifolsplasma.com/es/web/plasma/locations/find-a-donation-center" TargetMode="External"/><Relationship Id="rId138" Type="http://schemas.openxmlformats.org/officeDocument/2006/relationships/hyperlink" Target="http://cronicaglobal.elespanol.com/business/grifols-pasa-de-que-le-acusen-de-trabajar-en-paraisos-fiscales_40565_102.html" TargetMode="External"/><Relationship Id="rId345" Type="http://schemas.openxmlformats.org/officeDocument/2006/relationships/hyperlink" Target="https://www.fosterswiss.com/2016/01/19/ventajas-fiscales-de-delaware/" TargetMode="External"/><Relationship Id="rId387" Type="http://schemas.openxmlformats.org/officeDocument/2006/relationships/hyperlink" Target="http://www.eleconomista.es/empresas-finanzas/noticias/6873544/07/15/IAG-escruta-el-gasto-en-impuestos-ante-su-salto-al-paraiso-de-Irlanda-.ht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3CCAD6-36CB-4F1C-803E-AD1A88145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585</Pages>
  <Words>226626</Words>
  <Characters>1246449</Characters>
  <Application>Microsoft Office Word</Application>
  <DocSecurity>0</DocSecurity>
  <Lines>10387</Lines>
  <Paragraphs>2940</Paragraphs>
  <ScaleCrop>false</ScaleCrop>
  <HeadingPairs>
    <vt:vector size="4" baseType="variant">
      <vt:variant>
        <vt:lpstr>Título</vt:lpstr>
      </vt:variant>
      <vt:variant>
        <vt:i4>1</vt:i4>
      </vt:variant>
      <vt:variant>
        <vt:lpstr>Headings</vt:lpstr>
      </vt:variant>
      <vt:variant>
        <vt:i4>10</vt:i4>
      </vt:variant>
    </vt:vector>
  </HeadingPairs>
  <TitlesOfParts>
    <vt:vector size="11" baseType="lpstr">
      <vt:lpstr/>
      <vt:lpstr>1. OBJETIVO DEL ESTUDIO Y METODOLOGÍA DEL ANÁLISIS</vt:lpstr>
      <vt:lpstr>1.1. Objetivo</vt:lpstr>
      <vt:lpstr>1.2. Metodología</vt:lpstr>
      <vt:lpstr>1.2.1. Alcance del estudio</vt:lpstr>
      <vt:lpstr>1.2.2. Fases del estudio</vt:lpstr>
      <vt:lpstr>1.2.3. Herramientas del estudio</vt:lpstr>
      <vt:lpstr>2. RESULTADOS DEL ESTUDIO</vt:lpstr>
      <vt:lpstr>2.1. Resultados generales</vt:lpstr>
      <vt:lpstr>2.2. Resultados por eje de Análisis</vt:lpstr>
      <vt:lpstr>2.2.1. Conclusiones del eje de Contenidos</vt:lpstr>
    </vt:vector>
  </TitlesOfParts>
  <Company>Hewlett-Packard</Company>
  <LinksUpToDate>false</LinksUpToDate>
  <CharactersWithSpaces>1470135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Macbook</dc:creator>
  <cp:lastModifiedBy>Acer</cp:lastModifiedBy>
  <cp:revision>2</cp:revision>
  <cp:lastPrinted>2016-05-10T15:00:00Z</cp:lastPrinted>
  <dcterms:created xsi:type="dcterms:W3CDTF">2017-04-19T11:59:00Z</dcterms:created>
  <dcterms:modified xsi:type="dcterms:W3CDTF">2017-04-19T11:59:00Z</dcterms:modified>
</cp:coreProperties>
</file>